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2586E32C" w14:textId="77777777" w:rsidR="0004060F" w:rsidRDefault="0004060F" w:rsidP="0004060F">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 xml:space="preserve">El siguiente es el documento presentado por la ponente que sirvió de base para proferir en audiencia la sentencia de segunda instancia dentro del presente proceso. El contenido total y fiel de la decisión debe ser verificado en el audio que reposa en la Secretaría de esta Corporación. </w:t>
      </w:r>
    </w:p>
    <w:p w14:paraId="42C5D917" w14:textId="77777777" w:rsidR="0004060F" w:rsidRDefault="0004060F" w:rsidP="0004060F">
      <w:pPr>
        <w:pStyle w:val="Puesto"/>
        <w:spacing w:line="240" w:lineRule="auto"/>
        <w:jc w:val="both"/>
        <w:rPr>
          <w:rFonts w:ascii="Tahoma" w:hAnsi="Tahoma" w:cs="Tahoma"/>
          <w:sz w:val="18"/>
          <w:szCs w:val="18"/>
        </w:rPr>
      </w:pPr>
    </w:p>
    <w:p w14:paraId="44E734EE" w14:textId="7BC9FC25" w:rsidR="00C476C4" w:rsidRPr="00145EED" w:rsidRDefault="00B41E78" w:rsidP="0048276E">
      <w:pPr>
        <w:spacing w:line="240" w:lineRule="auto"/>
        <w:jc w:val="both"/>
        <w:rPr>
          <w:rFonts w:ascii="Arial" w:hAnsi="Arial" w:cs="Arial"/>
        </w:rPr>
      </w:pPr>
      <w:r w:rsidRPr="00145EED">
        <w:rPr>
          <w:rFonts w:ascii="Arial" w:hAnsi="Arial" w:cs="Arial"/>
        </w:rPr>
        <w:t>Providencia:</w:t>
      </w:r>
      <w:r w:rsidRPr="00145EED">
        <w:rPr>
          <w:rFonts w:ascii="Arial" w:hAnsi="Arial" w:cs="Arial"/>
        </w:rPr>
        <w:tab/>
      </w:r>
      <w:r w:rsidRPr="00145EED">
        <w:rPr>
          <w:rFonts w:ascii="Arial" w:hAnsi="Arial" w:cs="Arial"/>
        </w:rPr>
        <w:tab/>
        <w:t xml:space="preserve">Sentencia </w:t>
      </w:r>
      <w:r w:rsidR="006A4897" w:rsidRPr="00145EED">
        <w:rPr>
          <w:rFonts w:ascii="Arial" w:hAnsi="Arial" w:cs="Arial"/>
        </w:rPr>
        <w:t>del</w:t>
      </w:r>
      <w:r w:rsidRPr="00145EED">
        <w:rPr>
          <w:rFonts w:ascii="Arial" w:hAnsi="Arial" w:cs="Arial"/>
        </w:rPr>
        <w:t xml:space="preserve"> </w:t>
      </w:r>
      <w:r w:rsidR="00C4045F" w:rsidRPr="00145EED">
        <w:rPr>
          <w:rFonts w:ascii="Arial" w:hAnsi="Arial" w:cs="Arial"/>
        </w:rPr>
        <w:t>31</w:t>
      </w:r>
      <w:r w:rsidR="00155C65" w:rsidRPr="00145EED">
        <w:rPr>
          <w:rFonts w:ascii="Arial" w:hAnsi="Arial" w:cs="Arial"/>
        </w:rPr>
        <w:t xml:space="preserve"> de </w:t>
      </w:r>
      <w:r w:rsidR="007F2D20" w:rsidRPr="00145EED">
        <w:rPr>
          <w:rFonts w:ascii="Arial" w:hAnsi="Arial" w:cs="Arial"/>
        </w:rPr>
        <w:t>agosto</w:t>
      </w:r>
      <w:r w:rsidR="004D5775" w:rsidRPr="00145EED">
        <w:rPr>
          <w:rFonts w:ascii="Arial" w:hAnsi="Arial" w:cs="Arial"/>
        </w:rPr>
        <w:t xml:space="preserve"> de 201</w:t>
      </w:r>
      <w:r w:rsidR="007F2D20" w:rsidRPr="00145EED">
        <w:rPr>
          <w:rFonts w:ascii="Arial" w:hAnsi="Arial" w:cs="Arial"/>
        </w:rPr>
        <w:t>8</w:t>
      </w:r>
    </w:p>
    <w:p w14:paraId="74E6733D" w14:textId="6821D199" w:rsidR="00C476C4" w:rsidRPr="00145EED" w:rsidRDefault="00C476C4" w:rsidP="0048276E">
      <w:pPr>
        <w:spacing w:line="240" w:lineRule="auto"/>
        <w:jc w:val="both"/>
        <w:rPr>
          <w:rFonts w:ascii="Arial" w:hAnsi="Arial" w:cs="Arial"/>
        </w:rPr>
      </w:pPr>
      <w:r w:rsidRPr="00145EED">
        <w:rPr>
          <w:rFonts w:ascii="Arial" w:hAnsi="Arial" w:cs="Arial"/>
        </w:rPr>
        <w:t>Radic</w:t>
      </w:r>
      <w:r w:rsidR="00B41E78" w:rsidRPr="00145EED">
        <w:rPr>
          <w:rFonts w:ascii="Arial" w:hAnsi="Arial" w:cs="Arial"/>
        </w:rPr>
        <w:t>ación No.:</w:t>
      </w:r>
      <w:r w:rsidR="00B41E78" w:rsidRPr="00145EED">
        <w:rPr>
          <w:rFonts w:ascii="Arial" w:hAnsi="Arial" w:cs="Arial"/>
        </w:rPr>
        <w:tab/>
      </w:r>
      <w:r w:rsidR="007F2D20" w:rsidRPr="00145EED">
        <w:rPr>
          <w:rFonts w:ascii="Arial" w:hAnsi="Arial" w:cs="Arial"/>
        </w:rPr>
        <w:t>66001-31-05-00</w:t>
      </w:r>
      <w:r w:rsidR="00C4045F" w:rsidRPr="00145EED">
        <w:rPr>
          <w:rFonts w:ascii="Arial" w:hAnsi="Arial" w:cs="Arial"/>
        </w:rPr>
        <w:t>2</w:t>
      </w:r>
      <w:r w:rsidR="007F2D20" w:rsidRPr="00145EED">
        <w:rPr>
          <w:rFonts w:ascii="Arial" w:hAnsi="Arial" w:cs="Arial"/>
        </w:rPr>
        <w:t>-2016-00</w:t>
      </w:r>
      <w:r w:rsidR="00C4045F" w:rsidRPr="00145EED">
        <w:rPr>
          <w:rFonts w:ascii="Arial" w:hAnsi="Arial" w:cs="Arial"/>
        </w:rPr>
        <w:t>212</w:t>
      </w:r>
      <w:r w:rsidR="007F2D20" w:rsidRPr="00145EED">
        <w:rPr>
          <w:rFonts w:ascii="Arial" w:hAnsi="Arial" w:cs="Arial"/>
        </w:rPr>
        <w:t>-01</w:t>
      </w:r>
    </w:p>
    <w:p w14:paraId="47DFD0C3" w14:textId="7472C1AE" w:rsidR="00C476C4" w:rsidRPr="00145EED" w:rsidRDefault="00C476C4" w:rsidP="0048276E">
      <w:pPr>
        <w:spacing w:line="240" w:lineRule="auto"/>
        <w:jc w:val="both"/>
        <w:rPr>
          <w:rFonts w:ascii="Arial" w:hAnsi="Arial" w:cs="Arial"/>
        </w:rPr>
      </w:pPr>
      <w:r w:rsidRPr="00145EED">
        <w:rPr>
          <w:rFonts w:ascii="Arial" w:hAnsi="Arial" w:cs="Arial"/>
        </w:rPr>
        <w:t>Proceso:</w:t>
      </w:r>
      <w:r w:rsidRPr="00145EED">
        <w:rPr>
          <w:rFonts w:ascii="Arial" w:hAnsi="Arial" w:cs="Arial"/>
        </w:rPr>
        <w:tab/>
      </w:r>
      <w:r w:rsidRPr="00145EED">
        <w:rPr>
          <w:rFonts w:ascii="Arial" w:hAnsi="Arial" w:cs="Arial"/>
        </w:rPr>
        <w:tab/>
        <w:t xml:space="preserve">Ordinario laboral </w:t>
      </w:r>
    </w:p>
    <w:p w14:paraId="7058AE5D" w14:textId="717D2E03" w:rsidR="00C476C4" w:rsidRPr="00145EED" w:rsidRDefault="00C476C4" w:rsidP="0048276E">
      <w:pPr>
        <w:spacing w:line="240" w:lineRule="auto"/>
        <w:jc w:val="both"/>
        <w:rPr>
          <w:rFonts w:ascii="Arial" w:hAnsi="Arial" w:cs="Arial"/>
        </w:rPr>
      </w:pPr>
      <w:r w:rsidRPr="00145EED">
        <w:rPr>
          <w:rFonts w:ascii="Arial" w:hAnsi="Arial" w:cs="Arial"/>
        </w:rPr>
        <w:t>Demand</w:t>
      </w:r>
      <w:r w:rsidR="00B7558B" w:rsidRPr="00145EED">
        <w:rPr>
          <w:rFonts w:ascii="Arial" w:hAnsi="Arial" w:cs="Arial"/>
        </w:rPr>
        <w:t>ante</w:t>
      </w:r>
      <w:r w:rsidR="00B41E78" w:rsidRPr="00145EED">
        <w:rPr>
          <w:rFonts w:ascii="Arial" w:hAnsi="Arial" w:cs="Arial"/>
        </w:rPr>
        <w:t>s:</w:t>
      </w:r>
      <w:r w:rsidR="00B41E78" w:rsidRPr="00145EED">
        <w:rPr>
          <w:rFonts w:ascii="Arial" w:hAnsi="Arial" w:cs="Arial"/>
        </w:rPr>
        <w:tab/>
      </w:r>
      <w:r w:rsidR="00C4045F" w:rsidRPr="00145EED">
        <w:rPr>
          <w:rFonts w:ascii="Arial" w:hAnsi="Arial" w:cs="Arial"/>
        </w:rPr>
        <w:t>Héctor Danilo Galvis Ocampo</w:t>
      </w:r>
    </w:p>
    <w:p w14:paraId="15262AB6" w14:textId="77777777" w:rsidR="00C476C4" w:rsidRPr="00145EED" w:rsidRDefault="00C476C4" w:rsidP="0048276E">
      <w:pPr>
        <w:spacing w:line="240" w:lineRule="auto"/>
        <w:jc w:val="both"/>
        <w:rPr>
          <w:rFonts w:ascii="Arial" w:hAnsi="Arial" w:cs="Arial"/>
        </w:rPr>
      </w:pPr>
      <w:r w:rsidRPr="00145EED">
        <w:rPr>
          <w:rFonts w:ascii="Arial" w:hAnsi="Arial" w:cs="Arial"/>
        </w:rPr>
        <w:t>Demandado:</w:t>
      </w:r>
      <w:r w:rsidRPr="00145EED">
        <w:rPr>
          <w:rFonts w:ascii="Arial" w:hAnsi="Arial" w:cs="Arial"/>
        </w:rPr>
        <w:tab/>
      </w:r>
      <w:r w:rsidRPr="00145EED">
        <w:rPr>
          <w:rFonts w:ascii="Arial" w:hAnsi="Arial" w:cs="Arial"/>
        </w:rPr>
        <w:tab/>
        <w:t>Colpensiones</w:t>
      </w:r>
    </w:p>
    <w:p w14:paraId="74414495" w14:textId="57E83D3C" w:rsidR="00C476C4" w:rsidRPr="00145EED" w:rsidRDefault="00B7558B" w:rsidP="0048276E">
      <w:pPr>
        <w:spacing w:line="240" w:lineRule="auto"/>
        <w:jc w:val="both"/>
        <w:rPr>
          <w:rFonts w:ascii="Arial" w:hAnsi="Arial" w:cs="Arial"/>
        </w:rPr>
      </w:pPr>
      <w:r w:rsidRPr="00145EED">
        <w:rPr>
          <w:rFonts w:ascii="Arial" w:hAnsi="Arial" w:cs="Arial"/>
        </w:rPr>
        <w:t>Juzgado de origen:</w:t>
      </w:r>
      <w:r w:rsidRPr="00145EED">
        <w:rPr>
          <w:rFonts w:ascii="Arial" w:hAnsi="Arial" w:cs="Arial"/>
        </w:rPr>
        <w:tab/>
      </w:r>
      <w:r w:rsidR="00C4045F" w:rsidRPr="00145EED">
        <w:rPr>
          <w:rFonts w:ascii="Arial" w:hAnsi="Arial" w:cs="Arial"/>
        </w:rPr>
        <w:t>Segund</w:t>
      </w:r>
      <w:r w:rsidR="007F2D20" w:rsidRPr="00145EED">
        <w:rPr>
          <w:rFonts w:ascii="Arial" w:hAnsi="Arial" w:cs="Arial"/>
        </w:rPr>
        <w:t>o</w:t>
      </w:r>
      <w:r w:rsidR="006D08B6" w:rsidRPr="00145EED">
        <w:rPr>
          <w:rFonts w:ascii="Arial" w:hAnsi="Arial" w:cs="Arial"/>
        </w:rPr>
        <w:t xml:space="preserve"> </w:t>
      </w:r>
      <w:r w:rsidRPr="00145EED">
        <w:rPr>
          <w:rFonts w:ascii="Arial" w:hAnsi="Arial" w:cs="Arial"/>
        </w:rPr>
        <w:t>Laboral del Circuito de Pereira</w:t>
      </w:r>
    </w:p>
    <w:p w14:paraId="06F0F860" w14:textId="77777777" w:rsidR="00C476C4" w:rsidRPr="00145EED" w:rsidRDefault="00C476C4" w:rsidP="0048276E">
      <w:pPr>
        <w:spacing w:line="240" w:lineRule="auto"/>
        <w:jc w:val="both"/>
        <w:rPr>
          <w:rFonts w:ascii="Arial" w:hAnsi="Arial" w:cs="Arial"/>
        </w:rPr>
      </w:pPr>
      <w:r w:rsidRPr="00145EED">
        <w:rPr>
          <w:rFonts w:ascii="Arial" w:hAnsi="Arial" w:cs="Arial"/>
        </w:rPr>
        <w:t>Magistrada ponente:</w:t>
      </w:r>
      <w:r w:rsidRPr="00145EED">
        <w:rPr>
          <w:rFonts w:ascii="Arial" w:hAnsi="Arial" w:cs="Arial"/>
        </w:rPr>
        <w:tab/>
        <w:t>Dra. Ana Lucía Caicedo Calderón</w:t>
      </w:r>
    </w:p>
    <w:p w14:paraId="76AF2CDD" w14:textId="77777777" w:rsidR="00917782" w:rsidRPr="00145EED" w:rsidRDefault="00917782" w:rsidP="0048276E">
      <w:pPr>
        <w:spacing w:line="240" w:lineRule="auto"/>
        <w:ind w:left="2127" w:hanging="2127"/>
        <w:jc w:val="both"/>
        <w:rPr>
          <w:rFonts w:ascii="Arial" w:hAnsi="Arial" w:cs="Arial"/>
        </w:rPr>
      </w:pPr>
    </w:p>
    <w:p w14:paraId="39590DE6" w14:textId="77777777" w:rsidR="00917782" w:rsidRPr="00145EED" w:rsidRDefault="00917782" w:rsidP="0048276E">
      <w:pPr>
        <w:spacing w:line="240" w:lineRule="auto"/>
        <w:ind w:left="2127" w:hanging="2127"/>
        <w:jc w:val="both"/>
        <w:rPr>
          <w:rFonts w:ascii="Arial" w:hAnsi="Arial" w:cs="Arial"/>
        </w:rPr>
      </w:pPr>
    </w:p>
    <w:p w14:paraId="5C157DA4" w14:textId="090FEE0B" w:rsidR="00C476C4" w:rsidRPr="00145EED" w:rsidRDefault="00C476C4" w:rsidP="00145EED">
      <w:pPr>
        <w:spacing w:line="240" w:lineRule="auto"/>
        <w:jc w:val="both"/>
        <w:rPr>
          <w:rFonts w:ascii="Arial" w:hAnsi="Arial" w:cs="Arial"/>
          <w:b/>
        </w:rPr>
      </w:pPr>
      <w:r w:rsidRPr="00145EED">
        <w:rPr>
          <w:rFonts w:ascii="Arial" w:hAnsi="Arial" w:cs="Arial"/>
          <w:b/>
        </w:rPr>
        <w:t>Tema:</w:t>
      </w:r>
      <w:r w:rsidRPr="00145EED">
        <w:rPr>
          <w:rFonts w:ascii="Arial" w:hAnsi="Arial" w:cs="Arial"/>
          <w:b/>
        </w:rPr>
        <w:tab/>
      </w:r>
      <w:r w:rsidR="006813B4">
        <w:rPr>
          <w:rFonts w:ascii="Arial" w:hAnsi="Arial" w:cs="Arial"/>
          <w:b/>
        </w:rPr>
        <w:tab/>
      </w:r>
      <w:r w:rsidR="00917782" w:rsidRPr="00145EED">
        <w:rPr>
          <w:rFonts w:ascii="Arial" w:hAnsi="Arial" w:cs="Arial"/>
          <w:b/>
        </w:rPr>
        <w:t>PÉRDIDA DE BENEFICIOS DEL RÉGIMEN DE TRANSICIÓN</w:t>
      </w:r>
      <w:r w:rsidR="00C248EB">
        <w:rPr>
          <w:rFonts w:ascii="Arial" w:hAnsi="Arial" w:cs="Arial"/>
          <w:b/>
        </w:rPr>
        <w:t xml:space="preserve"> -</w:t>
      </w:r>
      <w:r w:rsidR="00917782" w:rsidRPr="00145EED">
        <w:rPr>
          <w:rFonts w:ascii="Arial" w:hAnsi="Arial" w:cs="Arial"/>
          <w:b/>
        </w:rPr>
        <w:t xml:space="preserve">EL DEMANDANTE NO CONSERVÓ EL RÉGIMEN DE TRANSICIÓN DEL QUE FUE BENEFICIARIO AL RETORNAR AL </w:t>
      </w:r>
      <w:r w:rsidR="006813B4">
        <w:rPr>
          <w:rFonts w:ascii="Arial" w:hAnsi="Arial" w:cs="Arial"/>
          <w:b/>
        </w:rPr>
        <w:t xml:space="preserve">RÉGIMEN DE PRIMA MEDIA DEL </w:t>
      </w:r>
      <w:proofErr w:type="spellStart"/>
      <w:r w:rsidR="006813B4">
        <w:rPr>
          <w:rFonts w:ascii="Arial" w:hAnsi="Arial" w:cs="Arial"/>
          <w:b/>
        </w:rPr>
        <w:t>RAIS</w:t>
      </w:r>
      <w:proofErr w:type="spellEnd"/>
      <w:r w:rsidR="006813B4">
        <w:rPr>
          <w:rFonts w:ascii="Arial" w:hAnsi="Arial" w:cs="Arial"/>
          <w:b/>
        </w:rPr>
        <w:t>-</w:t>
      </w:r>
      <w:r w:rsidR="006813B4">
        <w:rPr>
          <w:rFonts w:ascii="Arial" w:hAnsi="Arial" w:cs="Arial"/>
        </w:rPr>
        <w:t xml:space="preserve"> /</w:t>
      </w:r>
      <w:r w:rsidR="006813B4" w:rsidRPr="00145EED">
        <w:rPr>
          <w:rFonts w:ascii="Arial" w:hAnsi="Arial" w:cs="Arial"/>
        </w:rPr>
        <w:t xml:space="preserve"> </w:t>
      </w:r>
      <w:bookmarkStart w:id="0" w:name="_GoBack"/>
      <w:bookmarkEnd w:id="0"/>
      <w:r w:rsidR="006813B4" w:rsidRPr="00145EED">
        <w:rPr>
          <w:rFonts w:ascii="Arial" w:hAnsi="Arial" w:cs="Arial"/>
          <w:b/>
        </w:rPr>
        <w:t xml:space="preserve">LIQUIDACIÓN DE LA PENSIÓN DE VEJEZ CON BASE EN </w:t>
      </w:r>
      <w:r w:rsidR="006813B4">
        <w:rPr>
          <w:rFonts w:ascii="Arial" w:hAnsi="Arial" w:cs="Arial"/>
          <w:b/>
        </w:rPr>
        <w:t>LA LEY 100 DE 1993</w:t>
      </w:r>
      <w:r w:rsidR="006813B4" w:rsidRPr="00145EED">
        <w:rPr>
          <w:rFonts w:ascii="Arial" w:hAnsi="Arial" w:cs="Arial"/>
          <w:b/>
        </w:rPr>
        <w:t xml:space="preserve">/ </w:t>
      </w:r>
      <w:r w:rsidR="00917782" w:rsidRPr="00145EED">
        <w:rPr>
          <w:rFonts w:ascii="Arial" w:hAnsi="Arial" w:cs="Arial"/>
          <w:b/>
        </w:rPr>
        <w:t xml:space="preserve"> </w:t>
      </w:r>
      <w:r w:rsidR="00145EED" w:rsidRPr="00145EED">
        <w:rPr>
          <w:rFonts w:ascii="Arial" w:hAnsi="Arial" w:cs="Arial"/>
          <w:b/>
        </w:rPr>
        <w:t>MODIFICA PARCIAL</w:t>
      </w:r>
      <w:r w:rsidR="00917782" w:rsidRPr="00145EED">
        <w:rPr>
          <w:rFonts w:ascii="Arial" w:hAnsi="Arial" w:cs="Arial"/>
          <w:b/>
        </w:rPr>
        <w:tab/>
        <w:t xml:space="preserve"> </w:t>
      </w:r>
    </w:p>
    <w:p w14:paraId="2198A7B8" w14:textId="77777777" w:rsidR="00A71F9E" w:rsidRPr="00145EED" w:rsidRDefault="00A71F9E" w:rsidP="0048276E">
      <w:pPr>
        <w:ind w:left="2127" w:hanging="2127"/>
        <w:jc w:val="both"/>
        <w:rPr>
          <w:rFonts w:ascii="Arial" w:hAnsi="Arial" w:cs="Arial"/>
          <w:b/>
        </w:rPr>
      </w:pPr>
    </w:p>
    <w:p w14:paraId="363F6D5A" w14:textId="77777777" w:rsidR="00A71F9E" w:rsidRPr="00145EED" w:rsidRDefault="00A71F9E" w:rsidP="00A71F9E">
      <w:pPr>
        <w:widowControl w:val="0"/>
        <w:autoSpaceDE w:val="0"/>
        <w:autoSpaceDN w:val="0"/>
        <w:adjustRightInd w:val="0"/>
        <w:jc w:val="both"/>
        <w:rPr>
          <w:rFonts w:ascii="Arial" w:hAnsi="Arial" w:cs="Arial"/>
        </w:rPr>
      </w:pPr>
      <w:r w:rsidRPr="00145EED">
        <w:rPr>
          <w:rFonts w:ascii="Arial" w:hAnsi="Arial" w:cs="Arial"/>
        </w:rPr>
        <w:t>Así las cosas, resulta palmario que el demandante perdió los beneficios del régimen transicional y, por tanto, la prestación reclamada debía ser estudiada de conformidad con los requisitos de la Ley 100 de 1993, la cual, en su artículo 33, exige 60 años de edad y 1000 semanas de cotización en cualquier tiempo, incrementándose a 1050 en el 2005 y en 25 semanas a partir del 1º de enero de 2006 hasta llegar a las 1300 en el año 2015.</w:t>
      </w:r>
    </w:p>
    <w:p w14:paraId="7866F091" w14:textId="7ABDB7B5" w:rsidR="00A71F9E" w:rsidRPr="00145EED" w:rsidRDefault="00A71F9E" w:rsidP="0048276E">
      <w:pPr>
        <w:ind w:left="2127" w:hanging="2127"/>
        <w:jc w:val="both"/>
        <w:rPr>
          <w:rFonts w:ascii="Arial" w:hAnsi="Arial" w:cs="Arial"/>
          <w:b/>
        </w:rPr>
      </w:pPr>
      <w:r w:rsidRPr="00145EED">
        <w:rPr>
          <w:rFonts w:ascii="Arial" w:hAnsi="Arial" w:cs="Arial"/>
          <w:b/>
        </w:rPr>
        <w:t>(…)</w:t>
      </w:r>
    </w:p>
    <w:p w14:paraId="7241FC22" w14:textId="77777777" w:rsidR="00A71F9E" w:rsidRPr="00145EED" w:rsidRDefault="00A71F9E" w:rsidP="00A71F9E">
      <w:pPr>
        <w:widowControl w:val="0"/>
        <w:autoSpaceDE w:val="0"/>
        <w:autoSpaceDN w:val="0"/>
        <w:adjustRightInd w:val="0"/>
        <w:jc w:val="both"/>
        <w:rPr>
          <w:rFonts w:ascii="Arial" w:hAnsi="Arial" w:cs="Arial"/>
        </w:rPr>
      </w:pPr>
      <w:r w:rsidRPr="00145EED">
        <w:rPr>
          <w:rFonts w:ascii="Arial" w:hAnsi="Arial" w:cs="Arial"/>
        </w:rPr>
        <w:t xml:space="preserve">Establecido lo anterior, la Sala encuentra que el monto del </w:t>
      </w:r>
      <w:proofErr w:type="spellStart"/>
      <w:r w:rsidRPr="00145EED">
        <w:rPr>
          <w:rFonts w:ascii="Arial" w:hAnsi="Arial" w:cs="Arial"/>
        </w:rPr>
        <w:t>IBL</w:t>
      </w:r>
      <w:proofErr w:type="spellEnd"/>
      <w:r w:rsidRPr="00145EED">
        <w:rPr>
          <w:rFonts w:ascii="Arial" w:hAnsi="Arial" w:cs="Arial"/>
        </w:rPr>
        <w:t xml:space="preserve"> calculado en primer grado es correcto, pues revisada la liquidación obrante a folio 124 se percibe que ella se basó en los datos contenidos en la historia laboral que milita en el expediente (</w:t>
      </w:r>
      <w:proofErr w:type="spellStart"/>
      <w:r w:rsidRPr="00145EED">
        <w:rPr>
          <w:rFonts w:ascii="Arial" w:hAnsi="Arial" w:cs="Arial"/>
        </w:rPr>
        <w:t>fl</w:t>
      </w:r>
      <w:proofErr w:type="spellEnd"/>
      <w:r w:rsidRPr="00145EED">
        <w:rPr>
          <w:rFonts w:ascii="Arial" w:hAnsi="Arial" w:cs="Arial"/>
        </w:rPr>
        <w:t>. 77); de modo que tanto el valor de la mesada a la que tenía derecho el promotor del litigio para el año 2014, por $1.364.830, como el del retroactivo causado hasta el 31 de mayo de 2015, por $8.438.744, es correcto.</w:t>
      </w:r>
    </w:p>
    <w:p w14:paraId="68728FCC" w14:textId="77777777" w:rsidR="00A71F9E" w:rsidRPr="00145EED" w:rsidRDefault="00A71F9E" w:rsidP="00A71F9E">
      <w:pPr>
        <w:widowControl w:val="0"/>
        <w:autoSpaceDE w:val="0"/>
        <w:autoSpaceDN w:val="0"/>
        <w:adjustRightInd w:val="0"/>
        <w:ind w:firstLine="708"/>
        <w:jc w:val="both"/>
        <w:rPr>
          <w:rFonts w:ascii="Arial" w:hAnsi="Arial" w:cs="Arial"/>
        </w:rPr>
      </w:pPr>
    </w:p>
    <w:p w14:paraId="0E03713C" w14:textId="77777777" w:rsidR="00A71F9E" w:rsidRPr="00145EED" w:rsidRDefault="00A71F9E" w:rsidP="00A71F9E">
      <w:pPr>
        <w:jc w:val="both"/>
        <w:rPr>
          <w:rFonts w:ascii="Arial" w:eastAsia="Times New Roman" w:hAnsi="Arial" w:cs="Arial"/>
          <w:b/>
          <w:bCs/>
          <w:lang w:eastAsia="es-ES"/>
        </w:rPr>
      </w:pPr>
      <w:r w:rsidRPr="00145EED">
        <w:rPr>
          <w:rFonts w:ascii="Arial" w:hAnsi="Arial" w:cs="Arial"/>
        </w:rPr>
        <w:t xml:space="preserve">Por otra parte, en aras de la celeridad en el cumplimiento de la presente decisión, la Sala procedió a calcular la diferencia generada entre el 1º de junio de 2015 y el 31 de julio de 2018, encontrando que la misma asciende a $69.061 </w:t>
      </w:r>
      <w:r w:rsidRPr="00145EED">
        <w:rPr>
          <w:rFonts w:ascii="Arial" w:hAnsi="Arial" w:cs="Arial"/>
          <w:i/>
        </w:rPr>
        <w:t>–sin perjuicio de las que se causen con posterioridad y de los descuentos de ley-</w:t>
      </w:r>
      <w:r w:rsidRPr="00145EED">
        <w:rPr>
          <w:rFonts w:ascii="Arial" w:hAnsi="Arial" w:cs="Arial"/>
        </w:rPr>
        <w:t>, que sumada al retroactivo indicado previamente arroja un total de $8.507.804, suma cuya indexación al 31 de julio de 2018 equivale a $</w:t>
      </w:r>
      <w:r w:rsidRPr="00145EED">
        <w:rPr>
          <w:rFonts w:ascii="Arial" w:eastAsia="Times New Roman" w:hAnsi="Arial" w:cs="Arial"/>
          <w:bCs/>
          <w:lang w:eastAsia="es-ES"/>
        </w:rPr>
        <w:t>1.532.339, tal como se observa en la liquidación que se pone de presente a los asistentes y que hará parte del acta que se levante con ocasión de la presente diligencia.</w:t>
      </w:r>
    </w:p>
    <w:p w14:paraId="351BC265" w14:textId="77777777" w:rsidR="00A71F9E" w:rsidRPr="00145EED" w:rsidRDefault="00A71F9E" w:rsidP="00A71F9E">
      <w:pPr>
        <w:widowControl w:val="0"/>
        <w:autoSpaceDE w:val="0"/>
        <w:autoSpaceDN w:val="0"/>
        <w:adjustRightInd w:val="0"/>
        <w:ind w:firstLine="708"/>
        <w:jc w:val="both"/>
        <w:rPr>
          <w:rFonts w:ascii="Arial" w:hAnsi="Arial" w:cs="Arial"/>
        </w:rPr>
      </w:pPr>
      <w:r w:rsidRPr="00145EED">
        <w:rPr>
          <w:rFonts w:ascii="Arial" w:hAnsi="Arial" w:cs="Arial"/>
        </w:rPr>
        <w:t xml:space="preserve"> </w:t>
      </w:r>
    </w:p>
    <w:p w14:paraId="04FD6DFE" w14:textId="5D75DE1E" w:rsidR="00A71F9E" w:rsidRPr="00145EED" w:rsidRDefault="00A71F9E" w:rsidP="00A71F9E">
      <w:pPr>
        <w:widowControl w:val="0"/>
        <w:autoSpaceDE w:val="0"/>
        <w:autoSpaceDN w:val="0"/>
        <w:adjustRightInd w:val="0"/>
        <w:jc w:val="both"/>
        <w:rPr>
          <w:rFonts w:ascii="Arial" w:hAnsi="Arial" w:cs="Arial"/>
        </w:rPr>
      </w:pPr>
      <w:r w:rsidRPr="00145EED">
        <w:rPr>
          <w:rFonts w:ascii="Arial" w:hAnsi="Arial" w:cs="Arial"/>
        </w:rPr>
        <w:t>En consecuencia, se modificarán los ordinales 3º y 4º de la sentencia de primera instancia y se confirmará en todo lo demás. La condena en costas en esta instancia correrá a cargo de la parte actora y a favor de la entidad demandada en un ciento por ciento (100%).</w:t>
      </w:r>
    </w:p>
    <w:p w14:paraId="09715FD3" w14:textId="77777777" w:rsidR="00A71F9E" w:rsidRPr="00145EED" w:rsidRDefault="00A71F9E" w:rsidP="00A71F9E">
      <w:pPr>
        <w:pStyle w:val="Textoindependiente"/>
        <w:spacing w:after="0"/>
        <w:ind w:right="51"/>
        <w:jc w:val="both"/>
        <w:rPr>
          <w:rFonts w:ascii="Arial" w:hAnsi="Arial" w:cs="Arial"/>
          <w:sz w:val="22"/>
          <w:szCs w:val="22"/>
        </w:rPr>
      </w:pPr>
    </w:p>
    <w:p w14:paraId="09BB51E9" w14:textId="77777777" w:rsidR="00A71F9E" w:rsidRPr="00917782" w:rsidRDefault="00A71F9E" w:rsidP="0048276E">
      <w:pPr>
        <w:ind w:left="2127" w:hanging="2127"/>
        <w:jc w:val="both"/>
        <w:rPr>
          <w:rFonts w:ascii="Tahoma" w:hAnsi="Tahoma" w:cs="Tahoma"/>
          <w:b/>
          <w:sz w:val="20"/>
          <w:szCs w:val="18"/>
        </w:rPr>
      </w:pPr>
    </w:p>
    <w:p w14:paraId="726A5CA8" w14:textId="77777777" w:rsidR="0054196E" w:rsidRPr="00742962" w:rsidRDefault="0054196E" w:rsidP="0048276E">
      <w:pPr>
        <w:spacing w:line="240" w:lineRule="auto"/>
        <w:ind w:left="2127" w:hanging="2127"/>
        <w:jc w:val="both"/>
        <w:rPr>
          <w:rFonts w:ascii="Tahoma" w:hAnsi="Tahoma" w:cs="Tahoma"/>
          <w:sz w:val="24"/>
          <w:szCs w:val="24"/>
        </w:rPr>
      </w:pPr>
    </w:p>
    <w:p w14:paraId="755BBDE6" w14:textId="77777777" w:rsidR="00C476C4" w:rsidRPr="004165BC" w:rsidRDefault="00C476C4" w:rsidP="0048276E">
      <w:pPr>
        <w:spacing w:line="240" w:lineRule="auto"/>
        <w:jc w:val="center"/>
        <w:rPr>
          <w:rFonts w:ascii="Tahoma" w:hAnsi="Tahoma" w:cs="Tahoma"/>
          <w:b/>
          <w:sz w:val="24"/>
          <w:szCs w:val="24"/>
        </w:rPr>
      </w:pPr>
      <w:r w:rsidRPr="004165BC">
        <w:rPr>
          <w:rFonts w:ascii="Tahoma" w:hAnsi="Tahoma" w:cs="Tahoma"/>
          <w:b/>
          <w:sz w:val="24"/>
          <w:szCs w:val="24"/>
        </w:rPr>
        <w:t>TRIBUNAL SUPERIOR DEL DISTRITO JUDICIAL DE PEREIRA</w:t>
      </w:r>
    </w:p>
    <w:p w14:paraId="5B911B5C" w14:textId="1B5486BA" w:rsidR="00C476C4" w:rsidRPr="004165BC" w:rsidRDefault="00C476C4" w:rsidP="0048276E">
      <w:pPr>
        <w:spacing w:line="240" w:lineRule="auto"/>
        <w:jc w:val="center"/>
        <w:rPr>
          <w:rFonts w:ascii="Tahoma" w:hAnsi="Tahoma" w:cs="Tahoma"/>
          <w:b/>
          <w:sz w:val="24"/>
          <w:szCs w:val="24"/>
        </w:rPr>
      </w:pPr>
      <w:r w:rsidRPr="004165BC">
        <w:rPr>
          <w:rFonts w:ascii="Tahoma" w:hAnsi="Tahoma" w:cs="Tahoma"/>
          <w:b/>
          <w:sz w:val="24"/>
          <w:szCs w:val="24"/>
        </w:rPr>
        <w:t>SALA</w:t>
      </w:r>
      <w:r w:rsidR="00C573EB" w:rsidRPr="004165BC">
        <w:rPr>
          <w:rFonts w:ascii="Tahoma" w:hAnsi="Tahoma" w:cs="Tahoma"/>
          <w:b/>
          <w:sz w:val="24"/>
          <w:szCs w:val="24"/>
        </w:rPr>
        <w:t xml:space="preserve"> DE DECISIÓN</w:t>
      </w:r>
      <w:r w:rsidRPr="004165BC">
        <w:rPr>
          <w:rFonts w:ascii="Tahoma" w:hAnsi="Tahoma" w:cs="Tahoma"/>
          <w:b/>
          <w:sz w:val="24"/>
          <w:szCs w:val="24"/>
        </w:rPr>
        <w:t xml:space="preserve"> LABORAL</w:t>
      </w:r>
      <w:r w:rsidR="00C573EB" w:rsidRPr="004165BC">
        <w:rPr>
          <w:rFonts w:ascii="Tahoma" w:hAnsi="Tahoma" w:cs="Tahoma"/>
          <w:b/>
          <w:sz w:val="24"/>
          <w:szCs w:val="24"/>
        </w:rPr>
        <w:t xml:space="preserve"> No. 1</w:t>
      </w:r>
    </w:p>
    <w:p w14:paraId="68D38D88" w14:textId="77777777" w:rsidR="00C476C4" w:rsidRPr="004165BC" w:rsidRDefault="00C476C4" w:rsidP="0048276E">
      <w:pPr>
        <w:spacing w:line="240" w:lineRule="auto"/>
        <w:jc w:val="center"/>
        <w:rPr>
          <w:rFonts w:ascii="Tahoma" w:hAnsi="Tahoma" w:cs="Tahoma"/>
          <w:b/>
          <w:sz w:val="24"/>
          <w:szCs w:val="24"/>
        </w:rPr>
      </w:pPr>
    </w:p>
    <w:p w14:paraId="16E996F1" w14:textId="77777777" w:rsidR="00C476C4" w:rsidRPr="006A4897" w:rsidRDefault="00C476C4" w:rsidP="0048276E">
      <w:pPr>
        <w:spacing w:line="240" w:lineRule="auto"/>
        <w:jc w:val="center"/>
        <w:rPr>
          <w:rFonts w:ascii="Tahoma" w:hAnsi="Tahoma" w:cs="Tahoma"/>
        </w:rPr>
      </w:pPr>
      <w:r w:rsidRPr="006A4897">
        <w:rPr>
          <w:rFonts w:ascii="Tahoma" w:hAnsi="Tahoma" w:cs="Tahoma"/>
          <w:b/>
        </w:rPr>
        <w:t xml:space="preserve">Magistrada Ponente: </w:t>
      </w:r>
      <w:r w:rsidRPr="006A4897">
        <w:rPr>
          <w:rFonts w:ascii="Tahoma" w:hAnsi="Tahoma" w:cs="Tahoma"/>
        </w:rPr>
        <w:t>Ana Lucía Caicedo Calderón</w:t>
      </w:r>
    </w:p>
    <w:p w14:paraId="09EF77E5" w14:textId="77777777" w:rsidR="00C573EB" w:rsidRPr="006A4897" w:rsidRDefault="00C573EB" w:rsidP="0048276E">
      <w:pPr>
        <w:spacing w:line="240" w:lineRule="auto"/>
        <w:jc w:val="center"/>
        <w:rPr>
          <w:rFonts w:ascii="Tahoma" w:hAnsi="Tahoma" w:cs="Tahoma"/>
          <w:b/>
        </w:rPr>
      </w:pPr>
    </w:p>
    <w:p w14:paraId="1A504AAF" w14:textId="77777777" w:rsidR="00C476C4" w:rsidRPr="006A4897" w:rsidRDefault="00C476C4" w:rsidP="0048276E">
      <w:pPr>
        <w:spacing w:line="240" w:lineRule="auto"/>
        <w:jc w:val="center"/>
        <w:rPr>
          <w:rFonts w:ascii="Tahoma" w:hAnsi="Tahoma" w:cs="Tahoma"/>
        </w:rPr>
      </w:pPr>
      <w:r w:rsidRPr="006A4897">
        <w:rPr>
          <w:rFonts w:ascii="Tahoma" w:hAnsi="Tahoma" w:cs="Tahoma"/>
        </w:rPr>
        <w:t>Acta No. ____</w:t>
      </w:r>
    </w:p>
    <w:p w14:paraId="154DD8B8" w14:textId="1A18C58D" w:rsidR="00C476C4" w:rsidRPr="006A4897" w:rsidRDefault="005E7E44" w:rsidP="0048276E">
      <w:pPr>
        <w:spacing w:line="240" w:lineRule="auto"/>
        <w:jc w:val="center"/>
        <w:rPr>
          <w:rFonts w:ascii="Tahoma" w:hAnsi="Tahoma" w:cs="Tahoma"/>
        </w:rPr>
      </w:pPr>
      <w:r w:rsidRPr="006A4897">
        <w:rPr>
          <w:rFonts w:ascii="Tahoma" w:hAnsi="Tahoma" w:cs="Tahoma"/>
        </w:rPr>
        <w:t>(</w:t>
      </w:r>
      <w:r w:rsidR="00C4045F">
        <w:rPr>
          <w:rFonts w:ascii="Tahoma" w:hAnsi="Tahoma" w:cs="Tahoma"/>
        </w:rPr>
        <w:t>31</w:t>
      </w:r>
      <w:r w:rsidR="007F2D20" w:rsidRPr="006A4897">
        <w:rPr>
          <w:rFonts w:ascii="Tahoma" w:hAnsi="Tahoma" w:cs="Tahoma"/>
        </w:rPr>
        <w:t xml:space="preserve"> de agosto de 2018</w:t>
      </w:r>
      <w:r w:rsidR="00C476C4" w:rsidRPr="006A4897">
        <w:rPr>
          <w:rFonts w:ascii="Tahoma" w:hAnsi="Tahoma" w:cs="Tahoma"/>
        </w:rPr>
        <w:t>)</w:t>
      </w:r>
    </w:p>
    <w:p w14:paraId="667FC6B6" w14:textId="77777777" w:rsidR="00C476C4" w:rsidRPr="006A4897" w:rsidRDefault="00C476C4" w:rsidP="0048276E">
      <w:pPr>
        <w:spacing w:line="240" w:lineRule="auto"/>
        <w:jc w:val="center"/>
        <w:rPr>
          <w:rFonts w:ascii="Tahoma" w:hAnsi="Tahoma" w:cs="Tahoma"/>
        </w:rPr>
      </w:pPr>
    </w:p>
    <w:p w14:paraId="4EF712FA" w14:textId="77777777" w:rsidR="00C476C4" w:rsidRPr="006A4897" w:rsidRDefault="00C476C4" w:rsidP="0048276E">
      <w:pPr>
        <w:spacing w:line="240" w:lineRule="auto"/>
        <w:jc w:val="center"/>
        <w:rPr>
          <w:rFonts w:ascii="Tahoma" w:hAnsi="Tahoma" w:cs="Tahoma"/>
        </w:rPr>
      </w:pPr>
      <w:r w:rsidRPr="006A4897">
        <w:rPr>
          <w:rFonts w:ascii="Tahoma" w:hAnsi="Tahoma" w:cs="Tahoma"/>
        </w:rPr>
        <w:t>Sistema oral - Audiencia de juzgamiento</w:t>
      </w:r>
    </w:p>
    <w:p w14:paraId="779FD902" w14:textId="77777777" w:rsidR="00C476C4" w:rsidRPr="006A4897" w:rsidRDefault="00C476C4" w:rsidP="0048276E">
      <w:pPr>
        <w:jc w:val="center"/>
        <w:rPr>
          <w:rFonts w:ascii="Tahoma" w:hAnsi="Tahoma" w:cs="Tahoma"/>
          <w:b/>
        </w:rPr>
      </w:pPr>
      <w:r w:rsidRPr="006A4897">
        <w:rPr>
          <w:rFonts w:ascii="Tahoma" w:hAnsi="Tahoma" w:cs="Tahoma"/>
          <w:b/>
        </w:rPr>
        <w:tab/>
      </w:r>
    </w:p>
    <w:p w14:paraId="2844D88E" w14:textId="3A39A014" w:rsidR="005575DC" w:rsidRPr="006A4897" w:rsidRDefault="00934554" w:rsidP="0048276E">
      <w:pPr>
        <w:jc w:val="both"/>
        <w:rPr>
          <w:rFonts w:ascii="Tahoma" w:hAnsi="Tahoma" w:cs="Tahoma"/>
        </w:rPr>
      </w:pPr>
      <w:r w:rsidRPr="006A4897">
        <w:rPr>
          <w:rFonts w:ascii="Tahoma" w:hAnsi="Tahoma" w:cs="Tahoma"/>
        </w:rPr>
        <w:tab/>
        <w:t xml:space="preserve">Siendo las </w:t>
      </w:r>
      <w:r w:rsidR="00C4045F">
        <w:rPr>
          <w:rFonts w:ascii="Tahoma" w:hAnsi="Tahoma" w:cs="Tahoma"/>
        </w:rPr>
        <w:t>9</w:t>
      </w:r>
      <w:r w:rsidR="006A4897" w:rsidRPr="006A4897">
        <w:rPr>
          <w:rFonts w:ascii="Tahoma" w:hAnsi="Tahoma" w:cs="Tahoma"/>
        </w:rPr>
        <w:t>:</w:t>
      </w:r>
      <w:r w:rsidR="00C4045F">
        <w:rPr>
          <w:rFonts w:ascii="Tahoma" w:hAnsi="Tahoma" w:cs="Tahoma"/>
        </w:rPr>
        <w:t>00</w:t>
      </w:r>
      <w:r w:rsidR="00C573EB" w:rsidRPr="006A4897">
        <w:rPr>
          <w:rFonts w:ascii="Tahoma" w:hAnsi="Tahoma" w:cs="Tahoma"/>
        </w:rPr>
        <w:t xml:space="preserve"> a.m.</w:t>
      </w:r>
      <w:r w:rsidRPr="006A4897">
        <w:rPr>
          <w:rFonts w:ascii="Tahoma" w:hAnsi="Tahoma" w:cs="Tahoma"/>
        </w:rPr>
        <w:t xml:space="preserve"> de hoy, </w:t>
      </w:r>
      <w:r w:rsidR="00C4045F">
        <w:rPr>
          <w:rFonts w:ascii="Tahoma" w:hAnsi="Tahoma" w:cs="Tahoma"/>
        </w:rPr>
        <w:t>31</w:t>
      </w:r>
      <w:r w:rsidR="004D5775" w:rsidRPr="006A4897">
        <w:rPr>
          <w:rFonts w:ascii="Tahoma" w:hAnsi="Tahoma" w:cs="Tahoma"/>
        </w:rPr>
        <w:t xml:space="preserve"> de </w:t>
      </w:r>
      <w:r w:rsidR="007F2D20" w:rsidRPr="006A4897">
        <w:rPr>
          <w:rFonts w:ascii="Tahoma" w:hAnsi="Tahoma" w:cs="Tahoma"/>
        </w:rPr>
        <w:t>agosto</w:t>
      </w:r>
      <w:r w:rsidR="004D5775" w:rsidRPr="006A4897">
        <w:rPr>
          <w:rFonts w:ascii="Tahoma" w:hAnsi="Tahoma" w:cs="Tahoma"/>
        </w:rPr>
        <w:t xml:space="preserve"> de 201</w:t>
      </w:r>
      <w:r w:rsidR="007F2D20" w:rsidRPr="006A4897">
        <w:rPr>
          <w:rFonts w:ascii="Tahoma" w:hAnsi="Tahoma" w:cs="Tahoma"/>
        </w:rPr>
        <w:t>8</w:t>
      </w:r>
      <w:r w:rsidR="00C476C4" w:rsidRPr="006A4897">
        <w:rPr>
          <w:rFonts w:ascii="Tahoma" w:hAnsi="Tahoma" w:cs="Tahoma"/>
        </w:rPr>
        <w:t xml:space="preserve">, la Sala de Decisión Laboral del Tribunal Superior de Pereira se constituye en audiencia pública de juzgamiento en el proceso ordinario laboral instaurado por </w:t>
      </w:r>
      <w:r w:rsidR="00C4045F" w:rsidRPr="00C4045F">
        <w:rPr>
          <w:rFonts w:ascii="Tahoma" w:hAnsi="Tahoma" w:cs="Tahoma"/>
          <w:b/>
        </w:rPr>
        <w:t>H</w:t>
      </w:r>
      <w:r w:rsidR="00C4045F">
        <w:rPr>
          <w:rFonts w:ascii="Tahoma" w:hAnsi="Tahoma" w:cs="Tahoma"/>
          <w:b/>
        </w:rPr>
        <w:t>éctor Danilo Galvis Ocampo</w:t>
      </w:r>
      <w:r w:rsidR="006D08B6" w:rsidRPr="006A4897">
        <w:rPr>
          <w:rFonts w:ascii="Tahoma" w:hAnsi="Tahoma" w:cs="Tahoma"/>
        </w:rPr>
        <w:t xml:space="preserve"> </w:t>
      </w:r>
      <w:r w:rsidR="00C476C4" w:rsidRPr="006A4897">
        <w:rPr>
          <w:rFonts w:ascii="Tahoma" w:hAnsi="Tahoma" w:cs="Tahoma"/>
        </w:rPr>
        <w:t xml:space="preserve">en contra de </w:t>
      </w:r>
      <w:r w:rsidR="00C573EB" w:rsidRPr="006A4897">
        <w:rPr>
          <w:rFonts w:ascii="Tahoma" w:hAnsi="Tahoma" w:cs="Tahoma"/>
          <w:b/>
        </w:rPr>
        <w:t>Colpensiones</w:t>
      </w:r>
      <w:r w:rsidR="006352CD" w:rsidRPr="006A4897">
        <w:rPr>
          <w:rFonts w:ascii="Tahoma" w:hAnsi="Tahoma" w:cs="Tahoma"/>
        </w:rPr>
        <w:t>.</w:t>
      </w:r>
    </w:p>
    <w:p w14:paraId="42EB7225" w14:textId="77777777" w:rsidR="00C573EB" w:rsidRPr="006A4897" w:rsidRDefault="00C573EB" w:rsidP="0048276E">
      <w:pPr>
        <w:spacing w:line="240" w:lineRule="auto"/>
        <w:jc w:val="both"/>
        <w:rPr>
          <w:rFonts w:ascii="Tahoma" w:hAnsi="Tahoma" w:cs="Tahoma"/>
        </w:rPr>
      </w:pPr>
    </w:p>
    <w:p w14:paraId="4A5519E9" w14:textId="5D86C5D7" w:rsidR="00C476C4" w:rsidRPr="006A4897" w:rsidRDefault="00C476C4" w:rsidP="0048276E">
      <w:pPr>
        <w:ind w:firstLine="708"/>
        <w:jc w:val="both"/>
        <w:rPr>
          <w:rFonts w:ascii="Tahoma" w:hAnsi="Tahoma" w:cs="Tahoma"/>
        </w:rPr>
      </w:pPr>
      <w:r w:rsidRPr="006A4897">
        <w:rPr>
          <w:rFonts w:ascii="Tahoma" w:hAnsi="Tahoma" w:cs="Tahoma"/>
        </w:rPr>
        <w:t>Para el efecto, se verifica la asistencia de las partes a la presente diligencia: Por la parte demandante… Por la demandada…</w:t>
      </w:r>
    </w:p>
    <w:p w14:paraId="3DCFE6F9" w14:textId="77777777" w:rsidR="00C476C4" w:rsidRPr="006A4897" w:rsidRDefault="00C476C4" w:rsidP="0048276E">
      <w:pPr>
        <w:spacing w:line="240" w:lineRule="auto"/>
        <w:jc w:val="both"/>
        <w:rPr>
          <w:rFonts w:ascii="Tahoma" w:hAnsi="Tahoma" w:cs="Tahoma"/>
        </w:rPr>
      </w:pPr>
    </w:p>
    <w:p w14:paraId="6BDCA470" w14:textId="1949A31B" w:rsidR="00C476C4" w:rsidRPr="006A4897" w:rsidRDefault="009F2C17" w:rsidP="0048276E">
      <w:pPr>
        <w:jc w:val="center"/>
        <w:rPr>
          <w:rFonts w:ascii="Tahoma" w:hAnsi="Tahoma" w:cs="Tahoma"/>
          <w:b/>
        </w:rPr>
      </w:pPr>
      <w:r w:rsidRPr="006A4897">
        <w:rPr>
          <w:rFonts w:ascii="Tahoma" w:hAnsi="Tahoma" w:cs="Tahoma"/>
          <w:b/>
        </w:rPr>
        <w:t>Alegatos de conclusión</w:t>
      </w:r>
    </w:p>
    <w:p w14:paraId="0A9D4F8E" w14:textId="77777777" w:rsidR="00C476C4" w:rsidRPr="006A4897" w:rsidRDefault="00C476C4" w:rsidP="0048276E">
      <w:pPr>
        <w:spacing w:line="240" w:lineRule="auto"/>
        <w:jc w:val="center"/>
        <w:rPr>
          <w:rFonts w:ascii="Tahoma" w:hAnsi="Tahoma" w:cs="Tahoma"/>
          <w:b/>
        </w:rPr>
      </w:pPr>
    </w:p>
    <w:p w14:paraId="5001BF98" w14:textId="77777777" w:rsidR="00C476C4" w:rsidRPr="006A4897" w:rsidRDefault="00C476C4" w:rsidP="0048276E">
      <w:pPr>
        <w:jc w:val="both"/>
        <w:rPr>
          <w:rFonts w:ascii="Tahoma" w:hAnsi="Tahoma" w:cs="Tahoma"/>
        </w:rPr>
      </w:pPr>
      <w:r w:rsidRPr="006A4897">
        <w:rPr>
          <w:rFonts w:ascii="Tahoma" w:hAnsi="Tahoma" w:cs="Tahoma"/>
        </w:rPr>
        <w:tab/>
        <w:t>De conformidad con el artículo 82 del C.P.T y de la s.s., modificado por el artículo 13 de la Ley 1149 de 2007, se concede el uso de la palabra a las partes para que expongan sus alegatos de conclusión. Por la parte demandante… Por la parte demandada…</w:t>
      </w:r>
    </w:p>
    <w:p w14:paraId="6E200F38" w14:textId="77777777" w:rsidR="00C476C4" w:rsidRPr="006A4897" w:rsidRDefault="00C476C4" w:rsidP="0048276E">
      <w:pPr>
        <w:spacing w:line="240" w:lineRule="auto"/>
        <w:jc w:val="both"/>
        <w:rPr>
          <w:rFonts w:ascii="Tahoma" w:hAnsi="Tahoma" w:cs="Tahoma"/>
        </w:rPr>
      </w:pPr>
    </w:p>
    <w:p w14:paraId="26012557" w14:textId="3A150533" w:rsidR="007F2D20" w:rsidRPr="006A4897" w:rsidRDefault="007F2D20" w:rsidP="0048276E">
      <w:pPr>
        <w:widowControl w:val="0"/>
        <w:autoSpaceDE w:val="0"/>
        <w:autoSpaceDN w:val="0"/>
        <w:adjustRightInd w:val="0"/>
        <w:jc w:val="center"/>
        <w:rPr>
          <w:rFonts w:ascii="Tahoma" w:eastAsia="Times New Roman" w:hAnsi="Tahoma" w:cs="Tahoma"/>
          <w:b/>
          <w:lang w:eastAsia="es-ES"/>
        </w:rPr>
      </w:pPr>
      <w:r w:rsidRPr="006A4897">
        <w:rPr>
          <w:rFonts w:ascii="Tahoma" w:eastAsia="Times New Roman" w:hAnsi="Tahoma" w:cs="Tahoma"/>
          <w:b/>
          <w:lang w:eastAsia="es-ES"/>
        </w:rPr>
        <w:t>Sentencia</w:t>
      </w:r>
    </w:p>
    <w:p w14:paraId="15023221" w14:textId="77777777" w:rsidR="007F2D20" w:rsidRPr="006A4897" w:rsidRDefault="007F2D20" w:rsidP="0048276E">
      <w:pPr>
        <w:widowControl w:val="0"/>
        <w:autoSpaceDE w:val="0"/>
        <w:autoSpaceDN w:val="0"/>
        <w:adjustRightInd w:val="0"/>
        <w:spacing w:line="240" w:lineRule="auto"/>
        <w:jc w:val="center"/>
        <w:rPr>
          <w:rFonts w:ascii="Tahoma" w:eastAsia="Times New Roman" w:hAnsi="Tahoma" w:cs="Tahoma"/>
          <w:b/>
          <w:lang w:eastAsia="es-ES"/>
        </w:rPr>
      </w:pPr>
    </w:p>
    <w:p w14:paraId="3A54B2B7" w14:textId="734B7251" w:rsidR="00C4045F" w:rsidRDefault="007F2D20" w:rsidP="0048276E">
      <w:pPr>
        <w:widowControl w:val="0"/>
        <w:autoSpaceDE w:val="0"/>
        <w:autoSpaceDN w:val="0"/>
        <w:adjustRightInd w:val="0"/>
        <w:ind w:firstLine="708"/>
        <w:jc w:val="both"/>
        <w:rPr>
          <w:rFonts w:ascii="Tahoma" w:eastAsia="Times New Roman" w:hAnsi="Tahoma" w:cs="Tahoma"/>
          <w:lang w:eastAsia="es-ES"/>
        </w:rPr>
      </w:pPr>
      <w:r w:rsidRPr="006A4897">
        <w:rPr>
          <w:rFonts w:ascii="Tahoma" w:eastAsia="Times New Roman" w:hAnsi="Tahoma" w:cs="Tahoma"/>
          <w:lang w:eastAsia="es-ES"/>
        </w:rPr>
        <w:t xml:space="preserve">Como quiera que los argumentos expuestos en las alegaciones fueron tenidos en cuenta en la discusión del proyecto, procede la Sala a </w:t>
      </w:r>
      <w:r w:rsidR="00C4045F">
        <w:rPr>
          <w:rFonts w:ascii="Tahoma" w:eastAsia="Times New Roman" w:hAnsi="Tahoma" w:cs="Tahoma"/>
          <w:lang w:eastAsia="es-ES"/>
        </w:rPr>
        <w:t xml:space="preserve">resolver el recurso de apelación propuesto por la parte demandante en contra de la </w:t>
      </w:r>
      <w:r w:rsidR="00C4045F" w:rsidRPr="006A4897">
        <w:rPr>
          <w:rFonts w:ascii="Tahoma" w:eastAsia="Times New Roman" w:hAnsi="Tahoma" w:cs="Tahoma"/>
          <w:lang w:eastAsia="es-ES"/>
        </w:rPr>
        <w:t xml:space="preserve">sentencia emitida por el Juzgado </w:t>
      </w:r>
      <w:r w:rsidR="00C4045F">
        <w:rPr>
          <w:rFonts w:ascii="Tahoma" w:eastAsia="Times New Roman" w:hAnsi="Tahoma" w:cs="Tahoma"/>
          <w:lang w:eastAsia="es-ES"/>
        </w:rPr>
        <w:t>Segundo</w:t>
      </w:r>
      <w:r w:rsidR="00C4045F" w:rsidRPr="006A4897">
        <w:rPr>
          <w:rFonts w:ascii="Tahoma" w:eastAsia="Times New Roman" w:hAnsi="Tahoma" w:cs="Tahoma"/>
          <w:lang w:eastAsia="es-ES"/>
        </w:rPr>
        <w:t xml:space="preserve"> Laboral del Circuito de Pereira el </w:t>
      </w:r>
      <w:r w:rsidR="00F429E7">
        <w:rPr>
          <w:rFonts w:ascii="Tahoma" w:eastAsia="Times New Roman" w:hAnsi="Tahoma" w:cs="Tahoma"/>
          <w:lang w:eastAsia="es-ES"/>
        </w:rPr>
        <w:t xml:space="preserve">9 de noviembre de 2017; asimismo, se revisará dicho fallo en sede de consulta por haber sido </w:t>
      </w:r>
      <w:r w:rsidR="00C4045F">
        <w:rPr>
          <w:rFonts w:ascii="Tahoma" w:eastAsia="Times New Roman" w:hAnsi="Tahoma" w:cs="Tahoma"/>
          <w:lang w:eastAsia="es-ES"/>
        </w:rPr>
        <w:t>desfavorable para los intereses de</w:t>
      </w:r>
      <w:r w:rsidR="0042658D">
        <w:rPr>
          <w:rFonts w:ascii="Tahoma" w:eastAsia="Times New Roman" w:hAnsi="Tahoma" w:cs="Tahoma"/>
          <w:lang w:eastAsia="es-ES"/>
        </w:rPr>
        <w:t xml:space="preserve"> Colpensiones</w:t>
      </w:r>
      <w:r w:rsidR="00C4045F">
        <w:rPr>
          <w:rFonts w:ascii="Tahoma" w:eastAsia="Times New Roman" w:hAnsi="Tahoma" w:cs="Tahoma"/>
          <w:lang w:eastAsia="es-ES"/>
        </w:rPr>
        <w:t>.</w:t>
      </w:r>
    </w:p>
    <w:p w14:paraId="560C6CD8" w14:textId="77777777" w:rsidR="00F20D10" w:rsidRPr="006A4897" w:rsidRDefault="00F20D10" w:rsidP="0048276E">
      <w:pPr>
        <w:spacing w:line="240" w:lineRule="auto"/>
        <w:jc w:val="center"/>
        <w:rPr>
          <w:rFonts w:ascii="Tahoma" w:hAnsi="Tahoma" w:cs="Tahoma"/>
          <w:b/>
        </w:rPr>
      </w:pPr>
    </w:p>
    <w:p w14:paraId="0C03BBF9" w14:textId="06B73AD3" w:rsidR="00C476C4" w:rsidRPr="006A4897" w:rsidRDefault="009F2C17" w:rsidP="0048276E">
      <w:pPr>
        <w:jc w:val="center"/>
        <w:rPr>
          <w:rFonts w:ascii="Tahoma" w:hAnsi="Tahoma" w:cs="Tahoma"/>
          <w:b/>
        </w:rPr>
      </w:pPr>
      <w:r w:rsidRPr="006A4897">
        <w:rPr>
          <w:rFonts w:ascii="Tahoma" w:hAnsi="Tahoma" w:cs="Tahoma"/>
          <w:b/>
        </w:rPr>
        <w:t>Problema jurídico</w:t>
      </w:r>
    </w:p>
    <w:p w14:paraId="064EFFC0" w14:textId="77777777" w:rsidR="00C476C4" w:rsidRPr="006A4897" w:rsidRDefault="00C476C4" w:rsidP="0048276E">
      <w:pPr>
        <w:spacing w:line="240" w:lineRule="auto"/>
        <w:jc w:val="center"/>
        <w:rPr>
          <w:rFonts w:ascii="Tahoma" w:hAnsi="Tahoma" w:cs="Tahoma"/>
          <w:b/>
        </w:rPr>
      </w:pPr>
    </w:p>
    <w:p w14:paraId="21DCA6E0" w14:textId="5CB09FA0" w:rsidR="0054196E" w:rsidRDefault="00C476C4" w:rsidP="0048276E">
      <w:pPr>
        <w:jc w:val="both"/>
        <w:rPr>
          <w:rFonts w:ascii="Tahoma" w:hAnsi="Tahoma" w:cs="Tahoma"/>
        </w:rPr>
      </w:pPr>
      <w:r w:rsidRPr="006A4897">
        <w:rPr>
          <w:rFonts w:ascii="Tahoma" w:hAnsi="Tahoma" w:cs="Tahoma"/>
        </w:rPr>
        <w:tab/>
      </w:r>
      <w:r w:rsidR="00F1491C" w:rsidRPr="006102BF">
        <w:rPr>
          <w:rFonts w:ascii="Tahoma" w:hAnsi="Tahoma" w:cs="Tahoma"/>
        </w:rPr>
        <w:t>De acuerdo a los argumentos expuestos en la sentencia de primera instancia le corresponde a la Sala determinar</w:t>
      </w:r>
      <w:r w:rsidR="00F1491C" w:rsidRPr="00EA3EFB">
        <w:rPr>
          <w:rFonts w:ascii="Tahoma" w:hAnsi="Tahoma" w:cs="Tahoma"/>
        </w:rPr>
        <w:t xml:space="preserve"> </w:t>
      </w:r>
      <w:r w:rsidR="00F1491C">
        <w:rPr>
          <w:rFonts w:ascii="Tahoma" w:hAnsi="Tahoma" w:cs="Tahoma"/>
        </w:rPr>
        <w:t xml:space="preserve">si el señor Héctor Danilo Galvis conservó los beneficios del régimen de transición </w:t>
      </w:r>
      <w:r w:rsidR="00F1491C" w:rsidRPr="00655DC4">
        <w:rPr>
          <w:rFonts w:ascii="Tahoma" w:hAnsi="Tahoma" w:cs="Tahoma"/>
        </w:rPr>
        <w:t>consagrado en el artículo 36 de la Ley 100 de 1993</w:t>
      </w:r>
      <w:r w:rsidR="00F1491C">
        <w:rPr>
          <w:rFonts w:ascii="Tahoma" w:hAnsi="Tahoma" w:cs="Tahoma"/>
        </w:rPr>
        <w:t>, al retornar al régimen de prima media del RAIS; en caso negativo, si la liquidación del retroactivo efectuada en primer grado es ajustada a derecho.</w:t>
      </w:r>
    </w:p>
    <w:p w14:paraId="01F7305A" w14:textId="77777777" w:rsidR="00F1491C" w:rsidRPr="006A4897" w:rsidRDefault="00F1491C" w:rsidP="0048276E">
      <w:pPr>
        <w:jc w:val="both"/>
        <w:rPr>
          <w:rFonts w:ascii="Tahoma" w:hAnsi="Tahoma" w:cs="Tahoma"/>
          <w:b/>
        </w:rPr>
      </w:pPr>
    </w:p>
    <w:p w14:paraId="589B1144" w14:textId="52004792" w:rsidR="00A961A8" w:rsidRPr="006A4897" w:rsidRDefault="009F2C17" w:rsidP="0048276E">
      <w:pPr>
        <w:pStyle w:val="Prrafodelista"/>
        <w:numPr>
          <w:ilvl w:val="0"/>
          <w:numId w:val="1"/>
        </w:numPr>
        <w:tabs>
          <w:tab w:val="left" w:pos="284"/>
        </w:tabs>
        <w:ind w:left="0" w:firstLine="0"/>
        <w:jc w:val="center"/>
        <w:rPr>
          <w:rFonts w:ascii="Tahoma" w:hAnsi="Tahoma" w:cs="Tahoma"/>
          <w:b/>
          <w:lang w:val="es-CO"/>
        </w:rPr>
      </w:pPr>
      <w:r w:rsidRPr="006A4897">
        <w:rPr>
          <w:rFonts w:ascii="Tahoma" w:hAnsi="Tahoma" w:cs="Tahoma"/>
          <w:b/>
          <w:lang w:val="es-CO"/>
        </w:rPr>
        <w:t>Antecedentes</w:t>
      </w:r>
    </w:p>
    <w:p w14:paraId="4FF24BFF" w14:textId="77777777" w:rsidR="00A961A8" w:rsidRPr="006A4897" w:rsidRDefault="00A961A8" w:rsidP="0048276E">
      <w:pPr>
        <w:spacing w:line="240" w:lineRule="auto"/>
        <w:jc w:val="center"/>
        <w:rPr>
          <w:rFonts w:ascii="Tahoma" w:hAnsi="Tahoma" w:cs="Tahoma"/>
          <w:lang w:val="es-CO"/>
        </w:rPr>
      </w:pPr>
    </w:p>
    <w:p w14:paraId="508AF722" w14:textId="1BE528EC" w:rsidR="00397784" w:rsidRDefault="00F86B4D" w:rsidP="0048276E">
      <w:pPr>
        <w:jc w:val="both"/>
        <w:rPr>
          <w:rFonts w:ascii="Tahoma" w:hAnsi="Tahoma" w:cs="Tahoma"/>
          <w:lang w:val="es-ES_tradnl"/>
        </w:rPr>
      </w:pPr>
      <w:r w:rsidRPr="006A4897">
        <w:rPr>
          <w:rFonts w:ascii="Tahoma" w:hAnsi="Tahoma" w:cs="Tahoma"/>
          <w:lang w:val="es-CO"/>
        </w:rPr>
        <w:tab/>
      </w:r>
      <w:r w:rsidR="00F1491C" w:rsidRPr="006A4897">
        <w:rPr>
          <w:rFonts w:ascii="Tahoma" w:hAnsi="Tahoma" w:cs="Tahoma"/>
          <w:lang w:val="es-CO"/>
        </w:rPr>
        <w:t xml:space="preserve">Solicita </w:t>
      </w:r>
      <w:r w:rsidR="00F1491C">
        <w:rPr>
          <w:rFonts w:ascii="Tahoma" w:hAnsi="Tahoma" w:cs="Tahoma"/>
          <w:lang w:val="es-CO"/>
        </w:rPr>
        <w:t xml:space="preserve">el señor </w:t>
      </w:r>
      <w:r w:rsidR="00397784">
        <w:rPr>
          <w:rFonts w:ascii="Tahoma" w:hAnsi="Tahoma" w:cs="Tahoma"/>
          <w:lang w:val="es-CO"/>
        </w:rPr>
        <w:t>Galvis Ocampo que</w:t>
      </w:r>
      <w:r w:rsidR="00573CE2" w:rsidRPr="006A4897">
        <w:rPr>
          <w:rFonts w:ascii="Tahoma" w:hAnsi="Tahoma" w:cs="Tahoma"/>
          <w:lang w:val="es-CO"/>
        </w:rPr>
        <w:t xml:space="preserve"> </w:t>
      </w:r>
      <w:r w:rsidR="00EB0F66" w:rsidRPr="006A4897">
        <w:rPr>
          <w:rFonts w:ascii="Tahoma" w:hAnsi="Tahoma" w:cs="Tahoma"/>
          <w:lang w:val="es-CO"/>
        </w:rPr>
        <w:t xml:space="preserve">se </w:t>
      </w:r>
      <w:r w:rsidR="00EB0F66" w:rsidRPr="006A4897">
        <w:rPr>
          <w:rFonts w:ascii="Tahoma" w:hAnsi="Tahoma" w:cs="Tahoma"/>
          <w:lang w:val="es-ES_tradnl"/>
        </w:rPr>
        <w:t>condene a Colpensiones</w:t>
      </w:r>
      <w:r w:rsidR="00397784">
        <w:rPr>
          <w:rFonts w:ascii="Tahoma" w:hAnsi="Tahoma" w:cs="Tahoma"/>
          <w:lang w:val="es-ES_tradnl"/>
        </w:rPr>
        <w:t xml:space="preserve">, previa declaración del derecho, a que le </w:t>
      </w:r>
      <w:proofErr w:type="spellStart"/>
      <w:r w:rsidR="00397784">
        <w:rPr>
          <w:rFonts w:ascii="Tahoma" w:hAnsi="Tahoma" w:cs="Tahoma"/>
          <w:lang w:val="es-ES_tradnl"/>
        </w:rPr>
        <w:t>reliquide</w:t>
      </w:r>
      <w:proofErr w:type="spellEnd"/>
      <w:r w:rsidR="00397784">
        <w:rPr>
          <w:rFonts w:ascii="Tahoma" w:hAnsi="Tahoma" w:cs="Tahoma"/>
          <w:lang w:val="es-ES_tradnl"/>
        </w:rPr>
        <w:t xml:space="preserve"> la pensión </w:t>
      </w:r>
      <w:r w:rsidR="00FB35A6">
        <w:rPr>
          <w:rFonts w:ascii="Tahoma" w:hAnsi="Tahoma" w:cs="Tahoma"/>
          <w:lang w:val="es-ES_tradnl"/>
        </w:rPr>
        <w:t xml:space="preserve"> de vejez </w:t>
      </w:r>
      <w:r w:rsidR="00992D72">
        <w:rPr>
          <w:rFonts w:ascii="Tahoma" w:hAnsi="Tahoma" w:cs="Tahoma"/>
          <w:lang w:val="es-ES_tradnl"/>
        </w:rPr>
        <w:t xml:space="preserve">con base en el </w:t>
      </w:r>
      <w:r w:rsidR="00240160">
        <w:rPr>
          <w:rFonts w:ascii="Tahoma" w:hAnsi="Tahoma" w:cs="Tahoma"/>
          <w:lang w:val="es-ES_tradnl"/>
        </w:rPr>
        <w:t xml:space="preserve">régimen de transición y el </w:t>
      </w:r>
      <w:r w:rsidR="00992D72">
        <w:rPr>
          <w:rFonts w:ascii="Tahoma" w:hAnsi="Tahoma" w:cs="Tahoma"/>
          <w:lang w:val="es-ES_tradnl"/>
        </w:rPr>
        <w:t>Decreto 758 de 1990</w:t>
      </w:r>
      <w:r w:rsidR="00FB35A6">
        <w:rPr>
          <w:rFonts w:ascii="Tahoma" w:hAnsi="Tahoma" w:cs="Tahoma"/>
          <w:lang w:val="es-ES_tradnl"/>
        </w:rPr>
        <w:t>;</w:t>
      </w:r>
      <w:r w:rsidR="00240160">
        <w:rPr>
          <w:rFonts w:ascii="Tahoma" w:hAnsi="Tahoma" w:cs="Tahoma"/>
          <w:lang w:val="es-ES_tradnl"/>
        </w:rPr>
        <w:t xml:space="preserve"> cancelándole </w:t>
      </w:r>
      <w:r w:rsidR="00397784">
        <w:rPr>
          <w:rFonts w:ascii="Tahoma" w:hAnsi="Tahoma" w:cs="Tahoma"/>
          <w:lang w:val="es-ES_tradnl"/>
        </w:rPr>
        <w:t xml:space="preserve">el retroactivo </w:t>
      </w:r>
      <w:r w:rsidR="00240160">
        <w:rPr>
          <w:rFonts w:ascii="Tahoma" w:hAnsi="Tahoma" w:cs="Tahoma"/>
          <w:lang w:val="es-ES_tradnl"/>
        </w:rPr>
        <w:t xml:space="preserve">pensional </w:t>
      </w:r>
      <w:r w:rsidR="00397784">
        <w:rPr>
          <w:rFonts w:ascii="Tahoma" w:hAnsi="Tahoma" w:cs="Tahoma"/>
          <w:lang w:val="es-ES_tradnl"/>
        </w:rPr>
        <w:t>desde 1º de diciembre de 2014, debidamente indexado</w:t>
      </w:r>
      <w:r w:rsidR="0043787B">
        <w:rPr>
          <w:rFonts w:ascii="Tahoma" w:hAnsi="Tahoma" w:cs="Tahoma"/>
          <w:lang w:val="es-ES_tradnl"/>
        </w:rPr>
        <w:t xml:space="preserve">, más lo que resulte probado en virtud de las facultades extra y ultra </w:t>
      </w:r>
      <w:proofErr w:type="spellStart"/>
      <w:r w:rsidR="0043787B">
        <w:rPr>
          <w:rFonts w:ascii="Tahoma" w:hAnsi="Tahoma" w:cs="Tahoma"/>
          <w:lang w:val="es-ES_tradnl"/>
        </w:rPr>
        <w:t>petita</w:t>
      </w:r>
      <w:proofErr w:type="spellEnd"/>
      <w:r w:rsidR="0043787B">
        <w:rPr>
          <w:rFonts w:ascii="Tahoma" w:hAnsi="Tahoma" w:cs="Tahoma"/>
          <w:lang w:val="es-ES_tradnl"/>
        </w:rPr>
        <w:t>.</w:t>
      </w:r>
      <w:r w:rsidR="002454F4">
        <w:rPr>
          <w:rFonts w:ascii="Tahoma" w:hAnsi="Tahoma" w:cs="Tahoma"/>
          <w:lang w:val="es-ES_tradnl"/>
        </w:rPr>
        <w:t xml:space="preserve"> </w:t>
      </w:r>
    </w:p>
    <w:p w14:paraId="3BA543D3" w14:textId="77777777" w:rsidR="00397784" w:rsidRDefault="00397784" w:rsidP="0048276E">
      <w:pPr>
        <w:jc w:val="both"/>
        <w:rPr>
          <w:rFonts w:ascii="Tahoma" w:hAnsi="Tahoma" w:cs="Tahoma"/>
          <w:lang w:val="es-ES_tradnl"/>
        </w:rPr>
      </w:pPr>
    </w:p>
    <w:p w14:paraId="1E42AFF9" w14:textId="5ED3CDEC" w:rsidR="0043787B" w:rsidRDefault="00C3756E" w:rsidP="0048276E">
      <w:pPr>
        <w:jc w:val="both"/>
        <w:rPr>
          <w:rFonts w:ascii="Tahoma" w:hAnsi="Tahoma" w:cs="Tahoma"/>
          <w:lang w:val="es-CO"/>
        </w:rPr>
      </w:pPr>
      <w:r w:rsidRPr="006A4897">
        <w:rPr>
          <w:rFonts w:ascii="Tahoma" w:hAnsi="Tahoma" w:cs="Tahoma"/>
          <w:lang w:val="es-CO"/>
        </w:rPr>
        <w:tab/>
      </w:r>
      <w:r w:rsidR="00D9222A" w:rsidRPr="006A4897">
        <w:rPr>
          <w:rFonts w:ascii="Tahoma" w:hAnsi="Tahoma" w:cs="Tahoma"/>
          <w:lang w:val="es-CO"/>
        </w:rPr>
        <w:t>P</w:t>
      </w:r>
      <w:r w:rsidR="00A21977" w:rsidRPr="006A4897">
        <w:rPr>
          <w:rFonts w:ascii="Tahoma" w:hAnsi="Tahoma" w:cs="Tahoma"/>
          <w:lang w:val="es-CO"/>
        </w:rPr>
        <w:t xml:space="preserve">ara </w:t>
      </w:r>
      <w:r w:rsidR="00437A51" w:rsidRPr="006A4897">
        <w:rPr>
          <w:rFonts w:ascii="Tahoma" w:hAnsi="Tahoma" w:cs="Tahoma"/>
          <w:lang w:val="es-CO"/>
        </w:rPr>
        <w:t xml:space="preserve">fundar dichas pretensiones </w:t>
      </w:r>
      <w:r w:rsidR="00A21977" w:rsidRPr="006A4897">
        <w:rPr>
          <w:rFonts w:ascii="Tahoma" w:hAnsi="Tahoma" w:cs="Tahoma"/>
          <w:lang w:val="es-CO"/>
        </w:rPr>
        <w:t>manifiesta</w:t>
      </w:r>
      <w:r w:rsidR="00D9222A" w:rsidRPr="006A4897">
        <w:rPr>
          <w:rFonts w:ascii="Tahoma" w:hAnsi="Tahoma" w:cs="Tahoma"/>
          <w:lang w:val="es-CO"/>
        </w:rPr>
        <w:t xml:space="preserve"> que </w:t>
      </w:r>
      <w:r w:rsidR="0043787B">
        <w:rPr>
          <w:rFonts w:ascii="Tahoma" w:hAnsi="Tahoma" w:cs="Tahoma"/>
          <w:lang w:val="es-CO"/>
        </w:rPr>
        <w:t>nació el 15 de enero de 1953 y se afilió al sistema de pensiones</w:t>
      </w:r>
      <w:r w:rsidR="008F575D" w:rsidRPr="008F575D">
        <w:rPr>
          <w:rFonts w:ascii="Tahoma" w:hAnsi="Tahoma" w:cs="Tahoma"/>
          <w:lang w:val="es-CO"/>
        </w:rPr>
        <w:t xml:space="preserve"> </w:t>
      </w:r>
      <w:r w:rsidR="008F575D">
        <w:rPr>
          <w:rFonts w:ascii="Tahoma" w:hAnsi="Tahoma" w:cs="Tahoma"/>
          <w:lang w:val="es-CO"/>
        </w:rPr>
        <w:t>el 15 de mayo de 1975</w:t>
      </w:r>
      <w:r w:rsidR="0043787B">
        <w:rPr>
          <w:rFonts w:ascii="Tahoma" w:hAnsi="Tahoma" w:cs="Tahoma"/>
          <w:lang w:val="es-CO"/>
        </w:rPr>
        <w:t>, a través del Ministerio de Defensa</w:t>
      </w:r>
      <w:r w:rsidR="00FB35A6">
        <w:rPr>
          <w:rFonts w:ascii="Tahoma" w:hAnsi="Tahoma" w:cs="Tahoma"/>
          <w:lang w:val="es-CO"/>
        </w:rPr>
        <w:t>,</w:t>
      </w:r>
      <w:r w:rsidR="008F575D">
        <w:rPr>
          <w:rFonts w:ascii="Tahoma" w:hAnsi="Tahoma" w:cs="Tahoma"/>
          <w:lang w:val="es-CO"/>
        </w:rPr>
        <w:t xml:space="preserve"> realizando cotizaciones en el I.S.S. desde el 19 de junio de 1978.  </w:t>
      </w:r>
    </w:p>
    <w:p w14:paraId="7B34C33F" w14:textId="77777777" w:rsidR="008F575D" w:rsidRDefault="008F575D" w:rsidP="0048276E">
      <w:pPr>
        <w:jc w:val="both"/>
        <w:rPr>
          <w:rFonts w:ascii="Tahoma" w:hAnsi="Tahoma" w:cs="Tahoma"/>
          <w:lang w:val="es-CO"/>
        </w:rPr>
      </w:pPr>
    </w:p>
    <w:p w14:paraId="731D6BA3" w14:textId="77777777" w:rsidR="006241D2" w:rsidRDefault="008F575D" w:rsidP="0048276E">
      <w:pPr>
        <w:jc w:val="both"/>
        <w:rPr>
          <w:rFonts w:ascii="Tahoma" w:hAnsi="Tahoma" w:cs="Tahoma"/>
          <w:lang w:val="es-CO"/>
        </w:rPr>
      </w:pPr>
      <w:r>
        <w:rPr>
          <w:rFonts w:ascii="Tahoma" w:hAnsi="Tahoma" w:cs="Tahoma"/>
          <w:lang w:val="es-CO"/>
        </w:rPr>
        <w:tab/>
        <w:t xml:space="preserve">Refiere que se </w:t>
      </w:r>
      <w:r w:rsidR="004776EE">
        <w:rPr>
          <w:rFonts w:ascii="Tahoma" w:hAnsi="Tahoma" w:cs="Tahoma"/>
          <w:lang w:val="es-CO"/>
        </w:rPr>
        <w:t xml:space="preserve">cambió </w:t>
      </w:r>
      <w:r>
        <w:rPr>
          <w:rFonts w:ascii="Tahoma" w:hAnsi="Tahoma" w:cs="Tahoma"/>
          <w:lang w:val="es-CO"/>
        </w:rPr>
        <w:t>al régimen de ahorro individual a partir de agosto de 2001</w:t>
      </w:r>
      <w:r w:rsidR="004776EE">
        <w:rPr>
          <w:rFonts w:ascii="Tahoma" w:hAnsi="Tahoma" w:cs="Tahoma"/>
          <w:lang w:val="es-CO"/>
        </w:rPr>
        <w:t>; que en junio de 2008 se trasladó nuevamente al régimen de prima media</w:t>
      </w:r>
      <w:r w:rsidR="006241D2">
        <w:rPr>
          <w:rFonts w:ascii="Tahoma" w:hAnsi="Tahoma" w:cs="Tahoma"/>
          <w:lang w:val="es-CO"/>
        </w:rPr>
        <w:t xml:space="preserve"> y que a la entrada en vigencia del Acto Legislativo 01 de 2005 contaba con 1007,85 semanas cotizadas</w:t>
      </w:r>
      <w:r w:rsidR="004776EE">
        <w:rPr>
          <w:rFonts w:ascii="Tahoma" w:hAnsi="Tahoma" w:cs="Tahoma"/>
          <w:lang w:val="es-CO"/>
        </w:rPr>
        <w:t>.</w:t>
      </w:r>
    </w:p>
    <w:p w14:paraId="70808A24" w14:textId="77777777" w:rsidR="006241D2" w:rsidRDefault="006241D2" w:rsidP="0048276E">
      <w:pPr>
        <w:jc w:val="both"/>
        <w:rPr>
          <w:rFonts w:ascii="Tahoma" w:hAnsi="Tahoma" w:cs="Tahoma"/>
          <w:lang w:val="es-CO"/>
        </w:rPr>
      </w:pPr>
    </w:p>
    <w:p w14:paraId="0E408184" w14:textId="68FFEE60" w:rsidR="006241D2" w:rsidRDefault="006241D2" w:rsidP="0048276E">
      <w:pPr>
        <w:jc w:val="both"/>
        <w:rPr>
          <w:rFonts w:ascii="Tahoma" w:hAnsi="Tahoma" w:cs="Tahoma"/>
          <w:lang w:val="es-CO"/>
        </w:rPr>
      </w:pPr>
      <w:r>
        <w:rPr>
          <w:rFonts w:ascii="Tahoma" w:hAnsi="Tahoma" w:cs="Tahoma"/>
          <w:lang w:val="es-CO"/>
        </w:rPr>
        <w:tab/>
        <w:t>Agrega que Colpensiones le reconoció la pensión de vejez a través de la Resolución GNR 147149 del 19 de mayo de 2015, en cuantía de $1.312.134 y a partir del 1º de junio de 2015</w:t>
      </w:r>
      <w:r w:rsidR="000D5302">
        <w:rPr>
          <w:rFonts w:ascii="Tahoma" w:hAnsi="Tahoma" w:cs="Tahoma"/>
          <w:lang w:val="es-CO"/>
        </w:rPr>
        <w:t>; que interpuso recurso de reposición y en subsidio el de apelación en contra de dicho acto con el fin de que se le reconociera la prestación a partir del 1º de diciembre de 2014</w:t>
      </w:r>
      <w:r w:rsidR="00E73482">
        <w:rPr>
          <w:rFonts w:ascii="Tahoma" w:hAnsi="Tahoma" w:cs="Tahoma"/>
          <w:lang w:val="es-CO"/>
        </w:rPr>
        <w:t>, fecha en que hizo su última cotización,</w:t>
      </w:r>
      <w:r w:rsidR="000D5302">
        <w:rPr>
          <w:rFonts w:ascii="Tahoma" w:hAnsi="Tahoma" w:cs="Tahoma"/>
          <w:lang w:val="es-CO"/>
        </w:rPr>
        <w:t xml:space="preserve"> y se le aplicara la normatividad más favorable</w:t>
      </w:r>
      <w:r w:rsidR="00E73482">
        <w:rPr>
          <w:rFonts w:ascii="Tahoma" w:hAnsi="Tahoma" w:cs="Tahoma"/>
          <w:lang w:val="es-CO"/>
        </w:rPr>
        <w:t>, esto es, el Decreto 758 de 1990</w:t>
      </w:r>
      <w:r>
        <w:rPr>
          <w:rFonts w:ascii="Tahoma" w:hAnsi="Tahoma" w:cs="Tahoma"/>
          <w:lang w:val="es-CO"/>
        </w:rPr>
        <w:t>.</w:t>
      </w:r>
    </w:p>
    <w:p w14:paraId="34AB0DAE" w14:textId="77777777" w:rsidR="000D5302" w:rsidRDefault="000D5302" w:rsidP="0048276E">
      <w:pPr>
        <w:jc w:val="both"/>
        <w:rPr>
          <w:rFonts w:ascii="Tahoma" w:hAnsi="Tahoma" w:cs="Tahoma"/>
          <w:lang w:val="es-CO"/>
        </w:rPr>
      </w:pPr>
    </w:p>
    <w:p w14:paraId="6BAA1E5D" w14:textId="558A8F2B" w:rsidR="00E215E9" w:rsidRDefault="000D5302" w:rsidP="0048276E">
      <w:pPr>
        <w:jc w:val="both"/>
        <w:rPr>
          <w:rFonts w:ascii="Tahoma" w:hAnsi="Tahoma" w:cs="Tahoma"/>
          <w:lang w:val="es-CO"/>
        </w:rPr>
      </w:pPr>
      <w:r>
        <w:rPr>
          <w:rFonts w:ascii="Tahoma" w:hAnsi="Tahoma" w:cs="Tahoma"/>
          <w:lang w:val="es-CO"/>
        </w:rPr>
        <w:tab/>
        <w:t>Refiere que mediante la Resolución GNR 410154 del 17 de diciembre de 2015 se desató el recurso de reposición</w:t>
      </w:r>
      <w:r w:rsidR="00E215E9">
        <w:rPr>
          <w:rFonts w:ascii="Tahoma" w:hAnsi="Tahoma" w:cs="Tahoma"/>
          <w:lang w:val="es-CO"/>
        </w:rPr>
        <w:t xml:space="preserve"> y se </w:t>
      </w:r>
      <w:proofErr w:type="spellStart"/>
      <w:r w:rsidR="00E215E9">
        <w:rPr>
          <w:rFonts w:ascii="Tahoma" w:hAnsi="Tahoma" w:cs="Tahoma"/>
          <w:lang w:val="es-CO"/>
        </w:rPr>
        <w:t>reliquidó</w:t>
      </w:r>
      <w:proofErr w:type="spellEnd"/>
      <w:r w:rsidR="00E215E9">
        <w:rPr>
          <w:rFonts w:ascii="Tahoma" w:hAnsi="Tahoma" w:cs="Tahoma"/>
          <w:lang w:val="es-CO"/>
        </w:rPr>
        <w:t xml:space="preserve"> el </w:t>
      </w:r>
      <w:proofErr w:type="spellStart"/>
      <w:r w:rsidR="00E215E9">
        <w:rPr>
          <w:rFonts w:ascii="Tahoma" w:hAnsi="Tahoma" w:cs="Tahoma"/>
          <w:lang w:val="es-CO"/>
        </w:rPr>
        <w:t>IBL</w:t>
      </w:r>
      <w:proofErr w:type="spellEnd"/>
      <w:r w:rsidR="00E215E9">
        <w:rPr>
          <w:rFonts w:ascii="Tahoma" w:hAnsi="Tahoma" w:cs="Tahoma"/>
          <w:lang w:val="es-CO"/>
        </w:rPr>
        <w:t xml:space="preserve"> </w:t>
      </w:r>
      <w:r>
        <w:rPr>
          <w:rFonts w:ascii="Tahoma" w:hAnsi="Tahoma" w:cs="Tahoma"/>
          <w:lang w:val="es-CO"/>
        </w:rPr>
        <w:t>aplicando lo establecido en la Ley 100 de 1993</w:t>
      </w:r>
      <w:r w:rsidR="00E215E9">
        <w:rPr>
          <w:rFonts w:ascii="Tahoma" w:hAnsi="Tahoma" w:cs="Tahoma"/>
          <w:lang w:val="es-CO"/>
        </w:rPr>
        <w:t>, concediéndole una mesada de $1.413.238, a partir del 1º de junio de 2015</w:t>
      </w:r>
      <w:r w:rsidR="00205596">
        <w:rPr>
          <w:rFonts w:ascii="Tahoma" w:hAnsi="Tahoma" w:cs="Tahoma"/>
          <w:lang w:val="es-CO"/>
        </w:rPr>
        <w:t>;</w:t>
      </w:r>
      <w:r w:rsidR="00E73482">
        <w:rPr>
          <w:rFonts w:ascii="Tahoma" w:hAnsi="Tahoma" w:cs="Tahoma"/>
          <w:lang w:val="es-CO"/>
        </w:rPr>
        <w:t xml:space="preserve"> y que a través de la Resolución VPB 11227 de 7 de marzo de 2016 se confirmó en todas sus partes la Resolución GNR 147149 del 19 de mayo de 2015.</w:t>
      </w:r>
    </w:p>
    <w:p w14:paraId="22D6095D" w14:textId="41B8A1F8" w:rsidR="007F2D20" w:rsidRPr="006A4897" w:rsidRDefault="007F2D20" w:rsidP="0048276E">
      <w:pPr>
        <w:jc w:val="both"/>
        <w:rPr>
          <w:rFonts w:ascii="Tahoma" w:hAnsi="Tahoma" w:cs="Tahoma"/>
          <w:lang w:val="es-CO"/>
        </w:rPr>
      </w:pPr>
    </w:p>
    <w:p w14:paraId="4BD5B36E" w14:textId="18E1016B" w:rsidR="00C7382B" w:rsidRDefault="006B3279" w:rsidP="0048276E">
      <w:pPr>
        <w:jc w:val="both"/>
        <w:rPr>
          <w:rFonts w:ascii="Tahoma" w:hAnsi="Tahoma" w:cs="Tahoma"/>
          <w:lang w:val="es-CO"/>
        </w:rPr>
      </w:pPr>
      <w:r w:rsidRPr="006A4897">
        <w:rPr>
          <w:rFonts w:ascii="Arial Narrow" w:hAnsi="Arial Narrow" w:cs="Tahoma"/>
          <w:i/>
          <w:lang w:val="es-CO"/>
        </w:rPr>
        <w:t xml:space="preserve"> </w:t>
      </w:r>
      <w:r w:rsidRPr="006A4897">
        <w:rPr>
          <w:rFonts w:ascii="Arial Narrow" w:hAnsi="Arial Narrow" w:cs="Tahoma"/>
          <w:i/>
          <w:lang w:val="es-CO"/>
        </w:rPr>
        <w:tab/>
      </w:r>
      <w:r w:rsidRPr="006A4897">
        <w:rPr>
          <w:rFonts w:ascii="Tahoma" w:hAnsi="Tahoma" w:cs="Tahoma"/>
          <w:lang w:val="es-CO"/>
        </w:rPr>
        <w:t xml:space="preserve">Colpensiones </w:t>
      </w:r>
      <w:r w:rsidR="00ED60AD">
        <w:rPr>
          <w:rFonts w:ascii="Tahoma" w:hAnsi="Tahoma" w:cs="Tahoma"/>
          <w:lang w:val="es-CO"/>
        </w:rPr>
        <w:t>con</w:t>
      </w:r>
      <w:r w:rsidR="00C40C5B">
        <w:rPr>
          <w:rFonts w:ascii="Tahoma" w:hAnsi="Tahoma" w:cs="Tahoma"/>
          <w:lang w:val="es-CO"/>
        </w:rPr>
        <w:t xml:space="preserve">testó la demanda </w:t>
      </w:r>
      <w:r w:rsidR="00A7453C">
        <w:rPr>
          <w:rFonts w:ascii="Tahoma" w:hAnsi="Tahoma" w:cs="Tahoma"/>
          <w:lang w:val="es-CO"/>
        </w:rPr>
        <w:t>aceptando</w:t>
      </w:r>
      <w:r w:rsidR="00ED60AD">
        <w:rPr>
          <w:rFonts w:ascii="Tahoma" w:hAnsi="Tahoma" w:cs="Tahoma"/>
          <w:lang w:val="es-CO"/>
        </w:rPr>
        <w:t xml:space="preserve"> </w:t>
      </w:r>
      <w:r w:rsidR="00A7453C">
        <w:rPr>
          <w:rFonts w:ascii="Tahoma" w:hAnsi="Tahoma" w:cs="Tahoma"/>
          <w:lang w:val="es-CO"/>
        </w:rPr>
        <w:t xml:space="preserve">los hechos </w:t>
      </w:r>
      <w:r w:rsidR="00ED60AD">
        <w:rPr>
          <w:rFonts w:ascii="Tahoma" w:hAnsi="Tahoma" w:cs="Tahoma"/>
          <w:lang w:val="es-CO"/>
        </w:rPr>
        <w:t xml:space="preserve">contenidos </w:t>
      </w:r>
      <w:r w:rsidR="00A7453C">
        <w:rPr>
          <w:rFonts w:ascii="Tahoma" w:hAnsi="Tahoma" w:cs="Tahoma"/>
          <w:lang w:val="es-CO"/>
        </w:rPr>
        <w:t xml:space="preserve">en ella, salvo aquellos que refieren que </w:t>
      </w:r>
      <w:r w:rsidR="00ED60AD">
        <w:rPr>
          <w:rFonts w:ascii="Tahoma" w:hAnsi="Tahoma" w:cs="Tahoma"/>
          <w:lang w:val="es-CO"/>
        </w:rPr>
        <w:t>el actor contaba con 1007 semanas cotizadas a la entrada en vigencia del Acto Legislativo 01 de 2005</w:t>
      </w:r>
      <w:r w:rsidR="00C7382B">
        <w:rPr>
          <w:rFonts w:ascii="Tahoma" w:hAnsi="Tahoma" w:cs="Tahoma"/>
          <w:lang w:val="es-CO"/>
        </w:rPr>
        <w:t xml:space="preserve"> y</w:t>
      </w:r>
      <w:r w:rsidR="00ED60AD">
        <w:rPr>
          <w:rFonts w:ascii="Tahoma" w:hAnsi="Tahoma" w:cs="Tahoma"/>
          <w:lang w:val="es-CO"/>
        </w:rPr>
        <w:t xml:space="preserve"> que es beneficiario del régimen de transición</w:t>
      </w:r>
      <w:r w:rsidR="00C7382B">
        <w:rPr>
          <w:rFonts w:ascii="Tahoma" w:hAnsi="Tahoma" w:cs="Tahoma"/>
          <w:lang w:val="es-CO"/>
        </w:rPr>
        <w:t>, respecto de los cuales manifestó que no le constaban.</w:t>
      </w:r>
    </w:p>
    <w:p w14:paraId="2CC0D1E1" w14:textId="77777777" w:rsidR="00C7382B" w:rsidRDefault="00C7382B" w:rsidP="0048276E">
      <w:pPr>
        <w:jc w:val="both"/>
        <w:rPr>
          <w:rFonts w:ascii="Tahoma" w:hAnsi="Tahoma" w:cs="Tahoma"/>
          <w:lang w:val="es-CO"/>
        </w:rPr>
      </w:pPr>
    </w:p>
    <w:p w14:paraId="5F567E57" w14:textId="00096482" w:rsidR="00A7453C" w:rsidRDefault="00C7382B" w:rsidP="0048276E">
      <w:pPr>
        <w:jc w:val="both"/>
        <w:rPr>
          <w:rFonts w:ascii="Tahoma" w:hAnsi="Tahoma" w:cs="Tahoma"/>
          <w:lang w:val="es-CO"/>
        </w:rPr>
      </w:pPr>
      <w:r>
        <w:rPr>
          <w:rFonts w:ascii="Tahoma" w:hAnsi="Tahoma" w:cs="Tahoma"/>
          <w:lang w:val="es-CO"/>
        </w:rPr>
        <w:tab/>
        <w:t>Seguidamente se opuso a la totalidad de las pretensiones de la demanda y propuso las excepciones que denominó “Inexistencia del derecho”; “Cobro de lo no debido”</w:t>
      </w:r>
      <w:r w:rsidR="00AD774E">
        <w:rPr>
          <w:rFonts w:ascii="Tahoma" w:hAnsi="Tahoma" w:cs="Tahoma"/>
          <w:lang w:val="es-CO"/>
        </w:rPr>
        <w:t>; “Improcedencia del reconocimiento de indexación del retroactivo”; “Buena fe” y “Prescripción”.</w:t>
      </w:r>
      <w:r>
        <w:rPr>
          <w:rFonts w:ascii="Tahoma" w:hAnsi="Tahoma" w:cs="Tahoma"/>
          <w:lang w:val="es-CO"/>
        </w:rPr>
        <w:t xml:space="preserve"> </w:t>
      </w:r>
      <w:r w:rsidR="00ED60AD">
        <w:rPr>
          <w:rFonts w:ascii="Tahoma" w:hAnsi="Tahoma" w:cs="Tahoma"/>
          <w:lang w:val="es-CO"/>
        </w:rPr>
        <w:t xml:space="preserve"> </w:t>
      </w:r>
      <w:r w:rsidR="00A7453C">
        <w:rPr>
          <w:rFonts w:ascii="Tahoma" w:hAnsi="Tahoma" w:cs="Tahoma"/>
          <w:lang w:val="es-CO"/>
        </w:rPr>
        <w:t xml:space="preserve"> </w:t>
      </w:r>
    </w:p>
    <w:p w14:paraId="778F9853" w14:textId="77777777" w:rsidR="004165BC" w:rsidRPr="006A4897" w:rsidRDefault="004165BC" w:rsidP="0048276E">
      <w:pPr>
        <w:spacing w:line="240" w:lineRule="auto"/>
        <w:jc w:val="both"/>
        <w:rPr>
          <w:rFonts w:ascii="Tahoma" w:hAnsi="Tahoma" w:cs="Tahoma"/>
          <w:lang w:val="es-CO"/>
        </w:rPr>
      </w:pPr>
    </w:p>
    <w:p w14:paraId="7F9C4D81" w14:textId="77777777" w:rsidR="007F2D20" w:rsidRPr="006A4897" w:rsidRDefault="007F2D20" w:rsidP="0048276E">
      <w:pPr>
        <w:pStyle w:val="Prrafodelista"/>
        <w:numPr>
          <w:ilvl w:val="0"/>
          <w:numId w:val="1"/>
        </w:numPr>
        <w:tabs>
          <w:tab w:val="left" w:pos="426"/>
        </w:tabs>
        <w:ind w:left="0" w:firstLine="0"/>
        <w:jc w:val="center"/>
        <w:rPr>
          <w:rFonts w:ascii="Tahoma" w:hAnsi="Tahoma" w:cs="Tahoma"/>
          <w:b/>
          <w:lang w:val="es-CO"/>
        </w:rPr>
      </w:pPr>
      <w:r w:rsidRPr="006A4897">
        <w:rPr>
          <w:rFonts w:ascii="Tahoma" w:hAnsi="Tahoma" w:cs="Tahoma"/>
          <w:b/>
          <w:lang w:val="es-CO"/>
        </w:rPr>
        <w:t>Sentencia de primera instancia</w:t>
      </w:r>
    </w:p>
    <w:p w14:paraId="0D5456B8" w14:textId="77777777" w:rsidR="004165BC" w:rsidRPr="006A4897" w:rsidRDefault="004165BC" w:rsidP="0048276E">
      <w:pPr>
        <w:spacing w:line="240" w:lineRule="auto"/>
        <w:jc w:val="both"/>
        <w:rPr>
          <w:rFonts w:ascii="Tahoma" w:hAnsi="Tahoma" w:cs="Tahoma"/>
          <w:lang w:val="es-CO"/>
        </w:rPr>
      </w:pPr>
    </w:p>
    <w:p w14:paraId="7C234002" w14:textId="74F91855" w:rsidR="00742962" w:rsidRDefault="007F2D20" w:rsidP="0048276E">
      <w:pPr>
        <w:jc w:val="both"/>
        <w:rPr>
          <w:rFonts w:ascii="Tahoma" w:hAnsi="Tahoma" w:cs="Tahoma"/>
          <w:lang w:val="es-CO"/>
        </w:rPr>
      </w:pPr>
      <w:r w:rsidRPr="006A4897">
        <w:rPr>
          <w:rFonts w:ascii="Tahoma" w:hAnsi="Tahoma" w:cs="Tahoma"/>
          <w:b/>
          <w:lang w:val="es-CO"/>
        </w:rPr>
        <w:t xml:space="preserve"> </w:t>
      </w:r>
      <w:r w:rsidRPr="006A4897">
        <w:rPr>
          <w:rFonts w:ascii="Tahoma" w:hAnsi="Tahoma" w:cs="Tahoma"/>
          <w:b/>
          <w:lang w:val="es-CO"/>
        </w:rPr>
        <w:tab/>
      </w:r>
      <w:r w:rsidRPr="006A4897">
        <w:rPr>
          <w:rFonts w:ascii="Tahoma" w:hAnsi="Tahoma" w:cs="Tahoma"/>
          <w:lang w:val="es-CO"/>
        </w:rPr>
        <w:t>La Jueza de primer grado</w:t>
      </w:r>
      <w:r w:rsidR="0028112D">
        <w:rPr>
          <w:rFonts w:ascii="Tahoma" w:hAnsi="Tahoma" w:cs="Tahoma"/>
          <w:lang w:val="es-CO"/>
        </w:rPr>
        <w:t xml:space="preserve"> condenó a Colpensiones a pagar a favor del demandante la suma de $8.438.744 por concepto de retroactivo </w:t>
      </w:r>
      <w:r w:rsidR="00742962">
        <w:rPr>
          <w:rFonts w:ascii="Tahoma" w:hAnsi="Tahoma" w:cs="Tahoma"/>
          <w:lang w:val="es-CO"/>
        </w:rPr>
        <w:t xml:space="preserve">de la pensión de vejez reconocida con base en el artículo 33 de la Ley 100 de 1993, causado entre el 1º de diciembre de 2014 y el 31 de mayo de 2015. Asimismo, condenó a la demandada a pagar </w:t>
      </w:r>
      <w:r w:rsidR="00240160">
        <w:rPr>
          <w:rFonts w:ascii="Tahoma" w:hAnsi="Tahoma" w:cs="Tahoma"/>
          <w:lang w:val="es-CO"/>
        </w:rPr>
        <w:t xml:space="preserve">$58.975 </w:t>
      </w:r>
      <w:r w:rsidR="00742962">
        <w:rPr>
          <w:rFonts w:ascii="Tahoma" w:hAnsi="Tahoma" w:cs="Tahoma"/>
          <w:lang w:val="es-CO"/>
        </w:rPr>
        <w:t>al señor Héctor Galvis como diferencia pensional causada entre el 31 de mayo de 2015 y el 31 de octubre de 2017</w:t>
      </w:r>
      <w:r w:rsidR="00240160">
        <w:rPr>
          <w:rFonts w:ascii="Tahoma" w:hAnsi="Tahoma" w:cs="Tahoma"/>
          <w:lang w:val="es-CO"/>
        </w:rPr>
        <w:t>;</w:t>
      </w:r>
      <w:r w:rsidR="00742962">
        <w:rPr>
          <w:rFonts w:ascii="Tahoma" w:hAnsi="Tahoma" w:cs="Tahoma"/>
          <w:lang w:val="es-CO"/>
        </w:rPr>
        <w:t xml:space="preserve"> a </w:t>
      </w:r>
      <w:r w:rsidR="002B4E0B">
        <w:rPr>
          <w:rFonts w:ascii="Tahoma" w:hAnsi="Tahoma" w:cs="Tahoma"/>
          <w:lang w:val="es-CO"/>
        </w:rPr>
        <w:t xml:space="preserve">cancelar las </w:t>
      </w:r>
      <w:r w:rsidR="00CD13A8">
        <w:rPr>
          <w:rFonts w:ascii="Tahoma" w:hAnsi="Tahoma" w:cs="Tahoma"/>
          <w:lang w:val="es-CO"/>
        </w:rPr>
        <w:t xml:space="preserve">condenas </w:t>
      </w:r>
      <w:r w:rsidR="002B4E0B">
        <w:rPr>
          <w:rFonts w:ascii="Tahoma" w:hAnsi="Tahoma" w:cs="Tahoma"/>
          <w:lang w:val="es-CO"/>
        </w:rPr>
        <w:t>debidamente indexadas</w:t>
      </w:r>
      <w:r w:rsidR="007C2B6B">
        <w:rPr>
          <w:rFonts w:ascii="Tahoma" w:hAnsi="Tahoma" w:cs="Tahoma"/>
          <w:lang w:val="es-CO"/>
        </w:rPr>
        <w:t xml:space="preserve"> y a pagar las costas procesales.</w:t>
      </w:r>
    </w:p>
    <w:p w14:paraId="33601C93" w14:textId="77777777" w:rsidR="00CD13A8" w:rsidRDefault="00CD13A8" w:rsidP="0048276E">
      <w:pPr>
        <w:jc w:val="both"/>
        <w:rPr>
          <w:rFonts w:ascii="Tahoma" w:hAnsi="Tahoma" w:cs="Tahoma"/>
          <w:lang w:val="es-CO"/>
        </w:rPr>
      </w:pPr>
    </w:p>
    <w:p w14:paraId="09350CCC" w14:textId="6FD5C074" w:rsidR="00CD13A8" w:rsidRDefault="00CD13A8" w:rsidP="0048276E">
      <w:pPr>
        <w:jc w:val="both"/>
        <w:rPr>
          <w:rFonts w:ascii="Tahoma" w:hAnsi="Tahoma" w:cs="Tahoma"/>
          <w:lang w:val="es-CO"/>
        </w:rPr>
      </w:pPr>
      <w:r>
        <w:rPr>
          <w:rFonts w:ascii="Tahoma" w:hAnsi="Tahoma" w:cs="Tahoma"/>
          <w:lang w:val="es-CO"/>
        </w:rPr>
        <w:tab/>
        <w:t>Por último, negó las demás pretensiones contenidas en la demanda</w:t>
      </w:r>
      <w:r w:rsidR="007C2B6B">
        <w:rPr>
          <w:rFonts w:ascii="Tahoma" w:hAnsi="Tahoma" w:cs="Tahoma"/>
          <w:lang w:val="es-CO"/>
        </w:rPr>
        <w:t>.</w:t>
      </w:r>
    </w:p>
    <w:p w14:paraId="273087B4" w14:textId="0A4B1EA4" w:rsidR="00742962" w:rsidRDefault="00742962" w:rsidP="0048276E">
      <w:pPr>
        <w:jc w:val="both"/>
        <w:rPr>
          <w:rFonts w:ascii="Tahoma" w:hAnsi="Tahoma" w:cs="Tahoma"/>
          <w:lang w:val="es-CO"/>
        </w:rPr>
      </w:pPr>
    </w:p>
    <w:p w14:paraId="3886E2E7" w14:textId="1B6E9956" w:rsidR="00E03D70" w:rsidRDefault="00E03D70" w:rsidP="0048276E">
      <w:pPr>
        <w:widowControl w:val="0"/>
        <w:autoSpaceDE w:val="0"/>
        <w:autoSpaceDN w:val="0"/>
        <w:adjustRightInd w:val="0"/>
        <w:ind w:firstLine="708"/>
        <w:jc w:val="both"/>
        <w:rPr>
          <w:rFonts w:ascii="Tahoma" w:hAnsi="Tahoma" w:cs="Tahoma"/>
        </w:rPr>
      </w:pPr>
      <w:r>
        <w:rPr>
          <w:rFonts w:ascii="Tahoma" w:hAnsi="Tahoma" w:cs="Tahoma"/>
        </w:rPr>
        <w:t xml:space="preserve">Para llegar a tal determinación la A quo manifestó, en síntesis, que al haberse trasladado al RAIS, </w:t>
      </w:r>
      <w:r w:rsidR="00340E5D">
        <w:rPr>
          <w:rFonts w:ascii="Tahoma" w:hAnsi="Tahoma" w:cs="Tahoma"/>
        </w:rPr>
        <w:t xml:space="preserve">el señor Héctor Danilo Galvis </w:t>
      </w:r>
      <w:r>
        <w:rPr>
          <w:rFonts w:ascii="Tahoma" w:hAnsi="Tahoma" w:cs="Tahoma"/>
        </w:rPr>
        <w:t>debía contar con 15 años de servicios antes de la entrada en vigencia de la Ley 100 de 1993, a efectos de conservar el régimen de transición del que fue beneficiari</w:t>
      </w:r>
      <w:r w:rsidR="00340E5D">
        <w:rPr>
          <w:rFonts w:ascii="Tahoma" w:hAnsi="Tahoma" w:cs="Tahoma"/>
        </w:rPr>
        <w:t>o</w:t>
      </w:r>
      <w:r>
        <w:rPr>
          <w:rFonts w:ascii="Tahoma" w:hAnsi="Tahoma" w:cs="Tahoma"/>
        </w:rPr>
        <w:t xml:space="preserve">; no obstante, al carecer de ese requisito su pensión de vejez se regía por las disposiciones establecidas por el artículo 33 de la misma codificación, los cuales no cumplía.  </w:t>
      </w:r>
    </w:p>
    <w:p w14:paraId="7CFD4770" w14:textId="77777777" w:rsidR="00340E5D" w:rsidRDefault="00340E5D" w:rsidP="0048276E">
      <w:pPr>
        <w:widowControl w:val="0"/>
        <w:autoSpaceDE w:val="0"/>
        <w:autoSpaceDN w:val="0"/>
        <w:adjustRightInd w:val="0"/>
        <w:ind w:firstLine="708"/>
        <w:jc w:val="both"/>
        <w:rPr>
          <w:rFonts w:ascii="Tahoma" w:hAnsi="Tahoma" w:cs="Tahoma"/>
        </w:rPr>
      </w:pPr>
    </w:p>
    <w:p w14:paraId="1BAA93AB" w14:textId="54EFF93E" w:rsidR="00340E5D" w:rsidRDefault="00340E5D" w:rsidP="0048276E">
      <w:pPr>
        <w:widowControl w:val="0"/>
        <w:autoSpaceDE w:val="0"/>
        <w:autoSpaceDN w:val="0"/>
        <w:adjustRightInd w:val="0"/>
        <w:ind w:firstLine="708"/>
        <w:jc w:val="both"/>
        <w:rPr>
          <w:rFonts w:ascii="Tahoma" w:hAnsi="Tahoma" w:cs="Tahoma"/>
        </w:rPr>
      </w:pPr>
      <w:r>
        <w:rPr>
          <w:rFonts w:ascii="Tahoma" w:hAnsi="Tahoma" w:cs="Tahoma"/>
        </w:rPr>
        <w:t xml:space="preserve">A pesar de lo anterior, indicó </w:t>
      </w:r>
      <w:r w:rsidR="00A037CB">
        <w:rPr>
          <w:rFonts w:ascii="Tahoma" w:hAnsi="Tahoma" w:cs="Tahoma"/>
        </w:rPr>
        <w:t>que el demandante efectivamente tenía derecho a percibir la pensión de vejez que le reconoció Colpensiones a partir del 1º de diciembre de 2014, día siguiente a aquel en el que hizo su última cotización</w:t>
      </w:r>
      <w:r w:rsidR="00AD6A74">
        <w:rPr>
          <w:rFonts w:ascii="Tahoma" w:hAnsi="Tahoma" w:cs="Tahoma"/>
        </w:rPr>
        <w:t xml:space="preserve">, pues en esa fecha ya contaba con los requisitos para acceder a esa gracia pensional. De esta manera, procedió a verificar el IBL obtenido por la administradora de pensiones, encontrando que el mismo era inferior al que realmente correspondía </w:t>
      </w:r>
      <w:r w:rsidR="000F1DA0">
        <w:rPr>
          <w:rFonts w:ascii="Tahoma" w:hAnsi="Tahoma" w:cs="Tahoma"/>
        </w:rPr>
        <w:t xml:space="preserve">por </w:t>
      </w:r>
      <w:r w:rsidR="00AD6A74">
        <w:rPr>
          <w:rFonts w:ascii="Tahoma" w:hAnsi="Tahoma" w:cs="Tahoma"/>
        </w:rPr>
        <w:t>$</w:t>
      </w:r>
      <w:r w:rsidR="000F1DA0">
        <w:rPr>
          <w:rFonts w:ascii="Tahoma" w:hAnsi="Tahoma" w:cs="Tahoma"/>
        </w:rPr>
        <w:t>1.951.709</w:t>
      </w:r>
      <w:r w:rsidR="005A500F">
        <w:rPr>
          <w:rFonts w:ascii="Tahoma" w:hAnsi="Tahoma" w:cs="Tahoma"/>
        </w:rPr>
        <w:t xml:space="preserve"> y</w:t>
      </w:r>
      <w:r w:rsidR="000F1DA0">
        <w:rPr>
          <w:rFonts w:ascii="Tahoma" w:hAnsi="Tahoma" w:cs="Tahoma"/>
        </w:rPr>
        <w:t xml:space="preserve">, </w:t>
      </w:r>
      <w:r w:rsidR="005A500F">
        <w:rPr>
          <w:rFonts w:ascii="Tahoma" w:hAnsi="Tahoma" w:cs="Tahoma"/>
        </w:rPr>
        <w:t xml:space="preserve">por lo tanto, la mesada a que tenía derecho </w:t>
      </w:r>
      <w:r w:rsidR="004F072E">
        <w:rPr>
          <w:rFonts w:ascii="Tahoma" w:hAnsi="Tahoma" w:cs="Tahoma"/>
        </w:rPr>
        <w:t xml:space="preserve">para esa anualidad </w:t>
      </w:r>
      <w:r w:rsidR="005A500F">
        <w:rPr>
          <w:rFonts w:ascii="Tahoma" w:hAnsi="Tahoma" w:cs="Tahoma"/>
        </w:rPr>
        <w:t>ascendía a $</w:t>
      </w:r>
      <w:r w:rsidR="004F072E">
        <w:rPr>
          <w:rFonts w:ascii="Tahoma" w:hAnsi="Tahoma" w:cs="Tahoma"/>
        </w:rPr>
        <w:t>1.364.830</w:t>
      </w:r>
      <w:r w:rsidR="00B37858">
        <w:rPr>
          <w:rFonts w:ascii="Tahoma" w:hAnsi="Tahoma" w:cs="Tahoma"/>
        </w:rPr>
        <w:t>;</w:t>
      </w:r>
      <w:r w:rsidR="00AD6A74">
        <w:rPr>
          <w:rFonts w:ascii="Tahoma" w:hAnsi="Tahoma" w:cs="Tahoma"/>
        </w:rPr>
        <w:t xml:space="preserve"> </w:t>
      </w:r>
      <w:r w:rsidR="00B37858">
        <w:rPr>
          <w:rFonts w:ascii="Tahoma" w:hAnsi="Tahoma" w:cs="Tahoma"/>
        </w:rPr>
        <w:t xml:space="preserve">en consecuencia, ordenó pagar el retroactivo pensional desde la aludida calenda hasta el </w:t>
      </w:r>
      <w:r w:rsidR="005A500F">
        <w:rPr>
          <w:rFonts w:ascii="Tahoma" w:hAnsi="Tahoma" w:cs="Tahoma"/>
          <w:lang w:val="es-CO"/>
        </w:rPr>
        <w:t>31 de mayo de 2015, en razón a que la pensión se le concedió desde el día siguiente</w:t>
      </w:r>
      <w:r w:rsidR="00EF7EE0">
        <w:rPr>
          <w:rFonts w:ascii="Tahoma" w:hAnsi="Tahoma" w:cs="Tahoma"/>
          <w:lang w:val="es-CO"/>
        </w:rPr>
        <w:t>, lo cual arrojó una suma de $8.438.744</w:t>
      </w:r>
      <w:r w:rsidR="005A500F">
        <w:rPr>
          <w:rFonts w:ascii="Tahoma" w:hAnsi="Tahoma" w:cs="Tahoma"/>
          <w:lang w:val="es-CO"/>
        </w:rPr>
        <w:t xml:space="preserve">; igualmente, ordenó pagar la diferencia dejada de cancelar desde el 1º de junio de 2015, </w:t>
      </w:r>
      <w:r w:rsidR="004F072E">
        <w:rPr>
          <w:rFonts w:ascii="Tahoma" w:hAnsi="Tahoma" w:cs="Tahoma"/>
          <w:lang w:val="es-CO"/>
        </w:rPr>
        <w:t xml:space="preserve">año para el cual el demandante tenía derecho a un valor adicional de $1545 al valor que le fuera reconocido, pues su mesada ascendía a $1.414.783, y el monto concedido por Colpensiones fue de $1.413.238, de manera que a la fecha de la sentencia el saldo insoluto por ese concepto ascendía a </w:t>
      </w:r>
      <w:r w:rsidR="005A500F">
        <w:rPr>
          <w:rFonts w:ascii="Tahoma" w:hAnsi="Tahoma" w:cs="Tahoma"/>
          <w:lang w:val="es-CO"/>
        </w:rPr>
        <w:t>$58.975.</w:t>
      </w:r>
    </w:p>
    <w:p w14:paraId="1BB1C161" w14:textId="477D99ED" w:rsidR="004165BC" w:rsidRPr="00E03D70" w:rsidRDefault="004165BC" w:rsidP="0048276E">
      <w:pPr>
        <w:jc w:val="both"/>
        <w:rPr>
          <w:rFonts w:ascii="Tahoma" w:hAnsi="Tahoma" w:cs="Tahoma"/>
        </w:rPr>
      </w:pPr>
    </w:p>
    <w:p w14:paraId="40AEC2A2" w14:textId="192771D4" w:rsidR="0062190F" w:rsidRPr="006A4897" w:rsidRDefault="00EF7EE0" w:rsidP="0048276E">
      <w:pPr>
        <w:pStyle w:val="Prrafodelista"/>
        <w:widowControl w:val="0"/>
        <w:numPr>
          <w:ilvl w:val="0"/>
          <w:numId w:val="1"/>
        </w:numPr>
        <w:autoSpaceDE w:val="0"/>
        <w:autoSpaceDN w:val="0"/>
        <w:adjustRightInd w:val="0"/>
        <w:spacing w:line="240" w:lineRule="auto"/>
        <w:jc w:val="center"/>
        <w:rPr>
          <w:rFonts w:ascii="Tahoma" w:eastAsia="Times New Roman" w:hAnsi="Tahoma" w:cs="Tahoma"/>
          <w:b/>
          <w:lang w:eastAsia="es-ES"/>
        </w:rPr>
      </w:pPr>
      <w:r>
        <w:rPr>
          <w:rFonts w:ascii="Tahoma" w:eastAsia="Times New Roman" w:hAnsi="Tahoma" w:cs="Tahoma"/>
          <w:b/>
          <w:lang w:eastAsia="es-ES"/>
        </w:rPr>
        <w:t>Recurso de apelación y p</w:t>
      </w:r>
      <w:r w:rsidR="0062190F" w:rsidRPr="006A4897">
        <w:rPr>
          <w:rFonts w:ascii="Tahoma" w:eastAsia="Times New Roman" w:hAnsi="Tahoma" w:cs="Tahoma"/>
          <w:b/>
          <w:lang w:eastAsia="es-ES"/>
        </w:rPr>
        <w:t>rocedencia de la consulta</w:t>
      </w:r>
    </w:p>
    <w:p w14:paraId="0B6D87F6" w14:textId="77777777" w:rsidR="0062190F" w:rsidRPr="006A4897" w:rsidRDefault="0062190F" w:rsidP="0048276E">
      <w:pPr>
        <w:spacing w:line="240" w:lineRule="auto"/>
        <w:rPr>
          <w:rFonts w:ascii="Times New Roman" w:eastAsia="Times New Roman" w:hAnsi="Times New Roman" w:cs="Times New Roman"/>
          <w:lang w:eastAsia="es-ES"/>
        </w:rPr>
      </w:pPr>
    </w:p>
    <w:p w14:paraId="52E6CFE4" w14:textId="0F785D05" w:rsidR="0096394E" w:rsidRDefault="00EF7EE0" w:rsidP="0048276E">
      <w:pPr>
        <w:widowControl w:val="0"/>
        <w:autoSpaceDE w:val="0"/>
        <w:autoSpaceDN w:val="0"/>
        <w:adjustRightInd w:val="0"/>
        <w:ind w:firstLine="561"/>
        <w:jc w:val="both"/>
        <w:rPr>
          <w:rFonts w:ascii="Tahoma" w:eastAsia="Times New Roman" w:hAnsi="Tahoma" w:cs="Tahoma"/>
          <w:lang w:eastAsia="es-ES"/>
        </w:rPr>
      </w:pPr>
      <w:r>
        <w:rPr>
          <w:rFonts w:ascii="Tahoma" w:eastAsia="Times New Roman" w:hAnsi="Tahoma" w:cs="Tahoma"/>
          <w:lang w:eastAsia="es-ES"/>
        </w:rPr>
        <w:t>La apoderada judicial del actor apeló la decisi</w:t>
      </w:r>
      <w:r w:rsidR="00FB5BE7">
        <w:rPr>
          <w:rFonts w:ascii="Tahoma" w:eastAsia="Times New Roman" w:hAnsi="Tahoma" w:cs="Tahoma"/>
          <w:lang w:eastAsia="es-ES"/>
        </w:rPr>
        <w:t>ón argu</w:t>
      </w:r>
      <w:r w:rsidR="0096394E">
        <w:rPr>
          <w:rFonts w:ascii="Tahoma" w:eastAsia="Times New Roman" w:hAnsi="Tahoma" w:cs="Tahoma"/>
          <w:lang w:eastAsia="es-ES"/>
        </w:rPr>
        <w:t xml:space="preserve">mentando </w:t>
      </w:r>
      <w:r w:rsidR="00FB5BE7">
        <w:rPr>
          <w:rFonts w:ascii="Tahoma" w:eastAsia="Times New Roman" w:hAnsi="Tahoma" w:cs="Tahoma"/>
          <w:lang w:eastAsia="es-ES"/>
        </w:rPr>
        <w:t>básicamente</w:t>
      </w:r>
      <w:r w:rsidR="0096394E">
        <w:rPr>
          <w:rFonts w:ascii="Tahoma" w:eastAsia="Times New Roman" w:hAnsi="Tahoma" w:cs="Tahoma"/>
          <w:lang w:eastAsia="es-ES"/>
        </w:rPr>
        <w:t xml:space="preserve"> lo expuesto en el libelo genitor, esto es, que su prohijado es beneficiario del régimen de transición y por lo tanto tiene derecho a que su pensión de vejez se liquide con base en el Acuerdo 049 de 1990.</w:t>
      </w:r>
    </w:p>
    <w:p w14:paraId="46055033" w14:textId="77777777" w:rsidR="00EF7EE0" w:rsidRDefault="00EF7EE0" w:rsidP="0048276E">
      <w:pPr>
        <w:widowControl w:val="0"/>
        <w:autoSpaceDE w:val="0"/>
        <w:autoSpaceDN w:val="0"/>
        <w:adjustRightInd w:val="0"/>
        <w:ind w:firstLine="561"/>
        <w:jc w:val="both"/>
        <w:rPr>
          <w:rFonts w:ascii="Tahoma" w:eastAsia="Times New Roman" w:hAnsi="Tahoma" w:cs="Tahoma"/>
          <w:lang w:eastAsia="es-ES"/>
        </w:rPr>
      </w:pPr>
    </w:p>
    <w:p w14:paraId="0405AA4F" w14:textId="07AD80A1" w:rsidR="0062190F" w:rsidRPr="006A4897" w:rsidRDefault="00EF7EE0" w:rsidP="0048276E">
      <w:pPr>
        <w:widowControl w:val="0"/>
        <w:autoSpaceDE w:val="0"/>
        <w:autoSpaceDN w:val="0"/>
        <w:adjustRightInd w:val="0"/>
        <w:ind w:firstLine="561"/>
        <w:jc w:val="both"/>
        <w:rPr>
          <w:rFonts w:ascii="Tahoma" w:eastAsia="Times New Roman" w:hAnsi="Tahoma" w:cs="Tahoma"/>
          <w:lang w:eastAsia="es-ES"/>
        </w:rPr>
      </w:pPr>
      <w:r>
        <w:rPr>
          <w:rFonts w:ascii="Tahoma" w:eastAsia="Times New Roman" w:hAnsi="Tahoma" w:cs="Tahoma"/>
          <w:lang w:eastAsia="es-ES"/>
        </w:rPr>
        <w:t>Por otra parte, c</w:t>
      </w:r>
      <w:r w:rsidR="0062190F" w:rsidRPr="006A4897">
        <w:rPr>
          <w:rFonts w:ascii="Tahoma" w:eastAsia="Times New Roman" w:hAnsi="Tahoma" w:cs="Tahoma"/>
          <w:lang w:eastAsia="es-ES"/>
        </w:rPr>
        <w:t xml:space="preserve">omo quiera que </w:t>
      </w:r>
      <w:r w:rsidR="003728A1">
        <w:rPr>
          <w:rFonts w:ascii="Tahoma" w:eastAsia="Times New Roman" w:hAnsi="Tahoma" w:cs="Tahoma"/>
          <w:lang w:eastAsia="es-ES"/>
        </w:rPr>
        <w:t>la</w:t>
      </w:r>
      <w:r w:rsidR="00093E73" w:rsidRPr="006A4897">
        <w:rPr>
          <w:rFonts w:ascii="Tahoma" w:eastAsia="Times New Roman" w:hAnsi="Tahoma" w:cs="Tahoma"/>
          <w:lang w:eastAsia="es-ES"/>
        </w:rPr>
        <w:t xml:space="preserve"> sentencia de primera instancia </w:t>
      </w:r>
      <w:r>
        <w:rPr>
          <w:rFonts w:ascii="Tahoma" w:eastAsia="Times New Roman" w:hAnsi="Tahoma" w:cs="Tahoma"/>
          <w:lang w:eastAsia="es-ES"/>
        </w:rPr>
        <w:t xml:space="preserve">fue desfavorable </w:t>
      </w:r>
      <w:r w:rsidR="0048276E">
        <w:rPr>
          <w:rFonts w:ascii="Tahoma" w:eastAsia="Times New Roman" w:hAnsi="Tahoma" w:cs="Tahoma"/>
          <w:lang w:eastAsia="es-ES"/>
        </w:rPr>
        <w:t xml:space="preserve">a los intereses de Colpensiones, </w:t>
      </w:r>
      <w:r w:rsidR="0062190F" w:rsidRPr="006A4897">
        <w:rPr>
          <w:rFonts w:ascii="Tahoma" w:eastAsia="Times New Roman" w:hAnsi="Tahoma" w:cs="Tahoma"/>
          <w:lang w:eastAsia="es-ES"/>
        </w:rPr>
        <w:t>se dispuso el grado jurisdiccional de consulta.</w:t>
      </w:r>
    </w:p>
    <w:p w14:paraId="11941839" w14:textId="77777777" w:rsidR="007F2D20" w:rsidRPr="006A4897" w:rsidRDefault="007F2D20" w:rsidP="0048276E">
      <w:pPr>
        <w:spacing w:line="240" w:lineRule="auto"/>
        <w:jc w:val="both"/>
        <w:rPr>
          <w:rFonts w:ascii="Tahoma" w:hAnsi="Tahoma" w:cs="Tahoma"/>
          <w:lang w:val="es-CO"/>
        </w:rPr>
      </w:pPr>
      <w:r w:rsidRPr="006A4897">
        <w:rPr>
          <w:rFonts w:ascii="Tahoma" w:hAnsi="Tahoma" w:cs="Tahoma"/>
          <w:lang w:val="es-CO"/>
        </w:rPr>
        <w:tab/>
        <w:t xml:space="preserve"> </w:t>
      </w:r>
    </w:p>
    <w:p w14:paraId="18929FBF" w14:textId="77777777" w:rsidR="007F2D20" w:rsidRPr="006A4897" w:rsidRDefault="007F2D20" w:rsidP="0048276E">
      <w:pPr>
        <w:pStyle w:val="Prrafodelista"/>
        <w:numPr>
          <w:ilvl w:val="0"/>
          <w:numId w:val="1"/>
        </w:numPr>
        <w:tabs>
          <w:tab w:val="left" w:pos="426"/>
        </w:tabs>
        <w:ind w:left="0" w:firstLine="0"/>
        <w:jc w:val="center"/>
        <w:rPr>
          <w:rFonts w:ascii="Tahoma" w:hAnsi="Tahoma" w:cs="Tahoma"/>
          <w:b/>
          <w:lang w:val="es-CO"/>
        </w:rPr>
      </w:pPr>
      <w:r w:rsidRPr="006A4897">
        <w:rPr>
          <w:rFonts w:ascii="Tahoma" w:hAnsi="Tahoma" w:cs="Tahoma"/>
          <w:b/>
          <w:lang w:val="es-CO"/>
        </w:rPr>
        <w:t>Consideraciones</w:t>
      </w:r>
    </w:p>
    <w:p w14:paraId="17954044" w14:textId="77777777" w:rsidR="0096394E" w:rsidRDefault="0096394E" w:rsidP="0048276E">
      <w:pPr>
        <w:tabs>
          <w:tab w:val="left" w:pos="748"/>
        </w:tabs>
        <w:spacing w:line="240" w:lineRule="auto"/>
        <w:ind w:firstLine="709"/>
        <w:jc w:val="both"/>
        <w:rPr>
          <w:rFonts w:ascii="Tahoma" w:hAnsi="Tahoma" w:cs="Tahoma"/>
          <w:bCs/>
        </w:rPr>
      </w:pPr>
    </w:p>
    <w:p w14:paraId="7C1A328F" w14:textId="5F65DB7A" w:rsidR="0048276E" w:rsidRPr="00666BB2" w:rsidRDefault="0048276E" w:rsidP="0048276E">
      <w:pPr>
        <w:pStyle w:val="Prrafodelista"/>
        <w:numPr>
          <w:ilvl w:val="1"/>
          <w:numId w:val="9"/>
        </w:numPr>
        <w:tabs>
          <w:tab w:val="left" w:pos="567"/>
        </w:tabs>
        <w:ind w:left="1276" w:hanging="524"/>
        <w:jc w:val="both"/>
        <w:rPr>
          <w:rFonts w:ascii="Tahoma" w:hAnsi="Tahoma" w:cs="Tahoma"/>
          <w:b/>
        </w:rPr>
      </w:pPr>
      <w:r>
        <w:rPr>
          <w:rFonts w:ascii="Tahoma" w:hAnsi="Tahoma" w:cs="Tahoma"/>
          <w:b/>
        </w:rPr>
        <w:t>Del</w:t>
      </w:r>
      <w:r w:rsidRPr="00666BB2">
        <w:rPr>
          <w:rFonts w:ascii="Tahoma" w:hAnsi="Tahoma" w:cs="Tahoma"/>
          <w:b/>
        </w:rPr>
        <w:t>imitación del recurso de apelación</w:t>
      </w:r>
    </w:p>
    <w:p w14:paraId="14129E60" w14:textId="77777777" w:rsidR="0048276E" w:rsidRPr="00666BB2" w:rsidRDefault="0048276E" w:rsidP="0048276E">
      <w:pPr>
        <w:tabs>
          <w:tab w:val="left" w:pos="567"/>
        </w:tabs>
        <w:ind w:firstLine="708"/>
        <w:jc w:val="both"/>
        <w:rPr>
          <w:rFonts w:ascii="Tahoma" w:hAnsi="Tahoma" w:cs="Tahoma"/>
        </w:rPr>
      </w:pPr>
    </w:p>
    <w:p w14:paraId="6BD880F8" w14:textId="52CD8FD2" w:rsidR="0048276E" w:rsidRDefault="0048276E" w:rsidP="0048276E">
      <w:pPr>
        <w:widowControl w:val="0"/>
        <w:autoSpaceDE w:val="0"/>
        <w:autoSpaceDN w:val="0"/>
        <w:adjustRightInd w:val="0"/>
        <w:ind w:firstLine="708"/>
        <w:jc w:val="both"/>
        <w:rPr>
          <w:rFonts w:ascii="Tahoma" w:hAnsi="Tahoma" w:cs="Tahoma"/>
          <w:iCs/>
        </w:rPr>
      </w:pPr>
      <w:r w:rsidRPr="00666BB2">
        <w:rPr>
          <w:rFonts w:ascii="Tahoma" w:hAnsi="Tahoma" w:cs="Tahoma"/>
        </w:rPr>
        <w:t xml:space="preserve">No existe discusión alguna en el presente asunto respecto a que </w:t>
      </w:r>
      <w:r w:rsidR="003728A1">
        <w:rPr>
          <w:rFonts w:ascii="Tahoma" w:hAnsi="Tahoma" w:cs="Tahoma"/>
        </w:rPr>
        <w:t>el</w:t>
      </w:r>
      <w:r>
        <w:rPr>
          <w:rFonts w:ascii="Tahoma" w:hAnsi="Tahoma" w:cs="Tahoma"/>
        </w:rPr>
        <w:t xml:space="preserve"> señor </w:t>
      </w:r>
      <w:r w:rsidR="003728A1">
        <w:rPr>
          <w:rFonts w:ascii="Tahoma" w:hAnsi="Tahoma" w:cs="Tahoma"/>
        </w:rPr>
        <w:t xml:space="preserve">Galvis Ocampo </w:t>
      </w:r>
      <w:r w:rsidRPr="00666BB2">
        <w:rPr>
          <w:rFonts w:ascii="Tahoma" w:hAnsi="Tahoma" w:cs="Tahoma"/>
        </w:rPr>
        <w:t xml:space="preserve">nació el </w:t>
      </w:r>
      <w:r w:rsidR="003728A1">
        <w:rPr>
          <w:rFonts w:ascii="Tahoma" w:hAnsi="Tahoma" w:cs="Tahoma"/>
        </w:rPr>
        <w:t xml:space="preserve">15 de enero de 1953 </w:t>
      </w:r>
      <w:r w:rsidRPr="00666BB2">
        <w:rPr>
          <w:rFonts w:ascii="Tahoma" w:hAnsi="Tahoma" w:cs="Tahoma"/>
        </w:rPr>
        <w:t>(</w:t>
      </w:r>
      <w:proofErr w:type="spellStart"/>
      <w:r w:rsidRPr="00666BB2">
        <w:rPr>
          <w:rFonts w:ascii="Tahoma" w:hAnsi="Tahoma" w:cs="Tahoma"/>
        </w:rPr>
        <w:t>fl</w:t>
      </w:r>
      <w:proofErr w:type="spellEnd"/>
      <w:r w:rsidRPr="00666BB2">
        <w:rPr>
          <w:rFonts w:ascii="Tahoma" w:hAnsi="Tahoma" w:cs="Tahoma"/>
        </w:rPr>
        <w:t xml:space="preserve">. </w:t>
      </w:r>
      <w:r w:rsidR="003728A1">
        <w:rPr>
          <w:rFonts w:ascii="Tahoma" w:hAnsi="Tahoma" w:cs="Tahoma"/>
        </w:rPr>
        <w:t>13</w:t>
      </w:r>
      <w:r w:rsidRPr="00666BB2">
        <w:rPr>
          <w:rFonts w:ascii="Tahoma" w:hAnsi="Tahoma" w:cs="Tahoma"/>
        </w:rPr>
        <w:t xml:space="preserve">), por lo que, en principio, </w:t>
      </w:r>
      <w:r w:rsidR="003728A1">
        <w:rPr>
          <w:rFonts w:ascii="Tahoma" w:hAnsi="Tahoma" w:cs="Tahoma"/>
        </w:rPr>
        <w:t>fue</w:t>
      </w:r>
      <w:r w:rsidRPr="00666BB2">
        <w:rPr>
          <w:rFonts w:ascii="Tahoma" w:hAnsi="Tahoma" w:cs="Tahoma"/>
        </w:rPr>
        <w:t xml:space="preserve"> beneficiari</w:t>
      </w:r>
      <w:r w:rsidR="00BF3890">
        <w:rPr>
          <w:rFonts w:ascii="Tahoma" w:hAnsi="Tahoma" w:cs="Tahoma"/>
        </w:rPr>
        <w:t>o</w:t>
      </w:r>
      <w:r w:rsidRPr="00666BB2">
        <w:rPr>
          <w:rFonts w:ascii="Tahoma" w:hAnsi="Tahoma" w:cs="Tahoma"/>
        </w:rPr>
        <w:t xml:space="preserve"> del régimen de transición consagrado en el artículo 36 de la Ley 100 de 1993, por contar con más de </w:t>
      </w:r>
      <w:r w:rsidR="003728A1">
        <w:rPr>
          <w:rFonts w:ascii="Tahoma" w:hAnsi="Tahoma" w:cs="Tahoma"/>
        </w:rPr>
        <w:t>40</w:t>
      </w:r>
      <w:r w:rsidRPr="00666BB2">
        <w:rPr>
          <w:rFonts w:ascii="Tahoma" w:hAnsi="Tahoma" w:cs="Tahoma"/>
        </w:rPr>
        <w:t xml:space="preserve"> años de edad al 1º de abril de 1994, cuando entró en vigencia el nuevo régimen de seguridad social en pensiones.</w:t>
      </w:r>
      <w:r w:rsidR="00BF3890">
        <w:rPr>
          <w:rFonts w:ascii="Tahoma" w:hAnsi="Tahoma" w:cs="Tahoma"/>
        </w:rPr>
        <w:t xml:space="preserve"> </w:t>
      </w:r>
      <w:r w:rsidRPr="00666BB2">
        <w:rPr>
          <w:rFonts w:ascii="Tahoma" w:hAnsi="Tahoma" w:cs="Tahoma"/>
          <w:iCs/>
        </w:rPr>
        <w:t xml:space="preserve">Sin </w:t>
      </w:r>
      <w:r w:rsidRPr="00666BB2">
        <w:rPr>
          <w:rFonts w:ascii="Tahoma" w:hAnsi="Tahoma" w:cs="Tahoma"/>
          <w:iCs/>
        </w:rPr>
        <w:lastRenderedPageBreak/>
        <w:t xml:space="preserve">embargo, </w:t>
      </w:r>
      <w:r>
        <w:rPr>
          <w:rFonts w:ascii="Tahoma" w:hAnsi="Tahoma" w:cs="Tahoma"/>
          <w:iCs/>
        </w:rPr>
        <w:t xml:space="preserve">de las historias laborales obrantes en el plenario se puede advertir sin mayor dificultad que </w:t>
      </w:r>
      <w:r w:rsidR="00BF3890">
        <w:rPr>
          <w:rFonts w:ascii="Tahoma" w:hAnsi="Tahoma" w:cs="Tahoma"/>
          <w:iCs/>
        </w:rPr>
        <w:t xml:space="preserve">él </w:t>
      </w:r>
      <w:r>
        <w:rPr>
          <w:rFonts w:ascii="Tahoma" w:hAnsi="Tahoma" w:cs="Tahoma"/>
          <w:iCs/>
        </w:rPr>
        <w:t xml:space="preserve">se trasladó </w:t>
      </w:r>
      <w:r w:rsidRPr="00666BB2">
        <w:rPr>
          <w:rFonts w:ascii="Tahoma" w:hAnsi="Tahoma" w:cs="Tahoma"/>
        </w:rPr>
        <w:t>del régimen de prima media administrado por el</w:t>
      </w:r>
      <w:r>
        <w:rPr>
          <w:rFonts w:ascii="Tahoma" w:hAnsi="Tahoma" w:cs="Tahoma"/>
        </w:rPr>
        <w:t xml:space="preserve"> entonces</w:t>
      </w:r>
      <w:r w:rsidRPr="00666BB2">
        <w:rPr>
          <w:rFonts w:ascii="Tahoma" w:hAnsi="Tahoma" w:cs="Tahoma"/>
        </w:rPr>
        <w:t xml:space="preserve"> I</w:t>
      </w:r>
      <w:r>
        <w:rPr>
          <w:rFonts w:ascii="Tahoma" w:hAnsi="Tahoma" w:cs="Tahoma"/>
        </w:rPr>
        <w:t>.S.S.</w:t>
      </w:r>
      <w:r w:rsidRPr="00666BB2">
        <w:rPr>
          <w:rFonts w:ascii="Tahoma" w:hAnsi="Tahoma" w:cs="Tahoma"/>
        </w:rPr>
        <w:t xml:space="preserve"> al de ah</w:t>
      </w:r>
      <w:r>
        <w:rPr>
          <w:rFonts w:ascii="Tahoma" w:hAnsi="Tahoma" w:cs="Tahoma"/>
        </w:rPr>
        <w:t xml:space="preserve">orro individual con solidaridad, retornando con posterioridad </w:t>
      </w:r>
      <w:r w:rsidRPr="00666BB2">
        <w:rPr>
          <w:rFonts w:ascii="Tahoma" w:hAnsi="Tahoma" w:cs="Tahoma"/>
        </w:rPr>
        <w:t>al primero</w:t>
      </w:r>
      <w:r>
        <w:rPr>
          <w:rFonts w:ascii="Tahoma" w:hAnsi="Tahoma" w:cs="Tahoma"/>
        </w:rPr>
        <w:t>.</w:t>
      </w:r>
      <w:r>
        <w:rPr>
          <w:rFonts w:ascii="Tahoma" w:hAnsi="Tahoma" w:cs="Tahoma"/>
          <w:iCs/>
        </w:rPr>
        <w:t xml:space="preserve"> </w:t>
      </w:r>
    </w:p>
    <w:p w14:paraId="6BD8AB91" w14:textId="77777777" w:rsidR="0048276E" w:rsidRPr="00666BB2" w:rsidRDefault="0048276E" w:rsidP="0048276E">
      <w:pPr>
        <w:widowControl w:val="0"/>
        <w:autoSpaceDE w:val="0"/>
        <w:autoSpaceDN w:val="0"/>
        <w:adjustRightInd w:val="0"/>
        <w:ind w:firstLine="708"/>
        <w:jc w:val="both"/>
        <w:rPr>
          <w:rFonts w:ascii="Tahoma" w:hAnsi="Tahoma" w:cs="Tahoma"/>
        </w:rPr>
      </w:pPr>
    </w:p>
    <w:p w14:paraId="723AD514" w14:textId="5400D208" w:rsidR="0048276E" w:rsidRPr="00666BB2" w:rsidRDefault="0048276E" w:rsidP="0048276E">
      <w:pPr>
        <w:widowControl w:val="0"/>
        <w:autoSpaceDE w:val="0"/>
        <w:autoSpaceDN w:val="0"/>
        <w:adjustRightInd w:val="0"/>
        <w:ind w:firstLine="708"/>
        <w:jc w:val="both"/>
        <w:rPr>
          <w:rFonts w:ascii="Tahoma" w:hAnsi="Tahoma" w:cs="Tahoma"/>
        </w:rPr>
      </w:pPr>
      <w:r w:rsidRPr="00666BB2">
        <w:rPr>
          <w:rFonts w:ascii="Tahoma" w:hAnsi="Tahoma" w:cs="Tahoma"/>
        </w:rPr>
        <w:t xml:space="preserve">Por lo tanto, corresponde a esta Corporación determinar si dicho traslado, como lo </w:t>
      </w:r>
      <w:r>
        <w:rPr>
          <w:rFonts w:ascii="Tahoma" w:hAnsi="Tahoma" w:cs="Tahoma"/>
        </w:rPr>
        <w:t>determinó la Jueza de instancia</w:t>
      </w:r>
      <w:r w:rsidRPr="00666BB2">
        <w:rPr>
          <w:rFonts w:ascii="Tahoma" w:hAnsi="Tahoma" w:cs="Tahoma"/>
        </w:rPr>
        <w:t>, implic</w:t>
      </w:r>
      <w:r>
        <w:rPr>
          <w:rFonts w:ascii="Tahoma" w:hAnsi="Tahoma" w:cs="Tahoma"/>
        </w:rPr>
        <w:t xml:space="preserve">ó la pérdida de </w:t>
      </w:r>
      <w:r w:rsidRPr="00666BB2">
        <w:rPr>
          <w:rFonts w:ascii="Tahoma" w:hAnsi="Tahoma" w:cs="Tahoma"/>
        </w:rPr>
        <w:t>los beneficios del régimen de transición</w:t>
      </w:r>
      <w:r>
        <w:rPr>
          <w:rFonts w:ascii="Tahoma" w:hAnsi="Tahoma" w:cs="Tahoma"/>
        </w:rPr>
        <w:t xml:space="preserve"> del demandante</w:t>
      </w:r>
      <w:r w:rsidRPr="00666BB2">
        <w:rPr>
          <w:rFonts w:ascii="Tahoma" w:hAnsi="Tahoma" w:cs="Tahoma"/>
        </w:rPr>
        <w:t>, o si por el contrario, su pensión debe ser reconocida con fundamento en el Acuerdo 049 de 1990, como lo reclama el demandante.</w:t>
      </w:r>
    </w:p>
    <w:p w14:paraId="560D66C3" w14:textId="77777777" w:rsidR="0048276E" w:rsidRPr="00666BB2" w:rsidRDefault="0048276E" w:rsidP="0048276E">
      <w:pPr>
        <w:widowControl w:val="0"/>
        <w:autoSpaceDE w:val="0"/>
        <w:autoSpaceDN w:val="0"/>
        <w:adjustRightInd w:val="0"/>
        <w:ind w:firstLine="708"/>
        <w:jc w:val="both"/>
        <w:rPr>
          <w:rFonts w:ascii="Tahoma" w:hAnsi="Tahoma" w:cs="Tahoma"/>
        </w:rPr>
      </w:pPr>
    </w:p>
    <w:p w14:paraId="5B2C227A" w14:textId="633C19A9" w:rsidR="0048276E" w:rsidRPr="002A361C" w:rsidRDefault="002A361C" w:rsidP="002A361C">
      <w:pPr>
        <w:tabs>
          <w:tab w:val="left" w:pos="567"/>
        </w:tabs>
        <w:ind w:left="360" w:firstLine="349"/>
        <w:jc w:val="both"/>
        <w:rPr>
          <w:rFonts w:ascii="Tahoma" w:hAnsi="Tahoma" w:cs="Tahoma"/>
          <w:b/>
        </w:rPr>
      </w:pPr>
      <w:r>
        <w:rPr>
          <w:rFonts w:ascii="Tahoma" w:hAnsi="Tahoma" w:cs="Tahoma"/>
          <w:b/>
        </w:rPr>
        <w:t>4.2</w:t>
      </w:r>
      <w:r w:rsidR="0048276E" w:rsidRPr="002A361C">
        <w:rPr>
          <w:rFonts w:ascii="Tahoma" w:hAnsi="Tahoma" w:cs="Tahoma"/>
          <w:b/>
        </w:rPr>
        <w:t xml:space="preserve"> Del traslado de régimen y la recuperación de los beneficios del régimen de transición</w:t>
      </w:r>
    </w:p>
    <w:p w14:paraId="473381C7" w14:textId="77777777" w:rsidR="0048276E" w:rsidRPr="00666BB2" w:rsidRDefault="0048276E" w:rsidP="0048276E">
      <w:pPr>
        <w:tabs>
          <w:tab w:val="left" w:pos="567"/>
        </w:tabs>
        <w:ind w:firstLine="708"/>
        <w:jc w:val="both"/>
        <w:rPr>
          <w:rFonts w:ascii="Tahoma" w:hAnsi="Tahoma" w:cs="Tahoma"/>
        </w:rPr>
      </w:pPr>
    </w:p>
    <w:p w14:paraId="1E0698DF" w14:textId="713CEA59" w:rsidR="0048276E" w:rsidRPr="00666BB2" w:rsidRDefault="0048276E" w:rsidP="0048276E">
      <w:pPr>
        <w:ind w:right="3" w:firstLine="708"/>
        <w:jc w:val="both"/>
        <w:rPr>
          <w:rFonts w:ascii="Tahoma" w:hAnsi="Tahoma" w:cs="Tahoma"/>
        </w:rPr>
      </w:pPr>
      <w:r>
        <w:rPr>
          <w:rFonts w:ascii="Tahoma" w:hAnsi="Tahoma" w:cs="Tahoma"/>
        </w:rPr>
        <w:t>Sea lo primero advertir a</w:t>
      </w:r>
      <w:r w:rsidR="006365FD">
        <w:rPr>
          <w:rFonts w:ascii="Tahoma" w:hAnsi="Tahoma" w:cs="Tahoma"/>
        </w:rPr>
        <w:t>l togad</w:t>
      </w:r>
      <w:r w:rsidR="00EC3D67">
        <w:rPr>
          <w:rFonts w:ascii="Tahoma" w:hAnsi="Tahoma" w:cs="Tahoma"/>
        </w:rPr>
        <w:t>o</w:t>
      </w:r>
      <w:r w:rsidR="006365FD">
        <w:rPr>
          <w:rFonts w:ascii="Tahoma" w:hAnsi="Tahoma" w:cs="Tahoma"/>
        </w:rPr>
        <w:t xml:space="preserve"> </w:t>
      </w:r>
      <w:r>
        <w:rPr>
          <w:rFonts w:ascii="Tahoma" w:hAnsi="Tahoma" w:cs="Tahoma"/>
        </w:rPr>
        <w:t>apelante que e</w:t>
      </w:r>
      <w:r w:rsidRPr="00666BB2">
        <w:rPr>
          <w:rFonts w:ascii="Tahoma" w:hAnsi="Tahoma" w:cs="Tahoma"/>
        </w:rPr>
        <w:t>l inciso 4º del artículo 36 de la Ley 100 de 1993 establece expresamente que el régimen de transición no es aplicable a las personas que</w:t>
      </w:r>
      <w:r>
        <w:rPr>
          <w:rFonts w:ascii="Tahoma" w:hAnsi="Tahoma" w:cs="Tahoma"/>
        </w:rPr>
        <w:t>,</w:t>
      </w:r>
      <w:r w:rsidRPr="00666BB2">
        <w:rPr>
          <w:rFonts w:ascii="Tahoma" w:hAnsi="Tahoma" w:cs="Tahoma"/>
        </w:rPr>
        <w:t xml:space="preserve"> estando en el régimen de prima media administrado por el Instituto de Seguros Sociales </w:t>
      </w:r>
      <w:r w:rsidRPr="00666BB2">
        <w:rPr>
          <w:rFonts w:ascii="Tahoma" w:hAnsi="Tahoma" w:cs="Tahoma"/>
          <w:i/>
        </w:rPr>
        <w:t>“voluntariamente se acojan al régimen de ahorro individual”</w:t>
      </w:r>
      <w:r>
        <w:rPr>
          <w:rFonts w:ascii="Tahoma" w:hAnsi="Tahoma" w:cs="Tahoma"/>
          <w:i/>
        </w:rPr>
        <w:t>.</w:t>
      </w:r>
      <w:r w:rsidRPr="00666BB2">
        <w:rPr>
          <w:rFonts w:ascii="Tahoma" w:hAnsi="Tahoma" w:cs="Tahoma"/>
        </w:rPr>
        <w:t xml:space="preserve"> Dicha norma fue declarada exequible de manera condicionada por la Corte Constitucional mediante Sentencia C-789 de 2002, en el entendido de que no se aplica a quienes habían cumplido 15 años o más de servicios cotizados al momento de entrar en vigencia el sistema de seguridad social en pensiones, esto es, al 1º de abril de 1994, posición que ha sido reiterada, entre otras, en las sentencias C-1024 de 2004 y SU-062 de 2010.</w:t>
      </w:r>
    </w:p>
    <w:p w14:paraId="7E2353DD" w14:textId="77777777" w:rsidR="0048276E" w:rsidRDefault="0048276E" w:rsidP="0048276E">
      <w:pPr>
        <w:ind w:right="3" w:firstLine="708"/>
        <w:jc w:val="both"/>
        <w:rPr>
          <w:rFonts w:ascii="Tahoma" w:hAnsi="Tahoma" w:cs="Tahoma"/>
        </w:rPr>
      </w:pPr>
    </w:p>
    <w:p w14:paraId="2C552F9C" w14:textId="77777777" w:rsidR="0048276E" w:rsidRPr="00C457DF" w:rsidRDefault="0048276E" w:rsidP="0048276E">
      <w:pPr>
        <w:pStyle w:val="Textoindependiente"/>
        <w:spacing w:after="0" w:line="276" w:lineRule="auto"/>
        <w:ind w:right="51" w:firstLine="708"/>
        <w:jc w:val="both"/>
        <w:rPr>
          <w:rFonts w:ascii="Tahoma" w:hAnsi="Tahoma" w:cs="Tahoma"/>
          <w:sz w:val="22"/>
          <w:szCs w:val="22"/>
        </w:rPr>
      </w:pPr>
      <w:r w:rsidRPr="00C457DF">
        <w:rPr>
          <w:rFonts w:ascii="Tahoma" w:hAnsi="Tahoma" w:cs="Tahoma"/>
          <w:sz w:val="22"/>
          <w:szCs w:val="22"/>
        </w:rPr>
        <w:t>En cuanto a los requisitos para retornar al régimen de prima</w:t>
      </w:r>
      <w:r>
        <w:rPr>
          <w:rFonts w:ascii="Tahoma" w:hAnsi="Tahoma" w:cs="Tahoma"/>
          <w:sz w:val="22"/>
          <w:szCs w:val="22"/>
        </w:rPr>
        <w:t xml:space="preserve"> media </w:t>
      </w:r>
      <w:r w:rsidRPr="00C457DF">
        <w:rPr>
          <w:rFonts w:ascii="Tahoma" w:hAnsi="Tahoma" w:cs="Tahoma"/>
          <w:sz w:val="22"/>
          <w:szCs w:val="22"/>
        </w:rPr>
        <w:t>para quienes se trasladaron al RAIS, conservando los beneficios transicionales enmarcados en el artículo 36 de la Ley 100 de 1993, la Sala de Casación Laboral de la Corte Suprema de Justicia en la sentencia SL12447 de 2015, reiteró su jurisprudencia indicando:</w:t>
      </w:r>
    </w:p>
    <w:p w14:paraId="5B1043EB" w14:textId="77777777" w:rsidR="0048276E" w:rsidRPr="00C457DF" w:rsidRDefault="0048276E" w:rsidP="0048276E">
      <w:pPr>
        <w:pStyle w:val="Textoindependiente"/>
        <w:spacing w:after="0" w:line="276" w:lineRule="auto"/>
        <w:ind w:right="51" w:firstLine="708"/>
        <w:jc w:val="both"/>
        <w:rPr>
          <w:rFonts w:ascii="Tahoma" w:hAnsi="Tahoma" w:cs="Tahoma"/>
          <w:sz w:val="22"/>
          <w:szCs w:val="22"/>
        </w:rPr>
      </w:pPr>
    </w:p>
    <w:p w14:paraId="1A0A7CD1" w14:textId="77777777" w:rsidR="0048276E" w:rsidRPr="00C457DF" w:rsidRDefault="0048276E" w:rsidP="0048276E">
      <w:pPr>
        <w:ind w:left="709" w:right="334"/>
        <w:jc w:val="both"/>
        <w:rPr>
          <w:rFonts w:ascii="Tahoma" w:hAnsi="Tahoma" w:cs="Tahoma"/>
          <w:i/>
          <w:iCs/>
        </w:rPr>
      </w:pPr>
      <w:r w:rsidRPr="00C457DF">
        <w:rPr>
          <w:rFonts w:ascii="Arial Narrow" w:hAnsi="Arial Narrow" w:cs="Arial"/>
        </w:rPr>
        <w:t>“Sobre la temática propuesta en el cargo, debe señalarse que la Corte, en su jurisprudencia no ha condicionado la conservación del régimen de transición para quienes se habían trasladado al régimen de ahorro individual y posteriormente regresaron al régimen de prima media, a que el traslado del capital del fondo privado no haya sido inferior al monto de los aportes que se hubiesen alcanzado de permanecer en el ISS o a que el traslado no se haga en el año siguiente de vigencia de la Ley 797 de 2003, pues el único requisito legal en este tipo de eventos que se ha considerado para conservar el beneficio de transición, es que el afiliado cuente con al menos 15 años de servicios, al momento de la entrada en vigencia de la Ley 100 de 1993, por lo que no le asiste razón a la censura en ninguno de sus dos planteamientos del ataque.”</w:t>
      </w:r>
    </w:p>
    <w:p w14:paraId="1F632DBA" w14:textId="77777777" w:rsidR="0048276E" w:rsidRPr="00666BB2" w:rsidRDefault="0048276E" w:rsidP="0048276E">
      <w:pPr>
        <w:ind w:right="3" w:firstLine="708"/>
        <w:jc w:val="both"/>
        <w:rPr>
          <w:rFonts w:ascii="Tahoma" w:hAnsi="Tahoma" w:cs="Tahoma"/>
        </w:rPr>
      </w:pPr>
    </w:p>
    <w:p w14:paraId="3ADDFD35" w14:textId="1AAB2764" w:rsidR="0048276E" w:rsidRPr="002A361C" w:rsidRDefault="0048276E" w:rsidP="002A361C">
      <w:pPr>
        <w:pStyle w:val="Prrafodelista"/>
        <w:numPr>
          <w:ilvl w:val="1"/>
          <w:numId w:val="10"/>
        </w:numPr>
        <w:tabs>
          <w:tab w:val="left" w:pos="567"/>
        </w:tabs>
        <w:ind w:left="1134" w:hanging="393"/>
        <w:jc w:val="both"/>
        <w:rPr>
          <w:rFonts w:ascii="Tahoma" w:hAnsi="Tahoma" w:cs="Tahoma"/>
          <w:b/>
        </w:rPr>
      </w:pPr>
      <w:r w:rsidRPr="002A361C">
        <w:rPr>
          <w:rFonts w:ascii="Tahoma" w:hAnsi="Tahoma" w:cs="Tahoma"/>
          <w:b/>
        </w:rPr>
        <w:t>Del caso concreto</w:t>
      </w:r>
    </w:p>
    <w:p w14:paraId="71479C6A" w14:textId="77777777" w:rsidR="0048276E" w:rsidRPr="00666BB2" w:rsidRDefault="0048276E" w:rsidP="0048276E">
      <w:pPr>
        <w:tabs>
          <w:tab w:val="left" w:pos="567"/>
        </w:tabs>
        <w:ind w:firstLine="708"/>
        <w:jc w:val="both"/>
        <w:rPr>
          <w:rFonts w:ascii="Tahoma" w:hAnsi="Tahoma" w:cs="Tahoma"/>
        </w:rPr>
      </w:pPr>
    </w:p>
    <w:p w14:paraId="63487741" w14:textId="0B1C07E1" w:rsidR="0048276E" w:rsidRDefault="0048276E" w:rsidP="0048276E">
      <w:pPr>
        <w:ind w:right="3" w:firstLine="708"/>
        <w:jc w:val="both"/>
        <w:rPr>
          <w:rFonts w:ascii="Tahoma" w:hAnsi="Tahoma" w:cs="Tahoma"/>
          <w:iCs/>
        </w:rPr>
      </w:pPr>
      <w:r w:rsidRPr="00666BB2">
        <w:rPr>
          <w:rFonts w:ascii="Tahoma" w:hAnsi="Tahoma" w:cs="Tahoma"/>
          <w:iCs/>
        </w:rPr>
        <w:t xml:space="preserve">Descendiendo </w:t>
      </w:r>
      <w:r>
        <w:rPr>
          <w:rFonts w:ascii="Tahoma" w:hAnsi="Tahoma" w:cs="Tahoma"/>
          <w:iCs/>
        </w:rPr>
        <w:t>a</w:t>
      </w:r>
      <w:r w:rsidRPr="00666BB2">
        <w:rPr>
          <w:rFonts w:ascii="Tahoma" w:hAnsi="Tahoma" w:cs="Tahoma"/>
          <w:iCs/>
        </w:rPr>
        <w:t>l caso concreto, enc</w:t>
      </w:r>
      <w:r>
        <w:rPr>
          <w:rFonts w:ascii="Tahoma" w:hAnsi="Tahoma" w:cs="Tahoma"/>
          <w:iCs/>
        </w:rPr>
        <w:t xml:space="preserve">uentra la Sala </w:t>
      </w:r>
      <w:r w:rsidRPr="00666BB2">
        <w:rPr>
          <w:rFonts w:ascii="Tahoma" w:hAnsi="Tahoma" w:cs="Tahoma"/>
          <w:iCs/>
        </w:rPr>
        <w:t>que de acuerdo con la</w:t>
      </w:r>
      <w:r>
        <w:rPr>
          <w:rFonts w:ascii="Tahoma" w:hAnsi="Tahoma" w:cs="Tahoma"/>
          <w:iCs/>
        </w:rPr>
        <w:t>s</w:t>
      </w:r>
      <w:r w:rsidRPr="00666BB2">
        <w:rPr>
          <w:rFonts w:ascii="Tahoma" w:hAnsi="Tahoma" w:cs="Tahoma"/>
          <w:iCs/>
        </w:rPr>
        <w:t xml:space="preserve"> historia</w:t>
      </w:r>
      <w:r>
        <w:rPr>
          <w:rFonts w:ascii="Tahoma" w:hAnsi="Tahoma" w:cs="Tahoma"/>
          <w:iCs/>
        </w:rPr>
        <w:t>s</w:t>
      </w:r>
      <w:r w:rsidRPr="00666BB2">
        <w:rPr>
          <w:rFonts w:ascii="Tahoma" w:hAnsi="Tahoma" w:cs="Tahoma"/>
          <w:iCs/>
        </w:rPr>
        <w:t xml:space="preserve"> laboral</w:t>
      </w:r>
      <w:r>
        <w:rPr>
          <w:rFonts w:ascii="Tahoma" w:hAnsi="Tahoma" w:cs="Tahoma"/>
          <w:iCs/>
        </w:rPr>
        <w:t>es obrantes en el infolio</w:t>
      </w:r>
      <w:r w:rsidRPr="00666BB2">
        <w:rPr>
          <w:rFonts w:ascii="Tahoma" w:hAnsi="Tahoma" w:cs="Tahoma"/>
          <w:iCs/>
        </w:rPr>
        <w:t xml:space="preserve">, </w:t>
      </w:r>
      <w:r>
        <w:rPr>
          <w:rFonts w:ascii="Tahoma" w:hAnsi="Tahoma" w:cs="Tahoma"/>
          <w:iCs/>
        </w:rPr>
        <w:t xml:space="preserve">así como con los certificados de información laboral expedidos por </w:t>
      </w:r>
      <w:r w:rsidR="00B56043">
        <w:rPr>
          <w:rFonts w:ascii="Tahoma" w:hAnsi="Tahoma" w:cs="Tahoma"/>
          <w:iCs/>
        </w:rPr>
        <w:t xml:space="preserve">el Ministerio de Defensa Nacional </w:t>
      </w:r>
      <w:r w:rsidR="00B56043" w:rsidRPr="00666BB2">
        <w:rPr>
          <w:rFonts w:ascii="Tahoma" w:hAnsi="Tahoma" w:cs="Tahoma"/>
          <w:iCs/>
        </w:rPr>
        <w:t>(</w:t>
      </w:r>
      <w:proofErr w:type="spellStart"/>
      <w:r w:rsidR="00B56043" w:rsidRPr="00666BB2">
        <w:rPr>
          <w:rFonts w:ascii="Tahoma" w:hAnsi="Tahoma" w:cs="Tahoma"/>
          <w:iCs/>
        </w:rPr>
        <w:t>fl</w:t>
      </w:r>
      <w:r w:rsidR="00B56043">
        <w:rPr>
          <w:rFonts w:ascii="Tahoma" w:hAnsi="Tahoma" w:cs="Tahoma"/>
          <w:iCs/>
        </w:rPr>
        <w:t>s</w:t>
      </w:r>
      <w:proofErr w:type="spellEnd"/>
      <w:r w:rsidR="00B56043" w:rsidRPr="00666BB2">
        <w:rPr>
          <w:rFonts w:ascii="Tahoma" w:hAnsi="Tahoma" w:cs="Tahoma"/>
          <w:iCs/>
        </w:rPr>
        <w:t xml:space="preserve">. </w:t>
      </w:r>
      <w:r w:rsidR="00B56043">
        <w:rPr>
          <w:rFonts w:ascii="Tahoma" w:hAnsi="Tahoma" w:cs="Tahoma"/>
          <w:iCs/>
        </w:rPr>
        <w:t>8 a 19</w:t>
      </w:r>
      <w:r w:rsidR="009A66B6">
        <w:rPr>
          <w:rFonts w:ascii="Tahoma" w:hAnsi="Tahoma" w:cs="Tahoma"/>
          <w:iCs/>
        </w:rPr>
        <w:t xml:space="preserve"> y 77</w:t>
      </w:r>
      <w:r w:rsidR="00B56043" w:rsidRPr="00666BB2">
        <w:rPr>
          <w:rFonts w:ascii="Tahoma" w:hAnsi="Tahoma" w:cs="Tahoma"/>
          <w:iCs/>
        </w:rPr>
        <w:t>)</w:t>
      </w:r>
      <w:r>
        <w:rPr>
          <w:rFonts w:ascii="Tahoma" w:hAnsi="Tahoma" w:cs="Tahoma"/>
          <w:iCs/>
        </w:rPr>
        <w:t xml:space="preserve">, </w:t>
      </w:r>
      <w:r w:rsidR="00B56043">
        <w:rPr>
          <w:rFonts w:ascii="Tahoma" w:hAnsi="Tahoma" w:cs="Tahoma"/>
          <w:iCs/>
        </w:rPr>
        <w:t>el</w:t>
      </w:r>
      <w:r>
        <w:rPr>
          <w:rFonts w:ascii="Tahoma" w:hAnsi="Tahoma" w:cs="Tahoma"/>
          <w:iCs/>
        </w:rPr>
        <w:t xml:space="preserve"> </w:t>
      </w:r>
      <w:r w:rsidRPr="00666BB2">
        <w:rPr>
          <w:rFonts w:ascii="Tahoma" w:hAnsi="Tahoma" w:cs="Tahoma"/>
          <w:iCs/>
        </w:rPr>
        <w:t xml:space="preserve">demandante tenía cotizadas a la entrada en vigencia de la Ley 100 de 1993 un total de </w:t>
      </w:r>
      <w:r w:rsidR="00B56043">
        <w:rPr>
          <w:rFonts w:ascii="Tahoma" w:hAnsi="Tahoma" w:cs="Tahoma"/>
          <w:iCs/>
        </w:rPr>
        <w:t>440,68</w:t>
      </w:r>
      <w:r w:rsidRPr="006365FD">
        <w:rPr>
          <w:rFonts w:ascii="Tahoma" w:hAnsi="Tahoma" w:cs="Tahoma"/>
          <w:iCs/>
          <w:color w:val="FF0000"/>
        </w:rPr>
        <w:t xml:space="preserve"> </w:t>
      </w:r>
      <w:r w:rsidRPr="00B56043">
        <w:rPr>
          <w:rFonts w:ascii="Tahoma" w:hAnsi="Tahoma" w:cs="Tahoma"/>
          <w:iCs/>
        </w:rPr>
        <w:t xml:space="preserve">semanas, que equivalen a </w:t>
      </w:r>
      <w:r w:rsidR="00B56043" w:rsidRPr="00B56043">
        <w:rPr>
          <w:rFonts w:ascii="Tahoma" w:hAnsi="Tahoma" w:cs="Tahoma"/>
          <w:iCs/>
        </w:rPr>
        <w:t xml:space="preserve">8,56 </w:t>
      </w:r>
      <w:r w:rsidRPr="00B56043">
        <w:rPr>
          <w:rFonts w:ascii="Tahoma" w:hAnsi="Tahoma" w:cs="Tahoma"/>
          <w:iCs/>
        </w:rPr>
        <w:t xml:space="preserve">años de servicio, </w:t>
      </w:r>
      <w:r w:rsidRPr="00666BB2">
        <w:rPr>
          <w:rFonts w:ascii="Tahoma" w:hAnsi="Tahoma" w:cs="Tahoma"/>
          <w:iCs/>
        </w:rPr>
        <w:t>incumpliendo así con el requisito anotado, es decir, que al 1° de abril de 1994 tuviera 15 o más años de servicios prestados o su e</w:t>
      </w:r>
      <w:r>
        <w:rPr>
          <w:rFonts w:ascii="Tahoma" w:hAnsi="Tahoma" w:cs="Tahoma"/>
          <w:iCs/>
        </w:rPr>
        <w:t xml:space="preserve">quivalente en semanas cotizadas. Esta postura ha sido reiterada en distintas ocasiones por esta Corporación, en primer lugar, por cuanto ella se desprende del tenor del inciso 4º del artículo 36 de la ley 100, el cual excluyó a las personas que se habían beneficiado del régimen de transición exclusivamente por edad para que retornaran al régimen de prima media con las prerrogativas transicionales y, en segundo lugar, porque esa interpretación ha sido respaldada jurisprudencialmente por los órganos de cierre de las jurisdicciones ordinaria y constitucional; de manera que </w:t>
      </w:r>
      <w:r w:rsidR="006365FD">
        <w:rPr>
          <w:rFonts w:ascii="Tahoma" w:hAnsi="Tahoma" w:cs="Tahoma"/>
          <w:iCs/>
        </w:rPr>
        <w:t>no</w:t>
      </w:r>
      <w:r>
        <w:rPr>
          <w:rFonts w:ascii="Tahoma" w:hAnsi="Tahoma" w:cs="Tahoma"/>
          <w:iCs/>
        </w:rPr>
        <w:t xml:space="preserve"> se acepta</w:t>
      </w:r>
      <w:r w:rsidR="006365FD">
        <w:rPr>
          <w:rFonts w:ascii="Tahoma" w:hAnsi="Tahoma" w:cs="Tahoma"/>
          <w:iCs/>
        </w:rPr>
        <w:t>n los escasos argumentos expuestos en la censura</w:t>
      </w:r>
      <w:r>
        <w:rPr>
          <w:rFonts w:ascii="Tahoma" w:hAnsi="Tahoma" w:cs="Tahoma"/>
          <w:iCs/>
        </w:rPr>
        <w:t xml:space="preserve">, pues, itérese, </w:t>
      </w:r>
      <w:r w:rsidR="00B71453">
        <w:rPr>
          <w:rFonts w:ascii="Tahoma" w:hAnsi="Tahoma" w:cs="Tahoma"/>
          <w:iCs/>
        </w:rPr>
        <w:t xml:space="preserve">el precedente </w:t>
      </w:r>
      <w:r>
        <w:rPr>
          <w:rFonts w:ascii="Tahoma" w:hAnsi="Tahoma" w:cs="Tahoma"/>
          <w:iCs/>
        </w:rPr>
        <w:t>se funda en la disposición legal que sigue estando vigente en el ordenamiento jurídico.</w:t>
      </w:r>
    </w:p>
    <w:p w14:paraId="6E13F66A" w14:textId="77777777" w:rsidR="0048276E" w:rsidRPr="00666BB2" w:rsidRDefault="0048276E" w:rsidP="0048276E">
      <w:pPr>
        <w:ind w:right="3" w:firstLine="708"/>
        <w:jc w:val="both"/>
        <w:rPr>
          <w:rFonts w:ascii="Tahoma" w:hAnsi="Tahoma" w:cs="Tahoma"/>
          <w:iCs/>
        </w:rPr>
      </w:pPr>
    </w:p>
    <w:p w14:paraId="0EE13FBD" w14:textId="462D275B" w:rsidR="0048276E" w:rsidRPr="00666BB2" w:rsidRDefault="0048276E" w:rsidP="0048276E">
      <w:pPr>
        <w:widowControl w:val="0"/>
        <w:autoSpaceDE w:val="0"/>
        <w:autoSpaceDN w:val="0"/>
        <w:adjustRightInd w:val="0"/>
        <w:ind w:firstLine="708"/>
        <w:jc w:val="both"/>
        <w:rPr>
          <w:rFonts w:ascii="Tahoma" w:hAnsi="Tahoma" w:cs="Tahoma"/>
        </w:rPr>
      </w:pPr>
      <w:r>
        <w:rPr>
          <w:rFonts w:ascii="Tahoma" w:hAnsi="Tahoma" w:cs="Tahoma"/>
        </w:rPr>
        <w:t xml:space="preserve">Así las cosas, resulta palmario que </w:t>
      </w:r>
      <w:r w:rsidR="00B71453">
        <w:rPr>
          <w:rFonts w:ascii="Tahoma" w:hAnsi="Tahoma" w:cs="Tahoma"/>
        </w:rPr>
        <w:t>el</w:t>
      </w:r>
      <w:r w:rsidRPr="00666BB2">
        <w:rPr>
          <w:rFonts w:ascii="Tahoma" w:hAnsi="Tahoma" w:cs="Tahoma"/>
        </w:rPr>
        <w:t xml:space="preserve"> demandante perdió los beneficios del régimen </w:t>
      </w:r>
      <w:r w:rsidRPr="00666BB2">
        <w:rPr>
          <w:rFonts w:ascii="Tahoma" w:hAnsi="Tahoma" w:cs="Tahoma"/>
        </w:rPr>
        <w:lastRenderedPageBreak/>
        <w:t xml:space="preserve">transicional y, por tanto, </w:t>
      </w:r>
      <w:r>
        <w:rPr>
          <w:rFonts w:ascii="Tahoma" w:hAnsi="Tahoma" w:cs="Tahoma"/>
        </w:rPr>
        <w:t xml:space="preserve">la prestación reclamada </w:t>
      </w:r>
      <w:r w:rsidRPr="00666BB2">
        <w:rPr>
          <w:rFonts w:ascii="Tahoma" w:hAnsi="Tahoma" w:cs="Tahoma"/>
        </w:rPr>
        <w:t>deb</w:t>
      </w:r>
      <w:r>
        <w:rPr>
          <w:rFonts w:ascii="Tahoma" w:hAnsi="Tahoma" w:cs="Tahoma"/>
        </w:rPr>
        <w:t xml:space="preserve">ía </w:t>
      </w:r>
      <w:r w:rsidRPr="00666BB2">
        <w:rPr>
          <w:rFonts w:ascii="Tahoma" w:hAnsi="Tahoma" w:cs="Tahoma"/>
        </w:rPr>
        <w:t>ser estudiada de conformidad con los requisitos de la Ley 100 de 1993, la cual, en su artículo 33</w:t>
      </w:r>
      <w:r>
        <w:rPr>
          <w:rFonts w:ascii="Tahoma" w:hAnsi="Tahoma" w:cs="Tahoma"/>
        </w:rPr>
        <w:t>,</w:t>
      </w:r>
      <w:r w:rsidRPr="00666BB2">
        <w:rPr>
          <w:rFonts w:ascii="Tahoma" w:hAnsi="Tahoma" w:cs="Tahoma"/>
        </w:rPr>
        <w:t xml:space="preserve"> exige </w:t>
      </w:r>
      <w:r w:rsidR="00B71453">
        <w:rPr>
          <w:rFonts w:ascii="Tahoma" w:hAnsi="Tahoma" w:cs="Tahoma"/>
        </w:rPr>
        <w:t>60</w:t>
      </w:r>
      <w:r w:rsidRPr="00666BB2">
        <w:rPr>
          <w:rFonts w:ascii="Tahoma" w:hAnsi="Tahoma" w:cs="Tahoma"/>
        </w:rPr>
        <w:t xml:space="preserve"> años de edad y 1000 semanas de cotización en cualquier tiempo, incrementándose a 1050 en el 2005 y en 25 semanas a partir del 1º de enero de 200</w:t>
      </w:r>
      <w:r w:rsidR="00EC3D67">
        <w:rPr>
          <w:rFonts w:ascii="Tahoma" w:hAnsi="Tahoma" w:cs="Tahoma"/>
        </w:rPr>
        <w:t>6</w:t>
      </w:r>
      <w:r w:rsidRPr="00666BB2">
        <w:rPr>
          <w:rFonts w:ascii="Tahoma" w:hAnsi="Tahoma" w:cs="Tahoma"/>
        </w:rPr>
        <w:t xml:space="preserve"> hasta llegar a las 1300 en el año 2015.</w:t>
      </w:r>
    </w:p>
    <w:p w14:paraId="7256F99E" w14:textId="77777777" w:rsidR="0048276E" w:rsidRPr="00666BB2" w:rsidRDefault="0048276E" w:rsidP="0048276E">
      <w:pPr>
        <w:widowControl w:val="0"/>
        <w:autoSpaceDE w:val="0"/>
        <w:autoSpaceDN w:val="0"/>
        <w:adjustRightInd w:val="0"/>
        <w:ind w:firstLine="708"/>
        <w:jc w:val="both"/>
        <w:rPr>
          <w:rFonts w:ascii="Tahoma" w:hAnsi="Tahoma" w:cs="Tahoma"/>
        </w:rPr>
      </w:pPr>
    </w:p>
    <w:p w14:paraId="0DB318F0" w14:textId="5A0E6122" w:rsidR="0048276E" w:rsidRDefault="0048276E" w:rsidP="0048276E">
      <w:pPr>
        <w:widowControl w:val="0"/>
        <w:autoSpaceDE w:val="0"/>
        <w:autoSpaceDN w:val="0"/>
        <w:adjustRightInd w:val="0"/>
        <w:ind w:firstLine="708"/>
        <w:jc w:val="both"/>
        <w:rPr>
          <w:rFonts w:ascii="Tahoma" w:hAnsi="Tahoma" w:cs="Tahoma"/>
        </w:rPr>
      </w:pPr>
      <w:r w:rsidRPr="00666BB2">
        <w:rPr>
          <w:rFonts w:ascii="Tahoma" w:hAnsi="Tahoma" w:cs="Tahoma"/>
        </w:rPr>
        <w:t xml:space="preserve">En cuanto al primer requisito </w:t>
      </w:r>
      <w:r>
        <w:rPr>
          <w:rFonts w:ascii="Tahoma" w:hAnsi="Tahoma" w:cs="Tahoma"/>
        </w:rPr>
        <w:t>se</w:t>
      </w:r>
      <w:r w:rsidRPr="00666BB2">
        <w:rPr>
          <w:rFonts w:ascii="Tahoma" w:hAnsi="Tahoma" w:cs="Tahoma"/>
        </w:rPr>
        <w:t xml:space="preserve"> </w:t>
      </w:r>
      <w:r>
        <w:rPr>
          <w:rFonts w:ascii="Tahoma" w:hAnsi="Tahoma" w:cs="Tahoma"/>
        </w:rPr>
        <w:t xml:space="preserve">observa que el mismo se </w:t>
      </w:r>
      <w:r w:rsidRPr="00666BB2">
        <w:rPr>
          <w:rFonts w:ascii="Tahoma" w:hAnsi="Tahoma" w:cs="Tahoma"/>
        </w:rPr>
        <w:t>cumple a cabalidad</w:t>
      </w:r>
      <w:r>
        <w:rPr>
          <w:rFonts w:ascii="Tahoma" w:hAnsi="Tahoma" w:cs="Tahoma"/>
        </w:rPr>
        <w:t>,</w:t>
      </w:r>
      <w:r w:rsidRPr="00666BB2">
        <w:rPr>
          <w:rFonts w:ascii="Tahoma" w:hAnsi="Tahoma" w:cs="Tahoma"/>
        </w:rPr>
        <w:t xml:space="preserve"> como quiera que </w:t>
      </w:r>
      <w:r w:rsidR="00B71453">
        <w:rPr>
          <w:rFonts w:ascii="Tahoma" w:hAnsi="Tahoma" w:cs="Tahoma"/>
        </w:rPr>
        <w:t xml:space="preserve">el señor Galvis Ocampo </w:t>
      </w:r>
      <w:r w:rsidRPr="00666BB2">
        <w:rPr>
          <w:rFonts w:ascii="Tahoma" w:hAnsi="Tahoma" w:cs="Tahoma"/>
        </w:rPr>
        <w:t xml:space="preserve">cumplió </w:t>
      </w:r>
      <w:r w:rsidR="00B71453">
        <w:rPr>
          <w:rFonts w:ascii="Tahoma" w:hAnsi="Tahoma" w:cs="Tahoma"/>
        </w:rPr>
        <w:t>60</w:t>
      </w:r>
      <w:r w:rsidRPr="00666BB2">
        <w:rPr>
          <w:rFonts w:ascii="Tahoma" w:hAnsi="Tahoma" w:cs="Tahoma"/>
        </w:rPr>
        <w:t xml:space="preserve"> años el </w:t>
      </w:r>
      <w:r w:rsidR="0075097B">
        <w:rPr>
          <w:rFonts w:ascii="Tahoma" w:hAnsi="Tahoma" w:cs="Tahoma"/>
        </w:rPr>
        <w:t>15</w:t>
      </w:r>
      <w:r w:rsidRPr="00666BB2">
        <w:rPr>
          <w:rFonts w:ascii="Tahoma" w:hAnsi="Tahoma" w:cs="Tahoma"/>
        </w:rPr>
        <w:t xml:space="preserve"> de </w:t>
      </w:r>
      <w:r w:rsidR="0075097B">
        <w:rPr>
          <w:rFonts w:ascii="Tahoma" w:hAnsi="Tahoma" w:cs="Tahoma"/>
        </w:rPr>
        <w:t>enero  de 2013</w:t>
      </w:r>
      <w:r w:rsidRPr="00666BB2">
        <w:rPr>
          <w:rFonts w:ascii="Tahoma" w:hAnsi="Tahoma" w:cs="Tahoma"/>
        </w:rPr>
        <w:t xml:space="preserve">, </w:t>
      </w:r>
      <w:r w:rsidR="0075097B">
        <w:rPr>
          <w:rFonts w:ascii="Tahoma" w:hAnsi="Tahoma" w:cs="Tahoma"/>
        </w:rPr>
        <w:t>además</w:t>
      </w:r>
      <w:r>
        <w:rPr>
          <w:rFonts w:ascii="Tahoma" w:hAnsi="Tahoma" w:cs="Tahoma"/>
        </w:rPr>
        <w:t xml:space="preserve">, </w:t>
      </w:r>
      <w:r w:rsidR="009A66B6">
        <w:rPr>
          <w:rFonts w:ascii="Tahoma" w:hAnsi="Tahoma" w:cs="Tahoma"/>
        </w:rPr>
        <w:t xml:space="preserve">frente al segundo, </w:t>
      </w:r>
      <w:r>
        <w:rPr>
          <w:rFonts w:ascii="Tahoma" w:hAnsi="Tahoma" w:cs="Tahoma"/>
        </w:rPr>
        <w:t xml:space="preserve">de acuerdo a los documentos a que se hizo referencia previamente, al 30 de </w:t>
      </w:r>
      <w:r w:rsidR="0075097B">
        <w:rPr>
          <w:rFonts w:ascii="Tahoma" w:hAnsi="Tahoma" w:cs="Tahoma"/>
        </w:rPr>
        <w:t>noviembre de 2014</w:t>
      </w:r>
      <w:r>
        <w:rPr>
          <w:rFonts w:ascii="Tahoma" w:hAnsi="Tahoma" w:cs="Tahoma"/>
        </w:rPr>
        <w:t xml:space="preserve">, fecha de la última cotización, </w:t>
      </w:r>
      <w:r w:rsidR="0075097B">
        <w:rPr>
          <w:rFonts w:ascii="Tahoma" w:hAnsi="Tahoma" w:cs="Tahoma"/>
        </w:rPr>
        <w:t>él</w:t>
      </w:r>
      <w:r>
        <w:rPr>
          <w:rFonts w:ascii="Tahoma" w:hAnsi="Tahoma" w:cs="Tahoma"/>
        </w:rPr>
        <w:t xml:space="preserve"> contaba con</w:t>
      </w:r>
      <w:r w:rsidR="0075097B">
        <w:rPr>
          <w:rFonts w:ascii="Tahoma" w:hAnsi="Tahoma" w:cs="Tahoma"/>
        </w:rPr>
        <w:t xml:space="preserve"> más de 1400 semanas </w:t>
      </w:r>
      <w:r>
        <w:rPr>
          <w:rFonts w:ascii="Tahoma" w:hAnsi="Tahoma" w:cs="Tahoma"/>
        </w:rPr>
        <w:t>cotizadas, las cuales son suficientes para dar vida a la prestación.</w:t>
      </w:r>
    </w:p>
    <w:p w14:paraId="4A020D62" w14:textId="77777777" w:rsidR="0048276E" w:rsidRDefault="0048276E" w:rsidP="0048276E">
      <w:pPr>
        <w:widowControl w:val="0"/>
        <w:autoSpaceDE w:val="0"/>
        <w:autoSpaceDN w:val="0"/>
        <w:adjustRightInd w:val="0"/>
        <w:ind w:firstLine="708"/>
        <w:jc w:val="both"/>
        <w:rPr>
          <w:rFonts w:ascii="Tahoma" w:hAnsi="Tahoma" w:cs="Tahoma"/>
        </w:rPr>
      </w:pPr>
    </w:p>
    <w:p w14:paraId="0146497D" w14:textId="74B12EE3" w:rsidR="00F87710" w:rsidRDefault="00595CF1" w:rsidP="0048276E">
      <w:pPr>
        <w:widowControl w:val="0"/>
        <w:autoSpaceDE w:val="0"/>
        <w:autoSpaceDN w:val="0"/>
        <w:adjustRightInd w:val="0"/>
        <w:ind w:firstLine="708"/>
        <w:jc w:val="both"/>
        <w:rPr>
          <w:rFonts w:ascii="Tahoma" w:hAnsi="Tahoma" w:cs="Tahoma"/>
        </w:rPr>
      </w:pPr>
      <w:r>
        <w:rPr>
          <w:rFonts w:ascii="Tahoma" w:hAnsi="Tahoma" w:cs="Tahoma"/>
        </w:rPr>
        <w:t>En cuanto a la fecha de disfrute, es evidente que al haber solicitado la pensión el 5 de diciembre de 2014 (</w:t>
      </w:r>
      <w:proofErr w:type="spellStart"/>
      <w:r>
        <w:rPr>
          <w:rFonts w:ascii="Tahoma" w:hAnsi="Tahoma" w:cs="Tahoma"/>
        </w:rPr>
        <w:t>fl</w:t>
      </w:r>
      <w:proofErr w:type="spellEnd"/>
      <w:r>
        <w:rPr>
          <w:rFonts w:ascii="Tahoma" w:hAnsi="Tahoma" w:cs="Tahoma"/>
        </w:rPr>
        <w:t>. 21) y haber efectuado la última cotización hasta el 30 de noviembre del mismo año, era el 1º de diciembre el día a partir del</w:t>
      </w:r>
      <w:r w:rsidR="00DB2035">
        <w:rPr>
          <w:rFonts w:ascii="Tahoma" w:hAnsi="Tahoma" w:cs="Tahoma"/>
        </w:rPr>
        <w:t xml:space="preserve"> cual tenía derecho a percibir la prestación, tal como se pidió en la demanda y se decretó en primer grado.</w:t>
      </w:r>
      <w:r w:rsidR="00F87710">
        <w:rPr>
          <w:rFonts w:ascii="Tahoma" w:hAnsi="Tahoma" w:cs="Tahoma"/>
        </w:rPr>
        <w:t xml:space="preserve"> Y respecto </w:t>
      </w:r>
      <w:r w:rsidR="00DB2035">
        <w:rPr>
          <w:rFonts w:ascii="Tahoma" w:hAnsi="Tahoma" w:cs="Tahoma"/>
        </w:rPr>
        <w:t xml:space="preserve">al retroactivo, debe decirse que dado </w:t>
      </w:r>
      <w:r w:rsidR="00A841DC">
        <w:rPr>
          <w:rFonts w:ascii="Tahoma" w:hAnsi="Tahoma" w:cs="Tahoma"/>
        </w:rPr>
        <w:t xml:space="preserve">que </w:t>
      </w:r>
      <w:r w:rsidR="00F76D35">
        <w:rPr>
          <w:rFonts w:ascii="Tahoma" w:hAnsi="Tahoma" w:cs="Tahoma"/>
        </w:rPr>
        <w:t xml:space="preserve">Colpensiones reconoció </w:t>
      </w:r>
      <w:r w:rsidR="00A841DC">
        <w:rPr>
          <w:rFonts w:ascii="Tahoma" w:hAnsi="Tahoma" w:cs="Tahoma"/>
        </w:rPr>
        <w:t xml:space="preserve">la pensión </w:t>
      </w:r>
      <w:r w:rsidR="00C2583C">
        <w:rPr>
          <w:rFonts w:ascii="Tahoma" w:hAnsi="Tahoma" w:cs="Tahoma"/>
        </w:rPr>
        <w:t xml:space="preserve">desde el </w:t>
      </w:r>
      <w:r w:rsidR="00F87710">
        <w:rPr>
          <w:rFonts w:ascii="Tahoma" w:hAnsi="Tahoma" w:cs="Tahoma"/>
        </w:rPr>
        <w:t xml:space="preserve">1º de junio de 2015, al actor se le adeudan las mesadas </w:t>
      </w:r>
      <w:r w:rsidR="009A66B6">
        <w:rPr>
          <w:rFonts w:ascii="Tahoma" w:hAnsi="Tahoma" w:cs="Tahoma"/>
        </w:rPr>
        <w:t xml:space="preserve">generadas </w:t>
      </w:r>
      <w:r w:rsidR="00F87710">
        <w:rPr>
          <w:rFonts w:ascii="Tahoma" w:hAnsi="Tahoma" w:cs="Tahoma"/>
        </w:rPr>
        <w:t>desde el 1º de diciembre de 2014 hasta el 30 de mayo de 2015.</w:t>
      </w:r>
    </w:p>
    <w:p w14:paraId="785BBBA8" w14:textId="77777777" w:rsidR="00F87710" w:rsidRDefault="00F87710" w:rsidP="0048276E">
      <w:pPr>
        <w:widowControl w:val="0"/>
        <w:autoSpaceDE w:val="0"/>
        <w:autoSpaceDN w:val="0"/>
        <w:adjustRightInd w:val="0"/>
        <w:ind w:firstLine="708"/>
        <w:jc w:val="both"/>
        <w:rPr>
          <w:rFonts w:ascii="Tahoma" w:hAnsi="Tahoma" w:cs="Tahoma"/>
        </w:rPr>
      </w:pPr>
    </w:p>
    <w:p w14:paraId="48519EF4" w14:textId="53F4C411" w:rsidR="00F87710" w:rsidRDefault="00F87710" w:rsidP="0048276E">
      <w:pPr>
        <w:widowControl w:val="0"/>
        <w:autoSpaceDE w:val="0"/>
        <w:autoSpaceDN w:val="0"/>
        <w:adjustRightInd w:val="0"/>
        <w:ind w:firstLine="708"/>
        <w:jc w:val="both"/>
        <w:rPr>
          <w:rFonts w:ascii="Tahoma" w:hAnsi="Tahoma" w:cs="Tahoma"/>
        </w:rPr>
      </w:pPr>
      <w:r>
        <w:rPr>
          <w:rFonts w:ascii="Tahoma" w:hAnsi="Tahoma" w:cs="Tahoma"/>
        </w:rPr>
        <w:t>Establecido lo anterior, la Sala encuentra que el monto del IBL calculado en primer grado es correcto</w:t>
      </w:r>
      <w:r w:rsidR="009A2CEE">
        <w:rPr>
          <w:rFonts w:ascii="Tahoma" w:hAnsi="Tahoma" w:cs="Tahoma"/>
        </w:rPr>
        <w:t xml:space="preserve">, pues revisada la liquidación </w:t>
      </w:r>
      <w:r w:rsidR="009A66B6">
        <w:rPr>
          <w:rFonts w:ascii="Tahoma" w:hAnsi="Tahoma" w:cs="Tahoma"/>
        </w:rPr>
        <w:t>obrante a folio 124 s</w:t>
      </w:r>
      <w:r w:rsidR="009A2CEE">
        <w:rPr>
          <w:rFonts w:ascii="Tahoma" w:hAnsi="Tahoma" w:cs="Tahoma"/>
        </w:rPr>
        <w:t>e percibe que ella se basó</w:t>
      </w:r>
      <w:r w:rsidR="0082763B">
        <w:rPr>
          <w:rFonts w:ascii="Tahoma" w:hAnsi="Tahoma" w:cs="Tahoma"/>
        </w:rPr>
        <w:t xml:space="preserve"> en los datos contenidos en la historia laboral que milita en el expediente</w:t>
      </w:r>
      <w:r w:rsidR="009A66B6">
        <w:rPr>
          <w:rFonts w:ascii="Tahoma" w:hAnsi="Tahoma" w:cs="Tahoma"/>
        </w:rPr>
        <w:t xml:space="preserve"> (</w:t>
      </w:r>
      <w:proofErr w:type="spellStart"/>
      <w:r w:rsidR="009A66B6">
        <w:rPr>
          <w:rFonts w:ascii="Tahoma" w:hAnsi="Tahoma" w:cs="Tahoma"/>
        </w:rPr>
        <w:t>fl</w:t>
      </w:r>
      <w:proofErr w:type="spellEnd"/>
      <w:r w:rsidR="009A66B6">
        <w:rPr>
          <w:rFonts w:ascii="Tahoma" w:hAnsi="Tahoma" w:cs="Tahoma"/>
        </w:rPr>
        <w:t>. 77)</w:t>
      </w:r>
      <w:r w:rsidR="001815F7">
        <w:rPr>
          <w:rFonts w:ascii="Tahoma" w:hAnsi="Tahoma" w:cs="Tahoma"/>
        </w:rPr>
        <w:t xml:space="preserve">; de modo que tanto el valor de la mesada a la que tenía derecho el promotor del litigio para el año 2014, por </w:t>
      </w:r>
      <w:r w:rsidR="00A8351B">
        <w:rPr>
          <w:rFonts w:ascii="Tahoma" w:hAnsi="Tahoma" w:cs="Tahoma"/>
        </w:rPr>
        <w:t>$1.364.830</w:t>
      </w:r>
      <w:r w:rsidR="009A66B6">
        <w:rPr>
          <w:rFonts w:ascii="Tahoma" w:hAnsi="Tahoma" w:cs="Tahoma"/>
        </w:rPr>
        <w:t xml:space="preserve">, como el del retroactivo causado hasta el 31 de mayo de 2015, por </w:t>
      </w:r>
      <w:r w:rsidR="00215E7A">
        <w:rPr>
          <w:rFonts w:ascii="Tahoma" w:hAnsi="Tahoma" w:cs="Tahoma"/>
        </w:rPr>
        <w:t xml:space="preserve">$8.438.744, </w:t>
      </w:r>
      <w:r w:rsidR="009A66B6">
        <w:rPr>
          <w:rFonts w:ascii="Tahoma" w:hAnsi="Tahoma" w:cs="Tahoma"/>
        </w:rPr>
        <w:t>es correcto</w:t>
      </w:r>
      <w:r w:rsidR="00215E7A">
        <w:rPr>
          <w:rFonts w:ascii="Tahoma" w:hAnsi="Tahoma" w:cs="Tahoma"/>
        </w:rPr>
        <w:t>.</w:t>
      </w:r>
    </w:p>
    <w:p w14:paraId="70129B36" w14:textId="77777777" w:rsidR="00215E7A" w:rsidRDefault="00215E7A" w:rsidP="0048276E">
      <w:pPr>
        <w:widowControl w:val="0"/>
        <w:autoSpaceDE w:val="0"/>
        <w:autoSpaceDN w:val="0"/>
        <w:adjustRightInd w:val="0"/>
        <w:ind w:firstLine="708"/>
        <w:jc w:val="both"/>
        <w:rPr>
          <w:rFonts w:ascii="Tahoma" w:hAnsi="Tahoma" w:cs="Tahoma"/>
        </w:rPr>
      </w:pPr>
    </w:p>
    <w:p w14:paraId="385C558F" w14:textId="5C7020EA" w:rsidR="00215E7A" w:rsidRPr="00215E7A" w:rsidRDefault="00215E7A" w:rsidP="005E7331">
      <w:pPr>
        <w:ind w:firstLine="708"/>
        <w:jc w:val="both"/>
        <w:rPr>
          <w:rFonts w:ascii="Calibri" w:eastAsia="Times New Roman" w:hAnsi="Calibri" w:cs="Times New Roman"/>
          <w:b/>
          <w:bCs/>
          <w:sz w:val="24"/>
          <w:szCs w:val="24"/>
          <w:lang w:eastAsia="es-ES"/>
        </w:rPr>
      </w:pPr>
      <w:r>
        <w:rPr>
          <w:rFonts w:ascii="Tahoma" w:hAnsi="Tahoma" w:cs="Tahoma"/>
        </w:rPr>
        <w:t xml:space="preserve">Por otra parte, en aras de la celeridad en el cumplimiento de la presente decisión, la Sala procedió a calcular la diferencia generada entre el 1º de junio de 2015 y el 31 </w:t>
      </w:r>
      <w:r w:rsidRPr="00215E7A">
        <w:rPr>
          <w:rFonts w:ascii="Tahoma" w:hAnsi="Tahoma" w:cs="Tahoma"/>
        </w:rPr>
        <w:t>de julio de 2018, encontrando que la misma asciende a $69.061</w:t>
      </w:r>
      <w:r w:rsidR="0020468E">
        <w:rPr>
          <w:rFonts w:ascii="Tahoma" w:hAnsi="Tahoma" w:cs="Tahoma"/>
        </w:rPr>
        <w:t xml:space="preserve"> </w:t>
      </w:r>
      <w:r w:rsidR="0020468E" w:rsidRPr="0020468E">
        <w:rPr>
          <w:rFonts w:ascii="Tahoma" w:hAnsi="Tahoma" w:cs="Tahoma"/>
          <w:i/>
        </w:rPr>
        <w:t>–sin perjuicio de las que se causen con posterioridad y de los descuentos de ley-</w:t>
      </w:r>
      <w:r w:rsidRPr="0020468E">
        <w:rPr>
          <w:rFonts w:ascii="Tahoma" w:hAnsi="Tahoma" w:cs="Tahoma"/>
        </w:rPr>
        <w:t>,</w:t>
      </w:r>
      <w:r w:rsidRPr="00215E7A">
        <w:rPr>
          <w:rFonts w:ascii="Tahoma" w:hAnsi="Tahoma" w:cs="Tahoma"/>
        </w:rPr>
        <w:t xml:space="preserve"> que sumada al retroactivo indicado previamente arroja un total de $8.507.804, suma cuya indexación al 31 de julio de 2018 equivale a $</w:t>
      </w:r>
      <w:r w:rsidRPr="00215E7A">
        <w:rPr>
          <w:rFonts w:ascii="Tahoma" w:eastAsia="Times New Roman" w:hAnsi="Tahoma" w:cs="Tahoma"/>
          <w:bCs/>
          <w:lang w:eastAsia="es-ES"/>
        </w:rPr>
        <w:t>1.532.339</w:t>
      </w:r>
      <w:r w:rsidR="005E7331">
        <w:rPr>
          <w:rFonts w:ascii="Tahoma" w:eastAsia="Times New Roman" w:hAnsi="Tahoma" w:cs="Tahoma"/>
          <w:bCs/>
          <w:lang w:eastAsia="es-ES"/>
        </w:rPr>
        <w:t>, tal como se observa en la liquidación que se pone de presente a los asistentes y que hará parte del acta que se levante con ocasión de la presente diligencia.</w:t>
      </w:r>
    </w:p>
    <w:p w14:paraId="14D96686" w14:textId="04129DB2" w:rsidR="00215E7A" w:rsidRDefault="00215E7A" w:rsidP="0048276E">
      <w:pPr>
        <w:widowControl w:val="0"/>
        <w:autoSpaceDE w:val="0"/>
        <w:autoSpaceDN w:val="0"/>
        <w:adjustRightInd w:val="0"/>
        <w:ind w:firstLine="708"/>
        <w:jc w:val="both"/>
        <w:rPr>
          <w:rFonts w:ascii="Tahoma" w:hAnsi="Tahoma" w:cs="Tahoma"/>
        </w:rPr>
      </w:pPr>
      <w:r>
        <w:rPr>
          <w:rFonts w:ascii="Tahoma" w:hAnsi="Tahoma" w:cs="Tahoma"/>
        </w:rPr>
        <w:t xml:space="preserve"> </w:t>
      </w:r>
    </w:p>
    <w:p w14:paraId="2DBF0534" w14:textId="1A63D5EF" w:rsidR="0048276E" w:rsidRPr="001D2CA1" w:rsidRDefault="00A841DC" w:rsidP="00215E7A">
      <w:pPr>
        <w:widowControl w:val="0"/>
        <w:autoSpaceDE w:val="0"/>
        <w:autoSpaceDN w:val="0"/>
        <w:adjustRightInd w:val="0"/>
        <w:ind w:firstLine="708"/>
        <w:jc w:val="both"/>
        <w:rPr>
          <w:rFonts w:ascii="Tahoma" w:hAnsi="Tahoma" w:cs="Tahoma"/>
        </w:rPr>
      </w:pPr>
      <w:r>
        <w:rPr>
          <w:rFonts w:ascii="Tahoma" w:hAnsi="Tahoma" w:cs="Tahoma"/>
        </w:rPr>
        <w:t xml:space="preserve"> </w:t>
      </w:r>
      <w:r w:rsidR="0048276E" w:rsidRPr="00666BB2">
        <w:rPr>
          <w:rFonts w:ascii="Tahoma" w:hAnsi="Tahoma" w:cs="Tahoma"/>
        </w:rPr>
        <w:t xml:space="preserve">En consecuencia, </w:t>
      </w:r>
      <w:r w:rsidR="00215E7A">
        <w:rPr>
          <w:rFonts w:ascii="Tahoma" w:hAnsi="Tahoma" w:cs="Tahoma"/>
        </w:rPr>
        <w:t xml:space="preserve">se modificarán </w:t>
      </w:r>
      <w:proofErr w:type="gramStart"/>
      <w:r w:rsidR="00215E7A">
        <w:rPr>
          <w:rFonts w:ascii="Tahoma" w:hAnsi="Tahoma" w:cs="Tahoma"/>
        </w:rPr>
        <w:t>los ordinales</w:t>
      </w:r>
      <w:proofErr w:type="gramEnd"/>
      <w:r w:rsidR="00215E7A">
        <w:rPr>
          <w:rFonts w:ascii="Tahoma" w:hAnsi="Tahoma" w:cs="Tahoma"/>
        </w:rPr>
        <w:t xml:space="preserve"> 3º y 4º de la sentencia de primera instancia y se confirmará en todo lo demás. </w:t>
      </w:r>
      <w:r w:rsidR="0048276E" w:rsidRPr="00666BB2">
        <w:rPr>
          <w:rFonts w:ascii="Tahoma" w:hAnsi="Tahoma" w:cs="Tahoma"/>
        </w:rPr>
        <w:t>La condena en costas en esta instancia correrá a cargo de la parte actora y a favor de la entidad demandada en un ciento por ciento (1</w:t>
      </w:r>
      <w:r w:rsidR="0048276E" w:rsidRPr="001D2CA1">
        <w:rPr>
          <w:rFonts w:ascii="Tahoma" w:hAnsi="Tahoma" w:cs="Tahoma"/>
        </w:rPr>
        <w:t>00%).</w:t>
      </w:r>
    </w:p>
    <w:p w14:paraId="14376C24" w14:textId="77777777" w:rsidR="0048276E" w:rsidRPr="001D2CA1" w:rsidRDefault="0048276E" w:rsidP="0048276E">
      <w:pPr>
        <w:pStyle w:val="Textoindependiente"/>
        <w:spacing w:after="0"/>
        <w:ind w:right="51"/>
        <w:jc w:val="both"/>
        <w:rPr>
          <w:rFonts w:ascii="Tahoma" w:hAnsi="Tahoma" w:cs="Tahoma"/>
          <w:sz w:val="22"/>
          <w:szCs w:val="22"/>
        </w:rPr>
      </w:pPr>
    </w:p>
    <w:p w14:paraId="2D3C6929" w14:textId="77777777" w:rsidR="0048276E" w:rsidRPr="001D2CA1" w:rsidRDefault="0048276E" w:rsidP="001D2CA1">
      <w:pPr>
        <w:pStyle w:val="Sangradetextonormal"/>
        <w:spacing w:after="0"/>
        <w:ind w:left="0" w:firstLine="709"/>
        <w:jc w:val="both"/>
        <w:rPr>
          <w:rFonts w:ascii="Tahoma" w:hAnsi="Tahoma" w:cs="Tahoma"/>
        </w:rPr>
      </w:pPr>
      <w:r w:rsidRPr="001D2CA1">
        <w:rPr>
          <w:rFonts w:ascii="Tahoma" w:hAnsi="Tahoma" w:cs="Tahoma"/>
        </w:rPr>
        <w:t xml:space="preserve">En mérito de lo expuesto, el </w:t>
      </w:r>
      <w:r w:rsidRPr="001D2CA1">
        <w:rPr>
          <w:rFonts w:ascii="Tahoma" w:hAnsi="Tahoma" w:cs="Tahoma"/>
          <w:b/>
        </w:rPr>
        <w:t>Tribunal Superior del Distrito Judicial de Pereira (Risaralda)</w:t>
      </w:r>
      <w:r w:rsidRPr="001D2CA1">
        <w:rPr>
          <w:rFonts w:ascii="Tahoma" w:hAnsi="Tahoma" w:cs="Tahoma"/>
        </w:rPr>
        <w:t xml:space="preserve">, </w:t>
      </w:r>
      <w:r w:rsidRPr="001D2CA1">
        <w:rPr>
          <w:rFonts w:ascii="Tahoma" w:hAnsi="Tahoma" w:cs="Tahoma"/>
          <w:b/>
        </w:rPr>
        <w:t>Sala de Decisión Laboral No. 1</w:t>
      </w:r>
      <w:r w:rsidRPr="001D2CA1">
        <w:rPr>
          <w:rFonts w:ascii="Tahoma" w:hAnsi="Tahoma" w:cs="Tahoma"/>
        </w:rPr>
        <w:t>, administrando justicia en nombre de la República y por autoridad de la Ley,</w:t>
      </w:r>
    </w:p>
    <w:p w14:paraId="019B19B3" w14:textId="77777777" w:rsidR="0048276E" w:rsidRPr="001D2CA1" w:rsidRDefault="0048276E" w:rsidP="0048276E">
      <w:pPr>
        <w:pStyle w:val="Sangradetextonormal"/>
        <w:spacing w:after="0"/>
        <w:rPr>
          <w:rFonts w:ascii="Tahoma" w:hAnsi="Tahoma" w:cs="Tahoma"/>
        </w:rPr>
      </w:pPr>
    </w:p>
    <w:p w14:paraId="3635864D" w14:textId="0E2EEB41" w:rsidR="0048276E" w:rsidRPr="001D2CA1" w:rsidRDefault="0048276E" w:rsidP="001D2CA1">
      <w:pPr>
        <w:pStyle w:val="Prrafodelista"/>
        <w:widowControl w:val="0"/>
        <w:numPr>
          <w:ilvl w:val="0"/>
          <w:numId w:val="1"/>
        </w:numPr>
        <w:autoSpaceDE w:val="0"/>
        <w:autoSpaceDN w:val="0"/>
        <w:adjustRightInd w:val="0"/>
        <w:ind w:left="709" w:hanging="284"/>
        <w:jc w:val="center"/>
        <w:rPr>
          <w:rFonts w:ascii="Tahoma" w:hAnsi="Tahoma" w:cs="Tahoma"/>
          <w:b/>
        </w:rPr>
      </w:pPr>
      <w:r w:rsidRPr="001D2CA1">
        <w:rPr>
          <w:rFonts w:ascii="Tahoma" w:hAnsi="Tahoma" w:cs="Tahoma"/>
          <w:b/>
        </w:rPr>
        <w:t>RESUELVE</w:t>
      </w:r>
    </w:p>
    <w:p w14:paraId="3E6DFA23" w14:textId="77777777" w:rsidR="0048276E" w:rsidRPr="001D2CA1" w:rsidRDefault="0048276E" w:rsidP="0048276E">
      <w:pPr>
        <w:pStyle w:val="Prrafodelista"/>
        <w:widowControl w:val="0"/>
        <w:autoSpaceDE w:val="0"/>
        <w:autoSpaceDN w:val="0"/>
        <w:adjustRightInd w:val="0"/>
        <w:ind w:left="1080"/>
        <w:jc w:val="both"/>
        <w:rPr>
          <w:rFonts w:ascii="Tahoma" w:hAnsi="Tahoma" w:cs="Tahoma"/>
        </w:rPr>
      </w:pPr>
    </w:p>
    <w:p w14:paraId="5A642FF3" w14:textId="6A835394" w:rsidR="0048276E" w:rsidRDefault="0048276E" w:rsidP="0048276E">
      <w:pPr>
        <w:pStyle w:val="Prrafodelista"/>
        <w:ind w:left="0" w:firstLine="709"/>
        <w:jc w:val="both"/>
        <w:rPr>
          <w:rFonts w:ascii="Tahoma" w:eastAsia="Times New Roman" w:hAnsi="Tahoma" w:cs="Tahoma"/>
          <w:bCs/>
          <w:lang w:eastAsia="es-ES"/>
        </w:rPr>
      </w:pPr>
      <w:r w:rsidRPr="001D2CA1">
        <w:rPr>
          <w:rFonts w:ascii="Tahoma" w:hAnsi="Tahoma" w:cs="Tahoma"/>
          <w:b/>
          <w:u w:val="single"/>
        </w:rPr>
        <w:t>PRIMERO</w:t>
      </w:r>
      <w:r w:rsidRPr="001D2CA1">
        <w:rPr>
          <w:rFonts w:ascii="Tahoma" w:hAnsi="Tahoma" w:cs="Tahoma"/>
        </w:rPr>
        <w:t xml:space="preserve">.- </w:t>
      </w:r>
      <w:r w:rsidR="00215E7A">
        <w:rPr>
          <w:rFonts w:ascii="Tahoma" w:hAnsi="Tahoma" w:cs="Tahoma"/>
          <w:b/>
        </w:rPr>
        <w:t>MODIFICAR</w:t>
      </w:r>
      <w:r w:rsidR="00215E7A">
        <w:rPr>
          <w:rFonts w:ascii="Tahoma" w:hAnsi="Tahoma" w:cs="Tahoma"/>
        </w:rPr>
        <w:t xml:space="preserve"> los ordinales 3º y 4º de la sentencia</w:t>
      </w:r>
      <w:r w:rsidR="00215E7A" w:rsidRPr="001D2CA1">
        <w:rPr>
          <w:rFonts w:ascii="Tahoma" w:hAnsi="Tahoma" w:cs="Tahoma"/>
          <w:b/>
        </w:rPr>
        <w:t xml:space="preserve"> </w:t>
      </w:r>
      <w:r w:rsidRPr="001D2CA1">
        <w:rPr>
          <w:rFonts w:ascii="Tahoma" w:hAnsi="Tahoma" w:cs="Tahoma"/>
        </w:rPr>
        <w:t xml:space="preserve">proferida por el Juzgado </w:t>
      </w:r>
      <w:r w:rsidR="00215E7A">
        <w:rPr>
          <w:rFonts w:ascii="Tahoma" w:hAnsi="Tahoma" w:cs="Tahoma"/>
        </w:rPr>
        <w:t xml:space="preserve">Segundo </w:t>
      </w:r>
      <w:r w:rsidRPr="001D2CA1">
        <w:rPr>
          <w:rFonts w:ascii="Tahoma" w:hAnsi="Tahoma" w:cs="Tahoma"/>
        </w:rPr>
        <w:t>Laboral del Circuito de Pereira, dentro del proceso iniciado por</w:t>
      </w:r>
      <w:r w:rsidR="0020468E" w:rsidRPr="006A4897">
        <w:rPr>
          <w:rFonts w:ascii="Tahoma" w:hAnsi="Tahoma" w:cs="Tahoma"/>
        </w:rPr>
        <w:t xml:space="preserve"> </w:t>
      </w:r>
      <w:r w:rsidR="0020468E" w:rsidRPr="00C4045F">
        <w:rPr>
          <w:rFonts w:ascii="Tahoma" w:hAnsi="Tahoma" w:cs="Tahoma"/>
          <w:b/>
        </w:rPr>
        <w:t>H</w:t>
      </w:r>
      <w:r w:rsidR="0020468E">
        <w:rPr>
          <w:rFonts w:ascii="Tahoma" w:hAnsi="Tahoma" w:cs="Tahoma"/>
          <w:b/>
        </w:rPr>
        <w:t>éctor Danilo Galvis Ocampo</w:t>
      </w:r>
      <w:r w:rsidR="0020468E" w:rsidRPr="006A4897">
        <w:rPr>
          <w:rFonts w:ascii="Tahoma" w:hAnsi="Tahoma" w:cs="Tahoma"/>
        </w:rPr>
        <w:t xml:space="preserve"> en contra de </w:t>
      </w:r>
      <w:r w:rsidR="0020468E" w:rsidRPr="006A4897">
        <w:rPr>
          <w:rFonts w:ascii="Tahoma" w:hAnsi="Tahoma" w:cs="Tahoma"/>
          <w:b/>
        </w:rPr>
        <w:t>Colpensiones</w:t>
      </w:r>
      <w:r w:rsidR="0020468E" w:rsidRPr="0020468E">
        <w:rPr>
          <w:rFonts w:ascii="Tahoma" w:hAnsi="Tahoma" w:cs="Tahoma"/>
        </w:rPr>
        <w:t xml:space="preserve">, </w:t>
      </w:r>
      <w:r w:rsidR="00EC3D67">
        <w:rPr>
          <w:rFonts w:ascii="Tahoma" w:hAnsi="Tahoma" w:cs="Tahoma"/>
        </w:rPr>
        <w:t xml:space="preserve">en </w:t>
      </w:r>
      <w:r w:rsidR="0020468E" w:rsidRPr="0020468E">
        <w:rPr>
          <w:rFonts w:ascii="Tahoma" w:hAnsi="Tahoma" w:cs="Tahoma"/>
        </w:rPr>
        <w:t xml:space="preserve">el sentido de que la diferencia dejada de cancelar al actor entre el 1º de junio de 2015 y el 31 de julio de 2018 asciende a </w:t>
      </w:r>
      <w:r w:rsidR="0020468E" w:rsidRPr="00215E7A">
        <w:rPr>
          <w:rFonts w:ascii="Tahoma" w:hAnsi="Tahoma" w:cs="Tahoma"/>
        </w:rPr>
        <w:t>$69.061</w:t>
      </w:r>
      <w:r w:rsidR="0020468E">
        <w:rPr>
          <w:rFonts w:ascii="Tahoma" w:hAnsi="Tahoma" w:cs="Tahoma"/>
        </w:rPr>
        <w:t xml:space="preserve"> </w:t>
      </w:r>
      <w:r w:rsidR="0020468E" w:rsidRPr="0020468E">
        <w:rPr>
          <w:rFonts w:ascii="Tahoma" w:hAnsi="Tahoma" w:cs="Tahoma"/>
          <w:i/>
        </w:rPr>
        <w:t>–sin perjuicio de las que se causen con posterioridad y de los descuentos de ley-</w:t>
      </w:r>
      <w:r w:rsidR="0020468E" w:rsidRPr="0020468E">
        <w:rPr>
          <w:rFonts w:ascii="Tahoma" w:hAnsi="Tahoma" w:cs="Tahoma"/>
        </w:rPr>
        <w:t>,</w:t>
      </w:r>
      <w:r w:rsidR="0020468E" w:rsidRPr="00215E7A">
        <w:rPr>
          <w:rFonts w:ascii="Tahoma" w:hAnsi="Tahoma" w:cs="Tahoma"/>
        </w:rPr>
        <w:t xml:space="preserve"> que sumada al retroactivo </w:t>
      </w:r>
      <w:r w:rsidR="0020468E">
        <w:rPr>
          <w:rFonts w:ascii="Tahoma" w:hAnsi="Tahoma" w:cs="Tahoma"/>
        </w:rPr>
        <w:t xml:space="preserve">causado ente el 1º de diciembre de 2014 y el 31 de  mayo de 2015 </w:t>
      </w:r>
      <w:r w:rsidR="0020468E" w:rsidRPr="00215E7A">
        <w:rPr>
          <w:rFonts w:ascii="Tahoma" w:hAnsi="Tahoma" w:cs="Tahoma"/>
        </w:rPr>
        <w:t>arroja un total de $8.507.804</w:t>
      </w:r>
      <w:r w:rsidR="0020468E">
        <w:rPr>
          <w:rFonts w:ascii="Tahoma" w:hAnsi="Tahoma" w:cs="Tahoma"/>
        </w:rPr>
        <w:t xml:space="preserve">. La </w:t>
      </w:r>
      <w:r w:rsidR="0020468E" w:rsidRPr="00215E7A">
        <w:rPr>
          <w:rFonts w:ascii="Tahoma" w:hAnsi="Tahoma" w:cs="Tahoma"/>
        </w:rPr>
        <w:t xml:space="preserve">indexación </w:t>
      </w:r>
      <w:r w:rsidR="00EC3D67">
        <w:rPr>
          <w:rFonts w:ascii="Tahoma" w:hAnsi="Tahoma" w:cs="Tahoma"/>
        </w:rPr>
        <w:t xml:space="preserve">de </w:t>
      </w:r>
      <w:r w:rsidR="0020468E">
        <w:rPr>
          <w:rFonts w:ascii="Tahoma" w:hAnsi="Tahoma" w:cs="Tahoma"/>
        </w:rPr>
        <w:t xml:space="preserve">dicho valor </w:t>
      </w:r>
      <w:r w:rsidR="0020468E" w:rsidRPr="00215E7A">
        <w:rPr>
          <w:rFonts w:ascii="Tahoma" w:hAnsi="Tahoma" w:cs="Tahoma"/>
        </w:rPr>
        <w:t>al 31 de julio de 2018 equivale a $</w:t>
      </w:r>
      <w:r w:rsidR="0020468E" w:rsidRPr="00215E7A">
        <w:rPr>
          <w:rFonts w:ascii="Tahoma" w:eastAsia="Times New Roman" w:hAnsi="Tahoma" w:cs="Tahoma"/>
          <w:bCs/>
          <w:lang w:eastAsia="es-ES"/>
        </w:rPr>
        <w:t>1.532.339</w:t>
      </w:r>
      <w:r w:rsidR="0020468E">
        <w:rPr>
          <w:rFonts w:ascii="Tahoma" w:eastAsia="Times New Roman" w:hAnsi="Tahoma" w:cs="Tahoma"/>
          <w:bCs/>
          <w:lang w:eastAsia="es-ES"/>
        </w:rPr>
        <w:t xml:space="preserve"> y deberá actualizarse a la fecha del pago efectivo de la obligación.</w:t>
      </w:r>
    </w:p>
    <w:p w14:paraId="0C9D2E16" w14:textId="77777777" w:rsidR="0020468E" w:rsidRPr="005E04A9" w:rsidRDefault="0020468E" w:rsidP="0048276E">
      <w:pPr>
        <w:pStyle w:val="Prrafodelista"/>
        <w:ind w:left="0" w:firstLine="709"/>
        <w:jc w:val="both"/>
        <w:rPr>
          <w:rFonts w:ascii="Tahoma" w:hAnsi="Tahoma" w:cs="Tahoma"/>
        </w:rPr>
      </w:pPr>
    </w:p>
    <w:p w14:paraId="0B1B69D9" w14:textId="28DEE07B" w:rsidR="0020468E" w:rsidRDefault="0048276E" w:rsidP="0048276E">
      <w:pPr>
        <w:pStyle w:val="Prrafodelista"/>
        <w:ind w:left="0" w:firstLine="709"/>
        <w:jc w:val="both"/>
        <w:rPr>
          <w:rFonts w:ascii="Tahoma" w:hAnsi="Tahoma" w:cs="Tahoma"/>
          <w:b/>
        </w:rPr>
      </w:pPr>
      <w:r w:rsidRPr="005E04A9">
        <w:rPr>
          <w:rFonts w:ascii="Tahoma" w:hAnsi="Tahoma" w:cs="Tahoma"/>
          <w:b/>
          <w:u w:val="single"/>
        </w:rPr>
        <w:t>SEGUNDO</w:t>
      </w:r>
      <w:r w:rsidRPr="005E04A9">
        <w:rPr>
          <w:rFonts w:ascii="Tahoma" w:hAnsi="Tahoma" w:cs="Tahoma"/>
          <w:b/>
        </w:rPr>
        <w:t xml:space="preserve">.- </w:t>
      </w:r>
      <w:r w:rsidR="0020468E">
        <w:rPr>
          <w:rFonts w:ascii="Tahoma" w:hAnsi="Tahoma" w:cs="Tahoma"/>
          <w:b/>
        </w:rPr>
        <w:t xml:space="preserve">CONFIRMAR </w:t>
      </w:r>
      <w:r w:rsidR="0020468E" w:rsidRPr="0020468E">
        <w:rPr>
          <w:rFonts w:ascii="Tahoma" w:hAnsi="Tahoma" w:cs="Tahoma"/>
        </w:rPr>
        <w:t>en todo lo demás la sentencia de primer grado.</w:t>
      </w:r>
      <w:r w:rsidR="0020468E">
        <w:rPr>
          <w:rFonts w:ascii="Tahoma" w:hAnsi="Tahoma" w:cs="Tahoma"/>
          <w:b/>
        </w:rPr>
        <w:t xml:space="preserve"> </w:t>
      </w:r>
    </w:p>
    <w:p w14:paraId="7F617487" w14:textId="77777777" w:rsidR="0020468E" w:rsidRDefault="0020468E" w:rsidP="0048276E">
      <w:pPr>
        <w:pStyle w:val="Prrafodelista"/>
        <w:ind w:left="0" w:firstLine="709"/>
        <w:jc w:val="both"/>
        <w:rPr>
          <w:rFonts w:ascii="Tahoma" w:hAnsi="Tahoma" w:cs="Tahoma"/>
          <w:b/>
        </w:rPr>
      </w:pPr>
    </w:p>
    <w:p w14:paraId="50905DDC" w14:textId="4A434DE3" w:rsidR="0048276E" w:rsidRDefault="0020468E" w:rsidP="0048276E">
      <w:pPr>
        <w:pStyle w:val="Prrafodelista"/>
        <w:ind w:left="0" w:firstLine="709"/>
        <w:jc w:val="both"/>
        <w:rPr>
          <w:rFonts w:ascii="Tahoma" w:hAnsi="Tahoma" w:cs="Tahoma"/>
          <w:b/>
        </w:rPr>
      </w:pPr>
      <w:r>
        <w:rPr>
          <w:rFonts w:ascii="Tahoma" w:hAnsi="Tahoma" w:cs="Tahoma"/>
          <w:b/>
          <w:u w:val="single"/>
        </w:rPr>
        <w:t>TERCERO</w:t>
      </w:r>
      <w:r w:rsidRPr="005E04A9">
        <w:rPr>
          <w:rFonts w:ascii="Tahoma" w:hAnsi="Tahoma" w:cs="Tahoma"/>
          <w:b/>
        </w:rPr>
        <w:t xml:space="preserve">.- </w:t>
      </w:r>
      <w:r w:rsidR="0048276E" w:rsidRPr="00B16E4B">
        <w:rPr>
          <w:rFonts w:ascii="Tahoma" w:hAnsi="Tahoma" w:cs="Tahoma"/>
        </w:rPr>
        <w:t>Las costas de segunda instancia correrán a cargo de la parte demandante y a favor de</w:t>
      </w:r>
      <w:r w:rsidR="00EC3D67">
        <w:rPr>
          <w:rFonts w:ascii="Tahoma" w:hAnsi="Tahoma" w:cs="Tahoma"/>
        </w:rPr>
        <w:t xml:space="preserve"> </w:t>
      </w:r>
      <w:r w:rsidR="0048276E" w:rsidRPr="00B16E4B">
        <w:rPr>
          <w:rFonts w:ascii="Tahoma" w:hAnsi="Tahoma" w:cs="Tahoma"/>
        </w:rPr>
        <w:t>l</w:t>
      </w:r>
      <w:r w:rsidR="00EC3D67">
        <w:rPr>
          <w:rFonts w:ascii="Tahoma" w:hAnsi="Tahoma" w:cs="Tahoma"/>
        </w:rPr>
        <w:t>a</w:t>
      </w:r>
      <w:r w:rsidR="0048276E" w:rsidRPr="00B16E4B">
        <w:rPr>
          <w:rFonts w:ascii="Tahoma" w:hAnsi="Tahoma" w:cs="Tahoma"/>
        </w:rPr>
        <w:t xml:space="preserve"> demanda</w:t>
      </w:r>
      <w:r w:rsidR="00EC3D67">
        <w:rPr>
          <w:rFonts w:ascii="Tahoma" w:hAnsi="Tahoma" w:cs="Tahoma"/>
        </w:rPr>
        <w:t>da</w:t>
      </w:r>
      <w:r w:rsidR="0048276E" w:rsidRPr="00B16E4B">
        <w:rPr>
          <w:rFonts w:ascii="Tahoma" w:hAnsi="Tahoma" w:cs="Tahoma"/>
        </w:rPr>
        <w:t xml:space="preserve"> </w:t>
      </w:r>
      <w:r w:rsidR="0048276E">
        <w:rPr>
          <w:rFonts w:ascii="Tahoma" w:hAnsi="Tahoma" w:cs="Tahoma"/>
        </w:rPr>
        <w:t>en un 100%. Liquídense por la Secretaría del juzgado de origen.</w:t>
      </w:r>
    </w:p>
    <w:p w14:paraId="4D6D9FEE" w14:textId="77777777" w:rsidR="0048276E" w:rsidRPr="005E04A9" w:rsidRDefault="0048276E" w:rsidP="0048276E">
      <w:pPr>
        <w:pStyle w:val="Prrafodelista"/>
        <w:ind w:left="0" w:firstLine="709"/>
        <w:jc w:val="both"/>
        <w:rPr>
          <w:rFonts w:ascii="Tahoma" w:hAnsi="Tahoma" w:cs="Tahoma"/>
        </w:rPr>
      </w:pPr>
    </w:p>
    <w:p w14:paraId="019D5398" w14:textId="77777777" w:rsidR="0048276E" w:rsidRPr="005E04A9" w:rsidRDefault="0048276E" w:rsidP="0048276E">
      <w:pPr>
        <w:pStyle w:val="Prrafodelista"/>
        <w:widowControl w:val="0"/>
        <w:autoSpaceDE w:val="0"/>
        <w:autoSpaceDN w:val="0"/>
        <w:adjustRightInd w:val="0"/>
        <w:ind w:left="0" w:firstLine="709"/>
        <w:jc w:val="both"/>
        <w:rPr>
          <w:rFonts w:ascii="Tahoma" w:hAnsi="Tahoma" w:cs="Tahoma"/>
          <w:b/>
          <w:bCs/>
        </w:rPr>
      </w:pPr>
      <w:r w:rsidRPr="005E04A9">
        <w:rPr>
          <w:rFonts w:ascii="Tahoma" w:hAnsi="Tahoma" w:cs="Tahoma"/>
          <w:b/>
          <w:bCs/>
        </w:rPr>
        <w:t>Notificación surtida en estrados.</w:t>
      </w:r>
    </w:p>
    <w:p w14:paraId="0B9C9170" w14:textId="77777777" w:rsidR="0048276E" w:rsidRPr="005E04A9" w:rsidRDefault="0048276E" w:rsidP="0048276E">
      <w:pPr>
        <w:pStyle w:val="Prrafodelista"/>
        <w:widowControl w:val="0"/>
        <w:autoSpaceDE w:val="0"/>
        <w:autoSpaceDN w:val="0"/>
        <w:adjustRightInd w:val="0"/>
        <w:ind w:left="0" w:firstLine="709"/>
        <w:jc w:val="both"/>
        <w:rPr>
          <w:rFonts w:ascii="Tahoma" w:hAnsi="Tahoma" w:cs="Tahoma"/>
          <w:b/>
          <w:bCs/>
        </w:rPr>
      </w:pPr>
    </w:p>
    <w:p w14:paraId="10843767" w14:textId="77777777" w:rsidR="0048276E" w:rsidRDefault="0048276E" w:rsidP="0048276E">
      <w:pPr>
        <w:pStyle w:val="Prrafodelista"/>
        <w:widowControl w:val="0"/>
        <w:autoSpaceDE w:val="0"/>
        <w:autoSpaceDN w:val="0"/>
        <w:adjustRightInd w:val="0"/>
        <w:ind w:left="0" w:firstLine="709"/>
        <w:jc w:val="both"/>
        <w:rPr>
          <w:rFonts w:ascii="Tahoma" w:hAnsi="Tahoma" w:cs="Tahoma"/>
        </w:rPr>
      </w:pPr>
      <w:r w:rsidRPr="005E04A9">
        <w:rPr>
          <w:rFonts w:ascii="Tahoma" w:hAnsi="Tahoma" w:cs="Tahoma"/>
          <w:b/>
        </w:rPr>
        <w:t>Cúmplase</w:t>
      </w:r>
      <w:r w:rsidRPr="005E04A9">
        <w:rPr>
          <w:rFonts w:ascii="Tahoma" w:hAnsi="Tahoma" w:cs="Tahoma"/>
        </w:rPr>
        <w:t xml:space="preserve"> y </w:t>
      </w:r>
      <w:r w:rsidRPr="005E04A9">
        <w:rPr>
          <w:rFonts w:ascii="Tahoma" w:hAnsi="Tahoma" w:cs="Tahoma"/>
          <w:b/>
        </w:rPr>
        <w:t>devuélvase</w:t>
      </w:r>
      <w:r w:rsidRPr="005E04A9">
        <w:rPr>
          <w:rFonts w:ascii="Tahoma" w:hAnsi="Tahoma" w:cs="Tahoma"/>
        </w:rPr>
        <w:t xml:space="preserve"> el expediente al Juzgado de origen.</w:t>
      </w:r>
    </w:p>
    <w:p w14:paraId="29B1E8EC" w14:textId="77777777" w:rsidR="0020468E" w:rsidRPr="005E04A9" w:rsidRDefault="0020468E" w:rsidP="0048276E">
      <w:pPr>
        <w:pStyle w:val="Prrafodelista"/>
        <w:widowControl w:val="0"/>
        <w:autoSpaceDE w:val="0"/>
        <w:autoSpaceDN w:val="0"/>
        <w:adjustRightInd w:val="0"/>
        <w:ind w:left="0" w:firstLine="709"/>
        <w:jc w:val="both"/>
        <w:rPr>
          <w:rFonts w:ascii="Tahoma" w:hAnsi="Tahoma" w:cs="Tahoma"/>
        </w:rPr>
      </w:pPr>
    </w:p>
    <w:p w14:paraId="3B4E34DC" w14:textId="77777777" w:rsidR="0048276E" w:rsidRPr="007834F9" w:rsidRDefault="0048276E" w:rsidP="0048276E">
      <w:pPr>
        <w:widowControl w:val="0"/>
        <w:autoSpaceDE w:val="0"/>
        <w:autoSpaceDN w:val="0"/>
        <w:adjustRightInd w:val="0"/>
        <w:jc w:val="both"/>
        <w:rPr>
          <w:rFonts w:ascii="Tahoma" w:hAnsi="Tahoma" w:cs="Tahoma"/>
        </w:rPr>
      </w:pPr>
      <w:r w:rsidRPr="005B4FE8">
        <w:rPr>
          <w:rFonts w:ascii="Tahoma" w:hAnsi="Tahoma" w:cs="Tahoma"/>
        </w:rPr>
        <w:tab/>
      </w:r>
      <w:r w:rsidRPr="007834F9">
        <w:rPr>
          <w:rFonts w:ascii="Tahoma" w:hAnsi="Tahoma" w:cs="Tahoma"/>
        </w:rPr>
        <w:t>La Magistrada</w:t>
      </w:r>
      <w:r>
        <w:rPr>
          <w:rFonts w:ascii="Tahoma" w:hAnsi="Tahoma" w:cs="Tahoma"/>
        </w:rPr>
        <w:t xml:space="preserve"> ponente</w:t>
      </w:r>
      <w:r w:rsidRPr="007834F9">
        <w:rPr>
          <w:rFonts w:ascii="Tahoma" w:hAnsi="Tahoma" w:cs="Tahoma"/>
        </w:rPr>
        <w:t>,</w:t>
      </w:r>
    </w:p>
    <w:p w14:paraId="18AD2F29" w14:textId="77777777" w:rsidR="0048276E" w:rsidRDefault="0048276E" w:rsidP="0048276E">
      <w:pPr>
        <w:rPr>
          <w:rFonts w:ascii="Tahoma" w:hAnsi="Tahoma" w:cs="Tahoma"/>
        </w:rPr>
      </w:pPr>
    </w:p>
    <w:p w14:paraId="46F6E932" w14:textId="77777777" w:rsidR="0048276E" w:rsidRDefault="0048276E" w:rsidP="0048276E">
      <w:pPr>
        <w:rPr>
          <w:rFonts w:ascii="Tahoma" w:hAnsi="Tahoma" w:cs="Tahoma"/>
        </w:rPr>
      </w:pPr>
    </w:p>
    <w:p w14:paraId="095D10F0" w14:textId="77777777" w:rsidR="0048276E" w:rsidRDefault="0048276E" w:rsidP="0048276E">
      <w:pPr>
        <w:rPr>
          <w:rFonts w:ascii="Tahoma" w:hAnsi="Tahoma" w:cs="Tahoma"/>
        </w:rPr>
      </w:pPr>
    </w:p>
    <w:p w14:paraId="525F7EA2" w14:textId="77777777" w:rsidR="0048276E" w:rsidRPr="007834F9" w:rsidRDefault="0048276E" w:rsidP="0048276E">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14:paraId="3489F694" w14:textId="77777777" w:rsidR="0048276E" w:rsidRDefault="0048276E" w:rsidP="0048276E">
      <w:pPr>
        <w:rPr>
          <w:rFonts w:ascii="Tahoma" w:hAnsi="Tahoma" w:cs="Tahoma"/>
          <w:b/>
        </w:rPr>
      </w:pPr>
    </w:p>
    <w:p w14:paraId="2BC54A8F" w14:textId="77777777" w:rsidR="0048276E" w:rsidRDefault="0048276E" w:rsidP="0048276E">
      <w:pPr>
        <w:rPr>
          <w:rFonts w:ascii="Tahoma" w:hAnsi="Tahoma" w:cs="Tahoma"/>
          <w:b/>
        </w:rPr>
      </w:pPr>
    </w:p>
    <w:p w14:paraId="448D366E" w14:textId="77777777" w:rsidR="0048276E" w:rsidRPr="007834F9" w:rsidRDefault="0048276E" w:rsidP="0048276E">
      <w:pPr>
        <w:rPr>
          <w:rFonts w:ascii="Tahoma" w:hAnsi="Tahoma" w:cs="Tahoma"/>
          <w:b/>
        </w:rPr>
      </w:pPr>
    </w:p>
    <w:p w14:paraId="786DEB08" w14:textId="77777777" w:rsidR="0048276E" w:rsidRPr="007834F9" w:rsidRDefault="0048276E" w:rsidP="0048276E">
      <w:pPr>
        <w:rPr>
          <w:rFonts w:ascii="Tahoma" w:hAnsi="Tahoma" w:cs="Tahoma"/>
          <w:b/>
        </w:rPr>
      </w:pPr>
    </w:p>
    <w:p w14:paraId="11EBECB4" w14:textId="22E45EC1" w:rsidR="0048276E" w:rsidRDefault="0048276E" w:rsidP="0048276E">
      <w:pPr>
        <w:jc w:val="both"/>
        <w:rPr>
          <w:rFonts w:ascii="Tahoma" w:hAnsi="Tahoma" w:cs="Tahoma"/>
        </w:rPr>
      </w:pPr>
      <w:r>
        <w:rPr>
          <w:rFonts w:ascii="Tahoma" w:hAnsi="Tahoma" w:cs="Tahoma"/>
          <w:b/>
        </w:rPr>
        <w:t>OLGA LUCÍA HOYOS SEPULVEDA</w:t>
      </w:r>
      <w:r w:rsidRPr="007834F9">
        <w:rPr>
          <w:rFonts w:ascii="Tahoma" w:hAnsi="Tahoma" w:cs="Tahoma"/>
          <w:b/>
        </w:rPr>
        <w:t xml:space="preserve"> </w:t>
      </w:r>
      <w:r>
        <w:rPr>
          <w:rFonts w:ascii="Tahoma" w:hAnsi="Tahoma" w:cs="Tahoma"/>
          <w:b/>
        </w:rPr>
        <w:t xml:space="preserve">                                          </w:t>
      </w:r>
      <w:r w:rsidRPr="007834F9">
        <w:rPr>
          <w:rFonts w:ascii="Tahoma" w:hAnsi="Tahoma" w:cs="Tahoma"/>
          <w:b/>
        </w:rPr>
        <w:t>JULIO CÉSAR SALAZAR MUÑOZ</w:t>
      </w:r>
      <w:r w:rsidRPr="007834F9">
        <w:rPr>
          <w:rFonts w:ascii="Tahoma" w:hAnsi="Tahoma" w:cs="Tahoma"/>
          <w:b/>
        </w:rPr>
        <w:tab/>
      </w:r>
      <w:r>
        <w:rPr>
          <w:rFonts w:ascii="Tahoma" w:hAnsi="Tahoma" w:cs="Tahoma"/>
        </w:rPr>
        <w:t xml:space="preserve">    </w:t>
      </w:r>
      <w:r w:rsidRPr="007834F9">
        <w:rPr>
          <w:rFonts w:ascii="Tahoma" w:hAnsi="Tahoma" w:cs="Tahoma"/>
        </w:rPr>
        <w:t>Magistrad</w:t>
      </w:r>
      <w:r>
        <w:rPr>
          <w:rFonts w:ascii="Tahoma" w:hAnsi="Tahoma" w:cs="Tahoma"/>
        </w:rPr>
        <w:t xml:space="preserve">a                                                                                 </w:t>
      </w:r>
      <w:r w:rsidRPr="007834F9">
        <w:rPr>
          <w:rFonts w:ascii="Tahoma" w:hAnsi="Tahoma" w:cs="Tahoma"/>
        </w:rPr>
        <w:t>Magistrado</w:t>
      </w:r>
    </w:p>
    <w:p w14:paraId="6FC720F7" w14:textId="77777777" w:rsidR="00BF5BCD" w:rsidRDefault="00BF5BCD" w:rsidP="0048276E">
      <w:pPr>
        <w:tabs>
          <w:tab w:val="left" w:pos="748"/>
        </w:tabs>
        <w:ind w:firstLine="709"/>
        <w:jc w:val="both"/>
        <w:rPr>
          <w:rFonts w:ascii="Tahoma" w:hAnsi="Tahoma" w:cs="Tahoma"/>
          <w:b/>
          <w:iCs/>
          <w:bdr w:val="none" w:sz="0" w:space="0" w:color="auto" w:frame="1"/>
          <w:lang w:val="es-CO"/>
        </w:rPr>
      </w:pPr>
    </w:p>
    <w:p w14:paraId="454898C5" w14:textId="77777777" w:rsidR="00BF5BCD" w:rsidRDefault="00BF5BCD" w:rsidP="0048276E">
      <w:pPr>
        <w:tabs>
          <w:tab w:val="left" w:pos="748"/>
        </w:tabs>
        <w:ind w:firstLine="709"/>
        <w:jc w:val="both"/>
        <w:rPr>
          <w:rFonts w:ascii="Tahoma" w:hAnsi="Tahoma" w:cs="Tahoma"/>
          <w:b/>
          <w:iCs/>
          <w:bdr w:val="none" w:sz="0" w:space="0" w:color="auto" w:frame="1"/>
          <w:lang w:val="es-CO"/>
        </w:rPr>
      </w:pPr>
    </w:p>
    <w:tbl>
      <w:tblPr>
        <w:tblW w:w="8192" w:type="dxa"/>
        <w:jc w:val="center"/>
        <w:tblCellMar>
          <w:left w:w="70" w:type="dxa"/>
          <w:right w:w="70" w:type="dxa"/>
        </w:tblCellMar>
        <w:tblLook w:val="04A0" w:firstRow="1" w:lastRow="0" w:firstColumn="1" w:lastColumn="0" w:noHBand="0" w:noVBand="1"/>
      </w:tblPr>
      <w:tblGrid>
        <w:gridCol w:w="841"/>
        <w:gridCol w:w="709"/>
        <w:gridCol w:w="803"/>
        <w:gridCol w:w="755"/>
        <w:gridCol w:w="710"/>
        <w:gridCol w:w="992"/>
        <w:gridCol w:w="1269"/>
        <w:gridCol w:w="857"/>
        <w:gridCol w:w="1256"/>
      </w:tblGrid>
      <w:tr w:rsidR="00BF5BCD" w:rsidRPr="00BF5BCD" w14:paraId="247756E5" w14:textId="77777777" w:rsidTr="00BF5BCD">
        <w:trPr>
          <w:trHeight w:val="121"/>
          <w:jc w:val="center"/>
        </w:trPr>
        <w:tc>
          <w:tcPr>
            <w:tcW w:w="841" w:type="dxa"/>
            <w:tcBorders>
              <w:top w:val="single" w:sz="8" w:space="0" w:color="auto"/>
              <w:left w:val="single" w:sz="8" w:space="0" w:color="auto"/>
              <w:bottom w:val="nil"/>
              <w:right w:val="nil"/>
            </w:tcBorders>
            <w:shd w:val="clear" w:color="000000" w:fill="FFFF99"/>
            <w:vAlign w:val="center"/>
            <w:hideMark/>
          </w:tcPr>
          <w:p w14:paraId="3476B850" w14:textId="77777777" w:rsidR="00BF5BCD" w:rsidRPr="00BF5BCD" w:rsidRDefault="00BF5BCD" w:rsidP="00BF5BCD">
            <w:pPr>
              <w:spacing w:line="240" w:lineRule="auto"/>
              <w:jc w:val="center"/>
              <w:rPr>
                <w:rFonts w:eastAsia="Times New Roman" w:cs="Times New Roman"/>
                <w:b/>
                <w:bCs/>
                <w:color w:val="000000"/>
                <w:sz w:val="14"/>
                <w:szCs w:val="14"/>
                <w:lang w:eastAsia="es-ES"/>
              </w:rPr>
            </w:pPr>
            <w:r w:rsidRPr="00BF5BCD">
              <w:rPr>
                <w:rFonts w:eastAsia="Times New Roman" w:cs="Times New Roman"/>
                <w:b/>
                <w:bCs/>
                <w:color w:val="000000"/>
                <w:sz w:val="14"/>
                <w:szCs w:val="14"/>
                <w:lang w:eastAsia="es-ES"/>
              </w:rPr>
              <w:t>Año</w:t>
            </w:r>
          </w:p>
        </w:tc>
        <w:tc>
          <w:tcPr>
            <w:tcW w:w="709" w:type="dxa"/>
            <w:tcBorders>
              <w:top w:val="single" w:sz="8" w:space="0" w:color="auto"/>
              <w:left w:val="single" w:sz="8" w:space="0" w:color="auto"/>
              <w:bottom w:val="nil"/>
              <w:right w:val="single" w:sz="4" w:space="0" w:color="808000"/>
            </w:tcBorders>
            <w:shd w:val="clear" w:color="000000" w:fill="FFFF99"/>
            <w:vAlign w:val="center"/>
            <w:hideMark/>
          </w:tcPr>
          <w:p w14:paraId="4989A336" w14:textId="77777777" w:rsidR="00BF5BCD" w:rsidRPr="00BF5BCD" w:rsidRDefault="00BF5BCD" w:rsidP="00BF5BCD">
            <w:pPr>
              <w:spacing w:line="240" w:lineRule="auto"/>
              <w:jc w:val="center"/>
              <w:rPr>
                <w:rFonts w:eastAsia="Times New Roman" w:cs="Times New Roman"/>
                <w:b/>
                <w:bCs/>
                <w:color w:val="000000"/>
                <w:sz w:val="14"/>
                <w:szCs w:val="14"/>
                <w:lang w:eastAsia="es-ES"/>
              </w:rPr>
            </w:pPr>
            <w:r w:rsidRPr="00BF5BCD">
              <w:rPr>
                <w:rFonts w:eastAsia="Times New Roman" w:cs="Times New Roman"/>
                <w:b/>
                <w:bCs/>
                <w:color w:val="000000"/>
                <w:sz w:val="14"/>
                <w:szCs w:val="14"/>
                <w:lang w:eastAsia="es-ES"/>
              </w:rPr>
              <w:t>IPC</w:t>
            </w:r>
            <w:r w:rsidRPr="00BF5BCD">
              <w:rPr>
                <w:rFonts w:eastAsia="Times New Roman" w:cs="Times New Roman"/>
                <w:b/>
                <w:bCs/>
                <w:sz w:val="14"/>
                <w:szCs w:val="14"/>
                <w:lang w:eastAsia="es-ES"/>
              </w:rPr>
              <w:t xml:space="preserve">   (Var. Año anterior)</w:t>
            </w:r>
          </w:p>
        </w:tc>
        <w:tc>
          <w:tcPr>
            <w:tcW w:w="803" w:type="dxa"/>
            <w:tcBorders>
              <w:top w:val="single" w:sz="8" w:space="0" w:color="auto"/>
              <w:left w:val="nil"/>
              <w:bottom w:val="nil"/>
              <w:right w:val="single" w:sz="4" w:space="0" w:color="808000"/>
            </w:tcBorders>
            <w:shd w:val="clear" w:color="000000" w:fill="FFFF99"/>
            <w:vAlign w:val="center"/>
            <w:hideMark/>
          </w:tcPr>
          <w:p w14:paraId="404739C4" w14:textId="77777777" w:rsidR="00BF5BCD" w:rsidRPr="00BF5BCD" w:rsidRDefault="00BF5BCD" w:rsidP="00BF5BCD">
            <w:pPr>
              <w:spacing w:line="240" w:lineRule="auto"/>
              <w:jc w:val="center"/>
              <w:rPr>
                <w:rFonts w:eastAsia="Times New Roman" w:cs="Times New Roman"/>
                <w:b/>
                <w:bCs/>
                <w:color w:val="000000"/>
                <w:sz w:val="14"/>
                <w:szCs w:val="14"/>
                <w:lang w:eastAsia="es-ES"/>
              </w:rPr>
            </w:pPr>
            <w:r w:rsidRPr="00BF5BCD">
              <w:rPr>
                <w:rFonts w:eastAsia="Times New Roman" w:cs="Times New Roman"/>
                <w:b/>
                <w:bCs/>
                <w:color w:val="000000"/>
                <w:sz w:val="14"/>
                <w:szCs w:val="14"/>
                <w:lang w:eastAsia="es-ES"/>
              </w:rPr>
              <w:t>Desde</w:t>
            </w:r>
          </w:p>
        </w:tc>
        <w:tc>
          <w:tcPr>
            <w:tcW w:w="755" w:type="dxa"/>
            <w:tcBorders>
              <w:top w:val="single" w:sz="8" w:space="0" w:color="auto"/>
              <w:left w:val="nil"/>
              <w:bottom w:val="nil"/>
              <w:right w:val="single" w:sz="4" w:space="0" w:color="808000"/>
            </w:tcBorders>
            <w:shd w:val="clear" w:color="000000" w:fill="FFFF99"/>
            <w:vAlign w:val="center"/>
            <w:hideMark/>
          </w:tcPr>
          <w:p w14:paraId="077FE44E" w14:textId="77777777" w:rsidR="00BF5BCD" w:rsidRPr="00BF5BCD" w:rsidRDefault="00BF5BCD" w:rsidP="00BF5BCD">
            <w:pPr>
              <w:spacing w:line="240" w:lineRule="auto"/>
              <w:jc w:val="center"/>
              <w:rPr>
                <w:rFonts w:eastAsia="Times New Roman" w:cs="Times New Roman"/>
                <w:b/>
                <w:bCs/>
                <w:color w:val="000000"/>
                <w:sz w:val="14"/>
                <w:szCs w:val="14"/>
                <w:lang w:eastAsia="es-ES"/>
              </w:rPr>
            </w:pPr>
            <w:r w:rsidRPr="00BF5BCD">
              <w:rPr>
                <w:rFonts w:eastAsia="Times New Roman" w:cs="Times New Roman"/>
                <w:b/>
                <w:bCs/>
                <w:color w:val="000000"/>
                <w:sz w:val="14"/>
                <w:szCs w:val="14"/>
                <w:lang w:eastAsia="es-ES"/>
              </w:rPr>
              <w:t>Hasta</w:t>
            </w:r>
          </w:p>
        </w:tc>
        <w:tc>
          <w:tcPr>
            <w:tcW w:w="710" w:type="dxa"/>
            <w:tcBorders>
              <w:top w:val="single" w:sz="8" w:space="0" w:color="auto"/>
              <w:left w:val="nil"/>
              <w:bottom w:val="nil"/>
              <w:right w:val="single" w:sz="4" w:space="0" w:color="808000"/>
            </w:tcBorders>
            <w:shd w:val="clear" w:color="000000" w:fill="FFFF99"/>
            <w:vAlign w:val="center"/>
            <w:hideMark/>
          </w:tcPr>
          <w:p w14:paraId="50663E7B" w14:textId="77777777" w:rsidR="00BF5BCD" w:rsidRPr="00BF5BCD" w:rsidRDefault="00BF5BCD" w:rsidP="00BF5BCD">
            <w:pPr>
              <w:spacing w:line="240" w:lineRule="auto"/>
              <w:jc w:val="center"/>
              <w:rPr>
                <w:rFonts w:eastAsia="Times New Roman" w:cs="Times New Roman"/>
                <w:b/>
                <w:bCs/>
                <w:color w:val="000000"/>
                <w:sz w:val="14"/>
                <w:szCs w:val="14"/>
                <w:lang w:eastAsia="es-ES"/>
              </w:rPr>
            </w:pPr>
            <w:r w:rsidRPr="00BF5BCD">
              <w:rPr>
                <w:rFonts w:eastAsia="Times New Roman" w:cs="Times New Roman"/>
                <w:b/>
                <w:bCs/>
                <w:color w:val="000000"/>
                <w:sz w:val="14"/>
                <w:szCs w:val="14"/>
                <w:lang w:eastAsia="es-ES"/>
              </w:rPr>
              <w:t>Causadas</w:t>
            </w:r>
          </w:p>
        </w:tc>
        <w:tc>
          <w:tcPr>
            <w:tcW w:w="992" w:type="dxa"/>
            <w:tcBorders>
              <w:top w:val="single" w:sz="8" w:space="0" w:color="auto"/>
              <w:left w:val="nil"/>
              <w:bottom w:val="nil"/>
              <w:right w:val="nil"/>
            </w:tcBorders>
            <w:shd w:val="clear" w:color="000000" w:fill="FFFF99"/>
            <w:vAlign w:val="center"/>
            <w:hideMark/>
          </w:tcPr>
          <w:p w14:paraId="7D77CCB9" w14:textId="77777777" w:rsidR="00BF5BCD" w:rsidRPr="00BF5BCD" w:rsidRDefault="00BF5BCD" w:rsidP="00BF5BCD">
            <w:pPr>
              <w:spacing w:line="240" w:lineRule="auto"/>
              <w:jc w:val="center"/>
              <w:rPr>
                <w:rFonts w:eastAsia="Times New Roman" w:cs="Times New Roman"/>
                <w:b/>
                <w:bCs/>
                <w:color w:val="000000"/>
                <w:sz w:val="14"/>
                <w:szCs w:val="14"/>
                <w:lang w:eastAsia="es-ES"/>
              </w:rPr>
            </w:pPr>
            <w:r w:rsidRPr="00BF5BCD">
              <w:rPr>
                <w:rFonts w:eastAsia="Times New Roman" w:cs="Times New Roman"/>
                <w:b/>
                <w:bCs/>
                <w:color w:val="000000"/>
                <w:sz w:val="14"/>
                <w:szCs w:val="14"/>
                <w:lang w:eastAsia="es-ES"/>
              </w:rPr>
              <w:t xml:space="preserve">Valor mesada </w:t>
            </w:r>
          </w:p>
        </w:tc>
        <w:tc>
          <w:tcPr>
            <w:tcW w:w="1269" w:type="dxa"/>
            <w:tcBorders>
              <w:top w:val="single" w:sz="8" w:space="0" w:color="auto"/>
              <w:left w:val="single" w:sz="8" w:space="0" w:color="auto"/>
              <w:bottom w:val="nil"/>
              <w:right w:val="single" w:sz="8" w:space="0" w:color="auto"/>
            </w:tcBorders>
            <w:shd w:val="clear" w:color="000000" w:fill="FFFF99"/>
            <w:vAlign w:val="center"/>
            <w:hideMark/>
          </w:tcPr>
          <w:p w14:paraId="77F5BF74" w14:textId="38294C7A" w:rsidR="00BF5BCD" w:rsidRPr="00BF5BCD" w:rsidRDefault="00BF5BCD" w:rsidP="00BF5BCD">
            <w:pPr>
              <w:spacing w:line="240" w:lineRule="auto"/>
              <w:jc w:val="center"/>
              <w:rPr>
                <w:rFonts w:eastAsia="Times New Roman" w:cs="Times New Roman"/>
                <w:b/>
                <w:bCs/>
                <w:color w:val="000000"/>
                <w:sz w:val="14"/>
                <w:szCs w:val="14"/>
                <w:lang w:eastAsia="es-ES"/>
              </w:rPr>
            </w:pPr>
            <w:r w:rsidRPr="00BF5BCD">
              <w:rPr>
                <w:rFonts w:eastAsia="Times New Roman" w:cs="Times New Roman"/>
                <w:b/>
                <w:bCs/>
                <w:color w:val="000000"/>
                <w:sz w:val="14"/>
                <w:szCs w:val="14"/>
                <w:lang w:eastAsia="es-ES"/>
              </w:rPr>
              <w:t>Valor mesada acumulada</w:t>
            </w:r>
          </w:p>
        </w:tc>
        <w:tc>
          <w:tcPr>
            <w:tcW w:w="857" w:type="dxa"/>
            <w:tcBorders>
              <w:top w:val="single" w:sz="8" w:space="0" w:color="auto"/>
              <w:left w:val="nil"/>
              <w:bottom w:val="nil"/>
              <w:right w:val="single" w:sz="8" w:space="0" w:color="auto"/>
            </w:tcBorders>
            <w:shd w:val="clear" w:color="000000" w:fill="FFFF99"/>
            <w:vAlign w:val="center"/>
            <w:hideMark/>
          </w:tcPr>
          <w:p w14:paraId="29BEB4DC" w14:textId="77777777" w:rsidR="00BF5BCD" w:rsidRPr="00BF5BCD" w:rsidRDefault="00BF5BCD" w:rsidP="00BF5BCD">
            <w:pPr>
              <w:spacing w:line="240" w:lineRule="auto"/>
              <w:jc w:val="center"/>
              <w:rPr>
                <w:rFonts w:eastAsia="Times New Roman" w:cs="Times New Roman"/>
                <w:b/>
                <w:bCs/>
                <w:color w:val="000000"/>
                <w:sz w:val="14"/>
                <w:szCs w:val="14"/>
                <w:lang w:eastAsia="es-ES"/>
              </w:rPr>
            </w:pPr>
            <w:r w:rsidRPr="00BF5BCD">
              <w:rPr>
                <w:rFonts w:eastAsia="Times New Roman" w:cs="Times New Roman"/>
                <w:b/>
                <w:bCs/>
                <w:color w:val="000000"/>
                <w:sz w:val="14"/>
                <w:szCs w:val="14"/>
                <w:lang w:eastAsia="es-ES"/>
              </w:rPr>
              <w:t>Concepto</w:t>
            </w:r>
          </w:p>
        </w:tc>
        <w:tc>
          <w:tcPr>
            <w:tcW w:w="1256" w:type="dxa"/>
            <w:tcBorders>
              <w:top w:val="single" w:sz="8" w:space="0" w:color="auto"/>
              <w:left w:val="nil"/>
              <w:bottom w:val="nil"/>
              <w:right w:val="single" w:sz="8" w:space="0" w:color="auto"/>
            </w:tcBorders>
            <w:shd w:val="clear" w:color="000000" w:fill="FFFF99"/>
            <w:vAlign w:val="center"/>
            <w:hideMark/>
          </w:tcPr>
          <w:p w14:paraId="142D2F2C" w14:textId="4A00AB07" w:rsidR="00BF5BCD" w:rsidRPr="00BF5BCD" w:rsidRDefault="00BF5BCD" w:rsidP="00BF5BCD">
            <w:pPr>
              <w:spacing w:line="240" w:lineRule="auto"/>
              <w:jc w:val="center"/>
              <w:rPr>
                <w:rFonts w:eastAsia="Times New Roman" w:cs="Times New Roman"/>
                <w:b/>
                <w:bCs/>
                <w:color w:val="000000"/>
                <w:sz w:val="14"/>
                <w:szCs w:val="14"/>
                <w:lang w:eastAsia="es-ES"/>
              </w:rPr>
            </w:pPr>
            <w:r>
              <w:rPr>
                <w:rFonts w:eastAsia="Times New Roman" w:cs="Times New Roman"/>
                <w:b/>
                <w:bCs/>
                <w:color w:val="000000"/>
                <w:sz w:val="14"/>
                <w:szCs w:val="14"/>
                <w:lang w:eastAsia="es-ES"/>
              </w:rPr>
              <w:t>I</w:t>
            </w:r>
            <w:r w:rsidRPr="00BF5BCD">
              <w:rPr>
                <w:rFonts w:eastAsia="Times New Roman" w:cs="Times New Roman"/>
                <w:b/>
                <w:bCs/>
                <w:color w:val="000000"/>
                <w:sz w:val="14"/>
                <w:szCs w:val="14"/>
                <w:lang w:eastAsia="es-ES"/>
              </w:rPr>
              <w:t>ndexación mesada</w:t>
            </w:r>
          </w:p>
        </w:tc>
      </w:tr>
      <w:tr w:rsidR="00BF5BCD" w:rsidRPr="00BF5BCD" w14:paraId="1910ED9E" w14:textId="77777777" w:rsidTr="00BF5BCD">
        <w:trPr>
          <w:trHeight w:val="121"/>
          <w:jc w:val="center"/>
        </w:trPr>
        <w:tc>
          <w:tcPr>
            <w:tcW w:w="841" w:type="dxa"/>
            <w:tcBorders>
              <w:top w:val="single" w:sz="4" w:space="0" w:color="auto"/>
              <w:left w:val="single" w:sz="8" w:space="0" w:color="auto"/>
              <w:bottom w:val="single" w:sz="4" w:space="0" w:color="auto"/>
              <w:right w:val="single" w:sz="4" w:space="0" w:color="auto"/>
            </w:tcBorders>
            <w:shd w:val="clear" w:color="000000" w:fill="FFFFCC"/>
            <w:noWrap/>
            <w:vAlign w:val="bottom"/>
            <w:hideMark/>
          </w:tcPr>
          <w:p w14:paraId="114D539B"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2014</w:t>
            </w:r>
          </w:p>
        </w:tc>
        <w:tc>
          <w:tcPr>
            <w:tcW w:w="709" w:type="dxa"/>
            <w:tcBorders>
              <w:top w:val="single" w:sz="4" w:space="0" w:color="auto"/>
              <w:left w:val="nil"/>
              <w:bottom w:val="single" w:sz="4" w:space="0" w:color="auto"/>
              <w:right w:val="single" w:sz="4" w:space="0" w:color="auto"/>
            </w:tcBorders>
            <w:shd w:val="clear" w:color="000000" w:fill="FFFFCC"/>
            <w:noWrap/>
            <w:vAlign w:val="bottom"/>
            <w:hideMark/>
          </w:tcPr>
          <w:p w14:paraId="5E8D0E90"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3,66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64749F6C"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01-dic-14</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6914EEC3"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31-dic-14</w:t>
            </w:r>
          </w:p>
        </w:tc>
        <w:tc>
          <w:tcPr>
            <w:tcW w:w="710" w:type="dxa"/>
            <w:tcBorders>
              <w:top w:val="single" w:sz="4" w:space="0" w:color="auto"/>
              <w:left w:val="nil"/>
              <w:bottom w:val="single" w:sz="4" w:space="0" w:color="auto"/>
              <w:right w:val="single" w:sz="4" w:space="0" w:color="auto"/>
            </w:tcBorders>
            <w:shd w:val="clear" w:color="000000" w:fill="FFFFCC"/>
            <w:noWrap/>
            <w:vAlign w:val="bottom"/>
            <w:hideMark/>
          </w:tcPr>
          <w:p w14:paraId="6318AAB2"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1,00</w:t>
            </w:r>
          </w:p>
        </w:tc>
        <w:tc>
          <w:tcPr>
            <w:tcW w:w="992" w:type="dxa"/>
            <w:tcBorders>
              <w:top w:val="single" w:sz="4" w:space="0" w:color="auto"/>
              <w:left w:val="nil"/>
              <w:bottom w:val="single" w:sz="4" w:space="0" w:color="auto"/>
              <w:right w:val="nil"/>
            </w:tcBorders>
            <w:shd w:val="clear" w:color="000000" w:fill="FFFFCC"/>
            <w:vAlign w:val="bottom"/>
            <w:hideMark/>
          </w:tcPr>
          <w:p w14:paraId="4459522B"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1.364.830 </w:t>
            </w:r>
          </w:p>
        </w:tc>
        <w:tc>
          <w:tcPr>
            <w:tcW w:w="1269" w:type="dxa"/>
            <w:tcBorders>
              <w:top w:val="single" w:sz="4" w:space="0" w:color="auto"/>
              <w:left w:val="single" w:sz="8" w:space="0" w:color="auto"/>
              <w:bottom w:val="single" w:sz="4" w:space="0" w:color="auto"/>
              <w:right w:val="single" w:sz="8" w:space="0" w:color="auto"/>
            </w:tcBorders>
            <w:shd w:val="clear" w:color="000000" w:fill="FFFFCC"/>
            <w:vAlign w:val="bottom"/>
            <w:hideMark/>
          </w:tcPr>
          <w:p w14:paraId="31B21DDA"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1.364.830 </w:t>
            </w:r>
          </w:p>
        </w:tc>
        <w:tc>
          <w:tcPr>
            <w:tcW w:w="857" w:type="dxa"/>
            <w:tcBorders>
              <w:top w:val="single" w:sz="4" w:space="0" w:color="auto"/>
              <w:left w:val="nil"/>
              <w:bottom w:val="single" w:sz="4" w:space="0" w:color="auto"/>
              <w:right w:val="single" w:sz="8" w:space="0" w:color="auto"/>
            </w:tcBorders>
            <w:shd w:val="clear" w:color="000000" w:fill="FFFFCC"/>
            <w:vAlign w:val="bottom"/>
            <w:hideMark/>
          </w:tcPr>
          <w:p w14:paraId="1930130F"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Retroactivo </w:t>
            </w:r>
          </w:p>
        </w:tc>
        <w:tc>
          <w:tcPr>
            <w:tcW w:w="1256" w:type="dxa"/>
            <w:tcBorders>
              <w:top w:val="single" w:sz="4" w:space="0" w:color="auto"/>
              <w:left w:val="nil"/>
              <w:bottom w:val="single" w:sz="4" w:space="0" w:color="auto"/>
              <w:right w:val="single" w:sz="8" w:space="0" w:color="auto"/>
            </w:tcBorders>
            <w:shd w:val="clear" w:color="000000" w:fill="FFFFCC"/>
            <w:vAlign w:val="bottom"/>
            <w:hideMark/>
          </w:tcPr>
          <w:p w14:paraId="6457D846"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276.663 </w:t>
            </w:r>
          </w:p>
        </w:tc>
      </w:tr>
      <w:tr w:rsidR="00BF5BCD" w:rsidRPr="00BF5BCD" w14:paraId="017A9CA1" w14:textId="77777777" w:rsidTr="00BF5BCD">
        <w:trPr>
          <w:trHeight w:val="121"/>
          <w:jc w:val="center"/>
        </w:trPr>
        <w:tc>
          <w:tcPr>
            <w:tcW w:w="841" w:type="dxa"/>
            <w:tcBorders>
              <w:top w:val="nil"/>
              <w:left w:val="single" w:sz="8" w:space="0" w:color="auto"/>
              <w:bottom w:val="single" w:sz="4" w:space="0" w:color="auto"/>
              <w:right w:val="single" w:sz="4" w:space="0" w:color="auto"/>
            </w:tcBorders>
            <w:shd w:val="clear" w:color="000000" w:fill="FFFFCC"/>
            <w:noWrap/>
            <w:vAlign w:val="bottom"/>
            <w:hideMark/>
          </w:tcPr>
          <w:p w14:paraId="3978875D"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2015</w:t>
            </w:r>
          </w:p>
        </w:tc>
        <w:tc>
          <w:tcPr>
            <w:tcW w:w="709" w:type="dxa"/>
            <w:tcBorders>
              <w:top w:val="nil"/>
              <w:left w:val="nil"/>
              <w:bottom w:val="single" w:sz="4" w:space="0" w:color="auto"/>
              <w:right w:val="single" w:sz="4" w:space="0" w:color="auto"/>
            </w:tcBorders>
            <w:shd w:val="clear" w:color="000000" w:fill="FFFFCC"/>
            <w:noWrap/>
            <w:vAlign w:val="bottom"/>
            <w:hideMark/>
          </w:tcPr>
          <w:p w14:paraId="5FEDC0C4"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6,77</w:t>
            </w:r>
          </w:p>
        </w:tc>
        <w:tc>
          <w:tcPr>
            <w:tcW w:w="803" w:type="dxa"/>
            <w:tcBorders>
              <w:top w:val="nil"/>
              <w:left w:val="nil"/>
              <w:bottom w:val="single" w:sz="4" w:space="0" w:color="auto"/>
              <w:right w:val="single" w:sz="4" w:space="0" w:color="auto"/>
            </w:tcBorders>
            <w:shd w:val="clear" w:color="auto" w:fill="auto"/>
            <w:noWrap/>
            <w:vAlign w:val="center"/>
            <w:hideMark/>
          </w:tcPr>
          <w:p w14:paraId="3F091212"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01-ene-15</w:t>
            </w:r>
          </w:p>
        </w:tc>
        <w:tc>
          <w:tcPr>
            <w:tcW w:w="755" w:type="dxa"/>
            <w:tcBorders>
              <w:top w:val="nil"/>
              <w:left w:val="nil"/>
              <w:bottom w:val="single" w:sz="4" w:space="0" w:color="auto"/>
              <w:right w:val="single" w:sz="4" w:space="0" w:color="auto"/>
            </w:tcBorders>
            <w:shd w:val="clear" w:color="auto" w:fill="auto"/>
            <w:noWrap/>
            <w:vAlign w:val="center"/>
            <w:hideMark/>
          </w:tcPr>
          <w:p w14:paraId="5A070179"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31-may-15</w:t>
            </w:r>
          </w:p>
        </w:tc>
        <w:tc>
          <w:tcPr>
            <w:tcW w:w="710" w:type="dxa"/>
            <w:tcBorders>
              <w:top w:val="nil"/>
              <w:left w:val="nil"/>
              <w:bottom w:val="single" w:sz="4" w:space="0" w:color="auto"/>
              <w:right w:val="single" w:sz="4" w:space="0" w:color="auto"/>
            </w:tcBorders>
            <w:shd w:val="clear" w:color="000000" w:fill="FFFFCC"/>
            <w:noWrap/>
            <w:vAlign w:val="bottom"/>
            <w:hideMark/>
          </w:tcPr>
          <w:p w14:paraId="59D05CFE"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5,00</w:t>
            </w:r>
          </w:p>
        </w:tc>
        <w:tc>
          <w:tcPr>
            <w:tcW w:w="992" w:type="dxa"/>
            <w:tcBorders>
              <w:top w:val="nil"/>
              <w:left w:val="nil"/>
              <w:bottom w:val="single" w:sz="4" w:space="0" w:color="auto"/>
              <w:right w:val="nil"/>
            </w:tcBorders>
            <w:shd w:val="clear" w:color="000000" w:fill="FFFFCC"/>
            <w:vAlign w:val="bottom"/>
            <w:hideMark/>
          </w:tcPr>
          <w:p w14:paraId="298C548A"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1.414.783 </w:t>
            </w:r>
          </w:p>
        </w:tc>
        <w:tc>
          <w:tcPr>
            <w:tcW w:w="1269" w:type="dxa"/>
            <w:tcBorders>
              <w:top w:val="nil"/>
              <w:left w:val="single" w:sz="8" w:space="0" w:color="auto"/>
              <w:bottom w:val="single" w:sz="4" w:space="0" w:color="auto"/>
              <w:right w:val="single" w:sz="8" w:space="0" w:color="auto"/>
            </w:tcBorders>
            <w:shd w:val="clear" w:color="000000" w:fill="FFFFCC"/>
            <w:vAlign w:val="bottom"/>
            <w:hideMark/>
          </w:tcPr>
          <w:p w14:paraId="07940AED"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7.073.914 </w:t>
            </w:r>
          </w:p>
        </w:tc>
        <w:tc>
          <w:tcPr>
            <w:tcW w:w="857" w:type="dxa"/>
            <w:tcBorders>
              <w:top w:val="nil"/>
              <w:left w:val="nil"/>
              <w:bottom w:val="single" w:sz="4" w:space="0" w:color="auto"/>
              <w:right w:val="single" w:sz="8" w:space="0" w:color="auto"/>
            </w:tcBorders>
            <w:shd w:val="clear" w:color="000000" w:fill="FFFFCC"/>
            <w:vAlign w:val="bottom"/>
            <w:hideMark/>
          </w:tcPr>
          <w:p w14:paraId="5573E2F0"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Retroactivo </w:t>
            </w:r>
          </w:p>
        </w:tc>
        <w:tc>
          <w:tcPr>
            <w:tcW w:w="1256" w:type="dxa"/>
            <w:tcBorders>
              <w:top w:val="nil"/>
              <w:left w:val="nil"/>
              <w:bottom w:val="single" w:sz="4" w:space="0" w:color="auto"/>
              <w:right w:val="single" w:sz="8" w:space="0" w:color="auto"/>
            </w:tcBorders>
            <w:shd w:val="clear" w:color="000000" w:fill="FFFFCC"/>
            <w:vAlign w:val="bottom"/>
            <w:hideMark/>
          </w:tcPr>
          <w:p w14:paraId="59D5FDE8"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1.251.425 </w:t>
            </w:r>
          </w:p>
        </w:tc>
      </w:tr>
      <w:tr w:rsidR="00BF5BCD" w:rsidRPr="00BF5BCD" w14:paraId="686C1FA6" w14:textId="77777777" w:rsidTr="00BF5BCD">
        <w:trPr>
          <w:trHeight w:val="121"/>
          <w:jc w:val="center"/>
        </w:trPr>
        <w:tc>
          <w:tcPr>
            <w:tcW w:w="841" w:type="dxa"/>
            <w:tcBorders>
              <w:top w:val="nil"/>
              <w:left w:val="single" w:sz="8" w:space="0" w:color="auto"/>
              <w:bottom w:val="single" w:sz="4" w:space="0" w:color="auto"/>
              <w:right w:val="single" w:sz="4" w:space="0" w:color="auto"/>
            </w:tcBorders>
            <w:shd w:val="clear" w:color="000000" w:fill="FFFFCC"/>
            <w:noWrap/>
            <w:vAlign w:val="bottom"/>
            <w:hideMark/>
          </w:tcPr>
          <w:p w14:paraId="57D77CD1"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2015</w:t>
            </w:r>
          </w:p>
        </w:tc>
        <w:tc>
          <w:tcPr>
            <w:tcW w:w="709" w:type="dxa"/>
            <w:tcBorders>
              <w:top w:val="nil"/>
              <w:left w:val="nil"/>
              <w:bottom w:val="single" w:sz="4" w:space="0" w:color="auto"/>
              <w:right w:val="single" w:sz="4" w:space="0" w:color="auto"/>
            </w:tcBorders>
            <w:shd w:val="clear" w:color="000000" w:fill="FFFFCC"/>
            <w:noWrap/>
            <w:vAlign w:val="bottom"/>
            <w:hideMark/>
          </w:tcPr>
          <w:p w14:paraId="00DC3DD7"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6,77</w:t>
            </w:r>
          </w:p>
        </w:tc>
        <w:tc>
          <w:tcPr>
            <w:tcW w:w="803" w:type="dxa"/>
            <w:tcBorders>
              <w:top w:val="nil"/>
              <w:left w:val="nil"/>
              <w:bottom w:val="single" w:sz="4" w:space="0" w:color="auto"/>
              <w:right w:val="single" w:sz="4" w:space="0" w:color="auto"/>
            </w:tcBorders>
            <w:shd w:val="clear" w:color="auto" w:fill="auto"/>
            <w:noWrap/>
            <w:vAlign w:val="center"/>
            <w:hideMark/>
          </w:tcPr>
          <w:p w14:paraId="1C3D0CDE"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01-jun-15</w:t>
            </w:r>
          </w:p>
        </w:tc>
        <w:tc>
          <w:tcPr>
            <w:tcW w:w="755" w:type="dxa"/>
            <w:tcBorders>
              <w:top w:val="nil"/>
              <w:left w:val="nil"/>
              <w:bottom w:val="single" w:sz="4" w:space="0" w:color="auto"/>
              <w:right w:val="single" w:sz="4" w:space="0" w:color="auto"/>
            </w:tcBorders>
            <w:shd w:val="clear" w:color="auto" w:fill="auto"/>
            <w:noWrap/>
            <w:vAlign w:val="center"/>
            <w:hideMark/>
          </w:tcPr>
          <w:p w14:paraId="6D23571F"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31-dic-15</w:t>
            </w:r>
          </w:p>
        </w:tc>
        <w:tc>
          <w:tcPr>
            <w:tcW w:w="710" w:type="dxa"/>
            <w:tcBorders>
              <w:top w:val="nil"/>
              <w:left w:val="nil"/>
              <w:bottom w:val="single" w:sz="4" w:space="0" w:color="auto"/>
              <w:right w:val="single" w:sz="4" w:space="0" w:color="auto"/>
            </w:tcBorders>
            <w:shd w:val="clear" w:color="000000" w:fill="FFFFCC"/>
            <w:noWrap/>
            <w:vAlign w:val="bottom"/>
            <w:hideMark/>
          </w:tcPr>
          <w:p w14:paraId="7FD2279F"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8,00</w:t>
            </w:r>
          </w:p>
        </w:tc>
        <w:tc>
          <w:tcPr>
            <w:tcW w:w="992" w:type="dxa"/>
            <w:tcBorders>
              <w:top w:val="nil"/>
              <w:left w:val="nil"/>
              <w:bottom w:val="single" w:sz="4" w:space="0" w:color="auto"/>
              <w:right w:val="nil"/>
            </w:tcBorders>
            <w:shd w:val="clear" w:color="000000" w:fill="FFFFCC"/>
            <w:vAlign w:val="bottom"/>
            <w:hideMark/>
          </w:tcPr>
          <w:p w14:paraId="3C4701D0"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1.414.783 </w:t>
            </w:r>
          </w:p>
        </w:tc>
        <w:tc>
          <w:tcPr>
            <w:tcW w:w="1269" w:type="dxa"/>
            <w:tcBorders>
              <w:top w:val="nil"/>
              <w:left w:val="single" w:sz="8" w:space="0" w:color="auto"/>
              <w:bottom w:val="single" w:sz="4" w:space="0" w:color="auto"/>
              <w:right w:val="single" w:sz="8" w:space="0" w:color="auto"/>
            </w:tcBorders>
            <w:shd w:val="clear" w:color="000000" w:fill="FFFFCC"/>
            <w:vAlign w:val="bottom"/>
            <w:hideMark/>
          </w:tcPr>
          <w:p w14:paraId="0B1D5691"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12.346 </w:t>
            </w:r>
          </w:p>
        </w:tc>
        <w:tc>
          <w:tcPr>
            <w:tcW w:w="857" w:type="dxa"/>
            <w:tcBorders>
              <w:top w:val="nil"/>
              <w:left w:val="nil"/>
              <w:bottom w:val="single" w:sz="4" w:space="0" w:color="auto"/>
              <w:right w:val="single" w:sz="8" w:space="0" w:color="auto"/>
            </w:tcBorders>
            <w:shd w:val="clear" w:color="000000" w:fill="FFFFCC"/>
            <w:vAlign w:val="bottom"/>
            <w:hideMark/>
          </w:tcPr>
          <w:p w14:paraId="7F8EAF85"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Diferencia </w:t>
            </w:r>
          </w:p>
        </w:tc>
        <w:tc>
          <w:tcPr>
            <w:tcW w:w="1256" w:type="dxa"/>
            <w:tcBorders>
              <w:top w:val="nil"/>
              <w:left w:val="nil"/>
              <w:bottom w:val="single" w:sz="4" w:space="0" w:color="auto"/>
              <w:right w:val="single" w:sz="8" w:space="0" w:color="auto"/>
            </w:tcBorders>
            <w:shd w:val="clear" w:color="000000" w:fill="FFFFCC"/>
            <w:vAlign w:val="bottom"/>
            <w:hideMark/>
          </w:tcPr>
          <w:p w14:paraId="1FF08006"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1.785 </w:t>
            </w:r>
          </w:p>
        </w:tc>
      </w:tr>
      <w:tr w:rsidR="00BF5BCD" w:rsidRPr="00BF5BCD" w14:paraId="6122F91A" w14:textId="77777777" w:rsidTr="00BF5BCD">
        <w:trPr>
          <w:trHeight w:val="121"/>
          <w:jc w:val="center"/>
        </w:trPr>
        <w:tc>
          <w:tcPr>
            <w:tcW w:w="841" w:type="dxa"/>
            <w:tcBorders>
              <w:top w:val="nil"/>
              <w:left w:val="single" w:sz="8" w:space="0" w:color="auto"/>
              <w:bottom w:val="single" w:sz="4" w:space="0" w:color="auto"/>
              <w:right w:val="single" w:sz="4" w:space="0" w:color="auto"/>
            </w:tcBorders>
            <w:shd w:val="clear" w:color="000000" w:fill="FFFFCC"/>
            <w:noWrap/>
            <w:vAlign w:val="bottom"/>
            <w:hideMark/>
          </w:tcPr>
          <w:p w14:paraId="1707095C"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2016</w:t>
            </w:r>
          </w:p>
        </w:tc>
        <w:tc>
          <w:tcPr>
            <w:tcW w:w="709" w:type="dxa"/>
            <w:tcBorders>
              <w:top w:val="nil"/>
              <w:left w:val="nil"/>
              <w:bottom w:val="single" w:sz="4" w:space="0" w:color="auto"/>
              <w:right w:val="single" w:sz="4" w:space="0" w:color="auto"/>
            </w:tcBorders>
            <w:shd w:val="clear" w:color="000000" w:fill="FFFFCC"/>
            <w:noWrap/>
            <w:vAlign w:val="bottom"/>
            <w:hideMark/>
          </w:tcPr>
          <w:p w14:paraId="03FED10A"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5,75</w:t>
            </w:r>
          </w:p>
        </w:tc>
        <w:tc>
          <w:tcPr>
            <w:tcW w:w="803" w:type="dxa"/>
            <w:tcBorders>
              <w:top w:val="nil"/>
              <w:left w:val="nil"/>
              <w:bottom w:val="single" w:sz="4" w:space="0" w:color="auto"/>
              <w:right w:val="single" w:sz="4" w:space="0" w:color="auto"/>
            </w:tcBorders>
            <w:shd w:val="clear" w:color="auto" w:fill="auto"/>
            <w:noWrap/>
            <w:vAlign w:val="center"/>
            <w:hideMark/>
          </w:tcPr>
          <w:p w14:paraId="61A60C1A"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01-ene-16</w:t>
            </w:r>
          </w:p>
        </w:tc>
        <w:tc>
          <w:tcPr>
            <w:tcW w:w="755" w:type="dxa"/>
            <w:tcBorders>
              <w:top w:val="nil"/>
              <w:left w:val="nil"/>
              <w:bottom w:val="single" w:sz="4" w:space="0" w:color="auto"/>
              <w:right w:val="single" w:sz="4" w:space="0" w:color="auto"/>
            </w:tcBorders>
            <w:shd w:val="clear" w:color="auto" w:fill="auto"/>
            <w:noWrap/>
            <w:vAlign w:val="center"/>
            <w:hideMark/>
          </w:tcPr>
          <w:p w14:paraId="3A2B2660"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31-dic-16</w:t>
            </w:r>
          </w:p>
        </w:tc>
        <w:tc>
          <w:tcPr>
            <w:tcW w:w="710" w:type="dxa"/>
            <w:tcBorders>
              <w:top w:val="nil"/>
              <w:left w:val="nil"/>
              <w:bottom w:val="single" w:sz="4" w:space="0" w:color="auto"/>
              <w:right w:val="single" w:sz="4" w:space="0" w:color="auto"/>
            </w:tcBorders>
            <w:shd w:val="clear" w:color="000000" w:fill="FFFFCC"/>
            <w:noWrap/>
            <w:vAlign w:val="bottom"/>
            <w:hideMark/>
          </w:tcPr>
          <w:p w14:paraId="246BFE0E"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13,00</w:t>
            </w:r>
          </w:p>
        </w:tc>
        <w:tc>
          <w:tcPr>
            <w:tcW w:w="992" w:type="dxa"/>
            <w:tcBorders>
              <w:top w:val="nil"/>
              <w:left w:val="nil"/>
              <w:bottom w:val="single" w:sz="4" w:space="0" w:color="auto"/>
              <w:right w:val="nil"/>
            </w:tcBorders>
            <w:shd w:val="clear" w:color="000000" w:fill="FFFFCC"/>
            <w:vAlign w:val="bottom"/>
            <w:hideMark/>
          </w:tcPr>
          <w:p w14:paraId="5DFE1602"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1.510.564 </w:t>
            </w:r>
          </w:p>
        </w:tc>
        <w:tc>
          <w:tcPr>
            <w:tcW w:w="1269" w:type="dxa"/>
            <w:tcBorders>
              <w:top w:val="nil"/>
              <w:left w:val="single" w:sz="8" w:space="0" w:color="auto"/>
              <w:bottom w:val="single" w:sz="4" w:space="0" w:color="auto"/>
              <w:right w:val="single" w:sz="8" w:space="0" w:color="auto"/>
            </w:tcBorders>
            <w:shd w:val="clear" w:color="000000" w:fill="FFFFCC"/>
            <w:vAlign w:val="bottom"/>
            <w:hideMark/>
          </w:tcPr>
          <w:p w14:paraId="779F2A08"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21.400 </w:t>
            </w:r>
          </w:p>
        </w:tc>
        <w:tc>
          <w:tcPr>
            <w:tcW w:w="857" w:type="dxa"/>
            <w:tcBorders>
              <w:top w:val="nil"/>
              <w:left w:val="nil"/>
              <w:bottom w:val="single" w:sz="4" w:space="0" w:color="auto"/>
              <w:right w:val="single" w:sz="8" w:space="0" w:color="auto"/>
            </w:tcBorders>
            <w:shd w:val="clear" w:color="000000" w:fill="FFFFCC"/>
            <w:vAlign w:val="bottom"/>
            <w:hideMark/>
          </w:tcPr>
          <w:p w14:paraId="301C76E8"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Diferencia </w:t>
            </w:r>
          </w:p>
        </w:tc>
        <w:tc>
          <w:tcPr>
            <w:tcW w:w="1256" w:type="dxa"/>
            <w:tcBorders>
              <w:top w:val="nil"/>
              <w:left w:val="nil"/>
              <w:bottom w:val="single" w:sz="4" w:space="0" w:color="auto"/>
              <w:right w:val="single" w:sz="8" w:space="0" w:color="auto"/>
            </w:tcBorders>
            <w:shd w:val="clear" w:color="000000" w:fill="FFFFCC"/>
            <w:vAlign w:val="bottom"/>
            <w:hideMark/>
          </w:tcPr>
          <w:p w14:paraId="4F0A81D0"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1.656 </w:t>
            </w:r>
          </w:p>
        </w:tc>
      </w:tr>
      <w:tr w:rsidR="00BF5BCD" w:rsidRPr="00BF5BCD" w14:paraId="4B691C50" w14:textId="77777777" w:rsidTr="00BF5BCD">
        <w:trPr>
          <w:trHeight w:val="121"/>
          <w:jc w:val="center"/>
        </w:trPr>
        <w:tc>
          <w:tcPr>
            <w:tcW w:w="841" w:type="dxa"/>
            <w:tcBorders>
              <w:top w:val="nil"/>
              <w:left w:val="single" w:sz="8" w:space="0" w:color="auto"/>
              <w:bottom w:val="single" w:sz="4" w:space="0" w:color="auto"/>
              <w:right w:val="single" w:sz="4" w:space="0" w:color="auto"/>
            </w:tcBorders>
            <w:shd w:val="clear" w:color="000000" w:fill="FFFFCC"/>
            <w:noWrap/>
            <w:vAlign w:val="bottom"/>
            <w:hideMark/>
          </w:tcPr>
          <w:p w14:paraId="15BB53E8"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2017</w:t>
            </w:r>
          </w:p>
        </w:tc>
        <w:tc>
          <w:tcPr>
            <w:tcW w:w="709" w:type="dxa"/>
            <w:tcBorders>
              <w:top w:val="nil"/>
              <w:left w:val="nil"/>
              <w:bottom w:val="single" w:sz="4" w:space="0" w:color="auto"/>
              <w:right w:val="single" w:sz="4" w:space="0" w:color="auto"/>
            </w:tcBorders>
            <w:shd w:val="clear" w:color="000000" w:fill="FFFFCC"/>
            <w:noWrap/>
            <w:vAlign w:val="bottom"/>
            <w:hideMark/>
          </w:tcPr>
          <w:p w14:paraId="4E8EAF9E"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4,09</w:t>
            </w:r>
          </w:p>
        </w:tc>
        <w:tc>
          <w:tcPr>
            <w:tcW w:w="803" w:type="dxa"/>
            <w:tcBorders>
              <w:top w:val="nil"/>
              <w:left w:val="nil"/>
              <w:bottom w:val="single" w:sz="4" w:space="0" w:color="auto"/>
              <w:right w:val="single" w:sz="4" w:space="0" w:color="auto"/>
            </w:tcBorders>
            <w:shd w:val="clear" w:color="auto" w:fill="auto"/>
            <w:noWrap/>
            <w:vAlign w:val="center"/>
            <w:hideMark/>
          </w:tcPr>
          <w:p w14:paraId="52F40D0D"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01-ene-17</w:t>
            </w:r>
          </w:p>
        </w:tc>
        <w:tc>
          <w:tcPr>
            <w:tcW w:w="755" w:type="dxa"/>
            <w:tcBorders>
              <w:top w:val="nil"/>
              <w:left w:val="nil"/>
              <w:bottom w:val="single" w:sz="4" w:space="0" w:color="auto"/>
              <w:right w:val="single" w:sz="4" w:space="0" w:color="auto"/>
            </w:tcBorders>
            <w:shd w:val="clear" w:color="auto" w:fill="auto"/>
            <w:noWrap/>
            <w:vAlign w:val="center"/>
            <w:hideMark/>
          </w:tcPr>
          <w:p w14:paraId="77A57E97"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31-dic-17</w:t>
            </w:r>
          </w:p>
        </w:tc>
        <w:tc>
          <w:tcPr>
            <w:tcW w:w="710" w:type="dxa"/>
            <w:tcBorders>
              <w:top w:val="nil"/>
              <w:left w:val="nil"/>
              <w:bottom w:val="single" w:sz="4" w:space="0" w:color="auto"/>
              <w:right w:val="single" w:sz="4" w:space="0" w:color="auto"/>
            </w:tcBorders>
            <w:shd w:val="clear" w:color="000000" w:fill="FFFFCC"/>
            <w:noWrap/>
            <w:vAlign w:val="bottom"/>
            <w:hideMark/>
          </w:tcPr>
          <w:p w14:paraId="22F66304"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13,00</w:t>
            </w:r>
          </w:p>
        </w:tc>
        <w:tc>
          <w:tcPr>
            <w:tcW w:w="992" w:type="dxa"/>
            <w:tcBorders>
              <w:top w:val="nil"/>
              <w:left w:val="nil"/>
              <w:bottom w:val="single" w:sz="4" w:space="0" w:color="auto"/>
              <w:right w:val="nil"/>
            </w:tcBorders>
            <w:shd w:val="clear" w:color="000000" w:fill="FFFFCC"/>
            <w:vAlign w:val="bottom"/>
            <w:hideMark/>
          </w:tcPr>
          <w:p w14:paraId="6141432E"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1.597.421 </w:t>
            </w:r>
          </w:p>
        </w:tc>
        <w:tc>
          <w:tcPr>
            <w:tcW w:w="1269" w:type="dxa"/>
            <w:tcBorders>
              <w:top w:val="nil"/>
              <w:left w:val="single" w:sz="8" w:space="0" w:color="auto"/>
              <w:bottom w:val="single" w:sz="4" w:space="0" w:color="auto"/>
              <w:right w:val="single" w:sz="8" w:space="0" w:color="auto"/>
            </w:tcBorders>
            <w:shd w:val="clear" w:color="000000" w:fill="FFFFCC"/>
            <w:vAlign w:val="bottom"/>
            <w:hideMark/>
          </w:tcPr>
          <w:p w14:paraId="1FBB146E"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22.631 </w:t>
            </w:r>
          </w:p>
        </w:tc>
        <w:tc>
          <w:tcPr>
            <w:tcW w:w="857" w:type="dxa"/>
            <w:tcBorders>
              <w:top w:val="nil"/>
              <w:left w:val="nil"/>
              <w:bottom w:val="single" w:sz="4" w:space="0" w:color="auto"/>
              <w:right w:val="single" w:sz="8" w:space="0" w:color="auto"/>
            </w:tcBorders>
            <w:shd w:val="clear" w:color="000000" w:fill="FFFFCC"/>
            <w:vAlign w:val="bottom"/>
            <w:hideMark/>
          </w:tcPr>
          <w:p w14:paraId="670B75D5"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Diferencia </w:t>
            </w:r>
          </w:p>
        </w:tc>
        <w:tc>
          <w:tcPr>
            <w:tcW w:w="1256" w:type="dxa"/>
            <w:tcBorders>
              <w:top w:val="nil"/>
              <w:left w:val="nil"/>
              <w:bottom w:val="single" w:sz="4" w:space="0" w:color="auto"/>
              <w:right w:val="single" w:sz="8" w:space="0" w:color="auto"/>
            </w:tcBorders>
            <w:shd w:val="clear" w:color="000000" w:fill="FFFFCC"/>
            <w:vAlign w:val="bottom"/>
            <w:hideMark/>
          </w:tcPr>
          <w:p w14:paraId="3DB45D39"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745 </w:t>
            </w:r>
          </w:p>
        </w:tc>
      </w:tr>
      <w:tr w:rsidR="00BF5BCD" w:rsidRPr="00BF5BCD" w14:paraId="0800E5D9" w14:textId="77777777" w:rsidTr="00BF5BCD">
        <w:trPr>
          <w:trHeight w:val="121"/>
          <w:jc w:val="center"/>
        </w:trPr>
        <w:tc>
          <w:tcPr>
            <w:tcW w:w="841" w:type="dxa"/>
            <w:tcBorders>
              <w:top w:val="nil"/>
              <w:left w:val="single" w:sz="8" w:space="0" w:color="auto"/>
              <w:bottom w:val="single" w:sz="4" w:space="0" w:color="auto"/>
              <w:right w:val="single" w:sz="4" w:space="0" w:color="auto"/>
            </w:tcBorders>
            <w:shd w:val="clear" w:color="000000" w:fill="FFFFCC"/>
            <w:noWrap/>
            <w:vAlign w:val="bottom"/>
            <w:hideMark/>
          </w:tcPr>
          <w:p w14:paraId="1A700347"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2018</w:t>
            </w:r>
          </w:p>
        </w:tc>
        <w:tc>
          <w:tcPr>
            <w:tcW w:w="709" w:type="dxa"/>
            <w:tcBorders>
              <w:top w:val="nil"/>
              <w:left w:val="nil"/>
              <w:bottom w:val="single" w:sz="4" w:space="0" w:color="auto"/>
              <w:right w:val="single" w:sz="4" w:space="0" w:color="auto"/>
            </w:tcBorders>
            <w:shd w:val="clear" w:color="000000" w:fill="FFFFCC"/>
            <w:noWrap/>
            <w:vAlign w:val="bottom"/>
            <w:hideMark/>
          </w:tcPr>
          <w:p w14:paraId="563A88F1"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0,00</w:t>
            </w:r>
          </w:p>
        </w:tc>
        <w:tc>
          <w:tcPr>
            <w:tcW w:w="803" w:type="dxa"/>
            <w:tcBorders>
              <w:top w:val="nil"/>
              <w:left w:val="nil"/>
              <w:bottom w:val="single" w:sz="4" w:space="0" w:color="auto"/>
              <w:right w:val="single" w:sz="4" w:space="0" w:color="auto"/>
            </w:tcBorders>
            <w:shd w:val="clear" w:color="auto" w:fill="auto"/>
            <w:noWrap/>
            <w:vAlign w:val="center"/>
            <w:hideMark/>
          </w:tcPr>
          <w:p w14:paraId="1EA470B3"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01-ene-18</w:t>
            </w:r>
          </w:p>
        </w:tc>
        <w:tc>
          <w:tcPr>
            <w:tcW w:w="755" w:type="dxa"/>
            <w:tcBorders>
              <w:top w:val="nil"/>
              <w:left w:val="nil"/>
              <w:bottom w:val="single" w:sz="4" w:space="0" w:color="auto"/>
              <w:right w:val="single" w:sz="4" w:space="0" w:color="auto"/>
            </w:tcBorders>
            <w:shd w:val="clear" w:color="auto" w:fill="auto"/>
            <w:noWrap/>
            <w:vAlign w:val="center"/>
            <w:hideMark/>
          </w:tcPr>
          <w:p w14:paraId="25845321" w14:textId="77777777" w:rsidR="00BF5BCD" w:rsidRPr="00BF5BCD" w:rsidRDefault="00BF5BCD" w:rsidP="00BF5BCD">
            <w:pPr>
              <w:spacing w:line="240" w:lineRule="auto"/>
              <w:jc w:val="right"/>
              <w:rPr>
                <w:rFonts w:eastAsia="Times New Roman" w:cs="Times New Roman"/>
                <w:color w:val="000000"/>
                <w:sz w:val="14"/>
                <w:szCs w:val="14"/>
                <w:lang w:eastAsia="es-ES"/>
              </w:rPr>
            </w:pPr>
            <w:r w:rsidRPr="00BF5BCD">
              <w:rPr>
                <w:rFonts w:eastAsia="Times New Roman" w:cs="Times New Roman"/>
                <w:color w:val="000000"/>
                <w:sz w:val="14"/>
                <w:szCs w:val="14"/>
                <w:lang w:eastAsia="es-ES"/>
              </w:rPr>
              <w:t>31-jul-18</w:t>
            </w:r>
          </w:p>
        </w:tc>
        <w:tc>
          <w:tcPr>
            <w:tcW w:w="710" w:type="dxa"/>
            <w:tcBorders>
              <w:top w:val="nil"/>
              <w:left w:val="nil"/>
              <w:bottom w:val="nil"/>
              <w:right w:val="nil"/>
            </w:tcBorders>
            <w:shd w:val="clear" w:color="000000" w:fill="FFFFCC"/>
            <w:noWrap/>
            <w:vAlign w:val="bottom"/>
            <w:hideMark/>
          </w:tcPr>
          <w:p w14:paraId="6075D322" w14:textId="77777777" w:rsidR="00BF5BCD" w:rsidRPr="00BF5BCD" w:rsidRDefault="00BF5BCD" w:rsidP="00BF5BCD">
            <w:pPr>
              <w:spacing w:line="240" w:lineRule="auto"/>
              <w:jc w:val="center"/>
              <w:rPr>
                <w:rFonts w:eastAsia="Times New Roman" w:cs="Times New Roman"/>
                <w:sz w:val="14"/>
                <w:szCs w:val="14"/>
                <w:lang w:eastAsia="es-ES"/>
              </w:rPr>
            </w:pPr>
            <w:r w:rsidRPr="00BF5BCD">
              <w:rPr>
                <w:rFonts w:eastAsia="Times New Roman" w:cs="Times New Roman"/>
                <w:sz w:val="14"/>
                <w:szCs w:val="14"/>
                <w:lang w:eastAsia="es-ES"/>
              </w:rPr>
              <w:t>7,00</w:t>
            </w:r>
          </w:p>
        </w:tc>
        <w:tc>
          <w:tcPr>
            <w:tcW w:w="992" w:type="dxa"/>
            <w:tcBorders>
              <w:top w:val="nil"/>
              <w:left w:val="single" w:sz="4" w:space="0" w:color="auto"/>
              <w:bottom w:val="single" w:sz="4" w:space="0" w:color="auto"/>
              <w:right w:val="nil"/>
            </w:tcBorders>
            <w:shd w:val="clear" w:color="000000" w:fill="FFFFCC"/>
            <w:vAlign w:val="bottom"/>
            <w:hideMark/>
          </w:tcPr>
          <w:p w14:paraId="23319765"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1.662.755 </w:t>
            </w:r>
          </w:p>
        </w:tc>
        <w:tc>
          <w:tcPr>
            <w:tcW w:w="1269" w:type="dxa"/>
            <w:tcBorders>
              <w:top w:val="nil"/>
              <w:left w:val="single" w:sz="8" w:space="0" w:color="auto"/>
              <w:bottom w:val="single" w:sz="4" w:space="0" w:color="auto"/>
              <w:right w:val="single" w:sz="8" w:space="0" w:color="auto"/>
            </w:tcBorders>
            <w:shd w:val="clear" w:color="000000" w:fill="FFFFCC"/>
            <w:vAlign w:val="bottom"/>
            <w:hideMark/>
          </w:tcPr>
          <w:p w14:paraId="4089C194"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12.684 </w:t>
            </w:r>
          </w:p>
        </w:tc>
        <w:tc>
          <w:tcPr>
            <w:tcW w:w="857" w:type="dxa"/>
            <w:tcBorders>
              <w:top w:val="nil"/>
              <w:left w:val="nil"/>
              <w:bottom w:val="single" w:sz="4" w:space="0" w:color="auto"/>
              <w:right w:val="single" w:sz="8" w:space="0" w:color="auto"/>
            </w:tcBorders>
            <w:shd w:val="clear" w:color="000000" w:fill="FFFFCC"/>
            <w:vAlign w:val="bottom"/>
            <w:hideMark/>
          </w:tcPr>
          <w:p w14:paraId="7FD413F8"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Diferencia </w:t>
            </w:r>
          </w:p>
        </w:tc>
        <w:tc>
          <w:tcPr>
            <w:tcW w:w="1256" w:type="dxa"/>
            <w:tcBorders>
              <w:top w:val="nil"/>
              <w:left w:val="nil"/>
              <w:bottom w:val="single" w:sz="4" w:space="0" w:color="auto"/>
              <w:right w:val="single" w:sz="8" w:space="0" w:color="auto"/>
            </w:tcBorders>
            <w:shd w:val="clear" w:color="000000" w:fill="FFFFCC"/>
            <w:vAlign w:val="bottom"/>
            <w:hideMark/>
          </w:tcPr>
          <w:p w14:paraId="060EFCB2" w14:textId="77777777" w:rsidR="00BF5BCD" w:rsidRPr="00BF5BCD" w:rsidRDefault="00BF5BCD" w:rsidP="00BF5BCD">
            <w:pPr>
              <w:spacing w:line="240" w:lineRule="auto"/>
              <w:rPr>
                <w:rFonts w:eastAsia="Times New Roman" w:cs="Times New Roman"/>
                <w:sz w:val="14"/>
                <w:szCs w:val="14"/>
                <w:lang w:eastAsia="es-ES"/>
              </w:rPr>
            </w:pPr>
            <w:r w:rsidRPr="00BF5BCD">
              <w:rPr>
                <w:rFonts w:eastAsia="Times New Roman" w:cs="Times New Roman"/>
                <w:sz w:val="14"/>
                <w:szCs w:val="14"/>
                <w:lang w:eastAsia="es-ES"/>
              </w:rPr>
              <w:t xml:space="preserve"> $                    66 </w:t>
            </w:r>
          </w:p>
        </w:tc>
      </w:tr>
      <w:tr w:rsidR="00BF5BCD" w:rsidRPr="00BF5BCD" w14:paraId="6F9B9F95" w14:textId="77777777" w:rsidTr="00BF5BCD">
        <w:trPr>
          <w:trHeight w:val="121"/>
          <w:jc w:val="center"/>
        </w:trPr>
        <w:tc>
          <w:tcPr>
            <w:tcW w:w="841" w:type="dxa"/>
            <w:tcBorders>
              <w:top w:val="single" w:sz="8" w:space="0" w:color="auto"/>
              <w:left w:val="single" w:sz="8" w:space="0" w:color="auto"/>
              <w:bottom w:val="single" w:sz="8" w:space="0" w:color="auto"/>
              <w:right w:val="nil"/>
            </w:tcBorders>
            <w:shd w:val="clear" w:color="000000" w:fill="FFFF99"/>
            <w:noWrap/>
            <w:vAlign w:val="center"/>
            <w:hideMark/>
          </w:tcPr>
          <w:p w14:paraId="257E7D9E" w14:textId="77777777" w:rsidR="00BF5BCD" w:rsidRPr="00BF5BCD" w:rsidRDefault="00BF5BCD" w:rsidP="00BF5BCD">
            <w:pPr>
              <w:spacing w:line="240" w:lineRule="auto"/>
              <w:rPr>
                <w:rFonts w:eastAsia="Times New Roman" w:cs="Times New Roman"/>
                <w:b/>
                <w:bCs/>
                <w:sz w:val="14"/>
                <w:szCs w:val="14"/>
                <w:lang w:eastAsia="es-ES"/>
              </w:rPr>
            </w:pPr>
            <w:r w:rsidRPr="00BF5BCD">
              <w:rPr>
                <w:rFonts w:eastAsia="Times New Roman" w:cs="Times New Roman"/>
                <w:b/>
                <w:bCs/>
                <w:sz w:val="14"/>
                <w:szCs w:val="14"/>
                <w:lang w:eastAsia="es-ES"/>
              </w:rPr>
              <w:t xml:space="preserve"> Retroactivo   </w:t>
            </w:r>
          </w:p>
        </w:tc>
        <w:tc>
          <w:tcPr>
            <w:tcW w:w="709" w:type="dxa"/>
            <w:tcBorders>
              <w:top w:val="single" w:sz="8" w:space="0" w:color="auto"/>
              <w:left w:val="nil"/>
              <w:bottom w:val="single" w:sz="8" w:space="0" w:color="auto"/>
              <w:right w:val="nil"/>
            </w:tcBorders>
            <w:shd w:val="clear" w:color="000000" w:fill="FFFF99"/>
            <w:noWrap/>
            <w:vAlign w:val="center"/>
            <w:hideMark/>
          </w:tcPr>
          <w:p w14:paraId="00A5CA54" w14:textId="77777777" w:rsidR="00BF5BCD" w:rsidRPr="00BF5BCD" w:rsidRDefault="00BF5BCD" w:rsidP="00BF5BCD">
            <w:pPr>
              <w:spacing w:line="240" w:lineRule="auto"/>
              <w:rPr>
                <w:rFonts w:eastAsia="Times New Roman" w:cs="Times New Roman"/>
                <w:b/>
                <w:bCs/>
                <w:sz w:val="14"/>
                <w:szCs w:val="14"/>
                <w:lang w:eastAsia="es-ES"/>
              </w:rPr>
            </w:pPr>
            <w:r w:rsidRPr="00BF5BCD">
              <w:rPr>
                <w:rFonts w:eastAsia="Times New Roman" w:cs="Times New Roman"/>
                <w:b/>
                <w:bCs/>
                <w:sz w:val="14"/>
                <w:szCs w:val="14"/>
                <w:lang w:eastAsia="es-ES"/>
              </w:rPr>
              <w:t> </w:t>
            </w:r>
          </w:p>
        </w:tc>
        <w:tc>
          <w:tcPr>
            <w:tcW w:w="803" w:type="dxa"/>
            <w:tcBorders>
              <w:top w:val="nil"/>
              <w:left w:val="nil"/>
              <w:bottom w:val="single" w:sz="8" w:space="0" w:color="auto"/>
              <w:right w:val="nil"/>
            </w:tcBorders>
            <w:shd w:val="clear" w:color="000000" w:fill="FFFF99"/>
            <w:noWrap/>
            <w:vAlign w:val="center"/>
            <w:hideMark/>
          </w:tcPr>
          <w:p w14:paraId="734FA745" w14:textId="77777777" w:rsidR="00BF5BCD" w:rsidRPr="00BF5BCD" w:rsidRDefault="00BF5BCD" w:rsidP="00BF5BCD">
            <w:pPr>
              <w:spacing w:line="240" w:lineRule="auto"/>
              <w:rPr>
                <w:rFonts w:eastAsia="Times New Roman" w:cs="Times New Roman"/>
                <w:b/>
                <w:bCs/>
                <w:sz w:val="14"/>
                <w:szCs w:val="14"/>
                <w:lang w:eastAsia="es-ES"/>
              </w:rPr>
            </w:pPr>
            <w:r w:rsidRPr="00BF5BCD">
              <w:rPr>
                <w:rFonts w:eastAsia="Times New Roman" w:cs="Times New Roman"/>
                <w:b/>
                <w:bCs/>
                <w:sz w:val="14"/>
                <w:szCs w:val="14"/>
                <w:lang w:eastAsia="es-ES"/>
              </w:rPr>
              <w:t> </w:t>
            </w:r>
          </w:p>
        </w:tc>
        <w:tc>
          <w:tcPr>
            <w:tcW w:w="755" w:type="dxa"/>
            <w:tcBorders>
              <w:top w:val="nil"/>
              <w:left w:val="nil"/>
              <w:bottom w:val="single" w:sz="8" w:space="0" w:color="auto"/>
              <w:right w:val="nil"/>
            </w:tcBorders>
            <w:shd w:val="clear" w:color="000000" w:fill="FFFF99"/>
            <w:noWrap/>
            <w:vAlign w:val="center"/>
            <w:hideMark/>
          </w:tcPr>
          <w:p w14:paraId="51D0E918" w14:textId="77777777" w:rsidR="00BF5BCD" w:rsidRPr="00BF5BCD" w:rsidRDefault="00BF5BCD" w:rsidP="00BF5BCD">
            <w:pPr>
              <w:spacing w:line="240" w:lineRule="auto"/>
              <w:rPr>
                <w:rFonts w:eastAsia="Times New Roman" w:cs="Times New Roman"/>
                <w:b/>
                <w:bCs/>
                <w:sz w:val="14"/>
                <w:szCs w:val="14"/>
                <w:lang w:eastAsia="es-ES"/>
              </w:rPr>
            </w:pPr>
            <w:r w:rsidRPr="00BF5BCD">
              <w:rPr>
                <w:rFonts w:eastAsia="Times New Roman" w:cs="Times New Roman"/>
                <w:b/>
                <w:bCs/>
                <w:sz w:val="14"/>
                <w:szCs w:val="14"/>
                <w:lang w:eastAsia="es-ES"/>
              </w:rPr>
              <w:t> </w:t>
            </w:r>
          </w:p>
        </w:tc>
        <w:tc>
          <w:tcPr>
            <w:tcW w:w="710" w:type="dxa"/>
            <w:tcBorders>
              <w:top w:val="single" w:sz="8" w:space="0" w:color="auto"/>
              <w:left w:val="nil"/>
              <w:bottom w:val="single" w:sz="8" w:space="0" w:color="auto"/>
              <w:right w:val="nil"/>
            </w:tcBorders>
            <w:shd w:val="clear" w:color="000000" w:fill="FFFF99"/>
            <w:noWrap/>
            <w:vAlign w:val="center"/>
            <w:hideMark/>
          </w:tcPr>
          <w:p w14:paraId="568B19CE" w14:textId="77777777" w:rsidR="00BF5BCD" w:rsidRPr="00BF5BCD" w:rsidRDefault="00BF5BCD" w:rsidP="00BF5BCD">
            <w:pPr>
              <w:spacing w:line="240" w:lineRule="auto"/>
              <w:rPr>
                <w:rFonts w:eastAsia="Times New Roman" w:cs="Times New Roman"/>
                <w:b/>
                <w:bCs/>
                <w:sz w:val="14"/>
                <w:szCs w:val="14"/>
                <w:lang w:eastAsia="es-ES"/>
              </w:rPr>
            </w:pPr>
            <w:r w:rsidRPr="00BF5BCD">
              <w:rPr>
                <w:rFonts w:eastAsia="Times New Roman" w:cs="Times New Roman"/>
                <w:b/>
                <w:bCs/>
                <w:sz w:val="14"/>
                <w:szCs w:val="14"/>
                <w:lang w:eastAsia="es-ES"/>
              </w:rPr>
              <w:t> </w:t>
            </w:r>
          </w:p>
        </w:tc>
        <w:tc>
          <w:tcPr>
            <w:tcW w:w="992" w:type="dxa"/>
            <w:tcBorders>
              <w:top w:val="single" w:sz="8" w:space="0" w:color="auto"/>
              <w:left w:val="nil"/>
              <w:bottom w:val="single" w:sz="8" w:space="0" w:color="auto"/>
              <w:right w:val="nil"/>
            </w:tcBorders>
            <w:shd w:val="clear" w:color="000000" w:fill="FFFF99"/>
            <w:noWrap/>
            <w:vAlign w:val="center"/>
            <w:hideMark/>
          </w:tcPr>
          <w:p w14:paraId="3169D6BE" w14:textId="77777777" w:rsidR="00BF5BCD" w:rsidRPr="00BF5BCD" w:rsidRDefault="00BF5BCD" w:rsidP="00BF5BCD">
            <w:pPr>
              <w:spacing w:line="240" w:lineRule="auto"/>
              <w:rPr>
                <w:rFonts w:eastAsia="Times New Roman" w:cs="Times New Roman"/>
                <w:b/>
                <w:bCs/>
                <w:sz w:val="14"/>
                <w:szCs w:val="14"/>
                <w:lang w:eastAsia="es-ES"/>
              </w:rPr>
            </w:pPr>
            <w:r w:rsidRPr="00BF5BCD">
              <w:rPr>
                <w:rFonts w:eastAsia="Times New Roman" w:cs="Times New Roman"/>
                <w:b/>
                <w:bCs/>
                <w:sz w:val="14"/>
                <w:szCs w:val="14"/>
                <w:lang w:eastAsia="es-ES"/>
              </w:rPr>
              <w:t> </w:t>
            </w:r>
          </w:p>
        </w:tc>
        <w:tc>
          <w:tcPr>
            <w:tcW w:w="1269" w:type="dxa"/>
            <w:tcBorders>
              <w:top w:val="single" w:sz="8" w:space="0" w:color="auto"/>
              <w:left w:val="nil"/>
              <w:bottom w:val="single" w:sz="8" w:space="0" w:color="auto"/>
              <w:right w:val="single" w:sz="8" w:space="0" w:color="auto"/>
            </w:tcBorders>
            <w:shd w:val="clear" w:color="000000" w:fill="FFFF99"/>
            <w:noWrap/>
            <w:vAlign w:val="center"/>
            <w:hideMark/>
          </w:tcPr>
          <w:p w14:paraId="446007DF" w14:textId="77777777" w:rsidR="00BF5BCD" w:rsidRPr="00BF5BCD" w:rsidRDefault="00BF5BCD" w:rsidP="00BF5BCD">
            <w:pPr>
              <w:spacing w:line="240" w:lineRule="auto"/>
              <w:rPr>
                <w:rFonts w:eastAsia="Times New Roman" w:cs="Times New Roman"/>
                <w:b/>
                <w:bCs/>
                <w:sz w:val="14"/>
                <w:szCs w:val="14"/>
                <w:lang w:eastAsia="es-ES"/>
              </w:rPr>
            </w:pPr>
            <w:r w:rsidRPr="00BF5BCD">
              <w:rPr>
                <w:rFonts w:eastAsia="Times New Roman" w:cs="Times New Roman"/>
                <w:b/>
                <w:bCs/>
                <w:sz w:val="14"/>
                <w:szCs w:val="14"/>
                <w:lang w:eastAsia="es-ES"/>
              </w:rPr>
              <w:t xml:space="preserve">        8.507.805 </w:t>
            </w:r>
          </w:p>
        </w:tc>
        <w:tc>
          <w:tcPr>
            <w:tcW w:w="857" w:type="dxa"/>
            <w:tcBorders>
              <w:top w:val="single" w:sz="8" w:space="0" w:color="auto"/>
              <w:left w:val="nil"/>
              <w:bottom w:val="single" w:sz="8" w:space="0" w:color="auto"/>
              <w:right w:val="single" w:sz="8" w:space="0" w:color="auto"/>
            </w:tcBorders>
            <w:shd w:val="clear" w:color="000000" w:fill="FFFF99"/>
            <w:noWrap/>
            <w:vAlign w:val="center"/>
            <w:hideMark/>
          </w:tcPr>
          <w:p w14:paraId="331ACF7A" w14:textId="77777777" w:rsidR="00BF5BCD" w:rsidRPr="00BF5BCD" w:rsidRDefault="00BF5BCD" w:rsidP="00BF5BCD">
            <w:pPr>
              <w:spacing w:line="240" w:lineRule="auto"/>
              <w:rPr>
                <w:rFonts w:eastAsia="Times New Roman" w:cs="Times New Roman"/>
                <w:b/>
                <w:bCs/>
                <w:sz w:val="14"/>
                <w:szCs w:val="14"/>
                <w:lang w:eastAsia="es-ES"/>
              </w:rPr>
            </w:pPr>
            <w:r w:rsidRPr="00BF5BCD">
              <w:rPr>
                <w:rFonts w:eastAsia="Times New Roman" w:cs="Times New Roman"/>
                <w:b/>
                <w:bCs/>
                <w:sz w:val="14"/>
                <w:szCs w:val="14"/>
                <w:lang w:eastAsia="es-ES"/>
              </w:rPr>
              <w:t> </w:t>
            </w:r>
          </w:p>
        </w:tc>
        <w:tc>
          <w:tcPr>
            <w:tcW w:w="1256" w:type="dxa"/>
            <w:tcBorders>
              <w:top w:val="single" w:sz="8" w:space="0" w:color="auto"/>
              <w:left w:val="nil"/>
              <w:bottom w:val="single" w:sz="8" w:space="0" w:color="auto"/>
              <w:right w:val="single" w:sz="8" w:space="0" w:color="auto"/>
            </w:tcBorders>
            <w:shd w:val="clear" w:color="000000" w:fill="FFFF99"/>
            <w:noWrap/>
            <w:vAlign w:val="center"/>
            <w:hideMark/>
          </w:tcPr>
          <w:p w14:paraId="26965084" w14:textId="77777777" w:rsidR="00BF5BCD" w:rsidRPr="00BF5BCD" w:rsidRDefault="00BF5BCD" w:rsidP="00BF5BCD">
            <w:pPr>
              <w:spacing w:line="240" w:lineRule="auto"/>
              <w:rPr>
                <w:rFonts w:eastAsia="Times New Roman" w:cs="Times New Roman"/>
                <w:b/>
                <w:bCs/>
                <w:sz w:val="14"/>
                <w:szCs w:val="14"/>
                <w:lang w:eastAsia="es-ES"/>
              </w:rPr>
            </w:pPr>
            <w:r w:rsidRPr="00BF5BCD">
              <w:rPr>
                <w:rFonts w:eastAsia="Times New Roman" w:cs="Times New Roman"/>
                <w:b/>
                <w:bCs/>
                <w:sz w:val="14"/>
                <w:szCs w:val="14"/>
                <w:lang w:eastAsia="es-ES"/>
              </w:rPr>
              <w:t xml:space="preserve">     1.532.339 </w:t>
            </w:r>
          </w:p>
        </w:tc>
      </w:tr>
    </w:tbl>
    <w:p w14:paraId="0D198CEB" w14:textId="77777777" w:rsidR="00BF5BCD" w:rsidRPr="006A4897" w:rsidRDefault="00BF5BCD" w:rsidP="0020468E">
      <w:pPr>
        <w:tabs>
          <w:tab w:val="left" w:pos="748"/>
        </w:tabs>
        <w:jc w:val="both"/>
        <w:rPr>
          <w:rFonts w:ascii="Tahoma" w:hAnsi="Tahoma" w:cs="Tahoma"/>
          <w:b/>
          <w:iCs/>
          <w:bdr w:val="none" w:sz="0" w:space="0" w:color="auto" w:frame="1"/>
          <w:lang w:val="es-CO"/>
        </w:rPr>
      </w:pPr>
    </w:p>
    <w:sectPr w:rsidR="00BF5BCD" w:rsidRPr="006A4897" w:rsidSect="00DA4E41">
      <w:headerReference w:type="default" r:id="rId8"/>
      <w:footerReference w:type="default" r:id="rId9"/>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420B2" w14:textId="77777777" w:rsidR="007A4ECF" w:rsidRDefault="007A4ECF" w:rsidP="006A2F0E">
      <w:pPr>
        <w:spacing w:line="240" w:lineRule="auto"/>
      </w:pPr>
      <w:r>
        <w:separator/>
      </w:r>
    </w:p>
  </w:endnote>
  <w:endnote w:type="continuationSeparator" w:id="0">
    <w:p w14:paraId="232F66C2" w14:textId="77777777" w:rsidR="007A4ECF" w:rsidRDefault="007A4ECF"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61005"/>
      <w:docPartObj>
        <w:docPartGallery w:val="Page Numbers (Bottom of Page)"/>
        <w:docPartUnique/>
      </w:docPartObj>
    </w:sdtPr>
    <w:sdtEndPr/>
    <w:sdtContent>
      <w:p w14:paraId="612631DC" w14:textId="27F7D72B" w:rsidR="00156901" w:rsidRDefault="00156901">
        <w:pPr>
          <w:pStyle w:val="Piedepgina"/>
          <w:jc w:val="right"/>
        </w:pPr>
        <w:r>
          <w:fldChar w:fldCharType="begin"/>
        </w:r>
        <w:r>
          <w:instrText>PAGE   \* MERGEFORMAT</w:instrText>
        </w:r>
        <w:r>
          <w:fldChar w:fldCharType="separate"/>
        </w:r>
        <w:r w:rsidR="006813B4">
          <w:rPr>
            <w:noProof/>
          </w:rPr>
          <w:t>6</w:t>
        </w:r>
        <w:r>
          <w:fldChar w:fldCharType="end"/>
        </w:r>
      </w:p>
    </w:sdtContent>
  </w:sdt>
  <w:p w14:paraId="1153B94A" w14:textId="77777777" w:rsidR="00156901" w:rsidRDefault="00156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47A1C" w14:textId="77777777" w:rsidR="007A4ECF" w:rsidRDefault="007A4ECF" w:rsidP="006A2F0E">
      <w:pPr>
        <w:spacing w:line="240" w:lineRule="auto"/>
      </w:pPr>
      <w:r>
        <w:separator/>
      </w:r>
    </w:p>
  </w:footnote>
  <w:footnote w:type="continuationSeparator" w:id="0">
    <w:p w14:paraId="0CA7C4E4" w14:textId="77777777" w:rsidR="007A4ECF" w:rsidRDefault="007A4ECF"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876A" w14:textId="1CEDEB61" w:rsidR="00C4045F" w:rsidRPr="00C4045F" w:rsidRDefault="00C4045F" w:rsidP="00C4045F">
    <w:pPr>
      <w:spacing w:line="240" w:lineRule="auto"/>
      <w:jc w:val="both"/>
      <w:rPr>
        <w:rFonts w:ascii="Times New Roman" w:hAnsi="Times New Roman" w:cs="Times New Roman"/>
        <w:sz w:val="16"/>
        <w:szCs w:val="16"/>
      </w:rPr>
    </w:pPr>
    <w:r w:rsidRPr="00C4045F">
      <w:rPr>
        <w:rFonts w:ascii="Times New Roman" w:hAnsi="Times New Roman" w:cs="Times New Roman"/>
        <w:sz w:val="16"/>
        <w:szCs w:val="16"/>
      </w:rPr>
      <w:t>Radicación No.:</w:t>
    </w:r>
    <w:r>
      <w:rPr>
        <w:rFonts w:ascii="Times New Roman" w:hAnsi="Times New Roman" w:cs="Times New Roman"/>
        <w:sz w:val="16"/>
        <w:szCs w:val="16"/>
      </w:rPr>
      <w:t xml:space="preserve"> </w:t>
    </w:r>
    <w:r w:rsidRPr="00C4045F">
      <w:rPr>
        <w:rFonts w:ascii="Times New Roman" w:hAnsi="Times New Roman" w:cs="Times New Roman"/>
        <w:sz w:val="16"/>
        <w:szCs w:val="16"/>
      </w:rPr>
      <w:t>66001-31-05-002-2016-00212-01</w:t>
    </w:r>
  </w:p>
  <w:p w14:paraId="20312FB3" w14:textId="542610FF" w:rsidR="00C4045F" w:rsidRPr="00C4045F" w:rsidRDefault="00C4045F" w:rsidP="00C4045F">
    <w:pPr>
      <w:spacing w:line="240" w:lineRule="auto"/>
      <w:jc w:val="both"/>
      <w:rPr>
        <w:rFonts w:ascii="Times New Roman" w:hAnsi="Times New Roman" w:cs="Times New Roman"/>
        <w:sz w:val="16"/>
        <w:szCs w:val="16"/>
      </w:rPr>
    </w:pPr>
    <w:r w:rsidRPr="00C4045F">
      <w:rPr>
        <w:rFonts w:ascii="Times New Roman" w:hAnsi="Times New Roman" w:cs="Times New Roman"/>
        <w:sz w:val="16"/>
        <w:szCs w:val="16"/>
      </w:rPr>
      <w:t>Demandantes:</w:t>
    </w:r>
    <w:r>
      <w:rPr>
        <w:rFonts w:ascii="Times New Roman" w:hAnsi="Times New Roman" w:cs="Times New Roman"/>
        <w:sz w:val="16"/>
        <w:szCs w:val="16"/>
      </w:rPr>
      <w:t xml:space="preserve"> </w:t>
    </w:r>
    <w:r w:rsidRPr="00C4045F">
      <w:rPr>
        <w:rFonts w:ascii="Times New Roman" w:hAnsi="Times New Roman" w:cs="Times New Roman"/>
        <w:sz w:val="16"/>
        <w:szCs w:val="16"/>
      </w:rPr>
      <w:t>Héctor Danilo Galvis Ocampo</w:t>
    </w:r>
  </w:p>
  <w:p w14:paraId="19FFB2E8" w14:textId="5F23313F" w:rsidR="00C4045F" w:rsidRPr="00C4045F" w:rsidRDefault="00C4045F" w:rsidP="00C4045F">
    <w:pPr>
      <w:spacing w:line="240" w:lineRule="auto"/>
      <w:jc w:val="both"/>
      <w:rPr>
        <w:rFonts w:ascii="Times New Roman" w:hAnsi="Times New Roman" w:cs="Times New Roman"/>
        <w:sz w:val="16"/>
        <w:szCs w:val="16"/>
      </w:rPr>
    </w:pPr>
    <w:r w:rsidRPr="00C4045F">
      <w:rPr>
        <w:rFonts w:ascii="Times New Roman" w:hAnsi="Times New Roman" w:cs="Times New Roman"/>
        <w:sz w:val="16"/>
        <w:szCs w:val="16"/>
      </w:rPr>
      <w:t>Demandado:</w:t>
    </w:r>
    <w:r>
      <w:rPr>
        <w:rFonts w:ascii="Times New Roman" w:hAnsi="Times New Roman" w:cs="Times New Roman"/>
        <w:sz w:val="16"/>
        <w:szCs w:val="16"/>
      </w:rPr>
      <w:t xml:space="preserve"> </w:t>
    </w:r>
    <w:r w:rsidRPr="00C4045F">
      <w:rPr>
        <w:rFonts w:ascii="Times New Roman" w:hAnsi="Times New Roman" w:cs="Times New Roman"/>
        <w:sz w:val="16"/>
        <w:szCs w:val="16"/>
      </w:rPr>
      <w:t>Colpensiones</w:t>
    </w:r>
  </w:p>
  <w:p w14:paraId="15885D55" w14:textId="77777777" w:rsidR="00156901" w:rsidRPr="007D3F79" w:rsidRDefault="00156901" w:rsidP="007D3F79">
    <w:pPr>
      <w:pStyle w:val="Encabezado"/>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nsid w:val="1C7D2A03"/>
    <w:multiLevelType w:val="multilevel"/>
    <w:tmpl w:val="CEE0E932"/>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3312761A"/>
    <w:multiLevelType w:val="multilevel"/>
    <w:tmpl w:val="417ECD4C"/>
    <w:lvl w:ilvl="0">
      <w:start w:val="4"/>
      <w:numFmt w:val="decimal"/>
      <w:lvlText w:val="%1"/>
      <w:lvlJc w:val="left"/>
      <w:pPr>
        <w:ind w:left="375" w:hanging="375"/>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4">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6">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5B5B7125"/>
    <w:multiLevelType w:val="hybridMultilevel"/>
    <w:tmpl w:val="C5B077A2"/>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8"/>
    <w:rsid w:val="0000708C"/>
    <w:rsid w:val="00015383"/>
    <w:rsid w:val="00020DEB"/>
    <w:rsid w:val="000216FC"/>
    <w:rsid w:val="00023322"/>
    <w:rsid w:val="000270BA"/>
    <w:rsid w:val="000314EC"/>
    <w:rsid w:val="00032E9B"/>
    <w:rsid w:val="00032ED1"/>
    <w:rsid w:val="0004060F"/>
    <w:rsid w:val="0004220D"/>
    <w:rsid w:val="000509EA"/>
    <w:rsid w:val="000519C9"/>
    <w:rsid w:val="00054223"/>
    <w:rsid w:val="00073F3D"/>
    <w:rsid w:val="00074563"/>
    <w:rsid w:val="00080014"/>
    <w:rsid w:val="00080DA1"/>
    <w:rsid w:val="00080DAB"/>
    <w:rsid w:val="00087B8B"/>
    <w:rsid w:val="00093E73"/>
    <w:rsid w:val="000A774D"/>
    <w:rsid w:val="000A77CC"/>
    <w:rsid w:val="000C24A6"/>
    <w:rsid w:val="000C63D5"/>
    <w:rsid w:val="000D1D37"/>
    <w:rsid w:val="000D40E9"/>
    <w:rsid w:val="000D5302"/>
    <w:rsid w:val="000E0C59"/>
    <w:rsid w:val="000F1228"/>
    <w:rsid w:val="000F1DA0"/>
    <w:rsid w:val="000F43F4"/>
    <w:rsid w:val="000F4934"/>
    <w:rsid w:val="000F5992"/>
    <w:rsid w:val="000F6EE0"/>
    <w:rsid w:val="000F7118"/>
    <w:rsid w:val="00103F00"/>
    <w:rsid w:val="001050EC"/>
    <w:rsid w:val="00105737"/>
    <w:rsid w:val="001175D3"/>
    <w:rsid w:val="0013080B"/>
    <w:rsid w:val="00132158"/>
    <w:rsid w:val="00145EED"/>
    <w:rsid w:val="00154F91"/>
    <w:rsid w:val="00155C65"/>
    <w:rsid w:val="00156901"/>
    <w:rsid w:val="00157C3E"/>
    <w:rsid w:val="00161333"/>
    <w:rsid w:val="00164ADB"/>
    <w:rsid w:val="00175ACF"/>
    <w:rsid w:val="00177DEC"/>
    <w:rsid w:val="001815F7"/>
    <w:rsid w:val="00191137"/>
    <w:rsid w:val="001A094B"/>
    <w:rsid w:val="001A3019"/>
    <w:rsid w:val="001A5CD7"/>
    <w:rsid w:val="001A742C"/>
    <w:rsid w:val="001A7D9D"/>
    <w:rsid w:val="001B7D64"/>
    <w:rsid w:val="001D15FE"/>
    <w:rsid w:val="001D2CA1"/>
    <w:rsid w:val="001D4DE6"/>
    <w:rsid w:val="001E7278"/>
    <w:rsid w:val="001F5923"/>
    <w:rsid w:val="0020468E"/>
    <w:rsid w:val="00204875"/>
    <w:rsid w:val="00205596"/>
    <w:rsid w:val="002060C7"/>
    <w:rsid w:val="00210E99"/>
    <w:rsid w:val="00215E7A"/>
    <w:rsid w:val="00216EDC"/>
    <w:rsid w:val="00223B0A"/>
    <w:rsid w:val="00232D62"/>
    <w:rsid w:val="0023494B"/>
    <w:rsid w:val="0023581A"/>
    <w:rsid w:val="00240160"/>
    <w:rsid w:val="002454F4"/>
    <w:rsid w:val="002504D8"/>
    <w:rsid w:val="002604E9"/>
    <w:rsid w:val="00266E5B"/>
    <w:rsid w:val="0028112D"/>
    <w:rsid w:val="00292925"/>
    <w:rsid w:val="002929C4"/>
    <w:rsid w:val="00295B90"/>
    <w:rsid w:val="002A24BC"/>
    <w:rsid w:val="002A361C"/>
    <w:rsid w:val="002B4E0B"/>
    <w:rsid w:val="002C6132"/>
    <w:rsid w:val="002C7C4E"/>
    <w:rsid w:val="002E1704"/>
    <w:rsid w:val="002E59F3"/>
    <w:rsid w:val="002F0642"/>
    <w:rsid w:val="002F6F02"/>
    <w:rsid w:val="00303F02"/>
    <w:rsid w:val="00317CEE"/>
    <w:rsid w:val="00323378"/>
    <w:rsid w:val="00340E5D"/>
    <w:rsid w:val="00343481"/>
    <w:rsid w:val="003449DC"/>
    <w:rsid w:val="003571F9"/>
    <w:rsid w:val="003617CB"/>
    <w:rsid w:val="0036400E"/>
    <w:rsid w:val="003715E8"/>
    <w:rsid w:val="003728A1"/>
    <w:rsid w:val="003747FE"/>
    <w:rsid w:val="00374F5E"/>
    <w:rsid w:val="00386A04"/>
    <w:rsid w:val="003924DF"/>
    <w:rsid w:val="00394637"/>
    <w:rsid w:val="00397784"/>
    <w:rsid w:val="003A37D8"/>
    <w:rsid w:val="003A7220"/>
    <w:rsid w:val="003C4B06"/>
    <w:rsid w:val="003D2D7F"/>
    <w:rsid w:val="003D76B4"/>
    <w:rsid w:val="003E312A"/>
    <w:rsid w:val="003E7AD9"/>
    <w:rsid w:val="00401DFC"/>
    <w:rsid w:val="00403D3E"/>
    <w:rsid w:val="004165BC"/>
    <w:rsid w:val="004200FF"/>
    <w:rsid w:val="0042628B"/>
    <w:rsid w:val="0042658D"/>
    <w:rsid w:val="00430E28"/>
    <w:rsid w:val="0043787B"/>
    <w:rsid w:val="00437A51"/>
    <w:rsid w:val="004447B1"/>
    <w:rsid w:val="004605EB"/>
    <w:rsid w:val="004619ED"/>
    <w:rsid w:val="00467C38"/>
    <w:rsid w:val="0047046D"/>
    <w:rsid w:val="004749F3"/>
    <w:rsid w:val="00476A08"/>
    <w:rsid w:val="004776EE"/>
    <w:rsid w:val="0048276E"/>
    <w:rsid w:val="004A0258"/>
    <w:rsid w:val="004B64F5"/>
    <w:rsid w:val="004C26FC"/>
    <w:rsid w:val="004C2946"/>
    <w:rsid w:val="004C744A"/>
    <w:rsid w:val="004D0929"/>
    <w:rsid w:val="004D3985"/>
    <w:rsid w:val="004D5775"/>
    <w:rsid w:val="004E0A3B"/>
    <w:rsid w:val="004E24B9"/>
    <w:rsid w:val="004E42A9"/>
    <w:rsid w:val="004E605A"/>
    <w:rsid w:val="004F072E"/>
    <w:rsid w:val="004F49D5"/>
    <w:rsid w:val="00500559"/>
    <w:rsid w:val="00507A29"/>
    <w:rsid w:val="00515335"/>
    <w:rsid w:val="00520368"/>
    <w:rsid w:val="00523491"/>
    <w:rsid w:val="005259D3"/>
    <w:rsid w:val="00531909"/>
    <w:rsid w:val="00533432"/>
    <w:rsid w:val="00533A7C"/>
    <w:rsid w:val="00537B9D"/>
    <w:rsid w:val="0054196E"/>
    <w:rsid w:val="0055178A"/>
    <w:rsid w:val="00552338"/>
    <w:rsid w:val="005575DC"/>
    <w:rsid w:val="00560B3E"/>
    <w:rsid w:val="00564F26"/>
    <w:rsid w:val="00565819"/>
    <w:rsid w:val="00573CE2"/>
    <w:rsid w:val="005753BC"/>
    <w:rsid w:val="005756F3"/>
    <w:rsid w:val="00576F21"/>
    <w:rsid w:val="005954FD"/>
    <w:rsid w:val="00595CF1"/>
    <w:rsid w:val="00596B71"/>
    <w:rsid w:val="005A500F"/>
    <w:rsid w:val="005B161F"/>
    <w:rsid w:val="005C4B8C"/>
    <w:rsid w:val="005D2B1E"/>
    <w:rsid w:val="005E167C"/>
    <w:rsid w:val="005E27EC"/>
    <w:rsid w:val="005E4177"/>
    <w:rsid w:val="005E7331"/>
    <w:rsid w:val="005E7E44"/>
    <w:rsid w:val="005F0571"/>
    <w:rsid w:val="00612E1E"/>
    <w:rsid w:val="0062190F"/>
    <w:rsid w:val="006241D2"/>
    <w:rsid w:val="00632DD1"/>
    <w:rsid w:val="006352CD"/>
    <w:rsid w:val="00635D3C"/>
    <w:rsid w:val="00635EC5"/>
    <w:rsid w:val="006365FD"/>
    <w:rsid w:val="00643207"/>
    <w:rsid w:val="00646F75"/>
    <w:rsid w:val="00647066"/>
    <w:rsid w:val="00650613"/>
    <w:rsid w:val="00651397"/>
    <w:rsid w:val="006532AA"/>
    <w:rsid w:val="0066622A"/>
    <w:rsid w:val="00667AFE"/>
    <w:rsid w:val="00677E0B"/>
    <w:rsid w:val="00680886"/>
    <w:rsid w:val="006813B4"/>
    <w:rsid w:val="00692195"/>
    <w:rsid w:val="00693F45"/>
    <w:rsid w:val="006978AA"/>
    <w:rsid w:val="006A2F0E"/>
    <w:rsid w:val="006A4897"/>
    <w:rsid w:val="006B2D35"/>
    <w:rsid w:val="006B3279"/>
    <w:rsid w:val="006B3F16"/>
    <w:rsid w:val="006C341C"/>
    <w:rsid w:val="006C5408"/>
    <w:rsid w:val="006C7472"/>
    <w:rsid w:val="006D08B6"/>
    <w:rsid w:val="006D2EE9"/>
    <w:rsid w:val="006D6FC5"/>
    <w:rsid w:val="006D74E4"/>
    <w:rsid w:val="006F3641"/>
    <w:rsid w:val="0070199E"/>
    <w:rsid w:val="00701BD3"/>
    <w:rsid w:val="007026FE"/>
    <w:rsid w:val="0070545D"/>
    <w:rsid w:val="00716871"/>
    <w:rsid w:val="00721A8B"/>
    <w:rsid w:val="00722055"/>
    <w:rsid w:val="00723C7E"/>
    <w:rsid w:val="00724DC5"/>
    <w:rsid w:val="00725185"/>
    <w:rsid w:val="00727107"/>
    <w:rsid w:val="00727571"/>
    <w:rsid w:val="007324CC"/>
    <w:rsid w:val="007361DC"/>
    <w:rsid w:val="007412C7"/>
    <w:rsid w:val="00742962"/>
    <w:rsid w:val="00746A73"/>
    <w:rsid w:val="0075097B"/>
    <w:rsid w:val="00751B3E"/>
    <w:rsid w:val="00753E76"/>
    <w:rsid w:val="0075779A"/>
    <w:rsid w:val="00760BF2"/>
    <w:rsid w:val="00770070"/>
    <w:rsid w:val="0077641C"/>
    <w:rsid w:val="0078161F"/>
    <w:rsid w:val="007871E6"/>
    <w:rsid w:val="007934D3"/>
    <w:rsid w:val="00795AF1"/>
    <w:rsid w:val="00797506"/>
    <w:rsid w:val="007A43D9"/>
    <w:rsid w:val="007A4ECF"/>
    <w:rsid w:val="007A5D00"/>
    <w:rsid w:val="007C1638"/>
    <w:rsid w:val="007C2B6B"/>
    <w:rsid w:val="007C2FC2"/>
    <w:rsid w:val="007C5249"/>
    <w:rsid w:val="007C6F1D"/>
    <w:rsid w:val="007C759D"/>
    <w:rsid w:val="007D3F79"/>
    <w:rsid w:val="007D4DB7"/>
    <w:rsid w:val="007D5840"/>
    <w:rsid w:val="007D6FBC"/>
    <w:rsid w:val="007E0789"/>
    <w:rsid w:val="007E355E"/>
    <w:rsid w:val="007E7D0D"/>
    <w:rsid w:val="007F1997"/>
    <w:rsid w:val="007F2D20"/>
    <w:rsid w:val="007F3475"/>
    <w:rsid w:val="007F5750"/>
    <w:rsid w:val="007F5B60"/>
    <w:rsid w:val="00802042"/>
    <w:rsid w:val="008053AC"/>
    <w:rsid w:val="008067F2"/>
    <w:rsid w:val="00807F7C"/>
    <w:rsid w:val="00815B12"/>
    <w:rsid w:val="008162EF"/>
    <w:rsid w:val="00820B8D"/>
    <w:rsid w:val="008242DB"/>
    <w:rsid w:val="0082763B"/>
    <w:rsid w:val="0083054F"/>
    <w:rsid w:val="008509B9"/>
    <w:rsid w:val="00856735"/>
    <w:rsid w:val="00860572"/>
    <w:rsid w:val="00861221"/>
    <w:rsid w:val="00870D2A"/>
    <w:rsid w:val="00876DE1"/>
    <w:rsid w:val="008840B8"/>
    <w:rsid w:val="00886E20"/>
    <w:rsid w:val="00891A10"/>
    <w:rsid w:val="00894190"/>
    <w:rsid w:val="008A193B"/>
    <w:rsid w:val="008A28C3"/>
    <w:rsid w:val="008A50D2"/>
    <w:rsid w:val="008A779B"/>
    <w:rsid w:val="008B769F"/>
    <w:rsid w:val="008D2AD3"/>
    <w:rsid w:val="008D5069"/>
    <w:rsid w:val="008D5547"/>
    <w:rsid w:val="008E06D4"/>
    <w:rsid w:val="008E797A"/>
    <w:rsid w:val="008F575D"/>
    <w:rsid w:val="009028DF"/>
    <w:rsid w:val="00902F84"/>
    <w:rsid w:val="0090636D"/>
    <w:rsid w:val="00910C02"/>
    <w:rsid w:val="00915B6A"/>
    <w:rsid w:val="00917782"/>
    <w:rsid w:val="009212EC"/>
    <w:rsid w:val="00925435"/>
    <w:rsid w:val="00925BDE"/>
    <w:rsid w:val="00934554"/>
    <w:rsid w:val="00936306"/>
    <w:rsid w:val="009454FE"/>
    <w:rsid w:val="0095233C"/>
    <w:rsid w:val="009620FA"/>
    <w:rsid w:val="0096394E"/>
    <w:rsid w:val="00964628"/>
    <w:rsid w:val="00970323"/>
    <w:rsid w:val="00980701"/>
    <w:rsid w:val="009873CC"/>
    <w:rsid w:val="00991AA8"/>
    <w:rsid w:val="00992D72"/>
    <w:rsid w:val="009942C7"/>
    <w:rsid w:val="009A2CEE"/>
    <w:rsid w:val="009A66B6"/>
    <w:rsid w:val="009B3B99"/>
    <w:rsid w:val="009B7AD9"/>
    <w:rsid w:val="009C0F6F"/>
    <w:rsid w:val="009C3D3F"/>
    <w:rsid w:val="009C717E"/>
    <w:rsid w:val="009C734D"/>
    <w:rsid w:val="009C7475"/>
    <w:rsid w:val="009D0427"/>
    <w:rsid w:val="009D0904"/>
    <w:rsid w:val="009D1556"/>
    <w:rsid w:val="009D4367"/>
    <w:rsid w:val="009D6ADA"/>
    <w:rsid w:val="009F2C17"/>
    <w:rsid w:val="009F4117"/>
    <w:rsid w:val="00A037CB"/>
    <w:rsid w:val="00A04E95"/>
    <w:rsid w:val="00A06304"/>
    <w:rsid w:val="00A21977"/>
    <w:rsid w:val="00A337C2"/>
    <w:rsid w:val="00A369D1"/>
    <w:rsid w:val="00A41C37"/>
    <w:rsid w:val="00A47676"/>
    <w:rsid w:val="00A52461"/>
    <w:rsid w:val="00A55D4E"/>
    <w:rsid w:val="00A67B5F"/>
    <w:rsid w:val="00A7157A"/>
    <w:rsid w:val="00A71F9E"/>
    <w:rsid w:val="00A737B1"/>
    <w:rsid w:val="00A7453C"/>
    <w:rsid w:val="00A7724E"/>
    <w:rsid w:val="00A81B05"/>
    <w:rsid w:val="00A81C4E"/>
    <w:rsid w:val="00A8351B"/>
    <w:rsid w:val="00A841DC"/>
    <w:rsid w:val="00A847B3"/>
    <w:rsid w:val="00A961A8"/>
    <w:rsid w:val="00AA1A0F"/>
    <w:rsid w:val="00AA2117"/>
    <w:rsid w:val="00AA2A91"/>
    <w:rsid w:val="00AB1166"/>
    <w:rsid w:val="00AB7EA3"/>
    <w:rsid w:val="00AD6639"/>
    <w:rsid w:val="00AD6A4B"/>
    <w:rsid w:val="00AD6A74"/>
    <w:rsid w:val="00AD774E"/>
    <w:rsid w:val="00AE16EB"/>
    <w:rsid w:val="00B041CA"/>
    <w:rsid w:val="00B11E4B"/>
    <w:rsid w:val="00B142EE"/>
    <w:rsid w:val="00B26B58"/>
    <w:rsid w:val="00B33CE7"/>
    <w:rsid w:val="00B3682E"/>
    <w:rsid w:val="00B37858"/>
    <w:rsid w:val="00B416B1"/>
    <w:rsid w:val="00B41E78"/>
    <w:rsid w:val="00B42334"/>
    <w:rsid w:val="00B56043"/>
    <w:rsid w:val="00B66D4F"/>
    <w:rsid w:val="00B71453"/>
    <w:rsid w:val="00B748FC"/>
    <w:rsid w:val="00B74E7E"/>
    <w:rsid w:val="00B7558B"/>
    <w:rsid w:val="00B83D6F"/>
    <w:rsid w:val="00B946F1"/>
    <w:rsid w:val="00B97BDA"/>
    <w:rsid w:val="00BA26C0"/>
    <w:rsid w:val="00BA5979"/>
    <w:rsid w:val="00BA7D1A"/>
    <w:rsid w:val="00BB51BD"/>
    <w:rsid w:val="00BB6176"/>
    <w:rsid w:val="00BC6739"/>
    <w:rsid w:val="00BD7654"/>
    <w:rsid w:val="00BE1CB6"/>
    <w:rsid w:val="00BE75C4"/>
    <w:rsid w:val="00BF3890"/>
    <w:rsid w:val="00BF5BCD"/>
    <w:rsid w:val="00C0643C"/>
    <w:rsid w:val="00C07C9C"/>
    <w:rsid w:val="00C102CA"/>
    <w:rsid w:val="00C10C67"/>
    <w:rsid w:val="00C115B8"/>
    <w:rsid w:val="00C2202C"/>
    <w:rsid w:val="00C22B32"/>
    <w:rsid w:val="00C248EB"/>
    <w:rsid w:val="00C2583C"/>
    <w:rsid w:val="00C30992"/>
    <w:rsid w:val="00C3738F"/>
    <w:rsid w:val="00C3756E"/>
    <w:rsid w:val="00C4045F"/>
    <w:rsid w:val="00C40C5B"/>
    <w:rsid w:val="00C4666D"/>
    <w:rsid w:val="00C476C4"/>
    <w:rsid w:val="00C52DCF"/>
    <w:rsid w:val="00C573EB"/>
    <w:rsid w:val="00C614F2"/>
    <w:rsid w:val="00C636A7"/>
    <w:rsid w:val="00C71215"/>
    <w:rsid w:val="00C71378"/>
    <w:rsid w:val="00C728D3"/>
    <w:rsid w:val="00C7382B"/>
    <w:rsid w:val="00C749EB"/>
    <w:rsid w:val="00C84EE8"/>
    <w:rsid w:val="00C97E86"/>
    <w:rsid w:val="00CA11BD"/>
    <w:rsid w:val="00CB4C76"/>
    <w:rsid w:val="00CC3143"/>
    <w:rsid w:val="00CC6630"/>
    <w:rsid w:val="00CD13A8"/>
    <w:rsid w:val="00CD2A9E"/>
    <w:rsid w:val="00CD44B1"/>
    <w:rsid w:val="00CD5B49"/>
    <w:rsid w:val="00CE031F"/>
    <w:rsid w:val="00CF79C2"/>
    <w:rsid w:val="00D0050A"/>
    <w:rsid w:val="00D03084"/>
    <w:rsid w:val="00D037D0"/>
    <w:rsid w:val="00D2248D"/>
    <w:rsid w:val="00D245E7"/>
    <w:rsid w:val="00D25EFA"/>
    <w:rsid w:val="00D403C7"/>
    <w:rsid w:val="00D61327"/>
    <w:rsid w:val="00D6147A"/>
    <w:rsid w:val="00D61563"/>
    <w:rsid w:val="00D62F37"/>
    <w:rsid w:val="00D820B5"/>
    <w:rsid w:val="00D83A55"/>
    <w:rsid w:val="00D83EC6"/>
    <w:rsid w:val="00D9222A"/>
    <w:rsid w:val="00DA178C"/>
    <w:rsid w:val="00DA4E41"/>
    <w:rsid w:val="00DB04CD"/>
    <w:rsid w:val="00DB2035"/>
    <w:rsid w:val="00DB446C"/>
    <w:rsid w:val="00DB4F76"/>
    <w:rsid w:val="00DB7F70"/>
    <w:rsid w:val="00DD35DD"/>
    <w:rsid w:val="00DE1481"/>
    <w:rsid w:val="00DE2F38"/>
    <w:rsid w:val="00DF6ADF"/>
    <w:rsid w:val="00DF7484"/>
    <w:rsid w:val="00E03D70"/>
    <w:rsid w:val="00E06017"/>
    <w:rsid w:val="00E0673E"/>
    <w:rsid w:val="00E15826"/>
    <w:rsid w:val="00E167EE"/>
    <w:rsid w:val="00E215E9"/>
    <w:rsid w:val="00E22270"/>
    <w:rsid w:val="00E33AB0"/>
    <w:rsid w:val="00E35BAA"/>
    <w:rsid w:val="00E3736A"/>
    <w:rsid w:val="00E4413C"/>
    <w:rsid w:val="00E52C2F"/>
    <w:rsid w:val="00E52C56"/>
    <w:rsid w:val="00E63624"/>
    <w:rsid w:val="00E663F6"/>
    <w:rsid w:val="00E73482"/>
    <w:rsid w:val="00E74475"/>
    <w:rsid w:val="00E81A1E"/>
    <w:rsid w:val="00E83065"/>
    <w:rsid w:val="00E84F36"/>
    <w:rsid w:val="00E85383"/>
    <w:rsid w:val="00E87927"/>
    <w:rsid w:val="00EA0DA8"/>
    <w:rsid w:val="00EA7247"/>
    <w:rsid w:val="00EB0F66"/>
    <w:rsid w:val="00EB536E"/>
    <w:rsid w:val="00EC3D67"/>
    <w:rsid w:val="00ED60AD"/>
    <w:rsid w:val="00EE1BBB"/>
    <w:rsid w:val="00EE3EEC"/>
    <w:rsid w:val="00EF11FB"/>
    <w:rsid w:val="00EF6CC4"/>
    <w:rsid w:val="00EF7EE0"/>
    <w:rsid w:val="00F05BAA"/>
    <w:rsid w:val="00F12056"/>
    <w:rsid w:val="00F1331E"/>
    <w:rsid w:val="00F1491C"/>
    <w:rsid w:val="00F20D10"/>
    <w:rsid w:val="00F24F39"/>
    <w:rsid w:val="00F271D1"/>
    <w:rsid w:val="00F27799"/>
    <w:rsid w:val="00F35BDF"/>
    <w:rsid w:val="00F420B5"/>
    <w:rsid w:val="00F429E7"/>
    <w:rsid w:val="00F42B4B"/>
    <w:rsid w:val="00F449CA"/>
    <w:rsid w:val="00F562BE"/>
    <w:rsid w:val="00F6430D"/>
    <w:rsid w:val="00F64B1A"/>
    <w:rsid w:val="00F72037"/>
    <w:rsid w:val="00F73254"/>
    <w:rsid w:val="00F752C2"/>
    <w:rsid w:val="00F76D35"/>
    <w:rsid w:val="00F77CF2"/>
    <w:rsid w:val="00F86B4D"/>
    <w:rsid w:val="00F87301"/>
    <w:rsid w:val="00F87710"/>
    <w:rsid w:val="00F940C0"/>
    <w:rsid w:val="00FB35A6"/>
    <w:rsid w:val="00FB3D5E"/>
    <w:rsid w:val="00FB5BE7"/>
    <w:rsid w:val="00FC1E8A"/>
    <w:rsid w:val="00FC697D"/>
    <w:rsid w:val="00FC7D00"/>
    <w:rsid w:val="00FD3B64"/>
    <w:rsid w:val="00FD4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31AD"/>
  <w15:docId w15:val="{C09E0FA6-DA49-4DDB-8C7E-2E296980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71215"/>
  </w:style>
  <w:style w:type="character" w:styleId="nfasis">
    <w:name w:val="Emphasis"/>
    <w:basedOn w:val="Fuentedeprrafopredeter"/>
    <w:uiPriority w:val="20"/>
    <w:qFormat/>
    <w:rsid w:val="00C71215"/>
    <w:rPr>
      <w:i/>
      <w:iCs/>
    </w:rPr>
  </w:style>
  <w:style w:type="paragraph" w:styleId="Prrafodelista">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0E0C59"/>
    <w:rPr>
      <w:rFonts w:ascii="Arial" w:eastAsia="Times New Roman" w:hAnsi="Arial" w:cs="Arial"/>
      <w:b/>
      <w:bCs/>
      <w:sz w:val="26"/>
      <w:szCs w:val="26"/>
      <w:lang w:eastAsia="es-ES"/>
    </w:rPr>
  </w:style>
  <w:style w:type="paragraph" w:styleId="Sangradetextonormal">
    <w:name w:val="Body Text Indent"/>
    <w:basedOn w:val="Normal"/>
    <w:link w:val="SangradetextonormalCar"/>
    <w:uiPriority w:val="99"/>
    <w:semiHidden/>
    <w:unhideWhenUsed/>
    <w:rsid w:val="000E0C59"/>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0E0C59"/>
    <w:rPr>
      <w:rFonts w:ascii="Calibri" w:eastAsia="Calibri" w:hAnsi="Calibri" w:cs="Times New Roman"/>
    </w:rPr>
  </w:style>
  <w:style w:type="paragraph" w:styleId="Encabezado">
    <w:name w:val="header"/>
    <w:basedOn w:val="Normal"/>
    <w:link w:val="EncabezadoCar"/>
    <w:uiPriority w:val="99"/>
    <w:unhideWhenUsed/>
    <w:rsid w:val="006A2F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A2F0E"/>
  </w:style>
  <w:style w:type="paragraph" w:styleId="Piedepgina">
    <w:name w:val="footer"/>
    <w:basedOn w:val="Normal"/>
    <w:link w:val="PiedepginaCar"/>
    <w:uiPriority w:val="99"/>
    <w:unhideWhenUsed/>
    <w:rsid w:val="006A2F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A2F0E"/>
  </w:style>
  <w:style w:type="paragraph" w:styleId="Textodeglobo">
    <w:name w:val="Balloon Text"/>
    <w:basedOn w:val="Normal"/>
    <w:link w:val="TextodegloboCar"/>
    <w:uiPriority w:val="99"/>
    <w:semiHidden/>
    <w:unhideWhenUsed/>
    <w:rsid w:val="006A2F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F0E"/>
    <w:rPr>
      <w:rFonts w:ascii="Segoe UI" w:hAnsi="Segoe UI" w:cs="Segoe UI"/>
      <w:sz w:val="18"/>
      <w:szCs w:val="18"/>
    </w:rPr>
  </w:style>
  <w:style w:type="paragraph" w:styleId="Puesto">
    <w:name w:val="Title"/>
    <w:basedOn w:val="Normal"/>
    <w:link w:val="Puesto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7D3F79"/>
    <w:rPr>
      <w:rFonts w:ascii="Arial" w:eastAsia="Times New Roman" w:hAnsi="Arial" w:cs="Arial"/>
      <w:b/>
      <w:sz w:val="24"/>
      <w:szCs w:val="24"/>
      <w:lang w:eastAsia="es-ES"/>
    </w:rPr>
  </w:style>
  <w:style w:type="paragraph" w:styleId="Textoindependiente">
    <w:name w:val="Body Text"/>
    <w:basedOn w:val="Normal"/>
    <w:link w:val="Textoindependien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632DD1"/>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632DD1"/>
    <w:rPr>
      <w:sz w:val="24"/>
      <w:szCs w:val="24"/>
    </w:rPr>
  </w:style>
  <w:style w:type="paragraph" w:styleId="Sinespaciado">
    <w:name w:val="No Spacing"/>
    <w:link w:val="SinespaciadoCar"/>
    <w:uiPriority w:val="1"/>
    <w:qFormat/>
    <w:rsid w:val="00632DD1"/>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0438">
      <w:bodyDiv w:val="1"/>
      <w:marLeft w:val="0"/>
      <w:marRight w:val="0"/>
      <w:marTop w:val="0"/>
      <w:marBottom w:val="0"/>
      <w:divBdr>
        <w:top w:val="none" w:sz="0" w:space="0" w:color="auto"/>
        <w:left w:val="none" w:sz="0" w:space="0" w:color="auto"/>
        <w:bottom w:val="none" w:sz="0" w:space="0" w:color="auto"/>
        <w:right w:val="none" w:sz="0" w:space="0" w:color="auto"/>
      </w:divBdr>
    </w:div>
    <w:div w:id="229730624">
      <w:bodyDiv w:val="1"/>
      <w:marLeft w:val="0"/>
      <w:marRight w:val="0"/>
      <w:marTop w:val="0"/>
      <w:marBottom w:val="0"/>
      <w:divBdr>
        <w:top w:val="none" w:sz="0" w:space="0" w:color="auto"/>
        <w:left w:val="none" w:sz="0" w:space="0" w:color="auto"/>
        <w:bottom w:val="none" w:sz="0" w:space="0" w:color="auto"/>
        <w:right w:val="none" w:sz="0" w:space="0" w:color="auto"/>
      </w:divBdr>
    </w:div>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1498616342">
      <w:bodyDiv w:val="1"/>
      <w:marLeft w:val="0"/>
      <w:marRight w:val="0"/>
      <w:marTop w:val="0"/>
      <w:marBottom w:val="0"/>
      <w:divBdr>
        <w:top w:val="none" w:sz="0" w:space="0" w:color="auto"/>
        <w:left w:val="none" w:sz="0" w:space="0" w:color="auto"/>
        <w:bottom w:val="none" w:sz="0" w:space="0" w:color="auto"/>
        <w:right w:val="none" w:sz="0" w:space="0" w:color="auto"/>
      </w:divBdr>
    </w:div>
    <w:div w:id="1511212871">
      <w:bodyDiv w:val="1"/>
      <w:marLeft w:val="0"/>
      <w:marRight w:val="0"/>
      <w:marTop w:val="0"/>
      <w:marBottom w:val="0"/>
      <w:divBdr>
        <w:top w:val="none" w:sz="0" w:space="0" w:color="auto"/>
        <w:left w:val="none" w:sz="0" w:space="0" w:color="auto"/>
        <w:bottom w:val="none" w:sz="0" w:space="0" w:color="auto"/>
        <w:right w:val="none" w:sz="0" w:space="0" w:color="auto"/>
      </w:divBdr>
    </w:div>
    <w:div w:id="1769110971">
      <w:bodyDiv w:val="1"/>
      <w:marLeft w:val="0"/>
      <w:marRight w:val="0"/>
      <w:marTop w:val="0"/>
      <w:marBottom w:val="0"/>
      <w:divBdr>
        <w:top w:val="none" w:sz="0" w:space="0" w:color="auto"/>
        <w:left w:val="none" w:sz="0" w:space="0" w:color="auto"/>
        <w:bottom w:val="none" w:sz="0" w:space="0" w:color="auto"/>
        <w:right w:val="none" w:sz="0" w:space="0" w:color="auto"/>
      </w:divBdr>
    </w:div>
    <w:div w:id="2074886861">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9E28-DDB8-45A4-872C-10F14E2B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6</Pages>
  <Words>2928</Words>
  <Characters>16107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40</cp:revision>
  <cp:lastPrinted>2018-08-23T14:09:00Z</cp:lastPrinted>
  <dcterms:created xsi:type="dcterms:W3CDTF">2018-08-10T13:14:00Z</dcterms:created>
  <dcterms:modified xsi:type="dcterms:W3CDTF">2018-09-24T14:56:00Z</dcterms:modified>
</cp:coreProperties>
</file>