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8C4716" w:rsidRPr="00C266DC" w:rsidRDefault="008C4716" w:rsidP="008C4716">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3A3BBB" w:rsidRDefault="0082175C" w:rsidP="0082175C">
      <w:pPr>
        <w:pStyle w:val="Puesto"/>
        <w:tabs>
          <w:tab w:val="left" w:pos="1785"/>
        </w:tabs>
        <w:spacing w:line="240" w:lineRule="auto"/>
        <w:jc w:val="both"/>
        <w:rPr>
          <w:rFonts w:ascii="Tahoma" w:hAnsi="Tahoma" w:cs="Tahoma"/>
          <w:sz w:val="18"/>
          <w:szCs w:val="18"/>
        </w:rPr>
      </w:pPr>
      <w:r>
        <w:rPr>
          <w:rFonts w:ascii="Tahoma" w:hAnsi="Tahoma" w:cs="Tahoma"/>
          <w:sz w:val="18"/>
          <w:szCs w:val="18"/>
        </w:rPr>
        <w:tab/>
      </w:r>
    </w:p>
    <w:p w:rsidR="009E5621" w:rsidRDefault="009E5621" w:rsidP="00B34ACF">
      <w:pPr>
        <w:pStyle w:val="Puesto"/>
        <w:spacing w:line="240" w:lineRule="auto"/>
        <w:jc w:val="both"/>
        <w:rPr>
          <w:rFonts w:ascii="Tahoma" w:hAnsi="Tahoma" w:cs="Tahoma"/>
          <w:sz w:val="18"/>
          <w:szCs w:val="18"/>
        </w:rPr>
      </w:pPr>
    </w:p>
    <w:p w:rsidR="003A3BBB" w:rsidRPr="00977EC9" w:rsidRDefault="003A3BBB" w:rsidP="00B34ACF">
      <w:pPr>
        <w:pStyle w:val="Puesto"/>
        <w:spacing w:line="240" w:lineRule="auto"/>
        <w:jc w:val="both"/>
        <w:rPr>
          <w:b w:val="0"/>
          <w:sz w:val="22"/>
          <w:szCs w:val="22"/>
        </w:rPr>
      </w:pPr>
      <w:r w:rsidRPr="00977EC9">
        <w:rPr>
          <w:b w:val="0"/>
          <w:sz w:val="22"/>
          <w:szCs w:val="22"/>
        </w:rPr>
        <w:t xml:space="preserve">Providencia: </w:t>
      </w:r>
      <w:r w:rsidRPr="00977EC9">
        <w:rPr>
          <w:b w:val="0"/>
          <w:sz w:val="22"/>
          <w:szCs w:val="22"/>
        </w:rPr>
        <w:tab/>
      </w:r>
      <w:r w:rsidRPr="00977EC9">
        <w:rPr>
          <w:b w:val="0"/>
          <w:sz w:val="22"/>
          <w:szCs w:val="22"/>
        </w:rPr>
        <w:tab/>
      </w:r>
      <w:r w:rsidRPr="00977EC9">
        <w:rPr>
          <w:b w:val="0"/>
          <w:bCs/>
          <w:sz w:val="22"/>
          <w:szCs w:val="22"/>
        </w:rPr>
        <w:t>Sentencia del</w:t>
      </w:r>
      <w:r w:rsidR="00F56DA6" w:rsidRPr="00977EC9">
        <w:rPr>
          <w:b w:val="0"/>
          <w:bCs/>
          <w:sz w:val="22"/>
          <w:szCs w:val="22"/>
        </w:rPr>
        <w:t xml:space="preserve"> </w:t>
      </w:r>
      <w:r w:rsidR="008F15DA" w:rsidRPr="00977EC9">
        <w:rPr>
          <w:b w:val="0"/>
          <w:bCs/>
          <w:sz w:val="22"/>
          <w:szCs w:val="22"/>
        </w:rPr>
        <w:t>31</w:t>
      </w:r>
      <w:r w:rsidR="004603F1" w:rsidRPr="00977EC9">
        <w:rPr>
          <w:b w:val="0"/>
          <w:bCs/>
          <w:sz w:val="22"/>
          <w:szCs w:val="22"/>
        </w:rPr>
        <w:t xml:space="preserve"> </w:t>
      </w:r>
      <w:r w:rsidR="00835297" w:rsidRPr="00977EC9">
        <w:rPr>
          <w:b w:val="0"/>
          <w:bCs/>
          <w:sz w:val="22"/>
          <w:szCs w:val="22"/>
        </w:rPr>
        <w:t xml:space="preserve">de </w:t>
      </w:r>
      <w:r w:rsidR="00A13892" w:rsidRPr="00977EC9">
        <w:rPr>
          <w:b w:val="0"/>
          <w:bCs/>
          <w:sz w:val="22"/>
          <w:szCs w:val="22"/>
        </w:rPr>
        <w:t>agosto</w:t>
      </w:r>
      <w:r w:rsidR="00977A78" w:rsidRPr="00977EC9">
        <w:rPr>
          <w:b w:val="0"/>
          <w:bCs/>
          <w:sz w:val="22"/>
          <w:szCs w:val="22"/>
        </w:rPr>
        <w:t xml:space="preserve"> </w:t>
      </w:r>
      <w:r w:rsidR="00184CF8" w:rsidRPr="00977EC9">
        <w:rPr>
          <w:b w:val="0"/>
          <w:bCs/>
          <w:sz w:val="22"/>
          <w:szCs w:val="22"/>
        </w:rPr>
        <w:t>de 201</w:t>
      </w:r>
      <w:r w:rsidR="0014623C" w:rsidRPr="00977EC9">
        <w:rPr>
          <w:b w:val="0"/>
          <w:bCs/>
          <w:sz w:val="22"/>
          <w:szCs w:val="22"/>
        </w:rPr>
        <w:t>8</w:t>
      </w:r>
      <w:r w:rsidR="002129EF" w:rsidRPr="00977EC9">
        <w:rPr>
          <w:b w:val="0"/>
          <w:bCs/>
          <w:sz w:val="22"/>
          <w:szCs w:val="22"/>
        </w:rPr>
        <w:t xml:space="preserve"> </w:t>
      </w:r>
    </w:p>
    <w:p w:rsidR="003A3BBB" w:rsidRPr="00977EC9" w:rsidRDefault="003A3BBB" w:rsidP="00B34ACF">
      <w:pPr>
        <w:pStyle w:val="Puesto"/>
        <w:spacing w:line="240" w:lineRule="auto"/>
        <w:jc w:val="both"/>
        <w:rPr>
          <w:b w:val="0"/>
          <w:sz w:val="22"/>
          <w:szCs w:val="22"/>
        </w:rPr>
      </w:pPr>
      <w:r w:rsidRPr="00977EC9">
        <w:rPr>
          <w:b w:val="0"/>
          <w:sz w:val="22"/>
          <w:szCs w:val="22"/>
        </w:rPr>
        <w:t>Radicación No.:</w:t>
      </w:r>
      <w:r w:rsidRPr="00977EC9">
        <w:rPr>
          <w:b w:val="0"/>
          <w:sz w:val="22"/>
          <w:szCs w:val="22"/>
        </w:rPr>
        <w:tab/>
        <w:t>66</w:t>
      </w:r>
      <w:r w:rsidR="004603F1" w:rsidRPr="00977EC9">
        <w:rPr>
          <w:b w:val="0"/>
          <w:sz w:val="22"/>
          <w:szCs w:val="22"/>
        </w:rPr>
        <w:t>001</w:t>
      </w:r>
      <w:r w:rsidRPr="00977EC9">
        <w:rPr>
          <w:b w:val="0"/>
          <w:sz w:val="22"/>
          <w:szCs w:val="22"/>
        </w:rPr>
        <w:t>-31-</w:t>
      </w:r>
      <w:r w:rsidR="004603F1" w:rsidRPr="00977EC9">
        <w:rPr>
          <w:b w:val="0"/>
          <w:sz w:val="22"/>
          <w:szCs w:val="22"/>
        </w:rPr>
        <w:t>05</w:t>
      </w:r>
      <w:r w:rsidRPr="00977EC9">
        <w:rPr>
          <w:b w:val="0"/>
          <w:sz w:val="22"/>
          <w:szCs w:val="22"/>
        </w:rPr>
        <w:t>-00</w:t>
      </w:r>
      <w:r w:rsidR="002C1D2F" w:rsidRPr="00977EC9">
        <w:rPr>
          <w:b w:val="0"/>
          <w:sz w:val="22"/>
          <w:szCs w:val="22"/>
        </w:rPr>
        <w:t>5</w:t>
      </w:r>
      <w:r w:rsidRPr="00977EC9">
        <w:rPr>
          <w:b w:val="0"/>
          <w:sz w:val="22"/>
          <w:szCs w:val="22"/>
        </w:rPr>
        <w:t>-201</w:t>
      </w:r>
      <w:r w:rsidR="002C1D2F" w:rsidRPr="00977EC9">
        <w:rPr>
          <w:b w:val="0"/>
          <w:sz w:val="22"/>
          <w:szCs w:val="22"/>
        </w:rPr>
        <w:t>6</w:t>
      </w:r>
      <w:r w:rsidRPr="00977EC9">
        <w:rPr>
          <w:b w:val="0"/>
          <w:sz w:val="22"/>
          <w:szCs w:val="22"/>
        </w:rPr>
        <w:t>-00</w:t>
      </w:r>
      <w:r w:rsidR="008F15DA" w:rsidRPr="00977EC9">
        <w:rPr>
          <w:b w:val="0"/>
          <w:sz w:val="22"/>
          <w:szCs w:val="22"/>
        </w:rPr>
        <w:t>503</w:t>
      </w:r>
      <w:r w:rsidRPr="00977EC9">
        <w:rPr>
          <w:b w:val="0"/>
          <w:sz w:val="22"/>
          <w:szCs w:val="22"/>
        </w:rPr>
        <w:t>-01</w:t>
      </w:r>
    </w:p>
    <w:p w:rsidR="003A3BBB" w:rsidRPr="00977EC9" w:rsidRDefault="003A3BBB" w:rsidP="00B34ACF">
      <w:pPr>
        <w:pStyle w:val="Puesto"/>
        <w:spacing w:line="240" w:lineRule="auto"/>
        <w:jc w:val="both"/>
        <w:rPr>
          <w:b w:val="0"/>
          <w:sz w:val="22"/>
          <w:szCs w:val="22"/>
        </w:rPr>
      </w:pPr>
      <w:r w:rsidRPr="00977EC9">
        <w:rPr>
          <w:b w:val="0"/>
          <w:sz w:val="22"/>
          <w:szCs w:val="22"/>
        </w:rPr>
        <w:t>Proceso:</w:t>
      </w:r>
      <w:r w:rsidRPr="00977EC9">
        <w:rPr>
          <w:b w:val="0"/>
          <w:sz w:val="22"/>
          <w:szCs w:val="22"/>
        </w:rPr>
        <w:tab/>
      </w:r>
      <w:r w:rsidRPr="00977EC9">
        <w:rPr>
          <w:b w:val="0"/>
          <w:sz w:val="22"/>
          <w:szCs w:val="22"/>
        </w:rPr>
        <w:tab/>
        <w:t xml:space="preserve">Ordinario laboral </w:t>
      </w:r>
    </w:p>
    <w:p w:rsidR="003A3BBB" w:rsidRPr="00977EC9" w:rsidRDefault="003A3BBB" w:rsidP="00B34ACF">
      <w:pPr>
        <w:pStyle w:val="Puesto"/>
        <w:spacing w:line="240" w:lineRule="auto"/>
        <w:jc w:val="both"/>
        <w:rPr>
          <w:b w:val="0"/>
          <w:sz w:val="22"/>
          <w:szCs w:val="22"/>
        </w:rPr>
      </w:pPr>
      <w:r w:rsidRPr="00977EC9">
        <w:rPr>
          <w:b w:val="0"/>
          <w:sz w:val="22"/>
          <w:szCs w:val="22"/>
        </w:rPr>
        <w:t>Demandante:</w:t>
      </w:r>
      <w:r w:rsidRPr="00977EC9">
        <w:rPr>
          <w:b w:val="0"/>
          <w:sz w:val="22"/>
          <w:szCs w:val="22"/>
        </w:rPr>
        <w:tab/>
      </w:r>
      <w:r w:rsidRPr="00977EC9">
        <w:rPr>
          <w:b w:val="0"/>
          <w:sz w:val="22"/>
          <w:szCs w:val="22"/>
        </w:rPr>
        <w:tab/>
      </w:r>
      <w:r w:rsidR="008F15DA" w:rsidRPr="00977EC9">
        <w:rPr>
          <w:b w:val="0"/>
          <w:sz w:val="22"/>
          <w:szCs w:val="22"/>
        </w:rPr>
        <w:t>Gildardo Antonio Agudelo Hernández y Nancy María Arce Guzmán</w:t>
      </w:r>
    </w:p>
    <w:p w:rsidR="003A3BBB" w:rsidRPr="00977EC9" w:rsidRDefault="003A3BBB" w:rsidP="00B34ACF">
      <w:pPr>
        <w:pStyle w:val="Puesto"/>
        <w:spacing w:line="240" w:lineRule="auto"/>
        <w:ind w:left="708" w:hanging="708"/>
        <w:jc w:val="both"/>
        <w:rPr>
          <w:b w:val="0"/>
          <w:sz w:val="22"/>
          <w:szCs w:val="22"/>
        </w:rPr>
      </w:pPr>
      <w:r w:rsidRPr="00977EC9">
        <w:rPr>
          <w:b w:val="0"/>
          <w:sz w:val="22"/>
          <w:szCs w:val="22"/>
        </w:rPr>
        <w:t>Demandado:</w:t>
      </w:r>
      <w:r w:rsidRPr="00977EC9">
        <w:rPr>
          <w:b w:val="0"/>
          <w:sz w:val="22"/>
          <w:szCs w:val="22"/>
        </w:rPr>
        <w:tab/>
      </w:r>
      <w:r w:rsidRPr="00977EC9">
        <w:rPr>
          <w:b w:val="0"/>
          <w:sz w:val="22"/>
          <w:szCs w:val="22"/>
        </w:rPr>
        <w:tab/>
      </w:r>
      <w:r w:rsidR="002C1D2F" w:rsidRPr="00977EC9">
        <w:rPr>
          <w:b w:val="0"/>
          <w:sz w:val="22"/>
          <w:szCs w:val="22"/>
        </w:rPr>
        <w:t>Protección S.A</w:t>
      </w:r>
      <w:r w:rsidR="00243E9F" w:rsidRPr="00977EC9">
        <w:rPr>
          <w:b w:val="0"/>
          <w:sz w:val="22"/>
          <w:szCs w:val="22"/>
        </w:rPr>
        <w:t xml:space="preserve"> </w:t>
      </w:r>
    </w:p>
    <w:p w:rsidR="003A3BBB" w:rsidRPr="00977EC9" w:rsidRDefault="003A3BBB" w:rsidP="00B34ACF">
      <w:pPr>
        <w:pStyle w:val="Puesto"/>
        <w:spacing w:line="240" w:lineRule="auto"/>
        <w:jc w:val="both"/>
        <w:rPr>
          <w:b w:val="0"/>
          <w:sz w:val="22"/>
          <w:szCs w:val="22"/>
        </w:rPr>
      </w:pPr>
      <w:r w:rsidRPr="00977EC9">
        <w:rPr>
          <w:b w:val="0"/>
          <w:sz w:val="22"/>
          <w:szCs w:val="22"/>
        </w:rPr>
        <w:t xml:space="preserve">Juzgado de </w:t>
      </w:r>
      <w:r w:rsidR="004D3091" w:rsidRPr="00977EC9">
        <w:rPr>
          <w:b w:val="0"/>
          <w:sz w:val="22"/>
          <w:szCs w:val="22"/>
        </w:rPr>
        <w:t>origen</w:t>
      </w:r>
      <w:r w:rsidRPr="00977EC9">
        <w:rPr>
          <w:b w:val="0"/>
          <w:sz w:val="22"/>
          <w:szCs w:val="22"/>
        </w:rPr>
        <w:t xml:space="preserve">: </w:t>
      </w:r>
      <w:r w:rsidRPr="00977EC9">
        <w:rPr>
          <w:b w:val="0"/>
          <w:sz w:val="22"/>
          <w:szCs w:val="22"/>
        </w:rPr>
        <w:tab/>
      </w:r>
      <w:r w:rsidR="002C1D2F" w:rsidRPr="00977EC9">
        <w:rPr>
          <w:b w:val="0"/>
          <w:sz w:val="22"/>
          <w:szCs w:val="22"/>
        </w:rPr>
        <w:t xml:space="preserve">Quinto </w:t>
      </w:r>
      <w:r w:rsidR="004603F1" w:rsidRPr="00977EC9">
        <w:rPr>
          <w:b w:val="0"/>
          <w:sz w:val="22"/>
          <w:szCs w:val="22"/>
        </w:rPr>
        <w:t xml:space="preserve">Laboral </w:t>
      </w:r>
      <w:r w:rsidR="00CE5F80" w:rsidRPr="00977EC9">
        <w:rPr>
          <w:b w:val="0"/>
          <w:sz w:val="22"/>
          <w:szCs w:val="22"/>
        </w:rPr>
        <w:t xml:space="preserve">del Circuito de </w:t>
      </w:r>
      <w:r w:rsidR="00107AB5" w:rsidRPr="00977EC9">
        <w:rPr>
          <w:b w:val="0"/>
          <w:sz w:val="22"/>
          <w:szCs w:val="22"/>
        </w:rPr>
        <w:t>Pereira</w:t>
      </w:r>
      <w:r w:rsidR="00CE5F80" w:rsidRPr="00977EC9">
        <w:rPr>
          <w:b w:val="0"/>
          <w:sz w:val="22"/>
          <w:szCs w:val="22"/>
        </w:rPr>
        <w:t xml:space="preserve"> </w:t>
      </w:r>
    </w:p>
    <w:p w:rsidR="003A3BBB" w:rsidRPr="00977EC9" w:rsidRDefault="003A3BBB" w:rsidP="00B34ACF">
      <w:pPr>
        <w:pStyle w:val="Puesto"/>
        <w:spacing w:line="240" w:lineRule="auto"/>
        <w:jc w:val="both"/>
        <w:rPr>
          <w:b w:val="0"/>
          <w:sz w:val="22"/>
          <w:szCs w:val="22"/>
        </w:rPr>
      </w:pPr>
      <w:r w:rsidRPr="00977EC9">
        <w:rPr>
          <w:b w:val="0"/>
          <w:sz w:val="22"/>
          <w:szCs w:val="22"/>
        </w:rPr>
        <w:t>Magistrada ponente:</w:t>
      </w:r>
      <w:r w:rsidRPr="00977EC9">
        <w:rPr>
          <w:b w:val="0"/>
          <w:sz w:val="22"/>
          <w:szCs w:val="22"/>
        </w:rPr>
        <w:tab/>
        <w:t>Dra. Ana Lucía Caicedo Calderón</w:t>
      </w:r>
    </w:p>
    <w:p w:rsidR="009E5621" w:rsidRPr="00977EC9" w:rsidRDefault="009E5621" w:rsidP="00B34ACF">
      <w:pPr>
        <w:pStyle w:val="Puesto"/>
        <w:spacing w:line="240" w:lineRule="auto"/>
        <w:ind w:left="2124" w:hanging="2124"/>
        <w:jc w:val="both"/>
        <w:rPr>
          <w:b w:val="0"/>
          <w:sz w:val="22"/>
          <w:szCs w:val="22"/>
        </w:rPr>
      </w:pPr>
    </w:p>
    <w:p w:rsidR="009E5621" w:rsidRPr="008C4716" w:rsidRDefault="009E5621" w:rsidP="008C4716">
      <w:pPr>
        <w:pStyle w:val="Puesto"/>
        <w:spacing w:line="240" w:lineRule="auto"/>
        <w:ind w:left="2124" w:hanging="2124"/>
        <w:jc w:val="both"/>
        <w:rPr>
          <w:sz w:val="22"/>
          <w:szCs w:val="22"/>
        </w:rPr>
      </w:pPr>
    </w:p>
    <w:p w:rsidR="009E5621" w:rsidRPr="008C4716" w:rsidRDefault="003A3BBB" w:rsidP="0029063C">
      <w:pPr>
        <w:pStyle w:val="Puesto"/>
        <w:spacing w:line="240" w:lineRule="auto"/>
        <w:jc w:val="both"/>
        <w:rPr>
          <w:bCs/>
          <w:sz w:val="22"/>
          <w:szCs w:val="22"/>
        </w:rPr>
      </w:pPr>
      <w:r w:rsidRPr="008C4716">
        <w:rPr>
          <w:sz w:val="22"/>
          <w:szCs w:val="22"/>
        </w:rPr>
        <w:t>Tema:</w:t>
      </w:r>
      <w:r w:rsidR="0029063C">
        <w:rPr>
          <w:sz w:val="22"/>
          <w:szCs w:val="22"/>
        </w:rPr>
        <w:tab/>
      </w:r>
      <w:r w:rsidR="009E5621" w:rsidRPr="008C4716">
        <w:rPr>
          <w:sz w:val="22"/>
          <w:szCs w:val="22"/>
        </w:rPr>
        <w:tab/>
      </w:r>
      <w:r w:rsidR="008C4716" w:rsidRPr="008C4716">
        <w:rPr>
          <w:sz w:val="22"/>
          <w:szCs w:val="22"/>
        </w:rPr>
        <w:t xml:space="preserve">PENSIÓN SOBREVIVIENTES/ </w:t>
      </w:r>
      <w:r w:rsidR="00977EC9" w:rsidRPr="008C4716">
        <w:rPr>
          <w:bCs/>
          <w:sz w:val="22"/>
          <w:szCs w:val="22"/>
        </w:rPr>
        <w:t>EXPECTATIVA LEGÍTIMA</w:t>
      </w:r>
      <w:r w:rsidR="0029063C">
        <w:rPr>
          <w:bCs/>
          <w:sz w:val="22"/>
          <w:szCs w:val="22"/>
        </w:rPr>
        <w:t xml:space="preserve">/ </w:t>
      </w:r>
      <w:r w:rsidR="00087C00">
        <w:rPr>
          <w:bCs/>
          <w:sz w:val="22"/>
          <w:szCs w:val="22"/>
        </w:rPr>
        <w:t xml:space="preserve">INCUMPLE </w:t>
      </w:r>
      <w:r w:rsidR="0029063C">
        <w:rPr>
          <w:bCs/>
          <w:sz w:val="22"/>
          <w:szCs w:val="22"/>
        </w:rPr>
        <w:t>REQUISITOS EXIGIDOS LEY 100/</w:t>
      </w:r>
      <w:r w:rsidR="008C4716" w:rsidRPr="008C4716">
        <w:rPr>
          <w:bCs/>
          <w:sz w:val="22"/>
          <w:szCs w:val="22"/>
        </w:rPr>
        <w:t xml:space="preserve"> </w:t>
      </w:r>
      <w:r w:rsidR="0029063C" w:rsidRPr="008C4716">
        <w:rPr>
          <w:sz w:val="22"/>
          <w:szCs w:val="22"/>
        </w:rPr>
        <w:t xml:space="preserve">PRINCIPIO </w:t>
      </w:r>
      <w:r w:rsidR="0029063C" w:rsidRPr="008C4716">
        <w:rPr>
          <w:bCs/>
          <w:sz w:val="22"/>
          <w:szCs w:val="22"/>
        </w:rPr>
        <w:t>CONDICIÓN MÁS BENEFICIOSA</w:t>
      </w:r>
      <w:r w:rsidR="00977EC9" w:rsidRPr="008C4716">
        <w:rPr>
          <w:bCs/>
          <w:sz w:val="22"/>
          <w:szCs w:val="22"/>
        </w:rPr>
        <w:t xml:space="preserve">/ </w:t>
      </w:r>
      <w:r w:rsidR="008C4716">
        <w:rPr>
          <w:bCs/>
          <w:sz w:val="22"/>
          <w:szCs w:val="22"/>
        </w:rPr>
        <w:t xml:space="preserve">NO </w:t>
      </w:r>
      <w:r w:rsidR="00087C00">
        <w:rPr>
          <w:bCs/>
          <w:sz w:val="22"/>
          <w:szCs w:val="22"/>
        </w:rPr>
        <w:t xml:space="preserve">SE </w:t>
      </w:r>
      <w:bookmarkStart w:id="0" w:name="_GoBack"/>
      <w:bookmarkEnd w:id="0"/>
      <w:r w:rsidR="00AC1D88" w:rsidRPr="008C4716">
        <w:rPr>
          <w:bCs/>
          <w:sz w:val="22"/>
          <w:szCs w:val="22"/>
        </w:rPr>
        <w:t>ACREDIT</w:t>
      </w:r>
      <w:r w:rsidR="00AC1D88">
        <w:rPr>
          <w:bCs/>
          <w:sz w:val="22"/>
          <w:szCs w:val="22"/>
        </w:rPr>
        <w:t xml:space="preserve">Ó </w:t>
      </w:r>
      <w:r w:rsidR="0029063C">
        <w:rPr>
          <w:bCs/>
          <w:sz w:val="22"/>
          <w:szCs w:val="22"/>
        </w:rPr>
        <w:t xml:space="preserve">DENSIDAD </w:t>
      </w:r>
      <w:r w:rsidR="00AC1D88">
        <w:rPr>
          <w:bCs/>
          <w:sz w:val="22"/>
          <w:szCs w:val="22"/>
        </w:rPr>
        <w:t>DE</w:t>
      </w:r>
      <w:r w:rsidR="00977EC9" w:rsidRPr="008C4716">
        <w:rPr>
          <w:bCs/>
          <w:sz w:val="22"/>
          <w:szCs w:val="22"/>
        </w:rPr>
        <w:t xml:space="preserve"> </w:t>
      </w:r>
      <w:r w:rsidR="008C4716" w:rsidRPr="008C4716">
        <w:rPr>
          <w:bCs/>
          <w:sz w:val="22"/>
          <w:szCs w:val="22"/>
        </w:rPr>
        <w:t xml:space="preserve">SEMANAS </w:t>
      </w:r>
      <w:r w:rsidR="0029063C">
        <w:rPr>
          <w:bCs/>
          <w:sz w:val="22"/>
          <w:szCs w:val="22"/>
        </w:rPr>
        <w:t>-LEY 797</w:t>
      </w:r>
      <w:r w:rsidR="008C4A30">
        <w:rPr>
          <w:bCs/>
          <w:sz w:val="22"/>
          <w:szCs w:val="22"/>
        </w:rPr>
        <w:t xml:space="preserve"> DE </w:t>
      </w:r>
      <w:r w:rsidR="0029063C">
        <w:rPr>
          <w:bCs/>
          <w:sz w:val="22"/>
          <w:szCs w:val="22"/>
        </w:rPr>
        <w:t>2003-</w:t>
      </w:r>
      <w:r w:rsidR="008C4A30">
        <w:rPr>
          <w:bCs/>
          <w:sz w:val="22"/>
          <w:szCs w:val="22"/>
        </w:rPr>
        <w:t>/</w:t>
      </w:r>
      <w:r w:rsidR="008C4716" w:rsidRPr="008C4716">
        <w:rPr>
          <w:bCs/>
          <w:sz w:val="22"/>
          <w:szCs w:val="22"/>
        </w:rPr>
        <w:t xml:space="preserve"> </w:t>
      </w:r>
      <w:r w:rsidR="008C4A30" w:rsidRPr="008C4716">
        <w:rPr>
          <w:bCs/>
          <w:sz w:val="22"/>
          <w:szCs w:val="22"/>
        </w:rPr>
        <w:t>CONFIRMA</w:t>
      </w:r>
      <w:r w:rsidR="008C4716" w:rsidRPr="008C4716">
        <w:rPr>
          <w:bCs/>
          <w:sz w:val="22"/>
          <w:szCs w:val="22"/>
        </w:rPr>
        <w:t>.</w:t>
      </w:r>
      <w:r w:rsidR="00977EC9" w:rsidRPr="008C4716">
        <w:rPr>
          <w:bCs/>
          <w:sz w:val="22"/>
          <w:szCs w:val="22"/>
        </w:rPr>
        <w:t xml:space="preserve"> </w:t>
      </w:r>
    </w:p>
    <w:p w:rsidR="009E5621" w:rsidRPr="008C4716" w:rsidRDefault="009E5621" w:rsidP="008C4716">
      <w:pPr>
        <w:pStyle w:val="Textoindependiente"/>
        <w:spacing w:after="0"/>
        <w:ind w:left="2127" w:right="51"/>
        <w:jc w:val="both"/>
        <w:rPr>
          <w:rFonts w:ascii="Arial" w:hAnsi="Arial" w:cs="Arial"/>
          <w:b/>
          <w:bCs/>
          <w:sz w:val="22"/>
          <w:szCs w:val="22"/>
        </w:rPr>
      </w:pPr>
    </w:p>
    <w:p w:rsidR="00AC1D88" w:rsidRPr="007A6B2A" w:rsidRDefault="00AC1D88" w:rsidP="005B258E">
      <w:pPr>
        <w:tabs>
          <w:tab w:val="left" w:pos="748"/>
        </w:tabs>
        <w:jc w:val="both"/>
        <w:rPr>
          <w:rFonts w:ascii="Arial" w:hAnsi="Arial" w:cs="Arial"/>
          <w:sz w:val="22"/>
          <w:szCs w:val="22"/>
        </w:rPr>
      </w:pPr>
      <w:r w:rsidRPr="007A6B2A">
        <w:rPr>
          <w:rFonts w:ascii="Arial" w:hAnsi="Arial" w:cs="Arial"/>
          <w:sz w:val="22"/>
          <w:szCs w:val="22"/>
        </w:rPr>
        <w:t>A la luz de las anteriores premisas, no son necesarias mayores elucubraciones para determinar que en el sub-lite no es procedente dar aplicación al principio de la condición más beneficiosa, acudiendo a la ley 100 de 1993 en su texto original, toda vez que de conformidad con los lineamientos trazados por la jurisprudencia patria, no basta con que el señor JUAN CARLOS AGUDELO DE ARCES hubiese cotizado 29.43 semanas en el año anterior a su muerte, sino que debió acreditar por lo menos 26 semanas cotizadas dentro de la vigencia del texto original de la ley 100, lo cual no ocurrió, puesto que en la historia laboral que reposa en el plenario (fl. 15), se observa que el causante comenzó a cotizar en el mes de junio de 2014, fecha para la cual se encontraban en vigencia las modificaciones introducidas por la Ley 797 de 2003.</w:t>
      </w:r>
    </w:p>
    <w:p w:rsidR="008C4716" w:rsidRPr="007A6B2A" w:rsidRDefault="00AC1D88" w:rsidP="005B258E">
      <w:pPr>
        <w:jc w:val="both"/>
        <w:rPr>
          <w:rFonts w:ascii="Arial" w:hAnsi="Arial" w:cs="Arial"/>
          <w:sz w:val="22"/>
          <w:szCs w:val="22"/>
        </w:rPr>
      </w:pPr>
      <w:r w:rsidRPr="007A6B2A">
        <w:rPr>
          <w:rFonts w:ascii="Arial" w:hAnsi="Arial" w:cs="Arial"/>
          <w:sz w:val="22"/>
          <w:szCs w:val="22"/>
        </w:rPr>
        <w:t>(…)</w:t>
      </w:r>
    </w:p>
    <w:p w:rsidR="008C4716" w:rsidRPr="007A6B2A" w:rsidRDefault="008C4716" w:rsidP="005B258E">
      <w:pPr>
        <w:tabs>
          <w:tab w:val="left" w:pos="748"/>
        </w:tabs>
        <w:jc w:val="both"/>
        <w:rPr>
          <w:rFonts w:ascii="Arial" w:hAnsi="Arial" w:cs="Arial"/>
          <w:sz w:val="22"/>
          <w:szCs w:val="22"/>
        </w:rPr>
      </w:pPr>
      <w:r w:rsidRPr="007A6B2A">
        <w:rPr>
          <w:rFonts w:ascii="Arial" w:hAnsi="Arial" w:cs="Arial"/>
          <w:sz w:val="22"/>
          <w:szCs w:val="22"/>
        </w:rPr>
        <w:t>En consecuencia, como el señor JUAN CARLOS AGUDELO DE ARCES no acreditó la densidad de semanas exigidas en la ley 797 de 2003, ni tampoco generó una expectativa legitima con relación a los requisitos contenidos en la ley 100 de 1993 en su versión original, no dejó causado el derecho a la pensión de sobrevivientes, y por ende, procede la Sala a confirmar la decisión de primera instancia. Las costas en esta instancia estarán a cargo de la parte recurrente por no haber prosperado el recurso.</w:t>
      </w:r>
    </w:p>
    <w:p w:rsidR="008C4716" w:rsidRDefault="008C4716" w:rsidP="005B258E">
      <w:pPr>
        <w:pStyle w:val="Textoindependiente"/>
        <w:spacing w:after="0"/>
        <w:ind w:left="2127" w:right="51"/>
        <w:jc w:val="both"/>
        <w:rPr>
          <w:rFonts w:ascii="Tahoma" w:hAnsi="Tahoma" w:cs="Tahoma"/>
          <w:bCs/>
          <w:sz w:val="18"/>
          <w:szCs w:val="18"/>
        </w:rPr>
      </w:pPr>
    </w:p>
    <w:p w:rsidR="008C4716" w:rsidRDefault="008C4716" w:rsidP="00B34ACF">
      <w:pPr>
        <w:pStyle w:val="Textoindependiente"/>
        <w:spacing w:after="0"/>
        <w:ind w:left="2127" w:right="51"/>
        <w:jc w:val="both"/>
        <w:rPr>
          <w:rFonts w:ascii="Tahoma" w:hAnsi="Tahoma" w:cs="Tahoma"/>
          <w:bCs/>
          <w:sz w:val="18"/>
          <w:szCs w:val="18"/>
        </w:rPr>
      </w:pPr>
    </w:p>
    <w:p w:rsidR="00815A7D" w:rsidRDefault="00815A7D" w:rsidP="00B34ACF">
      <w:pPr>
        <w:pStyle w:val="Puesto"/>
        <w:tabs>
          <w:tab w:val="left" w:pos="567"/>
        </w:tabs>
        <w:spacing w:line="240" w:lineRule="auto"/>
        <w:ind w:left="2127" w:hanging="2805"/>
        <w:jc w:val="both"/>
        <w:rPr>
          <w:rFonts w:ascii="Tahoma" w:hAnsi="Tahoma" w:cs="Tahoma"/>
          <w:b w:val="0"/>
          <w:sz w:val="18"/>
          <w:szCs w:val="18"/>
        </w:rPr>
      </w:pPr>
    </w:p>
    <w:p w:rsidR="007A6B2A" w:rsidRDefault="007A6B2A" w:rsidP="00B34ACF">
      <w:pPr>
        <w:pStyle w:val="Puesto"/>
        <w:tabs>
          <w:tab w:val="left" w:pos="567"/>
        </w:tabs>
        <w:spacing w:line="240" w:lineRule="auto"/>
        <w:ind w:left="2127" w:hanging="2805"/>
        <w:jc w:val="both"/>
        <w:rPr>
          <w:rFonts w:ascii="Tahoma" w:hAnsi="Tahoma" w:cs="Tahoma"/>
          <w:b w:val="0"/>
          <w:sz w:val="18"/>
          <w:szCs w:val="18"/>
        </w:rPr>
      </w:pPr>
    </w:p>
    <w:p w:rsidR="007A6B2A" w:rsidRDefault="007A6B2A" w:rsidP="00B34ACF">
      <w:pPr>
        <w:pStyle w:val="Puesto"/>
        <w:tabs>
          <w:tab w:val="left" w:pos="567"/>
        </w:tabs>
        <w:spacing w:line="240" w:lineRule="auto"/>
        <w:ind w:left="2127" w:hanging="2805"/>
        <w:jc w:val="both"/>
        <w:rPr>
          <w:rFonts w:ascii="Tahoma" w:hAnsi="Tahoma" w:cs="Tahoma"/>
          <w:b w:val="0"/>
          <w:sz w:val="18"/>
          <w:szCs w:val="18"/>
        </w:rPr>
      </w:pPr>
    </w:p>
    <w:p w:rsidR="007A6B2A" w:rsidRPr="00EA3EFB" w:rsidRDefault="007A6B2A" w:rsidP="00B34ACF">
      <w:pPr>
        <w:pStyle w:val="Puesto"/>
        <w:tabs>
          <w:tab w:val="left" w:pos="567"/>
        </w:tabs>
        <w:spacing w:line="240" w:lineRule="auto"/>
        <w:ind w:left="2127" w:hanging="2805"/>
        <w:jc w:val="both"/>
        <w:rPr>
          <w:rFonts w:ascii="Tahoma" w:hAnsi="Tahoma" w:cs="Tahoma"/>
          <w:b w:val="0"/>
          <w:sz w:val="18"/>
          <w:szCs w:val="18"/>
        </w:rPr>
      </w:pPr>
    </w:p>
    <w:p w:rsidR="003A3BBB" w:rsidRPr="009F00E2" w:rsidRDefault="003A3BBB" w:rsidP="00B34ACF">
      <w:pPr>
        <w:pStyle w:val="Ttulo4"/>
        <w:widowControl w:val="0"/>
        <w:tabs>
          <w:tab w:val="clear" w:pos="0"/>
        </w:tabs>
        <w:rPr>
          <w:rFonts w:ascii="Tahoma" w:hAnsi="Tahoma" w:cs="Tahoma"/>
          <w:bCs/>
          <w:szCs w:val="24"/>
          <w:lang w:eastAsia="es-MX"/>
        </w:rPr>
      </w:pPr>
      <w:r w:rsidRPr="009F00E2">
        <w:rPr>
          <w:rFonts w:ascii="Tahoma" w:hAnsi="Tahoma" w:cs="Tahoma"/>
          <w:bCs/>
          <w:szCs w:val="24"/>
          <w:lang w:eastAsia="es-MX"/>
        </w:rPr>
        <w:t>TRIBUNAL SUPERIOR DEL DISTRITO JUDICIAL DE PEREIRA</w:t>
      </w:r>
    </w:p>
    <w:p w:rsidR="003A3BBB" w:rsidRPr="009F00E2" w:rsidRDefault="003A3BBB" w:rsidP="00B34ACF">
      <w:pPr>
        <w:pStyle w:val="Ttulo4"/>
        <w:widowControl w:val="0"/>
        <w:tabs>
          <w:tab w:val="clear" w:pos="0"/>
        </w:tabs>
        <w:rPr>
          <w:rFonts w:ascii="Tahoma" w:hAnsi="Tahoma" w:cs="Tahoma"/>
          <w:bCs/>
          <w:szCs w:val="24"/>
          <w:lang w:eastAsia="es-MX"/>
        </w:rPr>
      </w:pPr>
      <w:r w:rsidRPr="009F00E2">
        <w:rPr>
          <w:rFonts w:ascii="Tahoma" w:hAnsi="Tahoma" w:cs="Tahoma"/>
          <w:bCs/>
          <w:szCs w:val="24"/>
          <w:lang w:eastAsia="es-MX"/>
        </w:rPr>
        <w:t>SALA</w:t>
      </w:r>
      <w:r w:rsidR="00666B78" w:rsidRPr="009F00E2">
        <w:rPr>
          <w:rFonts w:ascii="Tahoma" w:hAnsi="Tahoma" w:cs="Tahoma"/>
          <w:bCs/>
          <w:szCs w:val="24"/>
          <w:lang w:eastAsia="es-MX"/>
        </w:rPr>
        <w:t xml:space="preserve"> DE DECISIÓN</w:t>
      </w:r>
      <w:r w:rsidRPr="009F00E2">
        <w:rPr>
          <w:rFonts w:ascii="Tahoma" w:hAnsi="Tahoma" w:cs="Tahoma"/>
          <w:bCs/>
          <w:szCs w:val="24"/>
          <w:lang w:eastAsia="es-MX"/>
        </w:rPr>
        <w:t xml:space="preserve"> LABORAL</w:t>
      </w:r>
      <w:r w:rsidR="00666B78" w:rsidRPr="009F00E2">
        <w:rPr>
          <w:rFonts w:ascii="Tahoma" w:hAnsi="Tahoma" w:cs="Tahoma"/>
          <w:bCs/>
          <w:szCs w:val="24"/>
          <w:lang w:eastAsia="es-MX"/>
        </w:rPr>
        <w:t xml:space="preserve"> No. 1</w:t>
      </w:r>
    </w:p>
    <w:p w:rsidR="003A3BBB" w:rsidRPr="009F00E2" w:rsidRDefault="003A3BBB" w:rsidP="00B34ACF">
      <w:pPr>
        <w:jc w:val="center"/>
        <w:rPr>
          <w:rFonts w:ascii="Tahoma" w:hAnsi="Tahoma" w:cs="Tahoma"/>
          <w:bCs/>
        </w:rPr>
      </w:pPr>
    </w:p>
    <w:p w:rsidR="003A3BBB" w:rsidRPr="009F00E2" w:rsidRDefault="003A3BBB" w:rsidP="00B34ACF">
      <w:pPr>
        <w:jc w:val="center"/>
        <w:rPr>
          <w:rFonts w:ascii="Tahoma" w:hAnsi="Tahoma" w:cs="Tahoma"/>
          <w:b/>
          <w:bCs/>
        </w:rPr>
      </w:pPr>
      <w:r w:rsidRPr="009F00E2">
        <w:rPr>
          <w:rFonts w:ascii="Tahoma" w:hAnsi="Tahoma" w:cs="Tahoma"/>
          <w:bCs/>
        </w:rPr>
        <w:t>Magistrada ponente:</w:t>
      </w:r>
      <w:r w:rsidRPr="009F00E2">
        <w:rPr>
          <w:rFonts w:ascii="Tahoma" w:hAnsi="Tahoma" w:cs="Tahoma"/>
          <w:b/>
          <w:bCs/>
        </w:rPr>
        <w:t xml:space="preserve"> Ana Lucía Caicedo Calderón</w:t>
      </w:r>
    </w:p>
    <w:p w:rsidR="003A3BBB" w:rsidRPr="009F00E2" w:rsidRDefault="003A3BBB" w:rsidP="00B34ACF">
      <w:pPr>
        <w:jc w:val="center"/>
        <w:rPr>
          <w:rFonts w:ascii="Tahoma" w:hAnsi="Tahoma" w:cs="Tahoma"/>
          <w:b/>
        </w:rPr>
      </w:pPr>
    </w:p>
    <w:p w:rsidR="003A3BBB" w:rsidRPr="009F00E2" w:rsidRDefault="003A3BBB" w:rsidP="00B34ACF">
      <w:pPr>
        <w:jc w:val="center"/>
        <w:rPr>
          <w:rFonts w:ascii="Tahoma" w:hAnsi="Tahoma" w:cs="Tahoma"/>
          <w:b/>
        </w:rPr>
      </w:pPr>
      <w:r w:rsidRPr="009F00E2">
        <w:rPr>
          <w:rFonts w:ascii="Tahoma" w:hAnsi="Tahoma" w:cs="Tahoma"/>
          <w:b/>
        </w:rPr>
        <w:t>Acta No. ____</w:t>
      </w:r>
    </w:p>
    <w:p w:rsidR="003A3BBB" w:rsidRPr="009F00E2" w:rsidRDefault="003A3BBB" w:rsidP="00B34ACF">
      <w:pPr>
        <w:pStyle w:val="Sinespaciado"/>
      </w:pPr>
    </w:p>
    <w:p w:rsidR="003A3BBB" w:rsidRPr="009F00E2" w:rsidRDefault="003A3BBB" w:rsidP="00B34ACF">
      <w:pPr>
        <w:pStyle w:val="Ttulo5"/>
        <w:spacing w:line="240" w:lineRule="auto"/>
        <w:ind w:firstLine="0"/>
        <w:jc w:val="center"/>
        <w:rPr>
          <w:rFonts w:ascii="Tahoma" w:hAnsi="Tahoma" w:cs="Tahoma"/>
        </w:rPr>
      </w:pPr>
      <w:r w:rsidRPr="009F00E2">
        <w:rPr>
          <w:rFonts w:ascii="Tahoma" w:hAnsi="Tahoma" w:cs="Tahoma"/>
        </w:rPr>
        <w:t>Sistema oral - Audiencia de juzgamiento</w:t>
      </w:r>
    </w:p>
    <w:p w:rsidR="003A3BBB" w:rsidRPr="009F00E2" w:rsidRDefault="003A3BBB" w:rsidP="00B34ACF">
      <w:pPr>
        <w:pStyle w:val="Sinespaciado"/>
      </w:pPr>
      <w:r w:rsidRPr="009F00E2">
        <w:tab/>
      </w:r>
      <w:r w:rsidR="004052FE" w:rsidRPr="009F00E2">
        <w:t xml:space="preserve"> </w:t>
      </w:r>
    </w:p>
    <w:p w:rsidR="003A3BBB" w:rsidRPr="009F00E2" w:rsidRDefault="003A3BBB" w:rsidP="00B34ACF">
      <w:pPr>
        <w:spacing w:line="276" w:lineRule="auto"/>
        <w:ind w:firstLine="708"/>
        <w:jc w:val="both"/>
        <w:rPr>
          <w:rFonts w:ascii="Tahoma" w:hAnsi="Tahoma" w:cs="Tahoma"/>
          <w:b/>
          <w:lang w:val="es-ES_tradnl"/>
        </w:rPr>
      </w:pPr>
      <w:r w:rsidRPr="009F00E2">
        <w:rPr>
          <w:rFonts w:ascii="Tahoma" w:hAnsi="Tahoma" w:cs="Tahoma"/>
          <w:lang w:val="es-ES_tradnl"/>
        </w:rPr>
        <w:t>Siendo</w:t>
      </w:r>
      <w:r w:rsidR="00E427B3" w:rsidRPr="009F00E2">
        <w:rPr>
          <w:rFonts w:ascii="Tahoma" w:hAnsi="Tahoma" w:cs="Tahoma"/>
          <w:lang w:val="es-ES_tradnl"/>
        </w:rPr>
        <w:t xml:space="preserve"> las 7:30 am</w:t>
      </w:r>
      <w:r w:rsidR="0042768E" w:rsidRPr="009F00E2">
        <w:rPr>
          <w:rFonts w:ascii="Tahoma" w:hAnsi="Tahoma" w:cs="Tahoma"/>
          <w:lang w:val="es-ES_tradnl"/>
        </w:rPr>
        <w:t xml:space="preserve"> de hoy,</w:t>
      </w:r>
      <w:r w:rsidR="00F206D8" w:rsidRPr="009F00E2">
        <w:rPr>
          <w:rFonts w:ascii="Tahoma" w:hAnsi="Tahoma" w:cs="Tahoma"/>
          <w:lang w:val="es-ES_tradnl"/>
        </w:rPr>
        <w:t xml:space="preserve"> </w:t>
      </w:r>
      <w:r w:rsidR="005366D1" w:rsidRPr="009F00E2">
        <w:rPr>
          <w:rFonts w:ascii="Tahoma" w:hAnsi="Tahoma" w:cs="Tahoma"/>
          <w:lang w:val="es-ES_tradnl"/>
        </w:rPr>
        <w:t>vierne</w:t>
      </w:r>
      <w:r w:rsidR="00835297" w:rsidRPr="009F00E2">
        <w:rPr>
          <w:rFonts w:ascii="Tahoma" w:hAnsi="Tahoma" w:cs="Tahoma"/>
          <w:lang w:val="es-ES_tradnl"/>
        </w:rPr>
        <w:t xml:space="preserve">s </w:t>
      </w:r>
      <w:r w:rsidR="008F15DA" w:rsidRPr="009F00E2">
        <w:rPr>
          <w:rFonts w:ascii="Tahoma" w:hAnsi="Tahoma" w:cs="Tahoma"/>
          <w:lang w:val="es-ES_tradnl"/>
        </w:rPr>
        <w:t>31</w:t>
      </w:r>
      <w:r w:rsidR="00DA7C2A" w:rsidRPr="009F00E2">
        <w:rPr>
          <w:rFonts w:ascii="Tahoma" w:hAnsi="Tahoma" w:cs="Tahoma"/>
          <w:lang w:val="es-ES_tradnl"/>
        </w:rPr>
        <w:t xml:space="preserve"> </w:t>
      </w:r>
      <w:r w:rsidR="00835297" w:rsidRPr="009F00E2">
        <w:rPr>
          <w:rFonts w:ascii="Tahoma" w:hAnsi="Tahoma" w:cs="Tahoma"/>
          <w:lang w:val="es-ES_tradnl"/>
        </w:rPr>
        <w:t xml:space="preserve">de </w:t>
      </w:r>
      <w:r w:rsidR="00CB2CF2" w:rsidRPr="009F00E2">
        <w:rPr>
          <w:rFonts w:ascii="Tahoma" w:hAnsi="Tahoma" w:cs="Tahoma"/>
          <w:lang w:val="es-ES_tradnl"/>
        </w:rPr>
        <w:t>agosto</w:t>
      </w:r>
      <w:r w:rsidR="0014623C" w:rsidRPr="009F00E2">
        <w:rPr>
          <w:rFonts w:ascii="Tahoma" w:hAnsi="Tahoma" w:cs="Tahoma"/>
          <w:lang w:val="es-ES_tradnl"/>
        </w:rPr>
        <w:t xml:space="preserve"> </w:t>
      </w:r>
      <w:r w:rsidR="00F206D8" w:rsidRPr="009F00E2">
        <w:rPr>
          <w:rFonts w:ascii="Tahoma" w:hAnsi="Tahoma" w:cs="Tahoma"/>
          <w:lang w:val="es-ES_tradnl"/>
        </w:rPr>
        <w:t>de 201</w:t>
      </w:r>
      <w:r w:rsidR="0014623C" w:rsidRPr="009F00E2">
        <w:rPr>
          <w:rFonts w:ascii="Tahoma" w:hAnsi="Tahoma" w:cs="Tahoma"/>
          <w:lang w:val="es-ES_tradnl"/>
        </w:rPr>
        <w:t>8</w:t>
      </w:r>
      <w:r w:rsidRPr="009F00E2">
        <w:rPr>
          <w:rFonts w:ascii="Tahoma" w:hAnsi="Tahoma" w:cs="Tahoma"/>
          <w:lang w:val="es-ES_tradnl"/>
        </w:rPr>
        <w:t xml:space="preserve">, la Sala de Decisión Laboral </w:t>
      </w:r>
      <w:r w:rsidR="00EA7593" w:rsidRPr="009F00E2">
        <w:rPr>
          <w:rFonts w:ascii="Tahoma" w:hAnsi="Tahoma" w:cs="Tahoma"/>
          <w:lang w:val="es-ES_tradnl"/>
        </w:rPr>
        <w:t xml:space="preserve">No. 1 </w:t>
      </w:r>
      <w:r w:rsidRPr="009F00E2">
        <w:rPr>
          <w:rFonts w:ascii="Tahoma" w:hAnsi="Tahoma" w:cs="Tahoma"/>
          <w:lang w:val="es-ES_tradnl"/>
        </w:rPr>
        <w:t>del Tribunal Superior de Pereira se constituye en audiencia pública de juzgamiento en el proceso ordinario laboral instaurado por</w:t>
      </w:r>
      <w:r w:rsidR="002C1D2F" w:rsidRPr="009F00E2">
        <w:rPr>
          <w:rFonts w:ascii="Tahoma" w:hAnsi="Tahoma" w:cs="Tahoma"/>
          <w:lang w:val="es-ES_tradnl"/>
        </w:rPr>
        <w:t xml:space="preserve"> </w:t>
      </w:r>
      <w:r w:rsidR="008F15DA" w:rsidRPr="009F00E2">
        <w:rPr>
          <w:rFonts w:ascii="Tahoma" w:hAnsi="Tahoma" w:cs="Tahoma"/>
          <w:lang w:val="es-ES_tradnl"/>
        </w:rPr>
        <w:t xml:space="preserve">los señores </w:t>
      </w:r>
      <w:r w:rsidR="00E427B3" w:rsidRPr="009F00E2">
        <w:rPr>
          <w:rFonts w:ascii="Tahoma" w:hAnsi="Tahoma" w:cs="Tahoma"/>
          <w:b/>
          <w:lang w:val="es-ES_tradnl"/>
        </w:rPr>
        <w:t>GILDARDO ANTONIO AGUDELO HERNÁNDEZ</w:t>
      </w:r>
      <w:r w:rsidR="00E427B3" w:rsidRPr="009F00E2">
        <w:rPr>
          <w:rFonts w:ascii="Tahoma" w:hAnsi="Tahoma" w:cs="Tahoma"/>
          <w:lang w:val="es-ES_tradnl"/>
        </w:rPr>
        <w:t xml:space="preserve"> </w:t>
      </w:r>
      <w:r w:rsidR="008F15DA" w:rsidRPr="009F00E2">
        <w:rPr>
          <w:rFonts w:ascii="Tahoma" w:hAnsi="Tahoma" w:cs="Tahoma"/>
          <w:lang w:val="es-ES_tradnl"/>
        </w:rPr>
        <w:t xml:space="preserve">y </w:t>
      </w:r>
      <w:r w:rsidR="00E427B3" w:rsidRPr="009F00E2">
        <w:rPr>
          <w:rFonts w:ascii="Tahoma" w:hAnsi="Tahoma" w:cs="Tahoma"/>
          <w:b/>
          <w:lang w:val="es-ES_tradnl"/>
        </w:rPr>
        <w:t>NANCY MARÍA DE ARCE GUZMÁN</w:t>
      </w:r>
      <w:r w:rsidR="00E427B3" w:rsidRPr="009F00E2">
        <w:rPr>
          <w:rFonts w:ascii="Tahoma" w:hAnsi="Tahoma" w:cs="Tahoma"/>
          <w:lang w:val="es-ES_tradnl"/>
        </w:rPr>
        <w:t xml:space="preserve"> </w:t>
      </w:r>
      <w:r w:rsidRPr="009F00E2">
        <w:rPr>
          <w:rFonts w:ascii="Tahoma" w:hAnsi="Tahoma" w:cs="Tahoma"/>
          <w:lang w:val="es-ES_tradnl"/>
        </w:rPr>
        <w:t xml:space="preserve">en contra de la </w:t>
      </w:r>
      <w:r w:rsidR="00E427B3" w:rsidRPr="009F00E2">
        <w:rPr>
          <w:rFonts w:ascii="Tahoma" w:hAnsi="Tahoma" w:cs="Tahoma"/>
          <w:b/>
          <w:lang w:val="es-ES_tradnl"/>
        </w:rPr>
        <w:t>ADMINISTRADORA DE PENSIONES Y CESANTÍAS – PROTECCIÓN S.A</w:t>
      </w:r>
      <w:r w:rsidR="00E427B3" w:rsidRPr="009F00E2">
        <w:rPr>
          <w:rFonts w:ascii="Tahoma" w:hAnsi="Tahoma" w:cs="Tahoma"/>
          <w:lang w:val="es-ES_tradnl"/>
        </w:rPr>
        <w:t>.</w:t>
      </w:r>
    </w:p>
    <w:p w:rsidR="003A3BBB" w:rsidRPr="009F00E2" w:rsidRDefault="003A3BBB" w:rsidP="00B34ACF">
      <w:pPr>
        <w:pStyle w:val="Sinespaciado"/>
        <w:rPr>
          <w:lang w:val="es-ES_tradnl"/>
        </w:rPr>
      </w:pPr>
    </w:p>
    <w:p w:rsidR="003A3BBB" w:rsidRPr="009F00E2" w:rsidRDefault="003A3BBB" w:rsidP="00B34ACF">
      <w:pPr>
        <w:spacing w:line="276" w:lineRule="auto"/>
        <w:ind w:firstLine="708"/>
        <w:jc w:val="both"/>
        <w:rPr>
          <w:rFonts w:ascii="Tahoma" w:hAnsi="Tahoma" w:cs="Tahoma"/>
          <w:lang w:val="es-ES_tradnl"/>
        </w:rPr>
      </w:pPr>
      <w:r w:rsidRPr="009F00E2">
        <w:rPr>
          <w:rFonts w:ascii="Tahoma" w:hAnsi="Tahoma" w:cs="Tahoma"/>
          <w:lang w:val="es-ES_tradnl"/>
        </w:rPr>
        <w:t>Para el efecto, se verifica la asistencia de las partes a la presente diligencia: Por la parte demandante… Por la demandada…</w:t>
      </w:r>
    </w:p>
    <w:p w:rsidR="009A5E41" w:rsidRPr="009F00E2" w:rsidRDefault="009A5E41" w:rsidP="00B34ACF">
      <w:pPr>
        <w:spacing w:line="276" w:lineRule="auto"/>
        <w:ind w:firstLine="708"/>
        <w:jc w:val="both"/>
        <w:rPr>
          <w:rFonts w:ascii="Tahoma" w:hAnsi="Tahoma" w:cs="Tahoma"/>
          <w:lang w:val="es-ES_tradnl"/>
        </w:rPr>
      </w:pPr>
    </w:p>
    <w:p w:rsidR="003A3BBB" w:rsidRPr="009F00E2" w:rsidRDefault="003A3BBB" w:rsidP="00B34ACF">
      <w:pPr>
        <w:widowControl w:val="0"/>
        <w:autoSpaceDE w:val="0"/>
        <w:autoSpaceDN w:val="0"/>
        <w:adjustRightInd w:val="0"/>
        <w:spacing w:line="276" w:lineRule="auto"/>
        <w:jc w:val="center"/>
        <w:rPr>
          <w:rFonts w:ascii="Tahoma" w:hAnsi="Tahoma" w:cs="Tahoma"/>
          <w:b/>
        </w:rPr>
      </w:pPr>
      <w:r w:rsidRPr="009F00E2">
        <w:rPr>
          <w:rFonts w:ascii="Tahoma" w:hAnsi="Tahoma" w:cs="Tahoma"/>
          <w:b/>
        </w:rPr>
        <w:t>Alegatos de conclusión</w:t>
      </w:r>
    </w:p>
    <w:p w:rsidR="003A3BBB" w:rsidRPr="009F00E2" w:rsidRDefault="003A3BBB" w:rsidP="00B34ACF">
      <w:pPr>
        <w:pStyle w:val="Sinespaciado"/>
      </w:pPr>
    </w:p>
    <w:p w:rsidR="003A3BBB" w:rsidRPr="009F00E2" w:rsidRDefault="003A3BBB" w:rsidP="00B34ACF">
      <w:pPr>
        <w:spacing w:line="276" w:lineRule="auto"/>
        <w:ind w:firstLine="708"/>
        <w:jc w:val="both"/>
        <w:rPr>
          <w:rFonts w:ascii="Tahoma" w:hAnsi="Tahoma" w:cs="Tahoma"/>
          <w:lang w:val="es-ES_tradnl"/>
        </w:rPr>
      </w:pPr>
      <w:r w:rsidRPr="009F00E2">
        <w:rPr>
          <w:rFonts w:ascii="Tahoma" w:hAnsi="Tahoma" w:cs="Tahoma"/>
          <w:lang w:val="es-ES_tradnl"/>
        </w:rPr>
        <w:t>De conformidad con el artículo 82 del C.P.T</w:t>
      </w:r>
      <w:r w:rsidR="007C5FFC" w:rsidRPr="009F00E2">
        <w:rPr>
          <w:rFonts w:ascii="Tahoma" w:hAnsi="Tahoma" w:cs="Tahoma"/>
          <w:lang w:val="es-ES_tradnl"/>
        </w:rPr>
        <w:t>.</w:t>
      </w:r>
      <w:r w:rsidRPr="009F00E2">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9F00E2">
        <w:rPr>
          <w:rFonts w:ascii="Tahoma" w:hAnsi="Tahoma" w:cs="Tahoma"/>
          <w:lang w:val="es-ES_tradnl"/>
        </w:rPr>
        <w:t xml:space="preserve"> </w:t>
      </w:r>
      <w:r w:rsidRPr="009F00E2">
        <w:rPr>
          <w:rFonts w:ascii="Tahoma" w:hAnsi="Tahoma" w:cs="Tahoma"/>
          <w:lang w:val="es-ES_tradnl"/>
        </w:rPr>
        <w:t xml:space="preserve"> Por la parte demandante… Por la parte demandada…</w:t>
      </w:r>
    </w:p>
    <w:p w:rsidR="003A3BBB" w:rsidRPr="009F00E2" w:rsidRDefault="003A3BBB" w:rsidP="00B34ACF">
      <w:pPr>
        <w:pStyle w:val="Sinespaciado"/>
      </w:pPr>
    </w:p>
    <w:p w:rsidR="003A3BBB" w:rsidRPr="009F00E2" w:rsidRDefault="003A3BBB" w:rsidP="00B34ACF">
      <w:pPr>
        <w:widowControl w:val="0"/>
        <w:autoSpaceDE w:val="0"/>
        <w:autoSpaceDN w:val="0"/>
        <w:adjustRightInd w:val="0"/>
        <w:spacing w:line="276" w:lineRule="auto"/>
        <w:jc w:val="center"/>
        <w:rPr>
          <w:rFonts w:ascii="Tahoma" w:hAnsi="Tahoma" w:cs="Tahoma"/>
          <w:b/>
        </w:rPr>
      </w:pPr>
      <w:r w:rsidRPr="009F00E2">
        <w:rPr>
          <w:rFonts w:ascii="Tahoma" w:hAnsi="Tahoma" w:cs="Tahoma"/>
          <w:b/>
        </w:rPr>
        <w:t>S E N T E N C I A</w:t>
      </w:r>
    </w:p>
    <w:p w:rsidR="008F15DA" w:rsidRPr="009F00E2" w:rsidRDefault="008F15DA" w:rsidP="00B34ACF">
      <w:pPr>
        <w:widowControl w:val="0"/>
        <w:autoSpaceDE w:val="0"/>
        <w:autoSpaceDN w:val="0"/>
        <w:adjustRightInd w:val="0"/>
        <w:spacing w:line="276" w:lineRule="auto"/>
        <w:jc w:val="center"/>
        <w:rPr>
          <w:rFonts w:ascii="Tahoma" w:hAnsi="Tahoma" w:cs="Tahoma"/>
          <w:b/>
        </w:rPr>
      </w:pPr>
    </w:p>
    <w:p w:rsidR="002C1D2F" w:rsidRPr="009F00E2" w:rsidRDefault="002C1D2F" w:rsidP="002C1D2F">
      <w:pPr>
        <w:widowControl w:val="0"/>
        <w:autoSpaceDE w:val="0"/>
        <w:autoSpaceDN w:val="0"/>
        <w:adjustRightInd w:val="0"/>
        <w:spacing w:line="276" w:lineRule="auto"/>
        <w:ind w:firstLine="708"/>
        <w:jc w:val="both"/>
        <w:rPr>
          <w:rFonts w:ascii="Tahoma" w:hAnsi="Tahoma" w:cs="Tahoma"/>
        </w:rPr>
      </w:pPr>
      <w:r w:rsidRPr="009F00E2">
        <w:rPr>
          <w:rFonts w:ascii="Tahoma" w:hAnsi="Tahoma" w:cs="Tahoma"/>
        </w:rPr>
        <w:t xml:space="preserve">Como quiera que los argumentos expuestos en las alegaciones fueron tenidos en cuenta en la discusión del proyecto, procede la Sala a resolver el recurso de apelación presentado por </w:t>
      </w:r>
      <w:r w:rsidR="00B715D6" w:rsidRPr="009F00E2">
        <w:rPr>
          <w:rFonts w:ascii="Tahoma" w:hAnsi="Tahoma" w:cs="Tahoma"/>
        </w:rPr>
        <w:t xml:space="preserve">el apoderado judicial de la parte </w:t>
      </w:r>
      <w:r w:rsidR="00E427B3" w:rsidRPr="009F00E2">
        <w:rPr>
          <w:rFonts w:ascii="Tahoma" w:hAnsi="Tahoma" w:cs="Tahoma"/>
        </w:rPr>
        <w:t>demandante</w:t>
      </w:r>
      <w:r w:rsidRPr="009F00E2">
        <w:rPr>
          <w:rFonts w:ascii="Tahoma" w:hAnsi="Tahoma" w:cs="Tahoma"/>
        </w:rPr>
        <w:t xml:space="preserve"> en contra de la sentencia emitida por el Juzgado Quinto Labor</w:t>
      </w:r>
      <w:r w:rsidR="008F15DA" w:rsidRPr="009F00E2">
        <w:rPr>
          <w:rFonts w:ascii="Tahoma" w:hAnsi="Tahoma" w:cs="Tahoma"/>
        </w:rPr>
        <w:t>al del Circuito de Pereira el 11 de diciembre</w:t>
      </w:r>
      <w:r w:rsidRPr="009F00E2">
        <w:rPr>
          <w:rFonts w:ascii="Tahoma" w:hAnsi="Tahoma" w:cs="Tahoma"/>
        </w:rPr>
        <w:t xml:space="preserve"> de 2017, dentro del proceso ordinario laboral reseñado con anterioridad.</w:t>
      </w:r>
    </w:p>
    <w:p w:rsidR="00D3431C" w:rsidRDefault="00D3431C" w:rsidP="00E427B3">
      <w:pPr>
        <w:pStyle w:val="Sinespaciado"/>
      </w:pPr>
    </w:p>
    <w:p w:rsidR="00A50DA7" w:rsidRDefault="00A50DA7" w:rsidP="00E427B3">
      <w:pPr>
        <w:pStyle w:val="Sinespaciado"/>
      </w:pPr>
    </w:p>
    <w:p w:rsidR="00A50DA7" w:rsidRPr="009F00E2" w:rsidRDefault="00A50DA7" w:rsidP="00E427B3">
      <w:pPr>
        <w:pStyle w:val="Sinespaciado"/>
      </w:pPr>
    </w:p>
    <w:p w:rsidR="003A3BBB" w:rsidRPr="009F00E2" w:rsidRDefault="003A3BBB" w:rsidP="00B34ACF">
      <w:pPr>
        <w:widowControl w:val="0"/>
        <w:autoSpaceDE w:val="0"/>
        <w:autoSpaceDN w:val="0"/>
        <w:adjustRightInd w:val="0"/>
        <w:spacing w:line="276" w:lineRule="auto"/>
        <w:jc w:val="center"/>
        <w:rPr>
          <w:rFonts w:ascii="Tahoma" w:hAnsi="Tahoma" w:cs="Tahoma"/>
          <w:b/>
        </w:rPr>
      </w:pPr>
      <w:r w:rsidRPr="009F00E2">
        <w:rPr>
          <w:rFonts w:ascii="Tahoma" w:hAnsi="Tahoma" w:cs="Tahoma"/>
          <w:b/>
        </w:rPr>
        <w:t>Problema jurídico por resolver</w:t>
      </w:r>
    </w:p>
    <w:p w:rsidR="001B5F3A" w:rsidRPr="009F00E2" w:rsidRDefault="001B5F3A" w:rsidP="00B34ACF">
      <w:pPr>
        <w:pStyle w:val="Sinespaciado"/>
      </w:pPr>
    </w:p>
    <w:p w:rsidR="009F00E2" w:rsidRPr="009F00E2" w:rsidRDefault="006B0EE8" w:rsidP="009F00E2">
      <w:pPr>
        <w:spacing w:line="276" w:lineRule="auto"/>
        <w:ind w:firstLine="708"/>
        <w:jc w:val="both"/>
        <w:rPr>
          <w:rFonts w:ascii="Tahoma" w:hAnsi="Tahoma" w:cs="Tahoma"/>
        </w:rPr>
      </w:pPr>
      <w:r w:rsidRPr="009F00E2">
        <w:rPr>
          <w:rFonts w:ascii="Tahoma" w:hAnsi="Tahoma" w:cs="Tahoma"/>
        </w:rPr>
        <w:t xml:space="preserve">De acuerdo a los argumentos expuestos en la </w:t>
      </w:r>
      <w:r w:rsidR="00E427B3" w:rsidRPr="009F00E2">
        <w:rPr>
          <w:rFonts w:ascii="Tahoma" w:hAnsi="Tahoma" w:cs="Tahoma"/>
        </w:rPr>
        <w:t>sustentación del recurso</w:t>
      </w:r>
      <w:r w:rsidRPr="009F00E2">
        <w:rPr>
          <w:rFonts w:ascii="Tahoma" w:hAnsi="Tahoma" w:cs="Tahoma"/>
        </w:rPr>
        <w:t xml:space="preserve"> le corresponde a la Sala determinar</w:t>
      </w:r>
      <w:r w:rsidR="00E4380D" w:rsidRPr="009F00E2">
        <w:rPr>
          <w:rFonts w:ascii="Tahoma" w:hAnsi="Tahoma" w:cs="Tahoma"/>
        </w:rPr>
        <w:t xml:space="preserve"> i)</w:t>
      </w:r>
      <w:r w:rsidR="00C87B52" w:rsidRPr="009F00E2">
        <w:rPr>
          <w:rFonts w:ascii="Tahoma" w:hAnsi="Tahoma" w:cs="Tahoma"/>
        </w:rPr>
        <w:t xml:space="preserve"> si es posible reconocer a los demandantes la pensión de sobrevivientes bajo los postulados de la Ley 100 de 1993, en su versión original, en aplicación del principio de la condición m</w:t>
      </w:r>
      <w:r w:rsidR="000C0D01">
        <w:rPr>
          <w:rFonts w:ascii="Tahoma" w:hAnsi="Tahoma" w:cs="Tahoma"/>
        </w:rPr>
        <w:t>ás beneficiosa</w:t>
      </w:r>
      <w:r w:rsidR="009F00E2" w:rsidRPr="009F00E2">
        <w:rPr>
          <w:rFonts w:ascii="Tahoma" w:hAnsi="Tahoma" w:cs="Tahoma"/>
        </w:rPr>
        <w:t>.</w:t>
      </w:r>
    </w:p>
    <w:p w:rsidR="009F00E2" w:rsidRPr="009F00E2" w:rsidRDefault="009F00E2" w:rsidP="009F00E2">
      <w:pPr>
        <w:spacing w:line="276" w:lineRule="auto"/>
        <w:ind w:firstLine="708"/>
        <w:jc w:val="both"/>
        <w:rPr>
          <w:rFonts w:ascii="Tahoma" w:hAnsi="Tahoma" w:cs="Tahoma"/>
        </w:rPr>
      </w:pPr>
    </w:p>
    <w:p w:rsidR="00FC2290" w:rsidRPr="009F00E2" w:rsidRDefault="009F00E2" w:rsidP="009F00E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9F00E2">
        <w:rPr>
          <w:rFonts w:ascii="Tahoma" w:hAnsi="Tahoma" w:cs="Tahoma"/>
          <w:b/>
        </w:rPr>
        <w:t xml:space="preserve"> </w:t>
      </w:r>
      <w:r w:rsidR="008F15DA" w:rsidRPr="009F00E2">
        <w:rPr>
          <w:rFonts w:ascii="Tahoma" w:hAnsi="Tahoma" w:cs="Tahoma"/>
          <w:b/>
        </w:rPr>
        <w:t>La demanda</w:t>
      </w:r>
      <w:r w:rsidRPr="009F00E2">
        <w:rPr>
          <w:rFonts w:ascii="Tahoma" w:hAnsi="Tahoma" w:cs="Tahoma"/>
          <w:b/>
        </w:rPr>
        <w:t xml:space="preserve"> y su contestación</w:t>
      </w:r>
    </w:p>
    <w:p w:rsidR="00270620" w:rsidRPr="009F00E2" w:rsidRDefault="00270620" w:rsidP="00270620">
      <w:pPr>
        <w:widowControl w:val="0"/>
        <w:tabs>
          <w:tab w:val="left" w:pos="374"/>
        </w:tabs>
        <w:autoSpaceDE w:val="0"/>
        <w:autoSpaceDN w:val="0"/>
        <w:adjustRightInd w:val="0"/>
        <w:spacing w:line="276" w:lineRule="auto"/>
        <w:rPr>
          <w:rFonts w:ascii="Tahoma" w:hAnsi="Tahoma" w:cs="Tahoma"/>
          <w:b/>
        </w:rPr>
      </w:pPr>
    </w:p>
    <w:p w:rsidR="00FC2290" w:rsidRPr="009F00E2" w:rsidRDefault="00FC2290" w:rsidP="00FC2290">
      <w:pPr>
        <w:widowControl w:val="0"/>
        <w:tabs>
          <w:tab w:val="left" w:pos="374"/>
        </w:tabs>
        <w:autoSpaceDE w:val="0"/>
        <w:autoSpaceDN w:val="0"/>
        <w:adjustRightInd w:val="0"/>
        <w:spacing w:line="276" w:lineRule="auto"/>
        <w:jc w:val="both"/>
        <w:rPr>
          <w:rFonts w:ascii="Tahoma" w:hAnsi="Tahoma" w:cs="Tahoma"/>
        </w:rPr>
      </w:pPr>
      <w:r w:rsidRPr="009F00E2">
        <w:rPr>
          <w:rFonts w:ascii="Tahoma" w:hAnsi="Tahoma" w:cs="Tahoma"/>
        </w:rPr>
        <w:tab/>
        <w:t xml:space="preserve">Solicitan los demandantes que se declare que el señor </w:t>
      </w:r>
      <w:r w:rsidR="00ED7F1E" w:rsidRPr="009F00E2">
        <w:rPr>
          <w:rFonts w:ascii="Tahoma" w:hAnsi="Tahoma" w:cs="Tahoma"/>
        </w:rPr>
        <w:t>JUAN CARLOS AGUDELO DE ARCE</w:t>
      </w:r>
      <w:r w:rsidRPr="009F00E2">
        <w:rPr>
          <w:rFonts w:ascii="Tahoma" w:hAnsi="Tahoma" w:cs="Tahoma"/>
        </w:rPr>
        <w:t xml:space="preserve"> dejó caus</w:t>
      </w:r>
      <w:r w:rsidR="00ED7F1E">
        <w:rPr>
          <w:rFonts w:ascii="Tahoma" w:hAnsi="Tahoma" w:cs="Tahoma"/>
        </w:rPr>
        <w:t xml:space="preserve">ado el derecho a </w:t>
      </w:r>
      <w:r w:rsidRPr="009F00E2">
        <w:rPr>
          <w:rFonts w:ascii="Tahoma" w:hAnsi="Tahoma" w:cs="Tahoma"/>
        </w:rPr>
        <w:t xml:space="preserve">la pensión de sobrevivientes </w:t>
      </w:r>
      <w:r w:rsidR="00ED7F1E">
        <w:rPr>
          <w:rFonts w:ascii="Tahoma" w:hAnsi="Tahoma" w:cs="Tahoma"/>
        </w:rPr>
        <w:t>a favor de sus beneficiarios, en</w:t>
      </w:r>
      <w:r w:rsidRPr="009F00E2">
        <w:rPr>
          <w:rFonts w:ascii="Tahoma" w:hAnsi="Tahoma" w:cs="Tahoma"/>
        </w:rPr>
        <w:t xml:space="preserve"> aplicación del principio de la condición más beneficiosa, y en consecuencia</w:t>
      </w:r>
      <w:r w:rsidR="00ED7F1E">
        <w:rPr>
          <w:rFonts w:ascii="Tahoma" w:hAnsi="Tahoma" w:cs="Tahoma"/>
        </w:rPr>
        <w:t>,</w:t>
      </w:r>
      <w:r w:rsidRPr="009F00E2">
        <w:rPr>
          <w:rFonts w:ascii="Tahoma" w:hAnsi="Tahoma" w:cs="Tahoma"/>
        </w:rPr>
        <w:t xml:space="preserve"> se condene a </w:t>
      </w:r>
      <w:r w:rsidR="00ED7F1E" w:rsidRPr="009F00E2">
        <w:rPr>
          <w:rFonts w:ascii="Tahoma" w:hAnsi="Tahoma" w:cs="Tahoma"/>
        </w:rPr>
        <w:t xml:space="preserve">PROTECCIÓN S.A </w:t>
      </w:r>
      <w:r w:rsidR="00ED7F1E">
        <w:rPr>
          <w:rFonts w:ascii="Tahoma" w:hAnsi="Tahoma" w:cs="Tahoma"/>
        </w:rPr>
        <w:t xml:space="preserve">a pagarles dicha prestación, en calidad de padres supérstites, </w:t>
      </w:r>
      <w:r w:rsidRPr="009F00E2">
        <w:rPr>
          <w:rFonts w:ascii="Tahoma" w:hAnsi="Tahoma" w:cs="Tahoma"/>
        </w:rPr>
        <w:t xml:space="preserve">a partir del 7 de junio del 2015, </w:t>
      </w:r>
      <w:r w:rsidR="00ED7F1E">
        <w:rPr>
          <w:rFonts w:ascii="Tahoma" w:hAnsi="Tahoma" w:cs="Tahoma"/>
        </w:rPr>
        <w:t>con el respectivo retroactivo pensional</w:t>
      </w:r>
      <w:r w:rsidRPr="009F00E2">
        <w:rPr>
          <w:rFonts w:ascii="Tahoma" w:hAnsi="Tahoma" w:cs="Tahoma"/>
        </w:rPr>
        <w:t>, los intereses moratorios y las costas procesales.</w:t>
      </w:r>
      <w:r w:rsidR="00ED7F1E">
        <w:rPr>
          <w:rFonts w:ascii="Tahoma" w:hAnsi="Tahoma" w:cs="Tahoma"/>
        </w:rPr>
        <w:t xml:space="preserve"> Subsidiariamente pretenden, que de no p</w:t>
      </w:r>
      <w:r w:rsidRPr="009F00E2">
        <w:rPr>
          <w:rFonts w:ascii="Tahoma" w:hAnsi="Tahoma" w:cs="Tahoma"/>
        </w:rPr>
        <w:t>rosperar los intereses moratorios, se condene a la entidad demandada a indexar las sumas de dinero</w:t>
      </w:r>
      <w:r w:rsidR="00ED7F1E">
        <w:rPr>
          <w:rFonts w:ascii="Tahoma" w:hAnsi="Tahoma" w:cs="Tahoma"/>
        </w:rPr>
        <w:t xml:space="preserve"> reconocidas.</w:t>
      </w:r>
    </w:p>
    <w:p w:rsidR="00F62658" w:rsidRPr="00F43ABB" w:rsidRDefault="00F62658" w:rsidP="00F43ABB">
      <w:pPr>
        <w:pStyle w:val="Sinespaciado"/>
      </w:pPr>
    </w:p>
    <w:p w:rsidR="00F91813" w:rsidRPr="009F00E2" w:rsidRDefault="000277BB" w:rsidP="00B34ACF">
      <w:pPr>
        <w:widowControl w:val="0"/>
        <w:autoSpaceDE w:val="0"/>
        <w:autoSpaceDN w:val="0"/>
        <w:adjustRightInd w:val="0"/>
        <w:spacing w:line="276" w:lineRule="auto"/>
        <w:ind w:firstLine="708"/>
        <w:jc w:val="both"/>
        <w:rPr>
          <w:rFonts w:ascii="Tahoma" w:hAnsi="Tahoma" w:cs="Tahoma"/>
        </w:rPr>
      </w:pPr>
      <w:r w:rsidRPr="009F00E2">
        <w:rPr>
          <w:rFonts w:ascii="Tahoma" w:hAnsi="Tahoma" w:cs="Tahoma"/>
        </w:rPr>
        <w:t>Para fundar dichas pretensiones manifiesta</w:t>
      </w:r>
      <w:r w:rsidR="00F55194" w:rsidRPr="009F00E2">
        <w:rPr>
          <w:rFonts w:ascii="Tahoma" w:hAnsi="Tahoma" w:cs="Tahoma"/>
        </w:rPr>
        <w:t>n</w:t>
      </w:r>
      <w:r w:rsidRPr="009F00E2">
        <w:rPr>
          <w:rFonts w:ascii="Tahoma" w:hAnsi="Tahoma" w:cs="Tahoma"/>
        </w:rPr>
        <w:t xml:space="preserve"> </w:t>
      </w:r>
      <w:r w:rsidR="00CD4AA0" w:rsidRPr="009F00E2">
        <w:rPr>
          <w:rFonts w:ascii="Tahoma" w:hAnsi="Tahoma" w:cs="Tahoma"/>
        </w:rPr>
        <w:t>que</w:t>
      </w:r>
      <w:r w:rsidR="00F91813" w:rsidRPr="009F00E2">
        <w:rPr>
          <w:rFonts w:ascii="Tahoma" w:hAnsi="Tahoma" w:cs="Tahoma"/>
        </w:rPr>
        <w:t xml:space="preserve"> son los progenitores</w:t>
      </w:r>
      <w:r w:rsidR="00CD4AA0" w:rsidRPr="009F00E2">
        <w:rPr>
          <w:rFonts w:ascii="Tahoma" w:hAnsi="Tahoma" w:cs="Tahoma"/>
        </w:rPr>
        <w:t xml:space="preserve"> </w:t>
      </w:r>
      <w:r w:rsidR="00F91813" w:rsidRPr="009F00E2">
        <w:rPr>
          <w:rFonts w:ascii="Tahoma" w:hAnsi="Tahoma" w:cs="Tahoma"/>
        </w:rPr>
        <w:t>d</w:t>
      </w:r>
      <w:r w:rsidR="00CD4AA0" w:rsidRPr="009F00E2">
        <w:rPr>
          <w:rFonts w:ascii="Tahoma" w:hAnsi="Tahoma" w:cs="Tahoma"/>
        </w:rPr>
        <w:t>el</w:t>
      </w:r>
      <w:r w:rsidR="009B22B9" w:rsidRPr="009F00E2">
        <w:rPr>
          <w:rFonts w:ascii="Tahoma" w:hAnsi="Tahoma" w:cs="Tahoma"/>
        </w:rPr>
        <w:t xml:space="preserve"> </w:t>
      </w:r>
      <w:r w:rsidR="00FC2290" w:rsidRPr="009F00E2">
        <w:rPr>
          <w:rFonts w:ascii="Tahoma" w:hAnsi="Tahoma" w:cs="Tahoma"/>
        </w:rPr>
        <w:t xml:space="preserve">señor </w:t>
      </w:r>
      <w:r w:rsidR="00ED7F1E" w:rsidRPr="009F00E2">
        <w:rPr>
          <w:rFonts w:ascii="Tahoma" w:hAnsi="Tahoma" w:cs="Tahoma"/>
        </w:rPr>
        <w:t>JUAN CARLOS AGUDELO DE ARCE</w:t>
      </w:r>
      <w:r w:rsidR="00ED7F1E">
        <w:rPr>
          <w:rFonts w:ascii="Tahoma" w:hAnsi="Tahoma" w:cs="Tahoma"/>
        </w:rPr>
        <w:t>,</w:t>
      </w:r>
      <w:r w:rsidR="00F91813" w:rsidRPr="009F00E2">
        <w:rPr>
          <w:rFonts w:ascii="Tahoma" w:hAnsi="Tahoma" w:cs="Tahoma"/>
        </w:rPr>
        <w:t xml:space="preserve"> qui</w:t>
      </w:r>
      <w:r w:rsidR="00ED7F1E">
        <w:rPr>
          <w:rFonts w:ascii="Tahoma" w:hAnsi="Tahoma" w:cs="Tahoma"/>
        </w:rPr>
        <w:t>en nació el 20 de junio de 1996 y falleció por causas naturales el 7 de junio de 2015, por lo que a la fecha del óbito contaba con 18 años y 11 meses de edad.</w:t>
      </w:r>
    </w:p>
    <w:p w:rsidR="00F91813" w:rsidRPr="009F00E2" w:rsidRDefault="00F91813" w:rsidP="0082771A">
      <w:pPr>
        <w:pStyle w:val="Sinespaciado"/>
      </w:pPr>
    </w:p>
    <w:p w:rsidR="00DD25A6" w:rsidRPr="009F00E2" w:rsidRDefault="00F91813" w:rsidP="00ED7F1E">
      <w:pPr>
        <w:widowControl w:val="0"/>
        <w:autoSpaceDE w:val="0"/>
        <w:autoSpaceDN w:val="0"/>
        <w:adjustRightInd w:val="0"/>
        <w:spacing w:line="276" w:lineRule="auto"/>
        <w:ind w:firstLine="708"/>
        <w:jc w:val="both"/>
        <w:rPr>
          <w:rFonts w:ascii="Tahoma" w:hAnsi="Tahoma" w:cs="Tahoma"/>
        </w:rPr>
      </w:pPr>
      <w:r w:rsidRPr="009F00E2">
        <w:rPr>
          <w:rFonts w:ascii="Tahoma" w:hAnsi="Tahoma" w:cs="Tahoma"/>
        </w:rPr>
        <w:t xml:space="preserve">Refieren </w:t>
      </w:r>
      <w:r w:rsidR="007C4072" w:rsidRPr="009F00E2">
        <w:rPr>
          <w:rFonts w:ascii="Tahoma" w:hAnsi="Tahoma" w:cs="Tahoma"/>
        </w:rPr>
        <w:t>que</w:t>
      </w:r>
      <w:r w:rsidR="00ED7F1E">
        <w:rPr>
          <w:rFonts w:ascii="Tahoma" w:hAnsi="Tahoma" w:cs="Tahoma"/>
        </w:rPr>
        <w:t xml:space="preserve"> su hijo al momento del fallecimiento </w:t>
      </w:r>
      <w:r w:rsidRPr="009F00E2">
        <w:rPr>
          <w:rFonts w:ascii="Tahoma" w:hAnsi="Tahoma" w:cs="Tahoma"/>
        </w:rPr>
        <w:t>se encontraba activo en la Administradora de Fondos de Pensiones y Cesantías Protección S.A, habiendo cotizado 29.43 semanas entre el 06 de junio de 2014 y el 07 de junio de 2015.</w:t>
      </w:r>
    </w:p>
    <w:p w:rsidR="007C4072" w:rsidRPr="009F00E2" w:rsidRDefault="007C4072" w:rsidP="0082771A">
      <w:pPr>
        <w:pStyle w:val="Sinespaciado"/>
      </w:pPr>
    </w:p>
    <w:p w:rsidR="007C4072" w:rsidRPr="009F00E2" w:rsidRDefault="00ED7F1E" w:rsidP="007C4072">
      <w:pPr>
        <w:widowControl w:val="0"/>
        <w:autoSpaceDE w:val="0"/>
        <w:autoSpaceDN w:val="0"/>
        <w:adjustRightInd w:val="0"/>
        <w:ind w:firstLine="708"/>
        <w:jc w:val="both"/>
        <w:rPr>
          <w:rFonts w:ascii="Tahoma" w:hAnsi="Tahoma" w:cs="Tahoma"/>
        </w:rPr>
      </w:pPr>
      <w:r>
        <w:rPr>
          <w:rFonts w:ascii="Tahoma" w:hAnsi="Tahoma" w:cs="Tahoma"/>
        </w:rPr>
        <w:t xml:space="preserve">Agregan que el causante no </w:t>
      </w:r>
      <w:r w:rsidR="00270620" w:rsidRPr="009F00E2">
        <w:rPr>
          <w:rFonts w:ascii="Tahoma" w:hAnsi="Tahoma" w:cs="Tahoma"/>
        </w:rPr>
        <w:t>procreó</w:t>
      </w:r>
      <w:r w:rsidR="00F91813" w:rsidRPr="009F00E2">
        <w:rPr>
          <w:rFonts w:ascii="Tahoma" w:hAnsi="Tahoma" w:cs="Tahoma"/>
        </w:rPr>
        <w:t xml:space="preserve"> hijos</w:t>
      </w:r>
      <w:r>
        <w:rPr>
          <w:rFonts w:ascii="Tahoma" w:hAnsi="Tahoma" w:cs="Tahoma"/>
        </w:rPr>
        <w:t>, no</w:t>
      </w:r>
      <w:r w:rsidR="00F91813" w:rsidRPr="009F00E2">
        <w:rPr>
          <w:rFonts w:ascii="Tahoma" w:hAnsi="Tahoma" w:cs="Tahoma"/>
        </w:rPr>
        <w:t xml:space="preserve"> </w:t>
      </w:r>
      <w:r w:rsidRPr="009F00E2">
        <w:rPr>
          <w:rFonts w:ascii="Tahoma" w:hAnsi="Tahoma" w:cs="Tahoma"/>
        </w:rPr>
        <w:t>tenía</w:t>
      </w:r>
      <w:r w:rsidR="00F91813" w:rsidRPr="009F00E2">
        <w:rPr>
          <w:rFonts w:ascii="Tahoma" w:hAnsi="Tahoma" w:cs="Tahoma"/>
        </w:rPr>
        <w:t xml:space="preserve"> </w:t>
      </w:r>
      <w:r w:rsidRPr="009F00E2">
        <w:rPr>
          <w:rFonts w:ascii="Tahoma" w:hAnsi="Tahoma" w:cs="Tahoma"/>
        </w:rPr>
        <w:t>vínculo</w:t>
      </w:r>
      <w:r>
        <w:rPr>
          <w:rFonts w:ascii="Tahoma" w:hAnsi="Tahoma" w:cs="Tahoma"/>
        </w:rPr>
        <w:t xml:space="preserve"> matrimonial o marital alguno; que siempre vivió con sus padres</w:t>
      </w:r>
      <w:r w:rsidR="00B85B37">
        <w:rPr>
          <w:rFonts w:ascii="Tahoma" w:hAnsi="Tahoma" w:cs="Tahoma"/>
        </w:rPr>
        <w:t>, quienes dependían económicamente de él, puesto que no cuentan con ingresos ni gozan de pensión.</w:t>
      </w:r>
    </w:p>
    <w:p w:rsidR="007C4072" w:rsidRPr="009F00E2" w:rsidRDefault="007C4072" w:rsidP="0082771A">
      <w:pPr>
        <w:pStyle w:val="Sinespaciado"/>
      </w:pPr>
    </w:p>
    <w:p w:rsidR="004A508C" w:rsidRPr="009F00E2" w:rsidRDefault="00F55194" w:rsidP="007C4072">
      <w:pPr>
        <w:widowControl w:val="0"/>
        <w:autoSpaceDE w:val="0"/>
        <w:autoSpaceDN w:val="0"/>
        <w:adjustRightInd w:val="0"/>
        <w:ind w:firstLine="708"/>
        <w:jc w:val="both"/>
        <w:rPr>
          <w:rFonts w:ascii="Tahoma" w:hAnsi="Tahoma" w:cs="Tahoma"/>
        </w:rPr>
      </w:pPr>
      <w:r w:rsidRPr="009F00E2">
        <w:rPr>
          <w:rFonts w:ascii="Tahoma" w:hAnsi="Tahoma" w:cs="Tahoma"/>
        </w:rPr>
        <w:t>Afirman</w:t>
      </w:r>
      <w:r w:rsidR="007C4072" w:rsidRPr="009F00E2">
        <w:rPr>
          <w:rFonts w:ascii="Tahoma" w:hAnsi="Tahoma" w:cs="Tahoma"/>
        </w:rPr>
        <w:t xml:space="preserve"> </w:t>
      </w:r>
      <w:r w:rsidR="00F91813" w:rsidRPr="009F00E2">
        <w:rPr>
          <w:rFonts w:ascii="Tahoma" w:hAnsi="Tahoma" w:cs="Tahoma"/>
        </w:rPr>
        <w:t>que el 5 de enero de 2016 solicitaron ante Protección S.A la pensión de sobrevivientes</w:t>
      </w:r>
      <w:r w:rsidR="00FF6C5C" w:rsidRPr="009F00E2">
        <w:rPr>
          <w:rFonts w:ascii="Tahoma" w:hAnsi="Tahoma" w:cs="Tahoma"/>
        </w:rPr>
        <w:t>,</w:t>
      </w:r>
      <w:r w:rsidR="00B85B37">
        <w:rPr>
          <w:rFonts w:ascii="Tahoma" w:hAnsi="Tahoma" w:cs="Tahoma"/>
        </w:rPr>
        <w:t xml:space="preserve"> misma que fue negada</w:t>
      </w:r>
      <w:r w:rsidR="00FF6C5C" w:rsidRPr="009F00E2">
        <w:rPr>
          <w:rFonts w:ascii="Tahoma" w:hAnsi="Tahoma" w:cs="Tahoma"/>
        </w:rPr>
        <w:t xml:space="preserve"> bajo el argumento de que</w:t>
      </w:r>
      <w:r w:rsidR="00B85B37">
        <w:rPr>
          <w:rFonts w:ascii="Tahoma" w:hAnsi="Tahoma" w:cs="Tahoma"/>
        </w:rPr>
        <w:t xml:space="preserve"> el señor JUAN CARLLOS AGUDELO DE ARCE no cumplió</w:t>
      </w:r>
      <w:r w:rsidR="00FF6C5C" w:rsidRPr="009F00E2">
        <w:rPr>
          <w:rFonts w:ascii="Tahoma" w:hAnsi="Tahoma" w:cs="Tahoma"/>
        </w:rPr>
        <w:t xml:space="preserve"> con los requisitos </w:t>
      </w:r>
      <w:r w:rsidR="00B85B37">
        <w:rPr>
          <w:rFonts w:ascii="Tahoma" w:hAnsi="Tahoma" w:cs="Tahoma"/>
        </w:rPr>
        <w:t>contenidos en</w:t>
      </w:r>
      <w:r w:rsidR="00FF6C5C" w:rsidRPr="009F00E2">
        <w:rPr>
          <w:rFonts w:ascii="Tahoma" w:hAnsi="Tahoma" w:cs="Tahoma"/>
        </w:rPr>
        <w:t xml:space="preserve"> la Ley 100 de 1993</w:t>
      </w:r>
      <w:r w:rsidR="00B85B37">
        <w:rPr>
          <w:rFonts w:ascii="Tahoma" w:hAnsi="Tahoma" w:cs="Tahoma"/>
        </w:rPr>
        <w:t>, modificada por</w:t>
      </w:r>
      <w:r w:rsidR="00FF6C5C" w:rsidRPr="009F00E2">
        <w:rPr>
          <w:rFonts w:ascii="Tahoma" w:hAnsi="Tahoma" w:cs="Tahoma"/>
        </w:rPr>
        <w:t xml:space="preserve"> la Ley 797 de 2003.</w:t>
      </w:r>
    </w:p>
    <w:p w:rsidR="00F91813" w:rsidRPr="009F00E2" w:rsidRDefault="00F91813" w:rsidP="0082771A">
      <w:pPr>
        <w:pStyle w:val="Sinespaciado"/>
      </w:pPr>
    </w:p>
    <w:p w:rsidR="00264762" w:rsidRPr="00B85B37" w:rsidRDefault="00AC7A44" w:rsidP="00B57956">
      <w:pPr>
        <w:widowControl w:val="0"/>
        <w:autoSpaceDE w:val="0"/>
        <w:autoSpaceDN w:val="0"/>
        <w:adjustRightInd w:val="0"/>
        <w:spacing w:line="276" w:lineRule="auto"/>
        <w:ind w:firstLine="708"/>
        <w:jc w:val="both"/>
        <w:rPr>
          <w:rFonts w:ascii="Tahoma" w:hAnsi="Tahoma" w:cs="Tahoma"/>
        </w:rPr>
      </w:pPr>
      <w:r w:rsidRPr="009F00E2">
        <w:rPr>
          <w:rFonts w:ascii="Tahoma" w:hAnsi="Tahoma" w:cs="Tahoma"/>
        </w:rPr>
        <w:t>Protección S.A</w:t>
      </w:r>
      <w:r w:rsidR="004B72C5" w:rsidRPr="009F00E2">
        <w:rPr>
          <w:rFonts w:ascii="Tahoma" w:hAnsi="Tahoma" w:cs="Tahoma"/>
        </w:rPr>
        <w:t xml:space="preserve"> contestó l</w:t>
      </w:r>
      <w:r w:rsidR="00732D93" w:rsidRPr="009F00E2">
        <w:rPr>
          <w:rFonts w:ascii="Tahoma" w:hAnsi="Tahoma" w:cs="Tahoma"/>
        </w:rPr>
        <w:t>a demanda aceptando como cierto</w:t>
      </w:r>
      <w:r w:rsidR="00B85B37">
        <w:rPr>
          <w:rFonts w:ascii="Tahoma" w:hAnsi="Tahoma" w:cs="Tahoma"/>
        </w:rPr>
        <w:t>s los hechos relacionados con la fecha de nacimiento del causante, su fallecimiento, el número de cotizaciones, la solicitud y correspondiente negativa pensional.</w:t>
      </w:r>
      <w:r w:rsidR="001A4E75" w:rsidRPr="009F00E2">
        <w:rPr>
          <w:rFonts w:ascii="Tahoma" w:hAnsi="Tahoma" w:cs="Tahoma"/>
        </w:rPr>
        <w:t xml:space="preserve"> Frente a los demás hechos indicó</w:t>
      </w:r>
      <w:r w:rsidR="00365DC1" w:rsidRPr="009F00E2">
        <w:rPr>
          <w:rFonts w:ascii="Tahoma" w:hAnsi="Tahoma" w:cs="Tahoma"/>
        </w:rPr>
        <w:t xml:space="preserve"> qu</w:t>
      </w:r>
      <w:r w:rsidR="00F43ABB">
        <w:rPr>
          <w:rFonts w:ascii="Tahoma" w:hAnsi="Tahoma" w:cs="Tahoma"/>
        </w:rPr>
        <w:t xml:space="preserve">e </w:t>
      </w:r>
      <w:r w:rsidR="003E7344" w:rsidRPr="009F00E2">
        <w:rPr>
          <w:rFonts w:ascii="Tahoma" w:hAnsi="Tahoma" w:cs="Tahoma"/>
        </w:rPr>
        <w:t>no</w:t>
      </w:r>
      <w:r w:rsidR="00F43ABB">
        <w:rPr>
          <w:rFonts w:ascii="Tahoma" w:hAnsi="Tahoma" w:cs="Tahoma"/>
        </w:rPr>
        <w:t xml:space="preserve"> le</w:t>
      </w:r>
      <w:r w:rsidR="003E7344" w:rsidRPr="009F00E2">
        <w:rPr>
          <w:rFonts w:ascii="Tahoma" w:hAnsi="Tahoma" w:cs="Tahoma"/>
        </w:rPr>
        <w:t xml:space="preserve"> </w:t>
      </w:r>
      <w:r w:rsidR="001A4E75" w:rsidRPr="009F00E2">
        <w:rPr>
          <w:rFonts w:ascii="Tahoma" w:hAnsi="Tahoma" w:cs="Tahoma"/>
        </w:rPr>
        <w:t>consta</w:t>
      </w:r>
      <w:r w:rsidR="00B85B37">
        <w:rPr>
          <w:rFonts w:ascii="Tahoma" w:hAnsi="Tahoma" w:cs="Tahoma"/>
        </w:rPr>
        <w:t>ban</w:t>
      </w:r>
      <w:r w:rsidR="001A4E75" w:rsidRPr="009F00E2">
        <w:rPr>
          <w:rFonts w:ascii="Tahoma" w:hAnsi="Tahoma" w:cs="Tahoma"/>
        </w:rPr>
        <w:t>.</w:t>
      </w:r>
      <w:r w:rsidR="00B85B37">
        <w:rPr>
          <w:rFonts w:ascii="Tahoma" w:hAnsi="Tahoma" w:cs="Tahoma"/>
        </w:rPr>
        <w:t xml:space="preserve"> </w:t>
      </w:r>
      <w:r w:rsidR="00264762" w:rsidRPr="009F00E2">
        <w:rPr>
          <w:rFonts w:ascii="Tahoma" w:hAnsi="Tahoma" w:cs="Tahoma"/>
        </w:rPr>
        <w:t>Seguidamente se opuso a</w:t>
      </w:r>
      <w:r w:rsidR="00FE565B">
        <w:rPr>
          <w:rFonts w:ascii="Tahoma" w:hAnsi="Tahoma" w:cs="Tahoma"/>
        </w:rPr>
        <w:t xml:space="preserve"> la totalidad de las pretensiones, </w:t>
      </w:r>
      <w:r w:rsidR="00A905A0" w:rsidRPr="009F00E2">
        <w:rPr>
          <w:rFonts w:ascii="Tahoma" w:hAnsi="Tahoma" w:cs="Tahoma"/>
        </w:rPr>
        <w:t>argumentando que el afiliado fallecido no dej</w:t>
      </w:r>
      <w:r w:rsidR="00FE565B">
        <w:rPr>
          <w:rFonts w:ascii="Tahoma" w:hAnsi="Tahoma" w:cs="Tahoma"/>
        </w:rPr>
        <w:t>ó</w:t>
      </w:r>
      <w:r w:rsidR="00A905A0" w:rsidRPr="009F00E2">
        <w:rPr>
          <w:rFonts w:ascii="Tahoma" w:hAnsi="Tahoma" w:cs="Tahoma"/>
        </w:rPr>
        <w:t xml:space="preserve"> causado el derecho</w:t>
      </w:r>
      <w:r w:rsidR="00F17CB0" w:rsidRPr="009F00E2">
        <w:rPr>
          <w:rFonts w:ascii="Tahoma" w:hAnsi="Tahoma" w:cs="Tahoma"/>
        </w:rPr>
        <w:t>,</w:t>
      </w:r>
      <w:r w:rsidR="00264762" w:rsidRPr="009F00E2">
        <w:rPr>
          <w:rFonts w:ascii="Tahoma" w:hAnsi="Tahoma" w:cs="Tahoma"/>
        </w:rPr>
        <w:t xml:space="preserve"> y</w:t>
      </w:r>
      <w:r w:rsidR="00FE565B">
        <w:rPr>
          <w:rFonts w:ascii="Tahoma" w:hAnsi="Tahoma" w:cs="Tahoma"/>
        </w:rPr>
        <w:t xml:space="preserve">, </w:t>
      </w:r>
      <w:r w:rsidR="00F17CB0" w:rsidRPr="009F00E2">
        <w:rPr>
          <w:rFonts w:ascii="Tahoma" w:hAnsi="Tahoma" w:cs="Tahoma"/>
        </w:rPr>
        <w:t xml:space="preserve"> </w:t>
      </w:r>
      <w:r w:rsidR="00264762" w:rsidRPr="009F00E2">
        <w:rPr>
          <w:rFonts w:ascii="Tahoma" w:hAnsi="Tahoma" w:cs="Tahoma"/>
        </w:rPr>
        <w:t xml:space="preserve">propuso las excepciones de mérito que denominó </w:t>
      </w:r>
      <w:r w:rsidR="00264762" w:rsidRPr="00B85B37">
        <w:rPr>
          <w:rFonts w:ascii="Tahoma" w:hAnsi="Tahoma" w:cs="Tahoma"/>
        </w:rPr>
        <w:lastRenderedPageBreak/>
        <w:t>“</w:t>
      </w:r>
      <w:r w:rsidR="00B85B37">
        <w:rPr>
          <w:rFonts w:ascii="Tahoma" w:hAnsi="Tahoma" w:cs="Tahoma"/>
        </w:rPr>
        <w:t>I</w:t>
      </w:r>
      <w:r w:rsidR="00A905A0" w:rsidRPr="00B85B37">
        <w:rPr>
          <w:rFonts w:ascii="Tahoma" w:hAnsi="Tahoma" w:cs="Tahoma"/>
        </w:rPr>
        <w:t>nexistencia del derecho reclamado”</w:t>
      </w:r>
      <w:r w:rsidR="00F17CB0" w:rsidRPr="00B85B37">
        <w:rPr>
          <w:rFonts w:ascii="Tahoma" w:hAnsi="Tahoma" w:cs="Tahoma"/>
        </w:rPr>
        <w:t>, “</w:t>
      </w:r>
      <w:r w:rsidR="00B85B37">
        <w:rPr>
          <w:rFonts w:ascii="Tahoma" w:hAnsi="Tahoma" w:cs="Tahoma"/>
        </w:rPr>
        <w:t>A</w:t>
      </w:r>
      <w:r w:rsidR="00A905A0" w:rsidRPr="00B85B37">
        <w:rPr>
          <w:rFonts w:ascii="Tahoma" w:hAnsi="Tahoma" w:cs="Tahoma"/>
        </w:rPr>
        <w:t>fectación al equilibrio financiero del sistema de seguridad social</w:t>
      </w:r>
      <w:r w:rsidR="00F17CB0" w:rsidRPr="00B85B37">
        <w:rPr>
          <w:rFonts w:ascii="Tahoma" w:hAnsi="Tahoma" w:cs="Tahoma"/>
        </w:rPr>
        <w:t>”, “</w:t>
      </w:r>
      <w:r w:rsidR="00B85B37">
        <w:rPr>
          <w:rFonts w:ascii="Tahoma" w:hAnsi="Tahoma" w:cs="Tahoma"/>
        </w:rPr>
        <w:t>B</w:t>
      </w:r>
      <w:r w:rsidR="00A905A0" w:rsidRPr="00B85B37">
        <w:rPr>
          <w:rFonts w:ascii="Tahoma" w:hAnsi="Tahoma" w:cs="Tahoma"/>
        </w:rPr>
        <w:t>uena fe</w:t>
      </w:r>
      <w:r w:rsidR="00F17CB0" w:rsidRPr="00B85B37">
        <w:rPr>
          <w:rFonts w:ascii="Tahoma" w:hAnsi="Tahoma" w:cs="Tahoma"/>
        </w:rPr>
        <w:t>”, “</w:t>
      </w:r>
      <w:r w:rsidR="00B85B37">
        <w:rPr>
          <w:rFonts w:ascii="Tahoma" w:hAnsi="Tahoma" w:cs="Tahoma"/>
        </w:rPr>
        <w:t>P</w:t>
      </w:r>
      <w:r w:rsidR="00A905A0" w:rsidRPr="00B85B37">
        <w:rPr>
          <w:rFonts w:ascii="Tahoma" w:hAnsi="Tahoma" w:cs="Tahoma"/>
        </w:rPr>
        <w:t>rescripción</w:t>
      </w:r>
      <w:r w:rsidR="00F17CB0" w:rsidRPr="00B85B37">
        <w:rPr>
          <w:rFonts w:ascii="Tahoma" w:hAnsi="Tahoma" w:cs="Tahoma"/>
        </w:rPr>
        <w:t>”, “</w:t>
      </w:r>
      <w:r w:rsidR="00B85B37">
        <w:rPr>
          <w:rFonts w:ascii="Tahoma" w:hAnsi="Tahoma" w:cs="Tahoma"/>
        </w:rPr>
        <w:t>I</w:t>
      </w:r>
      <w:r w:rsidR="00A905A0" w:rsidRPr="00B85B37">
        <w:rPr>
          <w:rFonts w:ascii="Tahoma" w:hAnsi="Tahoma" w:cs="Tahoma"/>
        </w:rPr>
        <w:t>nexistencia de la obligación de pagar intereses o indexaciones”</w:t>
      </w:r>
      <w:r w:rsidR="00B85B37">
        <w:rPr>
          <w:rFonts w:ascii="Tahoma" w:hAnsi="Tahoma" w:cs="Tahoma"/>
        </w:rPr>
        <w:t xml:space="preserve"> y la</w:t>
      </w:r>
      <w:r w:rsidR="00F17CB0" w:rsidRPr="00B85B37">
        <w:rPr>
          <w:rFonts w:ascii="Tahoma" w:hAnsi="Tahoma" w:cs="Tahoma"/>
        </w:rPr>
        <w:t xml:space="preserve"> “</w:t>
      </w:r>
      <w:r w:rsidR="00A905A0" w:rsidRPr="00B85B37">
        <w:rPr>
          <w:rFonts w:ascii="Tahoma" w:hAnsi="Tahoma" w:cs="Tahoma"/>
        </w:rPr>
        <w:t>innominada o genérica”</w:t>
      </w:r>
      <w:r w:rsidR="00264762" w:rsidRPr="00B85B37">
        <w:rPr>
          <w:rFonts w:ascii="Tahoma" w:hAnsi="Tahoma" w:cs="Tahoma"/>
        </w:rPr>
        <w:t>.</w:t>
      </w:r>
    </w:p>
    <w:p w:rsidR="00644D88" w:rsidRPr="00607AC0" w:rsidRDefault="00644D88" w:rsidP="00607AC0">
      <w:pPr>
        <w:pStyle w:val="Sinespaciado"/>
      </w:pPr>
    </w:p>
    <w:p w:rsidR="003A3BBB" w:rsidRPr="009F00E2"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9F00E2">
        <w:rPr>
          <w:rFonts w:ascii="Tahoma" w:hAnsi="Tahoma" w:cs="Tahoma"/>
          <w:b/>
        </w:rPr>
        <w:t>La sentencia de primera instancia</w:t>
      </w:r>
    </w:p>
    <w:p w:rsidR="003A3BBB" w:rsidRPr="0082771A" w:rsidRDefault="003A3BBB" w:rsidP="0082771A">
      <w:pPr>
        <w:pStyle w:val="Sinespaciado"/>
      </w:pPr>
    </w:p>
    <w:p w:rsidR="008853CB" w:rsidRPr="009F00E2" w:rsidRDefault="00DD1394" w:rsidP="00A37B03">
      <w:pPr>
        <w:widowControl w:val="0"/>
        <w:autoSpaceDE w:val="0"/>
        <w:autoSpaceDN w:val="0"/>
        <w:adjustRightInd w:val="0"/>
        <w:spacing w:line="276" w:lineRule="auto"/>
        <w:ind w:firstLine="708"/>
        <w:jc w:val="both"/>
        <w:rPr>
          <w:rFonts w:ascii="Tahoma" w:hAnsi="Tahoma" w:cs="Tahoma"/>
        </w:rPr>
      </w:pPr>
      <w:r w:rsidRPr="009F00E2">
        <w:rPr>
          <w:rFonts w:ascii="Tahoma" w:hAnsi="Tahoma" w:cs="Tahoma"/>
        </w:rPr>
        <w:t>La Jueza de conocimiento</w:t>
      </w:r>
      <w:r w:rsidR="00533FD9" w:rsidRPr="009F00E2">
        <w:rPr>
          <w:rFonts w:ascii="Tahoma" w:hAnsi="Tahoma" w:cs="Tahoma"/>
        </w:rPr>
        <w:t xml:space="preserve"> </w:t>
      </w:r>
      <w:r w:rsidR="007966A0" w:rsidRPr="009F00E2">
        <w:rPr>
          <w:rFonts w:ascii="Tahoma" w:hAnsi="Tahoma" w:cs="Tahoma"/>
        </w:rPr>
        <w:t xml:space="preserve">declaró </w:t>
      </w:r>
      <w:r w:rsidR="00A37B03" w:rsidRPr="009F00E2">
        <w:rPr>
          <w:rFonts w:ascii="Tahoma" w:hAnsi="Tahoma" w:cs="Tahoma"/>
        </w:rPr>
        <w:t xml:space="preserve">probada la excepción de </w:t>
      </w:r>
      <w:r w:rsidR="00A37B03" w:rsidRPr="006045D6">
        <w:rPr>
          <w:rFonts w:ascii="Tahoma" w:hAnsi="Tahoma" w:cs="Tahoma"/>
        </w:rPr>
        <w:t>“</w:t>
      </w:r>
      <w:r w:rsidR="006045D6">
        <w:rPr>
          <w:rFonts w:ascii="Tahoma" w:hAnsi="Tahoma" w:cs="Tahoma"/>
        </w:rPr>
        <w:t>I</w:t>
      </w:r>
      <w:r w:rsidR="00A37B03" w:rsidRPr="006045D6">
        <w:rPr>
          <w:rFonts w:ascii="Tahoma" w:hAnsi="Tahoma" w:cs="Tahoma"/>
        </w:rPr>
        <w:t xml:space="preserve">nexistencia del derecho reclamado” </w:t>
      </w:r>
      <w:r w:rsidR="00A37B03" w:rsidRPr="009F00E2">
        <w:rPr>
          <w:rFonts w:ascii="Tahoma" w:hAnsi="Tahoma" w:cs="Tahoma"/>
        </w:rPr>
        <w:t xml:space="preserve">propuesta por </w:t>
      </w:r>
      <w:r w:rsidR="006045D6">
        <w:rPr>
          <w:rFonts w:ascii="Tahoma" w:hAnsi="Tahoma" w:cs="Tahoma"/>
        </w:rPr>
        <w:t>Protección S.A.</w:t>
      </w:r>
      <w:r w:rsidR="00A37B03" w:rsidRPr="009F00E2">
        <w:rPr>
          <w:rFonts w:ascii="Tahoma" w:hAnsi="Tahoma" w:cs="Tahoma"/>
        </w:rPr>
        <w:t>, y en consecuencia</w:t>
      </w:r>
      <w:r w:rsidR="006045D6">
        <w:rPr>
          <w:rFonts w:ascii="Tahoma" w:hAnsi="Tahoma" w:cs="Tahoma"/>
        </w:rPr>
        <w:t>,</w:t>
      </w:r>
      <w:r w:rsidR="00A37B03" w:rsidRPr="009F00E2">
        <w:rPr>
          <w:rFonts w:ascii="Tahoma" w:hAnsi="Tahoma" w:cs="Tahoma"/>
        </w:rPr>
        <w:t xml:space="preserve"> negó las pretensiones de los demandantes, a los cuales condenó en costas </w:t>
      </w:r>
      <w:r w:rsidR="001D2C29" w:rsidRPr="009F00E2">
        <w:rPr>
          <w:rFonts w:ascii="Tahoma" w:hAnsi="Tahoma" w:cs="Tahoma"/>
        </w:rPr>
        <w:t>en un 70%.</w:t>
      </w:r>
    </w:p>
    <w:p w:rsidR="00A37B03" w:rsidRPr="0082771A" w:rsidRDefault="00A37B03" w:rsidP="0082771A">
      <w:pPr>
        <w:pStyle w:val="Sinespaciado"/>
      </w:pPr>
    </w:p>
    <w:p w:rsidR="006B1827" w:rsidRDefault="008853CB" w:rsidP="00D41096">
      <w:pPr>
        <w:widowControl w:val="0"/>
        <w:autoSpaceDE w:val="0"/>
        <w:autoSpaceDN w:val="0"/>
        <w:adjustRightInd w:val="0"/>
        <w:spacing w:line="276" w:lineRule="auto"/>
        <w:ind w:firstLine="708"/>
        <w:jc w:val="both"/>
        <w:rPr>
          <w:rFonts w:ascii="Tahoma" w:hAnsi="Tahoma" w:cs="Tahoma"/>
        </w:rPr>
      </w:pPr>
      <w:r w:rsidRPr="009F00E2">
        <w:rPr>
          <w:rFonts w:ascii="Tahoma" w:hAnsi="Tahoma" w:cs="Tahoma"/>
        </w:rPr>
        <w:t xml:space="preserve">Para llegar a tal determinación la A quo </w:t>
      </w:r>
      <w:r w:rsidR="00D41096">
        <w:rPr>
          <w:rFonts w:ascii="Tahoma" w:hAnsi="Tahoma" w:cs="Tahoma"/>
        </w:rPr>
        <w:t>consideró</w:t>
      </w:r>
      <w:r w:rsidRPr="009F00E2">
        <w:rPr>
          <w:rFonts w:ascii="Tahoma" w:hAnsi="Tahoma" w:cs="Tahoma"/>
        </w:rPr>
        <w:t xml:space="preserve">, en síntesis, que </w:t>
      </w:r>
      <w:r w:rsidR="00E07FD8" w:rsidRPr="009F00E2">
        <w:rPr>
          <w:rFonts w:ascii="Tahoma" w:hAnsi="Tahoma" w:cs="Tahoma"/>
        </w:rPr>
        <w:t>el causante</w:t>
      </w:r>
      <w:r w:rsidR="00D41096">
        <w:rPr>
          <w:rFonts w:ascii="Tahoma" w:hAnsi="Tahoma" w:cs="Tahoma"/>
        </w:rPr>
        <w:t>, al cotizar</w:t>
      </w:r>
      <w:r w:rsidR="00D41096" w:rsidRPr="009F00E2">
        <w:rPr>
          <w:rFonts w:ascii="Tahoma" w:hAnsi="Tahoma" w:cs="Tahoma"/>
        </w:rPr>
        <w:t xml:space="preserve"> solo 29.43 semanas</w:t>
      </w:r>
      <w:r w:rsidR="00D41096">
        <w:rPr>
          <w:rFonts w:ascii="Tahoma" w:hAnsi="Tahoma" w:cs="Tahoma"/>
        </w:rPr>
        <w:t xml:space="preserve">, </w:t>
      </w:r>
      <w:r w:rsidR="00E07FD8" w:rsidRPr="009F00E2">
        <w:rPr>
          <w:rFonts w:ascii="Tahoma" w:hAnsi="Tahoma" w:cs="Tahoma"/>
        </w:rPr>
        <w:t xml:space="preserve">no cumplió con la densidad de semanas </w:t>
      </w:r>
      <w:r w:rsidR="00D41096">
        <w:rPr>
          <w:rFonts w:ascii="Tahoma" w:hAnsi="Tahoma" w:cs="Tahoma"/>
        </w:rPr>
        <w:t xml:space="preserve">exigidas en </w:t>
      </w:r>
      <w:r w:rsidR="00607AC0">
        <w:rPr>
          <w:rFonts w:ascii="Tahoma" w:hAnsi="Tahoma" w:cs="Tahoma"/>
        </w:rPr>
        <w:t>la ley 797 de 2003 y que no</w:t>
      </w:r>
      <w:r w:rsidR="00D41096">
        <w:rPr>
          <w:rFonts w:ascii="Tahoma" w:hAnsi="Tahoma" w:cs="Tahoma"/>
        </w:rPr>
        <w:t xml:space="preserve"> </w:t>
      </w:r>
      <w:r w:rsidR="00E07FD8" w:rsidRPr="009F00E2">
        <w:rPr>
          <w:rFonts w:ascii="Tahoma" w:hAnsi="Tahoma" w:cs="Tahoma"/>
        </w:rPr>
        <w:t>es posible</w:t>
      </w:r>
      <w:r w:rsidR="00317845" w:rsidRPr="009F00E2">
        <w:rPr>
          <w:rFonts w:ascii="Tahoma" w:hAnsi="Tahoma" w:cs="Tahoma"/>
        </w:rPr>
        <w:t xml:space="preserve"> conceder la gracia pensional bajo los</w:t>
      </w:r>
      <w:r w:rsidR="008A7A62" w:rsidRPr="009F00E2">
        <w:rPr>
          <w:rFonts w:ascii="Tahoma" w:hAnsi="Tahoma" w:cs="Tahoma"/>
        </w:rPr>
        <w:t xml:space="preserve"> requisitos</w:t>
      </w:r>
      <w:r w:rsidR="00040B1B" w:rsidRPr="009F00E2">
        <w:rPr>
          <w:rFonts w:ascii="Tahoma" w:hAnsi="Tahoma" w:cs="Tahoma"/>
        </w:rPr>
        <w:t xml:space="preserve"> de la Ley 100 de 1993,</w:t>
      </w:r>
      <w:r w:rsidR="007F1F59">
        <w:rPr>
          <w:rFonts w:ascii="Tahoma" w:hAnsi="Tahoma" w:cs="Tahoma"/>
        </w:rPr>
        <w:t xml:space="preserve"> en virtud</w:t>
      </w:r>
      <w:r w:rsidR="007F1F59" w:rsidRPr="007F1F59">
        <w:rPr>
          <w:rFonts w:ascii="Tahoma" w:hAnsi="Tahoma" w:cs="Tahoma"/>
        </w:rPr>
        <w:t xml:space="preserve"> de la condición más beneficiosa</w:t>
      </w:r>
      <w:r w:rsidR="007F1F59">
        <w:rPr>
          <w:rFonts w:ascii="Tahoma" w:hAnsi="Tahoma" w:cs="Tahoma"/>
        </w:rPr>
        <w:t>,</w:t>
      </w:r>
      <w:r w:rsidR="00040B1B" w:rsidRPr="009F00E2">
        <w:rPr>
          <w:rFonts w:ascii="Tahoma" w:hAnsi="Tahoma" w:cs="Tahoma"/>
        </w:rPr>
        <w:t xml:space="preserve"> dado que </w:t>
      </w:r>
      <w:r w:rsidR="00E07FD8" w:rsidRPr="009F00E2">
        <w:rPr>
          <w:rFonts w:ascii="Tahoma" w:hAnsi="Tahoma" w:cs="Tahoma"/>
        </w:rPr>
        <w:t>la Corte Suprema de Justicia limitó temporalmente la aplicación de dicho principio a las muertes acaecida</w:t>
      </w:r>
      <w:r w:rsidR="007F1F59">
        <w:rPr>
          <w:rFonts w:ascii="Tahoma" w:hAnsi="Tahoma" w:cs="Tahoma"/>
        </w:rPr>
        <w:t>s</w:t>
      </w:r>
      <w:r w:rsidR="00E07FD8" w:rsidRPr="009F00E2">
        <w:rPr>
          <w:rFonts w:ascii="Tahoma" w:hAnsi="Tahoma" w:cs="Tahoma"/>
        </w:rPr>
        <w:t xml:space="preserve"> entre el 29 de enero de 2003 y el 29 de enero de 2006, además de que </w:t>
      </w:r>
      <w:r w:rsidR="00040B1B" w:rsidRPr="009F00E2">
        <w:rPr>
          <w:rFonts w:ascii="Tahoma" w:hAnsi="Tahoma" w:cs="Tahoma"/>
        </w:rPr>
        <w:t xml:space="preserve">el </w:t>
      </w:r>
      <w:r w:rsidR="007F1F59">
        <w:rPr>
          <w:rFonts w:ascii="Tahoma" w:hAnsi="Tahoma" w:cs="Tahoma"/>
        </w:rPr>
        <w:t>causante</w:t>
      </w:r>
      <w:r w:rsidR="00040B1B" w:rsidRPr="009F00E2">
        <w:rPr>
          <w:rFonts w:ascii="Tahoma" w:hAnsi="Tahoma" w:cs="Tahoma"/>
        </w:rPr>
        <w:t xml:space="preserve"> no realizó cotizaciones dur</w:t>
      </w:r>
      <w:r w:rsidR="004C4CF9" w:rsidRPr="009F00E2">
        <w:rPr>
          <w:rFonts w:ascii="Tahoma" w:hAnsi="Tahoma" w:cs="Tahoma"/>
        </w:rPr>
        <w:t>ante la vigencia de</w:t>
      </w:r>
      <w:r w:rsidR="00E07FD8" w:rsidRPr="009F00E2">
        <w:rPr>
          <w:rFonts w:ascii="Tahoma" w:hAnsi="Tahoma" w:cs="Tahoma"/>
        </w:rPr>
        <w:t xml:space="preserve"> la ley 100 de 1993 en su versión original</w:t>
      </w:r>
      <w:r w:rsidR="0070284B" w:rsidRPr="009F00E2">
        <w:rPr>
          <w:rFonts w:ascii="Tahoma" w:hAnsi="Tahoma" w:cs="Tahoma"/>
        </w:rPr>
        <w:t>.</w:t>
      </w:r>
    </w:p>
    <w:p w:rsidR="007F1F59" w:rsidRPr="009F00E2" w:rsidRDefault="007F1F59" w:rsidP="0082771A">
      <w:pPr>
        <w:pStyle w:val="Sinespaciado"/>
      </w:pPr>
    </w:p>
    <w:p w:rsidR="003274A7" w:rsidRPr="009F00E2" w:rsidRDefault="00996C36" w:rsidP="00B34AC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9F00E2">
        <w:rPr>
          <w:rFonts w:ascii="Tahoma" w:hAnsi="Tahoma" w:cs="Tahoma"/>
          <w:b/>
        </w:rPr>
        <w:t>Recurso de apelación</w:t>
      </w:r>
    </w:p>
    <w:p w:rsidR="000222F2" w:rsidRPr="009F00E2" w:rsidRDefault="00922FC4" w:rsidP="0082771A">
      <w:pPr>
        <w:pStyle w:val="Sinespaciado"/>
      </w:pPr>
      <w:r w:rsidRPr="009F00E2">
        <w:t xml:space="preserve"> </w:t>
      </w:r>
    </w:p>
    <w:p w:rsidR="00037164" w:rsidRPr="009F00E2" w:rsidRDefault="00996C36" w:rsidP="00104F3B">
      <w:pPr>
        <w:spacing w:line="276" w:lineRule="auto"/>
        <w:ind w:firstLine="708"/>
        <w:jc w:val="both"/>
        <w:rPr>
          <w:rFonts w:ascii="Tahoma" w:hAnsi="Tahoma" w:cs="Tahoma"/>
        </w:rPr>
      </w:pPr>
      <w:r w:rsidRPr="009F00E2">
        <w:rPr>
          <w:rFonts w:ascii="Tahoma" w:hAnsi="Tahoma" w:cs="Tahoma"/>
        </w:rPr>
        <w:t>El apoderado judicial de</w:t>
      </w:r>
      <w:r w:rsidR="00113AF1" w:rsidRPr="009F00E2">
        <w:rPr>
          <w:rFonts w:ascii="Tahoma" w:hAnsi="Tahoma" w:cs="Tahoma"/>
        </w:rPr>
        <w:t xml:space="preserve"> </w:t>
      </w:r>
      <w:r w:rsidRPr="009F00E2">
        <w:rPr>
          <w:rFonts w:ascii="Tahoma" w:hAnsi="Tahoma" w:cs="Tahoma"/>
        </w:rPr>
        <w:t>l</w:t>
      </w:r>
      <w:r w:rsidR="00113AF1" w:rsidRPr="009F00E2">
        <w:rPr>
          <w:rFonts w:ascii="Tahoma" w:hAnsi="Tahoma" w:cs="Tahoma"/>
        </w:rPr>
        <w:t>os</w:t>
      </w:r>
      <w:r w:rsidRPr="009F00E2">
        <w:rPr>
          <w:rFonts w:ascii="Tahoma" w:hAnsi="Tahoma" w:cs="Tahoma"/>
        </w:rPr>
        <w:t xml:space="preserve"> demandante</w:t>
      </w:r>
      <w:r w:rsidR="00113AF1" w:rsidRPr="009F00E2">
        <w:rPr>
          <w:rFonts w:ascii="Tahoma" w:hAnsi="Tahoma" w:cs="Tahoma"/>
        </w:rPr>
        <w:t>s</w:t>
      </w:r>
      <w:r w:rsidRPr="009F00E2">
        <w:rPr>
          <w:rFonts w:ascii="Tahoma" w:hAnsi="Tahoma" w:cs="Tahoma"/>
        </w:rPr>
        <w:t xml:space="preserve"> apeló la decisión arguyendo que </w:t>
      </w:r>
      <w:r w:rsidR="00113AF1" w:rsidRPr="009F00E2">
        <w:rPr>
          <w:rFonts w:ascii="Tahoma" w:hAnsi="Tahoma" w:cs="Tahoma"/>
        </w:rPr>
        <w:t xml:space="preserve">si bien el señor Juan Carlos Agudelo de Arce no realizó cotizaciones </w:t>
      </w:r>
      <w:r w:rsidR="007F1F59">
        <w:rPr>
          <w:rFonts w:ascii="Tahoma" w:hAnsi="Tahoma" w:cs="Tahoma"/>
        </w:rPr>
        <w:t>antes de</w:t>
      </w:r>
      <w:r w:rsidR="00113AF1" w:rsidRPr="009F00E2">
        <w:rPr>
          <w:rFonts w:ascii="Tahoma" w:hAnsi="Tahoma" w:cs="Tahoma"/>
        </w:rPr>
        <w:t xml:space="preserve"> la entrada en vigencia de </w:t>
      </w:r>
      <w:r w:rsidR="007F1F59">
        <w:rPr>
          <w:rFonts w:ascii="Tahoma" w:hAnsi="Tahoma" w:cs="Tahoma"/>
        </w:rPr>
        <w:t>las modificaciones de ley 797 de 2003,</w:t>
      </w:r>
      <w:r w:rsidR="00113AF1" w:rsidRPr="009F00E2">
        <w:rPr>
          <w:rFonts w:ascii="Tahoma" w:hAnsi="Tahoma" w:cs="Tahoma"/>
        </w:rPr>
        <w:t xml:space="preserve"> </w:t>
      </w:r>
      <w:r w:rsidR="007F1F59">
        <w:rPr>
          <w:rFonts w:ascii="Tahoma" w:hAnsi="Tahoma" w:cs="Tahoma"/>
        </w:rPr>
        <w:t xml:space="preserve">al momento de su fallecimiento se </w:t>
      </w:r>
      <w:r w:rsidR="00113AF1" w:rsidRPr="009F00E2">
        <w:rPr>
          <w:rFonts w:ascii="Tahoma" w:hAnsi="Tahoma" w:cs="Tahoma"/>
        </w:rPr>
        <w:t xml:space="preserve">encontraba </w:t>
      </w:r>
      <w:r w:rsidR="007F1F59">
        <w:rPr>
          <w:rFonts w:ascii="Tahoma" w:hAnsi="Tahoma" w:cs="Tahoma"/>
        </w:rPr>
        <w:t>cotizando activamente a</w:t>
      </w:r>
      <w:r w:rsidR="00113AF1" w:rsidRPr="009F00E2">
        <w:rPr>
          <w:rFonts w:ascii="Tahoma" w:hAnsi="Tahoma" w:cs="Tahoma"/>
        </w:rPr>
        <w:t xml:space="preserve">l </w:t>
      </w:r>
      <w:r w:rsidR="00104F3B" w:rsidRPr="009F00E2">
        <w:rPr>
          <w:rFonts w:ascii="Tahoma" w:hAnsi="Tahoma" w:cs="Tahoma"/>
        </w:rPr>
        <w:t xml:space="preserve">sistema de seguridad social, </w:t>
      </w:r>
      <w:r w:rsidR="007F1F59">
        <w:rPr>
          <w:rFonts w:ascii="Tahoma" w:hAnsi="Tahoma" w:cs="Tahoma"/>
        </w:rPr>
        <w:t>con un total de</w:t>
      </w:r>
      <w:r w:rsidR="00113AF1" w:rsidRPr="009F00E2">
        <w:rPr>
          <w:rFonts w:ascii="Tahoma" w:hAnsi="Tahoma" w:cs="Tahoma"/>
        </w:rPr>
        <w:t xml:space="preserve"> 29.43 semanas</w:t>
      </w:r>
      <w:r w:rsidR="007F1F59">
        <w:rPr>
          <w:rFonts w:ascii="Tahoma" w:hAnsi="Tahoma" w:cs="Tahoma"/>
        </w:rPr>
        <w:t xml:space="preserve"> cotizadas</w:t>
      </w:r>
      <w:r w:rsidR="00113AF1" w:rsidRPr="009F00E2">
        <w:rPr>
          <w:rFonts w:ascii="Tahoma" w:hAnsi="Tahoma" w:cs="Tahoma"/>
        </w:rPr>
        <w:t xml:space="preserve"> en el año anterior </w:t>
      </w:r>
      <w:r w:rsidR="007F1F59">
        <w:rPr>
          <w:rFonts w:ascii="Tahoma" w:hAnsi="Tahoma" w:cs="Tahoma"/>
        </w:rPr>
        <w:t>al deceso</w:t>
      </w:r>
      <w:r w:rsidR="00104F3B" w:rsidRPr="009F00E2">
        <w:rPr>
          <w:rFonts w:ascii="Tahoma" w:hAnsi="Tahoma" w:cs="Tahoma"/>
        </w:rPr>
        <w:t>,</w:t>
      </w:r>
      <w:r w:rsidR="00113AF1" w:rsidRPr="009F00E2">
        <w:rPr>
          <w:rFonts w:ascii="Tahoma" w:hAnsi="Tahoma" w:cs="Tahoma"/>
        </w:rPr>
        <w:t xml:space="preserve"> por lo que es </w:t>
      </w:r>
      <w:r w:rsidR="00104F3B" w:rsidRPr="009F00E2">
        <w:rPr>
          <w:rFonts w:ascii="Tahoma" w:hAnsi="Tahoma" w:cs="Tahoma"/>
        </w:rPr>
        <w:t>viable que el operador judicial</w:t>
      </w:r>
      <w:r w:rsidR="007F1F59">
        <w:rPr>
          <w:rFonts w:ascii="Tahoma" w:hAnsi="Tahoma" w:cs="Tahoma"/>
        </w:rPr>
        <w:t>,</w:t>
      </w:r>
      <w:r w:rsidR="00113AF1" w:rsidRPr="009F00E2">
        <w:rPr>
          <w:rFonts w:ascii="Tahoma" w:hAnsi="Tahoma" w:cs="Tahoma"/>
        </w:rPr>
        <w:t xml:space="preserve"> en virtud del principio de la condición</w:t>
      </w:r>
      <w:r w:rsidR="00104F3B" w:rsidRPr="009F00E2">
        <w:rPr>
          <w:rFonts w:ascii="Tahoma" w:hAnsi="Tahoma" w:cs="Tahoma"/>
        </w:rPr>
        <w:t xml:space="preserve"> más beneficiosa</w:t>
      </w:r>
      <w:r w:rsidR="007F1F59">
        <w:rPr>
          <w:rFonts w:ascii="Tahoma" w:hAnsi="Tahoma" w:cs="Tahoma"/>
        </w:rPr>
        <w:t xml:space="preserve">, </w:t>
      </w:r>
      <w:r w:rsidR="00113AF1" w:rsidRPr="009F00E2">
        <w:rPr>
          <w:rFonts w:ascii="Tahoma" w:hAnsi="Tahoma" w:cs="Tahoma"/>
        </w:rPr>
        <w:t>aplique el requisito de las 26 semanas</w:t>
      </w:r>
      <w:r w:rsidR="007F1F59">
        <w:rPr>
          <w:rFonts w:ascii="Tahoma" w:hAnsi="Tahoma" w:cs="Tahoma"/>
        </w:rPr>
        <w:t xml:space="preserve"> contenido en la ley 100 original</w:t>
      </w:r>
      <w:r w:rsidR="00113AF1" w:rsidRPr="009F00E2">
        <w:rPr>
          <w:rFonts w:ascii="Tahoma" w:hAnsi="Tahoma" w:cs="Tahoma"/>
        </w:rPr>
        <w:t xml:space="preserve">, </w:t>
      </w:r>
      <w:r w:rsidR="007F1F59" w:rsidRPr="009F00E2">
        <w:rPr>
          <w:rFonts w:ascii="Tahoma" w:hAnsi="Tahoma" w:cs="Tahoma"/>
        </w:rPr>
        <w:t>aún</w:t>
      </w:r>
      <w:r w:rsidR="00113AF1" w:rsidRPr="009F00E2">
        <w:rPr>
          <w:rFonts w:ascii="Tahoma" w:hAnsi="Tahoma" w:cs="Tahoma"/>
        </w:rPr>
        <w:t xml:space="preserve"> más cuando </w:t>
      </w:r>
      <w:r w:rsidR="007F1F59">
        <w:rPr>
          <w:rFonts w:ascii="Tahoma" w:hAnsi="Tahoma" w:cs="Tahoma"/>
        </w:rPr>
        <w:t xml:space="preserve">debe tenerse en cuenta que </w:t>
      </w:r>
      <w:r w:rsidR="00113AF1" w:rsidRPr="009F00E2">
        <w:rPr>
          <w:rFonts w:ascii="Tahoma" w:hAnsi="Tahoma" w:cs="Tahoma"/>
        </w:rPr>
        <w:t xml:space="preserve">el </w:t>
      </w:r>
      <w:r w:rsidR="007F1F59">
        <w:rPr>
          <w:rFonts w:ascii="Tahoma" w:hAnsi="Tahoma" w:cs="Tahoma"/>
        </w:rPr>
        <w:t>señor Agudelo de Arce era</w:t>
      </w:r>
      <w:r w:rsidR="00113AF1" w:rsidRPr="009F00E2">
        <w:rPr>
          <w:rFonts w:ascii="Tahoma" w:hAnsi="Tahoma" w:cs="Tahoma"/>
        </w:rPr>
        <w:t xml:space="preserve"> una persona joven, de acuerdo con la Ley 375 de 1997</w:t>
      </w:r>
      <w:r w:rsidR="007F1F59">
        <w:rPr>
          <w:rFonts w:ascii="Tahoma" w:hAnsi="Tahoma" w:cs="Tahoma"/>
        </w:rPr>
        <w:t>.</w:t>
      </w:r>
    </w:p>
    <w:p w:rsidR="00037164" w:rsidRPr="009F00E2" w:rsidRDefault="00037164" w:rsidP="0082771A">
      <w:pPr>
        <w:pStyle w:val="Sinespaciado"/>
      </w:pPr>
    </w:p>
    <w:p w:rsidR="003A3BBB" w:rsidRPr="009F00E2" w:rsidRDefault="003A3BBB" w:rsidP="00B34ACF">
      <w:pPr>
        <w:widowControl w:val="0"/>
        <w:numPr>
          <w:ilvl w:val="0"/>
          <w:numId w:val="8"/>
        </w:numPr>
        <w:autoSpaceDE w:val="0"/>
        <w:autoSpaceDN w:val="0"/>
        <w:adjustRightInd w:val="0"/>
        <w:spacing w:line="276" w:lineRule="auto"/>
        <w:ind w:hanging="519"/>
        <w:jc w:val="center"/>
        <w:rPr>
          <w:rFonts w:ascii="Tahoma" w:hAnsi="Tahoma" w:cs="Tahoma"/>
          <w:b/>
        </w:rPr>
      </w:pPr>
      <w:r w:rsidRPr="009F00E2">
        <w:rPr>
          <w:rFonts w:ascii="Tahoma" w:hAnsi="Tahoma" w:cs="Tahoma"/>
          <w:b/>
        </w:rPr>
        <w:t>Consideraciones</w:t>
      </w:r>
    </w:p>
    <w:p w:rsidR="00C627C0" w:rsidRPr="0082771A" w:rsidRDefault="00C627C0" w:rsidP="0082771A">
      <w:pPr>
        <w:pStyle w:val="Sinespaciado"/>
      </w:pPr>
    </w:p>
    <w:p w:rsidR="00692676" w:rsidRPr="005C25C2" w:rsidRDefault="00692676" w:rsidP="005C25C2">
      <w:pPr>
        <w:widowControl w:val="0"/>
        <w:autoSpaceDE w:val="0"/>
        <w:autoSpaceDN w:val="0"/>
        <w:adjustRightInd w:val="0"/>
        <w:spacing w:line="276" w:lineRule="auto"/>
        <w:rPr>
          <w:rFonts w:ascii="Tahoma" w:hAnsi="Tahoma" w:cs="Tahoma"/>
          <w:b/>
        </w:rPr>
      </w:pPr>
      <w:r w:rsidRPr="005C25C2">
        <w:rPr>
          <w:rFonts w:ascii="Tahoma" w:hAnsi="Tahoma" w:cs="Tahoma"/>
          <w:b/>
        </w:rPr>
        <w:t>4.1 Presupuestos fácticos probados </w:t>
      </w:r>
    </w:p>
    <w:p w:rsidR="00692676" w:rsidRPr="009F00E2" w:rsidRDefault="00692676" w:rsidP="0082771A">
      <w:pPr>
        <w:pStyle w:val="Sinespaciado"/>
        <w:rPr>
          <w:lang w:val="es-CO"/>
        </w:rPr>
      </w:pPr>
    </w:p>
    <w:p w:rsidR="00692676" w:rsidRPr="009F00E2" w:rsidRDefault="00692676" w:rsidP="00054F57">
      <w:pPr>
        <w:spacing w:line="276" w:lineRule="auto"/>
        <w:ind w:firstLine="360"/>
        <w:jc w:val="both"/>
        <w:rPr>
          <w:rFonts w:ascii="Tahoma" w:hAnsi="Tahoma" w:cs="Tahoma"/>
          <w:lang w:val="es-CO"/>
        </w:rPr>
      </w:pPr>
      <w:r w:rsidRPr="009F00E2">
        <w:rPr>
          <w:rFonts w:ascii="Tahoma" w:hAnsi="Tahoma" w:cs="Tahoma"/>
          <w:lang w:val="es-CO"/>
        </w:rPr>
        <w:t>No existe discusión en el presente asunto respecto de</w:t>
      </w:r>
      <w:r w:rsidR="00F71BD4" w:rsidRPr="009F00E2">
        <w:rPr>
          <w:rFonts w:ascii="Tahoma" w:hAnsi="Tahoma" w:cs="Tahoma"/>
          <w:lang w:val="es-CO"/>
        </w:rPr>
        <w:t xml:space="preserve"> los siguientes hechos: i) que </w:t>
      </w:r>
      <w:r w:rsidRPr="009F00E2">
        <w:rPr>
          <w:rFonts w:ascii="Tahoma" w:hAnsi="Tahoma" w:cs="Tahoma"/>
          <w:lang w:val="es-CO"/>
        </w:rPr>
        <w:t>l</w:t>
      </w:r>
      <w:r w:rsidR="00F71BD4" w:rsidRPr="009F00E2">
        <w:rPr>
          <w:rFonts w:ascii="Tahoma" w:hAnsi="Tahoma" w:cs="Tahoma"/>
          <w:lang w:val="es-CO"/>
        </w:rPr>
        <w:t>os</w:t>
      </w:r>
      <w:r w:rsidRPr="009F00E2">
        <w:rPr>
          <w:rFonts w:ascii="Tahoma" w:hAnsi="Tahoma" w:cs="Tahoma"/>
          <w:lang w:val="es-CO"/>
        </w:rPr>
        <w:t xml:space="preserve"> demandante</w:t>
      </w:r>
      <w:r w:rsidR="00F71BD4" w:rsidRPr="009F00E2">
        <w:rPr>
          <w:rFonts w:ascii="Tahoma" w:hAnsi="Tahoma" w:cs="Tahoma"/>
          <w:lang w:val="es-CO"/>
        </w:rPr>
        <w:t xml:space="preserve">s </w:t>
      </w:r>
      <w:r w:rsidRPr="009F00E2">
        <w:rPr>
          <w:rFonts w:ascii="Tahoma" w:hAnsi="Tahoma" w:cs="Tahoma"/>
          <w:lang w:val="es-CO"/>
        </w:rPr>
        <w:t>s</w:t>
      </w:r>
      <w:r w:rsidR="00F71BD4" w:rsidRPr="009F00E2">
        <w:rPr>
          <w:rFonts w:ascii="Tahoma" w:hAnsi="Tahoma" w:cs="Tahoma"/>
          <w:lang w:val="es-CO"/>
        </w:rPr>
        <w:t>on</w:t>
      </w:r>
      <w:r w:rsidRPr="009F00E2">
        <w:rPr>
          <w:rFonts w:ascii="Tahoma" w:hAnsi="Tahoma" w:cs="Tahoma"/>
          <w:lang w:val="es-CO"/>
        </w:rPr>
        <w:t xml:space="preserve"> padre</w:t>
      </w:r>
      <w:r w:rsidR="00F71BD4" w:rsidRPr="009F00E2">
        <w:rPr>
          <w:rFonts w:ascii="Tahoma" w:hAnsi="Tahoma" w:cs="Tahoma"/>
          <w:lang w:val="es-CO"/>
        </w:rPr>
        <w:t>s</w:t>
      </w:r>
      <w:r w:rsidRPr="009F00E2">
        <w:rPr>
          <w:rFonts w:ascii="Tahoma" w:hAnsi="Tahoma" w:cs="Tahoma"/>
          <w:lang w:val="es-CO"/>
        </w:rPr>
        <w:t xml:space="preserve"> del señor </w:t>
      </w:r>
      <w:r w:rsidR="00F71BD4" w:rsidRPr="009F00E2">
        <w:rPr>
          <w:rFonts w:ascii="Tahoma" w:hAnsi="Tahoma" w:cs="Tahoma"/>
          <w:lang w:val="es-CO"/>
        </w:rPr>
        <w:t xml:space="preserve">Juan Carlos Agudelo de Arce </w:t>
      </w:r>
      <w:r w:rsidRPr="009F00E2">
        <w:rPr>
          <w:rFonts w:ascii="Tahoma" w:hAnsi="Tahoma" w:cs="Tahoma"/>
          <w:lang w:val="es-CO"/>
        </w:rPr>
        <w:t>(fl. 1</w:t>
      </w:r>
      <w:r w:rsidR="00F71BD4" w:rsidRPr="009F00E2">
        <w:rPr>
          <w:rFonts w:ascii="Tahoma" w:hAnsi="Tahoma" w:cs="Tahoma"/>
          <w:lang w:val="es-CO"/>
        </w:rPr>
        <w:t>9</w:t>
      </w:r>
      <w:r w:rsidRPr="009F00E2">
        <w:rPr>
          <w:rFonts w:ascii="Tahoma" w:hAnsi="Tahoma" w:cs="Tahoma"/>
          <w:lang w:val="es-CO"/>
        </w:rPr>
        <w:t>); ii) que</w:t>
      </w:r>
      <w:r w:rsidR="00F71BD4" w:rsidRPr="009F00E2">
        <w:rPr>
          <w:rFonts w:ascii="Tahoma" w:hAnsi="Tahoma" w:cs="Tahoma"/>
          <w:lang w:val="es-CO"/>
        </w:rPr>
        <w:t xml:space="preserve"> este falleció el 7</w:t>
      </w:r>
      <w:r w:rsidRPr="009F00E2">
        <w:rPr>
          <w:rFonts w:ascii="Tahoma" w:hAnsi="Tahoma" w:cs="Tahoma"/>
          <w:lang w:val="es-CO"/>
        </w:rPr>
        <w:t xml:space="preserve"> de ju</w:t>
      </w:r>
      <w:r w:rsidR="00F71BD4" w:rsidRPr="009F00E2">
        <w:rPr>
          <w:rFonts w:ascii="Tahoma" w:hAnsi="Tahoma" w:cs="Tahoma"/>
          <w:lang w:val="es-CO"/>
        </w:rPr>
        <w:t>nio de 2015 (fl. 18); iii</w:t>
      </w:r>
      <w:r w:rsidRPr="009F00E2">
        <w:rPr>
          <w:rFonts w:ascii="Tahoma" w:hAnsi="Tahoma" w:cs="Tahoma"/>
          <w:lang w:val="es-CO"/>
        </w:rPr>
        <w:t>) que</w:t>
      </w:r>
      <w:r w:rsidR="00F71BD4" w:rsidRPr="009F00E2">
        <w:rPr>
          <w:rFonts w:ascii="Tahoma" w:hAnsi="Tahoma" w:cs="Tahoma"/>
          <w:lang w:val="es-CO"/>
        </w:rPr>
        <w:t xml:space="preserve"> cotizó un total de 29.43 a la AFP Protección S.A, en </w:t>
      </w:r>
      <w:r w:rsidR="007437E1">
        <w:rPr>
          <w:rFonts w:ascii="Tahoma" w:hAnsi="Tahoma" w:cs="Tahoma"/>
          <w:lang w:val="es-CO"/>
        </w:rPr>
        <w:t>el año anterior a su muerte (fl.</w:t>
      </w:r>
      <w:r w:rsidR="00501390">
        <w:rPr>
          <w:rFonts w:ascii="Tahoma" w:hAnsi="Tahoma" w:cs="Tahoma"/>
          <w:lang w:val="es-CO"/>
        </w:rPr>
        <w:t xml:space="preserve"> </w:t>
      </w:r>
      <w:r w:rsidR="007437E1">
        <w:rPr>
          <w:rFonts w:ascii="Tahoma" w:hAnsi="Tahoma" w:cs="Tahoma"/>
          <w:lang w:val="es-CO"/>
        </w:rPr>
        <w:t>25) y,</w:t>
      </w:r>
      <w:r w:rsidR="00F71BD4" w:rsidRPr="009F00E2">
        <w:rPr>
          <w:rFonts w:ascii="Tahoma" w:hAnsi="Tahoma" w:cs="Tahoma"/>
          <w:lang w:val="es-CO"/>
        </w:rPr>
        <w:t xml:space="preserve"> iv) que </w:t>
      </w:r>
      <w:r w:rsidRPr="009F00E2">
        <w:rPr>
          <w:rFonts w:ascii="Tahoma" w:hAnsi="Tahoma" w:cs="Tahoma"/>
          <w:lang w:val="es-CO"/>
        </w:rPr>
        <w:t xml:space="preserve">mediante la Resolución </w:t>
      </w:r>
      <w:r w:rsidR="00F71BD4" w:rsidRPr="009F00E2">
        <w:rPr>
          <w:rFonts w:ascii="Tahoma" w:hAnsi="Tahoma" w:cs="Tahoma"/>
          <w:lang w:val="es-CO"/>
        </w:rPr>
        <w:t>452622</w:t>
      </w:r>
      <w:r w:rsidRPr="009F00E2">
        <w:rPr>
          <w:rFonts w:ascii="Tahoma" w:hAnsi="Tahoma" w:cs="Tahoma"/>
          <w:lang w:val="es-CO"/>
        </w:rPr>
        <w:t xml:space="preserve"> de</w:t>
      </w:r>
      <w:r w:rsidR="00F71BD4" w:rsidRPr="009F00E2">
        <w:rPr>
          <w:rFonts w:ascii="Tahoma" w:hAnsi="Tahoma" w:cs="Tahoma"/>
          <w:lang w:val="es-CO"/>
        </w:rPr>
        <w:t>l</w:t>
      </w:r>
      <w:r w:rsidRPr="009F00E2">
        <w:rPr>
          <w:rFonts w:ascii="Tahoma" w:hAnsi="Tahoma" w:cs="Tahoma"/>
          <w:lang w:val="es-CO"/>
        </w:rPr>
        <w:t xml:space="preserve"> 1</w:t>
      </w:r>
      <w:r w:rsidR="00F71BD4" w:rsidRPr="009F00E2">
        <w:rPr>
          <w:rFonts w:ascii="Tahoma" w:hAnsi="Tahoma" w:cs="Tahoma"/>
          <w:lang w:val="es-CO"/>
        </w:rPr>
        <w:t>8 de enero de 2016</w:t>
      </w:r>
      <w:r w:rsidR="007437E1">
        <w:rPr>
          <w:rFonts w:ascii="Tahoma" w:hAnsi="Tahoma" w:cs="Tahoma"/>
          <w:lang w:val="es-CO"/>
        </w:rPr>
        <w:t>,</w:t>
      </w:r>
      <w:r w:rsidRPr="009F00E2">
        <w:rPr>
          <w:rFonts w:ascii="Tahoma" w:hAnsi="Tahoma" w:cs="Tahoma"/>
          <w:lang w:val="es-CO"/>
        </w:rPr>
        <w:t xml:space="preserve"> </w:t>
      </w:r>
      <w:r w:rsidR="007437E1">
        <w:rPr>
          <w:rFonts w:ascii="Tahoma" w:hAnsi="Tahoma" w:cs="Tahoma"/>
          <w:lang w:val="es-CO"/>
        </w:rPr>
        <w:t>Protección S.A. negó la pensión de sobrevivientes, bajo el entendido de que el causante no acreditó la densidad de semanas exigidas en la ley 797 de 2003</w:t>
      </w:r>
      <w:r w:rsidRPr="009F00E2">
        <w:rPr>
          <w:rFonts w:ascii="Tahoma" w:hAnsi="Tahoma" w:cs="Tahoma"/>
          <w:lang w:val="es-CO"/>
        </w:rPr>
        <w:t xml:space="preserve"> </w:t>
      </w:r>
      <w:r w:rsidR="00F71BD4" w:rsidRPr="009F00E2">
        <w:rPr>
          <w:rFonts w:ascii="Tahoma" w:hAnsi="Tahoma" w:cs="Tahoma"/>
          <w:lang w:val="es-CO"/>
        </w:rPr>
        <w:t>(fl. 29</w:t>
      </w:r>
      <w:r w:rsidR="007437E1">
        <w:rPr>
          <w:rFonts w:ascii="Tahoma" w:hAnsi="Tahoma" w:cs="Tahoma"/>
          <w:lang w:val="es-CO"/>
        </w:rPr>
        <w:t>).</w:t>
      </w:r>
    </w:p>
    <w:p w:rsidR="00692676" w:rsidRPr="0082771A" w:rsidRDefault="00692676" w:rsidP="0082771A">
      <w:pPr>
        <w:pStyle w:val="Sinespaciado"/>
      </w:pPr>
    </w:p>
    <w:p w:rsidR="00692676" w:rsidRDefault="00692676" w:rsidP="00054F57">
      <w:pPr>
        <w:spacing w:line="276" w:lineRule="auto"/>
        <w:ind w:firstLine="360"/>
        <w:jc w:val="both"/>
        <w:rPr>
          <w:rFonts w:ascii="Tahoma" w:hAnsi="Tahoma" w:cs="Tahoma"/>
          <w:lang w:val="es-CO"/>
        </w:rPr>
      </w:pPr>
      <w:r w:rsidRPr="009F00E2">
        <w:rPr>
          <w:rFonts w:ascii="Tahoma" w:hAnsi="Tahoma" w:cs="Tahoma"/>
          <w:lang w:val="es-CO"/>
        </w:rPr>
        <w:t>Por lo tanto, le corresponde a e</w:t>
      </w:r>
      <w:r w:rsidR="00F71BD4" w:rsidRPr="009F00E2">
        <w:rPr>
          <w:rFonts w:ascii="Tahoma" w:hAnsi="Tahoma" w:cs="Tahoma"/>
          <w:lang w:val="es-CO"/>
        </w:rPr>
        <w:t xml:space="preserve">sta Corporación determinar si es viable reconocer la pensión de sobrevivientes bajo los requisitos de la Ley 100 de 1993 en su texto original, en aplicación del principio de la condición </w:t>
      </w:r>
      <w:r w:rsidR="00C627C0" w:rsidRPr="009F00E2">
        <w:rPr>
          <w:rFonts w:ascii="Tahoma" w:hAnsi="Tahoma" w:cs="Tahoma"/>
          <w:lang w:val="es-CO"/>
        </w:rPr>
        <w:t>más</w:t>
      </w:r>
      <w:r w:rsidR="00F71BD4" w:rsidRPr="009F00E2">
        <w:rPr>
          <w:rFonts w:ascii="Tahoma" w:hAnsi="Tahoma" w:cs="Tahoma"/>
          <w:lang w:val="es-CO"/>
        </w:rPr>
        <w:t xml:space="preserve"> beneficiosa.</w:t>
      </w:r>
      <w:r w:rsidRPr="009F00E2">
        <w:rPr>
          <w:rFonts w:ascii="Tahoma" w:hAnsi="Tahoma" w:cs="Tahoma"/>
          <w:lang w:val="es-CO"/>
        </w:rPr>
        <w:t xml:space="preserve"> </w:t>
      </w:r>
    </w:p>
    <w:p w:rsidR="005C25C2" w:rsidRDefault="005C25C2" w:rsidP="0082771A">
      <w:pPr>
        <w:pStyle w:val="Sinespaciado"/>
        <w:rPr>
          <w:lang w:val="es-CO"/>
        </w:rPr>
      </w:pPr>
    </w:p>
    <w:p w:rsidR="005C25C2" w:rsidRPr="009F00E2" w:rsidRDefault="005C25C2" w:rsidP="005C25C2">
      <w:pPr>
        <w:widowControl w:val="0"/>
        <w:autoSpaceDE w:val="0"/>
        <w:autoSpaceDN w:val="0"/>
        <w:adjustRightInd w:val="0"/>
        <w:spacing w:line="276" w:lineRule="auto"/>
        <w:rPr>
          <w:rFonts w:ascii="Tahoma" w:hAnsi="Tahoma" w:cs="Tahoma"/>
          <w:b/>
        </w:rPr>
      </w:pPr>
      <w:r>
        <w:rPr>
          <w:rFonts w:ascii="Tahoma" w:hAnsi="Tahoma" w:cs="Tahoma"/>
          <w:b/>
        </w:rPr>
        <w:t xml:space="preserve">4.2. </w:t>
      </w:r>
      <w:r w:rsidRPr="009F00E2">
        <w:rPr>
          <w:rFonts w:ascii="Tahoma" w:hAnsi="Tahoma" w:cs="Tahoma"/>
          <w:b/>
        </w:rPr>
        <w:t>Del principio de la condición más beneficiosa</w:t>
      </w:r>
    </w:p>
    <w:p w:rsidR="005C25C2" w:rsidRPr="00C627C0" w:rsidRDefault="005C25C2" w:rsidP="0082771A">
      <w:pPr>
        <w:pStyle w:val="Sinespaciado"/>
      </w:pPr>
    </w:p>
    <w:p w:rsidR="005C25C2" w:rsidRDefault="005C25C2" w:rsidP="005C25C2">
      <w:pPr>
        <w:widowControl w:val="0"/>
        <w:autoSpaceDE w:val="0"/>
        <w:autoSpaceDN w:val="0"/>
        <w:adjustRightInd w:val="0"/>
        <w:spacing w:line="276" w:lineRule="auto"/>
        <w:ind w:firstLine="561"/>
        <w:jc w:val="both"/>
        <w:rPr>
          <w:rFonts w:ascii="Tahoma" w:hAnsi="Tahoma" w:cs="Tahoma"/>
        </w:rPr>
      </w:pPr>
      <w:r w:rsidRPr="009F00E2">
        <w:rPr>
          <w:rFonts w:ascii="Tahoma" w:hAnsi="Tahoma" w:cs="Tahoma"/>
        </w:rPr>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9F00E2">
        <w:rPr>
          <w:rFonts w:ascii="Tahoma" w:hAnsi="Tahoma" w:cs="Tahoma"/>
          <w:i/>
        </w:rPr>
        <w:t>“Principio de la condición más beneficiosa</w:t>
      </w:r>
      <w:r w:rsidRPr="009F00E2">
        <w:rPr>
          <w:rFonts w:ascii="Tahoma" w:hAnsi="Tahoma" w:cs="Tahoma"/>
        </w:rPr>
        <w:t>”.</w:t>
      </w:r>
    </w:p>
    <w:p w:rsidR="005C25C2" w:rsidRPr="0082771A" w:rsidRDefault="005C25C2" w:rsidP="0082771A">
      <w:pPr>
        <w:pStyle w:val="Sinespaciado"/>
      </w:pPr>
    </w:p>
    <w:p w:rsidR="005C25C2" w:rsidRDefault="005C25C2" w:rsidP="005C25C2">
      <w:pPr>
        <w:widowControl w:val="0"/>
        <w:autoSpaceDE w:val="0"/>
        <w:autoSpaceDN w:val="0"/>
        <w:adjustRightInd w:val="0"/>
        <w:spacing w:line="276" w:lineRule="auto"/>
        <w:ind w:firstLine="561"/>
        <w:jc w:val="both"/>
        <w:rPr>
          <w:rFonts w:ascii="Tahoma" w:hAnsi="Tahoma" w:cs="Tahoma"/>
        </w:rPr>
      </w:pPr>
      <w:r>
        <w:rPr>
          <w:rFonts w:ascii="Tahoma" w:hAnsi="Tahoma" w:cs="Tahoma"/>
        </w:rPr>
        <w:t>De tiempo atrás</w:t>
      </w:r>
      <w:r w:rsidRPr="00E35932">
        <w:rPr>
          <w:rFonts w:ascii="Tahoma" w:hAnsi="Tahoma" w:cs="Tahoma"/>
        </w:rPr>
        <w:t xml:space="preserve"> tanto la</w:t>
      </w:r>
      <w:r>
        <w:rPr>
          <w:rFonts w:ascii="Tahoma" w:hAnsi="Tahoma" w:cs="Tahoma"/>
        </w:rPr>
        <w:t xml:space="preserve"> Corte Constitucional como la Corte Suprema de Justicia, han entendido que con la aplicación de la condición más beneficiosa no se procura salvaguardar derechos adquiridos, sino reconocer las expectativas legítimas de ciertos </w:t>
      </w:r>
      <w:r w:rsidRPr="00E35932">
        <w:rPr>
          <w:rFonts w:ascii="Tahoma" w:hAnsi="Tahoma" w:cs="Tahoma"/>
        </w:rPr>
        <w:t>ciudadanos respecto del régimen jurídico que les será aplicado</w:t>
      </w:r>
      <w:r>
        <w:rPr>
          <w:rFonts w:ascii="Tahoma" w:hAnsi="Tahoma" w:cs="Tahoma"/>
        </w:rPr>
        <w:t xml:space="preserve">. En este caso, ha precisado el Tribunal Constitucional que existe una expectativa legítima en la pensión de sobrevivientes cuando </w:t>
      </w:r>
      <w:r w:rsidRPr="00E35932">
        <w:rPr>
          <w:rFonts w:ascii="Tahoma" w:hAnsi="Tahoma" w:cs="Tahoma"/>
        </w:rPr>
        <w:t xml:space="preserve">el causante </w:t>
      </w:r>
      <w:r>
        <w:rPr>
          <w:rFonts w:ascii="Tahoma" w:hAnsi="Tahoma" w:cs="Tahoma"/>
        </w:rPr>
        <w:t>cumple uno, pero no todos</w:t>
      </w:r>
      <w:r w:rsidRPr="00E35932">
        <w:rPr>
          <w:rFonts w:ascii="Tahoma" w:hAnsi="Tahoma" w:cs="Tahoma"/>
        </w:rPr>
        <w:t xml:space="preserve"> los requisitos para acceder a ella (por ejemplo, cumple con el número de semanas </w:t>
      </w:r>
      <w:r>
        <w:rPr>
          <w:rFonts w:ascii="Tahoma" w:hAnsi="Tahoma" w:cs="Tahoma"/>
        </w:rPr>
        <w:t>cotizadas, pero no con la edad), por lo que recordó en la sentencia T-084 de 2017. M.P. Alejandro Linares Cantillo que:</w:t>
      </w:r>
    </w:p>
    <w:p w:rsidR="005C25C2" w:rsidRPr="0082771A" w:rsidRDefault="005C25C2" w:rsidP="0082771A">
      <w:pPr>
        <w:pStyle w:val="Sinespaciado"/>
      </w:pPr>
    </w:p>
    <w:p w:rsidR="005C25C2" w:rsidRPr="00E35932" w:rsidRDefault="005C25C2" w:rsidP="005C25C2">
      <w:pPr>
        <w:widowControl w:val="0"/>
        <w:autoSpaceDE w:val="0"/>
        <w:autoSpaceDN w:val="0"/>
        <w:adjustRightInd w:val="0"/>
        <w:spacing w:line="276" w:lineRule="auto"/>
        <w:ind w:left="567" w:hanging="6"/>
        <w:jc w:val="both"/>
        <w:rPr>
          <w:rFonts w:ascii="Arial Narrow" w:hAnsi="Arial Narrow" w:cs="Tahoma"/>
          <w:i/>
        </w:rPr>
      </w:pPr>
      <w:r>
        <w:rPr>
          <w:rFonts w:ascii="Arial Narrow" w:hAnsi="Arial Narrow" w:cs="Tahoma"/>
          <w:i/>
        </w:rPr>
        <w:t>“</w:t>
      </w:r>
      <w:r w:rsidRPr="00E35932">
        <w:rPr>
          <w:rFonts w:ascii="Arial Narrow" w:hAnsi="Arial Narrow" w:cs="Tahoma"/>
          <w:i/>
        </w:rPr>
        <w:t>Solo podrá reconocerse el derecho a la pensión de sobrevivientes con base en una norma anterior a la vigente al momento de la muerte del afiliado, en términos generales, cuando en vigencia de dicha norma se haya realizado el número total de cotizaciones que ella exige.</w:t>
      </w:r>
      <w:r>
        <w:rPr>
          <w:rFonts w:ascii="Arial Narrow" w:hAnsi="Arial Narrow" w:cs="Tahoma"/>
          <w:i/>
        </w:rPr>
        <w:t>”</w:t>
      </w:r>
      <w:r w:rsidR="007437E1">
        <w:rPr>
          <w:rFonts w:ascii="Arial Narrow" w:hAnsi="Arial Narrow" w:cs="Tahoma"/>
          <w:i/>
        </w:rPr>
        <w:t xml:space="preserve"> </w:t>
      </w:r>
    </w:p>
    <w:p w:rsidR="005C25C2" w:rsidRPr="0082771A" w:rsidRDefault="005C25C2" w:rsidP="0082771A">
      <w:pPr>
        <w:pStyle w:val="Sinespaciado"/>
      </w:pPr>
    </w:p>
    <w:p w:rsidR="009C0E4A" w:rsidRPr="009F00E2" w:rsidRDefault="009C0E4A" w:rsidP="009C0E4A">
      <w:pPr>
        <w:widowControl w:val="0"/>
        <w:numPr>
          <w:ilvl w:val="0"/>
          <w:numId w:val="8"/>
        </w:numPr>
        <w:autoSpaceDE w:val="0"/>
        <w:autoSpaceDN w:val="0"/>
        <w:adjustRightInd w:val="0"/>
        <w:spacing w:line="276" w:lineRule="auto"/>
        <w:ind w:hanging="519"/>
        <w:jc w:val="center"/>
        <w:rPr>
          <w:rFonts w:ascii="Tahoma" w:hAnsi="Tahoma" w:cs="Tahoma"/>
          <w:b/>
        </w:rPr>
      </w:pPr>
      <w:r w:rsidRPr="009F00E2">
        <w:rPr>
          <w:rFonts w:ascii="Tahoma" w:hAnsi="Tahoma" w:cs="Tahoma"/>
          <w:b/>
        </w:rPr>
        <w:t>CASO CONCRETO</w:t>
      </w:r>
    </w:p>
    <w:p w:rsidR="00054F57" w:rsidRPr="0082771A" w:rsidRDefault="00054F57" w:rsidP="0082771A">
      <w:pPr>
        <w:pStyle w:val="Sinespaciado"/>
      </w:pPr>
    </w:p>
    <w:p w:rsidR="004F407D" w:rsidRDefault="004F407D" w:rsidP="00492189">
      <w:pPr>
        <w:tabs>
          <w:tab w:val="left" w:pos="748"/>
        </w:tabs>
        <w:spacing w:line="276" w:lineRule="auto"/>
        <w:jc w:val="both"/>
        <w:rPr>
          <w:rFonts w:ascii="Tahoma" w:hAnsi="Tahoma" w:cs="Tahoma"/>
        </w:rPr>
      </w:pPr>
      <w:r w:rsidRPr="009F00E2">
        <w:rPr>
          <w:rFonts w:ascii="Tahoma" w:hAnsi="Tahoma" w:cs="Tahoma"/>
        </w:rPr>
        <w:tab/>
      </w:r>
      <w:r w:rsidR="00054F57" w:rsidRPr="009F00E2">
        <w:rPr>
          <w:rFonts w:ascii="Tahoma" w:hAnsi="Tahoma" w:cs="Tahoma"/>
        </w:rPr>
        <w:t>A la luz de las anteriores premisas,</w:t>
      </w:r>
      <w:r w:rsidR="007437E1">
        <w:rPr>
          <w:rFonts w:ascii="Tahoma" w:hAnsi="Tahoma" w:cs="Tahoma"/>
        </w:rPr>
        <w:t xml:space="preserve"> no son necesarias mayores elucubraciones para determinar que </w:t>
      </w:r>
      <w:r w:rsidR="00054F57" w:rsidRPr="009F00E2">
        <w:rPr>
          <w:rFonts w:ascii="Tahoma" w:hAnsi="Tahoma" w:cs="Tahoma"/>
        </w:rPr>
        <w:t>en el sub-lite no</w:t>
      </w:r>
      <w:r w:rsidR="00492189">
        <w:rPr>
          <w:rFonts w:ascii="Tahoma" w:hAnsi="Tahoma" w:cs="Tahoma"/>
        </w:rPr>
        <w:t xml:space="preserve"> es procedente dar aplicación al principio de la condición más beneficiosa, acudiendo a la ley 100 de 1993 en su</w:t>
      </w:r>
      <w:r w:rsidR="00C04877" w:rsidRPr="009F00E2">
        <w:rPr>
          <w:rFonts w:ascii="Tahoma" w:hAnsi="Tahoma" w:cs="Tahoma"/>
        </w:rPr>
        <w:t xml:space="preserve"> texto original</w:t>
      </w:r>
      <w:r w:rsidR="00054F57" w:rsidRPr="009F00E2">
        <w:rPr>
          <w:rFonts w:ascii="Tahoma" w:hAnsi="Tahoma" w:cs="Tahoma"/>
        </w:rPr>
        <w:t>,</w:t>
      </w:r>
      <w:r w:rsidRPr="009F00E2">
        <w:rPr>
          <w:rFonts w:ascii="Tahoma" w:hAnsi="Tahoma" w:cs="Tahoma"/>
        </w:rPr>
        <w:t xml:space="preserve"> </w:t>
      </w:r>
      <w:r w:rsidR="00492189">
        <w:rPr>
          <w:rFonts w:ascii="Tahoma" w:hAnsi="Tahoma" w:cs="Tahoma"/>
        </w:rPr>
        <w:t xml:space="preserve">toda vez que de conformidad con los lineamientos trazados por la jurisprudencia patria, no basta con que el señor </w:t>
      </w:r>
      <w:r w:rsidR="00492189" w:rsidRPr="009F00E2">
        <w:rPr>
          <w:rFonts w:ascii="Tahoma" w:hAnsi="Tahoma" w:cs="Tahoma"/>
        </w:rPr>
        <w:t>JUAN CARLOS AGUDELO DE ARCES</w:t>
      </w:r>
      <w:r w:rsidR="00492189">
        <w:rPr>
          <w:rFonts w:ascii="Tahoma" w:hAnsi="Tahoma" w:cs="Tahoma"/>
        </w:rPr>
        <w:t xml:space="preserve"> hubiese cotizado 29.43 semanas en el año anterior a su muerte, sino que debió acreditar por lo menos</w:t>
      </w:r>
      <w:r w:rsidRPr="009F00E2">
        <w:rPr>
          <w:rFonts w:ascii="Tahoma" w:hAnsi="Tahoma" w:cs="Tahoma"/>
        </w:rPr>
        <w:t xml:space="preserve"> 26 semanas cotizadas dentro de la vigencia del texto original de la ley 100, </w:t>
      </w:r>
      <w:r w:rsidR="00492189">
        <w:rPr>
          <w:rFonts w:ascii="Tahoma" w:hAnsi="Tahoma" w:cs="Tahoma"/>
        </w:rPr>
        <w:t xml:space="preserve">lo cual no ocurrió, puesto que </w:t>
      </w:r>
      <w:r w:rsidR="00A42479">
        <w:rPr>
          <w:rFonts w:ascii="Tahoma" w:hAnsi="Tahoma" w:cs="Tahoma"/>
        </w:rPr>
        <w:t>en</w:t>
      </w:r>
      <w:r w:rsidRPr="009F00E2">
        <w:rPr>
          <w:rFonts w:ascii="Tahoma" w:hAnsi="Tahoma" w:cs="Tahoma"/>
        </w:rPr>
        <w:t xml:space="preserve"> la historia laboral </w:t>
      </w:r>
      <w:r w:rsidR="00492189">
        <w:rPr>
          <w:rFonts w:ascii="Tahoma" w:hAnsi="Tahoma" w:cs="Tahoma"/>
        </w:rPr>
        <w:t>que reposa en el plenario</w:t>
      </w:r>
      <w:r w:rsidR="00A42479">
        <w:rPr>
          <w:rFonts w:ascii="Tahoma" w:hAnsi="Tahoma" w:cs="Tahoma"/>
        </w:rPr>
        <w:t xml:space="preserve"> (fl. 15)</w:t>
      </w:r>
      <w:r w:rsidRPr="009F00E2">
        <w:rPr>
          <w:rFonts w:ascii="Tahoma" w:hAnsi="Tahoma" w:cs="Tahoma"/>
        </w:rPr>
        <w:t xml:space="preserve">, </w:t>
      </w:r>
      <w:r w:rsidR="00A42479">
        <w:rPr>
          <w:rFonts w:ascii="Tahoma" w:hAnsi="Tahoma" w:cs="Tahoma"/>
        </w:rPr>
        <w:t xml:space="preserve">se observa que </w:t>
      </w:r>
      <w:r w:rsidR="00492189">
        <w:rPr>
          <w:rFonts w:ascii="Tahoma" w:hAnsi="Tahoma" w:cs="Tahoma"/>
        </w:rPr>
        <w:t xml:space="preserve">el causante </w:t>
      </w:r>
      <w:r w:rsidRPr="009F00E2">
        <w:rPr>
          <w:rFonts w:ascii="Tahoma" w:hAnsi="Tahoma" w:cs="Tahoma"/>
        </w:rPr>
        <w:t>comenzó a cotizar e</w:t>
      </w:r>
      <w:r w:rsidR="00492189">
        <w:rPr>
          <w:rFonts w:ascii="Tahoma" w:hAnsi="Tahoma" w:cs="Tahoma"/>
        </w:rPr>
        <w:t>n e</w:t>
      </w:r>
      <w:r w:rsidRPr="009F00E2">
        <w:rPr>
          <w:rFonts w:ascii="Tahoma" w:hAnsi="Tahoma" w:cs="Tahoma"/>
        </w:rPr>
        <w:t xml:space="preserve">l mes de junio de 2014, fecha para la cual se encontraban en vigencia las modificaciones </w:t>
      </w:r>
      <w:r w:rsidR="00A42479">
        <w:rPr>
          <w:rFonts w:ascii="Tahoma" w:hAnsi="Tahoma" w:cs="Tahoma"/>
        </w:rPr>
        <w:t>introducidas</w:t>
      </w:r>
      <w:r w:rsidRPr="009F00E2">
        <w:rPr>
          <w:rFonts w:ascii="Tahoma" w:hAnsi="Tahoma" w:cs="Tahoma"/>
        </w:rPr>
        <w:t xml:space="preserve"> por la Ley 797 de 2003.</w:t>
      </w:r>
    </w:p>
    <w:p w:rsidR="00492189" w:rsidRPr="00A42479" w:rsidRDefault="00492189" w:rsidP="00A42479">
      <w:pPr>
        <w:pStyle w:val="Sinespaciado"/>
      </w:pPr>
    </w:p>
    <w:p w:rsidR="00492189" w:rsidRPr="00AC1D88" w:rsidRDefault="00492189" w:rsidP="00492189">
      <w:pPr>
        <w:spacing w:line="276" w:lineRule="auto"/>
        <w:ind w:firstLine="708"/>
        <w:jc w:val="both"/>
        <w:rPr>
          <w:rFonts w:ascii="Tahoma" w:hAnsi="Tahoma" w:cs="Tahoma"/>
        </w:rPr>
      </w:pPr>
      <w:r w:rsidRPr="00AC1D88">
        <w:rPr>
          <w:rFonts w:ascii="Tahoma" w:hAnsi="Tahoma" w:cs="Tahoma"/>
        </w:rPr>
        <w:t xml:space="preserve">En ese </w:t>
      </w:r>
      <w:r w:rsidRPr="00AC1D88">
        <w:rPr>
          <w:rFonts w:ascii="Tahoma" w:hAnsi="Tahoma" w:cs="Tahoma"/>
          <w:spacing w:val="-2"/>
        </w:rPr>
        <w:t>entendido</w:t>
      </w:r>
      <w:r w:rsidRPr="00AC1D88">
        <w:rPr>
          <w:rFonts w:ascii="Tahoma" w:hAnsi="Tahoma" w:cs="Tahoma"/>
        </w:rPr>
        <w:t xml:space="preserve">, el hijo de los demandantes no creó una expectativa legitima de cumplir con la densidad de semanas exigidas por la ley 100 de 1993 </w:t>
      </w:r>
      <w:r w:rsidR="00A42479" w:rsidRPr="00AC1D88">
        <w:rPr>
          <w:rFonts w:ascii="Tahoma" w:hAnsi="Tahoma" w:cs="Tahoma"/>
        </w:rPr>
        <w:t>en su texto original</w:t>
      </w:r>
      <w:r w:rsidRPr="00AC1D88">
        <w:rPr>
          <w:rFonts w:ascii="Tahoma" w:hAnsi="Tahoma" w:cs="Tahoma"/>
        </w:rPr>
        <w:t>, puesto que al momento de iniciar su vida laboral, la última de las disposiciones</w:t>
      </w:r>
      <w:r w:rsidR="00A42479" w:rsidRPr="00AC1D88">
        <w:rPr>
          <w:rFonts w:ascii="Tahoma" w:hAnsi="Tahoma" w:cs="Tahoma"/>
        </w:rPr>
        <w:t>, ley 797 del 29 de diciembre de 2003,</w:t>
      </w:r>
      <w:r w:rsidRPr="00AC1D88">
        <w:rPr>
          <w:rFonts w:ascii="Tahoma" w:hAnsi="Tahoma" w:cs="Tahoma"/>
        </w:rPr>
        <w:t xml:space="preserve"> tenía más de 10 años de vigencia y por ende, debió ser su único referente normativo para adquirir alguna de las prestaciones en ella reguladas.</w:t>
      </w:r>
    </w:p>
    <w:p w:rsidR="00492189" w:rsidRPr="00AC1D88" w:rsidRDefault="00492189" w:rsidP="00A42479">
      <w:pPr>
        <w:pStyle w:val="Sinespaciado"/>
      </w:pPr>
    </w:p>
    <w:p w:rsidR="00FF4363" w:rsidRPr="00AC1D88" w:rsidRDefault="00492189" w:rsidP="00492189">
      <w:pPr>
        <w:spacing w:line="276" w:lineRule="auto"/>
        <w:ind w:firstLine="708"/>
        <w:jc w:val="both"/>
        <w:rPr>
          <w:rFonts w:ascii="Tahoma" w:hAnsi="Tahoma" w:cs="Tahoma"/>
        </w:rPr>
      </w:pPr>
      <w:r w:rsidRPr="00AC1D88">
        <w:rPr>
          <w:rFonts w:ascii="Tahoma" w:hAnsi="Tahoma" w:cs="Tahoma"/>
        </w:rPr>
        <w:t xml:space="preserve">Ahora, </w:t>
      </w:r>
      <w:r w:rsidR="00501390" w:rsidRPr="00AC1D88">
        <w:rPr>
          <w:rFonts w:ascii="Tahoma" w:hAnsi="Tahoma" w:cs="Tahoma"/>
        </w:rPr>
        <w:t>si bien la parte actora no solicita expresamente la aplicación analógica de la distinción contenida en la ley 860 de 2003 para el afiliado joven</w:t>
      </w:r>
      <w:r w:rsidR="00BC0B69" w:rsidRPr="00AC1D88">
        <w:rPr>
          <w:rFonts w:ascii="Tahoma" w:hAnsi="Tahoma" w:cs="Tahoma"/>
        </w:rPr>
        <w:t xml:space="preserve"> a la pensión de sobrevivientes</w:t>
      </w:r>
      <w:r w:rsidR="00501390" w:rsidRPr="00AC1D88">
        <w:rPr>
          <w:rFonts w:ascii="Tahoma" w:hAnsi="Tahoma" w:cs="Tahoma"/>
        </w:rPr>
        <w:t xml:space="preserve">, es pertinente recordar, con motivo de la </w:t>
      </w:r>
      <w:r w:rsidRPr="00AC1D88">
        <w:rPr>
          <w:rFonts w:ascii="Tahoma" w:hAnsi="Tahoma" w:cs="Tahoma"/>
        </w:rPr>
        <w:t xml:space="preserve">apreciación del recurrente de que el causante al momento de su deceso era una persona joven, que </w:t>
      </w:r>
      <w:r w:rsidR="00FF4363" w:rsidRPr="00AC1D88">
        <w:rPr>
          <w:rFonts w:ascii="Tahoma" w:hAnsi="Tahoma" w:cs="Tahoma"/>
        </w:rPr>
        <w:t xml:space="preserve">esta Corporación, en </w:t>
      </w:r>
      <w:r w:rsidRPr="00AC1D88">
        <w:rPr>
          <w:rFonts w:ascii="Tahoma" w:hAnsi="Tahoma" w:cs="Tahoma"/>
        </w:rPr>
        <w:t>s</w:t>
      </w:r>
      <w:r w:rsidR="00FF4363" w:rsidRPr="00AC1D88">
        <w:rPr>
          <w:rFonts w:ascii="Tahoma" w:hAnsi="Tahoma" w:cs="Tahoma"/>
        </w:rPr>
        <w:t xml:space="preserve">entencia del 26 de julio de 2016, dentro del proceso radicado 2015-00068 M.P. </w:t>
      </w:r>
      <w:r w:rsidR="00501390" w:rsidRPr="00AC1D88">
        <w:rPr>
          <w:rFonts w:ascii="Tahoma" w:hAnsi="Tahoma" w:cs="Tahoma"/>
        </w:rPr>
        <w:t>Olga Lucía Hoyos Sepúlveda</w:t>
      </w:r>
      <w:r w:rsidR="00FF4363" w:rsidRPr="00AC1D88">
        <w:rPr>
          <w:rFonts w:ascii="Tahoma" w:hAnsi="Tahoma" w:cs="Tahoma"/>
        </w:rPr>
        <w:t>, concluyó que</w:t>
      </w:r>
      <w:r w:rsidR="00A42479" w:rsidRPr="00AC1D88">
        <w:rPr>
          <w:rFonts w:ascii="Tahoma" w:hAnsi="Tahoma" w:cs="Tahoma"/>
        </w:rPr>
        <w:t xml:space="preserve"> </w:t>
      </w:r>
      <w:r w:rsidR="00FF4363" w:rsidRPr="00AC1D88">
        <w:rPr>
          <w:rFonts w:ascii="Tahoma" w:hAnsi="Tahoma" w:cs="Tahoma"/>
        </w:rPr>
        <w:t xml:space="preserve">no es procedente dar aplicación analógica a la disposición que establece que el afiliado al sistema </w:t>
      </w:r>
      <w:r w:rsidR="00FF4363" w:rsidRPr="00AC1D88">
        <w:rPr>
          <w:rFonts w:ascii="Tahoma" w:hAnsi="Tahoma" w:cs="Tahoma"/>
          <w:lang w:val="es-CO"/>
        </w:rPr>
        <w:t>menor</w:t>
      </w:r>
      <w:r w:rsidR="00FF4363" w:rsidRPr="00AC1D88">
        <w:rPr>
          <w:rFonts w:ascii="Tahoma" w:hAnsi="Tahoma" w:cs="Tahoma"/>
        </w:rPr>
        <w:t xml:space="preserve"> de 20 años –26 años</w:t>
      </w:r>
      <w:r w:rsidR="00A47D7C" w:rsidRPr="00AC1D88">
        <w:rPr>
          <w:rFonts w:ascii="Tahoma" w:hAnsi="Tahoma" w:cs="Tahoma"/>
        </w:rPr>
        <w:t xml:space="preserve"> de acuerdo a</w:t>
      </w:r>
      <w:r w:rsidR="00FF4363" w:rsidRPr="00AC1D88">
        <w:rPr>
          <w:rFonts w:ascii="Tahoma" w:hAnsi="Tahoma" w:cs="Tahoma"/>
        </w:rPr>
        <w:t xml:space="preserve"> la sentencia C-020 de 2015- debe acreditar 26 semanas en el año inmediatamente anterior </w:t>
      </w:r>
      <w:r w:rsidR="00A47D7C" w:rsidRPr="00AC1D88">
        <w:rPr>
          <w:rFonts w:ascii="Tahoma" w:hAnsi="Tahoma" w:cs="Tahoma"/>
        </w:rPr>
        <w:t>a la condición invalidante</w:t>
      </w:r>
      <w:r w:rsidR="006D4E48" w:rsidRPr="00AC1D88">
        <w:rPr>
          <w:rFonts w:ascii="Tahoma" w:hAnsi="Tahoma" w:cs="Tahoma"/>
        </w:rPr>
        <w:t xml:space="preserve"> y no 50 semanas en los últimos 3 años</w:t>
      </w:r>
      <w:r w:rsidR="00BC0B69" w:rsidRPr="00AC1D88">
        <w:rPr>
          <w:rFonts w:ascii="Tahoma" w:hAnsi="Tahoma" w:cs="Tahoma"/>
        </w:rPr>
        <w:t xml:space="preserve">, toda vez que </w:t>
      </w:r>
      <w:r w:rsidR="00A42479" w:rsidRPr="00AC1D88">
        <w:rPr>
          <w:rFonts w:ascii="Tahoma" w:hAnsi="Tahoma" w:cs="Tahoma"/>
        </w:rPr>
        <w:t>no se cumplen l</w:t>
      </w:r>
      <w:r w:rsidR="00A47D7C" w:rsidRPr="00AC1D88">
        <w:rPr>
          <w:rFonts w:ascii="Tahoma" w:hAnsi="Tahoma" w:cs="Tahoma"/>
        </w:rPr>
        <w:t xml:space="preserve">os 3 elementos necesarios: (i) ausencia de norma aplicable al caso en cuestión; (ii) que el caso previsto por la norma sea semejante al asunto carente de previsión por el legislador y (iii) que exista el mismo fundamento para aplicar </w:t>
      </w:r>
      <w:r w:rsidR="00A42479" w:rsidRPr="00AC1D88">
        <w:rPr>
          <w:rFonts w:ascii="Tahoma" w:hAnsi="Tahoma" w:cs="Tahoma"/>
        </w:rPr>
        <w:t>a</w:t>
      </w:r>
      <w:r w:rsidR="00A47D7C" w:rsidRPr="00AC1D88">
        <w:rPr>
          <w:rFonts w:ascii="Tahoma" w:hAnsi="Tahoma" w:cs="Tahoma"/>
        </w:rPr>
        <w:t>l caso no previsto</w:t>
      </w:r>
      <w:r w:rsidR="00A42479" w:rsidRPr="00AC1D88">
        <w:rPr>
          <w:rFonts w:ascii="Tahoma" w:hAnsi="Tahoma" w:cs="Tahoma"/>
        </w:rPr>
        <w:t>, el precepto normativo.</w:t>
      </w:r>
      <w:r w:rsidR="00BC0B69" w:rsidRPr="00AC1D88">
        <w:rPr>
          <w:rFonts w:ascii="Tahoma" w:hAnsi="Tahoma" w:cs="Tahoma"/>
        </w:rPr>
        <w:t xml:space="preserve"> En esa oportunidad se</w:t>
      </w:r>
      <w:r w:rsidR="00A42479" w:rsidRPr="00AC1D88">
        <w:rPr>
          <w:rFonts w:ascii="Tahoma" w:hAnsi="Tahoma" w:cs="Tahoma"/>
        </w:rPr>
        <w:t xml:space="preserve"> consideró:</w:t>
      </w:r>
    </w:p>
    <w:p w:rsidR="00DD6658" w:rsidRPr="00AC1D88" w:rsidRDefault="00DD6658" w:rsidP="00492189">
      <w:pPr>
        <w:spacing w:line="276" w:lineRule="auto"/>
        <w:ind w:firstLine="708"/>
        <w:jc w:val="both"/>
        <w:rPr>
          <w:rFonts w:ascii="Tahoma" w:hAnsi="Tahoma" w:cs="Tahoma"/>
        </w:rPr>
      </w:pPr>
    </w:p>
    <w:p w:rsidR="00FF4363" w:rsidRPr="00AC1D88" w:rsidRDefault="00FF4363" w:rsidP="00E22E26">
      <w:pPr>
        <w:tabs>
          <w:tab w:val="left" w:pos="748"/>
        </w:tabs>
        <w:ind w:left="709"/>
        <w:jc w:val="both"/>
        <w:rPr>
          <w:rFonts w:ascii="Arial Narrow" w:hAnsi="Arial Narrow" w:cs="Tahoma"/>
          <w:sz w:val="22"/>
          <w:szCs w:val="22"/>
        </w:rPr>
      </w:pPr>
      <w:r w:rsidRPr="00AC1D88">
        <w:rPr>
          <w:rFonts w:ascii="Arial Narrow" w:hAnsi="Arial Narrow" w:cs="Tahoma"/>
          <w:sz w:val="22"/>
          <w:szCs w:val="22"/>
        </w:rPr>
        <w:t xml:space="preserve">(i) que existe norma aplicable al caso en cuestión, esto es, la ley 797 que se ocupa de la pensión de sobrevivientes, sin importar la edad del causante, por lo que no se cumpliría con el primer requisito mencionado en líneas atrás; (ii) </w:t>
      </w:r>
      <w:r w:rsidRPr="00AC1D88">
        <w:rPr>
          <w:rFonts w:ascii="Arial Narrow" w:hAnsi="Arial Narrow" w:cs="Tahoma"/>
          <w:sz w:val="22"/>
          <w:szCs w:val="22"/>
        </w:rPr>
        <w:lastRenderedPageBreak/>
        <w:t>no existe similitud entre la pensión por invalidez para jóvenes y la pensión de sobrevivientes; la primera tiene origen en la declaratoria de inválido, esto es, la persona que por cualquier causa de origen no profesional, no provocada intencionalmente, hubiere perdido el 50% o más de su capacidad laboral, y la segunda, tiene origen en la muerte, razón por la cual tampoco se acredita este requisito; (iii) tampoco tienen el mismo fundamento para aplicar la pensión de invalidez para jóvenes a la de sobrevivientes, teniendo en cuenta que la primera va dirigida a jóvenes (26 años edad, inclusive) a quienes se les haya declarado inválidos, y en relación con la segunda, a los beneficiarios cuando el causante ha fallecido y ha cumplido con los requisitos establecidos para cada caso en particular.</w:t>
      </w:r>
    </w:p>
    <w:p w:rsidR="004F407D" w:rsidRPr="00AC1D88" w:rsidRDefault="004F407D" w:rsidP="00A42479">
      <w:pPr>
        <w:pStyle w:val="Sinespaciado"/>
      </w:pPr>
    </w:p>
    <w:p w:rsidR="004F407D" w:rsidRPr="009F00E2" w:rsidRDefault="004F407D" w:rsidP="004F407D">
      <w:pPr>
        <w:tabs>
          <w:tab w:val="left" w:pos="748"/>
        </w:tabs>
        <w:spacing w:line="276" w:lineRule="auto"/>
        <w:jc w:val="both"/>
        <w:rPr>
          <w:rFonts w:ascii="Tahoma" w:hAnsi="Tahoma" w:cs="Tahoma"/>
        </w:rPr>
      </w:pPr>
      <w:r w:rsidRPr="00AC1D88">
        <w:rPr>
          <w:rFonts w:ascii="Tahoma" w:hAnsi="Tahoma" w:cs="Tahoma"/>
          <w:sz w:val="22"/>
          <w:szCs w:val="22"/>
        </w:rPr>
        <w:tab/>
      </w:r>
      <w:r w:rsidRPr="00AC1D88">
        <w:rPr>
          <w:rFonts w:ascii="Tahoma" w:hAnsi="Tahoma" w:cs="Tahoma"/>
        </w:rPr>
        <w:t xml:space="preserve">En consecuencia, </w:t>
      </w:r>
      <w:r w:rsidR="00A42479" w:rsidRPr="00AC1D88">
        <w:rPr>
          <w:rFonts w:ascii="Tahoma" w:hAnsi="Tahoma" w:cs="Tahoma"/>
        </w:rPr>
        <w:t>como el señor JUAN CARLOS AGUDELO DE ARCES</w:t>
      </w:r>
      <w:r w:rsidR="00A42479">
        <w:rPr>
          <w:rFonts w:ascii="Tahoma" w:hAnsi="Tahoma" w:cs="Tahoma"/>
        </w:rPr>
        <w:t xml:space="preserve"> no acreditó la densidad de semanas exigidas en la ley 797 de 2003, ni tampoco generó una expectativa legitima con relación a los requisitos contenidos en la ley 100 de 1993 en su versión original, no dejó causado el derecho a la pensión de sobrevivientes, y por ende, </w:t>
      </w:r>
      <w:r w:rsidRPr="009F00E2">
        <w:rPr>
          <w:rFonts w:ascii="Tahoma" w:hAnsi="Tahoma" w:cs="Tahoma"/>
        </w:rPr>
        <w:t xml:space="preserve">procede la </w:t>
      </w:r>
      <w:r w:rsidR="00D01351">
        <w:rPr>
          <w:rFonts w:ascii="Tahoma" w:hAnsi="Tahoma" w:cs="Tahoma"/>
        </w:rPr>
        <w:t>S</w:t>
      </w:r>
      <w:r w:rsidRPr="009F00E2">
        <w:rPr>
          <w:rFonts w:ascii="Tahoma" w:hAnsi="Tahoma" w:cs="Tahoma"/>
        </w:rPr>
        <w:t>ala a confirm</w:t>
      </w:r>
      <w:r w:rsidR="00DD6658">
        <w:rPr>
          <w:rFonts w:ascii="Tahoma" w:hAnsi="Tahoma" w:cs="Tahoma"/>
        </w:rPr>
        <w:t>ar la decisión de primera instancia</w:t>
      </w:r>
      <w:r w:rsidRPr="009F00E2">
        <w:rPr>
          <w:rFonts w:ascii="Tahoma" w:hAnsi="Tahoma" w:cs="Tahoma"/>
        </w:rPr>
        <w:t>.</w:t>
      </w:r>
      <w:r w:rsidR="00E22E26">
        <w:rPr>
          <w:rFonts w:ascii="Tahoma" w:hAnsi="Tahoma" w:cs="Tahoma"/>
        </w:rPr>
        <w:t xml:space="preserve"> Las costas en esta instancia estarán a cargo de</w:t>
      </w:r>
      <w:r w:rsidR="00043CBC">
        <w:rPr>
          <w:rFonts w:ascii="Tahoma" w:hAnsi="Tahoma" w:cs="Tahoma"/>
        </w:rPr>
        <w:t xml:space="preserve"> </w:t>
      </w:r>
      <w:r w:rsidR="00E22E26">
        <w:rPr>
          <w:rFonts w:ascii="Tahoma" w:hAnsi="Tahoma" w:cs="Tahoma"/>
        </w:rPr>
        <w:t>l</w:t>
      </w:r>
      <w:r w:rsidR="00043CBC">
        <w:rPr>
          <w:rFonts w:ascii="Tahoma" w:hAnsi="Tahoma" w:cs="Tahoma"/>
        </w:rPr>
        <w:t>a parte</w:t>
      </w:r>
      <w:r w:rsidR="00E22E26">
        <w:rPr>
          <w:rFonts w:ascii="Tahoma" w:hAnsi="Tahoma" w:cs="Tahoma"/>
        </w:rPr>
        <w:t xml:space="preserve"> recurrente por no haber prosperado el recurso.</w:t>
      </w:r>
    </w:p>
    <w:p w:rsidR="006B0EE8" w:rsidRPr="00E22E26" w:rsidRDefault="006B0EE8" w:rsidP="00E22E26">
      <w:pPr>
        <w:pStyle w:val="Sinespaciado"/>
      </w:pPr>
    </w:p>
    <w:p w:rsidR="006B0EE8" w:rsidRPr="009F00E2" w:rsidRDefault="006B0EE8" w:rsidP="00B34ACF">
      <w:pPr>
        <w:pStyle w:val="Sangradetextonormal"/>
        <w:spacing w:line="276" w:lineRule="auto"/>
      </w:pPr>
      <w:r w:rsidRPr="009F00E2">
        <w:t xml:space="preserve">En mérito de lo expuesto, el </w:t>
      </w:r>
      <w:r w:rsidRPr="009F00E2">
        <w:rPr>
          <w:b/>
        </w:rPr>
        <w:t>Tribunal Superior del Distrito Judicial de Pereira (Risaralda)</w:t>
      </w:r>
      <w:r w:rsidRPr="009F00E2">
        <w:t xml:space="preserve">, </w:t>
      </w:r>
      <w:r w:rsidRPr="009F00E2">
        <w:rPr>
          <w:b/>
        </w:rPr>
        <w:t>Sala de Decisión Laboral No. 1</w:t>
      </w:r>
      <w:r w:rsidRPr="009F00E2">
        <w:t>, administrando justicia en nombre de la República y por autoridad de la Ley,</w:t>
      </w:r>
    </w:p>
    <w:p w:rsidR="00B70BF5" w:rsidRPr="009F00E2" w:rsidRDefault="00B70BF5" w:rsidP="00E22E26">
      <w:pPr>
        <w:pStyle w:val="Sinespaciado"/>
      </w:pPr>
    </w:p>
    <w:p w:rsidR="006B0EE8" w:rsidRPr="009F00E2"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rPr>
      </w:pPr>
      <w:r w:rsidRPr="009F00E2">
        <w:rPr>
          <w:rFonts w:ascii="Tahoma" w:hAnsi="Tahoma" w:cs="Tahoma"/>
          <w:b/>
        </w:rPr>
        <w:t>RESUELVE</w:t>
      </w:r>
    </w:p>
    <w:p w:rsidR="006B0EE8" w:rsidRPr="009F00E2" w:rsidRDefault="006B0EE8" w:rsidP="00E22E26">
      <w:pPr>
        <w:pStyle w:val="Sinespaciado"/>
      </w:pPr>
    </w:p>
    <w:p w:rsidR="006B0EE8" w:rsidRPr="009F00E2" w:rsidRDefault="006B0EE8" w:rsidP="00B70BF5">
      <w:pPr>
        <w:pStyle w:val="Prrafodelista"/>
        <w:spacing w:line="276" w:lineRule="auto"/>
        <w:ind w:left="0" w:firstLine="709"/>
        <w:jc w:val="both"/>
        <w:rPr>
          <w:rFonts w:ascii="Tahoma" w:hAnsi="Tahoma" w:cs="Tahoma"/>
        </w:rPr>
      </w:pPr>
      <w:r w:rsidRPr="009F00E2">
        <w:rPr>
          <w:rFonts w:ascii="Tahoma" w:hAnsi="Tahoma" w:cs="Tahoma"/>
          <w:b/>
          <w:u w:val="single"/>
        </w:rPr>
        <w:t>PRIMERO</w:t>
      </w:r>
      <w:r w:rsidRPr="009F00E2">
        <w:rPr>
          <w:rFonts w:ascii="Tahoma" w:hAnsi="Tahoma" w:cs="Tahoma"/>
        </w:rPr>
        <w:t xml:space="preserve">.- </w:t>
      </w:r>
      <w:r w:rsidR="00EF4380" w:rsidRPr="009F00E2">
        <w:rPr>
          <w:rFonts w:ascii="Tahoma" w:hAnsi="Tahoma" w:cs="Tahoma"/>
          <w:b/>
        </w:rPr>
        <w:t>CONFIRMAR</w:t>
      </w:r>
      <w:r w:rsidR="00B70BF5" w:rsidRPr="009F00E2">
        <w:rPr>
          <w:rFonts w:ascii="Tahoma" w:hAnsi="Tahoma" w:cs="Tahoma"/>
        </w:rPr>
        <w:t xml:space="preserve"> la sentencia proferida por el J</w:t>
      </w:r>
      <w:r w:rsidRPr="009F00E2">
        <w:rPr>
          <w:rFonts w:ascii="Tahoma" w:hAnsi="Tahoma" w:cs="Tahoma"/>
        </w:rPr>
        <w:t xml:space="preserve">uzgado </w:t>
      </w:r>
      <w:r w:rsidR="000A323F" w:rsidRPr="009F00E2">
        <w:rPr>
          <w:rFonts w:ascii="Tahoma" w:hAnsi="Tahoma" w:cs="Tahoma"/>
        </w:rPr>
        <w:t xml:space="preserve">Quinto </w:t>
      </w:r>
      <w:r w:rsidRPr="009F00E2">
        <w:rPr>
          <w:rFonts w:ascii="Tahoma" w:hAnsi="Tahoma" w:cs="Tahoma"/>
        </w:rPr>
        <w:t xml:space="preserve">Laboral del Circuito de Pereira, dentro del proceso iniciado por </w:t>
      </w:r>
      <w:r w:rsidR="00CE104C" w:rsidRPr="009F00E2">
        <w:rPr>
          <w:rFonts w:ascii="Tahoma" w:hAnsi="Tahoma" w:cs="Tahoma"/>
          <w:b/>
        </w:rPr>
        <w:t xml:space="preserve">Gildardo Antonio Agudelo Hernández </w:t>
      </w:r>
      <w:r w:rsidR="000A323F" w:rsidRPr="009F00E2">
        <w:rPr>
          <w:rFonts w:ascii="Tahoma" w:hAnsi="Tahoma" w:cs="Tahoma"/>
          <w:b/>
        </w:rPr>
        <w:t xml:space="preserve">y </w:t>
      </w:r>
      <w:r w:rsidR="00CE104C" w:rsidRPr="009F00E2">
        <w:rPr>
          <w:rFonts w:ascii="Tahoma" w:hAnsi="Tahoma" w:cs="Tahoma"/>
          <w:b/>
        </w:rPr>
        <w:t xml:space="preserve">Nancy María de Arce Guzmán </w:t>
      </w:r>
      <w:r w:rsidRPr="009F00E2">
        <w:rPr>
          <w:rFonts w:ascii="Tahoma" w:hAnsi="Tahoma" w:cs="Tahoma"/>
          <w:lang w:val="es-ES_tradnl"/>
        </w:rPr>
        <w:t xml:space="preserve">en contra de la </w:t>
      </w:r>
      <w:r w:rsidRPr="009F00E2">
        <w:rPr>
          <w:rFonts w:ascii="Tahoma" w:hAnsi="Tahoma" w:cs="Tahoma"/>
          <w:b/>
          <w:lang w:val="es-ES_tradnl"/>
        </w:rPr>
        <w:t xml:space="preserve">Administradora </w:t>
      </w:r>
      <w:r w:rsidR="000A323F" w:rsidRPr="009F00E2">
        <w:rPr>
          <w:rFonts w:ascii="Tahoma" w:hAnsi="Tahoma" w:cs="Tahoma"/>
          <w:b/>
          <w:lang w:val="es-ES_tradnl"/>
        </w:rPr>
        <w:t xml:space="preserve">de Pensiones y Cesantías – Protección S.A </w:t>
      </w:r>
      <w:r w:rsidR="00EF4380" w:rsidRPr="009F00E2">
        <w:rPr>
          <w:rFonts w:ascii="Tahoma" w:hAnsi="Tahoma" w:cs="Tahoma"/>
          <w:b/>
          <w:lang w:val="es-ES_tradnl"/>
        </w:rPr>
        <w:t>.</w:t>
      </w:r>
    </w:p>
    <w:p w:rsidR="006B0EE8" w:rsidRPr="00E22E26" w:rsidRDefault="006B0EE8" w:rsidP="00E22E26">
      <w:pPr>
        <w:pStyle w:val="Sinespaciado"/>
      </w:pPr>
    </w:p>
    <w:p w:rsidR="00DF2B71" w:rsidRPr="009F00E2" w:rsidRDefault="006B0EE8" w:rsidP="00B34ACF">
      <w:pPr>
        <w:pStyle w:val="Prrafodelista"/>
        <w:spacing w:line="276" w:lineRule="auto"/>
        <w:ind w:left="0" w:firstLine="709"/>
        <w:jc w:val="both"/>
        <w:rPr>
          <w:rFonts w:ascii="Tahoma" w:hAnsi="Tahoma" w:cs="Tahoma"/>
          <w:b/>
        </w:rPr>
      </w:pPr>
      <w:r w:rsidRPr="009F00E2">
        <w:rPr>
          <w:rFonts w:ascii="Tahoma" w:hAnsi="Tahoma" w:cs="Tahoma"/>
          <w:b/>
          <w:u w:val="single"/>
        </w:rPr>
        <w:t>SEGUNDO</w:t>
      </w:r>
      <w:r w:rsidRPr="009F00E2">
        <w:rPr>
          <w:rFonts w:ascii="Tahoma" w:hAnsi="Tahoma" w:cs="Tahoma"/>
          <w:b/>
        </w:rPr>
        <w:t xml:space="preserve">.- </w:t>
      </w:r>
      <w:r w:rsidR="00AD462E" w:rsidRPr="007E6B01">
        <w:rPr>
          <w:rFonts w:ascii="Tahoma" w:hAnsi="Tahoma" w:cs="Tahoma"/>
        </w:rPr>
        <w:t>Costas en esta instancia a cargo de la parte demandante. Liquídense por la Secretaría del juzgado de origen.</w:t>
      </w:r>
    </w:p>
    <w:p w:rsidR="006B0EE8" w:rsidRPr="009F00E2" w:rsidRDefault="006B0EE8" w:rsidP="00E22E26">
      <w:pPr>
        <w:pStyle w:val="Sinespaciado"/>
      </w:pPr>
    </w:p>
    <w:p w:rsidR="006B0EE8" w:rsidRPr="009F00E2" w:rsidRDefault="006B0EE8" w:rsidP="00B34ACF">
      <w:pPr>
        <w:pStyle w:val="Prrafodelista"/>
        <w:widowControl w:val="0"/>
        <w:autoSpaceDE w:val="0"/>
        <w:autoSpaceDN w:val="0"/>
        <w:adjustRightInd w:val="0"/>
        <w:spacing w:line="276" w:lineRule="auto"/>
        <w:ind w:left="0" w:firstLine="709"/>
        <w:jc w:val="both"/>
        <w:rPr>
          <w:rFonts w:ascii="Tahoma" w:hAnsi="Tahoma" w:cs="Tahoma"/>
        </w:rPr>
      </w:pPr>
      <w:r w:rsidRPr="009F00E2">
        <w:rPr>
          <w:rFonts w:ascii="Tahoma" w:hAnsi="Tahoma" w:cs="Tahoma"/>
          <w:b/>
          <w:bCs/>
        </w:rPr>
        <w:t>Notificación surtida en estrados.</w:t>
      </w:r>
      <w:r w:rsidR="00E22E26">
        <w:rPr>
          <w:rFonts w:ascii="Tahoma" w:hAnsi="Tahoma" w:cs="Tahoma"/>
          <w:b/>
          <w:bCs/>
        </w:rPr>
        <w:t xml:space="preserve"> </w:t>
      </w:r>
      <w:r w:rsidRPr="009F00E2">
        <w:rPr>
          <w:rFonts w:ascii="Tahoma" w:hAnsi="Tahoma" w:cs="Tahoma"/>
          <w:b/>
        </w:rPr>
        <w:t>Cúmplase</w:t>
      </w:r>
      <w:r w:rsidRPr="009F00E2">
        <w:rPr>
          <w:rFonts w:ascii="Tahoma" w:hAnsi="Tahoma" w:cs="Tahoma"/>
        </w:rPr>
        <w:t xml:space="preserve"> y </w:t>
      </w:r>
      <w:r w:rsidRPr="009F00E2">
        <w:rPr>
          <w:rFonts w:ascii="Tahoma" w:hAnsi="Tahoma" w:cs="Tahoma"/>
          <w:b/>
        </w:rPr>
        <w:t>devuélvase</w:t>
      </w:r>
      <w:r w:rsidRPr="009F00E2">
        <w:rPr>
          <w:rFonts w:ascii="Tahoma" w:hAnsi="Tahoma" w:cs="Tahoma"/>
        </w:rPr>
        <w:t xml:space="preserve"> el expediente al Juzgado de origen.</w:t>
      </w:r>
    </w:p>
    <w:p w:rsidR="000B4F1F" w:rsidRPr="009F00E2" w:rsidRDefault="000B4F1F" w:rsidP="00E22E26">
      <w:pPr>
        <w:pStyle w:val="Sinespaciado"/>
      </w:pPr>
      <w:r w:rsidRPr="009F00E2">
        <w:tab/>
      </w:r>
    </w:p>
    <w:p w:rsidR="000B4F1F" w:rsidRPr="009F00E2" w:rsidRDefault="000B4F1F" w:rsidP="00B34ACF">
      <w:pPr>
        <w:widowControl w:val="0"/>
        <w:autoSpaceDE w:val="0"/>
        <w:autoSpaceDN w:val="0"/>
        <w:adjustRightInd w:val="0"/>
        <w:ind w:firstLine="708"/>
        <w:jc w:val="both"/>
        <w:rPr>
          <w:rFonts w:ascii="Tahoma" w:hAnsi="Tahoma" w:cs="Tahoma"/>
        </w:rPr>
      </w:pPr>
      <w:r w:rsidRPr="009F00E2">
        <w:rPr>
          <w:rFonts w:ascii="Tahoma" w:hAnsi="Tahoma" w:cs="Tahoma"/>
        </w:rPr>
        <w:t>La Magistrada ponente,</w:t>
      </w:r>
    </w:p>
    <w:p w:rsidR="000B4F1F" w:rsidRPr="009F00E2" w:rsidRDefault="000B4F1F" w:rsidP="00B34ACF">
      <w:pPr>
        <w:rPr>
          <w:rFonts w:ascii="Tahoma" w:hAnsi="Tahoma" w:cs="Tahoma"/>
        </w:rPr>
      </w:pPr>
    </w:p>
    <w:p w:rsidR="006B0EE8" w:rsidRDefault="006B0EE8" w:rsidP="00B34ACF">
      <w:pPr>
        <w:rPr>
          <w:rFonts w:ascii="Tahoma" w:hAnsi="Tahoma" w:cs="Tahoma"/>
        </w:rPr>
      </w:pPr>
    </w:p>
    <w:p w:rsidR="00E908D3" w:rsidRDefault="00E908D3" w:rsidP="00B34ACF">
      <w:pPr>
        <w:rPr>
          <w:rFonts w:ascii="Tahoma" w:hAnsi="Tahoma" w:cs="Tahoma"/>
        </w:rPr>
      </w:pPr>
    </w:p>
    <w:p w:rsidR="00BC0B69" w:rsidRPr="009F00E2" w:rsidRDefault="00BC0B69" w:rsidP="00B34ACF">
      <w:pPr>
        <w:rPr>
          <w:rFonts w:ascii="Tahoma" w:hAnsi="Tahoma" w:cs="Tahoma"/>
        </w:rPr>
      </w:pPr>
    </w:p>
    <w:p w:rsidR="00DF2B71" w:rsidRPr="009F00E2" w:rsidRDefault="00DF2B71" w:rsidP="00B34ACF">
      <w:pPr>
        <w:rPr>
          <w:rFonts w:ascii="Tahoma" w:hAnsi="Tahoma" w:cs="Tahoma"/>
        </w:rPr>
      </w:pPr>
    </w:p>
    <w:p w:rsidR="003F45AE" w:rsidRDefault="003F45AE" w:rsidP="00B34ACF">
      <w:pPr>
        <w:rPr>
          <w:rFonts w:ascii="Tahoma" w:hAnsi="Tahoma" w:cs="Tahoma"/>
        </w:rPr>
      </w:pPr>
    </w:p>
    <w:p w:rsidR="000B4F1F" w:rsidRPr="009F00E2" w:rsidRDefault="000B4F1F" w:rsidP="00B34ACF">
      <w:pPr>
        <w:pStyle w:val="Ttulo3"/>
        <w:spacing w:before="0" w:after="0"/>
        <w:jc w:val="center"/>
        <w:rPr>
          <w:rFonts w:ascii="Tahoma" w:hAnsi="Tahoma" w:cs="Tahoma"/>
          <w:bCs w:val="0"/>
          <w:sz w:val="24"/>
          <w:szCs w:val="24"/>
        </w:rPr>
      </w:pPr>
      <w:r w:rsidRPr="009F00E2">
        <w:rPr>
          <w:rFonts w:ascii="Tahoma" w:hAnsi="Tahoma" w:cs="Tahoma"/>
          <w:bCs w:val="0"/>
          <w:sz w:val="24"/>
          <w:szCs w:val="24"/>
        </w:rPr>
        <w:t>ANA LUCÍA CAICEDO CALDERÓN</w:t>
      </w:r>
    </w:p>
    <w:p w:rsidR="00007112" w:rsidRPr="009F00E2" w:rsidRDefault="00007112" w:rsidP="00B34ACF">
      <w:pPr>
        <w:rPr>
          <w:rFonts w:ascii="Tahoma" w:hAnsi="Tahoma" w:cs="Tahoma"/>
          <w:b/>
        </w:rPr>
      </w:pPr>
    </w:p>
    <w:p w:rsidR="008E5CE2" w:rsidRPr="009F00E2" w:rsidRDefault="008E5CE2" w:rsidP="00B34ACF">
      <w:pPr>
        <w:rPr>
          <w:rFonts w:ascii="Tahoma" w:hAnsi="Tahoma" w:cs="Tahoma"/>
          <w:b/>
        </w:rPr>
      </w:pPr>
    </w:p>
    <w:p w:rsidR="003F45AE" w:rsidRDefault="003F45AE" w:rsidP="00B34ACF">
      <w:pPr>
        <w:rPr>
          <w:rFonts w:ascii="Tahoma" w:hAnsi="Tahoma" w:cs="Tahoma"/>
          <w:b/>
        </w:rPr>
      </w:pPr>
    </w:p>
    <w:p w:rsidR="00BC0B69" w:rsidRPr="009F00E2" w:rsidRDefault="00BC0B69" w:rsidP="00B34ACF">
      <w:pPr>
        <w:rPr>
          <w:rFonts w:ascii="Tahoma" w:hAnsi="Tahoma" w:cs="Tahoma"/>
          <w:b/>
        </w:rPr>
      </w:pPr>
    </w:p>
    <w:p w:rsidR="003F45AE" w:rsidRPr="009F00E2" w:rsidRDefault="003F45AE" w:rsidP="00B34ACF">
      <w:pPr>
        <w:rPr>
          <w:rFonts w:ascii="Tahoma" w:hAnsi="Tahoma" w:cs="Tahoma"/>
          <w:b/>
        </w:rPr>
      </w:pPr>
    </w:p>
    <w:p w:rsidR="000B4F1F" w:rsidRPr="009F00E2" w:rsidRDefault="000B4F1F" w:rsidP="00B34ACF">
      <w:pPr>
        <w:rPr>
          <w:rFonts w:ascii="Tahoma" w:hAnsi="Tahoma" w:cs="Tahoma"/>
          <w:b/>
        </w:rPr>
      </w:pPr>
    </w:p>
    <w:p w:rsidR="000B4F1F" w:rsidRPr="009F00E2" w:rsidRDefault="000B4F1F" w:rsidP="00B34ACF">
      <w:pPr>
        <w:rPr>
          <w:rFonts w:ascii="Tahoma" w:hAnsi="Tahoma" w:cs="Tahoma"/>
          <w:b/>
        </w:rPr>
      </w:pPr>
    </w:p>
    <w:p w:rsidR="000B4F1F" w:rsidRPr="009F00E2" w:rsidRDefault="000B4F1F" w:rsidP="00B34ACF">
      <w:pPr>
        <w:jc w:val="both"/>
        <w:rPr>
          <w:rFonts w:ascii="Tahoma" w:hAnsi="Tahoma" w:cs="Tahoma"/>
          <w:b/>
        </w:rPr>
      </w:pPr>
      <w:r w:rsidRPr="009F00E2">
        <w:rPr>
          <w:rFonts w:ascii="Tahoma" w:hAnsi="Tahoma" w:cs="Tahoma"/>
          <w:b/>
        </w:rPr>
        <w:t>OLGA LUCÍA HOYOS SEPULVEDA                        JULIO CÉSAR SALAZAR MUÑOZ</w:t>
      </w:r>
      <w:r w:rsidRPr="009F00E2">
        <w:rPr>
          <w:rFonts w:ascii="Tahoma" w:hAnsi="Tahoma" w:cs="Tahoma"/>
          <w:b/>
        </w:rPr>
        <w:tab/>
      </w:r>
    </w:p>
    <w:p w:rsidR="008E5CE2" w:rsidRPr="00E22E26" w:rsidRDefault="00DF2B71" w:rsidP="00E22E26">
      <w:pPr>
        <w:widowControl w:val="0"/>
        <w:autoSpaceDE w:val="0"/>
        <w:autoSpaceDN w:val="0"/>
        <w:adjustRightInd w:val="0"/>
        <w:spacing w:line="276" w:lineRule="auto"/>
        <w:ind w:firstLine="708"/>
        <w:jc w:val="both"/>
        <w:rPr>
          <w:rFonts w:ascii="Tahoma" w:hAnsi="Tahoma" w:cs="Tahoma"/>
        </w:rPr>
      </w:pPr>
      <w:r w:rsidRPr="009F00E2">
        <w:rPr>
          <w:rFonts w:ascii="Tahoma" w:hAnsi="Tahoma" w:cs="Tahoma"/>
        </w:rPr>
        <w:t xml:space="preserve">  </w:t>
      </w:r>
      <w:r w:rsidR="009F00E2">
        <w:rPr>
          <w:rFonts w:ascii="Tahoma" w:hAnsi="Tahoma" w:cs="Tahoma"/>
        </w:rPr>
        <w:t xml:space="preserve">   </w:t>
      </w:r>
      <w:r w:rsidR="000B4F1F" w:rsidRPr="009F00E2">
        <w:rPr>
          <w:rFonts w:ascii="Tahoma" w:hAnsi="Tahoma" w:cs="Tahoma"/>
        </w:rPr>
        <w:t xml:space="preserve">  Magistrada                                                 </w:t>
      </w:r>
      <w:r w:rsidR="009F00E2">
        <w:rPr>
          <w:rFonts w:ascii="Tahoma" w:hAnsi="Tahoma" w:cs="Tahoma"/>
        </w:rPr>
        <w:t xml:space="preserve">             M</w:t>
      </w:r>
      <w:r w:rsidR="000B4F1F" w:rsidRPr="009F00E2">
        <w:rPr>
          <w:rFonts w:ascii="Tahoma" w:hAnsi="Tahoma" w:cs="Tahoma"/>
        </w:rPr>
        <w:t>agistrado</w:t>
      </w:r>
    </w:p>
    <w:sectPr w:rsidR="008E5CE2" w:rsidRPr="00E22E26"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6C" w:rsidRDefault="00F8056C">
      <w:r>
        <w:separator/>
      </w:r>
    </w:p>
  </w:endnote>
  <w:endnote w:type="continuationSeparator" w:id="0">
    <w:p w:rsidR="00F8056C" w:rsidRDefault="00F8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77" w:rsidRPr="0002458E" w:rsidRDefault="00C04877">
    <w:pPr>
      <w:pStyle w:val="Piedepgina"/>
      <w:jc w:val="right"/>
    </w:pPr>
    <w:r w:rsidRPr="0002458E">
      <w:fldChar w:fldCharType="begin"/>
    </w:r>
    <w:r w:rsidRPr="0002458E">
      <w:instrText>PAGE   \* MERGEFORMAT</w:instrText>
    </w:r>
    <w:r w:rsidRPr="0002458E">
      <w:fldChar w:fldCharType="separate"/>
    </w:r>
    <w:r w:rsidR="00087C00">
      <w:rPr>
        <w:noProof/>
      </w:rPr>
      <w:t>5</w:t>
    </w:r>
    <w:r w:rsidRPr="0002458E">
      <w:fldChar w:fldCharType="end"/>
    </w:r>
  </w:p>
  <w:p w:rsidR="00C04877" w:rsidRDefault="00C048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77" w:rsidRDefault="00C04877">
    <w:pPr>
      <w:pStyle w:val="Piedepgina"/>
      <w:jc w:val="right"/>
    </w:pPr>
    <w:r>
      <w:fldChar w:fldCharType="begin"/>
    </w:r>
    <w:r>
      <w:instrText>PAGE   \* MERGEFORMAT</w:instrText>
    </w:r>
    <w:r>
      <w:fldChar w:fldCharType="separate"/>
    </w:r>
    <w:r w:rsidR="00087C00">
      <w:rPr>
        <w:noProof/>
      </w:rPr>
      <w:t>1</w:t>
    </w:r>
    <w:r>
      <w:fldChar w:fldCharType="end"/>
    </w:r>
  </w:p>
  <w:p w:rsidR="00C04877" w:rsidRDefault="00C048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6C" w:rsidRDefault="00F8056C">
      <w:r>
        <w:separator/>
      </w:r>
    </w:p>
  </w:footnote>
  <w:footnote w:type="continuationSeparator" w:id="0">
    <w:p w:rsidR="00F8056C" w:rsidRDefault="00F80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77" w:rsidRDefault="00C0487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04877" w:rsidRDefault="00C048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77" w:rsidRDefault="00C04877"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66001-31-05-005-2016-00503</w:t>
    </w:r>
    <w:r w:rsidRPr="00C1698B">
      <w:rPr>
        <w:rFonts w:ascii="Times New Roman" w:hAnsi="Times New Roman" w:cs="Times New Roman"/>
        <w:b w:val="0"/>
        <w:sz w:val="16"/>
        <w:szCs w:val="16"/>
      </w:rPr>
      <w:t>-01</w:t>
    </w:r>
  </w:p>
  <w:p w:rsidR="00C04877" w:rsidRDefault="00C04877"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Demandante:</w:t>
    </w:r>
    <w:r>
      <w:rPr>
        <w:rFonts w:ascii="Times New Roman" w:hAnsi="Times New Roman" w:cs="Times New Roman"/>
        <w:b w:val="0"/>
        <w:sz w:val="16"/>
        <w:szCs w:val="16"/>
      </w:rPr>
      <w:t xml:space="preserve"> Gildardo Antonio Agudelo Hernández y Nancy María de Arce Guzmán </w:t>
    </w:r>
  </w:p>
  <w:p w:rsidR="00C04877" w:rsidRPr="00C1698B" w:rsidRDefault="00C04877"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Demandado:</w:t>
    </w:r>
    <w:r>
      <w:rPr>
        <w:rFonts w:ascii="Times New Roman" w:hAnsi="Times New Roman" w:cs="Times New Roman"/>
        <w:b w:val="0"/>
        <w:sz w:val="16"/>
        <w:szCs w:val="16"/>
      </w:rPr>
      <w:t xml:space="preserve"> Protección S.A</w:t>
    </w:r>
  </w:p>
  <w:p w:rsidR="00C04877" w:rsidRDefault="00C04877"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E5F16D1"/>
    <w:multiLevelType w:val="hybridMultilevel"/>
    <w:tmpl w:val="F29E5B18"/>
    <w:lvl w:ilvl="0" w:tplc="42C85AD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9">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5"/>
  </w:num>
  <w:num w:numId="3">
    <w:abstractNumId w:val="24"/>
  </w:num>
  <w:num w:numId="4">
    <w:abstractNumId w:val="23"/>
  </w:num>
  <w:num w:numId="5">
    <w:abstractNumId w:val="19"/>
  </w:num>
  <w:num w:numId="6">
    <w:abstractNumId w:val="17"/>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28"/>
  </w:num>
  <w:num w:numId="15">
    <w:abstractNumId w:val="30"/>
  </w:num>
  <w:num w:numId="16">
    <w:abstractNumId w:val="29"/>
  </w:num>
  <w:num w:numId="17">
    <w:abstractNumId w:val="18"/>
  </w:num>
  <w:num w:numId="18">
    <w:abstractNumId w:val="33"/>
  </w:num>
  <w:num w:numId="19">
    <w:abstractNumId w:val="34"/>
  </w:num>
  <w:num w:numId="20">
    <w:abstractNumId w:val="25"/>
  </w:num>
  <w:num w:numId="21">
    <w:abstractNumId w:val="32"/>
  </w:num>
  <w:num w:numId="22">
    <w:abstractNumId w:val="27"/>
  </w:num>
  <w:num w:numId="23">
    <w:abstractNumId w:val="26"/>
  </w:num>
  <w:num w:numId="24">
    <w:abstractNumId w:val="0"/>
  </w:num>
  <w:num w:numId="25">
    <w:abstractNumId w:val="21"/>
  </w:num>
  <w:num w:numId="26">
    <w:abstractNumId w:val="20"/>
  </w:num>
  <w:num w:numId="27">
    <w:abstractNumId w:val="9"/>
  </w:num>
  <w:num w:numId="28">
    <w:abstractNumId w:val="36"/>
  </w:num>
  <w:num w:numId="29">
    <w:abstractNumId w:val="12"/>
  </w:num>
  <w:num w:numId="30">
    <w:abstractNumId w:val="7"/>
  </w:num>
  <w:num w:numId="31">
    <w:abstractNumId w:val="10"/>
  </w:num>
  <w:num w:numId="32">
    <w:abstractNumId w:val="5"/>
  </w:num>
  <w:num w:numId="33">
    <w:abstractNumId w:val="22"/>
  </w:num>
  <w:num w:numId="34">
    <w:abstractNumId w:val="2"/>
  </w:num>
  <w:num w:numId="35">
    <w:abstractNumId w:val="31"/>
  </w:num>
  <w:num w:numId="36">
    <w:abstractNumId w:val="6"/>
  </w:num>
  <w:num w:numId="37">
    <w:abstractNumId w:val="4"/>
  </w:num>
  <w:num w:numId="3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CEA"/>
    <w:rsid w:val="00001E22"/>
    <w:rsid w:val="00002362"/>
    <w:rsid w:val="000027FB"/>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1D6A"/>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164"/>
    <w:rsid w:val="00037530"/>
    <w:rsid w:val="00037AF3"/>
    <w:rsid w:val="00037FB7"/>
    <w:rsid w:val="000400DC"/>
    <w:rsid w:val="00040B1B"/>
    <w:rsid w:val="00041F36"/>
    <w:rsid w:val="000423AA"/>
    <w:rsid w:val="000424DD"/>
    <w:rsid w:val="000424FE"/>
    <w:rsid w:val="00042929"/>
    <w:rsid w:val="00042D64"/>
    <w:rsid w:val="00043582"/>
    <w:rsid w:val="00043CBC"/>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4F57"/>
    <w:rsid w:val="00056F1F"/>
    <w:rsid w:val="00057644"/>
    <w:rsid w:val="00057E02"/>
    <w:rsid w:val="0006298A"/>
    <w:rsid w:val="000634C3"/>
    <w:rsid w:val="00063FBC"/>
    <w:rsid w:val="000648D8"/>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C00"/>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23F"/>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0D01"/>
    <w:rsid w:val="000C1504"/>
    <w:rsid w:val="000C1551"/>
    <w:rsid w:val="000C1808"/>
    <w:rsid w:val="000C2226"/>
    <w:rsid w:val="000C264A"/>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60D"/>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4F3B"/>
    <w:rsid w:val="0010539E"/>
    <w:rsid w:val="001070DD"/>
    <w:rsid w:val="00107553"/>
    <w:rsid w:val="00107712"/>
    <w:rsid w:val="0010779E"/>
    <w:rsid w:val="00107AB5"/>
    <w:rsid w:val="001102C3"/>
    <w:rsid w:val="00110367"/>
    <w:rsid w:val="001103AC"/>
    <w:rsid w:val="0011286C"/>
    <w:rsid w:val="00112F15"/>
    <w:rsid w:val="00113705"/>
    <w:rsid w:val="00113870"/>
    <w:rsid w:val="00113AF1"/>
    <w:rsid w:val="00114AD3"/>
    <w:rsid w:val="001162F4"/>
    <w:rsid w:val="001172A8"/>
    <w:rsid w:val="001174B9"/>
    <w:rsid w:val="00120A35"/>
    <w:rsid w:val="00120EAB"/>
    <w:rsid w:val="00122140"/>
    <w:rsid w:val="00122521"/>
    <w:rsid w:val="00123412"/>
    <w:rsid w:val="00123767"/>
    <w:rsid w:val="00124D1E"/>
    <w:rsid w:val="00125ABA"/>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149"/>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50C3"/>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4E75"/>
    <w:rsid w:val="001A5A7A"/>
    <w:rsid w:val="001A5C23"/>
    <w:rsid w:val="001A6356"/>
    <w:rsid w:val="001A69F9"/>
    <w:rsid w:val="001A74B7"/>
    <w:rsid w:val="001A762A"/>
    <w:rsid w:val="001A7850"/>
    <w:rsid w:val="001A7FD7"/>
    <w:rsid w:val="001B03FF"/>
    <w:rsid w:val="001B07DE"/>
    <w:rsid w:val="001B0A01"/>
    <w:rsid w:val="001B0B83"/>
    <w:rsid w:val="001B0E68"/>
    <w:rsid w:val="001B1178"/>
    <w:rsid w:val="001B237E"/>
    <w:rsid w:val="001B26BD"/>
    <w:rsid w:val="001B3CDE"/>
    <w:rsid w:val="001B3E4E"/>
    <w:rsid w:val="001B5F3A"/>
    <w:rsid w:val="001B6E90"/>
    <w:rsid w:val="001B76BD"/>
    <w:rsid w:val="001C03A9"/>
    <w:rsid w:val="001C14EA"/>
    <w:rsid w:val="001C1CDC"/>
    <w:rsid w:val="001C2224"/>
    <w:rsid w:val="001C2DB5"/>
    <w:rsid w:val="001C4178"/>
    <w:rsid w:val="001C4293"/>
    <w:rsid w:val="001C46CD"/>
    <w:rsid w:val="001C4719"/>
    <w:rsid w:val="001C4780"/>
    <w:rsid w:val="001C512A"/>
    <w:rsid w:val="001C5B1C"/>
    <w:rsid w:val="001C7F1D"/>
    <w:rsid w:val="001D153F"/>
    <w:rsid w:val="001D2276"/>
    <w:rsid w:val="001D2C29"/>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56B62"/>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0620"/>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63C"/>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1D2F"/>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0E36"/>
    <w:rsid w:val="002F11B1"/>
    <w:rsid w:val="002F13EA"/>
    <w:rsid w:val="002F347F"/>
    <w:rsid w:val="002F36B3"/>
    <w:rsid w:val="002F394A"/>
    <w:rsid w:val="002F3BB8"/>
    <w:rsid w:val="002F4257"/>
    <w:rsid w:val="002F4897"/>
    <w:rsid w:val="002F4962"/>
    <w:rsid w:val="002F5385"/>
    <w:rsid w:val="002F5438"/>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17845"/>
    <w:rsid w:val="00320D1D"/>
    <w:rsid w:val="0032124D"/>
    <w:rsid w:val="003216D0"/>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2A2"/>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6F2"/>
    <w:rsid w:val="003837C8"/>
    <w:rsid w:val="00384432"/>
    <w:rsid w:val="00385042"/>
    <w:rsid w:val="00385E8A"/>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5A8"/>
    <w:rsid w:val="003C0C9A"/>
    <w:rsid w:val="003C1DD7"/>
    <w:rsid w:val="003C2237"/>
    <w:rsid w:val="003C2541"/>
    <w:rsid w:val="003C2FB0"/>
    <w:rsid w:val="003C3278"/>
    <w:rsid w:val="003C4838"/>
    <w:rsid w:val="003C485E"/>
    <w:rsid w:val="003C4B44"/>
    <w:rsid w:val="003C5545"/>
    <w:rsid w:val="003C67F6"/>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605"/>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124A"/>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2ECD"/>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9A3"/>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189"/>
    <w:rsid w:val="0049244C"/>
    <w:rsid w:val="00492486"/>
    <w:rsid w:val="00492A9E"/>
    <w:rsid w:val="00493E08"/>
    <w:rsid w:val="004940ED"/>
    <w:rsid w:val="00494331"/>
    <w:rsid w:val="00494BA4"/>
    <w:rsid w:val="00495560"/>
    <w:rsid w:val="00495E07"/>
    <w:rsid w:val="00496A32"/>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C"/>
    <w:rsid w:val="004A508D"/>
    <w:rsid w:val="004A5823"/>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84A"/>
    <w:rsid w:val="004B7C9C"/>
    <w:rsid w:val="004B7CFC"/>
    <w:rsid w:val="004C092A"/>
    <w:rsid w:val="004C0DD4"/>
    <w:rsid w:val="004C1050"/>
    <w:rsid w:val="004C1650"/>
    <w:rsid w:val="004C2405"/>
    <w:rsid w:val="004C36BF"/>
    <w:rsid w:val="004C3D4F"/>
    <w:rsid w:val="004C430C"/>
    <w:rsid w:val="004C45EE"/>
    <w:rsid w:val="004C4B30"/>
    <w:rsid w:val="004C4CF9"/>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4888"/>
    <w:rsid w:val="004E5E6C"/>
    <w:rsid w:val="004E62E1"/>
    <w:rsid w:val="004E6B0C"/>
    <w:rsid w:val="004E70C1"/>
    <w:rsid w:val="004F0469"/>
    <w:rsid w:val="004F1C0F"/>
    <w:rsid w:val="004F1D2C"/>
    <w:rsid w:val="004F1FD4"/>
    <w:rsid w:val="004F2069"/>
    <w:rsid w:val="004F31FF"/>
    <w:rsid w:val="004F407D"/>
    <w:rsid w:val="004F43F1"/>
    <w:rsid w:val="004F48F6"/>
    <w:rsid w:val="004F4F15"/>
    <w:rsid w:val="004F6882"/>
    <w:rsid w:val="004F69C5"/>
    <w:rsid w:val="004F71FA"/>
    <w:rsid w:val="004F7351"/>
    <w:rsid w:val="004F7C33"/>
    <w:rsid w:val="00500756"/>
    <w:rsid w:val="00501390"/>
    <w:rsid w:val="005014A9"/>
    <w:rsid w:val="00503101"/>
    <w:rsid w:val="00504FBE"/>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99D"/>
    <w:rsid w:val="00560B96"/>
    <w:rsid w:val="00560C3D"/>
    <w:rsid w:val="00560C46"/>
    <w:rsid w:val="00560E7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643"/>
    <w:rsid w:val="00590AD8"/>
    <w:rsid w:val="00591329"/>
    <w:rsid w:val="005918AF"/>
    <w:rsid w:val="00592A13"/>
    <w:rsid w:val="00593452"/>
    <w:rsid w:val="00593CA9"/>
    <w:rsid w:val="005941FD"/>
    <w:rsid w:val="00594769"/>
    <w:rsid w:val="00595856"/>
    <w:rsid w:val="0059678F"/>
    <w:rsid w:val="00596972"/>
    <w:rsid w:val="00596BBA"/>
    <w:rsid w:val="00597947"/>
    <w:rsid w:val="005A02B3"/>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58E"/>
    <w:rsid w:val="005B2EFE"/>
    <w:rsid w:val="005B33CE"/>
    <w:rsid w:val="005B37F1"/>
    <w:rsid w:val="005B4056"/>
    <w:rsid w:val="005B7021"/>
    <w:rsid w:val="005B72F4"/>
    <w:rsid w:val="005C0F48"/>
    <w:rsid w:val="005C1171"/>
    <w:rsid w:val="005C214D"/>
    <w:rsid w:val="005C25C2"/>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D0F"/>
    <w:rsid w:val="005F3E14"/>
    <w:rsid w:val="005F4267"/>
    <w:rsid w:val="005F46E5"/>
    <w:rsid w:val="005F5194"/>
    <w:rsid w:val="005F5575"/>
    <w:rsid w:val="005F5ADF"/>
    <w:rsid w:val="005F5B27"/>
    <w:rsid w:val="005F6045"/>
    <w:rsid w:val="005F628F"/>
    <w:rsid w:val="005F6986"/>
    <w:rsid w:val="005F6EEC"/>
    <w:rsid w:val="005F72A6"/>
    <w:rsid w:val="005F7D80"/>
    <w:rsid w:val="00600136"/>
    <w:rsid w:val="006005EE"/>
    <w:rsid w:val="0060123E"/>
    <w:rsid w:val="00601D2E"/>
    <w:rsid w:val="00601E68"/>
    <w:rsid w:val="0060282E"/>
    <w:rsid w:val="00602F78"/>
    <w:rsid w:val="006033E3"/>
    <w:rsid w:val="00603759"/>
    <w:rsid w:val="006045D6"/>
    <w:rsid w:val="00604A2C"/>
    <w:rsid w:val="00604C9F"/>
    <w:rsid w:val="00604DEC"/>
    <w:rsid w:val="006051E6"/>
    <w:rsid w:val="00605224"/>
    <w:rsid w:val="00605933"/>
    <w:rsid w:val="00606B1F"/>
    <w:rsid w:val="00606C0F"/>
    <w:rsid w:val="006072B6"/>
    <w:rsid w:val="0060738D"/>
    <w:rsid w:val="00607AC0"/>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2676"/>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827"/>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284"/>
    <w:rsid w:val="006D435F"/>
    <w:rsid w:val="006D4CFE"/>
    <w:rsid w:val="006D4E48"/>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055"/>
    <w:rsid w:val="006F5471"/>
    <w:rsid w:val="006F5A8B"/>
    <w:rsid w:val="006F63B7"/>
    <w:rsid w:val="006F6FFC"/>
    <w:rsid w:val="006F74C5"/>
    <w:rsid w:val="00701153"/>
    <w:rsid w:val="0070134C"/>
    <w:rsid w:val="007014F8"/>
    <w:rsid w:val="00701E01"/>
    <w:rsid w:val="0070284B"/>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2D93"/>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7E1"/>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752"/>
    <w:rsid w:val="00751D83"/>
    <w:rsid w:val="00751EE6"/>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AA1"/>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6B2A"/>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072"/>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49"/>
    <w:rsid w:val="007E425F"/>
    <w:rsid w:val="007E4570"/>
    <w:rsid w:val="007E488B"/>
    <w:rsid w:val="007E4903"/>
    <w:rsid w:val="007E4B08"/>
    <w:rsid w:val="007E5CD6"/>
    <w:rsid w:val="007E646E"/>
    <w:rsid w:val="007E69CD"/>
    <w:rsid w:val="007E6A0B"/>
    <w:rsid w:val="007E7D03"/>
    <w:rsid w:val="007E7E41"/>
    <w:rsid w:val="007F0E86"/>
    <w:rsid w:val="007F0F5B"/>
    <w:rsid w:val="007F1F59"/>
    <w:rsid w:val="007F2707"/>
    <w:rsid w:val="007F2CD5"/>
    <w:rsid w:val="007F4058"/>
    <w:rsid w:val="007F43EF"/>
    <w:rsid w:val="007F4D78"/>
    <w:rsid w:val="007F5D10"/>
    <w:rsid w:val="007F6520"/>
    <w:rsid w:val="007F696A"/>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147"/>
    <w:rsid w:val="00813908"/>
    <w:rsid w:val="00813EAE"/>
    <w:rsid w:val="0081448F"/>
    <w:rsid w:val="0081479D"/>
    <w:rsid w:val="00814923"/>
    <w:rsid w:val="00815322"/>
    <w:rsid w:val="00815A7D"/>
    <w:rsid w:val="0081628A"/>
    <w:rsid w:val="008165FB"/>
    <w:rsid w:val="0081673E"/>
    <w:rsid w:val="00816C15"/>
    <w:rsid w:val="00816F82"/>
    <w:rsid w:val="00820469"/>
    <w:rsid w:val="00820CB4"/>
    <w:rsid w:val="00820EF2"/>
    <w:rsid w:val="0082175C"/>
    <w:rsid w:val="008228FE"/>
    <w:rsid w:val="00823A0F"/>
    <w:rsid w:val="00823AB6"/>
    <w:rsid w:val="00823BDB"/>
    <w:rsid w:val="00824291"/>
    <w:rsid w:val="008243A5"/>
    <w:rsid w:val="0082471B"/>
    <w:rsid w:val="00824A9D"/>
    <w:rsid w:val="00824DBF"/>
    <w:rsid w:val="008253A9"/>
    <w:rsid w:val="0082771A"/>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3F01"/>
    <w:rsid w:val="0088455A"/>
    <w:rsid w:val="00884E1D"/>
    <w:rsid w:val="00885370"/>
    <w:rsid w:val="008853CB"/>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A7A62"/>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716"/>
    <w:rsid w:val="008C4A30"/>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537"/>
    <w:rsid w:val="008E5CE2"/>
    <w:rsid w:val="008E6C43"/>
    <w:rsid w:val="008E72F2"/>
    <w:rsid w:val="008F02C2"/>
    <w:rsid w:val="008F0382"/>
    <w:rsid w:val="008F0439"/>
    <w:rsid w:val="008F0536"/>
    <w:rsid w:val="008F15DA"/>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5C57"/>
    <w:rsid w:val="00916848"/>
    <w:rsid w:val="0091686A"/>
    <w:rsid w:val="00916BB3"/>
    <w:rsid w:val="00916D41"/>
    <w:rsid w:val="009172CA"/>
    <w:rsid w:val="00917DA5"/>
    <w:rsid w:val="0092012F"/>
    <w:rsid w:val="0092060D"/>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47996"/>
    <w:rsid w:val="00950717"/>
    <w:rsid w:val="009509CC"/>
    <w:rsid w:val="009510BE"/>
    <w:rsid w:val="009516A9"/>
    <w:rsid w:val="00951A53"/>
    <w:rsid w:val="009529F5"/>
    <w:rsid w:val="00952D0A"/>
    <w:rsid w:val="0095381C"/>
    <w:rsid w:val="00953C96"/>
    <w:rsid w:val="0095406A"/>
    <w:rsid w:val="00955200"/>
    <w:rsid w:val="009555F2"/>
    <w:rsid w:val="00955A0D"/>
    <w:rsid w:val="00955B1E"/>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77EC9"/>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2B9"/>
    <w:rsid w:val="009B29A6"/>
    <w:rsid w:val="009B3851"/>
    <w:rsid w:val="009B3F8F"/>
    <w:rsid w:val="009B43C5"/>
    <w:rsid w:val="009B5339"/>
    <w:rsid w:val="009B5C1C"/>
    <w:rsid w:val="009B6875"/>
    <w:rsid w:val="009B6923"/>
    <w:rsid w:val="009B79EE"/>
    <w:rsid w:val="009B7B37"/>
    <w:rsid w:val="009B7D2C"/>
    <w:rsid w:val="009C0108"/>
    <w:rsid w:val="009C0E4A"/>
    <w:rsid w:val="009C1081"/>
    <w:rsid w:val="009C1475"/>
    <w:rsid w:val="009C178C"/>
    <w:rsid w:val="009C1E5A"/>
    <w:rsid w:val="009C23E0"/>
    <w:rsid w:val="009C2B0C"/>
    <w:rsid w:val="009C2BB4"/>
    <w:rsid w:val="009C2E0E"/>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621"/>
    <w:rsid w:val="009E5C1F"/>
    <w:rsid w:val="009E72A7"/>
    <w:rsid w:val="009E782D"/>
    <w:rsid w:val="009F00E2"/>
    <w:rsid w:val="009F1086"/>
    <w:rsid w:val="009F2CDF"/>
    <w:rsid w:val="009F3150"/>
    <w:rsid w:val="009F3F98"/>
    <w:rsid w:val="009F4358"/>
    <w:rsid w:val="009F4A0B"/>
    <w:rsid w:val="009F7425"/>
    <w:rsid w:val="009F7588"/>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2A0"/>
    <w:rsid w:val="00A147A0"/>
    <w:rsid w:val="00A14BB6"/>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B03"/>
    <w:rsid w:val="00A37CF9"/>
    <w:rsid w:val="00A37F81"/>
    <w:rsid w:val="00A414EA"/>
    <w:rsid w:val="00A419DD"/>
    <w:rsid w:val="00A41ACF"/>
    <w:rsid w:val="00A41D55"/>
    <w:rsid w:val="00A42479"/>
    <w:rsid w:val="00A43BB8"/>
    <w:rsid w:val="00A443BC"/>
    <w:rsid w:val="00A44DE9"/>
    <w:rsid w:val="00A45733"/>
    <w:rsid w:val="00A457C8"/>
    <w:rsid w:val="00A4627C"/>
    <w:rsid w:val="00A46822"/>
    <w:rsid w:val="00A47D7C"/>
    <w:rsid w:val="00A50DA7"/>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5E0"/>
    <w:rsid w:val="00A83722"/>
    <w:rsid w:val="00A84779"/>
    <w:rsid w:val="00A868F7"/>
    <w:rsid w:val="00A86B4F"/>
    <w:rsid w:val="00A86CAE"/>
    <w:rsid w:val="00A87B6A"/>
    <w:rsid w:val="00A87FBF"/>
    <w:rsid w:val="00A90108"/>
    <w:rsid w:val="00A905A0"/>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4ED1"/>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6BB4"/>
    <w:rsid w:val="00AB7B56"/>
    <w:rsid w:val="00AB7D82"/>
    <w:rsid w:val="00AC037A"/>
    <w:rsid w:val="00AC0705"/>
    <w:rsid w:val="00AC0A22"/>
    <w:rsid w:val="00AC168E"/>
    <w:rsid w:val="00AC1D88"/>
    <w:rsid w:val="00AC2030"/>
    <w:rsid w:val="00AC229F"/>
    <w:rsid w:val="00AC2A42"/>
    <w:rsid w:val="00AC373B"/>
    <w:rsid w:val="00AC38EC"/>
    <w:rsid w:val="00AC3BF4"/>
    <w:rsid w:val="00AC3FB9"/>
    <w:rsid w:val="00AC5139"/>
    <w:rsid w:val="00AC5D25"/>
    <w:rsid w:val="00AC618B"/>
    <w:rsid w:val="00AC6676"/>
    <w:rsid w:val="00AC7A44"/>
    <w:rsid w:val="00AD17BA"/>
    <w:rsid w:val="00AD1E37"/>
    <w:rsid w:val="00AD252D"/>
    <w:rsid w:val="00AD2E5A"/>
    <w:rsid w:val="00AD2F0D"/>
    <w:rsid w:val="00AD2F77"/>
    <w:rsid w:val="00AD386A"/>
    <w:rsid w:val="00AD40FF"/>
    <w:rsid w:val="00AD45D4"/>
    <w:rsid w:val="00AD462E"/>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C0C"/>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0996"/>
    <w:rsid w:val="00B41CAF"/>
    <w:rsid w:val="00B4219B"/>
    <w:rsid w:val="00B43BEE"/>
    <w:rsid w:val="00B4463E"/>
    <w:rsid w:val="00B44856"/>
    <w:rsid w:val="00B459E5"/>
    <w:rsid w:val="00B46330"/>
    <w:rsid w:val="00B47ADC"/>
    <w:rsid w:val="00B540BB"/>
    <w:rsid w:val="00B54344"/>
    <w:rsid w:val="00B54374"/>
    <w:rsid w:val="00B55327"/>
    <w:rsid w:val="00B5545C"/>
    <w:rsid w:val="00B57956"/>
    <w:rsid w:val="00B57B19"/>
    <w:rsid w:val="00B604FB"/>
    <w:rsid w:val="00B60EFB"/>
    <w:rsid w:val="00B613C3"/>
    <w:rsid w:val="00B61FEC"/>
    <w:rsid w:val="00B62B6A"/>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5D6"/>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5B37"/>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0B69"/>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2224"/>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4877"/>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7C0"/>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86F99"/>
    <w:rsid w:val="00C8747E"/>
    <w:rsid w:val="00C87B52"/>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4AA0"/>
    <w:rsid w:val="00CD55CD"/>
    <w:rsid w:val="00CD5941"/>
    <w:rsid w:val="00CD5CEB"/>
    <w:rsid w:val="00CD64B2"/>
    <w:rsid w:val="00CD6847"/>
    <w:rsid w:val="00CD7F5A"/>
    <w:rsid w:val="00CE0156"/>
    <w:rsid w:val="00CE07B1"/>
    <w:rsid w:val="00CE104C"/>
    <w:rsid w:val="00CE1429"/>
    <w:rsid w:val="00CE16CE"/>
    <w:rsid w:val="00CE1E28"/>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351"/>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0A2"/>
    <w:rsid w:val="00D32457"/>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096"/>
    <w:rsid w:val="00D411CF"/>
    <w:rsid w:val="00D41BA7"/>
    <w:rsid w:val="00D424F5"/>
    <w:rsid w:val="00D42937"/>
    <w:rsid w:val="00D4361E"/>
    <w:rsid w:val="00D43DD6"/>
    <w:rsid w:val="00D440C2"/>
    <w:rsid w:val="00D442D6"/>
    <w:rsid w:val="00D44E2C"/>
    <w:rsid w:val="00D456F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1E57"/>
    <w:rsid w:val="00D6200D"/>
    <w:rsid w:val="00D64C01"/>
    <w:rsid w:val="00D64DC3"/>
    <w:rsid w:val="00D65299"/>
    <w:rsid w:val="00D655CF"/>
    <w:rsid w:val="00D65F50"/>
    <w:rsid w:val="00D66EF2"/>
    <w:rsid w:val="00D66F1F"/>
    <w:rsid w:val="00D67344"/>
    <w:rsid w:val="00D67A20"/>
    <w:rsid w:val="00D702D4"/>
    <w:rsid w:val="00D705D6"/>
    <w:rsid w:val="00D70F03"/>
    <w:rsid w:val="00D71894"/>
    <w:rsid w:val="00D724B3"/>
    <w:rsid w:val="00D72C0A"/>
    <w:rsid w:val="00D733C7"/>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47FA"/>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25A6"/>
    <w:rsid w:val="00DD3315"/>
    <w:rsid w:val="00DD40EE"/>
    <w:rsid w:val="00DD4D98"/>
    <w:rsid w:val="00DD665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2D91"/>
    <w:rsid w:val="00E03558"/>
    <w:rsid w:val="00E04642"/>
    <w:rsid w:val="00E055B6"/>
    <w:rsid w:val="00E06B63"/>
    <w:rsid w:val="00E06CAA"/>
    <w:rsid w:val="00E0719A"/>
    <w:rsid w:val="00E07908"/>
    <w:rsid w:val="00E07983"/>
    <w:rsid w:val="00E07FD8"/>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E26"/>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932"/>
    <w:rsid w:val="00E35D84"/>
    <w:rsid w:val="00E36028"/>
    <w:rsid w:val="00E3641B"/>
    <w:rsid w:val="00E36F1F"/>
    <w:rsid w:val="00E376A8"/>
    <w:rsid w:val="00E37778"/>
    <w:rsid w:val="00E40FBC"/>
    <w:rsid w:val="00E41882"/>
    <w:rsid w:val="00E41F7B"/>
    <w:rsid w:val="00E427B3"/>
    <w:rsid w:val="00E42FC3"/>
    <w:rsid w:val="00E4380D"/>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03"/>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5A"/>
    <w:rsid w:val="00E74A60"/>
    <w:rsid w:val="00E753D1"/>
    <w:rsid w:val="00E76A5D"/>
    <w:rsid w:val="00E773C2"/>
    <w:rsid w:val="00E77B20"/>
    <w:rsid w:val="00E77DB4"/>
    <w:rsid w:val="00E8064B"/>
    <w:rsid w:val="00E8069F"/>
    <w:rsid w:val="00E80F05"/>
    <w:rsid w:val="00E812BC"/>
    <w:rsid w:val="00E8198B"/>
    <w:rsid w:val="00E819D3"/>
    <w:rsid w:val="00E81F74"/>
    <w:rsid w:val="00E8211B"/>
    <w:rsid w:val="00E82A33"/>
    <w:rsid w:val="00E8401D"/>
    <w:rsid w:val="00E853F5"/>
    <w:rsid w:val="00E8572F"/>
    <w:rsid w:val="00E8639D"/>
    <w:rsid w:val="00E8690A"/>
    <w:rsid w:val="00E8747B"/>
    <w:rsid w:val="00E87C61"/>
    <w:rsid w:val="00E908D3"/>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445"/>
    <w:rsid w:val="00EA0160"/>
    <w:rsid w:val="00EA0954"/>
    <w:rsid w:val="00EA10C8"/>
    <w:rsid w:val="00EA1B87"/>
    <w:rsid w:val="00EA1E88"/>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C27"/>
    <w:rsid w:val="00EB3D47"/>
    <w:rsid w:val="00EB3DAA"/>
    <w:rsid w:val="00EB4ACF"/>
    <w:rsid w:val="00EB4E30"/>
    <w:rsid w:val="00EB4F85"/>
    <w:rsid w:val="00EB5516"/>
    <w:rsid w:val="00EB55B0"/>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D7F1E"/>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183D"/>
    <w:rsid w:val="00F12B71"/>
    <w:rsid w:val="00F134F4"/>
    <w:rsid w:val="00F1429C"/>
    <w:rsid w:val="00F162FE"/>
    <w:rsid w:val="00F17CB0"/>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3ABB"/>
    <w:rsid w:val="00F43D26"/>
    <w:rsid w:val="00F44BE8"/>
    <w:rsid w:val="00F44C0F"/>
    <w:rsid w:val="00F45BA6"/>
    <w:rsid w:val="00F45EB4"/>
    <w:rsid w:val="00F470A4"/>
    <w:rsid w:val="00F479F8"/>
    <w:rsid w:val="00F50A32"/>
    <w:rsid w:val="00F50B68"/>
    <w:rsid w:val="00F516D6"/>
    <w:rsid w:val="00F51D3D"/>
    <w:rsid w:val="00F5262C"/>
    <w:rsid w:val="00F527D2"/>
    <w:rsid w:val="00F52F30"/>
    <w:rsid w:val="00F53BB6"/>
    <w:rsid w:val="00F55194"/>
    <w:rsid w:val="00F5558B"/>
    <w:rsid w:val="00F55ED9"/>
    <w:rsid w:val="00F56DA6"/>
    <w:rsid w:val="00F56FE4"/>
    <w:rsid w:val="00F570B1"/>
    <w:rsid w:val="00F6026C"/>
    <w:rsid w:val="00F62658"/>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1BD4"/>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6C"/>
    <w:rsid w:val="00F805C0"/>
    <w:rsid w:val="00F8109B"/>
    <w:rsid w:val="00F815C1"/>
    <w:rsid w:val="00F8182F"/>
    <w:rsid w:val="00F82212"/>
    <w:rsid w:val="00F823F0"/>
    <w:rsid w:val="00F82539"/>
    <w:rsid w:val="00F83D5D"/>
    <w:rsid w:val="00F83EBA"/>
    <w:rsid w:val="00F84162"/>
    <w:rsid w:val="00F84771"/>
    <w:rsid w:val="00F85686"/>
    <w:rsid w:val="00F85E7E"/>
    <w:rsid w:val="00F87CE0"/>
    <w:rsid w:val="00F90901"/>
    <w:rsid w:val="00F91224"/>
    <w:rsid w:val="00F91732"/>
    <w:rsid w:val="00F91813"/>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290"/>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565B"/>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363"/>
    <w:rsid w:val="00FF4C5F"/>
    <w:rsid w:val="00FF50A1"/>
    <w:rsid w:val="00FF5B88"/>
    <w:rsid w:val="00FF6C5C"/>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23F6DE9A-832A-464B-952C-C0FD52D3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5543905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9305764">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07931102">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2648376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EE12-E9DB-49DB-B1CB-5C2FA893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2286</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11</cp:revision>
  <cp:lastPrinted>2018-04-12T21:38:00Z</cp:lastPrinted>
  <dcterms:created xsi:type="dcterms:W3CDTF">2018-09-19T19:51:00Z</dcterms:created>
  <dcterms:modified xsi:type="dcterms:W3CDTF">2018-09-21T20:56:00Z</dcterms:modified>
  <cp:category>Sala Laboral Tribunal Superior de Periera</cp:category>
</cp:coreProperties>
</file>