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BC" w:rsidRPr="00366B96" w:rsidRDefault="005935BC" w:rsidP="005935BC">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5935BC" w:rsidRPr="00F05143" w:rsidRDefault="005935BC" w:rsidP="005935BC">
      <w:pPr>
        <w:pStyle w:val="Sinespaciado"/>
        <w:jc w:val="both"/>
        <w:rPr>
          <w:rFonts w:ascii="Arial" w:hAnsi="Arial" w:cs="Arial"/>
          <w:sz w:val="20"/>
          <w:szCs w:val="20"/>
        </w:rPr>
      </w:pPr>
    </w:p>
    <w:p w:rsidR="001F440B" w:rsidRPr="00B4213C" w:rsidRDefault="001F440B" w:rsidP="001F440B">
      <w:pPr>
        <w:pStyle w:val="Puesto"/>
        <w:spacing w:line="240" w:lineRule="auto"/>
        <w:jc w:val="both"/>
        <w:rPr>
          <w:rFonts w:cs="Arial"/>
          <w:b w:val="0"/>
          <w:sz w:val="20"/>
          <w:szCs w:val="20"/>
        </w:rPr>
      </w:pPr>
      <w:bookmarkStart w:id="0" w:name="_GoBack"/>
      <w:bookmarkEnd w:id="0"/>
      <w:r w:rsidRPr="00B4213C">
        <w:rPr>
          <w:rFonts w:cs="Arial"/>
          <w:sz w:val="20"/>
          <w:szCs w:val="20"/>
        </w:rPr>
        <w:t>Providencia:</w:t>
      </w:r>
      <w:r w:rsidRPr="00B4213C">
        <w:rPr>
          <w:rFonts w:cs="Arial"/>
          <w:b w:val="0"/>
          <w:sz w:val="20"/>
          <w:szCs w:val="20"/>
        </w:rPr>
        <w:t xml:space="preserve">                 Auto del </w:t>
      </w:r>
      <w:r w:rsidR="00005011" w:rsidRPr="00B4213C">
        <w:rPr>
          <w:rFonts w:cs="Arial"/>
          <w:b w:val="0"/>
          <w:sz w:val="20"/>
          <w:szCs w:val="20"/>
          <w:lang w:val="es-CO"/>
        </w:rPr>
        <w:t>1</w:t>
      </w:r>
      <w:r w:rsidR="002A03A3" w:rsidRPr="00B4213C">
        <w:rPr>
          <w:rFonts w:cs="Arial"/>
          <w:b w:val="0"/>
          <w:sz w:val="20"/>
          <w:szCs w:val="20"/>
          <w:lang w:val="es-CO"/>
        </w:rPr>
        <w:t>4</w:t>
      </w:r>
      <w:r w:rsidRPr="00B4213C">
        <w:rPr>
          <w:rFonts w:cs="Arial"/>
          <w:b w:val="0"/>
          <w:sz w:val="20"/>
          <w:szCs w:val="20"/>
        </w:rPr>
        <w:t xml:space="preserve"> de septiembre de 2018</w:t>
      </w:r>
    </w:p>
    <w:p w:rsidR="001F440B" w:rsidRPr="00B4213C" w:rsidRDefault="001F440B" w:rsidP="001F440B">
      <w:pPr>
        <w:pStyle w:val="Puesto"/>
        <w:spacing w:line="240" w:lineRule="auto"/>
        <w:jc w:val="both"/>
        <w:rPr>
          <w:rFonts w:cs="Arial"/>
          <w:b w:val="0"/>
          <w:sz w:val="20"/>
          <w:szCs w:val="20"/>
        </w:rPr>
      </w:pPr>
      <w:r w:rsidRPr="00B4213C">
        <w:rPr>
          <w:rFonts w:cs="Arial"/>
          <w:sz w:val="20"/>
          <w:szCs w:val="20"/>
        </w:rPr>
        <w:t>Radicación No.:</w:t>
      </w:r>
      <w:r w:rsidRPr="00B4213C">
        <w:rPr>
          <w:rFonts w:cs="Arial"/>
          <w:b w:val="0"/>
          <w:sz w:val="20"/>
          <w:szCs w:val="20"/>
        </w:rPr>
        <w:tab/>
        <w:t>66001-31-05-001-2015-00161-01</w:t>
      </w:r>
    </w:p>
    <w:p w:rsidR="001F440B" w:rsidRPr="00B4213C" w:rsidRDefault="001F440B" w:rsidP="001F440B">
      <w:pPr>
        <w:pStyle w:val="Puesto"/>
        <w:spacing w:line="240" w:lineRule="auto"/>
        <w:jc w:val="both"/>
        <w:rPr>
          <w:rFonts w:cs="Arial"/>
          <w:b w:val="0"/>
          <w:sz w:val="20"/>
          <w:szCs w:val="20"/>
        </w:rPr>
      </w:pPr>
      <w:r w:rsidRPr="00B4213C">
        <w:rPr>
          <w:rFonts w:cs="Arial"/>
          <w:sz w:val="20"/>
          <w:szCs w:val="20"/>
        </w:rPr>
        <w:t>Proceso:</w:t>
      </w:r>
      <w:r w:rsidRPr="00B4213C">
        <w:rPr>
          <w:rFonts w:cs="Arial"/>
          <w:b w:val="0"/>
          <w:sz w:val="20"/>
          <w:szCs w:val="20"/>
        </w:rPr>
        <w:tab/>
      </w:r>
      <w:r w:rsidRPr="00B4213C">
        <w:rPr>
          <w:rFonts w:cs="Arial"/>
          <w:b w:val="0"/>
          <w:sz w:val="20"/>
          <w:szCs w:val="20"/>
        </w:rPr>
        <w:tab/>
        <w:t xml:space="preserve">Ordinario Laboral  </w:t>
      </w:r>
    </w:p>
    <w:p w:rsidR="001F440B" w:rsidRPr="00B4213C" w:rsidRDefault="001F440B" w:rsidP="001F440B">
      <w:pPr>
        <w:pStyle w:val="Puesto"/>
        <w:spacing w:line="240" w:lineRule="auto"/>
        <w:jc w:val="both"/>
        <w:rPr>
          <w:rFonts w:cs="Arial"/>
          <w:b w:val="0"/>
          <w:sz w:val="20"/>
          <w:szCs w:val="20"/>
        </w:rPr>
      </w:pPr>
      <w:r w:rsidRPr="00B4213C">
        <w:rPr>
          <w:rFonts w:cs="Arial"/>
          <w:sz w:val="20"/>
          <w:szCs w:val="20"/>
        </w:rPr>
        <w:t>Demandante:</w:t>
      </w:r>
      <w:r w:rsidRPr="00B4213C">
        <w:rPr>
          <w:rFonts w:cs="Arial"/>
          <w:b w:val="0"/>
          <w:sz w:val="20"/>
          <w:szCs w:val="20"/>
        </w:rPr>
        <w:tab/>
      </w:r>
      <w:r w:rsidRPr="00B4213C">
        <w:rPr>
          <w:rFonts w:cs="Arial"/>
          <w:b w:val="0"/>
          <w:sz w:val="20"/>
          <w:szCs w:val="20"/>
        </w:rPr>
        <w:tab/>
        <w:t>Carlos Andrés Gálvez Mejía</w:t>
      </w:r>
    </w:p>
    <w:p w:rsidR="001F440B" w:rsidRPr="00B4213C" w:rsidRDefault="001F440B" w:rsidP="001F440B">
      <w:pPr>
        <w:pStyle w:val="Puesto"/>
        <w:spacing w:line="240" w:lineRule="auto"/>
        <w:jc w:val="both"/>
        <w:rPr>
          <w:rFonts w:cs="Arial"/>
          <w:b w:val="0"/>
          <w:sz w:val="20"/>
          <w:szCs w:val="20"/>
        </w:rPr>
      </w:pPr>
      <w:r w:rsidRPr="00B4213C">
        <w:rPr>
          <w:rFonts w:cs="Arial"/>
          <w:sz w:val="20"/>
          <w:szCs w:val="20"/>
        </w:rPr>
        <w:t>Demandado:</w:t>
      </w:r>
      <w:r w:rsidRPr="00B4213C">
        <w:rPr>
          <w:rFonts w:cs="Arial"/>
          <w:b w:val="0"/>
          <w:sz w:val="20"/>
          <w:szCs w:val="20"/>
        </w:rPr>
        <w:t xml:space="preserve">            </w:t>
      </w:r>
      <w:r w:rsidRPr="00B4213C">
        <w:rPr>
          <w:rFonts w:cs="Arial"/>
          <w:b w:val="0"/>
          <w:sz w:val="20"/>
          <w:szCs w:val="20"/>
        </w:rPr>
        <w:tab/>
      </w:r>
      <w:proofErr w:type="spellStart"/>
      <w:r w:rsidRPr="00B4213C">
        <w:rPr>
          <w:rFonts w:cs="Arial"/>
          <w:b w:val="0"/>
          <w:sz w:val="20"/>
          <w:szCs w:val="20"/>
        </w:rPr>
        <w:t>Emposer</w:t>
      </w:r>
      <w:proofErr w:type="spellEnd"/>
      <w:r w:rsidRPr="00B4213C">
        <w:rPr>
          <w:rFonts w:cs="Arial"/>
          <w:b w:val="0"/>
          <w:sz w:val="20"/>
          <w:szCs w:val="20"/>
        </w:rPr>
        <w:t xml:space="preserve"> </w:t>
      </w:r>
      <w:proofErr w:type="spellStart"/>
      <w:r w:rsidRPr="00B4213C">
        <w:rPr>
          <w:rFonts w:cs="Arial"/>
          <w:b w:val="0"/>
          <w:sz w:val="20"/>
          <w:szCs w:val="20"/>
        </w:rPr>
        <w:t>Ltda</w:t>
      </w:r>
      <w:proofErr w:type="spellEnd"/>
      <w:r w:rsidRPr="00B4213C">
        <w:rPr>
          <w:rFonts w:cs="Arial"/>
          <w:b w:val="0"/>
          <w:sz w:val="20"/>
          <w:szCs w:val="20"/>
        </w:rPr>
        <w:t xml:space="preserve"> y otros</w:t>
      </w:r>
    </w:p>
    <w:p w:rsidR="001F440B" w:rsidRPr="00B4213C" w:rsidRDefault="001F440B" w:rsidP="001F440B">
      <w:pPr>
        <w:pStyle w:val="Puesto"/>
        <w:spacing w:line="240" w:lineRule="auto"/>
        <w:jc w:val="both"/>
        <w:rPr>
          <w:rFonts w:cs="Arial"/>
          <w:b w:val="0"/>
          <w:sz w:val="20"/>
          <w:szCs w:val="20"/>
        </w:rPr>
      </w:pPr>
      <w:r w:rsidRPr="00B4213C">
        <w:rPr>
          <w:rFonts w:cs="Arial"/>
          <w:sz w:val="20"/>
          <w:szCs w:val="20"/>
        </w:rPr>
        <w:t>Juzgado de origen:</w:t>
      </w:r>
      <w:r w:rsidRPr="00B4213C">
        <w:rPr>
          <w:rFonts w:cs="Arial"/>
          <w:b w:val="0"/>
          <w:sz w:val="20"/>
          <w:szCs w:val="20"/>
        </w:rPr>
        <w:tab/>
        <w:t>Juzgado Primero Laboral del Circuito</w:t>
      </w:r>
    </w:p>
    <w:p w:rsidR="001F440B" w:rsidRPr="00B4213C" w:rsidRDefault="001F440B" w:rsidP="001F440B">
      <w:pPr>
        <w:pStyle w:val="Puesto"/>
        <w:spacing w:line="240" w:lineRule="auto"/>
        <w:jc w:val="both"/>
        <w:rPr>
          <w:rFonts w:cs="Arial"/>
          <w:b w:val="0"/>
          <w:sz w:val="20"/>
          <w:szCs w:val="20"/>
        </w:rPr>
      </w:pPr>
      <w:r w:rsidRPr="00B4213C">
        <w:rPr>
          <w:rFonts w:cs="Arial"/>
          <w:sz w:val="20"/>
          <w:szCs w:val="20"/>
        </w:rPr>
        <w:t>Magistrada ponente:</w:t>
      </w:r>
      <w:r w:rsidRPr="00B4213C">
        <w:rPr>
          <w:rFonts w:cs="Arial"/>
          <w:b w:val="0"/>
          <w:sz w:val="20"/>
          <w:szCs w:val="20"/>
        </w:rPr>
        <w:tab/>
        <w:t>Ana Lucía Caicedo Calderón</w:t>
      </w:r>
    </w:p>
    <w:p w:rsidR="001F440B" w:rsidRPr="00B4213C" w:rsidRDefault="001F440B" w:rsidP="001F440B">
      <w:pPr>
        <w:pStyle w:val="Sinespaciado"/>
        <w:rPr>
          <w:rFonts w:ascii="Arial" w:hAnsi="Arial" w:cs="Arial"/>
          <w:sz w:val="20"/>
          <w:szCs w:val="20"/>
        </w:rPr>
      </w:pPr>
    </w:p>
    <w:p w:rsidR="00B4213C" w:rsidRDefault="00B4213C" w:rsidP="00B4213C">
      <w:pPr>
        <w:spacing w:line="240" w:lineRule="auto"/>
        <w:jc w:val="both"/>
        <w:rPr>
          <w:rFonts w:ascii="Arial" w:hAnsi="Arial" w:cs="Arial"/>
          <w:sz w:val="20"/>
          <w:szCs w:val="20"/>
        </w:rPr>
      </w:pPr>
      <w:r w:rsidRPr="00B4213C">
        <w:rPr>
          <w:rFonts w:ascii="Arial" w:hAnsi="Arial" w:cs="Arial"/>
          <w:b/>
          <w:sz w:val="20"/>
          <w:szCs w:val="20"/>
          <w:u w:val="single"/>
        </w:rPr>
        <w:t>Temas:</w:t>
      </w:r>
      <w:r w:rsidRPr="00B4213C">
        <w:rPr>
          <w:rFonts w:ascii="Arial" w:hAnsi="Arial" w:cs="Arial"/>
          <w:b/>
          <w:sz w:val="20"/>
          <w:szCs w:val="20"/>
        </w:rPr>
        <w:tab/>
      </w:r>
      <w:r w:rsidRPr="00B4213C">
        <w:rPr>
          <w:rFonts w:ascii="Arial" w:hAnsi="Arial" w:cs="Arial"/>
          <w:b/>
          <w:sz w:val="20"/>
          <w:szCs w:val="20"/>
        </w:rPr>
        <w:tab/>
      </w:r>
      <w:r>
        <w:rPr>
          <w:rFonts w:ascii="Arial" w:hAnsi="Arial" w:cs="Arial"/>
          <w:b/>
          <w:sz w:val="20"/>
          <w:szCs w:val="20"/>
        </w:rPr>
        <w:t xml:space="preserve">RECURSO DE QUEJA / </w:t>
      </w:r>
      <w:r w:rsidR="001E4605" w:rsidRPr="00B4213C">
        <w:rPr>
          <w:rFonts w:ascii="Arial" w:hAnsi="Arial" w:cs="Arial"/>
          <w:b/>
          <w:sz w:val="20"/>
          <w:szCs w:val="20"/>
        </w:rPr>
        <w:t>AUTO</w:t>
      </w:r>
      <w:r w:rsidR="005935BC">
        <w:rPr>
          <w:rFonts w:ascii="Arial" w:hAnsi="Arial" w:cs="Arial"/>
          <w:b/>
          <w:sz w:val="20"/>
          <w:szCs w:val="20"/>
        </w:rPr>
        <w:t xml:space="preserve"> QUE </w:t>
      </w:r>
      <w:r w:rsidR="001E4605" w:rsidRPr="00B4213C">
        <w:rPr>
          <w:rFonts w:ascii="Arial" w:hAnsi="Arial" w:cs="Arial"/>
          <w:b/>
          <w:sz w:val="20"/>
          <w:szCs w:val="20"/>
        </w:rPr>
        <w:t>S</w:t>
      </w:r>
      <w:r w:rsidR="005935BC">
        <w:rPr>
          <w:rFonts w:ascii="Arial" w:hAnsi="Arial" w:cs="Arial"/>
          <w:b/>
          <w:sz w:val="20"/>
          <w:szCs w:val="20"/>
        </w:rPr>
        <w:t>ANCIONA INASISTENCIA A INTERROGATORIO DE PARTE / NO ES APELABLE.</w:t>
      </w:r>
    </w:p>
    <w:p w:rsidR="00B4213C" w:rsidRDefault="00B4213C" w:rsidP="00B4213C">
      <w:pPr>
        <w:spacing w:line="240" w:lineRule="auto"/>
        <w:jc w:val="both"/>
        <w:rPr>
          <w:rFonts w:ascii="Arial" w:hAnsi="Arial" w:cs="Arial"/>
          <w:sz w:val="20"/>
          <w:szCs w:val="20"/>
        </w:rPr>
      </w:pPr>
    </w:p>
    <w:p w:rsidR="001F440B" w:rsidRPr="00B4213C" w:rsidRDefault="00B4213C" w:rsidP="00B4213C">
      <w:pPr>
        <w:spacing w:line="240" w:lineRule="auto"/>
        <w:jc w:val="both"/>
        <w:rPr>
          <w:rFonts w:ascii="Arial" w:hAnsi="Arial" w:cs="Arial"/>
          <w:sz w:val="20"/>
          <w:szCs w:val="20"/>
        </w:rPr>
      </w:pPr>
      <w:r>
        <w:rPr>
          <w:rFonts w:ascii="Arial" w:hAnsi="Arial" w:cs="Arial"/>
          <w:sz w:val="20"/>
          <w:szCs w:val="20"/>
        </w:rPr>
        <w:t>E</w:t>
      </w:r>
      <w:r w:rsidR="00122C11" w:rsidRPr="00B4213C">
        <w:rPr>
          <w:rFonts w:ascii="Arial" w:hAnsi="Arial" w:cs="Arial"/>
          <w:sz w:val="20"/>
          <w:szCs w:val="20"/>
        </w:rPr>
        <w:t xml:space="preserve">l auto que impone las sanciones por inasistencia al interrogatorio de parte no se encuentra enlistado en aquellos susceptibles del recurso de apelación que enmarca el artículo 65 del Código Procesal del Trabajo y de la Seguridad Social, así como el art. 204 del </w:t>
      </w:r>
      <w:proofErr w:type="spellStart"/>
      <w:r w:rsidR="00122C11" w:rsidRPr="00B4213C">
        <w:rPr>
          <w:rFonts w:ascii="Arial" w:hAnsi="Arial" w:cs="Arial"/>
          <w:sz w:val="20"/>
          <w:szCs w:val="20"/>
        </w:rPr>
        <w:t>C.G.P</w:t>
      </w:r>
      <w:proofErr w:type="spellEnd"/>
      <w:r w:rsidR="00122C11" w:rsidRPr="00B4213C">
        <w:rPr>
          <w:rFonts w:ascii="Arial" w:hAnsi="Arial" w:cs="Arial"/>
          <w:sz w:val="20"/>
          <w:szCs w:val="20"/>
        </w:rPr>
        <w:t>. expresamente lo descarta como susceptible de recursos, por lo que, de entrada, la determinación negativa de la A-quo de conceder la alzada se encuentra ajustada a derecho.</w:t>
      </w:r>
    </w:p>
    <w:p w:rsidR="001F440B" w:rsidRPr="00B4213C" w:rsidRDefault="001F440B" w:rsidP="00B4213C">
      <w:pPr>
        <w:pStyle w:val="Ttulo4"/>
        <w:widowControl w:val="0"/>
        <w:spacing w:line="276" w:lineRule="auto"/>
        <w:rPr>
          <w:rFonts w:ascii="Tahoma" w:hAnsi="Tahoma" w:cs="Tahoma"/>
          <w:b/>
          <w:bCs/>
          <w:i w:val="0"/>
          <w:color w:val="auto"/>
          <w:lang w:eastAsia="es-MX"/>
        </w:rPr>
      </w:pPr>
    </w:p>
    <w:p w:rsidR="001F440B" w:rsidRPr="00B4213C" w:rsidRDefault="001F440B" w:rsidP="001F440B">
      <w:pPr>
        <w:pStyle w:val="Ttulo4"/>
        <w:widowControl w:val="0"/>
        <w:spacing w:line="276" w:lineRule="auto"/>
        <w:jc w:val="center"/>
        <w:rPr>
          <w:rFonts w:ascii="Tahoma" w:hAnsi="Tahoma" w:cs="Tahoma"/>
          <w:b/>
          <w:bCs/>
          <w:i w:val="0"/>
          <w:color w:val="auto"/>
          <w:lang w:eastAsia="es-MX"/>
        </w:rPr>
      </w:pPr>
      <w:r w:rsidRPr="00B4213C">
        <w:rPr>
          <w:rFonts w:ascii="Tahoma" w:hAnsi="Tahoma" w:cs="Tahoma"/>
          <w:b/>
          <w:bCs/>
          <w:i w:val="0"/>
          <w:color w:val="auto"/>
          <w:lang w:eastAsia="es-MX"/>
        </w:rPr>
        <w:t>TRIBUNAL SUPERIOR DEL DISTRITO JUDICIAL DE PEREIRA</w:t>
      </w:r>
    </w:p>
    <w:p w:rsidR="001F440B" w:rsidRPr="00B4213C" w:rsidRDefault="001F440B" w:rsidP="001F440B">
      <w:pPr>
        <w:pStyle w:val="Ttulo4"/>
        <w:widowControl w:val="0"/>
        <w:spacing w:line="240" w:lineRule="auto"/>
        <w:jc w:val="center"/>
        <w:rPr>
          <w:rFonts w:ascii="Tahoma" w:hAnsi="Tahoma" w:cs="Tahoma"/>
          <w:b/>
          <w:bCs/>
          <w:i w:val="0"/>
          <w:color w:val="auto"/>
          <w:lang w:eastAsia="es-MX"/>
        </w:rPr>
      </w:pPr>
      <w:r w:rsidRPr="00B4213C">
        <w:rPr>
          <w:rFonts w:ascii="Tahoma" w:hAnsi="Tahoma" w:cs="Tahoma"/>
          <w:b/>
          <w:bCs/>
          <w:i w:val="0"/>
          <w:color w:val="auto"/>
          <w:lang w:eastAsia="es-MX"/>
        </w:rPr>
        <w:t xml:space="preserve">SALA DE </w:t>
      </w:r>
      <w:r w:rsidR="00B4213C" w:rsidRPr="00B4213C">
        <w:rPr>
          <w:rFonts w:ascii="Tahoma" w:hAnsi="Tahoma" w:cs="Tahoma"/>
          <w:b/>
          <w:bCs/>
          <w:i w:val="0"/>
          <w:color w:val="auto"/>
          <w:lang w:eastAsia="es-MX"/>
        </w:rPr>
        <w:t>DECISIÓN</w:t>
      </w:r>
      <w:r w:rsidRPr="00B4213C">
        <w:rPr>
          <w:rFonts w:ascii="Tahoma" w:hAnsi="Tahoma" w:cs="Tahoma"/>
          <w:b/>
          <w:bCs/>
          <w:i w:val="0"/>
          <w:color w:val="auto"/>
          <w:lang w:eastAsia="es-MX"/>
        </w:rPr>
        <w:t xml:space="preserve"> LABORAL No. 1</w:t>
      </w:r>
    </w:p>
    <w:p w:rsidR="001F440B" w:rsidRPr="00B4213C" w:rsidRDefault="001F440B" w:rsidP="001F440B">
      <w:pPr>
        <w:pStyle w:val="Sinespaciado"/>
        <w:rPr>
          <w:rFonts w:ascii="Tahoma" w:hAnsi="Tahoma" w:cs="Tahoma"/>
        </w:rPr>
      </w:pPr>
    </w:p>
    <w:p w:rsidR="001F440B" w:rsidRPr="00B4213C" w:rsidRDefault="001F440B" w:rsidP="001F440B">
      <w:pPr>
        <w:spacing w:line="240" w:lineRule="auto"/>
        <w:jc w:val="center"/>
        <w:rPr>
          <w:rFonts w:ascii="Tahoma" w:hAnsi="Tahoma" w:cs="Tahoma"/>
          <w:b/>
          <w:bCs/>
        </w:rPr>
      </w:pPr>
      <w:r w:rsidRPr="00B4213C">
        <w:rPr>
          <w:rFonts w:ascii="Tahoma" w:hAnsi="Tahoma" w:cs="Tahoma"/>
          <w:bCs/>
        </w:rPr>
        <w:t>Magistrada Ponente:</w:t>
      </w:r>
      <w:r w:rsidRPr="00B4213C">
        <w:rPr>
          <w:rFonts w:ascii="Tahoma" w:hAnsi="Tahoma" w:cs="Tahoma"/>
          <w:b/>
          <w:bCs/>
        </w:rPr>
        <w:t xml:space="preserve"> Ana Lucía Caicedo Calderón</w:t>
      </w:r>
    </w:p>
    <w:p w:rsidR="001F440B" w:rsidRPr="00B4213C" w:rsidRDefault="001F440B" w:rsidP="001F440B">
      <w:pPr>
        <w:spacing w:line="240" w:lineRule="auto"/>
        <w:jc w:val="center"/>
        <w:rPr>
          <w:rFonts w:ascii="Tahoma" w:hAnsi="Tahoma" w:cs="Tahoma"/>
          <w:b/>
        </w:rPr>
      </w:pPr>
    </w:p>
    <w:p w:rsidR="001F440B" w:rsidRPr="00B4213C" w:rsidRDefault="001F440B" w:rsidP="001F440B">
      <w:pPr>
        <w:spacing w:line="240" w:lineRule="auto"/>
        <w:jc w:val="center"/>
        <w:rPr>
          <w:rFonts w:ascii="Tahoma" w:hAnsi="Tahoma" w:cs="Tahoma"/>
          <w:b/>
        </w:rPr>
      </w:pPr>
      <w:r w:rsidRPr="00B4213C">
        <w:rPr>
          <w:rFonts w:ascii="Tahoma" w:hAnsi="Tahoma" w:cs="Tahoma"/>
          <w:b/>
        </w:rPr>
        <w:t>Acta No.____</w:t>
      </w:r>
    </w:p>
    <w:p w:rsidR="001F440B" w:rsidRPr="00B4213C" w:rsidRDefault="001F440B" w:rsidP="001F440B">
      <w:pPr>
        <w:spacing w:line="240" w:lineRule="auto"/>
        <w:jc w:val="center"/>
        <w:rPr>
          <w:rFonts w:ascii="Tahoma" w:hAnsi="Tahoma" w:cs="Tahoma"/>
          <w:b/>
        </w:rPr>
      </w:pPr>
      <w:r w:rsidRPr="00B4213C">
        <w:rPr>
          <w:rFonts w:ascii="Tahoma" w:hAnsi="Tahoma" w:cs="Tahoma"/>
          <w:b/>
        </w:rPr>
        <w:t>(</w:t>
      </w:r>
      <w:r w:rsidR="00005011" w:rsidRPr="00B4213C">
        <w:rPr>
          <w:rFonts w:ascii="Tahoma" w:hAnsi="Tahoma" w:cs="Tahoma"/>
          <w:b/>
        </w:rPr>
        <w:t>Septiembre 1</w:t>
      </w:r>
      <w:r w:rsidR="002A03A3" w:rsidRPr="00B4213C">
        <w:rPr>
          <w:rFonts w:ascii="Tahoma" w:hAnsi="Tahoma" w:cs="Tahoma"/>
          <w:b/>
        </w:rPr>
        <w:t>4</w:t>
      </w:r>
      <w:r w:rsidRPr="00B4213C">
        <w:rPr>
          <w:rFonts w:ascii="Tahoma" w:hAnsi="Tahoma" w:cs="Tahoma"/>
          <w:b/>
        </w:rPr>
        <w:t xml:space="preserve"> de 2018)</w:t>
      </w:r>
    </w:p>
    <w:p w:rsidR="001F440B" w:rsidRPr="00B4213C" w:rsidRDefault="001F440B" w:rsidP="001F440B">
      <w:pPr>
        <w:widowControl w:val="0"/>
        <w:autoSpaceDE w:val="0"/>
        <w:autoSpaceDN w:val="0"/>
        <w:adjustRightInd w:val="0"/>
        <w:spacing w:line="240" w:lineRule="auto"/>
        <w:ind w:firstLine="709"/>
        <w:jc w:val="both"/>
        <w:rPr>
          <w:rFonts w:ascii="Tahoma" w:hAnsi="Tahoma" w:cs="Tahoma"/>
        </w:rPr>
      </w:pPr>
    </w:p>
    <w:p w:rsidR="001F440B" w:rsidRPr="00B4213C" w:rsidRDefault="001F440B" w:rsidP="001F440B">
      <w:pPr>
        <w:widowControl w:val="0"/>
        <w:autoSpaceDE w:val="0"/>
        <w:autoSpaceDN w:val="0"/>
        <w:adjustRightInd w:val="0"/>
        <w:ind w:firstLine="709"/>
        <w:jc w:val="both"/>
        <w:rPr>
          <w:rFonts w:ascii="Tahoma" w:hAnsi="Tahoma" w:cs="Tahoma"/>
          <w:lang w:val="es-ES_tradnl"/>
        </w:rPr>
      </w:pPr>
      <w:r w:rsidRPr="00B4213C">
        <w:rPr>
          <w:rFonts w:ascii="Tahoma" w:hAnsi="Tahoma" w:cs="Tahoma"/>
        </w:rPr>
        <w:t xml:space="preserve">En la fecha, </w:t>
      </w:r>
      <w:r w:rsidRPr="00B4213C">
        <w:rPr>
          <w:rFonts w:ascii="Tahoma" w:hAnsi="Tahoma" w:cs="Tahoma"/>
          <w:spacing w:val="-2"/>
        </w:rPr>
        <w:t xml:space="preserve">los Magistrados que integran la Sala de Decisión Laboral No. 1 del Tribunal Superior de Pereira (Risaralda), proceden a </w:t>
      </w:r>
      <w:r w:rsidRPr="00B4213C">
        <w:rPr>
          <w:rFonts w:ascii="Tahoma" w:hAnsi="Tahoma" w:cs="Tahoma"/>
        </w:rPr>
        <w:t xml:space="preserve">decidir el recurso de </w:t>
      </w:r>
      <w:r w:rsidRPr="00B4213C">
        <w:rPr>
          <w:rFonts w:ascii="Tahoma" w:hAnsi="Tahoma" w:cs="Tahoma"/>
          <w:spacing w:val="-2"/>
        </w:rPr>
        <w:t xml:space="preserve">queja presentado por el apoderado judicial de la parte demandada, dentro del proceso </w:t>
      </w:r>
      <w:r w:rsidRPr="00B4213C">
        <w:rPr>
          <w:rFonts w:ascii="Tahoma" w:hAnsi="Tahoma" w:cs="Tahoma"/>
          <w:lang w:val="es-ES_tradnl"/>
        </w:rPr>
        <w:t>ordinario laboral instaurado por el señor</w:t>
      </w:r>
      <w:r w:rsidRPr="00B4213C">
        <w:rPr>
          <w:rFonts w:ascii="Tahoma" w:hAnsi="Tahoma" w:cs="Tahoma"/>
          <w:b/>
          <w:lang w:val="es-ES_tradnl"/>
        </w:rPr>
        <w:t xml:space="preserve"> CARLOS ANDRÉS GÁLVEZ MEJÍA </w:t>
      </w:r>
      <w:r w:rsidRPr="00B4213C">
        <w:rPr>
          <w:rFonts w:ascii="Tahoma" w:hAnsi="Tahoma" w:cs="Tahoma"/>
          <w:lang w:val="es-ES_tradnl"/>
        </w:rPr>
        <w:t xml:space="preserve">en contra de </w:t>
      </w:r>
      <w:proofErr w:type="spellStart"/>
      <w:r w:rsidRPr="00B4213C">
        <w:rPr>
          <w:rFonts w:ascii="Tahoma" w:hAnsi="Tahoma" w:cs="Tahoma"/>
          <w:b/>
          <w:lang w:val="es-ES_tradnl"/>
        </w:rPr>
        <w:t>EMPOSER</w:t>
      </w:r>
      <w:proofErr w:type="spellEnd"/>
      <w:r w:rsidRPr="00B4213C">
        <w:rPr>
          <w:rFonts w:ascii="Tahoma" w:hAnsi="Tahoma" w:cs="Tahoma"/>
          <w:b/>
          <w:lang w:val="es-ES_tradnl"/>
        </w:rPr>
        <w:t xml:space="preserve"> LTDA., </w:t>
      </w:r>
      <w:proofErr w:type="spellStart"/>
      <w:r w:rsidRPr="00B4213C">
        <w:rPr>
          <w:rFonts w:ascii="Tahoma" w:hAnsi="Tahoma" w:cs="Tahoma"/>
          <w:b/>
          <w:lang w:val="es-ES_tradnl"/>
        </w:rPr>
        <w:t>SERDEMPO</w:t>
      </w:r>
      <w:proofErr w:type="spellEnd"/>
      <w:r w:rsidRPr="00B4213C">
        <w:rPr>
          <w:rFonts w:ascii="Tahoma" w:hAnsi="Tahoma" w:cs="Tahoma"/>
          <w:b/>
          <w:lang w:val="es-ES_tradnl"/>
        </w:rPr>
        <w:t xml:space="preserve"> S.A.S </w:t>
      </w:r>
      <w:r w:rsidRPr="00B4213C">
        <w:rPr>
          <w:rFonts w:ascii="Tahoma" w:hAnsi="Tahoma" w:cs="Tahoma"/>
          <w:lang w:val="es-ES_tradnl"/>
        </w:rPr>
        <w:t>y</w:t>
      </w:r>
      <w:r w:rsidRPr="00B4213C">
        <w:rPr>
          <w:rFonts w:ascii="Tahoma" w:hAnsi="Tahoma" w:cs="Tahoma"/>
          <w:b/>
          <w:lang w:val="es-ES_tradnl"/>
        </w:rPr>
        <w:t xml:space="preserve"> PROSEGUIR S.A.</w:t>
      </w:r>
    </w:p>
    <w:p w:rsidR="001F440B" w:rsidRPr="00B4213C" w:rsidRDefault="001F440B" w:rsidP="001F440B">
      <w:pPr>
        <w:pStyle w:val="Sinespaciado"/>
        <w:rPr>
          <w:rFonts w:ascii="Tahoma" w:hAnsi="Tahoma" w:cs="Tahoma"/>
          <w:lang w:val="es-ES_tradnl"/>
        </w:rPr>
      </w:pPr>
      <w:r w:rsidRPr="00B4213C">
        <w:rPr>
          <w:rFonts w:ascii="Tahoma" w:hAnsi="Tahoma" w:cs="Tahoma"/>
        </w:rPr>
        <w:tab/>
      </w:r>
    </w:p>
    <w:p w:rsidR="001F440B" w:rsidRPr="00B4213C" w:rsidRDefault="001F440B" w:rsidP="001F440B">
      <w:pPr>
        <w:widowControl w:val="0"/>
        <w:autoSpaceDE w:val="0"/>
        <w:autoSpaceDN w:val="0"/>
        <w:adjustRightInd w:val="0"/>
        <w:ind w:firstLine="709"/>
        <w:jc w:val="both"/>
        <w:rPr>
          <w:rFonts w:ascii="Tahoma" w:hAnsi="Tahoma" w:cs="Tahoma"/>
          <w:lang w:val="es-ES_tradnl"/>
        </w:rPr>
      </w:pPr>
      <w:r w:rsidRPr="00B4213C">
        <w:rPr>
          <w:rFonts w:ascii="Tahoma" w:hAnsi="Tahoma" w:cs="Tahoma"/>
          <w:lang w:val="es-ES_tradnl"/>
        </w:rPr>
        <w:t>En sesión previa que se hizo constar en la mencionada acta, la Sala discutió y aprobó el proyecto que presentó la Magistrada Ponente, el cual alude a los siguientes:</w:t>
      </w:r>
    </w:p>
    <w:p w:rsidR="001F440B" w:rsidRPr="00B4213C" w:rsidRDefault="001F440B" w:rsidP="001F440B">
      <w:pPr>
        <w:pStyle w:val="Sinespaciado"/>
        <w:rPr>
          <w:rFonts w:ascii="Tahoma" w:hAnsi="Tahoma" w:cs="Tahoma"/>
        </w:rPr>
      </w:pPr>
    </w:p>
    <w:p w:rsidR="001F440B" w:rsidRPr="00B4213C" w:rsidRDefault="001F440B" w:rsidP="001F440B">
      <w:pPr>
        <w:pStyle w:val="Prrafodelista"/>
        <w:numPr>
          <w:ilvl w:val="0"/>
          <w:numId w:val="8"/>
        </w:numPr>
        <w:tabs>
          <w:tab w:val="left" w:pos="284"/>
        </w:tabs>
        <w:ind w:left="0" w:firstLine="0"/>
        <w:jc w:val="center"/>
        <w:rPr>
          <w:rFonts w:ascii="Tahoma" w:hAnsi="Tahoma" w:cs="Tahoma"/>
          <w:b/>
        </w:rPr>
      </w:pPr>
      <w:r w:rsidRPr="00B4213C">
        <w:rPr>
          <w:rFonts w:ascii="Tahoma" w:hAnsi="Tahoma" w:cs="Tahoma"/>
          <w:b/>
        </w:rPr>
        <w:t>ANTECEDENTES</w:t>
      </w:r>
    </w:p>
    <w:p w:rsidR="001F440B" w:rsidRPr="00B4213C" w:rsidRDefault="001F440B" w:rsidP="001F440B">
      <w:pPr>
        <w:pStyle w:val="Sinespaciado"/>
        <w:rPr>
          <w:rFonts w:ascii="Tahoma" w:hAnsi="Tahoma" w:cs="Tahoma"/>
        </w:rPr>
      </w:pPr>
    </w:p>
    <w:p w:rsidR="001F440B" w:rsidRPr="00B4213C" w:rsidRDefault="001F440B" w:rsidP="001F440B">
      <w:pPr>
        <w:ind w:firstLine="709"/>
        <w:jc w:val="both"/>
        <w:rPr>
          <w:rFonts w:ascii="Tahoma" w:hAnsi="Tahoma" w:cs="Tahoma"/>
        </w:rPr>
      </w:pPr>
      <w:r w:rsidRPr="00B4213C">
        <w:rPr>
          <w:rFonts w:ascii="Tahoma" w:hAnsi="Tahoma" w:cs="Tahoma"/>
        </w:rPr>
        <w:t xml:space="preserve">Una vez instalada la audiencia de que trata el artículo 80 del </w:t>
      </w:r>
      <w:proofErr w:type="spellStart"/>
      <w:r w:rsidRPr="00B4213C">
        <w:rPr>
          <w:rFonts w:ascii="Tahoma" w:hAnsi="Tahoma" w:cs="Tahoma"/>
        </w:rPr>
        <w:t>C.P.L</w:t>
      </w:r>
      <w:proofErr w:type="spellEnd"/>
      <w:r w:rsidRPr="00B4213C">
        <w:rPr>
          <w:rFonts w:ascii="Tahoma" w:hAnsi="Tahoma" w:cs="Tahoma"/>
        </w:rPr>
        <w:t xml:space="preserve">. y S.S., el Juzgado de conocimiento se pronunció sobre la inasistencia de los representantes legales de las codemandadas </w:t>
      </w:r>
      <w:proofErr w:type="spellStart"/>
      <w:r w:rsidRPr="00B4213C">
        <w:rPr>
          <w:rFonts w:ascii="Tahoma" w:hAnsi="Tahoma" w:cs="Tahoma"/>
        </w:rPr>
        <w:t>SERDEMPO</w:t>
      </w:r>
      <w:proofErr w:type="spellEnd"/>
      <w:r w:rsidRPr="00B4213C">
        <w:rPr>
          <w:rFonts w:ascii="Tahoma" w:hAnsi="Tahoma" w:cs="Tahoma"/>
        </w:rPr>
        <w:t xml:space="preserve"> S.A.S., </w:t>
      </w:r>
      <w:proofErr w:type="spellStart"/>
      <w:r w:rsidRPr="00B4213C">
        <w:rPr>
          <w:rFonts w:ascii="Tahoma" w:hAnsi="Tahoma" w:cs="Tahoma"/>
        </w:rPr>
        <w:t>EMPOSER</w:t>
      </w:r>
      <w:proofErr w:type="spellEnd"/>
      <w:r w:rsidRPr="00B4213C">
        <w:rPr>
          <w:rFonts w:ascii="Tahoma" w:hAnsi="Tahoma" w:cs="Tahoma"/>
        </w:rPr>
        <w:t xml:space="preserve"> </w:t>
      </w:r>
      <w:proofErr w:type="spellStart"/>
      <w:r w:rsidRPr="00B4213C">
        <w:rPr>
          <w:rFonts w:ascii="Tahoma" w:hAnsi="Tahoma" w:cs="Tahoma"/>
        </w:rPr>
        <w:t>LTDA</w:t>
      </w:r>
      <w:proofErr w:type="spellEnd"/>
      <w:r w:rsidRPr="00B4213C">
        <w:rPr>
          <w:rFonts w:ascii="Tahoma" w:hAnsi="Tahoma" w:cs="Tahoma"/>
        </w:rPr>
        <w:t xml:space="preserve"> y PROSEGUR S.A.S. a dicha diligencia, en la que debían absolver interrogatorio de parte. Frente a la primera de las entidades encontró justificada la ausencia, por obedecer a una citación por parte del Ministerio del Trabajo, previa a la programación de la diligencia del Despacho, por lo que se abstuvo de imponer las sanciones previstas en el art. 205 del </w:t>
      </w:r>
      <w:proofErr w:type="spellStart"/>
      <w:r w:rsidRPr="00B4213C">
        <w:rPr>
          <w:rFonts w:ascii="Tahoma" w:hAnsi="Tahoma" w:cs="Tahoma"/>
        </w:rPr>
        <w:t>CGP</w:t>
      </w:r>
      <w:proofErr w:type="spellEnd"/>
      <w:r w:rsidRPr="00B4213C">
        <w:rPr>
          <w:rFonts w:ascii="Tahoma" w:hAnsi="Tahoma" w:cs="Tahoma"/>
        </w:rPr>
        <w:t>.</w:t>
      </w:r>
    </w:p>
    <w:p w:rsidR="001F440B" w:rsidRPr="00B4213C" w:rsidRDefault="001F440B" w:rsidP="001F440B">
      <w:pPr>
        <w:pStyle w:val="Sinespaciado"/>
        <w:rPr>
          <w:rFonts w:ascii="Tahoma" w:hAnsi="Tahoma" w:cs="Tahoma"/>
        </w:rPr>
      </w:pPr>
    </w:p>
    <w:p w:rsidR="001F440B" w:rsidRPr="00B4213C" w:rsidRDefault="001F440B" w:rsidP="001F440B">
      <w:pPr>
        <w:ind w:firstLine="709"/>
        <w:jc w:val="both"/>
        <w:rPr>
          <w:rFonts w:ascii="Tahoma" w:hAnsi="Tahoma" w:cs="Tahoma"/>
        </w:rPr>
      </w:pPr>
      <w:r w:rsidRPr="00B4213C">
        <w:rPr>
          <w:rFonts w:ascii="Tahoma" w:hAnsi="Tahoma" w:cs="Tahoma"/>
        </w:rPr>
        <w:t xml:space="preserve">Con relación a </w:t>
      </w:r>
      <w:proofErr w:type="spellStart"/>
      <w:r w:rsidRPr="00B4213C">
        <w:rPr>
          <w:rFonts w:ascii="Tahoma" w:hAnsi="Tahoma" w:cs="Tahoma"/>
        </w:rPr>
        <w:t>EMPOSER</w:t>
      </w:r>
      <w:proofErr w:type="spellEnd"/>
      <w:r w:rsidRPr="00B4213C">
        <w:rPr>
          <w:rFonts w:ascii="Tahoma" w:hAnsi="Tahoma" w:cs="Tahoma"/>
        </w:rPr>
        <w:t xml:space="preserve"> </w:t>
      </w:r>
      <w:proofErr w:type="spellStart"/>
      <w:r w:rsidRPr="00B4213C">
        <w:rPr>
          <w:rFonts w:ascii="Tahoma" w:hAnsi="Tahoma" w:cs="Tahoma"/>
        </w:rPr>
        <w:t>LTDA</w:t>
      </w:r>
      <w:proofErr w:type="spellEnd"/>
      <w:r w:rsidRPr="00B4213C">
        <w:rPr>
          <w:rFonts w:ascii="Tahoma" w:hAnsi="Tahoma" w:cs="Tahoma"/>
        </w:rPr>
        <w:t xml:space="preserve">, por no haber presentado justificación alguna, y haberse dado la posibilidad de emplear los medios tecnológicos para la práctica del interrogatorio, sin que se hiciera uso del derecho, impuso la sanción relativa a tener como ciertos los hechos de la demanda susceptibles de confesión. </w:t>
      </w:r>
    </w:p>
    <w:p w:rsidR="001F440B" w:rsidRPr="00B4213C" w:rsidRDefault="001F440B" w:rsidP="001F440B">
      <w:pPr>
        <w:pStyle w:val="Sinespaciado"/>
        <w:rPr>
          <w:rFonts w:ascii="Tahoma" w:hAnsi="Tahoma" w:cs="Tahoma"/>
        </w:rPr>
      </w:pPr>
    </w:p>
    <w:p w:rsidR="001F440B" w:rsidRPr="00B4213C" w:rsidRDefault="001F440B" w:rsidP="001F440B">
      <w:pPr>
        <w:ind w:firstLine="709"/>
        <w:jc w:val="both"/>
        <w:rPr>
          <w:rFonts w:ascii="Tahoma" w:hAnsi="Tahoma" w:cs="Tahoma"/>
        </w:rPr>
      </w:pPr>
      <w:r w:rsidRPr="00B4213C">
        <w:rPr>
          <w:rFonts w:ascii="Tahoma" w:hAnsi="Tahoma" w:cs="Tahoma"/>
        </w:rPr>
        <w:t>Igual consecuencia jurídica desató de la inasistencia del representante legal de PROSEGUR S.A., al considerar que, pese a que allegó incapacidad médica, la misma no ofrece ningún tipo de información a fin de corroborar su veracidad, además de que en el certificado de existencia de la entidad, esta cuenta con varias personas que cumplen las funciones de representación legal, por lo que cualquiera de ellas estaba facultado de absolver interrogatorio de parte.</w:t>
      </w:r>
    </w:p>
    <w:p w:rsidR="001F440B" w:rsidRPr="00B4213C" w:rsidRDefault="001F440B" w:rsidP="001F440B">
      <w:pPr>
        <w:pStyle w:val="Sinespaciado"/>
        <w:rPr>
          <w:rFonts w:ascii="Tahoma" w:hAnsi="Tahoma" w:cs="Tahoma"/>
        </w:rPr>
      </w:pPr>
    </w:p>
    <w:p w:rsidR="001F440B" w:rsidRPr="00B4213C" w:rsidRDefault="001F440B" w:rsidP="001F440B">
      <w:pPr>
        <w:widowControl w:val="0"/>
        <w:autoSpaceDE w:val="0"/>
        <w:autoSpaceDN w:val="0"/>
        <w:adjustRightInd w:val="0"/>
        <w:ind w:firstLine="709"/>
        <w:jc w:val="both"/>
        <w:rPr>
          <w:rFonts w:ascii="Tahoma" w:hAnsi="Tahoma" w:cs="Tahoma"/>
        </w:rPr>
      </w:pPr>
      <w:r w:rsidRPr="00B4213C">
        <w:rPr>
          <w:rFonts w:ascii="Tahoma" w:hAnsi="Tahoma" w:cs="Tahoma"/>
        </w:rPr>
        <w:lastRenderedPageBreak/>
        <w:t>Seguidamente el togado de las codemandadas interpuso recurso de reposición y en subsidio el de apelación frente al auto que tuvo por ciertos los hechos de la demanda, arguyendo que la manera como fue decretada la prueba contiene una imprecisión, al señalar los nombres exactos de personas que no han ostentado la calidad de representantes legales, por lo que era la parte demandante quien tenía la obligación de hacerlos comparecer.</w:t>
      </w:r>
    </w:p>
    <w:p w:rsidR="001F440B" w:rsidRPr="00B4213C" w:rsidRDefault="001F440B" w:rsidP="001F440B">
      <w:pPr>
        <w:pStyle w:val="Sinespaciado"/>
        <w:rPr>
          <w:rFonts w:ascii="Tahoma" w:hAnsi="Tahoma" w:cs="Tahoma"/>
        </w:rPr>
      </w:pPr>
    </w:p>
    <w:p w:rsidR="001F440B" w:rsidRPr="00B4213C" w:rsidRDefault="001F440B" w:rsidP="001F440B">
      <w:pPr>
        <w:widowControl w:val="0"/>
        <w:autoSpaceDE w:val="0"/>
        <w:autoSpaceDN w:val="0"/>
        <w:adjustRightInd w:val="0"/>
        <w:ind w:firstLine="709"/>
        <w:jc w:val="both"/>
        <w:rPr>
          <w:rFonts w:ascii="Tahoma" w:hAnsi="Tahoma" w:cs="Tahoma"/>
        </w:rPr>
      </w:pPr>
      <w:r w:rsidRPr="00B4213C">
        <w:rPr>
          <w:rFonts w:ascii="Tahoma" w:hAnsi="Tahoma" w:cs="Tahoma"/>
        </w:rPr>
        <w:t xml:space="preserve"> La operadora jurídica resolvió de manera negativa el recurso de reposición, aduciendo que el decreto de las pruebas se hizo en cumplimiento de las reglas de oralidad y por tanto en el auto proferido en audiencia, si bien se ordenó el interrogatorio de parte de los representantes legales con nombre propio, también se aclaró que comparecería esta persona o quien hiciera sus veces, o en caso de no existir tal persona en la sucursal, lo hiciera el representante legal principal. </w:t>
      </w:r>
    </w:p>
    <w:p w:rsidR="001F440B" w:rsidRPr="00B4213C" w:rsidRDefault="001F440B" w:rsidP="001F440B">
      <w:pPr>
        <w:pStyle w:val="Sinespaciado"/>
        <w:rPr>
          <w:rFonts w:ascii="Tahoma" w:hAnsi="Tahoma" w:cs="Tahoma"/>
        </w:rPr>
      </w:pPr>
    </w:p>
    <w:p w:rsidR="001F440B" w:rsidRPr="00B4213C" w:rsidRDefault="001F440B" w:rsidP="001F440B">
      <w:pPr>
        <w:widowControl w:val="0"/>
        <w:autoSpaceDE w:val="0"/>
        <w:autoSpaceDN w:val="0"/>
        <w:adjustRightInd w:val="0"/>
        <w:ind w:firstLine="709"/>
        <w:jc w:val="both"/>
        <w:rPr>
          <w:rFonts w:ascii="Tahoma" w:hAnsi="Tahoma" w:cs="Tahoma"/>
        </w:rPr>
      </w:pPr>
      <w:r w:rsidRPr="00B4213C">
        <w:rPr>
          <w:rFonts w:ascii="Tahoma" w:hAnsi="Tahoma" w:cs="Tahoma"/>
        </w:rPr>
        <w:t>Expuso que el decreto del interrogatorio quedó tan entendido por las codemandadas, que solicitaron el aplazamiento de la fecha inicialmente programada para esa diligencia, bajo el supuesto de la imposibilidad de asistir de los representantes legales inscritos de PROSEGUR, lo que en esa oportunidad encontró procedente el Despacho por hacer relación a todos los que tienen la calidad de representante legal.</w:t>
      </w:r>
    </w:p>
    <w:p w:rsidR="001F440B" w:rsidRPr="00B4213C" w:rsidRDefault="001F440B" w:rsidP="001F440B">
      <w:pPr>
        <w:pStyle w:val="Sinespaciado"/>
        <w:rPr>
          <w:rFonts w:ascii="Tahoma" w:hAnsi="Tahoma" w:cs="Tahoma"/>
        </w:rPr>
      </w:pPr>
    </w:p>
    <w:p w:rsidR="001F440B" w:rsidRPr="00B4213C" w:rsidRDefault="001F440B" w:rsidP="001F440B">
      <w:pPr>
        <w:widowControl w:val="0"/>
        <w:autoSpaceDE w:val="0"/>
        <w:autoSpaceDN w:val="0"/>
        <w:adjustRightInd w:val="0"/>
        <w:ind w:firstLine="709"/>
        <w:jc w:val="both"/>
        <w:rPr>
          <w:rFonts w:ascii="Tahoma" w:hAnsi="Tahoma" w:cs="Tahoma"/>
        </w:rPr>
      </w:pPr>
      <w:r w:rsidRPr="00B4213C">
        <w:rPr>
          <w:rFonts w:ascii="Tahoma" w:hAnsi="Tahoma" w:cs="Tahoma"/>
        </w:rPr>
        <w:t>Concluyó que si bien se allegó una prueba sumaria para justificar la inasistencia, esta corresponde a una sola de las personas que funge como representante legal de la entidad, por lo que otros podían comparecer a la práctica de la prueba, además de que la incapacidad médica no contaba con la información necesar</w:t>
      </w:r>
      <w:r w:rsidR="00580EA5" w:rsidRPr="00B4213C">
        <w:rPr>
          <w:rFonts w:ascii="Tahoma" w:hAnsi="Tahoma" w:cs="Tahoma"/>
        </w:rPr>
        <w:t>ia para verificar su veracidad ni</w:t>
      </w:r>
      <w:r w:rsidRPr="00B4213C">
        <w:rPr>
          <w:rFonts w:ascii="Tahoma" w:hAnsi="Tahoma" w:cs="Tahoma"/>
        </w:rPr>
        <w:t xml:space="preserve"> se dispuso</w:t>
      </w:r>
      <w:r w:rsidR="00580EA5" w:rsidRPr="00B4213C">
        <w:rPr>
          <w:rFonts w:ascii="Tahoma" w:hAnsi="Tahoma" w:cs="Tahoma"/>
        </w:rPr>
        <w:t xml:space="preserve"> de</w:t>
      </w:r>
      <w:r w:rsidRPr="00B4213C">
        <w:rPr>
          <w:rFonts w:ascii="Tahoma" w:hAnsi="Tahoma" w:cs="Tahoma"/>
        </w:rPr>
        <w:t xml:space="preserve"> los medios tecnológicos para que los representantes legales no tuvieran que desplazarse desde la ciudad de Bogotá.</w:t>
      </w:r>
    </w:p>
    <w:p w:rsidR="001F440B" w:rsidRPr="00B4213C" w:rsidRDefault="001F440B" w:rsidP="001F440B">
      <w:pPr>
        <w:pStyle w:val="Sinespaciado"/>
        <w:rPr>
          <w:rFonts w:ascii="Tahoma" w:hAnsi="Tahoma" w:cs="Tahoma"/>
        </w:rPr>
      </w:pPr>
    </w:p>
    <w:p w:rsidR="001F440B" w:rsidRPr="00B4213C" w:rsidRDefault="001F440B" w:rsidP="001F440B">
      <w:pPr>
        <w:widowControl w:val="0"/>
        <w:autoSpaceDE w:val="0"/>
        <w:autoSpaceDN w:val="0"/>
        <w:adjustRightInd w:val="0"/>
        <w:ind w:firstLine="709"/>
        <w:jc w:val="both"/>
        <w:rPr>
          <w:rFonts w:ascii="Tahoma" w:hAnsi="Tahoma" w:cs="Tahoma"/>
        </w:rPr>
      </w:pPr>
      <w:r w:rsidRPr="00B4213C">
        <w:rPr>
          <w:rFonts w:ascii="Tahoma" w:hAnsi="Tahoma" w:cs="Tahoma"/>
        </w:rPr>
        <w:t>Seguidamente negó el recurso de apelación indicando que de acuerdo con el artículo 204 del Código General del Proceso, el auto que impone las sanciones por inasistencia no es susceptible de ningún recurso, aunado a que el art. 65 del Código de Procedimiento Laboral no admite el recurso de apelación contra esta decisión.</w:t>
      </w:r>
    </w:p>
    <w:p w:rsidR="001F440B" w:rsidRPr="00B4213C" w:rsidRDefault="001F440B" w:rsidP="001F440B">
      <w:pPr>
        <w:pStyle w:val="Sinespaciado"/>
        <w:rPr>
          <w:rFonts w:ascii="Tahoma" w:hAnsi="Tahoma" w:cs="Tahoma"/>
        </w:rPr>
      </w:pPr>
    </w:p>
    <w:p w:rsidR="001F440B" w:rsidRPr="00B4213C" w:rsidRDefault="001F440B" w:rsidP="001F440B">
      <w:pPr>
        <w:ind w:firstLine="709"/>
        <w:jc w:val="both"/>
        <w:rPr>
          <w:rFonts w:ascii="Tahoma" w:hAnsi="Tahoma" w:cs="Tahoma"/>
        </w:rPr>
      </w:pPr>
      <w:r w:rsidRPr="00B4213C">
        <w:rPr>
          <w:rFonts w:ascii="Tahoma" w:hAnsi="Tahoma" w:cs="Tahoma"/>
        </w:rPr>
        <w:t xml:space="preserve">Frente a la anterior determinación, el apoderado de la parte </w:t>
      </w:r>
      <w:r w:rsidR="001E4605" w:rsidRPr="00B4213C">
        <w:rPr>
          <w:rFonts w:ascii="Tahoma" w:hAnsi="Tahoma" w:cs="Tahoma"/>
        </w:rPr>
        <w:t>demandada</w:t>
      </w:r>
      <w:r w:rsidRPr="00B4213C">
        <w:rPr>
          <w:rFonts w:ascii="Tahoma" w:hAnsi="Tahoma" w:cs="Tahoma"/>
        </w:rPr>
        <w:t xml:space="preserve"> interpuso  recurso de reposición y en subsidio solicitó que se expidieran las copias respectivas para que se surtiera el de queja, señalando que la decisión que toma el Despacho no es una decisión sustancial sino de fondo que impone las sanciones procesales de tener por ciertos hechos de la demanda.</w:t>
      </w:r>
    </w:p>
    <w:p w:rsidR="001F440B" w:rsidRPr="00B4213C" w:rsidRDefault="001F440B" w:rsidP="001F440B">
      <w:pPr>
        <w:pStyle w:val="Sinespaciado"/>
        <w:rPr>
          <w:rFonts w:ascii="Tahoma" w:hAnsi="Tahoma" w:cs="Tahoma"/>
        </w:rPr>
      </w:pPr>
    </w:p>
    <w:p w:rsidR="001F440B" w:rsidRPr="00B4213C" w:rsidRDefault="001F440B" w:rsidP="001F440B">
      <w:pPr>
        <w:ind w:firstLine="709"/>
        <w:jc w:val="both"/>
        <w:rPr>
          <w:rFonts w:ascii="Tahoma" w:hAnsi="Tahoma" w:cs="Tahoma"/>
        </w:rPr>
      </w:pPr>
      <w:r w:rsidRPr="00B4213C">
        <w:rPr>
          <w:rFonts w:ascii="Tahoma" w:hAnsi="Tahoma" w:cs="Tahoma"/>
        </w:rPr>
        <w:t>La A-quo no repuso su decisión de no conceder el recurso de apelación, dado que si bien se están imponiendo unas sanciones, el recurso de apelación procede solo frente a los autos que de manera taxativa designe el art. 65 del Código Procesal del Trabajo y de la Seguridad Social; en consecuencia, continuó con la audiencia hasta la etapa de alegaciones, dejando en suspenso la sentencia hasta que se resolviera el recurso de queja.</w:t>
      </w:r>
    </w:p>
    <w:p w:rsidR="001F440B" w:rsidRPr="00B4213C" w:rsidRDefault="001F440B" w:rsidP="001F440B">
      <w:pPr>
        <w:pStyle w:val="Sinespaciado"/>
        <w:rPr>
          <w:rFonts w:ascii="Tahoma" w:hAnsi="Tahoma" w:cs="Tahoma"/>
        </w:rPr>
      </w:pPr>
    </w:p>
    <w:p w:rsidR="001F440B" w:rsidRPr="00B4213C" w:rsidRDefault="001F440B" w:rsidP="001F440B">
      <w:pPr>
        <w:pStyle w:val="Prrafodelista"/>
        <w:numPr>
          <w:ilvl w:val="0"/>
          <w:numId w:val="8"/>
        </w:numPr>
        <w:jc w:val="center"/>
        <w:rPr>
          <w:rFonts w:ascii="Tahoma" w:hAnsi="Tahoma" w:cs="Tahoma"/>
          <w:b/>
        </w:rPr>
      </w:pPr>
      <w:r w:rsidRPr="00B4213C">
        <w:rPr>
          <w:rFonts w:ascii="Tahoma" w:hAnsi="Tahoma" w:cs="Tahoma"/>
          <w:b/>
        </w:rPr>
        <w:t>CONSIDERACIONES</w:t>
      </w:r>
    </w:p>
    <w:p w:rsidR="001F440B" w:rsidRPr="00B4213C" w:rsidRDefault="001F440B" w:rsidP="001F440B">
      <w:pPr>
        <w:pStyle w:val="Sinespaciado"/>
        <w:rPr>
          <w:rFonts w:ascii="Tahoma" w:hAnsi="Tahoma" w:cs="Tahoma"/>
        </w:rPr>
      </w:pPr>
    </w:p>
    <w:p w:rsidR="001F440B" w:rsidRPr="00B4213C" w:rsidRDefault="001F440B" w:rsidP="001F440B">
      <w:pPr>
        <w:pStyle w:val="Prrafodelista"/>
        <w:numPr>
          <w:ilvl w:val="1"/>
          <w:numId w:val="8"/>
        </w:numPr>
        <w:ind w:left="709" w:firstLine="0"/>
        <w:jc w:val="both"/>
        <w:rPr>
          <w:rFonts w:ascii="Tahoma" w:hAnsi="Tahoma" w:cs="Tahoma"/>
          <w:b/>
        </w:rPr>
      </w:pPr>
      <w:r w:rsidRPr="00B4213C">
        <w:rPr>
          <w:rFonts w:ascii="Tahoma" w:hAnsi="Tahoma" w:cs="Tahoma"/>
          <w:b/>
        </w:rPr>
        <w:t>Problema jurídico</w:t>
      </w:r>
    </w:p>
    <w:p w:rsidR="001F440B" w:rsidRPr="00B4213C" w:rsidRDefault="001F440B" w:rsidP="001F440B">
      <w:pPr>
        <w:pStyle w:val="Sinespaciado"/>
        <w:rPr>
          <w:rFonts w:ascii="Tahoma" w:hAnsi="Tahoma" w:cs="Tahoma"/>
        </w:rPr>
      </w:pPr>
    </w:p>
    <w:p w:rsidR="001F440B" w:rsidRPr="00B4213C" w:rsidRDefault="001F440B" w:rsidP="001F440B">
      <w:pPr>
        <w:tabs>
          <w:tab w:val="left" w:pos="709"/>
        </w:tabs>
        <w:autoSpaceDE w:val="0"/>
        <w:autoSpaceDN w:val="0"/>
        <w:adjustRightInd w:val="0"/>
        <w:ind w:firstLine="709"/>
        <w:jc w:val="both"/>
        <w:rPr>
          <w:rFonts w:ascii="Tahoma" w:hAnsi="Tahoma" w:cs="Tahoma"/>
        </w:rPr>
      </w:pPr>
      <w:r w:rsidRPr="00B4213C">
        <w:rPr>
          <w:rFonts w:ascii="Tahoma" w:hAnsi="Tahoma" w:cs="Tahoma"/>
        </w:rPr>
        <w:t>¿Es procedente el recurso de apelación contra el auto que impuso las sanciones procesales por inasistencia al interrogatorio de parte?</w:t>
      </w:r>
    </w:p>
    <w:p w:rsidR="00580EA5" w:rsidRPr="00B4213C" w:rsidRDefault="00580EA5" w:rsidP="001F440B">
      <w:pPr>
        <w:tabs>
          <w:tab w:val="left" w:pos="709"/>
        </w:tabs>
        <w:autoSpaceDE w:val="0"/>
        <w:autoSpaceDN w:val="0"/>
        <w:adjustRightInd w:val="0"/>
        <w:ind w:firstLine="709"/>
        <w:jc w:val="both"/>
        <w:rPr>
          <w:rFonts w:ascii="Tahoma" w:hAnsi="Tahoma" w:cs="Tahoma"/>
        </w:rPr>
      </w:pPr>
    </w:p>
    <w:p w:rsidR="001F440B" w:rsidRPr="00B4213C" w:rsidRDefault="001F440B" w:rsidP="001F440B">
      <w:pPr>
        <w:pStyle w:val="Prrafodelista"/>
        <w:numPr>
          <w:ilvl w:val="1"/>
          <w:numId w:val="8"/>
        </w:numPr>
        <w:jc w:val="both"/>
        <w:rPr>
          <w:rFonts w:ascii="Tahoma" w:hAnsi="Tahoma" w:cs="Tahoma"/>
          <w:b/>
        </w:rPr>
      </w:pPr>
      <w:r w:rsidRPr="00B4213C">
        <w:rPr>
          <w:rFonts w:ascii="Tahoma" w:hAnsi="Tahoma" w:cs="Tahoma"/>
          <w:b/>
        </w:rPr>
        <w:t>Caso concreto</w:t>
      </w:r>
    </w:p>
    <w:p w:rsidR="001F440B" w:rsidRPr="00B4213C" w:rsidRDefault="001F440B" w:rsidP="00FE0C87">
      <w:pPr>
        <w:pStyle w:val="Sinespaciado"/>
        <w:rPr>
          <w:rFonts w:ascii="Tahoma" w:hAnsi="Tahoma" w:cs="Tahoma"/>
        </w:rPr>
      </w:pPr>
    </w:p>
    <w:p w:rsidR="001F440B" w:rsidRPr="00B4213C" w:rsidRDefault="000A6ABC" w:rsidP="000A6ABC">
      <w:pPr>
        <w:tabs>
          <w:tab w:val="left" w:pos="709"/>
        </w:tabs>
        <w:autoSpaceDE w:val="0"/>
        <w:autoSpaceDN w:val="0"/>
        <w:adjustRightInd w:val="0"/>
        <w:ind w:firstLine="709"/>
        <w:jc w:val="both"/>
        <w:rPr>
          <w:rFonts w:ascii="Tahoma" w:hAnsi="Tahoma" w:cs="Tahoma"/>
        </w:rPr>
      </w:pPr>
      <w:r w:rsidRPr="00B4213C">
        <w:rPr>
          <w:rFonts w:ascii="Tahoma" w:hAnsi="Tahoma" w:cs="Tahoma"/>
        </w:rPr>
        <w:t xml:space="preserve">Sea  lo  primero  indicar  que  el  recurso  de  queja,  de  acuerdo  con  lo  reglado  por  el  artículo  68 del Código Procesal del Trabajo y de la Seguridad Social, tiene por objeto que se conceda el de apelación denegado. </w:t>
      </w:r>
      <w:r w:rsidR="00C72E83" w:rsidRPr="00B4213C">
        <w:rPr>
          <w:rFonts w:ascii="Tahoma" w:hAnsi="Tahoma" w:cs="Tahoma"/>
        </w:rPr>
        <w:t>Asimismo</w:t>
      </w:r>
      <w:r w:rsidRPr="00B4213C">
        <w:rPr>
          <w:rFonts w:ascii="Tahoma" w:hAnsi="Tahoma" w:cs="Tahoma"/>
        </w:rPr>
        <w:t xml:space="preserve">, debe indicarse que en materia laboral, dicho recurso </w:t>
      </w:r>
      <w:r w:rsidRPr="00B4213C">
        <w:rPr>
          <w:rFonts w:ascii="Tahoma" w:hAnsi="Tahoma" w:cs="Tahoma"/>
        </w:rPr>
        <w:lastRenderedPageBreak/>
        <w:t xml:space="preserve">solo es procedente contra los autos de primera instancia que están enlistados taxativamente en el artículo 65 del </w:t>
      </w:r>
      <w:proofErr w:type="spellStart"/>
      <w:r w:rsidRPr="00B4213C">
        <w:rPr>
          <w:rFonts w:ascii="Tahoma" w:hAnsi="Tahoma" w:cs="Tahoma"/>
        </w:rPr>
        <w:t>C.P.L</w:t>
      </w:r>
      <w:proofErr w:type="spellEnd"/>
      <w:r w:rsidRPr="00B4213C">
        <w:rPr>
          <w:rFonts w:ascii="Tahoma" w:hAnsi="Tahoma" w:cs="Tahoma"/>
        </w:rPr>
        <w:t>. y de la S.S.</w:t>
      </w:r>
    </w:p>
    <w:p w:rsidR="000A6ABC" w:rsidRPr="00B4213C" w:rsidRDefault="000A6ABC" w:rsidP="00C72E83">
      <w:pPr>
        <w:pStyle w:val="Sinespaciado"/>
        <w:rPr>
          <w:rFonts w:ascii="Tahoma" w:hAnsi="Tahoma" w:cs="Tahoma"/>
        </w:rPr>
      </w:pPr>
    </w:p>
    <w:p w:rsidR="000A6ABC" w:rsidRPr="00B4213C" w:rsidRDefault="000A6ABC" w:rsidP="000A6ABC">
      <w:pPr>
        <w:tabs>
          <w:tab w:val="left" w:pos="709"/>
        </w:tabs>
        <w:autoSpaceDE w:val="0"/>
        <w:autoSpaceDN w:val="0"/>
        <w:adjustRightInd w:val="0"/>
        <w:ind w:firstLine="709"/>
        <w:jc w:val="both"/>
        <w:rPr>
          <w:rFonts w:ascii="Tahoma" w:hAnsi="Tahoma" w:cs="Tahoma"/>
        </w:rPr>
      </w:pPr>
      <w:r w:rsidRPr="00B4213C">
        <w:rPr>
          <w:rFonts w:ascii="Tahoma" w:hAnsi="Tahoma" w:cs="Tahoma"/>
        </w:rPr>
        <w:t>Por otra parte, el art. 204 del Código General del Proceso establece que el juez resolverá sobre la inasistencia al interrogatorio de parte mediante auto contra el cual no procede ningún recurso.</w:t>
      </w:r>
    </w:p>
    <w:p w:rsidR="000A6ABC" w:rsidRPr="00B4213C" w:rsidRDefault="000A6ABC" w:rsidP="00C72E83">
      <w:pPr>
        <w:pStyle w:val="Sinespaciado"/>
        <w:rPr>
          <w:rFonts w:ascii="Tahoma" w:hAnsi="Tahoma" w:cs="Tahoma"/>
        </w:rPr>
      </w:pPr>
    </w:p>
    <w:p w:rsidR="001F440B" w:rsidRPr="00B4213C" w:rsidRDefault="001F440B" w:rsidP="001F440B">
      <w:pPr>
        <w:tabs>
          <w:tab w:val="left" w:pos="709"/>
        </w:tabs>
        <w:autoSpaceDE w:val="0"/>
        <w:autoSpaceDN w:val="0"/>
        <w:adjustRightInd w:val="0"/>
        <w:ind w:firstLine="709"/>
        <w:jc w:val="both"/>
        <w:rPr>
          <w:rFonts w:ascii="Tahoma" w:hAnsi="Tahoma" w:cs="Tahoma"/>
        </w:rPr>
      </w:pPr>
      <w:r w:rsidRPr="00B4213C">
        <w:rPr>
          <w:rFonts w:ascii="Tahoma" w:hAnsi="Tahoma" w:cs="Tahoma"/>
        </w:rPr>
        <w:t>Así las cosas, de entrada advierte la Sala que el auto que impone las sanciones por inasistencia al interrogatorio de parte no se encuentra enlistado en aquellos susceptibles del recurso de apelación que enmarca el artículo 65 del Código Procesal del Trabajo y de la Seguridad Social</w:t>
      </w:r>
      <w:r w:rsidR="000A6ABC" w:rsidRPr="00B4213C">
        <w:rPr>
          <w:rFonts w:ascii="Tahoma" w:hAnsi="Tahoma" w:cs="Tahoma"/>
        </w:rPr>
        <w:t xml:space="preserve">, así como el art. 204 del </w:t>
      </w:r>
      <w:proofErr w:type="spellStart"/>
      <w:r w:rsidR="000A6ABC" w:rsidRPr="00B4213C">
        <w:rPr>
          <w:rFonts w:ascii="Tahoma" w:hAnsi="Tahoma" w:cs="Tahoma"/>
        </w:rPr>
        <w:t>C.G.P</w:t>
      </w:r>
      <w:proofErr w:type="spellEnd"/>
      <w:r w:rsidR="000A6ABC" w:rsidRPr="00B4213C">
        <w:rPr>
          <w:rFonts w:ascii="Tahoma" w:hAnsi="Tahoma" w:cs="Tahoma"/>
        </w:rPr>
        <w:t xml:space="preserve">. expresamente </w:t>
      </w:r>
      <w:r w:rsidR="00484662" w:rsidRPr="00B4213C">
        <w:rPr>
          <w:rFonts w:ascii="Tahoma" w:hAnsi="Tahoma" w:cs="Tahoma"/>
        </w:rPr>
        <w:t>lo descarta como susceptible de recursos</w:t>
      </w:r>
      <w:r w:rsidRPr="00B4213C">
        <w:rPr>
          <w:rFonts w:ascii="Tahoma" w:hAnsi="Tahoma" w:cs="Tahoma"/>
        </w:rPr>
        <w:t xml:space="preserve">, por lo que, </w:t>
      </w:r>
      <w:r w:rsidR="000A6ABC" w:rsidRPr="00B4213C">
        <w:rPr>
          <w:rFonts w:ascii="Tahoma" w:hAnsi="Tahoma" w:cs="Tahoma"/>
        </w:rPr>
        <w:t>de entrada</w:t>
      </w:r>
      <w:r w:rsidRPr="00B4213C">
        <w:rPr>
          <w:rFonts w:ascii="Tahoma" w:hAnsi="Tahoma" w:cs="Tahoma"/>
        </w:rPr>
        <w:t>, la determinación negativa de</w:t>
      </w:r>
      <w:r w:rsidR="00580EA5" w:rsidRPr="00B4213C">
        <w:rPr>
          <w:rFonts w:ascii="Tahoma" w:hAnsi="Tahoma" w:cs="Tahoma"/>
        </w:rPr>
        <w:t xml:space="preserve"> </w:t>
      </w:r>
      <w:r w:rsidRPr="00B4213C">
        <w:rPr>
          <w:rFonts w:ascii="Tahoma" w:hAnsi="Tahoma" w:cs="Tahoma"/>
        </w:rPr>
        <w:t>l</w:t>
      </w:r>
      <w:r w:rsidR="00580EA5" w:rsidRPr="00B4213C">
        <w:rPr>
          <w:rFonts w:ascii="Tahoma" w:hAnsi="Tahoma" w:cs="Tahoma"/>
        </w:rPr>
        <w:t>a</w:t>
      </w:r>
      <w:r w:rsidRPr="00B4213C">
        <w:rPr>
          <w:rFonts w:ascii="Tahoma" w:hAnsi="Tahoma" w:cs="Tahoma"/>
        </w:rPr>
        <w:t xml:space="preserve"> A-quo de conceder la alzada se encuentra ajustada a derecho.</w:t>
      </w:r>
    </w:p>
    <w:p w:rsidR="000A6ABC" w:rsidRPr="00B4213C" w:rsidRDefault="000A6ABC" w:rsidP="00C72E83">
      <w:pPr>
        <w:pStyle w:val="Sinespaciado"/>
        <w:rPr>
          <w:rFonts w:ascii="Tahoma" w:hAnsi="Tahoma" w:cs="Tahoma"/>
        </w:rPr>
      </w:pPr>
    </w:p>
    <w:p w:rsidR="000A6ABC" w:rsidRPr="00B4213C" w:rsidRDefault="000A6ABC" w:rsidP="001F440B">
      <w:pPr>
        <w:tabs>
          <w:tab w:val="left" w:pos="709"/>
        </w:tabs>
        <w:autoSpaceDE w:val="0"/>
        <w:autoSpaceDN w:val="0"/>
        <w:adjustRightInd w:val="0"/>
        <w:ind w:firstLine="709"/>
        <w:jc w:val="both"/>
        <w:rPr>
          <w:rFonts w:ascii="Tahoma" w:hAnsi="Tahoma" w:cs="Tahoma"/>
        </w:rPr>
      </w:pPr>
      <w:r w:rsidRPr="00B4213C">
        <w:rPr>
          <w:rFonts w:ascii="Tahoma" w:hAnsi="Tahoma" w:cs="Tahoma"/>
        </w:rPr>
        <w:t xml:space="preserve">Por demás, </w:t>
      </w:r>
      <w:r w:rsidR="00484662" w:rsidRPr="00B4213C">
        <w:rPr>
          <w:rFonts w:ascii="Tahoma" w:hAnsi="Tahoma" w:cs="Tahoma"/>
        </w:rPr>
        <w:t>se recuerda que el art. 103 de la ley 446 de 1998, que consagraba la apelación contra la decisión de imponer una sanción, fue derogado por disposición expresa del  literal c) del artículo 626 del Código General del Proceso, por lo que actualmente contra el auto que impone una sanción procesal no procede ningún recurso, en los términos del art. 204 ibídem.</w:t>
      </w:r>
    </w:p>
    <w:p w:rsidR="001F440B" w:rsidRPr="00B4213C" w:rsidRDefault="001F440B" w:rsidP="00C72E83">
      <w:pPr>
        <w:pStyle w:val="Sinespaciado"/>
        <w:rPr>
          <w:rFonts w:ascii="Tahoma" w:hAnsi="Tahoma" w:cs="Tahoma"/>
        </w:rPr>
      </w:pPr>
    </w:p>
    <w:p w:rsidR="000A6ABC" w:rsidRPr="00B4213C" w:rsidRDefault="000A6ABC" w:rsidP="000A6ABC">
      <w:pPr>
        <w:tabs>
          <w:tab w:val="left" w:pos="709"/>
        </w:tabs>
        <w:autoSpaceDE w:val="0"/>
        <w:autoSpaceDN w:val="0"/>
        <w:adjustRightInd w:val="0"/>
        <w:ind w:firstLine="709"/>
        <w:jc w:val="both"/>
        <w:rPr>
          <w:rFonts w:ascii="Tahoma" w:hAnsi="Tahoma" w:cs="Tahoma"/>
        </w:rPr>
      </w:pPr>
      <w:r w:rsidRPr="00B4213C">
        <w:rPr>
          <w:rFonts w:ascii="Tahoma" w:hAnsi="Tahoma" w:cs="Tahoma"/>
        </w:rPr>
        <w:t>Ahora, frente a los argumentos esbozados por el togado demanda</w:t>
      </w:r>
      <w:r w:rsidR="00484662" w:rsidRPr="00B4213C">
        <w:rPr>
          <w:rFonts w:ascii="Tahoma" w:hAnsi="Tahoma" w:cs="Tahoma"/>
        </w:rPr>
        <w:t>do</w:t>
      </w:r>
      <w:r w:rsidRPr="00B4213C">
        <w:rPr>
          <w:rFonts w:ascii="Tahoma" w:hAnsi="Tahoma" w:cs="Tahoma"/>
        </w:rPr>
        <w:t>, que aluden a la</w:t>
      </w:r>
      <w:r w:rsidR="00484662" w:rsidRPr="00B4213C">
        <w:rPr>
          <w:rFonts w:ascii="Tahoma" w:hAnsi="Tahoma" w:cs="Tahoma"/>
        </w:rPr>
        <w:t xml:space="preserve"> práctica de una prueba</w:t>
      </w:r>
      <w:r w:rsidRPr="00B4213C">
        <w:rPr>
          <w:rFonts w:ascii="Tahoma" w:hAnsi="Tahoma" w:cs="Tahoma"/>
        </w:rPr>
        <w:t xml:space="preserve">, deben hacerse las siguientes precisiones: </w:t>
      </w:r>
    </w:p>
    <w:p w:rsidR="000A6ABC" w:rsidRPr="00B4213C" w:rsidRDefault="000A6ABC" w:rsidP="000A6ABC">
      <w:pPr>
        <w:tabs>
          <w:tab w:val="left" w:pos="709"/>
        </w:tabs>
        <w:autoSpaceDE w:val="0"/>
        <w:autoSpaceDN w:val="0"/>
        <w:adjustRightInd w:val="0"/>
        <w:ind w:firstLine="709"/>
        <w:jc w:val="both"/>
        <w:rPr>
          <w:rFonts w:ascii="Tahoma" w:hAnsi="Tahoma" w:cs="Tahoma"/>
        </w:rPr>
      </w:pPr>
    </w:p>
    <w:p w:rsidR="000A6ABC" w:rsidRPr="00B4213C" w:rsidRDefault="000A6ABC" w:rsidP="000A6ABC">
      <w:pPr>
        <w:tabs>
          <w:tab w:val="left" w:pos="709"/>
        </w:tabs>
        <w:autoSpaceDE w:val="0"/>
        <w:autoSpaceDN w:val="0"/>
        <w:adjustRightInd w:val="0"/>
        <w:ind w:firstLine="709"/>
        <w:jc w:val="both"/>
        <w:rPr>
          <w:rFonts w:ascii="Tahoma" w:hAnsi="Tahoma" w:cs="Tahoma"/>
        </w:rPr>
      </w:pPr>
      <w:r w:rsidRPr="00B4213C">
        <w:rPr>
          <w:rFonts w:ascii="Tahoma" w:hAnsi="Tahoma" w:cs="Tahoma"/>
        </w:rPr>
        <w:t>1.</w:t>
      </w:r>
      <w:r w:rsidRPr="00B4213C">
        <w:rPr>
          <w:rFonts w:ascii="Tahoma" w:hAnsi="Tahoma" w:cs="Tahoma"/>
        </w:rPr>
        <w:tab/>
        <w:t xml:space="preserve">El recurso de queja está establecido para que una superioridad determine si una apelación es procedente o no, teniendo en cuenta las providencias que el legislador estableció expresamente como susceptibles de ese recurso, y así salvaguardar el debido proceso de las partes; providencias en las que, tal como se dijo previamente, no está enmarcada aquella que </w:t>
      </w:r>
      <w:r w:rsidR="00484662" w:rsidRPr="00B4213C">
        <w:rPr>
          <w:rFonts w:ascii="Tahoma" w:hAnsi="Tahoma" w:cs="Tahoma"/>
        </w:rPr>
        <w:t>impone la sanción por inasistencia al interrogatorio</w:t>
      </w:r>
      <w:r w:rsidRPr="00B4213C">
        <w:rPr>
          <w:rFonts w:ascii="Tahoma" w:hAnsi="Tahoma" w:cs="Tahoma"/>
        </w:rPr>
        <w:t>.</w:t>
      </w:r>
    </w:p>
    <w:p w:rsidR="000A6ABC" w:rsidRPr="00B4213C" w:rsidRDefault="000A6ABC" w:rsidP="00C72E83">
      <w:pPr>
        <w:pStyle w:val="Sinespaciado"/>
        <w:rPr>
          <w:rFonts w:ascii="Tahoma" w:hAnsi="Tahoma" w:cs="Tahoma"/>
        </w:rPr>
      </w:pPr>
    </w:p>
    <w:p w:rsidR="000A6ABC" w:rsidRPr="00B4213C" w:rsidRDefault="000A6ABC" w:rsidP="000A6ABC">
      <w:pPr>
        <w:tabs>
          <w:tab w:val="left" w:pos="709"/>
        </w:tabs>
        <w:autoSpaceDE w:val="0"/>
        <w:autoSpaceDN w:val="0"/>
        <w:adjustRightInd w:val="0"/>
        <w:ind w:firstLine="709"/>
        <w:jc w:val="both"/>
        <w:rPr>
          <w:rFonts w:ascii="Tahoma" w:hAnsi="Tahoma" w:cs="Tahoma"/>
        </w:rPr>
      </w:pPr>
      <w:r w:rsidRPr="00B4213C">
        <w:rPr>
          <w:rFonts w:ascii="Tahoma" w:hAnsi="Tahoma" w:cs="Tahoma"/>
        </w:rPr>
        <w:t>2.</w:t>
      </w:r>
      <w:r w:rsidRPr="00B4213C">
        <w:rPr>
          <w:rFonts w:ascii="Tahoma" w:hAnsi="Tahoma" w:cs="Tahoma"/>
        </w:rPr>
        <w:tab/>
      </w:r>
      <w:r w:rsidR="00484662" w:rsidRPr="00B4213C">
        <w:rPr>
          <w:rFonts w:ascii="Tahoma" w:hAnsi="Tahoma" w:cs="Tahoma"/>
        </w:rPr>
        <w:t>En caso de presentar inconformidades con la forma en cómo se decretaron las pruebas, era precisamente en ese momento procesal en donde debió manifestar la aclaración pertinente, sin que en el audio de la audiencia del art. 77 se</w:t>
      </w:r>
      <w:r w:rsidR="00C72E83" w:rsidRPr="00B4213C">
        <w:rPr>
          <w:rFonts w:ascii="Tahoma" w:hAnsi="Tahoma" w:cs="Tahoma"/>
        </w:rPr>
        <w:t xml:space="preserve"> aprecie</w:t>
      </w:r>
      <w:r w:rsidR="00484662" w:rsidRPr="00B4213C">
        <w:rPr>
          <w:rFonts w:ascii="Tahoma" w:hAnsi="Tahoma" w:cs="Tahoma"/>
        </w:rPr>
        <w:t xml:space="preserve"> incorporado alguna manifestación de las partes sobre el particular.</w:t>
      </w:r>
    </w:p>
    <w:p w:rsidR="000A6ABC" w:rsidRPr="00B4213C" w:rsidRDefault="000A6ABC" w:rsidP="00C72E83">
      <w:pPr>
        <w:pStyle w:val="Sinespaciado"/>
        <w:rPr>
          <w:rFonts w:ascii="Tahoma" w:hAnsi="Tahoma" w:cs="Tahoma"/>
        </w:rPr>
      </w:pPr>
    </w:p>
    <w:p w:rsidR="000A6ABC" w:rsidRPr="00B4213C" w:rsidRDefault="000A6ABC" w:rsidP="000A6ABC">
      <w:pPr>
        <w:tabs>
          <w:tab w:val="left" w:pos="709"/>
        </w:tabs>
        <w:autoSpaceDE w:val="0"/>
        <w:autoSpaceDN w:val="0"/>
        <w:adjustRightInd w:val="0"/>
        <w:ind w:firstLine="709"/>
        <w:jc w:val="both"/>
        <w:rPr>
          <w:rFonts w:ascii="Tahoma" w:hAnsi="Tahoma" w:cs="Tahoma"/>
        </w:rPr>
      </w:pPr>
      <w:r w:rsidRPr="00B4213C">
        <w:rPr>
          <w:rFonts w:ascii="Tahoma" w:hAnsi="Tahoma" w:cs="Tahoma"/>
        </w:rPr>
        <w:t>3.</w:t>
      </w:r>
      <w:r w:rsidRPr="00B4213C">
        <w:rPr>
          <w:rFonts w:ascii="Tahoma" w:hAnsi="Tahoma" w:cs="Tahoma"/>
        </w:rPr>
        <w:tab/>
      </w:r>
      <w:r w:rsidR="00777D06" w:rsidRPr="00B4213C">
        <w:rPr>
          <w:rFonts w:ascii="Tahoma" w:hAnsi="Tahoma" w:cs="Tahoma"/>
        </w:rPr>
        <w:t>E</w:t>
      </w:r>
      <w:r w:rsidRPr="00B4213C">
        <w:rPr>
          <w:rFonts w:ascii="Tahoma" w:hAnsi="Tahoma" w:cs="Tahoma"/>
        </w:rPr>
        <w:t xml:space="preserve">l caso sub examine no se conoce en esta instancia con ocasión de </w:t>
      </w:r>
      <w:r w:rsidR="00777D06" w:rsidRPr="00B4213C">
        <w:rPr>
          <w:rFonts w:ascii="Tahoma" w:hAnsi="Tahoma" w:cs="Tahoma"/>
        </w:rPr>
        <w:t>la negación a la práctica de una prueba, sino que el interrogatorio se dejó de practicar por la omisión de la parte de asistir</w:t>
      </w:r>
      <w:r w:rsidRPr="00B4213C">
        <w:rPr>
          <w:rFonts w:ascii="Tahoma" w:hAnsi="Tahoma" w:cs="Tahoma"/>
        </w:rPr>
        <w:t xml:space="preserve">, y en esa medida, la resolución del debate sólo se centra en verificar si era procedente o no el recurso de apelación propuesto. Por lo tanto, los argumentos esbozados </w:t>
      </w:r>
      <w:r w:rsidR="00777D06" w:rsidRPr="00B4213C">
        <w:rPr>
          <w:rFonts w:ascii="Tahoma" w:hAnsi="Tahoma" w:cs="Tahoma"/>
        </w:rPr>
        <w:t>por la demandada en cuanto a la justificación de la inasistencia, resultan inanes.</w:t>
      </w:r>
    </w:p>
    <w:p w:rsidR="000A6ABC" w:rsidRPr="00B4213C" w:rsidRDefault="000A6ABC" w:rsidP="00FE0C87">
      <w:pPr>
        <w:pStyle w:val="Sinespaciado"/>
        <w:rPr>
          <w:rFonts w:ascii="Tahoma" w:hAnsi="Tahoma" w:cs="Tahoma"/>
        </w:rPr>
      </w:pPr>
    </w:p>
    <w:p w:rsidR="000A6ABC" w:rsidRDefault="000A6ABC" w:rsidP="000A6ABC">
      <w:pPr>
        <w:tabs>
          <w:tab w:val="left" w:pos="709"/>
        </w:tabs>
        <w:autoSpaceDE w:val="0"/>
        <w:autoSpaceDN w:val="0"/>
        <w:adjustRightInd w:val="0"/>
        <w:ind w:firstLine="709"/>
        <w:jc w:val="both"/>
        <w:rPr>
          <w:rFonts w:ascii="Tahoma" w:hAnsi="Tahoma" w:cs="Tahoma"/>
        </w:rPr>
      </w:pPr>
      <w:r w:rsidRPr="00B4213C">
        <w:rPr>
          <w:rFonts w:ascii="Tahoma" w:hAnsi="Tahoma" w:cs="Tahoma"/>
        </w:rPr>
        <w:t>Por lo brevemente expuesto, se declarará bien denegado el recurso de apelación.  Sin lugar a costas en esta instancia por no haberse causado.</w:t>
      </w:r>
    </w:p>
    <w:p w:rsidR="005935BC" w:rsidRPr="00B4213C" w:rsidRDefault="005935BC" w:rsidP="000A6ABC">
      <w:pPr>
        <w:tabs>
          <w:tab w:val="left" w:pos="709"/>
        </w:tabs>
        <w:autoSpaceDE w:val="0"/>
        <w:autoSpaceDN w:val="0"/>
        <w:adjustRightInd w:val="0"/>
        <w:ind w:firstLine="709"/>
        <w:jc w:val="both"/>
        <w:rPr>
          <w:rFonts w:ascii="Tahoma" w:hAnsi="Tahoma" w:cs="Tahoma"/>
        </w:rPr>
      </w:pPr>
    </w:p>
    <w:p w:rsidR="001F440B" w:rsidRPr="00B4213C" w:rsidRDefault="001F440B" w:rsidP="001F440B">
      <w:pPr>
        <w:jc w:val="both"/>
        <w:rPr>
          <w:rFonts w:ascii="Tahoma" w:hAnsi="Tahoma" w:cs="Tahoma"/>
        </w:rPr>
      </w:pPr>
      <w:r w:rsidRPr="00B4213C">
        <w:rPr>
          <w:rFonts w:ascii="Tahoma" w:hAnsi="Tahoma" w:cs="Tahoma"/>
        </w:rPr>
        <w:tab/>
        <w:t xml:space="preserve">En mérito de lo expuesto, la </w:t>
      </w:r>
      <w:r w:rsidRPr="00B4213C">
        <w:rPr>
          <w:rFonts w:ascii="Tahoma" w:hAnsi="Tahoma" w:cs="Tahoma"/>
          <w:b/>
        </w:rPr>
        <w:t>Sala de Decisión Laboral No. 1 del Tribunal Superior de Pereira</w:t>
      </w:r>
      <w:r w:rsidRPr="00B4213C">
        <w:rPr>
          <w:rFonts w:ascii="Tahoma" w:hAnsi="Tahoma" w:cs="Tahoma"/>
        </w:rPr>
        <w:t xml:space="preserve">, </w:t>
      </w:r>
    </w:p>
    <w:p w:rsidR="001F440B" w:rsidRPr="00B4213C" w:rsidRDefault="001F440B" w:rsidP="00777D06">
      <w:pPr>
        <w:pStyle w:val="Sinespaciado"/>
        <w:rPr>
          <w:rFonts w:ascii="Tahoma" w:hAnsi="Tahoma" w:cs="Tahoma"/>
        </w:rPr>
      </w:pPr>
    </w:p>
    <w:p w:rsidR="001F440B" w:rsidRPr="00B4213C" w:rsidRDefault="001F440B" w:rsidP="001F440B">
      <w:pPr>
        <w:pStyle w:val="Textoindependiente"/>
        <w:jc w:val="center"/>
        <w:rPr>
          <w:rFonts w:ascii="Tahoma" w:hAnsi="Tahoma" w:cs="Tahoma"/>
          <w:b/>
        </w:rPr>
      </w:pPr>
      <w:r w:rsidRPr="00B4213C">
        <w:rPr>
          <w:rFonts w:ascii="Tahoma" w:hAnsi="Tahoma" w:cs="Tahoma"/>
          <w:b/>
        </w:rPr>
        <w:t>RESUELVE</w:t>
      </w:r>
    </w:p>
    <w:p w:rsidR="00777D06" w:rsidRPr="00B4213C" w:rsidRDefault="001F440B" w:rsidP="00777D06">
      <w:pPr>
        <w:jc w:val="both"/>
        <w:rPr>
          <w:rFonts w:ascii="Tahoma" w:hAnsi="Tahoma" w:cs="Tahoma"/>
        </w:rPr>
      </w:pPr>
      <w:r w:rsidRPr="00B4213C">
        <w:rPr>
          <w:rFonts w:ascii="Tahoma" w:hAnsi="Tahoma" w:cs="Tahoma"/>
          <w:b/>
        </w:rPr>
        <w:tab/>
      </w:r>
      <w:r w:rsidR="00777D06" w:rsidRPr="00B4213C">
        <w:rPr>
          <w:rFonts w:ascii="Tahoma" w:hAnsi="Tahoma" w:cs="Tahoma"/>
          <w:b/>
        </w:rPr>
        <w:t xml:space="preserve">PRIMERO: DECLARAR </w:t>
      </w:r>
      <w:r w:rsidR="00777D06" w:rsidRPr="00B4213C">
        <w:rPr>
          <w:rFonts w:ascii="Tahoma" w:hAnsi="Tahoma" w:cs="Tahoma"/>
        </w:rPr>
        <w:t xml:space="preserve"> bien denegado</w:t>
      </w:r>
      <w:r w:rsidR="00777D06" w:rsidRPr="00B4213C">
        <w:rPr>
          <w:rFonts w:ascii="Tahoma" w:hAnsi="Tahoma" w:cs="Tahoma"/>
          <w:b/>
        </w:rPr>
        <w:t xml:space="preserve"> </w:t>
      </w:r>
      <w:r w:rsidR="00777D06" w:rsidRPr="00B4213C">
        <w:rPr>
          <w:rFonts w:ascii="Tahoma" w:hAnsi="Tahoma" w:cs="Tahoma"/>
        </w:rPr>
        <w:t>el recurso de apelación interpuesto por la parte demandada contra el auto proferido por la Jueza Tercera Laboral del Circuito de Pereira, por medio del cual admitió las contestaciones presentadas por la parte demandada.</w:t>
      </w:r>
    </w:p>
    <w:p w:rsidR="00777D06" w:rsidRPr="00B4213C" w:rsidRDefault="00777D06" w:rsidP="00777D06">
      <w:pPr>
        <w:jc w:val="both"/>
        <w:rPr>
          <w:rFonts w:ascii="Tahoma" w:hAnsi="Tahoma" w:cs="Tahoma"/>
        </w:rPr>
      </w:pPr>
    </w:p>
    <w:p w:rsidR="00777D06" w:rsidRPr="00B4213C" w:rsidRDefault="00777D06" w:rsidP="00777D06">
      <w:pPr>
        <w:jc w:val="both"/>
        <w:rPr>
          <w:rFonts w:ascii="Tahoma" w:hAnsi="Tahoma" w:cs="Tahoma"/>
        </w:rPr>
      </w:pPr>
      <w:r w:rsidRPr="00B4213C">
        <w:rPr>
          <w:rFonts w:ascii="Tahoma" w:hAnsi="Tahoma" w:cs="Tahoma"/>
        </w:rPr>
        <w:tab/>
      </w:r>
      <w:r w:rsidRPr="00B4213C">
        <w:rPr>
          <w:rFonts w:ascii="Tahoma" w:hAnsi="Tahoma" w:cs="Tahoma"/>
          <w:b/>
        </w:rPr>
        <w:t>SEGUNDO:</w:t>
      </w:r>
      <w:r w:rsidRPr="00B4213C">
        <w:rPr>
          <w:rFonts w:ascii="Tahoma" w:hAnsi="Tahoma" w:cs="Tahoma"/>
        </w:rPr>
        <w:t xml:space="preserve"> En consecuencia, devuélvase el expediente al Juzgado de origen.</w:t>
      </w:r>
    </w:p>
    <w:p w:rsidR="00777D06" w:rsidRPr="00B4213C" w:rsidRDefault="00777D06" w:rsidP="00777D06">
      <w:pPr>
        <w:jc w:val="both"/>
        <w:rPr>
          <w:rFonts w:ascii="Tahoma" w:hAnsi="Tahoma" w:cs="Tahoma"/>
        </w:rPr>
      </w:pPr>
    </w:p>
    <w:p w:rsidR="00777D06" w:rsidRPr="00B4213C" w:rsidRDefault="00777D06" w:rsidP="00777D06">
      <w:pPr>
        <w:jc w:val="both"/>
        <w:rPr>
          <w:rFonts w:ascii="Tahoma" w:hAnsi="Tahoma" w:cs="Tahoma"/>
        </w:rPr>
      </w:pPr>
      <w:r w:rsidRPr="00B4213C">
        <w:rPr>
          <w:rFonts w:ascii="Tahoma" w:hAnsi="Tahoma" w:cs="Tahoma"/>
        </w:rPr>
        <w:lastRenderedPageBreak/>
        <w:tab/>
      </w:r>
      <w:r w:rsidRPr="00B4213C">
        <w:rPr>
          <w:rFonts w:ascii="Tahoma" w:hAnsi="Tahoma" w:cs="Tahoma"/>
          <w:b/>
        </w:rPr>
        <w:t>TERCERO:</w:t>
      </w:r>
      <w:r w:rsidRPr="00B4213C">
        <w:rPr>
          <w:rFonts w:ascii="Tahoma" w:hAnsi="Tahoma" w:cs="Tahoma"/>
        </w:rPr>
        <w:t xml:space="preserve"> Sin condena en costas en esta instancia.</w:t>
      </w:r>
    </w:p>
    <w:p w:rsidR="001F440B" w:rsidRPr="00B4213C" w:rsidRDefault="001F440B" w:rsidP="00777D06">
      <w:pPr>
        <w:jc w:val="both"/>
        <w:rPr>
          <w:rFonts w:ascii="Tahoma" w:hAnsi="Tahoma" w:cs="Tahoma"/>
        </w:rPr>
      </w:pPr>
    </w:p>
    <w:p w:rsidR="001F440B" w:rsidRPr="00B4213C" w:rsidRDefault="001F440B" w:rsidP="001F440B">
      <w:pPr>
        <w:widowControl w:val="0"/>
        <w:autoSpaceDE w:val="0"/>
        <w:autoSpaceDN w:val="0"/>
        <w:adjustRightInd w:val="0"/>
        <w:jc w:val="both"/>
        <w:rPr>
          <w:rFonts w:ascii="Tahoma" w:hAnsi="Tahoma" w:cs="Tahoma"/>
          <w:b/>
        </w:rPr>
      </w:pPr>
      <w:r w:rsidRPr="00B4213C">
        <w:rPr>
          <w:rFonts w:ascii="Tahoma" w:hAnsi="Tahoma" w:cs="Tahoma"/>
        </w:rPr>
        <w:tab/>
      </w:r>
      <w:r w:rsidRPr="00B4213C">
        <w:rPr>
          <w:rFonts w:ascii="Tahoma" w:hAnsi="Tahoma" w:cs="Tahoma"/>
          <w:b/>
        </w:rPr>
        <w:t>Notifíquese y cúmplase,</w:t>
      </w:r>
    </w:p>
    <w:p w:rsidR="001F440B" w:rsidRPr="00B4213C" w:rsidRDefault="001F440B" w:rsidP="001F440B">
      <w:pPr>
        <w:pStyle w:val="Sinespaciado"/>
        <w:rPr>
          <w:rFonts w:ascii="Tahoma" w:hAnsi="Tahoma" w:cs="Tahoma"/>
        </w:rPr>
      </w:pPr>
    </w:p>
    <w:p w:rsidR="001F440B" w:rsidRPr="00B4213C" w:rsidRDefault="001F440B" w:rsidP="001F440B">
      <w:pPr>
        <w:ind w:left="785"/>
        <w:jc w:val="both"/>
        <w:rPr>
          <w:rFonts w:ascii="Tahoma" w:hAnsi="Tahoma" w:cs="Tahoma"/>
        </w:rPr>
      </w:pPr>
      <w:r w:rsidRPr="00B4213C">
        <w:rPr>
          <w:rFonts w:ascii="Tahoma" w:hAnsi="Tahoma" w:cs="Tahoma"/>
        </w:rPr>
        <w:t>La Magistrada,</w:t>
      </w:r>
    </w:p>
    <w:p w:rsidR="001F440B" w:rsidRPr="00B4213C" w:rsidRDefault="001F440B" w:rsidP="001F440B">
      <w:pPr>
        <w:ind w:left="785"/>
        <w:jc w:val="both"/>
        <w:rPr>
          <w:rFonts w:ascii="Tahoma" w:hAnsi="Tahoma" w:cs="Tahoma"/>
        </w:rPr>
      </w:pPr>
      <w:r w:rsidRPr="00B4213C">
        <w:rPr>
          <w:rFonts w:ascii="Tahoma" w:hAnsi="Tahoma" w:cs="Tahoma"/>
        </w:rPr>
        <w:t xml:space="preserve"> </w:t>
      </w:r>
    </w:p>
    <w:p w:rsidR="001F440B" w:rsidRPr="00B4213C" w:rsidRDefault="001F440B" w:rsidP="001F440B">
      <w:pPr>
        <w:spacing w:line="360" w:lineRule="auto"/>
        <w:jc w:val="both"/>
        <w:rPr>
          <w:rFonts w:ascii="Tahoma" w:hAnsi="Tahoma" w:cs="Tahoma"/>
        </w:rPr>
      </w:pPr>
    </w:p>
    <w:p w:rsidR="001F440B" w:rsidRPr="00B4213C" w:rsidRDefault="001F440B" w:rsidP="001F440B">
      <w:pPr>
        <w:spacing w:line="360" w:lineRule="auto"/>
        <w:jc w:val="both"/>
        <w:rPr>
          <w:rFonts w:ascii="Tahoma" w:hAnsi="Tahoma" w:cs="Tahoma"/>
        </w:rPr>
      </w:pPr>
    </w:p>
    <w:p w:rsidR="001F440B" w:rsidRPr="00B4213C" w:rsidRDefault="001F440B" w:rsidP="001F440B">
      <w:pPr>
        <w:spacing w:line="360" w:lineRule="auto"/>
        <w:jc w:val="both"/>
        <w:rPr>
          <w:rFonts w:ascii="Tahoma" w:hAnsi="Tahoma" w:cs="Tahoma"/>
        </w:rPr>
      </w:pPr>
    </w:p>
    <w:p w:rsidR="001F440B" w:rsidRPr="00B4213C" w:rsidRDefault="001F440B" w:rsidP="001F440B">
      <w:pPr>
        <w:spacing w:line="360" w:lineRule="auto"/>
        <w:ind w:left="360"/>
        <w:jc w:val="center"/>
        <w:rPr>
          <w:rFonts w:ascii="Tahoma" w:hAnsi="Tahoma" w:cs="Tahoma"/>
          <w:b/>
        </w:rPr>
      </w:pPr>
      <w:r w:rsidRPr="00B4213C">
        <w:rPr>
          <w:rFonts w:ascii="Tahoma" w:hAnsi="Tahoma" w:cs="Tahoma"/>
          <w:b/>
        </w:rPr>
        <w:t>ANA LUCÍA CAICEDO CALDERÓN</w:t>
      </w:r>
    </w:p>
    <w:p w:rsidR="001F440B" w:rsidRPr="00B4213C" w:rsidRDefault="001F440B" w:rsidP="001F440B">
      <w:pPr>
        <w:pStyle w:val="Sinespaciado"/>
        <w:rPr>
          <w:rFonts w:ascii="Tahoma" w:hAnsi="Tahoma" w:cs="Tahoma"/>
        </w:rPr>
      </w:pPr>
    </w:p>
    <w:p w:rsidR="001F440B" w:rsidRPr="00B4213C" w:rsidRDefault="001F440B" w:rsidP="001F440B">
      <w:pPr>
        <w:pStyle w:val="Sinespaciado"/>
        <w:rPr>
          <w:rFonts w:ascii="Tahoma" w:hAnsi="Tahoma" w:cs="Tahoma"/>
        </w:rPr>
      </w:pPr>
    </w:p>
    <w:p w:rsidR="001F440B" w:rsidRPr="00B4213C" w:rsidRDefault="001F440B" w:rsidP="001F440B">
      <w:pPr>
        <w:spacing w:line="360" w:lineRule="auto"/>
        <w:ind w:left="360"/>
        <w:rPr>
          <w:rFonts w:ascii="Tahoma" w:hAnsi="Tahoma" w:cs="Tahoma"/>
        </w:rPr>
      </w:pPr>
      <w:r w:rsidRPr="00B4213C">
        <w:rPr>
          <w:rFonts w:ascii="Tahoma" w:hAnsi="Tahoma" w:cs="Tahoma"/>
          <w:b/>
        </w:rPr>
        <w:tab/>
      </w:r>
      <w:r w:rsidRPr="00B4213C">
        <w:rPr>
          <w:rFonts w:ascii="Tahoma" w:hAnsi="Tahoma" w:cs="Tahoma"/>
        </w:rPr>
        <w:t>La Magistrada y el Magistrado,</w:t>
      </w:r>
    </w:p>
    <w:p w:rsidR="001F440B" w:rsidRPr="00B4213C" w:rsidRDefault="001F440B" w:rsidP="001F440B">
      <w:pPr>
        <w:spacing w:line="360" w:lineRule="auto"/>
        <w:rPr>
          <w:rFonts w:ascii="Tahoma" w:hAnsi="Tahoma" w:cs="Tahoma"/>
          <w:b/>
        </w:rPr>
      </w:pPr>
    </w:p>
    <w:p w:rsidR="001F440B" w:rsidRPr="00B4213C" w:rsidRDefault="001F440B" w:rsidP="001F440B">
      <w:pPr>
        <w:spacing w:line="360" w:lineRule="auto"/>
        <w:rPr>
          <w:rFonts w:ascii="Tahoma" w:hAnsi="Tahoma" w:cs="Tahoma"/>
          <w:b/>
        </w:rPr>
      </w:pPr>
    </w:p>
    <w:p w:rsidR="001F440B" w:rsidRPr="00B4213C" w:rsidRDefault="001F440B" w:rsidP="001F440B">
      <w:pPr>
        <w:spacing w:line="360" w:lineRule="auto"/>
        <w:rPr>
          <w:rFonts w:ascii="Tahoma" w:hAnsi="Tahoma" w:cs="Tahoma"/>
          <w:b/>
        </w:rPr>
      </w:pPr>
    </w:p>
    <w:p w:rsidR="001F440B" w:rsidRPr="00B4213C" w:rsidRDefault="001F440B" w:rsidP="001F440B">
      <w:pPr>
        <w:spacing w:line="360" w:lineRule="auto"/>
        <w:rPr>
          <w:rFonts w:ascii="Tahoma" w:hAnsi="Tahoma" w:cs="Tahoma"/>
          <w:b/>
        </w:rPr>
      </w:pPr>
    </w:p>
    <w:p w:rsidR="001F440B" w:rsidRPr="00B4213C" w:rsidRDefault="001F440B" w:rsidP="001F440B">
      <w:pPr>
        <w:tabs>
          <w:tab w:val="left" w:pos="3960"/>
        </w:tabs>
        <w:spacing w:line="360" w:lineRule="auto"/>
        <w:jc w:val="center"/>
        <w:rPr>
          <w:rFonts w:ascii="Tahoma" w:hAnsi="Tahoma" w:cs="Tahoma"/>
          <w:b/>
        </w:rPr>
      </w:pPr>
      <w:r w:rsidRPr="00B4213C">
        <w:rPr>
          <w:rFonts w:ascii="Tahoma" w:hAnsi="Tahoma" w:cs="Tahoma"/>
          <w:b/>
        </w:rPr>
        <w:t xml:space="preserve">OLGA LUCÍA HOYOS </w:t>
      </w:r>
      <w:proofErr w:type="spellStart"/>
      <w:r w:rsidRPr="00B4213C">
        <w:rPr>
          <w:rFonts w:ascii="Tahoma" w:hAnsi="Tahoma" w:cs="Tahoma"/>
          <w:b/>
        </w:rPr>
        <w:t>SEPULVEDA</w:t>
      </w:r>
      <w:proofErr w:type="spellEnd"/>
      <w:r w:rsidRPr="00B4213C">
        <w:rPr>
          <w:rFonts w:ascii="Tahoma" w:hAnsi="Tahoma" w:cs="Tahoma"/>
          <w:b/>
        </w:rPr>
        <w:tab/>
      </w:r>
      <w:r w:rsidRPr="00B4213C">
        <w:rPr>
          <w:rFonts w:ascii="Tahoma" w:hAnsi="Tahoma" w:cs="Tahoma"/>
          <w:b/>
        </w:rPr>
        <w:tab/>
      </w:r>
      <w:r w:rsidRPr="00B4213C">
        <w:rPr>
          <w:rFonts w:ascii="Tahoma" w:hAnsi="Tahoma" w:cs="Tahoma"/>
          <w:b/>
        </w:rPr>
        <w:tab/>
        <w:t xml:space="preserve">JULIO CESAR SALAZAR MUÑOZ            </w:t>
      </w:r>
    </w:p>
    <w:p w:rsidR="001F440B" w:rsidRPr="00B4213C" w:rsidRDefault="001F440B" w:rsidP="001F440B">
      <w:pPr>
        <w:spacing w:line="360" w:lineRule="auto"/>
        <w:jc w:val="center"/>
        <w:rPr>
          <w:rFonts w:ascii="Tahoma" w:hAnsi="Tahoma" w:cs="Tahoma"/>
          <w:b/>
        </w:rPr>
      </w:pPr>
    </w:p>
    <w:p w:rsidR="001F440B" w:rsidRPr="00B4213C" w:rsidRDefault="001F440B" w:rsidP="001F440B">
      <w:pPr>
        <w:spacing w:line="360" w:lineRule="auto"/>
        <w:jc w:val="center"/>
        <w:rPr>
          <w:rFonts w:ascii="Tahoma" w:hAnsi="Tahoma" w:cs="Tahoma"/>
          <w:b/>
        </w:rPr>
      </w:pPr>
    </w:p>
    <w:p w:rsidR="001F440B" w:rsidRPr="00B4213C" w:rsidRDefault="001F440B" w:rsidP="001F440B">
      <w:pPr>
        <w:spacing w:line="360" w:lineRule="auto"/>
        <w:jc w:val="center"/>
        <w:rPr>
          <w:rFonts w:ascii="Tahoma" w:hAnsi="Tahoma" w:cs="Tahoma"/>
          <w:b/>
        </w:rPr>
      </w:pPr>
    </w:p>
    <w:p w:rsidR="001F440B" w:rsidRPr="00B4213C" w:rsidRDefault="001F440B" w:rsidP="001F440B">
      <w:pPr>
        <w:spacing w:line="360" w:lineRule="auto"/>
        <w:jc w:val="center"/>
        <w:rPr>
          <w:rFonts w:ascii="Tahoma" w:hAnsi="Tahoma" w:cs="Tahoma"/>
          <w:b/>
        </w:rPr>
      </w:pPr>
    </w:p>
    <w:p w:rsidR="001F440B" w:rsidRPr="00B4213C" w:rsidRDefault="001F440B" w:rsidP="001F440B">
      <w:pPr>
        <w:spacing w:line="240" w:lineRule="auto"/>
        <w:jc w:val="center"/>
        <w:rPr>
          <w:rFonts w:ascii="Tahoma" w:hAnsi="Tahoma" w:cs="Tahoma"/>
          <w:b/>
        </w:rPr>
      </w:pPr>
      <w:r w:rsidRPr="00B4213C">
        <w:rPr>
          <w:rFonts w:ascii="Tahoma" w:hAnsi="Tahoma" w:cs="Tahoma"/>
          <w:b/>
        </w:rPr>
        <w:t>ALONSO GAVIRIA OCAMPO</w:t>
      </w:r>
    </w:p>
    <w:p w:rsidR="001F440B" w:rsidRPr="00B4213C" w:rsidRDefault="001F440B" w:rsidP="001F440B">
      <w:pPr>
        <w:spacing w:line="240" w:lineRule="auto"/>
        <w:jc w:val="center"/>
        <w:rPr>
          <w:rFonts w:ascii="Tahoma" w:hAnsi="Tahoma" w:cs="Tahoma"/>
        </w:rPr>
      </w:pPr>
      <w:r w:rsidRPr="00B4213C">
        <w:rPr>
          <w:rFonts w:ascii="Tahoma" w:hAnsi="Tahoma" w:cs="Tahoma"/>
        </w:rPr>
        <w:t>Secretario</w:t>
      </w:r>
    </w:p>
    <w:sectPr w:rsidR="001F440B" w:rsidRPr="00B4213C" w:rsidSect="00B4213C">
      <w:headerReference w:type="default" r:id="rId8"/>
      <w:footerReference w:type="default" r:id="rId9"/>
      <w:pgSz w:w="12242" w:h="18722" w:code="14"/>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02" w:rsidRDefault="007E3F02" w:rsidP="00D57D6B">
      <w:pPr>
        <w:spacing w:line="240" w:lineRule="auto"/>
      </w:pPr>
      <w:r>
        <w:separator/>
      </w:r>
    </w:p>
  </w:endnote>
  <w:endnote w:type="continuationSeparator" w:id="0">
    <w:p w:rsidR="007E3F02" w:rsidRDefault="007E3F02" w:rsidP="00D57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06429"/>
      <w:docPartObj>
        <w:docPartGallery w:val="Page Numbers (Bottom of Page)"/>
        <w:docPartUnique/>
      </w:docPartObj>
    </w:sdtPr>
    <w:sdtEndPr/>
    <w:sdtContent>
      <w:p w:rsidR="00D57D6B" w:rsidRDefault="00D57D6B">
        <w:pPr>
          <w:pStyle w:val="Piedepgina"/>
          <w:jc w:val="right"/>
        </w:pPr>
        <w:r>
          <w:fldChar w:fldCharType="begin"/>
        </w:r>
        <w:r>
          <w:instrText>PAGE   \* MERGEFORMAT</w:instrText>
        </w:r>
        <w:r>
          <w:fldChar w:fldCharType="separate"/>
        </w:r>
        <w:r w:rsidR="005935BC">
          <w:rPr>
            <w:noProof/>
          </w:rPr>
          <w:t>4</w:t>
        </w:r>
        <w:r>
          <w:fldChar w:fldCharType="end"/>
        </w:r>
      </w:p>
    </w:sdtContent>
  </w:sdt>
  <w:p w:rsidR="00D57D6B" w:rsidRDefault="00D57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02" w:rsidRDefault="007E3F02" w:rsidP="00D57D6B">
      <w:pPr>
        <w:spacing w:line="240" w:lineRule="auto"/>
      </w:pPr>
      <w:r>
        <w:separator/>
      </w:r>
    </w:p>
  </w:footnote>
  <w:footnote w:type="continuationSeparator" w:id="0">
    <w:p w:rsidR="007E3F02" w:rsidRDefault="007E3F02" w:rsidP="00D57D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0B" w:rsidRPr="00384D6C" w:rsidRDefault="001F440B" w:rsidP="001F440B">
    <w:pPr>
      <w:pStyle w:val="Encabezado"/>
      <w:jc w:val="center"/>
      <w:rPr>
        <w:rFonts w:ascii="Arial" w:hAnsi="Arial" w:cs="Arial"/>
        <w:sz w:val="16"/>
        <w:szCs w:val="16"/>
      </w:rPr>
    </w:pPr>
  </w:p>
  <w:p w:rsidR="001F440B" w:rsidRPr="00384D6C" w:rsidRDefault="001F440B" w:rsidP="001F440B">
    <w:pPr>
      <w:pStyle w:val="Puesto"/>
      <w:spacing w:line="240" w:lineRule="auto"/>
      <w:jc w:val="both"/>
      <w:rPr>
        <w:rFonts w:ascii="Tahoma" w:hAnsi="Tahoma" w:cs="Tahoma"/>
        <w:b w:val="0"/>
        <w:sz w:val="16"/>
        <w:szCs w:val="16"/>
      </w:rPr>
    </w:pPr>
    <w:r w:rsidRPr="00384D6C">
      <w:rPr>
        <w:rFonts w:ascii="Tahoma" w:hAnsi="Tahoma" w:cs="Tahoma"/>
        <w:sz w:val="16"/>
        <w:szCs w:val="16"/>
      </w:rPr>
      <w:t>Proceso:</w:t>
    </w:r>
    <w:r w:rsidRPr="00384D6C">
      <w:rPr>
        <w:rFonts w:ascii="Tahoma" w:hAnsi="Tahoma" w:cs="Tahoma"/>
        <w:b w:val="0"/>
        <w:sz w:val="16"/>
        <w:szCs w:val="16"/>
      </w:rPr>
      <w:tab/>
    </w:r>
    <w:r>
      <w:rPr>
        <w:rFonts w:ascii="Tahoma" w:hAnsi="Tahoma" w:cs="Tahoma"/>
        <w:b w:val="0"/>
        <w:sz w:val="16"/>
        <w:szCs w:val="16"/>
      </w:rPr>
      <w:tab/>
    </w:r>
    <w:r w:rsidRPr="00384D6C">
      <w:rPr>
        <w:rFonts w:ascii="Tahoma" w:hAnsi="Tahoma" w:cs="Tahoma"/>
        <w:b w:val="0"/>
        <w:sz w:val="16"/>
        <w:szCs w:val="16"/>
      </w:rPr>
      <w:t xml:space="preserve">Ordinario Laboral  </w:t>
    </w:r>
  </w:p>
  <w:p w:rsidR="001F440B" w:rsidRPr="00384D6C" w:rsidRDefault="001F440B" w:rsidP="001F440B">
    <w:pPr>
      <w:pStyle w:val="Puesto"/>
      <w:spacing w:line="240" w:lineRule="auto"/>
      <w:jc w:val="both"/>
      <w:rPr>
        <w:rFonts w:ascii="Tahoma" w:hAnsi="Tahoma" w:cs="Tahoma"/>
        <w:b w:val="0"/>
        <w:sz w:val="16"/>
        <w:szCs w:val="16"/>
      </w:rPr>
    </w:pPr>
    <w:r w:rsidRPr="00384D6C">
      <w:rPr>
        <w:rFonts w:ascii="Tahoma" w:hAnsi="Tahoma" w:cs="Tahoma"/>
        <w:sz w:val="16"/>
        <w:szCs w:val="16"/>
      </w:rPr>
      <w:t>Demandante:</w:t>
    </w:r>
    <w:r w:rsidRPr="00384D6C">
      <w:rPr>
        <w:rFonts w:ascii="Tahoma" w:hAnsi="Tahoma" w:cs="Tahoma"/>
        <w:b w:val="0"/>
        <w:sz w:val="16"/>
        <w:szCs w:val="16"/>
      </w:rPr>
      <w:tab/>
    </w:r>
    <w:r>
      <w:rPr>
        <w:rFonts w:ascii="Tahoma" w:hAnsi="Tahoma" w:cs="Tahoma"/>
        <w:b w:val="0"/>
        <w:sz w:val="16"/>
        <w:szCs w:val="16"/>
      </w:rPr>
      <w:t>Carlos Andrés Gálvez Mejía</w:t>
    </w:r>
  </w:p>
  <w:p w:rsidR="001F440B" w:rsidRPr="00384D6C" w:rsidRDefault="001F440B" w:rsidP="001F440B">
    <w:pPr>
      <w:pStyle w:val="Puesto"/>
      <w:spacing w:line="240" w:lineRule="auto"/>
      <w:jc w:val="both"/>
      <w:rPr>
        <w:rFonts w:ascii="Tahoma" w:hAnsi="Tahoma" w:cs="Tahoma"/>
        <w:b w:val="0"/>
        <w:sz w:val="16"/>
        <w:szCs w:val="16"/>
      </w:rPr>
    </w:pPr>
    <w:r w:rsidRPr="00384D6C">
      <w:rPr>
        <w:rFonts w:ascii="Tahoma" w:hAnsi="Tahoma" w:cs="Tahoma"/>
        <w:sz w:val="16"/>
        <w:szCs w:val="16"/>
      </w:rPr>
      <w:t>Demandado:</w:t>
    </w:r>
    <w:r w:rsidRPr="00384D6C">
      <w:rPr>
        <w:rFonts w:ascii="Tahoma" w:hAnsi="Tahoma" w:cs="Tahoma"/>
        <w:b w:val="0"/>
        <w:sz w:val="16"/>
        <w:szCs w:val="16"/>
      </w:rPr>
      <w:t xml:space="preserve"> </w:t>
    </w:r>
    <w:r>
      <w:rPr>
        <w:rFonts w:ascii="Tahoma" w:hAnsi="Tahoma" w:cs="Tahoma"/>
        <w:b w:val="0"/>
        <w:sz w:val="16"/>
        <w:szCs w:val="16"/>
      </w:rPr>
      <w:tab/>
    </w:r>
    <w:proofErr w:type="spellStart"/>
    <w:r>
      <w:rPr>
        <w:rFonts w:ascii="Tahoma" w:hAnsi="Tahoma" w:cs="Tahoma"/>
        <w:b w:val="0"/>
        <w:sz w:val="16"/>
        <w:szCs w:val="16"/>
      </w:rPr>
      <w:t>Emposer</w:t>
    </w:r>
    <w:proofErr w:type="spellEnd"/>
    <w:r>
      <w:rPr>
        <w:rFonts w:ascii="Tahoma" w:hAnsi="Tahoma" w:cs="Tahoma"/>
        <w:b w:val="0"/>
        <w:sz w:val="16"/>
        <w:szCs w:val="16"/>
      </w:rPr>
      <w:t xml:space="preserve"> Ltda. y otros</w:t>
    </w:r>
  </w:p>
  <w:p w:rsidR="00D57D6B" w:rsidRPr="00D57D6B" w:rsidRDefault="00D57D6B">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456E"/>
    <w:multiLevelType w:val="hybridMultilevel"/>
    <w:tmpl w:val="B692A0BA"/>
    <w:lvl w:ilvl="0" w:tplc="7B88AED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782FAB"/>
    <w:multiLevelType w:val="multilevel"/>
    <w:tmpl w:val="2EE093E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nsid w:val="4096789F"/>
    <w:multiLevelType w:val="multilevel"/>
    <w:tmpl w:val="232CCA2C"/>
    <w:lvl w:ilvl="0">
      <w:start w:val="1"/>
      <w:numFmt w:val="upperRoman"/>
      <w:lvlText w:val="%1."/>
      <w:lvlJc w:val="left"/>
      <w:pPr>
        <w:ind w:left="1428"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32" w:hanging="1080"/>
      </w:pPr>
      <w:rPr>
        <w:rFonts w:hint="default"/>
      </w:rPr>
    </w:lvl>
    <w:lvl w:ilvl="3">
      <w:start w:val="1"/>
      <w:numFmt w:val="decimal"/>
      <w:isLgl/>
      <w:lvlText w:val="%1.%2.%3.%4."/>
      <w:lvlJc w:val="left"/>
      <w:pPr>
        <w:ind w:left="3264" w:hanging="1440"/>
      </w:pPr>
      <w:rPr>
        <w:rFonts w:hint="default"/>
      </w:rPr>
    </w:lvl>
    <w:lvl w:ilvl="4">
      <w:start w:val="1"/>
      <w:numFmt w:val="decimal"/>
      <w:isLgl/>
      <w:lvlText w:val="%1.%2.%3.%4.%5."/>
      <w:lvlJc w:val="left"/>
      <w:pPr>
        <w:ind w:left="3636" w:hanging="1440"/>
      </w:pPr>
      <w:rPr>
        <w:rFonts w:hint="default"/>
      </w:rPr>
    </w:lvl>
    <w:lvl w:ilvl="5">
      <w:start w:val="1"/>
      <w:numFmt w:val="decimal"/>
      <w:isLgl/>
      <w:lvlText w:val="%1.%2.%3.%4.%5.%6."/>
      <w:lvlJc w:val="left"/>
      <w:pPr>
        <w:ind w:left="4368" w:hanging="1800"/>
      </w:pPr>
      <w:rPr>
        <w:rFonts w:hint="default"/>
      </w:rPr>
    </w:lvl>
    <w:lvl w:ilvl="6">
      <w:start w:val="1"/>
      <w:numFmt w:val="decimal"/>
      <w:isLgl/>
      <w:lvlText w:val="%1.%2.%3.%4.%5.%6.%7."/>
      <w:lvlJc w:val="left"/>
      <w:pPr>
        <w:ind w:left="5100" w:hanging="2160"/>
      </w:pPr>
      <w:rPr>
        <w:rFonts w:hint="default"/>
      </w:rPr>
    </w:lvl>
    <w:lvl w:ilvl="7">
      <w:start w:val="1"/>
      <w:numFmt w:val="decimal"/>
      <w:isLgl/>
      <w:lvlText w:val="%1.%2.%3.%4.%5.%6.%7.%8."/>
      <w:lvlJc w:val="left"/>
      <w:pPr>
        <w:ind w:left="5832" w:hanging="2520"/>
      </w:pPr>
      <w:rPr>
        <w:rFonts w:hint="default"/>
      </w:rPr>
    </w:lvl>
    <w:lvl w:ilvl="8">
      <w:start w:val="1"/>
      <w:numFmt w:val="decimal"/>
      <w:isLgl/>
      <w:lvlText w:val="%1.%2.%3.%4.%5.%6.%7.%8.%9."/>
      <w:lvlJc w:val="left"/>
      <w:pPr>
        <w:ind w:left="6204" w:hanging="2520"/>
      </w:pPr>
      <w:rPr>
        <w:rFonts w:hint="default"/>
      </w:rPr>
    </w:lvl>
  </w:abstractNum>
  <w:abstractNum w:abstractNumId="3">
    <w:nsid w:val="46207BC6"/>
    <w:multiLevelType w:val="hybridMultilevel"/>
    <w:tmpl w:val="BE2EA050"/>
    <w:lvl w:ilvl="0" w:tplc="25B6F9A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BCF6640"/>
    <w:multiLevelType w:val="hybridMultilevel"/>
    <w:tmpl w:val="FE64EC6E"/>
    <w:lvl w:ilvl="0" w:tplc="BBAE9B2A">
      <w:start w:val="1"/>
      <w:numFmt w:val="decimal"/>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5">
    <w:nsid w:val="660D5E32"/>
    <w:multiLevelType w:val="hybridMultilevel"/>
    <w:tmpl w:val="FCC4B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347214"/>
    <w:multiLevelType w:val="hybridMultilevel"/>
    <w:tmpl w:val="7F02EA5E"/>
    <w:lvl w:ilvl="0" w:tplc="5E00A7E4">
      <w:start w:val="4"/>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C"/>
    <w:rsid w:val="00005011"/>
    <w:rsid w:val="00030DA3"/>
    <w:rsid w:val="0003306C"/>
    <w:rsid w:val="00050718"/>
    <w:rsid w:val="00051654"/>
    <w:rsid w:val="00061802"/>
    <w:rsid w:val="00061FF2"/>
    <w:rsid w:val="000700B7"/>
    <w:rsid w:val="000751AE"/>
    <w:rsid w:val="00080D94"/>
    <w:rsid w:val="00094A82"/>
    <w:rsid w:val="000A25B2"/>
    <w:rsid w:val="000A6ABC"/>
    <w:rsid w:val="000B5B45"/>
    <w:rsid w:val="000E6879"/>
    <w:rsid w:val="000F4851"/>
    <w:rsid w:val="000F7D12"/>
    <w:rsid w:val="001061D5"/>
    <w:rsid w:val="00122C11"/>
    <w:rsid w:val="00134B41"/>
    <w:rsid w:val="001865D4"/>
    <w:rsid w:val="00194A21"/>
    <w:rsid w:val="001A22DE"/>
    <w:rsid w:val="001A52AB"/>
    <w:rsid w:val="001C64CC"/>
    <w:rsid w:val="001D2378"/>
    <w:rsid w:val="001E4605"/>
    <w:rsid w:val="001E7D70"/>
    <w:rsid w:val="001F40C7"/>
    <w:rsid w:val="001F440B"/>
    <w:rsid w:val="00223472"/>
    <w:rsid w:val="00224D1F"/>
    <w:rsid w:val="00271119"/>
    <w:rsid w:val="00274EA1"/>
    <w:rsid w:val="002935D6"/>
    <w:rsid w:val="002A03A3"/>
    <w:rsid w:val="002B6C73"/>
    <w:rsid w:val="002C6326"/>
    <w:rsid w:val="002D544A"/>
    <w:rsid w:val="002E26CE"/>
    <w:rsid w:val="00301DE3"/>
    <w:rsid w:val="00314044"/>
    <w:rsid w:val="00332351"/>
    <w:rsid w:val="00340AD7"/>
    <w:rsid w:val="003442C3"/>
    <w:rsid w:val="00351DB3"/>
    <w:rsid w:val="0036024F"/>
    <w:rsid w:val="00376B76"/>
    <w:rsid w:val="00383023"/>
    <w:rsid w:val="00387BD2"/>
    <w:rsid w:val="003959C5"/>
    <w:rsid w:val="003A437C"/>
    <w:rsid w:val="003C26F2"/>
    <w:rsid w:val="003C63E8"/>
    <w:rsid w:val="003D6A51"/>
    <w:rsid w:val="003E6CDA"/>
    <w:rsid w:val="003F6ECF"/>
    <w:rsid w:val="00403931"/>
    <w:rsid w:val="00414B9E"/>
    <w:rsid w:val="004447B1"/>
    <w:rsid w:val="00482F27"/>
    <w:rsid w:val="00484662"/>
    <w:rsid w:val="004B044B"/>
    <w:rsid w:val="004B0CDB"/>
    <w:rsid w:val="004C1041"/>
    <w:rsid w:val="004C3B75"/>
    <w:rsid w:val="004D79D4"/>
    <w:rsid w:val="004F4EEB"/>
    <w:rsid w:val="004F5752"/>
    <w:rsid w:val="00501964"/>
    <w:rsid w:val="005063DF"/>
    <w:rsid w:val="005100B3"/>
    <w:rsid w:val="005255C1"/>
    <w:rsid w:val="00533F56"/>
    <w:rsid w:val="005559A5"/>
    <w:rsid w:val="00560A83"/>
    <w:rsid w:val="00580EA5"/>
    <w:rsid w:val="00581125"/>
    <w:rsid w:val="0058524A"/>
    <w:rsid w:val="00587699"/>
    <w:rsid w:val="0059044A"/>
    <w:rsid w:val="00592EBC"/>
    <w:rsid w:val="005935BC"/>
    <w:rsid w:val="005946F3"/>
    <w:rsid w:val="005B5BAC"/>
    <w:rsid w:val="005C002D"/>
    <w:rsid w:val="005D5D2D"/>
    <w:rsid w:val="005E39D2"/>
    <w:rsid w:val="005E6691"/>
    <w:rsid w:val="005F5E5B"/>
    <w:rsid w:val="00603882"/>
    <w:rsid w:val="0062102C"/>
    <w:rsid w:val="006310D7"/>
    <w:rsid w:val="00631935"/>
    <w:rsid w:val="006530B0"/>
    <w:rsid w:val="00661F50"/>
    <w:rsid w:val="00667167"/>
    <w:rsid w:val="00680280"/>
    <w:rsid w:val="006833C1"/>
    <w:rsid w:val="00686B00"/>
    <w:rsid w:val="006A038C"/>
    <w:rsid w:val="006A494E"/>
    <w:rsid w:val="006C12EB"/>
    <w:rsid w:val="006D0600"/>
    <w:rsid w:val="006D4E1C"/>
    <w:rsid w:val="006F43C9"/>
    <w:rsid w:val="006F6223"/>
    <w:rsid w:val="007207DA"/>
    <w:rsid w:val="007352DD"/>
    <w:rsid w:val="00735849"/>
    <w:rsid w:val="007368CC"/>
    <w:rsid w:val="00752EB0"/>
    <w:rsid w:val="00764FE3"/>
    <w:rsid w:val="00777D06"/>
    <w:rsid w:val="00777EFC"/>
    <w:rsid w:val="0078354C"/>
    <w:rsid w:val="0078720A"/>
    <w:rsid w:val="007C1664"/>
    <w:rsid w:val="007E3F02"/>
    <w:rsid w:val="00807F7C"/>
    <w:rsid w:val="0081403E"/>
    <w:rsid w:val="00816858"/>
    <w:rsid w:val="00822BDA"/>
    <w:rsid w:val="0083107C"/>
    <w:rsid w:val="00833A37"/>
    <w:rsid w:val="008379CD"/>
    <w:rsid w:val="00843762"/>
    <w:rsid w:val="008545C2"/>
    <w:rsid w:val="00862D58"/>
    <w:rsid w:val="00880C0E"/>
    <w:rsid w:val="00885B4B"/>
    <w:rsid w:val="008860D4"/>
    <w:rsid w:val="00886751"/>
    <w:rsid w:val="008933E2"/>
    <w:rsid w:val="00895F76"/>
    <w:rsid w:val="008971DE"/>
    <w:rsid w:val="008A6C4F"/>
    <w:rsid w:val="008B1ED8"/>
    <w:rsid w:val="008C0063"/>
    <w:rsid w:val="008C40C4"/>
    <w:rsid w:val="008E3938"/>
    <w:rsid w:val="008F07E4"/>
    <w:rsid w:val="008F72EC"/>
    <w:rsid w:val="00903721"/>
    <w:rsid w:val="00914528"/>
    <w:rsid w:val="0092178F"/>
    <w:rsid w:val="009259D2"/>
    <w:rsid w:val="0093360D"/>
    <w:rsid w:val="00943DDC"/>
    <w:rsid w:val="00976D61"/>
    <w:rsid w:val="009C1EC9"/>
    <w:rsid w:val="009D4F72"/>
    <w:rsid w:val="009E2909"/>
    <w:rsid w:val="009F061E"/>
    <w:rsid w:val="00A022C8"/>
    <w:rsid w:val="00A20592"/>
    <w:rsid w:val="00A2214E"/>
    <w:rsid w:val="00A22B04"/>
    <w:rsid w:val="00A33C5F"/>
    <w:rsid w:val="00A33E84"/>
    <w:rsid w:val="00A42EBD"/>
    <w:rsid w:val="00A43ADA"/>
    <w:rsid w:val="00A91DF1"/>
    <w:rsid w:val="00AA1D65"/>
    <w:rsid w:val="00AA1DF5"/>
    <w:rsid w:val="00AE198F"/>
    <w:rsid w:val="00AE6809"/>
    <w:rsid w:val="00B15866"/>
    <w:rsid w:val="00B420D9"/>
    <w:rsid w:val="00B4213C"/>
    <w:rsid w:val="00B5719C"/>
    <w:rsid w:val="00B637E4"/>
    <w:rsid w:val="00B83B0C"/>
    <w:rsid w:val="00B86E71"/>
    <w:rsid w:val="00B96B2F"/>
    <w:rsid w:val="00B97BDA"/>
    <w:rsid w:val="00BB01C2"/>
    <w:rsid w:val="00BD45B3"/>
    <w:rsid w:val="00BF2D8A"/>
    <w:rsid w:val="00C2202C"/>
    <w:rsid w:val="00C33095"/>
    <w:rsid w:val="00C50810"/>
    <w:rsid w:val="00C65F58"/>
    <w:rsid w:val="00C72E83"/>
    <w:rsid w:val="00C83128"/>
    <w:rsid w:val="00C87F38"/>
    <w:rsid w:val="00CA2273"/>
    <w:rsid w:val="00CA4F39"/>
    <w:rsid w:val="00CA60E0"/>
    <w:rsid w:val="00CA633E"/>
    <w:rsid w:val="00CC17D6"/>
    <w:rsid w:val="00CC7275"/>
    <w:rsid w:val="00D063E2"/>
    <w:rsid w:val="00D4285B"/>
    <w:rsid w:val="00D50B55"/>
    <w:rsid w:val="00D50DB6"/>
    <w:rsid w:val="00D57D6B"/>
    <w:rsid w:val="00D62FF8"/>
    <w:rsid w:val="00D631AE"/>
    <w:rsid w:val="00D66ABF"/>
    <w:rsid w:val="00D674B3"/>
    <w:rsid w:val="00D75824"/>
    <w:rsid w:val="00D82BBC"/>
    <w:rsid w:val="00D923FA"/>
    <w:rsid w:val="00DA0268"/>
    <w:rsid w:val="00DB7CDD"/>
    <w:rsid w:val="00DC01AA"/>
    <w:rsid w:val="00DC3981"/>
    <w:rsid w:val="00DD0FBF"/>
    <w:rsid w:val="00DE1CF9"/>
    <w:rsid w:val="00DF26C5"/>
    <w:rsid w:val="00DF66E9"/>
    <w:rsid w:val="00E47410"/>
    <w:rsid w:val="00E71667"/>
    <w:rsid w:val="00EA22A6"/>
    <w:rsid w:val="00EA2B1A"/>
    <w:rsid w:val="00ED1428"/>
    <w:rsid w:val="00ED58F8"/>
    <w:rsid w:val="00ED5DD1"/>
    <w:rsid w:val="00EE38E3"/>
    <w:rsid w:val="00EF3458"/>
    <w:rsid w:val="00EF5C50"/>
    <w:rsid w:val="00F14ADE"/>
    <w:rsid w:val="00F30852"/>
    <w:rsid w:val="00F64C81"/>
    <w:rsid w:val="00F70C59"/>
    <w:rsid w:val="00F768E9"/>
    <w:rsid w:val="00F835E9"/>
    <w:rsid w:val="00F84BB4"/>
    <w:rsid w:val="00F84EC8"/>
    <w:rsid w:val="00F96C90"/>
    <w:rsid w:val="00FA4815"/>
    <w:rsid w:val="00FA4B81"/>
    <w:rsid w:val="00FA7E2E"/>
    <w:rsid w:val="00FB1BCB"/>
    <w:rsid w:val="00FC65D2"/>
    <w:rsid w:val="00FE02B3"/>
    <w:rsid w:val="00FE0C87"/>
    <w:rsid w:val="00FE791F"/>
    <w:rsid w:val="00FF2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D883-5FD8-45DB-A008-77D06D3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80"/>
    <w:rPr>
      <w:rFonts w:ascii="Calibri" w:eastAsia="Calibri" w:hAnsi="Calibri" w:cs="Times New Roman"/>
    </w:rPr>
  </w:style>
  <w:style w:type="paragraph" w:styleId="Ttulo3">
    <w:name w:val="heading 3"/>
    <w:basedOn w:val="Normal"/>
    <w:next w:val="Normal"/>
    <w:link w:val="Ttulo3Car"/>
    <w:uiPriority w:val="9"/>
    <w:semiHidden/>
    <w:unhideWhenUsed/>
    <w:qFormat/>
    <w:rsid w:val="00D57D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80280"/>
    <w:pPr>
      <w:keepNext/>
      <w:keepLines/>
      <w:spacing w:before="40" w:line="360" w:lineRule="auto"/>
      <w:outlineLvl w:val="3"/>
    </w:pPr>
    <w:rPr>
      <w:rFonts w:ascii="Calibri Light" w:eastAsia="Times New Roman" w:hAnsi="Calibri Light"/>
      <w:i/>
      <w:iCs/>
      <w:color w:val="2E74B5"/>
      <w:lang w:val="x-none"/>
    </w:rPr>
  </w:style>
  <w:style w:type="paragraph" w:styleId="Ttulo5">
    <w:name w:val="heading 5"/>
    <w:basedOn w:val="Normal"/>
    <w:next w:val="Normal"/>
    <w:link w:val="Ttulo5Car"/>
    <w:uiPriority w:val="9"/>
    <w:semiHidden/>
    <w:unhideWhenUsed/>
    <w:qFormat/>
    <w:rsid w:val="00680280"/>
    <w:pPr>
      <w:keepNext/>
      <w:keepLines/>
      <w:spacing w:before="40" w:line="360" w:lineRule="auto"/>
      <w:outlineLvl w:val="4"/>
    </w:pPr>
    <w:rPr>
      <w:rFonts w:ascii="Calibri Light" w:eastAsia="Times New Roman" w:hAnsi="Calibri Light"/>
      <w:color w:val="2E74B5"/>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80280"/>
    <w:rPr>
      <w:rFonts w:ascii="Calibri Light" w:eastAsia="Times New Roman" w:hAnsi="Calibri Light" w:cs="Times New Roman"/>
      <w:i/>
      <w:iCs/>
      <w:color w:val="2E74B5"/>
      <w:lang w:val="x-none"/>
    </w:rPr>
  </w:style>
  <w:style w:type="character" w:customStyle="1" w:styleId="Ttulo5Car">
    <w:name w:val="Título 5 Car"/>
    <w:basedOn w:val="Fuentedeprrafopredeter"/>
    <w:link w:val="Ttulo5"/>
    <w:uiPriority w:val="9"/>
    <w:semiHidden/>
    <w:rsid w:val="00680280"/>
    <w:rPr>
      <w:rFonts w:ascii="Calibri Light" w:eastAsia="Times New Roman" w:hAnsi="Calibri Light" w:cs="Times New Roman"/>
      <w:color w:val="2E74B5"/>
      <w:lang w:val="x-none"/>
    </w:rPr>
  </w:style>
  <w:style w:type="paragraph" w:styleId="Puesto">
    <w:name w:val="Title"/>
    <w:basedOn w:val="Normal"/>
    <w:link w:val="PuestoCar"/>
    <w:qFormat/>
    <w:rsid w:val="00680280"/>
    <w:pPr>
      <w:widowControl w:val="0"/>
      <w:autoSpaceDE w:val="0"/>
      <w:autoSpaceDN w:val="0"/>
      <w:adjustRightInd w:val="0"/>
      <w:spacing w:line="360" w:lineRule="auto"/>
      <w:jc w:val="center"/>
    </w:pPr>
    <w:rPr>
      <w:rFonts w:ascii="Arial" w:eastAsia="Times New Roman" w:hAnsi="Arial"/>
      <w:b/>
      <w:sz w:val="24"/>
      <w:szCs w:val="24"/>
      <w:lang w:val="x-none" w:eastAsia="x-none"/>
    </w:rPr>
  </w:style>
  <w:style w:type="character" w:customStyle="1" w:styleId="PuestoCar">
    <w:name w:val="Puesto Car"/>
    <w:basedOn w:val="Fuentedeprrafopredeter"/>
    <w:link w:val="Puesto"/>
    <w:rsid w:val="00680280"/>
    <w:rPr>
      <w:rFonts w:ascii="Arial" w:eastAsia="Times New Roman" w:hAnsi="Arial" w:cs="Times New Roman"/>
      <w:b/>
      <w:sz w:val="24"/>
      <w:szCs w:val="24"/>
      <w:lang w:val="x-none" w:eastAsia="x-none"/>
    </w:rPr>
  </w:style>
  <w:style w:type="character" w:customStyle="1" w:styleId="Ttulo3Car">
    <w:name w:val="Título 3 Car"/>
    <w:basedOn w:val="Fuentedeprrafopredeter"/>
    <w:link w:val="Ttulo3"/>
    <w:uiPriority w:val="9"/>
    <w:semiHidden/>
    <w:rsid w:val="00D57D6B"/>
    <w:rPr>
      <w:rFonts w:asciiTheme="majorHAnsi" w:eastAsiaTheme="majorEastAsia" w:hAnsiTheme="majorHAnsi" w:cstheme="majorBidi"/>
      <w:color w:val="1F4D78" w:themeColor="accent1" w:themeShade="7F"/>
      <w:sz w:val="24"/>
      <w:szCs w:val="24"/>
    </w:rPr>
  </w:style>
  <w:style w:type="character" w:styleId="Hipervnculo">
    <w:name w:val="Hyperlink"/>
    <w:uiPriority w:val="99"/>
    <w:semiHidden/>
    <w:unhideWhenUsed/>
    <w:rsid w:val="00D57D6B"/>
    <w:rPr>
      <w:color w:val="0000FF"/>
      <w:u w:val="single"/>
    </w:rPr>
  </w:style>
  <w:style w:type="paragraph" w:styleId="NormalWeb">
    <w:name w:val="Normal (Web)"/>
    <w:basedOn w:val="Normal"/>
    <w:uiPriority w:val="99"/>
    <w:unhideWhenUsed/>
    <w:rsid w:val="00D57D6B"/>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D57D6B"/>
    <w:rPr>
      <w:sz w:val="20"/>
      <w:szCs w:val="20"/>
      <w:lang w:val="x-none"/>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57D6B"/>
    <w:rPr>
      <w:rFonts w:ascii="Calibri" w:eastAsia="Calibri" w:hAnsi="Calibri" w:cs="Times New Roman"/>
      <w:sz w:val="20"/>
      <w:szCs w:val="20"/>
      <w:lang w:val="x-none"/>
    </w:rPr>
  </w:style>
  <w:style w:type="paragraph" w:styleId="Sangradetextonormal">
    <w:name w:val="Body Text Indent"/>
    <w:basedOn w:val="Normal"/>
    <w:link w:val="SangradetextonormalCar"/>
    <w:uiPriority w:val="99"/>
    <w:semiHidden/>
    <w:unhideWhenUsed/>
    <w:rsid w:val="00D57D6B"/>
    <w:pPr>
      <w:spacing w:after="120" w:line="360" w:lineRule="auto"/>
      <w:ind w:left="283"/>
    </w:pPr>
    <w:rPr>
      <w:lang w:val="x-none"/>
    </w:rPr>
  </w:style>
  <w:style w:type="character" w:customStyle="1" w:styleId="SangradetextonormalCar">
    <w:name w:val="Sangría de texto normal Car"/>
    <w:basedOn w:val="Fuentedeprrafopredeter"/>
    <w:link w:val="Sangradetextonormal"/>
    <w:uiPriority w:val="99"/>
    <w:semiHidden/>
    <w:rsid w:val="00D57D6B"/>
    <w:rPr>
      <w:rFonts w:ascii="Calibri" w:eastAsia="Calibri" w:hAnsi="Calibri" w:cs="Times New Roman"/>
      <w:lang w:val="x-none"/>
    </w:rPr>
  </w:style>
  <w:style w:type="paragraph" w:styleId="Prrafodelista">
    <w:name w:val="List Paragraph"/>
    <w:basedOn w:val="Normal"/>
    <w:uiPriority w:val="34"/>
    <w:qFormat/>
    <w:rsid w:val="00D57D6B"/>
    <w:pPr>
      <w:ind w:left="720"/>
      <w:contextualSpacing/>
    </w:pPr>
  </w:style>
  <w:style w:type="character" w:styleId="Refdenotaalpie">
    <w:name w:val="footnote reference"/>
    <w:aliases w:val="Texto nota pie Car2,Texto nota pie Car Car1,Footnote Text Char Char Char Char Char Car2,Footnote Text Char Char Char Char Car2,FA Fu Car2,Footnote Text Char Car2"/>
    <w:uiPriority w:val="99"/>
    <w:unhideWhenUsed/>
    <w:rsid w:val="00D57D6B"/>
    <w:rPr>
      <w:vertAlign w:val="superscript"/>
    </w:rPr>
  </w:style>
  <w:style w:type="character" w:customStyle="1" w:styleId="apple-converted-space">
    <w:name w:val="apple-converted-space"/>
    <w:rsid w:val="00D57D6B"/>
  </w:style>
  <w:style w:type="paragraph" w:styleId="Encabezado">
    <w:name w:val="header"/>
    <w:basedOn w:val="Normal"/>
    <w:link w:val="EncabezadoCar"/>
    <w:unhideWhenUsed/>
    <w:rsid w:val="00D57D6B"/>
    <w:pPr>
      <w:tabs>
        <w:tab w:val="center" w:pos="4252"/>
        <w:tab w:val="right" w:pos="8504"/>
      </w:tabs>
      <w:spacing w:line="240" w:lineRule="auto"/>
    </w:pPr>
  </w:style>
  <w:style w:type="character" w:customStyle="1" w:styleId="EncabezadoCar">
    <w:name w:val="Encabezado Car"/>
    <w:basedOn w:val="Fuentedeprrafopredeter"/>
    <w:link w:val="Encabezado"/>
    <w:rsid w:val="00D57D6B"/>
    <w:rPr>
      <w:rFonts w:ascii="Calibri" w:eastAsia="Calibri" w:hAnsi="Calibri" w:cs="Times New Roman"/>
    </w:rPr>
  </w:style>
  <w:style w:type="paragraph" w:styleId="Piedepgina">
    <w:name w:val="footer"/>
    <w:basedOn w:val="Normal"/>
    <w:link w:val="PiedepginaCar"/>
    <w:uiPriority w:val="99"/>
    <w:unhideWhenUsed/>
    <w:rsid w:val="00D57D6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57D6B"/>
    <w:rPr>
      <w:rFonts w:ascii="Calibri" w:eastAsia="Calibri" w:hAnsi="Calibri" w:cs="Times New Roman"/>
    </w:rPr>
  </w:style>
  <w:style w:type="paragraph" w:styleId="Textodeglobo">
    <w:name w:val="Balloon Text"/>
    <w:basedOn w:val="Normal"/>
    <w:link w:val="TextodegloboCar"/>
    <w:uiPriority w:val="99"/>
    <w:semiHidden/>
    <w:unhideWhenUsed/>
    <w:rsid w:val="00D57D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D6B"/>
    <w:rPr>
      <w:rFonts w:ascii="Segoe UI" w:eastAsia="Calibri" w:hAnsi="Segoe UI" w:cs="Segoe UI"/>
      <w:sz w:val="18"/>
      <w:szCs w:val="18"/>
    </w:rPr>
  </w:style>
  <w:style w:type="character" w:styleId="Textoennegrita">
    <w:name w:val="Strong"/>
    <w:basedOn w:val="Fuentedeprrafopredeter"/>
    <w:uiPriority w:val="22"/>
    <w:qFormat/>
    <w:rsid w:val="00CA60E0"/>
    <w:rPr>
      <w:b/>
      <w:bCs/>
    </w:rPr>
  </w:style>
  <w:style w:type="paragraph" w:styleId="Sinespaciado">
    <w:name w:val="No Spacing"/>
    <w:qFormat/>
    <w:rsid w:val="00914528"/>
    <w:pPr>
      <w:spacing w:line="240" w:lineRule="auto"/>
    </w:pPr>
    <w:rPr>
      <w:rFonts w:ascii="Calibri" w:eastAsia="Calibri" w:hAnsi="Calibri" w:cs="Times New Roman"/>
    </w:rPr>
  </w:style>
  <w:style w:type="table" w:styleId="Tablaconcuadrcula">
    <w:name w:val="Table Grid"/>
    <w:basedOn w:val="Tablanormal"/>
    <w:uiPriority w:val="39"/>
    <w:rsid w:val="00AA1D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1F440B"/>
    <w:pPr>
      <w:spacing w:after="120"/>
    </w:pPr>
  </w:style>
  <w:style w:type="character" w:customStyle="1" w:styleId="TextoindependienteCar">
    <w:name w:val="Texto independiente Car"/>
    <w:basedOn w:val="Fuentedeprrafopredeter"/>
    <w:link w:val="Textoindependiente"/>
    <w:uiPriority w:val="99"/>
    <w:semiHidden/>
    <w:rsid w:val="001F44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07590">
      <w:bodyDiv w:val="1"/>
      <w:marLeft w:val="0"/>
      <w:marRight w:val="0"/>
      <w:marTop w:val="0"/>
      <w:marBottom w:val="0"/>
      <w:divBdr>
        <w:top w:val="none" w:sz="0" w:space="0" w:color="auto"/>
        <w:left w:val="none" w:sz="0" w:space="0" w:color="auto"/>
        <w:bottom w:val="none" w:sz="0" w:space="0" w:color="auto"/>
        <w:right w:val="none" w:sz="0" w:space="0" w:color="auto"/>
      </w:divBdr>
    </w:div>
    <w:div w:id="14735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42C6-3BF0-4093-B753-5212D9E0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1516</Words>
  <Characters>8341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9</cp:revision>
  <cp:lastPrinted>2018-09-13T21:04:00Z</cp:lastPrinted>
  <dcterms:created xsi:type="dcterms:W3CDTF">2018-09-12T13:37:00Z</dcterms:created>
  <dcterms:modified xsi:type="dcterms:W3CDTF">2018-11-15T15:19:00Z</dcterms:modified>
</cp:coreProperties>
</file>