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149" w:rsidRPr="00400CCC" w:rsidRDefault="00AF7149" w:rsidP="00AF7149">
      <w:pPr>
        <w:pBdr>
          <w:top w:val="single" w:sz="4" w:space="1" w:color="auto"/>
          <w:left w:val="single" w:sz="4" w:space="4" w:color="auto"/>
          <w:bottom w:val="single" w:sz="4" w:space="1" w:color="auto"/>
          <w:right w:val="single" w:sz="4" w:space="4" w:color="auto"/>
        </w:pBdr>
        <w:shd w:val="clear" w:color="auto" w:fill="FFFFFF"/>
        <w:spacing w:after="200"/>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530FFD" w:rsidRDefault="00530FFD" w:rsidP="00FE73D1">
      <w:pPr>
        <w:ind w:left="1416" w:firstLine="708"/>
        <w:jc w:val="both"/>
        <w:rPr>
          <w:rFonts w:ascii="Arial" w:hAnsi="Arial" w:cs="Arial"/>
          <w:b/>
          <w:sz w:val="18"/>
          <w:szCs w:val="18"/>
        </w:rPr>
      </w:pPr>
    </w:p>
    <w:p w:rsidR="00226D5F" w:rsidRPr="007C5A02" w:rsidRDefault="00226D5F" w:rsidP="00FE73D1">
      <w:pPr>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E73D1">
      <w:pPr>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C03688">
        <w:rPr>
          <w:rFonts w:ascii="Arial" w:hAnsi="Arial" w:cs="Arial"/>
          <w:bCs/>
          <w:sz w:val="18"/>
          <w:szCs w:val="18"/>
        </w:rPr>
        <w:t>5</w:t>
      </w:r>
      <w:r w:rsidR="00290C0B">
        <w:rPr>
          <w:rFonts w:ascii="Arial" w:hAnsi="Arial" w:cs="Arial"/>
          <w:bCs/>
          <w:sz w:val="18"/>
          <w:szCs w:val="18"/>
        </w:rPr>
        <w:t>-201</w:t>
      </w:r>
      <w:r w:rsidR="006C07DE">
        <w:rPr>
          <w:rFonts w:ascii="Arial" w:hAnsi="Arial" w:cs="Arial"/>
          <w:bCs/>
          <w:sz w:val="18"/>
          <w:szCs w:val="18"/>
        </w:rPr>
        <w:t>6</w:t>
      </w:r>
      <w:r w:rsidRPr="007C5A02">
        <w:rPr>
          <w:rFonts w:ascii="Arial" w:hAnsi="Arial" w:cs="Arial"/>
          <w:bCs/>
          <w:sz w:val="18"/>
          <w:szCs w:val="18"/>
        </w:rPr>
        <w:t>-00</w:t>
      </w:r>
      <w:r w:rsidR="003F4E7E">
        <w:rPr>
          <w:rFonts w:ascii="Arial" w:hAnsi="Arial" w:cs="Arial"/>
          <w:bCs/>
          <w:sz w:val="18"/>
          <w:szCs w:val="18"/>
        </w:rPr>
        <w:t>1</w:t>
      </w:r>
      <w:r w:rsidR="006C07DE">
        <w:rPr>
          <w:rFonts w:ascii="Arial" w:hAnsi="Arial" w:cs="Arial"/>
          <w:bCs/>
          <w:sz w:val="18"/>
          <w:szCs w:val="18"/>
        </w:rPr>
        <w:t>01</w:t>
      </w:r>
      <w:r w:rsidRPr="007C5A02">
        <w:rPr>
          <w:rFonts w:ascii="Arial" w:hAnsi="Arial" w:cs="Arial"/>
          <w:bCs/>
          <w:sz w:val="18"/>
          <w:szCs w:val="18"/>
        </w:rPr>
        <w:t>-01</w:t>
      </w:r>
    </w:p>
    <w:p w:rsidR="00226D5F" w:rsidRPr="007C5A02" w:rsidRDefault="00226D5F" w:rsidP="00FE73D1">
      <w:pPr>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003371E3">
        <w:rPr>
          <w:rFonts w:ascii="Arial" w:hAnsi="Arial" w:cs="Arial"/>
          <w:iCs/>
          <w:sz w:val="18"/>
          <w:szCs w:val="18"/>
        </w:rPr>
        <w:t>Ordinario Laboral</w:t>
      </w:r>
    </w:p>
    <w:p w:rsidR="00226D5F" w:rsidRPr="007C5A02" w:rsidRDefault="00226D5F" w:rsidP="00FE73D1">
      <w:pPr>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proofErr w:type="spellStart"/>
      <w:r w:rsidR="006C07DE">
        <w:rPr>
          <w:rFonts w:ascii="Arial" w:hAnsi="Arial" w:cs="Arial"/>
          <w:iCs/>
          <w:sz w:val="18"/>
          <w:szCs w:val="18"/>
        </w:rPr>
        <w:t>Adiela</w:t>
      </w:r>
      <w:proofErr w:type="spellEnd"/>
      <w:r w:rsidR="006C07DE">
        <w:rPr>
          <w:rFonts w:ascii="Arial" w:hAnsi="Arial" w:cs="Arial"/>
          <w:iCs/>
          <w:sz w:val="18"/>
          <w:szCs w:val="18"/>
        </w:rPr>
        <w:t xml:space="preserve"> Salazar Villegas</w:t>
      </w:r>
    </w:p>
    <w:p w:rsidR="00226D5F" w:rsidRPr="007C5A02" w:rsidRDefault="00226D5F" w:rsidP="00FE73D1">
      <w:pPr>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26D5F" w:rsidRPr="007C5A02" w:rsidRDefault="00226D5F" w:rsidP="00FE73D1">
      <w:pPr>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C03688">
        <w:rPr>
          <w:rFonts w:ascii="Arial" w:hAnsi="Arial" w:cs="Arial"/>
          <w:sz w:val="18"/>
          <w:szCs w:val="18"/>
        </w:rPr>
        <w:t xml:space="preserve">Quinto </w:t>
      </w:r>
      <w:r w:rsidRPr="007C5A02">
        <w:rPr>
          <w:rFonts w:ascii="Arial" w:hAnsi="Arial" w:cs="Arial"/>
          <w:sz w:val="18"/>
          <w:szCs w:val="18"/>
        </w:rPr>
        <w:t>Laboral del Circuito de Pereira.</w:t>
      </w:r>
    </w:p>
    <w:p w:rsidR="00800372" w:rsidRDefault="00800372" w:rsidP="001929DC">
      <w:pPr>
        <w:tabs>
          <w:tab w:val="left" w:pos="748"/>
        </w:tabs>
        <w:ind w:left="2126" w:hanging="2126"/>
        <w:jc w:val="both"/>
        <w:rPr>
          <w:rFonts w:ascii="Arial" w:hAnsi="Arial" w:cs="Arial"/>
          <w:b/>
          <w:bCs/>
          <w:sz w:val="18"/>
          <w:szCs w:val="18"/>
        </w:rPr>
      </w:pPr>
    </w:p>
    <w:p w:rsidR="00800372" w:rsidRPr="00800372" w:rsidRDefault="001929DC" w:rsidP="00800372">
      <w:pPr>
        <w:tabs>
          <w:tab w:val="left" w:pos="748"/>
        </w:tabs>
        <w:ind w:left="2126" w:hanging="2126"/>
        <w:jc w:val="both"/>
        <w:rPr>
          <w:rFonts w:ascii="Arial" w:hAnsi="Arial" w:cs="Arial"/>
          <w:sz w:val="18"/>
          <w:szCs w:val="18"/>
        </w:rPr>
      </w:pPr>
      <w:r w:rsidRPr="000F5EEF">
        <w:rPr>
          <w:rFonts w:ascii="Arial" w:hAnsi="Arial" w:cs="Arial"/>
          <w:b/>
          <w:bCs/>
          <w:sz w:val="18"/>
          <w:szCs w:val="18"/>
        </w:rPr>
        <w:t>Tema:</w:t>
      </w:r>
      <w:r w:rsidR="00800372">
        <w:rPr>
          <w:rFonts w:ascii="Arial" w:hAnsi="Arial" w:cs="Arial"/>
          <w:b/>
          <w:bCs/>
          <w:sz w:val="18"/>
          <w:szCs w:val="18"/>
        </w:rPr>
        <w:tab/>
      </w:r>
      <w:r w:rsidR="00800372">
        <w:rPr>
          <w:rFonts w:ascii="Arial" w:hAnsi="Arial" w:cs="Arial"/>
          <w:b/>
          <w:bCs/>
          <w:sz w:val="18"/>
          <w:szCs w:val="18"/>
        </w:rPr>
        <w:tab/>
      </w:r>
      <w:r w:rsidR="00800372">
        <w:rPr>
          <w:rFonts w:ascii="Arial" w:hAnsi="Arial" w:cs="Arial"/>
          <w:b/>
          <w:bCs/>
          <w:sz w:val="18"/>
          <w:szCs w:val="18"/>
        </w:rPr>
        <w:tab/>
      </w:r>
      <w:r w:rsidR="00800372">
        <w:rPr>
          <w:rFonts w:ascii="Arial" w:hAnsi="Arial" w:cs="Arial"/>
          <w:b/>
          <w:bCs/>
          <w:sz w:val="18"/>
          <w:szCs w:val="18"/>
        </w:rPr>
        <w:tab/>
      </w:r>
      <w:r w:rsidR="00C03688">
        <w:rPr>
          <w:rFonts w:ascii="Arial" w:hAnsi="Arial" w:cs="Arial"/>
          <w:b/>
          <w:bCs/>
          <w:sz w:val="18"/>
          <w:szCs w:val="18"/>
        </w:rPr>
        <w:tab/>
      </w:r>
      <w:r w:rsidR="00C03688" w:rsidRPr="000F5EEF">
        <w:rPr>
          <w:rFonts w:ascii="Arial" w:hAnsi="Arial" w:cs="Arial"/>
          <w:b/>
          <w:sz w:val="18"/>
          <w:szCs w:val="18"/>
        </w:rPr>
        <w:t xml:space="preserve">CÁLCULO DEL INGRESO BASE DE LIQUIDACIÓN </w:t>
      </w:r>
      <w:r w:rsidR="006C07DE">
        <w:rPr>
          <w:rFonts w:ascii="Arial" w:hAnsi="Arial" w:cs="Arial"/>
          <w:b/>
          <w:sz w:val="18"/>
          <w:szCs w:val="18"/>
        </w:rPr>
        <w:t xml:space="preserve">INDEXACIÓN DE LOS SALARIOS DE LAS 100 </w:t>
      </w:r>
      <w:r w:rsidR="00A1521A">
        <w:rPr>
          <w:rFonts w:ascii="Arial" w:hAnsi="Arial" w:cs="Arial"/>
          <w:b/>
          <w:sz w:val="18"/>
          <w:szCs w:val="18"/>
        </w:rPr>
        <w:t>SEMANAS</w:t>
      </w:r>
      <w:r w:rsidR="00E40BFC">
        <w:rPr>
          <w:rFonts w:ascii="Arial" w:hAnsi="Arial" w:cs="Arial"/>
          <w:b/>
          <w:sz w:val="18"/>
          <w:szCs w:val="18"/>
        </w:rPr>
        <w:t xml:space="preserve"> -</w:t>
      </w:r>
      <w:r w:rsidR="00A1521A">
        <w:rPr>
          <w:rFonts w:ascii="Arial" w:hAnsi="Arial" w:cs="Arial"/>
          <w:b/>
          <w:sz w:val="18"/>
          <w:szCs w:val="18"/>
        </w:rPr>
        <w:t xml:space="preserve"> ACUERD</w:t>
      </w:r>
      <w:r w:rsidR="00E40BFC">
        <w:rPr>
          <w:rFonts w:ascii="Arial" w:hAnsi="Arial" w:cs="Arial"/>
          <w:b/>
          <w:sz w:val="18"/>
          <w:szCs w:val="18"/>
        </w:rPr>
        <w:t>O</w:t>
      </w:r>
      <w:r w:rsidR="00A1521A">
        <w:rPr>
          <w:rFonts w:ascii="Arial" w:hAnsi="Arial" w:cs="Arial"/>
          <w:b/>
          <w:sz w:val="18"/>
          <w:szCs w:val="18"/>
        </w:rPr>
        <w:t xml:space="preserve"> 0</w:t>
      </w:r>
      <w:r w:rsidR="00E40BFC">
        <w:rPr>
          <w:rFonts w:ascii="Arial" w:hAnsi="Arial" w:cs="Arial"/>
          <w:b/>
          <w:sz w:val="18"/>
          <w:szCs w:val="18"/>
        </w:rPr>
        <w:t xml:space="preserve">29 </w:t>
      </w:r>
      <w:r w:rsidR="00A1521A">
        <w:rPr>
          <w:rFonts w:ascii="Arial" w:hAnsi="Arial" w:cs="Arial"/>
          <w:b/>
          <w:sz w:val="18"/>
          <w:szCs w:val="18"/>
        </w:rPr>
        <w:t>DE 19</w:t>
      </w:r>
      <w:r w:rsidR="00E40BFC">
        <w:rPr>
          <w:rFonts w:ascii="Arial" w:hAnsi="Arial" w:cs="Arial"/>
          <w:b/>
          <w:sz w:val="18"/>
          <w:szCs w:val="18"/>
        </w:rPr>
        <w:t>85- PENSIÓN ACUERDO 224 DE 1966</w:t>
      </w:r>
      <w:r w:rsidR="007B2F6C">
        <w:rPr>
          <w:rFonts w:ascii="Arial" w:hAnsi="Arial" w:cs="Arial"/>
          <w:b/>
          <w:sz w:val="18"/>
          <w:szCs w:val="18"/>
        </w:rPr>
        <w:t xml:space="preserve"> </w:t>
      </w:r>
      <w:r w:rsidR="00800372">
        <w:rPr>
          <w:rFonts w:ascii="Arial" w:hAnsi="Arial" w:cs="Arial"/>
          <w:b/>
          <w:sz w:val="18"/>
          <w:szCs w:val="18"/>
        </w:rPr>
        <w:t xml:space="preserve">/ INDEXACIÓN / PERDIDA DE PODER ADQUISITIVO / CONFIRMA </w:t>
      </w:r>
      <w:bookmarkStart w:id="0" w:name="_GoBack"/>
      <w:bookmarkEnd w:id="0"/>
      <w:r w:rsidR="00800372">
        <w:rPr>
          <w:rFonts w:ascii="Arial" w:hAnsi="Arial" w:cs="Arial"/>
          <w:b/>
          <w:sz w:val="18"/>
          <w:szCs w:val="18"/>
        </w:rPr>
        <w:t xml:space="preserve">- </w:t>
      </w:r>
      <w:r w:rsidR="00800372" w:rsidRPr="00800372">
        <w:rPr>
          <w:rFonts w:ascii="Arial" w:hAnsi="Arial" w:cs="Arial"/>
          <w:sz w:val="18"/>
          <w:szCs w:val="18"/>
        </w:rPr>
        <w:t>Es un hecho incontrovertible que a la demandante se le reconoció la pensión de vejez mediante Resolución N° 002232 del 16-09-1988, proferida por el Instituto de Seguros Sociales -</w:t>
      </w:r>
      <w:proofErr w:type="spellStart"/>
      <w:r w:rsidR="00800372" w:rsidRPr="00800372">
        <w:rPr>
          <w:rFonts w:ascii="Arial" w:hAnsi="Arial" w:cs="Arial"/>
          <w:sz w:val="18"/>
          <w:szCs w:val="18"/>
        </w:rPr>
        <w:t>fl</w:t>
      </w:r>
      <w:proofErr w:type="spellEnd"/>
      <w:r w:rsidR="00800372" w:rsidRPr="00800372">
        <w:rPr>
          <w:rFonts w:ascii="Arial" w:hAnsi="Arial" w:cs="Arial"/>
          <w:sz w:val="18"/>
          <w:szCs w:val="18"/>
        </w:rPr>
        <w:t>. 49-, fecha en la que se encontraba vigente el Acuerdo 224 de 1966, aprobado por el decreto 3041 de 1966 y el Acuerdo 29 de 1985 aprobado por el decreto 2879 de 1985, que derogó el artículo 15 de la primera norma citada.</w:t>
      </w:r>
    </w:p>
    <w:p w:rsidR="00800372" w:rsidRPr="00800372" w:rsidRDefault="00800372" w:rsidP="00800372">
      <w:pPr>
        <w:tabs>
          <w:tab w:val="left" w:pos="748"/>
        </w:tabs>
        <w:ind w:left="2126" w:hanging="2126"/>
        <w:jc w:val="both"/>
        <w:rPr>
          <w:rFonts w:ascii="Arial" w:hAnsi="Arial" w:cs="Arial"/>
          <w:sz w:val="18"/>
          <w:szCs w:val="18"/>
        </w:rPr>
      </w:pPr>
    </w:p>
    <w:p w:rsidR="00800372" w:rsidRPr="00800372" w:rsidRDefault="00800372" w:rsidP="00800372">
      <w:pPr>
        <w:tabs>
          <w:tab w:val="left" w:pos="748"/>
        </w:tabs>
        <w:ind w:left="2126" w:hanging="2126"/>
        <w:jc w:val="both"/>
        <w:rPr>
          <w:rFonts w:ascii="Arial" w:hAnsi="Arial" w:cs="Arial"/>
          <w:sz w:val="18"/>
          <w:szCs w:val="18"/>
        </w:rPr>
      </w:pPr>
      <w:r w:rsidRPr="00800372">
        <w:rPr>
          <w:rFonts w:ascii="Arial" w:hAnsi="Arial" w:cs="Arial"/>
          <w:sz w:val="18"/>
          <w:szCs w:val="18"/>
        </w:rPr>
        <w:t xml:space="preserve">Así las cosas, no existe duda que el reconocimiento de esta pensión debe regirse por estas normas, no por el Acuerdo 049 de 1990, como se pretende en la demanda, al carecer este de vigencia para tal momento. De lo que sigue, que las semanas a tener en cuenta para hallar el </w:t>
      </w:r>
      <w:proofErr w:type="spellStart"/>
      <w:r w:rsidRPr="00800372">
        <w:rPr>
          <w:rFonts w:ascii="Arial" w:hAnsi="Arial" w:cs="Arial"/>
          <w:sz w:val="18"/>
          <w:szCs w:val="18"/>
        </w:rPr>
        <w:t>IBL</w:t>
      </w:r>
      <w:proofErr w:type="spellEnd"/>
      <w:r w:rsidRPr="00800372">
        <w:rPr>
          <w:rFonts w:ascii="Arial" w:hAnsi="Arial" w:cs="Arial"/>
          <w:sz w:val="18"/>
          <w:szCs w:val="18"/>
        </w:rPr>
        <w:t xml:space="preserve"> deben ser las señaladas en el artículo 1 del decreto 2879 de 1985, que aprueba el acuerdo 029 de 1985; esto es, 100 semanas, que resultan ser las mismas dispuestas en el  parágrafo 1 del artículo 20 del Acuerdo 049 de 1990 y no 150 semanas como lo dijo la primera instancia.   </w:t>
      </w:r>
    </w:p>
    <w:p w:rsidR="00800372" w:rsidRPr="00800372" w:rsidRDefault="00800372" w:rsidP="00800372">
      <w:pPr>
        <w:tabs>
          <w:tab w:val="left" w:pos="748"/>
        </w:tabs>
        <w:ind w:left="2126" w:hanging="2126"/>
        <w:jc w:val="both"/>
        <w:rPr>
          <w:rFonts w:ascii="Arial" w:hAnsi="Arial" w:cs="Arial"/>
          <w:sz w:val="18"/>
          <w:szCs w:val="18"/>
        </w:rPr>
      </w:pPr>
    </w:p>
    <w:p w:rsidR="00C65FCA" w:rsidRPr="00800372" w:rsidRDefault="00800372" w:rsidP="00800372">
      <w:pPr>
        <w:tabs>
          <w:tab w:val="left" w:pos="748"/>
        </w:tabs>
        <w:ind w:left="2126" w:hanging="2126"/>
        <w:jc w:val="both"/>
        <w:rPr>
          <w:rFonts w:ascii="Arial" w:hAnsi="Arial" w:cs="Arial"/>
          <w:sz w:val="18"/>
          <w:szCs w:val="18"/>
        </w:rPr>
      </w:pPr>
      <w:r w:rsidRPr="00800372">
        <w:rPr>
          <w:rFonts w:ascii="Arial" w:hAnsi="Arial" w:cs="Arial"/>
          <w:sz w:val="18"/>
          <w:szCs w:val="18"/>
        </w:rPr>
        <w:t>Sin que se pueda llegar a la aplicación del Acuerdo 049 de 1990 por la vía del artículo 36 de la Ley 100 de 1993, que consagra el régimen de transición, pues como lo dijo la a quo, esta no se le podía aplicar al completar los requisitos para pensionarse antes del 1-04-1994; para lo cual nos remitimos al análisis efectuada por esta, que se comparte íntegramente en este solo aspecto.</w:t>
      </w:r>
    </w:p>
    <w:p w:rsidR="00C03688" w:rsidRPr="00800372" w:rsidRDefault="00800372" w:rsidP="00C03688">
      <w:pPr>
        <w:tabs>
          <w:tab w:val="left" w:pos="748"/>
        </w:tabs>
        <w:ind w:left="2126" w:hanging="2126"/>
        <w:jc w:val="both"/>
        <w:rPr>
          <w:rFonts w:ascii="Arial" w:hAnsi="Arial" w:cs="Arial"/>
          <w:sz w:val="18"/>
          <w:szCs w:val="18"/>
        </w:rPr>
      </w:pPr>
      <w:r w:rsidRPr="00800372">
        <w:rPr>
          <w:rFonts w:ascii="Arial" w:hAnsi="Arial" w:cs="Arial"/>
          <w:sz w:val="18"/>
          <w:szCs w:val="18"/>
        </w:rPr>
        <w:t>(…)</w:t>
      </w:r>
    </w:p>
    <w:p w:rsidR="00C03688" w:rsidRPr="00800372" w:rsidRDefault="00800372" w:rsidP="00C03688">
      <w:pPr>
        <w:tabs>
          <w:tab w:val="left" w:pos="748"/>
        </w:tabs>
        <w:ind w:left="2126" w:hanging="2126"/>
        <w:jc w:val="both"/>
        <w:rPr>
          <w:rFonts w:ascii="Arial" w:hAnsi="Arial" w:cs="Arial"/>
          <w:sz w:val="18"/>
          <w:szCs w:val="18"/>
        </w:rPr>
      </w:pPr>
      <w:r w:rsidRPr="00800372">
        <w:rPr>
          <w:rFonts w:ascii="Arial" w:hAnsi="Arial" w:cs="Arial"/>
          <w:sz w:val="18"/>
          <w:szCs w:val="18"/>
        </w:rPr>
        <w:t>No obstante, también ha apuntado de manera constante , que es improcedente la indexación cuando se trata de pensiones reconocidas con fundamento en el parágrafo 1º del artículo 20 del Acuerdo 049 de 1990, para lo cual aduce dos argumentos: a) que la norma establece una fórmula para el cálculo de la prestación, que toma en cuenta el número de semanas cotizadas por el afiliado a la entidad de seguridad social y no los salarios devengados y b) que el afiliado puede seguir cotizando hasta que cumpla la edad para aumentar la tasa de remplazo; por lo que es a él y no a la entidad de seguridad social quien debe asumir la actualización de su pensión.</w:t>
      </w:r>
    </w:p>
    <w:p w:rsidR="00C03688" w:rsidRPr="00800372" w:rsidRDefault="00800372" w:rsidP="00C03688">
      <w:pPr>
        <w:tabs>
          <w:tab w:val="left" w:pos="748"/>
        </w:tabs>
        <w:ind w:left="2126" w:hanging="2126"/>
        <w:jc w:val="both"/>
        <w:rPr>
          <w:rFonts w:ascii="Arial" w:hAnsi="Arial" w:cs="Arial"/>
          <w:bCs/>
          <w:sz w:val="18"/>
          <w:szCs w:val="18"/>
        </w:rPr>
      </w:pPr>
      <w:r w:rsidRPr="00800372">
        <w:rPr>
          <w:rFonts w:ascii="Arial" w:hAnsi="Arial" w:cs="Arial"/>
          <w:bCs/>
          <w:sz w:val="18"/>
          <w:szCs w:val="18"/>
        </w:rPr>
        <w:t>(…)</w:t>
      </w:r>
    </w:p>
    <w:p w:rsidR="00800372" w:rsidRPr="00800372" w:rsidRDefault="00800372" w:rsidP="00800372">
      <w:pPr>
        <w:tabs>
          <w:tab w:val="left" w:pos="748"/>
        </w:tabs>
        <w:ind w:left="2126" w:hanging="2126"/>
        <w:jc w:val="both"/>
        <w:rPr>
          <w:rFonts w:ascii="Arial" w:hAnsi="Arial" w:cs="Arial"/>
          <w:bCs/>
          <w:sz w:val="18"/>
          <w:szCs w:val="18"/>
        </w:rPr>
      </w:pPr>
      <w:r w:rsidRPr="00800372">
        <w:rPr>
          <w:rFonts w:ascii="Arial" w:hAnsi="Arial" w:cs="Arial"/>
          <w:bCs/>
          <w:sz w:val="18"/>
          <w:szCs w:val="18"/>
        </w:rPr>
        <w:t xml:space="preserve">La tesis planteada la comparte esta Sala, y además la considera igualmente aplicable a las pensiones reconocidas con fundamento en los Acuerdos 224 de 1966 y 29 de 1985, dada la exactitud de la fórmula que se estatuyó para calcular el </w:t>
      </w:r>
      <w:proofErr w:type="spellStart"/>
      <w:r w:rsidRPr="00800372">
        <w:rPr>
          <w:rFonts w:ascii="Arial" w:hAnsi="Arial" w:cs="Arial"/>
          <w:bCs/>
          <w:sz w:val="18"/>
          <w:szCs w:val="18"/>
        </w:rPr>
        <w:t>IBL</w:t>
      </w:r>
      <w:proofErr w:type="spellEnd"/>
      <w:r w:rsidRPr="00800372">
        <w:rPr>
          <w:rFonts w:ascii="Arial" w:hAnsi="Arial" w:cs="Arial"/>
          <w:bCs/>
          <w:sz w:val="18"/>
          <w:szCs w:val="18"/>
        </w:rPr>
        <w:t xml:space="preserve">, como se dejó dicho </w:t>
      </w:r>
      <w:proofErr w:type="spellStart"/>
      <w:r w:rsidRPr="00800372">
        <w:rPr>
          <w:rFonts w:ascii="Arial" w:hAnsi="Arial" w:cs="Arial"/>
          <w:bCs/>
          <w:sz w:val="18"/>
          <w:szCs w:val="18"/>
        </w:rPr>
        <w:t>anteladamente</w:t>
      </w:r>
      <w:proofErr w:type="spellEnd"/>
      <w:r w:rsidRPr="00800372">
        <w:rPr>
          <w:rFonts w:ascii="Arial" w:hAnsi="Arial" w:cs="Arial"/>
          <w:bCs/>
          <w:sz w:val="18"/>
          <w:szCs w:val="18"/>
        </w:rPr>
        <w:t xml:space="preserve">. </w:t>
      </w:r>
    </w:p>
    <w:p w:rsidR="00800372" w:rsidRPr="00800372" w:rsidRDefault="00800372" w:rsidP="00800372">
      <w:pPr>
        <w:tabs>
          <w:tab w:val="left" w:pos="748"/>
        </w:tabs>
        <w:ind w:left="2126" w:hanging="2126"/>
        <w:jc w:val="both"/>
        <w:rPr>
          <w:rFonts w:ascii="Arial" w:hAnsi="Arial" w:cs="Arial"/>
          <w:bCs/>
          <w:sz w:val="18"/>
          <w:szCs w:val="18"/>
        </w:rPr>
      </w:pPr>
    </w:p>
    <w:p w:rsidR="00800372" w:rsidRPr="00800372" w:rsidRDefault="00800372" w:rsidP="00800372">
      <w:pPr>
        <w:tabs>
          <w:tab w:val="left" w:pos="748"/>
        </w:tabs>
        <w:ind w:left="2126" w:hanging="2126"/>
        <w:jc w:val="both"/>
        <w:rPr>
          <w:rFonts w:ascii="Arial" w:hAnsi="Arial" w:cs="Arial"/>
          <w:bCs/>
          <w:sz w:val="18"/>
          <w:szCs w:val="18"/>
        </w:rPr>
      </w:pPr>
      <w:r w:rsidRPr="00800372">
        <w:rPr>
          <w:rFonts w:ascii="Arial" w:hAnsi="Arial" w:cs="Arial"/>
          <w:bCs/>
          <w:sz w:val="18"/>
          <w:szCs w:val="18"/>
        </w:rPr>
        <w:t xml:space="preserve">Vale agregar, que es incontrovertible que por contabilizarse solo el salario de las últimas 100 semanas cotizadas, que corresponde a algo menos de 2 años, este lapso no es significativo para colegir pérdida del poder adquisitivo del peso, que amerite la indexación; contrario a lo que sucede en otras pensiones legales, como la Ley 33 de 1985 y Ley 71 de 1988, donde el periodo que se abarca para hallar el </w:t>
      </w:r>
      <w:proofErr w:type="spellStart"/>
      <w:r w:rsidRPr="00800372">
        <w:rPr>
          <w:rFonts w:ascii="Arial" w:hAnsi="Arial" w:cs="Arial"/>
          <w:bCs/>
          <w:sz w:val="18"/>
          <w:szCs w:val="18"/>
        </w:rPr>
        <w:t>IBL</w:t>
      </w:r>
      <w:proofErr w:type="spellEnd"/>
      <w:r w:rsidRPr="00800372">
        <w:rPr>
          <w:rFonts w:ascii="Arial" w:hAnsi="Arial" w:cs="Arial"/>
          <w:bCs/>
          <w:sz w:val="18"/>
          <w:szCs w:val="18"/>
        </w:rPr>
        <w:t xml:space="preserve"> es mucho mayor, donde sí se presenta de manera importante la pérdida del poder adquisitivo del peso.</w:t>
      </w:r>
    </w:p>
    <w:p w:rsidR="00800372" w:rsidRPr="00007B72" w:rsidRDefault="00800372" w:rsidP="00C03688">
      <w:pPr>
        <w:tabs>
          <w:tab w:val="left" w:pos="748"/>
        </w:tabs>
        <w:ind w:left="2126" w:hanging="2126"/>
        <w:jc w:val="both"/>
        <w:rPr>
          <w:rFonts w:ascii="Arial" w:hAnsi="Arial" w:cs="Arial"/>
          <w:b/>
          <w:bCs/>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440CA" w:rsidP="00F017BF">
      <w:pPr>
        <w:spacing w:line="276" w:lineRule="auto"/>
        <w:ind w:left="2127" w:hanging="1276"/>
        <w:jc w:val="center"/>
        <w:rPr>
          <w:rFonts w:ascii="Arial" w:hAnsi="Arial" w:cs="Arial"/>
          <w:b/>
          <w:szCs w:val="24"/>
        </w:rPr>
      </w:pPr>
      <w:r>
        <w:rPr>
          <w:rFonts w:ascii="Arial" w:hAnsi="Arial" w:cs="Arial"/>
          <w:b/>
          <w:szCs w:val="24"/>
        </w:rPr>
        <w:t>MAGISTRAD</w:t>
      </w:r>
      <w:r w:rsidR="003371E3">
        <w:rPr>
          <w:rFonts w:ascii="Arial" w:hAnsi="Arial" w:cs="Arial"/>
          <w:b/>
          <w:szCs w:val="24"/>
        </w:rPr>
        <w:t>A</w:t>
      </w:r>
      <w:r>
        <w:rPr>
          <w:rFonts w:ascii="Arial" w:hAnsi="Arial" w:cs="Arial"/>
          <w:b/>
          <w:szCs w:val="24"/>
        </w:rPr>
        <w:t xml:space="preserve"> PONENTE: </w:t>
      </w:r>
      <w:r w:rsidR="003371E3">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530FFD" w:rsidRDefault="00530FFD" w:rsidP="00F017BF">
      <w:pPr>
        <w:spacing w:line="276" w:lineRule="auto"/>
        <w:ind w:left="2127" w:hanging="1276"/>
        <w:jc w:val="center"/>
        <w:rPr>
          <w:rFonts w:ascii="Arial" w:hAnsi="Arial" w:cs="Arial"/>
          <w:b/>
          <w:szCs w:val="24"/>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A363B9" w:rsidRDefault="00226D5F" w:rsidP="003371E3">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C03688">
        <w:rPr>
          <w:rFonts w:ascii="Arial" w:eastAsia="Calibri" w:hAnsi="Arial" w:cs="Arial"/>
          <w:szCs w:val="24"/>
          <w:lang w:val="es-CO" w:eastAsia="en-US"/>
        </w:rPr>
        <w:t xml:space="preserve">veintitrés </w:t>
      </w:r>
      <w:r w:rsidRPr="00AC486E">
        <w:rPr>
          <w:rFonts w:ascii="Arial" w:eastAsia="Calibri" w:hAnsi="Arial" w:cs="Arial"/>
          <w:szCs w:val="24"/>
          <w:lang w:val="es-CO" w:eastAsia="en-US"/>
        </w:rPr>
        <w:t>(</w:t>
      </w:r>
      <w:r w:rsidR="00C03688">
        <w:rPr>
          <w:rFonts w:ascii="Arial" w:eastAsia="Calibri" w:hAnsi="Arial" w:cs="Arial"/>
          <w:szCs w:val="24"/>
          <w:lang w:val="es-CO" w:eastAsia="en-US"/>
        </w:rPr>
        <w:t>23</w:t>
      </w:r>
      <w:r w:rsidRPr="00AC486E">
        <w:rPr>
          <w:rFonts w:ascii="Arial" w:eastAsia="Calibri" w:hAnsi="Arial" w:cs="Arial"/>
          <w:szCs w:val="24"/>
          <w:lang w:val="es-CO" w:eastAsia="en-US"/>
        </w:rPr>
        <w:t>) días del mes de</w:t>
      </w:r>
      <w:r w:rsidR="00F820ED">
        <w:rPr>
          <w:rFonts w:ascii="Arial" w:eastAsia="Calibri" w:hAnsi="Arial" w:cs="Arial"/>
          <w:szCs w:val="24"/>
          <w:lang w:val="es-CO" w:eastAsia="en-US"/>
        </w:rPr>
        <w:t xml:space="preserve"> </w:t>
      </w:r>
      <w:r w:rsidR="006C07DE">
        <w:rPr>
          <w:rFonts w:ascii="Arial" w:eastAsia="Calibri" w:hAnsi="Arial" w:cs="Arial"/>
          <w:szCs w:val="24"/>
          <w:lang w:val="es-CO" w:eastAsia="en-US"/>
        </w:rPr>
        <w:t>enero</w:t>
      </w:r>
      <w:r w:rsidR="00C03688">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w:t>
      </w:r>
      <w:r w:rsidR="006C07DE">
        <w:rPr>
          <w:rFonts w:ascii="Arial" w:eastAsia="Calibri" w:hAnsi="Arial" w:cs="Arial"/>
          <w:szCs w:val="24"/>
          <w:lang w:val="es-CO" w:eastAsia="en-US"/>
        </w:rPr>
        <w:t>ocho</w:t>
      </w:r>
      <w:r w:rsidR="00C03688">
        <w:rPr>
          <w:rFonts w:ascii="Arial" w:eastAsia="Calibri" w:hAnsi="Arial" w:cs="Arial"/>
          <w:szCs w:val="24"/>
          <w:lang w:val="es-CO" w:eastAsia="en-US"/>
        </w:rPr>
        <w:t xml:space="preserve"> </w:t>
      </w:r>
      <w:r w:rsidRPr="00AC486E">
        <w:rPr>
          <w:rFonts w:ascii="Arial" w:eastAsia="Calibri" w:hAnsi="Arial" w:cs="Arial"/>
          <w:szCs w:val="24"/>
          <w:lang w:val="es-CO" w:eastAsia="en-US"/>
        </w:rPr>
        <w:t>(201</w:t>
      </w:r>
      <w:r w:rsidR="006C07DE">
        <w:rPr>
          <w:rFonts w:ascii="Arial" w:eastAsia="Calibri" w:hAnsi="Arial" w:cs="Arial"/>
          <w:szCs w:val="24"/>
          <w:lang w:val="es-CO" w:eastAsia="en-US"/>
        </w:rPr>
        <w:t>8</w:t>
      </w:r>
      <w:r w:rsidRPr="00AC486E">
        <w:rPr>
          <w:rFonts w:ascii="Arial" w:eastAsia="Calibri" w:hAnsi="Arial" w:cs="Arial"/>
          <w:szCs w:val="24"/>
          <w:lang w:val="es-CO" w:eastAsia="en-US"/>
        </w:rPr>
        <w:t xml:space="preserve">), siendo las </w:t>
      </w:r>
      <w:r w:rsidR="006C07DE">
        <w:rPr>
          <w:rFonts w:ascii="Arial" w:eastAsia="Calibri" w:hAnsi="Arial" w:cs="Arial"/>
          <w:szCs w:val="24"/>
          <w:lang w:val="es-CO" w:eastAsia="en-US"/>
        </w:rPr>
        <w:t>nueve</w:t>
      </w:r>
      <w:r w:rsidR="00C03688">
        <w:rPr>
          <w:rFonts w:ascii="Arial" w:eastAsia="Calibri" w:hAnsi="Arial" w:cs="Arial"/>
          <w:szCs w:val="24"/>
          <w:lang w:val="es-CO" w:eastAsia="en-US"/>
        </w:rPr>
        <w:t xml:space="preserve"> y treinta </w:t>
      </w:r>
      <w:r w:rsidR="00C1062A" w:rsidRPr="00AC486E">
        <w:rPr>
          <w:rFonts w:ascii="Arial" w:eastAsia="Calibri" w:hAnsi="Arial" w:cs="Arial"/>
          <w:szCs w:val="24"/>
          <w:lang w:val="es-CO" w:eastAsia="en-US"/>
        </w:rPr>
        <w:t>de la mañana (</w:t>
      </w:r>
      <w:r w:rsidR="00A363B9">
        <w:rPr>
          <w:rFonts w:ascii="Arial" w:eastAsia="Calibri" w:hAnsi="Arial" w:cs="Arial"/>
          <w:szCs w:val="24"/>
          <w:lang w:val="es-CO" w:eastAsia="en-US"/>
        </w:rPr>
        <w:t>0</w:t>
      </w:r>
      <w:r w:rsidR="006C07DE">
        <w:rPr>
          <w:rFonts w:ascii="Arial" w:eastAsia="Calibri" w:hAnsi="Arial" w:cs="Arial"/>
          <w:szCs w:val="24"/>
          <w:lang w:val="es-CO" w:eastAsia="en-US"/>
        </w:rPr>
        <w:t>9</w:t>
      </w:r>
      <w:r w:rsidR="00C03688">
        <w:rPr>
          <w:rFonts w:ascii="Arial" w:eastAsia="Calibri" w:hAnsi="Arial" w:cs="Arial"/>
          <w:szCs w:val="24"/>
          <w:lang w:val="es-CO" w:eastAsia="en-US"/>
        </w:rPr>
        <w:t>:30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w:t>
      </w:r>
      <w:r w:rsidR="007C5A02">
        <w:rPr>
          <w:rFonts w:ascii="Arial" w:hAnsi="Arial" w:cs="Arial"/>
          <w:bCs/>
          <w:color w:val="000000"/>
          <w:szCs w:val="24"/>
          <w:lang w:eastAsia="es-CO"/>
        </w:rPr>
        <w:lastRenderedPageBreak/>
        <w:t xml:space="preserve">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 con el propósito de resolver el</w:t>
      </w:r>
      <w:r w:rsidR="00A363B9">
        <w:rPr>
          <w:rFonts w:ascii="Arial" w:hAnsi="Arial" w:cs="Arial"/>
          <w:bCs/>
          <w:color w:val="000000"/>
          <w:szCs w:val="24"/>
          <w:lang w:eastAsia="es-CO"/>
        </w:rPr>
        <w:t xml:space="preserve"> </w:t>
      </w:r>
      <w:r w:rsidR="006720B3">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966D44">
        <w:rPr>
          <w:rFonts w:ascii="Arial" w:hAnsi="Arial" w:cs="Arial"/>
          <w:szCs w:val="24"/>
        </w:rPr>
        <w:t>24 y 25</w:t>
      </w:r>
      <w:r w:rsidR="00C03688">
        <w:rPr>
          <w:rFonts w:ascii="Arial" w:hAnsi="Arial" w:cs="Arial"/>
          <w:szCs w:val="24"/>
        </w:rPr>
        <w:t xml:space="preserve"> </w:t>
      </w:r>
      <w:r w:rsidRPr="00AC486E">
        <w:rPr>
          <w:rFonts w:ascii="Arial" w:hAnsi="Arial" w:cs="Arial"/>
          <w:szCs w:val="24"/>
        </w:rPr>
        <w:t xml:space="preserve">de </w:t>
      </w:r>
      <w:r w:rsidR="00966D44">
        <w:rPr>
          <w:rFonts w:ascii="Arial" w:hAnsi="Arial" w:cs="Arial"/>
          <w:szCs w:val="24"/>
        </w:rPr>
        <w:t>noviembre</w:t>
      </w:r>
      <w:r w:rsidR="00C03688">
        <w:rPr>
          <w:rFonts w:ascii="Arial" w:hAnsi="Arial" w:cs="Arial"/>
          <w:szCs w:val="24"/>
        </w:rPr>
        <w:t xml:space="preserve"> </w:t>
      </w:r>
      <w:r w:rsidRPr="00AC486E">
        <w:rPr>
          <w:rFonts w:ascii="Arial" w:hAnsi="Arial" w:cs="Arial"/>
          <w:szCs w:val="24"/>
        </w:rPr>
        <w:t>de 201</w:t>
      </w:r>
      <w:r w:rsidR="00C03688">
        <w:rPr>
          <w:rFonts w:ascii="Arial" w:hAnsi="Arial" w:cs="Arial"/>
          <w:szCs w:val="24"/>
        </w:rPr>
        <w:t>6</w:t>
      </w:r>
      <w:r w:rsidRPr="00AC486E">
        <w:rPr>
          <w:rFonts w:ascii="Arial" w:hAnsi="Arial" w:cs="Arial"/>
          <w:szCs w:val="24"/>
        </w:rPr>
        <w:t xml:space="preserve"> por el Juzgado </w:t>
      </w:r>
      <w:r w:rsidR="00C03688">
        <w:rPr>
          <w:rFonts w:ascii="Arial" w:hAnsi="Arial" w:cs="Arial"/>
          <w:szCs w:val="24"/>
        </w:rPr>
        <w:t xml:space="preserve">Quinto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0B6BB1">
        <w:rPr>
          <w:rFonts w:ascii="Arial" w:hAnsi="Arial" w:cs="Arial"/>
          <w:szCs w:val="24"/>
        </w:rPr>
        <w:t>l</w:t>
      </w:r>
      <w:r w:rsidR="00A17078">
        <w:rPr>
          <w:rFonts w:ascii="Arial" w:hAnsi="Arial" w:cs="Arial"/>
          <w:szCs w:val="24"/>
        </w:rPr>
        <w:t>a</w:t>
      </w:r>
      <w:r w:rsidR="000B6BB1">
        <w:rPr>
          <w:rFonts w:ascii="Arial" w:hAnsi="Arial" w:cs="Arial"/>
          <w:szCs w:val="24"/>
        </w:rPr>
        <w:t xml:space="preserve"> </w:t>
      </w:r>
      <w:r w:rsidR="003440CA">
        <w:rPr>
          <w:rFonts w:ascii="Arial" w:hAnsi="Arial" w:cs="Arial"/>
          <w:szCs w:val="24"/>
        </w:rPr>
        <w:t>señor</w:t>
      </w:r>
      <w:r w:rsidR="00A17078">
        <w:rPr>
          <w:rFonts w:ascii="Arial" w:hAnsi="Arial" w:cs="Arial"/>
          <w:szCs w:val="24"/>
        </w:rPr>
        <w:t xml:space="preserve">a </w:t>
      </w:r>
      <w:proofErr w:type="spellStart"/>
      <w:r w:rsidR="00966D44">
        <w:rPr>
          <w:rFonts w:ascii="Arial" w:hAnsi="Arial" w:cs="Arial"/>
          <w:b/>
          <w:szCs w:val="24"/>
        </w:rPr>
        <w:t>Adiela</w:t>
      </w:r>
      <w:proofErr w:type="spellEnd"/>
      <w:r w:rsidR="00966D44">
        <w:rPr>
          <w:rFonts w:ascii="Arial" w:hAnsi="Arial" w:cs="Arial"/>
          <w:b/>
          <w:szCs w:val="24"/>
        </w:rPr>
        <w:t xml:space="preserve"> Salazar Villegas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6720B3">
        <w:rPr>
          <w:rFonts w:ascii="Arial" w:hAnsi="Arial" w:cs="Arial"/>
          <w:b/>
          <w:szCs w:val="24"/>
        </w:rPr>
        <w:t>–</w:t>
      </w:r>
      <w:r w:rsidR="003440CA" w:rsidRPr="003440CA">
        <w:rPr>
          <w:rFonts w:ascii="Arial" w:hAnsi="Arial" w:cs="Arial"/>
          <w:b/>
          <w:bCs/>
          <w:szCs w:val="24"/>
        </w:rPr>
        <w:t>COLPENSIONES</w:t>
      </w:r>
      <w:r w:rsidR="00A363B9">
        <w:rPr>
          <w:rFonts w:ascii="Arial" w:hAnsi="Arial" w:cs="Arial"/>
          <w:b/>
          <w:bCs/>
          <w:szCs w:val="24"/>
        </w:rPr>
        <w:t xml:space="preserve">-, </w:t>
      </w:r>
      <w:r w:rsidR="00A363B9">
        <w:rPr>
          <w:rFonts w:ascii="Arial" w:hAnsi="Arial" w:cs="Arial"/>
          <w:bCs/>
          <w:szCs w:val="24"/>
        </w:rPr>
        <w:t>rad</w:t>
      </w:r>
      <w:r w:rsidR="003B320D">
        <w:rPr>
          <w:rFonts w:ascii="Arial" w:hAnsi="Arial" w:cs="Arial"/>
          <w:bCs/>
          <w:szCs w:val="24"/>
        </w:rPr>
        <w:t>icado bajo el N° 66001-31-05-00</w:t>
      </w:r>
      <w:r w:rsidR="00C03688">
        <w:rPr>
          <w:rFonts w:ascii="Arial" w:hAnsi="Arial" w:cs="Arial"/>
          <w:bCs/>
          <w:szCs w:val="24"/>
        </w:rPr>
        <w:t>5</w:t>
      </w:r>
      <w:r w:rsidR="003B320D">
        <w:rPr>
          <w:rFonts w:ascii="Arial" w:hAnsi="Arial" w:cs="Arial"/>
          <w:bCs/>
          <w:szCs w:val="24"/>
        </w:rPr>
        <w:t>-201</w:t>
      </w:r>
      <w:r w:rsidR="00966D44">
        <w:rPr>
          <w:rFonts w:ascii="Arial" w:hAnsi="Arial" w:cs="Arial"/>
          <w:bCs/>
          <w:szCs w:val="24"/>
        </w:rPr>
        <w:t>6</w:t>
      </w:r>
      <w:r w:rsidR="00A363B9">
        <w:rPr>
          <w:rFonts w:ascii="Arial" w:hAnsi="Arial" w:cs="Arial"/>
          <w:bCs/>
          <w:szCs w:val="24"/>
        </w:rPr>
        <w:t>-00</w:t>
      </w:r>
      <w:r w:rsidR="003F4E7E">
        <w:rPr>
          <w:rFonts w:ascii="Arial" w:hAnsi="Arial" w:cs="Arial"/>
          <w:bCs/>
          <w:szCs w:val="24"/>
        </w:rPr>
        <w:t>1</w:t>
      </w:r>
      <w:r w:rsidR="00966D44">
        <w:rPr>
          <w:rFonts w:ascii="Arial" w:hAnsi="Arial" w:cs="Arial"/>
          <w:bCs/>
          <w:szCs w:val="24"/>
        </w:rPr>
        <w:t>01</w:t>
      </w:r>
      <w:r w:rsidR="00A363B9">
        <w:rPr>
          <w:rFonts w:ascii="Arial" w:hAnsi="Arial" w:cs="Arial"/>
          <w:bCs/>
          <w:szCs w:val="24"/>
        </w:rPr>
        <w:t>-01.</w:t>
      </w:r>
    </w:p>
    <w:p w:rsidR="00226D5F" w:rsidRPr="00AC486E" w:rsidRDefault="00226D5F" w:rsidP="00F017BF">
      <w:pPr>
        <w:spacing w:line="276" w:lineRule="auto"/>
        <w:ind w:firstLine="851"/>
        <w:jc w:val="both"/>
        <w:rPr>
          <w:rFonts w:ascii="Arial" w:hAnsi="Arial" w:cs="Arial"/>
          <w:bCs/>
          <w:iCs/>
          <w:szCs w:val="24"/>
        </w:rPr>
      </w:pPr>
    </w:p>
    <w:p w:rsidR="003371E3" w:rsidRPr="00502691" w:rsidRDefault="003371E3" w:rsidP="003371E3">
      <w:pPr>
        <w:spacing w:line="276" w:lineRule="auto"/>
        <w:contextualSpacing/>
        <w:rPr>
          <w:rFonts w:ascii="Arial" w:hAnsi="Arial" w:cs="Arial"/>
          <w:b/>
          <w:szCs w:val="24"/>
        </w:rPr>
      </w:pPr>
      <w:r w:rsidRPr="00502691">
        <w:rPr>
          <w:rFonts w:ascii="Arial" w:hAnsi="Arial" w:cs="Arial"/>
          <w:b/>
          <w:szCs w:val="24"/>
        </w:rPr>
        <w:t>Registro de asistencia:</w:t>
      </w:r>
    </w:p>
    <w:p w:rsidR="003371E3" w:rsidRDefault="003371E3" w:rsidP="003371E3">
      <w:pPr>
        <w:spacing w:line="276" w:lineRule="auto"/>
        <w:ind w:firstLine="851"/>
        <w:contextualSpacing/>
        <w:rPr>
          <w:rFonts w:ascii="Arial" w:hAnsi="Arial" w:cs="Arial"/>
          <w:szCs w:val="24"/>
        </w:rPr>
      </w:pPr>
    </w:p>
    <w:p w:rsidR="003371E3" w:rsidRDefault="003371E3" w:rsidP="003371E3">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371E3" w:rsidRDefault="003371E3" w:rsidP="003371E3">
      <w:pPr>
        <w:spacing w:line="276" w:lineRule="auto"/>
        <w:contextualSpacing/>
        <w:rPr>
          <w:rFonts w:ascii="Arial" w:hAnsi="Arial" w:cs="Arial"/>
          <w:szCs w:val="24"/>
        </w:rPr>
      </w:pPr>
      <w:r>
        <w:rPr>
          <w:rFonts w:ascii="Arial" w:hAnsi="Arial" w:cs="Arial"/>
          <w:szCs w:val="24"/>
        </w:rPr>
        <w:t>Administradora Colombiana de Pensiones y su apoderado:</w:t>
      </w:r>
    </w:p>
    <w:p w:rsidR="003371E3" w:rsidRDefault="003371E3" w:rsidP="003371E3">
      <w:pPr>
        <w:spacing w:line="276" w:lineRule="auto"/>
        <w:ind w:firstLine="851"/>
        <w:contextualSpacing/>
        <w:rPr>
          <w:rFonts w:ascii="Arial" w:hAnsi="Arial" w:cs="Arial"/>
          <w:szCs w:val="24"/>
        </w:rPr>
      </w:pPr>
    </w:p>
    <w:p w:rsidR="003371E3" w:rsidRDefault="003371E3" w:rsidP="003371E3">
      <w:pPr>
        <w:spacing w:line="276" w:lineRule="auto"/>
        <w:contextualSpacing/>
        <w:jc w:val="both"/>
        <w:rPr>
          <w:rFonts w:ascii="Arial" w:hAnsi="Arial" w:cs="Arial"/>
          <w:b/>
          <w:szCs w:val="24"/>
        </w:rPr>
      </w:pPr>
      <w:r>
        <w:rPr>
          <w:rFonts w:ascii="Arial" w:hAnsi="Arial" w:cs="Arial"/>
          <w:b/>
          <w:szCs w:val="24"/>
        </w:rPr>
        <w:t xml:space="preserve">Traslado a las partes </w:t>
      </w:r>
    </w:p>
    <w:p w:rsidR="003B320D" w:rsidRDefault="003B320D" w:rsidP="003371E3">
      <w:pPr>
        <w:spacing w:line="276" w:lineRule="auto"/>
        <w:contextualSpacing/>
        <w:jc w:val="both"/>
        <w:rPr>
          <w:rFonts w:ascii="Arial" w:hAnsi="Arial" w:cs="Arial"/>
          <w:b/>
          <w:szCs w:val="24"/>
        </w:rPr>
      </w:pPr>
    </w:p>
    <w:p w:rsidR="003371E3" w:rsidRDefault="003371E3" w:rsidP="003371E3">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3371E3" w:rsidRDefault="003371E3" w:rsidP="003371E3">
      <w:pPr>
        <w:spacing w:line="276" w:lineRule="auto"/>
        <w:contextualSpacing/>
        <w:jc w:val="both"/>
        <w:rPr>
          <w:rFonts w:ascii="Arial" w:hAnsi="Arial" w:cs="Arial"/>
          <w:szCs w:val="24"/>
        </w:rPr>
      </w:pPr>
    </w:p>
    <w:p w:rsidR="00530FFD" w:rsidRDefault="00530FFD" w:rsidP="003371E3">
      <w:pPr>
        <w:spacing w:line="276" w:lineRule="auto"/>
        <w:ind w:firstLine="851"/>
        <w:contextualSpacing/>
        <w:jc w:val="center"/>
        <w:rPr>
          <w:rFonts w:ascii="Arial" w:hAnsi="Arial" w:cs="Arial"/>
          <w:b/>
          <w:szCs w:val="24"/>
        </w:rPr>
      </w:pPr>
    </w:p>
    <w:p w:rsidR="003371E3" w:rsidRPr="00637118" w:rsidRDefault="003371E3" w:rsidP="003371E3">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3371E3" w:rsidRPr="00AC486E" w:rsidRDefault="003371E3" w:rsidP="003371E3">
      <w:pPr>
        <w:pStyle w:val="Sinespaciado"/>
        <w:spacing w:line="276" w:lineRule="auto"/>
        <w:contextualSpacing/>
        <w:rPr>
          <w:rFonts w:ascii="Arial" w:hAnsi="Arial" w:cs="Arial"/>
          <w:sz w:val="24"/>
          <w:szCs w:val="24"/>
        </w:rPr>
      </w:pPr>
    </w:p>
    <w:p w:rsidR="003371E3" w:rsidRPr="00966D44" w:rsidRDefault="00966D44" w:rsidP="00966D44">
      <w:pPr>
        <w:spacing w:line="276" w:lineRule="auto"/>
        <w:jc w:val="both"/>
        <w:rPr>
          <w:rFonts w:ascii="Arial" w:hAnsi="Arial" w:cs="Arial"/>
          <w:b/>
          <w:szCs w:val="24"/>
        </w:rPr>
      </w:pPr>
      <w:r>
        <w:rPr>
          <w:rFonts w:ascii="Arial" w:hAnsi="Arial" w:cs="Arial"/>
          <w:b/>
          <w:szCs w:val="24"/>
        </w:rPr>
        <w:t xml:space="preserve">1. </w:t>
      </w:r>
      <w:r w:rsidR="003371E3" w:rsidRPr="00966D44">
        <w:rPr>
          <w:rFonts w:ascii="Arial" w:hAnsi="Arial" w:cs="Arial"/>
          <w:b/>
          <w:szCs w:val="24"/>
        </w:rPr>
        <w:t>Síntesis de la demanda y su contestación</w:t>
      </w:r>
    </w:p>
    <w:p w:rsidR="00966D44" w:rsidRDefault="00966D44" w:rsidP="003371E3">
      <w:pPr>
        <w:spacing w:line="276" w:lineRule="auto"/>
        <w:jc w:val="both"/>
        <w:rPr>
          <w:rFonts w:ascii="Arial" w:hAnsi="Arial" w:cs="Arial"/>
          <w:szCs w:val="24"/>
        </w:rPr>
      </w:pPr>
    </w:p>
    <w:p w:rsidR="008868A2" w:rsidRDefault="00966D44" w:rsidP="00B11EEA">
      <w:pPr>
        <w:spacing w:line="276" w:lineRule="auto"/>
        <w:jc w:val="both"/>
        <w:rPr>
          <w:rFonts w:ascii="Arial" w:hAnsi="Arial" w:cs="Arial"/>
          <w:szCs w:val="24"/>
        </w:rPr>
      </w:pPr>
      <w:r>
        <w:rPr>
          <w:rFonts w:ascii="Arial" w:hAnsi="Arial" w:cs="Arial"/>
          <w:szCs w:val="24"/>
        </w:rPr>
        <w:t xml:space="preserve">La </w:t>
      </w:r>
      <w:r w:rsidR="00C03688">
        <w:rPr>
          <w:rFonts w:ascii="Arial" w:hAnsi="Arial" w:cs="Arial"/>
          <w:szCs w:val="24"/>
        </w:rPr>
        <w:t>señor</w:t>
      </w:r>
      <w:r>
        <w:rPr>
          <w:rFonts w:ascii="Arial" w:hAnsi="Arial" w:cs="Arial"/>
          <w:szCs w:val="24"/>
        </w:rPr>
        <w:t xml:space="preserve">a </w:t>
      </w:r>
      <w:proofErr w:type="spellStart"/>
      <w:r>
        <w:rPr>
          <w:rFonts w:ascii="Arial" w:hAnsi="Arial" w:cs="Arial"/>
          <w:szCs w:val="24"/>
        </w:rPr>
        <w:t>Adiela</w:t>
      </w:r>
      <w:proofErr w:type="spellEnd"/>
      <w:r>
        <w:rPr>
          <w:rFonts w:ascii="Arial" w:hAnsi="Arial" w:cs="Arial"/>
          <w:szCs w:val="24"/>
        </w:rPr>
        <w:t xml:space="preserve"> Salazar Villegas </w:t>
      </w:r>
      <w:r w:rsidR="00325F73">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w:t>
      </w:r>
      <w:r w:rsidR="000C581D">
        <w:rPr>
          <w:rFonts w:ascii="Arial" w:hAnsi="Arial" w:cs="Arial"/>
          <w:szCs w:val="24"/>
        </w:rPr>
        <w:t xml:space="preserve"> </w:t>
      </w:r>
      <w:r w:rsidR="00C03688">
        <w:rPr>
          <w:rFonts w:ascii="Arial" w:hAnsi="Arial" w:cs="Arial"/>
          <w:szCs w:val="24"/>
        </w:rPr>
        <w:t xml:space="preserve">ordene a </w:t>
      </w:r>
      <w:proofErr w:type="spellStart"/>
      <w:r w:rsidR="00C03688">
        <w:rPr>
          <w:rFonts w:ascii="Arial" w:hAnsi="Arial" w:cs="Arial"/>
          <w:szCs w:val="24"/>
        </w:rPr>
        <w:t>Colpensiones</w:t>
      </w:r>
      <w:proofErr w:type="spellEnd"/>
      <w:r w:rsidR="00C03688">
        <w:rPr>
          <w:rFonts w:ascii="Arial" w:hAnsi="Arial" w:cs="Arial"/>
          <w:szCs w:val="24"/>
        </w:rPr>
        <w:t xml:space="preserve"> </w:t>
      </w:r>
      <w:r w:rsidR="00B11EEA">
        <w:rPr>
          <w:rFonts w:ascii="Arial" w:hAnsi="Arial" w:cs="Arial"/>
          <w:szCs w:val="24"/>
        </w:rPr>
        <w:t>“</w:t>
      </w:r>
      <w:proofErr w:type="spellStart"/>
      <w:r w:rsidR="00B11EEA">
        <w:rPr>
          <w:rFonts w:ascii="Arial" w:hAnsi="Arial" w:cs="Arial"/>
          <w:szCs w:val="24"/>
        </w:rPr>
        <w:t>reliquidar</w:t>
      </w:r>
      <w:proofErr w:type="spellEnd"/>
      <w:r w:rsidR="00B11EEA">
        <w:rPr>
          <w:rFonts w:ascii="Arial" w:hAnsi="Arial" w:cs="Arial"/>
          <w:szCs w:val="24"/>
        </w:rPr>
        <w:t xml:space="preserve"> con el promedio de las últimas 100 semanas con el IBL indexado la pensión de vejez desde el 14-01-1988</w:t>
      </w:r>
      <w:r w:rsidR="00EF6C04">
        <w:rPr>
          <w:rFonts w:ascii="Arial" w:hAnsi="Arial" w:cs="Arial"/>
          <w:szCs w:val="24"/>
        </w:rPr>
        <w:t>”</w:t>
      </w:r>
      <w:r w:rsidR="00B11EEA">
        <w:rPr>
          <w:rFonts w:ascii="Arial" w:hAnsi="Arial" w:cs="Arial"/>
          <w:szCs w:val="24"/>
        </w:rPr>
        <w:t>.</w:t>
      </w:r>
    </w:p>
    <w:p w:rsidR="00A957FB" w:rsidRPr="00AC486E" w:rsidRDefault="00B11EEA" w:rsidP="00B11EEA">
      <w:pPr>
        <w:spacing w:line="276" w:lineRule="auto"/>
        <w:jc w:val="both"/>
        <w:rPr>
          <w:rFonts w:ascii="Arial" w:hAnsi="Arial" w:cs="Arial"/>
          <w:szCs w:val="24"/>
        </w:rPr>
      </w:pPr>
      <w:r>
        <w:rPr>
          <w:rFonts w:ascii="Arial" w:hAnsi="Arial" w:cs="Arial"/>
          <w:szCs w:val="24"/>
        </w:rPr>
        <w:t xml:space="preserve"> </w:t>
      </w:r>
    </w:p>
    <w:p w:rsidR="004D5A63" w:rsidRDefault="004D5A63" w:rsidP="005319C5">
      <w:pPr>
        <w:spacing w:line="276" w:lineRule="auto"/>
        <w:jc w:val="both"/>
        <w:rPr>
          <w:rFonts w:ascii="Arial" w:hAnsi="Arial" w:cs="Arial"/>
          <w:szCs w:val="24"/>
        </w:rPr>
      </w:pPr>
    </w:p>
    <w:p w:rsidR="004D5A63" w:rsidRDefault="004D5A63" w:rsidP="005319C5">
      <w:pPr>
        <w:spacing w:line="276" w:lineRule="auto"/>
        <w:jc w:val="both"/>
        <w:rPr>
          <w:rFonts w:ascii="Arial" w:hAnsi="Arial" w:cs="Arial"/>
          <w:szCs w:val="24"/>
        </w:rPr>
      </w:pPr>
    </w:p>
    <w:p w:rsidR="005319C5" w:rsidRDefault="00A957FB" w:rsidP="005319C5">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0C581D">
        <w:rPr>
          <w:rFonts w:ascii="Arial" w:hAnsi="Arial" w:cs="Arial"/>
          <w:szCs w:val="24"/>
        </w:rPr>
        <w:t xml:space="preserve">: (i) </w:t>
      </w:r>
      <w:r w:rsidR="00D13AA3">
        <w:rPr>
          <w:rFonts w:ascii="Arial" w:hAnsi="Arial" w:cs="Arial"/>
          <w:szCs w:val="24"/>
        </w:rPr>
        <w:t>el ISS mediante Resolución N° 00</w:t>
      </w:r>
      <w:r w:rsidR="00B80B3E">
        <w:rPr>
          <w:rFonts w:ascii="Arial" w:hAnsi="Arial" w:cs="Arial"/>
          <w:szCs w:val="24"/>
        </w:rPr>
        <w:t>2232</w:t>
      </w:r>
      <w:r w:rsidR="00D13AA3">
        <w:rPr>
          <w:rFonts w:ascii="Arial" w:hAnsi="Arial" w:cs="Arial"/>
          <w:szCs w:val="24"/>
        </w:rPr>
        <w:t xml:space="preserve"> del </w:t>
      </w:r>
      <w:r w:rsidR="00B80B3E">
        <w:rPr>
          <w:rFonts w:ascii="Arial" w:hAnsi="Arial" w:cs="Arial"/>
          <w:szCs w:val="24"/>
        </w:rPr>
        <w:t>16-09-1988</w:t>
      </w:r>
      <w:r w:rsidR="00D13AA3">
        <w:rPr>
          <w:rFonts w:ascii="Arial" w:hAnsi="Arial" w:cs="Arial"/>
          <w:szCs w:val="24"/>
        </w:rPr>
        <w:t>, le concedió pensión de vejez, a partir del 1</w:t>
      </w:r>
      <w:r w:rsidR="00D90E0C">
        <w:rPr>
          <w:rFonts w:ascii="Arial" w:hAnsi="Arial" w:cs="Arial"/>
          <w:szCs w:val="24"/>
        </w:rPr>
        <w:t>4-01-1988</w:t>
      </w:r>
      <w:r w:rsidR="00D13AA3">
        <w:rPr>
          <w:rFonts w:ascii="Arial" w:hAnsi="Arial" w:cs="Arial"/>
          <w:szCs w:val="24"/>
        </w:rPr>
        <w:t>, en cuantía de $</w:t>
      </w:r>
      <w:r w:rsidR="00D90E0C">
        <w:rPr>
          <w:rFonts w:ascii="Arial" w:hAnsi="Arial" w:cs="Arial"/>
          <w:szCs w:val="24"/>
        </w:rPr>
        <w:t>25.638</w:t>
      </w:r>
      <w:r w:rsidR="00D13AA3">
        <w:rPr>
          <w:rFonts w:ascii="Arial" w:hAnsi="Arial" w:cs="Arial"/>
          <w:szCs w:val="24"/>
        </w:rPr>
        <w:t xml:space="preserve"> por contar con un IBL de $</w:t>
      </w:r>
      <w:r w:rsidR="00D90E0C">
        <w:rPr>
          <w:rFonts w:ascii="Arial" w:hAnsi="Arial" w:cs="Arial"/>
          <w:szCs w:val="24"/>
        </w:rPr>
        <w:t>17.556</w:t>
      </w:r>
      <w:r w:rsidR="00D13AA3">
        <w:rPr>
          <w:rFonts w:ascii="Arial" w:hAnsi="Arial" w:cs="Arial"/>
          <w:szCs w:val="24"/>
        </w:rPr>
        <w:t xml:space="preserve">, al que se le aplicó una tasa de reemplazo del </w:t>
      </w:r>
      <w:r w:rsidR="00D90E0C">
        <w:rPr>
          <w:rFonts w:ascii="Arial" w:hAnsi="Arial" w:cs="Arial"/>
          <w:szCs w:val="24"/>
        </w:rPr>
        <w:t>54</w:t>
      </w:r>
      <w:r w:rsidR="00D13AA3">
        <w:rPr>
          <w:rFonts w:ascii="Arial" w:hAnsi="Arial" w:cs="Arial"/>
          <w:szCs w:val="24"/>
        </w:rPr>
        <w:t>%</w:t>
      </w:r>
      <w:r w:rsidR="00D90E0C">
        <w:rPr>
          <w:rFonts w:ascii="Arial" w:hAnsi="Arial" w:cs="Arial"/>
          <w:szCs w:val="24"/>
        </w:rPr>
        <w:t xml:space="preserve"> por contar con 678 semanas</w:t>
      </w:r>
      <w:r w:rsidR="00D13AA3">
        <w:rPr>
          <w:rFonts w:ascii="Arial" w:hAnsi="Arial" w:cs="Arial"/>
          <w:szCs w:val="24"/>
        </w:rPr>
        <w:t>; (ii) el 2</w:t>
      </w:r>
      <w:r w:rsidR="00D90E0C">
        <w:rPr>
          <w:rFonts w:ascii="Arial" w:hAnsi="Arial" w:cs="Arial"/>
          <w:szCs w:val="24"/>
        </w:rPr>
        <w:t>1-07-2015</w:t>
      </w:r>
      <w:r w:rsidR="00D13AA3">
        <w:rPr>
          <w:rFonts w:ascii="Arial" w:hAnsi="Arial" w:cs="Arial"/>
          <w:szCs w:val="24"/>
        </w:rPr>
        <w:t xml:space="preserve"> solicitó la reliquidación de la prestación, para que fueran tenidas en cuenta las semanas efectivamente cotizadas</w:t>
      </w:r>
      <w:r w:rsidR="00D90E0C">
        <w:rPr>
          <w:rFonts w:ascii="Arial" w:hAnsi="Arial" w:cs="Arial"/>
          <w:szCs w:val="24"/>
        </w:rPr>
        <w:t xml:space="preserve"> y luego indexara la primera mesada pensional en aplicación al principio de favorabilidad</w:t>
      </w:r>
      <w:r w:rsidR="00D13AA3">
        <w:rPr>
          <w:rFonts w:ascii="Arial" w:hAnsi="Arial" w:cs="Arial"/>
          <w:szCs w:val="24"/>
        </w:rPr>
        <w:t xml:space="preserve">; (iii) petición que le fue negada a través de Resolución N° GNR </w:t>
      </w:r>
      <w:r w:rsidR="00D90E0C">
        <w:rPr>
          <w:rFonts w:ascii="Arial" w:hAnsi="Arial" w:cs="Arial"/>
          <w:szCs w:val="24"/>
        </w:rPr>
        <w:t>373526 del 23-11-2015</w:t>
      </w:r>
      <w:r w:rsidR="00D13AA3">
        <w:rPr>
          <w:rFonts w:ascii="Arial" w:hAnsi="Arial" w:cs="Arial"/>
          <w:szCs w:val="24"/>
        </w:rPr>
        <w:t>.</w:t>
      </w:r>
    </w:p>
    <w:p w:rsidR="00AD47A2" w:rsidRDefault="00AD47A2" w:rsidP="005319C5">
      <w:pPr>
        <w:spacing w:line="276" w:lineRule="auto"/>
        <w:jc w:val="both"/>
        <w:rPr>
          <w:rFonts w:ascii="Arial" w:hAnsi="Arial" w:cs="Arial"/>
          <w:szCs w:val="24"/>
        </w:rPr>
      </w:pPr>
    </w:p>
    <w:p w:rsidR="00AD47A2" w:rsidRDefault="00AD47A2" w:rsidP="005319C5">
      <w:pPr>
        <w:spacing w:line="276" w:lineRule="auto"/>
        <w:jc w:val="both"/>
        <w:rPr>
          <w:rFonts w:ascii="Arial" w:hAnsi="Arial" w:cs="Arial"/>
          <w:szCs w:val="24"/>
        </w:rPr>
      </w:pPr>
      <w:r>
        <w:rPr>
          <w:rFonts w:ascii="Arial" w:hAnsi="Arial" w:cs="Arial"/>
          <w:szCs w:val="24"/>
        </w:rPr>
        <w:t>Cita como fundamentos de derecho los artículos 1° y 36 de la Ley 100 de 1993, artículos 12 del Acuerdo 049/90, artículos 4,</w:t>
      </w:r>
      <w:r w:rsidR="00785001">
        <w:rPr>
          <w:rFonts w:ascii="Arial" w:hAnsi="Arial" w:cs="Arial"/>
          <w:szCs w:val="24"/>
        </w:rPr>
        <w:t xml:space="preserve"> 46,</w:t>
      </w:r>
      <w:r>
        <w:rPr>
          <w:rFonts w:ascii="Arial" w:hAnsi="Arial" w:cs="Arial"/>
          <w:szCs w:val="24"/>
        </w:rPr>
        <w:t xml:space="preserve"> 48 y 53 de la Constitución Política.</w:t>
      </w:r>
    </w:p>
    <w:p w:rsidR="00D13AA3" w:rsidRDefault="00D13AA3" w:rsidP="005319C5">
      <w:pPr>
        <w:spacing w:line="276" w:lineRule="auto"/>
        <w:jc w:val="both"/>
        <w:rPr>
          <w:rFonts w:ascii="Arial" w:hAnsi="Arial" w:cs="Arial"/>
          <w:szCs w:val="24"/>
        </w:rPr>
      </w:pPr>
    </w:p>
    <w:p w:rsidR="005C3850" w:rsidRDefault="00591F75" w:rsidP="003371E3">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Colombiana de Pensiones –COLPENSIONES-,</w:t>
      </w:r>
      <w:r w:rsidR="000C581D">
        <w:rPr>
          <w:rFonts w:ascii="Arial" w:hAnsi="Arial" w:cs="Arial"/>
          <w:b/>
          <w:szCs w:val="24"/>
        </w:rPr>
        <w:t xml:space="preserve"> </w:t>
      </w:r>
      <w:r w:rsidR="00D13AA3" w:rsidRPr="00D13AA3">
        <w:rPr>
          <w:rFonts w:ascii="Arial" w:hAnsi="Arial" w:cs="Arial"/>
          <w:szCs w:val="24"/>
        </w:rPr>
        <w:t>se opuso</w:t>
      </w:r>
      <w:r w:rsidR="00D13AA3">
        <w:rPr>
          <w:rFonts w:ascii="Arial" w:hAnsi="Arial" w:cs="Arial"/>
          <w:szCs w:val="24"/>
        </w:rPr>
        <w:t xml:space="preserve"> a las pretensiones de la demanda </w:t>
      </w:r>
      <w:r w:rsidR="006261F7">
        <w:rPr>
          <w:rFonts w:ascii="Arial" w:hAnsi="Arial" w:cs="Arial"/>
          <w:szCs w:val="24"/>
        </w:rPr>
        <w:t xml:space="preserve"> e indicó que</w:t>
      </w:r>
      <w:r w:rsidR="00785001">
        <w:rPr>
          <w:rFonts w:ascii="Arial" w:hAnsi="Arial" w:cs="Arial"/>
          <w:szCs w:val="24"/>
        </w:rPr>
        <w:t xml:space="preserve"> el régimen de la actora es el decreto 3041 de 1966 y el área de reconocimiento de la entidad realizó nuevo estudio y el resultado no varió</w:t>
      </w:r>
      <w:r w:rsidR="006261F7">
        <w:rPr>
          <w:rFonts w:ascii="Arial" w:hAnsi="Arial" w:cs="Arial"/>
          <w:szCs w:val="24"/>
        </w:rPr>
        <w:t>. P</w:t>
      </w:r>
      <w:r w:rsidR="0024524B">
        <w:rPr>
          <w:rFonts w:ascii="Arial" w:hAnsi="Arial" w:cs="Arial"/>
          <w:szCs w:val="24"/>
        </w:rPr>
        <w:t>resentó como excepciones de mérito la</w:t>
      </w:r>
      <w:r w:rsidR="004A0EB9">
        <w:rPr>
          <w:rFonts w:ascii="Arial" w:hAnsi="Arial" w:cs="Arial"/>
          <w:szCs w:val="24"/>
        </w:rPr>
        <w:t xml:space="preserve">s que denominó </w:t>
      </w:r>
      <w:r w:rsidR="00785001">
        <w:rPr>
          <w:rFonts w:ascii="Arial" w:hAnsi="Arial" w:cs="Arial"/>
          <w:szCs w:val="24"/>
        </w:rPr>
        <w:t>deber del demandante de demostrar los supuestos de hecho, compensación,  p</w:t>
      </w:r>
      <w:r w:rsidR="00E031D6">
        <w:rPr>
          <w:rFonts w:ascii="Arial" w:hAnsi="Arial" w:cs="Arial"/>
          <w:szCs w:val="24"/>
        </w:rPr>
        <w:t>rescripción</w:t>
      </w:r>
      <w:r w:rsidR="00785001">
        <w:rPr>
          <w:rFonts w:ascii="Arial" w:hAnsi="Arial" w:cs="Arial"/>
          <w:szCs w:val="24"/>
        </w:rPr>
        <w:t>, improcedencia de los intereses de mora y la innominada</w:t>
      </w:r>
      <w:r w:rsidR="00A100EF">
        <w:rPr>
          <w:rFonts w:ascii="Arial" w:hAnsi="Arial" w:cs="Arial"/>
          <w:szCs w:val="24"/>
        </w:rPr>
        <w:t>.</w:t>
      </w:r>
    </w:p>
    <w:p w:rsidR="00474E2F" w:rsidRDefault="00474E2F" w:rsidP="003371E3">
      <w:pPr>
        <w:spacing w:line="276" w:lineRule="auto"/>
        <w:jc w:val="both"/>
        <w:rPr>
          <w:rFonts w:ascii="Arial" w:hAnsi="Arial" w:cs="Arial"/>
          <w:szCs w:val="24"/>
        </w:rPr>
      </w:pPr>
    </w:p>
    <w:p w:rsidR="003371E3" w:rsidRPr="000B271A" w:rsidRDefault="003371E3" w:rsidP="003371E3">
      <w:pPr>
        <w:spacing w:line="276" w:lineRule="auto"/>
        <w:rPr>
          <w:rFonts w:ascii="Arial" w:hAnsi="Arial" w:cs="Arial"/>
          <w:b/>
          <w:szCs w:val="24"/>
        </w:rPr>
      </w:pPr>
      <w:r>
        <w:rPr>
          <w:rFonts w:ascii="Arial" w:hAnsi="Arial" w:cs="Arial"/>
          <w:b/>
          <w:szCs w:val="24"/>
        </w:rPr>
        <w:t xml:space="preserve">2. </w:t>
      </w:r>
      <w:r w:rsidR="00241347">
        <w:rPr>
          <w:rFonts w:ascii="Arial" w:hAnsi="Arial" w:cs="Arial"/>
          <w:b/>
          <w:szCs w:val="24"/>
        </w:rPr>
        <w:t>Síntesis de la sentencia</w:t>
      </w:r>
      <w:r w:rsidR="00C16716">
        <w:rPr>
          <w:rFonts w:ascii="Arial" w:hAnsi="Arial" w:cs="Arial"/>
          <w:b/>
          <w:szCs w:val="24"/>
        </w:rPr>
        <w:t xml:space="preserve"> consultada</w:t>
      </w:r>
    </w:p>
    <w:p w:rsidR="00226D5F" w:rsidRPr="00AC486E" w:rsidRDefault="00226D5F" w:rsidP="00F017BF">
      <w:pPr>
        <w:pStyle w:val="Sinespaciado"/>
        <w:spacing w:line="276" w:lineRule="auto"/>
        <w:rPr>
          <w:rFonts w:ascii="Arial" w:hAnsi="Arial" w:cs="Arial"/>
          <w:sz w:val="24"/>
          <w:szCs w:val="24"/>
        </w:rPr>
      </w:pPr>
    </w:p>
    <w:p w:rsidR="001C7271" w:rsidRDefault="00226D5F" w:rsidP="00EF6D99">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EF6D99">
        <w:rPr>
          <w:rFonts w:ascii="Arial" w:hAnsi="Arial" w:cs="Arial"/>
          <w:color w:val="000000"/>
          <w:szCs w:val="24"/>
          <w:lang w:eastAsia="es-CO"/>
        </w:rPr>
        <w:t xml:space="preserve">Quinto </w:t>
      </w:r>
      <w:r w:rsidRPr="00AC486E">
        <w:rPr>
          <w:rFonts w:ascii="Arial" w:hAnsi="Arial" w:cs="Arial"/>
          <w:color w:val="000000"/>
          <w:szCs w:val="24"/>
          <w:lang w:eastAsia="es-CO"/>
        </w:rPr>
        <w:t>Laboral del Circuito de Pereira</w:t>
      </w:r>
      <w:r w:rsidR="002C313D">
        <w:rPr>
          <w:rFonts w:ascii="Arial" w:hAnsi="Arial" w:cs="Arial"/>
          <w:color w:val="000000"/>
          <w:szCs w:val="24"/>
          <w:lang w:eastAsia="es-CO"/>
        </w:rPr>
        <w:t xml:space="preserve">, </w:t>
      </w:r>
      <w:r w:rsidR="00EF6D99">
        <w:rPr>
          <w:rFonts w:ascii="Arial" w:hAnsi="Arial" w:cs="Arial"/>
          <w:color w:val="000000"/>
          <w:szCs w:val="24"/>
          <w:lang w:eastAsia="es-CO"/>
        </w:rPr>
        <w:t>declaró probada la excepción de inexistencia de la obligación, negó las pretensiones de la demanda y condenó en costas a la parte actora.</w:t>
      </w:r>
    </w:p>
    <w:p w:rsidR="00EF6D99" w:rsidRDefault="00EF6D99" w:rsidP="00EF6D99">
      <w:pPr>
        <w:spacing w:line="276" w:lineRule="auto"/>
        <w:jc w:val="both"/>
        <w:rPr>
          <w:rFonts w:ascii="Arial" w:hAnsi="Arial" w:cs="Arial"/>
          <w:color w:val="000000"/>
          <w:szCs w:val="24"/>
          <w:lang w:eastAsia="es-CO"/>
        </w:rPr>
      </w:pPr>
    </w:p>
    <w:p w:rsidR="00EF6D99" w:rsidRDefault="00EF6D99" w:rsidP="00EF6D99">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la anterior decisión expresó que </w:t>
      </w:r>
      <w:r w:rsidR="00123D49">
        <w:rPr>
          <w:rFonts w:ascii="Arial" w:hAnsi="Arial" w:cs="Arial"/>
          <w:color w:val="000000"/>
          <w:szCs w:val="24"/>
          <w:lang w:eastAsia="es-CO"/>
        </w:rPr>
        <w:t xml:space="preserve">de acuerdo con la Resolución N° </w:t>
      </w:r>
      <w:r w:rsidR="004D5F52">
        <w:rPr>
          <w:rFonts w:ascii="Arial" w:hAnsi="Arial" w:cs="Arial"/>
          <w:color w:val="000000"/>
          <w:szCs w:val="24"/>
          <w:lang w:eastAsia="es-CO"/>
        </w:rPr>
        <w:t xml:space="preserve">002232 </w:t>
      </w:r>
      <w:r w:rsidR="00123D49">
        <w:rPr>
          <w:rFonts w:ascii="Arial" w:hAnsi="Arial" w:cs="Arial"/>
          <w:color w:val="000000"/>
          <w:szCs w:val="24"/>
          <w:lang w:eastAsia="es-CO"/>
        </w:rPr>
        <w:t>de 19</w:t>
      </w:r>
      <w:r w:rsidR="004D5F52">
        <w:rPr>
          <w:rFonts w:ascii="Arial" w:hAnsi="Arial" w:cs="Arial"/>
          <w:color w:val="000000"/>
          <w:szCs w:val="24"/>
          <w:lang w:eastAsia="es-CO"/>
        </w:rPr>
        <w:t>88</w:t>
      </w:r>
      <w:r w:rsidR="00123D49">
        <w:rPr>
          <w:rFonts w:ascii="Arial" w:hAnsi="Arial" w:cs="Arial"/>
          <w:color w:val="000000"/>
          <w:szCs w:val="24"/>
          <w:lang w:eastAsia="es-CO"/>
        </w:rPr>
        <w:t>, se había acreditado que la pensión de vejez le fue reconocida a</w:t>
      </w:r>
      <w:r w:rsidR="004D5F52">
        <w:rPr>
          <w:rFonts w:ascii="Arial" w:hAnsi="Arial" w:cs="Arial"/>
          <w:color w:val="000000"/>
          <w:szCs w:val="24"/>
          <w:lang w:eastAsia="es-CO"/>
        </w:rPr>
        <w:t xml:space="preserve"> </w:t>
      </w:r>
      <w:r w:rsidR="00123D49">
        <w:rPr>
          <w:rFonts w:ascii="Arial" w:hAnsi="Arial" w:cs="Arial"/>
          <w:color w:val="000000"/>
          <w:szCs w:val="24"/>
          <w:lang w:eastAsia="es-CO"/>
        </w:rPr>
        <w:t>l</w:t>
      </w:r>
      <w:r w:rsidR="004D5F52">
        <w:rPr>
          <w:rFonts w:ascii="Arial" w:hAnsi="Arial" w:cs="Arial"/>
          <w:color w:val="000000"/>
          <w:szCs w:val="24"/>
          <w:lang w:eastAsia="es-CO"/>
        </w:rPr>
        <w:t>a</w:t>
      </w:r>
      <w:r w:rsidR="00123D49">
        <w:rPr>
          <w:rFonts w:ascii="Arial" w:hAnsi="Arial" w:cs="Arial"/>
          <w:color w:val="000000"/>
          <w:szCs w:val="24"/>
          <w:lang w:eastAsia="es-CO"/>
        </w:rPr>
        <w:t xml:space="preserve"> actor</w:t>
      </w:r>
      <w:r w:rsidR="004D5F52">
        <w:rPr>
          <w:rFonts w:ascii="Arial" w:hAnsi="Arial" w:cs="Arial"/>
          <w:color w:val="000000"/>
          <w:szCs w:val="24"/>
          <w:lang w:eastAsia="es-CO"/>
        </w:rPr>
        <w:t xml:space="preserve">a </w:t>
      </w:r>
      <w:r w:rsidR="00123D49">
        <w:rPr>
          <w:rFonts w:ascii="Arial" w:hAnsi="Arial" w:cs="Arial"/>
          <w:color w:val="000000"/>
          <w:szCs w:val="24"/>
          <w:lang w:eastAsia="es-CO"/>
        </w:rPr>
        <w:t xml:space="preserve">por cumplir los requisitos del artículo </w:t>
      </w:r>
      <w:r w:rsidR="004D5F52">
        <w:rPr>
          <w:rFonts w:ascii="Arial" w:hAnsi="Arial" w:cs="Arial"/>
          <w:color w:val="000000"/>
          <w:szCs w:val="24"/>
          <w:lang w:eastAsia="es-CO"/>
        </w:rPr>
        <w:t>11</w:t>
      </w:r>
      <w:r w:rsidR="00123D49">
        <w:rPr>
          <w:rFonts w:ascii="Arial" w:hAnsi="Arial" w:cs="Arial"/>
          <w:color w:val="000000"/>
          <w:szCs w:val="24"/>
          <w:lang w:eastAsia="es-CO"/>
        </w:rPr>
        <w:t xml:space="preserve"> del Decreto </w:t>
      </w:r>
      <w:r w:rsidR="004D5F52">
        <w:rPr>
          <w:rFonts w:ascii="Arial" w:hAnsi="Arial" w:cs="Arial"/>
          <w:color w:val="000000"/>
          <w:szCs w:val="24"/>
          <w:lang w:eastAsia="es-CO"/>
        </w:rPr>
        <w:t xml:space="preserve">3041 de 1966 </w:t>
      </w:r>
      <w:r w:rsidR="00123D49" w:rsidRPr="00123D49">
        <w:rPr>
          <w:rFonts w:ascii="Arial" w:hAnsi="Arial" w:cs="Arial"/>
          <w:i/>
          <w:color w:val="000000"/>
          <w:szCs w:val="24"/>
          <w:lang w:eastAsia="es-CO"/>
        </w:rPr>
        <w:t>–vigente a la fecha de solicitud de reconocimiento pensional-</w:t>
      </w:r>
      <w:r w:rsidR="003F62D0">
        <w:rPr>
          <w:rFonts w:ascii="Arial" w:hAnsi="Arial" w:cs="Arial"/>
          <w:color w:val="000000"/>
          <w:szCs w:val="24"/>
          <w:lang w:eastAsia="es-CO"/>
        </w:rPr>
        <w:t>, por lo tanto, no hay lugar a aplicar a su caso concreto el artículo 36 de la Ley 100/93 que consagra el régimen de transición y per</w:t>
      </w:r>
      <w:r w:rsidR="008E039A">
        <w:rPr>
          <w:rFonts w:ascii="Arial" w:hAnsi="Arial" w:cs="Arial"/>
          <w:color w:val="000000"/>
          <w:szCs w:val="24"/>
          <w:lang w:eastAsia="es-CO"/>
        </w:rPr>
        <w:t>mite acudir a la norma anterior, porque se reitera, ya había adquirido</w:t>
      </w:r>
      <w:r w:rsidR="00FC04DF">
        <w:rPr>
          <w:rFonts w:ascii="Arial" w:hAnsi="Arial" w:cs="Arial"/>
          <w:color w:val="000000"/>
          <w:szCs w:val="24"/>
          <w:lang w:eastAsia="es-CO"/>
        </w:rPr>
        <w:t xml:space="preserve"> o consolidado</w:t>
      </w:r>
      <w:r w:rsidR="008E039A">
        <w:rPr>
          <w:rFonts w:ascii="Arial" w:hAnsi="Arial" w:cs="Arial"/>
          <w:color w:val="000000"/>
          <w:szCs w:val="24"/>
          <w:lang w:eastAsia="es-CO"/>
        </w:rPr>
        <w:t xml:space="preserve"> su derecho pensional.</w:t>
      </w:r>
      <w:r w:rsidR="00DE0016">
        <w:rPr>
          <w:rFonts w:ascii="Arial" w:hAnsi="Arial" w:cs="Arial"/>
          <w:color w:val="000000"/>
          <w:szCs w:val="24"/>
          <w:lang w:eastAsia="es-CO"/>
        </w:rPr>
        <w:t xml:space="preserve"> Así como tampoco le es aplicable el inciso 3° de este canon.</w:t>
      </w:r>
    </w:p>
    <w:p w:rsidR="00DE0016" w:rsidRDefault="00DE0016" w:rsidP="00EF6D99">
      <w:pPr>
        <w:spacing w:line="276" w:lineRule="auto"/>
        <w:jc w:val="both"/>
        <w:rPr>
          <w:rFonts w:ascii="Arial" w:hAnsi="Arial" w:cs="Arial"/>
          <w:color w:val="000000"/>
          <w:szCs w:val="24"/>
          <w:lang w:eastAsia="es-CO"/>
        </w:rPr>
      </w:pPr>
    </w:p>
    <w:p w:rsidR="003371E3" w:rsidRDefault="00D16703" w:rsidP="004B1C89">
      <w:pPr>
        <w:spacing w:line="276" w:lineRule="auto"/>
        <w:jc w:val="both"/>
        <w:rPr>
          <w:rFonts w:ascii="Arial" w:hAnsi="Arial" w:cs="Arial"/>
          <w:b/>
          <w:szCs w:val="24"/>
        </w:rPr>
      </w:pPr>
      <w:r>
        <w:rPr>
          <w:rFonts w:ascii="Arial" w:hAnsi="Arial" w:cs="Arial"/>
          <w:b/>
          <w:szCs w:val="24"/>
        </w:rPr>
        <w:t xml:space="preserve">3. </w:t>
      </w:r>
      <w:r w:rsidR="00DF3B2A">
        <w:rPr>
          <w:rFonts w:ascii="Arial" w:hAnsi="Arial" w:cs="Arial"/>
          <w:b/>
          <w:szCs w:val="24"/>
        </w:rPr>
        <w:t xml:space="preserve">Grado jurisdiccional de consulta </w:t>
      </w:r>
    </w:p>
    <w:p w:rsidR="003371E3" w:rsidRDefault="003371E3" w:rsidP="00A227F4">
      <w:pPr>
        <w:shd w:val="clear" w:color="auto" w:fill="FFFFFF"/>
        <w:spacing w:line="276" w:lineRule="auto"/>
        <w:jc w:val="both"/>
        <w:rPr>
          <w:rFonts w:ascii="Arial" w:hAnsi="Arial" w:cs="Arial"/>
          <w:szCs w:val="24"/>
        </w:rPr>
      </w:pPr>
    </w:p>
    <w:p w:rsidR="00C83F1F" w:rsidRDefault="00FC4D00" w:rsidP="00A227F4">
      <w:pPr>
        <w:shd w:val="clear" w:color="auto" w:fill="FFFFFF"/>
        <w:spacing w:line="276" w:lineRule="auto"/>
        <w:jc w:val="both"/>
        <w:rPr>
          <w:rFonts w:ascii="Arial" w:hAnsi="Arial" w:cs="Arial"/>
          <w:szCs w:val="24"/>
        </w:rPr>
      </w:pPr>
      <w:r>
        <w:rPr>
          <w:rFonts w:ascii="Arial" w:hAnsi="Arial" w:cs="Arial"/>
          <w:szCs w:val="24"/>
        </w:rPr>
        <w:t xml:space="preserve">Se </w:t>
      </w:r>
      <w:r w:rsidR="00F0668C">
        <w:rPr>
          <w:rFonts w:ascii="Arial" w:hAnsi="Arial" w:cs="Arial"/>
          <w:szCs w:val="24"/>
        </w:rPr>
        <w:t>ordenó dar trámite al grado jurisdiccional de consulta</w:t>
      </w:r>
      <w:r w:rsidR="00D16703">
        <w:rPr>
          <w:rFonts w:ascii="Arial" w:hAnsi="Arial" w:cs="Arial"/>
          <w:szCs w:val="24"/>
        </w:rPr>
        <w:t>, por haber resultado la</w:t>
      </w:r>
      <w:r>
        <w:rPr>
          <w:rFonts w:ascii="Arial" w:hAnsi="Arial" w:cs="Arial"/>
          <w:szCs w:val="24"/>
        </w:rPr>
        <w:t xml:space="preserve"> decisión</w:t>
      </w:r>
      <w:r w:rsidR="00D16703">
        <w:rPr>
          <w:rFonts w:ascii="Arial" w:hAnsi="Arial" w:cs="Arial"/>
          <w:szCs w:val="24"/>
        </w:rPr>
        <w:t xml:space="preserve"> adversa a los intereses de la </w:t>
      </w:r>
      <w:r w:rsidR="00F0668C">
        <w:rPr>
          <w:rFonts w:ascii="Arial" w:hAnsi="Arial" w:cs="Arial"/>
          <w:szCs w:val="24"/>
        </w:rPr>
        <w:t>parte actora</w:t>
      </w:r>
      <w:r w:rsidR="00D16703">
        <w:rPr>
          <w:rFonts w:ascii="Arial" w:hAnsi="Arial" w:cs="Arial"/>
          <w:szCs w:val="24"/>
        </w:rPr>
        <w:t>, conforme lo establece el artículo 69 del C.P.L.</w:t>
      </w:r>
    </w:p>
    <w:p w:rsidR="00006874" w:rsidRDefault="00006874" w:rsidP="00C133B7">
      <w:pPr>
        <w:shd w:val="clear" w:color="auto" w:fill="FFFFFF"/>
        <w:spacing w:line="276" w:lineRule="auto"/>
        <w:jc w:val="center"/>
        <w:rPr>
          <w:rFonts w:ascii="Arial" w:hAnsi="Arial" w:cs="Arial"/>
          <w:b/>
          <w:szCs w:val="24"/>
        </w:rPr>
      </w:pPr>
    </w:p>
    <w:p w:rsidR="003371E3" w:rsidRPr="002A554E" w:rsidRDefault="003371E3" w:rsidP="00C133B7">
      <w:pPr>
        <w:shd w:val="clear" w:color="auto" w:fill="FFFFFF"/>
        <w:spacing w:line="276" w:lineRule="auto"/>
        <w:jc w:val="center"/>
        <w:rPr>
          <w:rFonts w:ascii="Arial" w:hAnsi="Arial" w:cs="Arial"/>
          <w:b/>
          <w:szCs w:val="24"/>
        </w:rPr>
      </w:pPr>
      <w:r w:rsidRPr="002A554E">
        <w:rPr>
          <w:rFonts w:ascii="Arial" w:hAnsi="Arial" w:cs="Arial"/>
          <w:b/>
          <w:szCs w:val="24"/>
        </w:rPr>
        <w:t>CONSIDERACIONES</w:t>
      </w:r>
    </w:p>
    <w:p w:rsidR="00530FFD" w:rsidRDefault="00530FFD" w:rsidP="003371E3">
      <w:pPr>
        <w:shd w:val="clear" w:color="auto" w:fill="FFFFFF"/>
        <w:tabs>
          <w:tab w:val="left" w:pos="5197"/>
        </w:tabs>
        <w:spacing w:line="276" w:lineRule="auto"/>
        <w:contextualSpacing/>
        <w:jc w:val="both"/>
        <w:rPr>
          <w:rFonts w:ascii="Arial" w:hAnsi="Arial" w:cs="Arial"/>
          <w:szCs w:val="24"/>
        </w:rPr>
      </w:pPr>
    </w:p>
    <w:p w:rsidR="003371E3" w:rsidRDefault="003371E3" w:rsidP="003371E3">
      <w:pPr>
        <w:shd w:val="clear" w:color="auto" w:fill="FFFFFF"/>
        <w:tabs>
          <w:tab w:val="left" w:pos="5197"/>
        </w:tabs>
        <w:spacing w:line="276" w:lineRule="auto"/>
        <w:contextualSpacing/>
        <w:jc w:val="both"/>
        <w:rPr>
          <w:rFonts w:ascii="Arial" w:hAnsi="Arial" w:cs="Arial"/>
          <w:b/>
          <w:szCs w:val="24"/>
        </w:rPr>
      </w:pPr>
      <w:r>
        <w:rPr>
          <w:rFonts w:ascii="Arial" w:hAnsi="Arial" w:cs="Arial"/>
          <w:szCs w:val="24"/>
        </w:rPr>
        <w:t>1.</w:t>
      </w:r>
      <w:r w:rsidRPr="004C2E37">
        <w:rPr>
          <w:rFonts w:ascii="Arial" w:hAnsi="Arial" w:cs="Arial"/>
          <w:szCs w:val="24"/>
        </w:rPr>
        <w:t xml:space="preserve"> </w:t>
      </w:r>
      <w:r>
        <w:rPr>
          <w:rFonts w:ascii="Arial" w:hAnsi="Arial" w:cs="Arial"/>
          <w:b/>
          <w:szCs w:val="24"/>
        </w:rPr>
        <w:t>Del problema jurídico</w:t>
      </w:r>
    </w:p>
    <w:p w:rsidR="00EC241E" w:rsidRPr="004C2E37" w:rsidRDefault="00EC241E" w:rsidP="003371E3">
      <w:pPr>
        <w:shd w:val="clear" w:color="auto" w:fill="FFFFFF"/>
        <w:tabs>
          <w:tab w:val="left" w:pos="5197"/>
        </w:tabs>
        <w:spacing w:line="276" w:lineRule="auto"/>
        <w:contextualSpacing/>
        <w:jc w:val="both"/>
        <w:rPr>
          <w:rFonts w:ascii="Arial" w:hAnsi="Arial" w:cs="Arial"/>
          <w:szCs w:val="24"/>
        </w:rPr>
      </w:pPr>
    </w:p>
    <w:p w:rsidR="003371E3" w:rsidRDefault="00A124A0" w:rsidP="003371E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Hecho </w:t>
      </w:r>
      <w:r w:rsidR="003371E3" w:rsidRPr="008E0CBF">
        <w:rPr>
          <w:rFonts w:ascii="Arial" w:hAnsi="Arial" w:cs="Arial"/>
          <w:color w:val="000000"/>
          <w:szCs w:val="24"/>
          <w:lang w:eastAsia="es-CO"/>
        </w:rPr>
        <w:t xml:space="preserve">el recuento anterior, la Sala formula </w:t>
      </w:r>
      <w:r w:rsidR="00F90F88">
        <w:rPr>
          <w:rFonts w:ascii="Arial" w:hAnsi="Arial" w:cs="Arial"/>
          <w:color w:val="000000"/>
          <w:szCs w:val="24"/>
          <w:lang w:eastAsia="es-CO"/>
        </w:rPr>
        <w:t xml:space="preserve">el </w:t>
      </w:r>
      <w:r>
        <w:rPr>
          <w:rFonts w:ascii="Arial" w:hAnsi="Arial" w:cs="Arial"/>
          <w:color w:val="000000"/>
          <w:szCs w:val="24"/>
          <w:lang w:eastAsia="es-CO"/>
        </w:rPr>
        <w:t xml:space="preserve">siguiente interrogante: </w:t>
      </w:r>
    </w:p>
    <w:p w:rsidR="00943F86" w:rsidRDefault="00943F86" w:rsidP="00A227F4">
      <w:pPr>
        <w:shd w:val="clear" w:color="auto" w:fill="FFFFFF"/>
        <w:tabs>
          <w:tab w:val="left" w:pos="5197"/>
        </w:tabs>
        <w:spacing w:line="276" w:lineRule="auto"/>
        <w:ind w:firstLine="851"/>
        <w:jc w:val="both"/>
        <w:rPr>
          <w:rFonts w:ascii="Arial" w:hAnsi="Arial" w:cs="Arial"/>
          <w:color w:val="000000"/>
          <w:szCs w:val="24"/>
          <w:lang w:eastAsia="es-CO"/>
        </w:rPr>
      </w:pPr>
    </w:p>
    <w:p w:rsidR="001929DC" w:rsidRDefault="001929DC" w:rsidP="001929DC">
      <w:pPr>
        <w:tabs>
          <w:tab w:val="left" w:pos="0"/>
          <w:tab w:val="left" w:pos="8647"/>
        </w:tabs>
        <w:suppressAutoHyphens/>
        <w:spacing w:line="276" w:lineRule="auto"/>
        <w:jc w:val="both"/>
        <w:rPr>
          <w:rFonts w:ascii="Arial" w:hAnsi="Arial" w:cs="Arial"/>
          <w:szCs w:val="24"/>
          <w:lang w:eastAsia="es-CO"/>
        </w:rPr>
      </w:pPr>
      <w:r>
        <w:rPr>
          <w:rFonts w:ascii="Arial" w:hAnsi="Arial" w:cs="Arial"/>
          <w:szCs w:val="24"/>
          <w:lang w:eastAsia="es-CO"/>
        </w:rPr>
        <w:t xml:space="preserve">1.1. </w:t>
      </w:r>
      <w:r w:rsidRPr="00A95442">
        <w:rPr>
          <w:rFonts w:ascii="Arial" w:hAnsi="Arial" w:cs="Arial"/>
          <w:szCs w:val="24"/>
          <w:lang w:eastAsia="es-CO"/>
        </w:rPr>
        <w:t xml:space="preserve">¿Hay lugar a </w:t>
      </w:r>
      <w:proofErr w:type="spellStart"/>
      <w:r w:rsidR="00A17078">
        <w:rPr>
          <w:rFonts w:ascii="Arial" w:hAnsi="Arial" w:cs="Arial"/>
          <w:szCs w:val="24"/>
          <w:lang w:eastAsia="es-CO"/>
        </w:rPr>
        <w:t>reliquidar</w:t>
      </w:r>
      <w:proofErr w:type="spellEnd"/>
      <w:r w:rsidR="00A17078">
        <w:rPr>
          <w:rFonts w:ascii="Arial" w:hAnsi="Arial" w:cs="Arial"/>
          <w:szCs w:val="24"/>
          <w:lang w:eastAsia="es-CO"/>
        </w:rPr>
        <w:t xml:space="preserve"> la pensión de vejez con el promedio de </w:t>
      </w:r>
      <w:r w:rsidR="00C133B7">
        <w:rPr>
          <w:rFonts w:ascii="Arial" w:hAnsi="Arial" w:cs="Arial"/>
          <w:szCs w:val="24"/>
          <w:lang w:eastAsia="es-CO"/>
        </w:rPr>
        <w:t>los salarios devengados durante las últimas 100 semanas</w:t>
      </w:r>
      <w:r w:rsidR="00A17078">
        <w:rPr>
          <w:rFonts w:ascii="Arial" w:hAnsi="Arial" w:cs="Arial"/>
          <w:szCs w:val="24"/>
          <w:lang w:eastAsia="es-CO"/>
        </w:rPr>
        <w:t xml:space="preserve"> con IBL index</w:t>
      </w:r>
      <w:r w:rsidR="004D5A63">
        <w:rPr>
          <w:rFonts w:ascii="Arial" w:hAnsi="Arial" w:cs="Arial"/>
          <w:szCs w:val="24"/>
          <w:lang w:eastAsia="es-CO"/>
        </w:rPr>
        <w:t>ado</w:t>
      </w:r>
      <w:r w:rsidRPr="00AA20F0">
        <w:rPr>
          <w:rFonts w:ascii="Arial" w:hAnsi="Arial" w:cs="Arial"/>
          <w:szCs w:val="24"/>
          <w:lang w:eastAsia="es-CO"/>
        </w:rPr>
        <w:t>?</w:t>
      </w:r>
    </w:p>
    <w:p w:rsidR="004D5A63" w:rsidRDefault="004D5A63" w:rsidP="004D5A63">
      <w:pPr>
        <w:pStyle w:val="Prrafodelista"/>
        <w:autoSpaceDE w:val="0"/>
        <w:autoSpaceDN w:val="0"/>
        <w:adjustRightInd w:val="0"/>
        <w:spacing w:line="276" w:lineRule="auto"/>
        <w:ind w:left="426"/>
        <w:jc w:val="both"/>
        <w:rPr>
          <w:rFonts w:ascii="Arial" w:hAnsi="Arial" w:cs="Arial"/>
          <w:b/>
          <w:sz w:val="24"/>
          <w:szCs w:val="24"/>
        </w:rPr>
      </w:pPr>
    </w:p>
    <w:p w:rsidR="003371E3" w:rsidRDefault="00EC241E" w:rsidP="003371E3">
      <w:pPr>
        <w:pStyle w:val="Prrafodelista"/>
        <w:numPr>
          <w:ilvl w:val="0"/>
          <w:numId w:val="8"/>
        </w:numPr>
        <w:autoSpaceDE w:val="0"/>
        <w:autoSpaceDN w:val="0"/>
        <w:adjustRightInd w:val="0"/>
        <w:spacing w:line="276" w:lineRule="auto"/>
        <w:ind w:left="426" w:hanging="426"/>
        <w:jc w:val="both"/>
        <w:rPr>
          <w:rFonts w:ascii="Arial" w:hAnsi="Arial" w:cs="Arial"/>
          <w:b/>
          <w:sz w:val="24"/>
          <w:szCs w:val="24"/>
        </w:rPr>
      </w:pPr>
      <w:r>
        <w:rPr>
          <w:rFonts w:ascii="Arial" w:hAnsi="Arial" w:cs="Arial"/>
          <w:b/>
          <w:sz w:val="24"/>
          <w:szCs w:val="24"/>
        </w:rPr>
        <w:t>Solución a</w:t>
      </w:r>
      <w:r w:rsidR="003371E3" w:rsidRPr="00031EF4">
        <w:rPr>
          <w:rFonts w:ascii="Arial" w:hAnsi="Arial" w:cs="Arial"/>
          <w:b/>
          <w:sz w:val="24"/>
          <w:szCs w:val="24"/>
        </w:rPr>
        <w:t>l</w:t>
      </w:r>
      <w:r>
        <w:rPr>
          <w:rFonts w:ascii="Arial" w:hAnsi="Arial" w:cs="Arial"/>
          <w:b/>
          <w:sz w:val="24"/>
          <w:szCs w:val="24"/>
        </w:rPr>
        <w:t xml:space="preserve"> </w:t>
      </w:r>
      <w:r w:rsidR="003371E3" w:rsidRPr="00031EF4">
        <w:rPr>
          <w:rFonts w:ascii="Arial" w:hAnsi="Arial" w:cs="Arial"/>
          <w:b/>
          <w:sz w:val="24"/>
          <w:szCs w:val="24"/>
        </w:rPr>
        <w:t>interrogante</w:t>
      </w:r>
      <w:r>
        <w:rPr>
          <w:rFonts w:ascii="Arial" w:hAnsi="Arial" w:cs="Arial"/>
          <w:b/>
          <w:sz w:val="24"/>
          <w:szCs w:val="24"/>
        </w:rPr>
        <w:t xml:space="preserve"> planteado</w:t>
      </w:r>
    </w:p>
    <w:p w:rsidR="004D5A63" w:rsidRDefault="004D5A63" w:rsidP="000A40DE">
      <w:pPr>
        <w:widowControl w:val="0"/>
        <w:autoSpaceDE w:val="0"/>
        <w:autoSpaceDN w:val="0"/>
        <w:adjustRightInd w:val="0"/>
        <w:spacing w:line="276" w:lineRule="auto"/>
        <w:jc w:val="both"/>
        <w:rPr>
          <w:rFonts w:ascii="Arial" w:hAnsi="Arial" w:cs="Arial"/>
          <w:szCs w:val="24"/>
        </w:rPr>
      </w:pPr>
    </w:p>
    <w:p w:rsidR="00B75647" w:rsidRDefault="00AC3762" w:rsidP="000A40DE">
      <w:pPr>
        <w:widowControl w:val="0"/>
        <w:autoSpaceDE w:val="0"/>
        <w:autoSpaceDN w:val="0"/>
        <w:adjustRightInd w:val="0"/>
        <w:spacing w:line="276" w:lineRule="auto"/>
        <w:jc w:val="both"/>
        <w:rPr>
          <w:rFonts w:ascii="Arial" w:hAnsi="Arial" w:cs="Arial"/>
          <w:szCs w:val="24"/>
        </w:rPr>
      </w:pPr>
      <w:r w:rsidRPr="00D3035A">
        <w:rPr>
          <w:rFonts w:ascii="Arial" w:hAnsi="Arial" w:cs="Arial"/>
          <w:szCs w:val="24"/>
        </w:rPr>
        <w:t>Es un hecho incontrovertible que</w:t>
      </w:r>
      <w:r>
        <w:rPr>
          <w:rFonts w:ascii="Arial" w:hAnsi="Arial" w:cs="Arial"/>
          <w:szCs w:val="24"/>
        </w:rPr>
        <w:t xml:space="preserve"> a </w:t>
      </w:r>
      <w:r w:rsidRPr="00D3035A">
        <w:rPr>
          <w:rFonts w:ascii="Arial" w:hAnsi="Arial" w:cs="Arial"/>
          <w:szCs w:val="24"/>
        </w:rPr>
        <w:t>l</w:t>
      </w:r>
      <w:r>
        <w:rPr>
          <w:rFonts w:ascii="Arial" w:hAnsi="Arial" w:cs="Arial"/>
          <w:szCs w:val="24"/>
        </w:rPr>
        <w:t>a</w:t>
      </w:r>
      <w:r w:rsidRPr="00D3035A">
        <w:rPr>
          <w:rFonts w:ascii="Arial" w:hAnsi="Arial" w:cs="Arial"/>
          <w:szCs w:val="24"/>
        </w:rPr>
        <w:t xml:space="preserve"> demandante</w:t>
      </w:r>
      <w:r>
        <w:rPr>
          <w:rFonts w:ascii="Arial" w:hAnsi="Arial" w:cs="Arial"/>
          <w:szCs w:val="24"/>
        </w:rPr>
        <w:t xml:space="preserve"> se le reconoció la pensión de vejez mediante Resolución N° 002232 del 16-09-1988, proferida por el Instituto de Seguros Sociales -</w:t>
      </w:r>
      <w:proofErr w:type="spellStart"/>
      <w:r>
        <w:rPr>
          <w:rFonts w:ascii="Arial" w:hAnsi="Arial" w:cs="Arial"/>
          <w:szCs w:val="24"/>
        </w:rPr>
        <w:t>fl</w:t>
      </w:r>
      <w:proofErr w:type="spellEnd"/>
      <w:r>
        <w:rPr>
          <w:rFonts w:ascii="Arial" w:hAnsi="Arial" w:cs="Arial"/>
          <w:szCs w:val="24"/>
        </w:rPr>
        <w:t>. 49-, fecha en la que se encontraba vigente el Acuerdo 224 de 19</w:t>
      </w:r>
      <w:r w:rsidR="000A40DE">
        <w:rPr>
          <w:rFonts w:ascii="Arial" w:hAnsi="Arial" w:cs="Arial"/>
          <w:szCs w:val="24"/>
        </w:rPr>
        <w:t>6</w:t>
      </w:r>
      <w:r>
        <w:rPr>
          <w:rFonts w:ascii="Arial" w:hAnsi="Arial" w:cs="Arial"/>
          <w:szCs w:val="24"/>
        </w:rPr>
        <w:t>6</w:t>
      </w:r>
      <w:r w:rsidR="00A1521A">
        <w:rPr>
          <w:rFonts w:ascii="Arial" w:hAnsi="Arial" w:cs="Arial"/>
          <w:szCs w:val="24"/>
        </w:rPr>
        <w:t xml:space="preserve">, </w:t>
      </w:r>
      <w:r>
        <w:rPr>
          <w:rFonts w:ascii="Arial" w:hAnsi="Arial" w:cs="Arial"/>
          <w:szCs w:val="24"/>
        </w:rPr>
        <w:t>aprobado por el decreto 3041 de 1966</w:t>
      </w:r>
      <w:r w:rsidR="00A1521A">
        <w:rPr>
          <w:rFonts w:ascii="Arial" w:hAnsi="Arial" w:cs="Arial"/>
          <w:szCs w:val="24"/>
        </w:rPr>
        <w:t xml:space="preserve"> y el </w:t>
      </w:r>
      <w:r w:rsidR="00B75647">
        <w:rPr>
          <w:rFonts w:ascii="Arial" w:hAnsi="Arial" w:cs="Arial"/>
          <w:szCs w:val="24"/>
        </w:rPr>
        <w:t xml:space="preserve">Acuerdo 29 de 1985 aprobado por el </w:t>
      </w:r>
      <w:r w:rsidR="00A1521A">
        <w:rPr>
          <w:rFonts w:ascii="Arial" w:hAnsi="Arial" w:cs="Arial"/>
          <w:szCs w:val="24"/>
        </w:rPr>
        <w:t>decreto 2879 de 1985, que derogó el artículo 15 de la primera norma citada</w:t>
      </w:r>
      <w:r w:rsidR="00B75647">
        <w:rPr>
          <w:rFonts w:ascii="Arial" w:hAnsi="Arial" w:cs="Arial"/>
          <w:szCs w:val="24"/>
        </w:rPr>
        <w:t>.</w:t>
      </w:r>
    </w:p>
    <w:p w:rsidR="00B75647" w:rsidRDefault="00B75647" w:rsidP="000A40DE">
      <w:pPr>
        <w:widowControl w:val="0"/>
        <w:autoSpaceDE w:val="0"/>
        <w:autoSpaceDN w:val="0"/>
        <w:adjustRightInd w:val="0"/>
        <w:spacing w:line="276" w:lineRule="auto"/>
        <w:jc w:val="both"/>
        <w:rPr>
          <w:rFonts w:ascii="Arial" w:hAnsi="Arial" w:cs="Arial"/>
          <w:szCs w:val="24"/>
        </w:rPr>
      </w:pPr>
    </w:p>
    <w:p w:rsidR="00F814C0" w:rsidRDefault="00B75647" w:rsidP="00142110">
      <w:pPr>
        <w:widowControl w:val="0"/>
        <w:autoSpaceDE w:val="0"/>
        <w:autoSpaceDN w:val="0"/>
        <w:adjustRightInd w:val="0"/>
        <w:spacing w:line="276" w:lineRule="auto"/>
        <w:jc w:val="both"/>
        <w:rPr>
          <w:rFonts w:ascii="Arial" w:hAnsi="Arial" w:cs="Arial"/>
          <w:szCs w:val="24"/>
        </w:rPr>
      </w:pPr>
      <w:r>
        <w:rPr>
          <w:rFonts w:ascii="Arial" w:hAnsi="Arial" w:cs="Arial"/>
          <w:szCs w:val="24"/>
        </w:rPr>
        <w:t>Así las cosas,</w:t>
      </w:r>
      <w:r w:rsidR="00AC3762">
        <w:rPr>
          <w:rFonts w:ascii="Arial" w:hAnsi="Arial" w:cs="Arial"/>
          <w:szCs w:val="24"/>
        </w:rPr>
        <w:t xml:space="preserve"> no existe duda </w:t>
      </w:r>
      <w:r w:rsidR="00E1122B">
        <w:rPr>
          <w:rFonts w:ascii="Arial" w:hAnsi="Arial" w:cs="Arial"/>
          <w:szCs w:val="24"/>
        </w:rPr>
        <w:t>que el reconocimiento de esta pensión debe regirse por esta</w:t>
      </w:r>
      <w:r w:rsidR="00A1521A">
        <w:rPr>
          <w:rFonts w:ascii="Arial" w:hAnsi="Arial" w:cs="Arial"/>
          <w:szCs w:val="24"/>
        </w:rPr>
        <w:t>s</w:t>
      </w:r>
      <w:r w:rsidR="00E1122B">
        <w:rPr>
          <w:rFonts w:ascii="Arial" w:hAnsi="Arial" w:cs="Arial"/>
          <w:szCs w:val="24"/>
        </w:rPr>
        <w:t xml:space="preserve"> norma</w:t>
      </w:r>
      <w:r w:rsidR="00A1521A">
        <w:rPr>
          <w:rFonts w:ascii="Arial" w:hAnsi="Arial" w:cs="Arial"/>
          <w:szCs w:val="24"/>
        </w:rPr>
        <w:t>s</w:t>
      </w:r>
      <w:r w:rsidR="00142110">
        <w:rPr>
          <w:rFonts w:ascii="Arial" w:hAnsi="Arial" w:cs="Arial"/>
          <w:szCs w:val="24"/>
        </w:rPr>
        <w:t>, no</w:t>
      </w:r>
      <w:r w:rsidR="005334A2">
        <w:rPr>
          <w:rFonts w:ascii="Arial" w:hAnsi="Arial" w:cs="Arial"/>
          <w:szCs w:val="24"/>
        </w:rPr>
        <w:t xml:space="preserve"> por</w:t>
      </w:r>
      <w:r w:rsidR="00142110">
        <w:rPr>
          <w:rFonts w:ascii="Arial" w:hAnsi="Arial" w:cs="Arial"/>
          <w:szCs w:val="24"/>
        </w:rPr>
        <w:t xml:space="preserve"> el Acuerdo 049 de 1990, como se pretende en la demanda, al carecer este de vigencia para tal momento. D</w:t>
      </w:r>
      <w:r w:rsidR="00E1122B">
        <w:rPr>
          <w:rFonts w:ascii="Arial" w:hAnsi="Arial" w:cs="Arial"/>
          <w:szCs w:val="24"/>
        </w:rPr>
        <w:t>e lo que sigue</w:t>
      </w:r>
      <w:r w:rsidR="00142110">
        <w:rPr>
          <w:rFonts w:ascii="Arial" w:hAnsi="Arial" w:cs="Arial"/>
          <w:szCs w:val="24"/>
        </w:rPr>
        <w:t>,</w:t>
      </w:r>
      <w:r w:rsidR="00E1122B">
        <w:rPr>
          <w:rFonts w:ascii="Arial" w:hAnsi="Arial" w:cs="Arial"/>
          <w:szCs w:val="24"/>
        </w:rPr>
        <w:t xml:space="preserve"> que </w:t>
      </w:r>
      <w:r w:rsidR="00AC3762">
        <w:rPr>
          <w:rFonts w:ascii="Arial" w:hAnsi="Arial" w:cs="Arial"/>
          <w:szCs w:val="24"/>
        </w:rPr>
        <w:t xml:space="preserve">las semanas a tener en cuenta para hallar </w:t>
      </w:r>
      <w:r w:rsidR="00142110">
        <w:rPr>
          <w:rFonts w:ascii="Arial" w:hAnsi="Arial" w:cs="Arial"/>
          <w:szCs w:val="24"/>
        </w:rPr>
        <w:t>el</w:t>
      </w:r>
      <w:r w:rsidR="00AC3762">
        <w:rPr>
          <w:rFonts w:ascii="Arial" w:hAnsi="Arial" w:cs="Arial"/>
          <w:szCs w:val="24"/>
        </w:rPr>
        <w:t xml:space="preserve"> IBL deb</w:t>
      </w:r>
      <w:r w:rsidR="007C2252">
        <w:rPr>
          <w:rFonts w:ascii="Arial" w:hAnsi="Arial" w:cs="Arial"/>
          <w:szCs w:val="24"/>
        </w:rPr>
        <w:t>e</w:t>
      </w:r>
      <w:r w:rsidR="00AC3762">
        <w:rPr>
          <w:rFonts w:ascii="Arial" w:hAnsi="Arial" w:cs="Arial"/>
          <w:szCs w:val="24"/>
        </w:rPr>
        <w:t>n ser las señaladas en el artículo 1</w:t>
      </w:r>
      <w:r w:rsidR="00A1521A">
        <w:rPr>
          <w:rFonts w:ascii="Arial" w:hAnsi="Arial" w:cs="Arial"/>
          <w:szCs w:val="24"/>
        </w:rPr>
        <w:t xml:space="preserve"> del decreto 2879 de 1985</w:t>
      </w:r>
      <w:r w:rsidR="00AC3762">
        <w:rPr>
          <w:rFonts w:ascii="Arial" w:hAnsi="Arial" w:cs="Arial"/>
          <w:szCs w:val="24"/>
        </w:rPr>
        <w:t>,</w:t>
      </w:r>
      <w:r w:rsidR="00A1521A">
        <w:rPr>
          <w:rFonts w:ascii="Arial" w:hAnsi="Arial" w:cs="Arial"/>
          <w:szCs w:val="24"/>
        </w:rPr>
        <w:t xml:space="preserve"> que aprueba el acuerdo 029 de 1985;</w:t>
      </w:r>
      <w:r w:rsidR="00AC3762">
        <w:rPr>
          <w:rFonts w:ascii="Arial" w:hAnsi="Arial" w:cs="Arial"/>
          <w:szCs w:val="24"/>
        </w:rPr>
        <w:t xml:space="preserve"> esto es</w:t>
      </w:r>
      <w:r w:rsidR="00A1521A">
        <w:rPr>
          <w:rFonts w:ascii="Arial" w:hAnsi="Arial" w:cs="Arial"/>
          <w:szCs w:val="24"/>
        </w:rPr>
        <w:t>,</w:t>
      </w:r>
      <w:r w:rsidR="00AC3762">
        <w:rPr>
          <w:rFonts w:ascii="Arial" w:hAnsi="Arial" w:cs="Arial"/>
          <w:szCs w:val="24"/>
        </w:rPr>
        <w:t xml:space="preserve"> 1</w:t>
      </w:r>
      <w:r w:rsidR="00A1521A">
        <w:rPr>
          <w:rFonts w:ascii="Arial" w:hAnsi="Arial" w:cs="Arial"/>
          <w:szCs w:val="24"/>
        </w:rPr>
        <w:t>0</w:t>
      </w:r>
      <w:r w:rsidR="00AC3762">
        <w:rPr>
          <w:rFonts w:ascii="Arial" w:hAnsi="Arial" w:cs="Arial"/>
          <w:szCs w:val="24"/>
        </w:rPr>
        <w:t>0</w:t>
      </w:r>
      <w:r w:rsidR="00A17078">
        <w:rPr>
          <w:rFonts w:ascii="Arial" w:hAnsi="Arial" w:cs="Arial"/>
          <w:szCs w:val="24"/>
        </w:rPr>
        <w:t xml:space="preserve"> semanas</w:t>
      </w:r>
      <w:r w:rsidR="00A1521A">
        <w:rPr>
          <w:rFonts w:ascii="Arial" w:hAnsi="Arial" w:cs="Arial"/>
          <w:szCs w:val="24"/>
        </w:rPr>
        <w:t>,</w:t>
      </w:r>
      <w:r w:rsidR="00142110">
        <w:rPr>
          <w:rFonts w:ascii="Arial" w:hAnsi="Arial" w:cs="Arial"/>
          <w:szCs w:val="24"/>
        </w:rPr>
        <w:t xml:space="preserve"> que resultan ser las mismas dispuestas en el  parágrafo 1</w:t>
      </w:r>
      <w:r w:rsidR="00AC3762">
        <w:rPr>
          <w:rFonts w:ascii="Arial" w:hAnsi="Arial" w:cs="Arial"/>
          <w:szCs w:val="24"/>
        </w:rPr>
        <w:t xml:space="preserve"> </w:t>
      </w:r>
      <w:r w:rsidR="00142110">
        <w:rPr>
          <w:rFonts w:ascii="Arial" w:hAnsi="Arial" w:cs="Arial"/>
          <w:szCs w:val="24"/>
        </w:rPr>
        <w:t>del artículo 20 del A</w:t>
      </w:r>
      <w:r w:rsidR="00AC3762">
        <w:rPr>
          <w:rFonts w:ascii="Arial" w:hAnsi="Arial" w:cs="Arial"/>
          <w:szCs w:val="24"/>
        </w:rPr>
        <w:t>cuerdo 049 de 1990</w:t>
      </w:r>
      <w:r w:rsidR="00142110">
        <w:rPr>
          <w:rFonts w:ascii="Arial" w:hAnsi="Arial" w:cs="Arial"/>
          <w:szCs w:val="24"/>
        </w:rPr>
        <w:t xml:space="preserve"> y no 150 semanas como lo dijo la primera instancia.   </w:t>
      </w:r>
    </w:p>
    <w:p w:rsidR="00F814C0" w:rsidRDefault="00F814C0" w:rsidP="000A40DE">
      <w:pPr>
        <w:widowControl w:val="0"/>
        <w:autoSpaceDE w:val="0"/>
        <w:autoSpaceDN w:val="0"/>
        <w:adjustRightInd w:val="0"/>
        <w:spacing w:line="276" w:lineRule="auto"/>
        <w:jc w:val="both"/>
        <w:rPr>
          <w:rFonts w:ascii="Arial" w:hAnsi="Arial" w:cs="Arial"/>
          <w:szCs w:val="24"/>
        </w:rPr>
      </w:pPr>
    </w:p>
    <w:p w:rsidR="000A40DE" w:rsidRDefault="000A40DE" w:rsidP="000A40DE">
      <w:pPr>
        <w:widowControl w:val="0"/>
        <w:autoSpaceDE w:val="0"/>
        <w:autoSpaceDN w:val="0"/>
        <w:adjustRightInd w:val="0"/>
        <w:spacing w:line="276" w:lineRule="auto"/>
        <w:jc w:val="both"/>
        <w:rPr>
          <w:rFonts w:ascii="Arial" w:hAnsi="Arial" w:cs="Arial"/>
          <w:szCs w:val="24"/>
        </w:rPr>
      </w:pPr>
      <w:r>
        <w:rPr>
          <w:rFonts w:ascii="Arial" w:hAnsi="Arial" w:cs="Arial"/>
          <w:szCs w:val="24"/>
        </w:rPr>
        <w:t>Sin que se pueda llegar a</w:t>
      </w:r>
      <w:r w:rsidR="00F814C0">
        <w:rPr>
          <w:rFonts w:ascii="Arial" w:hAnsi="Arial" w:cs="Arial"/>
          <w:szCs w:val="24"/>
        </w:rPr>
        <w:t xml:space="preserve"> la aplicación del Acuerdo 049 de 1990 </w:t>
      </w:r>
      <w:r>
        <w:rPr>
          <w:rFonts w:ascii="Arial" w:hAnsi="Arial" w:cs="Arial"/>
          <w:szCs w:val="24"/>
        </w:rPr>
        <w:t xml:space="preserve">por la vía del artículo 36 de la Ley 100 de 1993, </w:t>
      </w:r>
      <w:r w:rsidR="00F814C0">
        <w:rPr>
          <w:rFonts w:ascii="Arial" w:hAnsi="Arial" w:cs="Arial"/>
          <w:szCs w:val="24"/>
        </w:rPr>
        <w:t xml:space="preserve">que consagra el régimen de transición, </w:t>
      </w:r>
      <w:r>
        <w:rPr>
          <w:rFonts w:ascii="Arial" w:hAnsi="Arial" w:cs="Arial"/>
          <w:szCs w:val="24"/>
        </w:rPr>
        <w:t xml:space="preserve">pues </w:t>
      </w:r>
      <w:r>
        <w:rPr>
          <w:rFonts w:ascii="Arial" w:hAnsi="Arial" w:cs="Arial"/>
          <w:szCs w:val="24"/>
        </w:rPr>
        <w:lastRenderedPageBreak/>
        <w:t>como lo dijo la a quo, esta no se le podía aplicar al c</w:t>
      </w:r>
      <w:r w:rsidR="00A63BAD">
        <w:rPr>
          <w:rFonts w:ascii="Arial" w:hAnsi="Arial" w:cs="Arial"/>
          <w:szCs w:val="24"/>
        </w:rPr>
        <w:t>ompletar</w:t>
      </w:r>
      <w:r>
        <w:rPr>
          <w:rFonts w:ascii="Arial" w:hAnsi="Arial" w:cs="Arial"/>
          <w:szCs w:val="24"/>
        </w:rPr>
        <w:t xml:space="preserve"> los requisitos para pensionarse </w:t>
      </w:r>
      <w:r w:rsidR="00A63BAD">
        <w:rPr>
          <w:rFonts w:ascii="Arial" w:hAnsi="Arial" w:cs="Arial"/>
          <w:szCs w:val="24"/>
        </w:rPr>
        <w:t>antes del 1-04-1994;</w:t>
      </w:r>
      <w:r w:rsidR="009A0106">
        <w:rPr>
          <w:rFonts w:ascii="Arial" w:hAnsi="Arial" w:cs="Arial"/>
          <w:szCs w:val="24"/>
        </w:rPr>
        <w:t xml:space="preserve"> para lo cual nos remitimos al análisis efectuada por </w:t>
      </w:r>
      <w:r w:rsidR="000A7156">
        <w:rPr>
          <w:rFonts w:ascii="Arial" w:hAnsi="Arial" w:cs="Arial"/>
          <w:szCs w:val="24"/>
        </w:rPr>
        <w:t xml:space="preserve">esta, </w:t>
      </w:r>
      <w:r w:rsidR="009A0106">
        <w:rPr>
          <w:rFonts w:ascii="Arial" w:hAnsi="Arial" w:cs="Arial"/>
          <w:szCs w:val="24"/>
        </w:rPr>
        <w:t>que se comparte íntegramente</w:t>
      </w:r>
      <w:r w:rsidR="00995835">
        <w:rPr>
          <w:rFonts w:ascii="Arial" w:hAnsi="Arial" w:cs="Arial"/>
          <w:szCs w:val="24"/>
        </w:rPr>
        <w:t xml:space="preserve"> en este solo aspecto</w:t>
      </w:r>
      <w:r w:rsidR="009A0106">
        <w:rPr>
          <w:rFonts w:ascii="Arial" w:hAnsi="Arial" w:cs="Arial"/>
          <w:szCs w:val="24"/>
        </w:rPr>
        <w:t>.</w:t>
      </w:r>
    </w:p>
    <w:p w:rsidR="00AC3762" w:rsidRDefault="000A40DE" w:rsidP="000A40DE">
      <w:pPr>
        <w:widowControl w:val="0"/>
        <w:autoSpaceDE w:val="0"/>
        <w:autoSpaceDN w:val="0"/>
        <w:adjustRightInd w:val="0"/>
        <w:spacing w:line="276" w:lineRule="auto"/>
        <w:jc w:val="both"/>
        <w:rPr>
          <w:rFonts w:ascii="Arial" w:hAnsi="Arial" w:cs="Arial"/>
          <w:szCs w:val="24"/>
        </w:rPr>
      </w:pPr>
      <w:r>
        <w:rPr>
          <w:rFonts w:ascii="Arial" w:hAnsi="Arial" w:cs="Arial"/>
          <w:szCs w:val="24"/>
        </w:rPr>
        <w:t xml:space="preserve"> </w:t>
      </w:r>
    </w:p>
    <w:p w:rsidR="00A63BAD" w:rsidRDefault="003541D4" w:rsidP="00A63BAD">
      <w:pPr>
        <w:pStyle w:val="Textoindependiente"/>
        <w:spacing w:line="276" w:lineRule="auto"/>
        <w:contextualSpacing/>
        <w:rPr>
          <w:iCs/>
          <w:szCs w:val="24"/>
        </w:rPr>
      </w:pPr>
      <w:r>
        <w:rPr>
          <w:iCs/>
          <w:szCs w:val="24"/>
        </w:rPr>
        <w:t>Bien. P</w:t>
      </w:r>
      <w:r w:rsidR="00A63BAD">
        <w:rPr>
          <w:iCs/>
          <w:szCs w:val="24"/>
        </w:rPr>
        <w:t>ara mejor compresión de la forma en que debe obtenerse el IBL en cada uno de estas normas, se hace necesario reproducir los cánones, así:</w:t>
      </w:r>
    </w:p>
    <w:p w:rsidR="00A63BAD" w:rsidRPr="00807187" w:rsidRDefault="00A63BAD" w:rsidP="000A40DE">
      <w:pPr>
        <w:widowControl w:val="0"/>
        <w:autoSpaceDE w:val="0"/>
        <w:autoSpaceDN w:val="0"/>
        <w:adjustRightInd w:val="0"/>
        <w:spacing w:line="276" w:lineRule="auto"/>
        <w:jc w:val="both"/>
        <w:rPr>
          <w:rFonts w:ascii="Arial" w:hAnsi="Arial" w:cs="Arial"/>
          <w:iCs/>
          <w:szCs w:val="24"/>
        </w:rPr>
      </w:pPr>
    </w:p>
    <w:p w:rsidR="00D45520" w:rsidRPr="001929DC" w:rsidRDefault="00807187" w:rsidP="00B75647">
      <w:pPr>
        <w:widowControl w:val="0"/>
        <w:autoSpaceDE w:val="0"/>
        <w:autoSpaceDN w:val="0"/>
        <w:adjustRightInd w:val="0"/>
        <w:spacing w:line="276" w:lineRule="auto"/>
        <w:jc w:val="both"/>
        <w:rPr>
          <w:rFonts w:ascii="Arial" w:hAnsi="Arial" w:cs="Arial"/>
          <w:i/>
          <w:sz w:val="22"/>
          <w:szCs w:val="22"/>
        </w:rPr>
      </w:pPr>
      <w:r>
        <w:rPr>
          <w:rFonts w:ascii="Arial" w:hAnsi="Arial" w:cs="Arial"/>
          <w:iCs/>
          <w:szCs w:val="24"/>
        </w:rPr>
        <w:t xml:space="preserve">El artículo 1 del Acuerdo 29 de 1985 dice: </w:t>
      </w:r>
      <w:r w:rsidRPr="00807187">
        <w:rPr>
          <w:rFonts w:ascii="Arial" w:hAnsi="Arial" w:cs="Arial"/>
          <w:i/>
          <w:iCs/>
          <w:szCs w:val="24"/>
        </w:rPr>
        <w:t>“…Para los efectos de este artículo, constituye salario mensual de base el que resulte de multiplicar por el factor 4.33, la centésima parte de la suma de los salarios semanales sobre los cuales cotizó en las últimas cien (100) semanas de cotización.</w:t>
      </w:r>
      <w:r>
        <w:rPr>
          <w:b/>
          <w:iCs/>
          <w:szCs w:val="24"/>
        </w:rPr>
        <w:t>”</w:t>
      </w:r>
      <w:r w:rsidR="00B75647">
        <w:rPr>
          <w:b/>
          <w:iCs/>
          <w:szCs w:val="24"/>
        </w:rPr>
        <w:t xml:space="preserve"> </w:t>
      </w:r>
    </w:p>
    <w:p w:rsidR="00D45520" w:rsidRDefault="00D45520" w:rsidP="00D45520">
      <w:pPr>
        <w:pStyle w:val="Textoindependiente"/>
        <w:spacing w:line="276" w:lineRule="auto"/>
        <w:contextualSpacing/>
        <w:rPr>
          <w:iCs/>
          <w:szCs w:val="24"/>
        </w:rPr>
      </w:pPr>
    </w:p>
    <w:p w:rsidR="00D45520" w:rsidRDefault="00C81260" w:rsidP="00D45520">
      <w:pPr>
        <w:pStyle w:val="Textoindependiente"/>
        <w:spacing w:line="276" w:lineRule="auto"/>
        <w:contextualSpacing/>
        <w:rPr>
          <w:iCs/>
          <w:szCs w:val="24"/>
        </w:rPr>
      </w:pPr>
      <w:r>
        <w:rPr>
          <w:iCs/>
          <w:szCs w:val="24"/>
        </w:rPr>
        <w:t xml:space="preserve">Por su parte </w:t>
      </w:r>
      <w:r w:rsidR="00D45520">
        <w:rPr>
          <w:iCs/>
          <w:szCs w:val="24"/>
        </w:rPr>
        <w:t xml:space="preserve">el parágrafo 1 del artículo 20 del acuerdo 049 de 1990, </w:t>
      </w:r>
      <w:r>
        <w:rPr>
          <w:iCs/>
          <w:szCs w:val="24"/>
        </w:rPr>
        <w:t>señala</w:t>
      </w:r>
      <w:r w:rsidR="00D45520">
        <w:rPr>
          <w:iCs/>
          <w:szCs w:val="24"/>
        </w:rPr>
        <w:t xml:space="preserve"> “</w:t>
      </w:r>
      <w:r w:rsidR="00D45520" w:rsidRPr="002C2088">
        <w:rPr>
          <w:bCs/>
          <w:i/>
          <w:sz w:val="22"/>
        </w:rPr>
        <w:t>e</w:t>
      </w:r>
      <w:r w:rsidR="00D45520" w:rsidRPr="002C2088">
        <w:rPr>
          <w:i/>
          <w:sz w:val="22"/>
        </w:rPr>
        <w:t>l salario mensual de base se obtiene multiplicando por el factor 4.33, la centésima parte de la suma de los salarios semanales sobre los cuales cotizó el trabajador en las últimas cien (100) semanas. El factor 4.33 resulta de dividir el número de semanas de un año por el número de meses.”</w:t>
      </w:r>
      <w:r w:rsidR="00D45520">
        <w:rPr>
          <w:iCs/>
          <w:szCs w:val="24"/>
        </w:rPr>
        <w:t>.</w:t>
      </w:r>
    </w:p>
    <w:p w:rsidR="00D45520" w:rsidRDefault="00D45520" w:rsidP="009A4BC5">
      <w:pPr>
        <w:widowControl w:val="0"/>
        <w:autoSpaceDE w:val="0"/>
        <w:autoSpaceDN w:val="0"/>
        <w:adjustRightInd w:val="0"/>
        <w:spacing w:line="276" w:lineRule="auto"/>
        <w:jc w:val="both"/>
        <w:rPr>
          <w:rFonts w:ascii="Arial" w:hAnsi="Arial" w:cs="Arial"/>
          <w:szCs w:val="24"/>
        </w:rPr>
      </w:pPr>
    </w:p>
    <w:p w:rsidR="007C2252" w:rsidRDefault="00E1122B" w:rsidP="007C2252">
      <w:pPr>
        <w:spacing w:line="276" w:lineRule="auto"/>
        <w:jc w:val="both"/>
        <w:rPr>
          <w:rFonts w:ascii="Arial" w:hAnsi="Arial" w:cs="Arial"/>
          <w:szCs w:val="24"/>
        </w:rPr>
      </w:pPr>
      <w:r>
        <w:rPr>
          <w:rFonts w:ascii="Arial" w:hAnsi="Arial" w:cs="Arial"/>
          <w:szCs w:val="24"/>
        </w:rPr>
        <w:t xml:space="preserve">Atendiendo lo expuesto, </w:t>
      </w:r>
      <w:r w:rsidR="00C9173E">
        <w:rPr>
          <w:rFonts w:ascii="Arial" w:hAnsi="Arial" w:cs="Arial"/>
          <w:szCs w:val="24"/>
        </w:rPr>
        <w:t xml:space="preserve">deberá nuevamente efectuarse la </w:t>
      </w:r>
      <w:r w:rsidR="00DB157E">
        <w:rPr>
          <w:rFonts w:ascii="Arial" w:hAnsi="Arial" w:cs="Arial"/>
          <w:szCs w:val="24"/>
        </w:rPr>
        <w:t>liquidación de la pensión de</w:t>
      </w:r>
      <w:r w:rsidR="00A17078">
        <w:rPr>
          <w:rFonts w:ascii="Arial" w:hAnsi="Arial" w:cs="Arial"/>
          <w:szCs w:val="24"/>
        </w:rPr>
        <w:t xml:space="preserve"> </w:t>
      </w:r>
      <w:r w:rsidR="00DB157E">
        <w:rPr>
          <w:rFonts w:ascii="Arial" w:hAnsi="Arial" w:cs="Arial"/>
          <w:szCs w:val="24"/>
        </w:rPr>
        <w:t>l</w:t>
      </w:r>
      <w:r w:rsidR="00A17078">
        <w:rPr>
          <w:rFonts w:ascii="Arial" w:hAnsi="Arial" w:cs="Arial"/>
          <w:szCs w:val="24"/>
        </w:rPr>
        <w:t>a</w:t>
      </w:r>
      <w:r w:rsidR="00DB157E">
        <w:rPr>
          <w:rFonts w:ascii="Arial" w:hAnsi="Arial" w:cs="Arial"/>
          <w:szCs w:val="24"/>
        </w:rPr>
        <w:t xml:space="preserve"> demandante, para lo cual se aplicará</w:t>
      </w:r>
      <w:r w:rsidR="00C9173E">
        <w:rPr>
          <w:rFonts w:ascii="Arial" w:hAnsi="Arial" w:cs="Arial"/>
          <w:szCs w:val="24"/>
        </w:rPr>
        <w:t xml:space="preserve"> la fórmula que corresponde</w:t>
      </w:r>
      <w:r w:rsidR="005334A2">
        <w:rPr>
          <w:rFonts w:ascii="Arial" w:hAnsi="Arial" w:cs="Arial"/>
          <w:szCs w:val="24"/>
        </w:rPr>
        <w:t xml:space="preserve"> y</w:t>
      </w:r>
      <w:r w:rsidR="00C9173E">
        <w:rPr>
          <w:rFonts w:ascii="Arial" w:hAnsi="Arial" w:cs="Arial"/>
          <w:szCs w:val="24"/>
        </w:rPr>
        <w:t xml:space="preserve"> </w:t>
      </w:r>
      <w:r w:rsidR="00DB157E">
        <w:rPr>
          <w:rFonts w:ascii="Arial" w:hAnsi="Arial" w:cs="Arial"/>
          <w:szCs w:val="24"/>
        </w:rPr>
        <w:t xml:space="preserve">así </w:t>
      </w:r>
      <w:r w:rsidR="00C9173E">
        <w:rPr>
          <w:rFonts w:ascii="Arial" w:hAnsi="Arial" w:cs="Arial"/>
          <w:szCs w:val="24"/>
        </w:rPr>
        <w:t xml:space="preserve">verificar si </w:t>
      </w:r>
      <w:r w:rsidR="00DB157E">
        <w:rPr>
          <w:rFonts w:ascii="Arial" w:hAnsi="Arial" w:cs="Arial"/>
          <w:szCs w:val="24"/>
        </w:rPr>
        <w:t xml:space="preserve">la dispuesta </w:t>
      </w:r>
      <w:r w:rsidR="00C9173E">
        <w:rPr>
          <w:rFonts w:ascii="Arial" w:hAnsi="Arial" w:cs="Arial"/>
          <w:szCs w:val="24"/>
        </w:rPr>
        <w:t xml:space="preserve">por el ISS </w:t>
      </w:r>
      <w:r w:rsidR="003541D4">
        <w:rPr>
          <w:rFonts w:ascii="Arial" w:hAnsi="Arial" w:cs="Arial"/>
          <w:szCs w:val="24"/>
        </w:rPr>
        <w:t>es la correcta;</w:t>
      </w:r>
      <w:r w:rsidR="00C9173E">
        <w:rPr>
          <w:rFonts w:ascii="Arial" w:hAnsi="Arial" w:cs="Arial"/>
          <w:szCs w:val="24"/>
        </w:rPr>
        <w:t xml:space="preserve"> lo que se hará una vez se dilucide lo </w:t>
      </w:r>
      <w:r w:rsidR="00DB157E">
        <w:rPr>
          <w:rFonts w:ascii="Arial" w:hAnsi="Arial" w:cs="Arial"/>
          <w:szCs w:val="24"/>
        </w:rPr>
        <w:t xml:space="preserve">atinente a la </w:t>
      </w:r>
      <w:r w:rsidR="00C9173E">
        <w:rPr>
          <w:rFonts w:ascii="Arial" w:hAnsi="Arial" w:cs="Arial"/>
          <w:szCs w:val="24"/>
        </w:rPr>
        <w:t xml:space="preserve">indexación.  </w:t>
      </w:r>
    </w:p>
    <w:p w:rsidR="007C2252" w:rsidRDefault="007C2252" w:rsidP="007C2252">
      <w:pPr>
        <w:spacing w:line="276" w:lineRule="auto"/>
        <w:jc w:val="both"/>
        <w:rPr>
          <w:rFonts w:ascii="Arial" w:hAnsi="Arial" w:cs="Arial"/>
          <w:szCs w:val="24"/>
        </w:rPr>
      </w:pPr>
    </w:p>
    <w:p w:rsidR="00445692" w:rsidRPr="007C2252" w:rsidRDefault="002C2088" w:rsidP="007C2252">
      <w:pPr>
        <w:spacing w:line="276" w:lineRule="auto"/>
        <w:jc w:val="both"/>
        <w:rPr>
          <w:rFonts w:ascii="Arial" w:hAnsi="Arial" w:cs="Arial"/>
          <w:szCs w:val="24"/>
        </w:rPr>
      </w:pPr>
      <w:r w:rsidRPr="007C2252">
        <w:rPr>
          <w:rFonts w:ascii="Arial" w:hAnsi="Arial" w:cs="Arial"/>
          <w:iCs/>
          <w:szCs w:val="24"/>
        </w:rPr>
        <w:t>Ahora, sobre la indexación</w:t>
      </w:r>
      <w:r w:rsidR="00E1122B" w:rsidRPr="007C2252">
        <w:rPr>
          <w:rFonts w:ascii="Arial" w:hAnsi="Arial" w:cs="Arial"/>
          <w:iCs/>
          <w:szCs w:val="24"/>
        </w:rPr>
        <w:t xml:space="preserve"> solicitada</w:t>
      </w:r>
      <w:r w:rsidR="005334A2">
        <w:rPr>
          <w:rFonts w:ascii="Arial" w:hAnsi="Arial" w:cs="Arial"/>
          <w:iCs/>
          <w:szCs w:val="24"/>
        </w:rPr>
        <w:t>, ha de decirse que</w:t>
      </w:r>
      <w:r w:rsidR="009548D5" w:rsidRPr="008B153E">
        <w:rPr>
          <w:rFonts w:ascii="Arial" w:hAnsi="Arial" w:cs="Arial"/>
          <w:szCs w:val="24"/>
        </w:rPr>
        <w:t xml:space="preserve"> la Sala de Casación Laboral de la Corte Suprema de Justicia,</w:t>
      </w:r>
      <w:r w:rsidR="007C2252" w:rsidRPr="008B153E">
        <w:rPr>
          <w:rFonts w:ascii="Arial" w:hAnsi="Arial" w:cs="Arial"/>
          <w:szCs w:val="24"/>
        </w:rPr>
        <w:t xml:space="preserve"> en sentencia 16 de octubre de 2013, radicado No. 47709,</w:t>
      </w:r>
      <w:r w:rsidR="009548D5" w:rsidRPr="008B153E">
        <w:rPr>
          <w:rFonts w:ascii="Arial" w:hAnsi="Arial" w:cs="Arial"/>
          <w:szCs w:val="24"/>
        </w:rPr>
        <w:t xml:space="preserve"> con ocasión de la sentencia SU 1073 de 2012 proferida por la Corte Constitucional, </w:t>
      </w:r>
      <w:r w:rsidR="007C2252" w:rsidRPr="008B153E">
        <w:rPr>
          <w:rFonts w:ascii="Arial" w:hAnsi="Arial" w:cs="Arial"/>
          <w:szCs w:val="24"/>
        </w:rPr>
        <w:t>rectificó su tesis, al acoger</w:t>
      </w:r>
      <w:r w:rsidR="009548D5" w:rsidRPr="008B153E">
        <w:rPr>
          <w:rFonts w:ascii="Arial" w:hAnsi="Arial" w:cs="Arial"/>
          <w:szCs w:val="24"/>
        </w:rPr>
        <w:t xml:space="preserve"> </w:t>
      </w:r>
      <w:r w:rsidR="007C2252" w:rsidRPr="008B153E">
        <w:rPr>
          <w:rFonts w:ascii="Arial" w:hAnsi="Arial" w:cs="Arial"/>
          <w:szCs w:val="24"/>
        </w:rPr>
        <w:t>e</w:t>
      </w:r>
      <w:r w:rsidR="009548D5" w:rsidRPr="008B153E">
        <w:rPr>
          <w:rFonts w:ascii="Arial" w:hAnsi="Arial" w:cs="Arial"/>
          <w:szCs w:val="24"/>
        </w:rPr>
        <w:t xml:space="preserve">l criterio según el cual es procedente la indexación </w:t>
      </w:r>
      <w:r w:rsidR="007C2252" w:rsidRPr="008B153E">
        <w:rPr>
          <w:rFonts w:ascii="Arial" w:hAnsi="Arial" w:cs="Arial"/>
          <w:szCs w:val="24"/>
        </w:rPr>
        <w:t xml:space="preserve">de </w:t>
      </w:r>
      <w:r w:rsidR="009548D5" w:rsidRPr="008B153E">
        <w:rPr>
          <w:rFonts w:ascii="Arial" w:hAnsi="Arial" w:cs="Arial"/>
          <w:szCs w:val="24"/>
        </w:rPr>
        <w:t xml:space="preserve">las pensiones </w:t>
      </w:r>
      <w:r w:rsidR="007C2252" w:rsidRPr="008B153E">
        <w:rPr>
          <w:rFonts w:ascii="Arial" w:hAnsi="Arial" w:cs="Arial"/>
          <w:szCs w:val="24"/>
        </w:rPr>
        <w:t xml:space="preserve">causadas </w:t>
      </w:r>
      <w:r w:rsidR="009548D5" w:rsidRPr="008B153E">
        <w:rPr>
          <w:rFonts w:ascii="Arial" w:hAnsi="Arial" w:cs="Arial"/>
          <w:szCs w:val="24"/>
        </w:rPr>
        <w:t>antes y después de la entrada en vigencia de la C</w:t>
      </w:r>
      <w:r w:rsidR="007C2252" w:rsidRPr="008B153E">
        <w:rPr>
          <w:rFonts w:ascii="Arial" w:hAnsi="Arial" w:cs="Arial"/>
          <w:szCs w:val="24"/>
        </w:rPr>
        <w:t>onstitución Política</w:t>
      </w:r>
      <w:r w:rsidR="009548D5" w:rsidRPr="008B153E">
        <w:rPr>
          <w:rFonts w:ascii="Arial" w:hAnsi="Arial" w:cs="Arial"/>
          <w:szCs w:val="24"/>
        </w:rPr>
        <w:t>,</w:t>
      </w:r>
      <w:r w:rsidR="00815A02" w:rsidRPr="008B153E">
        <w:rPr>
          <w:rFonts w:ascii="Arial" w:hAnsi="Arial" w:cs="Arial"/>
          <w:szCs w:val="24"/>
        </w:rPr>
        <w:t xml:space="preserve"> dado que </w:t>
      </w:r>
      <w:r w:rsidR="009548D5" w:rsidRPr="008B153E">
        <w:rPr>
          <w:rFonts w:ascii="Arial" w:hAnsi="Arial" w:cs="Arial"/>
          <w:szCs w:val="24"/>
        </w:rPr>
        <w:t>la pérdida del poder adquisitivo de la moneda es un fenómeno que afecta a todo tipo de pensión</w:t>
      </w:r>
      <w:r w:rsidR="00445692" w:rsidRPr="008B153E">
        <w:rPr>
          <w:rFonts w:ascii="Arial" w:hAnsi="Arial" w:cs="Arial"/>
          <w:szCs w:val="24"/>
        </w:rPr>
        <w:t xml:space="preserve"> por igual</w:t>
      </w:r>
      <w:r w:rsidR="009548D5" w:rsidRPr="008B153E">
        <w:rPr>
          <w:rFonts w:ascii="Arial" w:hAnsi="Arial" w:cs="Arial"/>
          <w:szCs w:val="24"/>
        </w:rPr>
        <w:t>, indistintamente de la naturaleza de la prestación o la fecha de su reconocimiento,</w:t>
      </w:r>
      <w:r w:rsidR="00815A02" w:rsidRPr="008B153E">
        <w:rPr>
          <w:rFonts w:ascii="Arial" w:hAnsi="Arial" w:cs="Arial"/>
          <w:szCs w:val="24"/>
        </w:rPr>
        <w:t xml:space="preserve"> máxime que </w:t>
      </w:r>
      <w:r w:rsidR="009548D5" w:rsidRPr="008B153E">
        <w:rPr>
          <w:rFonts w:ascii="Arial" w:hAnsi="Arial" w:cs="Arial"/>
          <w:szCs w:val="24"/>
        </w:rPr>
        <w:t>no existe prohibición e</w:t>
      </w:r>
      <w:r w:rsidR="00815A02" w:rsidRPr="008B153E">
        <w:rPr>
          <w:rFonts w:ascii="Arial" w:hAnsi="Arial" w:cs="Arial"/>
          <w:szCs w:val="24"/>
        </w:rPr>
        <w:t xml:space="preserve">n la ley </w:t>
      </w:r>
      <w:r w:rsidR="009548D5" w:rsidRPr="008B153E">
        <w:rPr>
          <w:rFonts w:ascii="Arial" w:hAnsi="Arial" w:cs="Arial"/>
          <w:szCs w:val="24"/>
        </w:rPr>
        <w:t xml:space="preserve">que </w:t>
      </w:r>
      <w:r w:rsidR="00815A02" w:rsidRPr="008B153E">
        <w:rPr>
          <w:rFonts w:ascii="Arial" w:hAnsi="Arial" w:cs="Arial"/>
          <w:szCs w:val="24"/>
        </w:rPr>
        <w:t xml:space="preserve">lo </w:t>
      </w:r>
      <w:r w:rsidR="009548D5" w:rsidRPr="008B153E">
        <w:rPr>
          <w:rFonts w:ascii="Arial" w:hAnsi="Arial" w:cs="Arial"/>
          <w:szCs w:val="24"/>
        </w:rPr>
        <w:t>impida</w:t>
      </w:r>
      <w:r w:rsidR="00815A02" w:rsidRPr="008B153E">
        <w:rPr>
          <w:rFonts w:ascii="Arial" w:hAnsi="Arial" w:cs="Arial"/>
          <w:szCs w:val="24"/>
        </w:rPr>
        <w:t xml:space="preserve"> con anterioridad a la vigencia de la Constitución de 1991</w:t>
      </w:r>
      <w:r w:rsidR="009548D5" w:rsidRPr="008B153E">
        <w:rPr>
          <w:rFonts w:ascii="Arial" w:hAnsi="Arial" w:cs="Arial"/>
          <w:szCs w:val="24"/>
        </w:rPr>
        <w:t>.</w:t>
      </w:r>
      <w:r w:rsidR="00CF1AEC">
        <w:rPr>
          <w:rFonts w:ascii="Arial" w:hAnsi="Arial" w:cs="Arial"/>
          <w:szCs w:val="24"/>
        </w:rPr>
        <w:t xml:space="preserve"> </w:t>
      </w:r>
      <w:r w:rsidR="008B153E" w:rsidRPr="008B153E">
        <w:rPr>
          <w:rFonts w:ascii="Arial" w:hAnsi="Arial" w:cs="Arial"/>
          <w:szCs w:val="24"/>
        </w:rPr>
        <w:t>Por lo que la indexación encuentra apoyo en los criterios de</w:t>
      </w:r>
      <w:r w:rsidR="00445692" w:rsidRPr="008B153E">
        <w:rPr>
          <w:rFonts w:ascii="Arial" w:hAnsi="Arial" w:cs="Arial"/>
          <w:szCs w:val="24"/>
        </w:rPr>
        <w:t xml:space="preserve"> equidad, justicia y </w:t>
      </w:r>
      <w:r w:rsidR="008B153E" w:rsidRPr="008B153E">
        <w:rPr>
          <w:rFonts w:ascii="Arial" w:hAnsi="Arial" w:cs="Arial"/>
          <w:szCs w:val="24"/>
        </w:rPr>
        <w:t xml:space="preserve"> </w:t>
      </w:r>
      <w:r w:rsidR="00445692" w:rsidRPr="008B153E">
        <w:rPr>
          <w:rFonts w:ascii="Arial" w:hAnsi="Arial" w:cs="Arial"/>
          <w:szCs w:val="24"/>
        </w:rPr>
        <w:t xml:space="preserve">principios generales del derecho, </w:t>
      </w:r>
      <w:r w:rsidR="008B153E" w:rsidRPr="008B153E">
        <w:rPr>
          <w:rFonts w:ascii="Arial" w:hAnsi="Arial" w:cs="Arial"/>
          <w:szCs w:val="24"/>
        </w:rPr>
        <w:t xml:space="preserve">que deben aplicarse, </w:t>
      </w:r>
      <w:r w:rsidR="00445692" w:rsidRPr="008B153E">
        <w:rPr>
          <w:rFonts w:ascii="Arial" w:hAnsi="Arial" w:cs="Arial"/>
          <w:szCs w:val="24"/>
        </w:rPr>
        <w:t>en los términos del artículo 8 de la Ley 153 de 1887 y del artículo 19 del C.S. de T.</w:t>
      </w:r>
    </w:p>
    <w:p w:rsidR="009548D5" w:rsidRPr="00201403" w:rsidRDefault="009548D5" w:rsidP="00201403">
      <w:pPr>
        <w:spacing w:line="276" w:lineRule="auto"/>
        <w:jc w:val="both"/>
        <w:rPr>
          <w:rFonts w:ascii="Arial" w:hAnsi="Arial" w:cs="Arial"/>
          <w:szCs w:val="24"/>
        </w:rPr>
      </w:pPr>
    </w:p>
    <w:p w:rsidR="009548D5" w:rsidRPr="00201403" w:rsidRDefault="00CF1AEC" w:rsidP="00201403">
      <w:pPr>
        <w:spacing w:line="276" w:lineRule="auto"/>
        <w:jc w:val="both"/>
        <w:rPr>
          <w:rFonts w:ascii="Arial" w:hAnsi="Arial" w:cs="Arial"/>
          <w:szCs w:val="24"/>
        </w:rPr>
      </w:pPr>
      <w:r>
        <w:rPr>
          <w:rFonts w:ascii="Arial" w:hAnsi="Arial" w:cs="Arial"/>
          <w:szCs w:val="24"/>
        </w:rPr>
        <w:t>No obstante,</w:t>
      </w:r>
      <w:r w:rsidR="009548D5" w:rsidRPr="00201403">
        <w:rPr>
          <w:rFonts w:ascii="Arial" w:hAnsi="Arial" w:cs="Arial"/>
          <w:szCs w:val="24"/>
        </w:rPr>
        <w:t xml:space="preserve"> </w:t>
      </w:r>
      <w:r w:rsidR="00171BDD" w:rsidRPr="00201403">
        <w:rPr>
          <w:rFonts w:ascii="Arial" w:hAnsi="Arial" w:cs="Arial"/>
          <w:szCs w:val="24"/>
        </w:rPr>
        <w:t>también ha apuntado</w:t>
      </w:r>
      <w:r>
        <w:rPr>
          <w:rFonts w:ascii="Arial" w:hAnsi="Arial" w:cs="Arial"/>
          <w:szCs w:val="24"/>
        </w:rPr>
        <w:t xml:space="preserve"> </w:t>
      </w:r>
      <w:r w:rsidR="00171BDD" w:rsidRPr="00201403">
        <w:rPr>
          <w:rFonts w:ascii="Arial" w:hAnsi="Arial" w:cs="Arial"/>
          <w:szCs w:val="24"/>
        </w:rPr>
        <w:t>de manera constante</w:t>
      </w:r>
      <w:r w:rsidR="005A693B" w:rsidRPr="00201403">
        <w:rPr>
          <w:rStyle w:val="Refdenotaalpie"/>
          <w:rFonts w:ascii="Arial" w:hAnsi="Arial" w:cs="Arial"/>
          <w:szCs w:val="24"/>
        </w:rPr>
        <w:footnoteReference w:id="1"/>
      </w:r>
      <w:r w:rsidR="00171BDD" w:rsidRPr="00201403">
        <w:rPr>
          <w:rFonts w:ascii="Arial" w:hAnsi="Arial" w:cs="Arial"/>
          <w:szCs w:val="24"/>
        </w:rPr>
        <w:t xml:space="preserve">, que es improcedente </w:t>
      </w:r>
      <w:r w:rsidR="009548D5" w:rsidRPr="00201403">
        <w:rPr>
          <w:rFonts w:ascii="Arial" w:hAnsi="Arial" w:cs="Arial"/>
          <w:szCs w:val="24"/>
        </w:rPr>
        <w:t>la indexación</w:t>
      </w:r>
      <w:r w:rsidR="00171BDD" w:rsidRPr="00201403">
        <w:rPr>
          <w:rFonts w:ascii="Arial" w:hAnsi="Arial" w:cs="Arial"/>
          <w:szCs w:val="24"/>
        </w:rPr>
        <w:t xml:space="preserve"> </w:t>
      </w:r>
      <w:r w:rsidR="009548D5" w:rsidRPr="00201403">
        <w:rPr>
          <w:rFonts w:ascii="Arial" w:hAnsi="Arial" w:cs="Arial"/>
          <w:szCs w:val="24"/>
        </w:rPr>
        <w:t xml:space="preserve">cuando se trata de pensiones reconocidas con fundamento en el parágrafo 1º del artículo 20 del Acuerdo 049 de 1990, </w:t>
      </w:r>
      <w:r w:rsidR="00171BDD" w:rsidRPr="00201403">
        <w:rPr>
          <w:rFonts w:ascii="Arial" w:hAnsi="Arial" w:cs="Arial"/>
          <w:szCs w:val="24"/>
        </w:rPr>
        <w:t xml:space="preserve">para lo cual aduce dos argumentos: a) que la norma establece </w:t>
      </w:r>
      <w:r w:rsidR="009548D5" w:rsidRPr="00201403">
        <w:rPr>
          <w:rFonts w:ascii="Arial" w:hAnsi="Arial" w:cs="Arial"/>
          <w:szCs w:val="24"/>
        </w:rPr>
        <w:t>una fórmula para el cálculo de la prestación</w:t>
      </w:r>
      <w:r w:rsidR="00171BDD" w:rsidRPr="00201403">
        <w:rPr>
          <w:rFonts w:ascii="Arial" w:hAnsi="Arial" w:cs="Arial"/>
          <w:szCs w:val="24"/>
        </w:rPr>
        <w:t>,</w:t>
      </w:r>
      <w:r w:rsidR="009548D5" w:rsidRPr="00201403">
        <w:rPr>
          <w:rFonts w:ascii="Arial" w:hAnsi="Arial" w:cs="Arial"/>
          <w:szCs w:val="24"/>
        </w:rPr>
        <w:t xml:space="preserve"> que toma en cuenta el número de semanas cotizadas por el afiliado a la entidad de seguridad social y no los salarios devengados</w:t>
      </w:r>
      <w:r w:rsidR="0094541B" w:rsidRPr="00201403">
        <w:rPr>
          <w:rFonts w:ascii="Arial" w:hAnsi="Arial" w:cs="Arial"/>
          <w:szCs w:val="24"/>
        </w:rPr>
        <w:t xml:space="preserve"> y b) que el afiliado puede seguir cotizando</w:t>
      </w:r>
      <w:r w:rsidR="00BF3967" w:rsidRPr="00201403">
        <w:rPr>
          <w:rFonts w:ascii="Arial" w:hAnsi="Arial" w:cs="Arial"/>
          <w:szCs w:val="24"/>
        </w:rPr>
        <w:t xml:space="preserve"> hasta que cumpla la edad</w:t>
      </w:r>
      <w:r w:rsidR="0094541B" w:rsidRPr="00201403">
        <w:rPr>
          <w:rFonts w:ascii="Arial" w:hAnsi="Arial" w:cs="Arial"/>
          <w:szCs w:val="24"/>
        </w:rPr>
        <w:t xml:space="preserve"> para aumentar la tasa de remplazo</w:t>
      </w:r>
      <w:r w:rsidR="00AE58C3" w:rsidRPr="00201403">
        <w:rPr>
          <w:rFonts w:ascii="Arial" w:hAnsi="Arial" w:cs="Arial"/>
          <w:szCs w:val="24"/>
        </w:rPr>
        <w:t xml:space="preserve">; por lo que </w:t>
      </w:r>
      <w:r w:rsidR="00AE58C3" w:rsidRPr="00201403">
        <w:rPr>
          <w:rFonts w:ascii="Arial" w:hAnsi="Arial" w:cs="Arial"/>
          <w:szCs w:val="24"/>
        </w:rPr>
        <w:lastRenderedPageBreak/>
        <w:t xml:space="preserve">es a él y no a la entidad de seguridad social </w:t>
      </w:r>
      <w:r w:rsidR="00B9380B" w:rsidRPr="00201403">
        <w:rPr>
          <w:rFonts w:ascii="Arial" w:hAnsi="Arial" w:cs="Arial"/>
          <w:szCs w:val="24"/>
        </w:rPr>
        <w:t>q</w:t>
      </w:r>
      <w:r w:rsidR="00AE58C3" w:rsidRPr="00201403">
        <w:rPr>
          <w:rFonts w:ascii="Arial" w:hAnsi="Arial" w:cs="Arial"/>
          <w:szCs w:val="24"/>
        </w:rPr>
        <w:t xml:space="preserve">uien </w:t>
      </w:r>
      <w:r w:rsidR="00B9380B" w:rsidRPr="00201403">
        <w:rPr>
          <w:rFonts w:ascii="Arial" w:hAnsi="Arial" w:cs="Arial"/>
          <w:szCs w:val="24"/>
        </w:rPr>
        <w:t>debe asumir la actualización de su pensión</w:t>
      </w:r>
      <w:r w:rsidR="009548D5" w:rsidRPr="00201403">
        <w:rPr>
          <w:rFonts w:ascii="Arial" w:hAnsi="Arial" w:cs="Arial"/>
          <w:szCs w:val="24"/>
        </w:rPr>
        <w:t>.</w:t>
      </w:r>
    </w:p>
    <w:p w:rsidR="00AE58C3" w:rsidRPr="00201403" w:rsidRDefault="00BF3967" w:rsidP="00201403">
      <w:pPr>
        <w:tabs>
          <w:tab w:val="left" w:pos="-1440"/>
          <w:tab w:val="left" w:pos="-720"/>
          <w:tab w:val="left" w:pos="2160"/>
        </w:tabs>
        <w:suppressAutoHyphens/>
        <w:spacing w:line="276" w:lineRule="auto"/>
        <w:ind w:left="709"/>
        <w:jc w:val="both"/>
        <w:rPr>
          <w:rFonts w:ascii="Arial" w:hAnsi="Arial" w:cs="Arial"/>
          <w:szCs w:val="24"/>
        </w:rPr>
      </w:pPr>
      <w:r w:rsidRPr="00201403">
        <w:rPr>
          <w:rFonts w:ascii="Arial" w:hAnsi="Arial" w:cs="Arial"/>
          <w:i/>
          <w:szCs w:val="24"/>
          <w:lang w:val="es-CO"/>
        </w:rPr>
        <w:t xml:space="preserve"> </w:t>
      </w:r>
    </w:p>
    <w:p w:rsidR="00AE58C3" w:rsidRPr="00201403" w:rsidRDefault="00AE58C3" w:rsidP="00201403">
      <w:pPr>
        <w:spacing w:line="276" w:lineRule="auto"/>
        <w:jc w:val="both"/>
        <w:rPr>
          <w:rFonts w:ascii="Arial" w:hAnsi="Arial" w:cs="Arial"/>
          <w:szCs w:val="24"/>
        </w:rPr>
      </w:pPr>
      <w:r w:rsidRPr="00201403">
        <w:rPr>
          <w:rFonts w:ascii="Arial" w:hAnsi="Arial" w:cs="Arial"/>
          <w:szCs w:val="24"/>
        </w:rPr>
        <w:t>Sobre este aspecto, en reciente decisión de la Sala de Casaci</w:t>
      </w:r>
      <w:r w:rsidR="00BF3967" w:rsidRPr="00201403">
        <w:rPr>
          <w:rFonts w:ascii="Arial" w:hAnsi="Arial" w:cs="Arial"/>
          <w:szCs w:val="24"/>
        </w:rPr>
        <w:t>ó</w:t>
      </w:r>
      <w:r w:rsidR="00572006" w:rsidRPr="00201403">
        <w:rPr>
          <w:rFonts w:ascii="Arial" w:hAnsi="Arial" w:cs="Arial"/>
          <w:szCs w:val="24"/>
        </w:rPr>
        <w:t>n</w:t>
      </w:r>
      <w:r w:rsidRPr="00201403">
        <w:rPr>
          <w:rFonts w:ascii="Arial" w:hAnsi="Arial" w:cs="Arial"/>
          <w:szCs w:val="24"/>
        </w:rPr>
        <w:t xml:space="preserve"> Laboral en descongestión de la Corte Suprema de justicia </w:t>
      </w:r>
      <w:r w:rsidR="00572006" w:rsidRPr="00201403">
        <w:rPr>
          <w:rFonts w:ascii="Arial" w:hAnsi="Arial" w:cs="Arial"/>
          <w:szCs w:val="24"/>
        </w:rPr>
        <w:t>(2017)</w:t>
      </w:r>
      <w:r w:rsidR="00572006" w:rsidRPr="00201403">
        <w:rPr>
          <w:rStyle w:val="Refdenotaalpie"/>
          <w:rFonts w:ascii="Arial" w:hAnsi="Arial" w:cs="Arial"/>
          <w:szCs w:val="24"/>
        </w:rPr>
        <w:footnoteReference w:id="2"/>
      </w:r>
      <w:r w:rsidR="00572006" w:rsidRPr="00201403">
        <w:rPr>
          <w:rFonts w:ascii="Arial" w:hAnsi="Arial" w:cs="Arial"/>
          <w:szCs w:val="24"/>
        </w:rPr>
        <w:t xml:space="preserve"> </w:t>
      </w:r>
      <w:r w:rsidRPr="00201403">
        <w:rPr>
          <w:rFonts w:ascii="Arial" w:hAnsi="Arial" w:cs="Arial"/>
          <w:szCs w:val="24"/>
        </w:rPr>
        <w:t xml:space="preserve">se dijo: </w:t>
      </w:r>
    </w:p>
    <w:p w:rsidR="00B9380B" w:rsidRPr="00B9380B" w:rsidRDefault="00B9380B" w:rsidP="00201403">
      <w:pPr>
        <w:spacing w:before="240" w:after="240" w:line="276" w:lineRule="auto"/>
        <w:ind w:left="708" w:firstLine="709"/>
        <w:jc w:val="both"/>
        <w:rPr>
          <w:rFonts w:ascii="Arial" w:hAnsi="Arial" w:cs="Arial"/>
          <w:sz w:val="22"/>
          <w:szCs w:val="22"/>
        </w:rPr>
      </w:pPr>
      <w:r w:rsidRPr="00201403">
        <w:rPr>
          <w:rFonts w:ascii="Arial" w:hAnsi="Arial" w:cs="Arial"/>
          <w:szCs w:val="24"/>
        </w:rPr>
        <w:t>“… por cuant</w:t>
      </w:r>
      <w:r w:rsidRPr="00B9380B">
        <w:rPr>
          <w:rFonts w:ascii="Arial" w:hAnsi="Arial" w:cs="Arial"/>
          <w:sz w:val="22"/>
          <w:szCs w:val="22"/>
        </w:rPr>
        <w:t xml:space="preserve">o al tratarse de la indexación de una pensión de vejez reconocida con fundamento en el Acuerdo 049 de 1990, la Sala de Casación Laboral de la Corte Suprema de Justicia tiene adoctrinado la inviabilidad de la actualización monetaria para ese tipo de pensiones. En efecto, recordando lo que sobre ese particular se ha expresado por esta Corporación, CSJ-SL30 de agosto de 2011, rad. 41852, se dijo: </w:t>
      </w:r>
    </w:p>
    <w:p w:rsidR="00B9380B" w:rsidRPr="00B9380B" w:rsidRDefault="00B9380B" w:rsidP="00B9380B">
      <w:pPr>
        <w:spacing w:before="240" w:after="240"/>
        <w:ind w:left="1416" w:firstLine="1"/>
        <w:jc w:val="both"/>
        <w:rPr>
          <w:rFonts w:ascii="Arial" w:hAnsi="Arial" w:cs="Arial"/>
          <w:sz w:val="22"/>
          <w:szCs w:val="22"/>
        </w:rPr>
      </w:pPr>
      <w:r w:rsidRPr="00B9380B">
        <w:rPr>
          <w:rFonts w:ascii="Arial" w:hAnsi="Arial" w:cs="Arial"/>
          <w:i/>
          <w:sz w:val="22"/>
          <w:szCs w:val="22"/>
        </w:rPr>
        <w:t xml:space="preserve">[…] Ahora bien, el tema objeto de controversia se reduce a determinar, si es viable el reconocimiento y pago de la indexación de la primera mesada pensional, cuando dicha pensión fue reconocida conforme al Acuerdo 049 de 1990, donde se estableció una fórmula para el cálculo de la pensión.  </w:t>
      </w:r>
    </w:p>
    <w:p w:rsidR="00B9380B" w:rsidRPr="00B9380B" w:rsidRDefault="00B9380B" w:rsidP="00B9380B">
      <w:pPr>
        <w:ind w:left="708" w:firstLine="1"/>
        <w:jc w:val="both"/>
        <w:rPr>
          <w:rFonts w:ascii="Arial" w:hAnsi="Arial" w:cs="Arial"/>
          <w:sz w:val="22"/>
          <w:szCs w:val="22"/>
        </w:rPr>
      </w:pPr>
      <w:r w:rsidRPr="00B9380B">
        <w:rPr>
          <w:rFonts w:ascii="Arial" w:hAnsi="Arial" w:cs="Arial"/>
          <w:i/>
          <w:sz w:val="22"/>
          <w:szCs w:val="22"/>
        </w:rPr>
        <w:t>[…] Así las cosas no era posible abrogarle al ISS la obligación de actualizar las cotizaciones que efectuó entre la fecha en que cesó sus aportes, hasta el cumplimiento de la edad para acceder a la pensión, pues tal situación debe asumirla el afiliado, en la medida en que este pudo seguir aportando para elevar la tasa de reemplazo, de conformidad con lo dispuesto en la normativa a la que se hizo referencia.</w:t>
      </w:r>
      <w:r w:rsidRPr="00B9380B">
        <w:rPr>
          <w:rFonts w:ascii="Arial" w:hAnsi="Arial" w:cs="Arial"/>
          <w:sz w:val="22"/>
          <w:szCs w:val="22"/>
        </w:rPr>
        <w:t xml:space="preserve"> </w:t>
      </w:r>
    </w:p>
    <w:p w:rsidR="00B9380B" w:rsidRDefault="00B9380B" w:rsidP="00B9380B">
      <w:pPr>
        <w:ind w:firstLine="709"/>
        <w:jc w:val="both"/>
        <w:rPr>
          <w:rFonts w:ascii="Bookman Old Style" w:hAnsi="Bookman Old Style" w:cs="Estrangelo Edessa"/>
          <w:sz w:val="28"/>
          <w:szCs w:val="28"/>
        </w:rPr>
      </w:pPr>
    </w:p>
    <w:p w:rsidR="008972FD" w:rsidRDefault="008972FD" w:rsidP="008972FD">
      <w:pPr>
        <w:spacing w:line="276" w:lineRule="auto"/>
        <w:jc w:val="both"/>
        <w:rPr>
          <w:rFonts w:ascii="Arial" w:hAnsi="Arial" w:cs="Arial"/>
          <w:color w:val="000000"/>
          <w:szCs w:val="24"/>
          <w:shd w:val="clear" w:color="auto" w:fill="FFFFFF"/>
          <w:lang w:val="es-ES"/>
        </w:rPr>
      </w:pPr>
      <w:r>
        <w:rPr>
          <w:rFonts w:ascii="Arial" w:hAnsi="Arial" w:cs="Arial"/>
          <w:color w:val="000000"/>
          <w:szCs w:val="24"/>
          <w:shd w:val="clear" w:color="auto" w:fill="FFFFFF"/>
          <w:lang w:val="es-ES"/>
        </w:rPr>
        <w:t>La tesis planteada</w:t>
      </w:r>
      <w:r w:rsidR="009954BE">
        <w:rPr>
          <w:rFonts w:ascii="Arial" w:hAnsi="Arial" w:cs="Arial"/>
          <w:color w:val="000000"/>
          <w:szCs w:val="24"/>
          <w:shd w:val="clear" w:color="auto" w:fill="FFFFFF"/>
          <w:lang w:val="es-ES"/>
        </w:rPr>
        <w:t xml:space="preserve"> la comparte</w:t>
      </w:r>
      <w:r w:rsidR="00294CE2">
        <w:rPr>
          <w:rFonts w:ascii="Arial" w:hAnsi="Arial" w:cs="Arial"/>
          <w:color w:val="000000"/>
          <w:szCs w:val="24"/>
          <w:shd w:val="clear" w:color="auto" w:fill="FFFFFF"/>
          <w:lang w:val="es-ES"/>
        </w:rPr>
        <w:t xml:space="preserve"> esta Sala, y </w:t>
      </w:r>
      <w:r w:rsidR="009954BE">
        <w:rPr>
          <w:rFonts w:ascii="Arial" w:hAnsi="Arial" w:cs="Arial"/>
          <w:color w:val="000000"/>
          <w:szCs w:val="24"/>
          <w:shd w:val="clear" w:color="auto" w:fill="FFFFFF"/>
          <w:lang w:val="es-ES"/>
        </w:rPr>
        <w:t xml:space="preserve">además </w:t>
      </w:r>
      <w:r w:rsidR="003D0157">
        <w:rPr>
          <w:rFonts w:ascii="Arial" w:hAnsi="Arial" w:cs="Arial"/>
          <w:color w:val="000000"/>
          <w:szCs w:val="24"/>
          <w:shd w:val="clear" w:color="auto" w:fill="FFFFFF"/>
          <w:lang w:val="es-ES"/>
        </w:rPr>
        <w:t xml:space="preserve">la </w:t>
      </w:r>
      <w:r w:rsidR="009954BE">
        <w:rPr>
          <w:rFonts w:ascii="Arial" w:hAnsi="Arial" w:cs="Arial"/>
          <w:color w:val="000000"/>
          <w:szCs w:val="24"/>
          <w:shd w:val="clear" w:color="auto" w:fill="FFFFFF"/>
          <w:lang w:val="es-ES"/>
        </w:rPr>
        <w:t>considera</w:t>
      </w:r>
      <w:r w:rsidR="00294CE2">
        <w:rPr>
          <w:rFonts w:ascii="Arial" w:hAnsi="Arial" w:cs="Arial"/>
          <w:color w:val="000000"/>
          <w:szCs w:val="24"/>
          <w:shd w:val="clear" w:color="auto" w:fill="FFFFFF"/>
          <w:lang w:val="es-ES"/>
        </w:rPr>
        <w:t xml:space="preserve"> </w:t>
      </w:r>
      <w:r>
        <w:rPr>
          <w:rFonts w:ascii="Arial" w:hAnsi="Arial" w:cs="Arial"/>
          <w:color w:val="000000"/>
          <w:szCs w:val="24"/>
          <w:shd w:val="clear" w:color="auto" w:fill="FFFFFF"/>
          <w:lang w:val="es-ES"/>
        </w:rPr>
        <w:t>igualmente aplicable a las pensiones reconocidas con fundamento en l</w:t>
      </w:r>
      <w:r w:rsidR="004C33B5">
        <w:rPr>
          <w:rFonts w:ascii="Arial" w:hAnsi="Arial" w:cs="Arial"/>
          <w:color w:val="000000"/>
          <w:szCs w:val="24"/>
          <w:shd w:val="clear" w:color="auto" w:fill="FFFFFF"/>
          <w:lang w:val="es-ES"/>
        </w:rPr>
        <w:t>os</w:t>
      </w:r>
      <w:r>
        <w:rPr>
          <w:rFonts w:ascii="Arial" w:hAnsi="Arial" w:cs="Arial"/>
          <w:color w:val="000000"/>
          <w:szCs w:val="24"/>
          <w:shd w:val="clear" w:color="auto" w:fill="FFFFFF"/>
          <w:lang w:val="es-ES"/>
        </w:rPr>
        <w:t xml:space="preserve"> Acuerdo</w:t>
      </w:r>
      <w:r w:rsidR="004C33B5">
        <w:rPr>
          <w:rFonts w:ascii="Arial" w:hAnsi="Arial" w:cs="Arial"/>
          <w:color w:val="000000"/>
          <w:szCs w:val="24"/>
          <w:shd w:val="clear" w:color="auto" w:fill="FFFFFF"/>
          <w:lang w:val="es-ES"/>
        </w:rPr>
        <w:t>s</w:t>
      </w:r>
      <w:r>
        <w:rPr>
          <w:rFonts w:ascii="Arial" w:hAnsi="Arial" w:cs="Arial"/>
          <w:color w:val="000000"/>
          <w:szCs w:val="24"/>
          <w:shd w:val="clear" w:color="auto" w:fill="FFFFFF"/>
          <w:lang w:val="es-ES"/>
        </w:rPr>
        <w:t xml:space="preserve"> 224 de 1966</w:t>
      </w:r>
      <w:r w:rsidR="004C33B5">
        <w:rPr>
          <w:rFonts w:ascii="Arial" w:hAnsi="Arial" w:cs="Arial"/>
          <w:color w:val="000000"/>
          <w:szCs w:val="24"/>
          <w:shd w:val="clear" w:color="auto" w:fill="FFFFFF"/>
          <w:lang w:val="es-ES"/>
        </w:rPr>
        <w:t xml:space="preserve"> y 29 de 1985</w:t>
      </w:r>
      <w:r>
        <w:rPr>
          <w:rFonts w:ascii="Arial" w:hAnsi="Arial" w:cs="Arial"/>
          <w:color w:val="000000"/>
          <w:szCs w:val="24"/>
          <w:shd w:val="clear" w:color="auto" w:fill="FFFFFF"/>
          <w:lang w:val="es-ES"/>
        </w:rPr>
        <w:t xml:space="preserve">, dada la </w:t>
      </w:r>
      <w:r w:rsidR="00294CE2">
        <w:rPr>
          <w:rFonts w:ascii="Arial" w:hAnsi="Arial" w:cs="Arial"/>
          <w:color w:val="000000"/>
          <w:szCs w:val="24"/>
          <w:shd w:val="clear" w:color="auto" w:fill="FFFFFF"/>
          <w:lang w:val="es-ES"/>
        </w:rPr>
        <w:t xml:space="preserve">exactitud </w:t>
      </w:r>
      <w:r>
        <w:rPr>
          <w:rFonts w:ascii="Arial" w:hAnsi="Arial" w:cs="Arial"/>
          <w:color w:val="000000"/>
          <w:szCs w:val="24"/>
          <w:shd w:val="clear" w:color="auto" w:fill="FFFFFF"/>
          <w:lang w:val="es-ES"/>
        </w:rPr>
        <w:t xml:space="preserve">de la fórmula que se estatuyó para calcular el IBL, como se dejó dicho </w:t>
      </w:r>
      <w:proofErr w:type="spellStart"/>
      <w:r>
        <w:rPr>
          <w:rFonts w:ascii="Arial" w:hAnsi="Arial" w:cs="Arial"/>
          <w:color w:val="000000"/>
          <w:szCs w:val="24"/>
          <w:shd w:val="clear" w:color="auto" w:fill="FFFFFF"/>
          <w:lang w:val="es-ES"/>
        </w:rPr>
        <w:t>anteladamente</w:t>
      </w:r>
      <w:proofErr w:type="spellEnd"/>
      <w:r>
        <w:rPr>
          <w:rFonts w:ascii="Arial" w:hAnsi="Arial" w:cs="Arial"/>
          <w:color w:val="000000"/>
          <w:szCs w:val="24"/>
          <w:shd w:val="clear" w:color="auto" w:fill="FFFFFF"/>
          <w:lang w:val="es-ES"/>
        </w:rPr>
        <w:t xml:space="preserve">. </w:t>
      </w:r>
    </w:p>
    <w:p w:rsidR="008972FD" w:rsidRPr="00956952" w:rsidRDefault="008972FD" w:rsidP="00B9380B">
      <w:pPr>
        <w:ind w:firstLine="709"/>
        <w:jc w:val="both"/>
        <w:rPr>
          <w:rFonts w:ascii="Bookman Old Style" w:hAnsi="Bookman Old Style" w:cs="Estrangelo Edessa"/>
          <w:sz w:val="28"/>
          <w:szCs w:val="28"/>
        </w:rPr>
      </w:pPr>
    </w:p>
    <w:p w:rsidR="00CC0AEC" w:rsidRDefault="008868A2" w:rsidP="00144CC0">
      <w:pPr>
        <w:spacing w:line="276" w:lineRule="auto"/>
        <w:jc w:val="both"/>
        <w:rPr>
          <w:rFonts w:ascii="Arial" w:hAnsi="Arial" w:cs="Arial"/>
          <w:color w:val="000000"/>
          <w:szCs w:val="24"/>
          <w:shd w:val="clear" w:color="auto" w:fill="FFFFFF"/>
          <w:lang w:val="es-ES"/>
        </w:rPr>
      </w:pPr>
      <w:r>
        <w:rPr>
          <w:rFonts w:ascii="Arial" w:hAnsi="Arial" w:cs="Arial"/>
          <w:color w:val="000000"/>
          <w:szCs w:val="24"/>
          <w:shd w:val="clear" w:color="auto" w:fill="FFFFFF"/>
          <w:lang w:val="es-ES"/>
        </w:rPr>
        <w:t xml:space="preserve">Vale agregar, que es incontrovertible que </w:t>
      </w:r>
      <w:r w:rsidR="005A6B1D">
        <w:rPr>
          <w:rFonts w:ascii="Arial" w:hAnsi="Arial" w:cs="Arial"/>
          <w:color w:val="000000"/>
          <w:szCs w:val="24"/>
          <w:shd w:val="clear" w:color="auto" w:fill="FFFFFF"/>
          <w:lang w:val="es-ES"/>
        </w:rPr>
        <w:t xml:space="preserve">por </w:t>
      </w:r>
      <w:r>
        <w:rPr>
          <w:rFonts w:ascii="Arial" w:hAnsi="Arial" w:cs="Arial"/>
          <w:color w:val="000000"/>
          <w:szCs w:val="24"/>
          <w:shd w:val="clear" w:color="auto" w:fill="FFFFFF"/>
          <w:lang w:val="es-ES"/>
        </w:rPr>
        <w:t xml:space="preserve">contabilizarse </w:t>
      </w:r>
      <w:r w:rsidR="007C36EF">
        <w:rPr>
          <w:rFonts w:ascii="Arial" w:hAnsi="Arial" w:cs="Arial"/>
          <w:color w:val="000000"/>
          <w:szCs w:val="24"/>
          <w:shd w:val="clear" w:color="auto" w:fill="FFFFFF"/>
          <w:lang w:val="es-ES"/>
        </w:rPr>
        <w:t xml:space="preserve">solo </w:t>
      </w:r>
      <w:r>
        <w:rPr>
          <w:rFonts w:ascii="Arial" w:hAnsi="Arial" w:cs="Arial"/>
          <w:color w:val="000000"/>
          <w:szCs w:val="24"/>
          <w:shd w:val="clear" w:color="auto" w:fill="FFFFFF"/>
          <w:lang w:val="es-ES"/>
        </w:rPr>
        <w:t>e</w:t>
      </w:r>
      <w:r w:rsidR="005A6B1D">
        <w:rPr>
          <w:rFonts w:ascii="Arial" w:hAnsi="Arial" w:cs="Arial"/>
          <w:color w:val="000000"/>
          <w:szCs w:val="24"/>
          <w:shd w:val="clear" w:color="auto" w:fill="FFFFFF"/>
          <w:lang w:val="es-ES"/>
        </w:rPr>
        <w:t>l</w:t>
      </w:r>
      <w:r>
        <w:rPr>
          <w:rFonts w:ascii="Arial" w:hAnsi="Arial" w:cs="Arial"/>
          <w:color w:val="000000"/>
          <w:szCs w:val="24"/>
          <w:shd w:val="clear" w:color="auto" w:fill="FFFFFF"/>
          <w:lang w:val="es-ES"/>
        </w:rPr>
        <w:t xml:space="preserve"> salario </w:t>
      </w:r>
      <w:r w:rsidR="005A6B1D">
        <w:rPr>
          <w:rFonts w:ascii="Arial" w:hAnsi="Arial" w:cs="Arial"/>
          <w:color w:val="000000"/>
          <w:szCs w:val="24"/>
          <w:shd w:val="clear" w:color="auto" w:fill="FFFFFF"/>
          <w:lang w:val="es-ES"/>
        </w:rPr>
        <w:t>de las últimas</w:t>
      </w:r>
      <w:r w:rsidR="00294CE2">
        <w:rPr>
          <w:rFonts w:ascii="Arial" w:hAnsi="Arial" w:cs="Arial"/>
          <w:color w:val="000000"/>
          <w:szCs w:val="24"/>
          <w:shd w:val="clear" w:color="auto" w:fill="FFFFFF"/>
          <w:lang w:val="es-ES"/>
        </w:rPr>
        <w:t xml:space="preserve"> </w:t>
      </w:r>
      <w:r w:rsidR="005A6B1D">
        <w:rPr>
          <w:rFonts w:ascii="Arial" w:hAnsi="Arial" w:cs="Arial"/>
          <w:color w:val="000000"/>
          <w:szCs w:val="24"/>
          <w:shd w:val="clear" w:color="auto" w:fill="FFFFFF"/>
          <w:lang w:val="es-ES"/>
        </w:rPr>
        <w:t>100 semanas cotizadas,</w:t>
      </w:r>
      <w:r w:rsidR="00294CE2">
        <w:rPr>
          <w:rFonts w:ascii="Arial" w:hAnsi="Arial" w:cs="Arial"/>
          <w:color w:val="000000"/>
          <w:szCs w:val="24"/>
          <w:shd w:val="clear" w:color="auto" w:fill="FFFFFF"/>
          <w:lang w:val="es-ES"/>
        </w:rPr>
        <w:t xml:space="preserve"> </w:t>
      </w:r>
      <w:r w:rsidR="005A6B1D">
        <w:rPr>
          <w:rFonts w:ascii="Arial" w:hAnsi="Arial" w:cs="Arial"/>
          <w:color w:val="000000"/>
          <w:szCs w:val="24"/>
          <w:shd w:val="clear" w:color="auto" w:fill="FFFFFF"/>
          <w:lang w:val="es-ES"/>
        </w:rPr>
        <w:t>que corresponde a algo menos de</w:t>
      </w:r>
      <w:r w:rsidR="00294CE2">
        <w:rPr>
          <w:rFonts w:ascii="Arial" w:hAnsi="Arial" w:cs="Arial"/>
          <w:color w:val="000000"/>
          <w:szCs w:val="24"/>
          <w:shd w:val="clear" w:color="auto" w:fill="FFFFFF"/>
          <w:lang w:val="es-ES"/>
        </w:rPr>
        <w:t xml:space="preserve"> </w:t>
      </w:r>
      <w:r w:rsidR="005A6B1D">
        <w:rPr>
          <w:rFonts w:ascii="Arial" w:hAnsi="Arial" w:cs="Arial"/>
          <w:color w:val="000000"/>
          <w:szCs w:val="24"/>
          <w:shd w:val="clear" w:color="auto" w:fill="FFFFFF"/>
          <w:lang w:val="es-ES"/>
        </w:rPr>
        <w:t>2 años,</w:t>
      </w:r>
      <w:r w:rsidR="00D758F1">
        <w:rPr>
          <w:rFonts w:ascii="Arial" w:hAnsi="Arial" w:cs="Arial"/>
          <w:color w:val="000000"/>
          <w:szCs w:val="24"/>
          <w:shd w:val="clear" w:color="auto" w:fill="FFFFFF"/>
          <w:lang w:val="es-ES"/>
        </w:rPr>
        <w:t xml:space="preserve"> este lapso </w:t>
      </w:r>
      <w:r w:rsidR="005A6B1D">
        <w:rPr>
          <w:rFonts w:ascii="Arial" w:hAnsi="Arial" w:cs="Arial"/>
          <w:color w:val="000000"/>
          <w:szCs w:val="24"/>
          <w:shd w:val="clear" w:color="auto" w:fill="FFFFFF"/>
          <w:lang w:val="es-ES"/>
        </w:rPr>
        <w:t xml:space="preserve">no es </w:t>
      </w:r>
      <w:r w:rsidR="00D758F1">
        <w:rPr>
          <w:rFonts w:ascii="Arial" w:hAnsi="Arial" w:cs="Arial"/>
          <w:color w:val="000000"/>
          <w:szCs w:val="24"/>
          <w:shd w:val="clear" w:color="auto" w:fill="FFFFFF"/>
          <w:lang w:val="es-ES"/>
        </w:rPr>
        <w:t>significativo</w:t>
      </w:r>
      <w:r w:rsidR="005A6B1D">
        <w:rPr>
          <w:rFonts w:ascii="Arial" w:hAnsi="Arial" w:cs="Arial"/>
          <w:color w:val="000000"/>
          <w:szCs w:val="24"/>
          <w:shd w:val="clear" w:color="auto" w:fill="FFFFFF"/>
          <w:lang w:val="es-ES"/>
        </w:rPr>
        <w:t xml:space="preserve"> </w:t>
      </w:r>
      <w:r w:rsidR="007C36EF">
        <w:rPr>
          <w:rFonts w:ascii="Arial" w:hAnsi="Arial" w:cs="Arial"/>
          <w:color w:val="000000"/>
          <w:szCs w:val="24"/>
          <w:shd w:val="clear" w:color="auto" w:fill="FFFFFF"/>
          <w:lang w:val="es-ES"/>
        </w:rPr>
        <w:t>para colegir</w:t>
      </w:r>
      <w:r w:rsidR="005A6B1D">
        <w:rPr>
          <w:rFonts w:ascii="Arial" w:hAnsi="Arial" w:cs="Arial"/>
          <w:color w:val="000000"/>
          <w:szCs w:val="24"/>
          <w:shd w:val="clear" w:color="auto" w:fill="FFFFFF"/>
          <w:lang w:val="es-ES"/>
        </w:rPr>
        <w:t xml:space="preserve"> pérdida del poder adquisitivo del peso</w:t>
      </w:r>
      <w:r w:rsidR="00D758F1">
        <w:rPr>
          <w:rFonts w:ascii="Arial" w:hAnsi="Arial" w:cs="Arial"/>
          <w:color w:val="000000"/>
          <w:szCs w:val="24"/>
          <w:shd w:val="clear" w:color="auto" w:fill="FFFFFF"/>
          <w:lang w:val="es-ES"/>
        </w:rPr>
        <w:t>, que amerite la indexación</w:t>
      </w:r>
      <w:r w:rsidR="005A6B1D">
        <w:rPr>
          <w:rFonts w:ascii="Arial" w:hAnsi="Arial" w:cs="Arial"/>
          <w:color w:val="000000"/>
          <w:szCs w:val="24"/>
          <w:shd w:val="clear" w:color="auto" w:fill="FFFFFF"/>
          <w:lang w:val="es-ES"/>
        </w:rPr>
        <w:t xml:space="preserve">; </w:t>
      </w:r>
      <w:r w:rsidR="00CC52FF">
        <w:rPr>
          <w:rFonts w:ascii="Arial" w:hAnsi="Arial" w:cs="Arial"/>
          <w:color w:val="000000"/>
          <w:szCs w:val="24"/>
          <w:shd w:val="clear" w:color="auto" w:fill="FFFFFF"/>
          <w:lang w:val="es-ES"/>
        </w:rPr>
        <w:t xml:space="preserve">contrario a lo que </w:t>
      </w:r>
      <w:r w:rsidR="005A6B1D">
        <w:rPr>
          <w:rFonts w:ascii="Arial" w:hAnsi="Arial" w:cs="Arial"/>
          <w:color w:val="000000"/>
          <w:szCs w:val="24"/>
          <w:shd w:val="clear" w:color="auto" w:fill="FFFFFF"/>
          <w:lang w:val="es-ES"/>
        </w:rPr>
        <w:t>sucede en otras pensiones legales</w:t>
      </w:r>
      <w:r w:rsidR="00CC52FF">
        <w:rPr>
          <w:rFonts w:ascii="Arial" w:hAnsi="Arial" w:cs="Arial"/>
          <w:color w:val="000000"/>
          <w:szCs w:val="24"/>
          <w:shd w:val="clear" w:color="auto" w:fill="FFFFFF"/>
          <w:lang w:val="es-ES"/>
        </w:rPr>
        <w:t>,</w:t>
      </w:r>
      <w:r w:rsidR="005A6B1D">
        <w:rPr>
          <w:rFonts w:ascii="Arial" w:hAnsi="Arial" w:cs="Arial"/>
          <w:color w:val="000000"/>
          <w:szCs w:val="24"/>
          <w:shd w:val="clear" w:color="auto" w:fill="FFFFFF"/>
          <w:lang w:val="es-ES"/>
        </w:rPr>
        <w:t xml:space="preserve"> como la </w:t>
      </w:r>
      <w:r w:rsidR="007C36EF">
        <w:rPr>
          <w:rFonts w:ascii="Arial" w:hAnsi="Arial" w:cs="Arial"/>
          <w:color w:val="000000"/>
          <w:szCs w:val="24"/>
          <w:shd w:val="clear" w:color="auto" w:fill="FFFFFF"/>
          <w:lang w:val="es-ES"/>
        </w:rPr>
        <w:t>L</w:t>
      </w:r>
      <w:r w:rsidR="005A6B1D">
        <w:rPr>
          <w:rFonts w:ascii="Arial" w:hAnsi="Arial" w:cs="Arial"/>
          <w:color w:val="000000"/>
          <w:szCs w:val="24"/>
          <w:shd w:val="clear" w:color="auto" w:fill="FFFFFF"/>
          <w:lang w:val="es-ES"/>
        </w:rPr>
        <w:t xml:space="preserve">ey 33 de 1985 y </w:t>
      </w:r>
      <w:r w:rsidR="007C36EF">
        <w:rPr>
          <w:rFonts w:ascii="Arial" w:hAnsi="Arial" w:cs="Arial"/>
          <w:color w:val="000000"/>
          <w:szCs w:val="24"/>
          <w:shd w:val="clear" w:color="auto" w:fill="FFFFFF"/>
          <w:lang w:val="es-ES"/>
        </w:rPr>
        <w:t>L</w:t>
      </w:r>
      <w:r w:rsidR="005A6B1D">
        <w:rPr>
          <w:rFonts w:ascii="Arial" w:hAnsi="Arial" w:cs="Arial"/>
          <w:color w:val="000000"/>
          <w:szCs w:val="24"/>
          <w:shd w:val="clear" w:color="auto" w:fill="FFFFFF"/>
          <w:lang w:val="es-ES"/>
        </w:rPr>
        <w:t xml:space="preserve">ey 71 de 1988, donde el periodo que se abarca </w:t>
      </w:r>
      <w:r w:rsidR="00CC52FF">
        <w:rPr>
          <w:rFonts w:ascii="Arial" w:hAnsi="Arial" w:cs="Arial"/>
          <w:color w:val="000000"/>
          <w:szCs w:val="24"/>
          <w:shd w:val="clear" w:color="auto" w:fill="FFFFFF"/>
          <w:lang w:val="es-ES"/>
        </w:rPr>
        <w:t xml:space="preserve">para hallar el IBL </w:t>
      </w:r>
      <w:r w:rsidR="005A6B1D">
        <w:rPr>
          <w:rFonts w:ascii="Arial" w:hAnsi="Arial" w:cs="Arial"/>
          <w:color w:val="000000"/>
          <w:szCs w:val="24"/>
          <w:shd w:val="clear" w:color="auto" w:fill="FFFFFF"/>
          <w:lang w:val="es-ES"/>
        </w:rPr>
        <w:t>es mucho mayor</w:t>
      </w:r>
      <w:r w:rsidR="007C36EF">
        <w:rPr>
          <w:rFonts w:ascii="Arial" w:hAnsi="Arial" w:cs="Arial"/>
          <w:color w:val="000000"/>
          <w:szCs w:val="24"/>
          <w:shd w:val="clear" w:color="auto" w:fill="FFFFFF"/>
          <w:lang w:val="es-ES"/>
        </w:rPr>
        <w:t>,</w:t>
      </w:r>
      <w:r w:rsidR="00CC52FF">
        <w:rPr>
          <w:rFonts w:ascii="Arial" w:hAnsi="Arial" w:cs="Arial"/>
          <w:color w:val="000000"/>
          <w:szCs w:val="24"/>
          <w:shd w:val="clear" w:color="auto" w:fill="FFFFFF"/>
          <w:lang w:val="es-ES"/>
        </w:rPr>
        <w:t xml:space="preserve"> donde sí se presenta de manera importante la pérdida del poder adquisitivo del peso</w:t>
      </w:r>
      <w:r w:rsidR="00020A06">
        <w:rPr>
          <w:rFonts w:ascii="Arial" w:hAnsi="Arial" w:cs="Arial"/>
          <w:color w:val="000000"/>
          <w:szCs w:val="24"/>
          <w:shd w:val="clear" w:color="auto" w:fill="FFFFFF"/>
          <w:lang w:val="es-ES"/>
        </w:rPr>
        <w:t>.</w:t>
      </w:r>
    </w:p>
    <w:p w:rsidR="00020A06" w:rsidRPr="008972FD" w:rsidRDefault="00020A06" w:rsidP="00144CC0">
      <w:pPr>
        <w:spacing w:line="276" w:lineRule="auto"/>
        <w:jc w:val="both"/>
        <w:rPr>
          <w:rFonts w:ascii="Arial" w:hAnsi="Arial" w:cs="Arial"/>
          <w:color w:val="000000"/>
          <w:szCs w:val="24"/>
          <w:shd w:val="clear" w:color="auto" w:fill="FFFFFF"/>
          <w:lang w:val="es-ES"/>
        </w:rPr>
      </w:pPr>
    </w:p>
    <w:p w:rsidR="003D0157" w:rsidRDefault="008972FD" w:rsidP="00F848E0">
      <w:pPr>
        <w:spacing w:line="276" w:lineRule="auto"/>
        <w:jc w:val="both"/>
        <w:rPr>
          <w:rFonts w:ascii="Arial" w:hAnsi="Arial" w:cs="Arial"/>
          <w:szCs w:val="24"/>
        </w:rPr>
      </w:pPr>
      <w:r w:rsidRPr="008972FD">
        <w:rPr>
          <w:rFonts w:ascii="Arial" w:hAnsi="Arial" w:cs="Arial"/>
          <w:szCs w:val="24"/>
        </w:rPr>
        <w:t xml:space="preserve">De otro lado, juega papel preponderante, que </w:t>
      </w:r>
      <w:r w:rsidR="00DB17B9" w:rsidRPr="008972FD">
        <w:rPr>
          <w:rFonts w:ascii="Arial" w:hAnsi="Arial" w:cs="Arial"/>
          <w:szCs w:val="24"/>
        </w:rPr>
        <w:t>el monto de la pensión no est</w:t>
      </w:r>
      <w:r w:rsidR="00881457">
        <w:rPr>
          <w:rFonts w:ascii="Arial" w:hAnsi="Arial" w:cs="Arial"/>
          <w:szCs w:val="24"/>
        </w:rPr>
        <w:t>e</w:t>
      </w:r>
      <w:r w:rsidR="00DB17B9" w:rsidRPr="008972FD">
        <w:rPr>
          <w:rFonts w:ascii="Arial" w:hAnsi="Arial" w:cs="Arial"/>
          <w:szCs w:val="24"/>
        </w:rPr>
        <w:t xml:space="preserve"> dado por un factor único fijado en la ley, como sucede para los </w:t>
      </w:r>
      <w:r w:rsidRPr="008972FD">
        <w:rPr>
          <w:rFonts w:ascii="Arial" w:hAnsi="Arial" w:cs="Arial"/>
          <w:szCs w:val="24"/>
        </w:rPr>
        <w:t xml:space="preserve">beneficiarios de las leyes </w:t>
      </w:r>
      <w:r w:rsidR="007C36EF">
        <w:rPr>
          <w:rFonts w:ascii="Arial" w:hAnsi="Arial" w:cs="Arial"/>
          <w:szCs w:val="24"/>
        </w:rPr>
        <w:t>ya citadas</w:t>
      </w:r>
      <w:r w:rsidR="00DB17B9" w:rsidRPr="008972FD">
        <w:rPr>
          <w:rFonts w:ascii="Arial" w:hAnsi="Arial" w:cs="Arial"/>
          <w:szCs w:val="24"/>
        </w:rPr>
        <w:t>, donde la tasa de reemplazo está predetermina</w:t>
      </w:r>
      <w:r w:rsidR="00A17078">
        <w:rPr>
          <w:rFonts w:ascii="Arial" w:hAnsi="Arial" w:cs="Arial"/>
          <w:szCs w:val="24"/>
        </w:rPr>
        <w:t>da</w:t>
      </w:r>
      <w:r w:rsidR="00DB17B9" w:rsidRPr="008972FD">
        <w:rPr>
          <w:rFonts w:ascii="Arial" w:hAnsi="Arial" w:cs="Arial"/>
          <w:szCs w:val="24"/>
        </w:rPr>
        <w:t xml:space="preserve"> </w:t>
      </w:r>
      <w:r w:rsidR="00DB17B9" w:rsidRPr="00E92205">
        <w:rPr>
          <w:rFonts w:ascii="Arial" w:hAnsi="Arial" w:cs="Arial"/>
          <w:szCs w:val="24"/>
        </w:rPr>
        <w:t>en un monto del 75%; sino variable, que depende del número de semanas</w:t>
      </w:r>
      <w:r w:rsidR="00E55DF2" w:rsidRPr="00E92205">
        <w:rPr>
          <w:rFonts w:ascii="Arial" w:hAnsi="Arial" w:cs="Arial"/>
          <w:szCs w:val="24"/>
        </w:rPr>
        <w:t xml:space="preserve"> cotizadas. </w:t>
      </w:r>
    </w:p>
    <w:p w:rsidR="003D0157" w:rsidRDefault="003D0157" w:rsidP="00F848E0">
      <w:pPr>
        <w:spacing w:line="276" w:lineRule="auto"/>
        <w:jc w:val="both"/>
        <w:rPr>
          <w:rFonts w:ascii="Arial" w:hAnsi="Arial" w:cs="Arial"/>
          <w:szCs w:val="24"/>
        </w:rPr>
      </w:pPr>
    </w:p>
    <w:p w:rsidR="001841D7" w:rsidRDefault="00E55DF2" w:rsidP="00F848E0">
      <w:pPr>
        <w:spacing w:line="276" w:lineRule="auto"/>
        <w:jc w:val="both"/>
        <w:rPr>
          <w:sz w:val="28"/>
          <w:szCs w:val="28"/>
        </w:rPr>
      </w:pPr>
      <w:r w:rsidRPr="00E92205">
        <w:rPr>
          <w:rFonts w:ascii="Arial" w:hAnsi="Arial" w:cs="Arial"/>
          <w:szCs w:val="24"/>
        </w:rPr>
        <w:t xml:space="preserve">Así, se fija un monto mínimo de pensión del 45% </w:t>
      </w:r>
      <w:r w:rsidR="003D0157">
        <w:rPr>
          <w:rFonts w:ascii="Arial" w:hAnsi="Arial" w:cs="Arial"/>
          <w:szCs w:val="24"/>
        </w:rPr>
        <w:t xml:space="preserve">que </w:t>
      </w:r>
      <w:r w:rsidRPr="00E92205">
        <w:rPr>
          <w:rFonts w:ascii="Arial" w:hAnsi="Arial" w:cs="Arial"/>
          <w:szCs w:val="24"/>
        </w:rPr>
        <w:t xml:space="preserve">se aumenta a razón del </w:t>
      </w:r>
      <w:r w:rsidR="007C36EF">
        <w:rPr>
          <w:rFonts w:ascii="Arial" w:hAnsi="Arial" w:cs="Arial"/>
          <w:szCs w:val="24"/>
        </w:rPr>
        <w:t>3</w:t>
      </w:r>
      <w:r w:rsidRPr="00E92205">
        <w:rPr>
          <w:rFonts w:ascii="Arial" w:hAnsi="Arial" w:cs="Arial"/>
          <w:szCs w:val="24"/>
        </w:rPr>
        <w:t xml:space="preserve">% por cada </w:t>
      </w:r>
      <w:r w:rsidR="001841D7" w:rsidRPr="00E92205">
        <w:rPr>
          <w:rFonts w:ascii="Arial" w:hAnsi="Arial" w:cs="Arial"/>
          <w:szCs w:val="24"/>
        </w:rPr>
        <w:t>cincuenta semanas de cotización adicionales a las primeras quinientas</w:t>
      </w:r>
      <w:r w:rsidR="008972FD" w:rsidRPr="00E92205">
        <w:rPr>
          <w:rFonts w:ascii="Arial" w:hAnsi="Arial" w:cs="Arial"/>
          <w:szCs w:val="24"/>
        </w:rPr>
        <w:t>.</w:t>
      </w:r>
      <w:r w:rsidR="008972FD" w:rsidRPr="008972FD">
        <w:rPr>
          <w:rFonts w:ascii="Arial" w:hAnsi="Arial" w:cs="Arial"/>
          <w:szCs w:val="24"/>
        </w:rPr>
        <w:t xml:space="preserve"> De tal forma que el afiliado </w:t>
      </w:r>
      <w:r w:rsidR="003D0157">
        <w:rPr>
          <w:rFonts w:ascii="Arial" w:hAnsi="Arial" w:cs="Arial"/>
          <w:szCs w:val="24"/>
        </w:rPr>
        <w:t xml:space="preserve">está </w:t>
      </w:r>
      <w:r w:rsidR="008972FD" w:rsidRPr="008972FD">
        <w:rPr>
          <w:rFonts w:ascii="Arial" w:hAnsi="Arial" w:cs="Arial"/>
          <w:szCs w:val="24"/>
        </w:rPr>
        <w:t xml:space="preserve">en la capacidad de </w:t>
      </w:r>
      <w:r w:rsidR="008972FD">
        <w:rPr>
          <w:rFonts w:ascii="Arial" w:hAnsi="Arial" w:cs="Arial"/>
          <w:szCs w:val="24"/>
        </w:rPr>
        <w:t xml:space="preserve">lograr una </w:t>
      </w:r>
      <w:r w:rsidR="008972FD" w:rsidRPr="008972FD">
        <w:rPr>
          <w:rFonts w:ascii="Arial" w:hAnsi="Arial" w:cs="Arial"/>
          <w:szCs w:val="24"/>
        </w:rPr>
        <w:t>tasa de remplazo</w:t>
      </w:r>
      <w:r w:rsidR="008972FD">
        <w:rPr>
          <w:rFonts w:ascii="Arial" w:hAnsi="Arial" w:cs="Arial"/>
          <w:szCs w:val="24"/>
        </w:rPr>
        <w:t xml:space="preserve"> mayor</w:t>
      </w:r>
      <w:r w:rsidR="008972FD" w:rsidRPr="008972FD">
        <w:rPr>
          <w:rFonts w:ascii="Arial" w:hAnsi="Arial" w:cs="Arial"/>
          <w:szCs w:val="24"/>
        </w:rPr>
        <w:t>, pues para ello solo debe seguir cotizando.</w:t>
      </w:r>
      <w:r w:rsidR="008972FD">
        <w:rPr>
          <w:sz w:val="28"/>
          <w:szCs w:val="28"/>
        </w:rPr>
        <w:t xml:space="preserve"> </w:t>
      </w:r>
    </w:p>
    <w:p w:rsidR="00F848E0" w:rsidRPr="00D93BC8" w:rsidRDefault="00F848E0" w:rsidP="00F848E0">
      <w:pPr>
        <w:spacing w:line="276" w:lineRule="auto"/>
        <w:jc w:val="both"/>
        <w:rPr>
          <w:rFonts w:ascii="Arial" w:hAnsi="Arial" w:cs="Arial"/>
          <w:szCs w:val="24"/>
        </w:rPr>
      </w:pPr>
    </w:p>
    <w:p w:rsidR="000A40DE" w:rsidRDefault="00F848E0" w:rsidP="00F848E0">
      <w:pPr>
        <w:spacing w:line="276" w:lineRule="auto"/>
        <w:jc w:val="both"/>
        <w:rPr>
          <w:rFonts w:ascii="Arial" w:hAnsi="Arial" w:cs="Arial"/>
          <w:szCs w:val="24"/>
        </w:rPr>
      </w:pPr>
      <w:r w:rsidRPr="00D93BC8">
        <w:rPr>
          <w:rFonts w:ascii="Arial" w:hAnsi="Arial" w:cs="Arial"/>
          <w:szCs w:val="24"/>
        </w:rPr>
        <w:lastRenderedPageBreak/>
        <w:t xml:space="preserve">Conforme lo expuesto, dado que la pensión del actor se reconoció en el año </w:t>
      </w:r>
      <w:r w:rsidR="00D93BC8">
        <w:rPr>
          <w:rFonts w:ascii="Arial" w:hAnsi="Arial" w:cs="Arial"/>
          <w:szCs w:val="24"/>
        </w:rPr>
        <w:t>1988</w:t>
      </w:r>
      <w:r w:rsidRPr="00D93BC8">
        <w:rPr>
          <w:rFonts w:ascii="Arial" w:hAnsi="Arial" w:cs="Arial"/>
          <w:szCs w:val="24"/>
        </w:rPr>
        <w:t>, la normativa vigente lo era el acuerdo 224 de 1966</w:t>
      </w:r>
      <w:r w:rsidR="007C36EF">
        <w:rPr>
          <w:rFonts w:ascii="Arial" w:hAnsi="Arial" w:cs="Arial"/>
          <w:szCs w:val="24"/>
        </w:rPr>
        <w:t xml:space="preserve"> y acuerdo 029 de 1985</w:t>
      </w:r>
      <w:r w:rsidRPr="00D93BC8">
        <w:rPr>
          <w:rFonts w:ascii="Arial" w:hAnsi="Arial" w:cs="Arial"/>
          <w:szCs w:val="24"/>
        </w:rPr>
        <w:t>, que debió ser la aplicada</w:t>
      </w:r>
      <w:r w:rsidR="00D93BC8">
        <w:rPr>
          <w:rFonts w:ascii="Arial" w:hAnsi="Arial" w:cs="Arial"/>
          <w:szCs w:val="24"/>
        </w:rPr>
        <w:t>, pues en la resolución respectiva nada se dijo</w:t>
      </w:r>
      <w:r w:rsidRPr="00D93BC8">
        <w:rPr>
          <w:rFonts w:ascii="Arial" w:hAnsi="Arial" w:cs="Arial"/>
          <w:szCs w:val="24"/>
        </w:rPr>
        <w:t xml:space="preserve">; de lo que sigue que esta es de aquellas que para el órgano de cierre de esta especialidad es improcedente la indexación de la </w:t>
      </w:r>
      <w:r w:rsidR="000A40DE">
        <w:rPr>
          <w:rFonts w:ascii="Arial" w:hAnsi="Arial" w:cs="Arial"/>
          <w:szCs w:val="24"/>
        </w:rPr>
        <w:t xml:space="preserve">primera </w:t>
      </w:r>
      <w:r w:rsidRPr="00D93BC8">
        <w:rPr>
          <w:rFonts w:ascii="Arial" w:hAnsi="Arial" w:cs="Arial"/>
          <w:szCs w:val="24"/>
        </w:rPr>
        <w:t>mesada pensional.</w:t>
      </w:r>
    </w:p>
    <w:p w:rsidR="000A40DE" w:rsidRDefault="000A40DE" w:rsidP="00F848E0">
      <w:pPr>
        <w:spacing w:line="276" w:lineRule="auto"/>
        <w:jc w:val="both"/>
        <w:rPr>
          <w:rFonts w:ascii="Arial" w:hAnsi="Arial" w:cs="Arial"/>
          <w:szCs w:val="24"/>
        </w:rPr>
      </w:pPr>
    </w:p>
    <w:p w:rsidR="00E762DE" w:rsidRDefault="000A40DE" w:rsidP="00F848E0">
      <w:pPr>
        <w:spacing w:line="276" w:lineRule="auto"/>
        <w:jc w:val="both"/>
        <w:rPr>
          <w:rFonts w:ascii="Arial" w:hAnsi="Arial" w:cs="Arial"/>
          <w:szCs w:val="24"/>
        </w:rPr>
      </w:pPr>
      <w:r>
        <w:rPr>
          <w:rFonts w:ascii="Arial" w:hAnsi="Arial" w:cs="Arial"/>
          <w:szCs w:val="24"/>
        </w:rPr>
        <w:t xml:space="preserve">Finalmente, </w:t>
      </w:r>
      <w:r w:rsidR="00A17078">
        <w:rPr>
          <w:rFonts w:ascii="Arial" w:hAnsi="Arial" w:cs="Arial"/>
          <w:szCs w:val="24"/>
        </w:rPr>
        <w:t>dado</w:t>
      </w:r>
      <w:r w:rsidR="00AE3A4F">
        <w:rPr>
          <w:rFonts w:ascii="Arial" w:hAnsi="Arial" w:cs="Arial"/>
          <w:szCs w:val="24"/>
        </w:rPr>
        <w:t xml:space="preserve"> que e</w:t>
      </w:r>
      <w:r>
        <w:rPr>
          <w:rFonts w:ascii="Arial" w:hAnsi="Arial" w:cs="Arial"/>
          <w:szCs w:val="24"/>
        </w:rPr>
        <w:t>l valor de la mesada pensional reconocida por el ISS</w:t>
      </w:r>
      <w:r w:rsidR="00AE3A4F">
        <w:rPr>
          <w:rFonts w:ascii="Arial" w:hAnsi="Arial" w:cs="Arial"/>
          <w:szCs w:val="24"/>
        </w:rPr>
        <w:t xml:space="preserve"> </w:t>
      </w:r>
      <w:r w:rsidR="00E762DE">
        <w:rPr>
          <w:rFonts w:ascii="Arial" w:hAnsi="Arial" w:cs="Arial"/>
          <w:szCs w:val="24"/>
        </w:rPr>
        <w:t>coincide con</w:t>
      </w:r>
      <w:r w:rsidR="00A17078">
        <w:rPr>
          <w:rFonts w:ascii="Arial" w:hAnsi="Arial" w:cs="Arial"/>
          <w:szCs w:val="24"/>
        </w:rPr>
        <w:t xml:space="preserve"> la liquidada por esta Sala ya</w:t>
      </w:r>
      <w:r w:rsidR="00E762DE">
        <w:rPr>
          <w:rFonts w:ascii="Arial" w:hAnsi="Arial" w:cs="Arial"/>
          <w:szCs w:val="24"/>
        </w:rPr>
        <w:t xml:space="preserve"> que arroja un valor inferior al salario mínimo</w:t>
      </w:r>
      <w:r w:rsidR="00004BBE">
        <w:rPr>
          <w:rFonts w:ascii="Arial" w:hAnsi="Arial" w:cs="Arial"/>
          <w:szCs w:val="24"/>
        </w:rPr>
        <w:t xml:space="preserve"> legal mensual vigente</w:t>
      </w:r>
      <w:r w:rsidR="00E762DE">
        <w:rPr>
          <w:rFonts w:ascii="Arial" w:hAnsi="Arial" w:cs="Arial"/>
          <w:szCs w:val="24"/>
        </w:rPr>
        <w:t xml:space="preserve">, debiendo ser éste el valor de la mesada, no hay lugar a </w:t>
      </w:r>
      <w:proofErr w:type="spellStart"/>
      <w:r w:rsidR="00E762DE">
        <w:rPr>
          <w:rFonts w:ascii="Arial" w:hAnsi="Arial" w:cs="Arial"/>
          <w:szCs w:val="24"/>
        </w:rPr>
        <w:t>reliquidarla</w:t>
      </w:r>
      <w:proofErr w:type="spellEnd"/>
      <w:r w:rsidR="00E762DE">
        <w:rPr>
          <w:rFonts w:ascii="Arial" w:hAnsi="Arial" w:cs="Arial"/>
          <w:szCs w:val="24"/>
        </w:rPr>
        <w:t xml:space="preserve">, tal como se puede observar en el anexo que se adjunta a ésta acta. </w:t>
      </w:r>
    </w:p>
    <w:p w:rsidR="005B4113" w:rsidRDefault="005B4113" w:rsidP="005B4113">
      <w:pPr>
        <w:spacing w:line="276" w:lineRule="auto"/>
        <w:jc w:val="both"/>
        <w:rPr>
          <w:rFonts w:ascii="Arial" w:hAnsi="Arial" w:cs="Arial"/>
          <w:color w:val="000000"/>
          <w:szCs w:val="24"/>
          <w:shd w:val="clear" w:color="auto" w:fill="FFFFFF"/>
          <w:lang w:val="es-ES"/>
        </w:rPr>
      </w:pPr>
    </w:p>
    <w:p w:rsidR="00530FFD" w:rsidRDefault="00530FFD" w:rsidP="001929DC">
      <w:pPr>
        <w:shd w:val="clear" w:color="auto" w:fill="FFFFFF"/>
        <w:tabs>
          <w:tab w:val="left" w:pos="5197"/>
        </w:tabs>
        <w:spacing w:line="276" w:lineRule="auto"/>
        <w:jc w:val="center"/>
        <w:rPr>
          <w:rFonts w:ascii="Arial" w:hAnsi="Arial" w:cs="Arial"/>
          <w:b/>
          <w:color w:val="000000"/>
          <w:szCs w:val="24"/>
          <w:lang w:eastAsia="es-CO"/>
        </w:rPr>
      </w:pPr>
    </w:p>
    <w:p w:rsidR="001929DC" w:rsidRPr="003371E3" w:rsidRDefault="001929DC" w:rsidP="001929DC">
      <w:pPr>
        <w:shd w:val="clear" w:color="auto" w:fill="FFFFFF"/>
        <w:tabs>
          <w:tab w:val="left" w:pos="5197"/>
        </w:tabs>
        <w:spacing w:line="276" w:lineRule="auto"/>
        <w:jc w:val="center"/>
        <w:rPr>
          <w:rFonts w:ascii="Arial" w:hAnsi="Arial" w:cs="Arial"/>
          <w:b/>
          <w:color w:val="000000"/>
          <w:szCs w:val="24"/>
          <w:lang w:eastAsia="es-CO"/>
        </w:rPr>
      </w:pPr>
      <w:r>
        <w:rPr>
          <w:rFonts w:ascii="Arial" w:hAnsi="Arial" w:cs="Arial"/>
          <w:b/>
          <w:color w:val="000000"/>
          <w:szCs w:val="24"/>
          <w:lang w:eastAsia="es-CO"/>
        </w:rPr>
        <w:t>CONCLUSIÓN</w:t>
      </w:r>
    </w:p>
    <w:p w:rsidR="001929DC" w:rsidRDefault="001929DC" w:rsidP="001929DC">
      <w:pPr>
        <w:spacing w:line="276" w:lineRule="auto"/>
        <w:ind w:firstLine="708"/>
        <w:jc w:val="both"/>
        <w:rPr>
          <w:rFonts w:ascii="Arial" w:hAnsi="Arial" w:cs="Arial"/>
          <w:szCs w:val="24"/>
        </w:rPr>
      </w:pPr>
    </w:p>
    <w:p w:rsidR="001365C6" w:rsidRDefault="001726C7" w:rsidP="003371E3">
      <w:pPr>
        <w:shd w:val="clear" w:color="auto" w:fill="FFFFFF"/>
        <w:tabs>
          <w:tab w:val="left" w:pos="3439"/>
        </w:tabs>
        <w:spacing w:line="276" w:lineRule="auto"/>
        <w:jc w:val="both"/>
        <w:rPr>
          <w:rFonts w:ascii="Arial" w:hAnsi="Arial" w:cs="Arial"/>
          <w:szCs w:val="24"/>
        </w:rPr>
      </w:pPr>
      <w:r>
        <w:rPr>
          <w:rFonts w:ascii="Arial" w:hAnsi="Arial" w:cs="Arial"/>
          <w:szCs w:val="24"/>
        </w:rPr>
        <w:t>En este orden de ideas</w:t>
      </w:r>
      <w:r w:rsidR="008260C9">
        <w:rPr>
          <w:rFonts w:ascii="Arial" w:hAnsi="Arial" w:cs="Arial"/>
          <w:szCs w:val="24"/>
        </w:rPr>
        <w:t xml:space="preserve">, </w:t>
      </w:r>
      <w:r w:rsidR="00311C9C">
        <w:rPr>
          <w:rFonts w:ascii="Arial" w:hAnsi="Arial" w:cs="Arial"/>
          <w:szCs w:val="24"/>
        </w:rPr>
        <w:t xml:space="preserve">encuentra la Sala que la decisión de primera instancia habrá </w:t>
      </w:r>
      <w:r w:rsidR="003D6CB5">
        <w:rPr>
          <w:rFonts w:ascii="Arial" w:hAnsi="Arial" w:cs="Arial"/>
          <w:szCs w:val="24"/>
        </w:rPr>
        <w:t>de confirmarse</w:t>
      </w:r>
      <w:r w:rsidR="006B79EE">
        <w:rPr>
          <w:rFonts w:ascii="Arial" w:hAnsi="Arial" w:cs="Arial"/>
          <w:szCs w:val="24"/>
        </w:rPr>
        <w:t>.</w:t>
      </w:r>
    </w:p>
    <w:p w:rsidR="001365C6" w:rsidRDefault="001365C6" w:rsidP="00F017BF">
      <w:pPr>
        <w:spacing w:line="276" w:lineRule="auto"/>
        <w:ind w:firstLine="708"/>
        <w:jc w:val="both"/>
        <w:rPr>
          <w:rFonts w:ascii="Arial" w:hAnsi="Arial" w:cs="Arial"/>
          <w:szCs w:val="24"/>
        </w:rPr>
      </w:pPr>
    </w:p>
    <w:p w:rsidR="00EA3CA8" w:rsidRDefault="00565E83" w:rsidP="003371E3">
      <w:pPr>
        <w:spacing w:line="276" w:lineRule="auto"/>
        <w:jc w:val="both"/>
        <w:rPr>
          <w:rFonts w:ascii="Arial" w:hAnsi="Arial" w:cs="Arial"/>
          <w:szCs w:val="24"/>
        </w:rPr>
      </w:pPr>
      <w:r w:rsidRPr="00D578CB">
        <w:rPr>
          <w:rFonts w:ascii="Arial" w:hAnsi="Arial" w:cs="Arial"/>
          <w:szCs w:val="24"/>
        </w:rPr>
        <w:t xml:space="preserve">Costas en </w:t>
      </w:r>
      <w:r w:rsidR="00D33344">
        <w:rPr>
          <w:rFonts w:ascii="Arial" w:hAnsi="Arial" w:cs="Arial"/>
          <w:szCs w:val="24"/>
        </w:rPr>
        <w:t xml:space="preserve">esta instancia </w:t>
      </w:r>
      <w:r w:rsidR="006B2959">
        <w:rPr>
          <w:rFonts w:ascii="Arial" w:hAnsi="Arial" w:cs="Arial"/>
          <w:szCs w:val="24"/>
        </w:rPr>
        <w:t>no se causaron por tratarse del g</w:t>
      </w:r>
      <w:r w:rsidR="00FE73D1">
        <w:rPr>
          <w:rFonts w:ascii="Arial" w:hAnsi="Arial" w:cs="Arial"/>
          <w:szCs w:val="24"/>
        </w:rPr>
        <w:t>rado jurisdiccional de consulta.</w:t>
      </w:r>
    </w:p>
    <w:p w:rsidR="006B2959" w:rsidRDefault="006B2959" w:rsidP="003371E3">
      <w:pPr>
        <w:spacing w:line="276" w:lineRule="auto"/>
        <w:jc w:val="both"/>
        <w:rPr>
          <w:rFonts w:ascii="Arial" w:hAnsi="Arial" w:cs="Arial"/>
          <w:szCs w:val="24"/>
        </w:rPr>
      </w:pPr>
    </w:p>
    <w:p w:rsidR="003371E3" w:rsidRDefault="003371E3" w:rsidP="003371E3">
      <w:pPr>
        <w:spacing w:line="276" w:lineRule="auto"/>
        <w:jc w:val="center"/>
        <w:rPr>
          <w:rFonts w:ascii="Arial" w:hAnsi="Arial" w:cs="Arial"/>
          <w:b/>
          <w:szCs w:val="24"/>
        </w:rPr>
      </w:pPr>
      <w:r w:rsidRPr="003371E3">
        <w:rPr>
          <w:rFonts w:ascii="Arial" w:hAnsi="Arial" w:cs="Arial"/>
          <w:b/>
          <w:szCs w:val="24"/>
        </w:rPr>
        <w:t>DECISIÓN</w:t>
      </w:r>
    </w:p>
    <w:p w:rsidR="001929DC" w:rsidRPr="003371E3" w:rsidRDefault="001929DC" w:rsidP="003371E3">
      <w:pPr>
        <w:spacing w:line="276" w:lineRule="auto"/>
        <w:jc w:val="center"/>
        <w:rPr>
          <w:rFonts w:ascii="Arial" w:hAnsi="Arial" w:cs="Arial"/>
          <w:b/>
          <w:szCs w:val="24"/>
        </w:rPr>
      </w:pPr>
    </w:p>
    <w:p w:rsidR="00226D5F" w:rsidRPr="00D578CB" w:rsidRDefault="00226D5F" w:rsidP="003371E3">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sidR="003371E3">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D578CB" w:rsidRPr="00D578CB" w:rsidRDefault="00D578CB" w:rsidP="00F017BF">
      <w:pPr>
        <w:pStyle w:val="Prrafodelista2"/>
        <w:spacing w:after="0"/>
        <w:ind w:left="0" w:firstLine="708"/>
        <w:jc w:val="both"/>
        <w:rPr>
          <w:rFonts w:ascii="Arial" w:hAnsi="Arial" w:cs="Arial"/>
          <w:sz w:val="24"/>
          <w:szCs w:val="24"/>
        </w:rPr>
      </w:pPr>
    </w:p>
    <w:p w:rsidR="00E762DE" w:rsidRDefault="00E762DE" w:rsidP="00F017BF">
      <w:pPr>
        <w:spacing w:line="276" w:lineRule="auto"/>
        <w:jc w:val="center"/>
        <w:rPr>
          <w:rFonts w:ascii="Arial" w:hAnsi="Arial" w:cs="Arial"/>
          <w:b/>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3638F6" w:rsidRDefault="003638F6" w:rsidP="00834E7B">
      <w:pPr>
        <w:widowControl w:val="0"/>
        <w:autoSpaceDE w:val="0"/>
        <w:autoSpaceDN w:val="0"/>
        <w:adjustRightInd w:val="0"/>
        <w:spacing w:line="276" w:lineRule="auto"/>
        <w:jc w:val="both"/>
        <w:rPr>
          <w:rFonts w:ascii="Arial" w:hAnsi="Arial" w:cs="Arial"/>
          <w:b/>
          <w:szCs w:val="24"/>
          <w:u w:val="single"/>
        </w:rPr>
      </w:pPr>
    </w:p>
    <w:p w:rsidR="006B79EE" w:rsidRPr="006B79EE" w:rsidRDefault="001320DB" w:rsidP="00834E7B">
      <w:pPr>
        <w:widowControl w:val="0"/>
        <w:autoSpaceDE w:val="0"/>
        <w:autoSpaceDN w:val="0"/>
        <w:adjustRightInd w:val="0"/>
        <w:spacing w:line="276" w:lineRule="auto"/>
        <w:jc w:val="both"/>
        <w:rPr>
          <w:rFonts w:ascii="Arial" w:hAnsi="Arial" w:cs="Arial"/>
          <w:bCs/>
          <w:i/>
          <w:iCs/>
          <w:szCs w:val="24"/>
        </w:rPr>
      </w:pPr>
      <w:r w:rsidRPr="006B2959">
        <w:rPr>
          <w:rFonts w:ascii="Arial" w:hAnsi="Arial" w:cs="Arial"/>
          <w:b/>
          <w:szCs w:val="24"/>
          <w:u w:val="single"/>
        </w:rPr>
        <w:t>PRIM</w:t>
      </w:r>
      <w:r w:rsidR="00121F87" w:rsidRPr="006B2959">
        <w:rPr>
          <w:rFonts w:ascii="Arial" w:hAnsi="Arial" w:cs="Arial"/>
          <w:b/>
          <w:szCs w:val="24"/>
          <w:u w:val="single"/>
        </w:rPr>
        <w:t>ERO</w:t>
      </w:r>
      <w:r w:rsidR="00121F87">
        <w:rPr>
          <w:rFonts w:ascii="Arial" w:hAnsi="Arial" w:cs="Arial"/>
          <w:b/>
          <w:szCs w:val="24"/>
        </w:rPr>
        <w:t xml:space="preserve">: </w:t>
      </w:r>
      <w:r w:rsidR="001365C6">
        <w:rPr>
          <w:rFonts w:ascii="Arial" w:hAnsi="Arial" w:cs="Arial"/>
          <w:b/>
          <w:szCs w:val="24"/>
        </w:rPr>
        <w:t xml:space="preserve">CONFIRMAR </w:t>
      </w:r>
      <w:r w:rsidRPr="001320DB">
        <w:rPr>
          <w:rFonts w:ascii="Arial" w:hAnsi="Arial" w:cs="Arial"/>
          <w:szCs w:val="24"/>
        </w:rPr>
        <w:t xml:space="preserve">la sentencia </w:t>
      </w:r>
      <w:r w:rsidR="00EA3CA8" w:rsidRPr="00D578CB">
        <w:rPr>
          <w:rFonts w:ascii="Arial" w:hAnsi="Arial" w:cs="Arial"/>
          <w:szCs w:val="24"/>
        </w:rPr>
        <w:t>proferida</w:t>
      </w:r>
      <w:r w:rsidR="00C06011">
        <w:rPr>
          <w:rFonts w:ascii="Arial" w:hAnsi="Arial" w:cs="Arial"/>
          <w:szCs w:val="24"/>
        </w:rPr>
        <w:t xml:space="preserve"> </w:t>
      </w:r>
      <w:r w:rsidR="00C06011" w:rsidRPr="00AC486E">
        <w:rPr>
          <w:rFonts w:ascii="Arial" w:hAnsi="Arial" w:cs="Arial"/>
          <w:szCs w:val="24"/>
        </w:rPr>
        <w:t xml:space="preserve">el </w:t>
      </w:r>
      <w:r w:rsidR="00C06011">
        <w:rPr>
          <w:rFonts w:ascii="Arial" w:hAnsi="Arial" w:cs="Arial"/>
          <w:szCs w:val="24"/>
        </w:rPr>
        <w:t xml:space="preserve">24 y 25 </w:t>
      </w:r>
      <w:r w:rsidR="00C06011" w:rsidRPr="00AC486E">
        <w:rPr>
          <w:rFonts w:ascii="Arial" w:hAnsi="Arial" w:cs="Arial"/>
          <w:szCs w:val="24"/>
        </w:rPr>
        <w:t xml:space="preserve">de </w:t>
      </w:r>
      <w:r w:rsidR="00C06011">
        <w:rPr>
          <w:rFonts w:ascii="Arial" w:hAnsi="Arial" w:cs="Arial"/>
          <w:szCs w:val="24"/>
        </w:rPr>
        <w:t xml:space="preserve">noviembre </w:t>
      </w:r>
      <w:r w:rsidR="00C06011" w:rsidRPr="00AC486E">
        <w:rPr>
          <w:rFonts w:ascii="Arial" w:hAnsi="Arial" w:cs="Arial"/>
          <w:szCs w:val="24"/>
        </w:rPr>
        <w:t>de 201</w:t>
      </w:r>
      <w:r w:rsidR="00C06011">
        <w:rPr>
          <w:rFonts w:ascii="Arial" w:hAnsi="Arial" w:cs="Arial"/>
          <w:szCs w:val="24"/>
        </w:rPr>
        <w:t>6</w:t>
      </w:r>
      <w:r w:rsidR="00C06011" w:rsidRPr="00AC486E">
        <w:rPr>
          <w:rFonts w:ascii="Arial" w:hAnsi="Arial" w:cs="Arial"/>
          <w:szCs w:val="24"/>
        </w:rPr>
        <w:t xml:space="preserve"> por el Juzgado </w:t>
      </w:r>
      <w:r w:rsidR="00C06011">
        <w:rPr>
          <w:rFonts w:ascii="Arial" w:hAnsi="Arial" w:cs="Arial"/>
          <w:szCs w:val="24"/>
        </w:rPr>
        <w:t xml:space="preserve">Quinto </w:t>
      </w:r>
      <w:r w:rsidR="00C06011" w:rsidRPr="00AC486E">
        <w:rPr>
          <w:rFonts w:ascii="Arial" w:hAnsi="Arial" w:cs="Arial"/>
          <w:szCs w:val="24"/>
        </w:rPr>
        <w:t xml:space="preserve">Laboral del Circuito de Pereira, dentro del proceso </w:t>
      </w:r>
      <w:r w:rsidR="00C06011">
        <w:rPr>
          <w:rFonts w:ascii="Arial" w:hAnsi="Arial" w:cs="Arial"/>
          <w:szCs w:val="24"/>
        </w:rPr>
        <w:t xml:space="preserve">que </w:t>
      </w:r>
      <w:r w:rsidR="00C06011" w:rsidRPr="00AC486E">
        <w:rPr>
          <w:rFonts w:ascii="Arial" w:hAnsi="Arial" w:cs="Arial"/>
          <w:szCs w:val="24"/>
        </w:rPr>
        <w:t>prom</w:t>
      </w:r>
      <w:r w:rsidR="00004BBE">
        <w:rPr>
          <w:rFonts w:ascii="Arial" w:hAnsi="Arial" w:cs="Arial"/>
          <w:szCs w:val="24"/>
        </w:rPr>
        <w:t xml:space="preserve">ueve </w:t>
      </w:r>
      <w:r w:rsidR="00C06011">
        <w:rPr>
          <w:rFonts w:ascii="Arial" w:hAnsi="Arial" w:cs="Arial"/>
          <w:szCs w:val="24"/>
        </w:rPr>
        <w:t>l</w:t>
      </w:r>
      <w:r w:rsidR="00004BBE">
        <w:rPr>
          <w:rFonts w:ascii="Arial" w:hAnsi="Arial" w:cs="Arial"/>
          <w:szCs w:val="24"/>
        </w:rPr>
        <w:t>a</w:t>
      </w:r>
      <w:r w:rsidR="00C06011">
        <w:rPr>
          <w:rFonts w:ascii="Arial" w:hAnsi="Arial" w:cs="Arial"/>
          <w:szCs w:val="24"/>
        </w:rPr>
        <w:t xml:space="preserve"> señor</w:t>
      </w:r>
      <w:r w:rsidR="00004BBE">
        <w:rPr>
          <w:rFonts w:ascii="Arial" w:hAnsi="Arial" w:cs="Arial"/>
          <w:szCs w:val="24"/>
        </w:rPr>
        <w:t xml:space="preserve">a </w:t>
      </w:r>
      <w:proofErr w:type="spellStart"/>
      <w:r w:rsidR="00C06011">
        <w:rPr>
          <w:rFonts w:ascii="Arial" w:hAnsi="Arial" w:cs="Arial"/>
          <w:b/>
          <w:szCs w:val="24"/>
        </w:rPr>
        <w:t>Adiela</w:t>
      </w:r>
      <w:proofErr w:type="spellEnd"/>
      <w:r w:rsidR="00C06011">
        <w:rPr>
          <w:rFonts w:ascii="Arial" w:hAnsi="Arial" w:cs="Arial"/>
          <w:b/>
          <w:szCs w:val="24"/>
        </w:rPr>
        <w:t xml:space="preserve"> Salazar Villegas </w:t>
      </w:r>
      <w:r w:rsidR="00C06011">
        <w:rPr>
          <w:rFonts w:ascii="Arial" w:hAnsi="Arial" w:cs="Arial"/>
          <w:szCs w:val="24"/>
        </w:rPr>
        <w:t xml:space="preserve">en </w:t>
      </w:r>
      <w:r w:rsidR="00C06011" w:rsidRPr="003440CA">
        <w:rPr>
          <w:rFonts w:ascii="Arial" w:hAnsi="Arial" w:cs="Arial"/>
          <w:szCs w:val="24"/>
        </w:rPr>
        <w:t>contra</w:t>
      </w:r>
      <w:r w:rsidR="00C06011">
        <w:rPr>
          <w:rFonts w:ascii="Arial" w:hAnsi="Arial" w:cs="Arial"/>
          <w:szCs w:val="24"/>
        </w:rPr>
        <w:t xml:space="preserve"> de</w:t>
      </w:r>
      <w:r w:rsidR="00C06011" w:rsidRPr="003440CA">
        <w:rPr>
          <w:rFonts w:ascii="Arial" w:hAnsi="Arial" w:cs="Arial"/>
          <w:szCs w:val="24"/>
        </w:rPr>
        <w:t xml:space="preserve"> la </w:t>
      </w:r>
      <w:r w:rsidR="00C06011" w:rsidRPr="003440CA">
        <w:rPr>
          <w:rFonts w:ascii="Arial" w:hAnsi="Arial" w:cs="Arial"/>
          <w:b/>
          <w:szCs w:val="24"/>
        </w:rPr>
        <w:t xml:space="preserve">Administradora Colombiana de Pensiones </w:t>
      </w:r>
      <w:r w:rsidR="00C06011">
        <w:rPr>
          <w:rFonts w:ascii="Arial" w:hAnsi="Arial" w:cs="Arial"/>
          <w:b/>
          <w:szCs w:val="24"/>
        </w:rPr>
        <w:t>–</w:t>
      </w:r>
      <w:r w:rsidR="00C06011" w:rsidRPr="003440CA">
        <w:rPr>
          <w:rFonts w:ascii="Arial" w:hAnsi="Arial" w:cs="Arial"/>
          <w:b/>
          <w:bCs/>
          <w:szCs w:val="24"/>
        </w:rPr>
        <w:t>COLPENSIONES</w:t>
      </w:r>
      <w:r w:rsidR="00C06011">
        <w:rPr>
          <w:rFonts w:ascii="Arial" w:hAnsi="Arial" w:cs="Arial"/>
          <w:b/>
          <w:bCs/>
          <w:szCs w:val="24"/>
        </w:rPr>
        <w:t>-</w:t>
      </w:r>
      <w:r w:rsidR="006B2959">
        <w:rPr>
          <w:rFonts w:ascii="Arial" w:hAnsi="Arial" w:cs="Arial"/>
          <w:b/>
          <w:bCs/>
          <w:szCs w:val="24"/>
        </w:rPr>
        <w:t>,</w:t>
      </w:r>
      <w:r w:rsidR="001365C6">
        <w:rPr>
          <w:rFonts w:ascii="Arial" w:hAnsi="Arial" w:cs="Arial"/>
          <w:bCs/>
          <w:szCs w:val="24"/>
        </w:rPr>
        <w:t xml:space="preserve"> conforme a lo exp</w:t>
      </w:r>
      <w:r w:rsidR="00EA3CA8">
        <w:rPr>
          <w:rFonts w:ascii="Arial" w:hAnsi="Arial" w:cs="Arial"/>
          <w:bCs/>
          <w:iCs/>
          <w:szCs w:val="24"/>
        </w:rPr>
        <w:t>uesto en la parte motiva de esta decisión</w:t>
      </w:r>
      <w:r w:rsidR="00834E7B">
        <w:rPr>
          <w:rFonts w:ascii="Arial" w:hAnsi="Arial" w:cs="Arial"/>
          <w:bCs/>
          <w:iCs/>
          <w:szCs w:val="24"/>
        </w:rPr>
        <w:t>.</w:t>
      </w:r>
    </w:p>
    <w:p w:rsidR="00311C9C" w:rsidRDefault="00311C9C" w:rsidP="00311C9C">
      <w:pPr>
        <w:widowControl w:val="0"/>
        <w:autoSpaceDE w:val="0"/>
        <w:autoSpaceDN w:val="0"/>
        <w:adjustRightInd w:val="0"/>
        <w:spacing w:line="276" w:lineRule="auto"/>
        <w:jc w:val="both"/>
        <w:rPr>
          <w:rFonts w:ascii="Arial" w:hAnsi="Arial" w:cs="Arial"/>
          <w:bCs/>
          <w:iCs/>
          <w:szCs w:val="24"/>
        </w:rPr>
      </w:pPr>
    </w:p>
    <w:p w:rsidR="00F93015" w:rsidRDefault="001365C6" w:rsidP="00F93015">
      <w:pPr>
        <w:spacing w:line="276" w:lineRule="auto"/>
        <w:jc w:val="both"/>
        <w:rPr>
          <w:rFonts w:ascii="Arial" w:hAnsi="Arial" w:cs="Arial"/>
          <w:szCs w:val="24"/>
        </w:rPr>
      </w:pPr>
      <w:r w:rsidRPr="006B2959">
        <w:rPr>
          <w:rFonts w:ascii="Arial" w:hAnsi="Arial" w:cs="Arial"/>
          <w:b/>
          <w:bCs/>
          <w:iCs/>
          <w:szCs w:val="24"/>
          <w:u w:val="single"/>
        </w:rPr>
        <w:t>SEGUNDO</w:t>
      </w:r>
      <w:r w:rsidRPr="001365C6">
        <w:rPr>
          <w:rFonts w:ascii="Arial" w:hAnsi="Arial" w:cs="Arial"/>
          <w:b/>
          <w:bCs/>
          <w:iCs/>
          <w:szCs w:val="24"/>
        </w:rPr>
        <w:t xml:space="preserve">: </w:t>
      </w:r>
      <w:r w:rsidR="00F93015" w:rsidRPr="00D578CB">
        <w:rPr>
          <w:rFonts w:ascii="Arial" w:hAnsi="Arial" w:cs="Arial"/>
          <w:szCs w:val="24"/>
        </w:rPr>
        <w:t xml:space="preserve">Costas en </w:t>
      </w:r>
      <w:r w:rsidR="00F93015">
        <w:rPr>
          <w:rFonts w:ascii="Arial" w:hAnsi="Arial" w:cs="Arial"/>
          <w:szCs w:val="24"/>
        </w:rPr>
        <w:t>esta instancia no se causaron por tratarse del g</w:t>
      </w:r>
      <w:r w:rsidR="00FE73D1">
        <w:rPr>
          <w:rFonts w:ascii="Arial" w:hAnsi="Arial" w:cs="Arial"/>
          <w:szCs w:val="24"/>
        </w:rPr>
        <w:t xml:space="preserve">rado jurisdiccional de consulta </w:t>
      </w:r>
    </w:p>
    <w:p w:rsidR="00F93015" w:rsidRDefault="00F93015" w:rsidP="003371E3">
      <w:pPr>
        <w:widowControl w:val="0"/>
        <w:autoSpaceDE w:val="0"/>
        <w:autoSpaceDN w:val="0"/>
        <w:adjustRightInd w:val="0"/>
        <w:spacing w:line="276" w:lineRule="auto"/>
        <w:jc w:val="both"/>
        <w:rPr>
          <w:rFonts w:ascii="Arial" w:hAnsi="Arial" w:cs="Arial"/>
          <w:b/>
          <w:bCs/>
          <w:iCs/>
          <w:szCs w:val="24"/>
        </w:rPr>
      </w:pPr>
    </w:p>
    <w:p w:rsidR="003371E3" w:rsidRPr="00D578CB" w:rsidRDefault="003371E3" w:rsidP="003371E3">
      <w:pPr>
        <w:spacing w:line="276" w:lineRule="auto"/>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3371E3" w:rsidRPr="00D578CB" w:rsidRDefault="003371E3" w:rsidP="003371E3">
      <w:pPr>
        <w:pStyle w:val="Sinespaciado"/>
        <w:spacing w:line="276" w:lineRule="auto"/>
        <w:rPr>
          <w:rFonts w:ascii="Arial" w:hAnsi="Arial" w:cs="Arial"/>
          <w:sz w:val="24"/>
          <w:szCs w:val="24"/>
          <w:lang w:val="es-ES"/>
        </w:rPr>
      </w:pPr>
    </w:p>
    <w:p w:rsidR="003371E3" w:rsidRPr="00A47C8D" w:rsidRDefault="003371E3" w:rsidP="003371E3">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3371E3" w:rsidRPr="00A47C8D" w:rsidRDefault="003371E3" w:rsidP="003371E3">
      <w:pPr>
        <w:widowControl w:val="0"/>
        <w:autoSpaceDE w:val="0"/>
        <w:autoSpaceDN w:val="0"/>
        <w:adjustRightInd w:val="0"/>
        <w:spacing w:line="276" w:lineRule="auto"/>
        <w:contextualSpacing/>
        <w:jc w:val="both"/>
        <w:rPr>
          <w:rFonts w:ascii="Arial" w:hAnsi="Arial" w:cs="Arial"/>
          <w:szCs w:val="24"/>
        </w:rPr>
      </w:pPr>
    </w:p>
    <w:p w:rsidR="003371E3" w:rsidRPr="00A47C8D" w:rsidRDefault="003371E3" w:rsidP="003371E3">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3371E3" w:rsidRDefault="003371E3" w:rsidP="003371E3">
      <w:pPr>
        <w:pStyle w:val="Sinespaciado"/>
        <w:spacing w:line="276" w:lineRule="auto"/>
        <w:contextualSpacing/>
        <w:rPr>
          <w:rFonts w:ascii="Arial" w:hAnsi="Arial" w:cs="Arial"/>
          <w:sz w:val="24"/>
          <w:szCs w:val="24"/>
          <w:lang w:val="es-ES"/>
        </w:rPr>
      </w:pPr>
    </w:p>
    <w:p w:rsidR="003371E3" w:rsidRDefault="003371E3" w:rsidP="003371E3">
      <w:pPr>
        <w:pStyle w:val="Sinespaciado"/>
        <w:spacing w:line="276" w:lineRule="auto"/>
        <w:contextualSpacing/>
        <w:rPr>
          <w:rFonts w:ascii="Arial" w:hAnsi="Arial" w:cs="Arial"/>
          <w:sz w:val="24"/>
          <w:szCs w:val="24"/>
          <w:lang w:val="es-ES"/>
        </w:rPr>
      </w:pPr>
    </w:p>
    <w:p w:rsidR="003371E3" w:rsidRPr="00D578CB" w:rsidRDefault="003371E3" w:rsidP="003371E3">
      <w:pPr>
        <w:pStyle w:val="Sinespaciado"/>
        <w:spacing w:line="276" w:lineRule="auto"/>
        <w:contextualSpacing/>
        <w:rPr>
          <w:rFonts w:ascii="Arial" w:hAnsi="Arial" w:cs="Arial"/>
          <w:sz w:val="24"/>
          <w:szCs w:val="24"/>
          <w:lang w:val="es-ES"/>
        </w:rPr>
      </w:pPr>
    </w:p>
    <w:p w:rsidR="003371E3" w:rsidRPr="00D578CB" w:rsidRDefault="003371E3" w:rsidP="003371E3">
      <w:pPr>
        <w:pStyle w:val="Sinespaciado"/>
        <w:spacing w:line="276" w:lineRule="auto"/>
        <w:contextualSpacing/>
        <w:rPr>
          <w:rFonts w:ascii="Arial" w:hAnsi="Arial" w:cs="Arial"/>
          <w:sz w:val="24"/>
          <w:szCs w:val="24"/>
        </w:rPr>
      </w:pPr>
    </w:p>
    <w:p w:rsidR="003371E3" w:rsidRPr="00D578CB" w:rsidRDefault="003371E3" w:rsidP="003371E3">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lastRenderedPageBreak/>
        <w:t>OLGA LUCÍA HOYOS SEPÚLVEDA</w:t>
      </w:r>
    </w:p>
    <w:p w:rsidR="003371E3" w:rsidRPr="00D578CB" w:rsidRDefault="003371E3" w:rsidP="003371E3">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Magistrado Ponente</w:t>
      </w:r>
    </w:p>
    <w:p w:rsidR="003371E3" w:rsidRPr="00D578CB" w:rsidRDefault="003371E3" w:rsidP="003371E3">
      <w:pPr>
        <w:spacing w:line="276" w:lineRule="auto"/>
        <w:ind w:firstLine="900"/>
        <w:contextualSpacing/>
        <w:jc w:val="center"/>
        <w:rPr>
          <w:rFonts w:ascii="Arial" w:hAnsi="Arial" w:cs="Arial"/>
          <w:b/>
          <w:szCs w:val="24"/>
          <w:lang w:val="es-ES"/>
        </w:rPr>
      </w:pPr>
    </w:p>
    <w:p w:rsidR="003371E3" w:rsidRPr="0045273B" w:rsidRDefault="003371E3" w:rsidP="003371E3">
      <w:pPr>
        <w:pStyle w:val="Sinespaciado"/>
        <w:spacing w:line="276" w:lineRule="auto"/>
        <w:contextualSpacing/>
        <w:rPr>
          <w:rFonts w:ascii="Arial" w:hAnsi="Arial" w:cs="Arial"/>
          <w:sz w:val="23"/>
          <w:szCs w:val="23"/>
          <w:lang w:val="es-ES"/>
        </w:rPr>
      </w:pPr>
    </w:p>
    <w:p w:rsidR="003371E3" w:rsidRPr="0045273B" w:rsidRDefault="003371E3" w:rsidP="003371E3">
      <w:pPr>
        <w:pStyle w:val="Sinespaciado"/>
        <w:spacing w:line="276" w:lineRule="auto"/>
        <w:contextualSpacing/>
        <w:rPr>
          <w:rFonts w:ascii="Arial" w:hAnsi="Arial" w:cs="Arial"/>
          <w:sz w:val="23"/>
          <w:szCs w:val="23"/>
          <w:lang w:val="es-ES"/>
        </w:rPr>
      </w:pPr>
    </w:p>
    <w:p w:rsidR="00D867DB" w:rsidRDefault="00D867DB" w:rsidP="003371E3">
      <w:pPr>
        <w:spacing w:line="276" w:lineRule="auto"/>
        <w:contextualSpacing/>
        <w:jc w:val="both"/>
        <w:rPr>
          <w:rFonts w:ascii="Arial" w:hAnsi="Arial" w:cs="Arial"/>
          <w:b/>
          <w:bCs/>
          <w:iCs/>
          <w:sz w:val="23"/>
          <w:szCs w:val="23"/>
          <w:lang w:val="es-ES"/>
        </w:rPr>
      </w:pPr>
    </w:p>
    <w:p w:rsidR="003371E3" w:rsidRPr="0045273B" w:rsidRDefault="003371E3" w:rsidP="003371E3">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sidR="00D867DB">
        <w:rPr>
          <w:rFonts w:ascii="Arial" w:hAnsi="Arial" w:cs="Arial"/>
          <w:sz w:val="23"/>
          <w:szCs w:val="23"/>
          <w:lang w:val="es-ES"/>
        </w:rPr>
        <w:tab/>
      </w:r>
      <w:r w:rsidR="00D867DB">
        <w:rPr>
          <w:rFonts w:ascii="Arial" w:hAnsi="Arial" w:cs="Arial"/>
          <w:sz w:val="23"/>
          <w:szCs w:val="23"/>
          <w:lang w:val="es-ES"/>
        </w:rPr>
        <w:tab/>
      </w:r>
      <w:r w:rsidR="00D867DB" w:rsidRPr="0045273B">
        <w:rPr>
          <w:rFonts w:ascii="Arial" w:hAnsi="Arial" w:cs="Arial"/>
          <w:b/>
          <w:bCs/>
          <w:iCs/>
          <w:sz w:val="23"/>
          <w:szCs w:val="23"/>
          <w:lang w:val="es-ES"/>
        </w:rPr>
        <w:t xml:space="preserve">ANA LUCÍA CAICEDO CALDERÓN    </w:t>
      </w:r>
    </w:p>
    <w:p w:rsidR="003371E3" w:rsidRDefault="003371E3" w:rsidP="003371E3">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00D867DB">
        <w:rPr>
          <w:rFonts w:ascii="Arial" w:hAnsi="Arial" w:cs="Arial"/>
          <w:sz w:val="23"/>
          <w:szCs w:val="23"/>
          <w:lang w:val="es-ES"/>
        </w:rPr>
        <w:t>Magistrado</w:t>
      </w:r>
      <w:r w:rsidRPr="0045273B">
        <w:rPr>
          <w:rFonts w:ascii="Arial" w:hAnsi="Arial" w:cs="Arial"/>
          <w:sz w:val="23"/>
          <w:szCs w:val="23"/>
          <w:lang w:val="es-ES"/>
        </w:rPr>
        <w:t xml:space="preserve">                                                            </w:t>
      </w:r>
      <w:r w:rsidR="00D867DB">
        <w:rPr>
          <w:rFonts w:ascii="Arial" w:hAnsi="Arial" w:cs="Arial"/>
          <w:sz w:val="23"/>
          <w:szCs w:val="23"/>
          <w:lang w:val="es-ES"/>
        </w:rPr>
        <w:t>Magistrada</w:t>
      </w:r>
    </w:p>
    <w:p w:rsidR="00410F60" w:rsidRDefault="00410F60" w:rsidP="00410F60">
      <w:pPr>
        <w:spacing w:line="276" w:lineRule="auto"/>
        <w:jc w:val="both"/>
        <w:rPr>
          <w:sz w:val="28"/>
          <w:szCs w:val="28"/>
        </w:rPr>
      </w:pPr>
    </w:p>
    <w:p w:rsidR="00410F60" w:rsidRDefault="00410F60" w:rsidP="00410F60">
      <w:pPr>
        <w:spacing w:line="276" w:lineRule="auto"/>
        <w:jc w:val="both"/>
        <w:rPr>
          <w:sz w:val="28"/>
          <w:szCs w:val="28"/>
        </w:rPr>
      </w:pPr>
    </w:p>
    <w:p w:rsidR="00C06011" w:rsidRDefault="00C06011" w:rsidP="00410F60">
      <w:pPr>
        <w:spacing w:line="276" w:lineRule="auto"/>
        <w:jc w:val="both"/>
        <w:rPr>
          <w:sz w:val="28"/>
          <w:szCs w:val="28"/>
        </w:rPr>
      </w:pPr>
    </w:p>
    <w:p w:rsidR="00C06011" w:rsidRDefault="00C06011" w:rsidP="00410F60">
      <w:pPr>
        <w:spacing w:line="276" w:lineRule="auto"/>
        <w:jc w:val="both"/>
        <w:rPr>
          <w:sz w:val="28"/>
          <w:szCs w:val="28"/>
        </w:rPr>
      </w:pPr>
    </w:p>
    <w:p w:rsidR="00C06011" w:rsidRDefault="00C06011" w:rsidP="00410F60">
      <w:pPr>
        <w:spacing w:line="276" w:lineRule="auto"/>
        <w:jc w:val="both"/>
        <w:rPr>
          <w:sz w:val="28"/>
          <w:szCs w:val="28"/>
        </w:rPr>
      </w:pPr>
    </w:p>
    <w:p w:rsidR="00C06011" w:rsidRDefault="00C06011" w:rsidP="00410F60">
      <w:pPr>
        <w:spacing w:line="276" w:lineRule="auto"/>
        <w:jc w:val="both"/>
        <w:rPr>
          <w:sz w:val="28"/>
          <w:szCs w:val="28"/>
        </w:rPr>
      </w:pPr>
    </w:p>
    <w:p w:rsidR="00C06011" w:rsidRDefault="00C06011" w:rsidP="00410F60">
      <w:pPr>
        <w:spacing w:line="276" w:lineRule="auto"/>
        <w:jc w:val="both"/>
        <w:rPr>
          <w:sz w:val="28"/>
          <w:szCs w:val="28"/>
        </w:rPr>
      </w:pPr>
    </w:p>
    <w:p w:rsidR="00410F60" w:rsidRDefault="00410F60" w:rsidP="00410F60">
      <w:pPr>
        <w:spacing w:line="276" w:lineRule="auto"/>
        <w:jc w:val="both"/>
        <w:rPr>
          <w:sz w:val="28"/>
          <w:szCs w:val="28"/>
        </w:rPr>
      </w:pPr>
    </w:p>
    <w:p w:rsidR="00410F60" w:rsidRDefault="00410F60" w:rsidP="00410F60">
      <w:pPr>
        <w:spacing w:line="276" w:lineRule="auto"/>
        <w:jc w:val="both"/>
        <w:rPr>
          <w:sz w:val="28"/>
          <w:szCs w:val="28"/>
        </w:rPr>
      </w:pPr>
    </w:p>
    <w:p w:rsidR="00410F60" w:rsidRDefault="00410F60" w:rsidP="00410F60">
      <w:pPr>
        <w:spacing w:line="276" w:lineRule="auto"/>
        <w:jc w:val="both"/>
        <w:rPr>
          <w:sz w:val="28"/>
          <w:szCs w:val="28"/>
        </w:rPr>
      </w:pPr>
    </w:p>
    <w:p w:rsidR="00410F60" w:rsidRDefault="00410F60" w:rsidP="00410F60">
      <w:pPr>
        <w:spacing w:line="276" w:lineRule="auto"/>
        <w:jc w:val="both"/>
        <w:rPr>
          <w:sz w:val="28"/>
          <w:szCs w:val="28"/>
        </w:rPr>
      </w:pPr>
    </w:p>
    <w:p w:rsidR="00410F60" w:rsidRDefault="00410F60" w:rsidP="00410F60">
      <w:pPr>
        <w:spacing w:line="276" w:lineRule="auto"/>
        <w:jc w:val="both"/>
        <w:rPr>
          <w:sz w:val="28"/>
          <w:szCs w:val="28"/>
        </w:rPr>
      </w:pPr>
    </w:p>
    <w:p w:rsidR="00410F60" w:rsidRDefault="00410F60" w:rsidP="00410F60">
      <w:pPr>
        <w:spacing w:line="276" w:lineRule="auto"/>
        <w:jc w:val="both"/>
        <w:rPr>
          <w:sz w:val="28"/>
          <w:szCs w:val="28"/>
        </w:rPr>
      </w:pPr>
    </w:p>
    <w:p w:rsidR="00D060CA" w:rsidRDefault="00D060CA" w:rsidP="00410F60">
      <w:pPr>
        <w:spacing w:line="276" w:lineRule="auto"/>
        <w:jc w:val="both"/>
        <w:rPr>
          <w:sz w:val="28"/>
          <w:szCs w:val="28"/>
        </w:rPr>
      </w:pPr>
    </w:p>
    <w:p w:rsidR="00D060CA" w:rsidRDefault="00D060CA" w:rsidP="00410F60">
      <w:pPr>
        <w:spacing w:line="276" w:lineRule="auto"/>
        <w:jc w:val="both"/>
        <w:rPr>
          <w:sz w:val="28"/>
          <w:szCs w:val="28"/>
        </w:rPr>
      </w:pPr>
    </w:p>
    <w:p w:rsidR="00D060CA" w:rsidRDefault="00D060CA" w:rsidP="00410F60">
      <w:pPr>
        <w:spacing w:line="276" w:lineRule="auto"/>
        <w:jc w:val="both"/>
        <w:rPr>
          <w:sz w:val="28"/>
          <w:szCs w:val="28"/>
        </w:rPr>
      </w:pPr>
    </w:p>
    <w:p w:rsidR="00D060CA" w:rsidRDefault="00D060CA" w:rsidP="00410F60">
      <w:pPr>
        <w:spacing w:line="276" w:lineRule="auto"/>
        <w:jc w:val="both"/>
        <w:rPr>
          <w:sz w:val="28"/>
          <w:szCs w:val="28"/>
        </w:rPr>
      </w:pPr>
    </w:p>
    <w:p w:rsidR="00D060CA" w:rsidRDefault="00D060CA" w:rsidP="00410F60">
      <w:pPr>
        <w:spacing w:line="276" w:lineRule="auto"/>
        <w:jc w:val="both"/>
        <w:rPr>
          <w:sz w:val="28"/>
          <w:szCs w:val="28"/>
        </w:rPr>
      </w:pPr>
    </w:p>
    <w:p w:rsidR="00D060CA" w:rsidRDefault="00D060CA" w:rsidP="00410F60">
      <w:pPr>
        <w:spacing w:line="276" w:lineRule="auto"/>
        <w:jc w:val="both"/>
        <w:rPr>
          <w:sz w:val="28"/>
          <w:szCs w:val="28"/>
        </w:rPr>
      </w:pPr>
    </w:p>
    <w:p w:rsidR="00D060CA" w:rsidRPr="00E762DE" w:rsidRDefault="00E762DE" w:rsidP="00410F60">
      <w:pPr>
        <w:spacing w:line="276" w:lineRule="auto"/>
        <w:jc w:val="both"/>
        <w:rPr>
          <w:rFonts w:ascii="Arial" w:hAnsi="Arial" w:cs="Arial"/>
          <w:szCs w:val="28"/>
        </w:rPr>
      </w:pPr>
      <w:r w:rsidRPr="00E762DE">
        <w:rPr>
          <w:rFonts w:ascii="Arial" w:hAnsi="Arial" w:cs="Arial"/>
          <w:szCs w:val="28"/>
        </w:rPr>
        <w:t>*Anexo</w:t>
      </w:r>
    </w:p>
    <w:p w:rsidR="00E762DE" w:rsidRDefault="00E762DE" w:rsidP="00410F60">
      <w:pPr>
        <w:spacing w:line="276" w:lineRule="auto"/>
        <w:jc w:val="both"/>
        <w:rPr>
          <w:sz w:val="28"/>
          <w:szCs w:val="28"/>
        </w:rPr>
      </w:pPr>
    </w:p>
    <w:p w:rsidR="00E762DE" w:rsidRDefault="00E762DE" w:rsidP="00410F60">
      <w:pPr>
        <w:spacing w:line="276" w:lineRule="auto"/>
        <w:jc w:val="both"/>
        <w:rPr>
          <w:sz w:val="28"/>
          <w:szCs w:val="28"/>
        </w:rPr>
      </w:pPr>
      <w:r w:rsidRPr="00E762DE">
        <w:rPr>
          <w:noProof/>
          <w:lang w:val="es-ES"/>
        </w:rPr>
        <w:lastRenderedPageBreak/>
        <w:drawing>
          <wp:inline distT="0" distB="0" distL="0" distR="0">
            <wp:extent cx="5486400" cy="35718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571875"/>
                    </a:xfrm>
                    <a:prstGeom prst="rect">
                      <a:avLst/>
                    </a:prstGeom>
                    <a:noFill/>
                    <a:ln>
                      <a:noFill/>
                    </a:ln>
                  </pic:spPr>
                </pic:pic>
              </a:graphicData>
            </a:graphic>
          </wp:inline>
        </w:drawing>
      </w:r>
    </w:p>
    <w:p w:rsidR="00D060CA" w:rsidRDefault="00D060CA" w:rsidP="00410F60">
      <w:pPr>
        <w:spacing w:line="276" w:lineRule="auto"/>
        <w:jc w:val="both"/>
        <w:rPr>
          <w:sz w:val="28"/>
          <w:szCs w:val="28"/>
        </w:rPr>
      </w:pPr>
    </w:p>
    <w:p w:rsidR="00D060CA" w:rsidRDefault="00D060CA" w:rsidP="00410F60">
      <w:pPr>
        <w:spacing w:line="276" w:lineRule="auto"/>
        <w:jc w:val="both"/>
        <w:rPr>
          <w:sz w:val="28"/>
          <w:szCs w:val="28"/>
        </w:rPr>
      </w:pPr>
    </w:p>
    <w:p w:rsidR="00410F60" w:rsidRDefault="00410F60" w:rsidP="00410F60">
      <w:pPr>
        <w:spacing w:line="276" w:lineRule="auto"/>
        <w:jc w:val="both"/>
        <w:rPr>
          <w:sz w:val="28"/>
          <w:szCs w:val="28"/>
        </w:rPr>
      </w:pPr>
    </w:p>
    <w:p w:rsidR="0056670C" w:rsidRDefault="0056670C" w:rsidP="0056670C">
      <w:pPr>
        <w:pStyle w:val="Default"/>
        <w:rPr>
          <w:color w:val="auto"/>
          <w:sz w:val="28"/>
          <w:szCs w:val="28"/>
        </w:rPr>
      </w:pPr>
    </w:p>
    <w:p w:rsidR="00E762DE" w:rsidRPr="00E762DE" w:rsidRDefault="00E762DE" w:rsidP="00E762DE">
      <w:pPr>
        <w:pStyle w:val="Sinespaciado"/>
        <w:spacing w:line="276" w:lineRule="auto"/>
        <w:contextualSpacing/>
        <w:jc w:val="center"/>
        <w:rPr>
          <w:rFonts w:ascii="Arial" w:hAnsi="Arial" w:cs="Arial"/>
          <w:sz w:val="24"/>
          <w:szCs w:val="24"/>
          <w:lang w:val="es-ES"/>
        </w:rPr>
      </w:pPr>
      <w:r w:rsidRPr="00E762DE">
        <w:rPr>
          <w:rFonts w:ascii="Arial" w:hAnsi="Arial" w:cs="Arial"/>
          <w:sz w:val="24"/>
          <w:szCs w:val="24"/>
          <w:lang w:val="es-ES"/>
        </w:rPr>
        <w:t>OLGA LUCÍA HOYOS SEPÚLVEDA</w:t>
      </w:r>
    </w:p>
    <w:p w:rsidR="00E762DE" w:rsidRPr="00D578CB" w:rsidRDefault="00E762DE" w:rsidP="00E762DE">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Magistrado Ponente</w:t>
      </w:r>
    </w:p>
    <w:p w:rsidR="00E762DE" w:rsidRPr="00D578CB" w:rsidRDefault="00E762DE" w:rsidP="00E762DE">
      <w:pPr>
        <w:spacing w:line="276" w:lineRule="auto"/>
        <w:ind w:firstLine="900"/>
        <w:contextualSpacing/>
        <w:jc w:val="center"/>
        <w:rPr>
          <w:rFonts w:ascii="Arial" w:hAnsi="Arial" w:cs="Arial"/>
          <w:b/>
          <w:szCs w:val="24"/>
          <w:lang w:val="es-ES"/>
        </w:rPr>
      </w:pPr>
    </w:p>
    <w:p w:rsidR="0056670C" w:rsidRPr="0045273B" w:rsidRDefault="0056670C" w:rsidP="00E762DE">
      <w:pPr>
        <w:spacing w:line="276" w:lineRule="auto"/>
        <w:contextualSpacing/>
        <w:jc w:val="center"/>
        <w:rPr>
          <w:rFonts w:ascii="Arial" w:hAnsi="Arial" w:cs="Arial"/>
          <w:sz w:val="23"/>
          <w:szCs w:val="23"/>
          <w:lang w:val="es-ES"/>
        </w:rPr>
      </w:pPr>
    </w:p>
    <w:sectPr w:rsidR="0056670C" w:rsidRPr="0045273B" w:rsidSect="00355FBC">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DA6" w:rsidRDefault="00DF1DA6" w:rsidP="00226D5F">
      <w:r>
        <w:separator/>
      </w:r>
    </w:p>
  </w:endnote>
  <w:endnote w:type="continuationSeparator" w:id="0">
    <w:p w:rsidR="00DF1DA6" w:rsidRDefault="00DF1DA6"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C9" w:rsidRDefault="008260C9" w:rsidP="008260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260C9" w:rsidRDefault="008260C9" w:rsidP="008260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C9" w:rsidRDefault="008260C9" w:rsidP="008260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00372">
      <w:rPr>
        <w:rStyle w:val="Nmerodepgina"/>
        <w:noProof/>
      </w:rPr>
      <w:t>2</w:t>
    </w:r>
    <w:r>
      <w:rPr>
        <w:rStyle w:val="Nmerodepgina"/>
      </w:rPr>
      <w:fldChar w:fldCharType="end"/>
    </w:r>
  </w:p>
  <w:p w:rsidR="008260C9" w:rsidRDefault="008260C9" w:rsidP="008260C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DA6" w:rsidRDefault="00DF1DA6" w:rsidP="00226D5F">
      <w:r>
        <w:separator/>
      </w:r>
    </w:p>
  </w:footnote>
  <w:footnote w:type="continuationSeparator" w:id="0">
    <w:p w:rsidR="00DF1DA6" w:rsidRDefault="00DF1DA6" w:rsidP="00226D5F">
      <w:r>
        <w:continuationSeparator/>
      </w:r>
    </w:p>
  </w:footnote>
  <w:footnote w:id="1">
    <w:p w:rsidR="005A693B" w:rsidRPr="006C0D0D" w:rsidRDefault="005A693B" w:rsidP="005A693B">
      <w:pPr>
        <w:tabs>
          <w:tab w:val="left" w:pos="-1440"/>
          <w:tab w:val="left" w:pos="-720"/>
          <w:tab w:val="left" w:pos="2160"/>
        </w:tabs>
        <w:suppressAutoHyphens/>
        <w:spacing w:line="360" w:lineRule="auto"/>
        <w:jc w:val="both"/>
        <w:rPr>
          <w:rFonts w:ascii="Arial" w:hAnsi="Arial" w:cs="Arial"/>
          <w:sz w:val="16"/>
          <w:szCs w:val="16"/>
        </w:rPr>
      </w:pPr>
      <w:r>
        <w:rPr>
          <w:rStyle w:val="Refdenotaalpie"/>
        </w:rPr>
        <w:footnoteRef/>
      </w:r>
      <w:r>
        <w:t xml:space="preserve"> </w:t>
      </w:r>
      <w:r>
        <w:rPr>
          <w:rFonts w:ascii="Arial" w:hAnsi="Arial" w:cs="Arial"/>
          <w:sz w:val="16"/>
          <w:szCs w:val="16"/>
        </w:rPr>
        <w:t>S</w:t>
      </w:r>
      <w:r w:rsidRPr="00C00FD9">
        <w:rPr>
          <w:rFonts w:ascii="Arial" w:hAnsi="Arial" w:cs="Arial"/>
          <w:sz w:val="16"/>
          <w:szCs w:val="16"/>
        </w:rPr>
        <w:t>entencia</w:t>
      </w:r>
      <w:r>
        <w:rPr>
          <w:rFonts w:ascii="Arial" w:hAnsi="Arial" w:cs="Arial"/>
          <w:sz w:val="16"/>
          <w:szCs w:val="16"/>
        </w:rPr>
        <w:t>s</w:t>
      </w:r>
      <w:r w:rsidRPr="00C00FD9">
        <w:rPr>
          <w:rFonts w:ascii="Arial" w:hAnsi="Arial" w:cs="Arial"/>
          <w:sz w:val="16"/>
          <w:szCs w:val="16"/>
        </w:rPr>
        <w:t xml:space="preserve"> </w:t>
      </w:r>
      <w:r w:rsidRPr="00C00FD9">
        <w:rPr>
          <w:rFonts w:ascii="Arial" w:hAnsi="Arial" w:cs="Arial"/>
          <w:i/>
          <w:sz w:val="16"/>
          <w:szCs w:val="16"/>
        </w:rPr>
        <w:t>SL 629-2013</w:t>
      </w:r>
      <w:r>
        <w:rPr>
          <w:rFonts w:ascii="Arial" w:hAnsi="Arial" w:cs="Arial"/>
          <w:i/>
          <w:sz w:val="16"/>
          <w:szCs w:val="16"/>
        </w:rPr>
        <w:t xml:space="preserve">; </w:t>
      </w:r>
      <w:r w:rsidRPr="00C00FD9">
        <w:rPr>
          <w:rFonts w:ascii="Arial" w:hAnsi="Arial" w:cs="Arial"/>
          <w:sz w:val="16"/>
          <w:szCs w:val="16"/>
        </w:rPr>
        <w:t xml:space="preserve">del 29-07-2015, radicación SL12153; </w:t>
      </w:r>
      <w:r>
        <w:rPr>
          <w:rFonts w:ascii="Arial" w:hAnsi="Arial" w:cs="Arial"/>
          <w:sz w:val="16"/>
          <w:szCs w:val="16"/>
        </w:rPr>
        <w:t xml:space="preserve">del </w:t>
      </w:r>
      <w:r w:rsidRPr="00C00FD9">
        <w:rPr>
          <w:rFonts w:ascii="Arial" w:hAnsi="Arial" w:cs="Arial"/>
          <w:sz w:val="16"/>
          <w:szCs w:val="16"/>
        </w:rPr>
        <w:t>2-1</w:t>
      </w:r>
      <w:r>
        <w:rPr>
          <w:rFonts w:ascii="Arial" w:hAnsi="Arial" w:cs="Arial"/>
          <w:sz w:val="16"/>
          <w:szCs w:val="16"/>
        </w:rPr>
        <w:t>2</w:t>
      </w:r>
      <w:r w:rsidRPr="00C00FD9">
        <w:rPr>
          <w:rFonts w:ascii="Arial" w:hAnsi="Arial" w:cs="Arial"/>
          <w:sz w:val="16"/>
          <w:szCs w:val="16"/>
        </w:rPr>
        <w:t>-2015</w:t>
      </w:r>
      <w:r>
        <w:rPr>
          <w:rFonts w:ascii="Arial" w:hAnsi="Arial" w:cs="Arial"/>
          <w:sz w:val="16"/>
          <w:szCs w:val="16"/>
        </w:rPr>
        <w:t>,</w:t>
      </w:r>
      <w:r w:rsidRPr="00C00FD9">
        <w:rPr>
          <w:rFonts w:ascii="Arial" w:hAnsi="Arial" w:cs="Arial"/>
          <w:sz w:val="16"/>
          <w:szCs w:val="16"/>
        </w:rPr>
        <w:t xml:space="preserve"> SL16727,</w:t>
      </w:r>
      <w:r>
        <w:rPr>
          <w:rFonts w:ascii="Arial" w:hAnsi="Arial" w:cs="Arial"/>
          <w:sz w:val="16"/>
          <w:szCs w:val="16"/>
        </w:rPr>
        <w:t xml:space="preserve"> radicado 52007,</w:t>
      </w:r>
      <w:r w:rsidRPr="006C0D0D">
        <w:rPr>
          <w:rFonts w:ascii="Arial" w:hAnsi="Arial" w:cs="Arial"/>
          <w:b/>
          <w:sz w:val="16"/>
          <w:szCs w:val="16"/>
        </w:rPr>
        <w:t xml:space="preserve"> MP JORGE MAURICIO BURGOS RUIZ</w:t>
      </w:r>
      <w:r>
        <w:rPr>
          <w:rFonts w:ascii="Arial" w:hAnsi="Arial" w:cs="Arial"/>
          <w:sz w:val="16"/>
          <w:szCs w:val="16"/>
        </w:rPr>
        <w:t xml:space="preserve">; </w:t>
      </w:r>
      <w:r w:rsidRPr="00C00FD9">
        <w:rPr>
          <w:rFonts w:ascii="Arial" w:hAnsi="Arial" w:cs="Arial"/>
          <w:sz w:val="16"/>
          <w:szCs w:val="16"/>
        </w:rPr>
        <w:t>del 11-11-2015, SL15680-2015, rad. 50307</w:t>
      </w:r>
      <w:r>
        <w:rPr>
          <w:rFonts w:ascii="Arial" w:hAnsi="Arial" w:cs="Arial"/>
          <w:sz w:val="16"/>
          <w:szCs w:val="16"/>
        </w:rPr>
        <w:t>, MP Rigoberto Echeverri Bueno</w:t>
      </w:r>
      <w:r w:rsidRPr="00C00FD9">
        <w:rPr>
          <w:rFonts w:ascii="Arial" w:hAnsi="Arial" w:cs="Arial"/>
          <w:sz w:val="16"/>
          <w:szCs w:val="16"/>
        </w:rPr>
        <w:t>;  SL6613-2017,</w:t>
      </w:r>
      <w:r w:rsidRPr="00C00FD9">
        <w:rPr>
          <w:rFonts w:ascii="Arial" w:hAnsi="Arial" w:cs="Arial"/>
          <w:b/>
          <w:sz w:val="16"/>
          <w:szCs w:val="16"/>
        </w:rPr>
        <w:t xml:space="preserve"> Rad. 48242, MP</w:t>
      </w:r>
      <w:r w:rsidRPr="00C00FD9">
        <w:rPr>
          <w:rFonts w:ascii="Arial" w:hAnsi="Arial" w:cs="Arial"/>
          <w:sz w:val="16"/>
          <w:szCs w:val="16"/>
        </w:rPr>
        <w:t xml:space="preserve"> </w:t>
      </w:r>
      <w:r w:rsidRPr="00C00FD9">
        <w:rPr>
          <w:rFonts w:ascii="Arial" w:hAnsi="Arial" w:cs="Arial"/>
          <w:b/>
          <w:sz w:val="16"/>
          <w:szCs w:val="16"/>
        </w:rPr>
        <w:t>CLARA CECILIA DUEÑAS QUEVEDO;</w:t>
      </w:r>
      <w:r w:rsidRPr="00C00FD9">
        <w:rPr>
          <w:rFonts w:ascii="Arial" w:hAnsi="Arial" w:cs="Arial"/>
          <w:i/>
          <w:sz w:val="16"/>
          <w:szCs w:val="16"/>
        </w:rPr>
        <w:t xml:space="preserve"> SL13183-2015</w:t>
      </w:r>
      <w:r>
        <w:rPr>
          <w:rFonts w:ascii="Arial" w:hAnsi="Arial" w:cs="Arial"/>
          <w:i/>
          <w:sz w:val="16"/>
          <w:szCs w:val="16"/>
        </w:rPr>
        <w:t>.</w:t>
      </w:r>
      <w:r w:rsidRPr="006C0D0D">
        <w:rPr>
          <w:rFonts w:ascii="Arial" w:hAnsi="Arial" w:cs="Arial"/>
          <w:b/>
          <w:sz w:val="16"/>
          <w:szCs w:val="16"/>
        </w:rPr>
        <w:t xml:space="preserve"> </w:t>
      </w:r>
      <w:r>
        <w:rPr>
          <w:rFonts w:ascii="Arial" w:hAnsi="Arial" w:cs="Arial"/>
          <w:b/>
          <w:sz w:val="16"/>
          <w:szCs w:val="16"/>
        </w:rPr>
        <w:t xml:space="preserve"> </w:t>
      </w:r>
      <w:r w:rsidRPr="006C0D0D">
        <w:rPr>
          <w:rFonts w:ascii="Arial" w:hAnsi="Arial" w:cs="Arial"/>
          <w:b/>
          <w:sz w:val="16"/>
          <w:szCs w:val="16"/>
        </w:rPr>
        <w:t xml:space="preserve"> </w:t>
      </w:r>
    </w:p>
    <w:p w:rsidR="005A693B" w:rsidRPr="005A693B" w:rsidRDefault="005A693B">
      <w:pPr>
        <w:pStyle w:val="Textonotapie"/>
        <w:rPr>
          <w:lang w:val="es-CO"/>
        </w:rPr>
      </w:pPr>
    </w:p>
  </w:footnote>
  <w:footnote w:id="2">
    <w:p w:rsidR="00572006" w:rsidRPr="00572006" w:rsidRDefault="00572006" w:rsidP="001841D7">
      <w:pPr>
        <w:tabs>
          <w:tab w:val="left" w:pos="-1440"/>
          <w:tab w:val="left" w:pos="-720"/>
          <w:tab w:val="left" w:pos="2160"/>
        </w:tabs>
        <w:suppressAutoHyphens/>
        <w:spacing w:line="360" w:lineRule="auto"/>
        <w:jc w:val="both"/>
        <w:rPr>
          <w:lang w:val="es-CO"/>
        </w:rPr>
      </w:pPr>
      <w:r w:rsidRPr="00572006">
        <w:rPr>
          <w:rStyle w:val="Refdenotaalpie"/>
          <w:rFonts w:ascii="Arial" w:hAnsi="Arial" w:cs="Arial"/>
          <w:sz w:val="16"/>
          <w:szCs w:val="16"/>
        </w:rPr>
        <w:footnoteRef/>
      </w:r>
      <w:r w:rsidRPr="00C00FD9">
        <w:rPr>
          <w:rFonts w:ascii="Arial" w:hAnsi="Arial" w:cs="Arial"/>
          <w:sz w:val="16"/>
          <w:szCs w:val="16"/>
        </w:rPr>
        <w:t>CORTE SUPREMA DE JUSTICIA, Sala de Casación Laboral, descongestión Sentencia 12-</w:t>
      </w:r>
      <w:r w:rsidR="00CC0AEC">
        <w:rPr>
          <w:rFonts w:ascii="Arial" w:hAnsi="Arial" w:cs="Arial"/>
          <w:sz w:val="16"/>
          <w:szCs w:val="16"/>
        </w:rPr>
        <w:t>07</w:t>
      </w:r>
      <w:r w:rsidR="00C00FD9" w:rsidRPr="00C00FD9">
        <w:rPr>
          <w:rFonts w:ascii="Arial" w:hAnsi="Arial" w:cs="Arial"/>
          <w:sz w:val="16"/>
          <w:szCs w:val="16"/>
        </w:rPr>
        <w:t>-</w:t>
      </w:r>
      <w:r w:rsidRPr="00C00FD9">
        <w:rPr>
          <w:rFonts w:ascii="Arial" w:hAnsi="Arial" w:cs="Arial"/>
          <w:sz w:val="16"/>
          <w:szCs w:val="16"/>
        </w:rPr>
        <w:t>2017,</w:t>
      </w:r>
      <w:r w:rsidRPr="00C00FD9">
        <w:rPr>
          <w:rFonts w:ascii="Arial" w:hAnsi="Arial" w:cs="Arial"/>
          <w:b/>
          <w:sz w:val="16"/>
          <w:szCs w:val="16"/>
        </w:rPr>
        <w:t xml:space="preserve"> SL10187-2017, rad. 52435,</w:t>
      </w:r>
      <w:r w:rsidRPr="00C00FD9">
        <w:rPr>
          <w:rFonts w:ascii="Arial" w:hAnsi="Arial" w:cs="Arial"/>
          <w:color w:val="000000"/>
          <w:sz w:val="16"/>
          <w:szCs w:val="16"/>
          <w:shd w:val="clear" w:color="auto" w:fill="FFFFFF"/>
          <w:lang w:val="es-ES"/>
        </w:rPr>
        <w:t xml:space="preserve"> </w:t>
      </w:r>
      <w:r w:rsidRPr="00C00FD9">
        <w:rPr>
          <w:rFonts w:ascii="Arial" w:hAnsi="Arial" w:cs="Arial"/>
          <w:b/>
          <w:sz w:val="16"/>
          <w:szCs w:val="16"/>
        </w:rPr>
        <w:t>MP ERNESTO FORERO VARGAS</w:t>
      </w:r>
      <w:r w:rsidR="00C00FD9" w:rsidRPr="00C00FD9">
        <w:rPr>
          <w:rFonts w:ascii="Arial" w:hAnsi="Arial" w:cs="Arial"/>
          <w:b/>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C9" w:rsidRPr="001B0E6E" w:rsidRDefault="008260C9" w:rsidP="00355FBC">
    <w:pPr>
      <w:pStyle w:val="Encabezado"/>
      <w:jc w:val="center"/>
      <w:rPr>
        <w:rFonts w:ascii="Arial" w:hAnsi="Arial" w:cs="Arial"/>
        <w:sz w:val="16"/>
        <w:szCs w:val="16"/>
      </w:rPr>
    </w:pPr>
    <w:r w:rsidRPr="001B0E6E">
      <w:rPr>
        <w:rFonts w:ascii="Arial" w:hAnsi="Arial" w:cs="Arial"/>
        <w:sz w:val="16"/>
        <w:szCs w:val="16"/>
      </w:rPr>
      <w:t>Proceso Ordinario Laboral</w:t>
    </w:r>
  </w:p>
  <w:p w:rsidR="008260C9" w:rsidRDefault="008260C9" w:rsidP="00355FBC">
    <w:pPr>
      <w:pStyle w:val="Encabezado"/>
      <w:jc w:val="center"/>
      <w:rPr>
        <w:rFonts w:ascii="Arial" w:hAnsi="Arial" w:cs="Arial"/>
        <w:sz w:val="16"/>
        <w:szCs w:val="16"/>
      </w:rPr>
    </w:pPr>
    <w:r w:rsidRPr="001B0E6E">
      <w:rPr>
        <w:rFonts w:ascii="Arial" w:hAnsi="Arial" w:cs="Arial"/>
        <w:sz w:val="16"/>
        <w:szCs w:val="16"/>
      </w:rPr>
      <w:t>Radicado: 66001-31-05-00</w:t>
    </w:r>
    <w:r w:rsidR="00C03688">
      <w:rPr>
        <w:rFonts w:ascii="Arial" w:hAnsi="Arial" w:cs="Arial"/>
        <w:sz w:val="16"/>
        <w:szCs w:val="16"/>
      </w:rPr>
      <w:t>5</w:t>
    </w:r>
    <w:r>
      <w:rPr>
        <w:rFonts w:ascii="Arial" w:hAnsi="Arial" w:cs="Arial"/>
        <w:sz w:val="16"/>
        <w:szCs w:val="16"/>
      </w:rPr>
      <w:t>-201</w:t>
    </w:r>
    <w:r w:rsidR="00C06011">
      <w:rPr>
        <w:rFonts w:ascii="Arial" w:hAnsi="Arial" w:cs="Arial"/>
        <w:sz w:val="16"/>
        <w:szCs w:val="16"/>
      </w:rPr>
      <w:t>6</w:t>
    </w:r>
    <w:r>
      <w:rPr>
        <w:rFonts w:ascii="Arial" w:hAnsi="Arial" w:cs="Arial"/>
        <w:sz w:val="16"/>
        <w:szCs w:val="16"/>
      </w:rPr>
      <w:t>-00</w:t>
    </w:r>
    <w:r w:rsidR="001929DC">
      <w:rPr>
        <w:rFonts w:ascii="Arial" w:hAnsi="Arial" w:cs="Arial"/>
        <w:sz w:val="16"/>
        <w:szCs w:val="16"/>
      </w:rPr>
      <w:t>1</w:t>
    </w:r>
    <w:r w:rsidR="00C06011">
      <w:rPr>
        <w:rFonts w:ascii="Arial" w:hAnsi="Arial" w:cs="Arial"/>
        <w:sz w:val="16"/>
        <w:szCs w:val="16"/>
      </w:rPr>
      <w:t>01</w:t>
    </w:r>
    <w:r>
      <w:rPr>
        <w:rFonts w:ascii="Arial" w:hAnsi="Arial" w:cs="Arial"/>
        <w:sz w:val="16"/>
        <w:szCs w:val="16"/>
      </w:rPr>
      <w:t>-01</w:t>
    </w:r>
  </w:p>
  <w:p w:rsidR="008260C9" w:rsidRPr="001B0E6E" w:rsidRDefault="00C06011" w:rsidP="00355FBC">
    <w:pPr>
      <w:pStyle w:val="Encabezado"/>
      <w:jc w:val="center"/>
      <w:rPr>
        <w:rFonts w:ascii="Arial" w:hAnsi="Arial" w:cs="Arial"/>
        <w:sz w:val="16"/>
        <w:szCs w:val="16"/>
      </w:rPr>
    </w:pPr>
    <w:proofErr w:type="spellStart"/>
    <w:r>
      <w:rPr>
        <w:rFonts w:ascii="Arial" w:hAnsi="Arial" w:cs="Arial"/>
        <w:sz w:val="16"/>
        <w:szCs w:val="16"/>
      </w:rPr>
      <w:t>Adiela</w:t>
    </w:r>
    <w:proofErr w:type="spellEnd"/>
    <w:r>
      <w:rPr>
        <w:rFonts w:ascii="Arial" w:hAnsi="Arial" w:cs="Arial"/>
        <w:sz w:val="16"/>
        <w:szCs w:val="16"/>
      </w:rPr>
      <w:t xml:space="preserve"> Salazar Villegas </w:t>
    </w:r>
    <w:r w:rsidR="008260C9" w:rsidRPr="001B0E6E">
      <w:rPr>
        <w:rFonts w:ascii="Arial" w:hAnsi="Arial" w:cs="Arial"/>
        <w:sz w:val="16"/>
        <w:szCs w:val="16"/>
      </w:rPr>
      <w:t>vs Colpensiones</w:t>
    </w:r>
    <w:r w:rsidR="008260C9">
      <w:rPr>
        <w:rFonts w:ascii="Arial" w:hAnsi="Arial" w:cs="Arial"/>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A8B47A9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272E5BBB"/>
    <w:multiLevelType w:val="hybridMultilevel"/>
    <w:tmpl w:val="5D32C3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6125623"/>
    <w:multiLevelType w:val="hybridMultilevel"/>
    <w:tmpl w:val="F31AF526"/>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2"/>
  </w:num>
  <w:num w:numId="3">
    <w:abstractNumId w:val="4"/>
  </w:num>
  <w:num w:numId="4">
    <w:abstractNumId w:val="9"/>
  </w:num>
  <w:num w:numId="5">
    <w:abstractNumId w:val="0"/>
  </w:num>
  <w:num w:numId="6">
    <w:abstractNumId w:val="7"/>
  </w:num>
  <w:num w:numId="7">
    <w:abstractNumId w:val="8"/>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4BBE"/>
    <w:rsid w:val="0000581C"/>
    <w:rsid w:val="00005D7F"/>
    <w:rsid w:val="00006874"/>
    <w:rsid w:val="00007B72"/>
    <w:rsid w:val="000119A4"/>
    <w:rsid w:val="00020A06"/>
    <w:rsid w:val="00026E6D"/>
    <w:rsid w:val="00040E9A"/>
    <w:rsid w:val="000429E7"/>
    <w:rsid w:val="000452F4"/>
    <w:rsid w:val="000537EA"/>
    <w:rsid w:val="00054CAF"/>
    <w:rsid w:val="00056404"/>
    <w:rsid w:val="00057FAE"/>
    <w:rsid w:val="000709EE"/>
    <w:rsid w:val="00084002"/>
    <w:rsid w:val="00090FD9"/>
    <w:rsid w:val="000A2DB2"/>
    <w:rsid w:val="000A397D"/>
    <w:rsid w:val="000A40DE"/>
    <w:rsid w:val="000A7156"/>
    <w:rsid w:val="000A71D5"/>
    <w:rsid w:val="000A7327"/>
    <w:rsid w:val="000B4F3C"/>
    <w:rsid w:val="000B6BB1"/>
    <w:rsid w:val="000C08B1"/>
    <w:rsid w:val="000C0A51"/>
    <w:rsid w:val="000C581D"/>
    <w:rsid w:val="000D0444"/>
    <w:rsid w:val="000D6873"/>
    <w:rsid w:val="000D6AE3"/>
    <w:rsid w:val="000E70EB"/>
    <w:rsid w:val="000E7F42"/>
    <w:rsid w:val="000F08C1"/>
    <w:rsid w:val="000F1880"/>
    <w:rsid w:val="000F38F8"/>
    <w:rsid w:val="000F5775"/>
    <w:rsid w:val="000F6FF9"/>
    <w:rsid w:val="001005F1"/>
    <w:rsid w:val="00101DEB"/>
    <w:rsid w:val="00106A7E"/>
    <w:rsid w:val="00117283"/>
    <w:rsid w:val="00121F87"/>
    <w:rsid w:val="00122A57"/>
    <w:rsid w:val="00123D49"/>
    <w:rsid w:val="00127390"/>
    <w:rsid w:val="001320DB"/>
    <w:rsid w:val="00132136"/>
    <w:rsid w:val="00133E70"/>
    <w:rsid w:val="00134C86"/>
    <w:rsid w:val="001365C6"/>
    <w:rsid w:val="00142110"/>
    <w:rsid w:val="00144CC0"/>
    <w:rsid w:val="001455D1"/>
    <w:rsid w:val="00146784"/>
    <w:rsid w:val="00146B1E"/>
    <w:rsid w:val="0015718B"/>
    <w:rsid w:val="00164E8B"/>
    <w:rsid w:val="001667FB"/>
    <w:rsid w:val="00167549"/>
    <w:rsid w:val="00171BDD"/>
    <w:rsid w:val="00171C56"/>
    <w:rsid w:val="001726C7"/>
    <w:rsid w:val="00172834"/>
    <w:rsid w:val="00183477"/>
    <w:rsid w:val="001841D7"/>
    <w:rsid w:val="001926F2"/>
    <w:rsid w:val="001929DC"/>
    <w:rsid w:val="0019411B"/>
    <w:rsid w:val="001962B7"/>
    <w:rsid w:val="00196815"/>
    <w:rsid w:val="001A2492"/>
    <w:rsid w:val="001A2E17"/>
    <w:rsid w:val="001A4D21"/>
    <w:rsid w:val="001B03FA"/>
    <w:rsid w:val="001B71E3"/>
    <w:rsid w:val="001C46FA"/>
    <w:rsid w:val="001C4D7F"/>
    <w:rsid w:val="001C7271"/>
    <w:rsid w:val="001D1BC0"/>
    <w:rsid w:val="001D4EB8"/>
    <w:rsid w:val="001D669C"/>
    <w:rsid w:val="001E0313"/>
    <w:rsid w:val="001E3462"/>
    <w:rsid w:val="001E3DB0"/>
    <w:rsid w:val="001F4718"/>
    <w:rsid w:val="00201403"/>
    <w:rsid w:val="002029C9"/>
    <w:rsid w:val="00202BEA"/>
    <w:rsid w:val="00216DFF"/>
    <w:rsid w:val="00217431"/>
    <w:rsid w:val="00222B11"/>
    <w:rsid w:val="002233EC"/>
    <w:rsid w:val="00226D5F"/>
    <w:rsid w:val="002302B8"/>
    <w:rsid w:val="0023095E"/>
    <w:rsid w:val="00230AFD"/>
    <w:rsid w:val="00231C21"/>
    <w:rsid w:val="002320EB"/>
    <w:rsid w:val="002404DA"/>
    <w:rsid w:val="00241347"/>
    <w:rsid w:val="00242152"/>
    <w:rsid w:val="00244804"/>
    <w:rsid w:val="0024524B"/>
    <w:rsid w:val="00247BBE"/>
    <w:rsid w:val="00251CC1"/>
    <w:rsid w:val="00265520"/>
    <w:rsid w:val="00272C8B"/>
    <w:rsid w:val="00273805"/>
    <w:rsid w:val="00286873"/>
    <w:rsid w:val="00287CC2"/>
    <w:rsid w:val="00290C0B"/>
    <w:rsid w:val="00293CA8"/>
    <w:rsid w:val="00294CE2"/>
    <w:rsid w:val="002A02BA"/>
    <w:rsid w:val="002A1785"/>
    <w:rsid w:val="002A554E"/>
    <w:rsid w:val="002A5948"/>
    <w:rsid w:val="002B3144"/>
    <w:rsid w:val="002B556B"/>
    <w:rsid w:val="002B6D13"/>
    <w:rsid w:val="002C15F7"/>
    <w:rsid w:val="002C2088"/>
    <w:rsid w:val="002C2A22"/>
    <w:rsid w:val="002C313D"/>
    <w:rsid w:val="002C530D"/>
    <w:rsid w:val="002D6807"/>
    <w:rsid w:val="002E09C2"/>
    <w:rsid w:val="002E36F9"/>
    <w:rsid w:val="002E4F47"/>
    <w:rsid w:val="002F07BA"/>
    <w:rsid w:val="002F1F5F"/>
    <w:rsid w:val="002F4207"/>
    <w:rsid w:val="0030453F"/>
    <w:rsid w:val="003048D2"/>
    <w:rsid w:val="00311C9C"/>
    <w:rsid w:val="0031467E"/>
    <w:rsid w:val="00316580"/>
    <w:rsid w:val="00322786"/>
    <w:rsid w:val="00324AD2"/>
    <w:rsid w:val="00325F73"/>
    <w:rsid w:val="00326F8A"/>
    <w:rsid w:val="00336C7F"/>
    <w:rsid w:val="003371E3"/>
    <w:rsid w:val="003440CA"/>
    <w:rsid w:val="003463CD"/>
    <w:rsid w:val="003465C4"/>
    <w:rsid w:val="00347C69"/>
    <w:rsid w:val="003541D4"/>
    <w:rsid w:val="00355FBC"/>
    <w:rsid w:val="0035637F"/>
    <w:rsid w:val="003578D3"/>
    <w:rsid w:val="00357D26"/>
    <w:rsid w:val="0036213E"/>
    <w:rsid w:val="0036349A"/>
    <w:rsid w:val="003638F6"/>
    <w:rsid w:val="00363924"/>
    <w:rsid w:val="003643A6"/>
    <w:rsid w:val="00381936"/>
    <w:rsid w:val="00382914"/>
    <w:rsid w:val="00382C70"/>
    <w:rsid w:val="00390620"/>
    <w:rsid w:val="00390B71"/>
    <w:rsid w:val="003922FA"/>
    <w:rsid w:val="003932F1"/>
    <w:rsid w:val="003B320D"/>
    <w:rsid w:val="003B4EA7"/>
    <w:rsid w:val="003B5B81"/>
    <w:rsid w:val="003C1D2E"/>
    <w:rsid w:val="003C2DCF"/>
    <w:rsid w:val="003D0157"/>
    <w:rsid w:val="003D0DFC"/>
    <w:rsid w:val="003D0F2F"/>
    <w:rsid w:val="003D6CB5"/>
    <w:rsid w:val="003E2354"/>
    <w:rsid w:val="003F228F"/>
    <w:rsid w:val="003F2C50"/>
    <w:rsid w:val="003F39CE"/>
    <w:rsid w:val="003F4162"/>
    <w:rsid w:val="003F4E7E"/>
    <w:rsid w:val="003F62D0"/>
    <w:rsid w:val="00410F60"/>
    <w:rsid w:val="004136EB"/>
    <w:rsid w:val="00416A8D"/>
    <w:rsid w:val="00427FE1"/>
    <w:rsid w:val="004348AB"/>
    <w:rsid w:val="00434DF8"/>
    <w:rsid w:val="00435084"/>
    <w:rsid w:val="004453BD"/>
    <w:rsid w:val="00445692"/>
    <w:rsid w:val="0044769F"/>
    <w:rsid w:val="00450598"/>
    <w:rsid w:val="00450903"/>
    <w:rsid w:val="004517BE"/>
    <w:rsid w:val="004519EB"/>
    <w:rsid w:val="0045273B"/>
    <w:rsid w:val="00453DC3"/>
    <w:rsid w:val="00470873"/>
    <w:rsid w:val="004729BA"/>
    <w:rsid w:val="00472AA3"/>
    <w:rsid w:val="00474E2F"/>
    <w:rsid w:val="00480C56"/>
    <w:rsid w:val="00492808"/>
    <w:rsid w:val="004A0EB9"/>
    <w:rsid w:val="004A12CC"/>
    <w:rsid w:val="004A2468"/>
    <w:rsid w:val="004A52AC"/>
    <w:rsid w:val="004A7157"/>
    <w:rsid w:val="004A7AB4"/>
    <w:rsid w:val="004B1C89"/>
    <w:rsid w:val="004B2C4C"/>
    <w:rsid w:val="004B454F"/>
    <w:rsid w:val="004C019B"/>
    <w:rsid w:val="004C33B5"/>
    <w:rsid w:val="004C5B27"/>
    <w:rsid w:val="004C681C"/>
    <w:rsid w:val="004D018B"/>
    <w:rsid w:val="004D01C5"/>
    <w:rsid w:val="004D5A63"/>
    <w:rsid w:val="004D5F52"/>
    <w:rsid w:val="004E4CC6"/>
    <w:rsid w:val="004F158C"/>
    <w:rsid w:val="004F6766"/>
    <w:rsid w:val="004F724D"/>
    <w:rsid w:val="00501034"/>
    <w:rsid w:val="00502691"/>
    <w:rsid w:val="00505103"/>
    <w:rsid w:val="0051055C"/>
    <w:rsid w:val="00515BDC"/>
    <w:rsid w:val="005254D7"/>
    <w:rsid w:val="00530FFD"/>
    <w:rsid w:val="005319C5"/>
    <w:rsid w:val="005334A2"/>
    <w:rsid w:val="00533F10"/>
    <w:rsid w:val="0053562A"/>
    <w:rsid w:val="00551347"/>
    <w:rsid w:val="00552CE3"/>
    <w:rsid w:val="005541CC"/>
    <w:rsid w:val="0055465D"/>
    <w:rsid w:val="00556BC1"/>
    <w:rsid w:val="0056183E"/>
    <w:rsid w:val="00563496"/>
    <w:rsid w:val="00565E83"/>
    <w:rsid w:val="0056670C"/>
    <w:rsid w:val="00567B33"/>
    <w:rsid w:val="00567C97"/>
    <w:rsid w:val="00572006"/>
    <w:rsid w:val="00572BE9"/>
    <w:rsid w:val="00576934"/>
    <w:rsid w:val="00577FBF"/>
    <w:rsid w:val="00586CB3"/>
    <w:rsid w:val="005878E1"/>
    <w:rsid w:val="00591F75"/>
    <w:rsid w:val="00591FDE"/>
    <w:rsid w:val="00594723"/>
    <w:rsid w:val="005A026A"/>
    <w:rsid w:val="005A693B"/>
    <w:rsid w:val="005A6B1D"/>
    <w:rsid w:val="005B0292"/>
    <w:rsid w:val="005B1FAB"/>
    <w:rsid w:val="005B4113"/>
    <w:rsid w:val="005B7D0B"/>
    <w:rsid w:val="005C3850"/>
    <w:rsid w:val="005C3E71"/>
    <w:rsid w:val="005C66DD"/>
    <w:rsid w:val="005D1C5A"/>
    <w:rsid w:val="005D5800"/>
    <w:rsid w:val="005D7829"/>
    <w:rsid w:val="005D7A47"/>
    <w:rsid w:val="005E0ED1"/>
    <w:rsid w:val="005E7DA5"/>
    <w:rsid w:val="005F1504"/>
    <w:rsid w:val="005F4872"/>
    <w:rsid w:val="005F4EE2"/>
    <w:rsid w:val="005F5E82"/>
    <w:rsid w:val="00603BA5"/>
    <w:rsid w:val="006135E9"/>
    <w:rsid w:val="0061484D"/>
    <w:rsid w:val="00615E23"/>
    <w:rsid w:val="00616F01"/>
    <w:rsid w:val="00617D5D"/>
    <w:rsid w:val="0062213D"/>
    <w:rsid w:val="006228C7"/>
    <w:rsid w:val="00622B0F"/>
    <w:rsid w:val="006261F7"/>
    <w:rsid w:val="0063108D"/>
    <w:rsid w:val="00635E8F"/>
    <w:rsid w:val="00637118"/>
    <w:rsid w:val="0064158C"/>
    <w:rsid w:val="006424B0"/>
    <w:rsid w:val="00643D10"/>
    <w:rsid w:val="00651658"/>
    <w:rsid w:val="006516CA"/>
    <w:rsid w:val="00654311"/>
    <w:rsid w:val="00656568"/>
    <w:rsid w:val="00656587"/>
    <w:rsid w:val="00662013"/>
    <w:rsid w:val="00662287"/>
    <w:rsid w:val="00663488"/>
    <w:rsid w:val="0066529E"/>
    <w:rsid w:val="006720B3"/>
    <w:rsid w:val="00675E25"/>
    <w:rsid w:val="00682BA8"/>
    <w:rsid w:val="00684B25"/>
    <w:rsid w:val="00690F87"/>
    <w:rsid w:val="006A0D48"/>
    <w:rsid w:val="006A3D88"/>
    <w:rsid w:val="006A4FD9"/>
    <w:rsid w:val="006B2959"/>
    <w:rsid w:val="006B79EE"/>
    <w:rsid w:val="006C07DE"/>
    <w:rsid w:val="006C0983"/>
    <w:rsid w:val="006C0D0D"/>
    <w:rsid w:val="006C1C3B"/>
    <w:rsid w:val="006C2385"/>
    <w:rsid w:val="006C48AA"/>
    <w:rsid w:val="006D07D3"/>
    <w:rsid w:val="006D0816"/>
    <w:rsid w:val="006D4576"/>
    <w:rsid w:val="006D46EB"/>
    <w:rsid w:val="006E11A2"/>
    <w:rsid w:val="006E1F37"/>
    <w:rsid w:val="006E2F01"/>
    <w:rsid w:val="006E3949"/>
    <w:rsid w:val="006F2FF3"/>
    <w:rsid w:val="006F3D12"/>
    <w:rsid w:val="006F68BC"/>
    <w:rsid w:val="007038B1"/>
    <w:rsid w:val="0070724D"/>
    <w:rsid w:val="00712CFC"/>
    <w:rsid w:val="00713558"/>
    <w:rsid w:val="00716474"/>
    <w:rsid w:val="007220D1"/>
    <w:rsid w:val="00723F65"/>
    <w:rsid w:val="007257B2"/>
    <w:rsid w:val="007258A6"/>
    <w:rsid w:val="007266F7"/>
    <w:rsid w:val="00726CC1"/>
    <w:rsid w:val="007308D1"/>
    <w:rsid w:val="007364DD"/>
    <w:rsid w:val="00745389"/>
    <w:rsid w:val="007465BA"/>
    <w:rsid w:val="0074785C"/>
    <w:rsid w:val="00750744"/>
    <w:rsid w:val="007510BB"/>
    <w:rsid w:val="007632AA"/>
    <w:rsid w:val="00764C9B"/>
    <w:rsid w:val="00765ADF"/>
    <w:rsid w:val="00776EC7"/>
    <w:rsid w:val="00777D9C"/>
    <w:rsid w:val="007809CE"/>
    <w:rsid w:val="0078235F"/>
    <w:rsid w:val="007840CD"/>
    <w:rsid w:val="00784E91"/>
    <w:rsid w:val="00785001"/>
    <w:rsid w:val="007903F5"/>
    <w:rsid w:val="00795237"/>
    <w:rsid w:val="007A13DF"/>
    <w:rsid w:val="007A2D40"/>
    <w:rsid w:val="007A2F5F"/>
    <w:rsid w:val="007A73A3"/>
    <w:rsid w:val="007B1977"/>
    <w:rsid w:val="007B2F6C"/>
    <w:rsid w:val="007B5499"/>
    <w:rsid w:val="007B6F39"/>
    <w:rsid w:val="007C2252"/>
    <w:rsid w:val="007C36EF"/>
    <w:rsid w:val="007C4103"/>
    <w:rsid w:val="007C5A02"/>
    <w:rsid w:val="007D40B8"/>
    <w:rsid w:val="007E0BAF"/>
    <w:rsid w:val="007E3F4A"/>
    <w:rsid w:val="007E5218"/>
    <w:rsid w:val="007E5F18"/>
    <w:rsid w:val="007F111B"/>
    <w:rsid w:val="007F176A"/>
    <w:rsid w:val="007F1F65"/>
    <w:rsid w:val="007F7476"/>
    <w:rsid w:val="007F7CE7"/>
    <w:rsid w:val="00800372"/>
    <w:rsid w:val="008031E8"/>
    <w:rsid w:val="0080364F"/>
    <w:rsid w:val="0080681F"/>
    <w:rsid w:val="00807187"/>
    <w:rsid w:val="00810397"/>
    <w:rsid w:val="00815A02"/>
    <w:rsid w:val="0082528F"/>
    <w:rsid w:val="0082591D"/>
    <w:rsid w:val="008260C9"/>
    <w:rsid w:val="008261E9"/>
    <w:rsid w:val="0083061B"/>
    <w:rsid w:val="0083155E"/>
    <w:rsid w:val="00832ECD"/>
    <w:rsid w:val="00834E7B"/>
    <w:rsid w:val="00842F01"/>
    <w:rsid w:val="00845A8E"/>
    <w:rsid w:val="008460CC"/>
    <w:rsid w:val="008472E5"/>
    <w:rsid w:val="00862EBC"/>
    <w:rsid w:val="008751D8"/>
    <w:rsid w:val="008778BA"/>
    <w:rsid w:val="00881457"/>
    <w:rsid w:val="00881830"/>
    <w:rsid w:val="00885AF2"/>
    <w:rsid w:val="008865CE"/>
    <w:rsid w:val="008868A2"/>
    <w:rsid w:val="008914D9"/>
    <w:rsid w:val="00891545"/>
    <w:rsid w:val="00892C62"/>
    <w:rsid w:val="00895036"/>
    <w:rsid w:val="008972FD"/>
    <w:rsid w:val="008A04F6"/>
    <w:rsid w:val="008A316B"/>
    <w:rsid w:val="008A38AF"/>
    <w:rsid w:val="008B153E"/>
    <w:rsid w:val="008B2194"/>
    <w:rsid w:val="008B4039"/>
    <w:rsid w:val="008B48B8"/>
    <w:rsid w:val="008C57CD"/>
    <w:rsid w:val="008C7B99"/>
    <w:rsid w:val="008D0040"/>
    <w:rsid w:val="008D27EF"/>
    <w:rsid w:val="008D7B4F"/>
    <w:rsid w:val="008E039A"/>
    <w:rsid w:val="008E0EF1"/>
    <w:rsid w:val="008E2244"/>
    <w:rsid w:val="008E27AE"/>
    <w:rsid w:val="008E4150"/>
    <w:rsid w:val="008F003B"/>
    <w:rsid w:val="008F2258"/>
    <w:rsid w:val="008F31EB"/>
    <w:rsid w:val="009000D4"/>
    <w:rsid w:val="009018F8"/>
    <w:rsid w:val="00902592"/>
    <w:rsid w:val="009071F5"/>
    <w:rsid w:val="00907A5F"/>
    <w:rsid w:val="00910042"/>
    <w:rsid w:val="00911B29"/>
    <w:rsid w:val="009137A5"/>
    <w:rsid w:val="00915EE3"/>
    <w:rsid w:val="009200D8"/>
    <w:rsid w:val="00924585"/>
    <w:rsid w:val="00936813"/>
    <w:rsid w:val="00942E96"/>
    <w:rsid w:val="00943F86"/>
    <w:rsid w:val="0094541B"/>
    <w:rsid w:val="009548D5"/>
    <w:rsid w:val="00955499"/>
    <w:rsid w:val="009660D4"/>
    <w:rsid w:val="0096635A"/>
    <w:rsid w:val="00966D44"/>
    <w:rsid w:val="00966F23"/>
    <w:rsid w:val="009740CF"/>
    <w:rsid w:val="00975BE8"/>
    <w:rsid w:val="00975DEE"/>
    <w:rsid w:val="00981496"/>
    <w:rsid w:val="00981DA7"/>
    <w:rsid w:val="009827E2"/>
    <w:rsid w:val="009849BE"/>
    <w:rsid w:val="00984DDE"/>
    <w:rsid w:val="00991805"/>
    <w:rsid w:val="00991D5B"/>
    <w:rsid w:val="00992BDD"/>
    <w:rsid w:val="00995393"/>
    <w:rsid w:val="009954BE"/>
    <w:rsid w:val="00995835"/>
    <w:rsid w:val="009A0106"/>
    <w:rsid w:val="009A0660"/>
    <w:rsid w:val="009A4BC5"/>
    <w:rsid w:val="009C03C2"/>
    <w:rsid w:val="009C3579"/>
    <w:rsid w:val="009C6681"/>
    <w:rsid w:val="009C77EB"/>
    <w:rsid w:val="009D1438"/>
    <w:rsid w:val="009D5BB7"/>
    <w:rsid w:val="009D64B0"/>
    <w:rsid w:val="009D6F42"/>
    <w:rsid w:val="009D7443"/>
    <w:rsid w:val="009E396A"/>
    <w:rsid w:val="009E5A8E"/>
    <w:rsid w:val="009F0B85"/>
    <w:rsid w:val="009F0E24"/>
    <w:rsid w:val="009F1835"/>
    <w:rsid w:val="00A02274"/>
    <w:rsid w:val="00A100EF"/>
    <w:rsid w:val="00A124A0"/>
    <w:rsid w:val="00A1521A"/>
    <w:rsid w:val="00A17078"/>
    <w:rsid w:val="00A227F4"/>
    <w:rsid w:val="00A23CFA"/>
    <w:rsid w:val="00A24966"/>
    <w:rsid w:val="00A25A2E"/>
    <w:rsid w:val="00A26C03"/>
    <w:rsid w:val="00A27137"/>
    <w:rsid w:val="00A30D33"/>
    <w:rsid w:val="00A32B05"/>
    <w:rsid w:val="00A363B9"/>
    <w:rsid w:val="00A36479"/>
    <w:rsid w:val="00A36956"/>
    <w:rsid w:val="00A41823"/>
    <w:rsid w:val="00A42244"/>
    <w:rsid w:val="00A5024C"/>
    <w:rsid w:val="00A5463B"/>
    <w:rsid w:val="00A57E6A"/>
    <w:rsid w:val="00A6190F"/>
    <w:rsid w:val="00A63BAD"/>
    <w:rsid w:val="00A642D6"/>
    <w:rsid w:val="00A72A19"/>
    <w:rsid w:val="00A7488C"/>
    <w:rsid w:val="00A75252"/>
    <w:rsid w:val="00A928D2"/>
    <w:rsid w:val="00A93DCA"/>
    <w:rsid w:val="00A957FB"/>
    <w:rsid w:val="00AA2F30"/>
    <w:rsid w:val="00AB2427"/>
    <w:rsid w:val="00AB32B4"/>
    <w:rsid w:val="00AB5128"/>
    <w:rsid w:val="00AB7FA5"/>
    <w:rsid w:val="00AC09A6"/>
    <w:rsid w:val="00AC1793"/>
    <w:rsid w:val="00AC36EA"/>
    <w:rsid w:val="00AC3762"/>
    <w:rsid w:val="00AC486E"/>
    <w:rsid w:val="00AD47A2"/>
    <w:rsid w:val="00AD78BB"/>
    <w:rsid w:val="00AD7EF8"/>
    <w:rsid w:val="00AE118E"/>
    <w:rsid w:val="00AE39F4"/>
    <w:rsid w:val="00AE3A4F"/>
    <w:rsid w:val="00AE58C3"/>
    <w:rsid w:val="00AE62E4"/>
    <w:rsid w:val="00AF0935"/>
    <w:rsid w:val="00AF5C75"/>
    <w:rsid w:val="00AF6BA7"/>
    <w:rsid w:val="00AF6E3F"/>
    <w:rsid w:val="00AF7149"/>
    <w:rsid w:val="00B04151"/>
    <w:rsid w:val="00B0466B"/>
    <w:rsid w:val="00B04949"/>
    <w:rsid w:val="00B06053"/>
    <w:rsid w:val="00B06343"/>
    <w:rsid w:val="00B11EEA"/>
    <w:rsid w:val="00B12BDA"/>
    <w:rsid w:val="00B162A7"/>
    <w:rsid w:val="00B220D2"/>
    <w:rsid w:val="00B22E56"/>
    <w:rsid w:val="00B24C28"/>
    <w:rsid w:val="00B3436D"/>
    <w:rsid w:val="00B364A1"/>
    <w:rsid w:val="00B3687A"/>
    <w:rsid w:val="00B5427D"/>
    <w:rsid w:val="00B56E76"/>
    <w:rsid w:val="00B63804"/>
    <w:rsid w:val="00B65F9A"/>
    <w:rsid w:val="00B67118"/>
    <w:rsid w:val="00B75647"/>
    <w:rsid w:val="00B80B3E"/>
    <w:rsid w:val="00B84644"/>
    <w:rsid w:val="00B86AC5"/>
    <w:rsid w:val="00B92076"/>
    <w:rsid w:val="00B9380B"/>
    <w:rsid w:val="00B9600C"/>
    <w:rsid w:val="00BA0C20"/>
    <w:rsid w:val="00BB03B4"/>
    <w:rsid w:val="00BB1F45"/>
    <w:rsid w:val="00BB2C59"/>
    <w:rsid w:val="00BB669B"/>
    <w:rsid w:val="00BC12B5"/>
    <w:rsid w:val="00BC31C8"/>
    <w:rsid w:val="00BC691B"/>
    <w:rsid w:val="00BC70D9"/>
    <w:rsid w:val="00BC75BC"/>
    <w:rsid w:val="00BE0373"/>
    <w:rsid w:val="00BF2489"/>
    <w:rsid w:val="00BF3967"/>
    <w:rsid w:val="00C00FD9"/>
    <w:rsid w:val="00C03688"/>
    <w:rsid w:val="00C06011"/>
    <w:rsid w:val="00C0766F"/>
    <w:rsid w:val="00C1062A"/>
    <w:rsid w:val="00C133B7"/>
    <w:rsid w:val="00C1591F"/>
    <w:rsid w:val="00C16716"/>
    <w:rsid w:val="00C20356"/>
    <w:rsid w:val="00C22EE6"/>
    <w:rsid w:val="00C26F5C"/>
    <w:rsid w:val="00C411F8"/>
    <w:rsid w:val="00C419D5"/>
    <w:rsid w:val="00C43D62"/>
    <w:rsid w:val="00C51BFB"/>
    <w:rsid w:val="00C51CFD"/>
    <w:rsid w:val="00C56E3E"/>
    <w:rsid w:val="00C634AF"/>
    <w:rsid w:val="00C65FCA"/>
    <w:rsid w:val="00C73C09"/>
    <w:rsid w:val="00C75002"/>
    <w:rsid w:val="00C80996"/>
    <w:rsid w:val="00C81260"/>
    <w:rsid w:val="00C81FE6"/>
    <w:rsid w:val="00C83F1F"/>
    <w:rsid w:val="00C91182"/>
    <w:rsid w:val="00C9173E"/>
    <w:rsid w:val="00C93C83"/>
    <w:rsid w:val="00C9691D"/>
    <w:rsid w:val="00C97513"/>
    <w:rsid w:val="00CA1E17"/>
    <w:rsid w:val="00CA5C6C"/>
    <w:rsid w:val="00CB17D9"/>
    <w:rsid w:val="00CB550B"/>
    <w:rsid w:val="00CB5B17"/>
    <w:rsid w:val="00CC0590"/>
    <w:rsid w:val="00CC0AEC"/>
    <w:rsid w:val="00CC473D"/>
    <w:rsid w:val="00CC4952"/>
    <w:rsid w:val="00CC4EF1"/>
    <w:rsid w:val="00CC52FF"/>
    <w:rsid w:val="00CD0F44"/>
    <w:rsid w:val="00CD17ED"/>
    <w:rsid w:val="00CD79DF"/>
    <w:rsid w:val="00CE2717"/>
    <w:rsid w:val="00CE714F"/>
    <w:rsid w:val="00CF1AEC"/>
    <w:rsid w:val="00CF576A"/>
    <w:rsid w:val="00D0228B"/>
    <w:rsid w:val="00D060CA"/>
    <w:rsid w:val="00D13232"/>
    <w:rsid w:val="00D13723"/>
    <w:rsid w:val="00D13AA3"/>
    <w:rsid w:val="00D16703"/>
    <w:rsid w:val="00D22C10"/>
    <w:rsid w:val="00D25A1C"/>
    <w:rsid w:val="00D260C3"/>
    <w:rsid w:val="00D320B2"/>
    <w:rsid w:val="00D33344"/>
    <w:rsid w:val="00D37912"/>
    <w:rsid w:val="00D43921"/>
    <w:rsid w:val="00D445BD"/>
    <w:rsid w:val="00D45520"/>
    <w:rsid w:val="00D4562A"/>
    <w:rsid w:val="00D50A1D"/>
    <w:rsid w:val="00D51CB6"/>
    <w:rsid w:val="00D578CB"/>
    <w:rsid w:val="00D603F5"/>
    <w:rsid w:val="00D736BD"/>
    <w:rsid w:val="00D747E2"/>
    <w:rsid w:val="00D758F1"/>
    <w:rsid w:val="00D867DB"/>
    <w:rsid w:val="00D90E0C"/>
    <w:rsid w:val="00D91996"/>
    <w:rsid w:val="00D93BC8"/>
    <w:rsid w:val="00D959B2"/>
    <w:rsid w:val="00D96DB6"/>
    <w:rsid w:val="00D97DBA"/>
    <w:rsid w:val="00DA3E57"/>
    <w:rsid w:val="00DA4B0A"/>
    <w:rsid w:val="00DA5400"/>
    <w:rsid w:val="00DA7F6C"/>
    <w:rsid w:val="00DB157E"/>
    <w:rsid w:val="00DB17B9"/>
    <w:rsid w:val="00DB4EFD"/>
    <w:rsid w:val="00DB798F"/>
    <w:rsid w:val="00DC3D92"/>
    <w:rsid w:val="00DC45C9"/>
    <w:rsid w:val="00DC4604"/>
    <w:rsid w:val="00DD4697"/>
    <w:rsid w:val="00DD6BF4"/>
    <w:rsid w:val="00DD7786"/>
    <w:rsid w:val="00DE0005"/>
    <w:rsid w:val="00DE0016"/>
    <w:rsid w:val="00DF1DA6"/>
    <w:rsid w:val="00DF30A5"/>
    <w:rsid w:val="00DF3B2A"/>
    <w:rsid w:val="00DF5376"/>
    <w:rsid w:val="00E031D6"/>
    <w:rsid w:val="00E04B5A"/>
    <w:rsid w:val="00E062F9"/>
    <w:rsid w:val="00E0665C"/>
    <w:rsid w:val="00E1122B"/>
    <w:rsid w:val="00E205E5"/>
    <w:rsid w:val="00E226FE"/>
    <w:rsid w:val="00E272B3"/>
    <w:rsid w:val="00E27B52"/>
    <w:rsid w:val="00E32E6A"/>
    <w:rsid w:val="00E368B2"/>
    <w:rsid w:val="00E40BFC"/>
    <w:rsid w:val="00E523D6"/>
    <w:rsid w:val="00E55139"/>
    <w:rsid w:val="00E55A0E"/>
    <w:rsid w:val="00E55DF2"/>
    <w:rsid w:val="00E63EB3"/>
    <w:rsid w:val="00E665CA"/>
    <w:rsid w:val="00E70A48"/>
    <w:rsid w:val="00E72202"/>
    <w:rsid w:val="00E762DE"/>
    <w:rsid w:val="00E77022"/>
    <w:rsid w:val="00E92205"/>
    <w:rsid w:val="00E93052"/>
    <w:rsid w:val="00EA0A58"/>
    <w:rsid w:val="00EA3CA8"/>
    <w:rsid w:val="00EA4765"/>
    <w:rsid w:val="00EC241E"/>
    <w:rsid w:val="00EC3C6F"/>
    <w:rsid w:val="00ED29F1"/>
    <w:rsid w:val="00ED6759"/>
    <w:rsid w:val="00ED6AF6"/>
    <w:rsid w:val="00ED7CCD"/>
    <w:rsid w:val="00EE1A62"/>
    <w:rsid w:val="00EE35B2"/>
    <w:rsid w:val="00EF1695"/>
    <w:rsid w:val="00EF2074"/>
    <w:rsid w:val="00EF46E6"/>
    <w:rsid w:val="00EF6C04"/>
    <w:rsid w:val="00EF6D99"/>
    <w:rsid w:val="00EF79EF"/>
    <w:rsid w:val="00F017BF"/>
    <w:rsid w:val="00F06048"/>
    <w:rsid w:val="00F0668C"/>
    <w:rsid w:val="00F11410"/>
    <w:rsid w:val="00F140D2"/>
    <w:rsid w:val="00F36F15"/>
    <w:rsid w:val="00F40D65"/>
    <w:rsid w:val="00F43CE5"/>
    <w:rsid w:val="00F500A7"/>
    <w:rsid w:val="00F518A4"/>
    <w:rsid w:val="00F527FA"/>
    <w:rsid w:val="00F5456E"/>
    <w:rsid w:val="00F551B8"/>
    <w:rsid w:val="00F5740B"/>
    <w:rsid w:val="00F57ABD"/>
    <w:rsid w:val="00F65645"/>
    <w:rsid w:val="00F7229A"/>
    <w:rsid w:val="00F760D1"/>
    <w:rsid w:val="00F814C0"/>
    <w:rsid w:val="00F820ED"/>
    <w:rsid w:val="00F848E0"/>
    <w:rsid w:val="00F90D97"/>
    <w:rsid w:val="00F90F88"/>
    <w:rsid w:val="00F919EA"/>
    <w:rsid w:val="00F920B2"/>
    <w:rsid w:val="00F93015"/>
    <w:rsid w:val="00F9550A"/>
    <w:rsid w:val="00FA27BE"/>
    <w:rsid w:val="00FA38AE"/>
    <w:rsid w:val="00FA4929"/>
    <w:rsid w:val="00FA6675"/>
    <w:rsid w:val="00FC04DF"/>
    <w:rsid w:val="00FC4D00"/>
    <w:rsid w:val="00FD6247"/>
    <w:rsid w:val="00FE059A"/>
    <w:rsid w:val="00FE078F"/>
    <w:rsid w:val="00FE21F3"/>
    <w:rsid w:val="00FE2BDE"/>
    <w:rsid w:val="00FE52E6"/>
    <w:rsid w:val="00FE73D1"/>
    <w:rsid w:val="00FE7515"/>
    <w:rsid w:val="00FF200A"/>
    <w:rsid w:val="00FF24FA"/>
    <w:rsid w:val="00FF2F05"/>
    <w:rsid w:val="00FF3CF9"/>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B06053"/>
    <w:rPr>
      <w:rFonts w:ascii="Bookman Old Style" w:hAnsi="Bookman Old Style" w:cs="Bookman Old Style"/>
      <w:sz w:val="28"/>
      <w:szCs w:val="28"/>
    </w:rPr>
  </w:style>
  <w:style w:type="paragraph" w:customStyle="1" w:styleId="Textoindependiente33">
    <w:name w:val="Texto independiente 33"/>
    <w:basedOn w:val="Normal"/>
    <w:rsid w:val="00BB669B"/>
    <w:pPr>
      <w:spacing w:line="360" w:lineRule="auto"/>
      <w:jc w:val="both"/>
    </w:pPr>
    <w:rPr>
      <w:rFonts w:ascii="Arial" w:hAnsi="Arial"/>
    </w:rPr>
  </w:style>
  <w:style w:type="paragraph" w:styleId="Textoindependiente3">
    <w:name w:val="Body Text 3"/>
    <w:basedOn w:val="Normal"/>
    <w:link w:val="Textoindependiente3Car"/>
    <w:uiPriority w:val="99"/>
    <w:semiHidden/>
    <w:unhideWhenUsed/>
    <w:rsid w:val="0044569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45692"/>
    <w:rPr>
      <w:rFonts w:ascii="Times New Roman" w:eastAsia="Times New Roman" w:hAnsi="Times New Roman" w:cs="Times New Roman"/>
      <w:sz w:val="16"/>
      <w:szCs w:val="16"/>
      <w:lang w:val="es-ES_tradnl" w:eastAsia="es-ES"/>
    </w:rPr>
  </w:style>
  <w:style w:type="paragraph" w:customStyle="1" w:styleId="Default">
    <w:name w:val="Default"/>
    <w:rsid w:val="0056670C"/>
    <w:pPr>
      <w:autoSpaceDE w:val="0"/>
      <w:autoSpaceDN w:val="0"/>
      <w:adjustRightInd w:val="0"/>
      <w:spacing w:after="0" w:line="240" w:lineRule="auto"/>
    </w:pPr>
    <w:rPr>
      <w:rFonts w:ascii="Bookman Old Style" w:hAnsi="Bookman Old Style" w:cs="Bookman Old Style"/>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57396107">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820579998">
      <w:bodyDiv w:val="1"/>
      <w:marLeft w:val="0"/>
      <w:marRight w:val="0"/>
      <w:marTop w:val="0"/>
      <w:marBottom w:val="0"/>
      <w:divBdr>
        <w:top w:val="none" w:sz="0" w:space="0" w:color="auto"/>
        <w:left w:val="none" w:sz="0" w:space="0" w:color="auto"/>
        <w:bottom w:val="none" w:sz="0" w:space="0" w:color="auto"/>
        <w:right w:val="none" w:sz="0" w:space="0" w:color="auto"/>
      </w:divBdr>
    </w:div>
    <w:div w:id="90101513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006397725">
      <w:bodyDiv w:val="1"/>
      <w:marLeft w:val="0"/>
      <w:marRight w:val="0"/>
      <w:marTop w:val="0"/>
      <w:marBottom w:val="0"/>
      <w:divBdr>
        <w:top w:val="none" w:sz="0" w:space="0" w:color="auto"/>
        <w:left w:val="none" w:sz="0" w:space="0" w:color="auto"/>
        <w:bottom w:val="none" w:sz="0" w:space="0" w:color="auto"/>
        <w:right w:val="none" w:sz="0" w:space="0" w:color="auto"/>
      </w:divBdr>
    </w:div>
    <w:div w:id="1469206491">
      <w:bodyDiv w:val="1"/>
      <w:marLeft w:val="0"/>
      <w:marRight w:val="0"/>
      <w:marTop w:val="0"/>
      <w:marBottom w:val="0"/>
      <w:divBdr>
        <w:top w:val="none" w:sz="0" w:space="0" w:color="auto"/>
        <w:left w:val="none" w:sz="0" w:space="0" w:color="auto"/>
        <w:bottom w:val="none" w:sz="0" w:space="0" w:color="auto"/>
        <w:right w:val="none" w:sz="0" w:space="0" w:color="auto"/>
      </w:divBdr>
    </w:div>
    <w:div w:id="153800621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14558477">
      <w:bodyDiv w:val="1"/>
      <w:marLeft w:val="0"/>
      <w:marRight w:val="0"/>
      <w:marTop w:val="0"/>
      <w:marBottom w:val="0"/>
      <w:divBdr>
        <w:top w:val="none" w:sz="0" w:space="0" w:color="auto"/>
        <w:left w:val="none" w:sz="0" w:space="0" w:color="auto"/>
        <w:bottom w:val="none" w:sz="0" w:space="0" w:color="auto"/>
        <w:right w:val="none" w:sz="0" w:space="0" w:color="auto"/>
      </w:divBdr>
    </w:div>
    <w:div w:id="168290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5DC28-8A52-401D-8078-2152F469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2483</Words>
  <Characters>13660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10</cp:revision>
  <cp:lastPrinted>2018-01-19T20:09:00Z</cp:lastPrinted>
  <dcterms:created xsi:type="dcterms:W3CDTF">2018-01-19T19:50:00Z</dcterms:created>
  <dcterms:modified xsi:type="dcterms:W3CDTF">2018-02-26T18:22:00Z</dcterms:modified>
</cp:coreProperties>
</file>