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E86" w:rsidRPr="00400CCC" w:rsidRDefault="006F4E86" w:rsidP="006F4E86">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w:t>
      </w:r>
      <w:r>
        <w:rPr>
          <w:rFonts w:cs="Calibri"/>
          <w:color w:val="FF0000"/>
          <w:sz w:val="16"/>
          <w:szCs w:val="16"/>
          <w:lang w:eastAsia="fr-FR"/>
        </w:rPr>
        <w:t>el salvamento</w:t>
      </w:r>
      <w:r w:rsidRPr="00400CCC">
        <w:rPr>
          <w:rFonts w:cs="Calibri"/>
          <w:color w:val="FF0000"/>
          <w:sz w:val="16"/>
          <w:szCs w:val="16"/>
          <w:lang w:eastAsia="fr-FR"/>
        </w:rPr>
        <w:t xml:space="preserve"> dentro del presente proceso. El contenido total y fiel de la decisión debe ser verificado en la Secretaría de esta Sala.</w:t>
      </w:r>
      <w:r w:rsidRPr="00400CCC">
        <w:rPr>
          <w:rFonts w:cs="Calibri"/>
          <w:color w:val="222222"/>
          <w:sz w:val="18"/>
          <w:szCs w:val="18"/>
          <w:lang w:eastAsia="fr-FR"/>
        </w:rPr>
        <w:t> </w:t>
      </w:r>
    </w:p>
    <w:p w:rsidR="00214609" w:rsidRPr="00436319" w:rsidRDefault="00214609" w:rsidP="00214609">
      <w:pPr>
        <w:spacing w:line="240" w:lineRule="atLeast"/>
        <w:jc w:val="center"/>
        <w:rPr>
          <w:rFonts w:ascii="Arial" w:hAnsi="Arial" w:cs="Arial"/>
          <w:b/>
          <w:sz w:val="44"/>
          <w:szCs w:val="44"/>
          <w:lang w:val="en-GB"/>
        </w:rPr>
      </w:pPr>
      <w:r w:rsidRPr="00436319">
        <w:rPr>
          <w:rFonts w:ascii="Arial" w:hAnsi="Arial" w:cs="Arial"/>
          <w:noProof/>
          <w:sz w:val="44"/>
          <w:szCs w:val="44"/>
          <w:lang w:val="es-ES"/>
        </w:rPr>
        <w:drawing>
          <wp:inline distT="0" distB="0" distL="0" distR="0" wp14:anchorId="3BBF0488" wp14:editId="2A1D9C97">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214609" w:rsidRPr="00436319" w:rsidRDefault="00214609" w:rsidP="00214609">
      <w:pPr>
        <w:widowControl w:val="0"/>
        <w:spacing w:line="360" w:lineRule="auto"/>
        <w:jc w:val="center"/>
        <w:rPr>
          <w:rFonts w:ascii="Arial" w:hAnsi="Arial" w:cs="Arial"/>
          <w:kern w:val="28"/>
          <w:szCs w:val="24"/>
          <w:lang w:val="es-ES"/>
        </w:rPr>
      </w:pPr>
      <w:r w:rsidRPr="00436319">
        <w:rPr>
          <w:rFonts w:ascii="Arial" w:hAnsi="Arial" w:cs="Arial"/>
          <w:kern w:val="28"/>
          <w:szCs w:val="24"/>
          <w:lang w:val="es-ES"/>
        </w:rPr>
        <w:t>RAMA JUDICIAL DEL PODER PÚBLICO</w:t>
      </w:r>
    </w:p>
    <w:p w:rsidR="00214609" w:rsidRPr="00436319" w:rsidRDefault="00214609" w:rsidP="00214609">
      <w:pPr>
        <w:widowControl w:val="0"/>
        <w:spacing w:line="360" w:lineRule="auto"/>
        <w:jc w:val="center"/>
        <w:rPr>
          <w:rFonts w:ascii="Arial" w:hAnsi="Arial" w:cs="Arial"/>
          <w:kern w:val="28"/>
          <w:szCs w:val="24"/>
          <w:lang w:val="es-ES"/>
        </w:rPr>
      </w:pPr>
      <w:r w:rsidRPr="00436319">
        <w:rPr>
          <w:rFonts w:ascii="Arial" w:hAnsi="Arial" w:cs="Arial"/>
          <w:kern w:val="28"/>
          <w:szCs w:val="24"/>
          <w:lang w:val="es-ES"/>
        </w:rPr>
        <w:t>TRIBUNAL SUPERIOR DEL DISTRITO JUDICIAL DE PEREIRA</w:t>
      </w:r>
    </w:p>
    <w:p w:rsidR="00214609" w:rsidRPr="00436319" w:rsidRDefault="00214609" w:rsidP="00214609">
      <w:pPr>
        <w:keepNext/>
        <w:spacing w:line="360" w:lineRule="auto"/>
        <w:jc w:val="center"/>
        <w:rPr>
          <w:rFonts w:ascii="Arial" w:hAnsi="Arial" w:cs="Arial"/>
          <w:bCs/>
          <w:szCs w:val="24"/>
        </w:rPr>
      </w:pPr>
      <w:r w:rsidRPr="00436319">
        <w:rPr>
          <w:rFonts w:ascii="Arial" w:hAnsi="Arial" w:cs="Arial"/>
          <w:bCs/>
          <w:szCs w:val="24"/>
        </w:rPr>
        <w:t>SALA CUARTA DE DECISIÓN LABORAL</w:t>
      </w:r>
    </w:p>
    <w:p w:rsidR="00214609" w:rsidRPr="00436319" w:rsidRDefault="00214609" w:rsidP="00214609">
      <w:pPr>
        <w:jc w:val="center"/>
        <w:rPr>
          <w:rFonts w:ascii="Arial" w:hAnsi="Arial" w:cs="Arial"/>
          <w:color w:val="000000"/>
          <w:szCs w:val="24"/>
          <w:lang w:val="es-ES"/>
        </w:rPr>
      </w:pPr>
    </w:p>
    <w:p w:rsidR="00214609" w:rsidRPr="00436319" w:rsidRDefault="00214609" w:rsidP="00214609">
      <w:pPr>
        <w:jc w:val="center"/>
        <w:rPr>
          <w:rFonts w:ascii="Arial" w:hAnsi="Arial" w:cs="Arial"/>
          <w:color w:val="000000"/>
          <w:szCs w:val="24"/>
          <w:lang w:val="es-ES"/>
        </w:rPr>
      </w:pPr>
      <w:r w:rsidRPr="00436319">
        <w:rPr>
          <w:rFonts w:ascii="Arial" w:hAnsi="Arial" w:cs="Arial"/>
          <w:color w:val="000000"/>
          <w:szCs w:val="24"/>
          <w:lang w:val="es-ES"/>
        </w:rPr>
        <w:t>Magistrada Sustanciadora</w:t>
      </w:r>
    </w:p>
    <w:p w:rsidR="00214609" w:rsidRPr="00436319" w:rsidRDefault="00214609" w:rsidP="00214609">
      <w:pPr>
        <w:widowControl w:val="0"/>
        <w:jc w:val="center"/>
        <w:rPr>
          <w:rFonts w:ascii="Arial" w:hAnsi="Arial" w:cs="Arial"/>
          <w:b/>
          <w:bCs/>
          <w:color w:val="000000"/>
          <w:kern w:val="28"/>
          <w:szCs w:val="24"/>
          <w:lang w:val="es-ES"/>
        </w:rPr>
      </w:pPr>
      <w:r w:rsidRPr="00436319">
        <w:rPr>
          <w:rFonts w:ascii="Arial" w:hAnsi="Arial" w:cs="Arial"/>
          <w:b/>
          <w:bCs/>
          <w:color w:val="000000"/>
          <w:kern w:val="28"/>
          <w:szCs w:val="24"/>
          <w:lang w:val="es-ES"/>
        </w:rPr>
        <w:t>OLGA LUCÍA HOYOS SEPÚLVEDA</w:t>
      </w:r>
    </w:p>
    <w:p w:rsidR="00214609" w:rsidRPr="00436319" w:rsidRDefault="00214609" w:rsidP="00214609">
      <w:pPr>
        <w:pStyle w:val="Encabezado"/>
        <w:ind w:right="-7"/>
        <w:rPr>
          <w:rFonts w:ascii="Arial" w:hAnsi="Arial" w:cs="Arial"/>
          <w:sz w:val="18"/>
          <w:szCs w:val="18"/>
          <w:u w:val="single"/>
        </w:rPr>
      </w:pPr>
    </w:p>
    <w:p w:rsidR="00214609" w:rsidRPr="00436319" w:rsidRDefault="00214609" w:rsidP="00214609">
      <w:pPr>
        <w:ind w:left="1985"/>
        <w:jc w:val="both"/>
        <w:rPr>
          <w:rFonts w:ascii="Arial" w:hAnsi="Arial" w:cs="Arial"/>
          <w:b/>
          <w:sz w:val="16"/>
          <w:szCs w:val="16"/>
          <w:u w:val="single"/>
        </w:rPr>
      </w:pPr>
    </w:p>
    <w:p w:rsidR="00214609" w:rsidRPr="00436319" w:rsidRDefault="00214609" w:rsidP="00214609">
      <w:pPr>
        <w:ind w:left="1985"/>
        <w:jc w:val="both"/>
        <w:rPr>
          <w:rFonts w:ascii="Arial" w:hAnsi="Arial" w:cs="Arial"/>
          <w:b/>
          <w:sz w:val="18"/>
          <w:szCs w:val="16"/>
        </w:rPr>
      </w:pPr>
      <w:r w:rsidRPr="00436319">
        <w:rPr>
          <w:rFonts w:ascii="Arial" w:hAnsi="Arial" w:cs="Arial"/>
          <w:b/>
          <w:sz w:val="18"/>
          <w:szCs w:val="16"/>
        </w:rPr>
        <w:t>Asunto.</w:t>
      </w:r>
      <w:r w:rsidRPr="00436319">
        <w:rPr>
          <w:rFonts w:ascii="Arial" w:hAnsi="Arial" w:cs="Arial"/>
          <w:sz w:val="18"/>
          <w:szCs w:val="16"/>
        </w:rPr>
        <w:tab/>
      </w:r>
      <w:r w:rsidRPr="00436319">
        <w:rPr>
          <w:rFonts w:ascii="Arial" w:hAnsi="Arial" w:cs="Arial"/>
          <w:sz w:val="18"/>
          <w:szCs w:val="16"/>
        </w:rPr>
        <w:tab/>
      </w:r>
      <w:r w:rsidRPr="00436319">
        <w:rPr>
          <w:rFonts w:ascii="Arial" w:hAnsi="Arial" w:cs="Arial"/>
          <w:sz w:val="18"/>
          <w:szCs w:val="16"/>
        </w:rPr>
        <w:tab/>
        <w:t>Auto decreta nulidad</w:t>
      </w:r>
    </w:p>
    <w:p w:rsidR="00214609" w:rsidRPr="00436319" w:rsidRDefault="00214609" w:rsidP="00214609">
      <w:pPr>
        <w:ind w:left="1985"/>
        <w:jc w:val="both"/>
        <w:rPr>
          <w:rFonts w:ascii="Arial" w:hAnsi="Arial" w:cs="Arial"/>
          <w:b/>
          <w:sz w:val="18"/>
          <w:szCs w:val="16"/>
        </w:rPr>
      </w:pPr>
      <w:r w:rsidRPr="00436319">
        <w:rPr>
          <w:rFonts w:ascii="Arial" w:hAnsi="Arial" w:cs="Arial"/>
          <w:b/>
          <w:sz w:val="18"/>
          <w:szCs w:val="16"/>
        </w:rPr>
        <w:t>Proceso.</w:t>
      </w:r>
      <w:r w:rsidRPr="00436319">
        <w:rPr>
          <w:rFonts w:ascii="Arial" w:hAnsi="Arial" w:cs="Arial"/>
          <w:b/>
          <w:sz w:val="18"/>
          <w:szCs w:val="16"/>
        </w:rPr>
        <w:tab/>
      </w:r>
      <w:r w:rsidRPr="00436319">
        <w:rPr>
          <w:rFonts w:ascii="Arial" w:hAnsi="Arial" w:cs="Arial"/>
          <w:b/>
          <w:sz w:val="18"/>
          <w:szCs w:val="16"/>
        </w:rPr>
        <w:tab/>
      </w:r>
      <w:r w:rsidRPr="00436319">
        <w:rPr>
          <w:rFonts w:ascii="Arial" w:hAnsi="Arial" w:cs="Arial"/>
          <w:b/>
          <w:sz w:val="18"/>
          <w:szCs w:val="16"/>
        </w:rPr>
        <w:tab/>
      </w:r>
      <w:r w:rsidRPr="00436319">
        <w:rPr>
          <w:rFonts w:ascii="Arial" w:hAnsi="Arial" w:cs="Arial"/>
          <w:iCs/>
          <w:sz w:val="18"/>
          <w:szCs w:val="16"/>
        </w:rPr>
        <w:t>Ordinario laboral (Ley 712)</w:t>
      </w:r>
    </w:p>
    <w:p w:rsidR="00214609" w:rsidRPr="00436319" w:rsidRDefault="00214609" w:rsidP="00214609">
      <w:pPr>
        <w:ind w:left="1985"/>
        <w:jc w:val="both"/>
        <w:rPr>
          <w:rFonts w:ascii="Arial" w:hAnsi="Arial" w:cs="Arial"/>
          <w:b/>
          <w:bCs/>
          <w:iCs/>
          <w:sz w:val="18"/>
          <w:szCs w:val="16"/>
        </w:rPr>
      </w:pPr>
      <w:r w:rsidRPr="00436319">
        <w:rPr>
          <w:rFonts w:ascii="Arial" w:hAnsi="Arial" w:cs="Arial"/>
          <w:b/>
          <w:sz w:val="18"/>
          <w:szCs w:val="16"/>
        </w:rPr>
        <w:t>Radicación Nro.</w:t>
      </w:r>
      <w:r w:rsidRPr="00436319">
        <w:rPr>
          <w:rFonts w:ascii="Arial" w:hAnsi="Arial" w:cs="Arial"/>
          <w:sz w:val="18"/>
          <w:szCs w:val="16"/>
        </w:rPr>
        <w:t xml:space="preserve"> :</w:t>
      </w:r>
      <w:r w:rsidRPr="00436319">
        <w:rPr>
          <w:rFonts w:ascii="Arial" w:hAnsi="Arial" w:cs="Arial"/>
          <w:sz w:val="18"/>
          <w:szCs w:val="16"/>
        </w:rPr>
        <w:tab/>
      </w:r>
      <w:r w:rsidRPr="00436319">
        <w:rPr>
          <w:rFonts w:ascii="Arial" w:hAnsi="Arial" w:cs="Arial"/>
          <w:sz w:val="18"/>
          <w:szCs w:val="16"/>
        </w:rPr>
        <w:tab/>
        <w:t>66001-31-05-002-2014-00140-01</w:t>
      </w:r>
    </w:p>
    <w:p w:rsidR="00214609" w:rsidRPr="00436319" w:rsidRDefault="00214609" w:rsidP="00214609">
      <w:pPr>
        <w:ind w:left="1985"/>
        <w:jc w:val="both"/>
        <w:rPr>
          <w:rFonts w:ascii="Arial" w:hAnsi="Arial" w:cs="Arial"/>
          <w:b/>
          <w:bCs/>
          <w:iCs/>
          <w:sz w:val="18"/>
          <w:szCs w:val="16"/>
        </w:rPr>
      </w:pPr>
      <w:r w:rsidRPr="00436319">
        <w:rPr>
          <w:rFonts w:ascii="Arial" w:hAnsi="Arial" w:cs="Arial"/>
          <w:b/>
          <w:bCs/>
          <w:iCs/>
          <w:sz w:val="18"/>
          <w:szCs w:val="16"/>
        </w:rPr>
        <w:t>Demandante:</w:t>
      </w:r>
      <w:r w:rsidRPr="00436319">
        <w:rPr>
          <w:rFonts w:ascii="Arial" w:hAnsi="Arial" w:cs="Arial"/>
          <w:iCs/>
          <w:sz w:val="18"/>
          <w:szCs w:val="16"/>
        </w:rPr>
        <w:t xml:space="preserve"> </w:t>
      </w:r>
      <w:r w:rsidRPr="00436319">
        <w:rPr>
          <w:rFonts w:ascii="Arial" w:hAnsi="Arial" w:cs="Arial"/>
          <w:iCs/>
          <w:sz w:val="18"/>
          <w:szCs w:val="16"/>
        </w:rPr>
        <w:tab/>
      </w:r>
      <w:r w:rsidRPr="00436319">
        <w:rPr>
          <w:rFonts w:ascii="Arial" w:hAnsi="Arial" w:cs="Arial"/>
          <w:iCs/>
          <w:sz w:val="18"/>
          <w:szCs w:val="16"/>
        </w:rPr>
        <w:tab/>
      </w:r>
      <w:r w:rsidRPr="00436319">
        <w:rPr>
          <w:rFonts w:ascii="Arial" w:hAnsi="Arial" w:cs="Arial"/>
          <w:bCs/>
          <w:iCs/>
          <w:sz w:val="18"/>
          <w:szCs w:val="16"/>
        </w:rPr>
        <w:t>Carlos Alberto Jaramillo Ospina</w:t>
      </w:r>
    </w:p>
    <w:p w:rsidR="00214609" w:rsidRPr="00436319" w:rsidRDefault="00214609" w:rsidP="00214609">
      <w:pPr>
        <w:ind w:left="4248" w:hanging="2263"/>
        <w:jc w:val="both"/>
        <w:rPr>
          <w:rFonts w:ascii="Arial" w:hAnsi="Arial" w:cs="Arial"/>
          <w:sz w:val="18"/>
          <w:szCs w:val="16"/>
        </w:rPr>
      </w:pPr>
      <w:r w:rsidRPr="00436319">
        <w:rPr>
          <w:rFonts w:ascii="Arial" w:hAnsi="Arial" w:cs="Arial"/>
          <w:b/>
          <w:bCs/>
          <w:iCs/>
          <w:sz w:val="18"/>
          <w:szCs w:val="16"/>
        </w:rPr>
        <w:t>Demandados:</w:t>
      </w:r>
      <w:r w:rsidRPr="00436319">
        <w:rPr>
          <w:rFonts w:ascii="Arial" w:hAnsi="Arial" w:cs="Arial"/>
          <w:sz w:val="18"/>
          <w:szCs w:val="16"/>
        </w:rPr>
        <w:t xml:space="preserve"> </w:t>
      </w:r>
      <w:r w:rsidRPr="00436319">
        <w:rPr>
          <w:rFonts w:ascii="Arial" w:hAnsi="Arial" w:cs="Arial"/>
          <w:sz w:val="18"/>
          <w:szCs w:val="16"/>
        </w:rPr>
        <w:tab/>
        <w:t>Administradora Colombiana de Pensiones “</w:t>
      </w:r>
      <w:proofErr w:type="spellStart"/>
      <w:r w:rsidRPr="00436319">
        <w:rPr>
          <w:rFonts w:ascii="Arial" w:hAnsi="Arial" w:cs="Arial"/>
          <w:sz w:val="18"/>
          <w:szCs w:val="16"/>
        </w:rPr>
        <w:t>Colpensiones</w:t>
      </w:r>
      <w:proofErr w:type="spellEnd"/>
      <w:r w:rsidRPr="00436319">
        <w:rPr>
          <w:rFonts w:ascii="Arial" w:hAnsi="Arial" w:cs="Arial"/>
          <w:sz w:val="18"/>
          <w:szCs w:val="16"/>
        </w:rPr>
        <w:t xml:space="preserve">”, Cooperativa Nacional  de Cafeteros Calarcá </w:t>
      </w:r>
      <w:proofErr w:type="spellStart"/>
      <w:r w:rsidRPr="00436319">
        <w:rPr>
          <w:rFonts w:ascii="Arial" w:hAnsi="Arial" w:cs="Arial"/>
          <w:sz w:val="18"/>
          <w:szCs w:val="16"/>
        </w:rPr>
        <w:t>Ltda</w:t>
      </w:r>
      <w:proofErr w:type="spellEnd"/>
      <w:r w:rsidRPr="00436319">
        <w:rPr>
          <w:rFonts w:ascii="Arial" w:hAnsi="Arial" w:cs="Arial"/>
          <w:sz w:val="18"/>
          <w:szCs w:val="16"/>
        </w:rPr>
        <w:t xml:space="preserve"> En Liquidación, Porvenir </w:t>
      </w:r>
      <w:proofErr w:type="spellStart"/>
      <w:r w:rsidRPr="00436319">
        <w:rPr>
          <w:rFonts w:ascii="Arial" w:hAnsi="Arial" w:cs="Arial"/>
          <w:sz w:val="18"/>
          <w:szCs w:val="16"/>
        </w:rPr>
        <w:t>S.A</w:t>
      </w:r>
      <w:proofErr w:type="spellEnd"/>
      <w:r w:rsidRPr="00436319">
        <w:rPr>
          <w:rFonts w:ascii="Arial" w:hAnsi="Arial" w:cs="Arial"/>
          <w:sz w:val="18"/>
          <w:szCs w:val="16"/>
        </w:rPr>
        <w:t xml:space="preserve"> y </w:t>
      </w:r>
      <w:proofErr w:type="spellStart"/>
      <w:r w:rsidRPr="00436319">
        <w:rPr>
          <w:rFonts w:ascii="Arial" w:hAnsi="Arial" w:cs="Arial"/>
          <w:sz w:val="18"/>
          <w:szCs w:val="16"/>
        </w:rPr>
        <w:t>Colfondos</w:t>
      </w:r>
      <w:proofErr w:type="spellEnd"/>
      <w:r w:rsidRPr="00436319">
        <w:rPr>
          <w:rFonts w:ascii="Arial" w:hAnsi="Arial" w:cs="Arial"/>
          <w:sz w:val="18"/>
          <w:szCs w:val="16"/>
        </w:rPr>
        <w:t xml:space="preserve"> </w:t>
      </w:r>
      <w:proofErr w:type="spellStart"/>
      <w:r w:rsidRPr="00436319">
        <w:rPr>
          <w:rFonts w:ascii="Arial" w:hAnsi="Arial" w:cs="Arial"/>
          <w:sz w:val="18"/>
          <w:szCs w:val="16"/>
        </w:rPr>
        <w:t>S.A</w:t>
      </w:r>
      <w:proofErr w:type="spellEnd"/>
    </w:p>
    <w:p w:rsidR="00214609" w:rsidRPr="00436319" w:rsidRDefault="00214609" w:rsidP="00214609">
      <w:pPr>
        <w:ind w:left="4248" w:hanging="2263"/>
        <w:jc w:val="both"/>
        <w:rPr>
          <w:rFonts w:ascii="Arial" w:hAnsi="Arial" w:cs="Arial"/>
          <w:sz w:val="18"/>
          <w:szCs w:val="16"/>
        </w:rPr>
      </w:pPr>
      <w:r w:rsidRPr="00436319">
        <w:rPr>
          <w:rFonts w:ascii="Arial" w:hAnsi="Arial" w:cs="Arial"/>
          <w:b/>
          <w:sz w:val="18"/>
          <w:szCs w:val="16"/>
        </w:rPr>
        <w:t>Juzgado de Origen:</w:t>
      </w:r>
      <w:r w:rsidRPr="00436319">
        <w:rPr>
          <w:rFonts w:ascii="Arial" w:hAnsi="Arial" w:cs="Arial"/>
          <w:b/>
          <w:sz w:val="18"/>
          <w:szCs w:val="16"/>
        </w:rPr>
        <w:tab/>
      </w:r>
      <w:r w:rsidRPr="00436319">
        <w:rPr>
          <w:rFonts w:ascii="Arial" w:hAnsi="Arial" w:cs="Arial"/>
          <w:sz w:val="18"/>
          <w:szCs w:val="16"/>
        </w:rPr>
        <w:t>Segundo Laboral del Circuito de Pereira</w:t>
      </w:r>
    </w:p>
    <w:p w:rsidR="001A2828" w:rsidRDefault="001A2828" w:rsidP="001A2828">
      <w:pPr>
        <w:suppressAutoHyphens/>
        <w:jc w:val="both"/>
        <w:rPr>
          <w:rFonts w:ascii="Arial" w:hAnsi="Arial" w:cs="Arial"/>
          <w:b/>
          <w:bCs/>
          <w:sz w:val="18"/>
          <w:szCs w:val="16"/>
        </w:rPr>
      </w:pPr>
    </w:p>
    <w:p w:rsidR="001A2828" w:rsidRPr="001A2828" w:rsidRDefault="00214609" w:rsidP="001A2828">
      <w:pPr>
        <w:suppressAutoHyphens/>
        <w:jc w:val="both"/>
        <w:rPr>
          <w:rFonts w:ascii="Arial" w:hAnsi="Arial" w:cs="Arial"/>
          <w:bCs/>
          <w:sz w:val="18"/>
          <w:szCs w:val="16"/>
        </w:rPr>
      </w:pPr>
      <w:bookmarkStart w:id="0" w:name="_GoBack"/>
      <w:r w:rsidRPr="00436319">
        <w:rPr>
          <w:rFonts w:ascii="Arial" w:hAnsi="Arial" w:cs="Arial"/>
          <w:b/>
          <w:bCs/>
          <w:sz w:val="18"/>
          <w:szCs w:val="16"/>
        </w:rPr>
        <w:t>Tema:</w:t>
      </w:r>
      <w:r w:rsidR="001A2828">
        <w:rPr>
          <w:rFonts w:ascii="Arial" w:hAnsi="Arial" w:cs="Arial"/>
          <w:b/>
          <w:bCs/>
          <w:sz w:val="18"/>
          <w:szCs w:val="16"/>
        </w:rPr>
        <w:tab/>
      </w:r>
      <w:r w:rsidR="001A2828">
        <w:rPr>
          <w:rFonts w:ascii="Arial" w:hAnsi="Arial" w:cs="Arial"/>
          <w:b/>
          <w:bCs/>
          <w:sz w:val="18"/>
          <w:szCs w:val="16"/>
        </w:rPr>
        <w:tab/>
      </w:r>
      <w:r w:rsidR="001A2828">
        <w:rPr>
          <w:rFonts w:ascii="Arial" w:hAnsi="Arial" w:cs="Arial"/>
          <w:b/>
          <w:bCs/>
          <w:sz w:val="18"/>
          <w:szCs w:val="16"/>
        </w:rPr>
        <w:tab/>
      </w:r>
      <w:r w:rsidR="001A2828">
        <w:rPr>
          <w:rFonts w:ascii="Arial" w:hAnsi="Arial" w:cs="Arial"/>
          <w:b/>
          <w:bCs/>
          <w:sz w:val="18"/>
          <w:szCs w:val="16"/>
        </w:rPr>
        <w:tab/>
      </w:r>
      <w:r w:rsidR="001A2828">
        <w:rPr>
          <w:rFonts w:ascii="Arial" w:hAnsi="Arial" w:cs="Arial"/>
          <w:b/>
          <w:bCs/>
          <w:sz w:val="18"/>
          <w:szCs w:val="16"/>
        </w:rPr>
        <w:tab/>
      </w:r>
      <w:r w:rsidRPr="00436319">
        <w:rPr>
          <w:rFonts w:ascii="Arial" w:hAnsi="Arial" w:cs="Arial"/>
          <w:b/>
          <w:bCs/>
          <w:sz w:val="18"/>
          <w:szCs w:val="16"/>
        </w:rPr>
        <w:t xml:space="preserve"> </w:t>
      </w:r>
      <w:r w:rsidRPr="00436319">
        <w:rPr>
          <w:rFonts w:ascii="Arial" w:hAnsi="Arial" w:cs="Arial"/>
          <w:b/>
          <w:bCs/>
          <w:sz w:val="18"/>
          <w:szCs w:val="16"/>
        </w:rPr>
        <w:tab/>
      </w:r>
      <w:r w:rsidR="001A2828" w:rsidRPr="00D251D4">
        <w:rPr>
          <w:rFonts w:ascii="Arial" w:hAnsi="Arial" w:cs="Arial"/>
          <w:b/>
          <w:bCs/>
          <w:sz w:val="18"/>
          <w:szCs w:val="16"/>
        </w:rPr>
        <w:t xml:space="preserve">INDEBIDA NOTIFICACIÓN </w:t>
      </w:r>
      <w:r w:rsidR="00F32147" w:rsidRPr="00D251D4">
        <w:rPr>
          <w:rFonts w:ascii="Arial" w:hAnsi="Arial" w:cs="Arial"/>
          <w:b/>
          <w:bCs/>
          <w:sz w:val="18"/>
          <w:szCs w:val="16"/>
        </w:rPr>
        <w:t xml:space="preserve">DE </w:t>
      </w:r>
      <w:r w:rsidR="001A2828" w:rsidRPr="00D251D4">
        <w:rPr>
          <w:rFonts w:ascii="Arial" w:hAnsi="Arial" w:cs="Arial"/>
          <w:b/>
          <w:bCs/>
          <w:sz w:val="18"/>
          <w:szCs w:val="16"/>
        </w:rPr>
        <w:t xml:space="preserve">PERSONA JURÍDICA / </w:t>
      </w:r>
      <w:r w:rsidR="00D251D4" w:rsidRPr="00D251D4">
        <w:rPr>
          <w:rFonts w:ascii="Arial" w:hAnsi="Arial" w:cs="Arial"/>
          <w:b/>
          <w:bCs/>
          <w:sz w:val="18"/>
          <w:szCs w:val="16"/>
        </w:rPr>
        <w:t xml:space="preserve">NULIDAD - </w:t>
      </w:r>
      <w:r w:rsidR="001A2828" w:rsidRPr="001A2828">
        <w:rPr>
          <w:rFonts w:ascii="Arial" w:hAnsi="Arial" w:cs="Arial"/>
          <w:bCs/>
          <w:sz w:val="18"/>
          <w:szCs w:val="16"/>
        </w:rPr>
        <w:t xml:space="preserve">El artículo 315 del Código de Procedimiento Civil, hoy el artículo 291 del Código General del Proceso, canon aplicable a la especialidad laboral al no existir alguna que regule el tema, virtud del artículo 145 del </w:t>
      </w:r>
      <w:proofErr w:type="spellStart"/>
      <w:r w:rsidR="001A2828" w:rsidRPr="001A2828">
        <w:rPr>
          <w:rFonts w:ascii="Arial" w:hAnsi="Arial" w:cs="Arial"/>
          <w:bCs/>
          <w:sz w:val="18"/>
          <w:szCs w:val="16"/>
        </w:rPr>
        <w:t>CPTSS</w:t>
      </w:r>
      <w:proofErr w:type="spellEnd"/>
      <w:r w:rsidR="001A2828" w:rsidRPr="001A2828">
        <w:rPr>
          <w:rFonts w:ascii="Arial" w:hAnsi="Arial" w:cs="Arial"/>
          <w:bCs/>
          <w:sz w:val="18"/>
          <w:szCs w:val="16"/>
        </w:rPr>
        <w:t>., dispone que la notificación personal se surtirá con la comunicación que se remita a la dirección que hubiere; en el caso de comerciantes y personas jurídicas de derecho privado domiciliadas en Colombia, el parágrafo de dicha norma, preceptúa que  “ (…)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 si se registran varias direcciones, el trámite de la notificación podrá surtirse en cualquiera de ellas.”</w:t>
      </w:r>
    </w:p>
    <w:p w:rsidR="001A2828" w:rsidRPr="001A2828" w:rsidRDefault="001A2828" w:rsidP="001A2828">
      <w:pPr>
        <w:suppressAutoHyphens/>
        <w:jc w:val="both"/>
        <w:rPr>
          <w:rFonts w:ascii="Arial" w:hAnsi="Arial" w:cs="Arial"/>
          <w:bCs/>
          <w:sz w:val="18"/>
          <w:szCs w:val="16"/>
        </w:rPr>
      </w:pPr>
    </w:p>
    <w:p w:rsidR="00214609" w:rsidRDefault="001A2828" w:rsidP="001A2828">
      <w:pPr>
        <w:suppressAutoHyphens/>
        <w:jc w:val="both"/>
        <w:rPr>
          <w:rFonts w:ascii="Arial" w:hAnsi="Arial" w:cs="Arial"/>
          <w:bCs/>
          <w:sz w:val="18"/>
          <w:szCs w:val="16"/>
        </w:rPr>
      </w:pPr>
      <w:r w:rsidRPr="001A2828">
        <w:rPr>
          <w:rFonts w:ascii="Arial" w:hAnsi="Arial" w:cs="Arial"/>
          <w:bCs/>
          <w:sz w:val="18"/>
          <w:szCs w:val="16"/>
        </w:rPr>
        <w:t>Por su parte, el artículo 29 del Código Procesal del Trabajo y de la Seguridad Social, prevé la procedencia del emplazamiento cuando se ignora el domicilio del demandado, o no es hallado o se impide la notificación; casos en los que se dispondrá la designación del curador y el emplazamiento por edicto, pero en todo caso el curador representará la parte y continuará el proceso.</w:t>
      </w:r>
    </w:p>
    <w:p w:rsidR="001A2828" w:rsidRDefault="001A2828" w:rsidP="001A2828">
      <w:pPr>
        <w:suppressAutoHyphens/>
        <w:jc w:val="both"/>
        <w:rPr>
          <w:rFonts w:ascii="Arial" w:hAnsi="Arial" w:cs="Arial"/>
          <w:bCs/>
          <w:sz w:val="18"/>
          <w:szCs w:val="16"/>
        </w:rPr>
      </w:pPr>
      <w:r>
        <w:rPr>
          <w:rFonts w:ascii="Arial" w:hAnsi="Arial" w:cs="Arial"/>
          <w:bCs/>
          <w:sz w:val="18"/>
          <w:szCs w:val="16"/>
        </w:rPr>
        <w:t>(…)</w:t>
      </w:r>
    </w:p>
    <w:p w:rsidR="001A2828" w:rsidRPr="001A2828" w:rsidRDefault="001A2828" w:rsidP="001A2828">
      <w:pPr>
        <w:suppressAutoHyphens/>
        <w:jc w:val="both"/>
        <w:rPr>
          <w:rFonts w:ascii="Arial" w:hAnsi="Arial" w:cs="Arial"/>
          <w:bCs/>
          <w:sz w:val="18"/>
          <w:szCs w:val="16"/>
        </w:rPr>
      </w:pPr>
      <w:r w:rsidRPr="001A2828">
        <w:rPr>
          <w:rFonts w:ascii="Arial" w:hAnsi="Arial" w:cs="Arial"/>
          <w:bCs/>
          <w:sz w:val="18"/>
          <w:szCs w:val="16"/>
        </w:rPr>
        <w:t>En ese orden de ideas, era deber de la jueza de primer nivel adoptar las medidas conducentes para verificar que las notificaciones a la entidad demandada se efectuaran en las direcciones inscritas en el documento idóneo para el efecto, y el cual se arrimó como anexo del líbelo inicial, además de que fueran enunciadas en el acápite de notificaciones, a fin de garantizar la comparecencia directamente de la entidad y no a través de curador Ad-</w:t>
      </w:r>
      <w:proofErr w:type="spellStart"/>
      <w:r w:rsidRPr="001A2828">
        <w:rPr>
          <w:rFonts w:ascii="Arial" w:hAnsi="Arial" w:cs="Arial"/>
          <w:bCs/>
          <w:sz w:val="18"/>
          <w:szCs w:val="16"/>
        </w:rPr>
        <w:t>Litem</w:t>
      </w:r>
      <w:proofErr w:type="spellEnd"/>
      <w:r w:rsidRPr="001A2828">
        <w:rPr>
          <w:rFonts w:ascii="Arial" w:hAnsi="Arial" w:cs="Arial"/>
          <w:bCs/>
          <w:sz w:val="18"/>
          <w:szCs w:val="16"/>
        </w:rPr>
        <w:t>, y para garantizar el debido proceso.</w:t>
      </w:r>
    </w:p>
    <w:p w:rsidR="001A2828" w:rsidRPr="001A2828" w:rsidRDefault="001A2828" w:rsidP="001A2828">
      <w:pPr>
        <w:suppressAutoHyphens/>
        <w:jc w:val="both"/>
        <w:rPr>
          <w:rFonts w:ascii="Arial" w:hAnsi="Arial" w:cs="Arial"/>
          <w:bCs/>
          <w:sz w:val="18"/>
          <w:szCs w:val="16"/>
        </w:rPr>
      </w:pPr>
    </w:p>
    <w:p w:rsidR="001A2828" w:rsidRDefault="001A2828" w:rsidP="001A2828">
      <w:pPr>
        <w:suppressAutoHyphens/>
        <w:jc w:val="both"/>
        <w:rPr>
          <w:rFonts w:ascii="Arial" w:hAnsi="Arial" w:cs="Arial"/>
          <w:bCs/>
          <w:sz w:val="18"/>
          <w:szCs w:val="16"/>
        </w:rPr>
      </w:pPr>
      <w:r w:rsidRPr="001A2828">
        <w:rPr>
          <w:rFonts w:ascii="Arial" w:hAnsi="Arial" w:cs="Arial"/>
          <w:bCs/>
          <w:sz w:val="18"/>
          <w:szCs w:val="16"/>
        </w:rPr>
        <w:t xml:space="preserve">Todo lo dicho, para concluir que se dejó de practicar en legal forma la notificación del auto </w:t>
      </w:r>
      <w:proofErr w:type="spellStart"/>
      <w:r w:rsidRPr="001A2828">
        <w:rPr>
          <w:rFonts w:ascii="Arial" w:hAnsi="Arial" w:cs="Arial"/>
          <w:bCs/>
          <w:sz w:val="18"/>
          <w:szCs w:val="16"/>
        </w:rPr>
        <w:t>admisorio</w:t>
      </w:r>
      <w:proofErr w:type="spellEnd"/>
      <w:r w:rsidRPr="001A2828">
        <w:rPr>
          <w:rFonts w:ascii="Arial" w:hAnsi="Arial" w:cs="Arial"/>
          <w:bCs/>
          <w:sz w:val="18"/>
          <w:szCs w:val="16"/>
        </w:rPr>
        <w:t xml:space="preserve"> de la demanda a la parte demandada Cooperativa Nacional de Cafeteros Calarcá Ltda. </w:t>
      </w:r>
      <w:proofErr w:type="gramStart"/>
      <w:r w:rsidRPr="001A2828">
        <w:rPr>
          <w:rFonts w:ascii="Arial" w:hAnsi="Arial" w:cs="Arial"/>
          <w:bCs/>
          <w:sz w:val="18"/>
          <w:szCs w:val="16"/>
        </w:rPr>
        <w:t>en</w:t>
      </w:r>
      <w:proofErr w:type="gramEnd"/>
      <w:r w:rsidRPr="001A2828">
        <w:rPr>
          <w:rFonts w:ascii="Arial" w:hAnsi="Arial" w:cs="Arial"/>
          <w:bCs/>
          <w:sz w:val="18"/>
          <w:szCs w:val="16"/>
        </w:rPr>
        <w:t xml:space="preserve"> Liquidación; situación que se encuadra en la causal de nulidad prevista en el art. 140 numeral 8 del </w:t>
      </w:r>
      <w:proofErr w:type="spellStart"/>
      <w:r w:rsidRPr="001A2828">
        <w:rPr>
          <w:rFonts w:ascii="Arial" w:hAnsi="Arial" w:cs="Arial"/>
          <w:bCs/>
          <w:sz w:val="18"/>
          <w:szCs w:val="16"/>
        </w:rPr>
        <w:t>CPC</w:t>
      </w:r>
      <w:proofErr w:type="spellEnd"/>
      <w:r w:rsidRPr="001A2828">
        <w:rPr>
          <w:rFonts w:ascii="Arial" w:hAnsi="Arial" w:cs="Arial"/>
          <w:bCs/>
          <w:sz w:val="18"/>
          <w:szCs w:val="16"/>
        </w:rPr>
        <w:t xml:space="preserve">, hoy 133 núm. 8 del </w:t>
      </w:r>
      <w:proofErr w:type="spellStart"/>
      <w:r w:rsidRPr="001A2828">
        <w:rPr>
          <w:rFonts w:ascii="Arial" w:hAnsi="Arial" w:cs="Arial"/>
          <w:bCs/>
          <w:sz w:val="18"/>
          <w:szCs w:val="16"/>
        </w:rPr>
        <w:t>CGP</w:t>
      </w:r>
      <w:proofErr w:type="spellEnd"/>
      <w:r w:rsidRPr="001A2828">
        <w:rPr>
          <w:rFonts w:ascii="Arial" w:hAnsi="Arial" w:cs="Arial"/>
          <w:bCs/>
          <w:sz w:val="18"/>
          <w:szCs w:val="16"/>
        </w:rPr>
        <w:t xml:space="preserve">; la que debe declararse de oficio, así tenga carácter de </w:t>
      </w:r>
      <w:proofErr w:type="spellStart"/>
      <w:r w:rsidRPr="001A2828">
        <w:rPr>
          <w:rFonts w:ascii="Arial" w:hAnsi="Arial" w:cs="Arial"/>
          <w:bCs/>
          <w:sz w:val="18"/>
          <w:szCs w:val="16"/>
        </w:rPr>
        <w:t>saneable</w:t>
      </w:r>
      <w:proofErr w:type="spellEnd"/>
      <w:r w:rsidRPr="001A2828">
        <w:rPr>
          <w:rFonts w:ascii="Arial" w:hAnsi="Arial" w:cs="Arial"/>
          <w:bCs/>
          <w:sz w:val="18"/>
          <w:szCs w:val="16"/>
        </w:rPr>
        <w:t>, ante la ausencia en el proceso de la persona jurídica afectada.</w:t>
      </w:r>
    </w:p>
    <w:bookmarkEnd w:id="0"/>
    <w:p w:rsidR="001A2828" w:rsidRDefault="001A2828" w:rsidP="001A2828">
      <w:pPr>
        <w:suppressAutoHyphens/>
        <w:jc w:val="both"/>
        <w:rPr>
          <w:rFonts w:ascii="Arial" w:hAnsi="Arial" w:cs="Arial"/>
          <w:bCs/>
          <w:sz w:val="18"/>
          <w:szCs w:val="16"/>
        </w:rPr>
      </w:pPr>
    </w:p>
    <w:p w:rsidR="00214609" w:rsidRPr="00436319" w:rsidRDefault="00214609" w:rsidP="00214609">
      <w:pPr>
        <w:suppressAutoHyphens/>
        <w:spacing w:line="276" w:lineRule="auto"/>
        <w:ind w:left="2835"/>
        <w:jc w:val="both"/>
        <w:rPr>
          <w:rFonts w:ascii="Arial" w:hAnsi="Arial" w:cs="Arial"/>
          <w:sz w:val="16"/>
          <w:szCs w:val="24"/>
        </w:rPr>
      </w:pPr>
    </w:p>
    <w:p w:rsidR="00214609" w:rsidRPr="00436319" w:rsidRDefault="00214609" w:rsidP="00214609">
      <w:pPr>
        <w:pStyle w:val="Prrafodelista"/>
        <w:spacing w:after="0" w:line="240" w:lineRule="auto"/>
        <w:ind w:left="1985"/>
        <w:jc w:val="both"/>
        <w:rPr>
          <w:rFonts w:ascii="Arial" w:hAnsi="Arial" w:cs="Arial"/>
          <w:b/>
          <w:bCs/>
          <w:sz w:val="16"/>
          <w:szCs w:val="16"/>
          <w:u w:val="single"/>
        </w:rPr>
      </w:pPr>
    </w:p>
    <w:p w:rsidR="00214609" w:rsidRPr="00436319" w:rsidRDefault="00214609" w:rsidP="00214609">
      <w:pPr>
        <w:spacing w:after="200" w:line="276" w:lineRule="auto"/>
        <w:contextualSpacing/>
        <w:jc w:val="center"/>
        <w:rPr>
          <w:rFonts w:ascii="Arial" w:eastAsiaTheme="minorHAnsi" w:hAnsi="Arial" w:cs="Arial"/>
          <w:szCs w:val="24"/>
          <w:lang w:val="es-CO" w:eastAsia="en-US"/>
        </w:rPr>
      </w:pPr>
      <w:r w:rsidRPr="00436319">
        <w:rPr>
          <w:rFonts w:ascii="Arial" w:eastAsiaTheme="minorHAnsi" w:hAnsi="Arial" w:cs="Arial"/>
          <w:szCs w:val="24"/>
          <w:lang w:val="es-CO" w:eastAsia="en-US"/>
        </w:rPr>
        <w:t>Pereira, veinticuatro (24) de abril de dos mil dieciocho (2018)</w:t>
      </w:r>
    </w:p>
    <w:p w:rsidR="00214609" w:rsidRPr="00436319" w:rsidRDefault="00214609" w:rsidP="00214609">
      <w:pPr>
        <w:spacing w:line="276" w:lineRule="auto"/>
        <w:contextualSpacing/>
        <w:rPr>
          <w:rFonts w:ascii="Arial" w:hAnsi="Arial" w:cs="Arial"/>
          <w:szCs w:val="24"/>
          <w:lang w:val="es-ES"/>
        </w:rPr>
      </w:pPr>
    </w:p>
    <w:p w:rsidR="00214609" w:rsidRPr="00436319" w:rsidRDefault="00214609" w:rsidP="00214609">
      <w:pPr>
        <w:spacing w:after="200" w:line="276" w:lineRule="auto"/>
        <w:contextualSpacing/>
        <w:jc w:val="center"/>
        <w:rPr>
          <w:rFonts w:ascii="Arial" w:eastAsia="Calibri" w:hAnsi="Arial" w:cs="Arial"/>
          <w:b/>
          <w:szCs w:val="24"/>
          <w:lang w:val="es-CO" w:eastAsia="en-US"/>
        </w:rPr>
      </w:pPr>
    </w:p>
    <w:p w:rsidR="00214609" w:rsidRPr="00436319" w:rsidRDefault="00214609" w:rsidP="00214609">
      <w:pPr>
        <w:spacing w:after="200" w:line="276" w:lineRule="auto"/>
        <w:contextualSpacing/>
        <w:jc w:val="center"/>
        <w:rPr>
          <w:rFonts w:ascii="Arial" w:eastAsia="Calibri" w:hAnsi="Arial" w:cs="Arial"/>
          <w:b/>
          <w:szCs w:val="24"/>
          <w:lang w:val="es-CO" w:eastAsia="en-US"/>
        </w:rPr>
      </w:pPr>
      <w:r w:rsidRPr="00436319">
        <w:rPr>
          <w:rFonts w:ascii="Arial" w:eastAsia="Calibri" w:hAnsi="Arial" w:cs="Arial"/>
          <w:b/>
          <w:szCs w:val="24"/>
          <w:lang w:val="es-CO" w:eastAsia="en-US"/>
        </w:rPr>
        <w:t>OBJETO DE DECISIÓN</w:t>
      </w:r>
    </w:p>
    <w:p w:rsidR="00214609" w:rsidRPr="00436319" w:rsidRDefault="00214609" w:rsidP="00214609">
      <w:pPr>
        <w:spacing w:after="200" w:line="276" w:lineRule="auto"/>
        <w:contextualSpacing/>
        <w:jc w:val="both"/>
        <w:rPr>
          <w:rFonts w:ascii="Arial" w:eastAsiaTheme="minorHAnsi" w:hAnsi="Arial" w:cs="Arial"/>
          <w:szCs w:val="24"/>
          <w:lang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eastAsia="en-US"/>
        </w:rPr>
        <w:t xml:space="preserve">Sería del caso entrar a surtir el grado jurisdiccional de consulta respecto de </w:t>
      </w:r>
      <w:r w:rsidRPr="00436319">
        <w:rPr>
          <w:rFonts w:ascii="Arial" w:eastAsiaTheme="minorHAnsi" w:hAnsi="Arial" w:cs="Arial"/>
          <w:szCs w:val="24"/>
          <w:lang w:val="es-CO" w:eastAsia="en-US"/>
        </w:rPr>
        <w:t>la sentencia emitida por el Juzgado Segundo Laboral del Circuito de Pereira el 21 de febrero de 2017, dentro del proceso ordinario laboral de la referencia</w:t>
      </w:r>
      <w:r w:rsidRPr="00436319">
        <w:rPr>
          <w:rFonts w:ascii="Arial" w:eastAsiaTheme="minorHAnsi" w:hAnsi="Arial" w:cs="Arial"/>
          <w:szCs w:val="24"/>
          <w:lang w:eastAsia="en-US"/>
        </w:rPr>
        <w:t>, lo que no será posible al observarse una causal de nulidad, como pasa a explicarse; no sin antes precisar, que esta decisión</w:t>
      </w:r>
      <w:r w:rsidRPr="00436319">
        <w:rPr>
          <w:rFonts w:ascii="Arial" w:eastAsiaTheme="minorHAnsi" w:hAnsi="Arial" w:cs="Arial"/>
          <w:bCs/>
          <w:szCs w:val="24"/>
          <w:lang w:val="es-CO" w:eastAsia="en-US"/>
        </w:rPr>
        <w:t xml:space="preserve"> se adoptará en Sala Unitaria, atendiendo el contenido </w:t>
      </w:r>
      <w:r w:rsidRPr="00436319">
        <w:rPr>
          <w:rFonts w:ascii="Arial" w:eastAsiaTheme="minorHAnsi" w:hAnsi="Arial" w:cs="Arial"/>
          <w:bCs/>
          <w:szCs w:val="24"/>
          <w:lang w:val="es-CO" w:eastAsia="en-US"/>
        </w:rPr>
        <w:lastRenderedPageBreak/>
        <w:t xml:space="preserve">del parágrafo del artículo 15 del </w:t>
      </w:r>
      <w:proofErr w:type="spellStart"/>
      <w:r w:rsidRPr="00436319">
        <w:rPr>
          <w:rFonts w:ascii="Arial" w:eastAsiaTheme="minorHAnsi" w:hAnsi="Arial" w:cs="Arial"/>
          <w:bCs/>
          <w:szCs w:val="24"/>
          <w:lang w:val="es-CO" w:eastAsia="en-US"/>
        </w:rPr>
        <w:t>CPL</w:t>
      </w:r>
      <w:proofErr w:type="spellEnd"/>
      <w:r w:rsidRPr="00436319">
        <w:rPr>
          <w:rFonts w:ascii="Arial" w:eastAsiaTheme="minorHAnsi" w:hAnsi="Arial" w:cs="Arial"/>
          <w:bCs/>
          <w:szCs w:val="24"/>
          <w:lang w:val="es-CO" w:eastAsia="en-US"/>
        </w:rPr>
        <w:t xml:space="preserve"> en concordancia con el artículo 62, modificados por la Ley 712 de 2001; al ser una de las interpretaciones plausibles, que solo los autos interlocutorios mencionados allí son los que requieren ser proferidos por la Sala de Decisión, lo que tiene su razón de ser en el recurso de súplica que se consagra en materia laboral, el que procede frente a los autos interlocutorios que profiera el magistrado sustanciador que admitan recurso de apelación. </w:t>
      </w:r>
    </w:p>
    <w:p w:rsidR="00214609" w:rsidRPr="00436319" w:rsidRDefault="00214609" w:rsidP="00214609">
      <w:pPr>
        <w:widowControl w:val="0"/>
        <w:autoSpaceDE w:val="0"/>
        <w:autoSpaceDN w:val="0"/>
        <w:adjustRightInd w:val="0"/>
        <w:spacing w:after="200" w:line="276" w:lineRule="auto"/>
        <w:contextualSpacing/>
        <w:jc w:val="both"/>
        <w:rPr>
          <w:rFonts w:ascii="Arial" w:eastAsiaTheme="minorHAnsi" w:hAnsi="Arial" w:cs="Arial"/>
          <w:szCs w:val="24"/>
          <w:lang w:val="es-CO" w:eastAsia="en-US"/>
        </w:rPr>
      </w:pPr>
    </w:p>
    <w:p w:rsidR="00214609" w:rsidRPr="00436319" w:rsidRDefault="00214609" w:rsidP="00214609">
      <w:pPr>
        <w:widowControl w:val="0"/>
        <w:autoSpaceDE w:val="0"/>
        <w:autoSpaceDN w:val="0"/>
        <w:adjustRightInd w:val="0"/>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bCs/>
          <w:szCs w:val="24"/>
          <w:lang w:val="es-CO" w:eastAsia="en-US"/>
        </w:rPr>
        <w:t xml:space="preserve">Sin que se comparta la interpretación dada por la Sala Laboral de la Corte Suprema de Justicia, en cuanto dicha lista es enunciativa; pues el que se hubiere mencionado a continuación, que los autos de sustanciación se profieren por el magistrado ponente, no deja por fuera los restantes autos interlocutorios, al ser innecesaria tal mención, al haberse ocupado de los autos interlocutorios que requerían pronunciamiento por la Sala, lo que implica a contrario sensu, que los restantes no lo exigían. </w:t>
      </w:r>
    </w:p>
    <w:p w:rsidR="00214609" w:rsidRPr="00436319" w:rsidRDefault="00214609" w:rsidP="00214609">
      <w:pPr>
        <w:spacing w:line="276" w:lineRule="auto"/>
        <w:contextualSpacing/>
        <w:jc w:val="both"/>
        <w:rPr>
          <w:rFonts w:ascii="Arial" w:hAnsi="Arial" w:cs="Arial"/>
          <w:szCs w:val="24"/>
          <w:lang w:val="es-ES"/>
        </w:rPr>
      </w:pPr>
    </w:p>
    <w:p w:rsidR="00214609" w:rsidRPr="00436319" w:rsidRDefault="00214609" w:rsidP="00214609">
      <w:pPr>
        <w:spacing w:line="276" w:lineRule="auto"/>
        <w:contextualSpacing/>
        <w:jc w:val="both"/>
        <w:rPr>
          <w:rFonts w:ascii="Arial" w:hAnsi="Arial" w:cs="Arial"/>
          <w:i/>
          <w:szCs w:val="24"/>
          <w:lang w:val="es-ES"/>
        </w:rPr>
      </w:pPr>
      <w:r w:rsidRPr="00436319">
        <w:rPr>
          <w:rFonts w:ascii="Arial" w:hAnsi="Arial" w:cs="Arial"/>
          <w:bCs/>
          <w:szCs w:val="24"/>
          <w:lang w:val="es-ES"/>
        </w:rPr>
        <w:t>En este sentido se pronunció en su momento el doctor Gerardo Botero Zuluaga en su obra GUÍA TEÓRICA Y PRÁCTICA DE DERECHO PROCESAL DEL TRABAJO Y DE LA SEGURIDAD SOCIAL</w:t>
      </w:r>
      <w:r w:rsidRPr="00436319">
        <w:rPr>
          <w:rFonts w:ascii="Arial" w:hAnsi="Arial" w:cs="Arial"/>
          <w:szCs w:val="24"/>
          <w:vertAlign w:val="superscript"/>
          <w:lang w:val="es-ES"/>
        </w:rPr>
        <w:footnoteReference w:id="1"/>
      </w:r>
      <w:r w:rsidRPr="00436319">
        <w:rPr>
          <w:rFonts w:ascii="Arial" w:hAnsi="Arial" w:cs="Arial"/>
          <w:bCs/>
          <w:szCs w:val="24"/>
          <w:lang w:val="es-ES"/>
        </w:rPr>
        <w:t xml:space="preserve">, en donde también dijo que con tal entendimiento se da una </w:t>
      </w:r>
      <w:r w:rsidRPr="00436319">
        <w:rPr>
          <w:rFonts w:ascii="Arial" w:hAnsi="Arial" w:cs="Arial"/>
          <w:bCs/>
          <w:i/>
          <w:szCs w:val="24"/>
          <w:lang w:val="es-ES"/>
        </w:rPr>
        <w:t>“mayor celeridad al trámite de la segunda instancia, y se otorga mejor garantía a las partes en conflicto, permitiendo que puede utilizarse el recurso súplica”</w:t>
      </w:r>
    </w:p>
    <w:p w:rsidR="00214609" w:rsidRPr="00436319" w:rsidRDefault="00214609" w:rsidP="00214609">
      <w:pPr>
        <w:spacing w:line="276" w:lineRule="auto"/>
        <w:jc w:val="center"/>
        <w:rPr>
          <w:rFonts w:ascii="Arial" w:hAnsi="Arial" w:cs="Arial"/>
          <w:b/>
          <w:szCs w:val="24"/>
        </w:rPr>
      </w:pPr>
    </w:p>
    <w:p w:rsidR="00214609" w:rsidRPr="00436319" w:rsidRDefault="00214609" w:rsidP="00214609">
      <w:pPr>
        <w:spacing w:line="276" w:lineRule="auto"/>
        <w:jc w:val="center"/>
        <w:rPr>
          <w:rFonts w:ascii="Arial" w:hAnsi="Arial" w:cs="Arial"/>
          <w:b/>
          <w:szCs w:val="24"/>
        </w:rPr>
      </w:pPr>
    </w:p>
    <w:p w:rsidR="00214609" w:rsidRPr="00436319" w:rsidRDefault="00214609" w:rsidP="00214609">
      <w:pPr>
        <w:spacing w:line="276" w:lineRule="auto"/>
        <w:jc w:val="center"/>
        <w:rPr>
          <w:rFonts w:ascii="Arial" w:hAnsi="Arial" w:cs="Arial"/>
          <w:b/>
          <w:szCs w:val="24"/>
        </w:rPr>
      </w:pPr>
      <w:r w:rsidRPr="00436319">
        <w:rPr>
          <w:rFonts w:ascii="Arial" w:hAnsi="Arial" w:cs="Arial"/>
          <w:b/>
          <w:szCs w:val="24"/>
        </w:rPr>
        <w:t>ANTECEDENTES</w:t>
      </w:r>
    </w:p>
    <w:p w:rsidR="00214609" w:rsidRPr="00436319" w:rsidRDefault="00214609" w:rsidP="00214609">
      <w:pPr>
        <w:spacing w:after="200" w:line="276" w:lineRule="auto"/>
        <w:contextualSpacing/>
        <w:jc w:val="both"/>
        <w:rPr>
          <w:rFonts w:ascii="Arial" w:eastAsiaTheme="minorHAnsi" w:hAnsi="Arial" w:cs="Arial"/>
          <w:szCs w:val="24"/>
          <w:lang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eastAsia="en-US"/>
        </w:rPr>
        <w:t>1. El señor Carlos Alberto Jaramillo Ospina demandó a la Administradora Colombiana de Pensiones “</w:t>
      </w:r>
      <w:proofErr w:type="spellStart"/>
      <w:r w:rsidRPr="00436319">
        <w:rPr>
          <w:rFonts w:ascii="Arial" w:eastAsiaTheme="minorHAnsi" w:hAnsi="Arial" w:cs="Arial"/>
          <w:szCs w:val="24"/>
          <w:lang w:eastAsia="en-US"/>
        </w:rPr>
        <w:t>Colpensiones</w:t>
      </w:r>
      <w:proofErr w:type="spellEnd"/>
      <w:r w:rsidRPr="00436319">
        <w:rPr>
          <w:rFonts w:ascii="Arial" w:eastAsiaTheme="minorHAnsi" w:hAnsi="Arial" w:cs="Arial"/>
          <w:szCs w:val="24"/>
          <w:lang w:eastAsia="en-US"/>
        </w:rPr>
        <w:t xml:space="preserve">”, a la Cooperativa Nacional de Cafeteros Calarcá Ltda. </w:t>
      </w:r>
      <w:proofErr w:type="gramStart"/>
      <w:r w:rsidRPr="00436319">
        <w:rPr>
          <w:rFonts w:ascii="Arial" w:eastAsiaTheme="minorHAnsi" w:hAnsi="Arial" w:cs="Arial"/>
          <w:szCs w:val="24"/>
          <w:lang w:eastAsia="en-US"/>
        </w:rPr>
        <w:t>en</w:t>
      </w:r>
      <w:proofErr w:type="gramEnd"/>
      <w:r w:rsidRPr="00436319">
        <w:rPr>
          <w:rFonts w:ascii="Arial" w:eastAsiaTheme="minorHAnsi" w:hAnsi="Arial" w:cs="Arial"/>
          <w:szCs w:val="24"/>
          <w:lang w:eastAsia="en-US"/>
        </w:rPr>
        <w:t xml:space="preserve"> Liquidación y a la Sociedad Administradora de Fondos de Pensiones y Cesantías Porvenir </w:t>
      </w:r>
      <w:proofErr w:type="spellStart"/>
      <w:r w:rsidRPr="00436319">
        <w:rPr>
          <w:rFonts w:ascii="Arial" w:eastAsiaTheme="minorHAnsi" w:hAnsi="Arial" w:cs="Arial"/>
          <w:szCs w:val="24"/>
          <w:lang w:eastAsia="en-US"/>
        </w:rPr>
        <w:t>S.A</w:t>
      </w:r>
      <w:proofErr w:type="spellEnd"/>
      <w:r w:rsidRPr="00436319">
        <w:rPr>
          <w:rFonts w:ascii="Arial" w:eastAsiaTheme="minorHAnsi" w:hAnsi="Arial" w:cs="Arial"/>
          <w:szCs w:val="24"/>
          <w:lang w:eastAsia="en-US"/>
        </w:rPr>
        <w:t>;</w:t>
      </w:r>
      <w:r>
        <w:rPr>
          <w:rFonts w:ascii="Arial" w:eastAsiaTheme="minorHAnsi" w:hAnsi="Arial" w:cs="Arial"/>
          <w:szCs w:val="24"/>
          <w:lang w:eastAsia="en-US"/>
        </w:rPr>
        <w:t xml:space="preserve"> Adicionalmente,</w:t>
      </w:r>
      <w:r w:rsidRPr="00436319">
        <w:rPr>
          <w:rFonts w:ascii="Arial" w:eastAsiaTheme="minorHAnsi" w:hAnsi="Arial" w:cs="Arial"/>
          <w:szCs w:val="24"/>
          <w:lang w:eastAsia="en-US"/>
        </w:rPr>
        <w:t xml:space="preserve"> en el trámite del proceso, al resolverse una excepc</w:t>
      </w:r>
      <w:r>
        <w:rPr>
          <w:rFonts w:ascii="Arial" w:eastAsiaTheme="minorHAnsi" w:hAnsi="Arial" w:cs="Arial"/>
          <w:szCs w:val="24"/>
          <w:lang w:eastAsia="en-US"/>
        </w:rPr>
        <w:t>ión previa, se ordenó vincular</w:t>
      </w:r>
      <w:r w:rsidRPr="00436319">
        <w:rPr>
          <w:rFonts w:ascii="Arial" w:eastAsiaTheme="minorHAnsi" w:hAnsi="Arial" w:cs="Arial"/>
          <w:szCs w:val="24"/>
          <w:lang w:eastAsia="en-US"/>
        </w:rPr>
        <w:t xml:space="preserve"> a </w:t>
      </w:r>
      <w:proofErr w:type="spellStart"/>
      <w:r w:rsidRPr="00436319">
        <w:rPr>
          <w:rFonts w:ascii="Arial" w:eastAsiaTheme="minorHAnsi" w:hAnsi="Arial" w:cs="Arial"/>
          <w:szCs w:val="24"/>
          <w:lang w:eastAsia="en-US"/>
        </w:rPr>
        <w:t>Colfondos</w:t>
      </w:r>
      <w:proofErr w:type="spellEnd"/>
      <w:r w:rsidRPr="00436319">
        <w:rPr>
          <w:rFonts w:ascii="Arial" w:eastAsiaTheme="minorHAnsi" w:hAnsi="Arial" w:cs="Arial"/>
          <w:szCs w:val="24"/>
          <w:lang w:eastAsia="en-US"/>
        </w:rPr>
        <w:t xml:space="preserve"> </w:t>
      </w:r>
      <w:proofErr w:type="spellStart"/>
      <w:r w:rsidRPr="00436319">
        <w:rPr>
          <w:rFonts w:ascii="Arial" w:eastAsiaTheme="minorHAnsi" w:hAnsi="Arial" w:cs="Arial"/>
          <w:szCs w:val="24"/>
          <w:lang w:eastAsia="en-US"/>
        </w:rPr>
        <w:t>S.A</w:t>
      </w:r>
      <w:proofErr w:type="spellEnd"/>
      <w:r w:rsidRPr="00436319">
        <w:rPr>
          <w:rFonts w:ascii="Arial" w:eastAsiaTheme="minorHAnsi" w:hAnsi="Arial" w:cs="Arial"/>
          <w:szCs w:val="24"/>
          <w:lang w:eastAsia="en-US"/>
        </w:rPr>
        <w:t xml:space="preserve"> Pensiones y Cesantías</w:t>
      </w:r>
      <w:r>
        <w:rPr>
          <w:rFonts w:ascii="Arial" w:eastAsiaTheme="minorHAnsi" w:hAnsi="Arial" w:cs="Arial"/>
          <w:szCs w:val="24"/>
          <w:lang w:eastAsia="en-US"/>
        </w:rPr>
        <w:t>.</w:t>
      </w:r>
      <w:r w:rsidRPr="00436319">
        <w:rPr>
          <w:rFonts w:ascii="Arial" w:eastAsiaTheme="minorHAnsi" w:hAnsi="Arial" w:cs="Arial"/>
          <w:szCs w:val="24"/>
          <w:lang w:eastAsia="en-US"/>
        </w:rPr>
        <w:t xml:space="preserve"> </w:t>
      </w:r>
      <w:r>
        <w:rPr>
          <w:rFonts w:ascii="Arial" w:eastAsiaTheme="minorHAnsi" w:hAnsi="Arial" w:cs="Arial"/>
          <w:szCs w:val="24"/>
          <w:lang w:eastAsia="en-US"/>
        </w:rPr>
        <w:t xml:space="preserve">Se pretende en el líbelo inicial, </w:t>
      </w:r>
      <w:r w:rsidRPr="00436319">
        <w:rPr>
          <w:rFonts w:ascii="Arial" w:eastAsiaTheme="minorHAnsi" w:hAnsi="Arial" w:cs="Arial"/>
          <w:szCs w:val="24"/>
          <w:lang w:eastAsia="en-US"/>
        </w:rPr>
        <w:t>se</w:t>
      </w:r>
      <w:r w:rsidRPr="00436319">
        <w:rPr>
          <w:rFonts w:ascii="Arial" w:eastAsiaTheme="minorHAnsi" w:hAnsi="Arial" w:cs="Arial"/>
          <w:szCs w:val="24"/>
          <w:lang w:val="es-CO" w:eastAsia="en-US"/>
        </w:rPr>
        <w:t xml:space="preserve"> declare la nulidad de la vinculación del demandante al Régimen de Ahorro Individual; se ordene contabilizar unos periodos no cotizados por el empleador C</w:t>
      </w:r>
      <w:proofErr w:type="spellStart"/>
      <w:r w:rsidRPr="00436319">
        <w:rPr>
          <w:rFonts w:ascii="Arial" w:eastAsiaTheme="minorHAnsi" w:hAnsi="Arial" w:cs="Arial"/>
          <w:szCs w:val="24"/>
          <w:lang w:eastAsia="en-US"/>
        </w:rPr>
        <w:t>ooperativa</w:t>
      </w:r>
      <w:proofErr w:type="spellEnd"/>
      <w:r w:rsidRPr="00436319">
        <w:rPr>
          <w:rFonts w:ascii="Arial" w:eastAsiaTheme="minorHAnsi" w:hAnsi="Arial" w:cs="Arial"/>
          <w:szCs w:val="24"/>
          <w:lang w:eastAsia="en-US"/>
        </w:rPr>
        <w:t xml:space="preserve"> Nacional de Cafeteros Calarcá Ltda. </w:t>
      </w:r>
      <w:proofErr w:type="gramStart"/>
      <w:r w:rsidRPr="00436319">
        <w:rPr>
          <w:rFonts w:ascii="Arial" w:eastAsiaTheme="minorHAnsi" w:hAnsi="Arial" w:cs="Arial"/>
          <w:szCs w:val="24"/>
          <w:lang w:eastAsia="en-US"/>
        </w:rPr>
        <w:t>en</w:t>
      </w:r>
      <w:proofErr w:type="gramEnd"/>
      <w:r w:rsidRPr="00436319">
        <w:rPr>
          <w:rFonts w:ascii="Arial" w:eastAsiaTheme="minorHAnsi" w:hAnsi="Arial" w:cs="Arial"/>
          <w:szCs w:val="24"/>
          <w:lang w:eastAsia="en-US"/>
        </w:rPr>
        <w:t xml:space="preserve"> Liquidación; se reconozca que es beneficiario del régimen de transición; </w:t>
      </w:r>
      <w:r>
        <w:rPr>
          <w:rFonts w:ascii="Arial" w:eastAsiaTheme="minorHAnsi" w:hAnsi="Arial" w:cs="Arial"/>
          <w:szCs w:val="24"/>
          <w:lang w:eastAsia="en-US"/>
        </w:rPr>
        <w:t xml:space="preserve">y </w:t>
      </w:r>
      <w:r w:rsidRPr="00436319">
        <w:rPr>
          <w:rFonts w:ascii="Arial" w:eastAsiaTheme="minorHAnsi" w:hAnsi="Arial" w:cs="Arial"/>
          <w:szCs w:val="24"/>
          <w:lang w:eastAsia="en-US"/>
        </w:rPr>
        <w:t>que se conceda la prestación reclamada de conformidad con lo dispuesto en la Ley 71 de 1988.</w:t>
      </w:r>
    </w:p>
    <w:p w:rsidR="00214609" w:rsidRPr="00436319" w:rsidRDefault="00214609" w:rsidP="00214609">
      <w:pPr>
        <w:spacing w:after="200" w:line="276" w:lineRule="auto"/>
        <w:ind w:firstLine="360"/>
        <w:contextualSpacing/>
        <w:jc w:val="both"/>
        <w:rPr>
          <w:rFonts w:ascii="Arial" w:eastAsiaTheme="minorHAnsi" w:hAnsi="Arial" w:cs="Arial"/>
          <w:szCs w:val="24"/>
          <w:lang w:val="es-CO"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 xml:space="preserve">2. En el escrito introductorio, en el acápite respectivo, se indicó como direcciones de notificación de la Cooperativa Nacional de Cafeteros Calarcá Ltda. </w:t>
      </w:r>
      <w:proofErr w:type="gramStart"/>
      <w:r w:rsidRPr="00436319">
        <w:rPr>
          <w:rFonts w:ascii="Arial" w:eastAsiaTheme="minorHAnsi" w:hAnsi="Arial" w:cs="Arial"/>
          <w:szCs w:val="24"/>
          <w:lang w:val="es-CO" w:eastAsia="en-US"/>
        </w:rPr>
        <w:t>en</w:t>
      </w:r>
      <w:proofErr w:type="gramEnd"/>
      <w:r w:rsidRPr="00436319">
        <w:rPr>
          <w:rFonts w:ascii="Arial" w:eastAsiaTheme="minorHAnsi" w:hAnsi="Arial" w:cs="Arial"/>
          <w:szCs w:val="24"/>
          <w:lang w:val="es-CO" w:eastAsia="en-US"/>
        </w:rPr>
        <w:t xml:space="preserve"> Liquidación, la Calle 15 Norte No. 15-12 Armenia, Quindío y/o Km 7 vía Calarcá al Valle Sector la YE, las cuales aparecen reportadas en el certificado de existencia y representación legal de dicha entidad</w:t>
      </w:r>
      <w:r>
        <w:rPr>
          <w:rFonts w:ascii="Arial" w:eastAsiaTheme="minorHAnsi" w:hAnsi="Arial" w:cs="Arial"/>
          <w:szCs w:val="24"/>
          <w:lang w:val="es-CO" w:eastAsia="en-US"/>
        </w:rPr>
        <w:t xml:space="preserve"> como “</w:t>
      </w:r>
      <w:r w:rsidRPr="005B4796">
        <w:rPr>
          <w:rFonts w:ascii="Arial" w:eastAsiaTheme="minorHAnsi" w:hAnsi="Arial" w:cs="Arial"/>
          <w:i/>
          <w:szCs w:val="24"/>
          <w:lang w:val="es-CO" w:eastAsia="en-US"/>
        </w:rPr>
        <w:t>Calle 15 Norte No. 15-12</w:t>
      </w:r>
      <w:r>
        <w:rPr>
          <w:rFonts w:ascii="Arial" w:eastAsiaTheme="minorHAnsi" w:hAnsi="Arial" w:cs="Arial"/>
          <w:i/>
          <w:szCs w:val="24"/>
          <w:lang w:val="es-CO" w:eastAsia="en-US"/>
        </w:rPr>
        <w:t xml:space="preserve"> Barrio la Castellana,</w:t>
      </w:r>
      <w:r w:rsidRPr="005B4796">
        <w:rPr>
          <w:rFonts w:ascii="Arial" w:eastAsiaTheme="minorHAnsi" w:hAnsi="Arial" w:cs="Arial"/>
          <w:i/>
          <w:szCs w:val="24"/>
          <w:lang w:val="es-CO" w:eastAsia="en-US"/>
        </w:rPr>
        <w:t xml:space="preserve"> Armenia, Quindío y/o Km 7 vía Calarcá al Valle Sector la YE</w:t>
      </w:r>
      <w:r w:rsidRPr="00436319">
        <w:rPr>
          <w:rFonts w:ascii="Arial" w:eastAsiaTheme="minorHAnsi" w:hAnsi="Arial" w:cs="Arial"/>
          <w:szCs w:val="24"/>
          <w:lang w:val="es-CO" w:eastAsia="en-US"/>
        </w:rPr>
        <w:t>, tal como se advierte a folio 21 al 22 vto</w:t>
      </w:r>
      <w:r>
        <w:rPr>
          <w:rFonts w:ascii="Arial" w:eastAsiaTheme="minorHAnsi" w:hAnsi="Arial" w:cs="Arial"/>
          <w:szCs w:val="24"/>
          <w:lang w:val="es-CO" w:eastAsia="en-US"/>
        </w:rPr>
        <w:t>.</w:t>
      </w:r>
      <w:r w:rsidRPr="00436319">
        <w:rPr>
          <w:rFonts w:ascii="Arial" w:eastAsiaTheme="minorHAnsi" w:hAnsi="Arial" w:cs="Arial"/>
          <w:szCs w:val="24"/>
          <w:lang w:val="es-CO" w:eastAsia="en-US"/>
        </w:rPr>
        <w:t xml:space="preserve"> </w:t>
      </w:r>
      <w:proofErr w:type="gramStart"/>
      <w:r w:rsidRPr="00436319">
        <w:rPr>
          <w:rFonts w:ascii="Arial" w:eastAsiaTheme="minorHAnsi" w:hAnsi="Arial" w:cs="Arial"/>
          <w:szCs w:val="24"/>
          <w:lang w:val="es-CO" w:eastAsia="en-US"/>
        </w:rPr>
        <w:t>c</w:t>
      </w:r>
      <w:proofErr w:type="gramEnd"/>
      <w:r w:rsidRPr="00436319">
        <w:rPr>
          <w:rFonts w:ascii="Arial" w:eastAsiaTheme="minorHAnsi" w:hAnsi="Arial" w:cs="Arial"/>
          <w:szCs w:val="24"/>
          <w:lang w:val="es-CO" w:eastAsia="en-US"/>
        </w:rPr>
        <w:t xml:space="preserve"> 1.</w:t>
      </w: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lastRenderedPageBreak/>
        <w:t>3. Admitida la demanda se dispuso la notificación personal de la codemandada Cooperativa Nacional de Cafeteros Calarcá Ltda.,</w:t>
      </w:r>
      <w:r>
        <w:rPr>
          <w:rFonts w:ascii="Arial" w:eastAsiaTheme="minorHAnsi" w:hAnsi="Arial" w:cs="Arial"/>
          <w:szCs w:val="24"/>
          <w:lang w:val="es-CO" w:eastAsia="en-US"/>
        </w:rPr>
        <w:t xml:space="preserve"> la que </w:t>
      </w:r>
      <w:r w:rsidRPr="00436319">
        <w:rPr>
          <w:rFonts w:ascii="Arial" w:eastAsiaTheme="minorHAnsi" w:hAnsi="Arial" w:cs="Arial"/>
          <w:szCs w:val="24"/>
          <w:lang w:val="es-CO" w:eastAsia="en-US"/>
        </w:rPr>
        <w:t xml:space="preserve">se surtió en la Calle 15 Norte No. 15-12 Armenia, Quindío –fls.106 y 108-, </w:t>
      </w:r>
      <w:r>
        <w:rPr>
          <w:rFonts w:ascii="Arial" w:eastAsiaTheme="minorHAnsi" w:hAnsi="Arial" w:cs="Arial"/>
          <w:szCs w:val="24"/>
          <w:lang w:val="es-CO" w:eastAsia="en-US"/>
        </w:rPr>
        <w:t xml:space="preserve">siendo </w:t>
      </w:r>
      <w:r w:rsidRPr="00436319">
        <w:rPr>
          <w:rFonts w:ascii="Arial" w:eastAsiaTheme="minorHAnsi" w:hAnsi="Arial" w:cs="Arial"/>
          <w:szCs w:val="24"/>
          <w:lang w:val="es-CO" w:eastAsia="en-US"/>
        </w:rPr>
        <w:t>devuelta por la empresa de correo con anotación “Dirección no existe”; por lo que se ordenó por la a quo, notificar a la entidad referida, en la dirección Transversal 38 No. 71-78 de Medellín, Antioquia, a través del liquidador de la entidad, siendo fallida  por cambio de domicilio.</w:t>
      </w: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 xml:space="preserve">4. El juzgado atendiendo la solicitud de la parte demandante y al resultar inocuas las notificaciones a las direcciones citadas, dio aplicación al art. 29 del </w:t>
      </w:r>
      <w:proofErr w:type="spellStart"/>
      <w:r w:rsidRPr="00436319">
        <w:rPr>
          <w:rFonts w:ascii="Arial" w:eastAsiaTheme="minorHAnsi" w:hAnsi="Arial" w:cs="Arial"/>
          <w:szCs w:val="24"/>
          <w:lang w:val="es-CO" w:eastAsia="en-US"/>
        </w:rPr>
        <w:t>CPTSS</w:t>
      </w:r>
      <w:proofErr w:type="spellEnd"/>
      <w:r w:rsidRPr="00436319">
        <w:rPr>
          <w:rFonts w:ascii="Arial" w:eastAsiaTheme="minorHAnsi" w:hAnsi="Arial" w:cs="Arial"/>
          <w:szCs w:val="24"/>
          <w:lang w:val="es-CO" w:eastAsia="en-US"/>
        </w:rPr>
        <w:t>, disponiendo su emplazamiento y les designó curador (</w:t>
      </w:r>
      <w:proofErr w:type="spellStart"/>
      <w:r w:rsidRPr="00436319">
        <w:rPr>
          <w:rFonts w:ascii="Arial" w:eastAsiaTheme="minorHAnsi" w:hAnsi="Arial" w:cs="Arial"/>
          <w:szCs w:val="24"/>
          <w:lang w:val="es-CO" w:eastAsia="en-US"/>
        </w:rPr>
        <w:t>fl</w:t>
      </w:r>
      <w:proofErr w:type="spellEnd"/>
      <w:r w:rsidRPr="00436319">
        <w:rPr>
          <w:rFonts w:ascii="Arial" w:eastAsiaTheme="minorHAnsi" w:hAnsi="Arial" w:cs="Arial"/>
          <w:szCs w:val="24"/>
          <w:lang w:val="es-CO" w:eastAsia="en-US"/>
        </w:rPr>
        <w:t>. 114 c.1).</w:t>
      </w: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5. Una vez notificado el curador, contestó la demanda y manifestó bajo la gravedad de juramento que desconocía la residencia y domicilio de la demandada (</w:t>
      </w:r>
      <w:proofErr w:type="spellStart"/>
      <w:r w:rsidRPr="00436319">
        <w:rPr>
          <w:rFonts w:ascii="Arial" w:eastAsiaTheme="minorHAnsi" w:hAnsi="Arial" w:cs="Arial"/>
          <w:szCs w:val="24"/>
          <w:lang w:val="es-CO" w:eastAsia="en-US"/>
        </w:rPr>
        <w:t>fls</w:t>
      </w:r>
      <w:proofErr w:type="spellEnd"/>
      <w:r w:rsidRPr="00436319">
        <w:rPr>
          <w:rFonts w:ascii="Arial" w:eastAsiaTheme="minorHAnsi" w:hAnsi="Arial" w:cs="Arial"/>
          <w:szCs w:val="24"/>
          <w:lang w:val="es-CO" w:eastAsia="en-US"/>
        </w:rPr>
        <w:t>. 120 a 123 c.2).</w:t>
      </w: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 xml:space="preserve">5. Luego de efectuarse la audiencia del art. 77 ibídem, lo que se hizo en varias sesiones, el 11-11-2016 la parte demandante allegó la publicación del edicto </w:t>
      </w:r>
      <w:proofErr w:type="spellStart"/>
      <w:r w:rsidRPr="00436319">
        <w:rPr>
          <w:rFonts w:ascii="Arial" w:eastAsiaTheme="minorHAnsi" w:hAnsi="Arial" w:cs="Arial"/>
          <w:szCs w:val="24"/>
          <w:lang w:val="es-CO" w:eastAsia="en-US"/>
        </w:rPr>
        <w:t>emplazatorio</w:t>
      </w:r>
      <w:proofErr w:type="spellEnd"/>
      <w:r w:rsidRPr="00436319">
        <w:rPr>
          <w:rFonts w:ascii="Arial" w:eastAsiaTheme="minorHAnsi" w:hAnsi="Arial" w:cs="Arial"/>
          <w:szCs w:val="24"/>
          <w:lang w:val="es-CO" w:eastAsia="en-US"/>
        </w:rPr>
        <w:t xml:space="preserve"> (</w:t>
      </w:r>
      <w:proofErr w:type="spellStart"/>
      <w:r w:rsidRPr="00436319">
        <w:rPr>
          <w:rFonts w:ascii="Arial" w:eastAsiaTheme="minorHAnsi" w:hAnsi="Arial" w:cs="Arial"/>
          <w:szCs w:val="24"/>
          <w:lang w:val="es-CO" w:eastAsia="en-US"/>
        </w:rPr>
        <w:t>fls</w:t>
      </w:r>
      <w:proofErr w:type="spellEnd"/>
      <w:r w:rsidRPr="00436319">
        <w:rPr>
          <w:rFonts w:ascii="Arial" w:eastAsiaTheme="minorHAnsi" w:hAnsi="Arial" w:cs="Arial"/>
          <w:szCs w:val="24"/>
          <w:lang w:val="es-CO" w:eastAsia="en-US"/>
        </w:rPr>
        <w:t>. 211 al 213), subsanándose de esta manera, las falencias advertidas en las dos (2) anteriores publicaciones, por lo que el Juzgado fijó fecha para celebrar la audiencia de juzgamiento, que tuvo lugar el 21 de febrero de 2017, en donde se presentaron los alegatos y se profirió sentencia.</w:t>
      </w:r>
    </w:p>
    <w:p w:rsidR="00214609" w:rsidRPr="00436319" w:rsidRDefault="00214609" w:rsidP="00214609">
      <w:pPr>
        <w:shd w:val="clear" w:color="auto" w:fill="FFFFFF"/>
        <w:tabs>
          <w:tab w:val="left" w:pos="5197"/>
        </w:tabs>
        <w:spacing w:line="276" w:lineRule="auto"/>
        <w:jc w:val="center"/>
        <w:rPr>
          <w:rFonts w:ascii="Arial" w:hAnsi="Arial" w:cs="Arial"/>
          <w:b/>
          <w:szCs w:val="24"/>
        </w:rPr>
      </w:pPr>
    </w:p>
    <w:p w:rsidR="00214609" w:rsidRPr="00436319" w:rsidRDefault="00214609" w:rsidP="00214609">
      <w:pPr>
        <w:shd w:val="clear" w:color="auto" w:fill="FFFFFF"/>
        <w:tabs>
          <w:tab w:val="left" w:pos="5197"/>
        </w:tabs>
        <w:spacing w:line="276" w:lineRule="auto"/>
        <w:jc w:val="center"/>
        <w:rPr>
          <w:rFonts w:ascii="Arial" w:hAnsi="Arial" w:cs="Arial"/>
          <w:b/>
          <w:szCs w:val="24"/>
        </w:rPr>
      </w:pPr>
      <w:r w:rsidRPr="00436319">
        <w:rPr>
          <w:rFonts w:ascii="Arial" w:hAnsi="Arial" w:cs="Arial"/>
          <w:b/>
          <w:szCs w:val="24"/>
        </w:rPr>
        <w:t>CONSIDERACIONES</w:t>
      </w:r>
    </w:p>
    <w:p w:rsidR="00214609" w:rsidRPr="00436319" w:rsidRDefault="00214609" w:rsidP="00214609">
      <w:pPr>
        <w:shd w:val="clear" w:color="auto" w:fill="FFFFFF"/>
        <w:tabs>
          <w:tab w:val="left" w:pos="5197"/>
        </w:tabs>
        <w:spacing w:line="276" w:lineRule="auto"/>
        <w:jc w:val="both"/>
        <w:rPr>
          <w:rFonts w:ascii="Arial" w:hAnsi="Arial" w:cs="Arial"/>
          <w:szCs w:val="24"/>
        </w:rPr>
      </w:pPr>
    </w:p>
    <w:p w:rsidR="00214609" w:rsidRPr="00436319" w:rsidRDefault="00214609" w:rsidP="00214609">
      <w:pPr>
        <w:shd w:val="clear" w:color="auto" w:fill="FFFFFF"/>
        <w:tabs>
          <w:tab w:val="left" w:pos="5197"/>
        </w:tabs>
        <w:spacing w:line="276" w:lineRule="auto"/>
        <w:jc w:val="both"/>
        <w:rPr>
          <w:rFonts w:ascii="Arial" w:hAnsi="Arial" w:cs="Arial"/>
          <w:b/>
          <w:szCs w:val="24"/>
        </w:rPr>
      </w:pPr>
      <w:r w:rsidRPr="00436319">
        <w:rPr>
          <w:rFonts w:ascii="Arial" w:hAnsi="Arial" w:cs="Arial"/>
          <w:b/>
          <w:szCs w:val="24"/>
        </w:rPr>
        <w:t>1. Problema jurídico</w:t>
      </w:r>
    </w:p>
    <w:p w:rsidR="00214609" w:rsidRPr="00436319" w:rsidRDefault="00214609" w:rsidP="00214609">
      <w:pPr>
        <w:spacing w:after="200" w:line="276" w:lineRule="auto"/>
        <w:contextualSpacing/>
        <w:jc w:val="both"/>
        <w:rPr>
          <w:rFonts w:ascii="Arial" w:eastAsiaTheme="minorHAnsi" w:hAnsi="Arial" w:cs="Arial"/>
          <w:bCs/>
          <w:szCs w:val="24"/>
          <w:lang w:val="es-CO" w:eastAsia="en-US"/>
        </w:rPr>
      </w:pPr>
    </w:p>
    <w:p w:rsidR="00214609" w:rsidRPr="00436319" w:rsidRDefault="00214609" w:rsidP="00214609">
      <w:pPr>
        <w:spacing w:after="200" w:line="276" w:lineRule="auto"/>
        <w:contextualSpacing/>
        <w:jc w:val="both"/>
        <w:rPr>
          <w:rFonts w:ascii="Arial" w:eastAsiaTheme="minorHAnsi" w:hAnsi="Arial" w:cs="Arial"/>
          <w:bCs/>
          <w:szCs w:val="24"/>
          <w:lang w:val="es-CO" w:eastAsia="en-US"/>
        </w:rPr>
      </w:pPr>
      <w:r w:rsidRPr="00436319">
        <w:rPr>
          <w:rFonts w:ascii="Arial" w:eastAsiaTheme="minorHAnsi" w:hAnsi="Arial" w:cs="Arial"/>
          <w:bCs/>
          <w:szCs w:val="24"/>
          <w:lang w:val="es-CO" w:eastAsia="en-US"/>
        </w:rPr>
        <w:t>Conforme lo expuesto, se pregunta,</w:t>
      </w:r>
    </w:p>
    <w:p w:rsidR="00214609" w:rsidRPr="00436319" w:rsidRDefault="00214609" w:rsidP="00214609">
      <w:pPr>
        <w:spacing w:after="200" w:line="276" w:lineRule="auto"/>
        <w:contextualSpacing/>
        <w:jc w:val="both"/>
        <w:rPr>
          <w:rFonts w:ascii="Arial" w:eastAsiaTheme="minorHAnsi" w:hAnsi="Arial" w:cs="Arial"/>
          <w:bCs/>
          <w:szCs w:val="24"/>
          <w:lang w:val="es-CO" w:eastAsia="en-US"/>
        </w:rPr>
      </w:pPr>
      <w:r w:rsidRPr="00436319">
        <w:rPr>
          <w:rFonts w:ascii="Arial" w:eastAsiaTheme="minorHAnsi" w:hAnsi="Arial" w:cs="Arial"/>
          <w:bCs/>
          <w:szCs w:val="24"/>
          <w:lang w:val="es-CO" w:eastAsia="en-US"/>
        </w:rPr>
        <w:t xml:space="preserve"> </w:t>
      </w:r>
    </w:p>
    <w:p w:rsidR="00214609" w:rsidRPr="00436319" w:rsidRDefault="00214609" w:rsidP="00214609">
      <w:pPr>
        <w:spacing w:after="200" w:line="276" w:lineRule="auto"/>
        <w:contextualSpacing/>
        <w:jc w:val="both"/>
        <w:rPr>
          <w:rFonts w:ascii="Arial" w:eastAsiaTheme="minorHAnsi" w:hAnsi="Arial" w:cs="Arial"/>
          <w:b/>
          <w:bCs/>
          <w:szCs w:val="24"/>
          <w:lang w:val="es-CO" w:eastAsia="en-US"/>
        </w:rPr>
      </w:pPr>
      <w:proofErr w:type="gramStart"/>
      <w:r w:rsidRPr="00436319">
        <w:rPr>
          <w:rFonts w:ascii="Arial" w:eastAsiaTheme="minorHAnsi" w:hAnsi="Arial" w:cs="Arial"/>
          <w:bCs/>
          <w:szCs w:val="24"/>
          <w:lang w:val="es-CO" w:eastAsia="en-US"/>
        </w:rPr>
        <w:t>¿</w:t>
      </w:r>
      <w:proofErr w:type="gramEnd"/>
      <w:r w:rsidRPr="00436319">
        <w:rPr>
          <w:rFonts w:ascii="Arial" w:eastAsiaTheme="minorHAnsi" w:hAnsi="Arial" w:cs="Arial"/>
          <w:bCs/>
          <w:szCs w:val="24"/>
          <w:lang w:val="es-CO" w:eastAsia="en-US"/>
        </w:rPr>
        <w:t xml:space="preserve">La demandada Cooperativa Nacional de Cafeteros Calarcá Ltda. </w:t>
      </w:r>
      <w:proofErr w:type="gramStart"/>
      <w:r w:rsidRPr="00436319">
        <w:rPr>
          <w:rFonts w:ascii="Arial" w:eastAsiaTheme="minorHAnsi" w:hAnsi="Arial" w:cs="Arial"/>
          <w:bCs/>
          <w:szCs w:val="24"/>
          <w:lang w:val="es-CO" w:eastAsia="en-US"/>
        </w:rPr>
        <w:t>en</w:t>
      </w:r>
      <w:proofErr w:type="gramEnd"/>
      <w:r w:rsidRPr="00436319">
        <w:rPr>
          <w:rFonts w:ascii="Arial" w:eastAsiaTheme="minorHAnsi" w:hAnsi="Arial" w:cs="Arial"/>
          <w:bCs/>
          <w:szCs w:val="24"/>
          <w:lang w:val="es-CO" w:eastAsia="en-US"/>
        </w:rPr>
        <w:t xml:space="preserve"> Liquidación se encuentran notificada en debida forma? </w:t>
      </w:r>
    </w:p>
    <w:p w:rsidR="00214609" w:rsidRPr="00436319" w:rsidRDefault="00214609" w:rsidP="00214609">
      <w:pPr>
        <w:spacing w:after="200" w:line="276" w:lineRule="auto"/>
        <w:contextualSpacing/>
        <w:jc w:val="both"/>
        <w:rPr>
          <w:rFonts w:ascii="Arial" w:eastAsiaTheme="minorHAnsi" w:hAnsi="Arial" w:cs="Arial"/>
          <w:b/>
          <w:bCs/>
          <w:szCs w:val="24"/>
          <w:lang w:val="es-CO" w:eastAsia="en-US"/>
        </w:rPr>
      </w:pPr>
    </w:p>
    <w:p w:rsidR="00214609" w:rsidRPr="00436319" w:rsidRDefault="00214609" w:rsidP="00214609">
      <w:pPr>
        <w:spacing w:after="200" w:line="276" w:lineRule="auto"/>
        <w:contextualSpacing/>
        <w:jc w:val="both"/>
        <w:rPr>
          <w:rFonts w:ascii="Arial" w:eastAsiaTheme="minorHAnsi" w:hAnsi="Arial" w:cs="Arial"/>
          <w:b/>
          <w:bCs/>
          <w:szCs w:val="24"/>
          <w:lang w:val="es-CO" w:eastAsia="en-US"/>
        </w:rPr>
      </w:pPr>
      <w:r w:rsidRPr="00436319">
        <w:rPr>
          <w:rFonts w:ascii="Arial" w:eastAsiaTheme="minorHAnsi" w:hAnsi="Arial" w:cs="Arial"/>
          <w:b/>
          <w:bCs/>
          <w:szCs w:val="24"/>
          <w:lang w:val="es-CO" w:eastAsia="en-US"/>
        </w:rPr>
        <w:t>2. Solución al interrogante planteado</w:t>
      </w:r>
    </w:p>
    <w:p w:rsidR="00214609" w:rsidRPr="00436319" w:rsidRDefault="00214609" w:rsidP="00214609">
      <w:pPr>
        <w:spacing w:after="200" w:line="276" w:lineRule="auto"/>
        <w:contextualSpacing/>
        <w:jc w:val="both"/>
        <w:rPr>
          <w:rFonts w:ascii="Arial" w:eastAsiaTheme="minorHAnsi" w:hAnsi="Arial" w:cs="Arial"/>
          <w:b/>
          <w:bCs/>
          <w:szCs w:val="24"/>
          <w:lang w:val="es-CO" w:eastAsia="en-US"/>
        </w:rPr>
      </w:pPr>
    </w:p>
    <w:p w:rsidR="00214609" w:rsidRPr="00436319" w:rsidRDefault="00214609" w:rsidP="00214609">
      <w:pPr>
        <w:spacing w:after="200" w:line="276" w:lineRule="auto"/>
        <w:contextualSpacing/>
        <w:jc w:val="both"/>
        <w:rPr>
          <w:rFonts w:ascii="Arial" w:eastAsiaTheme="minorHAnsi" w:hAnsi="Arial" w:cs="Arial"/>
          <w:b/>
          <w:bCs/>
          <w:szCs w:val="24"/>
          <w:lang w:val="es-CO" w:eastAsia="en-US"/>
        </w:rPr>
      </w:pPr>
      <w:r w:rsidRPr="00436319">
        <w:rPr>
          <w:rFonts w:ascii="Arial" w:eastAsiaTheme="minorHAnsi" w:hAnsi="Arial" w:cs="Arial"/>
          <w:b/>
          <w:bCs/>
          <w:szCs w:val="24"/>
          <w:lang w:val="es-CO" w:eastAsia="en-US"/>
        </w:rPr>
        <w:t>2.1 Fundamento Normativo</w:t>
      </w:r>
    </w:p>
    <w:p w:rsidR="00214609" w:rsidRPr="00436319" w:rsidRDefault="00214609" w:rsidP="00214609">
      <w:pPr>
        <w:spacing w:after="200" w:line="276" w:lineRule="auto"/>
        <w:contextualSpacing/>
        <w:jc w:val="both"/>
        <w:rPr>
          <w:rFonts w:ascii="Arial" w:eastAsiaTheme="minorHAnsi" w:hAnsi="Arial" w:cs="Arial"/>
          <w:b/>
          <w:bCs/>
          <w:szCs w:val="24"/>
          <w:lang w:val="es-CO" w:eastAsia="en-US"/>
        </w:rPr>
      </w:pPr>
    </w:p>
    <w:p w:rsidR="00214609" w:rsidRPr="00436319" w:rsidRDefault="00214609" w:rsidP="00214609">
      <w:pPr>
        <w:spacing w:line="276" w:lineRule="auto"/>
        <w:contextualSpacing/>
        <w:jc w:val="both"/>
        <w:rPr>
          <w:rFonts w:ascii="Arial" w:eastAsiaTheme="minorHAnsi" w:hAnsi="Arial" w:cs="Arial"/>
          <w:b/>
          <w:szCs w:val="24"/>
          <w:lang w:val="es-CO" w:eastAsia="en-US"/>
        </w:rPr>
      </w:pPr>
      <w:r w:rsidRPr="00436319">
        <w:rPr>
          <w:rFonts w:ascii="Arial" w:eastAsiaTheme="minorHAnsi" w:hAnsi="Arial" w:cs="Arial"/>
          <w:b/>
          <w:szCs w:val="24"/>
          <w:lang w:val="es-CO" w:eastAsia="en-US"/>
        </w:rPr>
        <w:t>2.1.1. Carácter de orden público de las normas adjetivas</w:t>
      </w:r>
    </w:p>
    <w:p w:rsidR="00214609" w:rsidRPr="00436319" w:rsidRDefault="00214609" w:rsidP="00214609">
      <w:pPr>
        <w:spacing w:line="276" w:lineRule="auto"/>
        <w:contextualSpacing/>
        <w:jc w:val="both"/>
        <w:rPr>
          <w:rFonts w:ascii="Arial" w:eastAsiaTheme="minorHAnsi" w:hAnsi="Arial" w:cs="Arial"/>
          <w:b/>
          <w:szCs w:val="24"/>
          <w:lang w:val="es-CO" w:eastAsia="en-US"/>
        </w:rPr>
      </w:pPr>
    </w:p>
    <w:p w:rsidR="00214609" w:rsidRPr="00436319" w:rsidRDefault="00214609" w:rsidP="00214609">
      <w:pPr>
        <w:spacing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 xml:space="preserve">Sobre este carácter se ocupa el artículo 6 del </w:t>
      </w:r>
      <w:proofErr w:type="spellStart"/>
      <w:r w:rsidRPr="00436319">
        <w:rPr>
          <w:rFonts w:ascii="Arial" w:eastAsiaTheme="minorHAnsi" w:hAnsi="Arial" w:cs="Arial"/>
          <w:szCs w:val="24"/>
          <w:lang w:val="es-CO" w:eastAsia="en-US"/>
        </w:rPr>
        <w:t>CPC</w:t>
      </w:r>
      <w:proofErr w:type="spellEnd"/>
      <w:r w:rsidRPr="00436319">
        <w:rPr>
          <w:rFonts w:ascii="Arial" w:eastAsiaTheme="minorHAnsi" w:hAnsi="Arial" w:cs="Arial"/>
          <w:szCs w:val="24"/>
          <w:lang w:val="es-CO" w:eastAsia="en-US"/>
        </w:rPr>
        <w:t xml:space="preserve">, vigente para el momento de  tramitarse la notificación del auto </w:t>
      </w:r>
      <w:proofErr w:type="spellStart"/>
      <w:r w:rsidRPr="00436319">
        <w:rPr>
          <w:rFonts w:ascii="Arial" w:eastAsiaTheme="minorHAnsi" w:hAnsi="Arial" w:cs="Arial"/>
          <w:szCs w:val="24"/>
          <w:lang w:val="es-CO" w:eastAsia="en-US"/>
        </w:rPr>
        <w:t>admisorio</w:t>
      </w:r>
      <w:proofErr w:type="spellEnd"/>
      <w:r w:rsidRPr="00436319">
        <w:rPr>
          <w:rFonts w:ascii="Arial" w:eastAsiaTheme="minorHAnsi" w:hAnsi="Arial" w:cs="Arial"/>
          <w:szCs w:val="24"/>
          <w:lang w:val="es-CO" w:eastAsia="en-US"/>
        </w:rPr>
        <w:t xml:space="preserve"> de la demanda, y que se aplica al procedimiento laboral por remisión del art. 145 del </w:t>
      </w:r>
      <w:proofErr w:type="spellStart"/>
      <w:r w:rsidRPr="00436319">
        <w:rPr>
          <w:rFonts w:ascii="Arial" w:eastAsiaTheme="minorHAnsi" w:hAnsi="Arial" w:cs="Arial"/>
          <w:szCs w:val="24"/>
          <w:lang w:val="es-CO" w:eastAsia="en-US"/>
        </w:rPr>
        <w:t>CPTSS</w:t>
      </w:r>
      <w:proofErr w:type="spellEnd"/>
      <w:r w:rsidRPr="00436319">
        <w:rPr>
          <w:rFonts w:ascii="Arial" w:eastAsiaTheme="minorHAnsi" w:hAnsi="Arial" w:cs="Arial"/>
          <w:szCs w:val="24"/>
          <w:lang w:val="es-CO" w:eastAsia="en-US"/>
        </w:rPr>
        <w:t>; lo que se traduce en que en ningún caso ellas podrán ser derogadas, modificadas o sustituidas por los jueces y partes, salvo que la ley lo autorice; en otras palabras, como lo ha dicho la Corte Constitucional “</w:t>
      </w:r>
      <w:r w:rsidRPr="00436319">
        <w:rPr>
          <w:rFonts w:ascii="Arial" w:eastAsiaTheme="minorHAnsi" w:hAnsi="Arial" w:cs="Arial"/>
          <w:i/>
          <w:szCs w:val="24"/>
          <w:lang w:val="es-CO" w:eastAsia="en-US"/>
        </w:rPr>
        <w:t>(…) su observancia vincula independientemente de la voluntad de los sujetos respecto de los cuáles ésta va a producir efectos.”</w:t>
      </w:r>
      <w:r w:rsidRPr="00436319">
        <w:rPr>
          <w:rFonts w:ascii="Arial" w:eastAsiaTheme="minorHAnsi" w:hAnsi="Arial" w:cs="Arial"/>
          <w:szCs w:val="24"/>
          <w:vertAlign w:val="superscript"/>
          <w:lang w:val="es-CO" w:eastAsia="en-US"/>
        </w:rPr>
        <w:footnoteReference w:id="2"/>
      </w:r>
    </w:p>
    <w:p w:rsidR="00214609" w:rsidRPr="00436319" w:rsidRDefault="00214609" w:rsidP="00214609">
      <w:pPr>
        <w:spacing w:line="276" w:lineRule="auto"/>
        <w:contextualSpacing/>
        <w:jc w:val="both"/>
        <w:rPr>
          <w:rFonts w:ascii="Arial" w:eastAsiaTheme="minorHAnsi" w:hAnsi="Arial" w:cs="Arial"/>
          <w:szCs w:val="24"/>
          <w:lang w:val="es-CO" w:eastAsia="en-US"/>
        </w:rPr>
      </w:pPr>
    </w:p>
    <w:p w:rsidR="00214609" w:rsidRPr="00436319" w:rsidRDefault="00214609" w:rsidP="00214609">
      <w:pPr>
        <w:spacing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lastRenderedPageBreak/>
        <w:t>Por su parte, el art. 29 de la Carta Política, establece el derecho al debido proceso, como garantía de los ciudadanos, a que sus controversias se solucionarán con la aplicación de las reglas propias de cada juicio; de esta manera se enarbola el derecho de igualdad de las partes y destierra la arbitrariedad judicial.</w:t>
      </w:r>
    </w:p>
    <w:p w:rsidR="00214609" w:rsidRPr="00436319" w:rsidRDefault="00214609" w:rsidP="00214609">
      <w:pPr>
        <w:spacing w:line="276" w:lineRule="auto"/>
        <w:contextualSpacing/>
        <w:jc w:val="both"/>
        <w:rPr>
          <w:rFonts w:ascii="Arial" w:eastAsiaTheme="minorHAnsi" w:hAnsi="Arial" w:cs="Arial"/>
          <w:szCs w:val="24"/>
          <w:lang w:val="es-CO" w:eastAsia="en-US"/>
        </w:rPr>
      </w:pPr>
    </w:p>
    <w:p w:rsidR="00214609" w:rsidRPr="00436319" w:rsidRDefault="00214609" w:rsidP="00214609">
      <w:pPr>
        <w:shd w:val="clear" w:color="auto" w:fill="FFFFFF"/>
        <w:spacing w:line="276" w:lineRule="auto"/>
        <w:ind w:right="-232"/>
        <w:contextualSpacing/>
        <w:jc w:val="both"/>
        <w:textAlignment w:val="baseline"/>
        <w:rPr>
          <w:rFonts w:ascii="Arial" w:hAnsi="Arial" w:cs="Arial"/>
          <w:i/>
          <w:color w:val="2D2D2D"/>
          <w:szCs w:val="24"/>
          <w:lang w:val="es-ES"/>
        </w:rPr>
      </w:pPr>
      <w:r w:rsidRPr="00436319">
        <w:rPr>
          <w:rFonts w:ascii="Arial" w:hAnsi="Arial" w:cs="Arial"/>
          <w:color w:val="000000"/>
          <w:szCs w:val="24"/>
          <w:bdr w:val="none" w:sz="0" w:space="0" w:color="auto" w:frame="1"/>
          <w:lang w:val="es-CO"/>
        </w:rPr>
        <w:t>Derecho que no pugna con la primacía de la ley sustancial, pues como se dice en la providencia en cita “(…).</w:t>
      </w:r>
      <w:r w:rsidRPr="00436319">
        <w:rPr>
          <w:rFonts w:ascii="Arial" w:hAnsi="Arial" w:cs="Arial"/>
          <w:i/>
          <w:color w:val="000000"/>
          <w:szCs w:val="24"/>
          <w:bdr w:val="none" w:sz="0" w:space="0" w:color="auto" w:frame="1"/>
          <w:lang w:val="es-CO"/>
        </w:rPr>
        <w:t xml:space="preserve"> No de otra manera puede entenderse que la misma norma que reconoce tal primacía, ordene cumplir la garantía constitucional del debido proceso, respetar el derecho de defensa y mantener la igualdad de las partes. En conclusión, el que las normas procesales sean el medio para el reconocimiento de los derechos que surgen de la ley sustancial, y tal reconocimiento sea el fin, no implica que ellas sean de una categoría inferior.</w:t>
      </w:r>
    </w:p>
    <w:p w:rsidR="00214609" w:rsidRPr="00436319" w:rsidRDefault="00214609" w:rsidP="00214609">
      <w:pPr>
        <w:shd w:val="clear" w:color="auto" w:fill="FFFFFF"/>
        <w:spacing w:line="276" w:lineRule="auto"/>
        <w:ind w:right="-232"/>
        <w:contextualSpacing/>
        <w:jc w:val="both"/>
        <w:textAlignment w:val="baseline"/>
        <w:rPr>
          <w:rFonts w:ascii="Arial" w:hAnsi="Arial" w:cs="Arial"/>
          <w:color w:val="2D2D2D"/>
          <w:szCs w:val="24"/>
          <w:lang w:val="es-ES"/>
        </w:rPr>
      </w:pPr>
      <w:r w:rsidRPr="00436319">
        <w:rPr>
          <w:rFonts w:ascii="Arial" w:hAnsi="Arial" w:cs="Arial"/>
          <w:color w:val="000000"/>
          <w:szCs w:val="24"/>
          <w:bdr w:val="none" w:sz="0" w:space="0" w:color="auto" w:frame="1"/>
          <w:lang w:val="es-CO"/>
        </w:rPr>
        <w:t> </w:t>
      </w:r>
    </w:p>
    <w:p w:rsidR="00214609" w:rsidRPr="00436319" w:rsidRDefault="00214609" w:rsidP="00214609">
      <w:pPr>
        <w:shd w:val="clear" w:color="auto" w:fill="FFFFFF"/>
        <w:spacing w:line="276" w:lineRule="auto"/>
        <w:ind w:right="-232"/>
        <w:contextualSpacing/>
        <w:jc w:val="both"/>
        <w:textAlignment w:val="baseline"/>
        <w:rPr>
          <w:rFonts w:ascii="Arial" w:eastAsiaTheme="minorHAnsi" w:hAnsi="Arial" w:cs="Arial"/>
          <w:b/>
          <w:szCs w:val="24"/>
          <w:lang w:val="es-CO" w:eastAsia="en-US"/>
        </w:rPr>
      </w:pPr>
      <w:r w:rsidRPr="00436319">
        <w:rPr>
          <w:rFonts w:ascii="Arial" w:eastAsiaTheme="minorHAnsi" w:hAnsi="Arial" w:cs="Arial"/>
          <w:b/>
          <w:szCs w:val="24"/>
          <w:lang w:val="es-CO" w:eastAsia="en-US"/>
        </w:rPr>
        <w:t>2.1.2. Notificación de las personas jurídicas</w:t>
      </w:r>
    </w:p>
    <w:p w:rsidR="00214609" w:rsidRDefault="00214609" w:rsidP="00214609">
      <w:pPr>
        <w:spacing w:line="276" w:lineRule="auto"/>
        <w:contextualSpacing/>
        <w:jc w:val="both"/>
        <w:rPr>
          <w:rFonts w:ascii="Arial" w:eastAsiaTheme="minorHAnsi" w:hAnsi="Arial" w:cs="Arial"/>
          <w:szCs w:val="24"/>
          <w:lang w:val="es-CO" w:eastAsia="en-US"/>
        </w:rPr>
      </w:pPr>
    </w:p>
    <w:p w:rsidR="00214609" w:rsidRPr="00436319" w:rsidRDefault="00214609" w:rsidP="00214609">
      <w:pPr>
        <w:spacing w:line="276" w:lineRule="auto"/>
        <w:contextualSpacing/>
        <w:jc w:val="both"/>
        <w:rPr>
          <w:rFonts w:ascii="Arial" w:eastAsiaTheme="minorHAnsi" w:hAnsi="Arial" w:cs="Arial"/>
          <w:i/>
          <w:szCs w:val="24"/>
          <w:lang w:val="es-CO" w:eastAsia="en-US"/>
        </w:rPr>
      </w:pPr>
      <w:r w:rsidRPr="00436319">
        <w:rPr>
          <w:rFonts w:ascii="Arial" w:eastAsiaTheme="minorHAnsi" w:hAnsi="Arial" w:cs="Arial"/>
          <w:szCs w:val="24"/>
          <w:lang w:val="es-CO" w:eastAsia="en-US"/>
        </w:rPr>
        <w:t xml:space="preserve">El artículo 315 del Código de Procedimiento Civil, hoy el artículo 291 del Código General del Proceso, canon aplicable a la especialidad laboral al no existir alguna que regule el tema, virtud del artículo 145 del </w:t>
      </w:r>
      <w:proofErr w:type="spellStart"/>
      <w:r w:rsidRPr="00436319">
        <w:rPr>
          <w:rFonts w:ascii="Arial" w:eastAsiaTheme="minorHAnsi" w:hAnsi="Arial" w:cs="Arial"/>
          <w:szCs w:val="24"/>
          <w:lang w:val="es-CO" w:eastAsia="en-US"/>
        </w:rPr>
        <w:t>CPTSS</w:t>
      </w:r>
      <w:proofErr w:type="spellEnd"/>
      <w:r w:rsidRPr="00436319">
        <w:rPr>
          <w:rFonts w:ascii="Arial" w:eastAsiaTheme="minorHAnsi" w:hAnsi="Arial" w:cs="Arial"/>
          <w:szCs w:val="24"/>
          <w:lang w:val="es-CO" w:eastAsia="en-US"/>
        </w:rPr>
        <w:t xml:space="preserve">., dispone que la notificación personal se surtirá con la comunicación que se remita a la dirección que hubiere; en el caso de comerciantes y personas jurídicas de derecho privado domiciliadas en Colombia, el parágrafo de dicha norma, preceptúa que </w:t>
      </w:r>
      <w:r w:rsidRPr="00436319">
        <w:rPr>
          <w:rFonts w:ascii="Arial" w:eastAsiaTheme="minorHAnsi" w:hAnsi="Arial" w:cs="Arial"/>
          <w:i/>
          <w:szCs w:val="24"/>
          <w:lang w:val="es-CO" w:eastAsia="en-US"/>
        </w:rPr>
        <w:t xml:space="preserve"> “ (…) deberán registrar en la Cámara de Comercio o en la oficina de registro correspondiente del lugar donde funcione su sede principal, sucursal o agencia, la dirección donde recibirán notificaciones judiciales. Con el mismo propósito deberán registrar, además, una dirección electrónica si se registran varias direcciones, el trámite de la notificación podrá surtirse en cualquiera de ellas.”</w:t>
      </w:r>
    </w:p>
    <w:p w:rsidR="00214609" w:rsidRPr="00436319" w:rsidRDefault="00214609" w:rsidP="00214609">
      <w:pPr>
        <w:spacing w:line="276" w:lineRule="auto"/>
        <w:contextualSpacing/>
        <w:jc w:val="both"/>
        <w:rPr>
          <w:rFonts w:ascii="Arial" w:eastAsiaTheme="minorHAnsi" w:hAnsi="Arial" w:cs="Arial"/>
          <w:i/>
          <w:szCs w:val="24"/>
          <w:lang w:val="es-CO" w:eastAsia="en-US"/>
        </w:rPr>
      </w:pPr>
    </w:p>
    <w:p w:rsidR="00214609" w:rsidRPr="00F11C6B" w:rsidRDefault="00214609" w:rsidP="00214609">
      <w:pPr>
        <w:spacing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 xml:space="preserve">Por su parte, el artículo </w:t>
      </w:r>
      <w:r>
        <w:rPr>
          <w:rFonts w:ascii="Arial" w:eastAsiaTheme="minorHAnsi" w:hAnsi="Arial" w:cs="Arial"/>
          <w:szCs w:val="24"/>
          <w:lang w:val="es-CO" w:eastAsia="en-US"/>
        </w:rPr>
        <w:t>29 del Código Procesal del Trabajo y de la Seguridad Social, prevé la procedencia del emplazamiento cuando se ignora el domicilio del demandado, o no es hallado o se impide la notificación; casos en los que se dispondrá la designación del curador y el emplazamiento por edicto, pero en todo caso el curador representará la parte y continuará el proceso.</w:t>
      </w:r>
    </w:p>
    <w:p w:rsidR="00214609" w:rsidRPr="00436319" w:rsidRDefault="00214609" w:rsidP="00214609">
      <w:pPr>
        <w:spacing w:line="276" w:lineRule="auto"/>
        <w:contextualSpacing/>
        <w:jc w:val="both"/>
        <w:rPr>
          <w:rFonts w:ascii="Arial" w:eastAsiaTheme="minorHAnsi" w:hAnsi="Arial" w:cs="Arial"/>
          <w:szCs w:val="24"/>
          <w:lang w:val="es-CO" w:eastAsia="en-US"/>
        </w:rPr>
      </w:pPr>
    </w:p>
    <w:p w:rsidR="00214609" w:rsidRPr="00436319" w:rsidRDefault="00214609" w:rsidP="00214609">
      <w:pPr>
        <w:spacing w:after="200" w:line="276" w:lineRule="auto"/>
        <w:contextualSpacing/>
        <w:jc w:val="both"/>
        <w:rPr>
          <w:rFonts w:ascii="Arial" w:eastAsiaTheme="minorHAnsi" w:hAnsi="Arial" w:cs="Arial"/>
          <w:b/>
          <w:color w:val="000000"/>
          <w:szCs w:val="24"/>
          <w:lang w:val="es-CO" w:eastAsia="es-CO"/>
        </w:rPr>
      </w:pPr>
      <w:r w:rsidRPr="00436319">
        <w:rPr>
          <w:rFonts w:ascii="Arial" w:eastAsiaTheme="minorHAnsi" w:hAnsi="Arial" w:cs="Arial"/>
          <w:b/>
          <w:color w:val="000000"/>
          <w:szCs w:val="24"/>
          <w:lang w:val="es-CO" w:eastAsia="es-CO"/>
        </w:rPr>
        <w:t>2.2. Fundamento fáctico</w:t>
      </w: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p>
    <w:p w:rsidR="00214609" w:rsidRPr="00436319" w:rsidRDefault="00214609" w:rsidP="00214609">
      <w:pPr>
        <w:spacing w:after="200" w:line="276" w:lineRule="auto"/>
        <w:contextualSpacing/>
        <w:jc w:val="both"/>
        <w:rPr>
          <w:rFonts w:ascii="Arial" w:eastAsiaTheme="minorHAnsi" w:hAnsi="Arial" w:cs="Arial"/>
          <w:color w:val="000000"/>
          <w:szCs w:val="24"/>
          <w:lang w:val="es-CO" w:eastAsia="es-CO"/>
        </w:rPr>
      </w:pPr>
      <w:r w:rsidRPr="00436319">
        <w:rPr>
          <w:rFonts w:ascii="Arial" w:eastAsiaTheme="minorHAnsi" w:hAnsi="Arial" w:cs="Arial"/>
          <w:color w:val="000000"/>
          <w:szCs w:val="24"/>
          <w:lang w:val="es-CO" w:eastAsia="es-CO"/>
        </w:rPr>
        <w:t>Descendiendo al presente asunto, encuentra la Sala que la notificación a la codemandada Cooperativa Nacional de Cafeteros Calarcá Ltda. En liquidación,  se practicó en dos (2) direcciones, entre ellas, una de las reportadas en el certificado de existencia y representación legal de las entidades sin ánimo lucro, esto es, en la Calle 15 Norte No. 15-12 Barrio la Castellana y en la Transversal 38 No. 71-18, que se desconoce su procedencia, y de la que se infiere es de las mencionadas a folio 109 del expediente, en donde se indicó en la constancia secretarial, que existían dos (2) direcciones nuevas, pero no se especificó cuáles eran ni de donde se conocían, por lo que a renglón seguido, la Jueza de Instancia dispuso surtirse nuevamente ésta, pero a través del liquidador de la entidad.</w:t>
      </w:r>
    </w:p>
    <w:p w:rsidR="00214609" w:rsidRPr="00436319" w:rsidRDefault="00214609" w:rsidP="00214609">
      <w:pPr>
        <w:spacing w:after="200" w:line="276" w:lineRule="auto"/>
        <w:contextualSpacing/>
        <w:jc w:val="both"/>
        <w:rPr>
          <w:rFonts w:ascii="Arial" w:eastAsiaTheme="minorHAnsi" w:hAnsi="Arial" w:cs="Arial"/>
          <w:color w:val="000000"/>
          <w:szCs w:val="24"/>
          <w:lang w:val="es-CO" w:eastAsia="es-CO"/>
        </w:rPr>
      </w:pPr>
    </w:p>
    <w:p w:rsidR="00214609" w:rsidRPr="00436319" w:rsidRDefault="00214609" w:rsidP="00214609">
      <w:pPr>
        <w:spacing w:after="200" w:line="276" w:lineRule="auto"/>
        <w:contextualSpacing/>
        <w:jc w:val="both"/>
        <w:rPr>
          <w:rFonts w:ascii="Arial" w:eastAsiaTheme="minorHAnsi" w:hAnsi="Arial" w:cs="Arial"/>
          <w:color w:val="000000"/>
          <w:szCs w:val="24"/>
          <w:lang w:val="es-CO" w:eastAsia="es-CO"/>
        </w:rPr>
      </w:pPr>
      <w:r w:rsidRPr="00436319">
        <w:rPr>
          <w:rFonts w:ascii="Arial" w:eastAsiaTheme="minorHAnsi" w:hAnsi="Arial" w:cs="Arial"/>
          <w:color w:val="000000"/>
          <w:szCs w:val="24"/>
          <w:lang w:val="es-CO" w:eastAsia="es-CO"/>
        </w:rPr>
        <w:t xml:space="preserve">Ahora bien, a pesar de lo ordenado por la a quo en el auto de 23 de septiembre de 2014-fl.109-, en el sentido de notificar a las nuevas direcciones, solamente se surtió </w:t>
      </w:r>
      <w:r w:rsidRPr="00436319">
        <w:rPr>
          <w:rFonts w:ascii="Arial" w:eastAsiaTheme="minorHAnsi" w:hAnsi="Arial" w:cs="Arial"/>
          <w:color w:val="000000"/>
          <w:szCs w:val="24"/>
          <w:lang w:val="es-CO" w:eastAsia="es-CO"/>
        </w:rPr>
        <w:lastRenderedPageBreak/>
        <w:t>en la Transversal 38 No. 71-17, y no en la otra dirección reportada en el certificado de existencia y representación legal</w:t>
      </w:r>
      <w:r>
        <w:rPr>
          <w:rFonts w:ascii="Arial" w:eastAsiaTheme="minorHAnsi" w:hAnsi="Arial" w:cs="Arial"/>
          <w:color w:val="000000"/>
          <w:szCs w:val="24"/>
          <w:lang w:val="es-CO" w:eastAsia="es-CO"/>
        </w:rPr>
        <w:t xml:space="preserve"> e indicada en la demanda en el capítulo de notificaciones</w:t>
      </w:r>
      <w:r w:rsidRPr="00436319">
        <w:rPr>
          <w:rFonts w:ascii="Arial" w:eastAsiaTheme="minorHAnsi" w:hAnsi="Arial" w:cs="Arial"/>
          <w:color w:val="000000"/>
          <w:szCs w:val="24"/>
          <w:lang w:val="es-CO" w:eastAsia="es-CO"/>
        </w:rPr>
        <w:t>,  específicamente en el Kilómetro 7 vía al Valle Sector la</w:t>
      </w:r>
      <w:r>
        <w:rPr>
          <w:rFonts w:ascii="Arial" w:eastAsiaTheme="minorHAnsi" w:hAnsi="Arial" w:cs="Arial"/>
          <w:color w:val="000000"/>
          <w:szCs w:val="24"/>
          <w:lang w:val="es-CO" w:eastAsia="es-CO"/>
        </w:rPr>
        <w:t xml:space="preserve"> YE, que se presume es la otra aludida en el auto en mención</w:t>
      </w:r>
      <w:r w:rsidRPr="00436319">
        <w:rPr>
          <w:rFonts w:ascii="Arial" w:eastAsiaTheme="minorHAnsi" w:hAnsi="Arial" w:cs="Arial"/>
          <w:color w:val="000000"/>
          <w:szCs w:val="24"/>
          <w:lang w:val="es-CO" w:eastAsia="es-CO"/>
        </w:rPr>
        <w:t xml:space="preserve">, y la que en todo caso, debió agotarse en primera instancia, </w:t>
      </w:r>
      <w:r>
        <w:rPr>
          <w:rFonts w:ascii="Arial" w:eastAsiaTheme="minorHAnsi" w:hAnsi="Arial" w:cs="Arial"/>
          <w:color w:val="000000"/>
          <w:szCs w:val="24"/>
          <w:lang w:val="es-CO" w:eastAsia="es-CO"/>
        </w:rPr>
        <w:t>pues solo así podía disponerse su emplazamiento y nombramiento de curador Ad-</w:t>
      </w:r>
      <w:proofErr w:type="spellStart"/>
      <w:r>
        <w:rPr>
          <w:rFonts w:ascii="Arial" w:eastAsiaTheme="minorHAnsi" w:hAnsi="Arial" w:cs="Arial"/>
          <w:color w:val="000000"/>
          <w:szCs w:val="24"/>
          <w:lang w:val="es-CO" w:eastAsia="es-CO"/>
        </w:rPr>
        <w:t>Litem</w:t>
      </w:r>
      <w:proofErr w:type="spellEnd"/>
      <w:r>
        <w:rPr>
          <w:rFonts w:ascii="Arial" w:eastAsiaTheme="minorHAnsi" w:hAnsi="Arial" w:cs="Arial"/>
          <w:color w:val="000000"/>
          <w:szCs w:val="24"/>
          <w:lang w:val="es-CO" w:eastAsia="es-CO"/>
        </w:rPr>
        <w:t xml:space="preserve">. </w:t>
      </w:r>
      <w:r w:rsidRPr="00436319">
        <w:rPr>
          <w:rFonts w:ascii="Arial" w:eastAsiaTheme="minorHAnsi" w:hAnsi="Arial" w:cs="Arial"/>
          <w:color w:val="000000"/>
          <w:szCs w:val="24"/>
          <w:lang w:val="es-CO" w:eastAsia="es-CO"/>
        </w:rPr>
        <w:t>Todo lo anterior, en aplicación de la norma citada, en donde se dispuso que las notificaciones personales a los comerciantes o personas privadas se practicarán en la dirección inscrita en la Cámara de Comercio, y de aparecer varias, en cualquiera de ellas.</w:t>
      </w:r>
    </w:p>
    <w:p w:rsidR="00214609" w:rsidRPr="00436319" w:rsidRDefault="00214609" w:rsidP="00214609">
      <w:pPr>
        <w:spacing w:after="200" w:line="276" w:lineRule="auto"/>
        <w:contextualSpacing/>
        <w:jc w:val="both"/>
        <w:rPr>
          <w:rFonts w:ascii="Arial" w:eastAsiaTheme="minorHAnsi" w:hAnsi="Arial" w:cs="Arial"/>
          <w:color w:val="000000"/>
          <w:szCs w:val="24"/>
          <w:lang w:val="es-CO" w:eastAsia="es-CO"/>
        </w:rPr>
      </w:pPr>
    </w:p>
    <w:p w:rsidR="00214609" w:rsidRPr="00436319" w:rsidRDefault="00214609" w:rsidP="00214609">
      <w:pPr>
        <w:spacing w:after="200" w:line="276" w:lineRule="auto"/>
        <w:contextualSpacing/>
        <w:jc w:val="both"/>
        <w:rPr>
          <w:rFonts w:ascii="Arial" w:eastAsiaTheme="minorHAnsi" w:hAnsi="Arial" w:cs="Arial"/>
          <w:color w:val="000000"/>
          <w:szCs w:val="24"/>
          <w:lang w:val="es-CO" w:eastAsia="es-CO"/>
        </w:rPr>
      </w:pPr>
      <w:r w:rsidRPr="00436319">
        <w:rPr>
          <w:rFonts w:ascii="Arial" w:eastAsiaTheme="minorHAnsi" w:hAnsi="Arial" w:cs="Arial"/>
          <w:color w:val="000000"/>
          <w:szCs w:val="24"/>
          <w:lang w:val="es-CO" w:eastAsia="es-CO"/>
        </w:rPr>
        <w:t>En ese orden de ideas, era deber de la jueza de primer nivel adoptar las medidas conducentes para verificar que las notificaciones a la entidad demandada se efectuaran en las direcciones inscritas en el documento idóneo para el efecto, y el cual se arrimó como anexo del líbelo inicial, además de que fueran enunciadas en el acápite de notificaciones, a fin de garantizar la comparecencia directamente de la entidad y no a través de curador Ad-</w:t>
      </w:r>
      <w:proofErr w:type="spellStart"/>
      <w:r w:rsidRPr="00436319">
        <w:rPr>
          <w:rFonts w:ascii="Arial" w:eastAsiaTheme="minorHAnsi" w:hAnsi="Arial" w:cs="Arial"/>
          <w:color w:val="000000"/>
          <w:szCs w:val="24"/>
          <w:lang w:val="es-CO" w:eastAsia="es-CO"/>
        </w:rPr>
        <w:t>Litem</w:t>
      </w:r>
      <w:proofErr w:type="spellEnd"/>
      <w:r w:rsidRPr="00436319">
        <w:rPr>
          <w:rFonts w:ascii="Arial" w:eastAsiaTheme="minorHAnsi" w:hAnsi="Arial" w:cs="Arial"/>
          <w:color w:val="000000"/>
          <w:szCs w:val="24"/>
          <w:lang w:val="es-CO" w:eastAsia="es-CO"/>
        </w:rPr>
        <w:t>, y para garantizar el debido proceso.</w:t>
      </w:r>
    </w:p>
    <w:p w:rsidR="00214609" w:rsidRPr="00436319" w:rsidRDefault="00214609" w:rsidP="00214609">
      <w:pPr>
        <w:spacing w:after="200" w:line="276" w:lineRule="auto"/>
        <w:contextualSpacing/>
        <w:jc w:val="both"/>
        <w:rPr>
          <w:rFonts w:ascii="Arial" w:eastAsiaTheme="minorHAnsi" w:hAnsi="Arial" w:cs="Arial"/>
          <w:color w:val="000000"/>
          <w:szCs w:val="24"/>
          <w:lang w:val="es-CO" w:eastAsia="es-CO"/>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 xml:space="preserve">Todo lo dicho, para concluir que se dejó de practicar en legal forma la notificación del auto </w:t>
      </w:r>
      <w:proofErr w:type="spellStart"/>
      <w:r w:rsidRPr="00436319">
        <w:rPr>
          <w:rFonts w:ascii="Arial" w:eastAsiaTheme="minorHAnsi" w:hAnsi="Arial" w:cs="Arial"/>
          <w:szCs w:val="24"/>
          <w:lang w:val="es-CO" w:eastAsia="en-US"/>
        </w:rPr>
        <w:t>admisorio</w:t>
      </w:r>
      <w:proofErr w:type="spellEnd"/>
      <w:r w:rsidRPr="00436319">
        <w:rPr>
          <w:rFonts w:ascii="Arial" w:eastAsiaTheme="minorHAnsi" w:hAnsi="Arial" w:cs="Arial"/>
          <w:szCs w:val="24"/>
          <w:lang w:val="es-CO" w:eastAsia="en-US"/>
        </w:rPr>
        <w:t xml:space="preserve"> de la demanda a la parte demandada Cooperativa Nacional de Cafeteros Calarcá Ltda. </w:t>
      </w:r>
      <w:proofErr w:type="gramStart"/>
      <w:r w:rsidRPr="00436319">
        <w:rPr>
          <w:rFonts w:ascii="Arial" w:eastAsiaTheme="minorHAnsi" w:hAnsi="Arial" w:cs="Arial"/>
          <w:szCs w:val="24"/>
          <w:lang w:val="es-CO" w:eastAsia="en-US"/>
        </w:rPr>
        <w:t>en</w:t>
      </w:r>
      <w:proofErr w:type="gramEnd"/>
      <w:r w:rsidRPr="00436319">
        <w:rPr>
          <w:rFonts w:ascii="Arial" w:eastAsiaTheme="minorHAnsi" w:hAnsi="Arial" w:cs="Arial"/>
          <w:szCs w:val="24"/>
          <w:lang w:val="es-CO" w:eastAsia="en-US"/>
        </w:rPr>
        <w:t xml:space="preserve"> Liquidación; situación que se encuadra en la causal de nulidad prevista en el art. 140 numeral 8 del </w:t>
      </w:r>
      <w:proofErr w:type="spellStart"/>
      <w:r w:rsidRPr="00436319">
        <w:rPr>
          <w:rFonts w:ascii="Arial" w:eastAsiaTheme="minorHAnsi" w:hAnsi="Arial" w:cs="Arial"/>
          <w:szCs w:val="24"/>
          <w:lang w:val="es-CO" w:eastAsia="en-US"/>
        </w:rPr>
        <w:t>CPC</w:t>
      </w:r>
      <w:proofErr w:type="spellEnd"/>
      <w:r w:rsidRPr="00436319">
        <w:rPr>
          <w:rFonts w:ascii="Arial" w:eastAsiaTheme="minorHAnsi" w:hAnsi="Arial" w:cs="Arial"/>
          <w:szCs w:val="24"/>
          <w:lang w:val="es-CO" w:eastAsia="en-US"/>
        </w:rPr>
        <w:t xml:space="preserve">, hoy 133 núm. 8 del </w:t>
      </w:r>
      <w:proofErr w:type="spellStart"/>
      <w:r w:rsidRPr="00436319">
        <w:rPr>
          <w:rFonts w:ascii="Arial" w:eastAsiaTheme="minorHAnsi" w:hAnsi="Arial" w:cs="Arial"/>
          <w:szCs w:val="24"/>
          <w:lang w:val="es-CO" w:eastAsia="en-US"/>
        </w:rPr>
        <w:t>CGP</w:t>
      </w:r>
      <w:proofErr w:type="spellEnd"/>
      <w:r w:rsidRPr="00436319">
        <w:rPr>
          <w:rFonts w:ascii="Arial" w:eastAsiaTheme="minorHAnsi" w:hAnsi="Arial" w:cs="Arial"/>
          <w:szCs w:val="24"/>
          <w:lang w:val="es-CO" w:eastAsia="en-US"/>
        </w:rPr>
        <w:t xml:space="preserve">; la que debe declararse de oficio, así tenga carácter de </w:t>
      </w:r>
      <w:proofErr w:type="spellStart"/>
      <w:r w:rsidRPr="00436319">
        <w:rPr>
          <w:rFonts w:ascii="Arial" w:eastAsiaTheme="minorHAnsi" w:hAnsi="Arial" w:cs="Arial"/>
          <w:szCs w:val="24"/>
          <w:lang w:val="es-CO" w:eastAsia="en-US"/>
        </w:rPr>
        <w:t>saneable</w:t>
      </w:r>
      <w:proofErr w:type="spellEnd"/>
      <w:r w:rsidRPr="00436319">
        <w:rPr>
          <w:rFonts w:ascii="Arial" w:eastAsiaTheme="minorHAnsi" w:hAnsi="Arial" w:cs="Arial"/>
          <w:szCs w:val="24"/>
          <w:lang w:val="es-CO" w:eastAsia="en-US"/>
        </w:rPr>
        <w:t>, ante la ausencia en el proceso de la persona jurídica</w:t>
      </w:r>
      <w:r>
        <w:rPr>
          <w:rFonts w:ascii="Arial" w:eastAsiaTheme="minorHAnsi" w:hAnsi="Arial" w:cs="Arial"/>
          <w:szCs w:val="24"/>
          <w:lang w:val="es-CO" w:eastAsia="en-US"/>
        </w:rPr>
        <w:t xml:space="preserve"> afectada</w:t>
      </w:r>
      <w:r w:rsidRPr="00436319">
        <w:rPr>
          <w:rFonts w:ascii="Arial" w:eastAsiaTheme="minorHAnsi" w:hAnsi="Arial" w:cs="Arial"/>
          <w:szCs w:val="24"/>
          <w:lang w:val="es-CO" w:eastAsia="en-US"/>
        </w:rPr>
        <w:t>.</w:t>
      </w: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Pr>
          <w:rFonts w:ascii="Arial" w:eastAsiaTheme="minorHAnsi" w:hAnsi="Arial" w:cs="Arial"/>
          <w:szCs w:val="24"/>
          <w:lang w:val="es-CO" w:eastAsia="en-US"/>
        </w:rPr>
        <w:t>La n</w:t>
      </w:r>
      <w:r w:rsidRPr="00436319">
        <w:rPr>
          <w:rFonts w:ascii="Arial" w:eastAsiaTheme="minorHAnsi" w:hAnsi="Arial" w:cs="Arial"/>
          <w:szCs w:val="24"/>
          <w:lang w:val="es-CO" w:eastAsia="en-US"/>
        </w:rPr>
        <w:t>ulidad abarcará</w:t>
      </w:r>
      <w:r>
        <w:rPr>
          <w:rFonts w:ascii="Arial" w:eastAsiaTheme="minorHAnsi" w:hAnsi="Arial" w:cs="Arial"/>
          <w:szCs w:val="24"/>
          <w:lang w:val="es-CO" w:eastAsia="en-US"/>
        </w:rPr>
        <w:t xml:space="preserve"> desde el auto de fecha 24 de febrero de 2015-fls. 114 al 115-, en donde se dispuso el emplazamiento de la codemandada</w:t>
      </w:r>
      <w:r w:rsidRPr="00F11C6B">
        <w:rPr>
          <w:rFonts w:ascii="Arial" w:eastAsiaTheme="minorHAnsi" w:hAnsi="Arial" w:cs="Arial"/>
          <w:szCs w:val="24"/>
          <w:lang w:val="es-CO" w:eastAsia="en-US"/>
        </w:rPr>
        <w:t xml:space="preserve"> </w:t>
      </w:r>
      <w:r w:rsidRPr="00436319">
        <w:rPr>
          <w:rFonts w:ascii="Arial" w:eastAsiaTheme="minorHAnsi" w:hAnsi="Arial" w:cs="Arial"/>
          <w:szCs w:val="24"/>
          <w:lang w:val="es-CO" w:eastAsia="en-US"/>
        </w:rPr>
        <w:t>Cooperativa Nacional de Cafeteros Calarcá Ltda. en Liquidación</w:t>
      </w:r>
      <w:r>
        <w:rPr>
          <w:rFonts w:ascii="Arial" w:eastAsiaTheme="minorHAnsi" w:hAnsi="Arial" w:cs="Arial"/>
          <w:szCs w:val="24"/>
          <w:lang w:val="es-CO" w:eastAsia="en-US"/>
        </w:rPr>
        <w:t xml:space="preserve"> y se designó curador</w:t>
      </w:r>
      <w:r w:rsidRPr="00436319">
        <w:rPr>
          <w:rFonts w:ascii="Arial" w:eastAsiaTheme="minorHAnsi" w:hAnsi="Arial" w:cs="Arial"/>
          <w:szCs w:val="24"/>
          <w:lang w:val="es-CO" w:eastAsia="en-US"/>
        </w:rPr>
        <w:t xml:space="preserve">, con el fin de que se surta </w:t>
      </w:r>
      <w:r>
        <w:rPr>
          <w:rFonts w:ascii="Arial" w:eastAsiaTheme="minorHAnsi" w:hAnsi="Arial" w:cs="Arial"/>
          <w:szCs w:val="24"/>
          <w:lang w:val="es-CO" w:eastAsia="en-US"/>
        </w:rPr>
        <w:t xml:space="preserve">la notificación de la </w:t>
      </w:r>
      <w:r w:rsidRPr="00436319">
        <w:rPr>
          <w:rFonts w:ascii="Arial" w:eastAsiaTheme="minorHAnsi" w:hAnsi="Arial" w:cs="Arial"/>
          <w:szCs w:val="24"/>
          <w:lang w:val="es-CO" w:eastAsia="en-US"/>
        </w:rPr>
        <w:t xml:space="preserve">codemandada </w:t>
      </w:r>
      <w:r>
        <w:rPr>
          <w:rFonts w:ascii="Arial" w:eastAsiaTheme="minorHAnsi" w:hAnsi="Arial" w:cs="Arial"/>
          <w:szCs w:val="24"/>
          <w:lang w:val="es-CO" w:eastAsia="en-US"/>
        </w:rPr>
        <w:t>en los términos del art. 29 y 41</w:t>
      </w:r>
      <w:r w:rsidRPr="00436319">
        <w:rPr>
          <w:rFonts w:ascii="Arial" w:eastAsiaTheme="minorHAnsi" w:hAnsi="Arial" w:cs="Arial"/>
          <w:szCs w:val="24"/>
          <w:lang w:val="es-CO" w:eastAsia="en-US"/>
        </w:rPr>
        <w:t xml:space="preserve"> del </w:t>
      </w:r>
      <w:proofErr w:type="spellStart"/>
      <w:r w:rsidRPr="00436319">
        <w:rPr>
          <w:rFonts w:ascii="Arial" w:eastAsiaTheme="minorHAnsi" w:hAnsi="Arial" w:cs="Arial"/>
          <w:szCs w:val="24"/>
          <w:lang w:val="es-CO" w:eastAsia="en-US"/>
        </w:rPr>
        <w:t>CPL</w:t>
      </w:r>
      <w:proofErr w:type="spellEnd"/>
      <w:r w:rsidRPr="00436319">
        <w:rPr>
          <w:rFonts w:ascii="Arial" w:eastAsiaTheme="minorHAnsi" w:hAnsi="Arial" w:cs="Arial"/>
          <w:szCs w:val="24"/>
          <w:lang w:val="es-CO" w:eastAsia="en-US"/>
        </w:rPr>
        <w:t>, esto es, previa citación en la dirección citada-</w:t>
      </w:r>
      <w:r w:rsidRPr="00436319">
        <w:rPr>
          <w:rFonts w:ascii="Arial" w:eastAsiaTheme="minorHAnsi" w:hAnsi="Arial" w:cs="Arial"/>
          <w:i/>
          <w:szCs w:val="24"/>
          <w:lang w:val="es-CO" w:eastAsia="en-US"/>
        </w:rPr>
        <w:t>Kilometro 7 vía al Valle sector la YE”</w:t>
      </w:r>
      <w:r w:rsidRPr="00436319">
        <w:rPr>
          <w:rFonts w:ascii="Arial" w:eastAsiaTheme="minorHAnsi" w:hAnsi="Arial" w:cs="Arial"/>
          <w:szCs w:val="24"/>
          <w:lang w:val="es-CO" w:eastAsia="en-US"/>
        </w:rPr>
        <w:t xml:space="preserve">, que reposa en el certificado de existencia y representación. </w:t>
      </w:r>
    </w:p>
    <w:p w:rsidR="00214609" w:rsidRPr="00436319" w:rsidRDefault="00214609" w:rsidP="00214609">
      <w:pPr>
        <w:spacing w:after="200" w:line="276" w:lineRule="auto"/>
        <w:ind w:left="708" w:hanging="708"/>
        <w:contextualSpacing/>
        <w:jc w:val="both"/>
        <w:rPr>
          <w:rFonts w:ascii="Arial" w:hAnsi="Arial" w:cs="Arial"/>
          <w:b/>
          <w:szCs w:val="24"/>
          <w:lang w:val="es-ES"/>
        </w:rPr>
      </w:pPr>
      <w:r w:rsidRPr="00436319">
        <w:rPr>
          <w:rFonts w:ascii="Arial" w:eastAsiaTheme="minorHAnsi" w:hAnsi="Arial" w:cs="Arial"/>
          <w:szCs w:val="24"/>
          <w:lang w:val="es-CO" w:eastAsia="en-US"/>
        </w:rPr>
        <w:t xml:space="preserve"> </w:t>
      </w:r>
      <w:r w:rsidRPr="00436319">
        <w:rPr>
          <w:rFonts w:ascii="Arial" w:eastAsiaTheme="minorHAnsi" w:hAnsi="Arial" w:cs="Arial"/>
          <w:bCs/>
          <w:spacing w:val="-2"/>
          <w:szCs w:val="24"/>
          <w:lang w:val="es-CO" w:eastAsia="en-US"/>
        </w:rPr>
        <w:t xml:space="preserve"> </w:t>
      </w:r>
      <w:r w:rsidRPr="00436319">
        <w:rPr>
          <w:rFonts w:ascii="Arial" w:eastAsiaTheme="minorHAnsi" w:hAnsi="Arial" w:cs="Arial"/>
          <w:bCs/>
          <w:spacing w:val="-2"/>
          <w:szCs w:val="24"/>
          <w:highlight w:val="yellow"/>
          <w:lang w:val="es-CO" w:eastAsia="en-US"/>
        </w:rPr>
        <w:t xml:space="preserve">  </w:t>
      </w:r>
    </w:p>
    <w:p w:rsidR="00214609" w:rsidRPr="00436319" w:rsidRDefault="00214609" w:rsidP="00214609">
      <w:pPr>
        <w:spacing w:line="276" w:lineRule="auto"/>
        <w:contextualSpacing/>
        <w:jc w:val="center"/>
        <w:rPr>
          <w:rFonts w:ascii="Arial" w:hAnsi="Arial" w:cs="Arial"/>
          <w:b/>
          <w:szCs w:val="24"/>
          <w:lang w:val="es-ES"/>
        </w:rPr>
      </w:pPr>
      <w:r w:rsidRPr="00436319">
        <w:rPr>
          <w:rFonts w:ascii="Arial" w:hAnsi="Arial" w:cs="Arial"/>
          <w:b/>
          <w:szCs w:val="24"/>
          <w:lang w:val="es-ES"/>
        </w:rPr>
        <w:t>CONCLUSIÓN</w:t>
      </w:r>
    </w:p>
    <w:p w:rsidR="00214609" w:rsidRPr="00436319" w:rsidRDefault="00214609" w:rsidP="00214609">
      <w:pPr>
        <w:spacing w:line="276" w:lineRule="auto"/>
        <w:contextualSpacing/>
        <w:jc w:val="center"/>
        <w:rPr>
          <w:rFonts w:ascii="Arial" w:hAnsi="Arial" w:cs="Arial"/>
          <w:b/>
          <w:szCs w:val="24"/>
          <w:lang w:val="es-ES"/>
        </w:rPr>
      </w:pPr>
    </w:p>
    <w:p w:rsidR="00214609" w:rsidRPr="00436319" w:rsidRDefault="00214609" w:rsidP="00214609">
      <w:pPr>
        <w:spacing w:after="200" w:line="276" w:lineRule="auto"/>
        <w:contextualSpacing/>
        <w:jc w:val="both"/>
        <w:rPr>
          <w:rFonts w:ascii="Arial" w:eastAsiaTheme="minorHAnsi" w:hAnsi="Arial" w:cs="Arial"/>
          <w:spacing w:val="-2"/>
          <w:szCs w:val="24"/>
          <w:lang w:val="es-CO" w:eastAsia="en-US"/>
        </w:rPr>
      </w:pPr>
      <w:r w:rsidRPr="00436319">
        <w:rPr>
          <w:rFonts w:ascii="Arial" w:eastAsiaTheme="minorHAnsi" w:hAnsi="Arial" w:cs="Arial"/>
          <w:spacing w:val="-2"/>
          <w:szCs w:val="24"/>
          <w:lang w:val="es-CO" w:eastAsia="en-US"/>
        </w:rPr>
        <w:t xml:space="preserve">Por lo anterior, se declarará la nulidad de manera oficiosa desde la actuación </w:t>
      </w:r>
      <w:r w:rsidRPr="00436319">
        <w:rPr>
          <w:rFonts w:ascii="Arial" w:eastAsiaTheme="minorHAnsi" w:hAnsi="Arial" w:cs="Arial"/>
          <w:szCs w:val="24"/>
          <w:lang w:val="es-CO" w:eastAsia="en-US"/>
        </w:rPr>
        <w:t xml:space="preserve">que reposa en el folio </w:t>
      </w:r>
      <w:r>
        <w:rPr>
          <w:rFonts w:ascii="Arial" w:eastAsiaTheme="minorHAnsi" w:hAnsi="Arial" w:cs="Arial"/>
          <w:szCs w:val="24"/>
          <w:lang w:val="es-CO" w:eastAsia="en-US"/>
        </w:rPr>
        <w:t>114 al 115</w:t>
      </w:r>
      <w:r w:rsidRPr="00436319">
        <w:rPr>
          <w:rFonts w:ascii="Arial" w:eastAsiaTheme="minorHAnsi" w:hAnsi="Arial" w:cs="Arial"/>
          <w:szCs w:val="24"/>
          <w:lang w:val="es-CO" w:eastAsia="en-US"/>
        </w:rPr>
        <w:t xml:space="preserve"> del cuaderno principal, esto</w:t>
      </w:r>
      <w:r>
        <w:rPr>
          <w:rFonts w:ascii="Arial" w:eastAsiaTheme="minorHAnsi" w:hAnsi="Arial" w:cs="Arial"/>
          <w:szCs w:val="24"/>
          <w:lang w:val="es-CO" w:eastAsia="en-US"/>
        </w:rPr>
        <w:t>, el auto de fecha 24 de febrero de 2015,</w:t>
      </w:r>
      <w:r w:rsidRPr="00436319">
        <w:rPr>
          <w:rFonts w:ascii="Arial" w:eastAsiaTheme="minorHAnsi" w:hAnsi="Arial" w:cs="Arial"/>
          <w:spacing w:val="-2"/>
          <w:szCs w:val="24"/>
          <w:lang w:val="es-CO" w:eastAsia="en-US"/>
        </w:rPr>
        <w:t xml:space="preserve"> en consecuencia, se devolverá el expediente al inferior para que renueve la actuación viciada en la forma ya mencionada</w:t>
      </w:r>
      <w:r w:rsidRPr="00436319">
        <w:rPr>
          <w:rFonts w:ascii="Arial" w:eastAsiaTheme="minorHAnsi" w:hAnsi="Arial" w:cs="Arial"/>
          <w:szCs w:val="24"/>
          <w:lang w:val="es-CO" w:eastAsia="en-US"/>
        </w:rPr>
        <w:t>.</w:t>
      </w:r>
      <w:r w:rsidRPr="00436319">
        <w:rPr>
          <w:rFonts w:ascii="Arial" w:eastAsiaTheme="minorHAnsi" w:hAnsi="Arial" w:cs="Arial"/>
          <w:spacing w:val="-2"/>
          <w:szCs w:val="24"/>
          <w:lang w:val="es-CO" w:eastAsia="en-US"/>
        </w:rPr>
        <w:t xml:space="preserve">  </w:t>
      </w:r>
    </w:p>
    <w:p w:rsidR="00214609" w:rsidRPr="00436319" w:rsidRDefault="00214609" w:rsidP="00214609">
      <w:pPr>
        <w:tabs>
          <w:tab w:val="left" w:pos="-720"/>
        </w:tabs>
        <w:suppressAutoHyphens/>
        <w:spacing w:after="200" w:line="276" w:lineRule="auto"/>
        <w:contextualSpacing/>
        <w:jc w:val="both"/>
        <w:rPr>
          <w:rFonts w:ascii="Arial" w:eastAsiaTheme="minorHAnsi" w:hAnsi="Arial" w:cs="Arial"/>
          <w:b/>
          <w:szCs w:val="24"/>
          <w:lang w:val="es-CO" w:eastAsia="en-US"/>
        </w:rPr>
      </w:pPr>
    </w:p>
    <w:p w:rsidR="00214609" w:rsidRPr="00436319" w:rsidRDefault="00214609" w:rsidP="00214609">
      <w:pPr>
        <w:tabs>
          <w:tab w:val="left" w:pos="-720"/>
        </w:tabs>
        <w:suppressAutoHyphens/>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También, se dejará sin efecto la actuación surtida en esta segunda instan</w:t>
      </w:r>
      <w:r>
        <w:rPr>
          <w:rFonts w:ascii="Arial" w:eastAsiaTheme="minorHAnsi" w:hAnsi="Arial" w:cs="Arial"/>
          <w:szCs w:val="24"/>
          <w:lang w:val="es-CO" w:eastAsia="en-US"/>
        </w:rPr>
        <w:t>cia, pues no debió admitirse el grado jurisdiccional de consulta.</w:t>
      </w:r>
    </w:p>
    <w:p w:rsidR="00214609" w:rsidRPr="00436319" w:rsidRDefault="00214609" w:rsidP="00214609">
      <w:pPr>
        <w:tabs>
          <w:tab w:val="left" w:pos="-720"/>
        </w:tabs>
        <w:suppressAutoHyphens/>
        <w:spacing w:after="200" w:line="276" w:lineRule="auto"/>
        <w:contextualSpacing/>
        <w:rPr>
          <w:rFonts w:ascii="Arial" w:eastAsiaTheme="minorHAnsi" w:hAnsi="Arial" w:cs="Arial"/>
          <w:b/>
          <w:szCs w:val="24"/>
          <w:lang w:val="es-CO" w:eastAsia="en-US"/>
        </w:rPr>
      </w:pPr>
    </w:p>
    <w:p w:rsidR="00214609" w:rsidRPr="00436319" w:rsidRDefault="00214609" w:rsidP="00214609">
      <w:pPr>
        <w:tabs>
          <w:tab w:val="left" w:pos="-720"/>
        </w:tabs>
        <w:suppressAutoHyphens/>
        <w:spacing w:after="200" w:line="276" w:lineRule="auto"/>
        <w:contextualSpacing/>
        <w:jc w:val="center"/>
        <w:rPr>
          <w:rFonts w:ascii="Arial" w:eastAsiaTheme="minorHAnsi" w:hAnsi="Arial" w:cs="Arial"/>
          <w:b/>
          <w:szCs w:val="24"/>
          <w:lang w:val="es-CO" w:eastAsia="en-US"/>
        </w:rPr>
      </w:pPr>
      <w:r w:rsidRPr="00436319">
        <w:rPr>
          <w:rFonts w:ascii="Arial" w:eastAsiaTheme="minorHAnsi" w:hAnsi="Arial" w:cs="Arial"/>
          <w:b/>
          <w:szCs w:val="24"/>
          <w:lang w:val="es-CO" w:eastAsia="en-US"/>
        </w:rPr>
        <w:t>DECISIÓN</w:t>
      </w:r>
    </w:p>
    <w:p w:rsidR="00214609" w:rsidRPr="00436319" w:rsidRDefault="00214609" w:rsidP="00214609">
      <w:pPr>
        <w:tabs>
          <w:tab w:val="left" w:pos="-720"/>
        </w:tabs>
        <w:suppressAutoHyphens/>
        <w:spacing w:after="200" w:line="276" w:lineRule="auto"/>
        <w:contextualSpacing/>
        <w:jc w:val="center"/>
        <w:rPr>
          <w:rFonts w:ascii="Arial" w:eastAsiaTheme="minorHAnsi" w:hAnsi="Arial" w:cs="Arial"/>
          <w:b/>
          <w:szCs w:val="24"/>
          <w:lang w:val="es-CO" w:eastAsia="en-US"/>
        </w:rPr>
      </w:pP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En mérito de lo expuesto, el</w:t>
      </w:r>
      <w:r w:rsidRPr="00436319">
        <w:rPr>
          <w:rFonts w:ascii="Arial" w:eastAsiaTheme="minorHAnsi" w:hAnsi="Arial" w:cs="Arial"/>
          <w:b/>
          <w:szCs w:val="24"/>
          <w:lang w:val="es-CO" w:eastAsia="en-US"/>
        </w:rPr>
        <w:t xml:space="preserve"> TRIBUNAL SUPERIOR DEL DISTRITO JUDICIAL DE PEREIRA (Risaralda) – SALA UNITARIA</w:t>
      </w:r>
      <w:r w:rsidRPr="00436319">
        <w:rPr>
          <w:rFonts w:ascii="Arial" w:eastAsiaTheme="minorHAnsi" w:hAnsi="Arial" w:cs="Arial"/>
          <w:szCs w:val="24"/>
          <w:lang w:val="es-CO" w:eastAsia="en-US"/>
        </w:rPr>
        <w:t>,</w:t>
      </w:r>
    </w:p>
    <w:p w:rsidR="00214609" w:rsidRPr="00436319" w:rsidRDefault="00214609" w:rsidP="00214609">
      <w:pPr>
        <w:spacing w:after="200" w:line="276" w:lineRule="auto"/>
        <w:contextualSpacing/>
        <w:rPr>
          <w:rFonts w:ascii="Arial" w:eastAsiaTheme="minorHAnsi" w:hAnsi="Arial" w:cs="Arial"/>
          <w:b/>
          <w:szCs w:val="24"/>
          <w:lang w:val="es-CO" w:eastAsia="en-US"/>
        </w:rPr>
      </w:pPr>
    </w:p>
    <w:p w:rsidR="00214609" w:rsidRPr="00436319" w:rsidRDefault="00214609" w:rsidP="00214609">
      <w:pPr>
        <w:spacing w:after="200" w:line="276" w:lineRule="auto"/>
        <w:contextualSpacing/>
        <w:jc w:val="center"/>
        <w:rPr>
          <w:rFonts w:ascii="Arial" w:eastAsiaTheme="minorHAnsi" w:hAnsi="Arial" w:cs="Arial"/>
          <w:b/>
          <w:szCs w:val="24"/>
          <w:lang w:val="es-CO" w:eastAsia="en-US"/>
        </w:rPr>
      </w:pPr>
      <w:r w:rsidRPr="00436319">
        <w:rPr>
          <w:rFonts w:ascii="Arial" w:eastAsiaTheme="minorHAnsi" w:hAnsi="Arial" w:cs="Arial"/>
          <w:b/>
          <w:szCs w:val="24"/>
          <w:lang w:val="es-CO" w:eastAsia="en-US"/>
        </w:rPr>
        <w:t>RESUELVE</w:t>
      </w:r>
    </w:p>
    <w:p w:rsidR="00214609" w:rsidRPr="00436319" w:rsidRDefault="00214609" w:rsidP="00214609">
      <w:pPr>
        <w:spacing w:line="276" w:lineRule="auto"/>
        <w:contextualSpacing/>
        <w:rPr>
          <w:rFonts w:ascii="Arial" w:hAnsi="Arial" w:cs="Arial"/>
          <w:szCs w:val="24"/>
          <w:lang w:val="es-ES"/>
        </w:rPr>
      </w:pPr>
      <w:r w:rsidRPr="00436319">
        <w:rPr>
          <w:rFonts w:ascii="Arial" w:hAnsi="Arial" w:cs="Arial"/>
          <w:szCs w:val="24"/>
          <w:lang w:val="es-ES"/>
        </w:rPr>
        <w:t xml:space="preserve"> </w:t>
      </w:r>
    </w:p>
    <w:p w:rsidR="00214609" w:rsidRPr="00436319" w:rsidRDefault="00214609" w:rsidP="00214609">
      <w:pPr>
        <w:spacing w:after="200" w:line="276" w:lineRule="auto"/>
        <w:contextualSpacing/>
        <w:jc w:val="both"/>
        <w:rPr>
          <w:rFonts w:ascii="Arial" w:eastAsiaTheme="minorHAnsi" w:hAnsi="Arial" w:cs="Arial"/>
          <w:spacing w:val="-2"/>
          <w:szCs w:val="24"/>
          <w:highlight w:val="yellow"/>
          <w:lang w:val="es-CO" w:eastAsia="en-US"/>
        </w:rPr>
      </w:pPr>
      <w:r w:rsidRPr="00436319">
        <w:rPr>
          <w:rFonts w:ascii="Arial" w:eastAsiaTheme="minorHAnsi" w:hAnsi="Arial" w:cs="Arial"/>
          <w:b/>
          <w:szCs w:val="24"/>
          <w:lang w:val="es-CO" w:eastAsia="en-US"/>
        </w:rPr>
        <w:lastRenderedPageBreak/>
        <w:t>PRIMERO. DECLARAR</w:t>
      </w:r>
      <w:r w:rsidRPr="00436319">
        <w:rPr>
          <w:rFonts w:ascii="Arial" w:eastAsiaTheme="minorHAnsi" w:hAnsi="Arial" w:cs="Arial"/>
          <w:szCs w:val="24"/>
          <w:lang w:val="es-CO" w:eastAsia="en-US"/>
        </w:rPr>
        <w:t xml:space="preserve"> la nulidad de lo actuado en el presente asunto desde</w:t>
      </w:r>
      <w:r w:rsidRPr="00436319">
        <w:rPr>
          <w:rFonts w:ascii="Arial" w:eastAsiaTheme="minorHAnsi" w:hAnsi="Arial" w:cs="Arial"/>
          <w:spacing w:val="-2"/>
          <w:szCs w:val="24"/>
          <w:lang w:val="es-CO" w:eastAsia="en-US"/>
        </w:rPr>
        <w:t xml:space="preserve"> la actuación </w:t>
      </w:r>
      <w:r w:rsidRPr="00436319">
        <w:rPr>
          <w:rFonts w:ascii="Arial" w:eastAsiaTheme="minorHAnsi" w:hAnsi="Arial" w:cs="Arial"/>
          <w:szCs w:val="24"/>
          <w:lang w:val="es-CO" w:eastAsia="en-US"/>
        </w:rPr>
        <w:t xml:space="preserve">que reposa en el folio </w:t>
      </w:r>
      <w:r>
        <w:rPr>
          <w:rFonts w:ascii="Arial" w:eastAsiaTheme="minorHAnsi" w:hAnsi="Arial" w:cs="Arial"/>
          <w:szCs w:val="24"/>
          <w:lang w:val="es-CO" w:eastAsia="en-US"/>
        </w:rPr>
        <w:t>114 al 115</w:t>
      </w:r>
      <w:r w:rsidRPr="00436319">
        <w:rPr>
          <w:rFonts w:ascii="Arial" w:eastAsiaTheme="minorHAnsi" w:hAnsi="Arial" w:cs="Arial"/>
          <w:szCs w:val="24"/>
          <w:lang w:val="es-CO" w:eastAsia="en-US"/>
        </w:rPr>
        <w:t xml:space="preserve"> del cuaderno principal</w:t>
      </w:r>
      <w:r>
        <w:rPr>
          <w:rFonts w:ascii="Arial" w:eastAsiaTheme="minorHAnsi" w:hAnsi="Arial" w:cs="Arial"/>
          <w:szCs w:val="24"/>
          <w:lang w:val="es-CO" w:eastAsia="en-US"/>
        </w:rPr>
        <w:t>, esto es, el auto de fecha 24 de febrero de 2015.</w:t>
      </w:r>
    </w:p>
    <w:p w:rsidR="00214609" w:rsidRPr="00436319" w:rsidRDefault="00214609" w:rsidP="00214609">
      <w:pPr>
        <w:widowControl w:val="0"/>
        <w:autoSpaceDE w:val="0"/>
        <w:autoSpaceDN w:val="0"/>
        <w:adjustRightInd w:val="0"/>
        <w:spacing w:after="200" w:line="276" w:lineRule="auto"/>
        <w:contextualSpacing/>
        <w:jc w:val="both"/>
        <w:rPr>
          <w:rFonts w:ascii="Arial" w:eastAsiaTheme="minorHAnsi" w:hAnsi="Arial" w:cs="Arial"/>
          <w:b/>
          <w:szCs w:val="24"/>
          <w:lang w:val="es-CO" w:eastAsia="en-US"/>
        </w:rPr>
      </w:pPr>
    </w:p>
    <w:p w:rsidR="00214609" w:rsidRPr="00436319" w:rsidRDefault="00214609" w:rsidP="00214609">
      <w:pPr>
        <w:spacing w:after="200" w:line="276" w:lineRule="auto"/>
        <w:contextualSpacing/>
        <w:jc w:val="both"/>
        <w:rPr>
          <w:rFonts w:ascii="Arial" w:eastAsiaTheme="minorHAnsi" w:hAnsi="Arial" w:cs="Arial"/>
          <w:spacing w:val="-2"/>
          <w:szCs w:val="24"/>
          <w:lang w:val="es-CO" w:eastAsia="en-US"/>
        </w:rPr>
      </w:pPr>
      <w:r w:rsidRPr="00436319">
        <w:rPr>
          <w:rFonts w:ascii="Arial" w:eastAsiaTheme="minorHAnsi" w:hAnsi="Arial" w:cs="Arial"/>
          <w:b/>
          <w:szCs w:val="24"/>
          <w:lang w:val="es-CO" w:eastAsia="en-US"/>
        </w:rPr>
        <w:t xml:space="preserve">SEGUNDO. </w:t>
      </w:r>
      <w:r w:rsidRPr="00436319">
        <w:rPr>
          <w:rFonts w:ascii="Arial" w:eastAsiaTheme="minorHAnsi" w:hAnsi="Arial" w:cs="Arial"/>
          <w:b/>
          <w:spacing w:val="-2"/>
          <w:szCs w:val="24"/>
          <w:lang w:val="es-CO" w:eastAsia="en-US"/>
        </w:rPr>
        <w:t>DEVOLVER</w:t>
      </w:r>
      <w:r w:rsidRPr="00436319">
        <w:rPr>
          <w:rFonts w:ascii="Arial" w:eastAsiaTheme="minorHAnsi" w:hAnsi="Arial" w:cs="Arial"/>
          <w:spacing w:val="-2"/>
          <w:szCs w:val="24"/>
          <w:lang w:val="es-CO" w:eastAsia="en-US"/>
        </w:rPr>
        <w:t xml:space="preserve"> el expediente al inferior para que renueve la actuación viciada en la forma mencionada en la parte motiva</w:t>
      </w:r>
      <w:r w:rsidRPr="00436319">
        <w:rPr>
          <w:rFonts w:ascii="Arial" w:eastAsiaTheme="minorHAnsi" w:hAnsi="Arial" w:cs="Arial"/>
          <w:szCs w:val="24"/>
          <w:lang w:val="es-CO" w:eastAsia="en-US"/>
        </w:rPr>
        <w:t>, para lo cual se le conmina para que en el término de la distancia, se efectúe la notificación en la dirección anotada, previa colaboración de las pa</w:t>
      </w:r>
      <w:r>
        <w:rPr>
          <w:rFonts w:ascii="Arial" w:eastAsiaTheme="minorHAnsi" w:hAnsi="Arial" w:cs="Arial"/>
          <w:szCs w:val="24"/>
          <w:lang w:val="es-CO" w:eastAsia="en-US"/>
        </w:rPr>
        <w:t>rtes, y se surtan las diligencias correspondientes.</w:t>
      </w:r>
    </w:p>
    <w:p w:rsidR="00214609" w:rsidRPr="00436319" w:rsidRDefault="00214609" w:rsidP="00214609">
      <w:pPr>
        <w:spacing w:after="200" w:line="276" w:lineRule="auto"/>
        <w:contextualSpacing/>
        <w:jc w:val="both"/>
        <w:rPr>
          <w:rFonts w:ascii="Arial" w:eastAsiaTheme="minorHAnsi" w:hAnsi="Arial" w:cs="Arial"/>
          <w:b/>
          <w:szCs w:val="24"/>
          <w:lang w:val="es-CO" w:eastAsia="en-US"/>
        </w:rPr>
      </w:pPr>
    </w:p>
    <w:p w:rsidR="00214609" w:rsidRPr="00436319" w:rsidRDefault="00214609" w:rsidP="00214609">
      <w:pPr>
        <w:widowControl w:val="0"/>
        <w:autoSpaceDE w:val="0"/>
        <w:autoSpaceDN w:val="0"/>
        <w:adjustRightInd w:val="0"/>
        <w:spacing w:after="200" w:line="276" w:lineRule="auto"/>
        <w:contextualSpacing/>
        <w:jc w:val="both"/>
        <w:rPr>
          <w:rFonts w:ascii="Arial" w:eastAsiaTheme="minorHAnsi" w:hAnsi="Arial" w:cs="Arial"/>
          <w:b/>
          <w:spacing w:val="-2"/>
          <w:szCs w:val="24"/>
          <w:lang w:val="es-CO" w:eastAsia="en-US"/>
        </w:rPr>
      </w:pPr>
      <w:r w:rsidRPr="00436319">
        <w:rPr>
          <w:rFonts w:ascii="Arial" w:eastAsiaTheme="minorHAnsi" w:hAnsi="Arial" w:cs="Arial"/>
          <w:b/>
          <w:szCs w:val="24"/>
          <w:lang w:val="es-CO" w:eastAsia="en-US"/>
        </w:rPr>
        <w:t>TERCERO. DEJAR</w:t>
      </w:r>
      <w:r w:rsidRPr="00436319">
        <w:rPr>
          <w:rFonts w:ascii="Arial" w:eastAsiaTheme="minorHAnsi" w:hAnsi="Arial" w:cs="Arial"/>
          <w:szCs w:val="24"/>
          <w:lang w:val="es-CO" w:eastAsia="en-US"/>
        </w:rPr>
        <w:t xml:space="preserve"> sin efecto la actuación surtida en esta segunda instancia. </w:t>
      </w:r>
    </w:p>
    <w:p w:rsidR="00214609" w:rsidRPr="00436319" w:rsidRDefault="00214609" w:rsidP="00214609">
      <w:pPr>
        <w:tabs>
          <w:tab w:val="left" w:pos="-720"/>
        </w:tabs>
        <w:suppressAutoHyphens/>
        <w:spacing w:after="200" w:line="276" w:lineRule="auto"/>
        <w:contextualSpacing/>
        <w:jc w:val="center"/>
        <w:rPr>
          <w:rFonts w:ascii="Arial" w:eastAsiaTheme="minorHAnsi" w:hAnsi="Arial" w:cs="Arial"/>
          <w:b/>
          <w:spacing w:val="-2"/>
          <w:szCs w:val="24"/>
          <w:lang w:val="es-CO" w:eastAsia="en-US"/>
        </w:rPr>
      </w:pPr>
    </w:p>
    <w:p w:rsidR="00214609" w:rsidRPr="00436319" w:rsidRDefault="00214609" w:rsidP="00214609">
      <w:pPr>
        <w:tabs>
          <w:tab w:val="left" w:pos="-720"/>
        </w:tabs>
        <w:suppressAutoHyphens/>
        <w:spacing w:after="200" w:line="276" w:lineRule="auto"/>
        <w:contextualSpacing/>
        <w:jc w:val="center"/>
        <w:rPr>
          <w:rFonts w:ascii="Arial" w:eastAsiaTheme="minorHAnsi" w:hAnsi="Arial" w:cs="Arial"/>
          <w:b/>
          <w:szCs w:val="24"/>
          <w:lang w:val="es-CO" w:eastAsia="en-US"/>
        </w:rPr>
      </w:pPr>
      <w:r w:rsidRPr="00436319">
        <w:rPr>
          <w:rFonts w:ascii="Arial" w:eastAsiaTheme="minorHAnsi" w:hAnsi="Arial" w:cs="Arial"/>
          <w:b/>
          <w:spacing w:val="-2"/>
          <w:szCs w:val="24"/>
          <w:lang w:val="es-CO" w:eastAsia="en-US"/>
        </w:rPr>
        <w:t>NOTIFÍQUESE Y CÚMPLASE,</w:t>
      </w:r>
    </w:p>
    <w:p w:rsidR="00214609" w:rsidRPr="00436319" w:rsidRDefault="00214609" w:rsidP="00214609">
      <w:pPr>
        <w:spacing w:after="200" w:line="276" w:lineRule="auto"/>
        <w:contextualSpacing/>
        <w:jc w:val="both"/>
        <w:rPr>
          <w:rFonts w:ascii="Arial" w:eastAsiaTheme="minorHAnsi" w:hAnsi="Arial" w:cs="Arial"/>
          <w:szCs w:val="24"/>
          <w:lang w:val="es-CO" w:eastAsia="en-US"/>
        </w:rPr>
      </w:pPr>
    </w:p>
    <w:p w:rsidR="00214609" w:rsidRDefault="00214609" w:rsidP="00214609">
      <w:pPr>
        <w:spacing w:after="200" w:line="276" w:lineRule="auto"/>
        <w:contextualSpacing/>
        <w:jc w:val="both"/>
        <w:rPr>
          <w:rFonts w:ascii="Arial" w:eastAsiaTheme="minorHAnsi" w:hAnsi="Arial" w:cs="Arial"/>
          <w:szCs w:val="24"/>
          <w:lang w:val="es-CO" w:eastAsia="en-US"/>
        </w:rPr>
      </w:pPr>
      <w:r w:rsidRPr="00436319">
        <w:rPr>
          <w:rFonts w:ascii="Arial" w:eastAsiaTheme="minorHAnsi" w:hAnsi="Arial" w:cs="Arial"/>
          <w:szCs w:val="24"/>
          <w:lang w:val="es-CO" w:eastAsia="en-US"/>
        </w:rPr>
        <w:t>La Magistrada,</w:t>
      </w:r>
    </w:p>
    <w:p w:rsidR="00214609" w:rsidRDefault="00214609" w:rsidP="00214609">
      <w:pPr>
        <w:spacing w:after="200" w:line="276" w:lineRule="auto"/>
        <w:contextualSpacing/>
        <w:jc w:val="both"/>
        <w:rPr>
          <w:rFonts w:ascii="Arial" w:eastAsiaTheme="minorHAnsi" w:hAnsi="Arial" w:cs="Arial"/>
          <w:szCs w:val="24"/>
          <w:lang w:val="es-CO" w:eastAsia="en-US"/>
        </w:rPr>
      </w:pPr>
    </w:p>
    <w:p w:rsidR="00214609" w:rsidRDefault="00214609" w:rsidP="00214609">
      <w:pPr>
        <w:spacing w:after="200" w:line="276" w:lineRule="auto"/>
        <w:contextualSpacing/>
        <w:jc w:val="both"/>
        <w:rPr>
          <w:rFonts w:ascii="Arial" w:eastAsiaTheme="minorHAnsi" w:hAnsi="Arial" w:cs="Arial"/>
          <w:szCs w:val="24"/>
          <w:lang w:val="es-CO" w:eastAsia="en-US"/>
        </w:rPr>
      </w:pPr>
    </w:p>
    <w:p w:rsidR="006D011D" w:rsidRPr="00214609" w:rsidRDefault="00214609" w:rsidP="00214609">
      <w:pPr>
        <w:spacing w:after="200" w:line="276" w:lineRule="auto"/>
        <w:contextualSpacing/>
        <w:jc w:val="center"/>
        <w:rPr>
          <w:rFonts w:ascii="Arial" w:hAnsi="Arial" w:cs="Arial"/>
          <w:b/>
          <w:szCs w:val="24"/>
          <w:lang w:val="es-ES"/>
        </w:rPr>
      </w:pPr>
      <w:r w:rsidRPr="00843F53">
        <w:rPr>
          <w:rFonts w:ascii="Arial" w:hAnsi="Arial" w:cs="Arial"/>
          <w:b/>
          <w:szCs w:val="24"/>
          <w:lang w:val="es-ES"/>
        </w:rPr>
        <w:t>OLGA LUCÍA HOYOS SEPÚLVEDA</w:t>
      </w:r>
    </w:p>
    <w:sectPr w:rsidR="006D011D" w:rsidRPr="00214609" w:rsidSect="00174E3F">
      <w:headerReference w:type="default" r:id="rId7"/>
      <w:footerReference w:type="even" r:id="rId8"/>
      <w:footerReference w:type="default" r:id="rId9"/>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47" w:rsidRDefault="003B6847" w:rsidP="00214609">
      <w:r>
        <w:separator/>
      </w:r>
    </w:p>
  </w:endnote>
  <w:endnote w:type="continuationSeparator" w:id="0">
    <w:p w:rsidR="003B6847" w:rsidRDefault="003B6847" w:rsidP="0021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6C" w:rsidRDefault="0021460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1B6C" w:rsidRDefault="003B6847"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6C" w:rsidRDefault="00214609"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251D4">
      <w:rPr>
        <w:rStyle w:val="Nmerodepgina"/>
        <w:noProof/>
      </w:rPr>
      <w:t>6</w:t>
    </w:r>
    <w:r>
      <w:rPr>
        <w:rStyle w:val="Nmerodepgina"/>
      </w:rPr>
      <w:fldChar w:fldCharType="end"/>
    </w:r>
  </w:p>
  <w:p w:rsidR="00F41B6C" w:rsidRDefault="003B6847"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47" w:rsidRDefault="003B6847" w:rsidP="00214609">
      <w:r>
        <w:separator/>
      </w:r>
    </w:p>
  </w:footnote>
  <w:footnote w:type="continuationSeparator" w:id="0">
    <w:p w:rsidR="003B6847" w:rsidRDefault="003B6847" w:rsidP="00214609">
      <w:r>
        <w:continuationSeparator/>
      </w:r>
    </w:p>
  </w:footnote>
  <w:footnote w:id="1">
    <w:p w:rsidR="00214609" w:rsidRPr="00802F96" w:rsidRDefault="00214609" w:rsidP="00214609">
      <w:pPr>
        <w:pStyle w:val="Textonotapie"/>
        <w:jc w:val="both"/>
        <w:rPr>
          <w:rFonts w:ascii="Arial" w:hAnsi="Arial" w:cs="Arial"/>
          <w:lang w:val="es-CO"/>
        </w:rPr>
      </w:pPr>
      <w:r w:rsidRPr="00802F96">
        <w:rPr>
          <w:rStyle w:val="Refdenotaalpie"/>
          <w:rFonts w:ascii="Arial" w:hAnsi="Arial" w:cs="Arial"/>
          <w:sz w:val="16"/>
        </w:rPr>
        <w:footnoteRef/>
      </w:r>
      <w:r w:rsidRPr="00802F96">
        <w:rPr>
          <w:rFonts w:ascii="Arial" w:hAnsi="Arial" w:cs="Arial"/>
          <w:sz w:val="16"/>
        </w:rPr>
        <w:t xml:space="preserve"> </w:t>
      </w:r>
      <w:r w:rsidRPr="00802F96">
        <w:rPr>
          <w:rFonts w:ascii="Arial" w:hAnsi="Arial" w:cs="Arial"/>
          <w:sz w:val="16"/>
          <w:lang w:val="es-CO"/>
        </w:rPr>
        <w:t xml:space="preserve">Quinta Edición, 2013, Editorial Ibáñez, pag.156 y 157 </w:t>
      </w:r>
    </w:p>
  </w:footnote>
  <w:footnote w:id="2">
    <w:p w:rsidR="00214609" w:rsidRPr="00435DDA" w:rsidRDefault="00214609" w:rsidP="00214609">
      <w:pPr>
        <w:pStyle w:val="Textonotapie"/>
        <w:rPr>
          <w:rFonts w:ascii="Arial" w:hAnsi="Arial" w:cs="Arial"/>
          <w:sz w:val="16"/>
          <w:szCs w:val="16"/>
          <w:lang w:val="es-CO"/>
        </w:rPr>
      </w:pPr>
      <w:r w:rsidRPr="00435DDA">
        <w:rPr>
          <w:rStyle w:val="Refdenotaalpie"/>
          <w:rFonts w:ascii="Arial" w:hAnsi="Arial" w:cs="Arial"/>
          <w:sz w:val="16"/>
          <w:szCs w:val="16"/>
        </w:rPr>
        <w:footnoteRef/>
      </w:r>
      <w:r w:rsidRPr="00435DDA">
        <w:rPr>
          <w:rFonts w:ascii="Arial" w:hAnsi="Arial" w:cs="Arial"/>
          <w:sz w:val="16"/>
          <w:szCs w:val="16"/>
        </w:rPr>
        <w:t xml:space="preserve"> CORTE CONSTITUCIONAL, </w:t>
      </w:r>
      <w:r w:rsidRPr="00435DDA">
        <w:rPr>
          <w:rFonts w:ascii="Arial" w:hAnsi="Arial" w:cs="Arial"/>
          <w:sz w:val="16"/>
          <w:szCs w:val="16"/>
          <w:lang w:val="es-CO"/>
        </w:rPr>
        <w:t>T-213-2008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B6C" w:rsidRPr="00174E3F" w:rsidRDefault="00214609"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A57E05" w:rsidRDefault="00214609" w:rsidP="00174E3F">
    <w:pPr>
      <w:pStyle w:val="Encabezado"/>
      <w:jc w:val="center"/>
      <w:rPr>
        <w:rFonts w:ascii="Arial" w:hAnsi="Arial" w:cs="Arial"/>
        <w:sz w:val="18"/>
        <w:szCs w:val="18"/>
      </w:rPr>
    </w:pPr>
    <w:r>
      <w:rPr>
        <w:rFonts w:ascii="Arial" w:hAnsi="Arial" w:cs="Arial"/>
        <w:sz w:val="18"/>
        <w:szCs w:val="18"/>
      </w:rPr>
      <w:t>66001-31-05-002-2014-00140-00</w:t>
    </w:r>
  </w:p>
  <w:p w:rsidR="00A57E05" w:rsidRPr="00BB3FED" w:rsidRDefault="00214609" w:rsidP="00A57E05">
    <w:pPr>
      <w:pStyle w:val="Encabezado"/>
      <w:jc w:val="center"/>
      <w:rPr>
        <w:rFonts w:ascii="Arial" w:hAnsi="Arial" w:cs="Arial"/>
        <w:sz w:val="18"/>
        <w:szCs w:val="18"/>
      </w:rPr>
    </w:pPr>
    <w:r>
      <w:rPr>
        <w:rFonts w:ascii="Arial" w:hAnsi="Arial" w:cs="Arial"/>
        <w:sz w:val="18"/>
        <w:szCs w:val="18"/>
      </w:rPr>
      <w:t xml:space="preserve">Carlos Alberto Jaramillo Ospina </w:t>
    </w:r>
    <w:r w:rsidRPr="00BB3FED">
      <w:rPr>
        <w:rFonts w:ascii="Arial" w:hAnsi="Arial" w:cs="Arial"/>
        <w:sz w:val="18"/>
        <w:szCs w:val="18"/>
      </w:rPr>
      <w:t xml:space="preserve">vs </w:t>
    </w:r>
    <w:proofErr w:type="spellStart"/>
    <w:r>
      <w:rPr>
        <w:rFonts w:ascii="Arial" w:hAnsi="Arial" w:cs="Arial"/>
        <w:sz w:val="18"/>
        <w:szCs w:val="18"/>
      </w:rPr>
      <w:t>Colpensiones</w:t>
    </w:r>
    <w:proofErr w:type="spellEnd"/>
    <w:r>
      <w:rPr>
        <w:rFonts w:ascii="Arial" w:hAnsi="Arial" w:cs="Arial"/>
        <w:sz w:val="18"/>
        <w:szCs w:val="18"/>
      </w:rPr>
      <w:t xml:space="preserve">, Cooperativa Nacional de Cafeteros de Calarcá Ltda. </w:t>
    </w:r>
    <w:proofErr w:type="gramStart"/>
    <w:r>
      <w:rPr>
        <w:rFonts w:ascii="Arial" w:hAnsi="Arial" w:cs="Arial"/>
        <w:sz w:val="18"/>
        <w:szCs w:val="18"/>
      </w:rPr>
      <w:t>en</w:t>
    </w:r>
    <w:proofErr w:type="gramEnd"/>
    <w:r>
      <w:rPr>
        <w:rFonts w:ascii="Arial" w:hAnsi="Arial" w:cs="Arial"/>
        <w:sz w:val="18"/>
        <w:szCs w:val="18"/>
      </w:rPr>
      <w:t xml:space="preserve"> liquidación y Porvenir </w:t>
    </w:r>
    <w:proofErr w:type="spellStart"/>
    <w:r>
      <w:rPr>
        <w:rFonts w:ascii="Arial" w:hAnsi="Arial" w:cs="Arial"/>
        <w:sz w:val="18"/>
        <w:szCs w:val="18"/>
      </w:rPr>
      <w:t>S.A</w:t>
    </w:r>
    <w:proofErr w:type="spellEnd"/>
    <w:r>
      <w:rPr>
        <w:rFonts w:ascii="Arial" w:hAnsi="Arial" w:cs="Arial"/>
        <w:sz w:val="18"/>
        <w:szCs w:val="18"/>
      </w:rPr>
      <w:t xml:space="preserve">-vinculada </w:t>
    </w:r>
    <w:proofErr w:type="spellStart"/>
    <w:r>
      <w:rPr>
        <w:rFonts w:ascii="Arial" w:hAnsi="Arial" w:cs="Arial"/>
        <w:sz w:val="18"/>
        <w:szCs w:val="18"/>
      </w:rPr>
      <w:t>Colfondos</w:t>
    </w:r>
    <w:proofErr w:type="spellEnd"/>
    <w:r>
      <w:rPr>
        <w:rFonts w:ascii="Arial" w:hAnsi="Arial" w:cs="Arial"/>
        <w:sz w:val="18"/>
        <w:szCs w:val="18"/>
      </w:rPr>
      <w:t xml:space="preserve"> S.A.</w:t>
    </w:r>
  </w:p>
  <w:p w:rsidR="00F41B6C" w:rsidRPr="00174E3F" w:rsidRDefault="003B6847" w:rsidP="00174E3F">
    <w:pPr>
      <w:pStyle w:val="Encabezado"/>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58"/>
    <w:rsid w:val="00177058"/>
    <w:rsid w:val="001A2828"/>
    <w:rsid w:val="00214609"/>
    <w:rsid w:val="003B6847"/>
    <w:rsid w:val="00684F61"/>
    <w:rsid w:val="006D011D"/>
    <w:rsid w:val="006F4E86"/>
    <w:rsid w:val="00801CA7"/>
    <w:rsid w:val="00D251D4"/>
    <w:rsid w:val="00F321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0D53F-59A4-4368-B851-AB4451B49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609"/>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14609"/>
    <w:pPr>
      <w:tabs>
        <w:tab w:val="center" w:pos="4252"/>
        <w:tab w:val="right" w:pos="8504"/>
      </w:tabs>
    </w:pPr>
  </w:style>
  <w:style w:type="character" w:customStyle="1" w:styleId="PiedepginaCar">
    <w:name w:val="Pie de página Car"/>
    <w:basedOn w:val="Fuentedeprrafopredeter"/>
    <w:link w:val="Piedepgina"/>
    <w:uiPriority w:val="99"/>
    <w:rsid w:val="0021460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14609"/>
  </w:style>
  <w:style w:type="paragraph" w:styleId="Encabezado">
    <w:name w:val="header"/>
    <w:basedOn w:val="Normal"/>
    <w:link w:val="EncabezadoCar"/>
    <w:uiPriority w:val="99"/>
    <w:unhideWhenUsed/>
    <w:rsid w:val="00214609"/>
    <w:pPr>
      <w:tabs>
        <w:tab w:val="center" w:pos="4419"/>
        <w:tab w:val="right" w:pos="8838"/>
      </w:tabs>
    </w:pPr>
  </w:style>
  <w:style w:type="character" w:customStyle="1" w:styleId="EncabezadoCar">
    <w:name w:val="Encabezado Car"/>
    <w:basedOn w:val="Fuentedeprrafopredeter"/>
    <w:link w:val="Encabezado"/>
    <w:uiPriority w:val="99"/>
    <w:rsid w:val="00214609"/>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214609"/>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14609"/>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14609"/>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14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2314</Words>
  <Characters>12732</Characters>
  <Application>Microsoft Office Word</Application>
  <DocSecurity>0</DocSecurity>
  <Lines>106</Lines>
  <Paragraphs>30</Paragraphs>
  <ScaleCrop>false</ScaleCrop>
  <Company/>
  <LinksUpToDate>false</LinksUpToDate>
  <CharactersWithSpaces>15016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6</cp:revision>
  <dcterms:created xsi:type="dcterms:W3CDTF">2018-04-24T19:58:00Z</dcterms:created>
  <dcterms:modified xsi:type="dcterms:W3CDTF">2018-05-24T15:49:00Z</dcterms:modified>
</cp:coreProperties>
</file>