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67" w:rsidRPr="00400CCC" w:rsidRDefault="00D16B67" w:rsidP="00D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="Calibri"/>
          <w:color w:val="222222"/>
          <w:lang w:eastAsia="fr-FR"/>
        </w:rPr>
      </w:pPr>
      <w:r w:rsidRPr="00400CCC">
        <w:rPr>
          <w:rFonts w:cs="Calibri"/>
          <w:color w:val="FF0000"/>
          <w:sz w:val="16"/>
          <w:szCs w:val="16"/>
          <w:lang w:eastAsia="fr-FR"/>
        </w:rPr>
        <w:t>El siguiente e</w:t>
      </w:r>
      <w:r>
        <w:rPr>
          <w:rFonts w:cs="Calibri"/>
          <w:color w:val="FF0000"/>
          <w:sz w:val="16"/>
          <w:szCs w:val="16"/>
          <w:lang w:eastAsia="fr-FR"/>
        </w:rPr>
        <w:t>s el documento presentado por la Magistrada</w:t>
      </w:r>
      <w:r w:rsidRPr="00400CCC">
        <w:rPr>
          <w:rFonts w:cs="Calibri"/>
          <w:color w:val="FF0000"/>
          <w:sz w:val="16"/>
          <w:szCs w:val="16"/>
          <w:lang w:eastAsia="fr-FR"/>
        </w:rPr>
        <w:t xml:space="preserve"> Ponente que sirvió de base para proferir </w:t>
      </w:r>
      <w:r>
        <w:rPr>
          <w:rFonts w:cs="Calibri"/>
          <w:color w:val="FF0000"/>
          <w:sz w:val="16"/>
          <w:szCs w:val="16"/>
          <w:lang w:eastAsia="fr-FR"/>
        </w:rPr>
        <w:t>el salvamento</w:t>
      </w:r>
      <w:r w:rsidRPr="00400CCC">
        <w:rPr>
          <w:rFonts w:cs="Calibri"/>
          <w:color w:val="FF0000"/>
          <w:sz w:val="16"/>
          <w:szCs w:val="16"/>
          <w:lang w:eastAsia="fr-FR"/>
        </w:rPr>
        <w:t xml:space="preserve"> dentro del presente proceso. El contenido total y fiel de la decisión debe ser verificado en la Secretaría de esta Sala.</w:t>
      </w:r>
      <w:r w:rsidRPr="00400CCC">
        <w:rPr>
          <w:rFonts w:cs="Calibri"/>
          <w:color w:val="222222"/>
          <w:sz w:val="18"/>
          <w:szCs w:val="18"/>
          <w:lang w:eastAsia="fr-FR"/>
        </w:rPr>
        <w:t> </w:t>
      </w:r>
    </w:p>
    <w:p w:rsidR="00D16B67" w:rsidRDefault="00D16B67" w:rsidP="000B25CB">
      <w:pPr>
        <w:widowControl w:val="0"/>
        <w:spacing w:line="360" w:lineRule="auto"/>
        <w:jc w:val="center"/>
        <w:rPr>
          <w:rFonts w:ascii="Arial" w:hAnsi="Arial" w:cs="Arial"/>
          <w:kern w:val="28"/>
        </w:rPr>
      </w:pPr>
    </w:p>
    <w:p w:rsidR="000B25CB" w:rsidRPr="00677307" w:rsidRDefault="000B25CB" w:rsidP="000B25CB">
      <w:pPr>
        <w:widowControl w:val="0"/>
        <w:spacing w:line="360" w:lineRule="auto"/>
        <w:jc w:val="center"/>
        <w:rPr>
          <w:rFonts w:ascii="Arial" w:hAnsi="Arial" w:cs="Arial"/>
          <w:kern w:val="28"/>
        </w:rPr>
      </w:pPr>
      <w:bookmarkStart w:id="0" w:name="_GoBack"/>
      <w:bookmarkEnd w:id="0"/>
      <w:r w:rsidRPr="00677307">
        <w:rPr>
          <w:rFonts w:ascii="Arial" w:hAnsi="Arial" w:cs="Arial"/>
          <w:kern w:val="28"/>
        </w:rPr>
        <w:t>RAMA JUDICIAL DEL PODER PÚBLICO</w:t>
      </w:r>
    </w:p>
    <w:p w:rsidR="000B25CB" w:rsidRPr="00677307" w:rsidRDefault="000B25CB" w:rsidP="000B25CB">
      <w:pPr>
        <w:widowControl w:val="0"/>
        <w:spacing w:line="360" w:lineRule="auto"/>
        <w:jc w:val="center"/>
        <w:rPr>
          <w:rFonts w:ascii="Arial" w:hAnsi="Arial" w:cs="Arial"/>
          <w:kern w:val="28"/>
        </w:rPr>
      </w:pPr>
      <w:r w:rsidRPr="00677307">
        <w:rPr>
          <w:rFonts w:ascii="Arial" w:hAnsi="Arial" w:cs="Arial"/>
          <w:kern w:val="28"/>
        </w:rPr>
        <w:t>TRIBUNAL SUPERIOR DEL DISTRITO JUDICIAL DE PEREIRA</w:t>
      </w:r>
    </w:p>
    <w:p w:rsidR="000B25CB" w:rsidRPr="00677307" w:rsidRDefault="000B25CB" w:rsidP="000B25CB">
      <w:pPr>
        <w:keepNext/>
        <w:spacing w:line="360" w:lineRule="auto"/>
        <w:jc w:val="center"/>
        <w:rPr>
          <w:rFonts w:ascii="Arial" w:hAnsi="Arial" w:cs="Arial"/>
          <w:bCs/>
        </w:rPr>
      </w:pPr>
      <w:r w:rsidRPr="00677307">
        <w:rPr>
          <w:rFonts w:ascii="Arial" w:hAnsi="Arial" w:cs="Arial"/>
          <w:bCs/>
        </w:rPr>
        <w:t xml:space="preserve">SALA </w:t>
      </w:r>
      <w:r>
        <w:rPr>
          <w:rFonts w:ascii="Arial" w:hAnsi="Arial" w:cs="Arial"/>
          <w:bCs/>
        </w:rPr>
        <w:t>DOS</w:t>
      </w:r>
      <w:r w:rsidRPr="00677307">
        <w:rPr>
          <w:rFonts w:ascii="Arial" w:hAnsi="Arial" w:cs="Arial"/>
          <w:bCs/>
        </w:rPr>
        <w:t xml:space="preserve"> DE DECISIÓN LABORAL</w:t>
      </w:r>
    </w:p>
    <w:p w:rsidR="000B25CB" w:rsidRDefault="000B25CB" w:rsidP="000B25CB">
      <w:pPr>
        <w:widowControl w:val="0"/>
        <w:spacing w:line="360" w:lineRule="auto"/>
        <w:jc w:val="center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</w:t>
      </w:r>
    </w:p>
    <w:p w:rsidR="000B25CB" w:rsidRPr="00431B33" w:rsidRDefault="000B25CB" w:rsidP="000B25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31B33">
        <w:rPr>
          <w:rFonts w:ascii="Arial" w:hAnsi="Arial" w:cs="Arial"/>
        </w:rPr>
        <w:t>agistrada Ponente</w:t>
      </w:r>
    </w:p>
    <w:p w:rsidR="000B25CB" w:rsidRPr="00431B33" w:rsidRDefault="000B25CB" w:rsidP="000B25CB">
      <w:pPr>
        <w:jc w:val="center"/>
        <w:rPr>
          <w:rFonts w:ascii="Arial" w:hAnsi="Arial" w:cs="Arial"/>
          <w:b/>
        </w:rPr>
      </w:pPr>
      <w:r w:rsidRPr="00431B33">
        <w:rPr>
          <w:rFonts w:ascii="Arial" w:hAnsi="Arial" w:cs="Arial"/>
          <w:b/>
        </w:rPr>
        <w:t>OLGA LUCÍA HOYOS SEPÚLVEDA</w:t>
      </w:r>
    </w:p>
    <w:p w:rsidR="000B25CB" w:rsidRPr="00022C8B" w:rsidRDefault="000B25CB" w:rsidP="000B25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25CB" w:rsidRPr="00B76E43" w:rsidRDefault="000B25CB" w:rsidP="000B25CB">
      <w:pPr>
        <w:ind w:left="1416" w:firstLine="708"/>
        <w:rPr>
          <w:rFonts w:ascii="Arial" w:hAnsi="Arial" w:cs="Arial"/>
          <w:sz w:val="20"/>
          <w:szCs w:val="20"/>
        </w:rPr>
      </w:pPr>
      <w:r w:rsidRPr="00B76E43">
        <w:rPr>
          <w:rFonts w:ascii="Arial" w:hAnsi="Arial" w:cs="Arial"/>
          <w:b/>
          <w:sz w:val="20"/>
          <w:szCs w:val="20"/>
        </w:rPr>
        <w:t>Asunto.</w:t>
      </w:r>
      <w:r w:rsidRPr="00B76E43">
        <w:rPr>
          <w:rFonts w:ascii="Arial" w:hAnsi="Arial" w:cs="Arial"/>
          <w:b/>
          <w:sz w:val="20"/>
          <w:szCs w:val="20"/>
        </w:rPr>
        <w:tab/>
      </w:r>
      <w:r w:rsidRPr="00B76E43">
        <w:rPr>
          <w:rFonts w:ascii="Arial" w:hAnsi="Arial" w:cs="Arial"/>
          <w:b/>
          <w:sz w:val="20"/>
          <w:szCs w:val="20"/>
        </w:rPr>
        <w:tab/>
      </w:r>
      <w:r w:rsidRPr="00B76E43">
        <w:rPr>
          <w:rFonts w:ascii="Arial" w:hAnsi="Arial" w:cs="Arial"/>
          <w:sz w:val="20"/>
          <w:szCs w:val="20"/>
        </w:rPr>
        <w:t xml:space="preserve">Apelación de auto </w:t>
      </w:r>
    </w:p>
    <w:p w:rsidR="000B25CB" w:rsidRPr="00B76E43" w:rsidRDefault="000B25CB" w:rsidP="000B25CB">
      <w:pPr>
        <w:ind w:left="2124"/>
        <w:rPr>
          <w:rFonts w:ascii="Arial" w:hAnsi="Arial" w:cs="Arial"/>
          <w:sz w:val="20"/>
          <w:szCs w:val="20"/>
        </w:rPr>
      </w:pPr>
      <w:r w:rsidRPr="00B76E43">
        <w:rPr>
          <w:rFonts w:ascii="Arial" w:hAnsi="Arial" w:cs="Arial"/>
          <w:b/>
          <w:sz w:val="20"/>
          <w:szCs w:val="20"/>
        </w:rPr>
        <w:t>Proceso.</w:t>
      </w:r>
      <w:r w:rsidRPr="00B76E43">
        <w:rPr>
          <w:rFonts w:ascii="Arial" w:hAnsi="Arial" w:cs="Arial"/>
          <w:b/>
          <w:sz w:val="20"/>
          <w:szCs w:val="20"/>
        </w:rPr>
        <w:tab/>
      </w:r>
      <w:r w:rsidRPr="00B76E43">
        <w:rPr>
          <w:rFonts w:ascii="Arial" w:hAnsi="Arial" w:cs="Arial"/>
          <w:b/>
          <w:sz w:val="20"/>
          <w:szCs w:val="20"/>
        </w:rPr>
        <w:tab/>
      </w:r>
      <w:r w:rsidR="00941C8E" w:rsidRPr="00941C8E">
        <w:rPr>
          <w:rFonts w:ascii="Arial" w:hAnsi="Arial" w:cs="Arial"/>
          <w:sz w:val="20"/>
          <w:szCs w:val="20"/>
        </w:rPr>
        <w:t>Ordinario</w:t>
      </w:r>
      <w:r w:rsidRPr="00B76E43">
        <w:rPr>
          <w:rFonts w:ascii="Arial" w:hAnsi="Arial" w:cs="Arial"/>
          <w:sz w:val="20"/>
          <w:szCs w:val="20"/>
        </w:rPr>
        <w:t xml:space="preserve"> Laboral </w:t>
      </w:r>
    </w:p>
    <w:p w:rsidR="000B25CB" w:rsidRPr="00B76E43" w:rsidRDefault="000B25CB" w:rsidP="000B25CB">
      <w:pPr>
        <w:ind w:left="2124"/>
        <w:rPr>
          <w:rFonts w:ascii="Arial" w:hAnsi="Arial" w:cs="Arial"/>
          <w:sz w:val="20"/>
          <w:szCs w:val="20"/>
        </w:rPr>
      </w:pPr>
      <w:r w:rsidRPr="00B76E43">
        <w:rPr>
          <w:rFonts w:ascii="Arial" w:hAnsi="Arial" w:cs="Arial"/>
          <w:b/>
          <w:sz w:val="20"/>
          <w:szCs w:val="20"/>
        </w:rPr>
        <w:t>Radicado.</w:t>
      </w:r>
      <w:r w:rsidRPr="00B76E43">
        <w:rPr>
          <w:rFonts w:ascii="Arial" w:hAnsi="Arial" w:cs="Arial"/>
          <w:b/>
          <w:sz w:val="20"/>
          <w:szCs w:val="20"/>
        </w:rPr>
        <w:tab/>
      </w:r>
      <w:r w:rsidRPr="00B76E43">
        <w:rPr>
          <w:rFonts w:ascii="Arial" w:hAnsi="Arial" w:cs="Arial"/>
          <w:b/>
          <w:sz w:val="20"/>
          <w:szCs w:val="20"/>
        </w:rPr>
        <w:tab/>
      </w:r>
      <w:r w:rsidRPr="00941C8E">
        <w:rPr>
          <w:rFonts w:ascii="Arial" w:hAnsi="Arial" w:cs="Arial"/>
          <w:sz w:val="20"/>
          <w:szCs w:val="20"/>
        </w:rPr>
        <w:t>66001310500</w:t>
      </w:r>
      <w:r w:rsidR="00941C8E" w:rsidRPr="00941C8E">
        <w:rPr>
          <w:rFonts w:ascii="Arial" w:hAnsi="Arial" w:cs="Arial"/>
          <w:sz w:val="20"/>
          <w:szCs w:val="20"/>
        </w:rPr>
        <w:t>4</w:t>
      </w:r>
      <w:r w:rsidRPr="00941C8E">
        <w:rPr>
          <w:rFonts w:ascii="Arial" w:hAnsi="Arial" w:cs="Arial"/>
          <w:sz w:val="20"/>
          <w:szCs w:val="20"/>
        </w:rPr>
        <w:t>-20</w:t>
      </w:r>
      <w:r w:rsidR="00941C8E" w:rsidRPr="00941C8E">
        <w:rPr>
          <w:rFonts w:ascii="Arial" w:hAnsi="Arial" w:cs="Arial"/>
          <w:sz w:val="20"/>
          <w:szCs w:val="20"/>
        </w:rPr>
        <w:t>17</w:t>
      </w:r>
      <w:r w:rsidRPr="00941C8E">
        <w:rPr>
          <w:rFonts w:ascii="Arial" w:hAnsi="Arial" w:cs="Arial"/>
          <w:sz w:val="20"/>
          <w:szCs w:val="20"/>
        </w:rPr>
        <w:t>-0</w:t>
      </w:r>
      <w:r w:rsidR="00941C8E" w:rsidRPr="00941C8E">
        <w:rPr>
          <w:rFonts w:ascii="Arial" w:hAnsi="Arial" w:cs="Arial"/>
          <w:sz w:val="20"/>
          <w:szCs w:val="20"/>
        </w:rPr>
        <w:t>0278</w:t>
      </w:r>
      <w:r w:rsidRPr="00941C8E">
        <w:rPr>
          <w:rFonts w:ascii="Arial" w:hAnsi="Arial" w:cs="Arial"/>
          <w:sz w:val="20"/>
          <w:szCs w:val="20"/>
        </w:rPr>
        <w:t>-01</w:t>
      </w:r>
      <w:r w:rsidRPr="00B76E43">
        <w:rPr>
          <w:rFonts w:ascii="Arial" w:hAnsi="Arial" w:cs="Arial"/>
          <w:sz w:val="20"/>
          <w:szCs w:val="20"/>
        </w:rPr>
        <w:t xml:space="preserve">  </w:t>
      </w:r>
    </w:p>
    <w:p w:rsidR="000B25CB" w:rsidRPr="00B76E43" w:rsidRDefault="000B25CB" w:rsidP="000B25CB">
      <w:pPr>
        <w:ind w:left="2124"/>
        <w:rPr>
          <w:rFonts w:ascii="Arial" w:hAnsi="Arial" w:cs="Arial"/>
          <w:sz w:val="20"/>
          <w:szCs w:val="20"/>
        </w:rPr>
      </w:pPr>
      <w:r w:rsidRPr="00B76E43">
        <w:rPr>
          <w:rFonts w:ascii="Arial" w:hAnsi="Arial" w:cs="Arial"/>
          <w:b/>
          <w:sz w:val="20"/>
          <w:szCs w:val="20"/>
        </w:rPr>
        <w:t>Demandante.</w:t>
      </w:r>
      <w:r w:rsidRPr="00B76E43">
        <w:rPr>
          <w:rFonts w:ascii="Arial" w:hAnsi="Arial" w:cs="Arial"/>
          <w:b/>
          <w:sz w:val="20"/>
          <w:szCs w:val="20"/>
        </w:rPr>
        <w:tab/>
      </w:r>
      <w:r w:rsidRPr="00B76E43">
        <w:rPr>
          <w:rFonts w:ascii="Arial" w:hAnsi="Arial" w:cs="Arial"/>
          <w:b/>
          <w:sz w:val="20"/>
          <w:szCs w:val="20"/>
        </w:rPr>
        <w:tab/>
      </w:r>
      <w:r w:rsidR="00941C8E">
        <w:rPr>
          <w:rFonts w:ascii="Arial" w:hAnsi="Arial" w:cs="Arial"/>
          <w:sz w:val="20"/>
          <w:szCs w:val="20"/>
        </w:rPr>
        <w:t xml:space="preserve">Luis </w:t>
      </w:r>
      <w:proofErr w:type="spellStart"/>
      <w:r w:rsidR="00941C8E">
        <w:rPr>
          <w:rFonts w:ascii="Arial" w:hAnsi="Arial" w:cs="Arial"/>
          <w:sz w:val="20"/>
          <w:szCs w:val="20"/>
        </w:rPr>
        <w:t>Norbey</w:t>
      </w:r>
      <w:proofErr w:type="spellEnd"/>
      <w:r w:rsidR="00941C8E">
        <w:rPr>
          <w:rFonts w:ascii="Arial" w:hAnsi="Arial" w:cs="Arial"/>
          <w:sz w:val="20"/>
          <w:szCs w:val="20"/>
        </w:rPr>
        <w:t xml:space="preserve"> García </w:t>
      </w:r>
      <w:proofErr w:type="spellStart"/>
      <w:r w:rsidR="00941C8E">
        <w:rPr>
          <w:rFonts w:ascii="Arial" w:hAnsi="Arial" w:cs="Arial"/>
          <w:sz w:val="20"/>
          <w:szCs w:val="20"/>
        </w:rPr>
        <w:t>García</w:t>
      </w:r>
      <w:proofErr w:type="spellEnd"/>
    </w:p>
    <w:p w:rsidR="000B25CB" w:rsidRPr="00B76E43" w:rsidRDefault="000B25CB" w:rsidP="000B25CB">
      <w:pPr>
        <w:ind w:left="2124"/>
        <w:rPr>
          <w:rFonts w:ascii="Arial" w:hAnsi="Arial" w:cs="Arial"/>
          <w:sz w:val="20"/>
          <w:szCs w:val="20"/>
        </w:rPr>
      </w:pPr>
      <w:r w:rsidRPr="00B76E43">
        <w:rPr>
          <w:rFonts w:ascii="Arial" w:hAnsi="Arial" w:cs="Arial"/>
          <w:b/>
          <w:sz w:val="20"/>
          <w:szCs w:val="20"/>
        </w:rPr>
        <w:t>Demandado.</w:t>
      </w:r>
      <w:r w:rsidRPr="00B76E43">
        <w:rPr>
          <w:rFonts w:ascii="Arial" w:hAnsi="Arial" w:cs="Arial"/>
          <w:b/>
          <w:sz w:val="20"/>
          <w:szCs w:val="20"/>
        </w:rPr>
        <w:tab/>
      </w:r>
      <w:r w:rsidRPr="00B76E43">
        <w:rPr>
          <w:rFonts w:ascii="Arial" w:hAnsi="Arial" w:cs="Arial"/>
          <w:b/>
          <w:sz w:val="20"/>
          <w:szCs w:val="20"/>
        </w:rPr>
        <w:tab/>
      </w:r>
      <w:r w:rsidR="00941C8E">
        <w:rPr>
          <w:rFonts w:ascii="Arial" w:hAnsi="Arial" w:cs="Arial"/>
          <w:sz w:val="20"/>
          <w:szCs w:val="20"/>
        </w:rPr>
        <w:t>Transporte</w:t>
      </w:r>
      <w:r w:rsidR="00E62928">
        <w:rPr>
          <w:rFonts w:ascii="Arial" w:hAnsi="Arial" w:cs="Arial"/>
          <w:sz w:val="20"/>
          <w:szCs w:val="20"/>
        </w:rPr>
        <w:t>s</w:t>
      </w:r>
      <w:r w:rsidR="00941C8E">
        <w:rPr>
          <w:rFonts w:ascii="Arial" w:hAnsi="Arial" w:cs="Arial"/>
          <w:sz w:val="20"/>
          <w:szCs w:val="20"/>
        </w:rPr>
        <w:t xml:space="preserve"> Florida SA</w:t>
      </w:r>
    </w:p>
    <w:p w:rsidR="009C1F44" w:rsidRDefault="009C1F44" w:rsidP="009C1F44">
      <w:pPr>
        <w:ind w:right="-232"/>
        <w:jc w:val="both"/>
        <w:rPr>
          <w:rFonts w:ascii="Arial" w:hAnsi="Arial" w:cs="Arial"/>
          <w:b/>
          <w:sz w:val="20"/>
          <w:szCs w:val="20"/>
        </w:rPr>
      </w:pPr>
    </w:p>
    <w:p w:rsidR="009C1F44" w:rsidRPr="009C1F44" w:rsidRDefault="000B25CB" w:rsidP="009C1F44">
      <w:pPr>
        <w:ind w:right="-232"/>
        <w:jc w:val="both"/>
        <w:rPr>
          <w:rFonts w:ascii="Arial" w:hAnsi="Arial" w:cs="Arial"/>
          <w:sz w:val="20"/>
          <w:szCs w:val="20"/>
        </w:rPr>
      </w:pPr>
      <w:r w:rsidRPr="00B76E43">
        <w:rPr>
          <w:rFonts w:ascii="Arial" w:hAnsi="Arial" w:cs="Arial"/>
          <w:b/>
          <w:sz w:val="20"/>
          <w:szCs w:val="20"/>
        </w:rPr>
        <w:t>Tema.</w:t>
      </w:r>
      <w:r w:rsidR="00941C8E">
        <w:rPr>
          <w:rFonts w:ascii="Arial" w:hAnsi="Arial" w:cs="Arial"/>
          <w:b/>
          <w:sz w:val="20"/>
          <w:szCs w:val="20"/>
        </w:rPr>
        <w:t xml:space="preserve"> </w:t>
      </w:r>
      <w:r w:rsidR="00941C8E">
        <w:rPr>
          <w:rFonts w:ascii="Arial" w:hAnsi="Arial" w:cs="Arial"/>
          <w:b/>
          <w:sz w:val="20"/>
          <w:szCs w:val="20"/>
        </w:rPr>
        <w:tab/>
      </w:r>
      <w:r w:rsidR="009C1F44">
        <w:rPr>
          <w:rFonts w:ascii="Arial" w:hAnsi="Arial" w:cs="Arial"/>
          <w:b/>
          <w:sz w:val="20"/>
          <w:szCs w:val="20"/>
        </w:rPr>
        <w:tab/>
      </w:r>
      <w:r w:rsidR="009C1F44">
        <w:rPr>
          <w:rFonts w:ascii="Arial" w:hAnsi="Arial" w:cs="Arial"/>
          <w:b/>
          <w:sz w:val="20"/>
          <w:szCs w:val="20"/>
        </w:rPr>
        <w:tab/>
      </w:r>
      <w:r w:rsidR="009C1F44">
        <w:rPr>
          <w:rFonts w:ascii="Arial" w:hAnsi="Arial" w:cs="Arial"/>
          <w:b/>
          <w:sz w:val="20"/>
          <w:szCs w:val="20"/>
        </w:rPr>
        <w:tab/>
      </w:r>
      <w:r w:rsidR="009C1F44">
        <w:rPr>
          <w:rFonts w:ascii="Arial" w:hAnsi="Arial" w:cs="Arial"/>
          <w:b/>
          <w:sz w:val="20"/>
          <w:szCs w:val="20"/>
        </w:rPr>
        <w:tab/>
      </w:r>
      <w:r w:rsidR="00941C8E">
        <w:rPr>
          <w:rFonts w:ascii="Arial" w:hAnsi="Arial" w:cs="Arial"/>
          <w:b/>
          <w:sz w:val="20"/>
          <w:szCs w:val="20"/>
        </w:rPr>
        <w:tab/>
      </w:r>
      <w:r w:rsidR="009C1F44">
        <w:rPr>
          <w:rFonts w:ascii="Arial" w:hAnsi="Arial" w:cs="Arial"/>
          <w:b/>
          <w:sz w:val="20"/>
          <w:szCs w:val="20"/>
        </w:rPr>
        <w:t xml:space="preserve">SANCIÓN POR NO CORREGIR CONTESTACIÓN DE LA DEMANDA – RIGORISMO EXTREMO / REVOCA / ADMITE - </w:t>
      </w:r>
      <w:r w:rsidR="009C1F44" w:rsidRPr="009C1F44">
        <w:rPr>
          <w:rFonts w:ascii="Arial" w:hAnsi="Arial" w:cs="Arial"/>
          <w:sz w:val="20"/>
          <w:szCs w:val="20"/>
        </w:rPr>
        <w:t>Bien. Al revisar el escrito de contestación, en especial los puntos objeto de reparo de la primera instancia (falta de fundamento legal y dirección de los testigos), encuentra la Sala que tales defectos no existieron; dado que el demandado al referirse a los hechos y negarlos, invocó la celebración del contrato de arrendamiento entre las partes, que en sí constituye el fundamento legal, referencia a la institución jurídica que es suficientemente para comprender la oposición a la demanda.</w:t>
      </w:r>
    </w:p>
    <w:p w:rsidR="009C1F44" w:rsidRPr="009C1F44" w:rsidRDefault="009C1F44" w:rsidP="009C1F44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9C1F44" w:rsidRPr="009C1F44" w:rsidRDefault="009C1F44" w:rsidP="009C1F44">
      <w:pPr>
        <w:ind w:right="-232"/>
        <w:jc w:val="both"/>
        <w:rPr>
          <w:rFonts w:ascii="Arial" w:hAnsi="Arial" w:cs="Arial"/>
          <w:sz w:val="20"/>
          <w:szCs w:val="20"/>
        </w:rPr>
      </w:pPr>
      <w:r w:rsidRPr="009C1F44">
        <w:rPr>
          <w:rFonts w:ascii="Arial" w:hAnsi="Arial" w:cs="Arial"/>
          <w:sz w:val="20"/>
          <w:szCs w:val="20"/>
        </w:rPr>
        <w:t xml:space="preserve">Considerar que ello es insuficiente sería llegar a un formalismo in extremis, que puede conculcar el derecho a la defensa y el debido proceso; por eso, como lo ha dicho este Tribunal “…le corresponde al juez de conocimiento al momento de analizar la demanda o la contestación de la misma, hacer una interpretación de los escritos no solo integral sino racional, de modo que las causales de inadmisión de una y otra resulten coherentes con el texto del escrito, dejando a un lado un protocolo meramente mecánico”. </w:t>
      </w:r>
    </w:p>
    <w:p w:rsidR="009C1F44" w:rsidRPr="009C1F44" w:rsidRDefault="009C1F44" w:rsidP="009C1F44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941C8E" w:rsidRPr="009C1F44" w:rsidRDefault="009C1F44" w:rsidP="009C1F44">
      <w:pPr>
        <w:ind w:right="-232"/>
        <w:jc w:val="both"/>
        <w:rPr>
          <w:rFonts w:ascii="Arial" w:hAnsi="Arial" w:cs="Arial"/>
          <w:sz w:val="20"/>
          <w:szCs w:val="20"/>
        </w:rPr>
      </w:pPr>
      <w:r w:rsidRPr="009C1F44">
        <w:rPr>
          <w:rFonts w:ascii="Arial" w:hAnsi="Arial" w:cs="Arial"/>
          <w:sz w:val="20"/>
          <w:szCs w:val="20"/>
        </w:rPr>
        <w:t xml:space="preserve">Al referirse al requisito del numeral 5 del artículo 31 del </w:t>
      </w:r>
      <w:proofErr w:type="spellStart"/>
      <w:r w:rsidRPr="009C1F44">
        <w:rPr>
          <w:rFonts w:ascii="Arial" w:hAnsi="Arial" w:cs="Arial"/>
          <w:sz w:val="20"/>
          <w:szCs w:val="20"/>
        </w:rPr>
        <w:t>CPTSS</w:t>
      </w:r>
      <w:proofErr w:type="spellEnd"/>
      <w:r w:rsidRPr="009C1F44">
        <w:rPr>
          <w:rFonts w:ascii="Arial" w:hAnsi="Arial" w:cs="Arial"/>
          <w:sz w:val="20"/>
          <w:szCs w:val="20"/>
        </w:rPr>
        <w:t xml:space="preserve"> la sociedad lo cumplió  al indicar las pruebas pedidas de manera separada y clasificada; únicas exigencias para darlo por satisfecho; otra cosa, son las formalidades de la prueba testimonial, ya citadas, que de no obrar, a excepción de la falta de la dirección, al poderse suplir con la citación que le haga la misma parte, dará lugar a su negativa únicamente, pero nunca a dar por no contestada la demanda; pues son dos sanciones diferentes que operan en momentos también distintos.  </w:t>
      </w:r>
    </w:p>
    <w:p w:rsidR="004E3105" w:rsidRPr="009C1F44" w:rsidRDefault="004E3105" w:rsidP="004E310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A34AF" w:rsidRPr="006E4886" w:rsidRDefault="00EE43B7" w:rsidP="00FA34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E4886">
        <w:rPr>
          <w:rFonts w:ascii="Tahoma" w:hAnsi="Tahoma" w:cs="Tahoma"/>
          <w:b/>
          <w:lang w:val="es-ES_tradnl"/>
        </w:rPr>
        <w:t xml:space="preserve"> </w:t>
      </w:r>
    </w:p>
    <w:p w:rsidR="00FA34AF" w:rsidRPr="0083121B" w:rsidRDefault="00FA34AF" w:rsidP="00FA34AF">
      <w:pPr>
        <w:spacing w:line="360" w:lineRule="auto"/>
        <w:jc w:val="center"/>
        <w:rPr>
          <w:rFonts w:ascii="Arial" w:hAnsi="Arial" w:cs="Arial"/>
          <w:bCs/>
        </w:rPr>
      </w:pPr>
      <w:r w:rsidRPr="0083121B">
        <w:rPr>
          <w:rFonts w:ascii="Arial" w:hAnsi="Arial" w:cs="Arial"/>
          <w:bCs/>
        </w:rPr>
        <w:t xml:space="preserve">Pereira, Risaralda, </w:t>
      </w:r>
      <w:r w:rsidR="00EA2E1B">
        <w:rPr>
          <w:rFonts w:ascii="Arial" w:hAnsi="Arial" w:cs="Arial"/>
          <w:bCs/>
        </w:rPr>
        <w:t>once</w:t>
      </w:r>
      <w:r w:rsidRPr="0083121B">
        <w:rPr>
          <w:rFonts w:ascii="Arial" w:hAnsi="Arial" w:cs="Arial"/>
          <w:bCs/>
        </w:rPr>
        <w:t xml:space="preserve"> (</w:t>
      </w:r>
      <w:r w:rsidR="00EA2E1B">
        <w:rPr>
          <w:rFonts w:ascii="Arial" w:hAnsi="Arial" w:cs="Arial"/>
          <w:bCs/>
        </w:rPr>
        <w:t>11</w:t>
      </w:r>
      <w:r w:rsidRPr="0083121B">
        <w:rPr>
          <w:rFonts w:ascii="Arial" w:hAnsi="Arial" w:cs="Arial"/>
          <w:bCs/>
        </w:rPr>
        <w:t xml:space="preserve">) de </w:t>
      </w:r>
      <w:r w:rsidR="006E4886" w:rsidRPr="0083121B">
        <w:rPr>
          <w:rFonts w:ascii="Arial" w:hAnsi="Arial" w:cs="Arial"/>
          <w:bCs/>
        </w:rPr>
        <w:t>abril</w:t>
      </w:r>
      <w:r w:rsidRPr="0083121B">
        <w:rPr>
          <w:rFonts w:ascii="Arial" w:hAnsi="Arial" w:cs="Arial"/>
          <w:bCs/>
        </w:rPr>
        <w:t xml:space="preserve"> de dos mil dieciocho (2018)</w:t>
      </w:r>
    </w:p>
    <w:p w:rsidR="00FA34AF" w:rsidRPr="0083121B" w:rsidRDefault="0083121B" w:rsidP="00FA34AF">
      <w:pPr>
        <w:spacing w:line="360" w:lineRule="auto"/>
        <w:jc w:val="center"/>
        <w:rPr>
          <w:rFonts w:ascii="Arial" w:hAnsi="Arial" w:cs="Arial"/>
        </w:rPr>
      </w:pPr>
      <w:r w:rsidRPr="0083121B">
        <w:rPr>
          <w:rFonts w:ascii="Arial" w:hAnsi="Arial" w:cs="Arial"/>
        </w:rPr>
        <w:t>Acta</w:t>
      </w:r>
      <w:r w:rsidR="006E4886" w:rsidRPr="0083121B">
        <w:rPr>
          <w:rFonts w:ascii="Arial" w:hAnsi="Arial" w:cs="Arial"/>
        </w:rPr>
        <w:t xml:space="preserve"> de discusión </w:t>
      </w:r>
      <w:r w:rsidRPr="0083121B">
        <w:rPr>
          <w:rFonts w:ascii="Arial" w:hAnsi="Arial" w:cs="Arial"/>
        </w:rPr>
        <w:t xml:space="preserve">No.31 </w:t>
      </w:r>
      <w:r w:rsidR="006E4886" w:rsidRPr="0083121B">
        <w:rPr>
          <w:rFonts w:ascii="Arial" w:hAnsi="Arial" w:cs="Arial"/>
        </w:rPr>
        <w:t xml:space="preserve">del </w:t>
      </w:r>
      <w:r w:rsidR="006A31D9" w:rsidRPr="0083121B">
        <w:rPr>
          <w:rFonts w:ascii="Arial" w:hAnsi="Arial" w:cs="Arial"/>
        </w:rPr>
        <w:t>06</w:t>
      </w:r>
      <w:r w:rsidR="006E4886" w:rsidRPr="0083121B">
        <w:rPr>
          <w:rFonts w:ascii="Arial" w:hAnsi="Arial" w:cs="Arial"/>
        </w:rPr>
        <w:t>-4-2018</w:t>
      </w:r>
    </w:p>
    <w:p w:rsidR="006E4886" w:rsidRDefault="006E4886" w:rsidP="00FA34AF">
      <w:pPr>
        <w:spacing w:line="360" w:lineRule="auto"/>
        <w:jc w:val="center"/>
        <w:rPr>
          <w:rFonts w:ascii="Arial" w:hAnsi="Arial" w:cs="Arial"/>
          <w:b/>
        </w:rPr>
      </w:pPr>
    </w:p>
    <w:p w:rsidR="00FA34AF" w:rsidRDefault="00FA34AF" w:rsidP="00FA34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 DE LA DECISIÓN</w:t>
      </w:r>
    </w:p>
    <w:p w:rsidR="00FA34AF" w:rsidRDefault="00FA34AF" w:rsidP="00FA34AF">
      <w:pPr>
        <w:spacing w:line="360" w:lineRule="auto"/>
        <w:jc w:val="center"/>
        <w:rPr>
          <w:rFonts w:ascii="Arial" w:hAnsi="Arial" w:cs="Arial"/>
          <w:b/>
        </w:rPr>
      </w:pPr>
    </w:p>
    <w:p w:rsidR="00FA34AF" w:rsidRPr="00911425" w:rsidRDefault="00FA34AF" w:rsidP="00FA34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Procede la Sala a decidir el recurso de apelación formulado por la parte demandada frente</w:t>
      </w:r>
      <w:r w:rsidR="00E62928">
        <w:rPr>
          <w:rFonts w:ascii="Arial" w:hAnsi="Arial" w:cs="Arial"/>
        </w:rPr>
        <w:t xml:space="preserve"> al auto proferido el 15-12-2017</w:t>
      </w:r>
      <w:r>
        <w:rPr>
          <w:rFonts w:ascii="Arial" w:hAnsi="Arial" w:cs="Arial"/>
        </w:rPr>
        <w:t xml:space="preserve"> por el Juzgado Cuarto Laboral del Circuito de Pereira dentro del proceso de la referencia, que dio por no contestada la demanda. </w:t>
      </w:r>
    </w:p>
    <w:p w:rsidR="006167D7" w:rsidRDefault="006167D7" w:rsidP="006167D7">
      <w:pPr>
        <w:spacing w:line="360" w:lineRule="auto"/>
        <w:jc w:val="center"/>
        <w:rPr>
          <w:rFonts w:ascii="Arial" w:hAnsi="Arial" w:cs="Arial"/>
          <w:b/>
        </w:rPr>
      </w:pPr>
    </w:p>
    <w:p w:rsidR="006167D7" w:rsidRPr="00431B33" w:rsidRDefault="006167D7" w:rsidP="006167D7">
      <w:pPr>
        <w:spacing w:line="360" w:lineRule="auto"/>
        <w:jc w:val="center"/>
        <w:rPr>
          <w:rFonts w:ascii="Arial" w:hAnsi="Arial" w:cs="Arial"/>
          <w:b/>
        </w:rPr>
      </w:pPr>
      <w:r w:rsidRPr="00431B33">
        <w:rPr>
          <w:rFonts w:ascii="Arial" w:hAnsi="Arial" w:cs="Arial"/>
          <w:b/>
        </w:rPr>
        <w:t>ANTECEDENTES</w:t>
      </w:r>
    </w:p>
    <w:p w:rsidR="006167D7" w:rsidRPr="00FC1D29" w:rsidRDefault="006167D7" w:rsidP="006167D7">
      <w:pPr>
        <w:spacing w:line="360" w:lineRule="auto"/>
        <w:jc w:val="both"/>
        <w:rPr>
          <w:rFonts w:ascii="Arial" w:hAnsi="Arial" w:cs="Arial"/>
          <w:b/>
        </w:rPr>
      </w:pPr>
    </w:p>
    <w:p w:rsidR="006167D7" w:rsidRDefault="006167D7" w:rsidP="006167D7">
      <w:pPr>
        <w:spacing w:line="360" w:lineRule="auto"/>
        <w:jc w:val="both"/>
        <w:rPr>
          <w:rFonts w:ascii="Arial" w:hAnsi="Arial" w:cs="Arial"/>
          <w:b/>
        </w:rPr>
      </w:pPr>
      <w:r w:rsidRPr="00FC1D29">
        <w:rPr>
          <w:rFonts w:ascii="Arial" w:hAnsi="Arial" w:cs="Arial"/>
          <w:b/>
        </w:rPr>
        <w:t xml:space="preserve">1. Crónica procesal </w:t>
      </w:r>
    </w:p>
    <w:p w:rsidR="006167D7" w:rsidRDefault="006167D7" w:rsidP="00CC4DF6">
      <w:pPr>
        <w:spacing w:line="276" w:lineRule="auto"/>
        <w:jc w:val="both"/>
        <w:rPr>
          <w:rFonts w:ascii="Arial" w:hAnsi="Arial" w:cs="Arial"/>
          <w:b/>
        </w:rPr>
      </w:pPr>
    </w:p>
    <w:p w:rsidR="006167D7" w:rsidRDefault="006167D7" w:rsidP="00CC4DF6">
      <w:pPr>
        <w:spacing w:line="276" w:lineRule="auto"/>
        <w:jc w:val="both"/>
        <w:rPr>
          <w:rFonts w:ascii="Tahoma" w:hAnsi="Tahoma" w:cs="Tahoma"/>
        </w:rPr>
      </w:pPr>
      <w:r>
        <w:rPr>
          <w:rFonts w:ascii="Arial" w:hAnsi="Arial" w:cs="Arial"/>
          <w:b/>
        </w:rPr>
        <w:lastRenderedPageBreak/>
        <w:t xml:space="preserve">1.1. </w:t>
      </w:r>
      <w:r w:rsidRPr="00CC4DF6">
        <w:rPr>
          <w:rFonts w:ascii="Arial" w:hAnsi="Arial" w:cs="Arial"/>
        </w:rPr>
        <w:t>Luis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Norbey</w:t>
      </w:r>
      <w:proofErr w:type="spellEnd"/>
      <w:r>
        <w:rPr>
          <w:rFonts w:ascii="Arial" w:hAnsi="Arial" w:cs="Arial"/>
        </w:rPr>
        <w:t xml:space="preserve"> García </w:t>
      </w:r>
      <w:proofErr w:type="spellStart"/>
      <w:r>
        <w:rPr>
          <w:rFonts w:ascii="Arial" w:hAnsi="Arial" w:cs="Arial"/>
        </w:rPr>
        <w:t>García</w:t>
      </w:r>
      <w:proofErr w:type="spellEnd"/>
      <w:r>
        <w:rPr>
          <w:rFonts w:ascii="Arial" w:hAnsi="Arial" w:cs="Arial"/>
        </w:rPr>
        <w:t>, mediante apoderado judicial, convocó a proceso ordinario laboral a la Sociedad Transporte</w:t>
      </w:r>
      <w:r w:rsidR="00E629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Florida SA, con el propósito que se declare que entre ellos existió un contrato de trabajo </w:t>
      </w:r>
      <w:r w:rsidR="00FC4CBC">
        <w:rPr>
          <w:rFonts w:ascii="Arial" w:hAnsi="Arial" w:cs="Arial"/>
        </w:rPr>
        <w:t>a término indefinido del 1-11-2003 al 5-05-2017.</w:t>
      </w:r>
      <w:r>
        <w:rPr>
          <w:rFonts w:ascii="Arial" w:hAnsi="Arial" w:cs="Arial"/>
        </w:rPr>
        <w:t xml:space="preserve"> </w:t>
      </w:r>
    </w:p>
    <w:p w:rsidR="006167D7" w:rsidRDefault="006167D7" w:rsidP="00CC4DF6">
      <w:pPr>
        <w:spacing w:line="276" w:lineRule="auto"/>
        <w:jc w:val="both"/>
        <w:rPr>
          <w:rFonts w:ascii="Tahoma" w:hAnsi="Tahoma" w:cs="Tahoma"/>
        </w:rPr>
      </w:pPr>
    </w:p>
    <w:p w:rsidR="00962DE0" w:rsidRDefault="00FC4CBC" w:rsidP="00CC4DF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1.2 Notificada la demandada</w:t>
      </w:r>
      <w:r w:rsidR="00445DF7">
        <w:rPr>
          <w:rFonts w:ascii="Tahoma" w:hAnsi="Tahoma" w:cs="Tahoma"/>
        </w:rPr>
        <w:t xml:space="preserve"> personalmente (</w:t>
      </w:r>
      <w:proofErr w:type="spellStart"/>
      <w:r w:rsidR="00445DF7">
        <w:rPr>
          <w:rFonts w:ascii="Tahoma" w:hAnsi="Tahoma" w:cs="Tahoma"/>
        </w:rPr>
        <w:t>fl</w:t>
      </w:r>
      <w:proofErr w:type="spellEnd"/>
      <w:r w:rsidR="00445DF7">
        <w:rPr>
          <w:rFonts w:ascii="Tahoma" w:hAnsi="Tahoma" w:cs="Tahoma"/>
        </w:rPr>
        <w:t>. 29)</w:t>
      </w:r>
      <w:r>
        <w:rPr>
          <w:rFonts w:ascii="Tahoma" w:hAnsi="Tahoma" w:cs="Tahoma"/>
        </w:rPr>
        <w:t xml:space="preserve">, </w:t>
      </w:r>
      <w:r w:rsidR="00CC4DF6">
        <w:rPr>
          <w:rFonts w:ascii="Tahoma" w:hAnsi="Tahoma" w:cs="Tahoma"/>
        </w:rPr>
        <w:t>l</w:t>
      </w:r>
      <w:r w:rsidR="00962DE0">
        <w:rPr>
          <w:rFonts w:ascii="Tahoma" w:hAnsi="Tahoma" w:cs="Tahoma"/>
        </w:rPr>
        <w:t xml:space="preserve">a sociedad </w:t>
      </w:r>
      <w:r>
        <w:rPr>
          <w:rFonts w:ascii="Tahoma" w:hAnsi="Tahoma" w:cs="Tahoma"/>
        </w:rPr>
        <w:t>compareció</w:t>
      </w:r>
      <w:r w:rsidR="00CC4DF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través de abogado</w:t>
      </w:r>
      <w:r w:rsidR="00CC4DF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y contestó la demanda el 10-11-2017</w:t>
      </w:r>
      <w:r w:rsidR="00962DE0">
        <w:rPr>
          <w:rFonts w:ascii="Tahoma" w:hAnsi="Tahoma" w:cs="Tahoma"/>
        </w:rPr>
        <w:t>; en la que se pronunció sobre todos los hechos, desconociendo la relación laboral</w:t>
      </w:r>
      <w:r w:rsidR="00CC4DF6">
        <w:rPr>
          <w:rFonts w:ascii="Tahoma" w:hAnsi="Tahoma" w:cs="Tahoma"/>
        </w:rPr>
        <w:t>;</w:t>
      </w:r>
      <w:r w:rsidR="00962DE0">
        <w:rPr>
          <w:rFonts w:ascii="Tahoma" w:hAnsi="Tahoma" w:cs="Tahoma"/>
        </w:rPr>
        <w:t xml:space="preserve"> por el contrario</w:t>
      </w:r>
      <w:r w:rsidR="00CC4DF6">
        <w:rPr>
          <w:rFonts w:ascii="Tahoma" w:hAnsi="Tahoma" w:cs="Tahoma"/>
        </w:rPr>
        <w:t>,</w:t>
      </w:r>
      <w:r w:rsidR="00962DE0">
        <w:rPr>
          <w:rFonts w:ascii="Tahoma" w:hAnsi="Tahoma" w:cs="Tahoma"/>
        </w:rPr>
        <w:t xml:space="preserve"> refirió que suscribieron un contrato de arrendamiento de bien inmueble, que explotó el actor co</w:t>
      </w:r>
      <w:r w:rsidR="00CC4DF6">
        <w:rPr>
          <w:rFonts w:ascii="Tahoma" w:hAnsi="Tahoma" w:cs="Tahoma"/>
        </w:rPr>
        <w:t xml:space="preserve">n un </w:t>
      </w:r>
      <w:r w:rsidR="00962DE0">
        <w:rPr>
          <w:rFonts w:ascii="Tahoma" w:hAnsi="Tahoma" w:cs="Tahoma"/>
        </w:rPr>
        <w:t xml:space="preserve">parqueadero, </w:t>
      </w:r>
      <w:r w:rsidR="00CC4DF6">
        <w:rPr>
          <w:rFonts w:ascii="Tahoma" w:hAnsi="Tahoma" w:cs="Tahoma"/>
        </w:rPr>
        <w:t xml:space="preserve">servicio </w:t>
      </w:r>
      <w:r w:rsidR="00962DE0">
        <w:rPr>
          <w:rFonts w:ascii="Tahoma" w:hAnsi="Tahoma" w:cs="Tahoma"/>
        </w:rPr>
        <w:t>que usaron y por el cual paga</w:t>
      </w:r>
      <w:r w:rsidR="00CC4DF6">
        <w:rPr>
          <w:rFonts w:ascii="Tahoma" w:hAnsi="Tahoma" w:cs="Tahoma"/>
        </w:rPr>
        <w:t>ron</w:t>
      </w:r>
      <w:r w:rsidR="00962DE0">
        <w:rPr>
          <w:rFonts w:ascii="Tahoma" w:hAnsi="Tahoma" w:cs="Tahoma"/>
        </w:rPr>
        <w:t>. Para el efecto allegó prueba documental y solicitó</w:t>
      </w:r>
      <w:r w:rsidR="001B052F">
        <w:rPr>
          <w:rFonts w:ascii="Tahoma" w:hAnsi="Tahoma" w:cs="Tahoma"/>
        </w:rPr>
        <w:t>, entre otras, la</w:t>
      </w:r>
      <w:r w:rsidR="00962DE0">
        <w:rPr>
          <w:rFonts w:ascii="Tahoma" w:hAnsi="Tahoma" w:cs="Tahoma"/>
        </w:rPr>
        <w:t xml:space="preserve"> testimonial, </w:t>
      </w:r>
      <w:r w:rsidR="00D93D5A">
        <w:rPr>
          <w:rFonts w:ascii="Tahoma" w:hAnsi="Tahoma" w:cs="Tahoma"/>
        </w:rPr>
        <w:t>identific</w:t>
      </w:r>
      <w:r w:rsidR="00CC4DF6">
        <w:rPr>
          <w:rFonts w:ascii="Tahoma" w:hAnsi="Tahoma" w:cs="Tahoma"/>
        </w:rPr>
        <w:t>a</w:t>
      </w:r>
      <w:r w:rsidR="00D93D5A">
        <w:rPr>
          <w:rFonts w:ascii="Tahoma" w:hAnsi="Tahoma" w:cs="Tahoma"/>
        </w:rPr>
        <w:t>ndo</w:t>
      </w:r>
      <w:r w:rsidR="00CC4DF6">
        <w:rPr>
          <w:rFonts w:ascii="Tahoma" w:hAnsi="Tahoma" w:cs="Tahoma"/>
        </w:rPr>
        <w:t xml:space="preserve"> </w:t>
      </w:r>
      <w:r w:rsidR="00D93D5A">
        <w:rPr>
          <w:rFonts w:ascii="Tahoma" w:hAnsi="Tahoma" w:cs="Tahoma"/>
        </w:rPr>
        <w:t>los</w:t>
      </w:r>
      <w:r w:rsidR="00CC4DF6">
        <w:rPr>
          <w:rFonts w:ascii="Tahoma" w:hAnsi="Tahoma" w:cs="Tahoma"/>
        </w:rPr>
        <w:t xml:space="preserve"> declarantes</w:t>
      </w:r>
      <w:r w:rsidR="00D93D5A">
        <w:rPr>
          <w:rFonts w:ascii="Tahoma" w:hAnsi="Tahoma" w:cs="Tahoma"/>
        </w:rPr>
        <w:t xml:space="preserve"> por sus nombres, cédula y c</w:t>
      </w:r>
      <w:r w:rsidR="00CC4DF6">
        <w:rPr>
          <w:rFonts w:ascii="Tahoma" w:hAnsi="Tahoma" w:cs="Tahoma"/>
        </w:rPr>
        <w:t xml:space="preserve">ondición; </w:t>
      </w:r>
      <w:r w:rsidR="00D93D5A">
        <w:rPr>
          <w:rFonts w:ascii="Tahoma" w:hAnsi="Tahoma" w:cs="Tahoma"/>
        </w:rPr>
        <w:t>de algunos mencionó su dirección</w:t>
      </w:r>
      <w:r w:rsidR="00CC4DF6">
        <w:rPr>
          <w:rFonts w:ascii="Tahoma" w:hAnsi="Tahoma" w:cs="Tahoma"/>
        </w:rPr>
        <w:t>;</w:t>
      </w:r>
      <w:r w:rsidR="00D93D5A">
        <w:rPr>
          <w:rFonts w:ascii="Tahoma" w:hAnsi="Tahoma" w:cs="Tahoma"/>
        </w:rPr>
        <w:t xml:space="preserve"> así mismo</w:t>
      </w:r>
      <w:r w:rsidR="00CC4DF6">
        <w:rPr>
          <w:rFonts w:ascii="Tahoma" w:hAnsi="Tahoma" w:cs="Tahoma"/>
        </w:rPr>
        <w:t>,</w:t>
      </w:r>
      <w:r w:rsidR="00D93D5A">
        <w:rPr>
          <w:rFonts w:ascii="Tahoma" w:hAnsi="Tahoma" w:cs="Tahoma"/>
        </w:rPr>
        <w:t xml:space="preserve"> informó que su objeto era demostrar el contrato de arrendamiento</w:t>
      </w:r>
      <w:r w:rsidR="001B052F">
        <w:rPr>
          <w:rFonts w:ascii="Tahoma" w:hAnsi="Tahoma" w:cs="Tahoma"/>
        </w:rPr>
        <w:t xml:space="preserve"> (</w:t>
      </w:r>
      <w:proofErr w:type="spellStart"/>
      <w:r w:rsidR="001B052F">
        <w:rPr>
          <w:rFonts w:ascii="Tahoma" w:hAnsi="Tahoma" w:cs="Tahoma"/>
        </w:rPr>
        <w:t>fls</w:t>
      </w:r>
      <w:proofErr w:type="spellEnd"/>
      <w:r w:rsidR="001B052F">
        <w:rPr>
          <w:rFonts w:ascii="Tahoma" w:hAnsi="Tahoma" w:cs="Tahoma"/>
        </w:rPr>
        <w:t xml:space="preserve"> 40 y 41 c.1)</w:t>
      </w:r>
      <w:r w:rsidR="00D93D5A">
        <w:rPr>
          <w:rFonts w:ascii="Tahoma" w:hAnsi="Tahoma" w:cs="Tahoma"/>
        </w:rPr>
        <w:t>.</w:t>
      </w:r>
    </w:p>
    <w:p w:rsidR="004E3105" w:rsidRPr="00776078" w:rsidRDefault="00962DE0" w:rsidP="00CC4DF6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CC4DF6">
        <w:rPr>
          <w:rFonts w:ascii="Tahoma" w:hAnsi="Tahoma" w:cs="Tahoma"/>
        </w:rPr>
        <w:t xml:space="preserve"> </w:t>
      </w:r>
    </w:p>
    <w:p w:rsidR="00776078" w:rsidRDefault="00776078" w:rsidP="00CC4DF6">
      <w:pPr>
        <w:spacing w:line="360" w:lineRule="auto"/>
        <w:jc w:val="both"/>
        <w:rPr>
          <w:rFonts w:ascii="Tahoma" w:hAnsi="Tahoma" w:cs="Tahoma"/>
        </w:rPr>
      </w:pPr>
      <w:r w:rsidRPr="00776078">
        <w:rPr>
          <w:rFonts w:ascii="Tahoma" w:hAnsi="Tahoma" w:cs="Tahoma"/>
          <w:b/>
        </w:rPr>
        <w:t>2 Auto objeto de apelación</w:t>
      </w:r>
      <w:r>
        <w:rPr>
          <w:rFonts w:ascii="Tahoma" w:hAnsi="Tahoma" w:cs="Tahoma"/>
        </w:rPr>
        <w:t xml:space="preserve"> </w:t>
      </w:r>
    </w:p>
    <w:p w:rsidR="00776078" w:rsidRDefault="00776078" w:rsidP="00CC4DF6">
      <w:pPr>
        <w:spacing w:line="360" w:lineRule="auto"/>
        <w:jc w:val="both"/>
        <w:rPr>
          <w:rFonts w:ascii="Tahoma" w:hAnsi="Tahoma" w:cs="Tahoma"/>
        </w:rPr>
      </w:pPr>
    </w:p>
    <w:p w:rsidR="004E3105" w:rsidRDefault="004E3105" w:rsidP="00CC4DF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Mediante providencia del </w:t>
      </w:r>
      <w:r w:rsidR="00CC4DF6">
        <w:rPr>
          <w:rFonts w:ascii="Tahoma" w:hAnsi="Tahoma" w:cs="Tahoma"/>
        </w:rPr>
        <w:t xml:space="preserve">29-11-2017 </w:t>
      </w:r>
      <w:r>
        <w:rPr>
          <w:rFonts w:ascii="Tahoma" w:hAnsi="Tahoma" w:cs="Tahoma"/>
        </w:rPr>
        <w:t xml:space="preserve">(folio </w:t>
      </w:r>
      <w:r w:rsidR="00CC4DF6">
        <w:rPr>
          <w:rFonts w:ascii="Tahoma" w:hAnsi="Tahoma" w:cs="Tahoma"/>
        </w:rPr>
        <w:t>78</w:t>
      </w:r>
      <w:r>
        <w:rPr>
          <w:rFonts w:ascii="Tahoma" w:hAnsi="Tahoma" w:cs="Tahoma"/>
        </w:rPr>
        <w:t>9), la juez de primera instancia</w:t>
      </w:r>
      <w:r w:rsidR="00CC4DF6">
        <w:rPr>
          <w:rFonts w:ascii="Tahoma" w:hAnsi="Tahoma" w:cs="Tahoma"/>
        </w:rPr>
        <w:t xml:space="preserve"> inadmitió la contestación por faltar los fundamentos de derecho y se dejó de indicar la dirección de los testigos; no obstante, la parte demandada guardó silencio, por lo que por proveído del 15-12-2017 expresó que debe asumir las consec</w:t>
      </w:r>
      <w:r w:rsidR="00776078">
        <w:rPr>
          <w:rFonts w:ascii="Tahoma" w:hAnsi="Tahoma" w:cs="Tahoma"/>
        </w:rPr>
        <w:t>u</w:t>
      </w:r>
      <w:r w:rsidR="00CC4DF6">
        <w:rPr>
          <w:rFonts w:ascii="Tahoma" w:hAnsi="Tahoma" w:cs="Tahoma"/>
        </w:rPr>
        <w:t>encias desfavorable</w:t>
      </w:r>
      <w:r w:rsidR="00E62928">
        <w:rPr>
          <w:rFonts w:ascii="Tahoma" w:hAnsi="Tahoma" w:cs="Tahoma"/>
        </w:rPr>
        <w:t>s</w:t>
      </w:r>
      <w:r w:rsidR="00CC4DF6">
        <w:rPr>
          <w:rFonts w:ascii="Tahoma" w:hAnsi="Tahoma" w:cs="Tahoma"/>
        </w:rPr>
        <w:t xml:space="preserve"> del parágrafo 2 del artículo 31 del CST</w:t>
      </w:r>
      <w:r w:rsidR="00776078">
        <w:rPr>
          <w:rFonts w:ascii="Tahoma" w:hAnsi="Tahoma" w:cs="Tahoma"/>
        </w:rPr>
        <w:t>, esto es, indicio grave por no contestar la demanda</w:t>
      </w:r>
      <w:r>
        <w:rPr>
          <w:rFonts w:ascii="Tahoma" w:hAnsi="Tahoma" w:cs="Tahoma"/>
        </w:rPr>
        <w:t xml:space="preserve">. </w:t>
      </w:r>
    </w:p>
    <w:p w:rsidR="00FA4476" w:rsidRPr="00FA4476" w:rsidRDefault="00FA4476" w:rsidP="00FA4476">
      <w:pPr>
        <w:spacing w:line="360" w:lineRule="auto"/>
        <w:jc w:val="both"/>
        <w:rPr>
          <w:rFonts w:ascii="Tahoma" w:hAnsi="Tahoma" w:cs="Tahoma"/>
        </w:rPr>
      </w:pPr>
    </w:p>
    <w:p w:rsidR="00FA4476" w:rsidRPr="00FA4476" w:rsidRDefault="00776078" w:rsidP="00776078">
      <w:pPr>
        <w:spacing w:line="360" w:lineRule="auto"/>
        <w:jc w:val="both"/>
        <w:rPr>
          <w:rFonts w:ascii="Tahoma" w:hAnsi="Tahoma" w:cs="Tahoma"/>
          <w:b/>
        </w:rPr>
      </w:pPr>
      <w:r w:rsidRPr="00FA4476">
        <w:rPr>
          <w:rFonts w:ascii="Tahoma" w:hAnsi="Tahoma" w:cs="Tahoma"/>
          <w:b/>
        </w:rPr>
        <w:t xml:space="preserve">3. </w:t>
      </w:r>
      <w:r w:rsidR="00FA4476" w:rsidRPr="00FA4476">
        <w:rPr>
          <w:rFonts w:ascii="Tahoma" w:hAnsi="Tahoma" w:cs="Tahoma"/>
          <w:b/>
        </w:rPr>
        <w:t>Síntesis de la apelación</w:t>
      </w:r>
    </w:p>
    <w:p w:rsidR="00FA4476" w:rsidRPr="00FA4476" w:rsidRDefault="00FA4476" w:rsidP="00776078">
      <w:pPr>
        <w:spacing w:line="360" w:lineRule="auto"/>
        <w:jc w:val="both"/>
        <w:rPr>
          <w:rFonts w:ascii="Tahoma" w:hAnsi="Tahoma" w:cs="Tahoma"/>
          <w:b/>
        </w:rPr>
      </w:pPr>
    </w:p>
    <w:p w:rsidR="00776078" w:rsidRDefault="004E3105" w:rsidP="007760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parte demandada </w:t>
      </w:r>
      <w:r w:rsidR="00776078">
        <w:rPr>
          <w:rFonts w:ascii="Tahoma" w:hAnsi="Tahoma" w:cs="Tahoma"/>
        </w:rPr>
        <w:t xml:space="preserve">inconforme con la decisión </w:t>
      </w:r>
      <w:r w:rsidR="00A64CD1">
        <w:rPr>
          <w:rFonts w:ascii="Tahoma" w:hAnsi="Tahoma" w:cs="Tahoma"/>
        </w:rPr>
        <w:t xml:space="preserve">interpuso recurso de reposición y </w:t>
      </w:r>
      <w:r w:rsidR="00776078">
        <w:rPr>
          <w:rFonts w:ascii="Tahoma" w:hAnsi="Tahoma" w:cs="Tahoma"/>
        </w:rPr>
        <w:t>apel</w:t>
      </w:r>
      <w:r w:rsidR="00A64CD1">
        <w:rPr>
          <w:rFonts w:ascii="Tahoma" w:hAnsi="Tahoma" w:cs="Tahoma"/>
        </w:rPr>
        <w:t>ación</w:t>
      </w:r>
      <w:r w:rsidR="009A67BB">
        <w:rPr>
          <w:rFonts w:ascii="Tahoma" w:hAnsi="Tahoma" w:cs="Tahoma"/>
        </w:rPr>
        <w:t xml:space="preserve">; </w:t>
      </w:r>
      <w:r w:rsidR="00776078">
        <w:rPr>
          <w:rFonts w:ascii="Tahoma" w:hAnsi="Tahoma" w:cs="Tahoma"/>
        </w:rPr>
        <w:t>como argumento</w:t>
      </w:r>
      <w:r w:rsidR="009A67BB">
        <w:rPr>
          <w:rFonts w:ascii="Tahoma" w:hAnsi="Tahoma" w:cs="Tahoma"/>
        </w:rPr>
        <w:t>s</w:t>
      </w:r>
      <w:r w:rsidR="00776078">
        <w:rPr>
          <w:rFonts w:ascii="Tahoma" w:hAnsi="Tahoma" w:cs="Tahoma"/>
        </w:rPr>
        <w:t xml:space="preserve"> expuso</w:t>
      </w:r>
      <w:r w:rsidR="009A67BB">
        <w:rPr>
          <w:rFonts w:ascii="Tahoma" w:hAnsi="Tahoma" w:cs="Tahoma"/>
        </w:rPr>
        <w:t xml:space="preserve"> 1)</w:t>
      </w:r>
      <w:r w:rsidR="00776078">
        <w:rPr>
          <w:rFonts w:ascii="Tahoma" w:hAnsi="Tahoma" w:cs="Tahoma"/>
        </w:rPr>
        <w:t xml:space="preserve"> los reparos </w:t>
      </w:r>
      <w:r w:rsidR="009A67BB">
        <w:rPr>
          <w:rFonts w:ascii="Tahoma" w:hAnsi="Tahoma" w:cs="Tahoma"/>
        </w:rPr>
        <w:t>de omitirse los</w:t>
      </w:r>
      <w:r w:rsidR="00776078">
        <w:rPr>
          <w:rFonts w:ascii="Tahoma" w:hAnsi="Tahoma" w:cs="Tahoma"/>
        </w:rPr>
        <w:t xml:space="preserve"> fundamentos legales y direcciones de los testigos son de poca monta si se comparan con el texto íntegro de la contestación, los que podrán ser superados en la audiencia del artículo 77.</w:t>
      </w:r>
    </w:p>
    <w:p w:rsidR="00776078" w:rsidRDefault="00776078" w:rsidP="00776078">
      <w:pPr>
        <w:spacing w:line="360" w:lineRule="auto"/>
        <w:jc w:val="both"/>
        <w:rPr>
          <w:rFonts w:ascii="Tahoma" w:hAnsi="Tahoma" w:cs="Tahoma"/>
        </w:rPr>
      </w:pPr>
    </w:p>
    <w:p w:rsidR="00B66C42" w:rsidRDefault="00776078" w:rsidP="007760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Así cita decisiones de este Tribunal, donde se ha dicho que al momento de imponer las sanciones debe tenerse en cuenta que deben preservarse el derecho al acceso a la administración de justicia</w:t>
      </w:r>
      <w:r w:rsidR="00B66C42">
        <w:rPr>
          <w:rFonts w:ascii="Tahoma" w:hAnsi="Tahoma" w:cs="Tahoma"/>
        </w:rPr>
        <w:t>, para lo cual debe interpretarse el escrito de manera integral y racional</w:t>
      </w:r>
      <w:r>
        <w:rPr>
          <w:rFonts w:ascii="Tahoma" w:hAnsi="Tahoma" w:cs="Tahoma"/>
        </w:rPr>
        <w:t xml:space="preserve"> (auto del 14-02-2016 M</w:t>
      </w:r>
      <w:r w:rsidR="00E62928">
        <w:rPr>
          <w:rFonts w:ascii="Tahoma" w:hAnsi="Tahoma" w:cs="Tahoma"/>
        </w:rPr>
        <w:t>.</w:t>
      </w:r>
      <w:r>
        <w:rPr>
          <w:rFonts w:ascii="Tahoma" w:hAnsi="Tahoma" w:cs="Tahoma"/>
        </w:rPr>
        <w:t>P</w:t>
      </w:r>
      <w:r w:rsidR="00E6292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ALCC)</w:t>
      </w:r>
      <w:r w:rsidR="00B66C42">
        <w:rPr>
          <w:rFonts w:ascii="Tahoma" w:hAnsi="Tahoma" w:cs="Tahoma"/>
        </w:rPr>
        <w:t>; en el que se menciona que existe entre las partes un contrato de arrendamiento.</w:t>
      </w:r>
    </w:p>
    <w:p w:rsidR="00B66C42" w:rsidRDefault="00B66C42" w:rsidP="00776078">
      <w:pPr>
        <w:spacing w:line="360" w:lineRule="auto"/>
        <w:jc w:val="both"/>
        <w:rPr>
          <w:rFonts w:ascii="Tahoma" w:hAnsi="Tahoma" w:cs="Tahoma"/>
        </w:rPr>
      </w:pPr>
    </w:p>
    <w:p w:rsidR="004E3105" w:rsidRDefault="009A67BB" w:rsidP="0077607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 L</w:t>
      </w:r>
      <w:r w:rsidR="00B66C42">
        <w:rPr>
          <w:rFonts w:ascii="Tahoma" w:hAnsi="Tahoma" w:cs="Tahoma"/>
        </w:rPr>
        <w:t>a prueba testimonial,</w:t>
      </w:r>
      <w:r>
        <w:rPr>
          <w:rFonts w:ascii="Tahoma" w:hAnsi="Tahoma" w:cs="Tahoma"/>
        </w:rPr>
        <w:t xml:space="preserve"> </w:t>
      </w:r>
      <w:r w:rsidR="00B66C42">
        <w:rPr>
          <w:rFonts w:ascii="Tahoma" w:hAnsi="Tahoma" w:cs="Tahoma"/>
        </w:rPr>
        <w:t>cumpl</w:t>
      </w:r>
      <w:r>
        <w:rPr>
          <w:rFonts w:ascii="Tahoma" w:hAnsi="Tahoma" w:cs="Tahoma"/>
        </w:rPr>
        <w:t>e</w:t>
      </w:r>
      <w:r w:rsidR="00B66C42">
        <w:rPr>
          <w:rFonts w:ascii="Tahoma" w:hAnsi="Tahoma" w:cs="Tahoma"/>
        </w:rPr>
        <w:t xml:space="preserve"> con lo exigido en el numeral 5 del artículo 31,</w:t>
      </w:r>
      <w:r>
        <w:rPr>
          <w:rFonts w:ascii="Tahoma" w:hAnsi="Tahoma" w:cs="Tahoma"/>
        </w:rPr>
        <w:t xml:space="preserve"> </w:t>
      </w:r>
      <w:r w:rsidR="00B66C42">
        <w:rPr>
          <w:rFonts w:ascii="Tahoma" w:hAnsi="Tahoma" w:cs="Tahoma"/>
        </w:rPr>
        <w:t xml:space="preserve">individualización de los medios de prueba, </w:t>
      </w:r>
      <w:r>
        <w:rPr>
          <w:rFonts w:ascii="Tahoma" w:hAnsi="Tahoma" w:cs="Tahoma"/>
        </w:rPr>
        <w:t>sin que la indicación de l</w:t>
      </w:r>
      <w:r w:rsidR="00B66C42">
        <w:rPr>
          <w:rFonts w:ascii="Tahoma" w:hAnsi="Tahoma" w:cs="Tahoma"/>
        </w:rPr>
        <w:t xml:space="preserve">as direcciones de </w:t>
      </w:r>
      <w:r w:rsidR="00B66C42">
        <w:rPr>
          <w:rFonts w:ascii="Tahoma" w:hAnsi="Tahoma" w:cs="Tahoma"/>
        </w:rPr>
        <w:lastRenderedPageBreak/>
        <w:t>los testigos</w:t>
      </w:r>
      <w:r>
        <w:rPr>
          <w:rFonts w:ascii="Tahoma" w:hAnsi="Tahoma" w:cs="Tahoma"/>
        </w:rPr>
        <w:t xml:space="preserve"> sea un requisito</w:t>
      </w:r>
      <w:r w:rsidR="00B66C42">
        <w:rPr>
          <w:rFonts w:ascii="Tahoma" w:hAnsi="Tahoma" w:cs="Tahoma"/>
        </w:rPr>
        <w:t>.</w:t>
      </w:r>
      <w:r w:rsidR="00FA4476">
        <w:rPr>
          <w:rFonts w:ascii="Tahoma" w:hAnsi="Tahoma" w:cs="Tahoma"/>
        </w:rPr>
        <w:t xml:space="preserve"> 3)</w:t>
      </w:r>
      <w:r w:rsidR="00B66C42">
        <w:rPr>
          <w:rFonts w:ascii="Tahoma" w:hAnsi="Tahoma" w:cs="Tahoma"/>
        </w:rPr>
        <w:t xml:space="preserve"> Adicionalmente, refiere a la vulneración al derecho a la igualdad, dado que la parte demandante en el libelo</w:t>
      </w:r>
      <w:r w:rsidR="005A70B7">
        <w:rPr>
          <w:rFonts w:ascii="Tahoma" w:hAnsi="Tahoma" w:cs="Tahoma"/>
        </w:rPr>
        <w:t xml:space="preserve"> </w:t>
      </w:r>
      <w:proofErr w:type="spellStart"/>
      <w:r w:rsidR="00B66C42">
        <w:rPr>
          <w:rFonts w:ascii="Tahoma" w:hAnsi="Tahoma" w:cs="Tahoma"/>
        </w:rPr>
        <w:t>demandatorio</w:t>
      </w:r>
      <w:proofErr w:type="spellEnd"/>
      <w:r w:rsidR="00B66C42">
        <w:rPr>
          <w:rFonts w:ascii="Tahoma" w:hAnsi="Tahoma" w:cs="Tahoma"/>
        </w:rPr>
        <w:t xml:space="preserve"> también omitió dar la dirección de sus testigos</w:t>
      </w:r>
      <w:r w:rsidR="005A70B7">
        <w:rPr>
          <w:rFonts w:ascii="Tahoma" w:hAnsi="Tahoma" w:cs="Tahoma"/>
        </w:rPr>
        <w:t>, y a pesar de ello no se le hizo merecedor de alguna sanción</w:t>
      </w:r>
      <w:r w:rsidR="00A64CD1">
        <w:rPr>
          <w:rFonts w:ascii="Tahoma" w:hAnsi="Tahoma" w:cs="Tahoma"/>
        </w:rPr>
        <w:t>.</w:t>
      </w:r>
      <w:r w:rsidR="005A70B7">
        <w:rPr>
          <w:rFonts w:ascii="Tahoma" w:hAnsi="Tahoma" w:cs="Tahoma"/>
        </w:rPr>
        <w:t xml:space="preserve"> </w:t>
      </w:r>
      <w:r w:rsidR="00B66C42">
        <w:rPr>
          <w:rFonts w:ascii="Tahoma" w:hAnsi="Tahoma" w:cs="Tahoma"/>
        </w:rPr>
        <w:t xml:space="preserve"> </w:t>
      </w:r>
    </w:p>
    <w:p w:rsidR="00A64CD1" w:rsidRDefault="00A64CD1" w:rsidP="00FA4476">
      <w:pPr>
        <w:pStyle w:val="Ttulo4"/>
        <w:spacing w:line="360" w:lineRule="auto"/>
        <w:jc w:val="left"/>
        <w:rPr>
          <w:rFonts w:ascii="Tahoma" w:hAnsi="Tahoma" w:cs="Tahoma"/>
          <w:spacing w:val="2"/>
          <w:szCs w:val="24"/>
        </w:rPr>
      </w:pPr>
    </w:p>
    <w:p w:rsidR="0096251F" w:rsidRDefault="0096251F" w:rsidP="0096251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jueza al resolver la reposición, recalcó en el requisito señalado en el numeral 4 del artículo 31, consistente en la mención de los hechos y fundamentos y razones de derecho de su defensa, exigencia que como lo dijo este tribunal en auto del 8-08-2012 M</w:t>
      </w:r>
      <w:r w:rsidR="00E62928">
        <w:rPr>
          <w:rFonts w:ascii="Tahoma" w:hAnsi="Tahoma" w:cs="Tahoma"/>
        </w:rPr>
        <w:t>.</w:t>
      </w:r>
      <w:r>
        <w:rPr>
          <w:rFonts w:ascii="Tahoma" w:hAnsi="Tahoma" w:cs="Tahoma"/>
        </w:rPr>
        <w:t>P</w:t>
      </w:r>
      <w:r w:rsidR="00E6292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JLSM, no solo se limita a informar las normas sino a explicar porque se consideran aplicables. En lo atinente a la prueba testimonial insiste en que al tenor del CGP se requiere se indique la residencia del testigo.</w:t>
      </w:r>
    </w:p>
    <w:p w:rsidR="0096251F" w:rsidRPr="0096251F" w:rsidRDefault="0096251F" w:rsidP="0096251F"/>
    <w:p w:rsidR="004E3105" w:rsidRPr="00621232" w:rsidRDefault="004E3105" w:rsidP="00621232">
      <w:pPr>
        <w:pStyle w:val="Ttulo4"/>
        <w:spacing w:line="360" w:lineRule="auto"/>
        <w:ind w:left="720"/>
        <w:rPr>
          <w:rFonts w:ascii="Tahoma" w:hAnsi="Tahoma" w:cs="Tahoma"/>
          <w:spacing w:val="2"/>
          <w:szCs w:val="24"/>
        </w:rPr>
      </w:pPr>
      <w:r w:rsidRPr="00E40C2D">
        <w:rPr>
          <w:rFonts w:ascii="Tahoma" w:hAnsi="Tahoma" w:cs="Tahoma"/>
          <w:spacing w:val="2"/>
          <w:szCs w:val="24"/>
        </w:rPr>
        <w:t>CONSIDERACIONES</w:t>
      </w:r>
    </w:p>
    <w:p w:rsidR="004E3105" w:rsidRDefault="00621232" w:rsidP="00621232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</w:t>
      </w:r>
      <w:r w:rsidR="004E3105">
        <w:rPr>
          <w:rFonts w:ascii="Tahoma" w:hAnsi="Tahoma" w:cs="Tahoma"/>
          <w:b/>
        </w:rPr>
        <w:t>Problema</w:t>
      </w:r>
      <w:r w:rsidR="00D5113F">
        <w:rPr>
          <w:rFonts w:ascii="Tahoma" w:hAnsi="Tahoma" w:cs="Tahoma"/>
          <w:b/>
        </w:rPr>
        <w:t>s</w:t>
      </w:r>
      <w:r w:rsidR="004E3105">
        <w:rPr>
          <w:rFonts w:ascii="Tahoma" w:hAnsi="Tahoma" w:cs="Tahoma"/>
          <w:b/>
        </w:rPr>
        <w:t xml:space="preserve"> jurídico</w:t>
      </w:r>
      <w:r w:rsidR="00D5113F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 </w:t>
      </w:r>
    </w:p>
    <w:p w:rsidR="004E3105" w:rsidRDefault="00621232" w:rsidP="00621232">
      <w:pPr>
        <w:spacing w:line="360" w:lineRule="auto"/>
        <w:jc w:val="both"/>
        <w:rPr>
          <w:rFonts w:ascii="Tahoma" w:hAnsi="Tahoma" w:cs="Tahoma"/>
          <w:color w:val="000000"/>
          <w:spacing w:val="2"/>
        </w:rPr>
      </w:pPr>
      <w:r>
        <w:rPr>
          <w:rFonts w:ascii="Tahoma" w:hAnsi="Tahoma" w:cs="Tahoma"/>
        </w:rPr>
        <w:t xml:space="preserve">La Sala se </w:t>
      </w:r>
      <w:r w:rsidR="004E3105">
        <w:rPr>
          <w:rFonts w:ascii="Tahoma" w:hAnsi="Tahoma" w:cs="Tahoma"/>
          <w:color w:val="000000"/>
          <w:spacing w:val="2"/>
        </w:rPr>
        <w:t>plantea</w:t>
      </w:r>
      <w:r>
        <w:rPr>
          <w:rFonts w:ascii="Tahoma" w:hAnsi="Tahoma" w:cs="Tahoma"/>
          <w:color w:val="000000"/>
          <w:spacing w:val="2"/>
        </w:rPr>
        <w:t xml:space="preserve"> </w:t>
      </w:r>
      <w:r w:rsidR="004E3105">
        <w:rPr>
          <w:rFonts w:ascii="Tahoma" w:hAnsi="Tahoma" w:cs="Tahoma"/>
          <w:color w:val="000000"/>
          <w:spacing w:val="2"/>
        </w:rPr>
        <w:t>el siguiente:</w:t>
      </w:r>
    </w:p>
    <w:p w:rsidR="002F010A" w:rsidRDefault="00D5113F" w:rsidP="00621232">
      <w:pPr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1 </w:t>
      </w:r>
      <w:r w:rsidR="004E3105" w:rsidRPr="00914C5C">
        <w:rPr>
          <w:rFonts w:ascii="Tahoma" w:hAnsi="Tahoma" w:cs="Tahoma"/>
          <w:lang w:val="es-MX"/>
        </w:rPr>
        <w:t>¿</w:t>
      </w:r>
      <w:r w:rsidR="002F010A">
        <w:rPr>
          <w:rFonts w:ascii="Tahoma" w:hAnsi="Tahoma" w:cs="Tahoma"/>
          <w:lang w:val="es-MX"/>
        </w:rPr>
        <w:t xml:space="preserve">La contestación de la demanda cumple con las formalidades señaladas en el artículo 31 del CPTSS? </w:t>
      </w:r>
    </w:p>
    <w:p w:rsidR="002F010A" w:rsidRDefault="002F010A" w:rsidP="00621232">
      <w:pPr>
        <w:spacing w:line="360" w:lineRule="auto"/>
        <w:jc w:val="both"/>
        <w:rPr>
          <w:rFonts w:ascii="Tahoma" w:hAnsi="Tahoma" w:cs="Tahoma"/>
          <w:lang w:val="es-MX"/>
        </w:rPr>
      </w:pPr>
    </w:p>
    <w:p w:rsidR="004E3105" w:rsidRPr="00621232" w:rsidRDefault="00621232" w:rsidP="00621232">
      <w:pPr>
        <w:spacing w:line="360" w:lineRule="auto"/>
        <w:jc w:val="both"/>
        <w:rPr>
          <w:rFonts w:ascii="Tahoma" w:hAnsi="Tahoma" w:cs="Tahoma"/>
          <w:b/>
          <w:spacing w:val="2"/>
        </w:rPr>
      </w:pPr>
      <w:r>
        <w:rPr>
          <w:rFonts w:ascii="Tahoma" w:hAnsi="Tahoma" w:cs="Tahoma"/>
          <w:b/>
          <w:bCs/>
          <w:spacing w:val="2"/>
        </w:rPr>
        <w:t xml:space="preserve">2. Solución al problema jurídico </w:t>
      </w:r>
    </w:p>
    <w:p w:rsidR="00621232" w:rsidRPr="002F010A" w:rsidRDefault="00621232" w:rsidP="0062123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</w:p>
    <w:p w:rsidR="002F010A" w:rsidRDefault="002F010A" w:rsidP="0062123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2F010A">
        <w:rPr>
          <w:rFonts w:ascii="Tahoma" w:hAnsi="Tahoma" w:cs="Tahoma"/>
          <w:b/>
        </w:rPr>
        <w:t>2.1 Fundamento jurídico</w:t>
      </w:r>
    </w:p>
    <w:p w:rsidR="002F010A" w:rsidRDefault="002F010A" w:rsidP="0062123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</w:p>
    <w:p w:rsidR="00D85413" w:rsidRDefault="004E3105" w:rsidP="0062123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  <w:r w:rsidRPr="00914C5C">
        <w:rPr>
          <w:rFonts w:ascii="Tahoma" w:hAnsi="Tahoma" w:cs="Tahoma"/>
        </w:rPr>
        <w:t>E</w:t>
      </w:r>
      <w:r w:rsidRPr="00914C5C">
        <w:rPr>
          <w:rFonts w:ascii="Tahoma" w:hAnsi="Tahoma" w:cs="Tahoma"/>
          <w:lang w:val="es-MX"/>
        </w:rPr>
        <w:t>l</w:t>
      </w:r>
      <w:r w:rsidR="00621232">
        <w:rPr>
          <w:rFonts w:ascii="Tahoma" w:hAnsi="Tahoma" w:cs="Tahoma"/>
          <w:lang w:val="es-MX"/>
        </w:rPr>
        <w:t xml:space="preserve"> artículo 31 del CPT y SS señala l</w:t>
      </w:r>
      <w:r w:rsidR="007430A5">
        <w:rPr>
          <w:rFonts w:ascii="Tahoma" w:hAnsi="Tahoma" w:cs="Tahoma"/>
          <w:lang w:val="es-MX"/>
        </w:rPr>
        <w:t xml:space="preserve">os requisitos que debe contener la </w:t>
      </w:r>
      <w:r w:rsidR="00621232">
        <w:rPr>
          <w:rFonts w:ascii="Tahoma" w:hAnsi="Tahoma" w:cs="Tahoma"/>
          <w:lang w:val="es-MX"/>
        </w:rPr>
        <w:t>contesta</w:t>
      </w:r>
      <w:r w:rsidR="007430A5">
        <w:rPr>
          <w:rFonts w:ascii="Tahoma" w:hAnsi="Tahoma" w:cs="Tahoma"/>
          <w:lang w:val="es-MX"/>
        </w:rPr>
        <w:t xml:space="preserve">ción de la </w:t>
      </w:r>
      <w:r w:rsidR="00621232">
        <w:rPr>
          <w:rFonts w:ascii="Tahoma" w:hAnsi="Tahoma" w:cs="Tahoma"/>
          <w:lang w:val="es-MX"/>
        </w:rPr>
        <w:t>demanda</w:t>
      </w:r>
      <w:r w:rsidR="009D4A3C">
        <w:rPr>
          <w:rFonts w:ascii="Tahoma" w:hAnsi="Tahoma" w:cs="Tahoma"/>
          <w:lang w:val="es-MX"/>
        </w:rPr>
        <w:t>,</w:t>
      </w:r>
      <w:r w:rsidR="00621232">
        <w:rPr>
          <w:rFonts w:ascii="Tahoma" w:hAnsi="Tahoma" w:cs="Tahoma"/>
          <w:lang w:val="es-MX"/>
        </w:rPr>
        <w:t xml:space="preserve"> </w:t>
      </w:r>
      <w:r w:rsidR="007430A5">
        <w:rPr>
          <w:rFonts w:ascii="Tahoma" w:hAnsi="Tahoma" w:cs="Tahoma"/>
          <w:lang w:val="es-MX"/>
        </w:rPr>
        <w:t xml:space="preserve">entre estos, el </w:t>
      </w:r>
      <w:r w:rsidR="002F010A">
        <w:rPr>
          <w:rFonts w:ascii="Tahoma" w:hAnsi="Tahoma" w:cs="Tahoma"/>
          <w:lang w:val="es-MX"/>
        </w:rPr>
        <w:t>numeral cuarto</w:t>
      </w:r>
      <w:r w:rsidR="007430A5">
        <w:rPr>
          <w:rFonts w:ascii="Tahoma" w:hAnsi="Tahoma" w:cs="Tahoma"/>
          <w:lang w:val="es-MX"/>
        </w:rPr>
        <w:t xml:space="preserve"> </w:t>
      </w:r>
      <w:r w:rsidR="002F010A">
        <w:rPr>
          <w:rFonts w:ascii="Tahoma" w:hAnsi="Tahoma" w:cs="Tahoma"/>
          <w:lang w:val="es-MX"/>
        </w:rPr>
        <w:t>contempla como tal “</w:t>
      </w:r>
      <w:r w:rsidR="007430A5">
        <w:rPr>
          <w:rFonts w:ascii="Tahoma" w:hAnsi="Tahoma" w:cs="Tahoma"/>
          <w:lang w:val="es-MX"/>
        </w:rPr>
        <w:t xml:space="preserve">los hechos y fundamentos y razones de derecho de su defensa y el </w:t>
      </w:r>
      <w:r w:rsidR="002F010A">
        <w:rPr>
          <w:rFonts w:ascii="Tahoma" w:hAnsi="Tahoma" w:cs="Tahoma"/>
          <w:lang w:val="es-MX"/>
        </w:rPr>
        <w:t>quinto, la</w:t>
      </w:r>
      <w:r w:rsidR="007430A5">
        <w:rPr>
          <w:rFonts w:ascii="Tahoma" w:hAnsi="Tahoma" w:cs="Tahoma"/>
          <w:lang w:val="es-MX"/>
        </w:rPr>
        <w:t xml:space="preserve"> petición en forma individualizada y concreta de los medios de prueba.</w:t>
      </w:r>
      <w:r w:rsidR="00D85413">
        <w:rPr>
          <w:rFonts w:ascii="Tahoma" w:hAnsi="Tahoma" w:cs="Tahoma"/>
          <w:lang w:val="es-MX"/>
        </w:rPr>
        <w:t xml:space="preserve"> </w:t>
      </w:r>
    </w:p>
    <w:p w:rsidR="002F7E57" w:rsidRDefault="002F7E57" w:rsidP="0062123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</w:p>
    <w:p w:rsidR="004E3105" w:rsidRPr="00914C5C" w:rsidRDefault="00500B0B" w:rsidP="002F7E5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i/>
          <w:lang w:val="es-MX"/>
        </w:rPr>
      </w:pPr>
      <w:r>
        <w:rPr>
          <w:rFonts w:ascii="Tahoma" w:hAnsi="Tahoma" w:cs="Tahoma"/>
          <w:lang w:val="es-MX"/>
        </w:rPr>
        <w:t>De faltar una</w:t>
      </w:r>
      <w:r w:rsidR="002F7E57">
        <w:rPr>
          <w:rFonts w:ascii="Tahoma" w:hAnsi="Tahoma" w:cs="Tahoma"/>
          <w:lang w:val="es-MX"/>
        </w:rPr>
        <w:t xml:space="preserve"> de las exigencias dispuestas en esta norma, obligan al juez a indicarlos para que se subsane y en caso de no hacerlo se dará por no contestada la demanda</w:t>
      </w:r>
      <w:r w:rsidR="009D4A3C">
        <w:rPr>
          <w:rFonts w:ascii="Tahoma" w:hAnsi="Tahoma" w:cs="Tahoma"/>
          <w:lang w:val="es-MX"/>
        </w:rPr>
        <w:t>.</w:t>
      </w:r>
      <w:r w:rsidR="002F7E57">
        <w:rPr>
          <w:rFonts w:ascii="Tahoma" w:hAnsi="Tahoma" w:cs="Tahoma"/>
          <w:lang w:val="es-MX"/>
        </w:rPr>
        <w:t xml:space="preserve"> </w:t>
      </w:r>
    </w:p>
    <w:p w:rsidR="004E3105" w:rsidRDefault="004E3105" w:rsidP="00D5113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</w:p>
    <w:p w:rsidR="00185398" w:rsidRDefault="002F010A" w:rsidP="00D5113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Ahora, cuando de las razones de derecho se trata, no implica necesariamente la enunciación de la norma en que apoya su defensa, pues bien lo puede ser la </w:t>
      </w:r>
      <w:r w:rsidR="00185398">
        <w:rPr>
          <w:rFonts w:ascii="Tahoma" w:hAnsi="Tahoma" w:cs="Tahoma"/>
          <w:lang w:val="es-MX"/>
        </w:rPr>
        <w:t xml:space="preserve">mención de la </w:t>
      </w:r>
      <w:r>
        <w:rPr>
          <w:rFonts w:ascii="Tahoma" w:hAnsi="Tahoma" w:cs="Tahoma"/>
          <w:lang w:val="es-MX"/>
        </w:rPr>
        <w:t xml:space="preserve">institución jurídica, que es lo que </w:t>
      </w:r>
      <w:r w:rsidR="00185398">
        <w:rPr>
          <w:rFonts w:ascii="Tahoma" w:hAnsi="Tahoma" w:cs="Tahoma"/>
          <w:lang w:val="es-MX"/>
        </w:rPr>
        <w:t xml:space="preserve">verdaderamente </w:t>
      </w:r>
      <w:r>
        <w:rPr>
          <w:rFonts w:ascii="Tahoma" w:hAnsi="Tahoma" w:cs="Tahoma"/>
          <w:lang w:val="es-MX"/>
        </w:rPr>
        <w:t xml:space="preserve">llena de contenido </w:t>
      </w:r>
      <w:r w:rsidR="00185398">
        <w:rPr>
          <w:rFonts w:ascii="Tahoma" w:hAnsi="Tahoma" w:cs="Tahoma"/>
          <w:lang w:val="es-MX"/>
        </w:rPr>
        <w:t>a la oposición. Y es precisamente a lo que se refirió este Tribunal en la decisión citada por la a quo al resolver el recurso de reposición</w:t>
      </w:r>
      <w:r w:rsidR="00AC6152">
        <w:rPr>
          <w:rFonts w:ascii="Tahoma" w:hAnsi="Tahoma" w:cs="Tahoma"/>
          <w:lang w:val="es-MX"/>
        </w:rPr>
        <w:t>.</w:t>
      </w:r>
    </w:p>
    <w:p w:rsidR="00185398" w:rsidRDefault="00185398" w:rsidP="00D5113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</w:p>
    <w:p w:rsidR="006C1553" w:rsidRDefault="00AC6152" w:rsidP="00D5113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lastRenderedPageBreak/>
        <w:t>Por su parte, en lo atinente a la petición de pruebas, este canon solo exige claridad</w:t>
      </w:r>
      <w:r w:rsidR="008B662F">
        <w:rPr>
          <w:rFonts w:ascii="Tahoma" w:hAnsi="Tahoma" w:cs="Tahoma"/>
          <w:lang w:val="es-MX"/>
        </w:rPr>
        <w:t xml:space="preserve"> en la pedida</w:t>
      </w:r>
      <w:r>
        <w:rPr>
          <w:rFonts w:ascii="Tahoma" w:hAnsi="Tahoma" w:cs="Tahoma"/>
          <w:lang w:val="es-MX"/>
        </w:rPr>
        <w:t xml:space="preserve">; y si bien, con fundamento en el artículo 145 del CPTSS </w:t>
      </w:r>
      <w:r w:rsidR="00E62928">
        <w:rPr>
          <w:rFonts w:ascii="Tahoma" w:hAnsi="Tahoma" w:cs="Tahoma"/>
          <w:lang w:val="es-MX"/>
        </w:rPr>
        <w:t>h</w:t>
      </w:r>
      <w:r>
        <w:rPr>
          <w:rFonts w:ascii="Tahoma" w:hAnsi="Tahoma" w:cs="Tahoma"/>
          <w:lang w:val="es-MX"/>
        </w:rPr>
        <w:t>a de acudirse al CGP en lo</w:t>
      </w:r>
      <w:r w:rsidR="00500B0B">
        <w:rPr>
          <w:rFonts w:ascii="Tahoma" w:hAnsi="Tahoma" w:cs="Tahoma"/>
          <w:lang w:val="es-MX"/>
        </w:rPr>
        <w:t xml:space="preserve"> no</w:t>
      </w:r>
      <w:r>
        <w:rPr>
          <w:rFonts w:ascii="Tahoma" w:hAnsi="Tahoma" w:cs="Tahoma"/>
          <w:lang w:val="es-MX"/>
        </w:rPr>
        <w:t xml:space="preserve"> regulado </w:t>
      </w:r>
      <w:r w:rsidR="0047227C">
        <w:rPr>
          <w:rFonts w:ascii="Tahoma" w:hAnsi="Tahoma" w:cs="Tahoma"/>
          <w:lang w:val="es-MX"/>
        </w:rPr>
        <w:t xml:space="preserve">por el estatuto adjetivo laboral, </w:t>
      </w:r>
      <w:r w:rsidR="003B713B">
        <w:rPr>
          <w:rFonts w:ascii="Tahoma" w:hAnsi="Tahoma" w:cs="Tahoma"/>
          <w:lang w:val="es-MX"/>
        </w:rPr>
        <w:t>como lo sería, en materia probatoria</w:t>
      </w:r>
      <w:r w:rsidR="008B662F">
        <w:rPr>
          <w:rFonts w:ascii="Tahoma" w:hAnsi="Tahoma" w:cs="Tahoma"/>
          <w:lang w:val="es-MX"/>
        </w:rPr>
        <w:t>,</w:t>
      </w:r>
      <w:r w:rsidR="003B713B">
        <w:rPr>
          <w:rFonts w:ascii="Tahoma" w:hAnsi="Tahoma" w:cs="Tahoma"/>
          <w:lang w:val="es-MX"/>
        </w:rPr>
        <w:t xml:space="preserve"> en lo pertinente; </w:t>
      </w:r>
      <w:r w:rsidR="008B662F">
        <w:rPr>
          <w:rFonts w:ascii="Tahoma" w:hAnsi="Tahoma" w:cs="Tahoma"/>
          <w:lang w:val="es-MX"/>
        </w:rPr>
        <w:t>a título de ejemplo lo reglado en la petición de prueba testimonial – artículo 212-</w:t>
      </w:r>
      <w:r w:rsidR="00B80E39">
        <w:rPr>
          <w:rFonts w:ascii="Tahoma" w:hAnsi="Tahoma" w:cs="Tahoma"/>
          <w:lang w:val="es-MX"/>
        </w:rPr>
        <w:t>;</w:t>
      </w:r>
      <w:r w:rsidR="008B662F">
        <w:rPr>
          <w:rFonts w:ascii="Tahoma" w:hAnsi="Tahoma" w:cs="Tahoma"/>
          <w:lang w:val="es-MX"/>
        </w:rPr>
        <w:t xml:space="preserve"> su inobservancia acarrea su no </w:t>
      </w:r>
      <w:r w:rsidR="009D4A3C">
        <w:rPr>
          <w:rFonts w:ascii="Tahoma" w:hAnsi="Tahoma" w:cs="Tahoma"/>
          <w:lang w:val="es-MX"/>
        </w:rPr>
        <w:t xml:space="preserve">decreto y </w:t>
      </w:r>
      <w:r w:rsidR="008B662F">
        <w:rPr>
          <w:rFonts w:ascii="Tahoma" w:hAnsi="Tahoma" w:cs="Tahoma"/>
          <w:lang w:val="es-MX"/>
        </w:rPr>
        <w:t xml:space="preserve">práctica, </w:t>
      </w:r>
      <w:r w:rsidR="00B80E39">
        <w:rPr>
          <w:rFonts w:ascii="Tahoma" w:hAnsi="Tahoma" w:cs="Tahoma"/>
          <w:lang w:val="es-MX"/>
        </w:rPr>
        <w:t xml:space="preserve">según la interpretación </w:t>
      </w:r>
      <w:r w:rsidR="008B662F">
        <w:rPr>
          <w:rFonts w:ascii="Tahoma" w:hAnsi="Tahoma" w:cs="Tahoma"/>
          <w:lang w:val="es-MX"/>
        </w:rPr>
        <w:t>a contrario sensu del</w:t>
      </w:r>
      <w:r w:rsidR="00B80E39">
        <w:rPr>
          <w:rFonts w:ascii="Tahoma" w:hAnsi="Tahoma" w:cs="Tahoma"/>
          <w:lang w:val="es-MX"/>
        </w:rPr>
        <w:t xml:space="preserve"> </w:t>
      </w:r>
      <w:r w:rsidR="008B662F">
        <w:rPr>
          <w:rFonts w:ascii="Tahoma" w:hAnsi="Tahoma" w:cs="Tahoma"/>
          <w:lang w:val="es-MX"/>
        </w:rPr>
        <w:t xml:space="preserve">artículo 213 </w:t>
      </w:r>
      <w:proofErr w:type="spellStart"/>
      <w:r w:rsidR="008B662F">
        <w:rPr>
          <w:rFonts w:ascii="Tahoma" w:hAnsi="Tahoma" w:cs="Tahoma"/>
          <w:lang w:val="es-MX"/>
        </w:rPr>
        <w:t>ib</w:t>
      </w:r>
      <w:proofErr w:type="spellEnd"/>
      <w:r w:rsidR="00B80E39">
        <w:rPr>
          <w:rFonts w:ascii="Tahoma" w:hAnsi="Tahoma" w:cs="Tahoma"/>
          <w:lang w:val="es-MX"/>
        </w:rPr>
        <w:t>,</w:t>
      </w:r>
      <w:r w:rsidR="008B662F">
        <w:rPr>
          <w:rFonts w:ascii="Tahoma" w:hAnsi="Tahoma" w:cs="Tahoma"/>
          <w:lang w:val="es-MX"/>
        </w:rPr>
        <w:t xml:space="preserve"> que reza “Si la petición reúne los requisitos indicados en el artículo precedente, el juez ordenará que se practique el testimonio </w:t>
      </w:r>
      <w:r w:rsidR="006C1553">
        <w:rPr>
          <w:rFonts w:ascii="Tahoma" w:hAnsi="Tahoma" w:cs="Tahoma"/>
          <w:lang w:val="es-MX"/>
        </w:rPr>
        <w:t>en la audiencia correspondiente</w:t>
      </w:r>
      <w:r w:rsidR="008B662F">
        <w:rPr>
          <w:rFonts w:ascii="Tahoma" w:hAnsi="Tahoma" w:cs="Tahoma"/>
          <w:lang w:val="es-MX"/>
        </w:rPr>
        <w:t>“</w:t>
      </w:r>
      <w:r w:rsidR="009D4A3C">
        <w:rPr>
          <w:rFonts w:ascii="Tahoma" w:hAnsi="Tahoma" w:cs="Tahoma"/>
          <w:lang w:val="es-MX"/>
        </w:rPr>
        <w:t>.</w:t>
      </w:r>
    </w:p>
    <w:p w:rsidR="009D4A3C" w:rsidRDefault="009D4A3C" w:rsidP="00D5113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</w:p>
    <w:p w:rsidR="006C1553" w:rsidRDefault="006C1553" w:rsidP="00D5113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En otras palabras, no puede ante la omisión de indicar el nombre, domicilio, residencia o lugar donde deba ser citado, como la enunciación concreta de los hechos objeto de esa prueba, darse por no contestada la demanda</w:t>
      </w:r>
      <w:r w:rsidR="009D4A3C">
        <w:rPr>
          <w:rFonts w:ascii="Tahoma" w:hAnsi="Tahoma" w:cs="Tahoma"/>
          <w:lang w:val="es-MX"/>
        </w:rPr>
        <w:t>, ello vulneraría el principio de legalidad, al estar dispuesta una sanción diferente</w:t>
      </w:r>
      <w:r>
        <w:rPr>
          <w:rFonts w:ascii="Tahoma" w:hAnsi="Tahoma" w:cs="Tahoma"/>
          <w:lang w:val="es-MX"/>
        </w:rPr>
        <w:t>.</w:t>
      </w:r>
    </w:p>
    <w:p w:rsidR="002F010A" w:rsidRDefault="002F010A" w:rsidP="00D5113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</w:p>
    <w:p w:rsidR="004E3105" w:rsidRPr="00914C5C" w:rsidRDefault="006C1553" w:rsidP="006C1553">
      <w:pPr>
        <w:spacing w:line="360" w:lineRule="auto"/>
        <w:jc w:val="both"/>
        <w:rPr>
          <w:rFonts w:ascii="Tahoma" w:hAnsi="Tahoma" w:cs="Tahoma"/>
          <w:b/>
          <w:spacing w:val="2"/>
        </w:rPr>
      </w:pPr>
      <w:r>
        <w:rPr>
          <w:rFonts w:ascii="Tahoma" w:hAnsi="Tahoma" w:cs="Tahoma"/>
          <w:b/>
          <w:bCs/>
          <w:spacing w:val="2"/>
        </w:rPr>
        <w:t xml:space="preserve">2.2. Fundamento fáctico </w:t>
      </w:r>
    </w:p>
    <w:p w:rsidR="00AC3B92" w:rsidRDefault="00AC3B92" w:rsidP="00AC3B9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</w:p>
    <w:p w:rsidR="00E3528A" w:rsidRDefault="00AC3B92" w:rsidP="00D05A4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Bien. Al re</w:t>
      </w:r>
      <w:r w:rsidR="00D05A40">
        <w:rPr>
          <w:rFonts w:ascii="Tahoma" w:hAnsi="Tahoma" w:cs="Tahoma"/>
          <w:lang w:val="es-MX"/>
        </w:rPr>
        <w:t>visar</w:t>
      </w:r>
      <w:r>
        <w:rPr>
          <w:rFonts w:ascii="Tahoma" w:hAnsi="Tahoma" w:cs="Tahoma"/>
          <w:lang w:val="es-MX"/>
        </w:rPr>
        <w:t xml:space="preserve"> el escrito de contestación, en </w:t>
      </w:r>
      <w:r w:rsidR="00DB4017">
        <w:rPr>
          <w:rFonts w:ascii="Tahoma" w:hAnsi="Tahoma" w:cs="Tahoma"/>
          <w:lang w:val="es-MX"/>
        </w:rPr>
        <w:t xml:space="preserve">especial </w:t>
      </w:r>
      <w:r>
        <w:rPr>
          <w:rFonts w:ascii="Tahoma" w:hAnsi="Tahoma" w:cs="Tahoma"/>
          <w:lang w:val="es-MX"/>
        </w:rPr>
        <w:t xml:space="preserve">los puntos objeto </w:t>
      </w:r>
      <w:r w:rsidR="00DB4017">
        <w:rPr>
          <w:rFonts w:ascii="Tahoma" w:hAnsi="Tahoma" w:cs="Tahoma"/>
          <w:lang w:val="es-MX"/>
        </w:rPr>
        <w:t>de reparo de la primera instancia</w:t>
      </w:r>
      <w:r w:rsidR="00B6118C">
        <w:rPr>
          <w:rFonts w:ascii="Tahoma" w:hAnsi="Tahoma" w:cs="Tahoma"/>
          <w:lang w:val="es-MX"/>
        </w:rPr>
        <w:t xml:space="preserve"> (falta de fundamento legal y dirección de los testigos)</w:t>
      </w:r>
      <w:r>
        <w:rPr>
          <w:rFonts w:ascii="Tahoma" w:hAnsi="Tahoma" w:cs="Tahoma"/>
          <w:lang w:val="es-MX"/>
        </w:rPr>
        <w:t xml:space="preserve">, </w:t>
      </w:r>
      <w:r w:rsidR="00DB4017">
        <w:rPr>
          <w:rFonts w:ascii="Tahoma" w:hAnsi="Tahoma" w:cs="Tahoma"/>
          <w:lang w:val="es-MX"/>
        </w:rPr>
        <w:t>encuentra</w:t>
      </w:r>
      <w:r w:rsidR="00D05A40">
        <w:rPr>
          <w:rFonts w:ascii="Tahoma" w:hAnsi="Tahoma" w:cs="Tahoma"/>
          <w:lang w:val="es-MX"/>
        </w:rPr>
        <w:t xml:space="preserve"> la Sala</w:t>
      </w:r>
      <w:r w:rsidR="00DB4017">
        <w:rPr>
          <w:rFonts w:ascii="Tahoma" w:hAnsi="Tahoma" w:cs="Tahoma"/>
          <w:lang w:val="es-MX"/>
        </w:rPr>
        <w:t xml:space="preserve"> que tales defectos no existieron</w:t>
      </w:r>
      <w:r w:rsidR="00D05A40">
        <w:rPr>
          <w:rFonts w:ascii="Tahoma" w:hAnsi="Tahoma" w:cs="Tahoma"/>
          <w:lang w:val="es-MX"/>
        </w:rPr>
        <w:t xml:space="preserve">; dado que </w:t>
      </w:r>
      <w:r w:rsidR="00B6118C">
        <w:rPr>
          <w:rFonts w:ascii="Tahoma" w:hAnsi="Tahoma" w:cs="Tahoma"/>
          <w:lang w:val="es-MX"/>
        </w:rPr>
        <w:t xml:space="preserve">el demandado </w:t>
      </w:r>
      <w:r w:rsidR="00D05A40">
        <w:rPr>
          <w:rFonts w:ascii="Tahoma" w:hAnsi="Tahoma" w:cs="Tahoma"/>
          <w:lang w:val="es-MX"/>
        </w:rPr>
        <w:t>al referirse a los hechos y negarlos, invocó la celebración del contrato de arrendamiento</w:t>
      </w:r>
      <w:r w:rsidR="00B6118C">
        <w:rPr>
          <w:rFonts w:ascii="Tahoma" w:hAnsi="Tahoma" w:cs="Tahoma"/>
          <w:lang w:val="es-MX"/>
        </w:rPr>
        <w:t xml:space="preserve"> entre las partes</w:t>
      </w:r>
      <w:r w:rsidR="00D05A40">
        <w:rPr>
          <w:rFonts w:ascii="Tahoma" w:hAnsi="Tahoma" w:cs="Tahoma"/>
          <w:lang w:val="es-MX"/>
        </w:rPr>
        <w:t>, que en sí constituye el fundamento legal,</w:t>
      </w:r>
      <w:r w:rsidR="00B6118C">
        <w:rPr>
          <w:rFonts w:ascii="Tahoma" w:hAnsi="Tahoma" w:cs="Tahoma"/>
          <w:lang w:val="es-MX"/>
        </w:rPr>
        <w:t xml:space="preserve"> referencia a la institución jurídica</w:t>
      </w:r>
      <w:r w:rsidR="00D05A40">
        <w:rPr>
          <w:rFonts w:ascii="Tahoma" w:hAnsi="Tahoma" w:cs="Tahoma"/>
          <w:lang w:val="es-MX"/>
        </w:rPr>
        <w:t xml:space="preserve"> que es suficientemente para comprender la oposición a la demanda.</w:t>
      </w:r>
    </w:p>
    <w:p w:rsidR="00E3528A" w:rsidRDefault="00E3528A" w:rsidP="00D05A4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</w:p>
    <w:p w:rsidR="004E3105" w:rsidRDefault="00D05A40" w:rsidP="00E352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Considerar que ello es </w:t>
      </w:r>
      <w:r w:rsidR="00E3528A">
        <w:rPr>
          <w:rFonts w:ascii="Tahoma" w:hAnsi="Tahoma" w:cs="Tahoma"/>
          <w:lang w:val="es-MX"/>
        </w:rPr>
        <w:t>in</w:t>
      </w:r>
      <w:r>
        <w:rPr>
          <w:rFonts w:ascii="Tahoma" w:hAnsi="Tahoma" w:cs="Tahoma"/>
          <w:lang w:val="es-MX"/>
        </w:rPr>
        <w:t xml:space="preserve">suficiente sería llegar a un </w:t>
      </w:r>
      <w:r w:rsidR="004E3105">
        <w:rPr>
          <w:rFonts w:ascii="Tahoma" w:hAnsi="Tahoma" w:cs="Tahoma"/>
          <w:lang w:val="es-MX"/>
        </w:rPr>
        <w:t>formalismo in extremis</w:t>
      </w:r>
      <w:r>
        <w:rPr>
          <w:rFonts w:ascii="Tahoma" w:hAnsi="Tahoma" w:cs="Tahoma"/>
          <w:lang w:val="es-MX"/>
        </w:rPr>
        <w:t>, que</w:t>
      </w:r>
      <w:r w:rsidR="004E3105">
        <w:rPr>
          <w:rFonts w:ascii="Tahoma" w:hAnsi="Tahoma" w:cs="Tahoma"/>
          <w:lang w:val="es-MX"/>
        </w:rPr>
        <w:t xml:space="preserve"> puede</w:t>
      </w:r>
      <w:r w:rsidR="00E3528A">
        <w:rPr>
          <w:rFonts w:ascii="Tahoma" w:hAnsi="Tahoma" w:cs="Tahoma"/>
          <w:lang w:val="es-MX"/>
        </w:rPr>
        <w:t xml:space="preserve"> </w:t>
      </w:r>
      <w:r w:rsidR="004E3105">
        <w:rPr>
          <w:rFonts w:ascii="Tahoma" w:hAnsi="Tahoma" w:cs="Tahoma"/>
          <w:lang w:val="es-MX"/>
        </w:rPr>
        <w:t>conculca</w:t>
      </w:r>
      <w:r w:rsidR="00E3528A">
        <w:rPr>
          <w:rFonts w:ascii="Tahoma" w:hAnsi="Tahoma" w:cs="Tahoma"/>
          <w:lang w:val="es-MX"/>
        </w:rPr>
        <w:t>r el derecho a la</w:t>
      </w:r>
      <w:r w:rsidR="004E3105">
        <w:rPr>
          <w:rFonts w:ascii="Tahoma" w:hAnsi="Tahoma" w:cs="Tahoma"/>
          <w:lang w:val="es-MX"/>
        </w:rPr>
        <w:t xml:space="preserve"> defensa y el debido proceso</w:t>
      </w:r>
      <w:r w:rsidR="00E3528A">
        <w:rPr>
          <w:rFonts w:ascii="Tahoma" w:hAnsi="Tahoma" w:cs="Tahoma"/>
          <w:lang w:val="es-MX"/>
        </w:rPr>
        <w:t>; por eso, como lo ha dicho este Tribunal “…</w:t>
      </w:r>
      <w:r w:rsidR="004E3105" w:rsidRPr="00E3528A">
        <w:rPr>
          <w:rFonts w:ascii="Tahoma" w:hAnsi="Tahoma" w:cs="Tahoma"/>
          <w:i/>
          <w:lang w:val="es-MX"/>
        </w:rPr>
        <w:t>le corresponde al juez de conocimiento al momento de analizar la demanda o la contestación de la misma, hacer una interpretación de los escritos no solo integral sino racional, de modo que las causales de inadmisión de una y otra resulten coherentes con el texto del escrito, dejando a un lado un protocolo meramente mecánico</w:t>
      </w:r>
      <w:r w:rsidR="00E3528A">
        <w:rPr>
          <w:rFonts w:ascii="Tahoma" w:hAnsi="Tahoma" w:cs="Tahoma"/>
          <w:lang w:val="es-MX"/>
        </w:rPr>
        <w:t>”</w:t>
      </w:r>
      <w:r w:rsidR="004E3105">
        <w:rPr>
          <w:rFonts w:ascii="Tahoma" w:hAnsi="Tahoma" w:cs="Tahoma"/>
          <w:lang w:val="es-MX"/>
        </w:rPr>
        <w:t>.</w:t>
      </w:r>
      <w:r w:rsidR="00E3528A">
        <w:rPr>
          <w:rFonts w:ascii="Tahoma" w:hAnsi="Tahoma" w:cs="Tahoma"/>
          <w:lang w:val="es-MX"/>
        </w:rPr>
        <w:t xml:space="preserve"> </w:t>
      </w:r>
    </w:p>
    <w:p w:rsidR="00E3528A" w:rsidRDefault="00E3528A" w:rsidP="00E352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</w:p>
    <w:p w:rsidR="004E3105" w:rsidRPr="00A60253" w:rsidRDefault="0023732F" w:rsidP="00A1198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Al referirse a</w:t>
      </w:r>
      <w:r w:rsidR="00633BDF">
        <w:rPr>
          <w:rFonts w:ascii="Tahoma" w:hAnsi="Tahoma" w:cs="Tahoma"/>
          <w:lang w:val="es-MX"/>
        </w:rPr>
        <w:t>l requisito del numeral 5 del artículo 31 del CPTSS</w:t>
      </w:r>
      <w:r>
        <w:rPr>
          <w:rFonts w:ascii="Tahoma" w:hAnsi="Tahoma" w:cs="Tahoma"/>
          <w:lang w:val="es-MX"/>
        </w:rPr>
        <w:t xml:space="preserve"> la sociedad lo </w:t>
      </w:r>
      <w:r w:rsidR="00633BDF">
        <w:rPr>
          <w:rFonts w:ascii="Tahoma" w:hAnsi="Tahoma" w:cs="Tahoma"/>
          <w:lang w:val="es-MX"/>
        </w:rPr>
        <w:t xml:space="preserve">cumplió </w:t>
      </w:r>
      <w:r>
        <w:rPr>
          <w:rFonts w:ascii="Tahoma" w:hAnsi="Tahoma" w:cs="Tahoma"/>
          <w:lang w:val="es-MX"/>
        </w:rPr>
        <w:t xml:space="preserve"> </w:t>
      </w:r>
      <w:r w:rsidR="00633BDF">
        <w:rPr>
          <w:rFonts w:ascii="Tahoma" w:hAnsi="Tahoma" w:cs="Tahoma"/>
          <w:lang w:val="es-MX"/>
        </w:rPr>
        <w:t>al indicar las pruebas pedidas de manera separada y clasificada; única</w:t>
      </w:r>
      <w:r w:rsidR="00A1198D">
        <w:rPr>
          <w:rFonts w:ascii="Tahoma" w:hAnsi="Tahoma" w:cs="Tahoma"/>
          <w:lang w:val="es-MX"/>
        </w:rPr>
        <w:t>s</w:t>
      </w:r>
      <w:r w:rsidR="00633BDF">
        <w:rPr>
          <w:rFonts w:ascii="Tahoma" w:hAnsi="Tahoma" w:cs="Tahoma"/>
          <w:lang w:val="es-MX"/>
        </w:rPr>
        <w:t xml:space="preserve"> exigencias para darlo por satisfecho; otra cosa, </w:t>
      </w:r>
      <w:r>
        <w:rPr>
          <w:rFonts w:ascii="Tahoma" w:hAnsi="Tahoma" w:cs="Tahoma"/>
          <w:lang w:val="es-MX"/>
        </w:rPr>
        <w:t xml:space="preserve">son las formalidades de </w:t>
      </w:r>
      <w:r w:rsidR="00633BDF">
        <w:rPr>
          <w:rFonts w:ascii="Tahoma" w:hAnsi="Tahoma" w:cs="Tahoma"/>
          <w:lang w:val="es-MX"/>
        </w:rPr>
        <w:t>la prueba testimonial</w:t>
      </w:r>
      <w:r>
        <w:rPr>
          <w:rFonts w:ascii="Tahoma" w:hAnsi="Tahoma" w:cs="Tahoma"/>
          <w:lang w:val="es-MX"/>
        </w:rPr>
        <w:t>, ya citadas,</w:t>
      </w:r>
      <w:r w:rsidR="00A1198D">
        <w:rPr>
          <w:rFonts w:ascii="Tahoma" w:hAnsi="Tahoma" w:cs="Tahoma"/>
          <w:lang w:val="es-MX"/>
        </w:rPr>
        <w:t xml:space="preserve"> que de no obrar</w:t>
      </w:r>
      <w:r w:rsidR="00AC6CAF">
        <w:rPr>
          <w:rFonts w:ascii="Tahoma" w:hAnsi="Tahoma" w:cs="Tahoma"/>
          <w:lang w:val="es-MX"/>
        </w:rPr>
        <w:t xml:space="preserve">, a excepción de la falta de la dirección, al poderse suplir </w:t>
      </w:r>
      <w:r w:rsidR="00AC6CAF">
        <w:rPr>
          <w:rFonts w:ascii="Tahoma" w:hAnsi="Tahoma" w:cs="Tahoma"/>
          <w:lang w:val="es-MX"/>
        </w:rPr>
        <w:lastRenderedPageBreak/>
        <w:t>con la citación que le haga la misma parte,</w:t>
      </w:r>
      <w:r w:rsidR="00A1198D">
        <w:rPr>
          <w:rFonts w:ascii="Tahoma" w:hAnsi="Tahoma" w:cs="Tahoma"/>
          <w:lang w:val="es-MX"/>
        </w:rPr>
        <w:t xml:space="preserve"> dará lugar a su negativa únicamente</w:t>
      </w:r>
      <w:r>
        <w:rPr>
          <w:rFonts w:ascii="Tahoma" w:hAnsi="Tahoma" w:cs="Tahoma"/>
          <w:lang w:val="es-MX"/>
        </w:rPr>
        <w:t xml:space="preserve">, pero nunca a dar por </w:t>
      </w:r>
      <w:r w:rsidR="0051433C">
        <w:rPr>
          <w:rFonts w:ascii="Tahoma" w:hAnsi="Tahoma" w:cs="Tahoma"/>
          <w:lang w:val="es-MX"/>
        </w:rPr>
        <w:t xml:space="preserve">no </w:t>
      </w:r>
      <w:r>
        <w:rPr>
          <w:rFonts w:ascii="Tahoma" w:hAnsi="Tahoma" w:cs="Tahoma"/>
          <w:lang w:val="es-MX"/>
        </w:rPr>
        <w:t>contestada la demanda</w:t>
      </w:r>
      <w:r w:rsidR="006F3BA2">
        <w:rPr>
          <w:rFonts w:ascii="Tahoma" w:hAnsi="Tahoma" w:cs="Tahoma"/>
          <w:lang w:val="es-MX"/>
        </w:rPr>
        <w:t>; pues son dos sanciones diferentes</w:t>
      </w:r>
      <w:r w:rsidR="00A13F4A">
        <w:rPr>
          <w:rFonts w:ascii="Tahoma" w:hAnsi="Tahoma" w:cs="Tahoma"/>
          <w:lang w:val="es-MX"/>
        </w:rPr>
        <w:t xml:space="preserve"> que operan en momentos también distintos</w:t>
      </w:r>
      <w:r w:rsidR="00B55E99">
        <w:rPr>
          <w:rFonts w:ascii="Tahoma" w:hAnsi="Tahoma" w:cs="Tahoma"/>
          <w:lang w:val="es-MX"/>
        </w:rPr>
        <w:t>.</w:t>
      </w:r>
      <w:r w:rsidR="006F3BA2">
        <w:rPr>
          <w:rFonts w:ascii="Tahoma" w:hAnsi="Tahoma" w:cs="Tahoma"/>
          <w:lang w:val="es-MX"/>
        </w:rPr>
        <w:t xml:space="preserve"> </w:t>
      </w:r>
      <w:r w:rsidR="00A1198D">
        <w:rPr>
          <w:rFonts w:ascii="Tahoma" w:hAnsi="Tahoma" w:cs="Tahoma"/>
          <w:lang w:val="es-MX"/>
        </w:rPr>
        <w:t xml:space="preserve"> </w:t>
      </w:r>
    </w:p>
    <w:p w:rsidR="00A60253" w:rsidRDefault="00A60253" w:rsidP="00A6025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CF4F8E" w:rsidRDefault="00A60253" w:rsidP="00A6025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este orden de ideas, no había lugar a inadmitir la contestación en este asunto, por lo que el silencio del demandado en subsanar las falencias tampoco genera la sanción de no tener</w:t>
      </w:r>
      <w:r w:rsidR="0010789A">
        <w:rPr>
          <w:rFonts w:ascii="Tahoma" w:hAnsi="Tahoma" w:cs="Tahoma"/>
        </w:rPr>
        <w:t>la</w:t>
      </w:r>
      <w:r>
        <w:rPr>
          <w:rFonts w:ascii="Tahoma" w:hAnsi="Tahoma" w:cs="Tahoma"/>
        </w:rPr>
        <w:t xml:space="preserve"> por no </w:t>
      </w:r>
      <w:r w:rsidR="00CF4F8E">
        <w:rPr>
          <w:rFonts w:ascii="Tahoma" w:hAnsi="Tahoma" w:cs="Tahoma"/>
        </w:rPr>
        <w:t>contestada.</w:t>
      </w:r>
    </w:p>
    <w:p w:rsidR="0010789A" w:rsidRPr="0010789A" w:rsidRDefault="0010789A" w:rsidP="00A6025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</w:p>
    <w:p w:rsidR="0010789A" w:rsidRPr="0010789A" w:rsidRDefault="0010789A" w:rsidP="0010789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</w:rPr>
      </w:pPr>
      <w:r w:rsidRPr="0010789A">
        <w:rPr>
          <w:rFonts w:ascii="Tahoma" w:hAnsi="Tahoma" w:cs="Tahoma"/>
          <w:b/>
        </w:rPr>
        <w:t>CONCLUSIÓN</w:t>
      </w:r>
    </w:p>
    <w:p w:rsidR="004E3105" w:rsidRPr="00914C5C" w:rsidRDefault="004E3105" w:rsidP="00A6025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914C5C">
        <w:rPr>
          <w:rFonts w:ascii="Tahoma" w:hAnsi="Tahoma" w:cs="Tahoma"/>
        </w:rPr>
        <w:t xml:space="preserve">En consecuencia, se revocará el auto apelado para, en su lugar, </w:t>
      </w:r>
      <w:r w:rsidR="0010789A">
        <w:rPr>
          <w:rFonts w:ascii="Tahoma" w:hAnsi="Tahoma" w:cs="Tahoma"/>
        </w:rPr>
        <w:t>tener por contestada la demanda</w:t>
      </w:r>
      <w:r>
        <w:rPr>
          <w:rFonts w:ascii="Tahoma" w:hAnsi="Tahoma" w:cs="Tahoma"/>
        </w:rPr>
        <w:t>.</w:t>
      </w:r>
    </w:p>
    <w:p w:rsidR="004E3105" w:rsidRPr="00914C5C" w:rsidRDefault="004E3105" w:rsidP="004E3105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</w:rPr>
      </w:pPr>
    </w:p>
    <w:p w:rsidR="004E3105" w:rsidRDefault="004E3105" w:rsidP="0010789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40C2D">
        <w:rPr>
          <w:rFonts w:ascii="Tahoma" w:hAnsi="Tahoma" w:cs="Tahoma"/>
        </w:rPr>
        <w:t>Sin costas en esta instancia</w:t>
      </w:r>
      <w:r>
        <w:rPr>
          <w:rFonts w:ascii="Tahoma" w:hAnsi="Tahoma" w:cs="Tahoma"/>
        </w:rPr>
        <w:t xml:space="preserve"> por haber prosperado el recurso</w:t>
      </w:r>
      <w:r w:rsidR="0010789A">
        <w:rPr>
          <w:rFonts w:ascii="Tahoma" w:hAnsi="Tahoma" w:cs="Tahoma"/>
        </w:rPr>
        <w:t xml:space="preserve">. </w:t>
      </w:r>
    </w:p>
    <w:p w:rsidR="004E3105" w:rsidRPr="00917AEF" w:rsidRDefault="004E3105" w:rsidP="004E3105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</w:rPr>
      </w:pPr>
    </w:p>
    <w:p w:rsidR="00917AEF" w:rsidRDefault="00917AEF" w:rsidP="00917AE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</w:rPr>
      </w:pPr>
      <w:r w:rsidRPr="00917AEF">
        <w:rPr>
          <w:rFonts w:ascii="Tahoma" w:hAnsi="Tahoma" w:cs="Tahoma"/>
          <w:b/>
        </w:rPr>
        <w:t>DECISIÓN</w:t>
      </w:r>
    </w:p>
    <w:p w:rsidR="004E3105" w:rsidRPr="00914C5C" w:rsidRDefault="004E3105" w:rsidP="00917AE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MX"/>
        </w:rPr>
      </w:pPr>
      <w:r w:rsidRPr="00914C5C">
        <w:rPr>
          <w:rFonts w:ascii="Tahoma" w:hAnsi="Tahoma" w:cs="Tahoma"/>
        </w:rPr>
        <w:t xml:space="preserve">En mérito de  lo expuesto, el </w:t>
      </w:r>
      <w:r w:rsidRPr="00914C5C">
        <w:rPr>
          <w:rFonts w:ascii="Tahoma" w:hAnsi="Tahoma" w:cs="Tahoma"/>
          <w:b/>
        </w:rPr>
        <w:t>TRIBUNAL SUPERIOR DEL DISTRITO JUDICIAL DE PEREIRA (RISARALDA)</w:t>
      </w:r>
      <w:r w:rsidRPr="00914C5C">
        <w:rPr>
          <w:rFonts w:ascii="Tahoma" w:hAnsi="Tahoma" w:cs="Tahoma"/>
        </w:rPr>
        <w:t xml:space="preserve">, </w:t>
      </w:r>
      <w:r w:rsidRPr="00914C5C">
        <w:rPr>
          <w:rFonts w:ascii="Tahoma" w:hAnsi="Tahoma" w:cs="Tahoma"/>
          <w:b/>
        </w:rPr>
        <w:t>SALA LABORAL</w:t>
      </w:r>
      <w:r w:rsidRPr="00914C5C">
        <w:rPr>
          <w:rFonts w:ascii="Tahoma" w:hAnsi="Tahoma" w:cs="Tahoma"/>
        </w:rPr>
        <w:t xml:space="preserve">, </w:t>
      </w:r>
    </w:p>
    <w:p w:rsidR="004E3105" w:rsidRPr="00DA2D99" w:rsidRDefault="004E3105" w:rsidP="004E310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s-MX"/>
        </w:rPr>
      </w:pPr>
    </w:p>
    <w:p w:rsidR="004E3105" w:rsidRPr="00914C5C" w:rsidRDefault="004E3105" w:rsidP="004E310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14C5C">
        <w:rPr>
          <w:rFonts w:ascii="Tahoma" w:hAnsi="Tahoma" w:cs="Tahoma"/>
          <w:b/>
        </w:rPr>
        <w:t>R E S U E L V E:</w:t>
      </w:r>
    </w:p>
    <w:p w:rsidR="004E3105" w:rsidRPr="00914C5C" w:rsidRDefault="004E3105" w:rsidP="004E310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E3105" w:rsidRPr="00914C5C" w:rsidRDefault="004E3105" w:rsidP="007B7C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914C5C">
        <w:rPr>
          <w:rFonts w:ascii="Tahoma" w:hAnsi="Tahoma" w:cs="Tahoma"/>
          <w:b/>
          <w:u w:val="single"/>
        </w:rPr>
        <w:t>PRIMERO</w:t>
      </w:r>
      <w:r w:rsidRPr="00914C5C">
        <w:rPr>
          <w:rFonts w:ascii="Tahoma" w:hAnsi="Tahoma" w:cs="Tahoma"/>
        </w:rPr>
        <w:t xml:space="preserve">. </w:t>
      </w:r>
      <w:r w:rsidRPr="00914C5C">
        <w:rPr>
          <w:rFonts w:ascii="Tahoma" w:hAnsi="Tahoma" w:cs="Tahoma"/>
          <w:b/>
        </w:rPr>
        <w:t>REVOCAR</w:t>
      </w:r>
      <w:r w:rsidR="00917AEF">
        <w:rPr>
          <w:rFonts w:ascii="Tahoma" w:hAnsi="Tahoma" w:cs="Tahoma"/>
        </w:rPr>
        <w:t xml:space="preserve"> los autos proferidos el</w:t>
      </w:r>
      <w:r w:rsidR="00121D47">
        <w:rPr>
          <w:rFonts w:ascii="Tahoma" w:hAnsi="Tahoma" w:cs="Tahoma"/>
        </w:rPr>
        <w:t xml:space="preserve"> 29-11-2017</w:t>
      </w:r>
      <w:r w:rsidR="00917AEF">
        <w:rPr>
          <w:rFonts w:ascii="Tahoma" w:hAnsi="Tahoma" w:cs="Tahoma"/>
        </w:rPr>
        <w:t xml:space="preserve"> </w:t>
      </w:r>
      <w:r w:rsidR="00121D47">
        <w:rPr>
          <w:rFonts w:ascii="Tahoma" w:hAnsi="Tahoma" w:cs="Tahoma"/>
        </w:rPr>
        <w:t xml:space="preserve">y </w:t>
      </w:r>
      <w:r w:rsidR="00121D47">
        <w:rPr>
          <w:rFonts w:ascii="Arial" w:hAnsi="Arial" w:cs="Arial"/>
        </w:rPr>
        <w:t>15-12-2018</w:t>
      </w:r>
      <w:r w:rsidR="00917AEF">
        <w:rPr>
          <w:rFonts w:ascii="Tahoma" w:hAnsi="Tahoma" w:cs="Tahoma"/>
        </w:rPr>
        <w:t xml:space="preserve"> </w:t>
      </w:r>
      <w:r w:rsidRPr="00914C5C">
        <w:rPr>
          <w:rFonts w:ascii="Tahoma" w:hAnsi="Tahoma" w:cs="Tahoma"/>
        </w:rPr>
        <w:t xml:space="preserve">por el Juzgado </w:t>
      </w:r>
      <w:r w:rsidR="00121D47">
        <w:rPr>
          <w:rFonts w:ascii="Tahoma" w:hAnsi="Tahoma" w:cs="Tahoma"/>
        </w:rPr>
        <w:t>Cuarto</w:t>
      </w:r>
      <w:r w:rsidRPr="00914C5C">
        <w:rPr>
          <w:rFonts w:ascii="Tahoma" w:hAnsi="Tahoma" w:cs="Tahoma"/>
        </w:rPr>
        <w:t xml:space="preserve"> Laboral del Circuito de Pereira, dentro del proceso </w:t>
      </w:r>
      <w:r w:rsidR="00917AEF">
        <w:rPr>
          <w:rFonts w:ascii="Tahoma" w:hAnsi="Tahoma" w:cs="Tahoma"/>
        </w:rPr>
        <w:t>de la referencia</w:t>
      </w:r>
      <w:r w:rsidR="007B7C43">
        <w:rPr>
          <w:rFonts w:ascii="Tahoma" w:hAnsi="Tahoma" w:cs="Tahoma"/>
        </w:rPr>
        <w:t xml:space="preserve">, para en su lugar, dar por </w:t>
      </w:r>
      <w:r w:rsidR="00A0066A">
        <w:rPr>
          <w:rFonts w:ascii="Tahoma" w:hAnsi="Tahoma" w:cs="Tahoma"/>
        </w:rPr>
        <w:t>presentada</w:t>
      </w:r>
      <w:r w:rsidR="007B7C43">
        <w:rPr>
          <w:rFonts w:ascii="Tahoma" w:hAnsi="Tahoma" w:cs="Tahoma"/>
        </w:rPr>
        <w:t xml:space="preserve"> la </w:t>
      </w:r>
      <w:r w:rsidRPr="00914C5C">
        <w:rPr>
          <w:rFonts w:ascii="Tahoma" w:hAnsi="Tahoma" w:cs="Tahoma"/>
        </w:rPr>
        <w:t>contestación de la demanda</w:t>
      </w:r>
      <w:r w:rsidRPr="00914C5C">
        <w:rPr>
          <w:rFonts w:ascii="Tahoma" w:hAnsi="Tahoma" w:cs="Tahoma"/>
          <w:bCs/>
        </w:rPr>
        <w:t xml:space="preserve"> </w:t>
      </w:r>
      <w:r w:rsidR="00FA67B9">
        <w:rPr>
          <w:rFonts w:ascii="Tahoma" w:hAnsi="Tahoma" w:cs="Tahoma"/>
          <w:bCs/>
        </w:rPr>
        <w:t>allegada</w:t>
      </w:r>
      <w:r w:rsidR="00FA67B9">
        <w:rPr>
          <w:rFonts w:ascii="Tahoma" w:hAnsi="Tahoma" w:cs="Tahoma"/>
        </w:rPr>
        <w:t xml:space="preserve"> </w:t>
      </w:r>
      <w:r w:rsidRPr="00914C5C">
        <w:rPr>
          <w:rFonts w:ascii="Tahoma" w:hAnsi="Tahoma" w:cs="Tahoma"/>
        </w:rPr>
        <w:t>en este proceso por</w:t>
      </w:r>
      <w:r>
        <w:rPr>
          <w:rFonts w:ascii="Tahoma" w:hAnsi="Tahoma" w:cs="Tahoma"/>
        </w:rPr>
        <w:t xml:space="preserve"> la parte demandada</w:t>
      </w:r>
      <w:r w:rsidRPr="00914C5C">
        <w:rPr>
          <w:rFonts w:ascii="Tahoma" w:hAnsi="Tahoma" w:cs="Tahoma"/>
        </w:rPr>
        <w:t>.</w:t>
      </w:r>
    </w:p>
    <w:p w:rsidR="004E3105" w:rsidRPr="00914C5C" w:rsidRDefault="004E3105" w:rsidP="004E3105">
      <w:pPr>
        <w:widowControl w:val="0"/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</w:p>
    <w:p w:rsidR="004E3105" w:rsidRPr="00914C5C" w:rsidRDefault="007B7C43" w:rsidP="007B7C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SEGUNDO. </w:t>
      </w:r>
      <w:r w:rsidR="004E3105" w:rsidRPr="00914C5C">
        <w:rPr>
          <w:rFonts w:ascii="Tahoma" w:hAnsi="Tahoma" w:cs="Tahoma"/>
        </w:rPr>
        <w:t xml:space="preserve">Sin lugar a costas </w:t>
      </w:r>
      <w:r w:rsidR="004E3105" w:rsidRPr="00914C5C">
        <w:rPr>
          <w:rFonts w:ascii="Tahoma" w:hAnsi="Tahoma" w:cs="Tahoma"/>
          <w:bCs/>
        </w:rPr>
        <w:t>en esta instancia.</w:t>
      </w:r>
    </w:p>
    <w:p w:rsidR="004E3105" w:rsidRDefault="004E3105" w:rsidP="004E3105">
      <w:pPr>
        <w:rPr>
          <w:rFonts w:ascii="Tahoma" w:hAnsi="Tahoma" w:cs="Tahoma"/>
          <w:b/>
          <w:sz w:val="18"/>
          <w:szCs w:val="18"/>
        </w:rPr>
      </w:pPr>
    </w:p>
    <w:p w:rsidR="004E3105" w:rsidRDefault="004E3105" w:rsidP="004E3105">
      <w:pPr>
        <w:rPr>
          <w:rFonts w:ascii="Tahoma" w:hAnsi="Tahoma" w:cs="Tahoma"/>
          <w:b/>
          <w:sz w:val="18"/>
          <w:szCs w:val="18"/>
        </w:rPr>
      </w:pPr>
    </w:p>
    <w:p w:rsidR="004E3105" w:rsidRPr="00914C5C" w:rsidRDefault="009C7090" w:rsidP="004E310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9C7090" w:rsidRDefault="009C7090" w:rsidP="009C70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Notifíquese y cúmplase</w:t>
      </w:r>
    </w:p>
    <w:p w:rsidR="004E3105" w:rsidRPr="00914C5C" w:rsidRDefault="009C7090" w:rsidP="009C7090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Los Magistrados, </w:t>
      </w:r>
    </w:p>
    <w:p w:rsidR="004E3105" w:rsidRDefault="004E3105" w:rsidP="004E310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E3105" w:rsidRPr="00C44488" w:rsidRDefault="009C7090" w:rsidP="004E3105">
      <w:pPr>
        <w:pStyle w:val="Ttulo3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OLGA LUCÍA HOYOS SEPÚLVEDA</w:t>
      </w:r>
    </w:p>
    <w:p w:rsidR="004E3105" w:rsidRDefault="004E3105" w:rsidP="004E3105">
      <w:pPr>
        <w:jc w:val="center"/>
        <w:rPr>
          <w:rFonts w:ascii="Tahoma" w:hAnsi="Tahoma" w:cs="Tahoma"/>
          <w:b/>
          <w:bCs/>
          <w:color w:val="000000"/>
          <w:spacing w:val="2"/>
        </w:rPr>
      </w:pPr>
    </w:p>
    <w:p w:rsidR="004E3105" w:rsidRDefault="004E3105" w:rsidP="004E3105">
      <w:pPr>
        <w:jc w:val="center"/>
        <w:rPr>
          <w:rFonts w:ascii="Tahoma" w:hAnsi="Tahoma" w:cs="Tahoma"/>
          <w:b/>
          <w:bCs/>
          <w:color w:val="000000"/>
          <w:spacing w:val="2"/>
        </w:rPr>
      </w:pPr>
    </w:p>
    <w:p w:rsidR="009C7090" w:rsidRDefault="009C7090" w:rsidP="004E3105">
      <w:pPr>
        <w:jc w:val="center"/>
        <w:rPr>
          <w:rFonts w:ascii="Tahoma" w:hAnsi="Tahoma" w:cs="Tahoma"/>
          <w:b/>
          <w:bCs/>
          <w:color w:val="000000"/>
          <w:spacing w:val="2"/>
        </w:rPr>
      </w:pPr>
    </w:p>
    <w:p w:rsidR="004E3105" w:rsidRPr="00C44488" w:rsidRDefault="004E3105" w:rsidP="004E3105">
      <w:pPr>
        <w:jc w:val="center"/>
        <w:rPr>
          <w:rFonts w:ascii="Tahoma" w:hAnsi="Tahoma" w:cs="Tahoma"/>
          <w:b/>
          <w:bCs/>
          <w:color w:val="000000"/>
          <w:spacing w:val="2"/>
          <w:sz w:val="23"/>
          <w:szCs w:val="23"/>
        </w:rPr>
      </w:pPr>
      <w:r w:rsidRPr="00C44488">
        <w:rPr>
          <w:rFonts w:ascii="Tahoma" w:hAnsi="Tahoma" w:cs="Tahoma"/>
          <w:b/>
          <w:bCs/>
          <w:color w:val="000000"/>
          <w:spacing w:val="2"/>
          <w:sz w:val="23"/>
          <w:szCs w:val="23"/>
        </w:rPr>
        <w:t xml:space="preserve">JULIO CÉSAR SALAZAR MUÑOZ  </w:t>
      </w:r>
      <w:r w:rsidR="009C7090">
        <w:rPr>
          <w:rFonts w:ascii="Tahoma" w:hAnsi="Tahoma" w:cs="Tahoma"/>
          <w:b/>
          <w:bCs/>
          <w:color w:val="000000"/>
          <w:spacing w:val="2"/>
          <w:sz w:val="23"/>
          <w:szCs w:val="23"/>
        </w:rPr>
        <w:t xml:space="preserve">      </w:t>
      </w:r>
      <w:r w:rsidRPr="00C44488">
        <w:rPr>
          <w:rFonts w:ascii="Tahoma" w:hAnsi="Tahoma" w:cs="Tahoma"/>
          <w:b/>
          <w:bCs/>
          <w:color w:val="000000"/>
          <w:spacing w:val="2"/>
          <w:sz w:val="23"/>
          <w:szCs w:val="23"/>
        </w:rPr>
        <w:t>FRANCISCO JAVIER TAMAYO TABARES</w:t>
      </w:r>
    </w:p>
    <w:p w:rsidR="004E3105" w:rsidRDefault="004E3105" w:rsidP="004E3105">
      <w:pPr>
        <w:rPr>
          <w:rFonts w:ascii="Tahoma" w:hAnsi="Tahoma" w:cs="Tahoma"/>
          <w:b/>
          <w:bCs/>
          <w:color w:val="000000"/>
          <w:spacing w:val="2"/>
        </w:rPr>
      </w:pPr>
    </w:p>
    <w:p w:rsidR="004E3105" w:rsidRPr="00A9223D" w:rsidRDefault="009C7090" w:rsidP="004E31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b/>
          <w:bCs/>
          <w:color w:val="000000"/>
          <w:spacing w:val="2"/>
        </w:rPr>
        <w:t xml:space="preserve"> </w:t>
      </w:r>
    </w:p>
    <w:p w:rsidR="0079295E" w:rsidRDefault="0079295E" w:rsidP="00FA5B25">
      <w:pPr>
        <w:pStyle w:val="Ttulo4"/>
      </w:pPr>
    </w:p>
    <w:sectPr w:rsidR="0079295E" w:rsidSect="0089082B">
      <w:headerReference w:type="even" r:id="rId7"/>
      <w:footerReference w:type="even" r:id="rId8"/>
      <w:footerReference w:type="default" r:id="rId9"/>
      <w:pgSz w:w="12242" w:h="18722" w:code="124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7C" w:rsidRDefault="00B4767C">
      <w:r>
        <w:separator/>
      </w:r>
    </w:p>
  </w:endnote>
  <w:endnote w:type="continuationSeparator" w:id="0">
    <w:p w:rsidR="00B4767C" w:rsidRDefault="00B4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FC" w:rsidRDefault="00A860DB" w:rsidP="0020352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30FC" w:rsidRDefault="00B476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FC" w:rsidRDefault="00A860DB" w:rsidP="0020352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6B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D30FC" w:rsidRDefault="00B476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7C" w:rsidRDefault="00B4767C">
      <w:r>
        <w:separator/>
      </w:r>
    </w:p>
  </w:footnote>
  <w:footnote w:type="continuationSeparator" w:id="0">
    <w:p w:rsidR="00B4767C" w:rsidRDefault="00B4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FC" w:rsidRDefault="00A860DB" w:rsidP="0089082B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30FC" w:rsidRDefault="00B47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7ED"/>
    <w:multiLevelType w:val="hybridMultilevel"/>
    <w:tmpl w:val="3FFAC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D1768"/>
    <w:multiLevelType w:val="hybridMultilevel"/>
    <w:tmpl w:val="053ADA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8227B"/>
    <w:multiLevelType w:val="multilevel"/>
    <w:tmpl w:val="FA52C63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0"/>
        </w:tabs>
        <w:ind w:left="11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0"/>
        </w:tabs>
        <w:ind w:left="140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80"/>
        </w:tabs>
        <w:ind w:left="163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39"/>
    <w:rsid w:val="000B25CB"/>
    <w:rsid w:val="0010789A"/>
    <w:rsid w:val="00121D47"/>
    <w:rsid w:val="00185398"/>
    <w:rsid w:val="001B052F"/>
    <w:rsid w:val="001E24B7"/>
    <w:rsid w:val="0023732F"/>
    <w:rsid w:val="002F010A"/>
    <w:rsid w:val="002F7E57"/>
    <w:rsid w:val="00342220"/>
    <w:rsid w:val="003B713B"/>
    <w:rsid w:val="00400D08"/>
    <w:rsid w:val="00445DF7"/>
    <w:rsid w:val="0047227C"/>
    <w:rsid w:val="00486A26"/>
    <w:rsid w:val="004E3105"/>
    <w:rsid w:val="00500B0B"/>
    <w:rsid w:val="0051433C"/>
    <w:rsid w:val="0056157B"/>
    <w:rsid w:val="005A70B7"/>
    <w:rsid w:val="006167D7"/>
    <w:rsid w:val="00621232"/>
    <w:rsid w:val="00633BDF"/>
    <w:rsid w:val="00652B63"/>
    <w:rsid w:val="006A31D9"/>
    <w:rsid w:val="006B3C3E"/>
    <w:rsid w:val="006C1553"/>
    <w:rsid w:val="006E4886"/>
    <w:rsid w:val="006F3BA2"/>
    <w:rsid w:val="00714604"/>
    <w:rsid w:val="007430A5"/>
    <w:rsid w:val="00776078"/>
    <w:rsid w:val="0079295E"/>
    <w:rsid w:val="007B7C43"/>
    <w:rsid w:val="0083121B"/>
    <w:rsid w:val="00837CD0"/>
    <w:rsid w:val="008B662F"/>
    <w:rsid w:val="009115E5"/>
    <w:rsid w:val="00917AEF"/>
    <w:rsid w:val="00941C8E"/>
    <w:rsid w:val="0096251F"/>
    <w:rsid w:val="00962DE0"/>
    <w:rsid w:val="009A67BB"/>
    <w:rsid w:val="009C1F44"/>
    <w:rsid w:val="009C7090"/>
    <w:rsid w:val="009D4A3C"/>
    <w:rsid w:val="00A0066A"/>
    <w:rsid w:val="00A1198D"/>
    <w:rsid w:val="00A13F4A"/>
    <w:rsid w:val="00A60253"/>
    <w:rsid w:val="00A64CD1"/>
    <w:rsid w:val="00A860DB"/>
    <w:rsid w:val="00AC3B92"/>
    <w:rsid w:val="00AC6152"/>
    <w:rsid w:val="00AC6CAF"/>
    <w:rsid w:val="00B4767C"/>
    <w:rsid w:val="00B55E99"/>
    <w:rsid w:val="00B6118C"/>
    <w:rsid w:val="00B66C42"/>
    <w:rsid w:val="00B80E39"/>
    <w:rsid w:val="00C836F2"/>
    <w:rsid w:val="00CA2539"/>
    <w:rsid w:val="00CC4DF6"/>
    <w:rsid w:val="00CF4F8E"/>
    <w:rsid w:val="00D05A40"/>
    <w:rsid w:val="00D16B67"/>
    <w:rsid w:val="00D5113F"/>
    <w:rsid w:val="00D85413"/>
    <w:rsid w:val="00D86F2A"/>
    <w:rsid w:val="00D93D5A"/>
    <w:rsid w:val="00DB4017"/>
    <w:rsid w:val="00E144B4"/>
    <w:rsid w:val="00E3528A"/>
    <w:rsid w:val="00E62928"/>
    <w:rsid w:val="00E81E61"/>
    <w:rsid w:val="00EA2E1B"/>
    <w:rsid w:val="00EB0148"/>
    <w:rsid w:val="00EE43B7"/>
    <w:rsid w:val="00F5406E"/>
    <w:rsid w:val="00FA34AF"/>
    <w:rsid w:val="00FA4476"/>
    <w:rsid w:val="00FA5B25"/>
    <w:rsid w:val="00FA67B9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685C7F-B604-4A11-A18F-E1492652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E31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E3105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4E3105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E310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E310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E310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4E3105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4E3105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E31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E31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E31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31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E3105"/>
  </w:style>
  <w:style w:type="paragraph" w:styleId="Piedepgina">
    <w:name w:val="footer"/>
    <w:basedOn w:val="Normal"/>
    <w:link w:val="PiedepginaCar"/>
    <w:rsid w:val="004E31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31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6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66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1587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roncancio cardona</dc:creator>
  <cp:keywords/>
  <dc:description/>
  <cp:lastModifiedBy>Henry Lora Rodriguez</cp:lastModifiedBy>
  <cp:revision>13</cp:revision>
  <cp:lastPrinted>2018-04-06T15:37:00Z</cp:lastPrinted>
  <dcterms:created xsi:type="dcterms:W3CDTF">2018-04-02T15:55:00Z</dcterms:created>
  <dcterms:modified xsi:type="dcterms:W3CDTF">2018-05-22T15:36:00Z</dcterms:modified>
</cp:coreProperties>
</file>