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D5" w:rsidRDefault="00AC42D5" w:rsidP="00E52F54">
      <w:pPr>
        <w:pBdr>
          <w:top w:val="single" w:sz="4" w:space="0"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val="es-CO" w:eastAsia="fr-FR"/>
        </w:rPr>
      </w:pPr>
      <w:bookmarkStart w:id="0" w:name="_GoBack"/>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p>
    <w:p w:rsidR="00AC42D5" w:rsidRDefault="00AC42D5" w:rsidP="00AC42D5">
      <w:pPr>
        <w:spacing w:line="276" w:lineRule="auto"/>
        <w:ind w:left="2832" w:hanging="1981"/>
        <w:jc w:val="center"/>
        <w:rPr>
          <w:rFonts w:ascii="Arial" w:hAnsi="Arial" w:cs="Arial"/>
          <w:b/>
          <w:szCs w:val="24"/>
        </w:rPr>
      </w:pPr>
    </w:p>
    <w:bookmarkEnd w:id="0"/>
    <w:p w:rsidR="00AC42D5" w:rsidRPr="00AC42D5" w:rsidRDefault="00AC42D5" w:rsidP="00AC42D5">
      <w:pPr>
        <w:jc w:val="both"/>
        <w:rPr>
          <w:rFonts w:ascii="Arial" w:hAnsi="Arial" w:cs="Arial"/>
          <w:sz w:val="18"/>
          <w:szCs w:val="16"/>
        </w:rPr>
      </w:pPr>
      <w:r w:rsidRPr="00AC42D5">
        <w:rPr>
          <w:rFonts w:ascii="Arial" w:hAnsi="Arial" w:cs="Arial"/>
          <w:sz w:val="18"/>
          <w:szCs w:val="18"/>
        </w:rPr>
        <w:t>Asunto.</w:t>
      </w:r>
      <w:r w:rsidRPr="00AC42D5">
        <w:rPr>
          <w:rFonts w:ascii="Arial" w:hAnsi="Arial" w:cs="Arial"/>
          <w:sz w:val="18"/>
          <w:szCs w:val="18"/>
        </w:rPr>
        <w:tab/>
      </w:r>
      <w:r w:rsidRPr="00AC42D5">
        <w:rPr>
          <w:rFonts w:ascii="Arial" w:hAnsi="Arial" w:cs="Arial"/>
          <w:sz w:val="18"/>
          <w:szCs w:val="18"/>
        </w:rPr>
        <w:tab/>
      </w:r>
      <w:r w:rsidRPr="00AC42D5">
        <w:rPr>
          <w:rFonts w:ascii="Arial" w:hAnsi="Arial" w:cs="Arial"/>
          <w:sz w:val="18"/>
          <w:szCs w:val="18"/>
        </w:rPr>
        <w:tab/>
      </w:r>
      <w:r w:rsidRPr="00AC42D5">
        <w:rPr>
          <w:rFonts w:ascii="Arial" w:hAnsi="Arial" w:cs="Arial"/>
          <w:sz w:val="18"/>
          <w:szCs w:val="16"/>
        </w:rPr>
        <w:t xml:space="preserve">Auto que Resuelve Recurso </w:t>
      </w:r>
    </w:p>
    <w:p w:rsidR="00AC42D5" w:rsidRPr="00AC42D5" w:rsidRDefault="00AC42D5" w:rsidP="00AC42D5">
      <w:pPr>
        <w:jc w:val="both"/>
        <w:rPr>
          <w:rFonts w:ascii="Arial" w:hAnsi="Arial" w:cs="Arial"/>
          <w:sz w:val="18"/>
          <w:szCs w:val="18"/>
        </w:rPr>
      </w:pPr>
      <w:r w:rsidRPr="00AC42D5">
        <w:rPr>
          <w:rFonts w:ascii="Arial" w:hAnsi="Arial" w:cs="Arial"/>
          <w:sz w:val="18"/>
          <w:szCs w:val="18"/>
        </w:rPr>
        <w:t>Proceso.</w:t>
      </w:r>
      <w:r w:rsidRPr="00AC42D5">
        <w:rPr>
          <w:rFonts w:ascii="Arial" w:hAnsi="Arial" w:cs="Arial"/>
          <w:sz w:val="18"/>
          <w:szCs w:val="18"/>
        </w:rPr>
        <w:tab/>
      </w:r>
      <w:r w:rsidRPr="00AC42D5">
        <w:rPr>
          <w:rFonts w:ascii="Arial" w:hAnsi="Arial" w:cs="Arial"/>
          <w:sz w:val="18"/>
          <w:szCs w:val="18"/>
        </w:rPr>
        <w:tab/>
      </w:r>
      <w:r w:rsidRPr="00AC42D5">
        <w:rPr>
          <w:rFonts w:ascii="Arial" w:hAnsi="Arial" w:cs="Arial"/>
          <w:iCs/>
          <w:sz w:val="18"/>
          <w:szCs w:val="18"/>
        </w:rPr>
        <w:t>Ordinario laboral</w:t>
      </w:r>
    </w:p>
    <w:p w:rsidR="00AC42D5" w:rsidRPr="00AC42D5" w:rsidRDefault="00AC42D5" w:rsidP="00AC42D5">
      <w:pPr>
        <w:jc w:val="both"/>
        <w:rPr>
          <w:rFonts w:ascii="Arial" w:hAnsi="Arial" w:cs="Arial"/>
          <w:bCs/>
          <w:iCs/>
          <w:sz w:val="18"/>
          <w:szCs w:val="18"/>
        </w:rPr>
      </w:pPr>
      <w:r w:rsidRPr="00AC42D5">
        <w:rPr>
          <w:rFonts w:ascii="Arial" w:hAnsi="Arial" w:cs="Arial"/>
          <w:sz w:val="18"/>
          <w:szCs w:val="18"/>
        </w:rPr>
        <w:t>Radicación.</w:t>
      </w:r>
      <w:r w:rsidRPr="00AC42D5">
        <w:rPr>
          <w:rFonts w:ascii="Arial" w:hAnsi="Arial" w:cs="Arial"/>
          <w:sz w:val="18"/>
          <w:szCs w:val="18"/>
        </w:rPr>
        <w:tab/>
        <w:t xml:space="preserve"> </w:t>
      </w:r>
      <w:r w:rsidRPr="00AC42D5">
        <w:rPr>
          <w:rFonts w:ascii="Arial" w:hAnsi="Arial" w:cs="Arial"/>
          <w:sz w:val="18"/>
          <w:szCs w:val="18"/>
        </w:rPr>
        <w:tab/>
      </w:r>
      <w:r w:rsidRPr="00AC42D5">
        <w:rPr>
          <w:rFonts w:ascii="Arial" w:hAnsi="Arial" w:cs="Arial"/>
          <w:bCs/>
          <w:spacing w:val="2"/>
          <w:sz w:val="18"/>
          <w:szCs w:val="18"/>
        </w:rPr>
        <w:t>66001-31-05-005-2017-00073-01</w:t>
      </w:r>
      <w:r w:rsidRPr="00AC42D5">
        <w:rPr>
          <w:rFonts w:ascii="Arial" w:hAnsi="Arial" w:cs="Arial"/>
          <w:sz w:val="18"/>
          <w:szCs w:val="18"/>
        </w:rPr>
        <w:t xml:space="preserve"> </w:t>
      </w:r>
    </w:p>
    <w:p w:rsidR="00AC42D5" w:rsidRPr="00AC42D5" w:rsidRDefault="00AC42D5" w:rsidP="00AC42D5">
      <w:pPr>
        <w:jc w:val="both"/>
        <w:rPr>
          <w:rFonts w:ascii="Arial" w:hAnsi="Arial" w:cs="Arial"/>
          <w:bCs/>
          <w:iCs/>
          <w:sz w:val="18"/>
          <w:szCs w:val="18"/>
        </w:rPr>
      </w:pPr>
      <w:r w:rsidRPr="00AC42D5">
        <w:rPr>
          <w:rFonts w:ascii="Arial" w:hAnsi="Arial" w:cs="Arial"/>
          <w:bCs/>
          <w:iCs/>
          <w:sz w:val="18"/>
          <w:szCs w:val="18"/>
        </w:rPr>
        <w:t>Demandantes:</w:t>
      </w:r>
      <w:r w:rsidRPr="00AC42D5">
        <w:rPr>
          <w:rFonts w:ascii="Arial" w:hAnsi="Arial" w:cs="Arial"/>
          <w:iCs/>
          <w:sz w:val="18"/>
          <w:szCs w:val="18"/>
        </w:rPr>
        <w:t xml:space="preserve"> </w:t>
      </w:r>
      <w:r w:rsidRPr="00AC42D5">
        <w:rPr>
          <w:rFonts w:ascii="Arial" w:hAnsi="Arial" w:cs="Arial"/>
          <w:iCs/>
          <w:sz w:val="18"/>
          <w:szCs w:val="18"/>
        </w:rPr>
        <w:tab/>
      </w:r>
      <w:r>
        <w:rPr>
          <w:rFonts w:ascii="Arial" w:hAnsi="Arial" w:cs="Arial"/>
          <w:iCs/>
          <w:sz w:val="18"/>
          <w:szCs w:val="18"/>
        </w:rPr>
        <w:tab/>
      </w:r>
      <w:r w:rsidRPr="00AC42D5">
        <w:rPr>
          <w:rFonts w:ascii="Arial" w:hAnsi="Arial" w:cs="Arial"/>
          <w:bCs/>
          <w:iCs/>
          <w:sz w:val="18"/>
          <w:szCs w:val="18"/>
        </w:rPr>
        <w:t xml:space="preserve">Luz Adriana Mendoza García </w:t>
      </w:r>
    </w:p>
    <w:p w:rsidR="00AC42D5" w:rsidRPr="00AC42D5" w:rsidRDefault="00AC42D5" w:rsidP="00AC42D5">
      <w:pPr>
        <w:jc w:val="both"/>
        <w:rPr>
          <w:rFonts w:ascii="Arial" w:hAnsi="Arial" w:cs="Arial"/>
          <w:bCs/>
          <w:iCs/>
          <w:sz w:val="18"/>
          <w:szCs w:val="18"/>
        </w:rPr>
      </w:pPr>
      <w:r w:rsidRPr="00AC42D5">
        <w:rPr>
          <w:rFonts w:ascii="Arial" w:hAnsi="Arial" w:cs="Arial"/>
          <w:bCs/>
          <w:iCs/>
          <w:sz w:val="18"/>
          <w:szCs w:val="18"/>
        </w:rPr>
        <w:tab/>
      </w:r>
      <w:r>
        <w:rPr>
          <w:rFonts w:ascii="Arial" w:hAnsi="Arial" w:cs="Arial"/>
          <w:bCs/>
          <w:iCs/>
          <w:sz w:val="18"/>
          <w:szCs w:val="18"/>
        </w:rPr>
        <w:tab/>
      </w:r>
      <w:r>
        <w:rPr>
          <w:rFonts w:ascii="Arial" w:hAnsi="Arial" w:cs="Arial"/>
          <w:bCs/>
          <w:iCs/>
          <w:sz w:val="18"/>
          <w:szCs w:val="18"/>
        </w:rPr>
        <w:tab/>
      </w:r>
      <w:r w:rsidRPr="00AC42D5">
        <w:rPr>
          <w:rFonts w:ascii="Arial" w:hAnsi="Arial" w:cs="Arial"/>
          <w:bCs/>
          <w:iCs/>
          <w:sz w:val="18"/>
          <w:szCs w:val="18"/>
        </w:rPr>
        <w:t xml:space="preserve">Luis Albeiro Ortiz </w:t>
      </w:r>
    </w:p>
    <w:p w:rsidR="00AC42D5" w:rsidRPr="00AC42D5" w:rsidRDefault="00AC42D5" w:rsidP="00AC42D5">
      <w:pPr>
        <w:contextualSpacing/>
        <w:jc w:val="both"/>
        <w:rPr>
          <w:rFonts w:ascii="Arial" w:hAnsi="Arial" w:cs="Arial"/>
          <w:sz w:val="18"/>
          <w:szCs w:val="18"/>
          <w:lang w:val="es-CO"/>
        </w:rPr>
      </w:pPr>
      <w:r w:rsidRPr="00AC42D5">
        <w:rPr>
          <w:rFonts w:ascii="Arial" w:hAnsi="Arial" w:cs="Arial"/>
          <w:sz w:val="18"/>
          <w:szCs w:val="18"/>
          <w:lang w:val="es-CO"/>
        </w:rPr>
        <w:t>Demandado:</w:t>
      </w:r>
      <w:r w:rsidRPr="00AC42D5">
        <w:rPr>
          <w:rFonts w:ascii="Arial" w:hAnsi="Arial" w:cs="Arial"/>
          <w:sz w:val="18"/>
          <w:szCs w:val="18"/>
          <w:lang w:val="es-CO"/>
        </w:rPr>
        <w:tab/>
      </w:r>
      <w:r>
        <w:rPr>
          <w:rFonts w:ascii="Arial" w:hAnsi="Arial" w:cs="Arial"/>
          <w:sz w:val="18"/>
          <w:szCs w:val="18"/>
          <w:lang w:val="es-CO"/>
        </w:rPr>
        <w:tab/>
      </w:r>
      <w:r w:rsidRPr="00AC42D5">
        <w:rPr>
          <w:rFonts w:ascii="Arial" w:hAnsi="Arial" w:cs="Arial"/>
          <w:sz w:val="18"/>
          <w:szCs w:val="18"/>
          <w:lang w:val="es-CO"/>
        </w:rPr>
        <w:t>PORVENIR S.A</w:t>
      </w:r>
    </w:p>
    <w:p w:rsidR="00AC42D5" w:rsidRDefault="00AC42D5" w:rsidP="00AC42D5">
      <w:pPr>
        <w:pStyle w:val="Sinespaciado"/>
        <w:contextualSpacing/>
        <w:jc w:val="both"/>
        <w:rPr>
          <w:rFonts w:ascii="Arial" w:hAnsi="Arial" w:cs="Arial"/>
          <w:sz w:val="18"/>
          <w:szCs w:val="18"/>
        </w:rPr>
      </w:pPr>
    </w:p>
    <w:p w:rsidR="00AC42D5" w:rsidRPr="00AC42D5" w:rsidRDefault="00AC42D5" w:rsidP="00AC42D5">
      <w:pPr>
        <w:pStyle w:val="Sinespaciado"/>
        <w:contextualSpacing/>
        <w:jc w:val="both"/>
        <w:rPr>
          <w:rFonts w:ascii="Arial" w:hAnsi="Arial" w:cs="Arial"/>
          <w:b/>
          <w:sz w:val="22"/>
          <w:szCs w:val="22"/>
        </w:rPr>
      </w:pPr>
    </w:p>
    <w:p w:rsidR="00AC42D5" w:rsidRPr="00AC42D5" w:rsidRDefault="00AC42D5" w:rsidP="00AC42D5">
      <w:pPr>
        <w:pStyle w:val="Sinespaciado"/>
        <w:contextualSpacing/>
        <w:jc w:val="both"/>
        <w:rPr>
          <w:rFonts w:ascii="Arial" w:hAnsi="Arial" w:cs="Arial"/>
          <w:b/>
          <w:sz w:val="22"/>
          <w:szCs w:val="22"/>
        </w:rPr>
      </w:pPr>
    </w:p>
    <w:p w:rsidR="00AC42D5" w:rsidRPr="00AC42D5" w:rsidRDefault="00AC42D5" w:rsidP="00AC42D5">
      <w:pPr>
        <w:pStyle w:val="Sinespaciado"/>
        <w:contextualSpacing/>
        <w:jc w:val="both"/>
        <w:rPr>
          <w:rFonts w:ascii="Tahoma" w:hAnsi="Tahoma" w:cs="Tahoma"/>
          <w:b/>
          <w:sz w:val="22"/>
          <w:szCs w:val="22"/>
        </w:rPr>
      </w:pPr>
      <w:r w:rsidRPr="00AC42D5">
        <w:rPr>
          <w:rFonts w:ascii="Arial" w:hAnsi="Arial" w:cs="Arial"/>
          <w:b/>
          <w:sz w:val="22"/>
          <w:szCs w:val="22"/>
        </w:rPr>
        <w:t>TEMA</w:t>
      </w:r>
      <w:r>
        <w:rPr>
          <w:rFonts w:ascii="Arial" w:hAnsi="Arial" w:cs="Arial"/>
          <w:b/>
          <w:sz w:val="22"/>
          <w:szCs w:val="22"/>
        </w:rPr>
        <w:t>S</w:t>
      </w:r>
      <w:r w:rsidRPr="00AC42D5">
        <w:rPr>
          <w:rFonts w:ascii="Arial" w:hAnsi="Arial" w:cs="Arial"/>
          <w:b/>
          <w:sz w:val="22"/>
          <w:szCs w:val="22"/>
        </w:rPr>
        <w:t>:</w:t>
      </w:r>
      <w:r w:rsidRPr="00AC42D5">
        <w:rPr>
          <w:rFonts w:ascii="Arial" w:hAnsi="Arial" w:cs="Arial"/>
          <w:b/>
          <w:sz w:val="22"/>
          <w:szCs w:val="22"/>
        </w:rPr>
        <w:tab/>
        <w:t xml:space="preserve">REQUISITOS EXTRÍNSECO DE LA PRUEBA – PRUEBA PROHIBIDA </w:t>
      </w:r>
      <w:r w:rsidR="00BE0F58">
        <w:rPr>
          <w:rFonts w:ascii="Arial" w:hAnsi="Arial" w:cs="Arial"/>
          <w:b/>
          <w:sz w:val="22"/>
          <w:szCs w:val="22"/>
        </w:rPr>
        <w:t>POR LA LEY/ CONFIRMA</w:t>
      </w:r>
    </w:p>
    <w:p w:rsidR="00AC42D5" w:rsidRPr="00AC42D5" w:rsidRDefault="00AC42D5" w:rsidP="00AC42D5">
      <w:pPr>
        <w:spacing w:line="240" w:lineRule="atLeast"/>
        <w:rPr>
          <w:rFonts w:ascii="Edwardian Script ITC" w:hAnsi="Edwardian Script ITC" w:cs="Arial"/>
          <w:b/>
          <w:sz w:val="22"/>
          <w:szCs w:val="22"/>
          <w:lang w:val="en-GB"/>
        </w:rPr>
      </w:pPr>
    </w:p>
    <w:p w:rsidR="00BE0F58" w:rsidRPr="00BE0F58" w:rsidRDefault="00BE0F58" w:rsidP="00BE0F58">
      <w:pPr>
        <w:pStyle w:val="centrado"/>
        <w:spacing w:before="0" w:beforeAutospacing="0" w:after="0" w:afterAutospacing="0"/>
        <w:contextualSpacing/>
        <w:jc w:val="both"/>
        <w:rPr>
          <w:rStyle w:val="apple-converted-space"/>
          <w:rFonts w:ascii="Arial" w:hAnsi="Arial" w:cs="Arial"/>
          <w:sz w:val="22"/>
          <w:szCs w:val="22"/>
          <w:shd w:val="clear" w:color="auto" w:fill="FFFFFF"/>
        </w:rPr>
      </w:pPr>
      <w:r>
        <w:rPr>
          <w:rStyle w:val="apple-converted-space"/>
          <w:rFonts w:ascii="Arial" w:hAnsi="Arial" w:cs="Arial"/>
          <w:shd w:val="clear" w:color="auto" w:fill="FFFFFF"/>
        </w:rPr>
        <w:t>2.</w:t>
      </w:r>
      <w:r w:rsidRPr="00BE0F58">
        <w:rPr>
          <w:rStyle w:val="apple-converted-space"/>
          <w:rFonts w:ascii="Arial" w:hAnsi="Arial" w:cs="Arial"/>
          <w:sz w:val="22"/>
          <w:szCs w:val="22"/>
          <w:shd w:val="clear" w:color="auto" w:fill="FFFFFF"/>
        </w:rPr>
        <w:t>4. Bien. Al reparar en el contenido de la información que solicita la parte demandada al banco BBVA y en relación con la cuenta Nº 70-329-3209 del Banco BBVA, se tiene que tal versa sobre: (Fl.75 y 76),</w:t>
      </w:r>
    </w:p>
    <w:p w:rsidR="00BE0F58" w:rsidRPr="00BE0F58" w:rsidRDefault="00BE0F58" w:rsidP="00BE0F58">
      <w:pPr>
        <w:pStyle w:val="centrado"/>
        <w:spacing w:before="0" w:beforeAutospacing="0" w:after="0" w:afterAutospacing="0"/>
        <w:contextualSpacing/>
        <w:jc w:val="both"/>
        <w:rPr>
          <w:rStyle w:val="apple-converted-space"/>
          <w:rFonts w:ascii="Arial" w:hAnsi="Arial" w:cs="Arial"/>
          <w:sz w:val="22"/>
          <w:szCs w:val="22"/>
          <w:shd w:val="clear" w:color="auto" w:fill="FFFFFF"/>
        </w:rPr>
      </w:pP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Titular.</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Fecha de apertura.</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Saldos anuales promedio.</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Estado: activa o inactiva.</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Saldo actual.</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Débitos automáticos.</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Portafolios complementarios y/o adicionales</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 xml:space="preserve">Si es cuenta corriente o de ahorros </w:t>
      </w:r>
    </w:p>
    <w:p w:rsidR="00BE0F58" w:rsidRPr="00BE0F58" w:rsidRDefault="00BE0F58" w:rsidP="00BE0F58">
      <w:pPr>
        <w:pStyle w:val="centrado"/>
        <w:numPr>
          <w:ilvl w:val="0"/>
          <w:numId w:val="2"/>
        </w:numPr>
        <w:spacing w:before="0" w:beforeAutospacing="0" w:after="0" w:afterAutospacing="0"/>
        <w:contextualSpacing/>
        <w:jc w:val="both"/>
        <w:rPr>
          <w:rStyle w:val="apple-converted-space"/>
          <w:rFonts w:ascii="Arial" w:hAnsi="Arial" w:cs="Arial"/>
          <w:i/>
          <w:sz w:val="22"/>
          <w:szCs w:val="22"/>
          <w:shd w:val="clear" w:color="auto" w:fill="FFFFFF"/>
        </w:rPr>
      </w:pPr>
      <w:r w:rsidRPr="00BE0F58">
        <w:rPr>
          <w:rStyle w:val="apple-converted-space"/>
          <w:rFonts w:ascii="Arial" w:hAnsi="Arial" w:cs="Arial"/>
          <w:i/>
          <w:sz w:val="22"/>
          <w:szCs w:val="22"/>
          <w:shd w:val="clear" w:color="auto" w:fill="FFFFFF"/>
        </w:rPr>
        <w:t>Rentabilidad.</w:t>
      </w:r>
    </w:p>
    <w:p w:rsidR="00BE0F58" w:rsidRPr="00BE0F58" w:rsidRDefault="00BE0F58" w:rsidP="00BE0F58">
      <w:pPr>
        <w:pStyle w:val="centrado"/>
        <w:spacing w:before="0" w:beforeAutospacing="0" w:after="0" w:afterAutospacing="0"/>
        <w:contextualSpacing/>
        <w:jc w:val="both"/>
        <w:rPr>
          <w:rStyle w:val="apple-converted-space"/>
          <w:rFonts w:ascii="Arial" w:hAnsi="Arial" w:cs="Arial"/>
          <w:i/>
          <w:sz w:val="22"/>
          <w:szCs w:val="22"/>
          <w:shd w:val="clear" w:color="auto" w:fill="FFFFFF"/>
        </w:rPr>
      </w:pPr>
    </w:p>
    <w:p w:rsidR="00BE0F58" w:rsidRPr="00BE0F58" w:rsidRDefault="00BE0F58" w:rsidP="00BE0F58">
      <w:pPr>
        <w:pStyle w:val="centrado"/>
        <w:spacing w:before="0" w:beforeAutospacing="0" w:after="0" w:afterAutospacing="0"/>
        <w:contextualSpacing/>
        <w:jc w:val="both"/>
        <w:rPr>
          <w:rStyle w:val="apple-converted-space"/>
          <w:rFonts w:ascii="Arial" w:hAnsi="Arial" w:cs="Arial"/>
          <w:sz w:val="22"/>
          <w:szCs w:val="22"/>
          <w:shd w:val="clear" w:color="auto" w:fill="FFFFFF"/>
        </w:rPr>
      </w:pPr>
      <w:r w:rsidRPr="00BE0F58">
        <w:rPr>
          <w:rStyle w:val="apple-converted-space"/>
          <w:rFonts w:ascii="Arial" w:hAnsi="Arial" w:cs="Arial"/>
          <w:sz w:val="22"/>
          <w:szCs w:val="22"/>
          <w:shd w:val="clear" w:color="auto" w:fill="FFFFFF"/>
        </w:rPr>
        <w:t>A tono con lo expuesto, la Sala avizora que la información que se requiere por el demandado no se subsume en los casos en que no goza de reserva legal la información bancaria, pues se piden datos personalizados del cliente, como son fecha de apertura, tipo de cuenta y estado, que no son de libre acceso al público; al igual que revelan su situación económica al indagarse por su saldo anual promedio, rentabilidad, fecha de apertura; como los hábitos de consumo al escudriñar por su portafolio; y si bien esta información podría contribuir a demostrar lo pretendido por el demandado, esta no es la prueba para ello, al estar prohibida por la reserva bancaria; por lo que acertó la jueza al negarla, al ser esta de carácter personalísima del cliente al que le pertenece la cuenta, debiendo el banco guardar el secreto profesional del mismo.</w:t>
      </w:r>
    </w:p>
    <w:p w:rsidR="00BE0F58" w:rsidRPr="00BE0F58" w:rsidRDefault="00BE0F58" w:rsidP="00BE0F58">
      <w:pPr>
        <w:pStyle w:val="centrado"/>
        <w:spacing w:after="0" w:afterAutospacing="0"/>
        <w:contextualSpacing/>
        <w:jc w:val="both"/>
        <w:rPr>
          <w:rStyle w:val="apple-converted-space"/>
          <w:rFonts w:ascii="Arial" w:hAnsi="Arial" w:cs="Arial"/>
          <w:sz w:val="22"/>
          <w:szCs w:val="22"/>
          <w:shd w:val="clear" w:color="auto" w:fill="FFFFFF"/>
        </w:rPr>
      </w:pPr>
    </w:p>
    <w:p w:rsidR="00BE0F58" w:rsidRPr="00BE0F58" w:rsidRDefault="00BE0F58" w:rsidP="00BE0F58">
      <w:pPr>
        <w:pStyle w:val="centrado"/>
        <w:spacing w:after="0" w:afterAutospacing="0"/>
        <w:contextualSpacing/>
        <w:jc w:val="both"/>
        <w:rPr>
          <w:rFonts w:ascii="Arial" w:hAnsi="Arial" w:cs="Arial"/>
          <w:sz w:val="22"/>
          <w:szCs w:val="22"/>
        </w:rPr>
      </w:pPr>
      <w:r w:rsidRPr="00BE0F58">
        <w:rPr>
          <w:rStyle w:val="apple-converted-space"/>
          <w:rFonts w:ascii="Arial" w:hAnsi="Arial" w:cs="Arial"/>
          <w:sz w:val="22"/>
          <w:szCs w:val="22"/>
          <w:shd w:val="clear" w:color="auto" w:fill="FFFFFF"/>
        </w:rPr>
        <w:t xml:space="preserve">2.5 Ahora, en lo que respecta a la negativa de oficiar a la oficina de Tránsito y Transporte de Pereira y Dosquebradas, es de hacer claridad que la prueba solicita por el apoderado de la parte demandada solo individualizó la entidad a quien se quiere se oficie, pero omitió concretar lo que se pretende de ella, pues de esta no solo se puede obtener la expedición de un documento, sino informes en los términos del artículo 275 del CGP; exigencia que echa de menos la a quo, apenas obvia, sin que pueda suplantar el querer de la parte, ni suponerla para completar la petición probatoria. </w:t>
      </w:r>
    </w:p>
    <w:p w:rsidR="00BE0F58" w:rsidRPr="00BE0F58" w:rsidRDefault="00BE0F58" w:rsidP="00BE0F58">
      <w:pPr>
        <w:pStyle w:val="centrado"/>
        <w:spacing w:after="0" w:afterAutospacing="0"/>
        <w:contextualSpacing/>
        <w:jc w:val="both"/>
        <w:rPr>
          <w:rStyle w:val="apple-converted-space"/>
          <w:rFonts w:ascii="Arial" w:hAnsi="Arial" w:cs="Arial"/>
          <w:sz w:val="22"/>
          <w:szCs w:val="22"/>
          <w:shd w:val="clear" w:color="auto" w:fill="FFFFFF"/>
        </w:rPr>
      </w:pPr>
    </w:p>
    <w:p w:rsidR="00BE0F58" w:rsidRPr="00BE0F58" w:rsidRDefault="00BE0F58" w:rsidP="00BE0F58">
      <w:pPr>
        <w:pStyle w:val="centrado"/>
        <w:spacing w:after="0" w:afterAutospacing="0"/>
        <w:contextualSpacing/>
        <w:jc w:val="both"/>
        <w:rPr>
          <w:rStyle w:val="apple-converted-space"/>
          <w:rFonts w:ascii="Arial" w:hAnsi="Arial" w:cs="Arial"/>
          <w:sz w:val="22"/>
          <w:szCs w:val="22"/>
          <w:shd w:val="clear" w:color="auto" w:fill="FFFFFF"/>
        </w:rPr>
      </w:pPr>
      <w:r w:rsidRPr="00BE0F58">
        <w:rPr>
          <w:rStyle w:val="apple-converted-space"/>
          <w:rFonts w:ascii="Arial" w:hAnsi="Arial" w:cs="Arial"/>
          <w:sz w:val="22"/>
          <w:szCs w:val="22"/>
          <w:shd w:val="clear" w:color="auto" w:fill="FFFFFF"/>
        </w:rPr>
        <w:t>Entonces, se evidencia dentro de este asunto que con apego a la ley la jueza debía  negar la prueba en comento por la imprecisión de la misma.</w:t>
      </w:r>
    </w:p>
    <w:p w:rsidR="00BE0F58" w:rsidRPr="00BE0F58" w:rsidRDefault="00BE0F58" w:rsidP="00BE0F58">
      <w:pPr>
        <w:pStyle w:val="centrado"/>
        <w:spacing w:after="0" w:afterAutospacing="0"/>
        <w:contextualSpacing/>
        <w:jc w:val="both"/>
        <w:rPr>
          <w:rStyle w:val="apple-converted-space"/>
          <w:rFonts w:ascii="Arial" w:hAnsi="Arial" w:cs="Arial"/>
          <w:sz w:val="22"/>
          <w:szCs w:val="22"/>
          <w:shd w:val="clear" w:color="auto" w:fill="FFFFFF"/>
        </w:rPr>
      </w:pPr>
    </w:p>
    <w:p w:rsidR="00AC42D5" w:rsidRDefault="00AC42D5" w:rsidP="00754FC4">
      <w:pPr>
        <w:spacing w:line="240" w:lineRule="atLeast"/>
        <w:ind w:left="3544" w:firstLine="284"/>
        <w:rPr>
          <w:rFonts w:ascii="Edwardian Script ITC" w:hAnsi="Edwardian Script ITC" w:cs="Arial"/>
          <w:b/>
          <w:sz w:val="44"/>
          <w:szCs w:val="44"/>
          <w:lang w:val="en-GB"/>
        </w:rPr>
      </w:pPr>
    </w:p>
    <w:p w:rsidR="00AC42D5" w:rsidRDefault="00AC42D5" w:rsidP="00754FC4">
      <w:pPr>
        <w:spacing w:line="240" w:lineRule="atLeast"/>
        <w:ind w:left="3544" w:firstLine="284"/>
        <w:rPr>
          <w:rFonts w:ascii="Edwardian Script ITC" w:hAnsi="Edwardian Script ITC" w:cs="Arial"/>
          <w:b/>
          <w:sz w:val="44"/>
          <w:szCs w:val="44"/>
          <w:lang w:val="en-GB"/>
        </w:rPr>
      </w:pPr>
    </w:p>
    <w:p w:rsidR="00AC42D5" w:rsidRDefault="00AC42D5" w:rsidP="00754FC4">
      <w:pPr>
        <w:spacing w:line="240" w:lineRule="atLeast"/>
        <w:ind w:left="3544" w:firstLine="284"/>
        <w:rPr>
          <w:rFonts w:ascii="Edwardian Script ITC" w:hAnsi="Edwardian Script ITC" w:cs="Arial"/>
          <w:b/>
          <w:sz w:val="44"/>
          <w:szCs w:val="44"/>
          <w:lang w:val="en-GB"/>
        </w:rPr>
      </w:pPr>
    </w:p>
    <w:p w:rsidR="00AC42D5" w:rsidRDefault="00AC42D5" w:rsidP="00754FC4">
      <w:pPr>
        <w:spacing w:line="240" w:lineRule="atLeast"/>
        <w:ind w:left="3544" w:firstLine="284"/>
        <w:rPr>
          <w:rFonts w:ascii="Edwardian Script ITC" w:hAnsi="Edwardian Script ITC" w:cs="Arial"/>
          <w:b/>
          <w:sz w:val="44"/>
          <w:szCs w:val="44"/>
          <w:lang w:val="en-GB"/>
        </w:rPr>
      </w:pPr>
    </w:p>
    <w:p w:rsidR="00AC42D5" w:rsidRDefault="00AC42D5" w:rsidP="00754FC4">
      <w:pPr>
        <w:spacing w:line="240" w:lineRule="atLeast"/>
        <w:ind w:left="3544" w:firstLine="284"/>
        <w:rPr>
          <w:rFonts w:ascii="Edwardian Script ITC" w:hAnsi="Edwardian Script ITC" w:cs="Arial"/>
          <w:b/>
          <w:sz w:val="44"/>
          <w:szCs w:val="44"/>
          <w:lang w:val="en-GB"/>
        </w:rPr>
      </w:pPr>
    </w:p>
    <w:p w:rsidR="00AC42D5" w:rsidRDefault="00AC42D5" w:rsidP="00754FC4">
      <w:pPr>
        <w:spacing w:line="240" w:lineRule="atLeast"/>
        <w:ind w:left="3544" w:firstLine="284"/>
        <w:rPr>
          <w:rFonts w:ascii="Edwardian Script ITC" w:hAnsi="Edwardian Script ITC" w:cs="Arial"/>
          <w:b/>
          <w:sz w:val="44"/>
          <w:szCs w:val="44"/>
          <w:lang w:val="en-GB"/>
        </w:rPr>
      </w:pPr>
    </w:p>
    <w:p w:rsidR="00754FC4" w:rsidRPr="00621508" w:rsidRDefault="00754FC4" w:rsidP="00754FC4">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32084D4A" wp14:editId="0389CFE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54FC4" w:rsidRPr="00781A7A" w:rsidRDefault="00754FC4" w:rsidP="00754FC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754FC4" w:rsidRPr="00781A7A" w:rsidRDefault="00754FC4" w:rsidP="00754FC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754FC4" w:rsidRPr="00781A7A" w:rsidRDefault="00754FC4" w:rsidP="00754FC4">
      <w:pPr>
        <w:keepNext/>
        <w:spacing w:line="360" w:lineRule="auto"/>
        <w:jc w:val="center"/>
        <w:rPr>
          <w:rFonts w:ascii="Arial" w:hAnsi="Arial" w:cs="Arial"/>
          <w:bCs/>
          <w:szCs w:val="24"/>
        </w:rPr>
      </w:pPr>
      <w:r w:rsidRPr="00781A7A">
        <w:rPr>
          <w:rFonts w:ascii="Arial" w:hAnsi="Arial" w:cs="Arial"/>
          <w:bCs/>
          <w:szCs w:val="24"/>
        </w:rPr>
        <w:t xml:space="preserve">SALA </w:t>
      </w:r>
      <w:r w:rsidR="00383172">
        <w:rPr>
          <w:rFonts w:ascii="Arial" w:hAnsi="Arial" w:cs="Arial"/>
          <w:bCs/>
          <w:szCs w:val="24"/>
        </w:rPr>
        <w:t>SEGUNDA</w:t>
      </w:r>
      <w:r w:rsidRPr="00781A7A">
        <w:rPr>
          <w:rFonts w:ascii="Arial" w:hAnsi="Arial" w:cs="Arial"/>
          <w:bCs/>
          <w:szCs w:val="24"/>
        </w:rPr>
        <w:t xml:space="preserve"> DE DECISIÓN LABORAL</w:t>
      </w:r>
    </w:p>
    <w:p w:rsidR="00754FC4" w:rsidRDefault="00754FC4" w:rsidP="00754FC4">
      <w:pPr>
        <w:widowControl w:val="0"/>
        <w:jc w:val="center"/>
        <w:rPr>
          <w:rFonts w:ascii="Arial" w:hAnsi="Arial" w:cs="Arial"/>
          <w:bCs/>
          <w:kern w:val="28"/>
          <w:szCs w:val="24"/>
        </w:rPr>
      </w:pPr>
    </w:p>
    <w:p w:rsidR="00754FC4" w:rsidRPr="00764878" w:rsidRDefault="00754FC4" w:rsidP="00754FC4">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754FC4" w:rsidRDefault="00754FC4" w:rsidP="00754FC4">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754FC4" w:rsidRPr="00F23848" w:rsidRDefault="00754FC4" w:rsidP="00754FC4">
      <w:pPr>
        <w:pStyle w:val="Encabezado"/>
        <w:ind w:right="-7"/>
        <w:rPr>
          <w:rFonts w:ascii="Arial" w:hAnsi="Arial" w:cs="Arial"/>
          <w:sz w:val="18"/>
          <w:szCs w:val="18"/>
          <w:u w:val="single"/>
        </w:rPr>
      </w:pPr>
    </w:p>
    <w:p w:rsidR="00D467A2" w:rsidRPr="005F61EE" w:rsidRDefault="00D467A2" w:rsidP="00437A72">
      <w:pPr>
        <w:contextualSpacing/>
        <w:jc w:val="both"/>
        <w:rPr>
          <w:rFonts w:ascii="Arial" w:eastAsiaTheme="majorEastAsia" w:hAnsi="Arial" w:cs="Arial"/>
          <w:sz w:val="20"/>
        </w:rPr>
      </w:pPr>
    </w:p>
    <w:p w:rsidR="00736D4E" w:rsidRPr="00707501" w:rsidRDefault="00736D4E" w:rsidP="00736D4E">
      <w:pPr>
        <w:ind w:left="2124" w:firstLine="708"/>
        <w:jc w:val="both"/>
        <w:rPr>
          <w:rFonts w:ascii="Arial" w:hAnsi="Arial" w:cs="Arial"/>
          <w:b/>
          <w:sz w:val="18"/>
          <w:szCs w:val="16"/>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Pr="00436319">
        <w:rPr>
          <w:rFonts w:ascii="Arial" w:hAnsi="Arial" w:cs="Arial"/>
          <w:sz w:val="18"/>
          <w:szCs w:val="16"/>
        </w:rPr>
        <w:t xml:space="preserve">Auto </w:t>
      </w:r>
      <w:r>
        <w:rPr>
          <w:rFonts w:ascii="Arial" w:hAnsi="Arial" w:cs="Arial"/>
          <w:sz w:val="18"/>
          <w:szCs w:val="16"/>
        </w:rPr>
        <w:t xml:space="preserve">que Resuelve Recurso </w:t>
      </w:r>
    </w:p>
    <w:p w:rsidR="00736D4E" w:rsidRPr="00542C3F" w:rsidRDefault="00736D4E" w:rsidP="00736D4E">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Pr>
          <w:rFonts w:ascii="Arial" w:hAnsi="Arial" w:cs="Arial"/>
          <w:iCs/>
          <w:sz w:val="18"/>
          <w:szCs w:val="18"/>
        </w:rPr>
        <w:t>Ordinario</w:t>
      </w:r>
      <w:r w:rsidRPr="00542C3F">
        <w:rPr>
          <w:rFonts w:ascii="Arial" w:hAnsi="Arial" w:cs="Arial"/>
          <w:iCs/>
          <w:sz w:val="18"/>
          <w:szCs w:val="18"/>
        </w:rPr>
        <w:t xml:space="preserve"> laboral</w:t>
      </w:r>
    </w:p>
    <w:p w:rsidR="00736D4E" w:rsidRPr="00542C3F" w:rsidRDefault="00736D4E" w:rsidP="00736D4E">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Pr="00542C3F">
        <w:rPr>
          <w:rFonts w:ascii="Arial" w:hAnsi="Arial" w:cs="Arial"/>
          <w:bCs/>
          <w:spacing w:val="2"/>
          <w:sz w:val="18"/>
          <w:szCs w:val="18"/>
        </w:rPr>
        <w:t>66001-31-05-00</w:t>
      </w:r>
      <w:r>
        <w:rPr>
          <w:rFonts w:ascii="Arial" w:hAnsi="Arial" w:cs="Arial"/>
          <w:bCs/>
          <w:spacing w:val="2"/>
          <w:sz w:val="18"/>
          <w:szCs w:val="18"/>
        </w:rPr>
        <w:t>5</w:t>
      </w:r>
      <w:r w:rsidRPr="00542C3F">
        <w:rPr>
          <w:rFonts w:ascii="Arial" w:hAnsi="Arial" w:cs="Arial"/>
          <w:bCs/>
          <w:spacing w:val="2"/>
          <w:sz w:val="18"/>
          <w:szCs w:val="18"/>
        </w:rPr>
        <w:t>-20</w:t>
      </w:r>
      <w:r>
        <w:rPr>
          <w:rFonts w:ascii="Arial" w:hAnsi="Arial" w:cs="Arial"/>
          <w:bCs/>
          <w:spacing w:val="2"/>
          <w:sz w:val="18"/>
          <w:szCs w:val="18"/>
        </w:rPr>
        <w:t>17</w:t>
      </w:r>
      <w:r w:rsidRPr="00542C3F">
        <w:rPr>
          <w:rFonts w:ascii="Arial" w:hAnsi="Arial" w:cs="Arial"/>
          <w:bCs/>
          <w:spacing w:val="2"/>
          <w:sz w:val="18"/>
          <w:szCs w:val="18"/>
        </w:rPr>
        <w:t>-0</w:t>
      </w:r>
      <w:r>
        <w:rPr>
          <w:rFonts w:ascii="Arial" w:hAnsi="Arial" w:cs="Arial"/>
          <w:bCs/>
          <w:spacing w:val="2"/>
          <w:sz w:val="18"/>
          <w:szCs w:val="18"/>
        </w:rPr>
        <w:t>0073</w:t>
      </w:r>
      <w:r w:rsidRPr="00542C3F">
        <w:rPr>
          <w:rFonts w:ascii="Arial" w:hAnsi="Arial" w:cs="Arial"/>
          <w:bCs/>
          <w:spacing w:val="2"/>
          <w:sz w:val="18"/>
          <w:szCs w:val="18"/>
        </w:rPr>
        <w:t>-0</w:t>
      </w:r>
      <w:r>
        <w:rPr>
          <w:rFonts w:ascii="Arial" w:hAnsi="Arial" w:cs="Arial"/>
          <w:bCs/>
          <w:spacing w:val="2"/>
          <w:sz w:val="18"/>
          <w:szCs w:val="18"/>
        </w:rPr>
        <w:t>1</w:t>
      </w:r>
      <w:r w:rsidRPr="00542C3F">
        <w:rPr>
          <w:rFonts w:ascii="Arial" w:hAnsi="Arial" w:cs="Arial"/>
          <w:sz w:val="18"/>
          <w:szCs w:val="18"/>
        </w:rPr>
        <w:t xml:space="preserve"> </w:t>
      </w:r>
    </w:p>
    <w:p w:rsidR="00736D4E" w:rsidRDefault="00736D4E" w:rsidP="00736D4E">
      <w:pPr>
        <w:ind w:left="4950" w:hanging="2115"/>
        <w:jc w:val="both"/>
        <w:rPr>
          <w:rFonts w:ascii="Arial" w:hAnsi="Arial" w:cs="Arial"/>
          <w:bCs/>
          <w:iCs/>
          <w:sz w:val="18"/>
          <w:szCs w:val="18"/>
        </w:rPr>
      </w:pPr>
      <w:r>
        <w:rPr>
          <w:rFonts w:ascii="Arial" w:hAnsi="Arial" w:cs="Arial"/>
          <w:b/>
          <w:bCs/>
          <w:iCs/>
          <w:sz w:val="18"/>
          <w:szCs w:val="18"/>
        </w:rPr>
        <w:t>Demandantes</w:t>
      </w:r>
      <w:r w:rsidRPr="00542C3F">
        <w:rPr>
          <w:rFonts w:ascii="Arial" w:hAnsi="Arial" w:cs="Arial"/>
          <w:b/>
          <w:bCs/>
          <w:iCs/>
          <w:sz w:val="18"/>
          <w:szCs w:val="18"/>
        </w:rPr>
        <w:t>:</w:t>
      </w:r>
      <w:r w:rsidRPr="00542C3F">
        <w:rPr>
          <w:rFonts w:ascii="Arial" w:hAnsi="Arial" w:cs="Arial"/>
          <w:iCs/>
          <w:sz w:val="18"/>
          <w:szCs w:val="18"/>
        </w:rPr>
        <w:t xml:space="preserve"> </w:t>
      </w:r>
      <w:r w:rsidRPr="00542C3F">
        <w:rPr>
          <w:rFonts w:ascii="Arial" w:hAnsi="Arial" w:cs="Arial"/>
          <w:iCs/>
          <w:sz w:val="18"/>
          <w:szCs w:val="18"/>
        </w:rPr>
        <w:tab/>
      </w:r>
      <w:r>
        <w:rPr>
          <w:rFonts w:ascii="Arial" w:hAnsi="Arial" w:cs="Arial"/>
          <w:bCs/>
          <w:iCs/>
          <w:sz w:val="18"/>
          <w:szCs w:val="18"/>
        </w:rPr>
        <w:t xml:space="preserve">Luz Adriana Mendoza García </w:t>
      </w:r>
    </w:p>
    <w:p w:rsidR="00736D4E" w:rsidRPr="009444C6" w:rsidRDefault="00736D4E" w:rsidP="00736D4E">
      <w:pPr>
        <w:ind w:left="4950" w:hanging="2115"/>
        <w:jc w:val="both"/>
        <w:rPr>
          <w:rFonts w:ascii="Arial" w:hAnsi="Arial" w:cs="Arial"/>
          <w:bCs/>
          <w:iCs/>
          <w:sz w:val="18"/>
          <w:szCs w:val="18"/>
        </w:rPr>
      </w:pPr>
      <w:r>
        <w:rPr>
          <w:rFonts w:ascii="Arial" w:hAnsi="Arial" w:cs="Arial"/>
          <w:b/>
          <w:bCs/>
          <w:iCs/>
          <w:sz w:val="18"/>
          <w:szCs w:val="18"/>
        </w:rPr>
        <w:tab/>
      </w:r>
      <w:r>
        <w:rPr>
          <w:rFonts w:ascii="Arial" w:hAnsi="Arial" w:cs="Arial"/>
          <w:bCs/>
          <w:iCs/>
          <w:sz w:val="18"/>
          <w:szCs w:val="18"/>
        </w:rPr>
        <w:t xml:space="preserve">Luis Albeiro Ortiz </w:t>
      </w:r>
    </w:p>
    <w:p w:rsidR="00D467A2" w:rsidRPr="00224B73" w:rsidRDefault="00D467A2" w:rsidP="00736D4E">
      <w:pPr>
        <w:ind w:left="4945" w:hanging="2113"/>
        <w:contextualSpacing/>
        <w:jc w:val="both"/>
        <w:rPr>
          <w:rFonts w:ascii="Arial" w:hAnsi="Arial" w:cs="Arial"/>
          <w:sz w:val="18"/>
          <w:szCs w:val="18"/>
          <w:lang w:val="es-CO"/>
        </w:rPr>
      </w:pPr>
      <w:r w:rsidRPr="00736D4E">
        <w:rPr>
          <w:rFonts w:ascii="Arial" w:hAnsi="Arial" w:cs="Arial"/>
          <w:b/>
          <w:sz w:val="18"/>
          <w:szCs w:val="18"/>
          <w:lang w:val="es-CO"/>
        </w:rPr>
        <w:t>Demandado:</w:t>
      </w:r>
      <w:r w:rsidRPr="00224B73">
        <w:rPr>
          <w:rFonts w:ascii="Arial" w:hAnsi="Arial" w:cs="Arial"/>
          <w:sz w:val="18"/>
          <w:szCs w:val="18"/>
          <w:lang w:val="es-CO"/>
        </w:rPr>
        <w:tab/>
      </w:r>
      <w:r w:rsidR="00CE3504">
        <w:rPr>
          <w:rFonts w:ascii="Arial" w:hAnsi="Arial" w:cs="Arial"/>
          <w:sz w:val="18"/>
          <w:szCs w:val="18"/>
          <w:lang w:val="es-CO"/>
        </w:rPr>
        <w:t>PORVENIR S.A</w:t>
      </w:r>
    </w:p>
    <w:p w:rsidR="00D467A2" w:rsidRPr="006A5004" w:rsidRDefault="00D467A2" w:rsidP="00383172">
      <w:pPr>
        <w:pStyle w:val="Sinespaciado"/>
        <w:ind w:left="4945" w:hanging="2113"/>
        <w:contextualSpacing/>
        <w:jc w:val="both"/>
        <w:rPr>
          <w:rFonts w:ascii="Tahoma" w:hAnsi="Tahoma" w:cs="Tahoma"/>
          <w:b/>
        </w:rPr>
      </w:pP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sidR="00383172">
        <w:rPr>
          <w:rFonts w:ascii="Arial" w:hAnsi="Arial" w:cs="Arial"/>
          <w:b/>
          <w:sz w:val="18"/>
          <w:szCs w:val="18"/>
        </w:rPr>
        <w:t>Requisitos extrínseco de la prueba – prueba prohibida por la ley</w:t>
      </w:r>
      <w:r>
        <w:rPr>
          <w:rFonts w:ascii="Arial" w:hAnsi="Arial" w:cs="Arial"/>
          <w:b/>
          <w:sz w:val="18"/>
          <w:szCs w:val="18"/>
        </w:rPr>
        <w:t xml:space="preserve"> </w:t>
      </w:r>
    </w:p>
    <w:p w:rsidR="00D467A2" w:rsidRDefault="00D467A2" w:rsidP="00437A72">
      <w:pPr>
        <w:pStyle w:val="Sinespaciado"/>
        <w:contextualSpacing/>
        <w:jc w:val="center"/>
        <w:rPr>
          <w:rFonts w:ascii="Arial" w:hAnsi="Arial" w:cs="Arial"/>
          <w:b/>
        </w:rPr>
      </w:pPr>
    </w:p>
    <w:p w:rsidR="00D467A2" w:rsidRDefault="001A7DD2" w:rsidP="00413459">
      <w:pPr>
        <w:pStyle w:val="Sinespaciado"/>
        <w:spacing w:line="276" w:lineRule="auto"/>
        <w:contextualSpacing/>
        <w:jc w:val="both"/>
        <w:rPr>
          <w:rFonts w:ascii="Arial" w:hAnsi="Arial" w:cs="Arial"/>
        </w:rPr>
      </w:pPr>
      <w:r>
        <w:rPr>
          <w:rFonts w:ascii="Arial" w:hAnsi="Arial" w:cs="Arial"/>
          <w:b/>
        </w:rPr>
        <w:t xml:space="preserve"> </w:t>
      </w:r>
      <w:r w:rsidR="00290017">
        <w:rPr>
          <w:rFonts w:ascii="Arial" w:eastAsia="Calibri" w:hAnsi="Arial" w:cs="Arial"/>
        </w:rPr>
        <w:t xml:space="preserve">En Pereira, a los </w:t>
      </w:r>
      <w:r w:rsidR="00D651FF">
        <w:rPr>
          <w:rFonts w:ascii="Arial" w:eastAsia="Calibri" w:hAnsi="Arial" w:cs="Arial"/>
        </w:rPr>
        <w:t>veintiocho</w:t>
      </w:r>
      <w:r w:rsidR="00736D4E">
        <w:rPr>
          <w:rFonts w:ascii="Arial" w:eastAsia="Calibri" w:hAnsi="Arial" w:cs="Arial"/>
        </w:rPr>
        <w:t xml:space="preserve"> </w:t>
      </w:r>
      <w:r w:rsidR="00290017">
        <w:rPr>
          <w:rFonts w:ascii="Arial" w:eastAsia="Calibri" w:hAnsi="Arial" w:cs="Arial"/>
        </w:rPr>
        <w:t>(</w:t>
      </w:r>
      <w:r w:rsidR="00D651FF">
        <w:rPr>
          <w:rFonts w:ascii="Arial" w:eastAsia="Calibri" w:hAnsi="Arial" w:cs="Arial"/>
        </w:rPr>
        <w:t>28</w:t>
      </w:r>
      <w:r w:rsidR="007D1D22">
        <w:rPr>
          <w:rFonts w:ascii="Arial" w:eastAsia="Calibri" w:hAnsi="Arial" w:cs="Arial"/>
        </w:rPr>
        <w:t>)</w:t>
      </w:r>
      <w:r w:rsidR="001B179D">
        <w:rPr>
          <w:rFonts w:ascii="Arial" w:eastAsia="Calibri" w:hAnsi="Arial" w:cs="Arial"/>
        </w:rPr>
        <w:t xml:space="preserve"> días del mes de </w:t>
      </w:r>
      <w:r w:rsidR="00383172">
        <w:rPr>
          <w:rFonts w:ascii="Arial" w:eastAsia="Calibri" w:hAnsi="Arial" w:cs="Arial"/>
        </w:rPr>
        <w:t>septiembre</w:t>
      </w:r>
      <w:r>
        <w:rPr>
          <w:rFonts w:ascii="Arial" w:eastAsia="Calibri" w:hAnsi="Arial" w:cs="Arial"/>
        </w:rPr>
        <w:t xml:space="preserve"> </w:t>
      </w:r>
      <w:r w:rsidR="00290017" w:rsidRPr="00806C0F">
        <w:rPr>
          <w:rFonts w:ascii="Arial" w:eastAsia="Calibri" w:hAnsi="Arial" w:cs="Arial"/>
        </w:rPr>
        <w:t xml:space="preserve">de </w:t>
      </w:r>
      <w:r w:rsidR="00736D4E" w:rsidRPr="00736D4E">
        <w:rPr>
          <w:rFonts w:ascii="Arial" w:hAnsi="Arial" w:cs="Arial"/>
        </w:rPr>
        <w:t>dos mil dieciocho (2018)</w:t>
      </w:r>
      <w:r w:rsidR="00290017" w:rsidRPr="00806C0F">
        <w:rPr>
          <w:rFonts w:ascii="Arial" w:eastAsia="Calibri" w:hAnsi="Arial" w:cs="Arial"/>
        </w:rPr>
        <w:t>, siendo las</w:t>
      </w:r>
      <w:r>
        <w:rPr>
          <w:rFonts w:ascii="Arial" w:eastAsia="Calibri" w:hAnsi="Arial" w:cs="Arial"/>
        </w:rPr>
        <w:t xml:space="preserve"> </w:t>
      </w:r>
      <w:r w:rsidR="00FA68FE">
        <w:rPr>
          <w:rFonts w:ascii="Arial" w:eastAsia="Calibri" w:hAnsi="Arial" w:cs="Arial"/>
        </w:rPr>
        <w:t xml:space="preserve">ocho de la mañana </w:t>
      </w:r>
      <w:r w:rsidR="00290017" w:rsidRPr="00806C0F">
        <w:rPr>
          <w:rFonts w:ascii="Arial" w:eastAsia="Calibri" w:hAnsi="Arial" w:cs="Arial"/>
        </w:rPr>
        <w:t>(</w:t>
      </w:r>
      <w:r w:rsidR="00FA68FE">
        <w:rPr>
          <w:rFonts w:ascii="Arial" w:eastAsia="Calibri" w:hAnsi="Arial" w:cs="Arial"/>
        </w:rPr>
        <w:t>08:00</w:t>
      </w:r>
      <w:r w:rsidR="007D1D22">
        <w:rPr>
          <w:rFonts w:ascii="Arial" w:eastAsia="Calibri" w:hAnsi="Arial" w:cs="Arial"/>
        </w:rPr>
        <w:t xml:space="preserve"> a.m.</w:t>
      </w:r>
      <w:r w:rsidR="00290017" w:rsidRPr="00806C0F">
        <w:rPr>
          <w:rFonts w:ascii="Arial" w:eastAsia="Calibri" w:hAnsi="Arial" w:cs="Arial"/>
        </w:rPr>
        <w:t xml:space="preserve">), </w:t>
      </w:r>
      <w:r w:rsidR="00290017" w:rsidRPr="00806C0F">
        <w:rPr>
          <w:rFonts w:ascii="Arial" w:hAnsi="Arial" w:cs="Arial"/>
          <w:bCs/>
          <w:color w:val="000000"/>
          <w:lang w:eastAsia="es-CO"/>
        </w:rPr>
        <w:t xml:space="preserve">la Sala </w:t>
      </w:r>
      <w:r w:rsidR="008744EF">
        <w:rPr>
          <w:rFonts w:ascii="Arial" w:hAnsi="Arial" w:cs="Arial"/>
          <w:bCs/>
          <w:color w:val="000000"/>
          <w:lang w:eastAsia="es-CO"/>
        </w:rPr>
        <w:t>Segunda</w:t>
      </w:r>
      <w:r w:rsidR="00290017" w:rsidRPr="00806C0F">
        <w:rPr>
          <w:rFonts w:ascii="Arial" w:hAnsi="Arial" w:cs="Arial"/>
          <w:bCs/>
          <w:color w:val="000000"/>
          <w:lang w:eastAsia="es-CO"/>
        </w:rPr>
        <w:t xml:space="preserve"> de Decisión Laboral del Tribunal Superior del Distrito Judicial de Pereira, se declara en audiencia pública con el propósito de resolver</w:t>
      </w:r>
      <w:r w:rsidR="00290017">
        <w:rPr>
          <w:rFonts w:ascii="Arial" w:hAnsi="Arial" w:cs="Arial"/>
          <w:bCs/>
          <w:color w:val="000000"/>
          <w:lang w:eastAsia="es-CO"/>
        </w:rPr>
        <w:t xml:space="preserve"> el recurso de apelación</w:t>
      </w:r>
      <w:r w:rsidR="00290017" w:rsidRPr="00806C0F">
        <w:rPr>
          <w:rFonts w:ascii="Arial" w:hAnsi="Arial" w:cs="Arial"/>
          <w:bCs/>
          <w:color w:val="000000"/>
          <w:lang w:eastAsia="es-CO"/>
        </w:rPr>
        <w:t xml:space="preserve"> </w:t>
      </w:r>
      <w:r w:rsidR="00290017" w:rsidRPr="00806C0F">
        <w:rPr>
          <w:rFonts w:ascii="Arial" w:hAnsi="Arial" w:cs="Arial"/>
        </w:rPr>
        <w:t xml:space="preserve">del auto emitido por el Juzgado </w:t>
      </w:r>
      <w:r w:rsidR="00DD6B71">
        <w:rPr>
          <w:rFonts w:ascii="Arial" w:hAnsi="Arial" w:cs="Arial"/>
        </w:rPr>
        <w:t>Quinto</w:t>
      </w:r>
      <w:r w:rsidR="001B179D">
        <w:rPr>
          <w:rFonts w:ascii="Arial" w:hAnsi="Arial" w:cs="Arial"/>
        </w:rPr>
        <w:t xml:space="preserve"> </w:t>
      </w:r>
      <w:r w:rsidR="00290017" w:rsidRPr="00806C0F">
        <w:rPr>
          <w:rFonts w:ascii="Arial" w:hAnsi="Arial" w:cs="Arial"/>
        </w:rPr>
        <w:t xml:space="preserve">Laboral del Circuito de Pereira el </w:t>
      </w:r>
      <w:r w:rsidR="00736D4E">
        <w:rPr>
          <w:rFonts w:ascii="Arial" w:hAnsi="Arial" w:cs="Arial"/>
        </w:rPr>
        <w:t>05-</w:t>
      </w:r>
      <w:r w:rsidR="00C34660">
        <w:rPr>
          <w:rFonts w:ascii="Arial" w:hAnsi="Arial" w:cs="Arial"/>
        </w:rPr>
        <w:t>0</w:t>
      </w:r>
      <w:r w:rsidR="00736D4E">
        <w:rPr>
          <w:rFonts w:ascii="Arial" w:hAnsi="Arial" w:cs="Arial"/>
        </w:rPr>
        <w:t>3</w:t>
      </w:r>
      <w:r w:rsidR="00290017">
        <w:rPr>
          <w:rFonts w:ascii="Arial" w:hAnsi="Arial" w:cs="Arial"/>
        </w:rPr>
        <w:t>-201</w:t>
      </w:r>
      <w:r w:rsidR="00736D4E">
        <w:rPr>
          <w:rFonts w:ascii="Arial" w:hAnsi="Arial" w:cs="Arial"/>
        </w:rPr>
        <w:t>8</w:t>
      </w:r>
      <w:r w:rsidR="008744EF">
        <w:rPr>
          <w:rFonts w:ascii="Arial" w:hAnsi="Arial" w:cs="Arial"/>
        </w:rPr>
        <w:t xml:space="preserve"> </w:t>
      </w:r>
      <w:r w:rsidR="00290017" w:rsidRPr="00806C0F">
        <w:rPr>
          <w:rFonts w:ascii="Arial" w:hAnsi="Arial" w:cs="Arial"/>
        </w:rPr>
        <w:t xml:space="preserve">dentro del proceso iniciado por </w:t>
      </w:r>
      <w:r w:rsidR="00714181">
        <w:rPr>
          <w:rFonts w:ascii="Arial" w:hAnsi="Arial" w:cs="Arial"/>
        </w:rPr>
        <w:t>Luz Adriana Mendoza García y Luz Albeiro Ortiz</w:t>
      </w:r>
      <w:r w:rsidR="00290017">
        <w:rPr>
          <w:rFonts w:ascii="Arial" w:hAnsi="Arial" w:cs="Arial"/>
        </w:rPr>
        <w:t xml:space="preserve"> </w:t>
      </w:r>
      <w:r w:rsidR="00290017" w:rsidRPr="00806C0F">
        <w:rPr>
          <w:rFonts w:ascii="Arial" w:hAnsi="Arial" w:cs="Arial"/>
        </w:rPr>
        <w:t xml:space="preserve">en contra de </w:t>
      </w:r>
      <w:r w:rsidR="00DD6B71">
        <w:rPr>
          <w:rFonts w:ascii="Arial" w:hAnsi="Arial" w:cs="Arial"/>
        </w:rPr>
        <w:t>Administradora de fondo de Pensiones PORVENIR S.A</w:t>
      </w:r>
      <w:r w:rsidR="00290017" w:rsidRPr="00806C0F">
        <w:rPr>
          <w:rFonts w:ascii="Arial" w:hAnsi="Arial" w:cs="Arial"/>
        </w:rPr>
        <w:t>, radicado 66001-31-05-00</w:t>
      </w:r>
      <w:r w:rsidR="00DD6B71">
        <w:rPr>
          <w:rFonts w:ascii="Arial" w:hAnsi="Arial" w:cs="Arial"/>
        </w:rPr>
        <w:t>5</w:t>
      </w:r>
      <w:r w:rsidR="00290017">
        <w:rPr>
          <w:rFonts w:ascii="Arial" w:hAnsi="Arial" w:cs="Arial"/>
        </w:rPr>
        <w:t>-201</w:t>
      </w:r>
      <w:r w:rsidR="00714181">
        <w:rPr>
          <w:rFonts w:ascii="Arial" w:hAnsi="Arial" w:cs="Arial"/>
        </w:rPr>
        <w:t>7</w:t>
      </w:r>
      <w:r w:rsidR="00290017" w:rsidRPr="00806C0F">
        <w:rPr>
          <w:rFonts w:ascii="Arial" w:hAnsi="Arial" w:cs="Arial"/>
        </w:rPr>
        <w:t>-00</w:t>
      </w:r>
      <w:r w:rsidR="00714181">
        <w:rPr>
          <w:rFonts w:ascii="Arial" w:hAnsi="Arial" w:cs="Arial"/>
        </w:rPr>
        <w:t>073</w:t>
      </w:r>
      <w:r w:rsidR="00290017" w:rsidRPr="00806C0F">
        <w:rPr>
          <w:rFonts w:ascii="Arial" w:hAnsi="Arial" w:cs="Arial"/>
        </w:rPr>
        <w:t>-0</w:t>
      </w:r>
      <w:r w:rsidR="00DD6B71">
        <w:rPr>
          <w:rFonts w:ascii="Arial" w:hAnsi="Arial" w:cs="Arial"/>
        </w:rPr>
        <w:t>1</w:t>
      </w:r>
      <w:r w:rsidR="00290017" w:rsidRPr="00806C0F">
        <w:rPr>
          <w:rFonts w:ascii="Arial" w:hAnsi="Arial" w:cs="Arial"/>
        </w:rPr>
        <w:t>.</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spacing w:line="276" w:lineRule="auto"/>
        <w:contextualSpacing/>
        <w:rPr>
          <w:rFonts w:ascii="Arial" w:hAnsi="Arial" w:cs="Arial"/>
          <w:b/>
          <w:szCs w:val="24"/>
        </w:rPr>
      </w:pPr>
      <w:r w:rsidRPr="00D34F55">
        <w:rPr>
          <w:rFonts w:ascii="Arial" w:hAnsi="Arial" w:cs="Arial"/>
          <w:b/>
          <w:szCs w:val="24"/>
        </w:rPr>
        <w:t>REGISTRO DE ASISTENCIA:</w:t>
      </w:r>
    </w:p>
    <w:p w:rsidR="00D467A2" w:rsidRPr="00D34F55" w:rsidRDefault="00D467A2" w:rsidP="00437A72">
      <w:pPr>
        <w:spacing w:line="276" w:lineRule="auto"/>
        <w:contextualSpacing/>
        <w:rPr>
          <w:rFonts w:ascii="Arial" w:hAnsi="Arial" w:cs="Arial"/>
          <w:szCs w:val="24"/>
        </w:rPr>
      </w:pPr>
      <w:r w:rsidRPr="00D34F55">
        <w:rPr>
          <w:rFonts w:ascii="Arial" w:hAnsi="Arial" w:cs="Arial"/>
          <w:szCs w:val="24"/>
        </w:rPr>
        <w:t xml:space="preserve">Demandante y su apoderado: </w:t>
      </w:r>
      <w:r w:rsidRPr="00D34F55">
        <w:rPr>
          <w:rFonts w:ascii="Arial" w:hAnsi="Arial" w:cs="Arial"/>
          <w:szCs w:val="24"/>
        </w:rPr>
        <w:tab/>
      </w:r>
      <w:r w:rsidRPr="00D34F55">
        <w:rPr>
          <w:rFonts w:ascii="Arial" w:hAnsi="Arial" w:cs="Arial"/>
          <w:szCs w:val="24"/>
        </w:rPr>
        <w:tab/>
        <w:t>Demandado y su apoderado:</w:t>
      </w:r>
    </w:p>
    <w:p w:rsidR="00D467A2" w:rsidRPr="00D34F55" w:rsidRDefault="00D467A2" w:rsidP="00437A72">
      <w:pPr>
        <w:spacing w:line="276" w:lineRule="auto"/>
        <w:ind w:left="709" w:firstLine="142"/>
        <w:contextualSpacing/>
        <w:jc w:val="both"/>
        <w:rPr>
          <w:rFonts w:ascii="Arial" w:hAnsi="Arial" w:cs="Arial"/>
          <w:szCs w:val="24"/>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TRASLADO A LAS PARTES</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 xml:space="preserve"> En este estado se corre traslado a los asistentes para que presenten sus alegatos.  </w:t>
      </w:r>
    </w:p>
    <w:p w:rsidR="00D467A2" w:rsidRPr="00D34F55" w:rsidRDefault="00D467A2" w:rsidP="00437A72">
      <w:pPr>
        <w:pStyle w:val="Sinespaciado"/>
        <w:spacing w:line="276" w:lineRule="auto"/>
        <w:ind w:left="1080"/>
        <w:contextualSpacing/>
        <w:jc w:val="center"/>
        <w:rPr>
          <w:rStyle w:val="Textoennegrita"/>
          <w:rFonts w:ascii="Arial" w:hAnsi="Arial" w:cs="Arial"/>
        </w:rPr>
      </w:pPr>
    </w:p>
    <w:p w:rsidR="00D467A2" w:rsidRPr="00D34F55" w:rsidRDefault="00D467A2" w:rsidP="00437A72">
      <w:pPr>
        <w:pStyle w:val="Sinespaciado"/>
        <w:spacing w:line="276" w:lineRule="auto"/>
        <w:ind w:left="1080"/>
        <w:contextualSpacing/>
        <w:jc w:val="center"/>
        <w:rPr>
          <w:rStyle w:val="Textoennegrita"/>
          <w:rFonts w:ascii="Arial" w:hAnsi="Arial" w:cs="Arial"/>
          <w:bCs w:val="0"/>
        </w:rPr>
      </w:pPr>
      <w:r w:rsidRPr="00D34F55">
        <w:rPr>
          <w:rStyle w:val="Textoennegrita"/>
          <w:rFonts w:ascii="Arial" w:hAnsi="Arial" w:cs="Arial"/>
        </w:rPr>
        <w:t>ANTECEDENTES</w:t>
      </w:r>
    </w:p>
    <w:p w:rsidR="00D467A2" w:rsidRPr="00D34F55" w:rsidRDefault="00D467A2" w:rsidP="00437A72">
      <w:pPr>
        <w:pStyle w:val="Sinespaciado"/>
        <w:spacing w:line="276" w:lineRule="auto"/>
        <w:ind w:left="1080"/>
        <w:contextualSpacing/>
        <w:rPr>
          <w:rStyle w:val="Textoennegrita"/>
          <w:rFonts w:ascii="Arial" w:hAnsi="Arial" w:cs="Arial"/>
          <w:bCs w:val="0"/>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1. Crónica procesal</w:t>
      </w:r>
    </w:p>
    <w:p w:rsidR="00D467A2" w:rsidRDefault="00D467A2" w:rsidP="00437A72">
      <w:pPr>
        <w:spacing w:line="276" w:lineRule="auto"/>
        <w:contextualSpacing/>
        <w:jc w:val="both"/>
        <w:rPr>
          <w:rFonts w:ascii="Arial" w:hAnsi="Arial" w:cs="Arial"/>
          <w:szCs w:val="24"/>
        </w:rPr>
      </w:pPr>
    </w:p>
    <w:p w:rsidR="00895647" w:rsidRDefault="00956F1C" w:rsidP="00AF5402">
      <w:pPr>
        <w:spacing w:line="276" w:lineRule="auto"/>
        <w:ind w:right="51"/>
        <w:jc w:val="both"/>
        <w:rPr>
          <w:rFonts w:ascii="Arial" w:hAnsi="Arial" w:cs="Arial"/>
          <w:szCs w:val="24"/>
        </w:rPr>
      </w:pPr>
      <w:r>
        <w:rPr>
          <w:rFonts w:ascii="Arial" w:hAnsi="Arial" w:cs="Arial"/>
          <w:szCs w:val="24"/>
        </w:rPr>
        <w:t xml:space="preserve">1.1. </w:t>
      </w:r>
      <w:r w:rsidR="00714181">
        <w:rPr>
          <w:rFonts w:ascii="Arial" w:hAnsi="Arial" w:cs="Arial"/>
          <w:szCs w:val="24"/>
        </w:rPr>
        <w:t xml:space="preserve">Los señores Luz Adriana Mendoza García y Luis Albeiro Ortiz, </w:t>
      </w:r>
      <w:r w:rsidR="00714181" w:rsidRPr="007A0295">
        <w:rPr>
          <w:rFonts w:ascii="Arial" w:hAnsi="Arial" w:cs="Arial"/>
          <w:szCs w:val="24"/>
        </w:rPr>
        <w:t>por intermedio de apoderado judicial</w:t>
      </w:r>
      <w:r w:rsidR="00714181">
        <w:rPr>
          <w:rFonts w:ascii="Arial" w:hAnsi="Arial" w:cs="Arial"/>
          <w:szCs w:val="24"/>
        </w:rPr>
        <w:t xml:space="preserve">, </w:t>
      </w:r>
      <w:r w:rsidR="00FA68FE">
        <w:rPr>
          <w:rFonts w:ascii="Arial" w:hAnsi="Arial" w:cs="Arial"/>
          <w:szCs w:val="24"/>
        </w:rPr>
        <w:t>presentaron</w:t>
      </w:r>
      <w:r w:rsidR="00714181">
        <w:rPr>
          <w:rFonts w:ascii="Arial" w:hAnsi="Arial" w:cs="Arial"/>
          <w:szCs w:val="24"/>
        </w:rPr>
        <w:t xml:space="preserve"> demanda laboral</w:t>
      </w:r>
      <w:r w:rsidR="008744EF">
        <w:rPr>
          <w:rFonts w:ascii="Arial" w:hAnsi="Arial" w:cs="Arial"/>
          <w:szCs w:val="24"/>
        </w:rPr>
        <w:t xml:space="preserve"> con el fin de que se les </w:t>
      </w:r>
      <w:r w:rsidR="00714181">
        <w:rPr>
          <w:rFonts w:ascii="Arial" w:hAnsi="Arial" w:cs="Arial"/>
          <w:szCs w:val="24"/>
        </w:rPr>
        <w:t>recono</w:t>
      </w:r>
      <w:r w:rsidR="008744EF">
        <w:rPr>
          <w:rFonts w:ascii="Arial" w:hAnsi="Arial" w:cs="Arial"/>
          <w:szCs w:val="24"/>
        </w:rPr>
        <w:t xml:space="preserve">zca el </w:t>
      </w:r>
      <w:r w:rsidR="00714181">
        <w:rPr>
          <w:rFonts w:ascii="Arial" w:hAnsi="Arial" w:cs="Arial"/>
          <w:szCs w:val="24"/>
        </w:rPr>
        <w:t>pago de la pensión de sobrevivientes a partir del 22-09-2015</w:t>
      </w:r>
      <w:r w:rsidR="008744EF">
        <w:rPr>
          <w:rFonts w:ascii="Arial" w:hAnsi="Arial" w:cs="Arial"/>
          <w:szCs w:val="24"/>
        </w:rPr>
        <w:t>, junto</w:t>
      </w:r>
      <w:r w:rsidR="00714181">
        <w:rPr>
          <w:rFonts w:ascii="Arial" w:hAnsi="Arial" w:cs="Arial"/>
          <w:szCs w:val="24"/>
        </w:rPr>
        <w:t xml:space="preserve"> con su retroactivo pensional, intereses moratorios</w:t>
      </w:r>
      <w:r w:rsidR="008744EF">
        <w:rPr>
          <w:rFonts w:ascii="Arial" w:hAnsi="Arial" w:cs="Arial"/>
          <w:szCs w:val="24"/>
        </w:rPr>
        <w:t xml:space="preserve"> o </w:t>
      </w:r>
      <w:r w:rsidR="00714181">
        <w:rPr>
          <w:rFonts w:ascii="Arial" w:hAnsi="Arial" w:cs="Arial"/>
          <w:szCs w:val="24"/>
        </w:rPr>
        <w:t>indexa</w:t>
      </w:r>
      <w:r w:rsidR="008744EF">
        <w:rPr>
          <w:rFonts w:ascii="Arial" w:hAnsi="Arial" w:cs="Arial"/>
          <w:szCs w:val="24"/>
        </w:rPr>
        <w:t>ción</w:t>
      </w:r>
      <w:r w:rsidR="00714181">
        <w:rPr>
          <w:rFonts w:ascii="Arial" w:hAnsi="Arial" w:cs="Arial"/>
          <w:szCs w:val="24"/>
        </w:rPr>
        <w:t xml:space="preserve">. </w:t>
      </w:r>
    </w:p>
    <w:p w:rsidR="00AF5402" w:rsidRDefault="00AF5402" w:rsidP="00AF5402">
      <w:pPr>
        <w:spacing w:line="276" w:lineRule="auto"/>
        <w:ind w:right="51"/>
        <w:jc w:val="both"/>
        <w:rPr>
          <w:rFonts w:ascii="Arial" w:hAnsi="Arial" w:cs="Arial"/>
          <w:szCs w:val="24"/>
        </w:rPr>
      </w:pPr>
    </w:p>
    <w:p w:rsidR="003C3A66" w:rsidRPr="000F4183" w:rsidRDefault="00956F1C" w:rsidP="00B91336">
      <w:pPr>
        <w:spacing w:line="276" w:lineRule="auto"/>
        <w:ind w:right="51"/>
        <w:jc w:val="both"/>
        <w:rPr>
          <w:rFonts w:ascii="Arial" w:hAnsi="Arial" w:cs="Arial"/>
          <w:i/>
          <w:szCs w:val="24"/>
        </w:rPr>
      </w:pPr>
      <w:r w:rsidRPr="00714181">
        <w:rPr>
          <w:rFonts w:ascii="Arial" w:hAnsi="Arial" w:cs="Arial"/>
          <w:szCs w:val="24"/>
        </w:rPr>
        <w:t xml:space="preserve">1.2. </w:t>
      </w:r>
      <w:r w:rsidR="00B91336">
        <w:rPr>
          <w:rFonts w:ascii="Arial" w:hAnsi="Arial" w:cs="Arial"/>
          <w:szCs w:val="24"/>
        </w:rPr>
        <w:t xml:space="preserve"> </w:t>
      </w:r>
      <w:r w:rsidR="003C3A66">
        <w:rPr>
          <w:rFonts w:ascii="Arial" w:hAnsi="Arial" w:cs="Arial"/>
          <w:szCs w:val="24"/>
        </w:rPr>
        <w:t xml:space="preserve">El apoderado judicial de la parte demandada </w:t>
      </w:r>
      <w:r w:rsidR="00B91336">
        <w:rPr>
          <w:rFonts w:ascii="Arial" w:hAnsi="Arial" w:cs="Arial"/>
          <w:szCs w:val="24"/>
        </w:rPr>
        <w:t xml:space="preserve">al contestar </w:t>
      </w:r>
      <w:r w:rsidR="00FA68FE">
        <w:rPr>
          <w:rFonts w:ascii="Arial" w:hAnsi="Arial" w:cs="Arial"/>
          <w:szCs w:val="24"/>
        </w:rPr>
        <w:t xml:space="preserve">el libelo introductorio </w:t>
      </w:r>
      <w:r w:rsidR="00B91336">
        <w:rPr>
          <w:rFonts w:ascii="Arial" w:hAnsi="Arial" w:cs="Arial"/>
          <w:szCs w:val="24"/>
        </w:rPr>
        <w:t>aceptó unos hechos y otros los negó</w:t>
      </w:r>
      <w:r w:rsidR="00916430">
        <w:rPr>
          <w:rFonts w:ascii="Arial" w:hAnsi="Arial" w:cs="Arial"/>
          <w:szCs w:val="24"/>
        </w:rPr>
        <w:t xml:space="preserve">, </w:t>
      </w:r>
      <w:r w:rsidR="00B91336">
        <w:rPr>
          <w:rFonts w:ascii="Arial" w:hAnsi="Arial" w:cs="Arial"/>
          <w:szCs w:val="24"/>
        </w:rPr>
        <w:t>frente a l</w:t>
      </w:r>
      <w:r w:rsidR="00916430">
        <w:rPr>
          <w:rFonts w:ascii="Arial" w:hAnsi="Arial" w:cs="Arial"/>
          <w:szCs w:val="24"/>
        </w:rPr>
        <w:t>as pretensiones se opuso</w:t>
      </w:r>
      <w:r w:rsidR="00B91336">
        <w:rPr>
          <w:rFonts w:ascii="Arial" w:hAnsi="Arial" w:cs="Arial"/>
          <w:szCs w:val="24"/>
        </w:rPr>
        <w:t xml:space="preserve"> </w:t>
      </w:r>
      <w:r w:rsidR="000F4183">
        <w:rPr>
          <w:rFonts w:ascii="Arial" w:hAnsi="Arial" w:cs="Arial"/>
          <w:szCs w:val="24"/>
        </w:rPr>
        <w:t xml:space="preserve">y </w:t>
      </w:r>
      <w:r w:rsidR="00B91336">
        <w:rPr>
          <w:rFonts w:ascii="Arial" w:hAnsi="Arial" w:cs="Arial"/>
          <w:szCs w:val="24"/>
        </w:rPr>
        <w:t xml:space="preserve">formuló </w:t>
      </w:r>
      <w:r w:rsidR="000F4183">
        <w:rPr>
          <w:rFonts w:ascii="Arial" w:hAnsi="Arial" w:cs="Arial"/>
          <w:szCs w:val="24"/>
        </w:rPr>
        <w:t>como excepciones</w:t>
      </w:r>
      <w:r w:rsidR="00B91336">
        <w:rPr>
          <w:rFonts w:ascii="Arial" w:hAnsi="Arial" w:cs="Arial"/>
          <w:szCs w:val="24"/>
        </w:rPr>
        <w:t xml:space="preserve"> la </w:t>
      </w:r>
      <w:r w:rsidR="000F4183">
        <w:rPr>
          <w:rFonts w:ascii="Arial" w:hAnsi="Arial" w:cs="Arial"/>
          <w:i/>
          <w:szCs w:val="24"/>
        </w:rPr>
        <w:t xml:space="preserve">“Falta de la Estructuración Fáctica en la cual se basa la Parte Demandante para ser Viable la Pretensión Principal”, “Ausencia de los Requisitos Exigidos por el Legislador para la Configuración de la Pensión de Sobrevivientes y/o Inexistencia de la Causa Jurídica que de Origen a la Exigencia del </w:t>
      </w:r>
      <w:r w:rsidR="000F4183">
        <w:rPr>
          <w:rFonts w:ascii="Arial" w:hAnsi="Arial" w:cs="Arial"/>
          <w:i/>
          <w:szCs w:val="24"/>
        </w:rPr>
        <w:lastRenderedPageBreak/>
        <w:t xml:space="preserve">Reconocimiento de la Prestación Solicitada por Falta de Dependencia Económica”, “Inexistencia de la Obligación”, “Genérica”, “Prescripción”, “Compensación”, “Exoneración de Condena en Costa y de Intereses de Mora”, “Buena fe”, “Falta de Causa para Pedir”, “Falta de Legitimación en la Causa por Pasiva”, “Falta de Personería Sustantiva por Pasiva” y por </w:t>
      </w:r>
      <w:r w:rsidR="00B91336">
        <w:rPr>
          <w:rFonts w:ascii="Arial" w:hAnsi="Arial" w:cs="Arial"/>
          <w:i/>
          <w:szCs w:val="24"/>
        </w:rPr>
        <w:t>ú</w:t>
      </w:r>
      <w:r w:rsidR="000F4183">
        <w:rPr>
          <w:rFonts w:ascii="Arial" w:hAnsi="Arial" w:cs="Arial"/>
          <w:i/>
          <w:szCs w:val="24"/>
        </w:rPr>
        <w:t xml:space="preserve">ltimo “ Inexistencia de la Fuente de la Obligación”. </w:t>
      </w:r>
    </w:p>
    <w:p w:rsidR="002C58C5" w:rsidRDefault="00374262" w:rsidP="002C58C5">
      <w:pPr>
        <w:pStyle w:val="centrado"/>
        <w:spacing w:line="276" w:lineRule="auto"/>
        <w:contextualSpacing/>
        <w:jc w:val="both"/>
        <w:rPr>
          <w:rFonts w:ascii="Arial" w:hAnsi="Arial" w:cs="Arial"/>
        </w:rPr>
      </w:pPr>
      <w:r>
        <w:rPr>
          <w:rFonts w:ascii="Arial" w:hAnsi="Arial" w:cs="Arial"/>
        </w:rPr>
        <w:t>Solicitó c</w:t>
      </w:r>
      <w:r w:rsidR="00B91336">
        <w:rPr>
          <w:rFonts w:ascii="Arial" w:hAnsi="Arial" w:cs="Arial"/>
        </w:rPr>
        <w:t>omo pruebas</w:t>
      </w:r>
      <w:r w:rsidR="002C58C5">
        <w:rPr>
          <w:rFonts w:ascii="Arial" w:hAnsi="Arial" w:cs="Arial"/>
        </w:rPr>
        <w:t xml:space="preserve">, </w:t>
      </w:r>
      <w:r w:rsidR="00E24C47">
        <w:rPr>
          <w:rFonts w:ascii="Arial" w:hAnsi="Arial" w:cs="Arial"/>
        </w:rPr>
        <w:t xml:space="preserve">entre otras y </w:t>
      </w:r>
      <w:r w:rsidR="001C3272">
        <w:rPr>
          <w:rFonts w:ascii="Arial" w:hAnsi="Arial" w:cs="Arial"/>
        </w:rPr>
        <w:t xml:space="preserve">sola </w:t>
      </w:r>
      <w:r w:rsidR="00E24C47">
        <w:rPr>
          <w:rFonts w:ascii="Arial" w:hAnsi="Arial" w:cs="Arial"/>
        </w:rPr>
        <w:t>las que interesan al recurso,</w:t>
      </w:r>
      <w:r>
        <w:rPr>
          <w:rFonts w:ascii="Arial" w:hAnsi="Arial" w:cs="Arial"/>
        </w:rPr>
        <w:t xml:space="preserve"> </w:t>
      </w:r>
      <w:r w:rsidR="002C58C5">
        <w:rPr>
          <w:rFonts w:ascii="Arial" w:hAnsi="Arial" w:cs="Arial"/>
        </w:rPr>
        <w:t xml:space="preserve">se oficiara al banco BBVA para que </w:t>
      </w:r>
      <w:r w:rsidR="002C58C5">
        <w:rPr>
          <w:rStyle w:val="apple-converted-space"/>
          <w:rFonts w:ascii="Arial" w:hAnsi="Arial" w:cs="Arial"/>
          <w:shd w:val="clear" w:color="auto" w:fill="FFFFFF"/>
        </w:rPr>
        <w:t>certifique de la cuenta Nº 70-329-3209, el “</w:t>
      </w:r>
      <w:r w:rsidR="002C58C5">
        <w:rPr>
          <w:rStyle w:val="apple-converted-space"/>
          <w:rFonts w:ascii="Arial" w:hAnsi="Arial" w:cs="Arial"/>
          <w:i/>
          <w:shd w:val="clear" w:color="auto" w:fill="FFFFFF"/>
        </w:rPr>
        <w:t>Titular, Fecha de apertura, Saldos anuales promedio, Estado: activa o inactiva, Saldo actual, Débitos automáticos, Portafolios complementarios y/o adicionales, Si es cuenta corriente o de ahorros, Rentabilidad</w:t>
      </w:r>
      <w:r w:rsidR="00FA68FE">
        <w:rPr>
          <w:rStyle w:val="apple-converted-space"/>
          <w:rFonts w:ascii="Arial" w:hAnsi="Arial" w:cs="Arial"/>
          <w:i/>
          <w:shd w:val="clear" w:color="auto" w:fill="FFFFFF"/>
        </w:rPr>
        <w:t>”</w:t>
      </w:r>
      <w:r w:rsidR="002C58C5">
        <w:rPr>
          <w:rStyle w:val="apple-converted-space"/>
          <w:rFonts w:ascii="Arial" w:hAnsi="Arial" w:cs="Arial"/>
          <w:i/>
          <w:shd w:val="clear" w:color="auto" w:fill="FFFFFF"/>
        </w:rPr>
        <w:t xml:space="preserve">. </w:t>
      </w:r>
      <w:r w:rsidR="002C58C5">
        <w:rPr>
          <w:rFonts w:ascii="Arial" w:hAnsi="Arial" w:cs="Arial"/>
        </w:rPr>
        <w:t>Igualmente a la oficina de Tránsito y Transporte de Pereira y Dosquebradas</w:t>
      </w:r>
      <w:r>
        <w:rPr>
          <w:rFonts w:ascii="Arial" w:hAnsi="Arial" w:cs="Arial"/>
        </w:rPr>
        <w:t>, sin más agregado</w:t>
      </w:r>
      <w:r w:rsidR="002C58C5">
        <w:rPr>
          <w:rFonts w:ascii="Arial" w:hAnsi="Arial" w:cs="Arial"/>
        </w:rPr>
        <w:t>.</w:t>
      </w:r>
    </w:p>
    <w:p w:rsidR="009F14B7" w:rsidRDefault="009F14B7" w:rsidP="00C34E46">
      <w:pPr>
        <w:spacing w:line="276" w:lineRule="auto"/>
        <w:jc w:val="both"/>
        <w:rPr>
          <w:rFonts w:ascii="Arial" w:hAnsi="Arial" w:cs="Arial"/>
          <w:b/>
          <w:szCs w:val="24"/>
        </w:rPr>
      </w:pPr>
      <w:r w:rsidRPr="009F14B7">
        <w:rPr>
          <w:rFonts w:ascii="Arial" w:hAnsi="Arial" w:cs="Arial"/>
          <w:b/>
          <w:szCs w:val="24"/>
        </w:rPr>
        <w:t>2. Auto objeto de apelación</w:t>
      </w:r>
    </w:p>
    <w:p w:rsidR="00374262" w:rsidRDefault="00374262" w:rsidP="00374262">
      <w:pPr>
        <w:spacing w:line="276" w:lineRule="auto"/>
        <w:jc w:val="both"/>
        <w:rPr>
          <w:rFonts w:ascii="Arial" w:hAnsi="Arial" w:cs="Arial"/>
          <w:szCs w:val="24"/>
        </w:rPr>
      </w:pPr>
    </w:p>
    <w:p w:rsidR="004D018A" w:rsidRDefault="00374262" w:rsidP="00374262">
      <w:pPr>
        <w:spacing w:line="276" w:lineRule="auto"/>
        <w:jc w:val="both"/>
        <w:rPr>
          <w:rFonts w:ascii="Arial" w:hAnsi="Arial" w:cs="Arial"/>
          <w:szCs w:val="24"/>
        </w:rPr>
      </w:pPr>
      <w:r>
        <w:rPr>
          <w:rFonts w:ascii="Arial" w:hAnsi="Arial" w:cs="Arial"/>
          <w:szCs w:val="24"/>
        </w:rPr>
        <w:t xml:space="preserve">El despacho en audiencia del artículo 77 del CPTSS, celebrada el 05-03-2018, luego de agotar las etapas previas, se pronunció sobre las pruebas solicitadas por las partes; de estas negó oficiar </w:t>
      </w:r>
      <w:r w:rsidR="00270E4C">
        <w:rPr>
          <w:rFonts w:ascii="Arial" w:hAnsi="Arial" w:cs="Arial"/>
          <w:szCs w:val="24"/>
        </w:rPr>
        <w:t xml:space="preserve">a las entidades del BBVA y </w:t>
      </w:r>
      <w:r w:rsidR="001D289F">
        <w:rPr>
          <w:rFonts w:ascii="Arial" w:hAnsi="Arial" w:cs="Arial"/>
          <w:szCs w:val="24"/>
        </w:rPr>
        <w:t>Tránsito</w:t>
      </w:r>
      <w:r w:rsidR="00270E4C">
        <w:rPr>
          <w:rFonts w:ascii="Arial" w:hAnsi="Arial" w:cs="Arial"/>
          <w:szCs w:val="24"/>
        </w:rPr>
        <w:t xml:space="preserve"> y Transporte de Pereira y Dosquebradas</w:t>
      </w:r>
      <w:r w:rsidR="00D34A3D">
        <w:rPr>
          <w:rFonts w:ascii="Arial" w:hAnsi="Arial" w:cs="Arial"/>
          <w:szCs w:val="24"/>
        </w:rPr>
        <w:t>;</w:t>
      </w:r>
      <w:r w:rsidR="00270E4C">
        <w:rPr>
          <w:rFonts w:ascii="Arial" w:hAnsi="Arial" w:cs="Arial"/>
          <w:szCs w:val="24"/>
        </w:rPr>
        <w:t xml:space="preserve"> la primera porque</w:t>
      </w:r>
      <w:r w:rsidR="00D34A3D">
        <w:rPr>
          <w:rFonts w:ascii="Arial" w:hAnsi="Arial" w:cs="Arial"/>
          <w:szCs w:val="24"/>
        </w:rPr>
        <w:t xml:space="preserve"> las </w:t>
      </w:r>
      <w:r w:rsidR="00270E4C">
        <w:rPr>
          <w:rFonts w:ascii="Arial" w:hAnsi="Arial" w:cs="Arial"/>
          <w:szCs w:val="24"/>
        </w:rPr>
        <w:t>cuenta</w:t>
      </w:r>
      <w:r w:rsidR="00D34A3D">
        <w:rPr>
          <w:rFonts w:ascii="Arial" w:hAnsi="Arial" w:cs="Arial"/>
          <w:szCs w:val="24"/>
        </w:rPr>
        <w:t>s</w:t>
      </w:r>
      <w:r w:rsidR="00270E4C">
        <w:rPr>
          <w:rFonts w:ascii="Arial" w:hAnsi="Arial" w:cs="Arial"/>
          <w:szCs w:val="24"/>
        </w:rPr>
        <w:t xml:space="preserve"> de ahorros</w:t>
      </w:r>
      <w:r w:rsidR="00D34A3D">
        <w:rPr>
          <w:rFonts w:ascii="Arial" w:hAnsi="Arial" w:cs="Arial"/>
          <w:szCs w:val="24"/>
        </w:rPr>
        <w:t xml:space="preserve"> </w:t>
      </w:r>
      <w:r w:rsidR="00270E4C">
        <w:rPr>
          <w:rFonts w:ascii="Arial" w:hAnsi="Arial" w:cs="Arial"/>
          <w:szCs w:val="24"/>
        </w:rPr>
        <w:t>tiene</w:t>
      </w:r>
      <w:r w:rsidR="00D34A3D">
        <w:rPr>
          <w:rFonts w:ascii="Arial" w:hAnsi="Arial" w:cs="Arial"/>
          <w:szCs w:val="24"/>
        </w:rPr>
        <w:t>n</w:t>
      </w:r>
      <w:r w:rsidR="00270E4C">
        <w:rPr>
          <w:rFonts w:ascii="Arial" w:hAnsi="Arial" w:cs="Arial"/>
          <w:szCs w:val="24"/>
        </w:rPr>
        <w:t xml:space="preserve"> reserva legal y la segunda </w:t>
      </w:r>
      <w:r w:rsidR="00E4416C">
        <w:rPr>
          <w:rFonts w:ascii="Arial" w:hAnsi="Arial" w:cs="Arial"/>
          <w:szCs w:val="24"/>
        </w:rPr>
        <w:t xml:space="preserve">por no </w:t>
      </w:r>
      <w:r w:rsidR="00270E4C">
        <w:rPr>
          <w:rFonts w:ascii="Arial" w:hAnsi="Arial" w:cs="Arial"/>
          <w:szCs w:val="24"/>
        </w:rPr>
        <w:t xml:space="preserve">especificar </w:t>
      </w:r>
      <w:r w:rsidR="00FA68FE">
        <w:rPr>
          <w:rFonts w:ascii="Arial" w:hAnsi="Arial" w:cs="Arial"/>
          <w:szCs w:val="24"/>
        </w:rPr>
        <w:t>qué</w:t>
      </w:r>
      <w:r w:rsidR="00D34A3D">
        <w:rPr>
          <w:rFonts w:ascii="Arial" w:hAnsi="Arial" w:cs="Arial"/>
          <w:szCs w:val="24"/>
        </w:rPr>
        <w:t xml:space="preserve"> se requiere de la </w:t>
      </w:r>
      <w:r w:rsidR="001D289F">
        <w:rPr>
          <w:rFonts w:ascii="Arial" w:hAnsi="Arial" w:cs="Arial"/>
          <w:szCs w:val="24"/>
        </w:rPr>
        <w:t>autoridad</w:t>
      </w:r>
      <w:r w:rsidR="00090CD7">
        <w:rPr>
          <w:rFonts w:ascii="Arial" w:hAnsi="Arial" w:cs="Arial"/>
          <w:szCs w:val="24"/>
        </w:rPr>
        <w:t>;</w:t>
      </w:r>
      <w:r w:rsidR="00DD379A">
        <w:rPr>
          <w:rFonts w:ascii="Arial" w:hAnsi="Arial" w:cs="Arial"/>
          <w:szCs w:val="24"/>
        </w:rPr>
        <w:t xml:space="preserve"> </w:t>
      </w:r>
      <w:r w:rsidR="00090CD7">
        <w:rPr>
          <w:rFonts w:ascii="Arial" w:hAnsi="Arial" w:cs="Arial"/>
          <w:szCs w:val="24"/>
        </w:rPr>
        <w:t>pedidas por la parte demandada</w:t>
      </w:r>
      <w:r w:rsidR="00E4416C">
        <w:rPr>
          <w:rFonts w:ascii="Arial" w:hAnsi="Arial" w:cs="Arial"/>
          <w:szCs w:val="24"/>
        </w:rPr>
        <w:t>.</w:t>
      </w:r>
      <w:r w:rsidR="009F14B7">
        <w:rPr>
          <w:rFonts w:ascii="Arial" w:hAnsi="Arial" w:cs="Arial"/>
          <w:szCs w:val="24"/>
        </w:rPr>
        <w:t xml:space="preserve"> </w:t>
      </w:r>
    </w:p>
    <w:p w:rsidR="00895647" w:rsidRDefault="004D018A" w:rsidP="00C34E46">
      <w:pPr>
        <w:spacing w:line="276" w:lineRule="auto"/>
        <w:jc w:val="both"/>
        <w:rPr>
          <w:rFonts w:ascii="Arial" w:hAnsi="Arial" w:cs="Arial"/>
          <w:szCs w:val="24"/>
        </w:rPr>
      </w:pPr>
      <w:r>
        <w:rPr>
          <w:rFonts w:ascii="Arial" w:hAnsi="Arial" w:cs="Arial"/>
          <w:szCs w:val="24"/>
        </w:rPr>
        <w:t xml:space="preserve"> </w:t>
      </w:r>
    </w:p>
    <w:p w:rsidR="009A1957" w:rsidRPr="00CD7D80" w:rsidRDefault="009A1957" w:rsidP="001B179D">
      <w:pPr>
        <w:spacing w:line="276" w:lineRule="auto"/>
        <w:jc w:val="both"/>
        <w:rPr>
          <w:rFonts w:ascii="Arial" w:eastAsiaTheme="majorEastAsia" w:hAnsi="Arial" w:cs="Arial"/>
          <w:b/>
          <w:szCs w:val="24"/>
        </w:rPr>
      </w:pPr>
      <w:r w:rsidRPr="00CD7D80">
        <w:rPr>
          <w:rFonts w:ascii="Arial" w:hAnsi="Arial" w:cs="Arial"/>
          <w:b/>
          <w:szCs w:val="24"/>
          <w:lang w:val="es-CO"/>
        </w:rPr>
        <w:t>3. El recurso de apelación</w:t>
      </w:r>
    </w:p>
    <w:p w:rsidR="00261B59" w:rsidRPr="00D34F55" w:rsidRDefault="00261B59" w:rsidP="001B179D">
      <w:pPr>
        <w:spacing w:line="276" w:lineRule="auto"/>
        <w:contextualSpacing/>
        <w:jc w:val="both"/>
        <w:rPr>
          <w:rFonts w:ascii="Arial" w:eastAsiaTheme="majorEastAsia" w:hAnsi="Arial" w:cs="Arial"/>
          <w:b/>
          <w:szCs w:val="24"/>
        </w:rPr>
      </w:pPr>
    </w:p>
    <w:p w:rsidR="00DD379A" w:rsidRDefault="00BA7F02" w:rsidP="001B179D">
      <w:pPr>
        <w:spacing w:line="276" w:lineRule="auto"/>
        <w:jc w:val="both"/>
        <w:rPr>
          <w:rFonts w:ascii="Arial" w:eastAsiaTheme="majorEastAsia" w:hAnsi="Arial" w:cs="Arial"/>
          <w:szCs w:val="24"/>
        </w:rPr>
      </w:pPr>
      <w:r>
        <w:rPr>
          <w:rFonts w:ascii="Arial" w:eastAsiaTheme="majorEastAsia" w:hAnsi="Arial" w:cs="Arial"/>
          <w:szCs w:val="24"/>
        </w:rPr>
        <w:t xml:space="preserve">Al no compartir la </w:t>
      </w:r>
      <w:r w:rsidR="00DD379A">
        <w:rPr>
          <w:rFonts w:ascii="Arial" w:eastAsiaTheme="majorEastAsia" w:hAnsi="Arial" w:cs="Arial"/>
          <w:szCs w:val="24"/>
        </w:rPr>
        <w:t>negativa de la prueba</w:t>
      </w:r>
      <w:r w:rsidR="009A1957">
        <w:rPr>
          <w:rFonts w:ascii="Arial" w:eastAsiaTheme="majorEastAsia" w:hAnsi="Arial" w:cs="Arial"/>
          <w:szCs w:val="24"/>
        </w:rPr>
        <w:t>,</w:t>
      </w:r>
      <w:r w:rsidR="00851213">
        <w:rPr>
          <w:rFonts w:ascii="Arial" w:eastAsiaTheme="majorEastAsia" w:hAnsi="Arial" w:cs="Arial"/>
          <w:szCs w:val="24"/>
        </w:rPr>
        <w:t xml:space="preserve"> la </w:t>
      </w:r>
      <w:r w:rsidR="00A62917">
        <w:rPr>
          <w:rFonts w:ascii="Arial" w:eastAsiaTheme="majorEastAsia" w:hAnsi="Arial" w:cs="Arial"/>
          <w:szCs w:val="24"/>
        </w:rPr>
        <w:t>parte</w:t>
      </w:r>
      <w:r w:rsidR="00245CC2">
        <w:rPr>
          <w:rFonts w:ascii="Arial" w:eastAsiaTheme="majorEastAsia" w:hAnsi="Arial" w:cs="Arial"/>
          <w:szCs w:val="24"/>
        </w:rPr>
        <w:t xml:space="preserve"> demandada </w:t>
      </w:r>
      <w:r w:rsidR="00A62917">
        <w:rPr>
          <w:rFonts w:ascii="Arial" w:eastAsiaTheme="majorEastAsia" w:hAnsi="Arial" w:cs="Arial"/>
          <w:szCs w:val="24"/>
        </w:rPr>
        <w:t xml:space="preserve">interpuso recurso de </w:t>
      </w:r>
      <w:r w:rsidR="00890696">
        <w:rPr>
          <w:rFonts w:ascii="Arial" w:eastAsiaTheme="majorEastAsia" w:hAnsi="Arial" w:cs="Arial"/>
          <w:szCs w:val="24"/>
        </w:rPr>
        <w:t>apelación y</w:t>
      </w:r>
      <w:r w:rsidR="000E177A">
        <w:rPr>
          <w:rFonts w:ascii="Arial" w:eastAsiaTheme="majorEastAsia" w:hAnsi="Arial" w:cs="Arial"/>
          <w:szCs w:val="24"/>
        </w:rPr>
        <w:t xml:space="preserve"> señal</w:t>
      </w:r>
      <w:r w:rsidR="0006461C">
        <w:rPr>
          <w:rFonts w:ascii="Arial" w:eastAsiaTheme="majorEastAsia" w:hAnsi="Arial" w:cs="Arial"/>
          <w:szCs w:val="24"/>
        </w:rPr>
        <w:t>ó</w:t>
      </w:r>
      <w:r w:rsidR="00A62917">
        <w:rPr>
          <w:rFonts w:ascii="Arial" w:eastAsiaTheme="majorEastAsia" w:hAnsi="Arial" w:cs="Arial"/>
          <w:szCs w:val="24"/>
        </w:rPr>
        <w:t xml:space="preserve"> que</w:t>
      </w:r>
      <w:r w:rsidR="00245CC2">
        <w:rPr>
          <w:rFonts w:ascii="Arial" w:eastAsiaTheme="majorEastAsia" w:hAnsi="Arial" w:cs="Arial"/>
          <w:szCs w:val="24"/>
        </w:rPr>
        <w:t xml:space="preserve"> </w:t>
      </w:r>
      <w:r w:rsidR="00DD379A">
        <w:rPr>
          <w:rFonts w:ascii="Arial" w:eastAsiaTheme="majorEastAsia" w:hAnsi="Arial" w:cs="Arial"/>
          <w:szCs w:val="24"/>
        </w:rPr>
        <w:t xml:space="preserve">esta </w:t>
      </w:r>
      <w:r w:rsidR="00245CC2">
        <w:rPr>
          <w:rFonts w:ascii="Arial" w:eastAsiaTheme="majorEastAsia" w:hAnsi="Arial" w:cs="Arial"/>
          <w:szCs w:val="24"/>
        </w:rPr>
        <w:t>tien</w:t>
      </w:r>
      <w:r w:rsidR="00DD379A">
        <w:rPr>
          <w:rFonts w:ascii="Arial" w:eastAsiaTheme="majorEastAsia" w:hAnsi="Arial" w:cs="Arial"/>
          <w:szCs w:val="24"/>
        </w:rPr>
        <w:t>d</w:t>
      </w:r>
      <w:r w:rsidR="00245CC2">
        <w:rPr>
          <w:rFonts w:ascii="Arial" w:eastAsiaTheme="majorEastAsia" w:hAnsi="Arial" w:cs="Arial"/>
          <w:szCs w:val="24"/>
        </w:rPr>
        <w:t>e</w:t>
      </w:r>
      <w:r w:rsidR="00DD379A">
        <w:rPr>
          <w:rFonts w:ascii="Arial" w:eastAsiaTheme="majorEastAsia" w:hAnsi="Arial" w:cs="Arial"/>
          <w:szCs w:val="24"/>
        </w:rPr>
        <w:t xml:space="preserve"> </w:t>
      </w:r>
      <w:r w:rsidR="00245CC2">
        <w:rPr>
          <w:rFonts w:ascii="Arial" w:eastAsiaTheme="majorEastAsia" w:hAnsi="Arial" w:cs="Arial"/>
          <w:szCs w:val="24"/>
        </w:rPr>
        <w:t>a acredita</w:t>
      </w:r>
      <w:r w:rsidR="00DD379A">
        <w:rPr>
          <w:rFonts w:ascii="Arial" w:eastAsiaTheme="majorEastAsia" w:hAnsi="Arial" w:cs="Arial"/>
          <w:szCs w:val="24"/>
        </w:rPr>
        <w:t>r la</w:t>
      </w:r>
      <w:r w:rsidR="00FA68FE">
        <w:rPr>
          <w:rFonts w:ascii="Arial" w:eastAsiaTheme="majorEastAsia" w:hAnsi="Arial" w:cs="Arial"/>
          <w:szCs w:val="24"/>
        </w:rPr>
        <w:t xml:space="preserve"> capacidad económica</w:t>
      </w:r>
      <w:r w:rsidR="00DD379A">
        <w:rPr>
          <w:rFonts w:ascii="Arial" w:eastAsiaTheme="majorEastAsia" w:hAnsi="Arial" w:cs="Arial"/>
          <w:szCs w:val="24"/>
        </w:rPr>
        <w:t>,</w:t>
      </w:r>
      <w:r w:rsidR="00245CC2">
        <w:rPr>
          <w:rFonts w:ascii="Arial" w:eastAsiaTheme="majorEastAsia" w:hAnsi="Arial" w:cs="Arial"/>
          <w:szCs w:val="24"/>
        </w:rPr>
        <w:t xml:space="preserve"> suficiente de subsistencia y manutención de los demandantes</w:t>
      </w:r>
      <w:r w:rsidR="00DD379A">
        <w:rPr>
          <w:rFonts w:ascii="Arial" w:eastAsiaTheme="majorEastAsia" w:hAnsi="Arial" w:cs="Arial"/>
          <w:szCs w:val="24"/>
        </w:rPr>
        <w:t xml:space="preserve">; y resalta que la </w:t>
      </w:r>
      <w:r w:rsidR="00AF5402">
        <w:rPr>
          <w:rFonts w:ascii="Arial" w:eastAsiaTheme="majorEastAsia" w:hAnsi="Arial" w:cs="Arial"/>
          <w:szCs w:val="24"/>
        </w:rPr>
        <w:t>reserva bancaria</w:t>
      </w:r>
      <w:r w:rsidR="00DD379A">
        <w:rPr>
          <w:rFonts w:ascii="Arial" w:eastAsiaTheme="majorEastAsia" w:hAnsi="Arial" w:cs="Arial"/>
          <w:szCs w:val="24"/>
        </w:rPr>
        <w:t xml:space="preserve"> </w:t>
      </w:r>
      <w:r w:rsidR="00AF5402">
        <w:rPr>
          <w:rFonts w:ascii="Arial" w:eastAsiaTheme="majorEastAsia" w:hAnsi="Arial" w:cs="Arial"/>
          <w:szCs w:val="24"/>
        </w:rPr>
        <w:t>no aplica</w:t>
      </w:r>
      <w:r w:rsidR="00DD379A">
        <w:rPr>
          <w:rFonts w:ascii="Arial" w:eastAsiaTheme="majorEastAsia" w:hAnsi="Arial" w:cs="Arial"/>
          <w:szCs w:val="24"/>
        </w:rPr>
        <w:t xml:space="preserve"> cuando se trata de</w:t>
      </w:r>
      <w:r w:rsidR="00AF5402">
        <w:rPr>
          <w:rFonts w:ascii="Arial" w:eastAsiaTheme="majorEastAsia" w:hAnsi="Arial" w:cs="Arial"/>
          <w:szCs w:val="24"/>
        </w:rPr>
        <w:t xml:space="preserve"> orden judicial</w:t>
      </w:r>
      <w:r w:rsidR="00DD379A">
        <w:rPr>
          <w:rFonts w:ascii="Arial" w:eastAsiaTheme="majorEastAsia" w:hAnsi="Arial" w:cs="Arial"/>
          <w:szCs w:val="24"/>
        </w:rPr>
        <w:t xml:space="preserve">.  </w:t>
      </w:r>
    </w:p>
    <w:p w:rsidR="00DD379A" w:rsidRDefault="00DD379A" w:rsidP="001B179D">
      <w:pPr>
        <w:spacing w:line="276" w:lineRule="auto"/>
        <w:jc w:val="both"/>
        <w:rPr>
          <w:rFonts w:ascii="Arial" w:eastAsiaTheme="majorEastAsia" w:hAnsi="Arial" w:cs="Arial"/>
          <w:szCs w:val="24"/>
        </w:rPr>
      </w:pPr>
    </w:p>
    <w:p w:rsidR="00A62917" w:rsidRDefault="00DD379A" w:rsidP="001B179D">
      <w:pPr>
        <w:spacing w:line="276" w:lineRule="auto"/>
        <w:jc w:val="both"/>
        <w:rPr>
          <w:rFonts w:ascii="Arial" w:eastAsiaTheme="majorEastAsia" w:hAnsi="Arial" w:cs="Arial"/>
          <w:szCs w:val="24"/>
        </w:rPr>
      </w:pPr>
      <w:r>
        <w:rPr>
          <w:rFonts w:ascii="Arial" w:eastAsiaTheme="majorEastAsia" w:hAnsi="Arial" w:cs="Arial"/>
          <w:szCs w:val="24"/>
        </w:rPr>
        <w:t xml:space="preserve">Con </w:t>
      </w:r>
      <w:r w:rsidR="00AF5402">
        <w:rPr>
          <w:rFonts w:ascii="Arial" w:eastAsiaTheme="majorEastAsia" w:hAnsi="Arial" w:cs="Arial"/>
          <w:szCs w:val="24"/>
        </w:rPr>
        <w:t xml:space="preserve">respecto de la Oficina de Tránsito y Transporte tanto de Pereira como de Dosquebradas, </w:t>
      </w:r>
      <w:r>
        <w:rPr>
          <w:rFonts w:ascii="Arial" w:eastAsiaTheme="majorEastAsia" w:hAnsi="Arial" w:cs="Arial"/>
          <w:szCs w:val="24"/>
        </w:rPr>
        <w:t>expone que se le debe oficiar para lo que les</w:t>
      </w:r>
      <w:r w:rsidR="00AF5402">
        <w:rPr>
          <w:rFonts w:ascii="Arial" w:eastAsiaTheme="majorEastAsia" w:hAnsi="Arial" w:cs="Arial"/>
          <w:szCs w:val="24"/>
        </w:rPr>
        <w:t xml:space="preserve"> compete respecto de los automóviles, </w:t>
      </w:r>
      <w:r>
        <w:rPr>
          <w:rFonts w:ascii="Arial" w:eastAsiaTheme="majorEastAsia" w:hAnsi="Arial" w:cs="Arial"/>
          <w:szCs w:val="24"/>
        </w:rPr>
        <w:t xml:space="preserve">pues </w:t>
      </w:r>
      <w:r w:rsidR="00AF5402">
        <w:rPr>
          <w:rFonts w:ascii="Arial" w:eastAsiaTheme="majorEastAsia" w:hAnsi="Arial" w:cs="Arial"/>
          <w:szCs w:val="24"/>
        </w:rPr>
        <w:t>la parte actora podría ser propietario o</w:t>
      </w:r>
      <w:r>
        <w:rPr>
          <w:rFonts w:ascii="Arial" w:eastAsiaTheme="majorEastAsia" w:hAnsi="Arial" w:cs="Arial"/>
          <w:szCs w:val="24"/>
        </w:rPr>
        <w:t xml:space="preserve"> </w:t>
      </w:r>
      <w:r w:rsidR="00AF5402">
        <w:rPr>
          <w:rFonts w:ascii="Arial" w:eastAsiaTheme="majorEastAsia" w:hAnsi="Arial" w:cs="Arial"/>
          <w:szCs w:val="24"/>
        </w:rPr>
        <w:t>poseedor</w:t>
      </w:r>
      <w:r>
        <w:rPr>
          <w:rFonts w:ascii="Arial" w:eastAsiaTheme="majorEastAsia" w:hAnsi="Arial" w:cs="Arial"/>
          <w:szCs w:val="24"/>
        </w:rPr>
        <w:t xml:space="preserve"> de alguno</w:t>
      </w:r>
      <w:r w:rsidR="000B6BFA">
        <w:rPr>
          <w:rFonts w:ascii="Arial" w:eastAsiaTheme="majorEastAsia" w:hAnsi="Arial" w:cs="Arial"/>
          <w:szCs w:val="24"/>
        </w:rPr>
        <w:t>.</w:t>
      </w:r>
    </w:p>
    <w:p w:rsidR="004420F6" w:rsidRDefault="00A62917" w:rsidP="001B179D">
      <w:pPr>
        <w:spacing w:line="276" w:lineRule="auto"/>
        <w:jc w:val="both"/>
        <w:rPr>
          <w:rFonts w:ascii="Arial" w:hAnsi="Arial" w:cs="Arial"/>
          <w:szCs w:val="24"/>
          <w:lang w:val="es-CO"/>
        </w:rPr>
      </w:pPr>
      <w:r>
        <w:rPr>
          <w:rFonts w:ascii="Arial" w:eastAsiaTheme="majorEastAsia" w:hAnsi="Arial" w:cs="Arial"/>
          <w:szCs w:val="24"/>
        </w:rPr>
        <w:t xml:space="preserve"> </w:t>
      </w:r>
    </w:p>
    <w:p w:rsidR="00D467A2" w:rsidRPr="00D34F55" w:rsidRDefault="00854FD3" w:rsidP="00437A72">
      <w:pPr>
        <w:spacing w:line="276" w:lineRule="auto"/>
        <w:contextualSpacing/>
        <w:jc w:val="center"/>
        <w:rPr>
          <w:rFonts w:ascii="Arial" w:hAnsi="Arial" w:cs="Arial"/>
          <w:b/>
        </w:rPr>
      </w:pPr>
      <w:r w:rsidRPr="00854FD3">
        <w:rPr>
          <w:rFonts w:ascii="Arial" w:eastAsiaTheme="majorEastAsia" w:hAnsi="Arial" w:cs="Arial"/>
          <w:b/>
          <w:szCs w:val="24"/>
        </w:rPr>
        <w:t>C</w:t>
      </w:r>
      <w:r w:rsidR="00D467A2" w:rsidRPr="00D34F55">
        <w:rPr>
          <w:rFonts w:ascii="Arial" w:hAnsi="Arial" w:cs="Arial"/>
          <w:b/>
        </w:rPr>
        <w:t>ONSIDERACIONES</w:t>
      </w:r>
    </w:p>
    <w:p w:rsidR="00D467A2" w:rsidRPr="00D34F55" w:rsidRDefault="00D467A2" w:rsidP="00437A72">
      <w:pPr>
        <w:pStyle w:val="Sinespaciado"/>
        <w:spacing w:line="276" w:lineRule="auto"/>
        <w:contextualSpacing/>
        <w:jc w:val="both"/>
        <w:rPr>
          <w:rFonts w:ascii="Arial" w:hAnsi="Arial" w:cs="Arial"/>
          <w:b/>
        </w:rPr>
      </w:pPr>
    </w:p>
    <w:p w:rsidR="00D467A2" w:rsidRPr="00D34F55" w:rsidRDefault="00D467A2" w:rsidP="00437A72">
      <w:pPr>
        <w:pStyle w:val="Sinespaciado"/>
        <w:spacing w:line="276" w:lineRule="auto"/>
        <w:contextualSpacing/>
        <w:jc w:val="both"/>
        <w:rPr>
          <w:rFonts w:ascii="Arial" w:hAnsi="Arial" w:cs="Arial"/>
          <w:b/>
          <w:lang w:val="es-ES"/>
        </w:rPr>
      </w:pPr>
      <w:r w:rsidRPr="00D34F55">
        <w:rPr>
          <w:rFonts w:ascii="Arial" w:hAnsi="Arial" w:cs="Arial"/>
          <w:b/>
          <w:lang w:val="es-ES"/>
        </w:rPr>
        <w:t>1. Problema</w:t>
      </w:r>
      <w:r w:rsidR="003A7E88">
        <w:rPr>
          <w:rFonts w:ascii="Arial" w:hAnsi="Arial" w:cs="Arial"/>
          <w:b/>
          <w:lang w:val="es-ES"/>
        </w:rPr>
        <w:t>s</w:t>
      </w:r>
      <w:r w:rsidRPr="00D34F55">
        <w:rPr>
          <w:rFonts w:ascii="Arial" w:hAnsi="Arial" w:cs="Arial"/>
          <w:b/>
          <w:lang w:val="es-ES"/>
        </w:rPr>
        <w:t xml:space="preserve"> jurídico</w:t>
      </w:r>
      <w:r w:rsidR="003A7E88">
        <w:rPr>
          <w:rFonts w:ascii="Arial" w:hAnsi="Arial" w:cs="Arial"/>
          <w:b/>
          <w:lang w:val="es-ES"/>
        </w:rPr>
        <w:t>s</w:t>
      </w:r>
    </w:p>
    <w:p w:rsidR="00D467A2" w:rsidRPr="00D34F55" w:rsidRDefault="00D467A2" w:rsidP="00437A72">
      <w:pPr>
        <w:pStyle w:val="Sinespaciado"/>
        <w:spacing w:line="276" w:lineRule="auto"/>
        <w:contextualSpacing/>
        <w:jc w:val="both"/>
        <w:rPr>
          <w:rFonts w:ascii="Arial" w:hAnsi="Arial" w:cs="Arial"/>
          <w:b/>
          <w:lang w:val="es-ES"/>
        </w:rPr>
      </w:pPr>
    </w:p>
    <w:p w:rsidR="00D467A2" w:rsidRDefault="00D467A2" w:rsidP="00437A72">
      <w:pPr>
        <w:suppressAutoHyphens/>
        <w:spacing w:line="276" w:lineRule="auto"/>
        <w:contextualSpacing/>
        <w:jc w:val="both"/>
        <w:rPr>
          <w:rFonts w:ascii="Arial" w:hAnsi="Arial" w:cs="Arial"/>
          <w:szCs w:val="24"/>
        </w:rPr>
      </w:pPr>
      <w:r w:rsidRPr="00D34F55">
        <w:rPr>
          <w:rFonts w:ascii="Arial" w:hAnsi="Arial" w:cs="Arial"/>
          <w:szCs w:val="24"/>
        </w:rPr>
        <w:t xml:space="preserve">De acuerdo con lo anterior, la Sala plantea </w:t>
      </w:r>
      <w:r w:rsidR="00FA68FE">
        <w:rPr>
          <w:rFonts w:ascii="Arial" w:hAnsi="Arial" w:cs="Arial"/>
          <w:szCs w:val="24"/>
        </w:rPr>
        <w:t xml:space="preserve">los </w:t>
      </w:r>
      <w:r w:rsidRPr="00D34F55">
        <w:rPr>
          <w:rFonts w:ascii="Arial" w:hAnsi="Arial" w:cs="Arial"/>
          <w:szCs w:val="24"/>
        </w:rPr>
        <w:t>siguiente</w:t>
      </w:r>
      <w:r w:rsidR="00FA68FE">
        <w:rPr>
          <w:rFonts w:ascii="Arial" w:hAnsi="Arial" w:cs="Arial"/>
          <w:szCs w:val="24"/>
        </w:rPr>
        <w:t>s</w:t>
      </w:r>
      <w:r w:rsidRPr="00D34F55">
        <w:rPr>
          <w:rFonts w:ascii="Arial" w:hAnsi="Arial" w:cs="Arial"/>
          <w:szCs w:val="24"/>
        </w:rPr>
        <w:t xml:space="preserve">: </w:t>
      </w:r>
    </w:p>
    <w:p w:rsidR="00D467A2" w:rsidRPr="00D34F55" w:rsidRDefault="00D467A2" w:rsidP="00437A72">
      <w:pPr>
        <w:pStyle w:val="Sinespaciado"/>
        <w:spacing w:line="276" w:lineRule="auto"/>
        <w:contextualSpacing/>
        <w:jc w:val="both"/>
        <w:rPr>
          <w:rFonts w:ascii="Arial" w:hAnsi="Arial" w:cs="Arial"/>
          <w:lang w:val="es-ES"/>
        </w:rPr>
      </w:pPr>
      <w:r w:rsidRPr="00D34F55">
        <w:rPr>
          <w:rFonts w:ascii="Arial" w:hAnsi="Arial" w:cs="Arial"/>
        </w:rPr>
        <w:t xml:space="preserve"> </w:t>
      </w:r>
    </w:p>
    <w:p w:rsidR="00D467A2" w:rsidRDefault="00D467A2" w:rsidP="003A7E88">
      <w:pPr>
        <w:pStyle w:val="Textoindependiente"/>
        <w:numPr>
          <w:ilvl w:val="1"/>
          <w:numId w:val="3"/>
        </w:numPr>
        <w:spacing w:line="276" w:lineRule="auto"/>
        <w:contextualSpacing/>
        <w:jc w:val="both"/>
        <w:rPr>
          <w:rFonts w:ascii="Arial" w:hAnsi="Arial" w:cs="Arial"/>
          <w:bCs/>
          <w:iCs/>
          <w:lang w:val="es-CO"/>
        </w:rPr>
      </w:pPr>
      <w:r w:rsidRPr="00D34F55">
        <w:rPr>
          <w:rFonts w:ascii="Arial" w:hAnsi="Arial" w:cs="Arial"/>
          <w:bCs/>
          <w:iCs/>
        </w:rPr>
        <w:t>¿</w:t>
      </w:r>
      <w:r w:rsidR="003A7E88">
        <w:rPr>
          <w:rFonts w:ascii="Arial" w:hAnsi="Arial" w:cs="Arial"/>
          <w:bCs/>
          <w:iCs/>
        </w:rPr>
        <w:t xml:space="preserve">La prueba solicitada, oficiar </w:t>
      </w:r>
      <w:r w:rsidR="000F4183">
        <w:rPr>
          <w:rFonts w:ascii="Arial" w:hAnsi="Arial" w:cs="Arial"/>
          <w:bCs/>
          <w:iCs/>
        </w:rPr>
        <w:t>al</w:t>
      </w:r>
      <w:r w:rsidR="00314898">
        <w:rPr>
          <w:rFonts w:ascii="Arial" w:hAnsi="Arial" w:cs="Arial"/>
          <w:bCs/>
          <w:iCs/>
        </w:rPr>
        <w:t xml:space="preserve"> Banco BBVA </w:t>
      </w:r>
      <w:r w:rsidR="003A7E88">
        <w:rPr>
          <w:rFonts w:ascii="Arial" w:hAnsi="Arial" w:cs="Arial"/>
          <w:bCs/>
          <w:iCs/>
        </w:rPr>
        <w:t>para pedir información sobre la cuenta de ahorros de la parte</w:t>
      </w:r>
      <w:r w:rsidR="00FA68FE">
        <w:rPr>
          <w:rFonts w:ascii="Arial" w:hAnsi="Arial" w:cs="Arial"/>
          <w:bCs/>
          <w:iCs/>
        </w:rPr>
        <w:t xml:space="preserve"> actora, cumple los requisitos in</w:t>
      </w:r>
      <w:r w:rsidR="003A7E88">
        <w:rPr>
          <w:rFonts w:ascii="Arial" w:hAnsi="Arial" w:cs="Arial"/>
          <w:bCs/>
          <w:iCs/>
        </w:rPr>
        <w:t>trínsecos para que sea procedente su decreto</w:t>
      </w:r>
      <w:r w:rsidRPr="00D34F55">
        <w:rPr>
          <w:rFonts w:ascii="Arial" w:hAnsi="Arial" w:cs="Arial"/>
          <w:bCs/>
          <w:iCs/>
          <w:lang w:val="es-CO"/>
        </w:rPr>
        <w:t>?</w:t>
      </w:r>
    </w:p>
    <w:p w:rsidR="003A7E88" w:rsidRPr="003A7E88" w:rsidRDefault="003A7E88" w:rsidP="003A7E88">
      <w:pPr>
        <w:pStyle w:val="Textoindependiente"/>
        <w:numPr>
          <w:ilvl w:val="1"/>
          <w:numId w:val="3"/>
        </w:numPr>
        <w:spacing w:line="276" w:lineRule="auto"/>
        <w:contextualSpacing/>
        <w:jc w:val="both"/>
        <w:rPr>
          <w:rFonts w:ascii="Arial" w:hAnsi="Arial" w:cs="Arial"/>
          <w:bCs/>
          <w:iCs/>
          <w:lang w:val="es-CO"/>
        </w:rPr>
      </w:pPr>
      <w:r>
        <w:rPr>
          <w:rFonts w:ascii="Arial" w:hAnsi="Arial" w:cs="Arial"/>
          <w:bCs/>
          <w:iCs/>
          <w:lang w:val="es-CO"/>
        </w:rPr>
        <w:t>¿la prueba solicitada, oficiar a</w:t>
      </w:r>
      <w:r>
        <w:rPr>
          <w:rFonts w:ascii="Arial" w:hAnsi="Arial" w:cs="Arial"/>
          <w:bCs/>
          <w:iCs/>
        </w:rPr>
        <w:t>l Instituto de Tránsito y Transporte de Pereira y Dosquebradas, sin más explicación reúne los requisitos formales para su decreto?</w:t>
      </w:r>
    </w:p>
    <w:p w:rsidR="003A7E88" w:rsidRPr="00D34F55" w:rsidRDefault="003A7E88" w:rsidP="003A7E88">
      <w:pPr>
        <w:pStyle w:val="Textoindependiente"/>
        <w:spacing w:line="276" w:lineRule="auto"/>
        <w:contextualSpacing/>
        <w:jc w:val="both"/>
        <w:rPr>
          <w:rFonts w:ascii="Arial" w:hAnsi="Arial" w:cs="Arial"/>
          <w:bCs/>
          <w:iCs/>
          <w:lang w:val="es-CO"/>
        </w:rPr>
      </w:pPr>
      <w:r>
        <w:rPr>
          <w:rFonts w:ascii="Arial" w:hAnsi="Arial" w:cs="Arial"/>
          <w:bCs/>
          <w:iCs/>
        </w:rPr>
        <w:t xml:space="preserve">  </w:t>
      </w:r>
    </w:p>
    <w:p w:rsidR="00D467A2" w:rsidRDefault="00D467A2" w:rsidP="0017597D">
      <w:pPr>
        <w:pStyle w:val="Sinespaciado"/>
        <w:numPr>
          <w:ilvl w:val="0"/>
          <w:numId w:val="3"/>
        </w:numPr>
        <w:spacing w:line="276" w:lineRule="auto"/>
        <w:contextualSpacing/>
        <w:jc w:val="both"/>
        <w:rPr>
          <w:rFonts w:ascii="Arial" w:hAnsi="Arial" w:cs="Arial"/>
          <w:b/>
          <w:lang w:val="es-ES"/>
        </w:rPr>
      </w:pPr>
      <w:r w:rsidRPr="00D34F55">
        <w:rPr>
          <w:rFonts w:ascii="Arial" w:hAnsi="Arial" w:cs="Arial"/>
          <w:b/>
          <w:lang w:val="es-ES"/>
        </w:rPr>
        <w:t>Solución a</w:t>
      </w:r>
      <w:r w:rsidR="00161B2F">
        <w:rPr>
          <w:rFonts w:ascii="Arial" w:hAnsi="Arial" w:cs="Arial"/>
          <w:b/>
          <w:lang w:val="es-ES"/>
        </w:rPr>
        <w:t xml:space="preserve"> </w:t>
      </w:r>
      <w:r w:rsidRPr="00D34F55">
        <w:rPr>
          <w:rFonts w:ascii="Arial" w:hAnsi="Arial" w:cs="Arial"/>
          <w:b/>
          <w:lang w:val="es-ES"/>
        </w:rPr>
        <w:t>l</w:t>
      </w:r>
      <w:r w:rsidR="00161B2F">
        <w:rPr>
          <w:rFonts w:ascii="Arial" w:hAnsi="Arial" w:cs="Arial"/>
          <w:b/>
          <w:lang w:val="es-ES"/>
        </w:rPr>
        <w:t>os</w:t>
      </w:r>
      <w:r w:rsidRPr="00D34F55">
        <w:rPr>
          <w:rFonts w:ascii="Arial" w:hAnsi="Arial" w:cs="Arial"/>
          <w:b/>
          <w:lang w:val="es-ES"/>
        </w:rPr>
        <w:t xml:space="preserve"> interrogante</w:t>
      </w:r>
      <w:r w:rsidR="00161B2F">
        <w:rPr>
          <w:rFonts w:ascii="Arial" w:hAnsi="Arial" w:cs="Arial"/>
          <w:b/>
          <w:lang w:val="es-ES"/>
        </w:rPr>
        <w:t>s</w:t>
      </w:r>
      <w:r w:rsidRPr="00D34F55">
        <w:rPr>
          <w:rFonts w:ascii="Arial" w:hAnsi="Arial" w:cs="Arial"/>
          <w:b/>
          <w:lang w:val="es-ES"/>
        </w:rPr>
        <w:t xml:space="preserve"> planteado</w:t>
      </w:r>
      <w:r w:rsidR="00161B2F">
        <w:rPr>
          <w:rFonts w:ascii="Arial" w:hAnsi="Arial" w:cs="Arial"/>
          <w:b/>
          <w:lang w:val="es-ES"/>
        </w:rPr>
        <w:t>s</w:t>
      </w:r>
    </w:p>
    <w:p w:rsidR="0017597D" w:rsidRDefault="0017597D" w:rsidP="00294114">
      <w:pPr>
        <w:pStyle w:val="Sinespaciado"/>
        <w:spacing w:line="276" w:lineRule="auto"/>
        <w:contextualSpacing/>
        <w:jc w:val="both"/>
        <w:rPr>
          <w:rFonts w:ascii="Arial" w:hAnsi="Arial" w:cs="Arial"/>
          <w:b/>
          <w:lang w:val="es-ES"/>
        </w:rPr>
      </w:pPr>
    </w:p>
    <w:p w:rsidR="003A7748" w:rsidRPr="003A7748" w:rsidRDefault="00E16CD4" w:rsidP="00E16CD4">
      <w:pPr>
        <w:pStyle w:val="Sinespaciado"/>
        <w:spacing w:line="276" w:lineRule="auto"/>
        <w:contextualSpacing/>
        <w:jc w:val="both"/>
        <w:rPr>
          <w:rFonts w:ascii="Arial" w:hAnsi="Arial" w:cs="Arial"/>
          <w:b/>
          <w:iCs/>
        </w:rPr>
      </w:pPr>
      <w:r>
        <w:rPr>
          <w:rFonts w:ascii="Arial" w:hAnsi="Arial" w:cs="Arial"/>
          <w:b/>
          <w:lang w:val="es-ES"/>
        </w:rPr>
        <w:lastRenderedPageBreak/>
        <w:t>2.1</w:t>
      </w:r>
      <w:r w:rsidR="00294114">
        <w:rPr>
          <w:rFonts w:ascii="Arial" w:hAnsi="Arial" w:cs="Arial"/>
          <w:b/>
          <w:lang w:val="es-ES"/>
        </w:rPr>
        <w:t xml:space="preserve"> </w:t>
      </w:r>
      <w:r w:rsidR="003A7748" w:rsidRPr="003A7748">
        <w:rPr>
          <w:rFonts w:ascii="Arial" w:hAnsi="Arial" w:cs="Arial"/>
          <w:b/>
          <w:iCs/>
        </w:rPr>
        <w:t xml:space="preserve">Requisitos </w:t>
      </w:r>
      <w:r w:rsidR="00780678">
        <w:rPr>
          <w:rFonts w:ascii="Arial" w:hAnsi="Arial" w:cs="Arial"/>
          <w:b/>
          <w:iCs/>
        </w:rPr>
        <w:t>para el decreto de la prueba</w:t>
      </w:r>
    </w:p>
    <w:p w:rsidR="004D0982" w:rsidRDefault="003A7748" w:rsidP="003A7748">
      <w:pPr>
        <w:pStyle w:val="Sinespaciado"/>
        <w:spacing w:line="276" w:lineRule="auto"/>
        <w:contextualSpacing/>
        <w:jc w:val="both"/>
        <w:rPr>
          <w:rFonts w:ascii="Arial" w:hAnsi="Arial" w:cs="Arial"/>
          <w:lang w:val="es-ES"/>
        </w:rPr>
      </w:pPr>
      <w:r>
        <w:rPr>
          <w:rFonts w:ascii="Arial" w:hAnsi="Arial" w:cs="Arial"/>
          <w:lang w:val="es-ES"/>
        </w:rPr>
        <w:t>El juez para decretar la prueba pedida oportunamente,</w:t>
      </w:r>
      <w:r w:rsidR="00FA4802">
        <w:rPr>
          <w:rFonts w:ascii="Arial" w:hAnsi="Arial" w:cs="Arial"/>
          <w:lang w:val="es-ES"/>
        </w:rPr>
        <w:t xml:space="preserve"> debe emprender el estudio de los requisitos </w:t>
      </w:r>
      <w:r w:rsidR="00671FD0">
        <w:rPr>
          <w:rFonts w:ascii="Arial" w:hAnsi="Arial" w:cs="Arial"/>
          <w:lang w:val="es-ES"/>
        </w:rPr>
        <w:t>in</w:t>
      </w:r>
      <w:r w:rsidR="00FA4802">
        <w:rPr>
          <w:rFonts w:ascii="Arial" w:hAnsi="Arial" w:cs="Arial"/>
          <w:lang w:val="es-ES"/>
        </w:rPr>
        <w:t>trínsec</w:t>
      </w:r>
      <w:r w:rsidR="00780678">
        <w:rPr>
          <w:rFonts w:ascii="Arial" w:hAnsi="Arial" w:cs="Arial"/>
          <w:lang w:val="es-ES"/>
        </w:rPr>
        <w:t xml:space="preserve">os de la misma, </w:t>
      </w:r>
      <w:r>
        <w:rPr>
          <w:rFonts w:ascii="Arial" w:hAnsi="Arial" w:cs="Arial"/>
          <w:lang w:val="es-ES"/>
        </w:rPr>
        <w:t xml:space="preserve">que garantice su eficacia, como son: la pertinencia, conducencia, utilidad y no estar prohibida </w:t>
      </w:r>
      <w:r w:rsidR="00780678">
        <w:rPr>
          <w:rFonts w:ascii="Arial" w:hAnsi="Arial" w:cs="Arial"/>
          <w:lang w:val="es-ES"/>
        </w:rPr>
        <w:t>por</w:t>
      </w:r>
      <w:r>
        <w:rPr>
          <w:rFonts w:ascii="Arial" w:hAnsi="Arial" w:cs="Arial"/>
          <w:lang w:val="es-ES"/>
        </w:rPr>
        <w:t xml:space="preserve"> la ley</w:t>
      </w:r>
      <w:r w:rsidR="004D0982">
        <w:rPr>
          <w:rFonts w:ascii="Arial" w:hAnsi="Arial" w:cs="Arial"/>
          <w:lang w:val="es-ES"/>
        </w:rPr>
        <w:t>.</w:t>
      </w:r>
    </w:p>
    <w:p w:rsidR="004D0982" w:rsidRDefault="004D0982" w:rsidP="003A7748">
      <w:pPr>
        <w:pStyle w:val="Sinespaciado"/>
        <w:spacing w:line="276" w:lineRule="auto"/>
        <w:contextualSpacing/>
        <w:jc w:val="both"/>
        <w:rPr>
          <w:rFonts w:ascii="Arial" w:hAnsi="Arial" w:cs="Arial"/>
          <w:lang w:val="es-ES"/>
        </w:rPr>
      </w:pPr>
    </w:p>
    <w:p w:rsidR="003A7748" w:rsidRDefault="004D0982" w:rsidP="003A7748">
      <w:pPr>
        <w:pStyle w:val="Sinespaciado"/>
        <w:spacing w:line="276" w:lineRule="auto"/>
        <w:contextualSpacing/>
        <w:jc w:val="both"/>
        <w:rPr>
          <w:rFonts w:ascii="Arial" w:hAnsi="Arial" w:cs="Arial"/>
          <w:lang w:val="es-ES"/>
        </w:rPr>
      </w:pPr>
      <w:r>
        <w:rPr>
          <w:rFonts w:ascii="Arial" w:hAnsi="Arial" w:cs="Arial"/>
          <w:lang w:val="es-ES"/>
        </w:rPr>
        <w:t>A</w:t>
      </w:r>
      <w:r w:rsidR="003A7748">
        <w:rPr>
          <w:rFonts w:ascii="Arial" w:hAnsi="Arial" w:cs="Arial"/>
          <w:lang w:val="es-ES"/>
        </w:rPr>
        <w:t>sí mismo</w:t>
      </w:r>
      <w:r w:rsidR="00B3140B">
        <w:rPr>
          <w:rFonts w:ascii="Arial" w:hAnsi="Arial" w:cs="Arial"/>
          <w:lang w:val="es-ES"/>
        </w:rPr>
        <w:t>,</w:t>
      </w:r>
      <w:r w:rsidR="003A7748">
        <w:rPr>
          <w:rFonts w:ascii="Arial" w:hAnsi="Arial" w:cs="Arial"/>
          <w:lang w:val="es-ES"/>
        </w:rPr>
        <w:t xml:space="preserve"> deberá verificar </w:t>
      </w:r>
      <w:r w:rsidR="00780678">
        <w:rPr>
          <w:rFonts w:ascii="Arial" w:hAnsi="Arial" w:cs="Arial"/>
          <w:lang w:val="es-ES"/>
        </w:rPr>
        <w:t>si</w:t>
      </w:r>
      <w:r w:rsidR="003A7748">
        <w:rPr>
          <w:rFonts w:ascii="Arial" w:hAnsi="Arial" w:cs="Arial"/>
          <w:lang w:val="es-ES"/>
        </w:rPr>
        <w:t xml:space="preserve"> satisfac</w:t>
      </w:r>
      <w:r w:rsidR="00780678">
        <w:rPr>
          <w:rFonts w:ascii="Arial" w:hAnsi="Arial" w:cs="Arial"/>
          <w:lang w:val="es-ES"/>
        </w:rPr>
        <w:t>e</w:t>
      </w:r>
      <w:r w:rsidR="003A7748">
        <w:rPr>
          <w:rFonts w:ascii="Arial" w:hAnsi="Arial" w:cs="Arial"/>
          <w:lang w:val="es-ES"/>
        </w:rPr>
        <w:t xml:space="preserve"> los presupuestos dispuestos en la </w:t>
      </w:r>
      <w:r w:rsidR="00B3140B">
        <w:rPr>
          <w:rFonts w:ascii="Arial" w:hAnsi="Arial" w:cs="Arial"/>
          <w:lang w:val="es-ES"/>
        </w:rPr>
        <w:t>norma adjetiva</w:t>
      </w:r>
      <w:r w:rsidR="003A7748">
        <w:rPr>
          <w:rFonts w:ascii="Arial" w:hAnsi="Arial" w:cs="Arial"/>
          <w:lang w:val="es-ES"/>
        </w:rPr>
        <w:t xml:space="preserve"> para pedir cada medio probatorio en particular</w:t>
      </w:r>
      <w:r w:rsidR="0017597D">
        <w:rPr>
          <w:rFonts w:ascii="Arial" w:hAnsi="Arial" w:cs="Arial"/>
          <w:lang w:val="es-ES"/>
        </w:rPr>
        <w:t>.</w:t>
      </w:r>
    </w:p>
    <w:p w:rsidR="00780678" w:rsidRDefault="00780678" w:rsidP="00780678">
      <w:pPr>
        <w:pStyle w:val="Sinespaciado"/>
        <w:spacing w:line="276" w:lineRule="auto"/>
        <w:contextualSpacing/>
        <w:jc w:val="both"/>
        <w:rPr>
          <w:rFonts w:ascii="Arial" w:hAnsi="Arial" w:cs="Arial"/>
          <w:b/>
          <w:lang w:val="es-ES"/>
        </w:rPr>
      </w:pPr>
    </w:p>
    <w:p w:rsidR="00780678" w:rsidRDefault="00E16CD4" w:rsidP="00780678">
      <w:pPr>
        <w:pStyle w:val="Sinespaciado"/>
        <w:spacing w:line="276" w:lineRule="auto"/>
        <w:contextualSpacing/>
        <w:jc w:val="both"/>
        <w:rPr>
          <w:rFonts w:ascii="Arial" w:hAnsi="Arial" w:cs="Arial"/>
          <w:b/>
          <w:lang w:val="es-ES"/>
        </w:rPr>
      </w:pPr>
      <w:r>
        <w:rPr>
          <w:rFonts w:ascii="Arial" w:hAnsi="Arial" w:cs="Arial"/>
          <w:b/>
          <w:lang w:val="es-ES"/>
        </w:rPr>
        <w:t xml:space="preserve">2.2 </w:t>
      </w:r>
      <w:r w:rsidR="00780678">
        <w:rPr>
          <w:rFonts w:ascii="Arial" w:hAnsi="Arial" w:cs="Arial"/>
          <w:b/>
          <w:lang w:val="es-ES"/>
        </w:rPr>
        <w:t xml:space="preserve">Requisitos </w:t>
      </w:r>
      <w:r w:rsidR="00671FD0">
        <w:rPr>
          <w:rFonts w:ascii="Arial" w:hAnsi="Arial" w:cs="Arial"/>
          <w:b/>
          <w:lang w:val="es-ES"/>
        </w:rPr>
        <w:t>int</w:t>
      </w:r>
      <w:r w:rsidR="00780678">
        <w:rPr>
          <w:rFonts w:ascii="Arial" w:hAnsi="Arial" w:cs="Arial"/>
          <w:b/>
          <w:lang w:val="es-ES"/>
        </w:rPr>
        <w:t>rínsecos</w:t>
      </w:r>
    </w:p>
    <w:p w:rsidR="00780678" w:rsidRDefault="00780678" w:rsidP="00780678">
      <w:pPr>
        <w:pStyle w:val="Sinespaciado"/>
        <w:spacing w:line="276" w:lineRule="auto"/>
        <w:contextualSpacing/>
        <w:jc w:val="both"/>
        <w:rPr>
          <w:rFonts w:ascii="Arial" w:hAnsi="Arial" w:cs="Arial"/>
          <w:b/>
          <w:lang w:val="es-ES"/>
        </w:rPr>
      </w:pPr>
    </w:p>
    <w:p w:rsidR="00780678" w:rsidRDefault="00780678" w:rsidP="00780678">
      <w:pPr>
        <w:pStyle w:val="Sinespaciado"/>
        <w:spacing w:line="276" w:lineRule="auto"/>
        <w:contextualSpacing/>
        <w:jc w:val="both"/>
        <w:rPr>
          <w:rFonts w:ascii="Arial" w:hAnsi="Arial" w:cs="Arial"/>
          <w:lang w:val="es-ES"/>
        </w:rPr>
      </w:pPr>
      <w:r>
        <w:rPr>
          <w:rFonts w:ascii="Arial" w:hAnsi="Arial" w:cs="Arial"/>
          <w:lang w:val="es-ES"/>
        </w:rPr>
        <w:t>Estos se encuentran mencionados en el artículo 168 del CGP</w:t>
      </w:r>
      <w:r w:rsidR="00EA4E3D">
        <w:rPr>
          <w:rFonts w:ascii="Arial" w:hAnsi="Arial" w:cs="Arial"/>
          <w:lang w:val="es-ES"/>
        </w:rPr>
        <w:t>,</w:t>
      </w:r>
      <w:r>
        <w:rPr>
          <w:rFonts w:ascii="Arial" w:hAnsi="Arial" w:cs="Arial"/>
          <w:lang w:val="es-ES"/>
        </w:rPr>
        <w:t xml:space="preserve"> al </w:t>
      </w:r>
      <w:r w:rsidR="00EA4E3D">
        <w:rPr>
          <w:rFonts w:ascii="Arial" w:hAnsi="Arial" w:cs="Arial"/>
          <w:lang w:val="es-ES"/>
        </w:rPr>
        <w:t xml:space="preserve">establecer que </w:t>
      </w:r>
      <w:r>
        <w:rPr>
          <w:rFonts w:ascii="Arial" w:hAnsi="Arial" w:cs="Arial"/>
          <w:lang w:val="es-ES"/>
        </w:rPr>
        <w:t>procede el rechazo de plano de las pruebas</w:t>
      </w:r>
      <w:r w:rsidR="00EA4E3D">
        <w:rPr>
          <w:rFonts w:ascii="Arial" w:hAnsi="Arial" w:cs="Arial"/>
          <w:lang w:val="es-ES"/>
        </w:rPr>
        <w:t xml:space="preserve"> </w:t>
      </w:r>
      <w:r>
        <w:rPr>
          <w:rFonts w:ascii="Arial" w:hAnsi="Arial" w:cs="Arial"/>
          <w:lang w:val="es-ES"/>
        </w:rPr>
        <w:t xml:space="preserve">ilícitas, notoriamente impertinentes, inconducentes y manifiestamente superfluas o inútiles; sin embargo, el nombre dado a estos se le </w:t>
      </w:r>
      <w:r w:rsidR="00B53CFF">
        <w:rPr>
          <w:rFonts w:ascii="Arial" w:hAnsi="Arial" w:cs="Arial"/>
          <w:lang w:val="es-ES"/>
        </w:rPr>
        <w:t>atribuye</w:t>
      </w:r>
      <w:r>
        <w:rPr>
          <w:rFonts w:ascii="Arial" w:hAnsi="Arial" w:cs="Arial"/>
          <w:lang w:val="es-ES"/>
        </w:rPr>
        <w:t xml:space="preserve"> a la doctrina, quien también los explica. De estos interesa al objeto de estudio el </w:t>
      </w:r>
      <w:r w:rsidR="00B53CFF">
        <w:rPr>
          <w:rFonts w:ascii="Arial" w:hAnsi="Arial" w:cs="Arial"/>
          <w:lang w:val="es-ES"/>
        </w:rPr>
        <w:t>primero.</w:t>
      </w:r>
    </w:p>
    <w:p w:rsidR="00780678" w:rsidRDefault="00780678" w:rsidP="00780678">
      <w:pPr>
        <w:pStyle w:val="Sinespaciado"/>
        <w:spacing w:line="276" w:lineRule="auto"/>
        <w:contextualSpacing/>
        <w:jc w:val="both"/>
        <w:rPr>
          <w:rFonts w:ascii="Arial" w:hAnsi="Arial" w:cs="Arial"/>
          <w:lang w:val="es-ES"/>
        </w:rPr>
      </w:pPr>
      <w:r>
        <w:rPr>
          <w:rFonts w:ascii="Arial" w:hAnsi="Arial" w:cs="Arial"/>
          <w:lang w:val="es-ES"/>
        </w:rPr>
        <w:t xml:space="preserve">   </w:t>
      </w:r>
    </w:p>
    <w:p w:rsidR="00671FD0" w:rsidRDefault="00B53CFF" w:rsidP="00780678">
      <w:pPr>
        <w:pStyle w:val="Sinespaciado"/>
        <w:spacing w:line="276" w:lineRule="auto"/>
        <w:contextualSpacing/>
        <w:jc w:val="both"/>
        <w:rPr>
          <w:rFonts w:ascii="Arial" w:hAnsi="Arial" w:cs="Arial"/>
          <w:lang w:val="es-ES"/>
        </w:rPr>
      </w:pPr>
      <w:r>
        <w:rPr>
          <w:rFonts w:ascii="Arial" w:hAnsi="Arial" w:cs="Arial"/>
          <w:lang w:val="es-ES"/>
        </w:rPr>
        <w:t xml:space="preserve">Este requisito tiene su respaldo constitucional en el artículo 29, </w:t>
      </w:r>
      <w:r w:rsidR="00EA4E3D">
        <w:rPr>
          <w:rFonts w:ascii="Arial" w:hAnsi="Arial" w:cs="Arial"/>
          <w:lang w:val="es-ES"/>
        </w:rPr>
        <w:t xml:space="preserve">que señala </w:t>
      </w:r>
      <w:r>
        <w:rPr>
          <w:rFonts w:ascii="Arial" w:hAnsi="Arial" w:cs="Arial"/>
          <w:lang w:val="es-ES"/>
        </w:rPr>
        <w:t>que es nula de pleno derecho la prueba</w:t>
      </w:r>
      <w:r w:rsidR="00000AAB">
        <w:rPr>
          <w:rFonts w:ascii="Arial" w:hAnsi="Arial" w:cs="Arial"/>
          <w:lang w:val="es-ES"/>
        </w:rPr>
        <w:t xml:space="preserve"> obtenida con violación del debido proceso</w:t>
      </w:r>
      <w:r w:rsidR="00184F6D">
        <w:rPr>
          <w:rFonts w:ascii="Arial" w:hAnsi="Arial" w:cs="Arial"/>
          <w:lang w:val="es-ES"/>
        </w:rPr>
        <w:t>.</w:t>
      </w:r>
      <w:r>
        <w:rPr>
          <w:rFonts w:ascii="Arial" w:hAnsi="Arial" w:cs="Arial"/>
          <w:lang w:val="es-ES"/>
        </w:rPr>
        <w:t xml:space="preserve"> </w:t>
      </w:r>
      <w:r w:rsidR="00184F6D">
        <w:rPr>
          <w:rFonts w:ascii="Arial" w:hAnsi="Arial" w:cs="Arial"/>
          <w:lang w:val="es-ES"/>
        </w:rPr>
        <w:t>Ahora la prueba puede ser ilícita o ilegal, según la perspectiva, sustancial la primera y formal la segunda</w:t>
      </w:r>
      <w:r w:rsidR="00671FD0">
        <w:rPr>
          <w:rFonts w:ascii="Arial" w:hAnsi="Arial" w:cs="Arial"/>
          <w:lang w:val="es-ES"/>
        </w:rPr>
        <w:t>.</w:t>
      </w:r>
    </w:p>
    <w:p w:rsidR="00671FD0" w:rsidRDefault="00671FD0" w:rsidP="00780678">
      <w:pPr>
        <w:pStyle w:val="Sinespaciado"/>
        <w:spacing w:line="276" w:lineRule="auto"/>
        <w:contextualSpacing/>
        <w:jc w:val="both"/>
        <w:rPr>
          <w:rFonts w:ascii="Arial" w:hAnsi="Arial" w:cs="Arial"/>
          <w:lang w:val="es-ES"/>
        </w:rPr>
      </w:pPr>
    </w:p>
    <w:p w:rsidR="00B90B53" w:rsidRDefault="00671FD0" w:rsidP="00B90B53">
      <w:pPr>
        <w:pStyle w:val="Sinespaciado"/>
        <w:spacing w:line="276" w:lineRule="auto"/>
        <w:contextualSpacing/>
        <w:jc w:val="both"/>
        <w:rPr>
          <w:rFonts w:ascii="Arial" w:hAnsi="Arial" w:cs="Arial"/>
          <w:lang w:val="es-ES"/>
        </w:rPr>
      </w:pPr>
      <w:r>
        <w:rPr>
          <w:rFonts w:ascii="Arial" w:hAnsi="Arial" w:cs="Arial"/>
          <w:lang w:val="es-ES"/>
        </w:rPr>
        <w:t>L</w:t>
      </w:r>
      <w:r w:rsidR="00B53CFF">
        <w:rPr>
          <w:rFonts w:ascii="Arial" w:hAnsi="Arial" w:cs="Arial"/>
          <w:lang w:val="es-ES"/>
        </w:rPr>
        <w:t xml:space="preserve">a </w:t>
      </w:r>
      <w:r w:rsidR="00184F6D">
        <w:rPr>
          <w:rFonts w:ascii="Arial" w:hAnsi="Arial" w:cs="Arial"/>
          <w:lang w:val="es-ES"/>
        </w:rPr>
        <w:t>ilícita</w:t>
      </w:r>
      <w:r w:rsidR="00B53CFF">
        <w:rPr>
          <w:rFonts w:ascii="Arial" w:hAnsi="Arial" w:cs="Arial"/>
          <w:lang w:val="es-ES"/>
        </w:rPr>
        <w:t xml:space="preserve"> surge cuando para su </w:t>
      </w:r>
      <w:r w:rsidR="00B04500">
        <w:rPr>
          <w:rFonts w:ascii="Arial" w:hAnsi="Arial" w:cs="Arial"/>
          <w:lang w:val="es-ES"/>
        </w:rPr>
        <w:t>aducción</w:t>
      </w:r>
      <w:r w:rsidR="00B53CFF">
        <w:rPr>
          <w:rFonts w:ascii="Arial" w:hAnsi="Arial" w:cs="Arial"/>
          <w:lang w:val="es-ES"/>
        </w:rPr>
        <w:t xml:space="preserve"> se vulneran derechos y garantías fundamentales </w:t>
      </w:r>
      <w:r w:rsidR="00184F6D">
        <w:rPr>
          <w:rFonts w:ascii="Arial" w:hAnsi="Arial" w:cs="Arial"/>
          <w:lang w:val="es-ES"/>
        </w:rPr>
        <w:t xml:space="preserve">establecidas en la Carta Política </w:t>
      </w:r>
      <w:r w:rsidR="00B53CFF">
        <w:rPr>
          <w:rFonts w:ascii="Arial" w:hAnsi="Arial" w:cs="Arial"/>
          <w:lang w:val="es-ES"/>
        </w:rPr>
        <w:t>que no deban ceder para el respectivo asunto</w:t>
      </w:r>
      <w:r w:rsidR="00000AAB">
        <w:rPr>
          <w:rFonts w:ascii="Arial" w:hAnsi="Arial" w:cs="Arial"/>
          <w:lang w:val="es-ES"/>
        </w:rPr>
        <w:t xml:space="preserve"> o la prohibida por la ley</w:t>
      </w:r>
      <w:r w:rsidR="00B53CFF">
        <w:rPr>
          <w:rFonts w:ascii="Arial" w:hAnsi="Arial" w:cs="Arial"/>
          <w:lang w:val="es-ES"/>
        </w:rPr>
        <w:t xml:space="preserve">; </w:t>
      </w:r>
      <w:r w:rsidR="00B90B53">
        <w:rPr>
          <w:rFonts w:ascii="Arial" w:hAnsi="Arial" w:cs="Arial"/>
          <w:lang w:val="es-ES"/>
        </w:rPr>
        <w:t>pero téngase presente que la ilicitud no toca con el medio probatorio en sí mismo</w:t>
      </w:r>
      <w:r w:rsidR="00D051B3">
        <w:rPr>
          <w:rFonts w:ascii="Arial" w:hAnsi="Arial" w:cs="Arial"/>
          <w:lang w:val="es-ES"/>
        </w:rPr>
        <w:t>, que abstractamente son lícitos,</w:t>
      </w:r>
      <w:r w:rsidR="00B90B53">
        <w:rPr>
          <w:rFonts w:ascii="Arial" w:hAnsi="Arial" w:cs="Arial"/>
          <w:lang w:val="es-ES"/>
        </w:rPr>
        <w:t xml:space="preserve"> como lo dice el Doctrinante Hernán Fabio López Blanco</w:t>
      </w:r>
      <w:r w:rsidR="00B90B53" w:rsidRPr="005B010A">
        <w:rPr>
          <w:rStyle w:val="Refdenotaalpie"/>
          <w:rFonts w:ascii="Arial" w:hAnsi="Arial" w:cs="Arial"/>
          <w:shd w:val="clear" w:color="auto" w:fill="FFFFFF"/>
        </w:rPr>
        <w:footnoteReference w:id="1"/>
      </w:r>
      <w:r w:rsidR="00AA5944">
        <w:rPr>
          <w:rFonts w:ascii="Arial" w:hAnsi="Arial" w:cs="Arial"/>
          <w:lang w:val="es-ES"/>
        </w:rPr>
        <w:t xml:space="preserve">. </w:t>
      </w:r>
      <w:r w:rsidR="00EA4E3D">
        <w:rPr>
          <w:rFonts w:ascii="Arial" w:hAnsi="Arial" w:cs="Arial"/>
          <w:lang w:val="es-ES"/>
        </w:rPr>
        <w:t>Ahora, d</w:t>
      </w:r>
      <w:r w:rsidR="00B94C00">
        <w:rPr>
          <w:rFonts w:ascii="Arial" w:hAnsi="Arial" w:cs="Arial"/>
          <w:lang w:val="es-ES"/>
        </w:rPr>
        <w:t xml:space="preserve">e estar en presencia de este tipo de prueba se genera como consecuencia la carencia de </w:t>
      </w:r>
      <w:r w:rsidR="00EA4E3D">
        <w:rPr>
          <w:rFonts w:ascii="Arial" w:hAnsi="Arial" w:cs="Arial"/>
          <w:lang w:val="es-ES"/>
        </w:rPr>
        <w:t xml:space="preserve">su </w:t>
      </w:r>
      <w:r w:rsidR="00B94C00">
        <w:rPr>
          <w:rFonts w:ascii="Arial" w:hAnsi="Arial" w:cs="Arial"/>
          <w:lang w:val="es-ES"/>
        </w:rPr>
        <w:t>eficacia demostrativa, al ser insubsanable, de ahí que sea nula</w:t>
      </w:r>
      <w:r w:rsidR="007D02A9">
        <w:rPr>
          <w:rFonts w:ascii="Arial" w:hAnsi="Arial" w:cs="Arial"/>
          <w:lang w:val="es-ES"/>
        </w:rPr>
        <w:t xml:space="preserve"> y deba excluirse</w:t>
      </w:r>
      <w:r w:rsidR="00B94C00">
        <w:rPr>
          <w:rFonts w:ascii="Arial" w:hAnsi="Arial" w:cs="Arial"/>
          <w:lang w:val="es-ES"/>
        </w:rPr>
        <w:t xml:space="preserve">. </w:t>
      </w:r>
    </w:p>
    <w:p w:rsidR="00B90B53" w:rsidRDefault="00B90B53" w:rsidP="00780678">
      <w:pPr>
        <w:pStyle w:val="Sinespaciado"/>
        <w:spacing w:line="276" w:lineRule="auto"/>
        <w:contextualSpacing/>
        <w:jc w:val="both"/>
        <w:rPr>
          <w:rFonts w:ascii="Arial" w:hAnsi="Arial" w:cs="Arial"/>
          <w:lang w:val="es-ES"/>
        </w:rPr>
      </w:pPr>
    </w:p>
    <w:p w:rsidR="00432E69" w:rsidRDefault="00EA4E3D" w:rsidP="00780678">
      <w:pPr>
        <w:pStyle w:val="Sinespaciado"/>
        <w:spacing w:line="276" w:lineRule="auto"/>
        <w:contextualSpacing/>
        <w:jc w:val="both"/>
        <w:rPr>
          <w:rFonts w:ascii="Arial" w:hAnsi="Arial" w:cs="Arial"/>
          <w:lang w:val="es-ES"/>
        </w:rPr>
      </w:pPr>
      <w:r>
        <w:rPr>
          <w:rFonts w:ascii="Arial" w:hAnsi="Arial" w:cs="Arial"/>
          <w:lang w:val="es-ES"/>
        </w:rPr>
        <w:t>L</w:t>
      </w:r>
      <w:r w:rsidR="00B53CFF">
        <w:rPr>
          <w:rFonts w:ascii="Arial" w:hAnsi="Arial" w:cs="Arial"/>
          <w:lang w:val="es-ES"/>
        </w:rPr>
        <w:t>a ilegal</w:t>
      </w:r>
      <w:r>
        <w:rPr>
          <w:rFonts w:ascii="Arial" w:hAnsi="Arial" w:cs="Arial"/>
          <w:lang w:val="es-ES"/>
        </w:rPr>
        <w:t>, por su parte,</w:t>
      </w:r>
      <w:r w:rsidR="00B53CFF">
        <w:rPr>
          <w:rFonts w:ascii="Arial" w:hAnsi="Arial" w:cs="Arial"/>
          <w:lang w:val="es-ES"/>
        </w:rPr>
        <w:t xml:space="preserve"> </w:t>
      </w:r>
      <w:r w:rsidR="00D051B3">
        <w:rPr>
          <w:rFonts w:ascii="Arial" w:hAnsi="Arial" w:cs="Arial"/>
          <w:lang w:val="es-ES"/>
        </w:rPr>
        <w:t xml:space="preserve">surge </w:t>
      </w:r>
      <w:r w:rsidR="00B53CFF">
        <w:rPr>
          <w:rFonts w:ascii="Arial" w:hAnsi="Arial" w:cs="Arial"/>
          <w:lang w:val="es-ES"/>
        </w:rPr>
        <w:t xml:space="preserve">cuando en su </w:t>
      </w:r>
      <w:r w:rsidR="00B04500">
        <w:rPr>
          <w:rFonts w:ascii="Arial" w:hAnsi="Arial" w:cs="Arial"/>
          <w:lang w:val="es-ES"/>
        </w:rPr>
        <w:t>petición, postulación, incorporación, decreto</w:t>
      </w:r>
      <w:r w:rsidR="00D4101E">
        <w:rPr>
          <w:rFonts w:ascii="Arial" w:hAnsi="Arial" w:cs="Arial"/>
          <w:lang w:val="es-ES"/>
        </w:rPr>
        <w:t>,</w:t>
      </w:r>
      <w:r w:rsidR="00B04500">
        <w:rPr>
          <w:rFonts w:ascii="Arial" w:hAnsi="Arial" w:cs="Arial"/>
          <w:lang w:val="es-ES"/>
        </w:rPr>
        <w:t xml:space="preserve"> práctica</w:t>
      </w:r>
      <w:r w:rsidR="00D4101E">
        <w:rPr>
          <w:rFonts w:ascii="Arial" w:hAnsi="Arial" w:cs="Arial"/>
          <w:lang w:val="es-ES"/>
        </w:rPr>
        <w:t xml:space="preserve"> o valoración</w:t>
      </w:r>
      <w:r w:rsidR="00B04500">
        <w:rPr>
          <w:rFonts w:ascii="Arial" w:hAnsi="Arial" w:cs="Arial"/>
          <w:lang w:val="es-ES"/>
        </w:rPr>
        <w:t xml:space="preserve"> se transgrede</w:t>
      </w:r>
      <w:r w:rsidR="00FA68FE">
        <w:rPr>
          <w:rFonts w:ascii="Arial" w:hAnsi="Arial" w:cs="Arial"/>
          <w:lang w:val="es-ES"/>
        </w:rPr>
        <w:t>n</w:t>
      </w:r>
      <w:r w:rsidR="00B04500">
        <w:rPr>
          <w:rFonts w:ascii="Arial" w:hAnsi="Arial" w:cs="Arial"/>
          <w:lang w:val="es-ES"/>
        </w:rPr>
        <w:t xml:space="preserve"> </w:t>
      </w:r>
      <w:r w:rsidR="00B53CFF">
        <w:rPr>
          <w:rFonts w:ascii="Arial" w:hAnsi="Arial" w:cs="Arial"/>
          <w:lang w:val="es-ES"/>
        </w:rPr>
        <w:t>la</w:t>
      </w:r>
      <w:r w:rsidR="00671FD0">
        <w:rPr>
          <w:rFonts w:ascii="Arial" w:hAnsi="Arial" w:cs="Arial"/>
          <w:lang w:val="es-ES"/>
        </w:rPr>
        <w:t xml:space="preserve">s </w:t>
      </w:r>
      <w:r w:rsidR="00213B82">
        <w:rPr>
          <w:rFonts w:ascii="Arial" w:hAnsi="Arial" w:cs="Arial"/>
          <w:lang w:val="es-ES"/>
        </w:rPr>
        <w:t>normas que la disciplina</w:t>
      </w:r>
      <w:r>
        <w:rPr>
          <w:rFonts w:ascii="Arial" w:hAnsi="Arial" w:cs="Arial"/>
          <w:lang w:val="es-ES"/>
        </w:rPr>
        <w:t>n</w:t>
      </w:r>
      <w:r w:rsidR="00E97A03">
        <w:rPr>
          <w:rFonts w:ascii="Arial" w:hAnsi="Arial" w:cs="Arial"/>
          <w:lang w:val="es-ES"/>
        </w:rPr>
        <w:t xml:space="preserve">; defectos que </w:t>
      </w:r>
      <w:r w:rsidR="00213B82">
        <w:rPr>
          <w:rFonts w:ascii="Arial" w:hAnsi="Arial" w:cs="Arial"/>
          <w:lang w:val="es-ES"/>
        </w:rPr>
        <w:t xml:space="preserve">pueden </w:t>
      </w:r>
      <w:r w:rsidR="00E97A03">
        <w:rPr>
          <w:rFonts w:ascii="Arial" w:hAnsi="Arial" w:cs="Arial"/>
          <w:lang w:val="es-ES"/>
        </w:rPr>
        <w:t>ser subsanados o incluso a pesar de la irregularidad</w:t>
      </w:r>
      <w:r w:rsidR="00213B82">
        <w:rPr>
          <w:rFonts w:ascii="Arial" w:hAnsi="Arial" w:cs="Arial"/>
          <w:lang w:val="es-ES"/>
        </w:rPr>
        <w:t xml:space="preserve"> </w:t>
      </w:r>
      <w:r w:rsidR="00E97A03">
        <w:rPr>
          <w:rFonts w:ascii="Arial" w:hAnsi="Arial" w:cs="Arial"/>
          <w:lang w:val="es-ES"/>
        </w:rPr>
        <w:t>no sufrir menoscabo</w:t>
      </w:r>
      <w:r w:rsidR="00E97A03">
        <w:rPr>
          <w:rStyle w:val="Refdenotaalpie"/>
          <w:rFonts w:ascii="Arial" w:hAnsi="Arial" w:cs="Arial"/>
          <w:lang w:val="es-ES"/>
        </w:rPr>
        <w:footnoteReference w:id="2"/>
      </w:r>
      <w:r w:rsidR="00F425FE">
        <w:rPr>
          <w:rFonts w:ascii="Arial" w:hAnsi="Arial" w:cs="Arial"/>
          <w:lang w:val="es-ES"/>
        </w:rPr>
        <w:t>.</w:t>
      </w:r>
      <w:r w:rsidR="00B53CFF">
        <w:rPr>
          <w:rFonts w:ascii="Arial" w:hAnsi="Arial" w:cs="Arial"/>
          <w:lang w:val="es-ES"/>
        </w:rPr>
        <w:t xml:space="preserve"> </w:t>
      </w:r>
    </w:p>
    <w:p w:rsidR="00F601A7" w:rsidRDefault="00D35A36" w:rsidP="00437A72">
      <w:pPr>
        <w:pStyle w:val="centrado"/>
        <w:spacing w:line="276" w:lineRule="auto"/>
        <w:contextualSpacing/>
        <w:jc w:val="both"/>
        <w:rPr>
          <w:rStyle w:val="apple-converted-space"/>
          <w:rFonts w:ascii="Arial" w:hAnsi="Arial" w:cs="Arial"/>
          <w:shd w:val="clear" w:color="auto" w:fill="FFFFFF"/>
        </w:rPr>
      </w:pPr>
      <w:r w:rsidRPr="00E16CD4">
        <w:rPr>
          <w:rStyle w:val="apple-converted-space"/>
          <w:rFonts w:ascii="Arial" w:hAnsi="Arial" w:cs="Arial"/>
          <w:b/>
          <w:shd w:val="clear" w:color="auto" w:fill="FFFFFF"/>
        </w:rPr>
        <w:t>2.3</w:t>
      </w:r>
      <w:r>
        <w:rPr>
          <w:rStyle w:val="apple-converted-space"/>
          <w:rFonts w:ascii="Arial" w:hAnsi="Arial" w:cs="Arial"/>
          <w:shd w:val="clear" w:color="auto" w:fill="FFFFFF"/>
        </w:rPr>
        <w:t xml:space="preserve">. </w:t>
      </w:r>
      <w:r w:rsidR="00000AAB">
        <w:rPr>
          <w:rStyle w:val="apple-converted-space"/>
          <w:rFonts w:ascii="Arial" w:hAnsi="Arial" w:cs="Arial"/>
          <w:shd w:val="clear" w:color="auto" w:fill="FFFFFF"/>
        </w:rPr>
        <w:t>En lo que respecta</w:t>
      </w:r>
      <w:r w:rsidR="004F770A">
        <w:rPr>
          <w:rStyle w:val="apple-converted-space"/>
          <w:rFonts w:ascii="Arial" w:hAnsi="Arial" w:cs="Arial"/>
          <w:shd w:val="clear" w:color="auto" w:fill="FFFFFF"/>
        </w:rPr>
        <w:t xml:space="preserve"> a</w:t>
      </w:r>
      <w:r w:rsidR="00000AAB">
        <w:rPr>
          <w:rStyle w:val="apple-converted-space"/>
          <w:rFonts w:ascii="Arial" w:hAnsi="Arial" w:cs="Arial"/>
          <w:shd w:val="clear" w:color="auto" w:fill="FFFFFF"/>
        </w:rPr>
        <w:t xml:space="preserve"> la prueba</w:t>
      </w:r>
      <w:r w:rsidR="009326E1">
        <w:rPr>
          <w:rStyle w:val="apple-converted-space"/>
          <w:rFonts w:ascii="Arial" w:hAnsi="Arial" w:cs="Arial"/>
          <w:shd w:val="clear" w:color="auto" w:fill="FFFFFF"/>
        </w:rPr>
        <w:t xml:space="preserve"> solicitada por la parte demandada y negada por el a quo, </w:t>
      </w:r>
      <w:r>
        <w:rPr>
          <w:rStyle w:val="apple-converted-space"/>
          <w:rFonts w:ascii="Arial" w:hAnsi="Arial" w:cs="Arial"/>
          <w:shd w:val="clear" w:color="auto" w:fill="FFFFFF"/>
        </w:rPr>
        <w:t>consistente en oficia</w:t>
      </w:r>
      <w:r w:rsidR="00F601A7">
        <w:rPr>
          <w:rStyle w:val="apple-converted-space"/>
          <w:rFonts w:ascii="Arial" w:hAnsi="Arial" w:cs="Arial"/>
          <w:shd w:val="clear" w:color="auto" w:fill="FFFFFF"/>
        </w:rPr>
        <w:t>r</w:t>
      </w:r>
      <w:r>
        <w:rPr>
          <w:rStyle w:val="apple-converted-space"/>
          <w:rFonts w:ascii="Arial" w:hAnsi="Arial" w:cs="Arial"/>
          <w:shd w:val="clear" w:color="auto" w:fill="FFFFFF"/>
        </w:rPr>
        <w:t xml:space="preserve"> al</w:t>
      </w:r>
      <w:r w:rsidR="00F601A7">
        <w:rPr>
          <w:rStyle w:val="apple-converted-space"/>
          <w:rFonts w:ascii="Arial" w:hAnsi="Arial" w:cs="Arial"/>
          <w:shd w:val="clear" w:color="auto" w:fill="FFFFFF"/>
        </w:rPr>
        <w:t xml:space="preserve"> banco</w:t>
      </w:r>
      <w:r>
        <w:rPr>
          <w:rStyle w:val="apple-converted-space"/>
          <w:rFonts w:ascii="Arial" w:hAnsi="Arial" w:cs="Arial"/>
          <w:shd w:val="clear" w:color="auto" w:fill="FFFFFF"/>
        </w:rPr>
        <w:t xml:space="preserve"> BBVA para obtener información de la cuenta de ahorros de los demandantes, </w:t>
      </w:r>
      <w:r w:rsidR="009326E1">
        <w:rPr>
          <w:rStyle w:val="apple-converted-space"/>
          <w:rFonts w:ascii="Arial" w:hAnsi="Arial" w:cs="Arial"/>
          <w:shd w:val="clear" w:color="auto" w:fill="FFFFFF"/>
        </w:rPr>
        <w:t>invita a revisar si e</w:t>
      </w:r>
      <w:r>
        <w:rPr>
          <w:rStyle w:val="apple-converted-space"/>
          <w:rFonts w:ascii="Arial" w:hAnsi="Arial" w:cs="Arial"/>
          <w:shd w:val="clear" w:color="auto" w:fill="FFFFFF"/>
        </w:rPr>
        <w:t>lla</w:t>
      </w:r>
      <w:r w:rsidR="009326E1">
        <w:rPr>
          <w:rStyle w:val="apple-converted-space"/>
          <w:rFonts w:ascii="Arial" w:hAnsi="Arial" w:cs="Arial"/>
          <w:shd w:val="clear" w:color="auto" w:fill="FFFFFF"/>
        </w:rPr>
        <w:t xml:space="preserve"> está prohibida por la ley por vulnerar algún derecho o garantía fundamental</w:t>
      </w:r>
      <w:r w:rsidR="00F601A7">
        <w:rPr>
          <w:rStyle w:val="apple-converted-space"/>
          <w:rFonts w:ascii="Arial" w:hAnsi="Arial" w:cs="Arial"/>
          <w:shd w:val="clear" w:color="auto" w:fill="FFFFFF"/>
        </w:rPr>
        <w:t>.</w:t>
      </w:r>
    </w:p>
    <w:p w:rsidR="00F601A7" w:rsidRDefault="00F601A7" w:rsidP="00437A72">
      <w:pPr>
        <w:pStyle w:val="centrado"/>
        <w:spacing w:line="276" w:lineRule="auto"/>
        <w:contextualSpacing/>
        <w:jc w:val="both"/>
        <w:rPr>
          <w:rStyle w:val="apple-converted-space"/>
          <w:rFonts w:ascii="Arial" w:hAnsi="Arial" w:cs="Arial"/>
          <w:shd w:val="clear" w:color="auto" w:fill="FFFFFF"/>
        </w:rPr>
      </w:pPr>
    </w:p>
    <w:p w:rsidR="005E1259" w:rsidRDefault="00F601A7" w:rsidP="00437A72">
      <w:pPr>
        <w:pStyle w:val="centrado"/>
        <w:spacing w:line="276" w:lineRule="auto"/>
        <w:contextualSpacing/>
        <w:jc w:val="both"/>
        <w:rPr>
          <w:rStyle w:val="apple-converted-space"/>
          <w:rFonts w:ascii="Arial" w:hAnsi="Arial" w:cs="Arial"/>
          <w:shd w:val="clear" w:color="auto" w:fill="FFFFFF"/>
        </w:rPr>
      </w:pPr>
      <w:r w:rsidRPr="00B26D3A">
        <w:rPr>
          <w:rStyle w:val="apple-converted-space"/>
          <w:rFonts w:ascii="Arial" w:hAnsi="Arial" w:cs="Arial"/>
          <w:shd w:val="clear" w:color="auto" w:fill="FFFFFF"/>
        </w:rPr>
        <w:t>As</w:t>
      </w:r>
      <w:r w:rsidR="009326E1" w:rsidRPr="00B26D3A">
        <w:rPr>
          <w:rStyle w:val="apple-converted-space"/>
          <w:rFonts w:ascii="Arial" w:hAnsi="Arial" w:cs="Arial"/>
          <w:shd w:val="clear" w:color="auto" w:fill="FFFFFF"/>
        </w:rPr>
        <w:t xml:space="preserve">í se encuentra </w:t>
      </w:r>
      <w:r w:rsidR="006B2DC7" w:rsidRPr="00B26D3A">
        <w:rPr>
          <w:rStyle w:val="apple-converted-space"/>
          <w:rFonts w:ascii="Arial" w:hAnsi="Arial" w:cs="Arial"/>
          <w:shd w:val="clear" w:color="auto" w:fill="FFFFFF"/>
        </w:rPr>
        <w:t xml:space="preserve">que </w:t>
      </w:r>
      <w:r w:rsidR="009326E1" w:rsidRPr="00B26D3A">
        <w:rPr>
          <w:rStyle w:val="apple-converted-space"/>
          <w:rFonts w:ascii="Arial" w:hAnsi="Arial" w:cs="Arial"/>
          <w:shd w:val="clear" w:color="auto" w:fill="FFFFFF"/>
        </w:rPr>
        <w:t>la información de la cuenta de ahorros</w:t>
      </w:r>
      <w:r w:rsidR="006B2DC7" w:rsidRPr="00B26D3A">
        <w:rPr>
          <w:rStyle w:val="apple-converted-space"/>
          <w:rFonts w:ascii="Arial" w:hAnsi="Arial" w:cs="Arial"/>
          <w:shd w:val="clear" w:color="auto" w:fill="FFFFFF"/>
        </w:rPr>
        <w:t xml:space="preserve"> </w:t>
      </w:r>
      <w:r w:rsidRPr="00B26D3A">
        <w:rPr>
          <w:rStyle w:val="apple-converted-space"/>
          <w:rFonts w:ascii="Arial" w:hAnsi="Arial" w:cs="Arial"/>
          <w:shd w:val="clear" w:color="auto" w:fill="FFFFFF"/>
        </w:rPr>
        <w:t>del cuentacorrentista</w:t>
      </w:r>
      <w:r w:rsidR="000A6E86">
        <w:rPr>
          <w:rStyle w:val="apple-converted-space"/>
          <w:rFonts w:ascii="Arial" w:hAnsi="Arial" w:cs="Arial"/>
          <w:shd w:val="clear" w:color="auto" w:fill="FFFFFF"/>
        </w:rPr>
        <w:t xml:space="preserve">, </w:t>
      </w:r>
      <w:r w:rsidR="00A6360E">
        <w:rPr>
          <w:rStyle w:val="apple-converted-space"/>
          <w:rFonts w:ascii="Arial" w:hAnsi="Arial" w:cs="Arial"/>
          <w:shd w:val="clear" w:color="auto" w:fill="FFFFFF"/>
        </w:rPr>
        <w:t>en principio,</w:t>
      </w:r>
      <w:r w:rsidR="000A6E86">
        <w:rPr>
          <w:rStyle w:val="apple-converted-space"/>
          <w:rFonts w:ascii="Arial" w:hAnsi="Arial" w:cs="Arial"/>
          <w:shd w:val="clear" w:color="auto" w:fill="FFFFFF"/>
        </w:rPr>
        <w:t xml:space="preserve"> goza</w:t>
      </w:r>
      <w:r>
        <w:rPr>
          <w:rStyle w:val="apple-converted-space"/>
          <w:rFonts w:ascii="Arial" w:hAnsi="Arial" w:cs="Arial"/>
          <w:shd w:val="clear" w:color="auto" w:fill="FFFFFF"/>
        </w:rPr>
        <w:t xml:space="preserve"> de</w:t>
      </w:r>
      <w:r w:rsidR="00D35A36">
        <w:rPr>
          <w:rStyle w:val="apple-converted-space"/>
          <w:rFonts w:ascii="Arial" w:hAnsi="Arial" w:cs="Arial"/>
          <w:shd w:val="clear" w:color="auto" w:fill="FFFFFF"/>
        </w:rPr>
        <w:t xml:space="preserve"> reserva bancaria al ser inviolable el secreto profesional</w:t>
      </w:r>
      <w:r w:rsidR="000A6E86">
        <w:rPr>
          <w:rStyle w:val="apple-converted-space"/>
          <w:rFonts w:ascii="Arial" w:hAnsi="Arial" w:cs="Arial"/>
          <w:shd w:val="clear" w:color="auto" w:fill="FFFFFF"/>
        </w:rPr>
        <w:t xml:space="preserve"> </w:t>
      </w:r>
      <w:r w:rsidR="00EA4E3D">
        <w:rPr>
          <w:rStyle w:val="apple-converted-space"/>
          <w:rFonts w:ascii="Arial" w:hAnsi="Arial" w:cs="Arial"/>
          <w:shd w:val="clear" w:color="auto" w:fill="FFFFFF"/>
        </w:rPr>
        <w:t xml:space="preserve">del </w:t>
      </w:r>
      <w:r w:rsidR="000A6E86">
        <w:rPr>
          <w:rStyle w:val="apple-converted-space"/>
          <w:rFonts w:ascii="Arial" w:hAnsi="Arial" w:cs="Arial"/>
          <w:shd w:val="clear" w:color="auto" w:fill="FFFFFF"/>
        </w:rPr>
        <w:t xml:space="preserve"> BANCO</w:t>
      </w:r>
      <w:r w:rsidR="00EA4E3D">
        <w:rPr>
          <w:rStyle w:val="apple-converted-space"/>
          <w:rFonts w:ascii="Arial" w:hAnsi="Arial" w:cs="Arial"/>
          <w:shd w:val="clear" w:color="auto" w:fill="FFFFFF"/>
        </w:rPr>
        <w:t>, en los términos</w:t>
      </w:r>
      <w:r w:rsidR="00D35A36">
        <w:rPr>
          <w:rStyle w:val="apple-converted-space"/>
          <w:rFonts w:ascii="Arial" w:hAnsi="Arial" w:cs="Arial"/>
          <w:shd w:val="clear" w:color="auto" w:fill="FFFFFF"/>
        </w:rPr>
        <w:t xml:space="preserve"> del artículo 74 de la CP</w:t>
      </w:r>
      <w:r>
        <w:rPr>
          <w:rStyle w:val="apple-converted-space"/>
          <w:rFonts w:ascii="Arial" w:hAnsi="Arial" w:cs="Arial"/>
          <w:shd w:val="clear" w:color="auto" w:fill="FFFFFF"/>
        </w:rPr>
        <w:t>.</w:t>
      </w:r>
      <w:r w:rsidR="005E1259">
        <w:rPr>
          <w:rStyle w:val="apple-converted-space"/>
          <w:rFonts w:ascii="Arial" w:hAnsi="Arial" w:cs="Arial"/>
          <w:shd w:val="clear" w:color="auto" w:fill="FFFFFF"/>
        </w:rPr>
        <w:t xml:space="preserve"> Sobre este tópico dijo la Corte Constitucional:</w:t>
      </w:r>
    </w:p>
    <w:p w:rsidR="005E1259" w:rsidRDefault="005E1259" w:rsidP="005E1259">
      <w:pPr>
        <w:pStyle w:val="centrado"/>
        <w:spacing w:line="276" w:lineRule="auto"/>
        <w:contextualSpacing/>
        <w:jc w:val="both"/>
        <w:rPr>
          <w:rStyle w:val="apple-converted-space"/>
          <w:rFonts w:ascii="Arial" w:hAnsi="Arial" w:cs="Arial"/>
          <w:shd w:val="clear" w:color="auto" w:fill="FFFFFF"/>
        </w:rPr>
      </w:pPr>
    </w:p>
    <w:p w:rsidR="002B5F03" w:rsidRDefault="002B5F03" w:rsidP="00833457">
      <w:pPr>
        <w:pStyle w:val="centrado"/>
        <w:ind w:firstLine="708"/>
        <w:contextualSpacing/>
        <w:jc w:val="both"/>
        <w:rPr>
          <w:rFonts w:ascii="Arial" w:hAnsi="Arial" w:cs="Arial"/>
        </w:rPr>
      </w:pPr>
      <w:r>
        <w:rPr>
          <w:rFonts w:ascii="Arial" w:hAnsi="Arial" w:cs="Arial"/>
        </w:rPr>
        <w:t>“ (…)</w:t>
      </w:r>
    </w:p>
    <w:p w:rsidR="002B5F03" w:rsidRDefault="00781086" w:rsidP="00833457">
      <w:pPr>
        <w:pStyle w:val="centrado"/>
        <w:ind w:left="708"/>
        <w:contextualSpacing/>
        <w:jc w:val="both"/>
        <w:rPr>
          <w:rFonts w:ascii="Arial" w:hAnsi="Arial" w:cs="Arial"/>
        </w:rPr>
      </w:pPr>
      <w:r w:rsidRPr="00781086">
        <w:rPr>
          <w:rFonts w:ascii="Arial" w:hAnsi="Arial" w:cs="Arial"/>
        </w:rPr>
        <w:lastRenderedPageBreak/>
        <w:t>En Colombia, la reserva bancaria, ha sido definida por la Corte como “</w:t>
      </w:r>
      <w:r w:rsidRPr="00781086">
        <w:rPr>
          <w:rFonts w:ascii="Arial" w:hAnsi="Arial" w:cs="Arial"/>
          <w:i/>
          <w:iCs/>
        </w:rPr>
        <w:t>el deber jurídico que tienen las instituciones de crédito y las organizaciones auxiliares y sus empleados, de no revelar los datos que lleguen directamente a su conocimiento, por razón o motivo de la actividad a la que están dedicados</w:t>
      </w:r>
      <w:r w:rsidRPr="00781086">
        <w:rPr>
          <w:rFonts w:ascii="Arial" w:hAnsi="Arial" w:cs="Arial"/>
        </w:rPr>
        <w:t>.”</w:t>
      </w:r>
      <w:r w:rsidR="0093416F">
        <w:rPr>
          <w:rStyle w:val="Refdenotaalpie"/>
          <w:rFonts w:ascii="Arial" w:hAnsi="Arial" w:cs="Arial"/>
        </w:rPr>
        <w:footnoteReference w:id="3"/>
      </w:r>
    </w:p>
    <w:p w:rsidR="00B931EC" w:rsidRPr="00FA68FE" w:rsidRDefault="002B5F03" w:rsidP="00FA68FE">
      <w:pPr>
        <w:pStyle w:val="Sangradetindependiente"/>
        <w:spacing w:after="0" w:line="276" w:lineRule="auto"/>
        <w:ind w:left="708"/>
        <w:rPr>
          <w:rFonts w:ascii="Arial" w:hAnsi="Arial" w:cs="Arial"/>
          <w:i/>
          <w:sz w:val="24"/>
          <w:szCs w:val="24"/>
        </w:rPr>
      </w:pPr>
      <w:r w:rsidRPr="00FA68FE">
        <w:rPr>
          <w:rFonts w:ascii="Arial" w:hAnsi="Arial" w:cs="Arial"/>
          <w:i/>
          <w:sz w:val="24"/>
          <w:szCs w:val="24"/>
        </w:rPr>
        <w:t>La razón por la cual la entidad bancaria entra en contacto con información personal de sus usuarios y el deber mismo de proteger dichos datos, están estrechamente ligados con su condición de profesional de las actividades bancarias. Por ello, desde el punto de vista conceptual, la reserva bancaria es en Colombia una especie del secreto profesional, y la protección de los datos en manos del banquero encuentra como una de sus fuentes constitucionales al artículo 74 de la Carta.</w:t>
      </w:r>
      <w:r w:rsidRPr="00FA68FE">
        <w:rPr>
          <w:rStyle w:val="Refdenotaalpie"/>
          <w:rFonts w:ascii="Arial" w:hAnsi="Arial" w:cs="Arial"/>
          <w:i/>
          <w:sz w:val="24"/>
          <w:szCs w:val="24"/>
          <w:shd w:val="clear" w:color="auto" w:fill="FFFFFF"/>
        </w:rPr>
        <w:t xml:space="preserve"> </w:t>
      </w:r>
      <w:r w:rsidRPr="00FA68FE">
        <w:rPr>
          <w:rStyle w:val="Refdenotaalpie"/>
          <w:rFonts w:ascii="Arial" w:hAnsi="Arial" w:cs="Arial"/>
          <w:i/>
          <w:sz w:val="24"/>
          <w:szCs w:val="24"/>
          <w:shd w:val="clear" w:color="auto" w:fill="FFFFFF"/>
        </w:rPr>
        <w:footnoteReference w:id="4"/>
      </w:r>
    </w:p>
    <w:p w:rsidR="009A671D" w:rsidRPr="00780678" w:rsidRDefault="00B931EC" w:rsidP="00FE142D">
      <w:pPr>
        <w:pStyle w:val="centrado"/>
        <w:spacing w:line="276" w:lineRule="auto"/>
        <w:contextualSpacing/>
        <w:jc w:val="both"/>
        <w:rPr>
          <w:rFonts w:ascii="Arial" w:hAnsi="Arial" w:cs="Arial"/>
        </w:rPr>
      </w:pPr>
      <w:r w:rsidRPr="00B931EC">
        <w:rPr>
          <w:rStyle w:val="apple-converted-space"/>
          <w:rFonts w:ascii="Arial" w:hAnsi="Arial" w:cs="Arial"/>
          <w:shd w:val="clear" w:color="auto" w:fill="FFFFFF"/>
        </w:rPr>
        <w:t>Ad</w:t>
      </w:r>
      <w:r>
        <w:rPr>
          <w:rStyle w:val="apple-converted-space"/>
          <w:rFonts w:ascii="Arial" w:hAnsi="Arial" w:cs="Arial"/>
          <w:shd w:val="clear" w:color="auto" w:fill="FFFFFF"/>
        </w:rPr>
        <w:t xml:space="preserve">emás, esta información dada al banco tiene una estrecha relación con el derecho a la privacidad e intimidad </w:t>
      </w:r>
      <w:r w:rsidR="00CF5B00">
        <w:rPr>
          <w:rStyle w:val="apple-converted-space"/>
          <w:rFonts w:ascii="Arial" w:hAnsi="Arial" w:cs="Arial"/>
          <w:shd w:val="clear" w:color="auto" w:fill="FFFFFF"/>
        </w:rPr>
        <w:t>amparado por e</w:t>
      </w:r>
      <w:r w:rsidR="005E1259">
        <w:rPr>
          <w:rStyle w:val="apple-converted-space"/>
          <w:rFonts w:ascii="Arial" w:hAnsi="Arial" w:cs="Arial"/>
          <w:shd w:val="clear" w:color="auto" w:fill="FFFFFF"/>
        </w:rPr>
        <w:t>l artículo 15 de la Constitución</w:t>
      </w:r>
      <w:r w:rsidR="00FA68FE">
        <w:rPr>
          <w:rStyle w:val="apple-converted-space"/>
          <w:rFonts w:ascii="Arial" w:hAnsi="Arial" w:cs="Arial"/>
          <w:shd w:val="clear" w:color="auto" w:fill="FFFFFF"/>
        </w:rPr>
        <w:t xml:space="preserve"> Nacional.</w:t>
      </w:r>
    </w:p>
    <w:p w:rsidR="00FA11DF" w:rsidRDefault="00FA11DF" w:rsidP="00F558BA">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 </w:t>
      </w:r>
    </w:p>
    <w:p w:rsidR="00A9647D" w:rsidRDefault="00FD2880" w:rsidP="00A9647D">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Pero también es preciso indicar que esta reserva legal desaparece </w:t>
      </w:r>
      <w:r w:rsidR="00A6360E">
        <w:rPr>
          <w:rStyle w:val="apple-converted-space"/>
          <w:rFonts w:ascii="Arial" w:hAnsi="Arial" w:cs="Arial"/>
          <w:shd w:val="clear" w:color="auto" w:fill="FFFFFF"/>
        </w:rPr>
        <w:t xml:space="preserve">cuando </w:t>
      </w:r>
      <w:r w:rsidR="006308A2">
        <w:rPr>
          <w:rStyle w:val="apple-converted-space"/>
          <w:rFonts w:ascii="Arial" w:hAnsi="Arial" w:cs="Arial"/>
          <w:shd w:val="clear" w:color="auto" w:fill="FFFFFF"/>
        </w:rPr>
        <w:t xml:space="preserve">la actividad económica </w:t>
      </w:r>
      <w:r w:rsidR="00A310D4">
        <w:rPr>
          <w:rStyle w:val="apple-converted-space"/>
          <w:rFonts w:ascii="Arial" w:hAnsi="Arial" w:cs="Arial"/>
          <w:shd w:val="clear" w:color="auto" w:fill="FFFFFF"/>
        </w:rPr>
        <w:t xml:space="preserve">del cliente </w:t>
      </w:r>
      <w:r w:rsidR="006308A2">
        <w:rPr>
          <w:rStyle w:val="apple-converted-space"/>
          <w:rFonts w:ascii="Arial" w:hAnsi="Arial" w:cs="Arial"/>
          <w:shd w:val="clear" w:color="auto" w:fill="FFFFFF"/>
        </w:rPr>
        <w:t>está relacionada con actividades criminales</w:t>
      </w:r>
      <w:r w:rsidR="00A310D4">
        <w:rPr>
          <w:rStyle w:val="apple-converted-space"/>
          <w:rFonts w:ascii="Arial" w:hAnsi="Arial" w:cs="Arial"/>
          <w:shd w:val="clear" w:color="auto" w:fill="FFFFFF"/>
        </w:rPr>
        <w:t xml:space="preserve"> tales como el narcotráfico, </w:t>
      </w:r>
      <w:r w:rsidR="006308A2">
        <w:rPr>
          <w:rStyle w:val="apple-converted-space"/>
          <w:rFonts w:ascii="Arial" w:hAnsi="Arial" w:cs="Arial"/>
          <w:shd w:val="clear" w:color="auto" w:fill="FFFFFF"/>
        </w:rPr>
        <w:t>lavado de activos y corrupción</w:t>
      </w:r>
      <w:r w:rsidR="00841357">
        <w:rPr>
          <w:rStyle w:val="apple-converted-space"/>
          <w:rFonts w:ascii="Arial" w:hAnsi="Arial" w:cs="Arial"/>
          <w:shd w:val="clear" w:color="auto" w:fill="FFFFFF"/>
        </w:rPr>
        <w:t>”</w:t>
      </w:r>
      <w:r w:rsidR="00841357">
        <w:rPr>
          <w:rStyle w:val="Refdenotaalpie"/>
          <w:rFonts w:ascii="Arial" w:hAnsi="Arial" w:cs="Arial"/>
          <w:shd w:val="clear" w:color="auto" w:fill="FFFFFF"/>
        </w:rPr>
        <w:footnoteReference w:id="5"/>
      </w:r>
      <w:r w:rsidR="005D63B9">
        <w:rPr>
          <w:rStyle w:val="apple-converted-space"/>
          <w:rFonts w:ascii="Arial" w:hAnsi="Arial" w:cs="Arial"/>
          <w:shd w:val="clear" w:color="auto" w:fill="FFFFFF"/>
        </w:rPr>
        <w:t xml:space="preserve">; </w:t>
      </w:r>
      <w:r>
        <w:rPr>
          <w:rStyle w:val="apple-converted-space"/>
          <w:rFonts w:ascii="Arial" w:hAnsi="Arial" w:cs="Arial"/>
          <w:shd w:val="clear" w:color="auto" w:fill="FFFFFF"/>
        </w:rPr>
        <w:t xml:space="preserve">y </w:t>
      </w:r>
      <w:r w:rsidR="00FA68FE">
        <w:rPr>
          <w:rStyle w:val="apple-converted-space"/>
          <w:rFonts w:ascii="Arial" w:hAnsi="Arial" w:cs="Arial"/>
          <w:shd w:val="clear" w:color="auto" w:fill="FFFFFF"/>
        </w:rPr>
        <w:t xml:space="preserve">en los siguientes eventos </w:t>
      </w:r>
      <w:r w:rsidR="00A9647D">
        <w:rPr>
          <w:rStyle w:val="apple-converted-space"/>
          <w:rFonts w:ascii="Arial" w:hAnsi="Arial" w:cs="Arial"/>
          <w:shd w:val="clear" w:color="auto" w:fill="FFFFFF"/>
        </w:rPr>
        <w:t>señalados en la sentencia de la Corte Constituci</w:t>
      </w:r>
      <w:r w:rsidR="00A310D4">
        <w:rPr>
          <w:rStyle w:val="apple-converted-space"/>
          <w:rFonts w:ascii="Arial" w:hAnsi="Arial" w:cs="Arial"/>
          <w:shd w:val="clear" w:color="auto" w:fill="FFFFFF"/>
        </w:rPr>
        <w:t>o</w:t>
      </w:r>
      <w:r w:rsidR="00A9647D">
        <w:rPr>
          <w:rStyle w:val="apple-converted-space"/>
          <w:rFonts w:ascii="Arial" w:hAnsi="Arial" w:cs="Arial"/>
          <w:shd w:val="clear" w:color="auto" w:fill="FFFFFF"/>
        </w:rPr>
        <w:t>nal T -440- 2003</w:t>
      </w:r>
      <w:r w:rsidR="002B5F03">
        <w:rPr>
          <w:rStyle w:val="apple-converted-space"/>
          <w:rFonts w:ascii="Arial" w:hAnsi="Arial" w:cs="Arial"/>
          <w:shd w:val="clear" w:color="auto" w:fill="FFFFFF"/>
        </w:rPr>
        <w:t>, ya citada</w:t>
      </w:r>
      <w:r w:rsidR="00A9647D">
        <w:rPr>
          <w:rStyle w:val="apple-converted-space"/>
          <w:rFonts w:ascii="Arial" w:hAnsi="Arial" w:cs="Arial"/>
          <w:shd w:val="clear" w:color="auto" w:fill="FFFFFF"/>
        </w:rPr>
        <w:t>:</w:t>
      </w:r>
    </w:p>
    <w:p w:rsidR="00A9647D" w:rsidRDefault="00A9647D" w:rsidP="005D63B9">
      <w:pPr>
        <w:pStyle w:val="centrado"/>
        <w:spacing w:line="276" w:lineRule="auto"/>
        <w:contextualSpacing/>
        <w:jc w:val="both"/>
        <w:rPr>
          <w:rStyle w:val="apple-converted-space"/>
          <w:rFonts w:ascii="Arial" w:hAnsi="Arial" w:cs="Arial"/>
          <w:shd w:val="clear" w:color="auto" w:fill="FFFFFF"/>
        </w:rPr>
      </w:pPr>
    </w:p>
    <w:p w:rsidR="000F0DD7" w:rsidRDefault="00A9647D" w:rsidP="00A9647D">
      <w:pPr>
        <w:pStyle w:val="centrado"/>
        <w:spacing w:line="276" w:lineRule="auto"/>
        <w:ind w:left="708"/>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 </w:t>
      </w:r>
      <w:r w:rsidR="000F0DD7">
        <w:rPr>
          <w:rStyle w:val="apple-converted-space"/>
          <w:rFonts w:ascii="Arial" w:hAnsi="Arial" w:cs="Arial"/>
          <w:i/>
          <w:shd w:val="clear" w:color="auto" w:fill="FFFFFF"/>
        </w:rPr>
        <w:t xml:space="preserve">i. Hagan parte de información general y no contengan datos personalísimos del cliente, ii. Que se pueda acceder a la información de una manera pública   iii. </w:t>
      </w:r>
      <w:r w:rsidR="008D5084">
        <w:rPr>
          <w:rStyle w:val="apple-converted-space"/>
          <w:rFonts w:ascii="Arial" w:hAnsi="Arial" w:cs="Arial"/>
          <w:i/>
          <w:shd w:val="clear" w:color="auto" w:fill="FFFFFF"/>
        </w:rPr>
        <w:t xml:space="preserve">No tenga nada que ver con información privada ni operaciones que realice el cliente con el Banco que revele su perfil de gustos y preferencias, iv. La circulación </w:t>
      </w:r>
      <w:r w:rsidR="00E019D3">
        <w:rPr>
          <w:rStyle w:val="apple-converted-space"/>
          <w:rFonts w:ascii="Arial" w:hAnsi="Arial" w:cs="Arial"/>
          <w:i/>
          <w:shd w:val="clear" w:color="auto" w:fill="FFFFFF"/>
        </w:rPr>
        <w:t>está</w:t>
      </w:r>
      <w:r w:rsidR="008D5084">
        <w:rPr>
          <w:rStyle w:val="apple-converted-space"/>
          <w:rFonts w:ascii="Arial" w:hAnsi="Arial" w:cs="Arial"/>
          <w:i/>
          <w:shd w:val="clear" w:color="auto" w:fill="FFFFFF"/>
        </w:rPr>
        <w:t xml:space="preserve"> autorizada por el cliente o en su caso este estipulada dentro de la carta y por último </w:t>
      </w:r>
      <w:r w:rsidR="00E019D3">
        <w:rPr>
          <w:rStyle w:val="apple-converted-space"/>
          <w:rFonts w:ascii="Arial" w:hAnsi="Arial" w:cs="Arial"/>
          <w:i/>
          <w:shd w:val="clear" w:color="auto" w:fill="FFFFFF"/>
        </w:rPr>
        <w:t>ha manifestado la Corte, que hay una información que se puede pasar a la centrales de riesgo crediticio cuando se tiene un comportamiento del cliente en deuda, pero dicha información debe estar verificada, completa y actualizada.</w:t>
      </w:r>
    </w:p>
    <w:p w:rsidR="000A6E86" w:rsidRDefault="000A6E86" w:rsidP="000A6E86">
      <w:pPr>
        <w:pStyle w:val="Sinespaciado"/>
        <w:spacing w:line="276" w:lineRule="auto"/>
        <w:contextualSpacing/>
        <w:jc w:val="both"/>
        <w:rPr>
          <w:rFonts w:ascii="Arial" w:hAnsi="Arial" w:cs="Arial"/>
          <w:lang w:val="es-ES"/>
        </w:rPr>
      </w:pPr>
      <w:r>
        <w:rPr>
          <w:rFonts w:ascii="Arial" w:hAnsi="Arial" w:cs="Arial"/>
          <w:lang w:val="es-ES"/>
        </w:rPr>
        <w:lastRenderedPageBreak/>
        <w:t>Reitera este requisito de licitud de la prueba el canon 275 del CGP, al condicionar la procedencia, a petición de parte o de oficio, de informes a entidades públicas o privadas, a que lo que sea materia de información no tenga reserva legal.</w:t>
      </w:r>
    </w:p>
    <w:p w:rsidR="00841357" w:rsidRDefault="003011E4" w:rsidP="00841357">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2.4. Bien. Al reparar en el contenido de la información que solicita la </w:t>
      </w:r>
      <w:r w:rsidR="00484E57">
        <w:rPr>
          <w:rStyle w:val="apple-converted-space"/>
          <w:rFonts w:ascii="Arial" w:hAnsi="Arial" w:cs="Arial"/>
          <w:shd w:val="clear" w:color="auto" w:fill="FFFFFF"/>
        </w:rPr>
        <w:t>parte demanda</w:t>
      </w:r>
      <w:r>
        <w:rPr>
          <w:rStyle w:val="apple-converted-space"/>
          <w:rFonts w:ascii="Arial" w:hAnsi="Arial" w:cs="Arial"/>
          <w:shd w:val="clear" w:color="auto" w:fill="FFFFFF"/>
        </w:rPr>
        <w:t xml:space="preserve">da al banco BBVA y en relación con </w:t>
      </w:r>
      <w:r w:rsidR="00484E57">
        <w:rPr>
          <w:rStyle w:val="apple-converted-space"/>
          <w:rFonts w:ascii="Arial" w:hAnsi="Arial" w:cs="Arial"/>
          <w:shd w:val="clear" w:color="auto" w:fill="FFFFFF"/>
        </w:rPr>
        <w:t>la cuenta Nº 70-329-3209 del Banco BBVA,</w:t>
      </w:r>
      <w:r>
        <w:rPr>
          <w:rStyle w:val="apple-converted-space"/>
          <w:rFonts w:ascii="Arial" w:hAnsi="Arial" w:cs="Arial"/>
          <w:shd w:val="clear" w:color="auto" w:fill="FFFFFF"/>
        </w:rPr>
        <w:t xml:space="preserve"> se tiene que tal versa sobre: (Fl.75 y 76),</w:t>
      </w:r>
    </w:p>
    <w:p w:rsidR="00484E57" w:rsidRDefault="00484E57" w:rsidP="00841357">
      <w:pPr>
        <w:pStyle w:val="centrado"/>
        <w:spacing w:line="276" w:lineRule="auto"/>
        <w:contextualSpacing/>
        <w:jc w:val="both"/>
        <w:rPr>
          <w:rStyle w:val="apple-converted-space"/>
          <w:rFonts w:ascii="Arial" w:hAnsi="Arial" w:cs="Arial"/>
          <w:shd w:val="clear" w:color="auto" w:fill="FFFFFF"/>
        </w:rPr>
      </w:pP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Titular.</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Fecha de apertura.</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Saldos anuales promedio.</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Estado: activa o inactiva.</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Saldo actual.</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Débitos automáticos.</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Portafolios complementarios y/o adicionales</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 xml:space="preserve">Si es cuenta corriente o de ahorros </w:t>
      </w:r>
    </w:p>
    <w:p w:rsidR="00484E57" w:rsidRDefault="00484E57" w:rsidP="00484E57">
      <w:pPr>
        <w:pStyle w:val="centrado"/>
        <w:numPr>
          <w:ilvl w:val="0"/>
          <w:numId w:val="2"/>
        </w:numPr>
        <w:spacing w:line="276" w:lineRule="auto"/>
        <w:contextualSpacing/>
        <w:jc w:val="both"/>
        <w:rPr>
          <w:rStyle w:val="apple-converted-space"/>
          <w:rFonts w:ascii="Arial" w:hAnsi="Arial" w:cs="Arial"/>
          <w:i/>
          <w:shd w:val="clear" w:color="auto" w:fill="FFFFFF"/>
        </w:rPr>
      </w:pPr>
      <w:r>
        <w:rPr>
          <w:rStyle w:val="apple-converted-space"/>
          <w:rFonts w:ascii="Arial" w:hAnsi="Arial" w:cs="Arial"/>
          <w:i/>
          <w:shd w:val="clear" w:color="auto" w:fill="FFFFFF"/>
        </w:rPr>
        <w:t>Rentabilidad.</w:t>
      </w:r>
    </w:p>
    <w:p w:rsidR="00484E57" w:rsidRDefault="00484E57" w:rsidP="00484E57">
      <w:pPr>
        <w:pStyle w:val="centrado"/>
        <w:spacing w:line="276" w:lineRule="auto"/>
        <w:contextualSpacing/>
        <w:jc w:val="both"/>
        <w:rPr>
          <w:rStyle w:val="apple-converted-space"/>
          <w:rFonts w:ascii="Arial" w:hAnsi="Arial" w:cs="Arial"/>
          <w:i/>
          <w:shd w:val="clear" w:color="auto" w:fill="FFFFFF"/>
        </w:rPr>
      </w:pPr>
    </w:p>
    <w:p w:rsidR="00E019D3" w:rsidRDefault="003011E4" w:rsidP="00E019D3">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A tono con lo expuesto, la Sala </w:t>
      </w:r>
      <w:r w:rsidR="00AF6877">
        <w:rPr>
          <w:rStyle w:val="apple-converted-space"/>
          <w:rFonts w:ascii="Arial" w:hAnsi="Arial" w:cs="Arial"/>
          <w:shd w:val="clear" w:color="auto" w:fill="FFFFFF"/>
        </w:rPr>
        <w:t>avizora</w:t>
      </w:r>
      <w:r>
        <w:rPr>
          <w:rStyle w:val="apple-converted-space"/>
          <w:rFonts w:ascii="Arial" w:hAnsi="Arial" w:cs="Arial"/>
          <w:shd w:val="clear" w:color="auto" w:fill="FFFFFF"/>
        </w:rPr>
        <w:t xml:space="preserve"> </w:t>
      </w:r>
      <w:r w:rsidR="00AF6877">
        <w:rPr>
          <w:rStyle w:val="apple-converted-space"/>
          <w:rFonts w:ascii="Arial" w:hAnsi="Arial" w:cs="Arial"/>
          <w:shd w:val="clear" w:color="auto" w:fill="FFFFFF"/>
        </w:rPr>
        <w:t xml:space="preserve">que </w:t>
      </w:r>
      <w:r w:rsidR="003066D8">
        <w:rPr>
          <w:rStyle w:val="apple-converted-space"/>
          <w:rFonts w:ascii="Arial" w:hAnsi="Arial" w:cs="Arial"/>
          <w:shd w:val="clear" w:color="auto" w:fill="FFFFFF"/>
        </w:rPr>
        <w:t>la</w:t>
      </w:r>
      <w:r>
        <w:rPr>
          <w:rStyle w:val="apple-converted-space"/>
          <w:rFonts w:ascii="Arial" w:hAnsi="Arial" w:cs="Arial"/>
          <w:shd w:val="clear" w:color="auto" w:fill="FFFFFF"/>
        </w:rPr>
        <w:t xml:space="preserve"> información </w:t>
      </w:r>
      <w:r w:rsidR="003066D8">
        <w:rPr>
          <w:rStyle w:val="apple-converted-space"/>
          <w:rFonts w:ascii="Arial" w:hAnsi="Arial" w:cs="Arial"/>
          <w:shd w:val="clear" w:color="auto" w:fill="FFFFFF"/>
        </w:rPr>
        <w:t xml:space="preserve">que se requiere por el demandado </w:t>
      </w:r>
      <w:r w:rsidR="00AC7A0C">
        <w:rPr>
          <w:rStyle w:val="apple-converted-space"/>
          <w:rFonts w:ascii="Arial" w:hAnsi="Arial" w:cs="Arial"/>
          <w:shd w:val="clear" w:color="auto" w:fill="FFFFFF"/>
        </w:rPr>
        <w:t>no se subsume en l</w:t>
      </w:r>
      <w:r w:rsidR="003066D8">
        <w:rPr>
          <w:rStyle w:val="apple-converted-space"/>
          <w:rFonts w:ascii="Arial" w:hAnsi="Arial" w:cs="Arial"/>
          <w:shd w:val="clear" w:color="auto" w:fill="FFFFFF"/>
        </w:rPr>
        <w:t>os casos en que</w:t>
      </w:r>
      <w:r w:rsidR="00546136">
        <w:rPr>
          <w:rStyle w:val="apple-converted-space"/>
          <w:rFonts w:ascii="Arial" w:hAnsi="Arial" w:cs="Arial"/>
          <w:shd w:val="clear" w:color="auto" w:fill="FFFFFF"/>
        </w:rPr>
        <w:t xml:space="preserve"> no </w:t>
      </w:r>
      <w:r w:rsidR="003066D8">
        <w:rPr>
          <w:rStyle w:val="apple-converted-space"/>
          <w:rFonts w:ascii="Arial" w:hAnsi="Arial" w:cs="Arial"/>
          <w:shd w:val="clear" w:color="auto" w:fill="FFFFFF"/>
        </w:rPr>
        <w:t>goza d</w:t>
      </w:r>
      <w:r w:rsidR="00546136">
        <w:rPr>
          <w:rStyle w:val="apple-converted-space"/>
          <w:rFonts w:ascii="Arial" w:hAnsi="Arial" w:cs="Arial"/>
          <w:shd w:val="clear" w:color="auto" w:fill="FFFFFF"/>
        </w:rPr>
        <w:t>e reserva legal</w:t>
      </w:r>
      <w:r w:rsidR="00FA68FE">
        <w:rPr>
          <w:rStyle w:val="apple-converted-space"/>
          <w:rFonts w:ascii="Arial" w:hAnsi="Arial" w:cs="Arial"/>
          <w:shd w:val="clear" w:color="auto" w:fill="FFFFFF"/>
        </w:rPr>
        <w:t xml:space="preserve"> la información bancaria</w:t>
      </w:r>
      <w:r w:rsidR="00D651FF">
        <w:rPr>
          <w:rStyle w:val="apple-converted-space"/>
          <w:rFonts w:ascii="Arial" w:hAnsi="Arial" w:cs="Arial"/>
          <w:shd w:val="clear" w:color="auto" w:fill="FFFFFF"/>
        </w:rPr>
        <w:t>, pues</w:t>
      </w:r>
      <w:r w:rsidR="0093416F">
        <w:rPr>
          <w:rStyle w:val="apple-converted-space"/>
          <w:rFonts w:ascii="Arial" w:hAnsi="Arial" w:cs="Arial"/>
          <w:shd w:val="clear" w:color="auto" w:fill="FFFFFF"/>
        </w:rPr>
        <w:t xml:space="preserve"> se</w:t>
      </w:r>
      <w:r w:rsidR="009F10DE">
        <w:rPr>
          <w:rStyle w:val="apple-converted-space"/>
          <w:rFonts w:ascii="Arial" w:hAnsi="Arial" w:cs="Arial"/>
          <w:shd w:val="clear" w:color="auto" w:fill="FFFFFF"/>
        </w:rPr>
        <w:t xml:space="preserve"> p</w:t>
      </w:r>
      <w:r w:rsidR="0093416F">
        <w:rPr>
          <w:rStyle w:val="apple-converted-space"/>
          <w:rFonts w:ascii="Arial" w:hAnsi="Arial" w:cs="Arial"/>
          <w:shd w:val="clear" w:color="auto" w:fill="FFFFFF"/>
        </w:rPr>
        <w:t>i</w:t>
      </w:r>
      <w:r w:rsidR="009F10DE">
        <w:rPr>
          <w:rStyle w:val="apple-converted-space"/>
          <w:rFonts w:ascii="Arial" w:hAnsi="Arial" w:cs="Arial"/>
          <w:shd w:val="clear" w:color="auto" w:fill="FFFFFF"/>
        </w:rPr>
        <w:t>d</w:t>
      </w:r>
      <w:r w:rsidR="0093416F">
        <w:rPr>
          <w:rStyle w:val="apple-converted-space"/>
          <w:rFonts w:ascii="Arial" w:hAnsi="Arial" w:cs="Arial"/>
          <w:shd w:val="clear" w:color="auto" w:fill="FFFFFF"/>
        </w:rPr>
        <w:t>en</w:t>
      </w:r>
      <w:r w:rsidR="00D651FF">
        <w:rPr>
          <w:rStyle w:val="apple-converted-space"/>
          <w:rFonts w:ascii="Arial" w:hAnsi="Arial" w:cs="Arial"/>
          <w:shd w:val="clear" w:color="auto" w:fill="FFFFFF"/>
        </w:rPr>
        <w:t xml:space="preserve"> </w:t>
      </w:r>
      <w:r w:rsidR="009F10DE">
        <w:rPr>
          <w:rStyle w:val="apple-converted-space"/>
          <w:rFonts w:ascii="Arial" w:hAnsi="Arial" w:cs="Arial"/>
          <w:shd w:val="clear" w:color="auto" w:fill="FFFFFF"/>
        </w:rPr>
        <w:t>datos personalizados del cliente, como son fecha de apertura, tipo de cuenta y estado</w:t>
      </w:r>
      <w:r w:rsidR="00833457">
        <w:rPr>
          <w:rStyle w:val="apple-converted-space"/>
          <w:rFonts w:ascii="Arial" w:hAnsi="Arial" w:cs="Arial"/>
          <w:shd w:val="clear" w:color="auto" w:fill="FFFFFF"/>
        </w:rPr>
        <w:t xml:space="preserve">, </w:t>
      </w:r>
      <w:r w:rsidR="0093416F">
        <w:rPr>
          <w:rStyle w:val="apple-converted-space"/>
          <w:rFonts w:ascii="Arial" w:hAnsi="Arial" w:cs="Arial"/>
          <w:shd w:val="clear" w:color="auto" w:fill="FFFFFF"/>
        </w:rPr>
        <w:t>que no son de libre acceso al público;</w:t>
      </w:r>
      <w:r w:rsidR="009F10DE">
        <w:rPr>
          <w:rStyle w:val="apple-converted-space"/>
          <w:rFonts w:ascii="Arial" w:hAnsi="Arial" w:cs="Arial"/>
          <w:shd w:val="clear" w:color="auto" w:fill="FFFFFF"/>
        </w:rPr>
        <w:t xml:space="preserve"> al igual que</w:t>
      </w:r>
      <w:r w:rsidR="0093416F">
        <w:rPr>
          <w:rStyle w:val="apple-converted-space"/>
          <w:rFonts w:ascii="Arial" w:hAnsi="Arial" w:cs="Arial"/>
          <w:shd w:val="clear" w:color="auto" w:fill="FFFFFF"/>
        </w:rPr>
        <w:t xml:space="preserve"> revelan</w:t>
      </w:r>
      <w:r w:rsidR="009F10DE">
        <w:rPr>
          <w:rStyle w:val="apple-converted-space"/>
          <w:rFonts w:ascii="Arial" w:hAnsi="Arial" w:cs="Arial"/>
          <w:shd w:val="clear" w:color="auto" w:fill="FFFFFF"/>
        </w:rPr>
        <w:t xml:space="preserve"> </w:t>
      </w:r>
      <w:r w:rsidR="00D651FF">
        <w:rPr>
          <w:rStyle w:val="apple-converted-space"/>
          <w:rFonts w:ascii="Arial" w:hAnsi="Arial" w:cs="Arial"/>
          <w:shd w:val="clear" w:color="auto" w:fill="FFFFFF"/>
        </w:rPr>
        <w:t xml:space="preserve">su situación económica al </w:t>
      </w:r>
      <w:r w:rsidR="009F10DE">
        <w:rPr>
          <w:rStyle w:val="apple-converted-space"/>
          <w:rFonts w:ascii="Arial" w:hAnsi="Arial" w:cs="Arial"/>
          <w:shd w:val="clear" w:color="auto" w:fill="FFFFFF"/>
        </w:rPr>
        <w:t>indagarse</w:t>
      </w:r>
      <w:r w:rsidR="00D651FF">
        <w:rPr>
          <w:rStyle w:val="apple-converted-space"/>
          <w:rFonts w:ascii="Arial" w:hAnsi="Arial" w:cs="Arial"/>
          <w:shd w:val="clear" w:color="auto" w:fill="FFFFFF"/>
        </w:rPr>
        <w:t xml:space="preserve"> por su saldo anual promedio, rentabilidad</w:t>
      </w:r>
      <w:r w:rsidR="00F62D54">
        <w:rPr>
          <w:rStyle w:val="apple-converted-space"/>
          <w:rFonts w:ascii="Arial" w:hAnsi="Arial" w:cs="Arial"/>
          <w:shd w:val="clear" w:color="auto" w:fill="FFFFFF"/>
        </w:rPr>
        <w:t xml:space="preserve">, fecha de apertura; como </w:t>
      </w:r>
      <w:r w:rsidR="00D651FF">
        <w:rPr>
          <w:rStyle w:val="apple-converted-space"/>
          <w:rFonts w:ascii="Arial" w:hAnsi="Arial" w:cs="Arial"/>
          <w:shd w:val="clear" w:color="auto" w:fill="FFFFFF"/>
        </w:rPr>
        <w:t>los hábitos de consumo</w:t>
      </w:r>
      <w:r w:rsidR="00F62D54">
        <w:rPr>
          <w:rStyle w:val="apple-converted-space"/>
          <w:rFonts w:ascii="Arial" w:hAnsi="Arial" w:cs="Arial"/>
          <w:shd w:val="clear" w:color="auto" w:fill="FFFFFF"/>
        </w:rPr>
        <w:t xml:space="preserve"> al escudriñar por su portafolio</w:t>
      </w:r>
      <w:r w:rsidR="0093416F">
        <w:rPr>
          <w:rStyle w:val="apple-converted-space"/>
          <w:rFonts w:ascii="Arial" w:hAnsi="Arial" w:cs="Arial"/>
          <w:shd w:val="clear" w:color="auto" w:fill="FFFFFF"/>
        </w:rPr>
        <w:t>;</w:t>
      </w:r>
      <w:r w:rsidR="009F10DE">
        <w:rPr>
          <w:rStyle w:val="apple-converted-space"/>
          <w:rFonts w:ascii="Arial" w:hAnsi="Arial" w:cs="Arial"/>
          <w:shd w:val="clear" w:color="auto" w:fill="FFFFFF"/>
        </w:rPr>
        <w:t xml:space="preserve"> y si bien </w:t>
      </w:r>
      <w:r w:rsidR="0093416F">
        <w:rPr>
          <w:rStyle w:val="apple-converted-space"/>
          <w:rFonts w:ascii="Arial" w:hAnsi="Arial" w:cs="Arial"/>
          <w:shd w:val="clear" w:color="auto" w:fill="FFFFFF"/>
        </w:rPr>
        <w:t xml:space="preserve">esta información podría </w:t>
      </w:r>
      <w:r w:rsidR="009F10DE">
        <w:rPr>
          <w:rStyle w:val="apple-converted-space"/>
          <w:rFonts w:ascii="Arial" w:hAnsi="Arial" w:cs="Arial"/>
          <w:shd w:val="clear" w:color="auto" w:fill="FFFFFF"/>
        </w:rPr>
        <w:t>contribuir a demostrar lo pretendido por el demandado, esta no es la prueba para ello, al estar prohibida por la reserva bancaria</w:t>
      </w:r>
      <w:r w:rsidR="00546136">
        <w:rPr>
          <w:rStyle w:val="apple-converted-space"/>
          <w:rFonts w:ascii="Arial" w:hAnsi="Arial" w:cs="Arial"/>
          <w:shd w:val="clear" w:color="auto" w:fill="FFFFFF"/>
        </w:rPr>
        <w:t xml:space="preserve">; por lo que acertó la jueza al negarla, al ser </w:t>
      </w:r>
      <w:r w:rsidR="003066D8">
        <w:rPr>
          <w:rStyle w:val="apple-converted-space"/>
          <w:rFonts w:ascii="Arial" w:hAnsi="Arial" w:cs="Arial"/>
          <w:shd w:val="clear" w:color="auto" w:fill="FFFFFF"/>
        </w:rPr>
        <w:t>esta de carácter</w:t>
      </w:r>
      <w:r w:rsidR="00546136">
        <w:rPr>
          <w:rStyle w:val="apple-converted-space"/>
          <w:rFonts w:ascii="Arial" w:hAnsi="Arial" w:cs="Arial"/>
          <w:shd w:val="clear" w:color="auto" w:fill="FFFFFF"/>
        </w:rPr>
        <w:t xml:space="preserve"> </w:t>
      </w:r>
      <w:r w:rsidR="00530D3B">
        <w:rPr>
          <w:rStyle w:val="apple-converted-space"/>
          <w:rFonts w:ascii="Arial" w:hAnsi="Arial" w:cs="Arial"/>
          <w:shd w:val="clear" w:color="auto" w:fill="FFFFFF"/>
        </w:rPr>
        <w:t>personalísima del cliente al que le pertenece la cuenta</w:t>
      </w:r>
      <w:r w:rsidR="00EA4E3D">
        <w:rPr>
          <w:rStyle w:val="apple-converted-space"/>
          <w:rFonts w:ascii="Arial" w:hAnsi="Arial" w:cs="Arial"/>
          <w:shd w:val="clear" w:color="auto" w:fill="FFFFFF"/>
        </w:rPr>
        <w:t>, debiendo el ban</w:t>
      </w:r>
      <w:r w:rsidR="00833457">
        <w:rPr>
          <w:rStyle w:val="apple-converted-space"/>
          <w:rFonts w:ascii="Arial" w:hAnsi="Arial" w:cs="Arial"/>
          <w:shd w:val="clear" w:color="auto" w:fill="FFFFFF"/>
        </w:rPr>
        <w:t>c</w:t>
      </w:r>
      <w:r w:rsidR="00EA4E3D">
        <w:rPr>
          <w:rStyle w:val="apple-converted-space"/>
          <w:rFonts w:ascii="Arial" w:hAnsi="Arial" w:cs="Arial"/>
          <w:shd w:val="clear" w:color="auto" w:fill="FFFFFF"/>
        </w:rPr>
        <w:t>o guardar el secreto profesional de</w:t>
      </w:r>
      <w:r w:rsidR="00FA68FE">
        <w:rPr>
          <w:rStyle w:val="apple-converted-space"/>
          <w:rFonts w:ascii="Arial" w:hAnsi="Arial" w:cs="Arial"/>
          <w:shd w:val="clear" w:color="auto" w:fill="FFFFFF"/>
        </w:rPr>
        <w:t>l mismo</w:t>
      </w:r>
      <w:r w:rsidR="00530D3B">
        <w:rPr>
          <w:rStyle w:val="apple-converted-space"/>
          <w:rFonts w:ascii="Arial" w:hAnsi="Arial" w:cs="Arial"/>
          <w:shd w:val="clear" w:color="auto" w:fill="FFFFFF"/>
        </w:rPr>
        <w:t>.</w:t>
      </w:r>
    </w:p>
    <w:p w:rsidR="00530D3B" w:rsidRDefault="00530D3B" w:rsidP="00E019D3">
      <w:pPr>
        <w:pStyle w:val="centrado"/>
        <w:spacing w:line="276" w:lineRule="auto"/>
        <w:contextualSpacing/>
        <w:jc w:val="both"/>
        <w:rPr>
          <w:rStyle w:val="apple-converted-space"/>
          <w:rFonts w:ascii="Arial" w:hAnsi="Arial" w:cs="Arial"/>
          <w:shd w:val="clear" w:color="auto" w:fill="FFFFFF"/>
        </w:rPr>
      </w:pPr>
    </w:p>
    <w:p w:rsidR="0017597D" w:rsidRDefault="00546136" w:rsidP="00C26716">
      <w:pPr>
        <w:pStyle w:val="centrado"/>
        <w:spacing w:line="276" w:lineRule="auto"/>
        <w:contextualSpacing/>
        <w:jc w:val="both"/>
        <w:rPr>
          <w:rFonts w:ascii="Arial" w:hAnsi="Arial" w:cs="Arial"/>
        </w:rPr>
      </w:pPr>
      <w:r>
        <w:rPr>
          <w:rStyle w:val="apple-converted-space"/>
          <w:rFonts w:ascii="Arial" w:hAnsi="Arial" w:cs="Arial"/>
          <w:shd w:val="clear" w:color="auto" w:fill="FFFFFF"/>
        </w:rPr>
        <w:t xml:space="preserve">2.5 </w:t>
      </w:r>
      <w:r w:rsidR="009670C8">
        <w:rPr>
          <w:rStyle w:val="apple-converted-space"/>
          <w:rFonts w:ascii="Arial" w:hAnsi="Arial" w:cs="Arial"/>
          <w:shd w:val="clear" w:color="auto" w:fill="FFFFFF"/>
        </w:rPr>
        <w:t>Ahora</w:t>
      </w:r>
      <w:r w:rsidR="000B2831">
        <w:rPr>
          <w:rStyle w:val="apple-converted-space"/>
          <w:rFonts w:ascii="Arial" w:hAnsi="Arial" w:cs="Arial"/>
          <w:shd w:val="clear" w:color="auto" w:fill="FFFFFF"/>
        </w:rPr>
        <w:t xml:space="preserve">, en lo </w:t>
      </w:r>
      <w:r w:rsidR="009670C8">
        <w:rPr>
          <w:rStyle w:val="apple-converted-space"/>
          <w:rFonts w:ascii="Arial" w:hAnsi="Arial" w:cs="Arial"/>
          <w:shd w:val="clear" w:color="auto" w:fill="FFFFFF"/>
        </w:rPr>
        <w:t>que respecta a</w:t>
      </w:r>
      <w:r w:rsidR="000B2831">
        <w:rPr>
          <w:rStyle w:val="apple-converted-space"/>
          <w:rFonts w:ascii="Arial" w:hAnsi="Arial" w:cs="Arial"/>
          <w:shd w:val="clear" w:color="auto" w:fill="FFFFFF"/>
        </w:rPr>
        <w:t xml:space="preserve"> la negativa de oficiar a la oficina de</w:t>
      </w:r>
      <w:r w:rsidR="00E54FC9">
        <w:rPr>
          <w:rStyle w:val="apple-converted-space"/>
          <w:rFonts w:ascii="Arial" w:hAnsi="Arial" w:cs="Arial"/>
          <w:shd w:val="clear" w:color="auto" w:fill="FFFFFF"/>
        </w:rPr>
        <w:t xml:space="preserve"> Tránsito y Transporte </w:t>
      </w:r>
      <w:r w:rsidR="00D567F4">
        <w:rPr>
          <w:rStyle w:val="apple-converted-space"/>
          <w:rFonts w:ascii="Arial" w:hAnsi="Arial" w:cs="Arial"/>
          <w:shd w:val="clear" w:color="auto" w:fill="FFFFFF"/>
        </w:rPr>
        <w:t>de Per</w:t>
      </w:r>
      <w:r w:rsidR="00B95715">
        <w:rPr>
          <w:rStyle w:val="apple-converted-space"/>
          <w:rFonts w:ascii="Arial" w:hAnsi="Arial" w:cs="Arial"/>
          <w:shd w:val="clear" w:color="auto" w:fill="FFFFFF"/>
        </w:rPr>
        <w:t>eira y Dosquebradas, es de hacer claridad que la prueba solicita por el apoderado de la parte demandada solo</w:t>
      </w:r>
      <w:r w:rsidR="000B2831">
        <w:rPr>
          <w:rStyle w:val="apple-converted-space"/>
          <w:rFonts w:ascii="Arial" w:hAnsi="Arial" w:cs="Arial"/>
          <w:shd w:val="clear" w:color="auto" w:fill="FFFFFF"/>
        </w:rPr>
        <w:t xml:space="preserve"> </w:t>
      </w:r>
      <w:r w:rsidR="00B95715">
        <w:rPr>
          <w:rStyle w:val="apple-converted-space"/>
          <w:rFonts w:ascii="Arial" w:hAnsi="Arial" w:cs="Arial"/>
          <w:shd w:val="clear" w:color="auto" w:fill="FFFFFF"/>
        </w:rPr>
        <w:t>individualiz</w:t>
      </w:r>
      <w:r w:rsidR="000B2831">
        <w:rPr>
          <w:rStyle w:val="apple-converted-space"/>
          <w:rFonts w:ascii="Arial" w:hAnsi="Arial" w:cs="Arial"/>
          <w:shd w:val="clear" w:color="auto" w:fill="FFFFFF"/>
        </w:rPr>
        <w:t xml:space="preserve">ó la entidad </w:t>
      </w:r>
      <w:r w:rsidR="00B80417">
        <w:rPr>
          <w:rStyle w:val="apple-converted-space"/>
          <w:rFonts w:ascii="Arial" w:hAnsi="Arial" w:cs="Arial"/>
          <w:shd w:val="clear" w:color="auto" w:fill="FFFFFF"/>
        </w:rPr>
        <w:t>a quien se quiere se oficie</w:t>
      </w:r>
      <w:r w:rsidR="000B2831">
        <w:rPr>
          <w:rStyle w:val="apple-converted-space"/>
          <w:rFonts w:ascii="Arial" w:hAnsi="Arial" w:cs="Arial"/>
          <w:shd w:val="clear" w:color="auto" w:fill="FFFFFF"/>
        </w:rPr>
        <w:t xml:space="preserve">, </w:t>
      </w:r>
      <w:r w:rsidR="00B95715">
        <w:rPr>
          <w:rStyle w:val="apple-converted-space"/>
          <w:rFonts w:ascii="Arial" w:hAnsi="Arial" w:cs="Arial"/>
          <w:shd w:val="clear" w:color="auto" w:fill="FFFFFF"/>
        </w:rPr>
        <w:t>pero</w:t>
      </w:r>
      <w:r w:rsidR="000B2831">
        <w:rPr>
          <w:rStyle w:val="apple-converted-space"/>
          <w:rFonts w:ascii="Arial" w:hAnsi="Arial" w:cs="Arial"/>
          <w:shd w:val="clear" w:color="auto" w:fill="FFFFFF"/>
        </w:rPr>
        <w:t xml:space="preserve"> omitió </w:t>
      </w:r>
      <w:r w:rsidR="00B95715">
        <w:rPr>
          <w:rStyle w:val="apple-converted-space"/>
          <w:rFonts w:ascii="Arial" w:hAnsi="Arial" w:cs="Arial"/>
          <w:shd w:val="clear" w:color="auto" w:fill="FFFFFF"/>
        </w:rPr>
        <w:t>concret</w:t>
      </w:r>
      <w:r w:rsidR="000B2831">
        <w:rPr>
          <w:rStyle w:val="apple-converted-space"/>
          <w:rFonts w:ascii="Arial" w:hAnsi="Arial" w:cs="Arial"/>
          <w:shd w:val="clear" w:color="auto" w:fill="FFFFFF"/>
        </w:rPr>
        <w:t>ar l</w:t>
      </w:r>
      <w:r w:rsidR="00073C28">
        <w:rPr>
          <w:rStyle w:val="apple-converted-space"/>
          <w:rFonts w:ascii="Arial" w:hAnsi="Arial" w:cs="Arial"/>
          <w:shd w:val="clear" w:color="auto" w:fill="FFFFFF"/>
        </w:rPr>
        <w:t xml:space="preserve">o que se </w:t>
      </w:r>
      <w:r w:rsidR="00EA0F60">
        <w:rPr>
          <w:rStyle w:val="apple-converted-space"/>
          <w:rFonts w:ascii="Arial" w:hAnsi="Arial" w:cs="Arial"/>
          <w:shd w:val="clear" w:color="auto" w:fill="FFFFFF"/>
        </w:rPr>
        <w:t>pretende</w:t>
      </w:r>
      <w:r w:rsidR="00073C28">
        <w:rPr>
          <w:rStyle w:val="apple-converted-space"/>
          <w:rFonts w:ascii="Arial" w:hAnsi="Arial" w:cs="Arial"/>
          <w:shd w:val="clear" w:color="auto" w:fill="FFFFFF"/>
        </w:rPr>
        <w:t xml:space="preserve"> de </w:t>
      </w:r>
      <w:r w:rsidR="00FA68FE">
        <w:rPr>
          <w:rStyle w:val="apple-converted-space"/>
          <w:rFonts w:ascii="Arial" w:hAnsi="Arial" w:cs="Arial"/>
          <w:shd w:val="clear" w:color="auto" w:fill="FFFFFF"/>
        </w:rPr>
        <w:t>el</w:t>
      </w:r>
      <w:r w:rsidR="00073C28">
        <w:rPr>
          <w:rStyle w:val="apple-converted-space"/>
          <w:rFonts w:ascii="Arial" w:hAnsi="Arial" w:cs="Arial"/>
          <w:shd w:val="clear" w:color="auto" w:fill="FFFFFF"/>
        </w:rPr>
        <w:t xml:space="preserve">la, pues de esta no solo </w:t>
      </w:r>
      <w:r w:rsidR="00EA0F60">
        <w:rPr>
          <w:rStyle w:val="apple-converted-space"/>
          <w:rFonts w:ascii="Arial" w:hAnsi="Arial" w:cs="Arial"/>
          <w:shd w:val="clear" w:color="auto" w:fill="FFFFFF"/>
        </w:rPr>
        <w:t xml:space="preserve">se </w:t>
      </w:r>
      <w:r w:rsidR="00073C28">
        <w:rPr>
          <w:rStyle w:val="apple-converted-space"/>
          <w:rFonts w:ascii="Arial" w:hAnsi="Arial" w:cs="Arial"/>
          <w:shd w:val="clear" w:color="auto" w:fill="FFFFFF"/>
        </w:rPr>
        <w:t xml:space="preserve">puede </w:t>
      </w:r>
      <w:r w:rsidR="00B80417">
        <w:rPr>
          <w:rStyle w:val="apple-converted-space"/>
          <w:rFonts w:ascii="Arial" w:hAnsi="Arial" w:cs="Arial"/>
          <w:shd w:val="clear" w:color="auto" w:fill="FFFFFF"/>
        </w:rPr>
        <w:t xml:space="preserve">obtener </w:t>
      </w:r>
      <w:r w:rsidR="00073C28">
        <w:rPr>
          <w:rStyle w:val="apple-converted-space"/>
          <w:rFonts w:ascii="Arial" w:hAnsi="Arial" w:cs="Arial"/>
          <w:shd w:val="clear" w:color="auto" w:fill="FFFFFF"/>
        </w:rPr>
        <w:t>la expedición de un documento</w:t>
      </w:r>
      <w:r w:rsidR="00B80417">
        <w:rPr>
          <w:rStyle w:val="apple-converted-space"/>
          <w:rFonts w:ascii="Arial" w:hAnsi="Arial" w:cs="Arial"/>
          <w:shd w:val="clear" w:color="auto" w:fill="FFFFFF"/>
        </w:rPr>
        <w:t>,</w:t>
      </w:r>
      <w:r w:rsidR="00073C28">
        <w:rPr>
          <w:rStyle w:val="apple-converted-space"/>
          <w:rFonts w:ascii="Arial" w:hAnsi="Arial" w:cs="Arial"/>
          <w:shd w:val="clear" w:color="auto" w:fill="FFFFFF"/>
        </w:rPr>
        <w:t xml:space="preserve"> sino</w:t>
      </w:r>
      <w:r w:rsidR="00EA0F60">
        <w:rPr>
          <w:rStyle w:val="apple-converted-space"/>
          <w:rFonts w:ascii="Arial" w:hAnsi="Arial" w:cs="Arial"/>
          <w:shd w:val="clear" w:color="auto" w:fill="FFFFFF"/>
        </w:rPr>
        <w:t xml:space="preserve"> </w:t>
      </w:r>
      <w:r w:rsidR="00073C28">
        <w:rPr>
          <w:rStyle w:val="apple-converted-space"/>
          <w:rFonts w:ascii="Arial" w:hAnsi="Arial" w:cs="Arial"/>
          <w:shd w:val="clear" w:color="auto" w:fill="FFFFFF"/>
        </w:rPr>
        <w:t>informes en los términos del artículo 275 del CGP</w:t>
      </w:r>
      <w:r w:rsidR="00EA0F60">
        <w:rPr>
          <w:rStyle w:val="apple-converted-space"/>
          <w:rFonts w:ascii="Arial" w:hAnsi="Arial" w:cs="Arial"/>
          <w:shd w:val="clear" w:color="auto" w:fill="FFFFFF"/>
        </w:rPr>
        <w:t>;</w:t>
      </w:r>
      <w:r w:rsidR="00E16CD4">
        <w:rPr>
          <w:rStyle w:val="apple-converted-space"/>
          <w:rFonts w:ascii="Arial" w:hAnsi="Arial" w:cs="Arial"/>
          <w:shd w:val="clear" w:color="auto" w:fill="FFFFFF"/>
        </w:rPr>
        <w:t xml:space="preserve"> </w:t>
      </w:r>
      <w:r w:rsidR="00B80417">
        <w:rPr>
          <w:rStyle w:val="apple-converted-space"/>
          <w:rFonts w:ascii="Arial" w:hAnsi="Arial" w:cs="Arial"/>
          <w:shd w:val="clear" w:color="auto" w:fill="FFFFFF"/>
        </w:rPr>
        <w:t>exigencia</w:t>
      </w:r>
      <w:r w:rsidR="00EA0F60">
        <w:rPr>
          <w:rStyle w:val="apple-converted-space"/>
          <w:rFonts w:ascii="Arial" w:hAnsi="Arial" w:cs="Arial"/>
          <w:shd w:val="clear" w:color="auto" w:fill="FFFFFF"/>
        </w:rPr>
        <w:t xml:space="preserve"> que echa de menos la a quo,</w:t>
      </w:r>
      <w:r w:rsidR="00B80417">
        <w:rPr>
          <w:rStyle w:val="apple-converted-space"/>
          <w:rFonts w:ascii="Arial" w:hAnsi="Arial" w:cs="Arial"/>
          <w:shd w:val="clear" w:color="auto" w:fill="FFFFFF"/>
        </w:rPr>
        <w:t xml:space="preserve"> </w:t>
      </w:r>
      <w:r w:rsidR="00E16CD4">
        <w:rPr>
          <w:rStyle w:val="apple-converted-space"/>
          <w:rFonts w:ascii="Arial" w:hAnsi="Arial" w:cs="Arial"/>
          <w:shd w:val="clear" w:color="auto" w:fill="FFFFFF"/>
        </w:rPr>
        <w:t>apenas obvi</w:t>
      </w:r>
      <w:r w:rsidR="00B80417">
        <w:rPr>
          <w:rStyle w:val="apple-converted-space"/>
          <w:rFonts w:ascii="Arial" w:hAnsi="Arial" w:cs="Arial"/>
          <w:shd w:val="clear" w:color="auto" w:fill="FFFFFF"/>
        </w:rPr>
        <w:t>a</w:t>
      </w:r>
      <w:r w:rsidR="00215E1F">
        <w:rPr>
          <w:rStyle w:val="apple-converted-space"/>
          <w:rFonts w:ascii="Arial" w:hAnsi="Arial" w:cs="Arial"/>
          <w:shd w:val="clear" w:color="auto" w:fill="FFFFFF"/>
        </w:rPr>
        <w:t>, sin que pueda</w:t>
      </w:r>
      <w:r w:rsidR="00EA0F60">
        <w:rPr>
          <w:rStyle w:val="apple-converted-space"/>
          <w:rFonts w:ascii="Arial" w:hAnsi="Arial" w:cs="Arial"/>
          <w:shd w:val="clear" w:color="auto" w:fill="FFFFFF"/>
        </w:rPr>
        <w:t xml:space="preserve"> </w:t>
      </w:r>
      <w:r w:rsidR="00215E1F">
        <w:rPr>
          <w:rStyle w:val="apple-converted-space"/>
          <w:rFonts w:ascii="Arial" w:hAnsi="Arial" w:cs="Arial"/>
          <w:shd w:val="clear" w:color="auto" w:fill="FFFFFF"/>
        </w:rPr>
        <w:t>suplantar el querer de la parte, ni suponerla</w:t>
      </w:r>
      <w:r w:rsidR="00EA0F60">
        <w:rPr>
          <w:rStyle w:val="apple-converted-space"/>
          <w:rFonts w:ascii="Arial" w:hAnsi="Arial" w:cs="Arial"/>
          <w:shd w:val="clear" w:color="auto" w:fill="FFFFFF"/>
        </w:rPr>
        <w:t xml:space="preserve"> para completar la petición probatoria</w:t>
      </w:r>
      <w:r w:rsidR="00215E1F">
        <w:rPr>
          <w:rStyle w:val="apple-converted-space"/>
          <w:rFonts w:ascii="Arial" w:hAnsi="Arial" w:cs="Arial"/>
          <w:shd w:val="clear" w:color="auto" w:fill="FFFFFF"/>
        </w:rPr>
        <w:t xml:space="preserve">. </w:t>
      </w:r>
    </w:p>
    <w:p w:rsidR="0017597D" w:rsidRDefault="0017597D" w:rsidP="003C384B">
      <w:pPr>
        <w:pStyle w:val="centrado"/>
        <w:spacing w:line="276" w:lineRule="auto"/>
        <w:contextualSpacing/>
        <w:jc w:val="both"/>
        <w:rPr>
          <w:rStyle w:val="apple-converted-space"/>
          <w:rFonts w:ascii="Arial" w:hAnsi="Arial" w:cs="Arial"/>
          <w:shd w:val="clear" w:color="auto" w:fill="FFFFFF"/>
        </w:rPr>
      </w:pPr>
    </w:p>
    <w:p w:rsidR="0093416F" w:rsidRDefault="00AC350D" w:rsidP="00AC350D">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Entonces, </w:t>
      </w:r>
      <w:r w:rsidR="00B95715">
        <w:rPr>
          <w:rStyle w:val="apple-converted-space"/>
          <w:rFonts w:ascii="Arial" w:hAnsi="Arial" w:cs="Arial"/>
          <w:shd w:val="clear" w:color="auto" w:fill="FFFFFF"/>
        </w:rPr>
        <w:t xml:space="preserve">se </w:t>
      </w:r>
      <w:r w:rsidR="003C384B">
        <w:rPr>
          <w:rStyle w:val="apple-converted-space"/>
          <w:rFonts w:ascii="Arial" w:hAnsi="Arial" w:cs="Arial"/>
          <w:shd w:val="clear" w:color="auto" w:fill="FFFFFF"/>
        </w:rPr>
        <w:t>evidencia dentro de</w:t>
      </w:r>
      <w:r>
        <w:rPr>
          <w:rStyle w:val="apple-converted-space"/>
          <w:rFonts w:ascii="Arial" w:hAnsi="Arial" w:cs="Arial"/>
          <w:shd w:val="clear" w:color="auto" w:fill="FFFFFF"/>
        </w:rPr>
        <w:t xml:space="preserve"> este asunto que con apego a la ley la jueza debía  negar la prueba en comento por la imprecisión de la misma</w:t>
      </w:r>
      <w:r w:rsidR="0093416F">
        <w:rPr>
          <w:rStyle w:val="apple-converted-space"/>
          <w:rFonts w:ascii="Arial" w:hAnsi="Arial" w:cs="Arial"/>
          <w:shd w:val="clear" w:color="auto" w:fill="FFFFFF"/>
        </w:rPr>
        <w:t>.</w:t>
      </w:r>
    </w:p>
    <w:p w:rsidR="0093416F" w:rsidRDefault="0093416F" w:rsidP="00AC350D">
      <w:pPr>
        <w:pStyle w:val="centrado"/>
        <w:spacing w:line="276" w:lineRule="auto"/>
        <w:contextualSpacing/>
        <w:jc w:val="both"/>
        <w:rPr>
          <w:rStyle w:val="apple-converted-space"/>
          <w:rFonts w:ascii="Arial" w:hAnsi="Arial" w:cs="Arial"/>
          <w:shd w:val="clear" w:color="auto" w:fill="FFFFFF"/>
        </w:rPr>
      </w:pPr>
    </w:p>
    <w:p w:rsidR="00514964" w:rsidRDefault="0093416F" w:rsidP="00AC350D">
      <w:pPr>
        <w:pStyle w:val="centrado"/>
        <w:spacing w:line="276" w:lineRule="auto"/>
        <w:contextualSpacing/>
        <w:jc w:val="both"/>
        <w:rPr>
          <w:rFonts w:ascii="Arial" w:hAnsi="Arial" w:cs="Arial"/>
        </w:rPr>
      </w:pPr>
      <w:r>
        <w:rPr>
          <w:rStyle w:val="apple-converted-space"/>
          <w:rFonts w:ascii="Arial" w:hAnsi="Arial" w:cs="Arial"/>
          <w:shd w:val="clear" w:color="auto" w:fill="FFFFFF"/>
        </w:rPr>
        <w:t xml:space="preserve">Adicionalmente, debe recordarse que conforme al artículo 173 del CGP este tipo de prueba está condicionada a que el solicitante hubiere adelantado una actividad previa </w:t>
      </w:r>
      <w:r w:rsidR="005A7E24">
        <w:rPr>
          <w:rStyle w:val="apple-converted-space"/>
          <w:rFonts w:ascii="Arial" w:hAnsi="Arial" w:cs="Arial"/>
          <w:shd w:val="clear" w:color="auto" w:fill="FFFFFF"/>
        </w:rPr>
        <w:t xml:space="preserve">pero </w:t>
      </w:r>
      <w:r>
        <w:rPr>
          <w:rStyle w:val="apple-converted-space"/>
          <w:rFonts w:ascii="Arial" w:hAnsi="Arial" w:cs="Arial"/>
          <w:shd w:val="clear" w:color="auto" w:fill="FFFFFF"/>
        </w:rPr>
        <w:t>sin éxito</w:t>
      </w:r>
      <w:r w:rsidR="00FA68FE">
        <w:rPr>
          <w:rStyle w:val="apple-converted-space"/>
          <w:rFonts w:ascii="Arial" w:hAnsi="Arial" w:cs="Arial"/>
          <w:shd w:val="clear" w:color="auto" w:fill="FFFFFF"/>
        </w:rPr>
        <w:t xml:space="preserve"> para obtenerla</w:t>
      </w:r>
      <w:r w:rsidR="00F5299B">
        <w:rPr>
          <w:rStyle w:val="apple-converted-space"/>
          <w:rFonts w:ascii="Arial" w:hAnsi="Arial" w:cs="Arial"/>
          <w:shd w:val="clear" w:color="auto" w:fill="FFFFFF"/>
        </w:rPr>
        <w:t xml:space="preserve"> por si mismo</w:t>
      </w:r>
      <w:r>
        <w:rPr>
          <w:rStyle w:val="apple-converted-space"/>
          <w:rFonts w:ascii="Arial" w:hAnsi="Arial" w:cs="Arial"/>
          <w:shd w:val="clear" w:color="auto" w:fill="FFFFFF"/>
        </w:rPr>
        <w:t xml:space="preserve">, lo que deberá probar sumariamente. Condición que en este caso no se cumplió, razón más para tener por bien denegada la prueba de la que se viene hablando.  </w:t>
      </w:r>
    </w:p>
    <w:p w:rsidR="00D467A2" w:rsidRPr="00D34F55" w:rsidRDefault="00054609" w:rsidP="00437A72">
      <w:pPr>
        <w:spacing w:line="276" w:lineRule="auto"/>
        <w:contextualSpacing/>
        <w:jc w:val="center"/>
        <w:rPr>
          <w:rFonts w:ascii="Arial" w:hAnsi="Arial" w:cs="Arial"/>
          <w:b/>
          <w:szCs w:val="24"/>
        </w:rPr>
      </w:pPr>
      <w:r>
        <w:rPr>
          <w:rFonts w:ascii="Arial" w:hAnsi="Arial" w:cs="Arial"/>
          <w:b/>
          <w:szCs w:val="24"/>
        </w:rPr>
        <w:t>CONCLUSIÓN</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szCs w:val="24"/>
          <w:lang w:val="es-ES"/>
        </w:rPr>
        <w:t xml:space="preserve">  </w:t>
      </w:r>
      <w:r w:rsidRPr="00D34F55">
        <w:rPr>
          <w:rFonts w:ascii="Arial" w:hAnsi="Arial" w:cs="Arial"/>
          <w:szCs w:val="24"/>
          <w:lang w:val="es-ES"/>
        </w:rPr>
        <w:t xml:space="preserve">  </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lastRenderedPageBreak/>
        <w:t>En armonía, con lo expuesto en precedencia, se confirmará el auto recurrido y se condenará en</w:t>
      </w:r>
      <w:r w:rsidR="00020297">
        <w:rPr>
          <w:rFonts w:ascii="Arial" w:hAnsi="Arial" w:cs="Arial"/>
          <w:szCs w:val="24"/>
        </w:rPr>
        <w:t xml:space="preserve"> costas en</w:t>
      </w:r>
      <w:r w:rsidRPr="00D34F55">
        <w:rPr>
          <w:rFonts w:ascii="Arial" w:hAnsi="Arial" w:cs="Arial"/>
          <w:szCs w:val="24"/>
        </w:rPr>
        <w:t xml:space="preserve"> esta instancia a la parte r</w:t>
      </w:r>
      <w:r w:rsidR="00020297">
        <w:rPr>
          <w:rFonts w:ascii="Arial" w:hAnsi="Arial" w:cs="Arial"/>
          <w:szCs w:val="24"/>
        </w:rPr>
        <w:t>ecurrente en favor de la parte demanda</w:t>
      </w:r>
      <w:r w:rsidR="00327411">
        <w:rPr>
          <w:rFonts w:ascii="Arial" w:hAnsi="Arial" w:cs="Arial"/>
          <w:szCs w:val="24"/>
        </w:rPr>
        <w:t>nte</w:t>
      </w:r>
      <w:r w:rsidR="00020297">
        <w:rPr>
          <w:rFonts w:ascii="Arial" w:hAnsi="Arial" w:cs="Arial"/>
          <w:szCs w:val="24"/>
        </w:rPr>
        <w:t xml:space="preserve"> </w:t>
      </w:r>
      <w:r w:rsidRPr="00D34F55">
        <w:rPr>
          <w:rFonts w:ascii="Arial" w:hAnsi="Arial" w:cs="Arial"/>
          <w:szCs w:val="24"/>
        </w:rPr>
        <w:t>al fracasar la alzada (art. 365 numerales 1 y 3 CGP).</w:t>
      </w:r>
    </w:p>
    <w:p w:rsidR="00D467A2" w:rsidRPr="00D34F55" w:rsidRDefault="00D467A2" w:rsidP="00437A72">
      <w:pPr>
        <w:pStyle w:val="Standard"/>
        <w:spacing w:line="276" w:lineRule="auto"/>
        <w:contextualSpacing/>
        <w:jc w:val="center"/>
        <w:rPr>
          <w:rFonts w:ascii="Arial" w:hAnsi="Arial" w:cs="Arial"/>
          <w:b/>
        </w:rPr>
      </w:pPr>
      <w:r w:rsidRPr="00D34F55">
        <w:rPr>
          <w:rFonts w:ascii="Arial" w:hAnsi="Arial" w:cs="Arial"/>
          <w:b/>
        </w:rPr>
        <w:t>DECISIÓN</w:t>
      </w:r>
    </w:p>
    <w:p w:rsidR="00D467A2" w:rsidRPr="00D34F55" w:rsidRDefault="00D467A2" w:rsidP="00437A72">
      <w:pPr>
        <w:pStyle w:val="Standard"/>
        <w:spacing w:line="276" w:lineRule="auto"/>
        <w:contextualSpacing/>
        <w:jc w:val="center"/>
        <w:rPr>
          <w:rFonts w:ascii="Arial" w:hAnsi="Arial" w:cs="Arial"/>
          <w:b/>
        </w:rPr>
      </w:pPr>
    </w:p>
    <w:p w:rsidR="00D467A2" w:rsidRPr="00D34F55" w:rsidRDefault="00D467A2" w:rsidP="00437A72">
      <w:pPr>
        <w:pStyle w:val="Standard"/>
        <w:spacing w:line="276" w:lineRule="auto"/>
        <w:contextualSpacing/>
        <w:jc w:val="both"/>
        <w:rPr>
          <w:rFonts w:ascii="Arial" w:hAnsi="Arial" w:cs="Arial"/>
        </w:rPr>
      </w:pPr>
      <w:r w:rsidRPr="00D34F55">
        <w:rPr>
          <w:rFonts w:ascii="Arial" w:hAnsi="Arial" w:cs="Arial"/>
        </w:rPr>
        <w:t xml:space="preserve">En mérito de lo expuesto, </w:t>
      </w:r>
      <w:r w:rsidRPr="00D34F55">
        <w:rPr>
          <w:rFonts w:ascii="Arial" w:hAnsi="Arial" w:cs="Arial"/>
          <w:b/>
        </w:rPr>
        <w:t xml:space="preserve">la Sala </w:t>
      </w:r>
      <w:r w:rsidR="00D74427">
        <w:rPr>
          <w:rFonts w:ascii="Arial" w:hAnsi="Arial" w:cs="Arial"/>
          <w:b/>
        </w:rPr>
        <w:t>Segunda</w:t>
      </w:r>
      <w:r w:rsidRPr="00D34F55">
        <w:rPr>
          <w:rFonts w:ascii="Arial" w:hAnsi="Arial" w:cs="Arial"/>
          <w:b/>
        </w:rPr>
        <w:t xml:space="preserve"> de Decisión Laboral del Tribunal Superior de Distrito Judicial de Pereira - Risaralda</w:t>
      </w:r>
      <w:r w:rsidRPr="00D34F55">
        <w:rPr>
          <w:rFonts w:ascii="Arial" w:hAnsi="Arial" w:cs="Arial"/>
        </w:rPr>
        <w:t xml:space="preserve">, </w:t>
      </w:r>
    </w:p>
    <w:p w:rsidR="00D467A2" w:rsidRPr="00D34F55" w:rsidRDefault="00D467A2" w:rsidP="00437A72">
      <w:pPr>
        <w:pStyle w:val="Standard"/>
        <w:spacing w:line="276" w:lineRule="auto"/>
        <w:ind w:firstLine="708"/>
        <w:contextualSpacing/>
        <w:jc w:val="both"/>
        <w:rPr>
          <w:rFonts w:ascii="Arial" w:hAnsi="Arial" w:cs="Arial"/>
        </w:rPr>
      </w:pPr>
    </w:p>
    <w:p w:rsidR="00D467A2" w:rsidRPr="00D34F55" w:rsidRDefault="00D467A2" w:rsidP="00437A72">
      <w:pPr>
        <w:pStyle w:val="Standard"/>
        <w:spacing w:line="276" w:lineRule="auto"/>
        <w:ind w:firstLine="708"/>
        <w:contextualSpacing/>
        <w:jc w:val="center"/>
        <w:rPr>
          <w:rFonts w:ascii="Arial" w:hAnsi="Arial" w:cs="Arial"/>
          <w:b/>
        </w:rPr>
      </w:pPr>
      <w:r w:rsidRPr="00D34F55">
        <w:rPr>
          <w:rFonts w:ascii="Arial" w:hAnsi="Arial" w:cs="Arial"/>
          <w:b/>
        </w:rPr>
        <w:t>RESUELVE</w:t>
      </w:r>
    </w:p>
    <w:p w:rsidR="00D467A2" w:rsidRPr="00D34F55" w:rsidRDefault="00D467A2" w:rsidP="00437A72">
      <w:pPr>
        <w:spacing w:line="276" w:lineRule="auto"/>
        <w:contextualSpacing/>
        <w:jc w:val="both"/>
        <w:rPr>
          <w:rFonts w:ascii="Arial" w:hAnsi="Arial" w:cs="Arial"/>
          <w:b/>
          <w:szCs w:val="24"/>
        </w:rPr>
      </w:pPr>
    </w:p>
    <w:p w:rsidR="00D467A2" w:rsidRDefault="00D467A2" w:rsidP="00437A72">
      <w:pPr>
        <w:spacing w:line="276" w:lineRule="auto"/>
        <w:contextualSpacing/>
        <w:jc w:val="both"/>
        <w:rPr>
          <w:rFonts w:ascii="Arial" w:hAnsi="Arial" w:cs="Arial"/>
        </w:rPr>
      </w:pPr>
      <w:r w:rsidRPr="00D34F55">
        <w:rPr>
          <w:rFonts w:ascii="Arial" w:hAnsi="Arial" w:cs="Arial"/>
          <w:b/>
          <w:szCs w:val="24"/>
        </w:rPr>
        <w:t xml:space="preserve">PRIMERO. CONFIRMAR </w:t>
      </w:r>
      <w:r w:rsidRPr="00D34F55">
        <w:rPr>
          <w:rFonts w:ascii="Arial" w:hAnsi="Arial" w:cs="Arial"/>
          <w:szCs w:val="24"/>
        </w:rPr>
        <w:t xml:space="preserve">el auto proferido por </w:t>
      </w:r>
      <w:r w:rsidR="00FA68FE">
        <w:rPr>
          <w:rFonts w:ascii="Arial" w:hAnsi="Arial" w:cs="Arial"/>
          <w:szCs w:val="24"/>
        </w:rPr>
        <w:t xml:space="preserve">el </w:t>
      </w:r>
      <w:r w:rsidR="003D432C" w:rsidRPr="00D34F55">
        <w:rPr>
          <w:rFonts w:ascii="Arial" w:hAnsi="Arial" w:cs="Arial"/>
          <w:szCs w:val="24"/>
        </w:rPr>
        <w:t xml:space="preserve">Juzgado </w:t>
      </w:r>
      <w:r w:rsidR="000D536A">
        <w:rPr>
          <w:rFonts w:ascii="Arial" w:hAnsi="Arial" w:cs="Arial"/>
          <w:szCs w:val="24"/>
        </w:rPr>
        <w:t>Quinto</w:t>
      </w:r>
      <w:r w:rsidR="001B179D">
        <w:rPr>
          <w:rFonts w:ascii="Arial" w:hAnsi="Arial" w:cs="Arial"/>
          <w:szCs w:val="24"/>
        </w:rPr>
        <w:t xml:space="preserve"> </w:t>
      </w:r>
      <w:r w:rsidR="003D432C" w:rsidRPr="00D34F55">
        <w:rPr>
          <w:rFonts w:ascii="Arial" w:hAnsi="Arial" w:cs="Arial"/>
          <w:szCs w:val="24"/>
        </w:rPr>
        <w:t xml:space="preserve">Laboral del Circuito de Pereira el </w:t>
      </w:r>
      <w:r w:rsidR="00D74427">
        <w:rPr>
          <w:rFonts w:ascii="Arial" w:hAnsi="Arial" w:cs="Arial"/>
          <w:szCs w:val="24"/>
        </w:rPr>
        <w:t>05</w:t>
      </w:r>
      <w:r w:rsidR="002B5491">
        <w:rPr>
          <w:rFonts w:ascii="Arial" w:hAnsi="Arial" w:cs="Arial"/>
          <w:szCs w:val="24"/>
        </w:rPr>
        <w:t>-</w:t>
      </w:r>
      <w:r w:rsidR="00D74427">
        <w:rPr>
          <w:rFonts w:ascii="Arial" w:hAnsi="Arial" w:cs="Arial"/>
          <w:szCs w:val="24"/>
        </w:rPr>
        <w:t>03</w:t>
      </w:r>
      <w:r w:rsidR="003D432C" w:rsidRPr="00D34F55">
        <w:rPr>
          <w:rFonts w:ascii="Arial" w:hAnsi="Arial" w:cs="Arial"/>
          <w:szCs w:val="24"/>
        </w:rPr>
        <w:t>-201</w:t>
      </w:r>
      <w:r w:rsidR="00D74427">
        <w:rPr>
          <w:rFonts w:ascii="Arial" w:hAnsi="Arial" w:cs="Arial"/>
          <w:szCs w:val="24"/>
        </w:rPr>
        <w:t>8</w:t>
      </w:r>
      <w:r w:rsidR="003D432C">
        <w:rPr>
          <w:rFonts w:ascii="Arial" w:hAnsi="Arial" w:cs="Arial"/>
          <w:szCs w:val="24"/>
        </w:rPr>
        <w:t>,</w:t>
      </w:r>
      <w:r w:rsidR="003D432C" w:rsidRPr="003D432C">
        <w:rPr>
          <w:rFonts w:ascii="Arial" w:hAnsi="Arial" w:cs="Arial"/>
          <w:szCs w:val="24"/>
        </w:rPr>
        <w:t xml:space="preserve"> </w:t>
      </w:r>
      <w:r w:rsidR="003D432C" w:rsidRPr="00D34F55">
        <w:rPr>
          <w:rFonts w:ascii="Arial" w:hAnsi="Arial" w:cs="Arial"/>
          <w:szCs w:val="24"/>
        </w:rPr>
        <w:t>dentro del proceso iniciado por</w:t>
      </w:r>
      <w:r w:rsidR="003D432C">
        <w:rPr>
          <w:rFonts w:ascii="Arial" w:hAnsi="Arial" w:cs="Arial"/>
          <w:szCs w:val="24"/>
        </w:rPr>
        <w:t xml:space="preserve"> </w:t>
      </w:r>
      <w:r w:rsidR="00D74427">
        <w:rPr>
          <w:rFonts w:ascii="Arial" w:hAnsi="Arial" w:cs="Arial"/>
          <w:szCs w:val="24"/>
        </w:rPr>
        <w:t xml:space="preserve">los señores Luz Adriana Mendoza y Luis Albeiro Ortiz </w:t>
      </w:r>
      <w:r w:rsidR="009E4E27">
        <w:rPr>
          <w:rFonts w:ascii="Arial" w:hAnsi="Arial" w:cs="Arial"/>
          <w:szCs w:val="24"/>
        </w:rPr>
        <w:t xml:space="preserve"> </w:t>
      </w:r>
      <w:r w:rsidR="003D432C" w:rsidRPr="00D34F55">
        <w:rPr>
          <w:rFonts w:ascii="Arial" w:hAnsi="Arial" w:cs="Arial"/>
          <w:szCs w:val="24"/>
        </w:rPr>
        <w:t xml:space="preserve">en contra de </w:t>
      </w:r>
      <w:r w:rsidR="000D536A">
        <w:rPr>
          <w:rFonts w:ascii="Arial" w:hAnsi="Arial" w:cs="Arial"/>
          <w:szCs w:val="24"/>
        </w:rPr>
        <w:t>Porvenir S.A.</w:t>
      </w:r>
      <w:r w:rsidR="00327411">
        <w:rPr>
          <w:rFonts w:ascii="Arial" w:hAnsi="Arial" w:cs="Arial"/>
          <w:szCs w:val="24"/>
        </w:rPr>
        <w:t>, que negó algunas de las pruebas pedidas por la parte demandada.</w:t>
      </w:r>
    </w:p>
    <w:p w:rsidR="002B5491" w:rsidRPr="00D34F55" w:rsidRDefault="002B5491" w:rsidP="00437A72">
      <w:pPr>
        <w:spacing w:line="276" w:lineRule="auto"/>
        <w:contextualSpacing/>
        <w:jc w:val="both"/>
        <w:rPr>
          <w:rFonts w:ascii="Arial" w:hAnsi="Arial" w:cs="Arial"/>
        </w:rPr>
      </w:pPr>
    </w:p>
    <w:p w:rsidR="00D467A2" w:rsidRDefault="00D467A2" w:rsidP="00437A72">
      <w:pPr>
        <w:spacing w:line="276" w:lineRule="auto"/>
        <w:contextualSpacing/>
        <w:jc w:val="both"/>
        <w:rPr>
          <w:rFonts w:ascii="Arial" w:hAnsi="Arial" w:cs="Arial"/>
          <w:szCs w:val="24"/>
        </w:rPr>
      </w:pPr>
      <w:r w:rsidRPr="00D34F55">
        <w:rPr>
          <w:rFonts w:ascii="Arial" w:hAnsi="Arial" w:cs="Arial"/>
          <w:b/>
          <w:szCs w:val="24"/>
        </w:rPr>
        <w:t>SEGUNDO.  CONDENAR</w:t>
      </w:r>
      <w:r w:rsidRPr="00D34F55">
        <w:rPr>
          <w:rFonts w:ascii="Arial" w:hAnsi="Arial" w:cs="Arial"/>
          <w:szCs w:val="24"/>
        </w:rPr>
        <w:t xml:space="preserve"> en costas en esta instancia a la</w:t>
      </w:r>
      <w:r w:rsidR="00CC005F">
        <w:rPr>
          <w:rFonts w:ascii="Arial" w:hAnsi="Arial" w:cs="Arial"/>
          <w:szCs w:val="24"/>
        </w:rPr>
        <w:t xml:space="preserve"> parte recurrente </w:t>
      </w:r>
      <w:r w:rsidR="00020297">
        <w:rPr>
          <w:rFonts w:ascii="Arial" w:hAnsi="Arial" w:cs="Arial"/>
          <w:szCs w:val="24"/>
        </w:rPr>
        <w:t>en favor de la demanda</w:t>
      </w:r>
      <w:r w:rsidR="00327411">
        <w:rPr>
          <w:rFonts w:ascii="Arial" w:hAnsi="Arial" w:cs="Arial"/>
          <w:szCs w:val="24"/>
        </w:rPr>
        <w:t>nte,</w:t>
      </w:r>
      <w:r w:rsidRPr="00D34F55">
        <w:rPr>
          <w:rFonts w:ascii="Arial" w:hAnsi="Arial" w:cs="Arial"/>
          <w:szCs w:val="24"/>
        </w:rPr>
        <w:t xml:space="preserve"> por lo expuesto en la parte motiva.</w:t>
      </w:r>
    </w:p>
    <w:p w:rsidR="00437A72" w:rsidRPr="00D34F55" w:rsidRDefault="00437A72" w:rsidP="00437A72">
      <w:pPr>
        <w:spacing w:line="276" w:lineRule="auto"/>
        <w:contextualSpacing/>
        <w:jc w:val="both"/>
        <w:rPr>
          <w:rFonts w:ascii="Arial" w:hAnsi="Arial" w:cs="Arial"/>
          <w:szCs w:val="24"/>
        </w:rPr>
      </w:pPr>
    </w:p>
    <w:p w:rsidR="00D467A2" w:rsidRDefault="006A4E9E" w:rsidP="00437A72">
      <w:pPr>
        <w:tabs>
          <w:tab w:val="left" w:pos="284"/>
        </w:tabs>
        <w:spacing w:before="100" w:beforeAutospacing="1" w:after="100" w:afterAutospacing="1" w:line="276" w:lineRule="auto"/>
        <w:ind w:right="51"/>
        <w:contextualSpacing/>
        <w:jc w:val="both"/>
        <w:rPr>
          <w:rFonts w:ascii="Arial" w:hAnsi="Arial" w:cs="Arial"/>
          <w:szCs w:val="24"/>
        </w:rPr>
      </w:pPr>
      <w:r>
        <w:rPr>
          <w:rFonts w:ascii="Arial" w:hAnsi="Arial" w:cs="Arial"/>
          <w:b/>
          <w:szCs w:val="24"/>
        </w:rPr>
        <w:t>TERCERO</w:t>
      </w:r>
      <w:r w:rsidR="00CC005F">
        <w:rPr>
          <w:rFonts w:ascii="Arial" w:hAnsi="Arial" w:cs="Arial"/>
          <w:b/>
          <w:szCs w:val="24"/>
        </w:rPr>
        <w:t>.</w:t>
      </w:r>
      <w:r w:rsidR="00EF014A">
        <w:rPr>
          <w:rFonts w:ascii="Arial" w:hAnsi="Arial" w:cs="Arial"/>
          <w:b/>
          <w:szCs w:val="24"/>
        </w:rPr>
        <w:t xml:space="preserve"> </w:t>
      </w:r>
      <w:r w:rsidR="00D467A2" w:rsidRPr="00D34F55">
        <w:rPr>
          <w:rFonts w:ascii="Arial" w:hAnsi="Arial" w:cs="Arial"/>
          <w:b/>
          <w:szCs w:val="24"/>
        </w:rPr>
        <w:t>DEVOLVER</w:t>
      </w:r>
      <w:r w:rsidR="00D467A2" w:rsidRPr="00D34F55">
        <w:rPr>
          <w:rFonts w:ascii="Arial" w:hAnsi="Arial" w:cs="Arial"/>
          <w:szCs w:val="24"/>
        </w:rPr>
        <w:t xml:space="preserve"> la actuación al juzgado de origen. </w:t>
      </w:r>
    </w:p>
    <w:p w:rsidR="00437A72" w:rsidRPr="00D34F55" w:rsidRDefault="00437A72" w:rsidP="00437A72">
      <w:pPr>
        <w:tabs>
          <w:tab w:val="left" w:pos="284"/>
        </w:tabs>
        <w:spacing w:before="100" w:beforeAutospacing="1" w:after="100" w:afterAutospacing="1" w:line="276" w:lineRule="auto"/>
        <w:ind w:right="51"/>
        <w:contextualSpacing/>
        <w:jc w:val="both"/>
        <w:rPr>
          <w:rFonts w:ascii="Arial" w:hAnsi="Arial" w:cs="Arial"/>
          <w:bCs/>
          <w:iCs/>
        </w:rPr>
      </w:pPr>
    </w:p>
    <w:p w:rsidR="00D467A2" w:rsidRPr="00D34F55" w:rsidRDefault="00D467A2" w:rsidP="00437A72">
      <w:pPr>
        <w:spacing w:line="276" w:lineRule="auto"/>
        <w:contextualSpacing/>
        <w:jc w:val="both"/>
        <w:rPr>
          <w:rFonts w:ascii="Arial" w:hAnsi="Arial" w:cs="Arial"/>
          <w:bCs/>
          <w:iCs/>
          <w:szCs w:val="24"/>
          <w:lang w:val="es-ES"/>
        </w:rPr>
      </w:pPr>
      <w:r w:rsidRPr="00D34F55">
        <w:rPr>
          <w:rFonts w:ascii="Arial" w:hAnsi="Arial" w:cs="Arial"/>
          <w:bCs/>
          <w:iCs/>
          <w:szCs w:val="24"/>
          <w:lang w:val="es-ES"/>
        </w:rPr>
        <w:t>Por su pronunciamiento oral esta decisión se notifica en estrados.</w:t>
      </w:r>
    </w:p>
    <w:p w:rsidR="00CC005F" w:rsidRDefault="00CC005F" w:rsidP="00437A72">
      <w:pPr>
        <w:pStyle w:val="Textoindependiente"/>
        <w:spacing w:line="276" w:lineRule="auto"/>
        <w:contextualSpacing/>
        <w:rPr>
          <w:rFonts w:ascii="Arial" w:hAnsi="Arial" w:cs="Arial"/>
        </w:rPr>
      </w:pPr>
    </w:p>
    <w:p w:rsidR="00D467A2" w:rsidRPr="00D34F55" w:rsidRDefault="00D467A2" w:rsidP="00437A72">
      <w:pPr>
        <w:pStyle w:val="Textoindependiente"/>
        <w:spacing w:line="276" w:lineRule="auto"/>
        <w:contextualSpacing/>
        <w:rPr>
          <w:rFonts w:ascii="Arial" w:hAnsi="Arial" w:cs="Arial"/>
        </w:rPr>
      </w:pPr>
      <w:r w:rsidRPr="00D34F55">
        <w:rPr>
          <w:rFonts w:ascii="Arial" w:hAnsi="Arial" w:cs="Arial"/>
        </w:rPr>
        <w:t>No siendo otro el objeto de la presente audiencia, se eleva y firma esta acta por las personas que han intervenido.</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r w:rsidRPr="00D34F55">
        <w:rPr>
          <w:rFonts w:ascii="Arial" w:hAnsi="Arial" w:cs="Arial"/>
          <w:szCs w:val="24"/>
        </w:rPr>
        <w:t>Quienes integran la Sala,</w:t>
      </w:r>
    </w:p>
    <w:p w:rsidR="00D467A2" w:rsidRDefault="00D467A2" w:rsidP="00437A72">
      <w:pPr>
        <w:pStyle w:val="Sinespaciado"/>
        <w:spacing w:line="276" w:lineRule="auto"/>
        <w:contextualSpacing/>
        <w:jc w:val="center"/>
        <w:rPr>
          <w:rFonts w:ascii="Arial" w:hAnsi="Arial" w:cs="Arial"/>
          <w:b/>
          <w:lang w:val="es-ES"/>
        </w:rPr>
      </w:pPr>
    </w:p>
    <w:p w:rsidR="00545FAD" w:rsidRDefault="00545FAD" w:rsidP="00437A72">
      <w:pPr>
        <w:pStyle w:val="Sinespaciado"/>
        <w:spacing w:line="276" w:lineRule="auto"/>
        <w:contextualSpacing/>
        <w:jc w:val="center"/>
        <w:rPr>
          <w:rFonts w:ascii="Arial" w:hAnsi="Arial" w:cs="Arial"/>
          <w:b/>
          <w:lang w:val="es-ES"/>
        </w:rPr>
      </w:pPr>
    </w:p>
    <w:p w:rsidR="00545FAD" w:rsidRDefault="00545FAD" w:rsidP="00437A72">
      <w:pPr>
        <w:pStyle w:val="Sinespaciado"/>
        <w:spacing w:line="276" w:lineRule="auto"/>
        <w:contextualSpacing/>
        <w:jc w:val="center"/>
        <w:rPr>
          <w:rFonts w:ascii="Arial" w:hAnsi="Arial" w:cs="Arial"/>
          <w:b/>
          <w:lang w:val="es-ES"/>
        </w:rPr>
      </w:pPr>
    </w:p>
    <w:p w:rsidR="00545FAD" w:rsidRPr="00D34F55" w:rsidRDefault="00545FAD" w:rsidP="00437A72">
      <w:pPr>
        <w:pStyle w:val="Sinespaciado"/>
        <w:spacing w:line="276" w:lineRule="auto"/>
        <w:contextualSpacing/>
        <w:jc w:val="center"/>
        <w:rPr>
          <w:rFonts w:ascii="Arial" w:hAnsi="Arial" w:cs="Arial"/>
          <w:b/>
          <w:lang w:val="es-ES"/>
        </w:rPr>
      </w:pPr>
    </w:p>
    <w:p w:rsidR="00327411" w:rsidRDefault="00327411" w:rsidP="00D74427">
      <w:pPr>
        <w:pStyle w:val="Sinespaciado"/>
        <w:spacing w:line="276" w:lineRule="auto"/>
        <w:contextualSpacing/>
        <w:jc w:val="center"/>
        <w:rPr>
          <w:rFonts w:ascii="Arial" w:hAnsi="Arial" w:cs="Arial"/>
          <w:b/>
        </w:rPr>
      </w:pPr>
    </w:p>
    <w:p w:rsidR="00D74427" w:rsidRPr="00D578CB" w:rsidRDefault="00D74427" w:rsidP="00D74427">
      <w:pPr>
        <w:pStyle w:val="Sinespaciado"/>
        <w:spacing w:line="276" w:lineRule="auto"/>
        <w:contextualSpacing/>
        <w:jc w:val="center"/>
        <w:rPr>
          <w:rFonts w:ascii="Arial" w:hAnsi="Arial" w:cs="Arial"/>
          <w:b/>
        </w:rPr>
      </w:pPr>
      <w:r>
        <w:rPr>
          <w:rFonts w:ascii="Arial" w:hAnsi="Arial" w:cs="Arial"/>
          <w:b/>
        </w:rPr>
        <w:t>OLGA LUCÍA HOYOS SEPÚLVEDA</w:t>
      </w:r>
    </w:p>
    <w:p w:rsidR="00D74427" w:rsidRPr="002A1103" w:rsidRDefault="00D74427" w:rsidP="00D74427">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D74427" w:rsidRDefault="00D74427" w:rsidP="00D74427">
      <w:pPr>
        <w:spacing w:line="276" w:lineRule="auto"/>
        <w:contextualSpacing/>
        <w:jc w:val="both"/>
        <w:rPr>
          <w:rFonts w:ascii="Arial" w:hAnsi="Arial" w:cs="Arial"/>
          <w:b/>
          <w:bCs/>
          <w:iCs/>
          <w:sz w:val="23"/>
          <w:szCs w:val="23"/>
        </w:rPr>
      </w:pPr>
    </w:p>
    <w:p w:rsidR="00D74427" w:rsidRDefault="00D74427" w:rsidP="00D74427">
      <w:pPr>
        <w:spacing w:line="276" w:lineRule="auto"/>
        <w:contextualSpacing/>
        <w:jc w:val="both"/>
        <w:rPr>
          <w:rFonts w:ascii="Arial" w:hAnsi="Arial" w:cs="Arial"/>
          <w:b/>
          <w:bCs/>
          <w:iCs/>
          <w:sz w:val="23"/>
          <w:szCs w:val="23"/>
        </w:rPr>
      </w:pPr>
    </w:p>
    <w:p w:rsidR="00545FAD" w:rsidRDefault="00545FAD" w:rsidP="00D74427">
      <w:pPr>
        <w:spacing w:line="276" w:lineRule="auto"/>
        <w:contextualSpacing/>
        <w:jc w:val="both"/>
        <w:rPr>
          <w:rFonts w:ascii="Arial" w:hAnsi="Arial" w:cs="Arial"/>
          <w:b/>
          <w:bCs/>
          <w:iCs/>
          <w:sz w:val="23"/>
          <w:szCs w:val="23"/>
        </w:rPr>
      </w:pPr>
    </w:p>
    <w:p w:rsidR="00545FAD" w:rsidRDefault="00545FAD" w:rsidP="00D74427">
      <w:pPr>
        <w:spacing w:line="276" w:lineRule="auto"/>
        <w:contextualSpacing/>
        <w:jc w:val="both"/>
        <w:rPr>
          <w:rFonts w:ascii="Arial" w:hAnsi="Arial" w:cs="Arial"/>
          <w:b/>
          <w:bCs/>
          <w:iCs/>
          <w:sz w:val="23"/>
          <w:szCs w:val="23"/>
        </w:rPr>
      </w:pPr>
    </w:p>
    <w:p w:rsidR="00D74427" w:rsidRPr="0045273B" w:rsidRDefault="00D74427" w:rsidP="00D74427">
      <w:pPr>
        <w:spacing w:line="276" w:lineRule="auto"/>
        <w:contextualSpacing/>
        <w:jc w:val="both"/>
        <w:rPr>
          <w:rFonts w:ascii="Arial" w:hAnsi="Arial" w:cs="Arial"/>
          <w:b/>
          <w:bCs/>
          <w:iCs/>
          <w:sz w:val="23"/>
          <w:szCs w:val="23"/>
        </w:rPr>
      </w:pPr>
    </w:p>
    <w:p w:rsidR="00D74427" w:rsidRPr="0045273B" w:rsidRDefault="00D74427" w:rsidP="00D74427">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D74427" w:rsidRPr="0045273B" w:rsidRDefault="00D74427" w:rsidP="00D74427">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Magistrado</w:t>
      </w:r>
    </w:p>
    <w:p w:rsidR="00D467A2" w:rsidRPr="00D34F55" w:rsidRDefault="00D467A2" w:rsidP="00D74427">
      <w:pPr>
        <w:pStyle w:val="Sinespaciado"/>
        <w:spacing w:line="276" w:lineRule="auto"/>
        <w:contextualSpacing/>
        <w:jc w:val="center"/>
        <w:rPr>
          <w:rFonts w:ascii="Arial" w:hAnsi="Arial" w:cs="Arial"/>
          <w:lang w:val="es-ES"/>
        </w:rPr>
      </w:pPr>
    </w:p>
    <w:sectPr w:rsidR="00D467A2" w:rsidRPr="00D34F55" w:rsidSect="00437A72">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E7" w:rsidRDefault="004817E7" w:rsidP="00D467A2">
      <w:r>
        <w:separator/>
      </w:r>
    </w:p>
  </w:endnote>
  <w:endnote w:type="continuationSeparator" w:id="0">
    <w:p w:rsidR="004817E7" w:rsidRDefault="004817E7" w:rsidP="00D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A2" w:rsidRDefault="00E91FA2" w:rsidP="00E91F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FA2" w:rsidRDefault="00E91FA2" w:rsidP="00E91F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A2" w:rsidRDefault="00E91FA2" w:rsidP="00E91F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2F54">
      <w:rPr>
        <w:rStyle w:val="Nmerodepgina"/>
        <w:noProof/>
      </w:rPr>
      <w:t>2</w:t>
    </w:r>
    <w:r>
      <w:rPr>
        <w:rStyle w:val="Nmerodepgina"/>
      </w:rPr>
      <w:fldChar w:fldCharType="end"/>
    </w:r>
  </w:p>
  <w:p w:rsidR="00E91FA2" w:rsidRDefault="00E91FA2" w:rsidP="00E91F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E7" w:rsidRDefault="004817E7" w:rsidP="00D467A2">
      <w:r>
        <w:separator/>
      </w:r>
    </w:p>
  </w:footnote>
  <w:footnote w:type="continuationSeparator" w:id="0">
    <w:p w:rsidR="004817E7" w:rsidRDefault="004817E7" w:rsidP="00D467A2">
      <w:r>
        <w:continuationSeparator/>
      </w:r>
    </w:p>
  </w:footnote>
  <w:footnote w:id="1">
    <w:p w:rsidR="00B90B53" w:rsidRPr="00941DDA" w:rsidRDefault="00B90B53" w:rsidP="00B90B53">
      <w:pPr>
        <w:pStyle w:val="Textonotapie"/>
        <w:rPr>
          <w:lang w:val="es-CO"/>
        </w:rPr>
      </w:pPr>
      <w:r w:rsidRPr="00D4101E">
        <w:rPr>
          <w:rStyle w:val="Refdenotaalpie"/>
          <w:rFonts w:ascii="Arial" w:hAnsi="Arial" w:cs="Arial"/>
          <w:sz w:val="16"/>
          <w:szCs w:val="16"/>
        </w:rPr>
        <w:footnoteRef/>
      </w:r>
      <w:r>
        <w:t xml:space="preserve"> </w:t>
      </w:r>
      <w:r>
        <w:rPr>
          <w:rFonts w:ascii="Arial" w:hAnsi="Arial" w:cs="Arial"/>
          <w:sz w:val="16"/>
          <w:szCs w:val="16"/>
        </w:rPr>
        <w:t>Hernán Fabio López Blanco. (2017). Licitud de la Prueba. Código General del Proceso Pruebas  (pag.106). Bogotá, D.C. – Colombia.</w:t>
      </w:r>
    </w:p>
  </w:footnote>
  <w:footnote w:id="2">
    <w:p w:rsidR="00E97A03" w:rsidRPr="00D4101E" w:rsidRDefault="00E97A03" w:rsidP="00E97A03">
      <w:pPr>
        <w:pStyle w:val="Textonotapie"/>
        <w:jc w:val="both"/>
        <w:rPr>
          <w:rFonts w:ascii="Arial" w:hAnsi="Arial" w:cs="Arial"/>
          <w:sz w:val="16"/>
          <w:szCs w:val="16"/>
          <w:lang w:val="es-CO"/>
        </w:rPr>
      </w:pPr>
      <w:r>
        <w:rPr>
          <w:rStyle w:val="Refdenotaalpie"/>
        </w:rPr>
        <w:footnoteRef/>
      </w:r>
      <w:r w:rsidRPr="00D4101E">
        <w:rPr>
          <w:rFonts w:ascii="Arial" w:hAnsi="Arial" w:cs="Arial"/>
          <w:color w:val="666666"/>
          <w:sz w:val="16"/>
          <w:szCs w:val="16"/>
          <w:shd w:val="clear" w:color="auto" w:fill="FFFFFF"/>
        </w:rPr>
        <w:t>CORTE SUPREMA DE JUSTICIA, Sala de Casación Civil, Magistrado Ponente: LUIS ARMANDO TOLOSA VILLABONA, SC211-2017, </w:t>
      </w:r>
      <w:hyperlink r:id="rId1" w:history="1">
        <w:r w:rsidRPr="00D4101E">
          <w:rPr>
            <w:rStyle w:val="Hipervnculo"/>
            <w:rFonts w:ascii="Arial" w:hAnsi="Arial" w:cs="Arial"/>
            <w:color w:val="D6790E"/>
            <w:sz w:val="16"/>
            <w:szCs w:val="16"/>
            <w:bdr w:val="none" w:sz="0" w:space="0" w:color="auto" w:frame="1"/>
            <w:shd w:val="clear" w:color="auto" w:fill="FFFFFF"/>
          </w:rPr>
          <w:t>Radicación n.° 76001-31-03-005-2005-00124-01</w:t>
        </w:r>
      </w:hyperlink>
      <w:r w:rsidRPr="00D4101E">
        <w:rPr>
          <w:rFonts w:ascii="Arial" w:hAnsi="Arial" w:cs="Arial"/>
          <w:color w:val="666666"/>
          <w:sz w:val="16"/>
          <w:szCs w:val="16"/>
          <w:shd w:val="clear" w:color="auto" w:fill="FFFFFF"/>
        </w:rPr>
        <w:t xml:space="preserve">, </w:t>
      </w:r>
      <w:r>
        <w:rPr>
          <w:rFonts w:ascii="Arial" w:hAnsi="Arial" w:cs="Arial"/>
          <w:color w:val="666666"/>
          <w:sz w:val="16"/>
          <w:szCs w:val="16"/>
          <w:shd w:val="clear" w:color="auto" w:fill="FFFFFF"/>
        </w:rPr>
        <w:t xml:space="preserve">20-01-2017 </w:t>
      </w:r>
    </w:p>
  </w:footnote>
  <w:footnote w:id="3">
    <w:p w:rsidR="0093416F" w:rsidRPr="0093416F" w:rsidRDefault="0093416F" w:rsidP="0093416F">
      <w:pPr>
        <w:pStyle w:val="Textonotapie"/>
        <w:jc w:val="both"/>
        <w:rPr>
          <w:lang w:val="es-CO"/>
        </w:rPr>
      </w:pPr>
      <w:r>
        <w:rPr>
          <w:rStyle w:val="Refdenotaalpie"/>
        </w:rPr>
        <w:footnoteRef/>
      </w:r>
      <w:r>
        <w:t xml:space="preserve"> </w:t>
      </w:r>
      <w:r w:rsidRPr="0093416F">
        <w:rPr>
          <w:rFonts w:ascii="Arial" w:hAnsi="Arial" w:cs="Arial"/>
          <w:sz w:val="16"/>
          <w:szCs w:val="16"/>
        </w:rPr>
        <w:t>Sentencia C-397 de 1998 (MP Fabio Morón Díaz). Definición elaborada por el doctrinante Octavio A Hernández. (Derecho bancario mexicano. Edic. de la Asociación Mexicana de Investigaciones Administrativas, México, 1956). En esta sentencia, la Corte declaró exequible la Ley 412 de 1997, “por medio de la cual se aprueba la Convención Interamericana contra la Corrupción”. El artículo XVI de dicho instrumento establecía que “</w:t>
      </w:r>
      <w:r w:rsidRPr="0093416F">
        <w:rPr>
          <w:rFonts w:ascii="Arial" w:hAnsi="Arial" w:cs="Arial"/>
          <w:i/>
          <w:iCs/>
          <w:sz w:val="16"/>
          <w:szCs w:val="16"/>
        </w:rPr>
        <w:t xml:space="preserve">el Estado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 (...) El Estado Parte requirente se obliga a no utilizar las informaciones protegidas por el secreto bancario que reciba para ningún fin distinto del proceso para el cual hayan sido solicitadas, salvo autorización del Estado Parte requerido”. </w:t>
      </w:r>
      <w:r w:rsidRPr="0093416F">
        <w:rPr>
          <w:rFonts w:ascii="Arial" w:hAnsi="Arial" w:cs="Arial"/>
          <w:sz w:val="16"/>
          <w:szCs w:val="16"/>
        </w:rPr>
        <w:t>La Corte tomó una decisión de exequibilidad condicionada a que existiera una norma interna de acuerdo a la cual pueda ejecutarse el levantamiento de la reserva. Sin perjuicio de lo anterior, existen diversas definiciones de la reserva o secreto bancario. Para citar algunos ejemplos,  el doctrinante Fabio Enrique Bueno Rincón la define como “</w:t>
      </w:r>
      <w:r w:rsidRPr="0093416F">
        <w:rPr>
          <w:rFonts w:ascii="Arial" w:hAnsi="Arial" w:cs="Arial"/>
          <w:i/>
          <w:iCs/>
          <w:sz w:val="16"/>
          <w:szCs w:val="16"/>
        </w:rPr>
        <w:t>el deber que tienen los establecimientos bancarios de guardar firme secreto en todo lo concerniente con los negocios de la clientela.</w:t>
      </w:r>
      <w:r w:rsidRPr="0093416F">
        <w:rPr>
          <w:rFonts w:ascii="Arial" w:hAnsi="Arial" w:cs="Arial"/>
          <w:sz w:val="16"/>
          <w:szCs w:val="16"/>
        </w:rPr>
        <w:t>” Por su parte la doctrina de la Superintendencia Bancaria la ha definido como “</w:t>
      </w:r>
      <w:r w:rsidRPr="0093416F">
        <w:rPr>
          <w:rFonts w:ascii="Arial" w:hAnsi="Arial" w:cs="Arial"/>
          <w:i/>
          <w:iCs/>
          <w:sz w:val="16"/>
          <w:szCs w:val="16"/>
        </w:rPr>
        <w:t>el deber de los establecimientos bancarios y demás entidades financieras de guardar reserva y discreción sobre los datos de su cliente, la que conozcan en desarrollo de su profesión u oficio, por cuanto para el cliente pueden derivarse inmensos perjuicios con la divulgación de ciertos aspectos que por razones comerciales y personales no deben ser de libre acceso al público</w:t>
      </w:r>
      <w:r w:rsidRPr="0093416F">
        <w:rPr>
          <w:rFonts w:ascii="Arial" w:hAnsi="Arial" w:cs="Arial"/>
          <w:sz w:val="16"/>
          <w:szCs w:val="16"/>
        </w:rPr>
        <w:t>.” (Conceptos OJ-050 de 8 de Marzo de 1982 y OJ-288 de 12 de agosto de 1976). En cuanto a la doctrina internacional, algunos tratadistas han definido dicho concepto de la siguiente manera: Jorge Lablanca considera que “</w:t>
      </w:r>
      <w:r w:rsidRPr="0093416F">
        <w:rPr>
          <w:rFonts w:ascii="Arial" w:hAnsi="Arial" w:cs="Arial"/>
          <w:i/>
          <w:iCs/>
          <w:sz w:val="16"/>
          <w:szCs w:val="16"/>
        </w:rPr>
        <w:t>es un deber de silencio a cargo de los bancos respecto de hechos vinculados a las personas con quien mantiene relaciones comerciales</w:t>
      </w:r>
      <w:r w:rsidRPr="0093416F">
        <w:rPr>
          <w:rFonts w:ascii="Arial" w:hAnsi="Arial" w:cs="Arial"/>
          <w:sz w:val="16"/>
          <w:szCs w:val="16"/>
        </w:rPr>
        <w:t>” (</w:t>
      </w:r>
      <w:r w:rsidRPr="0093416F">
        <w:rPr>
          <w:rFonts w:ascii="Arial" w:hAnsi="Arial" w:cs="Arial"/>
          <w:sz w:val="16"/>
          <w:szCs w:val="16"/>
          <w:u w:val="single"/>
        </w:rPr>
        <w:t>El Secreto Bancario</w:t>
      </w:r>
      <w:r w:rsidRPr="0093416F">
        <w:rPr>
          <w:rFonts w:ascii="Arial" w:hAnsi="Arial" w:cs="Arial"/>
          <w:sz w:val="16"/>
          <w:szCs w:val="16"/>
        </w:rPr>
        <w:t>, Ed. Perrot, Buenos Aires, 1969, p.9). Raimond Farath, opina que es “</w:t>
      </w:r>
      <w:r w:rsidRPr="0093416F">
        <w:rPr>
          <w:rFonts w:ascii="Arial" w:hAnsi="Arial" w:cs="Arial"/>
          <w:i/>
          <w:iCs/>
          <w:sz w:val="16"/>
          <w:szCs w:val="16"/>
        </w:rPr>
        <w:t xml:space="preserve">la obligación hecha al banquero –y que beneficia al cliente- para no revelar ciertos hechos, actas, cifras u otras informaciones que él ha tenido conocimiento a través del ejercicio de su actividad bancaria y notablemente las que conciernen a su cliente, so pena de sanciones muy rigurosas de órdenes diversas, civiles, penales y disciplinarias” </w:t>
      </w:r>
      <w:r w:rsidRPr="0093416F">
        <w:rPr>
          <w:rFonts w:ascii="Arial" w:hAnsi="Arial" w:cs="Arial"/>
          <w:sz w:val="16"/>
          <w:szCs w:val="16"/>
        </w:rPr>
        <w:t>(“</w:t>
      </w:r>
      <w:r w:rsidRPr="0093416F">
        <w:rPr>
          <w:rFonts w:ascii="Arial" w:hAnsi="Arial" w:cs="Arial"/>
          <w:sz w:val="16"/>
          <w:szCs w:val="16"/>
          <w:u w:val="single"/>
        </w:rPr>
        <w:t>Le secret bancaire”</w:t>
      </w:r>
      <w:r w:rsidRPr="0093416F">
        <w:rPr>
          <w:rFonts w:ascii="Arial" w:hAnsi="Arial" w:cs="Arial"/>
          <w:sz w:val="16"/>
          <w:szCs w:val="16"/>
        </w:rPr>
        <w:t>, “Librairie Générale de Droit et de Jurisprudence”, Paris, 1970).</w:t>
      </w:r>
    </w:p>
  </w:footnote>
  <w:footnote w:id="4">
    <w:p w:rsidR="002B5F03" w:rsidRPr="00E019D3" w:rsidRDefault="002B5F03" w:rsidP="002B5F03">
      <w:pPr>
        <w:pStyle w:val="Textonotapie"/>
        <w:rPr>
          <w:lang w:val="es-CO"/>
        </w:rPr>
      </w:pPr>
      <w:r>
        <w:rPr>
          <w:rStyle w:val="Refdenotaalpie"/>
        </w:rPr>
        <w:footnoteRef/>
      </w:r>
      <w:r>
        <w:t xml:space="preserve"> </w:t>
      </w:r>
      <w:r w:rsidRPr="00CB125C">
        <w:rPr>
          <w:rFonts w:ascii="Arial" w:hAnsi="Arial" w:cs="Arial"/>
          <w:sz w:val="16"/>
          <w:szCs w:val="16"/>
        </w:rPr>
        <w:t>Sentencia T-</w:t>
      </w:r>
      <w:r>
        <w:rPr>
          <w:rFonts w:ascii="Arial" w:hAnsi="Arial" w:cs="Arial"/>
          <w:sz w:val="16"/>
          <w:szCs w:val="16"/>
        </w:rPr>
        <w:t>440</w:t>
      </w:r>
      <w:r w:rsidRPr="00CB125C">
        <w:rPr>
          <w:rFonts w:ascii="Arial" w:hAnsi="Arial" w:cs="Arial"/>
          <w:sz w:val="16"/>
          <w:szCs w:val="16"/>
        </w:rPr>
        <w:t xml:space="preserve"> de</w:t>
      </w:r>
      <w:r>
        <w:rPr>
          <w:rFonts w:ascii="Arial" w:hAnsi="Arial" w:cs="Arial"/>
          <w:sz w:val="16"/>
          <w:szCs w:val="16"/>
        </w:rPr>
        <w:t>l 29-05-</w:t>
      </w:r>
      <w:r w:rsidRPr="00CB125C">
        <w:rPr>
          <w:rFonts w:ascii="Arial" w:hAnsi="Arial" w:cs="Arial"/>
          <w:sz w:val="16"/>
          <w:szCs w:val="16"/>
        </w:rPr>
        <w:t xml:space="preserve"> 20</w:t>
      </w:r>
      <w:r>
        <w:rPr>
          <w:rFonts w:ascii="Arial" w:hAnsi="Arial" w:cs="Arial"/>
          <w:sz w:val="16"/>
          <w:szCs w:val="16"/>
        </w:rPr>
        <w:t>03</w:t>
      </w:r>
      <w:r w:rsidRPr="00CB125C">
        <w:rPr>
          <w:rFonts w:ascii="Arial" w:hAnsi="Arial" w:cs="Arial"/>
          <w:sz w:val="16"/>
          <w:szCs w:val="16"/>
        </w:rPr>
        <w:t>. M.P. Ma</w:t>
      </w:r>
      <w:r>
        <w:rPr>
          <w:rFonts w:ascii="Arial" w:hAnsi="Arial" w:cs="Arial"/>
          <w:sz w:val="16"/>
          <w:szCs w:val="16"/>
        </w:rPr>
        <w:t>nuel José Cepeda Espinosa</w:t>
      </w:r>
      <w:r>
        <w:t>.</w:t>
      </w:r>
    </w:p>
  </w:footnote>
  <w:footnote w:id="5">
    <w:p w:rsidR="00841357" w:rsidRPr="00841357" w:rsidRDefault="00841357">
      <w:pPr>
        <w:pStyle w:val="Textonotapie"/>
        <w:rPr>
          <w:lang w:val="es-CO"/>
        </w:rPr>
      </w:pPr>
      <w:r>
        <w:rPr>
          <w:rStyle w:val="Refdenotaalpie"/>
        </w:rPr>
        <w:footnoteRef/>
      </w:r>
      <w:r>
        <w:t xml:space="preserve"> </w:t>
      </w:r>
      <w:r w:rsidRPr="00CB125C">
        <w:rPr>
          <w:rFonts w:ascii="Arial" w:hAnsi="Arial" w:cs="Arial"/>
          <w:sz w:val="16"/>
          <w:szCs w:val="16"/>
        </w:rPr>
        <w:t>Sentencia T-</w:t>
      </w:r>
      <w:r>
        <w:rPr>
          <w:rFonts w:ascii="Arial" w:hAnsi="Arial" w:cs="Arial"/>
          <w:sz w:val="16"/>
          <w:szCs w:val="16"/>
        </w:rPr>
        <w:t>440</w:t>
      </w:r>
      <w:r w:rsidRPr="00CB125C">
        <w:rPr>
          <w:rFonts w:ascii="Arial" w:hAnsi="Arial" w:cs="Arial"/>
          <w:sz w:val="16"/>
          <w:szCs w:val="16"/>
        </w:rPr>
        <w:t xml:space="preserve"> de</w:t>
      </w:r>
      <w:r>
        <w:rPr>
          <w:rFonts w:ascii="Arial" w:hAnsi="Arial" w:cs="Arial"/>
          <w:sz w:val="16"/>
          <w:szCs w:val="16"/>
        </w:rPr>
        <w:t>l 29-05-</w:t>
      </w:r>
      <w:r w:rsidRPr="00CB125C">
        <w:rPr>
          <w:rFonts w:ascii="Arial" w:hAnsi="Arial" w:cs="Arial"/>
          <w:sz w:val="16"/>
          <w:szCs w:val="16"/>
        </w:rPr>
        <w:t xml:space="preserve"> 20</w:t>
      </w:r>
      <w:r>
        <w:rPr>
          <w:rFonts w:ascii="Arial" w:hAnsi="Arial" w:cs="Arial"/>
          <w:sz w:val="16"/>
          <w:szCs w:val="16"/>
        </w:rPr>
        <w:t>03</w:t>
      </w:r>
      <w:r w:rsidRPr="00CB125C">
        <w:rPr>
          <w:rFonts w:ascii="Arial" w:hAnsi="Arial" w:cs="Arial"/>
          <w:sz w:val="16"/>
          <w:szCs w:val="16"/>
        </w:rPr>
        <w:t>. M.P. Ma</w:t>
      </w:r>
      <w:r>
        <w:rPr>
          <w:rFonts w:ascii="Arial" w:hAnsi="Arial" w:cs="Arial"/>
          <w:sz w:val="16"/>
          <w:szCs w:val="16"/>
        </w:rPr>
        <w:t>nuel José Cepeda Espinosa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A2" w:rsidRPr="00437A72" w:rsidRDefault="00E91FA2" w:rsidP="00437A72">
    <w:pPr>
      <w:tabs>
        <w:tab w:val="center" w:pos="4419"/>
        <w:tab w:val="right" w:pos="8838"/>
      </w:tabs>
      <w:jc w:val="center"/>
      <w:rPr>
        <w:rFonts w:ascii="Arial" w:hAnsi="Arial" w:cs="Arial"/>
        <w:sz w:val="16"/>
        <w:szCs w:val="16"/>
      </w:rPr>
    </w:pPr>
    <w:r w:rsidRPr="00437A72">
      <w:rPr>
        <w:rFonts w:ascii="Arial" w:hAnsi="Arial" w:cs="Arial"/>
        <w:sz w:val="16"/>
        <w:szCs w:val="16"/>
      </w:rPr>
      <w:t>Proceso Ordinario Laboral</w:t>
    </w:r>
  </w:p>
  <w:p w:rsidR="00E91FA2" w:rsidRPr="00437A72" w:rsidRDefault="00E91FA2" w:rsidP="00437A72">
    <w:pPr>
      <w:tabs>
        <w:tab w:val="center" w:pos="4419"/>
        <w:tab w:val="right" w:pos="8838"/>
      </w:tabs>
      <w:jc w:val="center"/>
      <w:rPr>
        <w:rFonts w:ascii="Arial" w:hAnsi="Arial" w:cs="Arial"/>
        <w:sz w:val="16"/>
        <w:szCs w:val="16"/>
      </w:rPr>
    </w:pPr>
    <w:r w:rsidRPr="00437A72">
      <w:rPr>
        <w:rFonts w:ascii="Arial" w:hAnsi="Arial" w:cs="Arial"/>
        <w:sz w:val="16"/>
        <w:szCs w:val="16"/>
      </w:rPr>
      <w:t>Radicado: 66001-31-05-00</w:t>
    </w:r>
    <w:r>
      <w:rPr>
        <w:rFonts w:ascii="Arial" w:hAnsi="Arial" w:cs="Arial"/>
        <w:sz w:val="16"/>
        <w:szCs w:val="16"/>
      </w:rPr>
      <w:t>5</w:t>
    </w:r>
    <w:r w:rsidRPr="00437A72">
      <w:rPr>
        <w:rFonts w:ascii="Arial" w:hAnsi="Arial" w:cs="Arial"/>
        <w:sz w:val="16"/>
        <w:szCs w:val="16"/>
      </w:rPr>
      <w:t>-201</w:t>
    </w:r>
    <w:r>
      <w:rPr>
        <w:rFonts w:ascii="Arial" w:hAnsi="Arial" w:cs="Arial"/>
        <w:sz w:val="16"/>
        <w:szCs w:val="16"/>
      </w:rPr>
      <w:t>7</w:t>
    </w:r>
    <w:r w:rsidRPr="00437A72">
      <w:rPr>
        <w:rFonts w:ascii="Arial" w:hAnsi="Arial" w:cs="Arial"/>
        <w:sz w:val="16"/>
        <w:szCs w:val="16"/>
      </w:rPr>
      <w:t>-00</w:t>
    </w:r>
    <w:r>
      <w:rPr>
        <w:rFonts w:ascii="Arial" w:hAnsi="Arial" w:cs="Arial"/>
        <w:sz w:val="16"/>
        <w:szCs w:val="16"/>
      </w:rPr>
      <w:t>073</w:t>
    </w:r>
    <w:r w:rsidRPr="00437A72">
      <w:rPr>
        <w:rFonts w:ascii="Arial" w:hAnsi="Arial" w:cs="Arial"/>
        <w:sz w:val="16"/>
        <w:szCs w:val="16"/>
      </w:rPr>
      <w:t>-0</w:t>
    </w:r>
    <w:r>
      <w:rPr>
        <w:rFonts w:ascii="Arial" w:hAnsi="Arial" w:cs="Arial"/>
        <w:sz w:val="16"/>
        <w:szCs w:val="16"/>
      </w:rPr>
      <w:t>1</w:t>
    </w:r>
  </w:p>
  <w:p w:rsidR="00E91FA2" w:rsidRPr="00437A72" w:rsidRDefault="00E91FA2" w:rsidP="00437A72">
    <w:pPr>
      <w:tabs>
        <w:tab w:val="center" w:pos="4419"/>
        <w:tab w:val="right" w:pos="8838"/>
      </w:tabs>
      <w:jc w:val="center"/>
      <w:rPr>
        <w:rFonts w:ascii="Arial" w:hAnsi="Arial" w:cs="Arial"/>
        <w:sz w:val="16"/>
        <w:szCs w:val="16"/>
      </w:rPr>
    </w:pPr>
    <w:r>
      <w:rPr>
        <w:rFonts w:ascii="Arial" w:hAnsi="Arial" w:cs="Arial"/>
        <w:sz w:val="16"/>
        <w:szCs w:val="16"/>
      </w:rPr>
      <w:t>Luz Adriana Mendoza García y Luis Alberto Ortiz  vs Administradora de Fondo de Pensiones Porvenir S.A</w:t>
    </w:r>
  </w:p>
  <w:p w:rsidR="00E91FA2" w:rsidRPr="00437A72" w:rsidRDefault="00E91FA2" w:rsidP="00437A72">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24C"/>
    <w:multiLevelType w:val="hybridMultilevel"/>
    <w:tmpl w:val="5CE67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1C6DC5"/>
    <w:multiLevelType w:val="hybridMultilevel"/>
    <w:tmpl w:val="5302DEE0"/>
    <w:lvl w:ilvl="0" w:tplc="B000875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B886CB9"/>
    <w:multiLevelType w:val="multilevel"/>
    <w:tmpl w:val="77E4DC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73"/>
    <w:rsid w:val="00000AAB"/>
    <w:rsid w:val="00020297"/>
    <w:rsid w:val="0004330F"/>
    <w:rsid w:val="000519AD"/>
    <w:rsid w:val="0005377F"/>
    <w:rsid w:val="00053980"/>
    <w:rsid w:val="00054609"/>
    <w:rsid w:val="00060E21"/>
    <w:rsid w:val="0006461C"/>
    <w:rsid w:val="00073C28"/>
    <w:rsid w:val="00075C89"/>
    <w:rsid w:val="00090CD7"/>
    <w:rsid w:val="000953EE"/>
    <w:rsid w:val="000A003B"/>
    <w:rsid w:val="000A1C45"/>
    <w:rsid w:val="000A59B9"/>
    <w:rsid w:val="000A6E86"/>
    <w:rsid w:val="000B2831"/>
    <w:rsid w:val="000B6BFA"/>
    <w:rsid w:val="000C1A30"/>
    <w:rsid w:val="000D536A"/>
    <w:rsid w:val="000D5C5E"/>
    <w:rsid w:val="000D75A8"/>
    <w:rsid w:val="000E177A"/>
    <w:rsid w:val="000E2AC0"/>
    <w:rsid w:val="000F0DD7"/>
    <w:rsid w:val="000F4183"/>
    <w:rsid w:val="000F78DA"/>
    <w:rsid w:val="00100D2A"/>
    <w:rsid w:val="00105935"/>
    <w:rsid w:val="001202CB"/>
    <w:rsid w:val="001455CF"/>
    <w:rsid w:val="00146625"/>
    <w:rsid w:val="00161B2F"/>
    <w:rsid w:val="0017597D"/>
    <w:rsid w:val="00184F6D"/>
    <w:rsid w:val="001A7DD2"/>
    <w:rsid w:val="001B179D"/>
    <w:rsid w:val="001C3272"/>
    <w:rsid w:val="001D289F"/>
    <w:rsid w:val="001E7496"/>
    <w:rsid w:val="001F4758"/>
    <w:rsid w:val="00202FEB"/>
    <w:rsid w:val="00213B82"/>
    <w:rsid w:val="00215E1F"/>
    <w:rsid w:val="00222880"/>
    <w:rsid w:val="00244951"/>
    <w:rsid w:val="00245CC2"/>
    <w:rsid w:val="00261B59"/>
    <w:rsid w:val="00270E4C"/>
    <w:rsid w:val="00282D83"/>
    <w:rsid w:val="0028319A"/>
    <w:rsid w:val="00286259"/>
    <w:rsid w:val="00290017"/>
    <w:rsid w:val="00290796"/>
    <w:rsid w:val="0029088C"/>
    <w:rsid w:val="00294114"/>
    <w:rsid w:val="002A1A1C"/>
    <w:rsid w:val="002B5491"/>
    <w:rsid w:val="002B5F03"/>
    <w:rsid w:val="002C5509"/>
    <w:rsid w:val="002C58C5"/>
    <w:rsid w:val="003011E4"/>
    <w:rsid w:val="003066D8"/>
    <w:rsid w:val="00314898"/>
    <w:rsid w:val="00314CC3"/>
    <w:rsid w:val="0032580F"/>
    <w:rsid w:val="00327411"/>
    <w:rsid w:val="00335C4C"/>
    <w:rsid w:val="00362211"/>
    <w:rsid w:val="00374114"/>
    <w:rsid w:val="00374262"/>
    <w:rsid w:val="00383172"/>
    <w:rsid w:val="0038510C"/>
    <w:rsid w:val="00392B73"/>
    <w:rsid w:val="003957FD"/>
    <w:rsid w:val="003A7748"/>
    <w:rsid w:val="003A7E88"/>
    <w:rsid w:val="003B4C7C"/>
    <w:rsid w:val="003C3730"/>
    <w:rsid w:val="003C384B"/>
    <w:rsid w:val="003C3A66"/>
    <w:rsid w:val="003D0A03"/>
    <w:rsid w:val="003D181A"/>
    <w:rsid w:val="003D432C"/>
    <w:rsid w:val="003F7498"/>
    <w:rsid w:val="00413459"/>
    <w:rsid w:val="00421C02"/>
    <w:rsid w:val="0043139F"/>
    <w:rsid w:val="004318CF"/>
    <w:rsid w:val="00432E69"/>
    <w:rsid w:val="00433222"/>
    <w:rsid w:val="00437A72"/>
    <w:rsid w:val="00441546"/>
    <w:rsid w:val="004420F6"/>
    <w:rsid w:val="0044211C"/>
    <w:rsid w:val="004547D1"/>
    <w:rsid w:val="004817E7"/>
    <w:rsid w:val="00484E57"/>
    <w:rsid w:val="00487833"/>
    <w:rsid w:val="00497991"/>
    <w:rsid w:val="004B71EB"/>
    <w:rsid w:val="004C2EFA"/>
    <w:rsid w:val="004D018A"/>
    <w:rsid w:val="004D0982"/>
    <w:rsid w:val="004F154E"/>
    <w:rsid w:val="004F26B8"/>
    <w:rsid w:val="004F770A"/>
    <w:rsid w:val="00514964"/>
    <w:rsid w:val="0051648A"/>
    <w:rsid w:val="00530D3B"/>
    <w:rsid w:val="0053553F"/>
    <w:rsid w:val="00540154"/>
    <w:rsid w:val="005413A7"/>
    <w:rsid w:val="00545FAD"/>
    <w:rsid w:val="00546136"/>
    <w:rsid w:val="0055687E"/>
    <w:rsid w:val="005816C8"/>
    <w:rsid w:val="00587DA4"/>
    <w:rsid w:val="005903C1"/>
    <w:rsid w:val="00596D29"/>
    <w:rsid w:val="00596F02"/>
    <w:rsid w:val="005A7E24"/>
    <w:rsid w:val="005B010A"/>
    <w:rsid w:val="005C6AFF"/>
    <w:rsid w:val="005C712F"/>
    <w:rsid w:val="005D26DA"/>
    <w:rsid w:val="005D63B9"/>
    <w:rsid w:val="005E1259"/>
    <w:rsid w:val="005E3FC4"/>
    <w:rsid w:val="005F297E"/>
    <w:rsid w:val="00603CB7"/>
    <w:rsid w:val="00607700"/>
    <w:rsid w:val="006173A4"/>
    <w:rsid w:val="006308A2"/>
    <w:rsid w:val="00630B2B"/>
    <w:rsid w:val="006329D6"/>
    <w:rsid w:val="00634435"/>
    <w:rsid w:val="00635A9E"/>
    <w:rsid w:val="0064267A"/>
    <w:rsid w:val="00642A46"/>
    <w:rsid w:val="00642AB9"/>
    <w:rsid w:val="00644ECC"/>
    <w:rsid w:val="0065284D"/>
    <w:rsid w:val="00671FD0"/>
    <w:rsid w:val="006743B7"/>
    <w:rsid w:val="0068185B"/>
    <w:rsid w:val="00691DEC"/>
    <w:rsid w:val="006A20F8"/>
    <w:rsid w:val="006A39CA"/>
    <w:rsid w:val="006A4356"/>
    <w:rsid w:val="006A4E9E"/>
    <w:rsid w:val="006B2DC7"/>
    <w:rsid w:val="006B69E5"/>
    <w:rsid w:val="006F0C3F"/>
    <w:rsid w:val="00711F0A"/>
    <w:rsid w:val="00714181"/>
    <w:rsid w:val="00720D6E"/>
    <w:rsid w:val="007336A3"/>
    <w:rsid w:val="00736D4E"/>
    <w:rsid w:val="007409C0"/>
    <w:rsid w:val="00754FC4"/>
    <w:rsid w:val="00761FE1"/>
    <w:rsid w:val="00775C6B"/>
    <w:rsid w:val="00776155"/>
    <w:rsid w:val="00780678"/>
    <w:rsid w:val="00781086"/>
    <w:rsid w:val="007A75A0"/>
    <w:rsid w:val="007B2FB8"/>
    <w:rsid w:val="007C63CF"/>
    <w:rsid w:val="007D02A9"/>
    <w:rsid w:val="007D1D22"/>
    <w:rsid w:val="007D6BC3"/>
    <w:rsid w:val="007E0A84"/>
    <w:rsid w:val="00803F1F"/>
    <w:rsid w:val="00812715"/>
    <w:rsid w:val="008153AA"/>
    <w:rsid w:val="008219CC"/>
    <w:rsid w:val="00822785"/>
    <w:rsid w:val="00833457"/>
    <w:rsid w:val="00841357"/>
    <w:rsid w:val="00851213"/>
    <w:rsid w:val="00854FD3"/>
    <w:rsid w:val="00867A43"/>
    <w:rsid w:val="008744EF"/>
    <w:rsid w:val="00883E2E"/>
    <w:rsid w:val="00886413"/>
    <w:rsid w:val="00890696"/>
    <w:rsid w:val="0089257B"/>
    <w:rsid w:val="00893466"/>
    <w:rsid w:val="00894515"/>
    <w:rsid w:val="00895647"/>
    <w:rsid w:val="008A1E12"/>
    <w:rsid w:val="008B02BE"/>
    <w:rsid w:val="008B6A46"/>
    <w:rsid w:val="008C165D"/>
    <w:rsid w:val="008D0251"/>
    <w:rsid w:val="008D08F0"/>
    <w:rsid w:val="008D5084"/>
    <w:rsid w:val="008D68AA"/>
    <w:rsid w:val="00916294"/>
    <w:rsid w:val="00916430"/>
    <w:rsid w:val="0092133A"/>
    <w:rsid w:val="009326E1"/>
    <w:rsid w:val="0093416F"/>
    <w:rsid w:val="00941DDA"/>
    <w:rsid w:val="0094465F"/>
    <w:rsid w:val="009514E1"/>
    <w:rsid w:val="00956F1C"/>
    <w:rsid w:val="00960A74"/>
    <w:rsid w:val="00961233"/>
    <w:rsid w:val="00966D5B"/>
    <w:rsid w:val="009670C8"/>
    <w:rsid w:val="009674BF"/>
    <w:rsid w:val="00972E86"/>
    <w:rsid w:val="00981B84"/>
    <w:rsid w:val="009A1957"/>
    <w:rsid w:val="009A5C86"/>
    <w:rsid w:val="009A671D"/>
    <w:rsid w:val="009D37B0"/>
    <w:rsid w:val="009E37E6"/>
    <w:rsid w:val="009E4E27"/>
    <w:rsid w:val="009F066C"/>
    <w:rsid w:val="009F07FD"/>
    <w:rsid w:val="009F10DE"/>
    <w:rsid w:val="009F14B0"/>
    <w:rsid w:val="009F14B7"/>
    <w:rsid w:val="009F6461"/>
    <w:rsid w:val="00A2220A"/>
    <w:rsid w:val="00A310D4"/>
    <w:rsid w:val="00A31BC8"/>
    <w:rsid w:val="00A62917"/>
    <w:rsid w:val="00A6360E"/>
    <w:rsid w:val="00A74767"/>
    <w:rsid w:val="00A9063A"/>
    <w:rsid w:val="00A9647D"/>
    <w:rsid w:val="00AA5944"/>
    <w:rsid w:val="00AC25F5"/>
    <w:rsid w:val="00AC350D"/>
    <w:rsid w:val="00AC41BD"/>
    <w:rsid w:val="00AC42D5"/>
    <w:rsid w:val="00AC7A0C"/>
    <w:rsid w:val="00AD2D04"/>
    <w:rsid w:val="00AE58E4"/>
    <w:rsid w:val="00AF5402"/>
    <w:rsid w:val="00AF6877"/>
    <w:rsid w:val="00B04500"/>
    <w:rsid w:val="00B04608"/>
    <w:rsid w:val="00B05ED4"/>
    <w:rsid w:val="00B14E3D"/>
    <w:rsid w:val="00B25BBB"/>
    <w:rsid w:val="00B262F7"/>
    <w:rsid w:val="00B26D3A"/>
    <w:rsid w:val="00B2784F"/>
    <w:rsid w:val="00B31226"/>
    <w:rsid w:val="00B3140B"/>
    <w:rsid w:val="00B344E3"/>
    <w:rsid w:val="00B45CF4"/>
    <w:rsid w:val="00B50B70"/>
    <w:rsid w:val="00B53CFF"/>
    <w:rsid w:val="00B62DFD"/>
    <w:rsid w:val="00B63257"/>
    <w:rsid w:val="00B63984"/>
    <w:rsid w:val="00B7187D"/>
    <w:rsid w:val="00B800C3"/>
    <w:rsid w:val="00B80417"/>
    <w:rsid w:val="00B90B53"/>
    <w:rsid w:val="00B91336"/>
    <w:rsid w:val="00B91684"/>
    <w:rsid w:val="00B931EC"/>
    <w:rsid w:val="00B94C00"/>
    <w:rsid w:val="00B95715"/>
    <w:rsid w:val="00BA7F02"/>
    <w:rsid w:val="00BB2961"/>
    <w:rsid w:val="00BC1460"/>
    <w:rsid w:val="00BC2194"/>
    <w:rsid w:val="00BC7C00"/>
    <w:rsid w:val="00BD6935"/>
    <w:rsid w:val="00BE0F58"/>
    <w:rsid w:val="00BF0806"/>
    <w:rsid w:val="00C046D6"/>
    <w:rsid w:val="00C050D2"/>
    <w:rsid w:val="00C106B7"/>
    <w:rsid w:val="00C16825"/>
    <w:rsid w:val="00C26716"/>
    <w:rsid w:val="00C26B18"/>
    <w:rsid w:val="00C34660"/>
    <w:rsid w:val="00C34CB6"/>
    <w:rsid w:val="00C34E46"/>
    <w:rsid w:val="00C376AB"/>
    <w:rsid w:val="00C37C42"/>
    <w:rsid w:val="00C679B7"/>
    <w:rsid w:val="00C9082B"/>
    <w:rsid w:val="00C90E1D"/>
    <w:rsid w:val="00C91E56"/>
    <w:rsid w:val="00C97096"/>
    <w:rsid w:val="00CA08BF"/>
    <w:rsid w:val="00CA6A73"/>
    <w:rsid w:val="00CC005F"/>
    <w:rsid w:val="00CC222F"/>
    <w:rsid w:val="00CD039D"/>
    <w:rsid w:val="00CD7D80"/>
    <w:rsid w:val="00CE3504"/>
    <w:rsid w:val="00CE5427"/>
    <w:rsid w:val="00CF5B00"/>
    <w:rsid w:val="00D02CA1"/>
    <w:rsid w:val="00D051B3"/>
    <w:rsid w:val="00D163BB"/>
    <w:rsid w:val="00D34A3D"/>
    <w:rsid w:val="00D35A36"/>
    <w:rsid w:val="00D4101E"/>
    <w:rsid w:val="00D467A2"/>
    <w:rsid w:val="00D47EA8"/>
    <w:rsid w:val="00D50B2D"/>
    <w:rsid w:val="00D56354"/>
    <w:rsid w:val="00D567F4"/>
    <w:rsid w:val="00D606C6"/>
    <w:rsid w:val="00D651FF"/>
    <w:rsid w:val="00D67940"/>
    <w:rsid w:val="00D74427"/>
    <w:rsid w:val="00D769DD"/>
    <w:rsid w:val="00D84D7A"/>
    <w:rsid w:val="00D8585B"/>
    <w:rsid w:val="00D92459"/>
    <w:rsid w:val="00D9538D"/>
    <w:rsid w:val="00D97837"/>
    <w:rsid w:val="00DA3C3D"/>
    <w:rsid w:val="00DA6B68"/>
    <w:rsid w:val="00DB3AAB"/>
    <w:rsid w:val="00DC41B8"/>
    <w:rsid w:val="00DC78E7"/>
    <w:rsid w:val="00DD379A"/>
    <w:rsid w:val="00DD4EDB"/>
    <w:rsid w:val="00DD6B71"/>
    <w:rsid w:val="00DE38C4"/>
    <w:rsid w:val="00E008EB"/>
    <w:rsid w:val="00E019D3"/>
    <w:rsid w:val="00E03CCD"/>
    <w:rsid w:val="00E1013D"/>
    <w:rsid w:val="00E16CD4"/>
    <w:rsid w:val="00E23AA8"/>
    <w:rsid w:val="00E2403E"/>
    <w:rsid w:val="00E24C47"/>
    <w:rsid w:val="00E41913"/>
    <w:rsid w:val="00E43A3C"/>
    <w:rsid w:val="00E4416C"/>
    <w:rsid w:val="00E5035A"/>
    <w:rsid w:val="00E52F54"/>
    <w:rsid w:val="00E54FC9"/>
    <w:rsid w:val="00E55BD3"/>
    <w:rsid w:val="00E56ECD"/>
    <w:rsid w:val="00E634AE"/>
    <w:rsid w:val="00E716B7"/>
    <w:rsid w:val="00E80C4B"/>
    <w:rsid w:val="00E81EFF"/>
    <w:rsid w:val="00E91FA2"/>
    <w:rsid w:val="00E97A03"/>
    <w:rsid w:val="00EA0F60"/>
    <w:rsid w:val="00EA11E1"/>
    <w:rsid w:val="00EA4E3D"/>
    <w:rsid w:val="00EC1BA3"/>
    <w:rsid w:val="00ED06DD"/>
    <w:rsid w:val="00EE534F"/>
    <w:rsid w:val="00EF014A"/>
    <w:rsid w:val="00EF5A72"/>
    <w:rsid w:val="00EF6579"/>
    <w:rsid w:val="00F07FDC"/>
    <w:rsid w:val="00F16926"/>
    <w:rsid w:val="00F176DC"/>
    <w:rsid w:val="00F27AFE"/>
    <w:rsid w:val="00F42124"/>
    <w:rsid w:val="00F425FE"/>
    <w:rsid w:val="00F47399"/>
    <w:rsid w:val="00F5299B"/>
    <w:rsid w:val="00F558BA"/>
    <w:rsid w:val="00F601A7"/>
    <w:rsid w:val="00F62D54"/>
    <w:rsid w:val="00FA11DF"/>
    <w:rsid w:val="00FA4802"/>
    <w:rsid w:val="00FA68FE"/>
    <w:rsid w:val="00FC349E"/>
    <w:rsid w:val="00FD2757"/>
    <w:rsid w:val="00FD2880"/>
    <w:rsid w:val="00FE0920"/>
    <w:rsid w:val="00FE142D"/>
    <w:rsid w:val="00FE7FD8"/>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55209-5BDE-4B1B-887F-4CA5C65F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467A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D467A2"/>
    <w:pPr>
      <w:tabs>
        <w:tab w:val="center" w:pos="4252"/>
        <w:tab w:val="right" w:pos="8504"/>
      </w:tabs>
    </w:pPr>
  </w:style>
  <w:style w:type="character" w:customStyle="1" w:styleId="PiedepginaCar">
    <w:name w:val="Pie de página Car"/>
    <w:basedOn w:val="Fuentedeprrafopredeter"/>
    <w:link w:val="Piedepgina"/>
    <w:rsid w:val="00D467A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467A2"/>
  </w:style>
  <w:style w:type="paragraph" w:styleId="Sinespaciado">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D467A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D467A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D467A2"/>
    <w:rPr>
      <w:vertAlign w:val="superscript"/>
    </w:rPr>
  </w:style>
  <w:style w:type="character" w:styleId="Textoennegrita">
    <w:name w:val="Strong"/>
    <w:basedOn w:val="Fuentedeprrafopredeter"/>
    <w:qFormat/>
    <w:rsid w:val="00D467A2"/>
    <w:rPr>
      <w:b/>
      <w:bCs/>
    </w:rPr>
  </w:style>
  <w:style w:type="paragraph" w:styleId="Textoindependiente">
    <w:name w:val="Body Text"/>
    <w:basedOn w:val="Normal"/>
    <w:link w:val="TextoindependienteCar"/>
    <w:rsid w:val="00D467A2"/>
    <w:pPr>
      <w:spacing w:after="120"/>
    </w:pPr>
    <w:rPr>
      <w:szCs w:val="24"/>
      <w:lang w:val="es-ES"/>
    </w:rPr>
  </w:style>
  <w:style w:type="character" w:customStyle="1" w:styleId="TextoindependienteCar">
    <w:name w:val="Texto independiente Car"/>
    <w:basedOn w:val="Fuentedeprrafopredeter"/>
    <w:link w:val="Textoindependien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467A2"/>
  </w:style>
  <w:style w:type="character" w:customStyle="1" w:styleId="baj">
    <w:name w:val="b_aj"/>
    <w:basedOn w:val="Fuentedeprrafopredeter"/>
    <w:rsid w:val="00D467A2"/>
  </w:style>
  <w:style w:type="character" w:styleId="nfasis">
    <w:name w:val="Emphasis"/>
    <w:basedOn w:val="Fuentedeprrafopredeter"/>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596D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D29"/>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437A72"/>
    <w:pPr>
      <w:tabs>
        <w:tab w:val="center" w:pos="4252"/>
        <w:tab w:val="right" w:pos="8504"/>
      </w:tabs>
    </w:pPr>
  </w:style>
  <w:style w:type="character" w:customStyle="1" w:styleId="EncabezadoCar">
    <w:name w:val="Encabezado Car"/>
    <w:basedOn w:val="Fuentedeprrafopredeter"/>
    <w:link w:val="Encabezado"/>
    <w:uiPriority w:val="99"/>
    <w:rsid w:val="00437A7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C34E46"/>
    <w:pPr>
      <w:ind w:left="720"/>
      <w:contextualSpacing/>
    </w:pPr>
  </w:style>
  <w:style w:type="character" w:styleId="Hipervnculo">
    <w:name w:val="Hyperlink"/>
    <w:basedOn w:val="Fuentedeprrafopredeter"/>
    <w:uiPriority w:val="99"/>
    <w:semiHidden/>
    <w:unhideWhenUsed/>
    <w:rsid w:val="00D4101E"/>
    <w:rPr>
      <w:color w:val="0000FF"/>
      <w:u w:val="single"/>
    </w:rPr>
  </w:style>
  <w:style w:type="paragraph" w:customStyle="1" w:styleId="Sangradetindependiente">
    <w:name w:val="Sangría de t. independiente"/>
    <w:basedOn w:val="Normal"/>
    <w:uiPriority w:val="99"/>
    <w:rsid w:val="002B5F03"/>
    <w:pPr>
      <w:autoSpaceDE w:val="0"/>
      <w:autoSpaceDN w:val="0"/>
      <w:spacing w:after="120"/>
      <w:ind w:left="360"/>
      <w:jc w:val="both"/>
    </w:pPr>
    <w:rPr>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suprema.gov.co/corte/wp-content/uploads/relatorias/ci/babr2017/SC211-2017%20(2005-00124-01).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9B60-94FE-49A1-BFE9-F6709D1D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2345</Words>
  <Characters>12901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8</cp:revision>
  <cp:lastPrinted>2018-08-17T19:45:00Z</cp:lastPrinted>
  <dcterms:created xsi:type="dcterms:W3CDTF">2018-08-17T20:03:00Z</dcterms:created>
  <dcterms:modified xsi:type="dcterms:W3CDTF">2018-09-25T16:27:00Z</dcterms:modified>
</cp:coreProperties>
</file>