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36" w:rsidRPr="004420AA" w:rsidRDefault="00977236" w:rsidP="00977236">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977236" w:rsidRPr="00977236" w:rsidRDefault="00977236" w:rsidP="00977236">
      <w:pPr>
        <w:spacing w:line="276" w:lineRule="auto"/>
        <w:rPr>
          <w:rFonts w:ascii="Arial" w:hAnsi="Arial" w:cs="Arial"/>
          <w:sz w:val="20"/>
        </w:rPr>
      </w:pPr>
    </w:p>
    <w:p w:rsidR="00977236" w:rsidRPr="00EB3308" w:rsidRDefault="00977236" w:rsidP="00977236">
      <w:pPr>
        <w:spacing w:after="0"/>
        <w:jc w:val="both"/>
        <w:rPr>
          <w:rFonts w:ascii="Arial" w:hAnsi="Arial" w:cs="Arial"/>
          <w:b/>
          <w:sz w:val="18"/>
          <w:szCs w:val="16"/>
        </w:rPr>
      </w:pPr>
      <w:r w:rsidRPr="00EB3308">
        <w:rPr>
          <w:rFonts w:ascii="Arial" w:hAnsi="Arial" w:cs="Arial"/>
          <w:b/>
          <w:sz w:val="18"/>
          <w:szCs w:val="16"/>
        </w:rPr>
        <w:t>Asunto.</w:t>
      </w:r>
      <w:r w:rsidRPr="00EB3308">
        <w:rPr>
          <w:rFonts w:ascii="Arial" w:hAnsi="Arial" w:cs="Arial"/>
          <w:sz w:val="18"/>
          <w:szCs w:val="16"/>
        </w:rPr>
        <w:tab/>
      </w:r>
      <w:r w:rsidRPr="00EB3308">
        <w:rPr>
          <w:rFonts w:ascii="Arial" w:hAnsi="Arial" w:cs="Arial"/>
          <w:sz w:val="18"/>
          <w:szCs w:val="16"/>
        </w:rPr>
        <w:tab/>
      </w:r>
      <w:r w:rsidRPr="00EB3308">
        <w:rPr>
          <w:rFonts w:ascii="Arial" w:hAnsi="Arial" w:cs="Arial"/>
          <w:sz w:val="18"/>
          <w:szCs w:val="16"/>
        </w:rPr>
        <w:tab/>
        <w:t>Apelación</w:t>
      </w:r>
      <w:r>
        <w:rPr>
          <w:rFonts w:ascii="Arial" w:hAnsi="Arial" w:cs="Arial"/>
          <w:sz w:val="18"/>
          <w:szCs w:val="16"/>
        </w:rPr>
        <w:t xml:space="preserve"> sentencia </w:t>
      </w:r>
      <w:r w:rsidRPr="00EB3308">
        <w:rPr>
          <w:rFonts w:ascii="Arial" w:hAnsi="Arial" w:cs="Arial"/>
          <w:sz w:val="18"/>
          <w:szCs w:val="16"/>
        </w:rPr>
        <w:tab/>
        <w:t xml:space="preserve"> </w:t>
      </w:r>
    </w:p>
    <w:p w:rsidR="00977236" w:rsidRPr="00EB3308" w:rsidRDefault="00977236" w:rsidP="00977236">
      <w:pPr>
        <w:spacing w:after="0"/>
        <w:jc w:val="both"/>
        <w:rPr>
          <w:rFonts w:ascii="Arial" w:hAnsi="Arial" w:cs="Arial"/>
          <w:b/>
          <w:sz w:val="18"/>
          <w:szCs w:val="16"/>
        </w:rPr>
      </w:pPr>
      <w:r w:rsidRPr="00EB3308">
        <w:rPr>
          <w:rFonts w:ascii="Arial" w:hAnsi="Arial" w:cs="Arial"/>
          <w:b/>
          <w:sz w:val="18"/>
          <w:szCs w:val="16"/>
        </w:rPr>
        <w:t>Proceso.</w:t>
      </w:r>
      <w:r w:rsidRPr="00EB3308">
        <w:rPr>
          <w:rFonts w:ascii="Arial" w:hAnsi="Arial" w:cs="Arial"/>
          <w:b/>
          <w:sz w:val="18"/>
          <w:szCs w:val="16"/>
        </w:rPr>
        <w:tab/>
      </w:r>
      <w:r w:rsidRPr="00EB3308">
        <w:rPr>
          <w:rFonts w:ascii="Arial" w:hAnsi="Arial" w:cs="Arial"/>
          <w:b/>
          <w:sz w:val="18"/>
          <w:szCs w:val="16"/>
        </w:rPr>
        <w:tab/>
      </w:r>
      <w:r w:rsidRPr="00EB3308">
        <w:rPr>
          <w:rFonts w:ascii="Arial" w:hAnsi="Arial" w:cs="Arial"/>
          <w:iCs/>
          <w:sz w:val="18"/>
          <w:szCs w:val="16"/>
        </w:rPr>
        <w:t>Ordinario laboral</w:t>
      </w:r>
    </w:p>
    <w:p w:rsidR="00977236" w:rsidRPr="00EB3308" w:rsidRDefault="00977236" w:rsidP="00977236">
      <w:pPr>
        <w:spacing w:after="0"/>
        <w:jc w:val="both"/>
        <w:rPr>
          <w:rFonts w:ascii="Arial" w:hAnsi="Arial" w:cs="Arial"/>
          <w:b/>
          <w:bCs/>
          <w:iCs/>
          <w:sz w:val="18"/>
          <w:szCs w:val="16"/>
        </w:rPr>
      </w:pPr>
      <w:r w:rsidRPr="00EB3308">
        <w:rPr>
          <w:rFonts w:ascii="Arial" w:hAnsi="Arial" w:cs="Arial"/>
          <w:b/>
          <w:sz w:val="18"/>
          <w:szCs w:val="16"/>
        </w:rPr>
        <w:t>Radicación Nro.</w:t>
      </w:r>
      <w:r w:rsidRPr="00EB3308">
        <w:rPr>
          <w:rFonts w:ascii="Arial" w:hAnsi="Arial" w:cs="Arial"/>
          <w:sz w:val="18"/>
          <w:szCs w:val="16"/>
        </w:rPr>
        <w:t>:</w:t>
      </w:r>
      <w:r w:rsidRPr="00EB3308">
        <w:rPr>
          <w:rFonts w:ascii="Arial" w:hAnsi="Arial" w:cs="Arial"/>
          <w:sz w:val="18"/>
          <w:szCs w:val="16"/>
        </w:rPr>
        <w:tab/>
      </w:r>
      <w:r>
        <w:rPr>
          <w:rFonts w:ascii="Arial" w:hAnsi="Arial" w:cs="Arial"/>
          <w:sz w:val="18"/>
          <w:szCs w:val="16"/>
        </w:rPr>
        <w:t>66001-31-05-003-2016-00364</w:t>
      </w:r>
      <w:r w:rsidRPr="00EB3308">
        <w:rPr>
          <w:rFonts w:ascii="Arial" w:hAnsi="Arial" w:cs="Arial"/>
          <w:sz w:val="18"/>
          <w:szCs w:val="16"/>
        </w:rPr>
        <w:t>-01</w:t>
      </w:r>
    </w:p>
    <w:p w:rsidR="00977236" w:rsidRPr="00EB3308" w:rsidRDefault="00977236" w:rsidP="00977236">
      <w:pPr>
        <w:spacing w:after="0"/>
        <w:jc w:val="both"/>
        <w:rPr>
          <w:rFonts w:ascii="Arial" w:hAnsi="Arial" w:cs="Arial"/>
          <w:b/>
          <w:bCs/>
          <w:iCs/>
          <w:sz w:val="18"/>
          <w:szCs w:val="16"/>
        </w:rPr>
      </w:pPr>
      <w:r w:rsidRPr="00EB3308">
        <w:rPr>
          <w:rFonts w:ascii="Arial" w:hAnsi="Arial" w:cs="Arial"/>
          <w:b/>
          <w:bCs/>
          <w:iCs/>
          <w:sz w:val="18"/>
          <w:szCs w:val="16"/>
        </w:rPr>
        <w:t>Demandante:</w:t>
      </w:r>
      <w:r w:rsidRPr="00EB3308">
        <w:rPr>
          <w:rFonts w:ascii="Arial" w:hAnsi="Arial" w:cs="Arial"/>
          <w:iCs/>
          <w:sz w:val="18"/>
          <w:szCs w:val="16"/>
        </w:rPr>
        <w:t xml:space="preserve"> </w:t>
      </w:r>
      <w:r w:rsidRPr="00EB3308">
        <w:rPr>
          <w:rFonts w:ascii="Arial" w:hAnsi="Arial" w:cs="Arial"/>
          <w:iCs/>
          <w:sz w:val="18"/>
          <w:szCs w:val="16"/>
        </w:rPr>
        <w:tab/>
      </w:r>
      <w:r w:rsidRPr="00EB3308">
        <w:rPr>
          <w:rFonts w:ascii="Arial" w:hAnsi="Arial" w:cs="Arial"/>
          <w:iCs/>
          <w:sz w:val="18"/>
          <w:szCs w:val="16"/>
        </w:rPr>
        <w:tab/>
      </w:r>
      <w:r>
        <w:rPr>
          <w:rFonts w:ascii="Arial" w:hAnsi="Arial" w:cs="Arial"/>
          <w:bCs/>
          <w:iCs/>
          <w:sz w:val="18"/>
          <w:szCs w:val="16"/>
        </w:rPr>
        <w:t>Ana Cristina Marín Cardona</w:t>
      </w:r>
      <w:r w:rsidRPr="00EB3308">
        <w:rPr>
          <w:rFonts w:ascii="Arial" w:hAnsi="Arial" w:cs="Arial"/>
          <w:bCs/>
          <w:iCs/>
          <w:sz w:val="18"/>
          <w:szCs w:val="16"/>
        </w:rPr>
        <w:t xml:space="preserve"> </w:t>
      </w:r>
    </w:p>
    <w:p w:rsidR="00977236" w:rsidRDefault="00977236" w:rsidP="00977236">
      <w:pPr>
        <w:spacing w:after="0"/>
        <w:jc w:val="both"/>
        <w:rPr>
          <w:rFonts w:ascii="Arial" w:hAnsi="Arial" w:cs="Arial"/>
          <w:sz w:val="18"/>
          <w:szCs w:val="16"/>
        </w:rPr>
      </w:pPr>
      <w:r w:rsidRPr="00EB3308">
        <w:rPr>
          <w:rFonts w:ascii="Arial" w:hAnsi="Arial" w:cs="Arial"/>
          <w:b/>
          <w:bCs/>
          <w:iCs/>
          <w:sz w:val="18"/>
          <w:szCs w:val="16"/>
        </w:rPr>
        <w:t>Demandado:</w:t>
      </w:r>
      <w:r w:rsidRPr="00EB3308">
        <w:rPr>
          <w:rFonts w:ascii="Arial" w:hAnsi="Arial" w:cs="Arial"/>
          <w:sz w:val="18"/>
          <w:szCs w:val="16"/>
        </w:rPr>
        <w:t xml:space="preserve"> </w:t>
      </w:r>
      <w:r w:rsidRPr="00EB3308">
        <w:rPr>
          <w:rFonts w:ascii="Arial" w:hAnsi="Arial" w:cs="Arial"/>
          <w:sz w:val="18"/>
          <w:szCs w:val="16"/>
        </w:rPr>
        <w:tab/>
      </w:r>
      <w:r>
        <w:rPr>
          <w:rFonts w:ascii="Arial" w:hAnsi="Arial" w:cs="Arial"/>
          <w:sz w:val="18"/>
          <w:szCs w:val="16"/>
        </w:rPr>
        <w:tab/>
      </w:r>
      <w:r>
        <w:rPr>
          <w:rFonts w:ascii="Arial" w:hAnsi="Arial" w:cs="Arial"/>
          <w:sz w:val="18"/>
          <w:szCs w:val="16"/>
        </w:rPr>
        <w:t>Administradora de Fondos de Pensiones y Cesantías Porvenir S.A.</w:t>
      </w:r>
    </w:p>
    <w:p w:rsidR="00977236" w:rsidRDefault="00977236" w:rsidP="00977236">
      <w:pPr>
        <w:spacing w:after="0"/>
        <w:jc w:val="both"/>
        <w:rPr>
          <w:rFonts w:ascii="Arial" w:hAnsi="Arial" w:cs="Arial"/>
          <w:sz w:val="18"/>
          <w:szCs w:val="16"/>
        </w:rPr>
      </w:pPr>
      <w:r>
        <w:rPr>
          <w:rFonts w:ascii="Arial" w:hAnsi="Arial" w:cs="Arial"/>
          <w:b/>
          <w:bCs/>
          <w:iCs/>
          <w:sz w:val="18"/>
          <w:szCs w:val="16"/>
        </w:rPr>
        <w:t>Vinculado:</w:t>
      </w:r>
      <w:r>
        <w:rPr>
          <w:rFonts w:ascii="Arial" w:hAnsi="Arial" w:cs="Arial"/>
          <w:sz w:val="18"/>
          <w:szCs w:val="16"/>
        </w:rPr>
        <w:tab/>
      </w:r>
      <w:r>
        <w:rPr>
          <w:rFonts w:ascii="Arial" w:hAnsi="Arial" w:cs="Arial"/>
          <w:sz w:val="18"/>
          <w:szCs w:val="16"/>
        </w:rPr>
        <w:tab/>
      </w:r>
      <w:r>
        <w:rPr>
          <w:rFonts w:ascii="Arial" w:hAnsi="Arial" w:cs="Arial"/>
          <w:sz w:val="18"/>
          <w:szCs w:val="16"/>
        </w:rPr>
        <w:t xml:space="preserve">Samuel Agudelo Cañas – representado </w:t>
      </w:r>
      <w:r>
        <w:rPr>
          <w:rFonts w:ascii="Arial" w:hAnsi="Arial" w:cs="Arial"/>
          <w:sz w:val="18"/>
          <w:szCs w:val="16"/>
        </w:rPr>
        <w:t xml:space="preserve">por </w:t>
      </w:r>
      <w:proofErr w:type="spellStart"/>
      <w:r>
        <w:rPr>
          <w:rFonts w:ascii="Arial" w:hAnsi="Arial" w:cs="Arial"/>
          <w:sz w:val="18"/>
          <w:szCs w:val="16"/>
        </w:rPr>
        <w:t>Yurani</w:t>
      </w:r>
      <w:proofErr w:type="spellEnd"/>
      <w:r>
        <w:rPr>
          <w:rFonts w:ascii="Arial" w:hAnsi="Arial" w:cs="Arial"/>
          <w:sz w:val="18"/>
          <w:szCs w:val="16"/>
        </w:rPr>
        <w:t xml:space="preserve"> Andrea Cañas Vélez –</w:t>
      </w:r>
    </w:p>
    <w:p w:rsidR="00977236" w:rsidRDefault="00977236" w:rsidP="00977236">
      <w:pPr>
        <w:spacing w:after="0"/>
        <w:ind w:left="1416" w:firstLine="708"/>
        <w:jc w:val="both"/>
        <w:rPr>
          <w:rFonts w:ascii="Arial" w:hAnsi="Arial" w:cs="Arial"/>
          <w:sz w:val="18"/>
          <w:szCs w:val="16"/>
        </w:rPr>
      </w:pPr>
      <w:proofErr w:type="spellStart"/>
      <w:r>
        <w:rPr>
          <w:rFonts w:ascii="Arial" w:hAnsi="Arial" w:cs="Arial"/>
          <w:sz w:val="18"/>
          <w:szCs w:val="16"/>
        </w:rPr>
        <w:t>Jhon</w:t>
      </w:r>
      <w:proofErr w:type="spellEnd"/>
      <w:r>
        <w:rPr>
          <w:rFonts w:ascii="Arial" w:hAnsi="Arial" w:cs="Arial"/>
          <w:sz w:val="18"/>
          <w:szCs w:val="16"/>
        </w:rPr>
        <w:t xml:space="preserve"> </w:t>
      </w:r>
      <w:proofErr w:type="spellStart"/>
      <w:r>
        <w:rPr>
          <w:rFonts w:ascii="Arial" w:hAnsi="Arial" w:cs="Arial"/>
          <w:sz w:val="18"/>
          <w:szCs w:val="16"/>
        </w:rPr>
        <w:t>Ever</w:t>
      </w:r>
      <w:proofErr w:type="spellEnd"/>
      <w:r>
        <w:rPr>
          <w:rFonts w:ascii="Arial" w:hAnsi="Arial" w:cs="Arial"/>
          <w:sz w:val="18"/>
          <w:szCs w:val="16"/>
        </w:rPr>
        <w:t xml:space="preserve"> Agudelo Marín y Bryan Andrés Agudelo Marín</w:t>
      </w:r>
    </w:p>
    <w:p w:rsidR="00977236" w:rsidRPr="00977236" w:rsidRDefault="00977236" w:rsidP="00977236">
      <w:pPr>
        <w:spacing w:line="276" w:lineRule="auto"/>
        <w:rPr>
          <w:rFonts w:ascii="Arial" w:hAnsi="Arial" w:cs="Arial"/>
          <w:sz w:val="20"/>
        </w:rPr>
      </w:pPr>
      <w:r w:rsidRPr="00EB3308">
        <w:rPr>
          <w:rFonts w:ascii="Arial" w:hAnsi="Arial" w:cs="Arial"/>
          <w:b/>
          <w:sz w:val="18"/>
          <w:szCs w:val="16"/>
        </w:rPr>
        <w:t>Juzgado de Origen:</w:t>
      </w:r>
      <w:r w:rsidRPr="00EB3308">
        <w:rPr>
          <w:rFonts w:ascii="Arial" w:hAnsi="Arial" w:cs="Arial"/>
          <w:b/>
          <w:sz w:val="18"/>
          <w:szCs w:val="16"/>
        </w:rPr>
        <w:tab/>
      </w:r>
      <w:r>
        <w:rPr>
          <w:rFonts w:ascii="Arial" w:hAnsi="Arial" w:cs="Arial"/>
          <w:sz w:val="18"/>
          <w:szCs w:val="16"/>
        </w:rPr>
        <w:t>Tercero</w:t>
      </w:r>
      <w:r w:rsidRPr="00EB3308">
        <w:rPr>
          <w:rFonts w:ascii="Arial" w:hAnsi="Arial" w:cs="Arial"/>
          <w:sz w:val="18"/>
          <w:szCs w:val="16"/>
        </w:rPr>
        <w:t xml:space="preserve"> Laboral del Circuito de Pereira</w:t>
      </w:r>
    </w:p>
    <w:p w:rsidR="00BD134C" w:rsidRPr="008726C2" w:rsidRDefault="00BD134C" w:rsidP="00BD134C">
      <w:pPr>
        <w:pStyle w:val="Sinespaciado"/>
        <w:ind w:hanging="3"/>
        <w:jc w:val="both"/>
        <w:rPr>
          <w:rFonts w:ascii="Arial" w:hAnsi="Arial" w:cs="Arial"/>
          <w:b/>
          <w:szCs w:val="20"/>
          <w:lang w:val="es-CO"/>
        </w:rPr>
      </w:pPr>
      <w:r w:rsidRPr="008726C2">
        <w:rPr>
          <w:rFonts w:ascii="Arial" w:hAnsi="Arial" w:cs="Arial"/>
          <w:b/>
          <w:szCs w:val="20"/>
          <w:u w:val="single"/>
          <w:lang w:val="es-CO"/>
        </w:rPr>
        <w:t>Temas:</w:t>
      </w:r>
      <w:r w:rsidRPr="008726C2">
        <w:rPr>
          <w:rFonts w:ascii="Arial" w:hAnsi="Arial" w:cs="Arial"/>
          <w:b/>
          <w:szCs w:val="20"/>
          <w:lang w:val="es-CO"/>
        </w:rPr>
        <w:tab/>
      </w:r>
      <w:r>
        <w:rPr>
          <w:rFonts w:ascii="Arial" w:hAnsi="Arial" w:cs="Arial"/>
          <w:b/>
          <w:bCs/>
          <w:sz w:val="18"/>
          <w:szCs w:val="16"/>
        </w:rPr>
        <w:t xml:space="preserve">PENSIÓN DE SOBREVIVIENTES </w:t>
      </w:r>
      <w:r w:rsidR="00A94E1D">
        <w:rPr>
          <w:rFonts w:ascii="Arial" w:hAnsi="Arial" w:cs="Arial"/>
          <w:b/>
          <w:bCs/>
          <w:sz w:val="18"/>
          <w:szCs w:val="16"/>
        </w:rPr>
        <w:t>/</w:t>
      </w:r>
      <w:r>
        <w:rPr>
          <w:rFonts w:ascii="Arial" w:hAnsi="Arial" w:cs="Arial"/>
          <w:b/>
          <w:bCs/>
          <w:sz w:val="18"/>
          <w:szCs w:val="16"/>
        </w:rPr>
        <w:t xml:space="preserve"> CÓNYUGE </w:t>
      </w:r>
      <w:r w:rsidR="00A94E1D">
        <w:rPr>
          <w:rFonts w:ascii="Arial" w:hAnsi="Arial" w:cs="Arial"/>
          <w:b/>
          <w:bCs/>
          <w:sz w:val="18"/>
          <w:szCs w:val="16"/>
        </w:rPr>
        <w:t>SEPARADO DE HECHO /</w:t>
      </w:r>
      <w:r>
        <w:rPr>
          <w:rFonts w:ascii="Arial" w:hAnsi="Arial" w:cs="Arial"/>
          <w:b/>
          <w:bCs/>
          <w:sz w:val="18"/>
          <w:szCs w:val="16"/>
        </w:rPr>
        <w:t xml:space="preserve"> </w:t>
      </w:r>
      <w:r w:rsidR="00A94E1D">
        <w:rPr>
          <w:rFonts w:ascii="Arial" w:hAnsi="Arial" w:cs="Arial"/>
          <w:b/>
          <w:bCs/>
          <w:sz w:val="18"/>
          <w:szCs w:val="16"/>
        </w:rPr>
        <w:t xml:space="preserve">REQUISITOS PARA CONSERVAR EL DERECHO A LA PENSIÓN / </w:t>
      </w:r>
      <w:r>
        <w:rPr>
          <w:rFonts w:ascii="Arial" w:hAnsi="Arial" w:cs="Arial"/>
          <w:b/>
          <w:bCs/>
          <w:sz w:val="18"/>
          <w:szCs w:val="16"/>
        </w:rPr>
        <w:t>NO DEMOSTRÓ LAZOS FAMILIARES</w:t>
      </w:r>
      <w:r>
        <w:rPr>
          <w:rFonts w:ascii="Arial" w:hAnsi="Arial" w:cs="Arial"/>
          <w:b/>
          <w:bCs/>
          <w:sz w:val="20"/>
          <w:szCs w:val="16"/>
        </w:rPr>
        <w:t>.</w:t>
      </w:r>
      <w:bookmarkStart w:id="0" w:name="_GoBack"/>
      <w:bookmarkEnd w:id="0"/>
    </w:p>
    <w:p w:rsidR="00BD134C" w:rsidRDefault="00BD134C" w:rsidP="00BD134C">
      <w:pPr>
        <w:pStyle w:val="Sinespaciado"/>
        <w:ind w:hanging="3"/>
        <w:jc w:val="both"/>
        <w:rPr>
          <w:rFonts w:ascii="Arial" w:hAnsi="Arial" w:cs="Arial"/>
          <w:sz w:val="20"/>
          <w:szCs w:val="20"/>
          <w:lang w:val="es-CO"/>
        </w:rPr>
      </w:pPr>
    </w:p>
    <w:p w:rsidR="00BD134C" w:rsidRPr="00BD134C" w:rsidRDefault="00BD134C" w:rsidP="00BD134C">
      <w:pPr>
        <w:autoSpaceDE w:val="0"/>
        <w:autoSpaceDN w:val="0"/>
        <w:adjustRightInd w:val="0"/>
        <w:contextualSpacing/>
        <w:jc w:val="both"/>
        <w:rPr>
          <w:rFonts w:ascii="Arial" w:hAnsi="Arial" w:cs="Arial"/>
          <w:sz w:val="20"/>
        </w:rPr>
      </w:pPr>
      <w:r w:rsidRPr="00BD134C">
        <w:rPr>
          <w:rFonts w:ascii="Arial" w:hAnsi="Arial" w:cs="Arial"/>
          <w:sz w:val="20"/>
        </w:rPr>
        <w:t xml:space="preserve">… </w:t>
      </w:r>
      <w:r w:rsidRPr="00BD134C">
        <w:rPr>
          <w:rFonts w:ascii="Arial" w:hAnsi="Arial" w:cs="Arial"/>
          <w:sz w:val="20"/>
        </w:rPr>
        <w:t>la norma que rige el reconocimiento de la pensión de sobrevivientes o de la sustitución pensional, es aquella que se encuentre vigente al momento en que se presente el deceso del afiliado o pensionado</w:t>
      </w:r>
      <w:r w:rsidRPr="00BD134C">
        <w:rPr>
          <w:rFonts w:ascii="Arial" w:hAnsi="Arial" w:cs="Arial"/>
          <w:sz w:val="20"/>
        </w:rPr>
        <w:footnoteReference w:id="1"/>
      </w:r>
      <w:r w:rsidRPr="00BD134C">
        <w:rPr>
          <w:rFonts w:ascii="Arial" w:hAnsi="Arial" w:cs="Arial"/>
          <w:sz w:val="20"/>
        </w:rPr>
        <w:t xml:space="preserve">; que para el presente asunto fue el 28-02-2015, como se desprende del registro civil de defunción – </w:t>
      </w:r>
      <w:proofErr w:type="spellStart"/>
      <w:r w:rsidRPr="00BD134C">
        <w:rPr>
          <w:rFonts w:ascii="Arial" w:hAnsi="Arial" w:cs="Arial"/>
          <w:sz w:val="20"/>
        </w:rPr>
        <w:t>fl</w:t>
      </w:r>
      <w:proofErr w:type="spellEnd"/>
      <w:r w:rsidRPr="00BD134C">
        <w:rPr>
          <w:rFonts w:ascii="Arial" w:hAnsi="Arial" w:cs="Arial"/>
          <w:sz w:val="20"/>
        </w:rPr>
        <w:t>. 15 c. 1 -; por lo tanto, debemos remitirnos al contenido de los artículos 46 y 47 de la Ley 100 de 1993, modificados por la Ley 797 de 2003.</w:t>
      </w:r>
    </w:p>
    <w:p w:rsidR="00BD134C" w:rsidRPr="00BD134C" w:rsidRDefault="00BD134C" w:rsidP="00BD134C">
      <w:pPr>
        <w:autoSpaceDE w:val="0"/>
        <w:autoSpaceDN w:val="0"/>
        <w:adjustRightInd w:val="0"/>
        <w:contextualSpacing/>
        <w:jc w:val="both"/>
        <w:rPr>
          <w:rFonts w:ascii="Arial" w:hAnsi="Arial" w:cs="Arial"/>
          <w:sz w:val="20"/>
        </w:rPr>
      </w:pPr>
    </w:p>
    <w:p w:rsidR="00BD134C" w:rsidRPr="00BD134C" w:rsidRDefault="00BD134C" w:rsidP="00BD134C">
      <w:pPr>
        <w:autoSpaceDE w:val="0"/>
        <w:autoSpaceDN w:val="0"/>
        <w:adjustRightInd w:val="0"/>
        <w:contextualSpacing/>
        <w:jc w:val="both"/>
        <w:rPr>
          <w:rFonts w:ascii="Arial" w:hAnsi="Arial" w:cs="Arial"/>
          <w:sz w:val="20"/>
        </w:rPr>
      </w:pPr>
      <w:r w:rsidRPr="00BD134C">
        <w:rPr>
          <w:rFonts w:ascii="Arial" w:hAnsi="Arial" w:cs="Arial"/>
          <w:sz w:val="20"/>
        </w:rPr>
        <w:t>Ahora, el literal a) del artículo 47 de la Ley 100 de 1993, modificado por el artículo 13 de la Ley 797 de 2003 prescribió a la cónyuge supérstite como beneficiaria de la pensión de sobrevivientes de manera vitalicia, siempre que hubiera alcanzado 30 años de edad para la fecha del fallecimiento del afiliado o pensionado, y pruebe haber convivido con él, durante 5 años continuos previos a la muerte, como fue igualmente interpretado por la Corte Suprema de Justicia en sentencia de 20/05/2008, radicada al número 32393, que reiteró la sentencia de 05/04/2004, con número de radicación 22560.</w:t>
      </w:r>
    </w:p>
    <w:p w:rsidR="00BD134C" w:rsidRPr="00BD134C" w:rsidRDefault="00BD134C" w:rsidP="00BD134C">
      <w:pPr>
        <w:autoSpaceDE w:val="0"/>
        <w:autoSpaceDN w:val="0"/>
        <w:adjustRightInd w:val="0"/>
        <w:contextualSpacing/>
        <w:jc w:val="both"/>
        <w:rPr>
          <w:rFonts w:ascii="Arial" w:hAnsi="Arial" w:cs="Arial"/>
          <w:sz w:val="20"/>
        </w:rPr>
      </w:pPr>
    </w:p>
    <w:p w:rsidR="00BD134C" w:rsidRDefault="00BD134C" w:rsidP="00BD134C">
      <w:pPr>
        <w:autoSpaceDE w:val="0"/>
        <w:autoSpaceDN w:val="0"/>
        <w:adjustRightInd w:val="0"/>
        <w:contextualSpacing/>
        <w:jc w:val="both"/>
        <w:rPr>
          <w:rFonts w:ascii="Arial" w:hAnsi="Arial" w:cs="Arial"/>
          <w:sz w:val="20"/>
        </w:rPr>
      </w:pPr>
      <w:r w:rsidRPr="00BD134C">
        <w:rPr>
          <w:rFonts w:ascii="Arial" w:hAnsi="Arial" w:cs="Arial"/>
          <w:sz w:val="20"/>
        </w:rPr>
        <w:t xml:space="preserve">En conclusión, se legitima el otorgamiento de la prestación de sobrevivencia al cónyuge separado de hecho pero con vínculo matrimonial vigente cuando i) acredite convivencia por un término no inferior a 5 años en cualquier tiempo y ii) demuestre que pese a la separación de hecho, continuó perteneciendo a la familia del pensionado o afiliado; en caso de incumplir esta última regla que iii) pruebe que la ausencia de la unión familiar devino por situaciones ajenas a la voluntad del beneficiario, por último iv) dependiendo de la particularidad del evento analizado, que el beneficiario haya contribuido a la construcción de la pensión. </w:t>
      </w:r>
      <w:r w:rsidRPr="00BD134C">
        <w:rPr>
          <w:rFonts w:ascii="Arial" w:hAnsi="Arial" w:cs="Arial"/>
          <w:sz w:val="20"/>
        </w:rPr>
        <w:t>(…)</w:t>
      </w:r>
    </w:p>
    <w:p w:rsidR="00BD134C" w:rsidRPr="00BD134C" w:rsidRDefault="00BD134C" w:rsidP="00BD134C">
      <w:pPr>
        <w:autoSpaceDE w:val="0"/>
        <w:autoSpaceDN w:val="0"/>
        <w:adjustRightInd w:val="0"/>
        <w:contextualSpacing/>
        <w:jc w:val="both"/>
        <w:rPr>
          <w:rFonts w:ascii="Arial" w:hAnsi="Arial" w:cs="Arial"/>
          <w:sz w:val="20"/>
        </w:rPr>
      </w:pPr>
    </w:p>
    <w:p w:rsidR="00BD134C" w:rsidRPr="00BD134C" w:rsidRDefault="00BD134C" w:rsidP="00BD134C">
      <w:pPr>
        <w:autoSpaceDE w:val="0"/>
        <w:autoSpaceDN w:val="0"/>
        <w:adjustRightInd w:val="0"/>
        <w:contextualSpacing/>
        <w:jc w:val="both"/>
        <w:rPr>
          <w:rFonts w:ascii="Arial" w:hAnsi="Arial" w:cs="Arial"/>
          <w:sz w:val="20"/>
        </w:rPr>
      </w:pPr>
      <w:r w:rsidRPr="00BD134C">
        <w:rPr>
          <w:rFonts w:ascii="Arial" w:hAnsi="Arial" w:cs="Arial"/>
          <w:sz w:val="20"/>
        </w:rPr>
        <w:t xml:space="preserve">… </w:t>
      </w:r>
      <w:r w:rsidRPr="00BD134C">
        <w:rPr>
          <w:rFonts w:ascii="Arial" w:hAnsi="Arial" w:cs="Arial"/>
          <w:sz w:val="20"/>
        </w:rPr>
        <w:t>auscultado el material probatorio obrante en el proceso, se advierte que la demandante omitió acreditar la continuidad del auxilio mutuo, acompañamiento espiritual permanente y apoyo económico después de la separación que hubo con el causante, pese a que acreditó una convivencia de 5 años en cualquier tiempo</w:t>
      </w:r>
      <w:r w:rsidRPr="00BD134C">
        <w:rPr>
          <w:rFonts w:ascii="Arial" w:hAnsi="Arial" w:cs="Arial"/>
          <w:sz w:val="20"/>
        </w:rPr>
        <w:t>…</w:t>
      </w:r>
    </w:p>
    <w:p w:rsidR="00BD134C" w:rsidRPr="00BD134C" w:rsidRDefault="00BD134C" w:rsidP="00BD134C">
      <w:pPr>
        <w:autoSpaceDE w:val="0"/>
        <w:autoSpaceDN w:val="0"/>
        <w:adjustRightInd w:val="0"/>
        <w:contextualSpacing/>
        <w:jc w:val="both"/>
        <w:rPr>
          <w:rFonts w:ascii="Arial" w:hAnsi="Arial" w:cs="Arial"/>
          <w:sz w:val="20"/>
        </w:rPr>
      </w:pPr>
    </w:p>
    <w:p w:rsidR="00977236" w:rsidRPr="00977236" w:rsidRDefault="00977236" w:rsidP="00977236">
      <w:pPr>
        <w:spacing w:line="276" w:lineRule="auto"/>
        <w:rPr>
          <w:rFonts w:ascii="Arial" w:hAnsi="Arial" w:cs="Arial"/>
          <w:sz w:val="20"/>
        </w:rPr>
      </w:pPr>
    </w:p>
    <w:p w:rsidR="00C22616" w:rsidRPr="00621508" w:rsidRDefault="00C22616" w:rsidP="00C22616">
      <w:pPr>
        <w:spacing w:after="0"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0D109937" wp14:editId="50D27DB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D134C" w:rsidRDefault="00BD134C" w:rsidP="00C22616">
      <w:pPr>
        <w:widowControl w:val="0"/>
        <w:spacing w:after="0" w:line="360" w:lineRule="auto"/>
        <w:jc w:val="center"/>
        <w:rPr>
          <w:rFonts w:ascii="Arial" w:hAnsi="Arial" w:cs="Arial"/>
          <w:kern w:val="28"/>
          <w:szCs w:val="24"/>
          <w:lang w:val="es-ES"/>
        </w:rPr>
      </w:pPr>
    </w:p>
    <w:p w:rsidR="00C22616" w:rsidRPr="00781A7A" w:rsidRDefault="00C22616" w:rsidP="00C22616">
      <w:pPr>
        <w:widowControl w:val="0"/>
        <w:spacing w:after="0"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C22616" w:rsidRPr="00781A7A" w:rsidRDefault="00C22616" w:rsidP="00C22616">
      <w:pPr>
        <w:widowControl w:val="0"/>
        <w:spacing w:after="0"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C22616" w:rsidRPr="00781A7A" w:rsidRDefault="00C22616" w:rsidP="00C22616">
      <w:pPr>
        <w:keepNext/>
        <w:spacing w:after="0" w:line="360" w:lineRule="auto"/>
        <w:jc w:val="center"/>
        <w:rPr>
          <w:rFonts w:ascii="Arial" w:hAnsi="Arial" w:cs="Arial"/>
          <w:bCs/>
          <w:szCs w:val="24"/>
        </w:rPr>
      </w:pPr>
      <w:r w:rsidRPr="00781A7A">
        <w:rPr>
          <w:rFonts w:ascii="Arial" w:hAnsi="Arial" w:cs="Arial"/>
          <w:bCs/>
          <w:szCs w:val="24"/>
        </w:rPr>
        <w:t>SALA LABORAL</w:t>
      </w:r>
    </w:p>
    <w:p w:rsidR="00C22616" w:rsidRPr="00764878" w:rsidRDefault="00C22616" w:rsidP="00C22616">
      <w:pPr>
        <w:spacing w:after="0"/>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C22616" w:rsidRDefault="00C22616" w:rsidP="00C22616">
      <w:pPr>
        <w:widowControl w:val="0"/>
        <w:spacing w:after="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C22616" w:rsidRPr="00764878" w:rsidRDefault="00C22616" w:rsidP="00C22616">
      <w:pPr>
        <w:widowControl w:val="0"/>
        <w:spacing w:after="0"/>
        <w:jc w:val="center"/>
        <w:rPr>
          <w:rFonts w:ascii="Arial" w:hAnsi="Arial" w:cs="Arial"/>
          <w:b/>
          <w:bCs/>
          <w:color w:val="000000"/>
          <w:kern w:val="28"/>
          <w:szCs w:val="24"/>
          <w:lang w:val="es-ES"/>
        </w:rPr>
      </w:pPr>
    </w:p>
    <w:p w:rsidR="00A040E7" w:rsidRPr="00641218" w:rsidRDefault="00A040E7" w:rsidP="00A040E7">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850BBC">
        <w:rPr>
          <w:rFonts w:ascii="Arial" w:eastAsia="Calibri" w:hAnsi="Arial" w:cs="Arial"/>
          <w:sz w:val="24"/>
          <w:szCs w:val="24"/>
        </w:rPr>
        <w:t>dieciocho</w:t>
      </w:r>
      <w:r w:rsidR="00494898">
        <w:rPr>
          <w:rFonts w:ascii="Arial" w:eastAsia="Calibri" w:hAnsi="Arial" w:cs="Arial"/>
          <w:sz w:val="24"/>
          <w:szCs w:val="24"/>
        </w:rPr>
        <w:t xml:space="preserve"> </w:t>
      </w:r>
      <w:r w:rsidRPr="00641218">
        <w:rPr>
          <w:rFonts w:ascii="Arial" w:eastAsia="Calibri" w:hAnsi="Arial" w:cs="Arial"/>
          <w:sz w:val="24"/>
          <w:szCs w:val="24"/>
        </w:rPr>
        <w:t>(</w:t>
      </w:r>
      <w:r w:rsidR="00850BBC">
        <w:rPr>
          <w:rFonts w:ascii="Arial" w:eastAsia="Calibri" w:hAnsi="Arial" w:cs="Arial"/>
          <w:sz w:val="24"/>
          <w:szCs w:val="24"/>
        </w:rPr>
        <w:t>1</w:t>
      </w:r>
      <w:r w:rsidR="00494898">
        <w:rPr>
          <w:rFonts w:ascii="Arial" w:eastAsia="Calibri" w:hAnsi="Arial" w:cs="Arial"/>
          <w:sz w:val="24"/>
          <w:szCs w:val="24"/>
        </w:rPr>
        <w:t>8</w:t>
      </w:r>
      <w:r w:rsidRPr="00641218">
        <w:rPr>
          <w:rFonts w:ascii="Arial" w:eastAsia="Calibri" w:hAnsi="Arial" w:cs="Arial"/>
          <w:sz w:val="24"/>
          <w:szCs w:val="24"/>
        </w:rPr>
        <w:t xml:space="preserve">) días del mes de </w:t>
      </w:r>
      <w:r w:rsidR="00850BBC">
        <w:rPr>
          <w:rFonts w:ascii="Arial" w:eastAsia="Calibri" w:hAnsi="Arial" w:cs="Arial"/>
          <w:sz w:val="24"/>
          <w:szCs w:val="24"/>
        </w:rPr>
        <w:t>septiembre</w:t>
      </w:r>
      <w:r>
        <w:rPr>
          <w:rFonts w:ascii="Arial" w:eastAsia="Calibri" w:hAnsi="Arial" w:cs="Arial"/>
          <w:sz w:val="24"/>
          <w:szCs w:val="24"/>
        </w:rPr>
        <w:t xml:space="preserve">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494898">
        <w:rPr>
          <w:rFonts w:ascii="Arial" w:eastAsia="Calibri" w:hAnsi="Arial" w:cs="Arial"/>
          <w:sz w:val="24"/>
          <w:szCs w:val="24"/>
        </w:rPr>
        <w:t xml:space="preserve">ocho </w:t>
      </w:r>
      <w:r>
        <w:rPr>
          <w:rFonts w:ascii="Arial" w:eastAsia="Calibri" w:hAnsi="Arial" w:cs="Arial"/>
          <w:sz w:val="24"/>
          <w:szCs w:val="24"/>
        </w:rPr>
        <w:t>de la mañana (</w:t>
      </w:r>
      <w:r w:rsidR="00494898">
        <w:rPr>
          <w:rFonts w:ascii="Arial" w:eastAsia="Calibri" w:hAnsi="Arial" w:cs="Arial"/>
          <w:sz w:val="24"/>
          <w:szCs w:val="24"/>
        </w:rPr>
        <w:t>8</w:t>
      </w:r>
      <w:r>
        <w:rPr>
          <w:rFonts w:ascii="Arial" w:eastAsia="Calibri" w:hAnsi="Arial" w:cs="Arial"/>
          <w:sz w:val="24"/>
          <w:szCs w:val="24"/>
        </w:rPr>
        <w:t>:</w:t>
      </w:r>
      <w:r w:rsidR="00850BBC">
        <w:rPr>
          <w:rFonts w:ascii="Arial" w:eastAsia="Calibri" w:hAnsi="Arial" w:cs="Arial"/>
          <w:sz w:val="24"/>
          <w:szCs w:val="24"/>
        </w:rPr>
        <w:t>0</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resolver el </w:t>
      </w:r>
      <w:r>
        <w:rPr>
          <w:rFonts w:ascii="Arial" w:hAnsi="Arial" w:cs="Arial"/>
          <w:bCs/>
          <w:color w:val="000000"/>
          <w:sz w:val="24"/>
          <w:szCs w:val="24"/>
          <w:lang w:eastAsia="es-CO"/>
        </w:rPr>
        <w:t>recurso de apelación int</w:t>
      </w:r>
      <w:r w:rsidR="00C22616">
        <w:rPr>
          <w:rFonts w:ascii="Arial" w:hAnsi="Arial" w:cs="Arial"/>
          <w:bCs/>
          <w:color w:val="000000"/>
          <w:sz w:val="24"/>
          <w:szCs w:val="24"/>
          <w:lang w:eastAsia="es-CO"/>
        </w:rPr>
        <w:t xml:space="preserve">erpuesto por la parte </w:t>
      </w:r>
      <w:r w:rsidR="00494898">
        <w:rPr>
          <w:rFonts w:ascii="Arial" w:hAnsi="Arial" w:cs="Arial"/>
          <w:bCs/>
          <w:color w:val="000000"/>
          <w:sz w:val="24"/>
          <w:szCs w:val="24"/>
          <w:lang w:eastAsia="es-CO"/>
        </w:rPr>
        <w:lastRenderedPageBreak/>
        <w:t>demandante</w:t>
      </w:r>
      <w:r>
        <w:rPr>
          <w:rFonts w:ascii="Arial" w:hAnsi="Arial" w:cs="Arial"/>
          <w:bCs/>
          <w:color w:val="000000"/>
          <w:sz w:val="24"/>
          <w:szCs w:val="24"/>
          <w:lang w:eastAsia="es-CO"/>
        </w:rPr>
        <w:t xml:space="preserve"> </w:t>
      </w:r>
      <w:r w:rsidRPr="00641218">
        <w:rPr>
          <w:rFonts w:ascii="Arial" w:hAnsi="Arial" w:cs="Arial"/>
          <w:bCs/>
          <w:color w:val="000000"/>
          <w:sz w:val="24"/>
          <w:szCs w:val="24"/>
          <w:lang w:eastAsia="es-CO"/>
        </w:rPr>
        <w:t>respecto de la sentencia p</w:t>
      </w:r>
      <w:r>
        <w:rPr>
          <w:rFonts w:ascii="Arial" w:hAnsi="Arial" w:cs="Arial"/>
          <w:sz w:val="24"/>
          <w:szCs w:val="24"/>
        </w:rPr>
        <w:t xml:space="preserve">roferida el </w:t>
      </w:r>
      <w:r w:rsidR="00850BBC">
        <w:rPr>
          <w:rFonts w:ascii="Arial" w:hAnsi="Arial" w:cs="Arial"/>
          <w:sz w:val="24"/>
          <w:szCs w:val="24"/>
        </w:rPr>
        <w:t>13 de octubre de 2017</w:t>
      </w:r>
      <w:r w:rsidR="00494898">
        <w:rPr>
          <w:rFonts w:ascii="Arial" w:hAnsi="Arial" w:cs="Arial"/>
          <w:sz w:val="24"/>
          <w:szCs w:val="24"/>
        </w:rPr>
        <w:t xml:space="preserve"> </w:t>
      </w:r>
      <w:r w:rsidRPr="00641218">
        <w:rPr>
          <w:rFonts w:ascii="Arial" w:hAnsi="Arial" w:cs="Arial"/>
          <w:sz w:val="24"/>
          <w:szCs w:val="24"/>
        </w:rPr>
        <w:t xml:space="preserve">por el Juzgado </w:t>
      </w:r>
      <w:r w:rsidR="00850BBC">
        <w:rPr>
          <w:rFonts w:ascii="Arial" w:hAnsi="Arial" w:cs="Arial"/>
          <w:sz w:val="24"/>
          <w:szCs w:val="24"/>
        </w:rPr>
        <w:t>Tercero</w:t>
      </w:r>
      <w:r w:rsidR="00675972">
        <w:rPr>
          <w:rFonts w:ascii="Arial" w:hAnsi="Arial" w:cs="Arial"/>
          <w:sz w:val="24"/>
          <w:szCs w:val="24"/>
        </w:rPr>
        <w:t xml:space="preserve"> </w:t>
      </w:r>
      <w:r w:rsidRPr="00641218">
        <w:rPr>
          <w:rFonts w:ascii="Arial" w:hAnsi="Arial" w:cs="Arial"/>
          <w:sz w:val="24"/>
          <w:szCs w:val="24"/>
        </w:rPr>
        <w:t xml:space="preserve">Laboral del Circuito de Pereira, dentro del proceso que promueve la señora </w:t>
      </w:r>
      <w:r w:rsidR="00850BBC">
        <w:rPr>
          <w:rFonts w:ascii="Arial" w:hAnsi="Arial" w:cs="Arial"/>
          <w:b/>
          <w:sz w:val="24"/>
          <w:szCs w:val="24"/>
        </w:rPr>
        <w:t>Ana Cristina Marín Cardona</w:t>
      </w:r>
      <w:r w:rsidRPr="00641218">
        <w:rPr>
          <w:rFonts w:ascii="Arial" w:hAnsi="Arial" w:cs="Arial"/>
          <w:b/>
          <w:sz w:val="24"/>
          <w:szCs w:val="24"/>
        </w:rPr>
        <w:t xml:space="preserve"> </w:t>
      </w:r>
      <w:r>
        <w:rPr>
          <w:rFonts w:ascii="Arial" w:hAnsi="Arial" w:cs="Arial"/>
          <w:sz w:val="24"/>
          <w:szCs w:val="24"/>
        </w:rPr>
        <w:t xml:space="preserve">contra </w:t>
      </w:r>
      <w:r w:rsidR="00850BBC">
        <w:rPr>
          <w:rFonts w:ascii="Arial" w:hAnsi="Arial" w:cs="Arial"/>
          <w:b/>
          <w:sz w:val="24"/>
          <w:szCs w:val="24"/>
        </w:rPr>
        <w:t>la Administradora</w:t>
      </w:r>
      <w:r w:rsidR="00DB42D3">
        <w:rPr>
          <w:rFonts w:ascii="Arial" w:hAnsi="Arial" w:cs="Arial"/>
          <w:b/>
          <w:sz w:val="24"/>
          <w:szCs w:val="24"/>
        </w:rPr>
        <w:t xml:space="preserve"> de Fondos de Pensiones y Cesantías Porvenir S.A., </w:t>
      </w:r>
      <w:r w:rsidR="00DB42D3">
        <w:rPr>
          <w:rFonts w:ascii="Arial" w:hAnsi="Arial" w:cs="Arial"/>
          <w:sz w:val="24"/>
          <w:szCs w:val="24"/>
        </w:rPr>
        <w:t xml:space="preserve">trámite al que se vinculó en calidad de litisconsortes necesarios a Samuel Agudelo Cañas, representado por </w:t>
      </w:r>
      <w:proofErr w:type="spellStart"/>
      <w:r w:rsidR="00DB42D3">
        <w:rPr>
          <w:rFonts w:ascii="Arial" w:hAnsi="Arial" w:cs="Arial"/>
          <w:sz w:val="24"/>
          <w:szCs w:val="24"/>
        </w:rPr>
        <w:t>Yurani</w:t>
      </w:r>
      <w:proofErr w:type="spellEnd"/>
      <w:r w:rsidR="00DB42D3">
        <w:rPr>
          <w:rFonts w:ascii="Arial" w:hAnsi="Arial" w:cs="Arial"/>
          <w:sz w:val="24"/>
          <w:szCs w:val="24"/>
        </w:rPr>
        <w:t xml:space="preserve"> Andrea Cañas Vélez; </w:t>
      </w:r>
      <w:proofErr w:type="spellStart"/>
      <w:r w:rsidR="00DB42D3">
        <w:rPr>
          <w:rFonts w:ascii="Arial" w:hAnsi="Arial" w:cs="Arial"/>
          <w:sz w:val="24"/>
          <w:szCs w:val="24"/>
        </w:rPr>
        <w:t>Jhon</w:t>
      </w:r>
      <w:proofErr w:type="spellEnd"/>
      <w:r w:rsidR="00DB42D3">
        <w:rPr>
          <w:rFonts w:ascii="Arial" w:hAnsi="Arial" w:cs="Arial"/>
          <w:sz w:val="24"/>
          <w:szCs w:val="24"/>
        </w:rPr>
        <w:t xml:space="preserve"> </w:t>
      </w:r>
      <w:proofErr w:type="spellStart"/>
      <w:r w:rsidR="00DB42D3">
        <w:rPr>
          <w:rFonts w:ascii="Arial" w:hAnsi="Arial" w:cs="Arial"/>
          <w:sz w:val="24"/>
          <w:szCs w:val="24"/>
        </w:rPr>
        <w:t>Ever</w:t>
      </w:r>
      <w:proofErr w:type="spellEnd"/>
      <w:r w:rsidR="00DB42D3">
        <w:rPr>
          <w:rFonts w:ascii="Arial" w:hAnsi="Arial" w:cs="Arial"/>
          <w:sz w:val="24"/>
          <w:szCs w:val="24"/>
        </w:rPr>
        <w:t xml:space="preserve"> y Bryan Andrés Agudelo Marín</w:t>
      </w:r>
      <w:r w:rsidR="00597DA9" w:rsidRPr="00597DA9">
        <w:rPr>
          <w:rFonts w:ascii="Arial" w:hAnsi="Arial" w:cs="Arial"/>
          <w:b/>
          <w:bCs/>
          <w:iCs/>
          <w:sz w:val="24"/>
          <w:szCs w:val="24"/>
        </w:rPr>
        <w:t>,</w:t>
      </w:r>
      <w:r w:rsidR="00597DA9">
        <w:rPr>
          <w:rFonts w:ascii="Arial" w:hAnsi="Arial" w:cs="Arial"/>
          <w:bCs/>
          <w:iCs/>
          <w:sz w:val="24"/>
          <w:szCs w:val="24"/>
        </w:rPr>
        <w:t xml:space="preserve"> </w:t>
      </w:r>
      <w:r w:rsidRPr="00641218">
        <w:rPr>
          <w:rFonts w:ascii="Arial" w:hAnsi="Arial" w:cs="Arial"/>
          <w:bCs/>
          <w:iCs/>
          <w:sz w:val="24"/>
          <w:szCs w:val="24"/>
        </w:rPr>
        <w:t>radicado bajo el N° 66001-31-05-00</w:t>
      </w:r>
      <w:r w:rsidR="00DB42D3">
        <w:rPr>
          <w:rFonts w:ascii="Arial" w:hAnsi="Arial" w:cs="Arial"/>
          <w:bCs/>
          <w:iCs/>
          <w:sz w:val="24"/>
          <w:szCs w:val="24"/>
        </w:rPr>
        <w:t>3</w:t>
      </w:r>
      <w:r w:rsidRPr="00641218">
        <w:rPr>
          <w:rFonts w:ascii="Arial" w:hAnsi="Arial" w:cs="Arial"/>
          <w:bCs/>
          <w:iCs/>
          <w:sz w:val="24"/>
          <w:szCs w:val="24"/>
        </w:rPr>
        <w:t>-201</w:t>
      </w:r>
      <w:r w:rsidR="00DB42D3">
        <w:rPr>
          <w:rFonts w:ascii="Arial" w:hAnsi="Arial" w:cs="Arial"/>
          <w:bCs/>
          <w:iCs/>
          <w:sz w:val="24"/>
          <w:szCs w:val="24"/>
        </w:rPr>
        <w:t>6</w:t>
      </w:r>
      <w:r w:rsidRPr="00641218">
        <w:rPr>
          <w:rFonts w:ascii="Arial" w:hAnsi="Arial" w:cs="Arial"/>
          <w:bCs/>
          <w:iCs/>
          <w:sz w:val="24"/>
          <w:szCs w:val="24"/>
        </w:rPr>
        <w:t>-00</w:t>
      </w:r>
      <w:r w:rsidR="00DB42D3">
        <w:rPr>
          <w:rFonts w:ascii="Arial" w:hAnsi="Arial" w:cs="Arial"/>
          <w:bCs/>
          <w:iCs/>
          <w:sz w:val="24"/>
          <w:szCs w:val="24"/>
        </w:rPr>
        <w:t>364</w:t>
      </w:r>
      <w:r w:rsidRPr="00641218">
        <w:rPr>
          <w:rFonts w:ascii="Arial" w:hAnsi="Arial" w:cs="Arial"/>
          <w:bCs/>
          <w:iCs/>
          <w:sz w:val="24"/>
          <w:szCs w:val="24"/>
        </w:rPr>
        <w:t>-01.</w:t>
      </w:r>
    </w:p>
    <w:p w:rsidR="00A040E7" w:rsidRPr="00641218" w:rsidRDefault="00A040E7" w:rsidP="00A040E7">
      <w:pPr>
        <w:spacing w:line="276" w:lineRule="auto"/>
        <w:ind w:firstLine="851"/>
        <w:contextualSpacing/>
        <w:jc w:val="both"/>
        <w:rPr>
          <w:rFonts w:ascii="Arial" w:hAnsi="Arial" w:cs="Arial"/>
          <w:bCs/>
          <w:iCs/>
          <w:sz w:val="24"/>
          <w:szCs w:val="24"/>
        </w:rPr>
      </w:pPr>
    </w:p>
    <w:p w:rsidR="00A040E7" w:rsidRPr="00641218" w:rsidRDefault="00A040E7" w:rsidP="00A040E7">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A040E7" w:rsidRPr="00641218" w:rsidRDefault="00A040E7" w:rsidP="00A040E7">
      <w:pPr>
        <w:spacing w:line="276" w:lineRule="auto"/>
        <w:ind w:firstLine="851"/>
        <w:contextualSpacing/>
        <w:rPr>
          <w:rFonts w:ascii="Arial" w:hAnsi="Arial" w:cs="Arial"/>
          <w:sz w:val="24"/>
          <w:szCs w:val="24"/>
        </w:rPr>
      </w:pPr>
    </w:p>
    <w:p w:rsidR="00A040E7" w:rsidRPr="00641218" w:rsidRDefault="00A040E7" w:rsidP="00A040E7">
      <w:pPr>
        <w:spacing w:line="276" w:lineRule="auto"/>
        <w:contextualSpacing/>
        <w:rPr>
          <w:rFonts w:ascii="Arial" w:hAnsi="Arial" w:cs="Arial"/>
          <w:sz w:val="24"/>
          <w:szCs w:val="24"/>
        </w:rPr>
      </w:pPr>
      <w:r>
        <w:rPr>
          <w:rFonts w:ascii="Arial" w:hAnsi="Arial" w:cs="Arial"/>
          <w:sz w:val="24"/>
          <w:szCs w:val="24"/>
        </w:rPr>
        <w:t>Demandante y su apoderado</w:t>
      </w:r>
      <w:r w:rsidRPr="00641218">
        <w:rPr>
          <w:rFonts w:ascii="Arial" w:hAnsi="Arial" w:cs="Arial"/>
          <w:sz w:val="24"/>
          <w:szCs w:val="24"/>
        </w:rPr>
        <w:t xml:space="preserve">: </w:t>
      </w:r>
    </w:p>
    <w:p w:rsidR="00A040E7" w:rsidRPr="00641218" w:rsidRDefault="00DB42D3" w:rsidP="00A040E7">
      <w:pPr>
        <w:spacing w:line="276" w:lineRule="auto"/>
        <w:contextualSpacing/>
        <w:rPr>
          <w:rFonts w:ascii="Arial" w:hAnsi="Arial" w:cs="Arial"/>
          <w:sz w:val="24"/>
          <w:szCs w:val="24"/>
        </w:rPr>
      </w:pPr>
      <w:r>
        <w:rPr>
          <w:rFonts w:ascii="Arial" w:hAnsi="Arial" w:cs="Arial"/>
          <w:sz w:val="24"/>
          <w:szCs w:val="24"/>
        </w:rPr>
        <w:t>Demandado</w:t>
      </w:r>
      <w:r w:rsidR="00A040E7">
        <w:rPr>
          <w:rFonts w:ascii="Arial" w:hAnsi="Arial" w:cs="Arial"/>
          <w:sz w:val="24"/>
          <w:szCs w:val="24"/>
        </w:rPr>
        <w:t xml:space="preserve"> y su apoderado</w:t>
      </w:r>
      <w:r w:rsidR="00CC6234">
        <w:rPr>
          <w:rFonts w:ascii="Arial" w:hAnsi="Arial" w:cs="Arial"/>
          <w:sz w:val="24"/>
          <w:szCs w:val="24"/>
        </w:rPr>
        <w:t>:</w:t>
      </w:r>
      <w:r w:rsidR="00675972">
        <w:rPr>
          <w:rFonts w:ascii="Arial" w:hAnsi="Arial" w:cs="Arial"/>
          <w:sz w:val="24"/>
          <w:szCs w:val="24"/>
        </w:rPr>
        <w:t xml:space="preserve">       </w:t>
      </w:r>
    </w:p>
    <w:p w:rsidR="00A040E7" w:rsidRPr="00641218" w:rsidRDefault="00A040E7" w:rsidP="00A040E7">
      <w:pPr>
        <w:spacing w:line="276" w:lineRule="auto"/>
        <w:ind w:firstLine="851"/>
        <w:contextualSpacing/>
        <w:rPr>
          <w:rFonts w:ascii="Arial" w:hAnsi="Arial" w:cs="Arial"/>
          <w:sz w:val="24"/>
          <w:szCs w:val="24"/>
        </w:rPr>
      </w:pPr>
    </w:p>
    <w:p w:rsidR="00A040E7" w:rsidRPr="00641218" w:rsidRDefault="00A040E7" w:rsidP="00A040E7">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A040E7" w:rsidRPr="00641218" w:rsidRDefault="00A040E7" w:rsidP="00A040E7">
      <w:pPr>
        <w:spacing w:line="276" w:lineRule="auto"/>
        <w:contextualSpacing/>
        <w:jc w:val="both"/>
        <w:rPr>
          <w:rFonts w:ascii="Arial" w:hAnsi="Arial" w:cs="Arial"/>
          <w:b/>
          <w:sz w:val="24"/>
          <w:szCs w:val="24"/>
        </w:rPr>
      </w:pPr>
    </w:p>
    <w:p w:rsidR="00A040E7" w:rsidRPr="00641218" w:rsidRDefault="00A040E7" w:rsidP="00A040E7">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A040E7" w:rsidRPr="00641218" w:rsidRDefault="00A040E7" w:rsidP="00A040E7">
      <w:pPr>
        <w:spacing w:line="276" w:lineRule="auto"/>
        <w:contextualSpacing/>
        <w:jc w:val="both"/>
        <w:rPr>
          <w:rFonts w:ascii="Arial" w:hAnsi="Arial" w:cs="Arial"/>
          <w:sz w:val="24"/>
          <w:szCs w:val="24"/>
        </w:rPr>
      </w:pPr>
    </w:p>
    <w:p w:rsidR="00A040E7" w:rsidRPr="00641218" w:rsidRDefault="00A040E7" w:rsidP="00A040E7">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A040E7" w:rsidRPr="00641218" w:rsidRDefault="00A040E7" w:rsidP="00A040E7">
      <w:pPr>
        <w:spacing w:line="276" w:lineRule="auto"/>
        <w:contextualSpacing/>
        <w:rPr>
          <w:rFonts w:ascii="Arial" w:hAnsi="Arial" w:cs="Arial"/>
          <w:b/>
          <w:sz w:val="24"/>
          <w:szCs w:val="24"/>
        </w:rPr>
      </w:pPr>
    </w:p>
    <w:p w:rsidR="00A040E7" w:rsidRPr="00641218" w:rsidRDefault="00A040E7" w:rsidP="00A040E7">
      <w:pPr>
        <w:pStyle w:val="Prrafodelista"/>
        <w:numPr>
          <w:ilvl w:val="1"/>
          <w:numId w:val="1"/>
        </w:numPr>
        <w:spacing w:line="276" w:lineRule="auto"/>
        <w:rPr>
          <w:rFonts w:ascii="Arial" w:hAnsi="Arial" w:cs="Arial"/>
          <w:b/>
          <w:sz w:val="24"/>
          <w:szCs w:val="24"/>
        </w:rPr>
      </w:pPr>
      <w:r w:rsidRPr="00641218">
        <w:rPr>
          <w:rFonts w:ascii="Arial" w:hAnsi="Arial" w:cs="Arial"/>
          <w:b/>
          <w:sz w:val="24"/>
          <w:szCs w:val="24"/>
        </w:rPr>
        <w:t>Síntesis de la demanda y su contestación</w:t>
      </w:r>
    </w:p>
    <w:p w:rsidR="00A040E7" w:rsidRPr="00641218" w:rsidRDefault="00A040E7" w:rsidP="00A040E7">
      <w:pPr>
        <w:pStyle w:val="Prrafodelista"/>
        <w:spacing w:line="276" w:lineRule="auto"/>
        <w:rPr>
          <w:rFonts w:ascii="Arial" w:hAnsi="Arial" w:cs="Arial"/>
          <w:b/>
          <w:sz w:val="24"/>
          <w:szCs w:val="24"/>
        </w:rPr>
      </w:pPr>
    </w:p>
    <w:p w:rsidR="00A040E7" w:rsidRPr="00DB42D3" w:rsidRDefault="00A040E7" w:rsidP="00A040E7">
      <w:pPr>
        <w:spacing w:line="276" w:lineRule="auto"/>
        <w:contextualSpacing/>
        <w:jc w:val="both"/>
        <w:rPr>
          <w:rFonts w:ascii="Arial" w:hAnsi="Arial" w:cs="Arial"/>
          <w:i/>
          <w:sz w:val="24"/>
          <w:szCs w:val="24"/>
        </w:rPr>
      </w:pPr>
      <w:r w:rsidRPr="00641218">
        <w:rPr>
          <w:rFonts w:ascii="Arial" w:hAnsi="Arial" w:cs="Arial"/>
          <w:sz w:val="24"/>
          <w:szCs w:val="24"/>
        </w:rPr>
        <w:t>Pretende la señora</w:t>
      </w:r>
      <w:r w:rsidR="00675972">
        <w:rPr>
          <w:rFonts w:ascii="Arial" w:hAnsi="Arial" w:cs="Arial"/>
          <w:sz w:val="24"/>
          <w:szCs w:val="24"/>
        </w:rPr>
        <w:t xml:space="preserve"> </w:t>
      </w:r>
      <w:r w:rsidR="00DB42D3">
        <w:rPr>
          <w:rFonts w:ascii="Arial" w:hAnsi="Arial" w:cs="Arial"/>
          <w:sz w:val="24"/>
          <w:szCs w:val="24"/>
        </w:rPr>
        <w:t>Ana Cristina Marín Cardona</w:t>
      </w:r>
      <w:r w:rsidR="00001816">
        <w:rPr>
          <w:rFonts w:ascii="Arial" w:hAnsi="Arial" w:cs="Arial"/>
          <w:sz w:val="24"/>
          <w:szCs w:val="24"/>
        </w:rPr>
        <w:t xml:space="preserve"> </w:t>
      </w:r>
      <w:r>
        <w:rPr>
          <w:rFonts w:ascii="Arial" w:hAnsi="Arial" w:cs="Arial"/>
          <w:sz w:val="24"/>
          <w:szCs w:val="24"/>
        </w:rPr>
        <w:t>que se reconozca la</w:t>
      </w:r>
      <w:r w:rsidR="00900971">
        <w:rPr>
          <w:rFonts w:ascii="Arial" w:hAnsi="Arial" w:cs="Arial"/>
          <w:sz w:val="24"/>
          <w:szCs w:val="24"/>
        </w:rPr>
        <w:t xml:space="preserve"> pensión de sobrevivientes</w:t>
      </w:r>
      <w:r w:rsidR="00494898">
        <w:rPr>
          <w:rFonts w:ascii="Arial" w:hAnsi="Arial" w:cs="Arial"/>
          <w:sz w:val="24"/>
          <w:szCs w:val="24"/>
        </w:rPr>
        <w:t xml:space="preserve"> causada por </w:t>
      </w:r>
      <w:r w:rsidR="00962789">
        <w:rPr>
          <w:rFonts w:ascii="Arial" w:hAnsi="Arial" w:cs="Arial"/>
          <w:sz w:val="24"/>
          <w:szCs w:val="24"/>
        </w:rPr>
        <w:t xml:space="preserve">el deceso de </w:t>
      </w:r>
      <w:r w:rsidR="00DB42D3">
        <w:rPr>
          <w:rFonts w:ascii="Arial" w:hAnsi="Arial" w:cs="Arial"/>
          <w:sz w:val="24"/>
          <w:szCs w:val="24"/>
        </w:rPr>
        <w:t>Heber Hernán Agudelo Osorno</w:t>
      </w:r>
      <w:r w:rsidR="00494898">
        <w:rPr>
          <w:rFonts w:ascii="Arial" w:hAnsi="Arial" w:cs="Arial"/>
          <w:sz w:val="24"/>
          <w:szCs w:val="24"/>
        </w:rPr>
        <w:t xml:space="preserve"> a partir del </w:t>
      </w:r>
      <w:r w:rsidR="00DB42D3">
        <w:rPr>
          <w:rFonts w:ascii="Arial" w:hAnsi="Arial" w:cs="Arial"/>
          <w:sz w:val="24"/>
          <w:szCs w:val="24"/>
        </w:rPr>
        <w:t>28-02-2015, en cuantía de 50% sobre un salario mínimo</w:t>
      </w:r>
      <w:r w:rsidR="00494898">
        <w:rPr>
          <w:rFonts w:ascii="Arial" w:hAnsi="Arial" w:cs="Arial"/>
          <w:sz w:val="24"/>
          <w:szCs w:val="24"/>
        </w:rPr>
        <w:t>,</w:t>
      </w:r>
      <w:r w:rsidR="00BE53A6">
        <w:rPr>
          <w:rFonts w:ascii="Arial" w:hAnsi="Arial" w:cs="Arial"/>
          <w:sz w:val="24"/>
          <w:szCs w:val="24"/>
        </w:rPr>
        <w:t xml:space="preserve"> </w:t>
      </w:r>
      <w:r w:rsidR="00DB42D3">
        <w:rPr>
          <w:rFonts w:ascii="Arial" w:hAnsi="Arial" w:cs="Arial"/>
          <w:sz w:val="24"/>
          <w:szCs w:val="24"/>
        </w:rPr>
        <w:t xml:space="preserve">los intereses moratorios o subsidiariamente la indexación de las mesadas adeudadas, </w:t>
      </w:r>
      <w:r>
        <w:rPr>
          <w:rFonts w:ascii="Arial" w:hAnsi="Arial" w:cs="Arial"/>
          <w:sz w:val="24"/>
          <w:szCs w:val="24"/>
        </w:rPr>
        <w:t>las costas procesales</w:t>
      </w:r>
      <w:r w:rsidR="00900971">
        <w:rPr>
          <w:rFonts w:ascii="Arial" w:hAnsi="Arial" w:cs="Arial"/>
          <w:sz w:val="24"/>
          <w:szCs w:val="24"/>
        </w:rPr>
        <w:t xml:space="preserve"> y lo que resulte probado en virtud a las f</w:t>
      </w:r>
      <w:r w:rsidR="00001816">
        <w:rPr>
          <w:rFonts w:ascii="Arial" w:hAnsi="Arial" w:cs="Arial"/>
          <w:sz w:val="24"/>
          <w:szCs w:val="24"/>
        </w:rPr>
        <w:t xml:space="preserve">acultades </w:t>
      </w:r>
      <w:r w:rsidR="00001816" w:rsidRPr="00DB42D3">
        <w:rPr>
          <w:rFonts w:ascii="Arial" w:hAnsi="Arial" w:cs="Arial"/>
          <w:i/>
          <w:sz w:val="24"/>
          <w:szCs w:val="24"/>
        </w:rPr>
        <w:t>ultra</w:t>
      </w:r>
      <w:r w:rsidR="00001816">
        <w:rPr>
          <w:rFonts w:ascii="Arial" w:hAnsi="Arial" w:cs="Arial"/>
          <w:sz w:val="24"/>
          <w:szCs w:val="24"/>
        </w:rPr>
        <w:t xml:space="preserve"> y </w:t>
      </w:r>
      <w:r w:rsidR="00001816" w:rsidRPr="00DB42D3">
        <w:rPr>
          <w:rFonts w:ascii="Arial" w:hAnsi="Arial" w:cs="Arial"/>
          <w:i/>
          <w:sz w:val="24"/>
          <w:szCs w:val="24"/>
        </w:rPr>
        <w:t>extra petita.</w:t>
      </w:r>
    </w:p>
    <w:p w:rsidR="00001816" w:rsidRPr="00641218" w:rsidRDefault="00001816" w:rsidP="00A040E7">
      <w:pPr>
        <w:spacing w:line="276" w:lineRule="auto"/>
        <w:contextualSpacing/>
        <w:jc w:val="both"/>
        <w:rPr>
          <w:rFonts w:ascii="Arial" w:hAnsi="Arial" w:cs="Arial"/>
          <w:sz w:val="24"/>
          <w:szCs w:val="24"/>
        </w:rPr>
      </w:pPr>
    </w:p>
    <w:p w:rsidR="00DB42D3" w:rsidRDefault="00A040E7" w:rsidP="00494898">
      <w:pPr>
        <w:spacing w:line="276" w:lineRule="auto"/>
        <w:contextualSpacing/>
        <w:jc w:val="both"/>
        <w:rPr>
          <w:rFonts w:ascii="Arial" w:hAnsi="Arial" w:cs="Arial"/>
          <w:sz w:val="24"/>
          <w:szCs w:val="24"/>
        </w:rPr>
      </w:pPr>
      <w:r w:rsidRPr="00641218">
        <w:rPr>
          <w:rFonts w:ascii="Arial" w:hAnsi="Arial" w:cs="Arial"/>
          <w:sz w:val="24"/>
          <w:szCs w:val="24"/>
        </w:rPr>
        <w:t>Funda</w:t>
      </w:r>
      <w:r w:rsidR="00001816">
        <w:rPr>
          <w:rFonts w:ascii="Arial" w:hAnsi="Arial" w:cs="Arial"/>
          <w:sz w:val="24"/>
          <w:szCs w:val="24"/>
        </w:rPr>
        <w:t xml:space="preserve">menta sus aspiraciones en que: </w:t>
      </w:r>
      <w:r w:rsidRPr="00A66204">
        <w:rPr>
          <w:rFonts w:ascii="Arial" w:hAnsi="Arial" w:cs="Arial"/>
          <w:i/>
          <w:sz w:val="24"/>
          <w:szCs w:val="24"/>
        </w:rPr>
        <w:t>i)</w:t>
      </w:r>
      <w:r w:rsidRPr="00641218">
        <w:rPr>
          <w:rFonts w:ascii="Arial" w:hAnsi="Arial" w:cs="Arial"/>
          <w:sz w:val="24"/>
          <w:szCs w:val="24"/>
        </w:rPr>
        <w:t xml:space="preserve"> el señor </w:t>
      </w:r>
      <w:r w:rsidR="00DB42D3">
        <w:rPr>
          <w:rFonts w:ascii="Arial" w:hAnsi="Arial" w:cs="Arial"/>
          <w:sz w:val="24"/>
          <w:szCs w:val="24"/>
        </w:rPr>
        <w:t xml:space="preserve">Heber Hernán Agudelo Osorno </w:t>
      </w:r>
      <w:r>
        <w:rPr>
          <w:rFonts w:ascii="Arial" w:hAnsi="Arial" w:cs="Arial"/>
          <w:sz w:val="24"/>
          <w:szCs w:val="24"/>
        </w:rPr>
        <w:t>falleció</w:t>
      </w:r>
      <w:r w:rsidRPr="00641218">
        <w:rPr>
          <w:rFonts w:ascii="Arial" w:hAnsi="Arial" w:cs="Arial"/>
          <w:sz w:val="24"/>
          <w:szCs w:val="24"/>
        </w:rPr>
        <w:t xml:space="preserve"> el </w:t>
      </w:r>
      <w:r w:rsidR="00DB42D3">
        <w:rPr>
          <w:rFonts w:ascii="Arial" w:hAnsi="Arial" w:cs="Arial"/>
          <w:sz w:val="24"/>
          <w:szCs w:val="24"/>
        </w:rPr>
        <w:t>28-02-2015</w:t>
      </w:r>
      <w:r w:rsidRPr="00641218">
        <w:rPr>
          <w:rFonts w:ascii="Arial" w:hAnsi="Arial" w:cs="Arial"/>
          <w:sz w:val="24"/>
          <w:szCs w:val="24"/>
        </w:rPr>
        <w:t xml:space="preserve">; </w:t>
      </w:r>
      <w:r w:rsidRPr="00A66204">
        <w:rPr>
          <w:rFonts w:ascii="Arial" w:hAnsi="Arial" w:cs="Arial"/>
          <w:i/>
          <w:sz w:val="24"/>
          <w:szCs w:val="24"/>
        </w:rPr>
        <w:t>ii)</w:t>
      </w:r>
      <w:r>
        <w:rPr>
          <w:rFonts w:ascii="Arial" w:hAnsi="Arial" w:cs="Arial"/>
          <w:sz w:val="24"/>
          <w:szCs w:val="24"/>
        </w:rPr>
        <w:t xml:space="preserve"> és</w:t>
      </w:r>
      <w:r w:rsidR="00A36C68">
        <w:rPr>
          <w:rFonts w:ascii="Arial" w:hAnsi="Arial" w:cs="Arial"/>
          <w:sz w:val="24"/>
          <w:szCs w:val="24"/>
        </w:rPr>
        <w:t xml:space="preserve">te y la demandante </w:t>
      </w:r>
      <w:r w:rsidR="00DB42D3">
        <w:rPr>
          <w:rFonts w:ascii="Arial" w:hAnsi="Arial" w:cs="Arial"/>
          <w:sz w:val="24"/>
          <w:szCs w:val="24"/>
        </w:rPr>
        <w:t>contrajeron matrimonio el 05-07-1994</w:t>
      </w:r>
      <w:r w:rsidR="00BA7892">
        <w:rPr>
          <w:rFonts w:ascii="Arial" w:hAnsi="Arial" w:cs="Arial"/>
          <w:sz w:val="24"/>
          <w:szCs w:val="24"/>
        </w:rPr>
        <w:t>, y convivieron desde dicho día hasta el 21-03-2005</w:t>
      </w:r>
      <w:r>
        <w:rPr>
          <w:rFonts w:ascii="Arial" w:hAnsi="Arial" w:cs="Arial"/>
          <w:sz w:val="24"/>
          <w:szCs w:val="24"/>
        </w:rPr>
        <w:t xml:space="preserve">; </w:t>
      </w:r>
      <w:r w:rsidR="00D43EE5">
        <w:rPr>
          <w:rFonts w:ascii="Arial" w:hAnsi="Arial" w:cs="Arial"/>
          <w:i/>
          <w:sz w:val="24"/>
          <w:szCs w:val="24"/>
        </w:rPr>
        <w:t>ii</w:t>
      </w:r>
      <w:r w:rsidR="00D43EE5" w:rsidRPr="00D43EE5">
        <w:rPr>
          <w:rFonts w:ascii="Arial" w:hAnsi="Arial" w:cs="Arial"/>
          <w:i/>
          <w:sz w:val="24"/>
          <w:szCs w:val="24"/>
        </w:rPr>
        <w:t>i)</w:t>
      </w:r>
      <w:r w:rsidR="00D43EE5">
        <w:rPr>
          <w:rFonts w:ascii="Arial" w:hAnsi="Arial" w:cs="Arial"/>
          <w:sz w:val="24"/>
          <w:szCs w:val="24"/>
        </w:rPr>
        <w:t xml:space="preserve"> que a partir de dicho día la demandante abandonó el país por motivos laborales, pero la relación permaneció pese a su ausencia; </w:t>
      </w:r>
      <w:r w:rsidR="00D43EE5">
        <w:rPr>
          <w:rFonts w:ascii="Arial" w:hAnsi="Arial" w:cs="Arial"/>
          <w:i/>
          <w:sz w:val="24"/>
          <w:szCs w:val="24"/>
        </w:rPr>
        <w:t>iv</w:t>
      </w:r>
      <w:r w:rsidR="00DB42D3" w:rsidRPr="00D43EE5">
        <w:rPr>
          <w:rFonts w:ascii="Arial" w:hAnsi="Arial" w:cs="Arial"/>
          <w:i/>
          <w:sz w:val="24"/>
          <w:szCs w:val="24"/>
        </w:rPr>
        <w:t>)</w:t>
      </w:r>
      <w:r w:rsidR="00DB42D3">
        <w:rPr>
          <w:rFonts w:ascii="Arial" w:hAnsi="Arial" w:cs="Arial"/>
          <w:sz w:val="24"/>
          <w:szCs w:val="24"/>
        </w:rPr>
        <w:t xml:space="preserve"> uni</w:t>
      </w:r>
      <w:r w:rsidR="00BA7892">
        <w:rPr>
          <w:rFonts w:ascii="Arial" w:hAnsi="Arial" w:cs="Arial"/>
          <w:sz w:val="24"/>
          <w:szCs w:val="24"/>
        </w:rPr>
        <w:t>ón en la que procrearon tres hijos, dos de ellos menores de edad para la fecha de fallecimiento del causante;</w:t>
      </w:r>
      <w:r w:rsidR="00D43EE5">
        <w:rPr>
          <w:rFonts w:ascii="Arial" w:hAnsi="Arial" w:cs="Arial"/>
          <w:sz w:val="24"/>
          <w:szCs w:val="24"/>
        </w:rPr>
        <w:t xml:space="preserve"> </w:t>
      </w:r>
      <w:r w:rsidR="00D43EE5" w:rsidRPr="00D43EE5">
        <w:rPr>
          <w:rFonts w:ascii="Arial" w:hAnsi="Arial" w:cs="Arial"/>
          <w:i/>
          <w:sz w:val="24"/>
          <w:szCs w:val="24"/>
        </w:rPr>
        <w:t>v)</w:t>
      </w:r>
      <w:r w:rsidR="00D43EE5">
        <w:rPr>
          <w:rFonts w:ascii="Arial" w:hAnsi="Arial" w:cs="Arial"/>
          <w:sz w:val="24"/>
          <w:szCs w:val="24"/>
        </w:rPr>
        <w:t xml:space="preserve"> que hubo una ruptura en la relación con ocasión a un </w:t>
      </w:r>
      <w:r w:rsidR="00D43EE5" w:rsidRPr="00BA7892">
        <w:rPr>
          <w:rFonts w:ascii="Arial" w:hAnsi="Arial" w:cs="Arial"/>
          <w:i/>
          <w:sz w:val="24"/>
          <w:szCs w:val="24"/>
        </w:rPr>
        <w:t>amorío</w:t>
      </w:r>
      <w:r w:rsidR="00D43EE5">
        <w:rPr>
          <w:rFonts w:ascii="Arial" w:hAnsi="Arial" w:cs="Arial"/>
          <w:sz w:val="24"/>
          <w:szCs w:val="24"/>
        </w:rPr>
        <w:t xml:space="preserve"> que tuvo el </w:t>
      </w:r>
      <w:proofErr w:type="spellStart"/>
      <w:r w:rsidR="00C56DB4">
        <w:rPr>
          <w:rFonts w:ascii="Arial" w:hAnsi="Arial" w:cs="Arial"/>
          <w:sz w:val="24"/>
          <w:szCs w:val="24"/>
        </w:rPr>
        <w:t>obitado</w:t>
      </w:r>
      <w:proofErr w:type="spellEnd"/>
      <w:r w:rsidR="00D43EE5">
        <w:rPr>
          <w:rFonts w:ascii="Arial" w:hAnsi="Arial" w:cs="Arial"/>
          <w:sz w:val="24"/>
          <w:szCs w:val="24"/>
        </w:rPr>
        <w:t xml:space="preserve"> con otra mujer; sin embargo, en el 2013 cuando la demandante retornó al país se reanudó la convivencia;</w:t>
      </w:r>
      <w:r w:rsidR="00BA7892">
        <w:rPr>
          <w:rFonts w:ascii="Arial" w:hAnsi="Arial" w:cs="Arial"/>
          <w:sz w:val="24"/>
          <w:szCs w:val="24"/>
        </w:rPr>
        <w:t xml:space="preserve"> </w:t>
      </w:r>
      <w:r w:rsidR="00BA7892" w:rsidRPr="00D43EE5">
        <w:rPr>
          <w:rFonts w:ascii="Arial" w:hAnsi="Arial" w:cs="Arial"/>
          <w:i/>
          <w:sz w:val="24"/>
          <w:szCs w:val="24"/>
        </w:rPr>
        <w:t>v</w:t>
      </w:r>
      <w:r w:rsidR="00D43EE5">
        <w:rPr>
          <w:rFonts w:ascii="Arial" w:hAnsi="Arial" w:cs="Arial"/>
          <w:i/>
          <w:sz w:val="24"/>
          <w:szCs w:val="24"/>
        </w:rPr>
        <w:t>i</w:t>
      </w:r>
      <w:r w:rsidR="00BA7892" w:rsidRPr="00D43EE5">
        <w:rPr>
          <w:rFonts w:ascii="Arial" w:hAnsi="Arial" w:cs="Arial"/>
          <w:i/>
          <w:sz w:val="24"/>
          <w:szCs w:val="24"/>
        </w:rPr>
        <w:t>)</w:t>
      </w:r>
      <w:r w:rsidR="00BA7892">
        <w:rPr>
          <w:rFonts w:ascii="Arial" w:hAnsi="Arial" w:cs="Arial"/>
          <w:sz w:val="24"/>
          <w:szCs w:val="24"/>
        </w:rPr>
        <w:t xml:space="preserve"> el 27-06-2016 la demandada negó el reconocimiento pretendido a la demandante ante la ausencia de acreditación de 5 años de convivencia con el </w:t>
      </w:r>
      <w:r w:rsidR="00C56DB4">
        <w:rPr>
          <w:rFonts w:ascii="Arial" w:hAnsi="Arial" w:cs="Arial"/>
          <w:sz w:val="24"/>
          <w:szCs w:val="24"/>
        </w:rPr>
        <w:t>fallecido</w:t>
      </w:r>
      <w:r w:rsidR="00BA7892">
        <w:rPr>
          <w:rFonts w:ascii="Arial" w:hAnsi="Arial" w:cs="Arial"/>
          <w:sz w:val="24"/>
          <w:szCs w:val="24"/>
        </w:rPr>
        <w:t xml:space="preserve"> previos a su muerte; </w:t>
      </w:r>
      <w:r w:rsidR="00BA7892" w:rsidRPr="00D43EE5">
        <w:rPr>
          <w:rFonts w:ascii="Arial" w:hAnsi="Arial" w:cs="Arial"/>
          <w:i/>
          <w:sz w:val="24"/>
          <w:szCs w:val="24"/>
        </w:rPr>
        <w:t>v</w:t>
      </w:r>
      <w:r w:rsidR="00D43EE5">
        <w:rPr>
          <w:rFonts w:ascii="Arial" w:hAnsi="Arial" w:cs="Arial"/>
          <w:i/>
          <w:sz w:val="24"/>
          <w:szCs w:val="24"/>
        </w:rPr>
        <w:t>ii</w:t>
      </w:r>
      <w:r w:rsidR="00BA7892" w:rsidRPr="00D43EE5">
        <w:rPr>
          <w:rFonts w:ascii="Arial" w:hAnsi="Arial" w:cs="Arial"/>
          <w:i/>
          <w:sz w:val="24"/>
          <w:szCs w:val="24"/>
        </w:rPr>
        <w:t>)</w:t>
      </w:r>
      <w:r w:rsidR="00BA7892">
        <w:rPr>
          <w:rFonts w:ascii="Arial" w:hAnsi="Arial" w:cs="Arial"/>
          <w:sz w:val="24"/>
          <w:szCs w:val="24"/>
        </w:rPr>
        <w:t xml:space="preserve"> el 11-08-2016 la AFP reconoció la pensión a </w:t>
      </w:r>
      <w:proofErr w:type="spellStart"/>
      <w:r w:rsidR="00BA7892">
        <w:rPr>
          <w:rFonts w:ascii="Arial" w:hAnsi="Arial" w:cs="Arial"/>
          <w:sz w:val="24"/>
          <w:szCs w:val="24"/>
        </w:rPr>
        <w:t>Jhon</w:t>
      </w:r>
      <w:proofErr w:type="spellEnd"/>
      <w:r w:rsidR="00BA7892">
        <w:rPr>
          <w:rFonts w:ascii="Arial" w:hAnsi="Arial" w:cs="Arial"/>
          <w:sz w:val="24"/>
          <w:szCs w:val="24"/>
        </w:rPr>
        <w:t xml:space="preserve"> </w:t>
      </w:r>
      <w:proofErr w:type="spellStart"/>
      <w:r w:rsidR="00BA7892">
        <w:rPr>
          <w:rFonts w:ascii="Arial" w:hAnsi="Arial" w:cs="Arial"/>
          <w:sz w:val="24"/>
          <w:szCs w:val="24"/>
        </w:rPr>
        <w:t>Ever</w:t>
      </w:r>
      <w:proofErr w:type="spellEnd"/>
      <w:r w:rsidR="00BA7892">
        <w:rPr>
          <w:rFonts w:ascii="Arial" w:hAnsi="Arial" w:cs="Arial"/>
          <w:sz w:val="24"/>
          <w:szCs w:val="24"/>
        </w:rPr>
        <w:t xml:space="preserve"> y a Bryan Andrés Agudelo Marín en proporción del 33.34% para cada uno, y el </w:t>
      </w:r>
      <w:r w:rsidR="00D43EE5">
        <w:rPr>
          <w:rFonts w:ascii="Arial" w:hAnsi="Arial" w:cs="Arial"/>
          <w:sz w:val="24"/>
          <w:szCs w:val="24"/>
        </w:rPr>
        <w:t>restante a Samuel Agudelo Cañas.</w:t>
      </w:r>
    </w:p>
    <w:p w:rsidR="00DB42D3" w:rsidRDefault="00DB42D3" w:rsidP="00494898">
      <w:pPr>
        <w:spacing w:line="276" w:lineRule="auto"/>
        <w:contextualSpacing/>
        <w:jc w:val="both"/>
        <w:rPr>
          <w:rFonts w:ascii="Arial" w:hAnsi="Arial" w:cs="Arial"/>
          <w:sz w:val="24"/>
          <w:szCs w:val="24"/>
        </w:rPr>
      </w:pPr>
    </w:p>
    <w:p w:rsidR="00BA7892" w:rsidRDefault="00BA7892" w:rsidP="00A040E7">
      <w:pPr>
        <w:spacing w:line="276" w:lineRule="auto"/>
        <w:contextualSpacing/>
        <w:jc w:val="both"/>
        <w:rPr>
          <w:rFonts w:ascii="Arial" w:hAnsi="Arial" w:cs="Arial"/>
          <w:sz w:val="24"/>
          <w:szCs w:val="24"/>
        </w:rPr>
      </w:pPr>
      <w:r>
        <w:rPr>
          <w:rFonts w:ascii="Arial" w:hAnsi="Arial" w:cs="Arial"/>
          <w:b/>
          <w:sz w:val="24"/>
          <w:szCs w:val="24"/>
        </w:rPr>
        <w:t>La Sociedad Administradora de Fondos de Pensiones y Cesantías Porvenir S.A.</w:t>
      </w:r>
      <w:r w:rsidR="00494898">
        <w:rPr>
          <w:rFonts w:ascii="Arial" w:hAnsi="Arial" w:cs="Arial"/>
          <w:b/>
          <w:sz w:val="24"/>
          <w:szCs w:val="24"/>
        </w:rPr>
        <w:t xml:space="preserve"> </w:t>
      </w:r>
      <w:r w:rsidR="00A66204">
        <w:rPr>
          <w:rFonts w:ascii="Arial" w:hAnsi="Arial" w:cs="Arial"/>
          <w:sz w:val="24"/>
          <w:szCs w:val="24"/>
        </w:rPr>
        <w:t>se opuso a las pretensiones del libelo introductor</w:t>
      </w:r>
      <w:r w:rsidR="00957128">
        <w:rPr>
          <w:rFonts w:ascii="Arial" w:hAnsi="Arial" w:cs="Arial"/>
          <w:sz w:val="24"/>
          <w:szCs w:val="24"/>
        </w:rPr>
        <w:t xml:space="preserve"> por cuanto </w:t>
      </w:r>
      <w:r>
        <w:rPr>
          <w:rFonts w:ascii="Arial" w:hAnsi="Arial" w:cs="Arial"/>
          <w:sz w:val="24"/>
          <w:szCs w:val="24"/>
        </w:rPr>
        <w:t xml:space="preserve">la demandante </w:t>
      </w:r>
      <w:r w:rsidR="00E01606">
        <w:rPr>
          <w:rFonts w:ascii="Arial" w:hAnsi="Arial" w:cs="Arial"/>
          <w:sz w:val="24"/>
          <w:szCs w:val="24"/>
        </w:rPr>
        <w:t>no convivió con el cau</w:t>
      </w:r>
      <w:r w:rsidR="0031626D">
        <w:rPr>
          <w:rFonts w:ascii="Arial" w:hAnsi="Arial" w:cs="Arial"/>
          <w:sz w:val="24"/>
          <w:szCs w:val="24"/>
        </w:rPr>
        <w:t xml:space="preserve">sante por un espacio mayor a 5 años, pues según la investigación administrativa la pareja llevaba más de 19 años de separación. Por otro lado, aclaró que también negó la pensión de sobrevivientes a la compañera permanente </w:t>
      </w:r>
      <w:proofErr w:type="spellStart"/>
      <w:r w:rsidR="0031626D">
        <w:rPr>
          <w:rFonts w:ascii="Arial" w:hAnsi="Arial" w:cs="Arial"/>
          <w:sz w:val="24"/>
          <w:szCs w:val="24"/>
        </w:rPr>
        <w:t>Yurany</w:t>
      </w:r>
      <w:proofErr w:type="spellEnd"/>
      <w:r w:rsidR="0031626D">
        <w:rPr>
          <w:rFonts w:ascii="Arial" w:hAnsi="Arial" w:cs="Arial"/>
          <w:sz w:val="24"/>
          <w:szCs w:val="24"/>
        </w:rPr>
        <w:t xml:space="preserve"> </w:t>
      </w:r>
      <w:r w:rsidR="0031626D">
        <w:rPr>
          <w:rFonts w:ascii="Arial" w:hAnsi="Arial" w:cs="Arial"/>
          <w:sz w:val="24"/>
          <w:szCs w:val="24"/>
        </w:rPr>
        <w:lastRenderedPageBreak/>
        <w:t xml:space="preserve">Andrea Cañas Vélez pues no acreditó haber convivido con el causante hasta su fallecimiento, pero reconoció la pensión a los hijos menores de edad del causante. </w:t>
      </w:r>
    </w:p>
    <w:p w:rsidR="00986420" w:rsidRDefault="00986420" w:rsidP="00A040E7">
      <w:pPr>
        <w:spacing w:line="276" w:lineRule="auto"/>
        <w:contextualSpacing/>
        <w:jc w:val="both"/>
        <w:rPr>
          <w:rFonts w:ascii="Arial" w:hAnsi="Arial" w:cs="Arial"/>
          <w:sz w:val="24"/>
          <w:szCs w:val="24"/>
        </w:rPr>
      </w:pPr>
    </w:p>
    <w:p w:rsidR="00986420" w:rsidRDefault="00986420" w:rsidP="00A040E7">
      <w:pPr>
        <w:spacing w:line="276" w:lineRule="auto"/>
        <w:contextualSpacing/>
        <w:jc w:val="both"/>
        <w:rPr>
          <w:rFonts w:ascii="Arial" w:hAnsi="Arial" w:cs="Arial"/>
          <w:sz w:val="24"/>
          <w:szCs w:val="24"/>
        </w:rPr>
      </w:pPr>
      <w:r>
        <w:rPr>
          <w:rFonts w:ascii="Arial" w:hAnsi="Arial" w:cs="Arial"/>
          <w:sz w:val="24"/>
          <w:szCs w:val="24"/>
        </w:rPr>
        <w:t xml:space="preserve">Mediante auto de 02/03/2017 la </w:t>
      </w:r>
      <w:r w:rsidRPr="00986420">
        <w:rPr>
          <w:rFonts w:ascii="Arial" w:hAnsi="Arial" w:cs="Arial"/>
          <w:i/>
          <w:sz w:val="24"/>
          <w:szCs w:val="24"/>
        </w:rPr>
        <w:t>a quo</w:t>
      </w:r>
      <w:r>
        <w:rPr>
          <w:rFonts w:ascii="Arial" w:hAnsi="Arial" w:cs="Arial"/>
          <w:i/>
          <w:sz w:val="24"/>
          <w:szCs w:val="24"/>
        </w:rPr>
        <w:t xml:space="preserve"> </w:t>
      </w:r>
      <w:r>
        <w:rPr>
          <w:rFonts w:ascii="Arial" w:hAnsi="Arial" w:cs="Arial"/>
          <w:sz w:val="24"/>
          <w:szCs w:val="24"/>
        </w:rPr>
        <w:t xml:space="preserve">ordenó la vinculación como litisconsortes necesarios a los descendientes del causante que cuentan con el derecho pensional reconocido previamente por la AFP demandada, es decir, a </w:t>
      </w:r>
      <w:proofErr w:type="spellStart"/>
      <w:r w:rsidR="00630492">
        <w:rPr>
          <w:rFonts w:ascii="Arial" w:hAnsi="Arial" w:cs="Arial"/>
          <w:sz w:val="24"/>
          <w:szCs w:val="24"/>
        </w:rPr>
        <w:t>Jhon</w:t>
      </w:r>
      <w:proofErr w:type="spellEnd"/>
      <w:r w:rsidR="00630492">
        <w:rPr>
          <w:rFonts w:ascii="Arial" w:hAnsi="Arial" w:cs="Arial"/>
          <w:sz w:val="24"/>
          <w:szCs w:val="24"/>
        </w:rPr>
        <w:t xml:space="preserve"> </w:t>
      </w:r>
      <w:proofErr w:type="spellStart"/>
      <w:r w:rsidR="00630492">
        <w:rPr>
          <w:rFonts w:ascii="Arial" w:hAnsi="Arial" w:cs="Arial"/>
          <w:sz w:val="24"/>
          <w:szCs w:val="24"/>
        </w:rPr>
        <w:t>Ever</w:t>
      </w:r>
      <w:proofErr w:type="spellEnd"/>
      <w:r w:rsidR="00630492">
        <w:rPr>
          <w:rFonts w:ascii="Arial" w:hAnsi="Arial" w:cs="Arial"/>
          <w:sz w:val="24"/>
          <w:szCs w:val="24"/>
        </w:rPr>
        <w:t xml:space="preserve"> Agudelo Marín y </w:t>
      </w:r>
      <w:r>
        <w:rPr>
          <w:rFonts w:ascii="Arial" w:hAnsi="Arial" w:cs="Arial"/>
          <w:sz w:val="24"/>
          <w:szCs w:val="24"/>
        </w:rPr>
        <w:t xml:space="preserve">a Samuel Agudelo Cañas, este último a través de su representante legal </w:t>
      </w:r>
      <w:proofErr w:type="spellStart"/>
      <w:r>
        <w:rPr>
          <w:rFonts w:ascii="Arial" w:hAnsi="Arial" w:cs="Arial"/>
          <w:sz w:val="24"/>
          <w:szCs w:val="24"/>
        </w:rPr>
        <w:t>Yurany</w:t>
      </w:r>
      <w:proofErr w:type="spellEnd"/>
      <w:r>
        <w:rPr>
          <w:rFonts w:ascii="Arial" w:hAnsi="Arial" w:cs="Arial"/>
          <w:sz w:val="24"/>
          <w:szCs w:val="24"/>
        </w:rPr>
        <w:t xml:space="preserve"> Andrea Cañas Vélez</w:t>
      </w:r>
      <w:r w:rsidR="00630492">
        <w:rPr>
          <w:rFonts w:ascii="Arial" w:hAnsi="Arial" w:cs="Arial"/>
          <w:sz w:val="24"/>
          <w:szCs w:val="24"/>
        </w:rPr>
        <w:t>; además ordenó la vinculación de Bryan Andrés Agudelo Marín, todos ellos hijos menores de 25 años del causante</w:t>
      </w:r>
      <w:r w:rsidR="00660089">
        <w:rPr>
          <w:rFonts w:ascii="Arial" w:hAnsi="Arial" w:cs="Arial"/>
          <w:sz w:val="24"/>
          <w:szCs w:val="24"/>
        </w:rPr>
        <w:t xml:space="preserve"> – fls. 221 c. 1 -</w:t>
      </w:r>
      <w:r w:rsidR="00630492">
        <w:rPr>
          <w:rFonts w:ascii="Arial" w:hAnsi="Arial" w:cs="Arial"/>
          <w:sz w:val="24"/>
          <w:szCs w:val="24"/>
        </w:rPr>
        <w:t xml:space="preserve">. </w:t>
      </w:r>
    </w:p>
    <w:p w:rsidR="00630492" w:rsidRDefault="00630492" w:rsidP="00A040E7">
      <w:pPr>
        <w:spacing w:line="276" w:lineRule="auto"/>
        <w:contextualSpacing/>
        <w:jc w:val="both"/>
        <w:rPr>
          <w:rFonts w:ascii="Arial" w:hAnsi="Arial" w:cs="Arial"/>
          <w:sz w:val="24"/>
          <w:szCs w:val="24"/>
        </w:rPr>
      </w:pPr>
    </w:p>
    <w:p w:rsidR="00957128" w:rsidRDefault="00630492" w:rsidP="00630492">
      <w:pPr>
        <w:spacing w:line="276" w:lineRule="auto"/>
        <w:contextualSpacing/>
        <w:jc w:val="both"/>
        <w:rPr>
          <w:rFonts w:ascii="Arial" w:hAnsi="Arial" w:cs="Arial"/>
          <w:sz w:val="24"/>
          <w:szCs w:val="24"/>
        </w:rPr>
      </w:pPr>
      <w:r>
        <w:rPr>
          <w:rFonts w:ascii="Arial" w:hAnsi="Arial" w:cs="Arial"/>
          <w:sz w:val="24"/>
          <w:szCs w:val="24"/>
        </w:rPr>
        <w:t xml:space="preserve">Así, </w:t>
      </w:r>
      <w:r w:rsidRPr="00630492">
        <w:rPr>
          <w:rFonts w:ascii="Arial" w:hAnsi="Arial" w:cs="Arial"/>
          <w:b/>
          <w:sz w:val="24"/>
          <w:szCs w:val="24"/>
        </w:rPr>
        <w:t>Samuel Agudelo Cañas</w:t>
      </w:r>
      <w:r>
        <w:rPr>
          <w:rFonts w:ascii="Arial" w:hAnsi="Arial" w:cs="Arial"/>
          <w:sz w:val="24"/>
          <w:szCs w:val="24"/>
        </w:rPr>
        <w:t xml:space="preserve"> al contestar la demanda afirmó que su madre </w:t>
      </w:r>
      <w:proofErr w:type="spellStart"/>
      <w:r>
        <w:rPr>
          <w:rFonts w:ascii="Arial" w:hAnsi="Arial" w:cs="Arial"/>
          <w:sz w:val="24"/>
          <w:szCs w:val="24"/>
        </w:rPr>
        <w:t>Yurany</w:t>
      </w:r>
      <w:proofErr w:type="spellEnd"/>
      <w:r>
        <w:rPr>
          <w:rFonts w:ascii="Arial" w:hAnsi="Arial" w:cs="Arial"/>
          <w:sz w:val="24"/>
          <w:szCs w:val="24"/>
        </w:rPr>
        <w:t xml:space="preserve"> Andrea Cañas Vélez había sido compañera permanente del causante por un espacio superior a 5 años y que entre éste y la demandante existía por lo menos una separación definitiva superior a 15 años, por lo que se opuso a todas y cada una de las pretensiones, pero ninguna excepción propuso – fls. 232 a 237 c. 1 -.</w:t>
      </w:r>
    </w:p>
    <w:p w:rsidR="00630492" w:rsidRDefault="00630492" w:rsidP="00630492">
      <w:pPr>
        <w:spacing w:line="276" w:lineRule="auto"/>
        <w:contextualSpacing/>
        <w:jc w:val="both"/>
        <w:rPr>
          <w:rFonts w:ascii="Arial" w:hAnsi="Arial" w:cs="Arial"/>
          <w:sz w:val="24"/>
          <w:szCs w:val="24"/>
        </w:rPr>
      </w:pPr>
    </w:p>
    <w:p w:rsidR="00630492" w:rsidRDefault="00630492" w:rsidP="00630492">
      <w:pPr>
        <w:spacing w:line="276" w:lineRule="auto"/>
        <w:contextualSpacing/>
        <w:jc w:val="both"/>
        <w:rPr>
          <w:rFonts w:ascii="Arial" w:hAnsi="Arial" w:cs="Arial"/>
          <w:sz w:val="24"/>
          <w:szCs w:val="24"/>
        </w:rPr>
      </w:pPr>
      <w:r>
        <w:rPr>
          <w:rFonts w:ascii="Arial" w:hAnsi="Arial" w:cs="Arial"/>
          <w:sz w:val="24"/>
          <w:szCs w:val="24"/>
        </w:rPr>
        <w:t xml:space="preserve">A su turno, </w:t>
      </w:r>
      <w:r w:rsidRPr="00630492">
        <w:rPr>
          <w:rFonts w:ascii="Arial" w:hAnsi="Arial" w:cs="Arial"/>
          <w:b/>
          <w:sz w:val="24"/>
          <w:szCs w:val="24"/>
        </w:rPr>
        <w:t>Bryan Andrés Agudelo Marín</w:t>
      </w:r>
      <w:r>
        <w:rPr>
          <w:rFonts w:ascii="Arial" w:hAnsi="Arial" w:cs="Arial"/>
          <w:b/>
          <w:sz w:val="24"/>
          <w:szCs w:val="24"/>
        </w:rPr>
        <w:t xml:space="preserve"> </w:t>
      </w:r>
      <w:r>
        <w:rPr>
          <w:rFonts w:ascii="Arial" w:hAnsi="Arial" w:cs="Arial"/>
          <w:sz w:val="24"/>
          <w:szCs w:val="24"/>
        </w:rPr>
        <w:t>no aceptó ni negó hecho alguno, pero propuso la excepción de prescripción – fls. 264 a 267 c. 1 -.</w:t>
      </w:r>
    </w:p>
    <w:p w:rsidR="00630492" w:rsidRDefault="00630492" w:rsidP="00630492">
      <w:pPr>
        <w:spacing w:line="276" w:lineRule="auto"/>
        <w:contextualSpacing/>
        <w:jc w:val="both"/>
        <w:rPr>
          <w:rFonts w:ascii="Arial" w:hAnsi="Arial" w:cs="Arial"/>
          <w:sz w:val="24"/>
          <w:szCs w:val="24"/>
        </w:rPr>
      </w:pPr>
    </w:p>
    <w:p w:rsidR="00630492" w:rsidRPr="00630492" w:rsidRDefault="00630492" w:rsidP="00630492">
      <w:pPr>
        <w:spacing w:line="276" w:lineRule="auto"/>
        <w:contextualSpacing/>
        <w:jc w:val="both"/>
        <w:rPr>
          <w:rFonts w:ascii="Arial" w:hAnsi="Arial" w:cs="Arial"/>
          <w:sz w:val="24"/>
          <w:szCs w:val="24"/>
          <w:highlight w:val="yellow"/>
        </w:rPr>
      </w:pPr>
      <w:r>
        <w:rPr>
          <w:rFonts w:ascii="Arial" w:hAnsi="Arial" w:cs="Arial"/>
          <w:sz w:val="24"/>
          <w:szCs w:val="24"/>
        </w:rPr>
        <w:t xml:space="preserve">Por último, </w:t>
      </w:r>
      <w:proofErr w:type="spellStart"/>
      <w:r w:rsidRPr="00630492">
        <w:rPr>
          <w:rFonts w:ascii="Arial" w:hAnsi="Arial" w:cs="Arial"/>
          <w:b/>
          <w:sz w:val="24"/>
          <w:szCs w:val="24"/>
        </w:rPr>
        <w:t>Jhon</w:t>
      </w:r>
      <w:proofErr w:type="spellEnd"/>
      <w:r w:rsidRPr="00630492">
        <w:rPr>
          <w:rFonts w:ascii="Arial" w:hAnsi="Arial" w:cs="Arial"/>
          <w:b/>
          <w:sz w:val="24"/>
          <w:szCs w:val="24"/>
        </w:rPr>
        <w:t xml:space="preserve"> </w:t>
      </w:r>
      <w:proofErr w:type="spellStart"/>
      <w:r w:rsidRPr="00630492">
        <w:rPr>
          <w:rFonts w:ascii="Arial" w:hAnsi="Arial" w:cs="Arial"/>
          <w:b/>
          <w:sz w:val="24"/>
          <w:szCs w:val="24"/>
        </w:rPr>
        <w:t>Ever</w:t>
      </w:r>
      <w:proofErr w:type="spellEnd"/>
      <w:r w:rsidRPr="00630492">
        <w:rPr>
          <w:rFonts w:ascii="Arial" w:hAnsi="Arial" w:cs="Arial"/>
          <w:b/>
          <w:sz w:val="24"/>
          <w:szCs w:val="24"/>
        </w:rPr>
        <w:t xml:space="preserve"> Agudelo Marín</w:t>
      </w:r>
      <w:r>
        <w:rPr>
          <w:rFonts w:ascii="Arial" w:hAnsi="Arial" w:cs="Arial"/>
          <w:sz w:val="24"/>
          <w:szCs w:val="24"/>
        </w:rPr>
        <w:t xml:space="preserve"> allegó un memorial en el que manifestaba que carecía de intención alguna para intervenir dentro del proceso – fl. 247 c. 1 -.</w:t>
      </w:r>
    </w:p>
    <w:p w:rsidR="00C04939" w:rsidRDefault="00C04939" w:rsidP="00A040E7">
      <w:pPr>
        <w:spacing w:line="276" w:lineRule="auto"/>
        <w:contextualSpacing/>
        <w:jc w:val="both"/>
        <w:rPr>
          <w:rFonts w:ascii="Arial" w:hAnsi="Arial" w:cs="Arial"/>
          <w:sz w:val="24"/>
          <w:szCs w:val="24"/>
        </w:rPr>
      </w:pPr>
    </w:p>
    <w:p w:rsidR="00A040E7" w:rsidRPr="00544474" w:rsidRDefault="00A040E7" w:rsidP="00A040E7">
      <w:pPr>
        <w:pStyle w:val="Prrafodelista"/>
        <w:numPr>
          <w:ilvl w:val="1"/>
          <w:numId w:val="1"/>
        </w:numPr>
        <w:spacing w:line="276" w:lineRule="auto"/>
        <w:rPr>
          <w:rFonts w:ascii="Arial" w:hAnsi="Arial" w:cs="Arial"/>
          <w:b/>
          <w:sz w:val="24"/>
          <w:szCs w:val="24"/>
          <w:lang w:val="es-CO"/>
        </w:rPr>
      </w:pPr>
      <w:r w:rsidRPr="00544474">
        <w:rPr>
          <w:rFonts w:ascii="Arial" w:hAnsi="Arial" w:cs="Arial"/>
          <w:b/>
          <w:sz w:val="24"/>
          <w:szCs w:val="24"/>
          <w:lang w:val="es-CO"/>
        </w:rPr>
        <w:t>Síntesis de la sentencia apelada.</w:t>
      </w:r>
    </w:p>
    <w:p w:rsidR="00761FC9" w:rsidRDefault="003B62AF" w:rsidP="00544474">
      <w:pPr>
        <w:spacing w:line="276" w:lineRule="auto"/>
        <w:contextualSpacing/>
        <w:jc w:val="both"/>
        <w:rPr>
          <w:rFonts w:ascii="Arial" w:hAnsi="Arial" w:cs="Arial"/>
          <w:sz w:val="24"/>
          <w:szCs w:val="24"/>
          <w:lang w:eastAsia="es-CO"/>
        </w:rPr>
      </w:pPr>
      <w:r w:rsidRPr="003B62AF">
        <w:rPr>
          <w:rFonts w:ascii="Arial" w:hAnsi="Arial" w:cs="Arial"/>
          <w:sz w:val="24"/>
          <w:szCs w:val="24"/>
          <w:lang w:eastAsia="es-CO"/>
        </w:rPr>
        <w:t xml:space="preserve">El Juzgado </w:t>
      </w:r>
      <w:r w:rsidR="00D43EE5">
        <w:rPr>
          <w:rFonts w:ascii="Arial" w:hAnsi="Arial" w:cs="Arial"/>
          <w:sz w:val="24"/>
          <w:szCs w:val="24"/>
          <w:lang w:eastAsia="es-CO"/>
        </w:rPr>
        <w:t>Tercero</w:t>
      </w:r>
      <w:r>
        <w:rPr>
          <w:rFonts w:ascii="Arial" w:hAnsi="Arial" w:cs="Arial"/>
          <w:sz w:val="24"/>
          <w:szCs w:val="24"/>
          <w:lang w:eastAsia="es-CO"/>
        </w:rPr>
        <w:t xml:space="preserve"> </w:t>
      </w:r>
      <w:r w:rsidRPr="003B62AF">
        <w:rPr>
          <w:rFonts w:ascii="Arial" w:hAnsi="Arial" w:cs="Arial"/>
          <w:sz w:val="24"/>
          <w:szCs w:val="24"/>
          <w:lang w:eastAsia="es-CO"/>
        </w:rPr>
        <w:t>Laboral del Circuito de Pereira negó la pretensión pensional</w:t>
      </w:r>
      <w:r w:rsidR="00494539">
        <w:rPr>
          <w:rFonts w:ascii="Arial" w:hAnsi="Arial" w:cs="Arial"/>
          <w:sz w:val="24"/>
          <w:szCs w:val="24"/>
          <w:lang w:eastAsia="es-CO"/>
        </w:rPr>
        <w:t xml:space="preserve"> elevada </w:t>
      </w:r>
      <w:r w:rsidR="00D43EE5">
        <w:rPr>
          <w:rFonts w:ascii="Arial" w:hAnsi="Arial" w:cs="Arial"/>
          <w:sz w:val="24"/>
          <w:szCs w:val="24"/>
          <w:lang w:eastAsia="es-CO"/>
        </w:rPr>
        <w:t>por Ana Cristina Marín Cardona</w:t>
      </w:r>
      <w:r w:rsidR="00177C3E">
        <w:rPr>
          <w:rFonts w:ascii="Arial" w:hAnsi="Arial" w:cs="Arial"/>
          <w:sz w:val="24"/>
          <w:szCs w:val="24"/>
          <w:lang w:eastAsia="es-CO"/>
        </w:rPr>
        <w:t>, tras considerar que</w:t>
      </w:r>
      <w:r w:rsidR="00494539">
        <w:rPr>
          <w:rFonts w:ascii="Arial" w:hAnsi="Arial" w:cs="Arial"/>
          <w:sz w:val="24"/>
          <w:szCs w:val="24"/>
          <w:lang w:eastAsia="es-CO"/>
        </w:rPr>
        <w:t xml:space="preserve"> </w:t>
      </w:r>
      <w:r w:rsidR="00761FC9">
        <w:rPr>
          <w:rFonts w:ascii="Arial" w:hAnsi="Arial" w:cs="Arial"/>
          <w:sz w:val="24"/>
          <w:szCs w:val="24"/>
          <w:lang w:eastAsia="es-CO"/>
        </w:rPr>
        <w:t xml:space="preserve">la demandante no acreditó la convivencia con el causante durante 5 años previos a su muerte, ni tampoco probó la presencia de una ayuda mutua que persistiera en el tiempo hasta la muerte del </w:t>
      </w:r>
      <w:proofErr w:type="spellStart"/>
      <w:r w:rsidR="00761FC9">
        <w:rPr>
          <w:rFonts w:ascii="Arial" w:hAnsi="Arial" w:cs="Arial"/>
          <w:sz w:val="24"/>
          <w:szCs w:val="24"/>
          <w:lang w:eastAsia="es-CO"/>
        </w:rPr>
        <w:t>obitado</w:t>
      </w:r>
      <w:proofErr w:type="spellEnd"/>
      <w:r w:rsidR="00761FC9">
        <w:rPr>
          <w:rFonts w:ascii="Arial" w:hAnsi="Arial" w:cs="Arial"/>
          <w:sz w:val="24"/>
          <w:szCs w:val="24"/>
          <w:lang w:eastAsia="es-CO"/>
        </w:rPr>
        <w:t>, a pesar de la separación que habían tenido</w:t>
      </w:r>
      <w:r w:rsidR="00630492">
        <w:rPr>
          <w:rFonts w:ascii="Arial" w:hAnsi="Arial" w:cs="Arial"/>
          <w:sz w:val="24"/>
          <w:szCs w:val="24"/>
          <w:lang w:eastAsia="es-CO"/>
        </w:rPr>
        <w:t>, pese a que sí habían convivido 5 años en tiempos anteriores</w:t>
      </w:r>
      <w:r w:rsidR="00761FC9">
        <w:rPr>
          <w:rFonts w:ascii="Arial" w:hAnsi="Arial" w:cs="Arial"/>
          <w:sz w:val="24"/>
          <w:szCs w:val="24"/>
          <w:lang w:eastAsia="es-CO"/>
        </w:rPr>
        <w:t>.</w:t>
      </w:r>
    </w:p>
    <w:p w:rsidR="00761FC9" w:rsidRDefault="00761FC9" w:rsidP="00544474">
      <w:pPr>
        <w:spacing w:line="276" w:lineRule="auto"/>
        <w:contextualSpacing/>
        <w:jc w:val="both"/>
        <w:rPr>
          <w:rFonts w:ascii="Arial" w:hAnsi="Arial" w:cs="Arial"/>
          <w:sz w:val="24"/>
          <w:szCs w:val="24"/>
          <w:lang w:eastAsia="es-CO"/>
        </w:rPr>
      </w:pPr>
    </w:p>
    <w:p w:rsidR="00A81104" w:rsidRDefault="00761FC9" w:rsidP="00544474">
      <w:pPr>
        <w:spacing w:line="276" w:lineRule="auto"/>
        <w:contextualSpacing/>
        <w:jc w:val="both"/>
        <w:rPr>
          <w:rFonts w:ascii="Arial" w:hAnsi="Arial" w:cs="Arial"/>
          <w:sz w:val="24"/>
          <w:szCs w:val="24"/>
          <w:lang w:eastAsia="es-CO"/>
        </w:rPr>
      </w:pPr>
      <w:r>
        <w:rPr>
          <w:rFonts w:ascii="Arial" w:hAnsi="Arial" w:cs="Arial"/>
          <w:sz w:val="24"/>
          <w:szCs w:val="24"/>
          <w:lang w:eastAsia="es-CO"/>
        </w:rPr>
        <w:t>En ese sentido, expuso que la pareja había contraído matrimonio en 1994, unión de la que procrearon 3 descendientes y que la convivencia fue continua e ininterrumpida hasta el año 2005, época en que la demandante decidió abandonar el país y radicarse en España con el propósito de mejorar las condiciones económicas de su núcleo familiar</w:t>
      </w:r>
      <w:r w:rsidR="00A81104">
        <w:rPr>
          <w:rFonts w:ascii="Arial" w:hAnsi="Arial" w:cs="Arial"/>
          <w:sz w:val="24"/>
          <w:szCs w:val="24"/>
          <w:lang w:eastAsia="es-CO"/>
        </w:rPr>
        <w:t xml:space="preserve">; </w:t>
      </w:r>
      <w:r>
        <w:rPr>
          <w:rFonts w:ascii="Arial" w:hAnsi="Arial" w:cs="Arial"/>
          <w:sz w:val="24"/>
          <w:szCs w:val="24"/>
          <w:lang w:eastAsia="es-CO"/>
        </w:rPr>
        <w:t xml:space="preserve">sin embargo, </w:t>
      </w:r>
      <w:r w:rsidR="00A81104">
        <w:rPr>
          <w:rFonts w:ascii="Arial" w:hAnsi="Arial" w:cs="Arial"/>
          <w:sz w:val="24"/>
          <w:szCs w:val="24"/>
          <w:lang w:eastAsia="es-CO"/>
        </w:rPr>
        <w:t xml:space="preserve">la </w:t>
      </w:r>
      <w:r w:rsidR="00A81104" w:rsidRPr="00A81104">
        <w:rPr>
          <w:rFonts w:ascii="Arial" w:hAnsi="Arial" w:cs="Arial"/>
          <w:i/>
          <w:sz w:val="24"/>
          <w:szCs w:val="24"/>
          <w:lang w:eastAsia="es-CO"/>
        </w:rPr>
        <w:t>a quo</w:t>
      </w:r>
      <w:r w:rsidR="00A81104">
        <w:rPr>
          <w:rFonts w:ascii="Arial" w:hAnsi="Arial" w:cs="Arial"/>
          <w:sz w:val="24"/>
          <w:szCs w:val="24"/>
          <w:lang w:eastAsia="es-CO"/>
        </w:rPr>
        <w:t xml:space="preserve"> </w:t>
      </w:r>
      <w:r>
        <w:rPr>
          <w:rFonts w:ascii="Arial" w:hAnsi="Arial" w:cs="Arial"/>
          <w:sz w:val="24"/>
          <w:szCs w:val="24"/>
          <w:lang w:eastAsia="es-CO"/>
        </w:rPr>
        <w:t xml:space="preserve">adujo que la demandante había confesado que la unidad familiar se rompió </w:t>
      </w:r>
      <w:r w:rsidR="00A81104">
        <w:rPr>
          <w:rFonts w:ascii="Arial" w:hAnsi="Arial" w:cs="Arial"/>
          <w:sz w:val="24"/>
          <w:szCs w:val="24"/>
          <w:lang w:eastAsia="es-CO"/>
        </w:rPr>
        <w:t xml:space="preserve">desde su partida al extranjero, </w:t>
      </w:r>
      <w:r>
        <w:rPr>
          <w:rFonts w:ascii="Arial" w:hAnsi="Arial" w:cs="Arial"/>
          <w:sz w:val="24"/>
          <w:szCs w:val="24"/>
          <w:lang w:eastAsia="es-CO"/>
        </w:rPr>
        <w:t xml:space="preserve">en tanto que </w:t>
      </w:r>
      <w:r w:rsidR="00A81104">
        <w:rPr>
          <w:rFonts w:ascii="Arial" w:hAnsi="Arial" w:cs="Arial"/>
          <w:sz w:val="24"/>
          <w:szCs w:val="24"/>
          <w:lang w:eastAsia="es-CO"/>
        </w:rPr>
        <w:t>la demandante como el causante habían iniciado nuevas relaciones de pareja, aspecto que evidenciaba la ruptura de la relación conyugal, pese a que el vínculo matrimonial nunca cesó legalmente.</w:t>
      </w:r>
    </w:p>
    <w:p w:rsidR="00A81104" w:rsidRDefault="00A81104" w:rsidP="00544474">
      <w:pPr>
        <w:spacing w:line="276" w:lineRule="auto"/>
        <w:contextualSpacing/>
        <w:jc w:val="both"/>
        <w:rPr>
          <w:rFonts w:ascii="Arial" w:hAnsi="Arial" w:cs="Arial"/>
          <w:sz w:val="24"/>
          <w:szCs w:val="24"/>
          <w:lang w:eastAsia="es-CO"/>
        </w:rPr>
      </w:pPr>
    </w:p>
    <w:p w:rsidR="00A81104" w:rsidRDefault="00A81104" w:rsidP="00544474">
      <w:pPr>
        <w:spacing w:line="276" w:lineRule="auto"/>
        <w:contextualSpacing/>
        <w:jc w:val="both"/>
        <w:rPr>
          <w:rFonts w:ascii="Arial" w:hAnsi="Arial" w:cs="Arial"/>
          <w:sz w:val="24"/>
          <w:szCs w:val="24"/>
          <w:lang w:eastAsia="es-CO"/>
        </w:rPr>
      </w:pPr>
      <w:r>
        <w:rPr>
          <w:rFonts w:ascii="Arial" w:hAnsi="Arial" w:cs="Arial"/>
          <w:sz w:val="24"/>
          <w:szCs w:val="24"/>
          <w:lang w:eastAsia="es-CO"/>
        </w:rPr>
        <w:t xml:space="preserve">Por otro lado, aclaró que tampoco </w:t>
      </w:r>
      <w:r w:rsidR="00660089">
        <w:rPr>
          <w:rFonts w:ascii="Arial" w:hAnsi="Arial" w:cs="Arial"/>
          <w:sz w:val="24"/>
          <w:szCs w:val="24"/>
          <w:lang w:eastAsia="es-CO"/>
        </w:rPr>
        <w:t>había permanecido</w:t>
      </w:r>
      <w:r>
        <w:rPr>
          <w:rFonts w:ascii="Arial" w:hAnsi="Arial" w:cs="Arial"/>
          <w:sz w:val="24"/>
          <w:szCs w:val="24"/>
          <w:lang w:eastAsia="es-CO"/>
        </w:rPr>
        <w:t xml:space="preserve"> en la pareja el ánimo de ayuda mutua o atención en la enfermedad, pues los ingresos percibidos por la demandante en España apenas se dirigían para los gastos alimentarios de los hijos que había procreado, máxime</w:t>
      </w:r>
      <w:r w:rsidR="00660089">
        <w:rPr>
          <w:rFonts w:ascii="Arial" w:hAnsi="Arial" w:cs="Arial"/>
          <w:sz w:val="24"/>
          <w:szCs w:val="24"/>
          <w:lang w:eastAsia="es-CO"/>
        </w:rPr>
        <w:t xml:space="preserve"> que</w:t>
      </w:r>
      <w:r>
        <w:rPr>
          <w:rFonts w:ascii="Arial" w:hAnsi="Arial" w:cs="Arial"/>
          <w:sz w:val="24"/>
          <w:szCs w:val="24"/>
          <w:lang w:eastAsia="es-CO"/>
        </w:rPr>
        <w:t xml:space="preserve"> la </w:t>
      </w:r>
      <w:r w:rsidR="003C3A7B">
        <w:rPr>
          <w:rFonts w:ascii="Arial" w:hAnsi="Arial" w:cs="Arial"/>
          <w:sz w:val="24"/>
          <w:szCs w:val="24"/>
          <w:lang w:eastAsia="es-CO"/>
        </w:rPr>
        <w:t>actora</w:t>
      </w:r>
      <w:r>
        <w:rPr>
          <w:rFonts w:ascii="Arial" w:hAnsi="Arial" w:cs="Arial"/>
          <w:sz w:val="24"/>
          <w:szCs w:val="24"/>
          <w:lang w:eastAsia="es-CO"/>
        </w:rPr>
        <w:t xml:space="preserve"> desde el año 2005 hasta el año 2016 apenas retornó a Colombia en dos ocasiones, por intervalos de 3 meses y 1 año, periodos en los que se radicó en la residencia de su progenitora, sin que asistiera a su cónyug</w:t>
      </w:r>
      <w:r w:rsidR="00660089">
        <w:rPr>
          <w:rFonts w:ascii="Arial" w:hAnsi="Arial" w:cs="Arial"/>
          <w:sz w:val="24"/>
          <w:szCs w:val="24"/>
          <w:lang w:eastAsia="es-CO"/>
        </w:rPr>
        <w:t xml:space="preserve">e durante la convalecencia, ni se presentara </w:t>
      </w:r>
      <w:r>
        <w:rPr>
          <w:rFonts w:ascii="Arial" w:hAnsi="Arial" w:cs="Arial"/>
          <w:sz w:val="24"/>
          <w:szCs w:val="24"/>
          <w:lang w:eastAsia="es-CO"/>
        </w:rPr>
        <w:t xml:space="preserve">a sus honras fúnebres. </w:t>
      </w:r>
    </w:p>
    <w:p w:rsidR="00177C3E" w:rsidRDefault="00177C3E" w:rsidP="00544474">
      <w:pPr>
        <w:spacing w:line="276" w:lineRule="auto"/>
        <w:contextualSpacing/>
        <w:jc w:val="both"/>
        <w:rPr>
          <w:rFonts w:ascii="Arial" w:hAnsi="Arial" w:cs="Arial"/>
          <w:sz w:val="24"/>
          <w:szCs w:val="24"/>
          <w:lang w:eastAsia="es-CO"/>
        </w:rPr>
      </w:pPr>
    </w:p>
    <w:p w:rsidR="00A040E7" w:rsidRPr="00641218" w:rsidRDefault="00A040E7" w:rsidP="00A040E7">
      <w:pPr>
        <w:shd w:val="clear" w:color="auto" w:fill="FFFFFF"/>
        <w:spacing w:line="276" w:lineRule="auto"/>
        <w:contextualSpacing/>
        <w:jc w:val="both"/>
        <w:rPr>
          <w:rFonts w:ascii="Arial" w:hAnsi="Arial" w:cs="Arial"/>
          <w:b/>
          <w:color w:val="000000"/>
          <w:sz w:val="24"/>
          <w:szCs w:val="24"/>
          <w:lang w:eastAsia="es-CO"/>
        </w:rPr>
      </w:pPr>
      <w:r w:rsidRPr="00641218">
        <w:rPr>
          <w:rFonts w:ascii="Arial" w:hAnsi="Arial" w:cs="Arial"/>
          <w:b/>
          <w:color w:val="000000"/>
          <w:sz w:val="24"/>
          <w:szCs w:val="24"/>
          <w:lang w:eastAsia="es-CO"/>
        </w:rPr>
        <w:lastRenderedPageBreak/>
        <w:t>1.3. Del recurso de apelación.</w:t>
      </w:r>
    </w:p>
    <w:p w:rsidR="00A040E7" w:rsidRPr="00072E07" w:rsidRDefault="00A040E7" w:rsidP="00A040E7">
      <w:pPr>
        <w:shd w:val="clear" w:color="auto" w:fill="FFFFFF"/>
        <w:spacing w:line="276" w:lineRule="auto"/>
        <w:contextualSpacing/>
        <w:jc w:val="both"/>
        <w:rPr>
          <w:rFonts w:ascii="Arial" w:hAnsi="Arial" w:cs="Arial"/>
          <w:sz w:val="24"/>
          <w:szCs w:val="24"/>
          <w:lang w:eastAsia="es-CO"/>
        </w:rPr>
      </w:pPr>
    </w:p>
    <w:p w:rsidR="008A08EC" w:rsidRDefault="00177C3E" w:rsidP="00B37CCB">
      <w:pPr>
        <w:spacing w:after="0" w:line="276" w:lineRule="auto"/>
        <w:jc w:val="both"/>
        <w:rPr>
          <w:rFonts w:ascii="Arial" w:hAnsi="Arial" w:cs="Arial"/>
          <w:sz w:val="24"/>
          <w:szCs w:val="24"/>
          <w:lang w:eastAsia="es-CO"/>
        </w:rPr>
      </w:pPr>
      <w:r>
        <w:rPr>
          <w:rFonts w:ascii="Arial" w:hAnsi="Arial" w:cs="Arial"/>
          <w:sz w:val="24"/>
          <w:szCs w:val="24"/>
          <w:lang w:eastAsia="es-CO"/>
        </w:rPr>
        <w:t>El apoderado</w:t>
      </w:r>
      <w:r w:rsidR="00A040E7" w:rsidRPr="00072E07">
        <w:rPr>
          <w:rFonts w:ascii="Arial" w:hAnsi="Arial" w:cs="Arial"/>
          <w:sz w:val="24"/>
          <w:szCs w:val="24"/>
          <w:lang w:eastAsia="es-CO"/>
        </w:rPr>
        <w:t xml:space="preserve"> judicial de la </w:t>
      </w:r>
      <w:r>
        <w:rPr>
          <w:rFonts w:ascii="Arial" w:hAnsi="Arial" w:cs="Arial"/>
          <w:sz w:val="24"/>
          <w:szCs w:val="24"/>
          <w:lang w:eastAsia="es-CO"/>
        </w:rPr>
        <w:t>demandante</w:t>
      </w:r>
      <w:r w:rsidR="009E53F3">
        <w:rPr>
          <w:rFonts w:ascii="Arial" w:hAnsi="Arial" w:cs="Arial"/>
          <w:sz w:val="24"/>
          <w:szCs w:val="24"/>
          <w:lang w:eastAsia="es-CO"/>
        </w:rPr>
        <w:t xml:space="preserve"> </w:t>
      </w:r>
      <w:r w:rsidR="00A040E7" w:rsidRPr="00072E07">
        <w:rPr>
          <w:rFonts w:ascii="Arial" w:hAnsi="Arial" w:cs="Arial"/>
          <w:sz w:val="24"/>
          <w:szCs w:val="24"/>
          <w:lang w:eastAsia="es-CO"/>
        </w:rPr>
        <w:t xml:space="preserve">presentó recurso de </w:t>
      </w:r>
      <w:r w:rsidR="00515A16">
        <w:rPr>
          <w:rFonts w:ascii="Arial" w:hAnsi="Arial" w:cs="Arial"/>
          <w:sz w:val="24"/>
          <w:szCs w:val="24"/>
          <w:lang w:eastAsia="es-CO"/>
        </w:rPr>
        <w:t xml:space="preserve">apelación, para lo cual </w:t>
      </w:r>
      <w:r w:rsidR="0016166A">
        <w:rPr>
          <w:rFonts w:ascii="Arial" w:hAnsi="Arial" w:cs="Arial"/>
          <w:sz w:val="24"/>
          <w:szCs w:val="24"/>
          <w:lang w:eastAsia="es-CO"/>
        </w:rPr>
        <w:t>recriminó que la condición de cónyuges permaneció hasta el deceso del causante, pues ningún divorcio o liq</w:t>
      </w:r>
      <w:r w:rsidR="003C3A7B">
        <w:rPr>
          <w:rFonts w:ascii="Arial" w:hAnsi="Arial" w:cs="Arial"/>
          <w:sz w:val="24"/>
          <w:szCs w:val="24"/>
          <w:lang w:eastAsia="es-CO"/>
        </w:rPr>
        <w:t>uidación de la sociedad ocurrió;</w:t>
      </w:r>
      <w:r w:rsidR="0016166A">
        <w:rPr>
          <w:rFonts w:ascii="Arial" w:hAnsi="Arial" w:cs="Arial"/>
          <w:sz w:val="24"/>
          <w:szCs w:val="24"/>
          <w:lang w:eastAsia="es-CO"/>
        </w:rPr>
        <w:t xml:space="preserve"> en ese sentido argumentó que la credibilidad otorgada al interrogatorio rendido por la demandante debía darse tanto a los aspectos negativos, como positivos de la relación de pareja, por lo que a juicio del apelante la situación fáctica de </w:t>
      </w:r>
      <w:r w:rsidR="001E5101">
        <w:rPr>
          <w:rFonts w:ascii="Arial" w:hAnsi="Arial" w:cs="Arial"/>
          <w:sz w:val="24"/>
          <w:szCs w:val="24"/>
          <w:lang w:eastAsia="es-CO"/>
        </w:rPr>
        <w:t xml:space="preserve">los cónyuges </w:t>
      </w:r>
      <w:r w:rsidR="0016166A">
        <w:rPr>
          <w:rFonts w:ascii="Arial" w:hAnsi="Arial" w:cs="Arial"/>
          <w:sz w:val="24"/>
          <w:szCs w:val="24"/>
          <w:lang w:eastAsia="es-CO"/>
        </w:rPr>
        <w:t>obedecía a la regla jurisprudencia</w:t>
      </w:r>
      <w:r w:rsidR="008A08EC">
        <w:rPr>
          <w:rFonts w:ascii="Arial" w:hAnsi="Arial" w:cs="Arial"/>
          <w:sz w:val="24"/>
          <w:szCs w:val="24"/>
          <w:lang w:eastAsia="es-CO"/>
        </w:rPr>
        <w:t>l</w:t>
      </w:r>
      <w:r w:rsidR="0016166A">
        <w:rPr>
          <w:rFonts w:ascii="Arial" w:hAnsi="Arial" w:cs="Arial"/>
          <w:sz w:val="24"/>
          <w:szCs w:val="24"/>
          <w:lang w:eastAsia="es-CO"/>
        </w:rPr>
        <w:t xml:space="preserve"> de convivencia de 5 años en cualquier tiempo, con separación de hecho, que exige una ayuda con posterioridad a la separación, evento que aconteció para el caso en concreto y que se </w:t>
      </w:r>
      <w:r w:rsidR="001E5101">
        <w:rPr>
          <w:rFonts w:ascii="Arial" w:hAnsi="Arial" w:cs="Arial"/>
          <w:sz w:val="24"/>
          <w:szCs w:val="24"/>
          <w:lang w:eastAsia="es-CO"/>
        </w:rPr>
        <w:t>evidenció</w:t>
      </w:r>
      <w:r w:rsidR="0016166A">
        <w:rPr>
          <w:rFonts w:ascii="Arial" w:hAnsi="Arial" w:cs="Arial"/>
          <w:sz w:val="24"/>
          <w:szCs w:val="24"/>
          <w:lang w:eastAsia="es-CO"/>
        </w:rPr>
        <w:t xml:space="preserve"> en el envío de dinero desde el extranjero, sin que pueda exigirse algún tipo de acompañamiento pues la lejanía impedía este requerimiento. </w:t>
      </w:r>
    </w:p>
    <w:p w:rsidR="008A08EC" w:rsidRDefault="008A08EC" w:rsidP="00B37CCB">
      <w:pPr>
        <w:spacing w:after="0" w:line="276" w:lineRule="auto"/>
        <w:jc w:val="both"/>
        <w:rPr>
          <w:rFonts w:ascii="Arial" w:hAnsi="Arial" w:cs="Arial"/>
          <w:sz w:val="24"/>
          <w:szCs w:val="24"/>
          <w:lang w:eastAsia="es-CO"/>
        </w:rPr>
      </w:pPr>
    </w:p>
    <w:p w:rsidR="0016166A" w:rsidRDefault="0016166A" w:rsidP="00B37CCB">
      <w:pPr>
        <w:spacing w:after="0" w:line="276" w:lineRule="auto"/>
        <w:jc w:val="both"/>
        <w:rPr>
          <w:rFonts w:ascii="Arial" w:hAnsi="Arial" w:cs="Arial"/>
          <w:sz w:val="24"/>
          <w:szCs w:val="24"/>
          <w:lang w:eastAsia="es-CO"/>
        </w:rPr>
      </w:pPr>
      <w:r>
        <w:rPr>
          <w:rFonts w:ascii="Arial" w:hAnsi="Arial" w:cs="Arial"/>
          <w:sz w:val="24"/>
          <w:szCs w:val="24"/>
          <w:lang w:eastAsia="es-CO"/>
        </w:rPr>
        <w:t>En ese sentido, expuso que debía darse credibilidad a lo dicho por la demandante respecto al constante contacto telefónico entre los cónyuges, la ayuda prodigada a través de sus progenitores o por lo menos, el vínculo que los ataba respecto a los 3 hijos que hab</w:t>
      </w:r>
      <w:r w:rsidR="008A08EC">
        <w:rPr>
          <w:rFonts w:ascii="Arial" w:hAnsi="Arial" w:cs="Arial"/>
          <w:sz w:val="24"/>
          <w:szCs w:val="24"/>
          <w:lang w:eastAsia="es-CO"/>
        </w:rPr>
        <w:t xml:space="preserve">ían procreado, máxime que según lo afirmado por la demandante y ratificado por su progenitora al rendir declaración, en el año 2013 tuvieron la intención de </w:t>
      </w:r>
      <w:r w:rsidR="008A08EC" w:rsidRPr="008A08EC">
        <w:rPr>
          <w:rFonts w:ascii="Arial" w:hAnsi="Arial" w:cs="Arial"/>
          <w:i/>
          <w:sz w:val="24"/>
          <w:szCs w:val="24"/>
          <w:lang w:eastAsia="es-CO"/>
        </w:rPr>
        <w:t>volver.</w:t>
      </w:r>
      <w:r>
        <w:rPr>
          <w:rFonts w:ascii="Arial" w:hAnsi="Arial" w:cs="Arial"/>
          <w:sz w:val="24"/>
          <w:szCs w:val="24"/>
          <w:lang w:eastAsia="es-CO"/>
        </w:rPr>
        <w:t xml:space="preserve"> </w:t>
      </w:r>
    </w:p>
    <w:p w:rsidR="00A040E7" w:rsidRPr="00A36C68" w:rsidRDefault="00A040E7" w:rsidP="00A36C68">
      <w:pPr>
        <w:shd w:val="clear" w:color="auto" w:fill="FFFFFF"/>
        <w:tabs>
          <w:tab w:val="left" w:pos="5197"/>
        </w:tabs>
        <w:spacing w:after="0" w:line="276" w:lineRule="auto"/>
        <w:jc w:val="center"/>
        <w:rPr>
          <w:rFonts w:ascii="Arial" w:hAnsi="Arial" w:cs="Arial"/>
          <w:b/>
          <w:sz w:val="24"/>
          <w:szCs w:val="24"/>
        </w:rPr>
      </w:pPr>
      <w:r w:rsidRPr="00A36C68">
        <w:rPr>
          <w:rFonts w:ascii="Arial" w:hAnsi="Arial" w:cs="Arial"/>
          <w:b/>
          <w:sz w:val="24"/>
          <w:szCs w:val="24"/>
        </w:rPr>
        <w:t>CONSIDERACIONES</w:t>
      </w:r>
    </w:p>
    <w:p w:rsidR="00A040E7" w:rsidRPr="00641218" w:rsidRDefault="00A040E7" w:rsidP="001B7A70">
      <w:pPr>
        <w:pStyle w:val="Textoindependiente"/>
        <w:contextualSpacing/>
        <w:rPr>
          <w:b/>
          <w:iCs/>
          <w:szCs w:val="24"/>
        </w:rPr>
      </w:pPr>
    </w:p>
    <w:p w:rsidR="00A040E7" w:rsidRPr="00986420" w:rsidRDefault="00A040E7" w:rsidP="00A040E7">
      <w:pPr>
        <w:pStyle w:val="Textoindependiente"/>
        <w:spacing w:line="276" w:lineRule="auto"/>
        <w:contextualSpacing/>
        <w:rPr>
          <w:b/>
          <w:iCs/>
          <w:szCs w:val="24"/>
        </w:rPr>
      </w:pPr>
      <w:r w:rsidRPr="00986420">
        <w:rPr>
          <w:b/>
          <w:iCs/>
          <w:szCs w:val="24"/>
        </w:rPr>
        <w:t>1. Cuestión previa</w:t>
      </w:r>
    </w:p>
    <w:p w:rsidR="008A08EC" w:rsidRPr="00986420" w:rsidRDefault="008A08EC" w:rsidP="00A040E7">
      <w:pPr>
        <w:pStyle w:val="Textoindependiente"/>
        <w:spacing w:line="276" w:lineRule="auto"/>
        <w:ind w:right="49"/>
        <w:contextualSpacing/>
        <w:rPr>
          <w:szCs w:val="24"/>
          <w:lang w:val="es-CO"/>
        </w:rPr>
      </w:pPr>
    </w:p>
    <w:p w:rsidR="008A08EC" w:rsidRDefault="008A08EC" w:rsidP="00986420">
      <w:pPr>
        <w:pStyle w:val="Textoindependiente"/>
        <w:spacing w:line="276" w:lineRule="auto"/>
        <w:contextualSpacing/>
        <w:rPr>
          <w:iCs/>
          <w:szCs w:val="24"/>
        </w:rPr>
      </w:pPr>
      <w:r w:rsidRPr="00986420">
        <w:rPr>
          <w:iCs/>
          <w:szCs w:val="24"/>
        </w:rPr>
        <w:t>Previamente a formular el problema jurídico, debe acotarse que el derecho a la pensión de sobrevivientes se causó con la muerte del señor Heber Hernán Agudelo Osorno, como se desprende del reconocimiento pensional que realizó</w:t>
      </w:r>
      <w:r w:rsidR="00986420">
        <w:rPr>
          <w:iCs/>
          <w:szCs w:val="24"/>
        </w:rPr>
        <w:t xml:space="preserve"> Porvenir S.A.  los descendientes del causante – fl. 78 c. 1-, aspecto sobre el que no existe controversia, por lo que </w:t>
      </w:r>
      <w:r w:rsidRPr="00986420">
        <w:rPr>
          <w:szCs w:val="24"/>
          <w:lang w:val="es-CO"/>
        </w:rPr>
        <w:t xml:space="preserve">la competencia en esta instancia, se encuentra delimitada por el fundamento de la apelación, que en el presente caso, hace referencia exclusivamente el </w:t>
      </w:r>
      <w:r w:rsidRPr="00986420">
        <w:rPr>
          <w:iCs/>
          <w:szCs w:val="24"/>
        </w:rPr>
        <w:t>presupuesto de la convivencia entre la demandante y el obitado</w:t>
      </w:r>
      <w:r w:rsidR="00986420">
        <w:rPr>
          <w:iCs/>
          <w:szCs w:val="24"/>
        </w:rPr>
        <w:t>.</w:t>
      </w:r>
    </w:p>
    <w:p w:rsidR="004A1A74" w:rsidRDefault="004A1A74" w:rsidP="00A040E7">
      <w:pPr>
        <w:pStyle w:val="Textoindependiente"/>
        <w:spacing w:line="276" w:lineRule="auto"/>
        <w:ind w:right="49"/>
        <w:contextualSpacing/>
        <w:rPr>
          <w:iCs/>
          <w:szCs w:val="24"/>
        </w:rPr>
      </w:pPr>
    </w:p>
    <w:p w:rsidR="00A040E7" w:rsidRPr="0083473A" w:rsidRDefault="00A040E7" w:rsidP="001B7A70">
      <w:pPr>
        <w:shd w:val="clear" w:color="auto" w:fill="FFFFFF"/>
        <w:tabs>
          <w:tab w:val="left" w:pos="5197"/>
        </w:tabs>
        <w:spacing w:after="0" w:line="240" w:lineRule="auto"/>
        <w:contextualSpacing/>
        <w:jc w:val="both"/>
        <w:rPr>
          <w:rFonts w:ascii="Arial" w:hAnsi="Arial" w:cs="Arial"/>
          <w:b/>
          <w:sz w:val="24"/>
          <w:szCs w:val="24"/>
        </w:rPr>
      </w:pPr>
      <w:r w:rsidRPr="0083473A">
        <w:rPr>
          <w:rFonts w:ascii="Arial" w:hAnsi="Arial" w:cs="Arial"/>
          <w:b/>
          <w:sz w:val="24"/>
          <w:szCs w:val="24"/>
        </w:rPr>
        <w:t>1.1. Del problema jurídico</w:t>
      </w:r>
    </w:p>
    <w:p w:rsidR="001B7A70" w:rsidRDefault="001B7A70" w:rsidP="001B7A70">
      <w:pPr>
        <w:shd w:val="clear" w:color="auto" w:fill="FFFFFF"/>
        <w:tabs>
          <w:tab w:val="left" w:pos="5197"/>
        </w:tabs>
        <w:spacing w:after="0" w:line="240" w:lineRule="auto"/>
        <w:jc w:val="both"/>
        <w:rPr>
          <w:rFonts w:ascii="Arial" w:hAnsi="Arial" w:cs="Arial"/>
          <w:color w:val="000000"/>
          <w:sz w:val="24"/>
          <w:szCs w:val="24"/>
          <w:lang w:eastAsia="es-CO"/>
        </w:rPr>
      </w:pPr>
    </w:p>
    <w:p w:rsidR="00A040E7" w:rsidRDefault="00A040E7" w:rsidP="001B7A70">
      <w:pPr>
        <w:shd w:val="clear" w:color="auto" w:fill="FFFFFF"/>
        <w:tabs>
          <w:tab w:val="left" w:pos="5197"/>
        </w:tabs>
        <w:spacing w:after="0" w:line="276" w:lineRule="auto"/>
        <w:jc w:val="both"/>
        <w:rPr>
          <w:rFonts w:ascii="Arial" w:hAnsi="Arial" w:cs="Arial"/>
          <w:color w:val="000000"/>
          <w:sz w:val="24"/>
          <w:szCs w:val="24"/>
          <w:lang w:eastAsia="es-CO"/>
        </w:rPr>
      </w:pPr>
      <w:r w:rsidRPr="00641218">
        <w:rPr>
          <w:rFonts w:ascii="Arial" w:hAnsi="Arial" w:cs="Arial"/>
          <w:color w:val="000000"/>
          <w:sz w:val="24"/>
          <w:szCs w:val="24"/>
          <w:lang w:eastAsia="es-CO"/>
        </w:rPr>
        <w:t xml:space="preserve">Visto el recuento anterior, la Sala formula </w:t>
      </w:r>
      <w:r w:rsidR="00EF6142" w:rsidRPr="00641218">
        <w:rPr>
          <w:rFonts w:ascii="Arial" w:hAnsi="Arial" w:cs="Arial"/>
          <w:color w:val="000000"/>
          <w:sz w:val="24"/>
          <w:szCs w:val="24"/>
          <w:lang w:eastAsia="es-CO"/>
        </w:rPr>
        <w:t xml:space="preserve">el </w:t>
      </w:r>
      <w:r w:rsidR="00EF6142">
        <w:rPr>
          <w:rFonts w:ascii="Arial" w:hAnsi="Arial" w:cs="Arial"/>
          <w:color w:val="000000"/>
          <w:sz w:val="24"/>
          <w:szCs w:val="24"/>
          <w:lang w:eastAsia="es-CO"/>
        </w:rPr>
        <w:t>siguiente</w:t>
      </w:r>
      <w:r w:rsidRPr="00641218">
        <w:rPr>
          <w:rFonts w:ascii="Arial" w:hAnsi="Arial" w:cs="Arial"/>
          <w:color w:val="000000"/>
          <w:sz w:val="24"/>
          <w:szCs w:val="24"/>
          <w:lang w:eastAsia="es-CO"/>
        </w:rPr>
        <w:t>:</w:t>
      </w:r>
    </w:p>
    <w:p w:rsidR="001B7A70" w:rsidRPr="00CE0D10" w:rsidRDefault="001B7A70" w:rsidP="001B7A70">
      <w:pPr>
        <w:shd w:val="clear" w:color="auto" w:fill="FFFFFF"/>
        <w:tabs>
          <w:tab w:val="left" w:pos="5197"/>
        </w:tabs>
        <w:spacing w:after="0" w:line="240" w:lineRule="auto"/>
        <w:jc w:val="both"/>
        <w:rPr>
          <w:rFonts w:ascii="Arial" w:hAnsi="Arial" w:cs="Arial"/>
          <w:color w:val="000000"/>
          <w:sz w:val="24"/>
          <w:szCs w:val="24"/>
          <w:lang w:eastAsia="es-CO"/>
        </w:rPr>
      </w:pPr>
    </w:p>
    <w:p w:rsidR="00A040E7" w:rsidRPr="0083473A" w:rsidRDefault="00A040E7" w:rsidP="001B7A70">
      <w:pPr>
        <w:pStyle w:val="Textoindependiente"/>
        <w:spacing w:line="276" w:lineRule="auto"/>
        <w:ind w:right="49"/>
        <w:contextualSpacing/>
        <w:rPr>
          <w:szCs w:val="24"/>
          <w:lang w:val="es-CO"/>
        </w:rPr>
      </w:pPr>
      <w:r>
        <w:rPr>
          <w:szCs w:val="24"/>
        </w:rPr>
        <w:t>¿</w:t>
      </w:r>
      <w:r w:rsidR="003A5928">
        <w:rPr>
          <w:szCs w:val="24"/>
        </w:rPr>
        <w:t>L</w:t>
      </w:r>
      <w:r>
        <w:rPr>
          <w:rFonts w:eastAsia="Times New Roman"/>
          <w:color w:val="000000"/>
          <w:szCs w:val="24"/>
          <w:lang w:eastAsia="es-CO"/>
        </w:rPr>
        <w:t xml:space="preserve">a señora </w:t>
      </w:r>
      <w:r w:rsidR="008A08EC">
        <w:rPr>
          <w:rFonts w:eastAsia="Times New Roman"/>
          <w:color w:val="000000"/>
          <w:szCs w:val="24"/>
          <w:lang w:eastAsia="es-CO"/>
        </w:rPr>
        <w:t>Ana Cristina Marín Cardona</w:t>
      </w:r>
      <w:r w:rsidR="003A5928">
        <w:rPr>
          <w:rFonts w:eastAsia="Times New Roman"/>
          <w:color w:val="000000"/>
          <w:szCs w:val="24"/>
          <w:lang w:eastAsia="es-CO"/>
        </w:rPr>
        <w:t xml:space="preserve"> demostró</w:t>
      </w:r>
      <w:r w:rsidR="009639BE">
        <w:rPr>
          <w:rFonts w:eastAsia="Times New Roman"/>
          <w:color w:val="000000"/>
          <w:szCs w:val="24"/>
          <w:lang w:eastAsia="es-CO"/>
        </w:rPr>
        <w:t xml:space="preserve"> </w:t>
      </w:r>
      <w:r w:rsidRPr="008833D6">
        <w:rPr>
          <w:rFonts w:eastAsia="Times New Roman"/>
          <w:color w:val="000000"/>
          <w:szCs w:val="24"/>
          <w:lang w:eastAsia="es-CO"/>
        </w:rPr>
        <w:t xml:space="preserve">ser beneficiaria de la pensión de sobrevivientes </w:t>
      </w:r>
      <w:r w:rsidR="003A5928">
        <w:rPr>
          <w:rFonts w:eastAsia="Times New Roman"/>
          <w:color w:val="000000"/>
          <w:szCs w:val="24"/>
          <w:lang w:eastAsia="es-CO"/>
        </w:rPr>
        <w:t xml:space="preserve">causada por </w:t>
      </w:r>
      <w:r w:rsidR="00962789">
        <w:rPr>
          <w:rFonts w:eastAsia="Times New Roman"/>
          <w:color w:val="000000"/>
          <w:szCs w:val="24"/>
          <w:lang w:eastAsia="es-CO"/>
        </w:rPr>
        <w:t xml:space="preserve">el deceso de </w:t>
      </w:r>
      <w:r w:rsidR="008A08EC">
        <w:rPr>
          <w:rFonts w:eastAsia="Times New Roman"/>
          <w:color w:val="000000"/>
          <w:szCs w:val="24"/>
          <w:lang w:eastAsia="es-CO"/>
        </w:rPr>
        <w:t>Heber Hernán Agudelo Osorno</w:t>
      </w:r>
      <w:r w:rsidR="0001792A">
        <w:rPr>
          <w:rFonts w:eastAsia="Times New Roman"/>
          <w:color w:val="000000"/>
          <w:szCs w:val="24"/>
          <w:lang w:eastAsia="es-CO"/>
        </w:rPr>
        <w:t xml:space="preserve">, quien </w:t>
      </w:r>
      <w:r w:rsidR="00647414">
        <w:rPr>
          <w:rFonts w:eastAsia="Times New Roman"/>
          <w:color w:val="000000"/>
          <w:szCs w:val="24"/>
          <w:lang w:eastAsia="es-CO"/>
        </w:rPr>
        <w:t xml:space="preserve">aduce </w:t>
      </w:r>
      <w:r w:rsidR="0001792A">
        <w:rPr>
          <w:rFonts w:eastAsia="Times New Roman"/>
          <w:color w:val="000000"/>
          <w:szCs w:val="24"/>
          <w:lang w:eastAsia="es-CO"/>
        </w:rPr>
        <w:t xml:space="preserve">era </w:t>
      </w:r>
      <w:r w:rsidR="008A08EC">
        <w:rPr>
          <w:rFonts w:eastAsia="Times New Roman"/>
          <w:color w:val="000000"/>
          <w:szCs w:val="24"/>
          <w:lang w:eastAsia="es-CO"/>
        </w:rPr>
        <w:t>su cónyuge</w:t>
      </w:r>
      <w:r>
        <w:rPr>
          <w:rFonts w:eastAsia="Times New Roman"/>
          <w:color w:val="000000"/>
          <w:szCs w:val="24"/>
          <w:lang w:eastAsia="es-CO"/>
        </w:rPr>
        <w:t>?</w:t>
      </w:r>
    </w:p>
    <w:p w:rsidR="00A040E7" w:rsidRDefault="00A040E7" w:rsidP="00A040E7">
      <w:pPr>
        <w:pStyle w:val="Textoindependiente"/>
        <w:spacing w:line="276" w:lineRule="auto"/>
        <w:contextualSpacing/>
        <w:rPr>
          <w:b/>
          <w:iCs/>
          <w:szCs w:val="24"/>
        </w:rPr>
      </w:pPr>
    </w:p>
    <w:p w:rsidR="00A040E7" w:rsidRDefault="00A040E7" w:rsidP="003A198B">
      <w:pPr>
        <w:pStyle w:val="Textoindependiente"/>
        <w:numPr>
          <w:ilvl w:val="0"/>
          <w:numId w:val="1"/>
        </w:numPr>
        <w:contextualSpacing/>
        <w:rPr>
          <w:b/>
          <w:iCs/>
          <w:color w:val="000000" w:themeColor="text1"/>
          <w:szCs w:val="24"/>
        </w:rPr>
      </w:pPr>
      <w:r w:rsidRPr="001C70E8">
        <w:rPr>
          <w:b/>
          <w:iCs/>
          <w:color w:val="000000" w:themeColor="text1"/>
          <w:szCs w:val="24"/>
        </w:rPr>
        <w:t xml:space="preserve">Solución al problema jurídico </w:t>
      </w:r>
    </w:p>
    <w:p w:rsidR="003A198B" w:rsidRDefault="003A198B" w:rsidP="003A198B">
      <w:pPr>
        <w:pStyle w:val="Textoindependiente"/>
        <w:contextualSpacing/>
        <w:rPr>
          <w:b/>
          <w:iCs/>
          <w:color w:val="000000" w:themeColor="text1"/>
          <w:szCs w:val="24"/>
        </w:rPr>
      </w:pPr>
    </w:p>
    <w:p w:rsidR="003A198B" w:rsidRPr="001C70E8" w:rsidRDefault="003A198B" w:rsidP="003A198B">
      <w:pPr>
        <w:pStyle w:val="Textoindependiente"/>
        <w:spacing w:line="276" w:lineRule="auto"/>
        <w:contextualSpacing/>
        <w:rPr>
          <w:b/>
          <w:iCs/>
          <w:color w:val="000000" w:themeColor="text1"/>
          <w:szCs w:val="24"/>
        </w:rPr>
      </w:pPr>
      <w:r w:rsidRPr="001C70E8">
        <w:rPr>
          <w:b/>
          <w:iCs/>
          <w:color w:val="000000" w:themeColor="text1"/>
          <w:szCs w:val="24"/>
        </w:rPr>
        <w:t xml:space="preserve">2.1. </w:t>
      </w:r>
      <w:r>
        <w:rPr>
          <w:b/>
          <w:iCs/>
          <w:color w:val="000000" w:themeColor="text1"/>
          <w:szCs w:val="24"/>
        </w:rPr>
        <w:t xml:space="preserve">Pensión de sobrevivientes, </w:t>
      </w:r>
      <w:r w:rsidR="008F0777">
        <w:rPr>
          <w:b/>
          <w:iCs/>
          <w:color w:val="000000" w:themeColor="text1"/>
          <w:szCs w:val="24"/>
        </w:rPr>
        <w:t xml:space="preserve">cónyuge </w:t>
      </w:r>
      <w:proofErr w:type="gramStart"/>
      <w:r w:rsidR="008F0777">
        <w:rPr>
          <w:b/>
          <w:iCs/>
          <w:color w:val="000000" w:themeColor="text1"/>
          <w:szCs w:val="24"/>
        </w:rPr>
        <w:t>separada</w:t>
      </w:r>
      <w:proofErr w:type="gramEnd"/>
      <w:r w:rsidR="008F0777">
        <w:rPr>
          <w:b/>
          <w:iCs/>
          <w:color w:val="000000" w:themeColor="text1"/>
          <w:szCs w:val="24"/>
        </w:rPr>
        <w:t xml:space="preserve"> de hecho.</w:t>
      </w:r>
    </w:p>
    <w:p w:rsidR="003A198B" w:rsidRPr="00641218" w:rsidRDefault="003A198B" w:rsidP="003A198B">
      <w:pPr>
        <w:pStyle w:val="Textoindependiente"/>
        <w:spacing w:line="276" w:lineRule="auto"/>
        <w:contextualSpacing/>
        <w:rPr>
          <w:iCs/>
          <w:szCs w:val="24"/>
        </w:rPr>
      </w:pPr>
      <w:r>
        <w:rPr>
          <w:iCs/>
          <w:color w:val="000000" w:themeColor="text1"/>
          <w:szCs w:val="24"/>
        </w:rPr>
        <w:t xml:space="preserve">  </w:t>
      </w:r>
    </w:p>
    <w:p w:rsidR="003A198B" w:rsidRPr="00641218" w:rsidRDefault="003A198B" w:rsidP="003A198B">
      <w:pPr>
        <w:pStyle w:val="Textoindependiente"/>
        <w:spacing w:line="276" w:lineRule="auto"/>
        <w:contextualSpacing/>
        <w:rPr>
          <w:iCs/>
          <w:szCs w:val="24"/>
        </w:rPr>
      </w:pPr>
      <w:r w:rsidRPr="00641218">
        <w:rPr>
          <w:iCs/>
          <w:szCs w:val="24"/>
        </w:rPr>
        <w:t>Bien es sabido que la norma que rige el reconocimiento de la pensión de sobrevivientes o de la sustitución pensional, es aquella que se encuentre vigente al momento en que se presente el deceso del afiliado o pensionado</w:t>
      </w:r>
      <w:r>
        <w:rPr>
          <w:rStyle w:val="Refdenotaalpie"/>
          <w:iCs/>
          <w:szCs w:val="24"/>
        </w:rPr>
        <w:footnoteReference w:id="2"/>
      </w:r>
      <w:r>
        <w:rPr>
          <w:iCs/>
          <w:szCs w:val="24"/>
        </w:rPr>
        <w:t>;</w:t>
      </w:r>
      <w:r w:rsidRPr="00641218">
        <w:rPr>
          <w:iCs/>
          <w:szCs w:val="24"/>
        </w:rPr>
        <w:t xml:space="preserve"> que </w:t>
      </w:r>
      <w:r>
        <w:rPr>
          <w:iCs/>
          <w:szCs w:val="24"/>
        </w:rPr>
        <w:t xml:space="preserve">para el presente asunto fue el 28-02-2015, como se desprende del registro civil de defunción </w:t>
      </w:r>
      <w:r>
        <w:rPr>
          <w:iCs/>
          <w:szCs w:val="24"/>
        </w:rPr>
        <w:lastRenderedPageBreak/>
        <w:t>– fl. 15 c. 1 -;</w:t>
      </w:r>
      <w:r w:rsidRPr="00641218">
        <w:rPr>
          <w:iCs/>
          <w:szCs w:val="24"/>
        </w:rPr>
        <w:t xml:space="preserve"> por lo tanto, debemos remitirnos al contenido de los artículos 46 y </w:t>
      </w:r>
      <w:r>
        <w:rPr>
          <w:iCs/>
          <w:szCs w:val="24"/>
        </w:rPr>
        <w:t>47</w:t>
      </w:r>
      <w:r w:rsidRPr="00641218">
        <w:rPr>
          <w:iCs/>
          <w:szCs w:val="24"/>
        </w:rPr>
        <w:t xml:space="preserve"> de la Ley 100 de 1993, modificados por la Ley 797 de 2003.</w:t>
      </w:r>
    </w:p>
    <w:p w:rsidR="003A198B" w:rsidRPr="00641218" w:rsidRDefault="003A198B" w:rsidP="003A198B">
      <w:pPr>
        <w:pStyle w:val="Textoindependiente"/>
        <w:spacing w:line="276" w:lineRule="auto"/>
        <w:contextualSpacing/>
        <w:rPr>
          <w:iCs/>
          <w:szCs w:val="24"/>
        </w:rPr>
      </w:pPr>
    </w:p>
    <w:p w:rsidR="00212470" w:rsidRDefault="003A198B"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sidRPr="00C10DEA">
        <w:rPr>
          <w:rFonts w:ascii="Arial" w:hAnsi="Arial" w:cs="Arial"/>
          <w:iCs/>
          <w:sz w:val="24"/>
          <w:szCs w:val="24"/>
          <w:lang w:val="es-ES_tradnl" w:eastAsia="es-ES"/>
        </w:rPr>
        <w:t>Ahora,</w:t>
      </w:r>
      <w:r w:rsidR="00212470">
        <w:rPr>
          <w:rFonts w:ascii="Arial" w:hAnsi="Arial" w:cs="Arial"/>
          <w:iCs/>
          <w:sz w:val="24"/>
          <w:szCs w:val="24"/>
          <w:lang w:val="es-ES_tradnl" w:eastAsia="es-ES"/>
        </w:rPr>
        <w:t xml:space="preserve"> el literal a) del artículo 47 de la Ley 100 de 1993, modificado por el artículo 13 de la Ley 797 de 2003</w:t>
      </w:r>
      <w:r w:rsidR="00A85AE8">
        <w:rPr>
          <w:rFonts w:ascii="Arial" w:hAnsi="Arial" w:cs="Arial"/>
          <w:iCs/>
          <w:sz w:val="24"/>
          <w:szCs w:val="24"/>
          <w:lang w:val="es-ES_tradnl" w:eastAsia="es-ES"/>
        </w:rPr>
        <w:t xml:space="preserve"> prescribió a la cónyuge supérstite como beneficiaria de la pensión de sobrevivientes de manera vitalicia, siempre que hubiera alcanzado 30 años de edad para la fecha del fallecimiento del afiliado o pensionado, y pruebe haber convivido con </w:t>
      </w:r>
      <w:r w:rsidR="003C3A7B">
        <w:rPr>
          <w:rFonts w:ascii="Arial" w:hAnsi="Arial" w:cs="Arial"/>
          <w:iCs/>
          <w:sz w:val="24"/>
          <w:szCs w:val="24"/>
          <w:lang w:val="es-ES_tradnl" w:eastAsia="es-ES"/>
        </w:rPr>
        <w:t>él</w:t>
      </w:r>
      <w:r w:rsidR="00A85AE8">
        <w:rPr>
          <w:rFonts w:ascii="Arial" w:hAnsi="Arial" w:cs="Arial"/>
          <w:iCs/>
          <w:sz w:val="24"/>
          <w:szCs w:val="24"/>
          <w:lang w:val="es-ES_tradnl" w:eastAsia="es-ES"/>
        </w:rPr>
        <w:t>, durante 5 años continuos previos a la muerte, como fue igualmente interpretado por la Corte Suprema de Justicia en sentencia de 20/05/2008, radicada al número 32393, que reiteró la sentencia de 05/04/2004, con número de radicación 22560.</w:t>
      </w:r>
    </w:p>
    <w:p w:rsidR="006571F3" w:rsidRDefault="006571F3"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6571F3" w:rsidRDefault="006571F3"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t>Luego, la misma corporación morigeró la interpretació</w:t>
      </w:r>
      <w:r w:rsidR="003C3A7B">
        <w:rPr>
          <w:rFonts w:ascii="Arial" w:hAnsi="Arial" w:cs="Arial"/>
          <w:iCs/>
          <w:sz w:val="24"/>
          <w:szCs w:val="24"/>
          <w:lang w:val="es-ES_tradnl" w:eastAsia="es-ES"/>
        </w:rPr>
        <w:t>n adecuada de dicha normativa</w:t>
      </w:r>
      <w:r>
        <w:rPr>
          <w:rFonts w:ascii="Arial" w:hAnsi="Arial" w:cs="Arial"/>
          <w:iCs/>
          <w:sz w:val="24"/>
          <w:szCs w:val="24"/>
          <w:lang w:val="es-ES_tradnl" w:eastAsia="es-ES"/>
        </w:rPr>
        <w:t xml:space="preserve"> para enfatizar </w:t>
      </w:r>
      <w:r w:rsidR="00E971A6">
        <w:rPr>
          <w:rFonts w:ascii="Arial" w:hAnsi="Arial" w:cs="Arial"/>
          <w:iCs/>
          <w:sz w:val="24"/>
          <w:szCs w:val="24"/>
          <w:lang w:val="es-ES_tradnl" w:eastAsia="es-ES"/>
        </w:rPr>
        <w:t xml:space="preserve">que </w:t>
      </w:r>
      <w:r>
        <w:rPr>
          <w:rFonts w:ascii="Arial" w:hAnsi="Arial" w:cs="Arial"/>
          <w:iCs/>
          <w:sz w:val="24"/>
          <w:szCs w:val="24"/>
          <w:lang w:val="es-ES_tradnl" w:eastAsia="es-ES"/>
        </w:rPr>
        <w:t>su aplicación derivaba del examen en concreto de cada caso puesto a consideración de la jurisdicción, y en ese sentido expuso que en ocasiones puede ocurrir una interrupción en la convivencia que no enerva el derecho pensional, siempre y cuando dicha segmentación haya ocurrido como consecuencia de motivos justificables (salud, oportunidades u obligaciones laborales, imperativos legales o económicos, entre otros), eventos en los cuales se reconocerá la pensión de sobrevivencia cuando se acrediten 5 años de convivencia con anterioridad al deceso, a pesar de la ausencia física durante ese lapso o parte de este</w:t>
      </w:r>
      <w:r>
        <w:rPr>
          <w:rStyle w:val="Refdenotaalpie"/>
          <w:rFonts w:ascii="Arial" w:hAnsi="Arial" w:cs="Arial"/>
          <w:iCs/>
          <w:sz w:val="24"/>
          <w:szCs w:val="24"/>
          <w:lang w:val="es-ES_tradnl" w:eastAsia="es-ES"/>
        </w:rPr>
        <w:footnoteReference w:id="3"/>
      </w:r>
      <w:r>
        <w:rPr>
          <w:rFonts w:ascii="Arial" w:hAnsi="Arial" w:cs="Arial"/>
          <w:iCs/>
          <w:sz w:val="24"/>
          <w:szCs w:val="24"/>
          <w:lang w:val="es-ES_tradnl" w:eastAsia="es-ES"/>
        </w:rPr>
        <w:t xml:space="preserve">. </w:t>
      </w:r>
    </w:p>
    <w:p w:rsidR="006571F3" w:rsidRDefault="006571F3"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6571F3" w:rsidRDefault="006571F3"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t>Con posterioridad, el tribunal de cierre aclaró que también habrá lugar al reconocimiento pensional cuando concurran a reclamarla el cónyuge supérstite y el compañero permanente, evento en el cual el primero deberá acreditar 5 años</w:t>
      </w:r>
      <w:r w:rsidR="00891FF8">
        <w:rPr>
          <w:rFonts w:ascii="Arial" w:hAnsi="Arial" w:cs="Arial"/>
          <w:iCs/>
          <w:sz w:val="24"/>
          <w:szCs w:val="24"/>
          <w:lang w:val="es-ES_tradnl" w:eastAsia="es-ES"/>
        </w:rPr>
        <w:t xml:space="preserve"> </w:t>
      </w:r>
      <w:r w:rsidR="00EA333D">
        <w:rPr>
          <w:rFonts w:ascii="Arial" w:hAnsi="Arial" w:cs="Arial"/>
          <w:iCs/>
          <w:sz w:val="24"/>
          <w:szCs w:val="24"/>
          <w:lang w:val="es-ES_tradnl" w:eastAsia="es-ES"/>
        </w:rPr>
        <w:t xml:space="preserve">de convivencia </w:t>
      </w:r>
      <w:r>
        <w:rPr>
          <w:rFonts w:ascii="Arial" w:hAnsi="Arial" w:cs="Arial"/>
          <w:iCs/>
          <w:sz w:val="24"/>
          <w:szCs w:val="24"/>
          <w:lang w:val="es-ES_tradnl" w:eastAsia="es-ES"/>
        </w:rPr>
        <w:t xml:space="preserve">en cualquier tiempo, pero </w:t>
      </w:r>
      <w:r w:rsidR="00EA333D">
        <w:rPr>
          <w:rFonts w:ascii="Arial" w:hAnsi="Arial" w:cs="Arial"/>
          <w:iCs/>
          <w:sz w:val="24"/>
          <w:szCs w:val="24"/>
          <w:lang w:val="es-ES_tradnl" w:eastAsia="es-ES"/>
        </w:rPr>
        <w:t xml:space="preserve">que </w:t>
      </w:r>
      <w:r>
        <w:rPr>
          <w:rFonts w:ascii="Arial" w:hAnsi="Arial" w:cs="Arial"/>
          <w:iCs/>
          <w:sz w:val="24"/>
          <w:szCs w:val="24"/>
          <w:lang w:val="es-ES_tradnl" w:eastAsia="es-ES"/>
        </w:rPr>
        <w:t>cuente con un lazo matrimonial vigente al momento del deceso del causante</w:t>
      </w:r>
      <w:r>
        <w:rPr>
          <w:rStyle w:val="Refdenotaalpie"/>
          <w:rFonts w:ascii="Arial" w:hAnsi="Arial" w:cs="Arial"/>
          <w:iCs/>
          <w:sz w:val="24"/>
          <w:szCs w:val="24"/>
          <w:lang w:val="es-ES_tradnl" w:eastAsia="es-ES"/>
        </w:rPr>
        <w:footnoteReference w:id="4"/>
      </w:r>
      <w:r>
        <w:rPr>
          <w:rFonts w:ascii="Arial" w:hAnsi="Arial" w:cs="Arial"/>
          <w:iCs/>
          <w:sz w:val="24"/>
          <w:szCs w:val="24"/>
          <w:lang w:val="es-ES_tradnl" w:eastAsia="es-ES"/>
        </w:rPr>
        <w:t xml:space="preserve">; sin embargo, en decisiones posteriores recalcó que dicha interpretación también podía aplicarse </w:t>
      </w:r>
      <w:r w:rsidR="00891FF8">
        <w:rPr>
          <w:rFonts w:ascii="Arial" w:hAnsi="Arial" w:cs="Arial"/>
          <w:iCs/>
          <w:sz w:val="24"/>
          <w:szCs w:val="24"/>
          <w:lang w:val="es-ES_tradnl" w:eastAsia="es-ES"/>
        </w:rPr>
        <w:t xml:space="preserve">al cónyuge supérstite </w:t>
      </w:r>
      <w:r>
        <w:rPr>
          <w:rFonts w:ascii="Arial" w:hAnsi="Arial" w:cs="Arial"/>
          <w:iCs/>
          <w:sz w:val="24"/>
          <w:szCs w:val="24"/>
          <w:lang w:val="es-ES_tradnl" w:eastAsia="es-ES"/>
        </w:rPr>
        <w:t>en los eventos en que no concurrieran de manera simultánea con el compañero permanente,</w:t>
      </w:r>
      <w:r w:rsidR="00891FF8">
        <w:rPr>
          <w:rFonts w:ascii="Arial" w:hAnsi="Arial" w:cs="Arial"/>
          <w:iCs/>
          <w:sz w:val="24"/>
          <w:szCs w:val="24"/>
          <w:lang w:val="es-ES_tradnl" w:eastAsia="es-ES"/>
        </w:rPr>
        <w:t xml:space="preserve"> es decir, al cónyuge supérstite separado de hecho</w:t>
      </w:r>
      <w:r w:rsidR="00891FF8">
        <w:rPr>
          <w:rStyle w:val="Refdenotaalpie"/>
          <w:rFonts w:ascii="Arial" w:hAnsi="Arial" w:cs="Arial"/>
          <w:iCs/>
          <w:sz w:val="24"/>
          <w:szCs w:val="24"/>
          <w:lang w:val="es-ES_tradnl" w:eastAsia="es-ES"/>
        </w:rPr>
        <w:footnoteReference w:id="5"/>
      </w:r>
      <w:r w:rsidR="00891FF8">
        <w:rPr>
          <w:rFonts w:ascii="Arial" w:hAnsi="Arial" w:cs="Arial"/>
          <w:iCs/>
          <w:sz w:val="24"/>
          <w:szCs w:val="24"/>
          <w:lang w:val="es-ES_tradnl" w:eastAsia="es-ES"/>
        </w:rPr>
        <w:t>.</w:t>
      </w:r>
    </w:p>
    <w:p w:rsidR="00891FF8" w:rsidRDefault="00891FF8"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6571F3" w:rsidRDefault="00EA333D"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t xml:space="preserve">En ese sentido, </w:t>
      </w:r>
      <w:r w:rsidR="00891FF8">
        <w:rPr>
          <w:rFonts w:ascii="Arial" w:hAnsi="Arial" w:cs="Arial"/>
          <w:iCs/>
          <w:sz w:val="24"/>
          <w:szCs w:val="24"/>
          <w:lang w:val="es-ES_tradnl" w:eastAsia="es-ES"/>
        </w:rPr>
        <w:t xml:space="preserve">la aludida Sala de Casación Laboral de la </w:t>
      </w:r>
      <w:r>
        <w:rPr>
          <w:rFonts w:ascii="Arial" w:hAnsi="Arial" w:cs="Arial"/>
          <w:iCs/>
          <w:sz w:val="24"/>
          <w:szCs w:val="24"/>
          <w:lang w:val="es-ES_tradnl" w:eastAsia="es-ES"/>
        </w:rPr>
        <w:t>Corte Suprema de Justicia enseñó</w:t>
      </w:r>
      <w:r w:rsidR="00891FF8">
        <w:rPr>
          <w:rFonts w:ascii="Arial" w:hAnsi="Arial" w:cs="Arial"/>
          <w:iCs/>
          <w:sz w:val="24"/>
          <w:szCs w:val="24"/>
          <w:lang w:val="es-ES_tradnl" w:eastAsia="es-ES"/>
        </w:rPr>
        <w:t xml:space="preserve"> que al cónyuge supérstite separado de hecho no le bastaba con acreditar 5 años de convivencia ininterrumpida en cualquier tiempo, sino que también debía demostrar que pertenecía al grupo familiar del pensionado o afiliado fallecido, es decir, que permanecía entre la pareja un acompañamiento espiritual permanente, apoyo económico, pese a la separación y rompimiento de la convivencia, o ante la ausencia de dicho la</w:t>
      </w:r>
      <w:r w:rsidR="00E971A6">
        <w:rPr>
          <w:rFonts w:ascii="Arial" w:hAnsi="Arial" w:cs="Arial"/>
          <w:iCs/>
          <w:sz w:val="24"/>
          <w:szCs w:val="24"/>
          <w:lang w:val="es-ES_tradnl" w:eastAsia="es-ES"/>
        </w:rPr>
        <w:t>zo familiar activo, se demostrara</w:t>
      </w:r>
      <w:r w:rsidR="00891FF8">
        <w:rPr>
          <w:rFonts w:ascii="Arial" w:hAnsi="Arial" w:cs="Arial"/>
          <w:iCs/>
          <w:sz w:val="24"/>
          <w:szCs w:val="24"/>
          <w:lang w:val="es-ES_tradnl" w:eastAsia="es-ES"/>
        </w:rPr>
        <w:t xml:space="preserve"> el alejamiento por situaciones ajenas a la voluntad del reclamante</w:t>
      </w:r>
      <w:r w:rsidR="00891FF8">
        <w:rPr>
          <w:rStyle w:val="Refdenotaalpie"/>
          <w:rFonts w:ascii="Arial" w:hAnsi="Arial" w:cs="Arial"/>
          <w:iCs/>
          <w:sz w:val="24"/>
          <w:szCs w:val="24"/>
          <w:lang w:val="es-ES_tradnl" w:eastAsia="es-ES"/>
        </w:rPr>
        <w:footnoteReference w:id="6"/>
      </w:r>
      <w:r w:rsidR="00891FF8">
        <w:rPr>
          <w:rFonts w:ascii="Arial" w:hAnsi="Arial" w:cs="Arial"/>
          <w:iCs/>
          <w:sz w:val="24"/>
          <w:szCs w:val="24"/>
          <w:lang w:val="es-ES_tradnl" w:eastAsia="es-ES"/>
        </w:rPr>
        <w:t>.</w:t>
      </w:r>
    </w:p>
    <w:p w:rsidR="00EA333D" w:rsidRDefault="00EA333D"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27304" w:rsidRDefault="00EA333D"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t xml:space="preserve">La razón de lo anterior, estriba en que la labor hermenéutica del juez no se reduce a una comprensión exegética de los postulados normativos, o una mera aplicación </w:t>
      </w:r>
      <w:r>
        <w:rPr>
          <w:rFonts w:ascii="Arial" w:hAnsi="Arial" w:cs="Arial"/>
          <w:iCs/>
          <w:sz w:val="24"/>
          <w:szCs w:val="24"/>
          <w:lang w:val="es-ES_tradnl" w:eastAsia="es-ES"/>
        </w:rPr>
        <w:lastRenderedPageBreak/>
        <w:t xml:space="preserve">mecánica de la ley, pues su función se contrae al imperativo de hacer efectivo el bien jurídico protegido, </w:t>
      </w:r>
      <w:r w:rsidR="00827304">
        <w:rPr>
          <w:rFonts w:ascii="Arial" w:hAnsi="Arial" w:cs="Arial"/>
          <w:iCs/>
          <w:sz w:val="24"/>
          <w:szCs w:val="24"/>
          <w:lang w:val="es-ES_tradnl" w:eastAsia="es-ES"/>
        </w:rPr>
        <w:t>que en palabras de la corte implica que:</w:t>
      </w:r>
    </w:p>
    <w:p w:rsidR="00827304" w:rsidRDefault="00827304"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EA333D" w:rsidRDefault="00827304" w:rsidP="00827304">
      <w:pPr>
        <w:widowControl w:val="0"/>
        <w:autoSpaceDE w:val="0"/>
        <w:autoSpaceDN w:val="0"/>
        <w:adjustRightInd w:val="0"/>
        <w:spacing w:line="276" w:lineRule="auto"/>
        <w:ind w:left="709" w:right="900"/>
        <w:contextualSpacing/>
        <w:jc w:val="both"/>
        <w:rPr>
          <w:rFonts w:ascii="Arial" w:hAnsi="Arial" w:cs="Arial"/>
          <w:i/>
          <w:iCs/>
          <w:sz w:val="24"/>
          <w:szCs w:val="24"/>
          <w:lang w:val="es-ES_tradnl" w:eastAsia="es-ES"/>
        </w:rPr>
      </w:pPr>
      <w:r>
        <w:rPr>
          <w:rFonts w:ascii="Arial" w:hAnsi="Arial" w:cs="Arial"/>
          <w:iCs/>
          <w:sz w:val="24"/>
          <w:szCs w:val="24"/>
          <w:lang w:val="es-ES_tradnl" w:eastAsia="es-ES"/>
        </w:rPr>
        <w:t xml:space="preserve">“(…) </w:t>
      </w:r>
      <w:r w:rsidRPr="00827304">
        <w:rPr>
          <w:rFonts w:ascii="Arial" w:hAnsi="Arial" w:cs="Arial"/>
          <w:i/>
          <w:iCs/>
          <w:sz w:val="24"/>
          <w:szCs w:val="24"/>
          <w:lang w:val="es-ES_tradnl" w:eastAsia="es-ES"/>
        </w:rPr>
        <w:t>para ser beneficiario de la pensión de sobrevivientes se exige ser miembro del grupo familiar del pensionado o afiliado que fallezca. En otras palabras, el amparo se concibe en la medida en que quien reivindica el derecho merezca esa protección, en cuanto forma parte de la familia del causante en la dimensión en que ha sido entendida por la jurisprudencia de la Sala”</w:t>
      </w:r>
      <w:r>
        <w:rPr>
          <w:rFonts w:ascii="Arial" w:hAnsi="Arial" w:cs="Arial"/>
          <w:i/>
          <w:iCs/>
          <w:sz w:val="24"/>
          <w:szCs w:val="24"/>
          <w:lang w:val="es-ES_tradnl" w:eastAsia="es-ES"/>
        </w:rPr>
        <w:t>.</w:t>
      </w:r>
    </w:p>
    <w:p w:rsidR="00827304" w:rsidRDefault="00827304" w:rsidP="00827304">
      <w:pPr>
        <w:widowControl w:val="0"/>
        <w:autoSpaceDE w:val="0"/>
        <w:autoSpaceDN w:val="0"/>
        <w:adjustRightInd w:val="0"/>
        <w:spacing w:line="276" w:lineRule="auto"/>
        <w:ind w:left="709" w:right="900"/>
        <w:contextualSpacing/>
        <w:jc w:val="both"/>
        <w:rPr>
          <w:rFonts w:ascii="Arial" w:hAnsi="Arial" w:cs="Arial"/>
          <w:i/>
          <w:iCs/>
          <w:sz w:val="24"/>
          <w:szCs w:val="24"/>
          <w:lang w:val="es-ES_tradnl" w:eastAsia="es-ES"/>
        </w:rPr>
      </w:pPr>
    </w:p>
    <w:p w:rsidR="00827304" w:rsidRPr="00827304" w:rsidRDefault="00827304" w:rsidP="00827304">
      <w:pPr>
        <w:widowControl w:val="0"/>
        <w:autoSpaceDE w:val="0"/>
        <w:autoSpaceDN w:val="0"/>
        <w:adjustRightInd w:val="0"/>
        <w:spacing w:line="276" w:lineRule="auto"/>
        <w:ind w:left="709" w:right="900"/>
        <w:contextualSpacing/>
        <w:jc w:val="both"/>
        <w:rPr>
          <w:rFonts w:ascii="Arial" w:hAnsi="Arial" w:cs="Arial"/>
          <w:i/>
          <w:iCs/>
          <w:sz w:val="24"/>
          <w:szCs w:val="24"/>
          <w:lang w:val="es-ES_tradnl" w:eastAsia="es-ES"/>
        </w:rPr>
      </w:pPr>
      <w:r>
        <w:rPr>
          <w:rFonts w:ascii="Arial" w:hAnsi="Arial" w:cs="Arial"/>
          <w:iCs/>
          <w:sz w:val="24"/>
          <w:szCs w:val="24"/>
          <w:lang w:val="es-ES_tradnl" w:eastAsia="es-ES"/>
        </w:rPr>
        <w:t>De lo contrario “</w:t>
      </w:r>
      <w:r w:rsidRPr="00827304">
        <w:rPr>
          <w:rFonts w:ascii="Arial" w:hAnsi="Arial" w:cs="Arial"/>
          <w:i/>
          <w:iCs/>
          <w:sz w:val="24"/>
          <w:szCs w:val="24"/>
          <w:lang w:val="es-ES_tradnl" w:eastAsia="es-ES"/>
        </w:rPr>
        <w:t xml:space="preserve">una comprensión distinta orientada por la </w:t>
      </w:r>
      <w:r w:rsidR="00C10E1A" w:rsidRPr="00827304">
        <w:rPr>
          <w:rFonts w:ascii="Arial" w:hAnsi="Arial" w:cs="Arial"/>
          <w:i/>
          <w:iCs/>
          <w:sz w:val="24"/>
          <w:szCs w:val="24"/>
          <w:lang w:val="es-ES_tradnl" w:eastAsia="es-ES"/>
        </w:rPr>
        <w:t>afiliación</w:t>
      </w:r>
      <w:r w:rsidRPr="00827304">
        <w:rPr>
          <w:rFonts w:ascii="Arial" w:hAnsi="Arial" w:cs="Arial"/>
          <w:i/>
          <w:iCs/>
          <w:sz w:val="24"/>
          <w:szCs w:val="24"/>
          <w:lang w:val="es-ES_tradnl" w:eastAsia="es-ES"/>
        </w:rPr>
        <w:t xml:space="preserve"> fría y exegética del artículo 47 de la Ley 100 de 1993, que en el caso del cónyuge separado de hecho, por la sola existencia del lazo matrimonial, sin la presencia de ese vínculo dinámico y actuante de solidaridad y acompañamiento  espiritual o económico, aún en la separación, permitiera el beneficio de la prestación periódica por muerte, dejaría vacía de contenido la protección de la familia que la ley verdaderamente quiere amparar.</w:t>
      </w:r>
      <w:r>
        <w:rPr>
          <w:rFonts w:ascii="Arial" w:hAnsi="Arial" w:cs="Arial"/>
          <w:i/>
          <w:iCs/>
          <w:sz w:val="24"/>
          <w:szCs w:val="24"/>
          <w:lang w:val="es-ES_tradnl" w:eastAsia="es-ES"/>
        </w:rPr>
        <w:t xml:space="preserve"> </w:t>
      </w:r>
      <w:r w:rsidRPr="00827304">
        <w:rPr>
          <w:rFonts w:ascii="Arial" w:hAnsi="Arial" w:cs="Arial"/>
          <w:i/>
          <w:iCs/>
          <w:sz w:val="24"/>
          <w:szCs w:val="24"/>
          <w:lang w:val="es-ES_tradnl" w:eastAsia="es-ES"/>
        </w:rPr>
        <w:t>En esa medida aquel cónyuge a quien se le dispense el derecho a pesar de haber cesado la vida en común con el causante al momento del fallecimiento,  además de la convivencia por un lapso no inferior a 5 años en cualquier tiempo, deberá demostrar que se hace acreedor a la protección, en cuanto efectivamente hace parte de la familia del pensionado o afiliado fallecido,  y por esa razón su muerte le ha generado esa carencia económica, moral o afectiva, que es la que busca atender la seguridad social y que justif</w:t>
      </w:r>
      <w:r>
        <w:rPr>
          <w:rFonts w:ascii="Arial" w:hAnsi="Arial" w:cs="Arial"/>
          <w:i/>
          <w:iCs/>
          <w:sz w:val="24"/>
          <w:szCs w:val="24"/>
          <w:lang w:val="es-ES_tradnl" w:eastAsia="es-ES"/>
        </w:rPr>
        <w:t>ica su intervención”</w:t>
      </w:r>
      <w:r w:rsidR="00C10E1A">
        <w:rPr>
          <w:rStyle w:val="Refdenotaalpie"/>
          <w:rFonts w:ascii="Arial" w:hAnsi="Arial" w:cs="Arial"/>
          <w:i/>
          <w:iCs/>
          <w:sz w:val="24"/>
          <w:szCs w:val="24"/>
          <w:lang w:val="es-ES_tradnl" w:eastAsia="es-ES"/>
        </w:rPr>
        <w:footnoteReference w:id="7"/>
      </w:r>
    </w:p>
    <w:p w:rsidR="00827304" w:rsidRDefault="00827304" w:rsidP="003A198B">
      <w:pPr>
        <w:widowControl w:val="0"/>
        <w:autoSpaceDE w:val="0"/>
        <w:autoSpaceDN w:val="0"/>
        <w:adjustRightInd w:val="0"/>
        <w:spacing w:line="276" w:lineRule="auto"/>
        <w:contextualSpacing/>
        <w:jc w:val="both"/>
        <w:rPr>
          <w:rFonts w:ascii="Arial" w:hAnsi="Arial" w:cs="Arial"/>
          <w:i/>
          <w:iCs/>
          <w:sz w:val="24"/>
          <w:szCs w:val="24"/>
          <w:lang w:val="es-ES_tradnl" w:eastAsia="es-ES"/>
        </w:rPr>
      </w:pPr>
    </w:p>
    <w:p w:rsidR="00C10E1A" w:rsidRPr="000C6CB4" w:rsidRDefault="00827304" w:rsidP="00C10E1A">
      <w:pPr>
        <w:widowControl w:val="0"/>
        <w:autoSpaceDE w:val="0"/>
        <w:autoSpaceDN w:val="0"/>
        <w:adjustRightInd w:val="0"/>
        <w:spacing w:line="276" w:lineRule="auto"/>
        <w:contextualSpacing/>
        <w:jc w:val="both"/>
        <w:rPr>
          <w:rFonts w:ascii="Bookman Old Style" w:hAnsi="Bookman Old Style"/>
          <w:sz w:val="28"/>
          <w:szCs w:val="28"/>
        </w:rPr>
      </w:pPr>
      <w:r>
        <w:rPr>
          <w:rFonts w:ascii="Arial" w:hAnsi="Arial" w:cs="Arial"/>
          <w:iCs/>
          <w:sz w:val="24"/>
          <w:szCs w:val="24"/>
          <w:lang w:val="es-ES_tradnl" w:eastAsia="es-ES"/>
        </w:rPr>
        <w:t xml:space="preserve">Por último, la aludida Corte precisó que </w:t>
      </w:r>
      <w:r w:rsidR="00C10E1A">
        <w:rPr>
          <w:rFonts w:ascii="Arial" w:hAnsi="Arial" w:cs="Arial"/>
          <w:iCs/>
          <w:sz w:val="24"/>
          <w:szCs w:val="24"/>
          <w:lang w:val="es-ES_tradnl" w:eastAsia="es-ES"/>
        </w:rPr>
        <w:t>“</w:t>
      </w:r>
      <w:r w:rsidR="00C10E1A" w:rsidRPr="00C10E1A">
        <w:rPr>
          <w:rFonts w:ascii="Arial" w:hAnsi="Arial" w:cs="Arial"/>
          <w:i/>
          <w:iCs/>
          <w:sz w:val="24"/>
          <w:szCs w:val="24"/>
          <w:lang w:val="es-ES_tradnl" w:eastAsia="es-ES"/>
        </w:rPr>
        <w:t>resulta relevante, y habría que analizarlo en cada caso según sus particularidades”,</w:t>
      </w:r>
      <w:r w:rsidR="00C10E1A">
        <w:rPr>
          <w:rFonts w:ascii="Arial" w:hAnsi="Arial" w:cs="Arial"/>
          <w:i/>
          <w:iCs/>
          <w:sz w:val="24"/>
          <w:szCs w:val="24"/>
          <w:lang w:val="es-ES_tradnl" w:eastAsia="es-ES"/>
        </w:rPr>
        <w:t xml:space="preserve"> </w:t>
      </w:r>
      <w:r w:rsidR="00C10E1A">
        <w:rPr>
          <w:rFonts w:ascii="Arial" w:hAnsi="Arial" w:cs="Arial"/>
          <w:iCs/>
          <w:sz w:val="24"/>
          <w:szCs w:val="24"/>
          <w:lang w:val="es-ES_tradnl" w:eastAsia="es-ES"/>
        </w:rPr>
        <w:t xml:space="preserve">si el beneficiario de la pensión participó en la construcción de la pensión, es decir, lo acompañó durante su vida productiva, además de prestarle socorro y ayuda, ello en el marco de la solidaridad que corresponde a los cónyuges, puesto si el </w:t>
      </w:r>
      <w:proofErr w:type="spellStart"/>
      <w:r w:rsidR="00C10E1A">
        <w:rPr>
          <w:rFonts w:ascii="Arial" w:hAnsi="Arial" w:cs="Arial"/>
          <w:iCs/>
          <w:sz w:val="24"/>
          <w:szCs w:val="24"/>
          <w:lang w:val="es-ES_tradnl" w:eastAsia="es-ES"/>
        </w:rPr>
        <w:t>beneficario</w:t>
      </w:r>
      <w:proofErr w:type="spellEnd"/>
      <w:r w:rsidR="00C10E1A">
        <w:rPr>
          <w:rFonts w:ascii="Arial" w:hAnsi="Arial" w:cs="Arial"/>
          <w:iCs/>
          <w:sz w:val="24"/>
          <w:szCs w:val="24"/>
          <w:lang w:val="es-ES_tradnl" w:eastAsia="es-ES"/>
        </w:rPr>
        <w:t xml:space="preserve"> abandonó al causante o se comportó  extrañamente a sus obligaciones conyugales </w:t>
      </w:r>
      <w:r w:rsidR="00C10E1A" w:rsidRPr="00C10E1A">
        <w:rPr>
          <w:rFonts w:ascii="Arial" w:hAnsi="Arial" w:cs="Arial"/>
          <w:i/>
          <w:iCs/>
          <w:sz w:val="24"/>
          <w:szCs w:val="24"/>
          <w:lang w:val="es-ES_tradnl" w:eastAsia="es-ES"/>
        </w:rPr>
        <w:t>“o simplemente estuvo ausente durante el periodo de maduración del derecho pensional, carecería de interés legítimo para recibirla.”</w:t>
      </w:r>
      <w:r w:rsidR="00C10E1A">
        <w:rPr>
          <w:rStyle w:val="Refdenotaalpie"/>
          <w:rFonts w:ascii="Arial" w:hAnsi="Arial" w:cs="Arial"/>
          <w:i/>
          <w:iCs/>
          <w:sz w:val="24"/>
          <w:szCs w:val="24"/>
          <w:lang w:val="es-ES_tradnl" w:eastAsia="es-ES"/>
        </w:rPr>
        <w:footnoteReference w:id="8"/>
      </w:r>
    </w:p>
    <w:p w:rsidR="00C10E1A" w:rsidRPr="00C10E1A" w:rsidRDefault="00C10E1A"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91FF8" w:rsidRPr="00C10E1A" w:rsidRDefault="00891FF8"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t xml:space="preserve">En conclusión, se legitima el otorgamiento de la prestación de sobrevivencia al cónyuge separado de hecho pero con vínculo matrimonial vigente cuando </w:t>
      </w:r>
      <w:r w:rsidRPr="00891FF8">
        <w:rPr>
          <w:rFonts w:ascii="Arial" w:hAnsi="Arial" w:cs="Arial"/>
          <w:i/>
          <w:iCs/>
          <w:sz w:val="24"/>
          <w:szCs w:val="24"/>
          <w:lang w:val="es-ES_tradnl" w:eastAsia="es-ES"/>
        </w:rPr>
        <w:t>i)</w:t>
      </w:r>
      <w:r>
        <w:rPr>
          <w:rFonts w:ascii="Arial" w:hAnsi="Arial" w:cs="Arial"/>
          <w:iCs/>
          <w:sz w:val="24"/>
          <w:szCs w:val="24"/>
          <w:lang w:val="es-ES_tradnl" w:eastAsia="es-ES"/>
        </w:rPr>
        <w:t xml:space="preserve"> acredite convivencia por un término no inferior a 5 años en cualquier tiempo y </w:t>
      </w:r>
      <w:r w:rsidRPr="00891FF8">
        <w:rPr>
          <w:rFonts w:ascii="Arial" w:hAnsi="Arial" w:cs="Arial"/>
          <w:i/>
          <w:iCs/>
          <w:sz w:val="24"/>
          <w:szCs w:val="24"/>
          <w:lang w:val="es-ES_tradnl" w:eastAsia="es-ES"/>
        </w:rPr>
        <w:t>ii)</w:t>
      </w:r>
      <w:r>
        <w:rPr>
          <w:rFonts w:ascii="Arial" w:hAnsi="Arial" w:cs="Arial"/>
          <w:iCs/>
          <w:sz w:val="24"/>
          <w:szCs w:val="24"/>
          <w:lang w:val="es-ES_tradnl" w:eastAsia="es-ES"/>
        </w:rPr>
        <w:t xml:space="preserve"> demuestre que pese a la separación de hecho, continuó perteneciendo a la familia del pensionado o afiliado; en caso de incumplir esta última regla que </w:t>
      </w:r>
      <w:r w:rsidRPr="00891FF8">
        <w:rPr>
          <w:rFonts w:ascii="Arial" w:hAnsi="Arial" w:cs="Arial"/>
          <w:i/>
          <w:iCs/>
          <w:sz w:val="24"/>
          <w:szCs w:val="24"/>
          <w:lang w:val="es-ES_tradnl" w:eastAsia="es-ES"/>
        </w:rPr>
        <w:t>iii)</w:t>
      </w:r>
      <w:r>
        <w:rPr>
          <w:rFonts w:ascii="Arial" w:hAnsi="Arial" w:cs="Arial"/>
          <w:iCs/>
          <w:sz w:val="24"/>
          <w:szCs w:val="24"/>
          <w:lang w:val="es-ES_tradnl" w:eastAsia="es-ES"/>
        </w:rPr>
        <w:t xml:space="preserve"> pruebe que la ausencia de la unión familiar devino por situaciones ajenas</w:t>
      </w:r>
      <w:r w:rsidR="00C10E1A">
        <w:rPr>
          <w:rFonts w:ascii="Arial" w:hAnsi="Arial" w:cs="Arial"/>
          <w:iCs/>
          <w:sz w:val="24"/>
          <w:szCs w:val="24"/>
          <w:lang w:val="es-ES_tradnl" w:eastAsia="es-ES"/>
        </w:rPr>
        <w:t xml:space="preserve"> a la voluntad del beneficiario, por último </w:t>
      </w:r>
      <w:r w:rsidR="00C10E1A" w:rsidRPr="00C10E1A">
        <w:rPr>
          <w:rFonts w:ascii="Arial" w:hAnsi="Arial" w:cs="Arial"/>
          <w:i/>
          <w:iCs/>
          <w:sz w:val="24"/>
          <w:szCs w:val="24"/>
          <w:lang w:val="es-ES_tradnl" w:eastAsia="es-ES"/>
        </w:rPr>
        <w:t>iv)</w:t>
      </w:r>
      <w:r w:rsidR="00C10E1A">
        <w:rPr>
          <w:rFonts w:ascii="Arial" w:hAnsi="Arial" w:cs="Arial"/>
          <w:i/>
          <w:iCs/>
          <w:sz w:val="24"/>
          <w:szCs w:val="24"/>
          <w:lang w:val="es-ES_tradnl" w:eastAsia="es-ES"/>
        </w:rPr>
        <w:t xml:space="preserve"> </w:t>
      </w:r>
      <w:r w:rsidR="00C10E1A">
        <w:rPr>
          <w:rFonts w:ascii="Arial" w:hAnsi="Arial" w:cs="Arial"/>
          <w:iCs/>
          <w:sz w:val="24"/>
          <w:szCs w:val="24"/>
          <w:lang w:val="es-ES_tradnl" w:eastAsia="es-ES"/>
        </w:rPr>
        <w:t xml:space="preserve">dependiendo de la particularidad del evento analizado, que el beneficiario haya contribuido a la construcción de la pensión. </w:t>
      </w:r>
    </w:p>
    <w:p w:rsidR="003A198B" w:rsidRDefault="003A198B"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F0777" w:rsidRDefault="008F0777" w:rsidP="003A198B">
      <w:pPr>
        <w:widowControl w:val="0"/>
        <w:autoSpaceDE w:val="0"/>
        <w:autoSpaceDN w:val="0"/>
        <w:adjustRightInd w:val="0"/>
        <w:spacing w:line="276" w:lineRule="auto"/>
        <w:contextualSpacing/>
        <w:jc w:val="both"/>
        <w:rPr>
          <w:rFonts w:ascii="Arial" w:hAnsi="Arial" w:cs="Arial"/>
          <w:b/>
          <w:iCs/>
          <w:sz w:val="24"/>
          <w:szCs w:val="24"/>
          <w:lang w:val="es-ES_tradnl" w:eastAsia="es-ES"/>
        </w:rPr>
      </w:pPr>
      <w:r w:rsidRPr="008F0777">
        <w:rPr>
          <w:rFonts w:ascii="Arial" w:hAnsi="Arial" w:cs="Arial"/>
          <w:b/>
          <w:iCs/>
          <w:sz w:val="24"/>
          <w:szCs w:val="24"/>
          <w:lang w:val="es-ES_tradnl" w:eastAsia="es-ES"/>
        </w:rPr>
        <w:t>2.2. Efectos de la confesión y de la declaración de parte.</w:t>
      </w:r>
    </w:p>
    <w:p w:rsidR="008F0777" w:rsidRDefault="008F0777" w:rsidP="003A198B">
      <w:pPr>
        <w:widowControl w:val="0"/>
        <w:autoSpaceDE w:val="0"/>
        <w:autoSpaceDN w:val="0"/>
        <w:adjustRightInd w:val="0"/>
        <w:spacing w:line="276" w:lineRule="auto"/>
        <w:contextualSpacing/>
        <w:jc w:val="both"/>
        <w:rPr>
          <w:rFonts w:ascii="Arial" w:hAnsi="Arial" w:cs="Arial"/>
          <w:b/>
          <w:iCs/>
          <w:sz w:val="24"/>
          <w:szCs w:val="24"/>
          <w:lang w:val="es-ES_tradnl" w:eastAsia="es-ES"/>
        </w:rPr>
      </w:pPr>
    </w:p>
    <w:p w:rsidR="008F0777" w:rsidRDefault="008F0777"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lastRenderedPageBreak/>
        <w:t xml:space="preserve">De antaño y conforme al Decreto 1400 de 1970 el interrogatorio absuelto por alguna de las partes en contienda, apenas contenía valor probatorio si constituía confesión, esto es, al admitir hechos perjudiciales para el declarante, </w:t>
      </w:r>
      <w:r w:rsidRPr="008F0777">
        <w:rPr>
          <w:rFonts w:ascii="Arial" w:hAnsi="Arial" w:cs="Arial"/>
          <w:iCs/>
          <w:sz w:val="24"/>
          <w:szCs w:val="24"/>
          <w:lang w:val="es-ES_tradnl" w:eastAsia="es-ES"/>
        </w:rPr>
        <w:t xml:space="preserve">pues admitir dentro del </w:t>
      </w:r>
      <w:proofErr w:type="spellStart"/>
      <w:r w:rsidRPr="008F0777">
        <w:rPr>
          <w:rFonts w:ascii="Arial" w:hAnsi="Arial" w:cs="Arial"/>
          <w:i/>
          <w:iCs/>
          <w:sz w:val="24"/>
          <w:szCs w:val="24"/>
          <w:lang w:val="es-ES_tradnl" w:eastAsia="es-ES"/>
        </w:rPr>
        <w:t>onus</w:t>
      </w:r>
      <w:proofErr w:type="spellEnd"/>
      <w:r w:rsidRPr="008F0777">
        <w:rPr>
          <w:rFonts w:ascii="Arial" w:hAnsi="Arial" w:cs="Arial"/>
          <w:i/>
          <w:iCs/>
          <w:sz w:val="24"/>
          <w:szCs w:val="24"/>
          <w:lang w:val="es-ES_tradnl" w:eastAsia="es-ES"/>
        </w:rPr>
        <w:t xml:space="preserve"> </w:t>
      </w:r>
      <w:proofErr w:type="spellStart"/>
      <w:r w:rsidRPr="008F0777">
        <w:rPr>
          <w:rFonts w:ascii="Arial" w:hAnsi="Arial" w:cs="Arial"/>
          <w:i/>
          <w:iCs/>
          <w:sz w:val="24"/>
          <w:szCs w:val="24"/>
          <w:lang w:val="es-ES_tradnl" w:eastAsia="es-ES"/>
        </w:rPr>
        <w:t>probandi</w:t>
      </w:r>
      <w:proofErr w:type="spellEnd"/>
      <w:r w:rsidRPr="008F0777">
        <w:rPr>
          <w:rFonts w:ascii="Arial" w:hAnsi="Arial" w:cs="Arial"/>
          <w:iCs/>
          <w:sz w:val="24"/>
          <w:szCs w:val="24"/>
          <w:lang w:val="es-ES_tradnl" w:eastAsia="es-ES"/>
        </w:rPr>
        <w:t xml:space="preserve"> </w:t>
      </w:r>
      <w:r>
        <w:rPr>
          <w:rFonts w:ascii="Arial" w:hAnsi="Arial" w:cs="Arial"/>
          <w:iCs/>
          <w:sz w:val="24"/>
          <w:szCs w:val="24"/>
          <w:lang w:val="es-ES_tradnl" w:eastAsia="es-ES"/>
        </w:rPr>
        <w:t>sus afirmaciones como prueba</w:t>
      </w:r>
      <w:r w:rsidRPr="008F0777">
        <w:rPr>
          <w:rFonts w:ascii="Arial" w:hAnsi="Arial" w:cs="Arial"/>
          <w:iCs/>
          <w:sz w:val="24"/>
          <w:szCs w:val="24"/>
          <w:lang w:val="es-ES_tradnl" w:eastAsia="es-ES"/>
        </w:rPr>
        <w:t xml:space="preserve"> de un hecho a su favor, irían en desmedro del compromiso probatorio que se deriva el principio de la carga de la prueba</w:t>
      </w:r>
      <w:r>
        <w:rPr>
          <w:rStyle w:val="Refdenotaalpie"/>
          <w:rFonts w:ascii="Arial" w:hAnsi="Arial" w:cs="Arial"/>
          <w:iCs/>
          <w:sz w:val="24"/>
          <w:szCs w:val="24"/>
          <w:lang w:val="es-ES_tradnl" w:eastAsia="es-ES"/>
        </w:rPr>
        <w:footnoteReference w:id="9"/>
      </w:r>
      <w:r w:rsidRPr="008F0777">
        <w:rPr>
          <w:rFonts w:ascii="Arial" w:hAnsi="Arial" w:cs="Arial"/>
          <w:iCs/>
          <w:sz w:val="24"/>
          <w:szCs w:val="24"/>
          <w:lang w:val="es-ES_tradnl" w:eastAsia="es-ES"/>
        </w:rPr>
        <w:t>.</w:t>
      </w:r>
    </w:p>
    <w:p w:rsidR="00223AF9" w:rsidRDefault="00223AF9"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F0777" w:rsidRDefault="008F0777" w:rsidP="00223AF9">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t>No obstante lo</w:t>
      </w:r>
      <w:r w:rsidR="003C3A7B">
        <w:rPr>
          <w:rFonts w:ascii="Arial" w:hAnsi="Arial" w:cs="Arial"/>
          <w:iCs/>
          <w:sz w:val="24"/>
          <w:szCs w:val="24"/>
          <w:lang w:val="es-ES_tradnl" w:eastAsia="es-ES"/>
        </w:rPr>
        <w:t xml:space="preserve"> anterior, la nueva normativa</w:t>
      </w:r>
      <w:r>
        <w:rPr>
          <w:rFonts w:ascii="Arial" w:hAnsi="Arial" w:cs="Arial"/>
          <w:iCs/>
          <w:sz w:val="24"/>
          <w:szCs w:val="24"/>
          <w:lang w:val="es-ES_tradnl" w:eastAsia="es-ES"/>
        </w:rPr>
        <w:t xml:space="preserve"> adjetiva (Ley 1564 de 2012) en los artículos 165 e inciso final del 191 determinó que la declaración de parte también será valorada por el juez, conforme a las reglas generales de la apreciación</w:t>
      </w:r>
      <w:r w:rsidR="00223AF9">
        <w:rPr>
          <w:rFonts w:ascii="Arial" w:hAnsi="Arial" w:cs="Arial"/>
          <w:iCs/>
          <w:sz w:val="24"/>
          <w:szCs w:val="24"/>
          <w:lang w:val="es-ES_tradnl" w:eastAsia="es-ES"/>
        </w:rPr>
        <w:t xml:space="preserve"> </w:t>
      </w:r>
      <w:r>
        <w:rPr>
          <w:rFonts w:ascii="Arial" w:hAnsi="Arial" w:cs="Arial"/>
          <w:iCs/>
          <w:sz w:val="24"/>
          <w:szCs w:val="24"/>
          <w:lang w:val="es-ES_tradnl" w:eastAsia="es-ES"/>
        </w:rPr>
        <w:t>probatoria.</w:t>
      </w:r>
    </w:p>
    <w:p w:rsidR="008F0777" w:rsidRDefault="008F0777"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C258A9" w:rsidRPr="00C258A9" w:rsidRDefault="008F0777" w:rsidP="003A198B">
      <w:pPr>
        <w:widowControl w:val="0"/>
        <w:autoSpaceDE w:val="0"/>
        <w:autoSpaceDN w:val="0"/>
        <w:adjustRightInd w:val="0"/>
        <w:spacing w:line="276" w:lineRule="auto"/>
        <w:contextualSpacing/>
        <w:jc w:val="both"/>
        <w:rPr>
          <w:rFonts w:ascii="Arial" w:hAnsi="Arial" w:cs="Arial"/>
          <w:iCs/>
          <w:sz w:val="24"/>
          <w:szCs w:val="24"/>
          <w:lang w:val="es-ES_tradnl" w:eastAsia="es-ES"/>
        </w:rPr>
      </w:pPr>
      <w:r>
        <w:rPr>
          <w:rFonts w:ascii="Arial" w:hAnsi="Arial" w:cs="Arial"/>
          <w:iCs/>
          <w:sz w:val="24"/>
          <w:szCs w:val="24"/>
          <w:lang w:val="es-ES_tradnl" w:eastAsia="es-ES"/>
        </w:rPr>
        <w:t>Ahora bien, el adecuado entendimiento de dichas preceptivas arroja que los aludidos interrogatorios de parte</w:t>
      </w:r>
      <w:r w:rsidR="00C258A9">
        <w:rPr>
          <w:rFonts w:ascii="Arial" w:hAnsi="Arial" w:cs="Arial"/>
          <w:iCs/>
          <w:sz w:val="24"/>
          <w:szCs w:val="24"/>
          <w:lang w:val="es-ES_tradnl" w:eastAsia="es-ES"/>
        </w:rPr>
        <w:t xml:space="preserve"> son útiles no solo para obtener confesión, sino también para obtener un testimonio de la parte demandante con el propósito de “(…) </w:t>
      </w:r>
      <w:r w:rsidR="00C258A9" w:rsidRPr="00C258A9">
        <w:rPr>
          <w:rFonts w:ascii="Arial" w:hAnsi="Arial" w:cs="Arial"/>
          <w:i/>
          <w:iCs/>
          <w:sz w:val="24"/>
          <w:szCs w:val="24"/>
          <w:lang w:val="es-ES_tradnl" w:eastAsia="es-ES"/>
        </w:rPr>
        <w:t>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00C258A9" w:rsidRPr="00C258A9">
        <w:rPr>
          <w:rStyle w:val="Refdenotaalpie"/>
          <w:rFonts w:ascii="Arial" w:hAnsi="Arial" w:cs="Arial"/>
          <w:i/>
          <w:iCs/>
          <w:sz w:val="24"/>
          <w:szCs w:val="24"/>
          <w:lang w:val="es-ES_tradnl" w:eastAsia="es-ES"/>
        </w:rPr>
        <w:footnoteReference w:id="10"/>
      </w:r>
      <w:r w:rsidR="00C258A9">
        <w:rPr>
          <w:rFonts w:ascii="Arial" w:hAnsi="Arial" w:cs="Arial"/>
          <w:i/>
          <w:iCs/>
          <w:sz w:val="24"/>
          <w:szCs w:val="24"/>
          <w:lang w:val="es-ES_tradnl" w:eastAsia="es-ES"/>
        </w:rPr>
        <w:t xml:space="preserve">, </w:t>
      </w:r>
      <w:r w:rsidR="00C258A9">
        <w:rPr>
          <w:rFonts w:ascii="Arial" w:hAnsi="Arial" w:cs="Arial"/>
          <w:iCs/>
          <w:sz w:val="24"/>
          <w:szCs w:val="24"/>
          <w:lang w:val="es-ES_tradnl" w:eastAsia="es-ES"/>
        </w:rPr>
        <w:t>o en otras palabras “</w:t>
      </w:r>
      <w:r w:rsidR="00C258A9" w:rsidRPr="00C258A9">
        <w:rPr>
          <w:rFonts w:ascii="Arial" w:hAnsi="Arial" w:cs="Arial"/>
          <w:i/>
          <w:iCs/>
          <w:sz w:val="24"/>
          <w:szCs w:val="24"/>
          <w:lang w:val="es-ES_tradnl" w:eastAsia="es-ES"/>
        </w:rPr>
        <w:t>(…) Dado que las partes por lo regular han sido  protagonistas de los hechos relevantes para resolver el pleito, su narración suele ser bastante nutrida y precisa, lo que fortalece su utilidad en la empresa de reconstruir aquel pequeño fragmento de realidad (…)”</w:t>
      </w:r>
      <w:r w:rsidR="00C258A9">
        <w:rPr>
          <w:rStyle w:val="Refdenotaalpie"/>
          <w:rFonts w:ascii="Arial" w:hAnsi="Arial" w:cs="Arial"/>
          <w:i/>
          <w:iCs/>
          <w:sz w:val="24"/>
          <w:szCs w:val="24"/>
          <w:lang w:val="es-ES_tradnl" w:eastAsia="es-ES"/>
        </w:rPr>
        <w:footnoteReference w:id="11"/>
      </w:r>
      <w:r w:rsidR="00C258A9">
        <w:rPr>
          <w:rFonts w:ascii="Arial" w:hAnsi="Arial" w:cs="Arial"/>
          <w:i/>
          <w:iCs/>
          <w:sz w:val="24"/>
          <w:szCs w:val="24"/>
          <w:lang w:val="es-ES_tradnl" w:eastAsia="es-ES"/>
        </w:rPr>
        <w:t xml:space="preserve">; </w:t>
      </w:r>
      <w:r w:rsidR="00C258A9">
        <w:rPr>
          <w:rFonts w:ascii="Arial" w:hAnsi="Arial" w:cs="Arial"/>
          <w:iCs/>
          <w:sz w:val="24"/>
          <w:szCs w:val="24"/>
          <w:lang w:val="es-ES_tradnl" w:eastAsia="es-ES"/>
        </w:rPr>
        <w:t xml:space="preserve">Hermenéutica que ha reiterado la Sala Civil – Familia de esta colegiatura en sentencia de 31/08/2018, </w:t>
      </w:r>
      <w:proofErr w:type="spellStart"/>
      <w:r w:rsidR="00C258A9">
        <w:rPr>
          <w:rFonts w:ascii="Arial" w:hAnsi="Arial" w:cs="Arial"/>
          <w:iCs/>
          <w:sz w:val="24"/>
          <w:szCs w:val="24"/>
          <w:lang w:val="es-ES_tradnl" w:eastAsia="es-ES"/>
        </w:rPr>
        <w:t>Exp</w:t>
      </w:r>
      <w:proofErr w:type="spellEnd"/>
      <w:r w:rsidR="00C258A9">
        <w:rPr>
          <w:rFonts w:ascii="Arial" w:hAnsi="Arial" w:cs="Arial"/>
          <w:iCs/>
          <w:sz w:val="24"/>
          <w:szCs w:val="24"/>
          <w:lang w:val="es-ES_tradnl" w:eastAsia="es-ES"/>
        </w:rPr>
        <w:t xml:space="preserve">. No. </w:t>
      </w:r>
      <w:r w:rsidR="00C258A9" w:rsidRPr="00C258A9">
        <w:rPr>
          <w:rFonts w:ascii="Arial" w:hAnsi="Arial" w:cs="Arial"/>
          <w:iCs/>
          <w:sz w:val="24"/>
          <w:szCs w:val="24"/>
          <w:lang w:val="es-ES_tradnl" w:eastAsia="es-ES"/>
        </w:rPr>
        <w:t>2016-00818-01.</w:t>
      </w:r>
      <w:r w:rsidR="00C258A9">
        <w:rPr>
          <w:rFonts w:ascii="Arial" w:hAnsi="Arial" w:cs="Arial"/>
          <w:iCs/>
          <w:sz w:val="24"/>
          <w:szCs w:val="24"/>
          <w:lang w:val="es-ES_tradnl" w:eastAsia="es-ES"/>
        </w:rPr>
        <w:t xml:space="preserve">  </w:t>
      </w:r>
    </w:p>
    <w:p w:rsidR="003A198B" w:rsidRPr="001C70E8" w:rsidRDefault="003A198B" w:rsidP="003A198B">
      <w:pPr>
        <w:pStyle w:val="Textoindependiente"/>
        <w:contextualSpacing/>
        <w:rPr>
          <w:b/>
          <w:iCs/>
          <w:color w:val="000000" w:themeColor="text1"/>
          <w:szCs w:val="24"/>
        </w:rPr>
      </w:pPr>
    </w:p>
    <w:p w:rsidR="00A040E7" w:rsidRDefault="008F0777" w:rsidP="00A040E7">
      <w:pPr>
        <w:pStyle w:val="Textoindependiente"/>
        <w:spacing w:line="276" w:lineRule="auto"/>
        <w:contextualSpacing/>
        <w:rPr>
          <w:b/>
          <w:iCs/>
          <w:color w:val="000000" w:themeColor="text1"/>
          <w:szCs w:val="24"/>
        </w:rPr>
      </w:pPr>
      <w:r>
        <w:rPr>
          <w:b/>
          <w:iCs/>
          <w:color w:val="000000" w:themeColor="text1"/>
          <w:szCs w:val="24"/>
        </w:rPr>
        <w:t>2.1</w:t>
      </w:r>
      <w:r w:rsidR="00FB192C">
        <w:rPr>
          <w:b/>
          <w:iCs/>
          <w:color w:val="000000" w:themeColor="text1"/>
          <w:szCs w:val="24"/>
        </w:rPr>
        <w:t>.</w:t>
      </w:r>
      <w:r w:rsidR="00A040E7" w:rsidRPr="001C70E8">
        <w:rPr>
          <w:b/>
          <w:iCs/>
          <w:color w:val="000000" w:themeColor="text1"/>
          <w:szCs w:val="24"/>
        </w:rPr>
        <w:t xml:space="preserve"> Fundamento fáctico:</w:t>
      </w:r>
    </w:p>
    <w:p w:rsidR="00CB300A" w:rsidRDefault="00CB300A" w:rsidP="00A040E7">
      <w:pPr>
        <w:pStyle w:val="Textoindependiente"/>
        <w:spacing w:line="276" w:lineRule="auto"/>
        <w:contextualSpacing/>
        <w:rPr>
          <w:b/>
          <w:iCs/>
          <w:color w:val="000000" w:themeColor="text1"/>
          <w:szCs w:val="24"/>
        </w:rPr>
      </w:pPr>
    </w:p>
    <w:p w:rsidR="00AD4445" w:rsidRDefault="00AD4445" w:rsidP="00AD4445">
      <w:pPr>
        <w:pStyle w:val="Textoindependiente"/>
        <w:spacing w:line="276" w:lineRule="auto"/>
        <w:contextualSpacing/>
        <w:rPr>
          <w:iCs/>
          <w:color w:val="000000" w:themeColor="text1"/>
          <w:szCs w:val="24"/>
        </w:rPr>
      </w:pPr>
      <w:r>
        <w:rPr>
          <w:iCs/>
          <w:color w:val="000000" w:themeColor="text1"/>
          <w:szCs w:val="24"/>
        </w:rPr>
        <w:t>Se encuentra probado</w:t>
      </w:r>
      <w:r w:rsidRPr="001C70E8">
        <w:rPr>
          <w:iCs/>
          <w:color w:val="000000" w:themeColor="text1"/>
          <w:szCs w:val="24"/>
        </w:rPr>
        <w:t xml:space="preserve">: </w:t>
      </w:r>
      <w:r w:rsidRPr="00DF1946">
        <w:rPr>
          <w:i/>
          <w:iCs/>
          <w:color w:val="000000" w:themeColor="text1"/>
          <w:szCs w:val="24"/>
        </w:rPr>
        <w:t>i)</w:t>
      </w:r>
      <w:r w:rsidRPr="001C70E8">
        <w:rPr>
          <w:iCs/>
          <w:color w:val="000000" w:themeColor="text1"/>
          <w:szCs w:val="24"/>
        </w:rPr>
        <w:t xml:space="preserve"> el fallecimiento del señor</w:t>
      </w:r>
      <w:r>
        <w:rPr>
          <w:iCs/>
          <w:color w:val="000000" w:themeColor="text1"/>
          <w:szCs w:val="24"/>
        </w:rPr>
        <w:t xml:space="preserve"> </w:t>
      </w:r>
      <w:r w:rsidR="00DF1946">
        <w:rPr>
          <w:iCs/>
          <w:color w:val="000000" w:themeColor="text1"/>
          <w:szCs w:val="24"/>
        </w:rPr>
        <w:t xml:space="preserve">Heber Hernán Agudelo Osorno </w:t>
      </w:r>
      <w:r>
        <w:rPr>
          <w:iCs/>
          <w:color w:val="000000" w:themeColor="text1"/>
          <w:szCs w:val="24"/>
        </w:rPr>
        <w:t xml:space="preserve">ocurrido el </w:t>
      </w:r>
      <w:r w:rsidR="00DF1946">
        <w:rPr>
          <w:iCs/>
          <w:color w:val="000000" w:themeColor="text1"/>
          <w:szCs w:val="24"/>
        </w:rPr>
        <w:t xml:space="preserve">28/02/2015 </w:t>
      </w:r>
      <w:r>
        <w:rPr>
          <w:iCs/>
          <w:color w:val="000000" w:themeColor="text1"/>
          <w:szCs w:val="24"/>
        </w:rPr>
        <w:t>-</w:t>
      </w:r>
      <w:r w:rsidR="00DF1946">
        <w:rPr>
          <w:iCs/>
          <w:color w:val="000000" w:themeColor="text1"/>
          <w:szCs w:val="24"/>
        </w:rPr>
        <w:t xml:space="preserve"> </w:t>
      </w:r>
      <w:r>
        <w:rPr>
          <w:iCs/>
          <w:color w:val="000000" w:themeColor="text1"/>
          <w:szCs w:val="24"/>
        </w:rPr>
        <w:t xml:space="preserve">fl. </w:t>
      </w:r>
      <w:r w:rsidR="00DF1946">
        <w:rPr>
          <w:iCs/>
          <w:color w:val="000000" w:themeColor="text1"/>
          <w:szCs w:val="24"/>
        </w:rPr>
        <w:t>15 c.</w:t>
      </w:r>
      <w:r w:rsidRPr="001C70E8">
        <w:rPr>
          <w:iCs/>
          <w:color w:val="000000" w:themeColor="text1"/>
          <w:szCs w:val="24"/>
        </w:rPr>
        <w:t xml:space="preserve"> 1-, </w:t>
      </w:r>
      <w:r w:rsidRPr="00DF1946">
        <w:rPr>
          <w:i/>
          <w:iCs/>
          <w:color w:val="000000" w:themeColor="text1"/>
          <w:szCs w:val="24"/>
        </w:rPr>
        <w:t>ii)</w:t>
      </w:r>
      <w:r>
        <w:rPr>
          <w:iCs/>
          <w:color w:val="000000" w:themeColor="text1"/>
          <w:szCs w:val="24"/>
        </w:rPr>
        <w:t xml:space="preserve"> </w:t>
      </w:r>
      <w:r w:rsidRPr="009C3098">
        <w:rPr>
          <w:iCs/>
          <w:color w:val="000000" w:themeColor="text1"/>
          <w:szCs w:val="24"/>
        </w:rPr>
        <w:t xml:space="preserve">la calidad de cónyuge del </w:t>
      </w:r>
      <w:r>
        <w:rPr>
          <w:iCs/>
          <w:color w:val="000000" w:themeColor="text1"/>
          <w:szCs w:val="24"/>
        </w:rPr>
        <w:t xml:space="preserve">causante que aduce la señora </w:t>
      </w:r>
      <w:r w:rsidR="00DF1946">
        <w:rPr>
          <w:iCs/>
          <w:color w:val="000000" w:themeColor="text1"/>
          <w:szCs w:val="24"/>
        </w:rPr>
        <w:t>Ana Cristina Marín Cardona</w:t>
      </w:r>
      <w:r w:rsidRPr="009C3098">
        <w:rPr>
          <w:iCs/>
          <w:color w:val="000000" w:themeColor="text1"/>
          <w:szCs w:val="24"/>
        </w:rPr>
        <w:t xml:space="preserve">, </w:t>
      </w:r>
      <w:r>
        <w:rPr>
          <w:iCs/>
          <w:color w:val="000000" w:themeColor="text1"/>
          <w:szCs w:val="24"/>
        </w:rPr>
        <w:t xml:space="preserve">pues se acreditó </w:t>
      </w:r>
      <w:r w:rsidRPr="009C3098">
        <w:rPr>
          <w:iCs/>
          <w:color w:val="000000" w:themeColor="text1"/>
          <w:szCs w:val="24"/>
        </w:rPr>
        <w:t xml:space="preserve">que </w:t>
      </w:r>
      <w:r w:rsidR="00DF1946">
        <w:rPr>
          <w:iCs/>
          <w:color w:val="000000" w:themeColor="text1"/>
          <w:szCs w:val="24"/>
        </w:rPr>
        <w:t>fue una</w:t>
      </w:r>
      <w:r w:rsidRPr="009C3098">
        <w:rPr>
          <w:iCs/>
          <w:color w:val="000000" w:themeColor="text1"/>
          <w:szCs w:val="24"/>
        </w:rPr>
        <w:t xml:space="preserve"> unión </w:t>
      </w:r>
      <w:r w:rsidR="00DF1946">
        <w:rPr>
          <w:iCs/>
          <w:color w:val="000000" w:themeColor="text1"/>
          <w:szCs w:val="24"/>
        </w:rPr>
        <w:t xml:space="preserve">civil </w:t>
      </w:r>
      <w:r w:rsidRPr="009C3098">
        <w:rPr>
          <w:iCs/>
          <w:color w:val="000000" w:themeColor="text1"/>
          <w:szCs w:val="24"/>
        </w:rPr>
        <w:t xml:space="preserve">celebrada el </w:t>
      </w:r>
      <w:r w:rsidR="00DF1946">
        <w:rPr>
          <w:iCs/>
          <w:color w:val="000000" w:themeColor="text1"/>
          <w:szCs w:val="24"/>
        </w:rPr>
        <w:t>05/06/1994</w:t>
      </w:r>
      <w:r>
        <w:rPr>
          <w:iCs/>
          <w:color w:val="000000" w:themeColor="text1"/>
          <w:szCs w:val="24"/>
        </w:rPr>
        <w:t xml:space="preserve"> </w:t>
      </w:r>
      <w:r w:rsidR="00DF1946">
        <w:rPr>
          <w:iCs/>
          <w:color w:val="000000" w:themeColor="text1"/>
          <w:szCs w:val="24"/>
        </w:rPr>
        <w:t>– fl. 16 c. 1-</w:t>
      </w:r>
      <w:r w:rsidRPr="009C3098">
        <w:rPr>
          <w:iCs/>
          <w:color w:val="000000" w:themeColor="text1"/>
          <w:szCs w:val="24"/>
        </w:rPr>
        <w:t>, sin que conste nota m</w:t>
      </w:r>
      <w:r w:rsidR="00AF43D7">
        <w:rPr>
          <w:iCs/>
          <w:color w:val="000000" w:themeColor="text1"/>
          <w:szCs w:val="24"/>
        </w:rPr>
        <w:t xml:space="preserve">arginal </w:t>
      </w:r>
      <w:r w:rsidR="001E5101">
        <w:rPr>
          <w:iCs/>
          <w:color w:val="000000" w:themeColor="text1"/>
          <w:szCs w:val="24"/>
        </w:rPr>
        <w:t xml:space="preserve">de </w:t>
      </w:r>
      <w:r w:rsidR="00AF43D7">
        <w:rPr>
          <w:iCs/>
          <w:color w:val="000000" w:themeColor="text1"/>
          <w:szCs w:val="24"/>
        </w:rPr>
        <w:t>separación alguna</w:t>
      </w:r>
      <w:r w:rsidRPr="009C3098">
        <w:rPr>
          <w:iCs/>
          <w:color w:val="000000" w:themeColor="text1"/>
          <w:szCs w:val="24"/>
        </w:rPr>
        <w:t xml:space="preserve">, por lo que se infiere que el vínculo estuvo vigente hasta la fecha de la muerte del </w:t>
      </w:r>
      <w:r>
        <w:rPr>
          <w:iCs/>
          <w:color w:val="000000" w:themeColor="text1"/>
          <w:szCs w:val="24"/>
        </w:rPr>
        <w:t xml:space="preserve">señor </w:t>
      </w:r>
      <w:r w:rsidR="00DF1946">
        <w:rPr>
          <w:iCs/>
          <w:color w:val="000000" w:themeColor="text1"/>
          <w:szCs w:val="24"/>
        </w:rPr>
        <w:t>Heber Hernán Agudelo Osorno.</w:t>
      </w:r>
    </w:p>
    <w:p w:rsidR="00DF1946" w:rsidRDefault="00DF1946" w:rsidP="00AD4445">
      <w:pPr>
        <w:pStyle w:val="Textoindependiente"/>
        <w:spacing w:line="276" w:lineRule="auto"/>
        <w:contextualSpacing/>
        <w:rPr>
          <w:iCs/>
          <w:color w:val="000000" w:themeColor="text1"/>
          <w:szCs w:val="24"/>
        </w:rPr>
      </w:pPr>
    </w:p>
    <w:p w:rsidR="00DF1946" w:rsidRPr="004D4578" w:rsidRDefault="00DF1946" w:rsidP="00DF1946">
      <w:pPr>
        <w:pStyle w:val="Textoindependiente"/>
        <w:spacing w:line="276" w:lineRule="auto"/>
        <w:contextualSpacing/>
        <w:rPr>
          <w:iCs/>
          <w:color w:val="000000" w:themeColor="text1"/>
          <w:szCs w:val="24"/>
        </w:rPr>
      </w:pPr>
      <w:r>
        <w:rPr>
          <w:iCs/>
          <w:color w:val="000000" w:themeColor="text1"/>
          <w:szCs w:val="24"/>
        </w:rPr>
        <w:t xml:space="preserve">Igualmente, </w:t>
      </w:r>
      <w:r w:rsidR="009B1BC4" w:rsidRPr="009B1BC4">
        <w:rPr>
          <w:i/>
          <w:iCs/>
          <w:color w:val="000000" w:themeColor="text1"/>
          <w:szCs w:val="24"/>
        </w:rPr>
        <w:t>iii)</w:t>
      </w:r>
      <w:r w:rsidR="009B1BC4">
        <w:rPr>
          <w:iCs/>
          <w:color w:val="000000" w:themeColor="text1"/>
          <w:szCs w:val="24"/>
        </w:rPr>
        <w:t xml:space="preserve"> </w:t>
      </w:r>
      <w:r>
        <w:rPr>
          <w:iCs/>
          <w:color w:val="000000" w:themeColor="text1"/>
          <w:szCs w:val="24"/>
        </w:rPr>
        <w:t xml:space="preserve">está probada </w:t>
      </w:r>
      <w:r>
        <w:rPr>
          <w:szCs w:val="24"/>
        </w:rPr>
        <w:t>la separación de hecho entre la actora y el causante desde</w:t>
      </w:r>
      <w:r w:rsidR="00AF43D7">
        <w:rPr>
          <w:szCs w:val="24"/>
        </w:rPr>
        <w:t xml:space="preserve"> el año</w:t>
      </w:r>
      <w:r>
        <w:rPr>
          <w:szCs w:val="24"/>
        </w:rPr>
        <w:t xml:space="preserve"> 2000, hecho que la parte demandante confesó de manera espontánea </w:t>
      </w:r>
      <w:r>
        <w:rPr>
          <w:iCs/>
          <w:color w:val="000000" w:themeColor="text1"/>
          <w:szCs w:val="24"/>
        </w:rPr>
        <w:t xml:space="preserve">en el libelo </w:t>
      </w:r>
      <w:r w:rsidR="00AF43D7">
        <w:rPr>
          <w:iCs/>
          <w:color w:val="000000" w:themeColor="text1"/>
          <w:szCs w:val="24"/>
        </w:rPr>
        <w:t xml:space="preserve">inicial, específicamente en el </w:t>
      </w:r>
      <w:r>
        <w:rPr>
          <w:iCs/>
          <w:color w:val="000000" w:themeColor="text1"/>
          <w:szCs w:val="24"/>
        </w:rPr>
        <w:t>hecho décimo cuarto – fl. 4 c. 1-, y de manera provocada en el interrogatorio de parte rendido – fl. 281 cd c. 1 -</w:t>
      </w:r>
      <w:r w:rsidR="00997D5D">
        <w:rPr>
          <w:iCs/>
          <w:color w:val="000000" w:themeColor="text1"/>
          <w:szCs w:val="24"/>
        </w:rPr>
        <w:t xml:space="preserve">; </w:t>
      </w:r>
      <w:r w:rsidR="009B1BC4">
        <w:rPr>
          <w:iCs/>
          <w:color w:val="000000" w:themeColor="text1"/>
          <w:szCs w:val="24"/>
        </w:rPr>
        <w:t>lo que también se advirtió en la</w:t>
      </w:r>
      <w:r w:rsidR="00997D5D">
        <w:rPr>
          <w:iCs/>
          <w:color w:val="000000" w:themeColor="text1"/>
          <w:szCs w:val="24"/>
        </w:rPr>
        <w:t xml:space="preserve"> investigación administrativa realizada por la demandada</w:t>
      </w:r>
      <w:r w:rsidR="009B1BC4">
        <w:rPr>
          <w:iCs/>
          <w:color w:val="000000" w:themeColor="text1"/>
          <w:szCs w:val="24"/>
        </w:rPr>
        <w:t xml:space="preserve"> </w:t>
      </w:r>
      <w:r w:rsidR="004D4578">
        <w:rPr>
          <w:iCs/>
          <w:color w:val="000000" w:themeColor="text1"/>
          <w:szCs w:val="24"/>
        </w:rPr>
        <w:t xml:space="preserve">– fl. 178 c. 1-; por último, </w:t>
      </w:r>
      <w:r w:rsidR="004D4578" w:rsidRPr="004D4578">
        <w:rPr>
          <w:i/>
          <w:iCs/>
          <w:color w:val="000000" w:themeColor="text1"/>
          <w:szCs w:val="24"/>
        </w:rPr>
        <w:t>iv)</w:t>
      </w:r>
      <w:r w:rsidR="004D4578">
        <w:rPr>
          <w:i/>
          <w:iCs/>
          <w:color w:val="000000" w:themeColor="text1"/>
          <w:szCs w:val="24"/>
        </w:rPr>
        <w:t xml:space="preserve"> </w:t>
      </w:r>
      <w:r w:rsidR="004D4578">
        <w:rPr>
          <w:iCs/>
          <w:color w:val="000000" w:themeColor="text1"/>
          <w:szCs w:val="24"/>
        </w:rPr>
        <w:t xml:space="preserve">tanto del interrogatorio de parte absuelto por la demandante como de los testimonios rendidos por </w:t>
      </w:r>
      <w:proofErr w:type="spellStart"/>
      <w:r w:rsidR="004D4578">
        <w:rPr>
          <w:iCs/>
          <w:color w:val="000000" w:themeColor="text1"/>
          <w:szCs w:val="24"/>
        </w:rPr>
        <w:t>Aldemar</w:t>
      </w:r>
      <w:proofErr w:type="spellEnd"/>
      <w:r w:rsidR="004D4578">
        <w:rPr>
          <w:iCs/>
          <w:color w:val="000000" w:themeColor="text1"/>
          <w:szCs w:val="24"/>
        </w:rPr>
        <w:t xml:space="preserve"> Marín </w:t>
      </w:r>
      <w:proofErr w:type="spellStart"/>
      <w:r w:rsidR="004D4578">
        <w:rPr>
          <w:iCs/>
          <w:color w:val="000000" w:themeColor="text1"/>
          <w:szCs w:val="24"/>
        </w:rPr>
        <w:t>Mape</w:t>
      </w:r>
      <w:proofErr w:type="spellEnd"/>
      <w:r w:rsidR="004D4578">
        <w:rPr>
          <w:iCs/>
          <w:color w:val="000000" w:themeColor="text1"/>
          <w:szCs w:val="24"/>
        </w:rPr>
        <w:t xml:space="preserve"> y Ana Delia Cardona Tabares se desprende que el motivo de la separación devino de un acuerdo voluntario entre la pareja, para que la demandante pudiera trabajar en España, es decir, su separación no se produjo por causa imputable a Ana Cristina Marín Cardona. </w:t>
      </w:r>
    </w:p>
    <w:p w:rsidR="00223AF9" w:rsidRDefault="00223AF9" w:rsidP="00DF1946">
      <w:pPr>
        <w:pStyle w:val="Textoindependiente"/>
        <w:spacing w:line="276" w:lineRule="auto"/>
        <w:contextualSpacing/>
        <w:rPr>
          <w:iCs/>
          <w:color w:val="000000" w:themeColor="text1"/>
          <w:szCs w:val="24"/>
        </w:rPr>
      </w:pPr>
    </w:p>
    <w:p w:rsidR="00FB57BB" w:rsidRDefault="00DF1946" w:rsidP="00A040E7">
      <w:pPr>
        <w:pStyle w:val="Textoindependiente"/>
        <w:spacing w:line="276" w:lineRule="auto"/>
        <w:contextualSpacing/>
        <w:rPr>
          <w:iCs/>
          <w:color w:val="000000" w:themeColor="text1"/>
          <w:szCs w:val="24"/>
        </w:rPr>
      </w:pPr>
      <w:r>
        <w:rPr>
          <w:iCs/>
          <w:color w:val="000000" w:themeColor="text1"/>
          <w:szCs w:val="24"/>
        </w:rPr>
        <w:t xml:space="preserve">Ahora bien, auscultado el material probatorio obrante en el proceso, se advierte que la demandante </w:t>
      </w:r>
      <w:r w:rsidR="00FB57BB">
        <w:rPr>
          <w:iCs/>
          <w:color w:val="000000" w:themeColor="text1"/>
          <w:szCs w:val="24"/>
        </w:rPr>
        <w:t xml:space="preserve">omitió acreditar </w:t>
      </w:r>
      <w:r w:rsidR="003A198B">
        <w:rPr>
          <w:iCs/>
          <w:color w:val="000000" w:themeColor="text1"/>
          <w:szCs w:val="24"/>
        </w:rPr>
        <w:t>la continuidad del auxilio mutuo, acompañamiento espiritual permanente</w:t>
      </w:r>
      <w:r w:rsidR="005D4DCA">
        <w:rPr>
          <w:iCs/>
          <w:color w:val="000000" w:themeColor="text1"/>
          <w:szCs w:val="24"/>
        </w:rPr>
        <w:t xml:space="preserve"> y</w:t>
      </w:r>
      <w:r w:rsidR="003A198B">
        <w:rPr>
          <w:iCs/>
          <w:color w:val="000000" w:themeColor="text1"/>
          <w:szCs w:val="24"/>
        </w:rPr>
        <w:t xml:space="preserve"> apoyo econ</w:t>
      </w:r>
      <w:r w:rsidR="00AF43D7">
        <w:rPr>
          <w:iCs/>
          <w:color w:val="000000" w:themeColor="text1"/>
          <w:szCs w:val="24"/>
        </w:rPr>
        <w:t>ómico</w:t>
      </w:r>
      <w:r w:rsidR="003A198B">
        <w:rPr>
          <w:iCs/>
          <w:color w:val="000000" w:themeColor="text1"/>
          <w:szCs w:val="24"/>
        </w:rPr>
        <w:t xml:space="preserve"> </w:t>
      </w:r>
      <w:r w:rsidR="005D4DCA">
        <w:rPr>
          <w:iCs/>
          <w:color w:val="000000" w:themeColor="text1"/>
          <w:szCs w:val="24"/>
        </w:rPr>
        <w:t xml:space="preserve">después de la separación que hubo con el causante, </w:t>
      </w:r>
      <w:r w:rsidR="003A198B">
        <w:rPr>
          <w:iCs/>
          <w:color w:val="000000" w:themeColor="text1"/>
          <w:szCs w:val="24"/>
        </w:rPr>
        <w:t>pese a</w:t>
      </w:r>
      <w:r w:rsidR="005D4DCA">
        <w:rPr>
          <w:iCs/>
          <w:color w:val="000000" w:themeColor="text1"/>
          <w:szCs w:val="24"/>
        </w:rPr>
        <w:t xml:space="preserve"> que acreditó una convivencia de 5 años en cualquier tiempo</w:t>
      </w:r>
      <w:r w:rsidR="003A198B">
        <w:rPr>
          <w:iCs/>
          <w:color w:val="000000" w:themeColor="text1"/>
          <w:szCs w:val="24"/>
        </w:rPr>
        <w:t xml:space="preserve">, </w:t>
      </w:r>
      <w:r w:rsidR="00FB57BB">
        <w:rPr>
          <w:iCs/>
          <w:color w:val="000000" w:themeColor="text1"/>
          <w:szCs w:val="24"/>
        </w:rPr>
        <w:t>como se desprende de</w:t>
      </w:r>
      <w:r w:rsidR="005D4DCA">
        <w:rPr>
          <w:iCs/>
          <w:color w:val="000000" w:themeColor="text1"/>
          <w:szCs w:val="24"/>
        </w:rPr>
        <w:t>l siguiente análisis probatorio:</w:t>
      </w:r>
    </w:p>
    <w:p w:rsidR="005D4DCA" w:rsidRDefault="005D4DCA" w:rsidP="00A040E7">
      <w:pPr>
        <w:pStyle w:val="Textoindependiente"/>
        <w:spacing w:line="276" w:lineRule="auto"/>
        <w:contextualSpacing/>
        <w:rPr>
          <w:iCs/>
          <w:color w:val="000000" w:themeColor="text1"/>
          <w:szCs w:val="24"/>
        </w:rPr>
      </w:pPr>
    </w:p>
    <w:p w:rsidR="005D4DCA" w:rsidRDefault="005D4DCA" w:rsidP="00A040E7">
      <w:pPr>
        <w:pStyle w:val="Textoindependiente"/>
        <w:spacing w:line="276" w:lineRule="auto"/>
        <w:contextualSpacing/>
        <w:rPr>
          <w:iCs/>
          <w:color w:val="000000" w:themeColor="text1"/>
          <w:szCs w:val="24"/>
        </w:rPr>
      </w:pPr>
      <w:r>
        <w:rPr>
          <w:iCs/>
          <w:color w:val="000000" w:themeColor="text1"/>
          <w:szCs w:val="24"/>
        </w:rPr>
        <w:t xml:space="preserve">Así, obra las declaraciones de los padres de la demandante </w:t>
      </w:r>
      <w:proofErr w:type="spellStart"/>
      <w:r>
        <w:rPr>
          <w:iCs/>
          <w:color w:val="000000" w:themeColor="text1"/>
          <w:szCs w:val="24"/>
        </w:rPr>
        <w:t>Aldemar</w:t>
      </w:r>
      <w:proofErr w:type="spellEnd"/>
      <w:r>
        <w:rPr>
          <w:iCs/>
          <w:color w:val="000000" w:themeColor="text1"/>
          <w:szCs w:val="24"/>
        </w:rPr>
        <w:t xml:space="preserve"> Marín </w:t>
      </w:r>
      <w:proofErr w:type="spellStart"/>
      <w:r>
        <w:rPr>
          <w:iCs/>
          <w:color w:val="000000" w:themeColor="text1"/>
          <w:szCs w:val="24"/>
        </w:rPr>
        <w:t>Mape</w:t>
      </w:r>
      <w:proofErr w:type="spellEnd"/>
      <w:r>
        <w:rPr>
          <w:iCs/>
          <w:color w:val="000000" w:themeColor="text1"/>
          <w:szCs w:val="24"/>
        </w:rPr>
        <w:t xml:space="preserve"> (min: 35:51 a 59:38 cd, </w:t>
      </w:r>
      <w:r w:rsidR="00DF1946">
        <w:rPr>
          <w:iCs/>
          <w:color w:val="000000" w:themeColor="text1"/>
          <w:szCs w:val="24"/>
        </w:rPr>
        <w:t xml:space="preserve">fl. 281, </w:t>
      </w:r>
      <w:r>
        <w:rPr>
          <w:iCs/>
          <w:color w:val="000000" w:themeColor="text1"/>
          <w:szCs w:val="24"/>
        </w:rPr>
        <w:t>c. 1</w:t>
      </w:r>
      <w:r w:rsidR="00DF1946">
        <w:rPr>
          <w:iCs/>
          <w:color w:val="000000" w:themeColor="text1"/>
          <w:szCs w:val="24"/>
        </w:rPr>
        <w:t>)</w:t>
      </w:r>
      <w:r>
        <w:rPr>
          <w:iCs/>
          <w:color w:val="000000" w:themeColor="text1"/>
          <w:szCs w:val="24"/>
        </w:rPr>
        <w:t xml:space="preserve"> y Ana Delia Cardona Tabares (min:</w:t>
      </w:r>
      <w:r w:rsidR="00AF43D7">
        <w:rPr>
          <w:iCs/>
          <w:color w:val="000000" w:themeColor="text1"/>
          <w:szCs w:val="24"/>
        </w:rPr>
        <w:t xml:space="preserve"> 1:07:45</w:t>
      </w:r>
      <w:r>
        <w:rPr>
          <w:iCs/>
          <w:color w:val="000000" w:themeColor="text1"/>
          <w:szCs w:val="24"/>
        </w:rPr>
        <w:t xml:space="preserve"> cd, </w:t>
      </w:r>
      <w:r w:rsidR="00DF1946">
        <w:rPr>
          <w:iCs/>
          <w:color w:val="000000" w:themeColor="text1"/>
          <w:szCs w:val="24"/>
        </w:rPr>
        <w:t xml:space="preserve">fl. 281, </w:t>
      </w:r>
      <w:r>
        <w:rPr>
          <w:iCs/>
          <w:color w:val="000000" w:themeColor="text1"/>
          <w:szCs w:val="24"/>
        </w:rPr>
        <w:t>c.</w:t>
      </w:r>
      <w:r w:rsidR="00DF1946">
        <w:rPr>
          <w:iCs/>
          <w:color w:val="000000" w:themeColor="text1"/>
          <w:szCs w:val="24"/>
        </w:rPr>
        <w:t xml:space="preserve"> </w:t>
      </w:r>
      <w:r w:rsidR="003B75D7">
        <w:rPr>
          <w:iCs/>
          <w:color w:val="000000" w:themeColor="text1"/>
          <w:szCs w:val="24"/>
        </w:rPr>
        <w:t>1</w:t>
      </w:r>
      <w:r w:rsidR="00DF1946">
        <w:rPr>
          <w:iCs/>
          <w:color w:val="000000" w:themeColor="text1"/>
          <w:szCs w:val="24"/>
        </w:rPr>
        <w:t>)</w:t>
      </w:r>
      <w:r>
        <w:rPr>
          <w:iCs/>
          <w:color w:val="000000" w:themeColor="text1"/>
          <w:szCs w:val="24"/>
        </w:rPr>
        <w:t xml:space="preserve">, que coincidieron en afirmar que su descendiente contrajo matrimonio con el causante desde 1994, año </w:t>
      </w:r>
      <w:r w:rsidR="00AF43D7">
        <w:rPr>
          <w:iCs/>
          <w:color w:val="000000" w:themeColor="text1"/>
          <w:szCs w:val="24"/>
        </w:rPr>
        <w:t>a partir del cual</w:t>
      </w:r>
      <w:r>
        <w:rPr>
          <w:iCs/>
          <w:color w:val="000000" w:themeColor="text1"/>
          <w:szCs w:val="24"/>
        </w:rPr>
        <w:t xml:space="preserve"> permanecieron juntos de manera ininterrumpida, pues habitaron en las residencias de lo</w:t>
      </w:r>
      <w:r w:rsidR="00AF43D7">
        <w:rPr>
          <w:iCs/>
          <w:color w:val="000000" w:themeColor="text1"/>
          <w:szCs w:val="24"/>
        </w:rPr>
        <w:t>s progenitores de la demandante</w:t>
      </w:r>
      <w:r>
        <w:rPr>
          <w:iCs/>
          <w:color w:val="000000" w:themeColor="text1"/>
          <w:szCs w:val="24"/>
        </w:rPr>
        <w:t xml:space="preserve"> hasta que en el año 2000 Ana Cristina Marín Cardona</w:t>
      </w:r>
      <w:r w:rsidR="00AD4445">
        <w:rPr>
          <w:iCs/>
          <w:color w:val="000000" w:themeColor="text1"/>
          <w:szCs w:val="24"/>
        </w:rPr>
        <w:t xml:space="preserve"> se radicó en España por circunstancias laborales. </w:t>
      </w:r>
    </w:p>
    <w:p w:rsidR="004D4578" w:rsidRDefault="004D4578" w:rsidP="00A040E7">
      <w:pPr>
        <w:pStyle w:val="Textoindependiente"/>
        <w:spacing w:line="276" w:lineRule="auto"/>
        <w:contextualSpacing/>
        <w:rPr>
          <w:iCs/>
          <w:color w:val="000000" w:themeColor="text1"/>
          <w:szCs w:val="24"/>
        </w:rPr>
      </w:pPr>
    </w:p>
    <w:p w:rsidR="005D4DCA" w:rsidRDefault="005D4DCA" w:rsidP="00A040E7">
      <w:pPr>
        <w:pStyle w:val="Textoindependiente"/>
        <w:spacing w:line="276" w:lineRule="auto"/>
        <w:contextualSpacing/>
        <w:rPr>
          <w:iCs/>
          <w:color w:val="000000" w:themeColor="text1"/>
          <w:szCs w:val="24"/>
        </w:rPr>
      </w:pPr>
      <w:r>
        <w:rPr>
          <w:iCs/>
          <w:color w:val="000000" w:themeColor="text1"/>
          <w:szCs w:val="24"/>
        </w:rPr>
        <w:t xml:space="preserve">Declaraciones que aun cuando fueron tachadas de sospecha, permiten derivar credibilidad </w:t>
      </w:r>
      <w:r w:rsidR="00AD4445">
        <w:rPr>
          <w:iCs/>
          <w:color w:val="000000" w:themeColor="text1"/>
          <w:szCs w:val="24"/>
        </w:rPr>
        <w:t>de lo asegurado</w:t>
      </w:r>
      <w:r>
        <w:rPr>
          <w:iCs/>
          <w:color w:val="000000" w:themeColor="text1"/>
          <w:szCs w:val="24"/>
        </w:rPr>
        <w:t xml:space="preserve">, en tanto que sus afirmaciones aparecieron directas, coherentes y </w:t>
      </w:r>
      <w:r w:rsidR="00AD4445">
        <w:rPr>
          <w:iCs/>
          <w:color w:val="000000" w:themeColor="text1"/>
          <w:szCs w:val="24"/>
        </w:rPr>
        <w:t>espontáneas</w:t>
      </w:r>
      <w:r>
        <w:rPr>
          <w:iCs/>
          <w:color w:val="000000" w:themeColor="text1"/>
          <w:szCs w:val="24"/>
        </w:rPr>
        <w:t xml:space="preserve">, sin que el vínculo sanguíneo </w:t>
      </w:r>
      <w:r w:rsidR="009B1BC4">
        <w:rPr>
          <w:iCs/>
          <w:color w:val="000000" w:themeColor="text1"/>
          <w:szCs w:val="24"/>
        </w:rPr>
        <w:t>permitiera en este caso desecharlas</w:t>
      </w:r>
      <w:r>
        <w:rPr>
          <w:iCs/>
          <w:color w:val="000000" w:themeColor="text1"/>
          <w:szCs w:val="24"/>
        </w:rPr>
        <w:t>, pues no solo dieron cuenta de la convivencia, sino que también resaltaron la debacle de la relación</w:t>
      </w:r>
      <w:r w:rsidR="00AF43D7">
        <w:rPr>
          <w:iCs/>
          <w:color w:val="000000" w:themeColor="text1"/>
          <w:szCs w:val="24"/>
        </w:rPr>
        <w:t>, que se analizará en adelante</w:t>
      </w:r>
      <w:r>
        <w:rPr>
          <w:iCs/>
          <w:color w:val="000000" w:themeColor="text1"/>
          <w:szCs w:val="24"/>
        </w:rPr>
        <w:t xml:space="preserve">, aspecto que evidencia que las declaraciones fueron rendidas de manera </w:t>
      </w:r>
      <w:r w:rsidR="00AD4445">
        <w:rPr>
          <w:iCs/>
          <w:color w:val="000000" w:themeColor="text1"/>
          <w:szCs w:val="24"/>
        </w:rPr>
        <w:t>franca</w:t>
      </w:r>
      <w:r>
        <w:rPr>
          <w:iCs/>
          <w:color w:val="000000" w:themeColor="text1"/>
          <w:szCs w:val="24"/>
        </w:rPr>
        <w:t xml:space="preserve"> y sin omitir los aspectos que enervarían el derecho de la demandante</w:t>
      </w:r>
      <w:r w:rsidR="00AF43D7">
        <w:rPr>
          <w:iCs/>
          <w:color w:val="000000" w:themeColor="text1"/>
          <w:szCs w:val="24"/>
        </w:rPr>
        <w:t>.</w:t>
      </w:r>
      <w:r>
        <w:rPr>
          <w:iCs/>
          <w:color w:val="000000" w:themeColor="text1"/>
          <w:szCs w:val="24"/>
        </w:rPr>
        <w:t xml:space="preserve"> </w:t>
      </w:r>
    </w:p>
    <w:p w:rsidR="003B75D7" w:rsidRDefault="003B75D7" w:rsidP="00A040E7">
      <w:pPr>
        <w:pStyle w:val="Textoindependiente"/>
        <w:spacing w:line="276" w:lineRule="auto"/>
        <w:contextualSpacing/>
        <w:rPr>
          <w:iCs/>
          <w:color w:val="000000" w:themeColor="text1"/>
          <w:szCs w:val="24"/>
        </w:rPr>
      </w:pPr>
    </w:p>
    <w:p w:rsidR="003B75D7" w:rsidRDefault="003B75D7" w:rsidP="003B75D7">
      <w:pPr>
        <w:pStyle w:val="Textoindependiente"/>
        <w:spacing w:line="276" w:lineRule="auto"/>
        <w:contextualSpacing/>
        <w:rPr>
          <w:iCs/>
          <w:color w:val="000000" w:themeColor="text1"/>
          <w:szCs w:val="24"/>
        </w:rPr>
      </w:pPr>
      <w:r>
        <w:rPr>
          <w:iCs/>
          <w:color w:val="000000" w:themeColor="text1"/>
          <w:szCs w:val="24"/>
        </w:rPr>
        <w:t>Ahora bien, en cuanto la continuidad de auxilio mutuo después de la separación de hecho ocurrida entre la pareja</w:t>
      </w:r>
      <w:r w:rsidR="009B1BC4">
        <w:rPr>
          <w:iCs/>
          <w:color w:val="000000" w:themeColor="text1"/>
          <w:szCs w:val="24"/>
        </w:rPr>
        <w:t>,</w:t>
      </w:r>
      <w:r>
        <w:rPr>
          <w:iCs/>
          <w:color w:val="000000" w:themeColor="text1"/>
          <w:szCs w:val="24"/>
        </w:rPr>
        <w:t xml:space="preserve"> obran las declaraciones de los mencionados progenitores</w:t>
      </w:r>
      <w:r w:rsidR="009B1BC4">
        <w:rPr>
          <w:iCs/>
          <w:color w:val="000000" w:themeColor="text1"/>
          <w:szCs w:val="24"/>
        </w:rPr>
        <w:t>,</w:t>
      </w:r>
      <w:r>
        <w:rPr>
          <w:iCs/>
          <w:color w:val="000000" w:themeColor="text1"/>
          <w:szCs w:val="24"/>
        </w:rPr>
        <w:t xml:space="preserve"> que también coincidieron en afirmar que </w:t>
      </w:r>
      <w:r w:rsidR="00477674">
        <w:rPr>
          <w:iCs/>
          <w:color w:val="000000" w:themeColor="text1"/>
          <w:szCs w:val="24"/>
        </w:rPr>
        <w:t>la demandante partió al extranjero para obtener mejores recursos económicos, y en ese sentido enviaba dinero</w:t>
      </w:r>
      <w:r w:rsidR="009B1BC4">
        <w:rPr>
          <w:iCs/>
          <w:color w:val="000000" w:themeColor="text1"/>
          <w:szCs w:val="24"/>
        </w:rPr>
        <w:t>,</w:t>
      </w:r>
      <w:r w:rsidR="00477674">
        <w:rPr>
          <w:iCs/>
          <w:color w:val="000000" w:themeColor="text1"/>
          <w:szCs w:val="24"/>
        </w:rPr>
        <w:t xml:space="preserve"> pero únicamente a </w:t>
      </w:r>
      <w:r w:rsidR="009B1BC4">
        <w:rPr>
          <w:iCs/>
          <w:color w:val="000000" w:themeColor="text1"/>
          <w:szCs w:val="24"/>
        </w:rPr>
        <w:t>ellos</w:t>
      </w:r>
      <w:r w:rsidR="00477674">
        <w:rPr>
          <w:iCs/>
          <w:color w:val="000000" w:themeColor="text1"/>
          <w:szCs w:val="24"/>
        </w:rPr>
        <w:t xml:space="preserve"> para cubrir la alimentación de los hijos que había procreado con </w:t>
      </w:r>
      <w:r w:rsidR="00AF43D7">
        <w:rPr>
          <w:iCs/>
          <w:color w:val="000000" w:themeColor="text1"/>
          <w:szCs w:val="24"/>
        </w:rPr>
        <w:t>Heber Hernán Agudelo Osorno</w:t>
      </w:r>
      <w:r w:rsidR="00477674">
        <w:rPr>
          <w:iCs/>
          <w:color w:val="000000" w:themeColor="text1"/>
          <w:szCs w:val="24"/>
        </w:rPr>
        <w:t xml:space="preserve">, sin que ninguno de ellos destinara algún porcentaje para </w:t>
      </w:r>
      <w:r w:rsidR="00AF43D7">
        <w:rPr>
          <w:iCs/>
          <w:color w:val="000000" w:themeColor="text1"/>
          <w:szCs w:val="24"/>
        </w:rPr>
        <w:t>el fallecido</w:t>
      </w:r>
      <w:r w:rsidR="00477674">
        <w:rPr>
          <w:iCs/>
          <w:color w:val="000000" w:themeColor="text1"/>
          <w:szCs w:val="24"/>
        </w:rPr>
        <w:t xml:space="preserve">, máxime que a partir </w:t>
      </w:r>
      <w:r>
        <w:rPr>
          <w:iCs/>
          <w:color w:val="000000" w:themeColor="text1"/>
          <w:szCs w:val="24"/>
        </w:rPr>
        <w:t xml:space="preserve">del año 2000 los hijos de la pareja quedaron bajo el cuidado de la abuela paterna durante 2 años, luego al amparo del declarante </w:t>
      </w:r>
      <w:proofErr w:type="spellStart"/>
      <w:r>
        <w:rPr>
          <w:iCs/>
          <w:color w:val="000000" w:themeColor="text1"/>
          <w:szCs w:val="24"/>
        </w:rPr>
        <w:t>Aldemar</w:t>
      </w:r>
      <w:proofErr w:type="spellEnd"/>
      <w:r>
        <w:rPr>
          <w:iCs/>
          <w:color w:val="000000" w:themeColor="text1"/>
          <w:szCs w:val="24"/>
        </w:rPr>
        <w:t xml:space="preserve"> Marín </w:t>
      </w:r>
      <w:proofErr w:type="spellStart"/>
      <w:r>
        <w:rPr>
          <w:iCs/>
          <w:color w:val="000000" w:themeColor="text1"/>
          <w:szCs w:val="24"/>
        </w:rPr>
        <w:t>Mape</w:t>
      </w:r>
      <w:proofErr w:type="spellEnd"/>
      <w:r>
        <w:rPr>
          <w:iCs/>
          <w:color w:val="000000" w:themeColor="text1"/>
          <w:szCs w:val="24"/>
        </w:rPr>
        <w:t xml:space="preserve"> por 5 años y por último</w:t>
      </w:r>
      <w:r w:rsidR="00AF43D7">
        <w:rPr>
          <w:iCs/>
          <w:color w:val="000000" w:themeColor="text1"/>
          <w:szCs w:val="24"/>
        </w:rPr>
        <w:t>,</w:t>
      </w:r>
      <w:r>
        <w:rPr>
          <w:iCs/>
          <w:color w:val="000000" w:themeColor="text1"/>
          <w:szCs w:val="24"/>
        </w:rPr>
        <w:t xml:space="preserve"> bajo la protección de la tes</w:t>
      </w:r>
      <w:r w:rsidR="00FF3864">
        <w:rPr>
          <w:iCs/>
          <w:color w:val="000000" w:themeColor="text1"/>
          <w:szCs w:val="24"/>
        </w:rPr>
        <w:t>tigo Ana Delia Cardona Tabares.</w:t>
      </w:r>
    </w:p>
    <w:p w:rsidR="00477674" w:rsidRDefault="00477674" w:rsidP="003B75D7">
      <w:pPr>
        <w:pStyle w:val="Textoindependiente"/>
        <w:spacing w:line="276" w:lineRule="auto"/>
        <w:contextualSpacing/>
        <w:rPr>
          <w:iCs/>
          <w:color w:val="000000" w:themeColor="text1"/>
          <w:szCs w:val="24"/>
        </w:rPr>
      </w:pPr>
    </w:p>
    <w:p w:rsidR="00477674" w:rsidRDefault="00AF43D7" w:rsidP="003B75D7">
      <w:pPr>
        <w:pStyle w:val="Textoindependiente"/>
        <w:spacing w:line="276" w:lineRule="auto"/>
        <w:contextualSpacing/>
        <w:rPr>
          <w:iCs/>
          <w:color w:val="000000" w:themeColor="text1"/>
          <w:szCs w:val="24"/>
        </w:rPr>
      </w:pPr>
      <w:r>
        <w:rPr>
          <w:iCs/>
          <w:color w:val="000000" w:themeColor="text1"/>
          <w:szCs w:val="24"/>
        </w:rPr>
        <w:t>L</w:t>
      </w:r>
      <w:r w:rsidR="00477674">
        <w:rPr>
          <w:iCs/>
          <w:color w:val="000000" w:themeColor="text1"/>
          <w:szCs w:val="24"/>
        </w:rPr>
        <w:t xml:space="preserve">os aludidos testigos </w:t>
      </w:r>
      <w:r>
        <w:rPr>
          <w:iCs/>
          <w:color w:val="000000" w:themeColor="text1"/>
          <w:szCs w:val="24"/>
        </w:rPr>
        <w:t xml:space="preserve">también </w:t>
      </w:r>
      <w:r w:rsidR="00477674">
        <w:rPr>
          <w:iCs/>
          <w:color w:val="000000" w:themeColor="text1"/>
          <w:szCs w:val="24"/>
        </w:rPr>
        <w:t xml:space="preserve">coincidieron en afirmar que la demandante ha permanecido en España desde el año 2000 hasta el momento de la declaración (2017), tiempo durante el cual únicamente ha retornado en 2 ocasiones por lapsos de 3 y 10 meses, estancia que la demandante pasó en la casa de </w:t>
      </w:r>
      <w:r w:rsidR="009B1BC4">
        <w:rPr>
          <w:iCs/>
          <w:color w:val="000000" w:themeColor="text1"/>
          <w:szCs w:val="24"/>
        </w:rPr>
        <w:t>su madre</w:t>
      </w:r>
      <w:r w:rsidR="00477674">
        <w:rPr>
          <w:iCs/>
          <w:color w:val="000000" w:themeColor="text1"/>
          <w:szCs w:val="24"/>
        </w:rPr>
        <w:t>,</w:t>
      </w:r>
      <w:r>
        <w:rPr>
          <w:iCs/>
          <w:color w:val="000000" w:themeColor="text1"/>
          <w:szCs w:val="24"/>
        </w:rPr>
        <w:t xml:space="preserve"> además, declararon que Ana Cristina Marín Cardona no regresó</w:t>
      </w:r>
      <w:r w:rsidR="00477674">
        <w:rPr>
          <w:iCs/>
          <w:color w:val="000000" w:themeColor="text1"/>
          <w:szCs w:val="24"/>
        </w:rPr>
        <w:t xml:space="preserve"> al país durante el tiempo de </w:t>
      </w:r>
      <w:r w:rsidR="00FF3864">
        <w:rPr>
          <w:iCs/>
          <w:color w:val="000000" w:themeColor="text1"/>
          <w:szCs w:val="24"/>
        </w:rPr>
        <w:t>internación del causante en una clínica, lugar en el que estuvo únicamente acompañado por una de sus hijas</w:t>
      </w:r>
      <w:r w:rsidR="00477674">
        <w:rPr>
          <w:iCs/>
          <w:color w:val="000000" w:themeColor="text1"/>
          <w:szCs w:val="24"/>
        </w:rPr>
        <w:t>, ni a</w:t>
      </w:r>
      <w:r>
        <w:rPr>
          <w:iCs/>
          <w:color w:val="000000" w:themeColor="text1"/>
          <w:szCs w:val="24"/>
        </w:rPr>
        <w:t xml:space="preserve">sistió </w:t>
      </w:r>
      <w:r w:rsidR="00477674">
        <w:rPr>
          <w:iCs/>
          <w:color w:val="000000" w:themeColor="text1"/>
          <w:szCs w:val="24"/>
        </w:rPr>
        <w:t xml:space="preserve">a sus honras fúnebres. </w:t>
      </w:r>
    </w:p>
    <w:p w:rsidR="00477674" w:rsidRDefault="00477674" w:rsidP="003B75D7">
      <w:pPr>
        <w:pStyle w:val="Textoindependiente"/>
        <w:spacing w:line="276" w:lineRule="auto"/>
        <w:contextualSpacing/>
        <w:rPr>
          <w:iCs/>
          <w:color w:val="000000" w:themeColor="text1"/>
          <w:szCs w:val="24"/>
        </w:rPr>
      </w:pPr>
    </w:p>
    <w:p w:rsidR="00477674" w:rsidRDefault="00477674" w:rsidP="003B75D7">
      <w:pPr>
        <w:pStyle w:val="Textoindependiente"/>
        <w:spacing w:line="276" w:lineRule="auto"/>
        <w:contextualSpacing/>
        <w:rPr>
          <w:iCs/>
          <w:color w:val="000000" w:themeColor="text1"/>
          <w:szCs w:val="24"/>
        </w:rPr>
      </w:pPr>
      <w:r>
        <w:rPr>
          <w:iCs/>
          <w:color w:val="000000" w:themeColor="text1"/>
          <w:szCs w:val="24"/>
        </w:rPr>
        <w:t>Por último, obra la declaración de Jorge Antonio Montoya Castro (min: 1:05 a 09:37 cd, fl. 281, c. 1) que en nada aporta al hecho principal escrutado</w:t>
      </w:r>
      <w:r w:rsidR="003C3A7B">
        <w:rPr>
          <w:iCs/>
          <w:color w:val="000000" w:themeColor="text1"/>
          <w:szCs w:val="24"/>
        </w:rPr>
        <w:t>,</w:t>
      </w:r>
      <w:r>
        <w:rPr>
          <w:iCs/>
          <w:color w:val="000000" w:themeColor="text1"/>
          <w:szCs w:val="24"/>
        </w:rPr>
        <w:t xml:space="preserve"> pues afirmó que no recordaba donde había habitado la pareja además de vivir en “</w:t>
      </w:r>
      <w:r w:rsidRPr="00477674">
        <w:rPr>
          <w:i/>
          <w:iCs/>
          <w:color w:val="000000" w:themeColor="text1"/>
          <w:szCs w:val="24"/>
        </w:rPr>
        <w:t>los bajos de la mamá en el barrio Camilo Torres”</w:t>
      </w:r>
      <w:r>
        <w:rPr>
          <w:iCs/>
          <w:color w:val="000000" w:themeColor="text1"/>
          <w:szCs w:val="24"/>
        </w:rPr>
        <w:t xml:space="preserve">, ni </w:t>
      </w:r>
      <w:r w:rsidR="00FF3864">
        <w:rPr>
          <w:iCs/>
          <w:color w:val="000000" w:themeColor="text1"/>
          <w:szCs w:val="24"/>
        </w:rPr>
        <w:t>cuánto</w:t>
      </w:r>
      <w:r>
        <w:rPr>
          <w:iCs/>
          <w:color w:val="000000" w:themeColor="text1"/>
          <w:szCs w:val="24"/>
        </w:rPr>
        <w:t xml:space="preserve"> tiempo vivieron allí, el nombre de los hijos de la pareja, ni recuerda cuando fue la </w:t>
      </w:r>
      <w:r w:rsidR="00FF3864">
        <w:rPr>
          <w:iCs/>
          <w:color w:val="000000" w:themeColor="text1"/>
          <w:szCs w:val="24"/>
        </w:rPr>
        <w:t>última</w:t>
      </w:r>
      <w:r>
        <w:rPr>
          <w:iCs/>
          <w:color w:val="000000" w:themeColor="text1"/>
          <w:szCs w:val="24"/>
        </w:rPr>
        <w:t xml:space="preserve"> vez que vio a la demandante, además, ni siquiera conocía si la pareja se hab</w:t>
      </w:r>
      <w:r w:rsidR="00FF3864">
        <w:rPr>
          <w:iCs/>
          <w:color w:val="000000" w:themeColor="text1"/>
          <w:szCs w:val="24"/>
        </w:rPr>
        <w:t xml:space="preserve">ía separado o si Ana Cristina Marín Cardona había salido del país. </w:t>
      </w:r>
      <w:r>
        <w:rPr>
          <w:iCs/>
          <w:color w:val="000000" w:themeColor="text1"/>
          <w:szCs w:val="24"/>
        </w:rPr>
        <w:t xml:space="preserve"> </w:t>
      </w:r>
    </w:p>
    <w:p w:rsidR="00FF3864" w:rsidRDefault="00FF3864" w:rsidP="003B75D7">
      <w:pPr>
        <w:pStyle w:val="Textoindependiente"/>
        <w:spacing w:line="276" w:lineRule="auto"/>
        <w:contextualSpacing/>
        <w:rPr>
          <w:iCs/>
          <w:color w:val="000000" w:themeColor="text1"/>
          <w:szCs w:val="24"/>
        </w:rPr>
      </w:pPr>
    </w:p>
    <w:p w:rsidR="00FF3864" w:rsidRDefault="00FF3864" w:rsidP="00FF3864">
      <w:pPr>
        <w:pStyle w:val="Textoindependiente"/>
        <w:spacing w:line="276" w:lineRule="auto"/>
        <w:contextualSpacing/>
        <w:rPr>
          <w:iCs/>
          <w:color w:val="000000" w:themeColor="text1"/>
          <w:szCs w:val="24"/>
        </w:rPr>
      </w:pPr>
      <w:r>
        <w:rPr>
          <w:iCs/>
          <w:color w:val="000000" w:themeColor="text1"/>
          <w:szCs w:val="24"/>
        </w:rPr>
        <w:t>Puestas de ese modo las cosas, la prueba testimonial allegada al plenario es ins</w:t>
      </w:r>
      <w:r w:rsidR="009B1BC4">
        <w:rPr>
          <w:iCs/>
          <w:color w:val="000000" w:themeColor="text1"/>
          <w:szCs w:val="24"/>
        </w:rPr>
        <w:t xml:space="preserve">uficiente para demostrar que </w:t>
      </w:r>
      <w:r>
        <w:rPr>
          <w:iCs/>
          <w:color w:val="000000" w:themeColor="text1"/>
          <w:szCs w:val="24"/>
        </w:rPr>
        <w:t>entre Ana Cristina Marín Cardona y Heber Hernán Agudelo Osorno, permanec</w:t>
      </w:r>
      <w:r w:rsidR="00AF43D7">
        <w:rPr>
          <w:iCs/>
          <w:color w:val="000000" w:themeColor="text1"/>
          <w:szCs w:val="24"/>
        </w:rPr>
        <w:t xml:space="preserve">ían </w:t>
      </w:r>
      <w:r w:rsidR="001E5101">
        <w:rPr>
          <w:iCs/>
          <w:color w:val="000000" w:themeColor="text1"/>
          <w:szCs w:val="24"/>
        </w:rPr>
        <w:t>lazos familiares</w:t>
      </w:r>
      <w:r>
        <w:rPr>
          <w:iCs/>
          <w:color w:val="000000" w:themeColor="text1"/>
          <w:szCs w:val="24"/>
        </w:rPr>
        <w:t xml:space="preserve"> y que con ocasi</w:t>
      </w:r>
      <w:r w:rsidR="00AF43D7">
        <w:rPr>
          <w:iCs/>
          <w:color w:val="000000" w:themeColor="text1"/>
          <w:szCs w:val="24"/>
        </w:rPr>
        <w:t>ón a estos</w:t>
      </w:r>
      <w:r>
        <w:rPr>
          <w:iCs/>
          <w:color w:val="000000" w:themeColor="text1"/>
          <w:szCs w:val="24"/>
        </w:rPr>
        <w:t xml:space="preserve"> existiera un auxilio mutuo, ya </w:t>
      </w:r>
      <w:r w:rsidR="00AF43D7">
        <w:rPr>
          <w:iCs/>
          <w:color w:val="000000" w:themeColor="text1"/>
          <w:szCs w:val="24"/>
        </w:rPr>
        <w:t>fuera</w:t>
      </w:r>
      <w:r>
        <w:rPr>
          <w:iCs/>
          <w:color w:val="000000" w:themeColor="text1"/>
          <w:szCs w:val="24"/>
        </w:rPr>
        <w:t xml:space="preserve"> espiritual o económico, pues la estadía de la demandante en el extranjero únicamente justificaba el sostenimiento económico de los hijos en común que tenía con el causante, sin que ella prodigara dispensa </w:t>
      </w:r>
      <w:r w:rsidR="00AF43D7">
        <w:rPr>
          <w:iCs/>
          <w:color w:val="000000" w:themeColor="text1"/>
          <w:szCs w:val="24"/>
        </w:rPr>
        <w:t>dineraria</w:t>
      </w:r>
      <w:r>
        <w:rPr>
          <w:iCs/>
          <w:color w:val="000000" w:themeColor="text1"/>
          <w:szCs w:val="24"/>
        </w:rPr>
        <w:t xml:space="preserve"> alguna a su cónyuge</w:t>
      </w:r>
      <w:r w:rsidR="00D6464D">
        <w:rPr>
          <w:iCs/>
          <w:color w:val="000000" w:themeColor="text1"/>
          <w:szCs w:val="24"/>
        </w:rPr>
        <w:t xml:space="preserve">, que correlativamente tampoco contribuyó al mantenimiento del hogar pactado, pues el causante omitió cualquier tipo de cuidado a sus descendientes, ya que </w:t>
      </w:r>
      <w:r w:rsidR="00660089">
        <w:rPr>
          <w:iCs/>
          <w:color w:val="000000" w:themeColor="text1"/>
          <w:szCs w:val="24"/>
        </w:rPr>
        <w:t>la crianza de ellos fue trasladada</w:t>
      </w:r>
      <w:r w:rsidR="00D6464D">
        <w:rPr>
          <w:iCs/>
          <w:color w:val="000000" w:themeColor="text1"/>
          <w:szCs w:val="24"/>
        </w:rPr>
        <w:t xml:space="preserve"> a sus abuelos.</w:t>
      </w:r>
    </w:p>
    <w:p w:rsidR="00C10E1A" w:rsidRDefault="00C10E1A" w:rsidP="00FF3864">
      <w:pPr>
        <w:pStyle w:val="Textoindependiente"/>
        <w:spacing w:line="276" w:lineRule="auto"/>
        <w:contextualSpacing/>
        <w:rPr>
          <w:iCs/>
          <w:color w:val="000000" w:themeColor="text1"/>
          <w:szCs w:val="24"/>
        </w:rPr>
      </w:pPr>
    </w:p>
    <w:p w:rsidR="00AD4445" w:rsidRDefault="00D6464D" w:rsidP="00D6464D">
      <w:pPr>
        <w:pStyle w:val="Textoindependiente"/>
        <w:spacing w:line="276" w:lineRule="auto"/>
        <w:contextualSpacing/>
        <w:rPr>
          <w:iCs/>
          <w:color w:val="000000" w:themeColor="text1"/>
          <w:szCs w:val="24"/>
        </w:rPr>
      </w:pPr>
      <w:r>
        <w:rPr>
          <w:iCs/>
          <w:color w:val="000000" w:themeColor="text1"/>
          <w:szCs w:val="24"/>
        </w:rPr>
        <w:t xml:space="preserve">Además, la ausencia del causante tampoco ocasionó en Ana Cristina Marín Cardona una carencia afectiva, ya que la misma </w:t>
      </w:r>
      <w:r w:rsidR="00FF3864">
        <w:rPr>
          <w:iCs/>
          <w:color w:val="000000" w:themeColor="text1"/>
          <w:szCs w:val="24"/>
        </w:rPr>
        <w:t>omitió asistir a su consorte durante su convalecencia</w:t>
      </w:r>
      <w:r>
        <w:rPr>
          <w:iCs/>
          <w:color w:val="000000" w:themeColor="text1"/>
          <w:szCs w:val="24"/>
        </w:rPr>
        <w:t xml:space="preserve"> en la institución hospitalaria y no se presentó a </w:t>
      </w:r>
      <w:r w:rsidR="009B1BC4">
        <w:rPr>
          <w:iCs/>
          <w:color w:val="000000" w:themeColor="text1"/>
          <w:szCs w:val="24"/>
        </w:rPr>
        <w:t>sus</w:t>
      </w:r>
      <w:r>
        <w:rPr>
          <w:iCs/>
          <w:color w:val="000000" w:themeColor="text1"/>
          <w:szCs w:val="24"/>
        </w:rPr>
        <w:t xml:space="preserve"> honras fúnebres, pese a que contaba con la posibilidad de entrar al pa</w:t>
      </w:r>
      <w:r w:rsidR="00AF43D7">
        <w:rPr>
          <w:iCs/>
          <w:color w:val="000000" w:themeColor="text1"/>
          <w:szCs w:val="24"/>
        </w:rPr>
        <w:t>ís; aspectos que contrario a lo pretendido por la demandante dejan ver que ningún vínculo familiar ataba a la pareja, pese a que la unión conyugal continuara vigente para la fecha del óbito de</w:t>
      </w:r>
      <w:r>
        <w:rPr>
          <w:iCs/>
          <w:color w:val="000000" w:themeColor="text1"/>
          <w:szCs w:val="24"/>
        </w:rPr>
        <w:t xml:space="preserve"> </w:t>
      </w:r>
      <w:r w:rsidR="00AF43D7">
        <w:rPr>
          <w:iCs/>
          <w:color w:val="000000" w:themeColor="text1"/>
          <w:szCs w:val="24"/>
        </w:rPr>
        <w:t>Heber Hernán Agudelo Osorno.</w:t>
      </w:r>
    </w:p>
    <w:p w:rsidR="00D6464D" w:rsidRDefault="00D6464D" w:rsidP="00D6464D">
      <w:pPr>
        <w:pStyle w:val="Textoindependiente"/>
        <w:spacing w:line="276" w:lineRule="auto"/>
        <w:contextualSpacing/>
        <w:rPr>
          <w:iCs/>
          <w:color w:val="000000" w:themeColor="text1"/>
          <w:szCs w:val="24"/>
        </w:rPr>
      </w:pPr>
    </w:p>
    <w:p w:rsidR="00223AF9" w:rsidRDefault="00D6464D" w:rsidP="00D6464D">
      <w:pPr>
        <w:pStyle w:val="Textoindependiente"/>
        <w:spacing w:line="276" w:lineRule="auto"/>
        <w:contextualSpacing/>
        <w:rPr>
          <w:iCs/>
          <w:color w:val="000000" w:themeColor="text1"/>
          <w:szCs w:val="24"/>
        </w:rPr>
      </w:pPr>
      <w:r>
        <w:rPr>
          <w:iCs/>
          <w:color w:val="000000" w:themeColor="text1"/>
          <w:szCs w:val="24"/>
        </w:rPr>
        <w:t>De cara al recurso de apelación, es preciso resaltar que</w:t>
      </w:r>
      <w:r w:rsidR="00223AF9">
        <w:rPr>
          <w:iCs/>
          <w:color w:val="000000" w:themeColor="text1"/>
          <w:szCs w:val="24"/>
        </w:rPr>
        <w:t xml:space="preserve"> la demandante al absolver el interrogatorio de parte </w:t>
      </w:r>
      <w:r w:rsidR="00C63566">
        <w:rPr>
          <w:iCs/>
          <w:color w:val="000000" w:themeColor="text1"/>
          <w:szCs w:val="24"/>
        </w:rPr>
        <w:t xml:space="preserve">(min 05:21 a 33:53 cd, fl. 281, c. 1), </w:t>
      </w:r>
      <w:r w:rsidR="00223AF9">
        <w:rPr>
          <w:iCs/>
          <w:color w:val="000000" w:themeColor="text1"/>
          <w:szCs w:val="24"/>
        </w:rPr>
        <w:t>adujo que con posterioridad a su partida en el año 2000, mantuvo contacto telefónico con el causante</w:t>
      </w:r>
      <w:r w:rsidR="00C63566">
        <w:rPr>
          <w:iCs/>
          <w:color w:val="000000" w:themeColor="text1"/>
          <w:szCs w:val="24"/>
        </w:rPr>
        <w:t xml:space="preserve"> y concretamente señaló que para el año 2013 cuando Heber Hernán Agudelo Osorno estuvo en una clínica ella comenzó a “</w:t>
      </w:r>
      <w:r w:rsidR="00C63566" w:rsidRPr="00C63566">
        <w:rPr>
          <w:i/>
          <w:iCs/>
          <w:color w:val="000000" w:themeColor="text1"/>
          <w:szCs w:val="24"/>
        </w:rPr>
        <w:t>ayudarle y ayudarle”</w:t>
      </w:r>
      <w:r w:rsidR="00C63566">
        <w:rPr>
          <w:i/>
          <w:iCs/>
          <w:color w:val="000000" w:themeColor="text1"/>
          <w:szCs w:val="24"/>
        </w:rPr>
        <w:t xml:space="preserve">, </w:t>
      </w:r>
      <w:r w:rsidR="00C63566">
        <w:rPr>
          <w:iCs/>
          <w:color w:val="000000" w:themeColor="text1"/>
          <w:szCs w:val="24"/>
        </w:rPr>
        <w:t>época en que el obitado le pidió a la demandante que volvieran</w:t>
      </w:r>
      <w:r w:rsidR="00C63566">
        <w:rPr>
          <w:i/>
          <w:iCs/>
          <w:color w:val="000000" w:themeColor="text1"/>
          <w:szCs w:val="24"/>
        </w:rPr>
        <w:t xml:space="preserve"> </w:t>
      </w:r>
      <w:r w:rsidR="00C63566">
        <w:rPr>
          <w:iCs/>
          <w:color w:val="000000" w:themeColor="text1"/>
          <w:szCs w:val="24"/>
        </w:rPr>
        <w:t>y desde allí comenzaron con el propósito de vivir juntos cuando Ana Cristina Marín Cardona regresara.</w:t>
      </w:r>
    </w:p>
    <w:p w:rsidR="00C63566" w:rsidRDefault="00C63566" w:rsidP="00D6464D">
      <w:pPr>
        <w:pStyle w:val="Textoindependiente"/>
        <w:spacing w:line="276" w:lineRule="auto"/>
        <w:contextualSpacing/>
        <w:rPr>
          <w:iCs/>
          <w:color w:val="000000" w:themeColor="text1"/>
          <w:szCs w:val="24"/>
        </w:rPr>
      </w:pPr>
    </w:p>
    <w:p w:rsidR="00C63566" w:rsidRDefault="00C63566" w:rsidP="00603634">
      <w:pPr>
        <w:pStyle w:val="Textoindependiente"/>
        <w:spacing w:line="276" w:lineRule="auto"/>
        <w:contextualSpacing/>
        <w:rPr>
          <w:iCs/>
          <w:color w:val="000000" w:themeColor="text1"/>
          <w:szCs w:val="24"/>
        </w:rPr>
      </w:pPr>
      <w:r>
        <w:rPr>
          <w:iCs/>
          <w:color w:val="000000" w:themeColor="text1"/>
          <w:szCs w:val="24"/>
        </w:rPr>
        <w:t>No obstante lo anterior, analizado dicho interrogatorio en conjunto con la testimonial declarada aparece que la demandante de ninguna manera hizo parte del grupo familiar del causante hasta su muerte, ni acompañó espiritualmente al mismo, ni mucho menos prodigó ayuda económica alguna.</w:t>
      </w:r>
    </w:p>
    <w:p w:rsidR="00C63566" w:rsidRDefault="00C63566" w:rsidP="00603634">
      <w:pPr>
        <w:pStyle w:val="Textoindependiente"/>
        <w:spacing w:line="276" w:lineRule="auto"/>
        <w:contextualSpacing/>
        <w:rPr>
          <w:iCs/>
          <w:color w:val="000000" w:themeColor="text1"/>
          <w:szCs w:val="24"/>
        </w:rPr>
      </w:pPr>
    </w:p>
    <w:p w:rsidR="00AF43D7" w:rsidRDefault="00C63566" w:rsidP="00603634">
      <w:pPr>
        <w:pStyle w:val="Textoindependiente"/>
        <w:spacing w:line="276" w:lineRule="auto"/>
        <w:contextualSpacing/>
        <w:rPr>
          <w:iCs/>
          <w:color w:val="000000" w:themeColor="text1"/>
          <w:szCs w:val="24"/>
        </w:rPr>
      </w:pPr>
      <w:r>
        <w:rPr>
          <w:iCs/>
          <w:color w:val="000000" w:themeColor="text1"/>
          <w:szCs w:val="24"/>
        </w:rPr>
        <w:t>En efecto, la misma afirmó que tanto ella como el causante tuvieron otras parejas con posterioridad a su partida a España, y después de ello mantuvieron una relación “</w:t>
      </w:r>
      <w:r w:rsidRPr="00B14841">
        <w:rPr>
          <w:i/>
          <w:iCs/>
          <w:color w:val="000000" w:themeColor="text1"/>
          <w:szCs w:val="24"/>
        </w:rPr>
        <w:t>muy de amigos”</w:t>
      </w:r>
      <w:r>
        <w:rPr>
          <w:i/>
          <w:iCs/>
          <w:color w:val="000000" w:themeColor="text1"/>
          <w:szCs w:val="24"/>
        </w:rPr>
        <w:t xml:space="preserve">, </w:t>
      </w:r>
      <w:r>
        <w:rPr>
          <w:iCs/>
          <w:color w:val="000000" w:themeColor="text1"/>
          <w:szCs w:val="24"/>
        </w:rPr>
        <w:t>pues según la declarante “</w:t>
      </w:r>
      <w:r w:rsidRPr="00C63566">
        <w:rPr>
          <w:i/>
          <w:iCs/>
          <w:color w:val="000000" w:themeColor="text1"/>
          <w:szCs w:val="24"/>
        </w:rPr>
        <w:t>cuando fui en el 2007 nosotros nos vimos mucho y estuvimos juntos por lo de mis hijos, me ayudó a comprar los uniformes”</w:t>
      </w:r>
      <w:r>
        <w:rPr>
          <w:i/>
          <w:iCs/>
          <w:color w:val="000000" w:themeColor="text1"/>
          <w:szCs w:val="24"/>
        </w:rPr>
        <w:t>.</w:t>
      </w:r>
    </w:p>
    <w:p w:rsidR="00B14841" w:rsidRDefault="00B14841" w:rsidP="00603634">
      <w:pPr>
        <w:pStyle w:val="Textoindependiente"/>
        <w:spacing w:line="276" w:lineRule="auto"/>
        <w:contextualSpacing/>
        <w:rPr>
          <w:i/>
          <w:iCs/>
          <w:color w:val="000000" w:themeColor="text1"/>
          <w:szCs w:val="24"/>
        </w:rPr>
      </w:pPr>
    </w:p>
    <w:p w:rsidR="00B14841" w:rsidRDefault="00B14841" w:rsidP="00603634">
      <w:pPr>
        <w:pStyle w:val="Textoindependiente"/>
        <w:spacing w:line="276" w:lineRule="auto"/>
        <w:contextualSpacing/>
        <w:rPr>
          <w:iCs/>
          <w:color w:val="000000" w:themeColor="text1"/>
          <w:szCs w:val="24"/>
        </w:rPr>
      </w:pPr>
      <w:r>
        <w:rPr>
          <w:iCs/>
          <w:color w:val="000000" w:themeColor="text1"/>
          <w:szCs w:val="24"/>
        </w:rPr>
        <w:t xml:space="preserve">Además, señaló que el difunto padecía de depresión, pero ninguna apreciación realizó como para evidenciar algún tipo de preocupación por su cónyuge en torno a dicha patología, máxime si se recuerda que la demandante ningún acompañamiento dio </w:t>
      </w:r>
      <w:r w:rsidR="00997D5D">
        <w:rPr>
          <w:iCs/>
          <w:color w:val="000000" w:themeColor="text1"/>
          <w:szCs w:val="24"/>
        </w:rPr>
        <w:t>Heber Hernán Agudelo Osorno en los días previos a su fallecim</w:t>
      </w:r>
      <w:r w:rsidR="00C63566">
        <w:rPr>
          <w:iCs/>
          <w:color w:val="000000" w:themeColor="text1"/>
          <w:szCs w:val="24"/>
        </w:rPr>
        <w:t>iento, ni asistió a su funeral.</w:t>
      </w:r>
    </w:p>
    <w:p w:rsidR="00C63566" w:rsidRDefault="00C63566" w:rsidP="00603634">
      <w:pPr>
        <w:pStyle w:val="Textoindependiente"/>
        <w:spacing w:line="276" w:lineRule="auto"/>
        <w:contextualSpacing/>
        <w:rPr>
          <w:iCs/>
          <w:color w:val="000000" w:themeColor="text1"/>
          <w:szCs w:val="24"/>
        </w:rPr>
      </w:pPr>
    </w:p>
    <w:p w:rsidR="005D4DCA" w:rsidRDefault="00031581" w:rsidP="00A040E7">
      <w:pPr>
        <w:pStyle w:val="Textoindependiente"/>
        <w:spacing w:line="276" w:lineRule="auto"/>
        <w:contextualSpacing/>
        <w:rPr>
          <w:rFonts w:eastAsia="Times New Roman"/>
          <w:szCs w:val="24"/>
        </w:rPr>
      </w:pPr>
      <w:r>
        <w:rPr>
          <w:rFonts w:eastAsia="Times New Roman"/>
          <w:szCs w:val="24"/>
        </w:rPr>
        <w:t>En cuanto a la prueba documental</w:t>
      </w:r>
      <w:r w:rsidR="00997D5D">
        <w:rPr>
          <w:rFonts w:eastAsia="Times New Roman"/>
          <w:szCs w:val="24"/>
        </w:rPr>
        <w:t xml:space="preserve"> que interesa a los propósitos de la demandante, obra</w:t>
      </w:r>
      <w:r w:rsidR="00AF43D7">
        <w:rPr>
          <w:rFonts w:eastAsia="Times New Roman"/>
          <w:szCs w:val="24"/>
        </w:rPr>
        <w:t xml:space="preserve"> en el expediente </w:t>
      </w:r>
      <w:r w:rsidR="00997D5D">
        <w:rPr>
          <w:rFonts w:eastAsia="Times New Roman"/>
          <w:szCs w:val="24"/>
        </w:rPr>
        <w:t>una declaración extra proceso de la misma declarante – fl. 23 c. 1 -,</w:t>
      </w:r>
      <w:r w:rsidR="00A17EB1">
        <w:rPr>
          <w:rFonts w:eastAsia="Times New Roman"/>
          <w:szCs w:val="24"/>
        </w:rPr>
        <w:t xml:space="preserve"> que</w:t>
      </w:r>
      <w:r w:rsidR="00997D5D">
        <w:rPr>
          <w:rFonts w:eastAsia="Times New Roman"/>
          <w:szCs w:val="24"/>
        </w:rPr>
        <w:t xml:space="preserve"> </w:t>
      </w:r>
      <w:r w:rsidR="00A17EB1">
        <w:rPr>
          <w:rFonts w:eastAsia="Times New Roman"/>
          <w:szCs w:val="24"/>
        </w:rPr>
        <w:t>ningún</w:t>
      </w:r>
      <w:r w:rsidR="00997D5D">
        <w:rPr>
          <w:rFonts w:eastAsia="Times New Roman"/>
          <w:szCs w:val="24"/>
        </w:rPr>
        <w:t xml:space="preserve"> valor probatorio ofrece a la Sala en tanto que, nadie puede pre constituir su propia prueba. </w:t>
      </w:r>
    </w:p>
    <w:p w:rsidR="00997D5D" w:rsidRDefault="00997D5D" w:rsidP="00A040E7">
      <w:pPr>
        <w:pStyle w:val="Textoindependiente"/>
        <w:spacing w:line="276" w:lineRule="auto"/>
        <w:contextualSpacing/>
        <w:rPr>
          <w:rFonts w:eastAsia="Times New Roman"/>
          <w:szCs w:val="24"/>
        </w:rPr>
      </w:pPr>
    </w:p>
    <w:p w:rsidR="00997D5D" w:rsidRDefault="00997D5D" w:rsidP="00A040E7">
      <w:pPr>
        <w:pStyle w:val="Textoindependiente"/>
        <w:spacing w:line="276" w:lineRule="auto"/>
        <w:contextualSpacing/>
        <w:rPr>
          <w:rFonts w:eastAsia="Times New Roman"/>
          <w:szCs w:val="24"/>
        </w:rPr>
      </w:pPr>
      <w:r>
        <w:rPr>
          <w:rFonts w:eastAsia="Times New Roman"/>
          <w:szCs w:val="24"/>
        </w:rPr>
        <w:lastRenderedPageBreak/>
        <w:t>Por último, aparece dentro de la investigación administrativa realizada por la demandada un memorial suscrito por María Inés Osorno – fl. 185 c. 1</w:t>
      </w:r>
      <w:r w:rsidR="00BD134C">
        <w:rPr>
          <w:rFonts w:eastAsia="Times New Roman"/>
          <w:szCs w:val="24"/>
        </w:rPr>
        <w:t>–</w:t>
      </w:r>
      <w:r>
        <w:rPr>
          <w:rFonts w:eastAsia="Times New Roman"/>
          <w:szCs w:val="24"/>
        </w:rPr>
        <w:t xml:space="preserve">, madre del causante, como se desprende del registro civil de nacimiento de éste – fl. 14 c. 1 – en el que aclaró que ninguna de las madres de los hijos que había procreado Heber Hernán Agudelo Osorno habían demostrado preocupación alguna por él. </w:t>
      </w:r>
    </w:p>
    <w:p w:rsidR="00997D5D" w:rsidRDefault="00997D5D" w:rsidP="00A040E7">
      <w:pPr>
        <w:pStyle w:val="Textoindependiente"/>
        <w:spacing w:line="276" w:lineRule="auto"/>
        <w:contextualSpacing/>
        <w:rPr>
          <w:rFonts w:eastAsia="Times New Roman"/>
          <w:szCs w:val="24"/>
        </w:rPr>
      </w:pPr>
    </w:p>
    <w:p w:rsidR="00997D5D" w:rsidRDefault="00986420" w:rsidP="00A040E7">
      <w:pPr>
        <w:pStyle w:val="Textoindependiente"/>
        <w:spacing w:line="276" w:lineRule="auto"/>
        <w:contextualSpacing/>
        <w:rPr>
          <w:rFonts w:eastAsia="Times New Roman"/>
          <w:szCs w:val="24"/>
        </w:rPr>
      </w:pPr>
      <w:r>
        <w:rPr>
          <w:rFonts w:eastAsia="Times New Roman"/>
          <w:szCs w:val="24"/>
        </w:rPr>
        <w:t xml:space="preserve">La descripción de las anteriores probanzas impide concluir que la demandante haya acreditado lazos solidarios y de ayuda mutua con el causante, como para considerarla integrante del núcleo familiar del afiliado fallecido y, consecuente con ello, como beneficiaria de la prestación, situación que aquí no ocurrió, aspecto que implica la confirmación de la sentencia de primera instancia. </w:t>
      </w:r>
    </w:p>
    <w:p w:rsidR="00F60AD2" w:rsidRPr="00015FEE" w:rsidRDefault="00F60AD2" w:rsidP="00015FEE">
      <w:pPr>
        <w:pStyle w:val="Textoindependiente"/>
        <w:spacing w:line="276" w:lineRule="auto"/>
        <w:contextualSpacing/>
        <w:rPr>
          <w:iCs/>
          <w:color w:val="000000" w:themeColor="text1"/>
          <w:szCs w:val="24"/>
        </w:rPr>
      </w:pPr>
    </w:p>
    <w:p w:rsidR="00A040E7" w:rsidRPr="00F05206" w:rsidRDefault="00A040E7" w:rsidP="005854B3">
      <w:pPr>
        <w:shd w:val="clear" w:color="auto" w:fill="FFFFFF"/>
        <w:tabs>
          <w:tab w:val="left" w:pos="5197"/>
        </w:tabs>
        <w:spacing w:line="276" w:lineRule="auto"/>
        <w:jc w:val="center"/>
        <w:rPr>
          <w:rFonts w:ascii="Arial" w:hAnsi="Arial" w:cs="Arial"/>
          <w:b/>
          <w:color w:val="000000" w:themeColor="text1"/>
          <w:sz w:val="24"/>
          <w:szCs w:val="24"/>
          <w:lang w:eastAsia="es-CO"/>
        </w:rPr>
      </w:pPr>
      <w:r w:rsidRPr="00EC4B6E">
        <w:rPr>
          <w:rFonts w:ascii="Arial" w:hAnsi="Arial" w:cs="Arial"/>
          <w:b/>
          <w:color w:val="000000" w:themeColor="text1"/>
          <w:sz w:val="24"/>
          <w:szCs w:val="24"/>
          <w:lang w:eastAsia="es-CO"/>
        </w:rPr>
        <w:t>CONCLUSIÓN</w:t>
      </w:r>
    </w:p>
    <w:p w:rsidR="005854B3" w:rsidRDefault="00F05206" w:rsidP="00F05206">
      <w:pPr>
        <w:spacing w:line="276" w:lineRule="auto"/>
        <w:jc w:val="both"/>
        <w:rPr>
          <w:rFonts w:ascii="Arial" w:hAnsi="Arial" w:cs="Arial"/>
          <w:sz w:val="24"/>
          <w:szCs w:val="24"/>
        </w:rPr>
      </w:pPr>
      <w:r w:rsidRPr="00F05206">
        <w:rPr>
          <w:rFonts w:ascii="Arial" w:hAnsi="Arial" w:cs="Arial"/>
          <w:sz w:val="24"/>
          <w:szCs w:val="24"/>
        </w:rPr>
        <w:t xml:space="preserve">En armonía con lo expuesto en precedencia, se confirmará la sentencia recurrida y se condenará en esta instancia en costas a la parte </w:t>
      </w:r>
      <w:r w:rsidR="00EF6142">
        <w:rPr>
          <w:rFonts w:ascii="Arial" w:hAnsi="Arial" w:cs="Arial"/>
          <w:sz w:val="24"/>
          <w:szCs w:val="24"/>
        </w:rPr>
        <w:t xml:space="preserve">recurrente en favor de la </w:t>
      </w:r>
      <w:r w:rsidR="00415C27">
        <w:rPr>
          <w:rFonts w:ascii="Arial" w:hAnsi="Arial" w:cs="Arial"/>
          <w:sz w:val="24"/>
          <w:szCs w:val="24"/>
        </w:rPr>
        <w:t>demandada</w:t>
      </w:r>
      <w:r w:rsidRPr="00F05206">
        <w:rPr>
          <w:rFonts w:ascii="Arial" w:hAnsi="Arial" w:cs="Arial"/>
          <w:sz w:val="24"/>
          <w:szCs w:val="24"/>
        </w:rPr>
        <w:t>, al fracasar la alzada (art. 365 numerales 1 y 3 CGP).</w:t>
      </w:r>
    </w:p>
    <w:p w:rsidR="00402FFF" w:rsidRPr="00402FFF" w:rsidRDefault="00402FFF" w:rsidP="0016534D">
      <w:pPr>
        <w:spacing w:after="0" w:line="276" w:lineRule="auto"/>
        <w:jc w:val="center"/>
        <w:rPr>
          <w:rFonts w:ascii="Arial" w:hAnsi="Arial" w:cs="Arial"/>
          <w:b/>
          <w:sz w:val="24"/>
          <w:szCs w:val="24"/>
        </w:rPr>
      </w:pPr>
      <w:r w:rsidRPr="00402FFF">
        <w:rPr>
          <w:rFonts w:ascii="Arial" w:hAnsi="Arial" w:cs="Arial"/>
          <w:b/>
          <w:sz w:val="24"/>
          <w:szCs w:val="24"/>
        </w:rPr>
        <w:t>DECISIÓN</w:t>
      </w:r>
    </w:p>
    <w:p w:rsidR="00402FFF" w:rsidRPr="00402FFF" w:rsidRDefault="00402FFF" w:rsidP="00A56DFE">
      <w:pPr>
        <w:pStyle w:val="Prrafodelista2"/>
        <w:spacing w:after="0" w:line="240" w:lineRule="auto"/>
        <w:ind w:left="0"/>
        <w:jc w:val="both"/>
        <w:rPr>
          <w:rFonts w:ascii="Arial" w:hAnsi="Arial" w:cs="Arial"/>
          <w:sz w:val="24"/>
          <w:szCs w:val="24"/>
        </w:rPr>
      </w:pPr>
    </w:p>
    <w:p w:rsidR="00402FFF" w:rsidRPr="00402FFF" w:rsidRDefault="00402FFF" w:rsidP="0016534D">
      <w:pPr>
        <w:pStyle w:val="Prrafodelista2"/>
        <w:spacing w:after="0"/>
        <w:ind w:left="0"/>
        <w:jc w:val="both"/>
        <w:rPr>
          <w:rFonts w:ascii="Arial" w:hAnsi="Arial" w:cs="Arial"/>
          <w:sz w:val="24"/>
          <w:szCs w:val="24"/>
        </w:rPr>
      </w:pPr>
      <w:r w:rsidRPr="00402FFF">
        <w:rPr>
          <w:rFonts w:ascii="Arial" w:hAnsi="Arial" w:cs="Arial"/>
          <w:sz w:val="24"/>
          <w:szCs w:val="24"/>
        </w:rPr>
        <w:t xml:space="preserve">En mérito de lo expuesto, el </w:t>
      </w:r>
      <w:r w:rsidRPr="00402FFF">
        <w:rPr>
          <w:rFonts w:ascii="Arial" w:hAnsi="Arial" w:cs="Arial"/>
          <w:b/>
          <w:sz w:val="24"/>
          <w:szCs w:val="24"/>
        </w:rPr>
        <w:t>Tribunal Superior del Distrito Judicial de Pereira - Risaralda, Sala Segunda de Decisión Laboral,</w:t>
      </w:r>
      <w:r w:rsidRPr="00402FFF">
        <w:rPr>
          <w:rFonts w:ascii="Arial" w:hAnsi="Arial" w:cs="Arial"/>
          <w:sz w:val="24"/>
          <w:szCs w:val="24"/>
        </w:rPr>
        <w:t xml:space="preserve"> administrando justicia en nombre de la República y por autoridad de la ley,</w:t>
      </w:r>
    </w:p>
    <w:p w:rsidR="00402FFF" w:rsidRPr="00402FFF" w:rsidRDefault="00402FFF" w:rsidP="00A56DFE">
      <w:pPr>
        <w:pStyle w:val="Prrafodelista2"/>
        <w:spacing w:after="0" w:line="240" w:lineRule="auto"/>
        <w:ind w:left="0"/>
        <w:jc w:val="both"/>
        <w:rPr>
          <w:rFonts w:ascii="Arial" w:hAnsi="Arial" w:cs="Arial"/>
          <w:b/>
          <w:sz w:val="24"/>
          <w:szCs w:val="24"/>
        </w:rPr>
      </w:pPr>
    </w:p>
    <w:p w:rsidR="00402FFF" w:rsidRPr="00402FFF" w:rsidRDefault="00402FFF" w:rsidP="00402FFF">
      <w:pPr>
        <w:spacing w:line="276" w:lineRule="auto"/>
        <w:jc w:val="center"/>
        <w:rPr>
          <w:rFonts w:ascii="Arial" w:hAnsi="Arial" w:cs="Arial"/>
          <w:b/>
          <w:sz w:val="24"/>
          <w:szCs w:val="24"/>
        </w:rPr>
      </w:pPr>
      <w:r w:rsidRPr="00402FFF">
        <w:rPr>
          <w:rFonts w:ascii="Arial" w:hAnsi="Arial" w:cs="Arial"/>
          <w:b/>
          <w:sz w:val="24"/>
          <w:szCs w:val="24"/>
        </w:rPr>
        <w:t>RESUELVE</w:t>
      </w:r>
    </w:p>
    <w:p w:rsidR="00597DA9" w:rsidRDefault="00402FFF" w:rsidP="00986420">
      <w:pPr>
        <w:widowControl w:val="0"/>
        <w:autoSpaceDE w:val="0"/>
        <w:autoSpaceDN w:val="0"/>
        <w:adjustRightInd w:val="0"/>
        <w:spacing w:line="276" w:lineRule="auto"/>
        <w:jc w:val="both"/>
        <w:rPr>
          <w:rFonts w:ascii="Arial" w:hAnsi="Arial" w:cs="Arial"/>
          <w:bCs/>
          <w:iCs/>
          <w:sz w:val="24"/>
          <w:szCs w:val="24"/>
        </w:rPr>
      </w:pPr>
      <w:r w:rsidRPr="00402FFF">
        <w:rPr>
          <w:rFonts w:ascii="Arial" w:hAnsi="Arial" w:cs="Arial"/>
          <w:b/>
          <w:sz w:val="24"/>
          <w:szCs w:val="24"/>
          <w:u w:val="single"/>
        </w:rPr>
        <w:t>PRIMERO</w:t>
      </w:r>
      <w:r w:rsidRPr="00402FFF">
        <w:rPr>
          <w:rFonts w:ascii="Arial" w:hAnsi="Arial" w:cs="Arial"/>
          <w:b/>
          <w:sz w:val="24"/>
          <w:szCs w:val="24"/>
        </w:rPr>
        <w:t xml:space="preserve">: CONFIRMAR </w:t>
      </w:r>
      <w:r w:rsidRPr="00402FFF">
        <w:rPr>
          <w:rFonts w:ascii="Arial" w:hAnsi="Arial" w:cs="Arial"/>
          <w:sz w:val="24"/>
          <w:szCs w:val="24"/>
        </w:rPr>
        <w:t xml:space="preserve">la sentencia proferida </w:t>
      </w:r>
      <w:r w:rsidR="00962789">
        <w:rPr>
          <w:rFonts w:ascii="Arial" w:hAnsi="Arial" w:cs="Arial"/>
          <w:sz w:val="24"/>
          <w:szCs w:val="24"/>
        </w:rPr>
        <w:t xml:space="preserve">el </w:t>
      </w:r>
      <w:r w:rsidR="00986420">
        <w:rPr>
          <w:rFonts w:ascii="Arial" w:hAnsi="Arial" w:cs="Arial"/>
          <w:sz w:val="24"/>
          <w:szCs w:val="24"/>
        </w:rPr>
        <w:t xml:space="preserve">13 de octubre de 2017 </w:t>
      </w:r>
      <w:r w:rsidR="00986420" w:rsidRPr="00641218">
        <w:rPr>
          <w:rFonts w:ascii="Arial" w:hAnsi="Arial" w:cs="Arial"/>
          <w:sz w:val="24"/>
          <w:szCs w:val="24"/>
        </w:rPr>
        <w:t xml:space="preserve">por el Juzgado </w:t>
      </w:r>
      <w:r w:rsidR="00986420">
        <w:rPr>
          <w:rFonts w:ascii="Arial" w:hAnsi="Arial" w:cs="Arial"/>
          <w:sz w:val="24"/>
          <w:szCs w:val="24"/>
        </w:rPr>
        <w:t xml:space="preserve">Tercero </w:t>
      </w:r>
      <w:r w:rsidR="00986420" w:rsidRPr="00641218">
        <w:rPr>
          <w:rFonts w:ascii="Arial" w:hAnsi="Arial" w:cs="Arial"/>
          <w:sz w:val="24"/>
          <w:szCs w:val="24"/>
        </w:rPr>
        <w:t xml:space="preserve">Laboral del Circuito de Pereira, dentro del proceso que promueve la señora </w:t>
      </w:r>
      <w:r w:rsidR="00986420">
        <w:rPr>
          <w:rFonts w:ascii="Arial" w:hAnsi="Arial" w:cs="Arial"/>
          <w:b/>
          <w:sz w:val="24"/>
          <w:szCs w:val="24"/>
        </w:rPr>
        <w:t>Ana Cristina Marín Cardona</w:t>
      </w:r>
      <w:r w:rsidR="00986420" w:rsidRPr="00641218">
        <w:rPr>
          <w:rFonts w:ascii="Arial" w:hAnsi="Arial" w:cs="Arial"/>
          <w:b/>
          <w:sz w:val="24"/>
          <w:szCs w:val="24"/>
        </w:rPr>
        <w:t xml:space="preserve"> </w:t>
      </w:r>
      <w:r w:rsidR="00986420">
        <w:rPr>
          <w:rFonts w:ascii="Arial" w:hAnsi="Arial" w:cs="Arial"/>
          <w:sz w:val="24"/>
          <w:szCs w:val="24"/>
        </w:rPr>
        <w:t xml:space="preserve">contra </w:t>
      </w:r>
      <w:r w:rsidR="00986420">
        <w:rPr>
          <w:rFonts w:ascii="Arial" w:hAnsi="Arial" w:cs="Arial"/>
          <w:b/>
          <w:sz w:val="24"/>
          <w:szCs w:val="24"/>
        </w:rPr>
        <w:t xml:space="preserve">la Administradora de Fondos de Pensiones y Cesantías Porvenir S.A., </w:t>
      </w:r>
      <w:r w:rsidR="00986420">
        <w:rPr>
          <w:rFonts w:ascii="Arial" w:hAnsi="Arial" w:cs="Arial"/>
          <w:sz w:val="24"/>
          <w:szCs w:val="24"/>
        </w:rPr>
        <w:t xml:space="preserve">trámite al que se vinculó en calidad de litisconsortes necesarios a Samuel Agudelo Cañas, representado por </w:t>
      </w:r>
      <w:proofErr w:type="spellStart"/>
      <w:r w:rsidR="00986420">
        <w:rPr>
          <w:rFonts w:ascii="Arial" w:hAnsi="Arial" w:cs="Arial"/>
          <w:sz w:val="24"/>
          <w:szCs w:val="24"/>
        </w:rPr>
        <w:t>Yurani</w:t>
      </w:r>
      <w:proofErr w:type="spellEnd"/>
      <w:r w:rsidR="00986420">
        <w:rPr>
          <w:rFonts w:ascii="Arial" w:hAnsi="Arial" w:cs="Arial"/>
          <w:sz w:val="24"/>
          <w:szCs w:val="24"/>
        </w:rPr>
        <w:t xml:space="preserve"> Andrea Cañas Vélez; </w:t>
      </w:r>
      <w:proofErr w:type="spellStart"/>
      <w:r w:rsidR="00986420">
        <w:rPr>
          <w:rFonts w:ascii="Arial" w:hAnsi="Arial" w:cs="Arial"/>
          <w:sz w:val="24"/>
          <w:szCs w:val="24"/>
        </w:rPr>
        <w:t>Jhon</w:t>
      </w:r>
      <w:proofErr w:type="spellEnd"/>
      <w:r w:rsidR="00986420">
        <w:rPr>
          <w:rFonts w:ascii="Arial" w:hAnsi="Arial" w:cs="Arial"/>
          <w:sz w:val="24"/>
          <w:szCs w:val="24"/>
        </w:rPr>
        <w:t xml:space="preserve"> </w:t>
      </w:r>
      <w:proofErr w:type="spellStart"/>
      <w:r w:rsidR="00986420">
        <w:rPr>
          <w:rFonts w:ascii="Arial" w:hAnsi="Arial" w:cs="Arial"/>
          <w:sz w:val="24"/>
          <w:szCs w:val="24"/>
        </w:rPr>
        <w:t>Ever</w:t>
      </w:r>
      <w:proofErr w:type="spellEnd"/>
      <w:r w:rsidR="00986420">
        <w:rPr>
          <w:rFonts w:ascii="Arial" w:hAnsi="Arial" w:cs="Arial"/>
          <w:sz w:val="24"/>
          <w:szCs w:val="24"/>
        </w:rPr>
        <w:t xml:space="preserve"> y Bryan Andrés Agudelo Marín.</w:t>
      </w:r>
    </w:p>
    <w:p w:rsidR="00402FFF" w:rsidRPr="00F05206" w:rsidRDefault="00402FFF" w:rsidP="00A56DFE">
      <w:pPr>
        <w:widowControl w:val="0"/>
        <w:autoSpaceDE w:val="0"/>
        <w:autoSpaceDN w:val="0"/>
        <w:adjustRightInd w:val="0"/>
        <w:spacing w:line="240" w:lineRule="auto"/>
        <w:jc w:val="both"/>
        <w:rPr>
          <w:rFonts w:ascii="Arial" w:hAnsi="Arial" w:cs="Arial"/>
          <w:szCs w:val="24"/>
        </w:rPr>
      </w:pPr>
      <w:r w:rsidRPr="00402FFF">
        <w:rPr>
          <w:rFonts w:ascii="Arial" w:hAnsi="Arial" w:cs="Arial"/>
          <w:b/>
          <w:bCs/>
          <w:iCs/>
          <w:sz w:val="24"/>
          <w:szCs w:val="24"/>
          <w:u w:val="single"/>
        </w:rPr>
        <w:t>SEGUNDO</w:t>
      </w:r>
      <w:r w:rsidRPr="00402FFF">
        <w:rPr>
          <w:rFonts w:ascii="Arial" w:hAnsi="Arial" w:cs="Arial"/>
          <w:b/>
          <w:bCs/>
          <w:iCs/>
          <w:sz w:val="24"/>
          <w:szCs w:val="24"/>
        </w:rPr>
        <w:t xml:space="preserve">: </w:t>
      </w:r>
      <w:r w:rsidR="00F05206" w:rsidRPr="00F05206">
        <w:rPr>
          <w:rFonts w:ascii="Arial" w:hAnsi="Arial" w:cs="Arial"/>
          <w:b/>
          <w:sz w:val="24"/>
          <w:szCs w:val="24"/>
        </w:rPr>
        <w:t>CONDENAR</w:t>
      </w:r>
      <w:r w:rsidR="00F05206" w:rsidRPr="00F05206">
        <w:rPr>
          <w:rFonts w:ascii="Arial" w:hAnsi="Arial" w:cs="Arial"/>
          <w:sz w:val="24"/>
          <w:szCs w:val="24"/>
        </w:rPr>
        <w:t xml:space="preserve"> en costas en esta instancia a la parte recurrente en favor </w:t>
      </w:r>
      <w:r w:rsidR="00015FEE">
        <w:rPr>
          <w:rFonts w:ascii="Arial" w:hAnsi="Arial" w:cs="Arial"/>
          <w:sz w:val="24"/>
          <w:szCs w:val="24"/>
        </w:rPr>
        <w:t>de la</w:t>
      </w:r>
      <w:r w:rsidR="00415C27">
        <w:rPr>
          <w:rFonts w:ascii="Arial" w:hAnsi="Arial" w:cs="Arial"/>
          <w:sz w:val="24"/>
          <w:szCs w:val="24"/>
        </w:rPr>
        <w:t xml:space="preserve"> demandada</w:t>
      </w:r>
      <w:r w:rsidR="00FB192C">
        <w:rPr>
          <w:rFonts w:ascii="Arial" w:hAnsi="Arial" w:cs="Arial"/>
          <w:sz w:val="24"/>
          <w:szCs w:val="24"/>
        </w:rPr>
        <w:t xml:space="preserve"> </w:t>
      </w:r>
      <w:r w:rsidR="00986420">
        <w:rPr>
          <w:rFonts w:ascii="Arial" w:hAnsi="Arial" w:cs="Arial"/>
          <w:sz w:val="24"/>
          <w:szCs w:val="24"/>
        </w:rPr>
        <w:t xml:space="preserve">Porvenir </w:t>
      </w:r>
      <w:r w:rsidR="00FB192C">
        <w:rPr>
          <w:rFonts w:ascii="Arial" w:hAnsi="Arial" w:cs="Arial"/>
          <w:sz w:val="24"/>
          <w:szCs w:val="24"/>
        </w:rPr>
        <w:t>Pensiones y Cesantías S.A.</w:t>
      </w:r>
      <w:r w:rsidR="00F05206" w:rsidRPr="00F05206">
        <w:rPr>
          <w:rFonts w:ascii="Arial" w:hAnsi="Arial" w:cs="Arial"/>
          <w:sz w:val="24"/>
          <w:szCs w:val="24"/>
        </w:rPr>
        <w:t>, por lo expuesto en la parte motiva.</w:t>
      </w:r>
    </w:p>
    <w:p w:rsidR="00402FFF" w:rsidRPr="00402FFF" w:rsidRDefault="00402FFF" w:rsidP="0016534D">
      <w:pPr>
        <w:spacing w:after="0" w:line="276" w:lineRule="auto"/>
        <w:jc w:val="both"/>
        <w:rPr>
          <w:rFonts w:ascii="Arial" w:hAnsi="Arial" w:cs="Arial"/>
          <w:bCs/>
          <w:iCs/>
          <w:sz w:val="24"/>
          <w:szCs w:val="24"/>
          <w:lang w:val="es-ES"/>
        </w:rPr>
      </w:pPr>
      <w:r w:rsidRPr="00402FFF">
        <w:rPr>
          <w:rFonts w:ascii="Arial" w:hAnsi="Arial" w:cs="Arial"/>
          <w:bCs/>
          <w:iCs/>
          <w:sz w:val="24"/>
          <w:szCs w:val="24"/>
          <w:lang w:val="es-ES"/>
        </w:rPr>
        <w:t>La anterior decisión queda notificada en estrados.</w:t>
      </w:r>
    </w:p>
    <w:p w:rsidR="00402FFF" w:rsidRPr="00402FFF" w:rsidRDefault="00402FFF" w:rsidP="00A56DFE">
      <w:pPr>
        <w:pStyle w:val="Sinespaciado"/>
        <w:rPr>
          <w:rFonts w:ascii="Arial" w:hAnsi="Arial" w:cs="Arial"/>
          <w:sz w:val="24"/>
          <w:szCs w:val="24"/>
          <w:lang w:val="es-ES"/>
        </w:rPr>
      </w:pPr>
    </w:p>
    <w:p w:rsidR="00402FFF" w:rsidRPr="00402FFF" w:rsidRDefault="00402FFF" w:rsidP="0016534D">
      <w:pPr>
        <w:pStyle w:val="Textoindependiente"/>
        <w:spacing w:line="276" w:lineRule="auto"/>
        <w:contextualSpacing/>
        <w:rPr>
          <w:szCs w:val="24"/>
        </w:rPr>
      </w:pPr>
      <w:r w:rsidRPr="00402FFF">
        <w:rPr>
          <w:szCs w:val="24"/>
        </w:rPr>
        <w:t>No siendo otro el objeto de la presente</w:t>
      </w:r>
      <w:r w:rsidR="00C81716">
        <w:rPr>
          <w:szCs w:val="24"/>
        </w:rPr>
        <w:t xml:space="preserve"> </w:t>
      </w:r>
      <w:r w:rsidRPr="00402FFF">
        <w:rPr>
          <w:szCs w:val="24"/>
        </w:rPr>
        <w:t>audiencia</w:t>
      </w:r>
      <w:r w:rsidR="00C81716">
        <w:rPr>
          <w:szCs w:val="24"/>
        </w:rPr>
        <w:t xml:space="preserve">, </w:t>
      </w:r>
      <w:r w:rsidRPr="00402FFF">
        <w:rPr>
          <w:szCs w:val="24"/>
        </w:rPr>
        <w:t>se eleva y firma esta acta por las personas que han intervenido.</w:t>
      </w:r>
    </w:p>
    <w:p w:rsidR="00402FFF" w:rsidRPr="00402FFF" w:rsidRDefault="00402FFF" w:rsidP="00A56DFE">
      <w:pPr>
        <w:widowControl w:val="0"/>
        <w:autoSpaceDE w:val="0"/>
        <w:autoSpaceDN w:val="0"/>
        <w:adjustRightInd w:val="0"/>
        <w:spacing w:line="240" w:lineRule="auto"/>
        <w:contextualSpacing/>
        <w:jc w:val="both"/>
        <w:rPr>
          <w:rFonts w:ascii="Arial" w:hAnsi="Arial" w:cs="Arial"/>
          <w:sz w:val="24"/>
          <w:szCs w:val="24"/>
        </w:rPr>
      </w:pPr>
    </w:p>
    <w:p w:rsidR="00402FFF" w:rsidRPr="00402FFF" w:rsidRDefault="00402FFF" w:rsidP="00402FFF">
      <w:pPr>
        <w:widowControl w:val="0"/>
        <w:autoSpaceDE w:val="0"/>
        <w:autoSpaceDN w:val="0"/>
        <w:adjustRightInd w:val="0"/>
        <w:spacing w:line="276" w:lineRule="auto"/>
        <w:contextualSpacing/>
        <w:jc w:val="both"/>
        <w:rPr>
          <w:rFonts w:ascii="Arial" w:hAnsi="Arial" w:cs="Arial"/>
          <w:sz w:val="24"/>
          <w:szCs w:val="24"/>
        </w:rPr>
      </w:pPr>
      <w:r w:rsidRPr="00402FFF">
        <w:rPr>
          <w:rFonts w:ascii="Arial" w:hAnsi="Arial" w:cs="Arial"/>
          <w:sz w:val="24"/>
          <w:szCs w:val="24"/>
        </w:rPr>
        <w:t>Quienes integran la Sala,</w:t>
      </w:r>
    </w:p>
    <w:p w:rsidR="00A040E7" w:rsidRPr="00402FFF" w:rsidRDefault="00A040E7" w:rsidP="00A040E7">
      <w:pPr>
        <w:widowControl w:val="0"/>
        <w:autoSpaceDE w:val="0"/>
        <w:autoSpaceDN w:val="0"/>
        <w:adjustRightInd w:val="0"/>
        <w:spacing w:line="276" w:lineRule="auto"/>
        <w:contextualSpacing/>
        <w:jc w:val="both"/>
        <w:rPr>
          <w:rFonts w:ascii="Arial" w:hAnsi="Arial" w:cs="Arial"/>
          <w:color w:val="000000" w:themeColor="text1"/>
          <w:sz w:val="24"/>
          <w:szCs w:val="24"/>
        </w:rPr>
      </w:pPr>
    </w:p>
    <w:p w:rsidR="00402FFF" w:rsidRPr="00402FFF" w:rsidRDefault="00402FFF" w:rsidP="00A040E7">
      <w:pPr>
        <w:widowControl w:val="0"/>
        <w:autoSpaceDE w:val="0"/>
        <w:autoSpaceDN w:val="0"/>
        <w:adjustRightInd w:val="0"/>
        <w:spacing w:line="276" w:lineRule="auto"/>
        <w:contextualSpacing/>
        <w:jc w:val="both"/>
        <w:rPr>
          <w:rFonts w:ascii="Arial" w:hAnsi="Arial" w:cs="Arial"/>
          <w:color w:val="000000" w:themeColor="text1"/>
          <w:sz w:val="24"/>
          <w:szCs w:val="24"/>
        </w:rPr>
      </w:pPr>
    </w:p>
    <w:p w:rsidR="00A040E7" w:rsidRPr="00402FFF" w:rsidRDefault="00A040E7" w:rsidP="00A040E7">
      <w:pPr>
        <w:pStyle w:val="Sinespaciado"/>
        <w:spacing w:line="276" w:lineRule="auto"/>
        <w:contextualSpacing/>
        <w:rPr>
          <w:rFonts w:ascii="Arial" w:hAnsi="Arial" w:cs="Arial"/>
          <w:color w:val="000000" w:themeColor="text1"/>
          <w:sz w:val="24"/>
          <w:szCs w:val="24"/>
        </w:rPr>
      </w:pPr>
    </w:p>
    <w:p w:rsidR="00A040E7" w:rsidRPr="00402FFF" w:rsidRDefault="00A040E7" w:rsidP="00A040E7">
      <w:pPr>
        <w:pStyle w:val="Sinespaciado"/>
        <w:spacing w:line="276" w:lineRule="auto"/>
        <w:contextualSpacing/>
        <w:jc w:val="center"/>
        <w:rPr>
          <w:rFonts w:ascii="Arial" w:hAnsi="Arial" w:cs="Arial"/>
          <w:b/>
          <w:color w:val="000000" w:themeColor="text1"/>
          <w:sz w:val="24"/>
          <w:szCs w:val="24"/>
          <w:lang w:val="es-ES"/>
        </w:rPr>
      </w:pPr>
      <w:r w:rsidRPr="00402FFF">
        <w:rPr>
          <w:rFonts w:ascii="Arial" w:hAnsi="Arial" w:cs="Arial"/>
          <w:b/>
          <w:color w:val="000000" w:themeColor="text1"/>
          <w:sz w:val="24"/>
          <w:szCs w:val="24"/>
          <w:lang w:val="es-ES"/>
        </w:rPr>
        <w:t>OLGA LUCÍA HOYOS SEPÚLVEDA</w:t>
      </w:r>
    </w:p>
    <w:p w:rsidR="00A040E7" w:rsidRPr="00402FFF" w:rsidRDefault="00A040E7" w:rsidP="00A040E7">
      <w:pPr>
        <w:pStyle w:val="Sinespaciado"/>
        <w:spacing w:line="276" w:lineRule="auto"/>
        <w:contextualSpacing/>
        <w:jc w:val="center"/>
        <w:rPr>
          <w:rFonts w:ascii="Arial" w:hAnsi="Arial" w:cs="Arial"/>
          <w:color w:val="000000" w:themeColor="text1"/>
          <w:sz w:val="24"/>
          <w:szCs w:val="24"/>
          <w:lang w:val="es-ES"/>
        </w:rPr>
      </w:pPr>
      <w:r w:rsidRPr="00402FFF">
        <w:rPr>
          <w:rFonts w:ascii="Arial" w:hAnsi="Arial" w:cs="Arial"/>
          <w:color w:val="000000" w:themeColor="text1"/>
          <w:sz w:val="24"/>
          <w:szCs w:val="24"/>
          <w:lang w:val="es-ES"/>
        </w:rPr>
        <w:t>Magistrado Ponente</w:t>
      </w:r>
    </w:p>
    <w:p w:rsidR="00A040E7" w:rsidRPr="00402FFF" w:rsidRDefault="00A040E7" w:rsidP="00A040E7">
      <w:pPr>
        <w:pStyle w:val="Sinespaciado"/>
        <w:spacing w:line="276" w:lineRule="auto"/>
        <w:contextualSpacing/>
        <w:rPr>
          <w:rFonts w:ascii="Arial" w:hAnsi="Arial" w:cs="Arial"/>
          <w:color w:val="000000" w:themeColor="text1"/>
          <w:sz w:val="24"/>
          <w:szCs w:val="24"/>
          <w:lang w:val="es-ES"/>
        </w:rPr>
      </w:pPr>
    </w:p>
    <w:p w:rsidR="00A040E7" w:rsidRPr="00402FFF" w:rsidRDefault="00A040E7" w:rsidP="00A040E7">
      <w:pPr>
        <w:pStyle w:val="Sinespaciado"/>
        <w:spacing w:line="276" w:lineRule="auto"/>
        <w:contextualSpacing/>
        <w:rPr>
          <w:rFonts w:ascii="Arial" w:hAnsi="Arial" w:cs="Arial"/>
          <w:color w:val="000000" w:themeColor="text1"/>
          <w:sz w:val="24"/>
          <w:szCs w:val="24"/>
          <w:lang w:val="es-ES"/>
        </w:rPr>
      </w:pPr>
    </w:p>
    <w:p w:rsidR="00A040E7" w:rsidRPr="00402FFF" w:rsidRDefault="00A040E7" w:rsidP="00A040E7">
      <w:pPr>
        <w:spacing w:line="276" w:lineRule="auto"/>
        <w:contextualSpacing/>
        <w:jc w:val="both"/>
        <w:rPr>
          <w:rFonts w:ascii="Arial" w:hAnsi="Arial" w:cs="Arial"/>
          <w:b/>
          <w:bCs/>
          <w:iCs/>
          <w:color w:val="000000" w:themeColor="text1"/>
          <w:sz w:val="24"/>
          <w:szCs w:val="24"/>
          <w:lang w:val="es-ES"/>
        </w:rPr>
      </w:pPr>
    </w:p>
    <w:p w:rsidR="00A040E7" w:rsidRPr="00402FFF" w:rsidRDefault="00A040E7" w:rsidP="00A040E7">
      <w:pPr>
        <w:spacing w:line="276" w:lineRule="auto"/>
        <w:contextualSpacing/>
        <w:jc w:val="center"/>
        <w:rPr>
          <w:rFonts w:ascii="Arial" w:hAnsi="Arial" w:cs="Arial"/>
          <w:color w:val="000000" w:themeColor="text1"/>
          <w:sz w:val="24"/>
          <w:szCs w:val="24"/>
          <w:lang w:val="es-ES"/>
        </w:rPr>
      </w:pPr>
      <w:r w:rsidRPr="00402FFF">
        <w:rPr>
          <w:rFonts w:ascii="Arial" w:hAnsi="Arial" w:cs="Arial"/>
          <w:b/>
          <w:bCs/>
          <w:iCs/>
          <w:color w:val="000000" w:themeColor="text1"/>
          <w:sz w:val="24"/>
          <w:szCs w:val="24"/>
          <w:lang w:val="es-ES"/>
        </w:rPr>
        <w:t>JULIO CÉSAR SALAZAR MUÑOZ</w:t>
      </w:r>
      <w:r w:rsidRPr="00402FFF">
        <w:rPr>
          <w:rFonts w:ascii="Arial" w:hAnsi="Arial" w:cs="Arial"/>
          <w:color w:val="000000" w:themeColor="text1"/>
          <w:sz w:val="24"/>
          <w:szCs w:val="24"/>
          <w:lang w:val="es-ES"/>
        </w:rPr>
        <w:t xml:space="preserve">     </w:t>
      </w:r>
      <w:r w:rsidRPr="00402FFF">
        <w:rPr>
          <w:rFonts w:ascii="Arial" w:hAnsi="Arial" w:cs="Arial"/>
          <w:b/>
          <w:bCs/>
          <w:iCs/>
          <w:color w:val="000000" w:themeColor="text1"/>
          <w:sz w:val="24"/>
          <w:szCs w:val="24"/>
          <w:lang w:val="es-ES"/>
        </w:rPr>
        <w:t>FRANCISCO JAVIER TAMAYO TABARES</w:t>
      </w:r>
    </w:p>
    <w:p w:rsidR="00A040E7" w:rsidRDefault="00A040E7" w:rsidP="00E45C7F">
      <w:pPr>
        <w:spacing w:line="276" w:lineRule="auto"/>
        <w:contextualSpacing/>
        <w:jc w:val="center"/>
      </w:pPr>
      <w:r w:rsidRPr="00402FFF">
        <w:rPr>
          <w:rFonts w:ascii="Arial" w:hAnsi="Arial" w:cs="Arial"/>
          <w:color w:val="000000" w:themeColor="text1"/>
          <w:sz w:val="24"/>
          <w:szCs w:val="24"/>
          <w:lang w:val="es-ES"/>
        </w:rPr>
        <w:lastRenderedPageBreak/>
        <w:t xml:space="preserve">Magistrado                                                  </w:t>
      </w:r>
      <w:proofErr w:type="spellStart"/>
      <w:r w:rsidRPr="00402FFF">
        <w:rPr>
          <w:rFonts w:ascii="Arial" w:hAnsi="Arial" w:cs="Arial"/>
          <w:color w:val="000000" w:themeColor="text1"/>
          <w:sz w:val="24"/>
          <w:szCs w:val="24"/>
          <w:lang w:val="es-ES"/>
        </w:rPr>
        <w:t>Magistrado</w:t>
      </w:r>
      <w:proofErr w:type="spellEnd"/>
    </w:p>
    <w:sectPr w:rsidR="00A040E7" w:rsidSect="00977236">
      <w:headerReference w:type="default"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29" w:rsidRDefault="005F4129" w:rsidP="00A040E7">
      <w:pPr>
        <w:spacing w:after="0" w:line="240" w:lineRule="auto"/>
      </w:pPr>
      <w:r>
        <w:separator/>
      </w:r>
    </w:p>
  </w:endnote>
  <w:endnote w:type="continuationSeparator" w:id="0">
    <w:p w:rsidR="005F4129" w:rsidRDefault="005F4129" w:rsidP="00A0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69959"/>
      <w:docPartObj>
        <w:docPartGallery w:val="Page Numbers (Bottom of Page)"/>
        <w:docPartUnique/>
      </w:docPartObj>
    </w:sdtPr>
    <w:sdtEndPr/>
    <w:sdtContent>
      <w:p w:rsidR="00630492" w:rsidRDefault="00630492">
        <w:pPr>
          <w:pStyle w:val="Piedepgina"/>
          <w:jc w:val="right"/>
        </w:pPr>
        <w:r>
          <w:fldChar w:fldCharType="begin"/>
        </w:r>
        <w:r>
          <w:instrText>PAGE   \* MERGEFORMAT</w:instrText>
        </w:r>
        <w:r>
          <w:fldChar w:fldCharType="separate"/>
        </w:r>
        <w:r w:rsidR="00BD134C" w:rsidRPr="00BD134C">
          <w:rPr>
            <w:noProof/>
            <w:lang w:val="es-ES"/>
          </w:rPr>
          <w:t>11</w:t>
        </w:r>
        <w:r>
          <w:fldChar w:fldCharType="end"/>
        </w:r>
      </w:p>
    </w:sdtContent>
  </w:sdt>
  <w:p w:rsidR="00630492" w:rsidRDefault="006304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29" w:rsidRDefault="005F4129" w:rsidP="00A040E7">
      <w:pPr>
        <w:spacing w:after="0" w:line="240" w:lineRule="auto"/>
      </w:pPr>
      <w:r>
        <w:separator/>
      </w:r>
    </w:p>
  </w:footnote>
  <w:footnote w:type="continuationSeparator" w:id="0">
    <w:p w:rsidR="005F4129" w:rsidRDefault="005F4129" w:rsidP="00A040E7">
      <w:pPr>
        <w:spacing w:after="0" w:line="240" w:lineRule="auto"/>
      </w:pPr>
      <w:r>
        <w:continuationSeparator/>
      </w:r>
    </w:p>
  </w:footnote>
  <w:footnote w:id="1">
    <w:p w:rsidR="00BD134C" w:rsidRPr="00457921" w:rsidRDefault="00BD134C" w:rsidP="00BD134C">
      <w:pPr>
        <w:pStyle w:val="Textonotapie"/>
        <w:jc w:val="both"/>
        <w:rPr>
          <w:lang w:val="es-CO"/>
        </w:rPr>
      </w:pPr>
      <w:r>
        <w:rPr>
          <w:rStyle w:val="Refdenotaalpie"/>
        </w:rPr>
        <w:footnoteRef/>
      </w:r>
      <w:r>
        <w:t xml:space="preserve"> </w:t>
      </w:r>
      <w:proofErr w:type="spellStart"/>
      <w:r w:rsidRPr="00C258A9">
        <w:rPr>
          <w:rFonts w:ascii="Arial" w:hAnsi="Arial" w:cs="Arial"/>
          <w:lang w:val="es-CO"/>
        </w:rPr>
        <w:t>SL.15199</w:t>
      </w:r>
      <w:proofErr w:type="spellEnd"/>
      <w:r w:rsidRPr="00C258A9">
        <w:rPr>
          <w:rFonts w:ascii="Arial" w:hAnsi="Arial" w:cs="Arial"/>
          <w:lang w:val="es-CO"/>
        </w:rPr>
        <w:t xml:space="preserve"> del 2017</w:t>
      </w:r>
      <w:r>
        <w:rPr>
          <w:rFonts w:ascii="Arial" w:hAnsi="Arial" w:cs="Arial"/>
          <w:lang w:val="es-CO"/>
        </w:rPr>
        <w:t>.</w:t>
      </w:r>
    </w:p>
  </w:footnote>
  <w:footnote w:id="2">
    <w:p w:rsidR="00630492" w:rsidRPr="00457921" w:rsidRDefault="00630492" w:rsidP="00223AF9">
      <w:pPr>
        <w:pStyle w:val="Textonotapie"/>
        <w:jc w:val="both"/>
        <w:rPr>
          <w:lang w:val="es-CO"/>
        </w:rPr>
      </w:pPr>
      <w:r>
        <w:rPr>
          <w:rStyle w:val="Refdenotaalpie"/>
        </w:rPr>
        <w:footnoteRef/>
      </w:r>
      <w:r>
        <w:t xml:space="preserve"> </w:t>
      </w:r>
      <w:proofErr w:type="spellStart"/>
      <w:r w:rsidRPr="00C258A9">
        <w:rPr>
          <w:rFonts w:ascii="Arial" w:hAnsi="Arial" w:cs="Arial"/>
          <w:lang w:val="es-CO"/>
        </w:rPr>
        <w:t>SL.15199</w:t>
      </w:r>
      <w:proofErr w:type="spellEnd"/>
      <w:r w:rsidRPr="00C258A9">
        <w:rPr>
          <w:rFonts w:ascii="Arial" w:hAnsi="Arial" w:cs="Arial"/>
          <w:lang w:val="es-CO"/>
        </w:rPr>
        <w:t xml:space="preserve"> del 2017</w:t>
      </w:r>
      <w:r w:rsidR="00C258A9">
        <w:rPr>
          <w:rFonts w:ascii="Arial" w:hAnsi="Arial" w:cs="Arial"/>
          <w:lang w:val="es-CO"/>
        </w:rPr>
        <w:t>.</w:t>
      </w:r>
    </w:p>
  </w:footnote>
  <w:footnote w:id="3">
    <w:p w:rsidR="006571F3" w:rsidRPr="006571F3" w:rsidRDefault="006571F3" w:rsidP="00223AF9">
      <w:pPr>
        <w:pStyle w:val="Textonotapie"/>
        <w:jc w:val="both"/>
        <w:rPr>
          <w:lang w:val="es-CO"/>
        </w:rPr>
      </w:pPr>
      <w:r>
        <w:rPr>
          <w:rStyle w:val="Refdenotaalpie"/>
        </w:rPr>
        <w:footnoteRef/>
      </w:r>
      <w:r>
        <w:t xml:space="preserve"> </w:t>
      </w:r>
      <w:r w:rsidRPr="00C258A9">
        <w:rPr>
          <w:rFonts w:ascii="Arial" w:hAnsi="Arial" w:cs="Arial"/>
          <w:lang w:val="es-CO"/>
        </w:rPr>
        <w:t>CORTE SUPREMA DE JUSTICIA. Sala de Casación Laboral. Sentencias de 04/11/2009, radicado 35809, reiterada en providencias de 28/10/2009, radicado 34899; 01/12/2009, radicado 34415 y 31/08/2010, radicado 39464.</w:t>
      </w:r>
      <w:r>
        <w:rPr>
          <w:lang w:val="es-CO"/>
        </w:rPr>
        <w:t xml:space="preserve"> </w:t>
      </w:r>
    </w:p>
  </w:footnote>
  <w:footnote w:id="4">
    <w:p w:rsidR="006571F3" w:rsidRPr="006571F3" w:rsidRDefault="006571F3" w:rsidP="00223AF9">
      <w:pPr>
        <w:pStyle w:val="Textonotapie"/>
        <w:jc w:val="both"/>
        <w:rPr>
          <w:lang w:val="es-CO"/>
        </w:rPr>
      </w:pPr>
      <w:r>
        <w:rPr>
          <w:rStyle w:val="Refdenotaalpie"/>
        </w:rPr>
        <w:footnoteRef/>
      </w:r>
      <w:r>
        <w:t xml:space="preserve"> </w:t>
      </w:r>
      <w:r w:rsidRPr="00223AF9">
        <w:rPr>
          <w:rFonts w:ascii="Arial" w:hAnsi="Arial" w:cs="Arial"/>
          <w:lang w:val="es-CO"/>
        </w:rPr>
        <w:t xml:space="preserve">CORTE SUPREMA DE JUSTICIA. Sala de Casación Laboral. </w:t>
      </w:r>
      <w:proofErr w:type="spellStart"/>
      <w:r w:rsidRPr="00223AF9">
        <w:rPr>
          <w:rFonts w:ascii="Arial" w:hAnsi="Arial" w:cs="Arial"/>
          <w:lang w:val="es-CO"/>
        </w:rPr>
        <w:t>Sent</w:t>
      </w:r>
      <w:proofErr w:type="spellEnd"/>
      <w:r w:rsidRPr="00223AF9">
        <w:rPr>
          <w:rFonts w:ascii="Arial" w:hAnsi="Arial" w:cs="Arial"/>
          <w:lang w:val="es-CO"/>
        </w:rPr>
        <w:t>. de 29/11/2011, radicado 40055.</w:t>
      </w:r>
    </w:p>
  </w:footnote>
  <w:footnote w:id="5">
    <w:p w:rsidR="00891FF8" w:rsidRPr="00891FF8" w:rsidRDefault="00891FF8" w:rsidP="00223AF9">
      <w:pPr>
        <w:pStyle w:val="Textonotapie"/>
        <w:jc w:val="both"/>
        <w:rPr>
          <w:lang w:val="es-CO"/>
        </w:rPr>
      </w:pPr>
      <w:r>
        <w:rPr>
          <w:rStyle w:val="Refdenotaalpie"/>
        </w:rPr>
        <w:footnoteRef/>
      </w:r>
      <w:r>
        <w:t xml:space="preserve"> </w:t>
      </w:r>
      <w:r w:rsidRPr="00223AF9">
        <w:rPr>
          <w:rFonts w:ascii="Arial" w:hAnsi="Arial" w:cs="Arial"/>
        </w:rPr>
        <w:t xml:space="preserve">CORTE SUPREMA DE JUSTICIA. Sala de Casación Laboral. </w:t>
      </w:r>
      <w:proofErr w:type="spellStart"/>
      <w:r w:rsidRPr="00223AF9">
        <w:rPr>
          <w:rFonts w:ascii="Arial" w:hAnsi="Arial" w:cs="Arial"/>
        </w:rPr>
        <w:t>Sent</w:t>
      </w:r>
      <w:proofErr w:type="spellEnd"/>
      <w:r w:rsidRPr="00223AF9">
        <w:rPr>
          <w:rFonts w:ascii="Arial" w:hAnsi="Arial" w:cs="Arial"/>
        </w:rPr>
        <w:t>. de 24/01/2012, radicado 41637 y 13/03/2012, radicado 45038.</w:t>
      </w:r>
    </w:p>
  </w:footnote>
  <w:footnote w:id="6">
    <w:p w:rsidR="00891FF8" w:rsidRPr="00891FF8" w:rsidRDefault="00891FF8" w:rsidP="00223AF9">
      <w:pPr>
        <w:pStyle w:val="Textonotapie"/>
        <w:jc w:val="both"/>
        <w:rPr>
          <w:lang w:val="es-CO"/>
        </w:rPr>
      </w:pPr>
      <w:r>
        <w:rPr>
          <w:rStyle w:val="Refdenotaalpie"/>
        </w:rPr>
        <w:footnoteRef/>
      </w:r>
      <w:r>
        <w:t xml:space="preserve"> </w:t>
      </w:r>
      <w:r w:rsidRPr="00223AF9">
        <w:rPr>
          <w:rFonts w:ascii="Arial" w:hAnsi="Arial" w:cs="Arial"/>
          <w:lang w:val="es-CO"/>
        </w:rPr>
        <w:t>CORTE SUPREMA DE JUSTICIA. S</w:t>
      </w:r>
      <w:r w:rsidRPr="00C10E1A">
        <w:rPr>
          <w:rFonts w:ascii="Arial" w:hAnsi="Arial" w:cs="Arial"/>
          <w:lang w:val="es-CO"/>
        </w:rPr>
        <w:t xml:space="preserve">ala de Casación Laboral. </w:t>
      </w:r>
      <w:proofErr w:type="spellStart"/>
      <w:r w:rsidRPr="00C10E1A">
        <w:rPr>
          <w:rFonts w:ascii="Arial" w:hAnsi="Arial" w:cs="Arial"/>
          <w:lang w:val="es-CO"/>
        </w:rPr>
        <w:t>Sent</w:t>
      </w:r>
      <w:proofErr w:type="spellEnd"/>
      <w:r w:rsidRPr="00C10E1A">
        <w:rPr>
          <w:rFonts w:ascii="Arial" w:hAnsi="Arial" w:cs="Arial"/>
          <w:lang w:val="es-CO"/>
        </w:rPr>
        <w:t>. de 15/09/2015, radicado 47173 y 23/11/2016, radicado 46748</w:t>
      </w:r>
      <w:r w:rsidR="001F6F4E" w:rsidRPr="00C10E1A">
        <w:rPr>
          <w:rFonts w:ascii="Arial" w:hAnsi="Arial" w:cs="Arial"/>
          <w:lang w:val="es-CO"/>
        </w:rPr>
        <w:t xml:space="preserve">; posición que perdura en la actualidad según sentencia de </w:t>
      </w:r>
      <w:r w:rsidR="00C10E1A" w:rsidRPr="00C10E1A">
        <w:rPr>
          <w:rFonts w:ascii="Arial" w:hAnsi="Arial" w:cs="Arial"/>
          <w:lang w:val="es-CO"/>
        </w:rPr>
        <w:t>25/04/2018, radicado 485</w:t>
      </w:r>
      <w:r w:rsidR="003C3A7B">
        <w:rPr>
          <w:rFonts w:ascii="Arial" w:hAnsi="Arial" w:cs="Arial"/>
          <w:lang w:val="es-CO"/>
        </w:rPr>
        <w:t xml:space="preserve">67 y 06/06/2018, radicado 58206 de la sala de descongestión laboral. </w:t>
      </w:r>
    </w:p>
  </w:footnote>
  <w:footnote w:id="7">
    <w:p w:rsidR="00C10E1A" w:rsidRPr="00C10E1A" w:rsidRDefault="00C10E1A">
      <w:pPr>
        <w:pStyle w:val="Textonotapie"/>
        <w:rPr>
          <w:lang w:val="es-CO"/>
        </w:rPr>
      </w:pPr>
      <w:r>
        <w:rPr>
          <w:rStyle w:val="Refdenotaalpie"/>
        </w:rPr>
        <w:footnoteRef/>
      </w:r>
      <w:r>
        <w:t xml:space="preserve"> </w:t>
      </w:r>
      <w:r w:rsidRPr="00C10E1A">
        <w:rPr>
          <w:rFonts w:ascii="Arial" w:hAnsi="Arial" w:cs="Arial"/>
          <w:lang w:val="es-CO"/>
        </w:rPr>
        <w:t xml:space="preserve">CORTE SUPREMA DE JUSTICIA. Sala de Casación Laboral. </w:t>
      </w:r>
      <w:proofErr w:type="spellStart"/>
      <w:r w:rsidRPr="00C10E1A">
        <w:rPr>
          <w:rFonts w:ascii="Arial" w:hAnsi="Arial" w:cs="Arial"/>
          <w:lang w:val="es-CO"/>
        </w:rPr>
        <w:t>Sent</w:t>
      </w:r>
      <w:proofErr w:type="spellEnd"/>
      <w:r w:rsidRPr="00C10E1A">
        <w:rPr>
          <w:rFonts w:ascii="Arial" w:hAnsi="Arial" w:cs="Arial"/>
          <w:lang w:val="es-CO"/>
        </w:rPr>
        <w:t>. 15/09/2015, radicado 47173.</w:t>
      </w:r>
    </w:p>
  </w:footnote>
  <w:footnote w:id="8">
    <w:p w:rsidR="00C10E1A" w:rsidRPr="00C10E1A" w:rsidRDefault="00C10E1A">
      <w:pPr>
        <w:pStyle w:val="Textonotapie"/>
        <w:rPr>
          <w:lang w:val="es-CO"/>
        </w:rPr>
      </w:pPr>
      <w:r>
        <w:rPr>
          <w:rStyle w:val="Refdenotaalpie"/>
        </w:rPr>
        <w:footnoteRef/>
      </w:r>
      <w:r>
        <w:t xml:space="preserve"> </w:t>
      </w:r>
      <w:r w:rsidRPr="00C10E1A">
        <w:rPr>
          <w:rFonts w:ascii="Arial" w:hAnsi="Arial" w:cs="Arial"/>
          <w:lang w:val="es-CO"/>
        </w:rPr>
        <w:t>Ibídem.</w:t>
      </w:r>
    </w:p>
  </w:footnote>
  <w:footnote w:id="9">
    <w:p w:rsidR="008F0777" w:rsidRPr="008F0777" w:rsidRDefault="008F0777" w:rsidP="00223AF9">
      <w:pPr>
        <w:pStyle w:val="Textonotapie"/>
        <w:jc w:val="both"/>
        <w:rPr>
          <w:lang w:val="es-CO"/>
        </w:rPr>
      </w:pPr>
      <w:r>
        <w:rPr>
          <w:rStyle w:val="Refdenotaalpie"/>
        </w:rPr>
        <w:footnoteRef/>
      </w:r>
      <w:r w:rsidRPr="00C258A9">
        <w:rPr>
          <w:rFonts w:ascii="Arial" w:hAnsi="Arial" w:cs="Arial"/>
          <w:lang w:val="es-CO"/>
        </w:rPr>
        <w:t xml:space="preserve">CORTE SUPREMA DE JUSTICIA. Sala de Casación Civil. </w:t>
      </w:r>
      <w:proofErr w:type="spellStart"/>
      <w:r w:rsidRPr="00C258A9">
        <w:rPr>
          <w:rFonts w:ascii="Arial" w:hAnsi="Arial" w:cs="Arial"/>
          <w:lang w:val="es-CO"/>
        </w:rPr>
        <w:t>Sent</w:t>
      </w:r>
      <w:proofErr w:type="spellEnd"/>
      <w:r w:rsidRPr="00C258A9">
        <w:rPr>
          <w:rFonts w:ascii="Arial" w:hAnsi="Arial" w:cs="Arial"/>
          <w:lang w:val="es-CO"/>
        </w:rPr>
        <w:t>. 13/09/1994, 27/07/1999, 31/10/2002 y por último, 25/03/2009, radicado 2002-00079-01.</w:t>
      </w:r>
    </w:p>
  </w:footnote>
  <w:footnote w:id="10">
    <w:p w:rsidR="00C258A9" w:rsidRPr="00C258A9" w:rsidRDefault="00C258A9">
      <w:pPr>
        <w:pStyle w:val="Textonotapie"/>
        <w:rPr>
          <w:lang w:val="es-CO"/>
        </w:rPr>
      </w:pPr>
      <w:r>
        <w:rPr>
          <w:rStyle w:val="Refdenotaalpie"/>
        </w:rPr>
        <w:footnoteRef/>
      </w:r>
      <w:r>
        <w:t xml:space="preserve"> </w:t>
      </w:r>
      <w:r w:rsidRPr="00223AF9">
        <w:rPr>
          <w:rFonts w:ascii="Arial" w:hAnsi="Arial" w:cs="Arial"/>
        </w:rPr>
        <w:t>INSTITUTO COLOMBIANO DE DERECHO PROCESAL.</w:t>
      </w:r>
      <w:r w:rsidRPr="00223AF9">
        <w:rPr>
          <w:rFonts w:ascii="Arial" w:hAnsi="Arial" w:cs="Arial"/>
          <w:lang w:val="es-CO"/>
        </w:rPr>
        <w:t xml:space="preserve"> Código General del Proceso, </w:t>
      </w:r>
      <w:r w:rsidRPr="00223AF9">
        <w:rPr>
          <w:rFonts w:ascii="Arial" w:hAnsi="Arial" w:cs="Arial"/>
        </w:rPr>
        <w:t>p.300.</w:t>
      </w:r>
    </w:p>
  </w:footnote>
  <w:footnote w:id="11">
    <w:p w:rsidR="00C258A9" w:rsidRPr="00C258A9" w:rsidRDefault="00C258A9">
      <w:pPr>
        <w:pStyle w:val="Textonotapie"/>
        <w:rPr>
          <w:lang w:val="es-CO"/>
        </w:rPr>
      </w:pPr>
      <w:r>
        <w:rPr>
          <w:rStyle w:val="Refdenotaalpie"/>
        </w:rPr>
        <w:footnoteRef/>
      </w:r>
      <w:r>
        <w:t xml:space="preserve"> </w:t>
      </w:r>
      <w:r w:rsidRPr="00223AF9">
        <w:rPr>
          <w:rFonts w:ascii="Arial" w:hAnsi="Arial" w:cs="Arial"/>
          <w:szCs w:val="22"/>
        </w:rPr>
        <w:t>ROJAS G., Miguel E. Lecciones de derecho procesal, pruebas civiles., tomo III, ESAJU, 2015, Bogotá D.C., p.313.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92" w:rsidRPr="001B0E6E" w:rsidRDefault="00630492" w:rsidP="00630492">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630492" w:rsidRPr="001B0E6E" w:rsidRDefault="00630492" w:rsidP="00630492">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364</w:t>
    </w:r>
    <w:r w:rsidRPr="001B0E6E">
      <w:rPr>
        <w:rFonts w:ascii="Arial" w:hAnsi="Arial" w:cs="Arial"/>
        <w:sz w:val="16"/>
        <w:szCs w:val="16"/>
      </w:rPr>
      <w:t>-01</w:t>
    </w:r>
  </w:p>
  <w:p w:rsidR="00630492" w:rsidRDefault="00630492" w:rsidP="00630492">
    <w:pPr>
      <w:pStyle w:val="Encabezado"/>
      <w:jc w:val="center"/>
    </w:pPr>
    <w:r>
      <w:rPr>
        <w:rFonts w:ascii="Arial" w:hAnsi="Arial" w:cs="Arial"/>
        <w:sz w:val="16"/>
        <w:szCs w:val="16"/>
      </w:rPr>
      <w:t>Ana Cristina Marín Cardona vs.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70CD"/>
    <w:multiLevelType w:val="hybridMultilevel"/>
    <w:tmpl w:val="EC307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E7"/>
    <w:rsid w:val="00001816"/>
    <w:rsid w:val="0000202E"/>
    <w:rsid w:val="00003196"/>
    <w:rsid w:val="00006519"/>
    <w:rsid w:val="000073C5"/>
    <w:rsid w:val="00015FEE"/>
    <w:rsid w:val="0001792A"/>
    <w:rsid w:val="00021AB7"/>
    <w:rsid w:val="00023DCA"/>
    <w:rsid w:val="000245D9"/>
    <w:rsid w:val="00027F7B"/>
    <w:rsid w:val="00031581"/>
    <w:rsid w:val="00057B2B"/>
    <w:rsid w:val="00063CB3"/>
    <w:rsid w:val="00087AC2"/>
    <w:rsid w:val="000A4C0B"/>
    <w:rsid w:val="000C2DAC"/>
    <w:rsid w:val="000F4092"/>
    <w:rsid w:val="000F6751"/>
    <w:rsid w:val="00102369"/>
    <w:rsid w:val="00115E34"/>
    <w:rsid w:val="00122107"/>
    <w:rsid w:val="00130258"/>
    <w:rsid w:val="00146283"/>
    <w:rsid w:val="0016166A"/>
    <w:rsid w:val="0016534D"/>
    <w:rsid w:val="00177C3E"/>
    <w:rsid w:val="0018049D"/>
    <w:rsid w:val="00191A29"/>
    <w:rsid w:val="001B2036"/>
    <w:rsid w:val="001B68CA"/>
    <w:rsid w:val="001B7A70"/>
    <w:rsid w:val="001C16B0"/>
    <w:rsid w:val="001E5101"/>
    <w:rsid w:val="001F3259"/>
    <w:rsid w:val="001F6F4E"/>
    <w:rsid w:val="00211A5C"/>
    <w:rsid w:val="00212470"/>
    <w:rsid w:val="00213B39"/>
    <w:rsid w:val="00223AF9"/>
    <w:rsid w:val="00227AD5"/>
    <w:rsid w:val="002516C2"/>
    <w:rsid w:val="00256020"/>
    <w:rsid w:val="00267395"/>
    <w:rsid w:val="00271F6A"/>
    <w:rsid w:val="00274DB4"/>
    <w:rsid w:val="002811B6"/>
    <w:rsid w:val="00282301"/>
    <w:rsid w:val="002A66E8"/>
    <w:rsid w:val="002C5D2B"/>
    <w:rsid w:val="002C7F95"/>
    <w:rsid w:val="002D3721"/>
    <w:rsid w:val="002F2C63"/>
    <w:rsid w:val="0031626D"/>
    <w:rsid w:val="00317322"/>
    <w:rsid w:val="0033542F"/>
    <w:rsid w:val="00341417"/>
    <w:rsid w:val="003723DE"/>
    <w:rsid w:val="00392B6A"/>
    <w:rsid w:val="003A198B"/>
    <w:rsid w:val="003A5928"/>
    <w:rsid w:val="003B62AF"/>
    <w:rsid w:val="003B75D7"/>
    <w:rsid w:val="003C3A7B"/>
    <w:rsid w:val="003D29C1"/>
    <w:rsid w:val="003E10CB"/>
    <w:rsid w:val="00402FFF"/>
    <w:rsid w:val="00415C27"/>
    <w:rsid w:val="00422774"/>
    <w:rsid w:val="00433440"/>
    <w:rsid w:val="00440DFE"/>
    <w:rsid w:val="00441466"/>
    <w:rsid w:val="00464AB4"/>
    <w:rsid w:val="00464BD2"/>
    <w:rsid w:val="00475497"/>
    <w:rsid w:val="00477674"/>
    <w:rsid w:val="00494539"/>
    <w:rsid w:val="00494898"/>
    <w:rsid w:val="004A0A2E"/>
    <w:rsid w:val="004A1A74"/>
    <w:rsid w:val="004A480D"/>
    <w:rsid w:val="004C6FC5"/>
    <w:rsid w:val="004D3123"/>
    <w:rsid w:val="004D4578"/>
    <w:rsid w:val="00505BCA"/>
    <w:rsid w:val="00515A16"/>
    <w:rsid w:val="00520322"/>
    <w:rsid w:val="00524CF6"/>
    <w:rsid w:val="00544474"/>
    <w:rsid w:val="00550B79"/>
    <w:rsid w:val="005849EF"/>
    <w:rsid w:val="005854B3"/>
    <w:rsid w:val="0059461A"/>
    <w:rsid w:val="00597DA9"/>
    <w:rsid w:val="005B60F4"/>
    <w:rsid w:val="005B7BA8"/>
    <w:rsid w:val="005D0580"/>
    <w:rsid w:val="005D4DCA"/>
    <w:rsid w:val="005F4129"/>
    <w:rsid w:val="00601429"/>
    <w:rsid w:val="00603634"/>
    <w:rsid w:val="00617EB4"/>
    <w:rsid w:val="00630492"/>
    <w:rsid w:val="00635BB4"/>
    <w:rsid w:val="00635C95"/>
    <w:rsid w:val="00646D68"/>
    <w:rsid w:val="00647414"/>
    <w:rsid w:val="00651CB8"/>
    <w:rsid w:val="00656D52"/>
    <w:rsid w:val="006571F3"/>
    <w:rsid w:val="00660089"/>
    <w:rsid w:val="00675972"/>
    <w:rsid w:val="00683D6C"/>
    <w:rsid w:val="006847A3"/>
    <w:rsid w:val="006A7F01"/>
    <w:rsid w:val="006B5596"/>
    <w:rsid w:val="006B5663"/>
    <w:rsid w:val="006B7BC8"/>
    <w:rsid w:val="006C3247"/>
    <w:rsid w:val="006C47CC"/>
    <w:rsid w:val="006C5A3A"/>
    <w:rsid w:val="006E51C4"/>
    <w:rsid w:val="006F0845"/>
    <w:rsid w:val="006F4688"/>
    <w:rsid w:val="00726309"/>
    <w:rsid w:val="00761FC9"/>
    <w:rsid w:val="00762DBF"/>
    <w:rsid w:val="007829BE"/>
    <w:rsid w:val="0078691D"/>
    <w:rsid w:val="007B4C71"/>
    <w:rsid w:val="007C42D3"/>
    <w:rsid w:val="007D665A"/>
    <w:rsid w:val="007D6918"/>
    <w:rsid w:val="00826E53"/>
    <w:rsid w:val="00827304"/>
    <w:rsid w:val="00836E04"/>
    <w:rsid w:val="00843BA5"/>
    <w:rsid w:val="00850BBC"/>
    <w:rsid w:val="00856BFC"/>
    <w:rsid w:val="00886354"/>
    <w:rsid w:val="00891490"/>
    <w:rsid w:val="00891FF8"/>
    <w:rsid w:val="008A08EC"/>
    <w:rsid w:val="008B4878"/>
    <w:rsid w:val="008D3A3B"/>
    <w:rsid w:val="008F0777"/>
    <w:rsid w:val="00900971"/>
    <w:rsid w:val="009042B8"/>
    <w:rsid w:val="0090541F"/>
    <w:rsid w:val="00907AFF"/>
    <w:rsid w:val="0092264C"/>
    <w:rsid w:val="00923BB7"/>
    <w:rsid w:val="00942CFB"/>
    <w:rsid w:val="009445AF"/>
    <w:rsid w:val="00957128"/>
    <w:rsid w:val="00962789"/>
    <w:rsid w:val="009639BE"/>
    <w:rsid w:val="0096519F"/>
    <w:rsid w:val="00977236"/>
    <w:rsid w:val="00982970"/>
    <w:rsid w:val="00986420"/>
    <w:rsid w:val="0099223E"/>
    <w:rsid w:val="00997D5D"/>
    <w:rsid w:val="009B1BC4"/>
    <w:rsid w:val="009B442A"/>
    <w:rsid w:val="009C7539"/>
    <w:rsid w:val="009E1BCC"/>
    <w:rsid w:val="009E53F3"/>
    <w:rsid w:val="009F01E6"/>
    <w:rsid w:val="009F297C"/>
    <w:rsid w:val="00A03653"/>
    <w:rsid w:val="00A040E7"/>
    <w:rsid w:val="00A06B86"/>
    <w:rsid w:val="00A17EB1"/>
    <w:rsid w:val="00A36C68"/>
    <w:rsid w:val="00A4133F"/>
    <w:rsid w:val="00A41FD1"/>
    <w:rsid w:val="00A56DFE"/>
    <w:rsid w:val="00A66204"/>
    <w:rsid w:val="00A81104"/>
    <w:rsid w:val="00A85AE8"/>
    <w:rsid w:val="00A866E1"/>
    <w:rsid w:val="00A8682E"/>
    <w:rsid w:val="00A94E1D"/>
    <w:rsid w:val="00A96739"/>
    <w:rsid w:val="00AA6AD7"/>
    <w:rsid w:val="00AB4B63"/>
    <w:rsid w:val="00AC4F07"/>
    <w:rsid w:val="00AD037F"/>
    <w:rsid w:val="00AD1F94"/>
    <w:rsid w:val="00AD4445"/>
    <w:rsid w:val="00AD6781"/>
    <w:rsid w:val="00AF43D7"/>
    <w:rsid w:val="00AF6498"/>
    <w:rsid w:val="00B06334"/>
    <w:rsid w:val="00B14841"/>
    <w:rsid w:val="00B31A71"/>
    <w:rsid w:val="00B34368"/>
    <w:rsid w:val="00B37CCB"/>
    <w:rsid w:val="00B44AD1"/>
    <w:rsid w:val="00B477F7"/>
    <w:rsid w:val="00B77B8C"/>
    <w:rsid w:val="00B82D93"/>
    <w:rsid w:val="00B841BC"/>
    <w:rsid w:val="00B87B9A"/>
    <w:rsid w:val="00BA346E"/>
    <w:rsid w:val="00BA7892"/>
    <w:rsid w:val="00BC3BE7"/>
    <w:rsid w:val="00BD134C"/>
    <w:rsid w:val="00BE39B8"/>
    <w:rsid w:val="00BE4175"/>
    <w:rsid w:val="00BE53A6"/>
    <w:rsid w:val="00BF1744"/>
    <w:rsid w:val="00C0074F"/>
    <w:rsid w:val="00C04939"/>
    <w:rsid w:val="00C10E1A"/>
    <w:rsid w:val="00C17341"/>
    <w:rsid w:val="00C22616"/>
    <w:rsid w:val="00C258A9"/>
    <w:rsid w:val="00C459EE"/>
    <w:rsid w:val="00C53EEA"/>
    <w:rsid w:val="00C56DB4"/>
    <w:rsid w:val="00C63566"/>
    <w:rsid w:val="00C63866"/>
    <w:rsid w:val="00C81716"/>
    <w:rsid w:val="00C833D7"/>
    <w:rsid w:val="00CB300A"/>
    <w:rsid w:val="00CC6234"/>
    <w:rsid w:val="00CD5BEA"/>
    <w:rsid w:val="00D25A56"/>
    <w:rsid w:val="00D43EE5"/>
    <w:rsid w:val="00D52E86"/>
    <w:rsid w:val="00D555A5"/>
    <w:rsid w:val="00D6464D"/>
    <w:rsid w:val="00D774CD"/>
    <w:rsid w:val="00D9081B"/>
    <w:rsid w:val="00DB42D3"/>
    <w:rsid w:val="00DC1F20"/>
    <w:rsid w:val="00DD4313"/>
    <w:rsid w:val="00DD477B"/>
    <w:rsid w:val="00DD6973"/>
    <w:rsid w:val="00DE4C96"/>
    <w:rsid w:val="00DE7126"/>
    <w:rsid w:val="00DE77BC"/>
    <w:rsid w:val="00DF1946"/>
    <w:rsid w:val="00DF6463"/>
    <w:rsid w:val="00E01606"/>
    <w:rsid w:val="00E0784E"/>
    <w:rsid w:val="00E45C7F"/>
    <w:rsid w:val="00E70266"/>
    <w:rsid w:val="00E749B7"/>
    <w:rsid w:val="00E87AA5"/>
    <w:rsid w:val="00E971A6"/>
    <w:rsid w:val="00EA0F57"/>
    <w:rsid w:val="00EA333D"/>
    <w:rsid w:val="00EA3C26"/>
    <w:rsid w:val="00EB6F4F"/>
    <w:rsid w:val="00ED631D"/>
    <w:rsid w:val="00EF6142"/>
    <w:rsid w:val="00F05206"/>
    <w:rsid w:val="00F16C33"/>
    <w:rsid w:val="00F40C82"/>
    <w:rsid w:val="00F45A25"/>
    <w:rsid w:val="00F47400"/>
    <w:rsid w:val="00F60AD2"/>
    <w:rsid w:val="00FA2433"/>
    <w:rsid w:val="00FA39AA"/>
    <w:rsid w:val="00FB075E"/>
    <w:rsid w:val="00FB192C"/>
    <w:rsid w:val="00FB57BB"/>
    <w:rsid w:val="00FC301F"/>
    <w:rsid w:val="00FC47C4"/>
    <w:rsid w:val="00FE22FF"/>
    <w:rsid w:val="00FE4E60"/>
    <w:rsid w:val="00FF38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040E7"/>
    <w:rPr>
      <w:rFonts w:ascii="Arial" w:hAnsi="Arial" w:cs="Arial"/>
      <w:sz w:val="24"/>
      <w:lang w:val="es-ES_tradnl" w:eastAsia="es-ES"/>
    </w:rPr>
  </w:style>
  <w:style w:type="paragraph" w:styleId="Textoindependiente">
    <w:name w:val="Body Text"/>
    <w:basedOn w:val="Normal"/>
    <w:link w:val="TextoindependienteCar"/>
    <w:rsid w:val="00A040E7"/>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A040E7"/>
  </w:style>
  <w:style w:type="paragraph" w:customStyle="1" w:styleId="Prrafodelista2">
    <w:name w:val="Párrafo de lista2"/>
    <w:basedOn w:val="Normal"/>
    <w:rsid w:val="00A040E7"/>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A040E7"/>
    <w:pPr>
      <w:spacing w:after="0" w:line="240" w:lineRule="auto"/>
    </w:pPr>
    <w:rPr>
      <w:lang w:val="es-ES_tradnl"/>
    </w:rPr>
  </w:style>
  <w:style w:type="paragraph" w:styleId="Prrafodelista">
    <w:name w:val="List Paragraph"/>
    <w:basedOn w:val="Normal"/>
    <w:uiPriority w:val="34"/>
    <w:qFormat/>
    <w:rsid w:val="00A040E7"/>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040E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040E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040E7"/>
    <w:rPr>
      <w:vertAlign w:val="superscript"/>
    </w:rPr>
  </w:style>
  <w:style w:type="paragraph" w:styleId="Encabezado">
    <w:name w:val="header"/>
    <w:basedOn w:val="Normal"/>
    <w:link w:val="EncabezadoCar"/>
    <w:unhideWhenUsed/>
    <w:rsid w:val="00A040E7"/>
    <w:pPr>
      <w:tabs>
        <w:tab w:val="center" w:pos="4419"/>
        <w:tab w:val="right" w:pos="8838"/>
      </w:tabs>
      <w:spacing w:after="0" w:line="240" w:lineRule="auto"/>
    </w:pPr>
  </w:style>
  <w:style w:type="character" w:customStyle="1" w:styleId="EncabezadoCar">
    <w:name w:val="Encabezado Car"/>
    <w:basedOn w:val="Fuentedeprrafopredeter"/>
    <w:link w:val="Encabezado"/>
    <w:rsid w:val="00A040E7"/>
  </w:style>
  <w:style w:type="paragraph" w:styleId="Piedepgina">
    <w:name w:val="footer"/>
    <w:basedOn w:val="Normal"/>
    <w:link w:val="PiedepginaCar"/>
    <w:uiPriority w:val="99"/>
    <w:unhideWhenUsed/>
    <w:rsid w:val="00A04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0E7"/>
  </w:style>
  <w:style w:type="paragraph" w:styleId="Textodeglobo">
    <w:name w:val="Balloon Text"/>
    <w:basedOn w:val="Normal"/>
    <w:link w:val="TextodegloboCar"/>
    <w:uiPriority w:val="99"/>
    <w:semiHidden/>
    <w:unhideWhenUsed/>
    <w:rsid w:val="00023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D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040E7"/>
    <w:rPr>
      <w:rFonts w:ascii="Arial" w:hAnsi="Arial" w:cs="Arial"/>
      <w:sz w:val="24"/>
      <w:lang w:val="es-ES_tradnl" w:eastAsia="es-ES"/>
    </w:rPr>
  </w:style>
  <w:style w:type="paragraph" w:styleId="Textoindependiente">
    <w:name w:val="Body Text"/>
    <w:basedOn w:val="Normal"/>
    <w:link w:val="TextoindependienteCar"/>
    <w:rsid w:val="00A040E7"/>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A040E7"/>
  </w:style>
  <w:style w:type="paragraph" w:customStyle="1" w:styleId="Prrafodelista2">
    <w:name w:val="Párrafo de lista2"/>
    <w:basedOn w:val="Normal"/>
    <w:rsid w:val="00A040E7"/>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A040E7"/>
    <w:pPr>
      <w:spacing w:after="0" w:line="240" w:lineRule="auto"/>
    </w:pPr>
    <w:rPr>
      <w:lang w:val="es-ES_tradnl"/>
    </w:rPr>
  </w:style>
  <w:style w:type="paragraph" w:styleId="Prrafodelista">
    <w:name w:val="List Paragraph"/>
    <w:basedOn w:val="Normal"/>
    <w:uiPriority w:val="34"/>
    <w:qFormat/>
    <w:rsid w:val="00A040E7"/>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040E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040E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040E7"/>
    <w:rPr>
      <w:vertAlign w:val="superscript"/>
    </w:rPr>
  </w:style>
  <w:style w:type="paragraph" w:styleId="Encabezado">
    <w:name w:val="header"/>
    <w:basedOn w:val="Normal"/>
    <w:link w:val="EncabezadoCar"/>
    <w:unhideWhenUsed/>
    <w:rsid w:val="00A040E7"/>
    <w:pPr>
      <w:tabs>
        <w:tab w:val="center" w:pos="4419"/>
        <w:tab w:val="right" w:pos="8838"/>
      </w:tabs>
      <w:spacing w:after="0" w:line="240" w:lineRule="auto"/>
    </w:pPr>
  </w:style>
  <w:style w:type="character" w:customStyle="1" w:styleId="EncabezadoCar">
    <w:name w:val="Encabezado Car"/>
    <w:basedOn w:val="Fuentedeprrafopredeter"/>
    <w:link w:val="Encabezado"/>
    <w:rsid w:val="00A040E7"/>
  </w:style>
  <w:style w:type="paragraph" w:styleId="Piedepgina">
    <w:name w:val="footer"/>
    <w:basedOn w:val="Normal"/>
    <w:link w:val="PiedepginaCar"/>
    <w:uiPriority w:val="99"/>
    <w:unhideWhenUsed/>
    <w:rsid w:val="00A04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0E7"/>
  </w:style>
  <w:style w:type="paragraph" w:styleId="Textodeglobo">
    <w:name w:val="Balloon Text"/>
    <w:basedOn w:val="Normal"/>
    <w:link w:val="TextodegloboCar"/>
    <w:uiPriority w:val="99"/>
    <w:semiHidden/>
    <w:unhideWhenUsed/>
    <w:rsid w:val="00023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B9EF-4AF2-45CC-A8A8-9CE56F1E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4414</Words>
  <Characters>24283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ALONSO</cp:lastModifiedBy>
  <cp:revision>5</cp:revision>
  <cp:lastPrinted>2018-09-11T12:24:00Z</cp:lastPrinted>
  <dcterms:created xsi:type="dcterms:W3CDTF">2018-09-06T20:00:00Z</dcterms:created>
  <dcterms:modified xsi:type="dcterms:W3CDTF">2018-11-17T18:47:00Z</dcterms:modified>
</cp:coreProperties>
</file>