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3C6" w:rsidRPr="000C5AA2" w:rsidRDefault="003A03C6" w:rsidP="003A03C6">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val="es-ES" w:eastAsia="fr-FR"/>
        </w:rPr>
      </w:pPr>
      <w:r w:rsidRPr="000C5AA2">
        <w:rPr>
          <w:rFonts w:ascii="Arial" w:eastAsia="Calibri" w:hAnsi="Arial" w:cs="Arial"/>
          <w:color w:val="FF0000"/>
          <w:spacing w:val="-4"/>
          <w:sz w:val="18"/>
          <w:szCs w:val="18"/>
          <w:lang w:val="es-ES" w:eastAsia="fr-FR"/>
        </w:rPr>
        <w:t>El siguiente es el documento presentado por el Magistrado Ponente que sirvió de base para proferir la providencia dentro del presente proceso.  El contenido total y fiel de la decisión debe ser verificado en la respectiva Secretaría.</w:t>
      </w:r>
    </w:p>
    <w:p w:rsidR="003A03C6" w:rsidRPr="000C5AA2" w:rsidRDefault="003A03C6" w:rsidP="003A03C6">
      <w:pPr>
        <w:pStyle w:val="Sinespaciado"/>
        <w:jc w:val="both"/>
        <w:rPr>
          <w:rFonts w:ascii="Arial" w:eastAsia="Calibri" w:hAnsi="Arial" w:cs="Arial"/>
          <w:sz w:val="20"/>
          <w:szCs w:val="18"/>
        </w:rPr>
      </w:pPr>
    </w:p>
    <w:p w:rsidR="003A03C6" w:rsidRPr="003A03C6" w:rsidRDefault="003A03C6" w:rsidP="003A03C6">
      <w:pPr>
        <w:pStyle w:val="Sinespaciado"/>
        <w:jc w:val="both"/>
        <w:rPr>
          <w:rFonts w:ascii="Arial" w:eastAsia="Calibri" w:hAnsi="Arial" w:cs="Arial"/>
          <w:sz w:val="20"/>
          <w:szCs w:val="18"/>
        </w:rPr>
      </w:pPr>
      <w:r w:rsidRPr="003A03C6">
        <w:rPr>
          <w:rFonts w:ascii="Arial" w:eastAsia="Calibri" w:hAnsi="Arial" w:cs="Arial"/>
          <w:sz w:val="20"/>
          <w:szCs w:val="18"/>
        </w:rPr>
        <w:t>Providencia:</w:t>
      </w:r>
      <w:r w:rsidRPr="003A03C6">
        <w:rPr>
          <w:rFonts w:ascii="Arial" w:eastAsia="Calibri" w:hAnsi="Arial" w:cs="Arial"/>
          <w:sz w:val="20"/>
          <w:szCs w:val="18"/>
        </w:rPr>
        <w:tab/>
      </w:r>
      <w:r w:rsidRPr="003A03C6">
        <w:rPr>
          <w:rFonts w:ascii="Arial" w:eastAsia="Calibri" w:hAnsi="Arial" w:cs="Arial"/>
          <w:sz w:val="20"/>
          <w:szCs w:val="18"/>
        </w:rPr>
        <w:tab/>
        <w:t>Sentencia de Segunda Instancia DERROTA</w:t>
      </w:r>
    </w:p>
    <w:p w:rsidR="003A03C6" w:rsidRPr="003A03C6" w:rsidRDefault="003A03C6" w:rsidP="003A03C6">
      <w:pPr>
        <w:pStyle w:val="Sinespaciado"/>
        <w:jc w:val="both"/>
        <w:rPr>
          <w:rFonts w:ascii="Arial" w:eastAsia="Calibri" w:hAnsi="Arial" w:cs="Arial"/>
          <w:sz w:val="20"/>
          <w:szCs w:val="18"/>
        </w:rPr>
      </w:pPr>
      <w:r w:rsidRPr="003A03C6">
        <w:rPr>
          <w:rFonts w:ascii="Arial" w:eastAsia="Calibri" w:hAnsi="Arial" w:cs="Arial"/>
          <w:sz w:val="20"/>
          <w:szCs w:val="18"/>
        </w:rPr>
        <w:t>Radicación No:</w:t>
      </w:r>
      <w:r w:rsidRPr="003A03C6">
        <w:rPr>
          <w:rFonts w:ascii="Arial" w:eastAsia="Calibri" w:hAnsi="Arial" w:cs="Arial"/>
          <w:sz w:val="20"/>
          <w:szCs w:val="18"/>
        </w:rPr>
        <w:tab/>
      </w:r>
      <w:r w:rsidRPr="003A03C6">
        <w:rPr>
          <w:rFonts w:ascii="Arial" w:eastAsia="Calibri" w:hAnsi="Arial" w:cs="Arial"/>
          <w:sz w:val="20"/>
          <w:szCs w:val="18"/>
        </w:rPr>
        <w:tab/>
        <w:t>66001-31-05-005-2014-00663-01</w:t>
      </w:r>
    </w:p>
    <w:p w:rsidR="003A03C6" w:rsidRPr="003A03C6" w:rsidRDefault="003A03C6" w:rsidP="003A03C6">
      <w:pPr>
        <w:pStyle w:val="Sinespaciado"/>
        <w:jc w:val="both"/>
        <w:rPr>
          <w:rFonts w:ascii="Arial" w:eastAsia="Calibri" w:hAnsi="Arial" w:cs="Arial"/>
          <w:sz w:val="20"/>
          <w:szCs w:val="18"/>
        </w:rPr>
      </w:pPr>
      <w:r w:rsidRPr="003A03C6">
        <w:rPr>
          <w:rFonts w:ascii="Arial" w:eastAsia="Calibri" w:hAnsi="Arial" w:cs="Arial"/>
          <w:sz w:val="20"/>
          <w:szCs w:val="18"/>
        </w:rPr>
        <w:t>Proceso:</w:t>
      </w:r>
      <w:r w:rsidRPr="003A03C6">
        <w:rPr>
          <w:rFonts w:ascii="Arial" w:eastAsia="Calibri" w:hAnsi="Arial" w:cs="Arial"/>
          <w:sz w:val="20"/>
          <w:szCs w:val="18"/>
        </w:rPr>
        <w:tab/>
      </w:r>
      <w:r w:rsidRPr="003A03C6">
        <w:rPr>
          <w:rFonts w:ascii="Arial" w:eastAsia="Calibri" w:hAnsi="Arial" w:cs="Arial"/>
          <w:sz w:val="20"/>
          <w:szCs w:val="18"/>
        </w:rPr>
        <w:tab/>
        <w:t>Ordinario Laboral.</w:t>
      </w:r>
    </w:p>
    <w:p w:rsidR="003A03C6" w:rsidRPr="003A03C6" w:rsidRDefault="003A03C6" w:rsidP="003A03C6">
      <w:pPr>
        <w:pStyle w:val="Sinespaciado"/>
        <w:jc w:val="both"/>
        <w:rPr>
          <w:rFonts w:ascii="Arial" w:eastAsia="Calibri" w:hAnsi="Arial" w:cs="Arial"/>
          <w:sz w:val="20"/>
          <w:szCs w:val="18"/>
        </w:rPr>
      </w:pPr>
      <w:r w:rsidRPr="003A03C6">
        <w:rPr>
          <w:rFonts w:ascii="Arial" w:eastAsia="Calibri" w:hAnsi="Arial" w:cs="Arial"/>
          <w:sz w:val="20"/>
          <w:szCs w:val="18"/>
        </w:rPr>
        <w:t>Demandante:</w:t>
      </w:r>
      <w:r w:rsidRPr="003A03C6">
        <w:rPr>
          <w:rFonts w:ascii="Arial" w:eastAsia="Calibri" w:hAnsi="Arial" w:cs="Arial"/>
          <w:sz w:val="20"/>
          <w:szCs w:val="18"/>
        </w:rPr>
        <w:tab/>
      </w:r>
      <w:r w:rsidRPr="003A03C6">
        <w:rPr>
          <w:rFonts w:ascii="Arial" w:eastAsia="Calibri" w:hAnsi="Arial" w:cs="Arial"/>
          <w:sz w:val="20"/>
          <w:szCs w:val="18"/>
        </w:rPr>
        <w:tab/>
        <w:t xml:space="preserve">Carmen Elena Pescador Trejos </w:t>
      </w:r>
    </w:p>
    <w:p w:rsidR="003A03C6" w:rsidRPr="003A03C6" w:rsidRDefault="003A03C6" w:rsidP="003A03C6">
      <w:pPr>
        <w:pStyle w:val="Sinespaciado"/>
        <w:jc w:val="both"/>
        <w:rPr>
          <w:rFonts w:ascii="Arial" w:eastAsia="Calibri" w:hAnsi="Arial" w:cs="Arial"/>
          <w:sz w:val="20"/>
          <w:szCs w:val="18"/>
        </w:rPr>
      </w:pPr>
      <w:r w:rsidRPr="003A03C6">
        <w:rPr>
          <w:rFonts w:ascii="Arial" w:eastAsia="Calibri" w:hAnsi="Arial" w:cs="Arial"/>
          <w:sz w:val="20"/>
          <w:szCs w:val="18"/>
        </w:rPr>
        <w:t>Vinculada</w:t>
      </w:r>
      <w:r w:rsidRPr="003A03C6">
        <w:rPr>
          <w:rFonts w:ascii="Arial" w:eastAsia="Calibri" w:hAnsi="Arial" w:cs="Arial"/>
          <w:sz w:val="20"/>
          <w:szCs w:val="18"/>
        </w:rPr>
        <w:tab/>
      </w:r>
      <w:r w:rsidRPr="003A03C6">
        <w:rPr>
          <w:rFonts w:ascii="Arial" w:eastAsia="Calibri" w:hAnsi="Arial" w:cs="Arial"/>
          <w:sz w:val="20"/>
          <w:szCs w:val="18"/>
        </w:rPr>
        <w:tab/>
        <w:t>Laura Sofía Muriel</w:t>
      </w:r>
    </w:p>
    <w:p w:rsidR="003A03C6" w:rsidRPr="003A03C6" w:rsidRDefault="003A03C6" w:rsidP="003A03C6">
      <w:pPr>
        <w:pStyle w:val="Sinespaciado"/>
        <w:jc w:val="both"/>
        <w:rPr>
          <w:rFonts w:ascii="Arial" w:eastAsia="Calibri" w:hAnsi="Arial" w:cs="Arial"/>
          <w:sz w:val="20"/>
          <w:szCs w:val="18"/>
        </w:rPr>
      </w:pPr>
      <w:r w:rsidRPr="003A03C6">
        <w:rPr>
          <w:rFonts w:ascii="Arial" w:eastAsia="Calibri" w:hAnsi="Arial" w:cs="Arial"/>
          <w:sz w:val="20"/>
          <w:szCs w:val="18"/>
        </w:rPr>
        <w:t>Demandado:</w:t>
      </w:r>
      <w:r w:rsidRPr="003A03C6">
        <w:rPr>
          <w:rFonts w:ascii="Arial" w:eastAsia="Calibri" w:hAnsi="Arial" w:cs="Arial"/>
          <w:sz w:val="20"/>
          <w:szCs w:val="18"/>
        </w:rPr>
        <w:tab/>
      </w:r>
      <w:r w:rsidRPr="003A03C6">
        <w:rPr>
          <w:rFonts w:ascii="Arial" w:eastAsia="Calibri" w:hAnsi="Arial" w:cs="Arial"/>
          <w:sz w:val="20"/>
          <w:szCs w:val="18"/>
        </w:rPr>
        <w:tab/>
        <w:t>Administradora Colombiana de Pensiones</w:t>
      </w:r>
    </w:p>
    <w:p w:rsidR="003A03C6" w:rsidRPr="005A4062" w:rsidRDefault="003A03C6" w:rsidP="003A03C6">
      <w:pPr>
        <w:pStyle w:val="Sinespaciado"/>
        <w:jc w:val="both"/>
        <w:rPr>
          <w:rFonts w:ascii="Arial" w:eastAsia="Calibri" w:hAnsi="Arial" w:cs="Arial"/>
          <w:sz w:val="20"/>
          <w:szCs w:val="18"/>
        </w:rPr>
      </w:pPr>
      <w:r w:rsidRPr="005A4062">
        <w:rPr>
          <w:rFonts w:ascii="Arial" w:eastAsia="Calibri" w:hAnsi="Arial" w:cs="Arial"/>
          <w:sz w:val="20"/>
          <w:szCs w:val="18"/>
        </w:rPr>
        <w:t>Juzgado de Origen:</w:t>
      </w:r>
      <w:r w:rsidRPr="005A4062">
        <w:rPr>
          <w:rFonts w:ascii="Arial" w:eastAsia="Calibri" w:hAnsi="Arial" w:cs="Arial"/>
          <w:sz w:val="20"/>
          <w:szCs w:val="18"/>
        </w:rPr>
        <w:tab/>
        <w:t>Tercero</w:t>
      </w:r>
      <w:r>
        <w:rPr>
          <w:rFonts w:ascii="Arial" w:eastAsia="Calibri" w:hAnsi="Arial" w:cs="Arial"/>
          <w:sz w:val="20"/>
          <w:szCs w:val="18"/>
        </w:rPr>
        <w:t xml:space="preserve"> Quinto</w:t>
      </w:r>
      <w:r w:rsidRPr="005A4062">
        <w:rPr>
          <w:rFonts w:ascii="Arial" w:eastAsia="Calibri" w:hAnsi="Arial" w:cs="Arial"/>
          <w:sz w:val="20"/>
          <w:szCs w:val="18"/>
        </w:rPr>
        <w:t xml:space="preserve"> del Circuito de Pereira </w:t>
      </w:r>
    </w:p>
    <w:p w:rsidR="003A03C6" w:rsidRPr="000C5AA2" w:rsidRDefault="003A03C6" w:rsidP="003A03C6">
      <w:pPr>
        <w:pStyle w:val="Sinespaciado"/>
        <w:jc w:val="both"/>
        <w:rPr>
          <w:rFonts w:ascii="Arial" w:eastAsia="Calibri" w:hAnsi="Arial" w:cs="Arial"/>
          <w:sz w:val="20"/>
          <w:szCs w:val="18"/>
        </w:rPr>
      </w:pPr>
    </w:p>
    <w:p w:rsidR="003A03C6" w:rsidRPr="000C5AA2" w:rsidRDefault="003A03C6" w:rsidP="003A03C6">
      <w:pPr>
        <w:pStyle w:val="Sinespaciado"/>
        <w:ind w:hanging="3"/>
        <w:jc w:val="both"/>
        <w:rPr>
          <w:rFonts w:ascii="Arial" w:hAnsi="Arial" w:cs="Arial"/>
          <w:b/>
          <w:sz w:val="20"/>
          <w:szCs w:val="20"/>
          <w:lang w:val="es-CO"/>
        </w:rPr>
      </w:pPr>
      <w:r w:rsidRPr="000C5AA2">
        <w:rPr>
          <w:rFonts w:ascii="Arial" w:hAnsi="Arial" w:cs="Arial"/>
          <w:b/>
          <w:sz w:val="20"/>
          <w:szCs w:val="20"/>
          <w:lang w:val="es-CO"/>
        </w:rPr>
        <w:t>TEMAS:</w:t>
      </w:r>
      <w:r w:rsidRPr="000C5AA2">
        <w:rPr>
          <w:rFonts w:ascii="Arial" w:hAnsi="Arial" w:cs="Arial"/>
          <w:b/>
          <w:sz w:val="20"/>
          <w:szCs w:val="20"/>
          <w:lang w:val="es-CO"/>
        </w:rPr>
        <w:tab/>
      </w:r>
      <w:r w:rsidR="00675578" w:rsidRPr="00693D86">
        <w:rPr>
          <w:rFonts w:ascii="Arial" w:hAnsi="Arial" w:cs="Arial"/>
          <w:b/>
          <w:sz w:val="20"/>
          <w:szCs w:val="20"/>
          <w:lang w:val="es-CO"/>
        </w:rPr>
        <w:t xml:space="preserve">PENSIÓN DE SOBREVIVIENTES / CONDICIÓN MÁS BENEFICIOSA / </w:t>
      </w:r>
      <w:r w:rsidR="00675578">
        <w:rPr>
          <w:rFonts w:ascii="Arial" w:hAnsi="Arial" w:cs="Arial"/>
          <w:b/>
          <w:sz w:val="20"/>
          <w:szCs w:val="20"/>
          <w:lang w:val="es-CO"/>
        </w:rPr>
        <w:t xml:space="preserve">LIMITANTES / </w:t>
      </w:r>
      <w:r w:rsidR="00675578" w:rsidRPr="00693D86">
        <w:rPr>
          <w:rFonts w:ascii="Arial" w:hAnsi="Arial" w:cs="Arial"/>
          <w:b/>
          <w:sz w:val="20"/>
          <w:szCs w:val="20"/>
          <w:lang w:val="es-CO"/>
        </w:rPr>
        <w:t>TEMPORALIDAD</w:t>
      </w:r>
      <w:r w:rsidRPr="000C5AA2">
        <w:rPr>
          <w:rFonts w:ascii="Arial" w:hAnsi="Arial" w:cs="Arial"/>
          <w:b/>
          <w:sz w:val="20"/>
          <w:szCs w:val="20"/>
          <w:lang w:val="es-CO"/>
        </w:rPr>
        <w:t>.</w:t>
      </w:r>
    </w:p>
    <w:p w:rsidR="003A03C6" w:rsidRPr="00D81863" w:rsidRDefault="003A03C6" w:rsidP="00D81863">
      <w:pPr>
        <w:pStyle w:val="Sinespaciado"/>
        <w:jc w:val="both"/>
        <w:rPr>
          <w:rFonts w:ascii="Arial" w:eastAsia="Calibri" w:hAnsi="Arial" w:cs="Arial"/>
          <w:sz w:val="20"/>
          <w:szCs w:val="18"/>
        </w:rPr>
      </w:pPr>
    </w:p>
    <w:p w:rsidR="00D81863" w:rsidRPr="00D81863" w:rsidRDefault="00D81863" w:rsidP="00D81863">
      <w:pPr>
        <w:pStyle w:val="Sinespaciado"/>
        <w:jc w:val="both"/>
        <w:rPr>
          <w:rFonts w:ascii="Arial" w:eastAsia="Calibri" w:hAnsi="Arial" w:cs="Arial"/>
          <w:sz w:val="20"/>
          <w:szCs w:val="18"/>
        </w:rPr>
      </w:pPr>
      <w:r w:rsidRPr="00D81863">
        <w:rPr>
          <w:rFonts w:ascii="Arial" w:eastAsia="Calibri" w:hAnsi="Arial" w:cs="Arial"/>
          <w:sz w:val="20"/>
          <w:szCs w:val="18"/>
        </w:rPr>
        <w:t xml:space="preserve">… </w:t>
      </w:r>
      <w:r w:rsidRPr="00D81863">
        <w:rPr>
          <w:rFonts w:ascii="Arial" w:eastAsia="Calibri" w:hAnsi="Arial" w:cs="Arial"/>
          <w:sz w:val="20"/>
          <w:szCs w:val="18"/>
        </w:rPr>
        <w:t>se abre paso a aplicar el principio de la condición más beneficiosa, lo que implica que se pueda verificar si se cumple los requisitos contemplados en la norma anterior para acceder a la prestación reclamada.</w:t>
      </w:r>
    </w:p>
    <w:p w:rsidR="00D81863" w:rsidRPr="00D81863" w:rsidRDefault="00D81863" w:rsidP="00D81863">
      <w:pPr>
        <w:pStyle w:val="Sinespaciado"/>
        <w:jc w:val="both"/>
        <w:rPr>
          <w:rFonts w:ascii="Arial" w:eastAsia="Calibri" w:hAnsi="Arial" w:cs="Arial"/>
          <w:sz w:val="20"/>
          <w:szCs w:val="18"/>
        </w:rPr>
      </w:pPr>
    </w:p>
    <w:p w:rsidR="00D81863" w:rsidRPr="00D81863" w:rsidRDefault="00D81863" w:rsidP="00D81863">
      <w:pPr>
        <w:pStyle w:val="Sinespaciado"/>
        <w:jc w:val="both"/>
        <w:rPr>
          <w:rFonts w:ascii="Arial" w:eastAsia="Calibri" w:hAnsi="Arial" w:cs="Arial"/>
          <w:sz w:val="20"/>
          <w:szCs w:val="18"/>
        </w:rPr>
      </w:pPr>
      <w:r w:rsidRPr="00D81863">
        <w:rPr>
          <w:rFonts w:ascii="Arial" w:eastAsia="Calibri" w:hAnsi="Arial" w:cs="Arial"/>
          <w:sz w:val="20"/>
          <w:szCs w:val="18"/>
        </w:rPr>
        <w:t>Sin embargo, este principio tiene dos limitantes en su aplicación, según lo  sentado por el órgano de cierre de esta especialidad, que comparte la Sala Mayoritaria.</w:t>
      </w:r>
    </w:p>
    <w:p w:rsidR="00D81863" w:rsidRPr="00D81863" w:rsidRDefault="00D81863" w:rsidP="00D81863">
      <w:pPr>
        <w:pStyle w:val="Sinespaciado"/>
        <w:jc w:val="both"/>
        <w:rPr>
          <w:rFonts w:ascii="Arial" w:eastAsia="Calibri" w:hAnsi="Arial" w:cs="Arial"/>
          <w:sz w:val="20"/>
          <w:szCs w:val="18"/>
        </w:rPr>
      </w:pPr>
    </w:p>
    <w:p w:rsidR="00D81863" w:rsidRPr="00D81863" w:rsidRDefault="00D81863" w:rsidP="00D81863">
      <w:pPr>
        <w:pStyle w:val="Sinespaciado"/>
        <w:jc w:val="both"/>
        <w:rPr>
          <w:rFonts w:ascii="Arial" w:eastAsia="Calibri" w:hAnsi="Arial" w:cs="Arial"/>
          <w:sz w:val="20"/>
          <w:szCs w:val="18"/>
        </w:rPr>
      </w:pPr>
      <w:r w:rsidRPr="00D81863">
        <w:rPr>
          <w:rFonts w:ascii="Arial" w:eastAsia="Calibri" w:hAnsi="Arial" w:cs="Arial"/>
          <w:sz w:val="20"/>
          <w:szCs w:val="18"/>
        </w:rPr>
        <w:t xml:space="preserve">La primera, consistente en que no se permite al juzgador aplicar a un caso en particular cualquier norma legal que en el pasado haya regulado el asunto, sino la norma inmediatamente anterior a la vigente en el momento en que se estructuró el derecho. </w:t>
      </w:r>
      <w:r w:rsidRPr="00D81863">
        <w:rPr>
          <w:rFonts w:ascii="Arial" w:eastAsia="Calibri" w:hAnsi="Arial" w:cs="Arial"/>
          <w:sz w:val="20"/>
          <w:szCs w:val="18"/>
        </w:rPr>
        <w:t>(…)</w:t>
      </w:r>
    </w:p>
    <w:p w:rsidR="00D81863" w:rsidRPr="00D81863" w:rsidRDefault="00D81863" w:rsidP="00D81863">
      <w:pPr>
        <w:pStyle w:val="Sinespaciado"/>
        <w:jc w:val="both"/>
        <w:rPr>
          <w:rFonts w:ascii="Arial" w:eastAsia="Calibri" w:hAnsi="Arial" w:cs="Arial"/>
          <w:sz w:val="20"/>
          <w:szCs w:val="18"/>
        </w:rPr>
      </w:pPr>
    </w:p>
    <w:p w:rsidR="00D81863" w:rsidRPr="00D81863" w:rsidRDefault="00D81863" w:rsidP="00D81863">
      <w:pPr>
        <w:pStyle w:val="Sinespaciado"/>
        <w:jc w:val="both"/>
        <w:rPr>
          <w:rFonts w:ascii="Arial" w:eastAsia="Calibri" w:hAnsi="Arial" w:cs="Arial"/>
          <w:sz w:val="20"/>
          <w:szCs w:val="18"/>
        </w:rPr>
      </w:pPr>
      <w:r w:rsidRPr="00D81863">
        <w:rPr>
          <w:rFonts w:ascii="Arial" w:eastAsia="Calibri" w:hAnsi="Arial" w:cs="Arial"/>
          <w:sz w:val="20"/>
          <w:szCs w:val="18"/>
        </w:rPr>
        <w:t>La segunda limitante, refiere a la temporalidad, que da cuenta que el citado principio no es ilimitado,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–muerte-, se presente dentro de los 3 años siguientes a la entrada en vigencia de la Ley 797 de 2003 -29-01-2003 al 29-01-2006-.</w:t>
      </w:r>
    </w:p>
    <w:p w:rsidR="003A03C6" w:rsidRDefault="003A03C6" w:rsidP="003A03C6">
      <w:pPr>
        <w:pStyle w:val="Sinespaciado"/>
        <w:jc w:val="both"/>
        <w:rPr>
          <w:rFonts w:ascii="Arial" w:eastAsia="Calibri" w:hAnsi="Arial" w:cs="Arial"/>
          <w:sz w:val="20"/>
          <w:szCs w:val="18"/>
        </w:rPr>
      </w:pPr>
    </w:p>
    <w:p w:rsidR="00AB711C" w:rsidRPr="00AB711C" w:rsidRDefault="00AB711C" w:rsidP="003A03C6">
      <w:pPr>
        <w:pStyle w:val="Sinespaciado"/>
        <w:jc w:val="both"/>
        <w:rPr>
          <w:rFonts w:ascii="Arial" w:eastAsia="Calibri" w:hAnsi="Arial" w:cs="Arial"/>
          <w:b/>
          <w:color w:val="FF0000"/>
          <w:sz w:val="20"/>
          <w:szCs w:val="18"/>
        </w:rPr>
      </w:pPr>
      <w:r w:rsidRPr="00AB711C">
        <w:rPr>
          <w:rFonts w:ascii="Arial" w:eastAsia="Calibri" w:hAnsi="Arial" w:cs="Arial"/>
          <w:b/>
          <w:color w:val="FF0000"/>
          <w:sz w:val="20"/>
          <w:szCs w:val="18"/>
        </w:rPr>
        <w:t>SALVAMENTO DE VOTO: DOCTORA ANA LUCÍA CAICEDO CALDERÓN</w:t>
      </w:r>
    </w:p>
    <w:p w:rsidR="00D81863" w:rsidRDefault="00D81863" w:rsidP="003A03C6">
      <w:pPr>
        <w:pStyle w:val="Sinespaciado"/>
        <w:jc w:val="both"/>
        <w:rPr>
          <w:rFonts w:ascii="Arial" w:eastAsia="Calibri" w:hAnsi="Arial" w:cs="Arial"/>
          <w:sz w:val="20"/>
          <w:szCs w:val="18"/>
        </w:rPr>
      </w:pPr>
    </w:p>
    <w:p w:rsidR="00AB711C" w:rsidRPr="00AB711C" w:rsidRDefault="00AB711C" w:rsidP="00AB711C">
      <w:pPr>
        <w:pStyle w:val="Sinespaciado"/>
        <w:jc w:val="both"/>
        <w:rPr>
          <w:rFonts w:ascii="Arial" w:eastAsia="Calibri" w:hAnsi="Arial" w:cs="Arial"/>
          <w:sz w:val="20"/>
          <w:szCs w:val="18"/>
        </w:rPr>
      </w:pPr>
      <w:r w:rsidRPr="00AB711C">
        <w:rPr>
          <w:rFonts w:ascii="Arial" w:eastAsia="Calibri" w:hAnsi="Arial" w:cs="Arial"/>
          <w:sz w:val="20"/>
          <w:szCs w:val="18"/>
        </w:rPr>
        <w:t xml:space="preserve">La posición de las mayorías no descarta la procedencia del principio de la condición más beneficiosa para la concesión de la pensión de sobrevivencia o invalidez, según el caso, siempre y cuando se aplique la norma inmediatamente anterior a la fecha del siniestro, tal como lo pregona la Sala de Casación Laboral de la Corte Suprema de Justicia, pero además, esta Sala Mayoritaria ha aceptado la incorporación del nuevo requisito señalado en la sentencia SL4650 -radicado No. 45262 del 25 de enero de 2017- para la aplicación de la condición más beneficiosa en el transito legislativo de la Ley 100 de 1993 (original) a la Ley 797 de 2003, en la que se impuso una limitación temporal a la aplicación del referido principio, en el sentido de que la muerte ocurrir en los tres (3) años siguientes a la entrada en vigencia de dicha norma, esto es, entre el 29 de enero de 2003 y el 29 de enero de 2006. </w:t>
      </w:r>
    </w:p>
    <w:p w:rsidR="00AB711C" w:rsidRPr="00AB711C" w:rsidRDefault="00AB711C" w:rsidP="00AB711C">
      <w:pPr>
        <w:pStyle w:val="Sinespaciado"/>
        <w:jc w:val="both"/>
        <w:rPr>
          <w:rFonts w:ascii="Arial" w:eastAsia="Calibri" w:hAnsi="Arial" w:cs="Arial"/>
          <w:sz w:val="20"/>
          <w:szCs w:val="18"/>
        </w:rPr>
      </w:pPr>
      <w:r w:rsidRPr="00AB711C">
        <w:rPr>
          <w:rFonts w:ascii="Arial" w:eastAsia="Calibri" w:hAnsi="Arial" w:cs="Arial"/>
          <w:sz w:val="20"/>
          <w:szCs w:val="18"/>
        </w:rPr>
        <w:t xml:space="preserve">  </w:t>
      </w:r>
    </w:p>
    <w:p w:rsidR="00AB711C" w:rsidRPr="000C5AA2" w:rsidRDefault="00AB711C" w:rsidP="00AB711C">
      <w:pPr>
        <w:pStyle w:val="Sinespaciado"/>
        <w:jc w:val="both"/>
        <w:rPr>
          <w:rFonts w:ascii="Arial" w:eastAsia="Calibri" w:hAnsi="Arial" w:cs="Arial"/>
          <w:sz w:val="20"/>
          <w:szCs w:val="18"/>
        </w:rPr>
      </w:pPr>
      <w:r w:rsidRPr="00AB711C">
        <w:rPr>
          <w:rFonts w:ascii="Arial" w:eastAsia="Calibri" w:hAnsi="Arial" w:cs="Arial"/>
          <w:sz w:val="20"/>
          <w:szCs w:val="18"/>
        </w:rPr>
        <w:t>No obstante, atendiendo la interpretación de la Corte Constitucional sobre la materia, la cual resulta más favorable para la beneficiaria, a mi juicio es posible el salto de la Ley 797 de 2003 a los antiguos reglamentos del ISS (hoy Colpensiones), en la medida en que el artículo 53 de la Constitución no restringe la aplicación de la condición más beneficiosa a sólo dos normas aplicables al caso, como lo he venido señalando de tiempo atrás, a la luz de la interpretación que al respecto tiene la Corte Constitucional, tal como está en la sentencia T-566 de 2014</w:t>
      </w:r>
      <w:r>
        <w:rPr>
          <w:rFonts w:ascii="Arial" w:eastAsia="Calibri" w:hAnsi="Arial" w:cs="Arial"/>
          <w:sz w:val="20"/>
          <w:szCs w:val="18"/>
        </w:rPr>
        <w:t>…</w:t>
      </w:r>
    </w:p>
    <w:p w:rsidR="003A03C6" w:rsidRDefault="003A03C6" w:rsidP="003A03C6">
      <w:pPr>
        <w:autoSpaceDE w:val="0"/>
        <w:autoSpaceDN w:val="0"/>
        <w:adjustRightInd w:val="0"/>
        <w:contextualSpacing/>
        <w:jc w:val="both"/>
        <w:rPr>
          <w:rFonts w:ascii="Arial" w:hAnsi="Arial" w:cs="Arial"/>
          <w:sz w:val="20"/>
        </w:rPr>
      </w:pPr>
    </w:p>
    <w:p w:rsidR="00AB711C" w:rsidRDefault="00AA34A4" w:rsidP="003A03C6">
      <w:pPr>
        <w:autoSpaceDE w:val="0"/>
        <w:autoSpaceDN w:val="0"/>
        <w:adjustRightInd w:val="0"/>
        <w:contextualSpacing/>
        <w:jc w:val="both"/>
        <w:rPr>
          <w:rFonts w:ascii="Arial" w:hAnsi="Arial" w:cs="Arial"/>
          <w:sz w:val="20"/>
        </w:rPr>
      </w:pPr>
      <w:r>
        <w:rPr>
          <w:rFonts w:ascii="Arial" w:hAnsi="Arial" w:cs="Arial"/>
          <w:sz w:val="20"/>
        </w:rPr>
        <w:t>&lt;</w:t>
      </w:r>
    </w:p>
    <w:p w:rsidR="00AB711C" w:rsidRPr="000C5AA2" w:rsidRDefault="00AB711C" w:rsidP="003A03C6">
      <w:pPr>
        <w:autoSpaceDE w:val="0"/>
        <w:autoSpaceDN w:val="0"/>
        <w:adjustRightInd w:val="0"/>
        <w:contextualSpacing/>
        <w:jc w:val="both"/>
        <w:rPr>
          <w:rFonts w:ascii="Arial" w:hAnsi="Arial" w:cs="Arial"/>
          <w:sz w:val="20"/>
        </w:rPr>
      </w:pPr>
    </w:p>
    <w:p w:rsidR="008A4A34" w:rsidRDefault="008A4A34" w:rsidP="008A4A34">
      <w:pPr>
        <w:spacing w:line="240" w:lineRule="atLeast"/>
        <w:jc w:val="center"/>
        <w:rPr>
          <w:rFonts w:ascii="Arial" w:hAnsi="Arial" w:cs="Arial"/>
          <w:kern w:val="28"/>
          <w:szCs w:val="24"/>
          <w:lang w:val="es-ES"/>
        </w:rPr>
      </w:pPr>
      <w:r w:rsidRPr="00764878">
        <w:rPr>
          <w:rFonts w:ascii="Edwardian Script ITC" w:hAnsi="Edwardian Script ITC"/>
          <w:noProof/>
          <w:sz w:val="44"/>
          <w:szCs w:val="44"/>
          <w:lang w:val="es-ES"/>
        </w:rPr>
        <w:drawing>
          <wp:anchor distT="0" distB="0" distL="114300" distR="114300" simplePos="0" relativeHeight="251658240" behindDoc="0" locked="0" layoutInCell="1" allowOverlap="1">
            <wp:simplePos x="0" y="0"/>
            <wp:positionH relativeFrom="column">
              <wp:posOffset>2533125</wp:posOffset>
            </wp:positionH>
            <wp:positionV relativeFrom="paragraph">
              <wp:posOffset>-3341</wp:posOffset>
            </wp:positionV>
            <wp:extent cx="676800" cy="658800"/>
            <wp:effectExtent l="0" t="0" r="9525"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800" cy="65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03C6" w:rsidRDefault="003A03C6" w:rsidP="008A4A34">
      <w:pPr>
        <w:spacing w:line="240" w:lineRule="atLeast"/>
        <w:jc w:val="center"/>
        <w:rPr>
          <w:rFonts w:ascii="Arial" w:hAnsi="Arial" w:cs="Arial"/>
          <w:kern w:val="28"/>
          <w:szCs w:val="24"/>
          <w:lang w:val="es-ES"/>
        </w:rPr>
      </w:pPr>
    </w:p>
    <w:p w:rsidR="003A03C6" w:rsidRDefault="003A03C6" w:rsidP="008A4A34">
      <w:pPr>
        <w:spacing w:line="240" w:lineRule="atLeast"/>
        <w:jc w:val="center"/>
        <w:rPr>
          <w:rFonts w:ascii="Arial" w:hAnsi="Arial" w:cs="Arial"/>
          <w:kern w:val="28"/>
          <w:szCs w:val="24"/>
          <w:lang w:val="es-ES"/>
        </w:rPr>
      </w:pPr>
    </w:p>
    <w:p w:rsidR="003A03C6" w:rsidRDefault="003A03C6" w:rsidP="008A4A34">
      <w:pPr>
        <w:spacing w:line="240" w:lineRule="atLeast"/>
        <w:jc w:val="center"/>
        <w:rPr>
          <w:rFonts w:ascii="Arial" w:hAnsi="Arial" w:cs="Arial"/>
          <w:kern w:val="28"/>
          <w:szCs w:val="24"/>
          <w:lang w:val="es-ES"/>
        </w:rPr>
      </w:pPr>
    </w:p>
    <w:p w:rsidR="008A4A34" w:rsidRPr="003A03C6" w:rsidRDefault="008A4A34" w:rsidP="008A4A34">
      <w:pPr>
        <w:spacing w:line="240" w:lineRule="atLeast"/>
        <w:jc w:val="center"/>
        <w:rPr>
          <w:rFonts w:ascii="Arial" w:hAnsi="Arial" w:cs="Arial"/>
          <w:b/>
          <w:kern w:val="28"/>
          <w:szCs w:val="24"/>
          <w:lang w:val="es-ES"/>
        </w:rPr>
      </w:pPr>
      <w:r w:rsidRPr="003A03C6">
        <w:rPr>
          <w:rFonts w:ascii="Arial" w:hAnsi="Arial" w:cs="Arial"/>
          <w:b/>
          <w:kern w:val="28"/>
          <w:szCs w:val="24"/>
          <w:lang w:val="es-ES"/>
        </w:rPr>
        <w:t>RAMA JUDICIAL DEL PODER PÚBLICO</w:t>
      </w:r>
    </w:p>
    <w:p w:rsidR="008A4A34" w:rsidRPr="003A03C6" w:rsidRDefault="008A4A34" w:rsidP="008A4A34">
      <w:pPr>
        <w:widowControl w:val="0"/>
        <w:spacing w:line="360" w:lineRule="auto"/>
        <w:jc w:val="center"/>
        <w:rPr>
          <w:rFonts w:ascii="Arial" w:hAnsi="Arial" w:cs="Arial"/>
          <w:b/>
          <w:kern w:val="28"/>
          <w:szCs w:val="24"/>
          <w:lang w:val="es-ES"/>
        </w:rPr>
      </w:pPr>
      <w:r w:rsidRPr="003A03C6">
        <w:rPr>
          <w:rFonts w:ascii="Arial" w:hAnsi="Arial" w:cs="Arial"/>
          <w:b/>
          <w:kern w:val="28"/>
          <w:szCs w:val="24"/>
          <w:lang w:val="es-ES"/>
        </w:rPr>
        <w:t>TRIBUNAL SUPERIOR DEL DISTRITO JUDICIAL DE PEREIRA</w:t>
      </w:r>
    </w:p>
    <w:p w:rsidR="008A4A34" w:rsidRPr="003A03C6" w:rsidRDefault="008A4A34" w:rsidP="008A4A34">
      <w:pPr>
        <w:keepNext/>
        <w:spacing w:line="360" w:lineRule="auto"/>
        <w:jc w:val="center"/>
        <w:rPr>
          <w:rFonts w:ascii="Arial" w:hAnsi="Arial" w:cs="Arial"/>
          <w:b/>
          <w:bCs/>
          <w:szCs w:val="24"/>
        </w:rPr>
      </w:pPr>
      <w:r w:rsidRPr="003A03C6">
        <w:rPr>
          <w:rFonts w:ascii="Arial" w:hAnsi="Arial" w:cs="Arial"/>
          <w:b/>
          <w:bCs/>
          <w:szCs w:val="24"/>
        </w:rPr>
        <w:t xml:space="preserve">SALA </w:t>
      </w:r>
      <w:r w:rsidR="00EE1E4A" w:rsidRPr="003A03C6">
        <w:rPr>
          <w:rFonts w:ascii="Arial" w:hAnsi="Arial" w:cs="Arial"/>
          <w:b/>
          <w:bCs/>
          <w:szCs w:val="24"/>
        </w:rPr>
        <w:t>PRIMERA</w:t>
      </w:r>
      <w:r w:rsidRPr="003A03C6">
        <w:rPr>
          <w:rFonts w:ascii="Arial" w:hAnsi="Arial" w:cs="Arial"/>
          <w:b/>
          <w:bCs/>
          <w:szCs w:val="24"/>
        </w:rPr>
        <w:t xml:space="preserve"> DE DECISIÓN LABORAL</w:t>
      </w:r>
    </w:p>
    <w:p w:rsidR="008A4A34" w:rsidRPr="003A03C6" w:rsidRDefault="008A4A34" w:rsidP="003A03C6">
      <w:pPr>
        <w:widowControl w:val="0"/>
        <w:jc w:val="both"/>
        <w:rPr>
          <w:rFonts w:ascii="Arial" w:hAnsi="Arial" w:cs="Arial"/>
          <w:bCs/>
          <w:kern w:val="28"/>
          <w:szCs w:val="24"/>
        </w:rPr>
      </w:pPr>
    </w:p>
    <w:p w:rsidR="008A4A34" w:rsidRDefault="008A4A34" w:rsidP="008A4A34">
      <w:pPr>
        <w:jc w:val="center"/>
        <w:rPr>
          <w:rFonts w:ascii="Arial" w:hAnsi="Arial" w:cs="Arial"/>
          <w:b/>
          <w:bCs/>
          <w:color w:val="000000"/>
          <w:kern w:val="28"/>
          <w:szCs w:val="24"/>
          <w:lang w:val="es-ES"/>
        </w:rPr>
      </w:pPr>
      <w:r w:rsidRPr="008A4A34">
        <w:rPr>
          <w:rFonts w:ascii="Arial" w:hAnsi="Arial" w:cs="Arial"/>
          <w:b/>
          <w:color w:val="000000"/>
          <w:szCs w:val="24"/>
          <w:lang w:val="es-ES"/>
        </w:rPr>
        <w:t>MAGISTRADA PONENTE:</w:t>
      </w:r>
      <w:r>
        <w:rPr>
          <w:rFonts w:ascii="Arial" w:hAnsi="Arial" w:cs="Arial"/>
          <w:color w:val="000000"/>
          <w:szCs w:val="24"/>
          <w:lang w:val="es-ES"/>
        </w:rPr>
        <w:t xml:space="preserve"> </w:t>
      </w:r>
      <w:r w:rsidRPr="00764878">
        <w:rPr>
          <w:rFonts w:ascii="Arial" w:hAnsi="Arial" w:cs="Arial"/>
          <w:b/>
          <w:bCs/>
          <w:color w:val="000000"/>
          <w:kern w:val="28"/>
          <w:szCs w:val="24"/>
          <w:lang w:val="es-ES"/>
        </w:rPr>
        <w:t>OLGA LUCÍA HOYOS SEPÚLVEDA</w:t>
      </w:r>
    </w:p>
    <w:p w:rsidR="008A4A34" w:rsidRPr="003A03C6" w:rsidRDefault="008A4A34" w:rsidP="003A03C6">
      <w:pPr>
        <w:widowControl w:val="0"/>
        <w:jc w:val="both"/>
        <w:rPr>
          <w:rFonts w:ascii="Arial" w:hAnsi="Arial" w:cs="Arial"/>
          <w:bCs/>
          <w:kern w:val="28"/>
          <w:szCs w:val="24"/>
        </w:rPr>
      </w:pPr>
    </w:p>
    <w:p w:rsidR="008A4A34" w:rsidRPr="003A03C6" w:rsidRDefault="008A4A34" w:rsidP="003A03C6">
      <w:pPr>
        <w:widowControl w:val="0"/>
        <w:jc w:val="both"/>
        <w:rPr>
          <w:rFonts w:ascii="Arial" w:hAnsi="Arial" w:cs="Arial"/>
          <w:bCs/>
          <w:kern w:val="28"/>
          <w:szCs w:val="24"/>
        </w:rPr>
      </w:pPr>
    </w:p>
    <w:p w:rsidR="00C94746" w:rsidRPr="00AD7995" w:rsidRDefault="00C94746" w:rsidP="00C94746">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905497">
        <w:rPr>
          <w:rFonts w:ascii="Arial" w:eastAsia="Calibri" w:hAnsi="Arial" w:cs="Arial"/>
          <w:szCs w:val="24"/>
          <w:lang w:val="es-CO" w:eastAsia="en-US"/>
        </w:rPr>
        <w:t xml:space="preserve">nueve </w:t>
      </w:r>
      <w:r w:rsidR="00905497" w:rsidRPr="00AC486E">
        <w:rPr>
          <w:rFonts w:ascii="Arial" w:eastAsia="Calibri" w:hAnsi="Arial" w:cs="Arial"/>
          <w:szCs w:val="24"/>
          <w:lang w:val="es-CO" w:eastAsia="en-US"/>
        </w:rPr>
        <w:t>(</w:t>
      </w:r>
      <w:r w:rsidR="00905497">
        <w:rPr>
          <w:rFonts w:ascii="Arial" w:eastAsia="Calibri" w:hAnsi="Arial" w:cs="Arial"/>
          <w:szCs w:val="24"/>
          <w:lang w:val="es-CO" w:eastAsia="en-US"/>
        </w:rPr>
        <w:t>9</w:t>
      </w:r>
      <w:r w:rsidR="00905497" w:rsidRPr="00AC486E">
        <w:rPr>
          <w:rFonts w:ascii="Arial" w:eastAsia="Calibri" w:hAnsi="Arial" w:cs="Arial"/>
          <w:szCs w:val="24"/>
          <w:lang w:val="es-CO" w:eastAsia="en-US"/>
        </w:rPr>
        <w:t>) días del mes de</w:t>
      </w:r>
      <w:r w:rsidR="00905497">
        <w:rPr>
          <w:rFonts w:ascii="Arial" w:eastAsia="Calibri" w:hAnsi="Arial" w:cs="Arial"/>
          <w:szCs w:val="24"/>
          <w:lang w:val="es-CO" w:eastAsia="en-US"/>
        </w:rPr>
        <w:t xml:space="preserve"> noviembre de d</w:t>
      </w:r>
      <w:r w:rsidR="00905497" w:rsidRPr="00AC486E">
        <w:rPr>
          <w:rFonts w:ascii="Arial" w:eastAsia="Calibri" w:hAnsi="Arial" w:cs="Arial"/>
          <w:szCs w:val="24"/>
          <w:lang w:val="es-CO" w:eastAsia="en-US"/>
        </w:rPr>
        <w:t xml:space="preserve">os mil </w:t>
      </w:r>
      <w:r w:rsidR="00905497">
        <w:rPr>
          <w:rFonts w:ascii="Arial" w:eastAsia="Calibri" w:hAnsi="Arial" w:cs="Arial"/>
          <w:szCs w:val="24"/>
          <w:lang w:val="es-CO" w:eastAsia="en-US"/>
        </w:rPr>
        <w:t xml:space="preserve">dieciocho </w:t>
      </w:r>
      <w:r w:rsidR="00905497" w:rsidRPr="00AC486E">
        <w:rPr>
          <w:rFonts w:ascii="Arial" w:eastAsia="Calibri" w:hAnsi="Arial" w:cs="Arial"/>
          <w:szCs w:val="24"/>
          <w:lang w:val="es-CO" w:eastAsia="en-US"/>
        </w:rPr>
        <w:t>(201</w:t>
      </w:r>
      <w:r w:rsidR="00905497">
        <w:rPr>
          <w:rFonts w:ascii="Arial" w:eastAsia="Calibri" w:hAnsi="Arial" w:cs="Arial"/>
          <w:szCs w:val="24"/>
          <w:lang w:val="es-CO" w:eastAsia="en-US"/>
        </w:rPr>
        <w:t>8</w:t>
      </w:r>
      <w:r w:rsidR="00905497" w:rsidRPr="00AC486E">
        <w:rPr>
          <w:rFonts w:ascii="Arial" w:eastAsia="Calibri" w:hAnsi="Arial" w:cs="Arial"/>
          <w:szCs w:val="24"/>
          <w:lang w:val="es-CO" w:eastAsia="en-US"/>
        </w:rPr>
        <w:t xml:space="preserve">), siendo las </w:t>
      </w:r>
      <w:r w:rsidR="00905497">
        <w:rPr>
          <w:rFonts w:ascii="Arial" w:eastAsia="Calibri" w:hAnsi="Arial" w:cs="Arial"/>
          <w:szCs w:val="24"/>
          <w:lang w:val="es-CO" w:eastAsia="en-US"/>
        </w:rPr>
        <w:t xml:space="preserve">nueve y media de la mañana </w:t>
      </w:r>
      <w:r w:rsidRPr="00AC486E">
        <w:rPr>
          <w:rFonts w:ascii="Arial" w:eastAsia="Calibri" w:hAnsi="Arial" w:cs="Arial"/>
          <w:szCs w:val="24"/>
          <w:lang w:val="es-CO" w:eastAsia="en-US"/>
        </w:rPr>
        <w:t>(</w:t>
      </w:r>
      <w:r w:rsidR="00905497">
        <w:rPr>
          <w:rFonts w:ascii="Arial" w:eastAsia="Calibri" w:hAnsi="Arial" w:cs="Arial"/>
          <w:szCs w:val="24"/>
          <w:lang w:val="es-CO" w:eastAsia="en-US"/>
        </w:rPr>
        <w:t>9</w:t>
      </w:r>
      <w:r>
        <w:rPr>
          <w:rFonts w:ascii="Arial" w:eastAsia="Calibri" w:hAnsi="Arial" w:cs="Arial"/>
          <w:szCs w:val="24"/>
          <w:lang w:val="es-CO" w:eastAsia="en-US"/>
        </w:rPr>
        <w:t>:</w:t>
      </w:r>
      <w:r w:rsidR="002A4EBF">
        <w:rPr>
          <w:rFonts w:ascii="Arial" w:eastAsia="Calibri" w:hAnsi="Arial" w:cs="Arial"/>
          <w:szCs w:val="24"/>
          <w:lang w:val="es-CO" w:eastAsia="en-US"/>
        </w:rPr>
        <w:t>3</w:t>
      </w:r>
      <w:r w:rsidR="00905497">
        <w:rPr>
          <w:rFonts w:ascii="Arial" w:eastAsia="Calibri" w:hAnsi="Arial" w:cs="Arial"/>
          <w:szCs w:val="24"/>
          <w:lang w:val="es-CO" w:eastAsia="en-US"/>
        </w:rPr>
        <w:t>0</w:t>
      </w:r>
      <w:r w:rsidRPr="00AC486E">
        <w:rPr>
          <w:rFonts w:ascii="Arial" w:eastAsia="Calibri" w:hAnsi="Arial" w:cs="Arial"/>
          <w:szCs w:val="24"/>
          <w:lang w:val="es-CO" w:eastAsia="en-US"/>
        </w:rPr>
        <w:t xml:space="preserve"> </w:t>
      </w:r>
      <w:r w:rsidR="00905497">
        <w:rPr>
          <w:rFonts w:ascii="Arial" w:eastAsia="Calibri" w:hAnsi="Arial" w:cs="Arial"/>
          <w:szCs w:val="24"/>
          <w:lang w:val="es-CO" w:eastAsia="en-US"/>
        </w:rPr>
        <w:t>a</w:t>
      </w:r>
      <w:r w:rsidRPr="00AC486E">
        <w:rPr>
          <w:rFonts w:ascii="Arial" w:eastAsia="Calibri" w:hAnsi="Arial" w:cs="Arial"/>
          <w:szCs w:val="24"/>
          <w:lang w:val="es-CO" w:eastAsia="en-US"/>
        </w:rPr>
        <w:t xml:space="preserve">.m.),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w:t>
      </w:r>
      <w:r w:rsidR="006C3631">
        <w:rPr>
          <w:rFonts w:ascii="Arial" w:hAnsi="Arial" w:cs="Arial"/>
          <w:bCs/>
          <w:color w:val="000000"/>
          <w:szCs w:val="24"/>
          <w:lang w:eastAsia="es-CO"/>
        </w:rPr>
        <w:t>Primera</w:t>
      </w:r>
      <w:r>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w:t>
      </w:r>
      <w:r w:rsidR="006C3631">
        <w:rPr>
          <w:rFonts w:ascii="Arial" w:hAnsi="Arial" w:cs="Arial"/>
          <w:bCs/>
          <w:color w:val="000000"/>
          <w:szCs w:val="24"/>
          <w:lang w:eastAsia="es-CO"/>
        </w:rPr>
        <w:t xml:space="preserve">grado jurisdicción de consulta </w:t>
      </w:r>
      <w:r w:rsidRPr="00FB5E77">
        <w:rPr>
          <w:rFonts w:ascii="Arial" w:hAnsi="Arial" w:cs="Arial"/>
          <w:bCs/>
          <w:color w:val="000000"/>
          <w:szCs w:val="24"/>
          <w:lang w:eastAsia="es-CO"/>
        </w:rPr>
        <w:t>respecto de la sentencia p</w:t>
      </w:r>
      <w:r w:rsidR="000E2421">
        <w:rPr>
          <w:rFonts w:ascii="Arial" w:hAnsi="Arial" w:cs="Arial"/>
          <w:szCs w:val="24"/>
        </w:rPr>
        <w:t xml:space="preserve">roferida el </w:t>
      </w:r>
      <w:r w:rsidR="006C3631">
        <w:rPr>
          <w:rFonts w:ascii="Arial" w:hAnsi="Arial" w:cs="Arial"/>
          <w:szCs w:val="24"/>
        </w:rPr>
        <w:t>22-02-</w:t>
      </w:r>
      <w:r w:rsidRPr="00FB5E77">
        <w:rPr>
          <w:rFonts w:ascii="Arial" w:hAnsi="Arial" w:cs="Arial"/>
          <w:szCs w:val="24"/>
        </w:rPr>
        <w:t>201</w:t>
      </w:r>
      <w:r w:rsidR="000E2421">
        <w:rPr>
          <w:rFonts w:ascii="Arial" w:hAnsi="Arial" w:cs="Arial"/>
          <w:szCs w:val="24"/>
        </w:rPr>
        <w:t>8</w:t>
      </w:r>
      <w:r w:rsidRPr="00FB5E77">
        <w:rPr>
          <w:rFonts w:ascii="Arial" w:hAnsi="Arial" w:cs="Arial"/>
          <w:szCs w:val="24"/>
        </w:rPr>
        <w:t xml:space="preserve"> por el Juzgado </w:t>
      </w:r>
      <w:r w:rsidR="006C3631">
        <w:rPr>
          <w:rFonts w:ascii="Arial" w:hAnsi="Arial" w:cs="Arial"/>
          <w:szCs w:val="24"/>
        </w:rPr>
        <w:t>Quinto</w:t>
      </w:r>
      <w:r w:rsidR="000E2421">
        <w:rPr>
          <w:rFonts w:ascii="Arial" w:hAnsi="Arial" w:cs="Arial"/>
          <w:szCs w:val="24"/>
        </w:rPr>
        <w:t xml:space="preserve"> </w:t>
      </w:r>
      <w:r w:rsidRPr="00FB5E77">
        <w:rPr>
          <w:rFonts w:ascii="Arial" w:hAnsi="Arial" w:cs="Arial"/>
          <w:szCs w:val="24"/>
        </w:rPr>
        <w:t xml:space="preserve">Laboral del Circuito de Pereira, dentro del proceso que promueve la señora </w:t>
      </w:r>
      <w:r w:rsidR="006C3631">
        <w:rPr>
          <w:rFonts w:ascii="Arial" w:hAnsi="Arial" w:cs="Arial"/>
          <w:b/>
          <w:szCs w:val="24"/>
        </w:rPr>
        <w:t>Carmen Elena Pescador Trejos</w:t>
      </w:r>
      <w:r w:rsidR="00901680">
        <w:rPr>
          <w:rFonts w:ascii="Arial" w:hAnsi="Arial" w:cs="Arial"/>
          <w:b/>
          <w:szCs w:val="24"/>
        </w:rPr>
        <w:t xml:space="preserve">, </w:t>
      </w:r>
      <w:r w:rsidR="00901680" w:rsidRPr="00901680">
        <w:rPr>
          <w:rFonts w:ascii="Arial" w:hAnsi="Arial" w:cs="Arial"/>
          <w:szCs w:val="24"/>
        </w:rPr>
        <w:t>donde</w:t>
      </w:r>
      <w:r w:rsidR="00901680">
        <w:rPr>
          <w:rFonts w:ascii="Arial" w:hAnsi="Arial" w:cs="Arial"/>
          <w:szCs w:val="24"/>
        </w:rPr>
        <w:t xml:space="preserve"> se vinculó a la señora Laura Sofía Muriel Pescador</w:t>
      </w:r>
      <w:r w:rsidR="0013107A" w:rsidRPr="00FB5E77">
        <w:rPr>
          <w:rFonts w:ascii="Arial" w:hAnsi="Arial" w:cs="Arial"/>
          <w:b/>
          <w:szCs w:val="24"/>
        </w:rPr>
        <w:t xml:space="preserve"> </w:t>
      </w:r>
      <w:r w:rsidRPr="00FB5E77">
        <w:rPr>
          <w:rFonts w:ascii="Arial" w:hAnsi="Arial" w:cs="Arial"/>
          <w:szCs w:val="24"/>
        </w:rPr>
        <w:t xml:space="preserve">contra la </w:t>
      </w:r>
      <w:r w:rsidRPr="00FB5E77">
        <w:rPr>
          <w:rFonts w:ascii="Arial" w:hAnsi="Arial" w:cs="Arial"/>
          <w:b/>
          <w:szCs w:val="24"/>
        </w:rPr>
        <w:t xml:space="preserve">Administradora Colombiana de Pensiones </w:t>
      </w:r>
      <w:r w:rsidRPr="00FB5E77">
        <w:rPr>
          <w:rFonts w:ascii="Arial" w:hAnsi="Arial" w:cs="Arial"/>
          <w:b/>
          <w:bCs/>
          <w:szCs w:val="24"/>
        </w:rPr>
        <w:t>COLPENSIONES</w:t>
      </w:r>
      <w:r w:rsidR="0013107A">
        <w:rPr>
          <w:rFonts w:ascii="Arial" w:hAnsi="Arial" w:cs="Arial"/>
          <w:bCs/>
          <w:iCs/>
          <w:szCs w:val="24"/>
        </w:rPr>
        <w:t xml:space="preserve">, </w:t>
      </w:r>
      <w:r w:rsidRPr="00FB5E77">
        <w:rPr>
          <w:rFonts w:ascii="Arial" w:hAnsi="Arial" w:cs="Arial"/>
          <w:bCs/>
          <w:iCs/>
          <w:szCs w:val="24"/>
        </w:rPr>
        <w:t>radicado bajo el N° 66001-31-05-00</w:t>
      </w:r>
      <w:r w:rsidR="006C3631">
        <w:rPr>
          <w:rFonts w:ascii="Arial" w:hAnsi="Arial" w:cs="Arial"/>
          <w:bCs/>
          <w:iCs/>
          <w:szCs w:val="24"/>
        </w:rPr>
        <w:t>5</w:t>
      </w:r>
      <w:r w:rsidRPr="00FB5E77">
        <w:rPr>
          <w:rFonts w:ascii="Arial" w:hAnsi="Arial" w:cs="Arial"/>
          <w:bCs/>
          <w:iCs/>
          <w:szCs w:val="24"/>
        </w:rPr>
        <w:t>-201</w:t>
      </w:r>
      <w:r w:rsidR="006C3631">
        <w:rPr>
          <w:rFonts w:ascii="Arial" w:hAnsi="Arial" w:cs="Arial"/>
          <w:bCs/>
          <w:iCs/>
          <w:szCs w:val="24"/>
        </w:rPr>
        <w:t>4</w:t>
      </w:r>
      <w:r w:rsidRPr="00FB5E77">
        <w:rPr>
          <w:rFonts w:ascii="Arial" w:hAnsi="Arial" w:cs="Arial"/>
          <w:bCs/>
          <w:iCs/>
          <w:szCs w:val="24"/>
        </w:rPr>
        <w:t>-00</w:t>
      </w:r>
      <w:r w:rsidR="006C3631">
        <w:rPr>
          <w:rFonts w:ascii="Arial" w:hAnsi="Arial" w:cs="Arial"/>
          <w:bCs/>
          <w:iCs/>
          <w:szCs w:val="24"/>
        </w:rPr>
        <w:t>663</w:t>
      </w:r>
      <w:r w:rsidRPr="00FB5E77">
        <w:rPr>
          <w:rFonts w:ascii="Arial" w:hAnsi="Arial" w:cs="Arial"/>
          <w:bCs/>
          <w:iCs/>
          <w:szCs w:val="24"/>
        </w:rPr>
        <w:t>-01.</w:t>
      </w:r>
    </w:p>
    <w:p w:rsidR="00C94746" w:rsidRPr="00AC486E" w:rsidRDefault="00C94746" w:rsidP="00C94746">
      <w:pPr>
        <w:spacing w:line="276" w:lineRule="auto"/>
        <w:ind w:firstLine="851"/>
        <w:contextualSpacing/>
        <w:jc w:val="both"/>
        <w:rPr>
          <w:rFonts w:ascii="Arial" w:hAnsi="Arial" w:cs="Arial"/>
          <w:bCs/>
          <w:iCs/>
          <w:szCs w:val="24"/>
        </w:rPr>
      </w:pPr>
    </w:p>
    <w:p w:rsidR="00C94746" w:rsidRPr="00502691" w:rsidRDefault="00C94746" w:rsidP="00C94746">
      <w:pPr>
        <w:spacing w:line="276" w:lineRule="auto"/>
        <w:contextualSpacing/>
        <w:rPr>
          <w:rFonts w:ascii="Arial" w:hAnsi="Arial" w:cs="Arial"/>
          <w:b/>
          <w:szCs w:val="24"/>
        </w:rPr>
      </w:pPr>
      <w:r w:rsidRPr="00502691">
        <w:rPr>
          <w:rFonts w:ascii="Arial" w:hAnsi="Arial" w:cs="Arial"/>
          <w:b/>
          <w:szCs w:val="24"/>
        </w:rPr>
        <w:t>Registro de asistencia:</w:t>
      </w:r>
    </w:p>
    <w:p w:rsidR="00C94746" w:rsidRDefault="00C94746" w:rsidP="00C94746">
      <w:pPr>
        <w:spacing w:line="276" w:lineRule="auto"/>
        <w:ind w:firstLine="851"/>
        <w:contextualSpacing/>
        <w:rPr>
          <w:rFonts w:ascii="Arial" w:hAnsi="Arial" w:cs="Arial"/>
          <w:szCs w:val="24"/>
        </w:rPr>
      </w:pPr>
    </w:p>
    <w:p w:rsidR="00C94746" w:rsidRDefault="00C94746" w:rsidP="00C94746">
      <w:pPr>
        <w:spacing w:line="276" w:lineRule="auto"/>
        <w:contextualSpacing/>
        <w:rPr>
          <w:rFonts w:ascii="Arial" w:hAnsi="Arial" w:cs="Arial"/>
          <w:szCs w:val="24"/>
        </w:rPr>
      </w:pPr>
      <w:r>
        <w:rPr>
          <w:rFonts w:ascii="Arial" w:hAnsi="Arial" w:cs="Arial"/>
          <w:szCs w:val="24"/>
        </w:rPr>
        <w:t xml:space="preserve">Demandante y su apoderada: </w:t>
      </w:r>
    </w:p>
    <w:p w:rsidR="00C94746" w:rsidRDefault="00C94746" w:rsidP="00C94746">
      <w:pPr>
        <w:spacing w:line="276" w:lineRule="auto"/>
        <w:contextualSpacing/>
        <w:rPr>
          <w:rFonts w:ascii="Arial" w:hAnsi="Arial" w:cs="Arial"/>
          <w:szCs w:val="24"/>
        </w:rPr>
      </w:pPr>
      <w:bookmarkStart w:id="0" w:name="_GoBack"/>
      <w:bookmarkEnd w:id="0"/>
      <w:r>
        <w:rPr>
          <w:rFonts w:ascii="Arial" w:hAnsi="Arial" w:cs="Arial"/>
          <w:szCs w:val="24"/>
        </w:rPr>
        <w:t>Administradora Colombiana de Pensiones y su apoderada:</w:t>
      </w:r>
    </w:p>
    <w:p w:rsidR="00C94746" w:rsidRDefault="00C94746" w:rsidP="000855BF">
      <w:pPr>
        <w:spacing w:line="276" w:lineRule="auto"/>
        <w:contextualSpacing/>
        <w:rPr>
          <w:rFonts w:ascii="Arial" w:hAnsi="Arial" w:cs="Arial"/>
          <w:szCs w:val="24"/>
        </w:rPr>
      </w:pPr>
    </w:p>
    <w:p w:rsidR="00C94746" w:rsidRDefault="00C94746" w:rsidP="00C94746">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C94746" w:rsidRDefault="00C94746" w:rsidP="00C94746">
      <w:pPr>
        <w:spacing w:line="276" w:lineRule="auto"/>
        <w:contextualSpacing/>
        <w:jc w:val="both"/>
        <w:rPr>
          <w:rFonts w:ascii="Arial" w:hAnsi="Arial" w:cs="Arial"/>
          <w:b/>
          <w:szCs w:val="24"/>
        </w:rPr>
      </w:pPr>
    </w:p>
    <w:p w:rsidR="00C94746" w:rsidRDefault="00C94746" w:rsidP="00C94746">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C94746" w:rsidRDefault="00C94746" w:rsidP="00C94746">
      <w:pPr>
        <w:spacing w:line="276" w:lineRule="auto"/>
        <w:contextualSpacing/>
        <w:jc w:val="both"/>
        <w:rPr>
          <w:rFonts w:ascii="Arial" w:hAnsi="Arial" w:cs="Arial"/>
          <w:szCs w:val="24"/>
        </w:rPr>
      </w:pPr>
    </w:p>
    <w:p w:rsidR="00C94746" w:rsidRPr="00312238" w:rsidRDefault="00C94746" w:rsidP="00C94746">
      <w:pPr>
        <w:spacing w:line="276" w:lineRule="auto"/>
        <w:contextualSpacing/>
        <w:jc w:val="center"/>
        <w:rPr>
          <w:rFonts w:ascii="Arial" w:hAnsi="Arial" w:cs="Arial"/>
          <w:b/>
          <w:szCs w:val="24"/>
        </w:rPr>
      </w:pPr>
      <w:r>
        <w:rPr>
          <w:rFonts w:ascii="Arial" w:hAnsi="Arial" w:cs="Arial"/>
          <w:b/>
          <w:szCs w:val="24"/>
        </w:rPr>
        <w:t>ANTECEDENTES</w:t>
      </w:r>
    </w:p>
    <w:p w:rsidR="00C94746" w:rsidRPr="00220F70" w:rsidRDefault="00C94746" w:rsidP="00C94746">
      <w:pPr>
        <w:spacing w:line="276" w:lineRule="auto"/>
        <w:contextualSpacing/>
        <w:rPr>
          <w:rFonts w:ascii="Arial" w:hAnsi="Arial" w:cs="Arial"/>
          <w:b/>
          <w:szCs w:val="24"/>
        </w:rPr>
      </w:pPr>
    </w:p>
    <w:p w:rsidR="00C94746" w:rsidRPr="00B456EF" w:rsidRDefault="00B456EF" w:rsidP="00B456EF">
      <w:pPr>
        <w:spacing w:line="276" w:lineRule="auto"/>
        <w:rPr>
          <w:rFonts w:ascii="Arial" w:hAnsi="Arial" w:cs="Arial"/>
          <w:b/>
          <w:szCs w:val="24"/>
        </w:rPr>
      </w:pPr>
      <w:r>
        <w:rPr>
          <w:rFonts w:ascii="Arial" w:hAnsi="Arial" w:cs="Arial"/>
          <w:b/>
          <w:szCs w:val="24"/>
        </w:rPr>
        <w:t xml:space="preserve">1. </w:t>
      </w:r>
      <w:r w:rsidR="00C94746" w:rsidRPr="00B456EF">
        <w:rPr>
          <w:rFonts w:ascii="Arial" w:hAnsi="Arial" w:cs="Arial"/>
          <w:b/>
          <w:szCs w:val="24"/>
        </w:rPr>
        <w:t>Síntesis de la demanda y su contestación</w:t>
      </w:r>
    </w:p>
    <w:p w:rsidR="00EF633D" w:rsidRDefault="00EF633D" w:rsidP="00C94746">
      <w:pPr>
        <w:spacing w:line="276" w:lineRule="auto"/>
        <w:contextualSpacing/>
        <w:jc w:val="both"/>
        <w:rPr>
          <w:rFonts w:ascii="Arial" w:hAnsi="Arial" w:cs="Arial"/>
          <w:szCs w:val="24"/>
        </w:rPr>
      </w:pPr>
    </w:p>
    <w:p w:rsidR="0009166E" w:rsidRDefault="00C94746" w:rsidP="00C94746">
      <w:pPr>
        <w:spacing w:line="276" w:lineRule="auto"/>
        <w:contextualSpacing/>
        <w:jc w:val="both"/>
        <w:rPr>
          <w:rFonts w:ascii="Arial" w:hAnsi="Arial" w:cs="Arial"/>
          <w:szCs w:val="24"/>
        </w:rPr>
      </w:pPr>
      <w:r>
        <w:rPr>
          <w:rFonts w:ascii="Arial" w:hAnsi="Arial" w:cs="Arial"/>
          <w:szCs w:val="24"/>
        </w:rPr>
        <w:t xml:space="preserve">La señora </w:t>
      </w:r>
      <w:r w:rsidR="006C3631">
        <w:rPr>
          <w:rFonts w:ascii="Arial" w:hAnsi="Arial" w:cs="Arial"/>
          <w:szCs w:val="24"/>
        </w:rPr>
        <w:t>Carmen Elena Pescador Trejos</w:t>
      </w:r>
      <w:r>
        <w:rPr>
          <w:rFonts w:ascii="Arial" w:hAnsi="Arial" w:cs="Arial"/>
          <w:szCs w:val="24"/>
        </w:rPr>
        <w:t xml:space="preserve"> pretende que</w:t>
      </w:r>
      <w:r w:rsidR="004D3251">
        <w:rPr>
          <w:rFonts w:ascii="Arial" w:hAnsi="Arial" w:cs="Arial"/>
          <w:szCs w:val="24"/>
        </w:rPr>
        <w:t xml:space="preserve"> </w:t>
      </w:r>
      <w:r w:rsidR="0009166E" w:rsidRPr="00004554">
        <w:rPr>
          <w:rFonts w:ascii="Arial" w:hAnsi="Arial" w:cs="Arial"/>
          <w:szCs w:val="24"/>
        </w:rPr>
        <w:t>se declare que es beneficiaria de la pensión de sobrevivientes</w:t>
      </w:r>
      <w:r w:rsidR="000E2421">
        <w:rPr>
          <w:rFonts w:ascii="Arial" w:hAnsi="Arial" w:cs="Arial"/>
          <w:szCs w:val="24"/>
        </w:rPr>
        <w:t xml:space="preserve"> </w:t>
      </w:r>
      <w:r w:rsidR="00F73E28" w:rsidRPr="00004554">
        <w:rPr>
          <w:rFonts w:ascii="Arial" w:hAnsi="Arial" w:cs="Arial"/>
          <w:szCs w:val="24"/>
        </w:rPr>
        <w:t xml:space="preserve">desde el </w:t>
      </w:r>
      <w:r w:rsidR="00F73E28">
        <w:rPr>
          <w:rFonts w:ascii="Arial" w:hAnsi="Arial" w:cs="Arial"/>
          <w:szCs w:val="24"/>
        </w:rPr>
        <w:t xml:space="preserve">06-07-2010, </w:t>
      </w:r>
      <w:r w:rsidR="000E2421">
        <w:rPr>
          <w:rFonts w:ascii="Arial" w:hAnsi="Arial" w:cs="Arial"/>
          <w:szCs w:val="24"/>
        </w:rPr>
        <w:t xml:space="preserve">en virtud del fallecimiento de su cónyuge </w:t>
      </w:r>
      <w:r w:rsidR="004C2C0A">
        <w:rPr>
          <w:rFonts w:ascii="Arial" w:hAnsi="Arial" w:cs="Arial"/>
          <w:szCs w:val="24"/>
        </w:rPr>
        <w:t xml:space="preserve">Luis Gonzaga </w:t>
      </w:r>
      <w:r w:rsidR="006C3631">
        <w:rPr>
          <w:rFonts w:ascii="Arial" w:hAnsi="Arial" w:cs="Arial"/>
          <w:szCs w:val="24"/>
        </w:rPr>
        <w:t xml:space="preserve">Muriel </w:t>
      </w:r>
      <w:proofErr w:type="spellStart"/>
      <w:r w:rsidR="006C3631">
        <w:rPr>
          <w:rFonts w:ascii="Arial" w:hAnsi="Arial" w:cs="Arial"/>
          <w:szCs w:val="24"/>
        </w:rPr>
        <w:t>Vinasco</w:t>
      </w:r>
      <w:proofErr w:type="spellEnd"/>
      <w:r w:rsidR="006270B2">
        <w:rPr>
          <w:rFonts w:ascii="Arial" w:hAnsi="Arial" w:cs="Arial"/>
          <w:szCs w:val="24"/>
        </w:rPr>
        <w:t xml:space="preserve"> y</w:t>
      </w:r>
      <w:r w:rsidR="0009166E" w:rsidRPr="00004554">
        <w:rPr>
          <w:rFonts w:ascii="Arial" w:hAnsi="Arial" w:cs="Arial"/>
          <w:szCs w:val="24"/>
        </w:rPr>
        <w:t xml:space="preserve"> </w:t>
      </w:r>
      <w:r w:rsidR="00CB38EC">
        <w:rPr>
          <w:rFonts w:ascii="Arial" w:hAnsi="Arial" w:cs="Arial"/>
          <w:szCs w:val="24"/>
        </w:rPr>
        <w:t xml:space="preserve">en </w:t>
      </w:r>
      <w:r w:rsidR="0009166E" w:rsidRPr="00004554">
        <w:rPr>
          <w:rFonts w:ascii="Arial" w:hAnsi="Arial" w:cs="Arial"/>
          <w:szCs w:val="24"/>
        </w:rPr>
        <w:t xml:space="preserve">aplicación </w:t>
      </w:r>
      <w:r w:rsidR="00CB38EC">
        <w:rPr>
          <w:rFonts w:ascii="Arial" w:hAnsi="Arial" w:cs="Arial"/>
          <w:szCs w:val="24"/>
        </w:rPr>
        <w:t>de</w:t>
      </w:r>
      <w:r w:rsidR="006C3631">
        <w:rPr>
          <w:rFonts w:ascii="Arial" w:hAnsi="Arial" w:cs="Arial"/>
          <w:szCs w:val="24"/>
        </w:rPr>
        <w:t>l</w:t>
      </w:r>
      <w:r w:rsidR="0009166E" w:rsidRPr="00004554">
        <w:rPr>
          <w:rFonts w:ascii="Arial" w:hAnsi="Arial" w:cs="Arial"/>
          <w:szCs w:val="24"/>
        </w:rPr>
        <w:t xml:space="preserve"> principio</w:t>
      </w:r>
      <w:r w:rsidR="000E2421">
        <w:rPr>
          <w:rFonts w:ascii="Arial" w:hAnsi="Arial" w:cs="Arial"/>
          <w:szCs w:val="24"/>
        </w:rPr>
        <w:t xml:space="preserve"> de </w:t>
      </w:r>
      <w:r w:rsidR="0009166E" w:rsidRPr="00004554">
        <w:rPr>
          <w:rFonts w:ascii="Arial" w:hAnsi="Arial" w:cs="Arial"/>
          <w:szCs w:val="24"/>
        </w:rPr>
        <w:t>la condición más beneficiosa; en consecuencia, se condene a pagarle la prestación reclamada, el retroactivo pensional; los intereses mor</w:t>
      </w:r>
      <w:r>
        <w:rPr>
          <w:rFonts w:ascii="Arial" w:hAnsi="Arial" w:cs="Arial"/>
          <w:szCs w:val="24"/>
        </w:rPr>
        <w:t>atorios</w:t>
      </w:r>
      <w:r w:rsidR="006C3631">
        <w:rPr>
          <w:rFonts w:ascii="Arial" w:hAnsi="Arial" w:cs="Arial"/>
          <w:szCs w:val="24"/>
        </w:rPr>
        <w:t xml:space="preserve"> </w:t>
      </w:r>
      <w:r w:rsidR="0009166E" w:rsidRPr="00004554">
        <w:rPr>
          <w:rFonts w:ascii="Arial" w:hAnsi="Arial" w:cs="Arial"/>
          <w:szCs w:val="24"/>
        </w:rPr>
        <w:t>y las costas procesales.</w:t>
      </w:r>
    </w:p>
    <w:p w:rsidR="0009166E" w:rsidRPr="00004554" w:rsidRDefault="00472CB3" w:rsidP="0009166E">
      <w:pPr>
        <w:spacing w:line="276" w:lineRule="auto"/>
        <w:contextualSpacing/>
        <w:jc w:val="both"/>
        <w:rPr>
          <w:rFonts w:ascii="Arial" w:hAnsi="Arial" w:cs="Arial"/>
          <w:szCs w:val="24"/>
        </w:rPr>
      </w:pPr>
      <w:r>
        <w:rPr>
          <w:rFonts w:ascii="Arial" w:hAnsi="Arial" w:cs="Arial"/>
          <w:szCs w:val="24"/>
        </w:rPr>
        <w:t xml:space="preserve"> </w:t>
      </w:r>
    </w:p>
    <w:p w:rsidR="00474AFB" w:rsidRDefault="0009166E" w:rsidP="0009166E">
      <w:pPr>
        <w:spacing w:line="276" w:lineRule="auto"/>
        <w:contextualSpacing/>
        <w:jc w:val="both"/>
        <w:rPr>
          <w:rFonts w:ascii="Arial" w:hAnsi="Arial" w:cs="Arial"/>
          <w:szCs w:val="24"/>
        </w:rPr>
      </w:pPr>
      <w:r w:rsidRPr="00004554">
        <w:rPr>
          <w:rFonts w:ascii="Arial" w:hAnsi="Arial" w:cs="Arial"/>
          <w:szCs w:val="24"/>
        </w:rPr>
        <w:t xml:space="preserve">Fundamenta sus aspiraciones en que: (i) </w:t>
      </w:r>
      <w:r w:rsidR="00474AFB">
        <w:rPr>
          <w:rFonts w:ascii="Arial" w:hAnsi="Arial" w:cs="Arial"/>
          <w:szCs w:val="24"/>
        </w:rPr>
        <w:t>el 0</w:t>
      </w:r>
      <w:r w:rsidR="0067336F">
        <w:rPr>
          <w:rFonts w:ascii="Arial" w:hAnsi="Arial" w:cs="Arial"/>
          <w:szCs w:val="24"/>
        </w:rPr>
        <w:t>6</w:t>
      </w:r>
      <w:r w:rsidR="006270B2">
        <w:rPr>
          <w:rFonts w:ascii="Arial" w:hAnsi="Arial" w:cs="Arial"/>
          <w:szCs w:val="24"/>
        </w:rPr>
        <w:t>-07-</w:t>
      </w:r>
      <w:r w:rsidR="00474AFB">
        <w:rPr>
          <w:rFonts w:ascii="Arial" w:hAnsi="Arial" w:cs="Arial"/>
          <w:szCs w:val="24"/>
        </w:rPr>
        <w:t>201</w:t>
      </w:r>
      <w:r w:rsidR="0067336F">
        <w:rPr>
          <w:rFonts w:ascii="Arial" w:hAnsi="Arial" w:cs="Arial"/>
          <w:szCs w:val="24"/>
        </w:rPr>
        <w:t>0</w:t>
      </w:r>
      <w:r w:rsidR="00474AFB">
        <w:rPr>
          <w:rFonts w:ascii="Arial" w:hAnsi="Arial" w:cs="Arial"/>
          <w:szCs w:val="24"/>
        </w:rPr>
        <w:t xml:space="preserve"> </w:t>
      </w:r>
      <w:r w:rsidR="00474AFB">
        <w:rPr>
          <w:rFonts w:ascii="Arial" w:hAnsi="Arial" w:cs="Arial"/>
          <w:szCs w:val="24"/>
          <w:lang w:val="es-CO"/>
        </w:rPr>
        <w:t xml:space="preserve">falleció </w:t>
      </w:r>
      <w:r w:rsidR="009B7C75">
        <w:rPr>
          <w:rFonts w:ascii="Arial" w:hAnsi="Arial" w:cs="Arial"/>
          <w:szCs w:val="24"/>
        </w:rPr>
        <w:t xml:space="preserve">el señor </w:t>
      </w:r>
      <w:r w:rsidR="0067336F">
        <w:rPr>
          <w:rFonts w:ascii="Arial" w:hAnsi="Arial" w:cs="Arial"/>
          <w:szCs w:val="24"/>
        </w:rPr>
        <w:t xml:space="preserve">Muriel </w:t>
      </w:r>
      <w:proofErr w:type="spellStart"/>
      <w:r w:rsidR="0067336F">
        <w:rPr>
          <w:rFonts w:ascii="Arial" w:hAnsi="Arial" w:cs="Arial"/>
          <w:szCs w:val="24"/>
        </w:rPr>
        <w:t>Vinasco</w:t>
      </w:r>
      <w:proofErr w:type="spellEnd"/>
      <w:r w:rsidR="00474AFB">
        <w:rPr>
          <w:rFonts w:ascii="Arial" w:hAnsi="Arial" w:cs="Arial"/>
          <w:szCs w:val="24"/>
        </w:rPr>
        <w:t>,</w:t>
      </w:r>
      <w:r w:rsidR="0067336F">
        <w:rPr>
          <w:rFonts w:ascii="Arial" w:hAnsi="Arial" w:cs="Arial"/>
          <w:szCs w:val="24"/>
        </w:rPr>
        <w:t xml:space="preserve"> (ii)</w:t>
      </w:r>
      <w:r w:rsidR="00474AFB">
        <w:rPr>
          <w:rFonts w:ascii="Arial" w:hAnsi="Arial" w:cs="Arial"/>
          <w:szCs w:val="24"/>
        </w:rPr>
        <w:t xml:space="preserve"> </w:t>
      </w:r>
      <w:r w:rsidR="0067336F">
        <w:rPr>
          <w:rFonts w:ascii="Arial" w:hAnsi="Arial" w:cs="Arial"/>
          <w:szCs w:val="24"/>
        </w:rPr>
        <w:t xml:space="preserve">quien estuvo afiliado </w:t>
      </w:r>
      <w:r w:rsidR="00474AFB">
        <w:rPr>
          <w:rFonts w:ascii="Arial" w:hAnsi="Arial" w:cs="Arial"/>
          <w:szCs w:val="24"/>
        </w:rPr>
        <w:t xml:space="preserve">a Colpensiones </w:t>
      </w:r>
      <w:r w:rsidR="0067336F">
        <w:rPr>
          <w:rFonts w:ascii="Arial" w:hAnsi="Arial" w:cs="Arial"/>
          <w:szCs w:val="24"/>
        </w:rPr>
        <w:t>del 2-10-1974 al 28-02-20</w:t>
      </w:r>
      <w:r w:rsidR="004C2C0A">
        <w:rPr>
          <w:rFonts w:ascii="Arial" w:hAnsi="Arial" w:cs="Arial"/>
          <w:szCs w:val="24"/>
        </w:rPr>
        <w:t>0</w:t>
      </w:r>
      <w:r w:rsidR="0067336F">
        <w:rPr>
          <w:rFonts w:ascii="Arial" w:hAnsi="Arial" w:cs="Arial"/>
          <w:szCs w:val="24"/>
        </w:rPr>
        <w:t xml:space="preserve">5 </w:t>
      </w:r>
      <w:r w:rsidR="00474AFB">
        <w:rPr>
          <w:rFonts w:ascii="Arial" w:hAnsi="Arial" w:cs="Arial"/>
          <w:szCs w:val="24"/>
        </w:rPr>
        <w:t>y acredita</w:t>
      </w:r>
      <w:r w:rsidR="0067336F">
        <w:rPr>
          <w:rFonts w:ascii="Arial" w:hAnsi="Arial" w:cs="Arial"/>
          <w:szCs w:val="24"/>
        </w:rPr>
        <w:t xml:space="preserve"> 980,71 </w:t>
      </w:r>
      <w:r w:rsidR="00474AFB">
        <w:rPr>
          <w:rFonts w:ascii="Arial" w:hAnsi="Arial" w:cs="Arial"/>
          <w:szCs w:val="24"/>
        </w:rPr>
        <w:t>semanas cotizadas</w:t>
      </w:r>
      <w:r w:rsidR="0067336F">
        <w:rPr>
          <w:rFonts w:ascii="Arial" w:hAnsi="Arial" w:cs="Arial"/>
          <w:szCs w:val="24"/>
        </w:rPr>
        <w:t xml:space="preserve">, de las cuales 597 </w:t>
      </w:r>
      <w:r w:rsidR="00474AFB">
        <w:rPr>
          <w:rFonts w:ascii="Arial" w:hAnsi="Arial" w:cs="Arial"/>
          <w:szCs w:val="24"/>
        </w:rPr>
        <w:t>lo fueron antes del 01</w:t>
      </w:r>
      <w:r w:rsidR="006270B2">
        <w:rPr>
          <w:rFonts w:ascii="Arial" w:hAnsi="Arial" w:cs="Arial"/>
          <w:szCs w:val="24"/>
        </w:rPr>
        <w:t>-</w:t>
      </w:r>
      <w:r w:rsidR="00474AFB">
        <w:rPr>
          <w:rFonts w:ascii="Arial" w:hAnsi="Arial" w:cs="Arial"/>
          <w:szCs w:val="24"/>
        </w:rPr>
        <w:t>04</w:t>
      </w:r>
      <w:r w:rsidR="006270B2">
        <w:rPr>
          <w:rFonts w:ascii="Arial" w:hAnsi="Arial" w:cs="Arial"/>
          <w:szCs w:val="24"/>
        </w:rPr>
        <w:t>-</w:t>
      </w:r>
      <w:r w:rsidR="00474AFB">
        <w:rPr>
          <w:rFonts w:ascii="Arial" w:hAnsi="Arial" w:cs="Arial"/>
          <w:szCs w:val="24"/>
        </w:rPr>
        <w:t>1994</w:t>
      </w:r>
      <w:r w:rsidR="009B7C75">
        <w:rPr>
          <w:rFonts w:ascii="Arial" w:hAnsi="Arial" w:cs="Arial"/>
          <w:szCs w:val="24"/>
        </w:rPr>
        <w:t>; (ii</w:t>
      </w:r>
      <w:r w:rsidR="003B7FC2">
        <w:rPr>
          <w:rFonts w:ascii="Arial" w:hAnsi="Arial" w:cs="Arial"/>
          <w:szCs w:val="24"/>
        </w:rPr>
        <w:t>i</w:t>
      </w:r>
      <w:r w:rsidR="009B7C75">
        <w:rPr>
          <w:rFonts w:ascii="Arial" w:hAnsi="Arial" w:cs="Arial"/>
          <w:szCs w:val="24"/>
        </w:rPr>
        <w:t xml:space="preserve">) </w:t>
      </w:r>
      <w:r w:rsidR="00474AFB">
        <w:rPr>
          <w:rFonts w:ascii="Arial" w:hAnsi="Arial" w:cs="Arial"/>
          <w:szCs w:val="24"/>
        </w:rPr>
        <w:t>contrajo matrimonio con el causante el 1</w:t>
      </w:r>
      <w:r w:rsidR="003B7FC2">
        <w:rPr>
          <w:rFonts w:ascii="Arial" w:hAnsi="Arial" w:cs="Arial"/>
          <w:szCs w:val="24"/>
        </w:rPr>
        <w:t>3</w:t>
      </w:r>
      <w:r w:rsidR="006270B2">
        <w:rPr>
          <w:rFonts w:ascii="Arial" w:hAnsi="Arial" w:cs="Arial"/>
          <w:szCs w:val="24"/>
        </w:rPr>
        <w:t>-</w:t>
      </w:r>
      <w:r w:rsidR="00474AFB">
        <w:rPr>
          <w:rFonts w:ascii="Arial" w:hAnsi="Arial" w:cs="Arial"/>
          <w:szCs w:val="24"/>
        </w:rPr>
        <w:t>0</w:t>
      </w:r>
      <w:r w:rsidR="003B7FC2">
        <w:rPr>
          <w:rFonts w:ascii="Arial" w:hAnsi="Arial" w:cs="Arial"/>
          <w:szCs w:val="24"/>
        </w:rPr>
        <w:t>2</w:t>
      </w:r>
      <w:r w:rsidR="006270B2">
        <w:rPr>
          <w:rFonts w:ascii="Arial" w:hAnsi="Arial" w:cs="Arial"/>
          <w:szCs w:val="24"/>
        </w:rPr>
        <w:t>-</w:t>
      </w:r>
      <w:r w:rsidR="00474AFB">
        <w:rPr>
          <w:rFonts w:ascii="Arial" w:hAnsi="Arial" w:cs="Arial"/>
          <w:szCs w:val="24"/>
        </w:rPr>
        <w:t>198</w:t>
      </w:r>
      <w:r w:rsidR="003B7FC2">
        <w:rPr>
          <w:rFonts w:ascii="Arial" w:hAnsi="Arial" w:cs="Arial"/>
          <w:szCs w:val="24"/>
        </w:rPr>
        <w:t>5</w:t>
      </w:r>
      <w:r w:rsidR="00DA5F17">
        <w:rPr>
          <w:rFonts w:ascii="Arial" w:hAnsi="Arial" w:cs="Arial"/>
          <w:szCs w:val="24"/>
        </w:rPr>
        <w:t>,</w:t>
      </w:r>
      <w:r w:rsidR="003B7FC2">
        <w:rPr>
          <w:rFonts w:ascii="Arial" w:hAnsi="Arial" w:cs="Arial"/>
          <w:szCs w:val="24"/>
        </w:rPr>
        <w:t xml:space="preserve"> convivieron de manera ininterrumpida y procrearon 3 hijos mayores de edad en la actualidad</w:t>
      </w:r>
      <w:r w:rsidR="00474AFB">
        <w:rPr>
          <w:rFonts w:ascii="Arial" w:hAnsi="Arial" w:cs="Arial"/>
          <w:szCs w:val="24"/>
        </w:rPr>
        <w:t>; (i</w:t>
      </w:r>
      <w:r w:rsidR="003B7FC2">
        <w:rPr>
          <w:rFonts w:ascii="Arial" w:hAnsi="Arial" w:cs="Arial"/>
          <w:szCs w:val="24"/>
        </w:rPr>
        <w:t>v</w:t>
      </w:r>
      <w:r w:rsidR="00474AFB">
        <w:rPr>
          <w:rFonts w:ascii="Arial" w:hAnsi="Arial" w:cs="Arial"/>
          <w:szCs w:val="24"/>
        </w:rPr>
        <w:t xml:space="preserve">) el </w:t>
      </w:r>
      <w:r w:rsidR="003B7FC2">
        <w:rPr>
          <w:rFonts w:ascii="Arial" w:hAnsi="Arial" w:cs="Arial"/>
          <w:szCs w:val="24"/>
        </w:rPr>
        <w:t>3</w:t>
      </w:r>
      <w:r w:rsidR="00474AFB">
        <w:rPr>
          <w:rFonts w:ascii="Arial" w:hAnsi="Arial" w:cs="Arial"/>
          <w:szCs w:val="24"/>
        </w:rPr>
        <w:t>1</w:t>
      </w:r>
      <w:r w:rsidR="00950589">
        <w:rPr>
          <w:rFonts w:ascii="Arial" w:hAnsi="Arial" w:cs="Arial"/>
          <w:szCs w:val="24"/>
        </w:rPr>
        <w:t>-</w:t>
      </w:r>
      <w:r w:rsidR="003B7FC2">
        <w:rPr>
          <w:rFonts w:ascii="Arial" w:hAnsi="Arial" w:cs="Arial"/>
          <w:szCs w:val="24"/>
        </w:rPr>
        <w:t>1</w:t>
      </w:r>
      <w:r w:rsidR="00474AFB">
        <w:rPr>
          <w:rFonts w:ascii="Arial" w:hAnsi="Arial" w:cs="Arial"/>
          <w:szCs w:val="24"/>
        </w:rPr>
        <w:t>0</w:t>
      </w:r>
      <w:r w:rsidR="00950589">
        <w:rPr>
          <w:rFonts w:ascii="Arial" w:hAnsi="Arial" w:cs="Arial"/>
          <w:szCs w:val="24"/>
        </w:rPr>
        <w:t>-</w:t>
      </w:r>
      <w:r w:rsidR="00474AFB">
        <w:rPr>
          <w:rFonts w:ascii="Arial" w:hAnsi="Arial" w:cs="Arial"/>
          <w:szCs w:val="24"/>
        </w:rPr>
        <w:t>201</w:t>
      </w:r>
      <w:r w:rsidR="003B7FC2">
        <w:rPr>
          <w:rFonts w:ascii="Arial" w:hAnsi="Arial" w:cs="Arial"/>
          <w:szCs w:val="24"/>
        </w:rPr>
        <w:t>1</w:t>
      </w:r>
      <w:r w:rsidR="00474AFB">
        <w:rPr>
          <w:rFonts w:ascii="Arial" w:hAnsi="Arial" w:cs="Arial"/>
          <w:szCs w:val="24"/>
        </w:rPr>
        <w:t xml:space="preserve"> solicitó a Colpensiones el reconocimiento de la pensión de sobrevivientes</w:t>
      </w:r>
      <w:r w:rsidR="00392EB3">
        <w:rPr>
          <w:rFonts w:ascii="Arial" w:hAnsi="Arial" w:cs="Arial"/>
          <w:szCs w:val="24"/>
        </w:rPr>
        <w:t>,</w:t>
      </w:r>
      <w:r w:rsidR="00474AFB">
        <w:rPr>
          <w:rFonts w:ascii="Arial" w:hAnsi="Arial" w:cs="Arial"/>
          <w:szCs w:val="24"/>
        </w:rPr>
        <w:t xml:space="preserve"> pero le fue negada</w:t>
      </w:r>
      <w:r w:rsidR="003B7FC2">
        <w:rPr>
          <w:rFonts w:ascii="Arial" w:hAnsi="Arial" w:cs="Arial"/>
          <w:szCs w:val="24"/>
        </w:rPr>
        <w:t xml:space="preserve"> por medio de la resolución GNR 049416 del 1-04-2016 al no cotizar 50 semanas dentro de los 3 años anteriores al fallecimiento</w:t>
      </w:r>
      <w:r w:rsidR="005B457B">
        <w:rPr>
          <w:rFonts w:ascii="Arial" w:hAnsi="Arial" w:cs="Arial"/>
          <w:szCs w:val="24"/>
        </w:rPr>
        <w:t>.</w:t>
      </w:r>
      <w:r w:rsidR="003B7FC2">
        <w:rPr>
          <w:rFonts w:ascii="Arial" w:hAnsi="Arial" w:cs="Arial"/>
          <w:szCs w:val="24"/>
        </w:rPr>
        <w:t xml:space="preserve">   </w:t>
      </w:r>
    </w:p>
    <w:p w:rsidR="00474AFB" w:rsidRDefault="00474AFB" w:rsidP="0009166E">
      <w:pPr>
        <w:spacing w:line="276" w:lineRule="auto"/>
        <w:contextualSpacing/>
        <w:jc w:val="both"/>
        <w:rPr>
          <w:rFonts w:ascii="Arial" w:hAnsi="Arial" w:cs="Arial"/>
          <w:szCs w:val="24"/>
        </w:rPr>
      </w:pPr>
    </w:p>
    <w:p w:rsidR="00901680" w:rsidRDefault="00901680" w:rsidP="0009166E">
      <w:pPr>
        <w:spacing w:line="276" w:lineRule="auto"/>
        <w:contextualSpacing/>
        <w:jc w:val="both"/>
        <w:rPr>
          <w:rFonts w:ascii="Arial" w:hAnsi="Arial" w:cs="Arial"/>
          <w:szCs w:val="24"/>
        </w:rPr>
      </w:pPr>
      <w:r>
        <w:rPr>
          <w:rFonts w:ascii="Arial" w:hAnsi="Arial" w:cs="Arial"/>
          <w:szCs w:val="24"/>
        </w:rPr>
        <w:t>En el auto en que se admitió la demanda se dispuso vincular a la señora Laura Sofía Muriel Pescador como Litis consorte necesario en atención a su edad</w:t>
      </w:r>
      <w:r w:rsidR="004C2C0A">
        <w:rPr>
          <w:rFonts w:ascii="Arial" w:hAnsi="Arial" w:cs="Arial"/>
          <w:szCs w:val="24"/>
        </w:rPr>
        <w:t>, al ser menor al momento del fallecimiento del padre; quien luego intervino como sucesora procesal al fallecer la señora Pescador Trejos.</w:t>
      </w:r>
    </w:p>
    <w:p w:rsidR="00901680" w:rsidRDefault="00901680" w:rsidP="0009166E">
      <w:pPr>
        <w:spacing w:line="276" w:lineRule="auto"/>
        <w:contextualSpacing/>
        <w:jc w:val="both"/>
        <w:rPr>
          <w:rFonts w:ascii="Arial" w:hAnsi="Arial" w:cs="Arial"/>
          <w:szCs w:val="24"/>
        </w:rPr>
      </w:pPr>
    </w:p>
    <w:p w:rsidR="0009166E" w:rsidRPr="00002C37" w:rsidRDefault="0009166E" w:rsidP="0009166E">
      <w:pPr>
        <w:spacing w:line="276" w:lineRule="auto"/>
        <w:contextualSpacing/>
        <w:jc w:val="both"/>
        <w:rPr>
          <w:rFonts w:ascii="Arial" w:hAnsi="Arial" w:cs="Arial"/>
          <w:i/>
          <w:szCs w:val="24"/>
        </w:rPr>
      </w:pPr>
      <w:r w:rsidRPr="00004554">
        <w:rPr>
          <w:rFonts w:ascii="Arial" w:hAnsi="Arial" w:cs="Arial"/>
          <w:szCs w:val="24"/>
        </w:rPr>
        <w:t xml:space="preserve">La </w:t>
      </w:r>
      <w:r w:rsidRPr="00004554">
        <w:rPr>
          <w:rFonts w:ascii="Arial" w:hAnsi="Arial" w:cs="Arial"/>
          <w:b/>
          <w:szCs w:val="24"/>
        </w:rPr>
        <w:t>Administradora Colombiana de Pensiones –Colpensiones</w:t>
      </w:r>
      <w:r w:rsidRPr="00004554">
        <w:rPr>
          <w:rFonts w:ascii="Arial" w:hAnsi="Arial" w:cs="Arial"/>
          <w:szCs w:val="24"/>
        </w:rPr>
        <w:t>, se opuso a todas las pretensiones de la demanda y argumentó como razones de defensa</w:t>
      </w:r>
      <w:r w:rsidR="00004554">
        <w:rPr>
          <w:rFonts w:ascii="Arial" w:hAnsi="Arial" w:cs="Arial"/>
          <w:szCs w:val="24"/>
        </w:rPr>
        <w:t>,</w:t>
      </w:r>
      <w:r w:rsidRPr="00004554">
        <w:rPr>
          <w:rFonts w:ascii="Arial" w:hAnsi="Arial" w:cs="Arial"/>
          <w:szCs w:val="24"/>
        </w:rPr>
        <w:t xml:space="preserve"> que el </w:t>
      </w:r>
      <w:r w:rsidR="00002C37">
        <w:rPr>
          <w:rFonts w:ascii="Arial" w:hAnsi="Arial" w:cs="Arial"/>
          <w:szCs w:val="24"/>
        </w:rPr>
        <w:lastRenderedPageBreak/>
        <w:t xml:space="preserve">afiliado </w:t>
      </w:r>
      <w:r w:rsidRPr="00004554">
        <w:rPr>
          <w:rFonts w:ascii="Arial" w:hAnsi="Arial" w:cs="Arial"/>
          <w:szCs w:val="24"/>
        </w:rPr>
        <w:t xml:space="preserve">no </w:t>
      </w:r>
      <w:r w:rsidR="00901680">
        <w:rPr>
          <w:rFonts w:ascii="Arial" w:hAnsi="Arial" w:cs="Arial"/>
          <w:szCs w:val="24"/>
        </w:rPr>
        <w:t xml:space="preserve">consolidó el </w:t>
      </w:r>
      <w:r w:rsidRPr="00004554">
        <w:rPr>
          <w:rFonts w:ascii="Arial" w:hAnsi="Arial" w:cs="Arial"/>
          <w:szCs w:val="24"/>
        </w:rPr>
        <w:t xml:space="preserve">derecho. Interpuso las excepciones de mérito que denominó </w:t>
      </w:r>
      <w:r w:rsidRPr="00002C37">
        <w:rPr>
          <w:rFonts w:ascii="Arial" w:hAnsi="Arial" w:cs="Arial"/>
          <w:i/>
          <w:szCs w:val="24"/>
        </w:rPr>
        <w:t>“</w:t>
      </w:r>
      <w:r w:rsidR="00002C37" w:rsidRPr="00002C37">
        <w:rPr>
          <w:rFonts w:ascii="Arial" w:hAnsi="Arial" w:cs="Arial"/>
          <w:i/>
          <w:szCs w:val="24"/>
        </w:rPr>
        <w:t>I</w:t>
      </w:r>
      <w:r w:rsidR="00952BD2" w:rsidRPr="00002C37">
        <w:rPr>
          <w:rFonts w:ascii="Arial" w:hAnsi="Arial" w:cs="Arial"/>
          <w:i/>
          <w:szCs w:val="24"/>
        </w:rPr>
        <w:t>nexistencia de</w:t>
      </w:r>
      <w:r w:rsidR="00002C37" w:rsidRPr="00002C37">
        <w:rPr>
          <w:rFonts w:ascii="Arial" w:hAnsi="Arial" w:cs="Arial"/>
          <w:i/>
          <w:szCs w:val="24"/>
        </w:rPr>
        <w:t xml:space="preserve"> </w:t>
      </w:r>
      <w:r w:rsidR="00952BD2" w:rsidRPr="00002C37">
        <w:rPr>
          <w:rFonts w:ascii="Arial" w:hAnsi="Arial" w:cs="Arial"/>
          <w:i/>
          <w:szCs w:val="24"/>
        </w:rPr>
        <w:t>l</w:t>
      </w:r>
      <w:r w:rsidR="00002C37" w:rsidRPr="00002C37">
        <w:rPr>
          <w:rFonts w:ascii="Arial" w:hAnsi="Arial" w:cs="Arial"/>
          <w:i/>
          <w:szCs w:val="24"/>
        </w:rPr>
        <w:t>a</w:t>
      </w:r>
      <w:r w:rsidR="00952BD2" w:rsidRPr="00002C37">
        <w:rPr>
          <w:rFonts w:ascii="Arial" w:hAnsi="Arial" w:cs="Arial"/>
          <w:i/>
          <w:szCs w:val="24"/>
        </w:rPr>
        <w:t xml:space="preserve"> </w:t>
      </w:r>
      <w:r w:rsidR="00002C37" w:rsidRPr="00002C37">
        <w:rPr>
          <w:rFonts w:ascii="Arial" w:hAnsi="Arial" w:cs="Arial"/>
          <w:i/>
          <w:szCs w:val="24"/>
        </w:rPr>
        <w:t>obligación</w:t>
      </w:r>
      <w:r w:rsidR="004C2C0A">
        <w:rPr>
          <w:rFonts w:ascii="Arial" w:hAnsi="Arial" w:cs="Arial"/>
          <w:i/>
          <w:szCs w:val="24"/>
        </w:rPr>
        <w:t>”,</w:t>
      </w:r>
      <w:r w:rsidR="00002C37" w:rsidRPr="00002C37">
        <w:rPr>
          <w:rFonts w:ascii="Arial" w:hAnsi="Arial" w:cs="Arial"/>
          <w:i/>
          <w:szCs w:val="24"/>
        </w:rPr>
        <w:t xml:space="preserve"> </w:t>
      </w:r>
      <w:r w:rsidR="004C2C0A">
        <w:rPr>
          <w:rFonts w:ascii="Arial" w:hAnsi="Arial" w:cs="Arial"/>
          <w:i/>
          <w:szCs w:val="24"/>
        </w:rPr>
        <w:t>“</w:t>
      </w:r>
      <w:r w:rsidR="00002C37" w:rsidRPr="00002C37">
        <w:rPr>
          <w:rFonts w:ascii="Arial" w:hAnsi="Arial" w:cs="Arial"/>
          <w:i/>
          <w:szCs w:val="24"/>
        </w:rPr>
        <w:t xml:space="preserve">cobro de </w:t>
      </w:r>
      <w:r w:rsidR="00392EB3">
        <w:rPr>
          <w:rFonts w:ascii="Arial" w:hAnsi="Arial" w:cs="Arial"/>
          <w:i/>
          <w:szCs w:val="24"/>
        </w:rPr>
        <w:t>l</w:t>
      </w:r>
      <w:r w:rsidR="00002C37" w:rsidRPr="00002C37">
        <w:rPr>
          <w:rFonts w:ascii="Arial" w:hAnsi="Arial" w:cs="Arial"/>
          <w:i/>
          <w:szCs w:val="24"/>
        </w:rPr>
        <w:t xml:space="preserve">o no debido”, </w:t>
      </w:r>
      <w:r w:rsidR="004C2C0A">
        <w:rPr>
          <w:rFonts w:ascii="Arial" w:hAnsi="Arial" w:cs="Arial"/>
          <w:i/>
          <w:szCs w:val="24"/>
        </w:rPr>
        <w:t>“</w:t>
      </w:r>
      <w:r w:rsidR="00002C37" w:rsidRPr="00002C37">
        <w:rPr>
          <w:rFonts w:ascii="Arial" w:hAnsi="Arial" w:cs="Arial"/>
          <w:i/>
          <w:szCs w:val="24"/>
        </w:rPr>
        <w:t>b</w:t>
      </w:r>
      <w:r w:rsidR="00952BD2" w:rsidRPr="00002C37">
        <w:rPr>
          <w:rFonts w:ascii="Arial" w:hAnsi="Arial" w:cs="Arial"/>
          <w:i/>
          <w:szCs w:val="24"/>
        </w:rPr>
        <w:t>uena fe”</w:t>
      </w:r>
      <w:r w:rsidR="004C2C0A">
        <w:rPr>
          <w:rFonts w:ascii="Arial" w:hAnsi="Arial" w:cs="Arial"/>
          <w:i/>
          <w:szCs w:val="24"/>
        </w:rPr>
        <w:t xml:space="preserve">, improcedencia del reconocimiento de intereses moratorios, </w:t>
      </w:r>
      <w:r w:rsidR="00002C37" w:rsidRPr="00002C37">
        <w:rPr>
          <w:rFonts w:ascii="Arial" w:hAnsi="Arial" w:cs="Arial"/>
          <w:i/>
          <w:szCs w:val="24"/>
        </w:rPr>
        <w:t>innominada”</w:t>
      </w:r>
      <w:r w:rsidR="00952BD2" w:rsidRPr="00002C37">
        <w:rPr>
          <w:rFonts w:ascii="Arial" w:hAnsi="Arial" w:cs="Arial"/>
          <w:i/>
          <w:szCs w:val="24"/>
        </w:rPr>
        <w:t xml:space="preserve"> y</w:t>
      </w:r>
      <w:r w:rsidR="00450BAE" w:rsidRPr="00002C37">
        <w:rPr>
          <w:rFonts w:ascii="Arial" w:hAnsi="Arial" w:cs="Arial"/>
          <w:i/>
          <w:szCs w:val="24"/>
        </w:rPr>
        <w:t xml:space="preserve"> “</w:t>
      </w:r>
      <w:r w:rsidR="00002C37" w:rsidRPr="00002C37">
        <w:rPr>
          <w:rFonts w:ascii="Arial" w:hAnsi="Arial" w:cs="Arial"/>
          <w:i/>
          <w:szCs w:val="24"/>
        </w:rPr>
        <w:t>Prescripción</w:t>
      </w:r>
      <w:r w:rsidR="00450BAE" w:rsidRPr="00002C37">
        <w:rPr>
          <w:rFonts w:ascii="Arial" w:hAnsi="Arial" w:cs="Arial"/>
          <w:i/>
          <w:szCs w:val="24"/>
        </w:rPr>
        <w:t>”</w:t>
      </w:r>
      <w:r w:rsidRPr="00002C37">
        <w:rPr>
          <w:rFonts w:ascii="Arial" w:hAnsi="Arial" w:cs="Arial"/>
          <w:i/>
          <w:szCs w:val="24"/>
        </w:rPr>
        <w:t>.</w:t>
      </w:r>
    </w:p>
    <w:p w:rsidR="0009166E" w:rsidRPr="00004554" w:rsidRDefault="0009166E" w:rsidP="0009166E">
      <w:pPr>
        <w:spacing w:line="276" w:lineRule="auto"/>
        <w:contextualSpacing/>
        <w:jc w:val="both"/>
        <w:rPr>
          <w:rFonts w:ascii="Arial" w:hAnsi="Arial" w:cs="Arial"/>
          <w:szCs w:val="24"/>
        </w:rPr>
      </w:pPr>
    </w:p>
    <w:p w:rsidR="0009166E" w:rsidRPr="00E13D62" w:rsidRDefault="00E13D62" w:rsidP="00E13D62">
      <w:pPr>
        <w:spacing w:line="276" w:lineRule="auto"/>
        <w:rPr>
          <w:rFonts w:ascii="Arial" w:hAnsi="Arial" w:cs="Arial"/>
          <w:b/>
          <w:szCs w:val="24"/>
        </w:rPr>
      </w:pPr>
      <w:r>
        <w:rPr>
          <w:rFonts w:ascii="Arial" w:hAnsi="Arial" w:cs="Arial"/>
          <w:b/>
          <w:szCs w:val="24"/>
        </w:rPr>
        <w:t xml:space="preserve">2. </w:t>
      </w:r>
      <w:r w:rsidR="0009166E" w:rsidRPr="00E13D62">
        <w:rPr>
          <w:rFonts w:ascii="Arial" w:hAnsi="Arial" w:cs="Arial"/>
          <w:b/>
          <w:szCs w:val="24"/>
        </w:rPr>
        <w:t>Síntesis de la sentencia</w:t>
      </w:r>
    </w:p>
    <w:p w:rsidR="0009166E" w:rsidRPr="00004554" w:rsidRDefault="0009166E" w:rsidP="0009166E">
      <w:pPr>
        <w:pStyle w:val="Prrafodelista"/>
        <w:spacing w:after="0" w:line="276" w:lineRule="auto"/>
        <w:rPr>
          <w:rFonts w:ascii="Arial" w:hAnsi="Arial" w:cs="Arial"/>
          <w:b/>
          <w:sz w:val="24"/>
          <w:szCs w:val="24"/>
        </w:rPr>
      </w:pPr>
    </w:p>
    <w:p w:rsidR="00927F17" w:rsidRDefault="0009166E" w:rsidP="00E90516">
      <w:pPr>
        <w:pStyle w:val="Subttulo"/>
        <w:spacing w:line="276" w:lineRule="auto"/>
        <w:jc w:val="both"/>
        <w:rPr>
          <w:rFonts w:ascii="Arial" w:eastAsia="Times New Roman" w:hAnsi="Arial" w:cs="Arial"/>
          <w:color w:val="auto"/>
          <w:spacing w:val="0"/>
          <w:sz w:val="24"/>
          <w:szCs w:val="24"/>
        </w:rPr>
      </w:pPr>
      <w:r w:rsidRPr="00E95FA1">
        <w:rPr>
          <w:rFonts w:ascii="Arial" w:eastAsia="Times New Roman" w:hAnsi="Arial" w:cs="Arial"/>
          <w:color w:val="auto"/>
          <w:spacing w:val="0"/>
          <w:sz w:val="24"/>
          <w:szCs w:val="24"/>
        </w:rPr>
        <w:t xml:space="preserve">El Juzgado </w:t>
      </w:r>
      <w:r w:rsidR="004C2C0A">
        <w:rPr>
          <w:rFonts w:ascii="Arial" w:eastAsia="Times New Roman" w:hAnsi="Arial" w:cs="Arial"/>
          <w:color w:val="auto"/>
          <w:spacing w:val="0"/>
          <w:sz w:val="24"/>
          <w:szCs w:val="24"/>
        </w:rPr>
        <w:t>Quinto</w:t>
      </w:r>
      <w:r w:rsidR="003E3F90">
        <w:rPr>
          <w:rFonts w:ascii="Arial" w:eastAsia="Times New Roman" w:hAnsi="Arial" w:cs="Arial"/>
          <w:color w:val="auto"/>
          <w:spacing w:val="0"/>
          <w:sz w:val="24"/>
          <w:szCs w:val="24"/>
        </w:rPr>
        <w:t xml:space="preserve"> </w:t>
      </w:r>
      <w:r w:rsidRPr="00E95FA1">
        <w:rPr>
          <w:rFonts w:ascii="Arial" w:eastAsia="Times New Roman" w:hAnsi="Arial" w:cs="Arial"/>
          <w:color w:val="auto"/>
          <w:spacing w:val="0"/>
          <w:sz w:val="24"/>
          <w:szCs w:val="24"/>
        </w:rPr>
        <w:t>Laboral del Circuito de Pereir</w:t>
      </w:r>
      <w:r w:rsidR="00952BD2" w:rsidRPr="00E95FA1">
        <w:rPr>
          <w:rFonts w:ascii="Arial" w:eastAsia="Times New Roman" w:hAnsi="Arial" w:cs="Arial"/>
          <w:color w:val="auto"/>
          <w:spacing w:val="0"/>
          <w:sz w:val="24"/>
          <w:szCs w:val="24"/>
        </w:rPr>
        <w:t>a</w:t>
      </w:r>
      <w:r w:rsidR="00E13D62" w:rsidRPr="00E95FA1">
        <w:rPr>
          <w:rFonts w:ascii="Arial" w:eastAsia="Times New Roman" w:hAnsi="Arial" w:cs="Arial"/>
          <w:color w:val="auto"/>
          <w:spacing w:val="0"/>
          <w:sz w:val="24"/>
          <w:szCs w:val="24"/>
        </w:rPr>
        <w:t xml:space="preserve"> </w:t>
      </w:r>
      <w:r w:rsidR="004C2C0A">
        <w:rPr>
          <w:rFonts w:ascii="Arial" w:eastAsia="Times New Roman" w:hAnsi="Arial" w:cs="Arial"/>
          <w:color w:val="auto"/>
          <w:spacing w:val="0"/>
          <w:sz w:val="24"/>
          <w:szCs w:val="24"/>
        </w:rPr>
        <w:t xml:space="preserve">condenó a Colpensiones a reconocer la pensión de sobrevivientes a Carmen Elena Pescador Trejos en su calidad cónyuge del señor Luis Gonzaga Muriel </w:t>
      </w:r>
      <w:proofErr w:type="spellStart"/>
      <w:r w:rsidR="004C2C0A">
        <w:rPr>
          <w:rFonts w:ascii="Arial" w:eastAsia="Times New Roman" w:hAnsi="Arial" w:cs="Arial"/>
          <w:color w:val="auto"/>
          <w:spacing w:val="0"/>
          <w:sz w:val="24"/>
          <w:szCs w:val="24"/>
        </w:rPr>
        <w:t>Vinasco</w:t>
      </w:r>
      <w:proofErr w:type="spellEnd"/>
      <w:r w:rsidR="00927F17">
        <w:rPr>
          <w:rFonts w:ascii="Arial" w:eastAsia="Times New Roman" w:hAnsi="Arial" w:cs="Arial"/>
          <w:color w:val="auto"/>
          <w:spacing w:val="0"/>
          <w:sz w:val="24"/>
          <w:szCs w:val="24"/>
        </w:rPr>
        <w:t xml:space="preserve"> y Laura Sofía Muriel Pescador</w:t>
      </w:r>
      <w:r w:rsidR="00F418C2">
        <w:rPr>
          <w:rFonts w:ascii="Arial" w:eastAsia="Times New Roman" w:hAnsi="Arial" w:cs="Arial"/>
          <w:color w:val="auto"/>
          <w:spacing w:val="0"/>
          <w:sz w:val="24"/>
          <w:szCs w:val="24"/>
        </w:rPr>
        <w:t>,</w:t>
      </w:r>
      <w:r w:rsidR="00950589">
        <w:rPr>
          <w:rFonts w:ascii="Arial" w:eastAsia="Times New Roman" w:hAnsi="Arial" w:cs="Arial"/>
          <w:color w:val="auto"/>
          <w:spacing w:val="0"/>
          <w:sz w:val="24"/>
          <w:szCs w:val="24"/>
        </w:rPr>
        <w:t xml:space="preserve"> como hija,</w:t>
      </w:r>
      <w:r w:rsidR="00F418C2">
        <w:rPr>
          <w:rFonts w:ascii="Arial" w:eastAsia="Times New Roman" w:hAnsi="Arial" w:cs="Arial"/>
          <w:color w:val="auto"/>
          <w:spacing w:val="0"/>
          <w:sz w:val="24"/>
          <w:szCs w:val="24"/>
        </w:rPr>
        <w:t xml:space="preserve"> a partir del 6-07-2010, en cuantía de 1 </w:t>
      </w:r>
      <w:proofErr w:type="spellStart"/>
      <w:r w:rsidR="00F418C2">
        <w:rPr>
          <w:rFonts w:ascii="Arial" w:eastAsia="Times New Roman" w:hAnsi="Arial" w:cs="Arial"/>
          <w:color w:val="auto"/>
          <w:spacing w:val="0"/>
          <w:sz w:val="24"/>
          <w:szCs w:val="24"/>
        </w:rPr>
        <w:t>smlmv</w:t>
      </w:r>
      <w:proofErr w:type="spellEnd"/>
      <w:r w:rsidR="00927F17">
        <w:rPr>
          <w:rFonts w:ascii="Arial" w:eastAsia="Times New Roman" w:hAnsi="Arial" w:cs="Arial"/>
          <w:color w:val="auto"/>
          <w:spacing w:val="0"/>
          <w:sz w:val="24"/>
          <w:szCs w:val="24"/>
        </w:rPr>
        <w:t>.</w:t>
      </w:r>
    </w:p>
    <w:p w:rsidR="00E90516" w:rsidRDefault="00927F17" w:rsidP="00E90516">
      <w:pPr>
        <w:pStyle w:val="Subttulo"/>
        <w:spacing w:line="276" w:lineRule="auto"/>
        <w:jc w:val="both"/>
        <w:rPr>
          <w:rFonts w:ascii="Arial" w:eastAsia="Times New Roman" w:hAnsi="Arial" w:cs="Arial"/>
          <w:color w:val="auto"/>
          <w:spacing w:val="0"/>
          <w:sz w:val="24"/>
          <w:szCs w:val="24"/>
        </w:rPr>
      </w:pPr>
      <w:r w:rsidRPr="00DC04CE">
        <w:rPr>
          <w:rFonts w:ascii="Arial" w:eastAsia="Times New Roman" w:hAnsi="Arial" w:cs="Arial"/>
          <w:color w:val="auto"/>
          <w:spacing w:val="0"/>
          <w:sz w:val="24"/>
          <w:szCs w:val="24"/>
        </w:rPr>
        <w:t xml:space="preserve">Pero solo se dispuso </w:t>
      </w:r>
      <w:r w:rsidR="00F418C2" w:rsidRPr="00DC04CE">
        <w:rPr>
          <w:rFonts w:ascii="Arial" w:eastAsia="Times New Roman" w:hAnsi="Arial" w:cs="Arial"/>
          <w:color w:val="auto"/>
          <w:spacing w:val="0"/>
          <w:sz w:val="24"/>
          <w:szCs w:val="24"/>
        </w:rPr>
        <w:t>cancelar a</w:t>
      </w:r>
      <w:r w:rsidRPr="00DC04CE">
        <w:rPr>
          <w:rFonts w:ascii="Arial" w:eastAsia="Times New Roman" w:hAnsi="Arial" w:cs="Arial"/>
          <w:color w:val="auto"/>
          <w:spacing w:val="0"/>
          <w:sz w:val="24"/>
          <w:szCs w:val="24"/>
        </w:rPr>
        <w:t xml:space="preserve"> favor de </w:t>
      </w:r>
      <w:r w:rsidR="00F418C2" w:rsidRPr="00DC04CE">
        <w:rPr>
          <w:rFonts w:ascii="Arial" w:eastAsia="Times New Roman" w:hAnsi="Arial" w:cs="Arial"/>
          <w:color w:val="auto"/>
          <w:spacing w:val="0"/>
          <w:sz w:val="24"/>
          <w:szCs w:val="24"/>
        </w:rPr>
        <w:t xml:space="preserve">la masa </w:t>
      </w:r>
      <w:proofErr w:type="spellStart"/>
      <w:r w:rsidR="00F418C2" w:rsidRPr="00DC04CE">
        <w:rPr>
          <w:rFonts w:ascii="Arial" w:eastAsia="Times New Roman" w:hAnsi="Arial" w:cs="Arial"/>
          <w:color w:val="auto"/>
          <w:spacing w:val="0"/>
          <w:sz w:val="24"/>
          <w:szCs w:val="24"/>
        </w:rPr>
        <w:t>sucesoral</w:t>
      </w:r>
      <w:proofErr w:type="spellEnd"/>
      <w:r w:rsidR="00F418C2" w:rsidRPr="00DC04CE">
        <w:rPr>
          <w:rFonts w:ascii="Arial" w:eastAsia="Times New Roman" w:hAnsi="Arial" w:cs="Arial"/>
          <w:color w:val="auto"/>
          <w:spacing w:val="0"/>
          <w:sz w:val="24"/>
          <w:szCs w:val="24"/>
        </w:rPr>
        <w:t xml:space="preserve"> de </w:t>
      </w:r>
      <w:r w:rsidRPr="00DC04CE">
        <w:rPr>
          <w:rFonts w:ascii="Arial" w:eastAsia="Times New Roman" w:hAnsi="Arial" w:cs="Arial"/>
          <w:color w:val="auto"/>
          <w:spacing w:val="0"/>
          <w:sz w:val="24"/>
          <w:szCs w:val="24"/>
        </w:rPr>
        <w:t>la señora Pescador Trejos</w:t>
      </w:r>
      <w:r w:rsidR="00F418C2" w:rsidRPr="00DC04CE">
        <w:rPr>
          <w:rFonts w:ascii="Arial" w:eastAsia="Times New Roman" w:hAnsi="Arial" w:cs="Arial"/>
          <w:color w:val="auto"/>
          <w:spacing w:val="0"/>
          <w:sz w:val="24"/>
          <w:szCs w:val="24"/>
        </w:rPr>
        <w:t xml:space="preserve"> la suma calculada como retroactivo hasta el día de su fallecimiento - 23-10-2015-, junto con los intereses moratorios</w:t>
      </w:r>
      <w:r w:rsidRPr="00DC04CE">
        <w:rPr>
          <w:rFonts w:ascii="Arial" w:eastAsia="Times New Roman" w:hAnsi="Arial" w:cs="Arial"/>
          <w:color w:val="auto"/>
          <w:spacing w:val="0"/>
          <w:sz w:val="24"/>
          <w:szCs w:val="24"/>
        </w:rPr>
        <w:t>, al prescribir las mesadas de Laura Sofía</w:t>
      </w:r>
      <w:r>
        <w:rPr>
          <w:rFonts w:ascii="Arial" w:eastAsia="Times New Roman" w:hAnsi="Arial" w:cs="Arial"/>
          <w:color w:val="auto"/>
          <w:spacing w:val="0"/>
          <w:sz w:val="24"/>
          <w:szCs w:val="24"/>
        </w:rPr>
        <w:t xml:space="preserve"> Muriel Pescador</w:t>
      </w:r>
      <w:r w:rsidR="00F418C2">
        <w:rPr>
          <w:rFonts w:ascii="Arial" w:eastAsia="Times New Roman" w:hAnsi="Arial" w:cs="Arial"/>
          <w:color w:val="auto"/>
          <w:spacing w:val="0"/>
          <w:sz w:val="24"/>
          <w:szCs w:val="24"/>
        </w:rPr>
        <w:t>.</w:t>
      </w:r>
    </w:p>
    <w:p w:rsidR="00927F17" w:rsidRDefault="00927F17" w:rsidP="003E3F90">
      <w:pPr>
        <w:spacing w:line="276" w:lineRule="auto"/>
        <w:contextualSpacing/>
        <w:jc w:val="both"/>
        <w:rPr>
          <w:rFonts w:ascii="Arial" w:hAnsi="Arial" w:cs="Arial"/>
          <w:szCs w:val="24"/>
          <w:lang w:eastAsia="es-CO"/>
        </w:rPr>
      </w:pPr>
    </w:p>
    <w:p w:rsidR="00022A8C" w:rsidRPr="007C3382" w:rsidRDefault="004B00AD" w:rsidP="00927F17">
      <w:pPr>
        <w:spacing w:line="276" w:lineRule="auto"/>
        <w:contextualSpacing/>
        <w:jc w:val="both"/>
        <w:rPr>
          <w:rFonts w:ascii="Arial" w:hAnsi="Arial" w:cs="Arial"/>
        </w:rPr>
      </w:pPr>
      <w:r w:rsidRPr="004675CE">
        <w:rPr>
          <w:rFonts w:ascii="Arial" w:hAnsi="Arial" w:cs="Arial"/>
          <w:szCs w:val="24"/>
          <w:lang w:eastAsia="es-CO"/>
        </w:rPr>
        <w:t>Como sustento de la decisión indicó</w:t>
      </w:r>
      <w:r w:rsidR="00DC04CE" w:rsidRPr="004675CE">
        <w:rPr>
          <w:rFonts w:ascii="Arial" w:hAnsi="Arial" w:cs="Arial"/>
          <w:szCs w:val="24"/>
          <w:lang w:eastAsia="es-CO"/>
        </w:rPr>
        <w:t xml:space="preserve"> </w:t>
      </w:r>
      <w:r w:rsidR="00CD0D30" w:rsidRPr="004675CE">
        <w:rPr>
          <w:rFonts w:ascii="Arial" w:hAnsi="Arial" w:cs="Arial"/>
          <w:szCs w:val="24"/>
          <w:lang w:eastAsia="es-CO"/>
        </w:rPr>
        <w:t xml:space="preserve">que como el afiliado al momento de su muerte no contaba con las </w:t>
      </w:r>
      <w:r w:rsidR="004675CE" w:rsidRPr="004675CE">
        <w:rPr>
          <w:rFonts w:ascii="Arial" w:hAnsi="Arial" w:cs="Arial"/>
          <w:szCs w:val="24"/>
          <w:lang w:eastAsia="es-CO"/>
        </w:rPr>
        <w:t>exigencias de la ley 797 de 2003 era procedente acudir al A 049 de 1990 en aplicación del principio de la condición más beneficiosa, donde acreditaba más de 300 semanas cotizadas con anterior</w:t>
      </w:r>
      <w:r w:rsidR="00FF094D">
        <w:rPr>
          <w:rFonts w:ascii="Arial" w:hAnsi="Arial" w:cs="Arial"/>
          <w:szCs w:val="24"/>
          <w:lang w:eastAsia="es-CO"/>
        </w:rPr>
        <w:t>idad a la entrada en vigencia d</w:t>
      </w:r>
      <w:r w:rsidR="004675CE" w:rsidRPr="004675CE">
        <w:rPr>
          <w:rFonts w:ascii="Arial" w:hAnsi="Arial" w:cs="Arial"/>
          <w:szCs w:val="24"/>
          <w:lang w:eastAsia="es-CO"/>
        </w:rPr>
        <w:t>e</w:t>
      </w:r>
      <w:r w:rsidR="00FF094D">
        <w:rPr>
          <w:rFonts w:ascii="Arial" w:hAnsi="Arial" w:cs="Arial"/>
          <w:szCs w:val="24"/>
          <w:lang w:eastAsia="es-CO"/>
        </w:rPr>
        <w:t xml:space="preserve"> la L</w:t>
      </w:r>
      <w:r w:rsidR="004675CE" w:rsidRPr="004675CE">
        <w:rPr>
          <w:rFonts w:ascii="Arial" w:hAnsi="Arial" w:cs="Arial"/>
          <w:szCs w:val="24"/>
          <w:lang w:eastAsia="es-CO"/>
        </w:rPr>
        <w:t>ey 10</w:t>
      </w:r>
      <w:r w:rsidR="00FF094D">
        <w:rPr>
          <w:rFonts w:ascii="Arial" w:hAnsi="Arial" w:cs="Arial"/>
          <w:szCs w:val="24"/>
          <w:lang w:eastAsia="es-CO"/>
        </w:rPr>
        <w:t>0 de 1993</w:t>
      </w:r>
      <w:r w:rsidR="004675CE" w:rsidRPr="004675CE">
        <w:rPr>
          <w:rFonts w:ascii="Arial" w:hAnsi="Arial" w:cs="Arial"/>
          <w:szCs w:val="24"/>
          <w:lang w:eastAsia="es-CO"/>
        </w:rPr>
        <w:t xml:space="preserve">, sin que fuera procedente aplicar la sentencia SU </w:t>
      </w:r>
      <w:r w:rsidR="00FF094D">
        <w:rPr>
          <w:rFonts w:ascii="Arial" w:hAnsi="Arial" w:cs="Arial"/>
          <w:szCs w:val="24"/>
          <w:lang w:eastAsia="es-CO"/>
        </w:rPr>
        <w:t>0</w:t>
      </w:r>
      <w:r w:rsidR="004675CE" w:rsidRPr="004675CE">
        <w:rPr>
          <w:rFonts w:ascii="Arial" w:hAnsi="Arial" w:cs="Arial"/>
          <w:szCs w:val="24"/>
          <w:lang w:eastAsia="es-CO"/>
        </w:rPr>
        <w:t>05 de 2018 porque al momento de proferirse</w:t>
      </w:r>
      <w:r w:rsidR="00FF094D">
        <w:rPr>
          <w:rFonts w:ascii="Arial" w:hAnsi="Arial" w:cs="Arial"/>
          <w:szCs w:val="24"/>
          <w:lang w:eastAsia="es-CO"/>
        </w:rPr>
        <w:t xml:space="preserve"> sentencia,</w:t>
      </w:r>
      <w:r w:rsidR="004675CE">
        <w:rPr>
          <w:rFonts w:ascii="Arial" w:hAnsi="Arial" w:cs="Arial"/>
          <w:szCs w:val="24"/>
          <w:lang w:eastAsia="es-CO"/>
        </w:rPr>
        <w:t xml:space="preserve"> las pruebas habían sido recaudadas.  Adicionalmente se acreditó la condición de beneficiarias de </w:t>
      </w:r>
      <w:proofErr w:type="gramStart"/>
      <w:r w:rsidR="004675CE">
        <w:rPr>
          <w:rFonts w:ascii="Arial" w:hAnsi="Arial" w:cs="Arial"/>
          <w:szCs w:val="24"/>
          <w:lang w:eastAsia="es-CO"/>
        </w:rPr>
        <w:t>la</w:t>
      </w:r>
      <w:proofErr w:type="gramEnd"/>
      <w:r w:rsidR="004675CE">
        <w:rPr>
          <w:rFonts w:ascii="Arial" w:hAnsi="Arial" w:cs="Arial"/>
          <w:szCs w:val="24"/>
          <w:lang w:eastAsia="es-CO"/>
        </w:rPr>
        <w:t xml:space="preserve"> cónyuge e hija, aunque esta última dejó prescribir su derecho al no efectuar reclamación alguna.  </w:t>
      </w:r>
    </w:p>
    <w:p w:rsidR="003E3F90" w:rsidRPr="007C3382" w:rsidRDefault="003E3F90" w:rsidP="007C3382">
      <w:pPr>
        <w:spacing w:line="276" w:lineRule="auto"/>
        <w:contextualSpacing/>
        <w:jc w:val="both"/>
        <w:rPr>
          <w:rFonts w:ascii="Arial" w:hAnsi="Arial" w:cs="Arial"/>
          <w:color w:val="000000"/>
          <w:szCs w:val="24"/>
          <w:lang w:eastAsia="es-CO"/>
        </w:rPr>
      </w:pPr>
    </w:p>
    <w:p w:rsidR="00F6181A" w:rsidRDefault="0049769C" w:rsidP="00F6181A">
      <w:pPr>
        <w:spacing w:line="276" w:lineRule="auto"/>
        <w:jc w:val="both"/>
        <w:rPr>
          <w:rFonts w:ascii="Arial" w:hAnsi="Arial" w:cs="Arial"/>
          <w:szCs w:val="24"/>
        </w:rPr>
      </w:pPr>
      <w:r>
        <w:rPr>
          <w:rFonts w:ascii="Arial" w:hAnsi="Arial" w:cs="Arial"/>
          <w:b/>
          <w:szCs w:val="24"/>
        </w:rPr>
        <w:t>3.</w:t>
      </w:r>
      <w:r w:rsidR="00F6181A">
        <w:rPr>
          <w:rFonts w:ascii="Arial" w:hAnsi="Arial" w:cs="Arial"/>
          <w:b/>
          <w:szCs w:val="24"/>
        </w:rPr>
        <w:t xml:space="preserve"> Consulta. </w:t>
      </w:r>
      <w:r w:rsidR="00F6181A">
        <w:rPr>
          <w:rFonts w:ascii="Arial" w:hAnsi="Arial" w:cs="Arial"/>
          <w:szCs w:val="24"/>
        </w:rPr>
        <w:t xml:space="preserve"> Al resultar la decisión adversa a los intereses de Colpensiones y la señora Laura Sofía Muriel Pescador se dispuso surtir el grado jurisdiccional de consulta, conforme al artículo 69 del CPL.</w:t>
      </w:r>
    </w:p>
    <w:p w:rsidR="00F6181A" w:rsidRDefault="00F6181A" w:rsidP="00F6181A">
      <w:pPr>
        <w:spacing w:line="276" w:lineRule="auto"/>
        <w:jc w:val="both"/>
        <w:rPr>
          <w:rFonts w:ascii="Arial" w:hAnsi="Arial" w:cs="Arial"/>
          <w:szCs w:val="24"/>
        </w:rPr>
      </w:pPr>
    </w:p>
    <w:p w:rsidR="0009166E" w:rsidRDefault="0009166E" w:rsidP="00F6181A">
      <w:pPr>
        <w:spacing w:line="276" w:lineRule="auto"/>
        <w:jc w:val="center"/>
        <w:rPr>
          <w:rFonts w:ascii="Arial" w:hAnsi="Arial" w:cs="Arial"/>
          <w:b/>
          <w:szCs w:val="24"/>
        </w:rPr>
      </w:pPr>
      <w:r w:rsidRPr="00004554">
        <w:rPr>
          <w:rFonts w:ascii="Arial" w:hAnsi="Arial" w:cs="Arial"/>
          <w:b/>
          <w:szCs w:val="24"/>
        </w:rPr>
        <w:t>CONSIDERACIONES</w:t>
      </w:r>
    </w:p>
    <w:p w:rsidR="0013107A" w:rsidRDefault="0013107A" w:rsidP="0009166E">
      <w:pPr>
        <w:shd w:val="clear" w:color="auto" w:fill="FFFFFF"/>
        <w:spacing w:line="276" w:lineRule="auto"/>
        <w:jc w:val="center"/>
        <w:rPr>
          <w:rFonts w:ascii="Arial" w:hAnsi="Arial" w:cs="Arial"/>
          <w:b/>
          <w:szCs w:val="24"/>
        </w:rPr>
      </w:pPr>
    </w:p>
    <w:p w:rsidR="0009166E" w:rsidRPr="007363C7" w:rsidRDefault="007363C7" w:rsidP="007363C7">
      <w:pPr>
        <w:shd w:val="clear" w:color="auto" w:fill="FFFFFF"/>
        <w:tabs>
          <w:tab w:val="left" w:pos="5197"/>
        </w:tabs>
        <w:spacing w:line="276" w:lineRule="auto"/>
        <w:jc w:val="both"/>
        <w:rPr>
          <w:rFonts w:ascii="Arial" w:hAnsi="Arial" w:cs="Arial"/>
          <w:b/>
          <w:szCs w:val="24"/>
        </w:rPr>
      </w:pPr>
      <w:r>
        <w:rPr>
          <w:rFonts w:ascii="Arial" w:hAnsi="Arial" w:cs="Arial"/>
          <w:b/>
          <w:szCs w:val="24"/>
        </w:rPr>
        <w:t>1.</w:t>
      </w:r>
      <w:r w:rsidR="00984932" w:rsidRPr="007363C7">
        <w:rPr>
          <w:rFonts w:ascii="Arial" w:hAnsi="Arial" w:cs="Arial"/>
          <w:b/>
          <w:szCs w:val="24"/>
        </w:rPr>
        <w:t xml:space="preserve"> </w:t>
      </w:r>
      <w:r w:rsidR="00986B44" w:rsidRPr="007363C7">
        <w:rPr>
          <w:rFonts w:ascii="Arial" w:hAnsi="Arial" w:cs="Arial"/>
          <w:b/>
          <w:szCs w:val="24"/>
        </w:rPr>
        <w:t>P</w:t>
      </w:r>
      <w:r w:rsidR="0009166E" w:rsidRPr="007363C7">
        <w:rPr>
          <w:rFonts w:ascii="Arial" w:hAnsi="Arial" w:cs="Arial"/>
          <w:b/>
          <w:szCs w:val="24"/>
        </w:rPr>
        <w:t>roblema jurídico</w:t>
      </w:r>
    </w:p>
    <w:p w:rsidR="00984932" w:rsidRDefault="00984932" w:rsidP="0009166E">
      <w:pPr>
        <w:shd w:val="clear" w:color="auto" w:fill="FFFFFF"/>
        <w:tabs>
          <w:tab w:val="left" w:pos="5197"/>
        </w:tabs>
        <w:spacing w:line="276" w:lineRule="auto"/>
        <w:contextualSpacing/>
        <w:jc w:val="both"/>
        <w:rPr>
          <w:rFonts w:ascii="Arial" w:hAnsi="Arial" w:cs="Arial"/>
          <w:color w:val="000000"/>
          <w:szCs w:val="24"/>
          <w:lang w:eastAsia="es-CO"/>
        </w:rPr>
      </w:pPr>
    </w:p>
    <w:p w:rsidR="0009166E" w:rsidRPr="00004554" w:rsidRDefault="0009166E" w:rsidP="0009166E">
      <w:pPr>
        <w:shd w:val="clear" w:color="auto" w:fill="FFFFFF"/>
        <w:tabs>
          <w:tab w:val="left" w:pos="5197"/>
        </w:tabs>
        <w:spacing w:line="276" w:lineRule="auto"/>
        <w:contextualSpacing/>
        <w:jc w:val="both"/>
        <w:rPr>
          <w:rFonts w:ascii="Arial" w:hAnsi="Arial" w:cs="Arial"/>
          <w:color w:val="000000"/>
          <w:szCs w:val="24"/>
          <w:lang w:eastAsia="es-CO"/>
        </w:rPr>
      </w:pPr>
      <w:r w:rsidRPr="00004554">
        <w:rPr>
          <w:rFonts w:ascii="Arial" w:hAnsi="Arial" w:cs="Arial"/>
          <w:color w:val="000000"/>
          <w:szCs w:val="24"/>
          <w:lang w:eastAsia="es-CO"/>
        </w:rPr>
        <w:t xml:space="preserve">Visto el recuento anterior, la Sala formula </w:t>
      </w:r>
      <w:r w:rsidR="00FF094D">
        <w:rPr>
          <w:rFonts w:ascii="Arial" w:hAnsi="Arial" w:cs="Arial"/>
          <w:color w:val="000000"/>
          <w:szCs w:val="24"/>
          <w:lang w:eastAsia="es-CO"/>
        </w:rPr>
        <w:t>el</w:t>
      </w:r>
      <w:r w:rsidR="00EE5D6D" w:rsidRPr="00004554">
        <w:rPr>
          <w:rFonts w:ascii="Arial" w:hAnsi="Arial" w:cs="Arial"/>
          <w:color w:val="000000"/>
          <w:szCs w:val="24"/>
          <w:lang w:eastAsia="es-CO"/>
        </w:rPr>
        <w:t xml:space="preserve"> </w:t>
      </w:r>
      <w:r w:rsidRPr="00004554">
        <w:rPr>
          <w:rFonts w:ascii="Arial" w:hAnsi="Arial" w:cs="Arial"/>
          <w:color w:val="000000"/>
          <w:szCs w:val="24"/>
          <w:lang w:eastAsia="es-CO"/>
        </w:rPr>
        <w:t>siguiente:</w:t>
      </w:r>
    </w:p>
    <w:p w:rsidR="0009166E" w:rsidRPr="00004554" w:rsidRDefault="0009166E" w:rsidP="0009166E">
      <w:pPr>
        <w:spacing w:line="276" w:lineRule="auto"/>
        <w:ind w:left="1134"/>
        <w:jc w:val="both"/>
        <w:rPr>
          <w:rFonts w:ascii="Arial" w:hAnsi="Arial" w:cs="Arial"/>
          <w:color w:val="000000" w:themeColor="text1"/>
          <w:szCs w:val="24"/>
        </w:rPr>
      </w:pPr>
    </w:p>
    <w:p w:rsidR="00EA51AD" w:rsidRDefault="00EA51AD" w:rsidP="00EA51AD">
      <w:pPr>
        <w:spacing w:line="276" w:lineRule="auto"/>
        <w:jc w:val="both"/>
        <w:rPr>
          <w:rFonts w:ascii="Arial" w:hAnsi="Arial" w:cs="Arial"/>
          <w:iCs/>
          <w:szCs w:val="24"/>
        </w:rPr>
      </w:pPr>
      <w:r>
        <w:rPr>
          <w:rFonts w:ascii="Arial" w:hAnsi="Arial" w:cs="Arial"/>
          <w:szCs w:val="24"/>
        </w:rPr>
        <w:t>¿Resu</w:t>
      </w:r>
      <w:r w:rsidRPr="0000603E">
        <w:rPr>
          <w:rFonts w:ascii="Arial" w:hAnsi="Arial" w:cs="Arial"/>
          <w:szCs w:val="24"/>
        </w:rPr>
        <w:t xml:space="preserve">lta procedente </w:t>
      </w:r>
      <w:r>
        <w:rPr>
          <w:rFonts w:ascii="Arial" w:hAnsi="Arial" w:cs="Arial"/>
          <w:szCs w:val="24"/>
        </w:rPr>
        <w:t xml:space="preserve">el reconocimiento de </w:t>
      </w:r>
      <w:r w:rsidRPr="0000603E">
        <w:rPr>
          <w:rFonts w:ascii="Arial" w:hAnsi="Arial" w:cs="Arial"/>
          <w:szCs w:val="24"/>
        </w:rPr>
        <w:t xml:space="preserve">la pensión de </w:t>
      </w:r>
      <w:r>
        <w:rPr>
          <w:rFonts w:ascii="Arial" w:hAnsi="Arial" w:cs="Arial"/>
          <w:szCs w:val="24"/>
        </w:rPr>
        <w:t xml:space="preserve">sobrevivientes </w:t>
      </w:r>
      <w:r w:rsidRPr="0000603E">
        <w:rPr>
          <w:rFonts w:ascii="Arial" w:hAnsi="Arial" w:cs="Arial"/>
          <w:szCs w:val="24"/>
        </w:rPr>
        <w:t>conforme al Acuerdo 049 de 1990, en aplicación de</w:t>
      </w:r>
      <w:r>
        <w:rPr>
          <w:rFonts w:ascii="Arial" w:hAnsi="Arial" w:cs="Arial"/>
          <w:szCs w:val="24"/>
        </w:rPr>
        <w:t xml:space="preserve">l principio de </w:t>
      </w:r>
      <w:r w:rsidRPr="0000603E">
        <w:rPr>
          <w:rFonts w:ascii="Arial" w:hAnsi="Arial" w:cs="Arial"/>
          <w:szCs w:val="24"/>
        </w:rPr>
        <w:t>la cond</w:t>
      </w:r>
      <w:r>
        <w:rPr>
          <w:rFonts w:ascii="Arial" w:hAnsi="Arial" w:cs="Arial"/>
          <w:szCs w:val="24"/>
        </w:rPr>
        <w:t>ición más beneficiosa, cuando el fallecimiento del afiliado ocurrió en vigencia de la Ley 797 de 2003</w:t>
      </w:r>
      <w:r w:rsidRPr="0000603E">
        <w:rPr>
          <w:rFonts w:ascii="Arial" w:hAnsi="Arial" w:cs="Arial"/>
          <w:iCs/>
          <w:szCs w:val="24"/>
        </w:rPr>
        <w:t>?</w:t>
      </w:r>
    </w:p>
    <w:p w:rsidR="00B56D20" w:rsidRPr="00B56D20" w:rsidRDefault="00B56D20" w:rsidP="00B56D20">
      <w:pPr>
        <w:spacing w:line="276" w:lineRule="auto"/>
        <w:jc w:val="both"/>
        <w:rPr>
          <w:rFonts w:ascii="Arial" w:hAnsi="Arial" w:cs="Arial"/>
          <w:iCs/>
          <w:szCs w:val="24"/>
        </w:rPr>
      </w:pPr>
    </w:p>
    <w:p w:rsidR="0009166E" w:rsidRPr="00004554" w:rsidRDefault="008B7636" w:rsidP="0009166E">
      <w:pPr>
        <w:pStyle w:val="Textoindependiente"/>
        <w:spacing w:line="276" w:lineRule="auto"/>
        <w:contextualSpacing/>
        <w:rPr>
          <w:b/>
          <w:iCs/>
          <w:szCs w:val="24"/>
        </w:rPr>
      </w:pPr>
      <w:r>
        <w:rPr>
          <w:b/>
          <w:iCs/>
          <w:szCs w:val="24"/>
        </w:rPr>
        <w:t>2</w:t>
      </w:r>
      <w:r w:rsidR="0009166E" w:rsidRPr="00004554">
        <w:rPr>
          <w:b/>
          <w:iCs/>
          <w:szCs w:val="24"/>
        </w:rPr>
        <w:t>. Solución a</w:t>
      </w:r>
      <w:r w:rsidR="00986B44">
        <w:rPr>
          <w:b/>
          <w:iCs/>
          <w:szCs w:val="24"/>
        </w:rPr>
        <w:t xml:space="preserve"> </w:t>
      </w:r>
      <w:r w:rsidR="0009166E" w:rsidRPr="00004554">
        <w:rPr>
          <w:b/>
          <w:iCs/>
          <w:szCs w:val="24"/>
        </w:rPr>
        <w:t>l</w:t>
      </w:r>
      <w:r w:rsidR="00986B44">
        <w:rPr>
          <w:b/>
          <w:iCs/>
          <w:szCs w:val="24"/>
        </w:rPr>
        <w:t>os</w:t>
      </w:r>
      <w:r w:rsidR="0009166E" w:rsidRPr="00004554">
        <w:rPr>
          <w:b/>
          <w:iCs/>
          <w:szCs w:val="24"/>
        </w:rPr>
        <w:t xml:space="preserve"> problema</w:t>
      </w:r>
      <w:r w:rsidR="00986B44">
        <w:rPr>
          <w:b/>
          <w:iCs/>
          <w:szCs w:val="24"/>
        </w:rPr>
        <w:t>s</w:t>
      </w:r>
      <w:r w:rsidR="0009166E" w:rsidRPr="00004554">
        <w:rPr>
          <w:b/>
          <w:iCs/>
          <w:szCs w:val="24"/>
        </w:rPr>
        <w:t xml:space="preserve"> jurídico</w:t>
      </w:r>
      <w:r w:rsidR="00986B44">
        <w:rPr>
          <w:b/>
          <w:iCs/>
          <w:szCs w:val="24"/>
        </w:rPr>
        <w:t>s</w:t>
      </w:r>
      <w:r w:rsidR="0009166E" w:rsidRPr="00004554">
        <w:rPr>
          <w:b/>
          <w:iCs/>
          <w:szCs w:val="24"/>
        </w:rPr>
        <w:t xml:space="preserve"> </w:t>
      </w:r>
    </w:p>
    <w:p w:rsidR="0009166E" w:rsidRDefault="0009166E" w:rsidP="0009166E">
      <w:pPr>
        <w:pStyle w:val="Textoindependiente"/>
        <w:spacing w:line="276" w:lineRule="auto"/>
        <w:ind w:left="390"/>
        <w:contextualSpacing/>
        <w:rPr>
          <w:b/>
          <w:iCs/>
          <w:szCs w:val="24"/>
        </w:rPr>
      </w:pPr>
    </w:p>
    <w:p w:rsidR="003246F0" w:rsidRDefault="003246F0" w:rsidP="003246F0">
      <w:pPr>
        <w:pStyle w:val="Textoindependiente"/>
        <w:spacing w:line="276" w:lineRule="auto"/>
        <w:contextualSpacing/>
        <w:rPr>
          <w:iCs/>
          <w:szCs w:val="24"/>
        </w:rPr>
      </w:pPr>
      <w:r>
        <w:rPr>
          <w:b/>
          <w:color w:val="000000"/>
          <w:szCs w:val="24"/>
          <w:shd w:val="clear" w:color="auto" w:fill="FFFFFF"/>
          <w:lang w:val="es-ES"/>
        </w:rPr>
        <w:t>2</w:t>
      </w:r>
      <w:r w:rsidRPr="00004554">
        <w:rPr>
          <w:b/>
          <w:color w:val="000000"/>
          <w:szCs w:val="24"/>
          <w:shd w:val="clear" w:color="auto" w:fill="FFFFFF"/>
          <w:lang w:val="es-ES"/>
        </w:rPr>
        <w:t>.1.</w:t>
      </w:r>
      <w:r>
        <w:rPr>
          <w:szCs w:val="24"/>
          <w:lang w:val="es-CO"/>
        </w:rPr>
        <w:t xml:space="preserve"> En tratándose de pensiones de sobreviviente y de invalidez la norma vigente al momento del fallecimiento del afiliado o de la estructuración del estado de invalidez es la que determina los requisitos que deben cumplirse para que surja. </w:t>
      </w:r>
    </w:p>
    <w:p w:rsidR="003246F0" w:rsidRPr="00004554" w:rsidRDefault="003246F0" w:rsidP="0009166E">
      <w:pPr>
        <w:pStyle w:val="Textoindependiente"/>
        <w:spacing w:line="276" w:lineRule="auto"/>
        <w:ind w:left="390"/>
        <w:contextualSpacing/>
        <w:rPr>
          <w:b/>
          <w:iCs/>
          <w:szCs w:val="24"/>
        </w:rPr>
      </w:pPr>
    </w:p>
    <w:p w:rsidR="00D24380" w:rsidRDefault="003246F0" w:rsidP="00E07891">
      <w:pPr>
        <w:pStyle w:val="Textoindependiente"/>
        <w:contextualSpacing/>
        <w:rPr>
          <w:iCs/>
          <w:szCs w:val="24"/>
        </w:rPr>
      </w:pPr>
      <w:r w:rsidRPr="00A23E21">
        <w:rPr>
          <w:b/>
          <w:szCs w:val="24"/>
          <w:lang w:val="es-CO"/>
        </w:rPr>
        <w:t>2.2</w:t>
      </w:r>
      <w:r>
        <w:rPr>
          <w:szCs w:val="24"/>
          <w:lang w:val="es-CO"/>
        </w:rPr>
        <w:t xml:space="preserve">. Así, dado que el fallecimiento </w:t>
      </w:r>
      <w:r w:rsidRPr="0008706E">
        <w:rPr>
          <w:szCs w:val="24"/>
          <w:lang w:val="es-CO"/>
        </w:rPr>
        <w:t>del señor</w:t>
      </w:r>
      <w:r>
        <w:rPr>
          <w:color w:val="000000" w:themeColor="text1"/>
          <w:szCs w:val="24"/>
        </w:rPr>
        <w:t xml:space="preserve">Luis Gonzaga Muriel </w:t>
      </w:r>
      <w:proofErr w:type="spellStart"/>
      <w:r>
        <w:rPr>
          <w:color w:val="000000" w:themeColor="text1"/>
          <w:szCs w:val="24"/>
        </w:rPr>
        <w:t>Vinasco</w:t>
      </w:r>
      <w:proofErr w:type="spellEnd"/>
      <w:r>
        <w:rPr>
          <w:color w:val="000000" w:themeColor="text1"/>
          <w:szCs w:val="24"/>
        </w:rPr>
        <w:t xml:space="preserve"> ocurrió</w:t>
      </w:r>
      <w:r w:rsidRPr="0008706E">
        <w:rPr>
          <w:szCs w:val="24"/>
          <w:lang w:val="es-CO"/>
        </w:rPr>
        <w:t xml:space="preserve"> </w:t>
      </w:r>
      <w:r>
        <w:rPr>
          <w:iCs/>
          <w:szCs w:val="24"/>
        </w:rPr>
        <w:t>el 06</w:t>
      </w:r>
      <w:r w:rsidR="00E07891">
        <w:rPr>
          <w:iCs/>
          <w:szCs w:val="24"/>
        </w:rPr>
        <w:t>-</w:t>
      </w:r>
      <w:r w:rsidR="00EF0E9D">
        <w:rPr>
          <w:iCs/>
          <w:szCs w:val="24"/>
        </w:rPr>
        <w:t>07-</w:t>
      </w:r>
      <w:r>
        <w:rPr>
          <w:iCs/>
          <w:szCs w:val="24"/>
        </w:rPr>
        <w:t>2010 (</w:t>
      </w:r>
      <w:proofErr w:type="spellStart"/>
      <w:r>
        <w:rPr>
          <w:iCs/>
          <w:szCs w:val="24"/>
        </w:rPr>
        <w:t>fl</w:t>
      </w:r>
      <w:proofErr w:type="spellEnd"/>
      <w:r>
        <w:rPr>
          <w:iCs/>
          <w:szCs w:val="24"/>
        </w:rPr>
        <w:t>. 11)</w:t>
      </w:r>
      <w:r w:rsidR="00E07891">
        <w:rPr>
          <w:iCs/>
          <w:szCs w:val="24"/>
        </w:rPr>
        <w:t>,</w:t>
      </w:r>
      <w:r w:rsidRPr="0008706E">
        <w:rPr>
          <w:szCs w:val="24"/>
          <w:lang w:val="es-CO"/>
        </w:rPr>
        <w:t xml:space="preserve"> la norma </w:t>
      </w:r>
      <w:r>
        <w:rPr>
          <w:szCs w:val="24"/>
          <w:lang w:val="es-CO"/>
        </w:rPr>
        <w:t>aplicable</w:t>
      </w:r>
      <w:r w:rsidRPr="0008706E">
        <w:rPr>
          <w:szCs w:val="24"/>
          <w:lang w:val="es-CO"/>
        </w:rPr>
        <w:t xml:space="preserve"> </w:t>
      </w:r>
      <w:r>
        <w:rPr>
          <w:szCs w:val="24"/>
          <w:lang w:val="es-CO"/>
        </w:rPr>
        <w:t>e</w:t>
      </w:r>
      <w:r w:rsidRPr="0008706E">
        <w:rPr>
          <w:szCs w:val="24"/>
          <w:lang w:val="es-CO"/>
        </w:rPr>
        <w:t>s</w:t>
      </w:r>
      <w:r>
        <w:rPr>
          <w:szCs w:val="24"/>
          <w:lang w:val="es-CO"/>
        </w:rPr>
        <w:t xml:space="preserve"> </w:t>
      </w:r>
      <w:r w:rsidRPr="0008706E">
        <w:rPr>
          <w:szCs w:val="24"/>
          <w:lang w:val="es-CO"/>
        </w:rPr>
        <w:t xml:space="preserve">el artículo </w:t>
      </w:r>
      <w:r>
        <w:rPr>
          <w:szCs w:val="24"/>
          <w:lang w:val="es-CO"/>
        </w:rPr>
        <w:t>12 de la</w:t>
      </w:r>
      <w:r w:rsidRPr="0008706E">
        <w:rPr>
          <w:szCs w:val="24"/>
          <w:lang w:val="es-CO"/>
        </w:rPr>
        <w:t xml:space="preserve"> Ley </w:t>
      </w:r>
      <w:r>
        <w:rPr>
          <w:szCs w:val="24"/>
          <w:lang w:val="es-CO"/>
        </w:rPr>
        <w:t>797</w:t>
      </w:r>
      <w:r w:rsidRPr="0008706E">
        <w:rPr>
          <w:szCs w:val="24"/>
          <w:lang w:val="es-CO"/>
        </w:rPr>
        <w:t xml:space="preserve"> de 2003</w:t>
      </w:r>
      <w:r>
        <w:rPr>
          <w:szCs w:val="24"/>
          <w:lang w:val="es-CO"/>
        </w:rPr>
        <w:t xml:space="preserve">, que </w:t>
      </w:r>
      <w:r>
        <w:rPr>
          <w:szCs w:val="24"/>
          <w:lang w:val="es-CO"/>
        </w:rPr>
        <w:lastRenderedPageBreak/>
        <w:t>modificó el artículo 46 de la Ley 100 de 1993</w:t>
      </w:r>
      <w:r w:rsidRPr="0008706E">
        <w:rPr>
          <w:szCs w:val="24"/>
          <w:lang w:val="es-CO"/>
        </w:rPr>
        <w:t>,</w:t>
      </w:r>
      <w:r>
        <w:rPr>
          <w:szCs w:val="24"/>
          <w:lang w:val="es-CO"/>
        </w:rPr>
        <w:t xml:space="preserve"> </w:t>
      </w:r>
      <w:r>
        <w:rPr>
          <w:iCs/>
          <w:szCs w:val="24"/>
        </w:rPr>
        <w:t>que exige 50 semanas cotizadas dentro de los tres (3) años anteriores al deceso.</w:t>
      </w:r>
      <w:r w:rsidR="00E07891">
        <w:rPr>
          <w:iCs/>
          <w:szCs w:val="24"/>
        </w:rPr>
        <w:t xml:space="preserve"> </w:t>
      </w:r>
    </w:p>
    <w:p w:rsidR="00112979" w:rsidRPr="00004554" w:rsidRDefault="00112979" w:rsidP="0009166E">
      <w:pPr>
        <w:pStyle w:val="Textoindependiente"/>
        <w:spacing w:line="276" w:lineRule="auto"/>
        <w:contextualSpacing/>
        <w:rPr>
          <w:iCs/>
          <w:szCs w:val="24"/>
        </w:rPr>
      </w:pPr>
    </w:p>
    <w:p w:rsidR="00D24380" w:rsidRDefault="008B7636" w:rsidP="009B01DC">
      <w:pPr>
        <w:pStyle w:val="Textoindependiente"/>
        <w:spacing w:line="276" w:lineRule="auto"/>
        <w:contextualSpacing/>
        <w:rPr>
          <w:szCs w:val="24"/>
        </w:rPr>
      </w:pPr>
      <w:r>
        <w:rPr>
          <w:b/>
          <w:iCs/>
          <w:szCs w:val="24"/>
        </w:rPr>
        <w:t>2</w:t>
      </w:r>
      <w:r w:rsidR="00D803A2">
        <w:rPr>
          <w:b/>
          <w:iCs/>
          <w:szCs w:val="24"/>
        </w:rPr>
        <w:t>.</w:t>
      </w:r>
      <w:r w:rsidR="00E07891">
        <w:rPr>
          <w:b/>
          <w:iCs/>
          <w:szCs w:val="24"/>
        </w:rPr>
        <w:t>3</w:t>
      </w:r>
      <w:r w:rsidR="00D803A2">
        <w:rPr>
          <w:b/>
          <w:iCs/>
          <w:szCs w:val="24"/>
        </w:rPr>
        <w:t xml:space="preserve"> </w:t>
      </w:r>
      <w:r w:rsidR="00D24380" w:rsidRPr="00603A96">
        <w:rPr>
          <w:szCs w:val="24"/>
        </w:rPr>
        <w:t xml:space="preserve">Revisada la historia laboral del señor </w:t>
      </w:r>
      <w:r w:rsidR="009B01DC">
        <w:rPr>
          <w:szCs w:val="24"/>
        </w:rPr>
        <w:t xml:space="preserve">Muriel Pescador </w:t>
      </w:r>
      <w:r w:rsidR="00D24380" w:rsidRPr="00603A96">
        <w:rPr>
          <w:szCs w:val="24"/>
        </w:rPr>
        <w:t>(fl.</w:t>
      </w:r>
      <w:r w:rsidR="005623BE">
        <w:rPr>
          <w:szCs w:val="24"/>
        </w:rPr>
        <w:t xml:space="preserve">79 </w:t>
      </w:r>
      <w:r w:rsidR="00D24380">
        <w:rPr>
          <w:szCs w:val="24"/>
        </w:rPr>
        <w:t>del cd. 1</w:t>
      </w:r>
      <w:r w:rsidR="00D24380" w:rsidRPr="00603A96">
        <w:rPr>
          <w:szCs w:val="24"/>
        </w:rPr>
        <w:t xml:space="preserve">), </w:t>
      </w:r>
      <w:r w:rsidR="00D24380">
        <w:rPr>
          <w:szCs w:val="24"/>
        </w:rPr>
        <w:t xml:space="preserve">dentro del periodo </w:t>
      </w:r>
      <w:r w:rsidR="00D24380" w:rsidRPr="00603A96">
        <w:rPr>
          <w:szCs w:val="24"/>
        </w:rPr>
        <w:t>comprendido entre el</w:t>
      </w:r>
      <w:r w:rsidR="00D24380">
        <w:rPr>
          <w:szCs w:val="24"/>
        </w:rPr>
        <w:t xml:space="preserve"> 0</w:t>
      </w:r>
      <w:r w:rsidR="005623BE">
        <w:rPr>
          <w:szCs w:val="24"/>
        </w:rPr>
        <w:t>6</w:t>
      </w:r>
      <w:r w:rsidR="00510F77">
        <w:rPr>
          <w:szCs w:val="24"/>
        </w:rPr>
        <w:t>-07-</w:t>
      </w:r>
      <w:r w:rsidR="00D24380">
        <w:rPr>
          <w:szCs w:val="24"/>
        </w:rPr>
        <w:t>201</w:t>
      </w:r>
      <w:r w:rsidR="005623BE">
        <w:rPr>
          <w:szCs w:val="24"/>
        </w:rPr>
        <w:t>0</w:t>
      </w:r>
      <w:r w:rsidR="00D24380">
        <w:rPr>
          <w:szCs w:val="24"/>
        </w:rPr>
        <w:t xml:space="preserve"> y la misma fecha de 200</w:t>
      </w:r>
      <w:r w:rsidR="005623BE">
        <w:rPr>
          <w:szCs w:val="24"/>
        </w:rPr>
        <w:t>7</w:t>
      </w:r>
      <w:r w:rsidR="00D24380">
        <w:rPr>
          <w:szCs w:val="24"/>
        </w:rPr>
        <w:t xml:space="preserve">, no cuenta con cotizaciones, dado que el último aporte realizado al sistema lo fue por el ciclo de </w:t>
      </w:r>
      <w:r w:rsidR="005623BE">
        <w:rPr>
          <w:szCs w:val="24"/>
        </w:rPr>
        <w:t>febrero</w:t>
      </w:r>
      <w:r w:rsidR="00D24380">
        <w:rPr>
          <w:szCs w:val="24"/>
        </w:rPr>
        <w:t xml:space="preserve"> de 200</w:t>
      </w:r>
      <w:r w:rsidR="005623BE">
        <w:rPr>
          <w:szCs w:val="24"/>
        </w:rPr>
        <w:t>5</w:t>
      </w:r>
      <w:r w:rsidR="00D24380" w:rsidRPr="00603A96">
        <w:rPr>
          <w:szCs w:val="24"/>
        </w:rPr>
        <w:t>, con lo cual resulta fácil concluir que no satisfizo la densidad de semanas requeridas en el artículo 12 de la Ley 797 de 2003.</w:t>
      </w:r>
    </w:p>
    <w:p w:rsidR="00D24380" w:rsidRPr="002E665B" w:rsidRDefault="00D24380" w:rsidP="00D24380">
      <w:pPr>
        <w:pStyle w:val="Textoindependiente"/>
        <w:spacing w:line="276" w:lineRule="auto"/>
        <w:rPr>
          <w:color w:val="000000"/>
          <w:szCs w:val="24"/>
          <w:shd w:val="clear" w:color="auto" w:fill="FFFFFF"/>
        </w:rPr>
      </w:pPr>
    </w:p>
    <w:p w:rsidR="00510F77" w:rsidRDefault="00510F77" w:rsidP="00510F77">
      <w:pPr>
        <w:pStyle w:val="Textoindependiente"/>
        <w:spacing w:line="276" w:lineRule="auto"/>
        <w:rPr>
          <w:color w:val="000000"/>
          <w:szCs w:val="24"/>
          <w:shd w:val="clear" w:color="auto" w:fill="FFFFFF"/>
          <w:lang w:val="es-ES"/>
        </w:rPr>
      </w:pPr>
      <w:r w:rsidRPr="00A23E21">
        <w:rPr>
          <w:b/>
          <w:color w:val="000000"/>
          <w:szCs w:val="24"/>
          <w:shd w:val="clear" w:color="auto" w:fill="FFFFFF"/>
          <w:lang w:val="es-ES"/>
        </w:rPr>
        <w:t>2.4</w:t>
      </w:r>
      <w:r>
        <w:rPr>
          <w:color w:val="000000"/>
          <w:szCs w:val="24"/>
          <w:shd w:val="clear" w:color="auto" w:fill="FFFFFF"/>
          <w:lang w:val="es-ES"/>
        </w:rPr>
        <w:t>. Dada estas circunstancias, se abre paso a aplicar el principio de la condición más beneficiosa, lo que implica que se pueda verificar si se cumple los requisitos contemplados en la norma anterior para acceder a la prestación reclamada.</w:t>
      </w:r>
    </w:p>
    <w:p w:rsidR="00510F77" w:rsidRPr="00A23E21" w:rsidRDefault="00510F77" w:rsidP="00510F77">
      <w:pPr>
        <w:pStyle w:val="Textoindependiente"/>
        <w:spacing w:line="276" w:lineRule="auto"/>
        <w:rPr>
          <w:b/>
          <w:szCs w:val="24"/>
          <w:lang w:val="es-ES"/>
        </w:rPr>
      </w:pPr>
    </w:p>
    <w:p w:rsidR="00510F77" w:rsidRDefault="00510F77" w:rsidP="00510F77">
      <w:pPr>
        <w:pStyle w:val="Textoindependiente"/>
        <w:spacing w:line="276" w:lineRule="auto"/>
        <w:rPr>
          <w:szCs w:val="24"/>
        </w:rPr>
      </w:pPr>
      <w:r w:rsidRPr="00A23E21">
        <w:rPr>
          <w:b/>
          <w:szCs w:val="24"/>
        </w:rPr>
        <w:t>2.5</w:t>
      </w:r>
      <w:r>
        <w:rPr>
          <w:szCs w:val="24"/>
        </w:rPr>
        <w:t>. Sin embargo, este principio tiene dos limitantes en su aplicación, según lo  sentado por el órgano de cierre de esta especialidad, que comparte la Sala Mayoritaria.</w:t>
      </w:r>
    </w:p>
    <w:p w:rsidR="00510F77" w:rsidRDefault="00510F77" w:rsidP="00510F77">
      <w:pPr>
        <w:pStyle w:val="Textoindependiente"/>
        <w:spacing w:line="276" w:lineRule="auto"/>
        <w:rPr>
          <w:szCs w:val="24"/>
        </w:rPr>
      </w:pPr>
    </w:p>
    <w:p w:rsidR="00510F77" w:rsidRDefault="00510F77" w:rsidP="00510F77">
      <w:pPr>
        <w:pStyle w:val="Textoindependiente"/>
        <w:spacing w:line="276" w:lineRule="auto"/>
        <w:rPr>
          <w:color w:val="000000"/>
          <w:szCs w:val="24"/>
          <w:lang w:val="es-ES"/>
        </w:rPr>
      </w:pPr>
      <w:r>
        <w:rPr>
          <w:szCs w:val="24"/>
        </w:rPr>
        <w:t>La primera</w:t>
      </w:r>
      <w:r w:rsidRPr="00DD3634">
        <w:rPr>
          <w:rStyle w:val="Refdenotaalpie"/>
          <w:szCs w:val="24"/>
        </w:rPr>
        <w:footnoteReference w:id="1"/>
      </w:r>
      <w:r>
        <w:rPr>
          <w:szCs w:val="24"/>
        </w:rPr>
        <w:t xml:space="preserve">, consistente en que </w:t>
      </w:r>
      <w:r w:rsidRPr="007B1977">
        <w:rPr>
          <w:color w:val="000000"/>
          <w:szCs w:val="24"/>
          <w:lang w:val="es-ES"/>
        </w:rPr>
        <w:t xml:space="preserve">no </w:t>
      </w:r>
      <w:r>
        <w:rPr>
          <w:color w:val="000000"/>
          <w:szCs w:val="24"/>
          <w:lang w:val="es-ES"/>
        </w:rPr>
        <w:t>se</w:t>
      </w:r>
      <w:r w:rsidRPr="007B1977">
        <w:rPr>
          <w:color w:val="000000"/>
          <w:szCs w:val="24"/>
          <w:lang w:val="es-ES"/>
        </w:rPr>
        <w:t xml:space="preserve"> permite al juzgador aplicar a un caso en particular cualquier norma legal que en el pasado haya regulado el asunto, sino</w:t>
      </w:r>
      <w:r>
        <w:rPr>
          <w:color w:val="000000"/>
          <w:szCs w:val="24"/>
          <w:lang w:val="es-ES"/>
        </w:rPr>
        <w:t xml:space="preserve"> </w:t>
      </w:r>
      <w:r w:rsidRPr="007B1977">
        <w:rPr>
          <w:color w:val="000000"/>
          <w:szCs w:val="24"/>
          <w:lang w:val="es-ES"/>
        </w:rPr>
        <w:t>la norma inmediatamente anterior a la vigente en el momento</w:t>
      </w:r>
      <w:r>
        <w:rPr>
          <w:color w:val="000000"/>
          <w:szCs w:val="24"/>
          <w:lang w:val="es-ES"/>
        </w:rPr>
        <w:t xml:space="preserve"> en que se estructuró el derecho. </w:t>
      </w:r>
    </w:p>
    <w:p w:rsidR="00220B7F" w:rsidRDefault="00220B7F" w:rsidP="00510F77">
      <w:pPr>
        <w:pStyle w:val="Textoindependiente"/>
        <w:spacing w:line="276" w:lineRule="auto"/>
        <w:rPr>
          <w:color w:val="000000"/>
          <w:szCs w:val="24"/>
          <w:lang w:val="es-ES"/>
        </w:rPr>
      </w:pPr>
    </w:p>
    <w:p w:rsidR="00510F77" w:rsidRDefault="00510F77" w:rsidP="00510F77">
      <w:pPr>
        <w:autoSpaceDE w:val="0"/>
        <w:autoSpaceDN w:val="0"/>
        <w:adjustRightInd w:val="0"/>
        <w:spacing w:line="276" w:lineRule="auto"/>
        <w:contextualSpacing/>
        <w:jc w:val="both"/>
        <w:rPr>
          <w:rFonts w:ascii="Arial" w:hAnsi="Arial" w:cs="Arial"/>
          <w:color w:val="000000"/>
          <w:szCs w:val="24"/>
          <w:shd w:val="clear" w:color="auto" w:fill="FFFFFF"/>
        </w:rPr>
      </w:pPr>
      <w:r>
        <w:rPr>
          <w:rFonts w:ascii="Arial" w:hAnsi="Arial" w:cs="Arial"/>
          <w:color w:val="000000"/>
          <w:szCs w:val="24"/>
          <w:lang w:val="es-ES"/>
        </w:rPr>
        <w:t xml:space="preserve">Línea que se apoya entre otros en </w:t>
      </w:r>
      <w:r w:rsidRPr="001F00C4">
        <w:rPr>
          <w:rFonts w:ascii="Arial" w:hAnsi="Arial" w:cs="Arial"/>
          <w:color w:val="000000"/>
          <w:szCs w:val="24"/>
          <w:lang w:val="es-ES"/>
        </w:rPr>
        <w:t>el Acto Legislativo 01 de 2005</w:t>
      </w:r>
      <w:r>
        <w:rPr>
          <w:rFonts w:ascii="Arial" w:hAnsi="Arial" w:cs="Arial"/>
          <w:color w:val="000000"/>
          <w:szCs w:val="24"/>
          <w:lang w:val="es-ES"/>
        </w:rPr>
        <w:t>, que</w:t>
      </w:r>
      <w:r w:rsidRPr="001F00C4">
        <w:rPr>
          <w:rFonts w:ascii="Arial" w:hAnsi="Arial" w:cs="Arial"/>
          <w:color w:val="000000"/>
          <w:szCs w:val="24"/>
          <w:lang w:val="es-ES"/>
        </w:rPr>
        <w:t xml:space="preserve"> dispone en la parte final del inciso 4</w:t>
      </w:r>
      <w:r w:rsidRPr="001F00C4">
        <w:rPr>
          <w:rFonts w:ascii="Arial" w:hAnsi="Arial" w:cs="Arial"/>
          <w:color w:val="000000"/>
          <w:sz w:val="22"/>
          <w:szCs w:val="22"/>
          <w:lang w:val="es-ES"/>
        </w:rPr>
        <w:t>° que “</w:t>
      </w:r>
      <w:r w:rsidRPr="001F00C4">
        <w:rPr>
          <w:rFonts w:ascii="Arial" w:hAnsi="Arial" w:cs="Arial"/>
          <w:i/>
          <w:color w:val="000000"/>
          <w:sz w:val="22"/>
          <w:szCs w:val="22"/>
          <w:shd w:val="clear" w:color="auto" w:fill="FFFFFF"/>
        </w:rPr>
        <w:t>Los requisitos y beneficios para adquirir el derecho a una pensión de invalidez o de sobrevivencia serán los establecidos por las leyes del Sistema General de Pensiones",</w:t>
      </w:r>
      <w:r>
        <w:t xml:space="preserve"> </w:t>
      </w:r>
      <w:r w:rsidRPr="00021C24">
        <w:rPr>
          <w:rFonts w:ascii="Arial" w:hAnsi="Arial" w:cs="Arial"/>
        </w:rPr>
        <w:t xml:space="preserve">este </w:t>
      </w:r>
      <w:r w:rsidRPr="001F00C4">
        <w:rPr>
          <w:rFonts w:ascii="Arial" w:hAnsi="Arial" w:cs="Arial"/>
          <w:szCs w:val="24"/>
          <w:lang w:val="es-AR"/>
        </w:rPr>
        <w:t>creado con la expedición de la Ley 100 de 1993</w:t>
      </w:r>
      <w:r w:rsidRPr="001F00C4">
        <w:rPr>
          <w:rFonts w:ascii="Arial" w:hAnsi="Arial" w:cs="Arial"/>
          <w:i/>
          <w:color w:val="000000"/>
          <w:szCs w:val="24"/>
          <w:shd w:val="clear" w:color="auto" w:fill="FFFFFF"/>
        </w:rPr>
        <w:t xml:space="preserve"> </w:t>
      </w:r>
      <w:r w:rsidRPr="001F00C4">
        <w:rPr>
          <w:rFonts w:ascii="Arial" w:hAnsi="Arial" w:cs="Arial"/>
          <w:color w:val="000000"/>
          <w:szCs w:val="24"/>
          <w:shd w:val="clear" w:color="auto" w:fill="FFFFFF"/>
        </w:rPr>
        <w:t xml:space="preserve">y desarrollado a partir del artículo 10 </w:t>
      </w:r>
      <w:r w:rsidRPr="001F00C4">
        <w:rPr>
          <w:rFonts w:ascii="Arial" w:hAnsi="Arial" w:cs="Arial"/>
          <w:i/>
          <w:color w:val="000000"/>
          <w:szCs w:val="24"/>
          <w:shd w:val="clear" w:color="auto" w:fill="FFFFFF"/>
        </w:rPr>
        <w:t>ibídem</w:t>
      </w:r>
      <w:r>
        <w:rPr>
          <w:rFonts w:ascii="Arial" w:hAnsi="Arial" w:cs="Arial"/>
          <w:color w:val="000000"/>
          <w:szCs w:val="24"/>
          <w:shd w:val="clear" w:color="auto" w:fill="FFFFFF"/>
        </w:rPr>
        <w:t>, lo que significa que él se encuentra constituido por esa normativa y las</w:t>
      </w:r>
      <w:r w:rsidRPr="001F00C4">
        <w:rPr>
          <w:rFonts w:ascii="Arial" w:hAnsi="Arial" w:cs="Arial"/>
          <w:color w:val="000000"/>
          <w:szCs w:val="24"/>
          <w:shd w:val="clear" w:color="auto" w:fill="FFFFFF"/>
        </w:rPr>
        <w:t xml:space="preserve"> modificaci</w:t>
      </w:r>
      <w:r>
        <w:rPr>
          <w:rFonts w:ascii="Arial" w:hAnsi="Arial" w:cs="Arial"/>
          <w:color w:val="000000"/>
          <w:szCs w:val="24"/>
          <w:shd w:val="clear" w:color="auto" w:fill="FFFFFF"/>
        </w:rPr>
        <w:t xml:space="preserve">ones </w:t>
      </w:r>
      <w:r w:rsidRPr="001F00C4">
        <w:rPr>
          <w:rFonts w:ascii="Arial" w:hAnsi="Arial" w:cs="Arial"/>
          <w:color w:val="000000"/>
          <w:szCs w:val="24"/>
          <w:shd w:val="clear" w:color="auto" w:fill="FFFFFF"/>
        </w:rPr>
        <w:t>introducida</w:t>
      </w:r>
      <w:r>
        <w:rPr>
          <w:rFonts w:ascii="Arial" w:hAnsi="Arial" w:cs="Arial"/>
          <w:color w:val="000000"/>
          <w:szCs w:val="24"/>
          <w:shd w:val="clear" w:color="auto" w:fill="FFFFFF"/>
        </w:rPr>
        <w:t>s</w:t>
      </w:r>
      <w:r w:rsidRPr="001F00C4">
        <w:rPr>
          <w:rFonts w:ascii="Arial" w:hAnsi="Arial" w:cs="Arial"/>
          <w:color w:val="000000"/>
          <w:szCs w:val="24"/>
          <w:shd w:val="clear" w:color="auto" w:fill="FFFFFF"/>
        </w:rPr>
        <w:t xml:space="preserve"> por la Ley 797 de 2003, de donde debe entender</w:t>
      </w:r>
      <w:r>
        <w:rPr>
          <w:rFonts w:ascii="Arial" w:hAnsi="Arial" w:cs="Arial"/>
          <w:color w:val="000000"/>
          <w:szCs w:val="24"/>
          <w:shd w:val="clear" w:color="auto" w:fill="FFFFFF"/>
        </w:rPr>
        <w:t>se</w:t>
      </w:r>
      <w:r w:rsidRPr="001F00C4">
        <w:rPr>
          <w:rFonts w:ascii="Arial" w:hAnsi="Arial" w:cs="Arial"/>
          <w:color w:val="000000"/>
          <w:szCs w:val="24"/>
          <w:shd w:val="clear" w:color="auto" w:fill="FFFFFF"/>
        </w:rPr>
        <w:t xml:space="preserve"> </w:t>
      </w:r>
      <w:r>
        <w:rPr>
          <w:rFonts w:ascii="Arial" w:hAnsi="Arial" w:cs="Arial"/>
          <w:color w:val="000000"/>
          <w:szCs w:val="24"/>
          <w:shd w:val="clear" w:color="auto" w:fill="FFFFFF"/>
        </w:rPr>
        <w:t>excluido el Acuerdo 049 de 1990, por ser anterior a éstas.</w:t>
      </w:r>
    </w:p>
    <w:p w:rsidR="00510F77" w:rsidRDefault="00510F77" w:rsidP="00510F77">
      <w:pPr>
        <w:autoSpaceDE w:val="0"/>
        <w:autoSpaceDN w:val="0"/>
        <w:adjustRightInd w:val="0"/>
        <w:spacing w:line="276" w:lineRule="auto"/>
        <w:contextualSpacing/>
        <w:jc w:val="both"/>
        <w:rPr>
          <w:rFonts w:ascii="Arial" w:hAnsi="Arial" w:cs="Arial"/>
          <w:color w:val="000000"/>
          <w:szCs w:val="24"/>
          <w:shd w:val="clear" w:color="auto" w:fill="FFFFFF"/>
        </w:rPr>
      </w:pPr>
    </w:p>
    <w:p w:rsidR="00510F77" w:rsidRDefault="00510F77" w:rsidP="00510F77">
      <w:pPr>
        <w:autoSpaceDE w:val="0"/>
        <w:autoSpaceDN w:val="0"/>
        <w:adjustRightInd w:val="0"/>
        <w:spacing w:line="276" w:lineRule="auto"/>
        <w:contextualSpacing/>
        <w:jc w:val="both"/>
        <w:rPr>
          <w:rFonts w:ascii="Arial" w:hAnsi="Arial" w:cs="Arial"/>
          <w:i/>
          <w:color w:val="000000"/>
          <w:szCs w:val="24"/>
          <w:shd w:val="clear" w:color="auto" w:fill="FFFFFF"/>
        </w:rPr>
      </w:pPr>
      <w:r>
        <w:rPr>
          <w:rFonts w:ascii="Arial" w:hAnsi="Arial" w:cs="Arial"/>
          <w:color w:val="000000"/>
          <w:szCs w:val="24"/>
          <w:shd w:val="clear" w:color="auto" w:fill="FFFFFF"/>
        </w:rPr>
        <w:t>Criterio que se trajo a colación en la sentencia SU 005/2018 proferida por la Corte Constitucional, cuando expuso “</w:t>
      </w:r>
      <w:r w:rsidRPr="003A03C6">
        <w:rPr>
          <w:rFonts w:ascii="Arial" w:hAnsi="Arial" w:cs="Arial"/>
          <w:i/>
          <w:color w:val="000000"/>
          <w:sz w:val="22"/>
          <w:szCs w:val="24"/>
          <w:shd w:val="clear" w:color="auto" w:fill="FFFFFF"/>
        </w:rPr>
        <w:t>La Sala Laboral de la Corte Suprema de Justicia  ha interpretado el principio de la condición más beneficiosa de una forma que lejos de resultar constitucionalmente irrazonable es acorde con el Acto Legislativo 01 de 2005</w:t>
      </w:r>
      <w:r>
        <w:rPr>
          <w:rFonts w:ascii="Arial" w:hAnsi="Arial" w:cs="Arial"/>
          <w:i/>
          <w:color w:val="000000"/>
          <w:szCs w:val="24"/>
          <w:shd w:val="clear" w:color="auto" w:fill="FFFFFF"/>
        </w:rPr>
        <w:t>.”</w:t>
      </w:r>
    </w:p>
    <w:p w:rsidR="00510F77" w:rsidRDefault="00510F77" w:rsidP="00510F77">
      <w:pPr>
        <w:autoSpaceDE w:val="0"/>
        <w:autoSpaceDN w:val="0"/>
        <w:adjustRightInd w:val="0"/>
        <w:spacing w:line="276" w:lineRule="auto"/>
        <w:contextualSpacing/>
        <w:jc w:val="both"/>
        <w:rPr>
          <w:rFonts w:ascii="Arial" w:hAnsi="Arial" w:cs="Arial"/>
          <w:color w:val="000000"/>
          <w:szCs w:val="24"/>
          <w:shd w:val="clear" w:color="auto" w:fill="FFFFFF"/>
        </w:rPr>
      </w:pPr>
    </w:p>
    <w:p w:rsidR="00510F77" w:rsidRPr="00CB6177" w:rsidRDefault="00510F77" w:rsidP="00510F77">
      <w:pPr>
        <w:autoSpaceDE w:val="0"/>
        <w:autoSpaceDN w:val="0"/>
        <w:adjustRightInd w:val="0"/>
        <w:spacing w:line="276" w:lineRule="auto"/>
        <w:contextualSpacing/>
        <w:jc w:val="both"/>
        <w:rPr>
          <w:rFonts w:ascii="Arial" w:hAnsi="Arial" w:cs="Arial"/>
          <w:color w:val="000000"/>
          <w:szCs w:val="24"/>
          <w:shd w:val="clear" w:color="auto" w:fill="FFFFFF"/>
        </w:rPr>
      </w:pPr>
      <w:r w:rsidRPr="00877975">
        <w:rPr>
          <w:rFonts w:ascii="Arial" w:hAnsi="Arial" w:cs="Arial"/>
          <w:color w:val="000000"/>
          <w:szCs w:val="24"/>
          <w:shd w:val="clear" w:color="auto" w:fill="FFFFFF"/>
        </w:rPr>
        <w:t xml:space="preserve">En esta última sentencia la Corte adopta como nueva tesis, </w:t>
      </w:r>
      <w:r>
        <w:rPr>
          <w:rFonts w:ascii="Arial" w:hAnsi="Arial" w:cs="Arial"/>
          <w:color w:val="000000"/>
          <w:szCs w:val="24"/>
          <w:shd w:val="clear" w:color="auto" w:fill="FFFFFF"/>
        </w:rPr>
        <w:t xml:space="preserve">en cuanto a la pensión de sobrevivientes, consistente en </w:t>
      </w:r>
      <w:r w:rsidRPr="00877975">
        <w:rPr>
          <w:rFonts w:ascii="Arial" w:hAnsi="Arial" w:cs="Arial"/>
          <w:color w:val="000000"/>
          <w:szCs w:val="24"/>
          <w:shd w:val="clear" w:color="auto" w:fill="FFFFFF"/>
        </w:rPr>
        <w:t xml:space="preserve">que para acudir al Acuerdo 049 de 1990 o a cualquier norma anterior a ella, debe verificarse un test de procedencia, que lo conforman 5 condiciones, </w:t>
      </w:r>
      <w:r>
        <w:rPr>
          <w:rFonts w:ascii="Arial" w:hAnsi="Arial" w:cs="Arial"/>
          <w:color w:val="000000"/>
          <w:szCs w:val="24"/>
          <w:shd w:val="clear" w:color="auto" w:fill="FFFFFF"/>
        </w:rPr>
        <w:t xml:space="preserve">indispensables </w:t>
      </w:r>
      <w:r w:rsidRPr="00877975">
        <w:rPr>
          <w:rFonts w:ascii="Arial" w:hAnsi="Arial" w:cs="Arial"/>
          <w:color w:val="000000"/>
          <w:szCs w:val="24"/>
          <w:shd w:val="clear" w:color="auto" w:fill="FFFFFF"/>
        </w:rPr>
        <w:t>cada una de ellas,</w:t>
      </w:r>
      <w:r>
        <w:rPr>
          <w:rFonts w:ascii="Arial" w:hAnsi="Arial" w:cs="Arial"/>
          <w:color w:val="000000"/>
          <w:szCs w:val="24"/>
          <w:shd w:val="clear" w:color="auto" w:fill="FFFFFF"/>
        </w:rPr>
        <w:t xml:space="preserve"> sin que sea necesario referirnos a las mismas al no ser </w:t>
      </w:r>
      <w:r w:rsidRPr="00526B56">
        <w:rPr>
          <w:rFonts w:ascii="Arial" w:hAnsi="Arial" w:cs="Arial"/>
          <w:color w:val="000000"/>
          <w:szCs w:val="24"/>
          <w:shd w:val="clear" w:color="auto" w:fill="FFFFFF"/>
        </w:rPr>
        <w:t xml:space="preserve">esta </w:t>
      </w:r>
      <w:r>
        <w:rPr>
          <w:rFonts w:ascii="Arial" w:hAnsi="Arial" w:cs="Arial"/>
          <w:color w:val="000000"/>
          <w:szCs w:val="24"/>
          <w:shd w:val="clear" w:color="auto" w:fill="FFFFFF"/>
        </w:rPr>
        <w:t xml:space="preserve">la </w:t>
      </w:r>
      <w:r w:rsidRPr="00526B56">
        <w:rPr>
          <w:rFonts w:ascii="Arial" w:hAnsi="Arial" w:cs="Arial"/>
          <w:color w:val="000000"/>
          <w:szCs w:val="24"/>
          <w:shd w:val="clear" w:color="auto" w:fill="FFFFFF"/>
        </w:rPr>
        <w:t xml:space="preserve">posición </w:t>
      </w:r>
      <w:r>
        <w:rPr>
          <w:rFonts w:ascii="Arial" w:hAnsi="Arial" w:cs="Arial"/>
          <w:color w:val="000000"/>
          <w:szCs w:val="24"/>
          <w:shd w:val="clear" w:color="auto" w:fill="FFFFFF"/>
        </w:rPr>
        <w:t xml:space="preserve">de </w:t>
      </w:r>
      <w:r w:rsidRPr="00526B56">
        <w:rPr>
          <w:rFonts w:ascii="Arial" w:hAnsi="Arial" w:cs="Arial"/>
          <w:color w:val="000000"/>
          <w:szCs w:val="24"/>
          <w:shd w:val="clear" w:color="auto" w:fill="FFFFFF"/>
        </w:rPr>
        <w:t>la Sala Mayoritaria, al adoptar la de la Sala Laboral de la Corte Suprema de Justicia, que sostiene que no es</w:t>
      </w:r>
      <w:r w:rsidRPr="00526B56">
        <w:rPr>
          <w:rFonts w:ascii="Arial" w:hAnsi="Arial" w:cs="Arial"/>
          <w:color w:val="000000"/>
          <w:szCs w:val="24"/>
          <w:lang w:val="es-ES"/>
        </w:rPr>
        <w:t xml:space="preserve"> posible acudirse al Acuerdo 049 de 1990, como se pretende dentro del libelo, al no ser esta la norma inmediatamente anterior a la Ley 797 de 2003, vigente al momento del deceso</w:t>
      </w:r>
      <w:r>
        <w:rPr>
          <w:rFonts w:ascii="Arial" w:hAnsi="Arial" w:cs="Arial"/>
          <w:color w:val="000000"/>
          <w:szCs w:val="24"/>
          <w:lang w:val="es-ES"/>
        </w:rPr>
        <w:t xml:space="preserve"> del afiliado.</w:t>
      </w:r>
    </w:p>
    <w:p w:rsidR="00510F77" w:rsidRDefault="00510F77" w:rsidP="00510F77">
      <w:pPr>
        <w:autoSpaceDE w:val="0"/>
        <w:autoSpaceDN w:val="0"/>
        <w:adjustRightInd w:val="0"/>
        <w:spacing w:line="276" w:lineRule="auto"/>
        <w:contextualSpacing/>
        <w:jc w:val="both"/>
        <w:rPr>
          <w:rFonts w:ascii="Arial" w:hAnsi="Arial" w:cs="Arial"/>
          <w:color w:val="000000"/>
          <w:szCs w:val="24"/>
          <w:shd w:val="clear" w:color="auto" w:fill="FFFFFF"/>
        </w:rPr>
      </w:pPr>
    </w:p>
    <w:p w:rsidR="00510F77" w:rsidRPr="003A03C6" w:rsidRDefault="00510F77" w:rsidP="003A03C6">
      <w:pPr>
        <w:autoSpaceDE w:val="0"/>
        <w:autoSpaceDN w:val="0"/>
        <w:adjustRightInd w:val="0"/>
        <w:spacing w:line="276" w:lineRule="auto"/>
        <w:contextualSpacing/>
        <w:jc w:val="both"/>
        <w:rPr>
          <w:rFonts w:ascii="Arial" w:hAnsi="Arial" w:cs="Arial"/>
          <w:color w:val="000000"/>
          <w:szCs w:val="24"/>
          <w:shd w:val="clear" w:color="auto" w:fill="FFFFFF"/>
        </w:rPr>
      </w:pPr>
      <w:r w:rsidRPr="003A03C6">
        <w:rPr>
          <w:rFonts w:ascii="Arial" w:hAnsi="Arial" w:cs="Arial"/>
          <w:color w:val="000000"/>
          <w:szCs w:val="24"/>
          <w:shd w:val="clear" w:color="auto" w:fill="FFFFFF"/>
        </w:rPr>
        <w:lastRenderedPageBreak/>
        <w:t>La segunda</w:t>
      </w:r>
      <w:r w:rsidR="00220B7F" w:rsidRPr="003A03C6">
        <w:rPr>
          <w:rFonts w:ascii="Arial" w:hAnsi="Arial" w:cs="Arial"/>
          <w:color w:val="000000"/>
          <w:szCs w:val="24"/>
          <w:shd w:val="clear" w:color="auto" w:fill="FFFFFF"/>
        </w:rPr>
        <w:t xml:space="preserve"> limitante</w:t>
      </w:r>
      <w:r w:rsidRPr="003A03C6">
        <w:rPr>
          <w:rFonts w:ascii="Arial" w:hAnsi="Arial" w:cs="Arial"/>
          <w:color w:val="000000"/>
          <w:szCs w:val="24"/>
          <w:shd w:val="clear" w:color="auto" w:fill="FFFFFF"/>
        </w:rPr>
        <w:t>, refiere a la temporalidad</w:t>
      </w:r>
      <w:r w:rsidRPr="00D81863">
        <w:rPr>
          <w:rStyle w:val="Refdenotaalpie"/>
          <w:rFonts w:ascii="Arial" w:eastAsiaTheme="minorHAnsi" w:hAnsi="Arial" w:cs="Arial"/>
          <w:szCs w:val="24"/>
        </w:rPr>
        <w:footnoteReference w:id="2"/>
      </w:r>
      <w:r w:rsidRPr="003A03C6">
        <w:rPr>
          <w:rFonts w:ascii="Arial" w:hAnsi="Arial" w:cs="Arial"/>
          <w:color w:val="000000"/>
          <w:szCs w:val="24"/>
          <w:shd w:val="clear" w:color="auto" w:fill="FFFFFF"/>
        </w:rPr>
        <w:t>, que da cuenta que el citado principio no es ilimitado,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–muerte-, se presente dentro de los 3 años siguientes a la entrada en vigencia de la Ley 797 de 2003 -29-01-2003 al 29-01-2006-.</w:t>
      </w:r>
    </w:p>
    <w:p w:rsidR="00510F77" w:rsidRPr="003A03C6" w:rsidRDefault="00510F77" w:rsidP="003A03C6">
      <w:pPr>
        <w:autoSpaceDE w:val="0"/>
        <w:autoSpaceDN w:val="0"/>
        <w:adjustRightInd w:val="0"/>
        <w:spacing w:line="276" w:lineRule="auto"/>
        <w:contextualSpacing/>
        <w:jc w:val="both"/>
        <w:rPr>
          <w:rFonts w:ascii="Arial" w:hAnsi="Arial" w:cs="Arial"/>
          <w:color w:val="000000"/>
          <w:szCs w:val="24"/>
          <w:shd w:val="clear" w:color="auto" w:fill="FFFFFF"/>
        </w:rPr>
      </w:pPr>
    </w:p>
    <w:p w:rsidR="00081FBC" w:rsidRDefault="003222DD" w:rsidP="00081FBC">
      <w:pPr>
        <w:tabs>
          <w:tab w:val="left" w:pos="1230"/>
        </w:tabs>
        <w:autoSpaceDE w:val="0"/>
        <w:autoSpaceDN w:val="0"/>
        <w:adjustRightInd w:val="0"/>
        <w:spacing w:line="276" w:lineRule="auto"/>
        <w:contextualSpacing/>
        <w:jc w:val="both"/>
        <w:rPr>
          <w:rFonts w:ascii="Arial" w:hAnsi="Arial" w:cs="Arial"/>
          <w:szCs w:val="24"/>
        </w:rPr>
      </w:pPr>
      <w:r w:rsidRPr="003222DD">
        <w:rPr>
          <w:rFonts w:ascii="Arial" w:hAnsi="Arial" w:cs="Arial"/>
          <w:b/>
          <w:color w:val="000000"/>
          <w:szCs w:val="24"/>
          <w:lang w:val="es-ES"/>
        </w:rPr>
        <w:t>2.6</w:t>
      </w:r>
      <w:r w:rsidR="005623BE">
        <w:rPr>
          <w:rFonts w:ascii="Arial" w:hAnsi="Arial" w:cs="Arial"/>
          <w:color w:val="000000"/>
          <w:szCs w:val="24"/>
          <w:lang w:val="es-ES"/>
        </w:rPr>
        <w:t xml:space="preserve">. </w:t>
      </w:r>
      <w:r w:rsidR="00D13914">
        <w:rPr>
          <w:rFonts w:ascii="Arial" w:hAnsi="Arial" w:cs="Arial"/>
          <w:color w:val="000000"/>
          <w:szCs w:val="24"/>
          <w:lang w:val="es-ES"/>
        </w:rPr>
        <w:t xml:space="preserve">Descendiendo al caso en estudio se tiene que </w:t>
      </w:r>
      <w:r w:rsidR="00FF094D">
        <w:rPr>
          <w:rFonts w:ascii="Arial" w:hAnsi="Arial" w:cs="Arial"/>
          <w:color w:val="000000"/>
          <w:szCs w:val="24"/>
          <w:lang w:val="es-ES"/>
        </w:rPr>
        <w:t>solo es posible, en razón de este principio, acudir a la L</w:t>
      </w:r>
      <w:r w:rsidR="00D24380">
        <w:rPr>
          <w:rFonts w:ascii="Arial" w:hAnsi="Arial" w:cs="Arial"/>
          <w:color w:val="000000"/>
          <w:szCs w:val="24"/>
          <w:lang w:val="es-ES"/>
        </w:rPr>
        <w:t>ey 100 de 1993 en su versión original</w:t>
      </w:r>
      <w:r w:rsidR="00FF094D">
        <w:rPr>
          <w:rFonts w:ascii="Arial" w:hAnsi="Arial" w:cs="Arial"/>
          <w:color w:val="000000"/>
          <w:szCs w:val="24"/>
          <w:lang w:val="es-ES"/>
        </w:rPr>
        <w:t xml:space="preserve"> y no al Acuerdo 049/90; pero tampoco se puede aplicar aquella normativa</w:t>
      </w:r>
      <w:r w:rsidR="00D24380">
        <w:rPr>
          <w:rFonts w:ascii="Arial" w:hAnsi="Arial" w:cs="Arial"/>
          <w:color w:val="000000"/>
          <w:szCs w:val="24"/>
          <w:lang w:val="es-ES"/>
        </w:rPr>
        <w:t xml:space="preserve">, en tanto </w:t>
      </w:r>
      <w:r w:rsidR="00D24380">
        <w:rPr>
          <w:rFonts w:ascii="Arial" w:hAnsi="Arial" w:cs="Arial"/>
          <w:szCs w:val="24"/>
        </w:rPr>
        <w:t xml:space="preserve">el señor </w:t>
      </w:r>
      <w:r w:rsidR="005623BE">
        <w:rPr>
          <w:rFonts w:ascii="Arial" w:hAnsi="Arial" w:cs="Arial"/>
          <w:szCs w:val="24"/>
        </w:rPr>
        <w:t xml:space="preserve">Muriel </w:t>
      </w:r>
      <w:proofErr w:type="spellStart"/>
      <w:r w:rsidR="005623BE">
        <w:rPr>
          <w:rFonts w:ascii="Arial" w:hAnsi="Arial" w:cs="Arial"/>
          <w:szCs w:val="24"/>
        </w:rPr>
        <w:t>Vinasco</w:t>
      </w:r>
      <w:proofErr w:type="spellEnd"/>
      <w:r w:rsidR="005623BE">
        <w:rPr>
          <w:rFonts w:ascii="Arial" w:hAnsi="Arial" w:cs="Arial"/>
          <w:szCs w:val="24"/>
        </w:rPr>
        <w:t xml:space="preserve"> </w:t>
      </w:r>
      <w:r w:rsidR="00D24380">
        <w:rPr>
          <w:rFonts w:ascii="Arial" w:hAnsi="Arial" w:cs="Arial"/>
          <w:szCs w:val="24"/>
        </w:rPr>
        <w:t xml:space="preserve">falleció el </w:t>
      </w:r>
      <w:r w:rsidR="001307BB">
        <w:rPr>
          <w:rFonts w:ascii="Arial" w:hAnsi="Arial" w:cs="Arial"/>
          <w:szCs w:val="24"/>
        </w:rPr>
        <w:t>0</w:t>
      </w:r>
      <w:r w:rsidR="005623BE">
        <w:rPr>
          <w:rFonts w:ascii="Arial" w:hAnsi="Arial" w:cs="Arial"/>
          <w:szCs w:val="24"/>
        </w:rPr>
        <w:t>6-07-</w:t>
      </w:r>
      <w:r w:rsidR="001307BB">
        <w:rPr>
          <w:rFonts w:ascii="Arial" w:hAnsi="Arial" w:cs="Arial"/>
          <w:szCs w:val="24"/>
        </w:rPr>
        <w:t>201</w:t>
      </w:r>
      <w:r w:rsidR="005623BE">
        <w:rPr>
          <w:rFonts w:ascii="Arial" w:hAnsi="Arial" w:cs="Arial"/>
          <w:szCs w:val="24"/>
        </w:rPr>
        <w:t>0</w:t>
      </w:r>
      <w:r w:rsidR="00D24380">
        <w:rPr>
          <w:rFonts w:ascii="Arial" w:hAnsi="Arial" w:cs="Arial"/>
          <w:szCs w:val="24"/>
        </w:rPr>
        <w:t>, por fuera de los tres años siguientes a la entrada en vigencia de la Ley 797 de 2003,</w:t>
      </w:r>
      <w:r w:rsidR="00F05FC6">
        <w:rPr>
          <w:rFonts w:ascii="Arial" w:hAnsi="Arial" w:cs="Arial"/>
          <w:szCs w:val="24"/>
        </w:rPr>
        <w:t xml:space="preserve"> por lo que no se satisface el requisito de</w:t>
      </w:r>
      <w:r w:rsidR="00D24380">
        <w:rPr>
          <w:rFonts w:ascii="Arial" w:hAnsi="Arial" w:cs="Arial"/>
          <w:szCs w:val="24"/>
        </w:rPr>
        <w:t xml:space="preserve"> la temporalidad</w:t>
      </w:r>
      <w:r w:rsidR="00F05FC6">
        <w:rPr>
          <w:rFonts w:ascii="Arial" w:hAnsi="Arial" w:cs="Arial"/>
          <w:szCs w:val="24"/>
        </w:rPr>
        <w:t xml:space="preserve"> que </w:t>
      </w:r>
      <w:r w:rsidR="00D24380">
        <w:rPr>
          <w:rFonts w:ascii="Arial" w:hAnsi="Arial" w:cs="Arial"/>
          <w:szCs w:val="24"/>
        </w:rPr>
        <w:t>se predica en la jurisprudencia antes descrita, la cual comparte la Sala Mayoritaria</w:t>
      </w:r>
      <w:r w:rsidR="00081FBC">
        <w:rPr>
          <w:rFonts w:ascii="Arial" w:hAnsi="Arial" w:cs="Arial"/>
          <w:szCs w:val="24"/>
        </w:rPr>
        <w:t xml:space="preserve">; postura reiterada y actual del órgano de cierre de esta especialidad, entre la más reciente se puede citar la SL797, radicado 50320 del 21-02-2018 de la Sala de Casación </w:t>
      </w:r>
      <w:r w:rsidR="00FF094D">
        <w:rPr>
          <w:rFonts w:ascii="Arial" w:hAnsi="Arial" w:cs="Arial"/>
          <w:szCs w:val="24"/>
        </w:rPr>
        <w:t xml:space="preserve">Laboral </w:t>
      </w:r>
      <w:r w:rsidR="00081FBC">
        <w:rPr>
          <w:rFonts w:ascii="Arial" w:hAnsi="Arial" w:cs="Arial"/>
          <w:szCs w:val="24"/>
        </w:rPr>
        <w:t xml:space="preserve">permanente que reitera la sentencia SL 4650 de 2017.  </w:t>
      </w:r>
    </w:p>
    <w:p w:rsidR="00D24380" w:rsidRDefault="00D24380" w:rsidP="00D54D8A">
      <w:pPr>
        <w:autoSpaceDE w:val="0"/>
        <w:autoSpaceDN w:val="0"/>
        <w:adjustRightInd w:val="0"/>
        <w:spacing w:line="276" w:lineRule="auto"/>
        <w:contextualSpacing/>
        <w:jc w:val="both"/>
        <w:rPr>
          <w:rFonts w:ascii="Arial" w:hAnsi="Arial" w:cs="Arial"/>
          <w:szCs w:val="24"/>
        </w:rPr>
      </w:pPr>
    </w:p>
    <w:p w:rsidR="00DA18D8" w:rsidRDefault="00F05FC6" w:rsidP="00B52BA2">
      <w:pPr>
        <w:shd w:val="clear" w:color="auto" w:fill="FFFFFF"/>
        <w:spacing w:after="150" w:line="276" w:lineRule="auto"/>
        <w:contextualSpacing/>
        <w:jc w:val="both"/>
        <w:rPr>
          <w:rFonts w:ascii="Arial" w:hAnsi="Arial" w:cs="Arial"/>
          <w:szCs w:val="24"/>
        </w:rPr>
      </w:pPr>
      <w:r w:rsidRPr="004D53A0">
        <w:rPr>
          <w:rFonts w:ascii="Arial" w:hAnsi="Arial" w:cs="Arial"/>
          <w:b/>
          <w:szCs w:val="24"/>
        </w:rPr>
        <w:t>2.</w:t>
      </w:r>
      <w:r w:rsidR="004D53A0" w:rsidRPr="004D53A0">
        <w:rPr>
          <w:rFonts w:ascii="Arial" w:hAnsi="Arial" w:cs="Arial"/>
          <w:b/>
          <w:szCs w:val="24"/>
        </w:rPr>
        <w:t>7</w:t>
      </w:r>
      <w:r w:rsidR="000A34FF">
        <w:rPr>
          <w:rFonts w:ascii="Arial" w:hAnsi="Arial" w:cs="Arial"/>
          <w:szCs w:val="24"/>
        </w:rPr>
        <w:t xml:space="preserve"> </w:t>
      </w:r>
      <w:r w:rsidR="00B52BA2" w:rsidRPr="00004554">
        <w:rPr>
          <w:rFonts w:ascii="Arial" w:hAnsi="Arial" w:cs="Arial"/>
          <w:color w:val="000000"/>
          <w:szCs w:val="24"/>
          <w:lang w:val="es-ES"/>
        </w:rPr>
        <w:t>Así las cosas, se tiene que el señor</w:t>
      </w:r>
      <w:r w:rsidR="00B52BA2" w:rsidRPr="00004554">
        <w:rPr>
          <w:rFonts w:ascii="Arial" w:hAnsi="Arial" w:cs="Arial"/>
          <w:szCs w:val="24"/>
        </w:rPr>
        <w:t xml:space="preserve"> </w:t>
      </w:r>
      <w:r w:rsidR="00B52BA2">
        <w:rPr>
          <w:rFonts w:ascii="Arial" w:hAnsi="Arial" w:cs="Arial"/>
          <w:szCs w:val="24"/>
        </w:rPr>
        <w:t xml:space="preserve">Muriel </w:t>
      </w:r>
      <w:proofErr w:type="spellStart"/>
      <w:r w:rsidR="00B52BA2">
        <w:rPr>
          <w:rFonts w:ascii="Arial" w:hAnsi="Arial" w:cs="Arial"/>
          <w:szCs w:val="24"/>
        </w:rPr>
        <w:t>Vinasco</w:t>
      </w:r>
      <w:proofErr w:type="spellEnd"/>
      <w:r w:rsidR="00B52BA2">
        <w:rPr>
          <w:rFonts w:ascii="Arial" w:hAnsi="Arial" w:cs="Arial"/>
          <w:szCs w:val="24"/>
        </w:rPr>
        <w:t xml:space="preserve"> </w:t>
      </w:r>
      <w:r w:rsidR="00B52BA2" w:rsidRPr="00004554">
        <w:rPr>
          <w:rFonts w:ascii="Arial" w:hAnsi="Arial" w:cs="Arial"/>
          <w:szCs w:val="24"/>
        </w:rPr>
        <w:t>no dejó causado el derecho para que sus posibles beneficiarios accedieran a la pensión de sobrevivientes, por lo que se releva esta Corporación de analizar la acreditación de los demás requisitos.</w:t>
      </w:r>
      <w:r w:rsidR="00B52BA2">
        <w:rPr>
          <w:rFonts w:ascii="Arial" w:hAnsi="Arial" w:cs="Arial"/>
          <w:szCs w:val="24"/>
        </w:rPr>
        <w:t xml:space="preserve"> </w:t>
      </w:r>
    </w:p>
    <w:p w:rsidR="003A03C6" w:rsidRDefault="003A03C6" w:rsidP="00B52BA2">
      <w:pPr>
        <w:shd w:val="clear" w:color="auto" w:fill="FFFFFF"/>
        <w:spacing w:after="150" w:line="276" w:lineRule="auto"/>
        <w:contextualSpacing/>
        <w:jc w:val="both"/>
        <w:rPr>
          <w:rFonts w:ascii="Arial" w:hAnsi="Arial" w:cs="Arial"/>
          <w:szCs w:val="24"/>
        </w:rPr>
      </w:pPr>
    </w:p>
    <w:p w:rsidR="0009166E" w:rsidRPr="00004554" w:rsidRDefault="0009166E" w:rsidP="0009166E">
      <w:pPr>
        <w:autoSpaceDE w:val="0"/>
        <w:autoSpaceDN w:val="0"/>
        <w:adjustRightInd w:val="0"/>
        <w:spacing w:line="276" w:lineRule="auto"/>
        <w:contextualSpacing/>
        <w:jc w:val="center"/>
        <w:rPr>
          <w:rFonts w:ascii="Arial" w:hAnsi="Arial" w:cs="Arial"/>
          <w:b/>
          <w:szCs w:val="24"/>
        </w:rPr>
      </w:pPr>
      <w:r w:rsidRPr="00004554">
        <w:rPr>
          <w:rFonts w:ascii="Arial" w:hAnsi="Arial" w:cs="Arial"/>
          <w:b/>
          <w:szCs w:val="24"/>
        </w:rPr>
        <w:t>CONCLUSIÓN</w:t>
      </w:r>
    </w:p>
    <w:p w:rsidR="0009166E" w:rsidRPr="00004554" w:rsidRDefault="0009166E" w:rsidP="0009166E">
      <w:pPr>
        <w:pStyle w:val="Sinespaciado"/>
        <w:spacing w:line="276" w:lineRule="auto"/>
        <w:jc w:val="center"/>
        <w:rPr>
          <w:rFonts w:ascii="Arial" w:hAnsi="Arial" w:cs="Arial"/>
          <w:b/>
          <w:sz w:val="24"/>
          <w:szCs w:val="24"/>
        </w:rPr>
      </w:pPr>
    </w:p>
    <w:p w:rsidR="0009166E" w:rsidRDefault="0009166E" w:rsidP="00890BBA">
      <w:pPr>
        <w:spacing w:line="276" w:lineRule="auto"/>
        <w:contextualSpacing/>
        <w:jc w:val="both"/>
        <w:rPr>
          <w:rFonts w:ascii="Arial" w:hAnsi="Arial" w:cs="Arial"/>
          <w:color w:val="000000" w:themeColor="text1"/>
          <w:szCs w:val="24"/>
        </w:rPr>
      </w:pPr>
      <w:r w:rsidRPr="00004554">
        <w:rPr>
          <w:rFonts w:ascii="Arial" w:hAnsi="Arial" w:cs="Arial"/>
          <w:szCs w:val="24"/>
        </w:rPr>
        <w:t>A tono con lo expuesto, se</w:t>
      </w:r>
      <w:r w:rsidR="00E3734C" w:rsidRPr="00004554">
        <w:rPr>
          <w:rFonts w:ascii="Arial" w:hAnsi="Arial" w:cs="Arial"/>
          <w:szCs w:val="24"/>
        </w:rPr>
        <w:t xml:space="preserve"> </w:t>
      </w:r>
      <w:r w:rsidR="00890BBA">
        <w:rPr>
          <w:rFonts w:ascii="Arial" w:hAnsi="Arial" w:cs="Arial"/>
          <w:szCs w:val="24"/>
        </w:rPr>
        <w:t xml:space="preserve">revocará la sentencia, para en su lugar absolver a Colpensiones de todas las pretensiones formuladas en su contra, con la consecuente condena en costas a cargo de la parte actora en favor de la demandada; en esta instancia no hay lugar a imponerlas, en tanto se revisa en el grado jurisdiccional de consulta. </w:t>
      </w:r>
    </w:p>
    <w:p w:rsidR="007342B7" w:rsidRPr="00004554" w:rsidRDefault="007342B7" w:rsidP="0009166E">
      <w:pPr>
        <w:spacing w:line="276" w:lineRule="auto"/>
        <w:contextualSpacing/>
        <w:jc w:val="both"/>
        <w:rPr>
          <w:rFonts w:ascii="Arial" w:hAnsi="Arial" w:cs="Arial"/>
          <w:szCs w:val="24"/>
        </w:rPr>
      </w:pPr>
    </w:p>
    <w:p w:rsidR="0009166E" w:rsidRPr="00004554" w:rsidRDefault="0009166E" w:rsidP="0009166E">
      <w:pPr>
        <w:pStyle w:val="Sinespaciado"/>
        <w:spacing w:line="276" w:lineRule="auto"/>
        <w:contextualSpacing/>
        <w:jc w:val="center"/>
        <w:rPr>
          <w:rFonts w:ascii="Arial" w:hAnsi="Arial" w:cs="Arial"/>
          <w:b/>
          <w:sz w:val="24"/>
          <w:szCs w:val="24"/>
        </w:rPr>
      </w:pPr>
      <w:r w:rsidRPr="00004554">
        <w:rPr>
          <w:rFonts w:ascii="Arial" w:hAnsi="Arial" w:cs="Arial"/>
          <w:b/>
          <w:sz w:val="24"/>
          <w:szCs w:val="24"/>
        </w:rPr>
        <w:t>DECISIÓN</w:t>
      </w:r>
    </w:p>
    <w:p w:rsidR="0009166E" w:rsidRPr="00004554" w:rsidRDefault="0009166E" w:rsidP="0009166E">
      <w:pPr>
        <w:pStyle w:val="Sinespaciado"/>
        <w:spacing w:line="276" w:lineRule="auto"/>
        <w:contextualSpacing/>
        <w:rPr>
          <w:rFonts w:ascii="Arial" w:hAnsi="Arial" w:cs="Arial"/>
          <w:sz w:val="24"/>
          <w:szCs w:val="24"/>
        </w:rPr>
      </w:pPr>
    </w:p>
    <w:p w:rsidR="0009166E" w:rsidRPr="00004554" w:rsidRDefault="0009166E" w:rsidP="0009166E">
      <w:pPr>
        <w:pStyle w:val="Prrafodelista2"/>
        <w:spacing w:after="0"/>
        <w:ind w:left="0"/>
        <w:jc w:val="both"/>
        <w:rPr>
          <w:rFonts w:ascii="Arial" w:hAnsi="Arial" w:cs="Arial"/>
          <w:sz w:val="24"/>
          <w:szCs w:val="24"/>
        </w:rPr>
      </w:pPr>
      <w:r w:rsidRPr="00004554">
        <w:rPr>
          <w:rFonts w:ascii="Arial" w:hAnsi="Arial" w:cs="Arial"/>
          <w:sz w:val="24"/>
          <w:szCs w:val="24"/>
        </w:rPr>
        <w:t xml:space="preserve">En mérito de lo expuesto, el </w:t>
      </w:r>
      <w:r w:rsidRPr="00004554">
        <w:rPr>
          <w:rFonts w:ascii="Arial" w:hAnsi="Arial" w:cs="Arial"/>
          <w:b/>
          <w:sz w:val="24"/>
          <w:szCs w:val="24"/>
        </w:rPr>
        <w:t xml:space="preserve">Tribunal Superior del Distrito Judicial de Pereira - Risaralda, Sala </w:t>
      </w:r>
      <w:r w:rsidR="00890BBA">
        <w:rPr>
          <w:rFonts w:ascii="Arial" w:hAnsi="Arial" w:cs="Arial"/>
          <w:b/>
          <w:sz w:val="24"/>
          <w:szCs w:val="24"/>
        </w:rPr>
        <w:t>primera</w:t>
      </w:r>
      <w:r w:rsidR="000032B9" w:rsidRPr="00004554">
        <w:rPr>
          <w:rFonts w:ascii="Arial" w:hAnsi="Arial" w:cs="Arial"/>
          <w:b/>
          <w:sz w:val="24"/>
          <w:szCs w:val="24"/>
        </w:rPr>
        <w:t xml:space="preserve"> </w:t>
      </w:r>
      <w:r w:rsidRPr="00004554">
        <w:rPr>
          <w:rFonts w:ascii="Arial" w:hAnsi="Arial" w:cs="Arial"/>
          <w:b/>
          <w:sz w:val="24"/>
          <w:szCs w:val="24"/>
        </w:rPr>
        <w:t>de Decisión Laboral,</w:t>
      </w:r>
      <w:r w:rsidRPr="00004554">
        <w:rPr>
          <w:rFonts w:ascii="Arial" w:hAnsi="Arial" w:cs="Arial"/>
          <w:sz w:val="24"/>
          <w:szCs w:val="24"/>
        </w:rPr>
        <w:t xml:space="preserve"> administrando justicia en nombre de la República y por autoridad de la ley</w:t>
      </w:r>
      <w:r w:rsidR="00A25CF2">
        <w:rPr>
          <w:rFonts w:ascii="Arial" w:hAnsi="Arial" w:cs="Arial"/>
          <w:sz w:val="24"/>
          <w:szCs w:val="24"/>
        </w:rPr>
        <w:t>.</w:t>
      </w:r>
    </w:p>
    <w:p w:rsidR="0009166E" w:rsidRPr="00004554" w:rsidRDefault="0009166E" w:rsidP="0009166E">
      <w:pPr>
        <w:pStyle w:val="Prrafodelista2"/>
        <w:spacing w:after="0"/>
        <w:ind w:left="0"/>
        <w:jc w:val="both"/>
        <w:rPr>
          <w:rFonts w:ascii="Arial" w:hAnsi="Arial" w:cs="Arial"/>
          <w:sz w:val="24"/>
          <w:szCs w:val="24"/>
        </w:rPr>
      </w:pPr>
    </w:p>
    <w:p w:rsidR="0009166E" w:rsidRPr="00004554" w:rsidRDefault="0009166E" w:rsidP="0009166E">
      <w:pPr>
        <w:spacing w:line="276" w:lineRule="auto"/>
        <w:contextualSpacing/>
        <w:jc w:val="center"/>
        <w:rPr>
          <w:rFonts w:ascii="Arial" w:hAnsi="Arial" w:cs="Arial"/>
          <w:b/>
          <w:szCs w:val="24"/>
        </w:rPr>
      </w:pPr>
      <w:r w:rsidRPr="00004554">
        <w:rPr>
          <w:rFonts w:ascii="Arial" w:hAnsi="Arial" w:cs="Arial"/>
          <w:b/>
          <w:szCs w:val="24"/>
        </w:rPr>
        <w:t>RESUELVE</w:t>
      </w:r>
    </w:p>
    <w:p w:rsidR="007342B7" w:rsidRDefault="007342B7" w:rsidP="0009166E">
      <w:pPr>
        <w:spacing w:line="276" w:lineRule="auto"/>
        <w:contextualSpacing/>
        <w:jc w:val="both"/>
        <w:rPr>
          <w:rFonts w:ascii="Arial" w:hAnsi="Arial" w:cs="Arial"/>
          <w:b/>
          <w:spacing w:val="-2"/>
          <w:szCs w:val="24"/>
          <w:u w:val="single"/>
        </w:rPr>
      </w:pPr>
    </w:p>
    <w:p w:rsidR="0009166E" w:rsidRDefault="0009166E" w:rsidP="00DA18D8">
      <w:pPr>
        <w:spacing w:line="276" w:lineRule="auto"/>
        <w:contextualSpacing/>
        <w:jc w:val="both"/>
        <w:rPr>
          <w:rFonts w:ascii="Arial" w:hAnsi="Arial" w:cs="Arial"/>
          <w:bCs/>
          <w:i/>
          <w:sz w:val="22"/>
          <w:szCs w:val="22"/>
        </w:rPr>
      </w:pPr>
      <w:r w:rsidRPr="00004554">
        <w:rPr>
          <w:rFonts w:ascii="Arial" w:hAnsi="Arial" w:cs="Arial"/>
          <w:b/>
          <w:spacing w:val="-2"/>
          <w:szCs w:val="24"/>
          <w:u w:val="single"/>
        </w:rPr>
        <w:t>PRIMERO</w:t>
      </w:r>
      <w:r w:rsidRPr="00004554">
        <w:rPr>
          <w:rFonts w:ascii="Arial" w:hAnsi="Arial" w:cs="Arial"/>
          <w:b/>
          <w:spacing w:val="-2"/>
          <w:szCs w:val="24"/>
        </w:rPr>
        <w:t xml:space="preserve">: </w:t>
      </w:r>
      <w:r w:rsidR="00D75CB7" w:rsidRPr="00004554">
        <w:rPr>
          <w:rFonts w:ascii="Arial" w:hAnsi="Arial" w:cs="Arial"/>
          <w:b/>
          <w:spacing w:val="-2"/>
          <w:szCs w:val="24"/>
        </w:rPr>
        <w:tab/>
      </w:r>
      <w:r w:rsidR="00890BBA">
        <w:rPr>
          <w:rFonts w:ascii="Arial" w:hAnsi="Arial" w:cs="Arial"/>
          <w:b/>
          <w:spacing w:val="-2"/>
          <w:szCs w:val="24"/>
        </w:rPr>
        <w:t>REVOCAR</w:t>
      </w:r>
      <w:r w:rsidRPr="00004554">
        <w:rPr>
          <w:rFonts w:ascii="Arial" w:hAnsi="Arial" w:cs="Arial"/>
          <w:b/>
          <w:spacing w:val="-2"/>
          <w:szCs w:val="24"/>
        </w:rPr>
        <w:t xml:space="preserve"> </w:t>
      </w:r>
      <w:r w:rsidRPr="00004554">
        <w:rPr>
          <w:rFonts w:ascii="Arial" w:hAnsi="Arial" w:cs="Arial"/>
          <w:spacing w:val="-2"/>
          <w:szCs w:val="24"/>
        </w:rPr>
        <w:t>l</w:t>
      </w:r>
      <w:r w:rsidRPr="00004554">
        <w:rPr>
          <w:rFonts w:ascii="Arial" w:hAnsi="Arial" w:cs="Arial"/>
          <w:szCs w:val="24"/>
        </w:rPr>
        <w:t xml:space="preserve">a sentencia proferida el </w:t>
      </w:r>
      <w:r w:rsidR="00890BBA">
        <w:rPr>
          <w:rFonts w:ascii="Arial" w:hAnsi="Arial" w:cs="Arial"/>
          <w:szCs w:val="24"/>
        </w:rPr>
        <w:t>22-02-2018</w:t>
      </w:r>
      <w:r w:rsidRPr="00004554">
        <w:rPr>
          <w:rFonts w:ascii="Arial" w:hAnsi="Arial" w:cs="Arial"/>
          <w:szCs w:val="24"/>
        </w:rPr>
        <w:t xml:space="preserve"> por el Juzgado </w:t>
      </w:r>
      <w:r w:rsidR="00890BBA">
        <w:rPr>
          <w:rFonts w:ascii="Arial" w:hAnsi="Arial" w:cs="Arial"/>
          <w:szCs w:val="24"/>
        </w:rPr>
        <w:t xml:space="preserve">Quinto </w:t>
      </w:r>
      <w:r w:rsidR="00DA18D8">
        <w:rPr>
          <w:rFonts w:ascii="Arial" w:hAnsi="Arial" w:cs="Arial"/>
          <w:szCs w:val="24"/>
        </w:rPr>
        <w:t xml:space="preserve"> </w:t>
      </w:r>
      <w:r w:rsidRPr="00004554">
        <w:rPr>
          <w:rFonts w:ascii="Arial" w:hAnsi="Arial" w:cs="Arial"/>
          <w:szCs w:val="24"/>
        </w:rPr>
        <w:t xml:space="preserve">Laboral del Circuito de Pereira, dentro del proceso ordinario laboral propuesto por la señora </w:t>
      </w:r>
      <w:r w:rsidR="00890BBA">
        <w:rPr>
          <w:rFonts w:ascii="Arial" w:hAnsi="Arial" w:cs="Arial"/>
          <w:b/>
          <w:szCs w:val="24"/>
        </w:rPr>
        <w:t>Carmen Elena Pescador Trejos</w:t>
      </w:r>
      <w:r w:rsidRPr="00004554">
        <w:rPr>
          <w:rFonts w:ascii="Arial" w:hAnsi="Arial" w:cs="Arial"/>
          <w:b/>
          <w:szCs w:val="24"/>
        </w:rPr>
        <w:t>,</w:t>
      </w:r>
      <w:r w:rsidR="00890BBA">
        <w:rPr>
          <w:rFonts w:ascii="Arial" w:hAnsi="Arial" w:cs="Arial"/>
          <w:b/>
          <w:szCs w:val="24"/>
        </w:rPr>
        <w:t xml:space="preserve"> donde obra como vinculada la señora Laura Sofía Muriel Pescador </w:t>
      </w:r>
      <w:r w:rsidRPr="00004554">
        <w:rPr>
          <w:rFonts w:ascii="Arial" w:hAnsi="Arial" w:cs="Arial"/>
          <w:szCs w:val="24"/>
        </w:rPr>
        <w:t xml:space="preserve">contra la </w:t>
      </w:r>
      <w:r w:rsidRPr="00004554">
        <w:rPr>
          <w:rFonts w:ascii="Arial" w:hAnsi="Arial" w:cs="Arial"/>
          <w:b/>
          <w:szCs w:val="24"/>
        </w:rPr>
        <w:t>Administradora Colombiana de Pensiones</w:t>
      </w:r>
      <w:r w:rsidRPr="00004554">
        <w:rPr>
          <w:rFonts w:ascii="Arial" w:hAnsi="Arial" w:cs="Arial"/>
          <w:szCs w:val="24"/>
        </w:rPr>
        <w:t xml:space="preserve"> </w:t>
      </w:r>
      <w:r w:rsidRPr="00004554">
        <w:rPr>
          <w:rFonts w:ascii="Arial" w:hAnsi="Arial" w:cs="Arial"/>
          <w:b/>
          <w:bCs/>
          <w:szCs w:val="24"/>
        </w:rPr>
        <w:t>COLPENSIONES</w:t>
      </w:r>
      <w:r w:rsidR="00890BBA">
        <w:rPr>
          <w:rFonts w:ascii="Arial" w:hAnsi="Arial" w:cs="Arial"/>
          <w:b/>
          <w:bCs/>
          <w:szCs w:val="24"/>
        </w:rPr>
        <w:t>;</w:t>
      </w:r>
      <w:r w:rsidR="00890BBA" w:rsidRPr="00890BBA">
        <w:rPr>
          <w:rFonts w:ascii="Arial" w:hAnsi="Arial" w:cs="Arial"/>
          <w:bCs/>
          <w:szCs w:val="24"/>
        </w:rPr>
        <w:t xml:space="preserve"> para </w:t>
      </w:r>
      <w:r w:rsidR="00890BBA">
        <w:rPr>
          <w:rFonts w:ascii="Arial" w:hAnsi="Arial" w:cs="Arial"/>
          <w:bCs/>
          <w:szCs w:val="24"/>
        </w:rPr>
        <w:t>en su lugar ABSOLVERLA de todas las pretensiones formuladas en su contra y condenar en costas en primera instancia a la parte actora en favor de la demandada</w:t>
      </w:r>
      <w:r w:rsidR="00DA18D8">
        <w:rPr>
          <w:rFonts w:ascii="Arial" w:hAnsi="Arial" w:cs="Arial"/>
          <w:b/>
          <w:bCs/>
          <w:szCs w:val="24"/>
        </w:rPr>
        <w:t>.</w:t>
      </w:r>
    </w:p>
    <w:p w:rsidR="00DA18D8" w:rsidRPr="00004554" w:rsidRDefault="00DA18D8" w:rsidP="00DA18D8">
      <w:pPr>
        <w:spacing w:line="276" w:lineRule="auto"/>
        <w:contextualSpacing/>
        <w:jc w:val="both"/>
        <w:rPr>
          <w:rFonts w:ascii="Arial" w:hAnsi="Arial" w:cs="Arial"/>
          <w:szCs w:val="24"/>
        </w:rPr>
      </w:pPr>
    </w:p>
    <w:p w:rsidR="0009166E" w:rsidRDefault="0009166E" w:rsidP="00890BBA">
      <w:pPr>
        <w:spacing w:line="276" w:lineRule="auto"/>
        <w:jc w:val="both"/>
        <w:rPr>
          <w:rFonts w:ascii="Arial" w:hAnsi="Arial" w:cs="Arial"/>
          <w:color w:val="000000" w:themeColor="text1"/>
          <w:szCs w:val="24"/>
        </w:rPr>
      </w:pPr>
      <w:r w:rsidRPr="00004554">
        <w:rPr>
          <w:rFonts w:ascii="Arial" w:hAnsi="Arial" w:cs="Arial"/>
          <w:b/>
          <w:szCs w:val="24"/>
          <w:u w:val="single"/>
          <w:lang w:val="es-ES"/>
        </w:rPr>
        <w:lastRenderedPageBreak/>
        <w:t>SEGUNDO</w:t>
      </w:r>
      <w:r w:rsidRPr="00004554">
        <w:rPr>
          <w:rFonts w:ascii="Arial" w:hAnsi="Arial" w:cs="Arial"/>
          <w:b/>
          <w:szCs w:val="24"/>
          <w:lang w:val="es-ES"/>
        </w:rPr>
        <w:t xml:space="preserve">: </w:t>
      </w:r>
      <w:r w:rsidR="00890BBA">
        <w:rPr>
          <w:rFonts w:ascii="Arial" w:hAnsi="Arial" w:cs="Arial"/>
          <w:b/>
          <w:szCs w:val="24"/>
          <w:lang w:val="es-ES"/>
        </w:rPr>
        <w:t xml:space="preserve">SIN COSTAS </w:t>
      </w:r>
      <w:r w:rsidRPr="00004554">
        <w:rPr>
          <w:rFonts w:ascii="Arial" w:hAnsi="Arial" w:cs="Arial"/>
          <w:color w:val="000000" w:themeColor="text1"/>
          <w:szCs w:val="24"/>
        </w:rPr>
        <w:t xml:space="preserve">en </w:t>
      </w:r>
      <w:r w:rsidR="00E3734C" w:rsidRPr="00004554">
        <w:rPr>
          <w:rFonts w:ascii="Arial" w:hAnsi="Arial" w:cs="Arial"/>
          <w:color w:val="000000" w:themeColor="text1"/>
          <w:szCs w:val="24"/>
        </w:rPr>
        <w:t>esta instancia</w:t>
      </w:r>
      <w:r w:rsidR="00890BBA">
        <w:rPr>
          <w:rFonts w:ascii="Arial" w:hAnsi="Arial" w:cs="Arial"/>
          <w:color w:val="000000" w:themeColor="text1"/>
          <w:szCs w:val="24"/>
        </w:rPr>
        <w:t xml:space="preserve"> al tratarse del grado jurisdiccional de consulta.</w:t>
      </w:r>
    </w:p>
    <w:p w:rsidR="00890BBA" w:rsidRPr="00004554" w:rsidRDefault="00890BBA" w:rsidP="00890BBA">
      <w:pPr>
        <w:spacing w:line="276" w:lineRule="auto"/>
        <w:jc w:val="both"/>
        <w:rPr>
          <w:rFonts w:ascii="Arial" w:hAnsi="Arial" w:cs="Arial"/>
          <w:szCs w:val="24"/>
        </w:rPr>
      </w:pPr>
    </w:p>
    <w:p w:rsidR="0009166E" w:rsidRPr="00004554" w:rsidRDefault="0009166E" w:rsidP="0009166E">
      <w:pPr>
        <w:spacing w:line="276" w:lineRule="auto"/>
        <w:contextualSpacing/>
        <w:jc w:val="both"/>
        <w:rPr>
          <w:rFonts w:ascii="Arial" w:hAnsi="Arial" w:cs="Arial"/>
          <w:szCs w:val="24"/>
        </w:rPr>
      </w:pPr>
      <w:r w:rsidRPr="00004554">
        <w:rPr>
          <w:rFonts w:ascii="Arial" w:hAnsi="Arial" w:cs="Arial"/>
          <w:szCs w:val="24"/>
        </w:rPr>
        <w:t>Notificación surtida en estrados.</w:t>
      </w:r>
    </w:p>
    <w:p w:rsidR="0009166E" w:rsidRPr="00004554" w:rsidRDefault="0009166E" w:rsidP="0009166E">
      <w:pPr>
        <w:spacing w:line="276" w:lineRule="auto"/>
        <w:contextualSpacing/>
        <w:jc w:val="both"/>
        <w:rPr>
          <w:rFonts w:ascii="Arial" w:hAnsi="Arial" w:cs="Arial"/>
          <w:szCs w:val="24"/>
        </w:rPr>
      </w:pPr>
    </w:p>
    <w:p w:rsidR="0009166E" w:rsidRPr="00004554" w:rsidRDefault="0009166E" w:rsidP="0009166E">
      <w:pPr>
        <w:pStyle w:val="Textoindependiente"/>
        <w:spacing w:line="276" w:lineRule="auto"/>
        <w:contextualSpacing/>
        <w:rPr>
          <w:szCs w:val="24"/>
        </w:rPr>
      </w:pPr>
      <w:r w:rsidRPr="00004554">
        <w:rPr>
          <w:szCs w:val="24"/>
        </w:rPr>
        <w:t>No siendo otro el objeto de la presente audiencia, se eleva y firma esta acta por las personas que han intervenido.</w:t>
      </w:r>
    </w:p>
    <w:p w:rsidR="0009166E" w:rsidRPr="00004554" w:rsidRDefault="0009166E" w:rsidP="0009166E">
      <w:pPr>
        <w:pStyle w:val="Textoindependiente"/>
        <w:spacing w:line="276" w:lineRule="auto"/>
        <w:contextualSpacing/>
        <w:rPr>
          <w:szCs w:val="24"/>
        </w:rPr>
      </w:pPr>
    </w:p>
    <w:p w:rsidR="0009166E" w:rsidRPr="00004554" w:rsidRDefault="0009166E" w:rsidP="0009166E">
      <w:pPr>
        <w:widowControl w:val="0"/>
        <w:autoSpaceDE w:val="0"/>
        <w:autoSpaceDN w:val="0"/>
        <w:adjustRightInd w:val="0"/>
        <w:spacing w:line="276" w:lineRule="auto"/>
        <w:contextualSpacing/>
        <w:jc w:val="both"/>
        <w:rPr>
          <w:rFonts w:ascii="Arial" w:hAnsi="Arial" w:cs="Arial"/>
          <w:szCs w:val="24"/>
        </w:rPr>
      </w:pPr>
      <w:r w:rsidRPr="00004554">
        <w:rPr>
          <w:rFonts w:ascii="Arial" w:hAnsi="Arial" w:cs="Arial"/>
          <w:szCs w:val="24"/>
        </w:rPr>
        <w:t>Quienes integran la Sala,</w:t>
      </w:r>
    </w:p>
    <w:p w:rsidR="0009166E" w:rsidRPr="00004554" w:rsidRDefault="0009166E" w:rsidP="0009166E">
      <w:pPr>
        <w:pStyle w:val="Sinespaciado"/>
        <w:spacing w:line="276" w:lineRule="auto"/>
        <w:contextualSpacing/>
        <w:rPr>
          <w:rFonts w:ascii="Arial" w:hAnsi="Arial" w:cs="Arial"/>
          <w:sz w:val="24"/>
          <w:szCs w:val="24"/>
          <w:lang w:val="es-ES"/>
        </w:rPr>
      </w:pPr>
    </w:p>
    <w:p w:rsidR="0009166E" w:rsidRDefault="0009166E" w:rsidP="0009166E">
      <w:pPr>
        <w:pStyle w:val="Sinespaciado"/>
        <w:spacing w:line="276" w:lineRule="auto"/>
        <w:contextualSpacing/>
        <w:rPr>
          <w:rFonts w:ascii="Arial" w:hAnsi="Arial" w:cs="Arial"/>
          <w:sz w:val="24"/>
          <w:szCs w:val="24"/>
          <w:lang w:val="es-ES"/>
        </w:rPr>
      </w:pPr>
    </w:p>
    <w:p w:rsidR="00996C8D" w:rsidRPr="00004554" w:rsidRDefault="00996C8D" w:rsidP="0009166E">
      <w:pPr>
        <w:pStyle w:val="Sinespaciado"/>
        <w:spacing w:line="276" w:lineRule="auto"/>
        <w:contextualSpacing/>
        <w:rPr>
          <w:rFonts w:ascii="Arial" w:hAnsi="Arial" w:cs="Arial"/>
          <w:sz w:val="24"/>
          <w:szCs w:val="24"/>
          <w:lang w:val="es-ES"/>
        </w:rPr>
      </w:pPr>
    </w:p>
    <w:p w:rsidR="003A03C6" w:rsidRPr="00E14597" w:rsidRDefault="003A03C6" w:rsidP="003A03C6">
      <w:pPr>
        <w:pStyle w:val="Sinespaciado"/>
        <w:spacing w:line="276" w:lineRule="auto"/>
        <w:contextualSpacing/>
        <w:jc w:val="center"/>
        <w:rPr>
          <w:rFonts w:ascii="Arial" w:hAnsi="Arial" w:cs="Arial"/>
          <w:b/>
          <w:sz w:val="23"/>
          <w:szCs w:val="23"/>
          <w:lang w:val="es-ES"/>
        </w:rPr>
      </w:pPr>
      <w:r w:rsidRPr="00E14597">
        <w:rPr>
          <w:rFonts w:ascii="Arial" w:hAnsi="Arial" w:cs="Arial"/>
          <w:b/>
          <w:sz w:val="23"/>
          <w:szCs w:val="23"/>
          <w:lang w:val="es-ES"/>
        </w:rPr>
        <w:t>OLGA LUCÍA HOYOS SEPÚLVEDA</w:t>
      </w:r>
    </w:p>
    <w:p w:rsidR="003A03C6" w:rsidRPr="00E14597" w:rsidRDefault="003A03C6" w:rsidP="003A03C6">
      <w:pPr>
        <w:pStyle w:val="Sinespaciado"/>
        <w:spacing w:line="276" w:lineRule="auto"/>
        <w:contextualSpacing/>
        <w:jc w:val="center"/>
        <w:rPr>
          <w:rFonts w:ascii="Arial" w:hAnsi="Arial" w:cs="Arial"/>
          <w:sz w:val="23"/>
          <w:szCs w:val="23"/>
          <w:lang w:val="es-ES"/>
        </w:rPr>
      </w:pPr>
      <w:r w:rsidRPr="00E14597">
        <w:rPr>
          <w:rFonts w:ascii="Arial" w:hAnsi="Arial" w:cs="Arial"/>
          <w:sz w:val="23"/>
          <w:szCs w:val="23"/>
          <w:lang w:val="es-ES"/>
        </w:rPr>
        <w:t>Magistrada Ponente</w:t>
      </w:r>
    </w:p>
    <w:p w:rsidR="003A03C6" w:rsidRDefault="003A03C6" w:rsidP="003A03C6">
      <w:pPr>
        <w:spacing w:line="276" w:lineRule="auto"/>
        <w:ind w:firstLine="900"/>
        <w:contextualSpacing/>
        <w:jc w:val="center"/>
        <w:rPr>
          <w:rFonts w:ascii="Arial" w:hAnsi="Arial" w:cs="Arial"/>
          <w:b/>
          <w:sz w:val="23"/>
          <w:szCs w:val="23"/>
          <w:lang w:val="es-ES"/>
        </w:rPr>
      </w:pPr>
    </w:p>
    <w:p w:rsidR="003A03C6" w:rsidRPr="00E14597" w:rsidRDefault="003A03C6" w:rsidP="003A03C6">
      <w:pPr>
        <w:spacing w:line="276" w:lineRule="auto"/>
        <w:ind w:firstLine="900"/>
        <w:contextualSpacing/>
        <w:jc w:val="center"/>
        <w:rPr>
          <w:rFonts w:ascii="Arial" w:hAnsi="Arial" w:cs="Arial"/>
          <w:b/>
          <w:sz w:val="23"/>
          <w:szCs w:val="23"/>
          <w:lang w:val="es-ES"/>
        </w:rPr>
      </w:pPr>
    </w:p>
    <w:p w:rsidR="003A03C6" w:rsidRPr="00E14597" w:rsidRDefault="003A03C6" w:rsidP="003A03C6">
      <w:pPr>
        <w:pStyle w:val="Sinespaciado"/>
        <w:spacing w:line="276" w:lineRule="auto"/>
        <w:contextualSpacing/>
        <w:rPr>
          <w:rFonts w:ascii="Arial" w:hAnsi="Arial" w:cs="Arial"/>
          <w:sz w:val="23"/>
          <w:szCs w:val="23"/>
          <w:lang w:val="es-ES"/>
        </w:rPr>
      </w:pPr>
    </w:p>
    <w:p w:rsidR="003A03C6" w:rsidRPr="00B84E57" w:rsidRDefault="003A03C6" w:rsidP="003A03C6">
      <w:pPr>
        <w:spacing w:line="276" w:lineRule="auto"/>
        <w:contextualSpacing/>
        <w:jc w:val="both"/>
        <w:rPr>
          <w:rFonts w:ascii="Arial" w:hAnsi="Arial" w:cs="Arial"/>
          <w:b/>
          <w:bCs/>
          <w:iCs/>
          <w:sz w:val="23"/>
          <w:szCs w:val="23"/>
          <w:lang w:val="es-ES"/>
        </w:rPr>
      </w:pPr>
      <w:r w:rsidRPr="00E14597">
        <w:rPr>
          <w:rFonts w:ascii="Arial" w:eastAsiaTheme="minorHAnsi" w:hAnsi="Arial" w:cs="Arial"/>
          <w:b/>
          <w:sz w:val="23"/>
          <w:szCs w:val="23"/>
          <w:lang w:val="es-ES" w:eastAsia="en-US"/>
        </w:rPr>
        <w:t>JULIO CÉSAR SALAZAR MUÑOZ</w:t>
      </w:r>
      <w:r>
        <w:rPr>
          <w:rFonts w:ascii="Arial" w:hAnsi="Arial" w:cs="Arial"/>
          <w:b/>
          <w:bCs/>
          <w:iCs/>
          <w:sz w:val="23"/>
          <w:szCs w:val="23"/>
          <w:lang w:val="es-ES"/>
        </w:rPr>
        <w:tab/>
      </w:r>
      <w:r w:rsidRPr="00E14597">
        <w:rPr>
          <w:rFonts w:ascii="Arial" w:hAnsi="Arial" w:cs="Arial"/>
          <w:b/>
          <w:bCs/>
          <w:iCs/>
          <w:sz w:val="23"/>
          <w:szCs w:val="23"/>
          <w:lang w:val="es-ES"/>
        </w:rPr>
        <w:tab/>
      </w:r>
      <w:r>
        <w:rPr>
          <w:rFonts w:ascii="Arial" w:hAnsi="Arial" w:cs="Arial"/>
          <w:b/>
          <w:bCs/>
          <w:iCs/>
          <w:sz w:val="23"/>
          <w:szCs w:val="23"/>
          <w:lang w:val="es-ES"/>
        </w:rPr>
        <w:t xml:space="preserve">    </w:t>
      </w:r>
      <w:r w:rsidRPr="00E14597">
        <w:rPr>
          <w:rFonts w:ascii="Arial" w:eastAsiaTheme="minorHAnsi" w:hAnsi="Arial" w:cs="Arial"/>
          <w:b/>
          <w:sz w:val="23"/>
          <w:szCs w:val="23"/>
          <w:lang w:val="es-ES" w:eastAsia="en-US"/>
        </w:rPr>
        <w:t>ANA LUCÍA CAICEDO CALDERÓN</w:t>
      </w:r>
    </w:p>
    <w:p w:rsidR="003A03C6" w:rsidRPr="00E14597" w:rsidRDefault="003A03C6" w:rsidP="003A03C6">
      <w:pPr>
        <w:spacing w:line="276" w:lineRule="auto"/>
        <w:ind w:firstLine="708"/>
        <w:contextualSpacing/>
        <w:jc w:val="both"/>
        <w:rPr>
          <w:rFonts w:ascii="Arial" w:hAnsi="Arial" w:cs="Arial"/>
          <w:sz w:val="23"/>
          <w:szCs w:val="23"/>
          <w:lang w:val="es-CO"/>
        </w:rPr>
      </w:pPr>
      <w:r>
        <w:rPr>
          <w:rFonts w:ascii="Arial" w:hAnsi="Arial" w:cs="Arial"/>
          <w:sz w:val="23"/>
          <w:szCs w:val="23"/>
          <w:lang w:val="es-ES"/>
        </w:rPr>
        <w:t xml:space="preserve">      </w:t>
      </w:r>
      <w:r w:rsidRPr="00E14597">
        <w:rPr>
          <w:rFonts w:ascii="Arial" w:hAnsi="Arial" w:cs="Arial"/>
          <w:sz w:val="23"/>
          <w:szCs w:val="23"/>
          <w:lang w:val="es-ES"/>
        </w:rPr>
        <w:t>Magistrado</w:t>
      </w:r>
      <w:r>
        <w:rPr>
          <w:rFonts w:ascii="Arial" w:hAnsi="Arial" w:cs="Arial"/>
          <w:sz w:val="23"/>
          <w:szCs w:val="23"/>
          <w:lang w:val="es-ES"/>
        </w:rPr>
        <w:tab/>
      </w:r>
      <w:r>
        <w:rPr>
          <w:rFonts w:ascii="Arial" w:hAnsi="Arial" w:cs="Arial"/>
          <w:sz w:val="23"/>
          <w:szCs w:val="23"/>
          <w:lang w:val="es-ES"/>
        </w:rPr>
        <w:tab/>
      </w:r>
      <w:r w:rsidRPr="00E14597">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sidRPr="00E14597">
        <w:rPr>
          <w:rFonts w:ascii="Arial" w:hAnsi="Arial" w:cs="Arial"/>
          <w:sz w:val="23"/>
          <w:szCs w:val="23"/>
          <w:lang w:val="es-CO"/>
        </w:rPr>
        <w:t>Magistrada</w:t>
      </w:r>
    </w:p>
    <w:p w:rsidR="003A03C6" w:rsidRPr="00E14597" w:rsidRDefault="003A03C6" w:rsidP="003A03C6">
      <w:pPr>
        <w:spacing w:line="276" w:lineRule="auto"/>
        <w:contextualSpacing/>
        <w:jc w:val="both"/>
        <w:rPr>
          <w:sz w:val="23"/>
          <w:szCs w:val="23"/>
        </w:rPr>
      </w:pPr>
      <w:r w:rsidRPr="00E14597">
        <w:rPr>
          <w:rFonts w:ascii="Arial" w:hAnsi="Arial" w:cs="Arial"/>
          <w:sz w:val="23"/>
          <w:szCs w:val="23"/>
          <w:lang w:val="es-CO"/>
        </w:rPr>
        <w:tab/>
      </w:r>
      <w:r w:rsidRPr="00E14597">
        <w:rPr>
          <w:rFonts w:ascii="Arial" w:hAnsi="Arial" w:cs="Arial"/>
          <w:sz w:val="23"/>
          <w:szCs w:val="23"/>
          <w:lang w:val="es-CO"/>
        </w:rPr>
        <w:tab/>
      </w:r>
      <w:r w:rsidRPr="00E14597">
        <w:rPr>
          <w:rFonts w:ascii="Arial" w:hAnsi="Arial" w:cs="Arial"/>
          <w:sz w:val="23"/>
          <w:szCs w:val="23"/>
          <w:lang w:val="es-CO"/>
        </w:rPr>
        <w:tab/>
      </w:r>
      <w:r w:rsidRPr="00E14597">
        <w:rPr>
          <w:rFonts w:ascii="Arial" w:hAnsi="Arial" w:cs="Arial"/>
          <w:sz w:val="23"/>
          <w:szCs w:val="23"/>
          <w:lang w:val="es-CO"/>
        </w:rPr>
        <w:tab/>
      </w:r>
      <w:r w:rsidRPr="00E14597">
        <w:rPr>
          <w:rFonts w:ascii="Arial" w:hAnsi="Arial" w:cs="Arial"/>
          <w:sz w:val="23"/>
          <w:szCs w:val="23"/>
          <w:lang w:val="es-CO"/>
        </w:rPr>
        <w:tab/>
      </w:r>
      <w:r w:rsidRPr="00E14597">
        <w:rPr>
          <w:rFonts w:ascii="Arial" w:hAnsi="Arial" w:cs="Arial"/>
          <w:sz w:val="23"/>
          <w:szCs w:val="23"/>
          <w:lang w:val="es-CO"/>
        </w:rPr>
        <w:tab/>
      </w:r>
      <w:r w:rsidRPr="00E14597">
        <w:rPr>
          <w:rFonts w:ascii="Arial" w:hAnsi="Arial" w:cs="Arial"/>
          <w:sz w:val="23"/>
          <w:szCs w:val="23"/>
          <w:lang w:val="es-CO"/>
        </w:rPr>
        <w:tab/>
      </w:r>
      <w:r w:rsidRPr="00E14597">
        <w:rPr>
          <w:rFonts w:ascii="Arial" w:hAnsi="Arial" w:cs="Arial"/>
          <w:sz w:val="23"/>
          <w:szCs w:val="23"/>
          <w:lang w:val="es-CO"/>
        </w:rPr>
        <w:tab/>
      </w:r>
      <w:r>
        <w:rPr>
          <w:rFonts w:ascii="Arial" w:hAnsi="Arial" w:cs="Arial"/>
          <w:sz w:val="23"/>
          <w:szCs w:val="23"/>
          <w:lang w:val="es-CO"/>
        </w:rPr>
        <w:tab/>
      </w:r>
      <w:r w:rsidRPr="00E14597">
        <w:rPr>
          <w:rFonts w:ascii="Arial" w:hAnsi="Arial" w:cs="Arial"/>
          <w:sz w:val="23"/>
          <w:szCs w:val="23"/>
          <w:lang w:val="es-CO"/>
        </w:rPr>
        <w:t>Salva voto</w:t>
      </w:r>
    </w:p>
    <w:p w:rsidR="0009166E" w:rsidRDefault="0009166E" w:rsidP="00675578">
      <w:pPr>
        <w:pStyle w:val="Sinespaciado"/>
        <w:spacing w:line="276" w:lineRule="auto"/>
        <w:contextualSpacing/>
        <w:rPr>
          <w:rFonts w:ascii="Arial" w:hAnsi="Arial" w:cs="Arial"/>
          <w:sz w:val="23"/>
          <w:szCs w:val="23"/>
          <w:lang w:val="es-ES"/>
        </w:rPr>
      </w:pPr>
    </w:p>
    <w:p w:rsidR="00675578" w:rsidRDefault="00675578">
      <w:pPr>
        <w:spacing w:after="160" w:line="259" w:lineRule="auto"/>
        <w:rPr>
          <w:rFonts w:ascii="Arial" w:eastAsiaTheme="minorHAnsi" w:hAnsi="Arial" w:cs="Arial"/>
          <w:sz w:val="23"/>
          <w:szCs w:val="23"/>
          <w:lang w:val="es-ES" w:eastAsia="en-US"/>
        </w:rPr>
      </w:pPr>
      <w:r>
        <w:rPr>
          <w:rFonts w:ascii="Arial" w:hAnsi="Arial" w:cs="Arial"/>
          <w:sz w:val="23"/>
          <w:szCs w:val="23"/>
          <w:lang w:val="es-ES"/>
        </w:rPr>
        <w:br w:type="page"/>
      </w:r>
    </w:p>
    <w:p w:rsidR="00675578" w:rsidRPr="009849BE" w:rsidRDefault="00675578" w:rsidP="00675578">
      <w:pPr>
        <w:pStyle w:val="Ttulo1"/>
        <w:widowControl/>
        <w:autoSpaceDE/>
        <w:autoSpaceDN/>
        <w:adjustRightInd/>
        <w:rPr>
          <w:rFonts w:ascii="Tahoma" w:hAnsi="Tahoma" w:cs="Tahoma"/>
          <w:bCs/>
          <w:sz w:val="22"/>
          <w:szCs w:val="22"/>
          <w:u w:val="single"/>
        </w:rPr>
      </w:pPr>
      <w:r w:rsidRPr="009849BE">
        <w:rPr>
          <w:rFonts w:ascii="Tahoma" w:hAnsi="Tahoma" w:cs="Tahoma"/>
          <w:bCs/>
          <w:sz w:val="22"/>
          <w:szCs w:val="22"/>
          <w:u w:val="single"/>
        </w:rPr>
        <w:lastRenderedPageBreak/>
        <w:t>SALVAMENTO DE VOTO</w:t>
      </w:r>
    </w:p>
    <w:p w:rsidR="00675578" w:rsidRPr="009849BE" w:rsidRDefault="00675578" w:rsidP="00675578">
      <w:pPr>
        <w:jc w:val="both"/>
        <w:rPr>
          <w:rFonts w:ascii="Tahoma" w:hAnsi="Tahoma" w:cs="Tahoma"/>
          <w:b/>
          <w:bCs/>
          <w:sz w:val="22"/>
          <w:szCs w:val="22"/>
        </w:rPr>
      </w:pPr>
    </w:p>
    <w:p w:rsidR="00675578" w:rsidRPr="009849BE" w:rsidRDefault="00675578" w:rsidP="00675578">
      <w:pPr>
        <w:spacing w:line="276" w:lineRule="auto"/>
        <w:ind w:firstLine="709"/>
        <w:jc w:val="both"/>
        <w:rPr>
          <w:rFonts w:ascii="Tahoma" w:hAnsi="Tahoma" w:cs="Tahoma"/>
          <w:sz w:val="22"/>
          <w:szCs w:val="22"/>
        </w:rPr>
      </w:pPr>
      <w:r w:rsidRPr="009849BE">
        <w:rPr>
          <w:rFonts w:ascii="Tahoma" w:hAnsi="Tahoma" w:cs="Tahoma"/>
          <w:sz w:val="22"/>
          <w:szCs w:val="22"/>
        </w:rPr>
        <w:t>Con mi acostumbrado respeto, manifiesto mi inconformidad frente a la decisión mayoritaria por las razones que expuse cuando presenté el proyecto en mi calidad de ponente original, las cuales fueron las siguientes:</w:t>
      </w:r>
    </w:p>
    <w:p w:rsidR="00675578" w:rsidRPr="009849BE" w:rsidRDefault="00675578" w:rsidP="00675578">
      <w:pPr>
        <w:spacing w:line="276" w:lineRule="auto"/>
        <w:ind w:firstLine="709"/>
        <w:jc w:val="both"/>
        <w:rPr>
          <w:rFonts w:ascii="Tahoma" w:hAnsi="Tahoma" w:cs="Tahoma"/>
          <w:sz w:val="22"/>
          <w:szCs w:val="22"/>
        </w:rPr>
      </w:pPr>
    </w:p>
    <w:p w:rsidR="00675578" w:rsidRPr="009849BE" w:rsidRDefault="00675578" w:rsidP="00675578">
      <w:pPr>
        <w:pStyle w:val="Puesto"/>
        <w:spacing w:line="276" w:lineRule="auto"/>
        <w:ind w:firstLine="708"/>
        <w:jc w:val="both"/>
        <w:rPr>
          <w:rFonts w:ascii="Tahoma" w:hAnsi="Tahoma" w:cs="Tahoma"/>
          <w:sz w:val="22"/>
          <w:szCs w:val="22"/>
        </w:rPr>
      </w:pPr>
      <w:r w:rsidRPr="009849BE">
        <w:rPr>
          <w:rFonts w:ascii="Tahoma" w:hAnsi="Tahoma" w:cs="Tahoma"/>
          <w:sz w:val="22"/>
          <w:szCs w:val="22"/>
        </w:rPr>
        <w:t xml:space="preserve">La posición de las mayorías no descarta la procedencia del principio de la condición más beneficiosa para la concesión de la pensión de sobrevivencia o invalidez, según el caso, siempre y cuando se aplique la norma inmediatamente anterior a la fecha del siniestro, tal como lo pregona la Sala de Casación Laboral de la Corte Suprema de Justicia, pero además, esta Sala Mayoritaria ha aceptado la incorporación del nuevo requisito señalado en la sentencia SL4650 -radicado No. 45262 del 25 de enero de 2017- para la aplicación de la condición más beneficiosa en el transito legislativo de la Ley 100 de 1993 (original) a la Ley 797 de 2003, en la que se impuso una limitación temporal a la aplicación del referido principio, en el sentido de que la </w:t>
      </w:r>
      <w:r>
        <w:rPr>
          <w:rFonts w:ascii="Tahoma" w:hAnsi="Tahoma" w:cs="Tahoma"/>
          <w:sz w:val="22"/>
          <w:szCs w:val="22"/>
        </w:rPr>
        <w:t xml:space="preserve">muerte ocurrir </w:t>
      </w:r>
      <w:r w:rsidRPr="009849BE">
        <w:rPr>
          <w:rFonts w:ascii="Tahoma" w:hAnsi="Tahoma" w:cs="Tahoma"/>
          <w:sz w:val="22"/>
          <w:szCs w:val="22"/>
        </w:rPr>
        <w:t xml:space="preserve">en los tres (3) años siguientes a la entrada en vigencia de dicha norma, esto es, entre el 29 de enero de 2003 y el 29 de enero de 2006. </w:t>
      </w:r>
    </w:p>
    <w:p w:rsidR="00675578" w:rsidRPr="009849BE" w:rsidRDefault="00675578" w:rsidP="00675578">
      <w:pPr>
        <w:pStyle w:val="Puesto"/>
        <w:spacing w:line="276" w:lineRule="auto"/>
        <w:jc w:val="both"/>
        <w:rPr>
          <w:rFonts w:ascii="Tahoma" w:hAnsi="Tahoma" w:cs="Tahoma"/>
          <w:b/>
          <w:sz w:val="22"/>
          <w:szCs w:val="22"/>
        </w:rPr>
      </w:pPr>
      <w:r w:rsidRPr="009849BE">
        <w:rPr>
          <w:rFonts w:ascii="Tahoma" w:hAnsi="Tahoma" w:cs="Tahoma"/>
          <w:sz w:val="22"/>
          <w:szCs w:val="22"/>
        </w:rPr>
        <w:t xml:space="preserve">  </w:t>
      </w:r>
    </w:p>
    <w:p w:rsidR="00675578" w:rsidRPr="009849BE" w:rsidRDefault="00675578" w:rsidP="00675578">
      <w:pPr>
        <w:pStyle w:val="Puesto"/>
        <w:spacing w:line="276" w:lineRule="auto"/>
        <w:ind w:firstLine="708"/>
        <w:jc w:val="both"/>
        <w:rPr>
          <w:rFonts w:ascii="Tahoma" w:hAnsi="Tahoma" w:cs="Tahoma"/>
          <w:b/>
          <w:spacing w:val="-2"/>
          <w:sz w:val="22"/>
          <w:szCs w:val="22"/>
        </w:rPr>
      </w:pPr>
      <w:r w:rsidRPr="009849BE">
        <w:rPr>
          <w:rFonts w:ascii="Tahoma" w:hAnsi="Tahoma" w:cs="Tahoma"/>
          <w:sz w:val="22"/>
          <w:szCs w:val="22"/>
        </w:rPr>
        <w:t xml:space="preserve">No obstante, atendiendo la interpretación de la Corte Constitucional sobre la materia, la cual resulta más favorable para la beneficiaria, a mi juicio es posible el salto de la Ley 797 de 2003 a los antiguos reglamentos del ISS (hoy Colpensiones), en la medida en que </w:t>
      </w:r>
      <w:r w:rsidRPr="009849BE">
        <w:rPr>
          <w:rFonts w:ascii="Tahoma" w:hAnsi="Tahoma" w:cs="Tahoma"/>
          <w:spacing w:val="-2"/>
          <w:sz w:val="22"/>
          <w:szCs w:val="22"/>
        </w:rPr>
        <w:t xml:space="preserve">el artículo 53 de la Constitución no restringe la aplicación de la condición más beneficiosa a sólo </w:t>
      </w:r>
      <w:r>
        <w:rPr>
          <w:rFonts w:ascii="Tahoma" w:hAnsi="Tahoma" w:cs="Tahoma"/>
          <w:spacing w:val="-2"/>
          <w:sz w:val="22"/>
          <w:szCs w:val="22"/>
        </w:rPr>
        <w:t>dos n</w:t>
      </w:r>
      <w:r w:rsidRPr="009849BE">
        <w:rPr>
          <w:rFonts w:ascii="Tahoma" w:hAnsi="Tahoma" w:cs="Tahoma"/>
          <w:spacing w:val="-2"/>
          <w:sz w:val="22"/>
          <w:szCs w:val="22"/>
        </w:rPr>
        <w:t xml:space="preserve">ormas aplicables al caso, como lo he venido señalando de tiempo atrás, a la luz de la interpretación que al respecto tiene la Corte Constitucional, tal como está en la sentencia T-566 de 2014, de modo que en mi criterio habría lugar al reconocimiento de la pensión, al encontrarse acreditado que el causante reunió el número mínimo de semanas cotizadas exigido en el Acuerdo 049 de 1990, aprobado por el Decreto 758 del mismo año, antes de la entrada en vigencia de la Ley 100 de 1993. </w:t>
      </w:r>
    </w:p>
    <w:p w:rsidR="00675578" w:rsidRPr="009849BE" w:rsidRDefault="00675578" w:rsidP="00675578">
      <w:pPr>
        <w:pStyle w:val="Puesto"/>
        <w:spacing w:line="276" w:lineRule="auto"/>
        <w:jc w:val="both"/>
        <w:rPr>
          <w:rFonts w:ascii="Tahoma" w:hAnsi="Tahoma" w:cs="Tahoma"/>
          <w:b/>
          <w:spacing w:val="-2"/>
          <w:sz w:val="22"/>
          <w:szCs w:val="22"/>
        </w:rPr>
      </w:pPr>
    </w:p>
    <w:p w:rsidR="00675578" w:rsidRPr="009849BE" w:rsidRDefault="00675578" w:rsidP="00675578">
      <w:pPr>
        <w:spacing w:line="276" w:lineRule="auto"/>
        <w:ind w:firstLine="709"/>
        <w:jc w:val="both"/>
        <w:rPr>
          <w:rFonts w:ascii="Tahoma" w:hAnsi="Tahoma" w:cs="Tahoma"/>
          <w:sz w:val="22"/>
          <w:szCs w:val="22"/>
        </w:rPr>
      </w:pPr>
      <w:r w:rsidRPr="009849BE">
        <w:rPr>
          <w:rFonts w:ascii="Tahoma" w:hAnsi="Tahoma" w:cs="Tahoma"/>
          <w:sz w:val="22"/>
          <w:szCs w:val="22"/>
        </w:rPr>
        <w:t>Por otra parte, debo advertir que no comparto la exigencia de los cinco requisitos establecidos en la sentencia SU-005 de 2018, que componen el “test de procedencia” para la aplicación del principio de la condición más beneficiosa</w:t>
      </w:r>
      <w:r w:rsidRPr="009849BE">
        <w:rPr>
          <w:rStyle w:val="Refdenotaalpie"/>
          <w:rFonts w:ascii="Tahoma" w:eastAsiaTheme="minorEastAsia" w:hAnsi="Tahoma" w:cs="Tahoma"/>
          <w:sz w:val="22"/>
          <w:szCs w:val="22"/>
        </w:rPr>
        <w:footnoteReference w:id="3"/>
      </w:r>
      <w:r w:rsidRPr="009849BE">
        <w:rPr>
          <w:rFonts w:ascii="Tahoma" w:hAnsi="Tahoma" w:cs="Tahoma"/>
          <w:sz w:val="22"/>
          <w:szCs w:val="22"/>
        </w:rPr>
        <w:t>, y para fundar mi discrepancia me remito a la sinopsis que hizo la Corte Constitucional en el comunicado No. 6 del 13 de febrero de los cursantes, de los salvamentos de voto de la Magistrada Diana Fajardo Rivera y de los Magistrados José Fernando Reyes Cuartas y Alberto Rojas Ríos, quienes, constituyendo la tercera parte de la actual conformación de dicha alta corporación, ponen de relieve que le nueva postura implica un cambio de tal magnitud que limita e, incluso, contradice la postura pacífica que se venía sosteniendo de tiempo atrás.</w:t>
      </w:r>
    </w:p>
    <w:p w:rsidR="00675578" w:rsidRPr="009849BE" w:rsidRDefault="00675578" w:rsidP="00675578">
      <w:pPr>
        <w:spacing w:line="276" w:lineRule="auto"/>
        <w:ind w:firstLine="709"/>
        <w:jc w:val="both"/>
        <w:rPr>
          <w:rFonts w:ascii="Tahoma" w:hAnsi="Tahoma" w:cs="Tahoma"/>
          <w:sz w:val="22"/>
          <w:szCs w:val="22"/>
        </w:rPr>
      </w:pPr>
    </w:p>
    <w:p w:rsidR="00675578" w:rsidRPr="009849BE" w:rsidRDefault="00675578" w:rsidP="00675578">
      <w:pPr>
        <w:spacing w:line="276" w:lineRule="auto"/>
        <w:ind w:firstLine="709"/>
        <w:jc w:val="both"/>
        <w:rPr>
          <w:rFonts w:ascii="Tahoma" w:hAnsi="Tahoma" w:cs="Tahoma"/>
          <w:sz w:val="22"/>
          <w:szCs w:val="22"/>
        </w:rPr>
      </w:pPr>
      <w:r w:rsidRPr="009849BE">
        <w:rPr>
          <w:rFonts w:ascii="Tahoma" w:hAnsi="Tahoma" w:cs="Tahoma"/>
          <w:sz w:val="22"/>
          <w:szCs w:val="22"/>
        </w:rPr>
        <w:t>Así se señaló en el aludido comunicado</w:t>
      </w:r>
      <w:r w:rsidRPr="009849BE">
        <w:rPr>
          <w:rStyle w:val="Refdenotaalpie"/>
          <w:rFonts w:ascii="Tahoma" w:eastAsiaTheme="minorEastAsia" w:hAnsi="Tahoma" w:cs="Tahoma"/>
          <w:sz w:val="22"/>
          <w:szCs w:val="22"/>
        </w:rPr>
        <w:footnoteReference w:id="4"/>
      </w:r>
      <w:r w:rsidRPr="009849BE">
        <w:rPr>
          <w:rFonts w:ascii="Tahoma" w:hAnsi="Tahoma" w:cs="Tahoma"/>
          <w:sz w:val="22"/>
          <w:szCs w:val="22"/>
        </w:rPr>
        <w:t>:</w:t>
      </w:r>
    </w:p>
    <w:p w:rsidR="00675578" w:rsidRPr="009849BE" w:rsidRDefault="00675578" w:rsidP="00675578">
      <w:pPr>
        <w:spacing w:line="276" w:lineRule="auto"/>
        <w:ind w:firstLine="709"/>
        <w:jc w:val="both"/>
        <w:rPr>
          <w:sz w:val="22"/>
          <w:szCs w:val="22"/>
        </w:rPr>
      </w:pPr>
    </w:p>
    <w:p w:rsidR="00675578" w:rsidRPr="00AB711C" w:rsidRDefault="00675578" w:rsidP="00675578">
      <w:pPr>
        <w:tabs>
          <w:tab w:val="left" w:pos="9214"/>
        </w:tabs>
        <w:ind w:left="708" w:right="335"/>
        <w:jc w:val="both"/>
        <w:rPr>
          <w:rFonts w:ascii="Arial Narrow" w:hAnsi="Arial Narrow"/>
          <w:szCs w:val="22"/>
        </w:rPr>
      </w:pPr>
      <w:r w:rsidRPr="00AB711C">
        <w:rPr>
          <w:rFonts w:ascii="Arial Narrow" w:hAnsi="Arial Narrow"/>
          <w:szCs w:val="22"/>
        </w:rPr>
        <w:t xml:space="preserve">“La magistrada Diana Fajardo Rivera y los magistrados José Fernando Reyes Cuartas y Alberto Rojas Ríos salvaron su voto frente a la anterior decisión. Manifestaron que al estructurar el “test de procedencia” la mayoría desconoció, entre otros aspectos, que: (i) el estudio de procedibilidad de la acción de tutela corresponde a una valoración primaria y estrictamente formal que, por tanto, no admite la verificación de aspectos propios del fondo del asunto y que en últimas prejuzgan la titularidad del derecho alegado por los accionantes; y (ii) la variación de los criterios de análisis de procedencia en materia de pensión de sobrevivientes, asumida en esta sentencia, implicó, en el mejor de los casos, un </w:t>
      </w:r>
      <w:r w:rsidRPr="00AB711C">
        <w:rPr>
          <w:rFonts w:ascii="Arial Narrow" w:hAnsi="Arial Narrow"/>
          <w:szCs w:val="22"/>
        </w:rPr>
        <w:lastRenderedPageBreak/>
        <w:t xml:space="preserve">evidente cambio de jurisprudencia que le imponía a la Sala la obligación de apropiarse de una estricta carga argumentativa omitida en esta ocasión. Lo anterior, máxime si se tiene en cuenta que se trató de una decisión que restringe el ámbito de protección de la jurisprudencia constitucional ha venido dando a asuntos similares, tal como a continuación se expone. </w:t>
      </w:r>
    </w:p>
    <w:p w:rsidR="00675578" w:rsidRPr="00AB711C" w:rsidRDefault="00675578" w:rsidP="00675578">
      <w:pPr>
        <w:tabs>
          <w:tab w:val="left" w:pos="9214"/>
        </w:tabs>
        <w:ind w:right="335"/>
        <w:jc w:val="both"/>
        <w:rPr>
          <w:rFonts w:ascii="Arial Narrow" w:hAnsi="Arial Narrow"/>
          <w:szCs w:val="22"/>
        </w:rPr>
      </w:pPr>
    </w:p>
    <w:p w:rsidR="00675578" w:rsidRPr="00AB711C" w:rsidRDefault="00675578" w:rsidP="00675578">
      <w:pPr>
        <w:tabs>
          <w:tab w:val="left" w:pos="9214"/>
        </w:tabs>
        <w:ind w:left="708" w:right="335"/>
        <w:jc w:val="both"/>
        <w:rPr>
          <w:rFonts w:ascii="Arial Narrow" w:hAnsi="Arial Narrow"/>
          <w:szCs w:val="22"/>
        </w:rPr>
      </w:pPr>
      <w:r w:rsidRPr="00AB711C">
        <w:rPr>
          <w:rFonts w:ascii="Arial Narrow" w:hAnsi="Arial Narrow"/>
          <w:szCs w:val="22"/>
        </w:rPr>
        <w:t xml:space="preserve">La lectura restringida que hizo la Sala en este caso, en relación con el alcance de la condición más beneficiosa aplicable a la pensión de sobrevivientes, muestra lo ajena que es esta decisión, en el contexto de una línea jurisprudencial pacífica y uniforme que las distintas Salas de Revisión habían estructurado, y con la cual había consolidado un importante escenario de seguridad jurídica. Esta Corte siempre, sin ninguna excepción, respondió de la misma manera al segundo problema jurídico planteado en la sentencia SU-005 de 2018: el principio de condición más beneficiosa, en aquellos eventos en los que el causante ha fallecido en vigencia de la Ley 797 de 2003, y no cumple con lo establecido en el artículo 12 de dicha normatividad, hace jurídicamente posible reconocer la pensión de sobrevivientes al beneficiario respectivo, de acuerdo con el Acuerdo 049 de 1990, siempre que se acredite que antes de que este último régimen perdiera vigencia, se había superado el requisito de cotización allí establecido, en procura de garantizar una salvaguarda constitucional de las expectativas legítimas de los afiliados frente a los cambios intempestivos de legislación pensional y ante la inexistencia, en estos eventos, de mecanismos legales como los regímenes de transición. </w:t>
      </w:r>
    </w:p>
    <w:p w:rsidR="00675578" w:rsidRPr="00AB711C" w:rsidRDefault="00675578" w:rsidP="00675578">
      <w:pPr>
        <w:tabs>
          <w:tab w:val="left" w:pos="9214"/>
        </w:tabs>
        <w:ind w:right="335"/>
        <w:jc w:val="both"/>
        <w:rPr>
          <w:rFonts w:ascii="Arial Narrow" w:hAnsi="Arial Narrow"/>
          <w:szCs w:val="22"/>
        </w:rPr>
      </w:pPr>
    </w:p>
    <w:p w:rsidR="00675578" w:rsidRPr="00AB711C" w:rsidRDefault="00675578" w:rsidP="00675578">
      <w:pPr>
        <w:tabs>
          <w:tab w:val="left" w:pos="9214"/>
        </w:tabs>
        <w:ind w:left="708" w:right="335"/>
        <w:jc w:val="both"/>
        <w:rPr>
          <w:rFonts w:ascii="Arial Narrow" w:hAnsi="Arial Narrow"/>
          <w:szCs w:val="22"/>
        </w:rPr>
      </w:pPr>
      <w:r w:rsidRPr="00AB711C">
        <w:rPr>
          <w:rFonts w:ascii="Arial Narrow" w:hAnsi="Arial Narrow"/>
          <w:szCs w:val="22"/>
        </w:rPr>
        <w:t>Para los tres magistrados, desatender la posición que ya se había fijado no se justificó a la luz de la jurisprudencia. Los exigentes criterios que demanda un cambio de precedente constitucional, en especial cuando es pacífico, encuentran sustento en la necesidad de protección de los principios de igualdad y seguridad jurídica. Así, el simple cambio de criterio de los magistrados de la Corte, bien sea porque modificaron su parecer o porque son personas distintas a las que dictaron los precedentes previos, no es razón suficiente para cambiar de jurisprudencia. Nunca se aclaró en el debate en Sala cuál era el “desajuste” de la línea históricamente asumida por la Corporación que, supuestamente, reclamaba un “ajuste” que implicara tan importante modificación. Que la mayoría de la actual Sala Plena considere que la posición pacífica y decantada en el pasado, compartida por quienes salvamos el voto, no le dio al Acto Legislativo 01 de 2005 el valor que a su juicio se merece, no demuestra que la nueva posición sea la correcta y la anterior errada, sino que son diferentes. De hecho, lejos de tratarse de un error, la perspectiva jurisprudencial constitucional tradicional es razonable, al punto que contrasta con la decisión que ahora ha sido adoptada por la mayoría de la plenaria, en la que evidentemente se ha desatendido el principio de progresividad en materia de derechos sociales y la consecuente prohibición de retrocesos constitucionales frente al nivel de protección que ya se había alcanzado.</w:t>
      </w:r>
    </w:p>
    <w:p w:rsidR="00675578" w:rsidRPr="00AB711C" w:rsidRDefault="00675578" w:rsidP="00675578">
      <w:pPr>
        <w:tabs>
          <w:tab w:val="left" w:pos="9214"/>
        </w:tabs>
        <w:ind w:right="335"/>
        <w:jc w:val="both"/>
        <w:rPr>
          <w:rFonts w:ascii="Arial Narrow" w:hAnsi="Arial Narrow"/>
          <w:szCs w:val="22"/>
        </w:rPr>
      </w:pPr>
    </w:p>
    <w:p w:rsidR="00675578" w:rsidRPr="00AB711C" w:rsidRDefault="00675578" w:rsidP="00675578">
      <w:pPr>
        <w:tabs>
          <w:tab w:val="left" w:pos="9214"/>
        </w:tabs>
        <w:ind w:left="708" w:right="335"/>
        <w:jc w:val="both"/>
        <w:rPr>
          <w:rFonts w:ascii="Arial Narrow" w:hAnsi="Arial Narrow"/>
          <w:szCs w:val="22"/>
        </w:rPr>
      </w:pPr>
      <w:r w:rsidRPr="00AB711C">
        <w:rPr>
          <w:rFonts w:ascii="Arial Narrow" w:hAnsi="Arial Narrow"/>
          <w:szCs w:val="22"/>
        </w:rPr>
        <w:t xml:space="preserve">Esta Corte explícitamente venía defendiendo la lectura de las fuentes de derecho aplicables al caso de la manera más favorable, en contraste con la posición sostenida por la Sala de Casación Laboral de la Corte Suprema de Justicia, según la cual la condición más beneficiosa sólo es predicable respecto del régimen pensional inmediatamente anterior. En esta oportunidad, la mayoría de la Sala Plena decidió dejar de lado la consolidada y cierta línea jurisprudencial constitucional, claramente vinculante, para asumir la respuesta dada desde el alto Tribunal de la jurisdicción ordinaria, que ha de resolver la cuestión con énfasis en la legalidad y no la constitucionalidad. Con ello, se perdió de vista que la consagración por el Constituyente de 1991 de los principios mínimos fundamentales de la relación laboral, como la condición más beneficiosa, no responde a ninguna virtud filantrópica sino a luchas históricas por la reivindicación de los derechos sociales de los trabajadores. Aunado a lo anterior, los magistrados indicaron que si uno de los móviles que condujo a la adopción de la nueva posición correspondió al criterio de la sostenibilidad financiera, tal determinación no sólo debía quedar expresamente consagrada en la decisión, sino que ello, en todo caso, exigía una hermenéutica acorde con los principios </w:t>
      </w:r>
      <w:r w:rsidRPr="00AB711C">
        <w:rPr>
          <w:rFonts w:ascii="Arial Narrow" w:hAnsi="Arial Narrow"/>
          <w:szCs w:val="22"/>
        </w:rPr>
        <w:lastRenderedPageBreak/>
        <w:t>rectores del sistema general de seguridad social (como la universalidad y la solidaridad), pero también un acatamiento del parágrafo contenido en el artículo 334 de la Constitución Política, según el cual “bajo ninguna circunstancia, autoridad alguna de naturaleza administrativa, legislativa o judicial, podrá invocar la sostenibilidad fiscal para menoscabar los derechos fundamentales, restringir su alcance o negar su protección efectiva”, y que fue abiertamente desatendido en esta sentencia.</w:t>
      </w:r>
    </w:p>
    <w:p w:rsidR="00675578" w:rsidRPr="00AB711C" w:rsidRDefault="00675578" w:rsidP="00675578">
      <w:pPr>
        <w:tabs>
          <w:tab w:val="left" w:pos="9214"/>
        </w:tabs>
        <w:ind w:right="335"/>
        <w:jc w:val="both"/>
        <w:rPr>
          <w:rFonts w:ascii="Arial Narrow" w:hAnsi="Arial Narrow"/>
          <w:szCs w:val="22"/>
        </w:rPr>
      </w:pPr>
    </w:p>
    <w:p w:rsidR="00675578" w:rsidRPr="00AB711C" w:rsidRDefault="00675578" w:rsidP="00675578">
      <w:pPr>
        <w:tabs>
          <w:tab w:val="left" w:pos="9214"/>
        </w:tabs>
        <w:ind w:left="708" w:right="335"/>
        <w:jc w:val="both"/>
        <w:rPr>
          <w:rFonts w:ascii="Arial Narrow" w:hAnsi="Arial Narrow"/>
          <w:szCs w:val="22"/>
        </w:rPr>
      </w:pPr>
      <w:r w:rsidRPr="00AB711C">
        <w:rPr>
          <w:rFonts w:ascii="Arial Narrow" w:hAnsi="Arial Narrow"/>
          <w:szCs w:val="22"/>
        </w:rPr>
        <w:t>Los magistrados indicaron, además, que la definición jurisprudencial de una regla general de inaplicabilidad de la condición más beneficiosa a regímenes pensionales tras anteriores, y con ello el establecimiento de una excepción en aquellos casos de “vulnerabilidad”, desconoció no sólo la teleología y origen constitucional de la pensión de sobrevivientes, sino el principio de universalidad de los derechos. En concreto, manifestaron que el criterio del cual disintieron implica una severa regresión en punto del derecho a la seguridad social, que desconoce valores y principios de la Carta Política.</w:t>
      </w:r>
    </w:p>
    <w:p w:rsidR="00675578" w:rsidRPr="00AB711C" w:rsidRDefault="00675578" w:rsidP="00675578">
      <w:pPr>
        <w:tabs>
          <w:tab w:val="left" w:pos="9214"/>
        </w:tabs>
        <w:ind w:right="335"/>
        <w:jc w:val="both"/>
        <w:rPr>
          <w:rFonts w:ascii="Arial Narrow" w:hAnsi="Arial Narrow"/>
          <w:szCs w:val="22"/>
        </w:rPr>
      </w:pPr>
    </w:p>
    <w:p w:rsidR="00675578" w:rsidRPr="00AB711C" w:rsidRDefault="00675578" w:rsidP="00675578">
      <w:pPr>
        <w:tabs>
          <w:tab w:val="left" w:pos="9214"/>
        </w:tabs>
        <w:ind w:left="708" w:right="335"/>
        <w:jc w:val="both"/>
        <w:rPr>
          <w:rFonts w:ascii="Arial Narrow" w:hAnsi="Arial Narrow"/>
          <w:szCs w:val="22"/>
        </w:rPr>
      </w:pPr>
      <w:r w:rsidRPr="00AB711C">
        <w:rPr>
          <w:rFonts w:ascii="Arial Narrow" w:hAnsi="Arial Narrow"/>
          <w:szCs w:val="22"/>
        </w:rPr>
        <w:t>En suma, para los tres magistrados la decisión adoptada, en general, adolece de la carencia de un elemento determinante en la modificación de cualquier línea jurisprudencial: el desarrollo de razones “de peso” y “poderosas” (cfr. SU-047 de 1999, entre otras) que den cuenta de la necesidad de variar el precedente, con lo cual se ha puesto en riesgo contenidos superiores como la seguridad jurídica, la igualdad y el respeto por las decisiones de los órganos judiciales. Esto, sin duda, determinó la resolución definitiva de los casos concretos. No obstante, y pese a apartarse de la decisión adoptada, celebran los magistrados disidentes que al menos no hubiesen sido acogidas las tesis aún más restrictivas y regresivas, originalmente propuestas a la Sala.</w:t>
      </w:r>
    </w:p>
    <w:p w:rsidR="00675578" w:rsidRDefault="00675578" w:rsidP="00675578">
      <w:pPr>
        <w:spacing w:line="276" w:lineRule="auto"/>
        <w:ind w:firstLine="709"/>
        <w:jc w:val="both"/>
        <w:rPr>
          <w:rFonts w:ascii="Tahoma" w:hAnsi="Tahoma" w:cs="Tahoma"/>
          <w:sz w:val="22"/>
          <w:szCs w:val="22"/>
        </w:rPr>
      </w:pPr>
    </w:p>
    <w:p w:rsidR="00675578" w:rsidRPr="009849BE" w:rsidRDefault="00675578" w:rsidP="00675578">
      <w:pPr>
        <w:spacing w:line="276" w:lineRule="auto"/>
        <w:ind w:firstLine="709"/>
        <w:jc w:val="both"/>
        <w:rPr>
          <w:rFonts w:ascii="Tahoma" w:hAnsi="Tahoma" w:cs="Tahoma"/>
          <w:sz w:val="22"/>
          <w:szCs w:val="22"/>
        </w:rPr>
      </w:pPr>
      <w:r w:rsidRPr="009849BE">
        <w:rPr>
          <w:rFonts w:ascii="Tahoma" w:hAnsi="Tahoma" w:cs="Tahoma"/>
          <w:sz w:val="22"/>
          <w:szCs w:val="22"/>
        </w:rPr>
        <w:t xml:space="preserve">Así las cosas, al compartir los fundamentos planteados en los aludidos salvamentos de voto, me acojo a los mismos para avalar la sentencia de primer grado, pues el causante </w:t>
      </w:r>
      <w:r w:rsidRPr="009849BE">
        <w:rPr>
          <w:rFonts w:ascii="Tahoma" w:hAnsi="Tahoma" w:cs="Tahoma"/>
          <w:b/>
          <w:sz w:val="22"/>
          <w:szCs w:val="22"/>
        </w:rPr>
        <w:t>NO TIENE SEMANAS COTIZADAS EN LOS 3 AÑOS ANTERIORES A SU FALLECIMIENTO, esto es, no cumple los requisitos de la Ley 797 de 2003</w:t>
      </w:r>
      <w:r w:rsidRPr="00D538B6">
        <w:rPr>
          <w:rFonts w:ascii="Tahoma" w:hAnsi="Tahoma" w:cs="Tahoma"/>
          <w:sz w:val="22"/>
          <w:szCs w:val="22"/>
        </w:rPr>
        <w:t>;</w:t>
      </w:r>
      <w:r w:rsidRPr="009849BE">
        <w:rPr>
          <w:rFonts w:ascii="Tahoma" w:hAnsi="Tahoma" w:cs="Tahoma"/>
          <w:sz w:val="22"/>
          <w:szCs w:val="22"/>
        </w:rPr>
        <w:t xml:space="preserve"> cotizó más de 300 semanas antes de la entrada en vigencia de la Ley 100 de 1993 y</w:t>
      </w:r>
      <w:r>
        <w:rPr>
          <w:rFonts w:ascii="Tahoma" w:hAnsi="Tahoma" w:cs="Tahoma"/>
          <w:sz w:val="22"/>
          <w:szCs w:val="22"/>
        </w:rPr>
        <w:t>, además,</w:t>
      </w:r>
      <w:r w:rsidRPr="009849BE">
        <w:rPr>
          <w:rFonts w:ascii="Tahoma" w:hAnsi="Tahoma" w:cs="Tahoma"/>
          <w:sz w:val="22"/>
          <w:szCs w:val="22"/>
        </w:rPr>
        <w:t xml:space="preserve"> la señora Carmen Elena Pescador demostró su calidad de beneficiaria de dicha prestación con la declaración de las </w:t>
      </w:r>
      <w:proofErr w:type="spellStart"/>
      <w:r w:rsidRPr="009849BE">
        <w:rPr>
          <w:rFonts w:ascii="Tahoma" w:hAnsi="Tahoma" w:cs="Tahoma"/>
          <w:sz w:val="22"/>
          <w:szCs w:val="22"/>
        </w:rPr>
        <w:t>testigas</w:t>
      </w:r>
      <w:proofErr w:type="spellEnd"/>
      <w:r w:rsidRPr="009849BE">
        <w:rPr>
          <w:rFonts w:ascii="Tahoma" w:hAnsi="Tahoma" w:cs="Tahoma"/>
          <w:sz w:val="22"/>
          <w:szCs w:val="22"/>
        </w:rPr>
        <w:t xml:space="preserve"> Lucía Verónica Uribe Ramírez y Martha Lucía Amaya Otálora, ambas compañeras de la demandante en la Rama Judicial.</w:t>
      </w:r>
    </w:p>
    <w:p w:rsidR="00675578" w:rsidRPr="009849BE" w:rsidRDefault="00675578" w:rsidP="00675578">
      <w:pPr>
        <w:spacing w:line="276" w:lineRule="auto"/>
        <w:jc w:val="both"/>
        <w:rPr>
          <w:rFonts w:ascii="Tahoma" w:hAnsi="Tahoma" w:cs="Tahoma"/>
          <w:sz w:val="22"/>
          <w:szCs w:val="22"/>
        </w:rPr>
      </w:pPr>
    </w:p>
    <w:p w:rsidR="00675578" w:rsidRPr="009849BE" w:rsidRDefault="00675578" w:rsidP="00675578">
      <w:pPr>
        <w:spacing w:line="276" w:lineRule="auto"/>
        <w:jc w:val="both"/>
        <w:rPr>
          <w:rFonts w:ascii="Tahoma" w:hAnsi="Tahoma" w:cs="Tahoma"/>
          <w:sz w:val="22"/>
          <w:szCs w:val="22"/>
        </w:rPr>
      </w:pPr>
      <w:r w:rsidRPr="009849BE">
        <w:rPr>
          <w:rFonts w:ascii="Tahoma" w:hAnsi="Tahoma" w:cs="Tahoma"/>
          <w:sz w:val="22"/>
          <w:szCs w:val="22"/>
        </w:rPr>
        <w:tab/>
        <w:t>Lo expresado previamente –de manera sucinta</w:t>
      </w:r>
      <w:r>
        <w:rPr>
          <w:rFonts w:ascii="Tahoma" w:hAnsi="Tahoma" w:cs="Tahoma"/>
          <w:sz w:val="22"/>
          <w:szCs w:val="22"/>
        </w:rPr>
        <w:t>–</w:t>
      </w:r>
      <w:r w:rsidRPr="009849BE">
        <w:rPr>
          <w:rFonts w:ascii="Tahoma" w:hAnsi="Tahoma" w:cs="Tahoma"/>
          <w:sz w:val="22"/>
          <w:szCs w:val="22"/>
        </w:rPr>
        <w:t>, a mi juicio</w:t>
      </w:r>
      <w:r>
        <w:rPr>
          <w:rFonts w:ascii="Tahoma" w:hAnsi="Tahoma" w:cs="Tahoma"/>
          <w:sz w:val="22"/>
          <w:szCs w:val="22"/>
        </w:rPr>
        <w:t>,</w:t>
      </w:r>
      <w:r w:rsidRPr="009849BE">
        <w:rPr>
          <w:rFonts w:ascii="Tahoma" w:hAnsi="Tahoma" w:cs="Tahoma"/>
          <w:sz w:val="22"/>
          <w:szCs w:val="22"/>
        </w:rPr>
        <w:t xml:space="preserve"> daría lugar a confirmar la sentencia de primer grado.</w:t>
      </w:r>
    </w:p>
    <w:p w:rsidR="00675578" w:rsidRPr="009849BE" w:rsidRDefault="00675578" w:rsidP="00675578">
      <w:pPr>
        <w:spacing w:line="276" w:lineRule="auto"/>
        <w:ind w:firstLine="709"/>
        <w:jc w:val="both"/>
        <w:rPr>
          <w:rFonts w:ascii="Tahoma" w:hAnsi="Tahoma" w:cs="Tahoma"/>
          <w:sz w:val="22"/>
          <w:szCs w:val="22"/>
        </w:rPr>
      </w:pPr>
    </w:p>
    <w:p w:rsidR="00675578" w:rsidRPr="009849BE" w:rsidRDefault="00675578" w:rsidP="00675578">
      <w:pPr>
        <w:spacing w:line="276" w:lineRule="auto"/>
        <w:ind w:firstLine="709"/>
        <w:jc w:val="both"/>
        <w:rPr>
          <w:rFonts w:ascii="Tahoma" w:hAnsi="Tahoma" w:cs="Tahoma"/>
          <w:sz w:val="22"/>
          <w:szCs w:val="22"/>
        </w:rPr>
      </w:pPr>
    </w:p>
    <w:p w:rsidR="00675578" w:rsidRPr="009849BE" w:rsidRDefault="00675578" w:rsidP="00675578">
      <w:pPr>
        <w:spacing w:line="276" w:lineRule="auto"/>
        <w:ind w:firstLine="709"/>
        <w:jc w:val="both"/>
        <w:rPr>
          <w:rFonts w:ascii="Tahoma" w:hAnsi="Tahoma" w:cs="Tahoma"/>
          <w:sz w:val="22"/>
          <w:szCs w:val="22"/>
        </w:rPr>
      </w:pPr>
      <w:r w:rsidRPr="009849BE">
        <w:rPr>
          <w:rFonts w:ascii="Tahoma" w:hAnsi="Tahoma" w:cs="Tahoma"/>
          <w:sz w:val="22"/>
          <w:szCs w:val="22"/>
        </w:rPr>
        <w:t>En estos términos sustento mi salvamento de voto.</w:t>
      </w:r>
    </w:p>
    <w:p w:rsidR="00675578" w:rsidRPr="009849BE" w:rsidRDefault="00675578" w:rsidP="00675578">
      <w:pPr>
        <w:pStyle w:val="Textoindependiente"/>
        <w:spacing w:line="276" w:lineRule="auto"/>
        <w:ind w:firstLine="709"/>
        <w:rPr>
          <w:rFonts w:ascii="Tahoma" w:hAnsi="Tahoma" w:cs="Tahoma"/>
          <w:sz w:val="22"/>
          <w:lang w:val="es-ES"/>
        </w:rPr>
      </w:pPr>
    </w:p>
    <w:p w:rsidR="00675578" w:rsidRPr="009849BE" w:rsidRDefault="00675578" w:rsidP="00675578">
      <w:pPr>
        <w:widowControl w:val="0"/>
        <w:autoSpaceDE w:val="0"/>
        <w:autoSpaceDN w:val="0"/>
        <w:adjustRightInd w:val="0"/>
        <w:spacing w:line="276" w:lineRule="auto"/>
        <w:ind w:firstLine="709"/>
        <w:jc w:val="both"/>
        <w:rPr>
          <w:rFonts w:ascii="Tahoma" w:hAnsi="Tahoma" w:cs="Tahoma"/>
          <w:sz w:val="22"/>
          <w:szCs w:val="22"/>
        </w:rPr>
      </w:pPr>
    </w:p>
    <w:p w:rsidR="00675578" w:rsidRPr="009849BE" w:rsidRDefault="00675578" w:rsidP="00675578">
      <w:pPr>
        <w:widowControl w:val="0"/>
        <w:autoSpaceDE w:val="0"/>
        <w:autoSpaceDN w:val="0"/>
        <w:adjustRightInd w:val="0"/>
        <w:spacing w:line="276" w:lineRule="auto"/>
        <w:ind w:firstLine="709"/>
        <w:jc w:val="both"/>
        <w:rPr>
          <w:rFonts w:ascii="Tahoma" w:hAnsi="Tahoma" w:cs="Tahoma"/>
          <w:sz w:val="22"/>
          <w:szCs w:val="22"/>
        </w:rPr>
      </w:pPr>
    </w:p>
    <w:p w:rsidR="00675578" w:rsidRPr="009849BE" w:rsidRDefault="00675578" w:rsidP="00675578">
      <w:pPr>
        <w:widowControl w:val="0"/>
        <w:autoSpaceDE w:val="0"/>
        <w:autoSpaceDN w:val="0"/>
        <w:adjustRightInd w:val="0"/>
        <w:spacing w:line="276" w:lineRule="auto"/>
        <w:ind w:firstLine="709"/>
        <w:jc w:val="both"/>
        <w:rPr>
          <w:rFonts w:ascii="Tahoma" w:hAnsi="Tahoma" w:cs="Tahoma"/>
          <w:sz w:val="22"/>
          <w:szCs w:val="22"/>
        </w:rPr>
      </w:pPr>
    </w:p>
    <w:p w:rsidR="00675578" w:rsidRPr="009849BE" w:rsidRDefault="00675578" w:rsidP="00675578">
      <w:pPr>
        <w:widowControl w:val="0"/>
        <w:autoSpaceDE w:val="0"/>
        <w:autoSpaceDN w:val="0"/>
        <w:adjustRightInd w:val="0"/>
        <w:jc w:val="both"/>
        <w:rPr>
          <w:rFonts w:ascii="Tahoma" w:hAnsi="Tahoma" w:cs="Tahoma"/>
          <w:sz w:val="22"/>
          <w:szCs w:val="22"/>
        </w:rPr>
      </w:pPr>
    </w:p>
    <w:p w:rsidR="00675578" w:rsidRPr="009849BE" w:rsidRDefault="00675578" w:rsidP="00675578">
      <w:pPr>
        <w:widowControl w:val="0"/>
        <w:autoSpaceDE w:val="0"/>
        <w:autoSpaceDN w:val="0"/>
        <w:adjustRightInd w:val="0"/>
        <w:ind w:firstLine="709"/>
        <w:jc w:val="both"/>
        <w:rPr>
          <w:rFonts w:ascii="Tahoma" w:hAnsi="Tahoma" w:cs="Tahoma"/>
          <w:sz w:val="22"/>
          <w:szCs w:val="22"/>
        </w:rPr>
      </w:pPr>
    </w:p>
    <w:p w:rsidR="00675578" w:rsidRPr="009849BE" w:rsidRDefault="00675578" w:rsidP="00675578">
      <w:pPr>
        <w:pStyle w:val="Ttulo3"/>
        <w:spacing w:line="240" w:lineRule="auto"/>
        <w:rPr>
          <w:rFonts w:ascii="Tahoma" w:hAnsi="Tahoma" w:cs="Tahoma"/>
          <w:sz w:val="22"/>
          <w:szCs w:val="22"/>
        </w:rPr>
      </w:pPr>
      <w:r w:rsidRPr="009849BE">
        <w:rPr>
          <w:rFonts w:ascii="Tahoma" w:hAnsi="Tahoma" w:cs="Tahoma"/>
          <w:sz w:val="22"/>
          <w:szCs w:val="22"/>
        </w:rPr>
        <w:t>ANA LUCÍA CAICEDO CALDERÓN</w:t>
      </w:r>
    </w:p>
    <w:p w:rsidR="00675578" w:rsidRPr="004C6797" w:rsidRDefault="00675578" w:rsidP="00675578">
      <w:pPr>
        <w:pStyle w:val="Sinespaciado"/>
        <w:spacing w:line="276" w:lineRule="auto"/>
        <w:contextualSpacing/>
        <w:jc w:val="center"/>
        <w:rPr>
          <w:rFonts w:ascii="Arial" w:hAnsi="Arial" w:cs="Arial"/>
          <w:sz w:val="23"/>
          <w:szCs w:val="23"/>
          <w:lang w:val="es-ES"/>
        </w:rPr>
      </w:pPr>
      <w:r w:rsidRPr="009849BE">
        <w:rPr>
          <w:rFonts w:ascii="Tahoma" w:hAnsi="Tahoma" w:cs="Tahoma"/>
        </w:rPr>
        <w:t>Magistrada</w:t>
      </w:r>
    </w:p>
    <w:sectPr w:rsidR="00675578" w:rsidRPr="004C6797" w:rsidSect="003A03C6">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8B9" w:rsidRDefault="001538B9" w:rsidP="0009166E">
      <w:r>
        <w:separator/>
      </w:r>
    </w:p>
  </w:endnote>
  <w:endnote w:type="continuationSeparator" w:id="0">
    <w:p w:rsidR="001538B9" w:rsidRDefault="001538B9" w:rsidP="0009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57B" w:rsidRDefault="005B457B" w:rsidP="005B45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B457B" w:rsidRDefault="005B457B" w:rsidP="005B457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14309"/>
      <w:docPartObj>
        <w:docPartGallery w:val="Page Numbers (Bottom of Page)"/>
        <w:docPartUnique/>
      </w:docPartObj>
    </w:sdtPr>
    <w:sdtEndPr>
      <w:rPr>
        <w:rFonts w:ascii="Arial" w:hAnsi="Arial" w:cs="Arial"/>
        <w:sz w:val="18"/>
        <w:szCs w:val="18"/>
      </w:rPr>
    </w:sdtEndPr>
    <w:sdtContent>
      <w:p w:rsidR="005B457B" w:rsidRPr="003A03C6" w:rsidRDefault="005B457B" w:rsidP="003A03C6">
        <w:pPr>
          <w:pStyle w:val="Piedepgina"/>
          <w:jc w:val="right"/>
          <w:rPr>
            <w:rFonts w:ascii="Arial" w:hAnsi="Arial" w:cs="Arial"/>
            <w:sz w:val="18"/>
            <w:szCs w:val="18"/>
          </w:rPr>
        </w:pPr>
        <w:r w:rsidRPr="003A03C6">
          <w:rPr>
            <w:rFonts w:ascii="Arial" w:hAnsi="Arial" w:cs="Arial"/>
            <w:sz w:val="18"/>
            <w:szCs w:val="18"/>
          </w:rPr>
          <w:fldChar w:fldCharType="begin"/>
        </w:r>
        <w:r w:rsidRPr="003A03C6">
          <w:rPr>
            <w:rFonts w:ascii="Arial" w:hAnsi="Arial" w:cs="Arial"/>
            <w:sz w:val="18"/>
            <w:szCs w:val="18"/>
          </w:rPr>
          <w:instrText>PAGE   \* MERGEFORMAT</w:instrText>
        </w:r>
        <w:r w:rsidRPr="003A03C6">
          <w:rPr>
            <w:rFonts w:ascii="Arial" w:hAnsi="Arial" w:cs="Arial"/>
            <w:sz w:val="18"/>
            <w:szCs w:val="18"/>
          </w:rPr>
          <w:fldChar w:fldCharType="separate"/>
        </w:r>
        <w:r w:rsidR="00AA34A4">
          <w:rPr>
            <w:rFonts w:ascii="Arial" w:hAnsi="Arial" w:cs="Arial"/>
            <w:noProof/>
            <w:sz w:val="18"/>
            <w:szCs w:val="18"/>
          </w:rPr>
          <w:t>3</w:t>
        </w:r>
        <w:r w:rsidRPr="003A03C6">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8B9" w:rsidRDefault="001538B9" w:rsidP="0009166E">
      <w:r>
        <w:separator/>
      </w:r>
    </w:p>
  </w:footnote>
  <w:footnote w:type="continuationSeparator" w:id="0">
    <w:p w:rsidR="001538B9" w:rsidRDefault="001538B9" w:rsidP="0009166E">
      <w:r>
        <w:continuationSeparator/>
      </w:r>
    </w:p>
  </w:footnote>
  <w:footnote w:id="1">
    <w:p w:rsidR="00510F77" w:rsidRPr="003A03C6" w:rsidRDefault="00510F77" w:rsidP="00510F77">
      <w:pPr>
        <w:jc w:val="both"/>
        <w:rPr>
          <w:rFonts w:ascii="Arial" w:eastAsia="Calibri" w:hAnsi="Arial" w:cs="Arial"/>
          <w:sz w:val="18"/>
          <w:szCs w:val="18"/>
        </w:rPr>
      </w:pPr>
      <w:r w:rsidRPr="00DD3634">
        <w:rPr>
          <w:rStyle w:val="Refdenotaalpie"/>
          <w:rFonts w:ascii="Arial" w:hAnsi="Arial" w:cs="Arial"/>
          <w:sz w:val="18"/>
          <w:szCs w:val="18"/>
        </w:rPr>
        <w:footnoteRef/>
      </w:r>
      <w:r w:rsidRPr="00DD3634">
        <w:rPr>
          <w:rFonts w:ascii="Arial" w:hAnsi="Arial" w:cs="Arial"/>
          <w:color w:val="000000"/>
          <w:sz w:val="18"/>
          <w:szCs w:val="18"/>
          <w:lang w:val="es-ES"/>
        </w:rPr>
        <w:t>Corte Suprema de Justicia. M.P.</w:t>
      </w:r>
      <w:r>
        <w:rPr>
          <w:rFonts w:ascii="Arial" w:eastAsia="Calibri" w:hAnsi="Arial" w:cs="Arial"/>
          <w:sz w:val="18"/>
          <w:szCs w:val="18"/>
        </w:rPr>
        <w:t>Fernando Castillo Cadena</w:t>
      </w:r>
      <w:r w:rsidRPr="00DD3634">
        <w:rPr>
          <w:rFonts w:ascii="Arial" w:eastAsia="Calibri" w:hAnsi="Arial" w:cs="Arial"/>
          <w:sz w:val="18"/>
          <w:szCs w:val="18"/>
        </w:rPr>
        <w:t xml:space="preserve">. </w:t>
      </w:r>
      <w:r w:rsidRPr="00DD3634">
        <w:rPr>
          <w:rFonts w:ascii="Arial" w:hAnsi="Arial" w:cs="Arial"/>
          <w:sz w:val="18"/>
          <w:szCs w:val="18"/>
          <w:lang w:val="es-ES"/>
        </w:rPr>
        <w:t>SL</w:t>
      </w:r>
      <w:r>
        <w:rPr>
          <w:rFonts w:ascii="Arial" w:hAnsi="Arial" w:cs="Arial"/>
          <w:sz w:val="18"/>
          <w:szCs w:val="18"/>
          <w:lang w:val="es-ES"/>
        </w:rPr>
        <w:t xml:space="preserve"> 026</w:t>
      </w:r>
      <w:r w:rsidRPr="00DD3634">
        <w:rPr>
          <w:rFonts w:ascii="Arial" w:hAnsi="Arial" w:cs="Arial"/>
          <w:sz w:val="18"/>
          <w:szCs w:val="18"/>
          <w:lang w:val="es-ES"/>
        </w:rPr>
        <w:t xml:space="preserve"> </w:t>
      </w:r>
      <w:r w:rsidRPr="00DD3634">
        <w:rPr>
          <w:rFonts w:ascii="Arial" w:eastAsia="Calibri" w:hAnsi="Arial" w:cs="Arial"/>
          <w:sz w:val="18"/>
          <w:szCs w:val="18"/>
        </w:rPr>
        <w:t xml:space="preserve">Radicación N° </w:t>
      </w:r>
      <w:r>
        <w:rPr>
          <w:rFonts w:ascii="Arial" w:eastAsia="Calibri" w:hAnsi="Arial" w:cs="Arial"/>
          <w:sz w:val="18"/>
          <w:szCs w:val="18"/>
        </w:rPr>
        <w:t>58298 de 24</w:t>
      </w:r>
      <w:r w:rsidRPr="00DD3634">
        <w:rPr>
          <w:rFonts w:ascii="Arial" w:eastAsia="Calibri" w:hAnsi="Arial" w:cs="Arial"/>
          <w:sz w:val="18"/>
          <w:szCs w:val="18"/>
        </w:rPr>
        <w:t xml:space="preserve"> de </w:t>
      </w:r>
      <w:r>
        <w:rPr>
          <w:rFonts w:ascii="Arial" w:eastAsia="Calibri" w:hAnsi="Arial" w:cs="Arial"/>
          <w:sz w:val="18"/>
          <w:szCs w:val="18"/>
        </w:rPr>
        <w:t xml:space="preserve">enero </w:t>
      </w:r>
      <w:r w:rsidRPr="00DD3634">
        <w:rPr>
          <w:rFonts w:ascii="Arial" w:eastAsia="Calibri" w:hAnsi="Arial" w:cs="Arial"/>
          <w:sz w:val="18"/>
          <w:szCs w:val="18"/>
        </w:rPr>
        <w:t xml:space="preserve">de </w:t>
      </w:r>
      <w:r w:rsidRPr="003A03C6">
        <w:rPr>
          <w:rFonts w:ascii="Arial" w:eastAsia="Calibri" w:hAnsi="Arial" w:cs="Arial"/>
          <w:sz w:val="18"/>
          <w:szCs w:val="18"/>
        </w:rPr>
        <w:t>2018.</w:t>
      </w:r>
    </w:p>
  </w:footnote>
  <w:footnote w:id="2">
    <w:p w:rsidR="00510F77" w:rsidRPr="00675578" w:rsidRDefault="00510F77" w:rsidP="00675578">
      <w:pPr>
        <w:jc w:val="both"/>
        <w:rPr>
          <w:rFonts w:ascii="Arial" w:hAnsi="Arial" w:cs="Arial"/>
          <w:sz w:val="18"/>
          <w:szCs w:val="18"/>
        </w:rPr>
      </w:pPr>
      <w:r w:rsidRPr="00C8190C">
        <w:rPr>
          <w:rStyle w:val="Refdenotaalpie"/>
          <w:rFonts w:ascii="Arial" w:hAnsi="Arial" w:cs="Arial"/>
          <w:sz w:val="18"/>
          <w:szCs w:val="18"/>
        </w:rPr>
        <w:footnoteRef/>
      </w:r>
      <w:r w:rsidRPr="00C8190C">
        <w:rPr>
          <w:rFonts w:ascii="Arial" w:hAnsi="Arial" w:cs="Arial"/>
          <w:sz w:val="18"/>
          <w:szCs w:val="18"/>
        </w:rPr>
        <w:t xml:space="preserve"> M.P.</w:t>
      </w:r>
      <w:r>
        <w:rPr>
          <w:rFonts w:ascii="Arial" w:hAnsi="Arial" w:cs="Arial"/>
          <w:sz w:val="18"/>
          <w:szCs w:val="18"/>
        </w:rPr>
        <w:t xml:space="preserve"> Dr. Omar de Jesús Restrepo Ochoa. SL12284</w:t>
      </w:r>
      <w:r w:rsidRPr="00C8190C">
        <w:rPr>
          <w:rFonts w:ascii="Arial" w:hAnsi="Arial" w:cs="Arial"/>
          <w:sz w:val="18"/>
          <w:szCs w:val="18"/>
        </w:rPr>
        <w:t>-2017, Radicación N.° 45262 del 25/01/2017</w:t>
      </w:r>
    </w:p>
  </w:footnote>
  <w:footnote w:id="3">
    <w:p w:rsidR="00675578" w:rsidRPr="00675578" w:rsidRDefault="00675578" w:rsidP="00675578">
      <w:pPr>
        <w:pStyle w:val="Textonotapie"/>
        <w:jc w:val="both"/>
        <w:rPr>
          <w:rFonts w:ascii="Arial" w:hAnsi="Arial" w:cs="Arial"/>
          <w:sz w:val="18"/>
          <w:szCs w:val="18"/>
          <w:lang w:val="es-CO"/>
        </w:rPr>
      </w:pPr>
      <w:r w:rsidRPr="00675578">
        <w:rPr>
          <w:rStyle w:val="Refdenotaalpie"/>
          <w:rFonts w:ascii="Arial" w:eastAsiaTheme="minorEastAsia" w:hAnsi="Arial" w:cs="Arial"/>
          <w:sz w:val="18"/>
          <w:szCs w:val="18"/>
        </w:rPr>
        <w:footnoteRef/>
      </w:r>
      <w:r w:rsidRPr="00675578">
        <w:rPr>
          <w:rFonts w:ascii="Arial" w:hAnsi="Arial" w:cs="Arial"/>
          <w:sz w:val="18"/>
          <w:szCs w:val="18"/>
        </w:rPr>
        <w:t xml:space="preserve"> En aquellos casos en los que el hecho que dio origen a la pensión de sobrevivientes o la de invalidez se da en vigencia de las Leyes 797 u 860 de 2003, y se pretende la aplicación del Acuerdo 049 de 1990 por darse los presupuestos establecidos en esta disposición normativa.</w:t>
      </w:r>
    </w:p>
  </w:footnote>
  <w:footnote w:id="4">
    <w:p w:rsidR="00675578" w:rsidRPr="00675578" w:rsidRDefault="00675578" w:rsidP="00675578">
      <w:pPr>
        <w:pStyle w:val="Textonotapie"/>
        <w:jc w:val="both"/>
        <w:rPr>
          <w:rFonts w:ascii="Arial" w:hAnsi="Arial" w:cs="Arial"/>
          <w:sz w:val="18"/>
          <w:szCs w:val="18"/>
          <w:lang w:val="es-CO"/>
        </w:rPr>
      </w:pPr>
      <w:r w:rsidRPr="00675578">
        <w:rPr>
          <w:rStyle w:val="Refdenotaalpie"/>
          <w:rFonts w:ascii="Arial" w:eastAsiaTheme="minorEastAsia" w:hAnsi="Arial" w:cs="Arial"/>
          <w:sz w:val="18"/>
          <w:szCs w:val="18"/>
        </w:rPr>
        <w:footnoteRef/>
      </w:r>
      <w:r w:rsidRPr="00675578">
        <w:rPr>
          <w:rFonts w:ascii="Arial" w:hAnsi="Arial" w:cs="Arial"/>
          <w:sz w:val="18"/>
          <w:szCs w:val="18"/>
        </w:rPr>
        <w:t xml:space="preserve"> Al cual se hace alusión y se cita, valga decirlo, por cuanto la versión de la sentencia que circula en la red no aparece con el salvamento de los aludidos togados.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57B" w:rsidRPr="00BB3FED" w:rsidRDefault="005B457B" w:rsidP="005B457B">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5B457B" w:rsidRPr="00BB3FED" w:rsidRDefault="005B457B" w:rsidP="005B457B">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w:t>
    </w:r>
    <w:r w:rsidR="004C2C0A">
      <w:rPr>
        <w:rFonts w:ascii="Arial" w:hAnsi="Arial" w:cs="Arial"/>
        <w:sz w:val="18"/>
        <w:szCs w:val="18"/>
      </w:rPr>
      <w:t>05</w:t>
    </w:r>
    <w:r>
      <w:rPr>
        <w:rFonts w:ascii="Arial" w:hAnsi="Arial" w:cs="Arial"/>
        <w:sz w:val="18"/>
        <w:szCs w:val="18"/>
      </w:rPr>
      <w:t>-201</w:t>
    </w:r>
    <w:r w:rsidR="004C2C0A">
      <w:rPr>
        <w:rFonts w:ascii="Arial" w:hAnsi="Arial" w:cs="Arial"/>
        <w:sz w:val="18"/>
        <w:szCs w:val="18"/>
      </w:rPr>
      <w:t>4</w:t>
    </w:r>
    <w:r>
      <w:rPr>
        <w:rFonts w:ascii="Arial" w:hAnsi="Arial" w:cs="Arial"/>
        <w:sz w:val="18"/>
        <w:szCs w:val="18"/>
      </w:rPr>
      <w:t>-00</w:t>
    </w:r>
    <w:r w:rsidR="004C2C0A">
      <w:rPr>
        <w:rFonts w:ascii="Arial" w:hAnsi="Arial" w:cs="Arial"/>
        <w:sz w:val="18"/>
        <w:szCs w:val="18"/>
      </w:rPr>
      <w:t>663</w:t>
    </w:r>
    <w:r>
      <w:rPr>
        <w:rFonts w:ascii="Arial" w:hAnsi="Arial" w:cs="Arial"/>
        <w:sz w:val="18"/>
        <w:szCs w:val="18"/>
      </w:rPr>
      <w:t>-01</w:t>
    </w:r>
  </w:p>
  <w:p w:rsidR="005B457B" w:rsidRPr="00BB3FED" w:rsidRDefault="004C2C0A" w:rsidP="005B457B">
    <w:pPr>
      <w:pStyle w:val="Encabezado"/>
      <w:jc w:val="center"/>
      <w:rPr>
        <w:rFonts w:ascii="Arial" w:hAnsi="Arial" w:cs="Arial"/>
        <w:sz w:val="18"/>
        <w:szCs w:val="18"/>
      </w:rPr>
    </w:pPr>
    <w:r>
      <w:rPr>
        <w:rFonts w:ascii="Arial" w:hAnsi="Arial" w:cs="Arial"/>
        <w:sz w:val="18"/>
        <w:szCs w:val="18"/>
      </w:rPr>
      <w:t xml:space="preserve">Carmen Elena Pescador Trejos y Laura Sofía Muriel </w:t>
    </w:r>
    <w:r w:rsidR="005B457B">
      <w:rPr>
        <w:rFonts w:ascii="Arial" w:hAnsi="Arial" w:cs="Arial"/>
        <w:sz w:val="18"/>
        <w:szCs w:val="18"/>
      </w:rPr>
      <w:t xml:space="preserve"> </w:t>
    </w:r>
    <w:r w:rsidR="005B457B" w:rsidRPr="00BB3FED">
      <w:rPr>
        <w:rFonts w:ascii="Arial" w:hAnsi="Arial" w:cs="Arial"/>
        <w:sz w:val="18"/>
        <w:szCs w:val="18"/>
      </w:rPr>
      <w:t>vs Colpensiones</w:t>
    </w:r>
    <w:r w:rsidR="005B457B">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954A5"/>
    <w:multiLevelType w:val="hybridMultilevel"/>
    <w:tmpl w:val="4F20D0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99E7E94"/>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05D34BF"/>
    <w:multiLevelType w:val="hybridMultilevel"/>
    <w:tmpl w:val="4F20D0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809109E"/>
    <w:multiLevelType w:val="hybridMultilevel"/>
    <w:tmpl w:val="DE4CC97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B171347"/>
    <w:multiLevelType w:val="hybridMultilevel"/>
    <w:tmpl w:val="F4AAC1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B82227A"/>
    <w:multiLevelType w:val="hybridMultilevel"/>
    <w:tmpl w:val="F15CFB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E81099A"/>
    <w:multiLevelType w:val="hybridMultilevel"/>
    <w:tmpl w:val="8D5EDC4C"/>
    <w:lvl w:ilvl="0" w:tplc="61CC468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AFB48CE"/>
    <w:multiLevelType w:val="hybridMultilevel"/>
    <w:tmpl w:val="11DA36C6"/>
    <w:lvl w:ilvl="0" w:tplc="701408CE">
      <w:start w:val="1"/>
      <w:numFmt w:val="decimal"/>
      <w:lvlText w:val="%1-"/>
      <w:lvlJc w:val="lef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6E"/>
    <w:rsid w:val="00002C37"/>
    <w:rsid w:val="000032B9"/>
    <w:rsid w:val="00004554"/>
    <w:rsid w:val="00022A8C"/>
    <w:rsid w:val="00023009"/>
    <w:rsid w:val="0003660F"/>
    <w:rsid w:val="00057E73"/>
    <w:rsid w:val="00070169"/>
    <w:rsid w:val="000718E9"/>
    <w:rsid w:val="0008130A"/>
    <w:rsid w:val="00081FBC"/>
    <w:rsid w:val="00083BB8"/>
    <w:rsid w:val="000855BF"/>
    <w:rsid w:val="0009166E"/>
    <w:rsid w:val="00092F97"/>
    <w:rsid w:val="0009773D"/>
    <w:rsid w:val="000A34FF"/>
    <w:rsid w:val="000A5FC4"/>
    <w:rsid w:val="000B24D0"/>
    <w:rsid w:val="000D0785"/>
    <w:rsid w:val="000D6DD7"/>
    <w:rsid w:val="000E2421"/>
    <w:rsid w:val="0010446A"/>
    <w:rsid w:val="001118D9"/>
    <w:rsid w:val="00112979"/>
    <w:rsid w:val="00115C07"/>
    <w:rsid w:val="001176A6"/>
    <w:rsid w:val="00124506"/>
    <w:rsid w:val="001307BB"/>
    <w:rsid w:val="0013107A"/>
    <w:rsid w:val="00143B9A"/>
    <w:rsid w:val="001477BD"/>
    <w:rsid w:val="001538B9"/>
    <w:rsid w:val="00163CFB"/>
    <w:rsid w:val="00171CF1"/>
    <w:rsid w:val="00182DCE"/>
    <w:rsid w:val="00190813"/>
    <w:rsid w:val="001B3FFD"/>
    <w:rsid w:val="001C1130"/>
    <w:rsid w:val="001C189D"/>
    <w:rsid w:val="001C530C"/>
    <w:rsid w:val="001D1B78"/>
    <w:rsid w:val="001E410D"/>
    <w:rsid w:val="001E6359"/>
    <w:rsid w:val="00207906"/>
    <w:rsid w:val="00220B7F"/>
    <w:rsid w:val="00234364"/>
    <w:rsid w:val="00237F10"/>
    <w:rsid w:val="00246608"/>
    <w:rsid w:val="002474B7"/>
    <w:rsid w:val="002477D0"/>
    <w:rsid w:val="00250E85"/>
    <w:rsid w:val="00252D8D"/>
    <w:rsid w:val="00253129"/>
    <w:rsid w:val="002575C2"/>
    <w:rsid w:val="002905DA"/>
    <w:rsid w:val="00292574"/>
    <w:rsid w:val="002A3999"/>
    <w:rsid w:val="002A4EBF"/>
    <w:rsid w:val="002C6DBC"/>
    <w:rsid w:val="002D002B"/>
    <w:rsid w:val="002D5FCC"/>
    <w:rsid w:val="002D71F5"/>
    <w:rsid w:val="00300265"/>
    <w:rsid w:val="0030430B"/>
    <w:rsid w:val="00306239"/>
    <w:rsid w:val="003222DD"/>
    <w:rsid w:val="003246F0"/>
    <w:rsid w:val="00331D26"/>
    <w:rsid w:val="0034596D"/>
    <w:rsid w:val="00352BAD"/>
    <w:rsid w:val="00357075"/>
    <w:rsid w:val="00363FC3"/>
    <w:rsid w:val="0037692C"/>
    <w:rsid w:val="0038191A"/>
    <w:rsid w:val="00382119"/>
    <w:rsid w:val="003841D9"/>
    <w:rsid w:val="00392EB3"/>
    <w:rsid w:val="003A03C6"/>
    <w:rsid w:val="003A7AC8"/>
    <w:rsid w:val="003B3818"/>
    <w:rsid w:val="003B4BFF"/>
    <w:rsid w:val="003B7FC2"/>
    <w:rsid w:val="003C175E"/>
    <w:rsid w:val="003D4D96"/>
    <w:rsid w:val="003D797A"/>
    <w:rsid w:val="003E1114"/>
    <w:rsid w:val="003E3F90"/>
    <w:rsid w:val="003E4D19"/>
    <w:rsid w:val="003E6D8C"/>
    <w:rsid w:val="003F4423"/>
    <w:rsid w:val="003F7B9B"/>
    <w:rsid w:val="00401698"/>
    <w:rsid w:val="00401B9C"/>
    <w:rsid w:val="00416859"/>
    <w:rsid w:val="00446895"/>
    <w:rsid w:val="0044790D"/>
    <w:rsid w:val="0045079D"/>
    <w:rsid w:val="00450BAE"/>
    <w:rsid w:val="004542C3"/>
    <w:rsid w:val="004615F0"/>
    <w:rsid w:val="004655E9"/>
    <w:rsid w:val="004675CE"/>
    <w:rsid w:val="00472CB3"/>
    <w:rsid w:val="00474AFB"/>
    <w:rsid w:val="00492A5E"/>
    <w:rsid w:val="0049769C"/>
    <w:rsid w:val="004A60AA"/>
    <w:rsid w:val="004B00AD"/>
    <w:rsid w:val="004C2C0A"/>
    <w:rsid w:val="004C75D7"/>
    <w:rsid w:val="004D3251"/>
    <w:rsid w:val="004D53A0"/>
    <w:rsid w:val="004D6AB3"/>
    <w:rsid w:val="004E38EC"/>
    <w:rsid w:val="004E4719"/>
    <w:rsid w:val="004F21D4"/>
    <w:rsid w:val="00500AE0"/>
    <w:rsid w:val="00510F77"/>
    <w:rsid w:val="00515EDC"/>
    <w:rsid w:val="00516426"/>
    <w:rsid w:val="005234F5"/>
    <w:rsid w:val="005268A1"/>
    <w:rsid w:val="0054276E"/>
    <w:rsid w:val="005471B4"/>
    <w:rsid w:val="00555A82"/>
    <w:rsid w:val="005623BE"/>
    <w:rsid w:val="00563AD5"/>
    <w:rsid w:val="00563E0A"/>
    <w:rsid w:val="005710B5"/>
    <w:rsid w:val="00572705"/>
    <w:rsid w:val="0057590D"/>
    <w:rsid w:val="00596D49"/>
    <w:rsid w:val="005B457B"/>
    <w:rsid w:val="005D4EE0"/>
    <w:rsid w:val="005E0896"/>
    <w:rsid w:val="005E50BC"/>
    <w:rsid w:val="005F3417"/>
    <w:rsid w:val="00601B98"/>
    <w:rsid w:val="0061600D"/>
    <w:rsid w:val="00616C28"/>
    <w:rsid w:val="006172B8"/>
    <w:rsid w:val="006245D4"/>
    <w:rsid w:val="00624695"/>
    <w:rsid w:val="006260B6"/>
    <w:rsid w:val="006270B2"/>
    <w:rsid w:val="006467CE"/>
    <w:rsid w:val="0066406A"/>
    <w:rsid w:val="006649A2"/>
    <w:rsid w:val="00665E7D"/>
    <w:rsid w:val="00670F1F"/>
    <w:rsid w:val="0067336F"/>
    <w:rsid w:val="00674F47"/>
    <w:rsid w:val="00675578"/>
    <w:rsid w:val="00682432"/>
    <w:rsid w:val="00682B6B"/>
    <w:rsid w:val="006914E4"/>
    <w:rsid w:val="00694DFB"/>
    <w:rsid w:val="00695B53"/>
    <w:rsid w:val="006A773F"/>
    <w:rsid w:val="006A777F"/>
    <w:rsid w:val="006C3631"/>
    <w:rsid w:val="006C6154"/>
    <w:rsid w:val="006D36F3"/>
    <w:rsid w:val="006D6D28"/>
    <w:rsid w:val="006E04AD"/>
    <w:rsid w:val="006E0E0E"/>
    <w:rsid w:val="006E5F4B"/>
    <w:rsid w:val="0071036C"/>
    <w:rsid w:val="007209A9"/>
    <w:rsid w:val="00724CE9"/>
    <w:rsid w:val="007262A0"/>
    <w:rsid w:val="007342B7"/>
    <w:rsid w:val="007363C7"/>
    <w:rsid w:val="00741896"/>
    <w:rsid w:val="007433F3"/>
    <w:rsid w:val="00764B4A"/>
    <w:rsid w:val="0077301D"/>
    <w:rsid w:val="00783791"/>
    <w:rsid w:val="00787266"/>
    <w:rsid w:val="0079057A"/>
    <w:rsid w:val="007934F6"/>
    <w:rsid w:val="00796C50"/>
    <w:rsid w:val="007A2B08"/>
    <w:rsid w:val="007A5BEF"/>
    <w:rsid w:val="007C3382"/>
    <w:rsid w:val="007E3484"/>
    <w:rsid w:val="007E7889"/>
    <w:rsid w:val="00801F97"/>
    <w:rsid w:val="0081622B"/>
    <w:rsid w:val="00840BF1"/>
    <w:rsid w:val="00853FE6"/>
    <w:rsid w:val="00855837"/>
    <w:rsid w:val="0085588D"/>
    <w:rsid w:val="0086262F"/>
    <w:rsid w:val="008734CF"/>
    <w:rsid w:val="00875A08"/>
    <w:rsid w:val="00883196"/>
    <w:rsid w:val="00890BBA"/>
    <w:rsid w:val="008A003B"/>
    <w:rsid w:val="008A4A34"/>
    <w:rsid w:val="008A4A4F"/>
    <w:rsid w:val="008B0636"/>
    <w:rsid w:val="008B7636"/>
    <w:rsid w:val="008C0FEB"/>
    <w:rsid w:val="008D30AB"/>
    <w:rsid w:val="008F4B7D"/>
    <w:rsid w:val="00901680"/>
    <w:rsid w:val="00905497"/>
    <w:rsid w:val="00910A0A"/>
    <w:rsid w:val="00911387"/>
    <w:rsid w:val="009119F1"/>
    <w:rsid w:val="00921E95"/>
    <w:rsid w:val="00927F17"/>
    <w:rsid w:val="00941929"/>
    <w:rsid w:val="00950589"/>
    <w:rsid w:val="00950CC0"/>
    <w:rsid w:val="00952BD2"/>
    <w:rsid w:val="00960B1F"/>
    <w:rsid w:val="00974C4D"/>
    <w:rsid w:val="00980ECE"/>
    <w:rsid w:val="00984932"/>
    <w:rsid w:val="00986B44"/>
    <w:rsid w:val="00996C8D"/>
    <w:rsid w:val="009A2F31"/>
    <w:rsid w:val="009B01DC"/>
    <w:rsid w:val="009B0698"/>
    <w:rsid w:val="009B34EC"/>
    <w:rsid w:val="009B7C75"/>
    <w:rsid w:val="009E1B7A"/>
    <w:rsid w:val="009E2920"/>
    <w:rsid w:val="009F019E"/>
    <w:rsid w:val="009F0237"/>
    <w:rsid w:val="00A0191A"/>
    <w:rsid w:val="00A20D5F"/>
    <w:rsid w:val="00A25CF2"/>
    <w:rsid w:val="00A363F9"/>
    <w:rsid w:val="00A37A7B"/>
    <w:rsid w:val="00A45BA3"/>
    <w:rsid w:val="00A45E8C"/>
    <w:rsid w:val="00A51360"/>
    <w:rsid w:val="00A543EB"/>
    <w:rsid w:val="00A54B05"/>
    <w:rsid w:val="00A571D1"/>
    <w:rsid w:val="00A62003"/>
    <w:rsid w:val="00A81B3D"/>
    <w:rsid w:val="00A97F97"/>
    <w:rsid w:val="00AA34A4"/>
    <w:rsid w:val="00AA647E"/>
    <w:rsid w:val="00AA6ED6"/>
    <w:rsid w:val="00AA6F64"/>
    <w:rsid w:val="00AB711C"/>
    <w:rsid w:val="00AC291B"/>
    <w:rsid w:val="00AC4F36"/>
    <w:rsid w:val="00AD1B60"/>
    <w:rsid w:val="00AF7671"/>
    <w:rsid w:val="00B17AD6"/>
    <w:rsid w:val="00B212D5"/>
    <w:rsid w:val="00B23020"/>
    <w:rsid w:val="00B364CC"/>
    <w:rsid w:val="00B376FA"/>
    <w:rsid w:val="00B419BC"/>
    <w:rsid w:val="00B456EF"/>
    <w:rsid w:val="00B52BA2"/>
    <w:rsid w:val="00B540D8"/>
    <w:rsid w:val="00B56D20"/>
    <w:rsid w:val="00B6709E"/>
    <w:rsid w:val="00B82B23"/>
    <w:rsid w:val="00BA14FF"/>
    <w:rsid w:val="00BC49C5"/>
    <w:rsid w:val="00BD35CB"/>
    <w:rsid w:val="00BE4D3C"/>
    <w:rsid w:val="00BE7F84"/>
    <w:rsid w:val="00BF66D7"/>
    <w:rsid w:val="00C21CEB"/>
    <w:rsid w:val="00C2646F"/>
    <w:rsid w:val="00C32A77"/>
    <w:rsid w:val="00C35AF7"/>
    <w:rsid w:val="00C436B3"/>
    <w:rsid w:val="00C54B2A"/>
    <w:rsid w:val="00C5626A"/>
    <w:rsid w:val="00C66375"/>
    <w:rsid w:val="00C6680E"/>
    <w:rsid w:val="00C70326"/>
    <w:rsid w:val="00C72B2B"/>
    <w:rsid w:val="00C8062C"/>
    <w:rsid w:val="00C849F7"/>
    <w:rsid w:val="00C94746"/>
    <w:rsid w:val="00CB0763"/>
    <w:rsid w:val="00CB17EA"/>
    <w:rsid w:val="00CB38EC"/>
    <w:rsid w:val="00CB4FCA"/>
    <w:rsid w:val="00CB6E47"/>
    <w:rsid w:val="00CD0D30"/>
    <w:rsid w:val="00CE7D5F"/>
    <w:rsid w:val="00CF32AD"/>
    <w:rsid w:val="00CF7C37"/>
    <w:rsid w:val="00D07ECA"/>
    <w:rsid w:val="00D12FE4"/>
    <w:rsid w:val="00D13914"/>
    <w:rsid w:val="00D20B67"/>
    <w:rsid w:val="00D24380"/>
    <w:rsid w:val="00D34D99"/>
    <w:rsid w:val="00D47561"/>
    <w:rsid w:val="00D54D8A"/>
    <w:rsid w:val="00D7042B"/>
    <w:rsid w:val="00D75CB7"/>
    <w:rsid w:val="00D7644E"/>
    <w:rsid w:val="00D803A2"/>
    <w:rsid w:val="00D81863"/>
    <w:rsid w:val="00D82173"/>
    <w:rsid w:val="00D82E3C"/>
    <w:rsid w:val="00D84FB4"/>
    <w:rsid w:val="00D940B2"/>
    <w:rsid w:val="00DA18D8"/>
    <w:rsid w:val="00DA5F0C"/>
    <w:rsid w:val="00DA5F17"/>
    <w:rsid w:val="00DB2CE0"/>
    <w:rsid w:val="00DB5A6F"/>
    <w:rsid w:val="00DC04CE"/>
    <w:rsid w:val="00DD3832"/>
    <w:rsid w:val="00E00160"/>
    <w:rsid w:val="00E00B3F"/>
    <w:rsid w:val="00E07891"/>
    <w:rsid w:val="00E07A6C"/>
    <w:rsid w:val="00E13D62"/>
    <w:rsid w:val="00E16068"/>
    <w:rsid w:val="00E201EB"/>
    <w:rsid w:val="00E201F9"/>
    <w:rsid w:val="00E3734C"/>
    <w:rsid w:val="00E47A89"/>
    <w:rsid w:val="00E514DB"/>
    <w:rsid w:val="00E67E58"/>
    <w:rsid w:val="00E90516"/>
    <w:rsid w:val="00E95FA1"/>
    <w:rsid w:val="00EA3C2E"/>
    <w:rsid w:val="00EA51AD"/>
    <w:rsid w:val="00EC10AE"/>
    <w:rsid w:val="00EC2065"/>
    <w:rsid w:val="00EC38F6"/>
    <w:rsid w:val="00EE176C"/>
    <w:rsid w:val="00EE1E4A"/>
    <w:rsid w:val="00EE1FB4"/>
    <w:rsid w:val="00EE5D6D"/>
    <w:rsid w:val="00EF0E9D"/>
    <w:rsid w:val="00EF2216"/>
    <w:rsid w:val="00EF28BC"/>
    <w:rsid w:val="00EF633D"/>
    <w:rsid w:val="00F0046B"/>
    <w:rsid w:val="00F05FC6"/>
    <w:rsid w:val="00F10605"/>
    <w:rsid w:val="00F16AB3"/>
    <w:rsid w:val="00F24013"/>
    <w:rsid w:val="00F27B9A"/>
    <w:rsid w:val="00F31023"/>
    <w:rsid w:val="00F40DDB"/>
    <w:rsid w:val="00F418C2"/>
    <w:rsid w:val="00F53DD9"/>
    <w:rsid w:val="00F6181A"/>
    <w:rsid w:val="00F63845"/>
    <w:rsid w:val="00F73E28"/>
    <w:rsid w:val="00F8147F"/>
    <w:rsid w:val="00F82758"/>
    <w:rsid w:val="00F86BF1"/>
    <w:rsid w:val="00FA4D9D"/>
    <w:rsid w:val="00FA5ADA"/>
    <w:rsid w:val="00FB32F6"/>
    <w:rsid w:val="00FB389D"/>
    <w:rsid w:val="00FB3AC8"/>
    <w:rsid w:val="00FB5E77"/>
    <w:rsid w:val="00FC2E27"/>
    <w:rsid w:val="00FE484B"/>
    <w:rsid w:val="00FF09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CF769-5956-4284-AD80-C9CF8C2D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66E"/>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675578"/>
    <w:pPr>
      <w:keepNext/>
      <w:widowControl w:val="0"/>
      <w:autoSpaceDE w:val="0"/>
      <w:autoSpaceDN w:val="0"/>
      <w:adjustRightInd w:val="0"/>
      <w:jc w:val="center"/>
      <w:outlineLvl w:val="0"/>
    </w:pPr>
    <w:rPr>
      <w:rFonts w:ascii="Arial" w:hAnsi="Arial" w:cs="Arial"/>
      <w:b/>
      <w:sz w:val="28"/>
      <w:szCs w:val="24"/>
      <w:lang w:val="es-ES"/>
    </w:rPr>
  </w:style>
  <w:style w:type="paragraph" w:styleId="Ttulo3">
    <w:name w:val="heading 3"/>
    <w:basedOn w:val="Normal"/>
    <w:next w:val="Normal"/>
    <w:link w:val="Ttulo3Car"/>
    <w:qFormat/>
    <w:rsid w:val="00675578"/>
    <w:pPr>
      <w:keepNext/>
      <w:widowControl w:val="0"/>
      <w:autoSpaceDE w:val="0"/>
      <w:autoSpaceDN w:val="0"/>
      <w:adjustRightInd w:val="0"/>
      <w:spacing w:line="360" w:lineRule="auto"/>
      <w:jc w:val="center"/>
      <w:outlineLvl w:val="2"/>
    </w:pPr>
    <w:rPr>
      <w:rFonts w:ascii="Arial" w:hAnsi="Arial" w:cs="Arial"/>
      <w:b/>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09166E"/>
    <w:rPr>
      <w:rFonts w:ascii="Arial" w:hAnsi="Arial" w:cs="Arial"/>
      <w:sz w:val="24"/>
      <w:lang w:val="es-ES_tradnl" w:eastAsia="es-ES"/>
    </w:rPr>
  </w:style>
  <w:style w:type="paragraph" w:styleId="Textoindependiente">
    <w:name w:val="Body Text"/>
    <w:basedOn w:val="Normal"/>
    <w:link w:val="TextoindependienteCar"/>
    <w:rsid w:val="0009166E"/>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09166E"/>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09166E"/>
    <w:pPr>
      <w:tabs>
        <w:tab w:val="center" w:pos="4252"/>
        <w:tab w:val="right" w:pos="8504"/>
      </w:tabs>
    </w:pPr>
  </w:style>
  <w:style w:type="character" w:customStyle="1" w:styleId="PiedepginaCar">
    <w:name w:val="Pie de página Car"/>
    <w:basedOn w:val="Fuentedeprrafopredeter"/>
    <w:link w:val="Piedepgina"/>
    <w:rsid w:val="0009166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09166E"/>
  </w:style>
  <w:style w:type="paragraph" w:customStyle="1" w:styleId="Prrafodelista2">
    <w:name w:val="Párrafo de lista2"/>
    <w:basedOn w:val="Normal"/>
    <w:rsid w:val="0009166E"/>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09166E"/>
    <w:pPr>
      <w:spacing w:after="0" w:line="240" w:lineRule="auto"/>
    </w:pPr>
    <w:rPr>
      <w:lang w:val="es-ES_tradnl"/>
    </w:rPr>
  </w:style>
  <w:style w:type="paragraph" w:styleId="Encabezado">
    <w:name w:val="header"/>
    <w:basedOn w:val="Normal"/>
    <w:link w:val="EncabezadoCar"/>
    <w:uiPriority w:val="99"/>
    <w:unhideWhenUsed/>
    <w:rsid w:val="0009166E"/>
    <w:pPr>
      <w:tabs>
        <w:tab w:val="center" w:pos="4419"/>
        <w:tab w:val="right" w:pos="8838"/>
      </w:tabs>
    </w:pPr>
  </w:style>
  <w:style w:type="character" w:customStyle="1" w:styleId="EncabezadoCar">
    <w:name w:val="Encabezado Car"/>
    <w:basedOn w:val="Fuentedeprrafopredeter"/>
    <w:link w:val="Encabezado"/>
    <w:uiPriority w:val="99"/>
    <w:rsid w:val="0009166E"/>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09166E"/>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nhideWhenUsed/>
    <w:rsid w:val="0009166E"/>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rsid w:val="0009166E"/>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nhideWhenUsed/>
    <w:rsid w:val="0009166E"/>
    <w:rPr>
      <w:vertAlign w:val="superscript"/>
    </w:rPr>
  </w:style>
  <w:style w:type="paragraph" w:styleId="Subttulo">
    <w:name w:val="Subtitle"/>
    <w:basedOn w:val="Normal"/>
    <w:next w:val="Normal"/>
    <w:link w:val="SubttuloCar"/>
    <w:uiPriority w:val="11"/>
    <w:qFormat/>
    <w:rsid w:val="006467C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6467CE"/>
    <w:rPr>
      <w:rFonts w:eastAsiaTheme="minorEastAsia"/>
      <w:color w:val="5A5A5A" w:themeColor="text1" w:themeTint="A5"/>
      <w:spacing w:val="15"/>
      <w:lang w:val="es-ES_tradnl" w:eastAsia="es-ES"/>
    </w:rPr>
  </w:style>
  <w:style w:type="paragraph" w:styleId="Puesto">
    <w:name w:val="Title"/>
    <w:basedOn w:val="Normal"/>
    <w:next w:val="Normal"/>
    <w:link w:val="PuestoCar"/>
    <w:qFormat/>
    <w:rsid w:val="006467CE"/>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6467CE"/>
    <w:rPr>
      <w:rFonts w:asciiTheme="majorHAnsi" w:eastAsiaTheme="majorEastAsia" w:hAnsiTheme="majorHAnsi" w:cstheme="majorBidi"/>
      <w:spacing w:val="-10"/>
      <w:kern w:val="28"/>
      <w:sz w:val="56"/>
      <w:szCs w:val="56"/>
      <w:lang w:val="es-ES_tradnl" w:eastAsia="es-ES"/>
    </w:rPr>
  </w:style>
  <w:style w:type="paragraph" w:styleId="Textodeglobo">
    <w:name w:val="Balloon Text"/>
    <w:basedOn w:val="Normal"/>
    <w:link w:val="TextodegloboCar"/>
    <w:uiPriority w:val="99"/>
    <w:semiHidden/>
    <w:unhideWhenUsed/>
    <w:rsid w:val="00670F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0F1F"/>
    <w:rPr>
      <w:rFonts w:ascii="Segoe UI" w:eastAsia="Times New Roman" w:hAnsi="Segoe UI" w:cs="Segoe UI"/>
      <w:sz w:val="18"/>
      <w:szCs w:val="18"/>
      <w:lang w:val="es-ES_tradnl" w:eastAsia="es-ES"/>
    </w:rPr>
  </w:style>
  <w:style w:type="character" w:styleId="Hipervnculo">
    <w:name w:val="Hyperlink"/>
    <w:basedOn w:val="Fuentedeprrafopredeter"/>
    <w:uiPriority w:val="99"/>
    <w:semiHidden/>
    <w:unhideWhenUsed/>
    <w:rsid w:val="00883196"/>
    <w:rPr>
      <w:color w:val="0000FF"/>
      <w:u w:val="single"/>
    </w:rPr>
  </w:style>
  <w:style w:type="character" w:customStyle="1" w:styleId="SinespaciadoCar">
    <w:name w:val="Sin espaciado Car"/>
    <w:link w:val="Sinespaciado"/>
    <w:uiPriority w:val="1"/>
    <w:locked/>
    <w:rsid w:val="003A03C6"/>
    <w:rPr>
      <w:lang w:val="es-ES_tradnl"/>
    </w:rPr>
  </w:style>
  <w:style w:type="character" w:customStyle="1" w:styleId="Ttulo1Car">
    <w:name w:val="Título 1 Car"/>
    <w:basedOn w:val="Fuentedeprrafopredeter"/>
    <w:link w:val="Ttulo1"/>
    <w:rsid w:val="00675578"/>
    <w:rPr>
      <w:rFonts w:ascii="Arial" w:eastAsia="Times New Roman" w:hAnsi="Arial" w:cs="Arial"/>
      <w:b/>
      <w:sz w:val="28"/>
      <w:szCs w:val="24"/>
      <w:lang w:val="es-ES" w:eastAsia="es-ES"/>
    </w:rPr>
  </w:style>
  <w:style w:type="character" w:customStyle="1" w:styleId="Ttulo3Car">
    <w:name w:val="Título 3 Car"/>
    <w:basedOn w:val="Fuentedeprrafopredeter"/>
    <w:link w:val="Ttulo3"/>
    <w:rsid w:val="00675578"/>
    <w:rPr>
      <w:rFonts w:ascii="Arial" w:eastAsia="Times New Roman" w:hAnsi="Arial" w:cs="Arial"/>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71E50-02D0-4F6A-A214-9187F744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3883</Words>
  <Characters>21360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6</cp:revision>
  <cp:lastPrinted>2018-11-07T14:09:00Z</cp:lastPrinted>
  <dcterms:created xsi:type="dcterms:W3CDTF">2018-11-07T14:09:00Z</dcterms:created>
  <dcterms:modified xsi:type="dcterms:W3CDTF">2019-01-18T20:41:00Z</dcterms:modified>
</cp:coreProperties>
</file>