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A6" w:rsidRPr="00343C44" w:rsidRDefault="00963EA6" w:rsidP="00963EA6">
      <w:pPr>
        <w:widowControl w:val="0"/>
        <w:numPr>
          <w:ilvl w:val="0"/>
          <w:numId w:val="0"/>
        </w:numPr>
        <w:pBdr>
          <w:top w:val="single" w:sz="4" w:space="1" w:color="auto"/>
          <w:left w:val="single" w:sz="4" w:space="4" w:color="auto"/>
          <w:bottom w:val="single" w:sz="4" w:space="1" w:color="auto"/>
          <w:right w:val="single" w:sz="4" w:space="4" w:color="auto"/>
        </w:pBdr>
        <w:shd w:val="clear" w:color="auto" w:fill="FFFFFF"/>
        <w:ind w:left="720"/>
        <w:rPr>
          <w:rFonts w:ascii="Calibri" w:eastAsia="Courier New" w:hAnsi="Calibri" w:cs="Calibri"/>
          <w:color w:val="FF0000"/>
          <w:spacing w:val="-8"/>
          <w:sz w:val="18"/>
          <w:szCs w:val="18"/>
          <w:lang w:val="es-CO" w:eastAsia="fr-FR"/>
        </w:rPr>
      </w:pPr>
      <w:r w:rsidRPr="00343C44">
        <w:rPr>
          <w:rFonts w:ascii="Calibri" w:eastAsia="Courier New" w:hAnsi="Calibri"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ascii="Calibri" w:eastAsia="Courier New" w:hAnsi="Calibri" w:cs="Calibri"/>
          <w:color w:val="FF0000"/>
          <w:sz w:val="18"/>
          <w:szCs w:val="18"/>
          <w:lang w:val="es-CO" w:eastAsia="fr-FR"/>
        </w:rPr>
        <w:t>El contenido total y fiel de la decisión debe ser verificado en la Secretaría de esta Sala.</w:t>
      </w:r>
    </w:p>
    <w:p w:rsidR="00963EA6" w:rsidRPr="00963EA6" w:rsidRDefault="00963EA6" w:rsidP="00963EA6">
      <w:pPr>
        <w:pStyle w:val="Sinespaciado"/>
        <w:rPr>
          <w:rFonts w:eastAsia="Courier New"/>
          <w:b w:val="0"/>
        </w:rPr>
      </w:pPr>
    </w:p>
    <w:p w:rsidR="00963EA6" w:rsidRPr="00963EA6" w:rsidRDefault="00963EA6" w:rsidP="00963EA6">
      <w:pPr>
        <w:pStyle w:val="Sinespaciado"/>
        <w:rPr>
          <w:rFonts w:eastAsia="Courier New"/>
          <w:b w:val="0"/>
        </w:rPr>
      </w:pPr>
      <w:r w:rsidRPr="00963EA6">
        <w:rPr>
          <w:rFonts w:eastAsia="Courier New"/>
          <w:b w:val="0"/>
        </w:rPr>
        <w:t>Providencia:</w:t>
      </w:r>
      <w:r w:rsidRPr="00963EA6">
        <w:rPr>
          <w:rFonts w:eastAsia="Courier New"/>
          <w:b w:val="0"/>
        </w:rPr>
        <w:tab/>
      </w:r>
      <w:r w:rsidRPr="00963EA6">
        <w:rPr>
          <w:rFonts w:eastAsia="Courier New"/>
          <w:b w:val="0"/>
        </w:rPr>
        <w:tab/>
        <w:t>Auto –</w:t>
      </w:r>
      <w:r>
        <w:rPr>
          <w:rFonts w:eastAsia="Courier New"/>
          <w:b w:val="0"/>
        </w:rPr>
        <w:t xml:space="preserve"> 2ª Instancia – 25 de mayo</w:t>
      </w:r>
      <w:r w:rsidRPr="00963EA6">
        <w:rPr>
          <w:rFonts w:eastAsia="Courier New"/>
          <w:b w:val="0"/>
        </w:rPr>
        <w:t xml:space="preserve"> de 2018</w:t>
      </w:r>
    </w:p>
    <w:p w:rsidR="00963EA6" w:rsidRPr="00963EA6" w:rsidRDefault="00963EA6" w:rsidP="00963EA6">
      <w:pPr>
        <w:pStyle w:val="Sinespaciado"/>
        <w:rPr>
          <w:rFonts w:eastAsia="Courier New"/>
          <w:b w:val="0"/>
        </w:rPr>
      </w:pPr>
      <w:r w:rsidRPr="00963EA6">
        <w:rPr>
          <w:rFonts w:eastAsia="Courier New"/>
          <w:b w:val="0"/>
        </w:rPr>
        <w:t>Proceso:</w:t>
      </w:r>
      <w:r w:rsidRPr="00963EA6">
        <w:rPr>
          <w:rFonts w:eastAsia="Courier New"/>
          <w:b w:val="0"/>
        </w:rPr>
        <w:tab/>
      </w:r>
      <w:r w:rsidRPr="00963EA6">
        <w:rPr>
          <w:rFonts w:eastAsia="Courier New"/>
          <w:b w:val="0"/>
        </w:rPr>
        <w:tab/>
      </w:r>
      <w:r w:rsidRPr="00963EA6">
        <w:rPr>
          <w:rFonts w:eastAsia="Courier New"/>
          <w:b w:val="0"/>
        </w:rPr>
        <w:tab/>
        <w:t xml:space="preserve">Penal – </w:t>
      </w:r>
      <w:r>
        <w:rPr>
          <w:rFonts w:eastAsia="Courier New"/>
          <w:b w:val="0"/>
        </w:rPr>
        <w:t>No accede al descubrimiento de entrevista</w:t>
      </w:r>
    </w:p>
    <w:p w:rsidR="00963EA6" w:rsidRPr="00963EA6" w:rsidRDefault="00963EA6" w:rsidP="00963EA6">
      <w:pPr>
        <w:pStyle w:val="Sinespaciado"/>
        <w:rPr>
          <w:rFonts w:eastAsia="Courier New"/>
          <w:b w:val="0"/>
        </w:rPr>
      </w:pPr>
      <w:r w:rsidRPr="00963EA6">
        <w:rPr>
          <w:rFonts w:eastAsia="Courier New"/>
          <w:b w:val="0"/>
        </w:rPr>
        <w:t>Radicación Nro.:</w:t>
      </w:r>
      <w:r w:rsidRPr="00963EA6">
        <w:rPr>
          <w:rFonts w:eastAsia="Courier New"/>
          <w:b w:val="0"/>
        </w:rPr>
        <w:tab/>
        <w:t xml:space="preserve">  </w:t>
      </w:r>
      <w:r w:rsidRPr="00963EA6">
        <w:rPr>
          <w:rFonts w:eastAsia="Courier New"/>
          <w:b w:val="0"/>
        </w:rPr>
        <w:tab/>
        <w:t>11001 60 00 090 2012 00177 01</w:t>
      </w:r>
    </w:p>
    <w:p w:rsidR="00963EA6" w:rsidRPr="00963EA6" w:rsidRDefault="00963EA6" w:rsidP="00963EA6">
      <w:pPr>
        <w:pStyle w:val="Sinespaciado"/>
        <w:rPr>
          <w:rFonts w:eastAsia="Batang"/>
          <w:b w:val="0"/>
        </w:rPr>
      </w:pPr>
      <w:r w:rsidRPr="00963EA6">
        <w:rPr>
          <w:rFonts w:eastAsia="Batang"/>
          <w:b w:val="0"/>
        </w:rPr>
        <w:t xml:space="preserve">Procesado:   </w:t>
      </w:r>
      <w:r w:rsidRPr="00963EA6">
        <w:rPr>
          <w:rFonts w:eastAsia="Batang"/>
          <w:b w:val="0"/>
        </w:rPr>
        <w:tab/>
      </w:r>
      <w:r w:rsidRPr="00963EA6">
        <w:rPr>
          <w:rFonts w:eastAsia="Batang"/>
          <w:b w:val="0"/>
        </w:rPr>
        <w:tab/>
        <w:t xml:space="preserve">María </w:t>
      </w:r>
      <w:proofErr w:type="spellStart"/>
      <w:r w:rsidRPr="00963EA6">
        <w:rPr>
          <w:rFonts w:eastAsia="Batang"/>
          <w:b w:val="0"/>
        </w:rPr>
        <w:t>Policarpa</w:t>
      </w:r>
      <w:proofErr w:type="spellEnd"/>
      <w:r w:rsidRPr="00963EA6">
        <w:rPr>
          <w:rFonts w:eastAsia="Batang"/>
          <w:b w:val="0"/>
        </w:rPr>
        <w:t xml:space="preserve"> Agudelo Castañeda</w:t>
      </w:r>
    </w:p>
    <w:p w:rsidR="00963EA6" w:rsidRPr="00963EA6" w:rsidRDefault="00963EA6" w:rsidP="00963EA6">
      <w:pPr>
        <w:pStyle w:val="Sinespaciado"/>
        <w:rPr>
          <w:rFonts w:eastAsia="Batang"/>
          <w:b w:val="0"/>
        </w:rPr>
      </w:pPr>
      <w:r w:rsidRPr="00963EA6">
        <w:rPr>
          <w:rFonts w:eastAsia="Batang"/>
          <w:b w:val="0"/>
        </w:rPr>
        <w:t>Delito:</w:t>
      </w:r>
      <w:r w:rsidRPr="00963EA6">
        <w:rPr>
          <w:rFonts w:eastAsia="Batang"/>
          <w:b w:val="0"/>
        </w:rPr>
        <w:tab/>
      </w:r>
      <w:r w:rsidRPr="00963EA6">
        <w:rPr>
          <w:rFonts w:eastAsia="Batang"/>
          <w:b w:val="0"/>
        </w:rPr>
        <w:tab/>
      </w:r>
      <w:r w:rsidRPr="00963EA6">
        <w:rPr>
          <w:rFonts w:eastAsia="Batang"/>
          <w:b w:val="0"/>
        </w:rPr>
        <w:tab/>
        <w:t>Falsificación de moneda nacional o extranjera</w:t>
      </w:r>
    </w:p>
    <w:p w:rsidR="00963EA6" w:rsidRPr="00963EA6" w:rsidRDefault="00963EA6" w:rsidP="00963EA6">
      <w:pPr>
        <w:pStyle w:val="Sinespaciado"/>
        <w:rPr>
          <w:rFonts w:eastAsia="Courier New"/>
          <w:b w:val="0"/>
        </w:rPr>
      </w:pPr>
      <w:r w:rsidRPr="00963EA6">
        <w:rPr>
          <w:rFonts w:eastAsia="Courier New"/>
          <w:b w:val="0"/>
        </w:rPr>
        <w:t>Magistrado Ponente: </w:t>
      </w:r>
      <w:r w:rsidRPr="00963EA6">
        <w:rPr>
          <w:rFonts w:eastAsia="Courier New"/>
          <w:b w:val="0"/>
        </w:rPr>
        <w:tab/>
        <w:t>JAIRO ERNESTO ESCOBAR SANZ</w:t>
      </w:r>
    </w:p>
    <w:p w:rsidR="00963EA6" w:rsidRPr="00963EA6" w:rsidRDefault="00963EA6" w:rsidP="00963EA6">
      <w:pPr>
        <w:pStyle w:val="Sinespaciado"/>
        <w:rPr>
          <w:rFonts w:eastAsia="Courier New"/>
          <w:b w:val="0"/>
        </w:rPr>
      </w:pPr>
    </w:p>
    <w:p w:rsidR="00963EA6" w:rsidRPr="00963EA6" w:rsidRDefault="00963EA6" w:rsidP="00963EA6">
      <w:pPr>
        <w:pStyle w:val="Sinespaciado"/>
        <w:rPr>
          <w:rFonts w:eastAsia="Courier New"/>
          <w:b w:val="0"/>
        </w:rPr>
      </w:pPr>
      <w:r w:rsidRPr="00963EA6">
        <w:rPr>
          <w:rFonts w:eastAsia="Courier New"/>
          <w:b w:val="0"/>
        </w:rPr>
        <w:t>TEMA:</w:t>
      </w:r>
      <w:r w:rsidRPr="00963EA6">
        <w:rPr>
          <w:rFonts w:eastAsia="Courier New"/>
          <w:b w:val="0"/>
        </w:rPr>
        <w:tab/>
      </w:r>
      <w:r w:rsidRPr="00963EA6">
        <w:rPr>
          <w:rFonts w:eastAsia="Courier New"/>
          <w:b w:val="0"/>
        </w:rPr>
        <w:tab/>
      </w:r>
      <w:r w:rsidRPr="00963EA6">
        <w:rPr>
          <w:rFonts w:eastAsia="Courier New"/>
          <w:b w:val="0"/>
        </w:rPr>
        <w:tab/>
      </w:r>
      <w:r w:rsidRPr="00963EA6">
        <w:rPr>
          <w:rFonts w:eastAsia="Courier New"/>
        </w:rPr>
        <w:t xml:space="preserve">FALSIFICACIÓN DE MONEDA NACIONAL O EXTRANJERA / NO ACCEDE AL DESCUBRIMIENTO ENTREVISTA / CONFIRMA </w:t>
      </w:r>
      <w:r w:rsidRPr="00963EA6">
        <w:rPr>
          <w:rFonts w:eastAsia="Courier New"/>
          <w:b w:val="0"/>
        </w:rPr>
        <w:t xml:space="preserve">Los anteriores criterios fueron reiterados en la sentencia C-1260 de 2005, citada por el juez de primera instancia en su pronunciamiento. </w:t>
      </w:r>
    </w:p>
    <w:p w:rsidR="00963EA6" w:rsidRPr="00963EA6" w:rsidRDefault="00963EA6" w:rsidP="00963EA6">
      <w:pPr>
        <w:pStyle w:val="Sinespaciado"/>
        <w:rPr>
          <w:rFonts w:eastAsia="Courier New"/>
          <w:b w:val="0"/>
        </w:rPr>
      </w:pPr>
    </w:p>
    <w:p w:rsidR="00963EA6" w:rsidRPr="00963EA6" w:rsidRDefault="00963EA6" w:rsidP="00963EA6">
      <w:pPr>
        <w:pStyle w:val="Sinespaciado"/>
        <w:rPr>
          <w:rFonts w:eastAsia="Courier New"/>
          <w:b w:val="0"/>
        </w:rPr>
      </w:pPr>
      <w:r w:rsidRPr="00963EA6">
        <w:rPr>
          <w:rFonts w:eastAsia="Courier New"/>
          <w:b w:val="0"/>
        </w:rPr>
        <w:t xml:space="preserve"> Como se observa, en este caso al no estarse adelantando una actuación en audiencia preliminar ante un juez con función de control de garantías, no resultaba procedente exigirle a la delegada de la </w:t>
      </w:r>
      <w:proofErr w:type="spellStart"/>
      <w:r w:rsidRPr="00963EA6">
        <w:rPr>
          <w:rFonts w:eastAsia="Courier New"/>
          <w:b w:val="0"/>
        </w:rPr>
        <w:t>FGN</w:t>
      </w:r>
      <w:proofErr w:type="spellEnd"/>
      <w:r w:rsidRPr="00963EA6">
        <w:rPr>
          <w:rFonts w:eastAsia="Courier New"/>
          <w:b w:val="0"/>
        </w:rPr>
        <w:t xml:space="preserve"> que descubriera la entrevista del informante con base en la cual se ordenó el allanamiento que culminó con el hallazgo de la fábrica de dólares falsos, donde se capturó a </w:t>
      </w:r>
      <w:proofErr w:type="spellStart"/>
      <w:r w:rsidRPr="00963EA6">
        <w:rPr>
          <w:rFonts w:eastAsia="Courier New"/>
          <w:b w:val="0"/>
        </w:rPr>
        <w:t>M</w:t>
      </w:r>
      <w:r>
        <w:rPr>
          <w:rFonts w:eastAsia="Courier New"/>
          <w:b w:val="0"/>
        </w:rPr>
        <w:t>PAC</w:t>
      </w:r>
      <w:proofErr w:type="spellEnd"/>
      <w:r w:rsidRPr="00963EA6">
        <w:rPr>
          <w:rFonts w:eastAsia="Courier New"/>
          <w:b w:val="0"/>
        </w:rPr>
        <w:t xml:space="preserve"> como arrendataria del inmueble donde se encontraron los mencionados billetes.</w:t>
      </w:r>
    </w:p>
    <w:p w:rsidR="00963EA6" w:rsidRPr="00963EA6" w:rsidRDefault="00963EA6" w:rsidP="00963EA6">
      <w:pPr>
        <w:pStyle w:val="Sinespaciado"/>
        <w:rPr>
          <w:rFonts w:eastAsia="Courier New"/>
          <w:b w:val="0"/>
        </w:rPr>
      </w:pPr>
      <w:r>
        <w:rPr>
          <w:rFonts w:eastAsia="Courier New"/>
          <w:b w:val="0"/>
        </w:rPr>
        <w:t>(…)</w:t>
      </w:r>
    </w:p>
    <w:p w:rsidR="00963EA6" w:rsidRPr="00963EA6" w:rsidRDefault="00963EA6" w:rsidP="00963EA6">
      <w:pPr>
        <w:pStyle w:val="Sinespaciado"/>
        <w:rPr>
          <w:rFonts w:eastAsia="Courier New"/>
          <w:b w:val="0"/>
        </w:rPr>
      </w:pPr>
      <w:r w:rsidRPr="00963EA6">
        <w:rPr>
          <w:rFonts w:eastAsia="Courier New"/>
          <w:b w:val="0"/>
        </w:rPr>
        <w:t xml:space="preserve">Sin embargo y más allá de la discusión planteada por el recurrente, se debe tener en cuenta unas situaciones particulares que se presentan en el caso en estudio, así: i) la delegada de la </w:t>
      </w:r>
      <w:proofErr w:type="spellStart"/>
      <w:r w:rsidRPr="00963EA6">
        <w:rPr>
          <w:rFonts w:eastAsia="Courier New"/>
          <w:b w:val="0"/>
        </w:rPr>
        <w:t>FGN</w:t>
      </w:r>
      <w:proofErr w:type="spellEnd"/>
      <w:r w:rsidRPr="00963EA6">
        <w:rPr>
          <w:rFonts w:eastAsia="Courier New"/>
          <w:b w:val="0"/>
        </w:rPr>
        <w:t xml:space="preserve"> no solicitó el testimonio de la persona que rindió la entrevista en mención, por lo cual ese documento no podría usarse para los fines previstos en el artículo 347 del </w:t>
      </w:r>
      <w:proofErr w:type="spellStart"/>
      <w:r w:rsidRPr="00963EA6">
        <w:rPr>
          <w:rFonts w:eastAsia="Courier New"/>
          <w:b w:val="0"/>
        </w:rPr>
        <w:t>CPP</w:t>
      </w:r>
      <w:proofErr w:type="spellEnd"/>
      <w:r w:rsidRPr="00963EA6">
        <w:rPr>
          <w:rFonts w:eastAsia="Courier New"/>
          <w:b w:val="0"/>
        </w:rPr>
        <w:t>, que dispone lo siguiente: “Cualquiera de las partes podrá aducir al proceso exposiciones, es decir declaraciones juradas de cualquiera de los testigos llamados a juicio, a efectos de impugnar su credibilidad”; y ii) la misma funcionaria manifestó al intervenir como no recurrente, que no pretendía usar esa prueba en el juicio , ya que a través de la información recibida fue que se realizó el procedimiento donde se produjo la captura en flagrancia de la procesada, y de revelar su nombre se estarían vulnerando sus garantías fundamentales, en especial su derecho a la vida y la integridad personal.</w:t>
      </w:r>
    </w:p>
    <w:p w:rsidR="00963EA6" w:rsidRPr="00963EA6" w:rsidRDefault="00963EA6" w:rsidP="00963EA6">
      <w:pPr>
        <w:pStyle w:val="Sinespaciado"/>
        <w:rPr>
          <w:rFonts w:eastAsia="Courier New"/>
          <w:b w:val="0"/>
        </w:rPr>
      </w:pPr>
    </w:p>
    <w:p w:rsidR="00963EA6" w:rsidRPr="00963EA6" w:rsidRDefault="00963EA6" w:rsidP="00963EA6">
      <w:pPr>
        <w:pStyle w:val="Sinespaciado"/>
        <w:rPr>
          <w:rFonts w:eastAsia="Courier New"/>
          <w:b w:val="0"/>
        </w:rPr>
      </w:pPr>
      <w:bookmarkStart w:id="0" w:name="_GoBack"/>
      <w:bookmarkEnd w:id="0"/>
      <w:r w:rsidRPr="00963EA6">
        <w:rPr>
          <w:rFonts w:eastAsia="Courier New"/>
          <w:b w:val="0"/>
        </w:rPr>
        <w:t xml:space="preserve">En ese orden de ideas, se entiende que con base en el principio de lealtad procesal, no sería posible que la delegada de la </w:t>
      </w:r>
      <w:proofErr w:type="spellStart"/>
      <w:r w:rsidRPr="00963EA6">
        <w:rPr>
          <w:rFonts w:eastAsia="Courier New"/>
          <w:b w:val="0"/>
        </w:rPr>
        <w:t>FGN</w:t>
      </w:r>
      <w:proofErr w:type="spellEnd"/>
      <w:r w:rsidRPr="00963EA6">
        <w:rPr>
          <w:rFonts w:eastAsia="Courier New"/>
          <w:b w:val="0"/>
        </w:rPr>
        <w:t xml:space="preserve"> presentara en el juicio al investigador que recibió la entrevista de la fuente cuya reserva se solicita, quien no podría ser interrogado sobre la identidad del confidente policial, ya que según el artículo 385 literal h) del C.P., el funcionario estaría amparado por el privilegio de la exención al deber de declarar, pues no estaría obligado a responder en lo relativo a su relación con el informante, por lo cual queda claro que le asistió razón al A quo, al negar la pretensión de la defensa encaminada a que se le hiciera entrega de la entrevista en mención. En ese sentido, al no solicitarse como prueba de la </w:t>
      </w:r>
      <w:proofErr w:type="spellStart"/>
      <w:r w:rsidRPr="00963EA6">
        <w:rPr>
          <w:rFonts w:eastAsia="Courier New"/>
          <w:b w:val="0"/>
        </w:rPr>
        <w:t>FGN</w:t>
      </w:r>
      <w:proofErr w:type="spellEnd"/>
      <w:r w:rsidRPr="00963EA6">
        <w:rPr>
          <w:rFonts w:eastAsia="Courier New"/>
          <w:b w:val="0"/>
        </w:rPr>
        <w:t xml:space="preserve"> el testimonio del informante, cuya identidad reclama conocer el defensor, en sentido estricto no podría introducirse esa entrevista y en consecuencia esa evidencia no tendría injerencia en la decisión que se adopte en el proceso, acatando lo dispuesto en la norma rectora contenida en el artículo 16 del </w:t>
      </w:r>
      <w:proofErr w:type="spellStart"/>
      <w:r w:rsidRPr="00963EA6">
        <w:rPr>
          <w:rFonts w:eastAsia="Courier New"/>
          <w:b w:val="0"/>
        </w:rPr>
        <w:t>CPP</w:t>
      </w:r>
      <w:proofErr w:type="spellEnd"/>
      <w:r w:rsidRPr="00963EA6">
        <w:rPr>
          <w:rFonts w:eastAsia="Courier New"/>
          <w:b w:val="0"/>
        </w:rPr>
        <w:t>, según el cual: “en el juico únicamente se estimará como prueba la que haya sido producida o incorporada en forma pública, oral, concentrada y sujeta a confrontación y contradicción…”.</w:t>
      </w:r>
    </w:p>
    <w:p w:rsidR="00963EA6" w:rsidRPr="00963EA6" w:rsidRDefault="00963EA6" w:rsidP="00963EA6">
      <w:pPr>
        <w:pStyle w:val="Sinespaciado"/>
        <w:rPr>
          <w:rFonts w:eastAsia="Courier New"/>
          <w:b w:val="0"/>
        </w:rPr>
      </w:pPr>
    </w:p>
    <w:p w:rsidR="00963EA6" w:rsidRDefault="00963EA6" w:rsidP="00963EA6">
      <w:pPr>
        <w:jc w:val="center"/>
        <w:rPr>
          <w:rFonts w:ascii="Arial" w:hAnsi="Arial" w:cs="Arial"/>
          <w:b/>
          <w:lang w:val="es-CO"/>
        </w:rPr>
      </w:pPr>
    </w:p>
    <w:p w:rsidR="00076501" w:rsidRPr="00497EE9" w:rsidRDefault="00076501" w:rsidP="00076501">
      <w:pPr>
        <w:pStyle w:val="Subttulo"/>
        <w:spacing w:line="240" w:lineRule="auto"/>
        <w:ind w:left="360"/>
        <w:rPr>
          <w:rFonts w:ascii="Arial" w:hAnsi="Arial" w:cs="Arial"/>
          <w:b/>
          <w:lang w:val="es-ES" w:eastAsia="es-ES"/>
        </w:rPr>
      </w:pPr>
      <w:r w:rsidRPr="00497EE9">
        <w:rPr>
          <w:rFonts w:ascii="Arial" w:hAnsi="Arial" w:cs="Arial"/>
          <w:b/>
          <w:lang w:val="es-ES" w:eastAsia="es-ES"/>
        </w:rPr>
        <w:t>RAMA JUDICIAL DEL PODER PÚBLICO</w:t>
      </w:r>
    </w:p>
    <w:p w:rsidR="00076501" w:rsidRPr="00497EE9" w:rsidRDefault="00076501" w:rsidP="00076501">
      <w:pPr>
        <w:numPr>
          <w:ilvl w:val="0"/>
          <w:numId w:val="0"/>
        </w:numPr>
        <w:spacing w:after="0" w:line="240" w:lineRule="auto"/>
        <w:ind w:left="360"/>
        <w:jc w:val="center"/>
        <w:rPr>
          <w:rFonts w:ascii="Arial" w:hAnsi="Arial" w:cs="Arial"/>
          <w:b/>
          <w:bCs/>
          <w:sz w:val="24"/>
          <w:szCs w:val="24"/>
          <w:lang w:eastAsia="es-ES"/>
        </w:rPr>
      </w:pPr>
      <w:r w:rsidRPr="00497EE9">
        <w:rPr>
          <w:rFonts w:ascii="Arial" w:hAnsi="Arial" w:cs="Arial"/>
          <w:b/>
          <w:bCs/>
          <w:noProof/>
          <w:sz w:val="24"/>
          <w:szCs w:val="24"/>
          <w:lang w:eastAsia="es-ES"/>
        </w:rPr>
        <w:drawing>
          <wp:inline distT="0" distB="0" distL="0" distR="0" wp14:anchorId="51986447" wp14:editId="5E4BD72D">
            <wp:extent cx="437515" cy="5708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70865"/>
                    </a:xfrm>
                    <a:prstGeom prst="rect">
                      <a:avLst/>
                    </a:prstGeom>
                    <a:noFill/>
                    <a:ln>
                      <a:noFill/>
                    </a:ln>
                  </pic:spPr>
                </pic:pic>
              </a:graphicData>
            </a:graphic>
          </wp:inline>
        </w:drawing>
      </w:r>
    </w:p>
    <w:p w:rsidR="00076501" w:rsidRPr="00497EE9" w:rsidRDefault="00076501" w:rsidP="00076501">
      <w:pPr>
        <w:numPr>
          <w:ilvl w:val="0"/>
          <w:numId w:val="0"/>
        </w:numPr>
        <w:spacing w:after="0" w:line="240" w:lineRule="auto"/>
        <w:ind w:left="360"/>
        <w:jc w:val="center"/>
        <w:rPr>
          <w:rFonts w:ascii="Arial" w:hAnsi="Arial" w:cs="Arial"/>
          <w:b/>
          <w:bCs/>
          <w:sz w:val="24"/>
          <w:szCs w:val="24"/>
          <w:lang w:val="pt-BR" w:eastAsia="es-ES"/>
        </w:rPr>
      </w:pPr>
      <w:r w:rsidRPr="00497EE9">
        <w:rPr>
          <w:rFonts w:ascii="Arial" w:hAnsi="Arial" w:cs="Arial"/>
          <w:b/>
          <w:bCs/>
          <w:sz w:val="24"/>
          <w:szCs w:val="24"/>
          <w:lang w:val="pt-BR" w:eastAsia="es-ES"/>
        </w:rPr>
        <w:t xml:space="preserve">TRIBUNAL SUPERIOR DEL DISTRITO JUDICIAL DE PEREIRA – </w:t>
      </w:r>
      <w:proofErr w:type="spellStart"/>
      <w:r w:rsidRPr="00497EE9">
        <w:rPr>
          <w:rFonts w:ascii="Arial" w:hAnsi="Arial" w:cs="Arial"/>
          <w:b/>
          <w:bCs/>
          <w:sz w:val="24"/>
          <w:szCs w:val="24"/>
          <w:lang w:val="pt-BR" w:eastAsia="es-ES"/>
        </w:rPr>
        <w:t>RISARALDA</w:t>
      </w:r>
      <w:proofErr w:type="spellEnd"/>
    </w:p>
    <w:p w:rsidR="00076501" w:rsidRPr="00497EE9" w:rsidRDefault="00076501" w:rsidP="00076501">
      <w:pPr>
        <w:keepNext/>
        <w:numPr>
          <w:ilvl w:val="0"/>
          <w:numId w:val="0"/>
        </w:numPr>
        <w:spacing w:before="240" w:after="60" w:line="240" w:lineRule="auto"/>
        <w:ind w:left="360"/>
        <w:jc w:val="center"/>
        <w:outlineLvl w:val="3"/>
        <w:rPr>
          <w:rFonts w:ascii="Arial" w:eastAsia="Batang" w:hAnsi="Arial" w:cs="Arial"/>
          <w:b/>
          <w:bCs/>
          <w:sz w:val="24"/>
          <w:szCs w:val="24"/>
          <w:lang w:eastAsia="es-ES"/>
        </w:rPr>
      </w:pPr>
      <w:r w:rsidRPr="00497EE9">
        <w:rPr>
          <w:rFonts w:ascii="Arial" w:eastAsia="Batang" w:hAnsi="Arial" w:cs="Arial"/>
          <w:b/>
          <w:bCs/>
          <w:sz w:val="24"/>
          <w:szCs w:val="24"/>
          <w:lang w:eastAsia="es-ES"/>
        </w:rPr>
        <w:t>SALA DE DECISIÓN PENAL</w:t>
      </w:r>
    </w:p>
    <w:p w:rsidR="00076501" w:rsidRPr="00497EE9" w:rsidRDefault="00076501" w:rsidP="00076501">
      <w:pPr>
        <w:numPr>
          <w:ilvl w:val="0"/>
          <w:numId w:val="0"/>
        </w:numPr>
        <w:spacing w:after="120" w:line="240" w:lineRule="auto"/>
        <w:ind w:left="360"/>
        <w:jc w:val="center"/>
        <w:rPr>
          <w:rFonts w:ascii="Arial" w:eastAsia="Batang" w:hAnsi="Arial" w:cs="Arial"/>
          <w:b/>
          <w:bCs/>
          <w:sz w:val="24"/>
          <w:szCs w:val="24"/>
          <w:lang w:val="es-MX" w:eastAsia="es-MX"/>
        </w:rPr>
      </w:pPr>
      <w:proofErr w:type="spellStart"/>
      <w:r w:rsidRPr="00497EE9">
        <w:rPr>
          <w:rFonts w:ascii="Arial" w:eastAsia="Batang" w:hAnsi="Arial" w:cs="Arial"/>
          <w:b/>
          <w:bCs/>
          <w:sz w:val="24"/>
          <w:szCs w:val="24"/>
          <w:lang w:val="es-MX" w:eastAsia="es-MX"/>
        </w:rPr>
        <w:t>M.P</w:t>
      </w:r>
      <w:proofErr w:type="spellEnd"/>
      <w:r w:rsidRPr="00497EE9">
        <w:rPr>
          <w:rFonts w:ascii="Arial" w:eastAsia="Batang" w:hAnsi="Arial" w:cs="Arial"/>
          <w:b/>
          <w:bCs/>
          <w:sz w:val="24"/>
          <w:szCs w:val="24"/>
          <w:lang w:val="es-MX" w:eastAsia="es-MX"/>
        </w:rPr>
        <w:t>. JAIRO ERNESTO ESCOBAR SANZ</w:t>
      </w:r>
    </w:p>
    <w:p w:rsidR="008A7295" w:rsidRPr="00497EE9" w:rsidRDefault="008A7295" w:rsidP="00963EA6">
      <w:pPr>
        <w:pStyle w:val="Sinespaciado"/>
      </w:pPr>
    </w:p>
    <w:p w:rsidR="008A7295" w:rsidRPr="00497EE9" w:rsidRDefault="008A7295" w:rsidP="00963EA6">
      <w:pPr>
        <w:pStyle w:val="Sinespaciado"/>
      </w:pPr>
    </w:p>
    <w:p w:rsidR="008A7295" w:rsidRPr="00497EE9" w:rsidRDefault="008A7295" w:rsidP="00963EA6">
      <w:pPr>
        <w:pStyle w:val="Sinespaciado"/>
      </w:pPr>
      <w:r w:rsidRPr="00497EE9">
        <w:t xml:space="preserve">Pereira, </w:t>
      </w:r>
      <w:r w:rsidR="009D2358">
        <w:t>veinticinco (25) de mayo de dos mil dieciocho (2018)</w:t>
      </w:r>
    </w:p>
    <w:p w:rsidR="008A7295" w:rsidRPr="00497EE9" w:rsidRDefault="008A7295" w:rsidP="00963EA6">
      <w:pPr>
        <w:pStyle w:val="Sinespaciado"/>
      </w:pPr>
      <w:r w:rsidRPr="00497EE9">
        <w:t xml:space="preserve">Acta No. </w:t>
      </w:r>
      <w:r w:rsidR="009D2358">
        <w:t>446</w:t>
      </w:r>
    </w:p>
    <w:p w:rsidR="008A7295" w:rsidRPr="00497EE9" w:rsidRDefault="008A7295" w:rsidP="00963EA6">
      <w:pPr>
        <w:pStyle w:val="Sinespaciado"/>
      </w:pPr>
      <w:r w:rsidRPr="00497EE9">
        <w:t xml:space="preserve">Hora: </w:t>
      </w:r>
      <w:r w:rsidR="009D2358">
        <w:t xml:space="preserve">2:08 p.m. </w:t>
      </w:r>
    </w:p>
    <w:p w:rsidR="008A7295" w:rsidRPr="00497EE9" w:rsidRDefault="008A7295" w:rsidP="00963EA6">
      <w:pPr>
        <w:pStyle w:val="Sinespaciado"/>
      </w:pPr>
    </w:p>
    <w:p w:rsidR="008A7295" w:rsidRPr="00497EE9" w:rsidRDefault="008A7295" w:rsidP="00963EA6">
      <w:pPr>
        <w:pStyle w:val="Sinespaciado"/>
      </w:pPr>
    </w:p>
    <w:p w:rsidR="008A7295" w:rsidRPr="00497EE9" w:rsidRDefault="008A7295" w:rsidP="00963EA6">
      <w:pPr>
        <w:pStyle w:val="Sinespaciado"/>
      </w:pPr>
    </w:p>
    <w:p w:rsidR="008A7295" w:rsidRPr="00497EE9" w:rsidRDefault="00BD4E50" w:rsidP="00963EA6">
      <w:pPr>
        <w:pStyle w:val="Sinespaciado"/>
      </w:pPr>
      <w:r>
        <w:tab/>
      </w:r>
      <w:r w:rsidR="00E27017" w:rsidRPr="00497EE9">
        <w:t xml:space="preserve">1. </w:t>
      </w:r>
      <w:r w:rsidR="008A7295" w:rsidRPr="00497EE9">
        <w:t>ASUNTO A DECIDIR</w:t>
      </w:r>
      <w:r>
        <w:tab/>
      </w:r>
    </w:p>
    <w:p w:rsidR="008A7295" w:rsidRPr="00497EE9" w:rsidRDefault="008A7295" w:rsidP="00963EA6">
      <w:pPr>
        <w:pStyle w:val="Sinespaciado"/>
      </w:pPr>
    </w:p>
    <w:p w:rsidR="000D54D1" w:rsidRPr="00497EE9" w:rsidRDefault="008A7295" w:rsidP="00963EA6">
      <w:pPr>
        <w:pStyle w:val="Sinespaciado"/>
      </w:pPr>
      <w:r w:rsidRPr="00497EE9">
        <w:t xml:space="preserve">Se procede a resolver lo concerniente al recurso de apelación interpuesto por el </w:t>
      </w:r>
      <w:r w:rsidR="00B77838" w:rsidRPr="00497EE9">
        <w:t xml:space="preserve">defensor de la señora María </w:t>
      </w:r>
      <w:proofErr w:type="spellStart"/>
      <w:r w:rsidR="00B77838" w:rsidRPr="00497EE9">
        <w:t>Policarpa</w:t>
      </w:r>
      <w:proofErr w:type="spellEnd"/>
      <w:r w:rsidR="00B77838" w:rsidRPr="00497EE9">
        <w:t xml:space="preserve"> Agudelo Castañeda</w:t>
      </w:r>
      <w:r w:rsidRPr="00497EE9">
        <w:t>, en contra de la determ</w:t>
      </w:r>
      <w:r w:rsidR="00B77838" w:rsidRPr="00497EE9">
        <w:t xml:space="preserve">inación adoptada por el Juzgado Quinto </w:t>
      </w:r>
      <w:r w:rsidRPr="00497EE9">
        <w:t xml:space="preserve">Penal del Circuito de </w:t>
      </w:r>
      <w:r w:rsidR="00B77838" w:rsidRPr="00497EE9">
        <w:lastRenderedPageBreak/>
        <w:t xml:space="preserve">Pereira, </w:t>
      </w:r>
      <w:r w:rsidRPr="00497EE9">
        <w:t xml:space="preserve">en la audiencia </w:t>
      </w:r>
      <w:r w:rsidR="00B77838" w:rsidRPr="00497EE9">
        <w:t>de formulación de acusación</w:t>
      </w:r>
      <w:r w:rsidRPr="00497EE9">
        <w:t xml:space="preserve">, donde </w:t>
      </w:r>
      <w:r w:rsidR="00B77838" w:rsidRPr="00497EE9">
        <w:t xml:space="preserve">no se accedió al descubrimiento de </w:t>
      </w:r>
      <w:r w:rsidR="00EB00A1" w:rsidRPr="00497EE9">
        <w:t xml:space="preserve">una </w:t>
      </w:r>
      <w:r w:rsidR="00B77838" w:rsidRPr="00497EE9">
        <w:t xml:space="preserve">entrevista </w:t>
      </w:r>
      <w:r w:rsidR="00EB00A1" w:rsidRPr="00497EE9">
        <w:t>presentada por el representante de la acusada.</w:t>
      </w:r>
      <w:r w:rsidR="00B77838" w:rsidRPr="00497EE9">
        <w:t xml:space="preserve"> </w:t>
      </w:r>
    </w:p>
    <w:p w:rsidR="00B77838" w:rsidRPr="00497EE9" w:rsidRDefault="00B77838" w:rsidP="00963EA6">
      <w:pPr>
        <w:pStyle w:val="Sinespaciado"/>
      </w:pPr>
    </w:p>
    <w:p w:rsidR="008A7295" w:rsidRPr="00497EE9" w:rsidRDefault="008A7295" w:rsidP="00963EA6">
      <w:pPr>
        <w:pStyle w:val="Sinespaciado"/>
      </w:pPr>
    </w:p>
    <w:p w:rsidR="008A7295" w:rsidRPr="00497EE9" w:rsidRDefault="00E27017" w:rsidP="00963EA6">
      <w:pPr>
        <w:pStyle w:val="Sinespaciado"/>
      </w:pPr>
      <w:r w:rsidRPr="00497EE9">
        <w:t xml:space="preserve">2. </w:t>
      </w:r>
      <w:r w:rsidR="00B77838" w:rsidRPr="00497EE9">
        <w:t>ANTECEDENTES</w:t>
      </w:r>
    </w:p>
    <w:p w:rsidR="00B77838" w:rsidRPr="00497EE9" w:rsidRDefault="00B77838" w:rsidP="00963EA6">
      <w:pPr>
        <w:pStyle w:val="Sinespaciado"/>
      </w:pPr>
    </w:p>
    <w:p w:rsidR="00205A91" w:rsidRPr="00497EE9" w:rsidRDefault="00205A91" w:rsidP="00963EA6">
      <w:pPr>
        <w:pStyle w:val="Sinespaciado"/>
      </w:pPr>
      <w:r w:rsidRPr="00497EE9">
        <w:t xml:space="preserve">El supuesto fáctico del escrito de acusación es el siguiente: </w:t>
      </w:r>
    </w:p>
    <w:p w:rsidR="00205A91" w:rsidRPr="00497EE9" w:rsidRDefault="00205A91" w:rsidP="00963EA6">
      <w:pPr>
        <w:pStyle w:val="Sinespaciado"/>
      </w:pPr>
    </w:p>
    <w:p w:rsidR="00076501" w:rsidRPr="00497EE9" w:rsidRDefault="00205A91" w:rsidP="00963EA6">
      <w:pPr>
        <w:pStyle w:val="Sinespaciado"/>
      </w:pPr>
      <w:r w:rsidRPr="00497EE9">
        <w:t>“</w:t>
      </w:r>
      <w:r w:rsidR="00DA335D" w:rsidRPr="00497EE9">
        <w:t xml:space="preserve">Según informe de Investigador de campo de fecha 13 de agosto de 2012, suscrito por el Funcionario de la </w:t>
      </w:r>
      <w:proofErr w:type="spellStart"/>
      <w:r w:rsidR="00DA335D" w:rsidRPr="00497EE9">
        <w:t>DIJIN</w:t>
      </w:r>
      <w:proofErr w:type="spellEnd"/>
      <w:r w:rsidR="00DA335D" w:rsidRPr="00497EE9">
        <w:t xml:space="preserve"> </w:t>
      </w:r>
      <w:proofErr w:type="spellStart"/>
      <w:r w:rsidR="00DA335D" w:rsidRPr="00497EE9">
        <w:t>PONAL</w:t>
      </w:r>
      <w:proofErr w:type="spellEnd"/>
      <w:r w:rsidR="00DA335D" w:rsidRPr="00497EE9">
        <w:t xml:space="preserve"> Grupo de Investigaciones Generales SI. DARWIN ORTIZ .ZAMBRANO, tuvo conocimiento de fuente humana sobre la existencia del inmueble ubicado en la calle 20 No. 1-75 de Pereira Risaralda, donde al parecer funcionaba una fábrica de billetes de dólares falsa, actividad criminal a la que se dedican sus moradores, aporta un billete de cien dólares falso, que obtuvo con la finalidad de venderlos; Así mismo puso en conocimiento la inminente circulación de una gran cantidad de ejemplares de billetes, que estaban culminando su proceso de falsificación, para ser comercializados en varias ciudades del país; Por labores de verificación realizadas por parte de Policía Judicial se logró la ubicación del inmueble, constatándose la existencia del mismo, la descripción, sus linderos estableciéndose que el mismos se encontraba arrendado para vivienda desde -el 1 de agosto de 2012 a la señora MARÍA </w:t>
      </w:r>
      <w:proofErr w:type="spellStart"/>
      <w:r w:rsidR="00DA335D" w:rsidRPr="00497EE9">
        <w:t>POLICARPA</w:t>
      </w:r>
      <w:proofErr w:type="spellEnd"/>
      <w:r w:rsidR="00DA335D" w:rsidRPr="00497EE9">
        <w:t xml:space="preserve">, siendo su propietaria la señora ISABELINA LOAIZA </w:t>
      </w:r>
      <w:proofErr w:type="spellStart"/>
      <w:r w:rsidR="00DA335D" w:rsidRPr="00497EE9">
        <w:t>RAIGOZA</w:t>
      </w:r>
      <w:proofErr w:type="spellEnd"/>
      <w:r w:rsidR="00DA335D" w:rsidRPr="00497EE9">
        <w:t>, habitante de la ciudad de Pereira; Con esta información y motivos fundados procedió a solicitar diligencia de registro y Allanamiento al inmueble ya referido. La Fiscalía con la finalidad de incautar elementos materiales probatorios como también determinar quién o quiénes los responsables de estos ilícitos con fecha 13 de agosto de 2012, procedió a decretar la diligencia de registro, y allanamiento al inmueble ubicado en la Calle 20 No. 1-75 de la ciudad de Pereira, diligencia judicial llevada a cabo por parte del grupo investigador el día 14 de agosto de 2012, como resultados a la misma se encontró que ef</w:t>
      </w:r>
      <w:r w:rsidRPr="00497EE9">
        <w:t>ectivamente se trataba de una fá</w:t>
      </w:r>
      <w:r w:rsidR="00DA335D" w:rsidRPr="00497EE9">
        <w:t xml:space="preserve">brica de elaboración de billete falsificado, una vez dictaminado por el perito </w:t>
      </w:r>
      <w:proofErr w:type="spellStart"/>
      <w:r w:rsidR="00DA335D" w:rsidRPr="00497EE9">
        <w:t>documentológi</w:t>
      </w:r>
      <w:r w:rsidRPr="00497EE9">
        <w:t>co</w:t>
      </w:r>
      <w:proofErr w:type="spellEnd"/>
      <w:r w:rsidRPr="00497EE9">
        <w:t xml:space="preserve"> sobre la no originalidad de l</w:t>
      </w:r>
      <w:r w:rsidR="00DA335D" w:rsidRPr="00497EE9">
        <w:t>os billet</w:t>
      </w:r>
      <w:r w:rsidRPr="00497EE9">
        <w:t>es encontrados</w:t>
      </w:r>
      <w:r w:rsidR="00DA335D" w:rsidRPr="00497EE9">
        <w:t xml:space="preserve"> se proc</w:t>
      </w:r>
      <w:r w:rsidRPr="00497EE9">
        <w:t>edió a capturar a la señora MARÍ</w:t>
      </w:r>
      <w:r w:rsidR="00DA335D" w:rsidRPr="00497EE9">
        <w:t xml:space="preserve">A </w:t>
      </w:r>
      <w:proofErr w:type="spellStart"/>
      <w:r w:rsidR="00DA335D" w:rsidRPr="00497EE9">
        <w:t>POLICARPA</w:t>
      </w:r>
      <w:proofErr w:type="spellEnd"/>
      <w:r w:rsidR="00DA335D" w:rsidRPr="00497EE9">
        <w:t xml:space="preserve"> AGUDELO CASTAÑEDA, arrendataria del lugar</w:t>
      </w:r>
      <w:r w:rsidR="00E27017" w:rsidRPr="00497EE9">
        <w:t>”</w:t>
      </w:r>
      <w:r w:rsidR="00076501" w:rsidRPr="00497EE9">
        <w:t xml:space="preserve">. </w:t>
      </w:r>
    </w:p>
    <w:p w:rsidR="00076501" w:rsidRPr="00497EE9" w:rsidRDefault="00076501" w:rsidP="00963EA6">
      <w:pPr>
        <w:pStyle w:val="Sinespaciado"/>
      </w:pPr>
    </w:p>
    <w:p w:rsidR="00205A91" w:rsidRPr="00497EE9" w:rsidRDefault="00076501" w:rsidP="00963EA6">
      <w:pPr>
        <w:pStyle w:val="Sinespaciado"/>
      </w:pPr>
      <w:r w:rsidRPr="00497EE9">
        <w:t xml:space="preserve">2.2 </w:t>
      </w:r>
      <w:r w:rsidR="00205A91" w:rsidRPr="00497EE9">
        <w:t xml:space="preserve">Las audiencias preliminares de legalización e incautación de elementos, legalización de captura, formulación e imposición de medida de aseguramiento se celebraron el 15 de agosto de 2012 ante el Juzgado Primero Penal con Funciones de Control de Garantías de Pereira. En dicho acto la </w:t>
      </w:r>
      <w:proofErr w:type="spellStart"/>
      <w:r w:rsidR="00205A91" w:rsidRPr="00497EE9">
        <w:t>FGN</w:t>
      </w:r>
      <w:proofErr w:type="spellEnd"/>
      <w:r w:rsidR="002A2FA6" w:rsidRPr="00497EE9">
        <w:t xml:space="preserve"> le comunicó cargos a la señora María </w:t>
      </w:r>
      <w:proofErr w:type="spellStart"/>
      <w:r w:rsidR="00B67042" w:rsidRPr="00497EE9">
        <w:t>Policarpa</w:t>
      </w:r>
      <w:proofErr w:type="spellEnd"/>
      <w:r w:rsidR="002A2FA6" w:rsidRPr="00497EE9">
        <w:t xml:space="preserve"> </w:t>
      </w:r>
      <w:r w:rsidR="000B059F" w:rsidRPr="00497EE9">
        <w:t>Agudelo Castañeda el delito de falsificación de moneda nacional o extranjera (art. 273 del CP.)</w:t>
      </w:r>
      <w:r w:rsidR="00EB00A1" w:rsidRPr="00497EE9">
        <w:t>, el cual se encuent</w:t>
      </w:r>
      <w:r w:rsidR="00AE41C8" w:rsidRPr="00497EE9">
        <w:t>ra</w:t>
      </w:r>
      <w:r w:rsidR="00EB00A1" w:rsidRPr="00497EE9">
        <w:t xml:space="preserve"> sancionado con pena de prisión de 96 a 180 meses. La señora Agud</w:t>
      </w:r>
      <w:r w:rsidR="00A319B3" w:rsidRPr="00497EE9">
        <w:t xml:space="preserve">elo Castañeda no aceptó el cargo que le fue comunicado. </w:t>
      </w:r>
    </w:p>
    <w:p w:rsidR="00A319B3" w:rsidRPr="00497EE9" w:rsidRDefault="00A319B3" w:rsidP="00963EA6">
      <w:pPr>
        <w:pStyle w:val="Sinespaciado"/>
      </w:pPr>
    </w:p>
    <w:p w:rsidR="00CD5305" w:rsidRPr="00497EE9" w:rsidRDefault="00AE41C8" w:rsidP="00963EA6">
      <w:pPr>
        <w:pStyle w:val="Sinespaciado"/>
      </w:pPr>
      <w:r w:rsidRPr="00497EE9">
        <w:t xml:space="preserve">2.3 </w:t>
      </w:r>
      <w:r w:rsidR="00A319B3" w:rsidRPr="00497EE9">
        <w:t xml:space="preserve">El Juzgado Quinto Penal del Circuito de Pereira asumió el conocimiento de la presente causa (folio </w:t>
      </w:r>
      <w:r w:rsidR="00A61920" w:rsidRPr="00497EE9">
        <w:t xml:space="preserve">12). </w:t>
      </w:r>
    </w:p>
    <w:p w:rsidR="00E27017" w:rsidRPr="00497EE9" w:rsidRDefault="00E27017" w:rsidP="00963EA6">
      <w:pPr>
        <w:pStyle w:val="Sinespaciado"/>
      </w:pPr>
    </w:p>
    <w:p w:rsidR="00E27017" w:rsidRPr="00497EE9" w:rsidRDefault="00E27017" w:rsidP="00963EA6">
      <w:pPr>
        <w:pStyle w:val="Sinespaciado"/>
      </w:pPr>
    </w:p>
    <w:p w:rsidR="00E27017" w:rsidRPr="00497EE9" w:rsidRDefault="00E27017" w:rsidP="00963EA6">
      <w:pPr>
        <w:pStyle w:val="Sinespaciado"/>
      </w:pPr>
      <w:r w:rsidRPr="00497EE9">
        <w:t xml:space="preserve">3. SOBRE LA </w:t>
      </w:r>
      <w:proofErr w:type="spellStart"/>
      <w:r w:rsidRPr="00497EE9">
        <w:t>ACTUACION</w:t>
      </w:r>
      <w:proofErr w:type="spellEnd"/>
      <w:r w:rsidRPr="00497EE9">
        <w:t xml:space="preserve"> QUE DIO ORIGEN AL PRESENTE RECURSO.</w:t>
      </w:r>
    </w:p>
    <w:p w:rsidR="00E27017" w:rsidRPr="00497EE9" w:rsidRDefault="00E27017" w:rsidP="00963EA6">
      <w:pPr>
        <w:pStyle w:val="Sinespaciado"/>
      </w:pPr>
    </w:p>
    <w:p w:rsidR="00A319B3" w:rsidRPr="00497EE9" w:rsidRDefault="00CD5305" w:rsidP="00963EA6">
      <w:pPr>
        <w:pStyle w:val="Sinespaciado"/>
      </w:pPr>
      <w:r w:rsidRPr="00497EE9">
        <w:t xml:space="preserve">Durante el desarrollo de la </w:t>
      </w:r>
      <w:r w:rsidR="00A61920" w:rsidRPr="00497EE9">
        <w:t>audiencia de formulación de acusación</w:t>
      </w:r>
      <w:r w:rsidR="00EB00A1" w:rsidRPr="00497EE9">
        <w:t xml:space="preserve"> se presentaron las siguientes actuaciones:</w:t>
      </w:r>
      <w:r w:rsidRPr="00497EE9">
        <w:t xml:space="preserve"> </w:t>
      </w:r>
    </w:p>
    <w:p w:rsidR="00CD5305" w:rsidRPr="00497EE9" w:rsidRDefault="00CD5305" w:rsidP="00963EA6">
      <w:pPr>
        <w:pStyle w:val="Sinespaciado"/>
      </w:pPr>
    </w:p>
    <w:p w:rsidR="00E27017" w:rsidRPr="00497EE9" w:rsidRDefault="00E27017" w:rsidP="00963EA6">
      <w:pPr>
        <w:pStyle w:val="Sinespaciado"/>
      </w:pPr>
      <w:r w:rsidRPr="00497EE9">
        <w:t xml:space="preserve">3.1 </w:t>
      </w:r>
      <w:r w:rsidR="00AE44C3" w:rsidRPr="00497EE9">
        <w:t>L</w:t>
      </w:r>
      <w:r w:rsidR="00EB00A1" w:rsidRPr="00497EE9">
        <w:t xml:space="preserve">as </w:t>
      </w:r>
      <w:r w:rsidR="00AE44C3" w:rsidRPr="00497EE9">
        <w:t>partes no presen</w:t>
      </w:r>
      <w:r w:rsidR="00F550FB" w:rsidRPr="00497EE9">
        <w:t xml:space="preserve">taran reparo alguno frente al traslado del escrito de acusación ni </w:t>
      </w:r>
      <w:r w:rsidR="00EB00A1" w:rsidRPr="00497EE9">
        <w:t xml:space="preserve">formularon </w:t>
      </w:r>
      <w:r w:rsidR="00F550FB" w:rsidRPr="00497EE9">
        <w:t xml:space="preserve">solicitudes </w:t>
      </w:r>
      <w:r w:rsidR="00EB00A1" w:rsidRPr="00497EE9">
        <w:t xml:space="preserve">de </w:t>
      </w:r>
      <w:r w:rsidR="00F550FB" w:rsidRPr="00497EE9">
        <w:t>incompetencia, impedimentos, recusaciones o de nulidad</w:t>
      </w:r>
      <w:r w:rsidR="00EB00A1" w:rsidRPr="00497EE9">
        <w:t>.</w:t>
      </w:r>
    </w:p>
    <w:p w:rsidR="00E27017" w:rsidRPr="00497EE9" w:rsidRDefault="00E27017" w:rsidP="00963EA6">
      <w:pPr>
        <w:pStyle w:val="Sinespaciado"/>
      </w:pPr>
    </w:p>
    <w:p w:rsidR="00AE44C3" w:rsidRPr="00497EE9" w:rsidRDefault="00E27017" w:rsidP="00963EA6">
      <w:pPr>
        <w:pStyle w:val="Sinespaciado"/>
      </w:pPr>
      <w:r w:rsidRPr="00497EE9">
        <w:t xml:space="preserve">3.2 </w:t>
      </w:r>
      <w:r w:rsidR="00EB00A1" w:rsidRPr="00497EE9">
        <w:t xml:space="preserve">Seguidamente la </w:t>
      </w:r>
      <w:r w:rsidR="00F550FB" w:rsidRPr="00497EE9">
        <w:t xml:space="preserve"> delegada de la </w:t>
      </w:r>
      <w:proofErr w:type="spellStart"/>
      <w:r w:rsidR="00F550FB" w:rsidRPr="00497EE9">
        <w:t>FGN</w:t>
      </w:r>
      <w:proofErr w:type="spellEnd"/>
      <w:r w:rsidR="00F550FB" w:rsidRPr="00497EE9">
        <w:t xml:space="preserve"> procedió a dar l</w:t>
      </w:r>
      <w:r w:rsidR="00B67042" w:rsidRPr="00497EE9">
        <w:t xml:space="preserve">ectura al escrito de acusación que fue presentado en contra de la señora María </w:t>
      </w:r>
      <w:proofErr w:type="spellStart"/>
      <w:r w:rsidR="00B67042" w:rsidRPr="00497EE9">
        <w:t>Policarpa</w:t>
      </w:r>
      <w:proofErr w:type="spellEnd"/>
      <w:r w:rsidR="00B67042" w:rsidRPr="00497EE9">
        <w:t xml:space="preserve"> Agudelo Castañeda</w:t>
      </w:r>
      <w:r w:rsidR="00B00195" w:rsidRPr="00497EE9">
        <w:t xml:space="preserve">, como autora del </w:t>
      </w:r>
      <w:r w:rsidR="00B67042" w:rsidRPr="00497EE9">
        <w:t xml:space="preserve">delito </w:t>
      </w:r>
      <w:r w:rsidR="00EB00A1" w:rsidRPr="00497EE9">
        <w:t xml:space="preserve">descrito </w:t>
      </w:r>
      <w:r w:rsidR="00B67042" w:rsidRPr="00497EE9">
        <w:t xml:space="preserve">en el artículo 273 del CP. </w:t>
      </w:r>
    </w:p>
    <w:p w:rsidR="00673A89" w:rsidRPr="00497EE9" w:rsidRDefault="00673A89" w:rsidP="00963EA6">
      <w:pPr>
        <w:pStyle w:val="Sinespaciado"/>
      </w:pPr>
    </w:p>
    <w:p w:rsidR="00673A89" w:rsidRPr="00497EE9" w:rsidRDefault="00B67042" w:rsidP="00963EA6">
      <w:pPr>
        <w:pStyle w:val="Sinespaciado"/>
      </w:pPr>
      <w:r w:rsidRPr="00497EE9">
        <w:t>La</w:t>
      </w:r>
      <w:r w:rsidR="00EB00A1" w:rsidRPr="00497EE9">
        <w:t xml:space="preserve"> </w:t>
      </w:r>
      <w:r w:rsidRPr="00497EE9">
        <w:t xml:space="preserve">fiscal también hizo referencia a las evidencias contenidas en el </w:t>
      </w:r>
      <w:r w:rsidR="00DC7B46" w:rsidRPr="00497EE9">
        <w:t xml:space="preserve">anexo del </w:t>
      </w:r>
      <w:r w:rsidRPr="00497EE9">
        <w:t xml:space="preserve">escrito de acusación (folio </w:t>
      </w:r>
      <w:r w:rsidR="00673A89" w:rsidRPr="00497EE9">
        <w:t>8 y 9), indicando que frente a la entrevista rendida por</w:t>
      </w:r>
      <w:r w:rsidR="00EB00A1" w:rsidRPr="00497EE9">
        <w:t xml:space="preserve"> una “</w:t>
      </w:r>
      <w:r w:rsidR="00673A89" w:rsidRPr="00497EE9">
        <w:t>fuente humana</w:t>
      </w:r>
      <w:r w:rsidR="00EB00A1" w:rsidRPr="00497EE9">
        <w:t xml:space="preserve">”, </w:t>
      </w:r>
      <w:r w:rsidR="00673A89" w:rsidRPr="00497EE9">
        <w:t>requería</w:t>
      </w:r>
      <w:r w:rsidR="00EB00A1" w:rsidRPr="00497EE9">
        <w:t xml:space="preserve"> de </w:t>
      </w:r>
      <w:r w:rsidR="00673A89" w:rsidRPr="00497EE9">
        <w:t>una mayor reserva debido a que la vida de ese testigo podía correr peligro</w:t>
      </w:r>
      <w:r w:rsidR="00DC7B46" w:rsidRPr="00497EE9">
        <w:t xml:space="preserve">, por lo cual pidió que no fuera obligada a descubrir ese </w:t>
      </w:r>
      <w:proofErr w:type="spellStart"/>
      <w:r w:rsidR="00DC7B46" w:rsidRPr="00497EE9">
        <w:t>EMP</w:t>
      </w:r>
      <w:proofErr w:type="spellEnd"/>
      <w:r w:rsidR="00DC7B46" w:rsidRPr="00497EE9">
        <w:t>, ya que esa persona colaboró con la investigación que finalizó con la captura de la procesada.</w:t>
      </w:r>
      <w:r w:rsidR="00673A89" w:rsidRPr="00497EE9">
        <w:t xml:space="preserve"> </w:t>
      </w:r>
    </w:p>
    <w:p w:rsidR="00673A89" w:rsidRPr="00497EE9" w:rsidRDefault="00673A89" w:rsidP="00963EA6">
      <w:pPr>
        <w:pStyle w:val="Sinespaciado"/>
      </w:pPr>
    </w:p>
    <w:p w:rsidR="00BE79E5" w:rsidRPr="00497EE9" w:rsidRDefault="00E27017" w:rsidP="00963EA6">
      <w:pPr>
        <w:pStyle w:val="Sinespaciado"/>
      </w:pPr>
      <w:r w:rsidRPr="00497EE9">
        <w:t xml:space="preserve">3.3 </w:t>
      </w:r>
      <w:r w:rsidR="007D7FED" w:rsidRPr="00497EE9">
        <w:t xml:space="preserve">Luego de finalizada la intervención de la delegada del ente investigador, </w:t>
      </w:r>
      <w:r w:rsidR="004531A3" w:rsidRPr="00497EE9">
        <w:t xml:space="preserve">el defensor </w:t>
      </w:r>
      <w:r w:rsidR="007D7FED" w:rsidRPr="00497EE9">
        <w:t xml:space="preserve">solicitó que se especificaran los anexos que se habían relacionado con las evidencias con el fin de tenerlos en cuenta al momento del descubrimiento probatorio, lo cual </w:t>
      </w:r>
      <w:r w:rsidR="00EE6FE8" w:rsidRPr="00497EE9">
        <w:t xml:space="preserve">fue </w:t>
      </w:r>
      <w:r w:rsidR="004531A3" w:rsidRPr="00497EE9">
        <w:t xml:space="preserve">aclarado por la </w:t>
      </w:r>
      <w:r w:rsidR="007D7FED" w:rsidRPr="00497EE9">
        <w:t xml:space="preserve">fiscal. </w:t>
      </w:r>
    </w:p>
    <w:p w:rsidR="002A4563" w:rsidRPr="00497EE9" w:rsidRDefault="002A4563" w:rsidP="00963EA6">
      <w:pPr>
        <w:pStyle w:val="Sinespaciado"/>
      </w:pPr>
    </w:p>
    <w:p w:rsidR="00EA2ECA" w:rsidRPr="00497EE9" w:rsidRDefault="00AE41C8" w:rsidP="00963EA6">
      <w:pPr>
        <w:pStyle w:val="Sinespaciado"/>
      </w:pPr>
      <w:r w:rsidRPr="00497EE9">
        <w:t xml:space="preserve">3.4 </w:t>
      </w:r>
      <w:r w:rsidR="00E27017" w:rsidRPr="00497EE9">
        <w:t xml:space="preserve">A continuación </w:t>
      </w:r>
      <w:r w:rsidR="004531A3" w:rsidRPr="00497EE9">
        <w:t xml:space="preserve">y con base en lo </w:t>
      </w:r>
      <w:r w:rsidR="00A93184" w:rsidRPr="00497EE9">
        <w:t xml:space="preserve">dispuesto en el artículo 344 del </w:t>
      </w:r>
      <w:proofErr w:type="spellStart"/>
      <w:r w:rsidR="00A93184" w:rsidRPr="00497EE9">
        <w:t>CPP</w:t>
      </w:r>
      <w:proofErr w:type="spellEnd"/>
      <w:r w:rsidR="004531A3" w:rsidRPr="00497EE9">
        <w:t xml:space="preserve">, el defensor pidió que </w:t>
      </w:r>
      <w:r w:rsidR="00EE6FE8" w:rsidRPr="00497EE9">
        <w:t>l</w:t>
      </w:r>
      <w:r w:rsidR="00A93184" w:rsidRPr="00497EE9">
        <w:t xml:space="preserve">e fueran exhibidos todos los </w:t>
      </w:r>
      <w:proofErr w:type="spellStart"/>
      <w:r w:rsidR="00A93184" w:rsidRPr="00497EE9">
        <w:t>EMP</w:t>
      </w:r>
      <w:proofErr w:type="spellEnd"/>
      <w:r w:rsidR="000D5394" w:rsidRPr="00497EE9">
        <w:t xml:space="preserve"> y </w:t>
      </w:r>
      <w:proofErr w:type="spellStart"/>
      <w:r w:rsidR="00A93184" w:rsidRPr="00497EE9">
        <w:t>EF</w:t>
      </w:r>
      <w:proofErr w:type="spellEnd"/>
      <w:r w:rsidR="00A93184" w:rsidRPr="00497EE9">
        <w:t>, así como la entrega de todas las entrevistas incluyendo la de la</w:t>
      </w:r>
      <w:r w:rsidRPr="00497EE9">
        <w:t xml:space="preserve"> “F</w:t>
      </w:r>
      <w:r w:rsidR="00A93184" w:rsidRPr="00497EE9">
        <w:t>uente humana</w:t>
      </w:r>
      <w:r w:rsidR="000D5394" w:rsidRPr="00497EE9">
        <w:t xml:space="preserve">” </w:t>
      </w:r>
      <w:r w:rsidR="00EA2ECA" w:rsidRPr="00497EE9">
        <w:t>a la que hizo referencia la</w:t>
      </w:r>
      <w:r w:rsidR="000D5394" w:rsidRPr="00497EE9">
        <w:t xml:space="preserve"> vocera de la </w:t>
      </w:r>
      <w:proofErr w:type="spellStart"/>
      <w:r w:rsidR="000D5394" w:rsidRPr="00497EE9">
        <w:t>F</w:t>
      </w:r>
      <w:r w:rsidR="00EA2ECA" w:rsidRPr="00497EE9">
        <w:t>GN</w:t>
      </w:r>
      <w:proofErr w:type="spellEnd"/>
      <w:r w:rsidR="004531A3" w:rsidRPr="00497EE9">
        <w:t xml:space="preserve"> al pedir su reserva, p</w:t>
      </w:r>
      <w:r w:rsidR="000D5394" w:rsidRPr="00497EE9">
        <w:t xml:space="preserve">ara lo cual expuso que no se </w:t>
      </w:r>
      <w:r w:rsidR="00EA2ECA" w:rsidRPr="00497EE9">
        <w:t xml:space="preserve">podía ocultar ninguna información a la defensa </w:t>
      </w:r>
      <w:r w:rsidR="004531A3" w:rsidRPr="00497EE9">
        <w:t xml:space="preserve">en cuanto al nombre de esa persona </w:t>
      </w:r>
      <w:r w:rsidR="00EA2ECA" w:rsidRPr="00497EE9">
        <w:t xml:space="preserve">y </w:t>
      </w:r>
      <w:r w:rsidR="000D5394" w:rsidRPr="00497EE9">
        <w:t xml:space="preserve">que ese </w:t>
      </w:r>
      <w:r w:rsidR="00EA2ECA" w:rsidRPr="00497EE9">
        <w:t xml:space="preserve">documento </w:t>
      </w:r>
      <w:r w:rsidR="004D4A61" w:rsidRPr="00497EE9">
        <w:t>n</w:t>
      </w:r>
      <w:r w:rsidR="00EA2ECA" w:rsidRPr="00497EE9">
        <w:t xml:space="preserve">o </w:t>
      </w:r>
      <w:r w:rsidR="004531A3" w:rsidRPr="00497EE9">
        <w:t xml:space="preserve">estaba comprendido dentro de las </w:t>
      </w:r>
      <w:r w:rsidR="00EA2ECA" w:rsidRPr="00497EE9">
        <w:t xml:space="preserve">restricciones a las que hace alusión el artículo 345 del </w:t>
      </w:r>
      <w:proofErr w:type="spellStart"/>
      <w:r w:rsidR="00EA2ECA" w:rsidRPr="00497EE9">
        <w:t>CPP</w:t>
      </w:r>
      <w:proofErr w:type="spellEnd"/>
      <w:r w:rsidR="00EA2ECA" w:rsidRPr="00497EE9">
        <w:t xml:space="preserve">. </w:t>
      </w:r>
    </w:p>
    <w:p w:rsidR="00CB7DA1" w:rsidRPr="00497EE9" w:rsidRDefault="00CB7DA1" w:rsidP="002E7B79">
      <w:pPr>
        <w:pStyle w:val="Prrafodelista"/>
        <w:numPr>
          <w:ilvl w:val="0"/>
          <w:numId w:val="0"/>
        </w:numPr>
        <w:spacing w:line="240" w:lineRule="auto"/>
        <w:rPr>
          <w:rFonts w:ascii="Arial" w:hAnsi="Arial" w:cs="Arial"/>
          <w:sz w:val="24"/>
          <w:szCs w:val="24"/>
        </w:rPr>
      </w:pPr>
    </w:p>
    <w:p w:rsidR="00CB7DA1" w:rsidRPr="00497EE9" w:rsidRDefault="00CB7DA1" w:rsidP="00963EA6">
      <w:pPr>
        <w:pStyle w:val="Sinespaciado"/>
      </w:pPr>
    </w:p>
    <w:p w:rsidR="00D40632" w:rsidRPr="00497EE9" w:rsidRDefault="00E27017" w:rsidP="00963EA6">
      <w:pPr>
        <w:pStyle w:val="Sinespaciado"/>
      </w:pPr>
      <w:r w:rsidRPr="00497EE9">
        <w:t xml:space="preserve">4. </w:t>
      </w:r>
      <w:r w:rsidR="000D5394" w:rsidRPr="00497EE9">
        <w:t xml:space="preserve">SOBRE LA </w:t>
      </w:r>
      <w:r w:rsidR="00D40632" w:rsidRPr="00497EE9">
        <w:t>DECISIÓN OBJETO DE RECURSO</w:t>
      </w:r>
      <w:r w:rsidR="000D5394" w:rsidRPr="00497EE9">
        <w:t>.</w:t>
      </w:r>
    </w:p>
    <w:p w:rsidR="000D5394" w:rsidRPr="00497EE9" w:rsidRDefault="000D5394" w:rsidP="00963EA6">
      <w:pPr>
        <w:pStyle w:val="Sinespaciado"/>
      </w:pPr>
    </w:p>
    <w:p w:rsidR="000D5394" w:rsidRPr="00497EE9" w:rsidRDefault="000D5394" w:rsidP="00963EA6">
      <w:pPr>
        <w:pStyle w:val="Sinespaciado"/>
      </w:pPr>
      <w:r w:rsidRPr="00497EE9">
        <w:t>La decisión recurrida</w:t>
      </w:r>
      <w:r w:rsidR="00777371" w:rsidRPr="00497EE9">
        <w:t xml:space="preserve">, </w:t>
      </w:r>
      <w:r w:rsidR="00AE41C8" w:rsidRPr="00497EE9">
        <w:t>en lo que atañe a la entrevista</w:t>
      </w:r>
      <w:r w:rsidRPr="00497EE9">
        <w:t xml:space="preserve"> </w:t>
      </w:r>
      <w:r w:rsidR="00777371" w:rsidRPr="00497EE9">
        <w:t xml:space="preserve">referida </w:t>
      </w:r>
      <w:r w:rsidR="00AE41C8" w:rsidRPr="00497EE9">
        <w:t>se puede sintetizar así</w:t>
      </w:r>
      <w:r w:rsidRPr="00497EE9">
        <w:t>:</w:t>
      </w:r>
    </w:p>
    <w:p w:rsidR="00D40632" w:rsidRPr="00497EE9" w:rsidRDefault="00D40632" w:rsidP="00963EA6">
      <w:pPr>
        <w:pStyle w:val="Sinespaciado"/>
      </w:pPr>
    </w:p>
    <w:p w:rsidR="00D40632" w:rsidRPr="00497EE9" w:rsidRDefault="00D40632" w:rsidP="00963EA6">
      <w:pPr>
        <w:pStyle w:val="Sinespaciado"/>
        <w:numPr>
          <w:ilvl w:val="0"/>
          <w:numId w:val="21"/>
        </w:numPr>
      </w:pPr>
      <w:r w:rsidRPr="00497EE9">
        <w:t xml:space="preserve">El juez de conocimiento ordenó a la </w:t>
      </w:r>
      <w:proofErr w:type="spellStart"/>
      <w:r w:rsidRPr="00497EE9">
        <w:t>FGN</w:t>
      </w:r>
      <w:proofErr w:type="spellEnd"/>
      <w:r w:rsidRPr="00497EE9">
        <w:t xml:space="preserve"> que dentro de los tres días siguientes a esa </w:t>
      </w:r>
      <w:r w:rsidR="000D5394" w:rsidRPr="00497EE9">
        <w:t xml:space="preserve">audiencia, </w:t>
      </w:r>
      <w:r w:rsidR="007F2A3F" w:rsidRPr="00497EE9">
        <w:t>hiciera entrega los</w:t>
      </w:r>
      <w:r w:rsidR="003A1B57" w:rsidRPr="00497EE9">
        <w:t xml:space="preserve"> </w:t>
      </w:r>
      <w:proofErr w:type="spellStart"/>
      <w:r w:rsidR="003A1B57" w:rsidRPr="00497EE9">
        <w:t>EMP</w:t>
      </w:r>
      <w:proofErr w:type="spellEnd"/>
      <w:r w:rsidR="003A1B57" w:rsidRPr="00497EE9">
        <w:t xml:space="preserve"> </w:t>
      </w:r>
      <w:r w:rsidR="007F2A3F" w:rsidRPr="00497EE9">
        <w:t xml:space="preserve">enunciados en ese acto. </w:t>
      </w:r>
    </w:p>
    <w:p w:rsidR="007F2A3F" w:rsidRPr="00497EE9" w:rsidRDefault="007F2A3F" w:rsidP="00963EA6">
      <w:pPr>
        <w:pStyle w:val="Sinespaciado"/>
      </w:pPr>
    </w:p>
    <w:p w:rsidR="007F2A3F" w:rsidRPr="00497EE9" w:rsidRDefault="007F2A3F" w:rsidP="00963EA6">
      <w:pPr>
        <w:pStyle w:val="Sinespaciado"/>
        <w:numPr>
          <w:ilvl w:val="0"/>
          <w:numId w:val="21"/>
        </w:numPr>
      </w:pPr>
      <w:r w:rsidRPr="00497EE9">
        <w:t xml:space="preserve">Respecto a la </w:t>
      </w:r>
      <w:r w:rsidR="00AE41C8" w:rsidRPr="00497EE9">
        <w:t>“</w:t>
      </w:r>
      <w:r w:rsidRPr="00497EE9">
        <w:t>entrevista de fuente humana</w:t>
      </w:r>
      <w:r w:rsidR="000D5394" w:rsidRPr="00497EE9">
        <w:t xml:space="preserve">” </w:t>
      </w:r>
      <w:r w:rsidRPr="00497EE9">
        <w:t xml:space="preserve">prevista en el numeral 21 del escrito de acusación, consideró que se trataba de una información </w:t>
      </w:r>
      <w:r w:rsidR="00175687" w:rsidRPr="00497EE9">
        <w:t xml:space="preserve">reservada tal y como lo prevé el artículo 385 del </w:t>
      </w:r>
      <w:proofErr w:type="spellStart"/>
      <w:r w:rsidR="00175687" w:rsidRPr="00497EE9">
        <w:t>CPP</w:t>
      </w:r>
      <w:proofErr w:type="spellEnd"/>
      <w:r w:rsidR="00175687" w:rsidRPr="00497EE9">
        <w:t xml:space="preserve">. </w:t>
      </w:r>
    </w:p>
    <w:p w:rsidR="00175687" w:rsidRPr="00497EE9" w:rsidRDefault="00175687" w:rsidP="00963EA6">
      <w:pPr>
        <w:pStyle w:val="Sinespaciado"/>
      </w:pPr>
    </w:p>
    <w:p w:rsidR="00175687" w:rsidRPr="00497EE9" w:rsidRDefault="000D5394" w:rsidP="00963EA6">
      <w:pPr>
        <w:pStyle w:val="Sinespaciado"/>
        <w:numPr>
          <w:ilvl w:val="0"/>
          <w:numId w:val="21"/>
        </w:numPr>
      </w:pPr>
      <w:r w:rsidRPr="00497EE9">
        <w:t xml:space="preserve">Hizo </w:t>
      </w:r>
      <w:r w:rsidR="00507470" w:rsidRPr="00497EE9">
        <w:t xml:space="preserve">referencia a las sentencias </w:t>
      </w:r>
      <w:r w:rsidR="00FA4E1A" w:rsidRPr="00497EE9">
        <w:t>C-1260 de 2005 y C- 673 de la Corte Const</w:t>
      </w:r>
      <w:r w:rsidR="00AE41C8" w:rsidRPr="00497EE9">
        <w:t>itucional</w:t>
      </w:r>
      <w:r w:rsidR="00FA4E1A" w:rsidRPr="00497EE9">
        <w:t xml:space="preserve">, sobre el </w:t>
      </w:r>
      <w:r w:rsidR="00777371" w:rsidRPr="00497EE9">
        <w:t xml:space="preserve">tema del </w:t>
      </w:r>
      <w:r w:rsidR="00FF462A" w:rsidRPr="00497EE9">
        <w:t xml:space="preserve">carácter reservado que tenía la </w:t>
      </w:r>
      <w:r w:rsidR="00FA4E1A" w:rsidRPr="00497EE9">
        <w:t>i</w:t>
      </w:r>
      <w:r w:rsidR="00AE41C8" w:rsidRPr="00497EE9">
        <w:t>nformación proveniente de una “fuente humana”,</w:t>
      </w:r>
      <w:r w:rsidR="00FA4E1A" w:rsidRPr="00497EE9">
        <w:t xml:space="preserve"> por lo cual la identidad del informante solo podr</w:t>
      </w:r>
      <w:r w:rsidR="005D374F" w:rsidRPr="00497EE9">
        <w:t xml:space="preserve">ía </w:t>
      </w:r>
      <w:r w:rsidR="000B2B60" w:rsidRPr="00497EE9">
        <w:t xml:space="preserve">revelada ante un juez con función de control de garantías, lo que era potestativo de la </w:t>
      </w:r>
      <w:proofErr w:type="spellStart"/>
      <w:r w:rsidR="000B2B60" w:rsidRPr="00497EE9">
        <w:t>FGN</w:t>
      </w:r>
      <w:proofErr w:type="spellEnd"/>
      <w:r w:rsidR="000B2B60" w:rsidRPr="00497EE9">
        <w:t>.</w:t>
      </w:r>
    </w:p>
    <w:p w:rsidR="00D40632" w:rsidRPr="00497EE9" w:rsidRDefault="00D40632" w:rsidP="00963EA6">
      <w:pPr>
        <w:pStyle w:val="Sinespaciado"/>
      </w:pPr>
    </w:p>
    <w:p w:rsidR="00222F7D" w:rsidRPr="00497EE9" w:rsidRDefault="00222F7D" w:rsidP="00963EA6">
      <w:pPr>
        <w:pStyle w:val="Sinespaciado"/>
        <w:numPr>
          <w:ilvl w:val="0"/>
          <w:numId w:val="21"/>
        </w:numPr>
      </w:pPr>
      <w:r w:rsidRPr="00497EE9">
        <w:t>Lo anterior en consideración a que prima</w:t>
      </w:r>
      <w:r w:rsidR="009D3BB4" w:rsidRPr="00497EE9">
        <w:t>ba</w:t>
      </w:r>
      <w:r w:rsidRPr="00497EE9">
        <w:t xml:space="preserve"> el interés de la investigación y</w:t>
      </w:r>
      <w:r w:rsidR="00024EE8" w:rsidRPr="00497EE9">
        <w:t xml:space="preserve"> la seguridad de</w:t>
      </w:r>
      <w:r w:rsidR="006E27DC" w:rsidRPr="00497EE9">
        <w:t xml:space="preserve">l testigo, </w:t>
      </w:r>
      <w:r w:rsidR="009D3BB4" w:rsidRPr="00497EE9">
        <w:t>por lo cual el</w:t>
      </w:r>
      <w:r w:rsidRPr="00497EE9">
        <w:t xml:space="preserve"> investigador no est</w:t>
      </w:r>
      <w:r w:rsidR="000B2B60" w:rsidRPr="00497EE9">
        <w:t xml:space="preserve">aba </w:t>
      </w:r>
      <w:r w:rsidRPr="00497EE9">
        <w:t xml:space="preserve">en la obligación de revelar su fuente tal y como lo refiere el </w:t>
      </w:r>
      <w:r w:rsidR="003A1B57" w:rsidRPr="00497EE9">
        <w:t xml:space="preserve">citado </w:t>
      </w:r>
      <w:r w:rsidRPr="00497EE9">
        <w:t xml:space="preserve">artículo 385 del </w:t>
      </w:r>
      <w:proofErr w:type="spellStart"/>
      <w:r w:rsidRPr="00497EE9">
        <w:t>CPP</w:t>
      </w:r>
      <w:proofErr w:type="spellEnd"/>
      <w:r w:rsidR="00777371" w:rsidRPr="00497EE9">
        <w:t>.</w:t>
      </w:r>
    </w:p>
    <w:p w:rsidR="00777371" w:rsidRPr="00497EE9" w:rsidRDefault="00777371" w:rsidP="00963EA6">
      <w:pPr>
        <w:pStyle w:val="Sinespaciado"/>
      </w:pPr>
    </w:p>
    <w:p w:rsidR="005C3460" w:rsidRPr="00497EE9" w:rsidRDefault="003A1B57" w:rsidP="00963EA6">
      <w:pPr>
        <w:pStyle w:val="Sinespaciado"/>
        <w:numPr>
          <w:ilvl w:val="0"/>
          <w:numId w:val="21"/>
        </w:numPr>
      </w:pPr>
      <w:r w:rsidRPr="00497EE9">
        <w:t xml:space="preserve">Hizo referencia al </w:t>
      </w:r>
      <w:r w:rsidR="00222F7D" w:rsidRPr="00497EE9">
        <w:t>numeral 1° del artículo 345 de la ley 906 de 2004, señalando que dicha causal de restricción de descubrimiento probatorio se a</w:t>
      </w:r>
      <w:r w:rsidR="006E27DC" w:rsidRPr="00497EE9">
        <w:t xml:space="preserve">decuaba a la </w:t>
      </w:r>
      <w:r w:rsidR="00777371" w:rsidRPr="00497EE9">
        <w:t xml:space="preserve">situación de la </w:t>
      </w:r>
      <w:r w:rsidR="009D3BB4" w:rsidRPr="00497EE9">
        <w:t>“</w:t>
      </w:r>
      <w:r w:rsidR="00307E37" w:rsidRPr="00497EE9">
        <w:t>fuente humana</w:t>
      </w:r>
      <w:r w:rsidR="000B2B60" w:rsidRPr="00497EE9">
        <w:t>”</w:t>
      </w:r>
      <w:r w:rsidR="00777371" w:rsidRPr="00497EE9">
        <w:t xml:space="preserve">, frente a la cual pidió reserva la delegada de la </w:t>
      </w:r>
      <w:proofErr w:type="spellStart"/>
      <w:r w:rsidR="00777371" w:rsidRPr="00497EE9">
        <w:t>FGN</w:t>
      </w:r>
      <w:proofErr w:type="spellEnd"/>
      <w:r w:rsidR="00777371" w:rsidRPr="00497EE9">
        <w:t>.</w:t>
      </w:r>
    </w:p>
    <w:p w:rsidR="00307E37" w:rsidRPr="00497EE9" w:rsidRDefault="00307E37" w:rsidP="00963EA6">
      <w:pPr>
        <w:pStyle w:val="Sinespaciado"/>
      </w:pPr>
    </w:p>
    <w:p w:rsidR="00307E37" w:rsidRPr="00497EE9" w:rsidRDefault="00307E37" w:rsidP="00963EA6">
      <w:pPr>
        <w:pStyle w:val="Sinespaciado"/>
        <w:numPr>
          <w:ilvl w:val="0"/>
          <w:numId w:val="21"/>
        </w:numPr>
      </w:pPr>
      <w:r w:rsidRPr="00497EE9">
        <w:t xml:space="preserve">En consecuencia </w:t>
      </w:r>
      <w:r w:rsidR="000B2B60" w:rsidRPr="00497EE9">
        <w:t xml:space="preserve">no </w:t>
      </w:r>
      <w:r w:rsidRPr="00497EE9">
        <w:t>accedió al pedimento de</w:t>
      </w:r>
      <w:r w:rsidR="00777371" w:rsidRPr="00497EE9">
        <w:t>l defensor, que apeló esa determinación.</w:t>
      </w:r>
      <w:r w:rsidRPr="00497EE9">
        <w:t xml:space="preserve"> </w:t>
      </w:r>
    </w:p>
    <w:p w:rsidR="00307E37" w:rsidRPr="00497EE9" w:rsidRDefault="00307E37" w:rsidP="00963EA6">
      <w:pPr>
        <w:pStyle w:val="Sinespaciado"/>
      </w:pPr>
    </w:p>
    <w:p w:rsidR="00EC21AE" w:rsidRPr="00497EE9" w:rsidRDefault="00EC21AE" w:rsidP="00963EA6">
      <w:pPr>
        <w:pStyle w:val="Sinespaciado"/>
      </w:pPr>
    </w:p>
    <w:p w:rsidR="00222F7D" w:rsidRPr="00497EE9" w:rsidRDefault="006E27DC" w:rsidP="00963EA6">
      <w:pPr>
        <w:pStyle w:val="Sinespaciado"/>
      </w:pPr>
      <w:r w:rsidRPr="00497EE9">
        <w:t xml:space="preserve">5. </w:t>
      </w:r>
      <w:r w:rsidR="000B2B60" w:rsidRPr="00497EE9">
        <w:t xml:space="preserve">SOBRE EL </w:t>
      </w:r>
      <w:r w:rsidR="00EC21AE" w:rsidRPr="00497EE9">
        <w:t>RECURSO INTERPUESTO</w:t>
      </w:r>
    </w:p>
    <w:p w:rsidR="00EC21AE" w:rsidRPr="00497EE9" w:rsidRDefault="00EC21AE" w:rsidP="00963EA6">
      <w:pPr>
        <w:pStyle w:val="Sinespaciado"/>
      </w:pPr>
    </w:p>
    <w:p w:rsidR="000B430E" w:rsidRPr="00497EE9" w:rsidRDefault="006E27DC" w:rsidP="00963EA6">
      <w:pPr>
        <w:pStyle w:val="Sinespaciado"/>
      </w:pPr>
      <w:r w:rsidRPr="00497EE9">
        <w:t xml:space="preserve">5.1 </w:t>
      </w:r>
      <w:r w:rsidR="000B430E" w:rsidRPr="00497EE9">
        <w:t>Defens</w:t>
      </w:r>
      <w:r w:rsidR="000B2B60" w:rsidRPr="00497EE9">
        <w:t xml:space="preserve">or </w:t>
      </w:r>
      <w:r w:rsidR="000B430E" w:rsidRPr="00497EE9">
        <w:t>(recurrente)</w:t>
      </w:r>
    </w:p>
    <w:p w:rsidR="000B2B60" w:rsidRPr="00497EE9" w:rsidRDefault="000B2B60" w:rsidP="00963EA6">
      <w:pPr>
        <w:pStyle w:val="Sinespaciado"/>
      </w:pPr>
    </w:p>
    <w:p w:rsidR="000B2B60" w:rsidRPr="00497EE9" w:rsidRDefault="000B2B60" w:rsidP="00963EA6">
      <w:pPr>
        <w:pStyle w:val="Sinespaciado"/>
      </w:pPr>
      <w:r w:rsidRPr="00497EE9">
        <w:t>S</w:t>
      </w:r>
      <w:r w:rsidR="009D3BB4" w:rsidRPr="00497EE9">
        <w:t xml:space="preserve">inopsis: </w:t>
      </w:r>
    </w:p>
    <w:p w:rsidR="000B430E" w:rsidRPr="00497EE9" w:rsidRDefault="000B430E" w:rsidP="00963EA6">
      <w:pPr>
        <w:pStyle w:val="Sinespaciado"/>
      </w:pPr>
    </w:p>
    <w:p w:rsidR="0016273D" w:rsidRPr="00497EE9" w:rsidRDefault="00EC21AE" w:rsidP="00963EA6">
      <w:pPr>
        <w:pStyle w:val="Sinespaciado"/>
        <w:numPr>
          <w:ilvl w:val="0"/>
          <w:numId w:val="21"/>
        </w:numPr>
      </w:pPr>
      <w:r w:rsidRPr="00497EE9">
        <w:t xml:space="preserve">No comparte la interpretación realizada por el </w:t>
      </w:r>
      <w:r w:rsidRPr="00497EE9">
        <w:rPr>
          <w:i/>
        </w:rPr>
        <w:t>A quo</w:t>
      </w:r>
      <w:r w:rsidRPr="00497EE9">
        <w:t xml:space="preserve"> </w:t>
      </w:r>
      <w:r w:rsidR="000B2B60" w:rsidRPr="00497EE9">
        <w:t xml:space="preserve">sobre el </w:t>
      </w:r>
      <w:r w:rsidRPr="00497EE9">
        <w:t xml:space="preserve">contenido del artículo 385 del </w:t>
      </w:r>
      <w:proofErr w:type="spellStart"/>
      <w:r w:rsidRPr="00497EE9">
        <w:t>CPP</w:t>
      </w:r>
      <w:proofErr w:type="spellEnd"/>
      <w:r w:rsidRPr="00497EE9">
        <w:t xml:space="preserve">, ya que a su modo de ver </w:t>
      </w:r>
      <w:r w:rsidR="0016273D" w:rsidRPr="00497EE9">
        <w:t xml:space="preserve">en el presente caso no se trata de </w:t>
      </w:r>
      <w:r w:rsidR="00777371" w:rsidRPr="00497EE9">
        <w:t xml:space="preserve">la reserva de </w:t>
      </w:r>
      <w:r w:rsidR="0016273D" w:rsidRPr="00497EE9">
        <w:t xml:space="preserve">una </w:t>
      </w:r>
      <w:r w:rsidR="009D3BB4" w:rsidRPr="00497EE9">
        <w:t>“</w:t>
      </w:r>
      <w:r w:rsidR="0016273D" w:rsidRPr="00497EE9">
        <w:t>fuente humana</w:t>
      </w:r>
      <w:r w:rsidR="009D3BB4" w:rsidRPr="00497EE9">
        <w:t>”</w:t>
      </w:r>
      <w:r w:rsidR="0016273D" w:rsidRPr="00497EE9">
        <w:t xml:space="preserve"> de un investigador, sino que existe una entrevista</w:t>
      </w:r>
      <w:r w:rsidR="0087156D" w:rsidRPr="00497EE9">
        <w:t xml:space="preserve"> que </w:t>
      </w:r>
      <w:r w:rsidR="0016273D" w:rsidRPr="00497EE9">
        <w:t xml:space="preserve">tiene un valor probatorio y que no satisface los requisitos de los artículos </w:t>
      </w:r>
      <w:r w:rsidR="00777371" w:rsidRPr="00497EE9">
        <w:t xml:space="preserve">345 y 385 del </w:t>
      </w:r>
      <w:r w:rsidR="0016273D" w:rsidRPr="00497EE9">
        <w:t xml:space="preserve"> </w:t>
      </w:r>
      <w:proofErr w:type="spellStart"/>
      <w:r w:rsidR="0016273D" w:rsidRPr="00497EE9">
        <w:t>CPP</w:t>
      </w:r>
      <w:proofErr w:type="spellEnd"/>
      <w:r w:rsidR="00777371" w:rsidRPr="00497EE9">
        <w:t>, sobre limitaciones al descubrimiento probatorio, aduciendo mot</w:t>
      </w:r>
      <w:r w:rsidR="009D3BB4" w:rsidRPr="00497EE9">
        <w:t>ivos de</w:t>
      </w:r>
      <w:r w:rsidR="00777371" w:rsidRPr="00497EE9">
        <w:t xml:space="preserve"> segur</w:t>
      </w:r>
      <w:r w:rsidR="003A1B57" w:rsidRPr="00497EE9">
        <w:t xml:space="preserve">idad como los expuestos por la delegada de la </w:t>
      </w:r>
      <w:proofErr w:type="spellStart"/>
      <w:r w:rsidR="003A1B57" w:rsidRPr="00497EE9">
        <w:t>FGN</w:t>
      </w:r>
      <w:proofErr w:type="spellEnd"/>
      <w:r w:rsidR="003A1B57" w:rsidRPr="00497EE9">
        <w:t>.</w:t>
      </w:r>
      <w:r w:rsidR="0016273D" w:rsidRPr="00497EE9">
        <w:t xml:space="preserve"> </w:t>
      </w:r>
    </w:p>
    <w:p w:rsidR="0016273D" w:rsidRPr="00497EE9" w:rsidRDefault="0016273D" w:rsidP="00963EA6">
      <w:pPr>
        <w:pStyle w:val="Sinespaciado"/>
      </w:pPr>
    </w:p>
    <w:p w:rsidR="0087156D" w:rsidRPr="00497EE9" w:rsidRDefault="005864BE" w:rsidP="00963EA6">
      <w:pPr>
        <w:pStyle w:val="Sinespaciado"/>
        <w:numPr>
          <w:ilvl w:val="0"/>
          <w:numId w:val="21"/>
        </w:numPr>
      </w:pPr>
      <w:r w:rsidRPr="00497EE9">
        <w:t xml:space="preserve">Se puede pensar que existe una restricción </w:t>
      </w:r>
      <w:r w:rsidR="0036544F" w:rsidRPr="00497EE9">
        <w:t xml:space="preserve">para el descubrimiento de esa evidencia, tal y como se indica en el </w:t>
      </w:r>
      <w:r w:rsidRPr="00497EE9">
        <w:t>artículo 345 numeral 4</w:t>
      </w:r>
      <w:r w:rsidR="0087156D" w:rsidRPr="00497EE9">
        <w:t xml:space="preserve">º </w:t>
      </w:r>
      <w:r w:rsidRPr="00497EE9">
        <w:t>del PP. Sin embargo, la</w:t>
      </w:r>
      <w:r w:rsidR="003A1B57" w:rsidRPr="00497EE9">
        <w:t xml:space="preserve"> fisca</w:t>
      </w:r>
      <w:r w:rsidR="009D3BB4" w:rsidRPr="00497EE9">
        <w:t>l expuso que no suministraba el</w:t>
      </w:r>
      <w:r w:rsidRPr="00497EE9">
        <w:t xml:space="preserve"> nombre de la fuente humana por razones de seguridad, situación frente a la cual existen dos alternativas: i) la prevista en el parágrafo del artículo </w:t>
      </w:r>
      <w:r w:rsidR="009D3E21" w:rsidRPr="00497EE9">
        <w:t xml:space="preserve">345 del </w:t>
      </w:r>
      <w:proofErr w:type="spellStart"/>
      <w:r w:rsidR="009D3E21" w:rsidRPr="00497EE9">
        <w:t>CPP</w:t>
      </w:r>
      <w:proofErr w:type="spellEnd"/>
      <w:r w:rsidR="009D3E21" w:rsidRPr="00497EE9">
        <w:t xml:space="preserve">, es decir que con el testigo o con la entrevista que la </w:t>
      </w:r>
      <w:proofErr w:type="spellStart"/>
      <w:r w:rsidR="009D3E21" w:rsidRPr="00497EE9">
        <w:t>FGN</w:t>
      </w:r>
      <w:proofErr w:type="spellEnd"/>
      <w:r w:rsidR="009D3E21" w:rsidRPr="00497EE9">
        <w:t xml:space="preserve"> pretende llevar a juicio, se pued</w:t>
      </w:r>
      <w:r w:rsidR="0087156D" w:rsidRPr="00497EE9">
        <w:t xml:space="preserve">a </w:t>
      </w:r>
      <w:r w:rsidR="009D3E21" w:rsidRPr="00497EE9">
        <w:t xml:space="preserve">escuchar </w:t>
      </w:r>
      <w:r w:rsidR="00267FB1" w:rsidRPr="00497EE9">
        <w:t xml:space="preserve">a la </w:t>
      </w:r>
      <w:r w:rsidR="0087156D" w:rsidRPr="00497EE9">
        <w:t>“</w:t>
      </w:r>
      <w:r w:rsidR="00267FB1" w:rsidRPr="00497EE9">
        <w:t>fuente humana</w:t>
      </w:r>
      <w:r w:rsidR="0087156D" w:rsidRPr="00497EE9">
        <w:t xml:space="preserve">” </w:t>
      </w:r>
      <w:r w:rsidR="00267FB1" w:rsidRPr="00497EE9">
        <w:t>haciendo caso a</w:t>
      </w:r>
      <w:r w:rsidR="009D3E21" w:rsidRPr="00497EE9">
        <w:t xml:space="preserve"> la reserva </w:t>
      </w:r>
      <w:r w:rsidR="00267FB1" w:rsidRPr="00497EE9">
        <w:t>a la</w:t>
      </w:r>
      <w:r w:rsidR="00D134EA" w:rsidRPr="00497EE9">
        <w:t xml:space="preserve"> que hace referencia esa norma; ii) como </w:t>
      </w:r>
      <w:r w:rsidR="007744BD" w:rsidRPr="00497EE9">
        <w:t xml:space="preserve">no existen evidencias que indiquen que la </w:t>
      </w:r>
      <w:r w:rsidR="0087156D" w:rsidRPr="00497EE9">
        <w:t>“</w:t>
      </w:r>
      <w:r w:rsidR="007744BD" w:rsidRPr="00497EE9">
        <w:t>fuente humana</w:t>
      </w:r>
      <w:r w:rsidR="009D3BB4" w:rsidRPr="00497EE9">
        <w:t>”</w:t>
      </w:r>
      <w:r w:rsidR="007744BD" w:rsidRPr="00497EE9">
        <w:t xml:space="preserve"> </w:t>
      </w:r>
      <w:r w:rsidR="007663B8" w:rsidRPr="00497EE9">
        <w:t xml:space="preserve">puede </w:t>
      </w:r>
      <w:r w:rsidR="007744BD" w:rsidRPr="00497EE9">
        <w:t>corre</w:t>
      </w:r>
      <w:r w:rsidR="009D3BB4" w:rsidRPr="00497EE9">
        <w:t>r peligro,</w:t>
      </w:r>
      <w:r w:rsidR="0087156D" w:rsidRPr="00497EE9">
        <w:t xml:space="preserve"> se trata de </w:t>
      </w:r>
      <w:r w:rsidR="007744BD" w:rsidRPr="00497EE9">
        <w:t xml:space="preserve">simples conjeturas realizadas por la delegada del entre </w:t>
      </w:r>
      <w:r w:rsidR="00D134EA" w:rsidRPr="00497EE9">
        <w:t xml:space="preserve">investigador, </w:t>
      </w:r>
      <w:r w:rsidR="0087156D" w:rsidRPr="00497EE9">
        <w:t>e incl</w:t>
      </w:r>
      <w:r w:rsidR="009D3BB4" w:rsidRPr="00497EE9">
        <w:t>uso de existir evidencia en ese</w:t>
      </w:r>
      <w:r w:rsidR="007744BD" w:rsidRPr="00497EE9">
        <w:t xml:space="preserve"> sentido, se debe tener en </w:t>
      </w:r>
      <w:r w:rsidR="009D3BB4" w:rsidRPr="00497EE9">
        <w:t>presente</w:t>
      </w:r>
      <w:r w:rsidR="007744BD" w:rsidRPr="00497EE9">
        <w:t xml:space="preserve"> que </w:t>
      </w:r>
      <w:r w:rsidR="0036544F" w:rsidRPr="00497EE9">
        <w:t xml:space="preserve">la </w:t>
      </w:r>
      <w:proofErr w:type="spellStart"/>
      <w:r w:rsidR="0036544F" w:rsidRPr="00497EE9">
        <w:t>FGN</w:t>
      </w:r>
      <w:proofErr w:type="spellEnd"/>
      <w:r w:rsidR="0036544F" w:rsidRPr="00497EE9">
        <w:t xml:space="preserve"> </w:t>
      </w:r>
      <w:r w:rsidR="00D134EA" w:rsidRPr="00497EE9">
        <w:t>cuenta con</w:t>
      </w:r>
      <w:r w:rsidR="007744BD" w:rsidRPr="00497EE9">
        <w:t xml:space="preserve"> </w:t>
      </w:r>
      <w:r w:rsidR="003A1B57" w:rsidRPr="00497EE9">
        <w:t>el</w:t>
      </w:r>
      <w:r w:rsidR="007744BD" w:rsidRPr="00497EE9">
        <w:t xml:space="preserve"> programa de </w:t>
      </w:r>
      <w:r w:rsidR="007663B8" w:rsidRPr="00497EE9">
        <w:t>P</w:t>
      </w:r>
      <w:r w:rsidR="007744BD" w:rsidRPr="00497EE9">
        <w:t xml:space="preserve">rotección de </w:t>
      </w:r>
      <w:r w:rsidR="007663B8" w:rsidRPr="00497EE9">
        <w:t>V</w:t>
      </w:r>
      <w:r w:rsidR="007744BD" w:rsidRPr="00497EE9">
        <w:t xml:space="preserve">íctimas y </w:t>
      </w:r>
      <w:r w:rsidR="007663B8" w:rsidRPr="00497EE9">
        <w:t>T</w:t>
      </w:r>
      <w:r w:rsidR="007744BD" w:rsidRPr="00497EE9">
        <w:t xml:space="preserve">estigos, que </w:t>
      </w:r>
      <w:r w:rsidR="0087156D" w:rsidRPr="00497EE9">
        <w:t xml:space="preserve">puede ser usado </w:t>
      </w:r>
      <w:r w:rsidR="007663B8" w:rsidRPr="00497EE9">
        <w:t xml:space="preserve">en este caso </w:t>
      </w:r>
      <w:r w:rsidR="0087156D" w:rsidRPr="00497EE9">
        <w:t>para proteger al informante.</w:t>
      </w:r>
    </w:p>
    <w:p w:rsidR="0087156D" w:rsidRPr="00497EE9" w:rsidRDefault="0087156D" w:rsidP="002E7B79">
      <w:pPr>
        <w:numPr>
          <w:ilvl w:val="0"/>
          <w:numId w:val="0"/>
        </w:numPr>
        <w:spacing w:line="240" w:lineRule="auto"/>
        <w:rPr>
          <w:rFonts w:ascii="Arial" w:hAnsi="Arial" w:cs="Arial"/>
          <w:sz w:val="24"/>
          <w:szCs w:val="24"/>
        </w:rPr>
      </w:pPr>
    </w:p>
    <w:p w:rsidR="00D134EA" w:rsidRPr="00497EE9" w:rsidRDefault="009D3BB4" w:rsidP="00963EA6">
      <w:pPr>
        <w:pStyle w:val="Sinespaciado"/>
        <w:numPr>
          <w:ilvl w:val="0"/>
          <w:numId w:val="21"/>
        </w:numPr>
      </w:pPr>
      <w:r w:rsidRPr="00497EE9">
        <w:t>La</w:t>
      </w:r>
      <w:r w:rsidR="00D134EA" w:rsidRPr="00497EE9">
        <w:t xml:space="preserve"> </w:t>
      </w:r>
      <w:proofErr w:type="spellStart"/>
      <w:r w:rsidR="00D134EA" w:rsidRPr="00497EE9">
        <w:t>FGN</w:t>
      </w:r>
      <w:proofErr w:type="spellEnd"/>
      <w:r w:rsidR="00D134EA" w:rsidRPr="00497EE9">
        <w:t xml:space="preserve"> </w:t>
      </w:r>
      <w:r w:rsidR="0087156D" w:rsidRPr="00497EE9">
        <w:t xml:space="preserve">quiere </w:t>
      </w:r>
      <w:r w:rsidR="007663B8" w:rsidRPr="00497EE9">
        <w:t>reservarse la</w:t>
      </w:r>
      <w:r w:rsidR="003A1B57" w:rsidRPr="00497EE9">
        <w:t xml:space="preserve"> </w:t>
      </w:r>
      <w:r w:rsidR="00D134EA" w:rsidRPr="00497EE9">
        <w:t xml:space="preserve">entrevista de la </w:t>
      </w:r>
      <w:r w:rsidR="0087156D" w:rsidRPr="00497EE9">
        <w:t>“</w:t>
      </w:r>
      <w:r w:rsidR="00D134EA" w:rsidRPr="00497EE9">
        <w:t>fuente humana</w:t>
      </w:r>
      <w:r w:rsidR="0087156D" w:rsidRPr="00497EE9">
        <w:t>”</w:t>
      </w:r>
      <w:r w:rsidR="0036544F" w:rsidRPr="00497EE9">
        <w:t xml:space="preserve">, </w:t>
      </w:r>
      <w:r w:rsidR="0087156D" w:rsidRPr="00497EE9">
        <w:t xml:space="preserve">que viene a ser el </w:t>
      </w:r>
      <w:r w:rsidR="00D134EA" w:rsidRPr="00497EE9">
        <w:t>eje de la investigación y</w:t>
      </w:r>
      <w:r w:rsidRPr="00497EE9">
        <w:t xml:space="preserve"> si la</w:t>
      </w:r>
      <w:r w:rsidR="00D134EA" w:rsidRPr="00497EE9">
        <w:t xml:space="preserve"> defensa no pueda acceder a la misma</w:t>
      </w:r>
      <w:r w:rsidR="0087156D" w:rsidRPr="00497EE9">
        <w:t>, se vulnera</w:t>
      </w:r>
      <w:r w:rsidRPr="00497EE9">
        <w:t>rían las</w:t>
      </w:r>
      <w:r w:rsidR="0087156D" w:rsidRPr="00497EE9">
        <w:t xml:space="preserve"> garantías de su representado</w:t>
      </w:r>
      <w:r w:rsidR="007663B8" w:rsidRPr="00497EE9">
        <w:t xml:space="preserve"> en especial el derecho al debido proceso</w:t>
      </w:r>
      <w:r w:rsidR="003A1B57" w:rsidRPr="00497EE9">
        <w:t>.</w:t>
      </w:r>
      <w:r w:rsidR="00BC4371" w:rsidRPr="00497EE9">
        <w:t xml:space="preserve"> </w:t>
      </w:r>
    </w:p>
    <w:p w:rsidR="001E62E3" w:rsidRPr="00497EE9" w:rsidRDefault="001E62E3" w:rsidP="00963EA6">
      <w:pPr>
        <w:pStyle w:val="Sinespaciado"/>
      </w:pPr>
    </w:p>
    <w:p w:rsidR="0087156D" w:rsidRPr="00497EE9" w:rsidRDefault="00322AF4" w:rsidP="00963EA6">
      <w:pPr>
        <w:pStyle w:val="Sinespaciado"/>
        <w:numPr>
          <w:ilvl w:val="0"/>
          <w:numId w:val="21"/>
        </w:numPr>
      </w:pPr>
      <w:r w:rsidRPr="00497EE9">
        <w:t xml:space="preserve">El descubrimiento de la entrevista </w:t>
      </w:r>
      <w:r w:rsidR="0087156D" w:rsidRPr="00497EE9">
        <w:t xml:space="preserve">en mención no </w:t>
      </w:r>
      <w:r w:rsidR="009D3BB4" w:rsidRPr="00497EE9">
        <w:t>está</w:t>
      </w:r>
      <w:r w:rsidR="0087156D" w:rsidRPr="00497EE9">
        <w:t xml:space="preserve"> sometido a las </w:t>
      </w:r>
      <w:r w:rsidR="000B430E" w:rsidRPr="00497EE9">
        <w:t xml:space="preserve">restricciones previstas en el </w:t>
      </w:r>
      <w:r w:rsidRPr="00497EE9">
        <w:t xml:space="preserve">artículo 345 del </w:t>
      </w:r>
      <w:proofErr w:type="spellStart"/>
      <w:r w:rsidRPr="00497EE9">
        <w:t>CPP</w:t>
      </w:r>
      <w:proofErr w:type="spellEnd"/>
      <w:r w:rsidR="0087156D" w:rsidRPr="00497EE9">
        <w:t>.</w:t>
      </w:r>
    </w:p>
    <w:p w:rsidR="0087156D" w:rsidRPr="00497EE9" w:rsidRDefault="0087156D" w:rsidP="002E7B79">
      <w:pPr>
        <w:pStyle w:val="Prrafodelista"/>
        <w:numPr>
          <w:ilvl w:val="0"/>
          <w:numId w:val="0"/>
        </w:numPr>
        <w:spacing w:line="240" w:lineRule="auto"/>
        <w:rPr>
          <w:rFonts w:ascii="Arial" w:hAnsi="Arial" w:cs="Arial"/>
          <w:sz w:val="24"/>
          <w:szCs w:val="24"/>
        </w:rPr>
      </w:pPr>
    </w:p>
    <w:p w:rsidR="001E62E3" w:rsidRPr="00497EE9" w:rsidRDefault="0087156D" w:rsidP="00963EA6">
      <w:pPr>
        <w:pStyle w:val="Sinespaciado"/>
        <w:numPr>
          <w:ilvl w:val="0"/>
          <w:numId w:val="21"/>
        </w:numPr>
      </w:pPr>
      <w:r w:rsidRPr="00497EE9">
        <w:t xml:space="preserve">Por lo </w:t>
      </w:r>
      <w:r w:rsidR="009D3BB4" w:rsidRPr="00497EE9">
        <w:t>t</w:t>
      </w:r>
      <w:r w:rsidR="00322AF4" w:rsidRPr="00497EE9">
        <w:t>anto solicitó que se revoca</w:t>
      </w:r>
      <w:r w:rsidR="008D2EE8" w:rsidRPr="00497EE9">
        <w:t xml:space="preserve">ra la decisión de primer nivel y </w:t>
      </w:r>
      <w:r w:rsidR="007663B8" w:rsidRPr="00497EE9">
        <w:t xml:space="preserve">que </w:t>
      </w:r>
      <w:r w:rsidR="008D2EE8" w:rsidRPr="00497EE9">
        <w:t xml:space="preserve">en su lugar se </w:t>
      </w:r>
      <w:r w:rsidR="009D3BB4" w:rsidRPr="00497EE9">
        <w:t>ordenara a la</w:t>
      </w:r>
      <w:r w:rsidR="008D2EE8" w:rsidRPr="00497EE9">
        <w:t xml:space="preserve"> </w:t>
      </w:r>
      <w:proofErr w:type="spellStart"/>
      <w:r w:rsidR="008D2EE8" w:rsidRPr="00497EE9">
        <w:t>FGN</w:t>
      </w:r>
      <w:proofErr w:type="spellEnd"/>
      <w:r w:rsidR="008D2EE8" w:rsidRPr="00497EE9">
        <w:t xml:space="preserve"> </w:t>
      </w:r>
      <w:r w:rsidR="007663B8" w:rsidRPr="00497EE9">
        <w:t xml:space="preserve">que </w:t>
      </w:r>
      <w:r w:rsidR="008D2EE8" w:rsidRPr="00497EE9">
        <w:t>hiciera entrega de la</w:t>
      </w:r>
      <w:r w:rsidRPr="00497EE9">
        <w:t xml:space="preserve"> información </w:t>
      </w:r>
      <w:r w:rsidR="009D3BB4" w:rsidRPr="00497EE9">
        <w:t>relativa a la identidad de la “</w:t>
      </w:r>
      <w:r w:rsidR="008D2EE8" w:rsidRPr="00497EE9">
        <w:t>fuente humana</w:t>
      </w:r>
      <w:r w:rsidRPr="00497EE9">
        <w:t xml:space="preserve">” </w:t>
      </w:r>
      <w:r w:rsidR="008D2EE8" w:rsidRPr="00497EE9">
        <w:t xml:space="preserve">respecto a la cual </w:t>
      </w:r>
      <w:r w:rsidR="009D3BB4" w:rsidRPr="00497EE9">
        <w:t>como defensor, se</w:t>
      </w:r>
      <w:r w:rsidR="008D2EE8" w:rsidRPr="00497EE9">
        <w:t xml:space="preserve"> compromete a guardar la reserva de ley. </w:t>
      </w:r>
    </w:p>
    <w:p w:rsidR="008D2EE8" w:rsidRPr="00497EE9" w:rsidRDefault="008D2EE8" w:rsidP="00963EA6">
      <w:pPr>
        <w:pStyle w:val="Sinespaciado"/>
      </w:pPr>
    </w:p>
    <w:p w:rsidR="00322AF4" w:rsidRPr="00497EE9" w:rsidRDefault="0036544F" w:rsidP="00963EA6">
      <w:pPr>
        <w:pStyle w:val="Sinespaciado"/>
      </w:pPr>
      <w:r w:rsidRPr="00497EE9">
        <w:t xml:space="preserve">5.2 </w:t>
      </w:r>
      <w:r w:rsidR="003D62B1" w:rsidRPr="00497EE9">
        <w:t xml:space="preserve">Delegada de la </w:t>
      </w:r>
      <w:proofErr w:type="spellStart"/>
      <w:r w:rsidR="003D62B1" w:rsidRPr="00497EE9">
        <w:t>FGN</w:t>
      </w:r>
      <w:proofErr w:type="spellEnd"/>
      <w:r w:rsidR="003D62B1" w:rsidRPr="00497EE9">
        <w:t xml:space="preserve"> </w:t>
      </w:r>
      <w:r w:rsidR="000B430E" w:rsidRPr="00497EE9">
        <w:t>(no recurrente)</w:t>
      </w:r>
    </w:p>
    <w:p w:rsidR="00BC4371" w:rsidRPr="00497EE9" w:rsidRDefault="00BC4371" w:rsidP="00963EA6">
      <w:pPr>
        <w:pStyle w:val="Sinespaciado"/>
      </w:pPr>
    </w:p>
    <w:p w:rsidR="009D3BB4" w:rsidRPr="00497EE9" w:rsidRDefault="0087156D" w:rsidP="00963EA6">
      <w:pPr>
        <w:pStyle w:val="Sinespaciado"/>
      </w:pPr>
      <w:r w:rsidRPr="00497EE9">
        <w:t xml:space="preserve">Sinopsis: </w:t>
      </w:r>
    </w:p>
    <w:p w:rsidR="009D3BB4" w:rsidRPr="00497EE9" w:rsidRDefault="009D3BB4" w:rsidP="00963EA6">
      <w:pPr>
        <w:pStyle w:val="Sinespaciado"/>
      </w:pPr>
    </w:p>
    <w:p w:rsidR="000F1AE7" w:rsidRPr="00497EE9" w:rsidRDefault="007663B8" w:rsidP="00963EA6">
      <w:pPr>
        <w:pStyle w:val="Sinespaciado"/>
        <w:numPr>
          <w:ilvl w:val="0"/>
          <w:numId w:val="21"/>
        </w:numPr>
      </w:pPr>
      <w:r w:rsidRPr="00497EE9">
        <w:t xml:space="preserve">El </w:t>
      </w:r>
      <w:r w:rsidR="00015E07" w:rsidRPr="00497EE9">
        <w:t xml:space="preserve">artículo 345 del </w:t>
      </w:r>
      <w:proofErr w:type="spellStart"/>
      <w:r w:rsidR="00015E07" w:rsidRPr="00497EE9">
        <w:t>CPP</w:t>
      </w:r>
      <w:proofErr w:type="spellEnd"/>
      <w:r w:rsidR="00015E07" w:rsidRPr="00497EE9">
        <w:t xml:space="preserve"> hace referencia a </w:t>
      </w:r>
      <w:r w:rsidR="000F1AE7" w:rsidRPr="00497EE9">
        <w:t>las restricciones</w:t>
      </w:r>
      <w:r w:rsidR="00015E07" w:rsidRPr="00497EE9">
        <w:t xml:space="preserve"> </w:t>
      </w:r>
      <w:r w:rsidRPr="00497EE9">
        <w:t>al</w:t>
      </w:r>
      <w:r w:rsidR="00015E07" w:rsidRPr="00497EE9">
        <w:t xml:space="preserve"> descubrimiento probatorio</w:t>
      </w:r>
      <w:r w:rsidR="00031F49" w:rsidRPr="00497EE9">
        <w:t>. Por lo tanto no se</w:t>
      </w:r>
      <w:r w:rsidR="00015E07" w:rsidRPr="00497EE9">
        <w:t xml:space="preserve"> </w:t>
      </w:r>
      <w:r w:rsidRPr="00497EE9">
        <w:t xml:space="preserve">puede </w:t>
      </w:r>
      <w:r w:rsidR="00015E07" w:rsidRPr="00497EE9">
        <w:t xml:space="preserve">obligar a la </w:t>
      </w:r>
      <w:proofErr w:type="spellStart"/>
      <w:r w:rsidR="00015E07" w:rsidRPr="00497EE9">
        <w:t>FGN</w:t>
      </w:r>
      <w:proofErr w:type="spellEnd"/>
      <w:r w:rsidR="00015E07" w:rsidRPr="00497EE9">
        <w:t xml:space="preserve"> a descubrir un documento</w:t>
      </w:r>
      <w:r w:rsidR="00031F49" w:rsidRPr="00497EE9">
        <w:t xml:space="preserve"> o información</w:t>
      </w:r>
      <w:r w:rsidR="00015E07" w:rsidRPr="00497EE9">
        <w:t xml:space="preserve"> </w:t>
      </w:r>
      <w:r w:rsidRPr="00497EE9">
        <w:t>reservada,</w:t>
      </w:r>
      <w:r w:rsidR="000F1AE7" w:rsidRPr="00497EE9">
        <w:t xml:space="preserve"> ya que se pondría en evidente peligro la vida de una persona.  </w:t>
      </w:r>
    </w:p>
    <w:p w:rsidR="000F1AE7" w:rsidRPr="00497EE9" w:rsidRDefault="000F1AE7" w:rsidP="00963EA6">
      <w:pPr>
        <w:pStyle w:val="Sinespaciado"/>
      </w:pPr>
    </w:p>
    <w:p w:rsidR="00F96ACF" w:rsidRPr="00497EE9" w:rsidRDefault="005729D7" w:rsidP="00963EA6">
      <w:pPr>
        <w:pStyle w:val="Sinespaciado"/>
        <w:numPr>
          <w:ilvl w:val="0"/>
          <w:numId w:val="21"/>
        </w:numPr>
      </w:pPr>
      <w:r w:rsidRPr="00497EE9">
        <w:t xml:space="preserve">Como delegada de la </w:t>
      </w:r>
      <w:proofErr w:type="spellStart"/>
      <w:r w:rsidRPr="00497EE9">
        <w:t>FGN</w:t>
      </w:r>
      <w:proofErr w:type="spellEnd"/>
      <w:r w:rsidRPr="00497EE9">
        <w:t xml:space="preserve"> </w:t>
      </w:r>
      <w:r w:rsidR="007663B8" w:rsidRPr="00497EE9">
        <w:t>h</w:t>
      </w:r>
      <w:r w:rsidR="000F1AE7" w:rsidRPr="00497EE9">
        <w:t>izo el descubrimiento del</w:t>
      </w:r>
      <w:r w:rsidR="000F1AE7" w:rsidRPr="00497EE9">
        <w:rPr>
          <w:i/>
        </w:rPr>
        <w:t xml:space="preserve"> </w:t>
      </w:r>
      <w:r w:rsidR="00031F49" w:rsidRPr="00497EE9">
        <w:rPr>
          <w:i/>
        </w:rPr>
        <w:t>“</w:t>
      </w:r>
      <w:r w:rsidR="000F1AE7" w:rsidRPr="00497EE9">
        <w:rPr>
          <w:i/>
        </w:rPr>
        <w:t>formato de fuente no formal</w:t>
      </w:r>
      <w:r w:rsidR="007663B8" w:rsidRPr="00497EE9">
        <w:t xml:space="preserve">” </w:t>
      </w:r>
      <w:r w:rsidR="000F1AE7" w:rsidRPr="00497EE9">
        <w:t xml:space="preserve">donde se describen las circunstancias de tiempo, modo y lugar, </w:t>
      </w:r>
      <w:r w:rsidR="00031F49" w:rsidRPr="00497EE9">
        <w:t>de los hechos,</w:t>
      </w:r>
      <w:r w:rsidR="003A1B57" w:rsidRPr="00497EE9">
        <w:t xml:space="preserve"> </w:t>
      </w:r>
      <w:r w:rsidR="000F1AE7" w:rsidRPr="00497EE9">
        <w:t>en el que</w:t>
      </w:r>
      <w:r w:rsidR="00031F49" w:rsidRPr="00497EE9">
        <w:t xml:space="preserve"> solo</w:t>
      </w:r>
      <w:r w:rsidR="000F1AE7" w:rsidRPr="00497EE9">
        <w:t xml:space="preserve"> se omite la ide</w:t>
      </w:r>
      <w:r w:rsidR="00F96ACF" w:rsidRPr="00497EE9">
        <w:t>ntificación de la fuente</w:t>
      </w:r>
      <w:r w:rsidR="003A1B57" w:rsidRPr="00497EE9">
        <w:t xml:space="preserve">, con lo </w:t>
      </w:r>
      <w:r w:rsidR="00F96ACF" w:rsidRPr="00497EE9">
        <w:t xml:space="preserve">cual la defensa podría absolver las dudas que </w:t>
      </w:r>
      <w:r w:rsidR="003A1B57" w:rsidRPr="00497EE9">
        <w:t xml:space="preserve">se le puedan </w:t>
      </w:r>
      <w:r w:rsidR="00F96ACF" w:rsidRPr="00497EE9">
        <w:t xml:space="preserve">presentar. </w:t>
      </w:r>
    </w:p>
    <w:p w:rsidR="001A2F27" w:rsidRPr="00497EE9" w:rsidRDefault="001A2F27" w:rsidP="00963EA6">
      <w:pPr>
        <w:pStyle w:val="Sinespaciado"/>
      </w:pPr>
    </w:p>
    <w:p w:rsidR="00F96ACF" w:rsidRPr="00497EE9" w:rsidRDefault="00F96ACF" w:rsidP="00963EA6">
      <w:pPr>
        <w:pStyle w:val="Sinespaciado"/>
        <w:numPr>
          <w:ilvl w:val="0"/>
          <w:numId w:val="21"/>
        </w:numPr>
      </w:pPr>
      <w:r w:rsidRPr="00497EE9">
        <w:t xml:space="preserve">La </w:t>
      </w:r>
      <w:proofErr w:type="spellStart"/>
      <w:r w:rsidRPr="00497EE9">
        <w:t>FGN</w:t>
      </w:r>
      <w:proofErr w:type="spellEnd"/>
      <w:r w:rsidRPr="00497EE9">
        <w:t xml:space="preserve"> solo está </w:t>
      </w:r>
      <w:r w:rsidR="005729D7" w:rsidRPr="00497EE9">
        <w:t>reservando la identidad de la “</w:t>
      </w:r>
      <w:r w:rsidRPr="00497EE9">
        <w:t>fuente humana</w:t>
      </w:r>
      <w:r w:rsidR="005729D7" w:rsidRPr="00497EE9">
        <w:t>”</w:t>
      </w:r>
      <w:r w:rsidR="00031F49" w:rsidRPr="00497EE9">
        <w:t>,</w:t>
      </w:r>
      <w:r w:rsidRPr="00497EE9">
        <w:t xml:space="preserve"> en los términos del artículo 345 del </w:t>
      </w:r>
      <w:proofErr w:type="spellStart"/>
      <w:r w:rsidRPr="00497EE9">
        <w:t>CPP</w:t>
      </w:r>
      <w:proofErr w:type="spellEnd"/>
      <w:r w:rsidRPr="00497EE9">
        <w:t xml:space="preserve">. </w:t>
      </w:r>
    </w:p>
    <w:p w:rsidR="00F96ACF" w:rsidRPr="00497EE9" w:rsidRDefault="00F96ACF" w:rsidP="00963EA6">
      <w:pPr>
        <w:pStyle w:val="Sinespaciado"/>
      </w:pPr>
    </w:p>
    <w:p w:rsidR="00854F5D" w:rsidRPr="00497EE9" w:rsidRDefault="005729D7" w:rsidP="00963EA6">
      <w:pPr>
        <w:pStyle w:val="Sinespaciado"/>
        <w:numPr>
          <w:ilvl w:val="0"/>
          <w:numId w:val="21"/>
        </w:numPr>
      </w:pPr>
      <w:r w:rsidRPr="00497EE9">
        <w:lastRenderedPageBreak/>
        <w:t xml:space="preserve">No se debe </w:t>
      </w:r>
      <w:r w:rsidR="00657CD9" w:rsidRPr="00497EE9">
        <w:t>ordenar la e</w:t>
      </w:r>
      <w:r w:rsidRPr="00497EE9">
        <w:t>ntrega</w:t>
      </w:r>
      <w:r w:rsidR="00657CD9" w:rsidRPr="00497EE9">
        <w:t xml:space="preserve"> de </w:t>
      </w:r>
      <w:r w:rsidRPr="00497EE9">
        <w:t>la información pedida por la defensa,</w:t>
      </w:r>
      <w:r w:rsidR="00657CD9" w:rsidRPr="00497EE9">
        <w:t xml:space="preserve"> </w:t>
      </w:r>
      <w:r w:rsidR="00F96ACF" w:rsidRPr="00497EE9">
        <w:t xml:space="preserve">ya que la ley la obliga a salvaguardar los derechos de una persona </w:t>
      </w:r>
      <w:r w:rsidR="00091F13" w:rsidRPr="00497EE9">
        <w:t>que incluso es muy allegada a la familia de la procesada</w:t>
      </w:r>
      <w:r w:rsidRPr="00497EE9">
        <w:t xml:space="preserve">, </w:t>
      </w:r>
      <w:r w:rsidR="00854F5D" w:rsidRPr="00497EE9">
        <w:t xml:space="preserve">lo que genera </w:t>
      </w:r>
      <w:r w:rsidR="00091F13" w:rsidRPr="00497EE9">
        <w:t xml:space="preserve">peligro </w:t>
      </w:r>
      <w:r w:rsidR="00854F5D" w:rsidRPr="00497EE9">
        <w:t>para su vida</w:t>
      </w:r>
      <w:r w:rsidR="00657CD9" w:rsidRPr="00497EE9">
        <w:t>, aunque no se cuente con evidencias sobre ese estado de riesgo.</w:t>
      </w:r>
      <w:r w:rsidR="00854F5D" w:rsidRPr="00497EE9">
        <w:t xml:space="preserve"> </w:t>
      </w:r>
    </w:p>
    <w:p w:rsidR="00854F5D" w:rsidRPr="00497EE9" w:rsidRDefault="00854F5D" w:rsidP="00963EA6">
      <w:pPr>
        <w:pStyle w:val="Sinespaciado"/>
      </w:pPr>
    </w:p>
    <w:p w:rsidR="00A56E22" w:rsidRPr="00497EE9" w:rsidRDefault="000A0072" w:rsidP="00963EA6">
      <w:pPr>
        <w:pStyle w:val="Sinespaciado"/>
        <w:numPr>
          <w:ilvl w:val="0"/>
          <w:numId w:val="21"/>
        </w:numPr>
      </w:pPr>
      <w:r w:rsidRPr="00497EE9">
        <w:t xml:space="preserve">No se cuenta con la denuncia respectiva y la ley </w:t>
      </w:r>
      <w:r w:rsidR="00657CD9" w:rsidRPr="00497EE9">
        <w:t xml:space="preserve">no </w:t>
      </w:r>
      <w:r w:rsidRPr="00497EE9">
        <w:t xml:space="preserve">contempla tal exigencia, fuera de que existen unas excepciones al deber de denunciar, entre ellas la prevista en el literal h) </w:t>
      </w:r>
      <w:r w:rsidR="00031F49" w:rsidRPr="00497EE9">
        <w:t xml:space="preserve">del artículo 385 del </w:t>
      </w:r>
      <w:proofErr w:type="spellStart"/>
      <w:r w:rsidR="00031F49" w:rsidRPr="00497EE9">
        <w:t>CPP</w:t>
      </w:r>
      <w:proofErr w:type="spellEnd"/>
      <w:r w:rsidR="00031F49" w:rsidRPr="00497EE9">
        <w:t>,</w:t>
      </w:r>
      <w:r w:rsidRPr="00497EE9">
        <w:t xml:space="preserve"> </w:t>
      </w:r>
      <w:r w:rsidR="00A56E22" w:rsidRPr="00497EE9">
        <w:t xml:space="preserve">referente al investigador y </w:t>
      </w:r>
      <w:r w:rsidR="00657CD9" w:rsidRPr="00497EE9">
        <w:t xml:space="preserve">su </w:t>
      </w:r>
      <w:r w:rsidR="00A56E22" w:rsidRPr="00497EE9">
        <w:t xml:space="preserve">informante. </w:t>
      </w:r>
    </w:p>
    <w:p w:rsidR="002E5CF3" w:rsidRPr="00497EE9" w:rsidRDefault="002E5CF3" w:rsidP="00963EA6">
      <w:pPr>
        <w:pStyle w:val="Sinespaciado"/>
      </w:pPr>
    </w:p>
    <w:p w:rsidR="00A56E22" w:rsidRPr="00497EE9" w:rsidRDefault="00657CD9" w:rsidP="00963EA6">
      <w:pPr>
        <w:pStyle w:val="Sinespaciado"/>
        <w:numPr>
          <w:ilvl w:val="0"/>
          <w:numId w:val="21"/>
        </w:numPr>
      </w:pPr>
      <w:r w:rsidRPr="00497EE9">
        <w:t xml:space="preserve">La </w:t>
      </w:r>
      <w:proofErr w:type="spellStart"/>
      <w:r w:rsidRPr="00497EE9">
        <w:t>FGN</w:t>
      </w:r>
      <w:proofErr w:type="spellEnd"/>
      <w:r w:rsidRPr="00497EE9">
        <w:t xml:space="preserve"> no p</w:t>
      </w:r>
      <w:r w:rsidR="00A56E22" w:rsidRPr="00497EE9">
        <w:t>retende llevar a juicio al investigador en aras de establecer la información que fue obtenida, pues la</w:t>
      </w:r>
      <w:r w:rsidR="00031F49" w:rsidRPr="00497EE9">
        <w:t xml:space="preserve"> indagación se </w:t>
      </w:r>
      <w:r w:rsidR="00A56E22" w:rsidRPr="00497EE9">
        <w:t xml:space="preserve">concretó y fue a través de </w:t>
      </w:r>
      <w:r w:rsidR="004547C9" w:rsidRPr="00497EE9">
        <w:t xml:space="preserve">los </w:t>
      </w:r>
      <w:r w:rsidRPr="00497EE9">
        <w:t xml:space="preserve">datos que </w:t>
      </w:r>
      <w:r w:rsidR="00031F49" w:rsidRPr="00497EE9">
        <w:t>entregó el informante que</w:t>
      </w:r>
      <w:r w:rsidRPr="00497EE9">
        <w:t xml:space="preserve"> </w:t>
      </w:r>
      <w:r w:rsidR="00A56E22" w:rsidRPr="00497EE9">
        <w:t>se produjo la captura en flagrancia de la procesada.</w:t>
      </w:r>
    </w:p>
    <w:p w:rsidR="003D62B1" w:rsidRPr="00497EE9" w:rsidRDefault="003D62B1" w:rsidP="00963EA6">
      <w:pPr>
        <w:pStyle w:val="Sinespaciado"/>
      </w:pPr>
    </w:p>
    <w:p w:rsidR="00A56E22" w:rsidRPr="00497EE9" w:rsidRDefault="009D5F5B" w:rsidP="00963EA6">
      <w:pPr>
        <w:pStyle w:val="Sinespaciado"/>
        <w:numPr>
          <w:ilvl w:val="0"/>
          <w:numId w:val="21"/>
        </w:numPr>
      </w:pPr>
      <w:r w:rsidRPr="00497EE9">
        <w:t xml:space="preserve">Refirió que esa delegada no haría uso de la </w:t>
      </w:r>
      <w:r w:rsidR="005729D7" w:rsidRPr="00497EE9">
        <w:t xml:space="preserve">citada </w:t>
      </w:r>
      <w:r w:rsidRPr="00497EE9">
        <w:t>fuente durante el juicio</w:t>
      </w:r>
      <w:r w:rsidR="00197AD5" w:rsidRPr="00497EE9">
        <w:t xml:space="preserve">, </w:t>
      </w:r>
      <w:r w:rsidRPr="00497EE9">
        <w:t xml:space="preserve">pues a su modo de ver se estarían vulnerando sus garantías fundamentales. </w:t>
      </w:r>
    </w:p>
    <w:p w:rsidR="002E5CF3" w:rsidRPr="00497EE9" w:rsidRDefault="002E5CF3" w:rsidP="00963EA6">
      <w:pPr>
        <w:pStyle w:val="Sinespaciado"/>
      </w:pPr>
    </w:p>
    <w:p w:rsidR="009D5F5B" w:rsidRPr="00497EE9" w:rsidRDefault="00152468" w:rsidP="00963EA6">
      <w:pPr>
        <w:pStyle w:val="Sinespaciado"/>
        <w:numPr>
          <w:ilvl w:val="0"/>
          <w:numId w:val="21"/>
        </w:numPr>
      </w:pPr>
      <w:r w:rsidRPr="00497EE9">
        <w:t>Si se hace entrega del documento pretendido por la defensa, la información referente a la identidad de la fuente humana estaría en manos no solo del abogado que representa los intereses de la acusada</w:t>
      </w:r>
      <w:r w:rsidR="00197AD5" w:rsidRPr="00497EE9">
        <w:t xml:space="preserve">, </w:t>
      </w:r>
      <w:r w:rsidRPr="00497EE9">
        <w:t>sino también de sus familiares quienes podrían tomar represa</w:t>
      </w:r>
      <w:r w:rsidR="005729D7" w:rsidRPr="00497EE9">
        <w:t>lias en su contra.</w:t>
      </w:r>
      <w:r w:rsidRPr="00497EE9">
        <w:t xml:space="preserve"> </w:t>
      </w:r>
    </w:p>
    <w:p w:rsidR="002E5CF3" w:rsidRPr="00497EE9" w:rsidRDefault="002E5CF3" w:rsidP="00963EA6">
      <w:pPr>
        <w:pStyle w:val="Sinespaciado"/>
      </w:pPr>
    </w:p>
    <w:p w:rsidR="000E737E" w:rsidRPr="00497EE9" w:rsidRDefault="002E5CF3" w:rsidP="00963EA6">
      <w:pPr>
        <w:pStyle w:val="Sinespaciado"/>
        <w:numPr>
          <w:ilvl w:val="0"/>
          <w:numId w:val="21"/>
        </w:numPr>
      </w:pPr>
      <w:r w:rsidRPr="00497EE9">
        <w:t xml:space="preserve">Solicitó que se confirmara la decisión de primera instancia y en consecuencia no se obligara a la defensa a descubrir la entrevista de la </w:t>
      </w:r>
      <w:r w:rsidR="00031F49" w:rsidRPr="00497EE9">
        <w:t>“</w:t>
      </w:r>
      <w:r w:rsidRPr="00497EE9">
        <w:t>fuente humana</w:t>
      </w:r>
      <w:r w:rsidR="00197AD5" w:rsidRPr="00497EE9">
        <w:t>”</w:t>
      </w:r>
      <w:r w:rsidR="00031F49" w:rsidRPr="00497EE9">
        <w:t xml:space="preserve"> citada</w:t>
      </w:r>
      <w:r w:rsidR="00197AD5" w:rsidRPr="00497EE9">
        <w:t>, ya que tampoco ese podría obligar al investigador a entrega</w:t>
      </w:r>
      <w:r w:rsidR="00031F49" w:rsidRPr="00497EE9">
        <w:t xml:space="preserve">r información en ese sentido. </w:t>
      </w:r>
    </w:p>
    <w:p w:rsidR="000E737E" w:rsidRPr="00497EE9" w:rsidRDefault="000E737E" w:rsidP="002E7B79">
      <w:pPr>
        <w:pStyle w:val="Prrafodelista"/>
        <w:numPr>
          <w:ilvl w:val="0"/>
          <w:numId w:val="0"/>
        </w:numPr>
        <w:spacing w:line="240" w:lineRule="auto"/>
        <w:rPr>
          <w:rFonts w:ascii="Arial" w:hAnsi="Arial" w:cs="Arial"/>
          <w:sz w:val="24"/>
          <w:szCs w:val="24"/>
        </w:rPr>
      </w:pPr>
    </w:p>
    <w:p w:rsidR="00031F49" w:rsidRPr="00497EE9" w:rsidRDefault="00031F49" w:rsidP="002E7B79">
      <w:pPr>
        <w:pStyle w:val="Prrafodelista"/>
        <w:numPr>
          <w:ilvl w:val="0"/>
          <w:numId w:val="0"/>
        </w:numPr>
        <w:spacing w:line="240" w:lineRule="auto"/>
        <w:rPr>
          <w:rFonts w:ascii="Arial" w:hAnsi="Arial" w:cs="Arial"/>
          <w:sz w:val="24"/>
          <w:szCs w:val="24"/>
        </w:rPr>
      </w:pPr>
    </w:p>
    <w:p w:rsidR="000E737E" w:rsidRPr="00497EE9" w:rsidRDefault="0036544F" w:rsidP="00963EA6">
      <w:pPr>
        <w:pStyle w:val="Sinespaciado"/>
      </w:pPr>
      <w:r w:rsidRPr="00497EE9">
        <w:t xml:space="preserve">6. </w:t>
      </w:r>
      <w:r w:rsidR="000E737E" w:rsidRPr="00497EE9">
        <w:t>CONSIDERACIONES DE LA SALA</w:t>
      </w:r>
    </w:p>
    <w:p w:rsidR="000E737E" w:rsidRPr="00497EE9" w:rsidRDefault="000E737E" w:rsidP="00963EA6">
      <w:pPr>
        <w:pStyle w:val="Sinespaciado"/>
      </w:pPr>
    </w:p>
    <w:p w:rsidR="00031F49" w:rsidRPr="00497EE9" w:rsidRDefault="000E737E" w:rsidP="00963EA6">
      <w:pPr>
        <w:pStyle w:val="Sinespaciado"/>
      </w:pPr>
      <w:r w:rsidRPr="00497EE9">
        <w:t xml:space="preserve">6.1. </w:t>
      </w:r>
      <w:r w:rsidR="00031F49" w:rsidRPr="00497EE9">
        <w:t xml:space="preserve">Competencia </w:t>
      </w:r>
    </w:p>
    <w:p w:rsidR="00031F49" w:rsidRPr="00497EE9" w:rsidRDefault="00031F49" w:rsidP="00963EA6">
      <w:pPr>
        <w:pStyle w:val="Sinespaciado"/>
      </w:pPr>
    </w:p>
    <w:p w:rsidR="000E737E" w:rsidRPr="00497EE9" w:rsidRDefault="000E737E" w:rsidP="00963EA6">
      <w:pPr>
        <w:pStyle w:val="Sinespaciado"/>
      </w:pPr>
      <w:r w:rsidRPr="00497EE9">
        <w:t>Esta Sala es competente para conocer de</w:t>
      </w:r>
      <w:r w:rsidR="005729D7" w:rsidRPr="00497EE9">
        <w:t>l presente recurso</w:t>
      </w:r>
      <w:r w:rsidR="00E42C77" w:rsidRPr="00497EE9">
        <w:t>,  e</w:t>
      </w:r>
      <w:r w:rsidRPr="00497EE9">
        <w:t>n atención a lo dispuesto por el artículo 34-1 de la Ley 906 de 2004.</w:t>
      </w:r>
    </w:p>
    <w:p w:rsidR="00031F49" w:rsidRPr="00497EE9" w:rsidRDefault="00031F49" w:rsidP="00963EA6">
      <w:pPr>
        <w:pStyle w:val="Sinespaciado"/>
      </w:pPr>
    </w:p>
    <w:p w:rsidR="00031F49" w:rsidRPr="00497EE9" w:rsidRDefault="0036544F" w:rsidP="00963EA6">
      <w:pPr>
        <w:pStyle w:val="Sinespaciado"/>
      </w:pPr>
      <w:r w:rsidRPr="00497EE9">
        <w:t>6</w:t>
      </w:r>
      <w:r w:rsidR="000E737E" w:rsidRPr="00497EE9">
        <w:t xml:space="preserve">.2. </w:t>
      </w:r>
      <w:r w:rsidR="00031F49" w:rsidRPr="00497EE9">
        <w:t xml:space="preserve">Problema jurídico </w:t>
      </w:r>
    </w:p>
    <w:p w:rsidR="00031F49" w:rsidRPr="00497EE9" w:rsidRDefault="00031F49" w:rsidP="00963EA6">
      <w:pPr>
        <w:pStyle w:val="Sinespaciado"/>
      </w:pPr>
    </w:p>
    <w:p w:rsidR="00EB262E" w:rsidRPr="00497EE9" w:rsidRDefault="000E737E" w:rsidP="00963EA6">
      <w:pPr>
        <w:pStyle w:val="Sinespaciado"/>
      </w:pPr>
      <w:r w:rsidRPr="00497EE9">
        <w:t>Con base en el principio de limitación de la doble instancia y en atención a la decisión impugnada</w:t>
      </w:r>
      <w:r w:rsidR="0036544F" w:rsidRPr="00497EE9">
        <w:t xml:space="preserve">, </w:t>
      </w:r>
      <w:r w:rsidRPr="00497EE9">
        <w:t>el problema jurídico a resolver se contrae</w:t>
      </w:r>
      <w:r w:rsidR="005729D7" w:rsidRPr="00497EE9">
        <w:t xml:space="preserve"> </w:t>
      </w:r>
      <w:r w:rsidRPr="00497EE9">
        <w:t xml:space="preserve">a determinar el grado de acierto de la decisión del </w:t>
      </w:r>
      <w:r w:rsidRPr="00497EE9">
        <w:rPr>
          <w:i/>
        </w:rPr>
        <w:t>A quo</w:t>
      </w:r>
      <w:r w:rsidR="00AE26D0" w:rsidRPr="00497EE9">
        <w:rPr>
          <w:i/>
        </w:rPr>
        <w:t xml:space="preserve">, </w:t>
      </w:r>
      <w:r w:rsidR="00AE26D0" w:rsidRPr="00497EE9">
        <w:t xml:space="preserve">que </w:t>
      </w:r>
      <w:r w:rsidR="002A4563" w:rsidRPr="00497EE9">
        <w:t>deneg</w:t>
      </w:r>
      <w:r w:rsidR="00AE26D0" w:rsidRPr="00497EE9">
        <w:t>ó el</w:t>
      </w:r>
      <w:r w:rsidR="002A4563" w:rsidRPr="00497EE9">
        <w:t xml:space="preserve"> descubrimiento </w:t>
      </w:r>
      <w:r w:rsidR="006E41D2" w:rsidRPr="00497EE9">
        <w:t>a la defensa del d</w:t>
      </w:r>
      <w:r w:rsidR="00031F49" w:rsidRPr="00497EE9">
        <w:t>ocumento referido en el numeral</w:t>
      </w:r>
      <w:r w:rsidR="00E42C77" w:rsidRPr="00497EE9">
        <w:t xml:space="preserve"> 21 del anexo del escri</w:t>
      </w:r>
      <w:r w:rsidR="00031F49" w:rsidRPr="00497EE9">
        <w:t>to de acusación, así: “</w:t>
      </w:r>
      <w:r w:rsidR="00031F49" w:rsidRPr="00497EE9">
        <w:rPr>
          <w:i/>
        </w:rPr>
        <w:t>entrevista de fuente humana (</w:t>
      </w:r>
      <w:r w:rsidR="006E41D2" w:rsidRPr="00497EE9">
        <w:rPr>
          <w:i/>
        </w:rPr>
        <w:t>reservad</w:t>
      </w:r>
      <w:r w:rsidR="0036544F" w:rsidRPr="00497EE9">
        <w:rPr>
          <w:i/>
        </w:rPr>
        <w:t>o</w:t>
      </w:r>
      <w:r w:rsidR="00031F49" w:rsidRPr="00497EE9">
        <w:rPr>
          <w:i/>
        </w:rPr>
        <w:t xml:space="preserve"> </w:t>
      </w:r>
      <w:r w:rsidR="006E41D2" w:rsidRPr="00497EE9">
        <w:rPr>
          <w:i/>
        </w:rPr>
        <w:t>– sobrecerrado</w:t>
      </w:r>
      <w:r w:rsidR="00031F49" w:rsidRPr="00497EE9">
        <w:rPr>
          <w:i/>
        </w:rPr>
        <w:t>)”</w:t>
      </w:r>
      <w:r w:rsidR="000B6CF9" w:rsidRPr="00497EE9">
        <w:t xml:space="preserve"> con </w:t>
      </w:r>
      <w:r w:rsidR="00031F49" w:rsidRPr="00497EE9">
        <w:t>base en la siguiente argumentación: i) la</w:t>
      </w:r>
      <w:r w:rsidR="006E41D2" w:rsidRPr="00497EE9">
        <w:t xml:space="preserve"> </w:t>
      </w:r>
      <w:r w:rsidR="009622EA" w:rsidRPr="00497EE9">
        <w:t xml:space="preserve">identidad del informante </w:t>
      </w:r>
      <w:r w:rsidR="00031F49" w:rsidRPr="00497EE9">
        <w:t>debía</w:t>
      </w:r>
      <w:r w:rsidR="009622EA" w:rsidRPr="00497EE9">
        <w:t xml:space="preserve"> permanecer en reserva, conforme a lo </w:t>
      </w:r>
      <w:r w:rsidR="006C68E4" w:rsidRPr="00497EE9">
        <w:t>referido en la jurisprudencia de la Corte Constitucional</w:t>
      </w:r>
      <w:r w:rsidR="009622EA" w:rsidRPr="00497EE9">
        <w:t xml:space="preserve"> citada por la juez de conocimiento</w:t>
      </w:r>
      <w:r w:rsidR="006E41D2" w:rsidRPr="00497EE9">
        <w:t xml:space="preserve">; ii) la delegada del </w:t>
      </w:r>
      <w:r w:rsidR="007C421C" w:rsidRPr="00497EE9">
        <w:t>ente</w:t>
      </w:r>
      <w:r w:rsidR="00031F49" w:rsidRPr="00497EE9">
        <w:t xml:space="preserve"> acusador no estaba</w:t>
      </w:r>
      <w:r w:rsidR="007C421C" w:rsidRPr="00497EE9">
        <w:t xml:space="preserve"> obligad</w:t>
      </w:r>
      <w:r w:rsidR="006E41D2" w:rsidRPr="00497EE9">
        <w:t xml:space="preserve">a </w:t>
      </w:r>
      <w:r w:rsidR="007C421C" w:rsidRPr="00497EE9">
        <w:t xml:space="preserve"> a </w:t>
      </w:r>
      <w:r w:rsidR="006E41D2" w:rsidRPr="00497EE9">
        <w:t xml:space="preserve">descubrir ese documento, </w:t>
      </w:r>
      <w:r w:rsidR="00254D5D" w:rsidRPr="00497EE9">
        <w:t xml:space="preserve">según </w:t>
      </w:r>
      <w:r w:rsidR="00031F49" w:rsidRPr="00497EE9">
        <w:t xml:space="preserve">lo dispuesto en el </w:t>
      </w:r>
      <w:r w:rsidR="007C421C" w:rsidRPr="00497EE9">
        <w:t xml:space="preserve">numeral 3º del artículo 345 del </w:t>
      </w:r>
      <w:proofErr w:type="spellStart"/>
      <w:r w:rsidR="007C421C" w:rsidRPr="00497EE9">
        <w:t>CPP</w:t>
      </w:r>
      <w:proofErr w:type="spellEnd"/>
      <w:r w:rsidR="00031F49" w:rsidRPr="00497EE9">
        <w:t>;</w:t>
      </w:r>
      <w:r w:rsidR="006E41D2" w:rsidRPr="00497EE9">
        <w:t xml:space="preserve"> y iii) </w:t>
      </w:r>
      <w:r w:rsidR="002566C6" w:rsidRPr="00497EE9">
        <w:t>den</w:t>
      </w:r>
      <w:r w:rsidR="009622EA" w:rsidRPr="00497EE9">
        <w:t xml:space="preserve">tro de las excepciones al </w:t>
      </w:r>
      <w:r w:rsidR="00765623" w:rsidRPr="00497EE9">
        <w:t>deber de declarar prev</w:t>
      </w:r>
      <w:r w:rsidR="003776A3" w:rsidRPr="00497EE9">
        <w:t xml:space="preserve">istas en el artículo 385 </w:t>
      </w:r>
      <w:r w:rsidR="003776A3" w:rsidRPr="00497EE9">
        <w:rPr>
          <w:i/>
        </w:rPr>
        <w:t>Ibídem,</w:t>
      </w:r>
      <w:r w:rsidR="003776A3" w:rsidRPr="00497EE9">
        <w:t xml:space="preserve"> </w:t>
      </w:r>
      <w:r w:rsidR="009622EA" w:rsidRPr="00497EE9">
        <w:t>se encuentra la del  investigador frente a su informante.</w:t>
      </w:r>
    </w:p>
    <w:p w:rsidR="00EB262E" w:rsidRPr="00497EE9" w:rsidRDefault="00EB262E" w:rsidP="00963EA6">
      <w:pPr>
        <w:pStyle w:val="Sinespaciado"/>
      </w:pPr>
    </w:p>
    <w:p w:rsidR="00AE26D0" w:rsidRPr="00497EE9" w:rsidRDefault="002A2DC5" w:rsidP="00963EA6">
      <w:pPr>
        <w:pStyle w:val="Sinespaciado"/>
      </w:pPr>
      <w:r w:rsidRPr="00497EE9">
        <w:t xml:space="preserve">6.3 </w:t>
      </w:r>
      <w:r w:rsidR="009622EA" w:rsidRPr="00497EE9">
        <w:t>Para dar soluc</w:t>
      </w:r>
      <w:r w:rsidR="00AE26D0" w:rsidRPr="00497EE9">
        <w:t>ión al problema jurídico propuesto, se hacen las siguientes consideraciones:</w:t>
      </w:r>
    </w:p>
    <w:p w:rsidR="00AE26D0" w:rsidRPr="00497EE9" w:rsidRDefault="00AE26D0" w:rsidP="00963EA6">
      <w:pPr>
        <w:pStyle w:val="Sinespaciado"/>
      </w:pPr>
    </w:p>
    <w:p w:rsidR="00AE26D0" w:rsidRPr="00497EE9" w:rsidRDefault="00AE26D0" w:rsidP="00963EA6">
      <w:pPr>
        <w:pStyle w:val="Sinespaciado"/>
      </w:pPr>
      <w:r w:rsidRPr="00497EE9">
        <w:t xml:space="preserve">6.3.1 El </w:t>
      </w:r>
      <w:r w:rsidR="002A2DC5" w:rsidRPr="00497EE9">
        <w:t xml:space="preserve">descubrimiento probatorio es de la esencia del sistema procesal acusatorio regulado en la Ley 906 de 2004, ya que a través del mismo </w:t>
      </w:r>
      <w:r w:rsidR="001726A8" w:rsidRPr="00497EE9">
        <w:t xml:space="preserve">se procura la adecuada realización </w:t>
      </w:r>
      <w:r w:rsidR="002A2DC5" w:rsidRPr="00497EE9">
        <w:t xml:space="preserve">del juicio oral, </w:t>
      </w:r>
      <w:r w:rsidR="0036544F" w:rsidRPr="00497EE9">
        <w:t xml:space="preserve">en la medida en que </w:t>
      </w:r>
      <w:r w:rsidR="001726A8" w:rsidRPr="00497EE9">
        <w:t xml:space="preserve">cada una de las partes </w:t>
      </w:r>
      <w:r w:rsidR="000B3A3D" w:rsidRPr="00497EE9">
        <w:t xml:space="preserve">con antelación a </w:t>
      </w:r>
      <w:r w:rsidRPr="00497EE9">
        <w:t>la vista pública queda informada sobre los medios de prueba de que dispone su contraparte.</w:t>
      </w:r>
    </w:p>
    <w:p w:rsidR="00AE26D0" w:rsidRPr="00497EE9" w:rsidRDefault="00AE26D0" w:rsidP="00963EA6">
      <w:pPr>
        <w:pStyle w:val="Sinespaciado"/>
      </w:pPr>
    </w:p>
    <w:p w:rsidR="002A2DC5" w:rsidRPr="00497EE9" w:rsidRDefault="00AE26D0" w:rsidP="00963EA6">
      <w:pPr>
        <w:pStyle w:val="Sinespaciado"/>
      </w:pPr>
      <w:r w:rsidRPr="00497EE9">
        <w:t>E</w:t>
      </w:r>
      <w:r w:rsidR="00254D5D" w:rsidRPr="00497EE9">
        <w:t xml:space="preserve">se </w:t>
      </w:r>
      <w:r w:rsidR="001726A8" w:rsidRPr="00497EE9">
        <w:t xml:space="preserve">descubrimiento generalmente se </w:t>
      </w:r>
      <w:r w:rsidRPr="00497EE9">
        <w:t xml:space="preserve">realiza durante las </w:t>
      </w:r>
      <w:r w:rsidR="001726A8" w:rsidRPr="00497EE9">
        <w:t>audiencias de formulación de acusación y preparatoria</w:t>
      </w:r>
      <w:r w:rsidRPr="00497EE9">
        <w:t>. De manera e</w:t>
      </w:r>
      <w:r w:rsidR="001726A8" w:rsidRPr="00497EE9">
        <w:t>xcepcional</w:t>
      </w:r>
      <w:r w:rsidRPr="00497EE9">
        <w:t xml:space="preserve">, el </w:t>
      </w:r>
      <w:r w:rsidR="00EE5754" w:rsidRPr="00497EE9">
        <w:t xml:space="preserve"> juez de conocimiento puede autorizar un</w:t>
      </w:r>
      <w:r w:rsidR="00254D5D" w:rsidRPr="00497EE9">
        <w:t>a revelación</w:t>
      </w:r>
      <w:r w:rsidR="00EE5754" w:rsidRPr="00497EE9">
        <w:t xml:space="preserve"> posterior </w:t>
      </w:r>
      <w:r w:rsidRPr="00497EE9">
        <w:t xml:space="preserve">en los </w:t>
      </w:r>
      <w:r w:rsidR="00C823C7" w:rsidRPr="00497EE9">
        <w:t xml:space="preserve">casos previstos en los </w:t>
      </w:r>
      <w:r w:rsidRPr="00497EE9">
        <w:t xml:space="preserve">artículos </w:t>
      </w:r>
      <w:r w:rsidR="002A2DC5" w:rsidRPr="00497EE9">
        <w:t xml:space="preserve">344 y 346 </w:t>
      </w:r>
      <w:r w:rsidR="00C823C7" w:rsidRPr="00497EE9">
        <w:t xml:space="preserve">del </w:t>
      </w:r>
      <w:proofErr w:type="spellStart"/>
      <w:r w:rsidR="00C823C7" w:rsidRPr="00497EE9">
        <w:t>CPP</w:t>
      </w:r>
      <w:proofErr w:type="spellEnd"/>
      <w:r w:rsidR="00C823C7" w:rsidRPr="00497EE9">
        <w:t xml:space="preserve">. </w:t>
      </w:r>
    </w:p>
    <w:p w:rsidR="00C823C7" w:rsidRPr="00497EE9" w:rsidRDefault="00C823C7" w:rsidP="00963EA6">
      <w:pPr>
        <w:pStyle w:val="Sinespaciado"/>
      </w:pPr>
    </w:p>
    <w:p w:rsidR="00B66A1F" w:rsidRPr="00497EE9" w:rsidRDefault="003D62B1" w:rsidP="00963EA6">
      <w:pPr>
        <w:pStyle w:val="Sinespaciado"/>
      </w:pPr>
      <w:r w:rsidRPr="00497EE9">
        <w:t>6.</w:t>
      </w:r>
      <w:r w:rsidR="00AE1993" w:rsidRPr="00497EE9">
        <w:t xml:space="preserve">3.2 </w:t>
      </w:r>
      <w:r w:rsidR="00254D5D" w:rsidRPr="00497EE9">
        <w:t xml:space="preserve">El </w:t>
      </w:r>
      <w:r w:rsidR="00EF6A6F" w:rsidRPr="00497EE9">
        <w:t>descub</w:t>
      </w:r>
      <w:r w:rsidR="00331E34" w:rsidRPr="00497EE9">
        <w:t>r</w:t>
      </w:r>
      <w:r w:rsidR="00EF6A6F" w:rsidRPr="00497EE9">
        <w:t>imiento</w:t>
      </w:r>
      <w:r w:rsidR="00331E34" w:rsidRPr="00497EE9">
        <w:t xml:space="preserve"> probatorio </w:t>
      </w:r>
      <w:r w:rsidR="00A91145" w:rsidRPr="00497EE9">
        <w:t>p</w:t>
      </w:r>
      <w:r w:rsidR="00B66A1F" w:rsidRPr="00497EE9">
        <w:t xml:space="preserve">or parte de la </w:t>
      </w:r>
      <w:proofErr w:type="spellStart"/>
      <w:r w:rsidR="00A91145" w:rsidRPr="00497EE9">
        <w:t>FGN</w:t>
      </w:r>
      <w:proofErr w:type="spellEnd"/>
      <w:r w:rsidR="00A91145" w:rsidRPr="00497EE9">
        <w:t xml:space="preserve"> </w:t>
      </w:r>
      <w:r w:rsidR="00331E34" w:rsidRPr="00497EE9">
        <w:t>se d</w:t>
      </w:r>
      <w:r w:rsidR="00B66A1F" w:rsidRPr="00497EE9">
        <w:t xml:space="preserve">ebe hacer en la audiencia </w:t>
      </w:r>
      <w:r w:rsidR="00331E34" w:rsidRPr="00497EE9">
        <w:t>de formulación de acusación</w:t>
      </w:r>
      <w:r w:rsidR="00B66A1F" w:rsidRPr="00497EE9">
        <w:t>, c</w:t>
      </w:r>
      <w:r w:rsidR="00331E34" w:rsidRPr="00497EE9">
        <w:t xml:space="preserve">omo lo </w:t>
      </w:r>
      <w:r w:rsidR="00B66A1F" w:rsidRPr="00497EE9">
        <w:t xml:space="preserve">disponen los incisos 1º y 2º del </w:t>
      </w:r>
      <w:r w:rsidR="00331E34" w:rsidRPr="00497EE9">
        <w:t xml:space="preserve">artículo 344 </w:t>
      </w:r>
      <w:r w:rsidR="00F7181C" w:rsidRPr="00497EE9">
        <w:t>de la Ley 906 de 2004</w:t>
      </w:r>
      <w:r w:rsidR="00B66A1F" w:rsidRPr="00497EE9">
        <w:t>.</w:t>
      </w:r>
    </w:p>
    <w:p w:rsidR="00B66A1F" w:rsidRPr="00497EE9" w:rsidRDefault="00B66A1F" w:rsidP="00963EA6">
      <w:pPr>
        <w:pStyle w:val="Sinespaciado"/>
      </w:pPr>
    </w:p>
    <w:p w:rsidR="00C636D2" w:rsidRPr="00497EE9" w:rsidRDefault="00B66A1F" w:rsidP="00963EA6">
      <w:pPr>
        <w:pStyle w:val="Sinespaciado"/>
      </w:pPr>
      <w:r w:rsidRPr="00497EE9">
        <w:t>El pri</w:t>
      </w:r>
      <w:r w:rsidR="000B3A3D" w:rsidRPr="00497EE9">
        <w:t>mer inciso citado señala que: “</w:t>
      </w:r>
      <w:r w:rsidRPr="00497EE9">
        <w:t>A este respecto la defensa podrá solicit</w:t>
      </w:r>
      <w:r w:rsidR="000B3A3D" w:rsidRPr="00497EE9">
        <w:t>ar al juez de  conocimiento que</w:t>
      </w:r>
      <w:r w:rsidRPr="00497EE9">
        <w:t xml:space="preserve"> ordene a la fiscalía, o a quien corresponda</w:t>
      </w:r>
      <w:r w:rsidR="00F24FCA" w:rsidRPr="00497EE9">
        <w:t xml:space="preserve">, </w:t>
      </w:r>
      <w:r w:rsidRPr="00497EE9">
        <w:t>el descubrimiento de un elemento material probatorio</w:t>
      </w:r>
      <w:r w:rsidR="00C636D2" w:rsidRPr="00497EE9">
        <w:t xml:space="preserve"> específico y evidencia física de que tenga conocimiento, y el juez ordenará, si es pertinente, descubrir, exhibir o entregar copia según se solicite</w:t>
      </w:r>
      <w:r w:rsidR="000B3A3D" w:rsidRPr="00497EE9">
        <w:t>, con un plazo máximo de tres (3) días para su cumplimiento”.</w:t>
      </w:r>
    </w:p>
    <w:p w:rsidR="002A2DC5" w:rsidRPr="00497EE9" w:rsidRDefault="002A2DC5" w:rsidP="00963EA6">
      <w:pPr>
        <w:pStyle w:val="Sinespaciado"/>
      </w:pPr>
    </w:p>
    <w:p w:rsidR="00A91145" w:rsidRPr="00497EE9" w:rsidRDefault="003D62B1" w:rsidP="00963EA6">
      <w:pPr>
        <w:pStyle w:val="Sinespaciado"/>
      </w:pPr>
      <w:r w:rsidRPr="00497EE9">
        <w:t>6.</w:t>
      </w:r>
      <w:r w:rsidR="00C636D2" w:rsidRPr="00497EE9">
        <w:t>3.</w:t>
      </w:r>
      <w:r w:rsidR="00254D5D" w:rsidRPr="00497EE9">
        <w:t>3</w:t>
      </w:r>
      <w:r w:rsidR="00C636D2" w:rsidRPr="00497EE9">
        <w:t xml:space="preserve"> </w:t>
      </w:r>
      <w:r w:rsidR="00545DDF" w:rsidRPr="00497EE9">
        <w:t xml:space="preserve">En el caso </w:t>
      </w:r>
      <w:r w:rsidR="00A91145" w:rsidRPr="00497EE9">
        <w:t xml:space="preserve">en estudio </w:t>
      </w:r>
      <w:r w:rsidR="001A2F27" w:rsidRPr="00497EE9">
        <w:t xml:space="preserve">durante </w:t>
      </w:r>
      <w:r w:rsidR="00A91145" w:rsidRPr="00497EE9">
        <w:t xml:space="preserve">la </w:t>
      </w:r>
      <w:r w:rsidR="00421FC1" w:rsidRPr="00497EE9">
        <w:t xml:space="preserve">audiencia de formulación de acusación, </w:t>
      </w:r>
      <w:r w:rsidR="00545DDF" w:rsidRPr="00497EE9">
        <w:t xml:space="preserve">la delegada de la </w:t>
      </w:r>
      <w:proofErr w:type="spellStart"/>
      <w:r w:rsidR="00545DDF" w:rsidRPr="00497EE9">
        <w:t>FGN</w:t>
      </w:r>
      <w:proofErr w:type="spellEnd"/>
      <w:r w:rsidR="00545DDF" w:rsidRPr="00497EE9">
        <w:t xml:space="preserve"> </w:t>
      </w:r>
      <w:r w:rsidR="00A91145" w:rsidRPr="00497EE9">
        <w:t xml:space="preserve">dio </w:t>
      </w:r>
      <w:r w:rsidR="00FF0675" w:rsidRPr="00497EE9">
        <w:t xml:space="preserve"> </w:t>
      </w:r>
      <w:r w:rsidR="00446B72" w:rsidRPr="00497EE9">
        <w:t>lectura</w:t>
      </w:r>
      <w:r w:rsidR="001A2F27" w:rsidRPr="00497EE9">
        <w:t xml:space="preserve"> al escrito de acusación presentado en contra de la señora María </w:t>
      </w:r>
      <w:proofErr w:type="spellStart"/>
      <w:r w:rsidR="001A2F27" w:rsidRPr="00497EE9">
        <w:t>Policarpa</w:t>
      </w:r>
      <w:proofErr w:type="spellEnd"/>
      <w:r w:rsidR="001A2F27" w:rsidRPr="00497EE9">
        <w:t xml:space="preserve"> Agudelo Castañeda </w:t>
      </w:r>
      <w:r w:rsidR="000B3A3D" w:rsidRPr="00497EE9">
        <w:t>como autora de la</w:t>
      </w:r>
      <w:r w:rsidR="00421FC1" w:rsidRPr="00497EE9">
        <w:t xml:space="preserve"> conducta </w:t>
      </w:r>
      <w:r w:rsidR="00A91145" w:rsidRPr="00497EE9">
        <w:t>de “</w:t>
      </w:r>
      <w:r w:rsidR="000B3A3D" w:rsidRPr="00497EE9">
        <w:t>f</w:t>
      </w:r>
      <w:r w:rsidR="00A91145" w:rsidRPr="00497EE9">
        <w:t>alsificación d</w:t>
      </w:r>
      <w:r w:rsidR="000B3A3D" w:rsidRPr="00497EE9">
        <w:t>e moneda nacional o extranjera”</w:t>
      </w:r>
      <w:r w:rsidR="00A91145" w:rsidRPr="00497EE9">
        <w:t xml:space="preserve"> que se encuentra descrita en el ar</w:t>
      </w:r>
      <w:r w:rsidR="001A2F27" w:rsidRPr="00497EE9">
        <w:t xml:space="preserve">tículo 273 del </w:t>
      </w:r>
      <w:proofErr w:type="spellStart"/>
      <w:r w:rsidR="001A2F27" w:rsidRPr="00497EE9">
        <w:t>CP</w:t>
      </w:r>
      <w:proofErr w:type="spellEnd"/>
      <w:r w:rsidR="00A91145" w:rsidRPr="00497EE9">
        <w:t>, y tiene una pena de 96 a 180 meses</w:t>
      </w:r>
      <w:r w:rsidR="00F24FCA" w:rsidRPr="00497EE9">
        <w:t xml:space="preserve"> de prisión.</w:t>
      </w:r>
    </w:p>
    <w:p w:rsidR="00A91145" w:rsidRPr="00497EE9" w:rsidRDefault="00A91145" w:rsidP="00963EA6">
      <w:pPr>
        <w:pStyle w:val="Sinespaciado"/>
      </w:pPr>
    </w:p>
    <w:p w:rsidR="00141066" w:rsidRPr="00497EE9" w:rsidRDefault="000B3A3D" w:rsidP="00963EA6">
      <w:pPr>
        <w:pStyle w:val="Sinespaciado"/>
      </w:pPr>
      <w:r w:rsidRPr="00497EE9">
        <w:t>Así</w:t>
      </w:r>
      <w:r w:rsidR="00A91145" w:rsidRPr="00497EE9">
        <w:t xml:space="preserve"> mismo </w:t>
      </w:r>
      <w:r w:rsidR="001A2F27" w:rsidRPr="00497EE9">
        <w:t xml:space="preserve">hizo referencia a las evidencias contenidas en el escrito de acusación (folio 8 y 9), indicando que </w:t>
      </w:r>
      <w:r w:rsidR="0000597C" w:rsidRPr="00497EE9">
        <w:t xml:space="preserve">existía una entrevista vertida por una </w:t>
      </w:r>
      <w:r w:rsidR="00A91145" w:rsidRPr="00497EE9">
        <w:t>“</w:t>
      </w:r>
      <w:r w:rsidR="0000597C" w:rsidRPr="00497EE9">
        <w:t>fuente humana</w:t>
      </w:r>
      <w:r w:rsidR="00A91145" w:rsidRPr="00497EE9">
        <w:t>”</w:t>
      </w:r>
      <w:r w:rsidR="00C636D2" w:rsidRPr="00497EE9">
        <w:t xml:space="preserve">, pero que solicitaba que no se le obligara a descubrir ese </w:t>
      </w:r>
      <w:proofErr w:type="spellStart"/>
      <w:r w:rsidR="00C636D2" w:rsidRPr="00497EE9">
        <w:t>EMP</w:t>
      </w:r>
      <w:proofErr w:type="spellEnd"/>
      <w:r w:rsidR="00C636D2" w:rsidRPr="00497EE9">
        <w:t xml:space="preserve">, ya que se </w:t>
      </w:r>
      <w:r w:rsidR="0000597C" w:rsidRPr="00497EE9">
        <w:t xml:space="preserve">requería </w:t>
      </w:r>
      <w:r w:rsidR="001A2F27" w:rsidRPr="00497EE9">
        <w:t>reserva</w:t>
      </w:r>
      <w:r w:rsidR="0000597C" w:rsidRPr="00497EE9">
        <w:t xml:space="preserve"> absoluta</w:t>
      </w:r>
      <w:r w:rsidR="001A2F27" w:rsidRPr="00497EE9">
        <w:t xml:space="preserve"> </w:t>
      </w:r>
      <w:r w:rsidR="00A91145" w:rsidRPr="00497EE9">
        <w:t xml:space="preserve">frente a </w:t>
      </w:r>
      <w:r w:rsidR="00C636D2" w:rsidRPr="00497EE9">
        <w:t>la identidad de la persona que ri</w:t>
      </w:r>
      <w:r w:rsidRPr="00497EE9">
        <w:t>ndió esa conferencia, ya que su</w:t>
      </w:r>
      <w:r w:rsidR="00A91145" w:rsidRPr="00497EE9">
        <w:t xml:space="preserve"> vida </w:t>
      </w:r>
      <w:r w:rsidR="0000597C" w:rsidRPr="00497EE9">
        <w:t xml:space="preserve">podía </w:t>
      </w:r>
      <w:r w:rsidR="0000597C" w:rsidRPr="00497EE9">
        <w:lastRenderedPageBreak/>
        <w:t>correr peligro</w:t>
      </w:r>
      <w:r w:rsidR="00C636D2" w:rsidRPr="00497EE9">
        <w:t xml:space="preserve"> en virtud de la información que entregó</w:t>
      </w:r>
      <w:r w:rsidR="00141066" w:rsidRPr="00497EE9">
        <w:t>, a lo cual se opuso el defensor de la procesada, con base en las razones antes expuestas. Finalmente el juez de conocimiento le otorgó la razón a la delegada del ente acusador.</w:t>
      </w:r>
    </w:p>
    <w:p w:rsidR="00141066" w:rsidRPr="00497EE9" w:rsidRDefault="00141066" w:rsidP="00963EA6">
      <w:pPr>
        <w:pStyle w:val="Sinespaciado"/>
      </w:pPr>
    </w:p>
    <w:p w:rsidR="00CE40C9" w:rsidRPr="00497EE9" w:rsidRDefault="00141066" w:rsidP="00963EA6">
      <w:pPr>
        <w:pStyle w:val="Sinespaciado"/>
      </w:pPr>
      <w:r w:rsidRPr="00497EE9">
        <w:t>6.3.</w:t>
      </w:r>
      <w:r w:rsidR="00254D5D" w:rsidRPr="00497EE9">
        <w:t>4</w:t>
      </w:r>
      <w:r w:rsidRPr="00497EE9">
        <w:t xml:space="preserve"> </w:t>
      </w:r>
      <w:r w:rsidR="00F43981" w:rsidRPr="00497EE9">
        <w:t>Para efectos de la decisión que se debe adoptar en el presente cas</w:t>
      </w:r>
      <w:r w:rsidR="000B3A3D" w:rsidRPr="00497EE9">
        <w:t xml:space="preserve">o se  debe tener en cuenta que </w:t>
      </w:r>
      <w:r w:rsidR="00F43981" w:rsidRPr="00497EE9">
        <w:t xml:space="preserve">la </w:t>
      </w:r>
      <w:r w:rsidR="00006832" w:rsidRPr="00497EE9">
        <w:t>entrevista</w:t>
      </w:r>
      <w:r w:rsidR="000B3A3D" w:rsidRPr="00497EE9">
        <w:t>,</w:t>
      </w:r>
      <w:r w:rsidR="00006832" w:rsidRPr="00497EE9">
        <w:t xml:space="preserve"> entendida como un</w:t>
      </w:r>
      <w:r w:rsidRPr="00497EE9">
        <w:t xml:space="preserve"> medio </w:t>
      </w:r>
      <w:r w:rsidR="00446980" w:rsidRPr="00497EE9">
        <w:t xml:space="preserve">a través del cual </w:t>
      </w:r>
      <w:r w:rsidRPr="00497EE9">
        <w:t xml:space="preserve">se recibe </w:t>
      </w:r>
      <w:r w:rsidR="00446980" w:rsidRPr="00497EE9">
        <w:t xml:space="preserve">información relevante respecto a los hechos materia de investigación, </w:t>
      </w:r>
      <w:r w:rsidR="000B3A3D" w:rsidRPr="00497EE9">
        <w:t xml:space="preserve">que </w:t>
      </w:r>
      <w:r w:rsidR="00446980" w:rsidRPr="00497EE9">
        <w:t xml:space="preserve">se encuentra regulada en la Ley 906 de 2004 en sus artículos 205, 206, </w:t>
      </w:r>
      <w:r w:rsidR="00CE40C9" w:rsidRPr="00497EE9">
        <w:t xml:space="preserve">206A, </w:t>
      </w:r>
      <w:r w:rsidR="00446980" w:rsidRPr="00497EE9">
        <w:t>209</w:t>
      </w:r>
      <w:r w:rsidR="000B3A3D" w:rsidRPr="00497EE9">
        <w:t xml:space="preserve"> y</w:t>
      </w:r>
      <w:r w:rsidR="00446980" w:rsidRPr="00497EE9">
        <w:t xml:space="preserve"> 271</w:t>
      </w:r>
      <w:r w:rsidRPr="00497EE9">
        <w:t>.</w:t>
      </w:r>
      <w:r w:rsidR="00446980" w:rsidRPr="00497EE9">
        <w:t xml:space="preserve"> </w:t>
      </w:r>
    </w:p>
    <w:p w:rsidR="00E66E7C" w:rsidRPr="00497EE9" w:rsidRDefault="00E66E7C" w:rsidP="00963EA6">
      <w:pPr>
        <w:pStyle w:val="Sinespaciado"/>
      </w:pPr>
    </w:p>
    <w:p w:rsidR="000B3A3D" w:rsidRPr="00497EE9" w:rsidRDefault="00141066" w:rsidP="00963EA6">
      <w:pPr>
        <w:pStyle w:val="Sinespaciado"/>
        <w:rPr>
          <w:i/>
        </w:rPr>
      </w:pPr>
      <w:r w:rsidRPr="00497EE9">
        <w:t>6.3.</w:t>
      </w:r>
      <w:r w:rsidR="00254D5D" w:rsidRPr="00497EE9">
        <w:t>5</w:t>
      </w:r>
      <w:r w:rsidR="000B3A3D" w:rsidRPr="00497EE9">
        <w:t xml:space="preserve"> Por su parte el artí</w:t>
      </w:r>
      <w:r w:rsidRPr="00497EE9">
        <w:t>culo 3</w:t>
      </w:r>
      <w:r w:rsidR="00446B72">
        <w:t>45</w:t>
      </w:r>
      <w:r w:rsidR="00D60AA5" w:rsidRPr="00497EE9">
        <w:t xml:space="preserve"> del </w:t>
      </w:r>
      <w:proofErr w:type="spellStart"/>
      <w:r w:rsidR="00D60AA5" w:rsidRPr="00497EE9">
        <w:t>CPP</w:t>
      </w:r>
      <w:proofErr w:type="spellEnd"/>
      <w:r w:rsidR="00D60AA5" w:rsidRPr="00497EE9">
        <w:t>, al referirse a las restricciones al descubrimiento pr</w:t>
      </w:r>
      <w:r w:rsidR="000B3A3D" w:rsidRPr="00497EE9">
        <w:t>obatorio establece lo siguiente</w:t>
      </w:r>
      <w:r w:rsidR="00D60AA5" w:rsidRPr="00497EE9">
        <w:t>:</w:t>
      </w:r>
      <w:r w:rsidR="00D60AA5" w:rsidRPr="00497EE9">
        <w:rPr>
          <w:i/>
        </w:rPr>
        <w:t xml:space="preserve"> </w:t>
      </w:r>
    </w:p>
    <w:p w:rsidR="000B3A3D" w:rsidRPr="00497EE9" w:rsidRDefault="000B3A3D" w:rsidP="00963EA6">
      <w:pPr>
        <w:pStyle w:val="Sinespaciado"/>
      </w:pPr>
    </w:p>
    <w:p w:rsidR="000B3A3D" w:rsidRPr="00497EE9" w:rsidRDefault="000B3A3D" w:rsidP="00963EA6">
      <w:pPr>
        <w:pStyle w:val="Sinespaciado"/>
      </w:pPr>
      <w:r w:rsidRPr="00497EE9">
        <w:t>“</w:t>
      </w:r>
      <w:r w:rsidR="00D60AA5" w:rsidRPr="00497EE9">
        <w:t>RESTRICCIO</w:t>
      </w:r>
      <w:r w:rsidRPr="00497EE9">
        <w:t>NES AL DESCUBRIMIENTO DE PRUEBA</w:t>
      </w:r>
      <w:r w:rsidR="00D60AA5" w:rsidRPr="00497EE9">
        <w:t xml:space="preserve">. Las partes no podrán ser obligadas a descubrir: </w:t>
      </w:r>
    </w:p>
    <w:p w:rsidR="000B3A3D" w:rsidRPr="00497EE9" w:rsidRDefault="000B3A3D" w:rsidP="00963EA6">
      <w:pPr>
        <w:pStyle w:val="Sinespaciado"/>
      </w:pPr>
    </w:p>
    <w:p w:rsidR="000B3A3D" w:rsidRPr="00497EE9" w:rsidRDefault="00D60AA5" w:rsidP="00963EA6">
      <w:pPr>
        <w:pStyle w:val="Sinespaciado"/>
      </w:pPr>
      <w:r w:rsidRPr="00497EE9">
        <w:t xml:space="preserve">1. Información sobre la cual alguna norma disponga su secreto, como las conversaciones </w:t>
      </w:r>
      <w:r w:rsidR="000B3A3D" w:rsidRPr="00497EE9">
        <w:t xml:space="preserve">del imputado con su abogado. </w:t>
      </w:r>
    </w:p>
    <w:p w:rsidR="000B3A3D" w:rsidRPr="00497EE9" w:rsidRDefault="000B3A3D" w:rsidP="00963EA6">
      <w:pPr>
        <w:pStyle w:val="Sinespaciado"/>
      </w:pPr>
    </w:p>
    <w:p w:rsidR="00D60AA5" w:rsidRPr="00497EE9" w:rsidRDefault="000B3A3D" w:rsidP="00963EA6">
      <w:pPr>
        <w:pStyle w:val="Sinespaciado"/>
      </w:pPr>
      <w:r w:rsidRPr="00497EE9">
        <w:t xml:space="preserve">2 </w:t>
      </w:r>
      <w:r w:rsidR="00D60AA5" w:rsidRPr="00497EE9">
        <w:t>Información sobre hechos ajenos</w:t>
      </w:r>
      <w:r w:rsidRPr="00497EE9">
        <w:t xml:space="preserve"> a la acusación y en particular</w:t>
      </w:r>
      <w:r w:rsidR="00D60AA5" w:rsidRPr="00497EE9">
        <w:t>, información relativa a hechos que por disposición legal o constitucional</w:t>
      </w:r>
      <w:r w:rsidR="009B4B16" w:rsidRPr="00497EE9">
        <w:t xml:space="preserve"> no pueden ser objeto de prueba</w:t>
      </w:r>
      <w:r w:rsidR="00D60AA5" w:rsidRPr="00497EE9">
        <w:t>.</w:t>
      </w:r>
    </w:p>
    <w:p w:rsidR="000B3A3D" w:rsidRPr="00497EE9" w:rsidRDefault="000B3A3D" w:rsidP="00963EA6">
      <w:pPr>
        <w:pStyle w:val="Sinespaciado"/>
      </w:pPr>
    </w:p>
    <w:p w:rsidR="00D95D51" w:rsidRPr="00497EE9" w:rsidRDefault="00D60AA5" w:rsidP="00963EA6">
      <w:pPr>
        <w:pStyle w:val="Sinespaciado"/>
      </w:pPr>
      <w:r w:rsidRPr="00497EE9">
        <w:t>Por su parte el a</w:t>
      </w:r>
      <w:r w:rsidR="00D95D51" w:rsidRPr="00497EE9">
        <w:t>rtículo 385</w:t>
      </w:r>
      <w:r w:rsidR="00D95D51" w:rsidRPr="00497EE9">
        <w:rPr>
          <w:i/>
        </w:rPr>
        <w:t xml:space="preserve"> ibídem, </w:t>
      </w:r>
      <w:r w:rsidR="00D95D51" w:rsidRPr="00497EE9">
        <w:t>establece que:</w:t>
      </w:r>
    </w:p>
    <w:p w:rsidR="00D95D51" w:rsidRPr="00497EE9" w:rsidRDefault="00D95D51" w:rsidP="00963EA6">
      <w:pPr>
        <w:pStyle w:val="Sinespaciado"/>
      </w:pPr>
    </w:p>
    <w:p w:rsidR="009B4B16" w:rsidRPr="00497EE9" w:rsidRDefault="00D95D51" w:rsidP="00963EA6">
      <w:pPr>
        <w:pStyle w:val="Sinespaciado"/>
      </w:pPr>
      <w:r w:rsidRPr="00497EE9">
        <w:t>“Son excepciones al deber de declarar, las relacione</w:t>
      </w:r>
      <w:r w:rsidR="00F24FCA" w:rsidRPr="00497EE9">
        <w:t>s</w:t>
      </w:r>
      <w:r w:rsidR="009B4B16" w:rsidRPr="00497EE9">
        <w:t xml:space="preserve"> de </w:t>
      </w:r>
      <w:r w:rsidRPr="00497EE9">
        <w:t xml:space="preserve">(...)  </w:t>
      </w:r>
    </w:p>
    <w:p w:rsidR="009B4B16" w:rsidRPr="00497EE9" w:rsidRDefault="009B4B16" w:rsidP="00963EA6">
      <w:pPr>
        <w:pStyle w:val="Sinespaciado"/>
      </w:pPr>
    </w:p>
    <w:p w:rsidR="00D95D51" w:rsidRPr="00497EE9" w:rsidRDefault="00D95D51" w:rsidP="00963EA6">
      <w:pPr>
        <w:pStyle w:val="Sinespaciado"/>
      </w:pPr>
      <w:r w:rsidRPr="00497EE9">
        <w:t>h) investigador con el informante.</w:t>
      </w:r>
    </w:p>
    <w:p w:rsidR="00D95D51" w:rsidRPr="00497EE9" w:rsidRDefault="00D95D51" w:rsidP="00963EA6">
      <w:pPr>
        <w:pStyle w:val="Sinespaciado"/>
      </w:pPr>
    </w:p>
    <w:p w:rsidR="00E53DF4" w:rsidRPr="00497EE9" w:rsidRDefault="00006832" w:rsidP="00963EA6">
      <w:pPr>
        <w:pStyle w:val="Sinespaciado"/>
      </w:pPr>
      <w:r w:rsidRPr="00497EE9">
        <w:t>6.</w:t>
      </w:r>
      <w:r w:rsidR="00D95D51" w:rsidRPr="00497EE9">
        <w:t>3.6 Ahora b</w:t>
      </w:r>
      <w:r w:rsidR="00E220DF" w:rsidRPr="00497EE9">
        <w:t>i</w:t>
      </w:r>
      <w:r w:rsidR="00D95D51" w:rsidRPr="00497EE9">
        <w:t>en, como lo que pretende la defensa en este caso específico, es que se o</w:t>
      </w:r>
      <w:r w:rsidR="009B4B16" w:rsidRPr="00497EE9">
        <w:t xml:space="preserve">bligue a la delegada de la </w:t>
      </w:r>
      <w:proofErr w:type="spellStart"/>
      <w:r w:rsidR="009B4B16" w:rsidRPr="00497EE9">
        <w:t>FGN</w:t>
      </w:r>
      <w:proofErr w:type="spellEnd"/>
      <w:r w:rsidR="009B4B16" w:rsidRPr="00497EE9">
        <w:t xml:space="preserve"> </w:t>
      </w:r>
      <w:r w:rsidR="00D95D51" w:rsidRPr="00497EE9">
        <w:t>a que descubra la entrevista con base en la cua</w:t>
      </w:r>
      <w:r w:rsidR="009B4B16" w:rsidRPr="00497EE9">
        <w:t>l se diseñó el operativo en el cual se dio captura a la procesada,</w:t>
      </w:r>
      <w:r w:rsidR="00D95D51" w:rsidRPr="00497EE9">
        <w:t xml:space="preserve"> se debe tener en cuenta el argume</w:t>
      </w:r>
      <w:r w:rsidR="00824F18" w:rsidRPr="00497EE9">
        <w:t>nt</w:t>
      </w:r>
      <w:r w:rsidR="00E53DF4" w:rsidRPr="00497EE9">
        <w:t xml:space="preserve">o central de la </w:t>
      </w:r>
      <w:r w:rsidR="00F24FCA" w:rsidRPr="00497EE9">
        <w:t xml:space="preserve">vocera del ente acusador, </w:t>
      </w:r>
      <w:r w:rsidR="00E53DF4" w:rsidRPr="00497EE9">
        <w:t>según el cual d</w:t>
      </w:r>
      <w:r w:rsidR="00232A39" w:rsidRPr="00497EE9">
        <w:t xml:space="preserve">e descubrirse esa entrevista a </w:t>
      </w:r>
      <w:r w:rsidR="00E53DF4" w:rsidRPr="00497EE9">
        <w:t>la defensa podría correr riesgo la vida o la integridad</w:t>
      </w:r>
      <w:r w:rsidR="00232A39" w:rsidRPr="00497EE9">
        <w:t xml:space="preserve"> de quien la rindió,</w:t>
      </w:r>
      <w:r w:rsidR="00E53DF4" w:rsidRPr="00497EE9">
        <w:t xml:space="preserve"> ya que se conocería la identidad del confidente que entregó la información que terminó por involucrar a la procesa</w:t>
      </w:r>
      <w:r w:rsidR="00232A39" w:rsidRPr="00497EE9">
        <w:t>da, máxime si se trataba de una</w:t>
      </w:r>
      <w:r w:rsidR="00E53DF4" w:rsidRPr="00497EE9">
        <w:t xml:space="preserve"> persona allegada a su familia.</w:t>
      </w:r>
    </w:p>
    <w:p w:rsidR="00E53DF4" w:rsidRPr="00497EE9" w:rsidRDefault="00E53DF4" w:rsidP="00963EA6">
      <w:pPr>
        <w:pStyle w:val="Sinespaciado"/>
      </w:pPr>
    </w:p>
    <w:p w:rsidR="00BB3AC8" w:rsidRPr="00497EE9" w:rsidRDefault="00E53DF4" w:rsidP="00963EA6">
      <w:pPr>
        <w:pStyle w:val="Sinespaciado"/>
      </w:pPr>
      <w:r w:rsidRPr="00497EE9">
        <w:t>6.3.7 En atención a los precedentes de la Corte Constitucional referidos por el juez de conocimiento, hay que tener</w:t>
      </w:r>
      <w:r w:rsidR="00232A39" w:rsidRPr="00497EE9">
        <w:t xml:space="preserve"> en cuenta que en la sentencia C</w:t>
      </w:r>
      <w:r w:rsidRPr="00497EE9">
        <w:t>- 673 de 2005 se dijo lo siguiente</w:t>
      </w:r>
      <w:r w:rsidR="000E679B" w:rsidRPr="00497EE9">
        <w:t xml:space="preserve"> al hacerse control abstracto del inciso 2º del </w:t>
      </w:r>
      <w:r w:rsidR="00232A39" w:rsidRPr="00497EE9">
        <w:t>artículo</w:t>
      </w:r>
      <w:r w:rsidR="000E679B" w:rsidRPr="00497EE9">
        <w:t xml:space="preserve"> 221 del </w:t>
      </w:r>
      <w:proofErr w:type="spellStart"/>
      <w:r w:rsidR="000E679B" w:rsidRPr="00497EE9">
        <w:t>CP</w:t>
      </w:r>
      <w:proofErr w:type="spellEnd"/>
      <w:r w:rsidR="00373EE6" w:rsidRPr="00497EE9">
        <w:t xml:space="preserve">, </w:t>
      </w:r>
      <w:r w:rsidR="00BB3AC8" w:rsidRPr="00497EE9">
        <w:t xml:space="preserve">sobre el </w:t>
      </w:r>
      <w:r w:rsidR="00373EE6" w:rsidRPr="00497EE9">
        <w:t xml:space="preserve"> tema puntual relacionado con la protección de los i</w:t>
      </w:r>
      <w:r w:rsidR="00232A39" w:rsidRPr="00497EE9">
        <w:t>nformantes</w:t>
      </w:r>
      <w:r w:rsidR="00BB3AC8" w:rsidRPr="00497EE9">
        <w:t>:</w:t>
      </w:r>
    </w:p>
    <w:p w:rsidR="00232A39" w:rsidRPr="00497EE9" w:rsidRDefault="00232A39" w:rsidP="00963EA6">
      <w:pPr>
        <w:pStyle w:val="Sinespaciado"/>
      </w:pPr>
    </w:p>
    <w:p w:rsidR="00232A39" w:rsidRPr="00497EE9" w:rsidRDefault="00232A39" w:rsidP="00963EA6">
      <w:pPr>
        <w:pStyle w:val="Sinespaciado"/>
      </w:pPr>
    </w:p>
    <w:p w:rsidR="00BB3AC8" w:rsidRPr="00497EE9" w:rsidRDefault="00232A39" w:rsidP="00963EA6">
      <w:pPr>
        <w:pStyle w:val="Sinespaciado"/>
      </w:pPr>
      <w:r w:rsidRPr="00497EE9">
        <w:t>“</w:t>
      </w:r>
      <w:r w:rsidR="00BB3AC8" w:rsidRPr="00497EE9">
        <w:t xml:space="preserve">(...) </w:t>
      </w:r>
    </w:p>
    <w:p w:rsidR="00373EE6" w:rsidRPr="00497EE9" w:rsidRDefault="00373EE6"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p>
    <w:p w:rsidR="009A32A8" w:rsidRPr="00497EE9" w:rsidRDefault="009A32A8"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r w:rsidRPr="00497EE9">
        <w:rPr>
          <w:rFonts w:ascii="Arial" w:eastAsia="Times New Roman" w:hAnsi="Arial" w:cs="Arial"/>
          <w:i/>
          <w:sz w:val="20"/>
          <w:szCs w:val="20"/>
          <w:lang w:val="es-CO" w:eastAsia="es-ES"/>
        </w:rPr>
        <w:t xml:space="preserve">Ahora bien, siguiendo la Vista Fiscal, cabe señalar que el juez de control de garantías debe conocer los datos del informante, quien además en los términos del primer inciso del artículo 221 del nuevo </w:t>
      </w:r>
      <w:proofErr w:type="spellStart"/>
      <w:r w:rsidRPr="00497EE9">
        <w:rPr>
          <w:rFonts w:ascii="Arial" w:eastAsia="Times New Roman" w:hAnsi="Arial" w:cs="Arial"/>
          <w:i/>
          <w:sz w:val="20"/>
          <w:szCs w:val="20"/>
          <w:lang w:val="es-CO" w:eastAsia="es-ES"/>
        </w:rPr>
        <w:t>C.P.P</w:t>
      </w:r>
      <w:proofErr w:type="spellEnd"/>
      <w:r w:rsidRPr="00497EE9">
        <w:rPr>
          <w:rFonts w:ascii="Arial" w:eastAsia="Times New Roman" w:hAnsi="Arial" w:cs="Arial"/>
          <w:i/>
          <w:sz w:val="20"/>
          <w:szCs w:val="20"/>
          <w:lang w:val="es-CO" w:eastAsia="es-ES"/>
        </w:rPr>
        <w:t xml:space="preserve">. ha debido rendir una </w:t>
      </w:r>
      <w:r w:rsidRPr="00497EE9">
        <w:rPr>
          <w:rFonts w:ascii="Arial" w:eastAsia="Times New Roman" w:hAnsi="Arial" w:cs="Arial"/>
          <w:bCs/>
          <w:i/>
          <w:sz w:val="20"/>
          <w:szCs w:val="20"/>
          <w:lang w:val="es-CO" w:eastAsia="es-ES"/>
        </w:rPr>
        <w:t>declaración bajo la gravedad de juramento</w:t>
      </w:r>
      <w:r w:rsidRPr="00497EE9">
        <w:rPr>
          <w:rFonts w:ascii="Arial" w:eastAsia="Times New Roman" w:hAnsi="Arial" w:cs="Arial"/>
          <w:i/>
          <w:sz w:val="20"/>
          <w:szCs w:val="20"/>
          <w:lang w:val="es-CO" w:eastAsia="es-ES"/>
        </w:rPr>
        <w:t>, que resulten relevantes para establecer si la información por él suministrada constituía o no motivos suficientes para decretar el registro y allanamiento. De otra manera, el funcionario judicial estaría extralimitándose en el ejercicio de sus competencias constitucionales.</w:t>
      </w:r>
    </w:p>
    <w:p w:rsidR="009A32A8" w:rsidRPr="00497EE9" w:rsidRDefault="009A32A8"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p>
    <w:p w:rsidR="009A32A8" w:rsidRPr="00497EE9" w:rsidRDefault="009A32A8" w:rsidP="00A3409B">
      <w:pPr>
        <w:pStyle w:val="Prrafodelista"/>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r w:rsidRPr="00497EE9">
        <w:rPr>
          <w:rFonts w:ascii="Arial" w:eastAsia="Times New Roman" w:hAnsi="Arial" w:cs="Arial"/>
          <w:i/>
          <w:sz w:val="20"/>
          <w:szCs w:val="20"/>
          <w:lang w:val="es-CO" w:eastAsia="es-ES"/>
        </w:rPr>
        <w:t>No se puede tampoco desconocer que hacer públicos los datos del informante conduciría, como lo ha señalado la jurisprudencia constitucional, a poner en grave peligro la seguridad de éste, y además,  impediría que en el futuro el ciudadano pudiese seguir suministrando valiosa información a las autoridades competentes. Además, de acuerdo con lo dispuesto en los artículos 155 de la Ley 906 de 2004, serán de carácter reservado las audiencias de control de legalidad sobre allanamientos y registros, entre otras, y como audiencia preliminar, y como se celebran con la presencia del imputado o de su defensor, no siendo obligatoria tampoco la asistencia del Ministerio Público, en ella no pueden hacerse públicos los datos del informante, aunque el juez de control de garantías deba conocerlos.</w:t>
      </w:r>
    </w:p>
    <w:p w:rsidR="009A32A8" w:rsidRPr="00497EE9" w:rsidRDefault="009A32A8"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sz w:val="20"/>
          <w:szCs w:val="20"/>
          <w:highlight w:val="green"/>
          <w:lang w:val="es-CO" w:eastAsia="es-ES"/>
        </w:rPr>
      </w:pPr>
    </w:p>
    <w:p w:rsidR="009A32A8" w:rsidRPr="00497EE9" w:rsidRDefault="009A32A8" w:rsidP="00A3409B">
      <w:pPr>
        <w:pStyle w:val="Prrafodelista"/>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sz w:val="20"/>
          <w:szCs w:val="20"/>
          <w:lang w:val="es-CO" w:eastAsia="es-ES"/>
        </w:rPr>
      </w:pPr>
      <w:r w:rsidRPr="00497EE9">
        <w:rPr>
          <w:rFonts w:ascii="Arial" w:eastAsia="Times New Roman" w:hAnsi="Arial" w:cs="Arial"/>
          <w:i/>
          <w:sz w:val="20"/>
          <w:szCs w:val="20"/>
          <w:lang w:val="es-CO" w:eastAsia="es-ES"/>
        </w:rPr>
        <w:t>Así las cosas, la expresión “</w:t>
      </w:r>
      <w:r w:rsidRPr="00497EE9">
        <w:rPr>
          <w:rFonts w:ascii="Arial" w:eastAsia="Times New Roman" w:hAnsi="Arial" w:cs="Arial"/>
          <w:i/>
          <w:iCs/>
          <w:sz w:val="20"/>
          <w:szCs w:val="20"/>
          <w:lang w:val="es-CO" w:eastAsia="es-ES"/>
        </w:rPr>
        <w:t>De todas maneras, los datos del informante serán reservados, inclusive para los efectos de la audiencia ante el juez de control de garantías</w:t>
      </w:r>
      <w:r w:rsidRPr="00497EE9">
        <w:rPr>
          <w:rFonts w:ascii="Arial" w:eastAsia="Times New Roman" w:hAnsi="Arial" w:cs="Arial"/>
          <w:i/>
          <w:sz w:val="20"/>
          <w:szCs w:val="20"/>
          <w:lang w:val="es-CO" w:eastAsia="es-ES"/>
        </w:rPr>
        <w:t>”, no puede ser entendida en el sentido de que la reserva sobre los datos del informante vincule al juez de control de garantías, por cuanto, se insiste, aquello impediría la realización de un control formal y material sobre la Fiscalía en materia de medidas de intervención en los derechos fundamentales. Al mismo tiempo, la preservación de la seguridad del informante, justifica que los datos de éste no sean de carácter público sino reservado, razón por la cual el segmento normativo “</w:t>
      </w:r>
      <w:r w:rsidRPr="00497EE9">
        <w:rPr>
          <w:rFonts w:ascii="Arial" w:eastAsia="Times New Roman" w:hAnsi="Arial" w:cs="Arial"/>
          <w:i/>
          <w:iCs/>
          <w:sz w:val="20"/>
          <w:szCs w:val="20"/>
          <w:lang w:val="es-CO" w:eastAsia="es-ES"/>
        </w:rPr>
        <w:t>inclusive para los efectos de la audiencia ante el juez de control de garantías</w:t>
      </w:r>
      <w:r w:rsidRPr="00497EE9">
        <w:rPr>
          <w:rFonts w:ascii="Arial" w:eastAsia="Times New Roman" w:hAnsi="Arial" w:cs="Arial"/>
          <w:i/>
          <w:sz w:val="20"/>
          <w:szCs w:val="20"/>
          <w:lang w:val="es-CO" w:eastAsia="es-ES"/>
        </w:rPr>
        <w:t>”, se ajusta a la Constitución, pero en el entendido que tales datos no pueden ser reservados para el juez que ejerza funciones de control de garantías.</w:t>
      </w:r>
      <w:r w:rsidR="000053F6" w:rsidRPr="00497EE9">
        <w:rPr>
          <w:rFonts w:ascii="Arial" w:eastAsia="Times New Roman" w:hAnsi="Arial" w:cs="Arial"/>
          <w:sz w:val="20"/>
          <w:szCs w:val="20"/>
          <w:lang w:val="es-CO" w:eastAsia="es-ES"/>
        </w:rPr>
        <w:t xml:space="preserve"> ( </w:t>
      </w:r>
      <w:proofErr w:type="gramStart"/>
      <w:r w:rsidR="000053F6" w:rsidRPr="00497EE9">
        <w:rPr>
          <w:rFonts w:ascii="Arial" w:eastAsia="Times New Roman" w:hAnsi="Arial" w:cs="Arial"/>
          <w:sz w:val="20"/>
          <w:szCs w:val="20"/>
          <w:lang w:val="es-CO" w:eastAsia="es-ES"/>
        </w:rPr>
        <w:t>subrayas</w:t>
      </w:r>
      <w:proofErr w:type="gramEnd"/>
      <w:r w:rsidR="000053F6" w:rsidRPr="00497EE9">
        <w:rPr>
          <w:rFonts w:ascii="Arial" w:eastAsia="Times New Roman" w:hAnsi="Arial" w:cs="Arial"/>
          <w:sz w:val="20"/>
          <w:szCs w:val="20"/>
          <w:lang w:val="es-CO" w:eastAsia="es-ES"/>
        </w:rPr>
        <w:t xml:space="preserve"> ex texto</w:t>
      </w:r>
      <w:r w:rsidR="00ED2B98" w:rsidRPr="00497EE9">
        <w:rPr>
          <w:rFonts w:ascii="Arial" w:eastAsia="Times New Roman" w:hAnsi="Arial" w:cs="Arial"/>
          <w:sz w:val="20"/>
          <w:szCs w:val="20"/>
          <w:lang w:val="es-CO" w:eastAsia="es-ES"/>
        </w:rPr>
        <w:t xml:space="preserve">) </w:t>
      </w:r>
    </w:p>
    <w:p w:rsidR="009A32A8" w:rsidRPr="00497EE9" w:rsidRDefault="009A32A8"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p>
    <w:p w:rsidR="009A32A8" w:rsidRPr="00497EE9" w:rsidRDefault="009A32A8" w:rsidP="00A3409B">
      <w:pPr>
        <w:pStyle w:val="Prrafodelista"/>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r w:rsidRPr="00497EE9">
        <w:rPr>
          <w:rFonts w:ascii="Arial" w:eastAsia="Times New Roman" w:hAnsi="Arial" w:cs="Arial"/>
          <w:i/>
          <w:sz w:val="20"/>
          <w:szCs w:val="20"/>
          <w:lang w:val="es-CO" w:eastAsia="es-ES"/>
        </w:rPr>
        <w:t>En este orden de ideas, la Corte declarará exequible el primer inciso del artículo 221 de la Ley 906 de 2004, por el cargo analizado. Y, exequibles las expresiones “</w:t>
      </w:r>
      <w:r w:rsidRPr="00497EE9">
        <w:rPr>
          <w:rFonts w:ascii="Arial" w:eastAsia="Times New Roman" w:hAnsi="Arial" w:cs="Arial"/>
          <w:i/>
          <w:iCs/>
          <w:sz w:val="20"/>
          <w:szCs w:val="20"/>
          <w:lang w:eastAsia="es-ES"/>
        </w:rPr>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w:t>
      </w:r>
      <w:r w:rsidRPr="00497EE9">
        <w:rPr>
          <w:rFonts w:ascii="Arial" w:eastAsia="Times New Roman" w:hAnsi="Arial" w:cs="Arial"/>
          <w:i/>
          <w:sz w:val="20"/>
          <w:szCs w:val="20"/>
          <w:lang w:eastAsia="es-ES"/>
        </w:rPr>
        <w:t xml:space="preserve">, por el cargo analizado, en el entendido de que el caso de los informantes el fiscal podrá eventualmente interrogarlo a fin de apreciar mejor su credibilidad; y </w:t>
      </w:r>
      <w:r w:rsidRPr="00497EE9">
        <w:rPr>
          <w:rFonts w:ascii="Arial" w:eastAsia="Times New Roman" w:hAnsi="Arial" w:cs="Arial"/>
          <w:i/>
          <w:sz w:val="20"/>
          <w:szCs w:val="20"/>
          <w:lang w:val="es-CO" w:eastAsia="es-ES"/>
        </w:rPr>
        <w:t>“</w:t>
      </w:r>
      <w:r w:rsidRPr="00497EE9">
        <w:rPr>
          <w:rFonts w:ascii="Arial" w:eastAsia="Times New Roman" w:hAnsi="Arial" w:cs="Arial"/>
          <w:i/>
          <w:iCs/>
          <w:sz w:val="20"/>
          <w:szCs w:val="20"/>
          <w:lang w:eastAsia="es-ES"/>
        </w:rPr>
        <w:t>De todas maneras, los datos del informante serán reservados, inclusive para los efectos de la audiencia ante el juez de control de garantías”</w:t>
      </w:r>
      <w:r w:rsidRPr="00497EE9">
        <w:rPr>
          <w:rFonts w:ascii="Arial" w:eastAsia="Times New Roman" w:hAnsi="Arial" w:cs="Arial"/>
          <w:i/>
          <w:sz w:val="20"/>
          <w:szCs w:val="20"/>
          <w:lang w:eastAsia="es-ES"/>
        </w:rPr>
        <w:t>,</w:t>
      </w:r>
      <w:r w:rsidRPr="00497EE9">
        <w:rPr>
          <w:rFonts w:ascii="Arial" w:eastAsia="Times New Roman" w:hAnsi="Arial" w:cs="Arial"/>
          <w:i/>
          <w:iCs/>
          <w:sz w:val="20"/>
          <w:szCs w:val="20"/>
          <w:lang w:eastAsia="es-ES"/>
        </w:rPr>
        <w:t xml:space="preserve"> </w:t>
      </w:r>
      <w:r w:rsidRPr="00497EE9">
        <w:rPr>
          <w:rFonts w:ascii="Arial" w:eastAsia="Times New Roman" w:hAnsi="Arial" w:cs="Arial"/>
          <w:i/>
          <w:sz w:val="20"/>
          <w:szCs w:val="20"/>
          <w:lang w:eastAsia="es-ES"/>
        </w:rPr>
        <w:t>por el cargo analizado, en el entendido de que la reserva de datos del informante no vincula al juez de control de garantías, ambas expresiones del inciso segundo del artículo 221 de la ley 906 de 2004.</w:t>
      </w:r>
      <w:r w:rsidR="00BB3AC8" w:rsidRPr="00497EE9">
        <w:rPr>
          <w:rFonts w:ascii="Arial" w:eastAsia="Times New Roman" w:hAnsi="Arial" w:cs="Arial"/>
          <w:i/>
          <w:sz w:val="20"/>
          <w:szCs w:val="20"/>
          <w:lang w:eastAsia="es-ES"/>
        </w:rPr>
        <w:t>” =</w:t>
      </w:r>
    </w:p>
    <w:p w:rsidR="009A32A8" w:rsidRPr="00497EE9" w:rsidRDefault="009A32A8" w:rsidP="00A3409B">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i/>
          <w:sz w:val="20"/>
          <w:szCs w:val="20"/>
          <w:lang w:val="es-CO" w:eastAsia="es-ES"/>
        </w:rPr>
      </w:pPr>
    </w:p>
    <w:p w:rsidR="000E679B" w:rsidRPr="00497EE9" w:rsidRDefault="000E679B" w:rsidP="002E7B79">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p>
    <w:p w:rsidR="007F559D" w:rsidRPr="00497EE9" w:rsidRDefault="00E220DF" w:rsidP="00232A39">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r w:rsidRPr="00497EE9">
        <w:rPr>
          <w:rFonts w:ascii="Arial" w:eastAsia="Times New Roman" w:hAnsi="Arial" w:cs="Arial"/>
          <w:bCs/>
          <w:sz w:val="24"/>
          <w:szCs w:val="24"/>
          <w:lang w:val="es-CO" w:eastAsia="es-ES"/>
        </w:rPr>
        <w:t xml:space="preserve">6.3.8 </w:t>
      </w:r>
      <w:r w:rsidR="00BB3AC8" w:rsidRPr="00497EE9">
        <w:rPr>
          <w:rFonts w:ascii="Arial" w:eastAsia="Times New Roman" w:hAnsi="Arial" w:cs="Arial"/>
          <w:bCs/>
          <w:sz w:val="24"/>
          <w:szCs w:val="24"/>
          <w:lang w:val="es-CO" w:eastAsia="es-ES"/>
        </w:rPr>
        <w:t xml:space="preserve">Los anteriores criterios fueron reiterados en la sentencia </w:t>
      </w:r>
      <w:r w:rsidR="000053F6" w:rsidRPr="00497EE9">
        <w:rPr>
          <w:rFonts w:ascii="Arial" w:eastAsia="Times New Roman" w:hAnsi="Arial" w:cs="Arial"/>
          <w:bCs/>
          <w:sz w:val="24"/>
          <w:szCs w:val="24"/>
          <w:lang w:val="es-CO" w:eastAsia="es-ES"/>
        </w:rPr>
        <w:t xml:space="preserve">C-1260 de 2005, citada por el juez de primera instancia en su pronunciamiento. </w:t>
      </w:r>
    </w:p>
    <w:p w:rsidR="00E220DF" w:rsidRPr="00497EE9" w:rsidRDefault="00E220DF" w:rsidP="00232A39">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p>
    <w:p w:rsidR="00350657" w:rsidRPr="00497EE9" w:rsidRDefault="007A3C74" w:rsidP="007A3C74">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r w:rsidRPr="00497EE9">
        <w:rPr>
          <w:rFonts w:ascii="Arial" w:eastAsia="Times New Roman" w:hAnsi="Arial" w:cs="Arial"/>
          <w:bCs/>
          <w:sz w:val="24"/>
          <w:szCs w:val="24"/>
          <w:lang w:val="es-CO" w:eastAsia="es-ES"/>
        </w:rPr>
        <w:t xml:space="preserve">6.3.9 </w:t>
      </w:r>
      <w:r w:rsidR="00E220DF" w:rsidRPr="00497EE9">
        <w:rPr>
          <w:rFonts w:ascii="Arial" w:eastAsia="Times New Roman" w:hAnsi="Arial" w:cs="Arial"/>
          <w:bCs/>
          <w:sz w:val="24"/>
          <w:szCs w:val="24"/>
          <w:lang w:val="es-CO" w:eastAsia="es-ES"/>
        </w:rPr>
        <w:t>Como se observa, en este caso al no estarse adelantando una actuación en audiencia preliminar ante un juez con función de cont</w:t>
      </w:r>
      <w:r w:rsidRPr="00497EE9">
        <w:rPr>
          <w:rFonts w:ascii="Arial" w:eastAsia="Times New Roman" w:hAnsi="Arial" w:cs="Arial"/>
          <w:bCs/>
          <w:sz w:val="24"/>
          <w:szCs w:val="24"/>
          <w:lang w:val="es-CO" w:eastAsia="es-ES"/>
        </w:rPr>
        <w:t xml:space="preserve">rol de garantías, no resultaba </w:t>
      </w:r>
      <w:r w:rsidR="00E220DF" w:rsidRPr="00497EE9">
        <w:rPr>
          <w:rFonts w:ascii="Arial" w:eastAsia="Times New Roman" w:hAnsi="Arial" w:cs="Arial"/>
          <w:bCs/>
          <w:sz w:val="24"/>
          <w:szCs w:val="24"/>
          <w:lang w:val="es-CO" w:eastAsia="es-ES"/>
        </w:rPr>
        <w:t xml:space="preserve">procedente exigirle a la delegada de la </w:t>
      </w:r>
      <w:proofErr w:type="spellStart"/>
      <w:r w:rsidR="00E220DF" w:rsidRPr="00497EE9">
        <w:rPr>
          <w:rFonts w:ascii="Arial" w:eastAsia="Times New Roman" w:hAnsi="Arial" w:cs="Arial"/>
          <w:bCs/>
          <w:sz w:val="24"/>
          <w:szCs w:val="24"/>
          <w:lang w:val="es-CO" w:eastAsia="es-ES"/>
        </w:rPr>
        <w:t>FGN</w:t>
      </w:r>
      <w:proofErr w:type="spellEnd"/>
      <w:r w:rsidR="00E220DF" w:rsidRPr="00497EE9">
        <w:rPr>
          <w:rFonts w:ascii="Arial" w:eastAsia="Times New Roman" w:hAnsi="Arial" w:cs="Arial"/>
          <w:bCs/>
          <w:sz w:val="24"/>
          <w:szCs w:val="24"/>
          <w:lang w:val="es-CO" w:eastAsia="es-ES"/>
        </w:rPr>
        <w:t xml:space="preserve"> que descubri</w:t>
      </w:r>
      <w:r w:rsidR="00F24FCA" w:rsidRPr="00497EE9">
        <w:rPr>
          <w:rFonts w:ascii="Arial" w:eastAsia="Times New Roman" w:hAnsi="Arial" w:cs="Arial"/>
          <w:bCs/>
          <w:sz w:val="24"/>
          <w:szCs w:val="24"/>
          <w:lang w:val="es-CO" w:eastAsia="es-ES"/>
        </w:rPr>
        <w:t>e</w:t>
      </w:r>
      <w:r w:rsidR="00E220DF" w:rsidRPr="00497EE9">
        <w:rPr>
          <w:rFonts w:ascii="Arial" w:eastAsia="Times New Roman" w:hAnsi="Arial" w:cs="Arial"/>
          <w:bCs/>
          <w:sz w:val="24"/>
          <w:szCs w:val="24"/>
          <w:lang w:val="es-CO" w:eastAsia="es-ES"/>
        </w:rPr>
        <w:t>r</w:t>
      </w:r>
      <w:r w:rsidR="00F24FCA" w:rsidRPr="00497EE9">
        <w:rPr>
          <w:rFonts w:ascii="Arial" w:eastAsia="Times New Roman" w:hAnsi="Arial" w:cs="Arial"/>
          <w:bCs/>
          <w:sz w:val="24"/>
          <w:szCs w:val="24"/>
          <w:lang w:val="es-CO" w:eastAsia="es-ES"/>
        </w:rPr>
        <w:t>a</w:t>
      </w:r>
      <w:r w:rsidR="00E220DF" w:rsidRPr="00497EE9">
        <w:rPr>
          <w:rFonts w:ascii="Arial" w:eastAsia="Times New Roman" w:hAnsi="Arial" w:cs="Arial"/>
          <w:bCs/>
          <w:sz w:val="24"/>
          <w:szCs w:val="24"/>
          <w:lang w:val="es-CO" w:eastAsia="es-ES"/>
        </w:rPr>
        <w:t xml:space="preserve"> la entrevista del informante con base en la cual se</w:t>
      </w:r>
      <w:r w:rsidR="002B4913" w:rsidRPr="00497EE9">
        <w:rPr>
          <w:rFonts w:ascii="Arial" w:eastAsia="Times New Roman" w:hAnsi="Arial" w:cs="Arial"/>
          <w:bCs/>
          <w:sz w:val="24"/>
          <w:szCs w:val="24"/>
          <w:lang w:val="es-CO" w:eastAsia="es-ES"/>
        </w:rPr>
        <w:t xml:space="preserve"> ordenó el allanamiento</w:t>
      </w:r>
      <w:r w:rsidR="00E220DF" w:rsidRPr="00497EE9">
        <w:rPr>
          <w:rFonts w:ascii="Arial" w:eastAsia="Times New Roman" w:hAnsi="Arial" w:cs="Arial"/>
          <w:bCs/>
          <w:sz w:val="24"/>
          <w:szCs w:val="24"/>
          <w:lang w:val="es-CO" w:eastAsia="es-ES"/>
        </w:rPr>
        <w:t xml:space="preserve"> que culminó con el hallazgo de la fábrica de </w:t>
      </w:r>
      <w:r w:rsidR="00F24FCA" w:rsidRPr="00497EE9">
        <w:rPr>
          <w:rFonts w:ascii="Arial" w:eastAsia="Times New Roman" w:hAnsi="Arial" w:cs="Arial"/>
          <w:bCs/>
          <w:sz w:val="24"/>
          <w:szCs w:val="24"/>
          <w:lang w:val="es-CO" w:eastAsia="es-ES"/>
        </w:rPr>
        <w:t xml:space="preserve">dólares </w:t>
      </w:r>
      <w:r w:rsidR="00E220DF" w:rsidRPr="00497EE9">
        <w:rPr>
          <w:rFonts w:ascii="Arial" w:eastAsia="Times New Roman" w:hAnsi="Arial" w:cs="Arial"/>
          <w:bCs/>
          <w:sz w:val="24"/>
          <w:szCs w:val="24"/>
          <w:lang w:val="es-CO" w:eastAsia="es-ES"/>
        </w:rPr>
        <w:t>falsos</w:t>
      </w:r>
      <w:r w:rsidR="00350657" w:rsidRPr="00497EE9">
        <w:rPr>
          <w:rFonts w:ascii="Arial" w:eastAsia="Times New Roman" w:hAnsi="Arial" w:cs="Arial"/>
          <w:bCs/>
          <w:sz w:val="24"/>
          <w:szCs w:val="24"/>
          <w:lang w:val="es-CO" w:eastAsia="es-ES"/>
        </w:rPr>
        <w:t xml:space="preserve">, donde se capturó a María </w:t>
      </w:r>
      <w:proofErr w:type="spellStart"/>
      <w:r w:rsidR="00350657" w:rsidRPr="00497EE9">
        <w:rPr>
          <w:rFonts w:ascii="Arial" w:eastAsia="Times New Roman" w:hAnsi="Arial" w:cs="Arial"/>
          <w:bCs/>
          <w:sz w:val="24"/>
          <w:szCs w:val="24"/>
          <w:lang w:val="es-CO" w:eastAsia="es-ES"/>
        </w:rPr>
        <w:t>Policarpa</w:t>
      </w:r>
      <w:proofErr w:type="spellEnd"/>
      <w:r w:rsidR="00350657" w:rsidRPr="00497EE9">
        <w:rPr>
          <w:rFonts w:ascii="Arial" w:eastAsia="Times New Roman" w:hAnsi="Arial" w:cs="Arial"/>
          <w:bCs/>
          <w:sz w:val="24"/>
          <w:szCs w:val="24"/>
          <w:lang w:val="es-CO" w:eastAsia="es-ES"/>
        </w:rPr>
        <w:t xml:space="preserve"> Agudelo como arrendataria del inmueble donde se encontraron los mencionados billetes.</w:t>
      </w:r>
    </w:p>
    <w:p w:rsidR="00350657" w:rsidRPr="00497EE9" w:rsidRDefault="00350657" w:rsidP="002E7B79">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p>
    <w:p w:rsidR="00371CC6" w:rsidRPr="00497EE9" w:rsidRDefault="00350657" w:rsidP="002B4913">
      <w:pPr>
        <w:numPr>
          <w:ilvl w:val="0"/>
          <w:numId w:val="0"/>
        </w:numPr>
        <w:overflowPunct w:val="0"/>
        <w:autoSpaceDE w:val="0"/>
        <w:autoSpaceDN w:val="0"/>
        <w:adjustRightInd w:val="0"/>
        <w:spacing w:after="0" w:line="240" w:lineRule="auto"/>
        <w:jc w:val="both"/>
        <w:textAlignment w:val="baseline"/>
        <w:rPr>
          <w:rFonts w:ascii="Arial" w:eastAsia="Times New Roman" w:hAnsi="Arial" w:cs="Arial"/>
          <w:bCs/>
          <w:sz w:val="24"/>
          <w:szCs w:val="24"/>
          <w:lang w:val="es-CO" w:eastAsia="es-ES"/>
        </w:rPr>
      </w:pPr>
      <w:r w:rsidRPr="00497EE9">
        <w:rPr>
          <w:rFonts w:ascii="Arial" w:eastAsia="Times New Roman" w:hAnsi="Arial" w:cs="Arial"/>
          <w:bCs/>
          <w:sz w:val="24"/>
          <w:szCs w:val="24"/>
          <w:lang w:val="es-CO" w:eastAsia="es-ES"/>
        </w:rPr>
        <w:t>6.3.10 A su vez debe hacerse mención de una segunda situación relacionada con el valor probatorio que tendría la citada entrevista, enten</w:t>
      </w:r>
      <w:r w:rsidR="002B4913" w:rsidRPr="00497EE9">
        <w:rPr>
          <w:rFonts w:ascii="Arial" w:eastAsia="Times New Roman" w:hAnsi="Arial" w:cs="Arial"/>
          <w:bCs/>
          <w:sz w:val="24"/>
          <w:szCs w:val="24"/>
          <w:lang w:val="es-CO" w:eastAsia="es-ES"/>
        </w:rPr>
        <w:t>dida como acto de investigación</w:t>
      </w:r>
      <w:r w:rsidRPr="00497EE9">
        <w:rPr>
          <w:rFonts w:ascii="Arial" w:eastAsia="Times New Roman" w:hAnsi="Arial" w:cs="Arial"/>
          <w:bCs/>
          <w:sz w:val="24"/>
          <w:szCs w:val="24"/>
          <w:lang w:val="es-CO" w:eastAsia="es-ES"/>
        </w:rPr>
        <w:t xml:space="preserve">, sobre lo cual se cita lo expuesto </w:t>
      </w:r>
      <w:r w:rsidR="002B4913" w:rsidRPr="00497EE9">
        <w:rPr>
          <w:rFonts w:ascii="Arial" w:eastAsia="Times New Roman" w:hAnsi="Arial" w:cs="Arial"/>
          <w:bCs/>
          <w:sz w:val="24"/>
          <w:szCs w:val="24"/>
          <w:lang w:val="es-CO" w:eastAsia="es-ES"/>
        </w:rPr>
        <w:t>por esta C</w:t>
      </w:r>
      <w:r w:rsidR="008D5AB0" w:rsidRPr="00497EE9">
        <w:rPr>
          <w:rFonts w:ascii="Arial" w:eastAsia="Times New Roman" w:hAnsi="Arial" w:cs="Arial"/>
          <w:bCs/>
          <w:sz w:val="24"/>
          <w:szCs w:val="24"/>
          <w:lang w:val="es-CO" w:eastAsia="es-ES"/>
        </w:rPr>
        <w:t xml:space="preserve">olegiatura en decisión del 16 de febrero de 2007 </w:t>
      </w:r>
      <w:proofErr w:type="spellStart"/>
      <w:r w:rsidR="008D5AB0" w:rsidRPr="00497EE9">
        <w:rPr>
          <w:rFonts w:ascii="Arial" w:eastAsia="Times New Roman" w:hAnsi="Arial" w:cs="Arial"/>
          <w:bCs/>
          <w:sz w:val="24"/>
          <w:szCs w:val="24"/>
          <w:lang w:val="es-CO" w:eastAsia="es-ES"/>
        </w:rPr>
        <w:t>M.P</w:t>
      </w:r>
      <w:proofErr w:type="spellEnd"/>
      <w:r w:rsidR="008D5AB0" w:rsidRPr="00497EE9">
        <w:rPr>
          <w:rFonts w:ascii="Arial" w:eastAsia="Times New Roman" w:hAnsi="Arial" w:cs="Arial"/>
          <w:bCs/>
          <w:sz w:val="24"/>
          <w:szCs w:val="24"/>
          <w:lang w:val="es-CO" w:eastAsia="es-ES"/>
        </w:rPr>
        <w:t xml:space="preserve">. Jorge Arturo Castaño Duque, donde se </w:t>
      </w:r>
      <w:r w:rsidR="00F24FCA" w:rsidRPr="00497EE9">
        <w:rPr>
          <w:rFonts w:ascii="Arial" w:eastAsia="Times New Roman" w:hAnsi="Arial" w:cs="Arial"/>
          <w:bCs/>
          <w:sz w:val="24"/>
          <w:szCs w:val="24"/>
          <w:lang w:val="es-CO" w:eastAsia="es-ES"/>
        </w:rPr>
        <w:t xml:space="preserve">dijo lo </w:t>
      </w:r>
      <w:r w:rsidR="008D5AB0" w:rsidRPr="00497EE9">
        <w:rPr>
          <w:rFonts w:ascii="Arial" w:eastAsia="Times New Roman" w:hAnsi="Arial" w:cs="Arial"/>
          <w:bCs/>
          <w:sz w:val="24"/>
          <w:szCs w:val="24"/>
          <w:lang w:val="es-CO" w:eastAsia="es-ES"/>
        </w:rPr>
        <w:t>siguiente:</w:t>
      </w:r>
    </w:p>
    <w:p w:rsidR="002B4913" w:rsidRPr="00497EE9" w:rsidRDefault="002B4913" w:rsidP="002B4913">
      <w:pPr>
        <w:numPr>
          <w:ilvl w:val="0"/>
          <w:numId w:val="0"/>
        </w:numPr>
        <w:overflowPunct w:val="0"/>
        <w:autoSpaceDE w:val="0"/>
        <w:autoSpaceDN w:val="0"/>
        <w:adjustRightInd w:val="0"/>
        <w:spacing w:after="0" w:line="240" w:lineRule="auto"/>
        <w:ind w:left="567" w:right="616"/>
        <w:jc w:val="both"/>
        <w:textAlignment w:val="baseline"/>
        <w:rPr>
          <w:rFonts w:ascii="Arial" w:eastAsia="Times New Roman" w:hAnsi="Arial" w:cs="Arial"/>
          <w:bCs/>
          <w:sz w:val="24"/>
          <w:szCs w:val="24"/>
          <w:lang w:val="es-CO" w:eastAsia="es-ES"/>
        </w:rPr>
      </w:pPr>
    </w:p>
    <w:p w:rsidR="00E220DF" w:rsidRPr="00497EE9" w:rsidRDefault="00F24FCA" w:rsidP="002B4913">
      <w:pPr>
        <w:numPr>
          <w:ilvl w:val="0"/>
          <w:numId w:val="0"/>
        </w:numPr>
        <w:spacing w:line="240" w:lineRule="auto"/>
        <w:ind w:left="567" w:right="616"/>
        <w:jc w:val="both"/>
        <w:rPr>
          <w:rFonts w:ascii="Arial" w:hAnsi="Arial" w:cs="Arial"/>
          <w:i/>
          <w:sz w:val="20"/>
          <w:szCs w:val="20"/>
        </w:rPr>
      </w:pPr>
      <w:r w:rsidRPr="00497EE9">
        <w:rPr>
          <w:rFonts w:ascii="Arial" w:hAnsi="Arial" w:cs="Arial"/>
          <w:i/>
          <w:sz w:val="20"/>
          <w:szCs w:val="20"/>
        </w:rPr>
        <w:t>“...</w:t>
      </w:r>
      <w:r w:rsidR="00E220DF" w:rsidRPr="00497EE9">
        <w:rPr>
          <w:rFonts w:ascii="Arial" w:hAnsi="Arial" w:cs="Arial"/>
          <w:i/>
          <w:sz w:val="20"/>
          <w:szCs w:val="20"/>
        </w:rPr>
        <w:t xml:space="preserve">En nuestro medio, el valor que tienen las entrevistas, al igual que las declaraciones </w:t>
      </w:r>
      <w:proofErr w:type="spellStart"/>
      <w:r w:rsidR="00E220DF" w:rsidRPr="00497EE9">
        <w:rPr>
          <w:rFonts w:ascii="Arial" w:hAnsi="Arial" w:cs="Arial"/>
          <w:i/>
          <w:sz w:val="20"/>
          <w:szCs w:val="20"/>
        </w:rPr>
        <w:t>extrajuicio</w:t>
      </w:r>
      <w:proofErr w:type="spellEnd"/>
      <w:r w:rsidR="00E220DF" w:rsidRPr="00497EE9">
        <w:rPr>
          <w:rFonts w:ascii="Arial" w:hAnsi="Arial" w:cs="Arial"/>
          <w:i/>
          <w:sz w:val="20"/>
          <w:szCs w:val="20"/>
        </w:rPr>
        <w:t>, es bien diferente al de un verdadero medio probatorio, y para conjurar cualquier polémica al respecto aparece el artículo 347 de la Ley 906 de 2004, que sólo les confiere la posibilidad de servir como medios de impugnación de credibilidad, pero sin alcanzar la categoría de elemento probatorio. Textualmente esa disposición reza: “Cualquiera de las partes podrá aducir al proceso exposiciones, es decir declaraciones juradas de cualquiera de los testigos llamados a juicio, a efectos de impugnar su credibilidad. La Fiscalía General de la Nación podrá tomar exposiciones de los potenciales testigos que hubiere entrevistado la policía judicial, con el mismo valor anotado en el inciso anterior, si a juicio del fiscal que adelanta la investigación resultare conveniente para la preparación del juicio oral (…) No obstante, la información contenida en ellas no puede tomarse como una prueba por no haber sido practicada con sujeción al contrainterrogatorio de las partes.</w:t>
      </w:r>
    </w:p>
    <w:p w:rsidR="00E220DF" w:rsidRPr="00497EE9" w:rsidRDefault="00371CC6" w:rsidP="002B4913">
      <w:pPr>
        <w:numPr>
          <w:ilvl w:val="0"/>
          <w:numId w:val="0"/>
        </w:numPr>
        <w:spacing w:line="240" w:lineRule="auto"/>
        <w:ind w:left="567" w:right="616"/>
        <w:jc w:val="both"/>
        <w:rPr>
          <w:rFonts w:ascii="Arial" w:hAnsi="Arial" w:cs="Arial"/>
          <w:sz w:val="20"/>
          <w:szCs w:val="20"/>
        </w:rPr>
      </w:pPr>
      <w:r w:rsidRPr="00497EE9">
        <w:rPr>
          <w:rFonts w:ascii="Arial" w:hAnsi="Arial" w:cs="Arial"/>
          <w:sz w:val="20"/>
          <w:szCs w:val="20"/>
        </w:rPr>
        <w:t xml:space="preserve">(...) </w:t>
      </w:r>
    </w:p>
    <w:p w:rsidR="00E220DF" w:rsidRPr="00497EE9" w:rsidRDefault="00E220DF" w:rsidP="002B4913">
      <w:pPr>
        <w:numPr>
          <w:ilvl w:val="0"/>
          <w:numId w:val="0"/>
        </w:numPr>
        <w:spacing w:line="240" w:lineRule="auto"/>
        <w:ind w:left="567" w:right="616"/>
        <w:jc w:val="both"/>
        <w:rPr>
          <w:rFonts w:ascii="Arial" w:hAnsi="Arial" w:cs="Arial"/>
          <w:i/>
          <w:sz w:val="20"/>
          <w:szCs w:val="20"/>
        </w:rPr>
      </w:pPr>
      <w:r w:rsidRPr="00497EE9">
        <w:rPr>
          <w:rFonts w:ascii="Arial" w:hAnsi="Arial" w:cs="Arial"/>
          <w:i/>
          <w:sz w:val="20"/>
          <w:szCs w:val="20"/>
        </w:rPr>
        <w:t xml:space="preserve">Siguiendo esa línea de pensamiento, podría argumentarse que no hay lugar a excluir lo que no tiene categoría de medio probatorio y en tal dirección la polémica que aquí se ha planteado carecería de sentido jurídico. No obstante, el Tribunal comprende que ante determinadas circunstancias, dado que una entrevista no suple el medio probatorio, sí puede llegar a aniquilarlo, y esto ocurre cuando el funcionario judicial, haciendo uso de su potestad valorativa, halla más crédito al contenido de una entrevista </w:t>
      </w:r>
      <w:proofErr w:type="spellStart"/>
      <w:r w:rsidRPr="00497EE9">
        <w:rPr>
          <w:rFonts w:ascii="Arial" w:hAnsi="Arial" w:cs="Arial"/>
          <w:i/>
          <w:sz w:val="20"/>
          <w:szCs w:val="20"/>
        </w:rPr>
        <w:t>preconstituida</w:t>
      </w:r>
      <w:proofErr w:type="spellEnd"/>
      <w:r w:rsidRPr="00497EE9">
        <w:rPr>
          <w:rFonts w:ascii="Arial" w:hAnsi="Arial" w:cs="Arial"/>
          <w:i/>
          <w:sz w:val="20"/>
          <w:szCs w:val="20"/>
        </w:rPr>
        <w:t xml:space="preserve"> que al testimonio rendido en juicio.</w:t>
      </w:r>
    </w:p>
    <w:p w:rsidR="00E220DF" w:rsidRPr="00497EE9" w:rsidRDefault="00E220DF" w:rsidP="002B4913">
      <w:pPr>
        <w:numPr>
          <w:ilvl w:val="0"/>
          <w:numId w:val="0"/>
        </w:numPr>
        <w:spacing w:line="240" w:lineRule="auto"/>
        <w:ind w:left="567" w:right="616"/>
        <w:jc w:val="both"/>
        <w:rPr>
          <w:rFonts w:ascii="Arial" w:hAnsi="Arial" w:cs="Arial"/>
          <w:bCs/>
          <w:i/>
          <w:sz w:val="20"/>
          <w:szCs w:val="20"/>
        </w:rPr>
      </w:pPr>
      <w:r w:rsidRPr="00497EE9">
        <w:rPr>
          <w:rFonts w:ascii="Arial" w:hAnsi="Arial" w:cs="Arial"/>
          <w:bCs/>
          <w:i/>
          <w:sz w:val="20"/>
          <w:szCs w:val="20"/>
        </w:rPr>
        <w:t>Precisamente esta fue la conclusión a la que llegó en muy reciente fallo la Corte Suprema en Sala de Casación Penal, cuando expresó:</w:t>
      </w:r>
    </w:p>
    <w:p w:rsidR="00E220DF" w:rsidRPr="00497EE9" w:rsidRDefault="00E220DF" w:rsidP="002B4913">
      <w:pPr>
        <w:numPr>
          <w:ilvl w:val="0"/>
          <w:numId w:val="0"/>
        </w:numPr>
        <w:spacing w:line="240" w:lineRule="auto"/>
        <w:ind w:left="567" w:right="616"/>
        <w:jc w:val="both"/>
        <w:rPr>
          <w:rFonts w:ascii="Arial" w:hAnsi="Arial" w:cs="Arial"/>
          <w:i/>
          <w:sz w:val="20"/>
          <w:szCs w:val="20"/>
        </w:rPr>
      </w:pPr>
      <w:r w:rsidRPr="00497EE9">
        <w:rPr>
          <w:rFonts w:ascii="Arial" w:hAnsi="Arial" w:cs="Arial"/>
          <w:bCs/>
          <w:i/>
          <w:sz w:val="20"/>
          <w:szCs w:val="20"/>
        </w:rPr>
        <w:t xml:space="preserve">Véase cómo desde la perspectiva de la </w:t>
      </w:r>
      <w:r w:rsidRPr="00497EE9">
        <w:rPr>
          <w:rFonts w:ascii="Arial" w:hAnsi="Arial" w:cs="Arial"/>
          <w:i/>
          <w:sz w:val="20"/>
          <w:szCs w:val="20"/>
        </w:rPr>
        <w:t>inmediación</w:t>
      </w:r>
      <w:r w:rsidRPr="00497EE9">
        <w:rPr>
          <w:rFonts w:ascii="Arial" w:hAnsi="Arial" w:cs="Arial"/>
          <w:bCs/>
          <w:i/>
          <w:sz w:val="20"/>
          <w:szCs w:val="20"/>
        </w:rPr>
        <w:t>, el juez tiene en su presencia al autor del testimonio. Puede por ello valorar su cambiante posición frente a afirmaciones anteriores y también puede valorar lo manifestado al ejercer la última palabra, optando por la que en su convicción considere más fiable.</w:t>
      </w:r>
      <w:r w:rsidRPr="00497EE9">
        <w:rPr>
          <w:rStyle w:val="Refdenotaalpie"/>
          <w:rFonts w:ascii="Arial" w:hAnsi="Arial" w:cs="Arial"/>
          <w:bCs/>
          <w:i/>
          <w:sz w:val="20"/>
          <w:szCs w:val="20"/>
        </w:rPr>
        <w:footnoteReference w:id="1"/>
      </w:r>
    </w:p>
    <w:p w:rsidR="00E220DF" w:rsidRPr="00497EE9" w:rsidRDefault="00371CC6" w:rsidP="002B4913">
      <w:pPr>
        <w:numPr>
          <w:ilvl w:val="0"/>
          <w:numId w:val="0"/>
        </w:numPr>
        <w:spacing w:line="240" w:lineRule="auto"/>
        <w:ind w:left="567" w:right="616"/>
        <w:jc w:val="both"/>
        <w:rPr>
          <w:rFonts w:ascii="Arial" w:hAnsi="Arial" w:cs="Arial"/>
          <w:i/>
          <w:sz w:val="20"/>
          <w:szCs w:val="20"/>
          <w:lang w:val="es-ES_tradnl"/>
        </w:rPr>
      </w:pPr>
      <w:r w:rsidRPr="00497EE9">
        <w:rPr>
          <w:rFonts w:ascii="Arial" w:hAnsi="Arial" w:cs="Arial"/>
          <w:i/>
          <w:sz w:val="20"/>
          <w:szCs w:val="20"/>
        </w:rPr>
        <w:lastRenderedPageBreak/>
        <w:t xml:space="preserve">(...) </w:t>
      </w:r>
    </w:p>
    <w:p w:rsidR="00E220DF" w:rsidRPr="00497EE9" w:rsidRDefault="00E220DF" w:rsidP="002B4913">
      <w:pPr>
        <w:numPr>
          <w:ilvl w:val="0"/>
          <w:numId w:val="0"/>
        </w:numPr>
        <w:spacing w:line="240" w:lineRule="auto"/>
        <w:ind w:left="567" w:right="616"/>
        <w:jc w:val="both"/>
        <w:rPr>
          <w:rFonts w:ascii="Arial" w:hAnsi="Arial" w:cs="Arial"/>
          <w:i/>
          <w:sz w:val="20"/>
          <w:szCs w:val="20"/>
        </w:rPr>
      </w:pPr>
      <w:r w:rsidRPr="00497EE9">
        <w:rPr>
          <w:rFonts w:ascii="Arial" w:hAnsi="Arial" w:cs="Arial"/>
          <w:i/>
          <w:sz w:val="20"/>
          <w:szCs w:val="20"/>
        </w:rPr>
        <w:t>En esos términos, la entrevista adquiere un papel relevante y hasta preponderante al momento de la definición de un específico caso. Precisamente por eso, a la introducción de las entrevistas en juicio, se le ha rodeado de los mismos presupuestos de validez y de garantías que los concernientes a los medios probatorios; v. gr., se exige que ellas no sean presentadas intempestivamente en el acto público con sorpresa para la parte contraria, sin haber tenido la oportunidad de solicitar su descubrimiento previo con posibilidades de confrontación en franca lid</w:t>
      </w:r>
      <w:r w:rsidR="00BB79B9" w:rsidRPr="00497EE9">
        <w:rPr>
          <w:rFonts w:ascii="Arial" w:hAnsi="Arial" w:cs="Arial"/>
          <w:i/>
          <w:sz w:val="20"/>
          <w:szCs w:val="20"/>
        </w:rPr>
        <w:t>....”</w:t>
      </w:r>
      <w:r w:rsidRPr="00497EE9">
        <w:rPr>
          <w:rFonts w:ascii="Arial" w:hAnsi="Arial" w:cs="Arial"/>
          <w:i/>
          <w:sz w:val="20"/>
          <w:szCs w:val="20"/>
        </w:rPr>
        <w:t>.</w:t>
      </w:r>
    </w:p>
    <w:p w:rsidR="001E6A82" w:rsidRPr="00497EE9" w:rsidRDefault="001E6A82" w:rsidP="00963EA6">
      <w:pPr>
        <w:pStyle w:val="Sinespaciado"/>
      </w:pPr>
    </w:p>
    <w:p w:rsidR="002B4913" w:rsidRPr="00497EE9" w:rsidRDefault="00F24FCA" w:rsidP="00963EA6">
      <w:pPr>
        <w:pStyle w:val="Sinespaciado"/>
      </w:pPr>
      <w:r w:rsidRPr="00497EE9">
        <w:t xml:space="preserve">6.3.11 Sin </w:t>
      </w:r>
      <w:r w:rsidR="00392380" w:rsidRPr="00497EE9">
        <w:t xml:space="preserve">embargo </w:t>
      </w:r>
      <w:r w:rsidRPr="00497EE9">
        <w:t>y más allá de la discusión planteada por el recurrente, se d</w:t>
      </w:r>
      <w:r w:rsidR="00392380" w:rsidRPr="00497EE9">
        <w:t>ebe tener en cuenta una</w:t>
      </w:r>
      <w:r w:rsidRPr="00497EE9">
        <w:t>s</w:t>
      </w:r>
      <w:r w:rsidR="00392380" w:rsidRPr="00497EE9">
        <w:t xml:space="preserve"> situaci</w:t>
      </w:r>
      <w:r w:rsidRPr="00497EE9">
        <w:t>ones particu</w:t>
      </w:r>
      <w:r w:rsidR="0067165B" w:rsidRPr="00497EE9">
        <w:t xml:space="preserve">lares que se </w:t>
      </w:r>
      <w:r w:rsidR="00392380" w:rsidRPr="00497EE9">
        <w:t>presenta</w:t>
      </w:r>
      <w:r w:rsidR="002B4913" w:rsidRPr="00497EE9">
        <w:t>n</w:t>
      </w:r>
      <w:r w:rsidR="00392380" w:rsidRPr="00497EE9">
        <w:t xml:space="preserve"> en el caso en estudio</w:t>
      </w:r>
      <w:r w:rsidR="0067165B" w:rsidRPr="00497EE9">
        <w:t xml:space="preserve">, </w:t>
      </w:r>
      <w:r w:rsidR="002B4913" w:rsidRPr="00497EE9">
        <w:t>así</w:t>
      </w:r>
      <w:r w:rsidR="002E1331" w:rsidRPr="00497EE9">
        <w:t xml:space="preserve">: i) la </w:t>
      </w:r>
      <w:r w:rsidR="00EA6E2A" w:rsidRPr="00497EE9">
        <w:t xml:space="preserve">delegada de la </w:t>
      </w:r>
      <w:proofErr w:type="spellStart"/>
      <w:r w:rsidR="00EA6E2A" w:rsidRPr="00497EE9">
        <w:t>FGN</w:t>
      </w:r>
      <w:proofErr w:type="spellEnd"/>
      <w:r w:rsidR="00EA6E2A" w:rsidRPr="00497EE9">
        <w:t xml:space="preserve"> no</w:t>
      </w:r>
      <w:r w:rsidR="0067165B" w:rsidRPr="00497EE9">
        <w:t xml:space="preserve"> solicitó el testimonio de la </w:t>
      </w:r>
      <w:r w:rsidR="00EA6E2A" w:rsidRPr="00497EE9">
        <w:t xml:space="preserve">persona que </w:t>
      </w:r>
      <w:r w:rsidR="003F2F7D" w:rsidRPr="00497EE9">
        <w:t>rindió la entrevista en menci</w:t>
      </w:r>
      <w:r w:rsidR="0067165B" w:rsidRPr="00497EE9">
        <w:t xml:space="preserve">ón, por lo cual ese documento no podría usarse para los fines previstos en el artículo 347 del </w:t>
      </w:r>
      <w:proofErr w:type="spellStart"/>
      <w:r w:rsidR="0067165B" w:rsidRPr="00497EE9">
        <w:t>CPP</w:t>
      </w:r>
      <w:proofErr w:type="spellEnd"/>
      <w:r w:rsidR="0067165B" w:rsidRPr="00497EE9">
        <w:t xml:space="preserve">, que dispone lo siguiente: </w:t>
      </w:r>
      <w:r w:rsidR="0067165B" w:rsidRPr="00497EE9">
        <w:rPr>
          <w:i/>
        </w:rPr>
        <w:t>“Cualquiera de las partes podrá aducir al proceso exposiciones, es decir declaraciones juradas de cualquiera de los testigos llamados a juicio, a efectos de impugnar su credibilidad”</w:t>
      </w:r>
      <w:r w:rsidR="002B4913" w:rsidRPr="00497EE9">
        <w:rPr>
          <w:i/>
        </w:rPr>
        <w:t>;</w:t>
      </w:r>
      <w:r w:rsidR="0067165B" w:rsidRPr="00497EE9">
        <w:rPr>
          <w:i/>
        </w:rPr>
        <w:t xml:space="preserve"> </w:t>
      </w:r>
      <w:r w:rsidR="002E1331" w:rsidRPr="00497EE9">
        <w:t xml:space="preserve">y ii) la misma funcionaria manifestó </w:t>
      </w:r>
      <w:r w:rsidR="005F32A7" w:rsidRPr="00497EE9">
        <w:t xml:space="preserve">al intervenir como no recurrente, </w:t>
      </w:r>
      <w:r w:rsidR="002E1331" w:rsidRPr="00497EE9">
        <w:t xml:space="preserve">que no </w:t>
      </w:r>
      <w:r w:rsidR="00E66E7C" w:rsidRPr="00497EE9">
        <w:t>pretend</w:t>
      </w:r>
      <w:r w:rsidR="002E1331" w:rsidRPr="00497EE9">
        <w:t>ía</w:t>
      </w:r>
      <w:r w:rsidR="00E753D1" w:rsidRPr="00497EE9">
        <w:t xml:space="preserve"> usar esa prueba en el</w:t>
      </w:r>
      <w:r w:rsidR="002B4913" w:rsidRPr="00497EE9">
        <w:t xml:space="preserve"> juicio</w:t>
      </w:r>
      <w:r w:rsidR="00E753D1" w:rsidRPr="00497EE9">
        <w:rPr>
          <w:rStyle w:val="Refdenotaalpie"/>
          <w:b w:val="0"/>
          <w:sz w:val="24"/>
          <w:szCs w:val="24"/>
        </w:rPr>
        <w:footnoteReference w:id="2"/>
      </w:r>
      <w:r w:rsidR="00E753D1" w:rsidRPr="00497EE9">
        <w:t>, ya que a través de la información recibida fue que se re</w:t>
      </w:r>
      <w:r w:rsidR="002B4913" w:rsidRPr="00497EE9">
        <w:t>alizó el procedimiento donde se</w:t>
      </w:r>
      <w:r w:rsidR="00E66E7C" w:rsidRPr="00497EE9">
        <w:t xml:space="preserve"> produjo la captura en flagrancia de la procesada</w:t>
      </w:r>
      <w:r w:rsidR="000E5DD2" w:rsidRPr="00497EE9">
        <w:t xml:space="preserve">, </w:t>
      </w:r>
      <w:r w:rsidR="002B4913" w:rsidRPr="00497EE9">
        <w:t>y de revelar su nombre se estarían</w:t>
      </w:r>
      <w:r w:rsidR="00E66E7C" w:rsidRPr="00497EE9">
        <w:t xml:space="preserve"> vulnerando sus garantías fundamentales</w:t>
      </w:r>
      <w:r w:rsidR="002E1331" w:rsidRPr="00497EE9">
        <w:t>, en especial su derecho a l</w:t>
      </w:r>
      <w:r w:rsidR="002B4913" w:rsidRPr="00497EE9">
        <w:t>a vida y la integridad personal.</w:t>
      </w:r>
    </w:p>
    <w:p w:rsidR="002B4913" w:rsidRPr="00497EE9" w:rsidRDefault="002B4913" w:rsidP="00963EA6">
      <w:pPr>
        <w:pStyle w:val="Sinespaciado"/>
      </w:pPr>
    </w:p>
    <w:p w:rsidR="00A85E28" w:rsidRPr="00497EE9" w:rsidRDefault="002E1331" w:rsidP="00963EA6">
      <w:pPr>
        <w:pStyle w:val="Sinespaciado"/>
        <w:rPr>
          <w:i/>
        </w:rPr>
      </w:pPr>
      <w:r w:rsidRPr="00497EE9">
        <w:t xml:space="preserve">6.3.12 En ese orden de </w:t>
      </w:r>
      <w:r w:rsidR="00BB79B9" w:rsidRPr="00497EE9">
        <w:t>ideas, se entiende que con base en el princip</w:t>
      </w:r>
      <w:r w:rsidR="002B4913" w:rsidRPr="00497EE9">
        <w:t xml:space="preserve">io de </w:t>
      </w:r>
      <w:r w:rsidR="00BB79B9" w:rsidRPr="00497EE9">
        <w:t>lealtad procesal</w:t>
      </w:r>
      <w:r w:rsidR="001E6D52" w:rsidRPr="00497EE9">
        <w:t xml:space="preserve">, </w:t>
      </w:r>
      <w:r w:rsidR="00BB79B9" w:rsidRPr="00497EE9">
        <w:t xml:space="preserve">no sería posible que la delegada de la </w:t>
      </w:r>
      <w:proofErr w:type="spellStart"/>
      <w:r w:rsidR="00BB79B9" w:rsidRPr="00497EE9">
        <w:t>FGN</w:t>
      </w:r>
      <w:proofErr w:type="spellEnd"/>
      <w:r w:rsidR="00BB79B9" w:rsidRPr="00497EE9">
        <w:t xml:space="preserve"> presentara en el juicio al investigador que recibió la entrevista de la fuente cuy</w:t>
      </w:r>
      <w:r w:rsidR="001E6D52" w:rsidRPr="00497EE9">
        <w:t>a</w:t>
      </w:r>
      <w:r w:rsidR="00BB79B9" w:rsidRPr="00497EE9">
        <w:t xml:space="preserve"> reserva se solicita</w:t>
      </w:r>
      <w:r w:rsidR="002B4913" w:rsidRPr="00497EE9">
        <w:t>,</w:t>
      </w:r>
      <w:r w:rsidR="00BB79B9" w:rsidRPr="00497EE9">
        <w:t xml:space="preserve"> </w:t>
      </w:r>
      <w:r w:rsidRPr="00497EE9">
        <w:t xml:space="preserve">quien </w:t>
      </w:r>
      <w:r w:rsidR="005F32A7" w:rsidRPr="00497EE9">
        <w:t xml:space="preserve">no podría ser interrogado sobre la identidad del confidente policial, ya que según el </w:t>
      </w:r>
      <w:r w:rsidRPr="00497EE9">
        <w:t>artículo 385 literal h) del C.P.</w:t>
      </w:r>
      <w:r w:rsidR="005F32A7" w:rsidRPr="00497EE9">
        <w:t xml:space="preserve">, el funcionario estaría </w:t>
      </w:r>
      <w:r w:rsidRPr="00497EE9">
        <w:t>am</w:t>
      </w:r>
      <w:r w:rsidR="00ED4A51" w:rsidRPr="00497EE9">
        <w:t xml:space="preserve">parado por el privilegio de la exención al deber de declarar, </w:t>
      </w:r>
      <w:r w:rsidR="00C269BD" w:rsidRPr="00497EE9">
        <w:t xml:space="preserve">pues </w:t>
      </w:r>
      <w:r w:rsidR="00ED4A51" w:rsidRPr="00497EE9">
        <w:t xml:space="preserve">no estaría obligado a responder en lo relativo a su relación con el informante, por lo cual queda claro que le asistió razón al </w:t>
      </w:r>
      <w:r w:rsidR="002B4913" w:rsidRPr="00497EE9">
        <w:rPr>
          <w:i/>
        </w:rPr>
        <w:t>A quo</w:t>
      </w:r>
      <w:r w:rsidR="00ED4A51" w:rsidRPr="00497EE9">
        <w:rPr>
          <w:i/>
        </w:rPr>
        <w:t xml:space="preserve">, </w:t>
      </w:r>
      <w:r w:rsidR="00ED4A51" w:rsidRPr="00497EE9">
        <w:t>al negar la pretensión de la defensa encaminada a que se le hiciera entrega de la entrevista en mención</w:t>
      </w:r>
      <w:r w:rsidR="00BB1466" w:rsidRPr="00497EE9">
        <w:t>.</w:t>
      </w:r>
      <w:r w:rsidR="002B4913" w:rsidRPr="00497EE9">
        <w:t xml:space="preserve"> </w:t>
      </w:r>
      <w:r w:rsidR="00BB1466" w:rsidRPr="00497EE9">
        <w:t xml:space="preserve">En ese sentido, al </w:t>
      </w:r>
      <w:r w:rsidR="00326E7B" w:rsidRPr="00497EE9">
        <w:t xml:space="preserve">no solicitarse como prueba de la </w:t>
      </w:r>
      <w:proofErr w:type="spellStart"/>
      <w:r w:rsidR="00326E7B" w:rsidRPr="00497EE9">
        <w:t>FGN</w:t>
      </w:r>
      <w:proofErr w:type="spellEnd"/>
      <w:r w:rsidR="00326E7B" w:rsidRPr="00497EE9">
        <w:t xml:space="preserve"> el testimonio del informante, cuya identidad reclama conocer el defensor</w:t>
      </w:r>
      <w:r w:rsidR="005F32A7" w:rsidRPr="00497EE9">
        <w:t xml:space="preserve">, en sentido estricto no podría introducirse esa entrevista y en consecuencia esa evidencia no tendría </w:t>
      </w:r>
      <w:r w:rsidR="00326E7B" w:rsidRPr="00497EE9">
        <w:t>injerencia en la decisión que se adopt</w:t>
      </w:r>
      <w:r w:rsidR="001E6A82" w:rsidRPr="00497EE9">
        <w:t>e en el proceso,</w:t>
      </w:r>
      <w:r w:rsidR="00326E7B" w:rsidRPr="00497EE9">
        <w:t xml:space="preserve"> acatando lo dispuesto en la norma rectora contenida en el a</w:t>
      </w:r>
      <w:r w:rsidR="00186FF5" w:rsidRPr="00497EE9">
        <w:t xml:space="preserve">rtículo 16 del </w:t>
      </w:r>
      <w:proofErr w:type="spellStart"/>
      <w:r w:rsidR="00186FF5" w:rsidRPr="00497EE9">
        <w:t>CPP</w:t>
      </w:r>
      <w:proofErr w:type="spellEnd"/>
      <w:r w:rsidR="001E6A82" w:rsidRPr="00497EE9">
        <w:t>, según el cual</w:t>
      </w:r>
      <w:r w:rsidR="00326E7B" w:rsidRPr="00497EE9">
        <w:t>:</w:t>
      </w:r>
      <w:r w:rsidR="00C60AE9" w:rsidRPr="00497EE9">
        <w:t xml:space="preserve"> </w:t>
      </w:r>
      <w:r w:rsidR="00C60AE9" w:rsidRPr="00497EE9">
        <w:rPr>
          <w:i/>
        </w:rPr>
        <w:t>“en el juico</w:t>
      </w:r>
      <w:r w:rsidR="001E6A82" w:rsidRPr="00497EE9">
        <w:rPr>
          <w:i/>
        </w:rPr>
        <w:t xml:space="preserve"> </w:t>
      </w:r>
      <w:r w:rsidR="00C60AE9" w:rsidRPr="00497EE9">
        <w:rPr>
          <w:i/>
        </w:rPr>
        <w:t xml:space="preserve">únicamente se </w:t>
      </w:r>
      <w:r w:rsidR="00DB3E9F" w:rsidRPr="00497EE9">
        <w:rPr>
          <w:i/>
        </w:rPr>
        <w:t>estimará como prueba la que haya sido p</w:t>
      </w:r>
      <w:r w:rsidR="00C60AE9" w:rsidRPr="00497EE9">
        <w:rPr>
          <w:i/>
        </w:rPr>
        <w:t xml:space="preserve">roducida o incorporada en forma </w:t>
      </w:r>
      <w:r w:rsidR="00DB3E9F" w:rsidRPr="00497EE9">
        <w:rPr>
          <w:i/>
        </w:rPr>
        <w:t xml:space="preserve">pública, oral, concentrada y sujeta </w:t>
      </w:r>
      <w:r w:rsidR="00C60AE9" w:rsidRPr="00497EE9">
        <w:rPr>
          <w:i/>
        </w:rPr>
        <w:t>a confrontación y contradicción…”</w:t>
      </w:r>
      <w:r w:rsidR="00A85E28" w:rsidRPr="00497EE9">
        <w:rPr>
          <w:i/>
        </w:rPr>
        <w:t>.</w:t>
      </w:r>
    </w:p>
    <w:p w:rsidR="00374F10" w:rsidRPr="00497EE9" w:rsidRDefault="00374F10" w:rsidP="00963EA6">
      <w:pPr>
        <w:pStyle w:val="Sinespaciado"/>
      </w:pPr>
    </w:p>
    <w:p w:rsidR="009D7EE2" w:rsidRPr="00497EE9" w:rsidRDefault="00374F10" w:rsidP="00963EA6">
      <w:pPr>
        <w:pStyle w:val="Sinespaciado"/>
      </w:pPr>
      <w:r w:rsidRPr="00497EE9">
        <w:t>6</w:t>
      </w:r>
      <w:r w:rsidR="00F10B52" w:rsidRPr="00497EE9">
        <w:t xml:space="preserve">.3.13 </w:t>
      </w:r>
      <w:r w:rsidRPr="00497EE9">
        <w:t>Adicionalmente se debe manifestar que en decisión del 6 de marzo de 2007</w:t>
      </w:r>
      <w:r w:rsidR="008711BB" w:rsidRPr="00497EE9">
        <w:t xml:space="preserve"> de esta corporación, </w:t>
      </w:r>
      <w:r w:rsidRPr="00497EE9">
        <w:t xml:space="preserve">adoptada dentro del proceso </w:t>
      </w:r>
      <w:r w:rsidR="00DB167D" w:rsidRPr="00497EE9">
        <w:t>tramitado contra</w:t>
      </w:r>
      <w:r w:rsidR="009D7EE2" w:rsidRPr="00497EE9">
        <w:t xml:space="preserve"> </w:t>
      </w:r>
      <w:proofErr w:type="spellStart"/>
      <w:r w:rsidR="009D7EE2" w:rsidRPr="00497EE9">
        <w:t>J</w:t>
      </w:r>
      <w:r w:rsidR="00B37E81" w:rsidRPr="00497EE9">
        <w:t>h</w:t>
      </w:r>
      <w:r w:rsidR="009D7EE2" w:rsidRPr="00497EE9">
        <w:t>on</w:t>
      </w:r>
      <w:proofErr w:type="spellEnd"/>
      <w:r w:rsidR="009D7EE2" w:rsidRPr="00497EE9">
        <w:t xml:space="preserve"> Fredy Osorio Jiménez por los delitos de homicidio, hurto y porte de armas, con ponencia del Magistrado Jorge</w:t>
      </w:r>
      <w:r w:rsidR="00497EE9" w:rsidRPr="00497EE9">
        <w:t xml:space="preserve"> Arturo Castaño Duque,</w:t>
      </w:r>
      <w:r w:rsidR="009D7EE2" w:rsidRPr="00497EE9">
        <w:t xml:space="preserve"> se examinó un caso que presentaba los siguientes supuestos :</w:t>
      </w:r>
    </w:p>
    <w:p w:rsidR="009D7EE2" w:rsidRPr="00497EE9" w:rsidRDefault="009D7EE2" w:rsidP="00963EA6">
      <w:pPr>
        <w:pStyle w:val="Sinespaciado"/>
      </w:pPr>
    </w:p>
    <w:p w:rsidR="00B37E81" w:rsidRPr="00497EE9" w:rsidRDefault="009D7EE2" w:rsidP="00963EA6">
      <w:pPr>
        <w:pStyle w:val="Sinespaciado"/>
      </w:pPr>
      <w:r w:rsidRPr="00497EE9">
        <w:t xml:space="preserve">i) </w:t>
      </w:r>
      <w:r w:rsidR="00497EE9" w:rsidRPr="00497EE9">
        <w:t>En</w:t>
      </w:r>
      <w:r w:rsidR="00B37E81" w:rsidRPr="00497EE9">
        <w:t xml:space="preserve"> la audiencia preparatoria la </w:t>
      </w:r>
      <w:r w:rsidR="004A038F" w:rsidRPr="00497EE9">
        <w:t>defensora</w:t>
      </w:r>
      <w:r w:rsidR="00B37E81" w:rsidRPr="00497EE9">
        <w:t xml:space="preserve"> del procesado Osorio Jiménez pidió que se excluyera el informe ejecutivo allegado al proceso, considerando que se había vulnerado el derecho al debido proceso ya que no se ha</w:t>
      </w:r>
      <w:r w:rsidR="004A038F" w:rsidRPr="00497EE9">
        <w:t>bía revelado el nombre de la fuente (informante) que hizo el señalamiento que condujo a los oficiales a realizar el allanamiento y la ulterior captura de los supuestos implicados.</w:t>
      </w:r>
    </w:p>
    <w:p w:rsidR="00B37E81" w:rsidRPr="00497EE9" w:rsidRDefault="00B37E81" w:rsidP="00963EA6">
      <w:pPr>
        <w:pStyle w:val="Sinespaciado"/>
      </w:pPr>
    </w:p>
    <w:p w:rsidR="00772657" w:rsidRPr="00497EE9" w:rsidRDefault="00B37E81" w:rsidP="00963EA6">
      <w:pPr>
        <w:pStyle w:val="Sinespaciado"/>
      </w:pPr>
      <w:r w:rsidRPr="00497EE9">
        <w:t>i</w:t>
      </w:r>
      <w:r w:rsidR="00497EE9" w:rsidRPr="00497EE9">
        <w:t>i)</w:t>
      </w:r>
      <w:r w:rsidR="004A038F" w:rsidRPr="00497EE9">
        <w:t xml:space="preserve"> </w:t>
      </w:r>
      <w:r w:rsidR="00772657" w:rsidRPr="00497EE9">
        <w:t xml:space="preserve">La juez de conocimiento rechazó el pedimento de exclusión probatoria, aduciendo que esos </w:t>
      </w:r>
      <w:r w:rsidR="004A038F" w:rsidRPr="00497EE9">
        <w:t>informes gozan de la presunción de buena fe y debían ser llevados al juicio para efectos de establecer si en realidad vulneraron o no el debido proceso</w:t>
      </w:r>
      <w:r w:rsidR="00772657" w:rsidRPr="00497EE9">
        <w:t>, decisión que fue recurrida por la defensa.</w:t>
      </w:r>
    </w:p>
    <w:p w:rsidR="00772657" w:rsidRPr="00497EE9" w:rsidRDefault="00772657" w:rsidP="00963EA6">
      <w:pPr>
        <w:pStyle w:val="Sinespaciado"/>
      </w:pPr>
    </w:p>
    <w:p w:rsidR="00B94290" w:rsidRPr="00497EE9" w:rsidRDefault="00772657" w:rsidP="00963EA6">
      <w:pPr>
        <w:pStyle w:val="Sinespaciado"/>
      </w:pPr>
      <w:r w:rsidRPr="00497EE9">
        <w:t xml:space="preserve">iii) En medio de juicio oral y cuando se recibía el testimonio de un investigador del </w:t>
      </w:r>
      <w:proofErr w:type="spellStart"/>
      <w:r w:rsidRPr="00497EE9">
        <w:t>CTI</w:t>
      </w:r>
      <w:proofErr w:type="spellEnd"/>
      <w:r w:rsidRPr="00497EE9">
        <w:t>, la defensora del procesado</w:t>
      </w:r>
      <w:r w:rsidR="00B94290" w:rsidRPr="00497EE9">
        <w:t>, insistió en su argumento sobre la no revelación de la fuente y su relación con el ejercicio del derecho de contradicción de la prueba.</w:t>
      </w:r>
    </w:p>
    <w:p w:rsidR="00B94290" w:rsidRPr="00497EE9" w:rsidRDefault="00B94290" w:rsidP="00963EA6">
      <w:pPr>
        <w:pStyle w:val="Sinespaciado"/>
      </w:pPr>
    </w:p>
    <w:p w:rsidR="008711BB" w:rsidRPr="00497EE9" w:rsidRDefault="00B94290" w:rsidP="00963EA6">
      <w:pPr>
        <w:pStyle w:val="Sinespaciado"/>
      </w:pPr>
      <w:r w:rsidRPr="00497EE9">
        <w:t>i</w:t>
      </w:r>
      <w:r w:rsidR="00497EE9" w:rsidRPr="00497EE9">
        <w:t xml:space="preserve">v) La </w:t>
      </w:r>
      <w:r w:rsidRPr="00497EE9">
        <w:t>juez de conocimiento consideró que</w:t>
      </w:r>
      <w:r w:rsidR="008711BB" w:rsidRPr="00497EE9">
        <w:t xml:space="preserve"> no era procedente la exclusión probatoria pedida por la defensa ya que </w:t>
      </w:r>
      <w:r w:rsidR="004A038F" w:rsidRPr="00497EE9">
        <w:t xml:space="preserve">investigadores realizan actos urgentes y los informantes son una fuente que nutre las actividades judiciales. </w:t>
      </w:r>
    </w:p>
    <w:p w:rsidR="008711BB" w:rsidRPr="00497EE9" w:rsidRDefault="008711BB" w:rsidP="00963EA6">
      <w:pPr>
        <w:pStyle w:val="Sinespaciado"/>
      </w:pPr>
    </w:p>
    <w:p w:rsidR="0052475B" w:rsidRPr="00497EE9" w:rsidRDefault="008711BB" w:rsidP="00963EA6">
      <w:pPr>
        <w:pStyle w:val="Sinespaciado"/>
      </w:pPr>
      <w:r w:rsidRPr="00497EE9">
        <w:t>Al de</w:t>
      </w:r>
      <w:r w:rsidR="0052475B" w:rsidRPr="00497EE9">
        <w:t>cidir el recurso de apelación que se interpuso contra esa dec</w:t>
      </w:r>
      <w:r w:rsidR="00497EE9" w:rsidRPr="00497EE9">
        <w:t xml:space="preserve">isión, se confirmó la decisión </w:t>
      </w:r>
      <w:r w:rsidR="0052475B" w:rsidRPr="00497EE9">
        <w:t xml:space="preserve">del </w:t>
      </w:r>
      <w:r w:rsidR="00497EE9" w:rsidRPr="00497EE9">
        <w:rPr>
          <w:i/>
        </w:rPr>
        <w:t xml:space="preserve">A quo </w:t>
      </w:r>
      <w:r w:rsidR="00497EE9" w:rsidRPr="00497EE9">
        <w:t>y se dijo lo siguiente</w:t>
      </w:r>
      <w:r w:rsidR="0052475B" w:rsidRPr="00497EE9">
        <w:t>:</w:t>
      </w:r>
    </w:p>
    <w:p w:rsidR="0052475B" w:rsidRPr="00497EE9" w:rsidRDefault="0052475B" w:rsidP="00497EE9">
      <w:pPr>
        <w:numPr>
          <w:ilvl w:val="0"/>
          <w:numId w:val="0"/>
        </w:numPr>
        <w:ind w:left="567" w:right="616"/>
        <w:jc w:val="both"/>
        <w:rPr>
          <w:rFonts w:ascii="Arial" w:hAnsi="Arial" w:cs="Arial"/>
          <w:i/>
          <w:sz w:val="20"/>
          <w:szCs w:val="20"/>
        </w:rPr>
      </w:pPr>
    </w:p>
    <w:p w:rsidR="0052475B" w:rsidRPr="00497EE9" w:rsidRDefault="00497EE9" w:rsidP="00497EE9">
      <w:pPr>
        <w:numPr>
          <w:ilvl w:val="0"/>
          <w:numId w:val="0"/>
        </w:numPr>
        <w:ind w:left="567" w:right="616"/>
        <w:jc w:val="both"/>
        <w:rPr>
          <w:rFonts w:ascii="Arial" w:hAnsi="Arial" w:cs="Arial"/>
          <w:i/>
          <w:sz w:val="20"/>
          <w:szCs w:val="20"/>
        </w:rPr>
      </w:pPr>
      <w:r>
        <w:rPr>
          <w:rFonts w:ascii="Arial" w:hAnsi="Arial" w:cs="Arial"/>
          <w:i/>
          <w:sz w:val="20"/>
          <w:szCs w:val="20"/>
        </w:rPr>
        <w:t>“</w:t>
      </w:r>
      <w:r w:rsidR="0052475B" w:rsidRPr="00497EE9">
        <w:rPr>
          <w:rFonts w:ascii="Arial" w:hAnsi="Arial" w:cs="Arial"/>
          <w:i/>
          <w:sz w:val="20"/>
          <w:szCs w:val="20"/>
        </w:rPr>
        <w:t xml:space="preserve">(...) </w:t>
      </w: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Es claro a esta altura del nuevo sistema, que los datos personales de los informantes deben permanecer en reserva y sólo se autoriza su conocimiento por el Juez de Control de Garantías, para el único fin de corroborar la veracidad de lo aseverado y proteger los derechos fundamentales que pudieran llegar a ser afectados con la medida judicial.</w:t>
      </w:r>
    </w:p>
    <w:p w:rsidR="004A038F" w:rsidRPr="00497EE9" w:rsidRDefault="004A038F" w:rsidP="00497EE9">
      <w:pPr>
        <w:numPr>
          <w:ilvl w:val="0"/>
          <w:numId w:val="0"/>
        </w:numPr>
        <w:ind w:left="567" w:right="616"/>
        <w:jc w:val="both"/>
        <w:rPr>
          <w:rFonts w:ascii="Arial" w:hAnsi="Arial" w:cs="Arial"/>
          <w:i/>
          <w:sz w:val="20"/>
          <w:szCs w:val="20"/>
        </w:rPr>
      </w:pP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lastRenderedPageBreak/>
        <w:t>Entendemos la preocupación que posee la señora defensora, porque preocupa la posibilidad de que la policía judicial no ponga de presente la identidad de personas que no sean informantes sino testigos que se deban hacer comparecer para obtener la verdad en el proceso, y que no deberían guardarse en detrimento de la investigación integral y lealtad para con el procesado y la defensa. No obstante, no se debe pasar inadvertida la seguridad de los ciudadanos que intentan ofrecer una cooperación al Estado y que por su oportuna información están en la posibilidad de orientar a las autoridades en su deber constitucional de investigar los crímenes.</w:t>
      </w:r>
    </w:p>
    <w:p w:rsidR="004A038F" w:rsidRPr="00497EE9" w:rsidRDefault="004A038F" w:rsidP="00497EE9">
      <w:pPr>
        <w:numPr>
          <w:ilvl w:val="0"/>
          <w:numId w:val="0"/>
        </w:numPr>
        <w:ind w:left="567" w:right="616"/>
        <w:jc w:val="both"/>
        <w:rPr>
          <w:rFonts w:ascii="Arial" w:hAnsi="Arial" w:cs="Arial"/>
          <w:i/>
          <w:sz w:val="20"/>
          <w:szCs w:val="20"/>
        </w:rPr>
      </w:pP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 xml:space="preserve">Precisamente, ese fue el debate que se suscitó en el interior de la Corte Constitucional al memento de conocer de la demanda de inconstitucionalidad contra el artículo 221 de la Ley 906 de 2004, que dio lugar a la  Sentencia C-673 del 30 de Junio de </w:t>
      </w:r>
      <w:smartTag w:uri="urn:schemas-microsoft-com:office:smarttags" w:element="metricconverter">
        <w:smartTagPr>
          <w:attr w:name="ProductID" w:val="2005, M"/>
        </w:smartTagPr>
        <w:r w:rsidRPr="00497EE9">
          <w:rPr>
            <w:rFonts w:ascii="Arial" w:hAnsi="Arial" w:cs="Arial"/>
            <w:i/>
            <w:sz w:val="20"/>
            <w:szCs w:val="20"/>
          </w:rPr>
          <w:t xml:space="preserve">2005, </w:t>
        </w:r>
        <w:proofErr w:type="spellStart"/>
        <w:r w:rsidRPr="00497EE9">
          <w:rPr>
            <w:rFonts w:ascii="Arial" w:hAnsi="Arial" w:cs="Arial"/>
            <w:i/>
            <w:sz w:val="20"/>
            <w:szCs w:val="20"/>
          </w:rPr>
          <w:t>M</w:t>
        </w:r>
      </w:smartTag>
      <w:r w:rsidRPr="00497EE9">
        <w:rPr>
          <w:rFonts w:ascii="Arial" w:hAnsi="Arial" w:cs="Arial"/>
          <w:i/>
          <w:sz w:val="20"/>
          <w:szCs w:val="20"/>
        </w:rPr>
        <w:t>.P</w:t>
      </w:r>
      <w:proofErr w:type="spellEnd"/>
      <w:r w:rsidRPr="00497EE9">
        <w:rPr>
          <w:rFonts w:ascii="Arial" w:hAnsi="Arial" w:cs="Arial"/>
          <w:i/>
          <w:sz w:val="20"/>
          <w:szCs w:val="20"/>
        </w:rPr>
        <w:t>. Clara Inés Vargas Hernández. En esa decisión, se presentaron posiciones bien similares a las que aquí se proponen y las cuales se resumieron de la siguiente manera: “En igual sentido, algunos intervinientes argumentan que el sistema acusatorio pretendió garantizar los principios de publicidad e igualdad de armas, siendo por tanto incompatible la figura del testigo con identidad reservada; y que además, se están desconociendo gravemente las competencias del juez de control de garantías. Por el contrario, los demás intervinientes argumentan que no es importante conocer la identidad del informante por cuanto lo importante es la información que suministra, la cual debe ser corroborada, aunado a que no constituye prueba en el proceso”. Esa polémica la desató la Corte a favor de la segunda posición, es decir, que efectivamente sí debía ser reservada la identidad de las personas que de algún modo podían orientar los actos de urgencia de la policía judicial, con la única excepción del señor Juez de Control y que en realidad lo por ellos manifestado no es prueba dentro del proceso. Los apartes más significativos de esa motivación y que nos interesan para el caso que no convoca, fueron:</w:t>
      </w:r>
    </w:p>
    <w:p w:rsidR="004A038F" w:rsidRPr="00497EE9" w:rsidRDefault="004A038F" w:rsidP="00497EE9">
      <w:pPr>
        <w:numPr>
          <w:ilvl w:val="0"/>
          <w:numId w:val="0"/>
        </w:numPr>
        <w:ind w:left="567" w:right="616"/>
        <w:jc w:val="both"/>
        <w:rPr>
          <w:rFonts w:ascii="Arial" w:hAnsi="Arial" w:cs="Arial"/>
          <w:i/>
          <w:sz w:val="20"/>
          <w:szCs w:val="20"/>
        </w:rPr>
      </w:pP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De tal suerte que la declaración jurada de testigo o informante, para efectos del decreto de un registro y allanamiento, cumple la única labor de servir de soporte para establecer con verosimilitud que existen motivos fundados para decretar una medida restrictiva del derecho a la intimidad, mas no constituye como tal una prueba con respecto a la responsabilidad del imputado. En otros términos, la declaración jurada de testigo o informante, al igual que los demás elementos materiales probatorios y la evidencia física, constituyen tan solo instrumentos para direccionar y encausar la actividad investigativa del Estado, mas no se trata de un medio probatorio para establecer la existencia del hecho punible ni el grado de responsabilidad penal del imputado.</w:t>
      </w: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w:t>
      </w:r>
    </w:p>
    <w:p w:rsidR="004A038F" w:rsidRPr="00497EE9" w:rsidRDefault="004A038F" w:rsidP="00497EE9">
      <w:pPr>
        <w:numPr>
          <w:ilvl w:val="0"/>
          <w:numId w:val="0"/>
        </w:numPr>
        <w:ind w:left="567" w:right="616"/>
        <w:jc w:val="both"/>
        <w:rPr>
          <w:rFonts w:ascii="Arial" w:hAnsi="Arial" w:cs="Arial"/>
          <w:i/>
          <w:sz w:val="20"/>
          <w:szCs w:val="20"/>
        </w:rPr>
      </w:pP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Ahora bien, someter al principio de contradicción una declaración jurada de testigo cuando se da la orden de allanamiento y registro sin haberse formulado la imputación, o la del informante, conllevaría a que el Estado no pudiese cumplir con sus fines constitucionales de investigar y sancionar efectivamente el delito, por cuanto esta diligencia no podría practicarse si no existe imputado o se estaría habilitando al defensor para controvertir el dicho de un informante que tiene carácter reservado, cuando tales diligencias se orientan justamente a la búsqueda de elementos materiales probatorios y evidencias físicas o realizar la captura del indiciado, imputado o condenado.</w:t>
      </w: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w:t>
      </w: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 xml:space="preserve">No se puede tampoco desconocer que hacer públicos los datos del informante conduciría, como lo ha señalado la jurisprudencia constitucional, a poner en grave peligro la seguridad de éste, y además,  impediría que en el futuro el ciudadano pudiese seguir suministrando valiosa información a las autoridades competentes. Además, de acuerdo con lo dispuesto en los artículos 155 de la Ley 906 de 2004, serán de carácter reservado las audiencias de control de legalidad sobre allanamientos y registros, entre </w:t>
      </w:r>
      <w:r w:rsidRPr="00497EE9">
        <w:rPr>
          <w:rFonts w:ascii="Arial" w:hAnsi="Arial" w:cs="Arial"/>
          <w:i/>
          <w:sz w:val="20"/>
          <w:szCs w:val="20"/>
        </w:rPr>
        <w:lastRenderedPageBreak/>
        <w:t>otras, (…) en ella no pueden hacerse públicos los datos del informante, aunque el juez de control de garantías deba conocerlos.</w:t>
      </w:r>
    </w:p>
    <w:p w:rsidR="004A038F" w:rsidRPr="00497EE9" w:rsidRDefault="004A038F" w:rsidP="00497EE9">
      <w:pPr>
        <w:numPr>
          <w:ilvl w:val="0"/>
          <w:numId w:val="0"/>
        </w:numPr>
        <w:ind w:left="567" w:right="616"/>
        <w:jc w:val="both"/>
        <w:rPr>
          <w:rFonts w:ascii="Arial" w:hAnsi="Arial" w:cs="Arial"/>
          <w:i/>
          <w:sz w:val="20"/>
          <w:szCs w:val="20"/>
        </w:rPr>
      </w:pPr>
    </w:p>
    <w:p w:rsidR="004A038F" w:rsidRPr="00497EE9" w:rsidRDefault="004A038F" w:rsidP="00497EE9">
      <w:pPr>
        <w:numPr>
          <w:ilvl w:val="0"/>
          <w:numId w:val="0"/>
        </w:numPr>
        <w:ind w:left="567" w:right="616"/>
        <w:jc w:val="both"/>
        <w:rPr>
          <w:rFonts w:ascii="Arial" w:hAnsi="Arial" w:cs="Arial"/>
          <w:i/>
          <w:sz w:val="20"/>
          <w:szCs w:val="20"/>
        </w:rPr>
      </w:pPr>
      <w:r w:rsidRPr="00497EE9">
        <w:rPr>
          <w:rFonts w:ascii="Arial" w:hAnsi="Arial" w:cs="Arial"/>
          <w:i/>
          <w:sz w:val="20"/>
          <w:szCs w:val="20"/>
        </w:rPr>
        <w:t>En conclusión, el levantamiento de la reserva del informante sólo puede hacerse dentro de una audiencia preliminar reservada, en cuyo evento esa identidad no podrá hacerse pública pero sí será conocida y estimada por el Juez de Control para el ejercicio estricto de su función. Siendo lo anterior sumamente claro, entiende este Tribunal en consecuencia, que esos datos ofrecidos por un informante no representan en modo alguno un medio probatorio y sólo sirven para orientar la labor de los investigadores, cuyos resultados deberán ser debidamente corroborados con otros elementos materiales probatorios o evidencias físicas que sí puedan ser debatidos en juicio y sobre las cuales se podrá llevar a cabo el derecho de contradicción. Para el caso concreto, lo que corresponde es la controversia en juicio en torno a si la principal testigo que señala estaba o no en capacidad de decir lo que dice que vio, o si en verdad fue o no inducida en forma indebida a ese reconocimiento como lo da a conocer la defensa.</w:t>
      </w:r>
    </w:p>
    <w:p w:rsidR="006A7D8A" w:rsidRPr="005C4432" w:rsidRDefault="00383D61" w:rsidP="005C4432">
      <w:pPr>
        <w:numPr>
          <w:ilvl w:val="0"/>
          <w:numId w:val="0"/>
        </w:numPr>
        <w:spacing w:line="240" w:lineRule="auto"/>
        <w:ind w:right="49"/>
        <w:jc w:val="both"/>
        <w:rPr>
          <w:rFonts w:ascii="Arial" w:hAnsi="Arial" w:cs="Arial"/>
          <w:sz w:val="24"/>
          <w:szCs w:val="24"/>
        </w:rPr>
      </w:pPr>
      <w:r w:rsidRPr="005C4432">
        <w:rPr>
          <w:rFonts w:ascii="Arial" w:hAnsi="Arial" w:cs="Arial"/>
          <w:sz w:val="24"/>
          <w:szCs w:val="24"/>
        </w:rPr>
        <w:t xml:space="preserve">6.3.14 Como se observa el criterio que se asume en el presente caso, coincide con lo manifestado en la decisión del 6 de marzo de 2007  citada en precedencia, </w:t>
      </w:r>
      <w:r w:rsidR="006A7D8A" w:rsidRPr="005C4432">
        <w:rPr>
          <w:rFonts w:ascii="Arial" w:hAnsi="Arial" w:cs="Arial"/>
          <w:sz w:val="24"/>
          <w:szCs w:val="24"/>
        </w:rPr>
        <w:t>por lo cual se acompañará la decisión adoptada por el juez de primer grado.</w:t>
      </w:r>
    </w:p>
    <w:p w:rsidR="001E6A82" w:rsidRPr="00497EE9" w:rsidRDefault="001E6A82" w:rsidP="00963EA6">
      <w:pPr>
        <w:pStyle w:val="Sinespaciado"/>
      </w:pPr>
    </w:p>
    <w:p w:rsidR="005F7D3F" w:rsidRPr="00497EE9" w:rsidRDefault="005F7D3F" w:rsidP="00963EA6">
      <w:pPr>
        <w:pStyle w:val="Sinespaciado"/>
      </w:pPr>
      <w:r w:rsidRPr="00497EE9">
        <w:t xml:space="preserve">Con base en lo expuesto en precedencia, la Sala de Decisión Penal del Tribunal Superior de Pereira, </w:t>
      </w:r>
    </w:p>
    <w:p w:rsidR="005F7D3F" w:rsidRPr="00497EE9" w:rsidRDefault="005F7D3F" w:rsidP="00963EA6">
      <w:pPr>
        <w:pStyle w:val="Sinespaciado"/>
      </w:pPr>
    </w:p>
    <w:p w:rsidR="001E6A82" w:rsidRPr="00497EE9" w:rsidRDefault="001E6A82" w:rsidP="00963EA6">
      <w:pPr>
        <w:pStyle w:val="Sinespaciado"/>
      </w:pPr>
    </w:p>
    <w:p w:rsidR="005F7D3F" w:rsidRPr="00497EE9" w:rsidRDefault="005F7D3F" w:rsidP="00963EA6">
      <w:pPr>
        <w:pStyle w:val="Sinespaciado"/>
      </w:pPr>
      <w:r w:rsidRPr="00497EE9">
        <w:t>RESUELVE</w:t>
      </w:r>
    </w:p>
    <w:p w:rsidR="005F7D3F" w:rsidRPr="00497EE9" w:rsidRDefault="005F7D3F" w:rsidP="00963EA6">
      <w:pPr>
        <w:pStyle w:val="Sinespaciado"/>
      </w:pPr>
    </w:p>
    <w:p w:rsidR="005F7D3F" w:rsidRPr="00497EE9" w:rsidRDefault="005F7D3F" w:rsidP="00963EA6">
      <w:pPr>
        <w:pStyle w:val="Sinespaciado"/>
      </w:pPr>
      <w:r w:rsidRPr="00497EE9">
        <w:t xml:space="preserve">PRIMERO: CONFIRMAR la decisión proferida por </w:t>
      </w:r>
      <w:r w:rsidR="00915996" w:rsidRPr="00497EE9">
        <w:t xml:space="preserve">el juez </w:t>
      </w:r>
      <w:r w:rsidR="00C269BD" w:rsidRPr="00497EE9">
        <w:t xml:space="preserve">5º </w:t>
      </w:r>
      <w:r w:rsidR="00915996" w:rsidRPr="00497EE9">
        <w:t>penal del circuito de Pereira</w:t>
      </w:r>
      <w:r w:rsidR="00497EE9">
        <w:t xml:space="preserve"> dentro del presente proceso,</w:t>
      </w:r>
      <w:r w:rsidRPr="00497EE9">
        <w:t xml:space="preserve"> en lo que fue objeto de impugnación.</w:t>
      </w:r>
    </w:p>
    <w:p w:rsidR="005F7D3F" w:rsidRPr="00497EE9" w:rsidRDefault="005F7D3F" w:rsidP="00963EA6">
      <w:pPr>
        <w:pStyle w:val="Sinespaciado"/>
      </w:pPr>
    </w:p>
    <w:p w:rsidR="005F7D3F" w:rsidRPr="00497EE9" w:rsidRDefault="00915996" w:rsidP="00963EA6">
      <w:pPr>
        <w:pStyle w:val="Sinespaciado"/>
      </w:pPr>
      <w:r w:rsidRPr="00497EE9">
        <w:t>SEGUNDO:</w:t>
      </w:r>
      <w:r w:rsidR="00AD3A8D" w:rsidRPr="00497EE9">
        <w:t xml:space="preserve"> </w:t>
      </w:r>
      <w:r w:rsidR="005F7D3F" w:rsidRPr="00497EE9">
        <w:t xml:space="preserve">Esta decisión queda notificada en estrados y contra ella no procede recurso alguno. </w:t>
      </w:r>
    </w:p>
    <w:p w:rsidR="005F7D3F" w:rsidRPr="00497EE9" w:rsidRDefault="005F7D3F" w:rsidP="00963EA6">
      <w:pPr>
        <w:pStyle w:val="Sinespaciado"/>
      </w:pPr>
    </w:p>
    <w:p w:rsidR="001E6A82" w:rsidRPr="00497EE9" w:rsidRDefault="001E6A82" w:rsidP="00963EA6">
      <w:pPr>
        <w:pStyle w:val="Sinespaciado"/>
      </w:pPr>
    </w:p>
    <w:p w:rsidR="005F7D3F" w:rsidRPr="00497EE9" w:rsidRDefault="005F7D3F" w:rsidP="00963EA6">
      <w:pPr>
        <w:pStyle w:val="Sinespaciado"/>
      </w:pPr>
      <w:r w:rsidRPr="00497EE9">
        <w:t>NOTIFÍQUESE Y CÚMPLASE</w:t>
      </w:r>
    </w:p>
    <w:p w:rsidR="005F7D3F" w:rsidRPr="00497EE9" w:rsidRDefault="005F7D3F" w:rsidP="00963EA6">
      <w:pPr>
        <w:pStyle w:val="Sinespaciado"/>
      </w:pPr>
    </w:p>
    <w:p w:rsidR="005F7D3F" w:rsidRPr="00497EE9" w:rsidRDefault="005F7D3F" w:rsidP="00963EA6">
      <w:pPr>
        <w:pStyle w:val="Sinespaciado"/>
      </w:pPr>
    </w:p>
    <w:p w:rsidR="001E6A82" w:rsidRPr="00497EE9" w:rsidRDefault="001E6A82" w:rsidP="00963EA6">
      <w:pPr>
        <w:pStyle w:val="Sinespaciado"/>
      </w:pPr>
    </w:p>
    <w:p w:rsidR="002D4153" w:rsidRPr="00497EE9" w:rsidRDefault="002D4153" w:rsidP="00963EA6">
      <w:pPr>
        <w:pStyle w:val="Sinespaciado"/>
      </w:pPr>
    </w:p>
    <w:p w:rsidR="005F7D3F" w:rsidRPr="00497EE9" w:rsidRDefault="005F7D3F" w:rsidP="00963EA6">
      <w:pPr>
        <w:pStyle w:val="Sinespaciado"/>
      </w:pPr>
      <w:r w:rsidRPr="00497EE9">
        <w:t>JAIRO ERNESTO ESCOBAR SANZ</w:t>
      </w:r>
    </w:p>
    <w:p w:rsidR="005F7D3F" w:rsidRPr="00497EE9" w:rsidRDefault="005F7D3F" w:rsidP="00963EA6">
      <w:pPr>
        <w:pStyle w:val="Sinespaciado"/>
      </w:pPr>
      <w:r w:rsidRPr="00497EE9">
        <w:t>Magistrado</w:t>
      </w:r>
    </w:p>
    <w:p w:rsidR="005F7D3F" w:rsidRPr="00497EE9" w:rsidRDefault="005F7D3F" w:rsidP="00963EA6">
      <w:pPr>
        <w:pStyle w:val="Sinespaciado"/>
      </w:pPr>
    </w:p>
    <w:p w:rsidR="00CB7DA1" w:rsidRPr="00497EE9" w:rsidRDefault="00CB7DA1" w:rsidP="00963EA6">
      <w:pPr>
        <w:pStyle w:val="Sinespaciado"/>
      </w:pPr>
    </w:p>
    <w:p w:rsidR="005F7D3F" w:rsidRPr="00497EE9" w:rsidRDefault="005F7D3F" w:rsidP="00963EA6">
      <w:pPr>
        <w:pStyle w:val="Sinespaciado"/>
      </w:pPr>
    </w:p>
    <w:p w:rsidR="002D4153" w:rsidRPr="00497EE9" w:rsidRDefault="002D4153" w:rsidP="00963EA6">
      <w:pPr>
        <w:pStyle w:val="Sinespaciado"/>
      </w:pPr>
    </w:p>
    <w:p w:rsidR="005F7D3F" w:rsidRPr="00497EE9" w:rsidRDefault="005F7D3F" w:rsidP="00963EA6">
      <w:pPr>
        <w:pStyle w:val="Sinespaciado"/>
      </w:pPr>
      <w:r w:rsidRPr="00497EE9">
        <w:t xml:space="preserve">MANUEL </w:t>
      </w:r>
      <w:proofErr w:type="spellStart"/>
      <w:r w:rsidRPr="00497EE9">
        <w:t>YARZAGARAY</w:t>
      </w:r>
      <w:proofErr w:type="spellEnd"/>
      <w:r w:rsidRPr="00497EE9">
        <w:t xml:space="preserve"> BANDERA</w:t>
      </w:r>
    </w:p>
    <w:p w:rsidR="005F7D3F" w:rsidRPr="00497EE9" w:rsidRDefault="005F7D3F" w:rsidP="00963EA6">
      <w:pPr>
        <w:pStyle w:val="Sinespaciado"/>
      </w:pPr>
      <w:r w:rsidRPr="00497EE9">
        <w:t>Magistrado</w:t>
      </w:r>
    </w:p>
    <w:p w:rsidR="005F7D3F" w:rsidRPr="00497EE9" w:rsidRDefault="00446B72" w:rsidP="00963EA6">
      <w:pPr>
        <w:pStyle w:val="Sinespaciado"/>
      </w:pPr>
      <w:r>
        <w:t>(Con salvamento de voto)</w:t>
      </w:r>
    </w:p>
    <w:p w:rsidR="00CB7DA1" w:rsidRPr="00497EE9" w:rsidRDefault="00CB7DA1" w:rsidP="00963EA6">
      <w:pPr>
        <w:pStyle w:val="Sinespaciado"/>
      </w:pPr>
    </w:p>
    <w:p w:rsidR="002D4153" w:rsidRDefault="002D4153" w:rsidP="00963EA6">
      <w:pPr>
        <w:pStyle w:val="Sinespaciado"/>
      </w:pPr>
    </w:p>
    <w:p w:rsidR="00446B72" w:rsidRPr="00497EE9" w:rsidRDefault="00446B72" w:rsidP="00963EA6">
      <w:pPr>
        <w:pStyle w:val="Sinespaciado"/>
      </w:pPr>
    </w:p>
    <w:p w:rsidR="005F7D3F" w:rsidRPr="00497EE9" w:rsidRDefault="005F7D3F" w:rsidP="00963EA6">
      <w:pPr>
        <w:pStyle w:val="Sinespaciado"/>
      </w:pPr>
    </w:p>
    <w:p w:rsidR="005F7D3F" w:rsidRPr="00497EE9" w:rsidRDefault="005F7D3F" w:rsidP="00963EA6">
      <w:pPr>
        <w:pStyle w:val="Sinespaciado"/>
      </w:pPr>
      <w:r w:rsidRPr="00497EE9">
        <w:t>JORGE ARTURO CASTAÑO DUQUE</w:t>
      </w:r>
    </w:p>
    <w:p w:rsidR="00615752" w:rsidRPr="00497EE9" w:rsidRDefault="005F7D3F" w:rsidP="00963EA6">
      <w:pPr>
        <w:pStyle w:val="Sinespaciado"/>
      </w:pPr>
      <w:r w:rsidRPr="00497EE9">
        <w:t>Magistrado</w:t>
      </w:r>
    </w:p>
    <w:p w:rsidR="00E84C80" w:rsidRPr="00497EE9" w:rsidRDefault="00E84C80" w:rsidP="00963EA6">
      <w:pPr>
        <w:pStyle w:val="Sinespaciado"/>
      </w:pPr>
    </w:p>
    <w:p w:rsidR="00C931A4" w:rsidRPr="00497EE9" w:rsidRDefault="00C931A4" w:rsidP="00963EA6">
      <w:pPr>
        <w:pStyle w:val="Sinespaciado"/>
      </w:pPr>
    </w:p>
    <w:p w:rsidR="00C931A4" w:rsidRPr="00497EE9" w:rsidRDefault="00C931A4" w:rsidP="00963EA6">
      <w:pPr>
        <w:pStyle w:val="Sinespaciado"/>
      </w:pPr>
    </w:p>
    <w:p w:rsidR="008D5AB0" w:rsidRPr="00497EE9" w:rsidRDefault="008D5AB0" w:rsidP="00963EA6">
      <w:pPr>
        <w:pStyle w:val="Sinespaciado"/>
      </w:pPr>
    </w:p>
    <w:sectPr w:rsidR="008D5AB0" w:rsidRPr="00497EE9" w:rsidSect="002D4153">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E3" w:rsidRDefault="009D3BE3" w:rsidP="000D54D1">
      <w:pPr>
        <w:spacing w:after="0" w:line="240" w:lineRule="auto"/>
      </w:pPr>
      <w:r>
        <w:separator/>
      </w:r>
    </w:p>
  </w:endnote>
  <w:endnote w:type="continuationSeparator" w:id="0">
    <w:p w:rsidR="009D3BE3" w:rsidRDefault="009D3BE3" w:rsidP="000D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775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4A57AD" w:rsidRPr="006A6472" w:rsidRDefault="004A57AD" w:rsidP="006A6472">
            <w:pPr>
              <w:pStyle w:val="Piedepgina"/>
              <w:numPr>
                <w:ilvl w:val="0"/>
                <w:numId w:val="0"/>
              </w:numPr>
              <w:rPr>
                <w:rFonts w:ascii="Arial" w:hAnsi="Arial" w:cs="Arial"/>
                <w:sz w:val="20"/>
                <w:szCs w:val="20"/>
              </w:rPr>
            </w:pPr>
            <w:r w:rsidRPr="006A6472">
              <w:rPr>
                <w:rFonts w:ascii="Arial" w:hAnsi="Arial" w:cs="Arial"/>
                <w:sz w:val="20"/>
                <w:szCs w:val="20"/>
              </w:rPr>
              <w:t xml:space="preserve">Página </w:t>
            </w:r>
            <w:r w:rsidRPr="006A6472">
              <w:rPr>
                <w:rFonts w:ascii="Arial" w:hAnsi="Arial" w:cs="Arial"/>
                <w:b/>
                <w:bCs/>
                <w:sz w:val="20"/>
                <w:szCs w:val="20"/>
              </w:rPr>
              <w:fldChar w:fldCharType="begin"/>
            </w:r>
            <w:r w:rsidRPr="006A6472">
              <w:rPr>
                <w:rFonts w:ascii="Arial" w:hAnsi="Arial" w:cs="Arial"/>
                <w:b/>
                <w:bCs/>
                <w:sz w:val="20"/>
                <w:szCs w:val="20"/>
              </w:rPr>
              <w:instrText>PAGE</w:instrText>
            </w:r>
            <w:r w:rsidRPr="006A6472">
              <w:rPr>
                <w:rFonts w:ascii="Arial" w:hAnsi="Arial" w:cs="Arial"/>
                <w:b/>
                <w:bCs/>
                <w:sz w:val="20"/>
                <w:szCs w:val="20"/>
              </w:rPr>
              <w:fldChar w:fldCharType="separate"/>
            </w:r>
            <w:r w:rsidR="00EF5E32">
              <w:rPr>
                <w:rFonts w:ascii="Arial" w:hAnsi="Arial" w:cs="Arial"/>
                <w:b/>
                <w:bCs/>
                <w:noProof/>
                <w:sz w:val="20"/>
                <w:szCs w:val="20"/>
              </w:rPr>
              <w:t>9</w:t>
            </w:r>
            <w:r w:rsidRPr="006A6472">
              <w:rPr>
                <w:rFonts w:ascii="Arial" w:hAnsi="Arial" w:cs="Arial"/>
                <w:b/>
                <w:bCs/>
                <w:sz w:val="20"/>
                <w:szCs w:val="20"/>
              </w:rPr>
              <w:fldChar w:fldCharType="end"/>
            </w:r>
            <w:r w:rsidRPr="006A6472">
              <w:rPr>
                <w:rFonts w:ascii="Arial" w:hAnsi="Arial" w:cs="Arial"/>
                <w:sz w:val="20"/>
                <w:szCs w:val="20"/>
              </w:rPr>
              <w:t xml:space="preserve"> de </w:t>
            </w:r>
            <w:r w:rsidRPr="006A6472">
              <w:rPr>
                <w:rFonts w:ascii="Arial" w:hAnsi="Arial" w:cs="Arial"/>
                <w:b/>
                <w:bCs/>
                <w:sz w:val="20"/>
                <w:szCs w:val="20"/>
              </w:rPr>
              <w:fldChar w:fldCharType="begin"/>
            </w:r>
            <w:r w:rsidRPr="006A6472">
              <w:rPr>
                <w:rFonts w:ascii="Arial" w:hAnsi="Arial" w:cs="Arial"/>
                <w:b/>
                <w:bCs/>
                <w:sz w:val="20"/>
                <w:szCs w:val="20"/>
              </w:rPr>
              <w:instrText>NUMPAGES</w:instrText>
            </w:r>
            <w:r w:rsidRPr="006A6472">
              <w:rPr>
                <w:rFonts w:ascii="Arial" w:hAnsi="Arial" w:cs="Arial"/>
                <w:b/>
                <w:bCs/>
                <w:sz w:val="20"/>
                <w:szCs w:val="20"/>
              </w:rPr>
              <w:fldChar w:fldCharType="separate"/>
            </w:r>
            <w:r w:rsidR="00EF5E32">
              <w:rPr>
                <w:rFonts w:ascii="Arial" w:hAnsi="Arial" w:cs="Arial"/>
                <w:b/>
                <w:bCs/>
                <w:noProof/>
                <w:sz w:val="20"/>
                <w:szCs w:val="20"/>
              </w:rPr>
              <w:t>9</w:t>
            </w:r>
            <w:r w:rsidRPr="006A6472">
              <w:rPr>
                <w:rFonts w:ascii="Arial" w:hAnsi="Arial" w:cs="Arial"/>
                <w:b/>
                <w:bCs/>
                <w:sz w:val="20"/>
                <w:szCs w:val="20"/>
              </w:rPr>
              <w:fldChar w:fldCharType="end"/>
            </w:r>
          </w:p>
        </w:sdtContent>
      </w:sdt>
    </w:sdtContent>
  </w:sdt>
  <w:p w:rsidR="004A57AD" w:rsidRDefault="004A57AD" w:rsidP="006A6472">
    <w:pPr>
      <w:pStyle w:val="Piedepgina"/>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E3" w:rsidRDefault="009D3BE3" w:rsidP="000D54D1">
      <w:pPr>
        <w:spacing w:after="0" w:line="240" w:lineRule="auto"/>
      </w:pPr>
      <w:r>
        <w:separator/>
      </w:r>
    </w:p>
  </w:footnote>
  <w:footnote w:type="continuationSeparator" w:id="0">
    <w:p w:rsidR="009D3BE3" w:rsidRDefault="009D3BE3" w:rsidP="000D54D1">
      <w:pPr>
        <w:spacing w:after="0" w:line="240" w:lineRule="auto"/>
      </w:pPr>
      <w:r>
        <w:continuationSeparator/>
      </w:r>
    </w:p>
  </w:footnote>
  <w:footnote w:id="1">
    <w:p w:rsidR="00E220DF" w:rsidRPr="009B1171" w:rsidRDefault="00E220DF" w:rsidP="00E220DF">
      <w:pPr>
        <w:pStyle w:val="Textonotapie"/>
        <w:jc w:val="both"/>
        <w:rPr>
          <w:lang w:val="es-MX"/>
        </w:rPr>
      </w:pPr>
      <w:r>
        <w:rPr>
          <w:rStyle w:val="Refdenotaalpie"/>
        </w:rPr>
        <w:footnoteRef/>
      </w:r>
      <w:r>
        <w:t xml:space="preserve"> </w:t>
      </w:r>
      <w:proofErr w:type="spellStart"/>
      <w:r w:rsidRPr="0071134D">
        <w:rPr>
          <w:rFonts w:ascii="Tahoma" w:hAnsi="Tahoma" w:cs="Tahoma"/>
          <w:lang w:val="es-MX"/>
        </w:rPr>
        <w:t>C.S.J</w:t>
      </w:r>
      <w:proofErr w:type="spellEnd"/>
      <w:r w:rsidRPr="0071134D">
        <w:rPr>
          <w:rFonts w:ascii="Tahoma" w:hAnsi="Tahoma" w:cs="Tahoma"/>
          <w:lang w:val="es-MX"/>
        </w:rPr>
        <w:t xml:space="preserve">. Casación del 09 de Noviembre de 2006, Rad. </w:t>
      </w:r>
      <w:smartTag w:uri="urn:schemas-microsoft-com:office:smarttags" w:element="metricconverter">
        <w:smartTagPr>
          <w:attr w:name="ProductID" w:val="25738, M"/>
        </w:smartTagPr>
        <w:r w:rsidRPr="0071134D">
          <w:rPr>
            <w:rFonts w:ascii="Tahoma" w:hAnsi="Tahoma" w:cs="Tahoma"/>
            <w:lang w:val="es-MX"/>
          </w:rPr>
          <w:t xml:space="preserve">25738, </w:t>
        </w:r>
        <w:proofErr w:type="spellStart"/>
        <w:r w:rsidRPr="0071134D">
          <w:rPr>
            <w:rFonts w:ascii="Tahoma" w:hAnsi="Tahoma" w:cs="Tahoma"/>
            <w:lang w:val="es-MX"/>
          </w:rPr>
          <w:t>M</w:t>
        </w:r>
      </w:smartTag>
      <w:r w:rsidRPr="0071134D">
        <w:rPr>
          <w:rFonts w:ascii="Tahoma" w:hAnsi="Tahoma" w:cs="Tahoma"/>
          <w:lang w:val="es-MX"/>
        </w:rPr>
        <w:t>.P</w:t>
      </w:r>
      <w:proofErr w:type="spellEnd"/>
      <w:r w:rsidRPr="0071134D">
        <w:rPr>
          <w:rFonts w:ascii="Tahoma" w:hAnsi="Tahoma" w:cs="Tahoma"/>
          <w:lang w:val="es-MX"/>
        </w:rPr>
        <w:t xml:space="preserve">. Dr. </w:t>
      </w:r>
      <w:proofErr w:type="spellStart"/>
      <w:r w:rsidRPr="0071134D">
        <w:rPr>
          <w:rFonts w:ascii="Tahoma" w:hAnsi="Tahoma" w:cs="Tahoma"/>
          <w:lang w:val="es-MX"/>
        </w:rPr>
        <w:t>Sigifredo</w:t>
      </w:r>
      <w:proofErr w:type="spellEnd"/>
      <w:r w:rsidRPr="0071134D">
        <w:rPr>
          <w:rFonts w:ascii="Tahoma" w:hAnsi="Tahoma" w:cs="Tahoma"/>
          <w:lang w:val="es-MX"/>
        </w:rPr>
        <w:t xml:space="preserve"> Espinosa Pérez</w:t>
      </w:r>
      <w:r>
        <w:rPr>
          <w:rFonts w:ascii="Tahoma" w:hAnsi="Tahoma" w:cs="Tahoma"/>
          <w:lang w:val="es-MX"/>
        </w:rPr>
        <w:t>.</w:t>
      </w:r>
    </w:p>
  </w:footnote>
  <w:footnote w:id="2">
    <w:p w:rsidR="00E753D1" w:rsidRPr="00E753D1" w:rsidRDefault="00E753D1">
      <w:pPr>
        <w:pStyle w:val="Textonotapie"/>
        <w:rPr>
          <w:lang w:val="es-CO"/>
        </w:rPr>
      </w:pPr>
      <w:r>
        <w:rPr>
          <w:rStyle w:val="Refdenotaalpie"/>
        </w:rPr>
        <w:footnoteRef/>
      </w:r>
      <w:r>
        <w:t xml:space="preserve"> </w:t>
      </w:r>
      <w:r>
        <w:rPr>
          <w:lang w:val="es-CO"/>
        </w:rPr>
        <w:t xml:space="preserve">Audiencia de formulación de acusación. A partir de H. 00.34.26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AD" w:rsidRPr="000A2164" w:rsidRDefault="004A57AD" w:rsidP="000D54D1">
    <w:pPr>
      <w:pStyle w:val="Encabezado"/>
      <w:numPr>
        <w:ilvl w:val="0"/>
        <w:numId w:val="0"/>
      </w:numPr>
      <w:ind w:left="720"/>
      <w:jc w:val="right"/>
      <w:rPr>
        <w:rFonts w:ascii="Arial" w:hAnsi="Arial" w:cs="Arial"/>
        <w:b/>
        <w:sz w:val="20"/>
        <w:szCs w:val="20"/>
        <w:lang w:val="es-CO"/>
      </w:rPr>
    </w:pPr>
    <w:r w:rsidRPr="000A2164">
      <w:rPr>
        <w:rFonts w:ascii="Arial" w:hAnsi="Arial" w:cs="Arial"/>
        <w:b/>
        <w:sz w:val="20"/>
        <w:szCs w:val="20"/>
        <w:lang w:val="es-CO"/>
      </w:rPr>
      <w:t>Radicado: 11001 60 00 090 2012 00177 01</w:t>
    </w:r>
  </w:p>
  <w:p w:rsidR="004A57AD" w:rsidRPr="000A2164" w:rsidRDefault="004A57AD" w:rsidP="000D54D1">
    <w:pPr>
      <w:pStyle w:val="Encabezado"/>
      <w:numPr>
        <w:ilvl w:val="0"/>
        <w:numId w:val="0"/>
      </w:numPr>
      <w:ind w:left="720"/>
      <w:jc w:val="right"/>
      <w:rPr>
        <w:rFonts w:ascii="Arial" w:hAnsi="Arial" w:cs="Arial"/>
        <w:b/>
        <w:sz w:val="20"/>
        <w:szCs w:val="20"/>
        <w:lang w:val="es-CO"/>
      </w:rPr>
    </w:pPr>
    <w:r w:rsidRPr="000A2164">
      <w:rPr>
        <w:rFonts w:ascii="Arial" w:hAnsi="Arial" w:cs="Arial"/>
        <w:b/>
        <w:sz w:val="20"/>
        <w:szCs w:val="20"/>
        <w:lang w:val="es-CO"/>
      </w:rPr>
      <w:t xml:space="preserve">Acusada: María </w:t>
    </w:r>
    <w:proofErr w:type="spellStart"/>
    <w:r w:rsidRPr="000A2164">
      <w:rPr>
        <w:rFonts w:ascii="Arial" w:hAnsi="Arial" w:cs="Arial"/>
        <w:b/>
        <w:sz w:val="20"/>
        <w:szCs w:val="20"/>
        <w:lang w:val="es-CO"/>
      </w:rPr>
      <w:t>Policarpa</w:t>
    </w:r>
    <w:proofErr w:type="spellEnd"/>
    <w:r w:rsidRPr="000A2164">
      <w:rPr>
        <w:rFonts w:ascii="Arial" w:hAnsi="Arial" w:cs="Arial"/>
        <w:b/>
        <w:sz w:val="20"/>
        <w:szCs w:val="20"/>
        <w:lang w:val="es-CO"/>
      </w:rPr>
      <w:t xml:space="preserve"> Agudelo Castañeda</w:t>
    </w:r>
  </w:p>
  <w:p w:rsidR="004A57AD" w:rsidRPr="000A2164" w:rsidRDefault="004A57AD" w:rsidP="000D54D1">
    <w:pPr>
      <w:pStyle w:val="Encabezado"/>
      <w:numPr>
        <w:ilvl w:val="0"/>
        <w:numId w:val="0"/>
      </w:numPr>
      <w:ind w:left="720"/>
      <w:jc w:val="right"/>
      <w:rPr>
        <w:rFonts w:ascii="Arial" w:hAnsi="Arial" w:cs="Arial"/>
        <w:b/>
        <w:sz w:val="20"/>
        <w:szCs w:val="20"/>
        <w:lang w:val="es-CO"/>
      </w:rPr>
    </w:pPr>
    <w:r w:rsidRPr="000A2164">
      <w:rPr>
        <w:rFonts w:ascii="Arial" w:hAnsi="Arial" w:cs="Arial"/>
        <w:b/>
        <w:sz w:val="20"/>
        <w:szCs w:val="20"/>
        <w:lang w:val="es-CO"/>
      </w:rPr>
      <w:t xml:space="preserve">Delito: Falsificación de moneda nacional o extranjera </w:t>
    </w:r>
  </w:p>
  <w:p w:rsidR="004A57AD" w:rsidRPr="000A2164" w:rsidRDefault="004A57AD" w:rsidP="000D54D1">
    <w:pPr>
      <w:pStyle w:val="Encabezado"/>
      <w:numPr>
        <w:ilvl w:val="0"/>
        <w:numId w:val="0"/>
      </w:numPr>
      <w:ind w:left="720"/>
      <w:jc w:val="right"/>
      <w:rPr>
        <w:rFonts w:ascii="Arial" w:hAnsi="Arial" w:cs="Arial"/>
        <w:b/>
        <w:sz w:val="20"/>
        <w:szCs w:val="20"/>
        <w:lang w:val="es-CO"/>
      </w:rPr>
    </w:pPr>
    <w:r w:rsidRPr="000A2164">
      <w:rPr>
        <w:rFonts w:ascii="Arial" w:hAnsi="Arial" w:cs="Arial"/>
        <w:b/>
        <w:sz w:val="20"/>
        <w:szCs w:val="20"/>
        <w:lang w:val="es-CO"/>
      </w:rPr>
      <w:t>Asunto: Confirma auto de primera instancia</w:t>
    </w:r>
  </w:p>
  <w:p w:rsidR="004A57AD" w:rsidRPr="000A2164" w:rsidRDefault="004A57AD" w:rsidP="000D54D1">
    <w:pPr>
      <w:pStyle w:val="Encabezado"/>
      <w:numPr>
        <w:ilvl w:val="0"/>
        <w:numId w:val="0"/>
      </w:numPr>
      <w:ind w:left="720"/>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C5C471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CE62DF"/>
    <w:multiLevelType w:val="hybridMultilevel"/>
    <w:tmpl w:val="434AC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FB5A55"/>
    <w:multiLevelType w:val="hybridMultilevel"/>
    <w:tmpl w:val="022C8EF0"/>
    <w:lvl w:ilvl="0" w:tplc="0C0A0001">
      <w:start w:val="1"/>
      <w:numFmt w:val="bullet"/>
      <w:lvlText w:val=""/>
      <w:lvlJc w:val="left"/>
      <w:pPr>
        <w:tabs>
          <w:tab w:val="num" w:pos="858"/>
        </w:tabs>
        <w:ind w:left="858" w:hanging="360"/>
      </w:pPr>
      <w:rPr>
        <w:rFonts w:ascii="Symbol" w:hAnsi="Symbol" w:hint="default"/>
      </w:rPr>
    </w:lvl>
    <w:lvl w:ilvl="1" w:tplc="0C0A0003">
      <w:start w:val="1"/>
      <w:numFmt w:val="bullet"/>
      <w:lvlText w:val="o"/>
      <w:lvlJc w:val="left"/>
      <w:pPr>
        <w:tabs>
          <w:tab w:val="num" w:pos="1578"/>
        </w:tabs>
        <w:ind w:left="1578" w:hanging="360"/>
      </w:pPr>
      <w:rPr>
        <w:rFonts w:ascii="Courier New" w:hAnsi="Courier New" w:hint="default"/>
      </w:rPr>
    </w:lvl>
    <w:lvl w:ilvl="2" w:tplc="0C0A0005">
      <w:start w:val="1"/>
      <w:numFmt w:val="bullet"/>
      <w:lvlText w:val=""/>
      <w:lvlJc w:val="left"/>
      <w:pPr>
        <w:tabs>
          <w:tab w:val="num" w:pos="2298"/>
        </w:tabs>
        <w:ind w:left="2298" w:hanging="360"/>
      </w:pPr>
      <w:rPr>
        <w:rFonts w:ascii="Wingdings" w:hAnsi="Wingdings" w:hint="default"/>
      </w:rPr>
    </w:lvl>
    <w:lvl w:ilvl="3" w:tplc="0C0A0001">
      <w:start w:val="1"/>
      <w:numFmt w:val="bullet"/>
      <w:lvlText w:val=""/>
      <w:lvlJc w:val="left"/>
      <w:pPr>
        <w:tabs>
          <w:tab w:val="num" w:pos="3018"/>
        </w:tabs>
        <w:ind w:left="3018" w:hanging="360"/>
      </w:pPr>
      <w:rPr>
        <w:rFonts w:ascii="Symbol" w:hAnsi="Symbol" w:hint="default"/>
      </w:rPr>
    </w:lvl>
    <w:lvl w:ilvl="4" w:tplc="0C0A0003">
      <w:start w:val="1"/>
      <w:numFmt w:val="bullet"/>
      <w:lvlText w:val="o"/>
      <w:lvlJc w:val="left"/>
      <w:pPr>
        <w:tabs>
          <w:tab w:val="num" w:pos="3738"/>
        </w:tabs>
        <w:ind w:left="3738" w:hanging="360"/>
      </w:pPr>
      <w:rPr>
        <w:rFonts w:ascii="Courier New" w:hAnsi="Courier New" w:hint="default"/>
      </w:rPr>
    </w:lvl>
    <w:lvl w:ilvl="5" w:tplc="0C0A0005">
      <w:start w:val="1"/>
      <w:numFmt w:val="bullet"/>
      <w:lvlText w:val=""/>
      <w:lvlJc w:val="left"/>
      <w:pPr>
        <w:tabs>
          <w:tab w:val="num" w:pos="4458"/>
        </w:tabs>
        <w:ind w:left="4458" w:hanging="360"/>
      </w:pPr>
      <w:rPr>
        <w:rFonts w:ascii="Wingdings" w:hAnsi="Wingdings" w:hint="default"/>
      </w:rPr>
    </w:lvl>
    <w:lvl w:ilvl="6" w:tplc="0C0A0001">
      <w:start w:val="1"/>
      <w:numFmt w:val="bullet"/>
      <w:lvlText w:val=""/>
      <w:lvlJc w:val="left"/>
      <w:pPr>
        <w:tabs>
          <w:tab w:val="num" w:pos="5178"/>
        </w:tabs>
        <w:ind w:left="5178" w:hanging="360"/>
      </w:pPr>
      <w:rPr>
        <w:rFonts w:ascii="Symbol" w:hAnsi="Symbol" w:hint="default"/>
      </w:rPr>
    </w:lvl>
    <w:lvl w:ilvl="7" w:tplc="0C0A0003">
      <w:start w:val="1"/>
      <w:numFmt w:val="bullet"/>
      <w:lvlText w:val="o"/>
      <w:lvlJc w:val="left"/>
      <w:pPr>
        <w:tabs>
          <w:tab w:val="num" w:pos="5898"/>
        </w:tabs>
        <w:ind w:left="5898" w:hanging="360"/>
      </w:pPr>
      <w:rPr>
        <w:rFonts w:ascii="Courier New" w:hAnsi="Courier New" w:hint="default"/>
      </w:rPr>
    </w:lvl>
    <w:lvl w:ilvl="8" w:tplc="0C0A0005">
      <w:start w:val="1"/>
      <w:numFmt w:val="bullet"/>
      <w:lvlText w:val=""/>
      <w:lvlJc w:val="left"/>
      <w:pPr>
        <w:tabs>
          <w:tab w:val="num" w:pos="6618"/>
        </w:tabs>
        <w:ind w:left="6618" w:hanging="360"/>
      </w:pPr>
      <w:rPr>
        <w:rFonts w:ascii="Wingdings" w:hAnsi="Wingdings" w:hint="default"/>
      </w:rPr>
    </w:lvl>
  </w:abstractNum>
  <w:abstractNum w:abstractNumId="3">
    <w:nsid w:val="0AD82977"/>
    <w:multiLevelType w:val="hybridMultilevel"/>
    <w:tmpl w:val="D318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4391F"/>
    <w:multiLevelType w:val="hybridMultilevel"/>
    <w:tmpl w:val="0F269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54C1D"/>
    <w:multiLevelType w:val="hybridMultilevel"/>
    <w:tmpl w:val="24B0B6A4"/>
    <w:lvl w:ilvl="0" w:tplc="51FA7ED0">
      <w:start w:val="1"/>
      <w:numFmt w:val="bullet"/>
      <w:pStyle w:val="Normal"/>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D7E2F54"/>
    <w:multiLevelType w:val="hybridMultilevel"/>
    <w:tmpl w:val="A8F42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0B0076"/>
    <w:multiLevelType w:val="hybridMultilevel"/>
    <w:tmpl w:val="C7A46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9920DE"/>
    <w:multiLevelType w:val="multilevel"/>
    <w:tmpl w:val="51383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BA21AD"/>
    <w:multiLevelType w:val="hybridMultilevel"/>
    <w:tmpl w:val="A5D09B34"/>
    <w:lvl w:ilvl="0" w:tplc="A13E2FD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C447CA"/>
    <w:multiLevelType w:val="hybridMultilevel"/>
    <w:tmpl w:val="8DA09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DB5733"/>
    <w:multiLevelType w:val="singleLevel"/>
    <w:tmpl w:val="13B2FF32"/>
    <w:lvl w:ilvl="0">
      <w:start w:val="3"/>
      <w:numFmt w:val="lowerRoman"/>
      <w:lvlText w:val="(%1)"/>
      <w:legacy w:legacy="1" w:legacySpace="120" w:legacyIndent="720"/>
      <w:lvlJc w:val="left"/>
      <w:pPr>
        <w:ind w:left="1800" w:hanging="720"/>
      </w:pPr>
      <w:rPr>
        <w:rFonts w:cs="Times New Roman"/>
      </w:rPr>
    </w:lvl>
  </w:abstractNum>
  <w:abstractNum w:abstractNumId="12">
    <w:nsid w:val="3785301B"/>
    <w:multiLevelType w:val="hybridMultilevel"/>
    <w:tmpl w:val="9506A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4216C3"/>
    <w:multiLevelType w:val="hybridMultilevel"/>
    <w:tmpl w:val="D9E248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343CF5"/>
    <w:multiLevelType w:val="hybridMultilevel"/>
    <w:tmpl w:val="C52817D4"/>
    <w:lvl w:ilvl="0" w:tplc="B8FAE03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836C0A"/>
    <w:multiLevelType w:val="hybridMultilevel"/>
    <w:tmpl w:val="A68CBECA"/>
    <w:lvl w:ilvl="0" w:tplc="0C0A0001">
      <w:start w:val="1"/>
      <w:numFmt w:val="bullet"/>
      <w:lvlText w:val=""/>
      <w:lvlJc w:val="left"/>
      <w:pPr>
        <w:ind w:left="720" w:hanging="360"/>
      </w:pPr>
      <w:rPr>
        <w:rFonts w:ascii="Symbol" w:hAnsi="Symbol" w:hint="default"/>
      </w:rPr>
    </w:lvl>
    <w:lvl w:ilvl="1" w:tplc="C37E61A8">
      <w:start w:val="6"/>
      <w:numFmt w:val="bullet"/>
      <w:lvlText w:val="-"/>
      <w:lvlJc w:val="left"/>
      <w:pPr>
        <w:ind w:left="1440" w:hanging="360"/>
      </w:pPr>
      <w:rPr>
        <w:rFonts w:ascii="Tahoma" w:eastAsiaTheme="minorHAns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7A5207"/>
    <w:multiLevelType w:val="hybridMultilevel"/>
    <w:tmpl w:val="1D769A44"/>
    <w:lvl w:ilvl="0" w:tplc="B5AAE4C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987F3A"/>
    <w:multiLevelType w:val="hybridMultilevel"/>
    <w:tmpl w:val="43FEC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B87E42"/>
    <w:multiLevelType w:val="multilevel"/>
    <w:tmpl w:val="1A8A77A0"/>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6B403A17"/>
    <w:multiLevelType w:val="hybridMultilevel"/>
    <w:tmpl w:val="115A2AA4"/>
    <w:lvl w:ilvl="0" w:tplc="57386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9A0EEF"/>
    <w:multiLevelType w:val="hybridMultilevel"/>
    <w:tmpl w:val="79540DA8"/>
    <w:lvl w:ilvl="0" w:tplc="0CA21BF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CC92E7A"/>
    <w:multiLevelType w:val="hybridMultilevel"/>
    <w:tmpl w:val="CFC40BEC"/>
    <w:lvl w:ilvl="0" w:tplc="1496477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D187A7B"/>
    <w:multiLevelType w:val="hybridMultilevel"/>
    <w:tmpl w:val="1380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3C6591"/>
    <w:multiLevelType w:val="hybridMultilevel"/>
    <w:tmpl w:val="2D1CF1C4"/>
    <w:lvl w:ilvl="0" w:tplc="7BDC44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C25785D"/>
    <w:multiLevelType w:val="hybridMultilevel"/>
    <w:tmpl w:val="D40C55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12"/>
  </w:num>
  <w:num w:numId="6">
    <w:abstractNumId w:val="23"/>
  </w:num>
  <w:num w:numId="7">
    <w:abstractNumId w:val="0"/>
  </w:num>
  <w:num w:numId="8">
    <w:abstractNumId w:val="16"/>
  </w:num>
  <w:num w:numId="9">
    <w:abstractNumId w:val="14"/>
  </w:num>
  <w:num w:numId="10">
    <w:abstractNumId w:val="21"/>
  </w:num>
  <w:num w:numId="11">
    <w:abstractNumId w:val="9"/>
  </w:num>
  <w:num w:numId="12">
    <w:abstractNumId w:val="20"/>
  </w:num>
  <w:num w:numId="13">
    <w:abstractNumId w:val="17"/>
  </w:num>
  <w:num w:numId="14">
    <w:abstractNumId w:val="4"/>
  </w:num>
  <w:num w:numId="15">
    <w:abstractNumId w:val="24"/>
  </w:num>
  <w:num w:numId="16">
    <w:abstractNumId w:val="1"/>
  </w:num>
  <w:num w:numId="17">
    <w:abstractNumId w:val="11"/>
  </w:num>
  <w:num w:numId="18">
    <w:abstractNumId w:val="13"/>
  </w:num>
  <w:num w:numId="19">
    <w:abstractNumId w:val="18"/>
  </w:num>
  <w:num w:numId="20">
    <w:abstractNumId w:val="19"/>
  </w:num>
  <w:num w:numId="21">
    <w:abstractNumId w:val="15"/>
  </w:num>
  <w:num w:numId="22">
    <w:abstractNumId w:val="2"/>
  </w:num>
  <w:num w:numId="23">
    <w:abstractNumId w:val="7"/>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9E"/>
    <w:rsid w:val="000053F6"/>
    <w:rsid w:val="0000597C"/>
    <w:rsid w:val="00006832"/>
    <w:rsid w:val="00015E07"/>
    <w:rsid w:val="00016D82"/>
    <w:rsid w:val="000247D0"/>
    <w:rsid w:val="00024EE8"/>
    <w:rsid w:val="00031F49"/>
    <w:rsid w:val="00047D9C"/>
    <w:rsid w:val="00076501"/>
    <w:rsid w:val="00076A93"/>
    <w:rsid w:val="00091F13"/>
    <w:rsid w:val="000A0072"/>
    <w:rsid w:val="000A2164"/>
    <w:rsid w:val="000B059F"/>
    <w:rsid w:val="000B2B60"/>
    <w:rsid w:val="000B3A3D"/>
    <w:rsid w:val="000B430E"/>
    <w:rsid w:val="000B6CF9"/>
    <w:rsid w:val="000C252D"/>
    <w:rsid w:val="000D5394"/>
    <w:rsid w:val="000D54D1"/>
    <w:rsid w:val="000E0A04"/>
    <w:rsid w:val="000E5DD2"/>
    <w:rsid w:val="000E679B"/>
    <w:rsid w:val="000E7110"/>
    <w:rsid w:val="000E737E"/>
    <w:rsid w:val="000F1AE7"/>
    <w:rsid w:val="00104FA7"/>
    <w:rsid w:val="00120A45"/>
    <w:rsid w:val="001225AB"/>
    <w:rsid w:val="00141066"/>
    <w:rsid w:val="00152468"/>
    <w:rsid w:val="0015650F"/>
    <w:rsid w:val="0016273D"/>
    <w:rsid w:val="001726A8"/>
    <w:rsid w:val="00175687"/>
    <w:rsid w:val="00186FF5"/>
    <w:rsid w:val="00197AD5"/>
    <w:rsid w:val="001A2F27"/>
    <w:rsid w:val="001E62E3"/>
    <w:rsid w:val="001E6A82"/>
    <w:rsid w:val="001E6D52"/>
    <w:rsid w:val="001F1A85"/>
    <w:rsid w:val="001F22F0"/>
    <w:rsid w:val="00205A91"/>
    <w:rsid w:val="00217A5E"/>
    <w:rsid w:val="00222F7D"/>
    <w:rsid w:val="00232A39"/>
    <w:rsid w:val="00254D5D"/>
    <w:rsid w:val="002566C6"/>
    <w:rsid w:val="00267FB1"/>
    <w:rsid w:val="00287F55"/>
    <w:rsid w:val="002A2DC5"/>
    <w:rsid w:val="002A2FA6"/>
    <w:rsid w:val="002A4563"/>
    <w:rsid w:val="002B47F3"/>
    <w:rsid w:val="002B4913"/>
    <w:rsid w:val="002D12D7"/>
    <w:rsid w:val="002D4153"/>
    <w:rsid w:val="002E1331"/>
    <w:rsid w:val="002E5CF3"/>
    <w:rsid w:val="002E7B79"/>
    <w:rsid w:val="003077D4"/>
    <w:rsid w:val="00307E37"/>
    <w:rsid w:val="00322AF4"/>
    <w:rsid w:val="00326E7B"/>
    <w:rsid w:val="00331E34"/>
    <w:rsid w:val="00350657"/>
    <w:rsid w:val="00363EC0"/>
    <w:rsid w:val="00364C08"/>
    <w:rsid w:val="0036544F"/>
    <w:rsid w:val="00371CC6"/>
    <w:rsid w:val="00373EE6"/>
    <w:rsid w:val="00374F10"/>
    <w:rsid w:val="003776A3"/>
    <w:rsid w:val="00383D61"/>
    <w:rsid w:val="00392380"/>
    <w:rsid w:val="003A1B57"/>
    <w:rsid w:val="003D62B1"/>
    <w:rsid w:val="003E5BC0"/>
    <w:rsid w:val="003F2F7D"/>
    <w:rsid w:val="0040752E"/>
    <w:rsid w:val="00421FC1"/>
    <w:rsid w:val="00446980"/>
    <w:rsid w:val="00446B72"/>
    <w:rsid w:val="004512D4"/>
    <w:rsid w:val="004531A3"/>
    <w:rsid w:val="004547C9"/>
    <w:rsid w:val="004873F5"/>
    <w:rsid w:val="00497EE9"/>
    <w:rsid w:val="004A038F"/>
    <w:rsid w:val="004A57AD"/>
    <w:rsid w:val="004D4A61"/>
    <w:rsid w:val="004F1975"/>
    <w:rsid w:val="00507470"/>
    <w:rsid w:val="00524755"/>
    <w:rsid w:val="0052475B"/>
    <w:rsid w:val="00531348"/>
    <w:rsid w:val="00545DDF"/>
    <w:rsid w:val="005729D7"/>
    <w:rsid w:val="005738AF"/>
    <w:rsid w:val="005864BE"/>
    <w:rsid w:val="00595411"/>
    <w:rsid w:val="005B44E8"/>
    <w:rsid w:val="005C3460"/>
    <w:rsid w:val="005C4432"/>
    <w:rsid w:val="005C54F6"/>
    <w:rsid w:val="005D374F"/>
    <w:rsid w:val="005E3A6A"/>
    <w:rsid w:val="005F32A7"/>
    <w:rsid w:val="005F41E9"/>
    <w:rsid w:val="005F7D3F"/>
    <w:rsid w:val="006070AB"/>
    <w:rsid w:val="00615752"/>
    <w:rsid w:val="006302B8"/>
    <w:rsid w:val="006447F0"/>
    <w:rsid w:val="00657CD9"/>
    <w:rsid w:val="0067165B"/>
    <w:rsid w:val="00673A89"/>
    <w:rsid w:val="00676682"/>
    <w:rsid w:val="006A6472"/>
    <w:rsid w:val="006A7D8A"/>
    <w:rsid w:val="006B33A8"/>
    <w:rsid w:val="006C5BBC"/>
    <w:rsid w:val="006C67CE"/>
    <w:rsid w:val="006C68E4"/>
    <w:rsid w:val="006D169E"/>
    <w:rsid w:val="006E27DC"/>
    <w:rsid w:val="006E41D2"/>
    <w:rsid w:val="00722969"/>
    <w:rsid w:val="007260E9"/>
    <w:rsid w:val="0073526B"/>
    <w:rsid w:val="00741362"/>
    <w:rsid w:val="0076033A"/>
    <w:rsid w:val="00765623"/>
    <w:rsid w:val="007659D9"/>
    <w:rsid w:val="007663B8"/>
    <w:rsid w:val="00772657"/>
    <w:rsid w:val="007744BD"/>
    <w:rsid w:val="00777371"/>
    <w:rsid w:val="007979C7"/>
    <w:rsid w:val="007A3C74"/>
    <w:rsid w:val="007B14F1"/>
    <w:rsid w:val="007C421C"/>
    <w:rsid w:val="007D7FED"/>
    <w:rsid w:val="007E46D7"/>
    <w:rsid w:val="007F2A3F"/>
    <w:rsid w:val="007F559D"/>
    <w:rsid w:val="008046E4"/>
    <w:rsid w:val="00807D90"/>
    <w:rsid w:val="00824F18"/>
    <w:rsid w:val="00827C79"/>
    <w:rsid w:val="008513D2"/>
    <w:rsid w:val="00851488"/>
    <w:rsid w:val="00854F5D"/>
    <w:rsid w:val="00861EBD"/>
    <w:rsid w:val="008711BB"/>
    <w:rsid w:val="0087156D"/>
    <w:rsid w:val="008A7295"/>
    <w:rsid w:val="008B3EF3"/>
    <w:rsid w:val="008D2524"/>
    <w:rsid w:val="008D2EE8"/>
    <w:rsid w:val="008D5AB0"/>
    <w:rsid w:val="008F7E26"/>
    <w:rsid w:val="00913427"/>
    <w:rsid w:val="00915996"/>
    <w:rsid w:val="009221B6"/>
    <w:rsid w:val="00955DB9"/>
    <w:rsid w:val="009622EA"/>
    <w:rsid w:val="00963EA6"/>
    <w:rsid w:val="00986369"/>
    <w:rsid w:val="009A32A8"/>
    <w:rsid w:val="009B4B16"/>
    <w:rsid w:val="009D2358"/>
    <w:rsid w:val="009D3BB4"/>
    <w:rsid w:val="009D3BE3"/>
    <w:rsid w:val="009D3E21"/>
    <w:rsid w:val="009D5F5B"/>
    <w:rsid w:val="009D7EE2"/>
    <w:rsid w:val="00A318F2"/>
    <w:rsid w:val="00A319B3"/>
    <w:rsid w:val="00A322E1"/>
    <w:rsid w:val="00A3409B"/>
    <w:rsid w:val="00A56E22"/>
    <w:rsid w:val="00A61920"/>
    <w:rsid w:val="00A623B8"/>
    <w:rsid w:val="00A85E28"/>
    <w:rsid w:val="00A866D9"/>
    <w:rsid w:val="00A91145"/>
    <w:rsid w:val="00A93184"/>
    <w:rsid w:val="00AA5005"/>
    <w:rsid w:val="00AC54A5"/>
    <w:rsid w:val="00AD3A8D"/>
    <w:rsid w:val="00AE1993"/>
    <w:rsid w:val="00AE26D0"/>
    <w:rsid w:val="00AE41C8"/>
    <w:rsid w:val="00AE44C3"/>
    <w:rsid w:val="00B00195"/>
    <w:rsid w:val="00B37E81"/>
    <w:rsid w:val="00B66A1F"/>
    <w:rsid w:val="00B67042"/>
    <w:rsid w:val="00B77838"/>
    <w:rsid w:val="00B86A2E"/>
    <w:rsid w:val="00B9108C"/>
    <w:rsid w:val="00B94290"/>
    <w:rsid w:val="00BB1466"/>
    <w:rsid w:val="00BB3AC8"/>
    <w:rsid w:val="00BB79B9"/>
    <w:rsid w:val="00BC07F0"/>
    <w:rsid w:val="00BC3C57"/>
    <w:rsid w:val="00BC4371"/>
    <w:rsid w:val="00BC4CD6"/>
    <w:rsid w:val="00BD4E50"/>
    <w:rsid w:val="00BE79E5"/>
    <w:rsid w:val="00C20101"/>
    <w:rsid w:val="00C269BD"/>
    <w:rsid w:val="00C27BAF"/>
    <w:rsid w:val="00C56350"/>
    <w:rsid w:val="00C60AE9"/>
    <w:rsid w:val="00C636C0"/>
    <w:rsid w:val="00C636D2"/>
    <w:rsid w:val="00C823C7"/>
    <w:rsid w:val="00C931A4"/>
    <w:rsid w:val="00CB7DA1"/>
    <w:rsid w:val="00CC1043"/>
    <w:rsid w:val="00CD5305"/>
    <w:rsid w:val="00CD5587"/>
    <w:rsid w:val="00CE40C9"/>
    <w:rsid w:val="00D134EA"/>
    <w:rsid w:val="00D23A81"/>
    <w:rsid w:val="00D40632"/>
    <w:rsid w:val="00D46B7A"/>
    <w:rsid w:val="00D60AA5"/>
    <w:rsid w:val="00D7249D"/>
    <w:rsid w:val="00D95D51"/>
    <w:rsid w:val="00DA335D"/>
    <w:rsid w:val="00DB167D"/>
    <w:rsid w:val="00DB3E9F"/>
    <w:rsid w:val="00DC7B46"/>
    <w:rsid w:val="00DE1013"/>
    <w:rsid w:val="00E10682"/>
    <w:rsid w:val="00E220DF"/>
    <w:rsid w:val="00E27017"/>
    <w:rsid w:val="00E42C77"/>
    <w:rsid w:val="00E53DF4"/>
    <w:rsid w:val="00E66E7C"/>
    <w:rsid w:val="00E72A76"/>
    <w:rsid w:val="00E753D1"/>
    <w:rsid w:val="00E81466"/>
    <w:rsid w:val="00E84C80"/>
    <w:rsid w:val="00E8607B"/>
    <w:rsid w:val="00E96C22"/>
    <w:rsid w:val="00EA2ECA"/>
    <w:rsid w:val="00EA6E2A"/>
    <w:rsid w:val="00EB00A1"/>
    <w:rsid w:val="00EB262E"/>
    <w:rsid w:val="00EB68F3"/>
    <w:rsid w:val="00EC21AE"/>
    <w:rsid w:val="00ED2B98"/>
    <w:rsid w:val="00ED4A51"/>
    <w:rsid w:val="00EE5754"/>
    <w:rsid w:val="00EE6FE8"/>
    <w:rsid w:val="00EF5E32"/>
    <w:rsid w:val="00EF6A6F"/>
    <w:rsid w:val="00F10B52"/>
    <w:rsid w:val="00F24FCA"/>
    <w:rsid w:val="00F43981"/>
    <w:rsid w:val="00F52669"/>
    <w:rsid w:val="00F550FB"/>
    <w:rsid w:val="00F602F2"/>
    <w:rsid w:val="00F701E0"/>
    <w:rsid w:val="00F7181C"/>
    <w:rsid w:val="00F96ACF"/>
    <w:rsid w:val="00FA4E1A"/>
    <w:rsid w:val="00FA691C"/>
    <w:rsid w:val="00FD44A4"/>
    <w:rsid w:val="00FE6395"/>
    <w:rsid w:val="00FF0675"/>
    <w:rsid w:val="00FF4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C98A2BA-C646-453D-BE02-B68064D8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numId w:val="1"/>
      </w:numPr>
    </w:pPr>
  </w:style>
  <w:style w:type="paragraph" w:styleId="Ttulo1">
    <w:name w:val="heading 1"/>
    <w:basedOn w:val="Normal"/>
    <w:next w:val="Normal"/>
    <w:link w:val="Ttulo1Car"/>
    <w:uiPriority w:val="99"/>
    <w:qFormat/>
    <w:rsid w:val="009A3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unhideWhenUsed/>
    <w:qFormat/>
    <w:rsid w:val="009A3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A3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A32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A32A8"/>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A32A8"/>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iPriority w:val="99"/>
    <w:unhideWhenUsed/>
    <w:qFormat/>
    <w:rsid w:val="009A3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F602F2"/>
    <w:pPr>
      <w:keepNext/>
      <w:numPr>
        <w:numId w:val="0"/>
      </w:numPr>
      <w:overflowPunct w:val="0"/>
      <w:autoSpaceDE w:val="0"/>
      <w:autoSpaceDN w:val="0"/>
      <w:adjustRightInd w:val="0"/>
      <w:spacing w:after="0" w:line="360" w:lineRule="auto"/>
      <w:jc w:val="center"/>
      <w:outlineLvl w:val="8"/>
    </w:pPr>
    <w:rPr>
      <w:rFonts w:ascii="Bookman Old Style" w:eastAsia="Times New Roman" w:hAnsi="Bookman Old Style" w:cs="Times New Roman"/>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963EA6"/>
    <w:pPr>
      <w:overflowPunct w:val="0"/>
      <w:autoSpaceDE w:val="0"/>
      <w:autoSpaceDN w:val="0"/>
      <w:adjustRightInd w:val="0"/>
      <w:spacing w:after="0" w:line="240" w:lineRule="auto"/>
      <w:ind w:right="-1"/>
      <w:jc w:val="both"/>
      <w:textAlignment w:val="baseline"/>
    </w:pPr>
    <w:rPr>
      <w:rFonts w:eastAsia="Times New Roman" w:cs="Arial"/>
      <w:b/>
      <w:spacing w:val="2"/>
      <w:sz w:val="18"/>
      <w:szCs w:val="18"/>
      <w:lang w:val="es-ES_tradnl" w:eastAsia="es-ES"/>
    </w:rPr>
  </w:style>
  <w:style w:type="paragraph" w:styleId="Prrafodelista">
    <w:name w:val="List Paragraph"/>
    <w:basedOn w:val="Normal"/>
    <w:uiPriority w:val="34"/>
    <w:qFormat/>
    <w:rsid w:val="00673A89"/>
    <w:pPr>
      <w:ind w:left="720"/>
      <w:contextualSpacing/>
    </w:pPr>
  </w:style>
  <w:style w:type="paragraph" w:styleId="Encabezado">
    <w:name w:val="header"/>
    <w:basedOn w:val="Normal"/>
    <w:link w:val="EncabezadoCar"/>
    <w:uiPriority w:val="99"/>
    <w:unhideWhenUsed/>
    <w:rsid w:val="000D54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4D1"/>
  </w:style>
  <w:style w:type="paragraph" w:styleId="Piedepgina">
    <w:name w:val="footer"/>
    <w:basedOn w:val="Normal"/>
    <w:link w:val="PiedepginaCar"/>
    <w:uiPriority w:val="99"/>
    <w:unhideWhenUsed/>
    <w:rsid w:val="000D5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4D1"/>
  </w:style>
  <w:style w:type="paragraph" w:styleId="Listaconvietas3">
    <w:name w:val="List Bullet 3"/>
    <w:basedOn w:val="Normal"/>
    <w:uiPriority w:val="99"/>
    <w:unhideWhenUsed/>
    <w:rsid w:val="000E737E"/>
    <w:pPr>
      <w:numPr>
        <w:numId w:val="7"/>
      </w:numPr>
      <w:spacing w:after="0" w:line="240" w:lineRule="auto"/>
      <w:contextualSpacing/>
    </w:pPr>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F602F2"/>
    <w:rPr>
      <w:rFonts w:ascii="Bookman Old Style" w:eastAsia="Times New Roman" w:hAnsi="Bookman Old Style" w:cs="Times New Roman"/>
      <w:b/>
      <w:sz w:val="24"/>
      <w:szCs w:val="20"/>
      <w:lang w:eastAsia="es-MX"/>
    </w:rPr>
  </w:style>
  <w:style w:type="paragraph" w:styleId="Textoindependiente3">
    <w:name w:val="Body Text 3"/>
    <w:basedOn w:val="Normal"/>
    <w:link w:val="Textoindependiente3Car"/>
    <w:uiPriority w:val="99"/>
    <w:rsid w:val="00F602F2"/>
    <w:pPr>
      <w:numPr>
        <w:numId w:val="0"/>
      </w:numPr>
      <w:autoSpaceDE w:val="0"/>
      <w:autoSpaceDN w:val="0"/>
      <w:spacing w:after="0" w:line="240" w:lineRule="auto"/>
      <w:ind w:right="51"/>
      <w:jc w:val="both"/>
    </w:pPr>
    <w:rPr>
      <w:rFonts w:ascii="Times New Roman" w:eastAsia="Times New Roman" w:hAnsi="Times New Roman" w:cs="Times New Roman"/>
      <w:sz w:val="28"/>
      <w:szCs w:val="20"/>
      <w:lang w:val="es-CO" w:eastAsia="es-MX"/>
    </w:rPr>
  </w:style>
  <w:style w:type="character" w:customStyle="1" w:styleId="Textoindependiente3Car">
    <w:name w:val="Texto independiente 3 Car"/>
    <w:basedOn w:val="Fuentedeprrafopredeter"/>
    <w:link w:val="Textoindependiente3"/>
    <w:uiPriority w:val="99"/>
    <w:rsid w:val="00F602F2"/>
    <w:rPr>
      <w:rFonts w:ascii="Times New Roman" w:eastAsia="Times New Roman" w:hAnsi="Times New Roman" w:cs="Times New Roman"/>
      <w:sz w:val="28"/>
      <w:szCs w:val="20"/>
      <w:lang w:val="es-CO" w:eastAsia="es-MX"/>
    </w:rPr>
  </w:style>
  <w:style w:type="paragraph" w:styleId="Textoindependiente2">
    <w:name w:val="Body Text 2"/>
    <w:basedOn w:val="Normal"/>
    <w:link w:val="Textoindependiente2Car"/>
    <w:rsid w:val="00F602F2"/>
    <w:pPr>
      <w:numPr>
        <w:numId w:val="0"/>
      </w:numPr>
      <w:overflowPunct w:val="0"/>
      <w:autoSpaceDE w:val="0"/>
      <w:autoSpaceDN w:val="0"/>
      <w:adjustRightInd w:val="0"/>
      <w:spacing w:after="0" w:line="360" w:lineRule="auto"/>
      <w:jc w:val="both"/>
    </w:pPr>
    <w:rPr>
      <w:rFonts w:ascii="Bookman Old Style" w:eastAsia="Times New Roman" w:hAnsi="Bookman Old Style" w:cs="Times New Roman"/>
      <w:sz w:val="24"/>
      <w:szCs w:val="20"/>
      <w:lang w:val="es-CO" w:eastAsia="es-MX"/>
    </w:rPr>
  </w:style>
  <w:style w:type="character" w:customStyle="1" w:styleId="Textoindependiente2Car">
    <w:name w:val="Texto independiente 2 Car"/>
    <w:basedOn w:val="Fuentedeprrafopredeter"/>
    <w:link w:val="Textoindependiente2"/>
    <w:rsid w:val="00F602F2"/>
    <w:rPr>
      <w:rFonts w:ascii="Bookman Old Style" w:eastAsia="Times New Roman" w:hAnsi="Bookman Old Style" w:cs="Times New Roman"/>
      <w:sz w:val="24"/>
      <w:szCs w:val="20"/>
      <w:lang w:val="es-CO" w:eastAsia="es-MX"/>
    </w:rPr>
  </w:style>
  <w:style w:type="paragraph" w:styleId="Textonotapie">
    <w:name w:val="footnote text"/>
    <w:basedOn w:val="Normal"/>
    <w:link w:val="TextonotapieCar"/>
    <w:semiHidden/>
    <w:rsid w:val="00F602F2"/>
    <w:pPr>
      <w:numPr>
        <w:numId w:val="0"/>
      </w:num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F602F2"/>
    <w:rPr>
      <w:rFonts w:ascii="Times New Roman" w:eastAsia="Times New Roman" w:hAnsi="Times New Roman" w:cs="Times New Roman"/>
      <w:sz w:val="20"/>
      <w:szCs w:val="20"/>
      <w:lang w:eastAsia="es-MX"/>
    </w:rPr>
  </w:style>
  <w:style w:type="character" w:styleId="Refdenotaalpie">
    <w:name w:val="footnote reference"/>
    <w:basedOn w:val="Fuentedeprrafopredeter"/>
    <w:semiHidden/>
    <w:rsid w:val="00F602F2"/>
    <w:rPr>
      <w:vertAlign w:val="superscript"/>
    </w:rPr>
  </w:style>
  <w:style w:type="character" w:customStyle="1" w:styleId="Ttulo1Car">
    <w:name w:val="Título 1 Car"/>
    <w:basedOn w:val="Fuentedeprrafopredeter"/>
    <w:link w:val="Ttulo1"/>
    <w:uiPriority w:val="9"/>
    <w:rsid w:val="009A32A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A32A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A32A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9A32A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A32A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9A32A8"/>
    <w:rPr>
      <w:rFonts w:asciiTheme="majorHAnsi" w:eastAsiaTheme="majorEastAsia" w:hAnsiTheme="majorHAnsi" w:cstheme="majorBidi"/>
      <w:color w:val="1F4D78" w:themeColor="accent1" w:themeShade="7F"/>
    </w:rPr>
  </w:style>
  <w:style w:type="character" w:customStyle="1" w:styleId="Ttulo8Car">
    <w:name w:val="Título 8 Car"/>
    <w:basedOn w:val="Fuentedeprrafopredeter"/>
    <w:link w:val="Ttulo8"/>
    <w:uiPriority w:val="9"/>
    <w:semiHidden/>
    <w:rsid w:val="009A32A8"/>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uiPriority w:val="99"/>
    <w:unhideWhenUsed/>
    <w:rsid w:val="009A32A8"/>
    <w:pPr>
      <w:spacing w:after="120"/>
    </w:pPr>
  </w:style>
  <w:style w:type="character" w:customStyle="1" w:styleId="TextoindependienteCar">
    <w:name w:val="Texto independiente Car"/>
    <w:basedOn w:val="Fuentedeprrafopredeter"/>
    <w:link w:val="Textoindependiente"/>
    <w:uiPriority w:val="99"/>
    <w:semiHidden/>
    <w:rsid w:val="009A32A8"/>
  </w:style>
  <w:style w:type="character" w:styleId="Textoennegrita">
    <w:name w:val="Strong"/>
    <w:basedOn w:val="Fuentedeprrafopredeter"/>
    <w:uiPriority w:val="99"/>
    <w:qFormat/>
    <w:rsid w:val="009A32A8"/>
    <w:rPr>
      <w:rFonts w:cs="Times New Roman"/>
      <w:b/>
      <w:bCs/>
    </w:rPr>
  </w:style>
  <w:style w:type="paragraph" w:styleId="Sangradetextonormal">
    <w:name w:val="Body Text Indent"/>
    <w:basedOn w:val="Normal"/>
    <w:link w:val="SangradetextonormalCar"/>
    <w:uiPriority w:val="99"/>
    <w:unhideWhenUsed/>
    <w:rsid w:val="009A32A8"/>
    <w:pPr>
      <w:spacing w:after="120"/>
      <w:ind w:left="283"/>
    </w:pPr>
  </w:style>
  <w:style w:type="character" w:customStyle="1" w:styleId="SangradetextonormalCar">
    <w:name w:val="Sangría de texto normal Car"/>
    <w:basedOn w:val="Fuentedeprrafopredeter"/>
    <w:link w:val="Sangradetextonormal"/>
    <w:uiPriority w:val="99"/>
    <w:semiHidden/>
    <w:rsid w:val="009A32A8"/>
  </w:style>
  <w:style w:type="numbering" w:customStyle="1" w:styleId="Sinlista1">
    <w:name w:val="Sin lista1"/>
    <w:next w:val="Sinlista"/>
    <w:uiPriority w:val="99"/>
    <w:semiHidden/>
    <w:unhideWhenUsed/>
    <w:rsid w:val="009A32A8"/>
  </w:style>
  <w:style w:type="character" w:styleId="Nmerodepgina">
    <w:name w:val="page number"/>
    <w:basedOn w:val="Fuentedeprrafopredeter"/>
    <w:uiPriority w:val="99"/>
    <w:rsid w:val="009A32A8"/>
    <w:rPr>
      <w:rFonts w:cs="Times New Roman"/>
    </w:rPr>
  </w:style>
  <w:style w:type="character" w:styleId="Hipervnculo">
    <w:name w:val="Hyperlink"/>
    <w:basedOn w:val="Fuentedeprrafopredeter"/>
    <w:uiPriority w:val="99"/>
    <w:rsid w:val="009A32A8"/>
    <w:rPr>
      <w:rFonts w:cs="Times New Roman"/>
      <w:color w:val="0000FF"/>
      <w:u w:val="single"/>
    </w:rPr>
  </w:style>
  <w:style w:type="paragraph" w:customStyle="1" w:styleId="H3">
    <w:name w:val="H3"/>
    <w:basedOn w:val="Normal"/>
    <w:next w:val="Normal"/>
    <w:uiPriority w:val="99"/>
    <w:rsid w:val="009A32A8"/>
    <w:pPr>
      <w:keepNext/>
      <w:numPr>
        <w:numId w:val="0"/>
      </w:numPr>
      <w:spacing w:before="100" w:after="100" w:line="240" w:lineRule="auto"/>
      <w:jc w:val="both"/>
    </w:pPr>
    <w:rPr>
      <w:rFonts w:ascii="Times New Roman" w:eastAsia="Times New Roman" w:hAnsi="Times New Roman" w:cs="Times New Roman"/>
      <w:b/>
      <w:sz w:val="28"/>
      <w:szCs w:val="20"/>
      <w:lang w:val="es-CO" w:eastAsia="es-ES"/>
    </w:rPr>
  </w:style>
  <w:style w:type="paragraph" w:customStyle="1" w:styleId="CUERPOTEXTO">
    <w:name w:val="CUERPO TEXTO"/>
    <w:uiPriority w:val="99"/>
    <w:rsid w:val="009A32A8"/>
    <w:pPr>
      <w:widowControl w:val="0"/>
      <w:tabs>
        <w:tab w:val="center" w:pos="510"/>
        <w:tab w:val="left" w:pos="1134"/>
      </w:tabs>
      <w:spacing w:before="23" w:after="23" w:line="200" w:lineRule="atLeast"/>
      <w:ind w:firstLine="283"/>
      <w:jc w:val="both"/>
    </w:pPr>
    <w:rPr>
      <w:rFonts w:ascii="Times New Roman" w:eastAsia="Times New Roman" w:hAnsi="Times New Roman" w:cs="Times New Roman"/>
      <w:color w:val="000000"/>
      <w:sz w:val="19"/>
      <w:szCs w:val="20"/>
      <w:lang w:eastAsia="es-ES"/>
    </w:rPr>
  </w:style>
  <w:style w:type="paragraph" w:styleId="Textodeglobo">
    <w:name w:val="Balloon Text"/>
    <w:basedOn w:val="Normal"/>
    <w:link w:val="TextodegloboCar"/>
    <w:uiPriority w:val="99"/>
    <w:semiHidden/>
    <w:rsid w:val="009A32A8"/>
    <w:pPr>
      <w:numPr>
        <w:numId w:val="0"/>
      </w:num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9A32A8"/>
    <w:rPr>
      <w:rFonts w:ascii="Tahoma" w:eastAsia="Times New Roman" w:hAnsi="Tahoma" w:cs="Tahoma"/>
      <w:sz w:val="16"/>
      <w:szCs w:val="16"/>
      <w:lang w:eastAsia="es-ES"/>
    </w:rPr>
  </w:style>
  <w:style w:type="paragraph" w:styleId="Sangra2detindependiente">
    <w:name w:val="Body Text Indent 2"/>
    <w:basedOn w:val="Normal"/>
    <w:link w:val="Sangra2detindependienteCar"/>
    <w:uiPriority w:val="99"/>
    <w:rsid w:val="009A32A8"/>
    <w:pPr>
      <w:numPr>
        <w:numId w:val="0"/>
      </w:numPr>
      <w:spacing w:after="0" w:line="240" w:lineRule="auto"/>
      <w:ind w:left="708"/>
      <w:jc w:val="both"/>
    </w:pPr>
    <w:rPr>
      <w:rFonts w:ascii="Times New Roman" w:eastAsia="Times New Roman" w:hAnsi="Times New Roman" w:cs="Times New Roman"/>
      <w:i/>
      <w:spacing w:val="-3"/>
      <w:sz w:val="20"/>
      <w:szCs w:val="20"/>
      <w:lang w:val="es-CO" w:eastAsia="es-ES"/>
    </w:rPr>
  </w:style>
  <w:style w:type="character" w:customStyle="1" w:styleId="Sangra2detindependienteCar">
    <w:name w:val="Sangría 2 de t. independiente Car"/>
    <w:basedOn w:val="Fuentedeprrafopredeter"/>
    <w:link w:val="Sangra2detindependiente"/>
    <w:uiPriority w:val="99"/>
    <w:rsid w:val="009A32A8"/>
    <w:rPr>
      <w:rFonts w:ascii="Times New Roman" w:eastAsia="Times New Roman" w:hAnsi="Times New Roman" w:cs="Times New Roman"/>
      <w:i/>
      <w:spacing w:val="-3"/>
      <w:sz w:val="20"/>
      <w:szCs w:val="20"/>
      <w:lang w:val="es-CO" w:eastAsia="es-ES"/>
    </w:rPr>
  </w:style>
  <w:style w:type="paragraph" w:styleId="Textodebloque">
    <w:name w:val="Block Text"/>
    <w:basedOn w:val="Normal"/>
    <w:uiPriority w:val="99"/>
    <w:rsid w:val="009A32A8"/>
    <w:pPr>
      <w:numPr>
        <w:numId w:val="0"/>
      </w:numPr>
      <w:spacing w:after="0" w:line="240" w:lineRule="auto"/>
      <w:ind w:left="561" w:right="612"/>
      <w:jc w:val="both"/>
    </w:pPr>
    <w:rPr>
      <w:rFonts w:ascii="Times New Roman" w:eastAsia="Times New Roman" w:hAnsi="Times New Roman" w:cs="Times New Roman"/>
      <w:sz w:val="26"/>
      <w:szCs w:val="20"/>
      <w:lang w:val="es-CO" w:eastAsia="es-ES"/>
    </w:rPr>
  </w:style>
  <w:style w:type="paragraph" w:customStyle="1" w:styleId="BodyText22">
    <w:name w:val="Body Text 22"/>
    <w:basedOn w:val="Normal"/>
    <w:uiPriority w:val="99"/>
    <w:rsid w:val="009A32A8"/>
    <w:pPr>
      <w:numPr>
        <w:numId w:val="0"/>
      </w:numPr>
      <w:spacing w:after="0" w:line="240" w:lineRule="auto"/>
    </w:pPr>
    <w:rPr>
      <w:rFonts w:ascii="Times New Roman" w:eastAsia="Times New Roman" w:hAnsi="Times New Roman" w:cs="Times New Roman"/>
      <w:sz w:val="28"/>
      <w:szCs w:val="20"/>
      <w:lang w:eastAsia="es-ES"/>
    </w:rPr>
  </w:style>
  <w:style w:type="paragraph" w:styleId="Subttulo">
    <w:name w:val="Subtitle"/>
    <w:basedOn w:val="Normal"/>
    <w:next w:val="Normal"/>
    <w:link w:val="SubttuloCar"/>
    <w:qFormat/>
    <w:rsid w:val="00076501"/>
    <w:pPr>
      <w:numPr>
        <w:numId w:val="0"/>
      </w:numPr>
      <w:spacing w:after="60" w:line="276" w:lineRule="auto"/>
      <w:jc w:val="center"/>
      <w:outlineLvl w:val="1"/>
    </w:pPr>
    <w:rPr>
      <w:rFonts w:ascii="Cambria" w:eastAsia="Times New Roman" w:hAnsi="Cambria" w:cs="Times New Roman"/>
      <w:sz w:val="24"/>
      <w:szCs w:val="24"/>
      <w:lang w:val="x-none"/>
    </w:rPr>
  </w:style>
  <w:style w:type="character" w:customStyle="1" w:styleId="SubttuloCar">
    <w:name w:val="Subtítulo Car"/>
    <w:basedOn w:val="Fuentedeprrafopredeter"/>
    <w:link w:val="Subttulo"/>
    <w:rsid w:val="00076501"/>
    <w:rPr>
      <w:rFonts w:ascii="Cambria" w:eastAsia="Times New Roman" w:hAnsi="Cambria"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A3F5-7924-4076-A0F8-3D9F52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5644</Words>
  <Characters>31046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12</cp:revision>
  <cp:lastPrinted>2018-05-25T14:41:00Z</cp:lastPrinted>
  <dcterms:created xsi:type="dcterms:W3CDTF">2018-05-25T14:13:00Z</dcterms:created>
  <dcterms:modified xsi:type="dcterms:W3CDTF">2018-06-22T12:17:00Z</dcterms:modified>
</cp:coreProperties>
</file>