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22" w:rsidRPr="008C4F22" w:rsidRDefault="008C4F22" w:rsidP="008C4F22">
      <w:pPr>
        <w:numPr>
          <w:ilvl w:val="0"/>
          <w:numId w:val="0"/>
        </w:num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Arial" w:eastAsia="Times New Roman" w:hAnsi="Arial" w:cs="Arial"/>
          <w:color w:val="FF0000"/>
          <w:spacing w:val="-8"/>
          <w:sz w:val="18"/>
          <w:szCs w:val="18"/>
          <w:lang w:eastAsia="fr-FR"/>
        </w:rPr>
      </w:pPr>
      <w:r w:rsidRPr="008C4F22">
        <w:rPr>
          <w:rFonts w:ascii="Arial" w:eastAsia="Times New Roman"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8C4F22">
        <w:rPr>
          <w:rFonts w:ascii="Arial" w:eastAsia="Times New Roman" w:hAnsi="Arial" w:cs="Arial"/>
          <w:color w:val="FF0000"/>
          <w:sz w:val="18"/>
          <w:szCs w:val="18"/>
          <w:lang w:eastAsia="fr-FR"/>
        </w:rPr>
        <w:t>El contenido total y fiel de la decisión debe ser verificado en la Secretaría de esta Sala.</w:t>
      </w:r>
    </w:p>
    <w:p w:rsidR="008C4F22" w:rsidRPr="008C4F22" w:rsidRDefault="008C4F22" w:rsidP="008C4F22">
      <w:pPr>
        <w:numPr>
          <w:ilvl w:val="0"/>
          <w:numId w:val="0"/>
        </w:numPr>
        <w:shd w:val="clear" w:color="auto" w:fill="FFFFFF"/>
        <w:spacing w:after="0" w:line="240" w:lineRule="auto"/>
        <w:jc w:val="both"/>
        <w:rPr>
          <w:rFonts w:ascii="Arial" w:eastAsia="Times New Roman" w:hAnsi="Arial" w:cs="Arial"/>
          <w:sz w:val="18"/>
          <w:szCs w:val="18"/>
          <w:lang w:eastAsia="fr-FR"/>
        </w:rPr>
      </w:pPr>
      <w:r w:rsidRPr="008C4F22">
        <w:rPr>
          <w:rFonts w:ascii="Arial" w:eastAsia="Times New Roman" w:hAnsi="Arial" w:cs="Arial"/>
          <w:sz w:val="18"/>
          <w:szCs w:val="18"/>
          <w:lang w:eastAsia="fr-FR"/>
        </w:rPr>
        <w:t>Providencia:</w:t>
      </w:r>
      <w:r w:rsidRPr="008C4F22">
        <w:rPr>
          <w:rFonts w:ascii="Arial" w:eastAsia="Times New Roman" w:hAnsi="Arial" w:cs="Arial"/>
          <w:sz w:val="18"/>
          <w:szCs w:val="18"/>
          <w:lang w:eastAsia="fr-FR"/>
        </w:rPr>
        <w:tab/>
      </w:r>
      <w:r w:rsidRPr="008C4F22">
        <w:rPr>
          <w:rFonts w:ascii="Arial" w:eastAsia="Times New Roman" w:hAnsi="Arial" w:cs="Arial"/>
          <w:sz w:val="18"/>
          <w:szCs w:val="18"/>
          <w:lang w:eastAsia="fr-FR"/>
        </w:rPr>
        <w:tab/>
        <w:t xml:space="preserve">Auto </w:t>
      </w:r>
      <w:r w:rsidRPr="00BE2FD0">
        <w:rPr>
          <w:rFonts w:ascii="Arial" w:eastAsia="Times New Roman" w:hAnsi="Arial" w:cs="Arial"/>
          <w:sz w:val="18"/>
          <w:szCs w:val="18"/>
          <w:lang w:eastAsia="fr-FR"/>
        </w:rPr>
        <w:t>– 15 de junio</w:t>
      </w:r>
      <w:r w:rsidRPr="008C4F22">
        <w:rPr>
          <w:rFonts w:ascii="Arial" w:eastAsia="Times New Roman" w:hAnsi="Arial" w:cs="Arial"/>
          <w:sz w:val="18"/>
          <w:szCs w:val="18"/>
          <w:lang w:eastAsia="fr-FR"/>
        </w:rPr>
        <w:t xml:space="preserve"> de 2018</w:t>
      </w:r>
    </w:p>
    <w:p w:rsidR="008C4F22" w:rsidRPr="008C4F22" w:rsidRDefault="00AE46BD" w:rsidP="008C4F22">
      <w:pPr>
        <w:numPr>
          <w:ilvl w:val="0"/>
          <w:numId w:val="0"/>
        </w:numPr>
        <w:shd w:val="clear" w:color="auto" w:fill="FFFFFF"/>
        <w:tabs>
          <w:tab w:val="left" w:pos="1418"/>
        </w:tabs>
        <w:spacing w:after="0" w:line="240" w:lineRule="auto"/>
        <w:jc w:val="both"/>
        <w:rPr>
          <w:rFonts w:ascii="Arial" w:eastAsia="Times New Roman" w:hAnsi="Arial" w:cs="Arial"/>
          <w:sz w:val="18"/>
          <w:szCs w:val="18"/>
          <w:lang w:eastAsia="fr-FR"/>
        </w:rPr>
      </w:pPr>
      <w:r w:rsidRPr="00BE2FD0">
        <w:rPr>
          <w:rFonts w:ascii="Arial" w:eastAsia="Times New Roman" w:hAnsi="Arial" w:cs="Arial"/>
          <w:sz w:val="18"/>
          <w:szCs w:val="18"/>
          <w:lang w:eastAsia="fr-FR"/>
        </w:rPr>
        <w:t>Proceso:                </w:t>
      </w:r>
      <w:r w:rsidRPr="00BE2FD0">
        <w:rPr>
          <w:rFonts w:ascii="Arial" w:eastAsia="Times New Roman" w:hAnsi="Arial" w:cs="Arial"/>
          <w:sz w:val="18"/>
          <w:szCs w:val="18"/>
          <w:lang w:eastAsia="fr-FR"/>
        </w:rPr>
        <w:tab/>
      </w:r>
      <w:r w:rsidR="008C4F22" w:rsidRPr="008C4F22">
        <w:rPr>
          <w:rFonts w:ascii="Arial" w:eastAsia="Times New Roman" w:hAnsi="Arial" w:cs="Arial"/>
          <w:sz w:val="18"/>
          <w:szCs w:val="18"/>
          <w:lang w:eastAsia="fr-FR"/>
        </w:rPr>
        <w:t xml:space="preserve">Penal </w:t>
      </w:r>
      <w:r w:rsidR="008C4F22" w:rsidRPr="008C4F22">
        <w:rPr>
          <w:rFonts w:ascii="Arial" w:eastAsia="Times New Roman" w:hAnsi="Arial" w:cs="Arial"/>
          <w:spacing w:val="-20"/>
          <w:sz w:val="18"/>
          <w:szCs w:val="18"/>
          <w:lang w:eastAsia="fr-FR"/>
        </w:rPr>
        <w:t xml:space="preserve">– </w:t>
      </w:r>
      <w:r w:rsidR="008C4F22" w:rsidRPr="00BE2FD0">
        <w:rPr>
          <w:rFonts w:ascii="Arial" w:eastAsia="Times New Roman" w:hAnsi="Arial" w:cs="Arial"/>
          <w:sz w:val="18"/>
          <w:szCs w:val="18"/>
          <w:lang w:eastAsia="fr-FR"/>
        </w:rPr>
        <w:t>Se abstiene de resolver</w:t>
      </w:r>
    </w:p>
    <w:p w:rsidR="008C4F22" w:rsidRPr="008C4F22" w:rsidRDefault="008C4F22" w:rsidP="008C4F22">
      <w:pPr>
        <w:numPr>
          <w:ilvl w:val="0"/>
          <w:numId w:val="0"/>
        </w:numPr>
        <w:shd w:val="clear" w:color="auto" w:fill="FFFFFF"/>
        <w:tabs>
          <w:tab w:val="left" w:pos="1418"/>
          <w:tab w:val="left" w:pos="2115"/>
        </w:tabs>
        <w:spacing w:after="0" w:line="240" w:lineRule="auto"/>
        <w:jc w:val="both"/>
        <w:rPr>
          <w:rFonts w:ascii="Arial" w:eastAsia="Times New Roman" w:hAnsi="Arial" w:cs="Arial"/>
          <w:bCs/>
          <w:iCs/>
          <w:sz w:val="18"/>
          <w:szCs w:val="18"/>
          <w:lang w:eastAsia="fr-FR"/>
        </w:rPr>
      </w:pPr>
      <w:r w:rsidRPr="008C4F22">
        <w:rPr>
          <w:rFonts w:ascii="Arial" w:eastAsia="Times New Roman" w:hAnsi="Arial" w:cs="Arial"/>
          <w:sz w:val="18"/>
          <w:szCs w:val="18"/>
          <w:lang w:eastAsia="fr-FR"/>
        </w:rPr>
        <w:t>Radicación Nro.:</w:t>
      </w:r>
      <w:r w:rsidRPr="008C4F22">
        <w:rPr>
          <w:rFonts w:ascii="Arial" w:eastAsia="Times New Roman" w:hAnsi="Arial" w:cs="Arial"/>
          <w:sz w:val="18"/>
          <w:szCs w:val="18"/>
          <w:lang w:eastAsia="fr-FR"/>
        </w:rPr>
        <w:tab/>
        <w:t xml:space="preserve">  </w:t>
      </w:r>
      <w:r w:rsidRPr="008C4F22">
        <w:rPr>
          <w:rFonts w:ascii="Arial" w:eastAsia="Times New Roman" w:hAnsi="Arial" w:cs="Arial"/>
          <w:sz w:val="18"/>
          <w:szCs w:val="18"/>
          <w:lang w:eastAsia="fr-FR"/>
        </w:rPr>
        <w:tab/>
      </w:r>
      <w:r w:rsidRPr="00BE2FD0">
        <w:rPr>
          <w:rFonts w:ascii="Arial" w:eastAsia="Times New Roman" w:hAnsi="Arial" w:cs="Arial"/>
          <w:sz w:val="18"/>
          <w:szCs w:val="18"/>
          <w:lang w:eastAsia="fr-FR"/>
        </w:rPr>
        <w:t>66001 60 00 058 2007 03445 02</w:t>
      </w:r>
    </w:p>
    <w:p w:rsidR="008C4F22" w:rsidRPr="008C4F22" w:rsidRDefault="008C4F22" w:rsidP="008C4F22">
      <w:pPr>
        <w:numPr>
          <w:ilvl w:val="0"/>
          <w:numId w:val="0"/>
        </w:numPr>
        <w:shd w:val="clear" w:color="auto" w:fill="FFFFFF"/>
        <w:tabs>
          <w:tab w:val="left" w:pos="1418"/>
        </w:tabs>
        <w:spacing w:after="0" w:line="240" w:lineRule="auto"/>
        <w:jc w:val="both"/>
        <w:rPr>
          <w:rFonts w:ascii="Arial" w:eastAsia="Batang" w:hAnsi="Arial" w:cs="Arial"/>
          <w:b/>
          <w:bCs/>
          <w:sz w:val="18"/>
          <w:szCs w:val="18"/>
          <w:lang w:eastAsia="es-ES"/>
        </w:rPr>
      </w:pPr>
      <w:r w:rsidRPr="008C4F22">
        <w:rPr>
          <w:rFonts w:ascii="Arial" w:eastAsia="Batang" w:hAnsi="Arial" w:cs="Arial"/>
          <w:bCs/>
          <w:sz w:val="18"/>
          <w:szCs w:val="18"/>
          <w:lang w:eastAsia="es-ES"/>
        </w:rPr>
        <w:t xml:space="preserve">Procesado:   </w:t>
      </w:r>
      <w:r w:rsidRPr="008C4F22">
        <w:rPr>
          <w:rFonts w:ascii="Arial" w:eastAsia="Batang" w:hAnsi="Arial" w:cs="Arial"/>
          <w:bCs/>
          <w:sz w:val="18"/>
          <w:szCs w:val="18"/>
          <w:lang w:eastAsia="es-ES"/>
        </w:rPr>
        <w:tab/>
      </w:r>
      <w:r w:rsidRPr="008C4F22">
        <w:rPr>
          <w:rFonts w:ascii="Arial" w:eastAsia="Batang" w:hAnsi="Arial" w:cs="Arial"/>
          <w:bCs/>
          <w:sz w:val="18"/>
          <w:szCs w:val="18"/>
          <w:lang w:eastAsia="es-ES"/>
        </w:rPr>
        <w:tab/>
      </w:r>
      <w:r w:rsidRPr="00BE2FD0">
        <w:rPr>
          <w:rFonts w:ascii="Arial" w:eastAsia="Batang" w:hAnsi="Arial" w:cs="Arial"/>
          <w:bCs/>
          <w:sz w:val="18"/>
          <w:szCs w:val="18"/>
          <w:lang w:eastAsia="es-ES"/>
        </w:rPr>
        <w:t>RUBÉN DARÍO MONSALVE LONDOÑO</w:t>
      </w:r>
    </w:p>
    <w:p w:rsidR="008C4F22" w:rsidRPr="008C4F22" w:rsidRDefault="008C4F22" w:rsidP="008C4F22">
      <w:pPr>
        <w:numPr>
          <w:ilvl w:val="0"/>
          <w:numId w:val="0"/>
        </w:numPr>
        <w:shd w:val="clear" w:color="auto" w:fill="FFFFFF"/>
        <w:tabs>
          <w:tab w:val="left" w:pos="1418"/>
        </w:tabs>
        <w:spacing w:after="0" w:line="240" w:lineRule="auto"/>
        <w:jc w:val="both"/>
        <w:rPr>
          <w:rFonts w:ascii="Arial" w:eastAsia="Times New Roman" w:hAnsi="Arial" w:cs="Arial"/>
          <w:sz w:val="18"/>
          <w:szCs w:val="18"/>
          <w:lang w:eastAsia="fr-FR"/>
        </w:rPr>
      </w:pPr>
      <w:r w:rsidRPr="008C4F22">
        <w:rPr>
          <w:rFonts w:ascii="Arial" w:eastAsia="Times New Roman" w:hAnsi="Arial" w:cs="Arial"/>
          <w:sz w:val="18"/>
          <w:szCs w:val="18"/>
          <w:lang w:eastAsia="fr-FR"/>
        </w:rPr>
        <w:t>Magistrado Ponente: </w:t>
      </w:r>
      <w:r w:rsidRPr="008C4F22">
        <w:rPr>
          <w:rFonts w:ascii="Arial" w:eastAsia="Times New Roman" w:hAnsi="Arial" w:cs="Arial"/>
          <w:sz w:val="18"/>
          <w:szCs w:val="18"/>
          <w:lang w:eastAsia="fr-FR"/>
        </w:rPr>
        <w:tab/>
        <w:t>JAIRO ERNESTO ESCOBAR SANZ</w:t>
      </w:r>
    </w:p>
    <w:p w:rsidR="008C4F22" w:rsidRPr="00BE2FD0" w:rsidRDefault="008C4F22" w:rsidP="008C4F22">
      <w:pPr>
        <w:numPr>
          <w:ilvl w:val="0"/>
          <w:numId w:val="0"/>
        </w:numPr>
        <w:shd w:val="clear" w:color="auto" w:fill="FFFFFF"/>
        <w:tabs>
          <w:tab w:val="left" w:pos="1418"/>
        </w:tabs>
        <w:spacing w:after="0" w:line="240" w:lineRule="auto"/>
        <w:jc w:val="both"/>
        <w:rPr>
          <w:rFonts w:ascii="Arial" w:eastAsia="Times New Roman" w:hAnsi="Arial" w:cs="Arial"/>
          <w:sz w:val="18"/>
          <w:szCs w:val="18"/>
          <w:lang w:eastAsia="fr-FR"/>
        </w:rPr>
      </w:pPr>
    </w:p>
    <w:p w:rsidR="00AE46BD" w:rsidRPr="008C4F22" w:rsidRDefault="00AE46BD" w:rsidP="008C4F22">
      <w:pPr>
        <w:numPr>
          <w:ilvl w:val="0"/>
          <w:numId w:val="0"/>
        </w:numPr>
        <w:shd w:val="clear" w:color="auto" w:fill="FFFFFF"/>
        <w:tabs>
          <w:tab w:val="left" w:pos="1418"/>
        </w:tabs>
        <w:spacing w:after="0" w:line="240" w:lineRule="auto"/>
        <w:jc w:val="both"/>
        <w:rPr>
          <w:rFonts w:ascii="Arial" w:eastAsia="Times New Roman" w:hAnsi="Arial" w:cs="Arial"/>
          <w:sz w:val="18"/>
          <w:szCs w:val="18"/>
          <w:lang w:eastAsia="fr-FR"/>
        </w:rPr>
      </w:pPr>
    </w:p>
    <w:p w:rsidR="00AE46BD" w:rsidRPr="00BE2FD0" w:rsidRDefault="008C4F22" w:rsidP="00AE46BD">
      <w:pPr>
        <w:numPr>
          <w:ilvl w:val="0"/>
          <w:numId w:val="0"/>
        </w:numPr>
        <w:spacing w:after="0" w:line="240" w:lineRule="auto"/>
        <w:jc w:val="both"/>
        <w:rPr>
          <w:rFonts w:ascii="Arial" w:eastAsia="Times New Roman" w:hAnsi="Arial" w:cs="Arial"/>
          <w:bCs/>
          <w:iCs/>
          <w:sz w:val="18"/>
          <w:szCs w:val="18"/>
          <w:lang w:eastAsia="fr-FR"/>
        </w:rPr>
      </w:pPr>
      <w:r w:rsidRPr="008C4F22">
        <w:rPr>
          <w:rFonts w:ascii="Arial" w:eastAsia="Times New Roman" w:hAnsi="Arial" w:cs="Arial"/>
          <w:b/>
          <w:bCs/>
          <w:iCs/>
          <w:sz w:val="18"/>
          <w:szCs w:val="18"/>
          <w:lang w:eastAsia="fr-FR"/>
        </w:rPr>
        <w:t xml:space="preserve">TEMA: </w:t>
      </w:r>
      <w:r w:rsidRPr="008C4F22">
        <w:rPr>
          <w:rFonts w:ascii="Arial" w:eastAsia="Times New Roman" w:hAnsi="Arial" w:cs="Arial"/>
          <w:b/>
          <w:bCs/>
          <w:iCs/>
          <w:sz w:val="18"/>
          <w:szCs w:val="18"/>
          <w:lang w:eastAsia="fr-FR"/>
        </w:rPr>
        <w:tab/>
      </w:r>
      <w:r w:rsidRPr="008C4F22">
        <w:rPr>
          <w:rFonts w:ascii="Arial" w:eastAsia="Times New Roman" w:hAnsi="Arial" w:cs="Arial"/>
          <w:b/>
          <w:bCs/>
          <w:iCs/>
          <w:sz w:val="18"/>
          <w:szCs w:val="18"/>
          <w:lang w:eastAsia="fr-FR"/>
        </w:rPr>
        <w:tab/>
      </w:r>
      <w:r w:rsidRPr="008C4F22">
        <w:rPr>
          <w:rFonts w:ascii="Arial" w:eastAsia="Times New Roman" w:hAnsi="Arial" w:cs="Arial"/>
          <w:b/>
          <w:bCs/>
          <w:iCs/>
          <w:sz w:val="18"/>
          <w:szCs w:val="18"/>
          <w:lang w:eastAsia="fr-FR"/>
        </w:rPr>
        <w:tab/>
      </w:r>
      <w:r w:rsidRPr="00BE2FD0">
        <w:rPr>
          <w:rFonts w:ascii="Arial" w:eastAsia="Times New Roman" w:hAnsi="Arial" w:cs="Arial"/>
          <w:b/>
          <w:bCs/>
          <w:iCs/>
          <w:sz w:val="18"/>
          <w:szCs w:val="18"/>
          <w:lang w:eastAsia="fr-FR"/>
        </w:rPr>
        <w:t>CONCUSIÓN</w:t>
      </w:r>
      <w:r w:rsidRPr="008C4F22">
        <w:rPr>
          <w:rFonts w:ascii="Arial" w:eastAsia="Times New Roman" w:hAnsi="Arial" w:cs="Arial"/>
          <w:b/>
          <w:bCs/>
          <w:iCs/>
          <w:sz w:val="18"/>
          <w:szCs w:val="18"/>
          <w:lang w:eastAsia="fr-FR"/>
        </w:rPr>
        <w:t xml:space="preserve"> / </w:t>
      </w:r>
      <w:r w:rsidRPr="00BE2FD0">
        <w:rPr>
          <w:rFonts w:ascii="Arial" w:eastAsia="Times New Roman" w:hAnsi="Arial" w:cs="Arial"/>
          <w:b/>
          <w:bCs/>
          <w:iCs/>
          <w:sz w:val="18"/>
          <w:szCs w:val="18"/>
          <w:lang w:eastAsia="fr-FR"/>
        </w:rPr>
        <w:t>SOLICITUD PRESCRIPCIÓN ACCIÓN PENAL</w:t>
      </w:r>
      <w:r w:rsidRPr="008C4F22">
        <w:rPr>
          <w:rFonts w:ascii="Arial" w:eastAsia="Times New Roman" w:hAnsi="Arial" w:cs="Arial"/>
          <w:b/>
          <w:bCs/>
          <w:iCs/>
          <w:sz w:val="18"/>
          <w:szCs w:val="18"/>
          <w:lang w:eastAsia="fr-FR"/>
        </w:rPr>
        <w:t xml:space="preserve"> /</w:t>
      </w:r>
      <w:r w:rsidR="00AE46BD" w:rsidRPr="00BE2FD0">
        <w:rPr>
          <w:rFonts w:ascii="Arial" w:eastAsia="Times New Roman" w:hAnsi="Arial" w:cs="Arial"/>
          <w:b/>
          <w:bCs/>
          <w:iCs/>
          <w:sz w:val="18"/>
          <w:szCs w:val="18"/>
          <w:lang w:eastAsia="fr-FR"/>
        </w:rPr>
        <w:t xml:space="preserve"> </w:t>
      </w:r>
      <w:r w:rsidR="00EC2F48" w:rsidRPr="00BE2FD0">
        <w:rPr>
          <w:rFonts w:ascii="Arial" w:eastAsia="Times New Roman" w:hAnsi="Arial" w:cs="Arial"/>
          <w:b/>
          <w:bCs/>
          <w:iCs/>
          <w:sz w:val="18"/>
          <w:szCs w:val="18"/>
          <w:lang w:eastAsia="fr-FR"/>
        </w:rPr>
        <w:t>SENTENCIA</w:t>
      </w:r>
      <w:r w:rsidR="00AE46BD" w:rsidRPr="00BE2FD0">
        <w:rPr>
          <w:rFonts w:ascii="Arial" w:eastAsia="Times New Roman" w:hAnsi="Arial" w:cs="Arial"/>
          <w:b/>
          <w:bCs/>
          <w:iCs/>
          <w:sz w:val="18"/>
          <w:szCs w:val="18"/>
          <w:lang w:eastAsia="fr-FR"/>
        </w:rPr>
        <w:t xml:space="preserve"> DE SEGUNDA INSTANCIA SE ENTIENDE PROFERIDA CON LA APROBACIÓN EN SALA / ACATAMIENTO DE PRECEDENTE JURISPRUDENCIAL / </w:t>
      </w:r>
      <w:r w:rsidR="00AE46BD" w:rsidRPr="00BE2FD0">
        <w:rPr>
          <w:rFonts w:ascii="Arial" w:eastAsia="Times New Roman" w:hAnsi="Arial" w:cs="Arial"/>
          <w:bCs/>
          <w:iCs/>
          <w:sz w:val="18"/>
          <w:szCs w:val="18"/>
          <w:lang w:eastAsia="fr-FR"/>
        </w:rPr>
        <w:t xml:space="preserve">Frente a la respetable solicitud del señor </w:t>
      </w:r>
      <w:r w:rsidR="00AE46BD" w:rsidRPr="00BE2FD0">
        <w:rPr>
          <w:rFonts w:ascii="Arial" w:eastAsia="Times New Roman" w:hAnsi="Arial" w:cs="Arial"/>
          <w:bCs/>
          <w:iCs/>
          <w:sz w:val="18"/>
          <w:szCs w:val="18"/>
          <w:lang w:eastAsia="fr-FR"/>
        </w:rPr>
        <w:t>RDML</w:t>
      </w:r>
      <w:r w:rsidR="00AE46BD" w:rsidRPr="00BE2FD0">
        <w:rPr>
          <w:rFonts w:ascii="Arial" w:eastAsia="Times New Roman" w:hAnsi="Arial" w:cs="Arial"/>
          <w:bCs/>
          <w:iCs/>
          <w:sz w:val="18"/>
          <w:szCs w:val="18"/>
          <w:lang w:eastAsia="fr-FR"/>
        </w:rPr>
        <w:t>, quien considera que en virtud del recurso de apelación que interpuso su apoderado contra la sentencia adoptada por esta Sala, se produjo la prescripción de la acción penal en su caso al no haber culminado el acto de comunicación del fallo recurrido, es necesa</w:t>
      </w:r>
      <w:bookmarkStart w:id="0" w:name="_GoBack"/>
      <w:bookmarkEnd w:id="0"/>
      <w:r w:rsidR="00AE46BD" w:rsidRPr="00BE2FD0">
        <w:rPr>
          <w:rFonts w:ascii="Arial" w:eastAsia="Times New Roman" w:hAnsi="Arial" w:cs="Arial"/>
          <w:bCs/>
          <w:iCs/>
          <w:sz w:val="18"/>
          <w:szCs w:val="18"/>
          <w:lang w:eastAsia="fr-FR"/>
        </w:rPr>
        <w:t>rio manifestar que la Sala de Decisión Penal de la CSJ, en decisión del 2 de agosto de 2017, radicado 48234, expuso lo siguiente:</w:t>
      </w:r>
    </w:p>
    <w:p w:rsidR="00AE46BD" w:rsidRPr="00BE2FD0" w:rsidRDefault="00AE46BD" w:rsidP="00AE46BD">
      <w:pPr>
        <w:numPr>
          <w:ilvl w:val="0"/>
          <w:numId w:val="0"/>
        </w:numPr>
        <w:spacing w:after="0" w:line="240" w:lineRule="auto"/>
        <w:jc w:val="both"/>
        <w:rPr>
          <w:rFonts w:ascii="Arial" w:eastAsia="Times New Roman" w:hAnsi="Arial" w:cs="Arial"/>
          <w:bCs/>
          <w:i/>
          <w:iCs/>
          <w:sz w:val="18"/>
          <w:szCs w:val="18"/>
          <w:lang w:eastAsia="fr-FR"/>
        </w:rPr>
      </w:pPr>
      <w:r w:rsidRPr="00BE2FD0">
        <w:rPr>
          <w:rFonts w:ascii="Arial" w:eastAsia="Times New Roman" w:hAnsi="Arial" w:cs="Arial"/>
          <w:bCs/>
          <w:i/>
          <w:iCs/>
          <w:sz w:val="18"/>
          <w:szCs w:val="18"/>
          <w:lang w:eastAsia="fr-FR"/>
        </w:rPr>
        <w:t xml:space="preserve">“(...) </w:t>
      </w:r>
    </w:p>
    <w:p w:rsidR="00AE46BD" w:rsidRPr="00BE2FD0" w:rsidRDefault="00AE46BD" w:rsidP="00AE46BD">
      <w:pPr>
        <w:numPr>
          <w:ilvl w:val="0"/>
          <w:numId w:val="0"/>
        </w:numPr>
        <w:spacing w:after="0" w:line="240" w:lineRule="auto"/>
        <w:jc w:val="both"/>
        <w:rPr>
          <w:rFonts w:ascii="Arial" w:eastAsia="Times New Roman" w:hAnsi="Arial" w:cs="Arial"/>
          <w:bCs/>
          <w:i/>
          <w:iCs/>
          <w:sz w:val="18"/>
          <w:szCs w:val="18"/>
          <w:lang w:eastAsia="fr-FR"/>
        </w:rPr>
      </w:pPr>
      <w:r w:rsidRPr="00BE2FD0">
        <w:rPr>
          <w:rFonts w:ascii="Arial" w:eastAsia="Times New Roman" w:hAnsi="Arial" w:cs="Arial"/>
          <w:bCs/>
          <w:i/>
          <w:iCs/>
          <w:sz w:val="18"/>
          <w:szCs w:val="18"/>
          <w:lang w:eastAsia="fr-FR"/>
        </w:rPr>
        <w:t xml:space="preserve">En los asuntos regidos por la Ley 906 del 2004 –Art. 83- como regla general, el periodo inicial de prescripción, esto es, previo a que se formule la imputación, equivale al máximo previsto para el tipo penal, sin que pueda ser inferior a 5 años, ni superior a 20.  </w:t>
      </w:r>
    </w:p>
    <w:p w:rsidR="00AE46BD" w:rsidRPr="00BE2FD0" w:rsidRDefault="00AE46BD" w:rsidP="00AE46BD">
      <w:pPr>
        <w:numPr>
          <w:ilvl w:val="0"/>
          <w:numId w:val="0"/>
        </w:numPr>
        <w:spacing w:after="0" w:line="240" w:lineRule="auto"/>
        <w:jc w:val="both"/>
        <w:rPr>
          <w:rFonts w:ascii="Arial" w:eastAsia="Times New Roman" w:hAnsi="Arial" w:cs="Arial"/>
          <w:bCs/>
          <w:i/>
          <w:iCs/>
          <w:sz w:val="18"/>
          <w:szCs w:val="18"/>
          <w:lang w:eastAsia="fr-FR"/>
        </w:rPr>
      </w:pPr>
      <w:r w:rsidRPr="00BE2FD0">
        <w:rPr>
          <w:rFonts w:ascii="Arial" w:eastAsia="Times New Roman" w:hAnsi="Arial" w:cs="Arial"/>
          <w:bCs/>
          <w:i/>
          <w:iCs/>
          <w:sz w:val="18"/>
          <w:szCs w:val="18"/>
          <w:lang w:eastAsia="fr-FR"/>
        </w:rPr>
        <w:t>…</w:t>
      </w:r>
    </w:p>
    <w:p w:rsidR="00AE46BD" w:rsidRPr="00BE2FD0" w:rsidRDefault="00AE46BD" w:rsidP="00AE46BD">
      <w:pPr>
        <w:numPr>
          <w:ilvl w:val="0"/>
          <w:numId w:val="0"/>
        </w:numPr>
        <w:spacing w:after="0" w:line="240" w:lineRule="auto"/>
        <w:jc w:val="both"/>
        <w:rPr>
          <w:rFonts w:ascii="Arial" w:eastAsia="Times New Roman" w:hAnsi="Arial" w:cs="Arial"/>
          <w:bCs/>
          <w:i/>
          <w:iCs/>
          <w:sz w:val="18"/>
          <w:szCs w:val="18"/>
          <w:lang w:eastAsia="fr-FR"/>
        </w:rPr>
      </w:pPr>
      <w:r w:rsidRPr="00BE2FD0">
        <w:rPr>
          <w:rFonts w:ascii="Arial" w:eastAsia="Times New Roman" w:hAnsi="Arial" w:cs="Arial"/>
          <w:bCs/>
          <w:i/>
          <w:iCs/>
          <w:sz w:val="18"/>
          <w:szCs w:val="18"/>
          <w:u w:val="single"/>
          <w:lang w:eastAsia="fr-FR"/>
        </w:rPr>
        <w:t>Ahora, en lo que respecta, en concreto, al momento en que jurídicamente se entiende “proferida” la decisión de segundo grado por parte del juez plural, la Corte ha precisado, de acuerdo con el inciso tercero del artículo 179 ejusdem, modificado por el artículo 90 de la Ley 1395 de 2010, que el mismo opera con la aprobación del asunto en sala. (CSJ SP, 22 mar. 2017, rad. 49408)</w:t>
      </w:r>
      <w:r w:rsidRPr="00BE2FD0">
        <w:rPr>
          <w:rFonts w:ascii="Arial" w:eastAsia="Times New Roman" w:hAnsi="Arial" w:cs="Arial"/>
          <w:bCs/>
          <w:i/>
          <w:iCs/>
          <w:sz w:val="18"/>
          <w:szCs w:val="18"/>
          <w:lang w:eastAsia="fr-FR"/>
        </w:rPr>
        <w:t>.</w:t>
      </w:r>
    </w:p>
    <w:p w:rsidR="00AE46BD" w:rsidRPr="00BE2FD0" w:rsidRDefault="00AE46BD" w:rsidP="00AE46BD">
      <w:pPr>
        <w:numPr>
          <w:ilvl w:val="0"/>
          <w:numId w:val="0"/>
        </w:numPr>
        <w:spacing w:after="0" w:line="240" w:lineRule="auto"/>
        <w:jc w:val="both"/>
        <w:rPr>
          <w:rFonts w:ascii="Arial" w:eastAsia="Times New Roman" w:hAnsi="Arial" w:cs="Arial"/>
          <w:bCs/>
          <w:i/>
          <w:iCs/>
          <w:sz w:val="18"/>
          <w:szCs w:val="18"/>
          <w:lang w:eastAsia="fr-FR"/>
        </w:rPr>
      </w:pPr>
      <w:r w:rsidRPr="00BE2FD0">
        <w:rPr>
          <w:rFonts w:ascii="Arial" w:eastAsia="Times New Roman" w:hAnsi="Arial" w:cs="Arial"/>
          <w:bCs/>
          <w:i/>
          <w:iCs/>
          <w:sz w:val="18"/>
          <w:szCs w:val="18"/>
          <w:lang w:eastAsia="fr-FR"/>
        </w:rPr>
        <w:t>…</w:t>
      </w:r>
    </w:p>
    <w:p w:rsidR="00AE46BD" w:rsidRPr="00BE2FD0" w:rsidRDefault="00AE46BD" w:rsidP="00AE46BD">
      <w:pPr>
        <w:numPr>
          <w:ilvl w:val="0"/>
          <w:numId w:val="0"/>
        </w:numPr>
        <w:spacing w:after="0" w:line="240" w:lineRule="auto"/>
        <w:jc w:val="both"/>
        <w:rPr>
          <w:rFonts w:ascii="Arial" w:eastAsia="Times New Roman" w:hAnsi="Arial" w:cs="Arial"/>
          <w:bCs/>
          <w:i/>
          <w:iCs/>
          <w:sz w:val="18"/>
          <w:szCs w:val="18"/>
          <w:lang w:eastAsia="fr-FR"/>
        </w:rPr>
      </w:pPr>
      <w:r w:rsidRPr="00BE2FD0">
        <w:rPr>
          <w:rFonts w:ascii="Arial" w:eastAsia="Times New Roman" w:hAnsi="Arial" w:cs="Arial"/>
          <w:bCs/>
          <w:i/>
          <w:iCs/>
          <w:sz w:val="18"/>
          <w:szCs w:val="18"/>
          <w:u w:val="single"/>
          <w:lang w:eastAsia="fr-FR"/>
        </w:rPr>
        <w:t>En este asunto, se observa que la imputación por el aludido comportamiento se produjo el 3 de abril de 2013, lo que significa que el lapso para que el Estado ejerciera la potestad punitiva se cumplía el 2 de abril de 2016, empero, la apelación se resolvió el 29 de marzo y la lectura el 12 de abril de ese año, de manera que no se produjo la extinción de la acción penal, porque proferida la sentencia se suspendió el término e inició a correr de nuevo sin ser superior éste último a cinco años</w:t>
      </w:r>
      <w:r w:rsidRPr="00BE2FD0">
        <w:rPr>
          <w:rFonts w:ascii="Arial" w:eastAsia="Times New Roman" w:hAnsi="Arial" w:cs="Arial"/>
          <w:bCs/>
          <w:i/>
          <w:iCs/>
          <w:sz w:val="18"/>
          <w:szCs w:val="18"/>
          <w:lang w:eastAsia="fr-FR"/>
        </w:rPr>
        <w:t>.</w:t>
      </w:r>
    </w:p>
    <w:p w:rsidR="00AE46BD" w:rsidRPr="00BE2FD0" w:rsidRDefault="00AE46BD" w:rsidP="00AE46BD">
      <w:pPr>
        <w:numPr>
          <w:ilvl w:val="0"/>
          <w:numId w:val="0"/>
        </w:numPr>
        <w:spacing w:after="0" w:line="240" w:lineRule="auto"/>
        <w:jc w:val="both"/>
        <w:rPr>
          <w:rFonts w:ascii="Arial" w:eastAsia="Times New Roman" w:hAnsi="Arial" w:cs="Arial"/>
          <w:bCs/>
          <w:i/>
          <w:iCs/>
          <w:sz w:val="18"/>
          <w:szCs w:val="18"/>
          <w:lang w:eastAsia="fr-FR"/>
        </w:rPr>
      </w:pPr>
      <w:r w:rsidRPr="00BE2FD0">
        <w:rPr>
          <w:rFonts w:ascii="Arial" w:eastAsia="Times New Roman" w:hAnsi="Arial" w:cs="Arial"/>
          <w:bCs/>
          <w:i/>
          <w:iCs/>
          <w:sz w:val="18"/>
          <w:szCs w:val="18"/>
          <w:lang w:eastAsia="fr-FR"/>
        </w:rPr>
        <w:t xml:space="preserve">De acuerdo a lo expuesto, el cargo no está llamado a prosperar, por lo que corresponde el análisis del secundario...” ( subrayas ex texto ) </w:t>
      </w:r>
    </w:p>
    <w:p w:rsidR="00AE46BD" w:rsidRPr="00BE2FD0" w:rsidRDefault="00AE46BD" w:rsidP="00AE46BD">
      <w:pPr>
        <w:numPr>
          <w:ilvl w:val="0"/>
          <w:numId w:val="0"/>
        </w:numPr>
        <w:spacing w:after="0" w:line="240" w:lineRule="auto"/>
        <w:jc w:val="both"/>
        <w:rPr>
          <w:rFonts w:ascii="Arial" w:eastAsia="Times New Roman" w:hAnsi="Arial" w:cs="Arial"/>
          <w:bCs/>
          <w:iCs/>
          <w:sz w:val="18"/>
          <w:szCs w:val="18"/>
          <w:lang w:eastAsia="fr-FR"/>
        </w:rPr>
      </w:pPr>
    </w:p>
    <w:p w:rsidR="008C4F22" w:rsidRPr="00BE2FD0" w:rsidRDefault="00AE46BD" w:rsidP="00AE46BD">
      <w:pPr>
        <w:numPr>
          <w:ilvl w:val="0"/>
          <w:numId w:val="0"/>
        </w:numPr>
        <w:spacing w:after="0" w:line="240" w:lineRule="auto"/>
        <w:jc w:val="both"/>
        <w:rPr>
          <w:rFonts w:ascii="Arial" w:eastAsia="Times New Roman" w:hAnsi="Arial" w:cs="Arial"/>
          <w:bCs/>
          <w:iCs/>
          <w:sz w:val="18"/>
          <w:szCs w:val="18"/>
          <w:lang w:eastAsia="fr-FR"/>
        </w:rPr>
      </w:pPr>
      <w:r w:rsidRPr="00BE2FD0">
        <w:rPr>
          <w:rFonts w:ascii="Arial" w:eastAsia="Times New Roman" w:hAnsi="Arial" w:cs="Arial"/>
          <w:bCs/>
          <w:iCs/>
          <w:sz w:val="18"/>
          <w:szCs w:val="18"/>
          <w:lang w:eastAsia="fr-FR"/>
        </w:rPr>
        <w:t xml:space="preserve">3.3 En consecuencia se entiende que en el caso sub examen la decisión correspondiente a la declaración de responsabilidad del señor </w:t>
      </w:r>
      <w:r w:rsidRPr="00BE2FD0">
        <w:rPr>
          <w:rFonts w:ascii="Arial" w:eastAsia="Times New Roman" w:hAnsi="Arial" w:cs="Arial"/>
          <w:bCs/>
          <w:iCs/>
          <w:sz w:val="18"/>
          <w:szCs w:val="18"/>
          <w:lang w:eastAsia="fr-FR"/>
        </w:rPr>
        <w:t>RDML</w:t>
      </w:r>
      <w:r w:rsidRPr="00BE2FD0">
        <w:rPr>
          <w:rFonts w:ascii="Arial" w:eastAsia="Times New Roman" w:hAnsi="Arial" w:cs="Arial"/>
          <w:bCs/>
          <w:iCs/>
          <w:sz w:val="18"/>
          <w:szCs w:val="18"/>
          <w:lang w:eastAsia="fr-FR"/>
        </w:rPr>
        <w:t xml:space="preserve"> por el delito de concusión, se aprobó y se comunicó antes del 10 de junio de 2018, por lo cual no se presentaría la causal de extinción de la acción penal que aduce el peticionario, conforme a las decisiones antes citadas de la Sala Penal de la Corte Suprema de Justicia, que deben ser acatadas por esta Colegiatura, ya que las decisiones de los órganos de cierre de cada jurisdicción también constituyen precedente judicial vinculante.</w:t>
      </w:r>
    </w:p>
    <w:p w:rsidR="00EC2F48" w:rsidRPr="00BE2FD0" w:rsidRDefault="00EC2F48" w:rsidP="00EC2F48">
      <w:pPr>
        <w:numPr>
          <w:ilvl w:val="0"/>
          <w:numId w:val="0"/>
        </w:numPr>
        <w:spacing w:after="0" w:line="240" w:lineRule="auto"/>
        <w:jc w:val="both"/>
        <w:rPr>
          <w:rFonts w:ascii="Arial" w:eastAsia="Times New Roman" w:hAnsi="Arial" w:cs="Arial"/>
          <w:b/>
          <w:bCs/>
          <w:iCs/>
          <w:sz w:val="18"/>
          <w:szCs w:val="18"/>
          <w:lang w:eastAsia="fr-FR"/>
        </w:rPr>
      </w:pPr>
    </w:p>
    <w:p w:rsidR="00EC2F48" w:rsidRPr="00BE2FD0" w:rsidRDefault="00EC2F48" w:rsidP="00EC2F48">
      <w:pPr>
        <w:numPr>
          <w:ilvl w:val="0"/>
          <w:numId w:val="0"/>
        </w:numPr>
        <w:spacing w:after="0" w:line="240" w:lineRule="auto"/>
        <w:jc w:val="both"/>
        <w:rPr>
          <w:rFonts w:ascii="Arial" w:eastAsia="Times New Roman" w:hAnsi="Arial" w:cs="Arial"/>
          <w:bCs/>
          <w:iCs/>
          <w:sz w:val="18"/>
          <w:szCs w:val="18"/>
          <w:lang w:eastAsia="fr-FR"/>
        </w:rPr>
      </w:pPr>
      <w:r w:rsidRPr="00BE2FD0">
        <w:rPr>
          <w:rFonts w:ascii="Arial" w:eastAsia="Times New Roman" w:hAnsi="Arial" w:cs="Arial"/>
          <w:b/>
          <w:bCs/>
          <w:iCs/>
          <w:sz w:val="18"/>
          <w:szCs w:val="18"/>
          <w:lang w:eastAsia="fr-FR"/>
        </w:rPr>
        <w:t>SE INTERPUSO RECURSO DE QUEJA / COMPETENCIA PARA RESOLVER SOLICITUD DE PRESCRIPCIÓN CORRESPONDE A LA CORTE EN ESTE CASO / SE ABSTIENE DE RESOLVER</w:t>
      </w:r>
      <w:r w:rsidR="00C416F7" w:rsidRPr="00BE2FD0">
        <w:rPr>
          <w:rFonts w:ascii="Arial" w:eastAsia="Times New Roman" w:hAnsi="Arial" w:cs="Arial"/>
          <w:b/>
          <w:bCs/>
          <w:iCs/>
          <w:sz w:val="18"/>
          <w:szCs w:val="18"/>
          <w:lang w:eastAsia="fr-FR"/>
        </w:rPr>
        <w:t xml:space="preserve"> / </w:t>
      </w:r>
      <w:r w:rsidRPr="00BE2FD0">
        <w:rPr>
          <w:rFonts w:ascii="Arial" w:eastAsia="Times New Roman" w:hAnsi="Arial" w:cs="Arial"/>
          <w:bCs/>
          <w:iCs/>
          <w:sz w:val="18"/>
          <w:szCs w:val="18"/>
          <w:lang w:eastAsia="fr-FR"/>
        </w:rPr>
        <w:t>En razón de la concesión del citado recurso de queja se pueden presentar dos situaciones relevantes a saber:</w:t>
      </w:r>
    </w:p>
    <w:p w:rsidR="00EC2F48" w:rsidRPr="00BE2FD0" w:rsidRDefault="00EC2F48" w:rsidP="00EC2F48">
      <w:pPr>
        <w:numPr>
          <w:ilvl w:val="0"/>
          <w:numId w:val="0"/>
        </w:numPr>
        <w:spacing w:after="0" w:line="240" w:lineRule="auto"/>
        <w:jc w:val="both"/>
        <w:rPr>
          <w:rFonts w:ascii="Arial" w:eastAsia="Times New Roman" w:hAnsi="Arial" w:cs="Arial"/>
          <w:bCs/>
          <w:iCs/>
          <w:sz w:val="18"/>
          <w:szCs w:val="18"/>
          <w:lang w:eastAsia="fr-FR"/>
        </w:rPr>
      </w:pPr>
      <w:r w:rsidRPr="00BE2FD0">
        <w:rPr>
          <w:rFonts w:ascii="Arial" w:eastAsia="Times New Roman" w:hAnsi="Arial" w:cs="Arial"/>
          <w:bCs/>
          <w:iCs/>
          <w:sz w:val="18"/>
          <w:szCs w:val="18"/>
          <w:lang w:eastAsia="fr-FR"/>
        </w:rPr>
        <w:t>3.8.1 En caso de que la SP de la CSJ decida conceder el recurso de apelación formulado por el defensor del procesado, variando su reiterada jurisprudencia  en el sentido de que frente a las sentencias de segunda instancia proferidas por las Salas Penales de los Tribunales Superiores de Distrito solo procede el recurso de casación , lo procedente sería que el recurrente formulara su petición de extinción de la acción penal ante la SP de la CSJ, en el decurso de ese recurso ordinario, que debería ser decidido por el superior funcional de esta corporación.</w:t>
      </w:r>
    </w:p>
    <w:p w:rsidR="008C4F22" w:rsidRPr="00BE2FD0" w:rsidRDefault="00EC2F48" w:rsidP="00EC2F48">
      <w:pPr>
        <w:numPr>
          <w:ilvl w:val="0"/>
          <w:numId w:val="0"/>
        </w:numPr>
        <w:spacing w:after="0" w:line="240" w:lineRule="auto"/>
        <w:jc w:val="both"/>
        <w:rPr>
          <w:rFonts w:ascii="Arial" w:eastAsia="Times New Roman" w:hAnsi="Arial" w:cs="Arial"/>
          <w:bCs/>
          <w:iCs/>
          <w:sz w:val="18"/>
          <w:szCs w:val="18"/>
          <w:lang w:eastAsia="fr-FR"/>
        </w:rPr>
      </w:pPr>
      <w:r w:rsidRPr="00BE2FD0">
        <w:rPr>
          <w:rFonts w:ascii="Arial" w:eastAsia="Times New Roman" w:hAnsi="Arial" w:cs="Arial"/>
          <w:bCs/>
          <w:iCs/>
          <w:sz w:val="18"/>
          <w:szCs w:val="18"/>
          <w:lang w:eastAsia="fr-FR"/>
        </w:rPr>
        <w:t>3.8.2 En su defecto, en caso de que el órgano de cierre de la jurisdicción penal deniegue el recurso de queja, la consecuencia sería que se habilitaría para la defensa del procesado el término para interponer el recurso de casación contra la sentencia de segunda instancia, como se decidió en auto de esta Sala del 8 de junio del presente año y en consecuencia sería igualmente la Sala Penal de la CSJ la que debería pronunciarse (de admitirse la demanda de casación) sobre el tema de la prescripción de la acción penal que solicita el peticionario, en caso de invocarse la causal 2ª del artículo 181 del CPP dentro del</w:t>
      </w:r>
      <w:r w:rsidRPr="00BE2FD0">
        <w:rPr>
          <w:rFonts w:ascii="Arial" w:eastAsia="Times New Roman" w:hAnsi="Arial" w:cs="Arial"/>
          <w:bCs/>
          <w:iCs/>
          <w:sz w:val="18"/>
          <w:szCs w:val="18"/>
          <w:lang w:eastAsia="fr-FR"/>
        </w:rPr>
        <w:t xml:space="preserve"> citado recurso extraordinario.</w:t>
      </w:r>
    </w:p>
    <w:p w:rsidR="008C4F22" w:rsidRPr="00BE2FD0" w:rsidRDefault="008C4F22" w:rsidP="00EC1A43">
      <w:pPr>
        <w:numPr>
          <w:ilvl w:val="0"/>
          <w:numId w:val="0"/>
        </w:numPr>
        <w:spacing w:after="0" w:line="240" w:lineRule="auto"/>
        <w:jc w:val="center"/>
        <w:rPr>
          <w:rFonts w:ascii="Arial" w:eastAsia="Times New Roman" w:hAnsi="Arial" w:cs="Arial"/>
          <w:b/>
          <w:sz w:val="24"/>
          <w:szCs w:val="24"/>
          <w:lang w:val="es-CO"/>
        </w:rPr>
      </w:pPr>
    </w:p>
    <w:p w:rsidR="008C4F22" w:rsidRPr="00BE2FD0" w:rsidRDefault="008C4F22" w:rsidP="00EC1A43">
      <w:pPr>
        <w:numPr>
          <w:ilvl w:val="0"/>
          <w:numId w:val="0"/>
        </w:numPr>
        <w:spacing w:after="0" w:line="240" w:lineRule="auto"/>
        <w:jc w:val="center"/>
        <w:rPr>
          <w:rFonts w:ascii="Arial" w:eastAsia="Times New Roman" w:hAnsi="Arial" w:cs="Arial"/>
          <w:b/>
          <w:sz w:val="24"/>
          <w:szCs w:val="24"/>
          <w:lang w:val="es-CO"/>
        </w:rPr>
      </w:pPr>
    </w:p>
    <w:p w:rsidR="00EC1A43" w:rsidRPr="00BE2FD0" w:rsidRDefault="00EC1A43" w:rsidP="00EC1A43">
      <w:pPr>
        <w:numPr>
          <w:ilvl w:val="0"/>
          <w:numId w:val="0"/>
        </w:numPr>
        <w:spacing w:after="0" w:line="240" w:lineRule="auto"/>
        <w:jc w:val="center"/>
        <w:rPr>
          <w:rFonts w:ascii="Arial" w:eastAsia="Times New Roman" w:hAnsi="Arial" w:cs="Arial"/>
          <w:b/>
          <w:sz w:val="24"/>
          <w:szCs w:val="24"/>
          <w:lang w:val="es-CO"/>
        </w:rPr>
      </w:pPr>
      <w:r w:rsidRPr="00BE2FD0">
        <w:rPr>
          <w:rFonts w:ascii="Arial" w:eastAsia="Times New Roman" w:hAnsi="Arial" w:cs="Arial"/>
          <w:b/>
          <w:sz w:val="24"/>
          <w:szCs w:val="24"/>
          <w:lang w:val="es-CO"/>
        </w:rPr>
        <w:t>RAMA JUDICIAL DEL PODER PÚBLICO</w:t>
      </w:r>
    </w:p>
    <w:p w:rsidR="00EC1A43" w:rsidRPr="00BE2FD0" w:rsidRDefault="00EC1A43" w:rsidP="00EC1A43">
      <w:pPr>
        <w:numPr>
          <w:ilvl w:val="0"/>
          <w:numId w:val="0"/>
        </w:numPr>
        <w:spacing w:after="0" w:line="240" w:lineRule="auto"/>
        <w:jc w:val="center"/>
        <w:rPr>
          <w:rFonts w:ascii="Arial" w:eastAsia="Times New Roman" w:hAnsi="Arial" w:cs="Arial"/>
          <w:b/>
          <w:sz w:val="24"/>
          <w:szCs w:val="24"/>
          <w:lang w:val="es-CO"/>
        </w:rPr>
      </w:pPr>
      <w:r w:rsidRPr="00BE2FD0">
        <w:rPr>
          <w:rFonts w:ascii="Arial" w:eastAsia="Times New Roman" w:hAnsi="Arial" w:cs="Arial"/>
          <w:b/>
          <w:sz w:val="24"/>
          <w:szCs w:val="24"/>
          <w:lang w:val="es-CO"/>
        </w:rPr>
        <w:fldChar w:fldCharType="begin"/>
      </w:r>
      <w:r w:rsidRPr="00BE2FD0">
        <w:rPr>
          <w:rFonts w:ascii="Arial" w:eastAsia="Times New Roman" w:hAnsi="Arial" w:cs="Arial"/>
          <w:b/>
          <w:sz w:val="24"/>
          <w:szCs w:val="24"/>
          <w:lang w:val="es-CO"/>
        </w:rPr>
        <w:instrText xml:space="preserve"> INCLUDEPICTURE  "http://www.mintransporte.gov.co/images/escudo.gif" \* MERGEFORMATINET </w:instrText>
      </w:r>
      <w:r w:rsidRPr="00BE2FD0">
        <w:rPr>
          <w:rFonts w:ascii="Arial" w:eastAsia="Times New Roman" w:hAnsi="Arial" w:cs="Arial"/>
          <w:b/>
          <w:sz w:val="24"/>
          <w:szCs w:val="24"/>
          <w:lang w:val="es-CO"/>
        </w:rPr>
        <w:fldChar w:fldCharType="separate"/>
      </w:r>
      <w:r w:rsidR="001E7374" w:rsidRPr="00BE2FD0">
        <w:rPr>
          <w:rFonts w:ascii="Arial" w:eastAsia="Times New Roman" w:hAnsi="Arial" w:cs="Arial"/>
          <w:b/>
          <w:sz w:val="24"/>
          <w:szCs w:val="24"/>
          <w:lang w:val="es-CO"/>
        </w:rPr>
        <w:fldChar w:fldCharType="begin"/>
      </w:r>
      <w:r w:rsidR="001E7374" w:rsidRPr="00BE2FD0">
        <w:rPr>
          <w:rFonts w:ascii="Arial" w:eastAsia="Times New Roman" w:hAnsi="Arial" w:cs="Arial"/>
          <w:b/>
          <w:sz w:val="24"/>
          <w:szCs w:val="24"/>
          <w:lang w:val="es-CO"/>
        </w:rPr>
        <w:instrText xml:space="preserve"> INCLUDEPICTURE  "http://www.mintransporte.gov.co/images/escudo.gif" \* MERGEFORMATINET </w:instrText>
      </w:r>
      <w:r w:rsidR="001E7374" w:rsidRPr="00BE2FD0">
        <w:rPr>
          <w:rFonts w:ascii="Arial" w:eastAsia="Times New Roman" w:hAnsi="Arial" w:cs="Arial"/>
          <w:b/>
          <w:sz w:val="24"/>
          <w:szCs w:val="24"/>
          <w:lang w:val="es-CO"/>
        </w:rPr>
        <w:fldChar w:fldCharType="separate"/>
      </w:r>
      <w:r w:rsidR="00BE150D" w:rsidRPr="00BE2FD0">
        <w:rPr>
          <w:rFonts w:ascii="Arial" w:eastAsia="Times New Roman" w:hAnsi="Arial" w:cs="Arial"/>
          <w:b/>
          <w:sz w:val="24"/>
          <w:szCs w:val="24"/>
          <w:lang w:val="es-CO"/>
        </w:rPr>
        <w:fldChar w:fldCharType="begin"/>
      </w:r>
      <w:r w:rsidR="00BE150D" w:rsidRPr="00BE2FD0">
        <w:rPr>
          <w:rFonts w:ascii="Arial" w:eastAsia="Times New Roman" w:hAnsi="Arial" w:cs="Arial"/>
          <w:b/>
          <w:sz w:val="24"/>
          <w:szCs w:val="24"/>
          <w:lang w:val="es-CO"/>
        </w:rPr>
        <w:instrText xml:space="preserve"> INCLUDEPICTURE  "http://www.mintransporte.gov.co/images/escudo.gif" \* MERGEFORMATINET </w:instrText>
      </w:r>
      <w:r w:rsidR="00BE150D" w:rsidRPr="00BE2FD0">
        <w:rPr>
          <w:rFonts w:ascii="Arial" w:eastAsia="Times New Roman" w:hAnsi="Arial" w:cs="Arial"/>
          <w:b/>
          <w:sz w:val="24"/>
          <w:szCs w:val="24"/>
          <w:lang w:val="es-CO"/>
        </w:rPr>
        <w:fldChar w:fldCharType="separate"/>
      </w:r>
      <w:r w:rsidR="002F3254" w:rsidRPr="00BE2FD0">
        <w:rPr>
          <w:rFonts w:ascii="Arial" w:eastAsia="Times New Roman" w:hAnsi="Arial" w:cs="Arial"/>
          <w:b/>
          <w:sz w:val="24"/>
          <w:szCs w:val="24"/>
          <w:lang w:val="es-CO"/>
        </w:rPr>
        <w:fldChar w:fldCharType="begin"/>
      </w:r>
      <w:r w:rsidR="002F3254" w:rsidRPr="00BE2FD0">
        <w:rPr>
          <w:rFonts w:ascii="Arial" w:eastAsia="Times New Roman" w:hAnsi="Arial" w:cs="Arial"/>
          <w:b/>
          <w:sz w:val="24"/>
          <w:szCs w:val="24"/>
          <w:lang w:val="es-CO"/>
        </w:rPr>
        <w:instrText xml:space="preserve"> INCLUDEPICTURE  "http://www.mintransporte.gov.co/images/escudo.gif" \* MERGEFORMATINET </w:instrText>
      </w:r>
      <w:r w:rsidR="002F3254" w:rsidRPr="00BE2FD0">
        <w:rPr>
          <w:rFonts w:ascii="Arial" w:eastAsia="Times New Roman" w:hAnsi="Arial" w:cs="Arial"/>
          <w:b/>
          <w:sz w:val="24"/>
          <w:szCs w:val="24"/>
          <w:lang w:val="es-CO"/>
        </w:rPr>
        <w:fldChar w:fldCharType="separate"/>
      </w:r>
      <w:r w:rsidR="00AA079A" w:rsidRPr="00BE2FD0">
        <w:rPr>
          <w:rFonts w:ascii="Arial" w:eastAsia="Times New Roman" w:hAnsi="Arial" w:cs="Arial"/>
          <w:b/>
          <w:sz w:val="24"/>
          <w:szCs w:val="24"/>
          <w:lang w:val="es-CO"/>
        </w:rPr>
        <w:fldChar w:fldCharType="begin"/>
      </w:r>
      <w:r w:rsidR="00AA079A" w:rsidRPr="00BE2FD0">
        <w:rPr>
          <w:rFonts w:ascii="Arial" w:eastAsia="Times New Roman" w:hAnsi="Arial" w:cs="Arial"/>
          <w:b/>
          <w:sz w:val="24"/>
          <w:szCs w:val="24"/>
          <w:lang w:val="es-CO"/>
        </w:rPr>
        <w:instrText xml:space="preserve"> </w:instrText>
      </w:r>
      <w:r w:rsidR="00AA079A" w:rsidRPr="00BE2FD0">
        <w:rPr>
          <w:rFonts w:ascii="Arial" w:eastAsia="Times New Roman" w:hAnsi="Arial" w:cs="Arial"/>
          <w:b/>
          <w:sz w:val="24"/>
          <w:szCs w:val="24"/>
          <w:lang w:val="es-CO"/>
        </w:rPr>
        <w:instrText>INCLUDEPICTURE  "http://www.mintransporte.gov.co/images/escudo.gif" \* MERGEFORMATINET</w:instrText>
      </w:r>
      <w:r w:rsidR="00AA079A" w:rsidRPr="00BE2FD0">
        <w:rPr>
          <w:rFonts w:ascii="Arial" w:eastAsia="Times New Roman" w:hAnsi="Arial" w:cs="Arial"/>
          <w:b/>
          <w:sz w:val="24"/>
          <w:szCs w:val="24"/>
          <w:lang w:val="es-CO"/>
        </w:rPr>
        <w:instrText xml:space="preserve"> </w:instrText>
      </w:r>
      <w:r w:rsidR="00AA079A" w:rsidRPr="00BE2FD0">
        <w:rPr>
          <w:rFonts w:ascii="Arial" w:eastAsia="Times New Roman" w:hAnsi="Arial" w:cs="Arial"/>
          <w:b/>
          <w:sz w:val="24"/>
          <w:szCs w:val="24"/>
          <w:lang w:val="es-CO"/>
        </w:rPr>
        <w:fldChar w:fldCharType="separate"/>
      </w:r>
      <w:r w:rsidR="008C4F22" w:rsidRPr="00BE2FD0">
        <w:rPr>
          <w:rFonts w:ascii="Arial" w:eastAsia="Times New Roman" w:hAnsi="Arial" w:cs="Arial"/>
          <w:b/>
          <w:sz w:val="24"/>
          <w:szCs w:val="24"/>
          <w:lang w:val="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8" r:href="rId9"/>
          </v:shape>
        </w:pict>
      </w:r>
      <w:r w:rsidR="00AA079A" w:rsidRPr="00BE2FD0">
        <w:rPr>
          <w:rFonts w:ascii="Arial" w:eastAsia="Times New Roman" w:hAnsi="Arial" w:cs="Arial"/>
          <w:b/>
          <w:sz w:val="24"/>
          <w:szCs w:val="24"/>
          <w:lang w:val="es-CO"/>
        </w:rPr>
        <w:fldChar w:fldCharType="end"/>
      </w:r>
      <w:r w:rsidR="002F3254" w:rsidRPr="00BE2FD0">
        <w:rPr>
          <w:rFonts w:ascii="Arial" w:eastAsia="Times New Roman" w:hAnsi="Arial" w:cs="Arial"/>
          <w:b/>
          <w:sz w:val="24"/>
          <w:szCs w:val="24"/>
          <w:lang w:val="es-CO"/>
        </w:rPr>
        <w:fldChar w:fldCharType="end"/>
      </w:r>
      <w:r w:rsidR="00BE150D" w:rsidRPr="00BE2FD0">
        <w:rPr>
          <w:rFonts w:ascii="Arial" w:eastAsia="Times New Roman" w:hAnsi="Arial" w:cs="Arial"/>
          <w:b/>
          <w:sz w:val="24"/>
          <w:szCs w:val="24"/>
          <w:lang w:val="es-CO"/>
        </w:rPr>
        <w:fldChar w:fldCharType="end"/>
      </w:r>
      <w:r w:rsidR="001E7374" w:rsidRPr="00BE2FD0">
        <w:rPr>
          <w:rFonts w:ascii="Arial" w:eastAsia="Times New Roman" w:hAnsi="Arial" w:cs="Arial"/>
          <w:b/>
          <w:sz w:val="24"/>
          <w:szCs w:val="24"/>
          <w:lang w:val="es-CO"/>
        </w:rPr>
        <w:fldChar w:fldCharType="end"/>
      </w:r>
      <w:r w:rsidRPr="00BE2FD0">
        <w:rPr>
          <w:rFonts w:ascii="Arial" w:eastAsia="Times New Roman" w:hAnsi="Arial" w:cs="Arial"/>
          <w:b/>
          <w:sz w:val="24"/>
          <w:szCs w:val="24"/>
          <w:lang w:val="es-CO"/>
        </w:rPr>
        <w:fldChar w:fldCharType="end"/>
      </w:r>
    </w:p>
    <w:p w:rsidR="00EC1A43" w:rsidRPr="00BE2FD0" w:rsidRDefault="00EC1A43" w:rsidP="00EC1A43">
      <w:pPr>
        <w:numPr>
          <w:ilvl w:val="0"/>
          <w:numId w:val="0"/>
        </w:numPr>
        <w:spacing w:after="0" w:line="240" w:lineRule="auto"/>
        <w:jc w:val="center"/>
        <w:rPr>
          <w:rFonts w:ascii="Arial" w:eastAsia="Times New Roman" w:hAnsi="Arial" w:cs="Arial"/>
          <w:b/>
          <w:sz w:val="24"/>
          <w:szCs w:val="24"/>
          <w:lang w:val="es-CO"/>
        </w:rPr>
      </w:pPr>
      <w:r w:rsidRPr="00BE2FD0">
        <w:rPr>
          <w:rFonts w:ascii="Arial" w:eastAsia="Times New Roman" w:hAnsi="Arial" w:cs="Arial"/>
          <w:b/>
          <w:sz w:val="24"/>
          <w:szCs w:val="24"/>
          <w:lang w:val="es-CO"/>
        </w:rPr>
        <w:t>TRIBUNAL SUPERIOR DEL DISTRITO JUDICIAL DE PEREIRA – RISARALDA</w:t>
      </w:r>
    </w:p>
    <w:p w:rsidR="00EC1A43" w:rsidRPr="00BE2FD0" w:rsidRDefault="00EC1A43" w:rsidP="00EC1A43">
      <w:pPr>
        <w:numPr>
          <w:ilvl w:val="0"/>
          <w:numId w:val="0"/>
        </w:numPr>
        <w:spacing w:after="0" w:line="240" w:lineRule="auto"/>
        <w:jc w:val="center"/>
        <w:rPr>
          <w:rFonts w:ascii="Arial" w:eastAsia="Times New Roman" w:hAnsi="Arial" w:cs="Arial"/>
          <w:b/>
          <w:sz w:val="24"/>
          <w:szCs w:val="24"/>
          <w:lang w:val="es-CO"/>
        </w:rPr>
      </w:pPr>
      <w:r w:rsidRPr="00BE2FD0">
        <w:rPr>
          <w:rFonts w:ascii="Arial" w:eastAsia="Times New Roman" w:hAnsi="Arial" w:cs="Arial"/>
          <w:b/>
          <w:sz w:val="24"/>
          <w:szCs w:val="24"/>
          <w:lang w:val="es-CO"/>
        </w:rPr>
        <w:t>SALA DE DECISIÓN PENAL</w:t>
      </w:r>
    </w:p>
    <w:p w:rsidR="00EC1A43" w:rsidRPr="00BE2FD0" w:rsidRDefault="00EC1A43" w:rsidP="00EC1A43">
      <w:pPr>
        <w:numPr>
          <w:ilvl w:val="0"/>
          <w:numId w:val="0"/>
        </w:numPr>
        <w:spacing w:after="0" w:line="240" w:lineRule="auto"/>
        <w:jc w:val="center"/>
        <w:rPr>
          <w:rFonts w:ascii="Arial" w:eastAsia="Times New Roman" w:hAnsi="Arial" w:cs="Arial"/>
          <w:b/>
          <w:sz w:val="24"/>
          <w:szCs w:val="24"/>
          <w:lang w:val="es-CO"/>
        </w:rPr>
      </w:pPr>
      <w:r w:rsidRPr="00BE2FD0">
        <w:rPr>
          <w:rFonts w:ascii="Arial" w:eastAsia="Times New Roman" w:hAnsi="Arial" w:cs="Arial"/>
          <w:b/>
          <w:sz w:val="24"/>
          <w:szCs w:val="24"/>
          <w:lang w:val="es-CO"/>
        </w:rPr>
        <w:t>M.P. JAIRO ERNESTO ESCOBAR SANZ</w:t>
      </w:r>
    </w:p>
    <w:p w:rsidR="00EC1A43" w:rsidRPr="00BE2FD0" w:rsidRDefault="00EC1A43" w:rsidP="00EC1A43">
      <w:pPr>
        <w:numPr>
          <w:ilvl w:val="0"/>
          <w:numId w:val="0"/>
        </w:numPr>
        <w:spacing w:after="0" w:line="240" w:lineRule="auto"/>
        <w:rPr>
          <w:rFonts w:ascii="Arial" w:eastAsia="Times New Roman" w:hAnsi="Arial" w:cs="Arial"/>
          <w:sz w:val="24"/>
          <w:szCs w:val="24"/>
          <w:highlight w:val="green"/>
          <w:lang w:val="es-CO"/>
        </w:rPr>
      </w:pPr>
    </w:p>
    <w:p w:rsidR="00EC1A43" w:rsidRPr="00BE2FD0" w:rsidRDefault="00EC1A43" w:rsidP="00EC1A43">
      <w:pPr>
        <w:numPr>
          <w:ilvl w:val="0"/>
          <w:numId w:val="0"/>
        </w:numPr>
        <w:spacing w:after="0" w:line="240" w:lineRule="auto"/>
        <w:rPr>
          <w:rFonts w:ascii="Arial" w:eastAsia="Times New Roman" w:hAnsi="Arial" w:cs="Arial"/>
          <w:sz w:val="24"/>
          <w:szCs w:val="24"/>
          <w:lang w:val="es-CO"/>
        </w:rPr>
      </w:pPr>
    </w:p>
    <w:p w:rsidR="00EC1A43" w:rsidRPr="00BE2FD0" w:rsidRDefault="00B40679" w:rsidP="00EC1A43">
      <w:pPr>
        <w:numPr>
          <w:ilvl w:val="0"/>
          <w:numId w:val="0"/>
        </w:numPr>
        <w:spacing w:after="0" w:line="240" w:lineRule="auto"/>
        <w:rPr>
          <w:rFonts w:ascii="Arial" w:eastAsia="Times New Roman" w:hAnsi="Arial" w:cs="Arial"/>
          <w:sz w:val="24"/>
          <w:szCs w:val="24"/>
          <w:lang w:val="es-CO"/>
        </w:rPr>
      </w:pPr>
      <w:r w:rsidRPr="00BE2FD0">
        <w:rPr>
          <w:rFonts w:ascii="Arial" w:eastAsia="Times New Roman" w:hAnsi="Arial" w:cs="Arial"/>
          <w:sz w:val="24"/>
          <w:szCs w:val="24"/>
          <w:lang w:val="es-CO"/>
        </w:rPr>
        <w:t>Pereira, quince (15) de junio de dos mil dieciocho (2018)</w:t>
      </w:r>
    </w:p>
    <w:p w:rsidR="00EC1A43" w:rsidRPr="00BE2FD0" w:rsidRDefault="00EC1A43" w:rsidP="00EC1A43">
      <w:pPr>
        <w:numPr>
          <w:ilvl w:val="0"/>
          <w:numId w:val="0"/>
        </w:numPr>
        <w:spacing w:after="0" w:line="240" w:lineRule="auto"/>
        <w:rPr>
          <w:rFonts w:ascii="Arial" w:eastAsia="Times New Roman" w:hAnsi="Arial" w:cs="Arial"/>
          <w:sz w:val="24"/>
          <w:szCs w:val="24"/>
          <w:lang w:val="es-CO"/>
        </w:rPr>
      </w:pPr>
      <w:r w:rsidRPr="00BE2FD0">
        <w:rPr>
          <w:rFonts w:ascii="Arial" w:eastAsia="Times New Roman" w:hAnsi="Arial" w:cs="Arial"/>
          <w:sz w:val="24"/>
          <w:szCs w:val="24"/>
          <w:lang w:val="es-CO"/>
        </w:rPr>
        <w:t xml:space="preserve">Acta Nro. </w:t>
      </w:r>
      <w:r w:rsidR="00B40679" w:rsidRPr="00BE2FD0">
        <w:rPr>
          <w:rFonts w:ascii="Arial" w:eastAsia="Times New Roman" w:hAnsi="Arial" w:cs="Arial"/>
          <w:sz w:val="24"/>
          <w:szCs w:val="24"/>
          <w:lang w:val="es-CO"/>
        </w:rPr>
        <w:t>500</w:t>
      </w:r>
    </w:p>
    <w:p w:rsidR="00EC1A43" w:rsidRPr="00BE2FD0" w:rsidRDefault="00B40679" w:rsidP="00EC1A43">
      <w:pPr>
        <w:numPr>
          <w:ilvl w:val="0"/>
          <w:numId w:val="0"/>
        </w:numPr>
        <w:spacing w:after="0" w:line="240" w:lineRule="auto"/>
        <w:rPr>
          <w:rFonts w:ascii="Arial" w:eastAsia="Times New Roman" w:hAnsi="Arial" w:cs="Arial"/>
          <w:sz w:val="24"/>
          <w:szCs w:val="24"/>
          <w:lang w:val="es-CO"/>
        </w:rPr>
      </w:pPr>
      <w:r w:rsidRPr="00BE2FD0">
        <w:rPr>
          <w:rFonts w:ascii="Arial" w:eastAsia="Times New Roman" w:hAnsi="Arial" w:cs="Arial"/>
          <w:sz w:val="24"/>
          <w:szCs w:val="24"/>
          <w:lang w:val="es-CO"/>
        </w:rPr>
        <w:t xml:space="preserve">Hora: 2:20 p.m. </w:t>
      </w:r>
      <w:r w:rsidR="00EC1A43" w:rsidRPr="00BE2FD0">
        <w:rPr>
          <w:rFonts w:ascii="Arial" w:eastAsia="Times New Roman" w:hAnsi="Arial" w:cs="Arial"/>
          <w:sz w:val="24"/>
          <w:szCs w:val="24"/>
          <w:lang w:val="es-CO"/>
        </w:rPr>
        <w:tab/>
      </w:r>
    </w:p>
    <w:p w:rsidR="00EC1A43" w:rsidRPr="00BE2FD0" w:rsidRDefault="00EC1A43" w:rsidP="00EC1A43">
      <w:pPr>
        <w:numPr>
          <w:ilvl w:val="0"/>
          <w:numId w:val="0"/>
        </w:numPr>
        <w:spacing w:after="0" w:line="240" w:lineRule="auto"/>
        <w:rPr>
          <w:rFonts w:ascii="Arial" w:eastAsia="Times New Roman" w:hAnsi="Arial" w:cs="Arial"/>
          <w:sz w:val="24"/>
          <w:szCs w:val="24"/>
          <w:lang w:val="es-CO"/>
        </w:rPr>
      </w:pPr>
    </w:p>
    <w:p w:rsidR="00AD47E2" w:rsidRPr="00BE2FD0" w:rsidRDefault="00AD47E2" w:rsidP="00EC1A43">
      <w:pPr>
        <w:numPr>
          <w:ilvl w:val="0"/>
          <w:numId w:val="0"/>
        </w:numPr>
        <w:spacing w:line="240" w:lineRule="auto"/>
        <w:rPr>
          <w:rFonts w:ascii="Arial" w:hAnsi="Arial" w:cs="Arial"/>
          <w:sz w:val="24"/>
          <w:szCs w:val="24"/>
        </w:rPr>
      </w:pPr>
    </w:p>
    <w:p w:rsidR="00AD47E2" w:rsidRPr="00BE2FD0" w:rsidRDefault="00AD47E2" w:rsidP="00EC1A43">
      <w:pPr>
        <w:numPr>
          <w:ilvl w:val="0"/>
          <w:numId w:val="0"/>
        </w:numPr>
        <w:spacing w:line="240" w:lineRule="auto"/>
        <w:jc w:val="center"/>
        <w:rPr>
          <w:rFonts w:ascii="Arial" w:hAnsi="Arial" w:cs="Arial"/>
          <w:b/>
          <w:sz w:val="24"/>
          <w:szCs w:val="24"/>
        </w:rPr>
      </w:pPr>
    </w:p>
    <w:p w:rsidR="00AD3325" w:rsidRPr="00BE2FD0" w:rsidRDefault="00AD3325" w:rsidP="00EC1A43">
      <w:pPr>
        <w:numPr>
          <w:ilvl w:val="0"/>
          <w:numId w:val="0"/>
        </w:numPr>
        <w:spacing w:line="240" w:lineRule="auto"/>
        <w:jc w:val="center"/>
        <w:rPr>
          <w:rFonts w:ascii="Arial" w:hAnsi="Arial" w:cs="Arial"/>
          <w:b/>
          <w:sz w:val="24"/>
          <w:szCs w:val="24"/>
        </w:rPr>
      </w:pPr>
      <w:r w:rsidRPr="00BE2FD0">
        <w:rPr>
          <w:rFonts w:ascii="Arial" w:hAnsi="Arial" w:cs="Arial"/>
          <w:b/>
          <w:sz w:val="24"/>
          <w:szCs w:val="24"/>
        </w:rPr>
        <w:t>1 ASUNTO A DECIDIR.</w:t>
      </w:r>
    </w:p>
    <w:p w:rsidR="00AD3325" w:rsidRPr="00BE2FD0" w:rsidRDefault="00AD3325" w:rsidP="00EC1A43">
      <w:pPr>
        <w:numPr>
          <w:ilvl w:val="0"/>
          <w:numId w:val="0"/>
        </w:numPr>
        <w:spacing w:line="240" w:lineRule="auto"/>
        <w:rPr>
          <w:rFonts w:ascii="Arial" w:hAnsi="Arial" w:cs="Arial"/>
          <w:sz w:val="24"/>
          <w:szCs w:val="24"/>
        </w:rPr>
      </w:pPr>
    </w:p>
    <w:p w:rsidR="00AD3325" w:rsidRPr="00BE2FD0" w:rsidRDefault="00AD3325" w:rsidP="00EC1A43">
      <w:pPr>
        <w:numPr>
          <w:ilvl w:val="0"/>
          <w:numId w:val="0"/>
        </w:numPr>
        <w:spacing w:line="240" w:lineRule="auto"/>
        <w:jc w:val="both"/>
        <w:rPr>
          <w:rFonts w:ascii="Arial" w:hAnsi="Arial" w:cs="Arial"/>
          <w:sz w:val="24"/>
          <w:szCs w:val="24"/>
        </w:rPr>
      </w:pPr>
      <w:r w:rsidRPr="00BE2FD0">
        <w:rPr>
          <w:rFonts w:ascii="Arial" w:hAnsi="Arial" w:cs="Arial"/>
          <w:sz w:val="24"/>
          <w:szCs w:val="24"/>
        </w:rPr>
        <w:t xml:space="preserve">Precede esta Sala a manifestarse sobre la solicitud que presentó el señor Rubén Dario Monsalve Londoño, en el sentido de que se decrete la </w:t>
      </w:r>
      <w:r w:rsidR="009C19DC" w:rsidRPr="00BE2FD0">
        <w:rPr>
          <w:rFonts w:ascii="Arial" w:hAnsi="Arial" w:cs="Arial"/>
          <w:sz w:val="24"/>
          <w:szCs w:val="24"/>
        </w:rPr>
        <w:t xml:space="preserve">prescripción de la acción penal que se adelanta en </w:t>
      </w:r>
      <w:r w:rsidRPr="00BE2FD0">
        <w:rPr>
          <w:rFonts w:ascii="Arial" w:hAnsi="Arial" w:cs="Arial"/>
          <w:sz w:val="24"/>
          <w:szCs w:val="24"/>
        </w:rPr>
        <w:t>su contra por el delito de concusión</w:t>
      </w:r>
      <w:r w:rsidR="006F2584" w:rsidRPr="00BE2FD0">
        <w:rPr>
          <w:rFonts w:ascii="Arial" w:hAnsi="Arial" w:cs="Arial"/>
          <w:sz w:val="24"/>
          <w:szCs w:val="24"/>
        </w:rPr>
        <w:t>.</w:t>
      </w:r>
    </w:p>
    <w:p w:rsidR="00AD3325" w:rsidRPr="00BE2FD0" w:rsidRDefault="00AD3325" w:rsidP="00EC1A43">
      <w:pPr>
        <w:numPr>
          <w:ilvl w:val="0"/>
          <w:numId w:val="0"/>
        </w:numPr>
        <w:spacing w:line="240" w:lineRule="auto"/>
        <w:jc w:val="both"/>
        <w:rPr>
          <w:rFonts w:ascii="Arial" w:hAnsi="Arial" w:cs="Arial"/>
          <w:sz w:val="24"/>
          <w:szCs w:val="24"/>
        </w:rPr>
      </w:pPr>
    </w:p>
    <w:p w:rsidR="003A5099" w:rsidRPr="00BE2FD0" w:rsidRDefault="003A5099" w:rsidP="003A5099">
      <w:pPr>
        <w:numPr>
          <w:ilvl w:val="0"/>
          <w:numId w:val="0"/>
        </w:numPr>
        <w:spacing w:line="240" w:lineRule="auto"/>
        <w:jc w:val="center"/>
        <w:rPr>
          <w:rFonts w:ascii="Arial" w:hAnsi="Arial" w:cs="Arial"/>
          <w:b/>
          <w:sz w:val="24"/>
          <w:szCs w:val="24"/>
        </w:rPr>
      </w:pPr>
      <w:r w:rsidRPr="00BE2FD0">
        <w:rPr>
          <w:rFonts w:ascii="Arial" w:hAnsi="Arial" w:cs="Arial"/>
          <w:b/>
          <w:sz w:val="24"/>
          <w:szCs w:val="24"/>
        </w:rPr>
        <w:t>2. LA SOLICITUD ELEVADA</w:t>
      </w:r>
    </w:p>
    <w:p w:rsidR="003A5099" w:rsidRPr="00BE2FD0" w:rsidRDefault="003A5099" w:rsidP="003A5099">
      <w:pPr>
        <w:numPr>
          <w:ilvl w:val="0"/>
          <w:numId w:val="0"/>
        </w:numPr>
        <w:spacing w:line="240" w:lineRule="auto"/>
        <w:jc w:val="center"/>
        <w:rPr>
          <w:rFonts w:ascii="Arial" w:hAnsi="Arial" w:cs="Arial"/>
          <w:b/>
          <w:sz w:val="24"/>
          <w:szCs w:val="24"/>
        </w:rPr>
      </w:pPr>
    </w:p>
    <w:p w:rsidR="00AD3325" w:rsidRPr="00BE2FD0" w:rsidRDefault="00AD3325" w:rsidP="00EC1A43">
      <w:pPr>
        <w:numPr>
          <w:ilvl w:val="0"/>
          <w:numId w:val="0"/>
        </w:numPr>
        <w:spacing w:line="240" w:lineRule="auto"/>
        <w:jc w:val="both"/>
        <w:rPr>
          <w:rFonts w:ascii="Arial" w:hAnsi="Arial" w:cs="Arial"/>
          <w:sz w:val="24"/>
          <w:szCs w:val="24"/>
        </w:rPr>
      </w:pPr>
      <w:r w:rsidRPr="00BE2FD0">
        <w:rPr>
          <w:rFonts w:ascii="Arial" w:hAnsi="Arial" w:cs="Arial"/>
          <w:sz w:val="24"/>
          <w:szCs w:val="24"/>
        </w:rPr>
        <w:t>2. El peticionario aduce la</w:t>
      </w:r>
      <w:r w:rsidR="003A5099" w:rsidRPr="00BE2FD0">
        <w:rPr>
          <w:rFonts w:ascii="Arial" w:hAnsi="Arial" w:cs="Arial"/>
          <w:sz w:val="24"/>
          <w:szCs w:val="24"/>
        </w:rPr>
        <w:t>s siguientes razones (sinopsis):</w:t>
      </w:r>
    </w:p>
    <w:p w:rsidR="00AD3325" w:rsidRPr="00BE2FD0" w:rsidRDefault="00AD3325" w:rsidP="00EC1A43">
      <w:pPr>
        <w:numPr>
          <w:ilvl w:val="0"/>
          <w:numId w:val="0"/>
        </w:numPr>
        <w:spacing w:line="240" w:lineRule="auto"/>
        <w:jc w:val="both"/>
        <w:rPr>
          <w:rFonts w:ascii="Arial" w:hAnsi="Arial" w:cs="Arial"/>
          <w:sz w:val="24"/>
          <w:szCs w:val="24"/>
        </w:rPr>
      </w:pPr>
    </w:p>
    <w:p w:rsidR="00EE445C" w:rsidRPr="00BE2FD0" w:rsidRDefault="00EE445C" w:rsidP="00EC1A43">
      <w:pPr>
        <w:pStyle w:val="Prrafodelista"/>
        <w:numPr>
          <w:ilvl w:val="0"/>
          <w:numId w:val="3"/>
        </w:numPr>
        <w:spacing w:line="240" w:lineRule="auto"/>
        <w:jc w:val="both"/>
        <w:rPr>
          <w:rFonts w:ascii="Arial" w:hAnsi="Arial" w:cs="Arial"/>
          <w:sz w:val="24"/>
          <w:szCs w:val="24"/>
        </w:rPr>
      </w:pPr>
      <w:r w:rsidRPr="00BE2FD0">
        <w:rPr>
          <w:rFonts w:ascii="Arial" w:hAnsi="Arial" w:cs="Arial"/>
          <w:sz w:val="24"/>
          <w:szCs w:val="24"/>
        </w:rPr>
        <w:t xml:space="preserve">El </w:t>
      </w:r>
      <w:r w:rsidR="009C19DC" w:rsidRPr="00BE2FD0">
        <w:rPr>
          <w:rFonts w:ascii="Arial" w:hAnsi="Arial" w:cs="Arial"/>
          <w:sz w:val="24"/>
          <w:szCs w:val="24"/>
        </w:rPr>
        <w:t xml:space="preserve">10 de junio de 2008, se realizó audiencia de formulación de imputación ante el juzgado Segundo penal municipal con función de control de garantías, </w:t>
      </w:r>
      <w:r w:rsidRPr="00BE2FD0">
        <w:rPr>
          <w:rFonts w:ascii="Arial" w:hAnsi="Arial" w:cs="Arial"/>
          <w:sz w:val="24"/>
          <w:szCs w:val="24"/>
        </w:rPr>
        <w:t>por el delito antes mencionado.</w:t>
      </w:r>
    </w:p>
    <w:p w:rsidR="00EE445C" w:rsidRPr="00BE2FD0" w:rsidRDefault="00EE445C" w:rsidP="003A5099">
      <w:pPr>
        <w:pStyle w:val="Prrafodelista"/>
        <w:numPr>
          <w:ilvl w:val="0"/>
          <w:numId w:val="3"/>
        </w:numPr>
        <w:spacing w:line="240" w:lineRule="auto"/>
        <w:jc w:val="both"/>
        <w:rPr>
          <w:rFonts w:ascii="Arial" w:hAnsi="Arial" w:cs="Arial"/>
          <w:sz w:val="24"/>
          <w:szCs w:val="24"/>
        </w:rPr>
      </w:pPr>
      <w:r w:rsidRPr="00BE2FD0">
        <w:rPr>
          <w:rFonts w:ascii="Arial" w:hAnsi="Arial" w:cs="Arial"/>
          <w:sz w:val="24"/>
          <w:szCs w:val="24"/>
        </w:rPr>
        <w:t>El 29 de octubre de 2009 el J</w:t>
      </w:r>
      <w:r w:rsidR="009C19DC" w:rsidRPr="00BE2FD0">
        <w:rPr>
          <w:rFonts w:ascii="Arial" w:hAnsi="Arial" w:cs="Arial"/>
          <w:sz w:val="24"/>
          <w:szCs w:val="24"/>
        </w:rPr>
        <w:t>uzgado Primero Penal del Circui</w:t>
      </w:r>
      <w:r w:rsidR="008E4ABD" w:rsidRPr="00BE2FD0">
        <w:rPr>
          <w:rFonts w:ascii="Arial" w:hAnsi="Arial" w:cs="Arial"/>
          <w:sz w:val="24"/>
          <w:szCs w:val="24"/>
        </w:rPr>
        <w:t xml:space="preserve">to </w:t>
      </w:r>
      <w:r w:rsidR="009C19DC" w:rsidRPr="00BE2FD0">
        <w:rPr>
          <w:rFonts w:ascii="Arial" w:hAnsi="Arial" w:cs="Arial"/>
          <w:sz w:val="24"/>
          <w:szCs w:val="24"/>
        </w:rPr>
        <w:t>de Pereira emitió sentencia absolutoria</w:t>
      </w:r>
      <w:r w:rsidRPr="00BE2FD0">
        <w:rPr>
          <w:rFonts w:ascii="Arial" w:hAnsi="Arial" w:cs="Arial"/>
          <w:sz w:val="24"/>
          <w:szCs w:val="24"/>
        </w:rPr>
        <w:t>, que fue recurrida por la FGN.</w:t>
      </w:r>
    </w:p>
    <w:p w:rsidR="00EE445C" w:rsidRPr="00BE2FD0" w:rsidRDefault="00EE445C" w:rsidP="00EC1A43">
      <w:pPr>
        <w:pStyle w:val="Prrafodelista"/>
        <w:numPr>
          <w:ilvl w:val="0"/>
          <w:numId w:val="3"/>
        </w:numPr>
        <w:spacing w:line="240" w:lineRule="auto"/>
        <w:jc w:val="both"/>
        <w:rPr>
          <w:rFonts w:ascii="Arial" w:hAnsi="Arial" w:cs="Arial"/>
          <w:sz w:val="24"/>
          <w:szCs w:val="24"/>
        </w:rPr>
      </w:pPr>
      <w:r w:rsidRPr="00BE2FD0">
        <w:rPr>
          <w:rFonts w:ascii="Arial" w:hAnsi="Arial" w:cs="Arial"/>
          <w:sz w:val="24"/>
          <w:szCs w:val="24"/>
        </w:rPr>
        <w:t xml:space="preserve">Esta Sala </w:t>
      </w:r>
      <w:r w:rsidR="009C19DC" w:rsidRPr="00BE2FD0">
        <w:rPr>
          <w:rFonts w:ascii="Arial" w:hAnsi="Arial" w:cs="Arial"/>
          <w:sz w:val="24"/>
          <w:szCs w:val="24"/>
        </w:rPr>
        <w:t>citó a</w:t>
      </w:r>
      <w:r w:rsidRPr="00BE2FD0">
        <w:rPr>
          <w:rFonts w:ascii="Arial" w:hAnsi="Arial" w:cs="Arial"/>
          <w:sz w:val="24"/>
          <w:szCs w:val="24"/>
        </w:rPr>
        <w:t xml:space="preserve"> audiencia de </w:t>
      </w:r>
      <w:r w:rsidR="009C19DC" w:rsidRPr="00BE2FD0">
        <w:rPr>
          <w:rFonts w:ascii="Arial" w:hAnsi="Arial" w:cs="Arial"/>
          <w:sz w:val="24"/>
          <w:szCs w:val="24"/>
        </w:rPr>
        <w:t xml:space="preserve">lectura de decisión de segunda instancia para el día martes cinco (5) de junio de 2018, diligencia que no se terminó </w:t>
      </w:r>
      <w:r w:rsidRPr="00BE2FD0">
        <w:rPr>
          <w:rFonts w:ascii="Arial" w:hAnsi="Arial" w:cs="Arial"/>
          <w:sz w:val="24"/>
          <w:szCs w:val="24"/>
        </w:rPr>
        <w:t>porque su r</w:t>
      </w:r>
      <w:r w:rsidR="009C19DC" w:rsidRPr="00BE2FD0">
        <w:rPr>
          <w:rFonts w:ascii="Arial" w:hAnsi="Arial" w:cs="Arial"/>
          <w:sz w:val="24"/>
          <w:szCs w:val="24"/>
        </w:rPr>
        <w:t xml:space="preserve">epresentante </w:t>
      </w:r>
      <w:r w:rsidRPr="00BE2FD0">
        <w:rPr>
          <w:rFonts w:ascii="Arial" w:hAnsi="Arial" w:cs="Arial"/>
          <w:sz w:val="24"/>
          <w:szCs w:val="24"/>
        </w:rPr>
        <w:t xml:space="preserve">judicial </w:t>
      </w:r>
      <w:r w:rsidR="009C19DC" w:rsidRPr="00BE2FD0">
        <w:rPr>
          <w:rFonts w:ascii="Arial" w:hAnsi="Arial" w:cs="Arial"/>
          <w:sz w:val="24"/>
          <w:szCs w:val="24"/>
        </w:rPr>
        <w:t xml:space="preserve">solicitó </w:t>
      </w:r>
      <w:r w:rsidR="008E4ABD" w:rsidRPr="00BE2FD0">
        <w:rPr>
          <w:rFonts w:ascii="Arial" w:hAnsi="Arial" w:cs="Arial"/>
          <w:sz w:val="24"/>
          <w:szCs w:val="24"/>
        </w:rPr>
        <w:t xml:space="preserve">que </w:t>
      </w:r>
      <w:r w:rsidR="009C19DC" w:rsidRPr="00BE2FD0">
        <w:rPr>
          <w:rFonts w:ascii="Arial" w:hAnsi="Arial" w:cs="Arial"/>
          <w:sz w:val="24"/>
          <w:szCs w:val="24"/>
        </w:rPr>
        <w:t>se hiciera claridad sobre el recurso que procedía (apelación o casación)</w:t>
      </w:r>
      <w:r w:rsidRPr="00BE2FD0">
        <w:rPr>
          <w:rFonts w:ascii="Arial" w:hAnsi="Arial" w:cs="Arial"/>
          <w:sz w:val="24"/>
          <w:szCs w:val="24"/>
        </w:rPr>
        <w:t>, frente a esa decisión.</w:t>
      </w:r>
    </w:p>
    <w:p w:rsidR="00EE445C" w:rsidRPr="00BE2FD0" w:rsidRDefault="00EE445C" w:rsidP="003A5099">
      <w:pPr>
        <w:pStyle w:val="Prrafodelista"/>
        <w:numPr>
          <w:ilvl w:val="0"/>
          <w:numId w:val="3"/>
        </w:numPr>
        <w:spacing w:line="240" w:lineRule="auto"/>
        <w:jc w:val="both"/>
        <w:rPr>
          <w:rFonts w:ascii="Arial" w:hAnsi="Arial" w:cs="Arial"/>
          <w:sz w:val="24"/>
          <w:szCs w:val="24"/>
        </w:rPr>
      </w:pPr>
      <w:r w:rsidRPr="00BE2FD0">
        <w:rPr>
          <w:rFonts w:ascii="Arial" w:hAnsi="Arial" w:cs="Arial"/>
          <w:sz w:val="24"/>
          <w:szCs w:val="24"/>
        </w:rPr>
        <w:t>El 7 d</w:t>
      </w:r>
      <w:r w:rsidR="009C19DC" w:rsidRPr="00BE2FD0">
        <w:rPr>
          <w:rFonts w:ascii="Arial" w:hAnsi="Arial" w:cs="Arial"/>
          <w:sz w:val="24"/>
          <w:szCs w:val="24"/>
        </w:rPr>
        <w:t>e junio del presente</w:t>
      </w:r>
      <w:r w:rsidR="003A5099" w:rsidRPr="00BE2FD0">
        <w:rPr>
          <w:rFonts w:ascii="Arial" w:hAnsi="Arial" w:cs="Arial"/>
          <w:sz w:val="24"/>
          <w:szCs w:val="24"/>
        </w:rPr>
        <w:t xml:space="preserve"> año esta C</w:t>
      </w:r>
      <w:r w:rsidRPr="00BE2FD0">
        <w:rPr>
          <w:rFonts w:ascii="Arial" w:hAnsi="Arial" w:cs="Arial"/>
          <w:sz w:val="24"/>
          <w:szCs w:val="24"/>
        </w:rPr>
        <w:t xml:space="preserve">orporación </w:t>
      </w:r>
      <w:r w:rsidR="003A5099" w:rsidRPr="00BE2FD0">
        <w:rPr>
          <w:rFonts w:ascii="Arial" w:hAnsi="Arial" w:cs="Arial"/>
          <w:sz w:val="24"/>
          <w:szCs w:val="24"/>
        </w:rPr>
        <w:t>convocó</w:t>
      </w:r>
      <w:r w:rsidR="009C19DC" w:rsidRPr="00BE2FD0">
        <w:rPr>
          <w:rFonts w:ascii="Arial" w:hAnsi="Arial" w:cs="Arial"/>
          <w:sz w:val="24"/>
          <w:szCs w:val="24"/>
        </w:rPr>
        <w:t xml:space="preserve"> nuevamente </w:t>
      </w:r>
      <w:r w:rsidR="003A5099" w:rsidRPr="00BE2FD0">
        <w:rPr>
          <w:rFonts w:ascii="Arial" w:hAnsi="Arial" w:cs="Arial"/>
          <w:sz w:val="24"/>
          <w:szCs w:val="24"/>
        </w:rPr>
        <w:t xml:space="preserve">a audiencia para que </w:t>
      </w:r>
      <w:r w:rsidRPr="00BE2FD0">
        <w:rPr>
          <w:rFonts w:ascii="Arial" w:hAnsi="Arial" w:cs="Arial"/>
          <w:sz w:val="24"/>
          <w:szCs w:val="24"/>
        </w:rPr>
        <w:t xml:space="preserve">se </w:t>
      </w:r>
      <w:r w:rsidR="009C19DC" w:rsidRPr="00BE2FD0">
        <w:rPr>
          <w:rFonts w:ascii="Arial" w:hAnsi="Arial" w:cs="Arial"/>
          <w:sz w:val="24"/>
          <w:szCs w:val="24"/>
        </w:rPr>
        <w:t>resolviera la última parte de la sentencia, que era la correspondiente al recurso procedente</w:t>
      </w:r>
      <w:r w:rsidR="008E4ABD" w:rsidRPr="00BE2FD0">
        <w:rPr>
          <w:rFonts w:ascii="Arial" w:hAnsi="Arial" w:cs="Arial"/>
          <w:sz w:val="24"/>
          <w:szCs w:val="24"/>
        </w:rPr>
        <w:t xml:space="preserve"> contra esa decisión, acto que no se pudo </w:t>
      </w:r>
      <w:r w:rsidR="009C19DC" w:rsidRPr="00BE2FD0">
        <w:rPr>
          <w:rFonts w:ascii="Arial" w:hAnsi="Arial" w:cs="Arial"/>
          <w:sz w:val="24"/>
          <w:szCs w:val="24"/>
        </w:rPr>
        <w:t xml:space="preserve">celebrar por incapacidad médica de </w:t>
      </w:r>
      <w:r w:rsidRPr="00BE2FD0">
        <w:rPr>
          <w:rFonts w:ascii="Arial" w:hAnsi="Arial" w:cs="Arial"/>
          <w:sz w:val="24"/>
          <w:szCs w:val="24"/>
        </w:rPr>
        <w:t xml:space="preserve">su </w:t>
      </w:r>
      <w:r w:rsidR="009C19DC" w:rsidRPr="00BE2FD0">
        <w:rPr>
          <w:rFonts w:ascii="Arial" w:hAnsi="Arial" w:cs="Arial"/>
          <w:sz w:val="24"/>
          <w:szCs w:val="24"/>
        </w:rPr>
        <w:t>apoderado judicial</w:t>
      </w:r>
    </w:p>
    <w:p w:rsidR="00284B7E" w:rsidRPr="00BE2FD0" w:rsidRDefault="00EE445C" w:rsidP="003A5099">
      <w:pPr>
        <w:pStyle w:val="Prrafodelista"/>
        <w:numPr>
          <w:ilvl w:val="0"/>
          <w:numId w:val="3"/>
        </w:numPr>
        <w:spacing w:line="240" w:lineRule="auto"/>
        <w:jc w:val="both"/>
        <w:rPr>
          <w:rFonts w:ascii="Arial" w:hAnsi="Arial" w:cs="Arial"/>
          <w:sz w:val="24"/>
          <w:szCs w:val="24"/>
        </w:rPr>
      </w:pPr>
      <w:r w:rsidRPr="00BE2FD0">
        <w:rPr>
          <w:rFonts w:ascii="Arial" w:hAnsi="Arial" w:cs="Arial"/>
          <w:sz w:val="24"/>
          <w:szCs w:val="24"/>
        </w:rPr>
        <w:t xml:space="preserve">En su caso </w:t>
      </w:r>
      <w:r w:rsidR="00284B7E" w:rsidRPr="00BE2FD0">
        <w:rPr>
          <w:rFonts w:ascii="Arial" w:hAnsi="Arial" w:cs="Arial"/>
          <w:sz w:val="24"/>
          <w:szCs w:val="24"/>
        </w:rPr>
        <w:t xml:space="preserve">y en atención al delito investigado y el incremento de término de prescripción del mismo, el fenómeno extintivo de la acción penal se consumaba al transcurrir 10 años desde la fecha de la formulación de imputación, o sea el </w:t>
      </w:r>
      <w:r w:rsidR="002077EB" w:rsidRPr="00BE2FD0">
        <w:rPr>
          <w:rFonts w:ascii="Arial" w:hAnsi="Arial" w:cs="Arial"/>
          <w:sz w:val="24"/>
          <w:szCs w:val="24"/>
        </w:rPr>
        <w:t>10</w:t>
      </w:r>
      <w:r w:rsidR="00284B7E" w:rsidRPr="00BE2FD0">
        <w:rPr>
          <w:rFonts w:ascii="Arial" w:hAnsi="Arial" w:cs="Arial"/>
          <w:sz w:val="24"/>
          <w:szCs w:val="24"/>
        </w:rPr>
        <w:t xml:space="preserve"> de junio de 2018, según lo dispuesto por el inciso 1º del artículo 84 del CP.</w:t>
      </w:r>
    </w:p>
    <w:p w:rsidR="00F36452" w:rsidRPr="00BE2FD0" w:rsidRDefault="00F36452" w:rsidP="00EC1A43">
      <w:pPr>
        <w:pStyle w:val="Prrafodelista"/>
        <w:numPr>
          <w:ilvl w:val="0"/>
          <w:numId w:val="3"/>
        </w:numPr>
        <w:spacing w:line="240" w:lineRule="auto"/>
        <w:jc w:val="both"/>
        <w:rPr>
          <w:rFonts w:ascii="Arial" w:hAnsi="Arial" w:cs="Arial"/>
          <w:sz w:val="24"/>
          <w:szCs w:val="24"/>
        </w:rPr>
      </w:pPr>
      <w:r w:rsidRPr="00BE2FD0">
        <w:rPr>
          <w:rFonts w:ascii="Arial" w:hAnsi="Arial" w:cs="Arial"/>
          <w:sz w:val="24"/>
          <w:szCs w:val="24"/>
        </w:rPr>
        <w:t>Hizo referencia a diversas decisiones de la  SP de la CSJ,  sobre la declaratoria de prescripción de la acción penal, durante el trámite de casación.</w:t>
      </w:r>
    </w:p>
    <w:p w:rsidR="00765E18" w:rsidRPr="00BE2FD0" w:rsidRDefault="00F36452" w:rsidP="003A5099">
      <w:pPr>
        <w:pStyle w:val="Prrafodelista"/>
        <w:numPr>
          <w:ilvl w:val="0"/>
          <w:numId w:val="3"/>
        </w:numPr>
        <w:spacing w:line="240" w:lineRule="auto"/>
        <w:jc w:val="both"/>
        <w:rPr>
          <w:rFonts w:ascii="Arial" w:hAnsi="Arial" w:cs="Arial"/>
          <w:i/>
          <w:sz w:val="24"/>
          <w:szCs w:val="24"/>
        </w:rPr>
      </w:pPr>
      <w:r w:rsidRPr="00BE2FD0">
        <w:rPr>
          <w:rFonts w:ascii="Arial" w:hAnsi="Arial" w:cs="Arial"/>
          <w:sz w:val="24"/>
          <w:szCs w:val="24"/>
        </w:rPr>
        <w:t xml:space="preserve">En su caso, en virtud </w:t>
      </w:r>
      <w:r w:rsidR="00765E18" w:rsidRPr="00BE2FD0">
        <w:rPr>
          <w:rFonts w:ascii="Arial" w:hAnsi="Arial" w:cs="Arial"/>
          <w:sz w:val="24"/>
          <w:szCs w:val="24"/>
        </w:rPr>
        <w:t>del principio de oralidad, establecido en el artículo 145 de la Ley 906 de 2004,</w:t>
      </w:r>
      <w:r w:rsidR="008E4ABD" w:rsidRPr="00BE2FD0">
        <w:rPr>
          <w:rFonts w:ascii="Arial" w:hAnsi="Arial" w:cs="Arial"/>
          <w:sz w:val="24"/>
          <w:szCs w:val="24"/>
        </w:rPr>
        <w:t xml:space="preserve"> co</w:t>
      </w:r>
      <w:r w:rsidR="003A5099" w:rsidRPr="00BE2FD0">
        <w:rPr>
          <w:rFonts w:ascii="Arial" w:hAnsi="Arial" w:cs="Arial"/>
          <w:sz w:val="24"/>
          <w:szCs w:val="24"/>
        </w:rPr>
        <w:t>nsidera que</w:t>
      </w:r>
      <w:r w:rsidR="00765E18" w:rsidRPr="00BE2FD0">
        <w:rPr>
          <w:rFonts w:ascii="Arial" w:hAnsi="Arial" w:cs="Arial"/>
          <w:sz w:val="24"/>
          <w:szCs w:val="24"/>
        </w:rPr>
        <w:t xml:space="preserve">: </w:t>
      </w:r>
      <w:r w:rsidR="003A5099" w:rsidRPr="00BE2FD0">
        <w:rPr>
          <w:rFonts w:ascii="Arial" w:hAnsi="Arial" w:cs="Arial"/>
          <w:i/>
          <w:sz w:val="24"/>
          <w:szCs w:val="24"/>
        </w:rPr>
        <w:t xml:space="preserve">“... la </w:t>
      </w:r>
      <w:r w:rsidR="00765E18" w:rsidRPr="00BE2FD0">
        <w:rPr>
          <w:rFonts w:ascii="Arial" w:hAnsi="Arial" w:cs="Arial"/>
          <w:i/>
          <w:sz w:val="24"/>
          <w:szCs w:val="24"/>
        </w:rPr>
        <w:t>di</w:t>
      </w:r>
      <w:r w:rsidR="009C19DC" w:rsidRPr="00BE2FD0">
        <w:rPr>
          <w:rFonts w:ascii="Arial" w:hAnsi="Arial" w:cs="Arial"/>
          <w:i/>
          <w:sz w:val="24"/>
          <w:szCs w:val="24"/>
        </w:rPr>
        <w:t>ligencia de lectura de sentencia de segunda instancia, se inició el día martes 5 de junio de 2018, y la misma aun no culmina</w:t>
      </w:r>
      <w:r w:rsidR="003A5099" w:rsidRPr="00BE2FD0">
        <w:rPr>
          <w:rFonts w:ascii="Arial" w:hAnsi="Arial" w:cs="Arial"/>
          <w:i/>
          <w:sz w:val="24"/>
          <w:szCs w:val="24"/>
        </w:rPr>
        <w:t>...es</w:t>
      </w:r>
      <w:r w:rsidR="009C19DC" w:rsidRPr="00BE2FD0">
        <w:rPr>
          <w:rFonts w:ascii="Arial" w:hAnsi="Arial" w:cs="Arial"/>
          <w:i/>
          <w:sz w:val="24"/>
          <w:szCs w:val="24"/>
        </w:rPr>
        <w:t xml:space="preserve"> decir, aun no se ha terminado la actuación lo que indica que la fecha máxima para el procedimiento de sentencia de segunda instancia (11 de junio de 2018) ya se superó</w:t>
      </w:r>
      <w:r w:rsidR="00765E18" w:rsidRPr="00BE2FD0">
        <w:rPr>
          <w:rFonts w:ascii="Arial" w:hAnsi="Arial" w:cs="Arial"/>
          <w:i/>
          <w:sz w:val="24"/>
          <w:szCs w:val="24"/>
        </w:rPr>
        <w:t xml:space="preserve">...” </w:t>
      </w:r>
    </w:p>
    <w:p w:rsidR="00C6345C" w:rsidRPr="00BE2FD0" w:rsidRDefault="00765E18" w:rsidP="00EC1A43">
      <w:pPr>
        <w:pStyle w:val="Prrafodelista"/>
        <w:numPr>
          <w:ilvl w:val="0"/>
          <w:numId w:val="3"/>
        </w:numPr>
        <w:spacing w:line="240" w:lineRule="auto"/>
        <w:jc w:val="both"/>
        <w:rPr>
          <w:rFonts w:ascii="Arial" w:hAnsi="Arial" w:cs="Arial"/>
          <w:sz w:val="24"/>
          <w:szCs w:val="24"/>
        </w:rPr>
      </w:pPr>
      <w:r w:rsidRPr="00BE2FD0">
        <w:rPr>
          <w:rFonts w:ascii="Arial" w:hAnsi="Arial" w:cs="Arial"/>
          <w:sz w:val="24"/>
          <w:szCs w:val="24"/>
        </w:rPr>
        <w:t>P</w:t>
      </w:r>
      <w:r w:rsidR="003A5099" w:rsidRPr="00BE2FD0">
        <w:rPr>
          <w:rFonts w:ascii="Arial" w:hAnsi="Arial" w:cs="Arial"/>
          <w:sz w:val="24"/>
          <w:szCs w:val="24"/>
        </w:rPr>
        <w:t>or no haberse “agotado” la</w:t>
      </w:r>
      <w:r w:rsidR="009C19DC" w:rsidRPr="00BE2FD0">
        <w:rPr>
          <w:rFonts w:ascii="Arial" w:hAnsi="Arial" w:cs="Arial"/>
          <w:sz w:val="24"/>
          <w:szCs w:val="24"/>
        </w:rPr>
        <w:t xml:space="preserve"> audiencia pública de lectura de fallo </w:t>
      </w:r>
      <w:r w:rsidRPr="00BE2FD0">
        <w:rPr>
          <w:rFonts w:ascii="Arial" w:hAnsi="Arial" w:cs="Arial"/>
          <w:sz w:val="24"/>
          <w:szCs w:val="24"/>
        </w:rPr>
        <w:t xml:space="preserve">de </w:t>
      </w:r>
      <w:r w:rsidR="009C19DC" w:rsidRPr="00BE2FD0">
        <w:rPr>
          <w:rFonts w:ascii="Arial" w:hAnsi="Arial" w:cs="Arial"/>
          <w:sz w:val="24"/>
          <w:szCs w:val="24"/>
        </w:rPr>
        <w:t xml:space="preserve">segunda instancia, </w:t>
      </w:r>
      <w:r w:rsidR="002734C5" w:rsidRPr="00BE2FD0">
        <w:rPr>
          <w:rFonts w:ascii="Arial" w:hAnsi="Arial" w:cs="Arial"/>
          <w:sz w:val="24"/>
          <w:szCs w:val="24"/>
        </w:rPr>
        <w:t xml:space="preserve">esta Sala </w:t>
      </w:r>
      <w:r w:rsidR="009C19DC" w:rsidRPr="00BE2FD0">
        <w:rPr>
          <w:rFonts w:ascii="Arial" w:hAnsi="Arial" w:cs="Arial"/>
          <w:sz w:val="24"/>
          <w:szCs w:val="24"/>
        </w:rPr>
        <w:t xml:space="preserve">conserva </w:t>
      </w:r>
      <w:r w:rsidR="002734C5" w:rsidRPr="00BE2FD0">
        <w:rPr>
          <w:rFonts w:ascii="Arial" w:hAnsi="Arial" w:cs="Arial"/>
          <w:sz w:val="24"/>
          <w:szCs w:val="24"/>
        </w:rPr>
        <w:t xml:space="preserve">la </w:t>
      </w:r>
      <w:r w:rsidR="009C19DC" w:rsidRPr="00BE2FD0">
        <w:rPr>
          <w:rFonts w:ascii="Arial" w:hAnsi="Arial" w:cs="Arial"/>
          <w:sz w:val="24"/>
          <w:szCs w:val="24"/>
        </w:rPr>
        <w:t>competencia para</w:t>
      </w:r>
      <w:r w:rsidR="002734C5" w:rsidRPr="00BE2FD0">
        <w:rPr>
          <w:rFonts w:ascii="Arial" w:hAnsi="Arial" w:cs="Arial"/>
          <w:sz w:val="24"/>
          <w:szCs w:val="24"/>
        </w:rPr>
        <w:t xml:space="preserve"> decretar la</w:t>
      </w:r>
      <w:r w:rsidR="009C19DC" w:rsidRPr="00BE2FD0">
        <w:rPr>
          <w:rFonts w:ascii="Arial" w:hAnsi="Arial" w:cs="Arial"/>
          <w:sz w:val="24"/>
          <w:szCs w:val="24"/>
        </w:rPr>
        <w:t xml:space="preserve"> </w:t>
      </w:r>
      <w:r w:rsidR="002734C5" w:rsidRPr="00BE2FD0">
        <w:rPr>
          <w:rFonts w:ascii="Arial" w:hAnsi="Arial" w:cs="Arial"/>
          <w:sz w:val="24"/>
          <w:szCs w:val="24"/>
        </w:rPr>
        <w:t>p</w:t>
      </w:r>
      <w:r w:rsidR="009C19DC" w:rsidRPr="00BE2FD0">
        <w:rPr>
          <w:rFonts w:ascii="Arial" w:hAnsi="Arial" w:cs="Arial"/>
          <w:sz w:val="24"/>
          <w:szCs w:val="24"/>
        </w:rPr>
        <w:t xml:space="preserve">rescripción de la acción penal </w:t>
      </w:r>
      <w:r w:rsidR="002734C5" w:rsidRPr="00BE2FD0">
        <w:rPr>
          <w:rFonts w:ascii="Arial" w:hAnsi="Arial" w:cs="Arial"/>
          <w:sz w:val="24"/>
          <w:szCs w:val="24"/>
        </w:rPr>
        <w:t>en su caso y el ces</w:t>
      </w:r>
      <w:r w:rsidR="003A5099" w:rsidRPr="00BE2FD0">
        <w:rPr>
          <w:rFonts w:ascii="Arial" w:hAnsi="Arial" w:cs="Arial"/>
          <w:sz w:val="24"/>
          <w:szCs w:val="24"/>
        </w:rPr>
        <w:t>e de procedimiento en su favor</w:t>
      </w:r>
      <w:r w:rsidR="002734C5" w:rsidRPr="00BE2FD0">
        <w:rPr>
          <w:rFonts w:ascii="Arial" w:hAnsi="Arial" w:cs="Arial"/>
          <w:sz w:val="24"/>
          <w:szCs w:val="24"/>
        </w:rPr>
        <w:t>, según C</w:t>
      </w:r>
      <w:r w:rsidR="003A5099" w:rsidRPr="00BE2FD0">
        <w:rPr>
          <w:rFonts w:ascii="Arial" w:hAnsi="Arial" w:cs="Arial"/>
          <w:sz w:val="24"/>
          <w:szCs w:val="24"/>
        </w:rPr>
        <w:t>SJ SP del 13 de octubre de 1994</w:t>
      </w:r>
      <w:r w:rsidR="002734C5" w:rsidRPr="00BE2FD0">
        <w:rPr>
          <w:rFonts w:ascii="Arial" w:hAnsi="Arial" w:cs="Arial"/>
          <w:sz w:val="24"/>
          <w:szCs w:val="24"/>
        </w:rPr>
        <w:t xml:space="preserve"> radicado 8690, a efectos de dar prevalencia al derecho al debido proceso establecido en el </w:t>
      </w:r>
      <w:r w:rsidR="003A5099" w:rsidRPr="00BE2FD0">
        <w:rPr>
          <w:rFonts w:ascii="Arial" w:hAnsi="Arial" w:cs="Arial"/>
          <w:sz w:val="24"/>
          <w:szCs w:val="24"/>
        </w:rPr>
        <w:t>artículo</w:t>
      </w:r>
      <w:r w:rsidR="002734C5" w:rsidRPr="00BE2FD0">
        <w:rPr>
          <w:rFonts w:ascii="Arial" w:hAnsi="Arial" w:cs="Arial"/>
          <w:sz w:val="24"/>
          <w:szCs w:val="24"/>
        </w:rPr>
        <w:t xml:space="preserve"> 29 de la CP, ya que </w:t>
      </w:r>
      <w:r w:rsidR="009C19DC" w:rsidRPr="00BE2FD0">
        <w:rPr>
          <w:rFonts w:ascii="Arial" w:hAnsi="Arial" w:cs="Arial"/>
          <w:sz w:val="24"/>
          <w:szCs w:val="24"/>
        </w:rPr>
        <w:t xml:space="preserve">como la audiencia pública </w:t>
      </w:r>
      <w:r w:rsidR="002734C5" w:rsidRPr="00BE2FD0">
        <w:rPr>
          <w:rFonts w:ascii="Arial" w:hAnsi="Arial" w:cs="Arial"/>
          <w:sz w:val="24"/>
          <w:szCs w:val="24"/>
        </w:rPr>
        <w:t>de lectura de fallo se in</w:t>
      </w:r>
      <w:r w:rsidR="009C19DC" w:rsidRPr="00BE2FD0">
        <w:rPr>
          <w:rFonts w:ascii="Arial" w:hAnsi="Arial" w:cs="Arial"/>
          <w:sz w:val="24"/>
          <w:szCs w:val="24"/>
        </w:rPr>
        <w:t xml:space="preserve">staló el 5 de junio de 2018 </w:t>
      </w:r>
      <w:r w:rsidR="00CB4F41" w:rsidRPr="00BE2FD0">
        <w:rPr>
          <w:rFonts w:ascii="Arial" w:hAnsi="Arial" w:cs="Arial"/>
          <w:sz w:val="24"/>
          <w:szCs w:val="24"/>
        </w:rPr>
        <w:t>y en su sentir no se ha agotado</w:t>
      </w:r>
      <w:r w:rsidR="00C6345C" w:rsidRPr="00BE2FD0">
        <w:rPr>
          <w:rFonts w:ascii="Arial" w:hAnsi="Arial" w:cs="Arial"/>
          <w:sz w:val="24"/>
          <w:szCs w:val="24"/>
        </w:rPr>
        <w:t xml:space="preserve">, </w:t>
      </w:r>
      <w:r w:rsidR="00CB4F41" w:rsidRPr="00BE2FD0">
        <w:rPr>
          <w:rFonts w:ascii="Arial" w:hAnsi="Arial" w:cs="Arial"/>
          <w:sz w:val="24"/>
          <w:szCs w:val="24"/>
        </w:rPr>
        <w:t xml:space="preserve">en virtud del recurso de </w:t>
      </w:r>
      <w:r w:rsidR="00CB4F41" w:rsidRPr="00BE2FD0">
        <w:rPr>
          <w:rFonts w:ascii="Arial" w:hAnsi="Arial" w:cs="Arial"/>
          <w:sz w:val="24"/>
          <w:szCs w:val="24"/>
        </w:rPr>
        <w:lastRenderedPageBreak/>
        <w:t>apelación que en esa oportunidad interpuso su defensor, la decisión de segunda ins</w:t>
      </w:r>
      <w:r w:rsidR="003A5099" w:rsidRPr="00BE2FD0">
        <w:rPr>
          <w:rFonts w:ascii="Arial" w:hAnsi="Arial" w:cs="Arial"/>
          <w:sz w:val="24"/>
          <w:szCs w:val="24"/>
        </w:rPr>
        <w:t>tancia solo cobraría ejecutoria</w:t>
      </w:r>
      <w:r w:rsidR="009C19DC" w:rsidRPr="00BE2FD0">
        <w:rPr>
          <w:rFonts w:ascii="Arial" w:hAnsi="Arial" w:cs="Arial"/>
          <w:sz w:val="24"/>
          <w:szCs w:val="24"/>
        </w:rPr>
        <w:t xml:space="preserve"> varios días después de</w:t>
      </w:r>
      <w:r w:rsidR="00CB4F41" w:rsidRPr="00BE2FD0">
        <w:rPr>
          <w:rFonts w:ascii="Arial" w:hAnsi="Arial" w:cs="Arial"/>
          <w:sz w:val="24"/>
          <w:szCs w:val="24"/>
        </w:rPr>
        <w:t xml:space="preserve">l 10 de </w:t>
      </w:r>
      <w:r w:rsidR="009C19DC" w:rsidRPr="00BE2FD0">
        <w:rPr>
          <w:rFonts w:ascii="Arial" w:hAnsi="Arial" w:cs="Arial"/>
          <w:sz w:val="24"/>
          <w:szCs w:val="24"/>
        </w:rPr>
        <w:t xml:space="preserve">junio de 2018, plazo máximo otorgado por la ley  para el proferimiento del </w:t>
      </w:r>
      <w:r w:rsidR="00C6345C" w:rsidRPr="00BE2FD0">
        <w:rPr>
          <w:rFonts w:ascii="Arial" w:hAnsi="Arial" w:cs="Arial"/>
          <w:sz w:val="24"/>
          <w:szCs w:val="24"/>
        </w:rPr>
        <w:t>fallo de segunda instancia.</w:t>
      </w:r>
    </w:p>
    <w:p w:rsidR="00C6345C" w:rsidRPr="00BE2FD0" w:rsidRDefault="00C6345C" w:rsidP="00EC1A43">
      <w:pPr>
        <w:pStyle w:val="Prrafodelista"/>
        <w:spacing w:line="240" w:lineRule="auto"/>
        <w:ind w:left="0"/>
        <w:jc w:val="both"/>
        <w:rPr>
          <w:rFonts w:ascii="Arial" w:hAnsi="Arial" w:cs="Arial"/>
          <w:sz w:val="24"/>
          <w:szCs w:val="24"/>
        </w:rPr>
      </w:pPr>
    </w:p>
    <w:p w:rsidR="00E046D8" w:rsidRPr="00BE2FD0" w:rsidRDefault="00041F4B" w:rsidP="003A5099">
      <w:pPr>
        <w:numPr>
          <w:ilvl w:val="0"/>
          <w:numId w:val="0"/>
        </w:numPr>
        <w:spacing w:line="240" w:lineRule="auto"/>
        <w:jc w:val="center"/>
        <w:rPr>
          <w:rFonts w:ascii="Arial" w:hAnsi="Arial" w:cs="Arial"/>
          <w:b/>
          <w:sz w:val="24"/>
          <w:szCs w:val="24"/>
        </w:rPr>
      </w:pPr>
      <w:r w:rsidRPr="00BE2FD0">
        <w:rPr>
          <w:rFonts w:ascii="Arial" w:hAnsi="Arial" w:cs="Arial"/>
          <w:b/>
          <w:sz w:val="24"/>
          <w:szCs w:val="24"/>
        </w:rPr>
        <w:t>3. CONSIDERACIONES DE LA SALA.</w:t>
      </w:r>
    </w:p>
    <w:p w:rsidR="00E046D8" w:rsidRPr="00BE2FD0" w:rsidRDefault="00E046D8" w:rsidP="00EC1A43">
      <w:pPr>
        <w:numPr>
          <w:ilvl w:val="0"/>
          <w:numId w:val="0"/>
        </w:numPr>
        <w:spacing w:line="240" w:lineRule="auto"/>
        <w:rPr>
          <w:rFonts w:ascii="Arial" w:hAnsi="Arial" w:cs="Arial"/>
          <w:sz w:val="24"/>
          <w:szCs w:val="24"/>
        </w:rPr>
      </w:pPr>
    </w:p>
    <w:p w:rsidR="00113FFE" w:rsidRPr="00BE2FD0" w:rsidRDefault="003A5099" w:rsidP="00EC1A43">
      <w:pPr>
        <w:numPr>
          <w:ilvl w:val="0"/>
          <w:numId w:val="0"/>
        </w:numPr>
        <w:spacing w:line="240" w:lineRule="auto"/>
        <w:jc w:val="both"/>
        <w:rPr>
          <w:rFonts w:ascii="Arial" w:hAnsi="Arial" w:cs="Arial"/>
          <w:sz w:val="24"/>
          <w:szCs w:val="24"/>
        </w:rPr>
      </w:pPr>
      <w:r w:rsidRPr="00BE2FD0">
        <w:rPr>
          <w:rFonts w:ascii="Arial" w:hAnsi="Arial" w:cs="Arial"/>
          <w:sz w:val="24"/>
          <w:szCs w:val="24"/>
        </w:rPr>
        <w:t>3.</w:t>
      </w:r>
      <w:r w:rsidR="00E046D8" w:rsidRPr="00BE2FD0">
        <w:rPr>
          <w:rFonts w:ascii="Arial" w:hAnsi="Arial" w:cs="Arial"/>
          <w:sz w:val="24"/>
          <w:szCs w:val="24"/>
        </w:rPr>
        <w:t xml:space="preserve">1. </w:t>
      </w:r>
      <w:r w:rsidR="00041F4B" w:rsidRPr="00BE2FD0">
        <w:rPr>
          <w:rFonts w:ascii="Arial" w:hAnsi="Arial" w:cs="Arial"/>
          <w:sz w:val="24"/>
          <w:szCs w:val="24"/>
        </w:rPr>
        <w:t xml:space="preserve">Inicialmente hay que manifestar </w:t>
      </w:r>
      <w:r w:rsidR="00E046D8" w:rsidRPr="00BE2FD0">
        <w:rPr>
          <w:rFonts w:ascii="Arial" w:hAnsi="Arial" w:cs="Arial"/>
          <w:sz w:val="24"/>
          <w:szCs w:val="24"/>
        </w:rPr>
        <w:t xml:space="preserve">que en el caso </w:t>
      </w:r>
      <w:r w:rsidR="00041F4B" w:rsidRPr="00BE2FD0">
        <w:rPr>
          <w:rFonts w:ascii="Arial" w:hAnsi="Arial" w:cs="Arial"/>
          <w:sz w:val="24"/>
          <w:szCs w:val="24"/>
        </w:rPr>
        <w:t>del proceso adelantado contra el señor Rubén Darío Monsalve Londoño por el delito</w:t>
      </w:r>
      <w:r w:rsidRPr="00BE2FD0">
        <w:rPr>
          <w:rFonts w:ascii="Arial" w:hAnsi="Arial" w:cs="Arial"/>
          <w:sz w:val="24"/>
          <w:szCs w:val="24"/>
        </w:rPr>
        <w:t xml:space="preserve"> de concusión,</w:t>
      </w:r>
      <w:r w:rsidR="00041F4B" w:rsidRPr="00BE2FD0">
        <w:rPr>
          <w:rFonts w:ascii="Arial" w:hAnsi="Arial" w:cs="Arial"/>
          <w:sz w:val="24"/>
          <w:szCs w:val="24"/>
        </w:rPr>
        <w:t xml:space="preserve"> </w:t>
      </w:r>
      <w:r w:rsidR="00E046D8" w:rsidRPr="00BE2FD0">
        <w:rPr>
          <w:rFonts w:ascii="Arial" w:hAnsi="Arial" w:cs="Arial"/>
          <w:sz w:val="24"/>
          <w:szCs w:val="24"/>
        </w:rPr>
        <w:t xml:space="preserve">la decisión de segunda instancia </w:t>
      </w:r>
      <w:r w:rsidRPr="00BE2FD0">
        <w:rPr>
          <w:rFonts w:ascii="Arial" w:hAnsi="Arial" w:cs="Arial"/>
          <w:sz w:val="24"/>
          <w:szCs w:val="24"/>
        </w:rPr>
        <w:t>que adoptó esta C</w:t>
      </w:r>
      <w:r w:rsidR="00041F4B" w:rsidRPr="00BE2FD0">
        <w:rPr>
          <w:rFonts w:ascii="Arial" w:hAnsi="Arial" w:cs="Arial"/>
          <w:sz w:val="24"/>
          <w:szCs w:val="24"/>
        </w:rPr>
        <w:t>orporación donde se revocó la sentencia de primera instancia que se había dictado en su favor</w:t>
      </w:r>
      <w:r w:rsidR="008E4ABD" w:rsidRPr="00BE2FD0">
        <w:rPr>
          <w:rFonts w:ascii="Arial" w:hAnsi="Arial" w:cs="Arial"/>
          <w:sz w:val="24"/>
          <w:szCs w:val="24"/>
        </w:rPr>
        <w:t xml:space="preserve"> por el delito de concusión, </w:t>
      </w:r>
      <w:r w:rsidR="00041F4B" w:rsidRPr="00BE2FD0">
        <w:rPr>
          <w:rFonts w:ascii="Arial" w:hAnsi="Arial" w:cs="Arial"/>
          <w:sz w:val="24"/>
          <w:szCs w:val="24"/>
          <w:u w:val="single"/>
        </w:rPr>
        <w:t xml:space="preserve">fue </w:t>
      </w:r>
      <w:r w:rsidR="00E046D8" w:rsidRPr="00BE2FD0">
        <w:rPr>
          <w:rFonts w:ascii="Arial" w:hAnsi="Arial" w:cs="Arial"/>
          <w:sz w:val="24"/>
          <w:szCs w:val="24"/>
          <w:u w:val="single"/>
        </w:rPr>
        <w:t>aprob</w:t>
      </w:r>
      <w:r w:rsidRPr="00BE2FD0">
        <w:rPr>
          <w:rFonts w:ascii="Arial" w:hAnsi="Arial" w:cs="Arial"/>
          <w:sz w:val="24"/>
          <w:szCs w:val="24"/>
          <w:u w:val="single"/>
        </w:rPr>
        <w:t>ada</w:t>
      </w:r>
      <w:r w:rsidR="00E046D8" w:rsidRPr="00BE2FD0">
        <w:rPr>
          <w:rFonts w:ascii="Arial" w:hAnsi="Arial" w:cs="Arial"/>
          <w:sz w:val="24"/>
          <w:szCs w:val="24"/>
          <w:u w:val="single"/>
        </w:rPr>
        <w:t xml:space="preserve"> el </w:t>
      </w:r>
      <w:r w:rsidR="00E92379" w:rsidRPr="00BE2FD0">
        <w:rPr>
          <w:rFonts w:ascii="Arial" w:hAnsi="Arial" w:cs="Arial"/>
          <w:sz w:val="24"/>
          <w:szCs w:val="24"/>
          <w:u w:val="single"/>
        </w:rPr>
        <w:t xml:space="preserve">1 de junio del presente año, mediante acta 471, y que la </w:t>
      </w:r>
      <w:r w:rsidR="00E046D8" w:rsidRPr="00BE2FD0">
        <w:rPr>
          <w:rFonts w:ascii="Arial" w:hAnsi="Arial" w:cs="Arial"/>
          <w:sz w:val="24"/>
          <w:szCs w:val="24"/>
          <w:u w:val="single"/>
        </w:rPr>
        <w:t xml:space="preserve">exposición sobre su contenido </w:t>
      </w:r>
      <w:r w:rsidR="00E92379" w:rsidRPr="00BE2FD0">
        <w:rPr>
          <w:rFonts w:ascii="Arial" w:hAnsi="Arial" w:cs="Arial"/>
          <w:sz w:val="24"/>
          <w:szCs w:val="24"/>
          <w:u w:val="single"/>
        </w:rPr>
        <w:t xml:space="preserve">se realizó cuatro (4) días después </w:t>
      </w:r>
      <w:r w:rsidR="00041F4B" w:rsidRPr="00BE2FD0">
        <w:rPr>
          <w:rFonts w:ascii="Arial" w:hAnsi="Arial" w:cs="Arial"/>
          <w:sz w:val="24"/>
          <w:szCs w:val="24"/>
          <w:u w:val="single"/>
        </w:rPr>
        <w:t xml:space="preserve">en audiencia pública que se celebró el </w:t>
      </w:r>
      <w:r w:rsidR="00E92379" w:rsidRPr="00BE2FD0">
        <w:rPr>
          <w:rFonts w:ascii="Arial" w:hAnsi="Arial" w:cs="Arial"/>
          <w:sz w:val="24"/>
          <w:szCs w:val="24"/>
          <w:u w:val="single"/>
        </w:rPr>
        <w:t>5 de junio de 2018</w:t>
      </w:r>
      <w:r w:rsidR="00E92379" w:rsidRPr="00BE2FD0">
        <w:rPr>
          <w:rFonts w:ascii="Arial" w:hAnsi="Arial" w:cs="Arial"/>
          <w:sz w:val="24"/>
          <w:szCs w:val="24"/>
        </w:rPr>
        <w:t>.</w:t>
      </w:r>
    </w:p>
    <w:p w:rsidR="00CB78E6" w:rsidRPr="00BE2FD0" w:rsidRDefault="00CB78E6" w:rsidP="00EC1A43">
      <w:pPr>
        <w:numPr>
          <w:ilvl w:val="0"/>
          <w:numId w:val="0"/>
        </w:numPr>
        <w:spacing w:line="240" w:lineRule="auto"/>
        <w:jc w:val="both"/>
        <w:rPr>
          <w:rFonts w:ascii="Arial" w:hAnsi="Arial" w:cs="Arial"/>
          <w:sz w:val="24"/>
          <w:szCs w:val="24"/>
        </w:rPr>
      </w:pPr>
    </w:p>
    <w:p w:rsidR="00CB78E6" w:rsidRPr="00BE2FD0" w:rsidRDefault="00CB78E6" w:rsidP="00EC1A43">
      <w:pPr>
        <w:numPr>
          <w:ilvl w:val="0"/>
          <w:numId w:val="0"/>
        </w:numPr>
        <w:spacing w:line="240" w:lineRule="auto"/>
        <w:jc w:val="both"/>
        <w:rPr>
          <w:rFonts w:ascii="Arial" w:hAnsi="Arial" w:cs="Arial"/>
          <w:sz w:val="24"/>
          <w:szCs w:val="24"/>
        </w:rPr>
      </w:pPr>
      <w:r w:rsidRPr="00BE2FD0">
        <w:rPr>
          <w:rFonts w:ascii="Arial" w:hAnsi="Arial" w:cs="Arial"/>
          <w:sz w:val="24"/>
          <w:szCs w:val="24"/>
        </w:rPr>
        <w:t>3.2</w:t>
      </w:r>
      <w:r w:rsidR="00265EA8" w:rsidRPr="00BE2FD0">
        <w:rPr>
          <w:rFonts w:ascii="Arial" w:hAnsi="Arial" w:cs="Arial"/>
          <w:sz w:val="24"/>
          <w:szCs w:val="24"/>
        </w:rPr>
        <w:t xml:space="preserve"> </w:t>
      </w:r>
      <w:r w:rsidRPr="00BE2FD0">
        <w:rPr>
          <w:rFonts w:ascii="Arial" w:hAnsi="Arial" w:cs="Arial"/>
          <w:sz w:val="24"/>
          <w:szCs w:val="24"/>
        </w:rPr>
        <w:t xml:space="preserve">Frente </w:t>
      </w:r>
      <w:r w:rsidR="00265EA8" w:rsidRPr="00BE2FD0">
        <w:rPr>
          <w:rFonts w:ascii="Arial" w:hAnsi="Arial" w:cs="Arial"/>
          <w:sz w:val="24"/>
          <w:szCs w:val="24"/>
        </w:rPr>
        <w:t>a la r</w:t>
      </w:r>
      <w:r w:rsidR="00113FFE" w:rsidRPr="00BE2FD0">
        <w:rPr>
          <w:rFonts w:ascii="Arial" w:hAnsi="Arial" w:cs="Arial"/>
          <w:sz w:val="24"/>
          <w:szCs w:val="24"/>
        </w:rPr>
        <w:t xml:space="preserve">espetable </w:t>
      </w:r>
      <w:r w:rsidR="00041F4B" w:rsidRPr="00BE2FD0">
        <w:rPr>
          <w:rFonts w:ascii="Arial" w:hAnsi="Arial" w:cs="Arial"/>
          <w:sz w:val="24"/>
          <w:szCs w:val="24"/>
        </w:rPr>
        <w:t>solicitud del señor Monsalve,</w:t>
      </w:r>
      <w:r w:rsidR="00113FFE" w:rsidRPr="00BE2FD0">
        <w:rPr>
          <w:rFonts w:ascii="Arial" w:hAnsi="Arial" w:cs="Arial"/>
          <w:sz w:val="24"/>
          <w:szCs w:val="24"/>
        </w:rPr>
        <w:t xml:space="preserve"> quien considera que en virtud del recurs</w:t>
      </w:r>
      <w:r w:rsidRPr="00BE2FD0">
        <w:rPr>
          <w:rFonts w:ascii="Arial" w:hAnsi="Arial" w:cs="Arial"/>
          <w:sz w:val="24"/>
          <w:szCs w:val="24"/>
        </w:rPr>
        <w:t xml:space="preserve">o de apelación </w:t>
      </w:r>
      <w:r w:rsidR="00113FFE" w:rsidRPr="00BE2FD0">
        <w:rPr>
          <w:rFonts w:ascii="Arial" w:hAnsi="Arial" w:cs="Arial"/>
          <w:sz w:val="24"/>
          <w:szCs w:val="24"/>
        </w:rPr>
        <w:t xml:space="preserve">que interpuso su apoderado contra la sentencia adoptada por esta Sala, </w:t>
      </w:r>
      <w:r w:rsidR="00265EA8" w:rsidRPr="00BE2FD0">
        <w:rPr>
          <w:rFonts w:ascii="Arial" w:hAnsi="Arial" w:cs="Arial"/>
          <w:sz w:val="24"/>
          <w:szCs w:val="24"/>
        </w:rPr>
        <w:t>se produjo la prescripción de la acción penal en su caso</w:t>
      </w:r>
      <w:r w:rsidR="00041F4B" w:rsidRPr="00BE2FD0">
        <w:rPr>
          <w:rFonts w:ascii="Arial" w:hAnsi="Arial" w:cs="Arial"/>
          <w:sz w:val="24"/>
          <w:szCs w:val="24"/>
        </w:rPr>
        <w:t xml:space="preserve"> al no haber culminado el </w:t>
      </w:r>
      <w:r w:rsidR="00265EA8" w:rsidRPr="00BE2FD0">
        <w:rPr>
          <w:rFonts w:ascii="Arial" w:hAnsi="Arial" w:cs="Arial"/>
          <w:sz w:val="24"/>
          <w:szCs w:val="24"/>
        </w:rPr>
        <w:t>acto de comunicación del fallo recurrido, es necesario manifestar que</w:t>
      </w:r>
      <w:r w:rsidR="00787F2B" w:rsidRPr="00BE2FD0">
        <w:rPr>
          <w:rFonts w:ascii="Arial" w:hAnsi="Arial" w:cs="Arial"/>
          <w:sz w:val="24"/>
          <w:szCs w:val="24"/>
        </w:rPr>
        <w:t xml:space="preserve"> la Sala de Decisión P</w:t>
      </w:r>
      <w:r w:rsidRPr="00BE2FD0">
        <w:rPr>
          <w:rFonts w:ascii="Arial" w:hAnsi="Arial" w:cs="Arial"/>
          <w:sz w:val="24"/>
          <w:szCs w:val="24"/>
        </w:rPr>
        <w:t xml:space="preserve">enal de la CSJ, en decisión del 2 de agosto de 2017, radicado </w:t>
      </w:r>
      <w:r w:rsidR="009472F7" w:rsidRPr="00BE2FD0">
        <w:rPr>
          <w:rFonts w:ascii="Arial" w:hAnsi="Arial" w:cs="Arial"/>
          <w:sz w:val="24"/>
          <w:szCs w:val="24"/>
        </w:rPr>
        <w:t xml:space="preserve">48234, </w:t>
      </w:r>
      <w:r w:rsidR="00787F2B" w:rsidRPr="00BE2FD0">
        <w:rPr>
          <w:rFonts w:ascii="Arial" w:hAnsi="Arial" w:cs="Arial"/>
          <w:sz w:val="24"/>
          <w:szCs w:val="24"/>
        </w:rPr>
        <w:t>expuso lo siguiente:</w:t>
      </w:r>
    </w:p>
    <w:p w:rsidR="00CB78E6" w:rsidRPr="00BE2FD0" w:rsidRDefault="00CB78E6" w:rsidP="00EC1A43">
      <w:pPr>
        <w:numPr>
          <w:ilvl w:val="0"/>
          <w:numId w:val="0"/>
        </w:numPr>
        <w:spacing w:line="240" w:lineRule="auto"/>
        <w:jc w:val="both"/>
        <w:rPr>
          <w:rFonts w:ascii="Arial" w:hAnsi="Arial" w:cs="Arial"/>
          <w:sz w:val="24"/>
          <w:szCs w:val="24"/>
        </w:rPr>
      </w:pPr>
    </w:p>
    <w:p w:rsidR="006651C4" w:rsidRPr="00BE2FD0" w:rsidRDefault="00CB78E6" w:rsidP="00CB78E6">
      <w:pPr>
        <w:numPr>
          <w:ilvl w:val="0"/>
          <w:numId w:val="0"/>
        </w:numPr>
        <w:spacing w:line="240" w:lineRule="auto"/>
        <w:ind w:left="567" w:right="566"/>
        <w:jc w:val="both"/>
        <w:rPr>
          <w:rFonts w:ascii="Arial" w:hAnsi="Arial" w:cs="Arial"/>
          <w:sz w:val="20"/>
          <w:szCs w:val="20"/>
        </w:rPr>
      </w:pPr>
      <w:r w:rsidRPr="00BE2FD0">
        <w:rPr>
          <w:rFonts w:ascii="Arial" w:hAnsi="Arial" w:cs="Arial"/>
          <w:sz w:val="20"/>
          <w:szCs w:val="20"/>
        </w:rPr>
        <w:t>“</w:t>
      </w:r>
      <w:r w:rsidR="006651C4" w:rsidRPr="00BE2FD0">
        <w:rPr>
          <w:rFonts w:ascii="Arial" w:hAnsi="Arial" w:cs="Arial"/>
          <w:sz w:val="20"/>
          <w:szCs w:val="20"/>
        </w:rPr>
        <w:t xml:space="preserve">(...) </w:t>
      </w:r>
    </w:p>
    <w:p w:rsidR="00B81323" w:rsidRPr="00BE2FD0" w:rsidRDefault="00B81323" w:rsidP="00CB78E6">
      <w:pPr>
        <w:numPr>
          <w:ilvl w:val="0"/>
          <w:numId w:val="0"/>
        </w:numPr>
        <w:spacing w:line="240" w:lineRule="auto"/>
        <w:ind w:left="567" w:right="566"/>
        <w:jc w:val="both"/>
        <w:rPr>
          <w:rFonts w:ascii="Arial" w:hAnsi="Arial" w:cs="Arial"/>
          <w:spacing w:val="-3"/>
          <w:sz w:val="20"/>
          <w:szCs w:val="20"/>
        </w:rPr>
      </w:pPr>
    </w:p>
    <w:p w:rsidR="00B81323" w:rsidRPr="00BE2FD0" w:rsidRDefault="00B81323" w:rsidP="00CB78E6">
      <w:pPr>
        <w:numPr>
          <w:ilvl w:val="0"/>
          <w:numId w:val="0"/>
        </w:numPr>
        <w:tabs>
          <w:tab w:val="left" w:pos="1134"/>
        </w:tabs>
        <w:overflowPunct w:val="0"/>
        <w:autoSpaceDE w:val="0"/>
        <w:autoSpaceDN w:val="0"/>
        <w:adjustRightInd w:val="0"/>
        <w:spacing w:after="0" w:line="240" w:lineRule="auto"/>
        <w:ind w:left="567" w:right="566"/>
        <w:jc w:val="both"/>
        <w:textAlignment w:val="baseline"/>
        <w:rPr>
          <w:rFonts w:ascii="Arial" w:hAnsi="Arial" w:cs="Arial"/>
          <w:i/>
          <w:sz w:val="20"/>
          <w:szCs w:val="20"/>
        </w:rPr>
      </w:pPr>
      <w:r w:rsidRPr="00BE2FD0">
        <w:rPr>
          <w:rFonts w:ascii="Arial" w:hAnsi="Arial" w:cs="Arial"/>
          <w:i/>
          <w:sz w:val="20"/>
          <w:szCs w:val="20"/>
        </w:rPr>
        <w:t xml:space="preserve">En los asuntos regidos por la Ley 906 del 2004 –Art. 83- como regla general, el periodo inicial de prescripción, esto es, previo a que se formule la imputación, equivale al máximo previsto para el tipo penal, sin que pueda ser inferior a 5 años, ni superior a 20.  </w:t>
      </w:r>
    </w:p>
    <w:p w:rsidR="00B81323" w:rsidRPr="00BE2FD0" w:rsidRDefault="00B81323" w:rsidP="00CB78E6">
      <w:pPr>
        <w:numPr>
          <w:ilvl w:val="0"/>
          <w:numId w:val="0"/>
        </w:numPr>
        <w:tabs>
          <w:tab w:val="left" w:pos="1134"/>
        </w:tabs>
        <w:spacing w:line="240" w:lineRule="auto"/>
        <w:ind w:left="567" w:right="566"/>
        <w:jc w:val="both"/>
        <w:rPr>
          <w:rFonts w:ascii="Arial" w:hAnsi="Arial" w:cs="Arial"/>
          <w:i/>
          <w:sz w:val="20"/>
          <w:szCs w:val="20"/>
        </w:rPr>
      </w:pPr>
    </w:p>
    <w:p w:rsidR="00B81323" w:rsidRPr="00BE2FD0" w:rsidRDefault="00B81323" w:rsidP="00CB78E6">
      <w:pPr>
        <w:pStyle w:val="Textosinformato"/>
        <w:ind w:left="567" w:right="566"/>
        <w:jc w:val="both"/>
        <w:rPr>
          <w:rFonts w:cs="Arial"/>
          <w:sz w:val="20"/>
          <w:szCs w:val="20"/>
          <w:u w:val="single"/>
        </w:rPr>
      </w:pPr>
      <w:r w:rsidRPr="00BE2FD0">
        <w:rPr>
          <w:rFonts w:cs="Arial"/>
          <w:i/>
          <w:sz w:val="20"/>
          <w:szCs w:val="20"/>
        </w:rPr>
        <w:t xml:space="preserve">Por su parte, el artículo 86 del Código Penal, modificado por el artículo 6º de la Ley 890 del 2004, consagra que ese lapso se interrumpe con la mencionada formulación de imputación y, a partir de ese instante procesal, empieza a correr uno nuevo «por un término igual a la mitad del señalado en el artículo 83 del Código Penal. En este evento no podrá ser inferior a tres (3) años», al tenor de lo descrito en el canon 292 de la Ley 906 del 2004. </w:t>
      </w:r>
      <w:r w:rsidRPr="00BE2FD0">
        <w:rPr>
          <w:rFonts w:cs="Arial"/>
          <w:i/>
          <w:sz w:val="20"/>
          <w:szCs w:val="20"/>
          <w:u w:val="single"/>
        </w:rPr>
        <w:t>En ese orden, principia otro lapso que no puede ser inferior a 3 ni superior a los 10 años, intervalo que se suspende con la emisión de la sentencia de segunda instancia, «el cual comenzará a correr de nuevo sin que pueda ser superior a cinco (5) años». (CSJ SP, 22 mar. 2017, rad.</w:t>
      </w:r>
      <w:r w:rsidRPr="00BE2FD0">
        <w:rPr>
          <w:rFonts w:cs="Arial"/>
          <w:sz w:val="20"/>
          <w:szCs w:val="20"/>
          <w:u w:val="single"/>
        </w:rPr>
        <w:t xml:space="preserve"> 49408).</w:t>
      </w:r>
    </w:p>
    <w:p w:rsidR="00B81323" w:rsidRPr="00BE2FD0" w:rsidRDefault="00B81323" w:rsidP="00CB78E6">
      <w:pPr>
        <w:pStyle w:val="Textosinformato"/>
        <w:ind w:left="567" w:right="566"/>
        <w:jc w:val="both"/>
        <w:rPr>
          <w:rFonts w:cs="Arial"/>
          <w:i/>
          <w:sz w:val="20"/>
          <w:szCs w:val="20"/>
        </w:rPr>
      </w:pPr>
    </w:p>
    <w:p w:rsidR="00B81323" w:rsidRPr="00BE2FD0" w:rsidRDefault="00B81323" w:rsidP="00CB78E6">
      <w:pPr>
        <w:pStyle w:val="Textosinformato"/>
        <w:ind w:left="567" w:right="566"/>
        <w:jc w:val="both"/>
        <w:rPr>
          <w:rFonts w:cs="Arial"/>
          <w:i/>
          <w:sz w:val="20"/>
          <w:szCs w:val="20"/>
          <w:u w:val="single"/>
        </w:rPr>
      </w:pPr>
      <w:r w:rsidRPr="00BE2FD0">
        <w:rPr>
          <w:rFonts w:cs="Arial"/>
          <w:i/>
          <w:sz w:val="20"/>
          <w:szCs w:val="20"/>
          <w:u w:val="single"/>
        </w:rPr>
        <w:t xml:space="preserve">Ahora, en lo que respecta, en concreto, al momento en que jurídicamente se entiende </w:t>
      </w:r>
      <w:r w:rsidRPr="00BE2FD0">
        <w:rPr>
          <w:rFonts w:cs="Arial"/>
          <w:i/>
          <w:iCs/>
          <w:sz w:val="20"/>
          <w:szCs w:val="20"/>
          <w:u w:val="single"/>
        </w:rPr>
        <w:t xml:space="preserve">“proferida” </w:t>
      </w:r>
      <w:r w:rsidRPr="00BE2FD0">
        <w:rPr>
          <w:rFonts w:cs="Arial"/>
          <w:i/>
          <w:sz w:val="20"/>
          <w:szCs w:val="20"/>
          <w:u w:val="single"/>
        </w:rPr>
        <w:t>la decisión de segundo grado por parte del juez plural, la Corte ha precisado, de acuerdo con el inciso tercero del artículo 179 ejusdem, modificado por el artículo 90 de la Ley 1395 de 2010, que el mismo opera con la aprobación del asunto en sala. (CSJ SP, 22 mar. 2017, rad. 49408).</w:t>
      </w:r>
    </w:p>
    <w:p w:rsidR="00B81323" w:rsidRPr="00BE2FD0" w:rsidRDefault="00B81323" w:rsidP="00CB78E6">
      <w:pPr>
        <w:pStyle w:val="Textosinformato"/>
        <w:ind w:left="567" w:right="566"/>
        <w:jc w:val="both"/>
        <w:rPr>
          <w:rFonts w:cs="Arial"/>
          <w:i/>
          <w:sz w:val="20"/>
          <w:szCs w:val="20"/>
        </w:rPr>
      </w:pPr>
    </w:p>
    <w:p w:rsidR="00B81323" w:rsidRPr="00BE2FD0" w:rsidRDefault="00B81323" w:rsidP="00CB78E6">
      <w:pPr>
        <w:pStyle w:val="Textosinformato"/>
        <w:ind w:left="567" w:right="566"/>
        <w:jc w:val="both"/>
        <w:rPr>
          <w:rFonts w:cs="Arial"/>
          <w:i/>
          <w:sz w:val="20"/>
          <w:szCs w:val="20"/>
        </w:rPr>
      </w:pPr>
      <w:r w:rsidRPr="00BE2FD0">
        <w:rPr>
          <w:rFonts w:cs="Arial"/>
          <w:i/>
          <w:sz w:val="20"/>
          <w:szCs w:val="20"/>
        </w:rPr>
        <w:t>Conforme a la norma aludida, luego del registro del proyecto, en cabeza del magistrado ponente, emergen, como consecuencia, dos circunstancias a saber: (i) el estudio y la adopción del pronunciamiento, a través del cual se resuelve el recurso y, posteriormente, (ii) la simple comunicación del mismo mediante su lectura, momentos procesales</w:t>
      </w:r>
      <w:r w:rsidRPr="00BE2FD0">
        <w:rPr>
          <w:rFonts w:cs="Arial"/>
          <w:sz w:val="20"/>
          <w:szCs w:val="20"/>
        </w:rPr>
        <w:t xml:space="preserve"> </w:t>
      </w:r>
      <w:r w:rsidRPr="00BE2FD0">
        <w:rPr>
          <w:rFonts w:cs="Arial"/>
          <w:i/>
          <w:sz w:val="20"/>
          <w:szCs w:val="20"/>
        </w:rPr>
        <w:t xml:space="preserve">heterogéneos que no pueden ser objeto de confusión, como, al parecer, lo hace la actora.   </w:t>
      </w:r>
    </w:p>
    <w:p w:rsidR="00B81323" w:rsidRPr="00BE2FD0" w:rsidRDefault="00B81323" w:rsidP="00CB78E6">
      <w:pPr>
        <w:pStyle w:val="Textosinformato"/>
        <w:ind w:left="567" w:right="566"/>
        <w:jc w:val="both"/>
        <w:rPr>
          <w:rFonts w:cs="Arial"/>
          <w:i/>
          <w:sz w:val="20"/>
          <w:szCs w:val="20"/>
        </w:rPr>
      </w:pPr>
    </w:p>
    <w:p w:rsidR="00B81323" w:rsidRPr="00BE2FD0" w:rsidRDefault="00B81323" w:rsidP="00CB78E6">
      <w:pPr>
        <w:pStyle w:val="Textosinformato"/>
        <w:ind w:left="567" w:right="566"/>
        <w:jc w:val="both"/>
        <w:rPr>
          <w:rFonts w:cs="Arial"/>
          <w:i/>
          <w:sz w:val="20"/>
          <w:szCs w:val="20"/>
        </w:rPr>
      </w:pPr>
      <w:r w:rsidRPr="00BE2FD0">
        <w:rPr>
          <w:rFonts w:cs="Arial"/>
          <w:i/>
          <w:sz w:val="20"/>
          <w:szCs w:val="20"/>
        </w:rPr>
        <w:t xml:space="preserve">Descendiendo al caso, la conducta punible de lesiones personales, según el dictamen de medicina legal, con incapacidad definitiva de 120 días, deformidad física permanente y perturbación funcional del órgano de locomoción de carácter transitorio, tiene prevista una pena de prisión 32 a 126 meses (art. 111, 112, 113, 114 y 117 Ley 599 de 2000) la </w:t>
      </w:r>
      <w:r w:rsidRPr="00BE2FD0">
        <w:rPr>
          <w:rFonts w:cs="Arial"/>
          <w:i/>
          <w:sz w:val="20"/>
          <w:szCs w:val="20"/>
        </w:rPr>
        <w:lastRenderedPageBreak/>
        <w:t>cual, en razón a la modalidad culposa, se disminuye de las cuatro quintas a las tres cuartas partes, lo que corresponde a 6 meses 12 días a 31 meses 15 días.</w:t>
      </w:r>
    </w:p>
    <w:p w:rsidR="00B81323" w:rsidRPr="00BE2FD0" w:rsidRDefault="00B81323" w:rsidP="00CB78E6">
      <w:pPr>
        <w:pStyle w:val="Textosinformato"/>
        <w:ind w:left="567" w:right="566"/>
        <w:jc w:val="both"/>
        <w:rPr>
          <w:rFonts w:cs="Arial"/>
          <w:sz w:val="20"/>
          <w:szCs w:val="20"/>
        </w:rPr>
      </w:pPr>
    </w:p>
    <w:p w:rsidR="00B81323" w:rsidRPr="00BE2FD0" w:rsidRDefault="00B81323" w:rsidP="00CB78E6">
      <w:pPr>
        <w:pStyle w:val="Textosinformato"/>
        <w:ind w:left="567" w:right="566"/>
        <w:jc w:val="both"/>
        <w:rPr>
          <w:rFonts w:cs="Arial"/>
          <w:i/>
          <w:sz w:val="20"/>
          <w:szCs w:val="20"/>
        </w:rPr>
      </w:pPr>
      <w:r w:rsidRPr="00BE2FD0">
        <w:rPr>
          <w:rFonts w:cs="Arial"/>
          <w:i/>
          <w:sz w:val="20"/>
          <w:szCs w:val="20"/>
        </w:rPr>
        <w:t>Por tanto, el término de prescripción contabilizado desde la formulación de imputación para el referido injusto, es de tres (3) años, que corresponde al mínimo prescriptivo, de acuerdo con el artículo 292 de la Ley 906 de 2004.</w:t>
      </w:r>
    </w:p>
    <w:p w:rsidR="00B81323" w:rsidRPr="00BE2FD0" w:rsidRDefault="00B81323" w:rsidP="00CB78E6">
      <w:pPr>
        <w:pStyle w:val="Textosinformato"/>
        <w:ind w:left="567" w:right="566"/>
        <w:jc w:val="both"/>
        <w:rPr>
          <w:rFonts w:cs="Arial"/>
          <w:i/>
          <w:sz w:val="20"/>
          <w:szCs w:val="20"/>
        </w:rPr>
      </w:pPr>
    </w:p>
    <w:p w:rsidR="00CB78E6" w:rsidRPr="00BE2FD0" w:rsidRDefault="00B81323" w:rsidP="00CB78E6">
      <w:pPr>
        <w:numPr>
          <w:ilvl w:val="0"/>
          <w:numId w:val="0"/>
        </w:numPr>
        <w:spacing w:line="240" w:lineRule="auto"/>
        <w:ind w:left="567" w:right="566"/>
        <w:jc w:val="both"/>
        <w:rPr>
          <w:rFonts w:ascii="Arial" w:hAnsi="Arial" w:cs="Arial"/>
          <w:i/>
          <w:sz w:val="20"/>
          <w:szCs w:val="20"/>
          <w:u w:val="single"/>
        </w:rPr>
      </w:pPr>
      <w:r w:rsidRPr="00BE2FD0">
        <w:rPr>
          <w:rFonts w:ascii="Arial" w:hAnsi="Arial" w:cs="Arial"/>
          <w:i/>
          <w:sz w:val="20"/>
          <w:szCs w:val="20"/>
          <w:u w:val="single"/>
        </w:rPr>
        <w:t>En este asunto, se observa que la imputación por el aludido comportamiento se produjo el</w:t>
      </w:r>
      <w:r w:rsidRPr="00BE2FD0">
        <w:rPr>
          <w:rFonts w:ascii="Arial" w:hAnsi="Arial" w:cs="Arial"/>
          <w:i/>
          <w:spacing w:val="-3"/>
          <w:sz w:val="20"/>
          <w:szCs w:val="20"/>
          <w:u w:val="single"/>
        </w:rPr>
        <w:t xml:space="preserve"> 3 de abril de 2013</w:t>
      </w:r>
      <w:r w:rsidRPr="00BE2FD0">
        <w:rPr>
          <w:rFonts w:ascii="Arial" w:hAnsi="Arial" w:cs="Arial"/>
          <w:i/>
          <w:sz w:val="20"/>
          <w:szCs w:val="20"/>
          <w:u w:val="single"/>
        </w:rPr>
        <w:t>, lo que significa que el lapso para que el Estado ejerciera la potestad punitiva se cumplía el 2 de abril de 2016, empero, la apelación se resolvió el 29 de marzo y la lectura el 12 de abril de ese año, de manera que no se produjo la extinción de la acción penal, porque proferida la sentencia se suspendió el término e inició a correr de nuevo sin ser superior éste último a cinco años.</w:t>
      </w:r>
    </w:p>
    <w:p w:rsidR="006651C4" w:rsidRPr="00BE2FD0" w:rsidRDefault="00B81323" w:rsidP="00CB78E6">
      <w:pPr>
        <w:numPr>
          <w:ilvl w:val="0"/>
          <w:numId w:val="0"/>
        </w:numPr>
        <w:spacing w:line="240" w:lineRule="auto"/>
        <w:ind w:left="567" w:right="566"/>
        <w:jc w:val="both"/>
        <w:rPr>
          <w:rFonts w:ascii="Arial" w:hAnsi="Arial" w:cs="Arial"/>
          <w:i/>
          <w:sz w:val="20"/>
          <w:szCs w:val="20"/>
        </w:rPr>
      </w:pPr>
      <w:r w:rsidRPr="00BE2FD0">
        <w:rPr>
          <w:rFonts w:ascii="Arial" w:hAnsi="Arial" w:cs="Arial"/>
          <w:i/>
          <w:sz w:val="20"/>
          <w:szCs w:val="20"/>
        </w:rPr>
        <w:t>De acuerdo a lo expuesto, el cargo no está llamado a prosperar, por lo que corres</w:t>
      </w:r>
      <w:r w:rsidR="00CB78E6" w:rsidRPr="00BE2FD0">
        <w:rPr>
          <w:rFonts w:ascii="Arial" w:hAnsi="Arial" w:cs="Arial"/>
          <w:i/>
          <w:sz w:val="20"/>
          <w:szCs w:val="20"/>
        </w:rPr>
        <w:t>ponde el análisis del secundari</w:t>
      </w:r>
      <w:r w:rsidR="001D0F1B" w:rsidRPr="00BE2FD0">
        <w:rPr>
          <w:rFonts w:ascii="Arial" w:hAnsi="Arial" w:cs="Arial"/>
          <w:i/>
          <w:sz w:val="20"/>
          <w:szCs w:val="20"/>
        </w:rPr>
        <w:t>o</w:t>
      </w:r>
      <w:r w:rsidR="006651C4" w:rsidRPr="00BE2FD0">
        <w:rPr>
          <w:rFonts w:ascii="Arial" w:hAnsi="Arial" w:cs="Arial"/>
          <w:i/>
          <w:sz w:val="20"/>
          <w:szCs w:val="20"/>
        </w:rPr>
        <w:t xml:space="preserve">...” </w:t>
      </w:r>
      <w:r w:rsidR="00787F2B" w:rsidRPr="00BE2FD0">
        <w:rPr>
          <w:rFonts w:ascii="Arial" w:hAnsi="Arial" w:cs="Arial"/>
          <w:sz w:val="20"/>
          <w:szCs w:val="20"/>
        </w:rPr>
        <w:t xml:space="preserve">( subrayas ex texto ) </w:t>
      </w:r>
    </w:p>
    <w:p w:rsidR="00CB78E6" w:rsidRPr="00BE2FD0" w:rsidRDefault="00CB78E6" w:rsidP="00EC1A43">
      <w:pPr>
        <w:numPr>
          <w:ilvl w:val="0"/>
          <w:numId w:val="0"/>
        </w:numPr>
        <w:spacing w:line="240" w:lineRule="auto"/>
        <w:ind w:left="360"/>
        <w:jc w:val="both"/>
        <w:rPr>
          <w:rFonts w:ascii="Arial" w:hAnsi="Arial" w:cs="Arial"/>
          <w:sz w:val="24"/>
          <w:szCs w:val="24"/>
        </w:rPr>
      </w:pPr>
    </w:p>
    <w:p w:rsidR="00F70734" w:rsidRPr="00BE2FD0" w:rsidRDefault="00CB78E6" w:rsidP="00EC1A43">
      <w:pPr>
        <w:numPr>
          <w:ilvl w:val="0"/>
          <w:numId w:val="0"/>
        </w:numPr>
        <w:spacing w:line="240" w:lineRule="auto"/>
        <w:ind w:left="360"/>
        <w:jc w:val="both"/>
        <w:rPr>
          <w:rFonts w:ascii="Arial" w:eastAsia="Times New Roman" w:hAnsi="Arial" w:cs="Arial"/>
          <w:lang w:val="es-CO"/>
        </w:rPr>
      </w:pPr>
      <w:r w:rsidRPr="00BE2FD0">
        <w:rPr>
          <w:rFonts w:ascii="Arial" w:hAnsi="Arial" w:cs="Arial"/>
        </w:rPr>
        <w:t>3.3</w:t>
      </w:r>
      <w:r w:rsidR="007E2F1B" w:rsidRPr="00BE2FD0">
        <w:rPr>
          <w:rFonts w:ascii="Arial" w:hAnsi="Arial" w:cs="Arial"/>
        </w:rPr>
        <w:t xml:space="preserve"> </w:t>
      </w:r>
      <w:r w:rsidR="00265EA8" w:rsidRPr="00BE2FD0">
        <w:rPr>
          <w:rFonts w:ascii="Arial" w:hAnsi="Arial" w:cs="Arial"/>
        </w:rPr>
        <w:t xml:space="preserve">En consecuencia se entiende que </w:t>
      </w:r>
      <w:r w:rsidR="007E2F1B" w:rsidRPr="00BE2FD0">
        <w:rPr>
          <w:rFonts w:ascii="Arial" w:hAnsi="Arial" w:cs="Arial"/>
        </w:rPr>
        <w:t xml:space="preserve">en el caso </w:t>
      </w:r>
      <w:r w:rsidR="007E2F1B" w:rsidRPr="00BE2FD0">
        <w:rPr>
          <w:rFonts w:ascii="Arial" w:hAnsi="Arial" w:cs="Arial"/>
          <w:i/>
        </w:rPr>
        <w:t xml:space="preserve">sub examen </w:t>
      </w:r>
      <w:r w:rsidR="00787F2B" w:rsidRPr="00BE2FD0">
        <w:rPr>
          <w:rFonts w:ascii="Arial" w:hAnsi="Arial" w:cs="Arial"/>
        </w:rPr>
        <w:t xml:space="preserve">la decisión correspondiente a la </w:t>
      </w:r>
      <w:r w:rsidR="008E4ABD" w:rsidRPr="00BE2FD0">
        <w:rPr>
          <w:rFonts w:ascii="Arial" w:hAnsi="Arial" w:cs="Arial"/>
        </w:rPr>
        <w:t xml:space="preserve">declaración de </w:t>
      </w:r>
      <w:r w:rsidR="00787F2B" w:rsidRPr="00BE2FD0">
        <w:rPr>
          <w:rFonts w:ascii="Arial" w:hAnsi="Arial" w:cs="Arial"/>
        </w:rPr>
        <w:t>responsabilidad del señor Monsalve Londoñ</w:t>
      </w:r>
      <w:r w:rsidR="00A427C5" w:rsidRPr="00BE2FD0">
        <w:rPr>
          <w:rFonts w:ascii="Arial" w:hAnsi="Arial" w:cs="Arial"/>
        </w:rPr>
        <w:t xml:space="preserve">o por el delito de concusión, se aprobó y se comunicó antes del 10 de junio de 2018, por lo cual no se </w:t>
      </w:r>
      <w:r w:rsidR="007E2F1B" w:rsidRPr="00BE2FD0">
        <w:rPr>
          <w:rFonts w:ascii="Arial" w:hAnsi="Arial" w:cs="Arial"/>
        </w:rPr>
        <w:t>presenta</w:t>
      </w:r>
      <w:r w:rsidR="00AD47E2" w:rsidRPr="00BE2FD0">
        <w:rPr>
          <w:rFonts w:ascii="Arial" w:hAnsi="Arial" w:cs="Arial"/>
        </w:rPr>
        <w:t xml:space="preserve">ría </w:t>
      </w:r>
      <w:r w:rsidR="007E2F1B" w:rsidRPr="00BE2FD0">
        <w:rPr>
          <w:rFonts w:ascii="Arial" w:hAnsi="Arial" w:cs="Arial"/>
        </w:rPr>
        <w:t xml:space="preserve">la causal de extinción de la acción penal que </w:t>
      </w:r>
      <w:r w:rsidR="002009A3" w:rsidRPr="00BE2FD0">
        <w:rPr>
          <w:rFonts w:ascii="Arial" w:hAnsi="Arial" w:cs="Arial"/>
        </w:rPr>
        <w:t>aduce el peticionari</w:t>
      </w:r>
      <w:r w:rsidR="00AD47E2" w:rsidRPr="00BE2FD0">
        <w:rPr>
          <w:rFonts w:ascii="Arial" w:hAnsi="Arial" w:cs="Arial"/>
        </w:rPr>
        <w:t>o</w:t>
      </w:r>
      <w:r w:rsidR="002009A3" w:rsidRPr="00BE2FD0">
        <w:rPr>
          <w:rFonts w:ascii="Arial" w:hAnsi="Arial" w:cs="Arial"/>
        </w:rPr>
        <w:t>, conforme a l</w:t>
      </w:r>
      <w:r w:rsidR="00F302A9" w:rsidRPr="00BE2FD0">
        <w:rPr>
          <w:rFonts w:ascii="Arial" w:hAnsi="Arial" w:cs="Arial"/>
        </w:rPr>
        <w:t>as decisiones antes citadas</w:t>
      </w:r>
      <w:r w:rsidR="00A427C5" w:rsidRPr="00BE2FD0">
        <w:rPr>
          <w:rFonts w:ascii="Arial" w:hAnsi="Arial" w:cs="Arial"/>
        </w:rPr>
        <w:t xml:space="preserve"> de la Sala Penal de la Corte Suprema de Justicia, </w:t>
      </w:r>
      <w:r w:rsidRPr="00BE2FD0">
        <w:rPr>
          <w:rFonts w:ascii="Arial" w:hAnsi="Arial" w:cs="Arial"/>
        </w:rPr>
        <w:t>que deben ser acatadas por esta</w:t>
      </w:r>
      <w:r w:rsidR="002009A3" w:rsidRPr="00BE2FD0">
        <w:rPr>
          <w:rFonts w:ascii="Arial" w:hAnsi="Arial" w:cs="Arial"/>
        </w:rPr>
        <w:t xml:space="preserve"> Colegiatura, </w:t>
      </w:r>
      <w:r w:rsidR="00F302A9" w:rsidRPr="00BE2FD0">
        <w:rPr>
          <w:rFonts w:ascii="Arial" w:hAnsi="Arial" w:cs="Arial"/>
        </w:rPr>
        <w:t>ya que l</w:t>
      </w:r>
      <w:r w:rsidR="00F70734" w:rsidRPr="00BE2FD0">
        <w:rPr>
          <w:rFonts w:ascii="Arial" w:eastAsia="Times New Roman" w:hAnsi="Arial" w:cs="Arial"/>
          <w:lang w:val="es-CO"/>
        </w:rPr>
        <w:t>as decisiones de los órganos de cierre de cada jurisdicción también constituyen precedente judicial vinculante.</w:t>
      </w:r>
    </w:p>
    <w:p w:rsidR="00F70734" w:rsidRPr="00BE2FD0" w:rsidRDefault="009652DD" w:rsidP="00EC1A43">
      <w:pPr>
        <w:numPr>
          <w:ilvl w:val="0"/>
          <w:numId w:val="0"/>
        </w:numPr>
        <w:spacing w:after="0" w:line="240" w:lineRule="auto"/>
        <w:ind w:left="360"/>
        <w:jc w:val="both"/>
        <w:rPr>
          <w:rFonts w:ascii="Arial" w:eastAsia="Times New Roman" w:hAnsi="Arial" w:cs="Arial"/>
          <w:lang w:val="es-CO"/>
        </w:rPr>
      </w:pPr>
      <w:r w:rsidRPr="00BE2FD0">
        <w:rPr>
          <w:rFonts w:ascii="Arial" w:eastAsia="Times New Roman" w:hAnsi="Arial" w:cs="Arial"/>
          <w:lang w:val="es-CO"/>
        </w:rPr>
        <w:t>3.4</w:t>
      </w:r>
      <w:r w:rsidR="00F70734" w:rsidRPr="00BE2FD0">
        <w:rPr>
          <w:rFonts w:ascii="Arial" w:eastAsia="Times New Roman" w:hAnsi="Arial" w:cs="Arial"/>
          <w:lang w:val="es-CO"/>
        </w:rPr>
        <w:t xml:space="preserve"> Para el efecto se cita lo decidido por la Corte Constitucional en la sentencia C-621 de 2015, MP Jorge Ignacio Pretelt Chaljub donde se dijo lo siguiente:</w:t>
      </w:r>
    </w:p>
    <w:p w:rsidR="00F70734" w:rsidRPr="00BE2FD0" w:rsidRDefault="00F70734" w:rsidP="00EC1A43">
      <w:pPr>
        <w:numPr>
          <w:ilvl w:val="0"/>
          <w:numId w:val="0"/>
        </w:numPr>
        <w:spacing w:after="0" w:line="240" w:lineRule="auto"/>
        <w:ind w:left="360"/>
        <w:jc w:val="both"/>
        <w:rPr>
          <w:rFonts w:ascii="Arial" w:eastAsia="Times New Roman" w:hAnsi="Arial" w:cs="Arial"/>
          <w:sz w:val="24"/>
          <w:szCs w:val="24"/>
          <w:lang w:val="es-CO"/>
        </w:rPr>
      </w:pP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bdr w:val="none" w:sz="0" w:space="0" w:color="auto" w:frame="1"/>
          <w:lang w:val="es-CO"/>
        </w:rPr>
      </w:pPr>
      <w:r w:rsidRPr="00BE2FD0">
        <w:rPr>
          <w:rFonts w:ascii="Arial" w:eastAsia="Times New Roman" w:hAnsi="Arial" w:cs="Arial"/>
          <w:i/>
          <w:sz w:val="20"/>
          <w:szCs w:val="20"/>
          <w:bdr w:val="none" w:sz="0" w:space="0" w:color="auto" w:frame="1"/>
          <w:lang w:val="es-CO"/>
        </w:rPr>
        <w:t>“</w:t>
      </w:r>
      <w:r w:rsidRPr="00BE2FD0">
        <w:rPr>
          <w:rFonts w:ascii="Arial" w:eastAsia="Times New Roman" w:hAnsi="Arial" w:cs="Arial"/>
          <w:i/>
          <w:sz w:val="20"/>
          <w:szCs w:val="20"/>
          <w:lang w:val="es-CO"/>
        </w:rPr>
        <w:t>(…)</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bdr w:val="none" w:sz="0" w:space="0" w:color="auto" w:frame="1"/>
          <w:lang w:val="es-CO"/>
        </w:rPr>
      </w:pP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Pero el precedente judicial no está limitado a la jurisprudencia de la Corte Constitucional, sino que se extiende a las Altas Cortes. Al respecto en la sentencia C-335 de 2008, refiriéndose en general a las decisiones de todos los órganos judiciales de cierre jurisdiccional, reitera el carácter vinculante de la jurisprudencia de los órganos de cierre y, al respecto, afirma:</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Reconocerle fuerza vinculante a la jurisprudencia sentada por la Corte Constitucional, la Corte Suprema de Justicia, el Consejo de Estado y la Sala Disciplinaria del Consejo Superior de la Judicatura, </w:t>
      </w:r>
      <w:r w:rsidRPr="00BE2FD0">
        <w:rPr>
          <w:rFonts w:ascii="Arial" w:eastAsia="Times New Roman" w:hAnsi="Arial" w:cs="Arial"/>
          <w:i/>
          <w:sz w:val="20"/>
          <w:szCs w:val="20"/>
          <w:u w:val="single"/>
          <w:bdr w:val="none" w:sz="0" w:space="0" w:color="auto" w:frame="1"/>
          <w:lang w:val="es-CO"/>
        </w:rPr>
        <w:t>redunda en una mayor coherencia del sistema jurídico colombiano, lo cual no se contradice con imperativos de adaptación a los cambios sociales y económicos.</w:t>
      </w:r>
      <w:r w:rsidRPr="00BE2FD0">
        <w:rPr>
          <w:rFonts w:ascii="Arial" w:eastAsia="Times New Roman" w:hAnsi="Arial" w:cs="Arial"/>
          <w:i/>
          <w:sz w:val="20"/>
          <w:szCs w:val="20"/>
          <w:bdr w:val="none" w:sz="0" w:space="0" w:color="auto" w:frame="1"/>
          <w:lang w:val="es-CO"/>
        </w:rPr>
        <w:t xml:space="preserve"> De igual manera, la vinculatoriedad de los precedentes garantiza de mejor manera la vigencia del derecho a la igualdad ante la ley de los ciudadanos, por cuanto casos semejantes son fallados de igual manera. </w:t>
      </w:r>
      <w:r w:rsidRPr="00BE2FD0">
        <w:rPr>
          <w:rFonts w:ascii="Arial" w:eastAsia="Times New Roman" w:hAnsi="Arial" w:cs="Arial"/>
          <w:i/>
          <w:sz w:val="20"/>
          <w:szCs w:val="20"/>
          <w:u w:val="single"/>
          <w:bdr w:val="none" w:sz="0" w:space="0" w:color="auto" w:frame="1"/>
          <w:lang w:val="es-CO"/>
        </w:rPr>
        <w:t>Así mismo, la sumisión de los jueces ordinarios a los precedentes sentados por las Altas Cortes asegura una mayor seguridad jurídica para el tráfico jurídico entre los particulares.</w:t>
      </w:r>
      <w:r w:rsidRPr="00BE2FD0">
        <w:rPr>
          <w:rFonts w:ascii="Arial" w:eastAsia="Times New Roman" w:hAnsi="Arial" w:cs="Arial"/>
          <w:i/>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 </w:t>
      </w:r>
      <w:r w:rsidRPr="00BE2FD0">
        <w:rPr>
          <w:rFonts w:ascii="Arial" w:eastAsia="Times New Roman" w:hAnsi="Arial" w:cs="Arial"/>
          <w:bCs/>
          <w:i/>
          <w:sz w:val="20"/>
          <w:szCs w:val="20"/>
          <w:bdr w:val="none" w:sz="0" w:space="0" w:color="auto" w:frame="1"/>
          <w:lang w:val="es-CO"/>
        </w:rPr>
        <w:t>3.7.9.</w:t>
      </w:r>
      <w:r w:rsidRPr="00BE2FD0">
        <w:rPr>
          <w:rFonts w:ascii="Arial" w:eastAsia="Times New Roman" w:hAnsi="Arial" w:cs="Arial"/>
          <w:i/>
          <w:sz w:val="20"/>
          <w:szCs w:val="20"/>
          <w:lang w:val="es-CO"/>
        </w:rPr>
        <w:t> </w:t>
      </w:r>
      <w:r w:rsidRPr="00BE2FD0">
        <w:rPr>
          <w:rFonts w:ascii="Arial" w:eastAsia="Times New Roman" w:hAnsi="Arial" w:cs="Arial"/>
          <w:i/>
          <w:sz w:val="20"/>
          <w:szCs w:val="20"/>
          <w:bdr w:val="none" w:sz="0" w:space="0" w:color="auto" w:frame="1"/>
          <w:lang w:val="es-CO"/>
        </w:rPr>
        <w:t>Luego en  la Sentencia C-816 de 2011,  la Corporación sostuvo:</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iCs/>
          <w:sz w:val="20"/>
          <w:szCs w:val="20"/>
          <w:bdr w:val="none" w:sz="0" w:space="0" w:color="auto" w:frame="1"/>
          <w:lang w:val="es-CO"/>
        </w:rPr>
        <w:t>La fuerza vinculante de las decisiones de las denominadas altas cortes surge de su definición constitucional como</w:t>
      </w:r>
      <w:r w:rsidRPr="00BE2FD0">
        <w:rPr>
          <w:rFonts w:ascii="Arial" w:eastAsia="Times New Roman" w:hAnsi="Arial" w:cs="Arial"/>
          <w:i/>
          <w:iCs/>
          <w:sz w:val="20"/>
          <w:szCs w:val="20"/>
          <w:lang w:val="es-CO"/>
        </w:rPr>
        <w:t> </w:t>
      </w:r>
      <w:r w:rsidRPr="00BE2FD0">
        <w:rPr>
          <w:rFonts w:ascii="Arial" w:eastAsia="Times New Roman" w:hAnsi="Arial" w:cs="Arial"/>
          <w:bCs/>
          <w:i/>
          <w:iCs/>
          <w:sz w:val="20"/>
          <w:szCs w:val="20"/>
          <w:bdr w:val="none" w:sz="0" w:space="0" w:color="auto" w:frame="1"/>
          <w:lang w:val="es-CO"/>
        </w:rPr>
        <w:t>órganos jurisdiccionales de cierre, condición que les impone el deber de unificación jurisprudencial en sus respectivas jurisdicciones</w:t>
      </w:r>
      <w:r w:rsidRPr="00BE2FD0">
        <w:rPr>
          <w:rFonts w:ascii="Arial" w:eastAsia="Times New Roman" w:hAnsi="Arial" w:cs="Arial"/>
          <w:i/>
          <w:iCs/>
          <w:sz w:val="20"/>
          <w:szCs w:val="20"/>
          <w:bdr w:val="none" w:sz="0" w:space="0" w:color="auto" w:frame="1"/>
          <w:lang w:val="es-CO"/>
        </w:rPr>
        <w:t>. El mandato de unificación jurisprudencial, únicamente dirigido a las cortes jurisdiccionales de cierre, se erige en una orden específica del Constituyente para brindar cierta uniformidad a la interpretación y aplicación judicial del derecho en desarrollo del deber de igualdad de trato debido a las personas, mediante la fuerza vinculante de sus decisiones judiciales superiores.</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bCs/>
          <w:i/>
          <w:sz w:val="20"/>
          <w:szCs w:val="20"/>
          <w:bdr w:val="none" w:sz="0" w:space="0" w:color="auto" w:frame="1"/>
          <w:lang w:val="es-CO"/>
        </w:rPr>
        <w:t>3.7.10.</w:t>
      </w:r>
      <w:r w:rsidRPr="00BE2FD0">
        <w:rPr>
          <w:rFonts w:ascii="Arial" w:eastAsia="Times New Roman" w:hAnsi="Arial" w:cs="Arial"/>
          <w:i/>
          <w:sz w:val="20"/>
          <w:szCs w:val="20"/>
          <w:lang w:val="es-CO"/>
        </w:rPr>
        <w:t> </w:t>
      </w:r>
      <w:r w:rsidRPr="00BE2FD0">
        <w:rPr>
          <w:rFonts w:ascii="Arial" w:eastAsia="Times New Roman" w:hAnsi="Arial" w:cs="Arial"/>
          <w:i/>
          <w:sz w:val="20"/>
          <w:szCs w:val="20"/>
          <w:bdr w:val="none" w:sz="0" w:space="0" w:color="auto" w:frame="1"/>
          <w:lang w:val="es-CO"/>
        </w:rPr>
        <w:t>En una reciente decisión la Corte, en Sentencia de Unificación, se refirió con toda claridad a la importancia del precedente de las Altas Cortes, al pronunciarse sobre la causal de nulidad de sentencias vía acción de tutela por desconocimiento del precedente. Al respecto la Corte reiteró:</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iCs/>
          <w:sz w:val="20"/>
          <w:szCs w:val="20"/>
          <w:bdr w:val="none" w:sz="0" w:space="0" w:color="auto" w:frame="1"/>
          <w:lang w:val="es-CO"/>
        </w:rPr>
        <w:t xml:space="preserve">Ahora bien, como se explicó líneas atrás, cuando el precedente emana de los altos tribunales de justicia en el país (Corte Constitucional, Corte Suprema de Justicia y Consejo de Estado), adquiere un carácter ordenador y unificador que busca realizar los </w:t>
      </w:r>
      <w:r w:rsidRPr="00BE2FD0">
        <w:rPr>
          <w:rFonts w:ascii="Arial" w:eastAsia="Times New Roman" w:hAnsi="Arial" w:cs="Arial"/>
          <w:i/>
          <w:iCs/>
          <w:sz w:val="20"/>
          <w:szCs w:val="20"/>
          <w:bdr w:val="none" w:sz="0" w:space="0" w:color="auto" w:frame="1"/>
          <w:lang w:val="es-CO"/>
        </w:rPr>
        <w:lastRenderedPageBreak/>
        <w:t>principios de primacía de la Constitución, igualdad, confianza, certeza del derecho y debido proceso. Adicionalmente, se considera indispensable como técnica judicial para mantener la coherencia del ordenamiento.</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iCs/>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iCs/>
          <w:sz w:val="20"/>
          <w:szCs w:val="20"/>
          <w:bdr w:val="none" w:sz="0" w:space="0" w:color="auto" w:frame="1"/>
          <w:lang w:val="es-CO"/>
        </w:rPr>
        <w:t xml:space="preserve">En la práctica jurídica actual, las instancias de unificación de jurisprudencia son ineludibles, debido a que el derecho es dado a los operadores jurídicos a través de normas y reglas jurídicas que no tiene contenidos semánticos únicos. Por tanto, el derecho es altamente susceptible de traer consigo ambigüedades o vacíos que pueden generar diversas interpretaciones o significados que incluso, en ocasiones deriva de la propia ambigüedad del lenguaje. </w:t>
      </w:r>
      <w:r w:rsidRPr="00BE2FD0">
        <w:rPr>
          <w:rFonts w:ascii="Arial" w:eastAsia="Times New Roman" w:hAnsi="Arial" w:cs="Arial"/>
          <w:i/>
          <w:iCs/>
          <w:sz w:val="20"/>
          <w:szCs w:val="20"/>
          <w:u w:val="single"/>
          <w:bdr w:val="none" w:sz="0" w:space="0" w:color="auto" w:frame="1"/>
          <w:lang w:val="es-CO"/>
        </w:rPr>
        <w:t>Eso genera la necesidad de que, en primer lugar, sea el juez el que fije el alcance de éste en cada caso concreto y, en segundo lugar, de que haya órganos que permitan disciplinar esa práctica jurídica en pro de la igualdad</w:t>
      </w:r>
      <w:r w:rsidRPr="00BE2FD0">
        <w:rPr>
          <w:rFonts w:ascii="Arial" w:eastAsia="Times New Roman" w:hAnsi="Arial" w:cs="Arial"/>
          <w:i/>
          <w:sz w:val="20"/>
          <w:szCs w:val="20"/>
          <w:u w:val="single"/>
          <w:bdr w:val="none" w:sz="0" w:space="0" w:color="auto" w:frame="1"/>
          <w:lang w:val="es-CO"/>
        </w:rPr>
        <w:t>.</w:t>
      </w:r>
      <w:r w:rsidRPr="00BE2FD0">
        <w:rPr>
          <w:rFonts w:ascii="Arial" w:eastAsia="Times New Roman" w:hAnsi="Arial" w:cs="Arial"/>
          <w:i/>
          <w:sz w:val="20"/>
          <w:szCs w:val="20"/>
          <w:lang w:val="es-CO"/>
        </w:rPr>
        <w:t xml:space="preserve">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bdr w:val="none" w:sz="0" w:space="0" w:color="auto" w:frame="1"/>
          <w:lang w:val="es-CO"/>
        </w:rPr>
        <w:t> </w:t>
      </w: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CO"/>
        </w:rPr>
      </w:pPr>
      <w:r w:rsidRPr="00BE2FD0">
        <w:rPr>
          <w:rFonts w:ascii="Arial" w:eastAsia="Times New Roman" w:hAnsi="Arial" w:cs="Arial"/>
          <w:bCs/>
          <w:i/>
          <w:sz w:val="20"/>
          <w:szCs w:val="20"/>
          <w:bdr w:val="none" w:sz="0" w:space="0" w:color="auto" w:frame="1"/>
          <w:lang w:val="es-CO"/>
        </w:rPr>
        <w:t>3.7.11.</w:t>
      </w:r>
      <w:r w:rsidRPr="00BE2FD0">
        <w:rPr>
          <w:rFonts w:ascii="Arial" w:eastAsia="Times New Roman" w:hAnsi="Arial" w:cs="Arial"/>
          <w:i/>
          <w:sz w:val="20"/>
          <w:szCs w:val="20"/>
          <w:lang w:val="es-CO"/>
        </w:rPr>
        <w:t> </w:t>
      </w:r>
      <w:r w:rsidRPr="00BE2FD0">
        <w:rPr>
          <w:rFonts w:ascii="Arial" w:eastAsia="Times New Roman" w:hAnsi="Arial" w:cs="Arial"/>
          <w:i/>
          <w:sz w:val="20"/>
          <w:szCs w:val="20"/>
          <w:bdr w:val="none" w:sz="0" w:space="0" w:color="auto" w:frame="1"/>
          <w:lang w:val="es-CO"/>
        </w:rPr>
        <w:t>Como bien lo ha sostenido la Corte,</w:t>
      </w:r>
      <w:r w:rsidRPr="00BE2FD0">
        <w:rPr>
          <w:rFonts w:ascii="Arial" w:eastAsia="Times New Roman" w:hAnsi="Arial" w:cs="Arial"/>
          <w:i/>
          <w:sz w:val="20"/>
          <w:szCs w:val="20"/>
          <w:lang w:val="es-CO"/>
        </w:rPr>
        <w:t> </w:t>
      </w:r>
      <w:r w:rsidRPr="00BE2FD0">
        <w:rPr>
          <w:rFonts w:ascii="Arial" w:eastAsia="Times New Roman" w:hAnsi="Arial" w:cs="Arial"/>
          <w:i/>
          <w:sz w:val="20"/>
          <w:szCs w:val="20"/>
          <w:bdr w:val="none" w:sz="0" w:space="0" w:color="auto" w:frame="1"/>
          <w:lang w:val="es-CO"/>
        </w:rPr>
        <w:t xml:space="preserve">la fuerza normativa de la doctrina dictada por la Corte Suprema, el Consejo de Estado, el Consejo Superior de la Judicatura -sala disciplinaria- y la Corte Constitucional, como órganos de cierre de sus jurisdicciones, proviene fundamentalmente: (i) de la obligación de los jueces de aplicar la igualdad frente a la ley y de brindar igualdad de trato en cuanto autoridades que son; </w:t>
      </w:r>
      <w:r w:rsidRPr="00BE2FD0">
        <w:rPr>
          <w:rFonts w:ascii="Arial" w:eastAsia="Times New Roman" w:hAnsi="Arial" w:cs="Arial"/>
          <w:i/>
          <w:sz w:val="20"/>
          <w:szCs w:val="20"/>
          <w:u w:val="single"/>
          <w:bdr w:val="none" w:sz="0" w:space="0" w:color="auto" w:frame="1"/>
          <w:lang w:val="es-CO"/>
        </w:rPr>
        <w:t>(ii) de la potestad otorgada constitucionalmente a las altas corporaciones, como órganos de cierre en sus respectivas jurisdicciones y el cometido de unificación jurisprudencial en el ámbito correspondiente de actuación;</w:t>
      </w:r>
      <w:r w:rsidRPr="00BE2FD0">
        <w:rPr>
          <w:rFonts w:ascii="Arial" w:eastAsia="Times New Roman" w:hAnsi="Arial" w:cs="Arial"/>
          <w:i/>
          <w:sz w:val="20"/>
          <w:szCs w:val="20"/>
          <w:bdr w:val="none" w:sz="0" w:space="0" w:color="auto" w:frame="1"/>
          <w:lang w:val="es-CO"/>
        </w:rPr>
        <w:t xml:space="preserve"> (iii) del principio de la buena fe, entendida como confianza legítima en la conducta de las autoridades del Estado; (iv) de la necesidad de seguridad jurídica del ciudadano respecto de la protección de sus derechos, entendida como la predictibilidad razonable de las decisiones judiciales en la resolución de conflictos, derivada del principio de igualdad ante la ley como de la confianza legítima en la autoridad judicial. </w:t>
      </w:r>
      <w:r w:rsidRPr="00BE2FD0">
        <w:rPr>
          <w:rFonts w:ascii="Arial" w:eastAsia="Times New Roman" w:hAnsi="Arial" w:cs="Arial"/>
          <w:sz w:val="20"/>
          <w:szCs w:val="20"/>
          <w:bdr w:val="none" w:sz="0" w:space="0" w:color="auto" w:frame="1"/>
          <w:lang w:val="es-CO"/>
        </w:rPr>
        <w:t>(Subrayas fuera del texto original).</w:t>
      </w: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CO"/>
        </w:rPr>
      </w:pPr>
    </w:p>
    <w:p w:rsidR="00F70734" w:rsidRPr="00BE2FD0" w:rsidRDefault="009652DD" w:rsidP="00EC1A43">
      <w:pPr>
        <w:numPr>
          <w:ilvl w:val="0"/>
          <w:numId w:val="0"/>
        </w:numPr>
        <w:spacing w:after="0" w:line="240" w:lineRule="auto"/>
        <w:ind w:left="360"/>
        <w:jc w:val="both"/>
        <w:rPr>
          <w:rFonts w:ascii="Arial" w:eastAsia="Times New Roman" w:hAnsi="Arial" w:cs="Arial"/>
          <w:sz w:val="24"/>
          <w:szCs w:val="24"/>
          <w:lang w:val="es-CO"/>
        </w:rPr>
      </w:pPr>
      <w:r w:rsidRPr="00BE2FD0">
        <w:rPr>
          <w:rFonts w:ascii="Arial" w:eastAsia="Times New Roman" w:hAnsi="Arial" w:cs="Arial"/>
          <w:sz w:val="24"/>
          <w:szCs w:val="24"/>
          <w:lang w:val="es-CO"/>
        </w:rPr>
        <w:t>3.5</w:t>
      </w:r>
      <w:r w:rsidR="00F70734" w:rsidRPr="00BE2FD0">
        <w:rPr>
          <w:rFonts w:ascii="Arial" w:eastAsia="Times New Roman" w:hAnsi="Arial" w:cs="Arial"/>
          <w:sz w:val="24"/>
          <w:szCs w:val="24"/>
          <w:lang w:val="es-CO"/>
        </w:rPr>
        <w:t xml:space="preserve"> En atención al pronunciamiento antes citado de la Corte Constitucional, esta Sala </w:t>
      </w:r>
      <w:r w:rsidR="00F302A9" w:rsidRPr="00BE2FD0">
        <w:rPr>
          <w:rFonts w:ascii="Arial" w:eastAsia="Times New Roman" w:hAnsi="Arial" w:cs="Arial"/>
          <w:sz w:val="24"/>
          <w:szCs w:val="24"/>
          <w:lang w:val="es-CO"/>
        </w:rPr>
        <w:t xml:space="preserve">igualmente </w:t>
      </w:r>
      <w:r w:rsidR="00276131" w:rsidRPr="00BE2FD0">
        <w:rPr>
          <w:rFonts w:ascii="Arial" w:eastAsia="Times New Roman" w:hAnsi="Arial" w:cs="Arial"/>
          <w:sz w:val="24"/>
          <w:szCs w:val="24"/>
          <w:lang w:val="es-CO"/>
        </w:rPr>
        <w:t xml:space="preserve">ha acogido en diversos pronunciamientos el </w:t>
      </w:r>
      <w:r w:rsidR="00F70734" w:rsidRPr="00BE2FD0">
        <w:rPr>
          <w:rFonts w:ascii="Arial" w:eastAsia="Times New Roman" w:hAnsi="Arial" w:cs="Arial"/>
          <w:sz w:val="24"/>
          <w:szCs w:val="24"/>
          <w:lang w:val="es-CO"/>
        </w:rPr>
        <w:t xml:space="preserve">precedente CSJ SP del 23 de octubre de 2014, radicado </w:t>
      </w:r>
      <w:smartTag w:uri="urn:schemas-microsoft-com:office:smarttags" w:element="metricconverter">
        <w:smartTagPr>
          <w:attr w:name="ProductID" w:val="39538 M"/>
        </w:smartTagPr>
        <w:r w:rsidR="00F70734" w:rsidRPr="00BE2FD0">
          <w:rPr>
            <w:rFonts w:ascii="Arial" w:eastAsia="Times New Roman" w:hAnsi="Arial" w:cs="Arial"/>
            <w:sz w:val="24"/>
            <w:szCs w:val="24"/>
            <w:lang w:val="es-CO"/>
          </w:rPr>
          <w:t>39538 M</w:t>
        </w:r>
      </w:smartTag>
      <w:r w:rsidR="00F70734" w:rsidRPr="00BE2FD0">
        <w:rPr>
          <w:rFonts w:ascii="Arial" w:eastAsia="Times New Roman" w:hAnsi="Arial" w:cs="Arial"/>
          <w:sz w:val="24"/>
          <w:szCs w:val="24"/>
          <w:lang w:val="es-CO"/>
        </w:rPr>
        <w:t>.P. Eugenio Fernández Carlier, donde se manifestó lo siguiente:</w:t>
      </w:r>
    </w:p>
    <w:p w:rsidR="00F70734" w:rsidRPr="00BE2FD0" w:rsidRDefault="00F70734" w:rsidP="00EC1A43">
      <w:pPr>
        <w:numPr>
          <w:ilvl w:val="0"/>
          <w:numId w:val="0"/>
        </w:numPr>
        <w:spacing w:after="0" w:line="240" w:lineRule="auto"/>
        <w:ind w:left="360"/>
        <w:jc w:val="both"/>
        <w:rPr>
          <w:rFonts w:ascii="Arial" w:eastAsia="Times New Roman" w:hAnsi="Arial" w:cs="Arial"/>
          <w:sz w:val="24"/>
          <w:szCs w:val="24"/>
          <w:lang w:val="es-CO"/>
        </w:rPr>
      </w:pP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rPr>
      </w:pPr>
      <w:r w:rsidRPr="00BE2FD0">
        <w:rPr>
          <w:rFonts w:ascii="Arial" w:eastAsia="Times New Roman" w:hAnsi="Arial" w:cs="Arial"/>
          <w:i/>
          <w:sz w:val="20"/>
          <w:szCs w:val="20"/>
          <w:lang w:val="es-CO"/>
        </w:rPr>
        <w:t xml:space="preserve">“(…) </w:t>
      </w: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MX" w:eastAsia="es-MX"/>
        </w:rPr>
      </w:pP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MX" w:eastAsia="es-MX"/>
        </w:rPr>
      </w:pPr>
      <w:r w:rsidRPr="00BE2FD0">
        <w:rPr>
          <w:rFonts w:ascii="Arial" w:eastAsia="Times New Roman" w:hAnsi="Arial" w:cs="Arial"/>
          <w:i/>
          <w:sz w:val="20"/>
          <w:szCs w:val="20"/>
          <w:lang w:val="es-MX" w:eastAsia="es-MX"/>
        </w:rPr>
        <w:t xml:space="preserve"> “...para proteger la dignidad y la majestad de la justicia, para aislarla de toda clase de presiones indebidas se ha reconocido autonomía e independencia en el </w:t>
      </w:r>
      <w:r w:rsidRPr="00BE2FD0">
        <w:rPr>
          <w:rFonts w:ascii="Arial" w:eastAsia="Times New Roman" w:hAnsi="Arial" w:cs="Arial"/>
          <w:i/>
          <w:sz w:val="20"/>
          <w:szCs w:val="20"/>
          <w:lang w:val="es-CO"/>
        </w:rPr>
        <w:t>«</w:t>
      </w:r>
      <w:r w:rsidRPr="00BE2FD0">
        <w:rPr>
          <w:rFonts w:ascii="Arial" w:eastAsia="Times New Roman" w:hAnsi="Arial" w:cs="Arial"/>
          <w:i/>
          <w:sz w:val="20"/>
          <w:szCs w:val="20"/>
          <w:lang w:val="es-MX" w:eastAsia="es-MX"/>
        </w:rPr>
        <w:t>ejercicio de su función constitucional y legal de administrar justicia</w:t>
      </w:r>
      <w:r w:rsidRPr="00BE2FD0">
        <w:rPr>
          <w:rFonts w:ascii="Arial" w:eastAsia="Times New Roman" w:hAnsi="Arial" w:cs="Arial"/>
          <w:i/>
          <w:sz w:val="20"/>
          <w:szCs w:val="20"/>
          <w:lang w:val="es-CO"/>
        </w:rPr>
        <w:t>»</w:t>
      </w:r>
      <w:r w:rsidRPr="00BE2FD0">
        <w:rPr>
          <w:rFonts w:ascii="Arial" w:eastAsia="Times New Roman" w:hAnsi="Arial" w:cs="Arial"/>
          <w:i/>
          <w:sz w:val="20"/>
          <w:szCs w:val="20"/>
          <w:lang w:val="es-MX" w:eastAsia="es-MX"/>
        </w:rPr>
        <w:t xml:space="preserve"> (artículos 5 de la Ley Estatutaria de Administración de Justicia y 228 de la Constitución Política.). </w:t>
      </w: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MX" w:eastAsia="es-MX"/>
        </w:rPr>
      </w:pP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MX" w:eastAsia="es-MX"/>
        </w:rPr>
      </w:pPr>
      <w:r w:rsidRPr="00BE2FD0">
        <w:rPr>
          <w:rFonts w:ascii="Arial" w:eastAsia="Times New Roman" w:hAnsi="Arial" w:cs="Arial"/>
          <w:sz w:val="20"/>
          <w:szCs w:val="20"/>
          <w:lang w:val="es-MX" w:eastAsia="es-MX"/>
        </w:rPr>
        <w:t>(...)</w:t>
      </w: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MX" w:eastAsia="es-MX"/>
        </w:rPr>
      </w:pPr>
    </w:p>
    <w:p w:rsidR="00F70734" w:rsidRPr="00BE2FD0" w:rsidRDefault="00F70734" w:rsidP="009652DD">
      <w:pPr>
        <w:numPr>
          <w:ilvl w:val="0"/>
          <w:numId w:val="0"/>
        </w:numPr>
        <w:spacing w:after="0" w:line="240" w:lineRule="auto"/>
        <w:ind w:left="567" w:right="616"/>
        <w:jc w:val="both"/>
        <w:rPr>
          <w:rFonts w:ascii="Arial" w:eastAsia="Times New Roman" w:hAnsi="Arial" w:cs="Arial"/>
          <w:i/>
          <w:iCs/>
          <w:spacing w:val="-3"/>
          <w:sz w:val="20"/>
          <w:szCs w:val="20"/>
          <w:lang w:val="es-CO" w:eastAsia="es-MX"/>
        </w:rPr>
      </w:pPr>
      <w:r w:rsidRPr="00BE2FD0">
        <w:rPr>
          <w:rFonts w:ascii="Arial" w:eastAsia="Times New Roman" w:hAnsi="Arial" w:cs="Arial"/>
          <w:i/>
          <w:iCs/>
          <w:spacing w:val="-3"/>
          <w:sz w:val="20"/>
          <w:szCs w:val="20"/>
          <w:lang w:val="es-CO" w:eastAsia="es-MX"/>
        </w:rPr>
        <w:t xml:space="preserve">La autonomía y la independencia desde una perspectiva funcional </w:t>
      </w:r>
      <w:r w:rsidRPr="00BE2FD0">
        <w:rPr>
          <w:rFonts w:ascii="Arial" w:eastAsia="Times New Roman" w:hAnsi="Arial" w:cs="Arial"/>
          <w:i/>
          <w:iCs/>
          <w:spacing w:val="-3"/>
          <w:sz w:val="20"/>
          <w:szCs w:val="20"/>
          <w:u w:val="single"/>
          <w:lang w:val="es-CO" w:eastAsia="es-MX"/>
        </w:rPr>
        <w:t>tiene como fin en las decisiones de las corporaciones judiciales como órganos de cierre la libertad para definir la jurisprudencia que como precedente jurisdiccional debe orientar la administración de justicia en Colombia,</w:t>
      </w:r>
      <w:r w:rsidRPr="00BE2FD0">
        <w:rPr>
          <w:rFonts w:ascii="Arial" w:eastAsia="Times New Roman" w:hAnsi="Arial" w:cs="Arial"/>
          <w:i/>
          <w:iCs/>
          <w:spacing w:val="-3"/>
          <w:sz w:val="20"/>
          <w:szCs w:val="20"/>
          <w:lang w:val="es-CO" w:eastAsia="es-MX"/>
        </w:rPr>
        <w:t xml:space="preserve"> en ese campo la Corte Constitucional reconoce en la sentencia C.037 de 1996 que: </w:t>
      </w:r>
    </w:p>
    <w:p w:rsidR="00F70734" w:rsidRPr="00BE2FD0" w:rsidRDefault="00F70734" w:rsidP="009652DD">
      <w:pPr>
        <w:numPr>
          <w:ilvl w:val="0"/>
          <w:numId w:val="0"/>
        </w:numPr>
        <w:spacing w:after="0" w:line="240" w:lineRule="auto"/>
        <w:ind w:left="567" w:right="616"/>
        <w:jc w:val="both"/>
        <w:rPr>
          <w:rFonts w:ascii="Arial" w:eastAsia="Times New Roman" w:hAnsi="Arial" w:cs="Arial"/>
          <w:iCs/>
          <w:spacing w:val="-3"/>
          <w:sz w:val="20"/>
          <w:szCs w:val="20"/>
          <w:lang w:val="es-CO" w:eastAsia="es-MX"/>
        </w:rPr>
      </w:pP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lang w:val="es-CO" w:eastAsia="es-MX"/>
        </w:rPr>
      </w:pPr>
      <w:r w:rsidRPr="00BE2FD0">
        <w:rPr>
          <w:rFonts w:ascii="Arial" w:eastAsia="Times New Roman" w:hAnsi="Arial" w:cs="Arial"/>
          <w:i/>
          <w:sz w:val="20"/>
          <w:szCs w:val="20"/>
          <w:lang w:val="es-CO"/>
        </w:rPr>
        <w:t>«</w:t>
      </w:r>
      <w:r w:rsidRPr="00BE2FD0">
        <w:rPr>
          <w:rFonts w:ascii="Arial" w:eastAsia="Times New Roman" w:hAnsi="Arial" w:cs="Arial"/>
          <w:i/>
          <w:sz w:val="20"/>
          <w:szCs w:val="20"/>
          <w:lang w:val="es-CO" w:eastAsia="es-MX"/>
        </w:rPr>
        <w:t xml:space="preserve">…al juez, por mandato de la Carta Política, se le otorga una autonomía y una libertad para interpretar los hechos que se someten a su conocimiento y, asimismo, aplicar las normas constitucionales o legales que juzgue apropiadas para la resolución del respectivo conflicto jurídico (Art. </w:t>
      </w:r>
      <w:smartTag w:uri="urn:schemas-microsoft-com:office:smarttags" w:element="metricconverter">
        <w:smartTagPr>
          <w:attr w:name="ProductID" w:val="228 C"/>
        </w:smartTagPr>
        <w:r w:rsidRPr="00BE2FD0">
          <w:rPr>
            <w:rFonts w:ascii="Arial" w:eastAsia="Times New Roman" w:hAnsi="Arial" w:cs="Arial"/>
            <w:i/>
            <w:sz w:val="20"/>
            <w:szCs w:val="20"/>
            <w:lang w:val="es-CO" w:eastAsia="es-MX"/>
          </w:rPr>
          <w:t>228 C</w:t>
        </w:r>
      </w:smartTag>
      <w:r w:rsidRPr="00BE2FD0">
        <w:rPr>
          <w:rFonts w:ascii="Arial" w:eastAsia="Times New Roman" w:hAnsi="Arial" w:cs="Arial"/>
          <w:i/>
          <w:sz w:val="20"/>
          <w:szCs w:val="20"/>
          <w:lang w:val="es-CO" w:eastAsia="es-MX"/>
        </w:rPr>
        <w:t xml:space="preserve">.P.). </w:t>
      </w: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CO" w:eastAsia="es-MX"/>
        </w:rPr>
      </w:pPr>
      <w:r w:rsidRPr="00BE2FD0">
        <w:rPr>
          <w:rFonts w:ascii="Arial" w:eastAsia="Times New Roman" w:hAnsi="Arial" w:cs="Arial"/>
          <w:sz w:val="20"/>
          <w:szCs w:val="20"/>
          <w:lang w:val="es-CO" w:eastAsia="es-MX"/>
        </w:rPr>
        <w:t>(...)</w:t>
      </w: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CO" w:eastAsia="es-MX"/>
        </w:rPr>
      </w:pP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CO" w:eastAsia="es-MX"/>
        </w:rPr>
      </w:pPr>
      <w:r w:rsidRPr="00BE2FD0">
        <w:rPr>
          <w:rFonts w:ascii="Arial" w:eastAsia="Times New Roman" w:hAnsi="Arial" w:cs="Arial"/>
          <w:i/>
          <w:sz w:val="20"/>
          <w:szCs w:val="20"/>
          <w:u w:val="single"/>
          <w:lang w:val="es-CO" w:eastAsia="es-MX"/>
        </w:rPr>
        <w:t>Que las decisiones de los órganos de cierre en la administración de justicia en el ámbito de sus competencias funcionales son intangibles,</w:t>
      </w:r>
      <w:r w:rsidRPr="00BE2FD0">
        <w:rPr>
          <w:rFonts w:ascii="Arial" w:eastAsia="Times New Roman" w:hAnsi="Arial" w:cs="Arial"/>
          <w:sz w:val="20"/>
          <w:szCs w:val="20"/>
          <w:lang w:val="es-CO" w:eastAsia="es-MX"/>
        </w:rPr>
        <w:t xml:space="preserve"> es asunto que ya ha definido la Corte Constitucional en la sentencia C.037 de 1996 al señalar:</w:t>
      </w:r>
    </w:p>
    <w:p w:rsidR="00F70734" w:rsidRPr="00BE2FD0" w:rsidRDefault="00F70734" w:rsidP="009652DD">
      <w:pPr>
        <w:numPr>
          <w:ilvl w:val="0"/>
          <w:numId w:val="0"/>
        </w:numPr>
        <w:spacing w:after="0" w:line="240" w:lineRule="auto"/>
        <w:ind w:left="567" w:right="616"/>
        <w:jc w:val="both"/>
        <w:rPr>
          <w:rFonts w:ascii="Arial" w:eastAsia="Times New Roman" w:hAnsi="Arial" w:cs="Arial"/>
          <w:sz w:val="20"/>
          <w:szCs w:val="20"/>
          <w:lang w:val="es-CO" w:eastAsia="es-MX"/>
        </w:rPr>
      </w:pPr>
    </w:p>
    <w:p w:rsidR="00F70734" w:rsidRPr="00BE2FD0" w:rsidRDefault="00F70734" w:rsidP="009652DD">
      <w:pPr>
        <w:numPr>
          <w:ilvl w:val="0"/>
          <w:numId w:val="0"/>
        </w:numPr>
        <w:spacing w:after="0" w:line="240" w:lineRule="auto"/>
        <w:ind w:left="567" w:right="616"/>
        <w:jc w:val="both"/>
        <w:rPr>
          <w:rFonts w:ascii="Arial" w:eastAsia="Times New Roman" w:hAnsi="Arial" w:cs="Arial"/>
          <w:i/>
          <w:sz w:val="20"/>
          <w:szCs w:val="20"/>
          <w:u w:val="single"/>
          <w:lang w:val="es-CO" w:eastAsia="es-MX"/>
        </w:rPr>
      </w:pPr>
      <w:r w:rsidRPr="00BE2FD0">
        <w:rPr>
          <w:rFonts w:ascii="Arial" w:eastAsia="Times New Roman" w:hAnsi="Arial" w:cs="Arial"/>
          <w:i/>
          <w:sz w:val="20"/>
          <w:szCs w:val="20"/>
          <w:lang w:val="es-CO"/>
        </w:rPr>
        <w:t>«</w:t>
      </w:r>
      <w:r w:rsidRPr="00BE2FD0">
        <w:rPr>
          <w:rFonts w:ascii="Arial" w:eastAsia="Times New Roman" w:hAnsi="Arial" w:cs="Arial"/>
          <w:i/>
          <w:sz w:val="20"/>
          <w:szCs w:val="20"/>
          <w:lang w:val="es-CO" w:eastAsia="es-MX"/>
        </w:rPr>
        <w:t xml:space="preserve">Sentadas las precedentes consideraciones, conviene preguntarse: ¿Respecto de las providencias proferidas por las altas corporaciones que hacen parte de la rama judicial, cuál es la autoridad llamada a definir los casos en que existe un error jurisdiccional? </w:t>
      </w:r>
      <w:r w:rsidRPr="00BE2FD0">
        <w:rPr>
          <w:rFonts w:ascii="Arial" w:eastAsia="Times New Roman" w:hAnsi="Arial" w:cs="Arial"/>
          <w:i/>
          <w:sz w:val="20"/>
          <w:szCs w:val="20"/>
          <w:u w:val="single"/>
          <w:lang w:val="es-CO" w:eastAsia="es-MX"/>
        </w:rPr>
        <w:t xml:space="preserve">Sobre el particular, entiende la Corte que la Constitución ha determinado un órgano límite o una autoridad máxima dentro de cada jurisdicción; así, para la jurisdicción constitucional se ha previsto a la Corte Constitucional (Art. </w:t>
      </w:r>
      <w:smartTag w:uri="urn:schemas-microsoft-com:office:smarttags" w:element="metricconverter">
        <w:smartTagPr>
          <w:attr w:name="ProductID" w:val="241 C"/>
        </w:smartTagPr>
        <w:r w:rsidRPr="00BE2FD0">
          <w:rPr>
            <w:rFonts w:ascii="Arial" w:eastAsia="Times New Roman" w:hAnsi="Arial" w:cs="Arial"/>
            <w:i/>
            <w:sz w:val="20"/>
            <w:szCs w:val="20"/>
            <w:u w:val="single"/>
            <w:lang w:val="es-CO" w:eastAsia="es-MX"/>
          </w:rPr>
          <w:t>241 C</w:t>
        </w:r>
      </w:smartTag>
      <w:r w:rsidRPr="00BE2FD0">
        <w:rPr>
          <w:rFonts w:ascii="Arial" w:eastAsia="Times New Roman" w:hAnsi="Arial" w:cs="Arial"/>
          <w:i/>
          <w:sz w:val="20"/>
          <w:szCs w:val="20"/>
          <w:u w:val="single"/>
          <w:lang w:val="es-CO" w:eastAsia="es-MX"/>
        </w:rPr>
        <w:t xml:space="preserve">.P.), para la ordinaria a la Corte Suprema de Justicia (art. </w:t>
      </w:r>
      <w:smartTag w:uri="urn:schemas-microsoft-com:office:smarttags" w:element="metricconverter">
        <w:smartTagPr>
          <w:attr w:name="ProductID" w:val="234 C"/>
        </w:smartTagPr>
        <w:r w:rsidRPr="00BE2FD0">
          <w:rPr>
            <w:rFonts w:ascii="Arial" w:eastAsia="Times New Roman" w:hAnsi="Arial" w:cs="Arial"/>
            <w:i/>
            <w:sz w:val="20"/>
            <w:szCs w:val="20"/>
            <w:u w:val="single"/>
            <w:lang w:val="es-CO" w:eastAsia="es-MX"/>
          </w:rPr>
          <w:t>234 C</w:t>
        </w:r>
      </w:smartTag>
      <w:r w:rsidRPr="00BE2FD0">
        <w:rPr>
          <w:rFonts w:ascii="Arial" w:eastAsia="Times New Roman" w:hAnsi="Arial" w:cs="Arial"/>
          <w:i/>
          <w:sz w:val="20"/>
          <w:szCs w:val="20"/>
          <w:u w:val="single"/>
          <w:lang w:val="es-CO" w:eastAsia="es-MX"/>
        </w:rPr>
        <w:t xml:space="preserve">.P.), para la contencioso administrativa al Consejo de Estado (Art. </w:t>
      </w:r>
      <w:smartTag w:uri="urn:schemas-microsoft-com:office:smarttags" w:element="metricconverter">
        <w:smartTagPr>
          <w:attr w:name="ProductID" w:val="237 C"/>
        </w:smartTagPr>
        <w:r w:rsidRPr="00BE2FD0">
          <w:rPr>
            <w:rFonts w:ascii="Arial" w:eastAsia="Times New Roman" w:hAnsi="Arial" w:cs="Arial"/>
            <w:i/>
            <w:sz w:val="20"/>
            <w:szCs w:val="20"/>
            <w:u w:val="single"/>
            <w:lang w:val="es-CO" w:eastAsia="es-MX"/>
          </w:rPr>
          <w:t>237 C</w:t>
        </w:r>
      </w:smartTag>
      <w:r w:rsidRPr="00BE2FD0">
        <w:rPr>
          <w:rFonts w:ascii="Arial" w:eastAsia="Times New Roman" w:hAnsi="Arial" w:cs="Arial"/>
          <w:i/>
          <w:sz w:val="20"/>
          <w:szCs w:val="20"/>
          <w:u w:val="single"/>
          <w:lang w:val="es-CO" w:eastAsia="es-MX"/>
        </w:rPr>
        <w:t xml:space="preserve">.P.) y para la jurisdiccional disciplinaria a la correspondiente sala del Consejo Superior de la Judicatura (Art. </w:t>
      </w:r>
      <w:smartTag w:uri="urn:schemas-microsoft-com:office:smarttags" w:element="metricconverter">
        <w:smartTagPr>
          <w:attr w:name="ProductID" w:val="257 C"/>
        </w:smartTagPr>
        <w:r w:rsidRPr="00BE2FD0">
          <w:rPr>
            <w:rFonts w:ascii="Arial" w:eastAsia="Times New Roman" w:hAnsi="Arial" w:cs="Arial"/>
            <w:i/>
            <w:sz w:val="20"/>
            <w:szCs w:val="20"/>
            <w:u w:val="single"/>
            <w:lang w:val="es-CO" w:eastAsia="es-MX"/>
          </w:rPr>
          <w:t>257 C</w:t>
        </w:r>
      </w:smartTag>
      <w:r w:rsidRPr="00BE2FD0">
        <w:rPr>
          <w:rFonts w:ascii="Arial" w:eastAsia="Times New Roman" w:hAnsi="Arial" w:cs="Arial"/>
          <w:i/>
          <w:sz w:val="20"/>
          <w:szCs w:val="20"/>
          <w:u w:val="single"/>
          <w:lang w:val="es-CO" w:eastAsia="es-MX"/>
        </w:rPr>
        <w:t xml:space="preserve">.P.). Dentro de las atribuciones que la Carta le confiere a cada una de esas corporaciones, quizás la característica más importante es que sus providencias, a través de las cuales se </w:t>
      </w:r>
      <w:r w:rsidRPr="00BE2FD0">
        <w:rPr>
          <w:rFonts w:ascii="Arial" w:eastAsia="Times New Roman" w:hAnsi="Arial" w:cs="Arial"/>
          <w:i/>
          <w:sz w:val="20"/>
          <w:szCs w:val="20"/>
          <w:u w:val="single"/>
          <w:lang w:val="es-CO" w:eastAsia="es-MX"/>
        </w:rPr>
        <w:lastRenderedPageBreak/>
        <w:t>resuelve en última instancia el asunto bajo examen, se unifica la jurisprudencia y se definen los criterios jurídicos aplicables frente a casos similares. En otras palabras, dichas decisiones, una vez agotados todos los procedimientos y recursos que la ley contempla para cada proceso judicial, se tornan en autónomas, independientes, definitivas, determinantes y, además, se convierten en el último pronunciamiento dentro de la respectiva jurisdicción. Lo anterior, por lo demás, no obedece a razón distinta que la de garantizar la seguridad jurídica a los asociados mediante la certeza de que los procesos judiciales han llegado a su etapa final y no pueden ser revividos jurídicamente por cualquier otra autoridad de la rama judicial o de otra rama del poder público…</w:t>
      </w:r>
      <w:r w:rsidRPr="00BE2FD0">
        <w:rPr>
          <w:rFonts w:ascii="Arial" w:eastAsia="Times New Roman" w:hAnsi="Arial" w:cs="Arial"/>
          <w:i/>
          <w:sz w:val="20"/>
          <w:szCs w:val="20"/>
          <w:u w:val="single"/>
          <w:lang w:val="es-CO"/>
        </w:rPr>
        <w:t>».</w:t>
      </w:r>
      <w:r w:rsidRPr="00BE2FD0">
        <w:rPr>
          <w:rFonts w:ascii="Arial" w:eastAsia="Times New Roman" w:hAnsi="Arial" w:cs="Arial"/>
          <w:i/>
          <w:sz w:val="20"/>
          <w:szCs w:val="20"/>
          <w:u w:val="single"/>
          <w:lang w:val="es-CO" w:eastAsia="es-MX"/>
        </w:rPr>
        <w:t xml:space="preserve"> </w:t>
      </w:r>
      <w:r w:rsidRPr="00BE2FD0">
        <w:rPr>
          <w:rFonts w:ascii="Arial" w:eastAsia="Times New Roman" w:hAnsi="Arial" w:cs="Arial"/>
          <w:sz w:val="20"/>
          <w:szCs w:val="20"/>
          <w:u w:val="single"/>
          <w:lang w:val="es-CO" w:eastAsia="es-MX"/>
        </w:rPr>
        <w:t>(Subrayado fuera del texto original).</w:t>
      </w:r>
    </w:p>
    <w:p w:rsidR="009652DD" w:rsidRPr="00BE2FD0" w:rsidRDefault="009652DD" w:rsidP="009652DD">
      <w:pPr>
        <w:numPr>
          <w:ilvl w:val="0"/>
          <w:numId w:val="0"/>
        </w:numPr>
        <w:spacing w:after="0" w:line="240" w:lineRule="auto"/>
        <w:ind w:left="720"/>
        <w:jc w:val="both"/>
        <w:rPr>
          <w:rFonts w:ascii="Arial" w:eastAsia="Times New Roman" w:hAnsi="Arial" w:cs="Arial"/>
          <w:sz w:val="24"/>
          <w:szCs w:val="24"/>
          <w:lang w:val="es-MX" w:eastAsia="es-MX"/>
        </w:rPr>
      </w:pPr>
    </w:p>
    <w:p w:rsidR="003E40A2" w:rsidRPr="00BE2FD0" w:rsidRDefault="009652DD" w:rsidP="003E40A2">
      <w:pPr>
        <w:numPr>
          <w:ilvl w:val="0"/>
          <w:numId w:val="0"/>
        </w:numPr>
        <w:spacing w:after="0" w:line="240" w:lineRule="auto"/>
        <w:jc w:val="both"/>
        <w:rPr>
          <w:rFonts w:ascii="Arial" w:eastAsia="Times New Roman" w:hAnsi="Arial" w:cs="Arial"/>
          <w:iCs/>
          <w:lang w:val="es-CO"/>
        </w:rPr>
      </w:pPr>
      <w:r w:rsidRPr="00BE2FD0">
        <w:rPr>
          <w:rFonts w:ascii="Arial" w:eastAsia="Times New Roman" w:hAnsi="Arial" w:cs="Arial"/>
          <w:iCs/>
          <w:lang w:val="es-CO"/>
        </w:rPr>
        <w:t>3.6</w:t>
      </w:r>
      <w:r w:rsidR="00F302A9" w:rsidRPr="00BE2FD0">
        <w:rPr>
          <w:rFonts w:ascii="Arial" w:eastAsia="Times New Roman" w:hAnsi="Arial" w:cs="Arial"/>
          <w:iCs/>
          <w:lang w:val="es-CO"/>
        </w:rPr>
        <w:t xml:space="preserve"> </w:t>
      </w:r>
      <w:r w:rsidR="00F70734" w:rsidRPr="00BE2FD0">
        <w:rPr>
          <w:rFonts w:ascii="Arial" w:eastAsia="Times New Roman" w:hAnsi="Arial" w:cs="Arial"/>
          <w:iCs/>
          <w:lang w:val="es-CO"/>
        </w:rPr>
        <w:t xml:space="preserve">De esa manera se concluye que: i) según la sentencia C-037 de 1996 donde se hizo control abstracto de la Ley 270 de 1996 Estatutaria de la Administración de Justicia, </w:t>
      </w:r>
      <w:r w:rsidR="00F70734" w:rsidRPr="00BE2FD0">
        <w:rPr>
          <w:rFonts w:ascii="Arial" w:eastAsia="Times New Roman" w:hAnsi="Arial" w:cs="Arial"/>
          <w:iCs/>
          <w:u w:val="single"/>
          <w:lang w:val="es-CO"/>
        </w:rPr>
        <w:t>los órganos de cierre de cada jurisdicción tienen la potestad de definir la jurisprudencia que debe orientar la administración de justicia en cada especialidad, en el ámbito de sus competencias;</w:t>
      </w:r>
      <w:r w:rsidR="00F70734" w:rsidRPr="00BE2FD0">
        <w:rPr>
          <w:rFonts w:ascii="Arial" w:eastAsia="Times New Roman" w:hAnsi="Arial" w:cs="Arial"/>
          <w:iCs/>
          <w:lang w:val="es-CO"/>
        </w:rPr>
        <w:t xml:space="preserve"> y ii) las decisiones de los órganos de cierre sobre esas materias son intangibles y constituyen el último pronunciamiento de la respectiva jurisdicción, unifican la jurisprudencia y definen criterios jurídicos aplicables a casos similares a efectos de garantizar la seguridad jurídica de los asociados.</w:t>
      </w:r>
    </w:p>
    <w:p w:rsidR="003E40A2" w:rsidRPr="00BE2FD0" w:rsidRDefault="003E40A2" w:rsidP="003E40A2">
      <w:pPr>
        <w:numPr>
          <w:ilvl w:val="0"/>
          <w:numId w:val="0"/>
        </w:numPr>
        <w:spacing w:after="0" w:line="240" w:lineRule="auto"/>
        <w:jc w:val="both"/>
        <w:rPr>
          <w:rFonts w:ascii="Arial" w:eastAsia="Times New Roman" w:hAnsi="Arial" w:cs="Arial"/>
          <w:iCs/>
          <w:lang w:val="es-CO"/>
        </w:rPr>
      </w:pPr>
    </w:p>
    <w:p w:rsidR="00240C69" w:rsidRPr="00BE2FD0" w:rsidRDefault="009652DD" w:rsidP="003E40A2">
      <w:pPr>
        <w:numPr>
          <w:ilvl w:val="0"/>
          <w:numId w:val="0"/>
        </w:numPr>
        <w:spacing w:after="0" w:line="240" w:lineRule="auto"/>
        <w:jc w:val="both"/>
        <w:rPr>
          <w:rFonts w:ascii="Arial" w:hAnsi="Arial" w:cs="Arial"/>
        </w:rPr>
      </w:pPr>
      <w:r w:rsidRPr="00BE2FD0">
        <w:rPr>
          <w:rFonts w:ascii="Arial" w:hAnsi="Arial" w:cs="Arial"/>
        </w:rPr>
        <w:t>3.7</w:t>
      </w:r>
      <w:r w:rsidR="00F302A9" w:rsidRPr="00BE2FD0">
        <w:rPr>
          <w:rFonts w:ascii="Arial" w:hAnsi="Arial" w:cs="Arial"/>
        </w:rPr>
        <w:t xml:space="preserve"> </w:t>
      </w:r>
      <w:r w:rsidR="002009A3" w:rsidRPr="00BE2FD0">
        <w:rPr>
          <w:rFonts w:ascii="Arial" w:hAnsi="Arial" w:cs="Arial"/>
        </w:rPr>
        <w:t xml:space="preserve">Ahora bien, </w:t>
      </w:r>
      <w:r w:rsidRPr="00BE2FD0">
        <w:rPr>
          <w:rFonts w:ascii="Arial" w:hAnsi="Arial" w:cs="Arial"/>
        </w:rPr>
        <w:t>en el caso en concreto,</w:t>
      </w:r>
      <w:r w:rsidR="00276131" w:rsidRPr="00BE2FD0">
        <w:rPr>
          <w:rFonts w:ascii="Arial" w:hAnsi="Arial" w:cs="Arial"/>
        </w:rPr>
        <w:t xml:space="preserve"> </w:t>
      </w:r>
      <w:r w:rsidRPr="00BE2FD0">
        <w:rPr>
          <w:rFonts w:ascii="Arial" w:hAnsi="Arial" w:cs="Arial"/>
        </w:rPr>
        <w:t xml:space="preserve">el </w:t>
      </w:r>
      <w:r w:rsidR="005A00D1" w:rsidRPr="00BE2FD0">
        <w:rPr>
          <w:rFonts w:ascii="Arial" w:hAnsi="Arial" w:cs="Arial"/>
        </w:rPr>
        <w:t>5 de junio de 2018, cuando se hizo la exposición sobre el fallo</w:t>
      </w:r>
      <w:r w:rsidR="008E4ABD" w:rsidRPr="00BE2FD0">
        <w:rPr>
          <w:rFonts w:ascii="Arial" w:hAnsi="Arial" w:cs="Arial"/>
        </w:rPr>
        <w:t xml:space="preserve"> que revocó la sentenc</w:t>
      </w:r>
      <w:r w:rsidRPr="00BE2FD0">
        <w:rPr>
          <w:rFonts w:ascii="Arial" w:hAnsi="Arial" w:cs="Arial"/>
        </w:rPr>
        <w:t>ia absolutoria de primer grado,</w:t>
      </w:r>
      <w:r w:rsidR="008E4ABD" w:rsidRPr="00BE2FD0">
        <w:rPr>
          <w:rFonts w:ascii="Arial" w:hAnsi="Arial" w:cs="Arial"/>
        </w:rPr>
        <w:t xml:space="preserve"> </w:t>
      </w:r>
      <w:r w:rsidR="005A00D1" w:rsidRPr="00BE2FD0">
        <w:rPr>
          <w:rFonts w:ascii="Arial" w:hAnsi="Arial" w:cs="Arial"/>
        </w:rPr>
        <w:t>el defensor del procesado manifestó que interponía el recurso de apelación por tratarse de la primera sentencia condenatoria que</w:t>
      </w:r>
      <w:r w:rsidR="00240C69" w:rsidRPr="00BE2FD0">
        <w:rPr>
          <w:rFonts w:ascii="Arial" w:hAnsi="Arial" w:cs="Arial"/>
        </w:rPr>
        <w:t xml:space="preserve"> se dictaba en el proceso.</w:t>
      </w:r>
    </w:p>
    <w:p w:rsidR="003E40A2" w:rsidRPr="00BE2FD0" w:rsidRDefault="003E40A2" w:rsidP="003E40A2">
      <w:pPr>
        <w:numPr>
          <w:ilvl w:val="0"/>
          <w:numId w:val="0"/>
        </w:numPr>
        <w:spacing w:after="0" w:line="240" w:lineRule="auto"/>
        <w:jc w:val="both"/>
        <w:rPr>
          <w:rFonts w:ascii="Arial" w:eastAsia="Times New Roman" w:hAnsi="Arial" w:cs="Arial"/>
          <w:iCs/>
          <w:lang w:val="es-CO"/>
        </w:rPr>
      </w:pPr>
    </w:p>
    <w:p w:rsidR="00440573" w:rsidRPr="00BE2FD0" w:rsidRDefault="009652DD" w:rsidP="00EC1A43">
      <w:pPr>
        <w:numPr>
          <w:ilvl w:val="0"/>
          <w:numId w:val="0"/>
        </w:numPr>
        <w:spacing w:line="240" w:lineRule="auto"/>
        <w:jc w:val="both"/>
        <w:rPr>
          <w:rFonts w:ascii="Arial" w:hAnsi="Arial" w:cs="Arial"/>
        </w:rPr>
      </w:pPr>
      <w:r w:rsidRPr="00BE2FD0">
        <w:rPr>
          <w:rFonts w:ascii="Arial" w:hAnsi="Arial" w:cs="Arial"/>
        </w:rPr>
        <w:t>3.7.1</w:t>
      </w:r>
      <w:r w:rsidR="00276131" w:rsidRPr="00BE2FD0">
        <w:rPr>
          <w:rFonts w:ascii="Arial" w:hAnsi="Arial" w:cs="Arial"/>
        </w:rPr>
        <w:t xml:space="preserve"> </w:t>
      </w:r>
      <w:r w:rsidR="00240C69" w:rsidRPr="00BE2FD0">
        <w:rPr>
          <w:rFonts w:ascii="Arial" w:hAnsi="Arial" w:cs="Arial"/>
        </w:rPr>
        <w:t xml:space="preserve">En virtud de una excusa médica presentada por el letrado que representa los intereses del señor Monsalve Londoño, hubo de reprogramarse la audiencia para decidir </w:t>
      </w:r>
      <w:r w:rsidR="004A560C" w:rsidRPr="00BE2FD0">
        <w:rPr>
          <w:rFonts w:ascii="Arial" w:hAnsi="Arial" w:cs="Arial"/>
        </w:rPr>
        <w:t xml:space="preserve">su solicitud que se celebró el </w:t>
      </w:r>
      <w:r w:rsidR="00240C69" w:rsidRPr="00BE2FD0">
        <w:rPr>
          <w:rFonts w:ascii="Arial" w:hAnsi="Arial" w:cs="Arial"/>
        </w:rPr>
        <w:t xml:space="preserve">pasado 12 de junio, donde se denegó el recurso de apelación propuesto y se concedió el recurso de queja </w:t>
      </w:r>
      <w:r w:rsidR="004A560C" w:rsidRPr="00BE2FD0">
        <w:rPr>
          <w:rFonts w:ascii="Arial" w:hAnsi="Arial" w:cs="Arial"/>
        </w:rPr>
        <w:t>en los términos de los</w:t>
      </w:r>
      <w:r w:rsidR="00440573" w:rsidRPr="00BE2FD0">
        <w:rPr>
          <w:rFonts w:ascii="Arial" w:hAnsi="Arial" w:cs="Arial"/>
        </w:rPr>
        <w:t xml:space="preserve"> artículos 179</w:t>
      </w:r>
      <w:r w:rsidR="004A560C" w:rsidRPr="00BE2FD0">
        <w:rPr>
          <w:rFonts w:ascii="Arial" w:hAnsi="Arial" w:cs="Arial"/>
        </w:rPr>
        <w:t xml:space="preserve">B y ss. de la Ley 906 de 2004, </w:t>
      </w:r>
      <w:r w:rsidR="00440573" w:rsidRPr="00BE2FD0">
        <w:rPr>
          <w:rFonts w:ascii="Arial" w:hAnsi="Arial" w:cs="Arial"/>
        </w:rPr>
        <w:t>que debe ser resuelto por nuestro superior funcional esto es la Sala de Decisión Penal de la CSJ.</w:t>
      </w:r>
    </w:p>
    <w:p w:rsidR="005F6246" w:rsidRPr="00BE2FD0" w:rsidRDefault="004A560C" w:rsidP="00EC1A43">
      <w:pPr>
        <w:numPr>
          <w:ilvl w:val="0"/>
          <w:numId w:val="0"/>
        </w:numPr>
        <w:spacing w:line="240" w:lineRule="auto"/>
        <w:jc w:val="both"/>
        <w:rPr>
          <w:rFonts w:ascii="Arial" w:hAnsi="Arial" w:cs="Arial"/>
        </w:rPr>
      </w:pPr>
      <w:r w:rsidRPr="00BE2FD0">
        <w:rPr>
          <w:rFonts w:ascii="Arial" w:hAnsi="Arial" w:cs="Arial"/>
        </w:rPr>
        <w:t>3.8</w:t>
      </w:r>
      <w:r w:rsidR="00440573" w:rsidRPr="00BE2FD0">
        <w:rPr>
          <w:rFonts w:ascii="Arial" w:hAnsi="Arial" w:cs="Arial"/>
        </w:rPr>
        <w:t xml:space="preserve"> En </w:t>
      </w:r>
      <w:r w:rsidR="001D0F1B" w:rsidRPr="00BE2FD0">
        <w:rPr>
          <w:rFonts w:ascii="Arial" w:hAnsi="Arial" w:cs="Arial"/>
        </w:rPr>
        <w:t>razón</w:t>
      </w:r>
      <w:r w:rsidR="00440573" w:rsidRPr="00BE2FD0">
        <w:rPr>
          <w:rFonts w:ascii="Arial" w:hAnsi="Arial" w:cs="Arial"/>
        </w:rPr>
        <w:t xml:space="preserve"> de la concesió</w:t>
      </w:r>
      <w:r w:rsidRPr="00BE2FD0">
        <w:rPr>
          <w:rFonts w:ascii="Arial" w:hAnsi="Arial" w:cs="Arial"/>
        </w:rPr>
        <w:t xml:space="preserve">n del citado recurso de queja </w:t>
      </w:r>
      <w:r w:rsidR="00440573" w:rsidRPr="00BE2FD0">
        <w:rPr>
          <w:rFonts w:ascii="Arial" w:hAnsi="Arial" w:cs="Arial"/>
        </w:rPr>
        <w:t xml:space="preserve">se pueden presentar dos </w:t>
      </w:r>
      <w:r w:rsidR="005F6246" w:rsidRPr="00BE2FD0">
        <w:rPr>
          <w:rFonts w:ascii="Arial" w:hAnsi="Arial" w:cs="Arial"/>
        </w:rPr>
        <w:t>situaciones relevantes a saber:</w:t>
      </w:r>
    </w:p>
    <w:p w:rsidR="00EB5451" w:rsidRPr="00BE2FD0" w:rsidRDefault="004A560C" w:rsidP="00EC1A43">
      <w:pPr>
        <w:numPr>
          <w:ilvl w:val="0"/>
          <w:numId w:val="0"/>
        </w:numPr>
        <w:spacing w:line="240" w:lineRule="auto"/>
        <w:jc w:val="both"/>
        <w:rPr>
          <w:rFonts w:ascii="Arial" w:hAnsi="Arial" w:cs="Arial"/>
        </w:rPr>
      </w:pPr>
      <w:r w:rsidRPr="00BE2FD0">
        <w:rPr>
          <w:rFonts w:ascii="Arial" w:hAnsi="Arial" w:cs="Arial"/>
        </w:rPr>
        <w:t xml:space="preserve">3.8.1 </w:t>
      </w:r>
      <w:r w:rsidR="005F6246" w:rsidRPr="00BE2FD0">
        <w:rPr>
          <w:rFonts w:ascii="Arial" w:hAnsi="Arial" w:cs="Arial"/>
        </w:rPr>
        <w:t xml:space="preserve">En caso de que </w:t>
      </w:r>
      <w:r w:rsidRPr="00BE2FD0">
        <w:rPr>
          <w:rFonts w:ascii="Arial" w:hAnsi="Arial" w:cs="Arial"/>
        </w:rPr>
        <w:t>la SP de la CSJ</w:t>
      </w:r>
      <w:r w:rsidR="005F6246" w:rsidRPr="00BE2FD0">
        <w:rPr>
          <w:rFonts w:ascii="Arial" w:hAnsi="Arial" w:cs="Arial"/>
        </w:rPr>
        <w:t xml:space="preserve"> </w:t>
      </w:r>
      <w:r w:rsidR="004E119D" w:rsidRPr="00BE2FD0">
        <w:rPr>
          <w:rFonts w:ascii="Arial" w:hAnsi="Arial" w:cs="Arial"/>
        </w:rPr>
        <w:t xml:space="preserve">decida conceder el recurso de apelación formulado por el </w:t>
      </w:r>
      <w:r w:rsidR="005F6246" w:rsidRPr="00BE2FD0">
        <w:rPr>
          <w:rFonts w:ascii="Arial" w:hAnsi="Arial" w:cs="Arial"/>
        </w:rPr>
        <w:t>defensor del procesado</w:t>
      </w:r>
      <w:r w:rsidR="00E92379" w:rsidRPr="00BE2FD0">
        <w:rPr>
          <w:rFonts w:ascii="Arial" w:hAnsi="Arial" w:cs="Arial"/>
        </w:rPr>
        <w:t xml:space="preserve">, variando su </w:t>
      </w:r>
      <w:r w:rsidR="004E119D" w:rsidRPr="00BE2FD0">
        <w:rPr>
          <w:rFonts w:ascii="Arial" w:hAnsi="Arial" w:cs="Arial"/>
        </w:rPr>
        <w:t xml:space="preserve">reiterada </w:t>
      </w:r>
      <w:r w:rsidR="00E92379" w:rsidRPr="00BE2FD0">
        <w:rPr>
          <w:rFonts w:ascii="Arial" w:hAnsi="Arial" w:cs="Arial"/>
        </w:rPr>
        <w:t xml:space="preserve">jurisprudencia </w:t>
      </w:r>
      <w:r w:rsidRPr="00BE2FD0">
        <w:rPr>
          <w:rFonts w:ascii="Arial" w:hAnsi="Arial" w:cs="Arial"/>
        </w:rPr>
        <w:t xml:space="preserve"> en el sentido de que </w:t>
      </w:r>
      <w:r w:rsidR="004E119D" w:rsidRPr="00BE2FD0">
        <w:rPr>
          <w:rFonts w:ascii="Arial" w:hAnsi="Arial" w:cs="Arial"/>
        </w:rPr>
        <w:t xml:space="preserve">frente a las sentencias de segunda instancia proferidas por las Salas </w:t>
      </w:r>
      <w:r w:rsidR="00F3199F" w:rsidRPr="00BE2FD0">
        <w:rPr>
          <w:rFonts w:ascii="Arial" w:hAnsi="Arial" w:cs="Arial"/>
        </w:rPr>
        <w:t>P</w:t>
      </w:r>
      <w:r w:rsidR="004E119D" w:rsidRPr="00BE2FD0">
        <w:rPr>
          <w:rFonts w:ascii="Arial" w:hAnsi="Arial" w:cs="Arial"/>
        </w:rPr>
        <w:t>enales de los Tribunales Superiores de Distrito solo</w:t>
      </w:r>
      <w:r w:rsidRPr="00BE2FD0">
        <w:rPr>
          <w:rFonts w:ascii="Arial" w:hAnsi="Arial" w:cs="Arial"/>
        </w:rPr>
        <w:t xml:space="preserve"> procede el recurso de casación</w:t>
      </w:r>
      <w:r w:rsidR="00F3199F" w:rsidRPr="00BE2FD0">
        <w:rPr>
          <w:rStyle w:val="Refdenotaalpie"/>
          <w:rFonts w:ascii="Arial" w:hAnsi="Arial" w:cs="Arial"/>
        </w:rPr>
        <w:footnoteReference w:id="1"/>
      </w:r>
      <w:r w:rsidRPr="00BE2FD0">
        <w:rPr>
          <w:rFonts w:ascii="Arial" w:hAnsi="Arial" w:cs="Arial"/>
        </w:rPr>
        <w:t>,</w:t>
      </w:r>
      <w:r w:rsidR="004E119D" w:rsidRPr="00BE2FD0">
        <w:rPr>
          <w:rFonts w:ascii="Arial" w:hAnsi="Arial" w:cs="Arial"/>
        </w:rPr>
        <w:t xml:space="preserve"> lo procedente sería que el recurrente formulara su petición de extinción de la acción penal ante la SP de la CSJ, </w:t>
      </w:r>
      <w:r w:rsidR="00E92379" w:rsidRPr="00BE2FD0">
        <w:rPr>
          <w:rFonts w:ascii="Arial" w:hAnsi="Arial" w:cs="Arial"/>
        </w:rPr>
        <w:t xml:space="preserve">en el decurso de </w:t>
      </w:r>
      <w:r w:rsidR="000722E3" w:rsidRPr="00BE2FD0">
        <w:rPr>
          <w:rFonts w:ascii="Arial" w:hAnsi="Arial" w:cs="Arial"/>
        </w:rPr>
        <w:t xml:space="preserve">ese recurso ordinario, </w:t>
      </w:r>
      <w:r w:rsidR="00F3199F" w:rsidRPr="00BE2FD0">
        <w:rPr>
          <w:rFonts w:ascii="Arial" w:hAnsi="Arial" w:cs="Arial"/>
        </w:rPr>
        <w:t xml:space="preserve">que debería </w:t>
      </w:r>
      <w:r w:rsidR="000722E3" w:rsidRPr="00BE2FD0">
        <w:rPr>
          <w:rFonts w:ascii="Arial" w:hAnsi="Arial" w:cs="Arial"/>
        </w:rPr>
        <w:t>ser decidido por el</w:t>
      </w:r>
      <w:r w:rsidR="00F3199F" w:rsidRPr="00BE2FD0">
        <w:rPr>
          <w:rFonts w:ascii="Arial" w:hAnsi="Arial" w:cs="Arial"/>
        </w:rPr>
        <w:t xml:space="preserve"> </w:t>
      </w:r>
      <w:r w:rsidR="00EB5451" w:rsidRPr="00BE2FD0">
        <w:rPr>
          <w:rFonts w:ascii="Arial" w:hAnsi="Arial" w:cs="Arial"/>
        </w:rPr>
        <w:t>superior funcional de esta corporación.</w:t>
      </w:r>
    </w:p>
    <w:p w:rsidR="00911A97" w:rsidRPr="00BE2FD0" w:rsidRDefault="004A560C" w:rsidP="00EC1A43">
      <w:pPr>
        <w:numPr>
          <w:ilvl w:val="0"/>
          <w:numId w:val="0"/>
        </w:numPr>
        <w:spacing w:line="240" w:lineRule="auto"/>
        <w:jc w:val="both"/>
        <w:rPr>
          <w:rFonts w:ascii="Arial" w:hAnsi="Arial" w:cs="Arial"/>
        </w:rPr>
      </w:pPr>
      <w:r w:rsidRPr="00BE2FD0">
        <w:rPr>
          <w:rFonts w:ascii="Arial" w:hAnsi="Arial" w:cs="Arial"/>
        </w:rPr>
        <w:t>3.8.2</w:t>
      </w:r>
      <w:r w:rsidR="00EB5451" w:rsidRPr="00BE2FD0">
        <w:rPr>
          <w:rFonts w:ascii="Arial" w:hAnsi="Arial" w:cs="Arial"/>
        </w:rPr>
        <w:t xml:space="preserve"> En su defecto, en caso de que el ór</w:t>
      </w:r>
      <w:r w:rsidR="00F3199F" w:rsidRPr="00BE2FD0">
        <w:rPr>
          <w:rFonts w:ascii="Arial" w:hAnsi="Arial" w:cs="Arial"/>
        </w:rPr>
        <w:t>gano de cierre de la jurisdicción penal deniegue el recurs</w:t>
      </w:r>
      <w:r w:rsidRPr="00BE2FD0">
        <w:rPr>
          <w:rFonts w:ascii="Arial" w:hAnsi="Arial" w:cs="Arial"/>
        </w:rPr>
        <w:t>o</w:t>
      </w:r>
      <w:r w:rsidR="00F3199F" w:rsidRPr="00BE2FD0">
        <w:rPr>
          <w:rFonts w:ascii="Arial" w:hAnsi="Arial" w:cs="Arial"/>
        </w:rPr>
        <w:t xml:space="preserve"> de queja, </w:t>
      </w:r>
      <w:r w:rsidR="000722E3" w:rsidRPr="00BE2FD0">
        <w:rPr>
          <w:rFonts w:ascii="Arial" w:hAnsi="Arial" w:cs="Arial"/>
        </w:rPr>
        <w:t xml:space="preserve">la consecuencia sería que </w:t>
      </w:r>
      <w:r w:rsidR="00181880" w:rsidRPr="00BE2FD0">
        <w:rPr>
          <w:rFonts w:ascii="Arial" w:hAnsi="Arial" w:cs="Arial"/>
        </w:rPr>
        <w:t>se habilitaría para la defensa del procesado el término para interponer el recurso de casación contra la sentencia de segunda instancia, como se d</w:t>
      </w:r>
      <w:r w:rsidR="00527E75" w:rsidRPr="00BE2FD0">
        <w:rPr>
          <w:rFonts w:ascii="Arial" w:hAnsi="Arial" w:cs="Arial"/>
        </w:rPr>
        <w:t xml:space="preserve">ecidió en </w:t>
      </w:r>
      <w:r w:rsidR="00181880" w:rsidRPr="00BE2FD0">
        <w:rPr>
          <w:rFonts w:ascii="Arial" w:hAnsi="Arial" w:cs="Arial"/>
        </w:rPr>
        <w:t>auto</w:t>
      </w:r>
      <w:r w:rsidRPr="00BE2FD0">
        <w:rPr>
          <w:rFonts w:ascii="Arial" w:hAnsi="Arial" w:cs="Arial"/>
        </w:rPr>
        <w:t xml:space="preserve"> de esta Sala del</w:t>
      </w:r>
      <w:r w:rsidR="00181880" w:rsidRPr="00BE2FD0">
        <w:rPr>
          <w:rFonts w:ascii="Arial" w:hAnsi="Arial" w:cs="Arial"/>
        </w:rPr>
        <w:t xml:space="preserve"> 8 de junio del presente año</w:t>
      </w:r>
      <w:r w:rsidR="00911A97" w:rsidRPr="00BE2FD0">
        <w:rPr>
          <w:rFonts w:ascii="Arial" w:hAnsi="Arial" w:cs="Arial"/>
        </w:rPr>
        <w:t xml:space="preserve"> </w:t>
      </w:r>
      <w:r w:rsidR="00181880" w:rsidRPr="00BE2FD0">
        <w:rPr>
          <w:rFonts w:ascii="Arial" w:hAnsi="Arial" w:cs="Arial"/>
        </w:rPr>
        <w:t>y en consecuencia sería igualmente la Sala Penal de la CS</w:t>
      </w:r>
      <w:r w:rsidRPr="00BE2FD0">
        <w:rPr>
          <w:rFonts w:ascii="Arial" w:hAnsi="Arial" w:cs="Arial"/>
        </w:rPr>
        <w:t>J la que debería pronunciarse (</w:t>
      </w:r>
      <w:r w:rsidR="00181880" w:rsidRPr="00BE2FD0">
        <w:rPr>
          <w:rFonts w:ascii="Arial" w:hAnsi="Arial" w:cs="Arial"/>
        </w:rPr>
        <w:t xml:space="preserve">de admitirse </w:t>
      </w:r>
      <w:r w:rsidRPr="00BE2FD0">
        <w:rPr>
          <w:rFonts w:ascii="Arial" w:hAnsi="Arial" w:cs="Arial"/>
        </w:rPr>
        <w:t>la demanda de casación) sobre</w:t>
      </w:r>
      <w:r w:rsidR="00181880" w:rsidRPr="00BE2FD0">
        <w:rPr>
          <w:rFonts w:ascii="Arial" w:hAnsi="Arial" w:cs="Arial"/>
        </w:rPr>
        <w:t xml:space="preserve"> el tema </w:t>
      </w:r>
      <w:r w:rsidRPr="00BE2FD0">
        <w:rPr>
          <w:rFonts w:ascii="Arial" w:hAnsi="Arial" w:cs="Arial"/>
        </w:rPr>
        <w:t>de la prescripción de la acción</w:t>
      </w:r>
      <w:r w:rsidR="00181880" w:rsidRPr="00BE2FD0">
        <w:rPr>
          <w:rFonts w:ascii="Arial" w:hAnsi="Arial" w:cs="Arial"/>
        </w:rPr>
        <w:t xml:space="preserve"> penal que </w:t>
      </w:r>
      <w:r w:rsidR="00911A97" w:rsidRPr="00BE2FD0">
        <w:rPr>
          <w:rFonts w:ascii="Arial" w:hAnsi="Arial" w:cs="Arial"/>
        </w:rPr>
        <w:t>solicita el peticionario, en caso de invocarse la causal 2ª del artículo 181 del CPP dentro del citado recurso extraordinario.</w:t>
      </w:r>
    </w:p>
    <w:p w:rsidR="00527E75" w:rsidRPr="00BE2FD0" w:rsidRDefault="004A560C" w:rsidP="00EC1A43">
      <w:pPr>
        <w:numPr>
          <w:ilvl w:val="0"/>
          <w:numId w:val="0"/>
        </w:numPr>
        <w:spacing w:line="240" w:lineRule="auto"/>
        <w:jc w:val="both"/>
        <w:rPr>
          <w:rFonts w:ascii="Arial" w:hAnsi="Arial" w:cs="Arial"/>
        </w:rPr>
      </w:pPr>
      <w:r w:rsidRPr="00BE2FD0">
        <w:rPr>
          <w:rFonts w:ascii="Arial" w:hAnsi="Arial" w:cs="Arial"/>
        </w:rPr>
        <w:t>3.9</w:t>
      </w:r>
      <w:r w:rsidR="00276131" w:rsidRPr="00BE2FD0">
        <w:rPr>
          <w:rFonts w:ascii="Arial" w:hAnsi="Arial" w:cs="Arial"/>
        </w:rPr>
        <w:t xml:space="preserve"> En ese sentido se debe reiterar </w:t>
      </w:r>
      <w:r w:rsidRPr="00BE2FD0">
        <w:rPr>
          <w:rFonts w:ascii="Arial" w:hAnsi="Arial" w:cs="Arial"/>
        </w:rPr>
        <w:t>sobre este tema específico,</w:t>
      </w:r>
      <w:r w:rsidR="000722E3" w:rsidRPr="00BE2FD0">
        <w:rPr>
          <w:rFonts w:ascii="Arial" w:hAnsi="Arial" w:cs="Arial"/>
        </w:rPr>
        <w:t xml:space="preserve"> </w:t>
      </w:r>
      <w:r w:rsidR="00276131" w:rsidRPr="00BE2FD0">
        <w:rPr>
          <w:rFonts w:ascii="Arial" w:hAnsi="Arial" w:cs="Arial"/>
        </w:rPr>
        <w:t xml:space="preserve">que en la sentencia CSJ SP del 2 de agosto de 2017, </w:t>
      </w:r>
      <w:r w:rsidR="000722E3" w:rsidRPr="00BE2FD0">
        <w:rPr>
          <w:rFonts w:ascii="Arial" w:hAnsi="Arial" w:cs="Arial"/>
        </w:rPr>
        <w:t xml:space="preserve">radicado 48.324, </w:t>
      </w:r>
      <w:r w:rsidR="00276131" w:rsidRPr="00BE2FD0">
        <w:rPr>
          <w:rFonts w:ascii="Arial" w:hAnsi="Arial" w:cs="Arial"/>
        </w:rPr>
        <w:t xml:space="preserve">que fue citada en precedencia, se dijo que al proferirse la sentencia de segunda instancia </w:t>
      </w:r>
      <w:r w:rsidR="00276131" w:rsidRPr="00BE2FD0">
        <w:rPr>
          <w:rFonts w:ascii="Arial" w:hAnsi="Arial" w:cs="Arial"/>
          <w:u w:val="single"/>
        </w:rPr>
        <w:t>se interrumpía el término de prescripción y que ese té</w:t>
      </w:r>
      <w:r w:rsidR="00FF45E0" w:rsidRPr="00BE2FD0">
        <w:rPr>
          <w:rFonts w:ascii="Arial" w:hAnsi="Arial" w:cs="Arial"/>
          <w:u w:val="single"/>
        </w:rPr>
        <w:t>r</w:t>
      </w:r>
      <w:r w:rsidR="00276131" w:rsidRPr="00BE2FD0">
        <w:rPr>
          <w:rFonts w:ascii="Arial" w:hAnsi="Arial" w:cs="Arial"/>
          <w:u w:val="single"/>
        </w:rPr>
        <w:t>mino empeza</w:t>
      </w:r>
      <w:r w:rsidR="00FF45E0" w:rsidRPr="00BE2FD0">
        <w:rPr>
          <w:rFonts w:ascii="Arial" w:hAnsi="Arial" w:cs="Arial"/>
          <w:u w:val="single"/>
        </w:rPr>
        <w:t>ba a correr d</w:t>
      </w:r>
      <w:r w:rsidRPr="00BE2FD0">
        <w:rPr>
          <w:rFonts w:ascii="Arial" w:hAnsi="Arial" w:cs="Arial"/>
          <w:u w:val="single"/>
        </w:rPr>
        <w:t>e nuevo por un período de cinco (5</w:t>
      </w:r>
      <w:r w:rsidR="00FF45E0" w:rsidRPr="00BE2FD0">
        <w:rPr>
          <w:rFonts w:ascii="Arial" w:hAnsi="Arial" w:cs="Arial"/>
          <w:u w:val="single"/>
        </w:rPr>
        <w:t>) años</w:t>
      </w:r>
      <w:r w:rsidR="00FF45E0" w:rsidRPr="00BE2FD0">
        <w:rPr>
          <w:rFonts w:ascii="Arial" w:hAnsi="Arial" w:cs="Arial"/>
        </w:rPr>
        <w:t>, q</w:t>
      </w:r>
      <w:r w:rsidRPr="00BE2FD0">
        <w:rPr>
          <w:rFonts w:ascii="Arial" w:hAnsi="Arial" w:cs="Arial"/>
        </w:rPr>
        <w:t xml:space="preserve">ue se entiende corresponde al </w:t>
      </w:r>
      <w:r w:rsidR="00527E75" w:rsidRPr="00BE2FD0">
        <w:rPr>
          <w:rFonts w:ascii="Arial" w:hAnsi="Arial" w:cs="Arial"/>
        </w:rPr>
        <w:t xml:space="preserve">previsto para el trámite de casación, que se surte ante la Sala de Decisión Penal de la CSJ, en virtud de la </w:t>
      </w:r>
      <w:r w:rsidRPr="00BE2FD0">
        <w:rPr>
          <w:rFonts w:ascii="Arial" w:hAnsi="Arial" w:cs="Arial"/>
        </w:rPr>
        <w:t>cláusula</w:t>
      </w:r>
      <w:r w:rsidR="00527E75" w:rsidRPr="00BE2FD0">
        <w:rPr>
          <w:rFonts w:ascii="Arial" w:hAnsi="Arial" w:cs="Arial"/>
        </w:rPr>
        <w:t xml:space="preserve"> de competencia que establece el numeral 1º del artículo 32 d</w:t>
      </w:r>
      <w:r w:rsidR="00955D54" w:rsidRPr="00BE2FD0">
        <w:rPr>
          <w:rFonts w:ascii="Arial" w:hAnsi="Arial" w:cs="Arial"/>
        </w:rPr>
        <w:t>e</w:t>
      </w:r>
      <w:r w:rsidR="00527E75" w:rsidRPr="00BE2FD0">
        <w:rPr>
          <w:rFonts w:ascii="Arial" w:hAnsi="Arial" w:cs="Arial"/>
        </w:rPr>
        <w:t xml:space="preserve"> la Ley 906 de 2004.</w:t>
      </w:r>
      <w:r w:rsidR="00276131" w:rsidRPr="00BE2FD0">
        <w:rPr>
          <w:rFonts w:ascii="Arial" w:hAnsi="Arial" w:cs="Arial"/>
        </w:rPr>
        <w:t xml:space="preserve"> </w:t>
      </w:r>
    </w:p>
    <w:p w:rsidR="00AD47E2" w:rsidRPr="00BE2FD0" w:rsidRDefault="004A560C" w:rsidP="00EC1A43">
      <w:pPr>
        <w:numPr>
          <w:ilvl w:val="0"/>
          <w:numId w:val="0"/>
        </w:numPr>
        <w:spacing w:line="240" w:lineRule="auto"/>
        <w:jc w:val="both"/>
        <w:rPr>
          <w:rFonts w:ascii="Arial" w:hAnsi="Arial" w:cs="Arial"/>
        </w:rPr>
      </w:pPr>
      <w:r w:rsidRPr="00BE2FD0">
        <w:rPr>
          <w:rFonts w:ascii="Arial" w:hAnsi="Arial" w:cs="Arial"/>
        </w:rPr>
        <w:lastRenderedPageBreak/>
        <w:t>3.10</w:t>
      </w:r>
      <w:r w:rsidR="00955D54" w:rsidRPr="00BE2FD0">
        <w:rPr>
          <w:rFonts w:ascii="Arial" w:hAnsi="Arial" w:cs="Arial"/>
        </w:rPr>
        <w:t xml:space="preserve"> Por lo tanto, en uno u otro escenario, </w:t>
      </w:r>
      <w:r w:rsidR="00911A97" w:rsidRPr="00BE2FD0">
        <w:rPr>
          <w:rFonts w:ascii="Arial" w:hAnsi="Arial" w:cs="Arial"/>
        </w:rPr>
        <w:t>se observa que esta Sala no podría pronunciarse sobre la solicitud del señor Rubén Darío Monsalve Londoño, por no tener competencia para ello</w:t>
      </w:r>
      <w:r w:rsidR="00AD47E2" w:rsidRPr="00BE2FD0">
        <w:rPr>
          <w:rFonts w:ascii="Arial" w:hAnsi="Arial" w:cs="Arial"/>
        </w:rPr>
        <w:t xml:space="preserve">, </w:t>
      </w:r>
      <w:r w:rsidR="00955D54" w:rsidRPr="00BE2FD0">
        <w:rPr>
          <w:rFonts w:ascii="Arial" w:hAnsi="Arial" w:cs="Arial"/>
        </w:rPr>
        <w:t xml:space="preserve">al haberse surtido los trámites de aprobación y comunicación del </w:t>
      </w:r>
      <w:r w:rsidR="00AD47E2" w:rsidRPr="00BE2FD0">
        <w:rPr>
          <w:rFonts w:ascii="Arial" w:hAnsi="Arial" w:cs="Arial"/>
        </w:rPr>
        <w:t>fallo de segunda instancia,</w:t>
      </w:r>
      <w:r w:rsidR="00955D54" w:rsidRPr="00BE2FD0">
        <w:rPr>
          <w:rFonts w:ascii="Arial" w:hAnsi="Arial" w:cs="Arial"/>
        </w:rPr>
        <w:t xml:space="preserve"> y estar corriendo el </w:t>
      </w:r>
      <w:r w:rsidR="000722E3" w:rsidRPr="00BE2FD0">
        <w:rPr>
          <w:rFonts w:ascii="Arial" w:hAnsi="Arial" w:cs="Arial"/>
        </w:rPr>
        <w:t xml:space="preserve">nuevo </w:t>
      </w:r>
      <w:r w:rsidR="00955D54" w:rsidRPr="00BE2FD0">
        <w:rPr>
          <w:rFonts w:ascii="Arial" w:hAnsi="Arial" w:cs="Arial"/>
        </w:rPr>
        <w:t xml:space="preserve">término de </w:t>
      </w:r>
      <w:r w:rsidR="000722E3" w:rsidRPr="00BE2FD0">
        <w:rPr>
          <w:rFonts w:ascii="Arial" w:hAnsi="Arial" w:cs="Arial"/>
        </w:rPr>
        <w:t xml:space="preserve">prescripción de cinco (5) años, que no </w:t>
      </w:r>
      <w:r w:rsidR="00955D54" w:rsidRPr="00BE2FD0">
        <w:rPr>
          <w:rFonts w:ascii="Arial" w:hAnsi="Arial" w:cs="Arial"/>
        </w:rPr>
        <w:t>transcurre para esta corporación</w:t>
      </w:r>
      <w:r w:rsidR="000722E3" w:rsidRPr="00BE2FD0">
        <w:rPr>
          <w:rFonts w:ascii="Arial" w:hAnsi="Arial" w:cs="Arial"/>
        </w:rPr>
        <w:t>, sino para la Sala de Decisión Penal de la Corte Suprema de Justicia</w:t>
      </w:r>
      <w:r w:rsidR="006F19C8" w:rsidRPr="00BE2FD0">
        <w:rPr>
          <w:rFonts w:ascii="Arial" w:hAnsi="Arial" w:cs="Arial"/>
        </w:rPr>
        <w:t>, como se acaba de explicar.</w:t>
      </w:r>
    </w:p>
    <w:p w:rsidR="004A560C" w:rsidRPr="00BE2FD0" w:rsidRDefault="004A560C" w:rsidP="00EC1A43">
      <w:pPr>
        <w:numPr>
          <w:ilvl w:val="0"/>
          <w:numId w:val="0"/>
        </w:numPr>
        <w:spacing w:line="240" w:lineRule="auto"/>
        <w:jc w:val="both"/>
        <w:rPr>
          <w:rFonts w:ascii="Arial" w:hAnsi="Arial" w:cs="Arial"/>
        </w:rPr>
      </w:pPr>
    </w:p>
    <w:p w:rsidR="00AD47E2" w:rsidRPr="00BE2FD0" w:rsidRDefault="00AD47E2" w:rsidP="00EC1A43">
      <w:pPr>
        <w:numPr>
          <w:ilvl w:val="0"/>
          <w:numId w:val="0"/>
        </w:numPr>
        <w:spacing w:line="240" w:lineRule="auto"/>
        <w:jc w:val="both"/>
        <w:rPr>
          <w:rFonts w:ascii="Arial" w:hAnsi="Arial" w:cs="Arial"/>
        </w:rPr>
      </w:pPr>
      <w:r w:rsidRPr="00BE2FD0">
        <w:rPr>
          <w:rFonts w:ascii="Arial" w:hAnsi="Arial" w:cs="Arial"/>
        </w:rPr>
        <w:t>Con base en lo expuesto anteriormente, la Sala de Decisión Penal del Tribunal Superior de Pereira, resuelve:</w:t>
      </w:r>
    </w:p>
    <w:p w:rsidR="00AD47E2" w:rsidRPr="00BE2FD0" w:rsidRDefault="00AD47E2" w:rsidP="00EC1A43">
      <w:pPr>
        <w:numPr>
          <w:ilvl w:val="0"/>
          <w:numId w:val="0"/>
        </w:numPr>
        <w:spacing w:line="240" w:lineRule="auto"/>
        <w:jc w:val="both"/>
        <w:rPr>
          <w:rFonts w:ascii="Arial" w:hAnsi="Arial" w:cs="Arial"/>
        </w:rPr>
      </w:pPr>
    </w:p>
    <w:p w:rsidR="00AD47E2" w:rsidRPr="00BE2FD0" w:rsidRDefault="004A560C" w:rsidP="00EC1A43">
      <w:pPr>
        <w:numPr>
          <w:ilvl w:val="0"/>
          <w:numId w:val="0"/>
        </w:numPr>
        <w:spacing w:line="240" w:lineRule="auto"/>
        <w:jc w:val="both"/>
        <w:rPr>
          <w:rFonts w:ascii="Arial" w:hAnsi="Arial" w:cs="Arial"/>
        </w:rPr>
      </w:pPr>
      <w:r w:rsidRPr="00BE2FD0">
        <w:rPr>
          <w:rFonts w:ascii="Arial" w:hAnsi="Arial" w:cs="Arial"/>
          <w:b/>
        </w:rPr>
        <w:t>PRIMERO</w:t>
      </w:r>
      <w:r w:rsidR="00AD47E2" w:rsidRPr="00BE2FD0">
        <w:rPr>
          <w:rFonts w:ascii="Arial" w:hAnsi="Arial" w:cs="Arial"/>
          <w:b/>
        </w:rPr>
        <w:t>: ABSTENERSE</w:t>
      </w:r>
      <w:r w:rsidR="00AD47E2" w:rsidRPr="00BE2FD0">
        <w:rPr>
          <w:rFonts w:ascii="Arial" w:hAnsi="Arial" w:cs="Arial"/>
        </w:rPr>
        <w:t xml:space="preserve"> de pronunciarse sobre la solicitud de declaratoria de prescripción de la acción penal, dentro del proceso adelantado contr</w:t>
      </w:r>
      <w:r w:rsidR="00C23044" w:rsidRPr="00BE2FD0">
        <w:rPr>
          <w:rFonts w:ascii="Arial" w:hAnsi="Arial" w:cs="Arial"/>
        </w:rPr>
        <w:t>a</w:t>
      </w:r>
      <w:r w:rsidR="00AD47E2" w:rsidRPr="00BE2FD0">
        <w:rPr>
          <w:rFonts w:ascii="Arial" w:hAnsi="Arial" w:cs="Arial"/>
        </w:rPr>
        <w:t xml:space="preserve"> el señor Rubén Darío Monsalve Londoño.</w:t>
      </w:r>
    </w:p>
    <w:p w:rsidR="00AD47E2" w:rsidRPr="00BE2FD0" w:rsidRDefault="00AD47E2" w:rsidP="00EC1A43">
      <w:pPr>
        <w:numPr>
          <w:ilvl w:val="0"/>
          <w:numId w:val="0"/>
        </w:numPr>
        <w:spacing w:line="240" w:lineRule="auto"/>
        <w:jc w:val="both"/>
        <w:rPr>
          <w:rFonts w:ascii="Arial" w:hAnsi="Arial" w:cs="Arial"/>
        </w:rPr>
      </w:pPr>
    </w:p>
    <w:p w:rsidR="00AD47E2" w:rsidRPr="00BE2FD0" w:rsidRDefault="00AD47E2" w:rsidP="00EC1A43">
      <w:pPr>
        <w:numPr>
          <w:ilvl w:val="0"/>
          <w:numId w:val="0"/>
        </w:numPr>
        <w:spacing w:line="240" w:lineRule="auto"/>
        <w:jc w:val="both"/>
        <w:rPr>
          <w:rFonts w:ascii="Arial" w:hAnsi="Arial" w:cs="Arial"/>
        </w:rPr>
      </w:pPr>
      <w:r w:rsidRPr="00BE2FD0">
        <w:rPr>
          <w:rFonts w:ascii="Arial" w:hAnsi="Arial" w:cs="Arial"/>
          <w:b/>
        </w:rPr>
        <w:t>SEGUNDO</w:t>
      </w:r>
      <w:r w:rsidRPr="00BE2FD0">
        <w:rPr>
          <w:rFonts w:ascii="Arial" w:hAnsi="Arial" w:cs="Arial"/>
        </w:rPr>
        <w:t>: Contra esta decisión no procede ningún</w:t>
      </w:r>
      <w:r w:rsidR="004A560C" w:rsidRPr="00BE2FD0">
        <w:rPr>
          <w:rFonts w:ascii="Arial" w:hAnsi="Arial" w:cs="Arial"/>
        </w:rPr>
        <w:t xml:space="preserve"> recurso</w:t>
      </w:r>
      <w:r w:rsidRPr="00BE2FD0">
        <w:rPr>
          <w:rFonts w:ascii="Arial" w:hAnsi="Arial" w:cs="Arial"/>
        </w:rPr>
        <w:t>.</w:t>
      </w:r>
    </w:p>
    <w:p w:rsidR="004A560C" w:rsidRPr="00BE2FD0" w:rsidRDefault="004A560C" w:rsidP="00EC1A43">
      <w:pPr>
        <w:numPr>
          <w:ilvl w:val="0"/>
          <w:numId w:val="0"/>
        </w:numPr>
        <w:spacing w:line="240" w:lineRule="auto"/>
        <w:jc w:val="both"/>
        <w:rPr>
          <w:rFonts w:ascii="Arial" w:hAnsi="Arial" w:cs="Arial"/>
        </w:rPr>
      </w:pPr>
    </w:p>
    <w:p w:rsidR="00AD47E2" w:rsidRPr="00BE2FD0" w:rsidRDefault="004A560C" w:rsidP="004A560C">
      <w:pPr>
        <w:numPr>
          <w:ilvl w:val="0"/>
          <w:numId w:val="0"/>
        </w:numPr>
        <w:spacing w:line="240" w:lineRule="auto"/>
        <w:jc w:val="center"/>
        <w:rPr>
          <w:rFonts w:ascii="Arial" w:hAnsi="Arial" w:cs="Arial"/>
          <w:b/>
        </w:rPr>
      </w:pPr>
      <w:r w:rsidRPr="00BE2FD0">
        <w:rPr>
          <w:rFonts w:ascii="Arial" w:hAnsi="Arial" w:cs="Arial"/>
          <w:b/>
        </w:rPr>
        <w:t>COMUNÍQUESE Y CÚ</w:t>
      </w:r>
      <w:r w:rsidR="00AD47E2" w:rsidRPr="00BE2FD0">
        <w:rPr>
          <w:rFonts w:ascii="Arial" w:hAnsi="Arial" w:cs="Arial"/>
          <w:b/>
        </w:rPr>
        <w:t>MPLASE.</w:t>
      </w:r>
    </w:p>
    <w:p w:rsidR="004A560C" w:rsidRPr="00BE2FD0" w:rsidRDefault="004A560C" w:rsidP="004A560C">
      <w:pPr>
        <w:numPr>
          <w:ilvl w:val="0"/>
          <w:numId w:val="0"/>
        </w:numPr>
        <w:tabs>
          <w:tab w:val="left" w:pos="7938"/>
        </w:tabs>
        <w:autoSpaceDE w:val="0"/>
        <w:autoSpaceDN w:val="0"/>
        <w:adjustRightInd w:val="0"/>
        <w:spacing w:after="120" w:line="240" w:lineRule="auto"/>
        <w:ind w:right="-136"/>
        <w:rPr>
          <w:rFonts w:ascii="Arial" w:eastAsia="Times New Roman" w:hAnsi="Arial" w:cs="Arial"/>
          <w:b/>
          <w:bCs/>
          <w:lang w:val="es-CO" w:eastAsia="es-ES"/>
        </w:rPr>
      </w:pPr>
    </w:p>
    <w:p w:rsidR="004A560C" w:rsidRPr="00BE2FD0" w:rsidRDefault="004A560C" w:rsidP="004A560C">
      <w:pPr>
        <w:numPr>
          <w:ilvl w:val="0"/>
          <w:numId w:val="0"/>
        </w:numPr>
        <w:tabs>
          <w:tab w:val="left" w:pos="7938"/>
        </w:tabs>
        <w:autoSpaceDE w:val="0"/>
        <w:autoSpaceDN w:val="0"/>
        <w:adjustRightInd w:val="0"/>
        <w:spacing w:after="120" w:line="240" w:lineRule="auto"/>
        <w:ind w:right="-136"/>
        <w:jc w:val="center"/>
        <w:rPr>
          <w:rFonts w:ascii="Arial" w:eastAsia="Times New Roman" w:hAnsi="Arial" w:cs="Arial"/>
          <w:b/>
          <w:bCs/>
          <w:lang w:val="es-CO" w:eastAsia="es-ES"/>
        </w:rPr>
      </w:pPr>
    </w:p>
    <w:p w:rsidR="004A560C" w:rsidRPr="00BE2FD0" w:rsidRDefault="004A560C" w:rsidP="004A560C">
      <w:pPr>
        <w:numPr>
          <w:ilvl w:val="0"/>
          <w:numId w:val="0"/>
        </w:numPr>
        <w:tabs>
          <w:tab w:val="left" w:pos="7938"/>
        </w:tabs>
        <w:autoSpaceDE w:val="0"/>
        <w:autoSpaceDN w:val="0"/>
        <w:adjustRightInd w:val="0"/>
        <w:spacing w:after="120" w:line="240" w:lineRule="auto"/>
        <w:ind w:right="-136"/>
        <w:jc w:val="center"/>
        <w:rPr>
          <w:rFonts w:ascii="Arial" w:eastAsia="Times New Roman" w:hAnsi="Arial" w:cs="Arial"/>
          <w:b/>
          <w:bCs/>
          <w:lang w:val="es-CO" w:eastAsia="es-ES"/>
        </w:rPr>
      </w:pPr>
    </w:p>
    <w:p w:rsidR="004A560C" w:rsidRPr="00BE2FD0" w:rsidRDefault="004A560C" w:rsidP="004A560C">
      <w:pPr>
        <w:numPr>
          <w:ilvl w:val="0"/>
          <w:numId w:val="0"/>
        </w:numPr>
        <w:spacing w:after="0" w:line="240" w:lineRule="auto"/>
        <w:ind w:left="360"/>
        <w:jc w:val="center"/>
        <w:rPr>
          <w:rFonts w:ascii="Arial" w:eastAsia="Times New Roman" w:hAnsi="Arial" w:cs="Arial"/>
          <w:b/>
          <w:bCs/>
          <w:lang w:val="es-ES_tradnl"/>
        </w:rPr>
      </w:pPr>
      <w:r w:rsidRPr="00BE2FD0">
        <w:rPr>
          <w:rFonts w:ascii="Arial" w:eastAsia="Times New Roman" w:hAnsi="Arial" w:cs="Arial"/>
          <w:b/>
          <w:bCs/>
          <w:lang w:val="es-ES_tradnl"/>
        </w:rPr>
        <w:t>JAIRO ERNESTO ESCOBAR SANZ</w:t>
      </w:r>
    </w:p>
    <w:p w:rsidR="004A560C" w:rsidRPr="00BE2FD0" w:rsidRDefault="004A560C" w:rsidP="004A560C">
      <w:pPr>
        <w:numPr>
          <w:ilvl w:val="0"/>
          <w:numId w:val="0"/>
        </w:numPr>
        <w:spacing w:after="0" w:line="240" w:lineRule="auto"/>
        <w:ind w:left="360"/>
        <w:jc w:val="center"/>
        <w:rPr>
          <w:rFonts w:ascii="Arial" w:eastAsia="Times New Roman" w:hAnsi="Arial" w:cs="Arial"/>
          <w:b/>
          <w:bCs/>
          <w:lang w:val="es-ES_tradnl"/>
        </w:rPr>
      </w:pPr>
      <w:r w:rsidRPr="00BE2FD0">
        <w:rPr>
          <w:rFonts w:ascii="Arial" w:eastAsia="Times New Roman" w:hAnsi="Arial" w:cs="Arial"/>
          <w:b/>
          <w:bCs/>
          <w:lang w:val="es-ES_tradnl"/>
        </w:rPr>
        <w:t>Magistrado</w:t>
      </w:r>
    </w:p>
    <w:p w:rsidR="004A560C" w:rsidRPr="00BE2FD0" w:rsidRDefault="004A560C" w:rsidP="004A560C">
      <w:pPr>
        <w:numPr>
          <w:ilvl w:val="0"/>
          <w:numId w:val="0"/>
        </w:numPr>
        <w:spacing w:after="0" w:line="240" w:lineRule="auto"/>
        <w:ind w:left="360"/>
        <w:jc w:val="center"/>
        <w:rPr>
          <w:rFonts w:ascii="Arial" w:eastAsia="Times New Roman" w:hAnsi="Arial" w:cs="Arial"/>
          <w:b/>
          <w:bCs/>
          <w:lang w:val="es-ES_tradnl"/>
        </w:rPr>
      </w:pPr>
    </w:p>
    <w:p w:rsidR="004A560C" w:rsidRPr="00BE2FD0" w:rsidRDefault="004A560C" w:rsidP="00CC37C2">
      <w:pPr>
        <w:numPr>
          <w:ilvl w:val="0"/>
          <w:numId w:val="0"/>
        </w:numPr>
        <w:spacing w:after="0" w:line="240" w:lineRule="auto"/>
        <w:rPr>
          <w:rFonts w:ascii="Arial" w:eastAsia="Times New Roman" w:hAnsi="Arial" w:cs="Arial"/>
          <w:b/>
          <w:bCs/>
          <w:lang w:val="es-ES_tradnl"/>
        </w:rPr>
      </w:pPr>
    </w:p>
    <w:p w:rsidR="004A560C" w:rsidRPr="00BE2FD0" w:rsidRDefault="004A560C" w:rsidP="004A560C">
      <w:pPr>
        <w:numPr>
          <w:ilvl w:val="0"/>
          <w:numId w:val="0"/>
        </w:numPr>
        <w:spacing w:after="0" w:line="240" w:lineRule="auto"/>
        <w:ind w:left="360"/>
        <w:jc w:val="center"/>
        <w:rPr>
          <w:rFonts w:ascii="Arial" w:eastAsia="Times New Roman" w:hAnsi="Arial" w:cs="Arial"/>
          <w:b/>
          <w:bCs/>
          <w:lang w:val="es-ES_tradnl"/>
        </w:rPr>
      </w:pPr>
    </w:p>
    <w:p w:rsidR="004A560C" w:rsidRPr="00BE2FD0" w:rsidRDefault="004A560C" w:rsidP="004A560C">
      <w:pPr>
        <w:numPr>
          <w:ilvl w:val="0"/>
          <w:numId w:val="0"/>
        </w:numPr>
        <w:spacing w:after="0" w:line="240" w:lineRule="auto"/>
        <w:ind w:left="360"/>
        <w:jc w:val="center"/>
        <w:rPr>
          <w:rFonts w:ascii="Arial" w:eastAsia="Times New Roman" w:hAnsi="Arial" w:cs="Arial"/>
          <w:b/>
          <w:bCs/>
          <w:lang w:val="es-ES_tradnl"/>
        </w:rPr>
      </w:pPr>
    </w:p>
    <w:p w:rsidR="004A560C" w:rsidRPr="00BE2FD0" w:rsidRDefault="004A560C" w:rsidP="004A560C">
      <w:pPr>
        <w:numPr>
          <w:ilvl w:val="0"/>
          <w:numId w:val="0"/>
        </w:numPr>
        <w:spacing w:after="0" w:line="240" w:lineRule="auto"/>
        <w:ind w:left="360"/>
        <w:jc w:val="center"/>
        <w:rPr>
          <w:rFonts w:ascii="Arial" w:eastAsia="Times New Roman" w:hAnsi="Arial" w:cs="Arial"/>
          <w:b/>
          <w:bCs/>
          <w:lang w:val="es-CO"/>
        </w:rPr>
      </w:pPr>
      <w:r w:rsidRPr="00BE2FD0">
        <w:rPr>
          <w:rFonts w:ascii="Arial" w:eastAsia="Times New Roman" w:hAnsi="Arial" w:cs="Arial"/>
          <w:b/>
          <w:bCs/>
          <w:lang w:val="es-CO"/>
        </w:rPr>
        <w:t>MANUEL YARZAGARAY BANDERA</w:t>
      </w:r>
    </w:p>
    <w:p w:rsidR="004A560C" w:rsidRPr="00BE2FD0" w:rsidRDefault="004A560C" w:rsidP="004A560C">
      <w:pPr>
        <w:numPr>
          <w:ilvl w:val="0"/>
          <w:numId w:val="0"/>
        </w:numPr>
        <w:spacing w:after="0" w:line="240" w:lineRule="auto"/>
        <w:ind w:left="360"/>
        <w:jc w:val="center"/>
        <w:rPr>
          <w:rFonts w:ascii="Arial" w:eastAsia="Times New Roman" w:hAnsi="Arial" w:cs="Arial"/>
          <w:b/>
          <w:bCs/>
          <w:lang w:val="es-CO"/>
        </w:rPr>
      </w:pPr>
      <w:r w:rsidRPr="00BE2FD0">
        <w:rPr>
          <w:rFonts w:ascii="Arial" w:eastAsia="Times New Roman" w:hAnsi="Arial" w:cs="Arial"/>
          <w:b/>
          <w:bCs/>
          <w:lang w:val="es-CO"/>
        </w:rPr>
        <w:t>Magistrado</w:t>
      </w:r>
    </w:p>
    <w:p w:rsidR="00CC37C2" w:rsidRPr="00BE2FD0" w:rsidRDefault="00CC37C2" w:rsidP="004A560C">
      <w:pPr>
        <w:numPr>
          <w:ilvl w:val="0"/>
          <w:numId w:val="0"/>
        </w:numPr>
        <w:spacing w:after="0" w:line="240" w:lineRule="auto"/>
        <w:ind w:left="360"/>
        <w:jc w:val="center"/>
        <w:rPr>
          <w:rFonts w:ascii="Arial" w:eastAsia="Times New Roman" w:hAnsi="Arial" w:cs="Arial"/>
          <w:b/>
          <w:bCs/>
          <w:lang w:val="es-CO"/>
        </w:rPr>
      </w:pPr>
    </w:p>
    <w:p w:rsidR="00CC37C2" w:rsidRPr="00BE2FD0" w:rsidRDefault="00CC37C2" w:rsidP="004A560C">
      <w:pPr>
        <w:numPr>
          <w:ilvl w:val="0"/>
          <w:numId w:val="0"/>
        </w:numPr>
        <w:spacing w:after="0" w:line="240" w:lineRule="auto"/>
        <w:ind w:left="360"/>
        <w:jc w:val="center"/>
        <w:rPr>
          <w:rFonts w:ascii="Arial" w:eastAsia="Times New Roman" w:hAnsi="Arial" w:cs="Arial"/>
          <w:b/>
          <w:bCs/>
          <w:lang w:val="es-CO"/>
        </w:rPr>
      </w:pPr>
    </w:p>
    <w:p w:rsidR="00CC37C2" w:rsidRPr="00BE2FD0" w:rsidRDefault="00CC37C2" w:rsidP="004A560C">
      <w:pPr>
        <w:numPr>
          <w:ilvl w:val="0"/>
          <w:numId w:val="0"/>
        </w:numPr>
        <w:spacing w:after="0" w:line="240" w:lineRule="auto"/>
        <w:ind w:left="360"/>
        <w:jc w:val="center"/>
        <w:rPr>
          <w:rFonts w:ascii="Arial" w:eastAsia="Times New Roman" w:hAnsi="Arial" w:cs="Arial"/>
          <w:b/>
          <w:bCs/>
          <w:lang w:val="es-CO"/>
        </w:rPr>
      </w:pPr>
    </w:p>
    <w:p w:rsidR="00CC37C2" w:rsidRPr="00BE2FD0" w:rsidRDefault="00CC37C2" w:rsidP="004A560C">
      <w:pPr>
        <w:numPr>
          <w:ilvl w:val="0"/>
          <w:numId w:val="0"/>
        </w:numPr>
        <w:spacing w:after="0" w:line="240" w:lineRule="auto"/>
        <w:ind w:left="360"/>
        <w:jc w:val="center"/>
        <w:rPr>
          <w:rFonts w:ascii="Arial" w:eastAsia="Times New Roman" w:hAnsi="Arial" w:cs="Arial"/>
          <w:b/>
          <w:bCs/>
          <w:lang w:val="es-CO"/>
        </w:rPr>
      </w:pPr>
    </w:p>
    <w:p w:rsidR="00CC37C2" w:rsidRPr="00BE2FD0" w:rsidRDefault="00CC37C2" w:rsidP="00CC37C2">
      <w:pPr>
        <w:numPr>
          <w:ilvl w:val="0"/>
          <w:numId w:val="0"/>
        </w:numPr>
        <w:spacing w:after="0" w:line="240" w:lineRule="auto"/>
        <w:ind w:left="360"/>
        <w:jc w:val="center"/>
        <w:rPr>
          <w:rFonts w:ascii="Arial" w:eastAsia="Times New Roman" w:hAnsi="Arial" w:cs="Arial"/>
          <w:b/>
          <w:bCs/>
          <w:lang w:val="es-ES_tradnl"/>
        </w:rPr>
      </w:pPr>
      <w:r w:rsidRPr="00BE2FD0">
        <w:rPr>
          <w:rFonts w:ascii="Arial" w:eastAsia="Times New Roman" w:hAnsi="Arial" w:cs="Arial"/>
          <w:b/>
          <w:bCs/>
          <w:lang w:val="es-ES_tradnl"/>
        </w:rPr>
        <w:t>JORGE ARTURO CASTAÑO DUQUE</w:t>
      </w:r>
    </w:p>
    <w:p w:rsidR="00CC37C2" w:rsidRPr="00BE2FD0" w:rsidRDefault="00CC37C2" w:rsidP="00CC37C2">
      <w:pPr>
        <w:numPr>
          <w:ilvl w:val="0"/>
          <w:numId w:val="0"/>
        </w:numPr>
        <w:spacing w:after="0" w:line="240" w:lineRule="auto"/>
        <w:ind w:left="360"/>
        <w:jc w:val="center"/>
        <w:rPr>
          <w:rFonts w:ascii="Arial" w:eastAsia="Times New Roman" w:hAnsi="Arial" w:cs="Arial"/>
          <w:b/>
          <w:bCs/>
          <w:lang w:val="es-ES_tradnl"/>
        </w:rPr>
      </w:pPr>
      <w:r w:rsidRPr="00BE2FD0">
        <w:rPr>
          <w:rFonts w:ascii="Arial" w:eastAsia="Times New Roman" w:hAnsi="Arial" w:cs="Arial"/>
          <w:b/>
          <w:bCs/>
          <w:lang w:val="es-ES_tradnl"/>
        </w:rPr>
        <w:t>Magistrado</w:t>
      </w:r>
    </w:p>
    <w:p w:rsidR="00CC37C2" w:rsidRPr="00BE2FD0" w:rsidRDefault="00CC37C2" w:rsidP="00CC37C2">
      <w:pPr>
        <w:numPr>
          <w:ilvl w:val="0"/>
          <w:numId w:val="0"/>
        </w:numPr>
        <w:spacing w:after="0" w:line="240" w:lineRule="auto"/>
        <w:ind w:left="360"/>
        <w:jc w:val="center"/>
        <w:rPr>
          <w:rFonts w:ascii="Arial" w:eastAsia="Times New Roman" w:hAnsi="Arial" w:cs="Arial"/>
          <w:b/>
          <w:bCs/>
          <w:lang w:val="es-ES_tradnl"/>
        </w:rPr>
      </w:pPr>
    </w:p>
    <w:p w:rsidR="00E046D8" w:rsidRPr="00BE2FD0" w:rsidRDefault="00E046D8" w:rsidP="004A560C">
      <w:pPr>
        <w:numPr>
          <w:ilvl w:val="0"/>
          <w:numId w:val="0"/>
        </w:numPr>
        <w:spacing w:line="240" w:lineRule="auto"/>
        <w:jc w:val="center"/>
        <w:rPr>
          <w:rFonts w:ascii="Arial" w:hAnsi="Arial" w:cs="Arial"/>
          <w:b/>
          <w:lang w:val="es-CO"/>
        </w:rPr>
      </w:pPr>
    </w:p>
    <w:sectPr w:rsidR="00E046D8" w:rsidRPr="00BE2FD0" w:rsidSect="004A560C">
      <w:headerReference w:type="default" r:id="rId10"/>
      <w:footerReference w:type="default" r:id="rId11"/>
      <w:pgSz w:w="12242" w:h="19442" w:code="26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9A" w:rsidRDefault="00AA079A" w:rsidP="00F70734">
      <w:pPr>
        <w:spacing w:after="0" w:line="240" w:lineRule="auto"/>
      </w:pPr>
      <w:r>
        <w:separator/>
      </w:r>
    </w:p>
  </w:endnote>
  <w:endnote w:type="continuationSeparator" w:id="0">
    <w:p w:rsidR="00AA079A" w:rsidRDefault="00AA079A" w:rsidP="00F7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
    <w:altName w:val="¢®E¡ËcE¡Ë¢çEcE¡Ë¢çE¢®EcEcE¡Ë¢çE"/>
    <w:panose1 w:val="00000000000000000000"/>
    <w:charset w:val="81"/>
    <w:family w:val="auto"/>
    <w:notTrueType/>
    <w:pitch w:val="fixed"/>
    <w:sig w:usb0="00000001" w:usb1="09060000" w:usb2="00000010" w:usb3="00000000" w:csb0="00080000"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Batang">
    <w:altName w:val="¹ÙÅÁ"/>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1707"/>
      <w:docPartObj>
        <w:docPartGallery w:val="Page Numbers (Bottom of Page)"/>
        <w:docPartUnique/>
      </w:docPartObj>
    </w:sdtPr>
    <w:sdtEndPr/>
    <w:sdtContent>
      <w:sdt>
        <w:sdtPr>
          <w:id w:val="-1705238520"/>
          <w:docPartObj>
            <w:docPartGallery w:val="Page Numbers (Top of Page)"/>
            <w:docPartUnique/>
          </w:docPartObj>
        </w:sdtPr>
        <w:sdtEndPr/>
        <w:sdtContent>
          <w:p w:rsidR="003E40A2" w:rsidRDefault="003E40A2">
            <w:pPr>
              <w:pStyle w:val="Piedepgina"/>
            </w:pPr>
            <w:r w:rsidRPr="003E40A2">
              <w:rPr>
                <w:rFonts w:ascii="Arial" w:hAnsi="Arial" w:cs="Arial"/>
                <w:sz w:val="20"/>
                <w:szCs w:val="20"/>
                <w:lang w:val="es-ES"/>
              </w:rPr>
              <w:t xml:space="preserve">Página </w:t>
            </w:r>
            <w:r w:rsidRPr="003E40A2">
              <w:rPr>
                <w:rFonts w:ascii="Arial" w:hAnsi="Arial" w:cs="Arial"/>
                <w:b/>
                <w:bCs/>
                <w:sz w:val="20"/>
                <w:szCs w:val="20"/>
              </w:rPr>
              <w:fldChar w:fldCharType="begin"/>
            </w:r>
            <w:r w:rsidRPr="003E40A2">
              <w:rPr>
                <w:rFonts w:ascii="Arial" w:hAnsi="Arial" w:cs="Arial"/>
                <w:b/>
                <w:bCs/>
                <w:sz w:val="20"/>
                <w:szCs w:val="20"/>
              </w:rPr>
              <w:instrText>PAGE</w:instrText>
            </w:r>
            <w:r w:rsidRPr="003E40A2">
              <w:rPr>
                <w:rFonts w:ascii="Arial" w:hAnsi="Arial" w:cs="Arial"/>
                <w:b/>
                <w:bCs/>
                <w:sz w:val="20"/>
                <w:szCs w:val="20"/>
              </w:rPr>
              <w:fldChar w:fldCharType="separate"/>
            </w:r>
            <w:r w:rsidR="00BE2FD0">
              <w:rPr>
                <w:rFonts w:ascii="Arial" w:hAnsi="Arial" w:cs="Arial"/>
                <w:b/>
                <w:bCs/>
                <w:noProof/>
                <w:sz w:val="20"/>
                <w:szCs w:val="20"/>
              </w:rPr>
              <w:t>7</w:t>
            </w:r>
            <w:r w:rsidRPr="003E40A2">
              <w:rPr>
                <w:rFonts w:ascii="Arial" w:hAnsi="Arial" w:cs="Arial"/>
                <w:b/>
                <w:bCs/>
                <w:sz w:val="20"/>
                <w:szCs w:val="20"/>
              </w:rPr>
              <w:fldChar w:fldCharType="end"/>
            </w:r>
            <w:r w:rsidRPr="003E40A2">
              <w:rPr>
                <w:rFonts w:ascii="Arial" w:hAnsi="Arial" w:cs="Arial"/>
                <w:sz w:val="20"/>
                <w:szCs w:val="20"/>
                <w:lang w:val="es-ES"/>
              </w:rPr>
              <w:t xml:space="preserve"> de </w:t>
            </w:r>
            <w:r w:rsidRPr="003E40A2">
              <w:rPr>
                <w:rFonts w:ascii="Arial" w:hAnsi="Arial" w:cs="Arial"/>
                <w:b/>
                <w:bCs/>
                <w:sz w:val="20"/>
                <w:szCs w:val="20"/>
              </w:rPr>
              <w:fldChar w:fldCharType="begin"/>
            </w:r>
            <w:r w:rsidRPr="003E40A2">
              <w:rPr>
                <w:rFonts w:ascii="Arial" w:hAnsi="Arial" w:cs="Arial"/>
                <w:b/>
                <w:bCs/>
                <w:sz w:val="20"/>
                <w:szCs w:val="20"/>
              </w:rPr>
              <w:instrText>NUMPAGES</w:instrText>
            </w:r>
            <w:r w:rsidRPr="003E40A2">
              <w:rPr>
                <w:rFonts w:ascii="Arial" w:hAnsi="Arial" w:cs="Arial"/>
                <w:b/>
                <w:bCs/>
                <w:sz w:val="20"/>
                <w:szCs w:val="20"/>
              </w:rPr>
              <w:fldChar w:fldCharType="separate"/>
            </w:r>
            <w:r w:rsidR="00BE2FD0">
              <w:rPr>
                <w:rFonts w:ascii="Arial" w:hAnsi="Arial" w:cs="Arial"/>
                <w:b/>
                <w:bCs/>
                <w:noProof/>
                <w:sz w:val="20"/>
                <w:szCs w:val="20"/>
              </w:rPr>
              <w:t>7</w:t>
            </w:r>
            <w:r w:rsidRPr="003E40A2">
              <w:rPr>
                <w:rFonts w:ascii="Arial" w:hAnsi="Arial" w:cs="Arial"/>
                <w:b/>
                <w:bCs/>
                <w:sz w:val="20"/>
                <w:szCs w:val="20"/>
              </w:rPr>
              <w:fldChar w:fldCharType="end"/>
            </w:r>
          </w:p>
        </w:sdtContent>
      </w:sdt>
    </w:sdtContent>
  </w:sdt>
  <w:p w:rsidR="003E40A2" w:rsidRDefault="003E40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9A" w:rsidRDefault="00AA079A" w:rsidP="00F70734">
      <w:pPr>
        <w:spacing w:after="0" w:line="240" w:lineRule="auto"/>
      </w:pPr>
      <w:r>
        <w:separator/>
      </w:r>
    </w:p>
  </w:footnote>
  <w:footnote w:type="continuationSeparator" w:id="0">
    <w:p w:rsidR="00AA079A" w:rsidRDefault="00AA079A" w:rsidP="00F70734">
      <w:pPr>
        <w:spacing w:after="0" w:line="240" w:lineRule="auto"/>
      </w:pPr>
      <w:r>
        <w:continuationSeparator/>
      </w:r>
    </w:p>
  </w:footnote>
  <w:footnote w:id="1">
    <w:p w:rsidR="00F3199F" w:rsidRDefault="00F3199F">
      <w:pPr>
        <w:pStyle w:val="Textonotapie"/>
      </w:pPr>
      <w:r>
        <w:rPr>
          <w:rStyle w:val="Refdenotaalpie"/>
        </w:rPr>
        <w:footnoteRef/>
      </w:r>
      <w:r>
        <w:t xml:space="preserve"> Sobre el tema ver CSJ SP del 25 de enero de 2017, radicado 48705; 8 de marzo de 2017 radicado 49826  y 15 de noviembre de 2017, radicado 47.716,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60C" w:rsidRPr="004A560C" w:rsidRDefault="004A560C" w:rsidP="003E40A2">
    <w:pPr>
      <w:numPr>
        <w:ilvl w:val="0"/>
        <w:numId w:val="0"/>
      </w:numPr>
      <w:tabs>
        <w:tab w:val="center" w:pos="3544"/>
        <w:tab w:val="right" w:pos="8504"/>
      </w:tabs>
      <w:spacing w:after="0" w:line="240" w:lineRule="auto"/>
      <w:jc w:val="right"/>
      <w:rPr>
        <w:rFonts w:ascii="Arial" w:hAnsi="Arial" w:cs="Arial"/>
        <w:b/>
        <w:sz w:val="18"/>
        <w:szCs w:val="18"/>
        <w:lang w:val="es-CO"/>
      </w:rPr>
    </w:pPr>
    <w:r w:rsidRPr="004A560C">
      <w:rPr>
        <w:rFonts w:ascii="Arial" w:hAnsi="Arial" w:cs="Arial"/>
        <w:b/>
        <w:sz w:val="18"/>
        <w:szCs w:val="18"/>
        <w:lang w:val="es-CO"/>
      </w:rPr>
      <w:t>Radicado: 66001 60 00 058 2007 03445 02</w:t>
    </w:r>
  </w:p>
  <w:p w:rsidR="004A560C" w:rsidRPr="004A560C" w:rsidRDefault="004A560C" w:rsidP="003E40A2">
    <w:pPr>
      <w:numPr>
        <w:ilvl w:val="0"/>
        <w:numId w:val="0"/>
      </w:numPr>
      <w:tabs>
        <w:tab w:val="center" w:pos="3544"/>
        <w:tab w:val="right" w:pos="8504"/>
      </w:tabs>
      <w:spacing w:after="0" w:line="240" w:lineRule="auto"/>
      <w:jc w:val="right"/>
      <w:rPr>
        <w:rFonts w:ascii="Arial" w:hAnsi="Arial" w:cs="Arial"/>
        <w:b/>
        <w:sz w:val="18"/>
        <w:szCs w:val="18"/>
        <w:lang w:val="es-CO"/>
      </w:rPr>
    </w:pPr>
    <w:r w:rsidRPr="004A560C">
      <w:rPr>
        <w:rFonts w:ascii="Arial" w:hAnsi="Arial" w:cs="Arial"/>
        <w:b/>
        <w:sz w:val="18"/>
        <w:szCs w:val="18"/>
        <w:lang w:val="es-CO"/>
      </w:rPr>
      <w:t>Acusado: Rubén Darío Monsalve Londoño</w:t>
    </w:r>
  </w:p>
  <w:p w:rsidR="004A560C" w:rsidRPr="004A560C" w:rsidRDefault="004A560C" w:rsidP="003E40A2">
    <w:pPr>
      <w:numPr>
        <w:ilvl w:val="0"/>
        <w:numId w:val="0"/>
      </w:numPr>
      <w:tabs>
        <w:tab w:val="center" w:pos="3544"/>
        <w:tab w:val="right" w:pos="8504"/>
      </w:tabs>
      <w:spacing w:after="0" w:line="240" w:lineRule="auto"/>
      <w:jc w:val="right"/>
      <w:rPr>
        <w:rFonts w:ascii="Arial" w:hAnsi="Arial" w:cs="Arial"/>
        <w:b/>
        <w:sz w:val="18"/>
        <w:szCs w:val="18"/>
        <w:lang w:val="es-CO"/>
      </w:rPr>
    </w:pPr>
    <w:r w:rsidRPr="004A560C">
      <w:rPr>
        <w:rFonts w:ascii="Arial" w:hAnsi="Arial" w:cs="Arial"/>
        <w:b/>
        <w:sz w:val="18"/>
        <w:szCs w:val="18"/>
        <w:lang w:val="es-CO"/>
      </w:rPr>
      <w:t xml:space="preserve">Delito: Concusión </w:t>
    </w:r>
  </w:p>
  <w:p w:rsidR="004A560C" w:rsidRPr="004A560C" w:rsidRDefault="004A560C" w:rsidP="003E40A2">
    <w:pPr>
      <w:numPr>
        <w:ilvl w:val="0"/>
        <w:numId w:val="0"/>
      </w:numPr>
      <w:tabs>
        <w:tab w:val="center" w:pos="3544"/>
        <w:tab w:val="center" w:pos="3969"/>
        <w:tab w:val="right" w:pos="8504"/>
      </w:tabs>
      <w:spacing w:after="0" w:line="240" w:lineRule="auto"/>
      <w:jc w:val="right"/>
      <w:rPr>
        <w:rFonts w:ascii="Arial" w:hAnsi="Arial" w:cs="Arial"/>
        <w:b/>
        <w:sz w:val="18"/>
        <w:szCs w:val="18"/>
        <w:lang w:val="es-CO"/>
      </w:rPr>
    </w:pPr>
    <w:r w:rsidRPr="004A560C">
      <w:rPr>
        <w:rFonts w:ascii="Arial" w:hAnsi="Arial" w:cs="Arial"/>
        <w:b/>
        <w:sz w:val="18"/>
        <w:szCs w:val="18"/>
        <w:lang w:val="es-CO"/>
      </w:rPr>
      <w:t xml:space="preserve">Asunto: </w:t>
    </w:r>
    <w:r w:rsidR="003E40A2" w:rsidRPr="003E40A2">
      <w:rPr>
        <w:rFonts w:ascii="Arial" w:hAnsi="Arial" w:cs="Arial"/>
        <w:b/>
        <w:sz w:val="18"/>
        <w:szCs w:val="18"/>
        <w:lang w:val="es-CO"/>
      </w:rPr>
      <w:t>Se abstiene de resolver solicitud de prescripción</w:t>
    </w:r>
  </w:p>
  <w:p w:rsidR="004A560C" w:rsidRPr="003E40A2" w:rsidRDefault="004A560C">
    <w:pPr>
      <w:pStyle w:val="Encabezado"/>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D7085"/>
    <w:multiLevelType w:val="hybridMultilevel"/>
    <w:tmpl w:val="F878B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2010D0"/>
    <w:multiLevelType w:val="hybridMultilevel"/>
    <w:tmpl w:val="6B2871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B54C1D"/>
    <w:multiLevelType w:val="hybridMultilevel"/>
    <w:tmpl w:val="D3B458DC"/>
    <w:lvl w:ilvl="0" w:tplc="51FA7ED0">
      <w:start w:val="1"/>
      <w:numFmt w:val="bullet"/>
      <w:pStyle w:val="Normal"/>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24F5046C"/>
    <w:multiLevelType w:val="hybridMultilevel"/>
    <w:tmpl w:val="AC467E5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3C5C61BB"/>
    <w:multiLevelType w:val="hybridMultilevel"/>
    <w:tmpl w:val="4FDE89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9247FB"/>
    <w:multiLevelType w:val="multilevel"/>
    <w:tmpl w:val="37A8AF8C"/>
    <w:lvl w:ilvl="0">
      <w:start w:val="1"/>
      <w:numFmt w:val="decimal"/>
      <w:pStyle w:val="Sinespaciad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5"/>
  </w:num>
  <w:num w:numId="3">
    <w:abstractNumId w:val="4"/>
  </w:num>
  <w:num w:numId="4">
    <w:abstractNumId w:val="3"/>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DC"/>
    <w:rsid w:val="00041F4B"/>
    <w:rsid w:val="000722E3"/>
    <w:rsid w:val="000C2581"/>
    <w:rsid w:val="000D749C"/>
    <w:rsid w:val="00113FFE"/>
    <w:rsid w:val="00181880"/>
    <w:rsid w:val="001D0F1B"/>
    <w:rsid w:val="001E7374"/>
    <w:rsid w:val="002009A3"/>
    <w:rsid w:val="002077EB"/>
    <w:rsid w:val="00240C69"/>
    <w:rsid w:val="00265EA8"/>
    <w:rsid w:val="002734C5"/>
    <w:rsid w:val="00276131"/>
    <w:rsid w:val="00284B7E"/>
    <w:rsid w:val="00293F96"/>
    <w:rsid w:val="002F3254"/>
    <w:rsid w:val="003A5099"/>
    <w:rsid w:val="003E40A2"/>
    <w:rsid w:val="00440573"/>
    <w:rsid w:val="00471661"/>
    <w:rsid w:val="004A560C"/>
    <w:rsid w:val="004E119D"/>
    <w:rsid w:val="004E22F7"/>
    <w:rsid w:val="004E46B2"/>
    <w:rsid w:val="00527E75"/>
    <w:rsid w:val="005A00D1"/>
    <w:rsid w:val="005B44E8"/>
    <w:rsid w:val="005F6246"/>
    <w:rsid w:val="006651C4"/>
    <w:rsid w:val="006F19C8"/>
    <w:rsid w:val="006F2584"/>
    <w:rsid w:val="00765E18"/>
    <w:rsid w:val="00775A91"/>
    <w:rsid w:val="00787F2B"/>
    <w:rsid w:val="007D4CF2"/>
    <w:rsid w:val="007E2F1B"/>
    <w:rsid w:val="008A3A25"/>
    <w:rsid w:val="008B3EF3"/>
    <w:rsid w:val="008C4F22"/>
    <w:rsid w:val="008E4ABD"/>
    <w:rsid w:val="00911A97"/>
    <w:rsid w:val="009472F7"/>
    <w:rsid w:val="00955D54"/>
    <w:rsid w:val="009652DD"/>
    <w:rsid w:val="009C19DC"/>
    <w:rsid w:val="00A12A2D"/>
    <w:rsid w:val="00A427C5"/>
    <w:rsid w:val="00A53AD6"/>
    <w:rsid w:val="00A95240"/>
    <w:rsid w:val="00AA079A"/>
    <w:rsid w:val="00AD3325"/>
    <w:rsid w:val="00AD47E2"/>
    <w:rsid w:val="00AE46BD"/>
    <w:rsid w:val="00B3533C"/>
    <w:rsid w:val="00B40679"/>
    <w:rsid w:val="00B81323"/>
    <w:rsid w:val="00BE150D"/>
    <w:rsid w:val="00BE2FD0"/>
    <w:rsid w:val="00C04A7C"/>
    <w:rsid w:val="00C23044"/>
    <w:rsid w:val="00C416F7"/>
    <w:rsid w:val="00C6345C"/>
    <w:rsid w:val="00C649F1"/>
    <w:rsid w:val="00CB4F41"/>
    <w:rsid w:val="00CB78E6"/>
    <w:rsid w:val="00CC37C2"/>
    <w:rsid w:val="00D542DF"/>
    <w:rsid w:val="00E04022"/>
    <w:rsid w:val="00E046D8"/>
    <w:rsid w:val="00E45273"/>
    <w:rsid w:val="00E92379"/>
    <w:rsid w:val="00EB5451"/>
    <w:rsid w:val="00EC1A43"/>
    <w:rsid w:val="00EC2F48"/>
    <w:rsid w:val="00ED5345"/>
    <w:rsid w:val="00EE445C"/>
    <w:rsid w:val="00F302A9"/>
    <w:rsid w:val="00F3199F"/>
    <w:rsid w:val="00F36452"/>
    <w:rsid w:val="00F70734"/>
    <w:rsid w:val="00FF45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A05E3F4-D6FD-4F36-92E0-19099508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numPr>
        <w:numId w:val="1"/>
      </w:numPr>
    </w:pPr>
  </w:style>
  <w:style w:type="paragraph" w:styleId="Ttulo1">
    <w:name w:val="heading 1"/>
    <w:basedOn w:val="Normal"/>
    <w:next w:val="Normal"/>
    <w:link w:val="Ttulo1Car"/>
    <w:qFormat/>
    <w:rsid w:val="00B81323"/>
    <w:pPr>
      <w:keepNext/>
      <w:numPr>
        <w:numId w:val="0"/>
      </w:numPr>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s-CO" w:eastAsia="es-ES"/>
    </w:rPr>
  </w:style>
  <w:style w:type="paragraph" w:styleId="Ttulo2">
    <w:name w:val="heading 2"/>
    <w:basedOn w:val="Normal"/>
    <w:next w:val="Normal"/>
    <w:link w:val="Ttulo2Car"/>
    <w:qFormat/>
    <w:rsid w:val="00B81323"/>
    <w:pPr>
      <w:keepNext/>
      <w:numPr>
        <w:numId w:val="0"/>
      </w:numPr>
      <w:spacing w:after="0" w:line="360" w:lineRule="auto"/>
      <w:jc w:val="center"/>
      <w:outlineLvl w:val="1"/>
    </w:pPr>
    <w:rPr>
      <w:rFonts w:ascii="Arial" w:eastAsia="Times New Roman" w:hAnsi="Arial" w:cs="Times New Roman"/>
      <w:b/>
      <w:sz w:val="28"/>
      <w:szCs w:val="20"/>
      <w:u w:val="single"/>
      <w:lang w:val="es-CO" w:eastAsia="es-ES"/>
    </w:rPr>
  </w:style>
  <w:style w:type="paragraph" w:styleId="Ttulo3">
    <w:name w:val="heading 3"/>
    <w:basedOn w:val="Normal"/>
    <w:next w:val="Normal"/>
    <w:link w:val="Ttulo3Car"/>
    <w:qFormat/>
    <w:rsid w:val="00B81323"/>
    <w:pPr>
      <w:keepNext/>
      <w:numPr>
        <w:numId w:val="0"/>
      </w:numPr>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s-CO" w:eastAsia="es-ES"/>
    </w:rPr>
  </w:style>
  <w:style w:type="paragraph" w:styleId="Ttulo4">
    <w:name w:val="heading 4"/>
    <w:basedOn w:val="Normal"/>
    <w:next w:val="Normal"/>
    <w:link w:val="Ttulo4Car"/>
    <w:uiPriority w:val="99"/>
    <w:qFormat/>
    <w:rsid w:val="00F70734"/>
    <w:pPr>
      <w:keepNext/>
      <w:numPr>
        <w:numId w:val="0"/>
      </w:numPr>
      <w:spacing w:before="240" w:after="60" w:line="240" w:lineRule="auto"/>
      <w:outlineLvl w:val="3"/>
    </w:pPr>
    <w:rPr>
      <w:rFonts w:ascii="Calibri" w:eastAsia="Times New Roman" w:hAnsi="Calibri" w:cs="Calibri"/>
      <w:b/>
      <w:bCs/>
      <w:sz w:val="28"/>
      <w:szCs w:val="28"/>
      <w:lang w:eastAsia="es-ES"/>
    </w:rPr>
  </w:style>
  <w:style w:type="paragraph" w:styleId="Ttulo6">
    <w:name w:val="heading 6"/>
    <w:basedOn w:val="Normal"/>
    <w:next w:val="Normal"/>
    <w:link w:val="Ttulo6Car"/>
    <w:qFormat/>
    <w:rsid w:val="00B81323"/>
    <w:pPr>
      <w:numPr>
        <w:numId w:val="0"/>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qFormat/>
    <w:rsid w:val="008B3EF3"/>
    <w:pPr>
      <w:numPr>
        <w:numId w:val="2"/>
      </w:numPr>
      <w:overflowPunct w:val="0"/>
      <w:autoSpaceDE w:val="0"/>
      <w:autoSpaceDN w:val="0"/>
      <w:adjustRightInd w:val="0"/>
      <w:spacing w:after="0" w:line="240" w:lineRule="auto"/>
      <w:ind w:left="1080" w:hanging="360"/>
      <w:jc w:val="both"/>
      <w:textAlignment w:val="baseline"/>
    </w:pPr>
    <w:rPr>
      <w:rFonts w:ascii="Arial" w:eastAsia="Times New Roman" w:hAnsi="Arial" w:cs="Arial"/>
      <w:spacing w:val="2"/>
      <w:sz w:val="24"/>
      <w:szCs w:val="36"/>
      <w:u w:val="single"/>
      <w:lang w:val="es-ES_tradnl" w:eastAsia="es-ES"/>
    </w:rPr>
  </w:style>
  <w:style w:type="character" w:customStyle="1" w:styleId="Ttulo4Car">
    <w:name w:val="Título 4 Car"/>
    <w:basedOn w:val="Fuentedeprrafopredeter"/>
    <w:link w:val="Ttulo4"/>
    <w:uiPriority w:val="99"/>
    <w:rsid w:val="00F70734"/>
    <w:rPr>
      <w:rFonts w:ascii="Calibri" w:eastAsia="Times New Roman" w:hAnsi="Calibri" w:cs="Calibri"/>
      <w:b/>
      <w:bCs/>
      <w:sz w:val="28"/>
      <w:szCs w:val="28"/>
      <w:lang w:eastAsia="es-ES"/>
    </w:rPr>
  </w:style>
  <w:style w:type="numbering" w:customStyle="1" w:styleId="Sinlista1">
    <w:name w:val="Sin lista1"/>
    <w:next w:val="Sinlista"/>
    <w:uiPriority w:val="99"/>
    <w:semiHidden/>
    <w:unhideWhenUsed/>
    <w:rsid w:val="00F70734"/>
  </w:style>
  <w:style w:type="paragraph" w:styleId="Textoindependiente">
    <w:name w:val="Body Text"/>
    <w:basedOn w:val="Normal"/>
    <w:link w:val="TextoindependienteCar"/>
    <w:rsid w:val="00F70734"/>
    <w:pPr>
      <w:numPr>
        <w:numId w:val="0"/>
      </w:numPr>
      <w:autoSpaceDE w:val="0"/>
      <w:autoSpaceDN w:val="0"/>
      <w:spacing w:after="0" w:line="240" w:lineRule="auto"/>
      <w:jc w:val="both"/>
    </w:pPr>
    <w:rPr>
      <w:rFonts w:ascii="Bookman Old Style" w:eastAsia="Times New Roman" w:hAnsi="Bookman Old Style" w:cs="Bookman Old Style"/>
      <w:sz w:val="28"/>
      <w:szCs w:val="28"/>
      <w:lang w:eastAsia="es-ES"/>
    </w:rPr>
  </w:style>
  <w:style w:type="character" w:customStyle="1" w:styleId="TextoindependienteCar">
    <w:name w:val="Texto independiente Car"/>
    <w:basedOn w:val="Fuentedeprrafopredeter"/>
    <w:link w:val="Textoindependiente"/>
    <w:rsid w:val="00F70734"/>
    <w:rPr>
      <w:rFonts w:ascii="Bookman Old Style" w:eastAsia="Times New Roman" w:hAnsi="Bookman Old Style" w:cs="Bookman Old Style"/>
      <w:sz w:val="28"/>
      <w:szCs w:val="28"/>
      <w:lang w:eastAsia="es-ES"/>
    </w:rPr>
  </w:style>
  <w:style w:type="paragraph" w:styleId="Encabezado">
    <w:name w:val="header"/>
    <w:basedOn w:val="Normal"/>
    <w:link w:val="EncabezadoCar"/>
    <w:uiPriority w:val="99"/>
    <w:rsid w:val="00F70734"/>
    <w:pPr>
      <w:numPr>
        <w:numId w:val="0"/>
      </w:num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70734"/>
    <w:rPr>
      <w:rFonts w:ascii="Calibri" w:eastAsia="Times New Roman" w:hAnsi="Calibri" w:cs="Calibri"/>
      <w:sz w:val="24"/>
      <w:szCs w:val="24"/>
      <w:lang w:val="en-US"/>
    </w:rPr>
  </w:style>
  <w:style w:type="paragraph" w:customStyle="1" w:styleId="CarCarCar">
    <w:name w:val="Car Car Car"/>
    <w:basedOn w:val="Normal"/>
    <w:uiPriority w:val="99"/>
    <w:rsid w:val="00F70734"/>
    <w:pPr>
      <w:numPr>
        <w:numId w:val="0"/>
      </w:numPr>
      <w:spacing w:line="240" w:lineRule="exact"/>
    </w:pPr>
    <w:rPr>
      <w:rFonts w:ascii="Tahoma" w:eastAsia="S" w:hAnsi="Tahoma" w:cs="Tahoma"/>
      <w:noProof/>
      <w:color w:val="000000"/>
      <w:sz w:val="20"/>
      <w:szCs w:val="20"/>
      <w:lang w:val="es-CO" w:eastAsia="es-ES"/>
    </w:rPr>
  </w:style>
  <w:style w:type="paragraph" w:styleId="Piedepgina">
    <w:name w:val="footer"/>
    <w:basedOn w:val="Normal"/>
    <w:link w:val="PiedepginaCar"/>
    <w:uiPriority w:val="99"/>
    <w:rsid w:val="00F70734"/>
    <w:pPr>
      <w:numPr>
        <w:numId w:val="0"/>
      </w:num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70734"/>
    <w:rPr>
      <w:rFonts w:ascii="Calibri" w:eastAsia="Times New Roman" w:hAnsi="Calibri" w:cs="Calibri"/>
      <w:sz w:val="24"/>
      <w:szCs w:val="24"/>
      <w:lang w:val="en-US"/>
    </w:rPr>
  </w:style>
  <w:style w:type="paragraph" w:styleId="Textoindependiente2">
    <w:name w:val="Body Text 2"/>
    <w:basedOn w:val="Normal"/>
    <w:link w:val="Textoindependiente2Car"/>
    <w:rsid w:val="00F70734"/>
    <w:pPr>
      <w:numPr>
        <w:numId w:val="0"/>
      </w:numPr>
      <w:spacing w:after="120" w:line="480" w:lineRule="auto"/>
    </w:pPr>
    <w:rPr>
      <w:rFonts w:ascii="Calibri" w:eastAsia="Times New Roman" w:hAnsi="Calibri" w:cs="Calibri"/>
      <w:sz w:val="24"/>
      <w:szCs w:val="24"/>
      <w:lang w:eastAsia="es-ES"/>
    </w:rPr>
  </w:style>
  <w:style w:type="character" w:customStyle="1" w:styleId="Textoindependiente2Car">
    <w:name w:val="Texto independiente 2 Car"/>
    <w:basedOn w:val="Fuentedeprrafopredeter"/>
    <w:link w:val="Textoindependiente2"/>
    <w:rsid w:val="00F70734"/>
    <w:rPr>
      <w:rFonts w:ascii="Calibri" w:eastAsia="Times New Roman" w:hAnsi="Calibri" w:cs="Calibri"/>
      <w:sz w:val="24"/>
      <w:szCs w:val="24"/>
      <w:lang w:eastAsia="es-ES"/>
    </w:rPr>
  </w:style>
  <w:style w:type="character" w:styleId="Nmerodepgina">
    <w:name w:val="page number"/>
    <w:basedOn w:val="Fuentedeprrafopredeter"/>
    <w:rsid w:val="00F70734"/>
    <w:rPr>
      <w:rFonts w:cs="Times New Roman"/>
    </w:rPr>
  </w:style>
  <w:style w:type="paragraph" w:styleId="Textoindependiente3">
    <w:name w:val="Body Text 3"/>
    <w:basedOn w:val="Normal"/>
    <w:link w:val="Textoindependiente3Car"/>
    <w:rsid w:val="00F70734"/>
    <w:pPr>
      <w:numPr>
        <w:numId w:val="0"/>
      </w:numPr>
      <w:spacing w:after="120" w:line="240" w:lineRule="auto"/>
    </w:pPr>
    <w:rPr>
      <w:rFonts w:ascii="Calibri" w:eastAsia="Times New Roman" w:hAnsi="Calibri" w:cs="Calibri"/>
      <w:sz w:val="16"/>
      <w:szCs w:val="16"/>
      <w:lang w:eastAsia="es-ES"/>
    </w:rPr>
  </w:style>
  <w:style w:type="character" w:customStyle="1" w:styleId="Textoindependiente3Car">
    <w:name w:val="Texto independiente 3 Car"/>
    <w:basedOn w:val="Fuentedeprrafopredeter"/>
    <w:link w:val="Textoindependiente3"/>
    <w:rsid w:val="00F70734"/>
    <w:rPr>
      <w:rFonts w:ascii="Calibri" w:eastAsia="Times New Roman" w:hAnsi="Calibri" w:cs="Calibri"/>
      <w:sz w:val="16"/>
      <w:szCs w:val="16"/>
      <w:lang w:eastAsia="es-ES"/>
    </w:rPr>
  </w:style>
  <w:style w:type="paragraph" w:styleId="Textonotapie">
    <w:name w:val="footnote text"/>
    <w:aliases w:val="Footnote Text Char Char Char Char Char,Footnote Text Char Char Char Char,Ref. de nota al pie1,FA Fu,texto de nota al pie,Footnote Text Char,Footnote Text Char Char Char Char Char Char Char Char,referencia nota al pie,BVI fnr"/>
    <w:basedOn w:val="Normal"/>
    <w:link w:val="TextonotapieCar"/>
    <w:rsid w:val="00F70734"/>
    <w:pPr>
      <w:numPr>
        <w:numId w:val="0"/>
      </w:numPr>
      <w:spacing w:after="200" w:line="276" w:lineRule="auto"/>
    </w:pPr>
    <w:rPr>
      <w:rFonts w:ascii="Calibri" w:eastAsia="Times New Roman" w:hAnsi="Calibri" w:cs="Calibri"/>
      <w:sz w:val="20"/>
      <w:szCs w:val="20"/>
      <w:lang w:val="es-CO"/>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BVI fnr Car"/>
    <w:basedOn w:val="Fuentedeprrafopredeter"/>
    <w:link w:val="Textonotapie"/>
    <w:rsid w:val="00F70734"/>
    <w:rPr>
      <w:rFonts w:ascii="Calibri" w:eastAsia="Times New Roman" w:hAnsi="Calibri" w:cs="Calibri"/>
      <w:sz w:val="20"/>
      <w:szCs w:val="20"/>
      <w:lang w:val="es-CO"/>
    </w:rPr>
  </w:style>
  <w:style w:type="character" w:styleId="Refdenotaalpie">
    <w:name w:val="footnote reference"/>
    <w:aliases w:val="Texto de nota al pie,Fago Fußnotenzeichen,4_G,16 Point,Superscript 6 Point,Texto nota al pie,Footnote Reference Char3,FC,Ref1,Nota de pie,f1,Texto nota pie Car Car,Footnote Text Char Char Char Char Char Char1 Car,Footnote symbol,R"/>
    <w:basedOn w:val="Fuentedeprrafopredeter"/>
    <w:qFormat/>
    <w:rsid w:val="00F70734"/>
    <w:rPr>
      <w:rFonts w:cs="Times New Roman"/>
      <w:vertAlign w:val="superscript"/>
    </w:rPr>
  </w:style>
  <w:style w:type="paragraph" w:styleId="Prrafodelista">
    <w:name w:val="List Paragraph"/>
    <w:basedOn w:val="Normal"/>
    <w:uiPriority w:val="99"/>
    <w:qFormat/>
    <w:rsid w:val="00F70734"/>
    <w:pPr>
      <w:numPr>
        <w:numId w:val="0"/>
      </w:numPr>
      <w:spacing w:after="200" w:line="276" w:lineRule="auto"/>
      <w:ind w:left="708"/>
    </w:pPr>
    <w:rPr>
      <w:rFonts w:ascii="Calibri" w:eastAsia="Times New Roman" w:hAnsi="Calibri" w:cs="Calibri"/>
      <w:lang w:val="es-CO"/>
    </w:rPr>
  </w:style>
  <w:style w:type="character" w:styleId="Hipervnculo">
    <w:name w:val="Hyperlink"/>
    <w:basedOn w:val="Fuentedeprrafopredeter"/>
    <w:uiPriority w:val="99"/>
    <w:rsid w:val="00F70734"/>
    <w:rPr>
      <w:rFonts w:cs="Times New Roman"/>
      <w:color w:val="0000FF"/>
      <w:u w:val="single"/>
    </w:rPr>
  </w:style>
  <w:style w:type="paragraph" w:styleId="Descripcin">
    <w:name w:val="caption"/>
    <w:basedOn w:val="Normal"/>
    <w:next w:val="Normal"/>
    <w:qFormat/>
    <w:rsid w:val="00F70734"/>
    <w:pPr>
      <w:numPr>
        <w:numId w:val="0"/>
      </w:numPr>
      <w:spacing w:after="0" w:line="240" w:lineRule="auto"/>
      <w:jc w:val="center"/>
    </w:pPr>
    <w:rPr>
      <w:rFonts w:ascii="ShelleyVolante BT" w:eastAsia="Times New Roman" w:hAnsi="ShelleyVolante BT" w:cs="Times New Roman"/>
      <w:b/>
      <w:sz w:val="28"/>
      <w:szCs w:val="20"/>
      <w:lang w:eastAsia="es-ES"/>
    </w:rPr>
  </w:style>
  <w:style w:type="paragraph" w:customStyle="1" w:styleId="Profesin">
    <w:name w:val="ProfesiÛn"/>
    <w:basedOn w:val="Normal"/>
    <w:uiPriority w:val="99"/>
    <w:rsid w:val="00F70734"/>
    <w:pPr>
      <w:numPr>
        <w:numId w:val="0"/>
      </w:numPr>
      <w:tabs>
        <w:tab w:val="left" w:pos="1134"/>
      </w:tabs>
      <w:spacing w:after="0" w:line="360" w:lineRule="atLeast"/>
      <w:jc w:val="center"/>
    </w:pPr>
    <w:rPr>
      <w:rFonts w:ascii="Arial" w:eastAsia="Times New Roman" w:hAnsi="Arial" w:cs="Times New Roman"/>
      <w:b/>
      <w:sz w:val="32"/>
      <w:szCs w:val="20"/>
      <w:lang w:val="es-CO" w:eastAsia="es-ES"/>
    </w:rPr>
  </w:style>
  <w:style w:type="character" w:customStyle="1" w:styleId="textonavy1">
    <w:name w:val="texto_navy1"/>
    <w:basedOn w:val="Fuentedeprrafopredeter"/>
    <w:uiPriority w:val="99"/>
    <w:rsid w:val="00F70734"/>
    <w:rPr>
      <w:rFonts w:cs="Times New Roman"/>
      <w:color w:val="000080"/>
    </w:rPr>
  </w:style>
  <w:style w:type="paragraph" w:customStyle="1" w:styleId="Estilo">
    <w:name w:val="Estilo"/>
    <w:uiPriority w:val="99"/>
    <w:rsid w:val="00F70734"/>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extodeglobo">
    <w:name w:val="Balloon Text"/>
    <w:basedOn w:val="Normal"/>
    <w:link w:val="TextodegloboCar"/>
    <w:unhideWhenUsed/>
    <w:rsid w:val="00F70734"/>
    <w:pPr>
      <w:numPr>
        <w:numId w:val="0"/>
      </w:numPr>
      <w:spacing w:after="0" w:line="240" w:lineRule="auto"/>
    </w:pPr>
    <w:rPr>
      <w:rFonts w:ascii="Segoe UI" w:eastAsia="Times New Roman" w:hAnsi="Segoe UI" w:cs="Segoe UI"/>
      <w:sz w:val="18"/>
      <w:szCs w:val="18"/>
      <w:lang w:val="es-CO"/>
    </w:rPr>
  </w:style>
  <w:style w:type="character" w:customStyle="1" w:styleId="TextodegloboCar">
    <w:name w:val="Texto de globo Car"/>
    <w:basedOn w:val="Fuentedeprrafopredeter"/>
    <w:link w:val="Textodeglobo"/>
    <w:rsid w:val="00F70734"/>
    <w:rPr>
      <w:rFonts w:ascii="Segoe UI" w:eastAsia="Times New Roman" w:hAnsi="Segoe UI" w:cs="Segoe UI"/>
      <w:sz w:val="18"/>
      <w:szCs w:val="18"/>
      <w:lang w:val="es-CO"/>
    </w:rPr>
  </w:style>
  <w:style w:type="character" w:customStyle="1" w:styleId="Ttulo1Car">
    <w:name w:val="Título 1 Car"/>
    <w:basedOn w:val="Fuentedeprrafopredeter"/>
    <w:link w:val="Ttulo1"/>
    <w:rsid w:val="00B81323"/>
    <w:rPr>
      <w:rFonts w:ascii="Arial" w:eastAsia="Times New Roman" w:hAnsi="Arial" w:cs="Arial"/>
      <w:b/>
      <w:bCs/>
      <w:kern w:val="32"/>
      <w:sz w:val="32"/>
      <w:szCs w:val="32"/>
      <w:lang w:val="es-CO" w:eastAsia="es-ES"/>
    </w:rPr>
  </w:style>
  <w:style w:type="character" w:customStyle="1" w:styleId="Ttulo2Car">
    <w:name w:val="Título 2 Car"/>
    <w:basedOn w:val="Fuentedeprrafopredeter"/>
    <w:link w:val="Ttulo2"/>
    <w:rsid w:val="00B81323"/>
    <w:rPr>
      <w:rFonts w:ascii="Arial" w:eastAsia="Times New Roman" w:hAnsi="Arial" w:cs="Times New Roman"/>
      <w:b/>
      <w:sz w:val="28"/>
      <w:szCs w:val="20"/>
      <w:u w:val="single"/>
      <w:lang w:val="es-CO" w:eastAsia="es-ES"/>
    </w:rPr>
  </w:style>
  <w:style w:type="character" w:customStyle="1" w:styleId="Ttulo3Car">
    <w:name w:val="Título 3 Car"/>
    <w:basedOn w:val="Fuentedeprrafopredeter"/>
    <w:link w:val="Ttulo3"/>
    <w:rsid w:val="00B81323"/>
    <w:rPr>
      <w:rFonts w:ascii="Arial" w:eastAsia="Times New Roman" w:hAnsi="Arial" w:cs="Arial"/>
      <w:b/>
      <w:bCs/>
      <w:sz w:val="26"/>
      <w:szCs w:val="26"/>
      <w:lang w:val="es-CO" w:eastAsia="es-ES"/>
    </w:rPr>
  </w:style>
  <w:style w:type="character" w:customStyle="1" w:styleId="Ttulo6Car">
    <w:name w:val="Título 6 Car"/>
    <w:basedOn w:val="Fuentedeprrafopredeter"/>
    <w:link w:val="Ttulo6"/>
    <w:rsid w:val="00B81323"/>
    <w:rPr>
      <w:rFonts w:ascii="Times New Roman" w:eastAsia="Times New Roman" w:hAnsi="Times New Roman" w:cs="Times New Roman"/>
      <w:b/>
      <w:bCs/>
      <w:lang w:val="es-CO" w:eastAsia="es-ES"/>
    </w:rPr>
  </w:style>
  <w:style w:type="paragraph" w:customStyle="1" w:styleId="Textoindependiente21">
    <w:name w:val="Texto independiente 21"/>
    <w:basedOn w:val="Normal"/>
    <w:rsid w:val="00B81323"/>
    <w:pPr>
      <w:widowControl w:val="0"/>
      <w:numPr>
        <w:numId w:val="0"/>
      </w:numPr>
      <w:tabs>
        <w:tab w:val="left" w:pos="-720"/>
      </w:tabs>
      <w:suppressAutoHyphens/>
      <w:spacing w:after="0" w:line="360" w:lineRule="auto"/>
      <w:ind w:firstLine="2127"/>
      <w:jc w:val="both"/>
    </w:pPr>
    <w:rPr>
      <w:rFonts w:ascii="Arial" w:eastAsia="Times New Roman" w:hAnsi="Arial" w:cs="Times New Roman"/>
      <w:spacing w:val="-3"/>
      <w:sz w:val="28"/>
      <w:szCs w:val="20"/>
      <w:lang w:val="es-CO" w:eastAsia="es-ES"/>
    </w:rPr>
  </w:style>
  <w:style w:type="paragraph" w:styleId="Lista">
    <w:name w:val="List"/>
    <w:basedOn w:val="Normal"/>
    <w:rsid w:val="00B81323"/>
    <w:pPr>
      <w:numPr>
        <w:numId w:val="0"/>
      </w:num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lang w:val="es-CO" w:eastAsia="es-ES"/>
    </w:rPr>
  </w:style>
  <w:style w:type="paragraph" w:styleId="Lista2">
    <w:name w:val="List 2"/>
    <w:basedOn w:val="Normal"/>
    <w:rsid w:val="00B81323"/>
    <w:pPr>
      <w:numPr>
        <w:numId w:val="0"/>
      </w:num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sz w:val="20"/>
      <w:szCs w:val="20"/>
      <w:lang w:val="es-CO" w:eastAsia="es-ES"/>
    </w:rPr>
  </w:style>
  <w:style w:type="paragraph" w:styleId="Puesto">
    <w:name w:val="Title"/>
    <w:basedOn w:val="Normal"/>
    <w:link w:val="PuestoCar"/>
    <w:qFormat/>
    <w:rsid w:val="00B81323"/>
    <w:pPr>
      <w:numPr>
        <w:numId w:val="0"/>
      </w:numPr>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lang w:val="es-CO" w:eastAsia="es-ES"/>
    </w:rPr>
  </w:style>
  <w:style w:type="character" w:customStyle="1" w:styleId="PuestoCar">
    <w:name w:val="Puesto Car"/>
    <w:basedOn w:val="Fuentedeprrafopredeter"/>
    <w:link w:val="Puesto"/>
    <w:rsid w:val="00B81323"/>
    <w:rPr>
      <w:rFonts w:ascii="Arial" w:eastAsia="Times New Roman" w:hAnsi="Arial" w:cs="Arial"/>
      <w:b/>
      <w:bCs/>
      <w:kern w:val="28"/>
      <w:sz w:val="32"/>
      <w:szCs w:val="32"/>
      <w:lang w:val="es-CO" w:eastAsia="es-ES"/>
    </w:rPr>
  </w:style>
  <w:style w:type="paragraph" w:styleId="Subttulo">
    <w:name w:val="Subtitle"/>
    <w:basedOn w:val="Normal"/>
    <w:link w:val="SubttuloCar"/>
    <w:qFormat/>
    <w:rsid w:val="00B81323"/>
    <w:pPr>
      <w:numPr>
        <w:numId w:val="0"/>
      </w:numPr>
      <w:overflowPunct w:val="0"/>
      <w:autoSpaceDE w:val="0"/>
      <w:autoSpaceDN w:val="0"/>
      <w:adjustRightInd w:val="0"/>
      <w:spacing w:after="60" w:line="240" w:lineRule="auto"/>
      <w:jc w:val="center"/>
      <w:textAlignment w:val="baseline"/>
      <w:outlineLvl w:val="1"/>
    </w:pPr>
    <w:rPr>
      <w:rFonts w:ascii="Arial" w:eastAsia="Times New Roman" w:hAnsi="Arial" w:cs="Arial"/>
      <w:sz w:val="24"/>
      <w:szCs w:val="24"/>
      <w:lang w:val="es-CO" w:eastAsia="es-ES"/>
    </w:rPr>
  </w:style>
  <w:style w:type="character" w:customStyle="1" w:styleId="SubttuloCar">
    <w:name w:val="Subtítulo Car"/>
    <w:basedOn w:val="Fuentedeprrafopredeter"/>
    <w:link w:val="Subttulo"/>
    <w:rsid w:val="00B81323"/>
    <w:rPr>
      <w:rFonts w:ascii="Arial" w:eastAsia="Times New Roman" w:hAnsi="Arial" w:cs="Arial"/>
      <w:sz w:val="24"/>
      <w:szCs w:val="24"/>
      <w:lang w:val="es-CO" w:eastAsia="es-ES"/>
    </w:rPr>
  </w:style>
  <w:style w:type="paragraph" w:styleId="Textoindependienteprimerasangra">
    <w:name w:val="Body Text First Indent"/>
    <w:basedOn w:val="Textoindependiente"/>
    <w:link w:val="TextoindependienteprimerasangraCar"/>
    <w:rsid w:val="00B81323"/>
    <w:pPr>
      <w:overflowPunct w:val="0"/>
      <w:adjustRightInd w:val="0"/>
      <w:spacing w:after="120"/>
      <w:ind w:firstLine="210"/>
      <w:jc w:val="left"/>
      <w:textAlignment w:val="baseline"/>
    </w:pPr>
    <w:rPr>
      <w:rFonts w:ascii="Times New Roman" w:hAnsi="Times New Roman" w:cs="Times New Roman"/>
      <w:sz w:val="20"/>
      <w:szCs w:val="20"/>
      <w:lang w:val="es-ES_tradnl"/>
    </w:rPr>
  </w:style>
  <w:style w:type="character" w:customStyle="1" w:styleId="TextoindependienteprimerasangraCar">
    <w:name w:val="Texto independiente primera sangría Car"/>
    <w:basedOn w:val="TextoindependienteCar"/>
    <w:link w:val="Textoindependienteprimerasangra"/>
    <w:rsid w:val="00B81323"/>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B81323"/>
    <w:pPr>
      <w:numPr>
        <w:numId w:val="0"/>
      </w:num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s-CO" w:eastAsia="es-ES"/>
    </w:rPr>
  </w:style>
  <w:style w:type="character" w:customStyle="1" w:styleId="SangradetextonormalCar">
    <w:name w:val="Sangría de texto normal Car"/>
    <w:basedOn w:val="Fuentedeprrafopredeter"/>
    <w:link w:val="Sangradetextonormal"/>
    <w:rsid w:val="00B81323"/>
    <w:rPr>
      <w:rFonts w:ascii="Times New Roman" w:eastAsia="Times New Roman" w:hAnsi="Times New Roman" w:cs="Times New Roman"/>
      <w:sz w:val="20"/>
      <w:szCs w:val="20"/>
      <w:lang w:val="es-CO" w:eastAsia="es-ES"/>
    </w:rPr>
  </w:style>
  <w:style w:type="paragraph" w:styleId="Textoindependienteprimerasangra2">
    <w:name w:val="Body Text First Indent 2"/>
    <w:basedOn w:val="Sangradetextonormal"/>
    <w:link w:val="Textoindependienteprimerasangra2Car"/>
    <w:rsid w:val="00B81323"/>
    <w:pPr>
      <w:ind w:firstLine="210"/>
    </w:pPr>
  </w:style>
  <w:style w:type="character" w:customStyle="1" w:styleId="Textoindependienteprimerasangra2Car">
    <w:name w:val="Texto independiente primera sangría 2 Car"/>
    <w:basedOn w:val="SangradetextonormalCar"/>
    <w:link w:val="Textoindependienteprimerasangra2"/>
    <w:rsid w:val="00B81323"/>
    <w:rPr>
      <w:rFonts w:ascii="Times New Roman" w:eastAsia="Times New Roman" w:hAnsi="Times New Roman" w:cs="Times New Roman"/>
      <w:sz w:val="20"/>
      <w:szCs w:val="20"/>
      <w:lang w:val="es-CO" w:eastAsia="es-ES"/>
    </w:rPr>
  </w:style>
  <w:style w:type="character" w:customStyle="1" w:styleId="textonavy">
    <w:name w:val="texto_navy"/>
    <w:basedOn w:val="Fuentedeprrafopredeter"/>
    <w:rsid w:val="00B81323"/>
  </w:style>
  <w:style w:type="character" w:customStyle="1" w:styleId="TextonotapieCar1">
    <w:name w:val="Texto nota pie Car1"/>
    <w:aliases w:val="Texto nota pie Car Car1,Footnote Text Char Char Char Char Char Car1,Footnote Text Char Char Char Char Car1,Footnote reference Car1,FA Fu Car1,Footnote Text Cha Car1,Footnote Text Char Char Char Car1,FA Fußnotentext Car1,Car Car"/>
    <w:rsid w:val="00B81323"/>
    <w:rPr>
      <w:sz w:val="24"/>
      <w:szCs w:val="24"/>
    </w:rPr>
  </w:style>
  <w:style w:type="character" w:styleId="Textoennegrita">
    <w:name w:val="Strong"/>
    <w:uiPriority w:val="22"/>
    <w:qFormat/>
    <w:rsid w:val="00B81323"/>
    <w:rPr>
      <w:b/>
      <w:bCs/>
    </w:rPr>
  </w:style>
  <w:style w:type="paragraph" w:styleId="NormalWeb">
    <w:name w:val="Normal (Web)"/>
    <w:basedOn w:val="Normal"/>
    <w:uiPriority w:val="99"/>
    <w:unhideWhenUsed/>
    <w:rsid w:val="00B81323"/>
    <w:pPr>
      <w:numPr>
        <w:numId w:val="0"/>
      </w:num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sinformato">
    <w:name w:val="Plain Text"/>
    <w:basedOn w:val="Normal"/>
    <w:next w:val="Normal"/>
    <w:link w:val="TextosinformatoCar"/>
    <w:rsid w:val="00B81323"/>
    <w:pPr>
      <w:numPr>
        <w:numId w:val="0"/>
      </w:numPr>
      <w:autoSpaceDE w:val="0"/>
      <w:autoSpaceDN w:val="0"/>
      <w:adjustRightInd w:val="0"/>
      <w:spacing w:after="0" w:line="240" w:lineRule="auto"/>
    </w:pPr>
    <w:rPr>
      <w:rFonts w:ascii="Arial" w:eastAsia="Times New Roman" w:hAnsi="Arial" w:cs="Times New Roman"/>
      <w:sz w:val="24"/>
      <w:szCs w:val="24"/>
      <w:lang w:eastAsia="es-ES"/>
    </w:rPr>
  </w:style>
  <w:style w:type="character" w:customStyle="1" w:styleId="TextosinformatoCar">
    <w:name w:val="Texto sin formato Car"/>
    <w:basedOn w:val="Fuentedeprrafopredeter"/>
    <w:link w:val="Textosinformato"/>
    <w:rsid w:val="00B81323"/>
    <w:rPr>
      <w:rFonts w:ascii="Arial" w:eastAsia="Times New Roman" w:hAnsi="Arial" w:cs="Times New Roman"/>
      <w:sz w:val="24"/>
      <w:szCs w:val="24"/>
      <w:lang w:eastAsia="es-ES"/>
    </w:rPr>
  </w:style>
  <w:style w:type="paragraph" w:customStyle="1" w:styleId="Default">
    <w:name w:val="Default"/>
    <w:rsid w:val="00B81323"/>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Textoindependiente22">
    <w:name w:val="Texto independiente 22"/>
    <w:basedOn w:val="Normal"/>
    <w:rsid w:val="00B81323"/>
    <w:pPr>
      <w:numPr>
        <w:numId w:val="0"/>
      </w:numPr>
      <w:overflowPunct w:val="0"/>
      <w:autoSpaceDE w:val="0"/>
      <w:autoSpaceDN w:val="0"/>
      <w:adjustRightInd w:val="0"/>
      <w:spacing w:after="220" w:line="360" w:lineRule="auto"/>
      <w:ind w:firstLine="709"/>
      <w:jc w:val="both"/>
      <w:textAlignment w:val="baseline"/>
    </w:pPr>
    <w:rPr>
      <w:rFonts w:ascii="Century Gothic" w:eastAsia="Times New Roman" w:hAnsi="Century Gothic" w:cs="Times New Roman"/>
      <w:szCs w:val="20"/>
      <w:lang w:eastAsia="es-ES"/>
    </w:rPr>
  </w:style>
  <w:style w:type="paragraph" w:customStyle="1" w:styleId="Car">
    <w:name w:val="Car"/>
    <w:basedOn w:val="Normal"/>
    <w:rsid w:val="00B81323"/>
    <w:pPr>
      <w:numPr>
        <w:numId w:val="0"/>
      </w:numPr>
      <w:spacing w:line="240" w:lineRule="atLeast"/>
    </w:pPr>
    <w:rPr>
      <w:rFonts w:ascii="Times New Roman" w:eastAsia="Times New Roman" w:hAnsi="Times New Roman" w:cs="Times New Roman"/>
      <w:color w:val="000000"/>
      <w:sz w:val="20"/>
      <w:szCs w:val="20"/>
      <w:lang w:eastAsia="es-ES"/>
    </w:rPr>
  </w:style>
  <w:style w:type="paragraph" w:styleId="HTMLconformatoprevio">
    <w:name w:val="HTML Preformatted"/>
    <w:basedOn w:val="Normal"/>
    <w:link w:val="HTMLconformatoprevioCar"/>
    <w:rsid w:val="00B81323"/>
    <w:pPr>
      <w:numPr>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es-ES"/>
    </w:rPr>
  </w:style>
  <w:style w:type="character" w:customStyle="1" w:styleId="HTMLconformatoprevioCar">
    <w:name w:val="HTML con formato previo Car"/>
    <w:basedOn w:val="Fuentedeprrafopredeter"/>
    <w:link w:val="HTMLconformatoprevio"/>
    <w:rsid w:val="00B81323"/>
    <w:rPr>
      <w:rFonts w:ascii="Courier New" w:eastAsia="Courier New" w:hAnsi="Courier New" w:cs="Courier New"/>
      <w:sz w:val="20"/>
      <w:szCs w:val="20"/>
      <w:lang w:eastAsia="es-ES"/>
    </w:rPr>
  </w:style>
  <w:style w:type="character" w:customStyle="1" w:styleId="CarCar2">
    <w:name w:val="Car Car2"/>
    <w:semiHidden/>
    <w:rsid w:val="00B81323"/>
    <w:rPr>
      <w:rFonts w:ascii="Times New Roman" w:eastAsia="Times New Roman" w:hAnsi="Times New Roman"/>
      <w:lang w:val="es-ES_tradnl" w:eastAsia="es-ES"/>
    </w:rPr>
  </w:style>
  <w:style w:type="character" w:customStyle="1" w:styleId="baj1">
    <w:name w:val="b_aj1"/>
    <w:rsid w:val="00B81323"/>
    <w:rPr>
      <w:b/>
      <w:bCs/>
      <w:color w:val="000000"/>
    </w:rPr>
  </w:style>
  <w:style w:type="paragraph" w:styleId="Sangra2detindependiente">
    <w:name w:val="Body Text Indent 2"/>
    <w:basedOn w:val="Normal"/>
    <w:link w:val="Sangra2detindependienteCar"/>
    <w:rsid w:val="00B81323"/>
    <w:pPr>
      <w:numPr>
        <w:numId w:val="0"/>
      </w:num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lang w:val="es-CO" w:eastAsia="es-ES"/>
    </w:rPr>
  </w:style>
  <w:style w:type="character" w:customStyle="1" w:styleId="Sangra2detindependienteCar">
    <w:name w:val="Sangría 2 de t. independiente Car"/>
    <w:basedOn w:val="Fuentedeprrafopredeter"/>
    <w:link w:val="Sangra2detindependiente"/>
    <w:rsid w:val="00B81323"/>
    <w:rPr>
      <w:rFonts w:ascii="Times New Roman" w:eastAsia="Times New Roman" w:hAnsi="Times New Roman" w:cs="Times New Roman"/>
      <w:sz w:val="20"/>
      <w:szCs w:val="20"/>
      <w:lang w:val="es-CO" w:eastAsia="es-ES"/>
    </w:rPr>
  </w:style>
  <w:style w:type="character" w:customStyle="1" w:styleId="apple-converted-space">
    <w:name w:val="apple-converted-space"/>
    <w:rsid w:val="00B81323"/>
  </w:style>
  <w:style w:type="character" w:styleId="Refdecomentario">
    <w:name w:val="annotation reference"/>
    <w:semiHidden/>
    <w:unhideWhenUsed/>
    <w:rsid w:val="00B81323"/>
    <w:rPr>
      <w:sz w:val="16"/>
      <w:szCs w:val="16"/>
    </w:rPr>
  </w:style>
  <w:style w:type="paragraph" w:styleId="Textocomentario">
    <w:name w:val="annotation text"/>
    <w:basedOn w:val="Normal"/>
    <w:link w:val="TextocomentarioCar"/>
    <w:semiHidden/>
    <w:unhideWhenUsed/>
    <w:rsid w:val="00B81323"/>
    <w:pPr>
      <w:numPr>
        <w:numId w:val="0"/>
      </w:num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semiHidden/>
    <w:rsid w:val="00B81323"/>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semiHidden/>
    <w:unhideWhenUsed/>
    <w:rsid w:val="00B81323"/>
    <w:rPr>
      <w:b/>
      <w:bCs/>
    </w:rPr>
  </w:style>
  <w:style w:type="character" w:customStyle="1" w:styleId="AsuntodelcomentarioCar">
    <w:name w:val="Asunto del comentario Car"/>
    <w:basedOn w:val="TextocomentarioCar"/>
    <w:link w:val="Asuntodelcomentario"/>
    <w:semiHidden/>
    <w:rsid w:val="00B81323"/>
    <w:rPr>
      <w:rFonts w:ascii="Times New Roman" w:eastAsia="Times New Roman" w:hAnsi="Times New Roman" w:cs="Times New Roman"/>
      <w:b/>
      <w:bCs/>
      <w:sz w:val="20"/>
      <w:szCs w:val="20"/>
      <w:lang w:val="es-CO" w:eastAsia="es-ES"/>
    </w:rPr>
  </w:style>
  <w:style w:type="paragraph" w:customStyle="1" w:styleId="Style4">
    <w:name w:val="Style4"/>
    <w:basedOn w:val="Normal"/>
    <w:uiPriority w:val="99"/>
    <w:rsid w:val="00B81323"/>
    <w:pPr>
      <w:widowControl w:val="0"/>
      <w:numPr>
        <w:numId w:val="0"/>
      </w:numPr>
      <w:autoSpaceDE w:val="0"/>
      <w:autoSpaceDN w:val="0"/>
      <w:adjustRightInd w:val="0"/>
      <w:spacing w:after="0" w:line="413" w:lineRule="exact"/>
      <w:jc w:val="both"/>
    </w:pPr>
    <w:rPr>
      <w:rFonts w:ascii="Angsana New" w:eastAsia="Times New Roman" w:hAnsi="Angsana New" w:cs="Times New Roman"/>
      <w:sz w:val="24"/>
      <w:szCs w:val="24"/>
      <w:lang w:val="es-CO" w:eastAsia="es-CO"/>
    </w:rPr>
  </w:style>
  <w:style w:type="paragraph" w:customStyle="1" w:styleId="Textoindependiente33">
    <w:name w:val="Texto independiente 33"/>
    <w:basedOn w:val="Normal"/>
    <w:rsid w:val="00B81323"/>
    <w:pPr>
      <w:numPr>
        <w:numId w:val="0"/>
      </w:numPr>
      <w:spacing w:after="0" w:line="360" w:lineRule="auto"/>
      <w:ind w:right="51"/>
      <w:jc w:val="both"/>
    </w:pPr>
    <w:rPr>
      <w:rFonts w:ascii="Arial" w:eastAsia="Times New Roman" w:hAnsi="Arial" w:cs="Times New Roman"/>
      <w:sz w:val="28"/>
      <w:szCs w:val="20"/>
      <w:lang w:val="es-CO" w:eastAsia="es-CO"/>
    </w:rPr>
  </w:style>
  <w:style w:type="character" w:customStyle="1" w:styleId="apple-style-span">
    <w:name w:val="apple-style-span"/>
    <w:basedOn w:val="Fuentedeprrafopredeter"/>
    <w:rsid w:val="00B81323"/>
  </w:style>
  <w:style w:type="character" w:styleId="Hipervnculovisitado">
    <w:name w:val="FollowedHyperlink"/>
    <w:uiPriority w:val="99"/>
    <w:unhideWhenUsed/>
    <w:rsid w:val="00B81323"/>
    <w:rPr>
      <w:color w:val="954F72"/>
      <w:u w:val="single"/>
    </w:rPr>
  </w:style>
  <w:style w:type="paragraph" w:customStyle="1" w:styleId="font5">
    <w:name w:val="font5"/>
    <w:basedOn w:val="Normal"/>
    <w:rsid w:val="00B81323"/>
    <w:pPr>
      <w:numPr>
        <w:numId w:val="0"/>
      </w:numPr>
      <w:spacing w:before="100" w:beforeAutospacing="1" w:after="100" w:afterAutospacing="1" w:line="240" w:lineRule="auto"/>
    </w:pPr>
    <w:rPr>
      <w:rFonts w:ascii="Arial Narrow" w:eastAsia="Times New Roman" w:hAnsi="Arial Narrow" w:cs="Times New Roman"/>
      <w:color w:val="000000"/>
      <w:sz w:val="18"/>
      <w:szCs w:val="18"/>
      <w:lang w:val="es-CO" w:eastAsia="es-CO"/>
    </w:rPr>
  </w:style>
  <w:style w:type="paragraph" w:customStyle="1" w:styleId="font6">
    <w:name w:val="font6"/>
    <w:basedOn w:val="Normal"/>
    <w:rsid w:val="00B81323"/>
    <w:pPr>
      <w:numPr>
        <w:numId w:val="0"/>
      </w:numPr>
      <w:spacing w:before="100" w:beforeAutospacing="1" w:after="100" w:afterAutospacing="1" w:line="240" w:lineRule="auto"/>
    </w:pPr>
    <w:rPr>
      <w:rFonts w:ascii="Arial Narrow" w:eastAsia="Times New Roman" w:hAnsi="Arial Narrow" w:cs="Times New Roman"/>
      <w:b/>
      <w:bCs/>
      <w:color w:val="000000"/>
      <w:sz w:val="18"/>
      <w:szCs w:val="18"/>
      <w:lang w:val="es-CO" w:eastAsia="es-CO"/>
    </w:rPr>
  </w:style>
  <w:style w:type="paragraph" w:customStyle="1" w:styleId="xl63">
    <w:name w:val="xl63"/>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8"/>
      <w:szCs w:val="18"/>
      <w:lang w:val="es-CO" w:eastAsia="es-CO"/>
    </w:rPr>
  </w:style>
  <w:style w:type="paragraph" w:customStyle="1" w:styleId="xl64">
    <w:name w:val="xl64"/>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sz w:val="18"/>
      <w:szCs w:val="18"/>
      <w:lang w:val="es-CO" w:eastAsia="es-CO"/>
    </w:rPr>
  </w:style>
  <w:style w:type="paragraph" w:customStyle="1" w:styleId="xl65">
    <w:name w:val="xl65"/>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18"/>
      <w:szCs w:val="18"/>
      <w:lang w:val="es-CO" w:eastAsia="es-CO"/>
    </w:rPr>
  </w:style>
  <w:style w:type="paragraph" w:customStyle="1" w:styleId="xl66">
    <w:name w:val="xl66"/>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val="es-CO" w:eastAsia="es-CO"/>
    </w:rPr>
  </w:style>
  <w:style w:type="paragraph" w:customStyle="1" w:styleId="xl67">
    <w:name w:val="xl67"/>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val="es-CO" w:eastAsia="es-CO"/>
    </w:rPr>
  </w:style>
  <w:style w:type="paragraph" w:customStyle="1" w:styleId="xl68">
    <w:name w:val="xl68"/>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CO" w:eastAsia="es-CO"/>
    </w:rPr>
  </w:style>
  <w:style w:type="paragraph" w:customStyle="1" w:styleId="xl69">
    <w:name w:val="xl69"/>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val="es-CO" w:eastAsia="es-CO"/>
    </w:rPr>
  </w:style>
  <w:style w:type="paragraph" w:customStyle="1" w:styleId="xl70">
    <w:name w:val="xl70"/>
    <w:basedOn w:val="Normal"/>
    <w:rsid w:val="00B81323"/>
    <w:pPr>
      <w:numPr>
        <w:numId w:val="0"/>
      </w:num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96E9C-99DE-4538-9854-20AB1E3B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3846</Words>
  <Characters>21157</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16</cp:revision>
  <cp:lastPrinted>2018-06-15T15:49:00Z</cp:lastPrinted>
  <dcterms:created xsi:type="dcterms:W3CDTF">2018-06-15T12:50:00Z</dcterms:created>
  <dcterms:modified xsi:type="dcterms:W3CDTF">2018-07-11T13:08:00Z</dcterms:modified>
</cp:coreProperties>
</file>