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64" w:rsidRPr="00152C0C" w:rsidRDefault="00446C64" w:rsidP="00446C6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bookmarkStart w:id="0" w:name="_GoBack"/>
      <w:r w:rsidRPr="00152C0C">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bookmarkEnd w:id="0"/>
    <w:p w:rsidR="00446C64" w:rsidRPr="00152C0C" w:rsidRDefault="00446C64" w:rsidP="00446C64">
      <w:pPr>
        <w:pStyle w:val="Sinespaciado"/>
        <w:rPr>
          <w:rFonts w:ascii="Arial" w:hAnsi="Arial" w:cs="Arial"/>
          <w:sz w:val="18"/>
          <w:szCs w:val="18"/>
        </w:rPr>
      </w:pPr>
    </w:p>
    <w:p w:rsidR="00446C64" w:rsidRPr="00152C0C" w:rsidRDefault="00446C64" w:rsidP="00446C64">
      <w:pPr>
        <w:shd w:val="clear" w:color="auto" w:fill="FFFFFF"/>
        <w:jc w:val="both"/>
        <w:rPr>
          <w:rFonts w:ascii="Arial" w:eastAsia="Times New Roman" w:hAnsi="Arial" w:cs="Arial"/>
          <w:sz w:val="18"/>
          <w:szCs w:val="18"/>
          <w:lang w:eastAsia="fr-FR"/>
        </w:rPr>
      </w:pPr>
      <w:r w:rsidRPr="00152C0C">
        <w:rPr>
          <w:rFonts w:ascii="Arial" w:eastAsia="Times New Roman" w:hAnsi="Arial" w:cs="Arial"/>
          <w:sz w:val="18"/>
          <w:szCs w:val="18"/>
          <w:lang w:eastAsia="fr-FR"/>
        </w:rPr>
        <w:t>Providencia:</w:t>
      </w:r>
      <w:r w:rsidRPr="00152C0C">
        <w:rPr>
          <w:rFonts w:ascii="Arial" w:eastAsia="Times New Roman" w:hAnsi="Arial" w:cs="Arial"/>
          <w:sz w:val="18"/>
          <w:szCs w:val="18"/>
          <w:lang w:eastAsia="fr-FR"/>
        </w:rPr>
        <w:tab/>
      </w:r>
      <w:r w:rsidRPr="00152C0C">
        <w:rPr>
          <w:rFonts w:ascii="Arial" w:eastAsia="Times New Roman" w:hAnsi="Arial" w:cs="Arial"/>
          <w:sz w:val="18"/>
          <w:szCs w:val="18"/>
          <w:lang w:eastAsia="fr-FR"/>
        </w:rPr>
        <w:tab/>
        <w:t>Sentencia – 2ª instancia – 8 de junio de 2018</w:t>
      </w:r>
    </w:p>
    <w:p w:rsidR="00446C64" w:rsidRPr="00152C0C" w:rsidRDefault="00446C64" w:rsidP="00446C64">
      <w:pPr>
        <w:shd w:val="clear" w:color="auto" w:fill="FFFFFF"/>
        <w:tabs>
          <w:tab w:val="left" w:pos="1418"/>
        </w:tabs>
        <w:jc w:val="both"/>
        <w:rPr>
          <w:rFonts w:ascii="Arial" w:eastAsia="Times New Roman" w:hAnsi="Arial" w:cs="Arial"/>
          <w:sz w:val="18"/>
          <w:szCs w:val="18"/>
          <w:lang w:eastAsia="fr-FR"/>
        </w:rPr>
      </w:pPr>
      <w:r w:rsidRPr="00152C0C">
        <w:rPr>
          <w:rFonts w:ascii="Arial" w:eastAsia="Times New Roman" w:hAnsi="Arial" w:cs="Arial"/>
          <w:sz w:val="18"/>
          <w:szCs w:val="18"/>
          <w:lang w:eastAsia="fr-FR"/>
        </w:rPr>
        <w:t>Proceso:                </w:t>
      </w:r>
      <w:r w:rsidRPr="00152C0C">
        <w:rPr>
          <w:rFonts w:ascii="Arial" w:eastAsia="Times New Roman" w:hAnsi="Arial" w:cs="Arial"/>
          <w:sz w:val="18"/>
          <w:szCs w:val="18"/>
          <w:lang w:eastAsia="fr-FR"/>
        </w:rPr>
        <w:tab/>
        <w:t xml:space="preserve">Penal </w:t>
      </w:r>
      <w:r w:rsidRPr="00152C0C">
        <w:rPr>
          <w:rFonts w:ascii="Arial" w:eastAsia="Times New Roman" w:hAnsi="Arial" w:cs="Arial"/>
          <w:spacing w:val="-20"/>
          <w:sz w:val="18"/>
          <w:szCs w:val="18"/>
          <w:lang w:eastAsia="fr-FR"/>
        </w:rPr>
        <w:t xml:space="preserve">-  </w:t>
      </w:r>
      <w:r w:rsidRPr="00152C0C">
        <w:rPr>
          <w:rFonts w:ascii="Arial" w:eastAsia="Times New Roman" w:hAnsi="Arial" w:cs="Arial"/>
          <w:sz w:val="18"/>
          <w:szCs w:val="18"/>
          <w:lang w:eastAsia="fr-FR"/>
        </w:rPr>
        <w:t>Confirma modifica condena</w:t>
      </w:r>
    </w:p>
    <w:p w:rsidR="00446C64" w:rsidRPr="00152C0C" w:rsidRDefault="00446C64" w:rsidP="00446C64">
      <w:pPr>
        <w:shd w:val="clear" w:color="auto" w:fill="FFFFFF"/>
        <w:tabs>
          <w:tab w:val="left" w:pos="1418"/>
        </w:tabs>
        <w:jc w:val="both"/>
        <w:rPr>
          <w:rFonts w:ascii="Arial" w:eastAsia="Times New Roman" w:hAnsi="Arial" w:cs="Arial"/>
          <w:bCs/>
          <w:iCs/>
          <w:sz w:val="18"/>
          <w:szCs w:val="18"/>
          <w:lang w:eastAsia="fr-FR"/>
        </w:rPr>
      </w:pPr>
      <w:r w:rsidRPr="00152C0C">
        <w:rPr>
          <w:rFonts w:ascii="Arial" w:eastAsia="Times New Roman" w:hAnsi="Arial" w:cs="Arial"/>
          <w:sz w:val="18"/>
          <w:szCs w:val="18"/>
          <w:lang w:eastAsia="fr-FR"/>
        </w:rPr>
        <w:t>Radicación Nro. :</w:t>
      </w:r>
      <w:r w:rsidRPr="00152C0C">
        <w:rPr>
          <w:rFonts w:ascii="Arial" w:eastAsia="Times New Roman" w:hAnsi="Arial" w:cs="Arial"/>
          <w:sz w:val="18"/>
          <w:szCs w:val="18"/>
          <w:lang w:eastAsia="fr-FR"/>
        </w:rPr>
        <w:tab/>
        <w:t xml:space="preserve">  </w:t>
      </w:r>
      <w:r w:rsidRPr="00152C0C">
        <w:rPr>
          <w:rFonts w:ascii="Arial" w:eastAsia="Times New Roman" w:hAnsi="Arial" w:cs="Arial"/>
          <w:sz w:val="18"/>
          <w:szCs w:val="18"/>
          <w:lang w:eastAsia="fr-FR"/>
        </w:rPr>
        <w:tab/>
      </w:r>
      <w:r w:rsidRPr="00152C0C">
        <w:rPr>
          <w:rFonts w:ascii="Arial" w:eastAsia="Times New Roman" w:hAnsi="Arial" w:cs="Arial"/>
          <w:bCs/>
          <w:iCs/>
          <w:sz w:val="18"/>
          <w:szCs w:val="18"/>
          <w:lang w:val="es-MX" w:eastAsia="fr-FR"/>
        </w:rPr>
        <w:t>660016000035201580090-01</w:t>
      </w:r>
    </w:p>
    <w:p w:rsidR="00446C64" w:rsidRPr="00152C0C" w:rsidRDefault="00446C64" w:rsidP="00446C64">
      <w:pPr>
        <w:shd w:val="clear" w:color="auto" w:fill="FFFFFF"/>
        <w:tabs>
          <w:tab w:val="left" w:pos="1418"/>
        </w:tabs>
        <w:jc w:val="both"/>
        <w:rPr>
          <w:rFonts w:ascii="Arial" w:eastAsia="Batang" w:hAnsi="Arial" w:cs="Arial"/>
          <w:b/>
          <w:bCs/>
          <w:sz w:val="18"/>
          <w:szCs w:val="18"/>
        </w:rPr>
      </w:pPr>
      <w:r w:rsidRPr="00152C0C">
        <w:rPr>
          <w:rFonts w:ascii="Arial" w:eastAsia="Batang" w:hAnsi="Arial" w:cs="Arial"/>
          <w:bCs/>
          <w:sz w:val="18"/>
          <w:szCs w:val="18"/>
        </w:rPr>
        <w:t xml:space="preserve">Procesado:   </w:t>
      </w:r>
      <w:r w:rsidRPr="00152C0C">
        <w:rPr>
          <w:rFonts w:ascii="Arial" w:eastAsia="Batang" w:hAnsi="Arial" w:cs="Arial"/>
          <w:bCs/>
          <w:sz w:val="18"/>
          <w:szCs w:val="18"/>
        </w:rPr>
        <w:tab/>
      </w:r>
      <w:r w:rsidRPr="00152C0C">
        <w:rPr>
          <w:rFonts w:ascii="Arial" w:eastAsia="Batang" w:hAnsi="Arial" w:cs="Arial"/>
          <w:bCs/>
          <w:sz w:val="18"/>
          <w:szCs w:val="18"/>
        </w:rPr>
        <w:tab/>
      </w:r>
      <w:proofErr w:type="spellStart"/>
      <w:r w:rsidRPr="00152C0C">
        <w:rPr>
          <w:rFonts w:ascii="Arial" w:eastAsia="Batang" w:hAnsi="Arial" w:cs="Arial"/>
          <w:bCs/>
          <w:sz w:val="18"/>
          <w:szCs w:val="18"/>
        </w:rPr>
        <w:t>MARILIN</w:t>
      </w:r>
      <w:proofErr w:type="spellEnd"/>
      <w:r w:rsidRPr="00152C0C">
        <w:rPr>
          <w:rFonts w:ascii="Arial" w:eastAsia="Batang" w:hAnsi="Arial" w:cs="Arial"/>
          <w:bCs/>
          <w:sz w:val="18"/>
          <w:szCs w:val="18"/>
        </w:rPr>
        <w:t xml:space="preserve"> </w:t>
      </w:r>
      <w:proofErr w:type="spellStart"/>
      <w:r w:rsidRPr="00152C0C">
        <w:rPr>
          <w:rFonts w:ascii="Arial" w:eastAsia="Batang" w:hAnsi="Arial" w:cs="Arial"/>
          <w:bCs/>
          <w:sz w:val="18"/>
          <w:szCs w:val="18"/>
        </w:rPr>
        <w:t>TABORDA</w:t>
      </w:r>
      <w:proofErr w:type="spellEnd"/>
      <w:r w:rsidRPr="00152C0C">
        <w:rPr>
          <w:rFonts w:ascii="Arial" w:eastAsia="Batang" w:hAnsi="Arial" w:cs="Arial"/>
          <w:bCs/>
          <w:sz w:val="18"/>
          <w:szCs w:val="18"/>
        </w:rPr>
        <w:t xml:space="preserve"> GUEVARA Y </w:t>
      </w:r>
      <w:proofErr w:type="spellStart"/>
      <w:r w:rsidRPr="00152C0C">
        <w:rPr>
          <w:rFonts w:ascii="Arial" w:eastAsia="Batang" w:hAnsi="Arial" w:cs="Arial"/>
          <w:bCs/>
          <w:sz w:val="18"/>
          <w:szCs w:val="18"/>
        </w:rPr>
        <w:t>HERNEY</w:t>
      </w:r>
      <w:proofErr w:type="spellEnd"/>
      <w:r w:rsidRPr="00152C0C">
        <w:rPr>
          <w:rFonts w:ascii="Arial" w:eastAsia="Batang" w:hAnsi="Arial" w:cs="Arial"/>
          <w:bCs/>
          <w:sz w:val="18"/>
          <w:szCs w:val="18"/>
        </w:rPr>
        <w:t xml:space="preserve"> BEDOYA QUINTERO</w:t>
      </w:r>
    </w:p>
    <w:p w:rsidR="00446C64" w:rsidRPr="00152C0C" w:rsidRDefault="00446C64" w:rsidP="00446C64">
      <w:pPr>
        <w:shd w:val="clear" w:color="auto" w:fill="FFFFFF"/>
        <w:tabs>
          <w:tab w:val="left" w:pos="1418"/>
        </w:tabs>
        <w:jc w:val="both"/>
        <w:rPr>
          <w:rFonts w:ascii="Arial" w:eastAsia="Times New Roman" w:hAnsi="Arial" w:cs="Arial"/>
          <w:bCs/>
          <w:iCs/>
          <w:sz w:val="18"/>
          <w:szCs w:val="18"/>
          <w:lang w:eastAsia="fr-FR"/>
        </w:rPr>
      </w:pPr>
      <w:r w:rsidRPr="00152C0C">
        <w:rPr>
          <w:rFonts w:ascii="Arial" w:eastAsia="Times New Roman" w:hAnsi="Arial" w:cs="Arial"/>
          <w:sz w:val="18"/>
          <w:szCs w:val="18"/>
          <w:lang w:eastAsia="fr-FR"/>
        </w:rPr>
        <w:t>Magistrado Ponente: </w:t>
      </w:r>
      <w:r w:rsidRPr="00152C0C">
        <w:rPr>
          <w:rFonts w:ascii="Arial" w:eastAsia="Times New Roman" w:hAnsi="Arial" w:cs="Arial"/>
          <w:sz w:val="18"/>
          <w:szCs w:val="18"/>
          <w:lang w:eastAsia="fr-FR"/>
        </w:rPr>
        <w:tab/>
        <w:t xml:space="preserve">MANUEL </w:t>
      </w:r>
      <w:proofErr w:type="spellStart"/>
      <w:r w:rsidRPr="00152C0C">
        <w:rPr>
          <w:rFonts w:ascii="Arial" w:eastAsia="Times New Roman" w:hAnsi="Arial" w:cs="Arial"/>
          <w:sz w:val="18"/>
          <w:szCs w:val="18"/>
          <w:lang w:eastAsia="fr-FR"/>
        </w:rPr>
        <w:t>YARZAGARAY</w:t>
      </w:r>
      <w:proofErr w:type="spellEnd"/>
      <w:r w:rsidRPr="00152C0C">
        <w:rPr>
          <w:rFonts w:ascii="Arial" w:eastAsia="Times New Roman" w:hAnsi="Arial" w:cs="Arial"/>
          <w:sz w:val="18"/>
          <w:szCs w:val="18"/>
          <w:lang w:eastAsia="fr-FR"/>
        </w:rPr>
        <w:t xml:space="preserve"> BANDERA</w:t>
      </w:r>
    </w:p>
    <w:p w:rsidR="00446C64" w:rsidRPr="00152C0C" w:rsidRDefault="00446C64" w:rsidP="00446C64">
      <w:pPr>
        <w:shd w:val="clear" w:color="auto" w:fill="FFFFFF"/>
        <w:tabs>
          <w:tab w:val="left" w:pos="1418"/>
        </w:tabs>
        <w:jc w:val="both"/>
        <w:rPr>
          <w:rFonts w:ascii="Arial" w:eastAsia="Times New Roman" w:hAnsi="Arial" w:cs="Arial"/>
          <w:bCs/>
          <w:iCs/>
          <w:sz w:val="18"/>
          <w:szCs w:val="18"/>
          <w:lang w:eastAsia="fr-FR"/>
        </w:rPr>
      </w:pPr>
    </w:p>
    <w:p w:rsidR="004449FC" w:rsidRPr="00152C0C" w:rsidRDefault="00446C64" w:rsidP="004449FC">
      <w:pPr>
        <w:jc w:val="both"/>
        <w:rPr>
          <w:rFonts w:ascii="Arial" w:eastAsia="Times New Roman" w:hAnsi="Arial" w:cs="Arial"/>
          <w:bCs/>
          <w:iCs/>
          <w:sz w:val="18"/>
          <w:szCs w:val="18"/>
          <w:lang w:eastAsia="fr-FR"/>
        </w:rPr>
      </w:pPr>
      <w:r w:rsidRPr="00152C0C">
        <w:rPr>
          <w:rFonts w:ascii="Arial" w:eastAsia="Times New Roman" w:hAnsi="Arial" w:cs="Arial"/>
          <w:b/>
          <w:bCs/>
          <w:iCs/>
          <w:sz w:val="18"/>
          <w:szCs w:val="18"/>
          <w:lang w:eastAsia="fr-FR"/>
        </w:rPr>
        <w:t xml:space="preserve">TEMA: </w:t>
      </w:r>
      <w:r w:rsidRPr="00152C0C">
        <w:rPr>
          <w:rFonts w:ascii="Arial" w:eastAsia="Times New Roman" w:hAnsi="Arial" w:cs="Arial"/>
          <w:b/>
          <w:bCs/>
          <w:iCs/>
          <w:sz w:val="18"/>
          <w:szCs w:val="18"/>
          <w:lang w:eastAsia="fr-FR"/>
        </w:rPr>
        <w:tab/>
      </w:r>
      <w:r w:rsidRPr="00152C0C">
        <w:rPr>
          <w:rFonts w:ascii="Arial" w:eastAsia="Times New Roman" w:hAnsi="Arial" w:cs="Arial"/>
          <w:b/>
          <w:bCs/>
          <w:iCs/>
          <w:sz w:val="18"/>
          <w:szCs w:val="18"/>
          <w:lang w:eastAsia="fr-FR"/>
        </w:rPr>
        <w:tab/>
      </w:r>
      <w:r w:rsidRPr="00152C0C">
        <w:rPr>
          <w:rFonts w:ascii="Arial" w:eastAsia="Times New Roman" w:hAnsi="Arial" w:cs="Arial"/>
          <w:b/>
          <w:bCs/>
          <w:iCs/>
          <w:sz w:val="18"/>
          <w:szCs w:val="18"/>
          <w:lang w:eastAsia="fr-FR"/>
        </w:rPr>
        <w:tab/>
        <w:t xml:space="preserve">HURTO CALIFICADO CON CIRCUNSTANCIAS DE AGRAVACIÓN PUNITIVA / </w:t>
      </w:r>
      <w:r w:rsidR="004449FC" w:rsidRPr="00152C0C">
        <w:rPr>
          <w:rFonts w:ascii="Arial" w:eastAsia="Times New Roman" w:hAnsi="Arial" w:cs="Arial"/>
          <w:b/>
          <w:bCs/>
          <w:iCs/>
          <w:sz w:val="18"/>
          <w:szCs w:val="18"/>
          <w:lang w:eastAsia="fr-FR"/>
        </w:rPr>
        <w:t>FAVORABILIDAD</w:t>
      </w:r>
      <w:r w:rsidRPr="00152C0C">
        <w:rPr>
          <w:rFonts w:ascii="Arial" w:eastAsia="Times New Roman" w:hAnsi="Arial" w:cs="Arial"/>
          <w:b/>
          <w:bCs/>
          <w:iCs/>
          <w:sz w:val="18"/>
          <w:szCs w:val="18"/>
          <w:lang w:eastAsia="fr-FR"/>
        </w:rPr>
        <w:t xml:space="preserve"> / </w:t>
      </w:r>
      <w:r w:rsidR="004449FC" w:rsidRPr="00152C0C">
        <w:rPr>
          <w:rFonts w:ascii="Arial" w:eastAsia="Times New Roman" w:hAnsi="Arial" w:cs="Arial"/>
          <w:b/>
          <w:bCs/>
          <w:iCs/>
          <w:sz w:val="18"/>
          <w:szCs w:val="18"/>
          <w:lang w:eastAsia="fr-FR"/>
        </w:rPr>
        <w:t>APLICACIÓN RETROACTIVA DE LEY 1826 DE 2017</w:t>
      </w:r>
      <w:r w:rsidRPr="00152C0C">
        <w:rPr>
          <w:rFonts w:ascii="Arial" w:eastAsia="Times New Roman" w:hAnsi="Arial" w:cs="Arial"/>
          <w:b/>
          <w:bCs/>
          <w:iCs/>
          <w:sz w:val="18"/>
          <w:szCs w:val="18"/>
          <w:lang w:eastAsia="fr-FR"/>
        </w:rPr>
        <w:t xml:space="preserve"> /</w:t>
      </w:r>
      <w:r w:rsidR="004449FC" w:rsidRPr="00152C0C">
        <w:rPr>
          <w:rFonts w:ascii="Arial" w:eastAsia="Times New Roman" w:hAnsi="Arial" w:cs="Arial"/>
          <w:b/>
          <w:bCs/>
          <w:iCs/>
          <w:sz w:val="18"/>
          <w:szCs w:val="18"/>
          <w:lang w:eastAsia="fr-FR"/>
        </w:rPr>
        <w:t xml:space="preserve"> FRENTE A DELITOS EN MODALIDAD DE TENTATIVA / NO SE EXIGE REINTEGRO DE INCREMENTO PATRIMONIAL /</w:t>
      </w:r>
      <w:r w:rsidRPr="00152C0C">
        <w:rPr>
          <w:rFonts w:ascii="Arial" w:eastAsia="Times New Roman" w:hAnsi="Arial" w:cs="Arial"/>
          <w:b/>
          <w:bCs/>
          <w:iCs/>
          <w:sz w:val="18"/>
          <w:szCs w:val="18"/>
          <w:lang w:eastAsia="fr-FR"/>
        </w:rPr>
        <w:t xml:space="preserve"> </w:t>
      </w:r>
      <w:r w:rsidR="004449FC" w:rsidRPr="00152C0C">
        <w:rPr>
          <w:rFonts w:ascii="Arial" w:eastAsia="Times New Roman" w:hAnsi="Arial" w:cs="Arial"/>
          <w:bCs/>
          <w:iCs/>
          <w:sz w:val="18"/>
          <w:szCs w:val="18"/>
          <w:lang w:eastAsia="fr-FR"/>
        </w:rPr>
        <w:t xml:space="preserve">Siendo así las cosas, la Colegiatura concluye que le asiste la razón al apelante, porque en efecto, la ley # 1826 de 2.017, por ser una normativa posterior y más benéfica para los intereses de los procesados, acorde con lo establecido en el artículo 29 de la Carta, en consonancia con lo reglado por el inciso 3º del artículo 6º C.P. el inciso 2º del artículo 6º </w:t>
      </w:r>
      <w:proofErr w:type="spellStart"/>
      <w:r w:rsidR="004449FC" w:rsidRPr="00152C0C">
        <w:rPr>
          <w:rFonts w:ascii="Arial" w:eastAsia="Times New Roman" w:hAnsi="Arial" w:cs="Arial"/>
          <w:bCs/>
          <w:iCs/>
          <w:sz w:val="18"/>
          <w:szCs w:val="18"/>
          <w:lang w:eastAsia="fr-FR"/>
        </w:rPr>
        <w:t>C.P.P</w:t>
      </w:r>
      <w:proofErr w:type="spellEnd"/>
      <w:r w:rsidR="004449FC" w:rsidRPr="00152C0C">
        <w:rPr>
          <w:rFonts w:ascii="Arial" w:eastAsia="Times New Roman" w:hAnsi="Arial" w:cs="Arial"/>
          <w:bCs/>
          <w:iCs/>
          <w:sz w:val="18"/>
          <w:szCs w:val="18"/>
          <w:lang w:eastAsia="fr-FR"/>
        </w:rPr>
        <w:t xml:space="preserve">. y el artículo 44 de la ley 153 de 1.887, sería la llamada a regir el </w:t>
      </w:r>
      <w:proofErr w:type="spellStart"/>
      <w:r w:rsidR="004449FC" w:rsidRPr="00152C0C">
        <w:rPr>
          <w:rFonts w:ascii="Arial" w:eastAsia="Times New Roman" w:hAnsi="Arial" w:cs="Arial"/>
          <w:bCs/>
          <w:iCs/>
          <w:sz w:val="18"/>
          <w:szCs w:val="18"/>
          <w:lang w:eastAsia="fr-FR"/>
        </w:rPr>
        <w:t>subexamine</w:t>
      </w:r>
      <w:proofErr w:type="spellEnd"/>
      <w:r w:rsidR="004449FC" w:rsidRPr="00152C0C">
        <w:rPr>
          <w:rFonts w:ascii="Arial" w:eastAsia="Times New Roman" w:hAnsi="Arial" w:cs="Arial"/>
          <w:bCs/>
          <w:iCs/>
          <w:sz w:val="18"/>
          <w:szCs w:val="18"/>
          <w:lang w:eastAsia="fr-FR"/>
        </w:rPr>
        <w:t xml:space="preserve">, ya que el delito por el que los Procesados se allanaron a los cargos se encuentra dentro del listado de reatos susceptibles del procedimiento abreviado especial, y como consecuencia de la aplicación del principio de la favorabilidad tendría efectos retroactivos, y en tal virtud válidamente puede regular y modificar situaciones jurídicas que existían antes de su entrada en vigencia. </w:t>
      </w:r>
    </w:p>
    <w:p w:rsidR="004449FC" w:rsidRPr="00152C0C" w:rsidRDefault="004449FC" w:rsidP="004449FC">
      <w:pPr>
        <w:jc w:val="both"/>
        <w:rPr>
          <w:rFonts w:ascii="Arial" w:eastAsia="Times New Roman" w:hAnsi="Arial" w:cs="Arial"/>
          <w:bCs/>
          <w:iCs/>
          <w:sz w:val="18"/>
          <w:szCs w:val="18"/>
          <w:lang w:eastAsia="fr-FR"/>
        </w:rPr>
      </w:pPr>
      <w:r w:rsidRPr="00152C0C">
        <w:rPr>
          <w:rFonts w:ascii="Arial" w:eastAsia="Times New Roman" w:hAnsi="Arial" w:cs="Arial"/>
          <w:bCs/>
          <w:iCs/>
          <w:sz w:val="18"/>
          <w:szCs w:val="18"/>
          <w:lang w:eastAsia="fr-FR"/>
        </w:rPr>
        <w:t xml:space="preserve">Estando claro que en virtud del principio de favorabilidad los Procesados son destinatarios del monto de los descuentos punitivos consagrados por la ley # 1826 de 2.017 para quienes se allanen a los cargos en los eventos de captura en flagrancia, el tópico que ahora nos tocaría por esclarecer es si para la procedencia de dicha modalidad de terminación anticipada de los procesos, los acriminados deben cumplir con las exigencias del artículo 349 </w:t>
      </w:r>
      <w:proofErr w:type="spellStart"/>
      <w:r w:rsidRPr="00152C0C">
        <w:rPr>
          <w:rFonts w:ascii="Arial" w:eastAsia="Times New Roman" w:hAnsi="Arial" w:cs="Arial"/>
          <w:bCs/>
          <w:iCs/>
          <w:sz w:val="18"/>
          <w:szCs w:val="18"/>
          <w:lang w:eastAsia="fr-FR"/>
        </w:rPr>
        <w:t>C.P.P</w:t>
      </w:r>
      <w:proofErr w:type="spellEnd"/>
      <w:r w:rsidRPr="00152C0C">
        <w:rPr>
          <w:rFonts w:ascii="Arial" w:eastAsia="Times New Roman" w:hAnsi="Arial" w:cs="Arial"/>
          <w:bCs/>
          <w:iCs/>
          <w:sz w:val="18"/>
          <w:szCs w:val="18"/>
          <w:lang w:eastAsia="fr-FR"/>
        </w:rPr>
        <w:t>. el cual requiere, como condicionamiento para la procedencia de los descuentos punitivos, que el Procesado reintegre al menos el 50% del incremento patrimonial percibido .</w:t>
      </w:r>
    </w:p>
    <w:p w:rsidR="004449FC" w:rsidRPr="00152C0C" w:rsidRDefault="004449FC" w:rsidP="004449FC">
      <w:pPr>
        <w:jc w:val="both"/>
        <w:rPr>
          <w:rFonts w:ascii="Arial" w:eastAsia="Times New Roman" w:hAnsi="Arial" w:cs="Arial"/>
          <w:bCs/>
          <w:iCs/>
          <w:sz w:val="18"/>
          <w:szCs w:val="18"/>
          <w:lang w:eastAsia="fr-FR"/>
        </w:rPr>
      </w:pPr>
      <w:r w:rsidRPr="00152C0C">
        <w:rPr>
          <w:rFonts w:ascii="Arial" w:eastAsia="Times New Roman" w:hAnsi="Arial" w:cs="Arial"/>
          <w:bCs/>
          <w:iCs/>
          <w:sz w:val="18"/>
          <w:szCs w:val="18"/>
          <w:lang w:eastAsia="fr-FR"/>
        </w:rPr>
        <w:t xml:space="preserve">Frente a lo anterior, la Sala dirá que en el presente asunto no tendría </w:t>
      </w:r>
      <w:proofErr w:type="spellStart"/>
      <w:r w:rsidRPr="00152C0C">
        <w:rPr>
          <w:rFonts w:ascii="Arial" w:eastAsia="Times New Roman" w:hAnsi="Arial" w:cs="Arial"/>
          <w:bCs/>
          <w:iCs/>
          <w:sz w:val="18"/>
          <w:szCs w:val="18"/>
          <w:lang w:eastAsia="fr-FR"/>
        </w:rPr>
        <w:t>operancia</w:t>
      </w:r>
      <w:proofErr w:type="spellEnd"/>
      <w:r w:rsidRPr="00152C0C">
        <w:rPr>
          <w:rFonts w:ascii="Arial" w:eastAsia="Times New Roman" w:hAnsi="Arial" w:cs="Arial"/>
          <w:bCs/>
          <w:iCs/>
          <w:sz w:val="18"/>
          <w:szCs w:val="18"/>
          <w:lang w:eastAsia="fr-FR"/>
        </w:rPr>
        <w:t xml:space="preserve"> las disposiciones consagradas en el aludido artículo 349 </w:t>
      </w:r>
      <w:proofErr w:type="spellStart"/>
      <w:r w:rsidRPr="00152C0C">
        <w:rPr>
          <w:rFonts w:ascii="Arial" w:eastAsia="Times New Roman" w:hAnsi="Arial" w:cs="Arial"/>
          <w:bCs/>
          <w:iCs/>
          <w:sz w:val="18"/>
          <w:szCs w:val="18"/>
          <w:lang w:eastAsia="fr-FR"/>
        </w:rPr>
        <w:t>C.P.P</w:t>
      </w:r>
      <w:proofErr w:type="spellEnd"/>
      <w:r w:rsidRPr="00152C0C">
        <w:rPr>
          <w:rFonts w:ascii="Arial" w:eastAsia="Times New Roman" w:hAnsi="Arial" w:cs="Arial"/>
          <w:bCs/>
          <w:iCs/>
          <w:sz w:val="18"/>
          <w:szCs w:val="18"/>
          <w:lang w:eastAsia="fr-FR"/>
        </w:rPr>
        <w:t xml:space="preserve">. porque acorde con la naturaleza del delito por el cual los encausados se allanaron a los cargos: tentativa hurto calificado agravado, es obvio que se está en presencia de un delito frustrado que implicó que los Procesados en momento alguno obtuvieran ningún tipo de incremento patrimonial como consecuencia de su comisión. </w:t>
      </w:r>
    </w:p>
    <w:p w:rsidR="004449FC" w:rsidRPr="00152C0C" w:rsidRDefault="004449FC" w:rsidP="004449FC">
      <w:pPr>
        <w:jc w:val="both"/>
        <w:rPr>
          <w:rFonts w:ascii="Arial" w:eastAsia="Times New Roman" w:hAnsi="Arial" w:cs="Arial"/>
          <w:bCs/>
          <w:iCs/>
          <w:sz w:val="18"/>
          <w:szCs w:val="18"/>
          <w:lang w:eastAsia="fr-FR"/>
        </w:rPr>
      </w:pPr>
    </w:p>
    <w:p w:rsidR="00446C64" w:rsidRPr="00152C0C" w:rsidRDefault="004449FC" w:rsidP="004449FC">
      <w:pPr>
        <w:jc w:val="both"/>
        <w:rPr>
          <w:rFonts w:ascii="Arial" w:eastAsia="Times New Roman" w:hAnsi="Arial" w:cs="Arial"/>
          <w:bCs/>
          <w:iCs/>
          <w:sz w:val="18"/>
          <w:szCs w:val="18"/>
          <w:lang w:eastAsia="fr-FR"/>
        </w:rPr>
      </w:pPr>
      <w:r w:rsidRPr="00152C0C">
        <w:rPr>
          <w:rFonts w:ascii="Arial" w:eastAsia="Times New Roman" w:hAnsi="Arial" w:cs="Arial"/>
          <w:b/>
          <w:bCs/>
          <w:iCs/>
          <w:sz w:val="18"/>
          <w:szCs w:val="18"/>
          <w:lang w:eastAsia="fr-FR"/>
        </w:rPr>
        <w:t>DESCUENTO PUNITIVO / SE FIJA SEG</w:t>
      </w:r>
      <w:r w:rsidR="00632688" w:rsidRPr="00152C0C">
        <w:rPr>
          <w:rFonts w:ascii="Arial" w:eastAsia="Times New Roman" w:hAnsi="Arial" w:cs="Arial"/>
          <w:b/>
          <w:bCs/>
          <w:iCs/>
          <w:sz w:val="18"/>
          <w:szCs w:val="18"/>
          <w:lang w:eastAsia="fr-FR"/>
        </w:rPr>
        <w:t xml:space="preserve">ÚN </w:t>
      </w:r>
      <w:r w:rsidRPr="00152C0C">
        <w:rPr>
          <w:rFonts w:ascii="Arial" w:eastAsia="Times New Roman" w:hAnsi="Arial" w:cs="Arial"/>
          <w:b/>
          <w:bCs/>
          <w:iCs/>
          <w:sz w:val="18"/>
          <w:szCs w:val="18"/>
          <w:lang w:eastAsia="fr-FR"/>
        </w:rPr>
        <w:t>COLABORACIÓN ENTREGADA Y EL GRADO DE DIFICULTAD PROBATORIA PARA DEMOSTRAR RESPONSABILIDAD</w:t>
      </w:r>
      <w:r w:rsidR="00446C64" w:rsidRPr="00152C0C">
        <w:rPr>
          <w:rFonts w:ascii="Arial" w:eastAsia="Times New Roman" w:hAnsi="Arial" w:cs="Arial"/>
          <w:b/>
          <w:bCs/>
          <w:iCs/>
          <w:sz w:val="18"/>
          <w:szCs w:val="18"/>
          <w:lang w:eastAsia="fr-FR"/>
        </w:rPr>
        <w:t xml:space="preserve"> / </w:t>
      </w:r>
      <w:r w:rsidRPr="00152C0C">
        <w:rPr>
          <w:rFonts w:ascii="Arial" w:eastAsia="Times New Roman" w:hAnsi="Arial" w:cs="Arial"/>
          <w:b/>
          <w:bCs/>
          <w:iCs/>
          <w:sz w:val="18"/>
          <w:szCs w:val="18"/>
          <w:lang w:eastAsia="fr-FR"/>
        </w:rPr>
        <w:t>MODIFICA CONDENA</w:t>
      </w:r>
      <w:r w:rsidR="00446C64" w:rsidRPr="00152C0C">
        <w:rPr>
          <w:rFonts w:ascii="Arial" w:eastAsia="Times New Roman" w:hAnsi="Arial" w:cs="Arial"/>
          <w:b/>
          <w:bCs/>
          <w:iCs/>
          <w:sz w:val="18"/>
          <w:szCs w:val="18"/>
          <w:lang w:eastAsia="fr-FR"/>
        </w:rPr>
        <w:t xml:space="preserve"> / </w:t>
      </w:r>
      <w:r w:rsidRPr="00152C0C">
        <w:rPr>
          <w:rFonts w:ascii="Arial" w:eastAsia="Times New Roman" w:hAnsi="Arial" w:cs="Arial"/>
          <w:bCs/>
          <w:iCs/>
          <w:sz w:val="18"/>
          <w:szCs w:val="18"/>
          <w:lang w:eastAsia="fr-FR"/>
        </w:rPr>
        <w:t xml:space="preserve">Ahora, a fin de determinar el monto de los descuentos punitivos a imponer a los Procesados por allanarse a los cargos, al aplicar los postulados del derecho </w:t>
      </w:r>
      <w:proofErr w:type="spellStart"/>
      <w:r w:rsidRPr="00152C0C">
        <w:rPr>
          <w:rFonts w:ascii="Arial" w:eastAsia="Times New Roman" w:hAnsi="Arial" w:cs="Arial"/>
          <w:bCs/>
          <w:iCs/>
          <w:sz w:val="18"/>
          <w:szCs w:val="18"/>
          <w:lang w:eastAsia="fr-FR"/>
        </w:rPr>
        <w:t>premial</w:t>
      </w:r>
      <w:proofErr w:type="spellEnd"/>
      <w:r w:rsidRPr="00152C0C">
        <w:rPr>
          <w:rFonts w:ascii="Arial" w:eastAsia="Times New Roman" w:hAnsi="Arial" w:cs="Arial"/>
          <w:bCs/>
          <w:iCs/>
          <w:sz w:val="18"/>
          <w:szCs w:val="18"/>
          <w:lang w:eastAsia="fr-FR"/>
        </w:rPr>
        <w:t xml:space="preserve">, considera la Sala que no es procedente acceder a las pretensiones del apelante, quien pide que en favor de los Procesados se reconozca el máximo de los descuentos punitivos: el 50%, ya que tales descuentos deben corresponder es a un 35% de la pena a imponer, si se tiene en cuenta que la colaboración de los procesados con la administración de justicia no ha sido determinante para la conclusión del proceso, máxime cuando en el presente asunto no se </w:t>
      </w:r>
      <w:proofErr w:type="spellStart"/>
      <w:r w:rsidRPr="00152C0C">
        <w:rPr>
          <w:rFonts w:ascii="Arial" w:eastAsia="Times New Roman" w:hAnsi="Arial" w:cs="Arial"/>
          <w:bCs/>
          <w:iCs/>
          <w:sz w:val="18"/>
          <w:szCs w:val="18"/>
          <w:lang w:eastAsia="fr-FR"/>
        </w:rPr>
        <w:t>esta</w:t>
      </w:r>
      <w:proofErr w:type="spellEnd"/>
      <w:r w:rsidRPr="00152C0C">
        <w:rPr>
          <w:rFonts w:ascii="Arial" w:eastAsia="Times New Roman" w:hAnsi="Arial" w:cs="Arial"/>
          <w:bCs/>
          <w:iCs/>
          <w:sz w:val="18"/>
          <w:szCs w:val="18"/>
          <w:lang w:eastAsia="fr-FR"/>
        </w:rPr>
        <w:t xml:space="preserve"> en presencia de un caso en el cual reine algún tipo de dificultad probatoria por parte de la Fiscalía para demostrar el compromiso penal de los Procesados, el cual refulge diamantinamente de los medios de conocimientos habidos en el proceso.</w:t>
      </w:r>
    </w:p>
    <w:p w:rsidR="00446C64" w:rsidRPr="00152C0C" w:rsidRDefault="00446C64" w:rsidP="007951D5">
      <w:pPr>
        <w:spacing w:line="276" w:lineRule="auto"/>
        <w:jc w:val="center"/>
        <w:rPr>
          <w:rFonts w:cs="Microsoft Sans Serif"/>
          <w:b/>
        </w:rPr>
      </w:pPr>
    </w:p>
    <w:p w:rsidR="00446C64" w:rsidRPr="00152C0C" w:rsidRDefault="00446C64" w:rsidP="007951D5">
      <w:pPr>
        <w:spacing w:line="276" w:lineRule="auto"/>
        <w:jc w:val="center"/>
        <w:rPr>
          <w:rFonts w:cs="Microsoft Sans Serif"/>
          <w:b/>
        </w:rPr>
      </w:pPr>
    </w:p>
    <w:p w:rsidR="00F359A4" w:rsidRPr="00152C0C" w:rsidRDefault="00F359A4" w:rsidP="007951D5">
      <w:pPr>
        <w:spacing w:line="276" w:lineRule="auto"/>
        <w:jc w:val="center"/>
        <w:rPr>
          <w:rFonts w:cs="Microsoft Sans Serif"/>
          <w:b/>
        </w:rPr>
      </w:pPr>
      <w:r w:rsidRPr="00152C0C">
        <w:rPr>
          <w:rFonts w:cs="Microsoft Sans Serif"/>
          <w:b/>
        </w:rPr>
        <w:t>REPÚBLICA DE COLOMBIA</w:t>
      </w:r>
    </w:p>
    <w:p w:rsidR="00F359A4" w:rsidRPr="00152C0C" w:rsidRDefault="00F359A4" w:rsidP="007951D5">
      <w:pPr>
        <w:spacing w:line="276" w:lineRule="auto"/>
        <w:jc w:val="center"/>
        <w:rPr>
          <w:rFonts w:cs="Microsoft Sans Serif"/>
          <w:b/>
        </w:rPr>
      </w:pPr>
      <w:r w:rsidRPr="00152C0C">
        <w:rPr>
          <w:rFonts w:cs="Microsoft Sans Serif"/>
          <w:b/>
        </w:rPr>
        <w:t>RAMA JUDICIAL DEL PODER PÚBLICO</w:t>
      </w:r>
    </w:p>
    <w:p w:rsidR="00F359A4" w:rsidRPr="00152C0C" w:rsidRDefault="00F359A4" w:rsidP="007951D5">
      <w:pPr>
        <w:spacing w:line="276" w:lineRule="auto"/>
        <w:jc w:val="center"/>
        <w:rPr>
          <w:rFonts w:cs="Microsoft Sans Serif"/>
          <w:b/>
        </w:rPr>
      </w:pPr>
      <w:r w:rsidRPr="00152C0C">
        <w:rPr>
          <w:rFonts w:cs="Microsoft Sans Serif"/>
          <w:b/>
          <w:noProof/>
          <w:lang w:val="es-ES" w:eastAsia="es-ES"/>
        </w:rPr>
        <w:drawing>
          <wp:inline distT="0" distB="0" distL="0" distR="0" wp14:anchorId="6B3E5862" wp14:editId="51D18ABB">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F359A4" w:rsidRPr="00152C0C" w:rsidRDefault="00F359A4" w:rsidP="007951D5">
      <w:pPr>
        <w:spacing w:line="276" w:lineRule="auto"/>
        <w:jc w:val="center"/>
        <w:rPr>
          <w:rFonts w:cs="Microsoft Sans Serif"/>
          <w:b/>
        </w:rPr>
      </w:pPr>
      <w:r w:rsidRPr="00152C0C">
        <w:rPr>
          <w:rFonts w:cs="Microsoft Sans Serif"/>
          <w:b/>
        </w:rPr>
        <w:t>TRIBUNAL SUPERIOR DEL DISTRITO JUDICIAL DE PEREIRA</w:t>
      </w:r>
    </w:p>
    <w:p w:rsidR="00F359A4" w:rsidRPr="00152C0C" w:rsidRDefault="00F359A4" w:rsidP="007951D5">
      <w:pPr>
        <w:spacing w:line="276" w:lineRule="auto"/>
        <w:jc w:val="center"/>
        <w:rPr>
          <w:rFonts w:cs="Microsoft Sans Serif"/>
          <w:b/>
        </w:rPr>
      </w:pPr>
      <w:r w:rsidRPr="00152C0C">
        <w:rPr>
          <w:rFonts w:cs="Microsoft Sans Serif"/>
          <w:b/>
        </w:rPr>
        <w:t>SALA DE DECISIÓN PENAL</w:t>
      </w:r>
    </w:p>
    <w:p w:rsidR="00F359A4" w:rsidRPr="00152C0C" w:rsidRDefault="00F359A4" w:rsidP="007951D5">
      <w:pPr>
        <w:spacing w:line="276" w:lineRule="auto"/>
        <w:jc w:val="center"/>
        <w:rPr>
          <w:rFonts w:cs="Microsoft Sans Serif"/>
          <w:b/>
        </w:rPr>
      </w:pPr>
    </w:p>
    <w:p w:rsidR="00F359A4" w:rsidRPr="00152C0C" w:rsidRDefault="00F359A4" w:rsidP="007951D5">
      <w:pPr>
        <w:spacing w:line="276" w:lineRule="auto"/>
        <w:jc w:val="center"/>
        <w:rPr>
          <w:rFonts w:cs="Microsoft Sans Serif"/>
          <w:b/>
        </w:rPr>
      </w:pPr>
      <w:r w:rsidRPr="00152C0C">
        <w:rPr>
          <w:rFonts w:cs="Microsoft Sans Serif"/>
          <w:b/>
        </w:rPr>
        <w:t>M.P. MANUEL YARZAGARAY BANDERA</w:t>
      </w:r>
    </w:p>
    <w:p w:rsidR="00F359A4" w:rsidRPr="00152C0C" w:rsidRDefault="00F359A4" w:rsidP="007951D5">
      <w:pPr>
        <w:spacing w:line="276" w:lineRule="auto"/>
        <w:jc w:val="center"/>
        <w:rPr>
          <w:rFonts w:cs="Microsoft Sans Serif"/>
          <w:b/>
          <w:bCs/>
        </w:rPr>
      </w:pPr>
    </w:p>
    <w:p w:rsidR="00F359A4" w:rsidRPr="00152C0C" w:rsidRDefault="00F359A4" w:rsidP="007951D5">
      <w:pPr>
        <w:spacing w:line="276" w:lineRule="auto"/>
        <w:jc w:val="center"/>
        <w:rPr>
          <w:rFonts w:cs="Microsoft Sans Serif"/>
          <w:b/>
          <w:bCs/>
        </w:rPr>
      </w:pPr>
      <w:r w:rsidRPr="00152C0C">
        <w:rPr>
          <w:rFonts w:cs="Microsoft Sans Serif"/>
          <w:b/>
          <w:bCs/>
        </w:rPr>
        <w:t>SENTENCIA DE 2ª INSTANCIA</w:t>
      </w:r>
    </w:p>
    <w:p w:rsidR="00F359A4" w:rsidRPr="00152C0C" w:rsidRDefault="00F359A4" w:rsidP="007951D5">
      <w:pPr>
        <w:spacing w:line="276" w:lineRule="auto"/>
        <w:jc w:val="center"/>
        <w:rPr>
          <w:rFonts w:cs="Microsoft Sans Serif"/>
          <w:spacing w:val="-3"/>
        </w:rPr>
      </w:pPr>
    </w:p>
    <w:p w:rsidR="00F359A4" w:rsidRPr="00152C0C" w:rsidRDefault="007B489D" w:rsidP="007951D5">
      <w:pPr>
        <w:spacing w:line="276" w:lineRule="auto"/>
        <w:jc w:val="center"/>
        <w:rPr>
          <w:rFonts w:eastAsia="Times New Roman" w:cs="Microsoft Sans Serif"/>
          <w:bCs/>
          <w:sz w:val="24"/>
        </w:rPr>
      </w:pPr>
      <w:r w:rsidRPr="00152C0C">
        <w:rPr>
          <w:rFonts w:eastAsia="Times New Roman" w:cs="Microsoft Sans Serif"/>
          <w:spacing w:val="-3"/>
          <w:sz w:val="24"/>
        </w:rPr>
        <w:t xml:space="preserve">Aprobado por Acta No. </w:t>
      </w:r>
      <w:r w:rsidR="007B654A" w:rsidRPr="00152C0C">
        <w:rPr>
          <w:rFonts w:eastAsia="Times New Roman" w:cs="Microsoft Sans Serif"/>
          <w:spacing w:val="-3"/>
          <w:sz w:val="24"/>
        </w:rPr>
        <w:t xml:space="preserve"> </w:t>
      </w:r>
      <w:r w:rsidR="00F359A4" w:rsidRPr="00152C0C">
        <w:rPr>
          <w:rFonts w:eastAsia="Times New Roman" w:cs="Microsoft Sans Serif"/>
          <w:b/>
          <w:bCs/>
          <w:sz w:val="24"/>
        </w:rPr>
        <w:t xml:space="preserve"> </w:t>
      </w:r>
      <w:r w:rsidR="00B52A33" w:rsidRPr="00152C0C">
        <w:rPr>
          <w:rFonts w:eastAsia="Times New Roman" w:cs="Microsoft Sans Serif"/>
          <w:bCs/>
          <w:sz w:val="24"/>
        </w:rPr>
        <w:t xml:space="preserve">480 del 7 de junio de 2018. H: 3:00 p.m. </w:t>
      </w:r>
    </w:p>
    <w:p w:rsidR="00F359A4" w:rsidRPr="00152C0C" w:rsidRDefault="00F359A4" w:rsidP="007951D5">
      <w:pPr>
        <w:spacing w:line="276" w:lineRule="auto"/>
        <w:jc w:val="both"/>
        <w:rPr>
          <w:rFonts w:eastAsia="Times New Roman" w:cs="Microsoft Sans Serif"/>
          <w:b/>
          <w:bCs/>
        </w:rPr>
      </w:pPr>
    </w:p>
    <w:p w:rsidR="00F359A4" w:rsidRPr="00152C0C" w:rsidRDefault="007B654A" w:rsidP="007951D5">
      <w:pPr>
        <w:spacing w:line="276" w:lineRule="auto"/>
        <w:jc w:val="both"/>
        <w:rPr>
          <w:rFonts w:eastAsia="Times New Roman" w:cs="Microsoft Sans Serif"/>
        </w:rPr>
      </w:pPr>
      <w:r w:rsidRPr="00152C0C">
        <w:rPr>
          <w:rFonts w:eastAsia="Times New Roman" w:cs="Microsoft Sans Serif"/>
        </w:rPr>
        <w:t xml:space="preserve">Pereira, </w:t>
      </w:r>
      <w:r w:rsidR="00B52A33" w:rsidRPr="00152C0C">
        <w:rPr>
          <w:rFonts w:eastAsia="Times New Roman" w:cs="Microsoft Sans Serif"/>
        </w:rPr>
        <w:t xml:space="preserve">ocho </w:t>
      </w:r>
      <w:r w:rsidR="00806A8C" w:rsidRPr="00152C0C">
        <w:rPr>
          <w:rFonts w:eastAsia="Times New Roman" w:cs="Microsoft Sans Serif"/>
        </w:rPr>
        <w:t>(</w:t>
      </w:r>
      <w:r w:rsidR="00B52A33" w:rsidRPr="00152C0C">
        <w:rPr>
          <w:rFonts w:eastAsia="Times New Roman" w:cs="Microsoft Sans Serif"/>
        </w:rPr>
        <w:t>8</w:t>
      </w:r>
      <w:r w:rsidRPr="00152C0C">
        <w:rPr>
          <w:rFonts w:eastAsia="Times New Roman" w:cs="Microsoft Sans Serif"/>
        </w:rPr>
        <w:t xml:space="preserve">) </w:t>
      </w:r>
      <w:r w:rsidR="007B489D" w:rsidRPr="00152C0C">
        <w:rPr>
          <w:rFonts w:eastAsia="Times New Roman" w:cs="Microsoft Sans Serif"/>
        </w:rPr>
        <w:t xml:space="preserve">de </w:t>
      </w:r>
      <w:r w:rsidR="00B52A33" w:rsidRPr="00152C0C">
        <w:rPr>
          <w:rFonts w:eastAsia="Times New Roman" w:cs="Microsoft Sans Serif"/>
        </w:rPr>
        <w:t xml:space="preserve">junio de </w:t>
      </w:r>
      <w:r w:rsidR="007B489D" w:rsidRPr="00152C0C">
        <w:rPr>
          <w:rFonts w:eastAsia="Times New Roman" w:cs="Microsoft Sans Serif"/>
        </w:rPr>
        <w:t>d</w:t>
      </w:r>
      <w:r w:rsidRPr="00152C0C">
        <w:rPr>
          <w:rFonts w:eastAsia="Times New Roman" w:cs="Microsoft Sans Serif"/>
        </w:rPr>
        <w:t>os mil dieciocho (2</w:t>
      </w:r>
      <w:r w:rsidR="00F359A4" w:rsidRPr="00152C0C">
        <w:rPr>
          <w:rFonts w:eastAsia="Times New Roman" w:cs="Microsoft Sans Serif"/>
        </w:rPr>
        <w:t>018)</w:t>
      </w:r>
    </w:p>
    <w:p w:rsidR="007940DD" w:rsidRPr="00152C0C" w:rsidRDefault="00E336AF" w:rsidP="007951D5">
      <w:pPr>
        <w:spacing w:line="276" w:lineRule="auto"/>
        <w:jc w:val="both"/>
        <w:rPr>
          <w:rFonts w:eastAsia="Times New Roman" w:cs="Microsoft Sans Serif"/>
        </w:rPr>
      </w:pPr>
      <w:r w:rsidRPr="00152C0C">
        <w:rPr>
          <w:rFonts w:eastAsia="Times New Roman" w:cs="Microsoft Sans Serif"/>
        </w:rPr>
        <w:lastRenderedPageBreak/>
        <w:t>Hora</w:t>
      </w:r>
      <w:r w:rsidR="00B52A33" w:rsidRPr="00152C0C">
        <w:rPr>
          <w:rFonts w:eastAsia="Times New Roman" w:cs="Microsoft Sans Serif"/>
        </w:rPr>
        <w:t xml:space="preserve">: 8:35 a.m. </w:t>
      </w:r>
    </w:p>
    <w:p w:rsidR="007B489D" w:rsidRPr="00152C0C" w:rsidRDefault="007B489D" w:rsidP="007951D5">
      <w:pPr>
        <w:spacing w:line="276" w:lineRule="auto"/>
        <w:jc w:val="both"/>
        <w:rPr>
          <w:rFonts w:eastAsia="Times New Roman" w:cs="Microsoft Sans Serif"/>
        </w:rPr>
      </w:pPr>
    </w:p>
    <w:p w:rsidR="00F359A4" w:rsidRPr="00152C0C" w:rsidRDefault="00F359A4"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i/>
          <w:sz w:val="24"/>
          <w:szCs w:val="24"/>
        </w:rPr>
      </w:pPr>
      <w:r w:rsidRPr="00152C0C">
        <w:rPr>
          <w:rFonts w:cs="Microsoft Sans Serif"/>
          <w:sz w:val="24"/>
          <w:szCs w:val="24"/>
        </w:rPr>
        <w:t>Procesad</w:t>
      </w:r>
      <w:r w:rsidR="00806A8C" w:rsidRPr="00152C0C">
        <w:rPr>
          <w:rFonts w:cs="Microsoft Sans Serif"/>
          <w:sz w:val="24"/>
          <w:szCs w:val="24"/>
        </w:rPr>
        <w:t>os</w:t>
      </w:r>
      <w:r w:rsidRPr="00152C0C">
        <w:rPr>
          <w:rFonts w:cs="Microsoft Sans Serif"/>
          <w:sz w:val="24"/>
          <w:szCs w:val="24"/>
        </w:rPr>
        <w:t xml:space="preserve">: </w:t>
      </w:r>
      <w:r w:rsidR="00806A8C" w:rsidRPr="00152C0C">
        <w:rPr>
          <w:rFonts w:cs="Microsoft Sans Serif"/>
          <w:sz w:val="24"/>
          <w:szCs w:val="24"/>
        </w:rPr>
        <w:t>MARILIN TABORDA GUEVARA Y HERNEY BEDOYA QUINTERO</w:t>
      </w:r>
      <w:r w:rsidR="00435550" w:rsidRPr="00152C0C">
        <w:rPr>
          <w:rFonts w:cs="Microsoft Sans Serif"/>
          <w:sz w:val="24"/>
          <w:szCs w:val="24"/>
        </w:rPr>
        <w:t xml:space="preserve">  </w:t>
      </w:r>
    </w:p>
    <w:p w:rsidR="00F359A4" w:rsidRPr="00152C0C" w:rsidRDefault="005139A6"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sz w:val="24"/>
          <w:szCs w:val="24"/>
        </w:rPr>
      </w:pPr>
      <w:r w:rsidRPr="00152C0C">
        <w:rPr>
          <w:rFonts w:cs="Microsoft Sans Serif"/>
          <w:sz w:val="24"/>
          <w:szCs w:val="24"/>
        </w:rPr>
        <w:t xml:space="preserve">Radicado: </w:t>
      </w:r>
      <w:r w:rsidR="00435550" w:rsidRPr="00152C0C">
        <w:rPr>
          <w:rFonts w:cs="Microsoft Sans Serif"/>
          <w:sz w:val="24"/>
          <w:szCs w:val="24"/>
        </w:rPr>
        <w:t>66</w:t>
      </w:r>
      <w:r w:rsidR="00806A8C" w:rsidRPr="00152C0C">
        <w:rPr>
          <w:rFonts w:cs="Microsoft Sans Serif"/>
          <w:sz w:val="24"/>
          <w:szCs w:val="24"/>
        </w:rPr>
        <w:t>0016000035201580090</w:t>
      </w:r>
      <w:r w:rsidR="00F359A4" w:rsidRPr="00152C0C">
        <w:rPr>
          <w:rFonts w:cs="Microsoft Sans Serif"/>
          <w:sz w:val="24"/>
          <w:szCs w:val="24"/>
        </w:rPr>
        <w:t>-01</w:t>
      </w:r>
    </w:p>
    <w:p w:rsidR="00F359A4" w:rsidRPr="00152C0C" w:rsidRDefault="00F359A4"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sz w:val="24"/>
          <w:szCs w:val="24"/>
        </w:rPr>
      </w:pPr>
      <w:r w:rsidRPr="00152C0C">
        <w:rPr>
          <w:rFonts w:cs="Microsoft Sans Serif"/>
          <w:sz w:val="24"/>
          <w:szCs w:val="24"/>
        </w:rPr>
        <w:t xml:space="preserve">Delito: </w:t>
      </w:r>
      <w:r w:rsidR="00435550" w:rsidRPr="00152C0C">
        <w:rPr>
          <w:rFonts w:cs="Microsoft Sans Serif"/>
          <w:sz w:val="24"/>
          <w:szCs w:val="24"/>
        </w:rPr>
        <w:t xml:space="preserve">Hurto calificado </w:t>
      </w:r>
      <w:r w:rsidR="00806A8C" w:rsidRPr="00152C0C">
        <w:rPr>
          <w:rFonts w:cs="Microsoft Sans Serif"/>
          <w:sz w:val="24"/>
          <w:szCs w:val="24"/>
        </w:rPr>
        <w:t>con circunstancias de agravación punitiva</w:t>
      </w:r>
      <w:r w:rsidR="009A1F0F" w:rsidRPr="00152C0C">
        <w:rPr>
          <w:rFonts w:cs="Microsoft Sans Serif"/>
          <w:sz w:val="24"/>
          <w:szCs w:val="24"/>
        </w:rPr>
        <w:t>.</w:t>
      </w:r>
    </w:p>
    <w:p w:rsidR="007951D5" w:rsidRPr="00152C0C" w:rsidRDefault="00F359A4"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sz w:val="24"/>
          <w:szCs w:val="24"/>
        </w:rPr>
      </w:pPr>
      <w:r w:rsidRPr="00152C0C">
        <w:rPr>
          <w:rFonts w:cs="Microsoft Sans Serif"/>
          <w:sz w:val="24"/>
          <w:szCs w:val="24"/>
        </w:rPr>
        <w:t>Procede:</w:t>
      </w:r>
      <w:r w:rsidR="00445F85" w:rsidRPr="00152C0C">
        <w:rPr>
          <w:rFonts w:cs="Microsoft Sans Serif"/>
          <w:sz w:val="24"/>
          <w:szCs w:val="24"/>
        </w:rPr>
        <w:t xml:space="preserve"> </w:t>
      </w:r>
      <w:r w:rsidRPr="00152C0C">
        <w:rPr>
          <w:rFonts w:cs="Microsoft Sans Serif"/>
          <w:sz w:val="24"/>
          <w:szCs w:val="24"/>
        </w:rPr>
        <w:t xml:space="preserve">Juzgado </w:t>
      </w:r>
      <w:r w:rsidR="009A1F0F" w:rsidRPr="00152C0C">
        <w:rPr>
          <w:rFonts w:cs="Microsoft Sans Serif"/>
          <w:sz w:val="24"/>
          <w:szCs w:val="24"/>
        </w:rPr>
        <w:t xml:space="preserve">1º Penal Municipal </w:t>
      </w:r>
      <w:r w:rsidR="003A4C4D" w:rsidRPr="00152C0C">
        <w:rPr>
          <w:rFonts w:cs="Microsoft Sans Serif"/>
          <w:sz w:val="24"/>
          <w:szCs w:val="24"/>
        </w:rPr>
        <w:t xml:space="preserve">de Pereira </w:t>
      </w:r>
    </w:p>
    <w:p w:rsidR="005139A6" w:rsidRPr="00152C0C" w:rsidRDefault="00F359A4"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sz w:val="24"/>
          <w:szCs w:val="24"/>
        </w:rPr>
      </w:pPr>
      <w:r w:rsidRPr="00152C0C">
        <w:rPr>
          <w:rFonts w:cs="Microsoft Sans Serif"/>
          <w:sz w:val="24"/>
          <w:szCs w:val="24"/>
        </w:rPr>
        <w:t>Asunto:</w:t>
      </w:r>
      <w:r w:rsidR="00445F85" w:rsidRPr="00152C0C">
        <w:rPr>
          <w:rFonts w:cs="Microsoft Sans Serif"/>
          <w:sz w:val="24"/>
          <w:szCs w:val="24"/>
        </w:rPr>
        <w:t xml:space="preserve"> </w:t>
      </w:r>
      <w:r w:rsidRPr="00152C0C">
        <w:rPr>
          <w:rFonts w:cs="Microsoft Sans Serif"/>
          <w:sz w:val="24"/>
          <w:szCs w:val="24"/>
        </w:rPr>
        <w:t>Resuelve recurso de apela</w:t>
      </w:r>
      <w:r w:rsidR="005139A6" w:rsidRPr="00152C0C">
        <w:rPr>
          <w:rFonts w:cs="Microsoft Sans Serif"/>
          <w:sz w:val="24"/>
          <w:szCs w:val="24"/>
        </w:rPr>
        <w:t>ción interpuesto por la Defensa.</w:t>
      </w:r>
    </w:p>
    <w:p w:rsidR="00F359A4" w:rsidRPr="00152C0C" w:rsidRDefault="00F359A4" w:rsidP="007951D5">
      <w:pPr>
        <w:pBdr>
          <w:top w:val="single" w:sz="4" w:space="3" w:color="auto"/>
          <w:left w:val="single" w:sz="4" w:space="4" w:color="auto"/>
          <w:bottom w:val="single" w:sz="4" w:space="1" w:color="auto"/>
          <w:right w:val="single" w:sz="4" w:space="4" w:color="auto"/>
        </w:pBdr>
        <w:spacing w:line="276" w:lineRule="auto"/>
        <w:jc w:val="both"/>
        <w:rPr>
          <w:rFonts w:cs="Microsoft Sans Serif"/>
          <w:sz w:val="24"/>
          <w:szCs w:val="24"/>
        </w:rPr>
      </w:pPr>
      <w:r w:rsidRPr="00152C0C">
        <w:rPr>
          <w:rFonts w:cs="Microsoft Sans Serif"/>
          <w:sz w:val="24"/>
          <w:szCs w:val="24"/>
        </w:rPr>
        <w:t>Decisión:</w:t>
      </w:r>
      <w:r w:rsidR="005139A6" w:rsidRPr="00152C0C">
        <w:rPr>
          <w:rFonts w:cs="Microsoft Sans Serif"/>
          <w:sz w:val="24"/>
          <w:szCs w:val="24"/>
        </w:rPr>
        <w:t xml:space="preserve"> </w:t>
      </w:r>
      <w:r w:rsidR="00C306AF" w:rsidRPr="00152C0C">
        <w:rPr>
          <w:rFonts w:cs="Microsoft Sans Serif"/>
          <w:sz w:val="24"/>
          <w:szCs w:val="24"/>
        </w:rPr>
        <w:t>Modifica</w:t>
      </w:r>
      <w:r w:rsidR="009A1F0F" w:rsidRPr="00152C0C">
        <w:rPr>
          <w:rFonts w:cs="Microsoft Sans Serif"/>
          <w:sz w:val="24"/>
          <w:szCs w:val="24"/>
        </w:rPr>
        <w:t xml:space="preserve"> </w:t>
      </w:r>
      <w:r w:rsidR="007940DD" w:rsidRPr="00152C0C">
        <w:rPr>
          <w:rFonts w:cs="Microsoft Sans Serif"/>
          <w:sz w:val="24"/>
          <w:szCs w:val="24"/>
        </w:rPr>
        <w:t>fallo confutado</w:t>
      </w:r>
      <w:r w:rsidR="005139A6" w:rsidRPr="00152C0C">
        <w:rPr>
          <w:rFonts w:cs="Microsoft Sans Serif"/>
          <w:sz w:val="24"/>
          <w:szCs w:val="24"/>
        </w:rPr>
        <w:t>.</w:t>
      </w:r>
    </w:p>
    <w:p w:rsidR="00F359A4" w:rsidRPr="00152C0C" w:rsidRDefault="00F359A4" w:rsidP="00B52A33">
      <w:pPr>
        <w:spacing w:line="360" w:lineRule="auto"/>
        <w:jc w:val="both"/>
        <w:rPr>
          <w:rFonts w:eastAsia="Times New Roman" w:cs="Microsoft Sans Serif"/>
        </w:rPr>
      </w:pPr>
    </w:p>
    <w:p w:rsidR="00F359A4" w:rsidRPr="00152C0C" w:rsidRDefault="00F359A4" w:rsidP="00B52A33">
      <w:pPr>
        <w:jc w:val="center"/>
        <w:rPr>
          <w:rFonts w:eastAsia="Times New Roman" w:cs="Microsoft Sans Serif"/>
          <w:b/>
          <w:bCs/>
        </w:rPr>
      </w:pPr>
      <w:r w:rsidRPr="00152C0C">
        <w:rPr>
          <w:rFonts w:eastAsia="Times New Roman" w:cs="Microsoft Sans Serif"/>
          <w:b/>
          <w:bCs/>
        </w:rPr>
        <w:t>VISTOS:</w:t>
      </w:r>
    </w:p>
    <w:p w:rsidR="00F359A4" w:rsidRPr="00152C0C" w:rsidRDefault="00F359A4" w:rsidP="00B52A33">
      <w:pPr>
        <w:jc w:val="both"/>
        <w:rPr>
          <w:rFonts w:eastAsia="Times New Roman" w:cs="Microsoft Sans Serif"/>
          <w:b/>
          <w:bCs/>
        </w:rPr>
      </w:pPr>
    </w:p>
    <w:p w:rsidR="00F359A4" w:rsidRPr="00152C0C" w:rsidRDefault="00F359A4" w:rsidP="007951D5">
      <w:pPr>
        <w:spacing w:line="276" w:lineRule="auto"/>
        <w:jc w:val="both"/>
        <w:rPr>
          <w:rFonts w:eastAsia="Times New Roman" w:cs="Microsoft Sans Serif"/>
        </w:rPr>
      </w:pPr>
      <w:r w:rsidRPr="00152C0C">
        <w:rPr>
          <w:rFonts w:eastAsia="Times New Roman" w:cs="Microsoft Sans Serif"/>
        </w:rPr>
        <w:t xml:space="preserve">Procede la Sala Penal de Decisión del Tribunal Superior de este Distrito Judicial a resolver el recurso de apelación interpuesto por la Defensa en contra de la sentencia proferida por el </w:t>
      </w:r>
      <w:r w:rsidR="00435550" w:rsidRPr="00152C0C">
        <w:rPr>
          <w:rFonts w:eastAsia="Times New Roman" w:cs="Microsoft Sans Serif"/>
        </w:rPr>
        <w:t>Juzgado 1º Penal Municipal de</w:t>
      </w:r>
      <w:r w:rsidR="00E0450F" w:rsidRPr="00152C0C">
        <w:rPr>
          <w:rFonts w:eastAsia="Times New Roman" w:cs="Microsoft Sans Serif"/>
        </w:rPr>
        <w:t xml:space="preserve"> esta ciudad</w:t>
      </w:r>
      <w:r w:rsidR="00435550" w:rsidRPr="00152C0C">
        <w:rPr>
          <w:rFonts w:eastAsia="Times New Roman" w:cs="Microsoft Sans Serif"/>
        </w:rPr>
        <w:t xml:space="preserve">, con funciones de conocimiento, </w:t>
      </w:r>
      <w:r w:rsidRPr="00152C0C">
        <w:rPr>
          <w:rFonts w:eastAsia="Times New Roman" w:cs="Microsoft Sans Serif"/>
        </w:rPr>
        <w:t xml:space="preserve">en las calendas del </w:t>
      </w:r>
      <w:r w:rsidR="001B0822" w:rsidRPr="00152C0C">
        <w:rPr>
          <w:rFonts w:eastAsia="Times New Roman" w:cs="Microsoft Sans Serif"/>
        </w:rPr>
        <w:t>veintiuno (21) de marzo de los corrientes</w:t>
      </w:r>
      <w:r w:rsidR="00435550" w:rsidRPr="00152C0C">
        <w:rPr>
          <w:rFonts w:eastAsia="Times New Roman" w:cs="Microsoft Sans Serif"/>
        </w:rPr>
        <w:t xml:space="preserve">, en virtud </w:t>
      </w:r>
      <w:r w:rsidRPr="00152C0C">
        <w:rPr>
          <w:rFonts w:eastAsia="Times New Roman" w:cs="Microsoft Sans Serif"/>
        </w:rPr>
        <w:t>de la cual se declaró la responsabilidad criminal de</w:t>
      </w:r>
      <w:r w:rsidR="00435550" w:rsidRPr="00152C0C">
        <w:rPr>
          <w:rFonts w:eastAsia="Times New Roman" w:cs="Microsoft Sans Serif"/>
        </w:rPr>
        <w:t xml:space="preserve"> </w:t>
      </w:r>
      <w:r w:rsidRPr="00152C0C">
        <w:rPr>
          <w:rFonts w:eastAsia="Times New Roman" w:cs="Microsoft Sans Serif"/>
        </w:rPr>
        <w:t>l</w:t>
      </w:r>
      <w:r w:rsidR="00842EE5" w:rsidRPr="00152C0C">
        <w:rPr>
          <w:rFonts w:eastAsia="Times New Roman" w:cs="Microsoft Sans Serif"/>
        </w:rPr>
        <w:t>os</w:t>
      </w:r>
      <w:r w:rsidR="007B489D" w:rsidRPr="00152C0C">
        <w:rPr>
          <w:rFonts w:eastAsia="Times New Roman" w:cs="Microsoft Sans Serif"/>
        </w:rPr>
        <w:t xml:space="preserve"> p</w:t>
      </w:r>
      <w:r w:rsidRPr="00152C0C">
        <w:rPr>
          <w:rFonts w:eastAsia="Times New Roman" w:cs="Microsoft Sans Serif"/>
        </w:rPr>
        <w:t>rocesad</w:t>
      </w:r>
      <w:r w:rsidR="00842EE5" w:rsidRPr="00152C0C">
        <w:rPr>
          <w:rFonts w:eastAsia="Times New Roman" w:cs="Microsoft Sans Serif"/>
        </w:rPr>
        <w:t xml:space="preserve">os </w:t>
      </w:r>
      <w:r w:rsidR="00842EE5" w:rsidRPr="00152C0C">
        <w:rPr>
          <w:rFonts w:eastAsia="Times New Roman" w:cs="Microsoft Sans Serif"/>
          <w:b/>
        </w:rPr>
        <w:t xml:space="preserve">MARILIN TABORDA GUEVARA </w:t>
      </w:r>
      <w:r w:rsidR="00C306AF" w:rsidRPr="00152C0C">
        <w:rPr>
          <w:rFonts w:eastAsia="Times New Roman" w:cs="Microsoft Sans Serif"/>
        </w:rPr>
        <w:t>y</w:t>
      </w:r>
      <w:r w:rsidR="00842EE5" w:rsidRPr="00152C0C">
        <w:rPr>
          <w:rFonts w:eastAsia="Times New Roman" w:cs="Microsoft Sans Serif"/>
          <w:b/>
        </w:rPr>
        <w:t xml:space="preserve"> HERNEY BEDOYA QUINTERO</w:t>
      </w:r>
      <w:r w:rsidR="00842EE5" w:rsidRPr="00152C0C">
        <w:rPr>
          <w:rFonts w:eastAsia="Times New Roman" w:cs="Microsoft Sans Serif"/>
        </w:rPr>
        <w:t xml:space="preserve"> </w:t>
      </w:r>
      <w:r w:rsidRPr="00152C0C">
        <w:rPr>
          <w:rFonts w:eastAsia="Times New Roman" w:cs="Microsoft Sans Serif"/>
        </w:rPr>
        <w:t xml:space="preserve">por incurrir en la comisión del delito de </w:t>
      </w:r>
      <w:r w:rsidR="00435550" w:rsidRPr="00152C0C">
        <w:rPr>
          <w:rFonts w:eastAsia="Times New Roman" w:cs="Microsoft Sans Serif"/>
        </w:rPr>
        <w:t>hurto calificado agravado</w:t>
      </w:r>
      <w:r w:rsidRPr="00152C0C">
        <w:rPr>
          <w:rFonts w:eastAsia="Times New Roman" w:cs="Microsoft Sans Serif"/>
        </w:rPr>
        <w:t xml:space="preserve">. </w:t>
      </w:r>
    </w:p>
    <w:p w:rsidR="00F359A4" w:rsidRPr="00152C0C" w:rsidRDefault="00F359A4" w:rsidP="00B52A33">
      <w:pPr>
        <w:spacing w:line="360" w:lineRule="auto"/>
        <w:jc w:val="both"/>
        <w:rPr>
          <w:rFonts w:eastAsia="Times New Roman" w:cs="Microsoft Sans Serif"/>
        </w:rPr>
      </w:pPr>
    </w:p>
    <w:p w:rsidR="00D02E39" w:rsidRPr="00152C0C" w:rsidRDefault="00F359A4" w:rsidP="00B52A33">
      <w:pPr>
        <w:jc w:val="center"/>
        <w:rPr>
          <w:rFonts w:eastAsia="Times New Roman" w:cs="Microsoft Sans Serif"/>
          <w:b/>
          <w:bCs/>
        </w:rPr>
      </w:pPr>
      <w:r w:rsidRPr="00152C0C">
        <w:rPr>
          <w:rFonts w:eastAsia="Times New Roman" w:cs="Microsoft Sans Serif"/>
          <w:b/>
          <w:bCs/>
        </w:rPr>
        <w:t>ANTECEDENTES:</w:t>
      </w:r>
    </w:p>
    <w:p w:rsidR="00834F0A" w:rsidRPr="00152C0C" w:rsidRDefault="00834F0A" w:rsidP="00B52A33">
      <w:pPr>
        <w:jc w:val="center"/>
        <w:rPr>
          <w:rFonts w:eastAsia="Times New Roman" w:cs="Microsoft Sans Serif"/>
          <w:b/>
          <w:bCs/>
        </w:rPr>
      </w:pPr>
    </w:p>
    <w:p w:rsidR="00F359A4" w:rsidRPr="00152C0C" w:rsidRDefault="00F359A4" w:rsidP="007951D5">
      <w:pPr>
        <w:tabs>
          <w:tab w:val="left" w:pos="1560"/>
        </w:tabs>
        <w:spacing w:line="276" w:lineRule="auto"/>
        <w:jc w:val="both"/>
        <w:rPr>
          <w:rFonts w:eastAsia="Times New Roman" w:cs="Microsoft Sans Serif"/>
        </w:rPr>
      </w:pPr>
      <w:r w:rsidRPr="00152C0C">
        <w:rPr>
          <w:rFonts w:eastAsia="Times New Roman" w:cs="Microsoft Sans Serif"/>
        </w:rPr>
        <w:t xml:space="preserve">Los </w:t>
      </w:r>
      <w:r w:rsidR="00842EE5" w:rsidRPr="00152C0C">
        <w:rPr>
          <w:rFonts w:eastAsia="Times New Roman" w:cs="Microsoft Sans Serif"/>
        </w:rPr>
        <w:t xml:space="preserve">hechos que concitan la atención </w:t>
      </w:r>
      <w:r w:rsidRPr="00152C0C">
        <w:rPr>
          <w:rFonts w:eastAsia="Times New Roman" w:cs="Microsoft Sans Serif"/>
        </w:rPr>
        <w:t xml:space="preserve">de la </w:t>
      </w:r>
      <w:r w:rsidR="00EC286D" w:rsidRPr="00152C0C">
        <w:rPr>
          <w:rFonts w:eastAsia="Times New Roman" w:cs="Microsoft Sans Serif"/>
        </w:rPr>
        <w:t>Colegiatura</w:t>
      </w:r>
      <w:r w:rsidRPr="00152C0C">
        <w:rPr>
          <w:rFonts w:eastAsia="Times New Roman" w:cs="Microsoft Sans Serif"/>
        </w:rPr>
        <w:t xml:space="preserve"> tuvieron ocurrencia </w:t>
      </w:r>
      <w:r w:rsidR="00842EE5" w:rsidRPr="00152C0C">
        <w:rPr>
          <w:rFonts w:eastAsia="Times New Roman" w:cs="Microsoft Sans Serif"/>
        </w:rPr>
        <w:t>a eso de las 00:30 horas del 12 de diciembre del 2015 en el sector de la Plaza de Bolívar de esta ciudad, cuando</w:t>
      </w:r>
      <w:r w:rsidR="000451EA" w:rsidRPr="00152C0C">
        <w:rPr>
          <w:rFonts w:eastAsia="Times New Roman" w:cs="Microsoft Sans Serif"/>
        </w:rPr>
        <w:t xml:space="preserve"> </w:t>
      </w:r>
      <w:r w:rsidR="00842EE5" w:rsidRPr="00152C0C">
        <w:rPr>
          <w:rFonts w:eastAsia="Times New Roman" w:cs="Microsoft Sans Serif"/>
        </w:rPr>
        <w:t>dos mujeres</w:t>
      </w:r>
      <w:r w:rsidR="00C306AF" w:rsidRPr="00152C0C">
        <w:rPr>
          <w:rFonts w:eastAsia="Times New Roman" w:cs="Microsoft Sans Serif"/>
        </w:rPr>
        <w:t>,</w:t>
      </w:r>
      <w:r w:rsidR="00842EE5" w:rsidRPr="00152C0C">
        <w:rPr>
          <w:rFonts w:eastAsia="Times New Roman" w:cs="Microsoft Sans Serif"/>
        </w:rPr>
        <w:t xml:space="preserve"> ambas provenientes del </w:t>
      </w:r>
      <w:r w:rsidR="00734D47" w:rsidRPr="00152C0C">
        <w:rPr>
          <w:rFonts w:eastAsia="Times New Roman" w:cs="Microsoft Sans Serif"/>
        </w:rPr>
        <w:t>municipio de la Virginia</w:t>
      </w:r>
      <w:r w:rsidR="00C306AF" w:rsidRPr="00152C0C">
        <w:rPr>
          <w:rFonts w:eastAsia="Times New Roman" w:cs="Microsoft Sans Serif"/>
        </w:rPr>
        <w:t>,</w:t>
      </w:r>
      <w:r w:rsidR="00734D47" w:rsidRPr="00152C0C">
        <w:rPr>
          <w:rFonts w:eastAsia="Times New Roman" w:cs="Microsoft Sans Serif"/>
        </w:rPr>
        <w:t xml:space="preserve"> fueron intimidadas por un par de </w:t>
      </w:r>
      <w:r w:rsidR="007B489D" w:rsidRPr="00152C0C">
        <w:rPr>
          <w:rFonts w:eastAsia="Times New Roman" w:cs="Microsoft Sans Serif"/>
        </w:rPr>
        <w:t>individuos,</w:t>
      </w:r>
      <w:r w:rsidR="00842EE5" w:rsidRPr="00152C0C">
        <w:rPr>
          <w:rFonts w:eastAsia="Times New Roman" w:cs="Microsoft Sans Serif"/>
        </w:rPr>
        <w:t xml:space="preserve"> un hombre y una mujer, quienes valiéndose de un arma blanca </w:t>
      </w:r>
      <w:r w:rsidR="00734D47" w:rsidRPr="00152C0C">
        <w:rPr>
          <w:rFonts w:eastAsia="Times New Roman" w:cs="Microsoft Sans Serif"/>
        </w:rPr>
        <w:t>despojaron a estas persona</w:t>
      </w:r>
      <w:r w:rsidR="005045DA" w:rsidRPr="00152C0C">
        <w:rPr>
          <w:rFonts w:eastAsia="Times New Roman" w:cs="Microsoft Sans Serif"/>
        </w:rPr>
        <w:t>s</w:t>
      </w:r>
      <w:r w:rsidR="00734D47" w:rsidRPr="00152C0C">
        <w:rPr>
          <w:rFonts w:eastAsia="Times New Roman" w:cs="Microsoft Sans Serif"/>
        </w:rPr>
        <w:t xml:space="preserve"> de sus teléfonos </w:t>
      </w:r>
      <w:r w:rsidR="005045DA" w:rsidRPr="00152C0C">
        <w:rPr>
          <w:rFonts w:eastAsia="Times New Roman" w:cs="Microsoft Sans Serif"/>
        </w:rPr>
        <w:t xml:space="preserve">celulares, los </w:t>
      </w:r>
      <w:r w:rsidR="00EE6B93" w:rsidRPr="00152C0C">
        <w:rPr>
          <w:rFonts w:eastAsia="Times New Roman" w:cs="Microsoft Sans Serif"/>
        </w:rPr>
        <w:t xml:space="preserve">cuales </w:t>
      </w:r>
      <w:r w:rsidR="00EC286D" w:rsidRPr="00152C0C">
        <w:rPr>
          <w:rFonts w:eastAsia="Times New Roman" w:cs="Microsoft Sans Serif"/>
        </w:rPr>
        <w:t xml:space="preserve">posteriormente </w:t>
      </w:r>
      <w:r w:rsidR="005045DA" w:rsidRPr="00152C0C">
        <w:rPr>
          <w:rFonts w:eastAsia="Times New Roman" w:cs="Microsoft Sans Serif"/>
        </w:rPr>
        <w:t>fueron avaluados por las afectadas en la suma de $ 150.000.oo y 125.000.oo respectivamente.</w:t>
      </w:r>
    </w:p>
    <w:p w:rsidR="00F359A4" w:rsidRPr="00152C0C" w:rsidRDefault="00F359A4" w:rsidP="007951D5">
      <w:pPr>
        <w:tabs>
          <w:tab w:val="left" w:pos="1560"/>
        </w:tabs>
        <w:spacing w:line="276" w:lineRule="auto"/>
        <w:jc w:val="both"/>
        <w:rPr>
          <w:rFonts w:eastAsia="Times New Roman" w:cs="Microsoft Sans Serif"/>
        </w:rPr>
      </w:pPr>
    </w:p>
    <w:p w:rsidR="00063FAE" w:rsidRPr="00152C0C" w:rsidRDefault="00EE6B93" w:rsidP="007951D5">
      <w:pPr>
        <w:tabs>
          <w:tab w:val="left" w:pos="1560"/>
        </w:tabs>
        <w:spacing w:line="276" w:lineRule="auto"/>
        <w:jc w:val="both"/>
        <w:rPr>
          <w:rFonts w:eastAsia="Times New Roman" w:cs="Microsoft Sans Serif"/>
        </w:rPr>
      </w:pPr>
      <w:r w:rsidRPr="00152C0C">
        <w:rPr>
          <w:rFonts w:eastAsia="Times New Roman" w:cs="Microsoft Sans Serif"/>
        </w:rPr>
        <w:t xml:space="preserve">Una vez que los facinerosos consiguieron su propósito, se dieron a la fuga con </w:t>
      </w:r>
      <w:r w:rsidR="005045DA" w:rsidRPr="00152C0C">
        <w:rPr>
          <w:rFonts w:eastAsia="Times New Roman" w:cs="Microsoft Sans Serif"/>
        </w:rPr>
        <w:t>dichos elementos</w:t>
      </w:r>
      <w:r w:rsidRPr="00152C0C">
        <w:rPr>
          <w:rFonts w:eastAsia="Times New Roman" w:cs="Microsoft Sans Serif"/>
        </w:rPr>
        <w:t xml:space="preserve">, pero ante </w:t>
      </w:r>
      <w:r w:rsidR="00DD5620" w:rsidRPr="00152C0C">
        <w:rPr>
          <w:rFonts w:eastAsia="Times New Roman" w:cs="Microsoft Sans Serif"/>
        </w:rPr>
        <w:t xml:space="preserve">la </w:t>
      </w:r>
      <w:r w:rsidR="005045DA" w:rsidRPr="00152C0C">
        <w:rPr>
          <w:rFonts w:eastAsia="Times New Roman" w:cs="Microsoft Sans Serif"/>
        </w:rPr>
        <w:t>oportuna reacción de las asaltada</w:t>
      </w:r>
      <w:r w:rsidRPr="00152C0C">
        <w:rPr>
          <w:rFonts w:eastAsia="Times New Roman" w:cs="Microsoft Sans Serif"/>
        </w:rPr>
        <w:t>s</w:t>
      </w:r>
      <w:r w:rsidR="00DD5620" w:rsidRPr="00152C0C">
        <w:rPr>
          <w:rFonts w:eastAsia="Times New Roman" w:cs="Microsoft Sans Serif"/>
        </w:rPr>
        <w:t xml:space="preserve">, quienes </w:t>
      </w:r>
      <w:r w:rsidR="005045DA" w:rsidRPr="00152C0C">
        <w:rPr>
          <w:rFonts w:eastAsia="Times New Roman" w:cs="Microsoft Sans Serif"/>
        </w:rPr>
        <w:t>aprovecharon la presenci</w:t>
      </w:r>
      <w:r w:rsidR="00970865" w:rsidRPr="00152C0C">
        <w:rPr>
          <w:rFonts w:eastAsia="Times New Roman" w:cs="Microsoft Sans Serif"/>
        </w:rPr>
        <w:t xml:space="preserve">a cercana de un agente Policial para dar aviso del suceso, se logró la captura de los ladrones, </w:t>
      </w:r>
      <w:r w:rsidR="00C306AF" w:rsidRPr="00152C0C">
        <w:rPr>
          <w:rFonts w:eastAsia="Times New Roman" w:cs="Microsoft Sans Serif"/>
        </w:rPr>
        <w:t>los cuales</w:t>
      </w:r>
      <w:r w:rsidR="00970865" w:rsidRPr="00152C0C">
        <w:rPr>
          <w:rFonts w:eastAsia="Times New Roman" w:cs="Microsoft Sans Serif"/>
        </w:rPr>
        <w:t xml:space="preserve"> </w:t>
      </w:r>
      <w:r w:rsidR="00063FAE" w:rsidRPr="00152C0C">
        <w:rPr>
          <w:rFonts w:eastAsia="Times New Roman" w:cs="Microsoft Sans Serif"/>
        </w:rPr>
        <w:t>posteriormente fue</w:t>
      </w:r>
      <w:r w:rsidR="00970865" w:rsidRPr="00152C0C">
        <w:rPr>
          <w:rFonts w:eastAsia="Times New Roman" w:cs="Microsoft Sans Serif"/>
        </w:rPr>
        <w:t>ron</w:t>
      </w:r>
      <w:r w:rsidR="00063FAE" w:rsidRPr="00152C0C">
        <w:rPr>
          <w:rFonts w:eastAsia="Times New Roman" w:cs="Microsoft Sans Serif"/>
        </w:rPr>
        <w:t xml:space="preserve"> identificad</w:t>
      </w:r>
      <w:r w:rsidR="00EC286D" w:rsidRPr="00152C0C">
        <w:rPr>
          <w:rFonts w:eastAsia="Times New Roman" w:cs="Microsoft Sans Serif"/>
        </w:rPr>
        <w:t>o</w:t>
      </w:r>
      <w:r w:rsidR="007B489D" w:rsidRPr="00152C0C">
        <w:rPr>
          <w:rFonts w:eastAsia="Times New Roman" w:cs="Microsoft Sans Serif"/>
        </w:rPr>
        <w:t>s como los ahora p</w:t>
      </w:r>
      <w:r w:rsidR="00970865" w:rsidRPr="00152C0C">
        <w:rPr>
          <w:rFonts w:eastAsia="Times New Roman" w:cs="Microsoft Sans Serif"/>
        </w:rPr>
        <w:t>rocesados</w:t>
      </w:r>
      <w:r w:rsidR="00063FAE" w:rsidRPr="00152C0C">
        <w:rPr>
          <w:rFonts w:eastAsia="Times New Roman" w:cs="Microsoft Sans Serif"/>
        </w:rPr>
        <w:t xml:space="preserve"> </w:t>
      </w:r>
      <w:r w:rsidR="00970865" w:rsidRPr="00152C0C">
        <w:rPr>
          <w:rFonts w:eastAsia="Times New Roman" w:cs="Microsoft Sans Serif"/>
        </w:rPr>
        <w:t xml:space="preserve">MARILIN TABORDA GUEVARA </w:t>
      </w:r>
      <w:r w:rsidR="00C306AF" w:rsidRPr="00152C0C">
        <w:rPr>
          <w:rFonts w:eastAsia="Times New Roman" w:cs="Microsoft Sans Serif"/>
        </w:rPr>
        <w:t>y</w:t>
      </w:r>
      <w:r w:rsidR="00970865" w:rsidRPr="00152C0C">
        <w:rPr>
          <w:rFonts w:eastAsia="Times New Roman" w:cs="Microsoft Sans Serif"/>
        </w:rPr>
        <w:t xml:space="preserve"> HERNEY BEDOYA QUINTERO. </w:t>
      </w:r>
    </w:p>
    <w:p w:rsidR="00F359A4" w:rsidRPr="00152C0C" w:rsidRDefault="00063FAE" w:rsidP="00B52A33">
      <w:pPr>
        <w:tabs>
          <w:tab w:val="left" w:pos="1560"/>
        </w:tabs>
        <w:spacing w:line="360" w:lineRule="auto"/>
        <w:jc w:val="both"/>
        <w:rPr>
          <w:rFonts w:eastAsia="Times New Roman" w:cs="Microsoft Sans Serif"/>
          <w:lang w:val="es-ES"/>
        </w:rPr>
      </w:pPr>
      <w:r w:rsidRPr="00152C0C">
        <w:rPr>
          <w:rFonts w:eastAsia="Times New Roman" w:cs="Microsoft Sans Serif"/>
        </w:rPr>
        <w:lastRenderedPageBreak/>
        <w:t xml:space="preserve"> </w:t>
      </w:r>
    </w:p>
    <w:p w:rsidR="00F359A4" w:rsidRPr="00152C0C" w:rsidRDefault="00F359A4" w:rsidP="00B52A33">
      <w:pPr>
        <w:tabs>
          <w:tab w:val="left" w:pos="1560"/>
        </w:tabs>
        <w:jc w:val="center"/>
        <w:rPr>
          <w:rFonts w:eastAsia="Times New Roman" w:cs="Microsoft Sans Serif"/>
        </w:rPr>
      </w:pPr>
      <w:r w:rsidRPr="00152C0C">
        <w:rPr>
          <w:rFonts w:eastAsia="Times New Roman" w:cs="Microsoft Sans Serif"/>
          <w:b/>
          <w:bCs/>
        </w:rPr>
        <w:t>LA ACTUACIÓN PROCESAL:</w:t>
      </w:r>
    </w:p>
    <w:p w:rsidR="00834F0A" w:rsidRPr="00152C0C" w:rsidRDefault="00834F0A" w:rsidP="00B52A33">
      <w:pPr>
        <w:tabs>
          <w:tab w:val="left" w:pos="1560"/>
        </w:tabs>
        <w:jc w:val="center"/>
        <w:rPr>
          <w:rFonts w:eastAsia="Times New Roman" w:cs="Microsoft Sans Serif"/>
        </w:rPr>
      </w:pPr>
    </w:p>
    <w:p w:rsidR="00EF0BA0" w:rsidRPr="00152C0C" w:rsidRDefault="00F359A4" w:rsidP="007951D5">
      <w:pPr>
        <w:pStyle w:val="Sinespaciado"/>
        <w:numPr>
          <w:ilvl w:val="0"/>
          <w:numId w:val="10"/>
        </w:numPr>
        <w:spacing w:line="276" w:lineRule="auto"/>
        <w:ind w:left="360"/>
        <w:jc w:val="both"/>
      </w:pPr>
      <w:r w:rsidRPr="00152C0C">
        <w:t xml:space="preserve">Las audiencias preliminares se llevaron a cabo el </w:t>
      </w:r>
      <w:r w:rsidR="00A12C21" w:rsidRPr="00152C0C">
        <w:t>1</w:t>
      </w:r>
      <w:r w:rsidR="00AE7086" w:rsidRPr="00152C0C">
        <w:t xml:space="preserve">2 de </w:t>
      </w:r>
      <w:r w:rsidR="00A12C21" w:rsidRPr="00152C0C">
        <w:t xml:space="preserve">diciembre </w:t>
      </w:r>
      <w:r w:rsidR="00151509" w:rsidRPr="00152C0C">
        <w:t>del 2</w:t>
      </w:r>
      <w:r w:rsidR="00A12C21" w:rsidRPr="00152C0C">
        <w:t>015</w:t>
      </w:r>
      <w:r w:rsidR="00AE7086" w:rsidRPr="00152C0C">
        <w:t xml:space="preserve"> </w:t>
      </w:r>
      <w:r w:rsidRPr="00152C0C">
        <w:t xml:space="preserve">ante el Juzgado </w:t>
      </w:r>
      <w:r w:rsidR="00A12C21" w:rsidRPr="00152C0C">
        <w:t>Único</w:t>
      </w:r>
      <w:r w:rsidR="00151509" w:rsidRPr="00152C0C">
        <w:t xml:space="preserve"> </w:t>
      </w:r>
      <w:r w:rsidR="009B1B74" w:rsidRPr="00152C0C">
        <w:t>P</w:t>
      </w:r>
      <w:r w:rsidR="00A12C21" w:rsidRPr="00152C0C">
        <w:t>romiscuo</w:t>
      </w:r>
      <w:r w:rsidR="00151509" w:rsidRPr="00152C0C">
        <w:t xml:space="preserve"> </w:t>
      </w:r>
      <w:r w:rsidR="00AE7086" w:rsidRPr="00152C0C">
        <w:t xml:space="preserve">Municipal </w:t>
      </w:r>
      <w:r w:rsidR="007B489D" w:rsidRPr="00152C0C">
        <w:t xml:space="preserve">de </w:t>
      </w:r>
      <w:r w:rsidR="00A12C21" w:rsidRPr="00152C0C">
        <w:t>la Celia</w:t>
      </w:r>
      <w:r w:rsidR="00EB053E" w:rsidRPr="00152C0C">
        <w:t>,</w:t>
      </w:r>
      <w:r w:rsidRPr="00152C0C">
        <w:t xml:space="preserve"> con Funciones de Control de Garantías</w:t>
      </w:r>
      <w:r w:rsidR="00C306AF" w:rsidRPr="00152C0C">
        <w:t>,</w:t>
      </w:r>
      <w:r w:rsidRPr="00152C0C">
        <w:t xml:space="preserve"> en </w:t>
      </w:r>
      <w:r w:rsidR="00151509" w:rsidRPr="00152C0C">
        <w:t xml:space="preserve">traslado temporal </w:t>
      </w:r>
      <w:r w:rsidR="000C0478" w:rsidRPr="00152C0C">
        <w:t>a este municipio</w:t>
      </w:r>
      <w:r w:rsidR="00EB053E" w:rsidRPr="00152C0C">
        <w:t>,</w:t>
      </w:r>
      <w:r w:rsidR="00151509" w:rsidRPr="00152C0C">
        <w:t xml:space="preserve"> en </w:t>
      </w:r>
      <w:r w:rsidRPr="00152C0C">
        <w:t>las cuales se le impartió legalidad a la captura de</w:t>
      </w:r>
      <w:r w:rsidR="00AE7086" w:rsidRPr="00152C0C">
        <w:t xml:space="preserve"> </w:t>
      </w:r>
      <w:r w:rsidRPr="00152C0C">
        <w:t>l</w:t>
      </w:r>
      <w:r w:rsidR="00151509" w:rsidRPr="00152C0C">
        <w:t>os</w:t>
      </w:r>
      <w:r w:rsidRPr="00152C0C">
        <w:t xml:space="preserve"> entonces indiciad</w:t>
      </w:r>
      <w:r w:rsidR="00151509" w:rsidRPr="00152C0C">
        <w:t>os</w:t>
      </w:r>
      <w:r w:rsidRPr="00152C0C">
        <w:t xml:space="preserve"> </w:t>
      </w:r>
      <w:r w:rsidR="00151509" w:rsidRPr="00152C0C">
        <w:rPr>
          <w:rFonts w:eastAsia="Times New Roman" w:cs="Microsoft Sans Serif"/>
        </w:rPr>
        <w:t xml:space="preserve">MARILIN TABORDA GUEVARA </w:t>
      </w:r>
      <w:r w:rsidR="00C306AF" w:rsidRPr="00152C0C">
        <w:rPr>
          <w:rFonts w:eastAsia="Times New Roman" w:cs="Microsoft Sans Serif"/>
        </w:rPr>
        <w:t>y</w:t>
      </w:r>
      <w:r w:rsidR="00151509" w:rsidRPr="00152C0C">
        <w:rPr>
          <w:rFonts w:eastAsia="Times New Roman" w:cs="Microsoft Sans Serif"/>
        </w:rPr>
        <w:t xml:space="preserve"> HERNEY BEDOYA QUINTERO,</w:t>
      </w:r>
      <w:r w:rsidR="00151509" w:rsidRPr="00152C0C">
        <w:t xml:space="preserve"> </w:t>
      </w:r>
      <w:r w:rsidRPr="00152C0C">
        <w:t>a quien</w:t>
      </w:r>
      <w:r w:rsidR="00151509" w:rsidRPr="00152C0C">
        <w:t>es</w:t>
      </w:r>
      <w:r w:rsidRPr="00152C0C">
        <w:t xml:space="preserve"> se le</w:t>
      </w:r>
      <w:r w:rsidR="00151509" w:rsidRPr="00152C0C">
        <w:t>s</w:t>
      </w:r>
      <w:r w:rsidRPr="00152C0C">
        <w:t xml:space="preserve"> endilgaron cargos por incurrir en la presunta comisión del delito de </w:t>
      </w:r>
      <w:r w:rsidR="00AE7086" w:rsidRPr="00152C0C">
        <w:t>hurto calificado agravado, lo</w:t>
      </w:r>
      <w:r w:rsidR="00151509" w:rsidRPr="00152C0C">
        <w:t>s cuales fueron aceptados por los Procesados</w:t>
      </w:r>
      <w:r w:rsidR="00EC286D" w:rsidRPr="00152C0C">
        <w:t xml:space="preserve"> en esa vista pública</w:t>
      </w:r>
      <w:r w:rsidR="00151509" w:rsidRPr="00152C0C">
        <w:t xml:space="preserve">. De igual forma la Fiscalía retiró la solicitud de Medida de Aseguramiento y se le concedió la libertad inmediata a los imputados. </w:t>
      </w:r>
    </w:p>
    <w:p w:rsidR="00EF0BA0" w:rsidRPr="00152C0C" w:rsidRDefault="00EF0BA0" w:rsidP="007951D5">
      <w:pPr>
        <w:pStyle w:val="Sinespaciado"/>
        <w:spacing w:line="276" w:lineRule="auto"/>
        <w:jc w:val="both"/>
      </w:pPr>
    </w:p>
    <w:p w:rsidR="000B7B5D" w:rsidRPr="00152C0C" w:rsidRDefault="00B87725" w:rsidP="007951D5">
      <w:pPr>
        <w:pStyle w:val="Sinespaciado"/>
        <w:numPr>
          <w:ilvl w:val="0"/>
          <w:numId w:val="10"/>
        </w:numPr>
        <w:spacing w:line="276" w:lineRule="auto"/>
        <w:ind w:left="360"/>
        <w:jc w:val="both"/>
      </w:pPr>
      <w:r w:rsidRPr="00152C0C">
        <w:t xml:space="preserve">Como consecuencia </w:t>
      </w:r>
      <w:r w:rsidR="00E0450F" w:rsidRPr="00152C0C">
        <w:t>de la aceptación de</w:t>
      </w:r>
      <w:r w:rsidR="00EB053E" w:rsidRPr="00152C0C">
        <w:t xml:space="preserve"> cargos efectuado por los Procesados </w:t>
      </w:r>
      <w:r w:rsidR="00EB053E" w:rsidRPr="00152C0C">
        <w:rPr>
          <w:rFonts w:eastAsia="Times New Roman" w:cs="Microsoft Sans Serif"/>
        </w:rPr>
        <w:t xml:space="preserve">MARILIN TABORDA GUEVARA </w:t>
      </w:r>
      <w:r w:rsidR="00C306AF" w:rsidRPr="00152C0C">
        <w:rPr>
          <w:rFonts w:eastAsia="Times New Roman" w:cs="Microsoft Sans Serif"/>
        </w:rPr>
        <w:t>y</w:t>
      </w:r>
      <w:r w:rsidR="00EB053E" w:rsidRPr="00152C0C">
        <w:rPr>
          <w:rFonts w:eastAsia="Times New Roman" w:cs="Microsoft Sans Serif"/>
        </w:rPr>
        <w:t xml:space="preserve"> HERNEY BEDOYA QUINTERO</w:t>
      </w:r>
      <w:r w:rsidRPr="00152C0C">
        <w:t>,</w:t>
      </w:r>
      <w:r w:rsidR="00EB053E" w:rsidRPr="00152C0C">
        <w:t xml:space="preserve"> </w:t>
      </w:r>
      <w:r w:rsidRPr="00152C0C">
        <w:t>el conocimiento de la actuación le correspondió al Juzgado 1º Penal Municipal</w:t>
      </w:r>
      <w:r w:rsidR="00C306AF" w:rsidRPr="00152C0C">
        <w:t>,</w:t>
      </w:r>
      <w:r w:rsidRPr="00152C0C">
        <w:t xml:space="preserve"> </w:t>
      </w:r>
      <w:r w:rsidR="007940DD" w:rsidRPr="00152C0C">
        <w:t>con funciones de conocimiento</w:t>
      </w:r>
      <w:r w:rsidR="00C306AF" w:rsidRPr="00152C0C">
        <w:t>,</w:t>
      </w:r>
      <w:r w:rsidR="007940DD" w:rsidRPr="00152C0C">
        <w:t xml:space="preserve"> </w:t>
      </w:r>
      <w:r w:rsidRPr="00152C0C">
        <w:t xml:space="preserve">de </w:t>
      </w:r>
      <w:r w:rsidR="00EB053E" w:rsidRPr="00152C0C">
        <w:t xml:space="preserve">esta </w:t>
      </w:r>
      <w:r w:rsidR="007940DD" w:rsidRPr="00152C0C">
        <w:t xml:space="preserve">ciudad, </w:t>
      </w:r>
      <w:r w:rsidRPr="00152C0C">
        <w:t xml:space="preserve">ante el </w:t>
      </w:r>
      <w:r w:rsidR="00EB053E" w:rsidRPr="00152C0C">
        <w:t xml:space="preserve">cual el día </w:t>
      </w:r>
      <w:r w:rsidR="00227A67" w:rsidRPr="00152C0C">
        <w:t xml:space="preserve">03 de junio del </w:t>
      </w:r>
      <w:r w:rsidR="005213E0" w:rsidRPr="00152C0C">
        <w:t xml:space="preserve">2016 se celebró una vista </w:t>
      </w:r>
      <w:r w:rsidR="000B7B5D" w:rsidRPr="00152C0C">
        <w:t xml:space="preserve">pública en la que luego de verificar que los cargos fueron aceptados de forma libre, consciente y voluntaria, </w:t>
      </w:r>
      <w:r w:rsidRPr="00152C0C">
        <w:t>se llevó a cabo la correspondiente audiencia</w:t>
      </w:r>
      <w:r w:rsidR="000451EA" w:rsidRPr="00152C0C">
        <w:t xml:space="preserve"> de individualización de pena y sentencia,</w:t>
      </w:r>
      <w:r w:rsidR="000B7B5D" w:rsidRPr="00152C0C">
        <w:t xml:space="preserve"> y allí mismo se </w:t>
      </w:r>
      <w:r w:rsidR="009A3E50" w:rsidRPr="00152C0C">
        <w:t>fijó</w:t>
      </w:r>
      <w:r w:rsidR="000B7B5D" w:rsidRPr="00152C0C">
        <w:t xml:space="preserve"> </w:t>
      </w:r>
      <w:r w:rsidR="009A3E50" w:rsidRPr="00152C0C">
        <w:t>fecha para audiencia d</w:t>
      </w:r>
      <w:r w:rsidR="000B7B5D" w:rsidRPr="00152C0C">
        <w:t>e</w:t>
      </w:r>
      <w:r w:rsidR="009A3E50" w:rsidRPr="00152C0C">
        <w:t xml:space="preserve"> </w:t>
      </w:r>
      <w:r w:rsidR="000B7B5D" w:rsidRPr="00152C0C">
        <w:t xml:space="preserve">lectura sentencia el </w:t>
      </w:r>
      <w:r w:rsidR="009A3E50" w:rsidRPr="00152C0C">
        <w:t>día</w:t>
      </w:r>
      <w:r w:rsidR="000B7B5D" w:rsidRPr="00152C0C">
        <w:t xml:space="preserve"> 30 de noviembre de 2016.</w:t>
      </w:r>
    </w:p>
    <w:p w:rsidR="007951D5" w:rsidRPr="00152C0C" w:rsidRDefault="007951D5" w:rsidP="007951D5">
      <w:pPr>
        <w:pStyle w:val="Prrafodelista"/>
      </w:pPr>
    </w:p>
    <w:p w:rsidR="00F359A4" w:rsidRPr="00152C0C" w:rsidRDefault="000B7B5D" w:rsidP="007951D5">
      <w:pPr>
        <w:pStyle w:val="Sinespaciado"/>
        <w:numPr>
          <w:ilvl w:val="0"/>
          <w:numId w:val="10"/>
        </w:numPr>
        <w:spacing w:line="276" w:lineRule="auto"/>
        <w:ind w:left="360"/>
        <w:jc w:val="both"/>
      </w:pPr>
      <w:r w:rsidRPr="00152C0C">
        <w:t xml:space="preserve">Después </w:t>
      </w:r>
      <w:r w:rsidR="009A3E50" w:rsidRPr="00152C0C">
        <w:t>de tres</w:t>
      </w:r>
      <w:r w:rsidRPr="00152C0C">
        <w:t xml:space="preserve"> </w:t>
      </w:r>
      <w:r w:rsidR="009A3E50" w:rsidRPr="00152C0C">
        <w:t>aplazamientos</w:t>
      </w:r>
      <w:r w:rsidR="00087F21" w:rsidRPr="00152C0C">
        <w:t>, uno</w:t>
      </w:r>
      <w:r w:rsidRPr="00152C0C">
        <w:t xml:space="preserve"> </w:t>
      </w:r>
      <w:r w:rsidR="00087F21" w:rsidRPr="00152C0C">
        <w:t>solicitado por la D</w:t>
      </w:r>
      <w:r w:rsidR="000451EA" w:rsidRPr="00152C0C">
        <w:t xml:space="preserve">efensa </w:t>
      </w:r>
      <w:r w:rsidR="000C0478" w:rsidRPr="00152C0C">
        <w:t xml:space="preserve">a efectos de que su prohijada </w:t>
      </w:r>
      <w:r w:rsidR="00087F21" w:rsidRPr="00152C0C">
        <w:t>pagara los perjuicios para obtener la rebaja establecida en el artículo 269 del C.P</w:t>
      </w:r>
      <w:r w:rsidR="000C0478" w:rsidRPr="00152C0C">
        <w:t>,</w:t>
      </w:r>
      <w:r w:rsidR="00087F21" w:rsidRPr="00152C0C">
        <w:t xml:space="preserve"> </w:t>
      </w:r>
      <w:r w:rsidR="000E5B25" w:rsidRPr="00152C0C">
        <w:t xml:space="preserve">y </w:t>
      </w:r>
      <w:r w:rsidR="00087F21" w:rsidRPr="00152C0C">
        <w:t xml:space="preserve">los otros dos por parte del </w:t>
      </w:r>
      <w:r w:rsidR="00C306AF" w:rsidRPr="00152C0C">
        <w:t>D</w:t>
      </w:r>
      <w:r w:rsidR="00087F21" w:rsidRPr="00152C0C">
        <w:t>espacho al no contarse con presencia del señor BEDOYA QUINTERO</w:t>
      </w:r>
      <w:r w:rsidR="00C306AF" w:rsidRPr="00152C0C">
        <w:t>,</w:t>
      </w:r>
      <w:r w:rsidR="00087F21" w:rsidRPr="00152C0C">
        <w:t xml:space="preserve"> quien se encontraba privado de la libertad por </w:t>
      </w:r>
      <w:r w:rsidR="007B489D" w:rsidRPr="00152C0C">
        <w:t>cuenta de otro proceso</w:t>
      </w:r>
      <w:r w:rsidR="000E5B25" w:rsidRPr="00152C0C">
        <w:t>,</w:t>
      </w:r>
      <w:r w:rsidR="00087F21" w:rsidRPr="00152C0C">
        <w:t xml:space="preserve"> </w:t>
      </w:r>
      <w:r w:rsidR="009A3E50" w:rsidRPr="00152C0C">
        <w:t>la vista pública para tal fin se desarrol</w:t>
      </w:r>
      <w:r w:rsidR="001B0822" w:rsidRPr="00152C0C">
        <w:t>ló el 21</w:t>
      </w:r>
      <w:r w:rsidR="009A3E50" w:rsidRPr="00152C0C">
        <w:t xml:space="preserve"> de marzo del </w:t>
      </w:r>
      <w:r w:rsidR="001B0822" w:rsidRPr="00152C0C">
        <w:t>presente año</w:t>
      </w:r>
      <w:r w:rsidR="009A3E50" w:rsidRPr="00152C0C">
        <w:t xml:space="preserve">, allí se </w:t>
      </w:r>
      <w:r w:rsidR="00B87725" w:rsidRPr="00152C0C">
        <w:t xml:space="preserve">dictó la correspondiente sentencia condenatoria, decisión </w:t>
      </w:r>
      <w:r w:rsidR="00F359A4" w:rsidRPr="00152C0C">
        <w:t>en contra de la cual se alzó de manera oportuna el apod</w:t>
      </w:r>
      <w:r w:rsidR="007B489D" w:rsidRPr="00152C0C">
        <w:t>erado judicial de los encartados</w:t>
      </w:r>
      <w:r w:rsidR="00F359A4" w:rsidRPr="00152C0C">
        <w:t xml:space="preserve">.  </w:t>
      </w:r>
    </w:p>
    <w:p w:rsidR="000C0478" w:rsidRPr="00152C0C" w:rsidRDefault="000C0478" w:rsidP="00B52A33">
      <w:pPr>
        <w:pStyle w:val="Sinespaciado"/>
        <w:spacing w:line="360" w:lineRule="auto"/>
        <w:ind w:left="360"/>
        <w:jc w:val="both"/>
      </w:pPr>
    </w:p>
    <w:p w:rsidR="00F359A4" w:rsidRPr="00152C0C" w:rsidRDefault="00F359A4" w:rsidP="00B52A33">
      <w:pPr>
        <w:jc w:val="center"/>
        <w:rPr>
          <w:rFonts w:eastAsia="Times New Roman" w:cs="Microsoft Sans Serif"/>
          <w:b/>
          <w:bCs/>
        </w:rPr>
      </w:pPr>
      <w:r w:rsidRPr="00152C0C">
        <w:rPr>
          <w:rFonts w:eastAsia="Times New Roman" w:cs="Microsoft Sans Serif"/>
          <w:b/>
          <w:bCs/>
        </w:rPr>
        <w:lastRenderedPageBreak/>
        <w:t>LA SENTENCIA OPUGNADA:</w:t>
      </w:r>
    </w:p>
    <w:p w:rsidR="00F359A4" w:rsidRPr="00152C0C" w:rsidRDefault="00F359A4" w:rsidP="00B52A33">
      <w:pPr>
        <w:jc w:val="center"/>
        <w:rPr>
          <w:rFonts w:eastAsia="Times New Roman" w:cs="Microsoft Sans Serif"/>
          <w:b/>
          <w:bCs/>
        </w:rPr>
      </w:pPr>
    </w:p>
    <w:p w:rsidR="00F359A4" w:rsidRPr="00152C0C" w:rsidRDefault="00F359A4" w:rsidP="007951D5">
      <w:pPr>
        <w:pStyle w:val="Sinespaciado"/>
        <w:spacing w:line="276" w:lineRule="auto"/>
        <w:jc w:val="both"/>
      </w:pPr>
      <w:r w:rsidRPr="00152C0C">
        <w:rPr>
          <w:rFonts w:eastAsia="Times New Roman" w:cs="Microsoft Sans Serif"/>
        </w:rPr>
        <w:t xml:space="preserve">Como ya se dijo, se trata de la sentencia </w:t>
      </w:r>
      <w:r w:rsidR="00B87725" w:rsidRPr="00152C0C">
        <w:rPr>
          <w:rFonts w:eastAsia="Times New Roman" w:cs="Microsoft Sans Serif"/>
        </w:rPr>
        <w:t>proferida por el</w:t>
      </w:r>
      <w:r w:rsidR="009A3E50" w:rsidRPr="00152C0C">
        <w:t xml:space="preserve"> </w:t>
      </w:r>
      <w:r w:rsidR="0050274D" w:rsidRPr="00152C0C">
        <w:t>Juzgado 1º Penal Municipal</w:t>
      </w:r>
      <w:r w:rsidR="00C306AF" w:rsidRPr="00152C0C">
        <w:t xml:space="preserve"> esta ciudad,</w:t>
      </w:r>
      <w:r w:rsidR="0050274D" w:rsidRPr="00152C0C">
        <w:t xml:space="preserve"> con funciones de conocimiento</w:t>
      </w:r>
      <w:r w:rsidR="00C306AF" w:rsidRPr="00152C0C">
        <w:t>,</w:t>
      </w:r>
      <w:r w:rsidR="0050274D" w:rsidRPr="00152C0C">
        <w:t xml:space="preserve"> </w:t>
      </w:r>
      <w:r w:rsidR="00B87725" w:rsidRPr="00152C0C">
        <w:rPr>
          <w:rFonts w:eastAsia="Times New Roman" w:cs="Microsoft Sans Serif"/>
        </w:rPr>
        <w:t>en las cal</w:t>
      </w:r>
      <w:r w:rsidR="000C0478" w:rsidRPr="00152C0C">
        <w:rPr>
          <w:rFonts w:eastAsia="Times New Roman" w:cs="Microsoft Sans Serif"/>
        </w:rPr>
        <w:t>endas del veinte (21</w:t>
      </w:r>
      <w:r w:rsidR="00B87725" w:rsidRPr="00152C0C">
        <w:rPr>
          <w:rFonts w:eastAsia="Times New Roman" w:cs="Microsoft Sans Serif"/>
        </w:rPr>
        <w:t>) de marzo de los corrientes, en virtud de la cual se declaró l</w:t>
      </w:r>
      <w:r w:rsidR="009A3E50" w:rsidRPr="00152C0C">
        <w:rPr>
          <w:rFonts w:eastAsia="Times New Roman" w:cs="Microsoft Sans Serif"/>
        </w:rPr>
        <w:t>a responsabilidad criminal de los Procesados</w:t>
      </w:r>
      <w:r w:rsidR="0073085C" w:rsidRPr="00152C0C">
        <w:rPr>
          <w:rFonts w:eastAsia="Times New Roman" w:cs="Microsoft Sans Serif"/>
        </w:rPr>
        <w:t xml:space="preserve"> MARILIN TABORDA GUEVARA Y HERNEY BEDOYA QUINTERO</w:t>
      </w:r>
      <w:r w:rsidR="0073085C" w:rsidRPr="00152C0C">
        <w:t xml:space="preserve"> </w:t>
      </w:r>
      <w:r w:rsidR="00B87725" w:rsidRPr="00152C0C">
        <w:rPr>
          <w:rFonts w:eastAsia="Times New Roman" w:cs="Microsoft Sans Serif"/>
        </w:rPr>
        <w:t>por incurrir en la comisión d</w:t>
      </w:r>
      <w:r w:rsidR="00EC286D" w:rsidRPr="00152C0C">
        <w:rPr>
          <w:rFonts w:eastAsia="Times New Roman" w:cs="Microsoft Sans Serif"/>
        </w:rPr>
        <w:t xml:space="preserve">el delito de hurto calificado </w:t>
      </w:r>
      <w:r w:rsidR="00B87725" w:rsidRPr="00152C0C">
        <w:rPr>
          <w:rFonts w:eastAsia="Times New Roman" w:cs="Microsoft Sans Serif"/>
        </w:rPr>
        <w:t>agravado.</w:t>
      </w:r>
    </w:p>
    <w:p w:rsidR="00F359A4" w:rsidRPr="00152C0C" w:rsidRDefault="00F359A4" w:rsidP="007951D5">
      <w:pPr>
        <w:spacing w:line="276" w:lineRule="auto"/>
        <w:jc w:val="both"/>
        <w:rPr>
          <w:rFonts w:eastAsia="Times New Roman" w:cs="Microsoft Sans Serif"/>
          <w:lang w:val="es-ES"/>
        </w:rPr>
      </w:pPr>
    </w:p>
    <w:p w:rsidR="0073085C" w:rsidRPr="00152C0C" w:rsidRDefault="008118E9" w:rsidP="007951D5">
      <w:pPr>
        <w:spacing w:line="276" w:lineRule="auto"/>
        <w:jc w:val="both"/>
        <w:rPr>
          <w:rFonts w:eastAsia="Times New Roman" w:cs="Microsoft Sans Serif"/>
          <w:lang w:val="es-ES"/>
        </w:rPr>
      </w:pPr>
      <w:r w:rsidRPr="00152C0C">
        <w:rPr>
          <w:rFonts w:eastAsia="Times New Roman" w:cs="Microsoft Sans Serif"/>
          <w:lang w:val="es-ES"/>
        </w:rPr>
        <w:t xml:space="preserve">Como consecuencia de la declaratoria del compromiso penal endilgado a los Procesados </w:t>
      </w:r>
      <w:r w:rsidRPr="00152C0C">
        <w:rPr>
          <w:rFonts w:eastAsia="Times New Roman" w:cs="Microsoft Sans Serif"/>
        </w:rPr>
        <w:t xml:space="preserve">MARILIN TABORDA GUEVARA </w:t>
      </w:r>
      <w:r w:rsidR="00C306AF" w:rsidRPr="00152C0C">
        <w:rPr>
          <w:rFonts w:eastAsia="Times New Roman" w:cs="Microsoft Sans Serif"/>
        </w:rPr>
        <w:t>y</w:t>
      </w:r>
      <w:r w:rsidRPr="00152C0C">
        <w:rPr>
          <w:rFonts w:eastAsia="Times New Roman" w:cs="Microsoft Sans Serif"/>
        </w:rPr>
        <w:t xml:space="preserve"> HERNEY BEDOYA QUINTERO, los susodichos fueron condenados a purgar una pena de 63 meses para la primera y 122 meses para el segundo</w:t>
      </w:r>
      <w:r w:rsidR="00C306AF" w:rsidRPr="00152C0C">
        <w:rPr>
          <w:rStyle w:val="Refdenotaalpie"/>
          <w:rFonts w:asciiTheme="minorHAnsi" w:eastAsia="Times New Roman" w:hAnsiTheme="minorHAnsi"/>
        </w:rPr>
        <w:footnoteReference w:id="1"/>
      </w:r>
      <w:r w:rsidRPr="00152C0C">
        <w:rPr>
          <w:rFonts w:eastAsia="Times New Roman" w:cs="Microsoft Sans Serif"/>
        </w:rPr>
        <w:t>,</w:t>
      </w:r>
      <w:r w:rsidR="00F21CFD" w:rsidRPr="00152C0C">
        <w:rPr>
          <w:rFonts w:eastAsia="Times New Roman" w:cs="Microsoft Sans Serif"/>
          <w:lang w:val="es-ES"/>
        </w:rPr>
        <w:t xml:space="preserve"> la</w:t>
      </w:r>
      <w:r w:rsidR="000C0478" w:rsidRPr="00152C0C">
        <w:rPr>
          <w:rFonts w:eastAsia="Times New Roman" w:cs="Microsoft Sans Serif"/>
          <w:lang w:val="es-ES"/>
        </w:rPr>
        <w:t>s</w:t>
      </w:r>
      <w:r w:rsidR="00F21CFD" w:rsidRPr="00152C0C">
        <w:rPr>
          <w:rFonts w:eastAsia="Times New Roman" w:cs="Microsoft Sans Serif"/>
          <w:lang w:val="es-ES"/>
        </w:rPr>
        <w:t xml:space="preserve"> cual</w:t>
      </w:r>
      <w:r w:rsidR="000C0478" w:rsidRPr="00152C0C">
        <w:rPr>
          <w:rFonts w:eastAsia="Times New Roman" w:cs="Microsoft Sans Serif"/>
          <w:lang w:val="es-ES"/>
        </w:rPr>
        <w:t>es</w:t>
      </w:r>
      <w:r w:rsidR="00F21CFD" w:rsidRPr="00152C0C">
        <w:rPr>
          <w:rFonts w:eastAsia="Times New Roman" w:cs="Microsoft Sans Serif"/>
          <w:lang w:val="es-ES"/>
        </w:rPr>
        <w:t xml:space="preserve"> resul</w:t>
      </w:r>
      <w:r w:rsidR="000C0478" w:rsidRPr="00152C0C">
        <w:rPr>
          <w:rFonts w:eastAsia="Times New Roman" w:cs="Microsoft Sans Serif"/>
          <w:lang w:val="es-ES"/>
        </w:rPr>
        <w:t>taron</w:t>
      </w:r>
      <w:r w:rsidR="00F21CFD" w:rsidRPr="00152C0C">
        <w:rPr>
          <w:rFonts w:eastAsia="Times New Roman" w:cs="Microsoft Sans Serif"/>
          <w:lang w:val="es-ES"/>
        </w:rPr>
        <w:t xml:space="preserve"> ser producto de los descuentos punitivos del 12,5% que en compens</w:t>
      </w:r>
      <w:r w:rsidRPr="00152C0C">
        <w:rPr>
          <w:rFonts w:eastAsia="Times New Roman" w:cs="Microsoft Sans Serif"/>
          <w:lang w:val="es-ES"/>
        </w:rPr>
        <w:t>ación le fueron reconocidos a los procesados</w:t>
      </w:r>
      <w:r w:rsidR="00F21CFD" w:rsidRPr="00152C0C">
        <w:rPr>
          <w:rFonts w:eastAsia="Times New Roman" w:cs="Microsoft Sans Serif"/>
          <w:lang w:val="es-ES"/>
        </w:rPr>
        <w:t xml:space="preserve"> por allanarse a los cargos en la audiencia de formulación de la imputación. De </w:t>
      </w:r>
      <w:r w:rsidR="00B87725" w:rsidRPr="00152C0C">
        <w:rPr>
          <w:rFonts w:eastAsia="Times New Roman" w:cs="Microsoft Sans Serif"/>
          <w:lang w:val="es-ES"/>
        </w:rPr>
        <w:t xml:space="preserve">igual forma, </w:t>
      </w:r>
      <w:r w:rsidR="00F359A4" w:rsidRPr="00152C0C">
        <w:rPr>
          <w:rFonts w:eastAsia="Times New Roman" w:cs="Microsoft Sans Serif"/>
          <w:lang w:val="es-ES"/>
        </w:rPr>
        <w:t>por no cumplirse con los presupuestos legales, a</w:t>
      </w:r>
      <w:r w:rsidR="00B87725" w:rsidRPr="00152C0C">
        <w:rPr>
          <w:rFonts w:eastAsia="Times New Roman" w:cs="Microsoft Sans Serif"/>
          <w:lang w:val="es-ES"/>
        </w:rPr>
        <w:t xml:space="preserve"> </w:t>
      </w:r>
      <w:r w:rsidR="00F359A4" w:rsidRPr="00152C0C">
        <w:rPr>
          <w:rFonts w:eastAsia="Times New Roman" w:cs="Microsoft Sans Serif"/>
          <w:lang w:val="es-ES"/>
        </w:rPr>
        <w:t>l</w:t>
      </w:r>
      <w:r w:rsidRPr="00152C0C">
        <w:rPr>
          <w:rFonts w:eastAsia="Times New Roman" w:cs="Microsoft Sans Serif"/>
          <w:lang w:val="es-ES"/>
        </w:rPr>
        <w:t>os</w:t>
      </w:r>
      <w:r w:rsidR="00F359A4" w:rsidRPr="00152C0C">
        <w:rPr>
          <w:rFonts w:eastAsia="Times New Roman" w:cs="Microsoft Sans Serif"/>
          <w:lang w:val="es-ES"/>
        </w:rPr>
        <w:t xml:space="preserve"> declarad</w:t>
      </w:r>
      <w:r w:rsidRPr="00152C0C">
        <w:rPr>
          <w:rFonts w:eastAsia="Times New Roman" w:cs="Microsoft Sans Serif"/>
          <w:lang w:val="es-ES"/>
        </w:rPr>
        <w:t>os</w:t>
      </w:r>
      <w:r w:rsidR="00F359A4" w:rsidRPr="00152C0C">
        <w:rPr>
          <w:rFonts w:eastAsia="Times New Roman" w:cs="Microsoft Sans Serif"/>
          <w:lang w:val="es-ES"/>
        </w:rPr>
        <w:t xml:space="preserve"> penalmente responsable</w:t>
      </w:r>
      <w:r w:rsidRPr="00152C0C">
        <w:rPr>
          <w:rFonts w:eastAsia="Times New Roman" w:cs="Microsoft Sans Serif"/>
          <w:lang w:val="es-ES"/>
        </w:rPr>
        <w:t>s</w:t>
      </w:r>
      <w:r w:rsidR="00F359A4" w:rsidRPr="00152C0C">
        <w:rPr>
          <w:rFonts w:eastAsia="Times New Roman" w:cs="Microsoft Sans Serif"/>
          <w:lang w:val="es-ES"/>
        </w:rPr>
        <w:t xml:space="preserve"> no se le</w:t>
      </w:r>
      <w:r w:rsidRPr="00152C0C">
        <w:rPr>
          <w:rFonts w:eastAsia="Times New Roman" w:cs="Microsoft Sans Serif"/>
          <w:lang w:val="es-ES"/>
        </w:rPr>
        <w:t>s</w:t>
      </w:r>
      <w:r w:rsidR="00F359A4" w:rsidRPr="00152C0C">
        <w:rPr>
          <w:rFonts w:eastAsia="Times New Roman" w:cs="Microsoft Sans Serif"/>
          <w:lang w:val="es-ES"/>
        </w:rPr>
        <w:t xml:space="preserve"> concedió el disfrute del subrogado penal de la suspensión condicional de la ejecución de la pena.</w:t>
      </w:r>
    </w:p>
    <w:p w:rsidR="00834F0A" w:rsidRPr="00152C0C" w:rsidRDefault="00834F0A" w:rsidP="007951D5">
      <w:pPr>
        <w:spacing w:line="276" w:lineRule="auto"/>
        <w:jc w:val="both"/>
        <w:rPr>
          <w:rFonts w:eastAsia="Times New Roman" w:cs="Microsoft Sans Serif"/>
          <w:lang w:val="es-ES"/>
        </w:rPr>
      </w:pPr>
    </w:p>
    <w:p w:rsidR="008118E9" w:rsidRPr="00152C0C" w:rsidRDefault="00F359A4" w:rsidP="007951D5">
      <w:pPr>
        <w:spacing w:line="276" w:lineRule="auto"/>
        <w:jc w:val="both"/>
        <w:rPr>
          <w:rFonts w:eastAsia="Times New Roman" w:cs="Microsoft Sans Serif"/>
        </w:rPr>
      </w:pPr>
      <w:r w:rsidRPr="00152C0C">
        <w:rPr>
          <w:rFonts w:eastAsia="Times New Roman" w:cs="Microsoft Sans Serif"/>
          <w:lang w:val="es-ES"/>
        </w:rPr>
        <w:t xml:space="preserve">Los argumentos invocados en el fallo de primer nivel para poder proferir la sentencia condenatoria, </w:t>
      </w:r>
      <w:r w:rsidRPr="00152C0C">
        <w:rPr>
          <w:rFonts w:eastAsia="Times New Roman" w:cs="Microsoft Sans Serif"/>
        </w:rPr>
        <w:t xml:space="preserve">se fundamentaron en </w:t>
      </w:r>
      <w:r w:rsidR="008118E9" w:rsidRPr="00152C0C">
        <w:rPr>
          <w:rFonts w:eastAsia="Times New Roman" w:cs="Microsoft Sans Serif"/>
        </w:rPr>
        <w:t xml:space="preserve">que con los elementos materiales de prueba </w:t>
      </w:r>
      <w:r w:rsidR="00F903FB" w:rsidRPr="00152C0C">
        <w:rPr>
          <w:rFonts w:eastAsia="Times New Roman" w:cs="Microsoft Sans Serif"/>
        </w:rPr>
        <w:t xml:space="preserve">con que contaba la Fiscalía se lograba demostrar el dolo efectuado en la conducta de los coacusados, que eran conscientes de su actuar antijurídico por afectar el bien jurídico de las </w:t>
      </w:r>
      <w:r w:rsidR="008700CD" w:rsidRPr="00152C0C">
        <w:rPr>
          <w:rFonts w:eastAsia="Times New Roman" w:cs="Microsoft Sans Serif"/>
        </w:rPr>
        <w:t>víctimas</w:t>
      </w:r>
      <w:r w:rsidR="00F903FB" w:rsidRPr="00152C0C">
        <w:rPr>
          <w:rFonts w:eastAsia="Times New Roman" w:cs="Microsoft Sans Serif"/>
        </w:rPr>
        <w:t>, en e</w:t>
      </w:r>
      <w:r w:rsidR="008700CD" w:rsidRPr="00152C0C">
        <w:rPr>
          <w:rFonts w:eastAsia="Times New Roman" w:cs="Microsoft Sans Serif"/>
        </w:rPr>
        <w:t xml:space="preserve">ste caso </w:t>
      </w:r>
      <w:r w:rsidR="00F903FB" w:rsidRPr="00152C0C">
        <w:rPr>
          <w:rFonts w:eastAsia="Times New Roman" w:cs="Microsoft Sans Serif"/>
        </w:rPr>
        <w:t xml:space="preserve">su </w:t>
      </w:r>
      <w:r w:rsidR="008700CD" w:rsidRPr="00152C0C">
        <w:rPr>
          <w:rFonts w:eastAsia="Times New Roman" w:cs="Microsoft Sans Serif"/>
        </w:rPr>
        <w:t>patrimonio</w:t>
      </w:r>
      <w:r w:rsidR="00F903FB" w:rsidRPr="00152C0C">
        <w:rPr>
          <w:rFonts w:eastAsia="Times New Roman" w:cs="Microsoft Sans Serif"/>
        </w:rPr>
        <w:t xml:space="preserve"> </w:t>
      </w:r>
      <w:r w:rsidR="00C306AF" w:rsidRPr="00152C0C">
        <w:rPr>
          <w:rFonts w:eastAsia="Times New Roman" w:cs="Microsoft Sans Serif"/>
        </w:rPr>
        <w:t>económico;</w:t>
      </w:r>
      <w:r w:rsidR="008700CD" w:rsidRPr="00152C0C">
        <w:rPr>
          <w:rFonts w:eastAsia="Times New Roman" w:cs="Microsoft Sans Serif"/>
        </w:rPr>
        <w:t xml:space="preserve"> </w:t>
      </w:r>
      <w:r w:rsidR="00F4091E" w:rsidRPr="00152C0C">
        <w:rPr>
          <w:rFonts w:eastAsia="Times New Roman" w:cs="Microsoft Sans Serif"/>
        </w:rPr>
        <w:t>y</w:t>
      </w:r>
      <w:r w:rsidR="00F903FB" w:rsidRPr="00152C0C">
        <w:rPr>
          <w:rFonts w:eastAsia="Times New Roman" w:cs="Microsoft Sans Serif"/>
        </w:rPr>
        <w:t xml:space="preserve"> </w:t>
      </w:r>
      <w:r w:rsidR="008700CD" w:rsidRPr="00152C0C">
        <w:rPr>
          <w:rFonts w:eastAsia="Times New Roman" w:cs="Microsoft Sans Serif"/>
        </w:rPr>
        <w:t>sumado lo anterior</w:t>
      </w:r>
      <w:r w:rsidR="00C306AF" w:rsidRPr="00152C0C">
        <w:rPr>
          <w:rFonts w:eastAsia="Times New Roman" w:cs="Microsoft Sans Serif"/>
        </w:rPr>
        <w:t>,</w:t>
      </w:r>
      <w:r w:rsidR="008700CD" w:rsidRPr="00152C0C">
        <w:rPr>
          <w:rFonts w:eastAsia="Times New Roman" w:cs="Microsoft Sans Serif"/>
        </w:rPr>
        <w:t xml:space="preserve"> a</w:t>
      </w:r>
      <w:r w:rsidR="00F903FB" w:rsidRPr="00152C0C">
        <w:rPr>
          <w:rFonts w:eastAsia="Times New Roman" w:cs="Microsoft Sans Serif"/>
        </w:rPr>
        <w:t xml:space="preserve"> la </w:t>
      </w:r>
      <w:r w:rsidR="008700CD" w:rsidRPr="00152C0C">
        <w:rPr>
          <w:rFonts w:eastAsia="Times New Roman" w:cs="Microsoft Sans Serif"/>
        </w:rPr>
        <w:t>aceptación</w:t>
      </w:r>
      <w:r w:rsidR="00F903FB" w:rsidRPr="00152C0C">
        <w:rPr>
          <w:rFonts w:eastAsia="Times New Roman" w:cs="Microsoft Sans Serif"/>
        </w:rPr>
        <w:t xml:space="preserve"> de los cargos </w:t>
      </w:r>
      <w:r w:rsidR="008700CD" w:rsidRPr="00152C0C">
        <w:rPr>
          <w:rFonts w:eastAsia="Times New Roman" w:cs="Microsoft Sans Serif"/>
        </w:rPr>
        <w:t xml:space="preserve">de los Procesados durante la </w:t>
      </w:r>
      <w:r w:rsidR="00F903FB" w:rsidRPr="00152C0C">
        <w:rPr>
          <w:rFonts w:eastAsia="Times New Roman" w:cs="Microsoft Sans Serif"/>
        </w:rPr>
        <w:t xml:space="preserve">audiencia de formulación de </w:t>
      </w:r>
      <w:r w:rsidR="008700CD" w:rsidRPr="00152C0C">
        <w:rPr>
          <w:rFonts w:eastAsia="Times New Roman" w:cs="Microsoft Sans Serif"/>
        </w:rPr>
        <w:t>imputación</w:t>
      </w:r>
      <w:r w:rsidR="00C306AF" w:rsidRPr="00152C0C">
        <w:rPr>
          <w:rFonts w:eastAsia="Times New Roman" w:cs="Microsoft Sans Serif"/>
        </w:rPr>
        <w:t>,</w:t>
      </w:r>
      <w:r w:rsidR="00F903FB" w:rsidRPr="00152C0C">
        <w:rPr>
          <w:rFonts w:eastAsia="Times New Roman" w:cs="Microsoft Sans Serif"/>
        </w:rPr>
        <w:t xml:space="preserve"> era suficiente para </w:t>
      </w:r>
      <w:r w:rsidR="008700CD" w:rsidRPr="00152C0C">
        <w:rPr>
          <w:rFonts w:eastAsia="Times New Roman" w:cs="Microsoft Sans Serif"/>
        </w:rPr>
        <w:t>declarar</w:t>
      </w:r>
      <w:r w:rsidR="00F903FB" w:rsidRPr="00152C0C">
        <w:rPr>
          <w:rFonts w:eastAsia="Times New Roman" w:cs="Microsoft Sans Serif"/>
        </w:rPr>
        <w:t xml:space="preserve"> </w:t>
      </w:r>
      <w:r w:rsidR="008700CD" w:rsidRPr="00152C0C">
        <w:rPr>
          <w:rFonts w:eastAsia="Times New Roman" w:cs="Microsoft Sans Serif"/>
        </w:rPr>
        <w:t xml:space="preserve">la responsabilidad penal de los procesados MARILIN TABORDA GUEVARA </w:t>
      </w:r>
      <w:r w:rsidR="00C306AF" w:rsidRPr="00152C0C">
        <w:rPr>
          <w:rFonts w:eastAsia="Times New Roman" w:cs="Microsoft Sans Serif"/>
        </w:rPr>
        <w:t>y</w:t>
      </w:r>
      <w:r w:rsidR="008700CD" w:rsidRPr="00152C0C">
        <w:rPr>
          <w:rFonts w:eastAsia="Times New Roman" w:cs="Microsoft Sans Serif"/>
        </w:rPr>
        <w:t xml:space="preserve"> HERNEY BEDOYA QUINTERO.</w:t>
      </w:r>
    </w:p>
    <w:p w:rsidR="00F359A4" w:rsidRPr="00152C0C" w:rsidRDefault="00F359A4" w:rsidP="00B52A33">
      <w:pPr>
        <w:spacing w:line="360" w:lineRule="auto"/>
        <w:jc w:val="both"/>
        <w:rPr>
          <w:rFonts w:eastAsia="Times New Roman" w:cs="Microsoft Sans Serif"/>
        </w:rPr>
      </w:pPr>
    </w:p>
    <w:p w:rsidR="00F359A4" w:rsidRPr="00152C0C" w:rsidRDefault="00F359A4" w:rsidP="00B52A33">
      <w:pPr>
        <w:tabs>
          <w:tab w:val="center" w:pos="4539"/>
          <w:tab w:val="left" w:pos="6439"/>
        </w:tabs>
        <w:jc w:val="center"/>
        <w:rPr>
          <w:rFonts w:eastAsia="Times New Roman" w:cs="Microsoft Sans Serif"/>
          <w:b/>
          <w:bCs/>
        </w:rPr>
      </w:pPr>
      <w:r w:rsidRPr="00152C0C">
        <w:rPr>
          <w:rFonts w:eastAsia="Times New Roman" w:cs="Microsoft Sans Serif"/>
          <w:b/>
          <w:bCs/>
        </w:rPr>
        <w:t>LA ALZADA:</w:t>
      </w:r>
    </w:p>
    <w:p w:rsidR="00F359A4" w:rsidRPr="00152C0C" w:rsidRDefault="00F359A4" w:rsidP="00B52A33">
      <w:pPr>
        <w:tabs>
          <w:tab w:val="center" w:pos="4539"/>
          <w:tab w:val="left" w:pos="6439"/>
        </w:tabs>
        <w:jc w:val="both"/>
        <w:rPr>
          <w:rFonts w:eastAsia="Times New Roman" w:cs="Microsoft Sans Serif"/>
          <w:b/>
          <w:bCs/>
        </w:rPr>
      </w:pPr>
    </w:p>
    <w:p w:rsidR="00BF5A19" w:rsidRPr="00152C0C" w:rsidRDefault="00F21CFD" w:rsidP="007951D5">
      <w:pPr>
        <w:tabs>
          <w:tab w:val="center" w:pos="4539"/>
          <w:tab w:val="left" w:pos="6439"/>
        </w:tabs>
        <w:spacing w:line="276" w:lineRule="auto"/>
        <w:jc w:val="both"/>
        <w:rPr>
          <w:rFonts w:eastAsia="Times New Roman" w:cs="Microsoft Sans Serif"/>
          <w:bCs/>
        </w:rPr>
      </w:pPr>
      <w:r w:rsidRPr="00152C0C">
        <w:rPr>
          <w:rFonts w:eastAsia="Times New Roman" w:cs="Microsoft Sans Serif"/>
          <w:bCs/>
        </w:rPr>
        <w:lastRenderedPageBreak/>
        <w:t xml:space="preserve">La inconformidad del recurrente </w:t>
      </w:r>
      <w:r w:rsidR="000B5078" w:rsidRPr="00152C0C">
        <w:rPr>
          <w:rFonts w:eastAsia="Times New Roman" w:cs="Microsoft Sans Serif"/>
          <w:bCs/>
        </w:rPr>
        <w:t xml:space="preserve">con el contenido del fallo opugnado </w:t>
      </w:r>
      <w:r w:rsidRPr="00152C0C">
        <w:rPr>
          <w:rFonts w:eastAsia="Times New Roman" w:cs="Microsoft Sans Serif"/>
          <w:bCs/>
        </w:rPr>
        <w:t xml:space="preserve">tiene que ver con </w:t>
      </w:r>
      <w:r w:rsidR="00121103" w:rsidRPr="00152C0C">
        <w:rPr>
          <w:rFonts w:eastAsia="Times New Roman" w:cs="Microsoft Sans Serif"/>
          <w:bCs/>
        </w:rPr>
        <w:t xml:space="preserve">dos circunstancias específicas, la primera de ellas </w:t>
      </w:r>
      <w:r w:rsidR="00856ECB" w:rsidRPr="00152C0C">
        <w:rPr>
          <w:rFonts w:eastAsia="Times New Roman" w:cs="Microsoft Sans Serif"/>
          <w:bCs/>
        </w:rPr>
        <w:t>respecto a</w:t>
      </w:r>
      <w:r w:rsidR="00121103" w:rsidRPr="00152C0C">
        <w:rPr>
          <w:rFonts w:eastAsia="Times New Roman" w:cs="Microsoft Sans Serif"/>
          <w:bCs/>
        </w:rPr>
        <w:t xml:space="preserve"> la dosificación de la pena, en donde considera el Apelante que en virtud del principio de favorabilidad</w:t>
      </w:r>
      <w:r w:rsidR="00C306AF" w:rsidRPr="00152C0C">
        <w:rPr>
          <w:rFonts w:eastAsia="Times New Roman" w:cs="Microsoft Sans Serif"/>
          <w:bCs/>
        </w:rPr>
        <w:t xml:space="preserve">, </w:t>
      </w:r>
      <w:r w:rsidR="00121103" w:rsidRPr="00152C0C">
        <w:rPr>
          <w:rFonts w:eastAsia="Times New Roman" w:cs="Microsoft Sans Serif"/>
          <w:bCs/>
        </w:rPr>
        <w:t>y de una posición adoptada por el Juzgado Tercero Penal del Circuito de esta Ciudad en provi</w:t>
      </w:r>
      <w:r w:rsidR="00385BDC" w:rsidRPr="00152C0C">
        <w:rPr>
          <w:rFonts w:eastAsia="Times New Roman" w:cs="Microsoft Sans Serif"/>
          <w:bCs/>
        </w:rPr>
        <w:t xml:space="preserve">dencia del 03 de abril del 2018, se </w:t>
      </w:r>
      <w:r w:rsidR="000F6D0E" w:rsidRPr="00152C0C">
        <w:rPr>
          <w:rFonts w:eastAsia="Times New Roman" w:cs="Microsoft Sans Serif"/>
          <w:bCs/>
        </w:rPr>
        <w:t>debe por parte de esta</w:t>
      </w:r>
      <w:r w:rsidR="00121103" w:rsidRPr="00152C0C">
        <w:rPr>
          <w:rFonts w:eastAsia="Times New Roman" w:cs="Microsoft Sans Serif"/>
          <w:bCs/>
        </w:rPr>
        <w:t xml:space="preserve"> Colegiatura </w:t>
      </w:r>
      <w:r w:rsidR="000F6D0E" w:rsidRPr="00152C0C">
        <w:rPr>
          <w:rFonts w:eastAsia="Times New Roman" w:cs="Microsoft Sans Serif"/>
          <w:bCs/>
        </w:rPr>
        <w:t>redosificar</w:t>
      </w:r>
      <w:r w:rsidR="00121103" w:rsidRPr="00152C0C">
        <w:rPr>
          <w:rFonts w:eastAsia="Times New Roman" w:cs="Microsoft Sans Serif"/>
          <w:bCs/>
        </w:rPr>
        <w:t xml:space="preserve"> la pena impuesta a los Procesados </w:t>
      </w:r>
      <w:r w:rsidR="00F4091E" w:rsidRPr="00152C0C">
        <w:rPr>
          <w:rFonts w:eastAsia="Times New Roman" w:cs="Microsoft Sans Serif"/>
          <w:bCs/>
        </w:rPr>
        <w:t>en aplicación de la ley 1826 de 2017</w:t>
      </w:r>
      <w:r w:rsidR="007B489D" w:rsidRPr="00152C0C">
        <w:rPr>
          <w:rFonts w:eastAsia="Times New Roman" w:cs="Microsoft Sans Serif"/>
          <w:bCs/>
        </w:rPr>
        <w:t>,</w:t>
      </w:r>
      <w:r w:rsidR="000F6D0E" w:rsidRPr="00152C0C">
        <w:rPr>
          <w:rFonts w:eastAsia="Times New Roman" w:cs="Microsoft Sans Serif"/>
          <w:bCs/>
        </w:rPr>
        <w:t xml:space="preserve"> </w:t>
      </w:r>
      <w:r w:rsidR="00E0450F" w:rsidRPr="00152C0C">
        <w:rPr>
          <w:rFonts w:eastAsia="Times New Roman" w:cs="Microsoft Sans Serif"/>
          <w:bCs/>
        </w:rPr>
        <w:t>que permite un</w:t>
      </w:r>
      <w:r w:rsidR="00F4091E" w:rsidRPr="00152C0C">
        <w:rPr>
          <w:rFonts w:eastAsia="Times New Roman" w:cs="Microsoft Sans Serif"/>
          <w:bCs/>
        </w:rPr>
        <w:t xml:space="preserve"> descuento de hasta </w:t>
      </w:r>
      <w:r w:rsidR="007B489D" w:rsidRPr="00152C0C">
        <w:rPr>
          <w:rFonts w:eastAsia="Times New Roman" w:cs="Microsoft Sans Serif"/>
          <w:bCs/>
        </w:rPr>
        <w:t>d</w:t>
      </w:r>
      <w:r w:rsidR="00F4091E" w:rsidRPr="00152C0C">
        <w:rPr>
          <w:rFonts w:eastAsia="Times New Roman" w:cs="Microsoft Sans Serif"/>
          <w:bCs/>
        </w:rPr>
        <w:t>el 50%</w:t>
      </w:r>
      <w:r w:rsidR="007B489D" w:rsidRPr="00152C0C">
        <w:rPr>
          <w:rFonts w:eastAsia="Times New Roman" w:cs="Microsoft Sans Serif"/>
          <w:bCs/>
        </w:rPr>
        <w:t xml:space="preserve"> de la pena</w:t>
      </w:r>
      <w:r w:rsidR="00F4091E" w:rsidRPr="00152C0C">
        <w:rPr>
          <w:rFonts w:eastAsia="Times New Roman" w:cs="Microsoft Sans Serif"/>
          <w:bCs/>
        </w:rPr>
        <w:t xml:space="preserve"> por aceptar los cargos durante la audiencia de formulación de </w:t>
      </w:r>
      <w:r w:rsidR="007B489D" w:rsidRPr="00152C0C">
        <w:rPr>
          <w:rFonts w:eastAsia="Times New Roman" w:cs="Microsoft Sans Serif"/>
          <w:bCs/>
        </w:rPr>
        <w:t>imputación</w:t>
      </w:r>
      <w:r w:rsidR="00F4091E" w:rsidRPr="00152C0C">
        <w:rPr>
          <w:rFonts w:eastAsia="Times New Roman" w:cs="Microsoft Sans Serif"/>
          <w:bCs/>
        </w:rPr>
        <w:t xml:space="preserve"> así la captura se haya realizado en situación de flagrancia</w:t>
      </w:r>
      <w:r w:rsidR="000F6D0E" w:rsidRPr="00152C0C">
        <w:rPr>
          <w:rFonts w:eastAsia="Times New Roman" w:cs="Microsoft Sans Serif"/>
          <w:bCs/>
        </w:rPr>
        <w:t xml:space="preserve">. Lo anterior a efectos de que </w:t>
      </w:r>
      <w:r w:rsidR="00BF5A19" w:rsidRPr="00152C0C">
        <w:rPr>
          <w:rFonts w:eastAsia="Times New Roman" w:cs="Microsoft Sans Serif"/>
          <w:bCs/>
        </w:rPr>
        <w:t>verdaderamente se vea beneficiada la persona en razón de la ap</w:t>
      </w:r>
      <w:r w:rsidR="008F51C1" w:rsidRPr="00152C0C">
        <w:rPr>
          <w:rFonts w:eastAsia="Times New Roman" w:cs="Microsoft Sans Serif"/>
          <w:bCs/>
        </w:rPr>
        <w:t xml:space="preserve">licación del </w:t>
      </w:r>
      <w:r w:rsidR="00E0450F" w:rsidRPr="00152C0C">
        <w:rPr>
          <w:rFonts w:eastAsia="Times New Roman" w:cs="Microsoft Sans Serif"/>
          <w:bCs/>
        </w:rPr>
        <w:t xml:space="preserve">aludido </w:t>
      </w:r>
      <w:r w:rsidR="008F51C1" w:rsidRPr="00152C0C">
        <w:rPr>
          <w:rFonts w:eastAsia="Times New Roman" w:cs="Microsoft Sans Serif"/>
          <w:bCs/>
        </w:rPr>
        <w:t>principio.</w:t>
      </w:r>
    </w:p>
    <w:p w:rsidR="008F51C1" w:rsidRPr="00152C0C" w:rsidRDefault="008F51C1" w:rsidP="007951D5">
      <w:pPr>
        <w:tabs>
          <w:tab w:val="center" w:pos="4539"/>
          <w:tab w:val="left" w:pos="6439"/>
        </w:tabs>
        <w:spacing w:line="276" w:lineRule="auto"/>
        <w:jc w:val="both"/>
        <w:rPr>
          <w:rFonts w:eastAsia="Times New Roman" w:cs="Microsoft Sans Serif"/>
          <w:bCs/>
        </w:rPr>
      </w:pPr>
    </w:p>
    <w:p w:rsidR="00BF5A19" w:rsidRPr="00152C0C" w:rsidRDefault="008F51C1" w:rsidP="007951D5">
      <w:pPr>
        <w:tabs>
          <w:tab w:val="center" w:pos="4539"/>
          <w:tab w:val="left" w:pos="6439"/>
        </w:tabs>
        <w:spacing w:line="276" w:lineRule="auto"/>
        <w:jc w:val="both"/>
        <w:rPr>
          <w:rFonts w:eastAsia="Times New Roman" w:cs="Microsoft Sans Serif"/>
          <w:bCs/>
        </w:rPr>
      </w:pPr>
      <w:r w:rsidRPr="00152C0C">
        <w:rPr>
          <w:rFonts w:eastAsia="Times New Roman" w:cs="Microsoft Sans Serif"/>
          <w:bCs/>
        </w:rPr>
        <w:t xml:space="preserve">La segunda circunstancia </w:t>
      </w:r>
      <w:r w:rsidR="000F6D0E" w:rsidRPr="00152C0C">
        <w:rPr>
          <w:rFonts w:eastAsia="Times New Roman" w:cs="Microsoft Sans Serif"/>
          <w:bCs/>
        </w:rPr>
        <w:t>que cuestiona el A</w:t>
      </w:r>
      <w:r w:rsidR="00BF5A19" w:rsidRPr="00152C0C">
        <w:rPr>
          <w:rFonts w:eastAsia="Times New Roman" w:cs="Microsoft Sans Serif"/>
          <w:bCs/>
        </w:rPr>
        <w:t>pelante</w:t>
      </w:r>
      <w:r w:rsidR="00385BDC" w:rsidRPr="00152C0C">
        <w:rPr>
          <w:rFonts w:eastAsia="Times New Roman" w:cs="Microsoft Sans Serif"/>
          <w:bCs/>
        </w:rPr>
        <w:t>,</w:t>
      </w:r>
      <w:r w:rsidR="00BF5A19" w:rsidRPr="00152C0C">
        <w:rPr>
          <w:rFonts w:eastAsia="Times New Roman" w:cs="Microsoft Sans Serif"/>
          <w:bCs/>
        </w:rPr>
        <w:t xml:space="preserve"> </w:t>
      </w:r>
      <w:r w:rsidR="00385BDC" w:rsidRPr="00152C0C">
        <w:rPr>
          <w:rFonts w:eastAsia="Times New Roman" w:cs="Microsoft Sans Serif"/>
          <w:bCs/>
        </w:rPr>
        <w:t xml:space="preserve">es referente a una manifestación de su parte en la cual </w:t>
      </w:r>
      <w:r w:rsidR="00BF5A19" w:rsidRPr="00152C0C">
        <w:rPr>
          <w:rFonts w:eastAsia="Times New Roman" w:cs="Microsoft Sans Serif"/>
          <w:bCs/>
        </w:rPr>
        <w:t xml:space="preserve">advierte que </w:t>
      </w:r>
      <w:r w:rsidR="00385BDC" w:rsidRPr="00152C0C">
        <w:rPr>
          <w:rFonts w:eastAsia="Times New Roman" w:cs="Microsoft Sans Serif"/>
          <w:bCs/>
        </w:rPr>
        <w:t xml:space="preserve">dado a que </w:t>
      </w:r>
      <w:r w:rsidR="00BF5A19" w:rsidRPr="00152C0C">
        <w:rPr>
          <w:rFonts w:eastAsia="Times New Roman" w:cs="Microsoft Sans Serif"/>
          <w:bCs/>
        </w:rPr>
        <w:t xml:space="preserve">durante todo el proceso no se logró establecer comunicación con </w:t>
      </w:r>
      <w:r w:rsidR="0039537B" w:rsidRPr="00152C0C">
        <w:rPr>
          <w:rFonts w:eastAsia="Times New Roman" w:cs="Microsoft Sans Serif"/>
          <w:bCs/>
        </w:rPr>
        <w:t>los</w:t>
      </w:r>
      <w:r w:rsidR="00BF5A19" w:rsidRPr="00152C0C">
        <w:rPr>
          <w:rFonts w:eastAsia="Times New Roman" w:cs="Microsoft Sans Serif"/>
          <w:bCs/>
        </w:rPr>
        <w:t xml:space="preserve"> </w:t>
      </w:r>
      <w:r w:rsidR="0039537B" w:rsidRPr="00152C0C">
        <w:rPr>
          <w:rFonts w:eastAsia="Times New Roman" w:cs="Microsoft Sans Serif"/>
          <w:bCs/>
        </w:rPr>
        <w:t>procesados</w:t>
      </w:r>
      <w:r w:rsidR="00385BDC" w:rsidRPr="00152C0C">
        <w:rPr>
          <w:rFonts w:eastAsia="Times New Roman" w:cs="Microsoft Sans Serif"/>
          <w:bCs/>
        </w:rPr>
        <w:t>,</w:t>
      </w:r>
      <w:r w:rsidR="0039537B" w:rsidRPr="00152C0C">
        <w:rPr>
          <w:rFonts w:eastAsia="Times New Roman" w:cs="Microsoft Sans Serif"/>
          <w:bCs/>
        </w:rPr>
        <w:t xml:space="preserve"> </w:t>
      </w:r>
      <w:r w:rsidR="00385BDC" w:rsidRPr="00152C0C">
        <w:rPr>
          <w:rFonts w:eastAsia="Times New Roman" w:cs="Microsoft Sans Serif"/>
          <w:bCs/>
        </w:rPr>
        <w:t>resultó</w:t>
      </w:r>
      <w:r w:rsidR="00BF5A19" w:rsidRPr="00152C0C">
        <w:rPr>
          <w:rFonts w:eastAsia="Times New Roman" w:cs="Microsoft Sans Serif"/>
          <w:bCs/>
        </w:rPr>
        <w:t xml:space="preserve"> ser </w:t>
      </w:r>
      <w:r w:rsidR="00385BDC" w:rsidRPr="00152C0C">
        <w:rPr>
          <w:rFonts w:eastAsia="Times New Roman" w:cs="Microsoft Sans Serif"/>
          <w:bCs/>
        </w:rPr>
        <w:t xml:space="preserve">esto </w:t>
      </w:r>
      <w:r w:rsidR="00BF5A19" w:rsidRPr="00152C0C">
        <w:rPr>
          <w:rFonts w:eastAsia="Times New Roman" w:cs="Microsoft Sans Serif"/>
          <w:bCs/>
        </w:rPr>
        <w:t xml:space="preserve">un impedimento </w:t>
      </w:r>
      <w:r w:rsidR="0039537B" w:rsidRPr="00152C0C">
        <w:rPr>
          <w:rFonts w:eastAsia="Times New Roman" w:cs="Microsoft Sans Serif"/>
          <w:bCs/>
        </w:rPr>
        <w:t>para</w:t>
      </w:r>
      <w:r w:rsidR="00BF5A19" w:rsidRPr="00152C0C">
        <w:rPr>
          <w:rFonts w:eastAsia="Times New Roman" w:cs="Microsoft Sans Serif"/>
          <w:bCs/>
        </w:rPr>
        <w:t xml:space="preserve"> </w:t>
      </w:r>
      <w:r w:rsidR="0039537B" w:rsidRPr="00152C0C">
        <w:rPr>
          <w:rFonts w:eastAsia="Times New Roman" w:cs="Microsoft Sans Serif"/>
          <w:bCs/>
        </w:rPr>
        <w:t>que</w:t>
      </w:r>
      <w:r w:rsidR="00BF5A19" w:rsidRPr="00152C0C">
        <w:rPr>
          <w:rFonts w:eastAsia="Times New Roman" w:cs="Microsoft Sans Serif"/>
          <w:bCs/>
        </w:rPr>
        <w:t xml:space="preserve"> estas perso</w:t>
      </w:r>
      <w:r w:rsidR="00385BDC" w:rsidRPr="00152C0C">
        <w:rPr>
          <w:rFonts w:eastAsia="Times New Roman" w:cs="Microsoft Sans Serif"/>
          <w:bCs/>
        </w:rPr>
        <w:t>nas indemnizaran a sus víctimas.</w:t>
      </w:r>
    </w:p>
    <w:p w:rsidR="00385BDC" w:rsidRPr="00152C0C" w:rsidRDefault="00385BDC" w:rsidP="007951D5">
      <w:pPr>
        <w:tabs>
          <w:tab w:val="center" w:pos="4539"/>
          <w:tab w:val="left" w:pos="6439"/>
        </w:tabs>
        <w:spacing w:line="276" w:lineRule="auto"/>
        <w:jc w:val="both"/>
        <w:rPr>
          <w:rFonts w:eastAsia="Times New Roman" w:cs="Microsoft Sans Serif"/>
          <w:bCs/>
        </w:rPr>
      </w:pPr>
    </w:p>
    <w:p w:rsidR="00F359A4" w:rsidRPr="00152C0C" w:rsidRDefault="00F359A4" w:rsidP="007951D5">
      <w:pPr>
        <w:tabs>
          <w:tab w:val="center" w:pos="4539"/>
          <w:tab w:val="left" w:pos="6439"/>
        </w:tabs>
        <w:spacing w:line="276" w:lineRule="auto"/>
        <w:jc w:val="both"/>
        <w:rPr>
          <w:rFonts w:eastAsia="Times New Roman" w:cs="Microsoft Sans Serif"/>
        </w:rPr>
      </w:pPr>
      <w:r w:rsidRPr="00152C0C">
        <w:rPr>
          <w:rFonts w:eastAsia="Times New Roman" w:cs="Microsoft Sans Serif"/>
        </w:rPr>
        <w:t>Con base en los anteriores argument</w:t>
      </w:r>
      <w:r w:rsidR="00385BDC" w:rsidRPr="00152C0C">
        <w:rPr>
          <w:rFonts w:eastAsia="Times New Roman" w:cs="Microsoft Sans Serif"/>
        </w:rPr>
        <w:t xml:space="preserve">os, el </w:t>
      </w:r>
      <w:r w:rsidR="007B489D" w:rsidRPr="00152C0C">
        <w:rPr>
          <w:rFonts w:eastAsia="Times New Roman" w:cs="Microsoft Sans Serif"/>
        </w:rPr>
        <w:t>libelista</w:t>
      </w:r>
      <w:r w:rsidR="00385BDC" w:rsidRPr="00152C0C">
        <w:rPr>
          <w:rFonts w:eastAsia="Times New Roman" w:cs="Microsoft Sans Serif"/>
        </w:rPr>
        <w:t xml:space="preserve"> solicitó</w:t>
      </w:r>
      <w:r w:rsidR="00105601" w:rsidRPr="00152C0C">
        <w:rPr>
          <w:rFonts w:eastAsia="Times New Roman" w:cs="Microsoft Sans Serif"/>
        </w:rPr>
        <w:t xml:space="preserve"> la</w:t>
      </w:r>
      <w:r w:rsidR="00E0450F" w:rsidRPr="00152C0C">
        <w:rPr>
          <w:rFonts w:eastAsia="Times New Roman" w:cs="Microsoft Sans Serif"/>
        </w:rPr>
        <w:t xml:space="preserve"> modificación del fallo opugnado</w:t>
      </w:r>
      <w:r w:rsidR="00105601" w:rsidRPr="00152C0C">
        <w:rPr>
          <w:rFonts w:eastAsia="Times New Roman" w:cs="Microsoft Sans Serif"/>
        </w:rPr>
        <w:t>, en el sentido que se redosifiquen las penas imp</w:t>
      </w:r>
      <w:r w:rsidR="006F3A54" w:rsidRPr="00152C0C">
        <w:rPr>
          <w:rFonts w:eastAsia="Times New Roman" w:cs="Microsoft Sans Serif"/>
        </w:rPr>
        <w:t>uestas en contra de los Procesados</w:t>
      </w:r>
      <w:r w:rsidR="00105601" w:rsidRPr="00152C0C">
        <w:rPr>
          <w:rFonts w:eastAsia="Times New Roman" w:cs="Microsoft Sans Serif"/>
        </w:rPr>
        <w:t xml:space="preserve"> </w:t>
      </w:r>
      <w:r w:rsidR="00856ECB" w:rsidRPr="00152C0C">
        <w:rPr>
          <w:rFonts w:eastAsia="Times New Roman" w:cs="Microsoft Sans Serif"/>
        </w:rPr>
        <w:t>c</w:t>
      </w:r>
      <w:r w:rsidR="00105601" w:rsidRPr="00152C0C">
        <w:rPr>
          <w:rFonts w:eastAsia="Times New Roman" w:cs="Microsoft Sans Serif"/>
        </w:rPr>
        <w:t xml:space="preserve">on base en los descuentos punitivos que para el allanamiento a </w:t>
      </w:r>
      <w:r w:rsidR="00CA03E4" w:rsidRPr="00152C0C">
        <w:rPr>
          <w:rFonts w:eastAsia="Times New Roman" w:cs="Microsoft Sans Serif"/>
        </w:rPr>
        <w:t xml:space="preserve">cargos </w:t>
      </w:r>
      <w:r w:rsidR="00105601" w:rsidRPr="00152C0C">
        <w:rPr>
          <w:rFonts w:eastAsia="Times New Roman" w:cs="Microsoft Sans Serif"/>
        </w:rPr>
        <w:t>consagra</w:t>
      </w:r>
      <w:r w:rsidR="00385BDC" w:rsidRPr="00152C0C">
        <w:rPr>
          <w:rFonts w:eastAsia="Times New Roman" w:cs="Microsoft Sans Serif"/>
        </w:rPr>
        <w:t xml:space="preserve"> la ley 1826 de 2</w:t>
      </w:r>
      <w:r w:rsidR="00105601" w:rsidRPr="00152C0C">
        <w:rPr>
          <w:rFonts w:eastAsia="Times New Roman" w:cs="Microsoft Sans Serif"/>
        </w:rPr>
        <w:t>017.</w:t>
      </w:r>
      <w:r w:rsidRPr="00152C0C">
        <w:rPr>
          <w:rFonts w:eastAsia="Times New Roman" w:cs="Microsoft Sans Serif"/>
        </w:rPr>
        <w:t xml:space="preserve"> </w:t>
      </w:r>
    </w:p>
    <w:p w:rsidR="00856ECB" w:rsidRPr="00152C0C" w:rsidRDefault="00856ECB" w:rsidP="00B52A33">
      <w:pPr>
        <w:tabs>
          <w:tab w:val="center" w:pos="4539"/>
          <w:tab w:val="left" w:pos="6439"/>
        </w:tabs>
        <w:spacing w:line="360" w:lineRule="auto"/>
        <w:jc w:val="both"/>
        <w:rPr>
          <w:rFonts w:eastAsia="Times New Roman" w:cs="Microsoft Sans Serif"/>
        </w:rPr>
      </w:pPr>
    </w:p>
    <w:p w:rsidR="00F359A4" w:rsidRPr="00152C0C" w:rsidRDefault="00F359A4" w:rsidP="00B52A33">
      <w:pPr>
        <w:jc w:val="center"/>
        <w:rPr>
          <w:rFonts w:eastAsia="Times New Roman" w:cs="Microsoft Sans Serif"/>
        </w:rPr>
      </w:pPr>
      <w:r w:rsidRPr="00152C0C">
        <w:rPr>
          <w:rFonts w:eastAsia="Times New Roman" w:cs="Microsoft Sans Serif"/>
          <w:b/>
          <w:bCs/>
        </w:rPr>
        <w:t>PARA RESOLVER SE CONSIDERA:</w:t>
      </w:r>
    </w:p>
    <w:p w:rsidR="0089627F" w:rsidRPr="00152C0C" w:rsidRDefault="0089627F" w:rsidP="00B52A33">
      <w:pPr>
        <w:rPr>
          <w:rFonts w:eastAsia="Times New Roman" w:cs="Microsoft Sans Serif"/>
        </w:rPr>
      </w:pPr>
    </w:p>
    <w:p w:rsidR="00F359A4" w:rsidRPr="00152C0C" w:rsidRDefault="00F359A4" w:rsidP="00B52A33">
      <w:pPr>
        <w:jc w:val="both"/>
        <w:rPr>
          <w:rFonts w:eastAsia="Times New Roman" w:cs="Microsoft Sans Serif"/>
          <w:b/>
          <w:bCs/>
        </w:rPr>
      </w:pPr>
      <w:r w:rsidRPr="00152C0C">
        <w:rPr>
          <w:rFonts w:eastAsia="Times New Roman" w:cs="Microsoft Sans Serif"/>
          <w:b/>
          <w:bCs/>
        </w:rPr>
        <w:t>- Competencia:</w:t>
      </w:r>
    </w:p>
    <w:p w:rsidR="00F359A4" w:rsidRPr="00152C0C" w:rsidRDefault="00F359A4" w:rsidP="00B52A33">
      <w:pPr>
        <w:jc w:val="both"/>
        <w:rPr>
          <w:rFonts w:eastAsia="Times New Roman" w:cs="Microsoft Sans Serif"/>
          <w:b/>
          <w:bCs/>
        </w:rPr>
      </w:pPr>
    </w:p>
    <w:p w:rsidR="00F359A4" w:rsidRPr="00152C0C" w:rsidRDefault="00F359A4" w:rsidP="007951D5">
      <w:pPr>
        <w:spacing w:line="276" w:lineRule="auto"/>
        <w:jc w:val="both"/>
        <w:rPr>
          <w:rFonts w:eastAsia="Times New Roman" w:cs="Microsoft Sans Serif"/>
        </w:rPr>
      </w:pPr>
      <w:r w:rsidRPr="00152C0C">
        <w:rPr>
          <w:rFonts w:eastAsia="Times New Roman" w:cs="Microsoft Sans Serif"/>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w:t>
      </w:r>
      <w:r w:rsidR="002C1692" w:rsidRPr="00152C0C">
        <w:rPr>
          <w:rFonts w:eastAsia="Times New Roman" w:cs="Microsoft Sans Serif"/>
        </w:rPr>
        <w:t xml:space="preserve">Municipal </w:t>
      </w:r>
      <w:r w:rsidRPr="00152C0C">
        <w:rPr>
          <w:rFonts w:eastAsia="Times New Roman" w:cs="Microsoft Sans Serif"/>
        </w:rPr>
        <w:t>que hace parte de uno de los Circuitos que integran este Distrito Judicial.</w:t>
      </w:r>
    </w:p>
    <w:p w:rsidR="00F359A4" w:rsidRPr="00152C0C" w:rsidRDefault="00F359A4" w:rsidP="007951D5">
      <w:pPr>
        <w:spacing w:line="276" w:lineRule="auto"/>
        <w:jc w:val="both"/>
        <w:rPr>
          <w:rFonts w:eastAsia="Times New Roman" w:cs="Microsoft Sans Serif"/>
        </w:rPr>
      </w:pPr>
    </w:p>
    <w:p w:rsidR="00F359A4" w:rsidRPr="00152C0C" w:rsidRDefault="00F359A4" w:rsidP="007951D5">
      <w:pPr>
        <w:spacing w:line="276" w:lineRule="auto"/>
        <w:jc w:val="both"/>
        <w:rPr>
          <w:rFonts w:eastAsia="Times New Roman" w:cs="Microsoft Sans Serif"/>
        </w:rPr>
      </w:pPr>
      <w:r w:rsidRPr="00152C0C">
        <w:rPr>
          <w:rFonts w:eastAsia="Times New Roman" w:cs="Microsoft Sans Serif"/>
        </w:rPr>
        <w:lastRenderedPageBreak/>
        <w:t>De igual forma no se</w:t>
      </w:r>
      <w:r w:rsidR="00693501" w:rsidRPr="00152C0C">
        <w:rPr>
          <w:rFonts w:eastAsia="Times New Roman" w:cs="Microsoft Sans Serif"/>
        </w:rPr>
        <w:t xml:space="preserve"> avizora má</w:t>
      </w:r>
      <w:r w:rsidRPr="00152C0C">
        <w:rPr>
          <w:rFonts w:eastAsia="Times New Roman" w:cs="Microsoft Sans Serif"/>
        </w:rPr>
        <w:t>cula que de alguna u otra forma haya generado una irregularidad sustancia</w:t>
      </w:r>
      <w:r w:rsidR="000B5078" w:rsidRPr="00152C0C">
        <w:rPr>
          <w:rFonts w:eastAsia="Times New Roman" w:cs="Microsoft Sans Serif"/>
        </w:rPr>
        <w:t>l</w:t>
      </w:r>
      <w:r w:rsidRPr="00152C0C">
        <w:rPr>
          <w:rFonts w:eastAsia="Times New Roman" w:cs="Microsoft Sans Serif"/>
        </w:rPr>
        <w:t xml:space="preserve"> que incida en la nulidad de la actuación procesal.</w:t>
      </w:r>
    </w:p>
    <w:p w:rsidR="00644377" w:rsidRPr="00152C0C" w:rsidRDefault="00644377" w:rsidP="00B52A33">
      <w:pPr>
        <w:spacing w:line="360" w:lineRule="auto"/>
        <w:jc w:val="both"/>
        <w:rPr>
          <w:rFonts w:eastAsia="Times New Roman" w:cs="Microsoft Sans Serif"/>
        </w:rPr>
      </w:pPr>
    </w:p>
    <w:p w:rsidR="00F359A4" w:rsidRPr="00152C0C" w:rsidRDefault="00F359A4" w:rsidP="00B52A33">
      <w:pPr>
        <w:jc w:val="both"/>
        <w:rPr>
          <w:rFonts w:eastAsia="Times New Roman" w:cs="Microsoft Sans Serif"/>
        </w:rPr>
      </w:pPr>
      <w:r w:rsidRPr="00152C0C">
        <w:rPr>
          <w:rFonts w:eastAsia="Times New Roman" w:cs="Microsoft Sans Serif"/>
          <w:b/>
          <w:bCs/>
        </w:rPr>
        <w:t>- Problema Jurídico:</w:t>
      </w:r>
    </w:p>
    <w:p w:rsidR="00F359A4" w:rsidRPr="00152C0C" w:rsidRDefault="00F359A4" w:rsidP="00B52A33">
      <w:pPr>
        <w:jc w:val="both"/>
        <w:rPr>
          <w:rFonts w:eastAsia="Times New Roman" w:cs="Microsoft Sans Serif"/>
        </w:rPr>
      </w:pPr>
    </w:p>
    <w:p w:rsidR="00F359A4" w:rsidRPr="00152C0C" w:rsidRDefault="00F359A4" w:rsidP="007951D5">
      <w:pPr>
        <w:spacing w:line="276" w:lineRule="auto"/>
        <w:jc w:val="both"/>
        <w:rPr>
          <w:rFonts w:eastAsia="Times New Roman" w:cs="Microsoft Sans Serif"/>
        </w:rPr>
      </w:pPr>
      <w:r w:rsidRPr="00152C0C">
        <w:rPr>
          <w:rFonts w:eastAsia="Times New Roman" w:cs="Microsoft Sans Serif"/>
        </w:rPr>
        <w:t xml:space="preserve">Acorde con los argumentos del disenso propuestos por </w:t>
      </w:r>
      <w:r w:rsidR="006B2F8C" w:rsidRPr="00152C0C">
        <w:rPr>
          <w:rFonts w:eastAsia="Times New Roman" w:cs="Microsoft Sans Serif"/>
        </w:rPr>
        <w:t>el R</w:t>
      </w:r>
      <w:r w:rsidRPr="00152C0C">
        <w:rPr>
          <w:rFonts w:eastAsia="Times New Roman" w:cs="Microsoft Sans Serif"/>
        </w:rPr>
        <w:t>ecurrente en la Alzada, considera la Sala</w:t>
      </w:r>
      <w:r w:rsidR="00CA03E4" w:rsidRPr="00152C0C">
        <w:rPr>
          <w:rFonts w:eastAsia="Times New Roman" w:cs="Microsoft Sans Serif"/>
        </w:rPr>
        <w:t xml:space="preserve"> que de los mismos se desprende</w:t>
      </w:r>
      <w:r w:rsidRPr="00152C0C">
        <w:rPr>
          <w:rFonts w:eastAsia="Times New Roman" w:cs="Microsoft Sans Serif"/>
        </w:rPr>
        <w:t xml:space="preserve"> el siguiente problema jurídico:</w:t>
      </w:r>
    </w:p>
    <w:p w:rsidR="00F359A4" w:rsidRPr="00152C0C" w:rsidRDefault="00F359A4" w:rsidP="007951D5">
      <w:pPr>
        <w:spacing w:line="276" w:lineRule="auto"/>
        <w:jc w:val="both"/>
        <w:rPr>
          <w:rFonts w:eastAsia="Times New Roman" w:cs="Microsoft Sans Serif"/>
        </w:rPr>
      </w:pPr>
    </w:p>
    <w:p w:rsidR="00027476" w:rsidRPr="00152C0C" w:rsidRDefault="00F359A4" w:rsidP="007951D5">
      <w:pPr>
        <w:spacing w:line="276" w:lineRule="auto"/>
        <w:jc w:val="both"/>
        <w:rPr>
          <w:rFonts w:eastAsia="Times New Roman" w:cs="Microsoft Sans Serif"/>
        </w:rPr>
      </w:pPr>
      <w:r w:rsidRPr="00152C0C">
        <w:rPr>
          <w:rFonts w:eastAsia="Times New Roman" w:cs="Microsoft Sans Serif"/>
        </w:rPr>
        <w:t>¿</w:t>
      </w:r>
      <w:r w:rsidR="0003082E" w:rsidRPr="00152C0C">
        <w:rPr>
          <w:rFonts w:eastAsia="Times New Roman" w:cs="Microsoft Sans Serif"/>
        </w:rPr>
        <w:t xml:space="preserve">Resulta procedente, en aplicación del principio de favorabilidad, las disposiciones consagradas en la 1826 de 2017 que regulan un mayor porcentaje de los descuentos punitivos a los que los procesados se harían acreedores en caso de allanarse a cargo en los eventos de captura en flagrancia?  </w:t>
      </w:r>
    </w:p>
    <w:p w:rsidR="007B654A" w:rsidRPr="00152C0C" w:rsidRDefault="007B654A" w:rsidP="00B52A33">
      <w:pPr>
        <w:spacing w:line="360" w:lineRule="auto"/>
        <w:jc w:val="both"/>
        <w:rPr>
          <w:rFonts w:cs="Microsoft Sans Serif"/>
          <w:b/>
          <w:bCs/>
        </w:rPr>
      </w:pPr>
    </w:p>
    <w:p w:rsidR="006B2F8C" w:rsidRPr="00152C0C" w:rsidRDefault="00F359A4" w:rsidP="00B52A33">
      <w:pPr>
        <w:jc w:val="both"/>
        <w:rPr>
          <w:rFonts w:cs="Microsoft Sans Serif"/>
          <w:b/>
          <w:bCs/>
        </w:rPr>
      </w:pPr>
      <w:r w:rsidRPr="00152C0C">
        <w:rPr>
          <w:rFonts w:cs="Microsoft Sans Serif"/>
          <w:b/>
          <w:bCs/>
        </w:rPr>
        <w:t>- Solución:</w:t>
      </w:r>
      <w:r w:rsidR="00C15064" w:rsidRPr="00152C0C">
        <w:rPr>
          <w:rFonts w:cs="Microsoft Sans Serif"/>
          <w:bCs/>
        </w:rPr>
        <w:t xml:space="preserve"> </w:t>
      </w:r>
    </w:p>
    <w:p w:rsidR="003436FD" w:rsidRPr="00152C0C" w:rsidRDefault="003436FD" w:rsidP="00B52A33">
      <w:pPr>
        <w:jc w:val="both"/>
        <w:rPr>
          <w:rFonts w:cs="Microsoft Sans Serif"/>
          <w:b/>
          <w:bCs/>
        </w:rPr>
      </w:pPr>
    </w:p>
    <w:p w:rsidR="00C15064" w:rsidRPr="00152C0C" w:rsidRDefault="00C15064" w:rsidP="007951D5">
      <w:pPr>
        <w:spacing w:line="276" w:lineRule="auto"/>
        <w:jc w:val="both"/>
        <w:rPr>
          <w:bCs/>
        </w:rPr>
      </w:pPr>
      <w:r w:rsidRPr="00152C0C">
        <w:rPr>
          <w:rFonts w:cs="Microsoft Sans Serif"/>
          <w:bCs/>
        </w:rPr>
        <w:t xml:space="preserve">Teniendo en cuenta que el eje central de la tesis de la discrepancia propuesta por el apelante gira en torno a reclamar en favor de los Procesados de la aplicación de la ley 1.826 de 2017 como consecuencia del principio de la favorabilidad, a fin de ofrecerle una solución al problema jurídico propuesto por el apelante,  la Sala </w:t>
      </w:r>
      <w:r w:rsidRPr="00152C0C">
        <w:rPr>
          <w:bCs/>
        </w:rPr>
        <w:t>tendrá como hecho cierto e indudable el consistente en que como consecuencia de la promulgación y sanción de la ley # 1826 de 2017, entró en vigencia una nueva normativa procesal penal que cobijaría a ciertos delitos</w:t>
      </w:r>
      <w:r w:rsidRPr="00152C0C">
        <w:rPr>
          <w:rStyle w:val="Refdenotaalpie"/>
          <w:rFonts w:asciiTheme="minorHAnsi" w:hAnsiTheme="minorHAnsi" w:cs="Verdana"/>
          <w:bCs/>
        </w:rPr>
        <w:footnoteReference w:id="2"/>
      </w:r>
      <w:r w:rsidRPr="00152C0C">
        <w:rPr>
          <w:bCs/>
        </w:rPr>
        <w:t xml:space="preserve">, </w:t>
      </w:r>
      <w:r w:rsidR="00A900DB" w:rsidRPr="00152C0C">
        <w:rPr>
          <w:bCs/>
        </w:rPr>
        <w:t xml:space="preserve">entre los que se encuentra el reato por el que los Procesados se allanaron a los cargos, </w:t>
      </w:r>
      <w:r w:rsidRPr="00152C0C">
        <w:rPr>
          <w:bCs/>
        </w:rPr>
        <w:t>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C15064" w:rsidRPr="00152C0C" w:rsidRDefault="00C15064" w:rsidP="007951D5">
      <w:pPr>
        <w:pStyle w:val="Sinespaciado"/>
        <w:spacing w:line="276" w:lineRule="auto"/>
        <w:jc w:val="both"/>
        <w:rPr>
          <w:bCs/>
        </w:rPr>
      </w:pPr>
    </w:p>
    <w:p w:rsidR="00C15064" w:rsidRPr="00152C0C" w:rsidRDefault="00C15064" w:rsidP="007951D5">
      <w:pPr>
        <w:pStyle w:val="Sinespaciado"/>
        <w:spacing w:line="276" w:lineRule="auto"/>
        <w:jc w:val="both"/>
        <w:rPr>
          <w:bCs/>
        </w:rPr>
      </w:pPr>
      <w:r w:rsidRPr="00152C0C">
        <w:rPr>
          <w:bCs/>
        </w:rPr>
        <w:t xml:space="preserve">De igual forma, no se puede pasar desapercibido que en materia de terminación anticipada de los procesos, dicha normativa también consagró la figura del allanamiento a </w:t>
      </w:r>
      <w:r w:rsidRPr="00152C0C">
        <w:rPr>
          <w:bCs/>
        </w:rPr>
        <w:lastRenderedPageBreak/>
        <w:t>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w:t>
      </w:r>
      <w:r w:rsidRPr="00152C0C">
        <w:rPr>
          <w:bCs/>
          <w:i/>
        </w:rPr>
        <w:t>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152C0C">
        <w:rPr>
          <w:rStyle w:val="Refdenotaalpie"/>
          <w:rFonts w:asciiTheme="minorHAnsi" w:hAnsiTheme="minorHAnsi" w:cs="Verdana"/>
          <w:bCs/>
          <w:i/>
        </w:rPr>
        <w:footnoteReference w:id="3"/>
      </w:r>
      <w:r w:rsidRPr="00152C0C">
        <w:rPr>
          <w:bCs/>
          <w:i/>
        </w:rPr>
        <w:t>.</w:t>
      </w:r>
    </w:p>
    <w:p w:rsidR="00C15064" w:rsidRPr="00152C0C" w:rsidRDefault="00C15064" w:rsidP="007951D5">
      <w:pPr>
        <w:pStyle w:val="Sinespaciado"/>
        <w:spacing w:line="276" w:lineRule="auto"/>
        <w:jc w:val="both"/>
        <w:rPr>
          <w:bCs/>
        </w:rPr>
      </w:pPr>
    </w:p>
    <w:p w:rsidR="00C15064" w:rsidRPr="00152C0C" w:rsidRDefault="00C15064" w:rsidP="007951D5">
      <w:pPr>
        <w:pStyle w:val="Sinespaciado"/>
        <w:spacing w:line="276" w:lineRule="auto"/>
        <w:jc w:val="both"/>
        <w:rPr>
          <w:bCs/>
        </w:rPr>
      </w:pPr>
      <w:r w:rsidRPr="00152C0C">
        <w:rPr>
          <w:bCs/>
        </w:rPr>
        <w:t>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C.P.P. corresponden a una cuarta parte de los descuentos por allanamientos a cargo, no sería necesario llevar a cabo un gran esfuerzo intelectivo para colegir que las disposiciones</w:t>
      </w:r>
      <w:r w:rsidRPr="00152C0C">
        <w:t xml:space="preserve"> de </w:t>
      </w:r>
      <w:r w:rsidRPr="00152C0C">
        <w:rPr>
          <w:bCs/>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152C0C">
        <w:rPr>
          <w:rStyle w:val="Refdenotaalpie"/>
          <w:rFonts w:asciiTheme="minorHAnsi" w:hAnsiTheme="minorHAnsi" w:cs="Verdana"/>
          <w:bCs/>
        </w:rPr>
        <w:footnoteReference w:id="4"/>
      </w:r>
      <w:r w:rsidRPr="00152C0C">
        <w:rPr>
          <w:bCs/>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C15064" w:rsidRPr="00152C0C" w:rsidRDefault="00C15064" w:rsidP="007951D5">
      <w:pPr>
        <w:pStyle w:val="Sinespaciado"/>
        <w:spacing w:line="276" w:lineRule="auto"/>
        <w:jc w:val="both"/>
        <w:rPr>
          <w:bCs/>
        </w:rPr>
      </w:pPr>
    </w:p>
    <w:p w:rsidR="00C15064" w:rsidRPr="00152C0C" w:rsidRDefault="00A900DB" w:rsidP="007951D5">
      <w:pPr>
        <w:pStyle w:val="Sinespaciado"/>
        <w:spacing w:line="276" w:lineRule="auto"/>
        <w:jc w:val="both"/>
        <w:rPr>
          <w:bCs/>
        </w:rPr>
      </w:pPr>
      <w:r w:rsidRPr="00152C0C">
        <w:rPr>
          <w:bCs/>
        </w:rPr>
        <w:lastRenderedPageBreak/>
        <w:t xml:space="preserve">Siendo </w:t>
      </w:r>
      <w:r w:rsidR="00C774CF" w:rsidRPr="00152C0C">
        <w:rPr>
          <w:bCs/>
        </w:rPr>
        <w:t>así</w:t>
      </w:r>
      <w:r w:rsidRPr="00152C0C">
        <w:rPr>
          <w:bCs/>
        </w:rPr>
        <w:t xml:space="preserve"> las cosas, la Colegiatura concluye que le asiste la razón al apelante, porque en efecto, </w:t>
      </w:r>
      <w:r w:rsidR="00C15064" w:rsidRPr="00152C0C">
        <w:rPr>
          <w:bCs/>
        </w:rPr>
        <w:t xml:space="preserve">la ley # 1826 de 2.017, por ser una normativa posterior y más benéfica para los intereses de los procesados, acorde con lo establecido en el artículo 29 de la Carta, en consonancia con lo reglado por el inciso 3º del artículo 6º C.P. el inciso 2º del artículo 6º C.P.P. y el artículo 44 de la ley 153 de 1.887, sería la llamada a regir el </w:t>
      </w:r>
      <w:r w:rsidR="00C15064" w:rsidRPr="00152C0C">
        <w:rPr>
          <w:bCs/>
          <w:i/>
        </w:rPr>
        <w:t>subexamine,</w:t>
      </w:r>
      <w:r w:rsidR="00C15064" w:rsidRPr="00152C0C">
        <w:rPr>
          <w:bCs/>
        </w:rPr>
        <w:t xml:space="preserve"> </w:t>
      </w:r>
      <w:r w:rsidRPr="00152C0C">
        <w:rPr>
          <w:bCs/>
        </w:rPr>
        <w:t xml:space="preserve">ya que el delito por el que los Procesados se allanaron a los cargos se encuentra dentro del listado de reatos susceptibles del procedimiento abreviado especial, </w:t>
      </w:r>
      <w:r w:rsidR="00C15064" w:rsidRPr="00152C0C">
        <w:rPr>
          <w:bCs/>
        </w:rPr>
        <w:t xml:space="preserve">y como consecuencia de la aplicación del principio de la favorabilidad tendría efectos retroactivos, </w:t>
      </w:r>
      <w:r w:rsidRPr="00152C0C">
        <w:rPr>
          <w:bCs/>
        </w:rPr>
        <w:t xml:space="preserve">y </w:t>
      </w:r>
      <w:r w:rsidR="00C15064" w:rsidRPr="00152C0C">
        <w:rPr>
          <w:bCs/>
        </w:rPr>
        <w:t xml:space="preserve">en tal virtud válidamente puede regular y modificar situaciones jurídicas que existían antes de su entrada en vigencia. </w:t>
      </w:r>
    </w:p>
    <w:p w:rsidR="00A900DB" w:rsidRPr="00152C0C" w:rsidRDefault="00A900DB" w:rsidP="007951D5">
      <w:pPr>
        <w:pStyle w:val="Sinespaciado"/>
        <w:spacing w:line="276" w:lineRule="auto"/>
        <w:jc w:val="both"/>
        <w:rPr>
          <w:bCs/>
        </w:rPr>
      </w:pPr>
    </w:p>
    <w:p w:rsidR="00A37D35" w:rsidRPr="00152C0C" w:rsidRDefault="00A900DB" w:rsidP="007951D5">
      <w:pPr>
        <w:pStyle w:val="Sinespaciado"/>
        <w:spacing w:line="276" w:lineRule="auto"/>
        <w:jc w:val="both"/>
        <w:rPr>
          <w:bCs/>
        </w:rPr>
      </w:pPr>
      <w:r w:rsidRPr="00152C0C">
        <w:rPr>
          <w:bCs/>
        </w:rPr>
        <w:t>Estando claro que en virtud del principio de favorabilidad los Procesados son destinatarios del monto de los descuentos punitivos consagrados por la</w:t>
      </w:r>
      <w:r w:rsidRPr="00152C0C">
        <w:t xml:space="preserve"> </w:t>
      </w:r>
      <w:r w:rsidRPr="00152C0C">
        <w:rPr>
          <w:bCs/>
        </w:rPr>
        <w:t xml:space="preserve">ley # 1826 de 2.017 para quienes se allanen a los cargos en los eventos de captura en flagrancia, el tópico que ahora nos </w:t>
      </w:r>
      <w:r w:rsidR="00A37D35" w:rsidRPr="00152C0C">
        <w:rPr>
          <w:bCs/>
        </w:rPr>
        <w:t>tocaría</w:t>
      </w:r>
      <w:r w:rsidRPr="00152C0C">
        <w:rPr>
          <w:bCs/>
        </w:rPr>
        <w:t xml:space="preserve"> </w:t>
      </w:r>
      <w:r w:rsidR="00A37D35" w:rsidRPr="00152C0C">
        <w:rPr>
          <w:bCs/>
        </w:rPr>
        <w:t xml:space="preserve">por </w:t>
      </w:r>
      <w:r w:rsidRPr="00152C0C">
        <w:rPr>
          <w:bCs/>
        </w:rPr>
        <w:t>es</w:t>
      </w:r>
      <w:r w:rsidR="00A37D35" w:rsidRPr="00152C0C">
        <w:rPr>
          <w:bCs/>
        </w:rPr>
        <w:t>clarecer</w:t>
      </w:r>
      <w:r w:rsidRPr="00152C0C">
        <w:rPr>
          <w:bCs/>
        </w:rPr>
        <w:t xml:space="preserve"> es</w:t>
      </w:r>
      <w:r w:rsidR="00A37D35" w:rsidRPr="00152C0C">
        <w:rPr>
          <w:bCs/>
        </w:rPr>
        <w:t xml:space="preserve"> si para la procedencia de dicha modalidad de terminación an</w:t>
      </w:r>
      <w:r w:rsidR="007951D5" w:rsidRPr="00152C0C">
        <w:rPr>
          <w:bCs/>
        </w:rPr>
        <w:t>ticipada de los procesos</w:t>
      </w:r>
      <w:r w:rsidR="00A37D35" w:rsidRPr="00152C0C">
        <w:rPr>
          <w:bCs/>
        </w:rPr>
        <w:t>, los acriminados deben cumplir con las exigencias del artículo 349 C.P.P. el cual requiere, como condicionamiento para la procedencia de los descuentos punitivos, que el Procesado reintegre al menos el 50% del incremento patrimonial percibido</w:t>
      </w:r>
      <w:r w:rsidR="007951D5" w:rsidRPr="00152C0C">
        <w:rPr>
          <w:rStyle w:val="Refdenotaalpie"/>
          <w:rFonts w:asciiTheme="minorHAnsi" w:hAnsiTheme="minorHAnsi"/>
          <w:bCs/>
        </w:rPr>
        <w:footnoteReference w:id="5"/>
      </w:r>
      <w:r w:rsidR="00A37D35" w:rsidRPr="00152C0C">
        <w:rPr>
          <w:bCs/>
        </w:rPr>
        <w:t>.</w:t>
      </w:r>
    </w:p>
    <w:p w:rsidR="007951D5" w:rsidRPr="00152C0C" w:rsidRDefault="007951D5" w:rsidP="007951D5">
      <w:pPr>
        <w:pStyle w:val="Sinespaciado"/>
        <w:spacing w:line="276" w:lineRule="auto"/>
        <w:jc w:val="both"/>
        <w:rPr>
          <w:bCs/>
        </w:rPr>
      </w:pPr>
    </w:p>
    <w:p w:rsidR="00546A08" w:rsidRPr="00152C0C" w:rsidRDefault="00A37D35" w:rsidP="007951D5">
      <w:pPr>
        <w:pStyle w:val="Sinespaciado"/>
        <w:spacing w:line="276" w:lineRule="auto"/>
        <w:jc w:val="both"/>
        <w:rPr>
          <w:bCs/>
        </w:rPr>
      </w:pPr>
      <w:r w:rsidRPr="00152C0C">
        <w:rPr>
          <w:bCs/>
        </w:rPr>
        <w:t xml:space="preserve">Frente a lo anterior, la Sala dirá que en el presente asunto no tendría operancia las disposiciones consagradas en el aludido artículo 349 C.P.P. porque </w:t>
      </w:r>
      <w:r w:rsidR="00A900DB" w:rsidRPr="00152C0C">
        <w:rPr>
          <w:bCs/>
        </w:rPr>
        <w:t xml:space="preserve">acorde con la naturaleza del delito por el cual los </w:t>
      </w:r>
      <w:r w:rsidRPr="00152C0C">
        <w:rPr>
          <w:bCs/>
        </w:rPr>
        <w:t xml:space="preserve">encausados se allanaron a los cargos: tentativa hurto calificado agravado, es obvio que se </w:t>
      </w:r>
      <w:r w:rsidR="0066270D" w:rsidRPr="00152C0C">
        <w:rPr>
          <w:bCs/>
        </w:rPr>
        <w:t>está</w:t>
      </w:r>
      <w:r w:rsidRPr="00152C0C">
        <w:rPr>
          <w:bCs/>
        </w:rPr>
        <w:t xml:space="preserve"> en presencia de un delito frustrado que implicó que los Procesados </w:t>
      </w:r>
      <w:r w:rsidR="0066270D" w:rsidRPr="00152C0C">
        <w:rPr>
          <w:bCs/>
        </w:rPr>
        <w:t xml:space="preserve">en momento alguno </w:t>
      </w:r>
      <w:r w:rsidRPr="00152C0C">
        <w:rPr>
          <w:bCs/>
        </w:rPr>
        <w:t xml:space="preserve">obtuvieran </w:t>
      </w:r>
      <w:r w:rsidR="0066270D" w:rsidRPr="00152C0C">
        <w:rPr>
          <w:bCs/>
        </w:rPr>
        <w:t>ningún</w:t>
      </w:r>
      <w:r w:rsidRPr="00152C0C">
        <w:rPr>
          <w:bCs/>
        </w:rPr>
        <w:t xml:space="preserve"> tipo de incremento patrimonial como consecuencia de su comisión. </w:t>
      </w:r>
    </w:p>
    <w:p w:rsidR="0066270D" w:rsidRPr="00152C0C" w:rsidRDefault="0066270D" w:rsidP="007951D5">
      <w:pPr>
        <w:pStyle w:val="Sinespaciado"/>
        <w:spacing w:line="276" w:lineRule="auto"/>
        <w:jc w:val="both"/>
        <w:rPr>
          <w:bCs/>
        </w:rPr>
      </w:pPr>
    </w:p>
    <w:p w:rsidR="0066270D" w:rsidRPr="00152C0C" w:rsidRDefault="0066270D" w:rsidP="007951D5">
      <w:pPr>
        <w:pStyle w:val="Sinespaciado"/>
        <w:spacing w:line="276" w:lineRule="auto"/>
        <w:jc w:val="both"/>
        <w:rPr>
          <w:bCs/>
        </w:rPr>
      </w:pPr>
      <w:r w:rsidRPr="00152C0C">
        <w:rPr>
          <w:bCs/>
        </w:rPr>
        <w:lastRenderedPageBreak/>
        <w:t>Luego, al asistirle la razón a la tesis de la discrepancia propuesta por el apelante, la consecuencia es que se deba modificar el fallo opugnado en todo aquello que atañe con las penas impuestas a los Procesados, en especial en lo que corresponde con el monto de los descuentos punitivos del 12,5% que se le reconoció en favor de los acriminados por allanarse a los cargos en la audiencia de formulación de la imputación, los cuales</w:t>
      </w:r>
      <w:r w:rsidR="006846CE" w:rsidRPr="00152C0C">
        <w:rPr>
          <w:bCs/>
        </w:rPr>
        <w:t>,</w:t>
      </w:r>
      <w:r w:rsidRPr="00152C0C">
        <w:rPr>
          <w:bCs/>
        </w:rPr>
        <w:t xml:space="preserve"> como consecuencia del principio de favorabilidad que conllevó la aplicación de las disposiciones de la ley # 1826 de 2.017, oscilarían entre una tercera parte y hasta la mitad de la pena a imponer, como de vieja data lo ha reconocido la Corte en los siguientes términos: </w:t>
      </w:r>
    </w:p>
    <w:p w:rsidR="004A35E6" w:rsidRPr="00152C0C" w:rsidRDefault="0066270D" w:rsidP="007951D5">
      <w:pPr>
        <w:pStyle w:val="Sinespaciado"/>
        <w:spacing w:line="276" w:lineRule="auto"/>
        <w:jc w:val="both"/>
        <w:rPr>
          <w:bCs/>
        </w:rPr>
      </w:pPr>
      <w:r w:rsidRPr="00152C0C">
        <w:rPr>
          <w:bCs/>
        </w:rPr>
        <w:t xml:space="preserve"> </w:t>
      </w:r>
    </w:p>
    <w:p w:rsidR="004A35E6" w:rsidRPr="00152C0C" w:rsidRDefault="004A35E6" w:rsidP="00B52A33">
      <w:pPr>
        <w:ind w:left="567" w:right="1015"/>
        <w:jc w:val="both"/>
        <w:rPr>
          <w:bCs/>
          <w:sz w:val="24"/>
          <w:szCs w:val="24"/>
        </w:rPr>
      </w:pPr>
      <w:r w:rsidRPr="00152C0C">
        <w:rPr>
          <w:sz w:val="24"/>
          <w:szCs w:val="24"/>
          <w:shd w:val="clear" w:color="auto" w:fill="FFFFFF"/>
        </w:rPr>
        <w:t>“Ahora, aunque en la Ley 906 de 2004 no se establece el límite mínimo de la rebaja para cuando el allanamiento tiene lugar durante la audiencia de imputación o la preparatoria, una interpretación razonable del instituto permite afirmar que dichos extremos menores están determinados por el rango de mayor disminución punitiva prevista para la siguiente oportunidad procesal en que procede el </w:t>
      </w:r>
      <w:bookmarkStart w:id="1" w:name="CiTag12"/>
      <w:r w:rsidRPr="00152C0C">
        <w:rPr>
          <w:b/>
          <w:bCs/>
          <w:sz w:val="24"/>
          <w:szCs w:val="24"/>
          <w:shd w:val="clear" w:color="auto" w:fill="FFFFFF"/>
        </w:rPr>
        <w:t> </w:t>
      </w:r>
      <w:bookmarkEnd w:id="1"/>
      <w:r w:rsidRPr="00152C0C">
        <w:rPr>
          <w:sz w:val="24"/>
          <w:szCs w:val="24"/>
          <w:shd w:val="clear" w:color="auto" w:fill="FFFFFF"/>
        </w:rPr>
        <w:t>allanamiento  a la imputación. Es decir, de la tercera parte hasta la mitad de la pena cuando el allanamiento tiene lugar en la audiencia de formulación de imputación; de la sexta hasta la tercera parte de la pena cuando ocurre durante la audiencia preparatoria y de la sexta parte de la pena, cuando la aceptación se presenta al inicio del juicio oral.</w:t>
      </w:r>
      <w:r w:rsidRPr="00152C0C">
        <w:rPr>
          <w:sz w:val="24"/>
          <w:szCs w:val="24"/>
        </w:rPr>
        <w:br/>
      </w:r>
      <w:r w:rsidRPr="00152C0C">
        <w:rPr>
          <w:sz w:val="24"/>
          <w:szCs w:val="24"/>
        </w:rPr>
        <w:br/>
      </w:r>
      <w:r w:rsidRPr="00152C0C">
        <w:rPr>
          <w:sz w:val="24"/>
          <w:szCs w:val="24"/>
          <w:shd w:val="clear" w:color="auto" w:fill="FFFFFF"/>
        </w:rPr>
        <w:t>De conformidad con lo expuesto, si en los artículos 351 y 356 de la Ley 906 de 2004 no se establece una rebaja fija de la sanción para cuando el</w:t>
      </w:r>
      <w:bookmarkStart w:id="2" w:name="CiTag14"/>
      <w:r w:rsidRPr="00152C0C">
        <w:rPr>
          <w:b/>
          <w:bCs/>
          <w:sz w:val="24"/>
          <w:szCs w:val="24"/>
          <w:shd w:val="clear" w:color="auto" w:fill="FFFFFF"/>
        </w:rPr>
        <w:t> </w:t>
      </w:r>
      <w:bookmarkEnd w:id="2"/>
      <w:r w:rsidRPr="00152C0C">
        <w:rPr>
          <w:sz w:val="24"/>
          <w:szCs w:val="24"/>
          <w:shd w:val="clear" w:color="auto" w:fill="FFFFFF"/>
        </w:rPr>
        <w:t>allanamiento  a cargos se produce dentro de las audiencias de imputación y preparatoria – como sí ocurre cuando la aceptación de los cargos acontece en la iniciación del juicio, caso en el cual se descuenta de manera fija una sexta parte de la pena – sino que frente a las referidas situaciones se dispone una rebaja ponderada de “hasta de la mitad” de la pena para la primera y “hasta de la tercera parte” para la segunda, es razonable concluir que corresponde al fallador determinar la proporción en la cual rebajará la pena</w:t>
      </w:r>
      <w:r w:rsidR="00B52A33" w:rsidRPr="00152C0C">
        <w:rPr>
          <w:sz w:val="24"/>
          <w:szCs w:val="24"/>
          <w:shd w:val="clear" w:color="auto" w:fill="FFFFFF"/>
        </w:rPr>
        <w:t>…</w:t>
      </w:r>
      <w:r w:rsidRPr="00152C0C">
        <w:rPr>
          <w:sz w:val="24"/>
          <w:szCs w:val="24"/>
          <w:shd w:val="clear" w:color="auto" w:fill="FFFFFF"/>
        </w:rPr>
        <w:t>”</w:t>
      </w:r>
      <w:r w:rsidR="006846CE" w:rsidRPr="00152C0C">
        <w:rPr>
          <w:rStyle w:val="Refdenotaalpie"/>
          <w:sz w:val="24"/>
          <w:szCs w:val="24"/>
          <w:shd w:val="clear" w:color="auto" w:fill="FFFFFF"/>
        </w:rPr>
        <w:footnoteReference w:id="6"/>
      </w:r>
      <w:r w:rsidR="006846CE" w:rsidRPr="00152C0C">
        <w:rPr>
          <w:sz w:val="24"/>
          <w:szCs w:val="24"/>
          <w:shd w:val="clear" w:color="auto" w:fill="FFFFFF"/>
        </w:rPr>
        <w:t>.</w:t>
      </w:r>
    </w:p>
    <w:p w:rsidR="00E56933" w:rsidRPr="00152C0C" w:rsidRDefault="00E56933" w:rsidP="007951D5">
      <w:pPr>
        <w:spacing w:line="276" w:lineRule="auto"/>
        <w:jc w:val="both"/>
        <w:rPr>
          <w:bCs/>
          <w:sz w:val="24"/>
          <w:szCs w:val="24"/>
        </w:rPr>
      </w:pPr>
    </w:p>
    <w:p w:rsidR="005439FB" w:rsidRPr="00152C0C" w:rsidRDefault="006846CE" w:rsidP="007951D5">
      <w:pPr>
        <w:spacing w:line="276" w:lineRule="auto"/>
        <w:jc w:val="both"/>
        <w:rPr>
          <w:bCs/>
        </w:rPr>
      </w:pPr>
      <w:r w:rsidRPr="00152C0C">
        <w:rPr>
          <w:bCs/>
        </w:rPr>
        <w:t xml:space="preserve">Ahora, a fin de determinar el monto de los descuentos punitivos a imponer a los Procesados por allanarse a los cargos, al aplicar los postulados del derecho premial, considera la Sala que no es </w:t>
      </w:r>
      <w:r w:rsidRPr="00152C0C">
        <w:rPr>
          <w:bCs/>
        </w:rPr>
        <w:lastRenderedPageBreak/>
        <w:t xml:space="preserve">procedente acceder a las pretensiones del apelante, quien pide que en favor de los Procesados se reconozca el máximo de los descuentos punitivos: el 50%, ya que tales descuentos deben corresponder </w:t>
      </w:r>
      <w:r w:rsidR="005439FB" w:rsidRPr="00152C0C">
        <w:rPr>
          <w:bCs/>
        </w:rPr>
        <w:t xml:space="preserve">es </w:t>
      </w:r>
      <w:r w:rsidRPr="00152C0C">
        <w:rPr>
          <w:bCs/>
        </w:rPr>
        <w:t xml:space="preserve">a un 35% de la pena a imponer, si se tiene en cuenta que la colaboración de los procesados con la administración de justicia no ha sido determinante para la conclusión del proceso, </w:t>
      </w:r>
      <w:r w:rsidR="005439FB" w:rsidRPr="00152C0C">
        <w:rPr>
          <w:bCs/>
        </w:rPr>
        <w:t>máxime</w:t>
      </w:r>
      <w:r w:rsidRPr="00152C0C">
        <w:rPr>
          <w:bCs/>
        </w:rPr>
        <w:t xml:space="preserve"> cuando en el presente asunto</w:t>
      </w:r>
      <w:r w:rsidR="00B52A33" w:rsidRPr="00152C0C">
        <w:rPr>
          <w:bCs/>
        </w:rPr>
        <w:t xml:space="preserve"> no se </w:t>
      </w:r>
      <w:proofErr w:type="spellStart"/>
      <w:r w:rsidR="00B52A33" w:rsidRPr="00152C0C">
        <w:rPr>
          <w:bCs/>
        </w:rPr>
        <w:t>esta</w:t>
      </w:r>
      <w:proofErr w:type="spellEnd"/>
      <w:r w:rsidRPr="00152C0C">
        <w:rPr>
          <w:bCs/>
        </w:rPr>
        <w:t xml:space="preserve"> en presencia de un caso en el cual reine algún tipo de dificultad probatoria por parte de la </w:t>
      </w:r>
      <w:r w:rsidR="005439FB" w:rsidRPr="00152C0C">
        <w:rPr>
          <w:bCs/>
        </w:rPr>
        <w:t>Fiscalía</w:t>
      </w:r>
      <w:r w:rsidRPr="00152C0C">
        <w:rPr>
          <w:bCs/>
        </w:rPr>
        <w:t xml:space="preserve"> para demostrar el compromiso penal de los Procesados</w:t>
      </w:r>
      <w:r w:rsidR="005439FB" w:rsidRPr="00152C0C">
        <w:rPr>
          <w:bCs/>
        </w:rPr>
        <w:t xml:space="preserve">, el cual refulge diamantinamente de los medios de conocimientos habidos en el proceso. </w:t>
      </w:r>
    </w:p>
    <w:p w:rsidR="005439FB" w:rsidRPr="00152C0C" w:rsidRDefault="005439FB" w:rsidP="007951D5">
      <w:pPr>
        <w:spacing w:line="276" w:lineRule="auto"/>
        <w:jc w:val="both"/>
        <w:rPr>
          <w:bCs/>
        </w:rPr>
      </w:pPr>
    </w:p>
    <w:p w:rsidR="006846CE" w:rsidRPr="00152C0C" w:rsidRDefault="005439FB" w:rsidP="007951D5">
      <w:pPr>
        <w:spacing w:line="276" w:lineRule="auto"/>
        <w:jc w:val="both"/>
        <w:rPr>
          <w:bCs/>
        </w:rPr>
      </w:pPr>
      <w:r w:rsidRPr="00152C0C">
        <w:rPr>
          <w:bCs/>
        </w:rPr>
        <w:t xml:space="preserve">Frente a lo anterior, o sea sobre los criterios que </w:t>
      </w:r>
      <w:r w:rsidR="00C774CF" w:rsidRPr="00152C0C">
        <w:rPr>
          <w:bCs/>
        </w:rPr>
        <w:t>se</w:t>
      </w:r>
      <w:r w:rsidRPr="00152C0C">
        <w:rPr>
          <w:bCs/>
        </w:rPr>
        <w:t xml:space="preserve"> deben tener en cuenta para determinar el monto de los descuentos punitivos en los casos de allanamiento a cargos, la Corte se ha pronunciado de la siguiente forma:  </w:t>
      </w:r>
      <w:r w:rsidR="006846CE" w:rsidRPr="00152C0C">
        <w:rPr>
          <w:bCs/>
        </w:rPr>
        <w:t xml:space="preserve"> </w:t>
      </w:r>
    </w:p>
    <w:p w:rsidR="005439FB" w:rsidRPr="00152C0C" w:rsidRDefault="005439FB" w:rsidP="007951D5">
      <w:pPr>
        <w:spacing w:line="276" w:lineRule="auto"/>
        <w:jc w:val="both"/>
        <w:rPr>
          <w:bCs/>
        </w:rPr>
      </w:pPr>
    </w:p>
    <w:p w:rsidR="005439FB" w:rsidRPr="00152C0C" w:rsidRDefault="005439FB" w:rsidP="00B52A33">
      <w:pPr>
        <w:pStyle w:val="Sinespaciado"/>
        <w:ind w:left="567" w:right="1015"/>
        <w:jc w:val="both"/>
        <w:rPr>
          <w:rFonts w:ascii="Verdana" w:hAnsi="Verdana"/>
          <w:sz w:val="24"/>
          <w:szCs w:val="24"/>
        </w:rPr>
      </w:pPr>
      <w:r w:rsidRPr="00152C0C">
        <w:rPr>
          <w:rFonts w:ascii="Verdana" w:hAnsi="Verdana"/>
          <w:sz w:val="24"/>
          <w:szCs w:val="24"/>
        </w:rPr>
        <w:t xml:space="preserve">“La jurisprudencia de la Sala ha manifestado que los factores a tener en cuenta para aplicar la rebaja contemplada en el precepto 351 de la Ley 906 de 2004, no pueden circunscribirse a las circunstancias que rodeen la realización del injusto al cual se allana el implicado, en tanto ellas se observaron al instante de individualizar la sanción respectiva, sino a las actividades relacionadas con la eficaz colaboración con la justicia, como la economía en la actividad estatal de investigación, las dificultades probatorias para la labor de imputación o la posibilidad de descubrir copartícipes u otros delitos conexos, por ejemplo. </w:t>
      </w:r>
    </w:p>
    <w:p w:rsidR="005439FB" w:rsidRPr="00152C0C" w:rsidRDefault="005439FB" w:rsidP="00B52A33">
      <w:pPr>
        <w:pStyle w:val="Sinespaciado"/>
        <w:ind w:left="567" w:right="1015"/>
        <w:jc w:val="both"/>
        <w:rPr>
          <w:rFonts w:ascii="Verdana" w:hAnsi="Verdana"/>
          <w:sz w:val="24"/>
          <w:szCs w:val="24"/>
        </w:rPr>
      </w:pPr>
    </w:p>
    <w:p w:rsidR="005439FB" w:rsidRPr="00152C0C" w:rsidRDefault="005439FB" w:rsidP="00B52A33">
      <w:pPr>
        <w:pStyle w:val="Sinespaciado"/>
        <w:ind w:left="567" w:right="1015"/>
        <w:jc w:val="both"/>
        <w:rPr>
          <w:rFonts w:ascii="Verdana" w:hAnsi="Verdana"/>
          <w:sz w:val="24"/>
          <w:szCs w:val="24"/>
        </w:rPr>
      </w:pPr>
      <w:r w:rsidRPr="00152C0C">
        <w:rPr>
          <w:rFonts w:ascii="Verdana" w:hAnsi="Verdana"/>
          <w:sz w:val="24"/>
          <w:szCs w:val="24"/>
        </w:rPr>
        <w:t>(:::)</w:t>
      </w:r>
    </w:p>
    <w:p w:rsidR="005439FB" w:rsidRPr="00152C0C" w:rsidRDefault="005439FB" w:rsidP="00B52A33">
      <w:pPr>
        <w:pStyle w:val="Sinespaciado"/>
        <w:ind w:left="567" w:right="1015"/>
        <w:jc w:val="both"/>
        <w:rPr>
          <w:rFonts w:ascii="Verdana" w:hAnsi="Verdana"/>
          <w:sz w:val="24"/>
          <w:szCs w:val="24"/>
        </w:rPr>
      </w:pPr>
    </w:p>
    <w:p w:rsidR="005439FB" w:rsidRPr="00152C0C" w:rsidRDefault="005439FB" w:rsidP="00B52A33">
      <w:pPr>
        <w:pStyle w:val="Sinespaciado"/>
        <w:ind w:left="567" w:right="1015"/>
        <w:jc w:val="both"/>
        <w:rPr>
          <w:rFonts w:ascii="Verdana" w:hAnsi="Verdana"/>
          <w:sz w:val="24"/>
          <w:szCs w:val="24"/>
        </w:rPr>
      </w:pPr>
      <w:r w:rsidRPr="00152C0C">
        <w:rPr>
          <w:rFonts w:ascii="Verdana" w:hAnsi="Verdana"/>
          <w:sz w:val="24"/>
          <w:szCs w:val="24"/>
        </w:rPr>
        <w:t xml:space="preserve">En tal labor, es de su resorte tener en cuenta, como ya lo ha precisado la Sala, las circunstancias posdelictuales que guarden relación con la eficaz colaboración para lograr los fines de justicia en punto de la economía procesal, la celeridad y la oportunidad, tales como: la significativa economía en la actividad estatal orientada a demostrar la materialidad del delito y la responsabilidad del procesado, la importancia de la ayuda en punto de la dificultad de acreditación probatoria, la colaboración en el descubrimiento de otros partícipes o delitos, o diversos factores análogos, sin ponderar los criterios definidos por el legislador en el artículo 61 de la Ley 599 de 2000 para individualizar la pena, pues para tal momento ya fueron apreciados al establecer la sanción a la cual se aplicará la rebaja en razón del </w:t>
      </w:r>
      <w:r w:rsidRPr="00152C0C">
        <w:rPr>
          <w:rFonts w:ascii="Verdana" w:hAnsi="Verdana"/>
          <w:sz w:val="24"/>
          <w:szCs w:val="24"/>
        </w:rPr>
        <w:lastRenderedPageBreak/>
        <w:t xml:space="preserve">allanamiento a cargos. (Ver, además, CSJ SP, 6 jun. 2012, rad. 38353 y CSP AP, 22 sep. 2010, rad. 34784). </w:t>
      </w:r>
    </w:p>
    <w:p w:rsidR="005439FB" w:rsidRPr="00152C0C" w:rsidRDefault="005439FB" w:rsidP="00B52A33">
      <w:pPr>
        <w:pStyle w:val="Sinespaciado"/>
        <w:ind w:left="567" w:right="1015"/>
        <w:jc w:val="both"/>
        <w:rPr>
          <w:rFonts w:ascii="Verdana" w:hAnsi="Verdana"/>
          <w:sz w:val="24"/>
          <w:szCs w:val="24"/>
        </w:rPr>
      </w:pPr>
    </w:p>
    <w:p w:rsidR="005439FB" w:rsidRPr="00152C0C" w:rsidRDefault="005439FB" w:rsidP="00B52A33">
      <w:pPr>
        <w:pStyle w:val="Sinespaciado"/>
        <w:ind w:left="567" w:right="1015"/>
        <w:jc w:val="both"/>
        <w:rPr>
          <w:rFonts w:ascii="Verdana" w:hAnsi="Verdana"/>
        </w:rPr>
      </w:pPr>
      <w:r w:rsidRPr="00152C0C">
        <w:rPr>
          <w:rFonts w:ascii="Verdana" w:hAnsi="Verdana"/>
          <w:sz w:val="24"/>
          <w:szCs w:val="24"/>
        </w:rPr>
        <w:t>También ha sostenido que el canon 351 no obliga al juez a hacer una mengua de la mitad, en tanto “le asiste la facultad de aplicar criterios razonables para medir el merecimiento de la rebaja, según las circunstancias del proceso y de cada uno de los procesados, de suerte que bien puede aplicar la rebaja en cualquier proporción inferior a la mitad, pero no menor a la tercera parte”. (CSJ</w:t>
      </w:r>
      <w:r w:rsidR="00B52A33" w:rsidRPr="00152C0C">
        <w:rPr>
          <w:rFonts w:ascii="Verdana" w:hAnsi="Verdana"/>
          <w:sz w:val="24"/>
          <w:szCs w:val="24"/>
        </w:rPr>
        <w:t xml:space="preserve"> SP, 22 feb. 2012, rad. 30777)…</w:t>
      </w:r>
      <w:r w:rsidRPr="00152C0C">
        <w:rPr>
          <w:rFonts w:ascii="Verdana" w:hAnsi="Verdana"/>
          <w:sz w:val="24"/>
          <w:szCs w:val="24"/>
        </w:rPr>
        <w:t>”</w:t>
      </w:r>
      <w:r w:rsidRPr="00152C0C">
        <w:rPr>
          <w:rStyle w:val="Refdenotaalpie"/>
          <w:sz w:val="24"/>
          <w:szCs w:val="24"/>
        </w:rPr>
        <w:footnoteReference w:id="7"/>
      </w:r>
      <w:r w:rsidRPr="00152C0C">
        <w:rPr>
          <w:rFonts w:ascii="Verdana" w:hAnsi="Verdana"/>
          <w:sz w:val="24"/>
          <w:szCs w:val="24"/>
        </w:rPr>
        <w:t>.</w:t>
      </w:r>
    </w:p>
    <w:p w:rsidR="005439FB" w:rsidRPr="00152C0C" w:rsidRDefault="005439FB" w:rsidP="007951D5">
      <w:pPr>
        <w:spacing w:line="276" w:lineRule="auto"/>
        <w:jc w:val="both"/>
        <w:rPr>
          <w:bCs/>
        </w:rPr>
      </w:pPr>
    </w:p>
    <w:p w:rsidR="00B52A33" w:rsidRPr="00152C0C" w:rsidRDefault="00B95F6B" w:rsidP="007951D5">
      <w:pPr>
        <w:spacing w:line="276" w:lineRule="auto"/>
        <w:jc w:val="both"/>
        <w:rPr>
          <w:bCs/>
        </w:rPr>
      </w:pPr>
      <w:r w:rsidRPr="00152C0C">
        <w:rPr>
          <w:bCs/>
        </w:rPr>
        <w:t>En ese orden de ideas</w:t>
      </w:r>
      <w:r w:rsidR="003F0FD8" w:rsidRPr="00152C0C">
        <w:rPr>
          <w:bCs/>
        </w:rPr>
        <w:t xml:space="preserve">, </w:t>
      </w:r>
      <w:r w:rsidR="00203AA8" w:rsidRPr="00152C0C">
        <w:rPr>
          <w:bCs/>
        </w:rPr>
        <w:t>al red</w:t>
      </w:r>
      <w:r w:rsidR="005439FB" w:rsidRPr="00152C0C">
        <w:rPr>
          <w:bCs/>
        </w:rPr>
        <w:t>osificar las penas</w:t>
      </w:r>
      <w:r w:rsidR="003F0FD8" w:rsidRPr="00152C0C">
        <w:rPr>
          <w:bCs/>
        </w:rPr>
        <w:t xml:space="preserve">, </w:t>
      </w:r>
      <w:r w:rsidR="005439FB" w:rsidRPr="00152C0C">
        <w:rPr>
          <w:bCs/>
        </w:rPr>
        <w:t>tenemos que en el fallo opu</w:t>
      </w:r>
      <w:r w:rsidR="007951D5" w:rsidRPr="00152C0C">
        <w:rPr>
          <w:bCs/>
        </w:rPr>
        <w:t>gna</w:t>
      </w:r>
      <w:r w:rsidR="005439FB" w:rsidRPr="00152C0C">
        <w:rPr>
          <w:bCs/>
        </w:rPr>
        <w:t xml:space="preserve">do las penas </w:t>
      </w:r>
      <w:r w:rsidR="00203AA8" w:rsidRPr="00152C0C">
        <w:rPr>
          <w:bCs/>
        </w:rPr>
        <w:t xml:space="preserve">impuestas a los Procesados fueron las siguientes: 144 meses para HERNEY BEDOYA QUINTERO, y </w:t>
      </w:r>
      <w:r w:rsidR="00EF5B9C" w:rsidRPr="00152C0C">
        <w:rPr>
          <w:bCs/>
        </w:rPr>
        <w:t xml:space="preserve">72 meses </w:t>
      </w:r>
      <w:r w:rsidR="00203AA8" w:rsidRPr="00152C0C">
        <w:rPr>
          <w:bCs/>
        </w:rPr>
        <w:t xml:space="preserve">de prisión </w:t>
      </w:r>
      <w:r w:rsidR="00EF5B9C" w:rsidRPr="00152C0C">
        <w:rPr>
          <w:bCs/>
        </w:rPr>
        <w:t>MARILIN TABORDA GUEVARA,</w:t>
      </w:r>
      <w:r w:rsidR="00556BF8" w:rsidRPr="00152C0C">
        <w:rPr>
          <w:bCs/>
        </w:rPr>
        <w:t xml:space="preserve"> </w:t>
      </w:r>
      <w:r w:rsidR="00203AA8" w:rsidRPr="00152C0C">
        <w:rPr>
          <w:bCs/>
        </w:rPr>
        <w:t xml:space="preserve">por lo que al aplicarle a dichas penas un descuento punitivo del 35%, las mismas quedarían en </w:t>
      </w:r>
      <w:r w:rsidR="00556BF8" w:rsidRPr="00152C0C">
        <w:rPr>
          <w:bCs/>
        </w:rPr>
        <w:t>93 meses y 18 días</w:t>
      </w:r>
      <w:r w:rsidR="00FF4544" w:rsidRPr="00152C0C">
        <w:rPr>
          <w:bCs/>
        </w:rPr>
        <w:t xml:space="preserve"> de prisión</w:t>
      </w:r>
      <w:r w:rsidR="00203AA8" w:rsidRPr="00152C0C">
        <w:rPr>
          <w:bCs/>
        </w:rPr>
        <w:t xml:space="preserve"> para el Procesado HERNEY BEDOYA QUINTERO</w:t>
      </w:r>
      <w:r w:rsidR="00556BF8" w:rsidRPr="00152C0C">
        <w:rPr>
          <w:bCs/>
        </w:rPr>
        <w:t xml:space="preserve">, </w:t>
      </w:r>
      <w:r w:rsidR="00203AA8" w:rsidRPr="00152C0C">
        <w:rPr>
          <w:bCs/>
        </w:rPr>
        <w:t>y 46 meses y 24 días  de prisión para la Procesada MARILIN TABORDA GUEVARA</w:t>
      </w:r>
      <w:r w:rsidR="00FF4544" w:rsidRPr="00152C0C">
        <w:rPr>
          <w:bCs/>
        </w:rPr>
        <w:t>.</w:t>
      </w:r>
    </w:p>
    <w:p w:rsidR="00977015" w:rsidRPr="00152C0C" w:rsidRDefault="00FF4544" w:rsidP="007951D5">
      <w:pPr>
        <w:spacing w:line="276" w:lineRule="auto"/>
        <w:jc w:val="both"/>
        <w:rPr>
          <w:bCs/>
        </w:rPr>
      </w:pPr>
      <w:r w:rsidRPr="00152C0C">
        <w:rPr>
          <w:bCs/>
        </w:rPr>
        <w:t xml:space="preserve"> </w:t>
      </w:r>
    </w:p>
    <w:p w:rsidR="00203AA8" w:rsidRPr="00152C0C" w:rsidRDefault="00203AA8" w:rsidP="007951D5">
      <w:pPr>
        <w:spacing w:line="276" w:lineRule="auto"/>
        <w:jc w:val="both"/>
        <w:rPr>
          <w:bCs/>
        </w:rPr>
      </w:pPr>
      <w:r w:rsidRPr="00152C0C">
        <w:rPr>
          <w:bCs/>
        </w:rPr>
        <w:t xml:space="preserve">La anterior redosificación punitiva en nada afectara la negativa expuesta en el fallo </w:t>
      </w:r>
      <w:r w:rsidR="00445F85" w:rsidRPr="00152C0C">
        <w:rPr>
          <w:bCs/>
        </w:rPr>
        <w:t>opugnado</w:t>
      </w:r>
      <w:r w:rsidRPr="00152C0C">
        <w:rPr>
          <w:bCs/>
        </w:rPr>
        <w:t xml:space="preserve"> sobre el reconocimiento en favor de los Procesados del subrogado de la suspensión condicional de la ejecución de la pena, </w:t>
      </w:r>
      <w:r w:rsidR="00445F85" w:rsidRPr="00152C0C">
        <w:rPr>
          <w:bCs/>
        </w:rPr>
        <w:t xml:space="preserve">la cual se mantendrá en firme, debido a que no se cumplen con los requisitos </w:t>
      </w:r>
      <w:r w:rsidR="007951D5" w:rsidRPr="00152C0C">
        <w:rPr>
          <w:bCs/>
        </w:rPr>
        <w:t xml:space="preserve">exigidos </w:t>
      </w:r>
      <w:r w:rsidR="00445F85" w:rsidRPr="00152C0C">
        <w:rPr>
          <w:bCs/>
        </w:rPr>
        <w:t>para el reconocimiento de dicho sustituto</w:t>
      </w:r>
      <w:r w:rsidR="007951D5" w:rsidRPr="00152C0C">
        <w:rPr>
          <w:bCs/>
        </w:rPr>
        <w:t>,</w:t>
      </w:r>
      <w:r w:rsidR="00445F85" w:rsidRPr="00152C0C">
        <w:rPr>
          <w:bCs/>
        </w:rPr>
        <w:t xml:space="preserve"> si se tiene en cuenta que el delito por el cual se declaró la responsabilidad criminal de los Procesado</w:t>
      </w:r>
      <w:r w:rsidR="007951D5" w:rsidRPr="00152C0C">
        <w:rPr>
          <w:bCs/>
        </w:rPr>
        <w:t>s</w:t>
      </w:r>
      <w:r w:rsidR="00445F85" w:rsidRPr="00152C0C">
        <w:rPr>
          <w:bCs/>
        </w:rPr>
        <w:t xml:space="preserve"> se encuentra dentro del listado de reatos consagrados en el </w:t>
      </w:r>
      <w:r w:rsidR="00C774CF" w:rsidRPr="00152C0C">
        <w:rPr>
          <w:bCs/>
        </w:rPr>
        <w:t>artículo</w:t>
      </w:r>
      <w:r w:rsidR="00445F85" w:rsidRPr="00152C0C">
        <w:rPr>
          <w:bCs/>
        </w:rPr>
        <w:t xml:space="preserve"> 68A para los cuales </w:t>
      </w:r>
      <w:r w:rsidR="00C774CF" w:rsidRPr="00152C0C">
        <w:rPr>
          <w:bCs/>
        </w:rPr>
        <w:t>está</w:t>
      </w:r>
      <w:r w:rsidR="00445F85" w:rsidRPr="00152C0C">
        <w:rPr>
          <w:bCs/>
        </w:rPr>
        <w:t xml:space="preserve"> prohibida la concesión del subrogado de marras. </w:t>
      </w:r>
    </w:p>
    <w:p w:rsidR="00203AA8" w:rsidRPr="00152C0C" w:rsidRDefault="00203AA8" w:rsidP="007951D5">
      <w:pPr>
        <w:spacing w:line="276" w:lineRule="auto"/>
        <w:jc w:val="both"/>
        <w:rPr>
          <w:bCs/>
        </w:rPr>
      </w:pPr>
    </w:p>
    <w:p w:rsidR="00203AA8" w:rsidRPr="00152C0C" w:rsidRDefault="00203AA8" w:rsidP="007951D5">
      <w:pPr>
        <w:spacing w:line="276" w:lineRule="auto"/>
        <w:jc w:val="both"/>
        <w:rPr>
          <w:bCs/>
        </w:rPr>
      </w:pPr>
      <w:r w:rsidRPr="00152C0C">
        <w:rPr>
          <w:bCs/>
        </w:rPr>
        <w:t>En iguales términos a los establecido</w:t>
      </w:r>
      <w:r w:rsidR="00B52A33" w:rsidRPr="00152C0C">
        <w:rPr>
          <w:bCs/>
        </w:rPr>
        <w:t>s en la pena de prisión, quedará</w:t>
      </w:r>
      <w:r w:rsidRPr="00152C0C">
        <w:rPr>
          <w:bCs/>
        </w:rPr>
        <w:t>n modificadas las penas accesorias de interdicción para el ejercicio de derechos y funciones públicas</w:t>
      </w:r>
      <w:r w:rsidR="007951D5" w:rsidRPr="00152C0C">
        <w:rPr>
          <w:bCs/>
        </w:rPr>
        <w:t xml:space="preserve"> que también fueron impuestas en contra de los Procesados como consecuencia de la declaratoria de su compromiso penal</w:t>
      </w:r>
      <w:r w:rsidRPr="00152C0C">
        <w:rPr>
          <w:bCs/>
        </w:rPr>
        <w:t>.</w:t>
      </w:r>
    </w:p>
    <w:p w:rsidR="00203AA8" w:rsidRPr="00152C0C" w:rsidRDefault="00203AA8" w:rsidP="007951D5">
      <w:pPr>
        <w:spacing w:line="276" w:lineRule="auto"/>
        <w:jc w:val="both"/>
        <w:rPr>
          <w:bCs/>
        </w:rPr>
      </w:pPr>
    </w:p>
    <w:p w:rsidR="00A0603A" w:rsidRPr="00152C0C" w:rsidRDefault="00203AA8" w:rsidP="007951D5">
      <w:pPr>
        <w:spacing w:line="276" w:lineRule="auto"/>
        <w:jc w:val="both"/>
        <w:rPr>
          <w:rFonts w:cs="Microsoft Sans Serif"/>
          <w:bCs/>
        </w:rPr>
      </w:pPr>
      <w:r w:rsidRPr="00152C0C">
        <w:rPr>
          <w:rFonts w:cs="Microsoft Sans Serif"/>
          <w:bCs/>
        </w:rPr>
        <w:lastRenderedPageBreak/>
        <w:t xml:space="preserve">A modo de </w:t>
      </w:r>
      <w:r w:rsidR="00C774CF" w:rsidRPr="00152C0C">
        <w:rPr>
          <w:rFonts w:cs="Microsoft Sans Serif"/>
          <w:bCs/>
        </w:rPr>
        <w:t>colofón</w:t>
      </w:r>
      <w:r w:rsidR="007750D0" w:rsidRPr="00152C0C">
        <w:rPr>
          <w:rFonts w:cs="Microsoft Sans Serif"/>
          <w:bCs/>
        </w:rPr>
        <w:t>, e</w:t>
      </w:r>
      <w:r w:rsidR="00AB5228" w:rsidRPr="00152C0C">
        <w:rPr>
          <w:rFonts w:cs="Microsoft Sans Serif"/>
          <w:bCs/>
        </w:rPr>
        <w:t>n lo que respecta la información aportada por el Apelante, en cuanto a que no fue posible la comunicación con los procesados para haber realizado una indemnización oportuna de los daños causados a las víctimas, debe referir esta Sala que tales dichos no son de recibo, toda vez que tal y como consta en la audiencia de lectura de sentencia del día 30 de noviembre de 2016 si fue posible la asistencia de la señora MARILIN TABORDA GUEVARA, quien incluso manifestó su interés de un aplazamiento a efectos de poder indemnizar a sus víctimas</w:t>
      </w:r>
      <w:r w:rsidR="007750D0" w:rsidRPr="00152C0C">
        <w:rPr>
          <w:rFonts w:cs="Microsoft Sans Serif"/>
          <w:bCs/>
        </w:rPr>
        <w:t xml:space="preserve">, sin que tal cosa se haya efectivizado con posterioridad, lo que permite ver claramente que </w:t>
      </w:r>
      <w:r w:rsidR="00B52A33" w:rsidRPr="00152C0C">
        <w:rPr>
          <w:rFonts w:cs="Microsoft Sans Serif"/>
          <w:bCs/>
        </w:rPr>
        <w:t xml:space="preserve">el </w:t>
      </w:r>
      <w:r w:rsidR="007750D0" w:rsidRPr="00152C0C">
        <w:rPr>
          <w:rFonts w:cs="Microsoft Sans Serif"/>
          <w:bCs/>
        </w:rPr>
        <w:t>Defensor sí tenía contacto con sus representados a pesar de que uno de ellos estuviera detenido por cuenta de otro proceso en la cárcel de la ciudad de Manizales</w:t>
      </w:r>
      <w:r w:rsidR="00AB5228" w:rsidRPr="00152C0C">
        <w:rPr>
          <w:rFonts w:cs="Microsoft Sans Serif"/>
          <w:bCs/>
        </w:rPr>
        <w:t>.</w:t>
      </w:r>
    </w:p>
    <w:p w:rsidR="00DA4DBC" w:rsidRPr="00152C0C" w:rsidRDefault="00DA4DBC" w:rsidP="007951D5">
      <w:pPr>
        <w:spacing w:line="276" w:lineRule="auto"/>
        <w:jc w:val="both"/>
        <w:rPr>
          <w:rFonts w:cs="Microsoft Sans Serif"/>
          <w:bCs/>
        </w:rPr>
      </w:pPr>
    </w:p>
    <w:p w:rsidR="00F63032" w:rsidRPr="00152C0C" w:rsidRDefault="00445F85" w:rsidP="007951D5">
      <w:pPr>
        <w:spacing w:line="276" w:lineRule="auto"/>
        <w:jc w:val="both"/>
        <w:rPr>
          <w:rFonts w:cs="Microsoft Sans Serif"/>
          <w:bCs/>
        </w:rPr>
      </w:pPr>
      <w:r w:rsidRPr="00152C0C">
        <w:rPr>
          <w:rFonts w:cs="Microsoft Sans Serif"/>
          <w:bCs/>
        </w:rPr>
        <w:t>Como c</w:t>
      </w:r>
      <w:r w:rsidR="00203AA8" w:rsidRPr="00152C0C">
        <w:rPr>
          <w:rFonts w:cs="Microsoft Sans Serif"/>
          <w:bCs/>
        </w:rPr>
        <w:t>orolario</w:t>
      </w:r>
      <w:r w:rsidRPr="00152C0C">
        <w:rPr>
          <w:rFonts w:cs="Microsoft Sans Serif"/>
          <w:bCs/>
        </w:rPr>
        <w:t xml:space="preserve"> de todo lo dicho en los párrafos precedentes</w:t>
      </w:r>
      <w:r w:rsidR="00203AA8" w:rsidRPr="00152C0C">
        <w:rPr>
          <w:rFonts w:cs="Microsoft Sans Serif"/>
          <w:bCs/>
        </w:rPr>
        <w:t xml:space="preserve">, </w:t>
      </w:r>
      <w:r w:rsidR="002D23C8" w:rsidRPr="00152C0C">
        <w:rPr>
          <w:rFonts w:cs="Microsoft Sans Serif"/>
          <w:bCs/>
        </w:rPr>
        <w:t>la Sala concluye que</w:t>
      </w:r>
      <w:r w:rsidR="00DA4DBC" w:rsidRPr="00152C0C">
        <w:rPr>
          <w:rFonts w:cs="Microsoft Sans Serif"/>
          <w:bCs/>
        </w:rPr>
        <w:t xml:space="preserve"> </w:t>
      </w:r>
      <w:r w:rsidR="00203AA8" w:rsidRPr="00152C0C">
        <w:rPr>
          <w:rFonts w:cs="Microsoft Sans Serif"/>
          <w:bCs/>
        </w:rPr>
        <w:t xml:space="preserve">al asistirle la </w:t>
      </w:r>
      <w:r w:rsidR="00C774CF" w:rsidRPr="00152C0C">
        <w:rPr>
          <w:rFonts w:cs="Microsoft Sans Serif"/>
          <w:bCs/>
        </w:rPr>
        <w:t>razón</w:t>
      </w:r>
      <w:r w:rsidR="00203AA8" w:rsidRPr="00152C0C">
        <w:rPr>
          <w:rFonts w:cs="Microsoft Sans Serif"/>
          <w:bCs/>
        </w:rPr>
        <w:t xml:space="preserve"> al apelante, el fallo opugnado debe ser modificado en todo aquello que tiene que ver con el monto de los descuentos punitivos que le fueron reconocidos en favor de los Procesados por allanarse a los cargos, lo que a su</w:t>
      </w:r>
      <w:r w:rsidR="00B52A33" w:rsidRPr="00152C0C">
        <w:rPr>
          <w:rFonts w:cs="Microsoft Sans Serif"/>
          <w:bCs/>
        </w:rPr>
        <w:t xml:space="preserve"> vez</w:t>
      </w:r>
      <w:r w:rsidR="00203AA8" w:rsidRPr="00152C0C">
        <w:rPr>
          <w:rFonts w:cs="Microsoft Sans Serif"/>
          <w:bCs/>
        </w:rPr>
        <w:t xml:space="preserve"> implicara que las penas impuestas en su contra deban ser redosificadas de la siguiente forma: 93 meses y 18 días de prisión para el Procesado HERNEY BEDOYA QUINTERO, y 46 meses y 24 días  de prisión para la Procesada MARILIN TABORDA GUEVARA.  </w:t>
      </w:r>
    </w:p>
    <w:p w:rsidR="00203AA8" w:rsidRPr="00152C0C" w:rsidRDefault="00203AA8" w:rsidP="007951D5">
      <w:pPr>
        <w:spacing w:line="276" w:lineRule="auto"/>
        <w:jc w:val="both"/>
        <w:rPr>
          <w:rFonts w:cs="Microsoft Sans Serif"/>
          <w:bCs/>
        </w:rPr>
      </w:pPr>
    </w:p>
    <w:p w:rsidR="00F359A4" w:rsidRPr="00152C0C" w:rsidRDefault="00F359A4" w:rsidP="007951D5">
      <w:pPr>
        <w:spacing w:line="276" w:lineRule="auto"/>
        <w:jc w:val="both"/>
        <w:rPr>
          <w:rFonts w:eastAsia="Adobe Gothic Std B" w:cs="Microsoft Sans Serif"/>
        </w:rPr>
      </w:pPr>
      <w:r w:rsidRPr="00152C0C">
        <w:rPr>
          <w:rFonts w:eastAsia="Adobe Gothic Std B" w:cs="Microsoft Sans Serif"/>
        </w:rPr>
        <w:t>En mérito de todo lo antes lo expuesto, la Sala Penal de Decisión del Tribunal Superior del Distrito Judicial de Pereira, administrando justicia en nombre de la República y por autoridad de la ley,</w:t>
      </w:r>
    </w:p>
    <w:p w:rsidR="00F359A4" w:rsidRPr="00152C0C" w:rsidRDefault="00F359A4" w:rsidP="007951D5">
      <w:pPr>
        <w:spacing w:line="276" w:lineRule="auto"/>
        <w:jc w:val="both"/>
        <w:rPr>
          <w:rFonts w:eastAsia="Adobe Gothic Std B" w:cs="Microsoft Sans Serif"/>
        </w:rPr>
      </w:pPr>
    </w:p>
    <w:p w:rsidR="00B52A33" w:rsidRPr="00152C0C" w:rsidRDefault="00B52A33" w:rsidP="007951D5">
      <w:pPr>
        <w:spacing w:line="276" w:lineRule="auto"/>
        <w:jc w:val="both"/>
        <w:rPr>
          <w:rFonts w:eastAsia="Adobe Gothic Std B" w:cs="Microsoft Sans Serif"/>
        </w:rPr>
      </w:pPr>
    </w:p>
    <w:p w:rsidR="00F359A4" w:rsidRPr="00152C0C" w:rsidRDefault="00F359A4" w:rsidP="007951D5">
      <w:pPr>
        <w:spacing w:line="276" w:lineRule="auto"/>
        <w:jc w:val="center"/>
        <w:rPr>
          <w:rFonts w:eastAsia="Adobe Gothic Std B" w:cs="Microsoft Sans Serif"/>
          <w:b/>
        </w:rPr>
      </w:pPr>
      <w:r w:rsidRPr="00152C0C">
        <w:rPr>
          <w:rFonts w:eastAsia="Adobe Gothic Std B" w:cs="Microsoft Sans Serif"/>
          <w:b/>
        </w:rPr>
        <w:t>RESUELVE:</w:t>
      </w:r>
    </w:p>
    <w:p w:rsidR="00F359A4" w:rsidRPr="00152C0C" w:rsidRDefault="00F359A4" w:rsidP="007951D5">
      <w:pPr>
        <w:spacing w:line="276" w:lineRule="auto"/>
        <w:jc w:val="center"/>
        <w:rPr>
          <w:rFonts w:eastAsia="Adobe Gothic Std B" w:cs="Microsoft Sans Serif"/>
          <w:b/>
        </w:rPr>
      </w:pPr>
    </w:p>
    <w:p w:rsidR="00126905" w:rsidRPr="00152C0C" w:rsidRDefault="00F359A4" w:rsidP="007951D5">
      <w:pPr>
        <w:spacing w:line="276" w:lineRule="auto"/>
        <w:jc w:val="both"/>
        <w:rPr>
          <w:rFonts w:eastAsia="Adobe Gothic Std B" w:cs="Microsoft Sans Serif"/>
        </w:rPr>
      </w:pPr>
      <w:r w:rsidRPr="00152C0C">
        <w:rPr>
          <w:rFonts w:eastAsia="Adobe Gothic Std B" w:cs="Microsoft Sans Serif"/>
          <w:b/>
        </w:rPr>
        <w:t xml:space="preserve">PRIMERO: </w:t>
      </w:r>
      <w:r w:rsidR="00C57B6A" w:rsidRPr="00152C0C">
        <w:rPr>
          <w:rFonts w:eastAsia="Times New Roman" w:cs="Microsoft Sans Serif"/>
          <w:b/>
        </w:rPr>
        <w:t>MODIFICAR</w:t>
      </w:r>
      <w:r w:rsidR="00C059DC" w:rsidRPr="00152C0C">
        <w:rPr>
          <w:rFonts w:eastAsia="Times New Roman" w:cs="Microsoft Sans Serif"/>
          <w:b/>
        </w:rPr>
        <w:t xml:space="preserve"> </w:t>
      </w:r>
      <w:r w:rsidR="00445F85" w:rsidRPr="00152C0C">
        <w:rPr>
          <w:rFonts w:eastAsia="Times New Roman" w:cs="Microsoft Sans Serif"/>
        </w:rPr>
        <w:t>la sentencia</w:t>
      </w:r>
      <w:r w:rsidR="00445F85" w:rsidRPr="00152C0C">
        <w:rPr>
          <w:rFonts w:eastAsia="Times New Roman" w:cs="Microsoft Sans Serif"/>
          <w:b/>
        </w:rPr>
        <w:t xml:space="preserve"> </w:t>
      </w:r>
      <w:r w:rsidR="00126905" w:rsidRPr="00152C0C">
        <w:rPr>
          <w:rFonts w:eastAsia="Times New Roman" w:cs="Microsoft Sans Serif"/>
        </w:rPr>
        <w:t xml:space="preserve">proferida por el Juzgado </w:t>
      </w:r>
      <w:r w:rsidR="00445F85" w:rsidRPr="00152C0C">
        <w:rPr>
          <w:rFonts w:eastAsia="Times New Roman" w:cs="Microsoft Sans Serif"/>
        </w:rPr>
        <w:t xml:space="preserve">  1º Penal Municipal de esta ciudad, con funciones de conocimiento, en las calendas del veintiuno (21) de marzo de los corrientes, en todo aquello que tiene que ver con los descuentos punitivos reconocidos en favor de los Procesados </w:t>
      </w:r>
      <w:r w:rsidR="00445F85" w:rsidRPr="00152C0C">
        <w:rPr>
          <w:rFonts w:eastAsia="Times New Roman" w:cs="Microsoft Sans Serif"/>
        </w:rPr>
        <w:lastRenderedPageBreak/>
        <w:t>MARILIN TABORDA GUEVARA y HERNEY BEDOYA QUINTERO por allanarse a los cargos endilgados en su contra, los que tenían que ver con la comisión del delito de hurto calificado agravado.</w:t>
      </w:r>
    </w:p>
    <w:p w:rsidR="00D00EAD" w:rsidRPr="00152C0C" w:rsidRDefault="00D00EAD" w:rsidP="007951D5">
      <w:pPr>
        <w:spacing w:line="276" w:lineRule="auto"/>
        <w:jc w:val="both"/>
        <w:rPr>
          <w:rFonts w:eastAsia="Adobe Gothic Std B" w:cs="Microsoft Sans Serif"/>
          <w:b/>
        </w:rPr>
      </w:pPr>
    </w:p>
    <w:p w:rsidR="00445F85" w:rsidRPr="00152C0C" w:rsidRDefault="00F359A4" w:rsidP="007951D5">
      <w:pPr>
        <w:spacing w:line="276" w:lineRule="auto"/>
        <w:jc w:val="both"/>
        <w:rPr>
          <w:rFonts w:cs="Tahoma"/>
          <w:lang w:val="es-ES_tradnl"/>
        </w:rPr>
      </w:pPr>
      <w:r w:rsidRPr="00152C0C">
        <w:rPr>
          <w:rFonts w:eastAsia="Adobe Gothic Std B" w:cs="Microsoft Sans Serif"/>
          <w:b/>
        </w:rPr>
        <w:t xml:space="preserve">SEGUNDO: </w:t>
      </w:r>
      <w:r w:rsidR="00445F85" w:rsidRPr="00152C0C">
        <w:rPr>
          <w:rFonts w:eastAsia="Adobe Gothic Std B" w:cs="Microsoft Sans Serif"/>
        </w:rPr>
        <w:t xml:space="preserve">En </w:t>
      </w:r>
      <w:r w:rsidR="00C57B6A" w:rsidRPr="00152C0C">
        <w:rPr>
          <w:rFonts w:eastAsia="Adobe Gothic Std B" w:cs="Microsoft Sans Serif"/>
        </w:rPr>
        <w:t>consonancia con lo anterior,</w:t>
      </w:r>
      <w:r w:rsidR="00C57B6A" w:rsidRPr="00152C0C">
        <w:rPr>
          <w:rFonts w:eastAsia="Adobe Gothic Std B" w:cs="Microsoft Sans Serif"/>
          <w:b/>
        </w:rPr>
        <w:t xml:space="preserve"> </w:t>
      </w:r>
      <w:r w:rsidR="00957546" w:rsidRPr="00152C0C">
        <w:rPr>
          <w:rFonts w:cs="Tahoma"/>
          <w:b/>
          <w:lang w:val="es-ES_tradnl"/>
        </w:rPr>
        <w:t xml:space="preserve">CONCEDER </w:t>
      </w:r>
      <w:r w:rsidR="00957546" w:rsidRPr="00152C0C">
        <w:rPr>
          <w:rFonts w:cs="Tahoma"/>
          <w:lang w:val="es-ES_tradnl"/>
        </w:rPr>
        <w:t>a</w:t>
      </w:r>
      <w:r w:rsidR="005A33CF" w:rsidRPr="00152C0C">
        <w:rPr>
          <w:rFonts w:cs="Tahoma"/>
          <w:lang w:val="es-ES_tradnl"/>
        </w:rPr>
        <w:t xml:space="preserve"> los procesados</w:t>
      </w:r>
      <w:r w:rsidR="005A33CF" w:rsidRPr="00152C0C">
        <w:rPr>
          <w:rFonts w:cs="Microsoft Sans Serif"/>
        </w:rPr>
        <w:t xml:space="preserve"> HERNEY BEDOYA </w:t>
      </w:r>
      <w:r w:rsidR="00957546" w:rsidRPr="00152C0C">
        <w:rPr>
          <w:rFonts w:cs="Microsoft Sans Serif"/>
        </w:rPr>
        <w:t>QUINTERO y</w:t>
      </w:r>
      <w:r w:rsidR="005A33CF" w:rsidRPr="00152C0C">
        <w:rPr>
          <w:rFonts w:cs="Microsoft Sans Serif"/>
        </w:rPr>
        <w:t xml:space="preserve"> MARILIN TABORDA GUEVARA</w:t>
      </w:r>
      <w:r w:rsidR="005A33CF" w:rsidRPr="00152C0C">
        <w:rPr>
          <w:rFonts w:cs="Tahoma"/>
          <w:lang w:val="es-ES_tradnl"/>
        </w:rPr>
        <w:t xml:space="preserve"> </w:t>
      </w:r>
      <w:r w:rsidR="00AA38F7" w:rsidRPr="00152C0C">
        <w:rPr>
          <w:rFonts w:cs="Tahoma"/>
          <w:lang w:val="es-ES_tradnl"/>
        </w:rPr>
        <w:t xml:space="preserve">un descuento punitivo del </w:t>
      </w:r>
      <w:r w:rsidR="00C57B6A" w:rsidRPr="00152C0C">
        <w:rPr>
          <w:rFonts w:cs="Tahoma"/>
          <w:lang w:val="es-ES_tradnl"/>
        </w:rPr>
        <w:t>35% de la pena final a imponer</w:t>
      </w:r>
      <w:r w:rsidR="00AA38F7" w:rsidRPr="00152C0C">
        <w:rPr>
          <w:rFonts w:cs="Tahoma"/>
          <w:lang w:val="es-ES_tradnl"/>
        </w:rPr>
        <w:t xml:space="preserve">, por </w:t>
      </w:r>
      <w:r w:rsidR="00C57B6A" w:rsidRPr="00152C0C">
        <w:rPr>
          <w:rFonts w:cs="Tahoma"/>
          <w:lang w:val="es-ES_tradnl"/>
        </w:rPr>
        <w:t xml:space="preserve">su </w:t>
      </w:r>
      <w:r w:rsidR="00AA38F7" w:rsidRPr="00152C0C">
        <w:rPr>
          <w:rFonts w:cs="Tahoma"/>
          <w:lang w:val="es-ES_tradnl"/>
        </w:rPr>
        <w:t xml:space="preserve">aceptación de cargos durante la audiencia de formulación de imputación, de tal manera que la pena </w:t>
      </w:r>
      <w:r w:rsidR="00445F85" w:rsidRPr="00152C0C">
        <w:rPr>
          <w:rFonts w:cs="Tahoma"/>
          <w:lang w:val="es-ES_tradnl"/>
        </w:rPr>
        <w:t xml:space="preserve">impuesta </w:t>
      </w:r>
      <w:r w:rsidR="00AA38F7" w:rsidRPr="00152C0C">
        <w:rPr>
          <w:rFonts w:cs="Tahoma"/>
          <w:lang w:val="es-ES_tradnl"/>
        </w:rPr>
        <w:t xml:space="preserve"> será de </w:t>
      </w:r>
      <w:r w:rsidR="00C57B6A" w:rsidRPr="00152C0C">
        <w:rPr>
          <w:rFonts w:cs="Tahoma"/>
          <w:lang w:val="es-ES_tradnl"/>
        </w:rPr>
        <w:t xml:space="preserve">93 </w:t>
      </w:r>
      <w:r w:rsidR="005A33CF" w:rsidRPr="00152C0C">
        <w:rPr>
          <w:rFonts w:cs="Tahoma"/>
          <w:lang w:val="es-ES_tradnl"/>
        </w:rPr>
        <w:t>meses</w:t>
      </w:r>
      <w:r w:rsidR="00C57B6A" w:rsidRPr="00152C0C">
        <w:rPr>
          <w:rFonts w:cs="Tahoma"/>
          <w:lang w:val="es-ES_tradnl"/>
        </w:rPr>
        <w:t xml:space="preserve"> y 18 días</w:t>
      </w:r>
      <w:r w:rsidR="005A33CF" w:rsidRPr="00152C0C">
        <w:rPr>
          <w:rFonts w:cs="Tahoma"/>
          <w:lang w:val="es-ES_tradnl"/>
        </w:rPr>
        <w:t xml:space="preserve"> </w:t>
      </w:r>
      <w:r w:rsidR="00445F85" w:rsidRPr="00152C0C">
        <w:rPr>
          <w:rFonts w:cs="Tahoma"/>
          <w:lang w:val="es-ES_tradnl"/>
        </w:rPr>
        <w:t xml:space="preserve">de prisión </w:t>
      </w:r>
      <w:r w:rsidR="005A33CF" w:rsidRPr="00152C0C">
        <w:rPr>
          <w:rFonts w:cs="Tahoma"/>
          <w:lang w:val="es-ES_tradnl"/>
        </w:rPr>
        <w:t xml:space="preserve">para el primero y </w:t>
      </w:r>
      <w:r w:rsidR="00C57B6A" w:rsidRPr="00152C0C">
        <w:rPr>
          <w:rFonts w:cs="Tahoma"/>
          <w:lang w:val="es-ES_tradnl"/>
        </w:rPr>
        <w:t>46</w:t>
      </w:r>
      <w:r w:rsidR="005A33CF" w:rsidRPr="00152C0C">
        <w:rPr>
          <w:rFonts w:cs="Tahoma"/>
          <w:lang w:val="es-ES_tradnl"/>
        </w:rPr>
        <w:t xml:space="preserve"> meses</w:t>
      </w:r>
      <w:r w:rsidR="00C57B6A" w:rsidRPr="00152C0C">
        <w:rPr>
          <w:rFonts w:cs="Tahoma"/>
          <w:lang w:val="es-ES_tradnl"/>
        </w:rPr>
        <w:t xml:space="preserve"> y 24 días </w:t>
      </w:r>
      <w:r w:rsidR="00445F85" w:rsidRPr="00152C0C">
        <w:rPr>
          <w:rFonts w:cs="Tahoma"/>
          <w:lang w:val="es-ES_tradnl"/>
        </w:rPr>
        <w:t xml:space="preserve">de prisión </w:t>
      </w:r>
      <w:r w:rsidR="00C57B6A" w:rsidRPr="00152C0C">
        <w:rPr>
          <w:rFonts w:cs="Tahoma"/>
          <w:lang w:val="es-ES_tradnl"/>
        </w:rPr>
        <w:t>para la segunda</w:t>
      </w:r>
      <w:r w:rsidR="00445F85" w:rsidRPr="00152C0C">
        <w:rPr>
          <w:rFonts w:cs="Tahoma"/>
          <w:lang w:val="es-ES_tradnl"/>
        </w:rPr>
        <w:t xml:space="preserve">. </w:t>
      </w:r>
    </w:p>
    <w:p w:rsidR="00445F85" w:rsidRPr="00152C0C" w:rsidRDefault="00445F85" w:rsidP="007951D5">
      <w:pPr>
        <w:spacing w:line="276" w:lineRule="auto"/>
        <w:jc w:val="both"/>
        <w:rPr>
          <w:rFonts w:cs="Tahoma"/>
          <w:lang w:val="es-ES_tradnl"/>
        </w:rPr>
      </w:pPr>
    </w:p>
    <w:p w:rsidR="00445F85" w:rsidRPr="00152C0C" w:rsidRDefault="00957546" w:rsidP="007951D5">
      <w:pPr>
        <w:spacing w:line="276" w:lineRule="auto"/>
        <w:jc w:val="both"/>
        <w:rPr>
          <w:rFonts w:eastAsia="Adobe Gothic Std B" w:cs="Microsoft Sans Serif"/>
        </w:rPr>
      </w:pPr>
      <w:r w:rsidRPr="00152C0C">
        <w:rPr>
          <w:rFonts w:eastAsia="Adobe Gothic Std B" w:cs="Microsoft Sans Serif"/>
          <w:b/>
        </w:rPr>
        <w:t xml:space="preserve">TERCERO: </w:t>
      </w:r>
      <w:r w:rsidR="00445F85" w:rsidRPr="00152C0C">
        <w:rPr>
          <w:rFonts w:eastAsia="Adobe Gothic Std B" w:cs="Microsoft Sans Serif"/>
        </w:rPr>
        <w:t xml:space="preserve">Modificar las penas accesorias de inhabilitación para el ejercicio de derechos y funciones impuestas a los Procesados, las cuales corresponderán </w:t>
      </w:r>
      <w:r w:rsidR="007951D5" w:rsidRPr="00152C0C">
        <w:rPr>
          <w:rFonts w:eastAsia="Adobe Gothic Std B" w:cs="Microsoft Sans Serif"/>
        </w:rPr>
        <w:t>al monto de las penas de prisión impuesta a cada uno de ellos.</w:t>
      </w:r>
    </w:p>
    <w:p w:rsidR="007951D5" w:rsidRPr="00152C0C" w:rsidRDefault="007951D5" w:rsidP="007951D5">
      <w:pPr>
        <w:spacing w:line="276" w:lineRule="auto"/>
        <w:jc w:val="both"/>
        <w:rPr>
          <w:rFonts w:eastAsia="Adobe Gothic Std B" w:cs="Microsoft Sans Serif"/>
        </w:rPr>
      </w:pPr>
    </w:p>
    <w:p w:rsidR="007951D5" w:rsidRPr="00152C0C" w:rsidRDefault="007951D5" w:rsidP="007951D5">
      <w:pPr>
        <w:spacing w:line="276" w:lineRule="auto"/>
        <w:jc w:val="both"/>
        <w:rPr>
          <w:rFonts w:eastAsia="Adobe Gothic Std B" w:cs="Microsoft Sans Serif"/>
        </w:rPr>
      </w:pPr>
      <w:r w:rsidRPr="00152C0C">
        <w:rPr>
          <w:rFonts w:eastAsia="Adobe Gothic Std B" w:cs="Microsoft Sans Serif"/>
          <w:b/>
        </w:rPr>
        <w:t xml:space="preserve">CUARTO: </w:t>
      </w:r>
      <w:r w:rsidRPr="00152C0C">
        <w:rPr>
          <w:rFonts w:eastAsia="Adobe Gothic Std B" w:cs="Microsoft Sans Serif"/>
        </w:rPr>
        <w:t xml:space="preserve">Confirmar el fallo opugnado en todo aquello que tiene que ver con la negativa de no </w:t>
      </w:r>
      <w:r w:rsidR="00C774CF" w:rsidRPr="00152C0C">
        <w:rPr>
          <w:rFonts w:eastAsia="Adobe Gothic Std B" w:cs="Microsoft Sans Serif"/>
        </w:rPr>
        <w:t>concederles</w:t>
      </w:r>
      <w:r w:rsidRPr="00152C0C">
        <w:rPr>
          <w:rFonts w:eastAsia="Adobe Gothic Std B" w:cs="Microsoft Sans Serif"/>
        </w:rPr>
        <w:t xml:space="preserve"> a los Procesados HERNEY BEDOYA QUINTERO y MARILIN TABORDA GUEVARA el disfrute del subrogado pena de la suspensión condicional de la ejecución la pena. </w:t>
      </w:r>
    </w:p>
    <w:p w:rsidR="00445F85" w:rsidRPr="00152C0C" w:rsidRDefault="00445F85" w:rsidP="007951D5">
      <w:pPr>
        <w:spacing w:line="276" w:lineRule="auto"/>
        <w:jc w:val="both"/>
        <w:rPr>
          <w:rFonts w:eastAsia="Adobe Gothic Std B" w:cs="Microsoft Sans Serif"/>
          <w:b/>
        </w:rPr>
      </w:pPr>
    </w:p>
    <w:p w:rsidR="00957546" w:rsidRPr="00152C0C" w:rsidRDefault="00957546" w:rsidP="007951D5">
      <w:pPr>
        <w:spacing w:line="276" w:lineRule="auto"/>
        <w:jc w:val="both"/>
        <w:rPr>
          <w:rFonts w:eastAsia="Adobe Gothic Std B" w:cs="Microsoft Sans Serif"/>
        </w:rPr>
      </w:pPr>
      <w:r w:rsidRPr="00152C0C">
        <w:rPr>
          <w:rFonts w:eastAsia="Adobe Gothic Std B" w:cs="Microsoft Sans Serif"/>
          <w:b/>
        </w:rPr>
        <w:t>DECLARAR</w:t>
      </w:r>
      <w:r w:rsidRPr="00152C0C">
        <w:rPr>
          <w:rFonts w:eastAsia="Adobe Gothic Std B" w:cs="Microsoft Sans Serif"/>
        </w:rPr>
        <w:t xml:space="preserve"> que en contra del presente fallo de segunda instancia procede el recurso de casación, el cual deberá ser interpuesto y sustentado dentro de las oportunidades de ley.</w:t>
      </w:r>
    </w:p>
    <w:p w:rsidR="00F359A4" w:rsidRPr="00152C0C" w:rsidRDefault="00F359A4" w:rsidP="007951D5">
      <w:pPr>
        <w:spacing w:line="276" w:lineRule="auto"/>
        <w:jc w:val="both"/>
        <w:rPr>
          <w:rFonts w:eastAsia="Adobe Gothic Std B" w:cs="Microsoft Sans Serif"/>
        </w:rPr>
      </w:pPr>
    </w:p>
    <w:p w:rsidR="00F359A4" w:rsidRPr="00152C0C" w:rsidRDefault="00F359A4" w:rsidP="007951D5">
      <w:pPr>
        <w:autoSpaceDE w:val="0"/>
        <w:autoSpaceDN w:val="0"/>
        <w:spacing w:line="276" w:lineRule="auto"/>
        <w:rPr>
          <w:rFonts w:eastAsia="Times New Roman" w:cs="Microsoft Sans Serif"/>
          <w:b/>
          <w:lang w:eastAsia="es-ES"/>
        </w:rPr>
      </w:pPr>
    </w:p>
    <w:p w:rsidR="00F359A4" w:rsidRPr="00152C0C" w:rsidRDefault="00F359A4" w:rsidP="007951D5">
      <w:pPr>
        <w:autoSpaceDE w:val="0"/>
        <w:autoSpaceDN w:val="0"/>
        <w:spacing w:line="276" w:lineRule="auto"/>
        <w:jc w:val="center"/>
        <w:rPr>
          <w:rFonts w:eastAsia="Times New Roman" w:cs="Microsoft Sans Serif"/>
          <w:b/>
          <w:lang w:eastAsia="es-ES"/>
        </w:rPr>
      </w:pPr>
      <w:r w:rsidRPr="00152C0C">
        <w:rPr>
          <w:rFonts w:eastAsia="Times New Roman" w:cs="Microsoft Sans Serif"/>
          <w:b/>
          <w:lang w:eastAsia="es-ES"/>
        </w:rPr>
        <w:t>NOTIFÍQUESE Y CÚMPLASE:</w:t>
      </w:r>
    </w:p>
    <w:p w:rsidR="00F359A4" w:rsidRPr="00152C0C" w:rsidRDefault="00F359A4" w:rsidP="007951D5">
      <w:pPr>
        <w:autoSpaceDE w:val="0"/>
        <w:autoSpaceDN w:val="0"/>
        <w:spacing w:line="276" w:lineRule="auto"/>
        <w:jc w:val="center"/>
        <w:rPr>
          <w:rFonts w:eastAsia="Times New Roman" w:cs="Microsoft Sans Serif"/>
          <w:lang w:eastAsia="es-ES"/>
        </w:rPr>
      </w:pPr>
    </w:p>
    <w:p w:rsidR="00F359A4" w:rsidRPr="00152C0C" w:rsidRDefault="00F359A4" w:rsidP="007951D5">
      <w:pPr>
        <w:autoSpaceDE w:val="0"/>
        <w:autoSpaceDN w:val="0"/>
        <w:spacing w:line="276" w:lineRule="auto"/>
        <w:jc w:val="center"/>
        <w:rPr>
          <w:rFonts w:eastAsia="Times New Roman" w:cs="Microsoft Sans Serif"/>
          <w:lang w:eastAsia="es-ES"/>
        </w:rPr>
      </w:pPr>
    </w:p>
    <w:p w:rsidR="00F359A4" w:rsidRPr="00152C0C" w:rsidRDefault="00F359A4" w:rsidP="007951D5">
      <w:pPr>
        <w:autoSpaceDE w:val="0"/>
        <w:autoSpaceDN w:val="0"/>
        <w:spacing w:line="276" w:lineRule="auto"/>
        <w:jc w:val="center"/>
        <w:rPr>
          <w:rFonts w:eastAsia="Times New Roman" w:cs="Microsoft Sans Serif"/>
          <w:lang w:eastAsia="es-ES"/>
        </w:rPr>
      </w:pPr>
    </w:p>
    <w:p w:rsidR="00F359A4" w:rsidRPr="00152C0C" w:rsidRDefault="00F359A4" w:rsidP="007951D5">
      <w:pPr>
        <w:autoSpaceDE w:val="0"/>
        <w:autoSpaceDN w:val="0"/>
        <w:spacing w:line="276" w:lineRule="auto"/>
        <w:jc w:val="center"/>
        <w:rPr>
          <w:rFonts w:eastAsia="Times New Roman" w:cs="Microsoft Sans Serif"/>
          <w:lang w:eastAsia="es-ES"/>
        </w:rPr>
      </w:pPr>
    </w:p>
    <w:p w:rsidR="00D00EAD" w:rsidRPr="00152C0C" w:rsidRDefault="00D00EAD" w:rsidP="007951D5">
      <w:pPr>
        <w:autoSpaceDE w:val="0"/>
        <w:autoSpaceDN w:val="0"/>
        <w:spacing w:line="276" w:lineRule="auto"/>
        <w:rPr>
          <w:rFonts w:eastAsia="Times New Roman" w:cs="Microsoft Sans Serif"/>
          <w:lang w:eastAsia="es-ES"/>
        </w:rPr>
      </w:pPr>
    </w:p>
    <w:p w:rsidR="001A06F3" w:rsidRPr="00152C0C" w:rsidRDefault="001A06F3" w:rsidP="007951D5">
      <w:pPr>
        <w:autoSpaceDE w:val="0"/>
        <w:autoSpaceDN w:val="0"/>
        <w:spacing w:line="276" w:lineRule="auto"/>
        <w:rPr>
          <w:rFonts w:eastAsia="Times New Roman" w:cs="Microsoft Sans Serif"/>
          <w:lang w:eastAsia="es-ES"/>
        </w:rPr>
      </w:pPr>
    </w:p>
    <w:p w:rsidR="00B82BBC" w:rsidRPr="00152C0C" w:rsidRDefault="00B82BBC" w:rsidP="007951D5">
      <w:pPr>
        <w:autoSpaceDE w:val="0"/>
        <w:autoSpaceDN w:val="0"/>
        <w:spacing w:line="276" w:lineRule="auto"/>
        <w:jc w:val="center"/>
        <w:rPr>
          <w:rFonts w:eastAsia="Times New Roman" w:cs="Microsoft Sans Serif"/>
          <w:lang w:eastAsia="es-ES"/>
        </w:rPr>
      </w:pPr>
    </w:p>
    <w:p w:rsidR="00F359A4" w:rsidRPr="00152C0C" w:rsidRDefault="00F359A4" w:rsidP="007951D5">
      <w:pPr>
        <w:spacing w:line="276" w:lineRule="auto"/>
        <w:jc w:val="center"/>
        <w:rPr>
          <w:rFonts w:eastAsia="Times New Roman" w:cs="Microsoft Sans Serif"/>
          <w:b/>
        </w:rPr>
      </w:pPr>
      <w:r w:rsidRPr="00152C0C">
        <w:rPr>
          <w:rFonts w:eastAsia="Times New Roman" w:cs="Microsoft Sans Serif"/>
          <w:b/>
        </w:rPr>
        <w:t>MANUEL YARZAGARAY BANDERA</w:t>
      </w:r>
    </w:p>
    <w:p w:rsidR="00F359A4" w:rsidRPr="00152C0C" w:rsidRDefault="00F359A4" w:rsidP="007951D5">
      <w:pPr>
        <w:spacing w:line="276" w:lineRule="auto"/>
        <w:jc w:val="center"/>
        <w:rPr>
          <w:rFonts w:eastAsia="Times New Roman" w:cs="Microsoft Sans Serif"/>
        </w:rPr>
      </w:pPr>
      <w:r w:rsidRPr="00152C0C">
        <w:rPr>
          <w:rFonts w:eastAsia="Times New Roman" w:cs="Microsoft Sans Serif"/>
        </w:rPr>
        <w:t>Magistrado</w:t>
      </w:r>
    </w:p>
    <w:p w:rsidR="00F359A4" w:rsidRPr="00152C0C" w:rsidRDefault="00F359A4" w:rsidP="007951D5">
      <w:pPr>
        <w:spacing w:line="276" w:lineRule="auto"/>
        <w:rPr>
          <w:rFonts w:eastAsia="Times New Roman" w:cs="Microsoft Sans Serif"/>
        </w:rPr>
      </w:pPr>
    </w:p>
    <w:p w:rsidR="00F359A4" w:rsidRPr="00152C0C" w:rsidRDefault="00F359A4" w:rsidP="007951D5">
      <w:pPr>
        <w:spacing w:line="276" w:lineRule="auto"/>
        <w:rPr>
          <w:rFonts w:eastAsia="Times New Roman" w:cs="Microsoft Sans Serif"/>
        </w:rPr>
      </w:pPr>
    </w:p>
    <w:p w:rsidR="00F359A4" w:rsidRPr="00152C0C" w:rsidRDefault="00F359A4" w:rsidP="007951D5">
      <w:pPr>
        <w:spacing w:line="276" w:lineRule="auto"/>
        <w:rPr>
          <w:rFonts w:eastAsia="Times New Roman" w:cs="Microsoft Sans Serif"/>
        </w:rPr>
      </w:pPr>
    </w:p>
    <w:p w:rsidR="00F359A4" w:rsidRPr="00152C0C" w:rsidRDefault="00F359A4" w:rsidP="007951D5">
      <w:pPr>
        <w:spacing w:line="276" w:lineRule="auto"/>
        <w:rPr>
          <w:rFonts w:eastAsia="Times New Roman" w:cs="Microsoft Sans Serif"/>
        </w:rPr>
      </w:pPr>
    </w:p>
    <w:p w:rsidR="00D00EAD" w:rsidRPr="00152C0C" w:rsidRDefault="00D00EAD" w:rsidP="007951D5">
      <w:pPr>
        <w:spacing w:line="276" w:lineRule="auto"/>
        <w:rPr>
          <w:rFonts w:eastAsia="Times New Roman" w:cs="Microsoft Sans Serif"/>
        </w:rPr>
      </w:pPr>
    </w:p>
    <w:p w:rsidR="00241197" w:rsidRPr="00152C0C" w:rsidRDefault="00241197" w:rsidP="007951D5">
      <w:pPr>
        <w:spacing w:line="276" w:lineRule="auto"/>
        <w:jc w:val="center"/>
        <w:rPr>
          <w:rFonts w:eastAsia="Times New Roman" w:cs="Microsoft Sans Serif"/>
        </w:rPr>
      </w:pPr>
    </w:p>
    <w:p w:rsidR="00D00EAD" w:rsidRPr="00152C0C" w:rsidRDefault="00D00EAD" w:rsidP="007951D5">
      <w:pPr>
        <w:spacing w:line="276" w:lineRule="auto"/>
        <w:jc w:val="center"/>
        <w:rPr>
          <w:rFonts w:eastAsia="Times New Roman" w:cs="Microsoft Sans Serif"/>
        </w:rPr>
      </w:pPr>
    </w:p>
    <w:p w:rsidR="00F359A4" w:rsidRPr="00152C0C" w:rsidRDefault="00F359A4" w:rsidP="007951D5">
      <w:pPr>
        <w:spacing w:line="276" w:lineRule="auto"/>
        <w:jc w:val="center"/>
        <w:rPr>
          <w:rFonts w:eastAsia="Times New Roman" w:cs="Microsoft Sans Serif"/>
          <w:b/>
        </w:rPr>
      </w:pPr>
      <w:r w:rsidRPr="00152C0C">
        <w:rPr>
          <w:rFonts w:eastAsia="Times New Roman" w:cs="Microsoft Sans Serif"/>
          <w:b/>
        </w:rPr>
        <w:t>JORGE ARTURO CASTAÑO DUQUE</w:t>
      </w:r>
    </w:p>
    <w:p w:rsidR="00F359A4" w:rsidRPr="00152C0C" w:rsidRDefault="00F359A4" w:rsidP="007951D5">
      <w:pPr>
        <w:spacing w:line="276" w:lineRule="auto"/>
        <w:jc w:val="center"/>
        <w:rPr>
          <w:rFonts w:eastAsia="Times New Roman" w:cs="Microsoft Sans Serif"/>
        </w:rPr>
      </w:pPr>
      <w:r w:rsidRPr="00152C0C">
        <w:rPr>
          <w:rFonts w:eastAsia="Times New Roman" w:cs="Microsoft Sans Serif"/>
        </w:rPr>
        <w:t>Magistrado</w:t>
      </w:r>
    </w:p>
    <w:p w:rsidR="00F359A4" w:rsidRPr="00152C0C" w:rsidRDefault="00F359A4" w:rsidP="007951D5">
      <w:pPr>
        <w:spacing w:line="276" w:lineRule="auto"/>
        <w:jc w:val="center"/>
        <w:rPr>
          <w:rFonts w:eastAsia="Times New Roman" w:cs="Microsoft Sans Serif"/>
        </w:rPr>
      </w:pPr>
    </w:p>
    <w:p w:rsidR="00F359A4" w:rsidRPr="00152C0C" w:rsidRDefault="00F359A4" w:rsidP="007951D5">
      <w:pPr>
        <w:spacing w:line="276" w:lineRule="auto"/>
        <w:jc w:val="center"/>
        <w:rPr>
          <w:rFonts w:eastAsia="Times New Roman" w:cs="Microsoft Sans Serif"/>
        </w:rPr>
      </w:pPr>
    </w:p>
    <w:p w:rsidR="00D00EAD" w:rsidRPr="00152C0C" w:rsidRDefault="00D00EAD" w:rsidP="007951D5">
      <w:pPr>
        <w:spacing w:line="276" w:lineRule="auto"/>
        <w:jc w:val="center"/>
        <w:rPr>
          <w:rFonts w:eastAsia="Times New Roman" w:cs="Microsoft Sans Serif"/>
        </w:rPr>
      </w:pPr>
    </w:p>
    <w:p w:rsidR="00D00EAD" w:rsidRPr="00152C0C" w:rsidRDefault="00D00EAD" w:rsidP="007951D5">
      <w:pPr>
        <w:spacing w:line="276" w:lineRule="auto"/>
        <w:jc w:val="center"/>
        <w:rPr>
          <w:rFonts w:eastAsia="Times New Roman" w:cs="Microsoft Sans Serif"/>
        </w:rPr>
      </w:pPr>
    </w:p>
    <w:p w:rsidR="00F359A4" w:rsidRPr="00152C0C" w:rsidRDefault="00F359A4" w:rsidP="007951D5">
      <w:pPr>
        <w:spacing w:line="276" w:lineRule="auto"/>
        <w:jc w:val="center"/>
        <w:rPr>
          <w:rFonts w:eastAsia="Times New Roman" w:cs="Microsoft Sans Serif"/>
        </w:rPr>
      </w:pPr>
    </w:p>
    <w:p w:rsidR="00C059DC" w:rsidRPr="00152C0C" w:rsidRDefault="00C059DC" w:rsidP="007951D5">
      <w:pPr>
        <w:spacing w:line="276" w:lineRule="auto"/>
        <w:jc w:val="center"/>
        <w:rPr>
          <w:rFonts w:eastAsia="Times New Roman" w:cs="Microsoft Sans Serif"/>
        </w:rPr>
      </w:pPr>
    </w:p>
    <w:p w:rsidR="00F359A4" w:rsidRPr="00152C0C" w:rsidRDefault="00F359A4" w:rsidP="007951D5">
      <w:pPr>
        <w:spacing w:line="276" w:lineRule="auto"/>
        <w:jc w:val="center"/>
        <w:rPr>
          <w:rFonts w:eastAsia="Times New Roman" w:cs="Microsoft Sans Serif"/>
        </w:rPr>
      </w:pPr>
    </w:p>
    <w:p w:rsidR="00F359A4" w:rsidRPr="00152C0C" w:rsidRDefault="00F359A4" w:rsidP="007951D5">
      <w:pPr>
        <w:spacing w:line="276" w:lineRule="auto"/>
        <w:jc w:val="center"/>
        <w:rPr>
          <w:rFonts w:eastAsia="Times New Roman" w:cs="Microsoft Sans Serif"/>
          <w:b/>
        </w:rPr>
      </w:pPr>
      <w:r w:rsidRPr="00152C0C">
        <w:rPr>
          <w:rFonts w:eastAsia="Times New Roman" w:cs="Microsoft Sans Serif"/>
          <w:b/>
        </w:rPr>
        <w:t>JAIRO ERNESTO ESCOBAR SANZ</w:t>
      </w:r>
    </w:p>
    <w:p w:rsidR="00435550" w:rsidRPr="00152C0C" w:rsidRDefault="00F359A4" w:rsidP="007951D5">
      <w:pPr>
        <w:spacing w:line="276" w:lineRule="auto"/>
        <w:jc w:val="center"/>
        <w:rPr>
          <w:rFonts w:eastAsia="Times New Roman" w:cs="Verdana"/>
          <w:lang w:val="es-ES" w:eastAsia="es-ES"/>
        </w:rPr>
      </w:pPr>
      <w:r w:rsidRPr="00152C0C">
        <w:rPr>
          <w:rFonts w:eastAsia="Times New Roman" w:cs="Microsoft Sans Serif"/>
        </w:rPr>
        <w:t>Magistrado</w:t>
      </w:r>
    </w:p>
    <w:p w:rsidR="00E02D86" w:rsidRPr="00152C0C" w:rsidRDefault="00E02D86" w:rsidP="007951D5">
      <w:pPr>
        <w:spacing w:line="276" w:lineRule="auto"/>
        <w:jc w:val="both"/>
      </w:pPr>
    </w:p>
    <w:sectPr w:rsidR="00E02D86" w:rsidRPr="00152C0C" w:rsidSect="00B52A33">
      <w:headerReference w:type="default" r:id="rId9"/>
      <w:footerReference w:type="default" r:id="rId10"/>
      <w:pgSz w:w="12242" w:h="19442" w:code="268"/>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3A" w:rsidRDefault="00BA6B3A" w:rsidP="00F359A4">
      <w:r>
        <w:separator/>
      </w:r>
    </w:p>
  </w:endnote>
  <w:endnote w:type="continuationSeparator" w:id="0">
    <w:p w:rsidR="00BA6B3A" w:rsidRDefault="00BA6B3A" w:rsidP="00F3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CA" w:rsidRPr="001349EE" w:rsidRDefault="00945ACA">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152C0C">
      <w:rPr>
        <w:rFonts w:ascii="Consolas" w:hAnsi="Consolas" w:cs="Consolas"/>
        <w:b/>
        <w:bCs/>
        <w:noProof/>
        <w:sz w:val="22"/>
        <w:szCs w:val="22"/>
      </w:rPr>
      <w:t>14</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152C0C">
      <w:rPr>
        <w:rFonts w:ascii="Consolas" w:hAnsi="Consolas" w:cs="Consolas"/>
        <w:b/>
        <w:bCs/>
        <w:noProof/>
        <w:sz w:val="22"/>
        <w:szCs w:val="22"/>
      </w:rPr>
      <w:t>14</w:t>
    </w:r>
    <w:r w:rsidRPr="001349EE">
      <w:rPr>
        <w:rFonts w:ascii="Consolas" w:hAnsi="Consolas" w:cs="Consolas"/>
        <w:b/>
        <w:bCs/>
        <w:sz w:val="22"/>
        <w:szCs w:val="22"/>
      </w:rPr>
      <w:fldChar w:fldCharType="end"/>
    </w:r>
  </w:p>
  <w:p w:rsidR="00945ACA" w:rsidRPr="001349EE" w:rsidRDefault="00945ACA">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3A" w:rsidRDefault="00BA6B3A" w:rsidP="00F359A4">
      <w:r>
        <w:separator/>
      </w:r>
    </w:p>
  </w:footnote>
  <w:footnote w:type="continuationSeparator" w:id="0">
    <w:p w:rsidR="00BA6B3A" w:rsidRDefault="00BA6B3A" w:rsidP="00F359A4">
      <w:r>
        <w:continuationSeparator/>
      </w:r>
    </w:p>
  </w:footnote>
  <w:footnote w:id="1">
    <w:p w:rsidR="00C306AF" w:rsidRPr="00B52A33" w:rsidRDefault="00C306AF" w:rsidP="007951D5">
      <w:pPr>
        <w:pStyle w:val="Textonotapie"/>
        <w:jc w:val="both"/>
        <w:rPr>
          <w:rFonts w:asciiTheme="majorHAnsi" w:hAnsiTheme="majorHAnsi" w:cstheme="majorHAnsi"/>
          <w:szCs w:val="22"/>
          <w:lang w:val="es-CO"/>
        </w:rPr>
      </w:pPr>
      <w:r w:rsidRPr="00B52A33">
        <w:rPr>
          <w:rStyle w:val="Refdenotaalpie"/>
          <w:rFonts w:asciiTheme="majorHAnsi" w:hAnsiTheme="majorHAnsi" w:cstheme="majorHAnsi"/>
          <w:szCs w:val="22"/>
        </w:rPr>
        <w:footnoteRef/>
      </w:r>
      <w:r w:rsidRPr="00B52A33">
        <w:rPr>
          <w:rFonts w:asciiTheme="majorHAnsi" w:hAnsiTheme="majorHAnsi" w:cstheme="majorHAnsi"/>
          <w:szCs w:val="22"/>
        </w:rPr>
        <w:t xml:space="preserve"> </w:t>
      </w:r>
      <w:r w:rsidRPr="00B52A33">
        <w:rPr>
          <w:rFonts w:asciiTheme="majorHAnsi" w:hAnsiTheme="majorHAnsi" w:cstheme="majorHAnsi"/>
          <w:szCs w:val="22"/>
          <w:lang w:val="es-CO"/>
        </w:rPr>
        <w:t xml:space="preserve">A quien no se le reconocieron los descuentos punitivos del artículo 268 C.P. por presentar antecedentes penales vigentes. </w:t>
      </w:r>
    </w:p>
  </w:footnote>
  <w:footnote w:id="2">
    <w:p w:rsidR="00C15064" w:rsidRPr="00B52A33" w:rsidRDefault="00C15064" w:rsidP="007951D5">
      <w:pPr>
        <w:pStyle w:val="Sinespaciado"/>
        <w:jc w:val="both"/>
        <w:rPr>
          <w:rFonts w:asciiTheme="majorHAnsi" w:hAnsiTheme="majorHAnsi" w:cstheme="majorHAnsi"/>
          <w:sz w:val="20"/>
          <w:szCs w:val="22"/>
        </w:rPr>
      </w:pPr>
      <w:r w:rsidRPr="00B52A33">
        <w:rPr>
          <w:rStyle w:val="Refdenotaalpie"/>
          <w:rFonts w:asciiTheme="majorHAnsi" w:hAnsiTheme="majorHAnsi" w:cstheme="majorHAnsi"/>
          <w:sz w:val="20"/>
          <w:szCs w:val="22"/>
        </w:rPr>
        <w:footnoteRef/>
      </w:r>
      <w:r w:rsidRPr="00B52A33">
        <w:rPr>
          <w:rFonts w:asciiTheme="majorHAnsi" w:hAnsiTheme="majorHAnsi" w:cstheme="majorHAnsi"/>
          <w:sz w:val="20"/>
          <w:szCs w:val="22"/>
        </w:rPr>
        <w:t xml:space="preserve"> Consagrados en el # 2º del artículo 534 C.P.P.</w:t>
      </w:r>
    </w:p>
  </w:footnote>
  <w:footnote w:id="3">
    <w:p w:rsidR="00C15064" w:rsidRPr="00B52A33" w:rsidRDefault="00C15064" w:rsidP="007951D5">
      <w:pPr>
        <w:pStyle w:val="Sinespaciado"/>
        <w:jc w:val="both"/>
        <w:rPr>
          <w:rFonts w:asciiTheme="majorHAnsi" w:hAnsiTheme="majorHAnsi" w:cstheme="majorHAnsi"/>
          <w:sz w:val="20"/>
          <w:szCs w:val="22"/>
        </w:rPr>
      </w:pPr>
      <w:r w:rsidRPr="00B52A33">
        <w:rPr>
          <w:rStyle w:val="Refdenotaalpie"/>
          <w:rFonts w:asciiTheme="majorHAnsi" w:hAnsiTheme="majorHAnsi" w:cstheme="majorHAnsi"/>
          <w:sz w:val="20"/>
          <w:szCs w:val="22"/>
        </w:rPr>
        <w:footnoteRef/>
      </w:r>
      <w:r w:rsidRPr="00B52A33">
        <w:rPr>
          <w:rFonts w:asciiTheme="majorHAnsi" w:hAnsiTheme="majorHAnsi" w:cstheme="majorHAnsi"/>
          <w:sz w:val="20"/>
          <w:szCs w:val="22"/>
        </w:rPr>
        <w:t xml:space="preserve"> Artículo 549 C.P.P.</w:t>
      </w:r>
    </w:p>
  </w:footnote>
  <w:footnote w:id="4">
    <w:p w:rsidR="00C15064" w:rsidRPr="00B52A33" w:rsidRDefault="00C15064" w:rsidP="007951D5">
      <w:pPr>
        <w:pStyle w:val="Textonotapie"/>
        <w:jc w:val="both"/>
        <w:rPr>
          <w:rFonts w:asciiTheme="majorHAnsi" w:hAnsiTheme="majorHAnsi" w:cstheme="majorHAnsi"/>
          <w:szCs w:val="22"/>
        </w:rPr>
      </w:pPr>
      <w:r w:rsidRPr="00B52A33">
        <w:rPr>
          <w:rStyle w:val="Refdenotaalpie"/>
          <w:rFonts w:asciiTheme="majorHAnsi" w:hAnsiTheme="majorHAnsi" w:cstheme="majorHAnsi"/>
          <w:szCs w:val="22"/>
        </w:rPr>
        <w:footnoteRef/>
      </w:r>
      <w:r w:rsidRPr="00B52A33">
        <w:rPr>
          <w:rFonts w:asciiTheme="majorHAnsi" w:hAnsiTheme="majorHAnsi" w:cstheme="majorHAnsi"/>
          <w:szCs w:val="22"/>
        </w:rPr>
        <w:t xml:space="preserve"> </w:t>
      </w:r>
      <w:r w:rsidRPr="00B52A33">
        <w:rPr>
          <w:rFonts w:asciiTheme="majorHAnsi" w:hAnsiTheme="majorHAnsi" w:cstheme="majorHAnsi"/>
          <w:szCs w:val="22"/>
          <w:lang w:val="es-CO"/>
        </w:rPr>
        <w:t>Artículo 13 de la Carta.</w:t>
      </w:r>
    </w:p>
  </w:footnote>
  <w:footnote w:id="5">
    <w:p w:rsidR="007951D5" w:rsidRPr="007951D5" w:rsidRDefault="007951D5" w:rsidP="007951D5">
      <w:pPr>
        <w:pStyle w:val="Textonotapie"/>
        <w:jc w:val="both"/>
        <w:rPr>
          <w:rFonts w:asciiTheme="majorHAnsi" w:hAnsiTheme="majorHAnsi" w:cstheme="majorHAnsi"/>
          <w:lang w:val="es-CO"/>
        </w:rPr>
      </w:pPr>
      <w:r w:rsidRPr="007951D5">
        <w:rPr>
          <w:rStyle w:val="Refdenotaalpie"/>
          <w:rFonts w:asciiTheme="majorHAnsi" w:hAnsiTheme="majorHAnsi" w:cstheme="majorHAnsi"/>
        </w:rPr>
        <w:footnoteRef/>
      </w:r>
      <w:r w:rsidRPr="007951D5">
        <w:rPr>
          <w:rFonts w:asciiTheme="majorHAnsi" w:hAnsiTheme="majorHAnsi" w:cstheme="majorHAnsi"/>
        </w:rPr>
        <w:t xml:space="preserve"> Lo que es consecuencia de la Sentencia del 27 de septiembre de 2017. SP14496-2017. Rad. # 39831, proferida por la Sala de Casación Penal de la C.S.J. en la que se dijo que los allanamientos a cargos eran una modalidad de los preacuerdos y no una figura procesal independiente.</w:t>
      </w:r>
    </w:p>
  </w:footnote>
  <w:footnote w:id="6">
    <w:p w:rsidR="006846CE" w:rsidRPr="00B52A33" w:rsidRDefault="006846CE" w:rsidP="007951D5">
      <w:pPr>
        <w:jc w:val="both"/>
        <w:rPr>
          <w:rFonts w:asciiTheme="majorHAnsi" w:eastAsia="Times New Roman" w:hAnsiTheme="majorHAnsi" w:cstheme="majorHAnsi"/>
          <w:sz w:val="20"/>
          <w:szCs w:val="22"/>
          <w:lang w:val="es-ES"/>
        </w:rPr>
      </w:pPr>
      <w:r w:rsidRPr="00B52A33">
        <w:rPr>
          <w:rStyle w:val="Refdenotaalpie"/>
          <w:rFonts w:asciiTheme="majorHAnsi" w:hAnsiTheme="majorHAnsi" w:cstheme="majorHAnsi"/>
          <w:sz w:val="20"/>
          <w:szCs w:val="22"/>
        </w:rPr>
        <w:footnoteRef/>
      </w:r>
      <w:r w:rsidRPr="00B52A33">
        <w:rPr>
          <w:rFonts w:asciiTheme="majorHAnsi" w:hAnsiTheme="majorHAnsi" w:cstheme="majorHAnsi"/>
          <w:sz w:val="20"/>
          <w:szCs w:val="22"/>
        </w:rPr>
        <w:t xml:space="preserve"> Corte Suprema de Justicia, Sala </w:t>
      </w:r>
      <w:r w:rsidRPr="00B52A33">
        <w:rPr>
          <w:rFonts w:asciiTheme="majorHAnsi" w:eastAsia="Times New Roman" w:hAnsiTheme="majorHAnsi" w:cstheme="majorHAnsi"/>
          <w:sz w:val="20"/>
          <w:szCs w:val="22"/>
          <w:lang w:val="es-ES"/>
        </w:rPr>
        <w:t xml:space="preserve">de Casación Penal: Sentencia del 21 de febrero de 2007. Rad. # 25726. </w:t>
      </w:r>
    </w:p>
    <w:p w:rsidR="006846CE" w:rsidRPr="007951D5" w:rsidRDefault="006846CE" w:rsidP="007951D5">
      <w:pPr>
        <w:pStyle w:val="Textonotapie"/>
        <w:jc w:val="both"/>
        <w:rPr>
          <w:rFonts w:asciiTheme="majorHAnsi" w:hAnsiTheme="majorHAnsi" w:cstheme="majorHAnsi"/>
          <w:sz w:val="22"/>
          <w:szCs w:val="22"/>
          <w:lang w:val="es-CO"/>
        </w:rPr>
      </w:pPr>
    </w:p>
  </w:footnote>
  <w:footnote w:id="7">
    <w:p w:rsidR="005439FB" w:rsidRPr="00B52A33" w:rsidRDefault="005439FB" w:rsidP="007951D5">
      <w:pPr>
        <w:pStyle w:val="Textonotapie"/>
        <w:jc w:val="both"/>
        <w:rPr>
          <w:rFonts w:asciiTheme="majorHAnsi" w:hAnsiTheme="majorHAnsi" w:cstheme="majorHAnsi"/>
          <w:szCs w:val="22"/>
          <w:lang w:val="es-CO"/>
        </w:rPr>
      </w:pPr>
      <w:r w:rsidRPr="00B52A33">
        <w:rPr>
          <w:rStyle w:val="Refdenotaalpie"/>
          <w:rFonts w:asciiTheme="majorHAnsi" w:hAnsiTheme="majorHAnsi" w:cstheme="majorHAnsi"/>
          <w:szCs w:val="22"/>
        </w:rPr>
        <w:footnoteRef/>
      </w:r>
      <w:r w:rsidRPr="00B52A33">
        <w:rPr>
          <w:rFonts w:asciiTheme="majorHAnsi" w:hAnsiTheme="majorHAnsi" w:cstheme="majorHAnsi"/>
          <w:szCs w:val="22"/>
        </w:rPr>
        <w:t xml:space="preserve"> Corte Suprema de Justicia, Sala de Casación Penal: Sentencia del 14 de septiembre  de 2.016. SP13157. Rad. # 48453. M.P. EYDER PATIÑO CABRERA.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CA" w:rsidRPr="00C306AF" w:rsidRDefault="0076217F"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Procesados: MARILIN TABORDA GUEVARA</w:t>
    </w:r>
    <w:r w:rsidR="003434C6" w:rsidRPr="00C306AF">
      <w:rPr>
        <w:rFonts w:ascii="Lucida Sans" w:hAnsi="Lucida Sans"/>
        <w:b/>
        <w:color w:val="000000" w:themeColor="text1"/>
        <w:sz w:val="16"/>
        <w:szCs w:val="16"/>
      </w:rPr>
      <w:t xml:space="preserve"> – HERNEY BEDOYA QUINTERO</w:t>
    </w:r>
    <w:r w:rsidR="00945ACA" w:rsidRPr="00C306AF">
      <w:rPr>
        <w:rFonts w:ascii="Lucida Sans" w:hAnsi="Lucida Sans"/>
        <w:b/>
        <w:color w:val="000000" w:themeColor="text1"/>
        <w:sz w:val="16"/>
        <w:szCs w:val="16"/>
      </w:rPr>
      <w:t xml:space="preserve"> </w:t>
    </w:r>
  </w:p>
  <w:p w:rsidR="00945ACA" w:rsidRPr="00C306AF" w:rsidRDefault="00945ACA"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Radicado # 66</w:t>
    </w:r>
    <w:r w:rsidR="003434C6" w:rsidRPr="00C306AF">
      <w:rPr>
        <w:rFonts w:ascii="Lucida Sans" w:hAnsi="Lucida Sans"/>
        <w:b/>
        <w:color w:val="000000" w:themeColor="text1"/>
        <w:sz w:val="16"/>
        <w:szCs w:val="16"/>
      </w:rPr>
      <w:t>0016000035201580090</w:t>
    </w:r>
    <w:r w:rsidRPr="00C306AF">
      <w:rPr>
        <w:rFonts w:ascii="Lucida Sans" w:hAnsi="Lucida Sans"/>
        <w:b/>
        <w:color w:val="000000" w:themeColor="text1"/>
        <w:sz w:val="16"/>
        <w:szCs w:val="16"/>
      </w:rPr>
      <w:t>-01</w:t>
    </w:r>
  </w:p>
  <w:p w:rsidR="00945ACA" w:rsidRPr="00C306AF" w:rsidRDefault="00945ACA"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 xml:space="preserve">Delito: Hurto calificado </w:t>
    </w:r>
    <w:r w:rsidR="003434C6" w:rsidRPr="00C306AF">
      <w:rPr>
        <w:rFonts w:ascii="Lucida Sans" w:hAnsi="Lucida Sans"/>
        <w:b/>
        <w:color w:val="000000" w:themeColor="text1"/>
        <w:sz w:val="16"/>
        <w:szCs w:val="16"/>
      </w:rPr>
      <w:t xml:space="preserve">con circunstancias de agravación </w:t>
    </w:r>
  </w:p>
  <w:p w:rsidR="007951D5" w:rsidRDefault="00945ACA"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Procede:</w:t>
    </w:r>
    <w:r w:rsidRPr="00C306AF">
      <w:rPr>
        <w:rFonts w:ascii="Lucida Sans" w:hAnsi="Lucida Sans"/>
        <w:b/>
        <w:color w:val="000000" w:themeColor="text1"/>
        <w:sz w:val="16"/>
        <w:szCs w:val="16"/>
      </w:rPr>
      <w:tab/>
      <w:t>Juzgado 1º Pe</w:t>
    </w:r>
    <w:r w:rsidR="003434C6" w:rsidRPr="00C306AF">
      <w:rPr>
        <w:rFonts w:ascii="Lucida Sans" w:hAnsi="Lucida Sans"/>
        <w:b/>
        <w:color w:val="000000" w:themeColor="text1"/>
        <w:sz w:val="16"/>
        <w:szCs w:val="16"/>
      </w:rPr>
      <w:t>nal Municipal de Pereira</w:t>
    </w:r>
    <w:r w:rsidR="007951D5">
      <w:rPr>
        <w:rFonts w:ascii="Lucida Sans" w:hAnsi="Lucida Sans"/>
        <w:b/>
        <w:color w:val="000000" w:themeColor="text1"/>
        <w:sz w:val="16"/>
        <w:szCs w:val="16"/>
      </w:rPr>
      <w:t>.</w:t>
    </w:r>
  </w:p>
  <w:p w:rsidR="00945ACA" w:rsidRPr="00C306AF" w:rsidRDefault="00945ACA"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 xml:space="preserve">Asunto: Resuelve recurso de apelación </w:t>
    </w:r>
    <w:r w:rsidR="00C059DC" w:rsidRPr="00C306AF">
      <w:rPr>
        <w:rFonts w:ascii="Lucida Sans" w:hAnsi="Lucida Sans"/>
        <w:b/>
        <w:color w:val="000000" w:themeColor="text1"/>
        <w:sz w:val="16"/>
        <w:szCs w:val="16"/>
      </w:rPr>
      <w:t>de la Defensa</w:t>
    </w:r>
    <w:r w:rsidR="002D23C8" w:rsidRPr="00C306AF">
      <w:rPr>
        <w:rFonts w:ascii="Lucida Sans" w:hAnsi="Lucida Sans"/>
        <w:b/>
        <w:color w:val="000000" w:themeColor="text1"/>
        <w:sz w:val="16"/>
        <w:szCs w:val="16"/>
      </w:rPr>
      <w:t>.</w:t>
    </w:r>
  </w:p>
  <w:p w:rsidR="00945ACA" w:rsidRPr="00C306AF" w:rsidRDefault="00945ACA" w:rsidP="00435550">
    <w:pPr>
      <w:pStyle w:val="Sinespaciado"/>
      <w:ind w:left="3402"/>
      <w:jc w:val="both"/>
      <w:rPr>
        <w:rFonts w:ascii="Lucida Sans" w:hAnsi="Lucida Sans"/>
        <w:b/>
        <w:color w:val="000000" w:themeColor="text1"/>
        <w:sz w:val="16"/>
        <w:szCs w:val="16"/>
      </w:rPr>
    </w:pPr>
    <w:r w:rsidRPr="00C306AF">
      <w:rPr>
        <w:rFonts w:ascii="Lucida Sans" w:hAnsi="Lucida Sans"/>
        <w:b/>
        <w:color w:val="000000" w:themeColor="text1"/>
        <w:sz w:val="16"/>
        <w:szCs w:val="16"/>
      </w:rPr>
      <w:t>Decisión:</w:t>
    </w:r>
    <w:r w:rsidRPr="00C306AF">
      <w:rPr>
        <w:rFonts w:ascii="Lucida Sans" w:hAnsi="Lucida Sans"/>
        <w:b/>
        <w:color w:val="000000" w:themeColor="text1"/>
        <w:sz w:val="16"/>
        <w:szCs w:val="16"/>
      </w:rPr>
      <w:tab/>
      <w:t xml:space="preserve"> </w:t>
    </w:r>
    <w:r w:rsidR="00C57B6A" w:rsidRPr="00C306AF">
      <w:rPr>
        <w:rFonts w:ascii="Lucida Sans" w:hAnsi="Lucida Sans"/>
        <w:b/>
        <w:color w:val="000000" w:themeColor="text1"/>
        <w:sz w:val="16"/>
        <w:szCs w:val="16"/>
      </w:rPr>
      <w:t>Modifica</w:t>
    </w:r>
    <w:r w:rsidRPr="00C306AF">
      <w:rPr>
        <w:rFonts w:ascii="Lucida Sans" w:hAnsi="Lucida Sans"/>
        <w:b/>
        <w:color w:val="000000" w:themeColor="text1"/>
        <w:sz w:val="16"/>
        <w:szCs w:val="16"/>
      </w:rPr>
      <w:t xml:space="preserve"> fallo confutado</w:t>
    </w:r>
    <w:r w:rsidR="002D23C8" w:rsidRPr="00C306AF">
      <w:rPr>
        <w:rFonts w:ascii="Lucida Sans" w:hAnsi="Lucida Sans"/>
        <w:b/>
        <w:color w:val="000000" w:themeColor="text1"/>
        <w:sz w:val="16"/>
        <w:szCs w:val="16"/>
      </w:rPr>
      <w:t>.</w:t>
    </w:r>
  </w:p>
  <w:p w:rsidR="00945ACA" w:rsidRPr="00C059DC" w:rsidRDefault="00945ACA" w:rsidP="00435550">
    <w:pPr>
      <w:pStyle w:val="Sinespaciado"/>
      <w:ind w:left="3402"/>
      <w:jc w:val="both"/>
      <w:rPr>
        <w:rFonts w:ascii="Lucida Sans" w:hAnsi="Lucida Sans"/>
        <w:b/>
        <w:color w:val="7F7F7F"/>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C3F6A"/>
    <w:multiLevelType w:val="hybridMultilevel"/>
    <w:tmpl w:val="13C6E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D170937"/>
    <w:multiLevelType w:val="hybridMultilevel"/>
    <w:tmpl w:val="6FF45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716B8B"/>
    <w:multiLevelType w:val="hybridMultilevel"/>
    <w:tmpl w:val="EAFE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4E77DD"/>
    <w:multiLevelType w:val="hybridMultilevel"/>
    <w:tmpl w:val="C2141A44"/>
    <w:lvl w:ilvl="0" w:tplc="7968296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53184E"/>
    <w:multiLevelType w:val="hybridMultilevel"/>
    <w:tmpl w:val="21200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0AB57D3"/>
    <w:multiLevelType w:val="hybridMultilevel"/>
    <w:tmpl w:val="09A2E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43B01EE"/>
    <w:multiLevelType w:val="hybridMultilevel"/>
    <w:tmpl w:val="4FF83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D2130D7"/>
    <w:multiLevelType w:val="hybridMultilevel"/>
    <w:tmpl w:val="A418C518"/>
    <w:lvl w:ilvl="0" w:tplc="D6EA74C8">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A1A25"/>
    <w:multiLevelType w:val="hybridMultilevel"/>
    <w:tmpl w:val="8638712A"/>
    <w:lvl w:ilvl="0" w:tplc="240A0011">
      <w:start w:val="1"/>
      <w:numFmt w:val="decimal"/>
      <w:lvlText w:val="%1)"/>
      <w:lvlJc w:val="left"/>
      <w:pPr>
        <w:ind w:left="461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0"/>
  </w:num>
  <w:num w:numId="5">
    <w:abstractNumId w:val="10"/>
  </w:num>
  <w:num w:numId="6">
    <w:abstractNumId w:val="4"/>
  </w:num>
  <w:num w:numId="7">
    <w:abstractNumId w:val="8"/>
  </w:num>
  <w:num w:numId="8">
    <w:abstractNumId w:val="2"/>
  </w:num>
  <w:num w:numId="9">
    <w:abstractNumId w:val="9"/>
  </w:num>
  <w:num w:numId="10">
    <w:abstractNumId w:val="13"/>
  </w:num>
  <w:num w:numId="11">
    <w:abstractNumId w:val="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A4"/>
    <w:rsid w:val="0000627A"/>
    <w:rsid w:val="00006D54"/>
    <w:rsid w:val="00022ACC"/>
    <w:rsid w:val="00027476"/>
    <w:rsid w:val="0003082E"/>
    <w:rsid w:val="000358A6"/>
    <w:rsid w:val="00037BF8"/>
    <w:rsid w:val="000427A4"/>
    <w:rsid w:val="000451EA"/>
    <w:rsid w:val="00063FAE"/>
    <w:rsid w:val="000703EE"/>
    <w:rsid w:val="00087F21"/>
    <w:rsid w:val="00095007"/>
    <w:rsid w:val="000A5622"/>
    <w:rsid w:val="000B5078"/>
    <w:rsid w:val="000B7B5D"/>
    <w:rsid w:val="000C0478"/>
    <w:rsid w:val="000E5328"/>
    <w:rsid w:val="000E5B25"/>
    <w:rsid w:val="000F6D0E"/>
    <w:rsid w:val="00105601"/>
    <w:rsid w:val="00121103"/>
    <w:rsid w:val="00126905"/>
    <w:rsid w:val="00134839"/>
    <w:rsid w:val="00140319"/>
    <w:rsid w:val="00151509"/>
    <w:rsid w:val="00152C0C"/>
    <w:rsid w:val="00157F0B"/>
    <w:rsid w:val="00163B0C"/>
    <w:rsid w:val="001921C8"/>
    <w:rsid w:val="001A06F3"/>
    <w:rsid w:val="001A2E8F"/>
    <w:rsid w:val="001B0822"/>
    <w:rsid w:val="001C61D8"/>
    <w:rsid w:val="001C7302"/>
    <w:rsid w:val="00203AA8"/>
    <w:rsid w:val="0020622D"/>
    <w:rsid w:val="002101AC"/>
    <w:rsid w:val="00227A67"/>
    <w:rsid w:val="00241197"/>
    <w:rsid w:val="00251F47"/>
    <w:rsid w:val="00256BED"/>
    <w:rsid w:val="00266AA9"/>
    <w:rsid w:val="00286A5B"/>
    <w:rsid w:val="00295E74"/>
    <w:rsid w:val="002A415C"/>
    <w:rsid w:val="002C1692"/>
    <w:rsid w:val="002C29FC"/>
    <w:rsid w:val="002D16FE"/>
    <w:rsid w:val="002D23C8"/>
    <w:rsid w:val="002D27AA"/>
    <w:rsid w:val="002E34C8"/>
    <w:rsid w:val="002E4742"/>
    <w:rsid w:val="002E5F64"/>
    <w:rsid w:val="002F2863"/>
    <w:rsid w:val="003009BD"/>
    <w:rsid w:val="00302DC7"/>
    <w:rsid w:val="00310E1E"/>
    <w:rsid w:val="00321C9E"/>
    <w:rsid w:val="0033075B"/>
    <w:rsid w:val="00335C4B"/>
    <w:rsid w:val="003379A0"/>
    <w:rsid w:val="003434C6"/>
    <w:rsid w:val="003436FD"/>
    <w:rsid w:val="003605B7"/>
    <w:rsid w:val="00367641"/>
    <w:rsid w:val="00385BDC"/>
    <w:rsid w:val="0039537B"/>
    <w:rsid w:val="003A44B5"/>
    <w:rsid w:val="003A4C4D"/>
    <w:rsid w:val="003B3E78"/>
    <w:rsid w:val="003B486F"/>
    <w:rsid w:val="003B5E49"/>
    <w:rsid w:val="003C3DFD"/>
    <w:rsid w:val="003E7FA8"/>
    <w:rsid w:val="003F0FD8"/>
    <w:rsid w:val="00414A73"/>
    <w:rsid w:val="00435550"/>
    <w:rsid w:val="004449FC"/>
    <w:rsid w:val="00445F85"/>
    <w:rsid w:val="00446C64"/>
    <w:rsid w:val="004A13AB"/>
    <w:rsid w:val="004A2A60"/>
    <w:rsid w:val="004A35E6"/>
    <w:rsid w:val="004E5CB9"/>
    <w:rsid w:val="004F21B6"/>
    <w:rsid w:val="005022F0"/>
    <w:rsid w:val="0050274D"/>
    <w:rsid w:val="005045DA"/>
    <w:rsid w:val="005139A6"/>
    <w:rsid w:val="00516040"/>
    <w:rsid w:val="005213E0"/>
    <w:rsid w:val="00530DBE"/>
    <w:rsid w:val="005439FB"/>
    <w:rsid w:val="00546A08"/>
    <w:rsid w:val="00556BF8"/>
    <w:rsid w:val="005831CE"/>
    <w:rsid w:val="00587B01"/>
    <w:rsid w:val="005A33CF"/>
    <w:rsid w:val="005A5BF5"/>
    <w:rsid w:val="005B0A38"/>
    <w:rsid w:val="005B41A2"/>
    <w:rsid w:val="005D2080"/>
    <w:rsid w:val="005D7DA6"/>
    <w:rsid w:val="00625F75"/>
    <w:rsid w:val="006322B6"/>
    <w:rsid w:val="00632688"/>
    <w:rsid w:val="0063746A"/>
    <w:rsid w:val="00644377"/>
    <w:rsid w:val="0064661A"/>
    <w:rsid w:val="006479DA"/>
    <w:rsid w:val="00653476"/>
    <w:rsid w:val="0066270D"/>
    <w:rsid w:val="00670666"/>
    <w:rsid w:val="006728B4"/>
    <w:rsid w:val="006778E5"/>
    <w:rsid w:val="00684353"/>
    <w:rsid w:val="006846CE"/>
    <w:rsid w:val="00693501"/>
    <w:rsid w:val="006B2F8C"/>
    <w:rsid w:val="006E6ECB"/>
    <w:rsid w:val="006F3A54"/>
    <w:rsid w:val="006F467E"/>
    <w:rsid w:val="006F5B63"/>
    <w:rsid w:val="007228ED"/>
    <w:rsid w:val="0073085C"/>
    <w:rsid w:val="00734D47"/>
    <w:rsid w:val="00734FDA"/>
    <w:rsid w:val="00745625"/>
    <w:rsid w:val="00746F55"/>
    <w:rsid w:val="0076178D"/>
    <w:rsid w:val="0076217F"/>
    <w:rsid w:val="00766030"/>
    <w:rsid w:val="007750D0"/>
    <w:rsid w:val="0077658C"/>
    <w:rsid w:val="007940DD"/>
    <w:rsid w:val="00794E1A"/>
    <w:rsid w:val="007951D5"/>
    <w:rsid w:val="007A25F0"/>
    <w:rsid w:val="007B489D"/>
    <w:rsid w:val="007B654A"/>
    <w:rsid w:val="007C2004"/>
    <w:rsid w:val="007C7FB5"/>
    <w:rsid w:val="007E61B9"/>
    <w:rsid w:val="00806A8C"/>
    <w:rsid w:val="008118E9"/>
    <w:rsid w:val="008179A7"/>
    <w:rsid w:val="00833F32"/>
    <w:rsid w:val="00834F0A"/>
    <w:rsid w:val="00842EE5"/>
    <w:rsid w:val="008528EF"/>
    <w:rsid w:val="00855089"/>
    <w:rsid w:val="00855999"/>
    <w:rsid w:val="00856ECB"/>
    <w:rsid w:val="008700CD"/>
    <w:rsid w:val="0089627F"/>
    <w:rsid w:val="008C4F7A"/>
    <w:rsid w:val="008D1F97"/>
    <w:rsid w:val="008F1218"/>
    <w:rsid w:val="008F51C1"/>
    <w:rsid w:val="008F702F"/>
    <w:rsid w:val="009011BA"/>
    <w:rsid w:val="00915236"/>
    <w:rsid w:val="00945ACA"/>
    <w:rsid w:val="00957546"/>
    <w:rsid w:val="00970865"/>
    <w:rsid w:val="00977015"/>
    <w:rsid w:val="00980A6E"/>
    <w:rsid w:val="00985D2D"/>
    <w:rsid w:val="009A1F0F"/>
    <w:rsid w:val="009A3E50"/>
    <w:rsid w:val="009A43BB"/>
    <w:rsid w:val="009B1B74"/>
    <w:rsid w:val="009C642A"/>
    <w:rsid w:val="009D5F9C"/>
    <w:rsid w:val="009F0858"/>
    <w:rsid w:val="009F0A2B"/>
    <w:rsid w:val="009F3B2A"/>
    <w:rsid w:val="00A0603A"/>
    <w:rsid w:val="00A12C21"/>
    <w:rsid w:val="00A17B38"/>
    <w:rsid w:val="00A25F49"/>
    <w:rsid w:val="00A362C7"/>
    <w:rsid w:val="00A37D35"/>
    <w:rsid w:val="00A900DB"/>
    <w:rsid w:val="00A90603"/>
    <w:rsid w:val="00AA01C7"/>
    <w:rsid w:val="00AA38F7"/>
    <w:rsid w:val="00AB3D6A"/>
    <w:rsid w:val="00AB5228"/>
    <w:rsid w:val="00AB5E92"/>
    <w:rsid w:val="00AC062F"/>
    <w:rsid w:val="00AD066B"/>
    <w:rsid w:val="00AE7086"/>
    <w:rsid w:val="00AF2700"/>
    <w:rsid w:val="00AF2DA5"/>
    <w:rsid w:val="00B05CF5"/>
    <w:rsid w:val="00B06696"/>
    <w:rsid w:val="00B218EA"/>
    <w:rsid w:val="00B249E3"/>
    <w:rsid w:val="00B40A53"/>
    <w:rsid w:val="00B40AFB"/>
    <w:rsid w:val="00B42461"/>
    <w:rsid w:val="00B52A33"/>
    <w:rsid w:val="00B652D7"/>
    <w:rsid w:val="00B75A1D"/>
    <w:rsid w:val="00B82BBC"/>
    <w:rsid w:val="00B8353E"/>
    <w:rsid w:val="00B87725"/>
    <w:rsid w:val="00B95F6B"/>
    <w:rsid w:val="00BA051C"/>
    <w:rsid w:val="00BA6B3A"/>
    <w:rsid w:val="00BB35DA"/>
    <w:rsid w:val="00BE1A72"/>
    <w:rsid w:val="00BF4521"/>
    <w:rsid w:val="00BF5A19"/>
    <w:rsid w:val="00C059DC"/>
    <w:rsid w:val="00C1263B"/>
    <w:rsid w:val="00C15064"/>
    <w:rsid w:val="00C227C3"/>
    <w:rsid w:val="00C306AF"/>
    <w:rsid w:val="00C57B6A"/>
    <w:rsid w:val="00C774CF"/>
    <w:rsid w:val="00C85C53"/>
    <w:rsid w:val="00C97B4F"/>
    <w:rsid w:val="00CA03E4"/>
    <w:rsid w:val="00CC6CCA"/>
    <w:rsid w:val="00CE32A8"/>
    <w:rsid w:val="00CE5ABF"/>
    <w:rsid w:val="00CF4E23"/>
    <w:rsid w:val="00D00EAD"/>
    <w:rsid w:val="00D02E39"/>
    <w:rsid w:val="00D20EBE"/>
    <w:rsid w:val="00D31546"/>
    <w:rsid w:val="00D337A9"/>
    <w:rsid w:val="00D45AB9"/>
    <w:rsid w:val="00D562ED"/>
    <w:rsid w:val="00D66FDC"/>
    <w:rsid w:val="00D670DF"/>
    <w:rsid w:val="00D74462"/>
    <w:rsid w:val="00D7663D"/>
    <w:rsid w:val="00D80CD9"/>
    <w:rsid w:val="00D80F68"/>
    <w:rsid w:val="00D826D1"/>
    <w:rsid w:val="00DA4DBC"/>
    <w:rsid w:val="00DB0F8D"/>
    <w:rsid w:val="00DD5620"/>
    <w:rsid w:val="00DD577A"/>
    <w:rsid w:val="00DE2A27"/>
    <w:rsid w:val="00E02D86"/>
    <w:rsid w:val="00E0450F"/>
    <w:rsid w:val="00E11E0F"/>
    <w:rsid w:val="00E270B9"/>
    <w:rsid w:val="00E336AF"/>
    <w:rsid w:val="00E3608F"/>
    <w:rsid w:val="00E56933"/>
    <w:rsid w:val="00E76B42"/>
    <w:rsid w:val="00E80F5E"/>
    <w:rsid w:val="00EA5926"/>
    <w:rsid w:val="00EB053E"/>
    <w:rsid w:val="00EC286D"/>
    <w:rsid w:val="00ED2226"/>
    <w:rsid w:val="00ED35C3"/>
    <w:rsid w:val="00ED46EB"/>
    <w:rsid w:val="00ED6676"/>
    <w:rsid w:val="00ED68E6"/>
    <w:rsid w:val="00EE01F7"/>
    <w:rsid w:val="00EE6B93"/>
    <w:rsid w:val="00EF0BA0"/>
    <w:rsid w:val="00EF5B9C"/>
    <w:rsid w:val="00F108A6"/>
    <w:rsid w:val="00F21CFD"/>
    <w:rsid w:val="00F24CF6"/>
    <w:rsid w:val="00F24F4D"/>
    <w:rsid w:val="00F33859"/>
    <w:rsid w:val="00F359A4"/>
    <w:rsid w:val="00F4091E"/>
    <w:rsid w:val="00F42675"/>
    <w:rsid w:val="00F63032"/>
    <w:rsid w:val="00F705EC"/>
    <w:rsid w:val="00F74B8D"/>
    <w:rsid w:val="00F85ABD"/>
    <w:rsid w:val="00F903FB"/>
    <w:rsid w:val="00F95B70"/>
    <w:rsid w:val="00F97D3E"/>
    <w:rsid w:val="00FD6AF4"/>
    <w:rsid w:val="00FF45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C2918-CD48-49CB-A726-BE68AFC9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styleId="Piedepgina">
    <w:name w:val="footer"/>
    <w:basedOn w:val="Normal"/>
    <w:link w:val="PiedepginaCar"/>
    <w:uiPriority w:val="99"/>
    <w:unhideWhenUsed/>
    <w:rsid w:val="00F359A4"/>
    <w:pPr>
      <w:tabs>
        <w:tab w:val="center" w:pos="4419"/>
        <w:tab w:val="right" w:pos="8838"/>
      </w:tabs>
    </w:pPr>
  </w:style>
  <w:style w:type="character" w:customStyle="1" w:styleId="PiedepginaCar">
    <w:name w:val="Pie de página Car"/>
    <w:basedOn w:val="Fuentedeprrafopredeter"/>
    <w:link w:val="Piedepgina"/>
    <w:uiPriority w:val="99"/>
    <w:rsid w:val="00F359A4"/>
  </w:style>
  <w:style w:type="character" w:customStyle="1" w:styleId="SinespaciadoCar">
    <w:name w:val="Sin espaciado Car"/>
    <w:link w:val="Sinespaciado"/>
    <w:uiPriority w:val="99"/>
    <w:locked/>
    <w:rsid w:val="00F359A4"/>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359A4"/>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359A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iPriority w:val="99"/>
    <w:unhideWhenUsed/>
    <w:rsid w:val="00F359A4"/>
    <w:rPr>
      <w:rFonts w:ascii="Times New Roman" w:hAnsi="Times New Roman" w:cs="Times New Roman" w:hint="default"/>
      <w:vertAlign w:val="superscript"/>
    </w:rPr>
  </w:style>
  <w:style w:type="paragraph" w:styleId="Prrafodelista">
    <w:name w:val="List Paragraph"/>
    <w:basedOn w:val="Normal"/>
    <w:uiPriority w:val="34"/>
    <w:qFormat/>
    <w:rsid w:val="002101AC"/>
    <w:pPr>
      <w:ind w:left="720"/>
      <w:contextualSpacing/>
    </w:pPr>
  </w:style>
  <w:style w:type="paragraph" w:styleId="Encabezado">
    <w:name w:val="header"/>
    <w:basedOn w:val="Normal"/>
    <w:link w:val="EncabezadoCar"/>
    <w:uiPriority w:val="99"/>
    <w:unhideWhenUsed/>
    <w:rsid w:val="002101AC"/>
    <w:pPr>
      <w:tabs>
        <w:tab w:val="center" w:pos="4419"/>
        <w:tab w:val="right" w:pos="8838"/>
      </w:tabs>
    </w:pPr>
  </w:style>
  <w:style w:type="character" w:customStyle="1" w:styleId="EncabezadoCar">
    <w:name w:val="Encabezado Car"/>
    <w:basedOn w:val="Fuentedeprrafopredeter"/>
    <w:link w:val="Encabezado"/>
    <w:uiPriority w:val="99"/>
    <w:rsid w:val="002101AC"/>
  </w:style>
  <w:style w:type="paragraph" w:styleId="Textodeglobo">
    <w:name w:val="Balloon Text"/>
    <w:basedOn w:val="Normal"/>
    <w:link w:val="TextodegloboCar"/>
    <w:uiPriority w:val="99"/>
    <w:semiHidden/>
    <w:unhideWhenUsed/>
    <w:rsid w:val="00CE32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2A8"/>
    <w:rPr>
      <w:rFonts w:ascii="Segoe UI" w:hAnsi="Segoe UI" w:cs="Segoe UI"/>
      <w:sz w:val="18"/>
      <w:szCs w:val="18"/>
    </w:rPr>
  </w:style>
  <w:style w:type="character" w:styleId="Refdecomentario">
    <w:name w:val="annotation reference"/>
    <w:basedOn w:val="Fuentedeprrafopredeter"/>
    <w:uiPriority w:val="99"/>
    <w:semiHidden/>
    <w:unhideWhenUsed/>
    <w:rsid w:val="005045DA"/>
    <w:rPr>
      <w:sz w:val="16"/>
      <w:szCs w:val="16"/>
    </w:rPr>
  </w:style>
  <w:style w:type="paragraph" w:styleId="Textocomentario">
    <w:name w:val="annotation text"/>
    <w:basedOn w:val="Normal"/>
    <w:link w:val="TextocomentarioCar"/>
    <w:uiPriority w:val="99"/>
    <w:semiHidden/>
    <w:unhideWhenUsed/>
    <w:rsid w:val="005045DA"/>
    <w:rPr>
      <w:sz w:val="20"/>
      <w:szCs w:val="20"/>
    </w:rPr>
  </w:style>
  <w:style w:type="character" w:customStyle="1" w:styleId="TextocomentarioCar">
    <w:name w:val="Texto comentario Car"/>
    <w:basedOn w:val="Fuentedeprrafopredeter"/>
    <w:link w:val="Textocomentario"/>
    <w:uiPriority w:val="99"/>
    <w:semiHidden/>
    <w:rsid w:val="005045DA"/>
    <w:rPr>
      <w:sz w:val="20"/>
      <w:szCs w:val="20"/>
    </w:rPr>
  </w:style>
  <w:style w:type="paragraph" w:styleId="Asuntodelcomentario">
    <w:name w:val="annotation subject"/>
    <w:basedOn w:val="Textocomentario"/>
    <w:next w:val="Textocomentario"/>
    <w:link w:val="AsuntodelcomentarioCar"/>
    <w:uiPriority w:val="99"/>
    <w:semiHidden/>
    <w:unhideWhenUsed/>
    <w:rsid w:val="005045DA"/>
    <w:rPr>
      <w:b/>
      <w:bCs/>
    </w:rPr>
  </w:style>
  <w:style w:type="character" w:customStyle="1" w:styleId="AsuntodelcomentarioCar">
    <w:name w:val="Asunto del comentario Car"/>
    <w:basedOn w:val="TextocomentarioCar"/>
    <w:link w:val="Asuntodelcomentario"/>
    <w:uiPriority w:val="99"/>
    <w:semiHidden/>
    <w:rsid w:val="005045DA"/>
    <w:rPr>
      <w:b/>
      <w:bCs/>
      <w:sz w:val="20"/>
      <w:szCs w:val="20"/>
    </w:rPr>
  </w:style>
  <w:style w:type="paragraph" w:styleId="Textonotaalfinal">
    <w:name w:val="endnote text"/>
    <w:basedOn w:val="Normal"/>
    <w:link w:val="TextonotaalfinalCar"/>
    <w:uiPriority w:val="99"/>
    <w:semiHidden/>
    <w:unhideWhenUsed/>
    <w:rsid w:val="000703EE"/>
    <w:rPr>
      <w:sz w:val="20"/>
      <w:szCs w:val="20"/>
    </w:rPr>
  </w:style>
  <w:style w:type="character" w:customStyle="1" w:styleId="TextonotaalfinalCar">
    <w:name w:val="Texto nota al final Car"/>
    <w:basedOn w:val="Fuentedeprrafopredeter"/>
    <w:link w:val="Textonotaalfinal"/>
    <w:uiPriority w:val="99"/>
    <w:semiHidden/>
    <w:rsid w:val="000703EE"/>
    <w:rPr>
      <w:sz w:val="20"/>
      <w:szCs w:val="20"/>
    </w:rPr>
  </w:style>
  <w:style w:type="character" w:styleId="Refdenotaalfinal">
    <w:name w:val="endnote reference"/>
    <w:basedOn w:val="Fuentedeprrafopredeter"/>
    <w:uiPriority w:val="99"/>
    <w:semiHidden/>
    <w:unhideWhenUsed/>
    <w:rsid w:val="000703EE"/>
    <w:rPr>
      <w:vertAlign w:val="superscript"/>
    </w:rPr>
  </w:style>
  <w:style w:type="character" w:styleId="Hipervnculo">
    <w:name w:val="Hyperlink"/>
    <w:basedOn w:val="Fuentedeprrafopredeter"/>
    <w:uiPriority w:val="99"/>
    <w:semiHidden/>
    <w:unhideWhenUsed/>
    <w:rsid w:val="004A3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9704-723B-4911-BCD3-763B5D8B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14</Pages>
  <Words>4129</Words>
  <Characters>22711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14</cp:revision>
  <cp:lastPrinted>2018-06-08T19:42:00Z</cp:lastPrinted>
  <dcterms:created xsi:type="dcterms:W3CDTF">2018-05-29T20:46:00Z</dcterms:created>
  <dcterms:modified xsi:type="dcterms:W3CDTF">2018-07-30T14:54:00Z</dcterms:modified>
</cp:coreProperties>
</file>