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27" w:rsidRPr="00535297" w:rsidRDefault="002E5527" w:rsidP="002E5527">
      <w:pPr>
        <w:pStyle w:val="Sinespaciado"/>
        <w:spacing w:line="276" w:lineRule="auto"/>
        <w:jc w:val="center"/>
        <w:rPr>
          <w:rFonts w:ascii="Arial" w:hAnsi="Arial" w:cs="Arial"/>
          <w:b/>
        </w:rPr>
      </w:pPr>
    </w:p>
    <w:p w:rsidR="002E5527" w:rsidRPr="00535297" w:rsidRDefault="002E5527" w:rsidP="002E5527">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lang w:eastAsia="fr-FR"/>
        </w:rPr>
      </w:pPr>
      <w:r w:rsidRPr="00535297">
        <w:rPr>
          <w:rFonts w:ascii="Arial" w:eastAsia="Calibri" w:hAnsi="Arial" w:cs="Arial"/>
          <w:color w:val="FF0000"/>
          <w:spacing w:val="-8"/>
          <w:lang w:eastAsia="fr-FR"/>
        </w:rPr>
        <w:t xml:space="preserve">El siguiente es el documento presentado por el Magistrado Ponente que sirvió de base para proferir la providencia dentro del presente proceso. </w:t>
      </w:r>
      <w:r w:rsidRPr="00535297">
        <w:rPr>
          <w:rFonts w:ascii="Arial" w:eastAsia="Calibri" w:hAnsi="Arial" w:cs="Arial"/>
          <w:color w:val="FF0000"/>
          <w:lang w:eastAsia="fr-FR"/>
        </w:rPr>
        <w:t>El contenido total y fiel de la decisión debe ser verificado en la Secretaría de esta Sala.</w:t>
      </w:r>
    </w:p>
    <w:p w:rsidR="002E5527" w:rsidRPr="002E5527" w:rsidRDefault="002E5527" w:rsidP="002E5527">
      <w:pPr>
        <w:pStyle w:val="Sinespaciado"/>
        <w:rPr>
          <w:rFonts w:ascii="Arial" w:hAnsi="Arial" w:cs="Arial"/>
        </w:rPr>
      </w:pPr>
      <w:r w:rsidRPr="002E5527">
        <w:rPr>
          <w:rFonts w:ascii="Arial" w:hAnsi="Arial" w:cs="Arial"/>
        </w:rPr>
        <w:t>Providencia:</w:t>
      </w:r>
      <w:r w:rsidRPr="002E5527">
        <w:rPr>
          <w:rFonts w:ascii="Arial" w:hAnsi="Arial" w:cs="Arial"/>
        </w:rPr>
        <w:tab/>
      </w:r>
      <w:r w:rsidRPr="002E5527">
        <w:rPr>
          <w:rFonts w:ascii="Arial" w:hAnsi="Arial" w:cs="Arial"/>
        </w:rPr>
        <w:tab/>
      </w:r>
      <w:r w:rsidRPr="002E5527">
        <w:rPr>
          <w:rFonts w:ascii="Arial" w:hAnsi="Arial" w:cs="Arial"/>
        </w:rPr>
        <w:tab/>
        <w:t>Sentencia Única Instancia – 29 de agosto de 2018</w:t>
      </w:r>
    </w:p>
    <w:p w:rsidR="002E5527" w:rsidRPr="002E5527" w:rsidRDefault="002E5527" w:rsidP="002E5527">
      <w:pPr>
        <w:pStyle w:val="Sinespaciado"/>
        <w:rPr>
          <w:rFonts w:ascii="Arial" w:hAnsi="Arial" w:cs="Arial"/>
          <w:color w:val="000000" w:themeColor="text1"/>
        </w:rPr>
      </w:pPr>
      <w:r w:rsidRPr="002E5527">
        <w:rPr>
          <w:rFonts w:ascii="Arial" w:hAnsi="Arial" w:cs="Arial"/>
        </w:rPr>
        <w:t>Proceso:</w:t>
      </w:r>
      <w:r w:rsidRPr="002E5527">
        <w:rPr>
          <w:rFonts w:ascii="Arial" w:hAnsi="Arial" w:cs="Arial"/>
        </w:rPr>
        <w:tab/>
      </w:r>
      <w:r w:rsidRPr="002E5527">
        <w:rPr>
          <w:rFonts w:ascii="Arial" w:hAnsi="Arial" w:cs="Arial"/>
        </w:rPr>
        <w:tab/>
      </w:r>
      <w:r w:rsidRPr="002E5527">
        <w:rPr>
          <w:rFonts w:ascii="Arial" w:hAnsi="Arial" w:cs="Arial"/>
        </w:rPr>
        <w:tab/>
        <w:t>Acción de revisión</w:t>
      </w:r>
    </w:p>
    <w:p w:rsidR="002E5527" w:rsidRPr="002E5527" w:rsidRDefault="002E5527" w:rsidP="002E5527">
      <w:pPr>
        <w:pStyle w:val="Sinespaciado"/>
        <w:rPr>
          <w:rFonts w:ascii="Arial" w:hAnsi="Arial" w:cs="Arial"/>
          <w:color w:val="000000" w:themeColor="text1"/>
        </w:rPr>
      </w:pPr>
      <w:r w:rsidRPr="002E5527">
        <w:rPr>
          <w:rFonts w:ascii="Arial" w:hAnsi="Arial" w:cs="Arial"/>
          <w:color w:val="000000" w:themeColor="text1"/>
        </w:rPr>
        <w:t>Radicación:</w:t>
      </w:r>
      <w:r w:rsidRPr="002E5527">
        <w:rPr>
          <w:rFonts w:ascii="Arial" w:hAnsi="Arial" w:cs="Arial"/>
          <w:color w:val="000000" w:themeColor="text1"/>
        </w:rPr>
        <w:tab/>
      </w:r>
      <w:r w:rsidRPr="002E5527">
        <w:rPr>
          <w:rFonts w:ascii="Arial" w:hAnsi="Arial" w:cs="Arial"/>
          <w:color w:val="000000" w:themeColor="text1"/>
        </w:rPr>
        <w:tab/>
      </w:r>
      <w:r w:rsidRPr="002E5527">
        <w:rPr>
          <w:rFonts w:ascii="Arial" w:hAnsi="Arial" w:cs="Arial"/>
          <w:color w:val="000000" w:themeColor="text1"/>
        </w:rPr>
        <w:tab/>
      </w:r>
      <w:r w:rsidRPr="002E5527">
        <w:rPr>
          <w:rFonts w:ascii="Arial" w:eastAsia="Adobe Gothic Std B" w:hAnsi="Arial" w:cs="Arial"/>
        </w:rPr>
        <w:t>660012204000 2018 0007694-00</w:t>
      </w:r>
    </w:p>
    <w:p w:rsidR="002E5527" w:rsidRPr="002E5527" w:rsidRDefault="002E5527" w:rsidP="002E5527">
      <w:pPr>
        <w:pStyle w:val="Sinespaciado"/>
        <w:rPr>
          <w:rFonts w:ascii="Arial" w:hAnsi="Arial" w:cs="Arial"/>
          <w:lang w:val="es-ES"/>
        </w:rPr>
      </w:pPr>
      <w:r w:rsidRPr="002E5527">
        <w:rPr>
          <w:rFonts w:ascii="Arial" w:hAnsi="Arial" w:cs="Arial"/>
          <w:lang w:val="es-ES"/>
        </w:rPr>
        <w:t>Procesado:</w:t>
      </w:r>
      <w:r w:rsidRPr="002E5527">
        <w:rPr>
          <w:rFonts w:ascii="Arial" w:hAnsi="Arial" w:cs="Arial"/>
          <w:lang w:val="es-ES"/>
        </w:rPr>
        <w:tab/>
      </w:r>
      <w:r w:rsidRPr="002E5527">
        <w:rPr>
          <w:rFonts w:ascii="Arial" w:hAnsi="Arial" w:cs="Arial"/>
          <w:lang w:val="es-ES"/>
        </w:rPr>
        <w:tab/>
      </w:r>
      <w:r w:rsidRPr="002E5527">
        <w:rPr>
          <w:rFonts w:ascii="Arial" w:hAnsi="Arial" w:cs="Arial"/>
          <w:lang w:val="es-ES"/>
        </w:rPr>
        <w:tab/>
      </w:r>
      <w:r w:rsidRPr="002E5527">
        <w:rPr>
          <w:rFonts w:ascii="Arial" w:eastAsia="Adobe Gothic Std B" w:hAnsi="Arial" w:cs="Arial"/>
        </w:rPr>
        <w:t>Haiver Alexander Vélez Carmona</w:t>
      </w:r>
      <w:r w:rsidRPr="002E5527">
        <w:rPr>
          <w:rFonts w:ascii="Arial" w:hAnsi="Arial" w:cs="Arial"/>
        </w:rPr>
        <w:t>.</w:t>
      </w:r>
      <w:r w:rsidRPr="002E5527">
        <w:rPr>
          <w:rFonts w:ascii="Arial" w:hAnsi="Arial" w:cs="Arial"/>
          <w:lang w:val="es-ES"/>
        </w:rPr>
        <w:tab/>
      </w:r>
    </w:p>
    <w:p w:rsidR="002E5527" w:rsidRPr="002E5527" w:rsidRDefault="002E5527" w:rsidP="002E5527">
      <w:pPr>
        <w:pStyle w:val="Sinespaciado"/>
        <w:rPr>
          <w:rFonts w:ascii="Arial" w:hAnsi="Arial" w:cs="Arial"/>
          <w:lang w:val="es-ES"/>
        </w:rPr>
      </w:pPr>
      <w:r w:rsidRPr="002E5527">
        <w:rPr>
          <w:rFonts w:ascii="Arial" w:hAnsi="Arial" w:cs="Arial"/>
          <w:lang w:val="es-ES"/>
        </w:rPr>
        <w:t>Magistrado Ponente:</w:t>
      </w:r>
      <w:r w:rsidRPr="002E5527">
        <w:rPr>
          <w:rFonts w:ascii="Arial" w:hAnsi="Arial" w:cs="Arial"/>
          <w:lang w:val="es-ES"/>
        </w:rPr>
        <w:tab/>
      </w:r>
      <w:r w:rsidRPr="002E5527">
        <w:rPr>
          <w:rFonts w:ascii="Arial" w:hAnsi="Arial" w:cs="Arial"/>
          <w:lang w:val="es-ES"/>
        </w:rPr>
        <w:tab/>
        <w:t>Manuel Yarzagaray Bandera</w:t>
      </w:r>
    </w:p>
    <w:p w:rsidR="002E5527" w:rsidRPr="002E5527" w:rsidRDefault="002E5527" w:rsidP="002E5527">
      <w:pPr>
        <w:pStyle w:val="Sinespaciado"/>
        <w:rPr>
          <w:rFonts w:ascii="Arial" w:hAnsi="Arial" w:cs="Arial"/>
          <w:lang w:val="es-ES"/>
        </w:rPr>
      </w:pPr>
    </w:p>
    <w:p w:rsidR="002E5527" w:rsidRPr="002E5527" w:rsidRDefault="002E5527" w:rsidP="002E5527">
      <w:pPr>
        <w:pStyle w:val="Sinespaciado"/>
        <w:rPr>
          <w:rFonts w:ascii="Arial" w:hAnsi="Arial" w:cs="Arial"/>
          <w:lang w:val="es-ES"/>
        </w:rPr>
      </w:pPr>
    </w:p>
    <w:p w:rsidR="002E5527" w:rsidRDefault="00E42B5D" w:rsidP="00E42B5D">
      <w:pPr>
        <w:pStyle w:val="Sinespaciado"/>
        <w:jc w:val="both"/>
        <w:rPr>
          <w:rFonts w:ascii="Arial" w:hAnsi="Arial" w:cs="Arial"/>
          <w:b/>
        </w:rPr>
      </w:pPr>
      <w:r w:rsidRPr="00E42B5D">
        <w:rPr>
          <w:rFonts w:ascii="Arial" w:hAnsi="Arial" w:cs="Arial"/>
          <w:b/>
          <w:lang w:val="es-ES"/>
        </w:rPr>
        <w:t xml:space="preserve">TEMAS: </w:t>
      </w:r>
      <w:r w:rsidRPr="00E42B5D">
        <w:rPr>
          <w:rFonts w:ascii="Arial" w:hAnsi="Arial" w:cs="Arial"/>
          <w:b/>
          <w:lang w:val="es-ES"/>
        </w:rPr>
        <w:tab/>
      </w:r>
      <w:r w:rsidRPr="00E42B5D">
        <w:rPr>
          <w:rFonts w:ascii="Arial" w:hAnsi="Arial" w:cs="Arial"/>
          <w:b/>
          <w:lang w:val="es-ES"/>
        </w:rPr>
        <w:tab/>
      </w:r>
      <w:r w:rsidRPr="00E42B5D">
        <w:rPr>
          <w:rFonts w:ascii="Arial" w:hAnsi="Arial" w:cs="Arial"/>
          <w:b/>
          <w:lang w:val="es-ES"/>
        </w:rPr>
        <w:tab/>
      </w:r>
      <w:r w:rsidRPr="00E42B5D">
        <w:rPr>
          <w:rFonts w:ascii="Arial" w:hAnsi="Arial" w:cs="Arial"/>
          <w:b/>
        </w:rPr>
        <w:t>ACCIÓN DE REVISIÓN/ CUMPLIMIEN</w:t>
      </w:r>
      <w:bookmarkStart w:id="0" w:name="_GoBack"/>
      <w:bookmarkEnd w:id="0"/>
      <w:r w:rsidRPr="00E42B5D">
        <w:rPr>
          <w:rFonts w:ascii="Arial" w:hAnsi="Arial" w:cs="Arial"/>
          <w:b/>
        </w:rPr>
        <w:t xml:space="preserve">TO REQUISITOS CONSAGRADOS EN EL NUMERAL 7 DEL ARTÍCULO 192 DEL C.P.P./ CAMBIO LÍNEA JURISPRUDENCIAL DE LA </w:t>
      </w:r>
      <w:r w:rsidRPr="00E42B5D">
        <w:rPr>
          <w:rFonts w:ascii="Arial" w:eastAsia="Adobe Gothic Std B" w:hAnsi="Arial" w:cs="Arial"/>
          <w:b/>
          <w:lang w:eastAsia="es-ES"/>
        </w:rPr>
        <w:t xml:space="preserve">SALA DE CASACIÓN PENAL  DE LA </w:t>
      </w:r>
      <w:r w:rsidRPr="00E42B5D">
        <w:rPr>
          <w:rFonts w:ascii="Arial" w:hAnsi="Arial" w:cs="Arial"/>
          <w:b/>
        </w:rPr>
        <w:t>CORTE SUPREMA DE JUSTICIA EN CUANTO AL PORTE DE ESTUPEFACIENTES/</w:t>
      </w:r>
      <w:r w:rsidR="00EF1B8D" w:rsidRPr="00EF1B8D">
        <w:rPr>
          <w:rFonts w:ascii="Arial" w:hAnsi="Arial" w:cs="Arial"/>
          <w:b/>
        </w:rPr>
        <w:t xml:space="preserve"> </w:t>
      </w:r>
      <w:r w:rsidR="00EF1B8D" w:rsidRPr="00F86723">
        <w:rPr>
          <w:rFonts w:ascii="Arial" w:hAnsi="Arial" w:cs="Arial"/>
          <w:b/>
        </w:rPr>
        <w:t>CONDICIÓN DE ADICTOS O DE CONSUMIDORES DE ESTUPEFACIENTES</w:t>
      </w:r>
      <w:r w:rsidR="00EF1B8D">
        <w:rPr>
          <w:rFonts w:ascii="Arial" w:hAnsi="Arial" w:cs="Arial"/>
          <w:b/>
        </w:rPr>
        <w:t>/</w:t>
      </w:r>
      <w:r w:rsidR="006609C1">
        <w:rPr>
          <w:rFonts w:ascii="Arial" w:hAnsi="Arial" w:cs="Arial"/>
          <w:b/>
        </w:rPr>
        <w:t xml:space="preserve"> </w:t>
      </w:r>
      <w:r w:rsidR="00BA3268">
        <w:rPr>
          <w:rFonts w:ascii="Arial" w:hAnsi="Arial" w:cs="Arial"/>
          <w:b/>
        </w:rPr>
        <w:t xml:space="preserve">ALLANAMIENTO A </w:t>
      </w:r>
      <w:r>
        <w:rPr>
          <w:rFonts w:ascii="Arial" w:hAnsi="Arial" w:cs="Arial"/>
          <w:b/>
        </w:rPr>
        <w:t>LOS CARGOS</w:t>
      </w:r>
      <w:r w:rsidR="006609C1">
        <w:rPr>
          <w:rFonts w:ascii="Arial" w:hAnsi="Arial" w:cs="Arial"/>
          <w:b/>
        </w:rPr>
        <w:t xml:space="preserve">/  </w:t>
      </w:r>
      <w:r w:rsidR="006609C1" w:rsidRPr="006609C1">
        <w:rPr>
          <w:rFonts w:ascii="Arial" w:hAnsi="Arial" w:cs="Arial"/>
          <w:b/>
        </w:rPr>
        <w:t>DECLARA INFUNDADA CAUSAL DE REVISIÓN</w:t>
      </w:r>
    </w:p>
    <w:p w:rsidR="00EF1B8D" w:rsidRDefault="00EF1B8D" w:rsidP="00E42B5D">
      <w:pPr>
        <w:pStyle w:val="Sinespaciado"/>
        <w:jc w:val="both"/>
        <w:rPr>
          <w:rFonts w:ascii="Arial" w:hAnsi="Arial" w:cs="Arial"/>
          <w:b/>
        </w:rPr>
      </w:pPr>
    </w:p>
    <w:p w:rsidR="002E5527" w:rsidRPr="00E42B5D" w:rsidRDefault="002E5527" w:rsidP="002E5527">
      <w:pPr>
        <w:spacing w:after="0" w:line="276" w:lineRule="auto"/>
        <w:jc w:val="both"/>
        <w:rPr>
          <w:rFonts w:ascii="Arial" w:hAnsi="Arial" w:cs="Arial"/>
        </w:rPr>
      </w:pPr>
      <w:r w:rsidRPr="00E42B5D">
        <w:rPr>
          <w:rFonts w:ascii="Arial" w:hAnsi="Arial" w:cs="Arial"/>
        </w:rPr>
        <w:t xml:space="preserve">En el presente asunto, reitera la Sala que existe un factor de diferenciación entre los precedentes jurisprudenciales cuya aplicación reclama el accionante y el caso juzgado que ha sido objeto de la acción de revisión, el cual consiste en la acreditación de la condición de adicto o de consumidor a los estupefacientes del entonces procesado. Así tenemos que en el proceso en el cual se declaró la responsabilidad penal del otrora procesado HAIVER ALEXÁNDER VÉLEZ CARMONA, no existía ningún medio de conocimiento del cual fuera posible establecer o inferir su condición de adicto o de consumidor de narcóticos, lo que difiere de los precedentes jurisprudenciales cuya aplicación son reclamados por el libelista, los cuales se cimentaron en que como consecuencia de la acreditación de la condición de adicto o de consumidor a los estupefacientes de los procesados, tuvo ocurrencia una vulneración del debido proceso que impedía que se pudiera dictar un fallo de condena, debido a que el encausado se allanó a los cargos por una conducta que era atípica. </w:t>
      </w:r>
    </w:p>
    <w:p w:rsidR="002E5527" w:rsidRPr="00E42B5D" w:rsidRDefault="002E5527" w:rsidP="002E5527">
      <w:pPr>
        <w:spacing w:after="0" w:line="276" w:lineRule="auto"/>
        <w:jc w:val="both"/>
        <w:rPr>
          <w:rFonts w:ascii="Arial" w:hAnsi="Arial" w:cs="Arial"/>
        </w:rPr>
      </w:pPr>
    </w:p>
    <w:p w:rsidR="002E5527" w:rsidRPr="00E42B5D" w:rsidRDefault="002E5527" w:rsidP="002E5527">
      <w:pPr>
        <w:spacing w:after="0" w:line="276" w:lineRule="auto"/>
        <w:jc w:val="both"/>
        <w:rPr>
          <w:rFonts w:ascii="Arial" w:hAnsi="Arial" w:cs="Arial"/>
        </w:rPr>
      </w:pPr>
      <w:r w:rsidRPr="00E42B5D">
        <w:rPr>
          <w:rFonts w:ascii="Arial" w:hAnsi="Arial" w:cs="Arial"/>
        </w:rPr>
        <w:t xml:space="preserve">Por lo tanto, ante la existencia del aludido factor de diferenciación, es obvio que no estaría acreditaba la vulneración del debido proceso al que acudió la Corte en las aludidas sentencias de casación adiadas el 8 de julio de 2009. Rad. # 31531 y el 14 de marzo de 2018. SP732-2018. Rad. # 46.848,  por lo que se podría concluir que la solución jurídica dada en los precedentes jurisprudenciales cuya aplicación reclama el accionante, no serían ajustable al caso </w:t>
      </w:r>
      <w:r w:rsidRPr="00E42B5D">
        <w:rPr>
          <w:rFonts w:ascii="Arial" w:hAnsi="Arial" w:cs="Arial"/>
          <w:i/>
        </w:rPr>
        <w:t>subexamine,</w:t>
      </w:r>
      <w:r w:rsidRPr="00E42B5D">
        <w:rPr>
          <w:rFonts w:ascii="Arial" w:hAnsi="Arial" w:cs="Arial"/>
        </w:rPr>
        <w:t xml:space="preserve"> lo que a su vez conspiraría de manera negativa en contra de las pretensiones del demandante. </w:t>
      </w:r>
    </w:p>
    <w:p w:rsidR="002E5527" w:rsidRPr="00E42B5D" w:rsidRDefault="002E5527" w:rsidP="002E5527">
      <w:pPr>
        <w:spacing w:after="0" w:line="276" w:lineRule="auto"/>
        <w:jc w:val="both"/>
        <w:rPr>
          <w:rFonts w:ascii="Arial" w:hAnsi="Arial" w:cs="Arial"/>
        </w:rPr>
      </w:pPr>
    </w:p>
    <w:p w:rsidR="002E5527" w:rsidRPr="00E42B5D" w:rsidRDefault="002E5527" w:rsidP="002E5527">
      <w:pPr>
        <w:spacing w:after="0" w:line="276" w:lineRule="auto"/>
        <w:jc w:val="both"/>
        <w:rPr>
          <w:rFonts w:ascii="Arial" w:hAnsi="Arial" w:cs="Arial"/>
        </w:rPr>
      </w:pPr>
      <w:r w:rsidRPr="00E42B5D">
        <w:rPr>
          <w:rFonts w:ascii="Arial" w:hAnsi="Arial" w:cs="Arial"/>
        </w:rPr>
        <w:t xml:space="preserve">Siendo así las cosas, la Sala considera que no es factible acceder a las pretensiones reclamadas por el accionante como consecuencia de la aplicación de la causal # 7ª de la acción de revisión, por lo siguiente: </w:t>
      </w:r>
    </w:p>
    <w:p w:rsidR="002E5527" w:rsidRPr="00E42B5D" w:rsidRDefault="002E5527" w:rsidP="002E5527">
      <w:pPr>
        <w:spacing w:after="0" w:line="276" w:lineRule="auto"/>
        <w:jc w:val="both"/>
        <w:rPr>
          <w:rFonts w:ascii="Arial" w:hAnsi="Arial" w:cs="Arial"/>
        </w:rPr>
      </w:pPr>
    </w:p>
    <w:p w:rsidR="002E5527" w:rsidRPr="00E42B5D" w:rsidRDefault="002E5527" w:rsidP="002E5527">
      <w:pPr>
        <w:numPr>
          <w:ilvl w:val="0"/>
          <w:numId w:val="5"/>
        </w:numPr>
        <w:spacing w:after="0" w:line="276" w:lineRule="auto"/>
        <w:ind w:left="360"/>
        <w:contextualSpacing/>
        <w:jc w:val="both"/>
        <w:rPr>
          <w:rFonts w:ascii="Arial" w:hAnsi="Arial" w:cs="Arial"/>
        </w:rPr>
      </w:pPr>
      <w:r w:rsidRPr="00E42B5D">
        <w:rPr>
          <w:rFonts w:ascii="Arial" w:hAnsi="Arial" w:cs="Arial"/>
        </w:rPr>
        <w:t>Al estar en presencia de un proceso en el cual el encausado se allanó a los cargos, existía la posibilidad de que fallo demandado se encuentre en consonancia con lo resuelto y decidido por la Corte en la sentencia del 13 de abril de 2.016. SP4498-2016. Rad. # 44718, en la cual se adujo que en algunos eventos de terminación abreviada de los procesos, no era factible la línea jurisprudencial trazada a partir de la sentencia del 13 de abril de 2.016. SP4498-2016. Rad. # 44718. Por lo que se puede colegir que la acción de revisión ha sido utilizada como herramienta procesal para desconocer la irretractabilidad y efectos vinculantes que emanarían del preacuerdo pactado entre la Fiscalía y el ahora penado.</w:t>
      </w:r>
    </w:p>
    <w:p w:rsidR="002E5527" w:rsidRPr="00E42B5D" w:rsidRDefault="002E5527" w:rsidP="002E5527">
      <w:pPr>
        <w:spacing w:after="0" w:line="276" w:lineRule="auto"/>
        <w:jc w:val="both"/>
        <w:rPr>
          <w:rFonts w:ascii="Arial" w:hAnsi="Arial" w:cs="Arial"/>
        </w:rPr>
      </w:pPr>
    </w:p>
    <w:p w:rsidR="002E5527" w:rsidRPr="00E42B5D" w:rsidRDefault="002E5527" w:rsidP="002E5527">
      <w:pPr>
        <w:numPr>
          <w:ilvl w:val="0"/>
          <w:numId w:val="5"/>
        </w:numPr>
        <w:spacing w:after="0" w:line="276" w:lineRule="auto"/>
        <w:ind w:left="360"/>
        <w:contextualSpacing/>
        <w:jc w:val="both"/>
        <w:rPr>
          <w:rFonts w:ascii="Arial" w:hAnsi="Arial" w:cs="Arial"/>
        </w:rPr>
      </w:pPr>
      <w:r w:rsidRPr="00E42B5D">
        <w:rPr>
          <w:rFonts w:ascii="Arial" w:hAnsi="Arial" w:cs="Arial"/>
        </w:rPr>
        <w:lastRenderedPageBreak/>
        <w:t xml:space="preserve">Ante la existencia de unos factores de distinción que marcaban una diferencia entre caso juzgado respecto de los precedentes jurisprudenciales cuya aplicación reclama el libelista, no sería procedente en el </w:t>
      </w:r>
      <w:r w:rsidRPr="00E42B5D">
        <w:rPr>
          <w:rFonts w:ascii="Arial" w:hAnsi="Arial" w:cs="Arial"/>
          <w:i/>
        </w:rPr>
        <w:t xml:space="preserve">subexamine </w:t>
      </w:r>
      <w:r w:rsidRPr="00E42B5D">
        <w:rPr>
          <w:rFonts w:ascii="Arial" w:hAnsi="Arial" w:cs="Arial"/>
        </w:rPr>
        <w:t>la aplicación de la solución jurídica a la que acudió la Corte en el precedente jurisprudencial plasmado en la sentencia del 14 de marzo de 2018. SP732-2018. Rad. # 46.848.</w:t>
      </w:r>
    </w:p>
    <w:p w:rsidR="002E5527" w:rsidRPr="00E42B5D" w:rsidRDefault="002E5527" w:rsidP="002E5527">
      <w:pPr>
        <w:spacing w:after="0" w:line="276" w:lineRule="auto"/>
        <w:jc w:val="both"/>
        <w:rPr>
          <w:rFonts w:ascii="Arial" w:hAnsi="Arial" w:cs="Arial"/>
        </w:rPr>
      </w:pPr>
    </w:p>
    <w:p w:rsidR="002E5527" w:rsidRPr="00E42B5D" w:rsidRDefault="002E5527"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Pr="00E42B5D" w:rsidRDefault="00E42B5D" w:rsidP="002E5527">
      <w:pPr>
        <w:pStyle w:val="Sinespaciado"/>
        <w:rPr>
          <w:rFonts w:ascii="Arial" w:hAnsi="Arial" w:cs="Arial"/>
          <w:lang w:val="es-ES"/>
        </w:rPr>
      </w:pPr>
    </w:p>
    <w:p w:rsidR="00E42B5D" w:rsidRDefault="00E42B5D" w:rsidP="002E5527">
      <w:pPr>
        <w:pStyle w:val="Sinespaciado"/>
        <w:rPr>
          <w:rFonts w:ascii="Arial" w:hAnsi="Arial" w:cs="Arial"/>
          <w:lang w:val="es-ES"/>
        </w:rPr>
      </w:pPr>
    </w:p>
    <w:p w:rsidR="002E5527" w:rsidRPr="00535297" w:rsidRDefault="002E5527" w:rsidP="002E5527">
      <w:pPr>
        <w:pStyle w:val="Sinespaciado"/>
        <w:rPr>
          <w:rFonts w:ascii="Arial" w:hAnsi="Arial" w:cs="Arial"/>
          <w:lang w:val="es-ES"/>
        </w:rPr>
      </w:pPr>
    </w:p>
    <w:p w:rsidR="004658BD" w:rsidRPr="004658BD" w:rsidRDefault="004658BD" w:rsidP="004658BD">
      <w:pPr>
        <w:spacing w:after="0" w:line="276" w:lineRule="auto"/>
        <w:jc w:val="center"/>
        <w:rPr>
          <w:rFonts w:eastAsia="Adobe Gothic Std B" w:cs="Arial"/>
          <w:b/>
          <w:bCs/>
          <w:sz w:val="28"/>
          <w:szCs w:val="28"/>
        </w:rPr>
      </w:pPr>
      <w:r w:rsidRPr="004658BD">
        <w:rPr>
          <w:rFonts w:eastAsia="Adobe Gothic Std B" w:cs="Arial"/>
          <w:b/>
          <w:bCs/>
          <w:sz w:val="28"/>
          <w:szCs w:val="28"/>
        </w:rPr>
        <w:t>REP</w:t>
      </w:r>
      <w:r w:rsidRPr="004658BD">
        <w:rPr>
          <w:rFonts w:eastAsia="Adobe Gothic Std B" w:cs="Tahoma"/>
          <w:b/>
          <w:bCs/>
          <w:sz w:val="28"/>
          <w:szCs w:val="28"/>
        </w:rPr>
        <w:t>Ú</w:t>
      </w:r>
      <w:r w:rsidRPr="004658BD">
        <w:rPr>
          <w:rFonts w:eastAsia="Adobe Gothic Std B" w:cs="Arial"/>
          <w:b/>
          <w:bCs/>
          <w:sz w:val="28"/>
          <w:szCs w:val="28"/>
        </w:rPr>
        <w:t>BLICA DE COLOMBIA</w:t>
      </w:r>
    </w:p>
    <w:p w:rsidR="004658BD" w:rsidRPr="004658BD" w:rsidRDefault="004658BD" w:rsidP="004658BD">
      <w:pPr>
        <w:spacing w:after="0" w:line="276" w:lineRule="auto"/>
        <w:jc w:val="center"/>
        <w:rPr>
          <w:rFonts w:eastAsia="Adobe Gothic Std B" w:cs="Arial"/>
          <w:b/>
          <w:bCs/>
          <w:sz w:val="28"/>
          <w:szCs w:val="28"/>
        </w:rPr>
      </w:pPr>
      <w:r w:rsidRPr="004658BD">
        <w:rPr>
          <w:rFonts w:eastAsia="Adobe Gothic Std B" w:cs="Arial"/>
          <w:b/>
          <w:bCs/>
          <w:sz w:val="28"/>
          <w:szCs w:val="28"/>
        </w:rPr>
        <w:t>RAMA JUDICIAL DEL PODER P</w:t>
      </w:r>
      <w:r w:rsidRPr="004658BD">
        <w:rPr>
          <w:rFonts w:eastAsia="Adobe Gothic Std B" w:cs="Tahoma"/>
          <w:b/>
          <w:bCs/>
          <w:sz w:val="28"/>
          <w:szCs w:val="28"/>
        </w:rPr>
        <w:t>Ú</w:t>
      </w:r>
      <w:r w:rsidRPr="004658BD">
        <w:rPr>
          <w:rFonts w:eastAsia="Adobe Gothic Std B" w:cs="Arial"/>
          <w:b/>
          <w:bCs/>
          <w:sz w:val="28"/>
          <w:szCs w:val="28"/>
        </w:rPr>
        <w:t>BLICO</w:t>
      </w:r>
    </w:p>
    <w:p w:rsidR="004658BD" w:rsidRPr="004658BD" w:rsidRDefault="004658BD" w:rsidP="004658BD">
      <w:pPr>
        <w:spacing w:after="0" w:line="276" w:lineRule="auto"/>
        <w:jc w:val="center"/>
        <w:rPr>
          <w:rFonts w:eastAsia="Adobe Gothic Std B" w:cs="Arial"/>
          <w:b/>
          <w:bCs/>
          <w:sz w:val="28"/>
          <w:szCs w:val="28"/>
        </w:rPr>
      </w:pPr>
      <w:r w:rsidRPr="004658BD">
        <w:rPr>
          <w:rFonts w:eastAsia="Adobe Gothic Std B" w:cs="Arial"/>
          <w:b/>
          <w:noProof/>
          <w:sz w:val="28"/>
          <w:szCs w:val="28"/>
          <w:lang w:val="es-ES" w:eastAsia="es-ES"/>
        </w:rPr>
        <w:drawing>
          <wp:inline distT="0" distB="0" distL="0" distR="0" wp14:anchorId="418C0B8B" wp14:editId="34A3A52B">
            <wp:extent cx="675640" cy="6680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4658BD" w:rsidRPr="004658BD" w:rsidRDefault="004658BD" w:rsidP="004658BD">
      <w:pPr>
        <w:spacing w:after="0" w:line="276" w:lineRule="auto"/>
        <w:jc w:val="center"/>
        <w:rPr>
          <w:rFonts w:eastAsia="Adobe Gothic Std B" w:cs="Arial"/>
          <w:b/>
          <w:bCs/>
          <w:sz w:val="28"/>
          <w:szCs w:val="28"/>
        </w:rPr>
      </w:pPr>
      <w:r w:rsidRPr="004658BD">
        <w:rPr>
          <w:rFonts w:eastAsia="Adobe Gothic Std B" w:cs="Arial"/>
          <w:b/>
          <w:bCs/>
          <w:sz w:val="28"/>
          <w:szCs w:val="28"/>
        </w:rPr>
        <w:t>TRIBUNAL SUPERIOR DEL DISTRITO JUDICIAL DE PEREIRA</w:t>
      </w:r>
    </w:p>
    <w:p w:rsidR="004658BD" w:rsidRPr="004658BD" w:rsidRDefault="004658BD" w:rsidP="004658BD">
      <w:pPr>
        <w:spacing w:after="0" w:line="276" w:lineRule="auto"/>
        <w:jc w:val="center"/>
        <w:rPr>
          <w:rFonts w:eastAsia="Adobe Gothic Std B" w:cs="Arial"/>
          <w:b/>
          <w:bCs/>
          <w:sz w:val="28"/>
          <w:szCs w:val="28"/>
        </w:rPr>
      </w:pPr>
      <w:r w:rsidRPr="004658BD">
        <w:rPr>
          <w:rFonts w:eastAsia="Adobe Gothic Std B" w:cs="Arial"/>
          <w:b/>
          <w:bCs/>
          <w:sz w:val="28"/>
          <w:szCs w:val="28"/>
        </w:rPr>
        <w:t>SALA DE DECISI</w:t>
      </w:r>
      <w:r w:rsidRPr="004658BD">
        <w:rPr>
          <w:rFonts w:eastAsia="Adobe Gothic Std B" w:cs="Tahoma"/>
          <w:b/>
          <w:bCs/>
          <w:sz w:val="28"/>
          <w:szCs w:val="28"/>
        </w:rPr>
        <w:t>Ó</w:t>
      </w:r>
      <w:r w:rsidRPr="004658BD">
        <w:rPr>
          <w:rFonts w:eastAsia="Adobe Gothic Std B" w:cs="Arial"/>
          <w:b/>
          <w:bCs/>
          <w:sz w:val="28"/>
          <w:szCs w:val="28"/>
        </w:rPr>
        <w:t>N PENAL</w:t>
      </w:r>
    </w:p>
    <w:p w:rsidR="004658BD" w:rsidRPr="004658BD" w:rsidRDefault="004658BD" w:rsidP="004658BD">
      <w:pPr>
        <w:spacing w:after="0" w:line="276" w:lineRule="auto"/>
        <w:jc w:val="center"/>
        <w:rPr>
          <w:rFonts w:eastAsia="Adobe Gothic Std B" w:cs="Arial"/>
          <w:b/>
          <w:bCs/>
          <w:sz w:val="28"/>
          <w:szCs w:val="28"/>
        </w:rPr>
      </w:pPr>
    </w:p>
    <w:p w:rsidR="004658BD" w:rsidRPr="004658BD" w:rsidRDefault="004658BD" w:rsidP="004658BD">
      <w:pPr>
        <w:spacing w:after="0" w:line="276" w:lineRule="auto"/>
        <w:jc w:val="center"/>
        <w:rPr>
          <w:rFonts w:eastAsia="Adobe Gothic Std B" w:cs="Arial"/>
          <w:sz w:val="28"/>
          <w:szCs w:val="28"/>
        </w:rPr>
      </w:pPr>
      <w:r w:rsidRPr="004658BD">
        <w:rPr>
          <w:rFonts w:eastAsia="Adobe Gothic Std B" w:cs="Arial"/>
          <w:b/>
          <w:bCs/>
          <w:sz w:val="28"/>
          <w:szCs w:val="28"/>
        </w:rPr>
        <w:t>SENTENCIA DE ÚNICA INSTANCIA</w:t>
      </w:r>
    </w:p>
    <w:p w:rsidR="004658BD" w:rsidRPr="004658BD" w:rsidRDefault="004658BD" w:rsidP="004658BD">
      <w:pPr>
        <w:spacing w:after="0" w:line="276" w:lineRule="auto"/>
        <w:jc w:val="center"/>
        <w:rPr>
          <w:rFonts w:eastAsia="Adobe Gothic Std B"/>
          <w:b/>
          <w:bCs/>
          <w:sz w:val="28"/>
          <w:szCs w:val="28"/>
        </w:rPr>
      </w:pPr>
    </w:p>
    <w:p w:rsidR="004658BD" w:rsidRPr="004658BD" w:rsidRDefault="004658BD" w:rsidP="004658BD">
      <w:pPr>
        <w:spacing w:after="0" w:line="276" w:lineRule="auto"/>
        <w:jc w:val="center"/>
        <w:rPr>
          <w:rFonts w:eastAsia="Adobe Gothic Std B"/>
          <w:b/>
          <w:bCs/>
          <w:sz w:val="28"/>
          <w:szCs w:val="28"/>
        </w:rPr>
      </w:pPr>
      <w:r w:rsidRPr="004658BD">
        <w:rPr>
          <w:rFonts w:eastAsia="Adobe Gothic Std B"/>
          <w:b/>
          <w:bCs/>
          <w:sz w:val="28"/>
          <w:szCs w:val="28"/>
        </w:rPr>
        <w:t>M.P. MANUEL YARZAGARAY BANDERA</w:t>
      </w:r>
    </w:p>
    <w:p w:rsidR="004658BD" w:rsidRDefault="004658BD" w:rsidP="00055099">
      <w:pPr>
        <w:spacing w:after="0" w:line="360" w:lineRule="auto"/>
        <w:jc w:val="center"/>
        <w:rPr>
          <w:rFonts w:eastAsia="Adobe Gothic Std B"/>
          <w:b/>
          <w:bCs/>
          <w:sz w:val="28"/>
          <w:szCs w:val="28"/>
        </w:rPr>
      </w:pPr>
    </w:p>
    <w:p w:rsidR="00B36912" w:rsidRPr="00B36912" w:rsidRDefault="00B36912" w:rsidP="004658BD">
      <w:pPr>
        <w:spacing w:after="0" w:line="276" w:lineRule="auto"/>
        <w:jc w:val="center"/>
        <w:rPr>
          <w:rFonts w:eastAsia="Adobe Gothic Std B"/>
          <w:bCs/>
          <w:sz w:val="24"/>
          <w:szCs w:val="28"/>
        </w:rPr>
      </w:pPr>
      <w:r>
        <w:rPr>
          <w:rFonts w:eastAsia="Adobe Gothic Std B"/>
          <w:bCs/>
          <w:sz w:val="24"/>
          <w:szCs w:val="28"/>
        </w:rPr>
        <w:t>Aprobado por Acta No. 716 del 29 de agosto de 2018. H: 10:00 a.m.</w:t>
      </w:r>
    </w:p>
    <w:p w:rsidR="00B36912" w:rsidRDefault="00B36912" w:rsidP="00055099">
      <w:pPr>
        <w:spacing w:after="0" w:line="360" w:lineRule="auto"/>
        <w:jc w:val="both"/>
        <w:rPr>
          <w:rFonts w:eastAsia="Adobe Gothic Std B"/>
          <w:sz w:val="28"/>
          <w:szCs w:val="28"/>
        </w:rPr>
      </w:pPr>
    </w:p>
    <w:p w:rsidR="004658BD" w:rsidRPr="00932E2F" w:rsidRDefault="004658BD" w:rsidP="004658BD">
      <w:pPr>
        <w:spacing w:after="0" w:line="276" w:lineRule="auto"/>
        <w:jc w:val="both"/>
        <w:rPr>
          <w:rFonts w:eastAsia="Adobe Gothic Std B"/>
          <w:sz w:val="26"/>
          <w:szCs w:val="26"/>
        </w:rPr>
      </w:pPr>
      <w:r w:rsidRPr="00932E2F">
        <w:rPr>
          <w:rFonts w:eastAsia="Adobe Gothic Std B"/>
          <w:sz w:val="26"/>
          <w:szCs w:val="26"/>
        </w:rPr>
        <w:t>Pereira</w:t>
      </w:r>
      <w:r w:rsidR="00B36912" w:rsidRPr="00932E2F">
        <w:rPr>
          <w:rFonts w:eastAsia="Adobe Gothic Std B"/>
          <w:sz w:val="26"/>
          <w:szCs w:val="26"/>
        </w:rPr>
        <w:t xml:space="preserve">, </w:t>
      </w:r>
      <w:r w:rsidR="00932E2F" w:rsidRPr="00932E2F">
        <w:rPr>
          <w:rFonts w:eastAsia="Adobe Gothic Std B"/>
          <w:sz w:val="26"/>
          <w:szCs w:val="26"/>
        </w:rPr>
        <w:t>treinta y uno (31) de agosto de</w:t>
      </w:r>
      <w:r w:rsidR="00B36912" w:rsidRPr="00932E2F">
        <w:rPr>
          <w:rFonts w:eastAsia="Adobe Gothic Std B"/>
          <w:sz w:val="26"/>
          <w:szCs w:val="26"/>
        </w:rPr>
        <w:t xml:space="preserve"> d</w:t>
      </w:r>
      <w:r w:rsidRPr="00932E2F">
        <w:rPr>
          <w:rFonts w:eastAsia="Adobe Gothic Std B"/>
          <w:sz w:val="26"/>
          <w:szCs w:val="26"/>
        </w:rPr>
        <w:t xml:space="preserve">os mil dieciocho </w:t>
      </w:r>
      <w:r w:rsidR="00B36912" w:rsidRPr="00932E2F">
        <w:rPr>
          <w:rFonts w:eastAsia="Adobe Gothic Std B"/>
          <w:sz w:val="26"/>
          <w:szCs w:val="26"/>
        </w:rPr>
        <w:t>(2</w:t>
      </w:r>
      <w:r w:rsidRPr="00932E2F">
        <w:rPr>
          <w:rFonts w:eastAsia="Adobe Gothic Std B"/>
          <w:sz w:val="26"/>
          <w:szCs w:val="26"/>
        </w:rPr>
        <w:t>018)</w:t>
      </w:r>
    </w:p>
    <w:p w:rsidR="00B36912" w:rsidRPr="004658BD" w:rsidRDefault="00B36912" w:rsidP="004658BD">
      <w:pPr>
        <w:spacing w:after="0" w:line="276" w:lineRule="auto"/>
        <w:jc w:val="both"/>
        <w:rPr>
          <w:rFonts w:eastAsia="Adobe Gothic Std B"/>
          <w:sz w:val="28"/>
          <w:szCs w:val="28"/>
        </w:rPr>
      </w:pPr>
      <w:r>
        <w:rPr>
          <w:rFonts w:eastAsia="Adobe Gothic Std B"/>
          <w:sz w:val="28"/>
          <w:szCs w:val="28"/>
        </w:rPr>
        <w:t xml:space="preserve">Hora: </w:t>
      </w:r>
      <w:r w:rsidR="00932E2F">
        <w:rPr>
          <w:rFonts w:eastAsia="Adobe Gothic Std B"/>
          <w:sz w:val="28"/>
          <w:szCs w:val="28"/>
        </w:rPr>
        <w:t xml:space="preserve">8:31 a.m. </w:t>
      </w:r>
    </w:p>
    <w:p w:rsidR="004658BD" w:rsidRPr="004658BD" w:rsidRDefault="004658BD" w:rsidP="00055099">
      <w:pPr>
        <w:spacing w:after="0" w:line="360" w:lineRule="auto"/>
        <w:rPr>
          <w:rFonts w:eastAsia="Adobe Gothic Std B"/>
          <w:sz w:val="28"/>
          <w:szCs w:val="28"/>
        </w:rPr>
      </w:pPr>
      <w:r w:rsidRPr="004658BD">
        <w:rPr>
          <w:rFonts w:eastAsia="Adobe Gothic Std B"/>
          <w:sz w:val="28"/>
          <w:szCs w:val="28"/>
        </w:rPr>
        <w:t xml:space="preserve"> </w:t>
      </w:r>
    </w:p>
    <w:p w:rsidR="004658BD" w:rsidRPr="00B36912" w:rsidRDefault="004658BD" w:rsidP="00B36912">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 w:val="24"/>
          <w:szCs w:val="28"/>
        </w:rPr>
      </w:pPr>
      <w:r w:rsidRPr="00B36912">
        <w:rPr>
          <w:rFonts w:eastAsia="Adobe Gothic Std B"/>
          <w:sz w:val="24"/>
          <w:szCs w:val="28"/>
        </w:rPr>
        <w:t>Sentenciado: HAIVER ALEXANDER VÉLEZ CARMONA</w:t>
      </w:r>
    </w:p>
    <w:p w:rsidR="004658BD" w:rsidRPr="00B36912" w:rsidRDefault="004658BD" w:rsidP="00B36912">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 w:val="24"/>
          <w:szCs w:val="28"/>
        </w:rPr>
      </w:pPr>
      <w:r w:rsidRPr="00B36912">
        <w:rPr>
          <w:rFonts w:eastAsia="Adobe Gothic Std B"/>
          <w:sz w:val="24"/>
          <w:szCs w:val="28"/>
        </w:rPr>
        <w:t>Delito: Tráfico de estupefacientes</w:t>
      </w:r>
    </w:p>
    <w:p w:rsidR="004658BD" w:rsidRPr="00B36912" w:rsidRDefault="004658BD" w:rsidP="00B36912">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 w:val="24"/>
          <w:szCs w:val="28"/>
        </w:rPr>
      </w:pPr>
      <w:r w:rsidRPr="00B36912">
        <w:rPr>
          <w:rFonts w:eastAsia="Adobe Gothic Std B"/>
          <w:sz w:val="24"/>
          <w:szCs w:val="28"/>
        </w:rPr>
        <w:t>Rad. # 660012204000</w:t>
      </w:r>
      <w:r w:rsidR="003365E9" w:rsidRPr="00B36912">
        <w:rPr>
          <w:rFonts w:eastAsia="Adobe Gothic Std B"/>
          <w:sz w:val="24"/>
          <w:szCs w:val="28"/>
        </w:rPr>
        <w:t xml:space="preserve"> </w:t>
      </w:r>
      <w:r w:rsidRPr="00B36912">
        <w:rPr>
          <w:rFonts w:eastAsia="Adobe Gothic Std B"/>
          <w:sz w:val="24"/>
          <w:szCs w:val="28"/>
        </w:rPr>
        <w:t>2018</w:t>
      </w:r>
      <w:r w:rsidR="003365E9" w:rsidRPr="00B36912">
        <w:rPr>
          <w:rFonts w:eastAsia="Adobe Gothic Std B"/>
          <w:sz w:val="24"/>
          <w:szCs w:val="28"/>
        </w:rPr>
        <w:t xml:space="preserve"> </w:t>
      </w:r>
      <w:r w:rsidRPr="00B36912">
        <w:rPr>
          <w:rFonts w:eastAsia="Adobe Gothic Std B"/>
          <w:sz w:val="24"/>
          <w:szCs w:val="28"/>
        </w:rPr>
        <w:t>000</w:t>
      </w:r>
      <w:r w:rsidR="003365E9" w:rsidRPr="00B36912">
        <w:rPr>
          <w:rFonts w:eastAsia="Adobe Gothic Std B"/>
          <w:sz w:val="24"/>
          <w:szCs w:val="28"/>
        </w:rPr>
        <w:t>76</w:t>
      </w:r>
      <w:r w:rsidRPr="00B36912">
        <w:rPr>
          <w:rFonts w:eastAsia="Adobe Gothic Std B"/>
          <w:sz w:val="24"/>
          <w:szCs w:val="28"/>
        </w:rPr>
        <w:t>94-00</w:t>
      </w:r>
    </w:p>
    <w:p w:rsidR="004658BD" w:rsidRPr="00B36912" w:rsidRDefault="004658BD" w:rsidP="00B36912">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 w:val="24"/>
          <w:szCs w:val="28"/>
        </w:rPr>
      </w:pPr>
      <w:r w:rsidRPr="00B36912">
        <w:rPr>
          <w:rFonts w:eastAsia="Adobe Gothic Std B"/>
          <w:sz w:val="24"/>
          <w:szCs w:val="28"/>
        </w:rPr>
        <w:t>Asunto: Se profiere fallo en el que se decide una acci</w:t>
      </w:r>
      <w:r w:rsidRPr="00B36912">
        <w:rPr>
          <w:rFonts w:eastAsia="Adobe Gothic Std B" w:cs="Tahoma"/>
          <w:sz w:val="24"/>
          <w:szCs w:val="28"/>
        </w:rPr>
        <w:t>ó</w:t>
      </w:r>
      <w:r w:rsidRPr="00B36912">
        <w:rPr>
          <w:rFonts w:eastAsia="Adobe Gothic Std B"/>
          <w:sz w:val="24"/>
          <w:szCs w:val="28"/>
        </w:rPr>
        <w:t>n de revisi</w:t>
      </w:r>
      <w:r w:rsidRPr="00B36912">
        <w:rPr>
          <w:rFonts w:eastAsia="Adobe Gothic Std B" w:cs="Tahoma"/>
          <w:sz w:val="24"/>
          <w:szCs w:val="28"/>
        </w:rPr>
        <w:t>ó</w:t>
      </w:r>
      <w:r w:rsidRPr="00B36912">
        <w:rPr>
          <w:rFonts w:eastAsia="Adobe Gothic Std B"/>
          <w:sz w:val="24"/>
          <w:szCs w:val="28"/>
        </w:rPr>
        <w:t>n impetrada por el</w:t>
      </w:r>
      <w:r w:rsidR="00B36912" w:rsidRPr="00B36912">
        <w:rPr>
          <w:rFonts w:eastAsia="Adobe Gothic Std B"/>
          <w:sz w:val="24"/>
          <w:szCs w:val="28"/>
        </w:rPr>
        <w:t xml:space="preserve"> representante del Ministerio Pú</w:t>
      </w:r>
      <w:r w:rsidRPr="00B36912">
        <w:rPr>
          <w:rFonts w:eastAsia="Adobe Gothic Std B"/>
          <w:sz w:val="24"/>
          <w:szCs w:val="28"/>
        </w:rPr>
        <w:t>blico</w:t>
      </w:r>
    </w:p>
    <w:p w:rsidR="004658BD" w:rsidRPr="00B36912" w:rsidRDefault="004658BD" w:rsidP="00B36912">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 w:val="24"/>
          <w:szCs w:val="28"/>
        </w:rPr>
      </w:pPr>
      <w:r w:rsidRPr="00B36912">
        <w:rPr>
          <w:rFonts w:eastAsia="Adobe Gothic Std B"/>
          <w:sz w:val="24"/>
          <w:szCs w:val="28"/>
        </w:rPr>
        <w:t>Decisi</w:t>
      </w:r>
      <w:r w:rsidRPr="00B36912">
        <w:rPr>
          <w:rFonts w:eastAsia="Adobe Gothic Std B" w:cs="Tahoma"/>
          <w:sz w:val="24"/>
          <w:szCs w:val="28"/>
        </w:rPr>
        <w:t>ó</w:t>
      </w:r>
      <w:r w:rsidRPr="00B36912">
        <w:rPr>
          <w:rFonts w:eastAsia="Adobe Gothic Std B"/>
          <w:sz w:val="24"/>
          <w:szCs w:val="28"/>
        </w:rPr>
        <w:t xml:space="preserve">n: </w:t>
      </w:r>
      <w:r w:rsidRPr="00B36912">
        <w:rPr>
          <w:rFonts w:eastAsia="Adobe Gothic Std B"/>
          <w:sz w:val="24"/>
          <w:szCs w:val="26"/>
        </w:rPr>
        <w:t>Se declaran infundadas las pretensiones del accionante.</w:t>
      </w:r>
    </w:p>
    <w:p w:rsidR="004658BD" w:rsidRPr="004658BD" w:rsidRDefault="004658BD" w:rsidP="00055099">
      <w:pPr>
        <w:spacing w:after="0" w:line="480" w:lineRule="auto"/>
        <w:rPr>
          <w:rFonts w:eastAsia="Adobe Gothic Std B" w:cs="Times New Roman"/>
          <w:sz w:val="28"/>
          <w:szCs w:val="28"/>
          <w:lang w:eastAsia="es-ES"/>
        </w:rPr>
      </w:pPr>
    </w:p>
    <w:p w:rsidR="004658BD" w:rsidRPr="004658BD" w:rsidRDefault="004658BD" w:rsidP="00B36912">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lastRenderedPageBreak/>
        <w:t>VISTOS:</w:t>
      </w:r>
    </w:p>
    <w:p w:rsidR="004658BD" w:rsidRPr="004658BD" w:rsidRDefault="004658BD" w:rsidP="00B36912">
      <w:pPr>
        <w:spacing w:after="0" w:line="240"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sz w:val="28"/>
          <w:szCs w:val="28"/>
        </w:rPr>
      </w:pPr>
      <w:r w:rsidRPr="004658BD">
        <w:rPr>
          <w:rFonts w:eastAsia="Adobe Gothic Std B"/>
          <w:sz w:val="28"/>
          <w:szCs w:val="28"/>
        </w:rPr>
        <w:t xml:space="preserve">Procede la Sala de Decisión Penal del Tribunal Superior de este Distrito Judicial a proferir el correspondiente fallo en el cual se resuelva </w:t>
      </w:r>
      <w:r w:rsidR="003365E9">
        <w:rPr>
          <w:rFonts w:eastAsia="Adobe Gothic Std B"/>
          <w:sz w:val="28"/>
          <w:szCs w:val="28"/>
        </w:rPr>
        <w:t xml:space="preserve">todo lo relacionado </w:t>
      </w:r>
      <w:r w:rsidRPr="004658BD">
        <w:rPr>
          <w:rFonts w:eastAsia="Adobe Gothic Std B"/>
          <w:sz w:val="28"/>
          <w:szCs w:val="28"/>
        </w:rPr>
        <w:t>con la Acci</w:t>
      </w:r>
      <w:r w:rsidRPr="004658BD">
        <w:rPr>
          <w:rFonts w:eastAsia="Adobe Gothic Std B" w:cs="Tahoma"/>
          <w:sz w:val="28"/>
          <w:szCs w:val="28"/>
        </w:rPr>
        <w:t>ó</w:t>
      </w:r>
      <w:r w:rsidRPr="004658BD">
        <w:rPr>
          <w:rFonts w:eastAsia="Adobe Gothic Std B"/>
          <w:sz w:val="28"/>
          <w:szCs w:val="28"/>
        </w:rPr>
        <w:t>n de Revisi</w:t>
      </w:r>
      <w:r w:rsidRPr="004658BD">
        <w:rPr>
          <w:rFonts w:eastAsia="Adobe Gothic Std B" w:cs="Tahoma"/>
          <w:sz w:val="28"/>
          <w:szCs w:val="28"/>
        </w:rPr>
        <w:t>ó</w:t>
      </w:r>
      <w:r w:rsidRPr="004658BD">
        <w:rPr>
          <w:rFonts w:eastAsia="Adobe Gothic Std B"/>
          <w:sz w:val="28"/>
          <w:szCs w:val="28"/>
        </w:rPr>
        <w:t xml:space="preserve">n impetrada por el Dr. </w:t>
      </w:r>
      <w:r w:rsidR="003365E9">
        <w:rPr>
          <w:rFonts w:eastAsia="Adobe Gothic Std B"/>
          <w:sz w:val="28"/>
          <w:szCs w:val="28"/>
        </w:rPr>
        <w:t>LUIS FERNANDO VALDERRAMA GUZMÁN,</w:t>
      </w:r>
      <w:r w:rsidRPr="004658BD">
        <w:rPr>
          <w:rFonts w:eastAsia="Adobe Gothic Std B"/>
          <w:sz w:val="28"/>
          <w:szCs w:val="28"/>
        </w:rPr>
        <w:t xml:space="preserve"> en su calidad de Procurador Judicial Penal II # 1</w:t>
      </w:r>
      <w:r w:rsidR="003365E9">
        <w:rPr>
          <w:rFonts w:eastAsia="Adobe Gothic Std B"/>
          <w:sz w:val="28"/>
          <w:szCs w:val="28"/>
        </w:rPr>
        <w:t>50</w:t>
      </w:r>
      <w:r w:rsidRPr="004658BD">
        <w:rPr>
          <w:rFonts w:eastAsia="Adobe Gothic Std B"/>
          <w:sz w:val="28"/>
          <w:szCs w:val="28"/>
        </w:rPr>
        <w:t xml:space="preserve">, en contra de la sentencia proferida el </w:t>
      </w:r>
      <w:r w:rsidR="003365E9">
        <w:rPr>
          <w:rFonts w:eastAsia="Adobe Gothic Std B"/>
          <w:sz w:val="28"/>
          <w:szCs w:val="28"/>
        </w:rPr>
        <w:t>29 de marzo del 2.016</w:t>
      </w:r>
      <w:r w:rsidRPr="004658BD">
        <w:rPr>
          <w:rFonts w:eastAsia="Adobe Gothic Std B"/>
          <w:sz w:val="28"/>
          <w:szCs w:val="28"/>
        </w:rPr>
        <w:t xml:space="preserve"> por el Juzgado Único P</w:t>
      </w:r>
      <w:r w:rsidR="003365E9">
        <w:rPr>
          <w:rFonts w:eastAsia="Adobe Gothic Std B"/>
          <w:sz w:val="28"/>
          <w:szCs w:val="28"/>
        </w:rPr>
        <w:t xml:space="preserve">romiscuo </w:t>
      </w:r>
      <w:r w:rsidRPr="004658BD">
        <w:rPr>
          <w:rFonts w:eastAsia="Adobe Gothic Std B"/>
          <w:sz w:val="28"/>
          <w:szCs w:val="28"/>
        </w:rPr>
        <w:t xml:space="preserve">del Circuito de </w:t>
      </w:r>
      <w:r w:rsidR="003365E9">
        <w:rPr>
          <w:rFonts w:eastAsia="Adobe Gothic Std B"/>
          <w:sz w:val="28"/>
          <w:szCs w:val="28"/>
        </w:rPr>
        <w:t xml:space="preserve">La Virginia, </w:t>
      </w:r>
      <w:r w:rsidRPr="004658BD">
        <w:rPr>
          <w:rFonts w:eastAsia="Adobe Gothic Std B"/>
          <w:sz w:val="28"/>
          <w:szCs w:val="28"/>
        </w:rPr>
        <w:t>en la cual se declaró la respons</w:t>
      </w:r>
      <w:r w:rsidR="00B36912">
        <w:rPr>
          <w:rFonts w:eastAsia="Adobe Gothic Std B"/>
          <w:sz w:val="28"/>
          <w:szCs w:val="28"/>
        </w:rPr>
        <w:t>abilidad criminal del entonces p</w:t>
      </w:r>
      <w:r w:rsidRPr="004658BD">
        <w:rPr>
          <w:rFonts w:eastAsia="Adobe Gothic Std B"/>
          <w:sz w:val="28"/>
          <w:szCs w:val="28"/>
        </w:rPr>
        <w:t xml:space="preserve">rocesado </w:t>
      </w:r>
      <w:r w:rsidR="00B36912">
        <w:rPr>
          <w:rFonts w:eastAsia="Adobe Gothic Std B"/>
          <w:b/>
          <w:sz w:val="28"/>
          <w:szCs w:val="28"/>
        </w:rPr>
        <w:t>HAIVER ALEXÁ</w:t>
      </w:r>
      <w:r w:rsidR="003365E9" w:rsidRPr="00B36912">
        <w:rPr>
          <w:rFonts w:eastAsia="Adobe Gothic Std B"/>
          <w:b/>
          <w:sz w:val="28"/>
          <w:szCs w:val="28"/>
        </w:rPr>
        <w:t>NDER VÉLEZ CARMONA</w:t>
      </w:r>
      <w:r w:rsidRPr="004658BD">
        <w:rPr>
          <w:rFonts w:eastAsia="Adobe Gothic Std B"/>
          <w:sz w:val="28"/>
          <w:szCs w:val="28"/>
        </w:rPr>
        <w:t xml:space="preserve">, por incurrir en la comisión del delito de tráfico de estupefacientes.  </w:t>
      </w:r>
    </w:p>
    <w:p w:rsidR="00055099" w:rsidRDefault="00055099" w:rsidP="004658BD">
      <w:pPr>
        <w:spacing w:after="0" w:line="276" w:lineRule="auto"/>
        <w:jc w:val="both"/>
        <w:rPr>
          <w:rFonts w:eastAsia="Adobe Gothic Std B"/>
          <w:sz w:val="28"/>
          <w:szCs w:val="28"/>
        </w:rPr>
      </w:pPr>
    </w:p>
    <w:p w:rsidR="00055099" w:rsidRDefault="00055099" w:rsidP="004658BD">
      <w:pPr>
        <w:spacing w:after="0" w:line="276" w:lineRule="auto"/>
        <w:jc w:val="both"/>
        <w:rPr>
          <w:rFonts w:eastAsia="Adobe Gothic Std B"/>
          <w:sz w:val="28"/>
          <w:szCs w:val="28"/>
        </w:rPr>
      </w:pPr>
    </w:p>
    <w:p w:rsidR="00055099" w:rsidRPr="004658BD" w:rsidRDefault="00055099" w:rsidP="004658BD">
      <w:pPr>
        <w:spacing w:after="0" w:line="276" w:lineRule="auto"/>
        <w:jc w:val="both"/>
        <w:rPr>
          <w:rFonts w:eastAsia="Adobe Gothic Std B"/>
          <w:sz w:val="28"/>
          <w:szCs w:val="28"/>
        </w:rPr>
      </w:pPr>
    </w:p>
    <w:p w:rsidR="004658BD" w:rsidRPr="004658BD" w:rsidRDefault="004658BD" w:rsidP="004658BD">
      <w:pPr>
        <w:spacing w:after="0" w:line="276"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ANTECEDENTES:</w:t>
      </w:r>
    </w:p>
    <w:p w:rsidR="004658BD" w:rsidRPr="004658BD" w:rsidRDefault="004658BD" w:rsidP="004658BD">
      <w:pPr>
        <w:spacing w:after="0" w:line="276" w:lineRule="auto"/>
        <w:jc w:val="both"/>
        <w:rPr>
          <w:rFonts w:eastAsia="Adobe Gothic Std B"/>
          <w:b/>
          <w:sz w:val="28"/>
          <w:szCs w:val="28"/>
        </w:rPr>
      </w:pPr>
    </w:p>
    <w:p w:rsidR="004658BD" w:rsidRPr="004658BD" w:rsidRDefault="004658BD" w:rsidP="009E7BB8">
      <w:pPr>
        <w:numPr>
          <w:ilvl w:val="0"/>
          <w:numId w:val="3"/>
        </w:numPr>
        <w:spacing w:after="0" w:line="276" w:lineRule="auto"/>
        <w:ind w:left="360"/>
        <w:contextualSpacing/>
        <w:jc w:val="both"/>
        <w:rPr>
          <w:rFonts w:eastAsia="Adobe Gothic Std B"/>
          <w:sz w:val="28"/>
          <w:szCs w:val="28"/>
        </w:rPr>
      </w:pPr>
      <w:r w:rsidRPr="004658BD">
        <w:rPr>
          <w:rFonts w:eastAsia="Adobe Gothic Std B"/>
          <w:sz w:val="28"/>
          <w:szCs w:val="28"/>
        </w:rPr>
        <w:t>Los hechos que dieron g</w:t>
      </w:r>
      <w:r w:rsidRPr="004658BD">
        <w:rPr>
          <w:rFonts w:eastAsia="Adobe Gothic Std B" w:cs="Tahoma"/>
          <w:sz w:val="28"/>
          <w:szCs w:val="28"/>
        </w:rPr>
        <w:t>é</w:t>
      </w:r>
      <w:r w:rsidRPr="004658BD">
        <w:rPr>
          <w:rFonts w:eastAsia="Adobe Gothic Std B"/>
          <w:sz w:val="28"/>
          <w:szCs w:val="28"/>
        </w:rPr>
        <w:t>nesis a la presente acci</w:t>
      </w:r>
      <w:r w:rsidRPr="004658BD">
        <w:rPr>
          <w:rFonts w:eastAsia="Adobe Gothic Std B" w:cs="Tahoma"/>
          <w:sz w:val="28"/>
          <w:szCs w:val="28"/>
        </w:rPr>
        <w:t>ó</w:t>
      </w:r>
      <w:r w:rsidRPr="004658BD">
        <w:rPr>
          <w:rFonts w:eastAsia="Adobe Gothic Std B"/>
          <w:sz w:val="28"/>
          <w:szCs w:val="28"/>
        </w:rPr>
        <w:t>n de revisi</w:t>
      </w:r>
      <w:r w:rsidRPr="004658BD">
        <w:rPr>
          <w:rFonts w:eastAsia="Adobe Gothic Std B" w:cs="Tahoma"/>
          <w:sz w:val="28"/>
          <w:szCs w:val="28"/>
        </w:rPr>
        <w:t>ó</w:t>
      </w:r>
      <w:r w:rsidR="003365E9">
        <w:rPr>
          <w:rFonts w:eastAsia="Adobe Gothic Std B"/>
          <w:sz w:val="28"/>
          <w:szCs w:val="28"/>
        </w:rPr>
        <w:t>n, tuvieron ocurrencia a eso de 18:40 horas el 27 de octubre del 2.015 entre la Cll. 16C con Cr. 3ª d</w:t>
      </w:r>
      <w:r w:rsidRPr="004658BD">
        <w:rPr>
          <w:rFonts w:eastAsia="Adobe Gothic Std B"/>
          <w:sz w:val="28"/>
          <w:szCs w:val="28"/>
        </w:rPr>
        <w:t xml:space="preserve">el </w:t>
      </w:r>
      <w:r w:rsidR="003365E9">
        <w:rPr>
          <w:rFonts w:eastAsia="Adobe Gothic Std B"/>
          <w:sz w:val="28"/>
          <w:szCs w:val="28"/>
        </w:rPr>
        <w:t xml:space="preserve">barrio </w:t>
      </w:r>
      <w:r w:rsidR="003365E9">
        <w:rPr>
          <w:rFonts w:eastAsia="Adobe Gothic Std B"/>
          <w:i/>
          <w:sz w:val="28"/>
          <w:szCs w:val="28"/>
        </w:rPr>
        <w:t xml:space="preserve">El Progreso </w:t>
      </w:r>
      <w:r w:rsidR="003365E9">
        <w:rPr>
          <w:rFonts w:eastAsia="Adobe Gothic Std B"/>
          <w:sz w:val="28"/>
          <w:szCs w:val="28"/>
        </w:rPr>
        <w:t xml:space="preserve">del </w:t>
      </w:r>
      <w:r w:rsidRPr="004658BD">
        <w:rPr>
          <w:rFonts w:eastAsia="Adobe Gothic Std B"/>
          <w:sz w:val="28"/>
          <w:szCs w:val="28"/>
        </w:rPr>
        <w:t xml:space="preserve">municipio de </w:t>
      </w:r>
      <w:r w:rsidR="003365E9">
        <w:rPr>
          <w:rFonts w:eastAsia="Adobe Gothic Std B"/>
          <w:sz w:val="28"/>
          <w:szCs w:val="28"/>
        </w:rPr>
        <w:t xml:space="preserve">La Virginia, y están relacionados con la captura del ciudadano </w:t>
      </w:r>
      <w:r w:rsidR="00B36912">
        <w:rPr>
          <w:rFonts w:eastAsia="Adobe Gothic Std B"/>
          <w:sz w:val="28"/>
          <w:szCs w:val="28"/>
        </w:rPr>
        <w:t>HAIVER ALEXÁ</w:t>
      </w:r>
      <w:r w:rsidR="003365E9" w:rsidRPr="003365E9">
        <w:rPr>
          <w:rFonts w:eastAsia="Adobe Gothic Std B"/>
          <w:sz w:val="28"/>
          <w:szCs w:val="28"/>
        </w:rPr>
        <w:t>NDER VÉLEZ CARMONA</w:t>
      </w:r>
      <w:r w:rsidR="003365E9">
        <w:rPr>
          <w:rFonts w:eastAsia="Adobe Gothic Std B"/>
          <w:sz w:val="28"/>
          <w:szCs w:val="28"/>
        </w:rPr>
        <w:t xml:space="preserve">, a quien efectivos de la </w:t>
      </w:r>
      <w:r w:rsidR="0075043F">
        <w:rPr>
          <w:rFonts w:eastAsia="Adobe Gothic Std B"/>
          <w:sz w:val="28"/>
          <w:szCs w:val="28"/>
        </w:rPr>
        <w:t>Policía</w:t>
      </w:r>
      <w:r w:rsidR="003365E9">
        <w:rPr>
          <w:rFonts w:eastAsia="Adobe Gothic Std B"/>
          <w:sz w:val="28"/>
          <w:szCs w:val="28"/>
        </w:rPr>
        <w:t xml:space="preserve"> Nacional</w:t>
      </w:r>
      <w:r w:rsidR="009E7BB8">
        <w:rPr>
          <w:rFonts w:eastAsia="Adobe Gothic Std B"/>
          <w:sz w:val="28"/>
          <w:szCs w:val="28"/>
        </w:rPr>
        <w:t>,</w:t>
      </w:r>
      <w:r w:rsidR="003365E9">
        <w:rPr>
          <w:rFonts w:eastAsia="Adobe Gothic Std B"/>
          <w:sz w:val="28"/>
          <w:szCs w:val="28"/>
        </w:rPr>
        <w:t xml:space="preserve"> que patrullaban por ese sector</w:t>
      </w:r>
      <w:r w:rsidR="009E7BB8">
        <w:rPr>
          <w:rFonts w:eastAsia="Adobe Gothic Std B"/>
          <w:sz w:val="28"/>
          <w:szCs w:val="28"/>
        </w:rPr>
        <w:t>,</w:t>
      </w:r>
      <w:r w:rsidR="003365E9">
        <w:rPr>
          <w:rFonts w:eastAsia="Adobe Gothic Std B"/>
          <w:sz w:val="28"/>
          <w:szCs w:val="28"/>
        </w:rPr>
        <w:t xml:space="preserve"> le practicaron una requisa, y como consecuencia de ese procedimiento le encontraron que portaba </w:t>
      </w:r>
      <w:r w:rsidR="009E7BB8">
        <w:rPr>
          <w:rFonts w:eastAsia="Adobe Gothic Std B"/>
          <w:sz w:val="28"/>
          <w:szCs w:val="28"/>
        </w:rPr>
        <w:t xml:space="preserve">oculto </w:t>
      </w:r>
      <w:r w:rsidR="003365E9">
        <w:rPr>
          <w:rFonts w:eastAsia="Adobe Gothic Std B"/>
          <w:sz w:val="28"/>
          <w:szCs w:val="28"/>
        </w:rPr>
        <w:t xml:space="preserve">en sus vestimentas </w:t>
      </w:r>
      <w:r w:rsidR="009E7BB8">
        <w:rPr>
          <w:rFonts w:eastAsia="Adobe Gothic Std B"/>
          <w:sz w:val="28"/>
          <w:szCs w:val="28"/>
        </w:rPr>
        <w:t xml:space="preserve">15 bolsitas plásticas que contenían una sustancia vegetal seca, la que luego de ser sometida </w:t>
      </w:r>
      <w:r w:rsidRPr="004658BD">
        <w:rPr>
          <w:rFonts w:eastAsia="Adobe Gothic Std B"/>
          <w:sz w:val="28"/>
          <w:szCs w:val="28"/>
        </w:rPr>
        <w:t xml:space="preserve">a la prueba de identificación preliminar positiva homogenizada (PIPH), resultó ser </w:t>
      </w:r>
      <w:r w:rsidR="009E7BB8">
        <w:rPr>
          <w:rFonts w:eastAsia="Adobe Gothic Std B"/>
          <w:sz w:val="28"/>
          <w:szCs w:val="28"/>
        </w:rPr>
        <w:t xml:space="preserve">marihuana, </w:t>
      </w:r>
      <w:r w:rsidRPr="004658BD">
        <w:rPr>
          <w:rFonts w:eastAsia="Adobe Gothic Std B"/>
          <w:sz w:val="28"/>
          <w:szCs w:val="28"/>
        </w:rPr>
        <w:t xml:space="preserve">y arrojó un peso neto de </w:t>
      </w:r>
      <w:r w:rsidR="001C32D3">
        <w:rPr>
          <w:rFonts w:eastAsia="Adobe Gothic Std B"/>
          <w:sz w:val="28"/>
          <w:szCs w:val="28"/>
        </w:rPr>
        <w:t>79.71</w:t>
      </w:r>
      <w:r w:rsidRPr="004658BD">
        <w:rPr>
          <w:rFonts w:eastAsia="Adobe Gothic Std B"/>
          <w:sz w:val="28"/>
          <w:szCs w:val="28"/>
        </w:rPr>
        <w:t xml:space="preserve"> gramos.</w:t>
      </w:r>
    </w:p>
    <w:p w:rsidR="004658BD" w:rsidRPr="004658BD" w:rsidRDefault="004658BD" w:rsidP="004658BD">
      <w:pPr>
        <w:spacing w:after="0" w:line="276" w:lineRule="auto"/>
        <w:jc w:val="both"/>
        <w:rPr>
          <w:rFonts w:eastAsia="Adobe Gothic Std B"/>
          <w:sz w:val="28"/>
          <w:szCs w:val="28"/>
        </w:rPr>
      </w:pPr>
    </w:p>
    <w:p w:rsidR="004658BD" w:rsidRPr="004658BD" w:rsidRDefault="004658BD" w:rsidP="004658BD">
      <w:pPr>
        <w:numPr>
          <w:ilvl w:val="0"/>
          <w:numId w:val="3"/>
        </w:numPr>
        <w:spacing w:after="0" w:line="276" w:lineRule="auto"/>
        <w:ind w:left="360"/>
        <w:contextualSpacing/>
        <w:jc w:val="both"/>
        <w:rPr>
          <w:rFonts w:eastAsia="Adobe Gothic Std B"/>
          <w:sz w:val="28"/>
          <w:szCs w:val="28"/>
        </w:rPr>
      </w:pPr>
      <w:r w:rsidRPr="004658BD">
        <w:rPr>
          <w:rFonts w:eastAsia="Adobe Gothic Std B"/>
          <w:sz w:val="28"/>
          <w:szCs w:val="28"/>
        </w:rPr>
        <w:t xml:space="preserve">Al judicializarse lo acontecido, la Fiscalía, en las calendas del </w:t>
      </w:r>
      <w:r w:rsidR="009E7BB8">
        <w:rPr>
          <w:rFonts w:eastAsia="Adobe Gothic Std B"/>
          <w:sz w:val="28"/>
          <w:szCs w:val="28"/>
        </w:rPr>
        <w:t xml:space="preserve">28 de octubre de esa anualidad, </w:t>
      </w:r>
      <w:r w:rsidRPr="004658BD">
        <w:rPr>
          <w:rFonts w:eastAsia="Adobe Gothic Std B"/>
          <w:sz w:val="28"/>
          <w:szCs w:val="28"/>
        </w:rPr>
        <w:t xml:space="preserve">ante el Juzgado Único Promiscuo Municipal de </w:t>
      </w:r>
      <w:r w:rsidR="009E7BB8">
        <w:rPr>
          <w:rFonts w:eastAsia="Adobe Gothic Std B"/>
          <w:sz w:val="28"/>
          <w:szCs w:val="28"/>
        </w:rPr>
        <w:t>Balboa</w:t>
      </w:r>
      <w:r w:rsidRPr="004658BD">
        <w:rPr>
          <w:rFonts w:eastAsia="Adobe Gothic Std B"/>
          <w:sz w:val="28"/>
          <w:szCs w:val="28"/>
        </w:rPr>
        <w:t>, con funciones de control de garantías</w:t>
      </w:r>
      <w:r w:rsidR="009E7BB8">
        <w:rPr>
          <w:rFonts w:eastAsia="Adobe Gothic Std B"/>
          <w:sz w:val="28"/>
          <w:szCs w:val="28"/>
        </w:rPr>
        <w:t>,</w:t>
      </w:r>
      <w:r w:rsidRPr="004658BD">
        <w:rPr>
          <w:rFonts w:eastAsia="Adobe Gothic Std B"/>
          <w:sz w:val="28"/>
          <w:szCs w:val="28"/>
        </w:rPr>
        <w:t xml:space="preserve"> además de solicitar la legalización de la captura del entonces indiciado, procedió a enrostrarle cargos al Sr. </w:t>
      </w:r>
      <w:r w:rsidR="00B36912">
        <w:rPr>
          <w:rFonts w:eastAsia="Adobe Gothic Std B"/>
          <w:sz w:val="28"/>
          <w:szCs w:val="28"/>
        </w:rPr>
        <w:t>HAIVER ALEXÁ</w:t>
      </w:r>
      <w:r w:rsidR="009E7BB8" w:rsidRPr="003365E9">
        <w:rPr>
          <w:rFonts w:eastAsia="Adobe Gothic Std B"/>
          <w:sz w:val="28"/>
          <w:szCs w:val="28"/>
        </w:rPr>
        <w:t>NDER VÉLEZ CARMONA</w:t>
      </w:r>
      <w:r w:rsidRPr="004658BD">
        <w:rPr>
          <w:rFonts w:eastAsia="Adobe Gothic Std B"/>
          <w:sz w:val="28"/>
          <w:szCs w:val="28"/>
        </w:rPr>
        <w:t xml:space="preserve">, por incurrir en la </w:t>
      </w:r>
      <w:r w:rsidRPr="004658BD">
        <w:rPr>
          <w:rFonts w:eastAsia="Adobe Gothic Std B"/>
          <w:sz w:val="28"/>
          <w:szCs w:val="28"/>
        </w:rPr>
        <w:lastRenderedPageBreak/>
        <w:t>presunta comisión del delito de tráfico de estupefacientes, en la modalidad de llevar consigo</w:t>
      </w:r>
      <w:r w:rsidR="009E7BB8">
        <w:rPr>
          <w:rFonts w:eastAsia="Adobe Gothic Std B"/>
          <w:sz w:val="28"/>
          <w:szCs w:val="28"/>
        </w:rPr>
        <w:t xml:space="preserve">, tipificado en el inciso 2º del articulo 376 C.P. pero de igual forma el Ente Acusador adujo que el Procesado </w:t>
      </w:r>
      <w:r w:rsidR="0075043F">
        <w:rPr>
          <w:rFonts w:eastAsia="Adobe Gothic Std B"/>
          <w:sz w:val="28"/>
          <w:szCs w:val="28"/>
        </w:rPr>
        <w:t>cometió</w:t>
      </w:r>
      <w:r w:rsidR="009E7BB8">
        <w:rPr>
          <w:rFonts w:eastAsia="Adobe Gothic Std B"/>
          <w:sz w:val="28"/>
          <w:szCs w:val="28"/>
        </w:rPr>
        <w:t xml:space="preserve"> el delito bajo el influjo de las circunstancias de marginalidad y pobreza consagradas en el artículo 56 </w:t>
      </w:r>
      <w:r w:rsidR="0075043F">
        <w:rPr>
          <w:rFonts w:eastAsia="Adobe Gothic Std B"/>
          <w:sz w:val="28"/>
          <w:szCs w:val="28"/>
        </w:rPr>
        <w:t>ibídem</w:t>
      </w:r>
      <w:r w:rsidRPr="004658BD">
        <w:rPr>
          <w:rFonts w:eastAsia="Adobe Gothic Std B"/>
          <w:sz w:val="28"/>
          <w:szCs w:val="28"/>
        </w:rPr>
        <w:t xml:space="preserve">. </w:t>
      </w:r>
      <w:r w:rsidR="009E7BB8">
        <w:rPr>
          <w:rFonts w:eastAsia="Adobe Gothic Std B"/>
          <w:sz w:val="28"/>
          <w:szCs w:val="28"/>
        </w:rPr>
        <w:t xml:space="preserve">Asimismo </w:t>
      </w:r>
      <w:r w:rsidRPr="004658BD">
        <w:rPr>
          <w:rFonts w:eastAsia="Adobe Gothic Std B"/>
          <w:sz w:val="28"/>
          <w:szCs w:val="28"/>
        </w:rPr>
        <w:t xml:space="preserve">en esas vistas públicas el Procesado fue puesto en libertad en atención a que la Fiscalía declinó deprecar cualquier tipo de solicitud relacionada con la imposición de medidas de aseguramiento. </w:t>
      </w:r>
    </w:p>
    <w:p w:rsidR="004658BD" w:rsidRPr="004658BD" w:rsidRDefault="004658BD" w:rsidP="004658BD">
      <w:pPr>
        <w:spacing w:after="0" w:line="276" w:lineRule="auto"/>
        <w:jc w:val="both"/>
        <w:rPr>
          <w:rFonts w:eastAsia="Adobe Gothic Std B"/>
          <w:sz w:val="28"/>
          <w:szCs w:val="28"/>
        </w:rPr>
      </w:pPr>
    </w:p>
    <w:p w:rsidR="004658BD" w:rsidRPr="004658BD" w:rsidRDefault="004658BD" w:rsidP="004658BD">
      <w:pPr>
        <w:numPr>
          <w:ilvl w:val="0"/>
          <w:numId w:val="3"/>
        </w:numPr>
        <w:spacing w:after="0" w:line="276" w:lineRule="auto"/>
        <w:ind w:left="360"/>
        <w:contextualSpacing/>
        <w:jc w:val="both"/>
        <w:rPr>
          <w:rFonts w:eastAsia="Adobe Gothic Std B"/>
          <w:sz w:val="28"/>
          <w:szCs w:val="28"/>
        </w:rPr>
      </w:pPr>
      <w:r w:rsidRPr="004658BD">
        <w:rPr>
          <w:rFonts w:eastAsia="Adobe Gothic Std B"/>
          <w:sz w:val="28"/>
          <w:szCs w:val="28"/>
        </w:rPr>
        <w:t xml:space="preserve">Como </w:t>
      </w:r>
      <w:r w:rsidR="0099105B">
        <w:rPr>
          <w:rFonts w:eastAsia="Adobe Gothic Std B"/>
          <w:sz w:val="28"/>
          <w:szCs w:val="28"/>
        </w:rPr>
        <w:t xml:space="preserve">consecuencia de haberse presentado el fenómeno del allanamiento a cargos, el conocimiento de la actuación le </w:t>
      </w:r>
      <w:r w:rsidR="0075043F">
        <w:rPr>
          <w:rFonts w:eastAsia="Adobe Gothic Std B"/>
          <w:sz w:val="28"/>
          <w:szCs w:val="28"/>
        </w:rPr>
        <w:t>correspondió</w:t>
      </w:r>
      <w:r w:rsidR="0099105B">
        <w:rPr>
          <w:rFonts w:eastAsia="Adobe Gothic Std B"/>
          <w:sz w:val="28"/>
          <w:szCs w:val="28"/>
        </w:rPr>
        <w:t xml:space="preserve"> al </w:t>
      </w:r>
      <w:r w:rsidR="0099105B" w:rsidRPr="004658BD">
        <w:rPr>
          <w:rFonts w:eastAsia="Adobe Gothic Std B"/>
          <w:sz w:val="28"/>
          <w:szCs w:val="28"/>
        </w:rPr>
        <w:t>Juzgado Único P</w:t>
      </w:r>
      <w:r w:rsidR="0099105B">
        <w:rPr>
          <w:rFonts w:eastAsia="Adobe Gothic Std B"/>
          <w:sz w:val="28"/>
          <w:szCs w:val="28"/>
        </w:rPr>
        <w:t xml:space="preserve">romiscuo </w:t>
      </w:r>
      <w:r w:rsidR="0099105B" w:rsidRPr="004658BD">
        <w:rPr>
          <w:rFonts w:eastAsia="Adobe Gothic Std B"/>
          <w:sz w:val="28"/>
          <w:szCs w:val="28"/>
        </w:rPr>
        <w:t xml:space="preserve">del Circuito de </w:t>
      </w:r>
      <w:r w:rsidR="0099105B">
        <w:rPr>
          <w:rFonts w:eastAsia="Adobe Gothic Std B"/>
          <w:sz w:val="28"/>
          <w:szCs w:val="28"/>
        </w:rPr>
        <w:t>La Virginia, ante el cual, después de llevarse a cabo la audiencia de verificación de la aceptación de cargos</w:t>
      </w:r>
      <w:r w:rsidR="0099105B">
        <w:rPr>
          <w:rStyle w:val="Refdenotaalpie"/>
          <w:rFonts w:eastAsia="Adobe Gothic Std B"/>
          <w:sz w:val="28"/>
          <w:szCs w:val="28"/>
        </w:rPr>
        <w:footnoteReference w:id="1"/>
      </w:r>
      <w:r w:rsidR="00FD29C5">
        <w:rPr>
          <w:rFonts w:eastAsia="Adobe Gothic Std B"/>
          <w:sz w:val="28"/>
          <w:szCs w:val="28"/>
        </w:rPr>
        <w:t>, en las calendas del 29 de marzo del 2.016</w:t>
      </w:r>
      <w:r w:rsidR="00FD29C5" w:rsidRPr="004658BD">
        <w:rPr>
          <w:rFonts w:eastAsia="Adobe Gothic Std B"/>
          <w:sz w:val="28"/>
          <w:szCs w:val="28"/>
        </w:rPr>
        <w:t xml:space="preserve"> </w:t>
      </w:r>
      <w:r w:rsidR="0075043F">
        <w:rPr>
          <w:rFonts w:eastAsia="Adobe Gothic Std B"/>
          <w:sz w:val="28"/>
          <w:szCs w:val="28"/>
        </w:rPr>
        <w:t>procedió</w:t>
      </w:r>
      <w:r w:rsidR="00FD29C5">
        <w:rPr>
          <w:rFonts w:eastAsia="Adobe Gothic Std B"/>
          <w:sz w:val="28"/>
          <w:szCs w:val="28"/>
        </w:rPr>
        <w:t xml:space="preserve"> a dictar la correspondiente sentencia en la cual </w:t>
      </w:r>
      <w:r w:rsidR="00FD29C5" w:rsidRPr="004658BD">
        <w:rPr>
          <w:rFonts w:eastAsia="Adobe Gothic Std B"/>
          <w:sz w:val="28"/>
          <w:szCs w:val="28"/>
        </w:rPr>
        <w:t xml:space="preserve">se declaró la responsabilidad criminal del entonces Procesado </w:t>
      </w:r>
      <w:r w:rsidR="00B36912">
        <w:rPr>
          <w:rFonts w:eastAsia="Adobe Gothic Std B"/>
          <w:sz w:val="28"/>
          <w:szCs w:val="28"/>
        </w:rPr>
        <w:t>HAIVER ALEXÁ</w:t>
      </w:r>
      <w:r w:rsidR="00FD29C5" w:rsidRPr="003365E9">
        <w:rPr>
          <w:rFonts w:eastAsia="Adobe Gothic Std B"/>
          <w:sz w:val="28"/>
          <w:szCs w:val="28"/>
        </w:rPr>
        <w:t>NDER VÉLEZ CARMONA</w:t>
      </w:r>
      <w:r w:rsidR="00FD29C5" w:rsidRPr="004658BD">
        <w:rPr>
          <w:rFonts w:eastAsia="Adobe Gothic Std B"/>
          <w:sz w:val="28"/>
          <w:szCs w:val="28"/>
        </w:rPr>
        <w:t>, por incurrir en la comisión del delito de tráfico de estupefacientes</w:t>
      </w:r>
      <w:r w:rsidR="00FD29C5">
        <w:rPr>
          <w:rFonts w:eastAsia="Adobe Gothic Std B"/>
          <w:sz w:val="28"/>
          <w:szCs w:val="28"/>
        </w:rPr>
        <w:t>.</w:t>
      </w:r>
      <w:r w:rsidR="00FD29C5" w:rsidRPr="004658BD">
        <w:rPr>
          <w:rFonts w:eastAsia="Adobe Gothic Std B"/>
          <w:sz w:val="28"/>
          <w:szCs w:val="28"/>
        </w:rPr>
        <w:t xml:space="preserve"> </w:t>
      </w:r>
    </w:p>
    <w:p w:rsidR="004658BD" w:rsidRPr="004658BD" w:rsidRDefault="004658BD" w:rsidP="004658BD">
      <w:pPr>
        <w:spacing w:after="0" w:line="276" w:lineRule="auto"/>
        <w:jc w:val="both"/>
        <w:rPr>
          <w:rFonts w:eastAsia="Adobe Gothic Std B"/>
          <w:sz w:val="28"/>
          <w:szCs w:val="28"/>
        </w:rPr>
      </w:pPr>
    </w:p>
    <w:p w:rsidR="004658BD" w:rsidRPr="004658BD" w:rsidRDefault="00FD29C5" w:rsidP="004658BD">
      <w:pPr>
        <w:numPr>
          <w:ilvl w:val="0"/>
          <w:numId w:val="3"/>
        </w:numPr>
        <w:spacing w:after="0" w:line="276" w:lineRule="auto"/>
        <w:ind w:left="360"/>
        <w:contextualSpacing/>
        <w:jc w:val="both"/>
        <w:rPr>
          <w:rFonts w:eastAsia="Adobe Gothic Std B"/>
          <w:sz w:val="28"/>
          <w:szCs w:val="28"/>
        </w:rPr>
      </w:pPr>
      <w:r>
        <w:rPr>
          <w:rFonts w:eastAsia="Adobe Gothic Std B"/>
          <w:sz w:val="28"/>
          <w:szCs w:val="28"/>
        </w:rPr>
        <w:t xml:space="preserve">Como consecuencia de dicha declaratoria de responsabilidad criminal, el entonces procesado </w:t>
      </w:r>
      <w:r w:rsidR="00B36912">
        <w:rPr>
          <w:rFonts w:eastAsia="Adobe Gothic Std B"/>
          <w:sz w:val="28"/>
          <w:szCs w:val="28"/>
        </w:rPr>
        <w:t>HAIVER ALEXÁ</w:t>
      </w:r>
      <w:r w:rsidRPr="003365E9">
        <w:rPr>
          <w:rFonts w:eastAsia="Adobe Gothic Std B"/>
          <w:sz w:val="28"/>
          <w:szCs w:val="28"/>
        </w:rPr>
        <w:t>NDER VÉLEZ CARMONA</w:t>
      </w:r>
      <w:r>
        <w:rPr>
          <w:rFonts w:eastAsia="Adobe Gothic Std B"/>
          <w:sz w:val="28"/>
          <w:szCs w:val="28"/>
        </w:rPr>
        <w:t xml:space="preserve"> fue condenado a purgar una pena principal de 9 meses y 10 </w:t>
      </w:r>
      <w:r w:rsidR="007353B0">
        <w:rPr>
          <w:rFonts w:eastAsia="Adobe Gothic Std B"/>
          <w:sz w:val="28"/>
          <w:szCs w:val="28"/>
        </w:rPr>
        <w:t>días</w:t>
      </w:r>
      <w:r>
        <w:rPr>
          <w:rFonts w:eastAsia="Adobe Gothic Std B"/>
          <w:sz w:val="28"/>
          <w:szCs w:val="28"/>
        </w:rPr>
        <w:t xml:space="preserve"> de prisión, cuya ejecución fue suspendida debido a que se le </w:t>
      </w:r>
      <w:r w:rsidR="007353B0">
        <w:rPr>
          <w:rFonts w:eastAsia="Adobe Gothic Std B"/>
          <w:sz w:val="28"/>
          <w:szCs w:val="28"/>
        </w:rPr>
        <w:t>reconoció</w:t>
      </w:r>
      <w:r>
        <w:rPr>
          <w:rFonts w:eastAsia="Adobe Gothic Std B"/>
          <w:sz w:val="28"/>
          <w:szCs w:val="28"/>
        </w:rPr>
        <w:t xml:space="preserve"> el subrogado penal de la suspensión condicional de la </w:t>
      </w:r>
      <w:r w:rsidR="007353B0">
        <w:rPr>
          <w:rFonts w:eastAsia="Adobe Gothic Std B"/>
          <w:sz w:val="28"/>
          <w:szCs w:val="28"/>
        </w:rPr>
        <w:t xml:space="preserve">ejecución de la </w:t>
      </w:r>
      <w:r>
        <w:rPr>
          <w:rFonts w:eastAsia="Adobe Gothic Std B"/>
          <w:sz w:val="28"/>
          <w:szCs w:val="28"/>
        </w:rPr>
        <w:t xml:space="preserve">pena. </w:t>
      </w:r>
      <w:r w:rsidR="004658BD" w:rsidRPr="004658BD">
        <w:rPr>
          <w:rFonts w:eastAsia="Adobe Gothic Std B"/>
          <w:sz w:val="28"/>
          <w:szCs w:val="28"/>
        </w:rPr>
        <w:t xml:space="preserve"> </w:t>
      </w:r>
    </w:p>
    <w:p w:rsidR="004658BD" w:rsidRPr="004658BD" w:rsidRDefault="004658BD" w:rsidP="00B36912">
      <w:pPr>
        <w:spacing w:after="0" w:line="360" w:lineRule="auto"/>
        <w:jc w:val="both"/>
        <w:rPr>
          <w:rFonts w:eastAsia="Adobe Gothic Std B"/>
          <w:sz w:val="28"/>
          <w:szCs w:val="28"/>
        </w:rPr>
      </w:pPr>
    </w:p>
    <w:p w:rsidR="004658BD" w:rsidRPr="004658BD" w:rsidRDefault="004658BD" w:rsidP="00B36912">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EL LIBELO DE LA ACCI</w:t>
      </w:r>
      <w:r w:rsidRPr="004658BD">
        <w:rPr>
          <w:rFonts w:eastAsia="Adobe Gothic Std B" w:cs="Tahoma"/>
          <w:b/>
          <w:sz w:val="28"/>
          <w:szCs w:val="28"/>
          <w:lang w:eastAsia="es-ES"/>
        </w:rPr>
        <w:t>Ó</w:t>
      </w:r>
      <w:r w:rsidRPr="004658BD">
        <w:rPr>
          <w:rFonts w:eastAsia="Adobe Gothic Std B" w:cs="Times New Roman"/>
          <w:b/>
          <w:sz w:val="28"/>
          <w:szCs w:val="28"/>
          <w:lang w:eastAsia="es-ES"/>
        </w:rPr>
        <w:t>N DE REVISIÓN:</w:t>
      </w:r>
    </w:p>
    <w:p w:rsidR="004658BD" w:rsidRPr="004658BD" w:rsidRDefault="004658BD" w:rsidP="00B36912">
      <w:pPr>
        <w:spacing w:after="0" w:line="240" w:lineRule="auto"/>
        <w:jc w:val="center"/>
        <w:rPr>
          <w:rFonts w:eastAsia="Adobe Gothic Std B" w:cs="Times New Roman"/>
          <w:b/>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Como ya se dijo al introito de la presente providencia, la acción de revisión impetrada en contra del fallo proferido </w:t>
      </w:r>
      <w:r w:rsidR="00FD29C5" w:rsidRPr="00FD29C5">
        <w:rPr>
          <w:rFonts w:eastAsia="Adobe Gothic Std B" w:cs="Times New Roman"/>
          <w:sz w:val="28"/>
          <w:szCs w:val="28"/>
          <w:lang w:eastAsia="es-ES"/>
        </w:rPr>
        <w:t>29 de marzo del 2.016 por el Juzgado Único Promiscuo del Circuito de La Virginia, en la cual se declaró la responsabilidad criminal del</w:t>
      </w:r>
      <w:r w:rsidR="00B36912">
        <w:rPr>
          <w:rFonts w:eastAsia="Adobe Gothic Std B" w:cs="Times New Roman"/>
          <w:sz w:val="28"/>
          <w:szCs w:val="28"/>
          <w:lang w:eastAsia="es-ES"/>
        </w:rPr>
        <w:t xml:space="preserve"> entonces Procesado HAIVER ALEXÁ</w:t>
      </w:r>
      <w:r w:rsidR="00FD29C5" w:rsidRPr="00FD29C5">
        <w:rPr>
          <w:rFonts w:eastAsia="Adobe Gothic Std B" w:cs="Times New Roman"/>
          <w:sz w:val="28"/>
          <w:szCs w:val="28"/>
          <w:lang w:eastAsia="es-ES"/>
        </w:rPr>
        <w:t xml:space="preserve">NDER VÉLEZ CARMONA, por </w:t>
      </w:r>
      <w:r w:rsidR="00FD29C5" w:rsidRPr="00FD29C5">
        <w:rPr>
          <w:rFonts w:eastAsia="Adobe Gothic Std B" w:cs="Times New Roman"/>
          <w:sz w:val="28"/>
          <w:szCs w:val="28"/>
          <w:lang w:eastAsia="es-ES"/>
        </w:rPr>
        <w:lastRenderedPageBreak/>
        <w:t>incurrir en la comisión del delito de tráfico de estupefacientes</w:t>
      </w:r>
      <w:r w:rsidRPr="004658BD">
        <w:rPr>
          <w:rFonts w:eastAsia="Adobe Gothic Std B" w:cs="Times New Roman"/>
          <w:sz w:val="28"/>
          <w:szCs w:val="28"/>
          <w:lang w:eastAsia="es-ES"/>
        </w:rPr>
        <w:t>, fue deprecada por el Procurador Judicial Penal II # 1</w:t>
      </w:r>
      <w:r w:rsidR="00FD29C5">
        <w:rPr>
          <w:rFonts w:eastAsia="Adobe Gothic Std B" w:cs="Times New Roman"/>
          <w:sz w:val="28"/>
          <w:szCs w:val="28"/>
          <w:lang w:eastAsia="es-ES"/>
        </w:rPr>
        <w:t>50</w:t>
      </w:r>
      <w:r w:rsidRPr="004658BD">
        <w:rPr>
          <w:rFonts w:eastAsia="Adobe Gothic Std B" w:cs="Times New Roman"/>
          <w:sz w:val="28"/>
          <w:szCs w:val="28"/>
          <w:lang w:eastAsia="es-ES"/>
        </w:rPr>
        <w:t>, en su cal</w:t>
      </w:r>
      <w:r w:rsidR="00B36912">
        <w:rPr>
          <w:rFonts w:eastAsia="Adobe Gothic Std B" w:cs="Times New Roman"/>
          <w:sz w:val="28"/>
          <w:szCs w:val="28"/>
          <w:lang w:eastAsia="es-ES"/>
        </w:rPr>
        <w:t>idad de agente del Ministerio Pú</w:t>
      </w:r>
      <w:r w:rsidRPr="004658BD">
        <w:rPr>
          <w:rFonts w:eastAsia="Adobe Gothic Std B" w:cs="Times New Roman"/>
          <w:sz w:val="28"/>
          <w:szCs w:val="28"/>
          <w:lang w:eastAsia="es-ES"/>
        </w:rPr>
        <w:t>blico, la cual se fundamentó en la causal consagrada en el # 7º del artículo 192 C.P.P. la que es del siguiente tenor:</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B36912">
      <w:pPr>
        <w:spacing w:after="0" w:line="240" w:lineRule="auto"/>
        <w:ind w:left="567" w:right="618"/>
        <w:jc w:val="both"/>
        <w:rPr>
          <w:sz w:val="24"/>
          <w:szCs w:val="24"/>
        </w:rPr>
      </w:pPr>
      <w:r w:rsidRPr="004658BD">
        <w:rPr>
          <w:sz w:val="24"/>
          <w:szCs w:val="24"/>
        </w:rPr>
        <w:t>“7. Cuando mediante pronunciamiento judicial, la Corte haya cambiado favorablemente el criterio jurídico que sirvió para sustentar la sentencia condenatoria, tanto respecto de la responsabilidad como de la punibilidad……”.</w:t>
      </w:r>
    </w:p>
    <w:p w:rsidR="004658BD" w:rsidRPr="004658BD" w:rsidRDefault="004658BD" w:rsidP="004658BD">
      <w:pPr>
        <w:spacing w:after="0" w:line="276" w:lineRule="auto"/>
        <w:jc w:val="both"/>
        <w:rPr>
          <w:sz w:val="28"/>
          <w:szCs w:val="28"/>
        </w:rPr>
      </w:pPr>
    </w:p>
    <w:p w:rsidR="00FD29C5" w:rsidRDefault="004658BD" w:rsidP="004658BD">
      <w:pPr>
        <w:spacing w:after="0" w:line="276" w:lineRule="auto"/>
        <w:jc w:val="both"/>
        <w:rPr>
          <w:sz w:val="28"/>
          <w:szCs w:val="28"/>
        </w:rPr>
      </w:pPr>
      <w:r w:rsidRPr="004658BD">
        <w:rPr>
          <w:sz w:val="28"/>
          <w:szCs w:val="28"/>
        </w:rPr>
        <w:t xml:space="preserve">En dicho libelo, expuso el demandante que en el presente asunto, después de haber sido proferida la sentencia mediante la cual se declaró la responsabilidad criminal de </w:t>
      </w:r>
      <w:r w:rsidR="00B36912">
        <w:rPr>
          <w:sz w:val="28"/>
          <w:szCs w:val="28"/>
        </w:rPr>
        <w:t>HAIVER ALEXÁ</w:t>
      </w:r>
      <w:r w:rsidR="00FD29C5" w:rsidRPr="00FD29C5">
        <w:rPr>
          <w:sz w:val="28"/>
          <w:szCs w:val="28"/>
        </w:rPr>
        <w:t>NDER VÉLEZ CARMONA</w:t>
      </w:r>
      <w:r w:rsidRPr="004658BD">
        <w:rPr>
          <w:sz w:val="28"/>
          <w:szCs w:val="28"/>
        </w:rPr>
        <w:t xml:space="preserve">, </w:t>
      </w:r>
      <w:r w:rsidR="00FD29C5">
        <w:rPr>
          <w:sz w:val="28"/>
          <w:szCs w:val="28"/>
        </w:rPr>
        <w:t xml:space="preserve">ha tenido </w:t>
      </w:r>
      <w:r w:rsidRPr="004658BD">
        <w:rPr>
          <w:sz w:val="28"/>
          <w:szCs w:val="28"/>
        </w:rPr>
        <w:t xml:space="preserve">ocurrencia un cambio </w:t>
      </w:r>
      <w:r w:rsidR="007353B0">
        <w:rPr>
          <w:sz w:val="28"/>
          <w:szCs w:val="28"/>
        </w:rPr>
        <w:t>en</w:t>
      </w:r>
      <w:r w:rsidRPr="004658BD">
        <w:rPr>
          <w:sz w:val="28"/>
          <w:szCs w:val="28"/>
        </w:rPr>
        <w:t xml:space="preserve"> la línea jurisprudencial trazada por la Sala de Casación Penal de la Corte Suprema de Justicia (CSJ), respecto a la naturaleza del delito de tráfico de estupefacientes en la modalidad de </w:t>
      </w:r>
      <w:r w:rsidRPr="004658BD">
        <w:rPr>
          <w:i/>
          <w:sz w:val="28"/>
          <w:szCs w:val="28"/>
        </w:rPr>
        <w:t>llevar consigo,</w:t>
      </w:r>
      <w:r w:rsidRPr="004658BD">
        <w:rPr>
          <w:sz w:val="28"/>
          <w:szCs w:val="28"/>
        </w:rPr>
        <w:t xml:space="preserve"> así como a quien le competía la carga de la prueba</w:t>
      </w:r>
      <w:r w:rsidR="00FD29C5">
        <w:rPr>
          <w:sz w:val="28"/>
          <w:szCs w:val="28"/>
        </w:rPr>
        <w:t xml:space="preserve">, el cual al ser aplicado al presente caso juzgado, redundaría en favor de los intereses del ciudadano </w:t>
      </w:r>
      <w:r w:rsidR="00FD29C5" w:rsidRPr="00FD29C5">
        <w:rPr>
          <w:sz w:val="28"/>
          <w:szCs w:val="28"/>
        </w:rPr>
        <w:t>HAIVER ALEXANDER VÉLEZ CARMONA</w:t>
      </w:r>
      <w:r w:rsidR="00FD29C5">
        <w:rPr>
          <w:sz w:val="28"/>
          <w:szCs w:val="28"/>
        </w:rPr>
        <w:t xml:space="preserve">, quien </w:t>
      </w:r>
      <w:r w:rsidR="00AE1E72">
        <w:rPr>
          <w:sz w:val="28"/>
          <w:szCs w:val="28"/>
        </w:rPr>
        <w:t xml:space="preserve">de contera </w:t>
      </w:r>
      <w:r w:rsidR="00FD29C5">
        <w:rPr>
          <w:sz w:val="28"/>
          <w:szCs w:val="28"/>
        </w:rPr>
        <w:t>resultaría absuelto de los cargos por los cuales se declaró el compromiso penal endilgado en su contra</w:t>
      </w:r>
      <w:r w:rsidRPr="004658BD">
        <w:rPr>
          <w:i/>
          <w:sz w:val="28"/>
          <w:szCs w:val="28"/>
        </w:rPr>
        <w:t xml:space="preserve">. </w:t>
      </w:r>
    </w:p>
    <w:p w:rsidR="00FD29C5" w:rsidRDefault="00FD29C5" w:rsidP="004658BD">
      <w:pPr>
        <w:spacing w:after="0" w:line="276" w:lineRule="auto"/>
        <w:jc w:val="both"/>
        <w:rPr>
          <w:sz w:val="28"/>
          <w:szCs w:val="28"/>
        </w:rPr>
      </w:pPr>
    </w:p>
    <w:p w:rsidR="004658BD" w:rsidRPr="004658BD" w:rsidRDefault="00FD29C5" w:rsidP="004658BD">
      <w:pPr>
        <w:spacing w:after="0" w:line="276" w:lineRule="auto"/>
        <w:jc w:val="both"/>
        <w:rPr>
          <w:sz w:val="28"/>
          <w:szCs w:val="28"/>
        </w:rPr>
      </w:pPr>
      <w:r>
        <w:rPr>
          <w:sz w:val="28"/>
          <w:szCs w:val="28"/>
        </w:rPr>
        <w:t xml:space="preserve">Para demostrar sus pretensiones, </w:t>
      </w:r>
      <w:r w:rsidR="004658BD" w:rsidRPr="004658BD">
        <w:rPr>
          <w:sz w:val="28"/>
          <w:szCs w:val="28"/>
        </w:rPr>
        <w:t xml:space="preserve">el libelista </w:t>
      </w:r>
      <w:r w:rsidR="00AE1E72">
        <w:rPr>
          <w:sz w:val="28"/>
          <w:szCs w:val="28"/>
        </w:rPr>
        <w:t>expuso</w:t>
      </w:r>
      <w:r w:rsidR="004658BD" w:rsidRPr="004658BD">
        <w:rPr>
          <w:sz w:val="28"/>
          <w:szCs w:val="28"/>
        </w:rPr>
        <w:t xml:space="preserve"> que </w:t>
      </w:r>
      <w:r w:rsidR="00AE1E72">
        <w:rPr>
          <w:sz w:val="28"/>
          <w:szCs w:val="28"/>
        </w:rPr>
        <w:t xml:space="preserve">el </w:t>
      </w:r>
      <w:r w:rsidR="004658BD" w:rsidRPr="004658BD">
        <w:rPr>
          <w:sz w:val="28"/>
          <w:szCs w:val="28"/>
        </w:rPr>
        <w:t xml:space="preserve">cambio jurisprudencial </w:t>
      </w:r>
      <w:r w:rsidR="00AE1E72">
        <w:rPr>
          <w:sz w:val="28"/>
          <w:szCs w:val="28"/>
        </w:rPr>
        <w:t xml:space="preserve">que operaria en favor de los intereses del reo </w:t>
      </w:r>
      <w:r w:rsidR="004658BD" w:rsidRPr="004658BD">
        <w:rPr>
          <w:sz w:val="28"/>
          <w:szCs w:val="28"/>
        </w:rPr>
        <w:t>se encuentra reflejado, entre otras, en las sentencias</w:t>
      </w:r>
      <w:r w:rsidR="00AE1E72">
        <w:rPr>
          <w:sz w:val="28"/>
          <w:szCs w:val="28"/>
        </w:rPr>
        <w:t xml:space="preserve"> # 4.1760 del 9 de marzo/16, # 44.997 del 11 de julio/17 y # 50.512 del 2 de febrero/18</w:t>
      </w:r>
      <w:r w:rsidR="004658BD" w:rsidRPr="004658BD">
        <w:rPr>
          <w:sz w:val="28"/>
          <w:szCs w:val="28"/>
        </w:rPr>
        <w:t xml:space="preserve">, en las cuales la Corte adujo que </w:t>
      </w:r>
      <w:r w:rsidR="00F029E4">
        <w:rPr>
          <w:sz w:val="28"/>
          <w:szCs w:val="28"/>
        </w:rPr>
        <w:t xml:space="preserve">el delito de porte de estupefacientes tenía un ingrediente subjetivo </w:t>
      </w:r>
      <w:r w:rsidR="0075043F">
        <w:rPr>
          <w:sz w:val="28"/>
          <w:szCs w:val="28"/>
        </w:rPr>
        <w:t>tácito</w:t>
      </w:r>
      <w:r w:rsidR="00F029E4">
        <w:rPr>
          <w:sz w:val="28"/>
          <w:szCs w:val="28"/>
        </w:rPr>
        <w:t xml:space="preserve"> o </w:t>
      </w:r>
      <w:r w:rsidR="0075043F">
        <w:rPr>
          <w:sz w:val="28"/>
          <w:szCs w:val="28"/>
        </w:rPr>
        <w:t>implícito</w:t>
      </w:r>
      <w:r w:rsidR="00F029E4">
        <w:rPr>
          <w:sz w:val="28"/>
          <w:szCs w:val="28"/>
        </w:rPr>
        <w:t xml:space="preserve">, que </w:t>
      </w:r>
      <w:r w:rsidR="007353B0">
        <w:rPr>
          <w:sz w:val="28"/>
          <w:szCs w:val="28"/>
        </w:rPr>
        <w:t>sería</w:t>
      </w:r>
      <w:r w:rsidR="00F029E4">
        <w:rPr>
          <w:sz w:val="28"/>
          <w:szCs w:val="28"/>
        </w:rPr>
        <w:t xml:space="preserve"> la intención de consumo</w:t>
      </w:r>
      <w:r w:rsidR="007353B0">
        <w:rPr>
          <w:sz w:val="28"/>
          <w:szCs w:val="28"/>
        </w:rPr>
        <w:t xml:space="preserve"> del sujeto agente</w:t>
      </w:r>
      <w:r w:rsidR="00F029E4">
        <w:rPr>
          <w:sz w:val="28"/>
          <w:szCs w:val="28"/>
        </w:rPr>
        <w:t xml:space="preserve">; e igualmente </w:t>
      </w:r>
      <w:r w:rsidR="007353B0">
        <w:rPr>
          <w:sz w:val="28"/>
          <w:szCs w:val="28"/>
        </w:rPr>
        <w:t xml:space="preserve">que </w:t>
      </w:r>
      <w:r w:rsidR="00F029E4">
        <w:rPr>
          <w:sz w:val="28"/>
          <w:szCs w:val="28"/>
        </w:rPr>
        <w:t xml:space="preserve">dicho alto tribunal </w:t>
      </w:r>
      <w:r w:rsidR="005026DC">
        <w:rPr>
          <w:sz w:val="28"/>
          <w:szCs w:val="28"/>
        </w:rPr>
        <w:t>indicó</w:t>
      </w:r>
      <w:r w:rsidR="00F029E4">
        <w:rPr>
          <w:sz w:val="28"/>
          <w:szCs w:val="28"/>
        </w:rPr>
        <w:t xml:space="preserve"> que </w:t>
      </w:r>
      <w:r w:rsidR="004658BD" w:rsidRPr="004658BD">
        <w:rPr>
          <w:sz w:val="28"/>
          <w:szCs w:val="28"/>
        </w:rPr>
        <w:t xml:space="preserve">para poder proferir un fallo de condena, no era suficiente que el </w:t>
      </w:r>
      <w:r w:rsidR="007353B0">
        <w:rPr>
          <w:sz w:val="28"/>
          <w:szCs w:val="28"/>
        </w:rPr>
        <w:t>procesado</w:t>
      </w:r>
      <w:r w:rsidR="004658BD" w:rsidRPr="004658BD">
        <w:rPr>
          <w:sz w:val="28"/>
          <w:szCs w:val="28"/>
        </w:rPr>
        <w:t xml:space="preserve"> portara una cantidad de sustancias narcóticas que excedieran la dosis personal, </w:t>
      </w:r>
      <w:r w:rsidR="00F029E4">
        <w:rPr>
          <w:sz w:val="28"/>
          <w:szCs w:val="28"/>
        </w:rPr>
        <w:t xml:space="preserve">siendo también </w:t>
      </w:r>
      <w:r w:rsidR="004658BD" w:rsidRPr="004658BD">
        <w:rPr>
          <w:sz w:val="28"/>
          <w:szCs w:val="28"/>
        </w:rPr>
        <w:t xml:space="preserve">indispensable que la Fiscalía General de la Nación, en su calidad de titular de la carga de la prueba, acreditara que existía por parte del </w:t>
      </w:r>
      <w:r w:rsidR="004658BD" w:rsidRPr="004658BD">
        <w:rPr>
          <w:sz w:val="28"/>
          <w:szCs w:val="28"/>
        </w:rPr>
        <w:lastRenderedPageBreak/>
        <w:t>encausado un ánimo de distribución o de comercialización de</w:t>
      </w:r>
      <w:r w:rsidR="00F029E4">
        <w:rPr>
          <w:sz w:val="28"/>
          <w:szCs w:val="28"/>
        </w:rPr>
        <w:t xml:space="preserve"> los</w:t>
      </w:r>
      <w:r w:rsidR="00F66F14">
        <w:rPr>
          <w:sz w:val="28"/>
          <w:szCs w:val="28"/>
        </w:rPr>
        <w:t xml:space="preserve"> alucinógenos</w:t>
      </w:r>
      <w:r w:rsidR="004658BD" w:rsidRPr="004658BD">
        <w:rPr>
          <w:sz w:val="28"/>
          <w:szCs w:val="28"/>
        </w:rPr>
        <w:t>.</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Con base en lo anterior, adujo el demandante que al confrontar con la nueva realidad jurisprudencial el contenido del proceso en el cual se declaró la responsabilidad penal de </w:t>
      </w:r>
      <w:r w:rsidR="005026DC">
        <w:rPr>
          <w:sz w:val="28"/>
          <w:szCs w:val="28"/>
        </w:rPr>
        <w:t>HAIVER ALEXÁ</w:t>
      </w:r>
      <w:r w:rsidR="00F029E4" w:rsidRPr="00F029E4">
        <w:rPr>
          <w:sz w:val="28"/>
          <w:szCs w:val="28"/>
        </w:rPr>
        <w:t>NDER VÉLEZ CARMONA</w:t>
      </w:r>
      <w:r w:rsidRPr="004658BD">
        <w:rPr>
          <w:sz w:val="28"/>
          <w:szCs w:val="28"/>
        </w:rPr>
        <w:t xml:space="preserve">, pese a que la sentencia condenatoria fue producto de </w:t>
      </w:r>
      <w:r w:rsidR="00F029E4">
        <w:rPr>
          <w:sz w:val="28"/>
          <w:szCs w:val="28"/>
        </w:rPr>
        <w:t xml:space="preserve">la decisión </w:t>
      </w:r>
      <w:r w:rsidR="00F66F14">
        <w:rPr>
          <w:sz w:val="28"/>
          <w:szCs w:val="28"/>
        </w:rPr>
        <w:t xml:space="preserve">unilateral </w:t>
      </w:r>
      <w:r w:rsidR="00F029E4">
        <w:rPr>
          <w:sz w:val="28"/>
          <w:szCs w:val="28"/>
        </w:rPr>
        <w:t xml:space="preserve">del procesado de allanarse a los cargos, </w:t>
      </w:r>
      <w:r w:rsidRPr="004658BD">
        <w:rPr>
          <w:sz w:val="28"/>
          <w:szCs w:val="28"/>
        </w:rPr>
        <w:t xml:space="preserve">se </w:t>
      </w:r>
      <w:r w:rsidR="0075043F" w:rsidRPr="004658BD">
        <w:rPr>
          <w:sz w:val="28"/>
          <w:szCs w:val="28"/>
        </w:rPr>
        <w:t>deb</w:t>
      </w:r>
      <w:r w:rsidR="0075043F">
        <w:rPr>
          <w:sz w:val="28"/>
          <w:szCs w:val="28"/>
        </w:rPr>
        <w:t>ía</w:t>
      </w:r>
      <w:r w:rsidRPr="004658BD">
        <w:rPr>
          <w:sz w:val="28"/>
          <w:szCs w:val="28"/>
        </w:rPr>
        <w:t xml:space="preserve"> invalidar dicha sentencia condenatoria, como lo hizo la Corte Suprema en un caso similar consignado en la sentencia # 46.848/18, </w:t>
      </w:r>
      <w:r w:rsidR="00F029E4">
        <w:rPr>
          <w:sz w:val="28"/>
          <w:szCs w:val="28"/>
        </w:rPr>
        <w:t xml:space="preserve">en el cual el </w:t>
      </w:r>
      <w:r w:rsidRPr="004658BD">
        <w:rPr>
          <w:sz w:val="28"/>
          <w:szCs w:val="28"/>
        </w:rPr>
        <w:t xml:space="preserve">Ente Acusador no presentó soportes probatorios que permitieran demostrar que el judicializado tuviera la intención de distribuir a terceros o comercializar los estupefacientes que portaba. Asimismo, adujo el libelista que la aceptación de responsabilidades por parte del procesado, en eventos de terminación abreviada de los procesos penales, en momento alguno convalidaba las falencias probatorias de la Fiscalía ni la relevaba de su obligación relacionada con la carga de la prueba, ya que pensar lo contrario sería invertir esa carga probatoria.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Finalmente, como pretensiones, el demandante solicitó que se apliquen los nuevos precedentes jurisprudenciales, y en consecuencia que se dejen sin efectos la sentencia demandada para que de esa forma por parte de esta Colegiatura de dicte una sentencia de reemplazo en</w:t>
      </w:r>
      <w:r w:rsidR="005026DC">
        <w:rPr>
          <w:sz w:val="28"/>
          <w:szCs w:val="28"/>
        </w:rPr>
        <w:t xml:space="preserve"> la cual se absuelva al otrora p</w:t>
      </w:r>
      <w:r w:rsidRPr="004658BD">
        <w:rPr>
          <w:sz w:val="28"/>
          <w:szCs w:val="28"/>
        </w:rPr>
        <w:t xml:space="preserve">rocesado </w:t>
      </w:r>
      <w:r w:rsidR="005026DC">
        <w:rPr>
          <w:sz w:val="28"/>
          <w:szCs w:val="28"/>
        </w:rPr>
        <w:t>HAIVER ALEXÁ</w:t>
      </w:r>
      <w:r w:rsidR="00F029E4" w:rsidRPr="00F029E4">
        <w:rPr>
          <w:sz w:val="28"/>
          <w:szCs w:val="28"/>
        </w:rPr>
        <w:t xml:space="preserve">NDER VÉLEZ CARMONA </w:t>
      </w:r>
      <w:r w:rsidRPr="004658BD">
        <w:rPr>
          <w:sz w:val="28"/>
          <w:szCs w:val="28"/>
        </w:rPr>
        <w:t>de los cargos por los cuales</w:t>
      </w:r>
      <w:r w:rsidR="00F029E4">
        <w:rPr>
          <w:sz w:val="28"/>
          <w:szCs w:val="28"/>
        </w:rPr>
        <w:t xml:space="preserve"> se declaró el compromiso penal endilgado en su contra</w:t>
      </w:r>
      <w:r w:rsidRPr="004658BD">
        <w:rPr>
          <w:sz w:val="28"/>
          <w:szCs w:val="28"/>
        </w:rPr>
        <w:t xml:space="preserve">.    </w:t>
      </w:r>
    </w:p>
    <w:p w:rsidR="004658BD" w:rsidRPr="004658BD" w:rsidRDefault="004658BD" w:rsidP="004658BD">
      <w:pPr>
        <w:spacing w:after="0" w:line="276" w:lineRule="auto"/>
        <w:jc w:val="both"/>
        <w:rPr>
          <w:i/>
          <w:sz w:val="28"/>
          <w:szCs w:val="28"/>
        </w:rPr>
      </w:pPr>
    </w:p>
    <w:p w:rsidR="004658BD" w:rsidRPr="004658BD" w:rsidRDefault="004658BD" w:rsidP="005026DC">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LA ACTUACI</w:t>
      </w:r>
      <w:r w:rsidRPr="004658BD">
        <w:rPr>
          <w:rFonts w:eastAsia="Adobe Gothic Std B" w:cs="Tahoma"/>
          <w:b/>
          <w:sz w:val="28"/>
          <w:szCs w:val="28"/>
          <w:lang w:eastAsia="es-ES"/>
        </w:rPr>
        <w:t>Ó</w:t>
      </w:r>
      <w:r w:rsidRPr="004658BD">
        <w:rPr>
          <w:rFonts w:eastAsia="Adobe Gothic Std B" w:cs="Times New Roman"/>
          <w:b/>
          <w:sz w:val="28"/>
          <w:szCs w:val="28"/>
          <w:lang w:eastAsia="es-ES"/>
        </w:rPr>
        <w:t>N PROCESAL:</w:t>
      </w:r>
    </w:p>
    <w:p w:rsidR="004658BD" w:rsidRPr="004658BD" w:rsidRDefault="004658BD" w:rsidP="005026DC">
      <w:pPr>
        <w:spacing w:after="0" w:line="240"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Una vez que esta Corporaci</w:t>
      </w:r>
      <w:r w:rsidRPr="004658BD">
        <w:rPr>
          <w:rFonts w:eastAsia="Adobe Gothic Std B" w:cs="Tahoma"/>
          <w:sz w:val="28"/>
          <w:szCs w:val="28"/>
          <w:lang w:eastAsia="es-ES"/>
        </w:rPr>
        <w:t>ó</w:t>
      </w:r>
      <w:r w:rsidRPr="004658BD">
        <w:rPr>
          <w:rFonts w:eastAsia="Adobe Gothic Std B" w:cs="Times New Roman"/>
          <w:sz w:val="28"/>
          <w:szCs w:val="28"/>
          <w:lang w:eastAsia="es-ES"/>
        </w:rPr>
        <w:t>n Judicial decidiera sobre la admisi</w:t>
      </w:r>
      <w:r w:rsidRPr="004658BD">
        <w:rPr>
          <w:rFonts w:eastAsia="Adobe Gothic Std B" w:cs="Tahoma"/>
          <w:sz w:val="28"/>
          <w:szCs w:val="28"/>
          <w:lang w:eastAsia="es-ES"/>
        </w:rPr>
        <w:t>ó</w:t>
      </w:r>
      <w:r w:rsidRPr="004658BD">
        <w:rPr>
          <w:rFonts w:eastAsia="Adobe Gothic Std B" w:cs="Times New Roman"/>
          <w:sz w:val="28"/>
          <w:szCs w:val="28"/>
          <w:lang w:eastAsia="es-ES"/>
        </w:rPr>
        <w:t>n del libelo de la acci</w:t>
      </w:r>
      <w:r w:rsidRPr="004658BD">
        <w:rPr>
          <w:rFonts w:eastAsia="Adobe Gothic Std B" w:cs="Tahoma"/>
          <w:sz w:val="28"/>
          <w:szCs w:val="28"/>
          <w:lang w:eastAsia="es-ES"/>
        </w:rPr>
        <w:t>ó</w:t>
      </w:r>
      <w:r w:rsidRPr="004658BD">
        <w:rPr>
          <w:rFonts w:eastAsia="Adobe Gothic Std B" w:cs="Times New Roman"/>
          <w:sz w:val="28"/>
          <w:szCs w:val="28"/>
          <w:lang w:eastAsia="es-ES"/>
        </w:rPr>
        <w:t>n de revisi</w:t>
      </w:r>
      <w:r w:rsidRPr="004658BD">
        <w:rPr>
          <w:rFonts w:eastAsia="Adobe Gothic Std B" w:cs="Tahoma"/>
          <w:sz w:val="28"/>
          <w:szCs w:val="28"/>
          <w:lang w:eastAsia="es-ES"/>
        </w:rPr>
        <w:t>ó</w:t>
      </w:r>
      <w:r w:rsidRPr="004658BD">
        <w:rPr>
          <w:rFonts w:eastAsia="Adobe Gothic Std B" w:cs="Times New Roman"/>
          <w:sz w:val="28"/>
          <w:szCs w:val="28"/>
          <w:lang w:eastAsia="es-ES"/>
        </w:rPr>
        <w:t>n, y despu</w:t>
      </w:r>
      <w:r w:rsidRPr="004658BD">
        <w:rPr>
          <w:rFonts w:eastAsia="Adobe Gothic Std B" w:cs="Tahoma"/>
          <w:sz w:val="28"/>
          <w:szCs w:val="28"/>
          <w:lang w:eastAsia="es-ES"/>
        </w:rPr>
        <w:t>é</w:t>
      </w:r>
      <w:r w:rsidRPr="004658BD">
        <w:rPr>
          <w:rFonts w:eastAsia="Adobe Gothic Std B" w:cs="Times New Roman"/>
          <w:sz w:val="28"/>
          <w:szCs w:val="28"/>
          <w:lang w:eastAsia="es-ES"/>
        </w:rPr>
        <w:t xml:space="preserve">s de agotada la fase procesal de solicitud de pruebas, se procedió a convocar en audiencia pública a las partes e intervinientes a fin </w:t>
      </w:r>
      <w:r w:rsidRPr="004658BD">
        <w:rPr>
          <w:rFonts w:eastAsia="Adobe Gothic Std B" w:cs="Times New Roman"/>
          <w:sz w:val="28"/>
          <w:szCs w:val="28"/>
          <w:lang w:eastAsia="es-ES"/>
        </w:rPr>
        <w:lastRenderedPageBreak/>
        <w:t>que presentaran sus correspondientes alegatos, relacionados con lo pretendido por el libelista</w:t>
      </w:r>
      <w:r w:rsidRPr="004658BD">
        <w:rPr>
          <w:rFonts w:eastAsia="Adobe Gothic Std B" w:cs="Times New Roman"/>
          <w:sz w:val="28"/>
          <w:szCs w:val="28"/>
          <w:vertAlign w:val="superscript"/>
          <w:lang w:eastAsia="es-ES"/>
        </w:rPr>
        <w:footnoteReference w:id="2"/>
      </w:r>
      <w:r w:rsidRPr="004658BD">
        <w:rPr>
          <w:rFonts w:eastAsia="Adobe Gothic Std B" w:cs="Times New Roman"/>
          <w:sz w:val="28"/>
          <w:szCs w:val="28"/>
          <w:lang w:eastAsia="es-ES"/>
        </w:rPr>
        <w:t>.</w:t>
      </w:r>
    </w:p>
    <w:p w:rsidR="004658BD" w:rsidRPr="004658BD" w:rsidRDefault="004658BD" w:rsidP="004658BD">
      <w:pPr>
        <w:spacing w:after="0" w:line="276" w:lineRule="auto"/>
        <w:jc w:val="both"/>
        <w:rPr>
          <w:rFonts w:eastAsia="Adobe Gothic Std B" w:cs="Times New Roman"/>
          <w:sz w:val="28"/>
          <w:szCs w:val="28"/>
          <w:lang w:eastAsia="es-ES"/>
        </w:rPr>
      </w:pPr>
    </w:p>
    <w:p w:rsidR="00F66F14" w:rsidRDefault="004658BD" w:rsidP="004658BD">
      <w:pPr>
        <w:spacing w:after="0" w:line="276" w:lineRule="auto"/>
        <w:jc w:val="both"/>
        <w:rPr>
          <w:rFonts w:eastAsia="Adobe Gothic Std B"/>
          <w:sz w:val="28"/>
          <w:szCs w:val="28"/>
        </w:rPr>
      </w:pPr>
      <w:r w:rsidRPr="004658BD">
        <w:rPr>
          <w:rFonts w:eastAsia="Adobe Gothic Std B"/>
          <w:sz w:val="28"/>
          <w:szCs w:val="28"/>
        </w:rPr>
        <w:t xml:space="preserve">En dicha vista pública, </w:t>
      </w:r>
      <w:r w:rsidR="00F66F14">
        <w:rPr>
          <w:rFonts w:eastAsia="Adobe Gothic Std B"/>
          <w:sz w:val="28"/>
          <w:szCs w:val="28"/>
        </w:rPr>
        <w:t xml:space="preserve">tuvieron ocurrencia las siguientes intervenciones: </w:t>
      </w:r>
    </w:p>
    <w:p w:rsidR="00F66F14" w:rsidRDefault="00F66F14" w:rsidP="004658BD">
      <w:pPr>
        <w:spacing w:after="0" w:line="276" w:lineRule="auto"/>
        <w:jc w:val="both"/>
        <w:rPr>
          <w:rFonts w:eastAsia="Adobe Gothic Std B"/>
          <w:sz w:val="28"/>
          <w:szCs w:val="28"/>
        </w:rPr>
      </w:pPr>
    </w:p>
    <w:p w:rsidR="004658BD" w:rsidRPr="00F66F14" w:rsidRDefault="00F66F14" w:rsidP="00F66F14">
      <w:pPr>
        <w:pStyle w:val="Prrafodelista"/>
        <w:numPr>
          <w:ilvl w:val="0"/>
          <w:numId w:val="6"/>
        </w:numPr>
        <w:spacing w:after="0" w:line="276" w:lineRule="auto"/>
        <w:ind w:left="360"/>
        <w:jc w:val="both"/>
        <w:rPr>
          <w:rFonts w:eastAsia="Adobe Gothic Std B"/>
          <w:sz w:val="28"/>
          <w:szCs w:val="28"/>
        </w:rPr>
      </w:pPr>
      <w:r w:rsidRPr="00F66F14">
        <w:rPr>
          <w:rFonts w:eastAsia="Adobe Gothic Std B"/>
          <w:sz w:val="28"/>
          <w:szCs w:val="28"/>
        </w:rPr>
        <w:t xml:space="preserve">El </w:t>
      </w:r>
      <w:r w:rsidR="004658BD" w:rsidRPr="00F66F14">
        <w:rPr>
          <w:rFonts w:eastAsia="Adobe Gothic Std B"/>
          <w:sz w:val="28"/>
          <w:szCs w:val="28"/>
        </w:rPr>
        <w:t xml:space="preserve">Procurador Judicial Penal accionante, después de llevar a cabo una sinopsis de lo acontecido, y de exponer las razones por las cuales </w:t>
      </w:r>
      <w:r w:rsidR="005026DC">
        <w:rPr>
          <w:rFonts w:eastAsia="Adobe Gothic Std B"/>
          <w:sz w:val="28"/>
          <w:szCs w:val="28"/>
        </w:rPr>
        <w:t>consideraba que el Ministerio Pú</w:t>
      </w:r>
      <w:r w:rsidR="004658BD" w:rsidRPr="00F66F14">
        <w:rPr>
          <w:rFonts w:eastAsia="Adobe Gothic Std B"/>
          <w:sz w:val="28"/>
          <w:szCs w:val="28"/>
        </w:rPr>
        <w:t xml:space="preserve">blico estaba legitimado para fungir como accionante, se ratificó de todo lo consignado en el libelo, al manifestar que en el presente asunto se logró demostrar la causal aludida, o sea la consignada en el # 7º del artículo 192 C.P.P. debido a que el fallo demandado tenía que ser analizado a partir de lo acontecido desde </w:t>
      </w:r>
      <w:r w:rsidR="00DA4621" w:rsidRPr="00F66F14">
        <w:rPr>
          <w:rFonts w:eastAsia="Adobe Gothic Std B"/>
          <w:sz w:val="28"/>
          <w:szCs w:val="28"/>
        </w:rPr>
        <w:t xml:space="preserve">que la Corte profirió </w:t>
      </w:r>
      <w:r w:rsidR="004658BD" w:rsidRPr="00F66F14">
        <w:rPr>
          <w:rFonts w:eastAsia="Adobe Gothic Std B"/>
          <w:sz w:val="28"/>
          <w:szCs w:val="28"/>
        </w:rPr>
        <w:t xml:space="preserve">la sentencia de casación # 41760 de 2016, en la que se estableció que el delito de tráfico de estupefacientes, en la modalidad de porte, tenía un elemento subjetivo tácito: </w:t>
      </w:r>
      <w:r w:rsidR="004658BD" w:rsidRPr="00F66F14">
        <w:rPr>
          <w:rFonts w:eastAsia="Adobe Gothic Std B"/>
          <w:i/>
          <w:sz w:val="28"/>
          <w:szCs w:val="28"/>
        </w:rPr>
        <w:t>el  ánimo de distribución o de comercialización por parte del sujeto agente</w:t>
      </w:r>
      <w:r w:rsidR="004658BD" w:rsidRPr="00F66F14">
        <w:rPr>
          <w:rFonts w:eastAsia="Adobe Gothic Std B"/>
          <w:sz w:val="28"/>
          <w:szCs w:val="28"/>
        </w:rPr>
        <w:t xml:space="preserve">, el cual debía ser demostrado por la Fiscalía, por detentar dicho sujeto procesal la carga de la prueba, como bien lo expresó la Corte en varias de sus sentencias, entre las cuales se encuentra la sentencia SP9916-2017. Rad. # 44997. </w:t>
      </w:r>
    </w:p>
    <w:p w:rsidR="004658BD" w:rsidRPr="004658BD" w:rsidRDefault="004658BD" w:rsidP="00F66F14">
      <w:pPr>
        <w:spacing w:after="0" w:line="276" w:lineRule="auto"/>
        <w:jc w:val="both"/>
        <w:rPr>
          <w:rFonts w:eastAsia="Adobe Gothic Std B"/>
          <w:sz w:val="28"/>
          <w:szCs w:val="28"/>
        </w:rPr>
      </w:pPr>
    </w:p>
    <w:p w:rsidR="004658BD" w:rsidRPr="00F66F14" w:rsidRDefault="004658BD" w:rsidP="00F66F14">
      <w:pPr>
        <w:spacing w:after="0" w:line="276" w:lineRule="auto"/>
        <w:ind w:left="360"/>
        <w:jc w:val="both"/>
        <w:rPr>
          <w:rFonts w:eastAsia="Adobe Gothic Std B"/>
          <w:sz w:val="28"/>
          <w:szCs w:val="28"/>
        </w:rPr>
      </w:pPr>
      <w:r w:rsidRPr="00F66F14">
        <w:rPr>
          <w:rFonts w:eastAsia="Adobe Gothic Std B"/>
          <w:sz w:val="28"/>
          <w:szCs w:val="28"/>
        </w:rPr>
        <w:t xml:space="preserve">De igual forma, manifestó el accionante que pese a que en el presente asunto la sentencia se profirió como consecuencia de una aceptación de cargos, tal situación en nada relevaba a la Fiscalía del cumplimiento de sus obligaciones probatorias, ya que para poder proferir un fallo de condena en tales circunstancias se requiere que exista por lo menos un mínimo probatorio que demuestre los fines de distribución o comercialización que el sujeto agente </w:t>
      </w:r>
      <w:r w:rsidRPr="00F66F14">
        <w:rPr>
          <w:rFonts w:eastAsia="Adobe Gothic Std B"/>
          <w:sz w:val="28"/>
          <w:szCs w:val="28"/>
        </w:rPr>
        <w:lastRenderedPageBreak/>
        <w:t xml:space="preserve">pensaba darle a los estupefacientes, lo cual </w:t>
      </w:r>
      <w:r w:rsidR="00DA4621" w:rsidRPr="00F66F14">
        <w:rPr>
          <w:rFonts w:eastAsia="Adobe Gothic Std B"/>
          <w:sz w:val="28"/>
          <w:szCs w:val="28"/>
        </w:rPr>
        <w:t xml:space="preserve">en el caso en estudio </w:t>
      </w:r>
      <w:r w:rsidRPr="00F66F14">
        <w:rPr>
          <w:rFonts w:eastAsia="Adobe Gothic Std B"/>
          <w:sz w:val="28"/>
          <w:szCs w:val="28"/>
        </w:rPr>
        <w:t>no fue demostrado ni siquiera indiciariamente.</w:t>
      </w:r>
    </w:p>
    <w:p w:rsidR="004658BD" w:rsidRPr="004658BD" w:rsidRDefault="004658BD" w:rsidP="00F66F14">
      <w:pPr>
        <w:spacing w:after="0" w:line="276" w:lineRule="auto"/>
        <w:jc w:val="both"/>
        <w:rPr>
          <w:rFonts w:eastAsia="Adobe Gothic Std B"/>
          <w:sz w:val="28"/>
          <w:szCs w:val="28"/>
        </w:rPr>
      </w:pPr>
    </w:p>
    <w:p w:rsidR="004658BD" w:rsidRDefault="004658BD" w:rsidP="00F66F14">
      <w:pPr>
        <w:spacing w:after="0" w:line="276" w:lineRule="auto"/>
        <w:ind w:left="360"/>
        <w:jc w:val="both"/>
        <w:rPr>
          <w:rFonts w:eastAsia="Adobe Gothic Std B"/>
          <w:sz w:val="28"/>
          <w:szCs w:val="28"/>
        </w:rPr>
      </w:pPr>
      <w:r w:rsidRPr="00F66F14">
        <w:rPr>
          <w:rFonts w:eastAsia="Adobe Gothic Std B"/>
          <w:sz w:val="28"/>
          <w:szCs w:val="28"/>
        </w:rPr>
        <w:t xml:space="preserve">Por lo tanto, concluye el libelista, que si se confronta el fallo demandado acorde con esa nueva realidad jurisprudencial, se tiene que la Fiscalía no cumplió con la carga que le incumbía de demostrar la tipicidad subjetiva del delito, por lo que, en sentir del accionante, lo pertinente seria que se infirme esa sentencia condenatoria y se dicte el correspondiente fallo de reemplazo en el cual el Procesado sea absuelto de los cargos </w:t>
      </w:r>
      <w:r w:rsidR="00DA4621" w:rsidRPr="00F66F14">
        <w:rPr>
          <w:rFonts w:eastAsia="Adobe Gothic Std B"/>
          <w:sz w:val="28"/>
          <w:szCs w:val="28"/>
        </w:rPr>
        <w:t xml:space="preserve">endilgados en su contra </w:t>
      </w:r>
      <w:r w:rsidRPr="00F66F14">
        <w:rPr>
          <w:rFonts w:eastAsia="Adobe Gothic Std B"/>
          <w:sz w:val="28"/>
          <w:szCs w:val="28"/>
        </w:rPr>
        <w:t xml:space="preserve">por parte de la Fiscalía General de la Nación.  </w:t>
      </w:r>
    </w:p>
    <w:p w:rsidR="00A01778" w:rsidRPr="00F66F14" w:rsidRDefault="00A01778" w:rsidP="00F66F14">
      <w:pPr>
        <w:spacing w:after="0" w:line="276" w:lineRule="auto"/>
        <w:ind w:left="360"/>
        <w:jc w:val="both"/>
        <w:rPr>
          <w:rFonts w:eastAsia="Adobe Gothic Std B"/>
          <w:sz w:val="28"/>
          <w:szCs w:val="28"/>
        </w:rPr>
      </w:pPr>
    </w:p>
    <w:p w:rsidR="00023EA1" w:rsidRPr="00F66F14" w:rsidRDefault="00F66F14" w:rsidP="00F66F14">
      <w:pPr>
        <w:pStyle w:val="Prrafodelista"/>
        <w:numPr>
          <w:ilvl w:val="0"/>
          <w:numId w:val="6"/>
        </w:numPr>
        <w:spacing w:after="0" w:line="276" w:lineRule="auto"/>
        <w:ind w:left="360"/>
        <w:jc w:val="both"/>
        <w:rPr>
          <w:rFonts w:eastAsia="Times New Roman" w:cs="Times New Roman"/>
          <w:sz w:val="28"/>
          <w:szCs w:val="28"/>
          <w:lang w:eastAsia="es-ES"/>
        </w:rPr>
      </w:pPr>
      <w:r w:rsidRPr="00F66F14">
        <w:rPr>
          <w:rFonts w:eastAsia="Times New Roman" w:cs="Times New Roman"/>
          <w:sz w:val="28"/>
          <w:szCs w:val="28"/>
          <w:lang w:eastAsia="es-ES"/>
        </w:rPr>
        <w:t xml:space="preserve">El </w:t>
      </w:r>
      <w:r w:rsidR="004658BD" w:rsidRPr="00F66F14">
        <w:rPr>
          <w:rFonts w:eastAsia="Times New Roman" w:cs="Times New Roman"/>
          <w:sz w:val="28"/>
          <w:szCs w:val="28"/>
          <w:lang w:eastAsia="es-ES"/>
        </w:rPr>
        <w:t>repr</w:t>
      </w:r>
      <w:r w:rsidRPr="00F66F14">
        <w:rPr>
          <w:rFonts w:eastAsia="Times New Roman" w:cs="Times New Roman"/>
          <w:sz w:val="28"/>
          <w:szCs w:val="28"/>
          <w:lang w:eastAsia="es-ES"/>
        </w:rPr>
        <w:t xml:space="preserve">esentante del Ente Acusador, </w:t>
      </w:r>
      <w:r w:rsidR="004658BD" w:rsidRPr="00F66F14">
        <w:rPr>
          <w:rFonts w:eastAsia="Times New Roman" w:cs="Times New Roman"/>
          <w:sz w:val="28"/>
          <w:szCs w:val="28"/>
          <w:lang w:eastAsia="es-ES"/>
        </w:rPr>
        <w:t>Dr.</w:t>
      </w:r>
      <w:r w:rsidR="00DA4621" w:rsidRPr="00F66F14">
        <w:rPr>
          <w:rFonts w:eastAsia="Times New Roman" w:cs="Times New Roman"/>
          <w:sz w:val="28"/>
          <w:szCs w:val="28"/>
          <w:lang w:eastAsia="es-ES"/>
        </w:rPr>
        <w:t xml:space="preserve"> JOSÉ BARBOZA</w:t>
      </w:r>
      <w:r w:rsidR="004658BD" w:rsidRPr="00F66F14">
        <w:rPr>
          <w:rFonts w:eastAsia="Times New Roman" w:cs="Times New Roman"/>
          <w:sz w:val="28"/>
          <w:szCs w:val="28"/>
          <w:lang w:eastAsia="es-ES"/>
        </w:rPr>
        <w:t xml:space="preserve">, quien en sus alegatos </w:t>
      </w:r>
      <w:r w:rsidRPr="00F66F14">
        <w:rPr>
          <w:rFonts w:eastAsia="Times New Roman" w:cs="Times New Roman"/>
          <w:sz w:val="28"/>
          <w:szCs w:val="28"/>
          <w:lang w:eastAsia="es-ES"/>
        </w:rPr>
        <w:t xml:space="preserve">expuso que </w:t>
      </w:r>
      <w:r w:rsidR="00DA4621" w:rsidRPr="00F66F14">
        <w:rPr>
          <w:rFonts w:eastAsia="Times New Roman" w:cs="Times New Roman"/>
          <w:sz w:val="28"/>
          <w:szCs w:val="28"/>
          <w:lang w:eastAsia="es-ES"/>
        </w:rPr>
        <w:t>acompañ</w:t>
      </w:r>
      <w:r w:rsidRPr="00F66F14">
        <w:rPr>
          <w:rFonts w:eastAsia="Times New Roman" w:cs="Times New Roman"/>
          <w:sz w:val="28"/>
          <w:szCs w:val="28"/>
          <w:lang w:eastAsia="es-ES"/>
        </w:rPr>
        <w:t>aba</w:t>
      </w:r>
      <w:r w:rsidR="00DA4621" w:rsidRPr="00F66F14">
        <w:rPr>
          <w:rFonts w:eastAsia="Times New Roman" w:cs="Times New Roman"/>
          <w:sz w:val="28"/>
          <w:szCs w:val="28"/>
          <w:lang w:eastAsia="es-ES"/>
        </w:rPr>
        <w:t xml:space="preserve"> las pretensiones del libelista, </w:t>
      </w:r>
      <w:r w:rsidR="007353B0" w:rsidRPr="00F66F14">
        <w:rPr>
          <w:rFonts w:eastAsia="Times New Roman" w:cs="Times New Roman"/>
          <w:sz w:val="28"/>
          <w:szCs w:val="28"/>
          <w:lang w:eastAsia="es-ES"/>
        </w:rPr>
        <w:t>por</w:t>
      </w:r>
      <w:r w:rsidR="00DA4621" w:rsidRPr="00F66F14">
        <w:rPr>
          <w:rFonts w:eastAsia="Times New Roman" w:cs="Times New Roman"/>
          <w:sz w:val="28"/>
          <w:szCs w:val="28"/>
          <w:lang w:eastAsia="es-ES"/>
        </w:rPr>
        <w:t xml:space="preserve">que en el presente asunto se satisfacían con los requisitos </w:t>
      </w:r>
      <w:r w:rsidR="007353B0" w:rsidRPr="00F66F14">
        <w:rPr>
          <w:rFonts w:eastAsia="Times New Roman" w:cs="Times New Roman"/>
          <w:sz w:val="28"/>
          <w:szCs w:val="28"/>
          <w:lang w:eastAsia="es-ES"/>
        </w:rPr>
        <w:t xml:space="preserve">exigidos </w:t>
      </w:r>
      <w:r w:rsidR="00DA4621" w:rsidRPr="00F66F14">
        <w:rPr>
          <w:rFonts w:eastAsia="Times New Roman" w:cs="Times New Roman"/>
          <w:sz w:val="28"/>
          <w:szCs w:val="28"/>
          <w:lang w:eastAsia="es-ES"/>
        </w:rPr>
        <w:t xml:space="preserve">para la procedencia de la casual de </w:t>
      </w:r>
      <w:r w:rsidR="007353B0" w:rsidRPr="00F66F14">
        <w:rPr>
          <w:rFonts w:eastAsia="Times New Roman" w:cs="Times New Roman"/>
          <w:sz w:val="28"/>
          <w:szCs w:val="28"/>
          <w:lang w:eastAsia="es-ES"/>
        </w:rPr>
        <w:t xml:space="preserve">la acción de </w:t>
      </w:r>
      <w:r w:rsidR="00DA4621" w:rsidRPr="00F66F14">
        <w:rPr>
          <w:rFonts w:eastAsia="Times New Roman" w:cs="Times New Roman"/>
          <w:sz w:val="28"/>
          <w:szCs w:val="28"/>
          <w:lang w:eastAsia="es-ES"/>
        </w:rPr>
        <w:t>revisión deprecada</w:t>
      </w:r>
      <w:r w:rsidR="005026DC">
        <w:rPr>
          <w:rFonts w:eastAsia="Times New Roman" w:cs="Times New Roman"/>
          <w:sz w:val="28"/>
          <w:szCs w:val="28"/>
          <w:lang w:eastAsia="es-ES"/>
        </w:rPr>
        <w:t xml:space="preserve"> por el Agente del Ministerio Pú</w:t>
      </w:r>
      <w:r w:rsidR="00DA4621" w:rsidRPr="00F66F14">
        <w:rPr>
          <w:rFonts w:eastAsia="Times New Roman" w:cs="Times New Roman"/>
          <w:sz w:val="28"/>
          <w:szCs w:val="28"/>
          <w:lang w:eastAsia="es-ES"/>
        </w:rPr>
        <w:t xml:space="preserve">blico. </w:t>
      </w:r>
    </w:p>
    <w:p w:rsidR="00023EA1" w:rsidRDefault="00023EA1" w:rsidP="00F66F14">
      <w:pPr>
        <w:spacing w:after="0" w:line="276" w:lineRule="auto"/>
        <w:jc w:val="both"/>
        <w:rPr>
          <w:rFonts w:eastAsia="Times New Roman" w:cs="Times New Roman"/>
          <w:sz w:val="28"/>
          <w:szCs w:val="28"/>
          <w:lang w:eastAsia="es-ES"/>
        </w:rPr>
      </w:pPr>
    </w:p>
    <w:p w:rsidR="00885DAB" w:rsidRPr="00F66F14" w:rsidRDefault="00023EA1" w:rsidP="00F66F14">
      <w:pPr>
        <w:spacing w:after="0" w:line="276" w:lineRule="auto"/>
        <w:ind w:left="360"/>
        <w:jc w:val="both"/>
        <w:rPr>
          <w:rFonts w:eastAsia="Times New Roman" w:cs="Times New Roman"/>
          <w:sz w:val="28"/>
          <w:szCs w:val="28"/>
          <w:lang w:eastAsia="es-ES"/>
        </w:rPr>
      </w:pPr>
      <w:r w:rsidRPr="00F66F14">
        <w:rPr>
          <w:rFonts w:eastAsia="Times New Roman" w:cs="Times New Roman"/>
          <w:sz w:val="28"/>
          <w:szCs w:val="28"/>
          <w:lang w:eastAsia="es-ES"/>
        </w:rPr>
        <w:t xml:space="preserve">A fin de demostrar su petición, el Fiscal Delegado arguyó que </w:t>
      </w:r>
      <w:r w:rsidR="00885DAB" w:rsidRPr="00F66F14">
        <w:rPr>
          <w:rFonts w:eastAsia="Times New Roman" w:cs="Times New Roman"/>
          <w:sz w:val="28"/>
          <w:szCs w:val="28"/>
          <w:lang w:eastAsia="es-ES"/>
        </w:rPr>
        <w:t xml:space="preserve">no se podía desconocer que </w:t>
      </w:r>
      <w:r w:rsidR="00DA4621" w:rsidRPr="00F66F14">
        <w:rPr>
          <w:rFonts w:eastAsia="Times New Roman" w:cs="Times New Roman"/>
          <w:sz w:val="28"/>
          <w:szCs w:val="28"/>
          <w:lang w:eastAsia="es-ES"/>
        </w:rPr>
        <w:t xml:space="preserve">a partir de la expedición de la sentencia adiada el 12 de noviembre 2014. Rad. # 42617, tuvo ocurrencia un viraje en la adecuación típica del delito de porte de estupefacientes, </w:t>
      </w:r>
      <w:r w:rsidR="00885DAB" w:rsidRPr="00F66F14">
        <w:rPr>
          <w:rFonts w:eastAsia="Times New Roman" w:cs="Times New Roman"/>
          <w:sz w:val="28"/>
          <w:szCs w:val="28"/>
          <w:lang w:eastAsia="es-ES"/>
        </w:rPr>
        <w:t>a</w:t>
      </w:r>
      <w:r w:rsidR="00DA4621" w:rsidRPr="00F66F14">
        <w:rPr>
          <w:rFonts w:eastAsia="Times New Roman" w:cs="Times New Roman"/>
          <w:sz w:val="28"/>
          <w:szCs w:val="28"/>
          <w:lang w:eastAsia="es-ES"/>
        </w:rPr>
        <w:t xml:space="preserve"> la cual se le dio una especial relevancia </w:t>
      </w:r>
      <w:r w:rsidR="00885DAB" w:rsidRPr="00F66F14">
        <w:rPr>
          <w:rFonts w:eastAsia="Times New Roman" w:cs="Times New Roman"/>
          <w:sz w:val="28"/>
          <w:szCs w:val="28"/>
          <w:lang w:eastAsia="es-ES"/>
        </w:rPr>
        <w:t xml:space="preserve">en lo que tenía que ver con el propósito o </w:t>
      </w:r>
      <w:r w:rsidR="00DA4621" w:rsidRPr="00F66F14">
        <w:rPr>
          <w:rFonts w:eastAsia="Times New Roman" w:cs="Times New Roman"/>
          <w:sz w:val="28"/>
          <w:szCs w:val="28"/>
          <w:lang w:eastAsia="es-ES"/>
        </w:rPr>
        <w:t>la finalidad que el sujeto agente pretenda darle a los alucinógenos, l</w:t>
      </w:r>
      <w:r w:rsidR="00885DAB" w:rsidRPr="00F66F14">
        <w:rPr>
          <w:rFonts w:eastAsia="Times New Roman" w:cs="Times New Roman"/>
          <w:sz w:val="28"/>
          <w:szCs w:val="28"/>
          <w:lang w:eastAsia="es-ES"/>
        </w:rPr>
        <w:t>o</w:t>
      </w:r>
      <w:r w:rsidR="00DA4621" w:rsidRPr="00F66F14">
        <w:rPr>
          <w:rFonts w:eastAsia="Times New Roman" w:cs="Times New Roman"/>
          <w:sz w:val="28"/>
          <w:szCs w:val="28"/>
          <w:lang w:eastAsia="es-ES"/>
        </w:rPr>
        <w:t xml:space="preserve"> que </w:t>
      </w:r>
      <w:r w:rsidR="00885DAB" w:rsidRPr="00F66F14">
        <w:rPr>
          <w:rFonts w:eastAsia="Times New Roman" w:cs="Times New Roman"/>
          <w:sz w:val="28"/>
          <w:szCs w:val="28"/>
          <w:lang w:eastAsia="es-ES"/>
        </w:rPr>
        <w:t>haría</w:t>
      </w:r>
      <w:r w:rsidR="00DA4621" w:rsidRPr="00F66F14">
        <w:rPr>
          <w:rFonts w:eastAsia="Times New Roman" w:cs="Times New Roman"/>
          <w:sz w:val="28"/>
          <w:szCs w:val="28"/>
          <w:lang w:eastAsia="es-ES"/>
        </w:rPr>
        <w:t xml:space="preserve"> que la conducta </w:t>
      </w:r>
      <w:r w:rsidR="00885DAB" w:rsidRPr="00F66F14">
        <w:rPr>
          <w:rFonts w:eastAsia="Times New Roman" w:cs="Times New Roman"/>
          <w:sz w:val="28"/>
          <w:szCs w:val="28"/>
          <w:lang w:eastAsia="es-ES"/>
        </w:rPr>
        <w:t>debe ser considerada como</w:t>
      </w:r>
      <w:r w:rsidR="00DA4621" w:rsidRPr="00F66F14">
        <w:rPr>
          <w:rFonts w:eastAsia="Times New Roman" w:cs="Times New Roman"/>
          <w:sz w:val="28"/>
          <w:szCs w:val="28"/>
          <w:lang w:eastAsia="es-ES"/>
        </w:rPr>
        <w:t xml:space="preserve"> atípica en caso de que dicha intención solo sea para el consumo. </w:t>
      </w:r>
      <w:r w:rsidR="00885DAB" w:rsidRPr="00F66F14">
        <w:rPr>
          <w:rFonts w:eastAsia="Times New Roman" w:cs="Times New Roman"/>
          <w:sz w:val="28"/>
          <w:szCs w:val="28"/>
          <w:lang w:eastAsia="es-ES"/>
        </w:rPr>
        <w:t xml:space="preserve">Igualmente, expuso el representante del Ente Acusador que la carga de la prueba de demostrar un propósito diferente al del consumo, </w:t>
      </w:r>
      <w:r w:rsidR="007353B0" w:rsidRPr="00F66F14">
        <w:rPr>
          <w:rFonts w:eastAsia="Times New Roman" w:cs="Times New Roman"/>
          <w:sz w:val="28"/>
          <w:szCs w:val="28"/>
          <w:lang w:eastAsia="es-ES"/>
        </w:rPr>
        <w:t xml:space="preserve">le correspondía a la Fiscalía, lo cual no aconteció en el presente asunto, ya que no se hicieron ningún tipo de esfuerzos para la acreditación del elemento subjetivo del tipo. </w:t>
      </w:r>
    </w:p>
    <w:p w:rsidR="004658BD" w:rsidRPr="004658BD" w:rsidRDefault="004658BD" w:rsidP="00F66F14">
      <w:pPr>
        <w:spacing w:after="0" w:line="276" w:lineRule="auto"/>
        <w:jc w:val="both"/>
        <w:rPr>
          <w:rFonts w:eastAsia="Times New Roman" w:cs="Times New Roman"/>
          <w:sz w:val="28"/>
          <w:szCs w:val="28"/>
          <w:lang w:eastAsia="es-ES"/>
        </w:rPr>
      </w:pPr>
    </w:p>
    <w:p w:rsidR="004658BD" w:rsidRPr="00F66F14" w:rsidRDefault="00F66F14" w:rsidP="00F66F14">
      <w:pPr>
        <w:pStyle w:val="Prrafodelista"/>
        <w:numPr>
          <w:ilvl w:val="0"/>
          <w:numId w:val="6"/>
        </w:numPr>
        <w:spacing w:after="0" w:line="276" w:lineRule="auto"/>
        <w:ind w:left="360"/>
        <w:jc w:val="both"/>
        <w:rPr>
          <w:rFonts w:eastAsia="Times New Roman" w:cs="Times New Roman"/>
          <w:sz w:val="28"/>
          <w:szCs w:val="28"/>
          <w:lang w:eastAsia="es-ES"/>
        </w:rPr>
      </w:pPr>
      <w:r w:rsidRPr="00F66F14">
        <w:rPr>
          <w:rFonts w:eastAsia="Times New Roman" w:cs="Times New Roman"/>
          <w:sz w:val="28"/>
          <w:szCs w:val="28"/>
          <w:lang w:eastAsia="es-ES"/>
        </w:rPr>
        <w:lastRenderedPageBreak/>
        <w:t>E</w:t>
      </w:r>
      <w:r w:rsidR="004658BD" w:rsidRPr="00F66F14">
        <w:rPr>
          <w:rFonts w:eastAsia="Times New Roman" w:cs="Times New Roman"/>
          <w:sz w:val="28"/>
          <w:szCs w:val="28"/>
          <w:lang w:eastAsia="es-ES"/>
        </w:rPr>
        <w:t>l Letrado</w:t>
      </w:r>
      <w:r w:rsidR="007353B0" w:rsidRPr="00F66F14">
        <w:rPr>
          <w:rFonts w:eastAsia="Times New Roman" w:cs="Times New Roman"/>
          <w:sz w:val="28"/>
          <w:szCs w:val="28"/>
          <w:lang w:eastAsia="es-ES"/>
        </w:rPr>
        <w:t xml:space="preserve"> MARINO LÓPEZ VÉLEZ</w:t>
      </w:r>
      <w:r w:rsidR="007353B0">
        <w:rPr>
          <w:rStyle w:val="Refdenotaalpie"/>
          <w:rFonts w:eastAsia="Times New Roman" w:cs="Times New Roman"/>
          <w:sz w:val="28"/>
          <w:szCs w:val="28"/>
          <w:lang w:eastAsia="es-ES"/>
        </w:rPr>
        <w:footnoteReference w:id="3"/>
      </w:r>
      <w:r w:rsidR="004658BD" w:rsidRPr="00F66F14">
        <w:rPr>
          <w:rFonts w:eastAsia="Times New Roman" w:cs="Times New Roman"/>
          <w:sz w:val="28"/>
          <w:szCs w:val="28"/>
          <w:lang w:eastAsia="es-ES"/>
        </w:rPr>
        <w:t xml:space="preserve">, en su calidad de apoderado del penado </w:t>
      </w:r>
      <w:r w:rsidR="005026DC">
        <w:rPr>
          <w:rFonts w:eastAsia="Times New Roman" w:cs="Times New Roman"/>
          <w:sz w:val="28"/>
          <w:szCs w:val="28"/>
          <w:lang w:eastAsia="es-ES"/>
        </w:rPr>
        <w:t>HAIVER ALEXÁ</w:t>
      </w:r>
      <w:r w:rsidR="007353B0" w:rsidRPr="00F66F14">
        <w:rPr>
          <w:rFonts w:eastAsia="Times New Roman" w:cs="Times New Roman"/>
          <w:sz w:val="28"/>
          <w:szCs w:val="28"/>
          <w:lang w:eastAsia="es-ES"/>
        </w:rPr>
        <w:t>NDER VÉLEZ CARMONA</w:t>
      </w:r>
      <w:r w:rsidR="004658BD" w:rsidRPr="00F66F14">
        <w:rPr>
          <w:rFonts w:eastAsia="Times New Roman" w:cs="Times New Roman"/>
          <w:sz w:val="28"/>
          <w:szCs w:val="28"/>
          <w:lang w:eastAsia="es-ES"/>
        </w:rPr>
        <w:t xml:space="preserve">, </w:t>
      </w:r>
      <w:r w:rsidRPr="00F66F14">
        <w:rPr>
          <w:rFonts w:eastAsia="Times New Roman" w:cs="Times New Roman"/>
          <w:sz w:val="28"/>
          <w:szCs w:val="28"/>
          <w:lang w:eastAsia="es-ES"/>
        </w:rPr>
        <w:t>expuso que coadyuvaba</w:t>
      </w:r>
      <w:r w:rsidR="004658BD" w:rsidRPr="00F66F14">
        <w:rPr>
          <w:rFonts w:eastAsia="Times New Roman" w:cs="Times New Roman"/>
          <w:sz w:val="28"/>
          <w:szCs w:val="28"/>
          <w:lang w:eastAsia="es-ES"/>
        </w:rPr>
        <w:t xml:space="preserve"> las pretensiones deprecadas por el Agente del Minist</w:t>
      </w:r>
      <w:r w:rsidRPr="00F66F14">
        <w:rPr>
          <w:rFonts w:eastAsia="Times New Roman" w:cs="Times New Roman"/>
          <w:sz w:val="28"/>
          <w:szCs w:val="28"/>
          <w:lang w:eastAsia="es-ES"/>
        </w:rPr>
        <w:t xml:space="preserve">erio Público, porque en efecto </w:t>
      </w:r>
      <w:r w:rsidR="004658BD" w:rsidRPr="00F66F14">
        <w:rPr>
          <w:rFonts w:eastAsia="Times New Roman" w:cs="Times New Roman"/>
          <w:sz w:val="28"/>
          <w:szCs w:val="28"/>
          <w:lang w:eastAsia="es-ES"/>
        </w:rPr>
        <w:t xml:space="preserve">en el presente asunto tenían cabida los precedentes jurisprudenciales cuya aplicación </w:t>
      </w:r>
      <w:r w:rsidRPr="00F66F14">
        <w:rPr>
          <w:rFonts w:eastAsia="Times New Roman" w:cs="Times New Roman"/>
          <w:sz w:val="28"/>
          <w:szCs w:val="28"/>
          <w:lang w:eastAsia="es-ES"/>
        </w:rPr>
        <w:t>era</w:t>
      </w:r>
      <w:r w:rsidR="004658BD" w:rsidRPr="00F66F14">
        <w:rPr>
          <w:rFonts w:eastAsia="Times New Roman" w:cs="Times New Roman"/>
          <w:sz w:val="28"/>
          <w:szCs w:val="28"/>
          <w:lang w:eastAsia="es-ES"/>
        </w:rPr>
        <w:t xml:space="preserve"> reclama</w:t>
      </w:r>
      <w:r>
        <w:rPr>
          <w:rFonts w:eastAsia="Times New Roman" w:cs="Times New Roman"/>
          <w:sz w:val="28"/>
          <w:szCs w:val="28"/>
          <w:lang w:eastAsia="es-ES"/>
        </w:rPr>
        <w:t>d</w:t>
      </w:r>
      <w:r w:rsidR="004658BD" w:rsidRPr="00F66F14">
        <w:rPr>
          <w:rFonts w:eastAsia="Times New Roman" w:cs="Times New Roman"/>
          <w:sz w:val="28"/>
          <w:szCs w:val="28"/>
          <w:lang w:eastAsia="es-ES"/>
        </w:rPr>
        <w:t xml:space="preserve">a por el </w:t>
      </w:r>
      <w:r w:rsidR="007353B0" w:rsidRPr="00F66F14">
        <w:rPr>
          <w:rFonts w:eastAsia="Times New Roman" w:cs="Times New Roman"/>
          <w:sz w:val="28"/>
          <w:szCs w:val="28"/>
          <w:lang w:eastAsia="es-ES"/>
        </w:rPr>
        <w:t xml:space="preserve">Procurador Judicial Penal </w:t>
      </w:r>
      <w:r w:rsidR="004658BD" w:rsidRPr="00F66F14">
        <w:rPr>
          <w:rFonts w:eastAsia="Times New Roman" w:cs="Times New Roman"/>
          <w:sz w:val="28"/>
          <w:szCs w:val="28"/>
          <w:lang w:eastAsia="es-ES"/>
        </w:rPr>
        <w:t>demandante</w:t>
      </w:r>
      <w:r w:rsidR="007353B0" w:rsidRPr="00F66F14">
        <w:rPr>
          <w:rFonts w:eastAsia="Times New Roman" w:cs="Times New Roman"/>
          <w:sz w:val="28"/>
          <w:szCs w:val="28"/>
          <w:lang w:eastAsia="es-ES"/>
        </w:rPr>
        <w:t xml:space="preserve">.  </w:t>
      </w:r>
    </w:p>
    <w:p w:rsidR="004658BD" w:rsidRPr="004658BD" w:rsidRDefault="004658BD" w:rsidP="004658BD">
      <w:pPr>
        <w:spacing w:after="0" w:line="276" w:lineRule="auto"/>
        <w:jc w:val="both"/>
        <w:rPr>
          <w:rFonts w:eastAsia="Times New Roman" w:cs="Times New Roman"/>
          <w:sz w:val="28"/>
          <w:szCs w:val="28"/>
          <w:lang w:eastAsia="es-ES"/>
        </w:rPr>
      </w:pPr>
    </w:p>
    <w:p w:rsidR="004658BD" w:rsidRPr="004658BD" w:rsidRDefault="004658BD" w:rsidP="005026DC">
      <w:pPr>
        <w:spacing w:after="0" w:line="240" w:lineRule="auto"/>
        <w:jc w:val="center"/>
        <w:rPr>
          <w:rFonts w:eastAsia="Adobe Gothic Std B" w:cs="Times New Roman"/>
          <w:sz w:val="28"/>
          <w:szCs w:val="28"/>
          <w:lang w:eastAsia="es-ES"/>
        </w:rPr>
      </w:pPr>
      <w:r w:rsidRPr="004658BD">
        <w:rPr>
          <w:rFonts w:eastAsia="Adobe Gothic Std B" w:cs="Times New Roman"/>
          <w:b/>
          <w:sz w:val="28"/>
          <w:szCs w:val="28"/>
          <w:lang w:eastAsia="es-ES"/>
        </w:rPr>
        <w:t>PARA RESOLVER SE CONSIDERA:</w:t>
      </w:r>
    </w:p>
    <w:p w:rsidR="004658BD" w:rsidRPr="004658BD" w:rsidRDefault="004658BD" w:rsidP="005026DC">
      <w:pPr>
        <w:spacing w:after="0" w:line="240" w:lineRule="auto"/>
        <w:jc w:val="both"/>
        <w:rPr>
          <w:rFonts w:eastAsia="Adobe Gothic Std B" w:cs="Times New Roman"/>
          <w:b/>
          <w:sz w:val="28"/>
          <w:szCs w:val="28"/>
          <w:lang w:eastAsia="es-ES"/>
        </w:rPr>
      </w:pPr>
    </w:p>
    <w:p w:rsidR="004658BD" w:rsidRPr="004658BD" w:rsidRDefault="004658BD" w:rsidP="005026DC">
      <w:pPr>
        <w:spacing w:after="0" w:line="240" w:lineRule="auto"/>
        <w:jc w:val="both"/>
        <w:rPr>
          <w:rFonts w:eastAsia="Adobe Gothic Std B" w:cs="Times New Roman"/>
          <w:b/>
          <w:sz w:val="28"/>
          <w:szCs w:val="28"/>
          <w:lang w:eastAsia="es-ES"/>
        </w:rPr>
      </w:pPr>
      <w:r w:rsidRPr="004658BD">
        <w:rPr>
          <w:rFonts w:eastAsia="Adobe Gothic Std B" w:cs="Times New Roman"/>
          <w:b/>
          <w:sz w:val="28"/>
          <w:szCs w:val="28"/>
          <w:lang w:eastAsia="es-ES"/>
        </w:rPr>
        <w:t>- Competencia:</w:t>
      </w:r>
    </w:p>
    <w:p w:rsidR="004658BD" w:rsidRPr="004658BD" w:rsidRDefault="004658BD" w:rsidP="005026DC">
      <w:pPr>
        <w:spacing w:after="0" w:line="240"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Esta Sala de Decisi</w:t>
      </w:r>
      <w:r w:rsidRPr="004658BD">
        <w:rPr>
          <w:rFonts w:eastAsia="Adobe Gothic Std B" w:cs="Tahoma"/>
          <w:sz w:val="28"/>
          <w:szCs w:val="28"/>
          <w:lang w:eastAsia="es-ES"/>
        </w:rPr>
        <w:t>ó</w:t>
      </w:r>
      <w:r w:rsidRPr="004658BD">
        <w:rPr>
          <w:rFonts w:eastAsia="Adobe Gothic Std B" w:cs="Times New Roman"/>
          <w:sz w:val="28"/>
          <w:szCs w:val="28"/>
          <w:lang w:eastAsia="es-ES"/>
        </w:rPr>
        <w:t>n, según lo consagrado en el # 3º del art</w:t>
      </w:r>
      <w:r w:rsidRPr="004658BD">
        <w:rPr>
          <w:rFonts w:eastAsia="Adobe Gothic Std B" w:cs="Tahoma"/>
          <w:sz w:val="28"/>
          <w:szCs w:val="28"/>
          <w:lang w:eastAsia="es-ES"/>
        </w:rPr>
        <w:t>í</w:t>
      </w:r>
      <w:r w:rsidRPr="004658BD">
        <w:rPr>
          <w:rFonts w:eastAsia="Adobe Gothic Std B" w:cs="Times New Roman"/>
          <w:sz w:val="28"/>
          <w:szCs w:val="28"/>
          <w:lang w:eastAsia="es-ES"/>
        </w:rPr>
        <w:t>culo 34 del C.P.P. es la competente para resolver la presente demanda de revisi</w:t>
      </w:r>
      <w:r w:rsidRPr="004658BD">
        <w:rPr>
          <w:rFonts w:eastAsia="Adobe Gothic Std B" w:cs="Tahoma"/>
          <w:sz w:val="28"/>
          <w:szCs w:val="28"/>
          <w:lang w:eastAsia="es-ES"/>
        </w:rPr>
        <w:t>ó</w:t>
      </w:r>
      <w:r w:rsidRPr="004658BD">
        <w:rPr>
          <w:rFonts w:eastAsia="Adobe Gothic Std B" w:cs="Times New Roman"/>
          <w:sz w:val="28"/>
          <w:szCs w:val="28"/>
          <w:lang w:eastAsia="es-ES"/>
        </w:rPr>
        <w:t>n, en atenci</w:t>
      </w:r>
      <w:r w:rsidRPr="004658BD">
        <w:rPr>
          <w:rFonts w:eastAsia="Adobe Gothic Std B" w:cs="Tahoma"/>
          <w:sz w:val="28"/>
          <w:szCs w:val="28"/>
          <w:lang w:eastAsia="es-ES"/>
        </w:rPr>
        <w:t>ó</w:t>
      </w:r>
      <w:r w:rsidRPr="004658BD">
        <w:rPr>
          <w:rFonts w:eastAsia="Adobe Gothic Std B" w:cs="Times New Roman"/>
          <w:sz w:val="28"/>
          <w:szCs w:val="28"/>
          <w:lang w:eastAsia="es-ES"/>
        </w:rPr>
        <w:t>n a que la sentencia objeto de la acci</w:t>
      </w:r>
      <w:r w:rsidRPr="004658BD">
        <w:rPr>
          <w:rFonts w:eastAsia="Adobe Gothic Std B" w:cs="Tahoma"/>
          <w:sz w:val="28"/>
          <w:szCs w:val="28"/>
          <w:lang w:eastAsia="es-ES"/>
        </w:rPr>
        <w:t>ó</w:t>
      </w:r>
      <w:r w:rsidRPr="004658BD">
        <w:rPr>
          <w:rFonts w:eastAsia="Adobe Gothic Std B" w:cs="Times New Roman"/>
          <w:sz w:val="28"/>
          <w:szCs w:val="28"/>
          <w:lang w:eastAsia="es-ES"/>
        </w:rPr>
        <w:t xml:space="preserve">n invocada fue proferida por un Juzgado Penal que hace parte de uno de los Circuitos pertenecientes a este Distrito Judicial. </w:t>
      </w:r>
    </w:p>
    <w:p w:rsidR="004658BD" w:rsidRPr="004658BD" w:rsidRDefault="004658BD" w:rsidP="005026DC">
      <w:pPr>
        <w:spacing w:after="0" w:line="360" w:lineRule="auto"/>
        <w:jc w:val="both"/>
        <w:rPr>
          <w:rFonts w:eastAsia="Adobe Gothic Std B" w:cs="Times New Roman"/>
          <w:sz w:val="28"/>
          <w:szCs w:val="28"/>
          <w:lang w:eastAsia="es-ES"/>
        </w:rPr>
      </w:pPr>
    </w:p>
    <w:p w:rsidR="004658BD" w:rsidRPr="004658BD" w:rsidRDefault="004658BD" w:rsidP="005026DC">
      <w:pPr>
        <w:spacing w:after="0" w:line="240" w:lineRule="auto"/>
        <w:jc w:val="both"/>
        <w:rPr>
          <w:rFonts w:eastAsia="Adobe Gothic Std B" w:cs="Times New Roman"/>
          <w:b/>
          <w:sz w:val="28"/>
          <w:szCs w:val="28"/>
          <w:lang w:eastAsia="es-ES"/>
        </w:rPr>
      </w:pPr>
      <w:r w:rsidRPr="004658BD">
        <w:rPr>
          <w:rFonts w:eastAsia="Adobe Gothic Std B" w:cs="Times New Roman"/>
          <w:b/>
          <w:sz w:val="28"/>
          <w:szCs w:val="28"/>
          <w:lang w:eastAsia="es-ES"/>
        </w:rPr>
        <w:t>- Problema Jur</w:t>
      </w:r>
      <w:r w:rsidRPr="004658BD">
        <w:rPr>
          <w:rFonts w:eastAsia="Adobe Gothic Std B" w:cs="Tahoma"/>
          <w:b/>
          <w:sz w:val="28"/>
          <w:szCs w:val="28"/>
          <w:lang w:eastAsia="es-ES"/>
        </w:rPr>
        <w:t>í</w:t>
      </w:r>
      <w:r w:rsidRPr="004658BD">
        <w:rPr>
          <w:rFonts w:eastAsia="Adobe Gothic Std B" w:cs="Times New Roman"/>
          <w:b/>
          <w:sz w:val="28"/>
          <w:szCs w:val="28"/>
          <w:lang w:eastAsia="es-ES"/>
        </w:rPr>
        <w:t>dico:</w:t>
      </w:r>
    </w:p>
    <w:p w:rsidR="004658BD" w:rsidRPr="004658BD" w:rsidRDefault="004658BD" w:rsidP="005026DC">
      <w:pPr>
        <w:spacing w:after="0" w:line="240"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Acorde con los argumentos consignados por el Accionante en el libelo de la acci</w:t>
      </w:r>
      <w:r w:rsidRPr="004658BD">
        <w:rPr>
          <w:rFonts w:eastAsia="Adobe Gothic Std B" w:cs="Tahoma"/>
          <w:sz w:val="28"/>
          <w:szCs w:val="28"/>
          <w:lang w:eastAsia="es-ES"/>
        </w:rPr>
        <w:t>ó</w:t>
      </w:r>
      <w:r w:rsidRPr="004658BD">
        <w:rPr>
          <w:rFonts w:eastAsia="Adobe Gothic Std B" w:cs="Times New Roman"/>
          <w:sz w:val="28"/>
          <w:szCs w:val="28"/>
          <w:lang w:eastAsia="es-ES"/>
        </w:rPr>
        <w:t>n de revisión y de lo que posteriormente alegaron las partes que intervinieron en la vista pública, considera la Sala que de los mismos se desprende el siguiente problema jur</w:t>
      </w:r>
      <w:r w:rsidRPr="004658BD">
        <w:rPr>
          <w:rFonts w:eastAsia="Adobe Gothic Std B" w:cs="Tahoma"/>
          <w:sz w:val="28"/>
          <w:szCs w:val="28"/>
          <w:lang w:eastAsia="es-ES"/>
        </w:rPr>
        <w:t>í</w:t>
      </w:r>
      <w:r w:rsidRPr="004658BD">
        <w:rPr>
          <w:rFonts w:eastAsia="Adobe Gothic Std B" w:cs="Times New Roman"/>
          <w:sz w:val="28"/>
          <w:szCs w:val="28"/>
          <w:lang w:eastAsia="es-ES"/>
        </w:rPr>
        <w:t>dico:</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sz w:val="28"/>
          <w:szCs w:val="28"/>
        </w:rPr>
      </w:pPr>
      <w:r w:rsidRPr="004658BD">
        <w:rPr>
          <w:rFonts w:eastAsia="Adobe Gothic Std B"/>
          <w:sz w:val="28"/>
          <w:szCs w:val="28"/>
        </w:rPr>
        <w:t>¿Logró demostrar la parte accionante los presupuestos necesarios para la procedencia de la causal de la acción de revisión consagrada en el # 7º del artículo 192 C.P.P. para de esa forma poder lograr dejar sin efectos la sentencia proferida por el Juzgado 3º Penal del Circuito de esta localidad el 1º de septiembre del 2.016?</w:t>
      </w:r>
    </w:p>
    <w:p w:rsidR="004658BD" w:rsidRPr="004658BD" w:rsidRDefault="004658BD" w:rsidP="007D43CB">
      <w:pPr>
        <w:spacing w:after="0" w:line="360" w:lineRule="auto"/>
        <w:jc w:val="both"/>
        <w:rPr>
          <w:rFonts w:eastAsia="Adobe Gothic Std B"/>
          <w:b/>
          <w:sz w:val="28"/>
          <w:szCs w:val="28"/>
        </w:rPr>
      </w:pPr>
    </w:p>
    <w:p w:rsidR="004658BD" w:rsidRPr="004658BD" w:rsidRDefault="004658BD" w:rsidP="007D43CB">
      <w:pPr>
        <w:spacing w:after="0" w:line="240" w:lineRule="auto"/>
        <w:jc w:val="both"/>
        <w:rPr>
          <w:rFonts w:eastAsia="Adobe Gothic Std B"/>
          <w:b/>
          <w:sz w:val="28"/>
          <w:szCs w:val="28"/>
        </w:rPr>
      </w:pPr>
      <w:r w:rsidRPr="004658BD">
        <w:rPr>
          <w:rFonts w:eastAsia="Adobe Gothic Std B"/>
          <w:b/>
          <w:sz w:val="28"/>
          <w:szCs w:val="28"/>
        </w:rPr>
        <w:lastRenderedPageBreak/>
        <w:t>- Soluci</w:t>
      </w:r>
      <w:r w:rsidRPr="004658BD">
        <w:rPr>
          <w:rFonts w:eastAsia="Adobe Gothic Std B" w:cs="Tahoma"/>
          <w:b/>
          <w:sz w:val="28"/>
          <w:szCs w:val="28"/>
        </w:rPr>
        <w:t>ó</w:t>
      </w:r>
      <w:r w:rsidRPr="004658BD">
        <w:rPr>
          <w:rFonts w:eastAsia="Adobe Gothic Std B"/>
          <w:b/>
          <w:sz w:val="28"/>
          <w:szCs w:val="28"/>
        </w:rPr>
        <w:t>n:</w:t>
      </w:r>
    </w:p>
    <w:p w:rsidR="004658BD" w:rsidRPr="004658BD" w:rsidRDefault="004658BD" w:rsidP="007D43CB">
      <w:pPr>
        <w:spacing w:after="0" w:line="240" w:lineRule="auto"/>
        <w:jc w:val="both"/>
        <w:rPr>
          <w:rFonts w:eastAsia="Adobe Gothic Std B" w:cs="Times New Roman"/>
          <w:b/>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La acción de revisión se ha constituido como una excepcional herramienta procesal la cual tiene como finalidad esencial la de dejar sin validez los efectos propios de la inmutabilidad que el principio de la cosa juzgada ha generado en una decisión que se encuentra en firme o ejecutoriada, para que de esa forma pueda ser posible subsanar o enmendar algún tipo de injusticia que haya surgido como consecuencia de la expedición del fallo o de la decisión cuya legalidad se cuestiona mediante dicha acción. </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Entre las diferentes causales que han sido tipificadas para la procedencia de la acción de revisión, se encuentra la consagrada en el # 7º del artículo 192 C.P.P. la que en un principio vendría siendo una consecuencia del derecho a la Igualdad, consagrado en el artículo 13 C.N. que en esencia pregona que casos iguales o afines deban ser tratados de la misma forma, pero es de destacar que en el escenario de la acción de revisión dicho derecho a la igualdad opera de manera </w:t>
      </w:r>
      <w:r w:rsidRPr="004658BD">
        <w:rPr>
          <w:rFonts w:eastAsia="Adobe Gothic Std B" w:cs="Times New Roman"/>
          <w:i/>
          <w:sz w:val="28"/>
          <w:szCs w:val="28"/>
          <w:lang w:eastAsia="es-ES"/>
        </w:rPr>
        <w:t xml:space="preserve">ex post, </w:t>
      </w:r>
      <w:r w:rsidRPr="004658BD">
        <w:rPr>
          <w:rFonts w:eastAsia="Adobe Gothic Std B" w:cs="Times New Roman"/>
          <w:sz w:val="28"/>
          <w:szCs w:val="28"/>
          <w:lang w:eastAsia="es-ES"/>
        </w:rPr>
        <w:t xml:space="preserve">o sea en el sentido consistente en que una vez proferido el fallo cuestionado, el cual debe encontrarse en firme, tenga ocurrencia una nueva línea de pensamiento jurisprudencial, trazada por parte de la Sala de Casación Penal de la Corte Suprema de Justicia, que no estaba vigente para ese entonces, en la que se varíen, en favor de los intereses del reo, los fundamentos jurídicos en los que se cimentó la sentencia condenatoria cuestionada, lo que a su vez implicaría que dichos precedentes </w:t>
      </w:r>
      <w:r w:rsidRPr="004658BD">
        <w:rPr>
          <w:rFonts w:eastAsia="Adobe Gothic Std B" w:cs="Times New Roman"/>
          <w:i/>
          <w:sz w:val="28"/>
          <w:szCs w:val="28"/>
          <w:lang w:eastAsia="es-ES"/>
        </w:rPr>
        <w:t xml:space="preserve">novos </w:t>
      </w:r>
      <w:r w:rsidRPr="004658BD">
        <w:rPr>
          <w:rFonts w:eastAsia="Adobe Gothic Std B" w:cs="Times New Roman"/>
          <w:sz w:val="28"/>
          <w:szCs w:val="28"/>
          <w:lang w:eastAsia="es-ES"/>
        </w:rPr>
        <w:t xml:space="preserve">deban ser aplicados retroactivamente al caso juzgado, el cual, obviamente, debe ser analizado nuevamente acorde con esa nueva realidad jurisprudencial.  </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Sobre lo anterior, la Corte se ha pronunciado de la siguiente manera: </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7D43CB">
      <w:pPr>
        <w:spacing w:after="0" w:line="240" w:lineRule="auto"/>
        <w:ind w:left="567" w:right="618"/>
        <w:jc w:val="both"/>
        <w:rPr>
          <w:rFonts w:eastAsia="Adobe Gothic Std B" w:cs="Times New Roman"/>
          <w:sz w:val="24"/>
          <w:szCs w:val="24"/>
          <w:lang w:eastAsia="es-ES"/>
        </w:rPr>
      </w:pPr>
      <w:r w:rsidRPr="004658BD">
        <w:rPr>
          <w:rFonts w:eastAsia="Adobe Gothic Std B" w:cs="Times New Roman"/>
          <w:sz w:val="24"/>
          <w:szCs w:val="24"/>
          <w:lang w:eastAsia="es-ES"/>
        </w:rPr>
        <w:lastRenderedPageBreak/>
        <w:t>“La causal de revisión prevista en el artículo 192.7 de la Ley 906 de 2004, en la que se sustenta la acción promovida en este asunto, exige para su estructuración que la Corte haya variado favorablemente el criterio jurídico que sirvió de fundamento para sustentar el juicio de responsabilidad o la punibilidad en el fallo condenatorio cuya revisión se pide.</w:t>
      </w:r>
    </w:p>
    <w:p w:rsidR="004658BD" w:rsidRPr="004658BD" w:rsidRDefault="004658BD" w:rsidP="007D43CB">
      <w:pPr>
        <w:spacing w:after="0" w:line="240" w:lineRule="auto"/>
        <w:ind w:left="567" w:right="618"/>
        <w:jc w:val="both"/>
        <w:rPr>
          <w:rFonts w:eastAsia="Adobe Gothic Std B" w:cs="Times New Roman"/>
          <w:sz w:val="24"/>
          <w:szCs w:val="24"/>
          <w:lang w:eastAsia="es-ES"/>
        </w:rPr>
      </w:pPr>
    </w:p>
    <w:p w:rsidR="004658BD" w:rsidRPr="004658BD" w:rsidRDefault="004658BD" w:rsidP="007D43CB">
      <w:pPr>
        <w:spacing w:after="0" w:line="240" w:lineRule="auto"/>
        <w:ind w:left="567" w:right="618"/>
        <w:jc w:val="both"/>
        <w:rPr>
          <w:rFonts w:eastAsia="Adobe Gothic Std B" w:cs="Times New Roman"/>
          <w:sz w:val="24"/>
          <w:szCs w:val="24"/>
          <w:lang w:eastAsia="es-ES"/>
        </w:rPr>
      </w:pPr>
      <w:r w:rsidRPr="004658BD">
        <w:rPr>
          <w:rFonts w:eastAsia="Adobe Gothic Std B" w:cs="Times New Roman"/>
          <w:sz w:val="24"/>
          <w:szCs w:val="24"/>
          <w:lang w:eastAsia="es-ES"/>
        </w:rPr>
        <w:t xml:space="preserve">Esto significa que el cambio jurisprudencial que permite la revisión del fallo debe preexistir a la demanda, y por tanto, que la acción no puede ser utilizada para buscar que la Corte, con ocasión de su adelantamiento, acceda a modificar favorablemente su doctrina sobre un determinado aspecto, con el fin de aplicarla al caso.  </w:t>
      </w:r>
    </w:p>
    <w:p w:rsidR="004658BD" w:rsidRPr="004658BD" w:rsidRDefault="004658BD" w:rsidP="007D43CB">
      <w:pPr>
        <w:spacing w:after="0" w:line="240" w:lineRule="auto"/>
        <w:ind w:left="567" w:right="618"/>
        <w:jc w:val="both"/>
        <w:rPr>
          <w:rFonts w:eastAsia="Adobe Gothic Std B" w:cs="Times New Roman"/>
          <w:sz w:val="24"/>
          <w:szCs w:val="24"/>
          <w:lang w:eastAsia="es-ES"/>
        </w:rPr>
      </w:pPr>
    </w:p>
    <w:p w:rsidR="004658BD" w:rsidRPr="004658BD" w:rsidRDefault="004658BD" w:rsidP="007D43CB">
      <w:pPr>
        <w:spacing w:after="0" w:line="240" w:lineRule="auto"/>
        <w:ind w:left="567" w:right="618"/>
        <w:jc w:val="both"/>
        <w:rPr>
          <w:rFonts w:eastAsia="Adobe Gothic Std B" w:cs="Times New Roman"/>
          <w:sz w:val="24"/>
          <w:szCs w:val="24"/>
          <w:lang w:eastAsia="es-ES"/>
        </w:rPr>
      </w:pPr>
      <w:r w:rsidRPr="004658BD">
        <w:rPr>
          <w:rFonts w:eastAsia="Adobe Gothic Std B" w:cs="Times New Roman"/>
          <w:sz w:val="24"/>
          <w:szCs w:val="24"/>
          <w:lang w:eastAsia="es-ES"/>
        </w:rPr>
        <w:t>Este es el entendimiento que impone la lógica de la causal y el que la Corte ha ponderado en sus decisiones al analizar su contenido y alcance.….”</w:t>
      </w:r>
      <w:r w:rsidRPr="004658BD">
        <w:rPr>
          <w:rFonts w:eastAsia="Adobe Gothic Std B" w:cs="Times New Roman"/>
          <w:sz w:val="24"/>
          <w:szCs w:val="24"/>
          <w:vertAlign w:val="superscript"/>
          <w:lang w:eastAsia="es-ES"/>
        </w:rPr>
        <w:footnoteReference w:id="4"/>
      </w:r>
      <w:r w:rsidRPr="004658BD">
        <w:rPr>
          <w:rFonts w:eastAsia="Adobe Gothic Std B" w:cs="Times New Roman"/>
          <w:sz w:val="24"/>
          <w:szCs w:val="24"/>
          <w:lang w:eastAsia="es-ES"/>
        </w:rPr>
        <w:t>.</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Dicha línea de pensamiento en la actualidad se encuentra vigente, como bien se desprende del contenido de los siguientes pronunciamientos: a) Providencia del 30 de mayo de 2018. AP2157-2018. Rad. # 52744; b) Providencia del 27 de 2018. AP2694-2018. Rad. # 52206, por lo que válidamente se puede colegir que uno de los requisitos esenciales para la procedencia de la causal # 7ª de la acción de revisión es que los precedentes jurisprudenciales de cuya aplicación se reclaman, deben existir con posterioridad a la sentencia cuestionada, o sea a aquella que se pide que sea revisada con base en la nueva realidad jurisprudencial. </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 xml:space="preserve">Por lo tanto, acorde con lo expuesto hasta ahora, la Sala puede colegir que </w:t>
      </w:r>
      <w:r w:rsidRPr="004658BD">
        <w:rPr>
          <w:rFonts w:eastAsia="Times New Roman" w:cs="Times New Roman"/>
          <w:sz w:val="28"/>
          <w:szCs w:val="28"/>
          <w:lang w:eastAsia="es-ES"/>
        </w:rPr>
        <w:t xml:space="preserve">para la procedencia de la </w:t>
      </w:r>
      <w:r w:rsidRPr="004658BD">
        <w:rPr>
          <w:rFonts w:eastAsia="Adobe Gothic Std B" w:cs="Times New Roman"/>
          <w:sz w:val="28"/>
          <w:szCs w:val="28"/>
          <w:lang w:eastAsia="es-ES"/>
        </w:rPr>
        <w:t>causal de la acción de revisión consagrada en el # 7º del artículo 192 C.P.P. se requiere el cumplimiento de los siguientes requisitos:</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numPr>
          <w:ilvl w:val="0"/>
          <w:numId w:val="1"/>
        </w:numPr>
        <w:spacing w:after="0" w:line="276" w:lineRule="auto"/>
        <w:ind w:left="360"/>
        <w:contextualSpacing/>
        <w:jc w:val="both"/>
        <w:rPr>
          <w:rFonts w:eastAsia="Adobe Gothic Std B" w:cs="Times New Roman"/>
          <w:sz w:val="28"/>
          <w:szCs w:val="28"/>
          <w:lang w:eastAsia="es-ES"/>
        </w:rPr>
      </w:pPr>
      <w:r w:rsidRPr="004658BD">
        <w:rPr>
          <w:rFonts w:eastAsia="Adobe Gothic Std B" w:cs="Times New Roman"/>
          <w:sz w:val="28"/>
          <w:szCs w:val="28"/>
          <w:lang w:eastAsia="es-ES"/>
        </w:rPr>
        <w:t>Que se haya declarado la responsabilidad criminal de una persona con base en una serie de criterios jurídicos consignados en precedentes jurisprudenciales emanados de las Altas Cortes.</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numPr>
          <w:ilvl w:val="0"/>
          <w:numId w:val="1"/>
        </w:numPr>
        <w:spacing w:after="0" w:line="276" w:lineRule="auto"/>
        <w:ind w:left="360"/>
        <w:contextualSpacing/>
        <w:jc w:val="both"/>
        <w:rPr>
          <w:rFonts w:eastAsia="Adobe Gothic Std B" w:cs="Times New Roman"/>
          <w:sz w:val="28"/>
          <w:szCs w:val="28"/>
          <w:lang w:eastAsia="es-ES"/>
        </w:rPr>
      </w:pPr>
      <w:r w:rsidRPr="004658BD">
        <w:rPr>
          <w:rFonts w:eastAsia="Adobe Gothic Std B" w:cs="Times New Roman"/>
          <w:sz w:val="28"/>
          <w:szCs w:val="28"/>
          <w:lang w:eastAsia="es-ES"/>
        </w:rPr>
        <w:t>Que estando en firme el fallo condenatorio, dicha línea de pensamiento jurisprudencial que sirvió de soporte para la condena haya variado o sufrido un cambio drástico</w:t>
      </w:r>
      <w:r w:rsidRPr="004658BD">
        <w:rPr>
          <w:rFonts w:eastAsia="Adobe Gothic Std B" w:cs="Times New Roman"/>
          <w:sz w:val="28"/>
          <w:szCs w:val="28"/>
          <w:vertAlign w:val="superscript"/>
          <w:lang w:eastAsia="es-ES"/>
        </w:rPr>
        <w:footnoteReference w:id="5"/>
      </w:r>
      <w:r w:rsidRPr="004658BD">
        <w:rPr>
          <w:rFonts w:eastAsia="Adobe Gothic Std B" w:cs="Times New Roman"/>
          <w:sz w:val="28"/>
          <w:szCs w:val="28"/>
          <w:lang w:eastAsia="es-ES"/>
        </w:rPr>
        <w:t>, y que tal variación pueda redundar en favor de los intereses del declarado penalmente responsable.</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numPr>
          <w:ilvl w:val="0"/>
          <w:numId w:val="1"/>
        </w:numPr>
        <w:spacing w:after="0" w:line="276" w:lineRule="auto"/>
        <w:ind w:left="360"/>
        <w:contextualSpacing/>
        <w:jc w:val="both"/>
        <w:rPr>
          <w:rFonts w:cs="Times New Roman"/>
          <w:sz w:val="28"/>
          <w:szCs w:val="28"/>
          <w:lang w:eastAsia="es-ES"/>
        </w:rPr>
      </w:pPr>
      <w:r w:rsidRPr="004658BD">
        <w:rPr>
          <w:rFonts w:cs="Times New Roman"/>
          <w:sz w:val="28"/>
          <w:szCs w:val="28"/>
          <w:lang w:eastAsia="es-ES"/>
        </w:rPr>
        <w:t xml:space="preserve">Que en el caso Juzgado se cumplen con todos los presupuestos de la nueva doctrina jurisprudencial trazada por la Corte, lo cual quiere decir que en el evento de que la misma existiera cuando se profirió la sentencia cuestionada, la decisión sería una completamente diferente. </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sz w:val="28"/>
          <w:szCs w:val="28"/>
          <w:lang w:eastAsia="es-ES"/>
        </w:rPr>
        <w:t>Al aplicar los anteriores criterios al caso en estudio, como punto de partida, la Sala no puede ignorar, tal como lo adujó el libelista en la demanda de la acción de revisión, y lo coadyuvó la Defensa, que en la actualid</w:t>
      </w:r>
      <w:r w:rsidR="007D43CB">
        <w:rPr>
          <w:rFonts w:eastAsia="Adobe Gothic Std B" w:cs="Times New Roman"/>
          <w:sz w:val="28"/>
          <w:szCs w:val="28"/>
          <w:lang w:eastAsia="es-ES"/>
        </w:rPr>
        <w:t>ad ha tenido ocurrencia un vuelc</w:t>
      </w:r>
      <w:r w:rsidRPr="004658BD">
        <w:rPr>
          <w:rFonts w:eastAsia="Adobe Gothic Std B" w:cs="Times New Roman"/>
          <w:sz w:val="28"/>
          <w:szCs w:val="28"/>
          <w:lang w:eastAsia="es-ES"/>
        </w:rPr>
        <w:t xml:space="preserve">o trascendental en lo que tiene que ver con la concepción que en el pasado reciente se tenía sobre los presupuestos necesarios para la adecuación típica del delito de porte de estupefacientes, en la modalidad de </w:t>
      </w:r>
      <w:r w:rsidRPr="004658BD">
        <w:rPr>
          <w:rFonts w:eastAsia="Adobe Gothic Std B" w:cs="Times New Roman"/>
          <w:i/>
          <w:sz w:val="28"/>
          <w:szCs w:val="28"/>
          <w:lang w:eastAsia="es-ES"/>
        </w:rPr>
        <w:t>llevar consigo</w:t>
      </w:r>
      <w:r w:rsidRPr="004658BD">
        <w:rPr>
          <w:rFonts w:eastAsia="Adobe Gothic Std B" w:cs="Times New Roman"/>
          <w:sz w:val="28"/>
          <w:szCs w:val="28"/>
          <w:lang w:eastAsia="es-ES"/>
        </w:rPr>
        <w:t xml:space="preserve">, lo que ha sido generado como consecuencia de una serie de lineamientos jurisprudenciales que en los últimos tiempos han emanados de la Sala de Casación Penal de la Corte Suprema de Justicia; los cuales, se podría decir, cambiaron las reglas del juego en lo que corresponde con la adecuación típica del delito de marras en aquellos eventos en los que el sujeto agente solo tenga la intención de consumir de manera personal o de darle un uso recreativo a los estupefacientes que haya estado portando. </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both"/>
        <w:rPr>
          <w:rFonts w:eastAsia="Times New Roman" w:cs="Lucida Sans Unicode"/>
          <w:sz w:val="28"/>
          <w:szCs w:val="28"/>
          <w:lang w:val="es-ES"/>
        </w:rPr>
      </w:pPr>
      <w:r w:rsidRPr="004658BD">
        <w:rPr>
          <w:rFonts w:eastAsia="Adobe Gothic Std B" w:cs="Times New Roman"/>
          <w:sz w:val="28"/>
          <w:szCs w:val="28"/>
          <w:lang w:eastAsia="es-ES"/>
        </w:rPr>
        <w:t xml:space="preserve">Para poder entender como ha oscilado el péndulo de la interpretación que la jurisprudencia le ha dado al aludido fenómeno, inicialmente observamos cómo se trazó una línea de pensamiento, como bien se refleja en las sentencias del 18 noviembre del 2008, Rad. # 29183; 8 de julio de 2009, Rad. # </w:t>
      </w:r>
      <w:r w:rsidRPr="004658BD">
        <w:rPr>
          <w:rFonts w:eastAsia="Adobe Gothic Std B" w:cs="Times New Roman"/>
          <w:sz w:val="28"/>
          <w:szCs w:val="28"/>
          <w:lang w:eastAsia="es-ES"/>
        </w:rPr>
        <w:lastRenderedPageBreak/>
        <w:t xml:space="preserve">31531 y del 17 agosto del 2011 Rad. # 35978, en la que se tenía una  concepción consistente en </w:t>
      </w:r>
      <w:r w:rsidRPr="004658BD">
        <w:rPr>
          <w:rFonts w:eastAsia="Times New Roman" w:cs="Verdana"/>
          <w:bCs/>
          <w:sz w:val="28"/>
          <w:szCs w:val="28"/>
          <w:lang w:val="es-ES"/>
        </w:rPr>
        <w:t xml:space="preserve">que </w:t>
      </w:r>
      <w:r w:rsidRPr="004658BD">
        <w:rPr>
          <w:rFonts w:eastAsia="Times New Roman" w:cs="Lucida Sans Unicode"/>
          <w:sz w:val="28"/>
          <w:szCs w:val="28"/>
          <w:lang w:val="es-ES"/>
        </w:rPr>
        <w:t xml:space="preserve">en aquellas hipótesis de porte de sustancias estupefacientes, aun cuando el destino de los psicotrópicos era para el consumo del propio procesado, el exceso ostensible de los narcóticos respecto de los límites permitidos para la dosis personal, incidía para que se presumiera, al parecer de derecho, que con tal comportamiento se vulneraba de manera eficaz el interés jurídicamente protegido. </w:t>
      </w:r>
    </w:p>
    <w:p w:rsidR="004658BD" w:rsidRPr="004658BD" w:rsidRDefault="004658BD" w:rsidP="004658BD">
      <w:pPr>
        <w:spacing w:after="0" w:line="276" w:lineRule="auto"/>
        <w:jc w:val="both"/>
        <w:rPr>
          <w:rFonts w:eastAsia="Times New Roman" w:cs="Lucida Sans Unicode"/>
          <w:sz w:val="28"/>
          <w:szCs w:val="28"/>
          <w:lang w:val="es-ES"/>
        </w:rPr>
      </w:pPr>
    </w:p>
    <w:p w:rsidR="004658BD" w:rsidRPr="004658BD" w:rsidRDefault="004658BD" w:rsidP="004658BD">
      <w:pPr>
        <w:spacing w:after="0" w:line="276" w:lineRule="auto"/>
        <w:jc w:val="both"/>
        <w:rPr>
          <w:rFonts w:eastAsia="Calibri" w:cs="Lucida Sans Unicode"/>
          <w:sz w:val="28"/>
          <w:szCs w:val="28"/>
        </w:rPr>
      </w:pPr>
      <w:r w:rsidRPr="004658BD">
        <w:rPr>
          <w:rFonts w:eastAsia="Times New Roman" w:cs="Lucida Sans Unicode"/>
          <w:sz w:val="28"/>
          <w:szCs w:val="28"/>
          <w:lang w:val="es-ES"/>
        </w:rPr>
        <w:t>Pero a partir de la sentencia del 12 de noviembre 2014. Rad. # 42617, esa forma de pensar vari</w:t>
      </w:r>
      <w:r w:rsidR="00163A06">
        <w:rPr>
          <w:rFonts w:eastAsia="Times New Roman" w:cs="Lucida Sans Unicode"/>
          <w:sz w:val="28"/>
          <w:szCs w:val="28"/>
          <w:lang w:val="es-ES"/>
        </w:rPr>
        <w:t>90</w:t>
      </w:r>
      <w:r w:rsidRPr="004658BD">
        <w:rPr>
          <w:rFonts w:eastAsia="Times New Roman" w:cs="Lucida Sans Unicode"/>
          <w:sz w:val="28"/>
          <w:szCs w:val="28"/>
          <w:lang w:val="es-ES"/>
        </w:rPr>
        <w:t xml:space="preserve">ó hacia una nueva tendencia en la que se estableció que en aquellos eventos de </w:t>
      </w:r>
      <w:r w:rsidRPr="004658BD">
        <w:rPr>
          <w:rFonts w:eastAsia="Calibri" w:cs="Lucida Sans Unicode"/>
          <w:sz w:val="28"/>
          <w:szCs w:val="28"/>
        </w:rPr>
        <w:t>porte de sustancias estupefacientes, con fines de consumo personal, cuando los narcóticos rebasaban en demasía los topes permitidos para la dosis personal, tales excesos no se erigían como una presunción de derecho respecto de la vulneración del interés jurídicamente protegido, sino que debían ser apreciados como una presunción legal que permitía prueba contrario. Además, también se llegó a la conclusión consistente en que el exceso ya no tendría la relevancia que se le estaba dando en el pasado, porque lo que importaba era la destinación que el sujeto agente pretendía darle a la sustancia estupefaciente, la cual tenía que estar relacionada con su consumo personal. Por ende, cuando esa presunción era desvirtuada, porque fue posible demostrar que el Procesado iba a utilizar para su consumo personal una determinada cantidad de sustancias estupefacientes que rebasaban los topes permitidos para la dosis personal, tal comportamiento, por ausencia de antijuridicidad material, ya no que podía ser considerado como punible debido a que al incurrir en esa clase de procederes no se le estaría ocasionando daño alguno al interés jurídicamente protegido: la salud pública, ni a otros intereses jurídicos, ni derechos de terceras personas.</w:t>
      </w:r>
    </w:p>
    <w:p w:rsidR="004658BD" w:rsidRPr="004658BD" w:rsidRDefault="004658BD" w:rsidP="004658BD">
      <w:pPr>
        <w:spacing w:after="0" w:line="276" w:lineRule="auto"/>
        <w:jc w:val="both"/>
        <w:rPr>
          <w:rFonts w:eastAsia="Calibri" w:cs="Lucida Sans Unicode"/>
          <w:sz w:val="28"/>
          <w:szCs w:val="28"/>
        </w:rPr>
      </w:pPr>
    </w:p>
    <w:p w:rsidR="004658BD" w:rsidRPr="004658BD" w:rsidRDefault="004658BD" w:rsidP="004658BD">
      <w:pPr>
        <w:spacing w:after="0" w:line="276" w:lineRule="auto"/>
        <w:jc w:val="both"/>
        <w:rPr>
          <w:rFonts w:cs="Microsoft Sans Serif"/>
          <w:sz w:val="28"/>
          <w:szCs w:val="28"/>
        </w:rPr>
      </w:pPr>
      <w:r w:rsidRPr="004658BD">
        <w:rPr>
          <w:rFonts w:eastAsia="Calibri" w:cs="Lucida Sans Unicode"/>
          <w:sz w:val="28"/>
          <w:szCs w:val="28"/>
        </w:rPr>
        <w:t xml:space="preserve">Es de anotar que posteriormente esa línea de pensamiento jurisprudencial, a partir de la expedición de la sentencia del 09 </w:t>
      </w:r>
      <w:r w:rsidRPr="004658BD">
        <w:rPr>
          <w:rFonts w:eastAsia="Calibri" w:cs="Lucida Sans Unicode"/>
          <w:sz w:val="28"/>
          <w:szCs w:val="28"/>
        </w:rPr>
        <w:lastRenderedPageBreak/>
        <w:t xml:space="preserve">de marzo de 2.016. Rad. # 41760. SP2940-2016, tuvo un nuevo vuelco, ya que la Corte después de </w:t>
      </w:r>
      <w:r w:rsidRPr="004658BD">
        <w:rPr>
          <w:rFonts w:eastAsia="Times New Roman" w:cs="Verdana"/>
          <w:sz w:val="28"/>
          <w:szCs w:val="28"/>
          <w:lang w:val="es-ES"/>
        </w:rPr>
        <w:t>analizar el fenómeno delictivo del porte de estupefacientes, cuando en el mismo se encontraba involucrado un adicto o consumidor, acorde con la óptica del artículo 1º del acto legislativo # 02 de 2.009</w:t>
      </w:r>
      <w:r w:rsidRPr="004658BD">
        <w:rPr>
          <w:rFonts w:eastAsia="Times New Roman" w:cs="Verdana"/>
          <w:sz w:val="28"/>
          <w:szCs w:val="28"/>
          <w:vertAlign w:val="superscript"/>
          <w:lang w:val="es-ES"/>
        </w:rPr>
        <w:footnoteReference w:id="6"/>
      </w:r>
      <w:r w:rsidRPr="004658BD">
        <w:rPr>
          <w:rFonts w:eastAsia="Times New Roman" w:cs="Verdana"/>
          <w:sz w:val="28"/>
          <w:szCs w:val="28"/>
          <w:lang w:val="es-ES"/>
        </w:rPr>
        <w:t xml:space="preserve">, la Corte Suprema llegó a la conclusión consistente en que </w:t>
      </w:r>
      <w:r w:rsidRPr="004658BD">
        <w:rPr>
          <w:rFonts w:cs="Microsoft Sans Serif"/>
          <w:sz w:val="28"/>
          <w:szCs w:val="28"/>
        </w:rPr>
        <w:t>los eventos de excesos en los límites tolerados para la dosis personal, cuando la finalidad de los estupefacientes no sea otra diferente que la del consumo personal del acriminado, ya no se estaría ante una hipótesis de ausencia de antijuridicidad sino de atipicidad, por lo que la finalidad o el propósito que el sujeto agente pretenda darle a los narcóticos se constituía como una especie de ingrediente subjetivo del delito de tráfico de estupefacientes en la modalidad de porte o de llevar consigo</w:t>
      </w:r>
      <w:r w:rsidRPr="001C32D3">
        <w:rPr>
          <w:rFonts w:cs="Microsoft Sans Serif"/>
          <w:sz w:val="28"/>
          <w:szCs w:val="28"/>
          <w:vertAlign w:val="superscript"/>
        </w:rPr>
        <w:footnoteReference w:id="7"/>
      </w:r>
      <w:r w:rsidRPr="004658BD">
        <w:rPr>
          <w:rFonts w:cs="Microsoft Sans Serif"/>
          <w:sz w:val="28"/>
          <w:szCs w:val="28"/>
        </w:rPr>
        <w:t xml:space="preserve">. </w:t>
      </w:r>
    </w:p>
    <w:p w:rsidR="004658BD" w:rsidRPr="004658BD" w:rsidRDefault="004658BD" w:rsidP="004658BD">
      <w:pPr>
        <w:spacing w:after="0" w:line="276" w:lineRule="auto"/>
        <w:jc w:val="both"/>
        <w:rPr>
          <w:rFonts w:cs="Microsoft Sans Serif"/>
          <w:sz w:val="28"/>
          <w:szCs w:val="28"/>
        </w:rPr>
      </w:pPr>
      <w:r w:rsidRPr="004658BD">
        <w:rPr>
          <w:rFonts w:cs="Microsoft Sans Serif"/>
          <w:sz w:val="28"/>
          <w:szCs w:val="28"/>
        </w:rPr>
        <w:t xml:space="preserve">Para ofrecer mayor claridad y precisión de todo lo dicho hasta ahora, la Sala considera de utilidad citar los apartes pertinentes de lo dicho por la Corte Suprema en el precedente jurisprudencial que se constituyó en el hito o en la sentencia fundante de la nueva aludida línea jurisprudencial: </w:t>
      </w:r>
    </w:p>
    <w:p w:rsidR="004658BD" w:rsidRPr="004658BD" w:rsidRDefault="004658BD" w:rsidP="004658BD">
      <w:pPr>
        <w:spacing w:after="0" w:line="276" w:lineRule="auto"/>
        <w:jc w:val="both"/>
        <w:rPr>
          <w:rFonts w:cs="Microsoft Sans Serif"/>
          <w:sz w:val="28"/>
          <w:szCs w:val="28"/>
        </w:rPr>
      </w:pPr>
    </w:p>
    <w:p w:rsidR="004658BD" w:rsidRPr="004658BD" w:rsidRDefault="004658BD" w:rsidP="001C32D3">
      <w:pPr>
        <w:spacing w:after="0" w:line="240" w:lineRule="auto"/>
        <w:ind w:left="567" w:right="618"/>
        <w:jc w:val="both"/>
        <w:rPr>
          <w:rFonts w:cs="Microsoft Sans Serif"/>
          <w:sz w:val="24"/>
          <w:szCs w:val="24"/>
        </w:rPr>
      </w:pPr>
      <w:r w:rsidRPr="004658BD">
        <w:rPr>
          <w:rFonts w:cs="Microsoft Sans Serif"/>
          <w:sz w:val="24"/>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4658BD" w:rsidRPr="004658BD" w:rsidRDefault="004658BD" w:rsidP="001C32D3">
      <w:pPr>
        <w:spacing w:after="0" w:line="240" w:lineRule="auto"/>
        <w:ind w:left="567" w:right="618"/>
        <w:jc w:val="center"/>
        <w:rPr>
          <w:rFonts w:cs="Microsoft Sans Serif"/>
          <w:sz w:val="24"/>
          <w:szCs w:val="24"/>
        </w:rPr>
      </w:pPr>
    </w:p>
    <w:p w:rsidR="004658BD" w:rsidRDefault="004658BD" w:rsidP="001C32D3">
      <w:pPr>
        <w:spacing w:after="0" w:line="240" w:lineRule="auto"/>
        <w:ind w:left="567" w:right="618"/>
        <w:jc w:val="both"/>
        <w:rPr>
          <w:rFonts w:cs="Microsoft Sans Serif"/>
          <w:sz w:val="24"/>
          <w:szCs w:val="24"/>
        </w:rPr>
      </w:pPr>
      <w:r w:rsidRPr="004658BD">
        <w:rPr>
          <w:rFonts w:cs="Microsoft Sans Serif"/>
          <w:sz w:val="24"/>
          <w:szCs w:val="24"/>
        </w:rPr>
        <w:t xml:space="preserve">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w:t>
      </w:r>
      <w:r w:rsidRPr="004658BD">
        <w:rPr>
          <w:rFonts w:cs="Microsoft Sans Serif"/>
          <w:sz w:val="24"/>
          <w:szCs w:val="24"/>
        </w:rPr>
        <w:lastRenderedPageBreak/>
        <w:t>por el consumidor, adicto o enfermo, o la intención es sacarla o introducirla al país, transportarla, llevarla consigo, almacenarla, conservarla, elaborarla, venderla, ofrecerla, adquirirla, financiarla, suministrarla o portarla con ánimo diverso al consumo personal.</w:t>
      </w:r>
    </w:p>
    <w:p w:rsidR="001C32D3" w:rsidRPr="004658BD" w:rsidRDefault="001C32D3" w:rsidP="001C32D3">
      <w:pPr>
        <w:spacing w:after="0" w:line="240" w:lineRule="auto"/>
        <w:ind w:left="567" w:right="618"/>
        <w:jc w:val="both"/>
        <w:rPr>
          <w:rFonts w:cs="Microsoft Sans Serif"/>
          <w:sz w:val="24"/>
          <w:szCs w:val="24"/>
        </w:rPr>
      </w:pPr>
    </w:p>
    <w:p w:rsidR="004658BD" w:rsidRPr="004658BD" w:rsidRDefault="004658BD" w:rsidP="001C32D3">
      <w:pPr>
        <w:spacing w:after="0" w:line="240" w:lineRule="auto"/>
        <w:ind w:left="567" w:right="618"/>
        <w:jc w:val="both"/>
        <w:rPr>
          <w:rFonts w:cs="Microsoft Sans Serif"/>
          <w:sz w:val="24"/>
          <w:szCs w:val="24"/>
        </w:rPr>
      </w:pPr>
      <w:r w:rsidRPr="004658BD">
        <w:rPr>
          <w:rFonts w:cs="Microsoft Sans Serif"/>
          <w:sz w:val="24"/>
          <w:szCs w:val="24"/>
        </w:rPr>
        <w:t>En el asunto que concita la atención de la Corte, como 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teniendo en cuenta que en los fallos se aceptó la fármaco-dependencia de YESID ALEXANDER ARIAS PINTO a la marihuana, habrá de concluirse que el porte de los 50,2 gramos de esa sustancia deviene en atípico…..”</w:t>
      </w:r>
      <w:r w:rsidRPr="004658BD">
        <w:rPr>
          <w:rFonts w:cs="Microsoft Sans Serif"/>
          <w:sz w:val="24"/>
          <w:szCs w:val="24"/>
          <w:vertAlign w:val="superscript"/>
        </w:rPr>
        <w:footnoteReference w:id="8"/>
      </w:r>
      <w:r w:rsidRPr="004658BD">
        <w:rPr>
          <w:rFonts w:cs="Microsoft Sans Serif"/>
          <w:sz w:val="24"/>
          <w:szCs w:val="24"/>
        </w:rPr>
        <w:t xml:space="preserve">. </w:t>
      </w:r>
    </w:p>
    <w:p w:rsidR="004658BD" w:rsidRPr="004658BD" w:rsidRDefault="004658BD" w:rsidP="004658BD">
      <w:pPr>
        <w:spacing w:after="0" w:line="276" w:lineRule="auto"/>
        <w:jc w:val="both"/>
        <w:rPr>
          <w:rFonts w:cs="Microsoft Sans Serif"/>
          <w:sz w:val="28"/>
          <w:szCs w:val="28"/>
        </w:rPr>
      </w:pPr>
    </w:p>
    <w:p w:rsidR="004658BD" w:rsidRPr="004658BD" w:rsidRDefault="004658BD" w:rsidP="004658BD">
      <w:pPr>
        <w:spacing w:after="0" w:line="276" w:lineRule="auto"/>
        <w:jc w:val="both"/>
        <w:rPr>
          <w:rFonts w:cs="Microsoft Sans Serif"/>
          <w:sz w:val="28"/>
          <w:szCs w:val="28"/>
        </w:rPr>
      </w:pPr>
      <w:r w:rsidRPr="004658BD">
        <w:rPr>
          <w:rFonts w:cs="Microsoft Sans Serif"/>
          <w:sz w:val="28"/>
          <w:szCs w:val="28"/>
        </w:rPr>
        <w:t>Sobre las variantes que ha tenido la línea jurisprudencial trazada por la Sala de Casación Penal de la Corte Suprema de Justicia en lo que atañe con el porte de estupefacientes que excedan los límites de la dosis personal, pese a que el destino de esos narcóticos sea para el consumo personal del sujeto agente, bien vale la pena traer a colación lo que en tal sentido ha expuesto la Corte de la siguiente manera:</w:t>
      </w:r>
    </w:p>
    <w:p w:rsidR="004658BD" w:rsidRPr="004658BD" w:rsidRDefault="004658BD" w:rsidP="004658BD">
      <w:pPr>
        <w:spacing w:after="0" w:line="276" w:lineRule="auto"/>
        <w:jc w:val="both"/>
        <w:rPr>
          <w:rFonts w:cs="Microsoft Sans Serif"/>
          <w:sz w:val="28"/>
          <w:szCs w:val="28"/>
        </w:rPr>
      </w:pPr>
    </w:p>
    <w:p w:rsidR="004658BD" w:rsidRPr="004658BD" w:rsidRDefault="004658BD" w:rsidP="001C32D3">
      <w:pPr>
        <w:spacing w:after="0" w:line="240" w:lineRule="auto"/>
        <w:ind w:left="567" w:right="618"/>
        <w:jc w:val="both"/>
        <w:rPr>
          <w:rFonts w:cs="Microsoft Sans Serif"/>
          <w:sz w:val="24"/>
          <w:szCs w:val="24"/>
        </w:rPr>
      </w:pPr>
      <w:r w:rsidRPr="004658BD">
        <w:rPr>
          <w:rFonts w:cs="Microsoft Sans Serif"/>
          <w:sz w:val="24"/>
          <w:szCs w:val="24"/>
        </w:rPr>
        <w:t>“Llegados a este punto, debe destacarse que la evolución del tema relacionado con el porte de estupefacientes –alusivo al verbo rector llevar consigo-, ha consolidado las siguientes tesis:</w:t>
      </w:r>
    </w:p>
    <w:p w:rsidR="004658BD" w:rsidRPr="004658BD" w:rsidRDefault="004658BD" w:rsidP="001C32D3">
      <w:pPr>
        <w:spacing w:after="0" w:line="240" w:lineRule="auto"/>
        <w:ind w:left="567" w:right="618"/>
        <w:jc w:val="both"/>
        <w:rPr>
          <w:rFonts w:cs="Microsoft Sans Serif"/>
          <w:sz w:val="24"/>
          <w:szCs w:val="24"/>
        </w:rPr>
      </w:pPr>
    </w:p>
    <w:p w:rsidR="004658BD" w:rsidRPr="004658BD" w:rsidRDefault="004658BD" w:rsidP="001C32D3">
      <w:pPr>
        <w:spacing w:after="0" w:line="240" w:lineRule="auto"/>
        <w:ind w:left="567" w:right="618"/>
        <w:jc w:val="both"/>
        <w:rPr>
          <w:rFonts w:cs="Microsoft Sans Serif"/>
          <w:sz w:val="24"/>
          <w:szCs w:val="24"/>
        </w:rPr>
      </w:pPr>
      <w:r w:rsidRPr="004658BD">
        <w:rPr>
          <w:rFonts w:cs="Microsoft Sans Serif"/>
          <w:sz w:val="24"/>
          <w:szCs w:val="24"/>
        </w:rPr>
        <w:t>a)</w:t>
      </w:r>
      <w:r w:rsidRPr="004658BD">
        <w:rPr>
          <w:rFonts w:cs="Microsoft Sans Serif"/>
          <w:sz w:val="24"/>
          <w:szCs w:val="24"/>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4658BD" w:rsidRPr="004658BD" w:rsidRDefault="004658BD" w:rsidP="001C32D3">
      <w:pPr>
        <w:spacing w:after="0" w:line="240" w:lineRule="auto"/>
        <w:ind w:left="567" w:right="618"/>
        <w:jc w:val="both"/>
        <w:rPr>
          <w:rFonts w:cs="Microsoft Sans Serif"/>
          <w:sz w:val="24"/>
          <w:szCs w:val="24"/>
        </w:rPr>
      </w:pPr>
    </w:p>
    <w:p w:rsidR="004658BD" w:rsidRPr="004658BD" w:rsidRDefault="004658BD" w:rsidP="001C32D3">
      <w:pPr>
        <w:spacing w:after="0" w:line="240" w:lineRule="auto"/>
        <w:ind w:left="567" w:right="618"/>
        <w:jc w:val="both"/>
        <w:rPr>
          <w:rFonts w:cs="Microsoft Sans Serif"/>
          <w:sz w:val="24"/>
          <w:szCs w:val="24"/>
        </w:rPr>
      </w:pPr>
      <w:r w:rsidRPr="004658BD">
        <w:rPr>
          <w:rFonts w:cs="Microsoft Sans Serif"/>
          <w:sz w:val="24"/>
          <w:szCs w:val="24"/>
        </w:rPr>
        <w:t>b)</w:t>
      </w:r>
      <w:r w:rsidRPr="004658BD">
        <w:rPr>
          <w:rFonts w:cs="Microsoft Sans Serif"/>
          <w:sz w:val="24"/>
          <w:szCs w:val="24"/>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w:t>
      </w:r>
      <w:r w:rsidRPr="004658BD">
        <w:rPr>
          <w:rFonts w:cs="Microsoft Sans Serif"/>
          <w:sz w:val="24"/>
          <w:szCs w:val="24"/>
        </w:rPr>
        <w:lastRenderedPageBreak/>
        <w:t>menoscabo o peligro concreto para los bienes jurídicos que pueden ser objeto de tutela por el legislador.</w:t>
      </w:r>
    </w:p>
    <w:p w:rsidR="004658BD" w:rsidRPr="004658BD" w:rsidRDefault="004658BD" w:rsidP="001C32D3">
      <w:pPr>
        <w:spacing w:after="0" w:line="240" w:lineRule="auto"/>
        <w:ind w:left="567" w:right="618"/>
        <w:jc w:val="both"/>
        <w:rPr>
          <w:rFonts w:cs="Microsoft Sans Serif"/>
          <w:sz w:val="24"/>
          <w:szCs w:val="24"/>
        </w:rPr>
      </w:pPr>
    </w:p>
    <w:p w:rsidR="004658BD" w:rsidRPr="004658BD" w:rsidRDefault="004658BD" w:rsidP="001C32D3">
      <w:pPr>
        <w:spacing w:after="0" w:line="240" w:lineRule="auto"/>
        <w:ind w:left="567" w:right="618"/>
        <w:jc w:val="both"/>
        <w:rPr>
          <w:rFonts w:cs="Microsoft Sans Serif"/>
          <w:sz w:val="24"/>
          <w:szCs w:val="24"/>
        </w:rPr>
      </w:pPr>
      <w:r w:rsidRPr="004658BD">
        <w:rPr>
          <w:rFonts w:cs="Microsoft Sans Serif"/>
          <w:sz w:val="24"/>
          <w:szCs w:val="24"/>
        </w:rPr>
        <w:t>c)</w:t>
      </w:r>
      <w:r w:rsidRPr="004658BD">
        <w:rPr>
          <w:rFonts w:cs="Microsoft Sans Serif"/>
          <w:sz w:val="24"/>
          <w:szCs w:val="24"/>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r w:rsidRPr="004658BD">
        <w:rPr>
          <w:rFonts w:cs="Microsoft Sans Serif"/>
          <w:sz w:val="24"/>
          <w:szCs w:val="24"/>
          <w:vertAlign w:val="superscript"/>
        </w:rPr>
        <w:footnoteReference w:id="9"/>
      </w:r>
      <w:r w:rsidRPr="004658BD">
        <w:rPr>
          <w:rFonts w:cs="Microsoft Sans Serif"/>
          <w:sz w:val="24"/>
          <w:szCs w:val="24"/>
        </w:rPr>
        <w:t>.</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Es de anotar que a la anterior línea jurisprudencial con posterioridad la Corte Suprema le adicionó una especie de subregla, consignada, entre otras, en las sentencias del: 15 de marzo de 2017. SP3605-2017. Rad. # 43725; 11 de julio de 2017. Rad. # 44997. SP9916-2017; 28 de febrero de 2018. SP497-2018. Rad. # 50512, en virtud de la cual se estableció que a la Fiscalía, en los casos en que la imputación o la acusación sea formulada por porte de sustancias estupefacientes, acorde con lo establecido en los artículos 29 y 250 de la Carta, en consonancia con el artículo 7º C.P.P. le competía la carga probatoria de demostrar que el propósito o la intención del sujeto agente era uno diferente que aquel relacionado con el simple y mero consumo personal de los narcóticos o de su uso recreativo, Vg. el expendio, la distribución o comercialización, etc.. por lo que en aquellas hipótesis en las cuales el Ente Acusador no haya podido cumplir con esa carga probatoria, se debía proferir una sentencia contraria a sus pretensiones punitivas.</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Por otra parte, la Sala no puede desconocer que la mayoría de los casos que dieron génesis a la aludida línea jurisprudencial, en especial a la sentencia hito, fueron regulados o tramitados mediante el proceso penal ordinario, ya que en esos eventos el procesado decidió ejercer su derecho de controvertir y confrontar en un juicio oral, público y concentrado, los cargos endilgados en su contra por parte de la Fiscalía, razón por la que se podría pensar que en las hipótesis de terminación abreviada de los procesos penales no serían aplicables dichos </w:t>
      </w:r>
      <w:r w:rsidRPr="004658BD">
        <w:rPr>
          <w:sz w:val="28"/>
          <w:szCs w:val="28"/>
        </w:rPr>
        <w:lastRenderedPageBreak/>
        <w:t xml:space="preserve">precedentes jurisprudenciales, como bien lo dio a entender la Corte Suprema en un caso en el cual decidió no aplicarle la línea jurisprudencial trazada a partir de la expedición de la sentencia del 09 de marzo de 2.016. Rad. # 41760.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Dicho caso se trataba de un ciudadano que se allanó a los cargos, pese a que la Fiscalía solamente le imputó cargos por incurrir en la presunta comisión del delito de tráfico de estupefacientes, en la modalidad de llevar consigo, sin especificar o precisar que los fines de ese porte tenían un propósito diferente que el consumo personal del sujeto agente.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Al resolver la demanda de casación, la Corte expuso lo siguiente.  </w:t>
      </w:r>
    </w:p>
    <w:p w:rsidR="004658BD" w:rsidRPr="004658BD" w:rsidRDefault="004658BD" w:rsidP="004658BD">
      <w:pPr>
        <w:spacing w:after="0" w:line="276" w:lineRule="auto"/>
        <w:jc w:val="both"/>
        <w:rPr>
          <w:sz w:val="28"/>
          <w:szCs w:val="28"/>
        </w:rPr>
      </w:pPr>
      <w:r w:rsidRPr="004658BD">
        <w:rPr>
          <w:sz w:val="28"/>
          <w:szCs w:val="28"/>
        </w:rPr>
        <w:t xml:space="preserve"> </w:t>
      </w:r>
    </w:p>
    <w:p w:rsidR="004658BD" w:rsidRPr="004658BD" w:rsidRDefault="004658BD" w:rsidP="00ED59B7">
      <w:pPr>
        <w:spacing w:after="0" w:line="240" w:lineRule="auto"/>
        <w:ind w:left="567" w:right="618"/>
        <w:jc w:val="both"/>
        <w:rPr>
          <w:rFonts w:cs="Arial"/>
          <w:sz w:val="24"/>
          <w:szCs w:val="24"/>
        </w:rPr>
      </w:pPr>
      <w:r w:rsidRPr="004658BD">
        <w:rPr>
          <w:rFonts w:cs="Arial"/>
          <w:sz w:val="24"/>
          <w:szCs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rsidR="004658BD" w:rsidRPr="004658BD" w:rsidRDefault="004658BD" w:rsidP="00ED59B7">
      <w:pPr>
        <w:spacing w:after="0" w:line="240" w:lineRule="auto"/>
        <w:ind w:left="567" w:right="618"/>
        <w:jc w:val="both"/>
        <w:rPr>
          <w:rFonts w:cs="Arial"/>
          <w:sz w:val="24"/>
          <w:szCs w:val="24"/>
        </w:rPr>
      </w:pPr>
    </w:p>
    <w:p w:rsidR="004658BD" w:rsidRPr="004658BD" w:rsidRDefault="004658BD" w:rsidP="00ED59B7">
      <w:pPr>
        <w:spacing w:after="0" w:line="240" w:lineRule="auto"/>
        <w:ind w:left="567" w:right="618"/>
        <w:jc w:val="both"/>
        <w:rPr>
          <w:rFonts w:cs="Arial"/>
          <w:sz w:val="24"/>
          <w:szCs w:val="24"/>
        </w:rPr>
      </w:pPr>
      <w:r w:rsidRPr="004658BD">
        <w:rPr>
          <w:rFonts w:cs="Arial"/>
          <w:sz w:val="24"/>
          <w:szCs w:val="24"/>
        </w:rPr>
        <w:t>(:::)</w:t>
      </w:r>
    </w:p>
    <w:p w:rsidR="004658BD" w:rsidRPr="004658BD" w:rsidRDefault="004658BD" w:rsidP="00ED59B7">
      <w:pPr>
        <w:spacing w:after="0" w:line="240" w:lineRule="auto"/>
        <w:ind w:left="567" w:right="618"/>
        <w:jc w:val="both"/>
        <w:rPr>
          <w:rFonts w:cs="Arial"/>
          <w:sz w:val="24"/>
          <w:szCs w:val="24"/>
        </w:rPr>
      </w:pPr>
    </w:p>
    <w:p w:rsidR="004658BD" w:rsidRPr="004658BD" w:rsidRDefault="004658BD" w:rsidP="00ED59B7">
      <w:pPr>
        <w:spacing w:after="0" w:line="240" w:lineRule="auto"/>
        <w:ind w:left="567" w:right="618"/>
        <w:jc w:val="both"/>
        <w:rPr>
          <w:rFonts w:cs="Arial"/>
          <w:sz w:val="24"/>
          <w:szCs w:val="24"/>
        </w:rPr>
      </w:pPr>
      <w:r w:rsidRPr="004658BD">
        <w:rPr>
          <w:rFonts w:cs="Arial"/>
          <w:sz w:val="24"/>
          <w:szCs w:val="24"/>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4658BD" w:rsidRPr="004658BD" w:rsidRDefault="004658BD" w:rsidP="00ED59B7">
      <w:pPr>
        <w:spacing w:after="0" w:line="240" w:lineRule="auto"/>
        <w:ind w:left="567" w:right="618"/>
        <w:jc w:val="both"/>
        <w:rPr>
          <w:rFonts w:cs="Arial"/>
          <w:sz w:val="24"/>
          <w:szCs w:val="24"/>
        </w:rPr>
      </w:pPr>
    </w:p>
    <w:p w:rsidR="004658BD" w:rsidRPr="004658BD" w:rsidRDefault="004658BD" w:rsidP="00ED59B7">
      <w:pPr>
        <w:spacing w:after="0" w:line="240" w:lineRule="auto"/>
        <w:ind w:left="567" w:right="618"/>
        <w:jc w:val="both"/>
        <w:rPr>
          <w:rFonts w:cs="Arial"/>
          <w:sz w:val="24"/>
          <w:szCs w:val="24"/>
        </w:rPr>
      </w:pPr>
      <w:r w:rsidRPr="004658BD">
        <w:rPr>
          <w:rFonts w:cs="Arial"/>
          <w:sz w:val="24"/>
          <w:szCs w:val="24"/>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4658BD" w:rsidRPr="004658BD" w:rsidRDefault="004658BD" w:rsidP="00ED59B7">
      <w:pPr>
        <w:spacing w:after="0" w:line="240" w:lineRule="auto"/>
        <w:ind w:left="567" w:right="618"/>
        <w:jc w:val="both"/>
        <w:rPr>
          <w:rFonts w:cs="Arial"/>
          <w:sz w:val="24"/>
          <w:szCs w:val="24"/>
        </w:rPr>
      </w:pPr>
    </w:p>
    <w:p w:rsidR="004658BD" w:rsidRPr="004658BD" w:rsidRDefault="004658BD" w:rsidP="00ED59B7">
      <w:pPr>
        <w:spacing w:after="0" w:line="240" w:lineRule="auto"/>
        <w:ind w:left="567" w:right="618"/>
        <w:jc w:val="both"/>
        <w:rPr>
          <w:rFonts w:cs="Arial"/>
          <w:sz w:val="24"/>
          <w:szCs w:val="24"/>
        </w:rPr>
      </w:pPr>
      <w:r w:rsidRPr="004658BD">
        <w:rPr>
          <w:rFonts w:cs="Arial"/>
          <w:sz w:val="24"/>
          <w:szCs w:val="24"/>
        </w:rPr>
        <w:lastRenderedPageBreak/>
        <w:t>Por otra parte, en tercer lugar, si bien es cierto en el expediente obra una declaración ante Notario Público en la que quien refiere ser el progenitor del encausado asegura que éste “es adicto al consumo de marihuana, el cual no lo dijo en la audiencia por pena con la familia” ,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4658BD" w:rsidRPr="004658BD" w:rsidRDefault="004658BD" w:rsidP="00ED59B7">
      <w:pPr>
        <w:spacing w:after="0" w:line="240" w:lineRule="auto"/>
        <w:ind w:left="567" w:right="618"/>
        <w:jc w:val="both"/>
        <w:rPr>
          <w:rFonts w:cs="Arial"/>
          <w:sz w:val="24"/>
          <w:szCs w:val="24"/>
        </w:rPr>
      </w:pPr>
    </w:p>
    <w:p w:rsidR="004658BD" w:rsidRPr="004658BD" w:rsidRDefault="004658BD" w:rsidP="00ED59B7">
      <w:pPr>
        <w:spacing w:after="0" w:line="240" w:lineRule="auto"/>
        <w:ind w:left="567" w:right="618"/>
        <w:jc w:val="both"/>
        <w:rPr>
          <w:rFonts w:cs="Arial"/>
          <w:sz w:val="24"/>
          <w:szCs w:val="24"/>
        </w:rPr>
      </w:pPr>
      <w:r w:rsidRPr="004658BD">
        <w:rPr>
          <w:rFonts w:cs="Arial"/>
          <w:sz w:val="24"/>
          <w:szCs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4658BD">
        <w:rPr>
          <w:rFonts w:cs="Arial"/>
          <w:sz w:val="24"/>
          <w:szCs w:val="24"/>
          <w:vertAlign w:val="superscript"/>
        </w:rPr>
        <w:footnoteReference w:id="10"/>
      </w:r>
      <w:r w:rsidRPr="004658BD">
        <w:rPr>
          <w:rFonts w:cs="Arial"/>
          <w:sz w:val="24"/>
          <w:szCs w:val="24"/>
        </w:rPr>
        <w:t>.</w:t>
      </w:r>
    </w:p>
    <w:p w:rsidR="00A01778" w:rsidRDefault="00A01778"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De lo antes expuesto, válidamente es posible llegar a unas iniciales conclusiones consistentes en que en ciertos casos de terminación abreviada de los procesos penales, no es factible la aplicación de la aludida línea jurisprudencial trazada por la Corte Suprema de Justicia respecto del ingrediente subjetivo que caracteriza al delito de porte de estupefacientes y de la carga de la prueba que le asiste a la Fiscalía de demostrar que la intención del sujeto era una diferente que la del consumo personal de los narcóticos que llevaba consigo, por lo siguiente: </w:t>
      </w:r>
    </w:p>
    <w:p w:rsidR="004658BD" w:rsidRPr="004658BD" w:rsidRDefault="004658BD" w:rsidP="004658BD">
      <w:pPr>
        <w:spacing w:after="0" w:line="276" w:lineRule="auto"/>
        <w:jc w:val="both"/>
        <w:rPr>
          <w:sz w:val="28"/>
          <w:szCs w:val="28"/>
        </w:rPr>
      </w:pPr>
    </w:p>
    <w:p w:rsidR="004658BD" w:rsidRPr="004658BD" w:rsidRDefault="004658BD" w:rsidP="004658BD">
      <w:pPr>
        <w:numPr>
          <w:ilvl w:val="0"/>
          <w:numId w:val="4"/>
        </w:numPr>
        <w:spacing w:after="0" w:line="276" w:lineRule="auto"/>
        <w:ind w:left="360"/>
        <w:contextualSpacing/>
        <w:jc w:val="both"/>
        <w:rPr>
          <w:sz w:val="28"/>
          <w:szCs w:val="28"/>
        </w:rPr>
      </w:pPr>
      <w:r w:rsidRPr="004658BD">
        <w:rPr>
          <w:sz w:val="28"/>
          <w:szCs w:val="28"/>
        </w:rPr>
        <w:t>En los procesos abreviados operan los principios de la irretractabilidad y de la obligatoriedad</w:t>
      </w:r>
      <w:r w:rsidRPr="004658BD">
        <w:rPr>
          <w:sz w:val="28"/>
          <w:szCs w:val="28"/>
          <w:vertAlign w:val="superscript"/>
        </w:rPr>
        <w:footnoteReference w:id="11"/>
      </w:r>
      <w:r w:rsidR="00ED59B7">
        <w:rPr>
          <w:sz w:val="28"/>
          <w:szCs w:val="28"/>
        </w:rPr>
        <w:t xml:space="preserve">, lo cual quiere decir </w:t>
      </w:r>
      <w:r w:rsidR="00ED59B7">
        <w:rPr>
          <w:sz w:val="28"/>
          <w:szCs w:val="28"/>
        </w:rPr>
        <w:lastRenderedPageBreak/>
        <w:t>que una</w:t>
      </w:r>
      <w:r w:rsidRPr="004658BD">
        <w:rPr>
          <w:sz w:val="28"/>
          <w:szCs w:val="28"/>
        </w:rPr>
        <w:t xml:space="preserve"> vez que el Juez del Conocimiento haya aprobado el allanamiento a cargos o el preacuerdo, los términos de lo acordado o aceptado se tornan de obligatorio cumplimiento para las partes e intervinientes, quienes no pueden desdecir o desconocer lo pactado o aceptado. </w:t>
      </w:r>
    </w:p>
    <w:p w:rsidR="004658BD" w:rsidRPr="004658BD" w:rsidRDefault="004658BD" w:rsidP="004658BD">
      <w:pPr>
        <w:spacing w:after="0" w:line="276" w:lineRule="auto"/>
        <w:jc w:val="both"/>
        <w:rPr>
          <w:sz w:val="28"/>
          <w:szCs w:val="28"/>
        </w:rPr>
      </w:pPr>
    </w:p>
    <w:p w:rsidR="004658BD" w:rsidRPr="004658BD" w:rsidRDefault="004658BD" w:rsidP="004658BD">
      <w:pPr>
        <w:numPr>
          <w:ilvl w:val="0"/>
          <w:numId w:val="4"/>
        </w:numPr>
        <w:spacing w:after="0" w:line="276" w:lineRule="auto"/>
        <w:ind w:left="360"/>
        <w:contextualSpacing/>
        <w:jc w:val="both"/>
        <w:rPr>
          <w:sz w:val="28"/>
          <w:szCs w:val="28"/>
        </w:rPr>
      </w:pPr>
      <w:r w:rsidRPr="004658BD">
        <w:rPr>
          <w:sz w:val="28"/>
          <w:szCs w:val="28"/>
        </w:rPr>
        <w:t>Una de las consecuencias que dimanan de las modalidades de la terminación abreviada de los procesos penales, en especial del allanamiento a cargos, es que la Defensa acepta o admite tanto las pruebas habidas en su contra como los hechos tal y cual se los presenta la Fiscalía, ya sea en la audiencia de formulación de la acusación o de la imputación, e igualmente renuncia al derecho que le asiste a que su caso sea tramitado en un juicio oral, púbico y concentrado, en el que pueda controvertir y confrontar las prueba de la Fiscalía</w:t>
      </w:r>
      <w:r w:rsidRPr="004658BD">
        <w:rPr>
          <w:sz w:val="28"/>
          <w:szCs w:val="28"/>
          <w:vertAlign w:val="superscript"/>
        </w:rPr>
        <w:footnoteReference w:id="12"/>
      </w:r>
      <w:r w:rsidRPr="004658BD">
        <w:rPr>
          <w:sz w:val="28"/>
          <w:szCs w:val="28"/>
        </w:rPr>
        <w:t xml:space="preserve">. </w:t>
      </w:r>
    </w:p>
    <w:p w:rsidR="004658BD" w:rsidRPr="004658BD" w:rsidRDefault="004658BD" w:rsidP="004658BD">
      <w:pPr>
        <w:spacing w:after="0" w:line="276" w:lineRule="auto"/>
        <w:jc w:val="both"/>
        <w:rPr>
          <w:sz w:val="28"/>
          <w:szCs w:val="28"/>
        </w:rPr>
      </w:pPr>
    </w:p>
    <w:p w:rsidR="004658BD" w:rsidRPr="004658BD" w:rsidRDefault="004658BD" w:rsidP="004658BD">
      <w:pPr>
        <w:numPr>
          <w:ilvl w:val="0"/>
          <w:numId w:val="4"/>
        </w:numPr>
        <w:spacing w:after="0" w:line="276" w:lineRule="auto"/>
        <w:ind w:left="360"/>
        <w:contextualSpacing/>
        <w:jc w:val="both"/>
        <w:rPr>
          <w:sz w:val="28"/>
          <w:szCs w:val="28"/>
        </w:rPr>
      </w:pPr>
      <w:r w:rsidRPr="004658BD">
        <w:rPr>
          <w:sz w:val="28"/>
          <w:szCs w:val="28"/>
        </w:rPr>
        <w:t xml:space="preserve">Al aceptar el procesado los cargos endilgados en su contra, o de convenir con la Fiscalía las circunstancias en las que admite su compromiso penal, la consecuencia lógica de la aprobación de lo aceptado o estipulado por las partes, es que en contra del encausado se deba proferir una sentencia condenatoria, quien a cambio recibirá unas contraprestaciones punitivas por haber tomado ese tipo de determinación.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rFonts w:eastAsia="Adobe Gothic Std B" w:cs="Times New Roman"/>
          <w:sz w:val="28"/>
          <w:szCs w:val="28"/>
        </w:rPr>
      </w:pPr>
      <w:r w:rsidRPr="004658BD">
        <w:rPr>
          <w:sz w:val="28"/>
          <w:szCs w:val="28"/>
        </w:rPr>
        <w:t xml:space="preserve">Pese a las peculiaridades que caracterizan a los procesos abreviados, la Colegiatura no puede desconocer que de manera excepcional existen unas hipótesis en las que no necesariamente una aceptación de cargos puede conducir al proferimiento de una sentencia condenatoria, y en consecuencia es válido dictar un fallo absolutorio. Tal situación vendría siendo una consecuencia del correcto ejercicio del deber que le asiste </w:t>
      </w:r>
      <w:r w:rsidRPr="004658BD">
        <w:rPr>
          <w:rFonts w:eastAsia="Adobe Gothic Std B" w:cs="Times New Roman"/>
          <w:sz w:val="28"/>
          <w:szCs w:val="28"/>
        </w:rPr>
        <w:t xml:space="preserve">Juez del Conocimiento, acorde con los </w:t>
      </w:r>
      <w:r w:rsidRPr="004658BD">
        <w:rPr>
          <w:rFonts w:eastAsia="Adobe Gothic Std B" w:cs="Times New Roman"/>
          <w:sz w:val="28"/>
          <w:szCs w:val="28"/>
        </w:rPr>
        <w:lastRenderedPageBreak/>
        <w:t xml:space="preserve">términos del inciso 4º del artículo 351 C.P.P. de verificar previamente que la aceptación de cargos o lo estipulado en términos similares entre las partes no haya sido producto de una violación de garantías fundamentales o del debido proceso, lo que podría acontecer en hipótesis tales como cuando: a) No exista por lo menos un mínimo probatorio que derrumbe la presunción de inocencia que le asiste al Procesado; b) Que la conducta por la cual el Procesado se allanó a los cargos no sea punible por ausencia de alguno de los elementos consignados en el artículo 9º C.P.; c) Que la acción penal se encuentre extinta por alguna de las causales consignadas en el artículo 82 C.P., etc…. </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4658BD">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Es de anotar que las aludidas excepciones no le han sido ajenas a la </w:t>
      </w:r>
      <w:r w:rsidR="004F3907">
        <w:rPr>
          <w:rFonts w:eastAsia="Adobe Gothic Std B" w:cs="Times New Roman"/>
          <w:sz w:val="28"/>
          <w:szCs w:val="28"/>
        </w:rPr>
        <w:t xml:space="preserve">Sala de Casación Penal de la </w:t>
      </w:r>
      <w:r w:rsidRPr="004658BD">
        <w:rPr>
          <w:rFonts w:eastAsia="Adobe Gothic Std B" w:cs="Times New Roman"/>
          <w:sz w:val="28"/>
          <w:szCs w:val="28"/>
        </w:rPr>
        <w:t>Corte Suprema</w:t>
      </w:r>
      <w:r w:rsidR="004F3907">
        <w:rPr>
          <w:rFonts w:eastAsia="Adobe Gothic Std B" w:cs="Times New Roman"/>
          <w:sz w:val="28"/>
          <w:szCs w:val="28"/>
        </w:rPr>
        <w:t xml:space="preserve"> de Justicia</w:t>
      </w:r>
      <w:r w:rsidRPr="004658BD">
        <w:rPr>
          <w:rFonts w:eastAsia="Adobe Gothic Std B" w:cs="Times New Roman"/>
          <w:sz w:val="28"/>
          <w:szCs w:val="28"/>
        </w:rPr>
        <w:t xml:space="preserve">, como bien se desprende, entre otros, del contenido de las siguientes sentencias adiadas el: 4 de julio  de 2.002. Rad. # 10308; 8 de julio de 2009. Rad. # 31531; 25 de agosto de 2.010. Rad. # 32865; 18 de diciembre de 2.013 Rad. # 42133; 28 de junio de 2017. SP9379-2017. Rad. # 45.495, en las que se estableció que pese a la existencia de una aceptación de cargos por parte del procesado, no es factible proferir una sentencia condenatoria cuando en la actuación no exista un mínimo probatorio que satisfaga los requisitos necesarios </w:t>
      </w:r>
      <w:r w:rsidR="004F3907">
        <w:rPr>
          <w:rFonts w:eastAsia="Adobe Gothic Std B" w:cs="Times New Roman"/>
          <w:sz w:val="28"/>
          <w:szCs w:val="28"/>
        </w:rPr>
        <w:t xml:space="preserve">que son </w:t>
      </w:r>
      <w:r w:rsidRPr="004658BD">
        <w:rPr>
          <w:rFonts w:eastAsia="Adobe Gothic Std B" w:cs="Times New Roman"/>
          <w:sz w:val="28"/>
          <w:szCs w:val="28"/>
        </w:rPr>
        <w:t xml:space="preserve">exigidos para poder dictar un fallo de condena, como bien lo dio a entender la Corte en los siguientes términos: </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ED59B7">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“Diferente es que, en el ejercicio de control sobre el respeto de garantías fundamentales, se detecten situaciones objetivas que, sin modificar los enunciados fácticos que por virtud del allanamiento se entienden admitidos por el acusado, comportan una evidente imposibilidad de declarar la responsabilidad, en los términos exigidos por el derecho penal sustantivo (C.P., art. 9º, inc. 1</w:t>
      </w:r>
      <w:r w:rsidR="0075043F" w:rsidRPr="004658BD">
        <w:rPr>
          <w:rFonts w:eastAsia="Adobe Gothic Std B" w:cs="Times New Roman"/>
          <w:sz w:val="24"/>
          <w:szCs w:val="24"/>
        </w:rPr>
        <w:t>º)</w:t>
      </w:r>
      <w:r w:rsidRPr="004658BD">
        <w:rPr>
          <w:rFonts w:eastAsia="Adobe Gothic Std B" w:cs="Times New Roman"/>
          <w:sz w:val="24"/>
          <w:szCs w:val="24"/>
        </w:rPr>
        <w:t xml:space="preserve">. Por ejemplo, cuando la conducta atribuida al procesado deviene atípica o carece de antijuridicidad en sentido material. </w:t>
      </w:r>
    </w:p>
    <w:p w:rsidR="004658BD" w:rsidRPr="004658BD" w:rsidRDefault="004658BD" w:rsidP="00ED59B7">
      <w:pPr>
        <w:spacing w:after="0" w:line="240" w:lineRule="auto"/>
        <w:ind w:left="567" w:right="618"/>
        <w:jc w:val="both"/>
        <w:rPr>
          <w:rFonts w:eastAsia="Adobe Gothic Std B" w:cs="Times New Roman"/>
          <w:sz w:val="24"/>
          <w:szCs w:val="24"/>
        </w:rPr>
      </w:pPr>
    </w:p>
    <w:p w:rsidR="004658BD" w:rsidRPr="004658BD" w:rsidRDefault="004658BD" w:rsidP="00ED59B7">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En tales eventualidades, la jurisprudencia ha reconocido la vulneración del debido proceso en su componente de legalidad, en tanto garantía fundamental. No obstante, por tratarse de un aspecto objetivo que imposibilita la emisión de una sentencia </w:t>
      </w:r>
      <w:r w:rsidRPr="004658BD">
        <w:rPr>
          <w:rFonts w:eastAsia="Adobe Gothic Std B" w:cs="Times New Roman"/>
          <w:sz w:val="24"/>
          <w:szCs w:val="24"/>
        </w:rPr>
        <w:lastRenderedPageBreak/>
        <w:t xml:space="preserve">condenatoria, la Sala ha determinado que la solución adecuada para el restablecimiento de tal prerrogativa ius fundamental no es la nulidad, sino la emisión de un fallo absolutorio. </w:t>
      </w:r>
    </w:p>
    <w:p w:rsidR="004658BD" w:rsidRPr="004658BD" w:rsidRDefault="004658BD" w:rsidP="00ED59B7">
      <w:pPr>
        <w:spacing w:after="0" w:line="240" w:lineRule="auto"/>
        <w:ind w:left="567" w:right="618"/>
        <w:jc w:val="both"/>
        <w:rPr>
          <w:rFonts w:eastAsia="Adobe Gothic Std B" w:cs="Times New Roman"/>
          <w:sz w:val="24"/>
          <w:szCs w:val="24"/>
        </w:rPr>
      </w:pPr>
    </w:p>
    <w:p w:rsidR="004658BD" w:rsidRPr="004658BD" w:rsidRDefault="004658BD" w:rsidP="00ED59B7">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Al respecto, en la SP 8 jul. 2009, rad. 31.531, en un caso donde un imputado por porte de estupefacientes fue condenado en virtud de allanamiento, pese a que la droga que llevaba consigo estaba destinada para su uso personal, la Corte estableció que la conducta no comportaba antijuridicidad en sentido material, razón por la cual dictó sentencia absolutoria. </w:t>
      </w:r>
    </w:p>
    <w:p w:rsidR="004658BD" w:rsidRPr="004658BD" w:rsidRDefault="004658BD" w:rsidP="00ED59B7">
      <w:pPr>
        <w:spacing w:after="0" w:line="240" w:lineRule="auto"/>
        <w:ind w:left="567" w:right="618"/>
        <w:jc w:val="both"/>
        <w:rPr>
          <w:rFonts w:eastAsia="Adobe Gothic Std B" w:cs="Times New Roman"/>
          <w:sz w:val="24"/>
          <w:szCs w:val="24"/>
        </w:rPr>
      </w:pPr>
    </w:p>
    <w:p w:rsidR="004658BD" w:rsidRPr="00055099" w:rsidRDefault="004658BD" w:rsidP="00055099">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En esa oportunidad, la Sala puso de presente que la renuncia al juicio y a las garantías a éste inherentes de ninguna manera implica el desistimiento de las demás prerrogativas en cabeza de quien es procesado penalmente, así sea por la vía del procedimiento abreviado, activado por la vía de la aceptación de culpabilidad…..”</w:t>
      </w:r>
      <w:r w:rsidRPr="004658BD">
        <w:rPr>
          <w:rFonts w:eastAsia="Adobe Gothic Std B" w:cs="Times New Roman"/>
          <w:sz w:val="24"/>
          <w:szCs w:val="24"/>
          <w:vertAlign w:val="superscript"/>
        </w:rPr>
        <w:footnoteReference w:id="13"/>
      </w:r>
      <w:r w:rsidRPr="004658BD">
        <w:rPr>
          <w:rFonts w:eastAsia="Adobe Gothic Std B" w:cs="Times New Roman"/>
          <w:sz w:val="24"/>
          <w:szCs w:val="24"/>
        </w:rPr>
        <w:t>.</w:t>
      </w:r>
    </w:p>
    <w:p w:rsidR="004658BD" w:rsidRPr="004658BD" w:rsidRDefault="004658BD" w:rsidP="004658BD">
      <w:pPr>
        <w:spacing w:after="0" w:line="276" w:lineRule="auto"/>
        <w:jc w:val="both"/>
        <w:rPr>
          <w:rFonts w:eastAsia="Adobe Gothic Std B" w:cs="Times New Roman"/>
          <w:sz w:val="28"/>
          <w:szCs w:val="28"/>
        </w:rPr>
      </w:pPr>
      <w:r w:rsidRPr="004658BD">
        <w:rPr>
          <w:rFonts w:eastAsia="Adobe Gothic Std B" w:cs="Times New Roman"/>
          <w:sz w:val="28"/>
          <w:szCs w:val="28"/>
        </w:rPr>
        <w:t>Tales exigencias que se le hacen a los procesos abreviados para que en los mismos pueda ser posible dictar un fallo de condena, válidamente pueden ser acompasadas con el contenido de la línea jurispr</w:t>
      </w:r>
      <w:r w:rsidR="004F3907">
        <w:rPr>
          <w:rFonts w:eastAsia="Adobe Gothic Std B" w:cs="Times New Roman"/>
          <w:sz w:val="28"/>
          <w:szCs w:val="28"/>
        </w:rPr>
        <w:t>udencial tratada a lo largo y an</w:t>
      </w:r>
      <w:r w:rsidRPr="004658BD">
        <w:rPr>
          <w:rFonts w:eastAsia="Adobe Gothic Std B" w:cs="Times New Roman"/>
          <w:sz w:val="28"/>
          <w:szCs w:val="28"/>
        </w:rPr>
        <w:t>cho de este proveído, para de esa forma colegir que en aquellos eventos en los cuales este demostrado que el procesado era consumidor o adicto a los estupefacientes que llevaba consigo, y que la Fiscalía no hay</w:t>
      </w:r>
      <w:r w:rsidR="00ED59B7">
        <w:rPr>
          <w:rFonts w:eastAsia="Adobe Gothic Std B" w:cs="Times New Roman"/>
          <w:sz w:val="28"/>
          <w:szCs w:val="28"/>
        </w:rPr>
        <w:t>a</w:t>
      </w:r>
      <w:r w:rsidRPr="004658BD">
        <w:rPr>
          <w:rFonts w:eastAsia="Adobe Gothic Std B" w:cs="Times New Roman"/>
          <w:sz w:val="28"/>
          <w:szCs w:val="28"/>
        </w:rPr>
        <w:t xml:space="preserve"> podido demostrar que el destino de esos narcóticos era otro diferente que el del consumo personal del acriminado, aun cuando el procesado se haya allanado a los cargos, no es posible dictar un fallo de condena por no satisfacerse con el cumplimiento de la acreditación del requisito de la tipicidad, en lo que atañe con la demostración del ingrediente subjetivo del delito de tráfico de estupefacientes, en la modalidad de llevar consigo.</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4658BD">
      <w:pPr>
        <w:spacing w:after="0" w:line="276" w:lineRule="auto"/>
        <w:jc w:val="both"/>
        <w:rPr>
          <w:rFonts w:eastAsia="Adobe Gothic Std B" w:cs="Times New Roman"/>
          <w:sz w:val="28"/>
          <w:szCs w:val="28"/>
        </w:rPr>
      </w:pPr>
      <w:r w:rsidRPr="004658BD">
        <w:rPr>
          <w:rFonts w:eastAsia="Adobe Gothic Std B" w:cs="Times New Roman"/>
          <w:sz w:val="28"/>
          <w:szCs w:val="28"/>
        </w:rPr>
        <w:t>Para ofrecer una mejor claridad y precisión</w:t>
      </w:r>
      <w:r w:rsidR="004F3907">
        <w:rPr>
          <w:rFonts w:eastAsia="Adobe Gothic Std B" w:cs="Times New Roman"/>
          <w:sz w:val="28"/>
          <w:szCs w:val="28"/>
        </w:rPr>
        <w:t xml:space="preserve"> de lo </w:t>
      </w:r>
      <w:r w:rsidR="00ED59B7">
        <w:rPr>
          <w:rFonts w:eastAsia="Adobe Gothic Std B" w:cs="Times New Roman"/>
          <w:sz w:val="28"/>
          <w:szCs w:val="28"/>
        </w:rPr>
        <w:t>expuesto</w:t>
      </w:r>
      <w:r w:rsidR="004F3907">
        <w:rPr>
          <w:rFonts w:eastAsia="Adobe Gothic Std B" w:cs="Times New Roman"/>
          <w:sz w:val="28"/>
          <w:szCs w:val="28"/>
        </w:rPr>
        <w:t xml:space="preserve"> en los párrafos anteriores</w:t>
      </w:r>
      <w:r w:rsidRPr="004658BD">
        <w:rPr>
          <w:rFonts w:eastAsia="Adobe Gothic Std B" w:cs="Times New Roman"/>
          <w:sz w:val="28"/>
          <w:szCs w:val="28"/>
        </w:rPr>
        <w:t xml:space="preserve">, considera la Colegiatura de utilidad traer a colación lo que en tales términos </w:t>
      </w:r>
      <w:r w:rsidR="0075043F">
        <w:rPr>
          <w:rFonts w:eastAsia="Adobe Gothic Std B" w:cs="Times New Roman"/>
          <w:sz w:val="28"/>
          <w:szCs w:val="28"/>
        </w:rPr>
        <w:t>ha</w:t>
      </w:r>
      <w:r w:rsidR="004F3907">
        <w:rPr>
          <w:rFonts w:eastAsia="Adobe Gothic Std B" w:cs="Times New Roman"/>
          <w:sz w:val="28"/>
          <w:szCs w:val="28"/>
        </w:rPr>
        <w:t xml:space="preserve"> dicho</w:t>
      </w:r>
      <w:r w:rsidRPr="004658BD">
        <w:rPr>
          <w:rFonts w:eastAsia="Adobe Gothic Std B" w:cs="Times New Roman"/>
          <w:sz w:val="28"/>
          <w:szCs w:val="28"/>
        </w:rPr>
        <w:t xml:space="preserve"> la Corte: </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ED59B7">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“La jurisprudencia tiene dicho que una de las posibilidades de afectación de garantías fundamentales con la emisión de una sentencia dictada en virtud de allanamiento a cargos es que, al </w:t>
      </w:r>
      <w:r w:rsidRPr="004658BD">
        <w:rPr>
          <w:rFonts w:eastAsia="Adobe Gothic Std B" w:cs="Times New Roman"/>
          <w:sz w:val="24"/>
          <w:szCs w:val="24"/>
        </w:rPr>
        <w:lastRenderedPageBreak/>
        <w:t xml:space="preserve">margen de la aceptación de culpabilidad, se condene al acusado </w:t>
      </w:r>
      <w:r w:rsidRPr="004658BD">
        <w:rPr>
          <w:rFonts w:eastAsia="Adobe Gothic Std B" w:cs="Times New Roman"/>
          <w:b/>
          <w:sz w:val="24"/>
          <w:szCs w:val="24"/>
        </w:rPr>
        <w:t>pese a la existencia de situaciones objetivas que, sin modificar los enunciados fácticos que por virtud del allanamiento se entienden admitidos, y que desde la lógica de la violación directa son inmodificables por integrar la premisa menor del silogismo jurídico contenido en la sentencia,  comportan una evidente imposibilidad de declarar la responsabilidad, en los términos exigidos por el derecho penal sustantivo</w:t>
      </w:r>
      <w:r w:rsidRPr="004658BD">
        <w:rPr>
          <w:rFonts w:eastAsia="Adobe Gothic Std B" w:cs="Times New Roman"/>
          <w:sz w:val="24"/>
          <w:szCs w:val="24"/>
        </w:rPr>
        <w:t xml:space="preserve"> (CSJ SP9379-2017, rad. 45.495).  </w:t>
      </w:r>
    </w:p>
    <w:p w:rsidR="004658BD" w:rsidRPr="004658BD" w:rsidRDefault="004658BD" w:rsidP="00ED59B7">
      <w:pPr>
        <w:spacing w:after="0" w:line="240" w:lineRule="auto"/>
        <w:ind w:left="567" w:right="618"/>
        <w:jc w:val="both"/>
        <w:rPr>
          <w:rFonts w:eastAsia="Adobe Gothic Std B" w:cs="Times New Roman"/>
          <w:sz w:val="24"/>
          <w:szCs w:val="24"/>
        </w:rPr>
      </w:pPr>
    </w:p>
    <w:p w:rsidR="004658BD" w:rsidRPr="004658BD" w:rsidRDefault="004658BD" w:rsidP="00ED59B7">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Ciertamente, de acuerdo con el art. 29 inc. 2º de la Constitución y el art. 6º inc. 1º del C.P., uno de los componentes esenciales del debido proceso es que nadie puede ser juzgado, sino conforme a leyes preexistentes al acto que se le imputa y con observancia de la plenitud de las formas propias de cada juicio. </w:t>
      </w:r>
    </w:p>
    <w:p w:rsidR="004658BD" w:rsidRPr="004658BD" w:rsidRDefault="004658BD" w:rsidP="00ED59B7">
      <w:pPr>
        <w:spacing w:after="0" w:line="240" w:lineRule="auto"/>
        <w:ind w:left="567" w:right="618"/>
        <w:jc w:val="both"/>
        <w:rPr>
          <w:rFonts w:eastAsia="Adobe Gothic Std B" w:cs="Times New Roman"/>
          <w:sz w:val="24"/>
          <w:szCs w:val="24"/>
        </w:rPr>
      </w:pPr>
    </w:p>
    <w:p w:rsidR="004658BD" w:rsidRPr="004658BD" w:rsidRDefault="004658BD" w:rsidP="00ED59B7">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 xml:space="preserve">En ese sentido, el juicio sustantivo de responsabilidad penal requiere la afirmación concurrente de las categorías de tipicidad, antijuridicidad y culpabilidad en la conducta del procesado (art. 9 inc. 1º ídem). De ahí que, si de la conducta atribuida al acusado no es dable predicar su adecuación en alguna de las categorías sustanciales que componen la responsabilidad penal, no es dable sancionarlo. Una condena impuesta en tales circunstancias vulnera el debido proceso.  </w:t>
      </w:r>
    </w:p>
    <w:p w:rsidR="004658BD" w:rsidRPr="004658BD" w:rsidRDefault="004658BD" w:rsidP="00ED59B7">
      <w:pPr>
        <w:spacing w:after="0" w:line="240" w:lineRule="auto"/>
        <w:ind w:right="618"/>
        <w:jc w:val="both"/>
        <w:rPr>
          <w:rFonts w:eastAsia="Adobe Gothic Std B" w:cs="Times New Roman"/>
          <w:sz w:val="28"/>
          <w:szCs w:val="28"/>
        </w:rPr>
      </w:pPr>
    </w:p>
    <w:p w:rsidR="004658BD" w:rsidRPr="004658BD" w:rsidRDefault="004658BD" w:rsidP="00ED59B7">
      <w:pPr>
        <w:spacing w:after="0" w:line="240" w:lineRule="auto"/>
        <w:ind w:left="567" w:right="618"/>
        <w:jc w:val="both"/>
        <w:rPr>
          <w:rFonts w:eastAsia="Adobe Gothic Std B" w:cs="Times New Roman"/>
          <w:sz w:val="24"/>
          <w:szCs w:val="24"/>
        </w:rPr>
      </w:pPr>
      <w:r w:rsidRPr="004658BD">
        <w:rPr>
          <w:rFonts w:eastAsia="Adobe Gothic Std B" w:cs="Times New Roman"/>
          <w:sz w:val="24"/>
          <w:szCs w:val="24"/>
        </w:rPr>
        <w:t>En el presente caso, la Corte detecta que la declaración de responsabilidad penal y la consecuente imposición de sanción penal a GUSTAVO ADOLFO BERMÚDEZ TORO por el delito de tráfico, fabricación o porte de estupefacientes son violatorias del debido proceso. Como a continuación se expondrá, la conducta por la cual fue juzgado GUSTAVO ADOLFO BERMÚDEZ TORO es atípica, por lo que surge evidente la aplicación indebida del art. 376 del C.P……”</w:t>
      </w:r>
      <w:r w:rsidRPr="004658BD">
        <w:rPr>
          <w:rFonts w:eastAsia="Adobe Gothic Std B" w:cs="Times New Roman"/>
          <w:sz w:val="24"/>
          <w:szCs w:val="24"/>
          <w:vertAlign w:val="superscript"/>
        </w:rPr>
        <w:footnoteReference w:id="14"/>
      </w:r>
      <w:r w:rsidRPr="004658BD">
        <w:rPr>
          <w:rFonts w:eastAsia="Adobe Gothic Std B" w:cs="Times New Roman"/>
          <w:sz w:val="24"/>
          <w:szCs w:val="24"/>
        </w:rPr>
        <w:t>.</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4658BD">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Es de anotar que la Corte para poder arribar a la conclusión a la que llegó en el antes aludido precedente jurisprudencial, o sea que </w:t>
      </w:r>
      <w:r w:rsidR="0075043F" w:rsidRPr="004658BD">
        <w:rPr>
          <w:rFonts w:eastAsia="Adobe Gothic Std B" w:cs="Times New Roman"/>
          <w:sz w:val="28"/>
          <w:szCs w:val="28"/>
        </w:rPr>
        <w:t>exist</w:t>
      </w:r>
      <w:r w:rsidR="0075043F">
        <w:rPr>
          <w:rFonts w:eastAsia="Adobe Gothic Std B" w:cs="Times New Roman"/>
          <w:sz w:val="28"/>
          <w:szCs w:val="28"/>
        </w:rPr>
        <w:t>iría</w:t>
      </w:r>
      <w:r w:rsidRPr="004658BD">
        <w:rPr>
          <w:rFonts w:eastAsia="Adobe Gothic Std B" w:cs="Times New Roman"/>
          <w:sz w:val="28"/>
          <w:szCs w:val="28"/>
        </w:rPr>
        <w:t xml:space="preserve"> una violación del debido proceso cuando se profiere una sentencia condenatoria en contra de una persona que se allanó a los cargos pese a que no estaba demostrada la tipicidad subjetiva del delito de porte de estupefacientes, se fundamentó en el hecho consistente en que en el proceso que dio génesis al recurso de casación se acreditó por parte de la </w:t>
      </w:r>
      <w:r w:rsidRPr="004658BD">
        <w:rPr>
          <w:rFonts w:eastAsia="Adobe Gothic Std B" w:cs="Times New Roman"/>
          <w:sz w:val="28"/>
          <w:szCs w:val="28"/>
        </w:rPr>
        <w:lastRenderedPageBreak/>
        <w:t xml:space="preserve">Defensa, </w:t>
      </w:r>
      <w:r w:rsidR="004F3907">
        <w:rPr>
          <w:rFonts w:eastAsia="Adobe Gothic Std B" w:cs="Times New Roman"/>
          <w:sz w:val="28"/>
          <w:szCs w:val="28"/>
        </w:rPr>
        <w:t xml:space="preserve">más específicamente </w:t>
      </w:r>
      <w:r w:rsidRPr="004658BD">
        <w:rPr>
          <w:rFonts w:eastAsia="Adobe Gothic Std B" w:cs="Times New Roman"/>
          <w:sz w:val="28"/>
          <w:szCs w:val="28"/>
        </w:rPr>
        <w:t xml:space="preserve">en la audiencia de verificación del allanamiento a cargos, la condición de adicto a los estupefacientes del procesado, quien fue sorprendido por agentes de la policía nacional el 29 de junio de 2012, en la calle 8ª, entre carreras 8ª y 9ª, del barrio Alfonso López del municipio de La Tebaida (Quindío), cuando portaba, en una bolsa plástica, 13 envolturas de papel que contenían una sustancia estupefaciente que resultó ser cocaína, la cual pesó 4,90 gramos. Por ende, como consecuencia de la acreditación de la condición de adicto del acriminado, era de esperarse que el destino de esos narcóticos no era otro diferente que el de su consumo personal, lo cual en momento alguno fue desvirtuado por la Fiscalía.  </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4658BD">
      <w:pPr>
        <w:spacing w:after="0" w:line="276" w:lineRule="auto"/>
        <w:jc w:val="both"/>
        <w:rPr>
          <w:rFonts w:eastAsia="Adobe Gothic Std B" w:cs="Times New Roman"/>
          <w:sz w:val="28"/>
          <w:szCs w:val="28"/>
        </w:rPr>
      </w:pPr>
      <w:r w:rsidRPr="004658BD">
        <w:rPr>
          <w:rFonts w:eastAsia="Adobe Gothic Std B" w:cs="Times New Roman"/>
          <w:sz w:val="28"/>
          <w:szCs w:val="28"/>
        </w:rPr>
        <w:t xml:space="preserve">De igual forma, no se puede ignorar que la solución dada en el citado precedente jurisprudencial tuvo su fuente en lo que esa Alta Corporación en el pasado había aludido en la sentencia del 8 de julio de 2009. Rad. # 31531, en la cual, por tratarse de una persona adicta a los estupefacientes, quien se allanó a los cargos endilgados en su contra por el delito de porte de estupefacientes, debido a que fue capturada en flagrancia, por parte de efectivos de la Policía Nacional, en horas de la tarde del 5 de agosto de 2008, en el sector comprendido entre la </w:t>
      </w:r>
      <w:r w:rsidR="004F3907">
        <w:rPr>
          <w:rFonts w:eastAsia="Adobe Gothic Std B" w:cs="Times New Roman"/>
          <w:sz w:val="28"/>
          <w:szCs w:val="28"/>
        </w:rPr>
        <w:t>carrera</w:t>
      </w:r>
      <w:r w:rsidRPr="004658BD">
        <w:rPr>
          <w:rFonts w:eastAsia="Adobe Gothic Std B" w:cs="Times New Roman"/>
          <w:sz w:val="28"/>
          <w:szCs w:val="28"/>
        </w:rPr>
        <w:t xml:space="preserve"> 18 con la calle 51 del municipio de Armenia, cuando portaba en dos papeletas 1,3 gramos de cocaína. </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4658BD">
      <w:pPr>
        <w:spacing w:after="0" w:line="276" w:lineRule="auto"/>
        <w:jc w:val="both"/>
        <w:rPr>
          <w:rFonts w:eastAsia="Adobe Gothic Std B" w:cs="Times New Roman"/>
          <w:sz w:val="28"/>
          <w:szCs w:val="28"/>
        </w:rPr>
      </w:pPr>
      <w:r w:rsidRPr="004658BD">
        <w:rPr>
          <w:rFonts w:eastAsia="Adobe Gothic Std B" w:cs="Times New Roman"/>
          <w:sz w:val="28"/>
          <w:szCs w:val="28"/>
        </w:rPr>
        <w:t>En dicho fallo de casación, la Corte expuso que en aquellos eventos de porte de sustancias estupefacientes, en los que se encuentre implicado un consumidor o adicto, cuando la cantidad portada rebasa mínimamente los topes permitidos para la dosis personal, no es posi</w:t>
      </w:r>
      <w:r w:rsidR="00ED59B7">
        <w:rPr>
          <w:rFonts w:eastAsia="Adobe Gothic Std B" w:cs="Times New Roman"/>
          <w:sz w:val="28"/>
          <w:szCs w:val="28"/>
        </w:rPr>
        <w:t xml:space="preserve">ble considerar como delictiva </w:t>
      </w:r>
      <w:r w:rsidRPr="004658BD">
        <w:rPr>
          <w:rFonts w:eastAsia="Adobe Gothic Std B" w:cs="Times New Roman"/>
          <w:sz w:val="28"/>
          <w:szCs w:val="28"/>
        </w:rPr>
        <w:t xml:space="preserve">dicha conducta por ausencia de antijuridicidad material, debido a que ese tipo de comportamientos carecen de la relevancia suficiente como para amenazar o poner en peligro el interés jurídicamente </w:t>
      </w:r>
      <w:r w:rsidR="00ED59B7">
        <w:rPr>
          <w:rFonts w:eastAsia="Adobe Gothic Std B" w:cs="Times New Roman"/>
          <w:sz w:val="28"/>
          <w:szCs w:val="28"/>
        </w:rPr>
        <w:t>protegido {la salud pú</w:t>
      </w:r>
      <w:r w:rsidRPr="004658BD">
        <w:rPr>
          <w:rFonts w:eastAsia="Adobe Gothic Std B" w:cs="Times New Roman"/>
          <w:sz w:val="28"/>
          <w:szCs w:val="28"/>
        </w:rPr>
        <w:t xml:space="preserve">blica}. </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4658BD">
      <w:pPr>
        <w:spacing w:after="0" w:line="276" w:lineRule="auto"/>
        <w:jc w:val="both"/>
        <w:rPr>
          <w:rFonts w:eastAsia="Adobe Gothic Std B" w:cs="Times New Roman"/>
          <w:sz w:val="28"/>
          <w:szCs w:val="28"/>
        </w:rPr>
      </w:pPr>
      <w:r w:rsidRPr="004658BD">
        <w:rPr>
          <w:rFonts w:eastAsia="Adobe Gothic Std B" w:cs="Times New Roman"/>
          <w:sz w:val="28"/>
          <w:szCs w:val="28"/>
        </w:rPr>
        <w:lastRenderedPageBreak/>
        <w:t xml:space="preserve">De lo antes expuesto, se desprende que en los aludidos precedentes jurisprudenciales, </w:t>
      </w:r>
      <w:r w:rsidR="004F3907">
        <w:rPr>
          <w:rFonts w:eastAsia="Adobe Gothic Std B" w:cs="Times New Roman"/>
          <w:sz w:val="28"/>
          <w:szCs w:val="28"/>
        </w:rPr>
        <w:t xml:space="preserve">cuya aplicación clama en el caso </w:t>
      </w:r>
      <w:r w:rsidR="004F3907">
        <w:rPr>
          <w:rFonts w:eastAsia="Adobe Gothic Std B" w:cs="Times New Roman"/>
          <w:i/>
          <w:sz w:val="28"/>
          <w:szCs w:val="28"/>
        </w:rPr>
        <w:t xml:space="preserve">subexamine </w:t>
      </w:r>
      <w:r w:rsidR="004F3907">
        <w:rPr>
          <w:rFonts w:eastAsia="Adobe Gothic Std B" w:cs="Times New Roman"/>
          <w:sz w:val="28"/>
          <w:szCs w:val="28"/>
        </w:rPr>
        <w:t xml:space="preserve">el demandante, </w:t>
      </w:r>
      <w:r w:rsidRPr="004658BD">
        <w:rPr>
          <w:rFonts w:eastAsia="Adobe Gothic Std B" w:cs="Times New Roman"/>
          <w:sz w:val="28"/>
          <w:szCs w:val="28"/>
        </w:rPr>
        <w:t>existe un común denominador que incide para considerar que en los procesos abreviados que se tramit</w:t>
      </w:r>
      <w:r w:rsidR="004F3907">
        <w:rPr>
          <w:rFonts w:eastAsia="Adobe Gothic Std B" w:cs="Times New Roman"/>
          <w:sz w:val="28"/>
          <w:szCs w:val="28"/>
        </w:rPr>
        <w:t>a</w:t>
      </w:r>
      <w:r w:rsidRPr="004658BD">
        <w:rPr>
          <w:rFonts w:eastAsia="Adobe Gothic Std B" w:cs="Times New Roman"/>
          <w:sz w:val="28"/>
          <w:szCs w:val="28"/>
        </w:rPr>
        <w:t xml:space="preserve">n por el delito de tráfico de estupefacientes, en la modalidad de llevar consigo, si es factible aplicar las reglas y subreglas jurisprudenciales trazadas por la Corte Suprema de Justicia a partir de las sentencias del 09 de marzo de 2.016, SP2940-2016. Rad. # 41760 y del 15 de marzo de 2017, SP3605-2017. Rad. # 43725, </w:t>
      </w:r>
      <w:r w:rsidRPr="004F3907">
        <w:rPr>
          <w:rFonts w:eastAsia="Adobe Gothic Std B" w:cs="Times New Roman"/>
          <w:sz w:val="28"/>
          <w:szCs w:val="28"/>
          <w:u w:val="single"/>
        </w:rPr>
        <w:t xml:space="preserve">siendo ese común denominador el consistente en que en el devenir de la actuación procesal se haya acreditado la condición de adicto o de consumidor </w:t>
      </w:r>
      <w:r w:rsidR="00ED59B7">
        <w:rPr>
          <w:rFonts w:eastAsia="Adobe Gothic Std B" w:cs="Times New Roman"/>
          <w:sz w:val="28"/>
          <w:szCs w:val="28"/>
          <w:u w:val="single"/>
        </w:rPr>
        <w:t>de</w:t>
      </w:r>
      <w:r w:rsidRPr="004F3907">
        <w:rPr>
          <w:rFonts w:eastAsia="Adobe Gothic Std B" w:cs="Times New Roman"/>
          <w:sz w:val="28"/>
          <w:szCs w:val="28"/>
          <w:u w:val="single"/>
        </w:rPr>
        <w:t xml:space="preserve"> estupefacientes del procesado, y que la Fiscalía no pudo demostrar que la intención del sujeto agente al llevar consigo los narcóticos era otra diferente que la del consumo personal o la de su uso recreativo</w:t>
      </w:r>
      <w:r w:rsidRPr="004658BD">
        <w:rPr>
          <w:rFonts w:eastAsia="Adobe Gothic Std B" w:cs="Times New Roman"/>
          <w:sz w:val="28"/>
          <w:szCs w:val="28"/>
        </w:rPr>
        <w:t>.</w:t>
      </w:r>
    </w:p>
    <w:p w:rsidR="004658BD" w:rsidRPr="004658BD" w:rsidRDefault="004658BD" w:rsidP="004658BD">
      <w:pPr>
        <w:spacing w:after="0" w:line="276" w:lineRule="auto"/>
        <w:jc w:val="both"/>
        <w:rPr>
          <w:rFonts w:eastAsia="Adobe Gothic Std B" w:cs="Times New Roman"/>
          <w:sz w:val="28"/>
          <w:szCs w:val="28"/>
        </w:rPr>
      </w:pPr>
    </w:p>
    <w:p w:rsidR="004658BD" w:rsidRPr="004658BD" w:rsidRDefault="004658BD" w:rsidP="004658BD">
      <w:pPr>
        <w:spacing w:after="0" w:line="276" w:lineRule="auto"/>
        <w:jc w:val="both"/>
        <w:rPr>
          <w:sz w:val="28"/>
          <w:szCs w:val="28"/>
        </w:rPr>
      </w:pPr>
      <w:r w:rsidRPr="004658BD">
        <w:rPr>
          <w:rFonts w:eastAsia="Adobe Gothic Std B" w:cs="Times New Roman"/>
          <w:sz w:val="28"/>
          <w:szCs w:val="28"/>
        </w:rPr>
        <w:t xml:space="preserve">A modo de corolario, del análisis que hemos efectuado de la línea jurisprudencial trazada por la Sala de Casación Penal de la Corte Suprema de Justicia a partir de la expedición de la sentencia de casación adiada el 09 de marzo de 2.016, SP2940-2016. Rad. # 41760, como de las subreglas que a dicho precedente se la adicionaron respectivamente mediante las sentencias del 15 de marzo de 2017, SP3605-2017. Rad. # 43725 y el 14 de marzo de 2018. SP732-2018. Rad. # 46.848, </w:t>
      </w:r>
      <w:r w:rsidRPr="004658BD">
        <w:rPr>
          <w:sz w:val="28"/>
          <w:szCs w:val="28"/>
        </w:rPr>
        <w:t xml:space="preserve">  la Colegiatura válidamente puede llegar a las siguientes conclusiones: </w:t>
      </w:r>
    </w:p>
    <w:p w:rsidR="004658BD" w:rsidRPr="004658BD" w:rsidRDefault="004658BD" w:rsidP="004658BD">
      <w:pPr>
        <w:spacing w:after="0" w:line="276" w:lineRule="auto"/>
        <w:jc w:val="both"/>
        <w:rPr>
          <w:sz w:val="28"/>
          <w:szCs w:val="28"/>
        </w:rPr>
      </w:pPr>
    </w:p>
    <w:p w:rsidR="004658BD" w:rsidRPr="004658BD" w:rsidRDefault="004658BD" w:rsidP="004658BD">
      <w:pPr>
        <w:numPr>
          <w:ilvl w:val="0"/>
          <w:numId w:val="2"/>
        </w:numPr>
        <w:spacing w:after="0" w:line="276" w:lineRule="auto"/>
        <w:ind w:left="360"/>
        <w:contextualSpacing/>
        <w:jc w:val="both"/>
        <w:rPr>
          <w:sz w:val="28"/>
          <w:szCs w:val="28"/>
        </w:rPr>
      </w:pPr>
      <w:r w:rsidRPr="004658BD">
        <w:rPr>
          <w:sz w:val="28"/>
          <w:szCs w:val="28"/>
        </w:rPr>
        <w:t>En aquellos eventos en los cuales el sujeto agente lleve consigo sustancias psicotrópicas que excedan los limites tolerados para la dos</w:t>
      </w:r>
      <w:r w:rsidR="00ED59B7">
        <w:rPr>
          <w:sz w:val="28"/>
          <w:szCs w:val="28"/>
        </w:rPr>
        <w:t>is personal, dicha conducta serí</w:t>
      </w:r>
      <w:r w:rsidRPr="004658BD">
        <w:rPr>
          <w:sz w:val="28"/>
          <w:szCs w:val="28"/>
        </w:rPr>
        <w:t>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4658BD" w:rsidRPr="004658BD" w:rsidRDefault="004658BD" w:rsidP="004658BD">
      <w:pPr>
        <w:spacing w:after="0" w:line="276" w:lineRule="auto"/>
        <w:jc w:val="both"/>
        <w:rPr>
          <w:sz w:val="28"/>
          <w:szCs w:val="28"/>
        </w:rPr>
      </w:pPr>
    </w:p>
    <w:p w:rsidR="004658BD" w:rsidRPr="004658BD" w:rsidRDefault="004658BD" w:rsidP="004658BD">
      <w:pPr>
        <w:numPr>
          <w:ilvl w:val="0"/>
          <w:numId w:val="2"/>
        </w:numPr>
        <w:spacing w:after="0" w:line="276" w:lineRule="auto"/>
        <w:ind w:left="360"/>
        <w:contextualSpacing/>
        <w:jc w:val="both"/>
        <w:rPr>
          <w:sz w:val="28"/>
          <w:szCs w:val="28"/>
        </w:rPr>
      </w:pPr>
      <w:r w:rsidRPr="004658BD">
        <w:rPr>
          <w:sz w:val="28"/>
          <w:szCs w:val="28"/>
        </w:rPr>
        <w:t xml:space="preserve">No todos los excesos en el porte de sustancias psicotrópicas que rebasen los topes permitidos para la dosis personal, a pesar de que se diga que iban a ser utilizados para el consumo del encausado o para satisfacer su adicción, </w:t>
      </w:r>
      <w:r w:rsidRPr="004658BD">
        <w:rPr>
          <w:i/>
          <w:sz w:val="28"/>
          <w:szCs w:val="28"/>
        </w:rPr>
        <w:t xml:space="preserve">per se </w:t>
      </w:r>
      <w:r w:rsidRPr="004658BD">
        <w:rPr>
          <w:sz w:val="28"/>
          <w:szCs w:val="28"/>
        </w:rPr>
        <w:t>se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jugaran factores tales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w:t>
      </w:r>
      <w:r w:rsidR="00ED59B7">
        <w:rPr>
          <w:sz w:val="28"/>
          <w:szCs w:val="28"/>
        </w:rPr>
        <w:t>ente le permitiría</w:t>
      </w:r>
      <w:r w:rsidRPr="004658BD">
        <w:rPr>
          <w:sz w:val="28"/>
          <w:szCs w:val="28"/>
        </w:rPr>
        <w:t>n determinar al Juzgador de instancia si el destino de las sustancias psicotrópicas incautadas, que excedían los limites tolerados para la dosis personal, era únicamente para el consumo del indiciado, o si por el contrario se le iba a dar un uso diferente, vg. El expendio, la distribución, etc…</w:t>
      </w:r>
    </w:p>
    <w:p w:rsidR="004658BD" w:rsidRPr="004658BD" w:rsidRDefault="004658BD" w:rsidP="004658BD">
      <w:pPr>
        <w:spacing w:after="0" w:line="276" w:lineRule="auto"/>
        <w:jc w:val="both"/>
        <w:rPr>
          <w:sz w:val="28"/>
          <w:szCs w:val="28"/>
        </w:rPr>
      </w:pPr>
    </w:p>
    <w:p w:rsidR="004658BD" w:rsidRPr="004658BD" w:rsidRDefault="004658BD" w:rsidP="004658BD">
      <w:pPr>
        <w:numPr>
          <w:ilvl w:val="0"/>
          <w:numId w:val="2"/>
        </w:numPr>
        <w:spacing w:after="0" w:line="276" w:lineRule="auto"/>
        <w:ind w:left="360"/>
        <w:contextualSpacing/>
        <w:jc w:val="both"/>
        <w:rPr>
          <w:sz w:val="28"/>
          <w:szCs w:val="28"/>
        </w:rPr>
      </w:pPr>
      <w:r w:rsidRPr="004658BD">
        <w:rPr>
          <w:sz w:val="28"/>
          <w:szCs w:val="28"/>
        </w:rPr>
        <w:t xml:space="preserve">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 </w:t>
      </w:r>
    </w:p>
    <w:p w:rsidR="004658BD" w:rsidRPr="004658BD" w:rsidRDefault="004658BD" w:rsidP="004658BD">
      <w:pPr>
        <w:spacing w:after="0" w:line="240" w:lineRule="auto"/>
      </w:pPr>
    </w:p>
    <w:p w:rsidR="004658BD" w:rsidRDefault="004658BD" w:rsidP="004658BD">
      <w:pPr>
        <w:numPr>
          <w:ilvl w:val="0"/>
          <w:numId w:val="2"/>
        </w:numPr>
        <w:spacing w:after="0" w:line="276" w:lineRule="auto"/>
        <w:ind w:left="360"/>
        <w:contextualSpacing/>
        <w:jc w:val="both"/>
        <w:rPr>
          <w:sz w:val="28"/>
          <w:szCs w:val="28"/>
        </w:rPr>
      </w:pPr>
      <w:r w:rsidRPr="004658BD">
        <w:rPr>
          <w:sz w:val="28"/>
          <w:szCs w:val="28"/>
        </w:rPr>
        <w:lastRenderedPageBreak/>
        <w:t>En los procesos abreviados es factible aplicar la línea jurisprudencial de marras, siempre y cuando en la actuación procesal este acreditado que la sentencia condenatoria que se profirió como consecuencia del allanamiento a cargo sea violatoria del debido proceso, debido a que la misma se dictó pese a que existían elementos de juicio que demostraban la condición de adicto o de consumidor a los estupefacientes del procesado, aunado a que la Fiscalía no pudo demostrar que la intención del sujeto agente, al llevar consigo los narcóticos incautados, era otra diferente que la del consumo personal o la de su uso recreativo.</w:t>
      </w:r>
    </w:p>
    <w:p w:rsidR="00ED59B7" w:rsidRPr="004658BD" w:rsidRDefault="00ED59B7" w:rsidP="00ED59B7">
      <w:pPr>
        <w:spacing w:after="0" w:line="276" w:lineRule="auto"/>
        <w:contextualSpacing/>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Al aplicar todo lo antes expuesto al caso en estudio, a fin de verificar si, acorde con lo dicho en párrafos anteriores, se cumplen o no con los presupuestos necesarios para la procedencia de la causal 7ª de la acción de revisión deprecada por el accionante, al cotejar las premisas fácticas y jurídicas del proceso en el que se declaró la respo</w:t>
      </w:r>
      <w:r w:rsidR="00ED59B7">
        <w:rPr>
          <w:sz w:val="28"/>
          <w:szCs w:val="28"/>
        </w:rPr>
        <w:t>nsabilidad criminal del otrora p</w:t>
      </w:r>
      <w:r w:rsidRPr="004658BD">
        <w:rPr>
          <w:sz w:val="28"/>
          <w:szCs w:val="28"/>
        </w:rPr>
        <w:t xml:space="preserve">rocesado </w:t>
      </w:r>
      <w:r w:rsidR="00ED59B7">
        <w:rPr>
          <w:sz w:val="28"/>
          <w:szCs w:val="28"/>
        </w:rPr>
        <w:t>HAIVER ALEXÁ</w:t>
      </w:r>
      <w:r w:rsidR="00915ABD" w:rsidRPr="00915ABD">
        <w:rPr>
          <w:sz w:val="28"/>
          <w:szCs w:val="28"/>
        </w:rPr>
        <w:t>NDER VÉLEZ CARMONA</w:t>
      </w:r>
      <w:r w:rsidRPr="004658BD">
        <w:rPr>
          <w:sz w:val="28"/>
          <w:szCs w:val="28"/>
        </w:rPr>
        <w:t xml:space="preserve"> con las premisas factuales y normativas de los precedentes jurisprudenciales cuya aplicación reclama el accionante, o sea las consignados en las sentencias de casación adiadas el 8 de julio de 2009. Rad. # 31531 y del 14 de marzo de 2018. SP732-2018. Rad. # 46.848, observa la Sala que es cierto que entre ellos existen unas similitudes factuales, ya que se está en presencia de personas que admitieron los cargos endilgados en su contra por incurrir en la comisión del delito de porte de estupefacientes, quienes fueron sorprendidas en flagrancia cuando llevaban consigo una cantidad de </w:t>
      </w:r>
      <w:r w:rsidR="00915ABD">
        <w:rPr>
          <w:sz w:val="28"/>
          <w:szCs w:val="28"/>
        </w:rPr>
        <w:t>alucinógenos</w:t>
      </w:r>
      <w:r w:rsidRPr="004658BD">
        <w:rPr>
          <w:sz w:val="28"/>
          <w:szCs w:val="28"/>
        </w:rPr>
        <w:t xml:space="preserve"> que rebasaba los límites permitidos para la dosis personal. De igual forma, como consecuencia del allanamiento a cargos, la Fiscalía no demostró </w:t>
      </w:r>
      <w:r w:rsidR="00915ABD">
        <w:rPr>
          <w:sz w:val="28"/>
          <w:szCs w:val="28"/>
        </w:rPr>
        <w:t>que la intención de los otrora p</w:t>
      </w:r>
      <w:r w:rsidRPr="004658BD">
        <w:rPr>
          <w:sz w:val="28"/>
          <w:szCs w:val="28"/>
        </w:rPr>
        <w:t xml:space="preserve">rocesados era el expendio o distribución a terceros los estupefacientes que llevaban consigo.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Pero de igual forma no se puede desconocer que existe un factor de diferenciación entre el caso en estudio, o sea el que </w:t>
      </w:r>
      <w:r w:rsidRPr="004658BD">
        <w:rPr>
          <w:sz w:val="28"/>
          <w:szCs w:val="28"/>
        </w:rPr>
        <w:lastRenderedPageBreak/>
        <w:t xml:space="preserve">es objeto de la acción de revisión,  respecto de aquellos fallados por la Corte en sede de casación, el cual consiste en que el supuesto en el que se cimentaron los precedentes de la Corte radicaba en que en esos procesos se demostró que los </w:t>
      </w:r>
      <w:r w:rsidR="00055099">
        <w:rPr>
          <w:sz w:val="28"/>
          <w:szCs w:val="28"/>
        </w:rPr>
        <w:t>encartados</w:t>
      </w:r>
      <w:r w:rsidRPr="004658BD">
        <w:rPr>
          <w:sz w:val="28"/>
          <w:szCs w:val="28"/>
        </w:rPr>
        <w:t xml:space="preserve"> que se allanaron a los cargos endilgados en su contra eran unas personas adictas o consumidoras </w:t>
      </w:r>
      <w:r w:rsidR="00915ABD">
        <w:rPr>
          <w:sz w:val="28"/>
          <w:szCs w:val="28"/>
        </w:rPr>
        <w:t>a los psicotrópicos</w:t>
      </w:r>
      <w:r w:rsidRPr="004658BD">
        <w:rPr>
          <w:sz w:val="28"/>
          <w:szCs w:val="28"/>
        </w:rPr>
        <w:t xml:space="preserve">, lo que obviamente conspiraba en contra de la acreditación del ingrediente subjetivo del delito de tráfico de estupefacientes, al tornar en atípica la conducta por la cual el procesado decidió allanarse a los cargos; tal situación en momento alguno aconteció en el proceso génesis de la acción de revisión, porque en el mismo se tiene que pese a que el entonces Procesado </w:t>
      </w:r>
      <w:r w:rsidR="00915ABD">
        <w:rPr>
          <w:sz w:val="28"/>
          <w:szCs w:val="28"/>
        </w:rPr>
        <w:t xml:space="preserve">se allanó a los cargos que la </w:t>
      </w:r>
      <w:r w:rsidRPr="004658BD">
        <w:rPr>
          <w:sz w:val="28"/>
          <w:szCs w:val="28"/>
        </w:rPr>
        <w:t xml:space="preserve">Fiscalía </w:t>
      </w:r>
      <w:r w:rsidR="00915ABD">
        <w:rPr>
          <w:sz w:val="28"/>
          <w:szCs w:val="28"/>
        </w:rPr>
        <w:t>le enrostro en su contra</w:t>
      </w:r>
      <w:r w:rsidRPr="004658BD">
        <w:rPr>
          <w:sz w:val="28"/>
          <w:szCs w:val="28"/>
        </w:rPr>
        <w:t xml:space="preserve">, en </w:t>
      </w:r>
      <w:r w:rsidR="00055099">
        <w:rPr>
          <w:sz w:val="28"/>
          <w:szCs w:val="28"/>
        </w:rPr>
        <w:t>ningún momento existió</w:t>
      </w:r>
      <w:r w:rsidRPr="004658BD">
        <w:rPr>
          <w:sz w:val="28"/>
          <w:szCs w:val="28"/>
        </w:rPr>
        <w:t xml:space="preserve"> en el proceso </w:t>
      </w:r>
      <w:r w:rsidR="00055099">
        <w:rPr>
          <w:sz w:val="28"/>
          <w:szCs w:val="28"/>
        </w:rPr>
        <w:t>algún</w:t>
      </w:r>
      <w:r w:rsidRPr="004658BD">
        <w:rPr>
          <w:sz w:val="28"/>
          <w:szCs w:val="28"/>
        </w:rPr>
        <w:t xml:space="preserve"> tipo de medio de conocimiento que acreditara, así sea de manera remota, la condición de adicto o de consumidor </w:t>
      </w:r>
      <w:r w:rsidR="00055099">
        <w:rPr>
          <w:sz w:val="28"/>
          <w:szCs w:val="28"/>
        </w:rPr>
        <w:t>de</w:t>
      </w:r>
      <w:r w:rsidRPr="004658BD">
        <w:rPr>
          <w:sz w:val="28"/>
          <w:szCs w:val="28"/>
        </w:rPr>
        <w:t xml:space="preserve"> estupefacientes del entonces procesado </w:t>
      </w:r>
      <w:r w:rsidR="00055099">
        <w:rPr>
          <w:sz w:val="28"/>
          <w:szCs w:val="28"/>
        </w:rPr>
        <w:t>HAIVER ALEXÁ</w:t>
      </w:r>
      <w:r w:rsidR="00915ABD" w:rsidRPr="00915ABD">
        <w:rPr>
          <w:sz w:val="28"/>
          <w:szCs w:val="28"/>
        </w:rPr>
        <w:t>NDER VÉLEZ CARMONA</w:t>
      </w:r>
      <w:r w:rsidRPr="004658BD">
        <w:rPr>
          <w:sz w:val="28"/>
          <w:szCs w:val="28"/>
        </w:rPr>
        <w:t xml:space="preserve">.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Por lo tanto, si nos atenemos a lo dicho al introito de la presente providencia, cuando expusimos que uno de los fundamentos que orientan la causal # 7ª de la acción de revisión es la aplicación </w:t>
      </w:r>
      <w:r w:rsidRPr="004658BD">
        <w:rPr>
          <w:i/>
          <w:sz w:val="28"/>
          <w:szCs w:val="28"/>
        </w:rPr>
        <w:t xml:space="preserve">ex post, </w:t>
      </w:r>
      <w:r w:rsidRPr="004658BD">
        <w:rPr>
          <w:sz w:val="28"/>
          <w:szCs w:val="28"/>
        </w:rPr>
        <w:t xml:space="preserve">o más bien retardada, del principio de la igualdad, para que de esa forma un caso fallado en el pasado se acompase o se encuentre en consonancia con la </w:t>
      </w:r>
      <w:r w:rsidRPr="004658BD">
        <w:rPr>
          <w:i/>
          <w:sz w:val="28"/>
          <w:szCs w:val="28"/>
        </w:rPr>
        <w:t xml:space="preserve">ratio decidendi </w:t>
      </w:r>
      <w:r w:rsidRPr="004658BD">
        <w:rPr>
          <w:sz w:val="28"/>
          <w:szCs w:val="28"/>
        </w:rPr>
        <w:t xml:space="preserve">de las nuevas tendencias jurisprudenciales que se profirieron en casos afines o similares que fueron fallados </w:t>
      </w:r>
      <w:r w:rsidRPr="004658BD">
        <w:rPr>
          <w:i/>
          <w:sz w:val="28"/>
          <w:szCs w:val="28"/>
        </w:rPr>
        <w:t xml:space="preserve">a posteriori </w:t>
      </w:r>
      <w:r w:rsidRPr="004658BD">
        <w:rPr>
          <w:sz w:val="28"/>
          <w:szCs w:val="28"/>
        </w:rPr>
        <w:t>por el órgano de cierre,</w:t>
      </w:r>
      <w:r w:rsidR="00055099">
        <w:rPr>
          <w:sz w:val="28"/>
          <w:szCs w:val="28"/>
        </w:rPr>
        <w:t xml:space="preserve"> se torna necesario que existan</w:t>
      </w:r>
      <w:r w:rsidRPr="004658BD">
        <w:rPr>
          <w:sz w:val="28"/>
          <w:szCs w:val="28"/>
        </w:rPr>
        <w:t xml:space="preserve"> unas coincidencias o similitudes en</w:t>
      </w:r>
      <w:r w:rsidR="00915ABD">
        <w:rPr>
          <w:sz w:val="28"/>
          <w:szCs w:val="28"/>
        </w:rPr>
        <w:t>tre</w:t>
      </w:r>
      <w:r w:rsidRPr="004658BD">
        <w:rPr>
          <w:sz w:val="28"/>
          <w:szCs w:val="28"/>
        </w:rPr>
        <w:t xml:space="preserve"> </w:t>
      </w:r>
      <w:r w:rsidR="00915ABD">
        <w:rPr>
          <w:sz w:val="28"/>
          <w:szCs w:val="28"/>
        </w:rPr>
        <w:t xml:space="preserve">las </w:t>
      </w:r>
      <w:r w:rsidRPr="004658BD">
        <w:rPr>
          <w:sz w:val="28"/>
          <w:szCs w:val="28"/>
        </w:rPr>
        <w:t xml:space="preserve">premisas fácticas o factuales </w:t>
      </w:r>
      <w:r w:rsidR="00915ABD">
        <w:rPr>
          <w:sz w:val="28"/>
          <w:szCs w:val="28"/>
        </w:rPr>
        <w:t>del</w:t>
      </w:r>
      <w:r w:rsidRPr="004658BD">
        <w:rPr>
          <w:sz w:val="28"/>
          <w:szCs w:val="28"/>
        </w:rPr>
        <w:t xml:space="preserve"> proceso objeto de la acción de revisión y los precedentes jurisprudenciales cuya aplicación se reclama, para que de esa forma se pueda </w:t>
      </w:r>
      <w:r w:rsidR="00915ABD">
        <w:rPr>
          <w:sz w:val="28"/>
          <w:szCs w:val="28"/>
        </w:rPr>
        <w:t xml:space="preserve">utilizar en el </w:t>
      </w:r>
      <w:r w:rsidRPr="004658BD">
        <w:rPr>
          <w:sz w:val="28"/>
          <w:szCs w:val="28"/>
        </w:rPr>
        <w:t xml:space="preserve">caso juzgado la solución jurídica </w:t>
      </w:r>
      <w:r w:rsidR="00915ABD">
        <w:rPr>
          <w:sz w:val="28"/>
          <w:szCs w:val="28"/>
        </w:rPr>
        <w:t xml:space="preserve">que la Corte le dio </w:t>
      </w:r>
      <w:r w:rsidRPr="004658BD">
        <w:rPr>
          <w:sz w:val="28"/>
          <w:szCs w:val="28"/>
        </w:rPr>
        <w:t>en los precedentes jurisprudenciales</w:t>
      </w:r>
      <w:r w:rsidR="00915ABD">
        <w:rPr>
          <w:sz w:val="28"/>
          <w:szCs w:val="28"/>
        </w:rPr>
        <w:t xml:space="preserve"> a los casos que fueron fallados con posterioridad</w:t>
      </w:r>
      <w:r w:rsidRPr="004658BD">
        <w:rPr>
          <w:sz w:val="28"/>
          <w:szCs w:val="28"/>
        </w:rPr>
        <w:t xml:space="preserve">.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lastRenderedPageBreak/>
        <w:t xml:space="preserve">Lo antes expuesto quiere decir, </w:t>
      </w:r>
      <w:r w:rsidRPr="004658BD">
        <w:rPr>
          <w:i/>
          <w:sz w:val="28"/>
          <w:szCs w:val="28"/>
        </w:rPr>
        <w:t xml:space="preserve">contrario sensu, </w:t>
      </w:r>
      <w:r w:rsidRPr="004658BD">
        <w:rPr>
          <w:sz w:val="28"/>
          <w:szCs w:val="28"/>
        </w:rPr>
        <w:t>que en aquellas hipótesis en las que entre el caso juzgado y los precedentes jurisprudenciales cuya aplicación se reclama existan asimetrías o diferencias relevantes en lo factual, que de una u otra forma incidan para constituirse como una especie de factor de diferenciación</w:t>
      </w:r>
      <w:r w:rsidRPr="004658BD">
        <w:rPr>
          <w:sz w:val="28"/>
          <w:szCs w:val="28"/>
          <w:vertAlign w:val="superscript"/>
        </w:rPr>
        <w:footnoteReference w:id="15"/>
      </w:r>
      <w:r w:rsidRPr="004658BD">
        <w:rPr>
          <w:sz w:val="28"/>
          <w:szCs w:val="28"/>
        </w:rPr>
        <w:t>, es obvio que la solución jurídica dada en los nuevos precedentes jurisprudenciales emanados del Órgano de Cierre no podría ser aplicada en el caso juzgado</w:t>
      </w:r>
      <w:r w:rsidR="00915ABD">
        <w:rPr>
          <w:sz w:val="28"/>
          <w:szCs w:val="28"/>
        </w:rPr>
        <w:t xml:space="preserve">, pues se reitera, se trata de casos </w:t>
      </w:r>
      <w:r w:rsidR="00841A04">
        <w:rPr>
          <w:sz w:val="28"/>
          <w:szCs w:val="28"/>
        </w:rPr>
        <w:t>disimiles</w:t>
      </w:r>
      <w:r w:rsidRPr="004658BD">
        <w:rPr>
          <w:sz w:val="28"/>
          <w:szCs w:val="28"/>
        </w:rPr>
        <w:t xml:space="preserve">.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En el presente asunto, reitera la Sala que existe un factor de diferenciación entre los precedentes jurisprudenciales cuya aplicación reclama el accionante y </w:t>
      </w:r>
      <w:r w:rsidR="00841A04">
        <w:rPr>
          <w:sz w:val="28"/>
          <w:szCs w:val="28"/>
        </w:rPr>
        <w:t xml:space="preserve">el </w:t>
      </w:r>
      <w:r w:rsidRPr="004658BD">
        <w:rPr>
          <w:sz w:val="28"/>
          <w:szCs w:val="28"/>
        </w:rPr>
        <w:t xml:space="preserve">caso juzgado que ha sido objeto de la acción de revisión, el cual consiste en la acreditación de la condición de adicto o de consumidor </w:t>
      </w:r>
      <w:r w:rsidR="00841A04">
        <w:rPr>
          <w:sz w:val="28"/>
          <w:szCs w:val="28"/>
        </w:rPr>
        <w:t xml:space="preserve">a los </w:t>
      </w:r>
      <w:r w:rsidRPr="004658BD">
        <w:rPr>
          <w:sz w:val="28"/>
          <w:szCs w:val="28"/>
        </w:rPr>
        <w:t>estupefaciente</w:t>
      </w:r>
      <w:r w:rsidR="00841A04">
        <w:rPr>
          <w:sz w:val="28"/>
          <w:szCs w:val="28"/>
        </w:rPr>
        <w:t>s</w:t>
      </w:r>
      <w:r w:rsidRPr="004658BD">
        <w:rPr>
          <w:sz w:val="28"/>
          <w:szCs w:val="28"/>
        </w:rPr>
        <w:t xml:space="preserve"> del entonces procesado. Así tenemos que en el proceso en el cual se declaró la responsabilidad penal del otrora procesado </w:t>
      </w:r>
      <w:r w:rsidR="00055099">
        <w:rPr>
          <w:sz w:val="28"/>
          <w:szCs w:val="28"/>
        </w:rPr>
        <w:t>HAIVER ALEXÁ</w:t>
      </w:r>
      <w:r w:rsidR="00841A04" w:rsidRPr="00841A04">
        <w:rPr>
          <w:sz w:val="28"/>
          <w:szCs w:val="28"/>
        </w:rPr>
        <w:t>NDER VÉLEZ CARMONA</w:t>
      </w:r>
      <w:r w:rsidRPr="004658BD">
        <w:rPr>
          <w:sz w:val="28"/>
          <w:szCs w:val="28"/>
        </w:rPr>
        <w:t xml:space="preserve">, no existía ningún medio de conocimiento del cual fuera posible establecer o inferir su condición de adicto o de consumidor de narcóticos, lo que difiere de los precedentes jurisprudenciales cuya aplicación son reclamados por el libelista, los cuales se cimentaron en que como consecuencia de la acreditación de la condición de adicto o de consumidor a los estupefacientes de los procesados, tuvo ocurrencia una vulneración del debido proceso que impedía que se pudiera dictar un fallo de condena, debido a que el encausado se allanó a los cargos por una conducta que era atípica.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Por lo tanto, ante la existencia del aludido factor de diferenciación, </w:t>
      </w:r>
      <w:r w:rsidR="00841A04">
        <w:rPr>
          <w:sz w:val="28"/>
          <w:szCs w:val="28"/>
        </w:rPr>
        <w:t>es obvio que no estaría acreditaba la vulneración del debido</w:t>
      </w:r>
      <w:r w:rsidR="00055099">
        <w:rPr>
          <w:sz w:val="28"/>
          <w:szCs w:val="28"/>
        </w:rPr>
        <w:t xml:space="preserve"> proceso</w:t>
      </w:r>
      <w:r w:rsidR="00841A04">
        <w:rPr>
          <w:sz w:val="28"/>
          <w:szCs w:val="28"/>
        </w:rPr>
        <w:t xml:space="preserve"> </w:t>
      </w:r>
      <w:r w:rsidR="00055099">
        <w:rPr>
          <w:sz w:val="28"/>
          <w:szCs w:val="28"/>
        </w:rPr>
        <w:t>al</w:t>
      </w:r>
      <w:r w:rsidR="00841A04">
        <w:rPr>
          <w:sz w:val="28"/>
          <w:szCs w:val="28"/>
        </w:rPr>
        <w:t xml:space="preserve"> que acudió la Corte en las aludidas </w:t>
      </w:r>
      <w:r w:rsidR="00841A04" w:rsidRPr="00841A04">
        <w:rPr>
          <w:sz w:val="28"/>
          <w:szCs w:val="28"/>
        </w:rPr>
        <w:t>sentencias de casación adiadas el 8 de</w:t>
      </w:r>
      <w:r w:rsidR="00841A04">
        <w:rPr>
          <w:sz w:val="28"/>
          <w:szCs w:val="28"/>
        </w:rPr>
        <w:t xml:space="preserve"> julio de 2009. Rad. # 31531 y </w:t>
      </w:r>
      <w:r w:rsidR="00841A04" w:rsidRPr="00841A04">
        <w:rPr>
          <w:sz w:val="28"/>
          <w:szCs w:val="28"/>
        </w:rPr>
        <w:t xml:space="preserve">el 14 de marzo de 2018. SP732-2018. Rad. # 46.848, </w:t>
      </w:r>
      <w:r w:rsidR="00841A04">
        <w:rPr>
          <w:sz w:val="28"/>
          <w:szCs w:val="28"/>
        </w:rPr>
        <w:t xml:space="preserve"> por lo que se podría concluir que </w:t>
      </w:r>
      <w:r w:rsidRPr="004658BD">
        <w:rPr>
          <w:sz w:val="28"/>
          <w:szCs w:val="28"/>
        </w:rPr>
        <w:t xml:space="preserve">la solución jurídica </w:t>
      </w:r>
      <w:r w:rsidRPr="004658BD">
        <w:rPr>
          <w:sz w:val="28"/>
          <w:szCs w:val="28"/>
        </w:rPr>
        <w:lastRenderedPageBreak/>
        <w:t xml:space="preserve">dada en los precedentes jurisprudenciales cuya aplicación reclama el accionante, no serían </w:t>
      </w:r>
      <w:r w:rsidR="00055099" w:rsidRPr="004658BD">
        <w:rPr>
          <w:sz w:val="28"/>
          <w:szCs w:val="28"/>
        </w:rPr>
        <w:t>ajustable</w:t>
      </w:r>
      <w:r w:rsidRPr="004658BD">
        <w:rPr>
          <w:sz w:val="28"/>
          <w:szCs w:val="28"/>
        </w:rPr>
        <w:t xml:space="preserve"> al caso </w:t>
      </w:r>
      <w:r w:rsidRPr="004658BD">
        <w:rPr>
          <w:i/>
          <w:sz w:val="28"/>
          <w:szCs w:val="28"/>
        </w:rPr>
        <w:t>subexamine,</w:t>
      </w:r>
      <w:r w:rsidRPr="004658BD">
        <w:rPr>
          <w:sz w:val="28"/>
          <w:szCs w:val="28"/>
        </w:rPr>
        <w:t xml:space="preserve"> lo que a su vez conspiraría </w:t>
      </w:r>
      <w:r w:rsidR="00841A04">
        <w:rPr>
          <w:sz w:val="28"/>
          <w:szCs w:val="28"/>
        </w:rPr>
        <w:t xml:space="preserve">de manera negativa </w:t>
      </w:r>
      <w:r w:rsidRPr="004658BD">
        <w:rPr>
          <w:sz w:val="28"/>
          <w:szCs w:val="28"/>
        </w:rPr>
        <w:t xml:space="preserve">en contra de las pretensiones del demandante. </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Siendo así las cosas, la Sala considera que no es factible acceder a las pretensiones reclamadas por el accionante como consecuencia de la aplicación de la causal # 7ª de la acción de revisión, por lo siguiente: </w:t>
      </w:r>
    </w:p>
    <w:p w:rsidR="004658BD" w:rsidRPr="004658BD" w:rsidRDefault="004658BD" w:rsidP="004658BD">
      <w:pPr>
        <w:spacing w:after="0" w:line="276" w:lineRule="auto"/>
        <w:jc w:val="both"/>
        <w:rPr>
          <w:sz w:val="28"/>
          <w:szCs w:val="28"/>
        </w:rPr>
      </w:pPr>
    </w:p>
    <w:p w:rsidR="00336C70" w:rsidRPr="004658BD" w:rsidRDefault="00841A04" w:rsidP="00336C70">
      <w:pPr>
        <w:numPr>
          <w:ilvl w:val="0"/>
          <w:numId w:val="5"/>
        </w:numPr>
        <w:spacing w:after="0" w:line="276" w:lineRule="auto"/>
        <w:ind w:left="360"/>
        <w:contextualSpacing/>
        <w:jc w:val="both"/>
        <w:rPr>
          <w:sz w:val="28"/>
          <w:szCs w:val="28"/>
        </w:rPr>
      </w:pPr>
      <w:r>
        <w:rPr>
          <w:sz w:val="28"/>
          <w:szCs w:val="28"/>
        </w:rPr>
        <w:t>Al estar en presencia de un proceso en el cual el encausado se allanó a los cargos, existía</w:t>
      </w:r>
      <w:r w:rsidR="004658BD" w:rsidRPr="004658BD">
        <w:rPr>
          <w:sz w:val="28"/>
          <w:szCs w:val="28"/>
        </w:rPr>
        <w:t xml:space="preserve"> la posibilidad </w:t>
      </w:r>
      <w:r>
        <w:rPr>
          <w:sz w:val="28"/>
          <w:szCs w:val="28"/>
        </w:rPr>
        <w:t xml:space="preserve">de </w:t>
      </w:r>
      <w:r w:rsidR="004658BD" w:rsidRPr="004658BD">
        <w:rPr>
          <w:sz w:val="28"/>
          <w:szCs w:val="28"/>
        </w:rPr>
        <w:t>que fallo demandado se encuentre en consonancia con lo resuelto y decidido por la Corte en la sentencia del 13 de abril de 2.016. SP4498-2016. Rad. # 44718, en la cual se adujo que en algunos eventos de terminación abreviada de los procesos, no era factible la línea jurisprudencial trazada a partir de la sentencia del 13 de abril de 2.016. SP4498-2016. Rad. # 44718.</w:t>
      </w:r>
      <w:r w:rsidR="00336C70" w:rsidRPr="00336C70">
        <w:rPr>
          <w:sz w:val="28"/>
          <w:szCs w:val="28"/>
        </w:rPr>
        <w:t xml:space="preserve"> </w:t>
      </w:r>
      <w:r w:rsidR="00336C70">
        <w:rPr>
          <w:sz w:val="28"/>
          <w:szCs w:val="28"/>
        </w:rPr>
        <w:t>Por lo que se puede colegir que la acción de revisión ha sido utilizada como herramienta procesal para desconocer la irretractabilidad y efectos vinculantes que emanarían del preacuerdo pactado entre la Fiscalía y el ahora penado.</w:t>
      </w:r>
    </w:p>
    <w:p w:rsidR="004658BD" w:rsidRPr="004658BD" w:rsidRDefault="004658BD" w:rsidP="004658BD">
      <w:pPr>
        <w:spacing w:after="0" w:line="276" w:lineRule="auto"/>
        <w:jc w:val="both"/>
        <w:rPr>
          <w:sz w:val="28"/>
          <w:szCs w:val="28"/>
        </w:rPr>
      </w:pPr>
    </w:p>
    <w:p w:rsidR="004658BD" w:rsidRPr="004658BD" w:rsidRDefault="004658BD" w:rsidP="004658BD">
      <w:pPr>
        <w:numPr>
          <w:ilvl w:val="0"/>
          <w:numId w:val="5"/>
        </w:numPr>
        <w:spacing w:after="0" w:line="276" w:lineRule="auto"/>
        <w:ind w:left="360"/>
        <w:contextualSpacing/>
        <w:jc w:val="both"/>
        <w:rPr>
          <w:sz w:val="28"/>
          <w:szCs w:val="28"/>
        </w:rPr>
      </w:pPr>
      <w:r w:rsidRPr="004658BD">
        <w:rPr>
          <w:sz w:val="28"/>
          <w:szCs w:val="28"/>
        </w:rPr>
        <w:t xml:space="preserve">Ante la existencia de unos factores de </w:t>
      </w:r>
      <w:r w:rsidR="00841A04">
        <w:rPr>
          <w:sz w:val="28"/>
          <w:szCs w:val="28"/>
        </w:rPr>
        <w:t>distinción</w:t>
      </w:r>
      <w:r w:rsidRPr="004658BD">
        <w:rPr>
          <w:sz w:val="28"/>
          <w:szCs w:val="28"/>
        </w:rPr>
        <w:t xml:space="preserve"> que </w:t>
      </w:r>
      <w:r w:rsidR="00841A04">
        <w:rPr>
          <w:sz w:val="28"/>
          <w:szCs w:val="28"/>
        </w:rPr>
        <w:t xml:space="preserve">marcaban una diferencia entre </w:t>
      </w:r>
      <w:r w:rsidRPr="004658BD">
        <w:rPr>
          <w:sz w:val="28"/>
          <w:szCs w:val="28"/>
        </w:rPr>
        <w:t xml:space="preserve">caso juzgado respecto de los precedentes jurisprudenciales cuya aplicación reclama el libelista, no sería procedente </w:t>
      </w:r>
      <w:r w:rsidR="00841A04">
        <w:rPr>
          <w:sz w:val="28"/>
          <w:szCs w:val="28"/>
        </w:rPr>
        <w:t xml:space="preserve">en el </w:t>
      </w:r>
      <w:r w:rsidR="00841A04">
        <w:rPr>
          <w:i/>
          <w:sz w:val="28"/>
          <w:szCs w:val="28"/>
        </w:rPr>
        <w:t xml:space="preserve">subexamine </w:t>
      </w:r>
      <w:r w:rsidRPr="004658BD">
        <w:rPr>
          <w:sz w:val="28"/>
          <w:szCs w:val="28"/>
        </w:rPr>
        <w:t xml:space="preserve">la aplicación </w:t>
      </w:r>
      <w:r w:rsidR="00841A04">
        <w:rPr>
          <w:sz w:val="28"/>
          <w:szCs w:val="28"/>
        </w:rPr>
        <w:t xml:space="preserve">de la </w:t>
      </w:r>
      <w:r w:rsidR="0075043F">
        <w:rPr>
          <w:sz w:val="28"/>
          <w:szCs w:val="28"/>
        </w:rPr>
        <w:t>solución</w:t>
      </w:r>
      <w:r w:rsidR="00841A04">
        <w:rPr>
          <w:sz w:val="28"/>
          <w:szCs w:val="28"/>
        </w:rPr>
        <w:t xml:space="preserve"> jurídica a la que acudió la Corte en el </w:t>
      </w:r>
      <w:r w:rsidRPr="004658BD">
        <w:rPr>
          <w:sz w:val="28"/>
          <w:szCs w:val="28"/>
        </w:rPr>
        <w:t>precedente jurisprudencial plasmado en la sentencia del 14 de marzo de 2018. SP732-2018. Rad. # 46.848.</w:t>
      </w:r>
    </w:p>
    <w:p w:rsidR="004658BD" w:rsidRPr="004658BD" w:rsidRDefault="004658BD" w:rsidP="004658BD">
      <w:pPr>
        <w:spacing w:after="0" w:line="276" w:lineRule="auto"/>
        <w:jc w:val="both"/>
        <w:rPr>
          <w:sz w:val="28"/>
          <w:szCs w:val="28"/>
        </w:rPr>
      </w:pPr>
    </w:p>
    <w:p w:rsidR="004658BD" w:rsidRPr="004658BD" w:rsidRDefault="004658BD" w:rsidP="004658BD">
      <w:pPr>
        <w:spacing w:after="0" w:line="276" w:lineRule="auto"/>
        <w:jc w:val="both"/>
        <w:rPr>
          <w:sz w:val="28"/>
          <w:szCs w:val="28"/>
        </w:rPr>
      </w:pPr>
      <w:r w:rsidRPr="004658BD">
        <w:rPr>
          <w:sz w:val="28"/>
          <w:szCs w:val="28"/>
        </w:rPr>
        <w:t xml:space="preserve">En suma, acorde con todo lo expuesto, la Sala procederá a declarar infundada la causal de la acción de revisión deprecada por el Procurador Judicial Penal que funge como libelista, y en consecuencia no accederá a las pretensiones del accionante en sentido de dejar sin valor el contenido de la sentencia proferida el </w:t>
      </w:r>
      <w:r w:rsidR="00841A04" w:rsidRPr="00841A04">
        <w:rPr>
          <w:sz w:val="28"/>
          <w:szCs w:val="28"/>
        </w:rPr>
        <w:t xml:space="preserve">29 de marzo del 2.016 por el Juzgado Único Promiscuo del </w:t>
      </w:r>
      <w:r w:rsidR="00841A04" w:rsidRPr="00841A04">
        <w:rPr>
          <w:sz w:val="28"/>
          <w:szCs w:val="28"/>
        </w:rPr>
        <w:lastRenderedPageBreak/>
        <w:t>Circuito de La Virginia, en la cual se declaró la respons</w:t>
      </w:r>
      <w:r w:rsidR="00055099">
        <w:rPr>
          <w:sz w:val="28"/>
          <w:szCs w:val="28"/>
        </w:rPr>
        <w:t>abilidad criminal del entonces procesado HAIVER ALEXÁ</w:t>
      </w:r>
      <w:r w:rsidR="00841A04" w:rsidRPr="00841A04">
        <w:rPr>
          <w:sz w:val="28"/>
          <w:szCs w:val="28"/>
        </w:rPr>
        <w:t xml:space="preserve">NDER VÉLEZ CARMONA, por incurrir en la comisión del delito </w:t>
      </w:r>
      <w:r w:rsidR="00841A04">
        <w:rPr>
          <w:sz w:val="28"/>
          <w:szCs w:val="28"/>
        </w:rPr>
        <w:t>de tráfico de estupefacientes.</w:t>
      </w:r>
      <w:r w:rsidRPr="004658BD">
        <w:rPr>
          <w:sz w:val="28"/>
          <w:szCs w:val="28"/>
        </w:rPr>
        <w:t xml:space="preserve">  </w:t>
      </w:r>
    </w:p>
    <w:p w:rsidR="004658BD" w:rsidRPr="004658BD" w:rsidRDefault="004658BD" w:rsidP="00A1254D">
      <w:pPr>
        <w:spacing w:after="0" w:line="480" w:lineRule="auto"/>
        <w:jc w:val="both"/>
        <w:rPr>
          <w:sz w:val="28"/>
          <w:szCs w:val="28"/>
        </w:rPr>
      </w:pPr>
    </w:p>
    <w:p w:rsidR="004658BD" w:rsidRPr="004658BD" w:rsidRDefault="004658BD" w:rsidP="004658BD">
      <w:pPr>
        <w:spacing w:after="0" w:line="276" w:lineRule="auto"/>
        <w:jc w:val="both"/>
        <w:rPr>
          <w:rFonts w:eastAsia="Times New Roman" w:cs="Times New Roman"/>
          <w:sz w:val="28"/>
          <w:szCs w:val="28"/>
          <w:lang w:eastAsia="es-ES"/>
        </w:rPr>
      </w:pPr>
      <w:r w:rsidRPr="004658BD">
        <w:rPr>
          <w:rFonts w:eastAsia="Times New Roman" w:cs="Times New Roman"/>
          <w:sz w:val="28"/>
          <w:szCs w:val="28"/>
          <w:lang w:eastAsia="es-ES"/>
        </w:rPr>
        <w:t>En mérito de todo lo antes expuesto, la Sala Penal de Decisión del Tribunal Superior del Distrito Judicial de Pereira, Administrando Justicia en nombre de la Republica y por Autoridad de la Ley,</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A1254D">
      <w:pPr>
        <w:tabs>
          <w:tab w:val="center" w:pos="4420"/>
          <w:tab w:val="left" w:pos="6094"/>
        </w:tabs>
        <w:spacing w:after="0" w:line="240" w:lineRule="auto"/>
        <w:rPr>
          <w:rFonts w:eastAsia="Adobe Gothic Std B" w:cs="Times New Roman"/>
          <w:b/>
          <w:sz w:val="28"/>
          <w:szCs w:val="28"/>
          <w:lang w:eastAsia="es-ES"/>
        </w:rPr>
      </w:pPr>
      <w:r w:rsidRPr="004658BD">
        <w:rPr>
          <w:rFonts w:eastAsia="Adobe Gothic Std B" w:cs="Times New Roman"/>
          <w:b/>
          <w:sz w:val="28"/>
          <w:szCs w:val="28"/>
          <w:lang w:eastAsia="es-ES"/>
        </w:rPr>
        <w:tab/>
        <w:t>RESUELVE:</w:t>
      </w:r>
      <w:r w:rsidRPr="004658BD">
        <w:rPr>
          <w:rFonts w:eastAsia="Adobe Gothic Std B" w:cs="Times New Roman"/>
          <w:b/>
          <w:sz w:val="28"/>
          <w:szCs w:val="28"/>
          <w:lang w:eastAsia="es-ES"/>
        </w:rPr>
        <w:tab/>
      </w:r>
    </w:p>
    <w:p w:rsidR="004658BD" w:rsidRPr="004658BD" w:rsidRDefault="004658BD" w:rsidP="00A1254D">
      <w:pPr>
        <w:spacing w:after="0" w:line="240" w:lineRule="auto"/>
        <w:jc w:val="both"/>
        <w:rPr>
          <w:rFonts w:eastAsia="Adobe Gothic Std B" w:cs="Times New Roman"/>
          <w:b/>
          <w:sz w:val="28"/>
          <w:szCs w:val="28"/>
          <w:lang w:eastAsia="es-ES"/>
        </w:rPr>
      </w:pPr>
    </w:p>
    <w:p w:rsidR="004658BD" w:rsidRPr="004658BD" w:rsidRDefault="004658BD" w:rsidP="004658BD">
      <w:pPr>
        <w:spacing w:after="0" w:line="276" w:lineRule="auto"/>
        <w:jc w:val="both"/>
        <w:rPr>
          <w:sz w:val="28"/>
          <w:szCs w:val="28"/>
        </w:rPr>
      </w:pPr>
      <w:r w:rsidRPr="004658BD">
        <w:rPr>
          <w:rFonts w:eastAsia="Adobe Gothic Std B"/>
          <w:b/>
          <w:sz w:val="28"/>
          <w:szCs w:val="28"/>
        </w:rPr>
        <w:t>PRIMERO:</w:t>
      </w:r>
      <w:r w:rsidRPr="004658BD">
        <w:rPr>
          <w:rFonts w:eastAsia="Adobe Gothic Std B"/>
          <w:sz w:val="28"/>
          <w:szCs w:val="28"/>
        </w:rPr>
        <w:t xml:space="preserve"> </w:t>
      </w:r>
      <w:r w:rsidR="00055099" w:rsidRPr="00055099">
        <w:rPr>
          <w:b/>
          <w:sz w:val="28"/>
          <w:szCs w:val="28"/>
        </w:rPr>
        <w:t>DECLARAR INFUNDADA</w:t>
      </w:r>
      <w:r w:rsidR="00055099" w:rsidRPr="004658BD">
        <w:rPr>
          <w:sz w:val="28"/>
          <w:szCs w:val="28"/>
        </w:rPr>
        <w:t xml:space="preserve"> </w:t>
      </w:r>
      <w:r w:rsidRPr="004658BD">
        <w:rPr>
          <w:sz w:val="28"/>
          <w:szCs w:val="28"/>
        </w:rPr>
        <w:t xml:space="preserve">la causal de la acción de revisión deprecada por el Procurador Judicial Penal que funge como libelista, </w:t>
      </w:r>
      <w:r w:rsidR="00055099">
        <w:rPr>
          <w:sz w:val="28"/>
          <w:szCs w:val="28"/>
        </w:rPr>
        <w:t>y en consecuencia no se accede</w:t>
      </w:r>
      <w:r w:rsidRPr="004658BD">
        <w:rPr>
          <w:sz w:val="28"/>
          <w:szCs w:val="28"/>
        </w:rPr>
        <w:t xml:space="preserve"> a las pretensiones del accionante en sentido de dejar sin valor el contenido de la sentencia el </w:t>
      </w:r>
      <w:r w:rsidR="0075043F" w:rsidRPr="0075043F">
        <w:rPr>
          <w:sz w:val="28"/>
          <w:szCs w:val="28"/>
        </w:rPr>
        <w:t>29 de marzo del 2.016 por el Juzgado Único Promiscuo del Circuito de La Virginia, en la cual se declaró la respons</w:t>
      </w:r>
      <w:r w:rsidR="00055099">
        <w:rPr>
          <w:sz w:val="28"/>
          <w:szCs w:val="28"/>
        </w:rPr>
        <w:t>abilidad criminal del entonces p</w:t>
      </w:r>
      <w:r w:rsidR="0075043F" w:rsidRPr="0075043F">
        <w:rPr>
          <w:sz w:val="28"/>
          <w:szCs w:val="28"/>
        </w:rPr>
        <w:t xml:space="preserve">rocesado </w:t>
      </w:r>
      <w:r w:rsidR="00055099">
        <w:rPr>
          <w:b/>
          <w:sz w:val="28"/>
          <w:szCs w:val="28"/>
        </w:rPr>
        <w:t>HAIVER ALEXÁ</w:t>
      </w:r>
      <w:r w:rsidR="0075043F" w:rsidRPr="00055099">
        <w:rPr>
          <w:b/>
          <w:sz w:val="28"/>
          <w:szCs w:val="28"/>
        </w:rPr>
        <w:t>NDER VÉLEZ CARMONA</w:t>
      </w:r>
      <w:r w:rsidR="0075043F" w:rsidRPr="0075043F">
        <w:rPr>
          <w:sz w:val="28"/>
          <w:szCs w:val="28"/>
        </w:rPr>
        <w:t xml:space="preserve">, por incurrir en la comisión del delito de tráfico de estupefacientes.  </w:t>
      </w:r>
      <w:r w:rsidRPr="004658BD">
        <w:rPr>
          <w:sz w:val="28"/>
          <w:szCs w:val="28"/>
        </w:rPr>
        <w:t xml:space="preserve">  </w:t>
      </w:r>
    </w:p>
    <w:p w:rsidR="004658BD" w:rsidRPr="004658BD" w:rsidRDefault="004658BD" w:rsidP="004658BD">
      <w:pPr>
        <w:spacing w:after="0" w:line="276" w:lineRule="auto"/>
        <w:jc w:val="both"/>
        <w:rPr>
          <w:rFonts w:eastAsia="Adobe Gothic Std B" w:cs="Times New Roman"/>
          <w:b/>
          <w:sz w:val="28"/>
          <w:szCs w:val="28"/>
          <w:lang w:eastAsia="es-ES"/>
        </w:rPr>
      </w:pPr>
    </w:p>
    <w:p w:rsidR="004658BD" w:rsidRPr="004658BD" w:rsidRDefault="004658BD" w:rsidP="004658BD">
      <w:pPr>
        <w:spacing w:after="0" w:line="276" w:lineRule="auto"/>
        <w:jc w:val="both"/>
        <w:rPr>
          <w:rFonts w:eastAsia="Adobe Gothic Std B" w:cs="Times New Roman"/>
          <w:sz w:val="28"/>
          <w:szCs w:val="28"/>
          <w:lang w:eastAsia="es-ES"/>
        </w:rPr>
      </w:pPr>
      <w:r w:rsidRPr="004658BD">
        <w:rPr>
          <w:rFonts w:eastAsia="Adobe Gothic Std B" w:cs="Times New Roman"/>
          <w:b/>
          <w:sz w:val="28"/>
          <w:szCs w:val="28"/>
          <w:lang w:eastAsia="es-ES"/>
        </w:rPr>
        <w:t xml:space="preserve">SEGUNDO: </w:t>
      </w:r>
      <w:r w:rsidRPr="004658BD">
        <w:rPr>
          <w:rFonts w:eastAsia="Adobe Gothic Std B" w:cs="Times New Roman"/>
          <w:sz w:val="28"/>
          <w:szCs w:val="28"/>
          <w:lang w:eastAsia="es-ES"/>
        </w:rPr>
        <w:t>Declarar que en contra la presente decisi</w:t>
      </w:r>
      <w:r w:rsidRPr="004658BD">
        <w:rPr>
          <w:rFonts w:eastAsia="Adobe Gothic Std B" w:cs="Tahoma"/>
          <w:sz w:val="28"/>
          <w:szCs w:val="28"/>
          <w:lang w:eastAsia="es-ES"/>
        </w:rPr>
        <w:t>ó</w:t>
      </w:r>
      <w:r w:rsidRPr="004658BD">
        <w:rPr>
          <w:rFonts w:eastAsia="Adobe Gothic Std B" w:cs="Times New Roman"/>
          <w:sz w:val="28"/>
          <w:szCs w:val="28"/>
          <w:lang w:eastAsia="es-ES"/>
        </w:rPr>
        <w:t>n, por tratarse de un fallo de única instancia, no procede recurso alguno.</w:t>
      </w:r>
    </w:p>
    <w:p w:rsidR="004658BD" w:rsidRPr="004658BD" w:rsidRDefault="004658BD" w:rsidP="004658BD">
      <w:pPr>
        <w:spacing w:after="0" w:line="276" w:lineRule="auto"/>
        <w:jc w:val="both"/>
        <w:rPr>
          <w:rFonts w:eastAsia="Adobe Gothic Std B" w:cs="Times New Roman"/>
          <w:sz w:val="28"/>
          <w:szCs w:val="28"/>
          <w:lang w:eastAsia="es-ES"/>
        </w:rPr>
      </w:pPr>
    </w:p>
    <w:p w:rsidR="004658BD" w:rsidRPr="004658BD" w:rsidRDefault="004658BD" w:rsidP="004658BD">
      <w:pPr>
        <w:spacing w:after="0" w:line="276"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NOTIF</w:t>
      </w:r>
      <w:r w:rsidRPr="004658BD">
        <w:rPr>
          <w:rFonts w:eastAsia="Adobe Gothic Std B" w:cs="Tahoma"/>
          <w:b/>
          <w:sz w:val="28"/>
          <w:szCs w:val="28"/>
          <w:lang w:eastAsia="es-ES"/>
        </w:rPr>
        <w:t>Í</w:t>
      </w:r>
      <w:r w:rsidRPr="004658BD">
        <w:rPr>
          <w:rFonts w:eastAsia="Adobe Gothic Std B" w:cs="Times New Roman"/>
          <w:b/>
          <w:sz w:val="28"/>
          <w:szCs w:val="28"/>
          <w:lang w:eastAsia="es-ES"/>
        </w:rPr>
        <w:t>QUESE Y C</w:t>
      </w:r>
      <w:r w:rsidRPr="004658BD">
        <w:rPr>
          <w:rFonts w:eastAsia="Adobe Gothic Std B" w:cs="Tahoma"/>
          <w:b/>
          <w:sz w:val="28"/>
          <w:szCs w:val="28"/>
          <w:lang w:eastAsia="es-ES"/>
        </w:rPr>
        <w:t>Ú</w:t>
      </w:r>
      <w:r w:rsidRPr="004658BD">
        <w:rPr>
          <w:rFonts w:eastAsia="Adobe Gothic Std B" w:cs="Times New Roman"/>
          <w:b/>
          <w:sz w:val="28"/>
          <w:szCs w:val="28"/>
          <w:lang w:eastAsia="es-ES"/>
        </w:rPr>
        <w:t>MPLASE:</w:t>
      </w:r>
    </w:p>
    <w:p w:rsidR="004658BD" w:rsidRPr="004658BD" w:rsidRDefault="004658BD" w:rsidP="004658BD">
      <w:pPr>
        <w:spacing w:after="0" w:line="276" w:lineRule="auto"/>
        <w:jc w:val="center"/>
        <w:rPr>
          <w:rFonts w:eastAsia="Adobe Gothic Std B" w:cs="Times New Roman"/>
          <w:sz w:val="28"/>
          <w:szCs w:val="28"/>
          <w:lang w:eastAsia="es-ES"/>
        </w:rPr>
      </w:pPr>
    </w:p>
    <w:p w:rsidR="004658BD" w:rsidRPr="004658BD" w:rsidRDefault="004658BD" w:rsidP="004658BD">
      <w:pPr>
        <w:spacing w:after="0" w:line="276" w:lineRule="auto"/>
        <w:jc w:val="center"/>
        <w:rPr>
          <w:rFonts w:eastAsia="Adobe Gothic Std B" w:cs="Times New Roman"/>
          <w:sz w:val="28"/>
          <w:szCs w:val="28"/>
          <w:lang w:eastAsia="es-ES"/>
        </w:rPr>
      </w:pPr>
    </w:p>
    <w:p w:rsidR="004658BD" w:rsidRDefault="004658BD" w:rsidP="00A1254D">
      <w:pPr>
        <w:spacing w:after="0" w:line="276" w:lineRule="auto"/>
        <w:rPr>
          <w:rFonts w:eastAsia="Adobe Gothic Std B" w:cs="Times New Roman"/>
          <w:b/>
          <w:sz w:val="28"/>
          <w:szCs w:val="28"/>
          <w:lang w:eastAsia="es-ES"/>
        </w:rPr>
      </w:pPr>
    </w:p>
    <w:p w:rsidR="00A01778" w:rsidRPr="004658BD" w:rsidRDefault="00A01778" w:rsidP="004658BD">
      <w:pPr>
        <w:spacing w:after="0" w:line="276" w:lineRule="auto"/>
        <w:jc w:val="center"/>
        <w:rPr>
          <w:rFonts w:eastAsia="Adobe Gothic Std B" w:cs="Times New Roman"/>
          <w:b/>
          <w:sz w:val="28"/>
          <w:szCs w:val="28"/>
          <w:lang w:eastAsia="es-ES"/>
        </w:rPr>
      </w:pPr>
    </w:p>
    <w:p w:rsidR="004658BD" w:rsidRPr="004658BD" w:rsidRDefault="004658BD" w:rsidP="004658BD">
      <w:pPr>
        <w:spacing w:after="0" w:line="276" w:lineRule="auto"/>
        <w:jc w:val="center"/>
        <w:rPr>
          <w:rFonts w:eastAsia="Adobe Gothic Std B" w:cs="Times New Roman"/>
          <w:b/>
          <w:sz w:val="28"/>
          <w:szCs w:val="28"/>
          <w:lang w:eastAsia="es-ES"/>
        </w:rPr>
      </w:pPr>
    </w:p>
    <w:p w:rsidR="004658BD" w:rsidRPr="004658BD" w:rsidRDefault="004658BD" w:rsidP="00A1254D">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MANUEL YARZAGARAY BANDERA</w:t>
      </w:r>
    </w:p>
    <w:p w:rsidR="004658BD" w:rsidRPr="004658BD" w:rsidRDefault="004658BD" w:rsidP="00A1254D">
      <w:pPr>
        <w:spacing w:after="0" w:line="240" w:lineRule="auto"/>
        <w:jc w:val="center"/>
        <w:rPr>
          <w:rFonts w:eastAsia="Adobe Gothic Std B" w:cs="Times New Roman"/>
          <w:sz w:val="28"/>
          <w:szCs w:val="28"/>
          <w:lang w:eastAsia="es-ES"/>
        </w:rPr>
      </w:pPr>
      <w:r w:rsidRPr="004658BD">
        <w:rPr>
          <w:rFonts w:eastAsia="Adobe Gothic Std B" w:cs="Times New Roman"/>
          <w:sz w:val="28"/>
          <w:szCs w:val="28"/>
          <w:lang w:eastAsia="es-ES"/>
        </w:rPr>
        <w:t>Magistrado</w:t>
      </w:r>
    </w:p>
    <w:p w:rsidR="004658BD" w:rsidRPr="004658BD" w:rsidRDefault="004658BD" w:rsidP="004658BD">
      <w:pPr>
        <w:spacing w:after="0" w:line="276" w:lineRule="auto"/>
        <w:jc w:val="center"/>
        <w:rPr>
          <w:rFonts w:eastAsia="Adobe Gothic Std B" w:cs="Times New Roman"/>
          <w:sz w:val="28"/>
          <w:szCs w:val="28"/>
          <w:lang w:eastAsia="es-ES"/>
        </w:rPr>
      </w:pPr>
    </w:p>
    <w:p w:rsidR="004658BD" w:rsidRPr="004658BD" w:rsidRDefault="004658BD" w:rsidP="004658BD">
      <w:pPr>
        <w:spacing w:after="0" w:line="276" w:lineRule="auto"/>
        <w:jc w:val="center"/>
        <w:rPr>
          <w:rFonts w:eastAsia="Adobe Gothic Std B" w:cs="Times New Roman"/>
          <w:sz w:val="28"/>
          <w:szCs w:val="28"/>
          <w:lang w:eastAsia="es-ES"/>
        </w:rPr>
      </w:pPr>
    </w:p>
    <w:p w:rsidR="004658BD" w:rsidRDefault="004658BD" w:rsidP="004658BD">
      <w:pPr>
        <w:spacing w:after="0" w:line="276" w:lineRule="auto"/>
        <w:jc w:val="center"/>
        <w:rPr>
          <w:rFonts w:eastAsia="Adobe Gothic Std B" w:cs="Times New Roman"/>
          <w:sz w:val="28"/>
          <w:szCs w:val="28"/>
          <w:lang w:eastAsia="es-ES"/>
        </w:rPr>
      </w:pPr>
    </w:p>
    <w:p w:rsidR="00A1254D" w:rsidRDefault="00A1254D" w:rsidP="004658BD">
      <w:pPr>
        <w:spacing w:after="0" w:line="276" w:lineRule="auto"/>
        <w:jc w:val="center"/>
        <w:rPr>
          <w:rFonts w:eastAsia="Adobe Gothic Std B" w:cs="Times New Roman"/>
          <w:sz w:val="28"/>
          <w:szCs w:val="28"/>
          <w:lang w:eastAsia="es-ES"/>
        </w:rPr>
      </w:pPr>
    </w:p>
    <w:p w:rsidR="00A01778" w:rsidRDefault="00A01778" w:rsidP="00A1254D">
      <w:pPr>
        <w:spacing w:after="0" w:line="276" w:lineRule="auto"/>
        <w:jc w:val="center"/>
        <w:rPr>
          <w:rFonts w:eastAsia="Adobe Gothic Std B" w:cs="Times New Roman"/>
          <w:sz w:val="28"/>
          <w:szCs w:val="28"/>
          <w:lang w:eastAsia="es-ES"/>
        </w:rPr>
      </w:pPr>
    </w:p>
    <w:p w:rsidR="004658BD" w:rsidRDefault="004658BD" w:rsidP="00A1254D">
      <w:pPr>
        <w:spacing w:after="0" w:line="276" w:lineRule="auto"/>
        <w:rPr>
          <w:rFonts w:eastAsia="Adobe Gothic Std B" w:cs="Times New Roman"/>
          <w:sz w:val="28"/>
          <w:szCs w:val="28"/>
          <w:lang w:eastAsia="es-ES"/>
        </w:rPr>
      </w:pPr>
    </w:p>
    <w:p w:rsidR="004658BD" w:rsidRPr="004658BD" w:rsidRDefault="004658BD" w:rsidP="00A1254D">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JORGE ARTURO CASTA</w:t>
      </w:r>
      <w:r w:rsidRPr="004658BD">
        <w:rPr>
          <w:rFonts w:eastAsia="Adobe Gothic Std B" w:cs="Tahoma"/>
          <w:b/>
          <w:sz w:val="28"/>
          <w:szCs w:val="28"/>
          <w:lang w:eastAsia="es-ES"/>
        </w:rPr>
        <w:t>Ñ</w:t>
      </w:r>
      <w:r w:rsidRPr="004658BD">
        <w:rPr>
          <w:rFonts w:eastAsia="Adobe Gothic Std B" w:cs="Times New Roman"/>
          <w:b/>
          <w:sz w:val="28"/>
          <w:szCs w:val="28"/>
          <w:lang w:eastAsia="es-ES"/>
        </w:rPr>
        <w:t>O DUQUE</w:t>
      </w:r>
    </w:p>
    <w:p w:rsidR="004658BD" w:rsidRPr="004658BD" w:rsidRDefault="004658BD" w:rsidP="00A1254D">
      <w:pPr>
        <w:spacing w:after="0" w:line="240" w:lineRule="auto"/>
        <w:jc w:val="center"/>
        <w:rPr>
          <w:rFonts w:eastAsia="Adobe Gothic Std B" w:cs="Times New Roman"/>
          <w:sz w:val="28"/>
          <w:szCs w:val="28"/>
          <w:lang w:eastAsia="es-ES"/>
        </w:rPr>
      </w:pPr>
      <w:r w:rsidRPr="004658BD">
        <w:rPr>
          <w:rFonts w:eastAsia="Adobe Gothic Std B" w:cs="Times New Roman"/>
          <w:sz w:val="28"/>
          <w:szCs w:val="28"/>
          <w:lang w:eastAsia="es-ES"/>
        </w:rPr>
        <w:t>Magistrado</w:t>
      </w:r>
    </w:p>
    <w:p w:rsidR="004658BD" w:rsidRPr="004658BD" w:rsidRDefault="004658BD" w:rsidP="00A1254D">
      <w:pPr>
        <w:spacing w:after="0" w:line="276" w:lineRule="auto"/>
        <w:jc w:val="center"/>
        <w:rPr>
          <w:rFonts w:eastAsia="Adobe Gothic Std B" w:cs="Times New Roman"/>
          <w:sz w:val="28"/>
          <w:szCs w:val="28"/>
          <w:lang w:eastAsia="es-ES"/>
        </w:rPr>
      </w:pPr>
    </w:p>
    <w:p w:rsidR="004658BD" w:rsidRPr="004658BD" w:rsidRDefault="004658BD" w:rsidP="00A1254D">
      <w:pPr>
        <w:spacing w:after="0" w:line="276" w:lineRule="auto"/>
        <w:jc w:val="center"/>
        <w:rPr>
          <w:rFonts w:eastAsia="Adobe Gothic Std B" w:cs="Times New Roman"/>
          <w:sz w:val="28"/>
          <w:szCs w:val="28"/>
          <w:lang w:eastAsia="es-ES"/>
        </w:rPr>
      </w:pPr>
    </w:p>
    <w:p w:rsidR="004658BD" w:rsidRDefault="004658BD" w:rsidP="00A1254D">
      <w:pPr>
        <w:spacing w:after="0" w:line="276" w:lineRule="auto"/>
        <w:jc w:val="center"/>
        <w:rPr>
          <w:rFonts w:eastAsia="Adobe Gothic Std B" w:cs="Times New Roman"/>
          <w:sz w:val="28"/>
          <w:szCs w:val="28"/>
          <w:lang w:eastAsia="es-ES"/>
        </w:rPr>
      </w:pPr>
    </w:p>
    <w:p w:rsidR="00A01778" w:rsidRDefault="00A01778" w:rsidP="00A1254D">
      <w:pPr>
        <w:spacing w:after="0" w:line="276" w:lineRule="auto"/>
        <w:jc w:val="center"/>
        <w:rPr>
          <w:rFonts w:eastAsia="Adobe Gothic Std B" w:cs="Times New Roman"/>
          <w:sz w:val="28"/>
          <w:szCs w:val="28"/>
          <w:lang w:eastAsia="es-ES"/>
        </w:rPr>
      </w:pPr>
    </w:p>
    <w:p w:rsidR="00A1254D" w:rsidRDefault="00A1254D" w:rsidP="00A1254D">
      <w:pPr>
        <w:spacing w:after="0" w:line="276" w:lineRule="auto"/>
        <w:jc w:val="center"/>
        <w:rPr>
          <w:rFonts w:eastAsia="Adobe Gothic Std B" w:cs="Times New Roman"/>
          <w:sz w:val="28"/>
          <w:szCs w:val="28"/>
          <w:lang w:eastAsia="es-ES"/>
        </w:rPr>
      </w:pPr>
    </w:p>
    <w:p w:rsidR="00A01778" w:rsidRPr="004658BD" w:rsidRDefault="00A01778" w:rsidP="00A1254D">
      <w:pPr>
        <w:spacing w:after="0" w:line="240" w:lineRule="auto"/>
        <w:jc w:val="center"/>
        <w:rPr>
          <w:rFonts w:eastAsia="Adobe Gothic Std B" w:cs="Times New Roman"/>
          <w:sz w:val="28"/>
          <w:szCs w:val="28"/>
          <w:lang w:eastAsia="es-ES"/>
        </w:rPr>
      </w:pPr>
    </w:p>
    <w:p w:rsidR="004658BD" w:rsidRPr="004658BD" w:rsidRDefault="004658BD" w:rsidP="00A1254D">
      <w:pPr>
        <w:spacing w:after="0" w:line="240" w:lineRule="auto"/>
        <w:jc w:val="center"/>
        <w:rPr>
          <w:rFonts w:eastAsia="Adobe Gothic Std B" w:cs="Times New Roman"/>
          <w:b/>
          <w:sz w:val="28"/>
          <w:szCs w:val="28"/>
          <w:lang w:eastAsia="es-ES"/>
        </w:rPr>
      </w:pPr>
      <w:r w:rsidRPr="004658BD">
        <w:rPr>
          <w:rFonts w:eastAsia="Adobe Gothic Std B" w:cs="Times New Roman"/>
          <w:b/>
          <w:sz w:val="28"/>
          <w:szCs w:val="28"/>
          <w:lang w:eastAsia="es-ES"/>
        </w:rPr>
        <w:t>JAIRO ERNESTO ESCOBAR SANZ</w:t>
      </w:r>
    </w:p>
    <w:p w:rsidR="004658BD" w:rsidRPr="004658BD" w:rsidRDefault="004658BD" w:rsidP="00A1254D">
      <w:pPr>
        <w:spacing w:after="0" w:line="240" w:lineRule="auto"/>
        <w:jc w:val="center"/>
        <w:rPr>
          <w:sz w:val="28"/>
          <w:szCs w:val="28"/>
        </w:rPr>
      </w:pPr>
      <w:r w:rsidRPr="004658BD">
        <w:rPr>
          <w:rFonts w:eastAsia="Adobe Gothic Std B" w:cs="Times New Roman"/>
          <w:sz w:val="28"/>
          <w:szCs w:val="28"/>
          <w:lang w:eastAsia="es-ES"/>
        </w:rPr>
        <w:t>Magistrado</w:t>
      </w:r>
    </w:p>
    <w:p w:rsidR="005A504F" w:rsidRDefault="005A504F" w:rsidP="00A1254D">
      <w:pPr>
        <w:jc w:val="center"/>
      </w:pPr>
    </w:p>
    <w:sectPr w:rsidR="005A504F" w:rsidSect="00A01778">
      <w:headerReference w:type="default" r:id="rId8"/>
      <w:footerReference w:type="default" r:id="rId9"/>
      <w:pgSz w:w="12242" w:h="18722" w:code="14"/>
      <w:pgMar w:top="1588" w:right="1701" w:bottom="1588"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AA" w:rsidRDefault="00705FAA" w:rsidP="004658BD">
      <w:pPr>
        <w:spacing w:after="0" w:line="240" w:lineRule="auto"/>
      </w:pPr>
      <w:r>
        <w:separator/>
      </w:r>
    </w:p>
  </w:endnote>
  <w:endnote w:type="continuationSeparator" w:id="0">
    <w:p w:rsidR="00705FAA" w:rsidRDefault="00705FAA" w:rsidP="0046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5B" w:rsidRPr="00911866" w:rsidRDefault="0099105B">
    <w:pPr>
      <w:pStyle w:val="Piedepgina"/>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BA3268">
      <w:rPr>
        <w:rFonts w:ascii="Microsoft Sans Serif" w:eastAsia="Adobe Gothic Std B" w:hAnsi="Microsoft Sans Serif" w:cs="Microsoft Sans Serif"/>
        <w:bCs/>
        <w:noProof/>
        <w:sz w:val="20"/>
        <w:szCs w:val="20"/>
      </w:rPr>
      <w:t>21</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BA3268">
      <w:rPr>
        <w:rFonts w:ascii="Microsoft Sans Serif" w:eastAsia="Adobe Gothic Std B" w:hAnsi="Microsoft Sans Serif" w:cs="Microsoft Sans Serif"/>
        <w:bCs/>
        <w:noProof/>
        <w:sz w:val="20"/>
        <w:szCs w:val="20"/>
      </w:rPr>
      <w:t>31</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AA" w:rsidRDefault="00705FAA" w:rsidP="004658BD">
      <w:pPr>
        <w:spacing w:after="0" w:line="240" w:lineRule="auto"/>
      </w:pPr>
      <w:r>
        <w:separator/>
      </w:r>
    </w:p>
  </w:footnote>
  <w:footnote w:type="continuationSeparator" w:id="0">
    <w:p w:rsidR="00705FAA" w:rsidRDefault="00705FAA" w:rsidP="004658BD">
      <w:pPr>
        <w:spacing w:after="0" w:line="240" w:lineRule="auto"/>
      </w:pPr>
      <w:r>
        <w:continuationSeparator/>
      </w:r>
    </w:p>
  </w:footnote>
  <w:footnote w:id="1">
    <w:p w:rsidR="0099105B" w:rsidRPr="00B36912" w:rsidRDefault="0099105B" w:rsidP="007353B0">
      <w:pPr>
        <w:pStyle w:val="Textonotapie"/>
        <w:jc w:val="both"/>
        <w:rPr>
          <w:rFonts w:asciiTheme="majorHAnsi" w:hAnsiTheme="majorHAnsi" w:cstheme="majorHAnsi"/>
          <w:szCs w:val="22"/>
        </w:rPr>
      </w:pPr>
      <w:r w:rsidRPr="00B36912">
        <w:rPr>
          <w:rStyle w:val="Refdenotaalpie"/>
          <w:rFonts w:asciiTheme="majorHAnsi" w:hAnsiTheme="majorHAnsi" w:cstheme="majorHAnsi"/>
          <w:szCs w:val="22"/>
        </w:rPr>
        <w:footnoteRef/>
      </w:r>
      <w:r w:rsidRPr="00B36912">
        <w:rPr>
          <w:rFonts w:asciiTheme="majorHAnsi" w:hAnsiTheme="majorHAnsi" w:cstheme="majorHAnsi"/>
          <w:szCs w:val="22"/>
        </w:rPr>
        <w:t xml:space="preserve"> Vista publica a la cual no compareció el procesado, quien no pudo ser notificado en el sitio que reportó como su domicilio </w:t>
      </w:r>
      <w:r w:rsidR="007353B0" w:rsidRPr="00B36912">
        <w:rPr>
          <w:rFonts w:asciiTheme="majorHAnsi" w:hAnsiTheme="majorHAnsi" w:cstheme="majorHAnsi"/>
          <w:szCs w:val="22"/>
        </w:rPr>
        <w:t xml:space="preserve">ya que </w:t>
      </w:r>
      <w:r w:rsidRPr="00B36912">
        <w:rPr>
          <w:rFonts w:asciiTheme="majorHAnsi" w:hAnsiTheme="majorHAnsi" w:cstheme="majorHAnsi"/>
          <w:szCs w:val="22"/>
        </w:rPr>
        <w:t xml:space="preserve">se acreditó que no residía en dicho lugar. </w:t>
      </w:r>
    </w:p>
  </w:footnote>
  <w:footnote w:id="2">
    <w:p w:rsidR="0099105B" w:rsidRPr="005026DC" w:rsidRDefault="0099105B" w:rsidP="007353B0">
      <w:pPr>
        <w:pStyle w:val="Sinespaciado"/>
        <w:jc w:val="both"/>
        <w:rPr>
          <w:rFonts w:asciiTheme="majorHAnsi" w:hAnsiTheme="majorHAnsi" w:cstheme="majorHAnsi"/>
          <w:sz w:val="20"/>
        </w:rPr>
      </w:pPr>
      <w:r w:rsidRPr="005026DC">
        <w:rPr>
          <w:rStyle w:val="Refdenotaalpie"/>
          <w:rFonts w:asciiTheme="majorHAnsi" w:hAnsiTheme="majorHAnsi" w:cstheme="majorHAnsi"/>
          <w:sz w:val="20"/>
        </w:rPr>
        <w:footnoteRef/>
      </w:r>
      <w:r w:rsidRPr="005026DC">
        <w:rPr>
          <w:rFonts w:asciiTheme="majorHAnsi" w:hAnsiTheme="majorHAnsi" w:cstheme="majorHAnsi"/>
          <w:sz w:val="20"/>
        </w:rPr>
        <w:t xml:space="preserve"> Es de anotar que en esa vista pública, por economía procesal, se concentraron otras 7 acciones de revisión deprecadas por el accionante, las cuales eran afines y análogas tanto en sus pretensiones como en sus premisas fácticas y jurídicas.</w:t>
      </w:r>
    </w:p>
  </w:footnote>
  <w:footnote w:id="3">
    <w:p w:rsidR="007353B0" w:rsidRPr="005026DC" w:rsidRDefault="007353B0" w:rsidP="007353B0">
      <w:pPr>
        <w:pStyle w:val="Textonotapie"/>
        <w:jc w:val="both"/>
        <w:rPr>
          <w:rFonts w:asciiTheme="majorHAnsi" w:hAnsiTheme="majorHAnsi" w:cstheme="majorHAnsi"/>
          <w:szCs w:val="22"/>
        </w:rPr>
      </w:pPr>
      <w:r w:rsidRPr="005026DC">
        <w:rPr>
          <w:rStyle w:val="Refdenotaalpie"/>
          <w:rFonts w:asciiTheme="majorHAnsi" w:hAnsiTheme="majorHAnsi" w:cstheme="majorHAnsi"/>
          <w:szCs w:val="22"/>
        </w:rPr>
        <w:footnoteRef/>
      </w:r>
      <w:r w:rsidRPr="005026DC">
        <w:rPr>
          <w:rFonts w:asciiTheme="majorHAnsi" w:hAnsiTheme="majorHAnsi" w:cstheme="majorHAnsi"/>
          <w:szCs w:val="22"/>
        </w:rPr>
        <w:t xml:space="preserve"> </w:t>
      </w:r>
      <w:r w:rsidR="00F66F14" w:rsidRPr="005026DC">
        <w:rPr>
          <w:rFonts w:asciiTheme="majorHAnsi" w:hAnsiTheme="majorHAnsi" w:cstheme="majorHAnsi"/>
          <w:szCs w:val="22"/>
        </w:rPr>
        <w:t xml:space="preserve">De quien se puede decir que actuó prácticamente a </w:t>
      </w:r>
      <w:r w:rsidRPr="005026DC">
        <w:rPr>
          <w:rFonts w:asciiTheme="majorHAnsi" w:hAnsiTheme="majorHAnsi" w:cstheme="majorHAnsi"/>
          <w:szCs w:val="22"/>
        </w:rPr>
        <w:t xml:space="preserve">regañadientes, </w:t>
      </w:r>
      <w:r w:rsidR="00F66F14" w:rsidRPr="005026DC">
        <w:rPr>
          <w:rFonts w:asciiTheme="majorHAnsi" w:hAnsiTheme="majorHAnsi" w:cstheme="majorHAnsi"/>
          <w:szCs w:val="22"/>
        </w:rPr>
        <w:t>debido a</w:t>
      </w:r>
      <w:r w:rsidRPr="005026DC">
        <w:rPr>
          <w:rFonts w:asciiTheme="majorHAnsi" w:hAnsiTheme="majorHAnsi" w:cstheme="majorHAnsi"/>
          <w:szCs w:val="22"/>
        </w:rPr>
        <w:t xml:space="preserve"> dicho </w:t>
      </w:r>
      <w:r w:rsidR="00F66F14" w:rsidRPr="005026DC">
        <w:rPr>
          <w:rFonts w:asciiTheme="majorHAnsi" w:hAnsiTheme="majorHAnsi" w:cstheme="majorHAnsi"/>
          <w:szCs w:val="22"/>
        </w:rPr>
        <w:t xml:space="preserve">Togado </w:t>
      </w:r>
      <w:r w:rsidRPr="005026DC">
        <w:rPr>
          <w:rFonts w:asciiTheme="majorHAnsi" w:hAnsiTheme="majorHAnsi" w:cstheme="majorHAnsi"/>
          <w:szCs w:val="22"/>
        </w:rPr>
        <w:t xml:space="preserve">consideraba que no tenía la representación jurídica del reo, pese a que para tales fines, como consecuencia de su condición de Defensor Público, había sido designado por la Defensoría del Pueblo. </w:t>
      </w:r>
    </w:p>
  </w:footnote>
  <w:footnote w:id="4">
    <w:p w:rsidR="0099105B" w:rsidRPr="007D43CB" w:rsidRDefault="0099105B" w:rsidP="007353B0">
      <w:pPr>
        <w:pStyle w:val="Sinespaciado"/>
        <w:jc w:val="both"/>
        <w:rPr>
          <w:rFonts w:asciiTheme="majorHAnsi" w:hAnsiTheme="majorHAnsi" w:cstheme="majorHAnsi"/>
          <w:sz w:val="20"/>
        </w:rPr>
      </w:pPr>
      <w:r w:rsidRPr="007D43CB">
        <w:rPr>
          <w:rStyle w:val="Refdenotaalpie"/>
          <w:rFonts w:asciiTheme="majorHAnsi" w:hAnsiTheme="majorHAnsi" w:cstheme="majorHAnsi"/>
          <w:sz w:val="20"/>
        </w:rPr>
        <w:footnoteRef/>
      </w:r>
      <w:r w:rsidRPr="007D43CB">
        <w:rPr>
          <w:rFonts w:asciiTheme="majorHAnsi" w:hAnsiTheme="majorHAnsi" w:cstheme="majorHAnsi"/>
          <w:sz w:val="20"/>
        </w:rPr>
        <w:t xml:space="preserve"> Corte Suprema de Justicia, Sala de Casación Penal: Providencia del 26 de febrero de 2014. AP879-2014. Rad. # 42041.</w:t>
      </w:r>
    </w:p>
  </w:footnote>
  <w:footnote w:id="5">
    <w:p w:rsidR="0099105B" w:rsidRPr="007D43CB" w:rsidRDefault="0099105B" w:rsidP="007353B0">
      <w:pPr>
        <w:pStyle w:val="Sinespaciado"/>
        <w:jc w:val="both"/>
        <w:rPr>
          <w:rFonts w:asciiTheme="majorHAnsi" w:hAnsiTheme="majorHAnsi" w:cstheme="majorHAnsi"/>
          <w:sz w:val="20"/>
        </w:rPr>
      </w:pPr>
      <w:r w:rsidRPr="007D43CB">
        <w:rPr>
          <w:rStyle w:val="Refdenotaalpie"/>
          <w:rFonts w:asciiTheme="majorHAnsi" w:hAnsiTheme="majorHAnsi" w:cstheme="majorHAnsi"/>
          <w:sz w:val="20"/>
        </w:rPr>
        <w:footnoteRef/>
      </w:r>
      <w:r w:rsidRPr="007D43CB">
        <w:rPr>
          <w:rFonts w:asciiTheme="majorHAnsi" w:hAnsiTheme="majorHAnsi" w:cstheme="majorHAnsi"/>
          <w:sz w:val="20"/>
        </w:rPr>
        <w:t xml:space="preserve"> Lo que en el derecho anglosajón se conoce como </w:t>
      </w:r>
      <w:r w:rsidRPr="007D43CB">
        <w:rPr>
          <w:rFonts w:asciiTheme="majorHAnsi" w:hAnsiTheme="majorHAnsi" w:cstheme="majorHAnsi"/>
          <w:i/>
          <w:sz w:val="20"/>
        </w:rPr>
        <w:t>OVERRULING</w:t>
      </w:r>
      <w:r w:rsidRPr="007D43CB">
        <w:rPr>
          <w:rFonts w:asciiTheme="majorHAnsi" w:hAnsiTheme="majorHAnsi" w:cstheme="majorHAnsi"/>
          <w:sz w:val="20"/>
        </w:rPr>
        <w:t>.</w:t>
      </w:r>
    </w:p>
  </w:footnote>
  <w:footnote w:id="6">
    <w:p w:rsidR="0099105B" w:rsidRPr="001C32D3" w:rsidRDefault="0099105B" w:rsidP="007353B0">
      <w:pPr>
        <w:pStyle w:val="Sinespaciado"/>
        <w:jc w:val="both"/>
        <w:rPr>
          <w:rFonts w:asciiTheme="majorHAnsi" w:hAnsiTheme="majorHAnsi" w:cstheme="majorHAnsi"/>
          <w:sz w:val="20"/>
        </w:rPr>
      </w:pPr>
      <w:r w:rsidRPr="001C32D3">
        <w:rPr>
          <w:rStyle w:val="Refdenotaalpie"/>
          <w:rFonts w:asciiTheme="majorHAnsi" w:hAnsiTheme="majorHAnsi" w:cstheme="majorHAnsi"/>
          <w:sz w:val="20"/>
        </w:rPr>
        <w:footnoteRef/>
      </w:r>
      <w:r w:rsidRPr="001C32D3">
        <w:rPr>
          <w:rFonts w:asciiTheme="majorHAnsi" w:hAnsiTheme="majorHAnsi" w:cstheme="majorHAnsi"/>
          <w:sz w:val="20"/>
        </w:rPr>
        <w:t xml:space="preserve"> El cual modificó el artículo 49 de la Carta. </w:t>
      </w:r>
    </w:p>
  </w:footnote>
  <w:footnote w:id="7">
    <w:p w:rsidR="0099105B" w:rsidRPr="001C32D3" w:rsidRDefault="0099105B" w:rsidP="007353B0">
      <w:pPr>
        <w:pStyle w:val="Sinespaciado"/>
        <w:jc w:val="both"/>
        <w:rPr>
          <w:rFonts w:asciiTheme="majorHAnsi" w:hAnsiTheme="majorHAnsi" w:cstheme="majorHAnsi"/>
          <w:sz w:val="20"/>
        </w:rPr>
      </w:pPr>
      <w:r w:rsidRPr="001C32D3">
        <w:rPr>
          <w:rStyle w:val="Refdenotaalpie"/>
          <w:rFonts w:asciiTheme="majorHAnsi" w:hAnsiTheme="majorHAnsi" w:cstheme="majorHAnsi"/>
          <w:sz w:val="20"/>
        </w:rPr>
        <w:footnoteRef/>
      </w:r>
      <w:r w:rsidRPr="001C32D3">
        <w:rPr>
          <w:rFonts w:asciiTheme="majorHAnsi" w:hAnsiTheme="majorHAnsi" w:cstheme="majorHAnsi"/>
          <w:sz w:val="20"/>
        </w:rPr>
        <w:t xml:space="preserve"> Es de anotar que la nueva línea jurisprudencial trazada a partir de la sentencia hito adiada 9 de marzo de 2016, Rad. # 41760. SP2940-2016, ha sido ratificada y reiterado en otros fallos posteriores, entre los cuales se encuentran: La sentencia del 15 de marzo de 2017. SP3605-2017. Rad. # 43725;  la sentencia del 28 de febrero de 2018. SP497-2018. Rad. # 50512, y la sentencia del 14 de marzo de 2018. SP732-2018. Rad. # 46.848.  </w:t>
      </w:r>
    </w:p>
  </w:footnote>
  <w:footnote w:id="8">
    <w:p w:rsidR="0099105B" w:rsidRPr="001C32D3" w:rsidRDefault="0099105B" w:rsidP="007353B0">
      <w:pPr>
        <w:pStyle w:val="Sinespaciado"/>
        <w:jc w:val="both"/>
        <w:rPr>
          <w:rFonts w:asciiTheme="majorHAnsi" w:hAnsiTheme="majorHAnsi" w:cstheme="majorHAnsi"/>
          <w:sz w:val="20"/>
        </w:rPr>
      </w:pPr>
      <w:r w:rsidRPr="001C32D3">
        <w:rPr>
          <w:rStyle w:val="Refdenotaalpie"/>
          <w:rFonts w:asciiTheme="majorHAnsi" w:hAnsiTheme="majorHAnsi" w:cstheme="majorHAnsi"/>
          <w:sz w:val="20"/>
        </w:rPr>
        <w:footnoteRef/>
      </w:r>
      <w:r w:rsidRPr="001C32D3">
        <w:rPr>
          <w:rFonts w:asciiTheme="majorHAnsi" w:hAnsiTheme="majorHAnsi" w:cstheme="majorHAnsi"/>
          <w:sz w:val="20"/>
        </w:rPr>
        <w:t xml:space="preserve"> Corte Suprema de Justicia, Sala de Casación Penal: Sentencia del nueve (09) de marzo de 2.016. Rad. # 41760. SP2940-2016. M.P. EUGENIO FERNÁNDEZ CARLIER.</w:t>
      </w:r>
    </w:p>
  </w:footnote>
  <w:footnote w:id="9">
    <w:p w:rsidR="0099105B" w:rsidRPr="007353B0" w:rsidRDefault="0099105B" w:rsidP="007353B0">
      <w:pPr>
        <w:pStyle w:val="Sinespaciado"/>
        <w:jc w:val="both"/>
        <w:rPr>
          <w:rFonts w:asciiTheme="majorHAnsi" w:hAnsiTheme="majorHAnsi" w:cstheme="majorHAnsi"/>
        </w:rPr>
      </w:pPr>
      <w:r w:rsidRPr="001C32D3">
        <w:rPr>
          <w:rStyle w:val="Refdenotaalpie"/>
          <w:rFonts w:asciiTheme="majorHAnsi" w:hAnsiTheme="majorHAnsi" w:cstheme="majorHAnsi"/>
          <w:sz w:val="20"/>
        </w:rPr>
        <w:footnoteRef/>
      </w:r>
      <w:r w:rsidRPr="001C32D3">
        <w:rPr>
          <w:rFonts w:asciiTheme="majorHAnsi" w:hAnsiTheme="majorHAnsi" w:cstheme="majorHAnsi"/>
          <w:sz w:val="20"/>
        </w:rPr>
        <w:t xml:space="preserve"> Corte Suprema de Justicia, Sala de Casación Penal: Sentencia del 11 de julio de 2.017. Rad. # 44997. SP9916-2017. </w:t>
      </w:r>
    </w:p>
  </w:footnote>
  <w:footnote w:id="10">
    <w:p w:rsidR="0099105B" w:rsidRPr="00ED59B7" w:rsidRDefault="0099105B" w:rsidP="007353B0">
      <w:pPr>
        <w:pStyle w:val="Textonotapie"/>
        <w:jc w:val="both"/>
        <w:rPr>
          <w:rFonts w:asciiTheme="majorHAnsi" w:hAnsiTheme="majorHAnsi" w:cstheme="majorHAnsi"/>
          <w:szCs w:val="22"/>
        </w:rPr>
      </w:pPr>
      <w:r w:rsidRPr="00ED59B7">
        <w:rPr>
          <w:rStyle w:val="Refdenotaalpie"/>
          <w:rFonts w:asciiTheme="majorHAnsi" w:hAnsiTheme="majorHAnsi" w:cstheme="majorHAnsi"/>
          <w:szCs w:val="22"/>
        </w:rPr>
        <w:footnoteRef/>
      </w:r>
      <w:r w:rsidRPr="00ED59B7">
        <w:rPr>
          <w:rFonts w:asciiTheme="majorHAnsi" w:hAnsiTheme="majorHAnsi" w:cstheme="majorHAnsi"/>
          <w:szCs w:val="22"/>
        </w:rPr>
        <w:t xml:space="preserve"> Corte Suprema de Justicia, Sala de Casación Penal: Sentencia del 13 de abril de 2.016. SP4498-2016. Rad. # 44718.  </w:t>
      </w:r>
    </w:p>
  </w:footnote>
  <w:footnote w:id="11">
    <w:p w:rsidR="0099105B" w:rsidRPr="00ED59B7" w:rsidRDefault="0099105B" w:rsidP="007353B0">
      <w:pPr>
        <w:pStyle w:val="Textonotapie"/>
        <w:jc w:val="both"/>
        <w:rPr>
          <w:rFonts w:asciiTheme="majorHAnsi" w:hAnsiTheme="majorHAnsi" w:cstheme="majorHAnsi"/>
          <w:szCs w:val="22"/>
        </w:rPr>
      </w:pPr>
      <w:r w:rsidRPr="00ED59B7">
        <w:rPr>
          <w:rStyle w:val="Refdenotaalpie"/>
          <w:rFonts w:asciiTheme="majorHAnsi" w:hAnsiTheme="majorHAnsi" w:cstheme="majorHAnsi"/>
          <w:szCs w:val="22"/>
        </w:rPr>
        <w:footnoteRef/>
      </w:r>
      <w:r w:rsidRPr="00ED59B7">
        <w:rPr>
          <w:rFonts w:asciiTheme="majorHAnsi" w:hAnsiTheme="majorHAnsi" w:cstheme="majorHAnsi"/>
          <w:szCs w:val="22"/>
        </w:rPr>
        <w:t xml:space="preserve"> Sobre estos principios, entre otras, se pueden consultar: La providencia del 18  de abril del 2.007, Rad. # 27159; la sentencia del 20 de noviembre de 2.013. Rad. # 39834; la sentencia del 11 de junio de 2014. Rad. # 41180; la providencia del 25 de 2.015. AP1505-2015. Rad. # 40439, y la sentencia del 28 de junio de 2017. SP9379-2017. Rad. # 45.495. M.P.  </w:t>
      </w:r>
    </w:p>
  </w:footnote>
  <w:footnote w:id="12">
    <w:p w:rsidR="0099105B" w:rsidRPr="00ED59B7" w:rsidRDefault="0099105B" w:rsidP="007353B0">
      <w:pPr>
        <w:pStyle w:val="Textonotapie"/>
        <w:jc w:val="both"/>
        <w:rPr>
          <w:rFonts w:asciiTheme="majorHAnsi" w:hAnsiTheme="majorHAnsi" w:cstheme="majorHAnsi"/>
          <w:szCs w:val="22"/>
        </w:rPr>
      </w:pPr>
      <w:r w:rsidRPr="00ED59B7">
        <w:rPr>
          <w:rStyle w:val="Refdenotaalpie"/>
          <w:rFonts w:asciiTheme="majorHAnsi" w:hAnsiTheme="majorHAnsi" w:cstheme="majorHAnsi"/>
          <w:szCs w:val="22"/>
        </w:rPr>
        <w:footnoteRef/>
      </w:r>
      <w:r w:rsidRPr="00ED59B7">
        <w:rPr>
          <w:rFonts w:asciiTheme="majorHAnsi" w:hAnsiTheme="majorHAnsi" w:cstheme="majorHAnsi"/>
          <w:szCs w:val="22"/>
        </w:rPr>
        <w:t xml:space="preserve"> Ordinales j y k del artículo 8º C.P.P. </w:t>
      </w:r>
    </w:p>
  </w:footnote>
  <w:footnote w:id="13">
    <w:p w:rsidR="0099105B" w:rsidRPr="00ED59B7" w:rsidRDefault="0099105B" w:rsidP="007353B0">
      <w:pPr>
        <w:pStyle w:val="Textonotapie"/>
        <w:jc w:val="both"/>
        <w:rPr>
          <w:rFonts w:asciiTheme="majorHAnsi" w:hAnsiTheme="majorHAnsi" w:cstheme="majorHAnsi"/>
          <w:szCs w:val="22"/>
        </w:rPr>
      </w:pPr>
      <w:r w:rsidRPr="00ED59B7">
        <w:rPr>
          <w:rStyle w:val="Refdenotaalpie"/>
          <w:rFonts w:asciiTheme="majorHAnsi" w:hAnsiTheme="majorHAnsi" w:cstheme="majorHAnsi"/>
          <w:szCs w:val="22"/>
        </w:rPr>
        <w:footnoteRef/>
      </w:r>
      <w:r w:rsidRPr="00ED59B7">
        <w:rPr>
          <w:rFonts w:asciiTheme="majorHAnsi" w:hAnsiTheme="majorHAnsi" w:cstheme="majorHAnsi"/>
          <w:szCs w:val="22"/>
        </w:rPr>
        <w:t xml:space="preserve"> Corte Suprema de Justicia, Sala de Casación Penal: Sentencia del 28 de junio de 2017. SP9379-2017. Rad. 45.495. M.P. PATRICIA SALAZAR CUÉLLAR.</w:t>
      </w:r>
    </w:p>
  </w:footnote>
  <w:footnote w:id="14">
    <w:p w:rsidR="0099105B" w:rsidRPr="00ED59B7" w:rsidRDefault="0099105B" w:rsidP="007353B0">
      <w:pPr>
        <w:pStyle w:val="Textonotapie"/>
        <w:jc w:val="both"/>
        <w:rPr>
          <w:rFonts w:asciiTheme="majorHAnsi" w:hAnsiTheme="majorHAnsi" w:cstheme="majorHAnsi"/>
          <w:szCs w:val="22"/>
        </w:rPr>
      </w:pPr>
      <w:r w:rsidRPr="00ED59B7">
        <w:rPr>
          <w:rStyle w:val="Refdenotaalpie"/>
          <w:rFonts w:asciiTheme="majorHAnsi" w:hAnsiTheme="majorHAnsi" w:cstheme="majorHAnsi"/>
          <w:szCs w:val="22"/>
        </w:rPr>
        <w:footnoteRef/>
      </w:r>
      <w:r w:rsidRPr="00ED59B7">
        <w:rPr>
          <w:rFonts w:asciiTheme="majorHAnsi" w:hAnsiTheme="majorHAnsi" w:cstheme="majorHAnsi"/>
          <w:szCs w:val="22"/>
        </w:rPr>
        <w:t xml:space="preserve"> Corte Suprema de Justicia, Sala de Casació</w:t>
      </w:r>
      <w:r w:rsidR="004F3907" w:rsidRPr="00ED59B7">
        <w:rPr>
          <w:rFonts w:asciiTheme="majorHAnsi" w:hAnsiTheme="majorHAnsi" w:cstheme="majorHAnsi"/>
          <w:szCs w:val="22"/>
        </w:rPr>
        <w:t>n Penal: Sentencia del 14</w:t>
      </w:r>
      <w:r w:rsidRPr="00ED59B7">
        <w:rPr>
          <w:rFonts w:asciiTheme="majorHAnsi" w:hAnsiTheme="majorHAnsi" w:cstheme="majorHAnsi"/>
          <w:szCs w:val="22"/>
        </w:rPr>
        <w:t xml:space="preserve"> de marzo de 2018. SP732-2018. Rad. # 46.848. M.P. PATRICIA SALAZAR CUÉLLAR. (Negrillas fuera del texto original).</w:t>
      </w:r>
    </w:p>
  </w:footnote>
  <w:footnote w:id="15">
    <w:p w:rsidR="0099105B" w:rsidRPr="00055099" w:rsidRDefault="0099105B" w:rsidP="007353B0">
      <w:pPr>
        <w:pStyle w:val="Textonotapie"/>
        <w:jc w:val="both"/>
        <w:rPr>
          <w:rFonts w:asciiTheme="majorHAnsi" w:hAnsiTheme="majorHAnsi" w:cstheme="majorHAnsi"/>
          <w:szCs w:val="22"/>
        </w:rPr>
      </w:pPr>
      <w:r w:rsidRPr="00055099">
        <w:rPr>
          <w:rStyle w:val="Refdenotaalpie"/>
          <w:rFonts w:asciiTheme="majorHAnsi" w:hAnsiTheme="majorHAnsi" w:cstheme="majorHAnsi"/>
          <w:szCs w:val="22"/>
        </w:rPr>
        <w:footnoteRef/>
      </w:r>
      <w:r w:rsidRPr="00055099">
        <w:rPr>
          <w:rFonts w:asciiTheme="majorHAnsi" w:hAnsiTheme="majorHAnsi" w:cstheme="majorHAnsi"/>
          <w:szCs w:val="22"/>
        </w:rPr>
        <w:t xml:space="preserve"> Lo cual en el derecho anglosajón es conocido como </w:t>
      </w:r>
      <w:r w:rsidRPr="00055099">
        <w:rPr>
          <w:rFonts w:asciiTheme="majorHAnsi" w:hAnsiTheme="majorHAnsi" w:cstheme="majorHAnsi"/>
          <w:i/>
          <w:szCs w:val="22"/>
        </w:rPr>
        <w:t>distinguishing.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5B" w:rsidRPr="00A1254D" w:rsidRDefault="00055099" w:rsidP="003365E9">
    <w:pPr>
      <w:pStyle w:val="Encabezado"/>
      <w:ind w:left="3969"/>
      <w:jc w:val="both"/>
      <w:rPr>
        <w:rFonts w:ascii="Lucida Sans" w:hAnsi="Lucida Sans" w:cs="Arial"/>
        <w:b/>
        <w:color w:val="262626" w:themeColor="text1" w:themeTint="D9"/>
        <w:sz w:val="18"/>
        <w:szCs w:val="18"/>
      </w:rPr>
    </w:pPr>
    <w:r w:rsidRPr="00A1254D">
      <w:rPr>
        <w:rFonts w:ascii="Lucida Sans" w:hAnsi="Lucida Sans" w:cs="Arial"/>
        <w:b/>
        <w:color w:val="262626" w:themeColor="text1" w:themeTint="D9"/>
        <w:sz w:val="18"/>
        <w:szCs w:val="18"/>
      </w:rPr>
      <w:t>Sentenciado: HAIVER ALEXÁ</w:t>
    </w:r>
    <w:r w:rsidR="0099105B" w:rsidRPr="00A1254D">
      <w:rPr>
        <w:rFonts w:ascii="Lucida Sans" w:hAnsi="Lucida Sans" w:cs="Arial"/>
        <w:b/>
        <w:color w:val="262626" w:themeColor="text1" w:themeTint="D9"/>
        <w:sz w:val="18"/>
        <w:szCs w:val="18"/>
      </w:rPr>
      <w:t>NDER VÉLEZ CARMONA</w:t>
    </w:r>
  </w:p>
  <w:p w:rsidR="0099105B" w:rsidRPr="00A1254D" w:rsidRDefault="0099105B" w:rsidP="003365E9">
    <w:pPr>
      <w:pStyle w:val="Encabezado"/>
      <w:ind w:left="3969"/>
      <w:jc w:val="both"/>
      <w:rPr>
        <w:rFonts w:ascii="Lucida Sans" w:hAnsi="Lucida Sans" w:cs="Arial"/>
        <w:b/>
        <w:color w:val="262626" w:themeColor="text1" w:themeTint="D9"/>
        <w:sz w:val="18"/>
        <w:szCs w:val="18"/>
      </w:rPr>
    </w:pPr>
    <w:r w:rsidRPr="00A1254D">
      <w:rPr>
        <w:rFonts w:ascii="Lucida Sans" w:hAnsi="Lucida Sans" w:cs="Arial"/>
        <w:b/>
        <w:color w:val="262626" w:themeColor="text1" w:themeTint="D9"/>
        <w:sz w:val="18"/>
        <w:szCs w:val="18"/>
      </w:rPr>
      <w:t>Delito: Tráfico de estupefacientes</w:t>
    </w:r>
  </w:p>
  <w:p w:rsidR="0099105B" w:rsidRPr="00A1254D" w:rsidRDefault="0099105B" w:rsidP="003365E9">
    <w:pPr>
      <w:pStyle w:val="Encabezado"/>
      <w:ind w:left="3969"/>
      <w:jc w:val="both"/>
      <w:rPr>
        <w:rFonts w:ascii="Lucida Sans" w:hAnsi="Lucida Sans" w:cs="Arial"/>
        <w:b/>
        <w:color w:val="262626" w:themeColor="text1" w:themeTint="D9"/>
        <w:sz w:val="18"/>
        <w:szCs w:val="18"/>
      </w:rPr>
    </w:pPr>
    <w:r w:rsidRPr="00A1254D">
      <w:rPr>
        <w:rFonts w:ascii="Lucida Sans" w:hAnsi="Lucida Sans" w:cs="Arial"/>
        <w:b/>
        <w:color w:val="262626" w:themeColor="text1" w:themeTint="D9"/>
        <w:sz w:val="18"/>
        <w:szCs w:val="18"/>
      </w:rPr>
      <w:t>Rad. # 660012204000 2018 0007694-00</w:t>
    </w:r>
  </w:p>
  <w:p w:rsidR="0099105B" w:rsidRPr="00A1254D" w:rsidRDefault="0099105B" w:rsidP="003365E9">
    <w:pPr>
      <w:pStyle w:val="Encabezado"/>
      <w:ind w:left="3969"/>
      <w:jc w:val="both"/>
      <w:rPr>
        <w:rFonts w:ascii="Lucida Sans" w:hAnsi="Lucida Sans" w:cs="Arial"/>
        <w:b/>
        <w:color w:val="262626" w:themeColor="text1" w:themeTint="D9"/>
        <w:sz w:val="18"/>
        <w:szCs w:val="18"/>
      </w:rPr>
    </w:pPr>
    <w:r w:rsidRPr="00A1254D">
      <w:rPr>
        <w:rFonts w:ascii="Lucida Sans" w:hAnsi="Lucida Sans" w:cs="Arial"/>
        <w:b/>
        <w:color w:val="262626" w:themeColor="text1" w:themeTint="D9"/>
        <w:sz w:val="18"/>
        <w:szCs w:val="18"/>
      </w:rPr>
      <w:t>Asunto: Se profiere fallo en el que se decide una acción de revisión impetrada por el</w:t>
    </w:r>
    <w:r w:rsidR="00055099" w:rsidRPr="00A1254D">
      <w:rPr>
        <w:rFonts w:ascii="Lucida Sans" w:hAnsi="Lucida Sans" w:cs="Arial"/>
        <w:b/>
        <w:color w:val="262626" w:themeColor="text1" w:themeTint="D9"/>
        <w:sz w:val="18"/>
        <w:szCs w:val="18"/>
      </w:rPr>
      <w:t xml:space="preserve"> representante del Ministerio Pú</w:t>
    </w:r>
    <w:r w:rsidRPr="00A1254D">
      <w:rPr>
        <w:rFonts w:ascii="Lucida Sans" w:hAnsi="Lucida Sans" w:cs="Arial"/>
        <w:b/>
        <w:color w:val="262626" w:themeColor="text1" w:themeTint="D9"/>
        <w:sz w:val="18"/>
        <w:szCs w:val="18"/>
      </w:rPr>
      <w:t>blico</w:t>
    </w:r>
  </w:p>
  <w:p w:rsidR="0099105B" w:rsidRPr="00A1254D" w:rsidRDefault="0099105B" w:rsidP="003365E9">
    <w:pPr>
      <w:pStyle w:val="Encabezado"/>
      <w:ind w:left="3969"/>
      <w:jc w:val="both"/>
      <w:rPr>
        <w:rFonts w:ascii="Lucida Sans" w:hAnsi="Lucida Sans" w:cs="Arial"/>
        <w:b/>
        <w:color w:val="262626" w:themeColor="text1" w:themeTint="D9"/>
        <w:sz w:val="18"/>
        <w:szCs w:val="18"/>
      </w:rPr>
    </w:pPr>
    <w:r w:rsidRPr="00A1254D">
      <w:rPr>
        <w:rFonts w:ascii="Lucida Sans" w:hAnsi="Lucida Sans" w:cs="Arial"/>
        <w:b/>
        <w:color w:val="262626" w:themeColor="text1" w:themeTint="D9"/>
        <w:sz w:val="18"/>
        <w:szCs w:val="18"/>
      </w:rPr>
      <w:t>Decisión: Se declaran infundadas las pretensiones del accionante</w:t>
    </w:r>
  </w:p>
  <w:p w:rsidR="0099105B" w:rsidRPr="00055099" w:rsidRDefault="0099105B" w:rsidP="003365E9">
    <w:pPr>
      <w:pStyle w:val="Encabezado"/>
      <w:ind w:left="3969"/>
      <w:jc w:val="both"/>
      <w:rPr>
        <w:rFonts w:ascii="Lucida Sans" w:hAnsi="Lucida Sans"/>
        <w:b/>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925C9C"/>
    <w:multiLevelType w:val="hybridMultilevel"/>
    <w:tmpl w:val="4E6AC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20E21CD"/>
    <w:multiLevelType w:val="hybridMultilevel"/>
    <w:tmpl w:val="B942A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2F30D4B"/>
    <w:multiLevelType w:val="hybridMultilevel"/>
    <w:tmpl w:val="3488A1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76321"/>
    <w:multiLevelType w:val="hybridMultilevel"/>
    <w:tmpl w:val="48B4A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0125686"/>
    <w:multiLevelType w:val="hybridMultilevel"/>
    <w:tmpl w:val="1CEE54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D"/>
    <w:rsid w:val="00023EA1"/>
    <w:rsid w:val="00055099"/>
    <w:rsid w:val="000B2E9F"/>
    <w:rsid w:val="001142F3"/>
    <w:rsid w:val="00163A06"/>
    <w:rsid w:val="00194BF6"/>
    <w:rsid w:val="001C32D3"/>
    <w:rsid w:val="001D60A0"/>
    <w:rsid w:val="002E5527"/>
    <w:rsid w:val="003365E9"/>
    <w:rsid w:val="00336C70"/>
    <w:rsid w:val="00346555"/>
    <w:rsid w:val="004658BD"/>
    <w:rsid w:val="0049598C"/>
    <w:rsid w:val="004B7F58"/>
    <w:rsid w:val="004F3907"/>
    <w:rsid w:val="005026DC"/>
    <w:rsid w:val="005A504F"/>
    <w:rsid w:val="006609C1"/>
    <w:rsid w:val="00705FAA"/>
    <w:rsid w:val="007353B0"/>
    <w:rsid w:val="0075043F"/>
    <w:rsid w:val="007B1A0D"/>
    <w:rsid w:val="007D43CB"/>
    <w:rsid w:val="00832A54"/>
    <w:rsid w:val="00841A04"/>
    <w:rsid w:val="00885DAB"/>
    <w:rsid w:val="009051C8"/>
    <w:rsid w:val="0091157A"/>
    <w:rsid w:val="00915ABD"/>
    <w:rsid w:val="00927524"/>
    <w:rsid w:val="00932E2F"/>
    <w:rsid w:val="0099105B"/>
    <w:rsid w:val="009B5723"/>
    <w:rsid w:val="009E7BB8"/>
    <w:rsid w:val="00A01778"/>
    <w:rsid w:val="00A1254D"/>
    <w:rsid w:val="00AE1E72"/>
    <w:rsid w:val="00B36912"/>
    <w:rsid w:val="00BA3268"/>
    <w:rsid w:val="00BD6B2B"/>
    <w:rsid w:val="00CC0378"/>
    <w:rsid w:val="00DA4621"/>
    <w:rsid w:val="00E42B5D"/>
    <w:rsid w:val="00ED59B7"/>
    <w:rsid w:val="00EF1B8D"/>
    <w:rsid w:val="00F01E0F"/>
    <w:rsid w:val="00F029E4"/>
    <w:rsid w:val="00F66F14"/>
    <w:rsid w:val="00FD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004C-0F32-48D5-A0DB-07E4C7BD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465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8BD"/>
  </w:style>
  <w:style w:type="paragraph" w:styleId="Encabezado">
    <w:name w:val="header"/>
    <w:basedOn w:val="Normal"/>
    <w:link w:val="EncabezadoCar"/>
    <w:uiPriority w:val="99"/>
    <w:unhideWhenUsed/>
    <w:rsid w:val="00465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8BD"/>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Re,Car"/>
    <w:basedOn w:val="Normal"/>
    <w:link w:val="TextonotapieCar"/>
    <w:uiPriority w:val="99"/>
    <w:unhideWhenUsed/>
    <w:qFormat/>
    <w:rsid w:val="004658BD"/>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4658BD"/>
    <w:rPr>
      <w:sz w:val="20"/>
      <w:szCs w:val="20"/>
    </w:rPr>
  </w:style>
  <w:style w:type="paragraph" w:styleId="Textodeglobo">
    <w:name w:val="Balloon Text"/>
    <w:basedOn w:val="Normal"/>
    <w:link w:val="TextodegloboCar"/>
    <w:uiPriority w:val="99"/>
    <w:semiHidden/>
    <w:unhideWhenUsed/>
    <w:rsid w:val="00A125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54D"/>
    <w:rPr>
      <w:rFonts w:ascii="Segoe UI" w:hAnsi="Segoe UI" w:cs="Segoe UI"/>
      <w:sz w:val="18"/>
      <w:szCs w:val="18"/>
    </w:rPr>
  </w:style>
  <w:style w:type="character" w:customStyle="1" w:styleId="SinespaciadoCar">
    <w:name w:val="Sin espaciado Car"/>
    <w:link w:val="Sinespaciado"/>
    <w:uiPriority w:val="99"/>
    <w:locked/>
    <w:rsid w:val="002E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31</Pages>
  <Words>8896</Words>
  <Characters>48930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14</cp:revision>
  <cp:lastPrinted>2018-08-31T16:09:00Z</cp:lastPrinted>
  <dcterms:created xsi:type="dcterms:W3CDTF">2018-08-01T16:23:00Z</dcterms:created>
  <dcterms:modified xsi:type="dcterms:W3CDTF">2018-10-12T16:34:00Z</dcterms:modified>
</cp:coreProperties>
</file>