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1B" w:rsidRPr="00DF631B" w:rsidRDefault="00DF631B" w:rsidP="00DF63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DF631B">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DF631B" w:rsidRPr="00DF631B" w:rsidRDefault="00DF631B" w:rsidP="00DF631B">
      <w:pPr>
        <w:jc w:val="both"/>
        <w:rPr>
          <w:rFonts w:ascii="Arial" w:hAnsi="Arial" w:cs="Arial"/>
          <w:sz w:val="20"/>
        </w:rPr>
      </w:pPr>
    </w:p>
    <w:p w:rsidR="00DF631B" w:rsidRPr="00DF631B" w:rsidRDefault="00DF631B" w:rsidP="00DF631B">
      <w:pPr>
        <w:pStyle w:val="Sinespaciado"/>
        <w:jc w:val="both"/>
        <w:rPr>
          <w:rFonts w:ascii="Arial" w:hAnsi="Arial" w:cs="Arial"/>
          <w:b/>
          <w:bCs/>
          <w:iCs/>
          <w:sz w:val="20"/>
          <w:szCs w:val="20"/>
          <w:lang w:eastAsia="fr-FR"/>
        </w:rPr>
      </w:pPr>
      <w:r w:rsidRPr="00DF631B">
        <w:rPr>
          <w:rFonts w:ascii="Arial" w:hAnsi="Arial" w:cs="Arial"/>
          <w:b/>
          <w:bCs/>
          <w:iCs/>
          <w:sz w:val="20"/>
          <w:szCs w:val="20"/>
          <w:lang w:eastAsia="fr-FR"/>
        </w:rPr>
        <w:t>TEMAS:</w:t>
      </w:r>
      <w:r w:rsidRPr="00DF631B">
        <w:rPr>
          <w:rFonts w:ascii="Arial" w:hAnsi="Arial" w:cs="Arial"/>
          <w:b/>
          <w:bCs/>
          <w:iCs/>
          <w:sz w:val="20"/>
          <w:szCs w:val="20"/>
          <w:lang w:eastAsia="fr-FR"/>
        </w:rPr>
        <w:tab/>
      </w:r>
      <w:r w:rsidR="0002257D">
        <w:rPr>
          <w:rFonts w:ascii="Arial" w:hAnsi="Arial" w:cs="Arial"/>
          <w:b/>
          <w:bCs/>
          <w:iCs/>
          <w:sz w:val="20"/>
          <w:szCs w:val="20"/>
          <w:lang w:eastAsia="fr-FR"/>
        </w:rPr>
        <w:t>RENDICIÓN PROVOCADA DE CUENTAS / LEGITIMACIÓN EN LA CAUSA / PRINCIPIO DE CONGRUENCIA</w:t>
      </w:r>
      <w:r w:rsidRPr="00DF631B">
        <w:rPr>
          <w:rFonts w:ascii="Arial" w:hAnsi="Arial" w:cs="Arial"/>
          <w:b/>
          <w:bCs/>
          <w:iCs/>
          <w:sz w:val="20"/>
          <w:szCs w:val="20"/>
          <w:lang w:eastAsia="fr-FR"/>
        </w:rPr>
        <w:t>.</w:t>
      </w:r>
    </w:p>
    <w:p w:rsidR="00DF631B" w:rsidRDefault="00DF631B" w:rsidP="0002257D">
      <w:pPr>
        <w:jc w:val="both"/>
        <w:rPr>
          <w:rFonts w:ascii="Arial" w:hAnsi="Arial" w:cs="Arial"/>
          <w:sz w:val="20"/>
        </w:rPr>
      </w:pPr>
    </w:p>
    <w:p w:rsidR="00687378" w:rsidRPr="0002257D" w:rsidRDefault="00687378" w:rsidP="0002257D">
      <w:pPr>
        <w:jc w:val="both"/>
        <w:rPr>
          <w:rFonts w:ascii="Arial" w:hAnsi="Arial" w:cs="Arial"/>
          <w:sz w:val="20"/>
        </w:rPr>
      </w:pPr>
      <w:r w:rsidRPr="0002257D">
        <w:rPr>
          <w:rFonts w:ascii="Arial" w:hAnsi="Arial" w:cs="Arial"/>
          <w:sz w:val="20"/>
        </w:rPr>
        <w:t>La legitimación en la causa</w:t>
      </w:r>
      <w:r w:rsidRPr="0002257D">
        <w:rPr>
          <w:rFonts w:ascii="Arial" w:hAnsi="Arial" w:cs="Arial"/>
          <w:sz w:val="20"/>
        </w:rPr>
        <w:t xml:space="preserve">.  </w:t>
      </w:r>
      <w:r w:rsidRPr="0002257D">
        <w:rPr>
          <w:rFonts w:ascii="Arial" w:hAnsi="Arial" w:cs="Arial"/>
          <w:sz w:val="20"/>
        </w:rPr>
        <w:t xml:space="preserve">Es uno de los presupuestos para el estudio de la pretensión, que acreditada hace posible constatar su vocación de prosperidad. La CSJ ha acogido la teoría </w:t>
      </w:r>
      <w:proofErr w:type="spellStart"/>
      <w:r w:rsidRPr="0002257D">
        <w:rPr>
          <w:rFonts w:ascii="Arial" w:hAnsi="Arial" w:cs="Arial"/>
          <w:sz w:val="20"/>
        </w:rPr>
        <w:t>sustancialista</w:t>
      </w:r>
      <w:proofErr w:type="spellEnd"/>
      <w:r w:rsidRPr="0002257D">
        <w:rPr>
          <w:rFonts w:ascii="Arial" w:hAnsi="Arial" w:cs="Arial"/>
          <w:sz w:val="20"/>
        </w:rPr>
        <w:t xml:space="preserve"> del maestro </w:t>
      </w:r>
      <w:proofErr w:type="spellStart"/>
      <w:r w:rsidRPr="0002257D">
        <w:rPr>
          <w:rFonts w:ascii="Arial" w:hAnsi="Arial" w:cs="Arial"/>
          <w:sz w:val="20"/>
        </w:rPr>
        <w:t>Chiovenda</w:t>
      </w:r>
      <w:proofErr w:type="spellEnd"/>
      <w:r w:rsidRPr="0002257D">
        <w:rPr>
          <w:rFonts w:ascii="Arial" w:hAnsi="Arial" w:cs="Arial"/>
          <w:sz w:val="20"/>
        </w:rPr>
        <w:t xml:space="preserve">, en oposición a la procesalista del profesor Enrico </w:t>
      </w:r>
      <w:proofErr w:type="spellStart"/>
      <w:r w:rsidRPr="0002257D">
        <w:rPr>
          <w:rFonts w:ascii="Arial" w:hAnsi="Arial" w:cs="Arial"/>
          <w:sz w:val="20"/>
        </w:rPr>
        <w:t>Allorio</w:t>
      </w:r>
      <w:proofErr w:type="spellEnd"/>
      <w:r w:rsidRPr="0002257D">
        <w:rPr>
          <w:rFonts w:ascii="Arial" w:hAnsi="Arial" w:cs="Arial"/>
          <w:sz w:val="20"/>
        </w:rPr>
        <w:t xml:space="preserve">, por eso se ha entendido como requisito material para emitir decisión de mérito, es decir, resolver sobre el pedimento; en la misma línea de pensamiento la doctrina nacional en cabeza del maestro </w:t>
      </w:r>
      <w:proofErr w:type="spellStart"/>
      <w:r w:rsidRPr="0002257D">
        <w:rPr>
          <w:rFonts w:ascii="Arial" w:hAnsi="Arial" w:cs="Arial"/>
          <w:sz w:val="20"/>
        </w:rPr>
        <w:t>Devis</w:t>
      </w:r>
      <w:proofErr w:type="spellEnd"/>
      <w:r w:rsidRPr="0002257D">
        <w:rPr>
          <w:rFonts w:ascii="Arial" w:hAnsi="Arial" w:cs="Arial"/>
          <w:sz w:val="20"/>
        </w:rPr>
        <w:t xml:space="preserve"> </w:t>
      </w:r>
      <w:proofErr w:type="spellStart"/>
      <w:r w:rsidRPr="0002257D">
        <w:rPr>
          <w:rFonts w:ascii="Arial" w:hAnsi="Arial" w:cs="Arial"/>
          <w:sz w:val="20"/>
        </w:rPr>
        <w:t>Echandía</w:t>
      </w:r>
      <w:proofErr w:type="spellEnd"/>
      <w:r w:rsidRPr="0002257D">
        <w:rPr>
          <w:rFonts w:ascii="Arial" w:hAnsi="Arial" w:cs="Arial"/>
          <w:sz w:val="20"/>
        </w:rPr>
        <w:t>, señala: “(…) es presupuesto de la pretensión para la sentencia de fondo; determina quiénes deben o pueden demandar y a quién se debe o se puede demandar; (…)</w:t>
      </w:r>
      <w:r w:rsidR="00A52332" w:rsidRPr="0002257D">
        <w:rPr>
          <w:rFonts w:ascii="Arial" w:hAnsi="Arial" w:cs="Arial"/>
          <w:sz w:val="20"/>
        </w:rPr>
        <w:t>”</w:t>
      </w:r>
    </w:p>
    <w:p w:rsidR="00A52332" w:rsidRPr="0002257D" w:rsidRDefault="00A52332" w:rsidP="0002257D">
      <w:pPr>
        <w:jc w:val="both"/>
        <w:rPr>
          <w:rFonts w:ascii="Arial" w:hAnsi="Arial" w:cs="Arial"/>
          <w:sz w:val="20"/>
        </w:rPr>
      </w:pPr>
    </w:p>
    <w:p w:rsidR="00A52332" w:rsidRDefault="003B18AD" w:rsidP="0002257D">
      <w:pPr>
        <w:jc w:val="both"/>
        <w:rPr>
          <w:rFonts w:ascii="Arial" w:hAnsi="Arial" w:cs="Arial"/>
          <w:sz w:val="20"/>
        </w:rPr>
      </w:pPr>
      <w:r w:rsidRPr="0002257D">
        <w:rPr>
          <w:rFonts w:ascii="Arial" w:hAnsi="Arial" w:cs="Arial"/>
          <w:sz w:val="20"/>
        </w:rPr>
        <w:t>La congruencia o cuadro de la instancia</w:t>
      </w:r>
      <w:r w:rsidRPr="0002257D">
        <w:rPr>
          <w:rFonts w:ascii="Arial" w:hAnsi="Arial" w:cs="Arial"/>
          <w:sz w:val="20"/>
        </w:rPr>
        <w:t xml:space="preserve">.  </w:t>
      </w:r>
      <w:r w:rsidRPr="0002257D">
        <w:rPr>
          <w:rFonts w:ascii="Arial" w:hAnsi="Arial" w:cs="Arial"/>
          <w:sz w:val="20"/>
        </w:rPr>
        <w:t>Aparece regulado en el artículo 281, CGP, cuando alude a la sentencia diciendo que: “(…) 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p>
    <w:p w:rsidR="00C5034C" w:rsidRDefault="00C5034C" w:rsidP="0002257D">
      <w:pPr>
        <w:jc w:val="both"/>
        <w:rPr>
          <w:rFonts w:ascii="Arial" w:hAnsi="Arial" w:cs="Arial"/>
          <w:sz w:val="20"/>
        </w:rPr>
      </w:pPr>
    </w:p>
    <w:p w:rsidR="00C5034C" w:rsidRPr="00C5034C" w:rsidRDefault="00C5034C" w:rsidP="00C5034C">
      <w:pPr>
        <w:jc w:val="both"/>
        <w:rPr>
          <w:rFonts w:ascii="Arial" w:hAnsi="Arial" w:cs="Arial"/>
          <w:sz w:val="20"/>
        </w:rPr>
      </w:pPr>
      <w:r w:rsidRPr="00C5034C">
        <w:rPr>
          <w:rFonts w:ascii="Arial" w:hAnsi="Arial" w:cs="Arial"/>
          <w:sz w:val="20"/>
        </w:rPr>
        <w:t xml:space="preserve">Puestas así las cosas, adviene paladino denotar que la consonancia o congruencia se define en consideración a las postulaciones de las partes en torno a los hechos o causa </w:t>
      </w:r>
      <w:proofErr w:type="spellStart"/>
      <w:r w:rsidRPr="00C5034C">
        <w:rPr>
          <w:rFonts w:ascii="Arial" w:hAnsi="Arial" w:cs="Arial"/>
          <w:sz w:val="20"/>
        </w:rPr>
        <w:t>petendi</w:t>
      </w:r>
      <w:proofErr w:type="spellEnd"/>
      <w:r w:rsidRPr="00C5034C">
        <w:rPr>
          <w:rFonts w:ascii="Arial" w:hAnsi="Arial" w:cs="Arial"/>
          <w:sz w:val="20"/>
        </w:rPr>
        <w:t xml:space="preserve"> y las pretensiones mismas (</w:t>
      </w:r>
      <w:proofErr w:type="spellStart"/>
      <w:r w:rsidRPr="00C5034C">
        <w:rPr>
          <w:rFonts w:ascii="Arial" w:hAnsi="Arial" w:cs="Arial"/>
          <w:sz w:val="20"/>
        </w:rPr>
        <w:t>Petitum</w:t>
      </w:r>
      <w:proofErr w:type="spellEnd"/>
      <w:r w:rsidRPr="00C5034C">
        <w:rPr>
          <w:rFonts w:ascii="Arial" w:hAnsi="Arial" w:cs="Arial"/>
          <w:sz w:val="20"/>
        </w:rPr>
        <w:t>), del lado del demandante; y, según la contestación y excepciones de mérito o perentorias, del extremo pasivo.</w:t>
      </w:r>
    </w:p>
    <w:p w:rsidR="00C5034C" w:rsidRPr="00C5034C" w:rsidRDefault="00C5034C" w:rsidP="00C5034C">
      <w:pPr>
        <w:jc w:val="both"/>
        <w:rPr>
          <w:rFonts w:ascii="Arial" w:hAnsi="Arial" w:cs="Arial"/>
          <w:sz w:val="20"/>
        </w:rPr>
      </w:pPr>
    </w:p>
    <w:p w:rsidR="00C5034C" w:rsidRPr="00C5034C" w:rsidRDefault="00C5034C" w:rsidP="00C5034C">
      <w:pPr>
        <w:jc w:val="both"/>
        <w:rPr>
          <w:rFonts w:ascii="Arial" w:hAnsi="Arial" w:cs="Arial"/>
          <w:sz w:val="20"/>
        </w:rPr>
      </w:pPr>
      <w:r w:rsidRPr="00C5034C">
        <w:rPr>
          <w:rFonts w:ascii="Arial" w:hAnsi="Arial" w:cs="Arial"/>
          <w:sz w:val="20"/>
        </w:rPr>
        <w:t>Descendiendo en autos, sin ambages, fracasa la alzada en lo atinente a la copropiedad como base para reclamar las cuentas, pues acoger este argumento connota emitir una sentencia incongruente, dado que la causa para pedir está fundada en la existencia de una “sociedad de hecho comercial o de familia”, no en que fueran condueños de unos o varios de los bienes referidos en la demanda; cuestión que resulta totalmente extraña al relato fáctico de la demanda.</w:t>
      </w:r>
    </w:p>
    <w:p w:rsidR="00C5034C" w:rsidRPr="0002257D" w:rsidRDefault="00C5034C" w:rsidP="0002257D">
      <w:pPr>
        <w:jc w:val="both"/>
        <w:rPr>
          <w:rFonts w:ascii="Arial" w:hAnsi="Arial" w:cs="Arial"/>
          <w:sz w:val="20"/>
        </w:rPr>
      </w:pPr>
    </w:p>
    <w:p w:rsidR="00DF631B" w:rsidRPr="00DF631B" w:rsidRDefault="00DF631B" w:rsidP="00DF631B">
      <w:pPr>
        <w:rPr>
          <w:rFonts w:ascii="Arial" w:hAnsi="Arial" w:cs="Arial"/>
          <w:sz w:val="20"/>
        </w:rPr>
      </w:pPr>
    </w:p>
    <w:p w:rsidR="00DF631B" w:rsidRPr="00DF631B" w:rsidRDefault="00DF631B" w:rsidP="00DF631B">
      <w:pPr>
        <w:rPr>
          <w:rFonts w:ascii="Arial" w:hAnsi="Arial" w:cs="Arial"/>
          <w:sz w:val="20"/>
        </w:rPr>
      </w:pPr>
    </w:p>
    <w:p w:rsidR="00DF631B" w:rsidRPr="00DF631B" w:rsidRDefault="00DF631B" w:rsidP="00DF631B"/>
    <w:p w:rsidR="00DA6C81" w:rsidRPr="00DF631B" w:rsidRDefault="00DA6C81" w:rsidP="00DA6C81">
      <w:pPr>
        <w:pStyle w:val="Sinespaciado"/>
        <w:tabs>
          <w:tab w:val="left" w:pos="3579"/>
        </w:tabs>
        <w:spacing w:line="360" w:lineRule="auto"/>
        <w:jc w:val="center"/>
        <w:rPr>
          <w:rFonts w:ascii="Georgia" w:hAnsi="Georgia" w:cs="Arial"/>
          <w:w w:val="140"/>
          <w:sz w:val="14"/>
        </w:rPr>
      </w:pPr>
      <w:r w:rsidRPr="00DF631B">
        <w:rPr>
          <w:noProof/>
          <w:lang w:eastAsia="es-ES"/>
        </w:rPr>
        <w:drawing>
          <wp:anchor distT="0" distB="0" distL="114300" distR="114300" simplePos="0" relativeHeight="251659264" behindDoc="0" locked="0" layoutInCell="1" allowOverlap="1" wp14:anchorId="4889B048" wp14:editId="653C97B4">
            <wp:simplePos x="0" y="0"/>
            <wp:positionH relativeFrom="column">
              <wp:posOffset>2806700</wp:posOffset>
            </wp:positionH>
            <wp:positionV relativeFrom="paragraph">
              <wp:posOffset>0</wp:posOffset>
            </wp:positionV>
            <wp:extent cx="351790" cy="351790"/>
            <wp:effectExtent l="0" t="0" r="0" b="0"/>
            <wp:wrapSquare wrapText="r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C81" w:rsidRPr="00DF631B" w:rsidRDefault="00DA6C81" w:rsidP="00DA6C81">
      <w:pPr>
        <w:pStyle w:val="Sinespaciado"/>
        <w:tabs>
          <w:tab w:val="left" w:pos="3579"/>
        </w:tabs>
        <w:spacing w:line="360" w:lineRule="auto"/>
        <w:jc w:val="center"/>
        <w:rPr>
          <w:rFonts w:ascii="Georgia" w:hAnsi="Georgia" w:cs="Arial"/>
          <w:w w:val="140"/>
          <w:sz w:val="14"/>
        </w:rPr>
      </w:pPr>
    </w:p>
    <w:p w:rsidR="00DA6C81" w:rsidRPr="00DF631B" w:rsidRDefault="00DA6C81" w:rsidP="00DA6C81">
      <w:pPr>
        <w:pStyle w:val="Sinespaciado"/>
        <w:tabs>
          <w:tab w:val="left" w:pos="3579"/>
        </w:tabs>
        <w:spacing w:line="360" w:lineRule="auto"/>
        <w:jc w:val="center"/>
        <w:rPr>
          <w:rFonts w:ascii="Georgia" w:hAnsi="Georgia" w:cs="Arial"/>
          <w:w w:val="140"/>
          <w:sz w:val="14"/>
        </w:rPr>
      </w:pPr>
    </w:p>
    <w:p w:rsidR="00DA6C81" w:rsidRPr="00DF631B" w:rsidRDefault="00DA6C81" w:rsidP="00DA6C81">
      <w:pPr>
        <w:pStyle w:val="Sinespaciado"/>
        <w:tabs>
          <w:tab w:val="left" w:pos="3579"/>
        </w:tabs>
        <w:spacing w:line="360" w:lineRule="auto"/>
        <w:jc w:val="center"/>
        <w:rPr>
          <w:rFonts w:ascii="Georgia" w:hAnsi="Georgia" w:cs="Arial"/>
          <w:w w:val="140"/>
          <w:sz w:val="14"/>
        </w:rPr>
      </w:pPr>
      <w:r w:rsidRPr="00DF631B">
        <w:rPr>
          <w:rFonts w:ascii="Georgia" w:hAnsi="Georgia" w:cs="Arial"/>
          <w:w w:val="140"/>
          <w:sz w:val="14"/>
        </w:rPr>
        <w:t>REPUBLICA DE COLOMBIA</w:t>
      </w:r>
    </w:p>
    <w:p w:rsidR="00DA6C81" w:rsidRPr="00DF631B" w:rsidRDefault="00DA6C81" w:rsidP="00DA6C81">
      <w:pPr>
        <w:pStyle w:val="Sinespaciado"/>
        <w:tabs>
          <w:tab w:val="center" w:pos="4987"/>
          <w:tab w:val="left" w:pos="8449"/>
        </w:tabs>
        <w:spacing w:line="360" w:lineRule="auto"/>
        <w:jc w:val="center"/>
        <w:rPr>
          <w:rFonts w:ascii="Georgia" w:hAnsi="Georgia" w:cs="Arial"/>
          <w:w w:val="140"/>
        </w:rPr>
      </w:pPr>
      <w:r w:rsidRPr="00DF631B">
        <w:rPr>
          <w:rFonts w:ascii="Georgia" w:hAnsi="Georgia" w:cs="Arial"/>
          <w:w w:val="140"/>
          <w:sz w:val="14"/>
        </w:rPr>
        <w:t>RAMA JUDICIAL DEL PODER PÚBLICO</w:t>
      </w:r>
    </w:p>
    <w:p w:rsidR="00DA6C81" w:rsidRPr="00DF631B" w:rsidRDefault="00DA6C81" w:rsidP="00DA6C81">
      <w:pPr>
        <w:pStyle w:val="Sinespaciado"/>
        <w:spacing w:line="360" w:lineRule="auto"/>
        <w:jc w:val="center"/>
        <w:rPr>
          <w:rFonts w:ascii="Georgia" w:hAnsi="Georgia" w:cs="Arial"/>
          <w:w w:val="140"/>
          <w:sz w:val="16"/>
        </w:rPr>
      </w:pPr>
      <w:r w:rsidRPr="00DF631B">
        <w:rPr>
          <w:rFonts w:ascii="Georgia" w:hAnsi="Georgia" w:cs="Arial"/>
          <w:w w:val="140"/>
          <w:sz w:val="18"/>
        </w:rPr>
        <w:t>T</w:t>
      </w:r>
      <w:r w:rsidRPr="00DF631B">
        <w:rPr>
          <w:rFonts w:ascii="Georgia" w:hAnsi="Georgia" w:cs="Arial"/>
          <w:w w:val="140"/>
          <w:sz w:val="16"/>
        </w:rPr>
        <w:t>RIBUNAL</w:t>
      </w:r>
      <w:r w:rsidRPr="00DF631B">
        <w:rPr>
          <w:rFonts w:ascii="Georgia" w:hAnsi="Georgia" w:cs="Arial"/>
          <w:w w:val="140"/>
          <w:sz w:val="18"/>
        </w:rPr>
        <w:t xml:space="preserve"> S</w:t>
      </w:r>
      <w:r w:rsidRPr="00DF631B">
        <w:rPr>
          <w:rFonts w:ascii="Georgia" w:hAnsi="Georgia" w:cs="Arial"/>
          <w:w w:val="140"/>
          <w:sz w:val="16"/>
        </w:rPr>
        <w:t xml:space="preserve">UPERIOR DEL </w:t>
      </w:r>
      <w:r w:rsidRPr="00DF631B">
        <w:rPr>
          <w:rFonts w:ascii="Georgia" w:hAnsi="Georgia" w:cs="Arial"/>
          <w:w w:val="140"/>
          <w:sz w:val="18"/>
        </w:rPr>
        <w:t>D</w:t>
      </w:r>
      <w:r w:rsidRPr="00DF631B">
        <w:rPr>
          <w:rFonts w:ascii="Georgia" w:hAnsi="Georgia" w:cs="Arial"/>
          <w:w w:val="140"/>
          <w:sz w:val="16"/>
        </w:rPr>
        <w:t>ISTRITO</w:t>
      </w:r>
      <w:r w:rsidRPr="00DF631B">
        <w:rPr>
          <w:rFonts w:ascii="Georgia" w:hAnsi="Georgia" w:cs="Arial"/>
          <w:w w:val="140"/>
          <w:sz w:val="18"/>
        </w:rPr>
        <w:t xml:space="preserve"> J</w:t>
      </w:r>
      <w:r w:rsidRPr="00DF631B">
        <w:rPr>
          <w:rFonts w:ascii="Georgia" w:hAnsi="Georgia" w:cs="Arial"/>
          <w:w w:val="140"/>
          <w:sz w:val="16"/>
        </w:rPr>
        <w:t>UDICIAL</w:t>
      </w:r>
    </w:p>
    <w:p w:rsidR="00DA6C81" w:rsidRPr="00DF631B" w:rsidRDefault="00DA6C81" w:rsidP="00DA6C81">
      <w:pPr>
        <w:pStyle w:val="Sinespaciado"/>
        <w:spacing w:line="360" w:lineRule="auto"/>
        <w:jc w:val="center"/>
        <w:rPr>
          <w:rFonts w:ascii="Georgia" w:hAnsi="Georgia" w:cs="Arial"/>
          <w:w w:val="140"/>
          <w:sz w:val="16"/>
          <w:szCs w:val="18"/>
        </w:rPr>
      </w:pPr>
      <w:r w:rsidRPr="00DF631B">
        <w:rPr>
          <w:rFonts w:ascii="Georgia" w:hAnsi="Georgia" w:cs="Arial"/>
          <w:w w:val="140"/>
          <w:sz w:val="18"/>
          <w:szCs w:val="18"/>
        </w:rPr>
        <w:t>S</w:t>
      </w:r>
      <w:r w:rsidRPr="00DF631B">
        <w:rPr>
          <w:rFonts w:ascii="Georgia" w:hAnsi="Georgia" w:cs="Arial"/>
          <w:w w:val="140"/>
          <w:sz w:val="16"/>
          <w:szCs w:val="18"/>
        </w:rPr>
        <w:t>A</w:t>
      </w:r>
      <w:r w:rsidRPr="00DF631B">
        <w:rPr>
          <w:rFonts w:ascii="Georgia" w:hAnsi="Georgia" w:cs="Arial"/>
          <w:w w:val="140"/>
          <w:sz w:val="16"/>
          <w:szCs w:val="16"/>
        </w:rPr>
        <w:t>LA DE DECISIÓN</w:t>
      </w:r>
      <w:r w:rsidRPr="00DF631B">
        <w:rPr>
          <w:rFonts w:ascii="Georgia" w:hAnsi="Georgia" w:cs="Arial"/>
          <w:w w:val="140"/>
          <w:sz w:val="14"/>
          <w:szCs w:val="18"/>
        </w:rPr>
        <w:t xml:space="preserve"> </w:t>
      </w:r>
      <w:r w:rsidRPr="00DF631B">
        <w:rPr>
          <w:rFonts w:ascii="Georgia" w:hAnsi="Georgia" w:cs="Arial"/>
          <w:w w:val="140"/>
          <w:sz w:val="18"/>
          <w:szCs w:val="18"/>
        </w:rPr>
        <w:t>C</w:t>
      </w:r>
      <w:r w:rsidRPr="00DF631B">
        <w:rPr>
          <w:rFonts w:ascii="Georgia" w:hAnsi="Georgia" w:cs="Arial"/>
          <w:w w:val="140"/>
          <w:sz w:val="16"/>
          <w:szCs w:val="18"/>
        </w:rPr>
        <w:t xml:space="preserve">IVIL – </w:t>
      </w:r>
      <w:r w:rsidRPr="00DF631B">
        <w:rPr>
          <w:rFonts w:ascii="Georgia" w:hAnsi="Georgia" w:cs="Arial"/>
          <w:w w:val="140"/>
          <w:sz w:val="18"/>
          <w:szCs w:val="18"/>
        </w:rPr>
        <w:t>F</w:t>
      </w:r>
      <w:r w:rsidRPr="00DF631B">
        <w:rPr>
          <w:rFonts w:ascii="Georgia" w:hAnsi="Georgia" w:cs="Arial"/>
          <w:w w:val="140"/>
          <w:sz w:val="16"/>
          <w:szCs w:val="18"/>
        </w:rPr>
        <w:t xml:space="preserve">AMILIA – </w:t>
      </w:r>
      <w:r w:rsidRPr="00DF631B">
        <w:rPr>
          <w:rFonts w:ascii="Georgia" w:hAnsi="Georgia" w:cs="Arial"/>
          <w:w w:val="140"/>
          <w:sz w:val="18"/>
          <w:szCs w:val="18"/>
        </w:rPr>
        <w:t>D</w:t>
      </w:r>
      <w:r w:rsidRPr="00DF631B">
        <w:rPr>
          <w:rFonts w:ascii="Georgia" w:hAnsi="Georgia" w:cs="Arial"/>
          <w:w w:val="140"/>
          <w:sz w:val="16"/>
          <w:szCs w:val="18"/>
        </w:rPr>
        <w:t>ISTRITO</w:t>
      </w:r>
      <w:r w:rsidRPr="00DF631B">
        <w:rPr>
          <w:rFonts w:ascii="Georgia" w:hAnsi="Georgia" w:cs="Arial"/>
          <w:w w:val="140"/>
          <w:sz w:val="18"/>
          <w:szCs w:val="18"/>
        </w:rPr>
        <w:t xml:space="preserve"> </w:t>
      </w:r>
      <w:r w:rsidRPr="00DF631B">
        <w:rPr>
          <w:rFonts w:ascii="Georgia" w:hAnsi="Georgia" w:cs="Arial"/>
          <w:w w:val="140"/>
          <w:sz w:val="16"/>
          <w:szCs w:val="18"/>
        </w:rPr>
        <w:t>DE</w:t>
      </w:r>
      <w:r w:rsidRPr="00DF631B">
        <w:rPr>
          <w:rFonts w:ascii="Georgia" w:hAnsi="Georgia" w:cs="Arial"/>
          <w:w w:val="140"/>
          <w:sz w:val="18"/>
          <w:szCs w:val="18"/>
        </w:rPr>
        <w:t xml:space="preserve"> P</w:t>
      </w:r>
      <w:r w:rsidRPr="00DF631B">
        <w:rPr>
          <w:rFonts w:ascii="Georgia" w:hAnsi="Georgia" w:cs="Arial"/>
          <w:w w:val="140"/>
          <w:sz w:val="16"/>
          <w:szCs w:val="18"/>
        </w:rPr>
        <w:t>EREIRA</w:t>
      </w:r>
    </w:p>
    <w:p w:rsidR="00DA6C81" w:rsidRPr="00DF631B" w:rsidRDefault="00DA6C81" w:rsidP="00DA6C81">
      <w:pPr>
        <w:pStyle w:val="Sinespaciado"/>
        <w:spacing w:line="360" w:lineRule="auto"/>
        <w:jc w:val="center"/>
        <w:rPr>
          <w:rFonts w:ascii="Georgia" w:hAnsi="Georgia" w:cs="Arial"/>
          <w:w w:val="140"/>
          <w:sz w:val="16"/>
          <w:szCs w:val="18"/>
        </w:rPr>
      </w:pPr>
      <w:r w:rsidRPr="00DF631B">
        <w:rPr>
          <w:rFonts w:ascii="Georgia" w:hAnsi="Georgia" w:cs="Arial"/>
          <w:w w:val="140"/>
          <w:sz w:val="18"/>
          <w:szCs w:val="18"/>
        </w:rPr>
        <w:t>D</w:t>
      </w:r>
      <w:r w:rsidRPr="00DF631B">
        <w:rPr>
          <w:rFonts w:ascii="Georgia" w:hAnsi="Georgia" w:cs="Arial"/>
          <w:w w:val="140"/>
          <w:sz w:val="16"/>
          <w:szCs w:val="18"/>
        </w:rPr>
        <w:t xml:space="preserve">EPARTAMENTO </w:t>
      </w:r>
      <w:r w:rsidRPr="00DF631B">
        <w:rPr>
          <w:rFonts w:ascii="Georgia" w:hAnsi="Georgia" w:cs="Arial"/>
          <w:w w:val="140"/>
          <w:sz w:val="18"/>
          <w:szCs w:val="18"/>
        </w:rPr>
        <w:t>D</w:t>
      </w:r>
      <w:r w:rsidRPr="00DF631B">
        <w:rPr>
          <w:rFonts w:ascii="Georgia" w:hAnsi="Georgia" w:cs="Arial"/>
          <w:w w:val="140"/>
          <w:sz w:val="16"/>
          <w:szCs w:val="18"/>
        </w:rPr>
        <w:t xml:space="preserve">EL </w:t>
      </w:r>
      <w:r w:rsidRPr="00DF631B">
        <w:rPr>
          <w:rFonts w:ascii="Georgia" w:hAnsi="Georgia" w:cs="Arial"/>
          <w:w w:val="140"/>
          <w:sz w:val="18"/>
          <w:szCs w:val="18"/>
        </w:rPr>
        <w:t>R</w:t>
      </w:r>
      <w:r w:rsidRPr="00DF631B">
        <w:rPr>
          <w:rFonts w:ascii="Georgia" w:hAnsi="Georgia" w:cs="Arial"/>
          <w:w w:val="140"/>
          <w:sz w:val="16"/>
          <w:szCs w:val="18"/>
        </w:rPr>
        <w:t>ISARALDA</w:t>
      </w:r>
    </w:p>
    <w:p w:rsidR="00DA6C81" w:rsidRPr="00DF631B" w:rsidRDefault="00DA6C81" w:rsidP="00DA6C81">
      <w:pPr>
        <w:pStyle w:val="Textoindependiente"/>
        <w:spacing w:line="360" w:lineRule="auto"/>
        <w:jc w:val="center"/>
        <w:rPr>
          <w:rFonts w:ascii="Georgia" w:hAnsi="Georgia" w:cs="Arial"/>
          <w:sz w:val="22"/>
          <w:szCs w:val="22"/>
        </w:rPr>
      </w:pPr>
    </w:p>
    <w:p w:rsidR="00DA6C81" w:rsidRPr="00DF631B" w:rsidRDefault="00DA6C81" w:rsidP="00DF631B">
      <w:pPr>
        <w:pStyle w:val="Textoindependiente"/>
        <w:ind w:left="708" w:firstLine="708"/>
        <w:rPr>
          <w:rFonts w:ascii="Georgia" w:hAnsi="Georgia" w:cs="Arial"/>
          <w:smallCaps/>
          <w:sz w:val="22"/>
          <w:szCs w:val="22"/>
        </w:rPr>
      </w:pPr>
      <w:r w:rsidRPr="00DF631B">
        <w:rPr>
          <w:rFonts w:ascii="Georgia" w:hAnsi="Georgia" w:cs="Arial"/>
          <w:smallCaps/>
          <w:sz w:val="22"/>
          <w:szCs w:val="22"/>
        </w:rPr>
        <w:t>Asunto</w:t>
      </w:r>
      <w:r w:rsidRPr="00DF631B">
        <w:rPr>
          <w:rFonts w:ascii="Georgia" w:hAnsi="Georgia" w:cs="Arial"/>
          <w:smallCaps/>
          <w:sz w:val="22"/>
          <w:szCs w:val="22"/>
        </w:rPr>
        <w:tab/>
      </w:r>
      <w:r w:rsidRPr="00DF631B">
        <w:rPr>
          <w:rFonts w:ascii="Georgia" w:hAnsi="Georgia" w:cs="Arial"/>
          <w:smallCaps/>
          <w:sz w:val="22"/>
          <w:szCs w:val="22"/>
        </w:rPr>
        <w:tab/>
        <w:t>: Sentencia de segundo grado - Civil</w:t>
      </w:r>
    </w:p>
    <w:p w:rsidR="00DA6C81" w:rsidRPr="00DF631B" w:rsidRDefault="00DA6C81" w:rsidP="00DF631B">
      <w:pPr>
        <w:ind w:left="708" w:firstLine="708"/>
        <w:jc w:val="both"/>
        <w:rPr>
          <w:rFonts w:ascii="Georgia" w:hAnsi="Georgia"/>
          <w:smallCaps/>
          <w:sz w:val="22"/>
          <w:szCs w:val="22"/>
        </w:rPr>
      </w:pPr>
      <w:r w:rsidRPr="00DF631B">
        <w:rPr>
          <w:rFonts w:ascii="Georgia" w:hAnsi="Georgia" w:cs="Arial"/>
          <w:smallCaps/>
          <w:sz w:val="22"/>
          <w:szCs w:val="22"/>
        </w:rPr>
        <w:t>Tipo de proceso</w:t>
      </w:r>
      <w:r w:rsidRPr="00DF631B">
        <w:rPr>
          <w:rFonts w:ascii="Georgia" w:hAnsi="Georgia" w:cs="Arial"/>
          <w:smallCaps/>
          <w:sz w:val="22"/>
          <w:szCs w:val="22"/>
        </w:rPr>
        <w:tab/>
        <w:t xml:space="preserve">: Abreviado </w:t>
      </w:r>
      <w:r w:rsidRPr="00DF631B">
        <w:rPr>
          <w:rFonts w:ascii="Georgia" w:hAnsi="Georgia"/>
          <w:smallCaps/>
          <w:sz w:val="22"/>
          <w:szCs w:val="22"/>
        </w:rPr>
        <w:t>– Rendición provocada de cuentas</w:t>
      </w:r>
    </w:p>
    <w:p w:rsidR="00DA6C81" w:rsidRPr="00DF631B" w:rsidRDefault="00DA6C81" w:rsidP="00DF631B">
      <w:pPr>
        <w:ind w:left="708" w:firstLine="708"/>
        <w:jc w:val="both"/>
        <w:rPr>
          <w:rFonts w:ascii="Georgia" w:hAnsi="Georgia" w:cs="Arial"/>
          <w:smallCaps/>
          <w:sz w:val="22"/>
          <w:szCs w:val="22"/>
        </w:rPr>
      </w:pPr>
      <w:r w:rsidRPr="00DF631B">
        <w:rPr>
          <w:rFonts w:ascii="Georgia" w:hAnsi="Georgia" w:cs="Arial"/>
          <w:smallCaps/>
          <w:sz w:val="22"/>
          <w:szCs w:val="22"/>
        </w:rPr>
        <w:t>Demandante (s)</w:t>
      </w:r>
      <w:r w:rsidRPr="00DF631B">
        <w:rPr>
          <w:rFonts w:ascii="Georgia" w:hAnsi="Georgia" w:cs="Arial"/>
          <w:smallCaps/>
          <w:sz w:val="22"/>
          <w:szCs w:val="22"/>
        </w:rPr>
        <w:tab/>
        <w:t xml:space="preserve">: Carlos Arturo </w:t>
      </w:r>
      <w:proofErr w:type="spellStart"/>
      <w:r w:rsidRPr="00DF631B">
        <w:rPr>
          <w:rFonts w:ascii="Georgia" w:hAnsi="Georgia" w:cs="Arial"/>
          <w:smallCaps/>
          <w:sz w:val="22"/>
          <w:szCs w:val="22"/>
        </w:rPr>
        <w:t>Quiceno</w:t>
      </w:r>
      <w:proofErr w:type="spellEnd"/>
      <w:r w:rsidRPr="00DF631B">
        <w:rPr>
          <w:rFonts w:ascii="Georgia" w:hAnsi="Georgia" w:cs="Arial"/>
          <w:smallCaps/>
          <w:sz w:val="22"/>
          <w:szCs w:val="22"/>
        </w:rPr>
        <w:t xml:space="preserve"> Ortiz y otros</w:t>
      </w:r>
    </w:p>
    <w:p w:rsidR="00DA6C81" w:rsidRPr="00DF631B" w:rsidRDefault="00DA6C81" w:rsidP="00DF631B">
      <w:pPr>
        <w:ind w:left="708" w:firstLine="708"/>
        <w:jc w:val="both"/>
        <w:rPr>
          <w:rFonts w:ascii="Georgia" w:hAnsi="Georgia" w:cs="Arial"/>
          <w:smallCaps/>
          <w:sz w:val="22"/>
          <w:szCs w:val="22"/>
        </w:rPr>
      </w:pPr>
      <w:r w:rsidRPr="00DF631B">
        <w:rPr>
          <w:rFonts w:ascii="Georgia" w:hAnsi="Georgia" w:cs="Arial"/>
          <w:smallCaps/>
          <w:sz w:val="22"/>
          <w:szCs w:val="22"/>
        </w:rPr>
        <w:t>Demandado (s)</w:t>
      </w:r>
      <w:r w:rsidRPr="00DF631B">
        <w:rPr>
          <w:rFonts w:ascii="Georgia" w:hAnsi="Georgia" w:cs="Arial"/>
          <w:smallCaps/>
          <w:sz w:val="22"/>
          <w:szCs w:val="22"/>
        </w:rPr>
        <w:tab/>
        <w:t xml:space="preserve">: José Fernando </w:t>
      </w:r>
      <w:proofErr w:type="spellStart"/>
      <w:r w:rsidRPr="00DF631B">
        <w:rPr>
          <w:rFonts w:ascii="Georgia" w:hAnsi="Georgia" w:cs="Arial"/>
          <w:smallCaps/>
          <w:sz w:val="22"/>
          <w:szCs w:val="22"/>
        </w:rPr>
        <w:t>Quiceno</w:t>
      </w:r>
      <w:proofErr w:type="spellEnd"/>
      <w:r w:rsidRPr="00DF631B">
        <w:rPr>
          <w:rFonts w:ascii="Georgia" w:hAnsi="Georgia" w:cs="Arial"/>
          <w:smallCaps/>
          <w:sz w:val="22"/>
          <w:szCs w:val="22"/>
        </w:rPr>
        <w:t xml:space="preserve"> Ortiz y otros</w:t>
      </w:r>
    </w:p>
    <w:p w:rsidR="00DA6C81" w:rsidRPr="00DF631B" w:rsidRDefault="00DA6C81" w:rsidP="00DF631B">
      <w:pPr>
        <w:ind w:left="708" w:firstLine="708"/>
        <w:jc w:val="both"/>
        <w:rPr>
          <w:rFonts w:ascii="Georgia" w:hAnsi="Georgia" w:cs="Arial"/>
          <w:smallCaps/>
          <w:sz w:val="22"/>
          <w:szCs w:val="22"/>
        </w:rPr>
      </w:pPr>
      <w:r w:rsidRPr="00DF631B">
        <w:rPr>
          <w:rFonts w:ascii="Georgia" w:hAnsi="Georgia" w:cs="Arial"/>
          <w:smallCaps/>
          <w:sz w:val="22"/>
          <w:szCs w:val="22"/>
        </w:rPr>
        <w:t xml:space="preserve">Procedencia </w:t>
      </w:r>
      <w:r w:rsidRPr="00DF631B">
        <w:rPr>
          <w:rFonts w:ascii="Georgia" w:hAnsi="Georgia" w:cs="Arial"/>
          <w:smallCaps/>
          <w:sz w:val="22"/>
          <w:szCs w:val="22"/>
        </w:rPr>
        <w:tab/>
      </w:r>
      <w:r w:rsidRPr="00DF631B">
        <w:rPr>
          <w:rFonts w:ascii="Georgia" w:hAnsi="Georgia" w:cs="Arial"/>
          <w:smallCaps/>
          <w:sz w:val="22"/>
          <w:szCs w:val="22"/>
        </w:rPr>
        <w:tab/>
        <w:t>: Juzgado Primero Civil del Circuito de Pereira</w:t>
      </w:r>
    </w:p>
    <w:p w:rsidR="00DA6C81" w:rsidRPr="00DF631B" w:rsidRDefault="00DA6C81" w:rsidP="00DF631B">
      <w:pPr>
        <w:ind w:left="708" w:firstLine="708"/>
        <w:jc w:val="both"/>
        <w:rPr>
          <w:rFonts w:ascii="Georgia" w:hAnsi="Georgia" w:cs="Arial"/>
          <w:smallCaps/>
          <w:sz w:val="22"/>
          <w:szCs w:val="22"/>
        </w:rPr>
      </w:pPr>
      <w:r w:rsidRPr="00DF631B">
        <w:rPr>
          <w:rFonts w:ascii="Georgia" w:hAnsi="Georgia" w:cs="Arial"/>
          <w:smallCaps/>
          <w:sz w:val="22"/>
          <w:szCs w:val="22"/>
        </w:rPr>
        <w:t>Radicación</w:t>
      </w:r>
      <w:r w:rsidRPr="00DF631B">
        <w:rPr>
          <w:rFonts w:ascii="Georgia" w:hAnsi="Georgia" w:cs="Arial"/>
          <w:smallCaps/>
          <w:sz w:val="22"/>
          <w:szCs w:val="22"/>
        </w:rPr>
        <w:tab/>
      </w:r>
      <w:r w:rsidRPr="00DF631B">
        <w:rPr>
          <w:rFonts w:ascii="Georgia" w:hAnsi="Georgia" w:cs="Arial"/>
          <w:smallCaps/>
          <w:sz w:val="22"/>
          <w:szCs w:val="22"/>
        </w:rPr>
        <w:tab/>
        <w:t>: 66001-31-03-001-2013-00275-01</w:t>
      </w:r>
    </w:p>
    <w:p w:rsidR="00DA6C81" w:rsidRPr="00DF631B" w:rsidRDefault="00DA6C81" w:rsidP="00DF631B">
      <w:pPr>
        <w:ind w:left="3540" w:hanging="2124"/>
        <w:rPr>
          <w:rFonts w:ascii="Georgia" w:hAnsi="Georgia" w:cs="Arial"/>
          <w:smallCaps/>
          <w:sz w:val="22"/>
          <w:szCs w:val="22"/>
        </w:rPr>
      </w:pPr>
      <w:r w:rsidRPr="00DF631B">
        <w:rPr>
          <w:rFonts w:ascii="Georgia" w:hAnsi="Georgia" w:cs="Arial"/>
          <w:smallCaps/>
          <w:sz w:val="22"/>
          <w:szCs w:val="22"/>
        </w:rPr>
        <w:t>Temas</w:t>
      </w:r>
      <w:r w:rsidRPr="00DF631B">
        <w:rPr>
          <w:rFonts w:ascii="Georgia" w:hAnsi="Georgia" w:cs="Arial"/>
          <w:smallCaps/>
          <w:sz w:val="22"/>
          <w:szCs w:val="22"/>
        </w:rPr>
        <w:tab/>
        <w:t>: Congruencia - Legitimación - Pretensión declarativa</w:t>
      </w:r>
    </w:p>
    <w:p w:rsidR="00DA6C81" w:rsidRPr="00DF631B" w:rsidRDefault="00DA6C81" w:rsidP="00DF631B">
      <w:pPr>
        <w:ind w:left="708" w:firstLine="708"/>
        <w:rPr>
          <w:rFonts w:ascii="Georgia" w:hAnsi="Georgia"/>
          <w:sz w:val="22"/>
        </w:rPr>
      </w:pPr>
      <w:r w:rsidRPr="00DF631B">
        <w:rPr>
          <w:rFonts w:ascii="Georgia" w:hAnsi="Georgia" w:cs="Arial"/>
          <w:smallCaps/>
          <w:sz w:val="22"/>
          <w:szCs w:val="22"/>
        </w:rPr>
        <w:t>Mg. Sustanciador</w:t>
      </w:r>
      <w:r w:rsidRPr="00DF631B">
        <w:rPr>
          <w:rFonts w:ascii="Georgia" w:hAnsi="Georgia" w:cs="Arial"/>
          <w:smallCaps/>
          <w:sz w:val="22"/>
          <w:szCs w:val="22"/>
        </w:rPr>
        <w:tab/>
        <w:t>: D</w:t>
      </w:r>
      <w:r w:rsidRPr="00DF631B">
        <w:rPr>
          <w:rFonts w:ascii="Georgia" w:hAnsi="Georgia"/>
          <w:smallCaps/>
          <w:sz w:val="22"/>
        </w:rPr>
        <w:t>uberney Grisales Herrera</w:t>
      </w:r>
    </w:p>
    <w:p w:rsidR="00DA6C81" w:rsidRPr="00DF631B" w:rsidRDefault="00DA6C81" w:rsidP="00DA6C81">
      <w:pPr>
        <w:pBdr>
          <w:bottom w:val="double" w:sz="6" w:space="1" w:color="auto"/>
        </w:pBdr>
        <w:spacing w:line="360" w:lineRule="auto"/>
        <w:jc w:val="center"/>
        <w:rPr>
          <w:rFonts w:ascii="Georgia" w:hAnsi="Georgia"/>
          <w:spacing w:val="20"/>
          <w:w w:val="150"/>
        </w:rPr>
      </w:pPr>
    </w:p>
    <w:p w:rsidR="00DA6C81" w:rsidRPr="00DF631B" w:rsidRDefault="00DA6C81" w:rsidP="00DA6C81">
      <w:pPr>
        <w:spacing w:line="360" w:lineRule="auto"/>
        <w:jc w:val="center"/>
        <w:rPr>
          <w:rFonts w:ascii="Georgia" w:hAnsi="Georgia"/>
          <w:spacing w:val="20"/>
          <w:w w:val="150"/>
        </w:rPr>
      </w:pPr>
    </w:p>
    <w:p w:rsidR="00DA6C81" w:rsidRPr="00DF631B" w:rsidRDefault="00DA6C81" w:rsidP="00DA6C81">
      <w:pPr>
        <w:spacing w:line="360" w:lineRule="auto"/>
        <w:jc w:val="center"/>
        <w:rPr>
          <w:rFonts w:ascii="Georgia" w:hAnsi="Georgia"/>
          <w:spacing w:val="20"/>
          <w:w w:val="150"/>
        </w:rPr>
      </w:pPr>
      <w:r w:rsidRPr="00DF631B">
        <w:rPr>
          <w:rFonts w:ascii="Georgia" w:hAnsi="Georgia"/>
          <w:spacing w:val="20"/>
          <w:w w:val="150"/>
          <w:sz w:val="22"/>
        </w:rPr>
        <w:t>A</w:t>
      </w:r>
      <w:r w:rsidRPr="00DF631B">
        <w:rPr>
          <w:rFonts w:ascii="Georgia" w:hAnsi="Georgia"/>
          <w:spacing w:val="20"/>
          <w:w w:val="150"/>
          <w:sz w:val="18"/>
        </w:rPr>
        <w:t>UDIENCIA</w:t>
      </w:r>
      <w:r w:rsidRPr="00DF631B">
        <w:rPr>
          <w:rFonts w:ascii="Georgia" w:hAnsi="Georgia"/>
          <w:spacing w:val="20"/>
          <w:w w:val="150"/>
        </w:rPr>
        <w:t xml:space="preserve"> </w:t>
      </w:r>
      <w:r w:rsidRPr="00DF631B">
        <w:rPr>
          <w:rFonts w:ascii="Georgia" w:hAnsi="Georgia"/>
          <w:spacing w:val="20"/>
          <w:w w:val="150"/>
          <w:sz w:val="18"/>
        </w:rPr>
        <w:t>PÚBLICA</w:t>
      </w:r>
    </w:p>
    <w:p w:rsidR="00DA6C81" w:rsidRPr="00DF631B" w:rsidRDefault="00DA6C81" w:rsidP="00DA6C81">
      <w:pPr>
        <w:spacing w:line="360" w:lineRule="auto"/>
        <w:ind w:right="46"/>
        <w:jc w:val="both"/>
        <w:rPr>
          <w:rFonts w:ascii="Georgia" w:hAnsi="Georgia"/>
          <w:sz w:val="18"/>
        </w:rPr>
      </w:pPr>
      <w:r w:rsidRPr="00DF631B">
        <w:rPr>
          <w:rFonts w:ascii="Georgia" w:hAnsi="Georgia"/>
          <w:sz w:val="18"/>
        </w:rPr>
        <w:t>_____________________________________________________________________________</w:t>
      </w:r>
    </w:p>
    <w:p w:rsidR="00DA6C81" w:rsidRPr="00DF631B" w:rsidRDefault="00DA6C81" w:rsidP="00DF631B">
      <w:pPr>
        <w:spacing w:line="288" w:lineRule="auto"/>
        <w:jc w:val="both"/>
        <w:rPr>
          <w:rFonts w:ascii="Georgia" w:hAnsi="Georgia" w:cs="Arial"/>
          <w:szCs w:val="28"/>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lastRenderedPageBreak/>
        <w:t xml:space="preserve">En la ciudad de Pereira, Risaralda, hoy trece (13) de febrero de dos mil diecinueve (2019), siendo las nueve de la mañana (09:00 a.m.), fecha y hora programadas con auto del 24-01-2019, para resolver el recurso de apelación interpuesto contra la sentencia del </w:t>
      </w:r>
      <w:r w:rsidRPr="00AE23D3">
        <w:rPr>
          <w:rFonts w:ascii="Georgia" w:hAnsi="Georgia" w:cs="Arial"/>
          <w:b/>
          <w:szCs w:val="24"/>
        </w:rPr>
        <w:t>09-03-2018</w:t>
      </w:r>
      <w:r w:rsidRPr="00AE23D3">
        <w:rPr>
          <w:rFonts w:ascii="Georgia" w:hAnsi="Georgia" w:cs="Arial"/>
          <w:szCs w:val="24"/>
        </w:rPr>
        <w:t xml:space="preserve">, el Magistrado </w:t>
      </w:r>
      <w:r w:rsidRPr="00AE23D3">
        <w:rPr>
          <w:rFonts w:ascii="Georgia" w:hAnsi="Georgia" w:cs="Arial"/>
          <w:smallCaps/>
          <w:szCs w:val="24"/>
        </w:rPr>
        <w:t>Duberney Grisales Herrera</w:t>
      </w:r>
      <w:r w:rsidRPr="00AE23D3">
        <w:rPr>
          <w:rFonts w:ascii="Georgia" w:hAnsi="Georgia" w:cs="Arial"/>
          <w:szCs w:val="24"/>
        </w:rPr>
        <w:t xml:space="preserve">, se declara constituido en Audiencia Pública, en asocio de los demás integrantes de la Sala de Decisión, </w:t>
      </w:r>
      <w:proofErr w:type="spellStart"/>
      <w:r w:rsidRPr="00AE23D3">
        <w:rPr>
          <w:rFonts w:ascii="Georgia" w:hAnsi="Georgia" w:cs="Arial"/>
          <w:smallCaps/>
          <w:szCs w:val="24"/>
        </w:rPr>
        <w:t>Edder</w:t>
      </w:r>
      <w:proofErr w:type="spellEnd"/>
      <w:r w:rsidRPr="00AE23D3">
        <w:rPr>
          <w:rFonts w:ascii="Georgia" w:hAnsi="Georgia" w:cs="Arial"/>
          <w:smallCaps/>
          <w:szCs w:val="24"/>
        </w:rPr>
        <w:t xml:space="preserve"> Jimmy Sánchez </w:t>
      </w:r>
      <w:proofErr w:type="spellStart"/>
      <w:r w:rsidRPr="00AE23D3">
        <w:rPr>
          <w:rFonts w:ascii="Georgia" w:hAnsi="Georgia" w:cs="Arial"/>
          <w:smallCaps/>
          <w:szCs w:val="24"/>
        </w:rPr>
        <w:t>Calambás</w:t>
      </w:r>
      <w:proofErr w:type="spellEnd"/>
      <w:r w:rsidRPr="00AE23D3">
        <w:rPr>
          <w:rFonts w:ascii="Georgia" w:hAnsi="Georgia" w:cs="Arial"/>
          <w:smallCaps/>
          <w:szCs w:val="24"/>
        </w:rPr>
        <w:t xml:space="preserve"> y Jaime Alberto Saraza Naranjo</w:t>
      </w:r>
      <w:r w:rsidRPr="00AE23D3">
        <w:rPr>
          <w:rFonts w:ascii="Georgia" w:hAnsi="Georgia" w:cs="Arial"/>
          <w:szCs w:val="24"/>
        </w:rPr>
        <w:t xml:space="preserve">, conforme al </w:t>
      </w:r>
      <w:r w:rsidRPr="00AE23D3">
        <w:rPr>
          <w:rFonts w:ascii="Georgia" w:hAnsi="Georgia" w:cs="Arial"/>
          <w:spacing w:val="-2"/>
          <w:szCs w:val="24"/>
        </w:rPr>
        <w:t xml:space="preserve">artículo 327, CGP, </w:t>
      </w:r>
      <w:r w:rsidRPr="00AE23D3">
        <w:rPr>
          <w:rFonts w:ascii="Georgia" w:hAnsi="Georgia" w:cs="Arial"/>
          <w:szCs w:val="24"/>
        </w:rPr>
        <w:t>en la sede donde habitualmente laboran en el Palacio de Justicia de la ciudad.</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pStyle w:val="Ttulo2"/>
        <w:numPr>
          <w:ilvl w:val="0"/>
          <w:numId w:val="2"/>
        </w:numPr>
        <w:spacing w:line="288" w:lineRule="auto"/>
        <w:jc w:val="left"/>
        <w:rPr>
          <w:rFonts w:ascii="Georgia" w:hAnsi="Georgia"/>
          <w:b w:val="0"/>
          <w:sz w:val="24"/>
        </w:rPr>
      </w:pPr>
      <w:r w:rsidRPr="00AE23D3">
        <w:rPr>
          <w:rFonts w:ascii="Georgia" w:hAnsi="Georgia"/>
          <w:b w:val="0"/>
          <w:smallCaps/>
          <w:sz w:val="24"/>
        </w:rPr>
        <w:t>La síntesis de la demanda</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pStyle w:val="Prrafodelista"/>
        <w:widowControl/>
        <w:numPr>
          <w:ilvl w:val="1"/>
          <w:numId w:val="2"/>
        </w:numPr>
        <w:autoSpaceDE/>
        <w:autoSpaceDN/>
        <w:spacing w:line="288" w:lineRule="auto"/>
        <w:contextualSpacing/>
        <w:jc w:val="both"/>
        <w:textAlignment w:val="baseline"/>
        <w:rPr>
          <w:rFonts w:ascii="Georgia" w:hAnsi="Georgia" w:cs="Arial"/>
          <w:sz w:val="24"/>
          <w:szCs w:val="24"/>
        </w:rPr>
      </w:pPr>
      <w:r w:rsidRPr="00AE23D3">
        <w:rPr>
          <w:rFonts w:ascii="Georgia" w:hAnsi="Georgia" w:cs="Arial"/>
          <w:smallCaps/>
          <w:sz w:val="24"/>
          <w:szCs w:val="24"/>
        </w:rPr>
        <w:t>Los hechos relevantes.</w:t>
      </w:r>
      <w:r w:rsidRPr="00AE23D3">
        <w:rPr>
          <w:rFonts w:ascii="Georgia" w:hAnsi="Georgia" w:cs="Arial"/>
          <w:sz w:val="24"/>
          <w:szCs w:val="24"/>
        </w:rPr>
        <w:t xml:space="preserve"> Exponen los demandantes que son copropietarios, junto con los demandados, del inmueble “Balcones” (Modos de adquisición explicados en un escrito denso y farragoso), explotado con ganadería por estos, sin que aquellos hayan recibido algún beneficio por el periodo comprendido entre enero de 1998 y noviembre de 2012. Aducen los actores que entre las partes, surgió una sociedad de hecho comercial o “</w:t>
      </w:r>
      <w:r w:rsidRPr="00AE23D3">
        <w:rPr>
          <w:rFonts w:ascii="Georgia" w:hAnsi="Georgia" w:cs="Arial"/>
          <w:i/>
          <w:sz w:val="24"/>
          <w:szCs w:val="24"/>
        </w:rPr>
        <w:t>asociación de bienes comunes para su explotación</w:t>
      </w:r>
      <w:r w:rsidRPr="00AE23D3">
        <w:rPr>
          <w:rFonts w:ascii="Georgia" w:hAnsi="Georgia" w:cs="Arial"/>
          <w:sz w:val="24"/>
          <w:szCs w:val="24"/>
        </w:rPr>
        <w:t xml:space="preserve">” (Folio 362, cuaderno No.1), conformada por varios bienes muebles (Cinco) e inmuebles (Cuatro), desde la adjudicación hecha en la sucesión del señor Gustavo </w:t>
      </w:r>
      <w:proofErr w:type="spellStart"/>
      <w:r w:rsidRPr="00AE23D3">
        <w:rPr>
          <w:rFonts w:ascii="Georgia" w:hAnsi="Georgia" w:cs="Arial"/>
          <w:sz w:val="24"/>
          <w:szCs w:val="24"/>
        </w:rPr>
        <w:t>Quiceno</w:t>
      </w:r>
      <w:proofErr w:type="spellEnd"/>
      <w:r w:rsidRPr="00AE23D3">
        <w:rPr>
          <w:rFonts w:ascii="Georgia" w:hAnsi="Georgia" w:cs="Arial"/>
          <w:sz w:val="24"/>
          <w:szCs w:val="24"/>
        </w:rPr>
        <w:t xml:space="preserve"> Escobar; es esa la razón para pedir cuentas (Folios 358-386, cuaderno No.1).</w:t>
      </w:r>
    </w:p>
    <w:p w:rsidR="00DA6C81" w:rsidRPr="00AE23D3" w:rsidRDefault="00DA6C81" w:rsidP="00DF631B">
      <w:pPr>
        <w:pStyle w:val="Prrafodelista"/>
        <w:widowControl/>
        <w:autoSpaceDE/>
        <w:autoSpaceDN/>
        <w:spacing w:line="288" w:lineRule="auto"/>
        <w:ind w:left="720"/>
        <w:contextualSpacing/>
        <w:jc w:val="both"/>
        <w:textAlignment w:val="baseline"/>
        <w:rPr>
          <w:rFonts w:ascii="Georgia" w:hAnsi="Georgia" w:cs="Arial"/>
          <w:sz w:val="24"/>
          <w:szCs w:val="24"/>
        </w:rPr>
      </w:pPr>
    </w:p>
    <w:p w:rsidR="00DA6C81" w:rsidRPr="00AE23D3" w:rsidRDefault="00DA6C81" w:rsidP="00DF631B">
      <w:pPr>
        <w:pStyle w:val="Prrafodelista"/>
        <w:widowControl/>
        <w:numPr>
          <w:ilvl w:val="1"/>
          <w:numId w:val="2"/>
        </w:numPr>
        <w:tabs>
          <w:tab w:val="left" w:pos="142"/>
        </w:tabs>
        <w:autoSpaceDE/>
        <w:autoSpaceDN/>
        <w:spacing w:line="288" w:lineRule="auto"/>
        <w:contextualSpacing/>
        <w:jc w:val="both"/>
        <w:textAlignment w:val="baseline"/>
        <w:rPr>
          <w:rFonts w:ascii="Georgia" w:hAnsi="Georgia" w:cs="Arial"/>
          <w:sz w:val="24"/>
          <w:szCs w:val="24"/>
        </w:rPr>
      </w:pPr>
      <w:r w:rsidRPr="00AE23D3">
        <w:rPr>
          <w:rFonts w:ascii="Georgia" w:hAnsi="Georgia" w:cs="Arial"/>
          <w:smallCaps/>
          <w:sz w:val="24"/>
          <w:szCs w:val="24"/>
        </w:rPr>
        <w:t>Las pretensiones.</w:t>
      </w:r>
      <w:r w:rsidRPr="00AE23D3">
        <w:rPr>
          <w:rFonts w:ascii="Georgia" w:hAnsi="Georgia" w:cs="Arial"/>
          <w:sz w:val="24"/>
          <w:szCs w:val="24"/>
        </w:rPr>
        <w:t xml:space="preserve"> (i)</w:t>
      </w:r>
      <w:r w:rsidRPr="00AE23D3">
        <w:rPr>
          <w:rFonts w:ascii="Georgia" w:hAnsi="Georgia" w:cs="Arial"/>
          <w:smallCaps/>
          <w:sz w:val="24"/>
          <w:szCs w:val="24"/>
        </w:rPr>
        <w:t xml:space="preserve"> </w:t>
      </w:r>
      <w:r w:rsidRPr="00AE23D3">
        <w:rPr>
          <w:rFonts w:ascii="Georgia" w:hAnsi="Georgia" w:cs="Arial"/>
          <w:sz w:val="24"/>
          <w:szCs w:val="24"/>
        </w:rPr>
        <w:t>Ordenar a la parte demandada que rinda cuentas de la administración del predio “Balcones” y del ganado, cuyos valores fueron detallados; y, (ii) Ordenar el pago de tales sumas con las respectivas indexaciones (Folios 387-389, cuaderno principal No.1).</w:t>
      </w:r>
    </w:p>
    <w:p w:rsidR="00DA6C81" w:rsidRPr="00AE23D3" w:rsidRDefault="00DA6C81" w:rsidP="00DF631B">
      <w:pPr>
        <w:pStyle w:val="Textoindependiente"/>
        <w:spacing w:line="288" w:lineRule="auto"/>
        <w:ind w:left="708"/>
        <w:rPr>
          <w:rFonts w:ascii="Georgia" w:hAnsi="Georgia" w:cs="Arial"/>
          <w:szCs w:val="24"/>
        </w:rPr>
      </w:pPr>
    </w:p>
    <w:p w:rsidR="00DA6C81" w:rsidRPr="00AE23D3" w:rsidRDefault="00DA6C81" w:rsidP="00DF631B">
      <w:pPr>
        <w:pStyle w:val="Prrafodelista"/>
        <w:widowControl/>
        <w:numPr>
          <w:ilvl w:val="0"/>
          <w:numId w:val="2"/>
        </w:numPr>
        <w:overflowPunct/>
        <w:autoSpaceDE/>
        <w:autoSpaceDN/>
        <w:adjustRightInd/>
        <w:spacing w:line="288" w:lineRule="auto"/>
        <w:jc w:val="both"/>
        <w:rPr>
          <w:rFonts w:ascii="Georgia" w:hAnsi="Georgia" w:cs="Arial"/>
          <w:sz w:val="24"/>
          <w:szCs w:val="24"/>
        </w:rPr>
      </w:pPr>
      <w:r w:rsidRPr="00AE23D3">
        <w:rPr>
          <w:rFonts w:ascii="Georgia" w:hAnsi="Georgia"/>
          <w:smallCaps/>
          <w:sz w:val="24"/>
          <w:szCs w:val="24"/>
        </w:rPr>
        <w:t>La defensa de la parte pasiva</w:t>
      </w:r>
    </w:p>
    <w:p w:rsidR="00DA6C81" w:rsidRPr="00AE23D3" w:rsidRDefault="00DA6C81" w:rsidP="00DF631B">
      <w:pPr>
        <w:overflowPunct/>
        <w:autoSpaceDE/>
        <w:autoSpaceDN/>
        <w:adjustRightInd/>
        <w:spacing w:line="288" w:lineRule="auto"/>
        <w:jc w:val="both"/>
        <w:rPr>
          <w:rFonts w:ascii="Georgia" w:hAnsi="Georgia" w:cs="Arial"/>
          <w:szCs w:val="24"/>
        </w:rPr>
      </w:pPr>
    </w:p>
    <w:p w:rsidR="00DA6C81" w:rsidRPr="00AE23D3" w:rsidRDefault="00DA6C81" w:rsidP="00DF631B">
      <w:pPr>
        <w:pStyle w:val="Prrafodelista"/>
        <w:widowControl/>
        <w:numPr>
          <w:ilvl w:val="1"/>
          <w:numId w:val="2"/>
        </w:numPr>
        <w:overflowPunct/>
        <w:autoSpaceDE/>
        <w:autoSpaceDN/>
        <w:adjustRightInd/>
        <w:spacing w:line="288" w:lineRule="auto"/>
        <w:jc w:val="both"/>
        <w:rPr>
          <w:rFonts w:ascii="Georgia" w:hAnsi="Georgia" w:cs="Arial"/>
          <w:sz w:val="24"/>
          <w:szCs w:val="24"/>
        </w:rPr>
      </w:pPr>
      <w:r w:rsidRPr="00AE23D3">
        <w:rPr>
          <w:rFonts w:ascii="Georgia" w:hAnsi="Georgia" w:cs="Arial"/>
          <w:i/>
          <w:sz w:val="24"/>
          <w:szCs w:val="24"/>
        </w:rPr>
        <w:t xml:space="preserve">Ana </w:t>
      </w:r>
      <w:proofErr w:type="spellStart"/>
      <w:r w:rsidRPr="00AE23D3">
        <w:rPr>
          <w:rFonts w:ascii="Georgia" w:hAnsi="Georgia" w:cs="Arial"/>
          <w:i/>
          <w:sz w:val="24"/>
          <w:szCs w:val="24"/>
        </w:rPr>
        <w:t>Clarivel</w:t>
      </w:r>
      <w:proofErr w:type="spellEnd"/>
      <w:r w:rsidRPr="00AE23D3">
        <w:rPr>
          <w:rFonts w:ascii="Georgia" w:hAnsi="Georgia" w:cs="Arial"/>
          <w:i/>
          <w:sz w:val="24"/>
          <w:szCs w:val="24"/>
        </w:rPr>
        <w:t xml:space="preserve">, María Helena y José Fernando </w:t>
      </w:r>
      <w:proofErr w:type="spellStart"/>
      <w:r w:rsidRPr="00AE23D3">
        <w:rPr>
          <w:rFonts w:ascii="Georgia" w:hAnsi="Georgia" w:cs="Arial"/>
          <w:i/>
          <w:sz w:val="24"/>
          <w:szCs w:val="24"/>
        </w:rPr>
        <w:t>Quiceno</w:t>
      </w:r>
      <w:proofErr w:type="spellEnd"/>
      <w:r w:rsidRPr="00AE23D3">
        <w:rPr>
          <w:rFonts w:ascii="Georgia" w:hAnsi="Georgia" w:cs="Arial"/>
          <w:i/>
          <w:sz w:val="24"/>
          <w:szCs w:val="24"/>
        </w:rPr>
        <w:t xml:space="preserve"> Ortiz</w:t>
      </w:r>
      <w:r w:rsidRPr="00AE23D3">
        <w:rPr>
          <w:rFonts w:ascii="Georgia" w:hAnsi="Georgia" w:cs="Arial"/>
          <w:sz w:val="24"/>
          <w:szCs w:val="24"/>
        </w:rPr>
        <w:t xml:space="preserve">. Contestaron aceptando algunos hechos, otros solo parcialmente y  rechazando los demás. Explicaron que la sociedad de hecho, mencionada por los actores, sí existió pero así: (i) Entre la cónyuge superviviente del causante </w:t>
      </w:r>
      <w:proofErr w:type="spellStart"/>
      <w:r w:rsidRPr="00AE23D3">
        <w:rPr>
          <w:rFonts w:ascii="Georgia" w:hAnsi="Georgia" w:cs="Arial"/>
          <w:sz w:val="24"/>
          <w:szCs w:val="24"/>
        </w:rPr>
        <w:t>Quiceno</w:t>
      </w:r>
      <w:proofErr w:type="spellEnd"/>
      <w:r w:rsidRPr="00AE23D3">
        <w:rPr>
          <w:rFonts w:ascii="Georgia" w:hAnsi="Georgia" w:cs="Arial"/>
          <w:sz w:val="24"/>
          <w:szCs w:val="24"/>
        </w:rPr>
        <w:t xml:space="preserve"> E. y sus nueve (9) hijos, desde 1984 hasta 1990, donde estuvo designado como administrador Carlos Arturo </w:t>
      </w:r>
      <w:proofErr w:type="spellStart"/>
      <w:r w:rsidRPr="00AE23D3">
        <w:rPr>
          <w:rFonts w:ascii="Georgia" w:hAnsi="Georgia" w:cs="Arial"/>
          <w:sz w:val="24"/>
          <w:szCs w:val="24"/>
        </w:rPr>
        <w:t>Quiceno</w:t>
      </w:r>
      <w:proofErr w:type="spellEnd"/>
      <w:r w:rsidRPr="00AE23D3">
        <w:rPr>
          <w:rFonts w:ascii="Georgia" w:hAnsi="Georgia" w:cs="Arial"/>
          <w:sz w:val="24"/>
          <w:szCs w:val="24"/>
        </w:rPr>
        <w:t xml:space="preserve"> O.; y, (ii) Entre la viuda y ocho (8) de los hijos, con exclusión de Carlos Arturo, para el periodo comprendido entre diciembre de 1990 y 2006 e hizo las veces de administrador Jorge Enrique </w:t>
      </w:r>
      <w:proofErr w:type="spellStart"/>
      <w:r w:rsidRPr="00AE23D3">
        <w:rPr>
          <w:rFonts w:ascii="Georgia" w:hAnsi="Georgia" w:cs="Arial"/>
          <w:sz w:val="24"/>
          <w:szCs w:val="24"/>
        </w:rPr>
        <w:t>Quiceno</w:t>
      </w:r>
      <w:proofErr w:type="spellEnd"/>
      <w:r w:rsidRPr="00AE23D3">
        <w:rPr>
          <w:rFonts w:ascii="Georgia" w:hAnsi="Georgia" w:cs="Arial"/>
          <w:sz w:val="24"/>
          <w:szCs w:val="24"/>
        </w:rPr>
        <w:t xml:space="preserve"> O.</w:t>
      </w:r>
    </w:p>
    <w:p w:rsidR="00DA6C81" w:rsidRPr="00AE23D3" w:rsidRDefault="00DA6C81" w:rsidP="00DF631B">
      <w:pPr>
        <w:pStyle w:val="Prrafodelista"/>
        <w:widowControl/>
        <w:overflowPunct/>
        <w:autoSpaceDE/>
        <w:autoSpaceDN/>
        <w:adjustRightInd/>
        <w:spacing w:line="288" w:lineRule="auto"/>
        <w:ind w:left="720"/>
        <w:jc w:val="both"/>
        <w:rPr>
          <w:rFonts w:ascii="Georgia" w:hAnsi="Georgia" w:cs="Arial"/>
          <w:sz w:val="24"/>
          <w:szCs w:val="24"/>
        </w:rPr>
      </w:pPr>
    </w:p>
    <w:p w:rsidR="00DA6C81" w:rsidRPr="00AE23D3" w:rsidRDefault="00DA6C81" w:rsidP="00DF631B">
      <w:pPr>
        <w:pStyle w:val="Prrafodelista"/>
        <w:widowControl/>
        <w:overflowPunct/>
        <w:autoSpaceDE/>
        <w:autoSpaceDN/>
        <w:adjustRightInd/>
        <w:spacing w:line="288" w:lineRule="auto"/>
        <w:ind w:left="720"/>
        <w:jc w:val="both"/>
        <w:rPr>
          <w:rFonts w:ascii="Georgia" w:hAnsi="Georgia" w:cs="Arial"/>
          <w:sz w:val="24"/>
          <w:szCs w:val="24"/>
        </w:rPr>
      </w:pPr>
      <w:r w:rsidRPr="00AE23D3">
        <w:rPr>
          <w:rFonts w:ascii="Georgia" w:hAnsi="Georgia" w:cs="Arial"/>
          <w:sz w:val="24"/>
          <w:szCs w:val="24"/>
        </w:rPr>
        <w:t>En ese escenario, se opusieron a las pretensiones y excepcionaron: (i) Inexistencia del vínculo jurídico que legitime a los demandantes a reclamar o exigir cuentas a los demandados; (ii) Cobro de lo no debido; (iii) Falta de legitimación en la causa por activa; y, (iv) Temeridad y mala fe (Folios 414-437, cuaderno principal No.2).</w:t>
      </w:r>
    </w:p>
    <w:p w:rsidR="00DA6C81" w:rsidRPr="00AE23D3" w:rsidRDefault="00DA6C81" w:rsidP="00DF631B">
      <w:pPr>
        <w:overflowPunct/>
        <w:autoSpaceDE/>
        <w:autoSpaceDN/>
        <w:adjustRightInd/>
        <w:spacing w:line="288" w:lineRule="auto"/>
        <w:jc w:val="both"/>
        <w:rPr>
          <w:rFonts w:ascii="Georgia" w:hAnsi="Georgia" w:cs="Arial"/>
          <w:szCs w:val="24"/>
        </w:rPr>
      </w:pPr>
    </w:p>
    <w:p w:rsidR="00DA6C81" w:rsidRPr="00AE23D3" w:rsidRDefault="00DA6C81" w:rsidP="00DF631B">
      <w:pPr>
        <w:pStyle w:val="Prrafodelista"/>
        <w:widowControl/>
        <w:numPr>
          <w:ilvl w:val="1"/>
          <w:numId w:val="2"/>
        </w:numPr>
        <w:overflowPunct/>
        <w:autoSpaceDE/>
        <w:autoSpaceDN/>
        <w:adjustRightInd/>
        <w:spacing w:line="288" w:lineRule="auto"/>
        <w:jc w:val="both"/>
        <w:rPr>
          <w:rFonts w:ascii="Georgia" w:hAnsi="Georgia" w:cs="Arial"/>
          <w:sz w:val="24"/>
          <w:szCs w:val="24"/>
        </w:rPr>
      </w:pPr>
      <w:r w:rsidRPr="00AE23D3">
        <w:rPr>
          <w:rFonts w:ascii="Georgia" w:hAnsi="Georgia" w:cs="Arial"/>
          <w:i/>
          <w:sz w:val="24"/>
          <w:szCs w:val="24"/>
        </w:rPr>
        <w:lastRenderedPageBreak/>
        <w:t>Luis Gonzaga Parra Dávila y Bernardo Echeverri Gómez</w:t>
      </w:r>
      <w:r w:rsidRPr="00AE23D3">
        <w:rPr>
          <w:rFonts w:ascii="Georgia" w:hAnsi="Georgia" w:cs="Arial"/>
          <w:sz w:val="24"/>
          <w:szCs w:val="24"/>
        </w:rPr>
        <w:t>. Luego de notificados, guardaron silencio (Folios 441, 444 y 445, cuaderno principal No.2).</w:t>
      </w:r>
    </w:p>
    <w:p w:rsidR="00DF631B" w:rsidRPr="00AE23D3" w:rsidRDefault="00DF631B" w:rsidP="00DF631B">
      <w:pPr>
        <w:pStyle w:val="Prrafodelista"/>
        <w:widowControl/>
        <w:overflowPunct/>
        <w:autoSpaceDE/>
        <w:autoSpaceDN/>
        <w:adjustRightInd/>
        <w:spacing w:line="288" w:lineRule="auto"/>
        <w:ind w:left="720"/>
        <w:jc w:val="both"/>
        <w:rPr>
          <w:rFonts w:ascii="Georgia" w:hAnsi="Georgia" w:cs="Arial"/>
          <w:sz w:val="24"/>
          <w:szCs w:val="24"/>
        </w:rPr>
      </w:pPr>
    </w:p>
    <w:p w:rsidR="00DA6C81" w:rsidRPr="00AE23D3" w:rsidRDefault="00DA6C81" w:rsidP="00DF631B">
      <w:pPr>
        <w:widowControl w:val="0"/>
        <w:numPr>
          <w:ilvl w:val="0"/>
          <w:numId w:val="2"/>
        </w:numPr>
        <w:spacing w:line="288" w:lineRule="auto"/>
        <w:jc w:val="both"/>
        <w:textAlignment w:val="auto"/>
        <w:rPr>
          <w:rFonts w:ascii="Georgia" w:hAnsi="Georgia" w:cs="Arial"/>
          <w:szCs w:val="24"/>
        </w:rPr>
      </w:pPr>
      <w:r w:rsidRPr="00AE23D3">
        <w:rPr>
          <w:rFonts w:ascii="Georgia" w:hAnsi="Georgia" w:cs="Arial"/>
          <w:smallCaps/>
          <w:szCs w:val="24"/>
        </w:rPr>
        <w:t>La</w:t>
      </w:r>
      <w:r w:rsidRPr="00AE23D3">
        <w:rPr>
          <w:rFonts w:ascii="Georgia" w:hAnsi="Georgia"/>
          <w:smallCaps/>
          <w:szCs w:val="24"/>
        </w:rPr>
        <w:t xml:space="preserve"> sinopsis de la sentencia apelada</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Resolvió: (i) Declarar prósperas las excepciones de “inexistencia de vínculo jurídico que legitime a los demandantes” y “falta de legitimación en la causa por activa”; (ii) Denegó las pretensiones de la demanda; y, (iii) Condenó en costas a los demandantes.</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Arribó a esa conclusión, al examinar el presupuesto de legitimación. Señaló que la rendición entre comuneros solo opera cuando, entre aquellos se acuerda delegar la administración. Explicó que dejó de probarse la afirmación de los demandantes, sobre la existencia de una sociedad de hecho, su duración o entre quiénes, pero que, en todo caso, debía ser declarada en proceso ajeno a este asunto. Afirmó, igualmente, que tampoco se acreditó el nexo o contrato de administración, dado que es insuficiente suponerlo a partir de la tenencia del bien por parte de los demandados (Tiempo 30:03 a 51:49, audiencia de juzgamiento, folios 894-896, cuaderno No.2).</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pStyle w:val="Prrafodelista"/>
        <w:numPr>
          <w:ilvl w:val="0"/>
          <w:numId w:val="2"/>
        </w:numPr>
        <w:spacing w:line="288" w:lineRule="auto"/>
        <w:jc w:val="both"/>
        <w:rPr>
          <w:rFonts w:ascii="Georgia" w:hAnsi="Georgia" w:cs="Arial"/>
          <w:sz w:val="24"/>
          <w:szCs w:val="24"/>
        </w:rPr>
      </w:pPr>
      <w:r w:rsidRPr="00AE23D3">
        <w:rPr>
          <w:rFonts w:ascii="Georgia" w:hAnsi="Georgia"/>
          <w:smallCaps/>
          <w:sz w:val="24"/>
          <w:szCs w:val="24"/>
        </w:rPr>
        <w:t>El</w:t>
      </w:r>
      <w:r w:rsidRPr="00AE23D3">
        <w:rPr>
          <w:rFonts w:ascii="Georgia" w:hAnsi="Georgia" w:cs="Arial"/>
          <w:smallCaps/>
          <w:sz w:val="24"/>
          <w:szCs w:val="24"/>
        </w:rPr>
        <w:t xml:space="preserve"> resumen de la apelación</w:t>
      </w:r>
    </w:p>
    <w:p w:rsidR="00DA6C81" w:rsidRPr="00AE23D3" w:rsidRDefault="00DA6C81" w:rsidP="00DF631B">
      <w:pPr>
        <w:spacing w:line="288" w:lineRule="auto"/>
        <w:jc w:val="both"/>
        <w:rPr>
          <w:rFonts w:ascii="Georgia" w:hAnsi="Georgia" w:cs="Arial"/>
          <w:smallCaps/>
          <w:szCs w:val="24"/>
        </w:rPr>
      </w:pPr>
    </w:p>
    <w:p w:rsidR="00DA6C81" w:rsidRPr="00AE23D3" w:rsidRDefault="00DA6C81" w:rsidP="00DF631B">
      <w:pPr>
        <w:pStyle w:val="Prrafodelista"/>
        <w:numPr>
          <w:ilvl w:val="1"/>
          <w:numId w:val="4"/>
        </w:numPr>
        <w:spacing w:line="288" w:lineRule="auto"/>
        <w:jc w:val="both"/>
        <w:rPr>
          <w:rFonts w:ascii="Georgia" w:hAnsi="Georgia" w:cs="Arial"/>
          <w:sz w:val="24"/>
          <w:szCs w:val="24"/>
        </w:rPr>
      </w:pPr>
      <w:r w:rsidRPr="00AE23D3">
        <w:rPr>
          <w:rFonts w:ascii="Georgia" w:hAnsi="Georgia" w:cs="Arial"/>
          <w:smallCaps/>
          <w:sz w:val="24"/>
          <w:szCs w:val="24"/>
        </w:rPr>
        <w:t>Reparos de la parte demandante.</w:t>
      </w:r>
      <w:r w:rsidRPr="00AE23D3">
        <w:rPr>
          <w:rFonts w:ascii="Georgia" w:hAnsi="Georgia" w:cs="Arial"/>
          <w:sz w:val="24"/>
          <w:szCs w:val="24"/>
        </w:rPr>
        <w:t xml:space="preserve"> Insistió en la existencia, entre </w:t>
      </w:r>
      <w:proofErr w:type="gramStart"/>
      <w:r w:rsidRPr="00AE23D3">
        <w:rPr>
          <w:rFonts w:ascii="Georgia" w:hAnsi="Georgia" w:cs="Arial"/>
          <w:sz w:val="24"/>
          <w:szCs w:val="24"/>
        </w:rPr>
        <w:t>la</w:t>
      </w:r>
      <w:proofErr w:type="gramEnd"/>
      <w:r w:rsidRPr="00AE23D3">
        <w:rPr>
          <w:rFonts w:ascii="Georgia" w:hAnsi="Georgia" w:cs="Arial"/>
          <w:sz w:val="24"/>
          <w:szCs w:val="24"/>
        </w:rPr>
        <w:t xml:space="preserve"> cónyuge sobreviviente y los herederos del causante Gustavo </w:t>
      </w:r>
      <w:proofErr w:type="spellStart"/>
      <w:r w:rsidRPr="00AE23D3">
        <w:rPr>
          <w:rFonts w:ascii="Georgia" w:hAnsi="Georgia" w:cs="Arial"/>
          <w:sz w:val="24"/>
          <w:szCs w:val="24"/>
        </w:rPr>
        <w:t>Quiceno</w:t>
      </w:r>
      <w:proofErr w:type="spellEnd"/>
      <w:r w:rsidRPr="00AE23D3">
        <w:rPr>
          <w:rFonts w:ascii="Georgia" w:hAnsi="Georgia" w:cs="Arial"/>
          <w:sz w:val="24"/>
          <w:szCs w:val="24"/>
        </w:rPr>
        <w:t xml:space="preserve"> Escobar, de una “</w:t>
      </w:r>
      <w:r w:rsidRPr="00AE23D3">
        <w:rPr>
          <w:rFonts w:ascii="Georgia" w:hAnsi="Georgia" w:cs="Arial"/>
          <w:i/>
          <w:sz w:val="24"/>
          <w:szCs w:val="24"/>
        </w:rPr>
        <w:t>sociedad de hecho o de familia</w:t>
      </w:r>
      <w:r w:rsidRPr="00AE23D3">
        <w:rPr>
          <w:rFonts w:ascii="Georgia" w:hAnsi="Georgia" w:cs="Arial"/>
          <w:sz w:val="24"/>
          <w:szCs w:val="24"/>
        </w:rPr>
        <w:t>”, de la que dejó de hacer parte Carlos Arturo por la venta que hizo, pero a la que regresó, luego de la declaración de simulación. Reiteró que la condición de copropietarios les da derecho a que se les reconozca y pague, según la administración hecha por los demandados y lo producido por el predio. Aseveró que la sociedad, al comienzo administrada por Jorge Enrique y luego Carlos Arturo, ha sido ilíquida de la que solo han recibido beneficio los demandados (Tiempo 52:02 a 56:29, cuaderno No.1 principal).</w:t>
      </w:r>
    </w:p>
    <w:p w:rsidR="00DA6C81" w:rsidRPr="00AE23D3" w:rsidRDefault="00DA6C81" w:rsidP="00DF631B">
      <w:pPr>
        <w:pStyle w:val="Prrafodelista"/>
        <w:spacing w:line="288" w:lineRule="auto"/>
        <w:rPr>
          <w:rFonts w:ascii="Georgia" w:hAnsi="Georgia" w:cs="Arial"/>
          <w:sz w:val="24"/>
          <w:szCs w:val="24"/>
        </w:rPr>
      </w:pPr>
    </w:p>
    <w:p w:rsidR="00DA6C81" w:rsidRPr="00AE23D3" w:rsidRDefault="00DA6C81" w:rsidP="00DF631B">
      <w:pPr>
        <w:widowControl w:val="0"/>
        <w:numPr>
          <w:ilvl w:val="0"/>
          <w:numId w:val="2"/>
        </w:numPr>
        <w:spacing w:line="288" w:lineRule="auto"/>
        <w:jc w:val="both"/>
        <w:textAlignment w:val="auto"/>
        <w:rPr>
          <w:rFonts w:ascii="Georgia" w:hAnsi="Georgia"/>
          <w:smallCaps/>
          <w:szCs w:val="24"/>
        </w:rPr>
      </w:pPr>
      <w:r w:rsidRPr="00AE23D3">
        <w:rPr>
          <w:rFonts w:ascii="Georgia" w:hAnsi="Georgia"/>
          <w:smallCaps/>
          <w:szCs w:val="24"/>
        </w:rPr>
        <w:t>la fundamentación jurídica para decidir</w:t>
      </w:r>
    </w:p>
    <w:p w:rsidR="00DA6C81" w:rsidRPr="00AE23D3" w:rsidRDefault="00DA6C81" w:rsidP="00DF631B">
      <w:pPr>
        <w:spacing w:line="288" w:lineRule="auto"/>
        <w:ind w:left="360"/>
        <w:jc w:val="both"/>
        <w:rPr>
          <w:rFonts w:ascii="Georgia" w:hAnsi="Georgia"/>
          <w:smallCaps/>
          <w:szCs w:val="24"/>
        </w:rPr>
      </w:pPr>
    </w:p>
    <w:p w:rsidR="00DA6C81" w:rsidRPr="00AE23D3" w:rsidRDefault="00DA6C81" w:rsidP="00DF631B">
      <w:pPr>
        <w:pStyle w:val="Prrafodelista"/>
        <w:widowControl/>
        <w:numPr>
          <w:ilvl w:val="0"/>
          <w:numId w:val="3"/>
        </w:numPr>
        <w:overflowPunct/>
        <w:adjustRightInd/>
        <w:spacing w:line="288" w:lineRule="auto"/>
        <w:jc w:val="both"/>
        <w:rPr>
          <w:rFonts w:ascii="Georgia" w:hAnsi="Georgia" w:cs="Arial"/>
          <w:iCs/>
          <w:smallCaps/>
          <w:vanish/>
          <w:sz w:val="24"/>
          <w:szCs w:val="24"/>
        </w:rPr>
      </w:pPr>
    </w:p>
    <w:p w:rsidR="00DA6C81" w:rsidRPr="00AE23D3" w:rsidRDefault="00DA6C81" w:rsidP="00DF631B">
      <w:pPr>
        <w:pStyle w:val="Prrafodelista"/>
        <w:widowControl/>
        <w:numPr>
          <w:ilvl w:val="0"/>
          <w:numId w:val="3"/>
        </w:numPr>
        <w:overflowPunct/>
        <w:adjustRightInd/>
        <w:spacing w:line="288" w:lineRule="auto"/>
        <w:jc w:val="both"/>
        <w:rPr>
          <w:rFonts w:ascii="Georgia" w:hAnsi="Georgia" w:cs="Arial"/>
          <w:iCs/>
          <w:smallCaps/>
          <w:vanish/>
          <w:sz w:val="24"/>
          <w:szCs w:val="24"/>
        </w:rPr>
      </w:pPr>
    </w:p>
    <w:p w:rsidR="00DA6C81" w:rsidRPr="00AE23D3" w:rsidRDefault="00DA6C81" w:rsidP="00DF631B">
      <w:pPr>
        <w:pStyle w:val="Prrafodelista"/>
        <w:widowControl/>
        <w:numPr>
          <w:ilvl w:val="0"/>
          <w:numId w:val="3"/>
        </w:numPr>
        <w:overflowPunct/>
        <w:adjustRightInd/>
        <w:spacing w:line="288" w:lineRule="auto"/>
        <w:jc w:val="both"/>
        <w:rPr>
          <w:rFonts w:ascii="Georgia" w:hAnsi="Georgia" w:cs="Arial"/>
          <w:iCs/>
          <w:smallCaps/>
          <w:vanish/>
          <w:sz w:val="24"/>
          <w:szCs w:val="24"/>
        </w:rPr>
      </w:pPr>
    </w:p>
    <w:p w:rsidR="00DA6C81" w:rsidRPr="00AE23D3" w:rsidRDefault="00DA6C81" w:rsidP="00DF631B">
      <w:pPr>
        <w:pStyle w:val="Prrafodelista"/>
        <w:numPr>
          <w:ilvl w:val="1"/>
          <w:numId w:val="3"/>
        </w:numPr>
        <w:spacing w:line="288" w:lineRule="auto"/>
        <w:jc w:val="both"/>
        <w:rPr>
          <w:rFonts w:ascii="Georgia" w:hAnsi="Georgia" w:cs="Arial"/>
          <w:sz w:val="24"/>
          <w:szCs w:val="24"/>
        </w:rPr>
      </w:pPr>
      <w:r w:rsidRPr="00AE23D3">
        <w:rPr>
          <w:rFonts w:ascii="Georgia" w:hAnsi="Georgia" w:cs="Arial"/>
          <w:smallCaps/>
          <w:sz w:val="24"/>
          <w:szCs w:val="24"/>
        </w:rPr>
        <w:t>Los presupuestos de validez y eficacia. L</w:t>
      </w:r>
      <w:r w:rsidRPr="00AE23D3">
        <w:rPr>
          <w:rFonts w:ascii="Georgia" w:hAnsi="Georgia" w:cs="Arial"/>
          <w:sz w:val="24"/>
          <w:szCs w:val="24"/>
        </w:rPr>
        <w:t>a demanda es idónea y los sujetos procesales tienen aptitud jurídica suficiente para participar en el proceso. No hay causales invalidantes que afecten el procedimiento.</w:t>
      </w:r>
    </w:p>
    <w:p w:rsidR="00DA6C81" w:rsidRPr="00AE23D3" w:rsidRDefault="00DA6C81" w:rsidP="00DF631B">
      <w:pPr>
        <w:pStyle w:val="Prrafodelista"/>
        <w:spacing w:line="288" w:lineRule="auto"/>
        <w:rPr>
          <w:rFonts w:ascii="Georgia" w:hAnsi="Georgia" w:cs="Arial"/>
          <w:sz w:val="24"/>
          <w:szCs w:val="24"/>
        </w:rPr>
      </w:pPr>
    </w:p>
    <w:p w:rsidR="00DA6C81" w:rsidRPr="00AE23D3" w:rsidRDefault="00DA6C81" w:rsidP="00DF631B">
      <w:pPr>
        <w:pStyle w:val="Prrafodelista"/>
        <w:numPr>
          <w:ilvl w:val="1"/>
          <w:numId w:val="3"/>
        </w:numPr>
        <w:spacing w:line="288" w:lineRule="auto"/>
        <w:jc w:val="both"/>
        <w:rPr>
          <w:rFonts w:ascii="Georgia" w:hAnsi="Georgia"/>
          <w:smallCaps/>
          <w:sz w:val="24"/>
          <w:szCs w:val="24"/>
        </w:rPr>
      </w:pPr>
      <w:r w:rsidRPr="00AE23D3">
        <w:rPr>
          <w:rFonts w:ascii="Georgia" w:hAnsi="Georgia"/>
          <w:iCs/>
          <w:smallCaps/>
          <w:sz w:val="24"/>
          <w:szCs w:val="24"/>
        </w:rPr>
        <w:t xml:space="preserve">Los presupuestos materiales. </w:t>
      </w:r>
      <w:r w:rsidRPr="00AE23D3">
        <w:rPr>
          <w:rFonts w:ascii="Georgia" w:hAnsi="Georgia" w:cs="Arial"/>
          <w:sz w:val="24"/>
          <w:szCs w:val="24"/>
        </w:rPr>
        <w:t xml:space="preserve">Este examen es oficioso, </w:t>
      </w:r>
      <w:r w:rsidRPr="00AE23D3">
        <w:rPr>
          <w:rFonts w:ascii="Georgia" w:hAnsi="Georgia"/>
          <w:iCs/>
          <w:sz w:val="24"/>
          <w:szCs w:val="24"/>
        </w:rPr>
        <w:t>por manera que con independencia de lo alegado por las partes, corresponde siempre analizar su concurrencia, así lo entiende la CSJ</w:t>
      </w:r>
      <w:r w:rsidRPr="00AE23D3">
        <w:rPr>
          <w:rStyle w:val="Refdenotaalpie"/>
          <w:rFonts w:ascii="Georgia" w:hAnsi="Georgia"/>
          <w:iCs/>
          <w:sz w:val="24"/>
          <w:szCs w:val="24"/>
        </w:rPr>
        <w:footnoteReference w:id="1"/>
      </w:r>
      <w:r w:rsidRPr="00AE23D3">
        <w:rPr>
          <w:rFonts w:ascii="Georgia" w:hAnsi="Georgia"/>
          <w:iCs/>
          <w:sz w:val="24"/>
          <w:szCs w:val="24"/>
        </w:rPr>
        <w:t xml:space="preserve">, en criterio que acoge sin reparos este </w:t>
      </w:r>
      <w:r w:rsidRPr="00AE23D3">
        <w:rPr>
          <w:rFonts w:ascii="Georgia" w:hAnsi="Georgia"/>
          <w:iCs/>
          <w:sz w:val="24"/>
          <w:szCs w:val="24"/>
        </w:rPr>
        <w:lastRenderedPageBreak/>
        <w:t>Tribunal</w:t>
      </w:r>
      <w:r w:rsidRPr="00AE23D3">
        <w:rPr>
          <w:rStyle w:val="Refdenotaalpie"/>
          <w:rFonts w:ascii="Georgia" w:hAnsi="Georgia"/>
          <w:iCs/>
          <w:sz w:val="24"/>
          <w:szCs w:val="24"/>
        </w:rPr>
        <w:footnoteReference w:id="2"/>
      </w:r>
      <w:r w:rsidRPr="00AE23D3">
        <w:rPr>
          <w:rFonts w:ascii="Georgia" w:hAnsi="Georgia"/>
          <w:iCs/>
          <w:sz w:val="24"/>
          <w:szCs w:val="24"/>
        </w:rPr>
        <w:t xml:space="preserve">. </w:t>
      </w:r>
      <w:r w:rsidRPr="00AE23D3">
        <w:rPr>
          <w:rFonts w:ascii="Georgia" w:hAnsi="Georgia" w:cs="Arial"/>
          <w:snapToGrid w:val="0"/>
          <w:sz w:val="24"/>
          <w:szCs w:val="24"/>
        </w:rPr>
        <w:t xml:space="preserve">Cuestión diferente es el análisis de prosperidad de la súplica. </w:t>
      </w:r>
      <w:r w:rsidRPr="00AE23D3">
        <w:rPr>
          <w:rFonts w:ascii="Georgia" w:hAnsi="Georgia" w:cs="Arial"/>
          <w:sz w:val="24"/>
          <w:szCs w:val="24"/>
        </w:rPr>
        <w:t>La falta de este elemento fue el sustento de la sentencia apelada, el recurrente sostiene lo contrario.</w:t>
      </w:r>
    </w:p>
    <w:p w:rsidR="00DA6C81" w:rsidRPr="00AE23D3" w:rsidRDefault="00DA6C81" w:rsidP="00DF631B">
      <w:pPr>
        <w:pStyle w:val="Prrafodelista"/>
        <w:spacing w:line="288" w:lineRule="auto"/>
        <w:rPr>
          <w:rFonts w:ascii="Georgia" w:hAnsi="Georgia"/>
          <w:smallCaps/>
          <w:sz w:val="24"/>
          <w:szCs w:val="24"/>
        </w:rPr>
      </w:pPr>
    </w:p>
    <w:p w:rsidR="00DA6C81" w:rsidRPr="00AE23D3" w:rsidRDefault="00DA6C81" w:rsidP="00DF631B">
      <w:pPr>
        <w:pStyle w:val="Prrafodelista"/>
        <w:numPr>
          <w:ilvl w:val="1"/>
          <w:numId w:val="3"/>
        </w:numPr>
        <w:spacing w:line="288" w:lineRule="auto"/>
        <w:jc w:val="both"/>
        <w:rPr>
          <w:rFonts w:ascii="Georgia" w:hAnsi="Georgia" w:cs="Arial"/>
          <w:sz w:val="24"/>
          <w:szCs w:val="24"/>
        </w:rPr>
      </w:pPr>
      <w:r w:rsidRPr="00AE23D3">
        <w:rPr>
          <w:rFonts w:ascii="Georgia" w:hAnsi="Georgia" w:cs="Arial"/>
          <w:smallCaps/>
          <w:sz w:val="24"/>
          <w:szCs w:val="24"/>
        </w:rPr>
        <w:t xml:space="preserve">El problema jurídico a resolver. </w:t>
      </w:r>
      <w:r w:rsidRPr="00AE23D3">
        <w:rPr>
          <w:rFonts w:ascii="Georgia" w:hAnsi="Georgia"/>
          <w:sz w:val="24"/>
          <w:szCs w:val="24"/>
        </w:rPr>
        <w:t>¿Se debe revocar, modificar o confirmar la sentencia desestimatoria, según esgrime la apelación de la parte actora?</w:t>
      </w:r>
    </w:p>
    <w:p w:rsidR="00DA6C81" w:rsidRPr="00AE23D3" w:rsidRDefault="00DA6C81" w:rsidP="00DF631B">
      <w:pPr>
        <w:pStyle w:val="Prrafodelista"/>
        <w:spacing w:line="288" w:lineRule="auto"/>
        <w:ind w:left="720"/>
        <w:jc w:val="both"/>
        <w:rPr>
          <w:rFonts w:ascii="Georgia" w:hAnsi="Georgia" w:cs="Arial"/>
          <w:sz w:val="24"/>
          <w:szCs w:val="24"/>
        </w:rPr>
      </w:pPr>
    </w:p>
    <w:p w:rsidR="00DA6C81" w:rsidRPr="00AE23D3" w:rsidRDefault="00DA6C81" w:rsidP="00DF631B">
      <w:pPr>
        <w:widowControl w:val="0"/>
        <w:numPr>
          <w:ilvl w:val="1"/>
          <w:numId w:val="3"/>
        </w:numPr>
        <w:spacing w:line="288" w:lineRule="auto"/>
        <w:jc w:val="both"/>
        <w:textAlignment w:val="auto"/>
        <w:rPr>
          <w:rFonts w:ascii="Georgia" w:hAnsi="Georgia" w:cs="Arial"/>
          <w:szCs w:val="24"/>
        </w:rPr>
      </w:pPr>
      <w:r w:rsidRPr="00AE23D3">
        <w:rPr>
          <w:rFonts w:ascii="Georgia" w:hAnsi="Georgia" w:cs="Arial"/>
          <w:smallCaps/>
          <w:szCs w:val="24"/>
        </w:rPr>
        <w:t>La resolución del problema jurídico</w:t>
      </w:r>
    </w:p>
    <w:p w:rsidR="00DA6C81" w:rsidRPr="00AE23D3" w:rsidRDefault="00DA6C81" w:rsidP="00DF631B">
      <w:pPr>
        <w:tabs>
          <w:tab w:val="left" w:pos="1152"/>
        </w:tabs>
        <w:spacing w:line="288" w:lineRule="auto"/>
        <w:jc w:val="both"/>
        <w:rPr>
          <w:rFonts w:ascii="Georgia" w:hAnsi="Georgia" w:cs="Arial"/>
          <w:szCs w:val="24"/>
        </w:rPr>
      </w:pPr>
    </w:p>
    <w:p w:rsidR="00DA6C81" w:rsidRPr="00AE23D3" w:rsidRDefault="00DA6C81" w:rsidP="00DF631B">
      <w:pPr>
        <w:pStyle w:val="Prrafodelista"/>
        <w:numPr>
          <w:ilvl w:val="2"/>
          <w:numId w:val="3"/>
        </w:numPr>
        <w:tabs>
          <w:tab w:val="left" w:pos="1152"/>
        </w:tabs>
        <w:spacing w:line="288" w:lineRule="auto"/>
        <w:jc w:val="both"/>
        <w:textAlignment w:val="baseline"/>
        <w:rPr>
          <w:rFonts w:ascii="Georgia" w:hAnsi="Georgia" w:cs="Arial"/>
          <w:sz w:val="24"/>
          <w:szCs w:val="24"/>
        </w:rPr>
      </w:pPr>
      <w:r w:rsidRPr="00AE23D3">
        <w:rPr>
          <w:rFonts w:ascii="Georgia" w:hAnsi="Georgia" w:cs="Arial"/>
          <w:sz w:val="24"/>
          <w:szCs w:val="24"/>
        </w:rPr>
        <w:t>Los confines de la apelación</w:t>
      </w:r>
    </w:p>
    <w:p w:rsidR="00DA6C81" w:rsidRPr="00AE23D3" w:rsidRDefault="00DA6C81" w:rsidP="00DF631B">
      <w:pPr>
        <w:tabs>
          <w:tab w:val="left" w:pos="1152"/>
        </w:tabs>
        <w:spacing w:line="288" w:lineRule="auto"/>
        <w:jc w:val="both"/>
        <w:rPr>
          <w:rFonts w:ascii="Georgia" w:hAnsi="Georgia" w:cs="Arial"/>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 xml:space="preserve">El enjuiciamiento en esta instancia lo trazan los temas objeto del </w:t>
      </w:r>
      <w:r w:rsidRPr="00AE23D3">
        <w:rPr>
          <w:rFonts w:ascii="Georgia" w:hAnsi="Georgia" w:cs="Arial"/>
          <w:bCs/>
          <w:szCs w:val="24"/>
        </w:rPr>
        <w:t xml:space="preserve">recurso, que se traduce en una patente aplicación </w:t>
      </w:r>
      <w:r w:rsidRPr="00AE23D3">
        <w:rPr>
          <w:rFonts w:ascii="Georgia" w:hAnsi="Georgia" w:cs="Arial"/>
          <w:szCs w:val="24"/>
        </w:rPr>
        <w:t>del modelo</w:t>
      </w:r>
      <w:r w:rsidRPr="00AE23D3">
        <w:rPr>
          <w:rFonts w:ascii="Georgia" w:hAnsi="Georgia" w:cs="Arial"/>
          <w:bCs/>
          <w:szCs w:val="24"/>
        </w:rPr>
        <w:t xml:space="preserve"> dispositivo en el proceso civil nacional, a partir de la regulación concreta que hace el CGP (Artículos 320 y 328, CGP), con algunas salvedades </w:t>
      </w:r>
      <w:r w:rsidRPr="00AE23D3">
        <w:rPr>
          <w:rFonts w:ascii="Georgia" w:hAnsi="Georgia" w:cs="Arial"/>
          <w:szCs w:val="24"/>
        </w:rPr>
        <w:t>como asuntos de familia y agrario (Art.281, CGP), las excepciones declarables de oficio (Artículo 282, ibídem), los presupuestos procesales y sustanciales, las nulidades absolutas (Art.2º, Ley 50 de 1936), las prestaciones mutuas</w:t>
      </w:r>
      <w:r w:rsidRPr="00AE23D3">
        <w:rPr>
          <w:rStyle w:val="Refdenotaalpie"/>
          <w:rFonts w:ascii="Georgia" w:hAnsi="Georgia"/>
          <w:szCs w:val="24"/>
        </w:rPr>
        <w:footnoteReference w:id="3"/>
      </w:r>
      <w:r w:rsidRPr="00AE23D3">
        <w:rPr>
          <w:rFonts w:ascii="Georgia" w:hAnsi="Georgia" w:cs="Arial"/>
          <w:szCs w:val="24"/>
        </w:rPr>
        <w:t xml:space="preserve"> y las costas procesales, entre otros</w:t>
      </w:r>
      <w:r w:rsidRPr="00AE23D3">
        <w:rPr>
          <w:rFonts w:ascii="Georgia" w:hAnsi="Georgia" w:cs="Arial"/>
          <w:bCs/>
          <w:szCs w:val="24"/>
        </w:rPr>
        <w:t>.</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tabs>
          <w:tab w:val="left" w:pos="1152"/>
        </w:tabs>
        <w:spacing w:line="288" w:lineRule="auto"/>
        <w:jc w:val="both"/>
        <w:rPr>
          <w:rFonts w:ascii="Georgia" w:hAnsi="Georgia" w:cs="Arial"/>
          <w:szCs w:val="24"/>
        </w:rPr>
      </w:pPr>
      <w:r w:rsidRPr="00AE23D3">
        <w:rPr>
          <w:rFonts w:ascii="Georgia" w:hAnsi="Georgia" w:cs="Arial"/>
          <w:szCs w:val="24"/>
        </w:rPr>
        <w:t>Y así lo ha entendido, de manera pacífica y consistente, esta Colegiatura en múltiples decisiones, por ejemplo las más recientes: de esta misma Sala y de otra</w:t>
      </w:r>
      <w:r w:rsidRPr="00AE23D3">
        <w:rPr>
          <w:rStyle w:val="Refdenotaalpie"/>
          <w:rFonts w:ascii="Georgia" w:hAnsi="Georgia"/>
          <w:szCs w:val="24"/>
        </w:rPr>
        <w:footnoteReference w:id="4"/>
      </w:r>
      <w:r w:rsidRPr="00AE23D3">
        <w:rPr>
          <w:rFonts w:ascii="Georgia" w:hAnsi="Georgia" w:cs="Arial"/>
          <w:szCs w:val="24"/>
        </w:rPr>
        <w:t>, todas del año anterior. En la última sentencia mencionada, se prohijó lo argüido por la CSJ en 2017</w:t>
      </w:r>
      <w:r w:rsidRPr="00AE23D3">
        <w:rPr>
          <w:rStyle w:val="Refdenotaalpie"/>
          <w:rFonts w:ascii="Georgia" w:hAnsi="Georgia"/>
          <w:szCs w:val="24"/>
        </w:rPr>
        <w:footnoteReference w:id="5"/>
      </w:r>
      <w:r w:rsidRPr="00AE23D3">
        <w:rPr>
          <w:rFonts w:ascii="Georgia" w:hAnsi="Georgia" w:cs="Arial"/>
          <w:szCs w:val="24"/>
        </w:rPr>
        <w:t xml:space="preserve">, eso sí como criterio auxiliar, al aludir a los límites que se imponen al juzgador de la alzada, lo que se ha dado en conocer como la </w:t>
      </w:r>
      <w:r w:rsidRPr="00AE23D3">
        <w:rPr>
          <w:rFonts w:ascii="Georgia" w:hAnsi="Georgia" w:cs="Arial"/>
          <w:i/>
          <w:szCs w:val="24"/>
        </w:rPr>
        <w:t>pretensión impugnaticia</w:t>
      </w:r>
      <w:r w:rsidRPr="00AE23D3">
        <w:rPr>
          <w:rFonts w:ascii="Georgia" w:hAnsi="Georgia" w:cs="Arial"/>
          <w:szCs w:val="24"/>
        </w:rPr>
        <w:t>, que algunos autores como el profesor Ramiro Bejarano Guzmán</w:t>
      </w:r>
      <w:r w:rsidRPr="00AE23D3">
        <w:rPr>
          <w:rStyle w:val="Refdenotaalpie"/>
          <w:rFonts w:ascii="Georgia" w:hAnsi="Georgia"/>
          <w:szCs w:val="24"/>
        </w:rPr>
        <w:footnoteReference w:id="6"/>
      </w:r>
      <w:r w:rsidRPr="00AE23D3">
        <w:rPr>
          <w:rFonts w:ascii="Georgia" w:hAnsi="Georgia" w:cs="Arial"/>
          <w:szCs w:val="24"/>
        </w:rPr>
        <w:t xml:space="preserve"> critican, sin que esta Sala comparta su discrepancia.</w:t>
      </w:r>
    </w:p>
    <w:p w:rsidR="00DA6C81" w:rsidRPr="00AE23D3" w:rsidRDefault="00DA6C81" w:rsidP="00DF631B">
      <w:pPr>
        <w:tabs>
          <w:tab w:val="left" w:pos="1152"/>
        </w:tabs>
        <w:spacing w:line="288" w:lineRule="auto"/>
        <w:jc w:val="both"/>
        <w:rPr>
          <w:rFonts w:ascii="Georgia" w:hAnsi="Georgia" w:cs="Arial"/>
          <w:szCs w:val="24"/>
        </w:rPr>
      </w:pPr>
    </w:p>
    <w:p w:rsidR="00DA6C81" w:rsidRPr="00AE23D3" w:rsidRDefault="00DA6C81" w:rsidP="00DF631B">
      <w:pPr>
        <w:pStyle w:val="Prrafodelista"/>
        <w:numPr>
          <w:ilvl w:val="2"/>
          <w:numId w:val="3"/>
        </w:numPr>
        <w:tabs>
          <w:tab w:val="left" w:pos="1152"/>
        </w:tabs>
        <w:spacing w:line="288" w:lineRule="auto"/>
        <w:jc w:val="both"/>
        <w:textAlignment w:val="baseline"/>
        <w:rPr>
          <w:rFonts w:ascii="Georgia" w:hAnsi="Georgia" w:cs="Arial"/>
          <w:sz w:val="24"/>
          <w:szCs w:val="24"/>
        </w:rPr>
      </w:pPr>
      <w:r w:rsidRPr="00AE23D3">
        <w:rPr>
          <w:rFonts w:ascii="Georgia" w:hAnsi="Georgia" w:cs="Arial"/>
          <w:sz w:val="24"/>
          <w:szCs w:val="24"/>
        </w:rPr>
        <w:t>La legitimación en la causa</w:t>
      </w:r>
    </w:p>
    <w:p w:rsidR="00DA6C81" w:rsidRPr="00AE23D3" w:rsidRDefault="00DA6C81" w:rsidP="00DF631B">
      <w:pPr>
        <w:tabs>
          <w:tab w:val="left" w:pos="1152"/>
        </w:tabs>
        <w:spacing w:line="288" w:lineRule="auto"/>
        <w:jc w:val="both"/>
        <w:rPr>
          <w:rFonts w:ascii="Georgia" w:hAnsi="Georgia" w:cs="Arial"/>
          <w:szCs w:val="24"/>
        </w:rPr>
      </w:pPr>
    </w:p>
    <w:p w:rsidR="00DA6C81" w:rsidRPr="00AE23D3" w:rsidRDefault="00DA6C81" w:rsidP="00DF631B">
      <w:pPr>
        <w:tabs>
          <w:tab w:val="left" w:pos="1152"/>
        </w:tabs>
        <w:spacing w:line="288" w:lineRule="auto"/>
        <w:jc w:val="both"/>
        <w:rPr>
          <w:rFonts w:ascii="Georgia" w:hAnsi="Georgia" w:cs="Arial"/>
          <w:szCs w:val="24"/>
        </w:rPr>
      </w:pPr>
      <w:r w:rsidRPr="00AE23D3">
        <w:rPr>
          <w:rFonts w:ascii="Georgia" w:hAnsi="Georgia" w:cs="Arial"/>
          <w:szCs w:val="24"/>
        </w:rPr>
        <w:t xml:space="preserve">Es uno de los presupuestos para el estudio de la pretensión, que acreditada hace posible constatar su vocación de prosperidad. La CSJ ha acogido la teoría </w:t>
      </w:r>
      <w:proofErr w:type="spellStart"/>
      <w:r w:rsidRPr="00AE23D3">
        <w:rPr>
          <w:rFonts w:ascii="Georgia" w:hAnsi="Georgia" w:cs="Arial"/>
          <w:szCs w:val="24"/>
        </w:rPr>
        <w:t>sustancialista</w:t>
      </w:r>
      <w:proofErr w:type="spellEnd"/>
      <w:r w:rsidRPr="00AE23D3">
        <w:rPr>
          <w:rStyle w:val="Refdenotaalpie"/>
          <w:rFonts w:ascii="Georgia" w:hAnsi="Georgia"/>
          <w:szCs w:val="24"/>
        </w:rPr>
        <w:footnoteReference w:id="7"/>
      </w:r>
      <w:r w:rsidRPr="00AE23D3">
        <w:rPr>
          <w:rFonts w:ascii="Georgia" w:hAnsi="Georgia" w:cs="Arial"/>
          <w:szCs w:val="24"/>
        </w:rPr>
        <w:t xml:space="preserve"> del maestro </w:t>
      </w:r>
      <w:proofErr w:type="spellStart"/>
      <w:r w:rsidRPr="00AE23D3">
        <w:rPr>
          <w:rFonts w:ascii="Georgia" w:hAnsi="Georgia" w:cs="Arial"/>
          <w:szCs w:val="24"/>
        </w:rPr>
        <w:t>Chiovenda</w:t>
      </w:r>
      <w:proofErr w:type="spellEnd"/>
      <w:r w:rsidRPr="00AE23D3">
        <w:rPr>
          <w:rFonts w:ascii="Georgia" w:hAnsi="Georgia" w:cs="Arial"/>
          <w:szCs w:val="24"/>
        </w:rPr>
        <w:t xml:space="preserve">, en oposición a la procesalista del profesor Enrico </w:t>
      </w:r>
      <w:proofErr w:type="spellStart"/>
      <w:r w:rsidRPr="00AE23D3">
        <w:rPr>
          <w:rFonts w:ascii="Georgia" w:hAnsi="Georgia" w:cs="Arial"/>
          <w:szCs w:val="24"/>
        </w:rPr>
        <w:t>Allorio</w:t>
      </w:r>
      <w:proofErr w:type="spellEnd"/>
      <w:r w:rsidRPr="00AE23D3">
        <w:rPr>
          <w:rFonts w:ascii="Georgia" w:hAnsi="Georgia" w:cs="Arial"/>
          <w:szCs w:val="24"/>
        </w:rPr>
        <w:t xml:space="preserve">, por eso se ha entendido como requisito material para emitir decisión de mérito, es decir, resolver sobre el pedimento; en la misma línea de pensamiento la doctrina nacional en cabeza del maestro </w:t>
      </w:r>
      <w:proofErr w:type="spellStart"/>
      <w:r w:rsidRPr="00AE23D3">
        <w:rPr>
          <w:rFonts w:ascii="Georgia" w:hAnsi="Georgia" w:cs="Arial"/>
          <w:szCs w:val="24"/>
        </w:rPr>
        <w:t>Devis</w:t>
      </w:r>
      <w:proofErr w:type="spellEnd"/>
      <w:r w:rsidRPr="00AE23D3">
        <w:rPr>
          <w:rFonts w:ascii="Georgia" w:hAnsi="Georgia" w:cs="Arial"/>
          <w:szCs w:val="24"/>
        </w:rPr>
        <w:t xml:space="preserve"> </w:t>
      </w:r>
      <w:proofErr w:type="spellStart"/>
      <w:r w:rsidRPr="00AE23D3">
        <w:rPr>
          <w:rFonts w:ascii="Georgia" w:hAnsi="Georgia" w:cs="Arial"/>
          <w:szCs w:val="24"/>
        </w:rPr>
        <w:t>Echandía</w:t>
      </w:r>
      <w:proofErr w:type="spellEnd"/>
      <w:r w:rsidRPr="00AE23D3">
        <w:rPr>
          <w:rStyle w:val="Refdenotaalpie"/>
          <w:rFonts w:ascii="Georgia" w:hAnsi="Georgia"/>
          <w:szCs w:val="24"/>
        </w:rPr>
        <w:footnoteReference w:id="8"/>
      </w:r>
      <w:r w:rsidRPr="00AE23D3">
        <w:rPr>
          <w:rFonts w:ascii="Georgia" w:hAnsi="Georgia" w:cs="Arial"/>
          <w:szCs w:val="24"/>
        </w:rPr>
        <w:t xml:space="preserve">, señala: </w:t>
      </w:r>
      <w:r w:rsidRPr="00AE23D3">
        <w:rPr>
          <w:rFonts w:ascii="Georgia" w:hAnsi="Georgia" w:cs="Arial"/>
          <w:szCs w:val="24"/>
        </w:rPr>
        <w:lastRenderedPageBreak/>
        <w:t>“</w:t>
      </w:r>
      <w:r w:rsidRPr="00AE23D3">
        <w:rPr>
          <w:rFonts w:ascii="Georgia" w:hAnsi="Georgia" w:cs="Arial"/>
          <w:i/>
          <w:szCs w:val="24"/>
        </w:rPr>
        <w:t>(…) es presupuesto de la pretensión para la sentencia de fondo; determina quiénes deben o pueden demandar y a quién se debe o se puede demandar; (…)</w:t>
      </w:r>
      <w:r w:rsidRPr="00AE23D3">
        <w:rPr>
          <w:rFonts w:ascii="Georgia" w:hAnsi="Georgia" w:cs="Arial"/>
          <w:szCs w:val="24"/>
        </w:rPr>
        <w:t>”; se ha decantado que no es presupuesto procesal, lo explica con prolijidad el insigne Ramírez Arcila</w:t>
      </w:r>
      <w:r w:rsidRPr="00AE23D3">
        <w:rPr>
          <w:rStyle w:val="Refdenotaalpie"/>
          <w:rFonts w:ascii="Georgia" w:hAnsi="Georgia"/>
          <w:szCs w:val="24"/>
        </w:rPr>
        <w:footnoteReference w:id="9"/>
      </w:r>
      <w:r w:rsidRPr="00AE23D3">
        <w:rPr>
          <w:rFonts w:ascii="Georgia" w:hAnsi="Georgia" w:cs="Arial"/>
          <w:szCs w:val="24"/>
        </w:rPr>
        <w:t xml:space="preserve"> en su obra.</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spacing w:line="288" w:lineRule="auto"/>
        <w:jc w:val="both"/>
        <w:rPr>
          <w:rFonts w:ascii="Arial" w:hAnsi="Arial" w:cs="Arial"/>
          <w:szCs w:val="24"/>
        </w:rPr>
      </w:pPr>
      <w:r w:rsidRPr="00AE23D3">
        <w:rPr>
          <w:rFonts w:ascii="Georgia" w:hAnsi="Georgia" w:cs="Arial"/>
          <w:szCs w:val="24"/>
        </w:rPr>
        <w:t>Con estricto apego a la dogmática procesal la ausencia de legitimación en la causa en manera alguna estructura una excepción de mérito</w:t>
      </w:r>
      <w:r w:rsidRPr="00AE23D3">
        <w:rPr>
          <w:rStyle w:val="Refdenotaalpie"/>
          <w:rFonts w:ascii="Georgia" w:hAnsi="Georgia"/>
          <w:szCs w:val="24"/>
        </w:rPr>
        <w:footnoteReference w:id="10"/>
      </w:r>
      <w:r w:rsidRPr="00AE23D3">
        <w:rPr>
          <w:rFonts w:ascii="Georgia" w:hAnsi="Georgia" w:cs="Arial"/>
          <w:szCs w:val="24"/>
        </w:rPr>
        <w:t>, porque cualquier argumento, a pesar de que así lo nomine la parte, solo se puede tipificar como tal, cuando quiera que contenga hechos nuevos impeditivos o extintivos del derecho reclamado, destaca la CSJ</w:t>
      </w:r>
      <w:r w:rsidRPr="00AE23D3">
        <w:rPr>
          <w:rStyle w:val="Refdenotaalpie"/>
          <w:rFonts w:ascii="Georgia" w:hAnsi="Georgia"/>
          <w:szCs w:val="24"/>
        </w:rPr>
        <w:footnoteReference w:id="11"/>
      </w:r>
      <w:r w:rsidRPr="00AE23D3">
        <w:rPr>
          <w:rFonts w:ascii="Georgia" w:hAnsi="Georgia" w:cs="Arial"/>
          <w:szCs w:val="24"/>
        </w:rPr>
        <w:t>: “</w:t>
      </w:r>
      <w:r w:rsidRPr="00AE23D3">
        <w:rPr>
          <w:rFonts w:ascii="Georgia" w:hAnsi="Georgia" w:cs="Arial"/>
          <w:i/>
          <w:szCs w:val="24"/>
        </w:rPr>
        <w:t>(…) la excepción es un medio de defensa, mas no engloba toda la defensa. (…)</w:t>
      </w:r>
      <w:r w:rsidRPr="00AE23D3">
        <w:rPr>
          <w:rFonts w:ascii="Georgia" w:hAnsi="Georgia" w:cs="Arial"/>
          <w:szCs w:val="24"/>
        </w:rPr>
        <w:t xml:space="preserve">”, sin embargo, es la misma Colegiatura la que dice, en la providencia en cita: </w:t>
      </w:r>
      <w:r w:rsidRPr="00AE23D3">
        <w:rPr>
          <w:rFonts w:ascii="Georgia" w:hAnsi="Georgia" w:cs="Arial"/>
          <w:i/>
          <w:szCs w:val="24"/>
        </w:rPr>
        <w:t>“(…)</w:t>
      </w:r>
      <w:r w:rsidRPr="00AE23D3">
        <w:rPr>
          <w:rFonts w:ascii="Georgia" w:hAnsi="Georgia"/>
          <w:i/>
          <w:szCs w:val="24"/>
        </w:rPr>
        <w:t xml:space="preserve"> no escapa a esta Sala que cuando en su defensa el demandado aduce hechos tendientes a refutar el derecho que pretende el actor, y precisamente los trae al proceso buscando desconocer la titularidad de cualquiera de las partes, o de ambas, respecto del objeto material o jurídico debatido, ha de tramitarse como excepción esta particular forma de oposición, (…)”.</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overflowPunct/>
        <w:spacing w:line="288" w:lineRule="auto"/>
        <w:jc w:val="both"/>
        <w:rPr>
          <w:rFonts w:ascii="Georgia" w:hAnsi="Georgia" w:cs="Arial"/>
          <w:szCs w:val="24"/>
        </w:rPr>
      </w:pPr>
      <w:r w:rsidRPr="00AE23D3">
        <w:rPr>
          <w:rFonts w:ascii="Georgia" w:hAnsi="Georgia" w:cs="Arial"/>
          <w:szCs w:val="24"/>
        </w:rPr>
        <w:t>De otro lado, explica el precedente de esa Corporación</w:t>
      </w:r>
      <w:r w:rsidRPr="00AE23D3">
        <w:rPr>
          <w:rStyle w:val="Refdenotaalpie"/>
          <w:rFonts w:ascii="Georgia" w:hAnsi="Georgia"/>
          <w:szCs w:val="24"/>
        </w:rPr>
        <w:footnoteReference w:id="12"/>
      </w:r>
      <w:r w:rsidRPr="00AE23D3">
        <w:rPr>
          <w:rFonts w:ascii="Georgia" w:hAnsi="Georgia" w:cs="Arial"/>
          <w:szCs w:val="24"/>
        </w:rPr>
        <w:t>, que no hay un único factor para determinar la legitimación en la causa: “</w:t>
      </w:r>
      <w:r w:rsidRPr="00AE23D3">
        <w:rPr>
          <w:rFonts w:ascii="Georgia" w:hAnsi="Georgia" w:cs="Arial"/>
          <w:i/>
          <w:szCs w:val="24"/>
        </w:rPr>
        <w:t xml:space="preserve">(…) no es un único parámetro el que permite establecer si a las partes les asiste o no </w:t>
      </w:r>
      <w:proofErr w:type="spellStart"/>
      <w:r w:rsidRPr="00AE23D3">
        <w:rPr>
          <w:rFonts w:ascii="Georgia" w:hAnsi="Georgia" w:cs="Arial"/>
          <w:i/>
          <w:szCs w:val="24"/>
        </w:rPr>
        <w:t>legitimatio</w:t>
      </w:r>
      <w:proofErr w:type="spellEnd"/>
      <w:r w:rsidRPr="00AE23D3">
        <w:rPr>
          <w:rFonts w:ascii="Georgia" w:hAnsi="Georgia" w:cs="Arial"/>
          <w:i/>
          <w:szCs w:val="24"/>
        </w:rPr>
        <w:t xml:space="preserve"> ad </w:t>
      </w:r>
      <w:proofErr w:type="spellStart"/>
      <w:r w:rsidRPr="00AE23D3">
        <w:rPr>
          <w:rFonts w:ascii="Georgia" w:hAnsi="Georgia" w:cs="Arial"/>
          <w:i/>
          <w:szCs w:val="24"/>
        </w:rPr>
        <w:t>causam</w:t>
      </w:r>
      <w:proofErr w:type="spellEnd"/>
      <w:r w:rsidRPr="00AE23D3">
        <w:rPr>
          <w:rFonts w:ascii="Georgia" w:hAnsi="Georgia" w:cs="Arial"/>
          <w:i/>
          <w:szCs w:val="24"/>
        </w:rPr>
        <w:t>, sino que es imperativo analizar un «conjunto de circunstancias, condiciones o cualidades de cierta categoría de sujetos, respecto a la relación o al estado jurídico objeto del proveimiento que reclama un determinado sujeto».</w:t>
      </w:r>
      <w:r w:rsidRPr="00AE23D3">
        <w:rPr>
          <w:rStyle w:val="Refdenotaalpie"/>
          <w:rFonts w:ascii="Georgia" w:hAnsi="Georgia" w:cs="Arial"/>
          <w:i/>
          <w:szCs w:val="24"/>
        </w:rPr>
        <w:footnoteReference w:id="13"/>
      </w:r>
      <w:r w:rsidRPr="00AE23D3">
        <w:rPr>
          <w:rFonts w:ascii="Georgia" w:hAnsi="Georgia" w:cs="Arial"/>
          <w:i/>
          <w:szCs w:val="24"/>
        </w:rPr>
        <w:t xml:space="preserve">”, </w:t>
      </w:r>
      <w:r w:rsidRPr="00AE23D3">
        <w:rPr>
          <w:rFonts w:ascii="Georgia" w:hAnsi="Georgia" w:cs="Arial"/>
          <w:szCs w:val="24"/>
        </w:rPr>
        <w:t>y luego concluye: “</w:t>
      </w:r>
      <w:r w:rsidRPr="00AE23D3">
        <w:rPr>
          <w:rFonts w:ascii="Georgia" w:hAnsi="Georgia" w:cs="Arial"/>
          <w:i/>
          <w:szCs w:val="24"/>
        </w:rPr>
        <w:t xml:space="preserve">(…) el interés en el litigio, factor que es determinante en la legitimación en la causa litigiosa, </w:t>
      </w:r>
      <w:r w:rsidRPr="00AE23D3">
        <w:rPr>
          <w:rFonts w:ascii="Georgia" w:hAnsi="Georgia" w:cs="Arial"/>
          <w:i/>
          <w:szCs w:val="24"/>
          <w:u w:val="single"/>
        </w:rPr>
        <w:t>puede asistirle a varias personas por activa y por pasiva aunque solo algunos de ellos sean los titulares de la relación jurídica material, de ahí que a unos y a otros les deba ser reconocida.</w:t>
      </w:r>
      <w:r w:rsidRPr="00AE23D3">
        <w:rPr>
          <w:rFonts w:ascii="Georgia" w:hAnsi="Georgia" w:cs="Arial"/>
          <w:i/>
          <w:szCs w:val="24"/>
        </w:rPr>
        <w:t>”.</w:t>
      </w:r>
      <w:r w:rsidRPr="00AE23D3">
        <w:rPr>
          <w:rFonts w:ascii="Georgia" w:hAnsi="Georgia" w:cs="Arial"/>
          <w:szCs w:val="24"/>
        </w:rPr>
        <w:t xml:space="preserve"> Subrayado intencional de esta Sala.</w:t>
      </w:r>
    </w:p>
    <w:p w:rsidR="00DA6C81" w:rsidRPr="00AE23D3" w:rsidRDefault="00DA6C81" w:rsidP="00DF631B">
      <w:pPr>
        <w:overflowPunct/>
        <w:spacing w:line="288" w:lineRule="auto"/>
        <w:jc w:val="both"/>
        <w:rPr>
          <w:rFonts w:ascii="Georgia" w:hAnsi="Georgia" w:cs="Arial"/>
          <w:szCs w:val="24"/>
        </w:rPr>
      </w:pPr>
    </w:p>
    <w:p w:rsidR="00DA6C81" w:rsidRPr="00AE23D3" w:rsidRDefault="00DA6C81" w:rsidP="00DF631B">
      <w:pPr>
        <w:pStyle w:val="Prrafodelista"/>
        <w:numPr>
          <w:ilvl w:val="0"/>
          <w:numId w:val="3"/>
        </w:numPr>
        <w:overflowPunct/>
        <w:spacing w:line="288" w:lineRule="auto"/>
        <w:jc w:val="both"/>
        <w:rPr>
          <w:rFonts w:ascii="Georgia" w:hAnsi="Georgia" w:cs="Arial"/>
          <w:sz w:val="24"/>
          <w:szCs w:val="24"/>
        </w:rPr>
      </w:pPr>
      <w:r w:rsidRPr="00AE23D3">
        <w:rPr>
          <w:rFonts w:ascii="Georgia" w:hAnsi="Georgia" w:cs="Arial"/>
          <w:sz w:val="24"/>
          <w:szCs w:val="24"/>
        </w:rPr>
        <w:t>LA RESPUESTA AL PROBLEMA JURÍDICO</w:t>
      </w:r>
    </w:p>
    <w:p w:rsidR="00DA6C81" w:rsidRPr="00AE23D3" w:rsidRDefault="00DA6C81" w:rsidP="00DF631B">
      <w:pPr>
        <w:overflowPunct/>
        <w:spacing w:line="288" w:lineRule="auto"/>
        <w:jc w:val="both"/>
        <w:rPr>
          <w:rFonts w:ascii="Georgia" w:hAnsi="Georgia" w:cs="Arial"/>
          <w:szCs w:val="24"/>
        </w:rPr>
      </w:pPr>
    </w:p>
    <w:p w:rsidR="00DA6C81" w:rsidRPr="00AE23D3" w:rsidRDefault="00DA6C81" w:rsidP="00DF631B">
      <w:pPr>
        <w:overflowPunct/>
        <w:spacing w:line="288" w:lineRule="auto"/>
        <w:jc w:val="both"/>
        <w:rPr>
          <w:rFonts w:ascii="Georgia" w:hAnsi="Georgia" w:cs="Arial"/>
          <w:szCs w:val="24"/>
        </w:rPr>
      </w:pPr>
      <w:r w:rsidRPr="00AE23D3">
        <w:rPr>
          <w:rFonts w:ascii="Georgia" w:hAnsi="Georgia" w:cs="Arial"/>
          <w:szCs w:val="24"/>
        </w:rPr>
        <w:t>REPARO ÚNICO. Se demostró la existencia de una sociedad de hecho comercial o “</w:t>
      </w:r>
      <w:r w:rsidRPr="00AE23D3">
        <w:rPr>
          <w:rFonts w:ascii="Georgia" w:hAnsi="Georgia" w:cs="Arial"/>
          <w:i/>
          <w:szCs w:val="24"/>
        </w:rPr>
        <w:t>sociedad de familia</w:t>
      </w:r>
      <w:r w:rsidRPr="00AE23D3">
        <w:rPr>
          <w:rFonts w:ascii="Georgia" w:hAnsi="Georgia" w:cs="Arial"/>
          <w:szCs w:val="24"/>
        </w:rPr>
        <w:t>” y los demandados son copropietarios, así como los demandantes, de tal manera que en tales condiciones deben  rendir cuentas de la administración.</w:t>
      </w:r>
    </w:p>
    <w:p w:rsidR="00DA6C81" w:rsidRPr="00AE23D3" w:rsidRDefault="00DA6C81" w:rsidP="00DF631B">
      <w:pPr>
        <w:overflowPunct/>
        <w:spacing w:line="288" w:lineRule="auto"/>
        <w:jc w:val="both"/>
        <w:rPr>
          <w:rFonts w:ascii="Georgia" w:hAnsi="Georgia" w:cs="Arial"/>
          <w:szCs w:val="24"/>
        </w:rPr>
      </w:pPr>
    </w:p>
    <w:p w:rsidR="00DA6C81" w:rsidRPr="00AE23D3" w:rsidRDefault="00DA6C81" w:rsidP="00DF631B">
      <w:pPr>
        <w:pStyle w:val="Prrafodelista"/>
        <w:numPr>
          <w:ilvl w:val="2"/>
          <w:numId w:val="3"/>
        </w:numPr>
        <w:tabs>
          <w:tab w:val="left" w:pos="1152"/>
        </w:tabs>
        <w:spacing w:line="288" w:lineRule="auto"/>
        <w:jc w:val="both"/>
        <w:textAlignment w:val="baseline"/>
        <w:rPr>
          <w:rFonts w:ascii="Georgia" w:hAnsi="Georgia" w:cs="Arial"/>
          <w:sz w:val="24"/>
          <w:szCs w:val="24"/>
        </w:rPr>
      </w:pPr>
      <w:r w:rsidRPr="00AE23D3">
        <w:rPr>
          <w:rFonts w:ascii="Georgia" w:hAnsi="Georgia" w:cs="Arial"/>
          <w:sz w:val="24"/>
          <w:szCs w:val="24"/>
        </w:rPr>
        <w:t>La congruencia o cuadro de la instancia</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spacing w:line="288" w:lineRule="auto"/>
        <w:jc w:val="both"/>
        <w:rPr>
          <w:rFonts w:ascii="Georgia" w:hAnsi="Georgia" w:cs="Tahoma"/>
          <w:szCs w:val="24"/>
        </w:rPr>
      </w:pPr>
      <w:r w:rsidRPr="00AE23D3">
        <w:rPr>
          <w:rFonts w:ascii="Georgia" w:hAnsi="Georgia" w:cs="Arial"/>
          <w:szCs w:val="24"/>
        </w:rPr>
        <w:t>Aparece regulado en el artículo 281, CGP, cuando alude a la sentencia diciendo que: “</w:t>
      </w:r>
      <w:r w:rsidRPr="00AE23D3">
        <w:rPr>
          <w:rFonts w:ascii="Georgia" w:hAnsi="Georgia" w:cs="Arial"/>
          <w:i/>
          <w:szCs w:val="24"/>
        </w:rPr>
        <w:t xml:space="preserve">(…) </w:t>
      </w:r>
      <w:r w:rsidRPr="00AE23D3">
        <w:rPr>
          <w:rFonts w:ascii="Georgia" w:hAnsi="Georgia" w:cs="Tahoma"/>
          <w:i/>
          <w:szCs w:val="24"/>
        </w:rPr>
        <w:t xml:space="preserve">deberá estar en consonancia con los hechos y las pretensiones aducidos en la demanda y en las demás oportunidades que este código contempla y con las excepciones que aparezcan probadas y hubieren sido alegadas si así lo exige la </w:t>
      </w:r>
      <w:r w:rsidRPr="00AE23D3">
        <w:rPr>
          <w:rFonts w:ascii="Georgia" w:hAnsi="Georgia" w:cs="Tahoma"/>
          <w:i/>
          <w:szCs w:val="24"/>
        </w:rPr>
        <w:lastRenderedPageBreak/>
        <w:t>ley.  No podrá condenarse al demandado por cantidad superior o por objeto distinto del pretendido en la demanda ni por causa diferente a la invocada en ésta. (…)”.</w:t>
      </w:r>
    </w:p>
    <w:p w:rsidR="00DA6C81" w:rsidRPr="00AE23D3" w:rsidRDefault="00DA6C81" w:rsidP="00DF631B">
      <w:pPr>
        <w:spacing w:line="288" w:lineRule="auto"/>
        <w:jc w:val="both"/>
        <w:rPr>
          <w:rFonts w:ascii="Georgia" w:hAnsi="Georgia" w:cs="Tahoma"/>
          <w:szCs w:val="24"/>
        </w:rPr>
      </w:pPr>
    </w:p>
    <w:p w:rsidR="00DA6C81" w:rsidRPr="00AE23D3" w:rsidRDefault="00DA6C81" w:rsidP="00DF631B">
      <w:pPr>
        <w:spacing w:line="288" w:lineRule="auto"/>
        <w:jc w:val="both"/>
        <w:rPr>
          <w:rFonts w:ascii="Georgia" w:hAnsi="Georgia" w:cs="Tahoma"/>
          <w:szCs w:val="24"/>
        </w:rPr>
      </w:pPr>
      <w:r w:rsidRPr="00AE23D3">
        <w:rPr>
          <w:rFonts w:ascii="Georgia" w:hAnsi="Georgia" w:cs="Tahoma"/>
          <w:szCs w:val="24"/>
        </w:rPr>
        <w:t>Esta parte inicial de la norma no sufrió alteraciones respecto a lo prescrito por el CPC, se le adicionaron dos salvedades en las especialidades de familia y agrario, en todo caso son ajenas para este asunto. Tiene dicho la CSJ</w:t>
      </w:r>
      <w:r w:rsidRPr="00AE23D3">
        <w:rPr>
          <w:rStyle w:val="Refdenotaalpie"/>
          <w:rFonts w:ascii="Georgia" w:hAnsi="Georgia"/>
          <w:szCs w:val="24"/>
        </w:rPr>
        <w:footnoteReference w:id="14"/>
      </w:r>
      <w:r w:rsidRPr="00AE23D3">
        <w:rPr>
          <w:rFonts w:ascii="Georgia" w:hAnsi="Georgia" w:cs="Tahoma"/>
          <w:szCs w:val="24"/>
        </w:rPr>
        <w:t>, en su Sala Civil que:</w:t>
      </w:r>
    </w:p>
    <w:p w:rsidR="00DA6C81" w:rsidRPr="00AE23D3" w:rsidRDefault="00DA6C81" w:rsidP="00DF631B">
      <w:pPr>
        <w:spacing w:line="288" w:lineRule="auto"/>
        <w:ind w:left="567" w:right="567"/>
        <w:jc w:val="both"/>
        <w:rPr>
          <w:rFonts w:ascii="Georgia" w:hAnsi="Georgia" w:cs="Tahoma"/>
          <w:szCs w:val="24"/>
        </w:rPr>
      </w:pPr>
    </w:p>
    <w:p w:rsidR="00DA6C81" w:rsidRPr="00AE23D3" w:rsidRDefault="00DA6C81" w:rsidP="00DF631B">
      <w:pPr>
        <w:ind w:left="426" w:right="420"/>
        <w:jc w:val="both"/>
        <w:rPr>
          <w:rFonts w:ascii="Georgia" w:hAnsi="Georgia" w:cs="Arial"/>
          <w:sz w:val="22"/>
          <w:szCs w:val="24"/>
        </w:rPr>
      </w:pPr>
      <w:r w:rsidRPr="00AE23D3">
        <w:rPr>
          <w:rFonts w:ascii="Georgia" w:hAnsi="Georgia" w:cs="Arial"/>
          <w:sz w:val="22"/>
          <w:szCs w:val="24"/>
        </w:rPr>
        <w:t>La labor de delimitar el contorno del pleito es disímil para los intervinientes, puesto que quien le da inicio señala las pautas en la demanda y su reforma, mientras que aquel compelido a responder la complementa con la formulación de los medios de defensa a su alcance, e incluso poniendo en conocimiento del funcionario cualquier hecho modificativo o extintivo «</w:t>
      </w:r>
      <w:r w:rsidRPr="00AE23D3">
        <w:rPr>
          <w:rFonts w:ascii="Georgia" w:hAnsi="Georgia" w:cs="Arial"/>
          <w:i/>
          <w:sz w:val="22"/>
          <w:szCs w:val="24"/>
        </w:rPr>
        <w:t>del derecho sustancial sobre el cual verse el litigio, ocurrido después de haberse propuesto la demanda</w:t>
      </w:r>
      <w:r w:rsidRPr="00AE23D3">
        <w:rPr>
          <w:rFonts w:ascii="Georgia" w:hAnsi="Georgia" w:cs="Arial"/>
          <w:sz w:val="22"/>
          <w:szCs w:val="24"/>
        </w:rPr>
        <w:t>», tal como lo autoriza el inciso final del citado artículo 305 del Código de Procedimiento Civil.</w:t>
      </w:r>
    </w:p>
    <w:p w:rsidR="00DA6C81" w:rsidRPr="00AE23D3" w:rsidRDefault="00DA6C81" w:rsidP="00DF631B">
      <w:pPr>
        <w:spacing w:line="288" w:lineRule="auto"/>
        <w:jc w:val="both"/>
        <w:rPr>
          <w:rFonts w:ascii="Georgia" w:hAnsi="Georgia" w:cs="Tahoma"/>
          <w:szCs w:val="24"/>
        </w:rPr>
      </w:pPr>
    </w:p>
    <w:p w:rsidR="00DA6C81" w:rsidRPr="00AE23D3" w:rsidRDefault="00DA6C81" w:rsidP="00DF631B">
      <w:pPr>
        <w:tabs>
          <w:tab w:val="left" w:pos="1152"/>
        </w:tabs>
        <w:spacing w:line="288" w:lineRule="auto"/>
        <w:jc w:val="both"/>
        <w:rPr>
          <w:rFonts w:ascii="Georgia" w:hAnsi="Georgia" w:cs="Arial"/>
          <w:szCs w:val="24"/>
        </w:rPr>
      </w:pPr>
      <w:r w:rsidRPr="00AE23D3">
        <w:rPr>
          <w:rFonts w:ascii="Georgia" w:hAnsi="Georgia" w:cs="Arial"/>
          <w:szCs w:val="24"/>
        </w:rPr>
        <w:t xml:space="preserve">Puestas así las cosas, adviene paladino denotar que la consonancia o congruencia se define en consideración a las postulaciones de las partes en torno a los hechos o </w:t>
      </w:r>
      <w:r w:rsidRPr="00AE23D3">
        <w:rPr>
          <w:rFonts w:ascii="Georgia" w:hAnsi="Georgia" w:cs="Arial"/>
          <w:i/>
          <w:szCs w:val="24"/>
        </w:rPr>
        <w:t xml:space="preserve">causa </w:t>
      </w:r>
      <w:proofErr w:type="spellStart"/>
      <w:r w:rsidRPr="00AE23D3">
        <w:rPr>
          <w:rFonts w:ascii="Georgia" w:hAnsi="Georgia" w:cs="Arial"/>
          <w:i/>
          <w:szCs w:val="24"/>
        </w:rPr>
        <w:t>petendi</w:t>
      </w:r>
      <w:proofErr w:type="spellEnd"/>
      <w:r w:rsidRPr="00AE23D3">
        <w:rPr>
          <w:rFonts w:ascii="Georgia" w:hAnsi="Georgia" w:cs="Arial"/>
          <w:szCs w:val="24"/>
        </w:rPr>
        <w:t xml:space="preserve"> y las pretensiones mismas (</w:t>
      </w:r>
      <w:proofErr w:type="spellStart"/>
      <w:r w:rsidRPr="00AE23D3">
        <w:rPr>
          <w:rFonts w:ascii="Georgia" w:hAnsi="Georgia" w:cs="Arial"/>
          <w:i/>
          <w:szCs w:val="24"/>
        </w:rPr>
        <w:t>Petitum</w:t>
      </w:r>
      <w:proofErr w:type="spellEnd"/>
      <w:r w:rsidRPr="00AE23D3">
        <w:rPr>
          <w:rFonts w:ascii="Georgia" w:hAnsi="Georgia" w:cs="Arial"/>
          <w:szCs w:val="24"/>
        </w:rPr>
        <w:t>), del lado del demandante; y, según la contestación y excepciones de mérito o perentorias, del extremo pasivo.</w:t>
      </w:r>
    </w:p>
    <w:p w:rsidR="00DA6C81" w:rsidRPr="00AE23D3" w:rsidRDefault="00DA6C81" w:rsidP="00DF631B">
      <w:pPr>
        <w:tabs>
          <w:tab w:val="left" w:pos="1152"/>
        </w:tabs>
        <w:spacing w:line="288" w:lineRule="auto"/>
        <w:jc w:val="both"/>
        <w:rPr>
          <w:rFonts w:ascii="Georgia" w:hAnsi="Georgia" w:cs="Arial"/>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Descendiendo en autos, sin ambages, fracasa la alzada en lo atinente a la copropiedad como base para reclamar las cuentas, pues acoger este argumento connota emitir una sentencia incongruente, dado que la causa para pedir está fundada en la existencia de una “</w:t>
      </w:r>
      <w:r w:rsidRPr="00AE23D3">
        <w:rPr>
          <w:rFonts w:ascii="Georgia" w:hAnsi="Georgia" w:cs="Arial"/>
          <w:i/>
          <w:szCs w:val="24"/>
        </w:rPr>
        <w:t>sociedad de hecho comercial o de familia</w:t>
      </w:r>
      <w:r w:rsidRPr="00AE23D3">
        <w:rPr>
          <w:rFonts w:ascii="Georgia" w:hAnsi="Georgia" w:cs="Arial"/>
          <w:szCs w:val="24"/>
        </w:rPr>
        <w:t>”, no en que fueran condueños de unos o varios de los bienes referidos en la demanda; cuestión que resulta totalmente extraña al relato fáctico de la demanda.</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Con vista en la referida pieza procesal se tiene que en el extenso y farragoso recuento ese es el soporte planteado, así se aprecia en los ítems 5), 19), 35) y 36), en este último se lee: “</w:t>
      </w:r>
      <w:r w:rsidRPr="00AE23D3">
        <w:rPr>
          <w:rFonts w:ascii="Georgia" w:hAnsi="Georgia" w:cs="Arial"/>
          <w:i/>
          <w:szCs w:val="24"/>
        </w:rPr>
        <w:t>(…) son fuente para la conformación de la sociedad de hecho entre todos sus herederos (…)</w:t>
      </w:r>
      <w:r w:rsidRPr="00AE23D3">
        <w:rPr>
          <w:rFonts w:ascii="Georgia" w:hAnsi="Georgia" w:cs="Arial"/>
          <w:szCs w:val="24"/>
        </w:rPr>
        <w:t>” (Folio 381, cuaderno No.1), reiterado al formular las pretensiones (Folio 387, cuaderno No.1).</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Además de lo dicho, la parte demandada en su contestación guarda armonía con los hechos narrados y da cuenta de la existencia de dos sociedades de hecho entre 1984 y 2006, niega la condición de “socio” del señor Carlos Arturo conforme al fallo de la CSJ, en un aparte dice: “</w:t>
      </w:r>
      <w:r w:rsidRPr="00AE23D3">
        <w:rPr>
          <w:rFonts w:ascii="Georgia" w:hAnsi="Georgia" w:cs="Arial"/>
          <w:i/>
          <w:szCs w:val="24"/>
        </w:rPr>
        <w:t>En parte alguna de dicho registro obra que el ganado pertenezca a la sociedad de hecho.</w:t>
      </w:r>
      <w:r w:rsidRPr="00AE23D3">
        <w:rPr>
          <w:rFonts w:ascii="Georgia" w:hAnsi="Georgia" w:cs="Arial"/>
          <w:szCs w:val="24"/>
        </w:rPr>
        <w:t>” (Folio 428, cuaderno No.1). Y en refuerzo baste una simple lectura del escrito visible a folio 447, cuaderno No.1, donde se “</w:t>
      </w:r>
      <w:r w:rsidRPr="00AE23D3">
        <w:rPr>
          <w:rFonts w:ascii="Georgia" w:hAnsi="Georgia" w:cs="Arial"/>
          <w:i/>
          <w:szCs w:val="24"/>
        </w:rPr>
        <w:t>descorre el traslado de las excepciones de mérito</w:t>
      </w:r>
      <w:r w:rsidRPr="00AE23D3">
        <w:rPr>
          <w:rFonts w:ascii="Georgia" w:hAnsi="Georgia" w:cs="Arial"/>
          <w:szCs w:val="24"/>
        </w:rPr>
        <w:t>”, donde se refuta que no hubo solución de continuidad respecto a la “</w:t>
      </w:r>
      <w:r w:rsidRPr="00AE23D3">
        <w:rPr>
          <w:rFonts w:ascii="Georgia" w:hAnsi="Georgia" w:cs="Arial"/>
          <w:i/>
          <w:szCs w:val="24"/>
        </w:rPr>
        <w:t>sociedad de hecho</w:t>
      </w:r>
      <w:r w:rsidRPr="00AE23D3">
        <w:rPr>
          <w:rFonts w:ascii="Georgia" w:hAnsi="Georgia" w:cs="Arial"/>
          <w:szCs w:val="24"/>
        </w:rPr>
        <w:t>” entre la familia.</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tabs>
          <w:tab w:val="left" w:pos="1152"/>
        </w:tabs>
        <w:spacing w:line="288" w:lineRule="auto"/>
        <w:jc w:val="both"/>
        <w:rPr>
          <w:rFonts w:ascii="Georgia" w:hAnsi="Georgia" w:cs="Arial"/>
          <w:szCs w:val="24"/>
        </w:rPr>
      </w:pPr>
      <w:r w:rsidRPr="00AE23D3">
        <w:rPr>
          <w:rFonts w:ascii="Georgia" w:hAnsi="Georgia" w:cs="Arial"/>
          <w:szCs w:val="24"/>
        </w:rPr>
        <w:t xml:space="preserve">A tono con la comprensión planteada, ha debido resolver la juzgadora de primer nivel, sin embargo se adentró en el análisis de la copropiedad como estribo para la </w:t>
      </w:r>
      <w:r w:rsidRPr="00AE23D3">
        <w:rPr>
          <w:rFonts w:ascii="Georgia" w:hAnsi="Georgia" w:cs="Arial"/>
          <w:szCs w:val="24"/>
        </w:rPr>
        <w:lastRenderedPageBreak/>
        <w:t>rendición de cuentas, apoyada en precedente de este Tribunal del año 2017</w:t>
      </w:r>
      <w:r w:rsidRPr="00AE23D3">
        <w:rPr>
          <w:rStyle w:val="Refdenotaalpie"/>
          <w:rFonts w:ascii="Georgia" w:hAnsi="Georgia"/>
          <w:szCs w:val="24"/>
        </w:rPr>
        <w:footnoteReference w:id="15"/>
      </w:r>
      <w:r w:rsidRPr="00AE23D3">
        <w:rPr>
          <w:rFonts w:ascii="Georgia" w:hAnsi="Georgia" w:cs="Arial"/>
          <w:szCs w:val="24"/>
        </w:rPr>
        <w:t>, que a su vez acoge uno de 2011</w:t>
      </w:r>
      <w:r w:rsidRPr="00AE23D3">
        <w:rPr>
          <w:rStyle w:val="Refdenotaalpie"/>
          <w:rFonts w:ascii="Georgia" w:hAnsi="Georgia"/>
          <w:szCs w:val="24"/>
        </w:rPr>
        <w:footnoteReference w:id="16"/>
      </w:r>
      <w:r w:rsidRPr="00AE23D3">
        <w:rPr>
          <w:rFonts w:ascii="Georgia" w:hAnsi="Georgia" w:cs="Arial"/>
          <w:szCs w:val="24"/>
        </w:rPr>
        <w:t xml:space="preserve">, cuya tesis es que los condóminos requieren expresa facultad para administrar y su mera calidad de titulares de derechos reales es insuficiente. </w:t>
      </w:r>
    </w:p>
    <w:p w:rsidR="00DA6C81" w:rsidRPr="00AE23D3" w:rsidRDefault="00DA6C81" w:rsidP="00DF631B">
      <w:pPr>
        <w:tabs>
          <w:tab w:val="left" w:pos="1152"/>
        </w:tabs>
        <w:spacing w:line="288" w:lineRule="auto"/>
        <w:jc w:val="both"/>
        <w:rPr>
          <w:rFonts w:ascii="Georgia" w:hAnsi="Georgia" w:cs="Arial"/>
          <w:szCs w:val="24"/>
        </w:rPr>
      </w:pPr>
    </w:p>
    <w:p w:rsidR="00DA6C81" w:rsidRPr="00AE23D3" w:rsidRDefault="00DA6C81" w:rsidP="00DF631B">
      <w:pPr>
        <w:tabs>
          <w:tab w:val="left" w:pos="1152"/>
        </w:tabs>
        <w:spacing w:line="288" w:lineRule="auto"/>
        <w:jc w:val="both"/>
        <w:rPr>
          <w:rFonts w:ascii="Georgia" w:hAnsi="Georgia" w:cs="Arial"/>
          <w:szCs w:val="24"/>
        </w:rPr>
      </w:pPr>
      <w:r w:rsidRPr="00AE23D3">
        <w:rPr>
          <w:rFonts w:ascii="Georgia" w:hAnsi="Georgia" w:cs="Arial"/>
          <w:szCs w:val="24"/>
        </w:rPr>
        <w:t>En honor a la transparencia dialéctica de este discurso, debe señalarse que en dos providencias (2010 y 2011</w:t>
      </w:r>
      <w:r w:rsidRPr="00AE23D3">
        <w:rPr>
          <w:rStyle w:val="Refdenotaalpie"/>
          <w:rFonts w:ascii="Georgia" w:hAnsi="Georgia"/>
          <w:szCs w:val="24"/>
        </w:rPr>
        <w:footnoteReference w:id="17"/>
      </w:r>
      <w:r w:rsidRPr="00AE23D3">
        <w:rPr>
          <w:rFonts w:ascii="Georgia" w:hAnsi="Georgia" w:cs="Arial"/>
          <w:szCs w:val="24"/>
        </w:rPr>
        <w:t>), que siguen una sentencia de 1990</w:t>
      </w:r>
      <w:r w:rsidRPr="00AE23D3">
        <w:rPr>
          <w:rStyle w:val="Refdenotaalpie"/>
          <w:rFonts w:ascii="Georgia" w:hAnsi="Georgia"/>
          <w:szCs w:val="24"/>
        </w:rPr>
        <w:footnoteReference w:id="18"/>
      </w:r>
      <w:r w:rsidRPr="00AE23D3">
        <w:rPr>
          <w:rFonts w:ascii="Georgia" w:hAnsi="Georgia" w:cs="Arial"/>
          <w:szCs w:val="24"/>
        </w:rPr>
        <w:t xml:space="preserve"> de esta Colegiatura, se resolvieron sendos casos y se reconoció administración en los copropietarios, pero en circunstancias muy particulares que ahora resultan innecesarias para resolver.</w:t>
      </w:r>
    </w:p>
    <w:p w:rsidR="00DA6C81" w:rsidRPr="00AE23D3" w:rsidRDefault="00DA6C81" w:rsidP="00DF631B">
      <w:pPr>
        <w:tabs>
          <w:tab w:val="left" w:pos="1152"/>
        </w:tabs>
        <w:spacing w:line="288" w:lineRule="auto"/>
        <w:jc w:val="both"/>
        <w:rPr>
          <w:rFonts w:ascii="Georgia" w:hAnsi="Georgia" w:cs="Arial"/>
          <w:szCs w:val="24"/>
        </w:rPr>
      </w:pPr>
    </w:p>
    <w:p w:rsidR="00DA6C81" w:rsidRPr="00AE23D3" w:rsidRDefault="00DA6C81" w:rsidP="00DF631B">
      <w:pPr>
        <w:tabs>
          <w:tab w:val="left" w:pos="1152"/>
        </w:tabs>
        <w:spacing w:line="288" w:lineRule="auto"/>
        <w:jc w:val="both"/>
        <w:rPr>
          <w:rFonts w:ascii="Georgia" w:hAnsi="Georgia" w:cs="Arial"/>
          <w:szCs w:val="24"/>
        </w:rPr>
      </w:pPr>
      <w:r w:rsidRPr="00AE23D3">
        <w:rPr>
          <w:rFonts w:ascii="Georgia" w:hAnsi="Georgia" w:cs="Arial"/>
          <w:szCs w:val="24"/>
        </w:rPr>
        <w:t xml:space="preserve">En síntesis, como la intelección de la causa para pedir es la configuración de una sociedad de hecho y no de un condominio, la incongruencia es manifiesta para esta Sala y así se veda el ejercicio analítico para desatar la alzada centrada en la mentada argumentación. Reluce de esta manera la importancia de la claridad y concisión que debe abrigar la formulación de los hechos, simétricos para afincar de manera fundada, las condignas súplicas, es esa la meridiana teleología de los mandatos contenidos en los artículos 75 y </w:t>
      </w:r>
      <w:proofErr w:type="spellStart"/>
      <w:r w:rsidRPr="00AE23D3">
        <w:rPr>
          <w:rFonts w:ascii="Georgia" w:hAnsi="Georgia" w:cs="Arial"/>
          <w:szCs w:val="24"/>
        </w:rPr>
        <w:t>ss</w:t>
      </w:r>
      <w:proofErr w:type="spellEnd"/>
      <w:r w:rsidRPr="00AE23D3">
        <w:rPr>
          <w:rFonts w:ascii="Georgia" w:hAnsi="Georgia" w:cs="Arial"/>
          <w:szCs w:val="24"/>
        </w:rPr>
        <w:t>, CPC, hoy 82, CGP.</w:t>
      </w:r>
    </w:p>
    <w:p w:rsidR="00DA6C81" w:rsidRPr="00AE23D3" w:rsidRDefault="00DA6C81" w:rsidP="00DF631B">
      <w:pPr>
        <w:tabs>
          <w:tab w:val="left" w:pos="1152"/>
        </w:tabs>
        <w:spacing w:line="288" w:lineRule="auto"/>
        <w:jc w:val="both"/>
        <w:rPr>
          <w:rFonts w:ascii="Georgia" w:hAnsi="Georgia" w:cs="Arial"/>
          <w:szCs w:val="24"/>
        </w:rPr>
      </w:pPr>
    </w:p>
    <w:p w:rsidR="00DA6C81" w:rsidRPr="00AE23D3" w:rsidRDefault="00DA6C81" w:rsidP="00DF631B">
      <w:pPr>
        <w:pStyle w:val="Prrafodelista"/>
        <w:numPr>
          <w:ilvl w:val="2"/>
          <w:numId w:val="3"/>
        </w:numPr>
        <w:tabs>
          <w:tab w:val="left" w:pos="1152"/>
        </w:tabs>
        <w:spacing w:line="288" w:lineRule="auto"/>
        <w:jc w:val="both"/>
        <w:textAlignment w:val="baseline"/>
        <w:rPr>
          <w:rFonts w:ascii="Georgia" w:hAnsi="Georgia" w:cs="Arial"/>
          <w:sz w:val="24"/>
          <w:szCs w:val="24"/>
        </w:rPr>
      </w:pPr>
      <w:r w:rsidRPr="00AE23D3">
        <w:rPr>
          <w:rFonts w:ascii="Georgia" w:hAnsi="Georgia" w:cs="Arial"/>
          <w:sz w:val="24"/>
          <w:szCs w:val="24"/>
        </w:rPr>
        <w:t>La rendición de cuentas y la legitimación en la causa</w:t>
      </w:r>
    </w:p>
    <w:p w:rsidR="00DA6C81" w:rsidRPr="00AE23D3" w:rsidRDefault="00DA6C81" w:rsidP="00DF631B">
      <w:pPr>
        <w:tabs>
          <w:tab w:val="left" w:pos="1152"/>
        </w:tabs>
        <w:spacing w:line="288" w:lineRule="auto"/>
        <w:jc w:val="both"/>
        <w:rPr>
          <w:rFonts w:ascii="Georgia" w:hAnsi="Georgia" w:cs="Arial"/>
          <w:szCs w:val="24"/>
        </w:rPr>
      </w:pPr>
    </w:p>
    <w:p w:rsidR="00DA6C81" w:rsidRPr="00AE23D3" w:rsidRDefault="00DA6C81" w:rsidP="00DF631B">
      <w:pPr>
        <w:spacing w:line="288" w:lineRule="auto"/>
        <w:jc w:val="both"/>
        <w:rPr>
          <w:rFonts w:ascii="Georgia" w:hAnsi="Georgia"/>
          <w:szCs w:val="24"/>
        </w:rPr>
      </w:pPr>
      <w:r w:rsidRPr="00AE23D3">
        <w:rPr>
          <w:rFonts w:ascii="Georgia" w:hAnsi="Georgia"/>
          <w:szCs w:val="24"/>
        </w:rPr>
        <w:t xml:space="preserve">La rendición de cuentas no tiene su origen en un negocio jurídico típico propiamente, sino que se constituye en una obligación derivada del mismo, como el mandato, la fiducia, la constitución de sociedades, las cuentas en participación, la comisión, la agencia comercial, el corretaje, el contrato de seguro (Cuando se refiere a la póliza de manejo), la edición y consignación o estimación en el depósito y prenda, siempre que los bienes hubieren rendido frutos. </w:t>
      </w:r>
    </w:p>
    <w:p w:rsidR="00DA6C81" w:rsidRPr="00AE23D3" w:rsidRDefault="00DA6C81" w:rsidP="00DF631B">
      <w:pPr>
        <w:spacing w:line="288" w:lineRule="auto"/>
        <w:jc w:val="both"/>
        <w:rPr>
          <w:rFonts w:ascii="Georgia" w:hAnsi="Georgia"/>
          <w:szCs w:val="24"/>
        </w:rPr>
      </w:pPr>
    </w:p>
    <w:p w:rsidR="00DA6C81" w:rsidRPr="00AE23D3" w:rsidRDefault="00DA6C81" w:rsidP="00DF631B">
      <w:pPr>
        <w:spacing w:line="288" w:lineRule="auto"/>
        <w:jc w:val="both"/>
        <w:rPr>
          <w:rFonts w:ascii="Georgia" w:hAnsi="Georgia"/>
          <w:szCs w:val="24"/>
        </w:rPr>
      </w:pPr>
      <w:r w:rsidRPr="00AE23D3">
        <w:rPr>
          <w:rFonts w:ascii="Georgia" w:hAnsi="Georgia"/>
          <w:szCs w:val="24"/>
        </w:rPr>
        <w:t>El elemento común en tales casos es una gestión de alguien, un hacer u obrar, respecto de otra persona, y en virtud de tal labor se debe generar un resultado necesariamente de orden monetario o contable.</w:t>
      </w:r>
    </w:p>
    <w:p w:rsidR="00DA6C81" w:rsidRPr="00AE23D3" w:rsidRDefault="00DA6C81" w:rsidP="00DF631B">
      <w:pPr>
        <w:spacing w:line="288" w:lineRule="auto"/>
        <w:jc w:val="both"/>
        <w:rPr>
          <w:rFonts w:ascii="Georgia" w:hAnsi="Georgia"/>
          <w:szCs w:val="24"/>
        </w:rPr>
      </w:pPr>
    </w:p>
    <w:p w:rsidR="00DA6C81" w:rsidRPr="00AE23D3" w:rsidRDefault="00DA6C81" w:rsidP="00DF631B">
      <w:pPr>
        <w:tabs>
          <w:tab w:val="left" w:pos="-720"/>
        </w:tabs>
        <w:suppressAutoHyphens/>
        <w:spacing w:line="288" w:lineRule="auto"/>
        <w:jc w:val="both"/>
        <w:rPr>
          <w:rFonts w:ascii="Georgia" w:hAnsi="Georgia"/>
          <w:szCs w:val="24"/>
        </w:rPr>
      </w:pPr>
      <w:r w:rsidRPr="00AE23D3">
        <w:rPr>
          <w:rFonts w:ascii="Georgia" w:hAnsi="Georgia"/>
          <w:spacing w:val="-3"/>
          <w:szCs w:val="24"/>
        </w:rPr>
        <w:t xml:space="preserve">Por disposición legal deben rendirse cuentas y, correlativamente, pueden exigirlas, los guardadores, curadores de la herencia yacente, promotores (Según la Ley 1116 </w:t>
      </w:r>
      <w:r w:rsidRPr="00AE23D3">
        <w:rPr>
          <w:rFonts w:ascii="Georgia" w:hAnsi="Georgia" w:cs="Arial"/>
          <w:szCs w:val="24"/>
        </w:rPr>
        <w:t>“</w:t>
      </w:r>
      <w:r w:rsidRPr="00AE23D3">
        <w:rPr>
          <w:rFonts w:ascii="Georgia" w:hAnsi="Georgia" w:cs="Arial"/>
          <w:i/>
          <w:szCs w:val="24"/>
        </w:rPr>
        <w:t>Régimen de insolvencia empresarial</w:t>
      </w:r>
      <w:r w:rsidRPr="00AE23D3">
        <w:rPr>
          <w:rFonts w:ascii="Georgia" w:hAnsi="Georgia" w:cs="Arial"/>
          <w:szCs w:val="24"/>
        </w:rPr>
        <w:t>” y el artículo 563, CGP</w:t>
      </w:r>
      <w:r w:rsidRPr="00AE23D3">
        <w:rPr>
          <w:rFonts w:ascii="Georgia" w:hAnsi="Georgia"/>
          <w:spacing w:val="-3"/>
          <w:szCs w:val="24"/>
        </w:rPr>
        <w:t>) antes conocidos como síndicos, administrador nombrado de bienes de una comunidad, etc.</w:t>
      </w:r>
    </w:p>
    <w:p w:rsidR="00DA6C81" w:rsidRPr="00AE23D3" w:rsidRDefault="00DA6C81" w:rsidP="00DF631B">
      <w:pPr>
        <w:spacing w:line="288" w:lineRule="auto"/>
        <w:jc w:val="both"/>
        <w:rPr>
          <w:rFonts w:ascii="Georgia" w:hAnsi="Georgia"/>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szCs w:val="24"/>
        </w:rPr>
        <w:t xml:space="preserve">Ahora, la rendición de cuentas es uno de aquellos procesos declarativos </w:t>
      </w:r>
      <w:r w:rsidRPr="00AE23D3">
        <w:rPr>
          <w:rFonts w:ascii="Georgia" w:hAnsi="Georgia" w:cs="Arial"/>
          <w:szCs w:val="24"/>
        </w:rPr>
        <w:t xml:space="preserve">especiales en los que es indispensable, en el momento de la admisibilidad, comprobar el presupuesto material de legitimación en la causa, en ambos extremos, que por regla general se examina en la sentencia, pero justamente este es uno de los eventos de excepción; además, este requisito puede ser afirmado o probado (También </w:t>
      </w:r>
      <w:r w:rsidRPr="00AE23D3">
        <w:rPr>
          <w:rFonts w:ascii="Georgia" w:hAnsi="Georgia" w:cs="Arial"/>
          <w:szCs w:val="24"/>
        </w:rPr>
        <w:lastRenderedPageBreak/>
        <w:t xml:space="preserve">conocido como </w:t>
      </w:r>
      <w:r w:rsidRPr="00AE23D3">
        <w:rPr>
          <w:rFonts w:ascii="Georgia" w:hAnsi="Georgia" w:cs="Arial"/>
          <w:i/>
          <w:szCs w:val="24"/>
        </w:rPr>
        <w:t>efectivo</w:t>
      </w:r>
      <w:r w:rsidRPr="00AE23D3">
        <w:rPr>
          <w:rFonts w:ascii="Georgia" w:hAnsi="Georgia" w:cs="Arial"/>
          <w:szCs w:val="24"/>
        </w:rPr>
        <w:t>), como sostienen en forma unánime los maestros Morales M.</w:t>
      </w:r>
      <w:r w:rsidRPr="00AE23D3">
        <w:rPr>
          <w:rStyle w:val="Refdenotaalpie"/>
          <w:rFonts w:ascii="Georgia" w:hAnsi="Georgia"/>
          <w:szCs w:val="24"/>
        </w:rPr>
        <w:footnoteReference w:id="19"/>
      </w:r>
      <w:r w:rsidRPr="00AE23D3">
        <w:rPr>
          <w:rFonts w:ascii="Georgia" w:hAnsi="Georgia" w:cs="Arial"/>
          <w:szCs w:val="24"/>
        </w:rPr>
        <w:t xml:space="preserve">, </w:t>
      </w:r>
      <w:proofErr w:type="spellStart"/>
      <w:r w:rsidRPr="00AE23D3">
        <w:rPr>
          <w:rFonts w:ascii="Georgia" w:hAnsi="Georgia" w:cs="Arial"/>
          <w:szCs w:val="24"/>
        </w:rPr>
        <w:t>Devis</w:t>
      </w:r>
      <w:proofErr w:type="spellEnd"/>
      <w:r w:rsidRPr="00AE23D3">
        <w:rPr>
          <w:rFonts w:ascii="Georgia" w:hAnsi="Georgia" w:cs="Arial"/>
          <w:szCs w:val="24"/>
        </w:rPr>
        <w:t xml:space="preserve"> </w:t>
      </w:r>
      <w:proofErr w:type="spellStart"/>
      <w:r w:rsidRPr="00AE23D3">
        <w:rPr>
          <w:rFonts w:ascii="Georgia" w:hAnsi="Georgia" w:cs="Arial"/>
          <w:szCs w:val="24"/>
        </w:rPr>
        <w:t>Echandía</w:t>
      </w:r>
      <w:proofErr w:type="spellEnd"/>
      <w:r w:rsidRPr="00AE23D3">
        <w:rPr>
          <w:rStyle w:val="Refdenotaalpie"/>
          <w:rFonts w:ascii="Georgia" w:hAnsi="Georgia"/>
          <w:szCs w:val="24"/>
        </w:rPr>
        <w:footnoteReference w:id="20"/>
      </w:r>
      <w:r w:rsidRPr="00AE23D3">
        <w:rPr>
          <w:rFonts w:ascii="Georgia" w:hAnsi="Georgia" w:cs="Arial"/>
          <w:szCs w:val="24"/>
        </w:rPr>
        <w:t xml:space="preserve"> y Ramírez A.</w:t>
      </w:r>
      <w:r w:rsidRPr="00AE23D3">
        <w:rPr>
          <w:rStyle w:val="Refdenotaalpie"/>
          <w:rFonts w:ascii="Georgia" w:hAnsi="Georgia"/>
          <w:szCs w:val="24"/>
        </w:rPr>
        <w:t xml:space="preserve"> </w:t>
      </w:r>
      <w:r w:rsidRPr="00AE23D3">
        <w:rPr>
          <w:rStyle w:val="Refdenotaalpie"/>
          <w:rFonts w:ascii="Georgia" w:hAnsi="Georgia"/>
          <w:szCs w:val="24"/>
        </w:rPr>
        <w:footnoteReference w:id="21"/>
      </w:r>
      <w:r w:rsidRPr="00AE23D3">
        <w:rPr>
          <w:rFonts w:ascii="Georgia" w:hAnsi="Georgia" w:cs="Arial"/>
          <w:szCs w:val="24"/>
        </w:rPr>
        <w:t>; y aún en reciente disertación (2017) así lo admitió el profesor Hernández Villarreal</w:t>
      </w:r>
      <w:r w:rsidRPr="00AE23D3">
        <w:rPr>
          <w:rStyle w:val="Refdenotaalpie"/>
          <w:rFonts w:ascii="Georgia" w:hAnsi="Georgia"/>
          <w:szCs w:val="24"/>
        </w:rPr>
        <w:footnoteReference w:id="22"/>
      </w:r>
      <w:r w:rsidRPr="00AE23D3">
        <w:rPr>
          <w:rFonts w:ascii="Georgia" w:hAnsi="Georgia" w:cs="Arial"/>
          <w:szCs w:val="24"/>
        </w:rPr>
        <w:t>, sostiene que hay casos especiales donde este fenómeno se estudia al calificar la demanda.</w:t>
      </w:r>
    </w:p>
    <w:p w:rsidR="00DA6C81" w:rsidRPr="00AE23D3" w:rsidRDefault="00DA6C81" w:rsidP="00DF631B">
      <w:pPr>
        <w:spacing w:line="288" w:lineRule="auto"/>
        <w:jc w:val="both"/>
        <w:rPr>
          <w:rFonts w:ascii="Georgia" w:hAnsi="Georgia"/>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 xml:space="preserve">Acontece de igual forma en los procesos ejecutivos, de restitución de bien, entrega material de la cosa del </w:t>
      </w:r>
      <w:proofErr w:type="spellStart"/>
      <w:r w:rsidRPr="00AE23D3">
        <w:rPr>
          <w:rFonts w:ascii="Georgia" w:hAnsi="Georgia" w:cs="Arial"/>
          <w:szCs w:val="24"/>
        </w:rPr>
        <w:t>tradente</w:t>
      </w:r>
      <w:proofErr w:type="spellEnd"/>
      <w:r w:rsidRPr="00AE23D3">
        <w:rPr>
          <w:rFonts w:ascii="Georgia" w:hAnsi="Georgia" w:cs="Arial"/>
          <w:szCs w:val="24"/>
        </w:rPr>
        <w:t xml:space="preserve"> al adquirente, deslinde y amojonamiento, divisorios, expropiación, entre otros. Comenta el maestro Morales M., ya citado</w:t>
      </w:r>
      <w:r w:rsidRPr="00AE23D3">
        <w:rPr>
          <w:rStyle w:val="Refdenotaalpie"/>
          <w:rFonts w:ascii="Georgia" w:hAnsi="Georgia"/>
          <w:szCs w:val="24"/>
        </w:rPr>
        <w:footnoteReference w:id="23"/>
      </w:r>
      <w:r w:rsidRPr="00AE23D3">
        <w:rPr>
          <w:rFonts w:ascii="Georgia" w:hAnsi="Georgia" w:cs="Arial"/>
          <w:szCs w:val="24"/>
        </w:rPr>
        <w:t>: “</w:t>
      </w:r>
      <w:r w:rsidRPr="00AE23D3">
        <w:rPr>
          <w:rFonts w:ascii="Georgia" w:hAnsi="Georgia" w:cs="Arial"/>
          <w:i/>
          <w:szCs w:val="24"/>
        </w:rPr>
        <w:t>Existen, sin embargo, casos en que la ley exige prueba de la legitimación para obrar desde la iniciación del proceso, por lo cual no basta la simple afirmación en la demanda de poseer dicha legitimación. (…)</w:t>
      </w:r>
      <w:r w:rsidRPr="00AE23D3">
        <w:rPr>
          <w:rFonts w:ascii="Georgia" w:hAnsi="Georgia" w:cs="Arial"/>
          <w:szCs w:val="24"/>
        </w:rPr>
        <w:t>”.</w:t>
      </w:r>
    </w:p>
    <w:p w:rsidR="00DA6C81" w:rsidRPr="00AE23D3" w:rsidRDefault="00DA6C81" w:rsidP="00DF631B">
      <w:pPr>
        <w:spacing w:line="288" w:lineRule="auto"/>
        <w:jc w:val="both"/>
        <w:rPr>
          <w:rFonts w:ascii="Georgia" w:hAnsi="Georgia"/>
          <w:szCs w:val="24"/>
        </w:rPr>
      </w:pPr>
    </w:p>
    <w:p w:rsidR="00DA6C81" w:rsidRPr="00AE23D3" w:rsidRDefault="00DA6C81" w:rsidP="00DF631B">
      <w:pPr>
        <w:spacing w:line="288" w:lineRule="auto"/>
        <w:jc w:val="both"/>
        <w:rPr>
          <w:rFonts w:ascii="Georgia" w:hAnsi="Georgia"/>
          <w:szCs w:val="24"/>
        </w:rPr>
      </w:pPr>
      <w:r w:rsidRPr="00AE23D3">
        <w:rPr>
          <w:rFonts w:ascii="Georgia" w:hAnsi="Georgia" w:cs="Arial"/>
          <w:szCs w:val="24"/>
        </w:rPr>
        <w:t>Y se justifica semejante exigencia, a diferencia de los demás declarativos, con las palabras del maestro Ramírez A., quien dice: “</w:t>
      </w:r>
      <w:r w:rsidRPr="00AE23D3">
        <w:rPr>
          <w:rFonts w:ascii="Georgia" w:hAnsi="Georgia" w:cs="Arial"/>
          <w:i/>
          <w:szCs w:val="24"/>
        </w:rPr>
        <w:t>Así sucede en todos aquellos casos en que el juez debe tomar determinaciones que pueden ser definitivas sin necesidad de tener que abrir el juicio a pruebas.</w:t>
      </w:r>
      <w:r w:rsidRPr="00AE23D3">
        <w:rPr>
          <w:rFonts w:ascii="Georgia" w:hAnsi="Georgia" w:cs="Arial"/>
          <w:szCs w:val="24"/>
        </w:rPr>
        <w:t>”.</w:t>
      </w:r>
    </w:p>
    <w:p w:rsidR="00DA6C81" w:rsidRPr="00AE23D3" w:rsidRDefault="00DA6C81" w:rsidP="00DF631B">
      <w:pPr>
        <w:spacing w:line="288" w:lineRule="auto"/>
        <w:jc w:val="both"/>
        <w:rPr>
          <w:rFonts w:ascii="Georgia" w:hAnsi="Georgia"/>
          <w:szCs w:val="24"/>
        </w:rPr>
      </w:pPr>
    </w:p>
    <w:p w:rsidR="00DA6C81" w:rsidRPr="00AE23D3" w:rsidRDefault="00DA6C81" w:rsidP="00DF631B">
      <w:pPr>
        <w:overflowPunct/>
        <w:spacing w:line="288" w:lineRule="auto"/>
        <w:jc w:val="both"/>
        <w:rPr>
          <w:rFonts w:ascii="Georgia" w:hAnsi="Georgia" w:cs="Arial"/>
          <w:szCs w:val="24"/>
        </w:rPr>
      </w:pPr>
      <w:r w:rsidRPr="00AE23D3">
        <w:rPr>
          <w:rFonts w:ascii="Georgia" w:hAnsi="Georgia" w:cs="Arial"/>
          <w:szCs w:val="24"/>
        </w:rPr>
        <w:t>Como ya se dijera, el apelante encuentra la legitimación de los actores por ser partícipes de una “</w:t>
      </w:r>
      <w:r w:rsidRPr="00AE23D3">
        <w:rPr>
          <w:rFonts w:ascii="Georgia" w:hAnsi="Georgia" w:cs="Arial"/>
          <w:i/>
          <w:szCs w:val="24"/>
        </w:rPr>
        <w:t>sociedad de hecho</w:t>
      </w:r>
      <w:r w:rsidRPr="00AE23D3">
        <w:rPr>
          <w:rFonts w:ascii="Georgia" w:hAnsi="Georgia" w:cs="Arial"/>
          <w:szCs w:val="24"/>
        </w:rPr>
        <w:t>”; empero, su raciocinio pretermite enrostrar elementos nuevos, disímiles a los usados por la falladora de instancia, y con ese actuar desdice de las pautas de la retórica que sirven para estructurar una debida motivación del discurso de alzada, por lo tanto la reflexiones siguientes deben atenerse a tal planteamiento, para guardar consistencia con el principio de congruencia y la pretensión impugnaticia.</w:t>
      </w:r>
    </w:p>
    <w:p w:rsidR="00DA6C81" w:rsidRPr="00AE23D3" w:rsidRDefault="00DA6C81" w:rsidP="00DF631B">
      <w:pPr>
        <w:spacing w:line="288" w:lineRule="auto"/>
        <w:jc w:val="both"/>
        <w:rPr>
          <w:rFonts w:ascii="Georgia" w:hAnsi="Georgia"/>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 xml:space="preserve">De golpe se evidencia que el objeto de este asunto escapa absolutamente a la </w:t>
      </w:r>
      <w:r w:rsidRPr="00AE23D3">
        <w:rPr>
          <w:rFonts w:ascii="Georgia" w:hAnsi="Georgia" w:cs="Arial"/>
          <w:szCs w:val="24"/>
          <w:u w:val="single"/>
        </w:rPr>
        <w:t>declaración de existencia de una “</w:t>
      </w:r>
      <w:r w:rsidRPr="00AE23D3">
        <w:rPr>
          <w:rFonts w:ascii="Georgia" w:hAnsi="Georgia" w:cs="Arial"/>
          <w:i/>
          <w:szCs w:val="24"/>
          <w:u w:val="single"/>
        </w:rPr>
        <w:t>sociedad de hecho</w:t>
      </w:r>
      <w:r w:rsidRPr="00AE23D3">
        <w:rPr>
          <w:rFonts w:ascii="Georgia" w:hAnsi="Georgia" w:cs="Arial"/>
          <w:szCs w:val="24"/>
          <w:u w:val="single"/>
        </w:rPr>
        <w:t>”</w:t>
      </w:r>
      <w:r w:rsidRPr="00AE23D3">
        <w:rPr>
          <w:rFonts w:ascii="Georgia" w:hAnsi="Georgia" w:cs="Arial"/>
          <w:szCs w:val="24"/>
        </w:rPr>
        <w:t xml:space="preserve">, que es bien diverso a la pretensión de esta especie de procesos, donde los pedimentos apuntan a determinar la </w:t>
      </w:r>
      <w:r w:rsidRPr="00AE23D3">
        <w:rPr>
          <w:rFonts w:ascii="Georgia" w:hAnsi="Georgia" w:cs="Arial"/>
          <w:szCs w:val="24"/>
          <w:u w:val="single"/>
        </w:rPr>
        <w:t>existencia de la obligación de rendir cuentas</w:t>
      </w:r>
      <w:r w:rsidRPr="00AE23D3">
        <w:rPr>
          <w:rFonts w:ascii="Georgia" w:hAnsi="Georgia" w:cs="Arial"/>
          <w:szCs w:val="24"/>
        </w:rPr>
        <w:t>, y para dicho propósito, como es apenas lógico al tenor del sustrato fáctico, debía acreditarse la “</w:t>
      </w:r>
      <w:r w:rsidRPr="00AE23D3">
        <w:rPr>
          <w:rFonts w:ascii="Georgia" w:hAnsi="Georgia" w:cs="Arial"/>
          <w:i/>
          <w:szCs w:val="24"/>
        </w:rPr>
        <w:t>sociedad de hecho</w:t>
      </w:r>
      <w:r w:rsidRPr="00AE23D3">
        <w:rPr>
          <w:rFonts w:ascii="Georgia" w:hAnsi="Georgia" w:cs="Arial"/>
          <w:szCs w:val="24"/>
        </w:rPr>
        <w:t>”, y luego de allí derivar aquella de rendir cuentas, siempre que el demandado apareciera como su administrador; no en este escenario, tal como razonó la jueza cognoscente.</w:t>
      </w:r>
    </w:p>
    <w:p w:rsidR="00DA6C81" w:rsidRPr="00AE23D3" w:rsidRDefault="00DA6C81" w:rsidP="00DF631B">
      <w:pPr>
        <w:spacing w:line="288" w:lineRule="auto"/>
        <w:jc w:val="both"/>
        <w:rPr>
          <w:rFonts w:ascii="Georgia" w:hAnsi="Georgia"/>
          <w:szCs w:val="24"/>
        </w:rPr>
      </w:pPr>
    </w:p>
    <w:p w:rsidR="00DA6C81" w:rsidRPr="00AE23D3" w:rsidRDefault="00DA6C81" w:rsidP="00DF631B">
      <w:pPr>
        <w:spacing w:line="288" w:lineRule="auto"/>
        <w:jc w:val="both"/>
        <w:rPr>
          <w:rFonts w:ascii="Georgia" w:hAnsi="Georgia"/>
          <w:szCs w:val="24"/>
        </w:rPr>
      </w:pPr>
      <w:r w:rsidRPr="00AE23D3">
        <w:rPr>
          <w:rFonts w:ascii="Georgia" w:hAnsi="Georgia" w:cs="Arial"/>
          <w:szCs w:val="24"/>
        </w:rPr>
        <w:t>Lo que el actor puede perseguir en este proceso, no es otra cosa que compeler al demandado a rendir las cuentas, la súplica es declarativa constitutiva (Comenta el profesor Rojas G.</w:t>
      </w:r>
      <w:r w:rsidRPr="00AE23D3">
        <w:rPr>
          <w:rStyle w:val="Refdenotaalpie"/>
          <w:rFonts w:ascii="Georgia" w:hAnsi="Georgia"/>
          <w:szCs w:val="24"/>
        </w:rPr>
        <w:footnoteReference w:id="24"/>
      </w:r>
      <w:r w:rsidRPr="00AE23D3">
        <w:rPr>
          <w:rFonts w:ascii="Georgia" w:hAnsi="Georgia" w:cs="Arial"/>
          <w:szCs w:val="24"/>
        </w:rPr>
        <w:t xml:space="preserve">), por contera el juez debe ocuparse de escrutar el material suasorio en torno a ese hecho fundamental y los correspondientes supuestos axiológicos, para enseguida reconocer esa prestación de hacer; pero se itera, el </w:t>
      </w:r>
      <w:r w:rsidRPr="00AE23D3">
        <w:rPr>
          <w:rFonts w:ascii="Georgia" w:hAnsi="Georgia" w:cs="Arial"/>
          <w:szCs w:val="24"/>
        </w:rPr>
        <w:lastRenderedPageBreak/>
        <w:t xml:space="preserve">punto de partida insoslayable es </w:t>
      </w:r>
      <w:r w:rsidRPr="00AE23D3">
        <w:rPr>
          <w:rFonts w:ascii="Georgia" w:hAnsi="Georgia"/>
          <w:szCs w:val="24"/>
        </w:rPr>
        <w:t xml:space="preserve">la demostración de la </w:t>
      </w:r>
      <w:proofErr w:type="spellStart"/>
      <w:r w:rsidRPr="00AE23D3">
        <w:rPr>
          <w:rFonts w:ascii="Georgia" w:hAnsi="Georgia"/>
          <w:szCs w:val="24"/>
        </w:rPr>
        <w:t>plurimentada</w:t>
      </w:r>
      <w:proofErr w:type="spellEnd"/>
      <w:r w:rsidRPr="00AE23D3">
        <w:rPr>
          <w:rFonts w:ascii="Georgia" w:hAnsi="Georgia"/>
          <w:szCs w:val="24"/>
        </w:rPr>
        <w:t xml:space="preserve"> “</w:t>
      </w:r>
      <w:r w:rsidRPr="00AE23D3">
        <w:rPr>
          <w:rFonts w:ascii="Georgia" w:hAnsi="Georgia"/>
          <w:i/>
          <w:szCs w:val="24"/>
        </w:rPr>
        <w:t>sociedad de hecho</w:t>
      </w:r>
      <w:r w:rsidRPr="00AE23D3">
        <w:rPr>
          <w:rFonts w:ascii="Georgia" w:hAnsi="Georgia"/>
          <w:szCs w:val="24"/>
        </w:rPr>
        <w:t xml:space="preserve">”, </w:t>
      </w:r>
      <w:r w:rsidRPr="00AE23D3">
        <w:rPr>
          <w:rFonts w:ascii="Georgia" w:hAnsi="Georgia"/>
          <w:szCs w:val="24"/>
          <w:u w:val="single"/>
        </w:rPr>
        <w:t>ANTES DE LA PROMOCIÓN DE ESTE PROCESO</w:t>
      </w:r>
      <w:r w:rsidRPr="00AE23D3">
        <w:rPr>
          <w:rFonts w:ascii="Georgia" w:hAnsi="Georgia"/>
          <w:szCs w:val="24"/>
        </w:rPr>
        <w:t xml:space="preserve">, pues no de otra forma se constata su aptitud para pedir la rendición de cuentas, es decir, su legitimación. </w:t>
      </w:r>
    </w:p>
    <w:p w:rsidR="00DA6C81" w:rsidRPr="00AE23D3" w:rsidRDefault="00DA6C81" w:rsidP="00DF631B">
      <w:pPr>
        <w:spacing w:line="288" w:lineRule="auto"/>
        <w:jc w:val="both"/>
        <w:rPr>
          <w:rFonts w:ascii="Georgia" w:hAnsi="Georgia"/>
          <w:szCs w:val="24"/>
        </w:rPr>
      </w:pPr>
    </w:p>
    <w:p w:rsidR="00DA6C81" w:rsidRPr="00AE23D3" w:rsidRDefault="00DA6C81" w:rsidP="00DF631B">
      <w:pPr>
        <w:spacing w:line="288" w:lineRule="auto"/>
        <w:jc w:val="both"/>
        <w:rPr>
          <w:rFonts w:ascii="Georgia" w:hAnsi="Georgia"/>
          <w:szCs w:val="24"/>
        </w:rPr>
      </w:pPr>
      <w:r w:rsidRPr="00AE23D3">
        <w:rPr>
          <w:rFonts w:ascii="Georgia" w:hAnsi="Georgia"/>
          <w:szCs w:val="24"/>
        </w:rPr>
        <w:t>Ese es el hecho cardinal sobre el que se asienta la prestación pretendida de rendir cuentas, sea que figure en una preceptiva, en un negocio jurídico o en la ley misma, por consiguiente, sin resultar probada la relación jurídica fuente de la rendición y tener la condición de administrador de la aludida compañía, ninguna legitimación asiste a los demandantes y demandados.</w:t>
      </w:r>
    </w:p>
    <w:p w:rsidR="00DA6C81" w:rsidRPr="00AE23D3" w:rsidRDefault="00DA6C81" w:rsidP="00DF631B">
      <w:pPr>
        <w:spacing w:line="288" w:lineRule="auto"/>
        <w:jc w:val="both"/>
        <w:rPr>
          <w:rFonts w:ascii="Georgia" w:hAnsi="Georgia"/>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Lo discernido a esta altura es suficiente para confirmar la decisión impugnada, empero a la luz de las motivaciones antes expuestas distintas de las empleadas en el fallo confutado ahora.</w:t>
      </w:r>
    </w:p>
    <w:p w:rsidR="00DA6C81" w:rsidRPr="00AE23D3" w:rsidRDefault="00DA6C81" w:rsidP="00DF631B">
      <w:pPr>
        <w:spacing w:line="288" w:lineRule="auto"/>
        <w:jc w:val="both"/>
        <w:rPr>
          <w:rFonts w:ascii="Georgia" w:hAnsi="Georgia"/>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En orden procesal, como se anotó, se tornan superfluos más razonamientos y así debió procederse en sede de conocimiento, pues sin establecerse la relación jurídica basamento de la obligación peticionada, inane más reflexiones. A pesar de lo discurrido y como razón adicional, el examen minucioso de las pruebas muestra el incumplimiento de los requisitos, pacíficamente reconocidos por la jurisprudencia de la CSJ</w:t>
      </w:r>
      <w:r w:rsidRPr="00AE23D3">
        <w:rPr>
          <w:rStyle w:val="Refdenotaalpie"/>
          <w:rFonts w:ascii="Georgia" w:hAnsi="Georgia"/>
          <w:szCs w:val="24"/>
        </w:rPr>
        <w:footnoteReference w:id="25"/>
      </w:r>
      <w:r w:rsidRPr="00AE23D3">
        <w:rPr>
          <w:rFonts w:ascii="Georgia" w:hAnsi="Georgia" w:cs="Arial"/>
          <w:szCs w:val="24"/>
        </w:rPr>
        <w:t xml:space="preserve"> (Doctrina prohijada sin reparos por esta Sala</w:t>
      </w:r>
      <w:r w:rsidRPr="00AE23D3">
        <w:rPr>
          <w:rStyle w:val="Refdenotaalpie"/>
          <w:rFonts w:ascii="Georgia" w:hAnsi="Georgia"/>
          <w:szCs w:val="24"/>
        </w:rPr>
        <w:footnoteReference w:id="26"/>
      </w:r>
      <w:r w:rsidRPr="00AE23D3">
        <w:rPr>
          <w:rFonts w:ascii="Georgia" w:hAnsi="Georgia" w:cs="Arial"/>
          <w:szCs w:val="24"/>
        </w:rPr>
        <w:t>) para el reconocimiento de ese tipo de sociedades: (i) Los aportes recíprocos de cada integrante; (ii) El ánimo de lucrarse o participar en los beneficios y las pérdidas; y, (iii) La intención de colaborar en un proyecto o empresa común (</w:t>
      </w:r>
      <w:proofErr w:type="spellStart"/>
      <w:r w:rsidRPr="00AE23D3">
        <w:rPr>
          <w:rFonts w:ascii="Georgia" w:hAnsi="Georgia" w:cs="Arial"/>
          <w:i/>
          <w:szCs w:val="24"/>
        </w:rPr>
        <w:t>Affectio</w:t>
      </w:r>
      <w:proofErr w:type="spellEnd"/>
      <w:r w:rsidRPr="00AE23D3">
        <w:rPr>
          <w:rFonts w:ascii="Georgia" w:hAnsi="Georgia" w:cs="Arial"/>
          <w:i/>
          <w:szCs w:val="24"/>
        </w:rPr>
        <w:t xml:space="preserve"> </w:t>
      </w:r>
      <w:proofErr w:type="spellStart"/>
      <w:r w:rsidRPr="00AE23D3">
        <w:rPr>
          <w:rFonts w:ascii="Georgia" w:hAnsi="Georgia" w:cs="Arial"/>
          <w:i/>
          <w:szCs w:val="24"/>
        </w:rPr>
        <w:t>societatis</w:t>
      </w:r>
      <w:proofErr w:type="spellEnd"/>
      <w:r w:rsidRPr="00AE23D3">
        <w:rPr>
          <w:rFonts w:ascii="Georgia" w:hAnsi="Georgia" w:cs="Arial"/>
          <w:szCs w:val="24"/>
        </w:rPr>
        <w:t>).</w:t>
      </w:r>
    </w:p>
    <w:p w:rsidR="00DA6C81" w:rsidRPr="00AE23D3" w:rsidRDefault="00DA6C81" w:rsidP="00DF631B">
      <w:pPr>
        <w:spacing w:line="288" w:lineRule="auto"/>
        <w:jc w:val="both"/>
        <w:rPr>
          <w:rFonts w:ascii="Georgia" w:hAnsi="Georgia"/>
          <w:szCs w:val="24"/>
        </w:rPr>
      </w:pPr>
    </w:p>
    <w:p w:rsidR="00DA6C81" w:rsidRPr="00AE23D3" w:rsidRDefault="00DA6C81" w:rsidP="00DF631B">
      <w:pPr>
        <w:widowControl w:val="0"/>
        <w:numPr>
          <w:ilvl w:val="0"/>
          <w:numId w:val="3"/>
        </w:numPr>
        <w:spacing w:line="288" w:lineRule="auto"/>
        <w:jc w:val="both"/>
        <w:textAlignment w:val="auto"/>
        <w:rPr>
          <w:rFonts w:ascii="Georgia" w:hAnsi="Georgia" w:cs="Arial"/>
          <w:szCs w:val="24"/>
        </w:rPr>
      </w:pPr>
      <w:r w:rsidRPr="00AE23D3">
        <w:rPr>
          <w:rFonts w:ascii="Georgia" w:hAnsi="Georgia" w:cs="Arial"/>
          <w:szCs w:val="24"/>
        </w:rPr>
        <w:t>LAS DECISIONES FINALES</w:t>
      </w:r>
    </w:p>
    <w:p w:rsidR="00DA6C81" w:rsidRPr="00AE23D3" w:rsidRDefault="00DA6C81" w:rsidP="00DF631B">
      <w:pPr>
        <w:spacing w:line="288" w:lineRule="auto"/>
        <w:jc w:val="both"/>
        <w:rPr>
          <w:rFonts w:ascii="Georgia" w:hAnsi="Georgia"/>
          <w:szCs w:val="24"/>
        </w:rPr>
      </w:pPr>
    </w:p>
    <w:p w:rsidR="00DA6C81" w:rsidRPr="00AE23D3" w:rsidRDefault="00DA6C81" w:rsidP="00DF631B">
      <w:pPr>
        <w:spacing w:line="288" w:lineRule="auto"/>
        <w:jc w:val="both"/>
        <w:rPr>
          <w:rFonts w:ascii="Georgia" w:hAnsi="Georgia"/>
          <w:szCs w:val="24"/>
        </w:rPr>
      </w:pPr>
      <w:r w:rsidRPr="00AE23D3">
        <w:rPr>
          <w:rFonts w:ascii="Georgia" w:hAnsi="Georgia"/>
          <w:szCs w:val="24"/>
        </w:rPr>
        <w:t xml:space="preserve">Las premisas jurídicas ya enunciadas sirven para desechar la apelación y confirmar la decisión cuestionada, habida cuenta de que las consideraciones reseñadas refuerzan la falta de legitimación de los actores. </w:t>
      </w:r>
      <w:r w:rsidRPr="00AE23D3">
        <w:rPr>
          <w:rFonts w:ascii="Georgia" w:hAnsi="Georgia" w:cs="Arial"/>
          <w:szCs w:val="24"/>
        </w:rPr>
        <w:t xml:space="preserve">Se condenará en costas en esta instancia, a la parte demandante, y a favor de la parte </w:t>
      </w:r>
      <w:r w:rsidRPr="00AE23D3">
        <w:rPr>
          <w:rFonts w:ascii="Georgia" w:hAnsi="Georgia"/>
          <w:szCs w:val="24"/>
        </w:rPr>
        <w:t xml:space="preserve">demandada, por haber perdido el recurso (Artículo 365-1º, CGP). </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La liquidación de costas se sujetará, en primera instancia, a lo previsto en el artículo 366 del CGP, las agencias en esta instancia se fijarán en auto posterior, según trazó la CSJ, en decisión</w:t>
      </w:r>
      <w:r w:rsidRPr="00AE23D3">
        <w:rPr>
          <w:rStyle w:val="Refdenotaalpie"/>
          <w:rFonts w:ascii="Georgia" w:hAnsi="Georgia"/>
          <w:szCs w:val="24"/>
        </w:rPr>
        <w:footnoteReference w:id="27"/>
      </w:r>
      <w:r w:rsidRPr="00AE23D3">
        <w:rPr>
          <w:rFonts w:ascii="Georgia" w:hAnsi="Georgia" w:cs="Arial"/>
          <w:szCs w:val="24"/>
        </w:rPr>
        <w:t xml:space="preserve"> de tutela (2017). Se hace en auto y no en la sentencia misma, porque esa expresa novedad, introducida por la Ley 1395 de 2010, desapareció en la nueva redacción del ordinal 2º del artículo 365, CGP.</w:t>
      </w:r>
    </w:p>
    <w:p w:rsidR="00DA6C81" w:rsidRPr="00AE23D3" w:rsidRDefault="00DA6C81" w:rsidP="00DF631B">
      <w:pPr>
        <w:spacing w:line="288" w:lineRule="auto"/>
        <w:jc w:val="both"/>
        <w:rPr>
          <w:rFonts w:ascii="Georgia" w:hAnsi="Georgia" w:cs="Arial"/>
          <w:szCs w:val="24"/>
        </w:rPr>
      </w:pPr>
    </w:p>
    <w:p w:rsidR="00DA6C81" w:rsidRPr="00AE23D3" w:rsidRDefault="00DA6C81" w:rsidP="00DF631B">
      <w:pPr>
        <w:spacing w:line="288" w:lineRule="auto"/>
        <w:jc w:val="both"/>
        <w:rPr>
          <w:rFonts w:ascii="Georgia" w:hAnsi="Georgia" w:cs="Arial"/>
          <w:szCs w:val="24"/>
        </w:rPr>
      </w:pPr>
      <w:r w:rsidRPr="00AE23D3">
        <w:rPr>
          <w:rFonts w:ascii="Georgia" w:hAnsi="Georgia" w:cs="Arial"/>
          <w:szCs w:val="24"/>
        </w:rPr>
        <w:t xml:space="preserve">En mérito de lo expuesto, el </w:t>
      </w:r>
      <w:r w:rsidRPr="00AE23D3">
        <w:rPr>
          <w:rFonts w:ascii="Georgia" w:hAnsi="Georgia" w:cs="Arial"/>
          <w:bCs/>
          <w:smallCaps/>
          <w:szCs w:val="24"/>
        </w:rPr>
        <w:t>Tribunal Superior del Distrito Judicial de Pereira, Sala de Decisión Civil - Familia</w:t>
      </w:r>
      <w:r w:rsidRPr="00AE23D3">
        <w:rPr>
          <w:rFonts w:ascii="Georgia" w:hAnsi="Georgia" w:cs="Arial"/>
          <w:szCs w:val="24"/>
        </w:rPr>
        <w:t>, administrando Justicia, en nombre de la República de Colombia y por autoridad de la Ley,</w:t>
      </w:r>
    </w:p>
    <w:p w:rsidR="00DA6C81" w:rsidRPr="00AE23D3" w:rsidRDefault="00DA6C81" w:rsidP="00DF631B">
      <w:pPr>
        <w:spacing w:line="288" w:lineRule="auto"/>
        <w:jc w:val="center"/>
        <w:rPr>
          <w:rFonts w:ascii="Georgia" w:hAnsi="Georgia" w:cs="Arial"/>
          <w:szCs w:val="24"/>
        </w:rPr>
      </w:pPr>
    </w:p>
    <w:p w:rsidR="00DA6C81" w:rsidRPr="00AE23D3" w:rsidRDefault="00DA6C81" w:rsidP="00DF631B">
      <w:pPr>
        <w:spacing w:line="288" w:lineRule="auto"/>
        <w:jc w:val="center"/>
        <w:rPr>
          <w:rFonts w:ascii="Georgia" w:hAnsi="Georgia" w:cs="Arial"/>
          <w:szCs w:val="24"/>
        </w:rPr>
      </w:pPr>
      <w:r w:rsidRPr="00AE23D3">
        <w:rPr>
          <w:rFonts w:ascii="Georgia" w:hAnsi="Georgia" w:cs="Arial"/>
          <w:szCs w:val="24"/>
        </w:rPr>
        <w:t xml:space="preserve">F A L </w:t>
      </w:r>
      <w:proofErr w:type="spellStart"/>
      <w:r w:rsidRPr="00AE23D3">
        <w:rPr>
          <w:rFonts w:ascii="Georgia" w:hAnsi="Georgia" w:cs="Arial"/>
          <w:szCs w:val="24"/>
        </w:rPr>
        <w:t>L</w:t>
      </w:r>
      <w:proofErr w:type="spellEnd"/>
      <w:r w:rsidRPr="00AE23D3">
        <w:rPr>
          <w:rFonts w:ascii="Georgia" w:hAnsi="Georgia" w:cs="Arial"/>
          <w:szCs w:val="24"/>
        </w:rPr>
        <w:t xml:space="preserve"> A,</w:t>
      </w:r>
    </w:p>
    <w:p w:rsidR="00DA6C81" w:rsidRPr="00AE23D3" w:rsidRDefault="00DA6C81" w:rsidP="00DF631B">
      <w:pPr>
        <w:spacing w:line="288" w:lineRule="auto"/>
        <w:jc w:val="center"/>
        <w:rPr>
          <w:rFonts w:ascii="Georgia" w:hAnsi="Georgia" w:cs="Arial"/>
          <w:szCs w:val="24"/>
        </w:rPr>
      </w:pPr>
    </w:p>
    <w:p w:rsidR="00DA6C81" w:rsidRPr="00AE23D3" w:rsidRDefault="00DA6C81" w:rsidP="00DF631B">
      <w:pPr>
        <w:numPr>
          <w:ilvl w:val="0"/>
          <w:numId w:val="1"/>
        </w:numPr>
        <w:tabs>
          <w:tab w:val="num" w:pos="360"/>
        </w:tabs>
        <w:overflowPunct/>
        <w:autoSpaceDE/>
        <w:autoSpaceDN/>
        <w:adjustRightInd/>
        <w:spacing w:line="288" w:lineRule="auto"/>
        <w:ind w:left="360"/>
        <w:jc w:val="both"/>
        <w:textAlignment w:val="auto"/>
        <w:rPr>
          <w:rFonts w:ascii="Georgia" w:hAnsi="Georgia" w:cs="Arial"/>
          <w:szCs w:val="24"/>
        </w:rPr>
      </w:pPr>
      <w:r w:rsidRPr="00AE23D3">
        <w:rPr>
          <w:rFonts w:ascii="Georgia" w:hAnsi="Georgia" w:cs="Arial"/>
          <w:szCs w:val="24"/>
        </w:rPr>
        <w:t>CONFIRMAR el fallo proferido el día 09-03-2018 del Juzgado Primero Civil del Circuito de Pereira, R.</w:t>
      </w:r>
    </w:p>
    <w:p w:rsidR="00DA6C81" w:rsidRPr="00AE23D3" w:rsidRDefault="00DA6C81" w:rsidP="00DF631B">
      <w:pPr>
        <w:overflowPunct/>
        <w:autoSpaceDE/>
        <w:autoSpaceDN/>
        <w:adjustRightInd/>
        <w:spacing w:line="288" w:lineRule="auto"/>
        <w:ind w:left="360"/>
        <w:jc w:val="both"/>
        <w:rPr>
          <w:rFonts w:ascii="Georgia" w:hAnsi="Georgia" w:cs="Arial"/>
          <w:szCs w:val="24"/>
        </w:rPr>
      </w:pPr>
    </w:p>
    <w:p w:rsidR="00DA6C81" w:rsidRPr="00AE23D3" w:rsidRDefault="00DA6C81" w:rsidP="00DF631B">
      <w:pPr>
        <w:numPr>
          <w:ilvl w:val="0"/>
          <w:numId w:val="1"/>
        </w:numPr>
        <w:tabs>
          <w:tab w:val="num" w:pos="360"/>
        </w:tabs>
        <w:overflowPunct/>
        <w:adjustRightInd/>
        <w:spacing w:line="288" w:lineRule="auto"/>
        <w:ind w:left="360"/>
        <w:jc w:val="both"/>
        <w:textAlignment w:val="auto"/>
        <w:rPr>
          <w:rFonts w:ascii="Georgia" w:hAnsi="Georgia" w:cs="Arial"/>
          <w:szCs w:val="24"/>
        </w:rPr>
      </w:pPr>
      <w:r w:rsidRPr="00AE23D3">
        <w:rPr>
          <w:rFonts w:ascii="Georgia" w:hAnsi="Georgia" w:cs="Arial"/>
          <w:szCs w:val="24"/>
        </w:rPr>
        <w:t>CONDENAR en costas en esta instancia, a la parte demandante y a favor de la parte demandada. Se liquidarán en primera instancia y la fijación de agencias de esta sede, se hará en auto posterior.</w:t>
      </w:r>
    </w:p>
    <w:p w:rsidR="00DA6C81" w:rsidRPr="00AE23D3" w:rsidRDefault="00DA6C81" w:rsidP="00DF631B">
      <w:pPr>
        <w:overflowPunct/>
        <w:adjustRightInd/>
        <w:spacing w:line="288" w:lineRule="auto"/>
        <w:ind w:left="360"/>
        <w:jc w:val="both"/>
        <w:rPr>
          <w:rFonts w:ascii="Georgia" w:hAnsi="Georgia" w:cs="Arial"/>
          <w:szCs w:val="24"/>
        </w:rPr>
      </w:pPr>
    </w:p>
    <w:p w:rsidR="00DA6C81" w:rsidRPr="00AE23D3" w:rsidRDefault="00DA6C81" w:rsidP="00DF631B">
      <w:pPr>
        <w:numPr>
          <w:ilvl w:val="0"/>
          <w:numId w:val="1"/>
        </w:numPr>
        <w:tabs>
          <w:tab w:val="num" w:pos="360"/>
        </w:tabs>
        <w:overflowPunct/>
        <w:adjustRightInd/>
        <w:spacing w:line="288" w:lineRule="auto"/>
        <w:ind w:left="360"/>
        <w:jc w:val="both"/>
        <w:textAlignment w:val="auto"/>
        <w:rPr>
          <w:rFonts w:ascii="Georgia" w:hAnsi="Georgia" w:cs="Arial"/>
          <w:szCs w:val="24"/>
        </w:rPr>
      </w:pPr>
      <w:r w:rsidRPr="00AE23D3">
        <w:rPr>
          <w:rFonts w:ascii="Georgia" w:hAnsi="Georgia" w:cs="Arial"/>
          <w:szCs w:val="24"/>
        </w:rPr>
        <w:t>DEVOLVER el expediente al Juzgado de origen.</w:t>
      </w:r>
    </w:p>
    <w:p w:rsidR="00DA6C81" w:rsidRPr="00AE23D3" w:rsidRDefault="00DA6C81" w:rsidP="00DF631B">
      <w:pPr>
        <w:overflowPunct/>
        <w:adjustRightInd/>
        <w:spacing w:line="288" w:lineRule="auto"/>
        <w:ind w:left="360"/>
        <w:jc w:val="both"/>
        <w:rPr>
          <w:rFonts w:ascii="Georgia" w:hAnsi="Georgia" w:cs="Arial"/>
          <w:szCs w:val="24"/>
        </w:rPr>
      </w:pPr>
    </w:p>
    <w:p w:rsidR="00DA6C81" w:rsidRPr="00AE23D3" w:rsidRDefault="00DA6C81" w:rsidP="00DF631B">
      <w:pPr>
        <w:overflowPunct/>
        <w:autoSpaceDE/>
        <w:autoSpaceDN/>
        <w:adjustRightInd/>
        <w:spacing w:line="288" w:lineRule="auto"/>
        <w:jc w:val="both"/>
        <w:rPr>
          <w:rFonts w:ascii="Georgia" w:hAnsi="Georgia" w:cs="Arial"/>
          <w:smallCaps/>
          <w:szCs w:val="24"/>
        </w:rPr>
      </w:pPr>
      <w:r w:rsidRPr="00AE23D3">
        <w:rPr>
          <w:rFonts w:ascii="Georgia" w:hAnsi="Georgia" w:cs="Arial"/>
          <w:szCs w:val="24"/>
        </w:rPr>
        <w:t>Esta decisión queda notificada en estrados.  No siendo otro el objeto de la presente audiencia, se da por terminada.</w:t>
      </w:r>
    </w:p>
    <w:p w:rsidR="00DA6C81" w:rsidRPr="00AE23D3" w:rsidRDefault="00DA6C81" w:rsidP="00DF631B">
      <w:pPr>
        <w:pStyle w:val="Textoindependiente"/>
        <w:tabs>
          <w:tab w:val="left" w:pos="9356"/>
          <w:tab w:val="left" w:pos="9498"/>
        </w:tabs>
        <w:spacing w:line="288" w:lineRule="auto"/>
        <w:ind w:left="7513"/>
        <w:jc w:val="right"/>
        <w:rPr>
          <w:szCs w:val="24"/>
        </w:rPr>
      </w:pPr>
    </w:p>
    <w:p w:rsidR="00DA6C81" w:rsidRPr="00AE23D3" w:rsidRDefault="00DA6C81"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w w:val="150"/>
          <w:szCs w:val="24"/>
        </w:rPr>
      </w:pPr>
    </w:p>
    <w:p w:rsidR="00DA6C81" w:rsidRDefault="00DA6C81"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w w:val="150"/>
          <w:sz w:val="28"/>
          <w:szCs w:val="18"/>
        </w:rPr>
      </w:pPr>
    </w:p>
    <w:p w:rsidR="00C5034C" w:rsidRPr="00DF631B" w:rsidRDefault="00C5034C"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w w:val="150"/>
          <w:sz w:val="28"/>
          <w:szCs w:val="18"/>
        </w:rPr>
      </w:pPr>
    </w:p>
    <w:p w:rsidR="00DF631B" w:rsidRPr="00DF631B" w:rsidRDefault="00DF631B"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w w:val="150"/>
          <w:sz w:val="22"/>
          <w:szCs w:val="22"/>
        </w:rPr>
      </w:pPr>
      <w:r w:rsidRPr="00DF631B">
        <w:rPr>
          <w:rFonts w:ascii="Georgia" w:hAnsi="Georgia" w:cs="Arial"/>
          <w:spacing w:val="-3"/>
          <w:w w:val="150"/>
          <w:sz w:val="22"/>
          <w:szCs w:val="22"/>
        </w:rPr>
        <w:t>DUBERNEY GRISALES HERRERA</w:t>
      </w:r>
    </w:p>
    <w:p w:rsidR="00DF631B" w:rsidRPr="00DF631B" w:rsidRDefault="00DF631B"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w w:val="150"/>
          <w:sz w:val="22"/>
        </w:rPr>
      </w:pPr>
      <w:r w:rsidRPr="00DF631B">
        <w:rPr>
          <w:rFonts w:ascii="Georgia" w:hAnsi="Georgia" w:cs="Arial"/>
          <w:spacing w:val="-3"/>
          <w:w w:val="150"/>
          <w:sz w:val="22"/>
        </w:rPr>
        <w:t>M</w:t>
      </w:r>
      <w:r w:rsidRPr="00DF631B">
        <w:rPr>
          <w:rFonts w:ascii="Georgia" w:hAnsi="Georgia" w:cs="Arial"/>
          <w:spacing w:val="-3"/>
          <w:w w:val="150"/>
          <w:sz w:val="20"/>
        </w:rPr>
        <w:t xml:space="preserve"> </w:t>
      </w:r>
      <w:r w:rsidRPr="00DF631B">
        <w:rPr>
          <w:rFonts w:ascii="Georgia" w:hAnsi="Georgia" w:cs="Arial"/>
          <w:spacing w:val="-3"/>
          <w:w w:val="150"/>
          <w:sz w:val="22"/>
        </w:rPr>
        <w:t>A G I S T R A D O</w:t>
      </w:r>
    </w:p>
    <w:p w:rsidR="00DF631B" w:rsidRDefault="00DF631B"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rPr>
      </w:pPr>
    </w:p>
    <w:p w:rsidR="00C5034C" w:rsidRDefault="00C5034C"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rPr>
      </w:pPr>
    </w:p>
    <w:p w:rsidR="00C5034C" w:rsidRPr="00DF631B" w:rsidRDefault="00C5034C"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rPr>
      </w:pPr>
      <w:bookmarkStart w:id="0" w:name="_GoBack"/>
      <w:bookmarkEnd w:id="0"/>
    </w:p>
    <w:p w:rsidR="00DF631B" w:rsidRPr="00DF631B" w:rsidRDefault="00DF631B"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rPr>
      </w:pPr>
    </w:p>
    <w:p w:rsidR="00DF631B" w:rsidRPr="00DF631B" w:rsidRDefault="00DF631B"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Georgia" w:hAnsi="Georgia"/>
          <w:w w:val="150"/>
          <w:sz w:val="22"/>
          <w:szCs w:val="22"/>
        </w:rPr>
      </w:pPr>
      <w:proofErr w:type="spellStart"/>
      <w:r w:rsidRPr="00DF631B">
        <w:rPr>
          <w:rFonts w:ascii="Georgia" w:hAnsi="Georgia"/>
          <w:w w:val="150"/>
          <w:sz w:val="22"/>
          <w:szCs w:val="22"/>
        </w:rPr>
        <w:t>EDDER</w:t>
      </w:r>
      <w:proofErr w:type="spellEnd"/>
      <w:r w:rsidRPr="00DF631B">
        <w:rPr>
          <w:rFonts w:ascii="Georgia" w:hAnsi="Georgia"/>
          <w:w w:val="150"/>
          <w:sz w:val="22"/>
          <w:szCs w:val="22"/>
        </w:rPr>
        <w:t xml:space="preserve"> JIMMY SÁNCHEZ</w:t>
      </w:r>
      <w:r w:rsidR="00C5034C">
        <w:rPr>
          <w:rFonts w:ascii="Georgia" w:hAnsi="Georgia"/>
          <w:w w:val="150"/>
          <w:sz w:val="22"/>
          <w:szCs w:val="22"/>
        </w:rPr>
        <w:t xml:space="preserve">    </w:t>
      </w:r>
      <w:r w:rsidRPr="00DF631B">
        <w:rPr>
          <w:rFonts w:ascii="Georgia" w:hAnsi="Georgia"/>
          <w:w w:val="150"/>
          <w:sz w:val="22"/>
          <w:szCs w:val="22"/>
        </w:rPr>
        <w:t xml:space="preserve">   </w:t>
      </w:r>
      <w:r w:rsidRPr="00DF631B">
        <w:rPr>
          <w:rFonts w:ascii="Georgia" w:hAnsi="Georgia" w:cs="Arial"/>
          <w:spacing w:val="-3"/>
          <w:w w:val="150"/>
          <w:sz w:val="22"/>
          <w:szCs w:val="22"/>
        </w:rPr>
        <w:t>JAIME A</w:t>
      </w:r>
      <w:r w:rsidRPr="00DF631B">
        <w:rPr>
          <w:rFonts w:ascii="Georgia" w:hAnsi="Georgia"/>
          <w:w w:val="150"/>
          <w:sz w:val="22"/>
          <w:szCs w:val="22"/>
        </w:rPr>
        <w:t xml:space="preserve">LBERTO </w:t>
      </w:r>
      <w:r w:rsidR="00C5034C">
        <w:rPr>
          <w:rFonts w:ascii="Georgia" w:hAnsi="Georgia" w:cs="Arial"/>
          <w:spacing w:val="-3"/>
          <w:w w:val="150"/>
          <w:sz w:val="22"/>
          <w:szCs w:val="22"/>
        </w:rPr>
        <w:t>SARAZA</w:t>
      </w:r>
    </w:p>
    <w:p w:rsidR="004F07A6" w:rsidRPr="00DF631B" w:rsidRDefault="00DF631B" w:rsidP="00DF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Georgia" w:hAnsi="Georgia" w:cs="Arial"/>
          <w:w w:val="150"/>
          <w:sz w:val="22"/>
          <w:szCs w:val="22"/>
        </w:rPr>
      </w:pPr>
      <w:r w:rsidRPr="00DF631B">
        <w:rPr>
          <w:rFonts w:ascii="Georgia" w:hAnsi="Georgia" w:cs="Arial"/>
          <w:w w:val="150"/>
          <w:sz w:val="22"/>
          <w:szCs w:val="22"/>
        </w:rPr>
        <w:t xml:space="preserve">M A G I S T R A D O </w:t>
      </w:r>
      <w:r w:rsidRPr="00DF631B">
        <w:rPr>
          <w:rFonts w:ascii="Georgia" w:hAnsi="Georgia" w:cs="Arial"/>
          <w:w w:val="150"/>
          <w:sz w:val="22"/>
          <w:szCs w:val="22"/>
        </w:rPr>
        <w:tab/>
      </w:r>
      <w:r w:rsidRPr="00DF631B">
        <w:rPr>
          <w:rFonts w:ascii="Georgia" w:hAnsi="Georgia" w:cs="Arial"/>
          <w:w w:val="150"/>
          <w:sz w:val="22"/>
          <w:szCs w:val="22"/>
        </w:rPr>
        <w:tab/>
        <w:t xml:space="preserve">     M A G I S T R A D O</w:t>
      </w:r>
    </w:p>
    <w:sectPr w:rsidR="004F07A6" w:rsidRPr="00DF631B" w:rsidSect="00C5034C">
      <w:headerReference w:type="even" r:id="rId8"/>
      <w:headerReference w:type="default" r:id="rId9"/>
      <w:footerReference w:type="default" r:id="rId10"/>
      <w:footerReference w:type="first" r:id="rId11"/>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D1" w:rsidRDefault="007C43D1" w:rsidP="00DA6C81">
      <w:r>
        <w:separator/>
      </w:r>
    </w:p>
  </w:endnote>
  <w:endnote w:type="continuationSeparator" w:id="0">
    <w:p w:rsidR="007C43D1" w:rsidRDefault="007C43D1" w:rsidP="00DA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Pr="00AF64C3" w:rsidRDefault="007C43D1" w:rsidP="007A7A7F">
    <w:pPr>
      <w:pStyle w:val="Piedepgina"/>
      <w:pBdr>
        <w:bottom w:val="double" w:sz="6" w:space="1" w:color="auto"/>
      </w:pBdr>
      <w:spacing w:line="360" w:lineRule="auto"/>
      <w:jc w:val="right"/>
      <w:rPr>
        <w:rFonts w:ascii="Century" w:hAnsi="Century" w:cs="Arial"/>
        <w:spacing w:val="20"/>
        <w:w w:val="200"/>
        <w:sz w:val="14"/>
        <w:szCs w:val="10"/>
      </w:rPr>
    </w:pPr>
  </w:p>
  <w:p w:rsidR="007A7A7F" w:rsidRPr="00AF64C3" w:rsidRDefault="007C43D1" w:rsidP="007A7A7F">
    <w:pPr>
      <w:pStyle w:val="Piedepgina"/>
      <w:spacing w:line="360" w:lineRule="auto"/>
      <w:jc w:val="right"/>
      <w:rPr>
        <w:rFonts w:ascii="Century" w:hAnsi="Century" w:cs="Arial"/>
        <w:spacing w:val="20"/>
        <w:w w:val="200"/>
        <w:sz w:val="14"/>
        <w:szCs w:val="10"/>
      </w:rPr>
    </w:pPr>
  </w:p>
  <w:p w:rsidR="007A7A7F" w:rsidRPr="00DF631B" w:rsidRDefault="00C239F7" w:rsidP="007A7A7F">
    <w:pPr>
      <w:pStyle w:val="Piedepgina"/>
      <w:spacing w:line="360" w:lineRule="auto"/>
      <w:jc w:val="right"/>
      <w:rPr>
        <w:rFonts w:ascii="Century" w:hAnsi="Century" w:cs="Arial"/>
        <w:spacing w:val="20"/>
        <w:w w:val="200"/>
        <w:sz w:val="12"/>
        <w:szCs w:val="10"/>
      </w:rPr>
    </w:pPr>
    <w:r w:rsidRPr="00DF631B">
      <w:rPr>
        <w:rFonts w:ascii="Century" w:hAnsi="Century" w:cs="Arial"/>
        <w:spacing w:val="20"/>
        <w:w w:val="200"/>
        <w:sz w:val="16"/>
        <w:szCs w:val="10"/>
      </w:rPr>
      <w:t>T</w:t>
    </w:r>
    <w:r w:rsidRPr="00DF631B">
      <w:rPr>
        <w:rFonts w:ascii="Century" w:hAnsi="Century" w:cs="Arial"/>
        <w:spacing w:val="20"/>
        <w:w w:val="200"/>
        <w:sz w:val="12"/>
        <w:szCs w:val="10"/>
      </w:rPr>
      <w:t xml:space="preserve">RIBUNAL </w:t>
    </w:r>
    <w:r w:rsidRPr="00DF631B">
      <w:rPr>
        <w:rFonts w:ascii="Century" w:hAnsi="Century" w:cs="Arial"/>
        <w:spacing w:val="20"/>
        <w:w w:val="200"/>
        <w:sz w:val="16"/>
        <w:szCs w:val="10"/>
      </w:rPr>
      <w:t>S</w:t>
    </w:r>
    <w:r w:rsidRPr="00DF631B">
      <w:rPr>
        <w:rFonts w:ascii="Century" w:hAnsi="Century" w:cs="Arial"/>
        <w:spacing w:val="20"/>
        <w:w w:val="200"/>
        <w:sz w:val="12"/>
        <w:szCs w:val="10"/>
      </w:rPr>
      <w:t>UPERIOR DE</w:t>
    </w:r>
    <w:r w:rsidRPr="00DF631B">
      <w:rPr>
        <w:rFonts w:ascii="Century" w:hAnsi="Century" w:cs="Arial"/>
        <w:spacing w:val="20"/>
        <w:w w:val="200"/>
        <w:sz w:val="16"/>
        <w:szCs w:val="10"/>
      </w:rPr>
      <w:t xml:space="preserve"> P</w:t>
    </w:r>
    <w:r w:rsidRPr="00DF631B">
      <w:rPr>
        <w:rFonts w:ascii="Century" w:hAnsi="Century" w:cs="Arial"/>
        <w:spacing w:val="20"/>
        <w:w w:val="200"/>
        <w:sz w:val="12"/>
        <w:szCs w:val="10"/>
      </w:rPr>
      <w:t>EREIRA</w:t>
    </w:r>
  </w:p>
  <w:p w:rsidR="00ED34E4" w:rsidRPr="00DF631B" w:rsidRDefault="00C239F7" w:rsidP="007A7A7F">
    <w:pPr>
      <w:pStyle w:val="Piedepgina"/>
      <w:jc w:val="right"/>
      <w:rPr>
        <w:rFonts w:ascii="Century" w:hAnsi="Century"/>
        <w:sz w:val="22"/>
      </w:rPr>
    </w:pPr>
    <w:proofErr w:type="spellStart"/>
    <w:r w:rsidRPr="00DF631B">
      <w:rPr>
        <w:rFonts w:ascii="Century" w:hAnsi="Century" w:cs="Arial"/>
        <w:spacing w:val="20"/>
        <w:w w:val="200"/>
        <w:sz w:val="10"/>
        <w:szCs w:val="10"/>
      </w:rPr>
      <w:t>MP</w:t>
    </w:r>
    <w:proofErr w:type="spellEnd"/>
    <w:r w:rsidRPr="00DF631B">
      <w:rPr>
        <w:rFonts w:ascii="Century" w:hAnsi="Century" w:cs="Arial"/>
        <w:spacing w:val="20"/>
        <w:w w:val="200"/>
        <w:sz w:val="10"/>
        <w:szCs w:val="10"/>
      </w:rPr>
      <w:t xml:space="preserve"> </w:t>
    </w:r>
    <w:r w:rsidRPr="00DF631B">
      <w:rPr>
        <w:rFonts w:ascii="Century" w:hAnsi="Century" w:cs="Arial"/>
        <w:spacing w:val="20"/>
        <w:w w:val="200"/>
        <w:sz w:val="12"/>
        <w:szCs w:val="10"/>
      </w:rPr>
      <w:t>D</w:t>
    </w:r>
    <w:r w:rsidRPr="00DF631B">
      <w:rPr>
        <w:rFonts w:ascii="Century" w:hAnsi="Century" w:cs="Arial"/>
        <w:spacing w:val="20"/>
        <w:w w:val="200"/>
        <w:sz w:val="10"/>
        <w:szCs w:val="10"/>
      </w:rPr>
      <w:t xml:space="preserve">UBERNEY </w:t>
    </w:r>
    <w:r w:rsidRPr="00DF631B">
      <w:rPr>
        <w:rFonts w:ascii="Century" w:hAnsi="Century" w:cs="Arial"/>
        <w:spacing w:val="20"/>
        <w:w w:val="200"/>
        <w:sz w:val="12"/>
        <w:szCs w:val="10"/>
      </w:rPr>
      <w:t>G</w:t>
    </w:r>
    <w:r w:rsidRPr="00DF631B">
      <w:rPr>
        <w:rFonts w:ascii="Century" w:hAnsi="Century" w:cs="Arial"/>
        <w:spacing w:val="20"/>
        <w:w w:val="200"/>
        <w:sz w:val="10"/>
        <w:szCs w:val="10"/>
      </w:rPr>
      <w:t xml:space="preserve">RISALES </w:t>
    </w:r>
    <w:r w:rsidRPr="00DF631B">
      <w:rPr>
        <w:rFonts w:ascii="Century" w:hAnsi="Century" w:cs="Arial"/>
        <w:spacing w:val="20"/>
        <w:w w:val="200"/>
        <w:sz w:val="12"/>
        <w:szCs w:val="10"/>
      </w:rPr>
      <w:t>H</w:t>
    </w:r>
    <w:r w:rsidRPr="00DF631B">
      <w:rPr>
        <w:rFonts w:ascii="Century" w:hAnsi="Century" w:cs="Arial"/>
        <w:spacing w:val="20"/>
        <w:w w:val="200"/>
        <w:sz w:val="10"/>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Pr="00D85D28" w:rsidRDefault="007C43D1" w:rsidP="00B91083">
    <w:pPr>
      <w:pStyle w:val="Piedepgina"/>
      <w:pBdr>
        <w:bottom w:val="double" w:sz="6" w:space="1" w:color="auto"/>
      </w:pBdr>
      <w:spacing w:line="360" w:lineRule="auto"/>
      <w:jc w:val="right"/>
      <w:rPr>
        <w:rFonts w:ascii="Georgia" w:hAnsi="Georgia" w:cs="Arial"/>
        <w:spacing w:val="20"/>
        <w:w w:val="200"/>
        <w:sz w:val="14"/>
        <w:szCs w:val="10"/>
      </w:rPr>
    </w:pPr>
  </w:p>
  <w:p w:rsidR="0010616C" w:rsidRPr="00D85D28" w:rsidRDefault="007C43D1" w:rsidP="00B91083">
    <w:pPr>
      <w:pStyle w:val="Piedepgina"/>
      <w:spacing w:line="360" w:lineRule="auto"/>
      <w:jc w:val="right"/>
      <w:rPr>
        <w:rFonts w:ascii="Georgia" w:hAnsi="Georgia" w:cs="Arial"/>
        <w:spacing w:val="20"/>
        <w:w w:val="200"/>
        <w:sz w:val="14"/>
        <w:szCs w:val="10"/>
      </w:rPr>
    </w:pPr>
  </w:p>
  <w:p w:rsidR="00B91083" w:rsidRPr="00D85D28" w:rsidRDefault="00C239F7"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B91083" w:rsidRPr="00D85D28" w:rsidRDefault="00C239F7" w:rsidP="00B91083">
    <w:pPr>
      <w:pStyle w:val="Piedepgina"/>
      <w:jc w:val="right"/>
      <w:rPr>
        <w:rFonts w:ascii="Georgia" w:hAnsi="Georgia"/>
      </w:rPr>
    </w:pPr>
    <w:proofErr w:type="spellStart"/>
    <w:r w:rsidRPr="00D85D28">
      <w:rPr>
        <w:rFonts w:ascii="Georgia" w:hAnsi="Georgia" w:cs="Arial"/>
        <w:spacing w:val="20"/>
        <w:w w:val="200"/>
        <w:sz w:val="8"/>
        <w:szCs w:val="10"/>
      </w:rPr>
      <w:t>MP</w:t>
    </w:r>
    <w:proofErr w:type="spellEnd"/>
    <w:r w:rsidRPr="00D85D28">
      <w:rPr>
        <w:rFonts w:ascii="Georgia" w:hAnsi="Georgia" w:cs="Arial"/>
        <w:spacing w:val="20"/>
        <w:w w:val="200"/>
        <w:sz w:val="8"/>
        <w:szCs w:val="10"/>
      </w:rPr>
      <w:t xml:space="preserve">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D1" w:rsidRDefault="007C43D1" w:rsidP="00DA6C81">
      <w:r>
        <w:separator/>
      </w:r>
    </w:p>
  </w:footnote>
  <w:footnote w:type="continuationSeparator" w:id="0">
    <w:p w:rsidR="007C43D1" w:rsidRDefault="007C43D1" w:rsidP="00DA6C81">
      <w:r>
        <w:continuationSeparator/>
      </w:r>
    </w:p>
  </w:footnote>
  <w:footnote w:id="1">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CSJ. SC1182-2016, reiterada en la SC16669-2016.</w:t>
      </w:r>
    </w:p>
  </w:footnote>
  <w:footnote w:id="2">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proofErr w:type="spellStart"/>
      <w:r w:rsidRPr="00DF631B">
        <w:rPr>
          <w:rFonts w:ascii="Arial" w:hAnsi="Arial" w:cs="Arial"/>
          <w:sz w:val="18"/>
          <w:szCs w:val="18"/>
        </w:rPr>
        <w:t>TSP</w:t>
      </w:r>
      <w:proofErr w:type="spellEnd"/>
      <w:r w:rsidRPr="00DF631B">
        <w:rPr>
          <w:rFonts w:ascii="Arial" w:hAnsi="Arial" w:cs="Arial"/>
          <w:sz w:val="18"/>
          <w:szCs w:val="18"/>
        </w:rPr>
        <w:t xml:space="preserve">, Civil-Familia. </w:t>
      </w:r>
      <w:r w:rsidRPr="00DF631B">
        <w:rPr>
          <w:rFonts w:ascii="Arial" w:hAnsi="Arial" w:cs="Arial"/>
          <w:sz w:val="18"/>
          <w:szCs w:val="18"/>
          <w:lang w:val="es-CO"/>
        </w:rPr>
        <w:t>Sentencias del: (i) 01-09</w:t>
      </w:r>
      <w:r w:rsidRPr="00DF631B">
        <w:rPr>
          <w:rFonts w:ascii="Arial" w:hAnsi="Arial" w:cs="Arial"/>
          <w:sz w:val="18"/>
          <w:szCs w:val="18"/>
        </w:rPr>
        <w:t xml:space="preserve">-2017; </w:t>
      </w:r>
      <w:proofErr w:type="spellStart"/>
      <w:r w:rsidRPr="00DF631B">
        <w:rPr>
          <w:rFonts w:ascii="Arial" w:hAnsi="Arial" w:cs="Arial"/>
          <w:sz w:val="18"/>
          <w:szCs w:val="18"/>
        </w:rPr>
        <w:t>MP</w:t>
      </w:r>
      <w:proofErr w:type="spellEnd"/>
      <w:r w:rsidRPr="00DF631B">
        <w:rPr>
          <w:rFonts w:ascii="Arial" w:hAnsi="Arial" w:cs="Arial"/>
          <w:sz w:val="18"/>
          <w:szCs w:val="18"/>
        </w:rPr>
        <w:t xml:space="preserve">: Grisales H., No.2012-00283-02; </w:t>
      </w:r>
      <w:r w:rsidRPr="00DF631B">
        <w:rPr>
          <w:rFonts w:ascii="Arial" w:hAnsi="Arial" w:cs="Arial"/>
          <w:bCs/>
          <w:sz w:val="18"/>
          <w:szCs w:val="18"/>
          <w:lang w:val="es-CO"/>
        </w:rPr>
        <w:t xml:space="preserve">(ii) </w:t>
      </w:r>
      <w:r w:rsidRPr="00DF631B">
        <w:rPr>
          <w:rFonts w:ascii="Arial" w:hAnsi="Arial" w:cs="Arial"/>
          <w:sz w:val="18"/>
          <w:szCs w:val="18"/>
          <w:lang w:val="es-CO"/>
        </w:rPr>
        <w:t xml:space="preserve">06-11-2014; </w:t>
      </w:r>
      <w:proofErr w:type="spellStart"/>
      <w:r w:rsidRPr="00DF631B">
        <w:rPr>
          <w:rFonts w:ascii="Arial" w:hAnsi="Arial" w:cs="Arial"/>
          <w:sz w:val="18"/>
          <w:szCs w:val="18"/>
          <w:lang w:val="es-CO"/>
        </w:rPr>
        <w:t>MP</w:t>
      </w:r>
      <w:proofErr w:type="spellEnd"/>
      <w:r w:rsidRPr="00DF631B">
        <w:rPr>
          <w:rFonts w:ascii="Arial" w:hAnsi="Arial" w:cs="Arial"/>
          <w:sz w:val="18"/>
          <w:szCs w:val="18"/>
          <w:lang w:val="es-CO"/>
        </w:rPr>
        <w:t>: Arcila R., No.</w:t>
      </w:r>
      <w:r w:rsidRPr="00DF631B">
        <w:rPr>
          <w:rFonts w:ascii="Arial" w:eastAsia="DotumChe" w:hAnsi="Arial" w:cs="Arial"/>
          <w:spacing w:val="-4"/>
          <w:sz w:val="18"/>
          <w:szCs w:val="18"/>
        </w:rPr>
        <w:t xml:space="preserve">2012-00011-01; y, (iii) </w:t>
      </w:r>
      <w:r w:rsidRPr="00DF631B">
        <w:rPr>
          <w:rFonts w:ascii="Arial" w:hAnsi="Arial" w:cs="Arial"/>
          <w:sz w:val="18"/>
          <w:szCs w:val="18"/>
          <w:lang w:val="es-CO"/>
        </w:rPr>
        <w:t xml:space="preserve">19-12-2014; </w:t>
      </w:r>
      <w:proofErr w:type="spellStart"/>
      <w:r w:rsidRPr="00DF631B">
        <w:rPr>
          <w:rFonts w:ascii="Arial" w:hAnsi="Arial" w:cs="Arial"/>
          <w:sz w:val="18"/>
          <w:szCs w:val="18"/>
          <w:lang w:val="es-CO"/>
        </w:rPr>
        <w:t>MP</w:t>
      </w:r>
      <w:proofErr w:type="spellEnd"/>
      <w:r w:rsidRPr="00DF631B">
        <w:rPr>
          <w:rFonts w:ascii="Arial" w:hAnsi="Arial" w:cs="Arial"/>
          <w:sz w:val="18"/>
          <w:szCs w:val="18"/>
          <w:lang w:val="es-CO"/>
        </w:rPr>
        <w:t>: Saraza N., No.</w:t>
      </w:r>
      <w:r w:rsidRPr="00DF631B">
        <w:rPr>
          <w:rFonts w:ascii="Arial" w:hAnsi="Arial" w:cs="Arial"/>
          <w:sz w:val="18"/>
          <w:szCs w:val="18"/>
        </w:rPr>
        <w:t>2010-00059-02.</w:t>
      </w:r>
    </w:p>
  </w:footnote>
  <w:footnote w:id="3">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CSJ, Civil. Sentencia del 24-11-1993; </w:t>
      </w:r>
      <w:proofErr w:type="spellStart"/>
      <w:r w:rsidRPr="00DF631B">
        <w:rPr>
          <w:rFonts w:ascii="Arial" w:hAnsi="Arial" w:cs="Arial"/>
          <w:sz w:val="18"/>
          <w:szCs w:val="18"/>
        </w:rPr>
        <w:t>MP</w:t>
      </w:r>
      <w:proofErr w:type="spellEnd"/>
      <w:r w:rsidRPr="00DF631B">
        <w:rPr>
          <w:rFonts w:ascii="Arial" w:hAnsi="Arial" w:cs="Arial"/>
          <w:sz w:val="18"/>
          <w:szCs w:val="18"/>
        </w:rPr>
        <w:t>: Romero S.</w:t>
      </w:r>
    </w:p>
  </w:footnote>
  <w:footnote w:id="4">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proofErr w:type="spellStart"/>
      <w:r w:rsidRPr="00DF631B">
        <w:rPr>
          <w:rFonts w:ascii="Arial" w:hAnsi="Arial" w:cs="Arial"/>
          <w:sz w:val="18"/>
          <w:szCs w:val="18"/>
        </w:rPr>
        <w:t>TS</w:t>
      </w:r>
      <w:proofErr w:type="spellEnd"/>
      <w:r w:rsidRPr="00DF631B">
        <w:rPr>
          <w:rFonts w:ascii="Arial" w:hAnsi="Arial" w:cs="Arial"/>
          <w:sz w:val="18"/>
          <w:szCs w:val="18"/>
        </w:rPr>
        <w:t xml:space="preserve">, Pereira, Sala Civil-Familia. </w:t>
      </w:r>
      <w:r w:rsidRPr="00DF631B">
        <w:rPr>
          <w:rFonts w:ascii="Arial" w:hAnsi="Arial" w:cs="Arial"/>
          <w:sz w:val="18"/>
          <w:szCs w:val="18"/>
          <w:lang w:val="es-CO"/>
        </w:rPr>
        <w:t>Sentencias del</w:t>
      </w:r>
      <w:r w:rsidRPr="00DF631B">
        <w:rPr>
          <w:rFonts w:ascii="Arial" w:hAnsi="Arial" w:cs="Arial"/>
          <w:sz w:val="18"/>
          <w:szCs w:val="18"/>
        </w:rPr>
        <w:t xml:space="preserve"> 30-11-2018; </w:t>
      </w:r>
      <w:proofErr w:type="spellStart"/>
      <w:r w:rsidRPr="00DF631B">
        <w:rPr>
          <w:rFonts w:ascii="Arial" w:hAnsi="Arial" w:cs="Arial"/>
          <w:sz w:val="18"/>
          <w:szCs w:val="18"/>
        </w:rPr>
        <w:t>MP</w:t>
      </w:r>
      <w:proofErr w:type="spellEnd"/>
      <w:r w:rsidRPr="00DF631B">
        <w:rPr>
          <w:rFonts w:ascii="Arial" w:hAnsi="Arial" w:cs="Arial"/>
          <w:sz w:val="18"/>
          <w:szCs w:val="18"/>
        </w:rPr>
        <w:t>: Grisales H., No.2011-00252-01</w:t>
      </w:r>
      <w:r w:rsidRPr="00DF631B">
        <w:rPr>
          <w:rFonts w:ascii="Arial" w:eastAsia="DotumChe" w:hAnsi="Arial" w:cs="Arial"/>
          <w:spacing w:val="-4"/>
          <w:sz w:val="18"/>
          <w:szCs w:val="18"/>
        </w:rPr>
        <w:t xml:space="preserve"> y (ii) 04</w:t>
      </w:r>
      <w:r w:rsidRPr="00DF631B">
        <w:rPr>
          <w:rFonts w:ascii="Arial" w:hAnsi="Arial" w:cs="Arial"/>
          <w:sz w:val="18"/>
          <w:szCs w:val="18"/>
          <w:lang w:val="es-CO"/>
        </w:rPr>
        <w:t xml:space="preserve">-07-2018; </w:t>
      </w:r>
      <w:proofErr w:type="spellStart"/>
      <w:r w:rsidRPr="00DF631B">
        <w:rPr>
          <w:rFonts w:ascii="Arial" w:hAnsi="Arial" w:cs="Arial"/>
          <w:sz w:val="18"/>
          <w:szCs w:val="18"/>
          <w:lang w:val="es-CO"/>
        </w:rPr>
        <w:t>MP</w:t>
      </w:r>
      <w:proofErr w:type="spellEnd"/>
      <w:r w:rsidRPr="00DF631B">
        <w:rPr>
          <w:rFonts w:ascii="Arial" w:hAnsi="Arial" w:cs="Arial"/>
          <w:sz w:val="18"/>
          <w:szCs w:val="18"/>
          <w:lang w:val="es-CO"/>
        </w:rPr>
        <w:t>: Saraza N., No.</w:t>
      </w:r>
      <w:r w:rsidRPr="00DF631B">
        <w:rPr>
          <w:rFonts w:ascii="Arial" w:hAnsi="Arial" w:cs="Arial"/>
          <w:sz w:val="18"/>
          <w:szCs w:val="18"/>
        </w:rPr>
        <w:t>2011-00193-01, entre muchas.</w:t>
      </w:r>
    </w:p>
  </w:footnote>
  <w:footnote w:id="5">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CSJ. STC9587-2017.</w:t>
      </w:r>
    </w:p>
  </w:footnote>
  <w:footnote w:id="6">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INSTITUTO COLOMBIANO DE DERECHO PROCESAL. </w:t>
      </w:r>
      <w:r w:rsidRPr="00DF631B">
        <w:rPr>
          <w:rFonts w:ascii="Arial" w:hAnsi="Arial" w:cs="Arial"/>
          <w:sz w:val="18"/>
          <w:szCs w:val="18"/>
          <w:lang w:val="es-CO"/>
        </w:rPr>
        <w:t xml:space="preserve">XXXVIII Congreso de derecho procesal, Cartagena, falencias dialécticas del CGP, Impresor Panamericana, Formas e Impresos </w:t>
      </w:r>
      <w:proofErr w:type="spellStart"/>
      <w:r w:rsidRPr="00DF631B">
        <w:rPr>
          <w:rFonts w:ascii="Arial" w:hAnsi="Arial" w:cs="Arial"/>
          <w:sz w:val="18"/>
          <w:szCs w:val="18"/>
          <w:lang w:val="es-CO"/>
        </w:rPr>
        <w:t>SA</w:t>
      </w:r>
      <w:proofErr w:type="spellEnd"/>
      <w:r w:rsidRPr="00DF631B">
        <w:rPr>
          <w:rFonts w:ascii="Arial" w:hAnsi="Arial" w:cs="Arial"/>
          <w:sz w:val="18"/>
          <w:szCs w:val="18"/>
          <w:lang w:val="es-CO"/>
        </w:rPr>
        <w:t>,</w:t>
      </w:r>
      <w:r w:rsidRPr="00DF631B">
        <w:rPr>
          <w:rFonts w:ascii="Arial" w:hAnsi="Arial" w:cs="Arial"/>
          <w:sz w:val="18"/>
          <w:szCs w:val="18"/>
        </w:rPr>
        <w:t xml:space="preserve"> Bogotá DC, 2017, p.639-663.</w:t>
      </w:r>
    </w:p>
  </w:footnote>
  <w:footnote w:id="7">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r w:rsidRPr="00DF631B">
        <w:rPr>
          <w:rFonts w:ascii="Arial" w:hAnsi="Arial" w:cs="Arial"/>
          <w:sz w:val="18"/>
          <w:szCs w:val="18"/>
          <w:lang w:val="es-CO"/>
        </w:rPr>
        <w:t xml:space="preserve">RAMÍREZ G., José F. Legitimación del cónyuge sobreviviente y de los herederos con ocasión de los contratos de seguros de vida grupo deudores. </w:t>
      </w:r>
      <w:r w:rsidRPr="00DF631B">
        <w:rPr>
          <w:rFonts w:ascii="Arial" w:hAnsi="Arial" w:cs="Arial"/>
          <w:sz w:val="18"/>
          <w:szCs w:val="18"/>
          <w:u w:val="single"/>
          <w:lang w:val="es-CO"/>
        </w:rPr>
        <w:t>En:</w:t>
      </w:r>
      <w:r w:rsidRPr="00DF631B">
        <w:rPr>
          <w:rFonts w:ascii="Arial" w:hAnsi="Arial" w:cs="Arial"/>
          <w:sz w:val="18"/>
          <w:szCs w:val="18"/>
          <w:lang w:val="es-CO"/>
        </w:rPr>
        <w:t xml:space="preserve"> Revista Ibero-latinoamericana de seguro, Universidad Javeriana, vol.25, No.45, Colombia [En línea]. 2016 [Visitado el 2019-01-23]. Disponible en internet: Disponible en: </w:t>
      </w:r>
      <w:r w:rsidRPr="00DF631B">
        <w:rPr>
          <w:rFonts w:ascii="Arial" w:hAnsi="Arial" w:cs="Arial"/>
          <w:sz w:val="18"/>
          <w:szCs w:val="18"/>
          <w:shd w:val="clear" w:color="auto" w:fill="FFFFFF"/>
        </w:rPr>
        <w:t>revistas.</w:t>
      </w:r>
      <w:r w:rsidRPr="00DF631B">
        <w:rPr>
          <w:rFonts w:ascii="Arial" w:hAnsi="Arial" w:cs="Arial"/>
          <w:bCs/>
          <w:sz w:val="18"/>
          <w:szCs w:val="18"/>
          <w:shd w:val="clear" w:color="auto" w:fill="FFFFFF"/>
        </w:rPr>
        <w:t>javeriana</w:t>
      </w:r>
      <w:r w:rsidRPr="00DF631B">
        <w:rPr>
          <w:rFonts w:ascii="Arial" w:hAnsi="Arial" w:cs="Arial"/>
          <w:sz w:val="18"/>
          <w:szCs w:val="18"/>
          <w:shd w:val="clear" w:color="auto" w:fill="FFFFFF"/>
        </w:rPr>
        <w:t>.edu.co/index.php/ibero</w:t>
      </w:r>
      <w:r w:rsidRPr="00DF631B">
        <w:rPr>
          <w:rFonts w:ascii="Arial" w:hAnsi="Arial" w:cs="Arial"/>
          <w:bCs/>
          <w:sz w:val="18"/>
          <w:szCs w:val="18"/>
          <w:shd w:val="clear" w:color="auto" w:fill="FFFFFF"/>
        </w:rPr>
        <w:t>seguros</w:t>
      </w:r>
      <w:r w:rsidRPr="00DF631B">
        <w:rPr>
          <w:rFonts w:ascii="Arial" w:hAnsi="Arial" w:cs="Arial"/>
          <w:sz w:val="18"/>
          <w:szCs w:val="18"/>
          <w:shd w:val="clear" w:color="auto" w:fill="FFFFFF"/>
        </w:rPr>
        <w:t>/article/viewFile/.../13361</w:t>
      </w:r>
    </w:p>
  </w:footnote>
  <w:footnote w:id="8">
    <w:p w:rsidR="00DA6C81" w:rsidRPr="00DF631B" w:rsidRDefault="00DA6C81" w:rsidP="00DA6C81">
      <w:pPr>
        <w:pStyle w:val="Textonotapie"/>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proofErr w:type="spellStart"/>
      <w:r w:rsidRPr="00DF631B">
        <w:rPr>
          <w:rFonts w:ascii="Arial" w:hAnsi="Arial" w:cs="Arial"/>
          <w:sz w:val="18"/>
          <w:szCs w:val="18"/>
          <w:lang w:val="es-CO"/>
        </w:rPr>
        <w:t>DEVIS</w:t>
      </w:r>
      <w:proofErr w:type="spellEnd"/>
      <w:r w:rsidRPr="00DF631B">
        <w:rPr>
          <w:rFonts w:ascii="Arial" w:hAnsi="Arial" w:cs="Arial"/>
          <w:sz w:val="18"/>
          <w:szCs w:val="18"/>
          <w:lang w:val="es-CO"/>
        </w:rPr>
        <w:t xml:space="preserve"> E., Hernando. El proceso civil, parte general, tomo III, volumen I, 7ª edición, Bogotá DC, </w:t>
      </w:r>
      <w:proofErr w:type="spellStart"/>
      <w:r w:rsidRPr="00DF631B">
        <w:rPr>
          <w:rFonts w:ascii="Arial" w:hAnsi="Arial" w:cs="Arial"/>
          <w:sz w:val="18"/>
          <w:szCs w:val="18"/>
          <w:lang w:val="es-CO"/>
        </w:rPr>
        <w:t>Diké</w:t>
      </w:r>
      <w:proofErr w:type="spellEnd"/>
      <w:r w:rsidRPr="00DF631B">
        <w:rPr>
          <w:rFonts w:ascii="Arial" w:hAnsi="Arial" w:cs="Arial"/>
          <w:sz w:val="18"/>
          <w:szCs w:val="18"/>
          <w:lang w:val="es-CO"/>
        </w:rPr>
        <w:t>, 1990, p.266.</w:t>
      </w:r>
    </w:p>
  </w:footnote>
  <w:footnote w:id="9">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r w:rsidRPr="00DF631B">
        <w:rPr>
          <w:rFonts w:ascii="Arial" w:hAnsi="Arial" w:cs="Arial"/>
          <w:sz w:val="18"/>
          <w:szCs w:val="18"/>
          <w:lang w:val="es-CO"/>
        </w:rPr>
        <w:t>RAMÍREZ A., Carlos.  Derecho procesal, teoría de la acción, legitimación, pretensión procesal y acumulaciones, ediciones Librería del Profesional, Bogotá DC, 2001, p.208-229.</w:t>
      </w:r>
    </w:p>
  </w:footnote>
  <w:footnote w:id="10">
    <w:p w:rsidR="00DA6C81" w:rsidRPr="00DF631B" w:rsidRDefault="00DA6C81" w:rsidP="00DA6C81">
      <w:pPr>
        <w:pStyle w:val="Textonotapie"/>
        <w:jc w:val="both"/>
        <w:rPr>
          <w:rFonts w:ascii="Arial" w:hAnsi="Arial" w:cs="Arial"/>
          <w:sz w:val="18"/>
          <w:szCs w:val="18"/>
          <w:lang w:val="en-US"/>
        </w:rPr>
      </w:pPr>
      <w:r w:rsidRPr="00DF631B">
        <w:rPr>
          <w:rStyle w:val="Refdenotaalpie"/>
          <w:rFonts w:ascii="Arial" w:hAnsi="Arial" w:cs="Arial"/>
          <w:sz w:val="18"/>
          <w:szCs w:val="18"/>
        </w:rPr>
        <w:footnoteRef/>
      </w:r>
      <w:r w:rsidRPr="00DF631B">
        <w:rPr>
          <w:rFonts w:ascii="Arial" w:hAnsi="Arial" w:cs="Arial"/>
          <w:sz w:val="18"/>
          <w:szCs w:val="18"/>
          <w:lang w:val="en-US"/>
        </w:rPr>
        <w:t xml:space="preserve"> </w:t>
      </w:r>
      <w:proofErr w:type="spellStart"/>
      <w:r w:rsidRPr="00DF631B">
        <w:rPr>
          <w:rFonts w:ascii="Arial" w:hAnsi="Arial" w:cs="Arial"/>
          <w:sz w:val="18"/>
          <w:szCs w:val="18"/>
          <w:lang w:val="en-US"/>
        </w:rPr>
        <w:t>CSJ</w:t>
      </w:r>
      <w:proofErr w:type="spellEnd"/>
      <w:r w:rsidRPr="00DF631B">
        <w:rPr>
          <w:rFonts w:ascii="Arial" w:hAnsi="Arial" w:cs="Arial"/>
          <w:sz w:val="18"/>
          <w:szCs w:val="18"/>
          <w:lang w:val="en-US"/>
        </w:rPr>
        <w:t>, Civil. SC-4574-2015.</w:t>
      </w:r>
    </w:p>
  </w:footnote>
  <w:footnote w:id="11">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lang w:val="en-US"/>
        </w:rPr>
        <w:t xml:space="preserve"> </w:t>
      </w:r>
      <w:proofErr w:type="spellStart"/>
      <w:r w:rsidRPr="00DF631B">
        <w:rPr>
          <w:rFonts w:ascii="Arial" w:hAnsi="Arial" w:cs="Arial"/>
          <w:sz w:val="18"/>
          <w:szCs w:val="18"/>
          <w:lang w:val="en-US"/>
        </w:rPr>
        <w:t>CSJ</w:t>
      </w:r>
      <w:proofErr w:type="spellEnd"/>
      <w:r w:rsidRPr="00DF631B">
        <w:rPr>
          <w:rFonts w:ascii="Arial" w:hAnsi="Arial" w:cs="Arial"/>
          <w:sz w:val="18"/>
          <w:szCs w:val="18"/>
          <w:lang w:val="en-US"/>
        </w:rPr>
        <w:t xml:space="preserve">, Civil. </w:t>
      </w:r>
      <w:r w:rsidRPr="00DF631B">
        <w:rPr>
          <w:rFonts w:ascii="Arial" w:hAnsi="Arial" w:cs="Arial"/>
          <w:sz w:val="18"/>
          <w:szCs w:val="18"/>
        </w:rPr>
        <w:t>SC-2642-2015, donde se cita sentencia del 14-03-2002, No.6139.</w:t>
      </w:r>
    </w:p>
  </w:footnote>
  <w:footnote w:id="12">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CSJ, Civil. SC-1182 de 2016.</w:t>
      </w:r>
    </w:p>
  </w:footnote>
  <w:footnote w:id="13">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ROCCO, </w:t>
      </w:r>
      <w:proofErr w:type="spellStart"/>
      <w:r w:rsidRPr="00DF631B">
        <w:rPr>
          <w:rFonts w:ascii="Arial" w:hAnsi="Arial" w:cs="Arial"/>
          <w:sz w:val="18"/>
          <w:szCs w:val="18"/>
        </w:rPr>
        <w:t>Ugo</w:t>
      </w:r>
      <w:proofErr w:type="spellEnd"/>
      <w:r w:rsidRPr="00DF631B">
        <w:rPr>
          <w:rFonts w:ascii="Arial" w:hAnsi="Arial" w:cs="Arial"/>
          <w:sz w:val="18"/>
          <w:szCs w:val="18"/>
        </w:rPr>
        <w:t xml:space="preserve">. Tratado de Derecho Procesal Civil, citado en </w:t>
      </w:r>
      <w:proofErr w:type="spellStart"/>
      <w:r w:rsidRPr="00DF631B">
        <w:rPr>
          <w:rFonts w:ascii="Arial" w:hAnsi="Arial" w:cs="Arial"/>
          <w:sz w:val="18"/>
          <w:szCs w:val="18"/>
        </w:rPr>
        <w:t>DEVIS</w:t>
      </w:r>
      <w:proofErr w:type="spellEnd"/>
      <w:r w:rsidRPr="00DF631B">
        <w:rPr>
          <w:rFonts w:ascii="Arial" w:hAnsi="Arial" w:cs="Arial"/>
          <w:sz w:val="18"/>
          <w:szCs w:val="18"/>
        </w:rPr>
        <w:t xml:space="preserve"> </w:t>
      </w:r>
      <w:proofErr w:type="spellStart"/>
      <w:r w:rsidRPr="00DF631B">
        <w:rPr>
          <w:rFonts w:ascii="Arial" w:hAnsi="Arial" w:cs="Arial"/>
          <w:sz w:val="18"/>
          <w:szCs w:val="18"/>
        </w:rPr>
        <w:t>ECHANDÍA</w:t>
      </w:r>
      <w:proofErr w:type="spellEnd"/>
      <w:r w:rsidRPr="00DF631B">
        <w:rPr>
          <w:rFonts w:ascii="Arial" w:hAnsi="Arial" w:cs="Arial"/>
          <w:sz w:val="18"/>
          <w:szCs w:val="18"/>
        </w:rPr>
        <w:t xml:space="preserve">, </w:t>
      </w:r>
      <w:proofErr w:type="spellStart"/>
      <w:r w:rsidRPr="00DF631B">
        <w:rPr>
          <w:rFonts w:ascii="Arial" w:hAnsi="Arial" w:cs="Arial"/>
          <w:sz w:val="18"/>
          <w:szCs w:val="18"/>
        </w:rPr>
        <w:t>op</w:t>
      </w:r>
      <w:proofErr w:type="spellEnd"/>
      <w:r w:rsidRPr="00DF631B">
        <w:rPr>
          <w:rFonts w:ascii="Arial" w:hAnsi="Arial" w:cs="Arial"/>
          <w:sz w:val="18"/>
          <w:szCs w:val="18"/>
        </w:rPr>
        <w:t>. cit.</w:t>
      </w:r>
      <w:r w:rsidRPr="00DF631B">
        <w:rPr>
          <w:rFonts w:ascii="Arial" w:hAnsi="Arial" w:cs="Arial"/>
          <w:sz w:val="18"/>
          <w:szCs w:val="18"/>
          <w:lang w:val="es-CO"/>
        </w:rPr>
        <w:t>, p. 519.</w:t>
      </w:r>
    </w:p>
  </w:footnote>
  <w:footnote w:id="14">
    <w:p w:rsidR="00DA6C81" w:rsidRPr="00DF631B" w:rsidRDefault="00DA6C81" w:rsidP="00DA6C81">
      <w:pPr>
        <w:pStyle w:val="Textonotapie"/>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r w:rsidRPr="00DF631B">
        <w:rPr>
          <w:rFonts w:ascii="Arial" w:hAnsi="Arial" w:cs="Arial"/>
          <w:sz w:val="18"/>
          <w:szCs w:val="18"/>
          <w:lang w:val="es-CO"/>
        </w:rPr>
        <w:t xml:space="preserve">CSJ. SC4574-2015. </w:t>
      </w:r>
    </w:p>
  </w:footnote>
  <w:footnote w:id="15">
    <w:p w:rsidR="00DA6C81" w:rsidRPr="00DF631B" w:rsidRDefault="00DA6C81" w:rsidP="00DA6C81">
      <w:pPr>
        <w:pStyle w:val="Textonotapie"/>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proofErr w:type="spellStart"/>
      <w:r w:rsidRPr="00DF631B">
        <w:rPr>
          <w:rFonts w:ascii="Arial" w:hAnsi="Arial" w:cs="Arial"/>
          <w:sz w:val="18"/>
          <w:szCs w:val="18"/>
        </w:rPr>
        <w:t>TS</w:t>
      </w:r>
      <w:proofErr w:type="spellEnd"/>
      <w:r w:rsidRPr="00DF631B">
        <w:rPr>
          <w:rFonts w:ascii="Arial" w:hAnsi="Arial" w:cs="Arial"/>
          <w:sz w:val="18"/>
          <w:szCs w:val="18"/>
        </w:rPr>
        <w:t xml:space="preserve">, Pereira, Sala Civil-Familia. </w:t>
      </w:r>
      <w:r w:rsidRPr="00DF631B">
        <w:rPr>
          <w:rFonts w:ascii="Arial" w:hAnsi="Arial" w:cs="Arial"/>
          <w:sz w:val="18"/>
          <w:szCs w:val="18"/>
          <w:lang w:val="es-CO"/>
        </w:rPr>
        <w:t>Sentencia del</w:t>
      </w:r>
      <w:r w:rsidRPr="00DF631B">
        <w:rPr>
          <w:rFonts w:ascii="Arial" w:hAnsi="Arial" w:cs="Arial"/>
          <w:sz w:val="18"/>
          <w:szCs w:val="18"/>
        </w:rPr>
        <w:t xml:space="preserve"> 17-02-2017; </w:t>
      </w:r>
      <w:proofErr w:type="spellStart"/>
      <w:r w:rsidRPr="00DF631B">
        <w:rPr>
          <w:rFonts w:ascii="Arial" w:hAnsi="Arial" w:cs="Arial"/>
          <w:sz w:val="18"/>
          <w:szCs w:val="18"/>
        </w:rPr>
        <w:t>MP</w:t>
      </w:r>
      <w:proofErr w:type="spellEnd"/>
      <w:r w:rsidRPr="00DF631B">
        <w:rPr>
          <w:rFonts w:ascii="Arial" w:hAnsi="Arial" w:cs="Arial"/>
          <w:sz w:val="18"/>
          <w:szCs w:val="18"/>
        </w:rPr>
        <w:t>: Arcila R., No.2015-0004-01.</w:t>
      </w:r>
    </w:p>
  </w:footnote>
  <w:footnote w:id="16">
    <w:p w:rsidR="00DA6C81" w:rsidRPr="00DF631B" w:rsidRDefault="00DA6C81" w:rsidP="00DA6C81">
      <w:pPr>
        <w:pStyle w:val="Textonotapie"/>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proofErr w:type="spellStart"/>
      <w:r w:rsidRPr="00DF631B">
        <w:rPr>
          <w:rFonts w:ascii="Arial" w:hAnsi="Arial" w:cs="Arial"/>
          <w:sz w:val="18"/>
          <w:szCs w:val="18"/>
        </w:rPr>
        <w:t>TS</w:t>
      </w:r>
      <w:proofErr w:type="spellEnd"/>
      <w:r w:rsidRPr="00DF631B">
        <w:rPr>
          <w:rFonts w:ascii="Arial" w:hAnsi="Arial" w:cs="Arial"/>
          <w:sz w:val="18"/>
          <w:szCs w:val="18"/>
        </w:rPr>
        <w:t xml:space="preserve">, Pereira, Sala Civil-Familia. </w:t>
      </w:r>
      <w:r w:rsidRPr="00DF631B">
        <w:rPr>
          <w:rFonts w:ascii="Arial" w:hAnsi="Arial" w:cs="Arial"/>
          <w:sz w:val="18"/>
          <w:szCs w:val="18"/>
          <w:lang w:val="es-CO"/>
        </w:rPr>
        <w:t>Sentencia del</w:t>
      </w:r>
      <w:r w:rsidRPr="00DF631B">
        <w:rPr>
          <w:rFonts w:ascii="Arial" w:hAnsi="Arial" w:cs="Arial"/>
          <w:sz w:val="18"/>
          <w:szCs w:val="18"/>
        </w:rPr>
        <w:t xml:space="preserve"> 31-08-2011; </w:t>
      </w:r>
      <w:proofErr w:type="spellStart"/>
      <w:r w:rsidRPr="00DF631B">
        <w:rPr>
          <w:rFonts w:ascii="Arial" w:hAnsi="Arial" w:cs="Arial"/>
          <w:sz w:val="18"/>
          <w:szCs w:val="18"/>
        </w:rPr>
        <w:t>MP</w:t>
      </w:r>
      <w:proofErr w:type="spellEnd"/>
      <w:r w:rsidRPr="00DF631B">
        <w:rPr>
          <w:rFonts w:ascii="Arial" w:hAnsi="Arial" w:cs="Arial"/>
          <w:sz w:val="18"/>
          <w:szCs w:val="18"/>
        </w:rPr>
        <w:t>: Flórez M., No.2008-0042-01.</w:t>
      </w:r>
    </w:p>
  </w:footnote>
  <w:footnote w:id="17">
    <w:p w:rsidR="00DA6C81" w:rsidRPr="00DF631B" w:rsidRDefault="00DA6C81" w:rsidP="00DA6C81">
      <w:pPr>
        <w:pStyle w:val="Textonotapie"/>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proofErr w:type="spellStart"/>
      <w:r w:rsidRPr="00DF631B">
        <w:rPr>
          <w:rFonts w:ascii="Arial" w:hAnsi="Arial" w:cs="Arial"/>
          <w:sz w:val="18"/>
          <w:szCs w:val="18"/>
        </w:rPr>
        <w:t>TS</w:t>
      </w:r>
      <w:proofErr w:type="spellEnd"/>
      <w:r w:rsidRPr="00DF631B">
        <w:rPr>
          <w:rFonts w:ascii="Arial" w:hAnsi="Arial" w:cs="Arial"/>
          <w:sz w:val="18"/>
          <w:szCs w:val="18"/>
        </w:rPr>
        <w:t xml:space="preserve">, Pereira, Sala Civil-Familia. </w:t>
      </w:r>
      <w:r w:rsidRPr="00DF631B">
        <w:rPr>
          <w:rFonts w:ascii="Arial" w:hAnsi="Arial" w:cs="Arial"/>
          <w:sz w:val="18"/>
          <w:szCs w:val="18"/>
          <w:lang w:val="es-CO"/>
        </w:rPr>
        <w:t>Sentencias del</w:t>
      </w:r>
      <w:r w:rsidRPr="00DF631B">
        <w:rPr>
          <w:rFonts w:ascii="Arial" w:hAnsi="Arial" w:cs="Arial"/>
          <w:sz w:val="18"/>
          <w:szCs w:val="18"/>
        </w:rPr>
        <w:t xml:space="preserve"> (i) 21-07-2010; </w:t>
      </w:r>
      <w:proofErr w:type="spellStart"/>
      <w:r w:rsidRPr="00DF631B">
        <w:rPr>
          <w:rFonts w:ascii="Arial" w:hAnsi="Arial" w:cs="Arial"/>
          <w:sz w:val="18"/>
          <w:szCs w:val="18"/>
        </w:rPr>
        <w:t>MP</w:t>
      </w:r>
      <w:proofErr w:type="spellEnd"/>
      <w:r w:rsidRPr="00DF631B">
        <w:rPr>
          <w:rFonts w:ascii="Arial" w:hAnsi="Arial" w:cs="Arial"/>
          <w:sz w:val="18"/>
          <w:szCs w:val="18"/>
        </w:rPr>
        <w:t xml:space="preserve">: Saraza N., No.2006-00013-01 y (ii) 09-12-2011; </w:t>
      </w:r>
      <w:proofErr w:type="spellStart"/>
      <w:r w:rsidRPr="00DF631B">
        <w:rPr>
          <w:rFonts w:ascii="Arial" w:hAnsi="Arial" w:cs="Arial"/>
          <w:sz w:val="18"/>
          <w:szCs w:val="18"/>
        </w:rPr>
        <w:t>MP</w:t>
      </w:r>
      <w:proofErr w:type="spellEnd"/>
      <w:r w:rsidRPr="00DF631B">
        <w:rPr>
          <w:rFonts w:ascii="Arial" w:hAnsi="Arial" w:cs="Arial"/>
          <w:sz w:val="18"/>
          <w:szCs w:val="18"/>
        </w:rPr>
        <w:t>: Saraza N., No.2007-00223-01.</w:t>
      </w:r>
    </w:p>
  </w:footnote>
  <w:footnote w:id="18">
    <w:p w:rsidR="00DA6C81" w:rsidRPr="00DF631B" w:rsidRDefault="00DA6C81" w:rsidP="00DA6C81">
      <w:pPr>
        <w:pStyle w:val="Textonotapie"/>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proofErr w:type="spellStart"/>
      <w:r w:rsidRPr="00DF631B">
        <w:rPr>
          <w:rFonts w:ascii="Arial" w:hAnsi="Arial" w:cs="Arial"/>
          <w:sz w:val="18"/>
          <w:szCs w:val="18"/>
        </w:rPr>
        <w:t>TS</w:t>
      </w:r>
      <w:proofErr w:type="spellEnd"/>
      <w:r w:rsidRPr="00DF631B">
        <w:rPr>
          <w:rFonts w:ascii="Arial" w:hAnsi="Arial" w:cs="Arial"/>
          <w:sz w:val="18"/>
          <w:szCs w:val="18"/>
        </w:rPr>
        <w:t xml:space="preserve">, Pereira, Sala Civil-Familia-Laboral. </w:t>
      </w:r>
      <w:r w:rsidRPr="00DF631B">
        <w:rPr>
          <w:rFonts w:ascii="Arial" w:hAnsi="Arial" w:cs="Arial"/>
          <w:sz w:val="18"/>
          <w:szCs w:val="18"/>
          <w:lang w:val="es-CO"/>
        </w:rPr>
        <w:t>Sentencia del</w:t>
      </w:r>
      <w:r w:rsidRPr="00DF631B">
        <w:rPr>
          <w:rFonts w:ascii="Arial" w:hAnsi="Arial" w:cs="Arial"/>
          <w:sz w:val="18"/>
          <w:szCs w:val="18"/>
        </w:rPr>
        <w:t xml:space="preserve"> 17-01-1990; </w:t>
      </w:r>
      <w:proofErr w:type="spellStart"/>
      <w:r w:rsidRPr="00DF631B">
        <w:rPr>
          <w:rFonts w:ascii="Arial" w:hAnsi="Arial" w:cs="Arial"/>
          <w:sz w:val="18"/>
          <w:szCs w:val="18"/>
        </w:rPr>
        <w:t>MP</w:t>
      </w:r>
      <w:proofErr w:type="spellEnd"/>
      <w:r w:rsidRPr="00DF631B">
        <w:rPr>
          <w:rFonts w:ascii="Arial" w:hAnsi="Arial" w:cs="Arial"/>
          <w:sz w:val="18"/>
          <w:szCs w:val="18"/>
        </w:rPr>
        <w:t xml:space="preserve">: </w:t>
      </w:r>
      <w:proofErr w:type="spellStart"/>
      <w:r w:rsidRPr="00DF631B">
        <w:rPr>
          <w:rFonts w:ascii="Arial" w:hAnsi="Arial" w:cs="Arial"/>
          <w:sz w:val="18"/>
          <w:szCs w:val="18"/>
        </w:rPr>
        <w:t>Aristizábal</w:t>
      </w:r>
      <w:proofErr w:type="spellEnd"/>
      <w:r w:rsidRPr="00DF631B">
        <w:rPr>
          <w:rFonts w:ascii="Arial" w:hAnsi="Arial" w:cs="Arial"/>
          <w:sz w:val="18"/>
          <w:szCs w:val="18"/>
        </w:rPr>
        <w:t xml:space="preserve"> A., sin No.</w:t>
      </w:r>
    </w:p>
  </w:footnote>
  <w:footnote w:id="19">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MORALES M.</w:t>
      </w:r>
      <w:r w:rsidRPr="00DF631B">
        <w:rPr>
          <w:rFonts w:ascii="Arial" w:hAnsi="Arial" w:cs="Arial"/>
          <w:sz w:val="18"/>
          <w:szCs w:val="18"/>
          <w:lang w:val="es-CO"/>
        </w:rPr>
        <w:t>, Hernando. Curso de derecho procesal civil, parte general, 11ª edición, Bogotá DC, editorial ABC, 2015, p.159.</w:t>
      </w:r>
    </w:p>
  </w:footnote>
  <w:footnote w:id="20">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proofErr w:type="spellStart"/>
      <w:r w:rsidRPr="00DF631B">
        <w:rPr>
          <w:rFonts w:ascii="Arial" w:hAnsi="Arial" w:cs="Arial"/>
          <w:sz w:val="18"/>
          <w:szCs w:val="18"/>
          <w:lang w:val="es-CO"/>
        </w:rPr>
        <w:t>DEVIS</w:t>
      </w:r>
      <w:proofErr w:type="spellEnd"/>
      <w:r w:rsidRPr="00DF631B">
        <w:rPr>
          <w:rFonts w:ascii="Arial" w:hAnsi="Arial" w:cs="Arial"/>
          <w:sz w:val="18"/>
          <w:szCs w:val="18"/>
          <w:lang w:val="es-CO"/>
        </w:rPr>
        <w:t xml:space="preserve"> E., Hernando. Ob. cit., p.272.</w:t>
      </w:r>
    </w:p>
  </w:footnote>
  <w:footnote w:id="21">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r w:rsidRPr="00DF631B">
        <w:rPr>
          <w:rFonts w:ascii="Arial" w:hAnsi="Arial" w:cs="Arial"/>
          <w:sz w:val="18"/>
          <w:szCs w:val="18"/>
          <w:lang w:val="es-CO"/>
        </w:rPr>
        <w:t>RAMÍREZ A., Carlos. Ob. Cit. p.219.</w:t>
      </w:r>
    </w:p>
  </w:footnote>
  <w:footnote w:id="22">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HERNÁNDEZ V.</w:t>
      </w:r>
      <w:r w:rsidRPr="00DF631B">
        <w:rPr>
          <w:rFonts w:ascii="Arial" w:hAnsi="Arial" w:cs="Arial"/>
          <w:sz w:val="18"/>
          <w:szCs w:val="18"/>
          <w:lang w:val="es-CO"/>
        </w:rPr>
        <w:t xml:space="preserve">, Gabriel. Legitimación en causa y medios de prueba en los procesos de simulación, memorias del XXXVIII Congreso de derecho Procesal, 2017, </w:t>
      </w:r>
      <w:proofErr w:type="spellStart"/>
      <w:r w:rsidRPr="00DF631B">
        <w:rPr>
          <w:rFonts w:ascii="Arial" w:hAnsi="Arial" w:cs="Arial"/>
          <w:sz w:val="18"/>
          <w:szCs w:val="18"/>
          <w:lang w:val="es-CO"/>
        </w:rPr>
        <w:t>ICDP</w:t>
      </w:r>
      <w:proofErr w:type="spellEnd"/>
      <w:r w:rsidRPr="00DF631B">
        <w:rPr>
          <w:rFonts w:ascii="Arial" w:hAnsi="Arial" w:cs="Arial"/>
          <w:sz w:val="18"/>
          <w:szCs w:val="18"/>
          <w:lang w:val="es-CO"/>
        </w:rPr>
        <w:t>, p.778.</w:t>
      </w:r>
    </w:p>
  </w:footnote>
  <w:footnote w:id="23">
    <w:p w:rsidR="00DA6C81" w:rsidRPr="00DF631B" w:rsidRDefault="00DA6C81" w:rsidP="00DA6C81">
      <w:pPr>
        <w:pStyle w:val="Textonotapie"/>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r w:rsidRPr="00DF631B">
        <w:rPr>
          <w:rFonts w:ascii="Arial" w:hAnsi="Arial" w:cs="Arial"/>
          <w:sz w:val="18"/>
          <w:szCs w:val="18"/>
          <w:lang w:val="es-CO"/>
        </w:rPr>
        <w:t>RAMÍREZ A., Carlos. Ob. Cit. p.219.</w:t>
      </w:r>
    </w:p>
  </w:footnote>
  <w:footnote w:id="24">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r w:rsidRPr="00DF631B">
        <w:rPr>
          <w:rFonts w:ascii="Arial" w:hAnsi="Arial" w:cs="Arial"/>
          <w:sz w:val="18"/>
          <w:szCs w:val="18"/>
          <w:lang w:val="es-CO"/>
        </w:rPr>
        <w:t xml:space="preserve">ROJAS GÓMEZ, Miguel Enrique. Lecciones de derecho procesal, tomo 4, procesos de conocimiento, Escuela de Actualización Jurídica </w:t>
      </w:r>
      <w:proofErr w:type="spellStart"/>
      <w:r w:rsidRPr="00DF631B">
        <w:rPr>
          <w:rFonts w:ascii="Arial" w:hAnsi="Arial" w:cs="Arial"/>
          <w:sz w:val="18"/>
          <w:szCs w:val="18"/>
          <w:lang w:val="es-CO"/>
        </w:rPr>
        <w:t>ESAJU</w:t>
      </w:r>
      <w:proofErr w:type="spellEnd"/>
      <w:r w:rsidRPr="00DF631B">
        <w:rPr>
          <w:rFonts w:ascii="Arial" w:hAnsi="Arial" w:cs="Arial"/>
          <w:sz w:val="18"/>
          <w:szCs w:val="18"/>
          <w:lang w:val="es-CO"/>
        </w:rPr>
        <w:t>, 2016, Bogotá DC, p.278.</w:t>
      </w:r>
    </w:p>
  </w:footnote>
  <w:footnote w:id="25">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CSJ, Civil. SC8225-2016 y SC11997-2016, entre otras.</w:t>
      </w:r>
    </w:p>
  </w:footnote>
  <w:footnote w:id="26">
    <w:p w:rsidR="00DA6C81" w:rsidRPr="00DF631B" w:rsidRDefault="00DA6C81" w:rsidP="00DA6C81">
      <w:pPr>
        <w:pStyle w:val="Textonotapie"/>
        <w:jc w:val="both"/>
        <w:rPr>
          <w:rFonts w:ascii="Arial" w:hAnsi="Arial" w:cs="Arial"/>
          <w:sz w:val="18"/>
          <w:szCs w:val="18"/>
        </w:rPr>
      </w:pPr>
      <w:r w:rsidRPr="00DF631B">
        <w:rPr>
          <w:rStyle w:val="Refdenotaalpie"/>
          <w:rFonts w:ascii="Arial" w:hAnsi="Arial" w:cs="Arial"/>
          <w:sz w:val="18"/>
          <w:szCs w:val="18"/>
        </w:rPr>
        <w:footnoteRef/>
      </w:r>
      <w:r w:rsidRPr="00DF631B">
        <w:rPr>
          <w:rFonts w:ascii="Arial" w:hAnsi="Arial" w:cs="Arial"/>
          <w:sz w:val="18"/>
          <w:szCs w:val="18"/>
        </w:rPr>
        <w:t xml:space="preserve"> </w:t>
      </w:r>
      <w:proofErr w:type="spellStart"/>
      <w:r w:rsidRPr="00DF631B">
        <w:rPr>
          <w:rFonts w:ascii="Arial" w:hAnsi="Arial" w:cs="Arial"/>
          <w:sz w:val="18"/>
          <w:szCs w:val="18"/>
        </w:rPr>
        <w:t>TSP</w:t>
      </w:r>
      <w:proofErr w:type="spellEnd"/>
      <w:r w:rsidRPr="00DF631B">
        <w:rPr>
          <w:rFonts w:ascii="Arial" w:hAnsi="Arial" w:cs="Arial"/>
          <w:sz w:val="18"/>
          <w:szCs w:val="18"/>
        </w:rPr>
        <w:t xml:space="preserve">, Civil-Familia. </w:t>
      </w:r>
      <w:r w:rsidRPr="00DF631B">
        <w:rPr>
          <w:rFonts w:ascii="Arial" w:hAnsi="Arial" w:cs="Arial"/>
          <w:sz w:val="18"/>
          <w:szCs w:val="18"/>
          <w:lang w:val="es-CO"/>
        </w:rPr>
        <w:t>Sentencias del: (i) 07-04</w:t>
      </w:r>
      <w:r w:rsidRPr="00DF631B">
        <w:rPr>
          <w:rFonts w:ascii="Arial" w:hAnsi="Arial" w:cs="Arial"/>
          <w:sz w:val="18"/>
          <w:szCs w:val="18"/>
        </w:rPr>
        <w:t xml:space="preserve">-2017; No.2012-00015-01; y, </w:t>
      </w:r>
      <w:r w:rsidRPr="00DF631B">
        <w:rPr>
          <w:rFonts w:ascii="Arial" w:hAnsi="Arial" w:cs="Arial"/>
          <w:bCs/>
          <w:sz w:val="18"/>
          <w:szCs w:val="18"/>
          <w:lang w:val="es-CO"/>
        </w:rPr>
        <w:t>(ii) 14</w:t>
      </w:r>
      <w:r w:rsidRPr="00DF631B">
        <w:rPr>
          <w:rFonts w:ascii="Arial" w:hAnsi="Arial" w:cs="Arial"/>
          <w:sz w:val="18"/>
          <w:szCs w:val="18"/>
          <w:lang w:val="es-CO"/>
        </w:rPr>
        <w:t>-08-2017, No.</w:t>
      </w:r>
      <w:r w:rsidRPr="00DF631B">
        <w:rPr>
          <w:rFonts w:ascii="Arial" w:hAnsi="Arial" w:cs="Arial"/>
          <w:sz w:val="18"/>
          <w:szCs w:val="18"/>
        </w:rPr>
        <w:t xml:space="preserve">2012-00093-02, </w:t>
      </w:r>
      <w:proofErr w:type="spellStart"/>
      <w:r w:rsidRPr="00DF631B">
        <w:rPr>
          <w:rFonts w:ascii="Arial" w:hAnsi="Arial" w:cs="Arial"/>
          <w:sz w:val="18"/>
          <w:szCs w:val="18"/>
        </w:rPr>
        <w:t>MP</w:t>
      </w:r>
      <w:proofErr w:type="spellEnd"/>
      <w:r w:rsidRPr="00DF631B">
        <w:rPr>
          <w:rFonts w:ascii="Arial" w:hAnsi="Arial" w:cs="Arial"/>
          <w:sz w:val="18"/>
          <w:szCs w:val="18"/>
        </w:rPr>
        <w:t>: Grisales H.</w:t>
      </w:r>
    </w:p>
  </w:footnote>
  <w:footnote w:id="27">
    <w:p w:rsidR="00DA6C81" w:rsidRDefault="00DA6C81" w:rsidP="00DA6C81">
      <w:pPr>
        <w:pStyle w:val="Textonotapie"/>
        <w:jc w:val="both"/>
      </w:pPr>
      <w:r w:rsidRPr="00DF631B">
        <w:rPr>
          <w:rStyle w:val="Refdenotaalpie"/>
          <w:rFonts w:ascii="Arial" w:hAnsi="Arial" w:cs="Arial"/>
          <w:sz w:val="18"/>
          <w:szCs w:val="18"/>
        </w:rPr>
        <w:footnoteRef/>
      </w:r>
      <w:r w:rsidRPr="00DF631B">
        <w:rPr>
          <w:rFonts w:ascii="Arial" w:hAnsi="Arial" w:cs="Arial"/>
          <w:sz w:val="18"/>
          <w:szCs w:val="18"/>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C239F7"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7C43D1"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DF631B" w:rsidRDefault="00C239F7" w:rsidP="007825CB">
    <w:pPr>
      <w:pStyle w:val="Encabezado"/>
      <w:pBdr>
        <w:bottom w:val="single" w:sz="4" w:space="1" w:color="D9D9D9"/>
      </w:pBdr>
      <w:jc w:val="right"/>
      <w:rPr>
        <w:rFonts w:ascii="Century" w:hAnsi="Century"/>
        <w:b/>
        <w:bCs/>
        <w:i/>
        <w:sz w:val="22"/>
      </w:rPr>
    </w:pPr>
    <w:r w:rsidRPr="00DF631B">
      <w:rPr>
        <w:rFonts w:ascii="Century" w:hAnsi="Century"/>
        <w:i/>
        <w:color w:val="7F7F7F"/>
        <w:spacing w:val="60"/>
        <w:sz w:val="22"/>
      </w:rPr>
      <w:t>Página</w:t>
    </w:r>
    <w:r w:rsidRPr="00DF631B">
      <w:rPr>
        <w:rFonts w:ascii="Century" w:hAnsi="Century"/>
        <w:i/>
        <w:sz w:val="22"/>
      </w:rPr>
      <w:t xml:space="preserve"> | </w:t>
    </w:r>
    <w:r w:rsidRPr="00DF631B">
      <w:rPr>
        <w:rFonts w:ascii="Century" w:hAnsi="Century"/>
        <w:i/>
        <w:sz w:val="22"/>
      </w:rPr>
      <w:fldChar w:fldCharType="begin"/>
    </w:r>
    <w:r w:rsidRPr="00DF631B">
      <w:rPr>
        <w:rFonts w:ascii="Century" w:hAnsi="Century"/>
        <w:i/>
        <w:sz w:val="22"/>
      </w:rPr>
      <w:instrText>PAGE   \* MERGEFORMAT</w:instrText>
    </w:r>
    <w:r w:rsidRPr="00DF631B">
      <w:rPr>
        <w:rFonts w:ascii="Century" w:hAnsi="Century"/>
        <w:i/>
        <w:sz w:val="22"/>
      </w:rPr>
      <w:fldChar w:fldCharType="separate"/>
    </w:r>
    <w:r w:rsidR="00C5034C" w:rsidRPr="00C5034C">
      <w:rPr>
        <w:rFonts w:ascii="Century" w:hAnsi="Century"/>
        <w:b/>
        <w:bCs/>
        <w:i/>
        <w:noProof/>
        <w:sz w:val="22"/>
      </w:rPr>
      <w:t>10</w:t>
    </w:r>
    <w:r w:rsidRPr="00DF631B">
      <w:rPr>
        <w:rFonts w:ascii="Century" w:hAnsi="Century"/>
        <w:i/>
        <w:sz w:val="22"/>
      </w:rPr>
      <w:fldChar w:fldCharType="end"/>
    </w:r>
  </w:p>
  <w:p w:rsidR="004467FB" w:rsidRPr="00DF631B" w:rsidRDefault="00C239F7" w:rsidP="007825CB">
    <w:pPr>
      <w:pStyle w:val="Encabezado"/>
      <w:rPr>
        <w:rFonts w:ascii="Century" w:eastAsia="DotumChe" w:hAnsi="Century"/>
        <w:i/>
      </w:rPr>
    </w:pPr>
    <w:r w:rsidRPr="00DF631B">
      <w:rPr>
        <w:rFonts w:ascii="Century" w:eastAsia="DotumChe" w:hAnsi="Century"/>
        <w:i/>
        <w:sz w:val="24"/>
      </w:rPr>
      <w:t>E</w:t>
    </w:r>
    <w:r w:rsidRPr="00DF631B">
      <w:rPr>
        <w:rFonts w:ascii="Century" w:eastAsia="DotumChe" w:hAnsi="Century"/>
        <w:i/>
      </w:rPr>
      <w:t>XPEDIENTE No.2013-00275-01</w:t>
    </w:r>
  </w:p>
  <w:p w:rsidR="002948BF" w:rsidRPr="00600245" w:rsidRDefault="007C43D1"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B42"/>
    <w:multiLevelType w:val="multilevel"/>
    <w:tmpl w:val="2258D6E0"/>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295C66A3"/>
    <w:multiLevelType w:val="multilevel"/>
    <w:tmpl w:val="A6F2244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
    <w:nsid w:val="6199068C"/>
    <w:multiLevelType w:val="singleLevel"/>
    <w:tmpl w:val="0C0A000F"/>
    <w:lvl w:ilvl="0">
      <w:start w:val="1"/>
      <w:numFmt w:val="decimal"/>
      <w:lvlText w:val="%1."/>
      <w:lvlJc w:val="left"/>
      <w:pPr>
        <w:ind w:left="72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6"/>
    <w:rsid w:val="0002257D"/>
    <w:rsid w:val="00083062"/>
    <w:rsid w:val="003B18AD"/>
    <w:rsid w:val="004F07A6"/>
    <w:rsid w:val="00687378"/>
    <w:rsid w:val="007C43D1"/>
    <w:rsid w:val="00A305D2"/>
    <w:rsid w:val="00A52332"/>
    <w:rsid w:val="00AE23D3"/>
    <w:rsid w:val="00B33FF6"/>
    <w:rsid w:val="00C239F7"/>
    <w:rsid w:val="00C5034C"/>
    <w:rsid w:val="00DA6C81"/>
    <w:rsid w:val="00DF631B"/>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B5872-3FE5-45E1-B0B9-A533A0F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A6"/>
    <w:pPr>
      <w:overflowPunct w:val="0"/>
      <w:autoSpaceDE w:val="0"/>
      <w:autoSpaceDN w:val="0"/>
      <w:adjustRightInd w:val="0"/>
      <w:textAlignment w:val="baseline"/>
    </w:pPr>
    <w:rPr>
      <w:rFonts w:ascii="Times New Roman" w:eastAsia="Times New Roman" w:hAnsi="Times New Roman"/>
      <w:sz w:val="24"/>
    </w:rPr>
  </w:style>
  <w:style w:type="paragraph" w:styleId="Ttulo2">
    <w:name w:val="heading 2"/>
    <w:basedOn w:val="Normal"/>
    <w:next w:val="Normal"/>
    <w:link w:val="Ttulo2Car"/>
    <w:uiPriority w:val="9"/>
    <w:qFormat/>
    <w:rsid w:val="00DA6C81"/>
    <w:pPr>
      <w:keepNext/>
      <w:overflowPunct/>
      <w:autoSpaceDE/>
      <w:autoSpaceDN/>
      <w:adjustRightInd/>
      <w:spacing w:line="360" w:lineRule="auto"/>
      <w:jc w:val="center"/>
      <w:textAlignment w:val="auto"/>
      <w:outlineLvl w:val="1"/>
    </w:pPr>
    <w:rPr>
      <w:rFonts w:ascii="Bookman Old Style" w:hAnsi="Bookman Old Style" w:cs="Arial"/>
      <w:b/>
      <w:bCs/>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F07A6"/>
    <w:rPr>
      <w:rFonts w:ascii="Verdana" w:eastAsia="Times New Roman" w:hAnsi="Verdana"/>
      <w:sz w:val="28"/>
      <w:szCs w:val="22"/>
      <w:lang w:eastAsia="en-US"/>
    </w:rPr>
  </w:style>
  <w:style w:type="character" w:customStyle="1" w:styleId="SinespaciadoCar">
    <w:name w:val="Sin espaciado Car"/>
    <w:link w:val="Sinespaciado"/>
    <w:uiPriority w:val="1"/>
    <w:locked/>
    <w:rsid w:val="004F07A6"/>
    <w:rPr>
      <w:rFonts w:ascii="Verdana" w:eastAsia="Times New Roman" w:hAnsi="Verdana" w:cs="Times New Roman"/>
      <w:sz w:val="28"/>
    </w:rPr>
  </w:style>
  <w:style w:type="character" w:customStyle="1" w:styleId="Ttulo2Car">
    <w:name w:val="Título 2 Car"/>
    <w:basedOn w:val="Fuentedeprrafopredeter"/>
    <w:link w:val="Ttulo2"/>
    <w:uiPriority w:val="9"/>
    <w:rsid w:val="00DA6C81"/>
    <w:rPr>
      <w:rFonts w:ascii="Bookman Old Style" w:eastAsia="Times New Roman" w:hAnsi="Bookman Old Style" w:cs="Arial"/>
      <w:b/>
      <w:bCs/>
      <w:sz w:val="28"/>
      <w:szCs w:val="24"/>
    </w:rPr>
  </w:style>
  <w:style w:type="paragraph" w:styleId="Textoindependiente">
    <w:name w:val="Body Text"/>
    <w:basedOn w:val="Normal"/>
    <w:link w:val="TextoindependienteCar"/>
    <w:uiPriority w:val="99"/>
    <w:rsid w:val="00DA6C81"/>
    <w:pPr>
      <w:overflowPunct/>
      <w:autoSpaceDE/>
      <w:autoSpaceDN/>
      <w:adjustRightInd/>
      <w:jc w:val="both"/>
      <w:textAlignment w:val="auto"/>
    </w:pPr>
    <w:rPr>
      <w:rFonts w:ascii="Courier New" w:hAnsi="Courier New" w:cs="Courier New"/>
      <w:bCs/>
      <w:szCs w:val="28"/>
    </w:rPr>
  </w:style>
  <w:style w:type="character" w:customStyle="1" w:styleId="TextoindependienteCar">
    <w:name w:val="Texto independiente Car"/>
    <w:basedOn w:val="Fuentedeprrafopredeter"/>
    <w:link w:val="Textoindependiente"/>
    <w:uiPriority w:val="99"/>
    <w:rsid w:val="00DA6C81"/>
    <w:rPr>
      <w:rFonts w:ascii="Courier New" w:eastAsia="Times New Roman" w:hAnsi="Courier New" w:cs="Courier New"/>
      <w:bCs/>
      <w:sz w:val="24"/>
      <w:szCs w:val="28"/>
    </w:rPr>
  </w:style>
  <w:style w:type="paragraph" w:styleId="Encabezado">
    <w:name w:val="header"/>
    <w:basedOn w:val="Normal"/>
    <w:link w:val="EncabezadoCar"/>
    <w:uiPriority w:val="99"/>
    <w:rsid w:val="00DA6C81"/>
    <w:pPr>
      <w:widowControl w:val="0"/>
      <w:tabs>
        <w:tab w:val="center" w:pos="4252"/>
        <w:tab w:val="right" w:pos="8504"/>
      </w:tabs>
      <w:textAlignment w:val="auto"/>
    </w:pPr>
    <w:rPr>
      <w:kern w:val="28"/>
      <w:sz w:val="20"/>
    </w:rPr>
  </w:style>
  <w:style w:type="character" w:customStyle="1" w:styleId="EncabezadoCar">
    <w:name w:val="Encabezado Car"/>
    <w:basedOn w:val="Fuentedeprrafopredeter"/>
    <w:link w:val="Encabezado"/>
    <w:uiPriority w:val="99"/>
    <w:rsid w:val="00DA6C81"/>
    <w:rPr>
      <w:rFonts w:ascii="Times New Roman" w:eastAsia="Times New Roman" w:hAnsi="Times New Roman"/>
      <w:kern w:val="28"/>
    </w:rPr>
  </w:style>
  <w:style w:type="character" w:styleId="Nmerodepgina">
    <w:name w:val="page number"/>
    <w:uiPriority w:val="99"/>
    <w:rsid w:val="00DA6C81"/>
    <w:rPr>
      <w:rFonts w:cs="Times New Roman"/>
    </w:rPr>
  </w:style>
  <w:style w:type="paragraph" w:styleId="Piedepgina">
    <w:name w:val="footer"/>
    <w:basedOn w:val="Normal"/>
    <w:link w:val="PiedepginaCar"/>
    <w:uiPriority w:val="99"/>
    <w:rsid w:val="00DA6C81"/>
    <w:pPr>
      <w:widowControl w:val="0"/>
      <w:tabs>
        <w:tab w:val="center" w:pos="4252"/>
        <w:tab w:val="right" w:pos="8504"/>
      </w:tabs>
      <w:textAlignment w:val="auto"/>
    </w:pPr>
    <w:rPr>
      <w:kern w:val="28"/>
      <w:sz w:val="20"/>
    </w:rPr>
  </w:style>
  <w:style w:type="character" w:customStyle="1" w:styleId="PiedepginaCar">
    <w:name w:val="Pie de página Car"/>
    <w:basedOn w:val="Fuentedeprrafopredeter"/>
    <w:link w:val="Piedepgina"/>
    <w:uiPriority w:val="99"/>
    <w:rsid w:val="00DA6C81"/>
    <w:rPr>
      <w:rFonts w:ascii="Times New Roman" w:eastAsia="Times New Roman" w:hAnsi="Times New Roman"/>
      <w:kern w:val="28"/>
    </w:rPr>
  </w:style>
  <w:style w:type="paragraph" w:styleId="Prrafodelista">
    <w:name w:val="List Paragraph"/>
    <w:basedOn w:val="Normal"/>
    <w:uiPriority w:val="34"/>
    <w:qFormat/>
    <w:rsid w:val="00DA6C81"/>
    <w:pPr>
      <w:widowControl w:val="0"/>
      <w:ind w:left="708"/>
      <w:textAlignment w:val="auto"/>
    </w:pPr>
    <w:rPr>
      <w:kern w:val="28"/>
      <w:sz w:val="20"/>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DA6C81"/>
    <w:pPr>
      <w:overflowPunct/>
      <w:autoSpaceDE/>
      <w:autoSpaceDN/>
      <w:adjustRightInd/>
      <w:textAlignment w:val="auto"/>
    </w:pPr>
    <w:rPr>
      <w:sz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DA6C81"/>
    <w:rPr>
      <w:rFonts w:ascii="Times New Roman" w:eastAsia="Times New Roman" w:hAnsi="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uiPriority w:val="99"/>
    <w:qFormat/>
    <w:rsid w:val="00DA6C8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3639</Words>
  <Characters>20015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Henry Lora Rodriguez</cp:lastModifiedBy>
  <cp:revision>4</cp:revision>
  <dcterms:created xsi:type="dcterms:W3CDTF">2019-03-10T18:39:00Z</dcterms:created>
  <dcterms:modified xsi:type="dcterms:W3CDTF">2019-03-12T20:06:00Z</dcterms:modified>
</cp:coreProperties>
</file>