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EE" w:rsidRPr="004678EE" w:rsidRDefault="00217669" w:rsidP="004678E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Pr>
          <w:rFonts w:ascii="Arial" w:hAnsi="Arial" w:cs="Arial"/>
          <w:color w:val="FF0000"/>
          <w:spacing w:val="-8"/>
          <w:sz w:val="18"/>
          <w:szCs w:val="18"/>
          <w:lang w:val="es-CO" w:eastAsia="fr-FR"/>
        </w:rPr>
        <w:t>&lt;</w:t>
      </w:r>
      <w:r w:rsidR="004678EE" w:rsidRPr="004678EE">
        <w:rPr>
          <w:rFonts w:ascii="Arial" w:hAnsi="Arial" w:cs="Arial"/>
          <w:color w:val="FF0000"/>
          <w:spacing w:val="-8"/>
          <w:sz w:val="18"/>
          <w:szCs w:val="18"/>
          <w:lang w:val="es-419" w:eastAsia="fr-FR"/>
        </w:rPr>
        <w:t>l siguiente es el documento presentado por el Magistrado Ponente que sirvió de base para proferir la providencia dentro del presente proceso.  El contenido total y fiel de la decisión debe ser verificado en la respectiva Secretaría.</w:t>
      </w:r>
    </w:p>
    <w:p w:rsidR="004678EE" w:rsidRPr="004678EE" w:rsidRDefault="004678EE" w:rsidP="004678EE">
      <w:pPr>
        <w:jc w:val="both"/>
        <w:rPr>
          <w:rFonts w:ascii="Arial" w:hAnsi="Arial" w:cs="Arial"/>
          <w:lang w:val="es-419"/>
        </w:rPr>
      </w:pPr>
    </w:p>
    <w:p w:rsidR="004678EE" w:rsidRPr="004678EE" w:rsidRDefault="004678EE" w:rsidP="004678EE">
      <w:pPr>
        <w:jc w:val="both"/>
        <w:rPr>
          <w:rFonts w:ascii="Arial" w:hAnsi="Arial" w:cs="Arial"/>
          <w:b/>
          <w:bCs/>
          <w:iCs/>
          <w:lang w:val="es-419" w:eastAsia="fr-FR"/>
        </w:rPr>
      </w:pPr>
      <w:r w:rsidRPr="004678EE">
        <w:rPr>
          <w:rFonts w:ascii="Arial" w:hAnsi="Arial" w:cs="Arial"/>
          <w:b/>
          <w:bCs/>
          <w:iCs/>
          <w:lang w:val="es-419" w:eastAsia="fr-FR"/>
        </w:rPr>
        <w:t>TEMAS:</w:t>
      </w:r>
      <w:r w:rsidRPr="004678EE">
        <w:rPr>
          <w:rFonts w:ascii="Arial" w:hAnsi="Arial" w:cs="Arial"/>
          <w:b/>
          <w:bCs/>
          <w:iCs/>
          <w:lang w:val="es-419" w:eastAsia="fr-FR"/>
        </w:rPr>
        <w:tab/>
      </w:r>
      <w:r w:rsidR="00BF3067">
        <w:rPr>
          <w:rFonts w:ascii="Arial" w:hAnsi="Arial" w:cs="Arial"/>
          <w:b/>
          <w:bCs/>
          <w:iCs/>
          <w:lang w:val="es-CO" w:eastAsia="fr-FR"/>
        </w:rPr>
        <w:t>NULIDAD / FINALIDAD DE LA INSTITUCIÓN / EMPLAZAMIENTO DE PERSONAS DETERMINADAS / REQUISITOS.</w:t>
      </w:r>
    </w:p>
    <w:p w:rsidR="004678EE" w:rsidRPr="004678EE" w:rsidRDefault="004678EE" w:rsidP="004678EE">
      <w:pPr>
        <w:jc w:val="both"/>
        <w:rPr>
          <w:rFonts w:ascii="Arial" w:hAnsi="Arial" w:cs="Arial"/>
          <w:lang w:val="es-419"/>
        </w:rPr>
      </w:pPr>
    </w:p>
    <w:p w:rsidR="00217669" w:rsidRPr="00217669" w:rsidRDefault="00217669" w:rsidP="00217669">
      <w:pPr>
        <w:jc w:val="both"/>
        <w:rPr>
          <w:rFonts w:ascii="Arial" w:hAnsi="Arial" w:cs="Arial"/>
          <w:lang w:val="es-419"/>
        </w:rPr>
      </w:pPr>
      <w:r w:rsidRPr="00217669">
        <w:rPr>
          <w:rFonts w:ascii="Arial" w:hAnsi="Arial" w:cs="Arial"/>
          <w:lang w:val="es-419"/>
        </w:rPr>
        <w:t>La institución de las nulidades de tipo procedimental está consagrada con el propósito de salvaguardar el derecho constitucional del “debido proceso” y su derivado natural, el derecho de defensa (Artículo 29, CP).</w:t>
      </w:r>
    </w:p>
    <w:p w:rsidR="00217669" w:rsidRPr="00217669" w:rsidRDefault="00217669" w:rsidP="00217669">
      <w:pPr>
        <w:jc w:val="both"/>
        <w:rPr>
          <w:rFonts w:ascii="Arial" w:hAnsi="Arial" w:cs="Arial"/>
          <w:lang w:val="es-419"/>
        </w:rPr>
      </w:pPr>
    </w:p>
    <w:p w:rsidR="004678EE" w:rsidRDefault="00217669" w:rsidP="00217669">
      <w:pPr>
        <w:jc w:val="both"/>
        <w:rPr>
          <w:rFonts w:ascii="Arial" w:hAnsi="Arial" w:cs="Arial"/>
          <w:lang w:val="es-CO"/>
        </w:rPr>
      </w:pPr>
      <w:r w:rsidRPr="00217669">
        <w:rPr>
          <w:rFonts w:ascii="Arial" w:hAnsi="Arial" w:cs="Arial"/>
          <w:lang w:val="es-419"/>
        </w:rPr>
        <w:t>El régimen establecido por la Codificación Ritual Civil, está informado por el principio de la taxatividad o especificidad, por cuya razón las causales de anulación, única y exclusivamente son las estipuladas en los artículos 140 y 141, CPC, estatuto aplicable acorde con lo dispuesto en el artículo 625-5º, CGP, pues si bien se hizo tránsito de legislación y la sentencia es emitida en vigencia de ese estatuto, la actuación estimada anómala se surtió en vigencia del CPC, sin que sobre precisar que la causal consagrada en el CGP, guarda identidad con la estatuida en el anterior ordenamiento.</w:t>
      </w:r>
      <w:r w:rsidR="007B59CD">
        <w:rPr>
          <w:rFonts w:ascii="Arial" w:hAnsi="Arial" w:cs="Arial"/>
          <w:lang w:val="es-CO"/>
        </w:rPr>
        <w:t xml:space="preserve"> (…)</w:t>
      </w:r>
    </w:p>
    <w:p w:rsidR="007B59CD" w:rsidRDefault="007B59CD" w:rsidP="00217669">
      <w:pPr>
        <w:jc w:val="both"/>
        <w:rPr>
          <w:rFonts w:ascii="Arial" w:hAnsi="Arial" w:cs="Arial"/>
          <w:lang w:val="es-CO"/>
        </w:rPr>
      </w:pPr>
    </w:p>
    <w:p w:rsidR="007B59CD" w:rsidRPr="007B59CD" w:rsidRDefault="00BF3067" w:rsidP="00217669">
      <w:pPr>
        <w:jc w:val="both"/>
        <w:rPr>
          <w:rFonts w:ascii="Arial" w:hAnsi="Arial" w:cs="Arial"/>
          <w:lang w:val="es-CO"/>
        </w:rPr>
      </w:pPr>
      <w:r w:rsidRPr="00BF3067">
        <w:rPr>
          <w:rFonts w:ascii="Arial" w:hAnsi="Arial" w:cs="Arial"/>
          <w:lang w:val="es-CO"/>
        </w:rPr>
        <w:t>El emplazamiento de una persona determinada ha de verificar los requisitos estatuidos en el artículo 318, CPC, a saber: (i) El nombre del emplazado; (ii) Las partes del proceso; y, (iii) La naturaleza del asunto o el juzgado que lo requiere, edicto que debe publicarse por una sola vez, en un diario de amplia circulación nacional en día domingo, a criterio del juez, que postulará al menos dos. Cumplido los 15 días siguientes a la publicación se entenderá surtido. El incumplimiento de alguno de estos supuestos, genera invalidez.</w:t>
      </w:r>
    </w:p>
    <w:p w:rsidR="004678EE" w:rsidRPr="004678EE" w:rsidRDefault="004678EE" w:rsidP="004678EE">
      <w:pPr>
        <w:jc w:val="both"/>
        <w:rPr>
          <w:rFonts w:ascii="Arial" w:hAnsi="Arial" w:cs="Arial"/>
          <w:lang w:val="es-419"/>
        </w:rPr>
      </w:pPr>
    </w:p>
    <w:p w:rsidR="004678EE" w:rsidRPr="004678EE" w:rsidRDefault="004678EE" w:rsidP="004678EE">
      <w:pPr>
        <w:jc w:val="both"/>
        <w:rPr>
          <w:rFonts w:ascii="Arial" w:hAnsi="Arial" w:cs="Arial"/>
          <w:lang w:val="es-419"/>
        </w:rPr>
      </w:pPr>
    </w:p>
    <w:p w:rsidR="004678EE" w:rsidRPr="004678EE" w:rsidRDefault="004678EE" w:rsidP="004678EE">
      <w:pPr>
        <w:rPr>
          <w:rFonts w:ascii="Arial" w:hAnsi="Arial" w:cs="Arial"/>
          <w:lang w:val="es-419"/>
        </w:rPr>
      </w:pPr>
    </w:p>
    <w:p w:rsidR="00326210" w:rsidRPr="00326210" w:rsidRDefault="00326210" w:rsidP="00326210">
      <w:pPr>
        <w:pStyle w:val="Sinespaciado"/>
        <w:spacing w:line="360" w:lineRule="auto"/>
        <w:jc w:val="center"/>
        <w:rPr>
          <w:rFonts w:ascii="Georgia" w:hAnsi="Georgia" w:cs="Arial"/>
          <w:w w:val="140"/>
          <w:sz w:val="14"/>
          <w:szCs w:val="14"/>
          <w:lang w:val="es-419"/>
        </w:rPr>
      </w:pPr>
      <w:r w:rsidRPr="00326210">
        <w:rPr>
          <w:rFonts w:ascii="Georgia" w:hAnsi="Georgia"/>
          <w:noProof/>
        </w:rPr>
        <w:drawing>
          <wp:anchor distT="0" distB="0" distL="114300" distR="114300" simplePos="0" relativeHeight="251659264" behindDoc="0" locked="0" layoutInCell="1" allowOverlap="1" wp14:anchorId="4293D070" wp14:editId="3BB0241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210" w:rsidRPr="00326210" w:rsidRDefault="00326210" w:rsidP="00326210">
      <w:pPr>
        <w:pStyle w:val="Sinespaciado"/>
        <w:spacing w:line="360" w:lineRule="auto"/>
        <w:jc w:val="center"/>
        <w:rPr>
          <w:rFonts w:ascii="Georgia" w:hAnsi="Georgia" w:cs="Arial"/>
          <w:w w:val="140"/>
          <w:sz w:val="14"/>
          <w:szCs w:val="14"/>
          <w:lang w:val="es-419"/>
        </w:rPr>
      </w:pPr>
    </w:p>
    <w:p w:rsidR="00326210" w:rsidRPr="00326210" w:rsidRDefault="00326210" w:rsidP="00326210">
      <w:pPr>
        <w:pStyle w:val="Sinespaciado"/>
        <w:spacing w:line="360" w:lineRule="auto"/>
        <w:jc w:val="center"/>
        <w:rPr>
          <w:rFonts w:ascii="Georgia" w:hAnsi="Georgia" w:cs="Arial"/>
          <w:w w:val="140"/>
          <w:sz w:val="14"/>
          <w:szCs w:val="14"/>
          <w:lang w:val="es-419"/>
        </w:rPr>
      </w:pPr>
      <w:r w:rsidRPr="00326210">
        <w:rPr>
          <w:rFonts w:ascii="Georgia" w:hAnsi="Georgia" w:cs="Arial"/>
          <w:w w:val="140"/>
          <w:sz w:val="14"/>
          <w:szCs w:val="14"/>
          <w:lang w:val="es-419"/>
        </w:rPr>
        <w:t>REPUBLICA DE COLOMBIA</w:t>
      </w:r>
    </w:p>
    <w:p w:rsidR="00326210" w:rsidRPr="00326210" w:rsidRDefault="00326210" w:rsidP="00326210">
      <w:pPr>
        <w:pStyle w:val="Sinespaciado"/>
        <w:tabs>
          <w:tab w:val="center" w:pos="4987"/>
          <w:tab w:val="left" w:pos="8449"/>
        </w:tabs>
        <w:spacing w:line="360" w:lineRule="auto"/>
        <w:jc w:val="center"/>
        <w:rPr>
          <w:rFonts w:ascii="Georgia" w:hAnsi="Georgia" w:cs="Arial"/>
          <w:w w:val="140"/>
          <w:lang w:val="es-419"/>
        </w:rPr>
      </w:pPr>
      <w:r w:rsidRPr="00326210">
        <w:rPr>
          <w:rFonts w:ascii="Georgia" w:hAnsi="Georgia" w:cs="Arial"/>
          <w:w w:val="140"/>
          <w:sz w:val="14"/>
          <w:szCs w:val="14"/>
          <w:lang w:val="es-419"/>
        </w:rPr>
        <w:t>RAMA JUDICIAL DEL PODER PÚBLICO</w:t>
      </w:r>
    </w:p>
    <w:p w:rsidR="00326210" w:rsidRPr="00326210" w:rsidRDefault="00326210" w:rsidP="00326210">
      <w:pPr>
        <w:pStyle w:val="Sinespaciado"/>
        <w:spacing w:line="360" w:lineRule="auto"/>
        <w:jc w:val="center"/>
        <w:rPr>
          <w:rFonts w:ascii="Georgia" w:hAnsi="Georgia" w:cs="Arial"/>
          <w:w w:val="140"/>
          <w:sz w:val="16"/>
          <w:szCs w:val="16"/>
          <w:lang w:val="es-419"/>
        </w:rPr>
      </w:pPr>
      <w:r w:rsidRPr="00326210">
        <w:rPr>
          <w:rFonts w:ascii="Georgia" w:hAnsi="Georgia" w:cs="Arial"/>
          <w:w w:val="140"/>
          <w:sz w:val="18"/>
          <w:szCs w:val="18"/>
          <w:lang w:val="es-419"/>
        </w:rPr>
        <w:t>T</w:t>
      </w:r>
      <w:r w:rsidRPr="00326210">
        <w:rPr>
          <w:rFonts w:ascii="Georgia" w:hAnsi="Georgia" w:cs="Arial"/>
          <w:w w:val="140"/>
          <w:sz w:val="16"/>
          <w:szCs w:val="16"/>
          <w:lang w:val="es-419"/>
        </w:rPr>
        <w:t>RIBUNAL</w:t>
      </w:r>
      <w:r w:rsidRPr="00326210">
        <w:rPr>
          <w:rFonts w:ascii="Georgia" w:hAnsi="Georgia" w:cs="Arial"/>
          <w:w w:val="140"/>
          <w:sz w:val="18"/>
          <w:szCs w:val="18"/>
          <w:lang w:val="es-419"/>
        </w:rPr>
        <w:t xml:space="preserve"> S</w:t>
      </w:r>
      <w:r w:rsidRPr="00326210">
        <w:rPr>
          <w:rFonts w:ascii="Georgia" w:hAnsi="Georgia" w:cs="Arial"/>
          <w:w w:val="140"/>
          <w:sz w:val="16"/>
          <w:szCs w:val="16"/>
          <w:lang w:val="es-419"/>
        </w:rPr>
        <w:t xml:space="preserve">UPERIOR DEL </w:t>
      </w:r>
      <w:r w:rsidRPr="00326210">
        <w:rPr>
          <w:rFonts w:ascii="Georgia" w:hAnsi="Georgia" w:cs="Arial"/>
          <w:w w:val="140"/>
          <w:sz w:val="18"/>
          <w:szCs w:val="18"/>
          <w:lang w:val="es-419"/>
        </w:rPr>
        <w:t>D</w:t>
      </w:r>
      <w:r w:rsidRPr="00326210">
        <w:rPr>
          <w:rFonts w:ascii="Georgia" w:hAnsi="Georgia" w:cs="Arial"/>
          <w:w w:val="140"/>
          <w:sz w:val="16"/>
          <w:szCs w:val="16"/>
          <w:lang w:val="es-419"/>
        </w:rPr>
        <w:t>ISTRITO</w:t>
      </w:r>
      <w:r w:rsidRPr="00326210">
        <w:rPr>
          <w:rFonts w:ascii="Georgia" w:hAnsi="Georgia" w:cs="Arial"/>
          <w:w w:val="140"/>
          <w:sz w:val="18"/>
          <w:szCs w:val="18"/>
          <w:lang w:val="es-419"/>
        </w:rPr>
        <w:t xml:space="preserve"> J</w:t>
      </w:r>
      <w:r w:rsidRPr="00326210">
        <w:rPr>
          <w:rFonts w:ascii="Georgia" w:hAnsi="Georgia" w:cs="Arial"/>
          <w:w w:val="140"/>
          <w:sz w:val="16"/>
          <w:szCs w:val="16"/>
          <w:lang w:val="es-419"/>
        </w:rPr>
        <w:t xml:space="preserve">UDICIAL </w:t>
      </w:r>
    </w:p>
    <w:p w:rsidR="00326210" w:rsidRPr="00326210" w:rsidRDefault="00326210" w:rsidP="00326210">
      <w:pPr>
        <w:pStyle w:val="Sinespaciado"/>
        <w:spacing w:line="360" w:lineRule="auto"/>
        <w:jc w:val="center"/>
        <w:rPr>
          <w:rFonts w:ascii="Georgia" w:hAnsi="Georgia" w:cs="Arial"/>
          <w:w w:val="140"/>
          <w:sz w:val="16"/>
          <w:szCs w:val="16"/>
          <w:lang w:val="es-419"/>
        </w:rPr>
      </w:pPr>
      <w:r w:rsidRPr="00326210">
        <w:rPr>
          <w:rFonts w:ascii="Georgia" w:hAnsi="Georgia" w:cs="Arial"/>
          <w:w w:val="140"/>
          <w:sz w:val="18"/>
          <w:szCs w:val="16"/>
          <w:lang w:val="es-419"/>
        </w:rPr>
        <w:t>S</w:t>
      </w:r>
      <w:r w:rsidRPr="00326210">
        <w:rPr>
          <w:rFonts w:ascii="Georgia" w:hAnsi="Georgia" w:cs="Arial"/>
          <w:w w:val="140"/>
          <w:sz w:val="16"/>
          <w:szCs w:val="14"/>
          <w:lang w:val="es-419"/>
        </w:rPr>
        <w:t xml:space="preserve">ALA </w:t>
      </w:r>
      <w:r w:rsidRPr="00326210">
        <w:rPr>
          <w:rFonts w:ascii="Georgia" w:hAnsi="Georgia" w:cs="Arial"/>
          <w:w w:val="140"/>
          <w:sz w:val="18"/>
          <w:szCs w:val="16"/>
          <w:lang w:val="es-419"/>
        </w:rPr>
        <w:t>U</w:t>
      </w:r>
      <w:r w:rsidRPr="00326210">
        <w:rPr>
          <w:rFonts w:ascii="Georgia" w:hAnsi="Georgia" w:cs="Arial"/>
          <w:w w:val="140"/>
          <w:sz w:val="16"/>
          <w:szCs w:val="16"/>
          <w:lang w:val="es-419"/>
        </w:rPr>
        <w:t xml:space="preserve">NITARIA </w:t>
      </w:r>
      <w:r w:rsidRPr="00326210">
        <w:rPr>
          <w:rFonts w:ascii="Georgia" w:hAnsi="Georgia" w:cs="Arial"/>
          <w:w w:val="140"/>
          <w:sz w:val="18"/>
          <w:szCs w:val="16"/>
          <w:lang w:val="es-419"/>
        </w:rPr>
        <w:t>C</w:t>
      </w:r>
      <w:r w:rsidRPr="00326210">
        <w:rPr>
          <w:rFonts w:ascii="Georgia" w:hAnsi="Georgia" w:cs="Arial"/>
          <w:w w:val="140"/>
          <w:sz w:val="16"/>
          <w:szCs w:val="16"/>
          <w:lang w:val="es-419"/>
        </w:rPr>
        <w:t>IVIL</w:t>
      </w:r>
      <w:r w:rsidRPr="00326210">
        <w:rPr>
          <w:rFonts w:ascii="Georgia" w:hAnsi="Georgia" w:cs="Arial"/>
          <w:w w:val="140"/>
          <w:sz w:val="14"/>
          <w:szCs w:val="14"/>
          <w:lang w:val="es-419"/>
        </w:rPr>
        <w:t xml:space="preserve">– </w:t>
      </w:r>
      <w:r w:rsidRPr="00326210">
        <w:rPr>
          <w:rFonts w:ascii="Georgia" w:hAnsi="Georgia" w:cs="Arial"/>
          <w:w w:val="140"/>
          <w:sz w:val="18"/>
          <w:szCs w:val="16"/>
          <w:lang w:val="es-419"/>
        </w:rPr>
        <w:t>F</w:t>
      </w:r>
      <w:r w:rsidRPr="00326210">
        <w:rPr>
          <w:rFonts w:ascii="Georgia" w:hAnsi="Georgia" w:cs="Arial"/>
          <w:w w:val="140"/>
          <w:sz w:val="16"/>
          <w:szCs w:val="16"/>
          <w:lang w:val="es-419"/>
        </w:rPr>
        <w:t>AMILIA –</w:t>
      </w:r>
      <w:r w:rsidRPr="00326210">
        <w:rPr>
          <w:rFonts w:ascii="Georgia" w:hAnsi="Georgia" w:cs="Arial"/>
          <w:w w:val="140"/>
          <w:sz w:val="18"/>
          <w:szCs w:val="16"/>
          <w:lang w:val="es-419"/>
        </w:rPr>
        <w:t>D</w:t>
      </w:r>
      <w:r w:rsidRPr="00326210">
        <w:rPr>
          <w:rFonts w:ascii="Georgia" w:hAnsi="Georgia" w:cs="Arial"/>
          <w:w w:val="140"/>
          <w:sz w:val="16"/>
          <w:szCs w:val="16"/>
          <w:lang w:val="es-419"/>
        </w:rPr>
        <w:t xml:space="preserve">ISTRITO DE </w:t>
      </w:r>
      <w:r w:rsidRPr="00326210">
        <w:rPr>
          <w:rFonts w:ascii="Georgia" w:hAnsi="Georgia" w:cs="Arial"/>
          <w:w w:val="140"/>
          <w:sz w:val="18"/>
          <w:szCs w:val="16"/>
          <w:lang w:val="es-419"/>
        </w:rPr>
        <w:t>P</w:t>
      </w:r>
      <w:r w:rsidRPr="00326210">
        <w:rPr>
          <w:rFonts w:ascii="Georgia" w:hAnsi="Georgia" w:cs="Arial"/>
          <w:w w:val="140"/>
          <w:sz w:val="16"/>
          <w:szCs w:val="16"/>
          <w:lang w:val="es-419"/>
        </w:rPr>
        <w:t>EREIRA</w:t>
      </w:r>
    </w:p>
    <w:p w:rsidR="00326210" w:rsidRPr="00326210" w:rsidRDefault="00326210" w:rsidP="00326210">
      <w:pPr>
        <w:pStyle w:val="Sinespaciado"/>
        <w:spacing w:line="360" w:lineRule="auto"/>
        <w:jc w:val="center"/>
        <w:rPr>
          <w:rFonts w:ascii="Georgia" w:hAnsi="Georgia" w:cs="Arial"/>
          <w:w w:val="140"/>
          <w:sz w:val="16"/>
          <w:szCs w:val="16"/>
          <w:lang w:val="es-419"/>
        </w:rPr>
      </w:pPr>
      <w:r w:rsidRPr="00326210">
        <w:rPr>
          <w:rFonts w:ascii="Georgia" w:hAnsi="Georgia" w:cs="Arial"/>
          <w:w w:val="140"/>
          <w:sz w:val="18"/>
          <w:szCs w:val="18"/>
          <w:lang w:val="es-419"/>
        </w:rPr>
        <w:t>D</w:t>
      </w:r>
      <w:r w:rsidRPr="00326210">
        <w:rPr>
          <w:rFonts w:ascii="Georgia" w:hAnsi="Georgia" w:cs="Arial"/>
          <w:w w:val="140"/>
          <w:sz w:val="16"/>
          <w:szCs w:val="16"/>
          <w:lang w:val="es-419"/>
        </w:rPr>
        <w:t xml:space="preserve">EPARTAMENTO </w:t>
      </w:r>
      <w:r w:rsidRPr="00326210">
        <w:rPr>
          <w:rFonts w:ascii="Georgia" w:hAnsi="Georgia" w:cs="Arial"/>
          <w:w w:val="140"/>
          <w:sz w:val="18"/>
          <w:szCs w:val="18"/>
          <w:lang w:val="es-419"/>
        </w:rPr>
        <w:t>D</w:t>
      </w:r>
      <w:r w:rsidRPr="00326210">
        <w:rPr>
          <w:rFonts w:ascii="Georgia" w:hAnsi="Georgia" w:cs="Arial"/>
          <w:w w:val="140"/>
          <w:sz w:val="16"/>
          <w:szCs w:val="16"/>
          <w:lang w:val="es-419"/>
        </w:rPr>
        <w:t xml:space="preserve">EL </w:t>
      </w:r>
      <w:r w:rsidRPr="00326210">
        <w:rPr>
          <w:rFonts w:ascii="Georgia" w:hAnsi="Georgia" w:cs="Arial"/>
          <w:w w:val="140"/>
          <w:sz w:val="18"/>
          <w:szCs w:val="18"/>
          <w:lang w:val="es-419"/>
        </w:rPr>
        <w:t>R</w:t>
      </w:r>
      <w:r w:rsidRPr="00326210">
        <w:rPr>
          <w:rFonts w:ascii="Georgia" w:hAnsi="Georgia" w:cs="Arial"/>
          <w:w w:val="140"/>
          <w:sz w:val="16"/>
          <w:szCs w:val="16"/>
          <w:lang w:val="es-419"/>
        </w:rPr>
        <w:t>ISARALDA</w:t>
      </w:r>
    </w:p>
    <w:p w:rsidR="00326210" w:rsidRPr="00326210" w:rsidRDefault="00326210" w:rsidP="00326210">
      <w:pPr>
        <w:spacing w:line="360" w:lineRule="auto"/>
        <w:jc w:val="center"/>
        <w:rPr>
          <w:rFonts w:ascii="Georgia" w:hAnsi="Georgia" w:cs="Arial"/>
          <w:b/>
          <w:bCs/>
          <w:sz w:val="18"/>
          <w:szCs w:val="22"/>
          <w:lang w:val="es-419"/>
        </w:rPr>
      </w:pPr>
    </w:p>
    <w:p w:rsidR="00326210" w:rsidRPr="004678EE" w:rsidRDefault="00326210" w:rsidP="004678EE">
      <w:pPr>
        <w:pStyle w:val="Textoindependiente"/>
        <w:spacing w:line="240" w:lineRule="auto"/>
        <w:rPr>
          <w:rFonts w:ascii="Georgia" w:hAnsi="Georgia" w:cs="Arial"/>
          <w:sz w:val="22"/>
          <w:szCs w:val="22"/>
          <w:lang w:val="es-419"/>
        </w:rPr>
      </w:pPr>
      <w:r w:rsidRPr="004678EE">
        <w:rPr>
          <w:rFonts w:ascii="Georgia" w:hAnsi="Georgia" w:cs="Arial"/>
          <w:sz w:val="22"/>
          <w:szCs w:val="22"/>
          <w:lang w:val="es-419"/>
        </w:rPr>
        <w:tab/>
      </w:r>
      <w:r w:rsidRPr="004678EE">
        <w:rPr>
          <w:rFonts w:ascii="Georgia" w:hAnsi="Georgia" w:cs="Arial"/>
          <w:sz w:val="22"/>
          <w:szCs w:val="22"/>
          <w:lang w:val="es-419"/>
        </w:rPr>
        <w:tab/>
        <w:t>Asunto</w:t>
      </w:r>
      <w:r w:rsidRPr="004678EE">
        <w:rPr>
          <w:rFonts w:ascii="Georgia" w:hAnsi="Georgia" w:cs="Arial"/>
          <w:sz w:val="22"/>
          <w:szCs w:val="22"/>
          <w:lang w:val="es-419"/>
        </w:rPr>
        <w:tab/>
      </w:r>
      <w:r w:rsidRPr="004678EE">
        <w:rPr>
          <w:rFonts w:ascii="Georgia" w:hAnsi="Georgia" w:cs="Arial"/>
          <w:sz w:val="22"/>
          <w:szCs w:val="22"/>
          <w:lang w:val="es-419"/>
        </w:rPr>
        <w:tab/>
      </w:r>
      <w:r w:rsidRPr="004678EE">
        <w:rPr>
          <w:rFonts w:ascii="Georgia" w:hAnsi="Georgia" w:cs="Arial"/>
          <w:sz w:val="22"/>
          <w:szCs w:val="22"/>
          <w:lang w:val="es-419"/>
        </w:rPr>
        <w:tab/>
        <w:t>: Decide nulidad procesal</w:t>
      </w:r>
    </w:p>
    <w:p w:rsidR="00326210" w:rsidRPr="004678EE" w:rsidRDefault="00326210" w:rsidP="004678EE">
      <w:pPr>
        <w:ind w:left="708" w:firstLine="708"/>
        <w:jc w:val="both"/>
        <w:rPr>
          <w:rFonts w:ascii="Georgia" w:hAnsi="Georgia" w:cs="Arial"/>
          <w:sz w:val="22"/>
          <w:szCs w:val="22"/>
          <w:lang w:val="es-419"/>
        </w:rPr>
      </w:pPr>
      <w:r w:rsidRPr="004678EE">
        <w:rPr>
          <w:rFonts w:ascii="Georgia" w:hAnsi="Georgia" w:cs="Arial"/>
          <w:sz w:val="22"/>
          <w:szCs w:val="22"/>
          <w:lang w:val="es-419"/>
        </w:rPr>
        <w:t>Proceso</w:t>
      </w:r>
      <w:r w:rsidRPr="004678EE">
        <w:rPr>
          <w:rFonts w:ascii="Georgia" w:hAnsi="Georgia" w:cs="Arial"/>
          <w:sz w:val="22"/>
          <w:szCs w:val="22"/>
          <w:lang w:val="es-419"/>
        </w:rPr>
        <w:tab/>
      </w:r>
      <w:r w:rsidRPr="004678EE">
        <w:rPr>
          <w:rFonts w:ascii="Georgia" w:hAnsi="Georgia" w:cs="Arial"/>
          <w:sz w:val="22"/>
          <w:szCs w:val="22"/>
          <w:lang w:val="es-419"/>
        </w:rPr>
        <w:tab/>
        <w:t>: Servidumbre agraria</w:t>
      </w:r>
    </w:p>
    <w:p w:rsidR="00326210" w:rsidRPr="004678EE" w:rsidRDefault="00326210" w:rsidP="004678EE">
      <w:pPr>
        <w:ind w:left="708" w:firstLine="708"/>
        <w:jc w:val="both"/>
        <w:rPr>
          <w:rFonts w:ascii="Georgia" w:hAnsi="Georgia"/>
          <w:sz w:val="22"/>
          <w:szCs w:val="22"/>
          <w:lang w:val="es-419"/>
        </w:rPr>
      </w:pPr>
      <w:r w:rsidRPr="004678EE">
        <w:rPr>
          <w:rFonts w:ascii="Georgia" w:hAnsi="Georgia" w:cs="Arial"/>
          <w:sz w:val="22"/>
          <w:szCs w:val="22"/>
          <w:lang w:val="es-419"/>
        </w:rPr>
        <w:t>Demandante</w:t>
      </w:r>
      <w:r w:rsidRPr="004678EE">
        <w:rPr>
          <w:rFonts w:ascii="Georgia" w:hAnsi="Georgia" w:cs="Arial"/>
          <w:sz w:val="22"/>
          <w:szCs w:val="22"/>
          <w:lang w:val="es-419"/>
        </w:rPr>
        <w:tab/>
      </w:r>
      <w:r w:rsidRPr="004678EE">
        <w:rPr>
          <w:rFonts w:ascii="Georgia" w:hAnsi="Georgia" w:cs="Arial"/>
          <w:sz w:val="22"/>
          <w:szCs w:val="22"/>
          <w:lang w:val="es-419"/>
        </w:rPr>
        <w:tab/>
        <w:t xml:space="preserve">: Helman Pérez Calderón </w:t>
      </w:r>
    </w:p>
    <w:p w:rsidR="00326210" w:rsidRPr="004678EE" w:rsidRDefault="00326210" w:rsidP="004678EE">
      <w:pPr>
        <w:pStyle w:val="Textoindependiente"/>
        <w:spacing w:line="240" w:lineRule="auto"/>
        <w:rPr>
          <w:rFonts w:ascii="Georgia" w:hAnsi="Georgia" w:cs="Arial"/>
          <w:sz w:val="22"/>
          <w:szCs w:val="22"/>
          <w:lang w:val="es-419"/>
        </w:rPr>
      </w:pPr>
      <w:r w:rsidRPr="004678EE">
        <w:rPr>
          <w:rFonts w:ascii="Georgia" w:hAnsi="Georgia" w:cs="Arial"/>
          <w:sz w:val="22"/>
          <w:szCs w:val="22"/>
          <w:lang w:val="es-419"/>
        </w:rPr>
        <w:tab/>
      </w:r>
      <w:r w:rsidRPr="004678EE">
        <w:rPr>
          <w:rFonts w:ascii="Georgia" w:hAnsi="Georgia" w:cs="Arial"/>
          <w:sz w:val="22"/>
          <w:szCs w:val="22"/>
          <w:lang w:val="es-419"/>
        </w:rPr>
        <w:tab/>
        <w:t>Demandados</w:t>
      </w:r>
      <w:r w:rsidRPr="004678EE">
        <w:rPr>
          <w:rFonts w:ascii="Georgia" w:hAnsi="Georgia" w:cs="Arial"/>
          <w:sz w:val="22"/>
          <w:szCs w:val="22"/>
          <w:lang w:val="es-419"/>
        </w:rPr>
        <w:tab/>
      </w:r>
      <w:r w:rsidRPr="004678EE">
        <w:rPr>
          <w:rFonts w:ascii="Georgia" w:hAnsi="Georgia" w:cs="Arial"/>
          <w:sz w:val="22"/>
          <w:szCs w:val="22"/>
          <w:lang w:val="es-419"/>
        </w:rPr>
        <w:tab/>
        <w:t>: Juan Gabriel García Patiño y otros</w:t>
      </w:r>
    </w:p>
    <w:p w:rsidR="00326210" w:rsidRPr="004678EE" w:rsidRDefault="00326210" w:rsidP="004678EE">
      <w:pPr>
        <w:ind w:left="708" w:firstLine="708"/>
        <w:rPr>
          <w:rFonts w:ascii="Georgia" w:hAnsi="Georgia" w:cs="Arial"/>
          <w:spacing w:val="-3"/>
          <w:sz w:val="22"/>
          <w:szCs w:val="22"/>
          <w:lang w:val="es-419"/>
        </w:rPr>
      </w:pPr>
      <w:r w:rsidRPr="004678EE">
        <w:rPr>
          <w:rFonts w:ascii="Georgia" w:hAnsi="Georgia" w:cs="Arial"/>
          <w:sz w:val="22"/>
          <w:szCs w:val="22"/>
          <w:lang w:val="es-419"/>
        </w:rPr>
        <w:t>Procedencia</w:t>
      </w:r>
      <w:r w:rsidRPr="004678EE">
        <w:rPr>
          <w:rFonts w:ascii="Georgia" w:hAnsi="Georgia" w:cs="Arial"/>
          <w:sz w:val="22"/>
          <w:szCs w:val="22"/>
          <w:lang w:val="es-419"/>
        </w:rPr>
        <w:tab/>
      </w:r>
      <w:r w:rsidRPr="004678EE">
        <w:rPr>
          <w:rFonts w:ascii="Georgia" w:hAnsi="Georgia" w:cs="Arial"/>
          <w:sz w:val="22"/>
          <w:szCs w:val="22"/>
          <w:lang w:val="es-419"/>
        </w:rPr>
        <w:tab/>
        <w:t xml:space="preserve">: </w:t>
      </w:r>
      <w:r w:rsidRPr="004678EE">
        <w:rPr>
          <w:rFonts w:ascii="Georgia" w:hAnsi="Georgia" w:cs="Arial"/>
          <w:spacing w:val="-3"/>
          <w:sz w:val="22"/>
          <w:szCs w:val="22"/>
          <w:lang w:val="es-419"/>
        </w:rPr>
        <w:t>Juzgado Tercero Civil del Circuito de Pereira</w:t>
      </w:r>
    </w:p>
    <w:p w:rsidR="00326210" w:rsidRPr="004678EE" w:rsidRDefault="00326210" w:rsidP="004678EE">
      <w:pPr>
        <w:ind w:left="708" w:firstLine="708"/>
        <w:rPr>
          <w:rFonts w:ascii="Georgia" w:hAnsi="Georgia" w:cs="Arial"/>
          <w:sz w:val="22"/>
          <w:szCs w:val="22"/>
          <w:lang w:val="es-419"/>
        </w:rPr>
      </w:pPr>
      <w:r w:rsidRPr="004678EE">
        <w:rPr>
          <w:rFonts w:ascii="Georgia" w:hAnsi="Georgia" w:cs="Arial"/>
          <w:spacing w:val="-3"/>
          <w:sz w:val="22"/>
          <w:szCs w:val="22"/>
          <w:lang w:val="es-419"/>
        </w:rPr>
        <w:t>Tema</w:t>
      </w:r>
      <w:r w:rsidRPr="004678EE">
        <w:rPr>
          <w:rFonts w:ascii="Georgia" w:hAnsi="Georgia" w:cs="Arial"/>
          <w:spacing w:val="-3"/>
          <w:sz w:val="22"/>
          <w:szCs w:val="22"/>
          <w:lang w:val="es-419"/>
        </w:rPr>
        <w:tab/>
      </w:r>
      <w:r w:rsidRPr="004678EE">
        <w:rPr>
          <w:rFonts w:ascii="Georgia" w:hAnsi="Georgia" w:cs="Arial"/>
          <w:spacing w:val="-3"/>
          <w:sz w:val="22"/>
          <w:szCs w:val="22"/>
          <w:lang w:val="es-419"/>
        </w:rPr>
        <w:tab/>
      </w:r>
      <w:r w:rsidRPr="004678EE">
        <w:rPr>
          <w:rFonts w:ascii="Georgia" w:hAnsi="Georgia" w:cs="Arial"/>
          <w:spacing w:val="-3"/>
          <w:sz w:val="22"/>
          <w:szCs w:val="22"/>
          <w:lang w:val="es-419"/>
        </w:rPr>
        <w:tab/>
        <w:t>: Indebido emplazamiento</w:t>
      </w:r>
    </w:p>
    <w:p w:rsidR="00326210" w:rsidRPr="004678EE" w:rsidRDefault="00326210" w:rsidP="004678EE">
      <w:pPr>
        <w:ind w:left="708" w:firstLine="708"/>
        <w:rPr>
          <w:rFonts w:ascii="Georgia" w:hAnsi="Georgia" w:cs="Arial"/>
          <w:sz w:val="22"/>
          <w:szCs w:val="22"/>
          <w:lang w:val="es-419"/>
        </w:rPr>
      </w:pPr>
      <w:r w:rsidRPr="004678EE">
        <w:rPr>
          <w:rFonts w:ascii="Georgia" w:hAnsi="Georgia" w:cs="Arial"/>
          <w:sz w:val="22"/>
          <w:szCs w:val="22"/>
          <w:lang w:val="es-419"/>
        </w:rPr>
        <w:t>Radicación</w:t>
      </w:r>
      <w:r w:rsidRPr="004678EE">
        <w:rPr>
          <w:rFonts w:ascii="Georgia" w:hAnsi="Georgia" w:cs="Arial"/>
          <w:sz w:val="22"/>
          <w:szCs w:val="22"/>
          <w:lang w:val="es-419"/>
        </w:rPr>
        <w:tab/>
      </w:r>
      <w:r w:rsidRPr="004678EE">
        <w:rPr>
          <w:rFonts w:ascii="Georgia" w:hAnsi="Georgia" w:cs="Arial"/>
          <w:sz w:val="22"/>
          <w:szCs w:val="22"/>
          <w:lang w:val="es-419"/>
        </w:rPr>
        <w:tab/>
        <w:t xml:space="preserve">: 66001-31-03-003-2017-00396-01 </w:t>
      </w:r>
    </w:p>
    <w:p w:rsidR="00326210" w:rsidRPr="004678EE" w:rsidRDefault="00326210" w:rsidP="004678EE">
      <w:pPr>
        <w:ind w:left="708" w:firstLine="708"/>
        <w:rPr>
          <w:rFonts w:ascii="Georgia" w:hAnsi="Georgia"/>
          <w:sz w:val="22"/>
          <w:lang w:val="es-419"/>
        </w:rPr>
      </w:pPr>
      <w:r w:rsidRPr="004678EE">
        <w:rPr>
          <w:rFonts w:ascii="Georgia" w:hAnsi="Georgia" w:cs="Arial"/>
          <w:sz w:val="22"/>
          <w:szCs w:val="22"/>
          <w:lang w:val="es-419"/>
        </w:rPr>
        <w:t>Mag. Sustanciador</w:t>
      </w:r>
      <w:r w:rsidRPr="004678EE">
        <w:rPr>
          <w:rFonts w:ascii="Georgia" w:hAnsi="Georgia" w:cs="Arial"/>
          <w:sz w:val="22"/>
          <w:szCs w:val="22"/>
          <w:lang w:val="es-419"/>
        </w:rPr>
        <w:tab/>
        <w:t xml:space="preserve">: </w:t>
      </w:r>
      <w:r w:rsidRPr="004678EE">
        <w:rPr>
          <w:rFonts w:ascii="Georgia" w:hAnsi="Georgia"/>
          <w:smallCaps/>
          <w:sz w:val="22"/>
          <w:lang w:val="es-419"/>
        </w:rPr>
        <w:t>Duberney Grisales Herrera</w:t>
      </w:r>
    </w:p>
    <w:p w:rsidR="00326210" w:rsidRPr="00326210" w:rsidRDefault="00326210" w:rsidP="00326210">
      <w:pPr>
        <w:pBdr>
          <w:bottom w:val="double" w:sz="6" w:space="1" w:color="auto"/>
        </w:pBdr>
        <w:spacing w:line="360" w:lineRule="auto"/>
        <w:rPr>
          <w:rFonts w:ascii="Georgia" w:hAnsi="Georgia" w:cs="Arial"/>
          <w:b/>
          <w:bCs/>
          <w:sz w:val="24"/>
          <w:szCs w:val="24"/>
          <w:lang w:val="es-419"/>
        </w:rPr>
      </w:pPr>
    </w:p>
    <w:p w:rsidR="00326210" w:rsidRPr="00326210" w:rsidRDefault="00326210" w:rsidP="00326210">
      <w:pPr>
        <w:spacing w:line="360" w:lineRule="auto"/>
        <w:jc w:val="center"/>
        <w:rPr>
          <w:rFonts w:ascii="Georgia" w:hAnsi="Georgia" w:cs="Arial"/>
          <w:b/>
          <w:bCs/>
          <w:szCs w:val="26"/>
          <w:lang w:val="es-419"/>
        </w:rPr>
      </w:pPr>
    </w:p>
    <w:p w:rsidR="00326210" w:rsidRPr="004678EE" w:rsidRDefault="00326210" w:rsidP="004678EE">
      <w:pPr>
        <w:spacing w:line="288" w:lineRule="auto"/>
        <w:jc w:val="center"/>
        <w:rPr>
          <w:rFonts w:ascii="Georgia" w:hAnsi="Georgia" w:cs="Arial"/>
          <w:smallCaps/>
          <w:sz w:val="24"/>
          <w:szCs w:val="24"/>
          <w:lang w:val="es-419"/>
        </w:rPr>
      </w:pPr>
      <w:r w:rsidRPr="004678EE">
        <w:rPr>
          <w:rFonts w:ascii="Georgia" w:hAnsi="Georgia" w:cs="Arial"/>
          <w:smallCaps/>
          <w:sz w:val="24"/>
          <w:szCs w:val="24"/>
          <w:lang w:val="es-419"/>
        </w:rPr>
        <w:t>Once (11) de marzo de dos mil diecinueve (2019).</w:t>
      </w:r>
    </w:p>
    <w:p w:rsidR="00326210" w:rsidRPr="00326210" w:rsidRDefault="00326210" w:rsidP="004678EE">
      <w:pPr>
        <w:pStyle w:val="Puesto"/>
        <w:spacing w:line="288" w:lineRule="auto"/>
        <w:rPr>
          <w:rFonts w:ascii="Georgia" w:hAnsi="Georgia" w:cs="Arial"/>
          <w:b w:val="0"/>
          <w:i w:val="0"/>
          <w:spacing w:val="-3"/>
          <w:sz w:val="20"/>
          <w:szCs w:val="22"/>
          <w:lang w:val="es-419"/>
        </w:rPr>
      </w:pPr>
    </w:p>
    <w:p w:rsidR="00326210" w:rsidRPr="00326210" w:rsidRDefault="00326210" w:rsidP="004678EE">
      <w:pPr>
        <w:pStyle w:val="Puesto"/>
        <w:numPr>
          <w:ilvl w:val="0"/>
          <w:numId w:val="1"/>
        </w:numPr>
        <w:spacing w:line="288" w:lineRule="auto"/>
        <w:jc w:val="left"/>
        <w:rPr>
          <w:rFonts w:ascii="Georgia" w:hAnsi="Georgia" w:cs="Arial"/>
          <w:b w:val="0"/>
          <w:i w:val="0"/>
          <w:smallCaps/>
          <w:spacing w:val="-3"/>
          <w:sz w:val="26"/>
          <w:szCs w:val="24"/>
          <w:lang w:val="es-419"/>
        </w:rPr>
      </w:pPr>
      <w:r w:rsidRPr="00326210">
        <w:rPr>
          <w:rFonts w:ascii="Georgia" w:hAnsi="Georgia" w:cs="Arial"/>
          <w:b w:val="0"/>
          <w:i w:val="0"/>
          <w:smallCaps/>
          <w:sz w:val="26"/>
          <w:szCs w:val="24"/>
          <w:lang w:val="es-419"/>
        </w:rPr>
        <w:t>el asunto por decidir</w:t>
      </w:r>
    </w:p>
    <w:p w:rsidR="00326210" w:rsidRPr="00326210" w:rsidRDefault="00326210" w:rsidP="004678EE">
      <w:pPr>
        <w:pStyle w:val="Puesto"/>
        <w:spacing w:line="288" w:lineRule="auto"/>
        <w:jc w:val="left"/>
        <w:rPr>
          <w:rFonts w:ascii="Georgia" w:hAnsi="Georgia" w:cs="Arial"/>
          <w:b w:val="0"/>
          <w:i w:val="0"/>
          <w:spacing w:val="-3"/>
          <w:szCs w:val="24"/>
          <w:lang w:val="es-419"/>
        </w:rPr>
      </w:pPr>
    </w:p>
    <w:p w:rsidR="00326210" w:rsidRPr="00326210" w:rsidRDefault="00326210" w:rsidP="004678EE">
      <w:pPr>
        <w:spacing w:line="288" w:lineRule="auto"/>
        <w:jc w:val="both"/>
        <w:rPr>
          <w:rFonts w:ascii="Georgia" w:hAnsi="Georgia" w:cs="Arial"/>
          <w:sz w:val="24"/>
          <w:szCs w:val="24"/>
          <w:lang w:val="es-419"/>
        </w:rPr>
      </w:pPr>
      <w:r w:rsidRPr="00326210">
        <w:rPr>
          <w:rFonts w:ascii="Georgia" w:hAnsi="Georgia" w:cs="Arial"/>
          <w:spacing w:val="-3"/>
          <w:sz w:val="24"/>
          <w:szCs w:val="24"/>
          <w:lang w:val="es-419"/>
        </w:rPr>
        <w:t>Previo a la decisión de fondo, debe resolverse sobre la nulidad que advierte esta Sala, en el curso del proceso de la referencia, al tenor de las consideraciones que siguen.</w:t>
      </w:r>
    </w:p>
    <w:p w:rsidR="00326210" w:rsidRPr="00326210" w:rsidRDefault="00326210" w:rsidP="004678EE">
      <w:pPr>
        <w:spacing w:line="288" w:lineRule="auto"/>
        <w:jc w:val="both"/>
        <w:rPr>
          <w:rFonts w:ascii="Georgia" w:hAnsi="Georgia" w:cs="Arial"/>
          <w:sz w:val="24"/>
          <w:szCs w:val="22"/>
          <w:lang w:val="es-419"/>
        </w:rPr>
      </w:pPr>
    </w:p>
    <w:p w:rsidR="00326210" w:rsidRPr="00326210" w:rsidRDefault="00326210" w:rsidP="004678EE">
      <w:pPr>
        <w:numPr>
          <w:ilvl w:val="0"/>
          <w:numId w:val="1"/>
        </w:numPr>
        <w:spacing w:line="288" w:lineRule="auto"/>
        <w:jc w:val="both"/>
        <w:rPr>
          <w:rFonts w:ascii="Georgia" w:hAnsi="Georgia" w:cs="Arial"/>
          <w:smallCaps/>
          <w:sz w:val="26"/>
          <w:szCs w:val="24"/>
          <w:lang w:val="es-419"/>
        </w:rPr>
      </w:pPr>
      <w:r w:rsidRPr="00326210">
        <w:rPr>
          <w:rFonts w:ascii="Georgia" w:hAnsi="Georgia" w:cs="Arial"/>
          <w:smallCaps/>
          <w:sz w:val="26"/>
          <w:szCs w:val="24"/>
          <w:lang w:val="es-419"/>
        </w:rPr>
        <w:t>la síntesis de la crónica procesal</w:t>
      </w:r>
    </w:p>
    <w:p w:rsidR="00326210" w:rsidRPr="00326210" w:rsidRDefault="00326210" w:rsidP="004678EE">
      <w:pPr>
        <w:spacing w:line="288" w:lineRule="auto"/>
        <w:jc w:val="both"/>
        <w:rPr>
          <w:rFonts w:ascii="Georgia" w:hAnsi="Georgia" w:cs="Arial"/>
          <w:sz w:val="24"/>
          <w:szCs w:val="24"/>
          <w:lang w:val="es-419"/>
        </w:rPr>
      </w:pPr>
    </w:p>
    <w:p w:rsidR="00326210" w:rsidRPr="00326210" w:rsidRDefault="00326210" w:rsidP="004678EE">
      <w:pPr>
        <w:spacing w:line="288" w:lineRule="auto"/>
        <w:jc w:val="both"/>
        <w:rPr>
          <w:rFonts w:ascii="Georgia" w:hAnsi="Georgia" w:cs="Arial"/>
          <w:sz w:val="24"/>
          <w:szCs w:val="24"/>
          <w:lang w:val="es-419"/>
        </w:rPr>
      </w:pPr>
      <w:r w:rsidRPr="00326210">
        <w:rPr>
          <w:rFonts w:ascii="Georgia" w:hAnsi="Georgia" w:cs="Arial"/>
          <w:sz w:val="24"/>
          <w:szCs w:val="24"/>
          <w:lang w:val="es-419"/>
        </w:rPr>
        <w:t>La demanda fue radicada en el Juzgado Civil del Circuito de Dosquebradas el 27-11-2012 y admitida (</w:t>
      </w:r>
      <w:r w:rsidRPr="00326210">
        <w:rPr>
          <w:rFonts w:ascii="Georgia" w:hAnsi="Georgia" w:cs="Arial"/>
          <w:sz w:val="22"/>
          <w:szCs w:val="24"/>
          <w:lang w:val="es-419"/>
        </w:rPr>
        <w:t>Previa inadmisión, folio 40, cuaderno principal</w:t>
      </w:r>
      <w:r w:rsidRPr="00326210">
        <w:rPr>
          <w:rFonts w:ascii="Georgia" w:hAnsi="Georgia" w:cs="Arial"/>
          <w:sz w:val="24"/>
          <w:szCs w:val="24"/>
          <w:lang w:val="es-419"/>
        </w:rPr>
        <w:t>) con proveído del 18-01-2013, se ordenó darle trámite de proceso agrario, notificar y correr traslado, entre otros ordenamientos (</w:t>
      </w:r>
      <w:r w:rsidRPr="00326210">
        <w:rPr>
          <w:rFonts w:ascii="Georgia" w:hAnsi="Georgia" w:cs="Arial"/>
          <w:sz w:val="22"/>
          <w:szCs w:val="24"/>
          <w:lang w:val="es-419"/>
        </w:rPr>
        <w:t>Folios 42-43, cuaderno principal</w:t>
      </w:r>
      <w:r w:rsidRPr="00326210">
        <w:rPr>
          <w:rFonts w:ascii="Georgia" w:hAnsi="Georgia" w:cs="Arial"/>
          <w:sz w:val="24"/>
          <w:szCs w:val="24"/>
          <w:lang w:val="es-419"/>
        </w:rPr>
        <w:t xml:space="preserve">). El 04-04-2013, se tuvieron por </w:t>
      </w:r>
      <w:r w:rsidRPr="00326210">
        <w:rPr>
          <w:rFonts w:ascii="Georgia" w:hAnsi="Georgia" w:cs="Arial"/>
          <w:sz w:val="24"/>
          <w:szCs w:val="24"/>
          <w:lang w:val="es-419"/>
        </w:rPr>
        <w:lastRenderedPageBreak/>
        <w:t>notificados por conducta concluyente algunos de los codemandados y se dispuso el emplazamiento de otros (</w:t>
      </w:r>
      <w:r w:rsidRPr="00326210">
        <w:rPr>
          <w:rFonts w:ascii="Georgia" w:hAnsi="Georgia" w:cs="Arial"/>
          <w:sz w:val="22"/>
          <w:szCs w:val="24"/>
          <w:lang w:val="es-419"/>
        </w:rPr>
        <w:t>Folios 56-57, cuaderno principal</w:t>
      </w:r>
      <w:r w:rsidRPr="00326210">
        <w:rPr>
          <w:rFonts w:ascii="Georgia" w:hAnsi="Georgia" w:cs="Arial"/>
          <w:sz w:val="24"/>
          <w:szCs w:val="24"/>
          <w:lang w:val="es-419"/>
        </w:rPr>
        <w:t xml:space="preserve">). </w:t>
      </w:r>
    </w:p>
    <w:p w:rsidR="00326210" w:rsidRPr="00326210" w:rsidRDefault="00326210" w:rsidP="004678EE">
      <w:pPr>
        <w:tabs>
          <w:tab w:val="left" w:pos="3495"/>
        </w:tabs>
        <w:spacing w:line="288" w:lineRule="auto"/>
        <w:jc w:val="both"/>
        <w:rPr>
          <w:rFonts w:ascii="Georgia" w:hAnsi="Georgia" w:cs="Arial"/>
          <w:sz w:val="24"/>
          <w:szCs w:val="24"/>
          <w:lang w:val="es-419"/>
        </w:rPr>
      </w:pPr>
      <w:r w:rsidRPr="00326210">
        <w:rPr>
          <w:rFonts w:ascii="Georgia" w:hAnsi="Georgia" w:cs="Arial"/>
          <w:sz w:val="24"/>
          <w:szCs w:val="24"/>
          <w:lang w:val="es-419"/>
        </w:rPr>
        <w:tab/>
      </w:r>
    </w:p>
    <w:p w:rsidR="00326210" w:rsidRPr="00326210" w:rsidRDefault="00326210" w:rsidP="004678EE">
      <w:pPr>
        <w:spacing w:line="288" w:lineRule="auto"/>
        <w:jc w:val="both"/>
        <w:rPr>
          <w:rFonts w:ascii="Georgia" w:hAnsi="Georgia" w:cs="Arial"/>
          <w:sz w:val="24"/>
          <w:szCs w:val="24"/>
          <w:lang w:val="es-419"/>
        </w:rPr>
      </w:pPr>
      <w:r w:rsidRPr="00326210">
        <w:rPr>
          <w:rFonts w:ascii="Georgia" w:hAnsi="Georgia" w:cs="Arial"/>
          <w:sz w:val="24"/>
          <w:szCs w:val="24"/>
          <w:lang w:val="es-419"/>
        </w:rPr>
        <w:t>Allegada la constancia de publicación en el periódico (</w:t>
      </w:r>
      <w:r w:rsidRPr="00326210">
        <w:rPr>
          <w:rFonts w:ascii="Georgia" w:hAnsi="Georgia" w:cs="Arial"/>
          <w:sz w:val="22"/>
          <w:szCs w:val="24"/>
          <w:lang w:val="es-419"/>
        </w:rPr>
        <w:t>Folio 59, cuaderno principal</w:t>
      </w:r>
      <w:r w:rsidRPr="00326210">
        <w:rPr>
          <w:rFonts w:ascii="Georgia" w:hAnsi="Georgia" w:cs="Arial"/>
          <w:sz w:val="24"/>
          <w:szCs w:val="24"/>
          <w:lang w:val="es-419"/>
        </w:rPr>
        <w:t xml:space="preserve">), con auto del 05-06-2013 se nombró curador </w:t>
      </w:r>
      <w:r w:rsidRPr="00326210">
        <w:rPr>
          <w:rFonts w:ascii="Georgia" w:hAnsi="Georgia" w:cs="Arial"/>
          <w:i/>
          <w:sz w:val="22"/>
          <w:szCs w:val="24"/>
          <w:lang w:val="es-419"/>
        </w:rPr>
        <w:t xml:space="preserve">ad litem  </w:t>
      </w:r>
      <w:r w:rsidRPr="00326210">
        <w:rPr>
          <w:rFonts w:ascii="Georgia" w:hAnsi="Georgia" w:cs="Arial"/>
          <w:sz w:val="24"/>
          <w:szCs w:val="24"/>
          <w:lang w:val="es-419"/>
        </w:rPr>
        <w:t>(</w:t>
      </w:r>
      <w:r w:rsidRPr="00326210">
        <w:rPr>
          <w:rFonts w:ascii="Georgia" w:hAnsi="Georgia" w:cs="Arial"/>
          <w:sz w:val="22"/>
          <w:szCs w:val="24"/>
          <w:lang w:val="es-419"/>
        </w:rPr>
        <w:t>Folio 61, ibídem</w:t>
      </w:r>
      <w:r w:rsidRPr="00326210">
        <w:rPr>
          <w:rFonts w:ascii="Georgia" w:hAnsi="Georgia" w:cs="Arial"/>
          <w:sz w:val="24"/>
          <w:szCs w:val="24"/>
          <w:lang w:val="es-419"/>
        </w:rPr>
        <w:t>), quien contestó la demanda (</w:t>
      </w:r>
      <w:r w:rsidRPr="00326210">
        <w:rPr>
          <w:rFonts w:ascii="Georgia" w:hAnsi="Georgia" w:cs="Arial"/>
          <w:sz w:val="22"/>
          <w:szCs w:val="24"/>
          <w:lang w:val="es-419"/>
        </w:rPr>
        <w:t>Folios 67-70, ibídem</w:t>
      </w:r>
      <w:r w:rsidRPr="00326210">
        <w:rPr>
          <w:rFonts w:ascii="Georgia" w:hAnsi="Georgia" w:cs="Arial"/>
          <w:sz w:val="24"/>
          <w:szCs w:val="24"/>
          <w:lang w:val="es-419"/>
        </w:rPr>
        <w:t>) y, por su parte, el demandado Juan Gabriel García Patiño fue notificado por aviso y contestó a través de apoderado designado en amparo de pobreza (</w:t>
      </w:r>
      <w:r w:rsidRPr="00326210">
        <w:rPr>
          <w:rFonts w:ascii="Georgia" w:hAnsi="Georgia" w:cs="Arial"/>
          <w:sz w:val="22"/>
          <w:szCs w:val="24"/>
          <w:lang w:val="es-419"/>
        </w:rPr>
        <w:t>Folios 72-82, ibídem</w:t>
      </w:r>
      <w:r w:rsidRPr="00326210">
        <w:rPr>
          <w:rFonts w:ascii="Georgia" w:hAnsi="Georgia" w:cs="Arial"/>
          <w:sz w:val="24"/>
          <w:szCs w:val="24"/>
          <w:lang w:val="es-419"/>
        </w:rPr>
        <w:t xml:space="preserve">). </w:t>
      </w:r>
    </w:p>
    <w:p w:rsidR="00326210" w:rsidRPr="00326210" w:rsidRDefault="00326210" w:rsidP="004678EE">
      <w:pPr>
        <w:spacing w:line="288" w:lineRule="auto"/>
        <w:jc w:val="both"/>
        <w:rPr>
          <w:rFonts w:ascii="Georgia" w:hAnsi="Georgia" w:cs="Arial"/>
          <w:sz w:val="24"/>
          <w:szCs w:val="24"/>
          <w:lang w:val="es-419"/>
        </w:rPr>
      </w:pPr>
    </w:p>
    <w:p w:rsidR="00326210" w:rsidRPr="00326210" w:rsidRDefault="00326210" w:rsidP="004678EE">
      <w:pPr>
        <w:spacing w:line="288" w:lineRule="auto"/>
        <w:jc w:val="both"/>
        <w:rPr>
          <w:rFonts w:ascii="Georgia" w:hAnsi="Georgia" w:cs="Arial"/>
          <w:sz w:val="24"/>
          <w:szCs w:val="24"/>
          <w:lang w:val="es-419"/>
        </w:rPr>
      </w:pPr>
      <w:r w:rsidRPr="00326210">
        <w:rPr>
          <w:rFonts w:ascii="Georgia" w:hAnsi="Georgia" w:cs="Arial"/>
          <w:sz w:val="24"/>
          <w:szCs w:val="24"/>
          <w:lang w:val="es-419"/>
        </w:rPr>
        <w:t>La audiencia del artículo 45 del Decreto 2303 de 1989, se cumplió el 19-06-2014 y allí se decretaron las pruebas (</w:t>
      </w:r>
      <w:r w:rsidRPr="00326210">
        <w:rPr>
          <w:rFonts w:ascii="Georgia" w:hAnsi="Georgia" w:cs="Arial"/>
          <w:sz w:val="22"/>
          <w:szCs w:val="24"/>
          <w:lang w:val="es-419"/>
        </w:rPr>
        <w:t>Folios 94-97, ib.</w:t>
      </w:r>
      <w:r w:rsidRPr="00326210">
        <w:rPr>
          <w:rFonts w:ascii="Georgia" w:hAnsi="Georgia" w:cs="Arial"/>
          <w:sz w:val="24"/>
          <w:szCs w:val="24"/>
          <w:lang w:val="es-419"/>
        </w:rPr>
        <w:t>), a continuación, y acorde con lo advertido en la inspección judicial (</w:t>
      </w:r>
      <w:r w:rsidRPr="00326210">
        <w:rPr>
          <w:rFonts w:ascii="Georgia" w:hAnsi="Georgia" w:cs="Arial"/>
          <w:sz w:val="22"/>
          <w:szCs w:val="24"/>
          <w:lang w:val="es-419"/>
        </w:rPr>
        <w:t>Folios 17-19, cuaderno No.5, pruebas comunes</w:t>
      </w:r>
      <w:r w:rsidRPr="00326210">
        <w:rPr>
          <w:rFonts w:ascii="Georgia" w:hAnsi="Georgia" w:cs="Arial"/>
          <w:sz w:val="24"/>
          <w:szCs w:val="24"/>
          <w:lang w:val="es-419"/>
        </w:rPr>
        <w:t>), se ordenó tener como litisconsorte a la señora Elvira García Suárez (</w:t>
      </w:r>
      <w:r w:rsidRPr="00326210">
        <w:rPr>
          <w:rFonts w:ascii="Georgia" w:hAnsi="Georgia" w:cs="Arial"/>
          <w:sz w:val="22"/>
          <w:szCs w:val="22"/>
          <w:lang w:val="es-419"/>
        </w:rPr>
        <w:t>Folio 98-102, cuaderno principal</w:t>
      </w:r>
      <w:r w:rsidRPr="00326210">
        <w:rPr>
          <w:rFonts w:ascii="Georgia" w:hAnsi="Georgia" w:cs="Arial"/>
          <w:sz w:val="24"/>
          <w:szCs w:val="24"/>
          <w:lang w:val="es-419"/>
        </w:rPr>
        <w:t>), quien compareció sin oponerse a las pretensiones (</w:t>
      </w:r>
      <w:r w:rsidRPr="00326210">
        <w:rPr>
          <w:rFonts w:ascii="Georgia" w:hAnsi="Georgia" w:cs="Arial"/>
          <w:sz w:val="22"/>
          <w:szCs w:val="24"/>
          <w:lang w:val="es-419"/>
        </w:rPr>
        <w:t>Folio 104, ib.</w:t>
      </w:r>
      <w:r w:rsidRPr="00326210">
        <w:rPr>
          <w:rFonts w:ascii="Georgia" w:hAnsi="Georgia" w:cs="Arial"/>
          <w:sz w:val="24"/>
          <w:szCs w:val="24"/>
          <w:lang w:val="es-419"/>
        </w:rPr>
        <w:t>). Posteriormente, se evidenció que la citación de la señora García Suárez, se hizo sin la aportación del certificado de tradición del inmueble para acreditar su calidad de propietaria, por lo que se requirió (</w:t>
      </w:r>
      <w:r w:rsidRPr="00326210">
        <w:rPr>
          <w:rFonts w:ascii="Georgia" w:hAnsi="Georgia" w:cs="Arial"/>
          <w:sz w:val="22"/>
          <w:szCs w:val="24"/>
          <w:lang w:val="es-419"/>
        </w:rPr>
        <w:t>Folio 113, ib.</w:t>
      </w:r>
      <w:r w:rsidRPr="00326210">
        <w:rPr>
          <w:rFonts w:ascii="Georgia" w:hAnsi="Georgia" w:cs="Arial"/>
          <w:sz w:val="24"/>
          <w:szCs w:val="24"/>
          <w:lang w:val="es-419"/>
        </w:rPr>
        <w:t>).</w:t>
      </w:r>
    </w:p>
    <w:p w:rsidR="00326210" w:rsidRPr="00326210" w:rsidRDefault="00326210" w:rsidP="004678EE">
      <w:pPr>
        <w:spacing w:line="288" w:lineRule="auto"/>
        <w:jc w:val="both"/>
        <w:rPr>
          <w:rFonts w:ascii="Georgia" w:hAnsi="Georgia" w:cs="Arial"/>
          <w:sz w:val="24"/>
          <w:szCs w:val="24"/>
          <w:lang w:val="es-419"/>
        </w:rPr>
      </w:pPr>
    </w:p>
    <w:p w:rsidR="00326210" w:rsidRPr="00326210" w:rsidRDefault="00326210" w:rsidP="004678EE">
      <w:pPr>
        <w:spacing w:line="288" w:lineRule="auto"/>
        <w:jc w:val="both"/>
        <w:rPr>
          <w:rFonts w:ascii="Georgia" w:hAnsi="Georgia" w:cs="Arial"/>
          <w:sz w:val="24"/>
          <w:szCs w:val="24"/>
          <w:lang w:val="es-419"/>
        </w:rPr>
      </w:pPr>
      <w:r w:rsidRPr="00326210">
        <w:rPr>
          <w:rFonts w:ascii="Georgia" w:hAnsi="Georgia" w:cs="Arial"/>
          <w:sz w:val="24"/>
          <w:szCs w:val="24"/>
          <w:lang w:val="es-419"/>
        </w:rPr>
        <w:t>Incorporado ese documento (</w:t>
      </w:r>
      <w:r w:rsidRPr="00326210">
        <w:rPr>
          <w:rFonts w:ascii="Georgia" w:hAnsi="Georgia" w:cs="Arial"/>
          <w:sz w:val="22"/>
          <w:szCs w:val="24"/>
          <w:lang w:val="es-419"/>
        </w:rPr>
        <w:t>Folio 120, ib.</w:t>
      </w:r>
      <w:r w:rsidRPr="00326210">
        <w:rPr>
          <w:rFonts w:ascii="Georgia" w:hAnsi="Georgia" w:cs="Arial"/>
          <w:sz w:val="24"/>
          <w:szCs w:val="24"/>
          <w:lang w:val="es-419"/>
        </w:rPr>
        <w:t>), se dispuso, también, la notificación de quienes se entendió debían integrar la litis (</w:t>
      </w:r>
      <w:r w:rsidRPr="00326210">
        <w:rPr>
          <w:rFonts w:ascii="Georgia" w:hAnsi="Georgia" w:cs="Arial"/>
          <w:sz w:val="22"/>
          <w:szCs w:val="24"/>
          <w:lang w:val="es-419"/>
        </w:rPr>
        <w:t>Folio 125, ib.</w:t>
      </w:r>
      <w:r w:rsidRPr="00326210">
        <w:rPr>
          <w:rFonts w:ascii="Georgia" w:hAnsi="Georgia" w:cs="Arial"/>
          <w:sz w:val="24"/>
          <w:szCs w:val="24"/>
          <w:lang w:val="es-419"/>
        </w:rPr>
        <w:t>) y, luego, el 23-05-2017 se ordenó emplazarlos en los términos del CGP (</w:t>
      </w:r>
      <w:r w:rsidRPr="00326210">
        <w:rPr>
          <w:rFonts w:ascii="Georgia" w:hAnsi="Georgia" w:cs="Arial"/>
          <w:sz w:val="22"/>
          <w:szCs w:val="24"/>
          <w:lang w:val="es-419"/>
        </w:rPr>
        <w:t>Folio 127, ib.</w:t>
      </w:r>
      <w:r w:rsidRPr="00326210">
        <w:rPr>
          <w:rFonts w:ascii="Georgia" w:hAnsi="Georgia" w:cs="Arial"/>
          <w:sz w:val="24"/>
          <w:szCs w:val="24"/>
          <w:lang w:val="es-419"/>
        </w:rPr>
        <w:t>), pues desde el 26-02-2016 se había aplicado el tránsito de legislación al proceso (</w:t>
      </w:r>
      <w:r w:rsidRPr="00326210">
        <w:rPr>
          <w:rFonts w:ascii="Georgia" w:hAnsi="Georgia" w:cs="Arial"/>
          <w:sz w:val="22"/>
          <w:szCs w:val="24"/>
          <w:lang w:val="es-419"/>
        </w:rPr>
        <w:t>Folios 112 y 113, cuaderno No.5 y 112, cuaderno principal</w:t>
      </w:r>
      <w:r w:rsidRPr="00326210">
        <w:rPr>
          <w:rFonts w:ascii="Georgia" w:hAnsi="Georgia" w:cs="Arial"/>
          <w:sz w:val="24"/>
          <w:szCs w:val="24"/>
          <w:lang w:val="es-419"/>
        </w:rPr>
        <w:t>). Presentada la constancia de divulgación en el periódico, se hizo la publicación en el “registro nacional de personas emplazadas para la Rama Judicial” (</w:t>
      </w:r>
      <w:r w:rsidRPr="00326210">
        <w:rPr>
          <w:rFonts w:ascii="Georgia" w:hAnsi="Georgia" w:cs="Arial"/>
          <w:sz w:val="22"/>
          <w:szCs w:val="24"/>
          <w:lang w:val="es-419"/>
        </w:rPr>
        <w:t>Folio 129-130, cuaderno principal</w:t>
      </w:r>
      <w:r w:rsidRPr="00326210">
        <w:rPr>
          <w:rFonts w:ascii="Georgia" w:hAnsi="Georgia" w:cs="Arial"/>
          <w:sz w:val="24"/>
          <w:szCs w:val="24"/>
          <w:lang w:val="es-419"/>
        </w:rPr>
        <w:t xml:space="preserve">), se nombró el curador </w:t>
      </w:r>
      <w:r w:rsidRPr="00326210">
        <w:rPr>
          <w:rFonts w:ascii="Georgia" w:hAnsi="Georgia" w:cs="Arial"/>
          <w:i/>
          <w:sz w:val="22"/>
          <w:szCs w:val="24"/>
          <w:lang w:val="es-419"/>
        </w:rPr>
        <w:t xml:space="preserve">ad litem  </w:t>
      </w:r>
      <w:r w:rsidRPr="00326210">
        <w:rPr>
          <w:rFonts w:ascii="Georgia" w:hAnsi="Georgia" w:cs="Arial"/>
          <w:sz w:val="24"/>
          <w:szCs w:val="24"/>
          <w:lang w:val="es-419"/>
        </w:rPr>
        <w:t>y se dispuso la notificación de Rosa Umil Bedoya Restrepo (</w:t>
      </w:r>
      <w:r w:rsidRPr="00326210">
        <w:rPr>
          <w:rFonts w:ascii="Georgia" w:hAnsi="Georgia" w:cs="Arial"/>
          <w:sz w:val="22"/>
          <w:szCs w:val="24"/>
          <w:lang w:val="es-419"/>
        </w:rPr>
        <w:t>Folios 131 y 134, ibídem</w:t>
      </w:r>
      <w:r w:rsidRPr="00326210">
        <w:rPr>
          <w:rFonts w:ascii="Georgia" w:hAnsi="Georgia" w:cs="Arial"/>
          <w:sz w:val="24"/>
          <w:szCs w:val="24"/>
          <w:lang w:val="es-419"/>
        </w:rPr>
        <w:t xml:space="preserve">), quien guardó silencio. </w:t>
      </w:r>
    </w:p>
    <w:p w:rsidR="00326210" w:rsidRPr="00326210" w:rsidRDefault="00326210" w:rsidP="004678EE">
      <w:pPr>
        <w:spacing w:line="288" w:lineRule="auto"/>
        <w:jc w:val="both"/>
        <w:rPr>
          <w:rFonts w:ascii="Georgia" w:hAnsi="Georgia" w:cs="Arial"/>
          <w:sz w:val="24"/>
          <w:szCs w:val="24"/>
          <w:lang w:val="es-419"/>
        </w:rPr>
      </w:pPr>
    </w:p>
    <w:p w:rsidR="00326210" w:rsidRPr="00326210" w:rsidRDefault="00326210" w:rsidP="004678EE">
      <w:pPr>
        <w:spacing w:line="288" w:lineRule="auto"/>
        <w:jc w:val="both"/>
        <w:rPr>
          <w:rFonts w:ascii="Georgia" w:hAnsi="Georgia" w:cs="Arial"/>
          <w:sz w:val="24"/>
          <w:szCs w:val="24"/>
          <w:lang w:val="es-419"/>
        </w:rPr>
      </w:pPr>
      <w:r w:rsidRPr="00326210">
        <w:rPr>
          <w:rFonts w:ascii="Georgia" w:hAnsi="Georgia" w:cs="Arial"/>
          <w:sz w:val="24"/>
          <w:szCs w:val="24"/>
          <w:lang w:val="es-419"/>
        </w:rPr>
        <w:t>Entretanto, el nuevo funcionario designado en ese Despacho, se declaró impedido y remitido el proceso al Juzgado 3º Civil del Circuito local, asumió la competencia, volvió a ordenar el tránsito de legislación y citó a audiencia, pero previamente comunicó la existencia del proceso y su estado a la Procuraduría Agraria -Regional Manizales-.</w:t>
      </w:r>
    </w:p>
    <w:p w:rsidR="00326210" w:rsidRPr="00326210" w:rsidRDefault="00326210" w:rsidP="004678EE">
      <w:pPr>
        <w:tabs>
          <w:tab w:val="left" w:pos="1530"/>
        </w:tabs>
        <w:spacing w:line="288" w:lineRule="auto"/>
        <w:jc w:val="both"/>
        <w:rPr>
          <w:rFonts w:ascii="Georgia" w:hAnsi="Georgia" w:cs="Arial"/>
          <w:sz w:val="24"/>
          <w:szCs w:val="24"/>
          <w:lang w:val="es-419"/>
        </w:rPr>
      </w:pPr>
      <w:r w:rsidRPr="00326210">
        <w:rPr>
          <w:rFonts w:ascii="Georgia" w:hAnsi="Georgia" w:cs="Arial"/>
          <w:sz w:val="24"/>
          <w:szCs w:val="24"/>
          <w:lang w:val="es-419"/>
        </w:rPr>
        <w:tab/>
      </w:r>
    </w:p>
    <w:p w:rsidR="00326210" w:rsidRPr="00326210" w:rsidRDefault="00326210" w:rsidP="004678EE">
      <w:pPr>
        <w:spacing w:line="288" w:lineRule="auto"/>
        <w:jc w:val="both"/>
        <w:rPr>
          <w:rFonts w:ascii="Georgia" w:hAnsi="Georgia" w:cs="Arial"/>
          <w:sz w:val="24"/>
          <w:szCs w:val="24"/>
          <w:lang w:val="es-419"/>
        </w:rPr>
      </w:pPr>
      <w:r w:rsidRPr="00326210">
        <w:rPr>
          <w:rFonts w:ascii="Georgia" w:hAnsi="Georgia" w:cs="Arial"/>
          <w:sz w:val="24"/>
          <w:szCs w:val="24"/>
          <w:lang w:val="es-419"/>
        </w:rPr>
        <w:t>Finalmente, el 25-10-2018 se hizo la audiencia inicial (</w:t>
      </w:r>
      <w:r w:rsidRPr="00326210">
        <w:rPr>
          <w:rFonts w:ascii="Georgia" w:hAnsi="Georgia" w:cs="Arial"/>
          <w:sz w:val="22"/>
          <w:szCs w:val="24"/>
          <w:lang w:val="es-419"/>
        </w:rPr>
        <w:t>Folios 155-157, ib.</w:t>
      </w:r>
      <w:r w:rsidRPr="00326210">
        <w:rPr>
          <w:rFonts w:ascii="Georgia" w:hAnsi="Georgia" w:cs="Arial"/>
          <w:sz w:val="24"/>
          <w:szCs w:val="24"/>
          <w:lang w:val="es-419"/>
        </w:rPr>
        <w:t>) y el 04-02-2019 la de instrucción y juzgamiento, en la que se practicaron algunas las pruebas, se escucharon las alegaciones y fue emitida sentencia estimatoria (</w:t>
      </w:r>
      <w:r w:rsidRPr="00326210">
        <w:rPr>
          <w:rFonts w:ascii="Georgia" w:hAnsi="Georgia" w:cs="Arial"/>
          <w:sz w:val="22"/>
          <w:szCs w:val="24"/>
          <w:lang w:val="es-419"/>
        </w:rPr>
        <w:t>Folios 201-204, ib.</w:t>
      </w:r>
      <w:r w:rsidRPr="00326210">
        <w:rPr>
          <w:rFonts w:ascii="Georgia" w:hAnsi="Georgia" w:cs="Arial"/>
          <w:sz w:val="24"/>
          <w:szCs w:val="24"/>
          <w:lang w:val="es-419"/>
        </w:rPr>
        <w:t>), que apelada por el demandado Juan Gabriel García Patiño, obligó a la remisión del expediente a esta Sala (Folios 183-193, ib.).</w:t>
      </w:r>
    </w:p>
    <w:p w:rsidR="00326210" w:rsidRPr="00326210" w:rsidRDefault="00326210" w:rsidP="004678EE">
      <w:pPr>
        <w:spacing w:line="288" w:lineRule="auto"/>
        <w:jc w:val="both"/>
        <w:rPr>
          <w:rFonts w:ascii="Georgia" w:hAnsi="Georgia" w:cs="Arial"/>
          <w:sz w:val="24"/>
          <w:szCs w:val="24"/>
          <w:lang w:val="es-419"/>
        </w:rPr>
      </w:pPr>
    </w:p>
    <w:p w:rsidR="00326210" w:rsidRPr="00326210" w:rsidRDefault="00326210" w:rsidP="004678EE">
      <w:pPr>
        <w:pStyle w:val="Prrafodelista"/>
        <w:numPr>
          <w:ilvl w:val="0"/>
          <w:numId w:val="1"/>
        </w:numPr>
        <w:tabs>
          <w:tab w:val="left" w:pos="-720"/>
        </w:tabs>
        <w:suppressAutoHyphens/>
        <w:spacing w:line="288" w:lineRule="auto"/>
        <w:jc w:val="both"/>
        <w:rPr>
          <w:rFonts w:ascii="Georgia" w:hAnsi="Georgia" w:cs="Arial"/>
          <w:smallCaps/>
          <w:spacing w:val="-3"/>
          <w:sz w:val="26"/>
          <w:szCs w:val="24"/>
          <w:lang w:val="es-419"/>
        </w:rPr>
      </w:pPr>
      <w:r w:rsidRPr="00326210">
        <w:rPr>
          <w:rFonts w:ascii="Georgia" w:hAnsi="Georgia" w:cs="Arial"/>
          <w:smallCaps/>
          <w:spacing w:val="-3"/>
          <w:sz w:val="26"/>
          <w:szCs w:val="24"/>
          <w:lang w:val="es-419"/>
        </w:rPr>
        <w:t>las estimaciones jurídicas para decidir</w:t>
      </w:r>
    </w:p>
    <w:p w:rsidR="00326210" w:rsidRPr="00326210" w:rsidRDefault="00326210" w:rsidP="004678EE">
      <w:pPr>
        <w:pStyle w:val="Sinespaciado"/>
        <w:widowControl/>
        <w:autoSpaceDE/>
        <w:autoSpaceDN/>
        <w:adjustRightInd/>
        <w:spacing w:line="288" w:lineRule="auto"/>
        <w:ind w:left="360"/>
        <w:jc w:val="both"/>
        <w:rPr>
          <w:rFonts w:ascii="Georgia" w:hAnsi="Georgia" w:cs="Arial"/>
          <w:sz w:val="18"/>
          <w:lang w:val="es-419"/>
        </w:rPr>
      </w:pPr>
    </w:p>
    <w:p w:rsidR="00326210" w:rsidRPr="00326210" w:rsidRDefault="00326210" w:rsidP="004678EE">
      <w:pPr>
        <w:pStyle w:val="Sinespaciado"/>
        <w:widowControl/>
        <w:numPr>
          <w:ilvl w:val="1"/>
          <w:numId w:val="1"/>
        </w:numPr>
        <w:autoSpaceDE/>
        <w:autoSpaceDN/>
        <w:adjustRightInd/>
        <w:spacing w:line="288" w:lineRule="auto"/>
        <w:jc w:val="both"/>
        <w:rPr>
          <w:rFonts w:ascii="Georgia" w:hAnsi="Georgia" w:cs="Arial"/>
          <w:smallCaps/>
          <w:lang w:val="es-419"/>
        </w:rPr>
      </w:pPr>
      <w:r w:rsidRPr="00326210">
        <w:rPr>
          <w:rFonts w:ascii="Georgia" w:hAnsi="Georgia" w:cs="Arial"/>
          <w:smallCaps/>
          <w:lang w:val="es-419"/>
        </w:rPr>
        <w:t>El régimen de las nulidades procesales</w:t>
      </w:r>
    </w:p>
    <w:p w:rsidR="00326210" w:rsidRPr="00326210" w:rsidRDefault="00326210" w:rsidP="004678EE">
      <w:pPr>
        <w:pStyle w:val="Sinespaciado"/>
        <w:widowControl/>
        <w:autoSpaceDE/>
        <w:autoSpaceDN/>
        <w:adjustRightInd/>
        <w:spacing w:line="288" w:lineRule="auto"/>
        <w:jc w:val="both"/>
        <w:rPr>
          <w:rFonts w:ascii="Georgia" w:hAnsi="Georgia" w:cs="Arial"/>
          <w:lang w:val="es-419"/>
        </w:rPr>
      </w:pPr>
    </w:p>
    <w:p w:rsidR="00326210" w:rsidRPr="00326210" w:rsidRDefault="00326210" w:rsidP="004678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szCs w:val="22"/>
          <w:lang w:val="es-419"/>
        </w:rPr>
      </w:pPr>
      <w:r w:rsidRPr="00326210">
        <w:rPr>
          <w:rFonts w:ascii="Georgia" w:hAnsi="Georgia" w:cs="Arial"/>
          <w:sz w:val="24"/>
          <w:szCs w:val="22"/>
          <w:lang w:val="es-419"/>
        </w:rPr>
        <w:t>La institución de las nulidades de tipo procedimental está consagrada con el propósito de salvaguardar el derecho constitucional del “debido proceso” y su derivado natural, el derecho de defensa (</w:t>
      </w:r>
      <w:r w:rsidRPr="00326210">
        <w:rPr>
          <w:rFonts w:ascii="Georgia" w:hAnsi="Georgia" w:cs="Arial"/>
          <w:sz w:val="22"/>
          <w:szCs w:val="22"/>
          <w:lang w:val="es-419"/>
        </w:rPr>
        <w:t>Artículo 29, CP</w:t>
      </w:r>
      <w:r w:rsidRPr="00326210">
        <w:rPr>
          <w:rFonts w:ascii="Georgia" w:hAnsi="Georgia" w:cs="Arial"/>
          <w:sz w:val="24"/>
          <w:szCs w:val="22"/>
          <w:lang w:val="es-419"/>
        </w:rPr>
        <w:t>).</w:t>
      </w:r>
    </w:p>
    <w:p w:rsidR="00326210" w:rsidRPr="00326210" w:rsidRDefault="00326210" w:rsidP="004678EE">
      <w:pPr>
        <w:spacing w:line="288" w:lineRule="auto"/>
        <w:jc w:val="both"/>
        <w:rPr>
          <w:rFonts w:ascii="Georgia" w:hAnsi="Georgia" w:cs="Arial"/>
          <w:sz w:val="22"/>
          <w:szCs w:val="26"/>
          <w:lang w:val="es-419"/>
        </w:rPr>
      </w:pPr>
    </w:p>
    <w:p w:rsidR="00326210" w:rsidRPr="00326210" w:rsidRDefault="00326210" w:rsidP="004678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szCs w:val="22"/>
          <w:lang w:val="es-419"/>
        </w:rPr>
      </w:pPr>
      <w:r w:rsidRPr="00326210">
        <w:rPr>
          <w:rFonts w:ascii="Georgia" w:hAnsi="Georgia" w:cs="Arial"/>
          <w:sz w:val="24"/>
          <w:szCs w:val="22"/>
          <w:lang w:val="es-419"/>
        </w:rPr>
        <w:lastRenderedPageBreak/>
        <w:t>El régimen establecido por la Codificación Ritual Civil, está informado por el principio de la taxatividad o especificidad, por cuya razón las causales de anulación, única y exclusivamente son las estipuladas en los artículos 140 y 141, CPC, estatuto aplicable acorde con lo dispuesto en el artículo 625-5º, CGP, pues si bien se hizo tránsito de legislación y la sentencia es emitida en vigencia de ese estatuto, la actuación estimada anómala se surtió en vigencia del CPC, sin que sobre precisar que la causal consagrada en el CGP, guarda identidad con la estatuida en el anterior ordenamiento.</w:t>
      </w:r>
    </w:p>
    <w:p w:rsidR="00326210" w:rsidRPr="00326210" w:rsidRDefault="00326210" w:rsidP="004678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i/>
          <w:sz w:val="24"/>
          <w:szCs w:val="22"/>
          <w:lang w:val="es-419"/>
        </w:rPr>
      </w:pPr>
    </w:p>
    <w:p w:rsidR="00326210" w:rsidRPr="00326210" w:rsidRDefault="00326210" w:rsidP="004678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szCs w:val="22"/>
          <w:lang w:val="es-419"/>
        </w:rPr>
      </w:pPr>
      <w:r w:rsidRPr="00326210">
        <w:rPr>
          <w:rFonts w:ascii="Georgia" w:hAnsi="Georgia" w:cs="Arial"/>
          <w:sz w:val="24"/>
          <w:szCs w:val="24"/>
          <w:lang w:val="es-419"/>
        </w:rPr>
        <w:t>Sobre la restricción de las causales, en forma pacífica, puede consultarse a los profesores Canosa T.</w:t>
      </w:r>
      <w:r w:rsidRPr="00326210">
        <w:rPr>
          <w:rStyle w:val="Refdenotaalpie"/>
          <w:rFonts w:ascii="Georgia" w:hAnsi="Georgia" w:cs="Arial"/>
          <w:sz w:val="24"/>
          <w:szCs w:val="24"/>
          <w:lang w:val="es-419"/>
        </w:rPr>
        <w:footnoteReference w:id="1"/>
      </w:r>
      <w:r w:rsidRPr="00326210">
        <w:rPr>
          <w:rFonts w:ascii="Georgia" w:hAnsi="Georgia" w:cs="Arial"/>
          <w:sz w:val="24"/>
          <w:szCs w:val="24"/>
          <w:lang w:val="es-419"/>
        </w:rPr>
        <w:t>, López B.</w:t>
      </w:r>
      <w:r w:rsidRPr="00326210">
        <w:rPr>
          <w:rStyle w:val="Refdenotaalpie"/>
          <w:rFonts w:ascii="Georgia" w:hAnsi="Georgia" w:cs="Arial"/>
          <w:sz w:val="24"/>
          <w:szCs w:val="24"/>
          <w:lang w:val="es-419"/>
        </w:rPr>
        <w:footnoteReference w:id="2"/>
      </w:r>
      <w:r w:rsidRPr="00326210">
        <w:rPr>
          <w:rFonts w:ascii="Georgia" w:hAnsi="Georgia" w:cs="Arial"/>
          <w:sz w:val="24"/>
          <w:szCs w:val="24"/>
          <w:lang w:val="es-419"/>
        </w:rPr>
        <w:t>, Azula C.</w:t>
      </w:r>
      <w:r w:rsidRPr="00326210">
        <w:rPr>
          <w:rStyle w:val="Refdenotaalpie"/>
          <w:rFonts w:ascii="Georgia" w:hAnsi="Georgia" w:cs="Arial"/>
          <w:sz w:val="24"/>
          <w:szCs w:val="24"/>
          <w:lang w:val="es-419"/>
        </w:rPr>
        <w:footnoteReference w:id="3"/>
      </w:r>
      <w:r w:rsidRPr="00326210">
        <w:rPr>
          <w:rFonts w:ascii="Georgia" w:hAnsi="Georgia" w:cs="Arial"/>
          <w:sz w:val="24"/>
          <w:szCs w:val="24"/>
          <w:lang w:val="es-419"/>
        </w:rPr>
        <w:t xml:space="preserve"> y Rojas G.</w:t>
      </w:r>
      <w:r w:rsidRPr="00326210">
        <w:rPr>
          <w:rStyle w:val="Refdenotaalpie"/>
          <w:rFonts w:ascii="Georgia" w:hAnsi="Georgia" w:cs="Arial"/>
          <w:sz w:val="24"/>
          <w:szCs w:val="24"/>
          <w:lang w:val="es-419"/>
        </w:rPr>
        <w:footnoteReference w:id="4"/>
      </w:r>
      <w:r w:rsidRPr="00326210">
        <w:rPr>
          <w:rFonts w:ascii="Georgia" w:hAnsi="Georgia" w:cs="Arial"/>
          <w:sz w:val="24"/>
          <w:szCs w:val="24"/>
          <w:lang w:val="es-419"/>
        </w:rPr>
        <w:t xml:space="preserve"> </w:t>
      </w:r>
      <w:r w:rsidRPr="00326210">
        <w:rPr>
          <w:rFonts w:ascii="Georgia" w:hAnsi="Georgia" w:cs="Arial"/>
          <w:sz w:val="24"/>
          <w:szCs w:val="22"/>
          <w:lang w:val="es-419"/>
        </w:rPr>
        <w:t>y Sanabria S.</w:t>
      </w:r>
      <w:r w:rsidRPr="00326210">
        <w:rPr>
          <w:rStyle w:val="Refdenotaalpie"/>
          <w:rFonts w:ascii="Georgia" w:hAnsi="Georgia"/>
          <w:sz w:val="24"/>
          <w:szCs w:val="22"/>
          <w:lang w:val="es-419"/>
        </w:rPr>
        <w:footnoteReference w:id="5"/>
      </w:r>
      <w:r w:rsidRPr="00326210">
        <w:rPr>
          <w:rFonts w:ascii="Georgia" w:hAnsi="Georgia" w:cs="Arial"/>
          <w:sz w:val="24"/>
          <w:szCs w:val="22"/>
          <w:lang w:val="es-419"/>
        </w:rPr>
        <w:t>. Otros principios de igual entidad que permean la figura en comento, son el de preclusión, protección, convalidación, trascendencia y legitimación para invocarla, así lo reconoce la CSJ</w:t>
      </w:r>
      <w:r w:rsidRPr="00326210">
        <w:rPr>
          <w:rStyle w:val="Refdenotaalpie"/>
          <w:rFonts w:ascii="Georgia" w:hAnsi="Georgia"/>
          <w:sz w:val="24"/>
          <w:szCs w:val="22"/>
          <w:lang w:val="es-419"/>
        </w:rPr>
        <w:footnoteReference w:id="6"/>
      </w:r>
      <w:r w:rsidRPr="00326210">
        <w:rPr>
          <w:rFonts w:ascii="Georgia" w:hAnsi="Georgia" w:cs="Arial"/>
          <w:sz w:val="24"/>
          <w:szCs w:val="22"/>
          <w:lang w:val="es-419"/>
        </w:rPr>
        <w:t xml:space="preserve">. </w:t>
      </w:r>
    </w:p>
    <w:p w:rsidR="00326210" w:rsidRPr="00326210" w:rsidRDefault="00326210" w:rsidP="004678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szCs w:val="22"/>
          <w:lang w:val="es-419"/>
        </w:rPr>
      </w:pPr>
    </w:p>
    <w:p w:rsidR="00326210" w:rsidRPr="00326210" w:rsidRDefault="00326210" w:rsidP="004678EE">
      <w:pPr>
        <w:tabs>
          <w:tab w:val="left" w:pos="-720"/>
        </w:tabs>
        <w:suppressAutoHyphens/>
        <w:spacing w:line="288" w:lineRule="auto"/>
        <w:jc w:val="both"/>
        <w:rPr>
          <w:rFonts w:ascii="Georgia" w:hAnsi="Georgia" w:cs="Arial"/>
          <w:sz w:val="24"/>
          <w:lang w:val="es-419"/>
        </w:rPr>
      </w:pPr>
      <w:r w:rsidRPr="00326210">
        <w:rPr>
          <w:rFonts w:ascii="Georgia" w:hAnsi="Georgia" w:cs="Arial"/>
          <w:sz w:val="24"/>
          <w:lang w:val="es-419"/>
        </w:rPr>
        <w:t>Las sentencias C-491 de 1995 y C-217 de 1996, agregaron otra causal, en los siguientes términos:</w:t>
      </w:r>
      <w:r w:rsidRPr="00326210">
        <w:rPr>
          <w:rFonts w:ascii="Georgia" w:hAnsi="Georgia" w:cs="Arial"/>
          <w:lang w:val="es-419"/>
        </w:rPr>
        <w:t xml:space="preserve"> </w:t>
      </w:r>
      <w:r w:rsidRPr="00326210">
        <w:rPr>
          <w:rFonts w:ascii="Georgia" w:hAnsi="Georgia" w:cs="Arial"/>
          <w:i/>
          <w:sz w:val="22"/>
          <w:lang w:val="es-419"/>
        </w:rPr>
        <w:t>“Además de dichas causales legales de nulidad es viable y puede ser invocada la consagrada en el artículo 29 de la Constitución, según el cual es nula, de pleno derecho, la prueba obtenida con violación del debido proceso, (...)”.</w:t>
      </w:r>
      <w:r w:rsidRPr="00326210">
        <w:rPr>
          <w:rFonts w:ascii="Georgia" w:hAnsi="Georgia" w:cs="Arial"/>
          <w:sz w:val="24"/>
          <w:szCs w:val="24"/>
          <w:lang w:val="es-419"/>
        </w:rPr>
        <w:t>Hoy reconocidas en el CGP (</w:t>
      </w:r>
      <w:r w:rsidRPr="00326210">
        <w:rPr>
          <w:rFonts w:ascii="Georgia" w:hAnsi="Georgia" w:cs="Arial"/>
          <w:sz w:val="22"/>
          <w:szCs w:val="24"/>
          <w:lang w:val="es-419"/>
        </w:rPr>
        <w:t>Artículos 14, 164 y 168</w:t>
      </w:r>
      <w:r w:rsidRPr="00326210">
        <w:rPr>
          <w:rFonts w:ascii="Georgia" w:hAnsi="Georgia" w:cs="Arial"/>
          <w:sz w:val="24"/>
          <w:szCs w:val="24"/>
          <w:lang w:val="es-419"/>
        </w:rPr>
        <w:t>)</w:t>
      </w:r>
      <w:r w:rsidRPr="00326210">
        <w:rPr>
          <w:rFonts w:ascii="Georgia" w:hAnsi="Georgia" w:cs="Arial"/>
          <w:sz w:val="24"/>
          <w:lang w:val="es-419"/>
        </w:rPr>
        <w:t>.</w:t>
      </w:r>
    </w:p>
    <w:p w:rsidR="00326210" w:rsidRPr="00326210" w:rsidRDefault="00326210" w:rsidP="004678EE">
      <w:pPr>
        <w:tabs>
          <w:tab w:val="left" w:pos="-720"/>
        </w:tabs>
        <w:suppressAutoHyphens/>
        <w:spacing w:line="288" w:lineRule="auto"/>
        <w:jc w:val="both"/>
        <w:rPr>
          <w:rFonts w:ascii="Georgia" w:hAnsi="Georgia" w:cs="Arial"/>
          <w:sz w:val="24"/>
          <w:szCs w:val="24"/>
          <w:lang w:val="es-419"/>
        </w:rPr>
      </w:pPr>
    </w:p>
    <w:p w:rsidR="00326210" w:rsidRPr="00326210" w:rsidRDefault="00326210" w:rsidP="004678EE">
      <w:pPr>
        <w:pStyle w:val="Sinespaciado"/>
        <w:widowControl/>
        <w:numPr>
          <w:ilvl w:val="1"/>
          <w:numId w:val="1"/>
        </w:numPr>
        <w:autoSpaceDE/>
        <w:autoSpaceDN/>
        <w:adjustRightInd/>
        <w:spacing w:line="288" w:lineRule="auto"/>
        <w:jc w:val="both"/>
        <w:rPr>
          <w:rFonts w:ascii="Georgia" w:hAnsi="Georgia" w:cs="Arial"/>
          <w:smallCaps/>
          <w:lang w:val="es-419"/>
        </w:rPr>
      </w:pPr>
      <w:r w:rsidRPr="00326210">
        <w:rPr>
          <w:rFonts w:ascii="Georgia" w:hAnsi="Georgia" w:cs="Arial"/>
          <w:smallCaps/>
          <w:lang w:val="es-419"/>
        </w:rPr>
        <w:t>Los presupuestos de las nulidades procesales</w:t>
      </w:r>
    </w:p>
    <w:p w:rsidR="00326210" w:rsidRPr="00326210" w:rsidRDefault="00326210" w:rsidP="004678EE">
      <w:pPr>
        <w:tabs>
          <w:tab w:val="left" w:pos="-720"/>
        </w:tabs>
        <w:suppressAutoHyphens/>
        <w:spacing w:line="288" w:lineRule="auto"/>
        <w:jc w:val="both"/>
        <w:rPr>
          <w:rFonts w:ascii="Georgia" w:hAnsi="Georgia" w:cs="Arial"/>
          <w:sz w:val="24"/>
          <w:lang w:val="es-419"/>
        </w:rPr>
      </w:pPr>
    </w:p>
    <w:p w:rsidR="00326210" w:rsidRPr="00326210" w:rsidRDefault="00326210" w:rsidP="004678EE">
      <w:pPr>
        <w:tabs>
          <w:tab w:val="left" w:pos="-720"/>
        </w:tabs>
        <w:suppressAutoHyphens/>
        <w:spacing w:line="288" w:lineRule="auto"/>
        <w:jc w:val="both"/>
        <w:rPr>
          <w:rFonts w:ascii="Georgia" w:hAnsi="Georgia" w:cs="Arial"/>
          <w:sz w:val="24"/>
          <w:szCs w:val="24"/>
          <w:lang w:val="es-419"/>
        </w:rPr>
      </w:pPr>
      <w:r w:rsidRPr="00326210">
        <w:rPr>
          <w:rFonts w:ascii="Georgia" w:hAnsi="Georgia" w:cs="Arial"/>
          <w:sz w:val="24"/>
          <w:lang w:val="es-419"/>
        </w:rPr>
        <w:t>Consisten en la concurrencia de legitimación, falta de saneamiento y oportunidad para proponerlas (</w:t>
      </w:r>
      <w:r w:rsidRPr="00326210">
        <w:rPr>
          <w:rFonts w:ascii="Georgia" w:hAnsi="Georgia" w:cs="Arial"/>
          <w:sz w:val="22"/>
          <w:lang w:val="es-419"/>
        </w:rPr>
        <w:t>Artículos 142, 143 y 144, CPC</w:t>
      </w:r>
      <w:r w:rsidRPr="00326210">
        <w:rPr>
          <w:rFonts w:ascii="Georgia" w:hAnsi="Georgia" w:cs="Arial"/>
          <w:sz w:val="24"/>
          <w:lang w:val="es-419"/>
        </w:rPr>
        <w:t xml:space="preserve">); verificado el cumplimiento de tales requisitos se abre paso el análisis de la respectiva causal. En este caso, se hace el pronunciamiento de oficio, conforme autoriza el artículo 145 </w:t>
      </w:r>
      <w:r w:rsidRPr="00326210">
        <w:rPr>
          <w:rFonts w:ascii="Georgia" w:hAnsi="Georgia" w:cs="Arial"/>
          <w:i/>
          <w:sz w:val="22"/>
          <w:lang w:val="es-419"/>
        </w:rPr>
        <w:t>ibídem</w:t>
      </w:r>
      <w:r w:rsidRPr="00326210">
        <w:rPr>
          <w:rFonts w:ascii="Georgia" w:hAnsi="Georgia" w:cs="Arial"/>
          <w:sz w:val="24"/>
          <w:lang w:val="es-419"/>
        </w:rPr>
        <w:t xml:space="preserve">, por ello hay habilitación legal para declararla, amén de que es tempestivo hacerlo. Empero ser la causal saneable </w:t>
      </w:r>
      <w:r w:rsidRPr="00326210">
        <w:rPr>
          <w:rFonts w:ascii="Georgia" w:hAnsi="Georgia" w:cs="Arial"/>
          <w:sz w:val="24"/>
          <w:szCs w:val="24"/>
          <w:lang w:val="es-419"/>
        </w:rPr>
        <w:t>(</w:t>
      </w:r>
      <w:r w:rsidRPr="00326210">
        <w:rPr>
          <w:rFonts w:ascii="Georgia" w:hAnsi="Georgia" w:cs="Arial"/>
          <w:sz w:val="22"/>
          <w:szCs w:val="24"/>
          <w:lang w:val="es-419"/>
        </w:rPr>
        <w:t>Artículo 144, ordinal 3°, CPC</w:t>
      </w:r>
      <w:r w:rsidRPr="00326210">
        <w:rPr>
          <w:rFonts w:ascii="Georgia" w:hAnsi="Georgia" w:cs="Arial"/>
          <w:sz w:val="24"/>
          <w:szCs w:val="24"/>
          <w:lang w:val="es-419"/>
        </w:rPr>
        <w:t>)</w:t>
      </w:r>
      <w:r w:rsidRPr="00326210">
        <w:rPr>
          <w:rFonts w:ascii="Georgia" w:hAnsi="Georgia" w:cs="Arial"/>
          <w:sz w:val="24"/>
          <w:lang w:val="es-419"/>
        </w:rPr>
        <w:t>, ante la ausencia de la parte, representada por curador</w:t>
      </w:r>
      <w:r w:rsidRPr="00326210">
        <w:rPr>
          <w:rFonts w:ascii="Georgia" w:hAnsi="Georgia" w:cs="Arial"/>
          <w:i/>
          <w:sz w:val="24"/>
          <w:szCs w:val="24"/>
          <w:lang w:val="es-419"/>
        </w:rPr>
        <w:t xml:space="preserve"> </w:t>
      </w:r>
      <w:r w:rsidRPr="00326210">
        <w:rPr>
          <w:rFonts w:ascii="Georgia" w:hAnsi="Georgia" w:cs="Arial"/>
          <w:i/>
          <w:sz w:val="22"/>
          <w:szCs w:val="24"/>
          <w:lang w:val="es-419"/>
        </w:rPr>
        <w:t>ad litem</w:t>
      </w:r>
      <w:r w:rsidRPr="00326210">
        <w:rPr>
          <w:rFonts w:ascii="Georgia" w:hAnsi="Georgia" w:cs="Arial"/>
          <w:sz w:val="24"/>
          <w:szCs w:val="24"/>
          <w:lang w:val="es-419"/>
        </w:rPr>
        <w:t xml:space="preserve">, que carece de toda facultad para convalidar la actuación, debe remediarse bajo la declaración de nulidad. </w:t>
      </w:r>
    </w:p>
    <w:p w:rsidR="00326210" w:rsidRPr="00326210" w:rsidRDefault="00326210" w:rsidP="004678EE">
      <w:pPr>
        <w:tabs>
          <w:tab w:val="left" w:pos="-720"/>
        </w:tabs>
        <w:suppressAutoHyphens/>
        <w:spacing w:line="288" w:lineRule="auto"/>
        <w:ind w:left="567" w:right="567"/>
        <w:jc w:val="both"/>
        <w:rPr>
          <w:rFonts w:ascii="Georgia" w:hAnsi="Georgia" w:cs="Arial"/>
          <w:spacing w:val="-3"/>
          <w:sz w:val="24"/>
          <w:szCs w:val="24"/>
          <w:lang w:val="es-419"/>
        </w:rPr>
      </w:pPr>
    </w:p>
    <w:p w:rsidR="00326210" w:rsidRPr="00326210" w:rsidRDefault="00326210" w:rsidP="004678EE">
      <w:pPr>
        <w:pStyle w:val="Prrafodelista"/>
        <w:numPr>
          <w:ilvl w:val="1"/>
          <w:numId w:val="1"/>
        </w:numPr>
        <w:tabs>
          <w:tab w:val="left" w:pos="-720"/>
        </w:tabs>
        <w:suppressAutoHyphens/>
        <w:spacing w:line="288" w:lineRule="auto"/>
        <w:jc w:val="both"/>
        <w:rPr>
          <w:rFonts w:ascii="Georgia" w:hAnsi="Georgia" w:cs="Arial"/>
          <w:smallCaps/>
          <w:spacing w:val="-3"/>
          <w:sz w:val="24"/>
          <w:szCs w:val="24"/>
          <w:lang w:val="es-419"/>
        </w:rPr>
      </w:pPr>
      <w:r w:rsidRPr="00326210">
        <w:rPr>
          <w:rFonts w:ascii="Georgia" w:hAnsi="Georgia" w:cs="Arial"/>
          <w:smallCaps/>
          <w:spacing w:val="-3"/>
          <w:sz w:val="24"/>
          <w:szCs w:val="24"/>
          <w:lang w:val="es-419"/>
        </w:rPr>
        <w:t xml:space="preserve">El emplazamiento de algunos demandados </w:t>
      </w:r>
    </w:p>
    <w:p w:rsidR="00326210" w:rsidRPr="00326210" w:rsidRDefault="00326210" w:rsidP="004678EE">
      <w:pPr>
        <w:tabs>
          <w:tab w:val="left" w:pos="-720"/>
          <w:tab w:val="left" w:pos="4185"/>
        </w:tabs>
        <w:suppressAutoHyphens/>
        <w:spacing w:line="288" w:lineRule="auto"/>
        <w:jc w:val="both"/>
        <w:rPr>
          <w:rFonts w:ascii="Georgia" w:hAnsi="Georgia" w:cs="Arial"/>
          <w:spacing w:val="-3"/>
          <w:sz w:val="24"/>
          <w:szCs w:val="24"/>
          <w:lang w:val="es-419"/>
        </w:rPr>
      </w:pPr>
    </w:p>
    <w:p w:rsidR="00326210" w:rsidRPr="00326210" w:rsidRDefault="00326210" w:rsidP="004678EE">
      <w:pPr>
        <w:spacing w:line="288" w:lineRule="auto"/>
        <w:ind w:right="51"/>
        <w:jc w:val="both"/>
        <w:rPr>
          <w:rFonts w:ascii="Georgia" w:hAnsi="Georgia" w:cs="Arial"/>
          <w:sz w:val="24"/>
          <w:szCs w:val="24"/>
          <w:lang w:val="es-419"/>
        </w:rPr>
      </w:pPr>
      <w:r w:rsidRPr="00326210">
        <w:rPr>
          <w:rFonts w:ascii="Georgia" w:hAnsi="Georgia" w:cs="Arial"/>
          <w:sz w:val="24"/>
          <w:szCs w:val="24"/>
          <w:lang w:val="es-419"/>
        </w:rPr>
        <w:t xml:space="preserve">El emplazamiento de una persona determinada ha de verificar los requisitos estatuidos en el artículo 318, CPC, a saber: (i) El nombre del emplazado; (ii) </w:t>
      </w:r>
      <w:r w:rsidRPr="00326210">
        <w:rPr>
          <w:rFonts w:ascii="Georgia" w:hAnsi="Georgia" w:cs="Arial"/>
          <w:sz w:val="24"/>
          <w:szCs w:val="24"/>
          <w:u w:val="single"/>
          <w:lang w:val="es-419"/>
        </w:rPr>
        <w:t>Las partes del proceso</w:t>
      </w:r>
      <w:r w:rsidRPr="00326210">
        <w:rPr>
          <w:rFonts w:ascii="Georgia" w:hAnsi="Georgia" w:cs="Arial"/>
          <w:sz w:val="24"/>
          <w:szCs w:val="24"/>
          <w:lang w:val="es-419"/>
        </w:rPr>
        <w:t>; y, (iii) La naturaleza del asunto o el juzgado que lo requiere, edicto que debe publicarse por una sola vez, en un diario de amplia circulación nacional en día domingo, a criterio del juez, que postulará al menos dos. Cumplido los 15 días siguientes a la publicación se entenderá surtido. El incumplimiento de alguno de estos supuestos, genera invalidez.</w:t>
      </w:r>
    </w:p>
    <w:p w:rsidR="00326210" w:rsidRPr="00326210" w:rsidRDefault="00326210" w:rsidP="004678EE">
      <w:pPr>
        <w:tabs>
          <w:tab w:val="left" w:pos="-720"/>
        </w:tabs>
        <w:suppressAutoHyphens/>
        <w:spacing w:line="288" w:lineRule="auto"/>
        <w:jc w:val="both"/>
        <w:rPr>
          <w:rFonts w:ascii="Georgia" w:hAnsi="Georgia" w:cs="Arial"/>
          <w:spacing w:val="-3"/>
          <w:sz w:val="24"/>
          <w:szCs w:val="24"/>
          <w:lang w:val="es-419"/>
        </w:rPr>
      </w:pPr>
    </w:p>
    <w:p w:rsidR="00326210" w:rsidRPr="00326210" w:rsidRDefault="00326210" w:rsidP="004678EE">
      <w:pPr>
        <w:tabs>
          <w:tab w:val="left" w:pos="-720"/>
        </w:tabs>
        <w:suppressAutoHyphens/>
        <w:spacing w:line="288" w:lineRule="auto"/>
        <w:jc w:val="both"/>
        <w:rPr>
          <w:rFonts w:ascii="Georgia" w:hAnsi="Georgia" w:cs="Arial"/>
          <w:spacing w:val="-3"/>
          <w:sz w:val="24"/>
          <w:szCs w:val="24"/>
          <w:lang w:val="es-419"/>
        </w:rPr>
      </w:pPr>
      <w:r w:rsidRPr="00326210">
        <w:rPr>
          <w:rFonts w:ascii="Georgia" w:hAnsi="Georgia" w:cs="Arial"/>
          <w:spacing w:val="-3"/>
          <w:sz w:val="24"/>
          <w:szCs w:val="24"/>
          <w:lang w:val="es-419"/>
        </w:rPr>
        <w:t xml:space="preserve">Y para el caso de la parte demandada, esa irregularidad encuadra en la regla establecida en el artículo 140-8º, </w:t>
      </w:r>
      <w:r w:rsidRPr="00326210">
        <w:rPr>
          <w:rFonts w:ascii="Georgia" w:hAnsi="Georgia" w:cs="Arial"/>
          <w:i/>
          <w:spacing w:val="-3"/>
          <w:sz w:val="22"/>
          <w:szCs w:val="24"/>
          <w:lang w:val="es-419"/>
        </w:rPr>
        <w:t>ibídem</w:t>
      </w:r>
      <w:r w:rsidRPr="00326210">
        <w:rPr>
          <w:rFonts w:ascii="Georgia" w:hAnsi="Georgia" w:cs="Arial"/>
          <w:spacing w:val="-3"/>
          <w:sz w:val="24"/>
          <w:szCs w:val="24"/>
          <w:lang w:val="es-419"/>
        </w:rPr>
        <w:t>, pues establece que cuando se practica en forma indebida, valga decir no se hace en forma legal, la notificación al demandado (</w:t>
      </w:r>
      <w:r w:rsidRPr="00326210">
        <w:rPr>
          <w:rFonts w:ascii="Georgia" w:hAnsi="Georgia" w:cs="Arial"/>
          <w:spacing w:val="-3"/>
          <w:sz w:val="22"/>
          <w:szCs w:val="24"/>
          <w:lang w:val="es-419"/>
        </w:rPr>
        <w:t>O ejecutado</w:t>
      </w:r>
      <w:r w:rsidRPr="00326210">
        <w:rPr>
          <w:rFonts w:ascii="Georgia" w:hAnsi="Georgia" w:cs="Arial"/>
          <w:spacing w:val="-3"/>
          <w:sz w:val="24"/>
          <w:szCs w:val="24"/>
          <w:lang w:val="es-419"/>
        </w:rPr>
        <w:t xml:space="preserve">) de la providencia que </w:t>
      </w:r>
      <w:r w:rsidRPr="00326210">
        <w:rPr>
          <w:rFonts w:ascii="Georgia" w:hAnsi="Georgia" w:cs="Arial"/>
          <w:spacing w:val="-3"/>
          <w:sz w:val="24"/>
          <w:szCs w:val="24"/>
          <w:u w:val="single"/>
          <w:lang w:val="es-419"/>
        </w:rPr>
        <w:t>admite la demanda</w:t>
      </w:r>
      <w:r w:rsidRPr="00326210">
        <w:rPr>
          <w:rFonts w:ascii="Georgia" w:hAnsi="Georgia" w:cs="Arial"/>
          <w:spacing w:val="-3"/>
          <w:sz w:val="24"/>
          <w:szCs w:val="24"/>
          <w:lang w:val="es-419"/>
        </w:rPr>
        <w:t xml:space="preserve"> o libra mandamiento ejecutivo, será nula la actuación posterior que dependa de dicha providencia, salvo que la parte a quien se dejó de notificar haya actuado sin proponerla (</w:t>
      </w:r>
      <w:r w:rsidRPr="00326210">
        <w:rPr>
          <w:rFonts w:ascii="Georgia" w:hAnsi="Georgia" w:cs="Arial"/>
          <w:spacing w:val="-3"/>
          <w:sz w:val="22"/>
          <w:szCs w:val="24"/>
          <w:lang w:val="es-419"/>
        </w:rPr>
        <w:t>Artículo 144-4º, ibídem</w:t>
      </w:r>
      <w:r w:rsidRPr="00326210">
        <w:rPr>
          <w:rFonts w:ascii="Georgia" w:hAnsi="Georgia" w:cs="Arial"/>
          <w:spacing w:val="-3"/>
          <w:sz w:val="24"/>
          <w:szCs w:val="24"/>
          <w:lang w:val="es-419"/>
        </w:rPr>
        <w:t>).</w:t>
      </w:r>
    </w:p>
    <w:p w:rsidR="00326210" w:rsidRPr="00326210" w:rsidRDefault="00326210" w:rsidP="004678EE">
      <w:pPr>
        <w:tabs>
          <w:tab w:val="left" w:pos="-720"/>
        </w:tabs>
        <w:suppressAutoHyphens/>
        <w:spacing w:line="288" w:lineRule="auto"/>
        <w:ind w:left="567" w:right="567"/>
        <w:jc w:val="both"/>
        <w:rPr>
          <w:rFonts w:ascii="Georgia" w:hAnsi="Georgia" w:cs="Arial"/>
          <w:spacing w:val="-3"/>
          <w:sz w:val="24"/>
          <w:szCs w:val="24"/>
          <w:lang w:val="es-419"/>
        </w:rPr>
      </w:pPr>
    </w:p>
    <w:p w:rsidR="00326210" w:rsidRPr="00326210" w:rsidRDefault="00326210" w:rsidP="004678EE">
      <w:pPr>
        <w:spacing w:line="288" w:lineRule="auto"/>
        <w:jc w:val="both"/>
        <w:rPr>
          <w:rFonts w:ascii="Georgia" w:hAnsi="Georgia" w:cs="Arial"/>
          <w:sz w:val="24"/>
          <w:szCs w:val="24"/>
          <w:lang w:val="es-419"/>
        </w:rPr>
      </w:pPr>
      <w:r w:rsidRPr="00326210">
        <w:rPr>
          <w:rFonts w:ascii="Georgia" w:hAnsi="Georgia" w:cs="Arial"/>
          <w:sz w:val="24"/>
          <w:szCs w:val="24"/>
          <w:lang w:val="es-419"/>
        </w:rPr>
        <w:t xml:space="preserve">Aquí con auto de 04-04-2013 se ordenó el emplazamiento, en los términos del artículo 318 </w:t>
      </w:r>
      <w:r w:rsidRPr="00326210">
        <w:rPr>
          <w:rFonts w:ascii="Georgia" w:hAnsi="Georgia" w:cs="Arial"/>
          <w:i/>
          <w:sz w:val="22"/>
          <w:szCs w:val="24"/>
          <w:lang w:val="es-419"/>
        </w:rPr>
        <w:t xml:space="preserve">ibídem, </w:t>
      </w:r>
      <w:r w:rsidRPr="00326210">
        <w:rPr>
          <w:rFonts w:ascii="Georgia" w:hAnsi="Georgia" w:cs="Arial"/>
          <w:sz w:val="24"/>
          <w:szCs w:val="24"/>
          <w:lang w:val="es-419"/>
        </w:rPr>
        <w:t>de los señores: José Omar, Martiniano, José Aldemar y María Leiva Salazar, también de Marleny o María Marleny Leiva de Duque, Lilia o María Lilia Leiva de Dávila, María Edith Leiva de Arias, María Ruth Vasco Leiva, William Leiva Gutiérrez, Claudia Cristina Leiva Gutiérrez, Alexánder Montoya Bedoya y Blanca Edilia Bedoya Restrepo; quienes se consideraron litisconsortes en el proceso (</w:t>
      </w:r>
      <w:r w:rsidRPr="00326210">
        <w:rPr>
          <w:rFonts w:ascii="Georgia" w:hAnsi="Georgia" w:cs="Arial"/>
          <w:sz w:val="22"/>
          <w:szCs w:val="24"/>
          <w:lang w:val="es-419"/>
        </w:rPr>
        <w:t>Folios 56-57, ib.</w:t>
      </w:r>
      <w:r w:rsidRPr="00326210">
        <w:rPr>
          <w:rFonts w:ascii="Georgia" w:hAnsi="Georgia" w:cs="Arial"/>
          <w:sz w:val="24"/>
          <w:szCs w:val="24"/>
          <w:lang w:val="es-419"/>
        </w:rPr>
        <w:t>). Valga acotar, en este punto, que solo algunos de aquellos debían ocupar tal posición, porque revisado el certificado de tradición (Folios 5-11, ib.) no todos tienen derechos reales principales (</w:t>
      </w:r>
      <w:r w:rsidRPr="00326210">
        <w:rPr>
          <w:rFonts w:ascii="Georgia" w:hAnsi="Georgia" w:cs="Arial"/>
          <w:sz w:val="22"/>
          <w:szCs w:val="24"/>
          <w:lang w:val="es-419"/>
        </w:rPr>
        <w:t>Artículo 415, CPC</w:t>
      </w:r>
      <w:r w:rsidRPr="00326210">
        <w:rPr>
          <w:rFonts w:ascii="Georgia" w:hAnsi="Georgia" w:cs="Arial"/>
          <w:sz w:val="24"/>
          <w:szCs w:val="24"/>
          <w:lang w:val="es-419"/>
        </w:rPr>
        <w:t xml:space="preserve">) sobre el bien identificado con folio de MI294-25764. </w:t>
      </w:r>
    </w:p>
    <w:p w:rsidR="00326210" w:rsidRPr="00326210" w:rsidRDefault="00326210" w:rsidP="004678EE">
      <w:pPr>
        <w:spacing w:line="288" w:lineRule="auto"/>
        <w:jc w:val="both"/>
        <w:rPr>
          <w:rFonts w:ascii="Georgia" w:hAnsi="Georgia" w:cs="Arial"/>
          <w:sz w:val="24"/>
          <w:szCs w:val="24"/>
          <w:lang w:val="es-419"/>
        </w:rPr>
      </w:pPr>
    </w:p>
    <w:p w:rsidR="00326210" w:rsidRPr="00326210" w:rsidRDefault="00326210" w:rsidP="004678EE">
      <w:pPr>
        <w:spacing w:line="288" w:lineRule="auto"/>
        <w:jc w:val="both"/>
        <w:rPr>
          <w:rFonts w:ascii="Georgia" w:hAnsi="Georgia" w:cs="Arial"/>
          <w:sz w:val="24"/>
          <w:szCs w:val="24"/>
          <w:lang w:val="es-419"/>
        </w:rPr>
      </w:pPr>
      <w:r w:rsidRPr="00326210">
        <w:rPr>
          <w:rFonts w:ascii="Georgia" w:hAnsi="Georgia" w:cs="Arial"/>
          <w:sz w:val="24"/>
          <w:szCs w:val="24"/>
          <w:lang w:val="es-419"/>
        </w:rPr>
        <w:t>La parte actora allegó constancia de la publicación que hiciera los días 20 y 21-04-2013, en uno de los medios indicados (</w:t>
      </w:r>
      <w:r w:rsidRPr="00326210">
        <w:rPr>
          <w:rFonts w:ascii="Georgia" w:hAnsi="Georgia" w:cs="Arial"/>
          <w:sz w:val="22"/>
          <w:szCs w:val="24"/>
          <w:lang w:val="es-419"/>
        </w:rPr>
        <w:t>Folio 59, ib.</w:t>
      </w:r>
      <w:r w:rsidRPr="00326210">
        <w:rPr>
          <w:rFonts w:ascii="Georgia" w:hAnsi="Georgia" w:cs="Arial"/>
          <w:sz w:val="24"/>
          <w:szCs w:val="24"/>
          <w:lang w:val="es-419"/>
        </w:rPr>
        <w:t xml:space="preserve">) y, después, sin percatarse del incumplimiento de las reglas atrás señaladas, el despacho designó curador </w:t>
      </w:r>
      <w:r w:rsidRPr="00326210">
        <w:rPr>
          <w:rFonts w:ascii="Georgia" w:hAnsi="Georgia" w:cs="Arial"/>
          <w:i/>
          <w:sz w:val="22"/>
          <w:szCs w:val="24"/>
          <w:lang w:val="es-419"/>
        </w:rPr>
        <w:t>ad litem</w:t>
      </w:r>
      <w:r w:rsidRPr="00326210">
        <w:rPr>
          <w:rFonts w:ascii="Georgia" w:hAnsi="Georgia" w:cs="Arial"/>
          <w:i/>
          <w:sz w:val="24"/>
          <w:szCs w:val="24"/>
          <w:lang w:val="es-419"/>
        </w:rPr>
        <w:t xml:space="preserve"> </w:t>
      </w:r>
      <w:r w:rsidRPr="00326210">
        <w:rPr>
          <w:rFonts w:ascii="Georgia" w:hAnsi="Georgia" w:cs="Arial"/>
          <w:sz w:val="24"/>
          <w:szCs w:val="24"/>
          <w:lang w:val="es-419"/>
        </w:rPr>
        <w:t>para que las representara (</w:t>
      </w:r>
      <w:r w:rsidRPr="00326210">
        <w:rPr>
          <w:rFonts w:ascii="Georgia" w:hAnsi="Georgia" w:cs="Arial"/>
          <w:sz w:val="22"/>
          <w:szCs w:val="24"/>
          <w:lang w:val="es-419"/>
        </w:rPr>
        <w:t>Folio 65, ib.</w:t>
      </w:r>
      <w:r w:rsidRPr="00326210">
        <w:rPr>
          <w:rFonts w:ascii="Georgia" w:hAnsi="Georgia" w:cs="Arial"/>
          <w:sz w:val="24"/>
          <w:szCs w:val="24"/>
          <w:lang w:val="es-419"/>
        </w:rPr>
        <w:t xml:space="preserve">). Y es que un escrutinio de lo anotado, en el periódico, evidentemente muestra que se omitió anunciar a </w:t>
      </w:r>
      <w:r w:rsidRPr="00326210">
        <w:rPr>
          <w:rFonts w:ascii="Georgia" w:hAnsi="Georgia" w:cs="Arial"/>
          <w:sz w:val="24"/>
          <w:szCs w:val="24"/>
          <w:u w:val="single"/>
          <w:lang w:val="es-419"/>
        </w:rPr>
        <w:t>los integrantes de la parte demandada</w:t>
      </w:r>
      <w:r w:rsidRPr="00326210">
        <w:rPr>
          <w:rFonts w:ascii="Georgia" w:hAnsi="Georgia" w:cs="Arial"/>
          <w:sz w:val="24"/>
          <w:szCs w:val="24"/>
          <w:lang w:val="es-419"/>
        </w:rPr>
        <w:t xml:space="preserve">, solo se citó a las emplazadas y al demandante, por lo tanto, se incurrió en un indebido emplazamiento.  </w:t>
      </w:r>
    </w:p>
    <w:p w:rsidR="00326210" w:rsidRPr="00326210" w:rsidRDefault="00326210" w:rsidP="004678EE">
      <w:pPr>
        <w:spacing w:line="288" w:lineRule="auto"/>
        <w:jc w:val="both"/>
        <w:rPr>
          <w:rFonts w:ascii="Georgia" w:hAnsi="Georgia" w:cs="Arial"/>
          <w:sz w:val="24"/>
          <w:szCs w:val="24"/>
          <w:lang w:val="es-419"/>
        </w:rPr>
      </w:pPr>
    </w:p>
    <w:p w:rsidR="00326210" w:rsidRPr="00326210" w:rsidRDefault="00326210" w:rsidP="004678EE">
      <w:pPr>
        <w:spacing w:line="288" w:lineRule="auto"/>
        <w:jc w:val="both"/>
        <w:rPr>
          <w:rFonts w:ascii="Georgia" w:hAnsi="Georgia" w:cs="Arial"/>
          <w:sz w:val="24"/>
          <w:szCs w:val="24"/>
          <w:lang w:val="es-419"/>
        </w:rPr>
      </w:pPr>
      <w:r w:rsidRPr="00326210">
        <w:rPr>
          <w:rFonts w:ascii="Georgia" w:hAnsi="Georgia" w:cs="Arial"/>
          <w:sz w:val="24"/>
          <w:szCs w:val="24"/>
          <w:lang w:val="es-419"/>
        </w:rPr>
        <w:t xml:space="preserve">Así las cosas, se considera y así será declarado, que la actuación es irregular y encuadra en la causal del artículo 140-8º, CPC, y ello, por supuesto, demerita la comparecencia del curador </w:t>
      </w:r>
      <w:r w:rsidRPr="00326210">
        <w:rPr>
          <w:rFonts w:ascii="Georgia" w:hAnsi="Georgia" w:cs="Arial"/>
          <w:i/>
          <w:sz w:val="22"/>
          <w:szCs w:val="24"/>
          <w:lang w:val="es-419"/>
        </w:rPr>
        <w:t>ad litem</w:t>
      </w:r>
      <w:r w:rsidRPr="00326210">
        <w:rPr>
          <w:rFonts w:ascii="Georgia" w:hAnsi="Georgia" w:cs="Arial"/>
          <w:sz w:val="24"/>
          <w:szCs w:val="24"/>
          <w:lang w:val="es-419"/>
        </w:rPr>
        <w:t xml:space="preserve"> que las representó. </w:t>
      </w:r>
    </w:p>
    <w:p w:rsidR="00326210" w:rsidRPr="00326210" w:rsidRDefault="00326210" w:rsidP="004678EE">
      <w:pPr>
        <w:spacing w:line="288" w:lineRule="auto"/>
        <w:jc w:val="both"/>
        <w:rPr>
          <w:rFonts w:ascii="Georgia" w:hAnsi="Georgia" w:cs="Arial"/>
          <w:sz w:val="24"/>
          <w:szCs w:val="24"/>
          <w:lang w:val="es-419"/>
        </w:rPr>
      </w:pPr>
    </w:p>
    <w:p w:rsidR="00326210" w:rsidRPr="00326210" w:rsidRDefault="00326210" w:rsidP="004678EE">
      <w:pPr>
        <w:spacing w:line="288" w:lineRule="auto"/>
        <w:jc w:val="both"/>
        <w:rPr>
          <w:rFonts w:ascii="Georgia" w:hAnsi="Georgia" w:cs="Arial"/>
          <w:sz w:val="24"/>
          <w:szCs w:val="24"/>
          <w:lang w:val="es-419"/>
        </w:rPr>
      </w:pPr>
      <w:r w:rsidRPr="00326210">
        <w:rPr>
          <w:rFonts w:ascii="Georgia" w:hAnsi="Georgia" w:cs="Arial"/>
          <w:sz w:val="24"/>
          <w:szCs w:val="24"/>
          <w:lang w:val="es-419"/>
        </w:rPr>
        <w:t>Los efectos de esta declaratoria afectan todo lo actuado a partir del auto de 05-06-2013 que entendió como válida la publicación allegada, ya que según lo expuesto, debió rechazarse. No obstante, al tenor del artículo 138, CGP, las pruebas practicadas en la actuación conservarán su validez y tendrá eficacia, respecto de quienes tuvieron oportunidad de controvertirlas. Tampoco resultan afectadas las actuaciones surtidas con relación al codemandado Juan Gabriel García Patiño, pues la irregularidad aquí declarada, ninguna afectación le causa.</w:t>
      </w:r>
    </w:p>
    <w:p w:rsidR="00326210" w:rsidRPr="00326210" w:rsidRDefault="00326210" w:rsidP="004678EE">
      <w:pPr>
        <w:spacing w:line="288" w:lineRule="auto"/>
        <w:jc w:val="both"/>
        <w:rPr>
          <w:rFonts w:ascii="Georgia" w:hAnsi="Georgia" w:cs="Arial"/>
          <w:sz w:val="24"/>
          <w:szCs w:val="24"/>
          <w:lang w:val="es-419"/>
        </w:rPr>
      </w:pPr>
    </w:p>
    <w:p w:rsidR="00326210" w:rsidRPr="00326210" w:rsidRDefault="00326210" w:rsidP="004678EE">
      <w:pPr>
        <w:spacing w:line="288" w:lineRule="auto"/>
        <w:jc w:val="both"/>
        <w:rPr>
          <w:rFonts w:ascii="Georgia" w:hAnsi="Georgia" w:cs="Arial"/>
          <w:sz w:val="24"/>
          <w:szCs w:val="24"/>
          <w:lang w:val="es-419"/>
        </w:rPr>
      </w:pPr>
      <w:r w:rsidRPr="00326210">
        <w:rPr>
          <w:rFonts w:ascii="Georgia" w:hAnsi="Georgia" w:cs="Arial"/>
          <w:sz w:val="24"/>
          <w:szCs w:val="24"/>
          <w:lang w:val="es-419"/>
        </w:rPr>
        <w:t>En el mismo sentido, debe destacarse que frente a la señora Rosa Umil Bedoya Restrepo y la Procuraduría Agraria -Regional Manizales-, quienes debían ser notificados del proceso, la primera, por tener derechos reales principales sobre el inmueble de MI294-25764 (</w:t>
      </w:r>
      <w:r w:rsidRPr="00326210">
        <w:rPr>
          <w:rFonts w:ascii="Georgia" w:hAnsi="Georgia" w:cs="Arial"/>
          <w:sz w:val="22"/>
          <w:szCs w:val="24"/>
          <w:lang w:val="es-419"/>
        </w:rPr>
        <w:t>Anotaciones 20 y 25, folio 10, frente y vuelto, ib.</w:t>
      </w:r>
      <w:r w:rsidRPr="00326210">
        <w:rPr>
          <w:rFonts w:ascii="Georgia" w:hAnsi="Georgia" w:cs="Arial"/>
          <w:sz w:val="24"/>
          <w:szCs w:val="24"/>
          <w:lang w:val="es-419"/>
        </w:rPr>
        <w:t>), y la segunda, por tratarse de un proceso agrario; luego de notificados (</w:t>
      </w:r>
      <w:r w:rsidRPr="00326210">
        <w:rPr>
          <w:rFonts w:ascii="Georgia" w:hAnsi="Georgia" w:cs="Arial"/>
          <w:sz w:val="22"/>
          <w:szCs w:val="24"/>
          <w:lang w:val="es-419"/>
        </w:rPr>
        <w:t>Folios 132 y 152, ib</w:t>
      </w:r>
      <w:r w:rsidRPr="00326210">
        <w:rPr>
          <w:rFonts w:ascii="Georgia" w:hAnsi="Georgia" w:cs="Arial"/>
          <w:sz w:val="24"/>
          <w:szCs w:val="24"/>
          <w:lang w:val="es-419"/>
        </w:rPr>
        <w:t>.), guardaron silencio, por lo tanto convalidaron las actuaciones surtidas sin su comparecencia.</w:t>
      </w:r>
    </w:p>
    <w:p w:rsidR="00326210" w:rsidRPr="00326210" w:rsidRDefault="00326210" w:rsidP="004678EE">
      <w:pPr>
        <w:spacing w:line="288" w:lineRule="auto"/>
        <w:jc w:val="both"/>
        <w:rPr>
          <w:rFonts w:ascii="Georgia" w:hAnsi="Georgia" w:cs="Arial"/>
          <w:sz w:val="24"/>
          <w:szCs w:val="24"/>
          <w:lang w:val="es-419"/>
        </w:rPr>
      </w:pPr>
    </w:p>
    <w:p w:rsidR="00326210" w:rsidRPr="00326210" w:rsidRDefault="00326210" w:rsidP="004678EE">
      <w:pPr>
        <w:spacing w:line="288" w:lineRule="auto"/>
        <w:ind w:right="51"/>
        <w:jc w:val="both"/>
        <w:rPr>
          <w:rFonts w:ascii="Georgia" w:hAnsi="Georgia" w:cs="Arial"/>
          <w:sz w:val="24"/>
          <w:szCs w:val="24"/>
          <w:lang w:val="es-419"/>
        </w:rPr>
      </w:pPr>
      <w:r w:rsidRPr="00326210">
        <w:rPr>
          <w:rFonts w:ascii="Georgia" w:hAnsi="Georgia" w:cs="Arial"/>
          <w:sz w:val="24"/>
          <w:szCs w:val="24"/>
          <w:lang w:val="es-419"/>
        </w:rPr>
        <w:lastRenderedPageBreak/>
        <w:t>Al margen de lo anterior, llama la atención de esta Sala que se haya omitido valorar, en primera instancia, la existencia de una sentencia previa, donde se ventilaron idénticos hechos y pretensiones (</w:t>
      </w:r>
      <w:r w:rsidRPr="00326210">
        <w:rPr>
          <w:rFonts w:ascii="Georgia" w:hAnsi="Georgia" w:cs="Arial"/>
          <w:sz w:val="22"/>
          <w:szCs w:val="24"/>
          <w:lang w:val="es-419"/>
        </w:rPr>
        <w:t>Folios 12-21, ib.</w:t>
      </w:r>
      <w:r w:rsidRPr="00326210">
        <w:rPr>
          <w:rFonts w:ascii="Georgia" w:hAnsi="Georgia" w:cs="Arial"/>
          <w:sz w:val="24"/>
          <w:szCs w:val="24"/>
          <w:lang w:val="es-419"/>
        </w:rPr>
        <w:t>), entre las mismas partes primigenias de este proceso, aunque sin registro en los respectivos folios de MI. Además, se advierte incomprensible la vinculación como litisconsortes, hecha en la inspección judicial a la señora Elvira García Suárez y a sus comuneros en razón del predio identificado con folio MI294-71735 (</w:t>
      </w:r>
      <w:r w:rsidRPr="00326210">
        <w:rPr>
          <w:rFonts w:ascii="Georgia" w:hAnsi="Georgia" w:cs="Arial"/>
          <w:sz w:val="22"/>
          <w:szCs w:val="24"/>
          <w:lang w:val="es-419"/>
        </w:rPr>
        <w:t>Folios 17-19, cuaderno No.5, pruebas comunes y folios</w:t>
      </w:r>
      <w:r w:rsidRPr="00326210">
        <w:rPr>
          <w:rFonts w:ascii="Georgia" w:hAnsi="Georgia" w:cs="Arial"/>
          <w:sz w:val="22"/>
          <w:szCs w:val="22"/>
          <w:lang w:val="es-419"/>
        </w:rPr>
        <w:t xml:space="preserve"> 98-102, cuaderno principal</w:t>
      </w:r>
      <w:r w:rsidRPr="00326210">
        <w:rPr>
          <w:rFonts w:ascii="Georgia" w:hAnsi="Georgia" w:cs="Arial"/>
          <w:sz w:val="24"/>
          <w:szCs w:val="24"/>
          <w:lang w:val="es-419"/>
        </w:rPr>
        <w:t xml:space="preserve">), pues, indudablemente, son copropietarios de un bien extraño a la </w:t>
      </w:r>
      <w:r w:rsidRPr="00326210">
        <w:rPr>
          <w:rFonts w:ascii="Georgia" w:hAnsi="Georgia" w:cs="Arial"/>
          <w:i/>
          <w:sz w:val="22"/>
          <w:szCs w:val="24"/>
          <w:lang w:val="es-419"/>
        </w:rPr>
        <w:t xml:space="preserve">causa petendi, </w:t>
      </w:r>
      <w:r w:rsidRPr="00326210">
        <w:rPr>
          <w:rFonts w:ascii="Georgia" w:hAnsi="Georgia" w:cs="Arial"/>
          <w:sz w:val="24"/>
          <w:szCs w:val="24"/>
          <w:lang w:val="es-419"/>
        </w:rPr>
        <w:t xml:space="preserve"> son ajenos al predio sirviente y servido, al tenor del artículo 415-1º y 3º, CPC. </w:t>
      </w:r>
    </w:p>
    <w:p w:rsidR="00326210" w:rsidRPr="00326210" w:rsidRDefault="00326210" w:rsidP="004678EE">
      <w:pPr>
        <w:spacing w:line="288" w:lineRule="auto"/>
        <w:ind w:right="51"/>
        <w:jc w:val="both"/>
        <w:rPr>
          <w:rFonts w:ascii="Georgia" w:hAnsi="Georgia" w:cs="Arial"/>
          <w:sz w:val="24"/>
          <w:szCs w:val="24"/>
          <w:lang w:val="es-419"/>
        </w:rPr>
      </w:pPr>
    </w:p>
    <w:p w:rsidR="00326210" w:rsidRPr="00326210" w:rsidRDefault="00326210" w:rsidP="004678EE">
      <w:pPr>
        <w:spacing w:line="288" w:lineRule="auto"/>
        <w:ind w:right="51"/>
        <w:jc w:val="both"/>
        <w:rPr>
          <w:rFonts w:ascii="Georgia" w:hAnsi="Georgia" w:cs="Arial"/>
          <w:sz w:val="24"/>
          <w:szCs w:val="24"/>
          <w:lang w:val="es-419"/>
        </w:rPr>
      </w:pPr>
      <w:r w:rsidRPr="00326210">
        <w:rPr>
          <w:rFonts w:ascii="Georgia" w:hAnsi="Georgia" w:cs="Arial"/>
          <w:sz w:val="24"/>
          <w:szCs w:val="24"/>
          <w:lang w:val="es-419"/>
        </w:rPr>
        <w:t xml:space="preserve">Sin embargo, este tema no puede abordarse dado el sentido de este proveído, que anulará todo lo surtido desde el emplazamiento de algunos codemandados, con excepción de las actuaciones arriba señaladas, y por ende, quedará supeditado al control que se haga en primera instancia al rehacer el proceso. </w:t>
      </w:r>
    </w:p>
    <w:p w:rsidR="00326210" w:rsidRPr="00326210" w:rsidRDefault="00326210" w:rsidP="004678EE">
      <w:pPr>
        <w:spacing w:line="288" w:lineRule="auto"/>
        <w:jc w:val="both"/>
        <w:rPr>
          <w:rFonts w:ascii="Georgia" w:hAnsi="Georgia" w:cs="Arial"/>
          <w:sz w:val="24"/>
          <w:szCs w:val="24"/>
          <w:lang w:val="es-419"/>
        </w:rPr>
      </w:pPr>
    </w:p>
    <w:p w:rsidR="00326210" w:rsidRPr="00326210" w:rsidRDefault="00326210" w:rsidP="004678EE">
      <w:pPr>
        <w:pStyle w:val="Textopredeterminado"/>
        <w:numPr>
          <w:ilvl w:val="0"/>
          <w:numId w:val="1"/>
        </w:numPr>
        <w:spacing w:line="288" w:lineRule="auto"/>
        <w:jc w:val="both"/>
        <w:textAlignment w:val="baseline"/>
        <w:rPr>
          <w:rFonts w:ascii="Georgia" w:hAnsi="Georgia" w:cs="Arial"/>
          <w:lang w:val="es-419"/>
        </w:rPr>
      </w:pPr>
      <w:r w:rsidRPr="00326210">
        <w:rPr>
          <w:rFonts w:ascii="Georgia" w:hAnsi="Georgia" w:cs="Arial"/>
          <w:lang w:val="es-419"/>
        </w:rPr>
        <w:t xml:space="preserve">LAS DECISIONES </w:t>
      </w:r>
    </w:p>
    <w:p w:rsidR="00326210" w:rsidRPr="00326210" w:rsidRDefault="00326210" w:rsidP="004678EE">
      <w:pPr>
        <w:pStyle w:val="Textopredeterminado"/>
        <w:spacing w:line="288" w:lineRule="auto"/>
        <w:ind w:left="360"/>
        <w:jc w:val="both"/>
        <w:textAlignment w:val="baseline"/>
        <w:rPr>
          <w:rFonts w:ascii="Georgia" w:hAnsi="Georgia" w:cs="Arial"/>
          <w:lang w:val="es-419"/>
        </w:rPr>
      </w:pPr>
    </w:p>
    <w:p w:rsidR="00326210" w:rsidRPr="00326210" w:rsidRDefault="00326210" w:rsidP="004678EE">
      <w:pPr>
        <w:spacing w:line="288" w:lineRule="auto"/>
        <w:ind w:right="51"/>
        <w:jc w:val="both"/>
        <w:rPr>
          <w:rFonts w:ascii="Georgia" w:hAnsi="Georgia" w:cs="Arial"/>
          <w:sz w:val="24"/>
          <w:szCs w:val="24"/>
          <w:lang w:val="es-419"/>
        </w:rPr>
      </w:pPr>
      <w:r w:rsidRPr="00326210">
        <w:rPr>
          <w:rFonts w:ascii="Georgia" w:hAnsi="Georgia" w:cs="Arial"/>
          <w:sz w:val="24"/>
          <w:szCs w:val="24"/>
          <w:lang w:val="es-419"/>
        </w:rPr>
        <w:t>En armonía con las premisas expuestas, se invalidará lo actuado a partir del 05-06-2013, inclusive, a fin de que en primera instancia, se rehaga la actuación anómala en la forma puesta de presente, salvo lo relacionado con los codemandados Juan Gabriel García Patiño,  Rosa Umil Bedoya Restrepo y la Procuraduría Agraria -Regional Manizales-, al igual que las pruebas practicadas que conservarán validez.</w:t>
      </w:r>
    </w:p>
    <w:p w:rsidR="00326210" w:rsidRPr="00326210" w:rsidRDefault="00326210" w:rsidP="004678EE">
      <w:pPr>
        <w:spacing w:line="288" w:lineRule="auto"/>
        <w:ind w:right="51"/>
        <w:jc w:val="both"/>
        <w:rPr>
          <w:rFonts w:ascii="Georgia" w:hAnsi="Georgia" w:cs="Arial"/>
          <w:sz w:val="24"/>
          <w:szCs w:val="24"/>
          <w:lang w:val="es-419"/>
        </w:rPr>
      </w:pPr>
    </w:p>
    <w:p w:rsidR="00326210" w:rsidRPr="00326210" w:rsidRDefault="00326210" w:rsidP="004678EE">
      <w:pPr>
        <w:tabs>
          <w:tab w:val="left" w:pos="-720"/>
        </w:tabs>
        <w:suppressAutoHyphens/>
        <w:spacing w:line="288" w:lineRule="auto"/>
        <w:jc w:val="both"/>
        <w:rPr>
          <w:rFonts w:ascii="Georgia" w:hAnsi="Georgia" w:cs="Arial"/>
          <w:spacing w:val="-3"/>
          <w:sz w:val="24"/>
          <w:szCs w:val="24"/>
          <w:lang w:val="es-419"/>
        </w:rPr>
      </w:pPr>
      <w:r w:rsidRPr="00326210">
        <w:rPr>
          <w:rFonts w:ascii="Georgia" w:hAnsi="Georgia" w:cs="Arial"/>
          <w:sz w:val="24"/>
          <w:szCs w:val="24"/>
          <w:lang w:val="es-419"/>
        </w:rPr>
        <w:t xml:space="preserve">Considerando suficientes los argumentos expuestos, el </w:t>
      </w:r>
      <w:r w:rsidRPr="00326210">
        <w:rPr>
          <w:rFonts w:ascii="Georgia" w:hAnsi="Georgia" w:cs="Arial"/>
          <w:smallCaps/>
          <w:sz w:val="24"/>
          <w:szCs w:val="24"/>
          <w:lang w:val="es-419"/>
        </w:rPr>
        <w:t>Tribunal Superior del Distrito Judicial de Pereira, Sala Unitaria</w:t>
      </w:r>
      <w:r w:rsidRPr="00326210">
        <w:rPr>
          <w:rFonts w:ascii="Georgia" w:hAnsi="Georgia" w:cs="Arial"/>
          <w:sz w:val="24"/>
          <w:szCs w:val="24"/>
          <w:lang w:val="es-419"/>
        </w:rPr>
        <w:t>,</w:t>
      </w:r>
    </w:p>
    <w:p w:rsidR="00326210" w:rsidRPr="00326210" w:rsidRDefault="00326210" w:rsidP="004678EE">
      <w:pPr>
        <w:tabs>
          <w:tab w:val="left" w:pos="-720"/>
        </w:tabs>
        <w:suppressAutoHyphens/>
        <w:spacing w:line="288" w:lineRule="auto"/>
        <w:jc w:val="center"/>
        <w:rPr>
          <w:rFonts w:ascii="Georgia" w:hAnsi="Georgia" w:cs="Arial"/>
          <w:smallCaps/>
          <w:sz w:val="24"/>
          <w:szCs w:val="24"/>
          <w:lang w:val="es-419"/>
        </w:rPr>
      </w:pPr>
    </w:p>
    <w:p w:rsidR="00326210" w:rsidRDefault="004678EE" w:rsidP="004678EE">
      <w:pPr>
        <w:tabs>
          <w:tab w:val="left" w:pos="-720"/>
        </w:tabs>
        <w:suppressAutoHyphens/>
        <w:spacing w:line="288" w:lineRule="auto"/>
        <w:jc w:val="center"/>
        <w:rPr>
          <w:rFonts w:ascii="Georgia" w:hAnsi="Georgia" w:cs="Arial"/>
          <w:smallCaps/>
          <w:sz w:val="24"/>
          <w:szCs w:val="24"/>
          <w:lang w:val="es-419"/>
        </w:rPr>
      </w:pPr>
      <w:r>
        <w:rPr>
          <w:rFonts w:ascii="Georgia" w:hAnsi="Georgia" w:cs="Arial"/>
          <w:smallCaps/>
          <w:sz w:val="24"/>
          <w:szCs w:val="24"/>
          <w:lang w:val="es-419"/>
        </w:rPr>
        <w:t>R e s u e l v e</w:t>
      </w:r>
    </w:p>
    <w:p w:rsidR="004678EE" w:rsidRPr="00326210" w:rsidRDefault="004678EE" w:rsidP="004678EE">
      <w:pPr>
        <w:tabs>
          <w:tab w:val="left" w:pos="-720"/>
        </w:tabs>
        <w:suppressAutoHyphens/>
        <w:spacing w:line="288" w:lineRule="auto"/>
        <w:jc w:val="center"/>
        <w:rPr>
          <w:rFonts w:ascii="Georgia" w:hAnsi="Georgia" w:cs="Arial"/>
          <w:smallCaps/>
          <w:sz w:val="24"/>
          <w:szCs w:val="24"/>
          <w:lang w:val="es-419"/>
        </w:rPr>
      </w:pPr>
    </w:p>
    <w:p w:rsidR="00326210" w:rsidRPr="00326210" w:rsidRDefault="00326210" w:rsidP="004678EE">
      <w:pPr>
        <w:pStyle w:val="Textopredeterminado"/>
        <w:numPr>
          <w:ilvl w:val="0"/>
          <w:numId w:val="2"/>
        </w:numPr>
        <w:spacing w:line="288" w:lineRule="auto"/>
        <w:ind w:right="51"/>
        <w:jc w:val="both"/>
        <w:textAlignment w:val="baseline"/>
        <w:rPr>
          <w:rFonts w:ascii="Georgia" w:hAnsi="Georgia" w:cs="Arial"/>
          <w:szCs w:val="24"/>
          <w:lang w:val="es-419"/>
        </w:rPr>
      </w:pPr>
      <w:r w:rsidRPr="00326210">
        <w:rPr>
          <w:rFonts w:ascii="Georgia" w:hAnsi="Georgia" w:cs="Arial"/>
          <w:spacing w:val="-3"/>
          <w:szCs w:val="24"/>
          <w:lang w:val="es-419"/>
        </w:rPr>
        <w:t xml:space="preserve">DECLARAR </w:t>
      </w:r>
      <w:r w:rsidRPr="00326210">
        <w:rPr>
          <w:rFonts w:ascii="Georgia" w:hAnsi="Georgia" w:cs="Arial"/>
          <w:szCs w:val="24"/>
          <w:lang w:val="es-419"/>
        </w:rPr>
        <w:t xml:space="preserve">la nulidad de lo actuado desde el 05-06-2013, inclusive, con excepciones de las diligencias surtidas con los codemandados Juan Gabriel García Patiño, Rosa Umil Bedoya Restrepo y la Procuraduría Agraria -Regional Manizales-, al igual que las pruebas practicadas que conservarán validez </w:t>
      </w:r>
      <w:r w:rsidRPr="00326210">
        <w:rPr>
          <w:rFonts w:ascii="Georgia" w:hAnsi="Georgia"/>
          <w:color w:val="000000" w:themeColor="text1"/>
          <w:szCs w:val="24"/>
          <w:lang w:val="es-419"/>
        </w:rPr>
        <w:t>respecto de las partes que tuvieron la oportunidad de controvertirlas.</w:t>
      </w:r>
    </w:p>
    <w:p w:rsidR="00326210" w:rsidRPr="00326210" w:rsidRDefault="00326210" w:rsidP="004678EE">
      <w:pPr>
        <w:pStyle w:val="Textopredeterminado"/>
        <w:spacing w:line="288" w:lineRule="auto"/>
        <w:ind w:right="51"/>
        <w:jc w:val="both"/>
        <w:textAlignment w:val="baseline"/>
        <w:rPr>
          <w:rFonts w:ascii="Georgia" w:hAnsi="Georgia" w:cs="Arial"/>
          <w:szCs w:val="24"/>
          <w:lang w:val="es-419"/>
        </w:rPr>
      </w:pPr>
    </w:p>
    <w:p w:rsidR="00326210" w:rsidRPr="004678EE" w:rsidRDefault="00326210" w:rsidP="004678EE">
      <w:pPr>
        <w:pStyle w:val="Prrafodelista"/>
        <w:numPr>
          <w:ilvl w:val="0"/>
          <w:numId w:val="2"/>
        </w:numPr>
        <w:tabs>
          <w:tab w:val="left" w:pos="-720"/>
        </w:tabs>
        <w:suppressAutoHyphens/>
        <w:spacing w:line="288" w:lineRule="auto"/>
        <w:jc w:val="both"/>
        <w:rPr>
          <w:rFonts w:ascii="Georgia" w:hAnsi="Georgia" w:cs="Arial"/>
          <w:sz w:val="24"/>
          <w:szCs w:val="24"/>
          <w:lang w:val="es-419"/>
        </w:rPr>
      </w:pPr>
      <w:r w:rsidRPr="00326210">
        <w:rPr>
          <w:rFonts w:ascii="Georgia" w:hAnsi="Georgia" w:cs="Arial"/>
          <w:sz w:val="24"/>
          <w:szCs w:val="24"/>
          <w:lang w:val="es-419"/>
        </w:rPr>
        <w:t>DEVOLVER el expediente al Juzgado Tercero Civil del Circuito de Perea</w:t>
      </w:r>
      <w:r w:rsidRPr="00326210">
        <w:rPr>
          <w:rFonts w:ascii="Georgia" w:hAnsi="Georgia" w:cs="Arial"/>
          <w:spacing w:val="-3"/>
          <w:sz w:val="24"/>
          <w:szCs w:val="24"/>
          <w:lang w:val="es-419"/>
        </w:rPr>
        <w:t>, para que se rehaga la actuación viciada, con estricto acatamiento de los términos anotados en esta providencia.</w:t>
      </w:r>
    </w:p>
    <w:p w:rsidR="004678EE" w:rsidRPr="00326210" w:rsidRDefault="004678EE" w:rsidP="004678EE">
      <w:pPr>
        <w:pStyle w:val="Prrafodelista"/>
        <w:tabs>
          <w:tab w:val="left" w:pos="-720"/>
        </w:tabs>
        <w:suppressAutoHyphens/>
        <w:spacing w:line="288" w:lineRule="auto"/>
        <w:ind w:left="360"/>
        <w:jc w:val="both"/>
        <w:rPr>
          <w:rFonts w:ascii="Georgia" w:hAnsi="Georgia" w:cs="Arial"/>
          <w:sz w:val="24"/>
          <w:szCs w:val="24"/>
          <w:lang w:val="es-419"/>
        </w:rPr>
      </w:pPr>
    </w:p>
    <w:p w:rsidR="00326210" w:rsidRPr="00326210" w:rsidRDefault="00326210" w:rsidP="004678EE">
      <w:pPr>
        <w:suppressAutoHyphens/>
        <w:spacing w:line="288" w:lineRule="auto"/>
        <w:jc w:val="center"/>
        <w:rPr>
          <w:rFonts w:ascii="Georgia" w:hAnsi="Georgia" w:cs="Arial"/>
          <w:smallCaps/>
          <w:lang w:val="es-419"/>
        </w:rPr>
      </w:pPr>
      <w:r w:rsidRPr="00326210">
        <w:rPr>
          <w:rFonts w:ascii="Georgia" w:hAnsi="Georgia" w:cs="Arial"/>
          <w:smallCaps/>
          <w:sz w:val="24"/>
          <w:szCs w:val="24"/>
          <w:lang w:val="es-419"/>
        </w:rPr>
        <w:t>Notifíquese</w:t>
      </w:r>
    </w:p>
    <w:p w:rsidR="00326210" w:rsidRPr="00326210" w:rsidRDefault="00326210" w:rsidP="004678EE">
      <w:pPr>
        <w:pStyle w:val="Textoindependiente"/>
        <w:spacing w:line="288" w:lineRule="auto"/>
        <w:jc w:val="center"/>
        <w:rPr>
          <w:rFonts w:ascii="Georgia" w:hAnsi="Georgia"/>
          <w:spacing w:val="20"/>
          <w:w w:val="150"/>
          <w:sz w:val="22"/>
          <w:szCs w:val="22"/>
          <w:lang w:val="es-419"/>
        </w:rPr>
      </w:pPr>
    </w:p>
    <w:p w:rsidR="00326210" w:rsidRPr="00326210" w:rsidRDefault="00326210" w:rsidP="004678EE">
      <w:pPr>
        <w:pStyle w:val="Textoindependiente"/>
        <w:spacing w:line="288" w:lineRule="auto"/>
        <w:jc w:val="center"/>
        <w:rPr>
          <w:rFonts w:ascii="Georgia" w:hAnsi="Georgia"/>
          <w:spacing w:val="20"/>
          <w:w w:val="150"/>
          <w:sz w:val="22"/>
          <w:szCs w:val="22"/>
          <w:lang w:val="es-419"/>
        </w:rPr>
      </w:pPr>
    </w:p>
    <w:p w:rsidR="00326210" w:rsidRPr="00326210" w:rsidRDefault="00326210" w:rsidP="004678EE">
      <w:pPr>
        <w:pStyle w:val="Textoindependiente"/>
        <w:spacing w:line="288" w:lineRule="auto"/>
        <w:jc w:val="center"/>
        <w:rPr>
          <w:rFonts w:ascii="Georgia" w:hAnsi="Georgia"/>
          <w:spacing w:val="20"/>
          <w:w w:val="150"/>
          <w:sz w:val="22"/>
          <w:szCs w:val="22"/>
          <w:lang w:val="es-419"/>
        </w:rPr>
      </w:pPr>
    </w:p>
    <w:p w:rsidR="00326210" w:rsidRPr="00326210" w:rsidRDefault="00326210" w:rsidP="004678EE">
      <w:pPr>
        <w:pStyle w:val="Textopredeterminado"/>
        <w:spacing w:line="288" w:lineRule="auto"/>
        <w:jc w:val="center"/>
        <w:rPr>
          <w:rFonts w:ascii="Georgia" w:hAnsi="Georgia" w:cs="Arial"/>
          <w:caps/>
          <w:spacing w:val="20"/>
          <w:w w:val="150"/>
          <w:lang w:val="es-419"/>
        </w:rPr>
      </w:pPr>
      <w:r w:rsidRPr="00326210">
        <w:rPr>
          <w:rFonts w:ascii="Georgia" w:hAnsi="Georgia" w:cs="Arial"/>
          <w:caps/>
          <w:spacing w:val="20"/>
          <w:w w:val="150"/>
          <w:sz w:val="28"/>
          <w:lang w:val="es-419"/>
        </w:rPr>
        <w:t>D</w:t>
      </w:r>
      <w:r w:rsidRPr="00326210">
        <w:rPr>
          <w:rFonts w:ascii="Georgia" w:hAnsi="Georgia" w:cs="Arial"/>
          <w:caps/>
          <w:spacing w:val="20"/>
          <w:w w:val="150"/>
          <w:sz w:val="18"/>
          <w:lang w:val="es-419"/>
        </w:rPr>
        <w:t>UBERNEY</w:t>
      </w:r>
      <w:r w:rsidRPr="00326210">
        <w:rPr>
          <w:rFonts w:ascii="Georgia" w:hAnsi="Georgia" w:cs="Arial"/>
          <w:caps/>
          <w:spacing w:val="20"/>
          <w:w w:val="150"/>
          <w:sz w:val="22"/>
          <w:lang w:val="es-419"/>
        </w:rPr>
        <w:t xml:space="preserve"> </w:t>
      </w:r>
      <w:r w:rsidRPr="00326210">
        <w:rPr>
          <w:rFonts w:ascii="Georgia" w:hAnsi="Georgia" w:cs="Arial"/>
          <w:caps/>
          <w:spacing w:val="20"/>
          <w:w w:val="150"/>
          <w:sz w:val="28"/>
          <w:lang w:val="es-419"/>
        </w:rPr>
        <w:t>G</w:t>
      </w:r>
      <w:r w:rsidRPr="00326210">
        <w:rPr>
          <w:rFonts w:ascii="Georgia" w:hAnsi="Georgia" w:cs="Arial"/>
          <w:caps/>
          <w:spacing w:val="20"/>
          <w:w w:val="150"/>
          <w:sz w:val="18"/>
          <w:lang w:val="es-419"/>
        </w:rPr>
        <w:t>RISALES</w:t>
      </w:r>
      <w:r w:rsidRPr="00326210">
        <w:rPr>
          <w:rFonts w:ascii="Georgia" w:hAnsi="Georgia" w:cs="Arial"/>
          <w:caps/>
          <w:spacing w:val="20"/>
          <w:w w:val="150"/>
          <w:sz w:val="22"/>
          <w:lang w:val="es-419"/>
        </w:rPr>
        <w:t xml:space="preserve"> </w:t>
      </w:r>
      <w:r w:rsidRPr="00326210">
        <w:rPr>
          <w:rFonts w:ascii="Georgia" w:hAnsi="Georgia" w:cs="Arial"/>
          <w:caps/>
          <w:spacing w:val="20"/>
          <w:w w:val="150"/>
          <w:sz w:val="28"/>
          <w:lang w:val="es-419"/>
        </w:rPr>
        <w:t>H</w:t>
      </w:r>
      <w:r w:rsidRPr="00326210">
        <w:rPr>
          <w:rFonts w:ascii="Georgia" w:hAnsi="Georgia" w:cs="Arial"/>
          <w:caps/>
          <w:spacing w:val="20"/>
          <w:w w:val="150"/>
          <w:sz w:val="18"/>
          <w:lang w:val="es-419"/>
        </w:rPr>
        <w:t>ERRERA</w:t>
      </w:r>
    </w:p>
    <w:p w:rsidR="000B268B" w:rsidRPr="00326210" w:rsidRDefault="00326210" w:rsidP="004678E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ind w:right="55"/>
        <w:jc w:val="center"/>
        <w:rPr>
          <w:lang w:val="es-419"/>
        </w:rPr>
      </w:pPr>
      <w:r w:rsidRPr="00326210">
        <w:rPr>
          <w:rFonts w:ascii="Georgia" w:hAnsi="Georgia" w:cs="Arial"/>
          <w:caps/>
          <w:spacing w:val="20"/>
          <w:w w:val="150"/>
          <w:sz w:val="28"/>
          <w:szCs w:val="24"/>
          <w:lang w:val="es-419"/>
        </w:rPr>
        <w:t>M</w:t>
      </w:r>
      <w:r w:rsidRPr="00326210">
        <w:rPr>
          <w:rFonts w:ascii="Georgia" w:hAnsi="Georgia" w:cs="Arial"/>
          <w:caps/>
          <w:spacing w:val="20"/>
          <w:w w:val="150"/>
          <w:sz w:val="18"/>
          <w:lang w:val="es-419"/>
        </w:rPr>
        <w:t>agistrado</w:t>
      </w:r>
    </w:p>
    <w:sectPr w:rsidR="000B268B" w:rsidRPr="00326210" w:rsidSect="00D06316">
      <w:headerReference w:type="default" r:id="rId8"/>
      <w:footerReference w:type="default" r:id="rId9"/>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B9" w:rsidRDefault="00520FB9" w:rsidP="00326210">
      <w:r>
        <w:separator/>
      </w:r>
    </w:p>
  </w:endnote>
  <w:endnote w:type="continuationSeparator" w:id="0">
    <w:p w:rsidR="00520FB9" w:rsidRDefault="00520FB9" w:rsidP="0032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520FB9"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520FB9" w:rsidP="00045CE3">
    <w:pPr>
      <w:pStyle w:val="Piedepgina"/>
      <w:spacing w:line="360" w:lineRule="auto"/>
      <w:jc w:val="right"/>
      <w:rPr>
        <w:rFonts w:ascii="Arial" w:hAnsi="Arial" w:cs="Arial"/>
        <w:spacing w:val="20"/>
        <w:w w:val="200"/>
        <w:sz w:val="14"/>
        <w:szCs w:val="10"/>
        <w:lang w:val="es-CO"/>
      </w:rPr>
    </w:pPr>
  </w:p>
  <w:p w:rsidR="003C5098" w:rsidRPr="003E18D8" w:rsidRDefault="005737AE"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5737AE" w:rsidP="00045CE3">
    <w:pPr>
      <w:pStyle w:val="Piedepgina"/>
      <w:jc w:val="right"/>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B9" w:rsidRDefault="00520FB9" w:rsidP="00326210">
      <w:r>
        <w:separator/>
      </w:r>
    </w:p>
  </w:footnote>
  <w:footnote w:type="continuationSeparator" w:id="0">
    <w:p w:rsidR="00520FB9" w:rsidRDefault="00520FB9" w:rsidP="00326210">
      <w:r>
        <w:continuationSeparator/>
      </w:r>
    </w:p>
  </w:footnote>
  <w:footnote w:id="1">
    <w:p w:rsidR="00326210" w:rsidRPr="004678EE" w:rsidRDefault="00326210" w:rsidP="00326210">
      <w:pPr>
        <w:pStyle w:val="Textonotapie"/>
        <w:jc w:val="both"/>
        <w:rPr>
          <w:rFonts w:ascii="Arial" w:hAnsi="Arial" w:cs="Arial"/>
          <w:sz w:val="18"/>
        </w:rPr>
      </w:pPr>
      <w:r w:rsidRPr="004678EE">
        <w:rPr>
          <w:rStyle w:val="Refdenotaalpie"/>
          <w:rFonts w:ascii="Arial" w:hAnsi="Arial" w:cs="Arial"/>
          <w:sz w:val="18"/>
          <w:lang w:val="es-CO"/>
        </w:rPr>
        <w:footnoteRef/>
      </w:r>
      <w:r w:rsidRPr="004678EE">
        <w:rPr>
          <w:rFonts w:ascii="Arial" w:hAnsi="Arial" w:cs="Arial"/>
          <w:sz w:val="18"/>
          <w:lang w:val="es-CO"/>
        </w:rPr>
        <w:t xml:space="preserve"> CANOSA T., Fernando. Las nulidades en el derecho procesal civil, 3ª edición, Ediciones Doctrina y ley, 1998, p.26.</w:t>
      </w:r>
    </w:p>
  </w:footnote>
  <w:footnote w:id="2">
    <w:p w:rsidR="00326210" w:rsidRPr="004678EE" w:rsidRDefault="00326210" w:rsidP="00326210">
      <w:pPr>
        <w:pStyle w:val="Textonotapie"/>
        <w:jc w:val="both"/>
        <w:rPr>
          <w:rFonts w:ascii="Arial" w:hAnsi="Arial" w:cs="Arial"/>
          <w:sz w:val="18"/>
        </w:rPr>
      </w:pPr>
      <w:r w:rsidRPr="004678EE">
        <w:rPr>
          <w:rStyle w:val="Refdenotaalpie"/>
          <w:rFonts w:ascii="Arial" w:hAnsi="Arial" w:cs="Arial"/>
          <w:sz w:val="18"/>
          <w:szCs w:val="18"/>
          <w:lang w:val="es-CO"/>
        </w:rPr>
        <w:footnoteRef/>
      </w:r>
      <w:r w:rsidRPr="004678EE">
        <w:rPr>
          <w:rFonts w:ascii="Arial" w:hAnsi="Arial" w:cs="Arial"/>
          <w:sz w:val="18"/>
          <w:szCs w:val="18"/>
          <w:lang w:val="es-CO"/>
        </w:rPr>
        <w:t xml:space="preserve"> LÓPEZ B., Hernán F. Código General del Proceso, tomo I, parte general, Bogotá DC, </w:t>
      </w:r>
      <w:proofErr w:type="spellStart"/>
      <w:r w:rsidRPr="004678EE">
        <w:rPr>
          <w:rFonts w:ascii="Arial" w:hAnsi="Arial" w:cs="Arial"/>
          <w:sz w:val="18"/>
          <w:szCs w:val="18"/>
          <w:lang w:val="es-CO"/>
        </w:rPr>
        <w:t>Dupré</w:t>
      </w:r>
      <w:proofErr w:type="spellEnd"/>
      <w:r w:rsidRPr="004678EE">
        <w:rPr>
          <w:rFonts w:ascii="Arial" w:hAnsi="Arial" w:cs="Arial"/>
          <w:sz w:val="18"/>
          <w:szCs w:val="18"/>
          <w:lang w:val="es-CO"/>
        </w:rPr>
        <w:t xml:space="preserve"> editores, 2016, p.909 ss.</w:t>
      </w:r>
    </w:p>
  </w:footnote>
  <w:footnote w:id="3">
    <w:p w:rsidR="00326210" w:rsidRPr="004678EE" w:rsidRDefault="00326210" w:rsidP="00326210">
      <w:pPr>
        <w:pStyle w:val="Textonotapie"/>
        <w:jc w:val="both"/>
        <w:rPr>
          <w:rFonts w:ascii="Arial" w:hAnsi="Arial" w:cs="Arial"/>
          <w:sz w:val="18"/>
        </w:rPr>
      </w:pPr>
      <w:r w:rsidRPr="004678EE">
        <w:rPr>
          <w:rStyle w:val="Refdenotaalpie"/>
          <w:rFonts w:ascii="Arial" w:hAnsi="Arial" w:cs="Arial"/>
          <w:sz w:val="18"/>
          <w:lang w:val="es-CO"/>
        </w:rPr>
        <w:footnoteRef/>
      </w:r>
      <w:r w:rsidRPr="004678EE">
        <w:rPr>
          <w:rFonts w:ascii="Arial" w:hAnsi="Arial" w:cs="Arial"/>
          <w:sz w:val="18"/>
          <w:lang w:val="es-CO"/>
        </w:rPr>
        <w:t xml:space="preserve"> AZULA C., Jaime. Manual de derecho procesal civil, tomo II, 4ª edición, editorial Temis, Bogotá D.C., 1994, p.303.</w:t>
      </w:r>
    </w:p>
  </w:footnote>
  <w:footnote w:id="4">
    <w:p w:rsidR="00326210" w:rsidRPr="004678EE" w:rsidRDefault="00326210" w:rsidP="00326210">
      <w:pPr>
        <w:pStyle w:val="Textonotapie"/>
        <w:jc w:val="both"/>
        <w:rPr>
          <w:rFonts w:ascii="Arial" w:hAnsi="Arial" w:cs="Arial"/>
          <w:sz w:val="18"/>
        </w:rPr>
      </w:pPr>
      <w:r w:rsidRPr="004678EE">
        <w:rPr>
          <w:rStyle w:val="Refdenotaalpie"/>
          <w:rFonts w:ascii="Arial" w:hAnsi="Arial" w:cs="Arial"/>
          <w:sz w:val="18"/>
          <w:lang w:val="es-CO"/>
        </w:rPr>
        <w:footnoteRef/>
      </w:r>
      <w:r w:rsidRPr="004678EE">
        <w:rPr>
          <w:rFonts w:ascii="Arial" w:hAnsi="Arial" w:cs="Arial"/>
          <w:sz w:val="18"/>
          <w:lang w:val="es-CO"/>
        </w:rPr>
        <w:t xml:space="preserve"> ROJAS G., Miguel E. Lecciones de derecho procesal, tomo II, Procedimiento Civil, 6ª Edición, </w:t>
      </w:r>
      <w:proofErr w:type="spellStart"/>
      <w:r w:rsidRPr="004678EE">
        <w:rPr>
          <w:rFonts w:ascii="Arial" w:hAnsi="Arial" w:cs="Arial"/>
          <w:sz w:val="18"/>
          <w:lang w:val="es-CO"/>
        </w:rPr>
        <w:t>Esaju</w:t>
      </w:r>
      <w:proofErr w:type="spellEnd"/>
      <w:r w:rsidRPr="004678EE">
        <w:rPr>
          <w:rFonts w:ascii="Arial" w:hAnsi="Arial" w:cs="Arial"/>
          <w:sz w:val="18"/>
          <w:lang w:val="es-CO"/>
        </w:rPr>
        <w:t>, 2017, Bogotá DC, p.600.</w:t>
      </w:r>
    </w:p>
  </w:footnote>
  <w:footnote w:id="5">
    <w:p w:rsidR="00326210" w:rsidRPr="004678EE" w:rsidRDefault="00326210" w:rsidP="00326210">
      <w:pPr>
        <w:pStyle w:val="Textonotapie"/>
        <w:jc w:val="both"/>
        <w:rPr>
          <w:rFonts w:ascii="Arial" w:hAnsi="Arial" w:cs="Arial"/>
          <w:sz w:val="18"/>
          <w:lang w:val="es-CO"/>
        </w:rPr>
      </w:pPr>
      <w:r w:rsidRPr="004678EE">
        <w:rPr>
          <w:rStyle w:val="Refdenotaalpie"/>
          <w:rFonts w:ascii="Arial" w:hAnsi="Arial" w:cs="Arial"/>
          <w:sz w:val="18"/>
        </w:rPr>
        <w:footnoteRef/>
      </w:r>
      <w:r w:rsidRPr="004678EE">
        <w:rPr>
          <w:rFonts w:ascii="Arial" w:hAnsi="Arial" w:cs="Arial"/>
          <w:sz w:val="18"/>
        </w:rPr>
        <w:t xml:space="preserve"> INSTITUTO COLOMBIANO DE DERECHO PROCESAL. Código General del Proceso</w:t>
      </w:r>
      <w:r w:rsidRPr="004678EE">
        <w:rPr>
          <w:rFonts w:ascii="Arial" w:hAnsi="Arial" w:cs="Arial"/>
          <w:sz w:val="18"/>
          <w:lang w:val="es-CO"/>
        </w:rPr>
        <w:t xml:space="preserve">, Henry Sanabria S., Impresor Panamericana Formas e Impresos </w:t>
      </w:r>
      <w:proofErr w:type="spellStart"/>
      <w:r w:rsidRPr="004678EE">
        <w:rPr>
          <w:rFonts w:ascii="Arial" w:hAnsi="Arial" w:cs="Arial"/>
          <w:sz w:val="18"/>
          <w:lang w:val="es-CO"/>
        </w:rPr>
        <w:t>SAS</w:t>
      </w:r>
      <w:proofErr w:type="spellEnd"/>
      <w:r w:rsidRPr="004678EE">
        <w:rPr>
          <w:rFonts w:ascii="Arial" w:hAnsi="Arial" w:cs="Arial"/>
          <w:sz w:val="18"/>
          <w:lang w:val="es-CO"/>
        </w:rPr>
        <w:t>, 2014, p.258.</w:t>
      </w:r>
      <w:r w:rsidRPr="004678EE">
        <w:rPr>
          <w:rFonts w:ascii="Arial" w:hAnsi="Arial" w:cs="Arial"/>
          <w:sz w:val="18"/>
        </w:rPr>
        <w:t xml:space="preserve"> </w:t>
      </w:r>
    </w:p>
  </w:footnote>
  <w:footnote w:id="6">
    <w:p w:rsidR="00326210" w:rsidRPr="004678EE" w:rsidRDefault="00326210" w:rsidP="00326210">
      <w:pPr>
        <w:pStyle w:val="Textonotapie"/>
        <w:jc w:val="both"/>
        <w:rPr>
          <w:rFonts w:ascii="Arial" w:hAnsi="Arial" w:cs="Arial"/>
          <w:sz w:val="18"/>
          <w:lang w:val="es-CO"/>
        </w:rPr>
      </w:pPr>
      <w:r w:rsidRPr="004678EE">
        <w:rPr>
          <w:rStyle w:val="Refdenotaalpie"/>
          <w:rFonts w:ascii="Arial" w:hAnsi="Arial" w:cs="Arial"/>
          <w:sz w:val="18"/>
        </w:rPr>
        <w:footnoteRef/>
      </w:r>
      <w:r w:rsidRPr="004678EE">
        <w:rPr>
          <w:rFonts w:ascii="Arial" w:hAnsi="Arial" w:cs="Arial"/>
          <w:sz w:val="18"/>
        </w:rPr>
        <w:t xml:space="preserve"> </w:t>
      </w:r>
      <w:r w:rsidRPr="004678EE">
        <w:rPr>
          <w:rFonts w:ascii="Arial" w:hAnsi="Arial" w:cs="Arial"/>
          <w:sz w:val="18"/>
          <w:lang w:val="es-CO"/>
        </w:rPr>
        <w:t>CSJ. SC15413-2014.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B62758" w:rsidRDefault="005737AE"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BF3067" w:rsidRPr="00BF3067">
      <w:rPr>
        <w:rFonts w:asciiTheme="minorHAnsi" w:hAnsiTheme="minorHAnsi" w:cs="Calibri"/>
        <w:bCs/>
        <w:noProof/>
      </w:rPr>
      <w:t>5</w:t>
    </w:r>
    <w:r w:rsidRPr="00B62758">
      <w:rPr>
        <w:rFonts w:asciiTheme="minorHAnsi" w:hAnsiTheme="minorHAnsi" w:cs="Calibri"/>
      </w:rPr>
      <w:fldChar w:fldCharType="end"/>
    </w:r>
  </w:p>
  <w:p w:rsidR="00045CE3" w:rsidRPr="00323447" w:rsidRDefault="005737AE" w:rsidP="00045CE3">
    <w:pPr>
      <w:pStyle w:val="Encabezado"/>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w:t>
    </w:r>
    <w:r w:rsidR="004678EE">
      <w:rPr>
        <w:rFonts w:asciiTheme="majorHAnsi" w:hAnsiTheme="majorHAnsi" w:cs="Iskoola Pota"/>
        <w:i/>
        <w:sz w:val="16"/>
        <w:lang w:val="es-CO"/>
      </w:rPr>
      <w:t xml:space="preserve"> </w:t>
    </w:r>
    <w:r w:rsidRPr="00323447">
      <w:rPr>
        <w:rFonts w:asciiTheme="majorHAnsi" w:hAnsiTheme="majorHAnsi" w:cs="Iskoola Pota"/>
        <w:i/>
        <w:sz w:val="16"/>
        <w:lang w:val="es-CO"/>
      </w:rPr>
      <w:t>20</w:t>
    </w:r>
    <w:r>
      <w:rPr>
        <w:rFonts w:asciiTheme="majorHAnsi" w:hAnsiTheme="majorHAnsi" w:cs="Iskoola Pota"/>
        <w:i/>
        <w:sz w:val="16"/>
        <w:lang w:val="es-CO"/>
      </w:rPr>
      <w:t>17</w:t>
    </w:r>
    <w:r w:rsidRPr="00323447">
      <w:rPr>
        <w:rFonts w:asciiTheme="majorHAnsi" w:hAnsiTheme="majorHAnsi" w:cs="Iskoola Pota"/>
        <w:i/>
        <w:sz w:val="16"/>
        <w:lang w:val="es-CO"/>
      </w:rPr>
      <w:t>-00</w:t>
    </w:r>
    <w:r>
      <w:rPr>
        <w:rFonts w:asciiTheme="majorHAnsi" w:hAnsiTheme="majorHAnsi" w:cs="Iskoola Pota"/>
        <w:i/>
        <w:sz w:val="16"/>
        <w:lang w:val="es-CO"/>
      </w:rPr>
      <w:t>396-</w:t>
    </w:r>
    <w:r w:rsidRPr="00323447">
      <w:rPr>
        <w:rFonts w:asciiTheme="majorHAnsi" w:hAnsiTheme="majorHAnsi" w:cs="Iskoola Pota"/>
        <w:i/>
        <w:sz w:val="16"/>
        <w:lang w:val="es-CO"/>
      </w:rPr>
      <w:t>0</w:t>
    </w:r>
    <w:r>
      <w:rPr>
        <w:rFonts w:asciiTheme="majorHAnsi" w:hAnsiTheme="majorHAnsi" w:cs="Iskoola Pota"/>
        <w:i/>
        <w:sz w:val="16"/>
        <w:lang w:val="es-CO"/>
      </w:rPr>
      <w:t>1</w:t>
    </w:r>
  </w:p>
  <w:p w:rsidR="008D321B" w:rsidRPr="00045CE3" w:rsidRDefault="00520FB9"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10"/>
    <w:rsid w:val="000B268B"/>
    <w:rsid w:val="00217669"/>
    <w:rsid w:val="00326210"/>
    <w:rsid w:val="004678EE"/>
    <w:rsid w:val="004E7541"/>
    <w:rsid w:val="00520FB9"/>
    <w:rsid w:val="005737AE"/>
    <w:rsid w:val="00574AD6"/>
    <w:rsid w:val="007B59CD"/>
    <w:rsid w:val="00BF3067"/>
    <w:rsid w:val="00D063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CE616-A397-4534-8615-E6928B82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21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210"/>
    <w:pPr>
      <w:tabs>
        <w:tab w:val="center" w:pos="4419"/>
        <w:tab w:val="right" w:pos="8838"/>
      </w:tabs>
    </w:pPr>
  </w:style>
  <w:style w:type="character" w:customStyle="1" w:styleId="EncabezadoCar">
    <w:name w:val="Encabezado Car"/>
    <w:basedOn w:val="Fuentedeprrafopredeter"/>
    <w:link w:val="Encabezado"/>
    <w:uiPriority w:val="99"/>
    <w:rsid w:val="00326210"/>
    <w:rPr>
      <w:rFonts w:ascii="Times New Roman" w:eastAsia="Times New Roman" w:hAnsi="Times New Roman" w:cs="Times New Roman"/>
      <w:sz w:val="20"/>
      <w:szCs w:val="20"/>
      <w:lang w:eastAsia="es-ES"/>
    </w:rPr>
  </w:style>
  <w:style w:type="paragraph" w:styleId="Puesto">
    <w:name w:val="Title"/>
    <w:basedOn w:val="Normal"/>
    <w:link w:val="PuestoCar"/>
    <w:uiPriority w:val="10"/>
    <w:qFormat/>
    <w:rsid w:val="00326210"/>
    <w:pPr>
      <w:jc w:val="center"/>
    </w:pPr>
    <w:rPr>
      <w:rFonts w:ascii="Arial" w:hAnsi="Arial"/>
      <w:b/>
      <w:i/>
      <w:sz w:val="24"/>
    </w:rPr>
  </w:style>
  <w:style w:type="character" w:customStyle="1" w:styleId="PuestoCar">
    <w:name w:val="Puesto Car"/>
    <w:basedOn w:val="Fuentedeprrafopredeter"/>
    <w:link w:val="Puesto"/>
    <w:uiPriority w:val="10"/>
    <w:rsid w:val="00326210"/>
    <w:rPr>
      <w:rFonts w:ascii="Arial" w:eastAsia="Times New Roman" w:hAnsi="Arial" w:cs="Times New Roman"/>
      <w:b/>
      <w:i/>
      <w:sz w:val="24"/>
      <w:szCs w:val="20"/>
      <w:lang w:eastAsia="es-ES"/>
    </w:rPr>
  </w:style>
  <w:style w:type="paragraph" w:styleId="Sinespaciado">
    <w:name w:val="No Spacing"/>
    <w:link w:val="SinespaciadoCar"/>
    <w:uiPriority w:val="1"/>
    <w:qFormat/>
    <w:rsid w:val="00326210"/>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paragraph" w:styleId="Textoindependiente">
    <w:name w:val="Body Text"/>
    <w:basedOn w:val="Normal"/>
    <w:link w:val="TextoindependienteCar"/>
    <w:uiPriority w:val="99"/>
    <w:rsid w:val="003262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rsid w:val="00326210"/>
    <w:rPr>
      <w:rFonts w:ascii="Verdana" w:eastAsia="Times New Roman" w:hAnsi="Verdana" w:cs="Times New Roman"/>
      <w:spacing w:val="-3"/>
      <w:sz w:val="24"/>
      <w:szCs w:val="20"/>
      <w:lang w:val="es-ES_tradnl" w:eastAsia="es-ES"/>
    </w:rPr>
  </w:style>
  <w:style w:type="paragraph" w:styleId="Prrafodelista">
    <w:name w:val="List Paragraph"/>
    <w:basedOn w:val="Normal"/>
    <w:uiPriority w:val="99"/>
    <w:qFormat/>
    <w:rsid w:val="00326210"/>
    <w:pPr>
      <w:ind w:left="708"/>
    </w:pPr>
  </w:style>
  <w:style w:type="paragraph" w:styleId="Piedepgina">
    <w:name w:val="footer"/>
    <w:aliases w:val="Pie de página Car Car"/>
    <w:basedOn w:val="Normal"/>
    <w:link w:val="PiedepginaCar"/>
    <w:uiPriority w:val="99"/>
    <w:unhideWhenUsed/>
    <w:rsid w:val="0032621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rsid w:val="00326210"/>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26210"/>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326210"/>
    <w:rPr>
      <w:rFonts w:ascii="Times New Roman" w:eastAsia="Times New Roman" w:hAnsi="Times New Roman" w:cs="Times New Roman"/>
      <w:sz w:val="20"/>
      <w:szCs w:val="20"/>
      <w:lang w:eastAsia="es-ES"/>
    </w:rPr>
  </w:style>
  <w:style w:type="paragraph" w:customStyle="1" w:styleId="Textopredeterminado">
    <w:name w:val="Texto predeterminado"/>
    <w:basedOn w:val="Normal"/>
    <w:uiPriority w:val="99"/>
    <w:rsid w:val="00326210"/>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326210"/>
    <w:rPr>
      <w:rFonts w:cs="Times New Roman"/>
      <w:vertAlign w:val="superscript"/>
    </w:rPr>
  </w:style>
  <w:style w:type="character" w:customStyle="1" w:styleId="SinespaciadoCar">
    <w:name w:val="Sin espaciado Car"/>
    <w:link w:val="Sinespaciado"/>
    <w:uiPriority w:val="1"/>
    <w:locked/>
    <w:rsid w:val="00326210"/>
    <w:rPr>
      <w:rFonts w:ascii="Courier New" w:eastAsia="Times New Roman" w:hAnsi="Courier New" w:cs="Courier New"/>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2101</Words>
  <Characters>11556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2019-04-05T19:12:00Z</dcterms:created>
  <dcterms:modified xsi:type="dcterms:W3CDTF">2019-04-05T19:49:00Z</dcterms:modified>
</cp:coreProperties>
</file>