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34" w:rsidRPr="001E6B34" w:rsidRDefault="001E6B34" w:rsidP="001E6B3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1E6B3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6B34" w:rsidRPr="001E6B34" w:rsidRDefault="001E6B34" w:rsidP="001E6B34">
      <w:pPr>
        <w:widowControl/>
        <w:autoSpaceDE/>
        <w:autoSpaceDN/>
        <w:adjustRightInd/>
        <w:jc w:val="both"/>
        <w:rPr>
          <w:rFonts w:ascii="Arial" w:hAnsi="Arial" w:cs="Arial"/>
          <w:sz w:val="20"/>
          <w:szCs w:val="20"/>
          <w:lang w:val="es-419"/>
        </w:rPr>
      </w:pPr>
    </w:p>
    <w:p w:rsidR="005D7CEE" w:rsidRPr="00F748AF" w:rsidRDefault="001E6B34" w:rsidP="005D7CEE">
      <w:pPr>
        <w:widowControl/>
        <w:autoSpaceDE/>
        <w:autoSpaceDN/>
        <w:adjustRightInd/>
        <w:jc w:val="both"/>
        <w:rPr>
          <w:rFonts w:ascii="Arial" w:hAnsi="Arial" w:cs="Arial"/>
          <w:b/>
          <w:bCs/>
          <w:iCs/>
          <w:sz w:val="20"/>
          <w:szCs w:val="20"/>
          <w:lang w:val="es-419" w:eastAsia="fr-FR"/>
        </w:rPr>
      </w:pPr>
      <w:r w:rsidRPr="001E6B34">
        <w:rPr>
          <w:rFonts w:ascii="Arial" w:hAnsi="Arial" w:cs="Arial"/>
          <w:b/>
          <w:bCs/>
          <w:iCs/>
          <w:sz w:val="20"/>
          <w:szCs w:val="20"/>
          <w:lang w:val="es-419" w:eastAsia="fr-FR"/>
        </w:rPr>
        <w:t>TEMAS:</w:t>
      </w:r>
      <w:r w:rsidRPr="001E6B34">
        <w:rPr>
          <w:rFonts w:ascii="Arial" w:hAnsi="Arial" w:cs="Arial"/>
          <w:b/>
          <w:bCs/>
          <w:iCs/>
          <w:sz w:val="20"/>
          <w:szCs w:val="20"/>
          <w:lang w:val="es-419" w:eastAsia="fr-FR"/>
        </w:rPr>
        <w:tab/>
      </w:r>
      <w:r w:rsidR="005D7CEE" w:rsidRPr="00415769">
        <w:rPr>
          <w:rFonts w:ascii="Arial" w:hAnsi="Arial" w:cs="Arial"/>
          <w:b/>
          <w:bCs/>
          <w:iCs/>
          <w:sz w:val="20"/>
          <w:szCs w:val="20"/>
          <w:lang w:val="es-419" w:eastAsia="fr-FR"/>
        </w:rPr>
        <w:t xml:space="preserve">DEBIDO PROCESO / TUTELA CONTRA DECISIÓN JUDICIAL / REQUISITOS DE PROCEDIBILIDAD / </w:t>
      </w:r>
      <w:r w:rsidR="005D7CEE">
        <w:rPr>
          <w:rFonts w:ascii="Arial" w:hAnsi="Arial" w:cs="Arial"/>
          <w:b/>
          <w:bCs/>
          <w:iCs/>
          <w:sz w:val="20"/>
          <w:szCs w:val="20"/>
          <w:lang w:val="es-CO" w:eastAsia="fr-FR"/>
        </w:rPr>
        <w:t>DEFECTO SUSTANTIVO O MATERIAL / CASO:</w:t>
      </w:r>
      <w:r w:rsidR="00183A2B">
        <w:rPr>
          <w:rFonts w:ascii="Arial" w:hAnsi="Arial" w:cs="Arial"/>
          <w:b/>
          <w:bCs/>
          <w:iCs/>
          <w:sz w:val="20"/>
          <w:szCs w:val="20"/>
          <w:lang w:val="es-CO" w:eastAsia="fr-FR"/>
        </w:rPr>
        <w:t xml:space="preserve"> NO ACOMPAÑAR PRUEBA DE LA CALIDAD EN QUE ACTÚA EL DEMANDANTE NO CONSTITUYE UNA EXCEPCIÓN PREVIA.</w:t>
      </w:r>
    </w:p>
    <w:p w:rsidR="005D7CEE" w:rsidRPr="00F748AF" w:rsidRDefault="005D7CEE" w:rsidP="005D7CEE">
      <w:pPr>
        <w:widowControl/>
        <w:autoSpaceDE/>
        <w:autoSpaceDN/>
        <w:adjustRightInd/>
        <w:jc w:val="both"/>
        <w:rPr>
          <w:rFonts w:ascii="Arial" w:hAnsi="Arial" w:cs="Arial"/>
          <w:sz w:val="20"/>
          <w:szCs w:val="20"/>
          <w:lang w:val="es-419"/>
        </w:rPr>
      </w:pPr>
    </w:p>
    <w:p w:rsidR="005D7CEE" w:rsidRDefault="005D7CEE" w:rsidP="005D7CEE">
      <w:pPr>
        <w:widowControl/>
        <w:autoSpaceDE/>
        <w:autoSpaceDN/>
        <w:adjustRightInd/>
        <w:jc w:val="both"/>
        <w:rPr>
          <w:rFonts w:ascii="Arial" w:hAnsi="Arial" w:cs="Arial"/>
          <w:sz w:val="20"/>
          <w:szCs w:val="20"/>
          <w:lang w:val="es-CO"/>
        </w:rPr>
      </w:pPr>
      <w:r>
        <w:rPr>
          <w:rFonts w:ascii="Arial" w:hAnsi="Arial" w:cs="Arial"/>
          <w:sz w:val="20"/>
          <w:szCs w:val="20"/>
          <w:lang w:val="es-419"/>
        </w:rPr>
        <w:t>Desde la sentencia C-543 de</w:t>
      </w:r>
      <w:r w:rsidRPr="00E94F3E">
        <w:rPr>
          <w:rFonts w:ascii="Arial" w:hAnsi="Arial" w:cs="Arial"/>
          <w:sz w:val="20"/>
          <w:szCs w:val="20"/>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w:t>
      </w:r>
      <w:r>
        <w:rPr>
          <w:rFonts w:ascii="Arial" w:hAnsi="Arial" w:cs="Arial"/>
          <w:sz w:val="20"/>
          <w:szCs w:val="20"/>
          <w:lang w:val="es-419"/>
        </w:rPr>
        <w:t>ión dogmática entre 2003 y 2005</w:t>
      </w:r>
      <w:r w:rsidRPr="00E94F3E">
        <w:rPr>
          <w:rFonts w:ascii="Arial" w:hAnsi="Arial" w:cs="Arial"/>
          <w:sz w:val="20"/>
          <w:szCs w:val="20"/>
          <w:lang w:val="es-419"/>
        </w:rPr>
        <w:t xml:space="preserve">, básicamente sustituyó la expresión “vías de hecho” por la de “causales genéricas de procedibilidad” y ensanchó las causales especiales, pasando de cuatro (4) a ocho (8). </w:t>
      </w:r>
      <w:r>
        <w:rPr>
          <w:rFonts w:ascii="Arial" w:hAnsi="Arial" w:cs="Arial"/>
          <w:sz w:val="20"/>
          <w:szCs w:val="20"/>
          <w:lang w:val="es-CO"/>
        </w:rPr>
        <w:t>(…)</w:t>
      </w:r>
    </w:p>
    <w:p w:rsidR="005D7CEE" w:rsidRDefault="005D7CEE" w:rsidP="005D7CEE">
      <w:pPr>
        <w:widowControl/>
        <w:autoSpaceDE/>
        <w:autoSpaceDN/>
        <w:adjustRightInd/>
        <w:jc w:val="both"/>
        <w:rPr>
          <w:rFonts w:ascii="Arial" w:hAnsi="Arial" w:cs="Arial"/>
          <w:sz w:val="20"/>
          <w:szCs w:val="20"/>
          <w:lang w:val="es-CO"/>
        </w:rPr>
      </w:pPr>
    </w:p>
    <w:p w:rsidR="005D7CEE" w:rsidRDefault="003E173D" w:rsidP="005D7CEE">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00D55C7E">
        <w:rPr>
          <w:rFonts w:ascii="Arial" w:hAnsi="Arial" w:cs="Arial"/>
          <w:sz w:val="20"/>
          <w:szCs w:val="20"/>
          <w:lang w:val="es-CO"/>
        </w:rPr>
        <w:t xml:space="preserve"> como </w:t>
      </w:r>
      <w:bookmarkStart w:id="0" w:name="_GoBack"/>
      <w:bookmarkEnd w:id="0"/>
      <w:r w:rsidR="005D7CEE" w:rsidRPr="00A26554">
        <w:rPr>
          <w:rFonts w:ascii="Arial" w:hAnsi="Arial" w:cs="Arial"/>
          <w:sz w:val="20"/>
          <w:szCs w:val="20"/>
          <w:lang w:val="es-419"/>
        </w:rPr>
        <w:t xml:space="preserve">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w:t>
      </w:r>
      <w:r w:rsidR="005D7CEE">
        <w:rPr>
          <w:rFonts w:ascii="Arial" w:hAnsi="Arial" w:cs="Arial"/>
          <w:sz w:val="20"/>
          <w:szCs w:val="20"/>
          <w:lang w:val="es-419"/>
        </w:rPr>
        <w:t>violación directa de la Carta. (…</w:t>
      </w:r>
      <w:r w:rsidR="005D7CEE">
        <w:rPr>
          <w:rFonts w:ascii="Arial" w:hAnsi="Arial" w:cs="Arial"/>
          <w:sz w:val="20"/>
          <w:szCs w:val="20"/>
          <w:lang w:val="es-CO"/>
        </w:rPr>
        <w:t>)</w:t>
      </w:r>
    </w:p>
    <w:p w:rsidR="005D7CEE" w:rsidRDefault="005D7CEE" w:rsidP="005D7CEE">
      <w:pPr>
        <w:widowControl/>
        <w:autoSpaceDE/>
        <w:autoSpaceDN/>
        <w:adjustRightInd/>
        <w:jc w:val="both"/>
        <w:rPr>
          <w:rFonts w:ascii="Arial" w:hAnsi="Arial" w:cs="Arial"/>
          <w:sz w:val="20"/>
          <w:szCs w:val="20"/>
          <w:lang w:val="es-CO"/>
        </w:rPr>
      </w:pPr>
    </w:p>
    <w:p w:rsidR="005D7CEE" w:rsidRPr="002D58B3" w:rsidRDefault="005D7CEE" w:rsidP="005D7CEE">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2D58B3">
        <w:rPr>
          <w:rFonts w:ascii="Arial" w:hAnsi="Arial" w:cs="Arial"/>
          <w:sz w:val="20"/>
          <w:szCs w:val="20"/>
          <w:lang w:val="es-CO"/>
        </w:rPr>
        <w:t>el alto Tribunal Constitucional, señaló:</w:t>
      </w:r>
    </w:p>
    <w:p w:rsidR="005D7CEE" w:rsidRPr="002D58B3" w:rsidRDefault="005D7CEE" w:rsidP="005D7CEE">
      <w:pPr>
        <w:widowControl/>
        <w:autoSpaceDE/>
        <w:autoSpaceDN/>
        <w:adjustRightInd/>
        <w:jc w:val="both"/>
        <w:rPr>
          <w:rFonts w:ascii="Arial" w:hAnsi="Arial" w:cs="Arial"/>
          <w:sz w:val="20"/>
          <w:szCs w:val="20"/>
          <w:lang w:val="es-CO"/>
        </w:rPr>
      </w:pPr>
    </w:p>
    <w:p w:rsidR="005D7CEE" w:rsidRPr="002D58B3" w:rsidRDefault="005D7CEE" w:rsidP="005D7CEE">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w:t>
      </w:r>
    </w:p>
    <w:p w:rsidR="005D7CEE" w:rsidRPr="002D58B3" w:rsidRDefault="005D7CEE" w:rsidP="005D7CEE">
      <w:pPr>
        <w:widowControl/>
        <w:autoSpaceDE/>
        <w:autoSpaceDN/>
        <w:adjustRightInd/>
        <w:jc w:val="both"/>
        <w:rPr>
          <w:rFonts w:ascii="Arial" w:hAnsi="Arial" w:cs="Arial"/>
          <w:sz w:val="20"/>
          <w:szCs w:val="20"/>
          <w:lang w:val="es-CO"/>
        </w:rPr>
      </w:pPr>
    </w:p>
    <w:p w:rsidR="005D7CEE" w:rsidRDefault="005D7CEE" w:rsidP="005D7CEE">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Así las cosas, constituye un defecto material o sustantivo la decisión judicial que se funda en una interpretación indebida de una disposición legal</w:t>
      </w:r>
      <w:r>
        <w:rPr>
          <w:rFonts w:ascii="Arial" w:hAnsi="Arial" w:cs="Arial"/>
          <w:sz w:val="20"/>
          <w:szCs w:val="20"/>
          <w:lang w:val="es-CO"/>
        </w:rPr>
        <w:t>”</w:t>
      </w:r>
      <w:r w:rsidRPr="002D58B3">
        <w:rPr>
          <w:rFonts w:ascii="Arial" w:hAnsi="Arial" w:cs="Arial"/>
          <w:sz w:val="20"/>
          <w:szCs w:val="20"/>
          <w:lang w:val="es-CO"/>
        </w:rPr>
        <w:t>.</w:t>
      </w:r>
      <w:r>
        <w:rPr>
          <w:rFonts w:ascii="Arial" w:hAnsi="Arial" w:cs="Arial"/>
          <w:sz w:val="20"/>
          <w:szCs w:val="20"/>
          <w:lang w:val="es-CO"/>
        </w:rPr>
        <w:t xml:space="preserve"> (…)</w:t>
      </w:r>
    </w:p>
    <w:p w:rsidR="001E6B34" w:rsidRPr="001E6B34" w:rsidRDefault="001E6B34" w:rsidP="001E6B34">
      <w:pPr>
        <w:widowControl/>
        <w:autoSpaceDE/>
        <w:autoSpaceDN/>
        <w:adjustRightInd/>
        <w:jc w:val="both"/>
        <w:rPr>
          <w:rFonts w:ascii="Arial" w:hAnsi="Arial" w:cs="Arial"/>
          <w:sz w:val="20"/>
          <w:szCs w:val="20"/>
          <w:lang w:val="es-419"/>
        </w:rPr>
      </w:pPr>
    </w:p>
    <w:p w:rsidR="001E6B34" w:rsidRDefault="00904D5B" w:rsidP="001E6B34">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904D5B">
        <w:rPr>
          <w:rFonts w:ascii="Arial" w:hAnsi="Arial" w:cs="Arial"/>
          <w:sz w:val="20"/>
          <w:szCs w:val="20"/>
          <w:lang w:val="es-419"/>
        </w:rPr>
        <w:t>el actor alude al defecto sustantivo; porque aunque pretermitió señalarlos (Enunció varios y destacó algunos, folios 5-6, ib.), lo cierto es que argumentó que el proveído nugatorio de la excepción previa (No haberse presentado prueba de la calidad del demandante, como propietario del bien), desconoció los elementos axiológicos de la pretensión reivindicatoria (Artículo 946, CC), que imponen que quien la formula sea dueño del inmueble que se pide reivindicar</w:t>
      </w:r>
      <w:r>
        <w:rPr>
          <w:rFonts w:ascii="Arial" w:hAnsi="Arial" w:cs="Arial"/>
          <w:sz w:val="20"/>
          <w:szCs w:val="20"/>
          <w:lang w:val="es-CO"/>
        </w:rPr>
        <w:t>…</w:t>
      </w:r>
    </w:p>
    <w:p w:rsidR="00554180" w:rsidRDefault="00554180" w:rsidP="001E6B34">
      <w:pPr>
        <w:widowControl/>
        <w:autoSpaceDE/>
        <w:autoSpaceDN/>
        <w:adjustRightInd/>
        <w:jc w:val="both"/>
        <w:rPr>
          <w:rFonts w:ascii="Arial" w:hAnsi="Arial" w:cs="Arial"/>
          <w:sz w:val="20"/>
          <w:szCs w:val="20"/>
          <w:lang w:val="es-CO"/>
        </w:rPr>
      </w:pPr>
    </w:p>
    <w:p w:rsidR="00554180" w:rsidRPr="00904D5B" w:rsidRDefault="00554180" w:rsidP="001E6B34">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554180">
        <w:rPr>
          <w:rFonts w:ascii="Arial" w:hAnsi="Arial" w:cs="Arial"/>
          <w:sz w:val="20"/>
          <w:szCs w:val="20"/>
          <w:lang w:val="es-CO"/>
        </w:rPr>
        <w:t>la jueza que decidió, inicialmente, explicó que el objeto de: “(…) Las excepciones previas (…) es controlar los presupuestos del proceso, evitando nulidades y fallos inhibitorios por ser contrarios a la pronta y eficaz administración de Justicia</w:t>
      </w:r>
      <w:r>
        <w:rPr>
          <w:rFonts w:ascii="Arial" w:hAnsi="Arial" w:cs="Arial"/>
          <w:sz w:val="20"/>
          <w:szCs w:val="20"/>
          <w:lang w:val="es-CO"/>
        </w:rPr>
        <w:t>…</w:t>
      </w:r>
      <w:r w:rsidRPr="00554180">
        <w:rPr>
          <w:rFonts w:ascii="Arial" w:hAnsi="Arial" w:cs="Arial"/>
          <w:sz w:val="20"/>
          <w:szCs w:val="20"/>
          <w:lang w:val="es-CO"/>
        </w:rPr>
        <w:t xml:space="preserve">  Luego, señaló que la propuesta (Artículo 100-6º, CGP), se relaciona con: “(…) la falta de prueba sobre la calidad (…) en que se actúa en representación de algunos de los sujetos allí indicados y no en la calidad de ser parte; como al parecer la togada interpretó la excepción propuesta y el juzgado la aceptó (…)”.</w:t>
      </w:r>
    </w:p>
    <w:p w:rsidR="001E6B34" w:rsidRDefault="001E6B34" w:rsidP="001E6B34">
      <w:pPr>
        <w:widowControl/>
        <w:autoSpaceDE/>
        <w:autoSpaceDN/>
        <w:adjustRightInd/>
        <w:jc w:val="both"/>
        <w:rPr>
          <w:rFonts w:ascii="Arial" w:hAnsi="Arial" w:cs="Arial"/>
          <w:sz w:val="20"/>
          <w:szCs w:val="20"/>
          <w:lang w:val="es-419"/>
        </w:rPr>
      </w:pPr>
    </w:p>
    <w:p w:rsidR="00904D5B" w:rsidRDefault="00B04C72" w:rsidP="001E6B34">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B04C72">
        <w:rPr>
          <w:rFonts w:ascii="Arial" w:hAnsi="Arial" w:cs="Arial"/>
          <w:sz w:val="20"/>
          <w:szCs w:val="20"/>
          <w:lang w:val="es-CO"/>
        </w:rPr>
        <w:t>tales argumentos, no lucen antojadizos, ni subjetivos, menos  que provengan de una interpretación contraevidente de las normas aplicables, por el contrario, muestran un alcance intelectivo razonable del medio exceptivo aludido (Artículo 100-6º, CGP), según enseña la doctrina</w:t>
      </w:r>
      <w:r>
        <w:rPr>
          <w:rFonts w:ascii="Arial" w:hAnsi="Arial" w:cs="Arial"/>
          <w:sz w:val="20"/>
          <w:szCs w:val="20"/>
          <w:lang w:val="es-CO"/>
        </w:rPr>
        <w:t>…</w:t>
      </w:r>
    </w:p>
    <w:p w:rsidR="00B04C72" w:rsidRPr="00904D5B" w:rsidRDefault="00B04C72" w:rsidP="001E6B34">
      <w:pPr>
        <w:widowControl/>
        <w:autoSpaceDE/>
        <w:autoSpaceDN/>
        <w:adjustRightInd/>
        <w:jc w:val="both"/>
        <w:rPr>
          <w:rFonts w:ascii="Arial" w:hAnsi="Arial" w:cs="Arial"/>
          <w:sz w:val="20"/>
          <w:szCs w:val="20"/>
          <w:lang w:val="es-CO"/>
        </w:rPr>
      </w:pPr>
    </w:p>
    <w:p w:rsidR="00904D5B" w:rsidRPr="001E6B34" w:rsidRDefault="00904D5B" w:rsidP="001E6B34">
      <w:pPr>
        <w:widowControl/>
        <w:autoSpaceDE/>
        <w:autoSpaceDN/>
        <w:adjustRightInd/>
        <w:jc w:val="both"/>
        <w:rPr>
          <w:rFonts w:ascii="Arial" w:hAnsi="Arial" w:cs="Arial"/>
          <w:sz w:val="20"/>
          <w:szCs w:val="20"/>
          <w:lang w:val="es-419"/>
        </w:rPr>
      </w:pPr>
    </w:p>
    <w:p w:rsidR="001E6B34" w:rsidRPr="001E6B34" w:rsidRDefault="001E6B34" w:rsidP="001E6B34">
      <w:pPr>
        <w:widowControl/>
        <w:autoSpaceDE/>
        <w:autoSpaceDN/>
        <w:adjustRightInd/>
        <w:jc w:val="both"/>
        <w:rPr>
          <w:rFonts w:ascii="Arial" w:hAnsi="Arial" w:cs="Arial"/>
          <w:sz w:val="20"/>
          <w:szCs w:val="20"/>
          <w:lang w:val="es-419"/>
        </w:rPr>
      </w:pPr>
    </w:p>
    <w:p w:rsidR="00486062" w:rsidRPr="001E6B34" w:rsidRDefault="00D0509A" w:rsidP="001E6B34">
      <w:pPr>
        <w:pStyle w:val="Sinespaciado"/>
        <w:tabs>
          <w:tab w:val="left" w:pos="3579"/>
        </w:tabs>
        <w:spacing w:line="288" w:lineRule="auto"/>
        <w:jc w:val="center"/>
        <w:rPr>
          <w:rFonts w:ascii="Georgia" w:hAnsi="Georgia" w:cs="Arial"/>
          <w:w w:val="140"/>
          <w:sz w:val="14"/>
          <w:lang w:val="es-419"/>
        </w:rPr>
      </w:pPr>
      <w:r w:rsidRPr="001E6B34">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1E6B34">
        <w:rPr>
          <w:rFonts w:ascii="Georgia" w:hAnsi="Georgia" w:cs="Arial"/>
          <w:w w:val="140"/>
          <w:lang w:val="es-419"/>
        </w:rPr>
        <w:br w:type="textWrapping" w:clear="all"/>
      </w:r>
      <w:r w:rsidR="00486062" w:rsidRPr="001E6B34">
        <w:rPr>
          <w:rFonts w:ascii="Georgia" w:hAnsi="Georgia" w:cs="Arial"/>
          <w:w w:val="140"/>
          <w:sz w:val="14"/>
          <w:lang w:val="es-419"/>
        </w:rPr>
        <w:t>REPUBLICA DE COLOMBIA</w:t>
      </w:r>
    </w:p>
    <w:p w:rsidR="00486062" w:rsidRPr="001E6B34" w:rsidRDefault="00486062" w:rsidP="001E6B34">
      <w:pPr>
        <w:pStyle w:val="Sinespaciado"/>
        <w:tabs>
          <w:tab w:val="center" w:pos="4987"/>
          <w:tab w:val="left" w:pos="8449"/>
        </w:tabs>
        <w:spacing w:line="288" w:lineRule="auto"/>
        <w:jc w:val="center"/>
        <w:rPr>
          <w:rFonts w:ascii="Georgia" w:hAnsi="Georgia" w:cs="Arial"/>
          <w:w w:val="140"/>
          <w:lang w:val="es-419"/>
        </w:rPr>
      </w:pPr>
      <w:r w:rsidRPr="001E6B34">
        <w:rPr>
          <w:rFonts w:ascii="Georgia" w:hAnsi="Georgia" w:cs="Arial"/>
          <w:w w:val="140"/>
          <w:sz w:val="14"/>
          <w:lang w:val="es-419"/>
        </w:rPr>
        <w:t>RAMA JUDICIAL DEL PODER PÚBLICO</w:t>
      </w:r>
    </w:p>
    <w:p w:rsidR="00486062" w:rsidRPr="001E6B34" w:rsidRDefault="00486062" w:rsidP="001E6B34">
      <w:pPr>
        <w:pStyle w:val="Sinespaciado"/>
        <w:spacing w:line="288" w:lineRule="auto"/>
        <w:jc w:val="center"/>
        <w:rPr>
          <w:rFonts w:ascii="Georgia" w:hAnsi="Georgia" w:cs="Arial"/>
          <w:w w:val="140"/>
          <w:sz w:val="16"/>
          <w:lang w:val="es-419"/>
        </w:rPr>
      </w:pPr>
      <w:r w:rsidRPr="001E6B34">
        <w:rPr>
          <w:rFonts w:ascii="Georgia" w:hAnsi="Georgia" w:cs="Arial"/>
          <w:w w:val="140"/>
          <w:sz w:val="18"/>
          <w:lang w:val="es-419"/>
        </w:rPr>
        <w:t>T</w:t>
      </w:r>
      <w:r w:rsidRPr="001E6B34">
        <w:rPr>
          <w:rFonts w:ascii="Georgia" w:hAnsi="Georgia" w:cs="Arial"/>
          <w:w w:val="140"/>
          <w:sz w:val="16"/>
          <w:lang w:val="es-419"/>
        </w:rPr>
        <w:t>RIBUNAL</w:t>
      </w:r>
      <w:r w:rsidRPr="001E6B34">
        <w:rPr>
          <w:rFonts w:ascii="Georgia" w:hAnsi="Georgia" w:cs="Arial"/>
          <w:w w:val="140"/>
          <w:sz w:val="18"/>
          <w:lang w:val="es-419"/>
        </w:rPr>
        <w:t xml:space="preserve"> S</w:t>
      </w:r>
      <w:r w:rsidRPr="001E6B34">
        <w:rPr>
          <w:rFonts w:ascii="Georgia" w:hAnsi="Georgia" w:cs="Arial"/>
          <w:w w:val="140"/>
          <w:sz w:val="16"/>
          <w:lang w:val="es-419"/>
        </w:rPr>
        <w:t xml:space="preserve">UPERIOR DEL </w:t>
      </w:r>
      <w:r w:rsidRPr="001E6B34">
        <w:rPr>
          <w:rFonts w:ascii="Georgia" w:hAnsi="Georgia" w:cs="Arial"/>
          <w:w w:val="140"/>
          <w:sz w:val="18"/>
          <w:lang w:val="es-419"/>
        </w:rPr>
        <w:t>D</w:t>
      </w:r>
      <w:r w:rsidRPr="001E6B34">
        <w:rPr>
          <w:rFonts w:ascii="Georgia" w:hAnsi="Georgia" w:cs="Arial"/>
          <w:w w:val="140"/>
          <w:sz w:val="16"/>
          <w:lang w:val="es-419"/>
        </w:rPr>
        <w:t>ISTRITO</w:t>
      </w:r>
      <w:r w:rsidRPr="001E6B34">
        <w:rPr>
          <w:rFonts w:ascii="Georgia" w:hAnsi="Georgia" w:cs="Arial"/>
          <w:w w:val="140"/>
          <w:sz w:val="18"/>
          <w:lang w:val="es-419"/>
        </w:rPr>
        <w:t xml:space="preserve"> J</w:t>
      </w:r>
      <w:r w:rsidRPr="001E6B34">
        <w:rPr>
          <w:rFonts w:ascii="Georgia" w:hAnsi="Georgia" w:cs="Arial"/>
          <w:w w:val="140"/>
          <w:sz w:val="16"/>
          <w:lang w:val="es-419"/>
        </w:rPr>
        <w:t>UDICIAL</w:t>
      </w:r>
    </w:p>
    <w:p w:rsidR="00E27305" w:rsidRPr="001E6B34" w:rsidRDefault="00E27305" w:rsidP="001E6B34">
      <w:pPr>
        <w:pStyle w:val="Sinespaciado"/>
        <w:spacing w:line="288" w:lineRule="auto"/>
        <w:jc w:val="center"/>
        <w:rPr>
          <w:rFonts w:ascii="Georgia" w:hAnsi="Georgia" w:cs="Arial"/>
          <w:w w:val="140"/>
          <w:sz w:val="16"/>
          <w:szCs w:val="18"/>
          <w:lang w:val="es-419"/>
        </w:rPr>
      </w:pPr>
      <w:r w:rsidRPr="001E6B34">
        <w:rPr>
          <w:rFonts w:ascii="Georgia" w:hAnsi="Georgia" w:cs="Arial"/>
          <w:w w:val="140"/>
          <w:sz w:val="18"/>
          <w:szCs w:val="18"/>
          <w:lang w:val="es-419"/>
        </w:rPr>
        <w:t>S</w:t>
      </w:r>
      <w:r w:rsidRPr="001E6B34">
        <w:rPr>
          <w:rFonts w:ascii="Georgia" w:hAnsi="Georgia" w:cs="Arial"/>
          <w:w w:val="140"/>
          <w:sz w:val="16"/>
          <w:szCs w:val="18"/>
          <w:lang w:val="es-419"/>
        </w:rPr>
        <w:t>ALA</w:t>
      </w:r>
      <w:r w:rsidRPr="001E6B34">
        <w:rPr>
          <w:rFonts w:ascii="Georgia" w:hAnsi="Georgia" w:cs="Arial"/>
          <w:w w:val="140"/>
          <w:sz w:val="14"/>
          <w:szCs w:val="18"/>
          <w:lang w:val="es-419"/>
        </w:rPr>
        <w:t xml:space="preserve"> </w:t>
      </w:r>
      <w:r w:rsidR="00A90334" w:rsidRPr="001E6B34">
        <w:rPr>
          <w:rFonts w:ascii="Georgia" w:hAnsi="Georgia" w:cs="Arial"/>
          <w:w w:val="140"/>
          <w:sz w:val="16"/>
          <w:szCs w:val="18"/>
          <w:lang w:val="es-419"/>
        </w:rPr>
        <w:t xml:space="preserve">DE </w:t>
      </w:r>
      <w:r w:rsidR="00A90334" w:rsidRPr="001E6B34">
        <w:rPr>
          <w:rFonts w:ascii="Georgia" w:hAnsi="Georgia" w:cs="Arial"/>
          <w:w w:val="140"/>
          <w:sz w:val="18"/>
          <w:szCs w:val="18"/>
          <w:lang w:val="es-419"/>
        </w:rPr>
        <w:t>D</w:t>
      </w:r>
      <w:r w:rsidR="00A90334" w:rsidRPr="001E6B34">
        <w:rPr>
          <w:rFonts w:ascii="Georgia" w:hAnsi="Georgia" w:cs="Arial"/>
          <w:w w:val="140"/>
          <w:sz w:val="16"/>
          <w:szCs w:val="18"/>
          <w:lang w:val="es-419"/>
        </w:rPr>
        <w:t>ECISIÓN</w:t>
      </w:r>
      <w:r w:rsidR="00A90334" w:rsidRPr="001E6B34">
        <w:rPr>
          <w:rFonts w:ascii="Georgia" w:hAnsi="Georgia" w:cs="Arial"/>
          <w:w w:val="140"/>
          <w:sz w:val="18"/>
          <w:szCs w:val="18"/>
          <w:lang w:val="es-419"/>
        </w:rPr>
        <w:t xml:space="preserve"> </w:t>
      </w:r>
      <w:r w:rsidRPr="001E6B34">
        <w:rPr>
          <w:rFonts w:ascii="Georgia" w:hAnsi="Georgia" w:cs="Arial"/>
          <w:w w:val="140"/>
          <w:sz w:val="18"/>
          <w:szCs w:val="18"/>
          <w:lang w:val="es-419"/>
        </w:rPr>
        <w:t>C</w:t>
      </w:r>
      <w:r w:rsidRPr="001E6B34">
        <w:rPr>
          <w:rFonts w:ascii="Georgia" w:hAnsi="Georgia" w:cs="Arial"/>
          <w:w w:val="140"/>
          <w:sz w:val="16"/>
          <w:szCs w:val="18"/>
          <w:lang w:val="es-419"/>
        </w:rPr>
        <w:t>IVIL –</w:t>
      </w:r>
      <w:r w:rsidRPr="001E6B34">
        <w:rPr>
          <w:rFonts w:ascii="Georgia" w:hAnsi="Georgia" w:cs="Arial"/>
          <w:w w:val="140"/>
          <w:sz w:val="18"/>
          <w:szCs w:val="18"/>
          <w:lang w:val="es-419"/>
        </w:rPr>
        <w:t>F</w:t>
      </w:r>
      <w:r w:rsidRPr="001E6B34">
        <w:rPr>
          <w:rFonts w:ascii="Georgia" w:hAnsi="Georgia" w:cs="Arial"/>
          <w:w w:val="140"/>
          <w:sz w:val="16"/>
          <w:szCs w:val="18"/>
          <w:lang w:val="es-419"/>
        </w:rPr>
        <w:t xml:space="preserve">AMILIA – </w:t>
      </w:r>
      <w:r w:rsidRPr="001E6B34">
        <w:rPr>
          <w:rFonts w:ascii="Georgia" w:hAnsi="Georgia" w:cs="Arial"/>
          <w:w w:val="140"/>
          <w:sz w:val="18"/>
          <w:szCs w:val="18"/>
          <w:lang w:val="es-419"/>
        </w:rPr>
        <w:t>D</w:t>
      </w:r>
      <w:r w:rsidRPr="001E6B34">
        <w:rPr>
          <w:rFonts w:ascii="Georgia" w:hAnsi="Georgia" w:cs="Arial"/>
          <w:w w:val="140"/>
          <w:sz w:val="16"/>
          <w:szCs w:val="18"/>
          <w:lang w:val="es-419"/>
        </w:rPr>
        <w:t>ISTRITO</w:t>
      </w:r>
      <w:r w:rsidRPr="001E6B34">
        <w:rPr>
          <w:rFonts w:ascii="Georgia" w:hAnsi="Georgia" w:cs="Arial"/>
          <w:w w:val="140"/>
          <w:sz w:val="18"/>
          <w:szCs w:val="18"/>
          <w:lang w:val="es-419"/>
        </w:rPr>
        <w:t xml:space="preserve"> D</w:t>
      </w:r>
      <w:r w:rsidRPr="001E6B34">
        <w:rPr>
          <w:rFonts w:ascii="Georgia" w:hAnsi="Georgia" w:cs="Arial"/>
          <w:w w:val="140"/>
          <w:sz w:val="16"/>
          <w:szCs w:val="18"/>
          <w:lang w:val="es-419"/>
        </w:rPr>
        <w:t>E</w:t>
      </w:r>
      <w:r w:rsidRPr="001E6B34">
        <w:rPr>
          <w:rFonts w:ascii="Georgia" w:hAnsi="Georgia" w:cs="Arial"/>
          <w:w w:val="140"/>
          <w:sz w:val="18"/>
          <w:szCs w:val="18"/>
          <w:lang w:val="es-419"/>
        </w:rPr>
        <w:t xml:space="preserve"> P</w:t>
      </w:r>
      <w:r w:rsidRPr="001E6B34">
        <w:rPr>
          <w:rFonts w:ascii="Georgia" w:hAnsi="Georgia" w:cs="Arial"/>
          <w:w w:val="140"/>
          <w:sz w:val="16"/>
          <w:szCs w:val="18"/>
          <w:lang w:val="es-419"/>
        </w:rPr>
        <w:t>EREIRA</w:t>
      </w:r>
    </w:p>
    <w:p w:rsidR="00E27305" w:rsidRPr="001E6B34" w:rsidRDefault="00EC2733" w:rsidP="001E6B34">
      <w:pPr>
        <w:pStyle w:val="Sinespaciado"/>
        <w:tabs>
          <w:tab w:val="center" w:pos="4703"/>
          <w:tab w:val="left" w:pos="7147"/>
        </w:tabs>
        <w:spacing w:line="288" w:lineRule="auto"/>
        <w:rPr>
          <w:rFonts w:ascii="Georgia" w:hAnsi="Georgia" w:cs="Arial"/>
          <w:w w:val="140"/>
          <w:sz w:val="16"/>
          <w:szCs w:val="18"/>
          <w:lang w:val="es-419"/>
        </w:rPr>
      </w:pPr>
      <w:r w:rsidRPr="001E6B34">
        <w:rPr>
          <w:rFonts w:ascii="Georgia" w:hAnsi="Georgia" w:cs="Arial"/>
          <w:w w:val="140"/>
          <w:sz w:val="18"/>
          <w:szCs w:val="18"/>
          <w:lang w:val="es-419"/>
        </w:rPr>
        <w:tab/>
      </w:r>
      <w:r w:rsidR="00E27305" w:rsidRPr="001E6B34">
        <w:rPr>
          <w:rFonts w:ascii="Georgia" w:hAnsi="Georgia" w:cs="Arial"/>
          <w:w w:val="140"/>
          <w:sz w:val="18"/>
          <w:szCs w:val="18"/>
          <w:lang w:val="es-419"/>
        </w:rPr>
        <w:t>D</w:t>
      </w:r>
      <w:r w:rsidR="00E27305" w:rsidRPr="001E6B34">
        <w:rPr>
          <w:rFonts w:ascii="Georgia" w:hAnsi="Georgia" w:cs="Arial"/>
          <w:w w:val="140"/>
          <w:sz w:val="16"/>
          <w:szCs w:val="18"/>
          <w:lang w:val="es-419"/>
        </w:rPr>
        <w:t xml:space="preserve">EPARTAMENTO </w:t>
      </w:r>
      <w:r w:rsidR="00E27305" w:rsidRPr="001E6B34">
        <w:rPr>
          <w:rFonts w:ascii="Georgia" w:hAnsi="Georgia" w:cs="Arial"/>
          <w:w w:val="140"/>
          <w:sz w:val="18"/>
          <w:szCs w:val="18"/>
          <w:lang w:val="es-419"/>
        </w:rPr>
        <w:t>D</w:t>
      </w:r>
      <w:r w:rsidR="00E27305" w:rsidRPr="001E6B34">
        <w:rPr>
          <w:rFonts w:ascii="Georgia" w:hAnsi="Georgia" w:cs="Arial"/>
          <w:w w:val="140"/>
          <w:sz w:val="16"/>
          <w:szCs w:val="18"/>
          <w:lang w:val="es-419"/>
        </w:rPr>
        <w:t xml:space="preserve">E </w:t>
      </w:r>
      <w:r w:rsidR="00E27305" w:rsidRPr="001E6B34">
        <w:rPr>
          <w:rFonts w:ascii="Georgia" w:hAnsi="Georgia" w:cs="Arial"/>
          <w:w w:val="140"/>
          <w:sz w:val="18"/>
          <w:szCs w:val="18"/>
          <w:lang w:val="es-419"/>
        </w:rPr>
        <w:t>R</w:t>
      </w:r>
      <w:r w:rsidR="00E27305" w:rsidRPr="001E6B34">
        <w:rPr>
          <w:rFonts w:ascii="Georgia" w:hAnsi="Georgia" w:cs="Arial"/>
          <w:w w:val="140"/>
          <w:sz w:val="16"/>
          <w:szCs w:val="18"/>
          <w:lang w:val="es-419"/>
        </w:rPr>
        <w:t>ISARALDA</w:t>
      </w:r>
      <w:r w:rsidRPr="001E6B34">
        <w:rPr>
          <w:rFonts w:ascii="Georgia" w:hAnsi="Georgia" w:cs="Arial"/>
          <w:w w:val="140"/>
          <w:sz w:val="16"/>
          <w:szCs w:val="18"/>
          <w:lang w:val="es-419"/>
        </w:rPr>
        <w:tab/>
      </w:r>
    </w:p>
    <w:p w:rsidR="00486062" w:rsidRPr="001E6B34" w:rsidRDefault="00486062" w:rsidP="001E6B34">
      <w:pPr>
        <w:spacing w:line="288" w:lineRule="auto"/>
        <w:jc w:val="center"/>
        <w:rPr>
          <w:rFonts w:ascii="Georgia" w:hAnsi="Georgia" w:cs="Arial"/>
          <w:w w:val="140"/>
          <w:szCs w:val="18"/>
          <w:lang w:val="es-419"/>
        </w:rPr>
      </w:pPr>
    </w:p>
    <w:p w:rsidR="0099045D" w:rsidRPr="005D7CEE" w:rsidRDefault="0099045D" w:rsidP="005D7CEE">
      <w:pPr>
        <w:pStyle w:val="Textoindependiente"/>
        <w:tabs>
          <w:tab w:val="clear" w:pos="0"/>
        </w:tabs>
        <w:spacing w:line="240" w:lineRule="auto"/>
        <w:ind w:left="851"/>
        <w:rPr>
          <w:rFonts w:ascii="Georgia" w:hAnsi="Georgia" w:cs="Arial"/>
          <w:sz w:val="22"/>
          <w:szCs w:val="24"/>
          <w:lang w:val="es-419"/>
        </w:rPr>
      </w:pPr>
      <w:r w:rsidRPr="005D7CEE">
        <w:rPr>
          <w:rFonts w:ascii="Georgia" w:hAnsi="Georgia" w:cs="Arial"/>
          <w:sz w:val="22"/>
          <w:szCs w:val="24"/>
          <w:lang w:val="es-419"/>
        </w:rPr>
        <w:t>Asunto</w:t>
      </w:r>
      <w:r w:rsidRPr="005D7CEE">
        <w:rPr>
          <w:rFonts w:ascii="Georgia" w:hAnsi="Georgia" w:cs="Arial"/>
          <w:sz w:val="22"/>
          <w:szCs w:val="24"/>
          <w:lang w:val="es-419"/>
        </w:rPr>
        <w:tab/>
      </w:r>
      <w:r w:rsidRPr="005D7CEE">
        <w:rPr>
          <w:rFonts w:ascii="Georgia" w:hAnsi="Georgia" w:cs="Arial"/>
          <w:sz w:val="22"/>
          <w:szCs w:val="24"/>
          <w:lang w:val="es-419"/>
        </w:rPr>
        <w:tab/>
      </w:r>
      <w:r w:rsidRPr="005D7CEE">
        <w:rPr>
          <w:rFonts w:ascii="Georgia" w:hAnsi="Georgia" w:cs="Arial"/>
          <w:sz w:val="22"/>
          <w:szCs w:val="24"/>
          <w:lang w:val="es-419"/>
        </w:rPr>
        <w:tab/>
        <w:t>: Sentencia de tutela en primera instancia</w:t>
      </w:r>
    </w:p>
    <w:p w:rsidR="0058516E" w:rsidRPr="005D7CEE" w:rsidRDefault="0058516E" w:rsidP="005D7CEE">
      <w:pPr>
        <w:pStyle w:val="Textoindependiente"/>
        <w:tabs>
          <w:tab w:val="clear" w:pos="0"/>
        </w:tabs>
        <w:spacing w:line="240" w:lineRule="auto"/>
        <w:ind w:left="851"/>
        <w:rPr>
          <w:rFonts w:ascii="Georgia" w:hAnsi="Georgia" w:cs="Arial"/>
          <w:sz w:val="22"/>
          <w:szCs w:val="24"/>
          <w:lang w:val="es-419"/>
        </w:rPr>
      </w:pPr>
      <w:r w:rsidRPr="005D7CEE">
        <w:rPr>
          <w:rFonts w:ascii="Georgia" w:hAnsi="Georgia" w:cs="Arial"/>
          <w:sz w:val="22"/>
          <w:szCs w:val="24"/>
          <w:lang w:val="es-419"/>
        </w:rPr>
        <w:t>Accionante</w:t>
      </w:r>
      <w:r w:rsidRPr="005D7CEE">
        <w:rPr>
          <w:rFonts w:ascii="Georgia" w:hAnsi="Georgia" w:cs="Arial"/>
          <w:sz w:val="22"/>
          <w:szCs w:val="24"/>
          <w:lang w:val="es-419"/>
        </w:rPr>
        <w:tab/>
      </w:r>
      <w:r w:rsidRPr="005D7CEE">
        <w:rPr>
          <w:rFonts w:ascii="Georgia" w:hAnsi="Georgia" w:cs="Arial"/>
          <w:sz w:val="22"/>
          <w:szCs w:val="24"/>
          <w:lang w:val="es-419"/>
        </w:rPr>
        <w:tab/>
      </w:r>
      <w:r w:rsidRPr="005D7CEE">
        <w:rPr>
          <w:rFonts w:ascii="Georgia" w:hAnsi="Georgia" w:cs="Arial"/>
          <w:sz w:val="22"/>
          <w:szCs w:val="24"/>
          <w:lang w:val="es-419"/>
        </w:rPr>
        <w:tab/>
        <w:t xml:space="preserve">: Fabio de Jesús Izquierdo Vinasco </w:t>
      </w:r>
    </w:p>
    <w:p w:rsidR="0058516E" w:rsidRPr="005D7CEE" w:rsidRDefault="0058516E" w:rsidP="005D7CEE">
      <w:pPr>
        <w:pStyle w:val="Textoindependiente"/>
        <w:tabs>
          <w:tab w:val="clear" w:pos="0"/>
        </w:tabs>
        <w:spacing w:line="240" w:lineRule="auto"/>
        <w:ind w:left="851"/>
        <w:rPr>
          <w:rFonts w:ascii="Georgia" w:hAnsi="Georgia" w:cs="Arial"/>
          <w:sz w:val="22"/>
          <w:szCs w:val="24"/>
          <w:lang w:val="es-419"/>
        </w:rPr>
      </w:pPr>
      <w:r w:rsidRPr="005D7CEE">
        <w:rPr>
          <w:rFonts w:ascii="Georgia" w:hAnsi="Georgia" w:cs="Arial"/>
          <w:sz w:val="22"/>
          <w:szCs w:val="24"/>
          <w:lang w:val="es-419"/>
        </w:rPr>
        <w:t>Accionado (s)</w:t>
      </w:r>
      <w:r w:rsidRPr="005D7CEE">
        <w:rPr>
          <w:rFonts w:ascii="Georgia" w:hAnsi="Georgia" w:cs="Arial"/>
          <w:sz w:val="22"/>
          <w:szCs w:val="24"/>
          <w:lang w:val="es-419"/>
        </w:rPr>
        <w:tab/>
      </w:r>
      <w:r w:rsidRPr="005D7CEE">
        <w:rPr>
          <w:rFonts w:ascii="Georgia" w:hAnsi="Georgia" w:cs="Arial"/>
          <w:sz w:val="22"/>
          <w:szCs w:val="24"/>
          <w:lang w:val="es-419"/>
        </w:rPr>
        <w:tab/>
        <w:t xml:space="preserve">: Juzgado Promiscuo del Circuito de Belén de Umbría </w:t>
      </w:r>
    </w:p>
    <w:p w:rsidR="0058516E" w:rsidRPr="005D7CEE" w:rsidRDefault="0058516E" w:rsidP="005D7CEE">
      <w:pPr>
        <w:pStyle w:val="Textoindependiente"/>
        <w:tabs>
          <w:tab w:val="clear" w:pos="0"/>
        </w:tabs>
        <w:spacing w:line="240" w:lineRule="auto"/>
        <w:ind w:left="851"/>
        <w:rPr>
          <w:rFonts w:ascii="Georgia" w:hAnsi="Georgia" w:cs="Arial"/>
          <w:sz w:val="22"/>
          <w:szCs w:val="24"/>
          <w:lang w:val="es-419"/>
        </w:rPr>
      </w:pPr>
      <w:r w:rsidRPr="005D7CEE">
        <w:rPr>
          <w:rFonts w:ascii="Georgia" w:hAnsi="Georgia" w:cs="Arial"/>
          <w:sz w:val="22"/>
          <w:szCs w:val="24"/>
          <w:lang w:val="es-419"/>
        </w:rPr>
        <w:t>Litisconsorte (s)</w:t>
      </w:r>
      <w:r w:rsidRPr="005D7CEE">
        <w:rPr>
          <w:rFonts w:ascii="Georgia" w:hAnsi="Georgia" w:cs="Arial"/>
          <w:sz w:val="22"/>
          <w:szCs w:val="24"/>
          <w:lang w:val="es-419"/>
        </w:rPr>
        <w:tab/>
      </w:r>
      <w:r w:rsidRPr="005D7CEE">
        <w:rPr>
          <w:rFonts w:ascii="Georgia" w:hAnsi="Georgia" w:cs="Arial"/>
          <w:sz w:val="22"/>
          <w:szCs w:val="24"/>
          <w:lang w:val="es-419"/>
        </w:rPr>
        <w:tab/>
        <w:t>: Juzgado Promiscuo Municipal de Guática y otro</w:t>
      </w:r>
    </w:p>
    <w:p w:rsidR="0058516E" w:rsidRPr="005D7CEE" w:rsidRDefault="0058516E" w:rsidP="005D7CEE">
      <w:pPr>
        <w:pStyle w:val="Textoindependiente"/>
        <w:tabs>
          <w:tab w:val="clear" w:pos="0"/>
        </w:tabs>
        <w:spacing w:line="240" w:lineRule="auto"/>
        <w:ind w:left="851"/>
        <w:rPr>
          <w:rFonts w:ascii="Georgia" w:hAnsi="Georgia" w:cs="Arial"/>
          <w:sz w:val="22"/>
          <w:szCs w:val="24"/>
          <w:lang w:val="es-419"/>
        </w:rPr>
      </w:pPr>
      <w:r w:rsidRPr="005D7CEE">
        <w:rPr>
          <w:rFonts w:ascii="Georgia" w:hAnsi="Georgia" w:cs="Arial"/>
          <w:sz w:val="22"/>
          <w:szCs w:val="24"/>
          <w:lang w:val="es-419"/>
        </w:rPr>
        <w:t>Radicación</w:t>
      </w:r>
      <w:r w:rsidRPr="005D7CEE">
        <w:rPr>
          <w:rFonts w:ascii="Georgia" w:hAnsi="Georgia" w:cs="Arial"/>
          <w:sz w:val="22"/>
          <w:szCs w:val="24"/>
          <w:lang w:val="es-419"/>
        </w:rPr>
        <w:tab/>
      </w:r>
      <w:r w:rsidRPr="005D7CEE">
        <w:rPr>
          <w:rFonts w:ascii="Georgia" w:hAnsi="Georgia" w:cs="Arial"/>
          <w:sz w:val="22"/>
          <w:szCs w:val="24"/>
          <w:lang w:val="es-419"/>
        </w:rPr>
        <w:tab/>
      </w:r>
      <w:r w:rsidRPr="005D7CEE">
        <w:rPr>
          <w:rFonts w:ascii="Georgia" w:hAnsi="Georgia" w:cs="Arial"/>
          <w:sz w:val="22"/>
          <w:szCs w:val="24"/>
          <w:lang w:val="es-419"/>
        </w:rPr>
        <w:tab/>
        <w:t>: 66001-22-13-000-2019-00370-00</w:t>
      </w:r>
    </w:p>
    <w:p w:rsidR="008F34B8" w:rsidRPr="005D7CEE" w:rsidRDefault="00C82923" w:rsidP="005D7CEE">
      <w:pPr>
        <w:pStyle w:val="Textoindependiente"/>
        <w:tabs>
          <w:tab w:val="clear" w:pos="0"/>
        </w:tabs>
        <w:spacing w:line="240" w:lineRule="auto"/>
        <w:ind w:left="851"/>
        <w:rPr>
          <w:rFonts w:ascii="Georgia" w:hAnsi="Georgia" w:cs="Arial"/>
          <w:sz w:val="22"/>
          <w:szCs w:val="24"/>
          <w:lang w:val="es-419"/>
        </w:rPr>
      </w:pPr>
      <w:r w:rsidRPr="005D7CEE">
        <w:rPr>
          <w:rFonts w:ascii="Georgia" w:hAnsi="Georgia" w:cs="Arial"/>
          <w:sz w:val="22"/>
          <w:szCs w:val="24"/>
          <w:lang w:val="es-419"/>
        </w:rPr>
        <w:t>Tema</w:t>
      </w:r>
      <w:r w:rsidR="004736C3" w:rsidRPr="005D7CEE">
        <w:rPr>
          <w:rFonts w:ascii="Georgia" w:hAnsi="Georgia" w:cs="Arial"/>
          <w:sz w:val="22"/>
          <w:szCs w:val="24"/>
          <w:lang w:val="es-419"/>
        </w:rPr>
        <w:t>s</w:t>
      </w:r>
      <w:r w:rsidRPr="005D7CEE">
        <w:rPr>
          <w:rFonts w:ascii="Georgia" w:hAnsi="Georgia" w:cs="Arial"/>
          <w:sz w:val="22"/>
          <w:szCs w:val="24"/>
          <w:lang w:val="es-419"/>
        </w:rPr>
        <w:tab/>
      </w:r>
      <w:r w:rsidRPr="005D7CEE">
        <w:rPr>
          <w:rFonts w:ascii="Georgia" w:hAnsi="Georgia" w:cs="Arial"/>
          <w:sz w:val="22"/>
          <w:szCs w:val="24"/>
          <w:lang w:val="es-419"/>
        </w:rPr>
        <w:tab/>
      </w:r>
      <w:r w:rsidRPr="005D7CEE">
        <w:rPr>
          <w:rFonts w:ascii="Georgia" w:hAnsi="Georgia" w:cs="Arial"/>
          <w:sz w:val="22"/>
          <w:szCs w:val="24"/>
          <w:lang w:val="es-419"/>
        </w:rPr>
        <w:tab/>
        <w:t>:</w:t>
      </w:r>
      <w:r w:rsidR="007D3FF4" w:rsidRPr="005D7CEE">
        <w:rPr>
          <w:rFonts w:ascii="Georgia" w:hAnsi="Georgia" w:cs="Arial"/>
          <w:sz w:val="22"/>
          <w:szCs w:val="24"/>
          <w:lang w:val="es-419"/>
        </w:rPr>
        <w:t xml:space="preserve"> </w:t>
      </w:r>
      <w:r w:rsidR="00336434" w:rsidRPr="005D7CEE">
        <w:rPr>
          <w:rFonts w:ascii="Georgia" w:hAnsi="Georgia" w:cs="Arial"/>
          <w:sz w:val="22"/>
          <w:szCs w:val="22"/>
          <w:lang w:val="es-419"/>
        </w:rPr>
        <w:t>Defecto sustantivo – Razonabilidad de la decisión</w:t>
      </w:r>
    </w:p>
    <w:p w:rsidR="0099045D" w:rsidRPr="005D7CEE" w:rsidRDefault="0099045D" w:rsidP="005D7CEE">
      <w:pPr>
        <w:pStyle w:val="Textoindependiente"/>
        <w:tabs>
          <w:tab w:val="clear" w:pos="0"/>
        </w:tabs>
        <w:spacing w:line="240" w:lineRule="auto"/>
        <w:ind w:left="851"/>
        <w:rPr>
          <w:rFonts w:ascii="Georgia" w:hAnsi="Georgia"/>
          <w:sz w:val="22"/>
          <w:szCs w:val="24"/>
          <w:lang w:val="es-419"/>
        </w:rPr>
      </w:pPr>
      <w:r w:rsidRPr="005D7CEE">
        <w:rPr>
          <w:rFonts w:ascii="Georgia" w:hAnsi="Georgia"/>
          <w:sz w:val="22"/>
          <w:szCs w:val="24"/>
          <w:lang w:val="es-419"/>
        </w:rPr>
        <w:t>Magistrado Ponente</w:t>
      </w:r>
      <w:r w:rsidR="005D7CEE">
        <w:rPr>
          <w:rFonts w:ascii="Georgia" w:hAnsi="Georgia"/>
          <w:sz w:val="22"/>
          <w:szCs w:val="24"/>
          <w:lang w:val="es-CO"/>
        </w:rPr>
        <w:tab/>
      </w:r>
      <w:r w:rsidRPr="005D7CEE">
        <w:rPr>
          <w:rFonts w:ascii="Georgia" w:hAnsi="Georgia"/>
          <w:sz w:val="22"/>
          <w:szCs w:val="24"/>
          <w:lang w:val="es-419"/>
        </w:rPr>
        <w:tab/>
        <w:t xml:space="preserve">: </w:t>
      </w:r>
      <w:r w:rsidRPr="005D7CEE">
        <w:rPr>
          <w:rFonts w:ascii="Georgia" w:hAnsi="Georgia"/>
          <w:smallCaps/>
          <w:sz w:val="22"/>
          <w:szCs w:val="24"/>
          <w:lang w:val="es-419"/>
        </w:rPr>
        <w:t>Duberney Grisales Herrera</w:t>
      </w:r>
    </w:p>
    <w:p w:rsidR="006A7EEC" w:rsidRPr="005D7CEE" w:rsidRDefault="006A7EEC" w:rsidP="005D7CEE">
      <w:pPr>
        <w:ind w:left="143" w:firstLine="708"/>
        <w:rPr>
          <w:rFonts w:ascii="Georgia" w:hAnsi="Georgia" w:cs="Arial"/>
          <w:b/>
          <w:bCs/>
          <w:sz w:val="22"/>
          <w:lang w:val="es-419"/>
        </w:rPr>
      </w:pPr>
      <w:r w:rsidRPr="005D7CEE">
        <w:rPr>
          <w:rFonts w:ascii="Georgia" w:hAnsi="Georgia"/>
          <w:sz w:val="22"/>
          <w:lang w:val="es-419"/>
        </w:rPr>
        <w:t>Acta número</w:t>
      </w:r>
      <w:r w:rsidRPr="005D7CEE">
        <w:rPr>
          <w:rFonts w:ascii="Georgia" w:hAnsi="Georgia"/>
          <w:sz w:val="22"/>
          <w:lang w:val="es-419"/>
        </w:rPr>
        <w:tab/>
      </w:r>
      <w:r w:rsidRPr="005D7CEE">
        <w:rPr>
          <w:rFonts w:ascii="Georgia" w:hAnsi="Georgia"/>
          <w:sz w:val="22"/>
          <w:lang w:val="es-419"/>
        </w:rPr>
        <w:tab/>
      </w:r>
      <w:r w:rsidR="005D7CEE">
        <w:rPr>
          <w:rFonts w:ascii="Georgia" w:hAnsi="Georgia"/>
          <w:sz w:val="22"/>
          <w:lang w:val="es-419"/>
        </w:rPr>
        <w:tab/>
      </w:r>
      <w:r w:rsidRPr="005D7CEE">
        <w:rPr>
          <w:rFonts w:ascii="Georgia" w:hAnsi="Georgia"/>
          <w:sz w:val="22"/>
          <w:lang w:val="es-419"/>
        </w:rPr>
        <w:t xml:space="preserve">: </w:t>
      </w:r>
      <w:r w:rsidR="00D51FB3" w:rsidRPr="005D7CEE">
        <w:rPr>
          <w:rFonts w:ascii="Georgia" w:hAnsi="Georgia"/>
          <w:sz w:val="22"/>
          <w:lang w:val="es-419"/>
        </w:rPr>
        <w:t>169</w:t>
      </w:r>
      <w:r w:rsidR="007514C4" w:rsidRPr="005D7CEE">
        <w:rPr>
          <w:rFonts w:ascii="Georgia" w:hAnsi="Georgia"/>
          <w:sz w:val="22"/>
          <w:lang w:val="es-419"/>
        </w:rPr>
        <w:t xml:space="preserve"> </w:t>
      </w:r>
      <w:r w:rsidRPr="005D7CEE">
        <w:rPr>
          <w:rFonts w:ascii="Georgia" w:hAnsi="Georgia"/>
          <w:sz w:val="22"/>
          <w:lang w:val="es-419"/>
        </w:rPr>
        <w:t xml:space="preserve">de </w:t>
      </w:r>
      <w:r w:rsidR="00D51FB3" w:rsidRPr="005D7CEE">
        <w:rPr>
          <w:rFonts w:ascii="Georgia" w:hAnsi="Georgia"/>
          <w:sz w:val="22"/>
          <w:lang w:val="es-419"/>
        </w:rPr>
        <w:t>26</w:t>
      </w:r>
      <w:r w:rsidRPr="005D7CEE">
        <w:rPr>
          <w:rFonts w:ascii="Georgia" w:hAnsi="Georgia"/>
          <w:sz w:val="22"/>
          <w:lang w:val="es-419"/>
        </w:rPr>
        <w:t>-</w:t>
      </w:r>
      <w:r w:rsidR="00D51FB3" w:rsidRPr="005D7CEE">
        <w:rPr>
          <w:rFonts w:ascii="Georgia" w:hAnsi="Georgia"/>
          <w:sz w:val="22"/>
          <w:lang w:val="es-419"/>
        </w:rPr>
        <w:t>04</w:t>
      </w:r>
      <w:r w:rsidRPr="005D7CEE">
        <w:rPr>
          <w:rFonts w:ascii="Georgia" w:hAnsi="Georgia"/>
          <w:sz w:val="22"/>
          <w:lang w:val="es-419"/>
        </w:rPr>
        <w:t>-</w:t>
      </w:r>
      <w:r w:rsidR="006F7873" w:rsidRPr="005D7CEE">
        <w:rPr>
          <w:rFonts w:ascii="Georgia" w:hAnsi="Georgia"/>
          <w:sz w:val="22"/>
          <w:lang w:val="es-419"/>
        </w:rPr>
        <w:t>2019</w:t>
      </w:r>
    </w:p>
    <w:p w:rsidR="006A7EEC" w:rsidRPr="001E6B34" w:rsidRDefault="006A7EEC" w:rsidP="001E6B34">
      <w:pPr>
        <w:pBdr>
          <w:bottom w:val="double" w:sz="6" w:space="1" w:color="auto"/>
        </w:pBdr>
        <w:spacing w:line="288" w:lineRule="auto"/>
        <w:jc w:val="center"/>
        <w:rPr>
          <w:rFonts w:ascii="Georgia" w:hAnsi="Georgia" w:cs="Arial"/>
          <w:b/>
          <w:bCs/>
          <w:sz w:val="18"/>
          <w:szCs w:val="22"/>
          <w:lang w:val="es-419"/>
        </w:rPr>
      </w:pPr>
    </w:p>
    <w:p w:rsidR="006A7EEC" w:rsidRPr="001E6B34" w:rsidRDefault="006A7EEC" w:rsidP="001E6B34">
      <w:pPr>
        <w:spacing w:line="288" w:lineRule="auto"/>
        <w:jc w:val="center"/>
        <w:rPr>
          <w:rFonts w:ascii="Georgia" w:hAnsi="Georgia" w:cs="Arial"/>
          <w:b/>
          <w:bCs/>
          <w:szCs w:val="22"/>
          <w:lang w:val="es-419"/>
        </w:rPr>
      </w:pPr>
    </w:p>
    <w:p w:rsidR="006A7EEC" w:rsidRPr="001E6B34" w:rsidRDefault="007567C1" w:rsidP="001E6B34">
      <w:pPr>
        <w:spacing w:line="288" w:lineRule="auto"/>
        <w:jc w:val="center"/>
        <w:rPr>
          <w:rFonts w:ascii="Georgia" w:hAnsi="Georgia" w:cs="Arial"/>
          <w:iCs/>
          <w:lang w:val="es-419"/>
        </w:rPr>
      </w:pPr>
      <w:r w:rsidRPr="001E6B34">
        <w:rPr>
          <w:rFonts w:ascii="Georgia" w:hAnsi="Georgia" w:cs="Arial"/>
          <w:iCs/>
          <w:smallCaps/>
          <w:sz w:val="28"/>
          <w:lang w:val="es-419"/>
        </w:rPr>
        <w:t xml:space="preserve">Pereira, R., </w:t>
      </w:r>
      <w:r w:rsidR="00D51FB3" w:rsidRPr="001E6B34">
        <w:rPr>
          <w:rFonts w:ascii="Georgia" w:hAnsi="Georgia" w:cs="Arial"/>
          <w:iCs/>
          <w:smallCaps/>
          <w:sz w:val="28"/>
          <w:lang w:val="es-419"/>
        </w:rPr>
        <w:t xml:space="preserve">veintiséis </w:t>
      </w:r>
      <w:r w:rsidR="006A7EEC" w:rsidRPr="001E6B34">
        <w:rPr>
          <w:rFonts w:ascii="Georgia" w:hAnsi="Georgia" w:cs="Arial"/>
          <w:iCs/>
          <w:smallCaps/>
          <w:sz w:val="28"/>
          <w:lang w:val="es-419"/>
        </w:rPr>
        <w:t>(</w:t>
      </w:r>
      <w:r w:rsidR="00D51FB3" w:rsidRPr="001E6B34">
        <w:rPr>
          <w:rFonts w:ascii="Georgia" w:hAnsi="Georgia" w:cs="Arial"/>
          <w:iCs/>
          <w:smallCaps/>
          <w:sz w:val="28"/>
          <w:lang w:val="es-419"/>
        </w:rPr>
        <w:t>26</w:t>
      </w:r>
      <w:r w:rsidR="006A7EEC" w:rsidRPr="001E6B34">
        <w:rPr>
          <w:rFonts w:ascii="Georgia" w:hAnsi="Georgia" w:cs="Arial"/>
          <w:iCs/>
          <w:smallCaps/>
          <w:sz w:val="28"/>
          <w:lang w:val="es-419"/>
        </w:rPr>
        <w:t xml:space="preserve">) de </w:t>
      </w:r>
      <w:r w:rsidR="0058516E" w:rsidRPr="001E6B34">
        <w:rPr>
          <w:rFonts w:ascii="Georgia" w:hAnsi="Georgia" w:cs="Arial"/>
          <w:iCs/>
          <w:smallCaps/>
          <w:sz w:val="28"/>
          <w:lang w:val="es-419"/>
        </w:rPr>
        <w:t xml:space="preserve">abril </w:t>
      </w:r>
      <w:r w:rsidR="006A7EEC" w:rsidRPr="001E6B34">
        <w:rPr>
          <w:rFonts w:ascii="Georgia" w:hAnsi="Georgia" w:cs="Arial"/>
          <w:iCs/>
          <w:smallCaps/>
          <w:sz w:val="28"/>
          <w:lang w:val="es-419"/>
        </w:rPr>
        <w:t xml:space="preserve">de dos mil </w:t>
      </w:r>
      <w:r w:rsidR="006F7873" w:rsidRPr="001E6B34">
        <w:rPr>
          <w:rFonts w:ascii="Georgia" w:hAnsi="Georgia" w:cs="Arial"/>
          <w:iCs/>
          <w:smallCaps/>
          <w:sz w:val="28"/>
          <w:lang w:val="es-419"/>
        </w:rPr>
        <w:t xml:space="preserve">diecinueve </w:t>
      </w:r>
      <w:r w:rsidR="006A7EEC" w:rsidRPr="001E6B34">
        <w:rPr>
          <w:rFonts w:ascii="Georgia" w:hAnsi="Georgia" w:cs="Arial"/>
          <w:iCs/>
          <w:smallCaps/>
          <w:sz w:val="28"/>
          <w:lang w:val="es-419"/>
        </w:rPr>
        <w:t>(</w:t>
      </w:r>
      <w:r w:rsidR="006F7873" w:rsidRPr="001E6B34">
        <w:rPr>
          <w:rFonts w:ascii="Georgia" w:hAnsi="Georgia" w:cs="Arial"/>
          <w:iCs/>
          <w:smallCaps/>
          <w:sz w:val="28"/>
          <w:lang w:val="es-419"/>
        </w:rPr>
        <w:t>2019</w:t>
      </w:r>
      <w:r w:rsidR="006A7EEC" w:rsidRPr="001E6B34">
        <w:rPr>
          <w:rFonts w:ascii="Georgia" w:hAnsi="Georgia" w:cs="Arial"/>
          <w:iCs/>
          <w:smallCaps/>
          <w:sz w:val="28"/>
          <w:lang w:val="es-419"/>
        </w:rPr>
        <w:t>)</w:t>
      </w:r>
      <w:r w:rsidR="006A7EEC" w:rsidRPr="001E6B34">
        <w:rPr>
          <w:rFonts w:ascii="Georgia" w:hAnsi="Georgia" w:cs="Arial"/>
          <w:iCs/>
          <w:sz w:val="28"/>
          <w:lang w:val="es-419"/>
        </w:rPr>
        <w:t>.</w:t>
      </w:r>
    </w:p>
    <w:p w:rsidR="000147A2" w:rsidRPr="001E6B34" w:rsidRDefault="000147A2" w:rsidP="001E6B34">
      <w:pPr>
        <w:spacing w:line="288" w:lineRule="auto"/>
        <w:jc w:val="center"/>
        <w:rPr>
          <w:rFonts w:ascii="Georgia" w:hAnsi="Georgia" w:cs="Arial"/>
          <w:b/>
          <w:bCs/>
          <w:lang w:val="es-419"/>
        </w:rPr>
      </w:pPr>
    </w:p>
    <w:p w:rsidR="0099045D" w:rsidRPr="001E6B34" w:rsidRDefault="0099045D" w:rsidP="001E6B34">
      <w:pPr>
        <w:pStyle w:val="Textoindependiente"/>
        <w:numPr>
          <w:ilvl w:val="0"/>
          <w:numId w:val="1"/>
        </w:numPr>
        <w:spacing w:line="288" w:lineRule="auto"/>
        <w:rPr>
          <w:rFonts w:ascii="Georgia" w:hAnsi="Georgia"/>
          <w:szCs w:val="24"/>
          <w:lang w:val="es-419"/>
        </w:rPr>
      </w:pPr>
      <w:r w:rsidRPr="001E6B34">
        <w:rPr>
          <w:rFonts w:ascii="Georgia" w:hAnsi="Georgia"/>
          <w:szCs w:val="24"/>
          <w:lang w:val="es-419"/>
        </w:rPr>
        <w:t xml:space="preserve">EL ASUNTO </w:t>
      </w:r>
      <w:r w:rsidR="00B15B77" w:rsidRPr="001E6B34">
        <w:rPr>
          <w:rFonts w:ascii="Georgia" w:hAnsi="Georgia"/>
          <w:szCs w:val="24"/>
          <w:lang w:val="es-419"/>
        </w:rPr>
        <w:t xml:space="preserve">POR </w:t>
      </w:r>
      <w:r w:rsidRPr="001E6B34">
        <w:rPr>
          <w:rFonts w:ascii="Georgia" w:hAnsi="Georgia"/>
          <w:szCs w:val="24"/>
          <w:lang w:val="es-419"/>
        </w:rPr>
        <w:t>DECIDIR</w:t>
      </w:r>
    </w:p>
    <w:p w:rsidR="00134F0A" w:rsidRPr="001E6B34" w:rsidRDefault="00134F0A" w:rsidP="001E6B34">
      <w:pPr>
        <w:pStyle w:val="Textoindependiente"/>
        <w:spacing w:line="288" w:lineRule="auto"/>
        <w:rPr>
          <w:rFonts w:ascii="Georgia" w:hAnsi="Georgia"/>
          <w:szCs w:val="24"/>
          <w:lang w:val="es-419"/>
        </w:rPr>
      </w:pPr>
    </w:p>
    <w:p w:rsidR="00104367" w:rsidRPr="001E6B34" w:rsidRDefault="006F7873" w:rsidP="001E6B34">
      <w:pPr>
        <w:pStyle w:val="Textoindependiente"/>
        <w:spacing w:line="288" w:lineRule="auto"/>
        <w:rPr>
          <w:rFonts w:ascii="Georgia" w:hAnsi="Georgia"/>
          <w:szCs w:val="24"/>
          <w:lang w:val="es-419"/>
        </w:rPr>
      </w:pPr>
      <w:r w:rsidRPr="001E6B34">
        <w:rPr>
          <w:rFonts w:ascii="Georgia" w:hAnsi="Georgia"/>
          <w:szCs w:val="24"/>
          <w:lang w:val="es-419"/>
        </w:rPr>
        <w:t xml:space="preserve">El </w:t>
      </w:r>
      <w:r w:rsidR="00FD742D" w:rsidRPr="001E6B34">
        <w:rPr>
          <w:rFonts w:ascii="Georgia" w:hAnsi="Georgia"/>
          <w:szCs w:val="24"/>
          <w:lang w:val="es-419"/>
        </w:rPr>
        <w:t>amparo</w:t>
      </w:r>
      <w:r w:rsidR="008907D4" w:rsidRPr="001E6B34">
        <w:rPr>
          <w:rFonts w:ascii="Georgia" w:hAnsi="Georgia"/>
          <w:szCs w:val="24"/>
          <w:lang w:val="es-419"/>
        </w:rPr>
        <w:t xml:space="preserve"> constitucional</w:t>
      </w:r>
      <w:r w:rsidR="007514C4" w:rsidRPr="001E6B34">
        <w:rPr>
          <w:rFonts w:ascii="Georgia" w:hAnsi="Georgia"/>
          <w:szCs w:val="24"/>
          <w:lang w:val="es-419"/>
        </w:rPr>
        <w:t xml:space="preserve"> </w:t>
      </w:r>
      <w:r w:rsidR="008907D4" w:rsidRPr="001E6B34">
        <w:rPr>
          <w:rFonts w:ascii="Georgia" w:hAnsi="Georgia"/>
          <w:szCs w:val="24"/>
          <w:lang w:val="es-419"/>
        </w:rPr>
        <w:t>de la referencia</w:t>
      </w:r>
      <w:r w:rsidR="00104367" w:rsidRPr="001E6B34">
        <w:rPr>
          <w:rFonts w:ascii="Georgia" w:hAnsi="Georgia"/>
          <w:szCs w:val="24"/>
          <w:lang w:val="es-419"/>
        </w:rPr>
        <w:t>, adelantada</w:t>
      </w:r>
      <w:r w:rsidR="00A35E06" w:rsidRPr="001E6B34">
        <w:rPr>
          <w:rFonts w:ascii="Georgia" w:hAnsi="Georgia"/>
          <w:szCs w:val="24"/>
          <w:lang w:val="es-419"/>
        </w:rPr>
        <w:t>s</w:t>
      </w:r>
      <w:r w:rsidR="00104367" w:rsidRPr="001E6B34">
        <w:rPr>
          <w:rFonts w:ascii="Georgia" w:hAnsi="Georgia"/>
          <w:szCs w:val="24"/>
          <w:lang w:val="es-419"/>
        </w:rPr>
        <w:t xml:space="preserve"> las debidas actuaciones con el trámite preferente y sumario, sin que se evidencie</w:t>
      </w:r>
      <w:r w:rsidR="00A35E06" w:rsidRPr="001E6B34">
        <w:rPr>
          <w:rFonts w:ascii="Georgia" w:hAnsi="Georgia"/>
          <w:szCs w:val="24"/>
          <w:lang w:val="es-419"/>
        </w:rPr>
        <w:t>n</w:t>
      </w:r>
      <w:r w:rsidR="00104367" w:rsidRPr="001E6B34">
        <w:rPr>
          <w:rFonts w:ascii="Georgia" w:hAnsi="Georgia"/>
          <w:szCs w:val="24"/>
          <w:lang w:val="es-419"/>
        </w:rPr>
        <w:t xml:space="preserve"> causal</w:t>
      </w:r>
      <w:r w:rsidR="00A35E06" w:rsidRPr="001E6B34">
        <w:rPr>
          <w:rFonts w:ascii="Georgia" w:hAnsi="Georgia"/>
          <w:szCs w:val="24"/>
          <w:lang w:val="es-419"/>
        </w:rPr>
        <w:t>es</w:t>
      </w:r>
      <w:r w:rsidR="00104367" w:rsidRPr="001E6B34">
        <w:rPr>
          <w:rFonts w:ascii="Georgia" w:hAnsi="Georgia"/>
          <w:szCs w:val="24"/>
          <w:lang w:val="es-419"/>
        </w:rPr>
        <w:t xml:space="preserve"> de nulidad que </w:t>
      </w:r>
      <w:r w:rsidRPr="001E6B34">
        <w:rPr>
          <w:rFonts w:ascii="Georgia" w:hAnsi="Georgia"/>
          <w:szCs w:val="24"/>
          <w:lang w:val="es-419"/>
        </w:rPr>
        <w:t xml:space="preserve">lo </w:t>
      </w:r>
      <w:r w:rsidR="00FD742D" w:rsidRPr="001E6B34">
        <w:rPr>
          <w:rFonts w:ascii="Georgia" w:hAnsi="Georgia"/>
          <w:szCs w:val="24"/>
          <w:lang w:val="es-419"/>
        </w:rPr>
        <w:t>invalide</w:t>
      </w:r>
      <w:r w:rsidR="00B3722F" w:rsidRPr="001E6B34">
        <w:rPr>
          <w:rFonts w:ascii="Georgia" w:hAnsi="Georgia"/>
          <w:szCs w:val="24"/>
          <w:lang w:val="es-419"/>
        </w:rPr>
        <w:t>n</w:t>
      </w:r>
      <w:r w:rsidR="00FD742D" w:rsidRPr="001E6B34">
        <w:rPr>
          <w:rFonts w:ascii="Georgia" w:hAnsi="Georgia"/>
          <w:szCs w:val="24"/>
          <w:lang w:val="es-419"/>
        </w:rPr>
        <w:t>.</w:t>
      </w:r>
    </w:p>
    <w:p w:rsidR="000147A2" w:rsidRPr="001E6B34" w:rsidRDefault="000147A2" w:rsidP="001E6B34">
      <w:pPr>
        <w:pStyle w:val="Textoindependiente"/>
        <w:spacing w:line="288" w:lineRule="auto"/>
        <w:rPr>
          <w:rFonts w:ascii="Georgia" w:hAnsi="Georgia"/>
          <w:szCs w:val="24"/>
          <w:lang w:val="es-419"/>
        </w:rPr>
      </w:pPr>
    </w:p>
    <w:p w:rsidR="0099045D" w:rsidRPr="001E6B34" w:rsidRDefault="0099045D" w:rsidP="001E6B34">
      <w:pPr>
        <w:pStyle w:val="Textoindependiente"/>
        <w:numPr>
          <w:ilvl w:val="0"/>
          <w:numId w:val="1"/>
        </w:numPr>
        <w:spacing w:line="288" w:lineRule="auto"/>
        <w:rPr>
          <w:rFonts w:ascii="Georgia" w:hAnsi="Georgia"/>
          <w:szCs w:val="24"/>
          <w:lang w:val="es-419"/>
        </w:rPr>
      </w:pPr>
      <w:r w:rsidRPr="001E6B34">
        <w:rPr>
          <w:rFonts w:ascii="Georgia" w:hAnsi="Georgia"/>
          <w:szCs w:val="24"/>
          <w:lang w:val="es-419"/>
        </w:rPr>
        <w:t xml:space="preserve">LA SÍNTESIS </w:t>
      </w:r>
      <w:r w:rsidR="00900A65" w:rsidRPr="001E6B34">
        <w:rPr>
          <w:rFonts w:ascii="Georgia" w:hAnsi="Georgia"/>
          <w:szCs w:val="24"/>
          <w:lang w:val="es-419"/>
        </w:rPr>
        <w:t>FÁCTICA</w:t>
      </w:r>
      <w:r w:rsidRPr="001E6B34">
        <w:rPr>
          <w:rFonts w:ascii="Georgia" w:hAnsi="Georgia"/>
          <w:szCs w:val="24"/>
          <w:lang w:val="es-419"/>
        </w:rPr>
        <w:t xml:space="preserve"> </w:t>
      </w:r>
    </w:p>
    <w:p w:rsidR="0099045D" w:rsidRPr="001E6B34" w:rsidRDefault="0099045D" w:rsidP="001E6B34">
      <w:pPr>
        <w:pStyle w:val="Textoindependiente"/>
        <w:spacing w:line="288" w:lineRule="auto"/>
        <w:rPr>
          <w:rFonts w:ascii="Georgia" w:hAnsi="Georgia"/>
          <w:szCs w:val="24"/>
          <w:lang w:val="es-419"/>
        </w:rPr>
      </w:pPr>
    </w:p>
    <w:p w:rsidR="0058516E" w:rsidRPr="001E6B34" w:rsidRDefault="0058516E" w:rsidP="001E6B34">
      <w:pPr>
        <w:pStyle w:val="Textoindependiente"/>
        <w:spacing w:line="288" w:lineRule="auto"/>
        <w:rPr>
          <w:rFonts w:ascii="Georgia" w:hAnsi="Georgia" w:cs="Arial"/>
          <w:szCs w:val="24"/>
          <w:lang w:val="es-419"/>
        </w:rPr>
      </w:pPr>
      <w:r w:rsidRPr="001E6B34">
        <w:rPr>
          <w:rFonts w:ascii="Georgia" w:hAnsi="Georgia" w:cs="Arial"/>
          <w:szCs w:val="24"/>
          <w:lang w:val="es-419"/>
        </w:rPr>
        <w:t>Expresa el actor que fue demandado en proceso rei</w:t>
      </w:r>
      <w:r w:rsidR="000250CC" w:rsidRPr="001E6B34">
        <w:rPr>
          <w:rFonts w:ascii="Georgia" w:hAnsi="Georgia" w:cs="Arial"/>
          <w:szCs w:val="24"/>
          <w:lang w:val="es-419"/>
        </w:rPr>
        <w:t>vindicatorio</w:t>
      </w:r>
      <w:r w:rsidR="00AF3F1A" w:rsidRPr="001E6B34">
        <w:rPr>
          <w:rFonts w:ascii="Georgia" w:hAnsi="Georgia" w:cs="Arial"/>
          <w:szCs w:val="24"/>
          <w:lang w:val="es-419"/>
        </w:rPr>
        <w:t xml:space="preserve"> por Jairo Alberto Castañeda izquierdo, </w:t>
      </w:r>
      <w:r w:rsidRPr="001E6B34">
        <w:rPr>
          <w:rFonts w:ascii="Georgia" w:hAnsi="Georgia" w:cs="Arial"/>
          <w:szCs w:val="24"/>
          <w:lang w:val="es-419"/>
        </w:rPr>
        <w:t>radicado al No.2018-00060-00</w:t>
      </w:r>
      <w:r w:rsidR="000250CC" w:rsidRPr="001E6B34">
        <w:rPr>
          <w:rFonts w:ascii="Georgia" w:hAnsi="Georgia" w:cs="Arial"/>
          <w:szCs w:val="24"/>
          <w:lang w:val="es-419"/>
        </w:rPr>
        <w:t>,</w:t>
      </w:r>
      <w:r w:rsidRPr="001E6B34">
        <w:rPr>
          <w:rFonts w:ascii="Georgia" w:hAnsi="Georgia" w:cs="Arial"/>
          <w:szCs w:val="24"/>
          <w:lang w:val="es-419"/>
        </w:rPr>
        <w:t xml:space="preserve"> </w:t>
      </w:r>
      <w:r w:rsidR="00AF3F1A" w:rsidRPr="001E6B34">
        <w:rPr>
          <w:rFonts w:ascii="Georgia" w:hAnsi="Georgia" w:cs="Arial"/>
          <w:szCs w:val="24"/>
          <w:lang w:val="es-419"/>
        </w:rPr>
        <w:t xml:space="preserve">ante </w:t>
      </w:r>
      <w:r w:rsidRPr="001E6B34">
        <w:rPr>
          <w:rFonts w:ascii="Georgia" w:hAnsi="Georgia" w:cs="Arial"/>
          <w:szCs w:val="24"/>
          <w:lang w:val="es-419"/>
        </w:rPr>
        <w:t xml:space="preserve">el Juzgado Único Promiscuo </w:t>
      </w:r>
      <w:r w:rsidR="000250CC" w:rsidRPr="001E6B34">
        <w:rPr>
          <w:rFonts w:ascii="Georgia" w:hAnsi="Georgia" w:cs="Arial"/>
          <w:szCs w:val="24"/>
          <w:lang w:val="es-419"/>
        </w:rPr>
        <w:t>Municipal de Guática, R., donde al contestar formuló excepción prev</w:t>
      </w:r>
      <w:r w:rsidR="00AF3F1A" w:rsidRPr="001E6B34">
        <w:rPr>
          <w:rFonts w:ascii="Georgia" w:hAnsi="Georgia" w:cs="Arial"/>
          <w:szCs w:val="24"/>
          <w:lang w:val="es-419"/>
        </w:rPr>
        <w:t xml:space="preserve">ia que fue reconocida por ese Despacho, pero esa decisión fue revocada por el Juzgado Único Promiscuo </w:t>
      </w:r>
      <w:r w:rsidRPr="001E6B34">
        <w:rPr>
          <w:rFonts w:ascii="Georgia" w:hAnsi="Georgia" w:cs="Arial"/>
          <w:szCs w:val="24"/>
          <w:lang w:val="es-419"/>
        </w:rPr>
        <w:t>del Circuito de Belén de Umbría</w:t>
      </w:r>
      <w:r w:rsidR="00AF3F1A" w:rsidRPr="001E6B34">
        <w:rPr>
          <w:rFonts w:ascii="Georgia" w:hAnsi="Georgia" w:cs="Arial"/>
          <w:szCs w:val="24"/>
          <w:lang w:val="es-419"/>
        </w:rPr>
        <w:t>, R. Aduce que se desconoció que el demandante ya no es el legítimo dueño, conforme acredita el certificado de tradición del inmueble y la jurisprudencia de la CC</w:t>
      </w:r>
      <w:r w:rsidRPr="001E6B34">
        <w:rPr>
          <w:rFonts w:ascii="Georgia" w:hAnsi="Georgia" w:cs="Arial"/>
          <w:szCs w:val="24"/>
          <w:lang w:val="es-419"/>
        </w:rPr>
        <w:t xml:space="preserve"> (</w:t>
      </w:r>
      <w:r w:rsidRPr="001E6B34">
        <w:rPr>
          <w:rFonts w:ascii="Georgia" w:hAnsi="Georgia" w:cs="Arial"/>
          <w:sz w:val="22"/>
          <w:szCs w:val="24"/>
          <w:lang w:val="es-419"/>
        </w:rPr>
        <w:t>Folios</w:t>
      </w:r>
      <w:r w:rsidR="00AF3F1A" w:rsidRPr="001E6B34">
        <w:rPr>
          <w:rFonts w:ascii="Georgia" w:hAnsi="Georgia" w:cs="Arial"/>
          <w:sz w:val="22"/>
          <w:szCs w:val="24"/>
          <w:lang w:val="es-419"/>
        </w:rPr>
        <w:t xml:space="preserve"> 2-15</w:t>
      </w:r>
      <w:r w:rsidRPr="001E6B34">
        <w:rPr>
          <w:rFonts w:ascii="Georgia" w:hAnsi="Georgia" w:cs="Arial"/>
          <w:sz w:val="22"/>
          <w:szCs w:val="24"/>
          <w:lang w:val="es-419"/>
        </w:rPr>
        <w:t xml:space="preserve">, </w:t>
      </w:r>
      <w:r w:rsidR="00AF3F1A" w:rsidRPr="001E6B34">
        <w:rPr>
          <w:rFonts w:ascii="Georgia" w:hAnsi="Georgia" w:cs="Arial"/>
          <w:sz w:val="22"/>
          <w:szCs w:val="24"/>
          <w:lang w:val="es-419"/>
        </w:rPr>
        <w:t xml:space="preserve">este </w:t>
      </w:r>
      <w:r w:rsidRPr="001E6B34">
        <w:rPr>
          <w:rFonts w:ascii="Georgia" w:hAnsi="Georgia" w:cs="Arial"/>
          <w:sz w:val="22"/>
          <w:szCs w:val="24"/>
          <w:lang w:val="es-419"/>
        </w:rPr>
        <w:t>cuaderno</w:t>
      </w:r>
      <w:r w:rsidRPr="001E6B34">
        <w:rPr>
          <w:rFonts w:ascii="Georgia" w:hAnsi="Georgia" w:cs="Arial"/>
          <w:szCs w:val="24"/>
          <w:lang w:val="es-419"/>
        </w:rPr>
        <w:t>).</w:t>
      </w:r>
    </w:p>
    <w:p w:rsidR="00517909" w:rsidRPr="001E6B34" w:rsidRDefault="00517909" w:rsidP="001E6B34">
      <w:pPr>
        <w:spacing w:line="288" w:lineRule="auto"/>
        <w:jc w:val="both"/>
        <w:rPr>
          <w:rFonts w:ascii="Georgia" w:hAnsi="Georgia" w:cs="Arial"/>
          <w:lang w:val="es-419"/>
        </w:rPr>
      </w:pPr>
    </w:p>
    <w:p w:rsidR="0099045D" w:rsidRPr="001E6B34" w:rsidRDefault="00265F36" w:rsidP="001E6B34">
      <w:pPr>
        <w:pStyle w:val="Textoindependiente"/>
        <w:numPr>
          <w:ilvl w:val="0"/>
          <w:numId w:val="1"/>
        </w:numPr>
        <w:spacing w:line="288" w:lineRule="auto"/>
        <w:rPr>
          <w:rFonts w:ascii="Georgia" w:hAnsi="Georgia"/>
          <w:szCs w:val="24"/>
          <w:lang w:val="es-419"/>
        </w:rPr>
      </w:pPr>
      <w:r w:rsidRPr="001E6B34">
        <w:rPr>
          <w:rFonts w:ascii="Georgia" w:hAnsi="Georgia"/>
          <w:szCs w:val="24"/>
          <w:lang w:val="es-419"/>
        </w:rPr>
        <w:t xml:space="preserve">LOS </w:t>
      </w:r>
      <w:r w:rsidR="0099045D" w:rsidRPr="001E6B34">
        <w:rPr>
          <w:rFonts w:ascii="Georgia" w:hAnsi="Georgia"/>
          <w:szCs w:val="24"/>
          <w:lang w:val="es-419"/>
        </w:rPr>
        <w:t>DERECHO</w:t>
      </w:r>
      <w:r w:rsidRPr="001E6B34">
        <w:rPr>
          <w:rFonts w:ascii="Georgia" w:hAnsi="Georgia"/>
          <w:szCs w:val="24"/>
          <w:lang w:val="es-419"/>
        </w:rPr>
        <w:t>S</w:t>
      </w:r>
      <w:r w:rsidR="0099045D" w:rsidRPr="001E6B34">
        <w:rPr>
          <w:rFonts w:ascii="Georgia" w:hAnsi="Georgia"/>
          <w:szCs w:val="24"/>
          <w:lang w:val="es-419"/>
        </w:rPr>
        <w:t xml:space="preserve"> </w:t>
      </w:r>
      <w:r w:rsidR="004B7439" w:rsidRPr="001E6B34">
        <w:rPr>
          <w:rFonts w:ascii="Georgia" w:hAnsi="Georgia"/>
          <w:szCs w:val="24"/>
          <w:lang w:val="es-419"/>
        </w:rPr>
        <w:t>INVOCADOS</w:t>
      </w:r>
    </w:p>
    <w:p w:rsidR="00800EF6" w:rsidRPr="001E6B34" w:rsidRDefault="00800EF6" w:rsidP="001E6B34">
      <w:pPr>
        <w:pStyle w:val="Textoindependiente"/>
        <w:spacing w:line="288" w:lineRule="auto"/>
        <w:rPr>
          <w:rFonts w:ascii="Georgia" w:hAnsi="Georgia"/>
          <w:szCs w:val="24"/>
          <w:lang w:val="es-419"/>
        </w:rPr>
      </w:pPr>
    </w:p>
    <w:p w:rsidR="00AF3F1A" w:rsidRPr="001E6B34" w:rsidRDefault="00AF3F1A" w:rsidP="001E6B34">
      <w:pPr>
        <w:pStyle w:val="Textoindependiente"/>
        <w:widowControl w:val="0"/>
        <w:spacing w:line="288" w:lineRule="auto"/>
        <w:rPr>
          <w:rFonts w:ascii="Georgia" w:hAnsi="Georgia" w:cs="Arial"/>
          <w:szCs w:val="24"/>
          <w:lang w:val="es-419"/>
        </w:rPr>
      </w:pPr>
      <w:r w:rsidRPr="001E6B34">
        <w:rPr>
          <w:rFonts w:ascii="Georgia" w:hAnsi="Georgia" w:cs="Arial"/>
          <w:szCs w:val="24"/>
          <w:lang w:val="es-419"/>
        </w:rPr>
        <w:t>En el petitorio de tutela se invocan los derechos al debido proceso, defensa, la igualda</w:t>
      </w:r>
      <w:r w:rsidR="0017484A" w:rsidRPr="001E6B34">
        <w:rPr>
          <w:rFonts w:ascii="Georgia" w:hAnsi="Georgia" w:cs="Arial"/>
          <w:szCs w:val="24"/>
          <w:lang w:val="es-419"/>
        </w:rPr>
        <w:t>d</w:t>
      </w:r>
      <w:r w:rsidRPr="001E6B34">
        <w:rPr>
          <w:rFonts w:ascii="Georgia" w:hAnsi="Georgia" w:cs="Arial"/>
          <w:szCs w:val="24"/>
          <w:lang w:val="es-419"/>
        </w:rPr>
        <w:t xml:space="preserve"> y el </w:t>
      </w:r>
      <w:r w:rsidR="0017484A" w:rsidRPr="001E6B34">
        <w:rPr>
          <w:rFonts w:ascii="Georgia" w:hAnsi="Georgia" w:cs="Arial"/>
          <w:szCs w:val="24"/>
          <w:lang w:val="es-419"/>
        </w:rPr>
        <w:t xml:space="preserve">libre </w:t>
      </w:r>
      <w:r w:rsidRPr="001E6B34">
        <w:rPr>
          <w:rFonts w:ascii="Georgia" w:hAnsi="Georgia" w:cs="Arial"/>
          <w:szCs w:val="24"/>
          <w:lang w:val="es-419"/>
        </w:rPr>
        <w:t>acceso a la administración de justicia (</w:t>
      </w:r>
      <w:r w:rsidRPr="001E6B34">
        <w:rPr>
          <w:rFonts w:ascii="Georgia" w:hAnsi="Georgia" w:cs="Arial"/>
          <w:sz w:val="22"/>
          <w:szCs w:val="24"/>
          <w:lang w:val="es-419"/>
        </w:rPr>
        <w:t xml:space="preserve">Folio </w:t>
      </w:r>
      <w:r w:rsidR="0017484A" w:rsidRPr="001E6B34">
        <w:rPr>
          <w:rFonts w:ascii="Georgia" w:hAnsi="Georgia" w:cs="Arial"/>
          <w:sz w:val="22"/>
          <w:szCs w:val="24"/>
          <w:lang w:val="es-419"/>
        </w:rPr>
        <w:t>14</w:t>
      </w:r>
      <w:r w:rsidRPr="001E6B34">
        <w:rPr>
          <w:rFonts w:ascii="Georgia" w:hAnsi="Georgia" w:cs="Arial"/>
          <w:sz w:val="22"/>
          <w:szCs w:val="24"/>
          <w:lang w:val="es-419"/>
        </w:rPr>
        <w:t xml:space="preserve">, </w:t>
      </w:r>
      <w:r w:rsidR="0017484A" w:rsidRPr="001E6B34">
        <w:rPr>
          <w:rFonts w:ascii="Georgia" w:hAnsi="Georgia" w:cs="Arial"/>
          <w:sz w:val="22"/>
          <w:szCs w:val="24"/>
          <w:lang w:val="es-419"/>
        </w:rPr>
        <w:t xml:space="preserve">este </w:t>
      </w:r>
      <w:r w:rsidRPr="001E6B34">
        <w:rPr>
          <w:rFonts w:ascii="Georgia" w:hAnsi="Georgia" w:cs="Arial"/>
          <w:sz w:val="22"/>
          <w:szCs w:val="24"/>
          <w:lang w:val="es-419"/>
        </w:rPr>
        <w:t>cuaderno</w:t>
      </w:r>
      <w:r w:rsidRPr="001E6B34">
        <w:rPr>
          <w:rFonts w:ascii="Georgia" w:hAnsi="Georgia" w:cs="Arial"/>
          <w:szCs w:val="24"/>
          <w:lang w:val="es-419"/>
        </w:rPr>
        <w:t xml:space="preserve">). </w:t>
      </w:r>
    </w:p>
    <w:p w:rsidR="003F6C16" w:rsidRPr="001E6B34" w:rsidRDefault="003F6C16" w:rsidP="001E6B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1E6B34" w:rsidRDefault="0099045D" w:rsidP="001E6B34">
      <w:pPr>
        <w:pStyle w:val="Textoindependiente"/>
        <w:numPr>
          <w:ilvl w:val="0"/>
          <w:numId w:val="1"/>
        </w:numPr>
        <w:spacing w:line="288" w:lineRule="auto"/>
        <w:rPr>
          <w:rFonts w:ascii="Georgia" w:hAnsi="Georgia"/>
          <w:szCs w:val="24"/>
          <w:lang w:val="es-419"/>
        </w:rPr>
      </w:pPr>
      <w:r w:rsidRPr="001E6B34">
        <w:rPr>
          <w:rFonts w:ascii="Georgia" w:hAnsi="Georgia"/>
          <w:szCs w:val="24"/>
          <w:lang w:val="es-419"/>
        </w:rPr>
        <w:t>LA PETICIÓN DE PROTECCIÓN</w:t>
      </w:r>
    </w:p>
    <w:p w:rsidR="00303E85" w:rsidRPr="001E6B34" w:rsidRDefault="00303E85" w:rsidP="001E6B34">
      <w:pPr>
        <w:pStyle w:val="Sinespaciado"/>
        <w:spacing w:line="288" w:lineRule="auto"/>
        <w:jc w:val="both"/>
        <w:rPr>
          <w:rFonts w:ascii="Georgia" w:hAnsi="Georgia" w:cs="Arial"/>
          <w:szCs w:val="24"/>
          <w:lang w:val="es-419"/>
        </w:rPr>
      </w:pPr>
    </w:p>
    <w:p w:rsidR="0017484A" w:rsidRPr="001E6B34" w:rsidRDefault="0017484A" w:rsidP="001E6B34">
      <w:pPr>
        <w:pStyle w:val="Sinespaciado"/>
        <w:spacing w:line="288" w:lineRule="auto"/>
        <w:jc w:val="both"/>
        <w:rPr>
          <w:rFonts w:ascii="Georgia" w:hAnsi="Georgia" w:cs="Arial"/>
          <w:szCs w:val="24"/>
          <w:lang w:val="es-419"/>
        </w:rPr>
      </w:pPr>
      <w:r w:rsidRPr="001E6B34">
        <w:rPr>
          <w:rFonts w:ascii="Georgia" w:hAnsi="Georgia" w:cs="Arial"/>
          <w:szCs w:val="24"/>
          <w:lang w:val="es-419"/>
        </w:rPr>
        <w:t xml:space="preserve">Se pretende que </w:t>
      </w:r>
      <w:r w:rsidR="00DD0CA8" w:rsidRPr="001E6B34">
        <w:rPr>
          <w:rFonts w:ascii="Georgia" w:hAnsi="Georgia" w:cs="Arial"/>
          <w:szCs w:val="24"/>
          <w:lang w:val="es-419"/>
        </w:rPr>
        <w:t xml:space="preserve">ordene: (i) Dejar </w:t>
      </w:r>
      <w:r w:rsidRPr="001E6B34">
        <w:rPr>
          <w:rFonts w:ascii="Georgia" w:hAnsi="Georgia" w:cs="Arial"/>
          <w:szCs w:val="24"/>
          <w:lang w:val="es-419"/>
        </w:rPr>
        <w:t>sin e</w:t>
      </w:r>
      <w:r w:rsidR="001D4485" w:rsidRPr="001E6B34">
        <w:rPr>
          <w:rFonts w:ascii="Georgia" w:hAnsi="Georgia" w:cs="Arial"/>
          <w:szCs w:val="24"/>
          <w:lang w:val="es-419"/>
        </w:rPr>
        <w:t>fectos la decisión del 27-02-201</w:t>
      </w:r>
      <w:r w:rsidRPr="001E6B34">
        <w:rPr>
          <w:rFonts w:ascii="Georgia" w:hAnsi="Georgia" w:cs="Arial"/>
          <w:szCs w:val="24"/>
          <w:lang w:val="es-419"/>
        </w:rPr>
        <w:t>9</w:t>
      </w:r>
      <w:r w:rsidR="00DD0CA8" w:rsidRPr="001E6B34">
        <w:rPr>
          <w:rFonts w:ascii="Georgia" w:hAnsi="Georgia" w:cs="Arial"/>
          <w:szCs w:val="24"/>
          <w:lang w:val="es-419"/>
        </w:rPr>
        <w:t xml:space="preserve">; y, (ii) Emitir proveído que confirme el auto recurrido. Y disponer que el Consejo Superior de la Judicatura regule, controle y vigile al Juzgado Único Promiscuo del Circuito de Belén de Umbría, R., para evitar que se desborde en sus procedimientos </w:t>
      </w:r>
      <w:r w:rsidRPr="001E6B34">
        <w:rPr>
          <w:rFonts w:ascii="Georgia" w:hAnsi="Georgia" w:cs="Arial"/>
          <w:szCs w:val="24"/>
          <w:lang w:val="es-419"/>
        </w:rPr>
        <w:t>(</w:t>
      </w:r>
      <w:r w:rsidRPr="001E6B34">
        <w:rPr>
          <w:rFonts w:ascii="Georgia" w:hAnsi="Georgia" w:cs="Arial"/>
          <w:sz w:val="22"/>
          <w:szCs w:val="24"/>
          <w:lang w:val="es-419"/>
        </w:rPr>
        <w:t xml:space="preserve">Folio </w:t>
      </w:r>
      <w:r w:rsidR="00DD0CA8" w:rsidRPr="001E6B34">
        <w:rPr>
          <w:rFonts w:ascii="Georgia" w:hAnsi="Georgia" w:cs="Arial"/>
          <w:sz w:val="22"/>
          <w:szCs w:val="24"/>
          <w:lang w:val="es-419"/>
        </w:rPr>
        <w:t>14</w:t>
      </w:r>
      <w:r w:rsidRPr="001E6B34">
        <w:rPr>
          <w:rFonts w:ascii="Georgia" w:hAnsi="Georgia" w:cs="Arial"/>
          <w:sz w:val="22"/>
          <w:szCs w:val="24"/>
          <w:lang w:val="es-419"/>
        </w:rPr>
        <w:t xml:space="preserve">, </w:t>
      </w:r>
      <w:r w:rsidR="001D4485" w:rsidRPr="001E6B34">
        <w:rPr>
          <w:rFonts w:ascii="Georgia" w:hAnsi="Georgia" w:cs="Arial"/>
          <w:sz w:val="22"/>
          <w:szCs w:val="24"/>
          <w:lang w:val="es-419"/>
        </w:rPr>
        <w:t>este cuaderno</w:t>
      </w:r>
      <w:r w:rsidRPr="001E6B34">
        <w:rPr>
          <w:rFonts w:ascii="Georgia" w:hAnsi="Georgia" w:cs="Arial"/>
          <w:szCs w:val="24"/>
          <w:lang w:val="es-419"/>
        </w:rPr>
        <w:t xml:space="preserve">).  </w:t>
      </w:r>
    </w:p>
    <w:p w:rsidR="00C65296" w:rsidRPr="001E6B34" w:rsidRDefault="00C65296" w:rsidP="001E6B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99045D" w:rsidRPr="001E6B34" w:rsidRDefault="00270A8D" w:rsidP="001E6B34">
      <w:pPr>
        <w:pStyle w:val="Sinespaciado"/>
        <w:numPr>
          <w:ilvl w:val="0"/>
          <w:numId w:val="1"/>
        </w:numPr>
        <w:spacing w:line="288" w:lineRule="auto"/>
        <w:jc w:val="both"/>
        <w:rPr>
          <w:rFonts w:ascii="Georgia" w:hAnsi="Georgia"/>
          <w:szCs w:val="24"/>
          <w:lang w:val="es-419"/>
        </w:rPr>
      </w:pPr>
      <w:r w:rsidRPr="001E6B34">
        <w:rPr>
          <w:rFonts w:ascii="Georgia" w:hAnsi="Georgia"/>
          <w:szCs w:val="24"/>
          <w:lang w:val="es-419"/>
        </w:rPr>
        <w:t xml:space="preserve">EL RESUMEN </w:t>
      </w:r>
      <w:r w:rsidR="0099045D" w:rsidRPr="001E6B34">
        <w:rPr>
          <w:rFonts w:ascii="Georgia" w:hAnsi="Georgia"/>
          <w:szCs w:val="24"/>
          <w:lang w:val="es-419"/>
        </w:rPr>
        <w:t>DE LA CRÓNICA PROCESAL</w:t>
      </w:r>
      <w:r w:rsidR="001A5DBE" w:rsidRPr="001E6B34">
        <w:rPr>
          <w:rFonts w:ascii="Georgia" w:hAnsi="Georgia"/>
          <w:szCs w:val="24"/>
          <w:lang w:val="es-419"/>
        </w:rPr>
        <w:t>.</w:t>
      </w:r>
    </w:p>
    <w:p w:rsidR="001A5DBE" w:rsidRPr="001E6B34" w:rsidRDefault="001A5DBE" w:rsidP="001E6B34">
      <w:pPr>
        <w:pStyle w:val="Sinespaciado"/>
        <w:spacing w:line="288" w:lineRule="auto"/>
        <w:jc w:val="both"/>
        <w:rPr>
          <w:rFonts w:ascii="Georgia" w:hAnsi="Georgia"/>
          <w:szCs w:val="24"/>
          <w:lang w:val="es-419"/>
        </w:rPr>
      </w:pPr>
    </w:p>
    <w:p w:rsidR="00C65296" w:rsidRPr="001E6B34" w:rsidRDefault="00C65296" w:rsidP="001E6B34">
      <w:pPr>
        <w:pStyle w:val="Prrafodelista"/>
        <w:spacing w:line="288" w:lineRule="auto"/>
        <w:ind w:left="0"/>
        <w:jc w:val="both"/>
        <w:rPr>
          <w:rFonts w:ascii="Georgia" w:hAnsi="Georgia" w:cs="Arial"/>
          <w:lang w:val="es-419"/>
        </w:rPr>
      </w:pPr>
      <w:r w:rsidRPr="001E6B34">
        <w:rPr>
          <w:rFonts w:ascii="Georgia" w:hAnsi="Georgia"/>
          <w:lang w:val="es-419"/>
        </w:rPr>
        <w:t xml:space="preserve">En reparto ordinario del </w:t>
      </w:r>
      <w:r w:rsidR="00DD0CA8" w:rsidRPr="001E6B34">
        <w:rPr>
          <w:rFonts w:ascii="Georgia" w:hAnsi="Georgia"/>
          <w:lang w:val="es-419"/>
        </w:rPr>
        <w:t>09</w:t>
      </w:r>
      <w:r w:rsidRPr="001E6B34">
        <w:rPr>
          <w:rFonts w:ascii="Georgia" w:hAnsi="Georgia"/>
          <w:lang w:val="es-419"/>
        </w:rPr>
        <w:t>-0</w:t>
      </w:r>
      <w:r w:rsidR="00DD0CA8" w:rsidRPr="001E6B34">
        <w:rPr>
          <w:rFonts w:ascii="Georgia" w:hAnsi="Georgia"/>
          <w:lang w:val="es-419"/>
        </w:rPr>
        <w:t>4</w:t>
      </w:r>
      <w:r w:rsidRPr="001E6B34">
        <w:rPr>
          <w:rFonts w:ascii="Georgia" w:hAnsi="Georgia"/>
          <w:lang w:val="es-419"/>
        </w:rPr>
        <w:t xml:space="preserve">-2019 se asignó a este despacho. El </w:t>
      </w:r>
      <w:r w:rsidR="00DD0CA8" w:rsidRPr="001E6B34">
        <w:rPr>
          <w:rFonts w:ascii="Georgia" w:hAnsi="Georgia"/>
          <w:lang w:val="es-419"/>
        </w:rPr>
        <w:t>11</w:t>
      </w:r>
      <w:r w:rsidRPr="001E6B34">
        <w:rPr>
          <w:rFonts w:ascii="Georgia" w:hAnsi="Georgia"/>
          <w:lang w:val="es-419"/>
        </w:rPr>
        <w:t>-0</w:t>
      </w:r>
      <w:r w:rsidR="00DD0CA8" w:rsidRPr="001E6B34">
        <w:rPr>
          <w:rFonts w:ascii="Georgia" w:hAnsi="Georgia"/>
          <w:lang w:val="es-419"/>
        </w:rPr>
        <w:t>4</w:t>
      </w:r>
      <w:r w:rsidRPr="001E6B34">
        <w:rPr>
          <w:rFonts w:ascii="Georgia" w:hAnsi="Georgia"/>
          <w:lang w:val="es-419"/>
        </w:rPr>
        <w:t>-2019</w:t>
      </w:r>
      <w:r w:rsidRPr="001E6B34">
        <w:rPr>
          <w:rFonts w:ascii="Georgia" w:hAnsi="Georgia" w:cs="Arial"/>
          <w:lang w:val="es-419"/>
        </w:rPr>
        <w:t xml:space="preserve"> se admitió, se vinculó a quienes se estimó conveniente y </w:t>
      </w:r>
      <w:r w:rsidRPr="001E6B34">
        <w:rPr>
          <w:rFonts w:ascii="Georgia" w:hAnsi="Georgia"/>
          <w:lang w:val="es-419"/>
        </w:rPr>
        <w:t>se dispuso notificar a las partes</w:t>
      </w:r>
      <w:r w:rsidRPr="001E6B34">
        <w:rPr>
          <w:rFonts w:ascii="Georgia" w:hAnsi="Georgia" w:cs="Arial"/>
          <w:lang w:val="es-419"/>
        </w:rPr>
        <w:t xml:space="preserve">, </w:t>
      </w:r>
      <w:r w:rsidRPr="001E6B34">
        <w:rPr>
          <w:rFonts w:ascii="Georgia" w:hAnsi="Georgia"/>
          <w:lang w:val="es-419"/>
        </w:rPr>
        <w:t>entre otros ordenamientos (</w:t>
      </w:r>
      <w:r w:rsidRPr="001E6B34">
        <w:rPr>
          <w:rFonts w:ascii="Georgia" w:hAnsi="Georgia"/>
          <w:sz w:val="22"/>
          <w:lang w:val="es-419"/>
        </w:rPr>
        <w:t xml:space="preserve">Folio </w:t>
      </w:r>
      <w:r w:rsidR="00DD0CA8" w:rsidRPr="001E6B34">
        <w:rPr>
          <w:rFonts w:ascii="Georgia" w:hAnsi="Georgia"/>
          <w:sz w:val="22"/>
          <w:lang w:val="es-419"/>
        </w:rPr>
        <w:t>55</w:t>
      </w:r>
      <w:r w:rsidRPr="001E6B34">
        <w:rPr>
          <w:rFonts w:ascii="Georgia" w:hAnsi="Georgia"/>
          <w:sz w:val="22"/>
          <w:lang w:val="es-419"/>
        </w:rPr>
        <w:t>, i</w:t>
      </w:r>
      <w:r w:rsidRPr="001E6B34">
        <w:rPr>
          <w:rFonts w:ascii="Georgia" w:hAnsi="Georgia" w:cs="Arial"/>
          <w:sz w:val="22"/>
          <w:lang w:val="es-419"/>
        </w:rPr>
        <w:t>bídem</w:t>
      </w:r>
      <w:r w:rsidRPr="001E6B34">
        <w:rPr>
          <w:rFonts w:ascii="Georgia" w:hAnsi="Georgia" w:cs="Arial"/>
          <w:lang w:val="es-419"/>
        </w:rPr>
        <w:t xml:space="preserve">). </w:t>
      </w:r>
      <w:r w:rsidR="00DD0CA8" w:rsidRPr="001E6B34">
        <w:rPr>
          <w:rFonts w:ascii="Georgia" w:hAnsi="Georgia" w:cs="Arial"/>
          <w:lang w:val="es-419"/>
        </w:rPr>
        <w:t>Contestaron los funcionarios accionado y vinculado</w:t>
      </w:r>
      <w:r w:rsidRPr="001E6B34">
        <w:rPr>
          <w:rFonts w:ascii="Georgia" w:hAnsi="Georgia" w:cs="Arial"/>
          <w:lang w:val="es-419"/>
        </w:rPr>
        <w:t xml:space="preserve"> (</w:t>
      </w:r>
      <w:r w:rsidRPr="001E6B34">
        <w:rPr>
          <w:rFonts w:ascii="Georgia" w:hAnsi="Georgia" w:cs="Arial"/>
          <w:sz w:val="22"/>
          <w:lang w:val="es-419"/>
        </w:rPr>
        <w:t>Folio</w:t>
      </w:r>
      <w:r w:rsidR="00DD0CA8" w:rsidRPr="001E6B34">
        <w:rPr>
          <w:rFonts w:ascii="Georgia" w:hAnsi="Georgia" w:cs="Arial"/>
          <w:sz w:val="22"/>
          <w:lang w:val="es-419"/>
        </w:rPr>
        <w:t>s</w:t>
      </w:r>
      <w:r w:rsidRPr="001E6B34">
        <w:rPr>
          <w:rFonts w:ascii="Georgia" w:hAnsi="Georgia" w:cs="Arial"/>
          <w:sz w:val="22"/>
          <w:lang w:val="es-419"/>
        </w:rPr>
        <w:t xml:space="preserve"> </w:t>
      </w:r>
      <w:r w:rsidR="00DD0CA8" w:rsidRPr="001E6B34">
        <w:rPr>
          <w:rFonts w:ascii="Georgia" w:hAnsi="Georgia" w:cs="Arial"/>
          <w:sz w:val="22"/>
          <w:lang w:val="es-419"/>
        </w:rPr>
        <w:t>57-61</w:t>
      </w:r>
      <w:r w:rsidRPr="001E6B34">
        <w:rPr>
          <w:rFonts w:ascii="Georgia" w:hAnsi="Georgia" w:cs="Arial"/>
          <w:sz w:val="22"/>
          <w:lang w:val="es-419"/>
        </w:rPr>
        <w:t>, ib</w:t>
      </w:r>
      <w:r w:rsidR="00DD0CA8" w:rsidRPr="001E6B34">
        <w:rPr>
          <w:rFonts w:ascii="Georgia" w:hAnsi="Georgia" w:cs="Arial"/>
          <w:sz w:val="22"/>
          <w:lang w:val="es-419"/>
        </w:rPr>
        <w:t>ídem</w:t>
      </w:r>
      <w:r w:rsidRPr="001E6B34">
        <w:rPr>
          <w:rFonts w:ascii="Georgia" w:hAnsi="Georgia" w:cs="Arial"/>
          <w:lang w:val="es-419"/>
        </w:rPr>
        <w:t>).</w:t>
      </w:r>
      <w:r w:rsidR="00D82AB9" w:rsidRPr="001E6B34">
        <w:rPr>
          <w:rFonts w:ascii="Georgia" w:hAnsi="Georgia" w:cs="Arial"/>
          <w:lang w:val="es-419"/>
        </w:rPr>
        <w:t xml:space="preserve"> Con proveído del 25-04-2019, se ordenó la vinculación de la Sala Administrativa del CSJ (</w:t>
      </w:r>
      <w:r w:rsidR="00D82AB9" w:rsidRPr="001E6B34">
        <w:rPr>
          <w:rFonts w:ascii="Georgia" w:hAnsi="Georgia" w:cs="Arial"/>
          <w:sz w:val="22"/>
          <w:lang w:val="es-419"/>
        </w:rPr>
        <w:t>Folio 63,</w:t>
      </w:r>
      <w:r w:rsidR="00D82AB9" w:rsidRPr="001E6B34">
        <w:rPr>
          <w:rFonts w:ascii="Georgia" w:hAnsi="Georgia" w:cs="Arial"/>
          <w:lang w:val="es-419"/>
        </w:rPr>
        <w:t xml:space="preserve"> </w:t>
      </w:r>
      <w:r w:rsidR="00D82AB9" w:rsidRPr="001E6B34">
        <w:rPr>
          <w:rFonts w:ascii="Georgia" w:hAnsi="Georgia"/>
          <w:sz w:val="22"/>
          <w:lang w:val="es-419"/>
        </w:rPr>
        <w:t>i</w:t>
      </w:r>
      <w:r w:rsidR="00D82AB9" w:rsidRPr="001E6B34">
        <w:rPr>
          <w:rFonts w:ascii="Georgia" w:hAnsi="Georgia" w:cs="Arial"/>
          <w:sz w:val="22"/>
          <w:lang w:val="es-419"/>
        </w:rPr>
        <w:t>bídem</w:t>
      </w:r>
      <w:r w:rsidR="00D82AB9" w:rsidRPr="001E6B34">
        <w:rPr>
          <w:rFonts w:ascii="Georgia" w:hAnsi="Georgia" w:cs="Arial"/>
          <w:lang w:val="es-419"/>
        </w:rPr>
        <w:t>)</w:t>
      </w:r>
    </w:p>
    <w:p w:rsidR="00A0664B" w:rsidRPr="001E6B34" w:rsidRDefault="00A0664B" w:rsidP="001E6B34">
      <w:pPr>
        <w:spacing w:line="288" w:lineRule="auto"/>
        <w:jc w:val="both"/>
        <w:rPr>
          <w:rFonts w:ascii="Georgia" w:hAnsi="Georgia" w:cs="Arial"/>
          <w:color w:val="000000"/>
          <w:lang w:val="es-419"/>
        </w:rPr>
      </w:pPr>
    </w:p>
    <w:p w:rsidR="00CF429F" w:rsidRPr="001E6B34" w:rsidRDefault="00CF429F" w:rsidP="001E6B34">
      <w:pPr>
        <w:numPr>
          <w:ilvl w:val="0"/>
          <w:numId w:val="18"/>
        </w:numPr>
        <w:spacing w:line="288" w:lineRule="auto"/>
        <w:jc w:val="both"/>
        <w:rPr>
          <w:rFonts w:ascii="Georgia" w:hAnsi="Georgia"/>
          <w:lang w:val="es-419"/>
        </w:rPr>
      </w:pPr>
      <w:r w:rsidRPr="001E6B34">
        <w:rPr>
          <w:rFonts w:ascii="Georgia" w:hAnsi="Georgia"/>
          <w:lang w:val="es-419"/>
        </w:rPr>
        <w:t>LA SINOPSIS DE LA</w:t>
      </w:r>
      <w:r w:rsidR="001D4485" w:rsidRPr="001E6B34">
        <w:rPr>
          <w:rFonts w:ascii="Georgia" w:hAnsi="Georgia"/>
          <w:lang w:val="es-419"/>
        </w:rPr>
        <w:t>S</w:t>
      </w:r>
      <w:r w:rsidR="00725242" w:rsidRPr="001E6B34">
        <w:rPr>
          <w:rFonts w:ascii="Georgia" w:hAnsi="Georgia"/>
          <w:lang w:val="es-419"/>
        </w:rPr>
        <w:t xml:space="preserve"> </w:t>
      </w:r>
      <w:r w:rsidRPr="001E6B34">
        <w:rPr>
          <w:rFonts w:ascii="Georgia" w:hAnsi="Georgia"/>
          <w:lang w:val="es-419"/>
        </w:rPr>
        <w:t>RESPUESTA</w:t>
      </w:r>
      <w:r w:rsidR="001D4485" w:rsidRPr="001E6B34">
        <w:rPr>
          <w:rFonts w:ascii="Georgia" w:hAnsi="Georgia"/>
          <w:lang w:val="es-419"/>
        </w:rPr>
        <w:t>S</w:t>
      </w:r>
    </w:p>
    <w:p w:rsidR="008424C0" w:rsidRPr="001E6B34" w:rsidRDefault="008424C0" w:rsidP="001E6B34">
      <w:pPr>
        <w:spacing w:line="288" w:lineRule="auto"/>
        <w:jc w:val="both"/>
        <w:rPr>
          <w:rFonts w:ascii="Georgia" w:hAnsi="Georgia" w:cs="Arial"/>
          <w:lang w:val="es-419"/>
        </w:rPr>
      </w:pPr>
    </w:p>
    <w:p w:rsidR="008424C0" w:rsidRPr="001E6B34" w:rsidRDefault="00FE255E" w:rsidP="001E6B34">
      <w:pPr>
        <w:spacing w:line="288" w:lineRule="auto"/>
        <w:jc w:val="both"/>
        <w:rPr>
          <w:rFonts w:ascii="Georgia" w:hAnsi="Georgia"/>
          <w:lang w:val="es-419"/>
        </w:rPr>
      </w:pPr>
      <w:r w:rsidRPr="001E6B34">
        <w:rPr>
          <w:rFonts w:ascii="Georgia" w:hAnsi="Georgia" w:cs="Arial"/>
          <w:lang w:val="es-419"/>
        </w:rPr>
        <w:t>El titular del juzgado accionado, aunque dijo que la decisión fue suscrita por otra funcionar</w:t>
      </w:r>
      <w:r w:rsidR="00D51FB3" w:rsidRPr="001E6B34">
        <w:rPr>
          <w:rFonts w:ascii="Georgia" w:hAnsi="Georgia" w:cs="Arial"/>
          <w:lang w:val="es-419"/>
        </w:rPr>
        <w:t>i</w:t>
      </w:r>
      <w:r w:rsidRPr="001E6B34">
        <w:rPr>
          <w:rFonts w:ascii="Georgia" w:hAnsi="Georgia" w:cs="Arial"/>
          <w:lang w:val="es-419"/>
        </w:rPr>
        <w:t xml:space="preserve">a, comentó las razones en que se fundamentó y por las que considera no hay vulneración </w:t>
      </w:r>
      <w:r w:rsidRPr="001E6B34">
        <w:rPr>
          <w:rFonts w:ascii="Georgia" w:hAnsi="Georgia"/>
          <w:lang w:val="es-419"/>
        </w:rPr>
        <w:t>(</w:t>
      </w:r>
      <w:r w:rsidRPr="001E6B34">
        <w:rPr>
          <w:rFonts w:ascii="Georgia" w:hAnsi="Georgia"/>
          <w:sz w:val="22"/>
          <w:lang w:val="es-419"/>
        </w:rPr>
        <w:t>Folio 55, i</w:t>
      </w:r>
      <w:r w:rsidRPr="001E6B34">
        <w:rPr>
          <w:rFonts w:ascii="Georgia" w:hAnsi="Georgia" w:cs="Arial"/>
          <w:sz w:val="22"/>
          <w:lang w:val="es-419"/>
        </w:rPr>
        <w:t>b</w:t>
      </w:r>
      <w:r w:rsidR="00D82AB9" w:rsidRPr="001E6B34">
        <w:rPr>
          <w:rFonts w:ascii="Georgia" w:hAnsi="Georgia" w:cs="Arial"/>
          <w:sz w:val="22"/>
          <w:lang w:val="es-419"/>
        </w:rPr>
        <w:t>.</w:t>
      </w:r>
      <w:r w:rsidRPr="001E6B34">
        <w:rPr>
          <w:rFonts w:ascii="Georgia" w:hAnsi="Georgia" w:cs="Arial"/>
          <w:lang w:val="es-419"/>
        </w:rPr>
        <w:t xml:space="preserve">). El Juez Único Promiscuo Municipal de Guática, R., señaló que acata lo decidido por su superior y continuará con el proceso, por eso fijó fecha para la audiencia inicial </w:t>
      </w:r>
      <w:r w:rsidRPr="001E6B34">
        <w:rPr>
          <w:rFonts w:ascii="Georgia" w:hAnsi="Georgia"/>
          <w:lang w:val="es-419"/>
        </w:rPr>
        <w:t>(</w:t>
      </w:r>
      <w:r w:rsidRPr="001E6B34">
        <w:rPr>
          <w:rFonts w:ascii="Georgia" w:hAnsi="Georgia"/>
          <w:sz w:val="22"/>
          <w:lang w:val="es-419"/>
        </w:rPr>
        <w:t>Folio 56, i</w:t>
      </w:r>
      <w:r w:rsidRPr="001E6B34">
        <w:rPr>
          <w:rFonts w:ascii="Georgia" w:hAnsi="Georgia" w:cs="Arial"/>
          <w:sz w:val="22"/>
          <w:lang w:val="es-419"/>
        </w:rPr>
        <w:t>b.</w:t>
      </w:r>
      <w:r w:rsidRPr="001E6B34">
        <w:rPr>
          <w:rFonts w:ascii="Georgia" w:hAnsi="Georgia" w:cs="Arial"/>
          <w:lang w:val="es-419"/>
        </w:rPr>
        <w:t>). Ambos reclamaron la improcedencia del amparo, dado que el proceso aún está en trámite</w:t>
      </w:r>
      <w:r w:rsidR="008424C0" w:rsidRPr="001E6B34">
        <w:rPr>
          <w:rFonts w:ascii="Georgia" w:hAnsi="Georgia" w:cs="Arial"/>
          <w:lang w:val="es-419"/>
        </w:rPr>
        <w:t xml:space="preserve">. </w:t>
      </w:r>
      <w:r w:rsidR="00D82AB9" w:rsidRPr="001E6B34">
        <w:rPr>
          <w:rFonts w:ascii="Georgia" w:hAnsi="Georgia" w:cs="Arial"/>
          <w:lang w:val="es-419"/>
        </w:rPr>
        <w:t xml:space="preserve">El CSJ reclamó su desvinculación porque el </w:t>
      </w:r>
      <w:r w:rsidR="00D82AB9" w:rsidRPr="001E6B34">
        <w:rPr>
          <w:rFonts w:ascii="Georgia" w:hAnsi="Georgia" w:cs="Arial"/>
          <w:lang w:val="es-419"/>
        </w:rPr>
        <w:lastRenderedPageBreak/>
        <w:t>accionante ninguna petición le ha hecho frente al proceso (</w:t>
      </w:r>
      <w:r w:rsidR="00D82AB9" w:rsidRPr="001E6B34">
        <w:rPr>
          <w:rFonts w:ascii="Georgia" w:hAnsi="Georgia" w:cs="Arial"/>
          <w:sz w:val="22"/>
          <w:lang w:val="es-419"/>
        </w:rPr>
        <w:t>Folio 66, ib.</w:t>
      </w:r>
      <w:r w:rsidR="00D82AB9" w:rsidRPr="001E6B34">
        <w:rPr>
          <w:rFonts w:ascii="Georgia" w:hAnsi="Georgia" w:cs="Arial"/>
          <w:lang w:val="es-419"/>
        </w:rPr>
        <w:t>).</w:t>
      </w:r>
    </w:p>
    <w:p w:rsidR="006F4450" w:rsidRPr="001E6B34" w:rsidRDefault="006F4450" w:rsidP="001E6B34">
      <w:pPr>
        <w:pStyle w:val="Textoindependiente"/>
        <w:spacing w:line="288" w:lineRule="auto"/>
        <w:rPr>
          <w:rFonts w:ascii="Georgia" w:hAnsi="Georgia"/>
          <w:szCs w:val="24"/>
          <w:lang w:val="es-419"/>
        </w:rPr>
      </w:pPr>
    </w:p>
    <w:p w:rsidR="00CF429F" w:rsidRPr="001E6B34" w:rsidRDefault="00CF429F" w:rsidP="001E6B34">
      <w:pPr>
        <w:pStyle w:val="Prrafodelista"/>
        <w:numPr>
          <w:ilvl w:val="0"/>
          <w:numId w:val="18"/>
        </w:numPr>
        <w:spacing w:line="288" w:lineRule="auto"/>
        <w:jc w:val="both"/>
        <w:rPr>
          <w:rFonts w:ascii="Georgia" w:hAnsi="Georgia"/>
          <w:lang w:val="es-419"/>
        </w:rPr>
      </w:pPr>
      <w:r w:rsidRPr="001E6B34">
        <w:rPr>
          <w:rFonts w:ascii="Georgia" w:hAnsi="Georgia"/>
          <w:lang w:val="es-419"/>
        </w:rPr>
        <w:t>LA FUNDAMENTACIÓN JURÍDICA PARA DECIDIR</w:t>
      </w:r>
    </w:p>
    <w:p w:rsidR="006232EF" w:rsidRPr="001E6B34" w:rsidRDefault="006232EF" w:rsidP="001E6B34">
      <w:pPr>
        <w:pStyle w:val="Textoindependiente"/>
        <w:spacing w:line="288" w:lineRule="auto"/>
        <w:ind w:left="400"/>
        <w:rPr>
          <w:rFonts w:ascii="Georgia" w:hAnsi="Georgia"/>
          <w:szCs w:val="24"/>
          <w:lang w:val="es-419"/>
        </w:rPr>
      </w:pPr>
    </w:p>
    <w:p w:rsidR="00D33789" w:rsidRPr="001E6B34" w:rsidRDefault="00CF429F" w:rsidP="001E6B34">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1E6B34">
        <w:rPr>
          <w:rFonts w:ascii="Georgia" w:hAnsi="Georgia"/>
          <w:smallCaps/>
          <w:szCs w:val="24"/>
          <w:lang w:val="es-419"/>
        </w:rPr>
        <w:t>La competencia</w:t>
      </w:r>
      <w:r w:rsidR="005764A9" w:rsidRPr="001E6B34">
        <w:rPr>
          <w:rFonts w:ascii="Georgia" w:hAnsi="Georgia"/>
          <w:smallCaps/>
          <w:szCs w:val="24"/>
          <w:lang w:val="es-419"/>
        </w:rPr>
        <w:t xml:space="preserve">. </w:t>
      </w:r>
      <w:r w:rsidR="005427D5" w:rsidRPr="001E6B34">
        <w:rPr>
          <w:rFonts w:ascii="Georgia" w:hAnsi="Georgia" w:cs="Arial"/>
          <w:szCs w:val="24"/>
          <w:lang w:val="es-419"/>
        </w:rPr>
        <w:t>Este Tribunal es competente para conocer la</w:t>
      </w:r>
      <w:r w:rsidR="00B3722F" w:rsidRPr="001E6B34">
        <w:rPr>
          <w:rFonts w:ascii="Georgia" w:hAnsi="Georgia" w:cs="Arial"/>
          <w:szCs w:val="24"/>
          <w:lang w:val="es-419"/>
        </w:rPr>
        <w:t>s</w:t>
      </w:r>
      <w:r w:rsidR="005427D5" w:rsidRPr="001E6B34">
        <w:rPr>
          <w:rFonts w:ascii="Georgia" w:hAnsi="Georgia" w:cs="Arial"/>
          <w:szCs w:val="24"/>
          <w:lang w:val="es-419"/>
        </w:rPr>
        <w:t xml:space="preserve"> </w:t>
      </w:r>
      <w:r w:rsidR="00A15670" w:rsidRPr="001E6B34">
        <w:rPr>
          <w:rFonts w:ascii="Georgia" w:hAnsi="Georgia" w:cs="Arial"/>
          <w:szCs w:val="24"/>
          <w:lang w:val="es-419"/>
        </w:rPr>
        <w:t>acci</w:t>
      </w:r>
      <w:r w:rsidR="00B3722F" w:rsidRPr="001E6B34">
        <w:rPr>
          <w:rFonts w:ascii="Georgia" w:hAnsi="Georgia" w:cs="Arial"/>
          <w:szCs w:val="24"/>
          <w:lang w:val="es-419"/>
        </w:rPr>
        <w:t>ones</w:t>
      </w:r>
      <w:r w:rsidR="00A15670" w:rsidRPr="001E6B34">
        <w:rPr>
          <w:rFonts w:ascii="Georgia" w:hAnsi="Georgia" w:cs="Arial"/>
          <w:szCs w:val="24"/>
          <w:lang w:val="es-419"/>
        </w:rPr>
        <w:t xml:space="preserve"> </w:t>
      </w:r>
      <w:r w:rsidR="005427D5" w:rsidRPr="001E6B34">
        <w:rPr>
          <w:rFonts w:ascii="Georgia" w:hAnsi="Georgia" w:cs="Arial"/>
          <w:szCs w:val="24"/>
          <w:lang w:val="es-419"/>
        </w:rPr>
        <w:t xml:space="preserve">en razón a que es el superior jerárquico del </w:t>
      </w:r>
      <w:r w:rsidR="006749E6" w:rsidRPr="001E6B34">
        <w:rPr>
          <w:rFonts w:ascii="Georgia" w:hAnsi="Georgia" w:cs="Arial"/>
          <w:szCs w:val="24"/>
          <w:lang w:val="es-419"/>
        </w:rPr>
        <w:t xml:space="preserve">Juzgado </w:t>
      </w:r>
      <w:r w:rsidR="00FE255E" w:rsidRPr="001E6B34">
        <w:rPr>
          <w:rFonts w:ascii="Georgia" w:hAnsi="Georgia" w:cs="Arial"/>
          <w:szCs w:val="24"/>
          <w:lang w:val="es-419"/>
        </w:rPr>
        <w:t>Único Promiscuo del Circuito de Belén de Umbría, R.</w:t>
      </w:r>
    </w:p>
    <w:p w:rsidR="00730CA7" w:rsidRPr="001E6B34" w:rsidRDefault="00C843CF" w:rsidP="001E6B34">
      <w:pPr>
        <w:pStyle w:val="Sangra2detindependiente"/>
        <w:tabs>
          <w:tab w:val="left" w:pos="709"/>
        </w:tabs>
        <w:spacing w:after="0" w:line="288" w:lineRule="auto"/>
        <w:ind w:left="709" w:hanging="709"/>
        <w:jc w:val="both"/>
        <w:rPr>
          <w:rFonts w:ascii="Georgia" w:hAnsi="Georgia" w:cs="Arial"/>
          <w:sz w:val="28"/>
          <w:szCs w:val="24"/>
          <w:lang w:val="es-419"/>
        </w:rPr>
      </w:pPr>
      <w:r w:rsidRPr="001E6B34">
        <w:rPr>
          <w:rFonts w:ascii="Georgia" w:hAnsi="Georgia" w:cs="Arial"/>
          <w:color w:val="000000"/>
          <w:sz w:val="24"/>
          <w:szCs w:val="24"/>
          <w:lang w:val="es-419"/>
        </w:rPr>
        <w:t xml:space="preserve"> </w:t>
      </w:r>
    </w:p>
    <w:p w:rsidR="00167B3A" w:rsidRPr="001E6B34" w:rsidRDefault="00167B3A" w:rsidP="001E6B34">
      <w:pPr>
        <w:pStyle w:val="Textoindependiente"/>
        <w:numPr>
          <w:ilvl w:val="1"/>
          <w:numId w:val="18"/>
        </w:numPr>
        <w:spacing w:line="288" w:lineRule="auto"/>
        <w:rPr>
          <w:rFonts w:ascii="Georgia" w:hAnsi="Georgia" w:cs="Arial"/>
          <w:lang w:val="es-419"/>
        </w:rPr>
      </w:pPr>
      <w:r w:rsidRPr="001E6B34">
        <w:rPr>
          <w:rFonts w:ascii="Georgia" w:hAnsi="Georgia"/>
          <w:smallCaps/>
          <w:szCs w:val="24"/>
          <w:lang w:val="es-419"/>
        </w:rPr>
        <w:t xml:space="preserve">El problema jurídico a resolver. </w:t>
      </w:r>
      <w:r w:rsidRPr="001E6B34">
        <w:rPr>
          <w:rFonts w:ascii="Georgia" w:hAnsi="Georgia" w:cs="Arial"/>
          <w:lang w:val="es-419"/>
        </w:rPr>
        <w:t>¿</w:t>
      </w:r>
      <w:r w:rsidR="006749E6" w:rsidRPr="001E6B34">
        <w:rPr>
          <w:rFonts w:ascii="Georgia" w:hAnsi="Georgia" w:cs="Arial"/>
          <w:lang w:val="es-419"/>
        </w:rPr>
        <w:t xml:space="preserve">El citado </w:t>
      </w:r>
      <w:r w:rsidRPr="001E6B34">
        <w:rPr>
          <w:rFonts w:ascii="Georgia" w:hAnsi="Georgia" w:cs="Arial"/>
          <w:lang w:val="es-419"/>
        </w:rPr>
        <w:t>estrado judicial, ha vulnerado o amenazado  los  derechos  fundamentales  del  accionante,  según  lo  expuesto  en  el escrito de tutela?</w:t>
      </w:r>
    </w:p>
    <w:p w:rsidR="00167B3A" w:rsidRPr="001E6B34" w:rsidRDefault="00167B3A" w:rsidP="001E6B34">
      <w:pPr>
        <w:pStyle w:val="Prrafodelista"/>
        <w:spacing w:line="288" w:lineRule="auto"/>
        <w:rPr>
          <w:rFonts w:ascii="Georgia" w:hAnsi="Georgia" w:cs="Arial"/>
          <w:lang w:val="es-419"/>
        </w:rPr>
      </w:pPr>
    </w:p>
    <w:p w:rsidR="00270A8D" w:rsidRPr="001E6B34" w:rsidRDefault="00270A8D" w:rsidP="001E6B34">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1E6B34">
        <w:rPr>
          <w:rFonts w:ascii="Georgia" w:hAnsi="Georgia"/>
          <w:smallCaps/>
          <w:szCs w:val="24"/>
          <w:lang w:val="es-419"/>
        </w:rPr>
        <w:t>Los presupuestos generales de procedencia</w:t>
      </w:r>
    </w:p>
    <w:p w:rsidR="00270A8D" w:rsidRPr="001E6B34" w:rsidRDefault="00270A8D" w:rsidP="001E6B34">
      <w:pPr>
        <w:pStyle w:val="Prrafodelista"/>
        <w:spacing w:line="288" w:lineRule="auto"/>
        <w:rPr>
          <w:rFonts w:ascii="Georgia" w:hAnsi="Georgia" w:cs="Arial"/>
          <w:lang w:val="es-419"/>
        </w:rPr>
      </w:pPr>
    </w:p>
    <w:p w:rsidR="00933977" w:rsidRPr="001E6B34" w:rsidRDefault="00270A8D" w:rsidP="001E6B34">
      <w:pPr>
        <w:pStyle w:val="Textoindependiente"/>
        <w:numPr>
          <w:ilvl w:val="2"/>
          <w:numId w:val="18"/>
        </w:numPr>
        <w:spacing w:line="288" w:lineRule="auto"/>
        <w:rPr>
          <w:rFonts w:ascii="Georgia" w:hAnsi="Georgia" w:cs="Arial"/>
          <w:szCs w:val="24"/>
          <w:lang w:val="es-419"/>
        </w:rPr>
      </w:pPr>
      <w:r w:rsidRPr="001E6B34">
        <w:rPr>
          <w:rFonts w:ascii="Georgia" w:hAnsi="Georgia"/>
          <w:smallCaps/>
          <w:sz w:val="22"/>
          <w:szCs w:val="24"/>
          <w:lang w:val="es-419"/>
        </w:rPr>
        <w:t>La legitimación en la causa</w:t>
      </w:r>
    </w:p>
    <w:p w:rsidR="00933977" w:rsidRPr="001E6B34" w:rsidRDefault="00933977" w:rsidP="001E6B34">
      <w:pPr>
        <w:pStyle w:val="Textoindependiente"/>
        <w:spacing w:line="288" w:lineRule="auto"/>
        <w:rPr>
          <w:rFonts w:ascii="Georgia" w:hAnsi="Georgia"/>
          <w:smallCaps/>
          <w:szCs w:val="24"/>
          <w:lang w:val="es-419"/>
        </w:rPr>
      </w:pPr>
    </w:p>
    <w:p w:rsidR="00EF0537" w:rsidRPr="001E6B34" w:rsidRDefault="00270A8D" w:rsidP="001E6B34">
      <w:pPr>
        <w:pStyle w:val="Textoindependiente"/>
        <w:spacing w:line="288" w:lineRule="auto"/>
        <w:rPr>
          <w:rFonts w:ascii="Georgia" w:hAnsi="Georgia" w:cs="Arial"/>
          <w:szCs w:val="24"/>
          <w:lang w:val="es-419"/>
        </w:rPr>
      </w:pPr>
      <w:r w:rsidRPr="001E6B34">
        <w:rPr>
          <w:rFonts w:ascii="Georgia" w:hAnsi="Georgia" w:cs="Arial"/>
          <w:szCs w:val="24"/>
          <w:lang w:val="es-419"/>
        </w:rPr>
        <w:t xml:space="preserve">Se cumple por activa dado que el actor </w:t>
      </w:r>
      <w:r w:rsidR="006749E6" w:rsidRPr="001E6B34">
        <w:rPr>
          <w:rFonts w:ascii="Georgia" w:hAnsi="Georgia" w:cs="Arial"/>
          <w:szCs w:val="24"/>
          <w:lang w:val="es-419"/>
        </w:rPr>
        <w:t xml:space="preserve">es demandado en el proceso </w:t>
      </w:r>
      <w:r w:rsidRPr="001E6B34">
        <w:rPr>
          <w:rFonts w:ascii="Georgia" w:hAnsi="Georgia" w:cs="Arial"/>
          <w:szCs w:val="24"/>
          <w:lang w:val="es-419"/>
        </w:rPr>
        <w:t xml:space="preserve">donde se reprocha la falta al debido proceso. Y por pasiva, </w:t>
      </w:r>
      <w:r w:rsidR="001D4485" w:rsidRPr="001E6B34">
        <w:rPr>
          <w:rFonts w:ascii="Georgia" w:hAnsi="Georgia" w:cs="Arial"/>
          <w:szCs w:val="24"/>
          <w:lang w:val="es-419"/>
        </w:rPr>
        <w:t>el</w:t>
      </w:r>
      <w:r w:rsidR="00222C76" w:rsidRPr="001E6B34">
        <w:rPr>
          <w:rFonts w:ascii="Georgia" w:hAnsi="Georgia" w:cs="Arial"/>
          <w:szCs w:val="24"/>
          <w:lang w:val="es-419"/>
        </w:rPr>
        <w:t xml:space="preserve"> despacho </w:t>
      </w:r>
      <w:r w:rsidR="006749E6" w:rsidRPr="001E6B34">
        <w:rPr>
          <w:rFonts w:ascii="Georgia" w:hAnsi="Georgia" w:cs="Arial"/>
          <w:szCs w:val="24"/>
          <w:lang w:val="es-419"/>
        </w:rPr>
        <w:t xml:space="preserve">judicial </w:t>
      </w:r>
      <w:r w:rsidRPr="001E6B34">
        <w:rPr>
          <w:rFonts w:ascii="Georgia" w:hAnsi="Georgia" w:cs="Arial"/>
          <w:szCs w:val="24"/>
          <w:lang w:val="es-419"/>
        </w:rPr>
        <w:t>accionado</w:t>
      </w:r>
      <w:r w:rsidR="00222C76" w:rsidRPr="001E6B34">
        <w:rPr>
          <w:rFonts w:ascii="Georgia" w:hAnsi="Georgia" w:cs="Arial"/>
          <w:szCs w:val="24"/>
          <w:lang w:val="es-419"/>
        </w:rPr>
        <w:t xml:space="preserve"> porque </w:t>
      </w:r>
      <w:r w:rsidR="006749E6" w:rsidRPr="001E6B34">
        <w:rPr>
          <w:rFonts w:ascii="Georgia" w:hAnsi="Georgia" w:cs="Arial"/>
          <w:szCs w:val="24"/>
          <w:lang w:val="es-419"/>
        </w:rPr>
        <w:t>desató el recurso de apelación, en ese asunto, decisión objeto de la queja</w:t>
      </w:r>
      <w:r w:rsidR="00EF0537" w:rsidRPr="001E6B34">
        <w:rPr>
          <w:rFonts w:ascii="Georgia" w:hAnsi="Georgia" w:cs="Arial"/>
          <w:szCs w:val="24"/>
          <w:lang w:val="es-419"/>
        </w:rPr>
        <w:t>.</w:t>
      </w:r>
    </w:p>
    <w:p w:rsidR="00D82AB9" w:rsidRPr="001E6B34" w:rsidRDefault="00D82AB9" w:rsidP="001E6B34">
      <w:pPr>
        <w:pStyle w:val="Textoindependiente"/>
        <w:spacing w:line="288" w:lineRule="auto"/>
        <w:rPr>
          <w:rFonts w:ascii="Georgia" w:hAnsi="Georgia" w:cs="Arial"/>
          <w:szCs w:val="24"/>
          <w:lang w:val="es-419"/>
        </w:rPr>
      </w:pPr>
    </w:p>
    <w:p w:rsidR="001E047B" w:rsidRPr="001E6B34" w:rsidRDefault="001E047B" w:rsidP="001E6B3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1E6B34">
        <w:rPr>
          <w:rFonts w:ascii="Georgia" w:hAnsi="Georgia" w:cs="Verdana"/>
          <w:smallCaps/>
          <w:spacing w:val="0"/>
          <w:szCs w:val="24"/>
          <w:lang w:val="es-419"/>
        </w:rPr>
        <w:t>Las sub-reglas de procedibilidad frente a decisiones judiciales</w:t>
      </w:r>
    </w:p>
    <w:p w:rsidR="001E047B" w:rsidRPr="001E6B34" w:rsidRDefault="001E047B" w:rsidP="001E6B34">
      <w:pPr>
        <w:pStyle w:val="Textoindependiente"/>
        <w:spacing w:line="288" w:lineRule="auto"/>
        <w:rPr>
          <w:rFonts w:ascii="Georgia" w:hAnsi="Georgia" w:cs="Arial"/>
          <w:sz w:val="22"/>
          <w:szCs w:val="24"/>
          <w:lang w:val="es-419"/>
        </w:rPr>
      </w:pPr>
    </w:p>
    <w:p w:rsidR="006921D7" w:rsidRPr="001E6B34" w:rsidRDefault="006921D7"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6B34">
        <w:rPr>
          <w:rFonts w:ascii="Georgia" w:hAnsi="Georgia" w:cs="Arial"/>
          <w:spacing w:val="-3"/>
          <w:lang w:val="es-419"/>
        </w:rPr>
        <w:t xml:space="preserve">Desde la sentencia C-543 </w:t>
      </w:r>
      <w:r w:rsidRPr="001E6B34">
        <w:rPr>
          <w:rFonts w:ascii="Georgia" w:hAnsi="Georgia" w:cs="Times New Roman"/>
          <w:spacing w:val="-3"/>
          <w:szCs w:val="20"/>
          <w:lang w:val="es-419"/>
        </w:rPr>
        <w:t xml:space="preserve"> </w:t>
      </w:r>
      <w:r w:rsidRPr="001E6B34">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1E6B34">
        <w:rPr>
          <w:rFonts w:ascii="Georgia" w:hAnsi="Georgia" w:cs="Arial"/>
          <w:spacing w:val="-3"/>
          <w:vertAlign w:val="superscript"/>
          <w:lang w:val="es-419"/>
        </w:rPr>
        <w:footnoteReference w:id="1"/>
      </w:r>
      <w:r w:rsidRPr="001E6B34">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1E6B34">
        <w:rPr>
          <w:rFonts w:ascii="Georgia" w:hAnsi="Georgia" w:cs="Times New Roman"/>
          <w:spacing w:val="-3"/>
          <w:vertAlign w:val="superscript"/>
          <w:lang w:val="es-419"/>
        </w:rPr>
        <w:footnoteReference w:id="2"/>
      </w:r>
      <w:r w:rsidRPr="001E6B34">
        <w:rPr>
          <w:rFonts w:ascii="Georgia" w:hAnsi="Georgia" w:cs="Arial"/>
          <w:spacing w:val="-3"/>
          <w:lang w:val="es-419"/>
        </w:rPr>
        <w:t>.</w:t>
      </w:r>
    </w:p>
    <w:p w:rsidR="00942E57" w:rsidRPr="001E6B34" w:rsidRDefault="00942E57"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6921D7" w:rsidRPr="001E6B34" w:rsidRDefault="006921D7"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6B34">
        <w:rPr>
          <w:rFonts w:ascii="Georgia" w:hAnsi="Georgia" w:cs="Arial"/>
          <w:spacing w:val="-3"/>
          <w:lang w:val="es-419"/>
        </w:rPr>
        <w:t xml:space="preserve">Ahora, en frente del examen que se reclama en sede constitucional, resulta de mayúscula trascendencia, precisar que </w:t>
      </w:r>
      <w:r w:rsidRPr="001E6B34">
        <w:rPr>
          <w:rFonts w:ascii="Georgia" w:hAnsi="Georgia" w:cs="Arial"/>
          <w:spacing w:val="-3"/>
          <w:u w:val="single"/>
          <w:lang w:val="es-419"/>
        </w:rPr>
        <w:t>se trata de un juicio de validez y no de corrección</w:t>
      </w:r>
      <w:r w:rsidRPr="001E6B34">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1E6B34">
        <w:rPr>
          <w:rFonts w:ascii="Georgia" w:hAnsi="Georgia" w:cs="Arial"/>
          <w:spacing w:val="-3"/>
          <w:vertAlign w:val="superscript"/>
          <w:lang w:val="es-419"/>
        </w:rPr>
        <w:footnoteReference w:id="3"/>
      </w:r>
      <w:r w:rsidRPr="001E6B34">
        <w:rPr>
          <w:rFonts w:ascii="Georgia" w:hAnsi="Georgia" w:cs="Arial"/>
          <w:spacing w:val="-3"/>
          <w:lang w:val="es-419"/>
        </w:rPr>
        <w:t>.</w:t>
      </w:r>
    </w:p>
    <w:p w:rsidR="006921D7" w:rsidRPr="001E6B34" w:rsidRDefault="006921D7"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6921D7" w:rsidRPr="001E6B34" w:rsidRDefault="006921D7"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6B34">
        <w:rPr>
          <w:rFonts w:ascii="Georgia" w:hAnsi="Georgia" w:cs="Arial"/>
          <w:spacing w:val="-3"/>
          <w:lang w:val="es-419"/>
        </w:rPr>
        <w:t>Los requisitos generales de procedibilidad, explicados en amplitud en la sentencia C-590 de 2005</w:t>
      </w:r>
      <w:r w:rsidRPr="001E6B34">
        <w:rPr>
          <w:rFonts w:ascii="Georgia" w:hAnsi="Georgia" w:cs="Arial"/>
          <w:spacing w:val="-3"/>
          <w:vertAlign w:val="superscript"/>
          <w:lang w:val="es-419"/>
        </w:rPr>
        <w:footnoteReference w:id="4"/>
      </w:r>
      <w:r w:rsidRPr="001E6B34">
        <w:rPr>
          <w:rFonts w:ascii="Georgia" w:hAnsi="Georgia" w:cs="Arial"/>
          <w:spacing w:val="-3"/>
          <w:lang w:val="es-419"/>
        </w:rPr>
        <w:t xml:space="preserve"> y reiterados en la consolidada línea jurisprudencial de la CC</w:t>
      </w:r>
      <w:r w:rsidRPr="001E6B34">
        <w:rPr>
          <w:rFonts w:ascii="Georgia" w:hAnsi="Georgia" w:cs="Arial"/>
          <w:spacing w:val="-3"/>
          <w:vertAlign w:val="superscript"/>
          <w:lang w:val="es-419"/>
        </w:rPr>
        <w:footnoteReference w:id="5"/>
      </w:r>
      <w:r w:rsidR="001D4485" w:rsidRPr="001E6B34">
        <w:rPr>
          <w:rFonts w:ascii="Georgia" w:hAnsi="Georgia" w:cs="Arial"/>
          <w:spacing w:val="-3"/>
          <w:lang w:val="es-419"/>
        </w:rPr>
        <w:t>,</w:t>
      </w:r>
      <w:r w:rsidRPr="001E6B34">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1E6B34">
        <w:rPr>
          <w:rFonts w:ascii="Georgia" w:hAnsi="Georgia" w:cs="Arial"/>
          <w:spacing w:val="-3"/>
          <w:lang w:val="es-419"/>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1E6B34">
        <w:rPr>
          <w:rFonts w:ascii="Georgia" w:hAnsi="Georgia" w:cs="Times New Roman"/>
          <w:spacing w:val="-3"/>
          <w:vertAlign w:val="superscript"/>
          <w:lang w:val="es-419"/>
        </w:rPr>
        <w:footnoteReference w:id="6"/>
      </w:r>
      <w:r w:rsidRPr="001E6B34">
        <w:rPr>
          <w:rFonts w:ascii="Georgia" w:hAnsi="Georgia" w:cs="Arial"/>
          <w:spacing w:val="-3"/>
          <w:lang w:val="es-419"/>
        </w:rPr>
        <w:t>.</w:t>
      </w:r>
    </w:p>
    <w:p w:rsidR="006921D7" w:rsidRPr="001E6B34" w:rsidRDefault="006921D7"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6921D7" w:rsidRPr="001E6B34" w:rsidRDefault="006921D7"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6B34">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1E6B34">
        <w:rPr>
          <w:rFonts w:ascii="Georgia" w:hAnsi="Georgia" w:cs="Arial"/>
          <w:spacing w:val="-3"/>
          <w:vertAlign w:val="superscript"/>
          <w:lang w:val="es-419"/>
        </w:rPr>
        <w:footnoteReference w:id="7"/>
      </w:r>
      <w:r w:rsidRPr="001E6B34">
        <w:rPr>
          <w:rFonts w:ascii="Georgia" w:hAnsi="Georgia" w:cs="Arial"/>
          <w:spacing w:val="-3"/>
          <w:lang w:val="es-419"/>
        </w:rPr>
        <w:t xml:space="preserve"> y Quinche Ramírez</w:t>
      </w:r>
      <w:r w:rsidRPr="001E6B34">
        <w:rPr>
          <w:rFonts w:ascii="Georgia" w:hAnsi="Georgia" w:cs="Arial"/>
          <w:spacing w:val="-3"/>
          <w:vertAlign w:val="superscript"/>
          <w:lang w:val="es-419"/>
        </w:rPr>
        <w:footnoteReference w:id="8"/>
      </w:r>
      <w:r w:rsidRPr="001E6B34">
        <w:rPr>
          <w:rFonts w:ascii="Georgia" w:hAnsi="Georgia" w:cs="Arial"/>
          <w:spacing w:val="-3"/>
          <w:lang w:val="es-419"/>
        </w:rPr>
        <w:t>.</w:t>
      </w:r>
    </w:p>
    <w:p w:rsidR="00D82AB9" w:rsidRPr="001E6B34" w:rsidRDefault="00D82AB9"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34286" w:rsidRPr="001E6B34" w:rsidRDefault="00134286" w:rsidP="001E6B34">
      <w:pPr>
        <w:pStyle w:val="Textoindependiente"/>
        <w:numPr>
          <w:ilvl w:val="1"/>
          <w:numId w:val="18"/>
        </w:numPr>
        <w:shd w:val="clear" w:color="auto" w:fill="FFFFFF" w:themeFill="background1"/>
        <w:spacing w:line="288" w:lineRule="auto"/>
        <w:rPr>
          <w:rFonts w:ascii="Georgia" w:hAnsi="Georgia" w:cs="Arial"/>
          <w:szCs w:val="24"/>
          <w:lang w:val="es-419"/>
        </w:rPr>
      </w:pPr>
      <w:r w:rsidRPr="001E6B34">
        <w:rPr>
          <w:rFonts w:ascii="Georgia" w:hAnsi="Georgia"/>
          <w:smallCaps/>
          <w:lang w:val="es-419"/>
        </w:rPr>
        <w:t>El defecto sustantivo o material</w:t>
      </w:r>
    </w:p>
    <w:p w:rsidR="00336434" w:rsidRPr="001E6B34" w:rsidRDefault="00336434" w:rsidP="001E6B34">
      <w:pPr>
        <w:spacing w:line="288" w:lineRule="auto"/>
        <w:ind w:right="22"/>
        <w:jc w:val="both"/>
        <w:rPr>
          <w:rFonts w:ascii="Georgia" w:hAnsi="Georgia" w:cs="Arial"/>
          <w:szCs w:val="22"/>
          <w:lang w:val="es-419"/>
        </w:rPr>
      </w:pPr>
    </w:p>
    <w:p w:rsidR="00134286" w:rsidRPr="001E6B34" w:rsidRDefault="00134286" w:rsidP="001E6B34">
      <w:pPr>
        <w:spacing w:line="288" w:lineRule="auto"/>
        <w:ind w:right="22"/>
        <w:jc w:val="both"/>
        <w:rPr>
          <w:rFonts w:ascii="Georgia" w:hAnsi="Georgia" w:cs="Arial"/>
          <w:szCs w:val="22"/>
          <w:lang w:val="es-419"/>
        </w:rPr>
      </w:pPr>
      <w:r w:rsidRPr="001E6B34">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1E6B34">
        <w:rPr>
          <w:rStyle w:val="Refdenotaalpie"/>
          <w:rFonts w:ascii="Georgia" w:hAnsi="Georgia"/>
          <w:szCs w:val="22"/>
          <w:lang w:val="es-419"/>
        </w:rPr>
        <w:footnoteReference w:id="9"/>
      </w:r>
      <w:r w:rsidRPr="001E6B34">
        <w:rPr>
          <w:rFonts w:ascii="Georgia" w:hAnsi="Georgia" w:cs="Arial"/>
          <w:szCs w:val="22"/>
          <w:lang w:val="es-419"/>
        </w:rPr>
        <w:t>, luego en otra decisión</w:t>
      </w:r>
      <w:r w:rsidRPr="001E6B34">
        <w:rPr>
          <w:rStyle w:val="Refdenotaalpie"/>
          <w:rFonts w:ascii="Georgia" w:hAnsi="Georgia"/>
          <w:szCs w:val="22"/>
          <w:lang w:val="es-419"/>
        </w:rPr>
        <w:footnoteReference w:id="10"/>
      </w:r>
      <w:r w:rsidRPr="001E6B34">
        <w:rPr>
          <w:rFonts w:ascii="Georgia" w:hAnsi="Georgia" w:cs="Arial"/>
          <w:szCs w:val="22"/>
          <w:lang w:val="es-419"/>
        </w:rPr>
        <w:t xml:space="preserve"> añadió que surge cuando quiera que </w:t>
      </w:r>
      <w:r w:rsidRPr="001E6B34">
        <w:rPr>
          <w:rFonts w:ascii="Georgia" w:hAnsi="Georgia" w:cs="Arial"/>
          <w:lang w:val="es-419"/>
        </w:rPr>
        <w:t>la autoridad judicial desatiende reglas legales o infralegales, que son aplicables para un determinado caso</w:t>
      </w:r>
      <w:r w:rsidRPr="001E6B34">
        <w:rPr>
          <w:rFonts w:ascii="Georgia" w:hAnsi="Georgia" w:cs="Arial"/>
          <w:szCs w:val="22"/>
          <w:lang w:val="es-419"/>
        </w:rPr>
        <w:t>.  En desarrollo de esta teoría, se ha ido ampliando esa noción, para prodigar protección en varios eventos</w:t>
      </w:r>
      <w:r w:rsidRPr="001E6B34">
        <w:rPr>
          <w:rStyle w:val="Refdenotaalpie"/>
          <w:rFonts w:ascii="Georgia" w:hAnsi="Georgia"/>
          <w:szCs w:val="22"/>
          <w:lang w:val="es-419"/>
        </w:rPr>
        <w:footnoteReference w:id="11"/>
      </w:r>
      <w:r w:rsidRPr="001E6B34">
        <w:rPr>
          <w:rFonts w:ascii="Georgia" w:hAnsi="Georgia" w:cs="Arial"/>
          <w:szCs w:val="22"/>
          <w:lang w:val="es-419"/>
        </w:rPr>
        <w:t>, al efecto tiene precisadas distintas variables:</w:t>
      </w:r>
    </w:p>
    <w:p w:rsidR="00134286" w:rsidRPr="001E6B34" w:rsidRDefault="00134286" w:rsidP="001E6B34">
      <w:pPr>
        <w:spacing w:line="288" w:lineRule="auto"/>
        <w:ind w:right="22"/>
        <w:jc w:val="both"/>
        <w:rPr>
          <w:rFonts w:ascii="Georgia" w:hAnsi="Georgia" w:cs="Arial"/>
          <w:sz w:val="20"/>
          <w:szCs w:val="22"/>
          <w:lang w:val="es-419"/>
        </w:rPr>
      </w:pPr>
    </w:p>
    <w:p w:rsidR="00134286" w:rsidRPr="001E6B34" w:rsidRDefault="00134286" w:rsidP="001E6B34">
      <w:pPr>
        <w:ind w:left="426" w:right="420"/>
        <w:jc w:val="both"/>
        <w:rPr>
          <w:rFonts w:ascii="Georgia" w:hAnsi="Georgia" w:cs="Arial"/>
          <w:iCs/>
          <w:vanish/>
          <w:sz w:val="22"/>
          <w:lang w:val="es-419"/>
          <w:specVanish/>
        </w:rPr>
      </w:pPr>
      <w:r w:rsidRPr="001E6B34">
        <w:rPr>
          <w:rFonts w:ascii="Georgia" w:hAnsi="Georgia" w:cs="Arial"/>
          <w:sz w:val="22"/>
          <w:lang w:val="es-419"/>
        </w:rPr>
        <w:t>… una providencia judicial adolece de un defecto sustantivo (i) cuando la norma aplicable al caso es claramente inadvertida o no tenida en cuenta por el fallador</w:t>
      </w:r>
      <w:r w:rsidRPr="001E6B34">
        <w:rPr>
          <w:rFonts w:ascii="Georgia" w:hAnsi="Georgia" w:cs="Arial"/>
          <w:sz w:val="22"/>
          <w:vertAlign w:val="superscript"/>
          <w:lang w:val="es-419"/>
        </w:rPr>
        <w:footnoteReference w:id="12"/>
      </w:r>
      <w:r w:rsidRPr="001E6B34">
        <w:rPr>
          <w:rFonts w:ascii="Georgia" w:hAnsi="Georgia" w:cs="Arial"/>
          <w:sz w:val="22"/>
          <w:lang w:val="es-419"/>
        </w:rPr>
        <w:t xml:space="preserve">, (ii) </w:t>
      </w:r>
      <w:r w:rsidRPr="001E6B34">
        <w:rPr>
          <w:rFonts w:ascii="Georgia" w:hAnsi="Georgia" w:cs="Arial"/>
          <w:sz w:val="22"/>
          <w:u w:val="single"/>
          <w:lang w:val="es-419"/>
        </w:rPr>
        <w:t>cuando a pesar del amplio margen interpretativo que la Constitución le reconoce a las autoridades judiciales, la aplicación final de la regla es inaceptable por tratarse de una interpretación contraevidente</w:t>
      </w:r>
      <w:r w:rsidRPr="001E6B34">
        <w:rPr>
          <w:rFonts w:ascii="Georgia" w:hAnsi="Georgia" w:cs="Arial"/>
          <w:sz w:val="22"/>
          <w:u w:val="single"/>
          <w:vertAlign w:val="superscript"/>
          <w:lang w:val="es-419"/>
        </w:rPr>
        <w:footnoteReference w:id="13"/>
      </w:r>
      <w:r w:rsidRPr="001E6B34">
        <w:rPr>
          <w:rFonts w:ascii="Georgia" w:hAnsi="Georgia" w:cs="Arial"/>
          <w:sz w:val="22"/>
          <w:u w:val="single"/>
          <w:lang w:val="es-419"/>
        </w:rPr>
        <w:t xml:space="preserve"> (interpretación </w:t>
      </w:r>
      <w:r w:rsidRPr="001E6B34">
        <w:rPr>
          <w:rFonts w:ascii="Georgia" w:hAnsi="Georgia" w:cs="Arial"/>
          <w:iCs/>
          <w:sz w:val="22"/>
          <w:u w:val="single"/>
          <w:lang w:val="es-419"/>
        </w:rPr>
        <w:t xml:space="preserve">contra </w:t>
      </w:r>
      <w:r w:rsidRPr="001E6B34">
        <w:rPr>
          <w:rFonts w:ascii="Georgia" w:hAnsi="Georgia" w:cs="Arial"/>
          <w:i/>
          <w:iCs/>
          <w:sz w:val="22"/>
          <w:u w:val="single"/>
          <w:lang w:val="es-419"/>
        </w:rPr>
        <w:t>legem</w:t>
      </w:r>
      <w:r w:rsidRPr="001E6B34">
        <w:rPr>
          <w:rFonts w:ascii="Georgia" w:hAnsi="Georgia" w:cs="Arial"/>
          <w:sz w:val="22"/>
          <w:u w:val="single"/>
          <w:lang w:val="es-419"/>
        </w:rPr>
        <w:t>) o claramente perjudicial para los intereses legítimos de una de las partes</w:t>
      </w:r>
      <w:r w:rsidRPr="001E6B34">
        <w:rPr>
          <w:rFonts w:ascii="Georgia" w:hAnsi="Georgia" w:cs="Arial"/>
          <w:sz w:val="22"/>
          <w:u w:val="single"/>
          <w:vertAlign w:val="superscript"/>
          <w:lang w:val="es-419"/>
        </w:rPr>
        <w:footnoteReference w:id="14"/>
      </w:r>
      <w:r w:rsidRPr="001E6B34">
        <w:rPr>
          <w:rFonts w:ascii="Georgia" w:hAnsi="Georgia" w:cs="Arial"/>
          <w:sz w:val="22"/>
          <w:u w:val="single"/>
          <w:lang w:val="es-419"/>
        </w:rPr>
        <w:t xml:space="preserve"> (irrazonable o desproporcionada)</w:t>
      </w:r>
      <w:r w:rsidRPr="001E6B34">
        <w:rPr>
          <w:rFonts w:ascii="Georgia" w:hAnsi="Georgia" w:cs="Arial"/>
          <w:sz w:val="22"/>
          <w:lang w:val="es-419"/>
        </w:rPr>
        <w:t xml:space="preserve">, y finalmente (iii) cuando el fallador desconoce las sentencias con efectos </w:t>
      </w:r>
      <w:r w:rsidRPr="001E6B34">
        <w:rPr>
          <w:rFonts w:ascii="Georgia" w:hAnsi="Georgia" w:cs="Arial"/>
          <w:iCs/>
          <w:sz w:val="22"/>
          <w:lang w:val="es-419"/>
        </w:rPr>
        <w:t xml:space="preserve">erga omnes </w:t>
      </w:r>
      <w:r w:rsidRPr="001E6B34">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134286" w:rsidRPr="001E6B34" w:rsidRDefault="00134286" w:rsidP="001E6B34">
      <w:pPr>
        <w:ind w:left="426" w:right="420"/>
        <w:jc w:val="both"/>
        <w:rPr>
          <w:rFonts w:ascii="Georgia" w:hAnsi="Georgia" w:cs="Arial"/>
          <w:lang w:val="es-419"/>
        </w:rPr>
      </w:pPr>
      <w:r w:rsidRPr="001E6B34">
        <w:rPr>
          <w:rStyle w:val="Refdenotaalpie"/>
          <w:rFonts w:ascii="Georgia" w:hAnsi="Georgia"/>
          <w:iCs/>
          <w:sz w:val="22"/>
          <w:lang w:val="es-419"/>
        </w:rPr>
        <w:footnoteReference w:id="15"/>
      </w:r>
      <w:r w:rsidRPr="001E6B34">
        <w:rPr>
          <w:rFonts w:ascii="Georgia" w:hAnsi="Georgia" w:cs="Arial"/>
          <w:iCs/>
          <w:sz w:val="22"/>
          <w:lang w:val="es-419"/>
        </w:rPr>
        <w:t>.</w:t>
      </w:r>
      <w:r w:rsidR="00C65296" w:rsidRPr="001E6B34">
        <w:rPr>
          <w:rFonts w:ascii="Georgia" w:hAnsi="Georgia" w:cs="Arial"/>
          <w:iCs/>
          <w:sz w:val="22"/>
          <w:lang w:val="es-419"/>
        </w:rPr>
        <w:t xml:space="preserve"> </w:t>
      </w:r>
      <w:r w:rsidR="00C65296" w:rsidRPr="001E6B34">
        <w:rPr>
          <w:rFonts w:ascii="Georgia" w:hAnsi="Georgia" w:cs="Arial"/>
          <w:iCs/>
          <w:lang w:val="es-419"/>
        </w:rPr>
        <w:t>Resaltado extratextual.</w:t>
      </w:r>
    </w:p>
    <w:p w:rsidR="00134286" w:rsidRPr="001E6B34" w:rsidRDefault="00134286" w:rsidP="001E6B34">
      <w:pPr>
        <w:pStyle w:val="Textoindependiente"/>
        <w:spacing w:line="288" w:lineRule="auto"/>
        <w:rPr>
          <w:rFonts w:ascii="Georgia" w:hAnsi="Georgia" w:cs="Arial"/>
          <w:lang w:val="es-419"/>
        </w:rPr>
      </w:pPr>
    </w:p>
    <w:p w:rsidR="00134286" w:rsidRPr="001E6B34" w:rsidRDefault="00134286" w:rsidP="001E6B34">
      <w:pPr>
        <w:pStyle w:val="Textoindependiente"/>
        <w:spacing w:line="288" w:lineRule="auto"/>
        <w:rPr>
          <w:rFonts w:ascii="Georgia" w:hAnsi="Georgia" w:cs="Arial"/>
          <w:szCs w:val="24"/>
          <w:lang w:val="es-419"/>
        </w:rPr>
      </w:pPr>
      <w:r w:rsidRPr="001E6B34">
        <w:rPr>
          <w:rFonts w:ascii="Georgia" w:hAnsi="Georgia" w:cs="Arial"/>
          <w:szCs w:val="24"/>
          <w:lang w:val="es-419"/>
        </w:rPr>
        <w:t>Así mismo el alto Tribunal Constitucional</w:t>
      </w:r>
      <w:r w:rsidRPr="001E6B34">
        <w:rPr>
          <w:rStyle w:val="Refdenotaalpie"/>
          <w:rFonts w:ascii="Georgia" w:hAnsi="Georgia"/>
          <w:szCs w:val="24"/>
          <w:lang w:val="es-419"/>
        </w:rPr>
        <w:footnoteReference w:id="16"/>
      </w:r>
      <w:r w:rsidRPr="001E6B34">
        <w:rPr>
          <w:rFonts w:ascii="Georgia" w:hAnsi="Georgia" w:cs="Arial"/>
          <w:szCs w:val="24"/>
          <w:lang w:val="es-419"/>
        </w:rPr>
        <w:t xml:space="preserve">, señaló: </w:t>
      </w:r>
    </w:p>
    <w:p w:rsidR="00134286" w:rsidRPr="001E6B34" w:rsidRDefault="00134286" w:rsidP="001E6B34">
      <w:pPr>
        <w:spacing w:line="288" w:lineRule="auto"/>
        <w:ind w:left="567" w:right="567"/>
        <w:jc w:val="both"/>
        <w:rPr>
          <w:rFonts w:ascii="Georgia" w:hAnsi="Georgia" w:cs="Arial"/>
          <w:lang w:val="es-419"/>
        </w:rPr>
      </w:pPr>
    </w:p>
    <w:p w:rsidR="00134286" w:rsidRPr="001E6B34" w:rsidRDefault="00134286" w:rsidP="001E6B34">
      <w:pPr>
        <w:ind w:left="426" w:right="420"/>
        <w:jc w:val="both"/>
        <w:rPr>
          <w:rFonts w:ascii="Georgia" w:hAnsi="Georgia" w:cs="Arial"/>
          <w:sz w:val="22"/>
          <w:lang w:val="es-419"/>
        </w:rPr>
      </w:pPr>
      <w:r w:rsidRPr="001E6B34">
        <w:rPr>
          <w:rFonts w:ascii="Georgia" w:hAnsi="Georgia" w:cs="Arial"/>
          <w:sz w:val="22"/>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1E6B34">
        <w:rPr>
          <w:rFonts w:ascii="Georgia" w:hAnsi="Georgia" w:cs="Arial"/>
          <w:sz w:val="22"/>
          <w:u w:val="single"/>
          <w:lang w:val="es-419"/>
        </w:rPr>
        <w:t xml:space="preserve">o </w:t>
      </w:r>
      <w:r w:rsidRPr="001E6B34">
        <w:rPr>
          <w:rFonts w:ascii="Georgia" w:hAnsi="Georgia" w:cs="Arial"/>
          <w:i/>
          <w:sz w:val="22"/>
          <w:u w:val="single"/>
          <w:lang w:val="es-419"/>
        </w:rPr>
        <w:t>interprete en forma contraevidente, irrazonable o desproporcionada la norma aplicable</w:t>
      </w:r>
      <w:r w:rsidRPr="001E6B34">
        <w:rPr>
          <w:rFonts w:ascii="Georgia" w:hAnsi="Georgia" w:cs="Arial"/>
          <w:i/>
          <w:sz w:val="22"/>
          <w:lang w:val="es-419"/>
        </w:rPr>
        <w:t>.</w:t>
      </w:r>
      <w:r w:rsidRPr="001E6B34">
        <w:rPr>
          <w:rFonts w:ascii="Georgia" w:hAnsi="Georgia" w:cs="Arial"/>
          <w:sz w:val="22"/>
          <w:lang w:val="es-419"/>
        </w:rPr>
        <w:t xml:space="preserve">  </w:t>
      </w:r>
    </w:p>
    <w:p w:rsidR="00134286" w:rsidRPr="001E6B34" w:rsidRDefault="00134286" w:rsidP="001E6B34">
      <w:pPr>
        <w:pStyle w:val="Textoindependiente"/>
        <w:spacing w:line="240" w:lineRule="auto"/>
        <w:ind w:left="426" w:right="420"/>
        <w:rPr>
          <w:rFonts w:ascii="Georgia" w:hAnsi="Georgia" w:cs="Arial"/>
          <w:sz w:val="22"/>
          <w:szCs w:val="24"/>
          <w:lang w:val="es-419"/>
        </w:rPr>
      </w:pPr>
    </w:p>
    <w:p w:rsidR="00134286" w:rsidRPr="001E6B34" w:rsidRDefault="00134286" w:rsidP="001E6B34">
      <w:pPr>
        <w:pStyle w:val="Textoindependiente"/>
        <w:spacing w:line="240" w:lineRule="auto"/>
        <w:ind w:left="426" w:right="420"/>
        <w:rPr>
          <w:rFonts w:ascii="Georgia" w:hAnsi="Georgia" w:cs="Arial"/>
          <w:spacing w:val="0"/>
          <w:szCs w:val="24"/>
          <w:lang w:val="es-419"/>
        </w:rPr>
      </w:pPr>
      <w:r w:rsidRPr="001E6B34">
        <w:rPr>
          <w:rFonts w:ascii="Georgia" w:hAnsi="Georgia" w:cs="Arial"/>
          <w:spacing w:val="0"/>
          <w:sz w:val="22"/>
          <w:szCs w:val="24"/>
          <w:lang w:val="es-419"/>
        </w:rPr>
        <w:lastRenderedPageBreak/>
        <w:t xml:space="preserve">Así las cosas, constituye un defecto material o sustantivo la decisión judicial que se funda en una interpretación indebida de una disposición legal.  </w:t>
      </w:r>
      <w:r w:rsidRPr="001E6B34">
        <w:rPr>
          <w:rFonts w:ascii="Georgia" w:hAnsi="Georgia" w:cs="Arial"/>
          <w:spacing w:val="0"/>
          <w:szCs w:val="24"/>
          <w:lang w:val="es-419"/>
        </w:rPr>
        <w:t>(Sublínea fuera de texto).</w:t>
      </w:r>
    </w:p>
    <w:p w:rsidR="00134286" w:rsidRPr="001E6B34" w:rsidRDefault="00134286" w:rsidP="001E6B34">
      <w:pPr>
        <w:spacing w:line="288" w:lineRule="auto"/>
        <w:jc w:val="both"/>
        <w:rPr>
          <w:rFonts w:ascii="Georgia" w:hAnsi="Georgia" w:cs="Arial"/>
          <w:sz w:val="32"/>
          <w:lang w:val="es-419"/>
        </w:rPr>
      </w:pPr>
    </w:p>
    <w:p w:rsidR="00134286" w:rsidRPr="001E6B34" w:rsidRDefault="00134286" w:rsidP="001E6B34">
      <w:pPr>
        <w:spacing w:line="288" w:lineRule="auto"/>
        <w:jc w:val="both"/>
        <w:rPr>
          <w:rFonts w:ascii="Georgia" w:hAnsi="Georgia" w:cs="Arial"/>
          <w:lang w:val="es-419"/>
        </w:rPr>
      </w:pPr>
      <w:r w:rsidRPr="001E6B34">
        <w:rPr>
          <w:rFonts w:ascii="Georgia" w:hAnsi="Georgia" w:cs="Arial"/>
          <w:lang w:val="es-419"/>
        </w:rPr>
        <w:t>El anterior criterio ha sido reiterado en varias y recientes decisiones</w:t>
      </w:r>
      <w:r w:rsidRPr="001E6B34">
        <w:rPr>
          <w:rStyle w:val="Refdenotaalpie"/>
          <w:rFonts w:ascii="Georgia" w:hAnsi="Georgia"/>
          <w:lang w:val="es-419"/>
        </w:rPr>
        <w:footnoteReference w:id="17"/>
      </w:r>
      <w:r w:rsidRPr="001E6B34">
        <w:rPr>
          <w:rFonts w:ascii="Georgia" w:hAnsi="Georgia" w:cs="Arial"/>
          <w:lang w:val="es-419"/>
        </w:rPr>
        <w:t>, según el análisis de la línea decisional sobre el tema.</w:t>
      </w:r>
    </w:p>
    <w:p w:rsidR="00134286" w:rsidRPr="001E6B34" w:rsidRDefault="00134286" w:rsidP="001E6B3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66AB1" w:rsidRPr="001E6B34" w:rsidRDefault="00166AB1" w:rsidP="001E6B34">
      <w:pPr>
        <w:pStyle w:val="Textoindependiente"/>
        <w:numPr>
          <w:ilvl w:val="0"/>
          <w:numId w:val="18"/>
        </w:numPr>
        <w:tabs>
          <w:tab w:val="clear" w:pos="0"/>
          <w:tab w:val="clear" w:pos="1416"/>
        </w:tabs>
        <w:spacing w:line="288" w:lineRule="auto"/>
        <w:rPr>
          <w:rFonts w:ascii="Georgia" w:hAnsi="Georgia"/>
          <w:szCs w:val="24"/>
          <w:lang w:val="es-419"/>
        </w:rPr>
      </w:pPr>
      <w:r w:rsidRPr="001E6B34">
        <w:rPr>
          <w:rFonts w:ascii="Georgia" w:hAnsi="Georgia"/>
          <w:szCs w:val="24"/>
          <w:lang w:val="es-419"/>
        </w:rPr>
        <w:t>EL CASO CONCRETO ANALIZADO</w:t>
      </w:r>
    </w:p>
    <w:p w:rsidR="00B372ED" w:rsidRPr="001E6B34" w:rsidRDefault="00B372ED" w:rsidP="001E6B34">
      <w:pPr>
        <w:spacing w:line="288" w:lineRule="auto"/>
        <w:jc w:val="both"/>
        <w:rPr>
          <w:rFonts w:ascii="Georgia" w:hAnsi="Georgia" w:cs="Arial"/>
          <w:lang w:val="es-419"/>
        </w:rPr>
      </w:pPr>
    </w:p>
    <w:p w:rsidR="00134286" w:rsidRPr="001E6B34" w:rsidRDefault="00134286"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Cs w:val="22"/>
          <w:lang w:val="es-419"/>
        </w:rPr>
      </w:pPr>
      <w:r w:rsidRPr="001E6B34">
        <w:rPr>
          <w:rFonts w:ascii="Georgia" w:hAnsi="Georgia"/>
          <w:szCs w:val="22"/>
          <w:lang w:val="es-419"/>
        </w:rPr>
        <w:t xml:space="preserve">En la metodología enseñada por la doctrina constitucional, el primer examen consiste en  verificar   los   presupuestos   generales   de   procedibilidad,   y   para   el   caso   se   hallan debidamente cumplidos. </w:t>
      </w:r>
    </w:p>
    <w:p w:rsidR="00134286" w:rsidRPr="001E6B34" w:rsidRDefault="00134286"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 w:val="22"/>
          <w:szCs w:val="22"/>
          <w:lang w:val="es-419"/>
        </w:rPr>
      </w:pPr>
    </w:p>
    <w:p w:rsidR="00BB6A25" w:rsidRPr="001E6B34" w:rsidRDefault="00C02F85"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1E6B34">
        <w:rPr>
          <w:rFonts w:ascii="Georgia" w:hAnsi="Georgia"/>
          <w:lang w:val="es-419"/>
        </w:rPr>
        <w:t xml:space="preserve">En lo atinente al pedimento tutelar, esta Sala advierte cumplidos todos los presupuestos generales de procedibilidad. En efecto, se tiene que en tratándose del derecho al debido proceso, es evidente que tiene relevancia constitucional; la subsidiariedad, porque </w:t>
      </w:r>
      <w:r w:rsidR="00BB6A25" w:rsidRPr="001E6B34">
        <w:rPr>
          <w:rFonts w:ascii="Georgia" w:hAnsi="Georgia"/>
          <w:lang w:val="es-419"/>
        </w:rPr>
        <w:t>la decisión cuestionada resolvió una apelación y, por ende, es irrecurrible</w:t>
      </w:r>
      <w:r w:rsidR="001D4485" w:rsidRPr="001E6B34">
        <w:rPr>
          <w:rFonts w:ascii="Georgia" w:hAnsi="Georgia"/>
          <w:lang w:val="es-419"/>
        </w:rPr>
        <w:t xml:space="preserve"> (</w:t>
      </w:r>
      <w:r w:rsidR="001D4485" w:rsidRPr="001E6B34">
        <w:rPr>
          <w:rFonts w:ascii="Georgia" w:hAnsi="Georgia"/>
          <w:sz w:val="22"/>
          <w:lang w:val="es-419"/>
        </w:rPr>
        <w:t>Artículos 318 y 321, CGP</w:t>
      </w:r>
      <w:r w:rsidR="001D4485" w:rsidRPr="001E6B34">
        <w:rPr>
          <w:rFonts w:ascii="Georgia" w:hAnsi="Georgia"/>
          <w:lang w:val="es-419"/>
        </w:rPr>
        <w:t>)</w:t>
      </w:r>
      <w:r w:rsidR="00BB6A25" w:rsidRPr="001E6B34">
        <w:rPr>
          <w:rFonts w:ascii="Georgia" w:hAnsi="Georgia"/>
          <w:lang w:val="es-419"/>
        </w:rPr>
        <w:t>; no se trata de una tutela contra tutela; hay inmediatez</w:t>
      </w:r>
      <w:r w:rsidR="00BB6A25" w:rsidRPr="001E6B34">
        <w:rPr>
          <w:rStyle w:val="Refdenotaalpie"/>
          <w:rFonts w:ascii="Georgia" w:hAnsi="Georgia" w:cs="Arial"/>
          <w:lang w:val="es-419"/>
        </w:rPr>
        <w:footnoteReference w:id="18"/>
      </w:r>
      <w:r w:rsidR="00BB6A25" w:rsidRPr="001E6B34">
        <w:rPr>
          <w:rFonts w:ascii="Georgia" w:hAnsi="Georgia"/>
          <w:lang w:val="es-419"/>
        </w:rPr>
        <w:t xml:space="preserve"> porque la providencia data del día 27-02-2019 </w:t>
      </w:r>
      <w:r w:rsidR="00BB6A25" w:rsidRPr="001E6B34">
        <w:rPr>
          <w:rFonts w:ascii="Georgia" w:hAnsi="Georgia"/>
          <w:szCs w:val="22"/>
          <w:lang w:val="es-419"/>
        </w:rPr>
        <w:t>(</w:t>
      </w:r>
      <w:r w:rsidR="00BB6A25" w:rsidRPr="001E6B34">
        <w:rPr>
          <w:rFonts w:ascii="Georgia" w:hAnsi="Georgia"/>
          <w:sz w:val="22"/>
          <w:szCs w:val="22"/>
          <w:lang w:val="es-419"/>
        </w:rPr>
        <w:t>Folios 35-37, este cuaderno</w:t>
      </w:r>
      <w:r w:rsidR="00BB6A25" w:rsidRPr="001E6B34">
        <w:rPr>
          <w:rFonts w:ascii="Georgia" w:hAnsi="Georgia"/>
          <w:szCs w:val="22"/>
          <w:lang w:val="es-419"/>
        </w:rPr>
        <w:t>) y la acción de tutela se interpuso el 09-04-2019 (</w:t>
      </w:r>
      <w:r w:rsidR="00BB6A25" w:rsidRPr="001E6B34">
        <w:rPr>
          <w:rFonts w:ascii="Georgia" w:hAnsi="Georgia"/>
          <w:sz w:val="22"/>
          <w:szCs w:val="22"/>
          <w:lang w:val="es-419"/>
        </w:rPr>
        <w:t>Folio 53, este cuaderno</w:t>
      </w:r>
      <w:r w:rsidR="00BB6A25" w:rsidRPr="001E6B34">
        <w:rPr>
          <w:rFonts w:ascii="Georgia" w:hAnsi="Georgia"/>
          <w:szCs w:val="22"/>
          <w:lang w:val="es-419"/>
        </w:rPr>
        <w:t>)</w:t>
      </w:r>
      <w:r w:rsidR="00BB6A25" w:rsidRPr="001E6B34">
        <w:rPr>
          <w:rFonts w:ascii="Georgia" w:hAnsi="Georgia"/>
          <w:lang w:val="es-419"/>
        </w:rPr>
        <w:t xml:space="preserve">; </w:t>
      </w:r>
      <w:r w:rsidR="00BB6A25" w:rsidRPr="001E6B34">
        <w:rPr>
          <w:rFonts w:ascii="Georgia" w:hAnsi="Georgia"/>
          <w:szCs w:val="22"/>
          <w:lang w:val="es-419"/>
        </w:rPr>
        <w:t>la irregularidad realzada por la parte, resulta ser trascendente para el desarrollo de la litis</w:t>
      </w:r>
      <w:r w:rsidR="00BB6A25" w:rsidRPr="001E6B34">
        <w:rPr>
          <w:rFonts w:ascii="Georgia" w:hAnsi="Georgia" w:cs="Arial"/>
          <w:spacing w:val="-3"/>
          <w:lang w:val="es-419"/>
        </w:rPr>
        <w:t>; y se identificaron los hechos generadores de la vulneración.</w:t>
      </w:r>
    </w:p>
    <w:p w:rsidR="00BB6A25" w:rsidRPr="001E6B34" w:rsidRDefault="00BB6A25" w:rsidP="001E6B34">
      <w:pPr>
        <w:spacing w:line="288" w:lineRule="auto"/>
        <w:jc w:val="both"/>
        <w:rPr>
          <w:rFonts w:ascii="Georgia" w:hAnsi="Georgia" w:cs="Arial"/>
          <w:lang w:val="es-419"/>
        </w:rPr>
      </w:pPr>
    </w:p>
    <w:p w:rsidR="00134286" w:rsidRPr="001E6B34" w:rsidRDefault="00A82165" w:rsidP="001E6B34">
      <w:pPr>
        <w:widowControl/>
        <w:spacing w:line="288" w:lineRule="auto"/>
        <w:jc w:val="both"/>
        <w:rPr>
          <w:rFonts w:ascii="Georgia" w:hAnsi="Georgia" w:cs="Arial"/>
          <w:lang w:val="es-419"/>
        </w:rPr>
      </w:pPr>
      <w:r w:rsidRPr="001E6B34">
        <w:rPr>
          <w:rFonts w:ascii="Georgia" w:hAnsi="Georgia" w:cs="Arial"/>
          <w:lang w:val="es-419"/>
        </w:rPr>
        <w:t xml:space="preserve">Incumbe </w:t>
      </w:r>
      <w:r w:rsidR="00134286" w:rsidRPr="001E6B34">
        <w:rPr>
          <w:rFonts w:ascii="Georgia" w:hAnsi="Georgia" w:cs="Arial"/>
          <w:lang w:val="es-419"/>
        </w:rPr>
        <w:t>proseguir con la revisión de las causales especiales y</w:t>
      </w:r>
      <w:r w:rsidR="001E7D23" w:rsidRPr="001E6B34">
        <w:rPr>
          <w:rFonts w:ascii="Georgia" w:hAnsi="Georgia" w:cs="Arial"/>
          <w:lang w:val="es-419"/>
        </w:rPr>
        <w:t>,</w:t>
      </w:r>
      <w:r w:rsidR="00134286" w:rsidRPr="001E6B34">
        <w:rPr>
          <w:rFonts w:ascii="Georgia" w:hAnsi="Georgia" w:cs="Arial"/>
          <w:lang w:val="es-419"/>
        </w:rPr>
        <w:t xml:space="preserve"> en el caso concreto</w:t>
      </w:r>
      <w:r w:rsidR="001E7D23" w:rsidRPr="001E6B34">
        <w:rPr>
          <w:rFonts w:ascii="Georgia" w:hAnsi="Georgia" w:cs="Arial"/>
          <w:lang w:val="es-419"/>
        </w:rPr>
        <w:t>,</w:t>
      </w:r>
      <w:r w:rsidR="00134286" w:rsidRPr="001E6B34">
        <w:rPr>
          <w:rFonts w:ascii="Georgia" w:hAnsi="Georgia" w:cs="Arial"/>
          <w:lang w:val="es-419"/>
        </w:rPr>
        <w:t xml:space="preserve"> se entiende que lo expuesto por el actor alude </w:t>
      </w:r>
      <w:r w:rsidR="00CF2BDF" w:rsidRPr="001E6B34">
        <w:rPr>
          <w:rFonts w:ascii="Georgia" w:hAnsi="Georgia" w:cs="Arial"/>
          <w:lang w:val="es-419"/>
        </w:rPr>
        <w:t>al</w:t>
      </w:r>
      <w:r w:rsidR="00134286" w:rsidRPr="001E6B34">
        <w:rPr>
          <w:rFonts w:ascii="Georgia" w:hAnsi="Georgia" w:cs="Arial"/>
          <w:lang w:val="es-419"/>
        </w:rPr>
        <w:t xml:space="preserve"> defecto sustantivo; </w:t>
      </w:r>
      <w:r w:rsidR="001E7D23" w:rsidRPr="001E6B34">
        <w:rPr>
          <w:rFonts w:ascii="Georgia" w:hAnsi="Georgia" w:cs="Arial"/>
          <w:lang w:val="es-419"/>
        </w:rPr>
        <w:t xml:space="preserve">porque </w:t>
      </w:r>
      <w:r w:rsidR="00134286" w:rsidRPr="001E6B34">
        <w:rPr>
          <w:rFonts w:ascii="Georgia" w:hAnsi="Georgia" w:cs="Arial"/>
          <w:lang w:val="es-419"/>
        </w:rPr>
        <w:t>aunque pretermitió señalarlo</w:t>
      </w:r>
      <w:r w:rsidR="00CF2BDF" w:rsidRPr="001E6B34">
        <w:rPr>
          <w:rFonts w:ascii="Georgia" w:hAnsi="Georgia" w:cs="Arial"/>
          <w:lang w:val="es-419"/>
        </w:rPr>
        <w:t>s</w:t>
      </w:r>
      <w:r w:rsidR="001E7D23" w:rsidRPr="001E6B34">
        <w:rPr>
          <w:rFonts w:ascii="Georgia" w:hAnsi="Georgia" w:cs="Arial"/>
          <w:lang w:val="es-419"/>
        </w:rPr>
        <w:t xml:space="preserve"> (</w:t>
      </w:r>
      <w:r w:rsidR="001E7D23" w:rsidRPr="001E6B34">
        <w:rPr>
          <w:rFonts w:ascii="Georgia" w:hAnsi="Georgia" w:cs="Arial"/>
          <w:sz w:val="22"/>
          <w:lang w:val="es-419"/>
        </w:rPr>
        <w:t>Enunció varios y destacó algunos, folios 5-6, ib.</w:t>
      </w:r>
      <w:r w:rsidR="001E7D23" w:rsidRPr="001E6B34">
        <w:rPr>
          <w:rFonts w:ascii="Georgia" w:hAnsi="Georgia" w:cs="Arial"/>
          <w:lang w:val="es-419"/>
        </w:rPr>
        <w:t>)</w:t>
      </w:r>
      <w:r w:rsidR="003B04C2" w:rsidRPr="001E6B34">
        <w:rPr>
          <w:rFonts w:ascii="Georgia" w:hAnsi="Georgia" w:cs="Arial"/>
          <w:lang w:val="es-419"/>
        </w:rPr>
        <w:t>, lo cierto es que argumentó</w:t>
      </w:r>
      <w:r w:rsidR="00134286" w:rsidRPr="001E6B34">
        <w:rPr>
          <w:rFonts w:ascii="Georgia" w:hAnsi="Georgia" w:cs="Arial"/>
          <w:lang w:val="es-419"/>
        </w:rPr>
        <w:t xml:space="preserve"> </w:t>
      </w:r>
      <w:r w:rsidR="00134286" w:rsidRPr="001E6B34">
        <w:rPr>
          <w:rFonts w:ascii="Georgia" w:hAnsi="Georgia" w:cs="Arial"/>
          <w:color w:val="000000"/>
          <w:szCs w:val="23"/>
          <w:lang w:val="es-419"/>
        </w:rPr>
        <w:t xml:space="preserve">que </w:t>
      </w:r>
      <w:r w:rsidR="00E60F91" w:rsidRPr="001E6B34">
        <w:rPr>
          <w:rFonts w:ascii="Georgia" w:hAnsi="Georgia" w:cs="Arial"/>
          <w:lang w:val="es-419"/>
        </w:rPr>
        <w:t>el proveído</w:t>
      </w:r>
      <w:r w:rsidR="00E60F91" w:rsidRPr="001E6B34">
        <w:rPr>
          <w:rFonts w:ascii="Georgia" w:hAnsi="Georgia" w:cs="Arial"/>
          <w:color w:val="000000"/>
          <w:szCs w:val="23"/>
          <w:lang w:val="es-419"/>
        </w:rPr>
        <w:t xml:space="preserve"> nugatorio de la excepción previa (</w:t>
      </w:r>
      <w:r w:rsidR="00E60F91" w:rsidRPr="001E6B34">
        <w:rPr>
          <w:rFonts w:ascii="Georgia" w:hAnsi="Georgia"/>
          <w:i/>
          <w:sz w:val="22"/>
          <w:szCs w:val="26"/>
          <w:lang w:val="es-419"/>
        </w:rPr>
        <w:t>No haberse presentado prueba de la calidad del demandante, como propietario del bien</w:t>
      </w:r>
      <w:r w:rsidR="00E60F91" w:rsidRPr="001E6B34">
        <w:rPr>
          <w:rFonts w:ascii="Georgia" w:hAnsi="Georgia"/>
          <w:sz w:val="26"/>
          <w:szCs w:val="26"/>
          <w:lang w:val="es-419"/>
        </w:rPr>
        <w:t>)</w:t>
      </w:r>
      <w:r w:rsidR="001E7D23" w:rsidRPr="001E6B34">
        <w:rPr>
          <w:rFonts w:ascii="Georgia" w:hAnsi="Georgia" w:cs="Arial"/>
          <w:lang w:val="es-419"/>
        </w:rPr>
        <w:t>,</w:t>
      </w:r>
      <w:r w:rsidR="00C771C0" w:rsidRPr="001E6B34">
        <w:rPr>
          <w:rFonts w:ascii="Georgia" w:hAnsi="Georgia" w:cs="Arial"/>
          <w:lang w:val="es-419"/>
        </w:rPr>
        <w:t xml:space="preserve"> desconoció los elementos axiológicos de la pretensión reivindicatoria (</w:t>
      </w:r>
      <w:r w:rsidR="00C771C0" w:rsidRPr="001E6B34">
        <w:rPr>
          <w:rFonts w:ascii="Georgia" w:hAnsi="Georgia" w:cs="Arial"/>
          <w:sz w:val="22"/>
          <w:lang w:val="es-419"/>
        </w:rPr>
        <w:t>Artículo 946, CC</w:t>
      </w:r>
      <w:r w:rsidR="00C771C0" w:rsidRPr="001E6B34">
        <w:rPr>
          <w:rFonts w:ascii="Georgia" w:hAnsi="Georgia" w:cs="Arial"/>
          <w:lang w:val="es-419"/>
        </w:rPr>
        <w:t xml:space="preserve">), </w:t>
      </w:r>
      <w:r w:rsidR="002E609A" w:rsidRPr="001E6B34">
        <w:rPr>
          <w:rFonts w:ascii="Georgia" w:hAnsi="Georgia" w:cs="Arial"/>
          <w:lang w:val="es-419"/>
        </w:rPr>
        <w:t xml:space="preserve">que </w:t>
      </w:r>
      <w:r w:rsidR="00C771C0" w:rsidRPr="001E6B34">
        <w:rPr>
          <w:rFonts w:ascii="Georgia" w:hAnsi="Georgia" w:cs="Arial"/>
          <w:lang w:val="es-419"/>
        </w:rPr>
        <w:t>impone</w:t>
      </w:r>
      <w:r w:rsidR="002E609A" w:rsidRPr="001E6B34">
        <w:rPr>
          <w:rFonts w:ascii="Georgia" w:hAnsi="Georgia" w:cs="Arial"/>
          <w:lang w:val="es-419"/>
        </w:rPr>
        <w:t>n</w:t>
      </w:r>
      <w:r w:rsidR="00C771C0" w:rsidRPr="001E6B34">
        <w:rPr>
          <w:rFonts w:ascii="Georgia" w:hAnsi="Georgia" w:cs="Arial"/>
          <w:lang w:val="es-419"/>
        </w:rPr>
        <w:t xml:space="preserve"> que quien la formula </w:t>
      </w:r>
      <w:r w:rsidR="00E60F91" w:rsidRPr="001E6B34">
        <w:rPr>
          <w:rFonts w:ascii="Georgia" w:hAnsi="Georgia" w:cs="Arial"/>
          <w:lang w:val="es-419"/>
        </w:rPr>
        <w:t xml:space="preserve">sea dueño </w:t>
      </w:r>
      <w:r w:rsidR="00C771C0" w:rsidRPr="001E6B34">
        <w:rPr>
          <w:rFonts w:ascii="Georgia" w:hAnsi="Georgia" w:cs="Arial"/>
          <w:lang w:val="es-419"/>
        </w:rPr>
        <w:t xml:space="preserve">del inmueble </w:t>
      </w:r>
      <w:r w:rsidR="001E7D23" w:rsidRPr="001E6B34">
        <w:rPr>
          <w:rFonts w:ascii="Georgia" w:hAnsi="Georgia" w:cs="Arial"/>
          <w:lang w:val="es-419"/>
        </w:rPr>
        <w:t xml:space="preserve">que </w:t>
      </w:r>
      <w:r w:rsidR="00C771C0" w:rsidRPr="001E6B34">
        <w:rPr>
          <w:rFonts w:ascii="Georgia" w:hAnsi="Georgia" w:cs="Arial"/>
          <w:lang w:val="es-419"/>
        </w:rPr>
        <w:t xml:space="preserve">se pide reivindicar y, en este caso, </w:t>
      </w:r>
      <w:r w:rsidR="001E7D23" w:rsidRPr="001E6B34">
        <w:rPr>
          <w:rFonts w:ascii="Georgia" w:hAnsi="Georgia" w:cs="Arial"/>
          <w:lang w:val="es-419"/>
        </w:rPr>
        <w:t>se probó que el señor Jairo Alberto Castañeda, no lo es</w:t>
      </w:r>
      <w:r w:rsidR="00134286" w:rsidRPr="001E6B34">
        <w:rPr>
          <w:rFonts w:ascii="Georgia" w:hAnsi="Georgia" w:cs="Arial"/>
          <w:lang w:val="es-419"/>
        </w:rPr>
        <w:t>.</w:t>
      </w:r>
    </w:p>
    <w:p w:rsidR="00134286" w:rsidRPr="001E6B34" w:rsidRDefault="00134286" w:rsidP="001E6B34">
      <w:pPr>
        <w:spacing w:line="288" w:lineRule="auto"/>
        <w:jc w:val="both"/>
        <w:rPr>
          <w:rFonts w:ascii="Georgia" w:hAnsi="Georgia" w:cs="Arial"/>
          <w:lang w:val="es-419"/>
        </w:rPr>
      </w:pPr>
    </w:p>
    <w:p w:rsidR="00E042DB" w:rsidRPr="001E6B34" w:rsidRDefault="00A82165" w:rsidP="001E6B34">
      <w:pPr>
        <w:spacing w:line="288" w:lineRule="auto"/>
        <w:ind w:right="51"/>
        <w:jc w:val="both"/>
        <w:rPr>
          <w:rFonts w:ascii="Georgia" w:hAnsi="Georgia"/>
          <w:szCs w:val="26"/>
          <w:lang w:val="es-419"/>
        </w:rPr>
      </w:pPr>
      <w:r w:rsidRPr="001E6B34">
        <w:rPr>
          <w:rFonts w:ascii="Georgia" w:hAnsi="Georgia" w:cs="Arial"/>
          <w:lang w:val="es-419"/>
        </w:rPr>
        <w:t xml:space="preserve">Ahora, </w:t>
      </w:r>
      <w:r w:rsidRPr="001E6B34">
        <w:rPr>
          <w:rFonts w:ascii="Georgia" w:hAnsi="Georgia"/>
          <w:lang w:val="es-419"/>
        </w:rPr>
        <w:t xml:space="preserve">la </w:t>
      </w:r>
      <w:r w:rsidR="00134286" w:rsidRPr="001E6B34">
        <w:rPr>
          <w:rFonts w:ascii="Georgia" w:hAnsi="Georgia"/>
          <w:lang w:val="es-419"/>
        </w:rPr>
        <w:t xml:space="preserve">jueza </w:t>
      </w:r>
      <w:r w:rsidR="003B04C2" w:rsidRPr="001E6B34">
        <w:rPr>
          <w:rFonts w:ascii="Georgia" w:hAnsi="Georgia"/>
          <w:lang w:val="es-419"/>
        </w:rPr>
        <w:t>que decidió</w:t>
      </w:r>
      <w:r w:rsidRPr="001E6B34">
        <w:rPr>
          <w:rFonts w:ascii="Georgia" w:hAnsi="Georgia"/>
          <w:lang w:val="es-419"/>
        </w:rPr>
        <w:t xml:space="preserve">, inicialmente, explicó que </w:t>
      </w:r>
      <w:r w:rsidR="003B04C2" w:rsidRPr="001E6B34">
        <w:rPr>
          <w:rFonts w:ascii="Georgia" w:hAnsi="Georgia"/>
          <w:lang w:val="es-419"/>
        </w:rPr>
        <w:t xml:space="preserve">el objeto </w:t>
      </w:r>
      <w:r w:rsidRPr="001E6B34">
        <w:rPr>
          <w:rFonts w:ascii="Georgia" w:hAnsi="Georgia"/>
          <w:lang w:val="es-419"/>
        </w:rPr>
        <w:t xml:space="preserve">de: </w:t>
      </w:r>
      <w:r w:rsidRPr="001E6B34">
        <w:rPr>
          <w:rFonts w:ascii="Georgia" w:hAnsi="Georgia"/>
          <w:i/>
          <w:sz w:val="22"/>
          <w:szCs w:val="22"/>
          <w:lang w:val="es-419"/>
        </w:rPr>
        <w:t xml:space="preserve">“(…) </w:t>
      </w:r>
      <w:r w:rsidRPr="001E6B34">
        <w:rPr>
          <w:rFonts w:ascii="Georgia" w:hAnsi="Georgia"/>
          <w:i/>
          <w:spacing w:val="-3"/>
          <w:sz w:val="22"/>
          <w:szCs w:val="22"/>
          <w:lang w:val="es-419"/>
        </w:rPr>
        <w:t>Las excepciones previas (…) es controlar los presupuestos del proceso, evitando nulidades y fallos inhibitorios por ser contrarios a la pronta y eficaz administración de Justicia, favoreciendo a ambas partes porque al permitir el saneamiento inicial del proceso se asegura su avance sobre bases firmes, poniéndole fin en algunas oportunidades o impidiendo de esta manera un trámite innecesario (…)”.</w:t>
      </w:r>
      <w:r w:rsidR="00CF2BDF" w:rsidRPr="001E6B34">
        <w:rPr>
          <w:rFonts w:ascii="Georgia" w:hAnsi="Georgia"/>
          <w:i/>
          <w:sz w:val="22"/>
          <w:szCs w:val="22"/>
          <w:lang w:val="es-419"/>
        </w:rPr>
        <w:t xml:space="preserve"> </w:t>
      </w:r>
      <w:r w:rsidR="003B04C2" w:rsidRPr="001E6B34">
        <w:rPr>
          <w:rFonts w:ascii="Georgia" w:hAnsi="Georgia"/>
          <w:i/>
          <w:sz w:val="22"/>
          <w:szCs w:val="22"/>
          <w:lang w:val="es-419"/>
        </w:rPr>
        <w:t xml:space="preserve"> </w:t>
      </w:r>
      <w:r w:rsidR="00CF2BDF" w:rsidRPr="001E6B34">
        <w:rPr>
          <w:rFonts w:ascii="Georgia" w:hAnsi="Georgia"/>
          <w:lang w:val="es-419"/>
        </w:rPr>
        <w:t xml:space="preserve">Luego, </w:t>
      </w:r>
      <w:r w:rsidR="00E042DB" w:rsidRPr="001E6B34">
        <w:rPr>
          <w:rFonts w:ascii="Georgia" w:hAnsi="Georgia"/>
          <w:lang w:val="es-419"/>
        </w:rPr>
        <w:t xml:space="preserve">señaló que la </w:t>
      </w:r>
      <w:r w:rsidR="00D82AB9" w:rsidRPr="001E6B34">
        <w:rPr>
          <w:rFonts w:ascii="Georgia" w:hAnsi="Georgia"/>
          <w:lang w:val="es-419"/>
        </w:rPr>
        <w:t>propuesta</w:t>
      </w:r>
      <w:r w:rsidR="00E042DB" w:rsidRPr="001E6B34">
        <w:rPr>
          <w:rFonts w:ascii="Georgia" w:hAnsi="Georgia"/>
          <w:lang w:val="es-419"/>
        </w:rPr>
        <w:t xml:space="preserve"> (</w:t>
      </w:r>
      <w:r w:rsidR="00E042DB" w:rsidRPr="001E6B34">
        <w:rPr>
          <w:rFonts w:ascii="Georgia" w:hAnsi="Georgia"/>
          <w:sz w:val="22"/>
          <w:lang w:val="es-419"/>
        </w:rPr>
        <w:t>Artículo 100-6º, CGP</w:t>
      </w:r>
      <w:r w:rsidR="00E042DB" w:rsidRPr="001E6B34">
        <w:rPr>
          <w:rFonts w:ascii="Georgia" w:hAnsi="Georgia"/>
          <w:lang w:val="es-419"/>
        </w:rPr>
        <w:t xml:space="preserve">), se relaciona con: </w:t>
      </w:r>
      <w:r w:rsidR="00E042DB" w:rsidRPr="001E6B34">
        <w:rPr>
          <w:rFonts w:ascii="Georgia" w:hAnsi="Georgia"/>
          <w:i/>
          <w:sz w:val="20"/>
          <w:lang w:val="es-419"/>
        </w:rPr>
        <w:t xml:space="preserve">“(…) </w:t>
      </w:r>
      <w:r w:rsidR="00E042DB" w:rsidRPr="001E6B34">
        <w:rPr>
          <w:rFonts w:ascii="Georgia" w:hAnsi="Georgia"/>
          <w:i/>
          <w:sz w:val="22"/>
          <w:szCs w:val="26"/>
          <w:lang w:val="es-419"/>
        </w:rPr>
        <w:t>la falta de prueba sobre la calidad (…) en que se actúa en representación de algunos de los sujetos allí indicados y no en la calidad de ser parte; como al parecer la togada interpretó la excepción propuesta y el juzgado la aceptó (…)”</w:t>
      </w:r>
      <w:r w:rsidR="00E042DB" w:rsidRPr="001E6B34">
        <w:rPr>
          <w:rFonts w:ascii="Georgia" w:hAnsi="Georgia"/>
          <w:i/>
          <w:szCs w:val="26"/>
          <w:lang w:val="es-419"/>
        </w:rPr>
        <w:t>.</w:t>
      </w:r>
      <w:r w:rsidR="00E042DB" w:rsidRPr="001E6B34">
        <w:rPr>
          <w:rFonts w:ascii="Georgia" w:hAnsi="Georgia"/>
          <w:szCs w:val="26"/>
          <w:lang w:val="es-419"/>
        </w:rPr>
        <w:t xml:space="preserve"> Y agregó: </w:t>
      </w:r>
    </w:p>
    <w:p w:rsidR="00E042DB" w:rsidRPr="001E6B34" w:rsidRDefault="00E042DB" w:rsidP="001E6B34">
      <w:pPr>
        <w:spacing w:line="288" w:lineRule="auto"/>
        <w:ind w:left="567" w:right="567"/>
        <w:jc w:val="both"/>
        <w:rPr>
          <w:rFonts w:ascii="Georgia" w:hAnsi="Georgia"/>
          <w:lang w:val="es-419"/>
        </w:rPr>
      </w:pPr>
    </w:p>
    <w:p w:rsidR="00E042DB" w:rsidRPr="001E6B34" w:rsidRDefault="00E042DB" w:rsidP="001E6B34">
      <w:pPr>
        <w:ind w:left="426" w:right="420"/>
        <w:jc w:val="both"/>
        <w:rPr>
          <w:rFonts w:ascii="Georgia" w:hAnsi="Georgia"/>
          <w:sz w:val="22"/>
          <w:lang w:val="es-419"/>
        </w:rPr>
      </w:pPr>
      <w:r w:rsidRPr="001E6B34">
        <w:rPr>
          <w:rFonts w:ascii="Georgia" w:hAnsi="Georgia"/>
          <w:sz w:val="22"/>
          <w:lang w:val="es-419"/>
        </w:rPr>
        <w:t xml:space="preserve">Dicha excepción se configura en el momento de demandarse a determinada persona como heredero de otra sin serlo, caso en el cual quien demanda deberá probar la calidad de heredero del demandado, obsérvese que estamos hablando de una </w:t>
      </w:r>
      <w:r w:rsidRPr="001E6B34">
        <w:rPr>
          <w:rFonts w:ascii="Georgia" w:hAnsi="Georgia"/>
          <w:sz w:val="22"/>
          <w:u w:val="single"/>
          <w:lang w:val="es-419"/>
        </w:rPr>
        <w:t>representación</w:t>
      </w:r>
      <w:r w:rsidRPr="001E6B34">
        <w:rPr>
          <w:rFonts w:ascii="Georgia" w:hAnsi="Georgia"/>
          <w:sz w:val="22"/>
          <w:lang w:val="es-419"/>
        </w:rPr>
        <w:t xml:space="preserve">, como cuando quien demanda o es demandado en representación de una comunidad y carece de la prueba que lo acredite ser el representante de dicha </w:t>
      </w:r>
      <w:r w:rsidRPr="001E6B34">
        <w:rPr>
          <w:rFonts w:ascii="Georgia" w:hAnsi="Georgia"/>
          <w:sz w:val="22"/>
          <w:lang w:val="es-419"/>
        </w:rPr>
        <w:lastRenderedPageBreak/>
        <w:t>comunidad o de un incapaz quien carece de representante legal.</w:t>
      </w:r>
    </w:p>
    <w:p w:rsidR="00E042DB" w:rsidRPr="001E6B34" w:rsidRDefault="00E042DB" w:rsidP="001E6B34">
      <w:pPr>
        <w:ind w:left="426" w:right="420"/>
        <w:jc w:val="both"/>
        <w:rPr>
          <w:rFonts w:ascii="Georgia" w:hAnsi="Georgia"/>
          <w:sz w:val="22"/>
          <w:lang w:val="es-419"/>
        </w:rPr>
      </w:pPr>
    </w:p>
    <w:p w:rsidR="00E042DB" w:rsidRPr="001E6B34" w:rsidRDefault="00E042DB" w:rsidP="001E6B34">
      <w:pPr>
        <w:ind w:left="426" w:right="420"/>
        <w:jc w:val="both"/>
        <w:rPr>
          <w:rFonts w:ascii="Georgia" w:hAnsi="Georgia"/>
          <w:lang w:val="es-419"/>
        </w:rPr>
      </w:pPr>
      <w:r w:rsidRPr="001E6B34">
        <w:rPr>
          <w:rFonts w:ascii="Georgia" w:hAnsi="Georgia"/>
          <w:sz w:val="22"/>
          <w:lang w:val="es-419"/>
        </w:rPr>
        <w:t xml:space="preserve">De otra parte se hace claridad en el concepto anterior en el sentido que </w:t>
      </w:r>
      <w:r w:rsidRPr="001E6B34">
        <w:rPr>
          <w:rFonts w:ascii="Georgia" w:hAnsi="Georgia"/>
          <w:smallCaps/>
          <w:sz w:val="22"/>
          <w:lang w:val="es-419"/>
        </w:rPr>
        <w:t xml:space="preserve">la falta de la calidad con que concurren los sujetos procesales indicados en esta excepción constituye un presupuesto procesal y no material, pues este último alude a la </w:t>
      </w:r>
      <w:r w:rsidRPr="001E6B34">
        <w:rPr>
          <w:rFonts w:ascii="Georgia" w:hAnsi="Georgia"/>
          <w:b/>
          <w:smallCaps/>
          <w:sz w:val="22"/>
          <w:lang w:val="es-419"/>
        </w:rPr>
        <w:t>legitimación en la causa</w:t>
      </w:r>
      <w:r w:rsidRPr="001E6B34">
        <w:rPr>
          <w:rFonts w:ascii="Georgia" w:hAnsi="Georgia"/>
          <w:sz w:val="22"/>
          <w:lang w:val="es-419"/>
        </w:rPr>
        <w:t xml:space="preserve">, que ocurre cuando se reclama un derecho por quien no es su titular o ante quien no es el llamado a responder, caso en el cual se debe denegar las pretensiones de la demanda </w:t>
      </w:r>
      <w:r w:rsidR="00DA6C86" w:rsidRPr="001E6B34">
        <w:rPr>
          <w:rFonts w:ascii="Georgia" w:hAnsi="Georgia"/>
          <w:sz w:val="22"/>
          <w:lang w:val="es-419"/>
        </w:rPr>
        <w:t>(…)</w:t>
      </w:r>
      <w:r w:rsidRPr="001E6B34">
        <w:rPr>
          <w:rFonts w:ascii="Georgia" w:hAnsi="Georgia"/>
          <w:sz w:val="22"/>
          <w:lang w:val="es-419"/>
        </w:rPr>
        <w:t>.</w:t>
      </w:r>
      <w:r w:rsidR="00DA6C86" w:rsidRPr="001E6B34">
        <w:rPr>
          <w:rFonts w:ascii="Georgia" w:hAnsi="Georgia"/>
          <w:sz w:val="22"/>
          <w:lang w:val="es-419"/>
        </w:rPr>
        <w:t xml:space="preserve"> </w:t>
      </w:r>
      <w:r w:rsidR="00DA6C86" w:rsidRPr="001E6B34">
        <w:rPr>
          <w:rFonts w:ascii="Georgia" w:hAnsi="Georgia"/>
          <w:lang w:val="es-419"/>
        </w:rPr>
        <w:t>Resaltado propio, versalitas y negrilla de esta Sala.</w:t>
      </w:r>
    </w:p>
    <w:p w:rsidR="002E609A" w:rsidRPr="001E6B34" w:rsidRDefault="002E609A" w:rsidP="001E6B34">
      <w:pPr>
        <w:spacing w:line="288" w:lineRule="auto"/>
        <w:ind w:left="567" w:right="567"/>
        <w:jc w:val="both"/>
        <w:rPr>
          <w:rFonts w:ascii="Georgia" w:hAnsi="Georgia"/>
          <w:lang w:val="es-419"/>
        </w:rPr>
      </w:pPr>
    </w:p>
    <w:p w:rsidR="002904E7" w:rsidRPr="001E6B34" w:rsidRDefault="002904E7" w:rsidP="001E6B34">
      <w:pPr>
        <w:widowControl/>
        <w:spacing w:line="288" w:lineRule="auto"/>
        <w:jc w:val="both"/>
        <w:rPr>
          <w:rFonts w:ascii="Georgia" w:hAnsi="Georgia" w:cs="Arial"/>
          <w:lang w:val="es-419"/>
        </w:rPr>
      </w:pPr>
      <w:r w:rsidRPr="001E6B34">
        <w:rPr>
          <w:rFonts w:ascii="Georgia" w:hAnsi="Georgia" w:cs="Arial"/>
          <w:lang w:val="es-419"/>
        </w:rPr>
        <w:t xml:space="preserve">Para esta Magistratura, tales argumentos, no lucen antojadizos, ni subjetivos, menos  que provengan de una interpretación contraevidente de las normas aplicables, </w:t>
      </w:r>
      <w:r w:rsidR="003B04C2" w:rsidRPr="001E6B34">
        <w:rPr>
          <w:rFonts w:ascii="Georgia" w:hAnsi="Georgia" w:cs="Arial"/>
          <w:lang w:val="es-419"/>
        </w:rPr>
        <w:t xml:space="preserve">por el contrario, muestran </w:t>
      </w:r>
      <w:r w:rsidR="001D4485" w:rsidRPr="001E6B34">
        <w:rPr>
          <w:rFonts w:ascii="Georgia" w:hAnsi="Georgia" w:cs="Arial"/>
          <w:lang w:val="es-419"/>
        </w:rPr>
        <w:t xml:space="preserve">un </w:t>
      </w:r>
      <w:r w:rsidRPr="001E6B34">
        <w:rPr>
          <w:rFonts w:ascii="Georgia" w:hAnsi="Georgia" w:cs="Arial"/>
          <w:lang w:val="es-419"/>
        </w:rPr>
        <w:t xml:space="preserve">alcance </w:t>
      </w:r>
      <w:r w:rsidR="001D4485" w:rsidRPr="001E6B34">
        <w:rPr>
          <w:rFonts w:ascii="Georgia" w:hAnsi="Georgia" w:cs="Arial"/>
          <w:lang w:val="es-419"/>
        </w:rPr>
        <w:t xml:space="preserve">intelectivo razonable </w:t>
      </w:r>
      <w:r w:rsidRPr="001E6B34">
        <w:rPr>
          <w:rFonts w:ascii="Georgia" w:hAnsi="Georgia" w:cs="Arial"/>
          <w:lang w:val="es-419"/>
        </w:rPr>
        <w:t>del medio exceptivo aludido (</w:t>
      </w:r>
      <w:r w:rsidRPr="001E6B34">
        <w:rPr>
          <w:rFonts w:ascii="Georgia" w:hAnsi="Georgia" w:cs="Arial"/>
          <w:sz w:val="22"/>
          <w:lang w:val="es-419"/>
        </w:rPr>
        <w:t>Artículo 100-6º, CGP</w:t>
      </w:r>
      <w:r w:rsidRPr="001E6B34">
        <w:rPr>
          <w:rFonts w:ascii="Georgia" w:hAnsi="Georgia" w:cs="Arial"/>
          <w:lang w:val="es-419"/>
        </w:rPr>
        <w:t xml:space="preserve">), según </w:t>
      </w:r>
      <w:r w:rsidR="001D4485" w:rsidRPr="001E6B34">
        <w:rPr>
          <w:rFonts w:ascii="Georgia" w:hAnsi="Georgia" w:cs="Arial"/>
          <w:lang w:val="es-419"/>
        </w:rPr>
        <w:t>enseña</w:t>
      </w:r>
      <w:r w:rsidRPr="001E6B34">
        <w:rPr>
          <w:rFonts w:ascii="Georgia" w:hAnsi="Georgia" w:cs="Arial"/>
          <w:lang w:val="es-419"/>
        </w:rPr>
        <w:t xml:space="preserve"> la doctrina</w:t>
      </w:r>
      <w:r w:rsidR="00EE5469" w:rsidRPr="001E6B34">
        <w:rPr>
          <w:rFonts w:ascii="Georgia" w:hAnsi="Georgia" w:cs="Arial"/>
          <w:lang w:val="es-419"/>
        </w:rPr>
        <w:t xml:space="preserve">, </w:t>
      </w:r>
      <w:r w:rsidRPr="001E6B34">
        <w:rPr>
          <w:rFonts w:ascii="Georgia" w:hAnsi="Georgia" w:cs="Arial"/>
          <w:lang w:val="es-419"/>
        </w:rPr>
        <w:t xml:space="preserve">pacífica, de los </w:t>
      </w:r>
      <w:r w:rsidR="009B614F" w:rsidRPr="001E6B34">
        <w:rPr>
          <w:rFonts w:ascii="Georgia" w:hAnsi="Georgia" w:cs="Arial"/>
          <w:lang w:val="es-419"/>
        </w:rPr>
        <w:t>autores</w:t>
      </w:r>
      <w:r w:rsidR="00EE5469" w:rsidRPr="001E6B34">
        <w:rPr>
          <w:rFonts w:ascii="Georgia" w:hAnsi="Georgia" w:cs="Arial"/>
          <w:lang w:val="es-419"/>
        </w:rPr>
        <w:t xml:space="preserve"> </w:t>
      </w:r>
      <w:r w:rsidRPr="001E6B34">
        <w:rPr>
          <w:rFonts w:ascii="Georgia" w:hAnsi="Georgia" w:cs="Arial"/>
          <w:lang w:val="es-419"/>
        </w:rPr>
        <w:t>Canosa T.</w:t>
      </w:r>
      <w:r w:rsidRPr="001E6B34">
        <w:rPr>
          <w:rStyle w:val="Refdenotaalpie"/>
          <w:rFonts w:ascii="Georgia" w:hAnsi="Georgia" w:cs="Arial"/>
          <w:lang w:val="es-419"/>
        </w:rPr>
        <w:footnoteReference w:id="19"/>
      </w:r>
      <w:r w:rsidR="00EE5469" w:rsidRPr="001E6B34">
        <w:rPr>
          <w:rFonts w:ascii="Georgia" w:hAnsi="Georgia" w:cs="Arial"/>
          <w:lang w:val="es-419"/>
        </w:rPr>
        <w:t xml:space="preserve">, </w:t>
      </w:r>
      <w:r w:rsidR="009B614F" w:rsidRPr="001E6B34">
        <w:rPr>
          <w:rFonts w:ascii="Georgia" w:hAnsi="Georgia" w:cs="Arial"/>
          <w:lang w:val="es-419"/>
        </w:rPr>
        <w:t>Cruz T.</w:t>
      </w:r>
      <w:r w:rsidR="009B614F" w:rsidRPr="001E6B34">
        <w:rPr>
          <w:rStyle w:val="Refdenotaalpie"/>
          <w:rFonts w:ascii="Georgia" w:hAnsi="Georgia"/>
          <w:lang w:val="es-419"/>
        </w:rPr>
        <w:footnoteReference w:id="20"/>
      </w:r>
      <w:r w:rsidR="00960B01" w:rsidRPr="001E6B34">
        <w:rPr>
          <w:rFonts w:ascii="Georgia" w:hAnsi="Georgia" w:cs="Arial"/>
          <w:lang w:val="es-419"/>
        </w:rPr>
        <w:t xml:space="preserve">, </w:t>
      </w:r>
      <w:r w:rsidRPr="001E6B34">
        <w:rPr>
          <w:rFonts w:ascii="Georgia" w:hAnsi="Georgia" w:cs="Arial"/>
          <w:lang w:val="es-419"/>
        </w:rPr>
        <w:t>López B.</w:t>
      </w:r>
      <w:r w:rsidRPr="001E6B34">
        <w:rPr>
          <w:rStyle w:val="Refdenotaalpie"/>
          <w:rFonts w:ascii="Georgia" w:hAnsi="Georgia" w:cs="Arial"/>
          <w:lang w:val="es-419"/>
        </w:rPr>
        <w:footnoteReference w:id="21"/>
      </w:r>
      <w:r w:rsidR="00012307" w:rsidRPr="001E6B34">
        <w:rPr>
          <w:rFonts w:ascii="Georgia" w:hAnsi="Georgia" w:cs="Arial"/>
          <w:lang w:val="es-419"/>
        </w:rPr>
        <w:t xml:space="preserve"> y el maestro Morales M</w:t>
      </w:r>
      <w:r w:rsidR="00012307" w:rsidRPr="001E6B34">
        <w:rPr>
          <w:rStyle w:val="Refdenotaalpie"/>
          <w:rFonts w:ascii="Georgia" w:hAnsi="Georgia"/>
          <w:lang w:val="es-419"/>
        </w:rPr>
        <w:footnoteReference w:id="22"/>
      </w:r>
      <w:r w:rsidR="00012307" w:rsidRPr="001E6B34">
        <w:rPr>
          <w:rFonts w:ascii="Georgia" w:hAnsi="Georgia" w:cs="Arial"/>
          <w:lang w:val="es-419"/>
        </w:rPr>
        <w:t xml:space="preserve"> quien </w:t>
      </w:r>
      <w:r w:rsidR="001D4485" w:rsidRPr="001E6B34">
        <w:rPr>
          <w:rFonts w:ascii="Georgia" w:hAnsi="Georgia" w:cs="Arial"/>
          <w:lang w:val="es-419"/>
        </w:rPr>
        <w:t>explicita</w:t>
      </w:r>
      <w:r w:rsidR="00012307" w:rsidRPr="001E6B34">
        <w:rPr>
          <w:rFonts w:ascii="Georgia" w:hAnsi="Georgia" w:cs="Arial"/>
          <w:lang w:val="es-419"/>
        </w:rPr>
        <w:t xml:space="preserve">: </w:t>
      </w:r>
      <w:r w:rsidR="00012307" w:rsidRPr="001E6B34">
        <w:rPr>
          <w:rFonts w:ascii="Georgia" w:hAnsi="Georgia" w:cs="Arial"/>
          <w:i/>
          <w:sz w:val="22"/>
          <w:lang w:val="es-419"/>
        </w:rPr>
        <w:t xml:space="preserve">“(…) La Corte en doctrina vigente, expresa que dicha causal “no puede hallarse sino en los casos en que… </w:t>
      </w:r>
      <w:r w:rsidR="00012307" w:rsidRPr="001E6B34">
        <w:rPr>
          <w:rFonts w:ascii="Georgia" w:hAnsi="Georgia" w:cs="Arial"/>
          <w:i/>
          <w:sz w:val="22"/>
          <w:u w:val="single"/>
          <w:lang w:val="es-419"/>
        </w:rPr>
        <w:t>el demandante</w:t>
      </w:r>
      <w:r w:rsidR="00012307" w:rsidRPr="001E6B34">
        <w:rPr>
          <w:rFonts w:ascii="Georgia" w:hAnsi="Georgia" w:cs="Arial"/>
          <w:i/>
          <w:sz w:val="22"/>
          <w:lang w:val="es-419"/>
        </w:rPr>
        <w:t xml:space="preserve"> o demandado </w:t>
      </w:r>
      <w:r w:rsidR="00012307" w:rsidRPr="001E6B34">
        <w:rPr>
          <w:rFonts w:ascii="Georgia" w:hAnsi="Georgia" w:cs="Arial"/>
          <w:i/>
          <w:sz w:val="22"/>
          <w:u w:val="single"/>
          <w:lang w:val="es-419"/>
        </w:rPr>
        <w:t>no son hábiles para comparecer por sí mismos en juicio</w:t>
      </w:r>
      <w:r w:rsidR="00012307" w:rsidRPr="001E6B34">
        <w:rPr>
          <w:rFonts w:ascii="Georgia" w:hAnsi="Georgia" w:cs="Arial"/>
          <w:i/>
          <w:sz w:val="22"/>
          <w:lang w:val="es-419"/>
        </w:rPr>
        <w:t xml:space="preserve"> y la correspondiente representación no está debidamente acreditada” (LXXXV, 740) (…)</w:t>
      </w:r>
      <w:r w:rsidR="00012307" w:rsidRPr="001E6B34">
        <w:rPr>
          <w:rFonts w:ascii="Georgia" w:hAnsi="Georgia" w:cs="Arial"/>
          <w:lang w:val="es-419"/>
        </w:rPr>
        <w:t>.</w:t>
      </w:r>
      <w:r w:rsidR="003B04C2" w:rsidRPr="001E6B34">
        <w:rPr>
          <w:rFonts w:ascii="Georgia" w:hAnsi="Georgia" w:cs="Arial"/>
          <w:lang w:val="es-419"/>
        </w:rPr>
        <w:t xml:space="preserve"> Resaltado fuera de texto. </w:t>
      </w:r>
      <w:r w:rsidR="001D4485" w:rsidRPr="001E6B34">
        <w:rPr>
          <w:rFonts w:ascii="Georgia" w:hAnsi="Georgia" w:cs="Arial"/>
          <w:lang w:val="es-419"/>
        </w:rPr>
        <w:t xml:space="preserve">Aunque el comentario se </w:t>
      </w:r>
      <w:r w:rsidR="00EC375F" w:rsidRPr="001E6B34">
        <w:rPr>
          <w:rFonts w:ascii="Georgia" w:hAnsi="Georgia" w:cs="Arial"/>
          <w:lang w:val="es-419"/>
        </w:rPr>
        <w:t>enmarca en</w:t>
      </w:r>
      <w:r w:rsidR="001D4485" w:rsidRPr="001E6B34">
        <w:rPr>
          <w:rFonts w:ascii="Georgia" w:hAnsi="Georgia" w:cs="Arial"/>
          <w:lang w:val="es-419"/>
        </w:rPr>
        <w:t xml:space="preserve"> </w:t>
      </w:r>
      <w:r w:rsidR="00EC375F" w:rsidRPr="001E6B34">
        <w:rPr>
          <w:rFonts w:ascii="Georgia" w:hAnsi="Georgia" w:cs="Arial"/>
          <w:lang w:val="es-419"/>
        </w:rPr>
        <w:t>e</w:t>
      </w:r>
      <w:r w:rsidR="001D4485" w:rsidRPr="001E6B34">
        <w:rPr>
          <w:rFonts w:ascii="Georgia" w:hAnsi="Georgia" w:cs="Arial"/>
          <w:lang w:val="es-419"/>
        </w:rPr>
        <w:t>l anterior estatuto procesal, nótese su aplicabilidad, pues la norma es idéntica (</w:t>
      </w:r>
      <w:r w:rsidR="001D4485" w:rsidRPr="001E6B34">
        <w:rPr>
          <w:rFonts w:ascii="Georgia" w:hAnsi="Georgia" w:cs="Arial"/>
          <w:sz w:val="22"/>
          <w:lang w:val="es-419"/>
        </w:rPr>
        <w:t>Artículo 97-6º, CPC</w:t>
      </w:r>
      <w:r w:rsidR="001D4485" w:rsidRPr="001E6B34">
        <w:rPr>
          <w:rFonts w:ascii="Georgia" w:hAnsi="Georgia" w:cs="Arial"/>
          <w:lang w:val="es-419"/>
        </w:rPr>
        <w:t>).</w:t>
      </w:r>
    </w:p>
    <w:p w:rsidR="00012307" w:rsidRPr="001E6B34" w:rsidRDefault="00012307" w:rsidP="001E6B34">
      <w:pPr>
        <w:widowControl/>
        <w:spacing w:line="288" w:lineRule="auto"/>
        <w:jc w:val="both"/>
        <w:rPr>
          <w:rFonts w:ascii="Georgia" w:hAnsi="Georgia"/>
          <w:sz w:val="26"/>
          <w:szCs w:val="26"/>
          <w:lang w:val="es-419"/>
        </w:rPr>
      </w:pPr>
    </w:p>
    <w:p w:rsidR="00C20B44" w:rsidRDefault="00960B01" w:rsidP="001E6B34">
      <w:pPr>
        <w:widowControl/>
        <w:spacing w:line="288" w:lineRule="auto"/>
        <w:jc w:val="both"/>
        <w:rPr>
          <w:rFonts w:ascii="Georgia" w:hAnsi="Georgia" w:cs="Arial"/>
          <w:lang w:val="es-419"/>
        </w:rPr>
      </w:pPr>
      <w:r w:rsidRPr="001E6B34">
        <w:rPr>
          <w:rFonts w:ascii="Georgia" w:hAnsi="Georgia"/>
          <w:lang w:val="es-419"/>
        </w:rPr>
        <w:t>En ese escenario, luce desacertado pretender</w:t>
      </w:r>
      <w:r w:rsidR="00C20B44" w:rsidRPr="001E6B34">
        <w:rPr>
          <w:rFonts w:ascii="Georgia" w:hAnsi="Georgia"/>
          <w:lang w:val="es-419"/>
        </w:rPr>
        <w:t xml:space="preserve"> extender los efectos de es</w:t>
      </w:r>
      <w:r w:rsidR="006D3634" w:rsidRPr="001E6B34">
        <w:rPr>
          <w:rFonts w:ascii="Georgia" w:hAnsi="Georgia"/>
          <w:lang w:val="es-419"/>
        </w:rPr>
        <w:t>a</w:t>
      </w:r>
      <w:r w:rsidR="00C20B44" w:rsidRPr="001E6B34">
        <w:rPr>
          <w:rFonts w:ascii="Georgia" w:hAnsi="Georgia"/>
          <w:lang w:val="es-419"/>
        </w:rPr>
        <w:t xml:space="preserve"> excepción al </w:t>
      </w:r>
      <w:r w:rsidR="006D3634" w:rsidRPr="001E6B34">
        <w:rPr>
          <w:rFonts w:ascii="Georgia" w:hAnsi="Georgia"/>
          <w:lang w:val="es-419"/>
        </w:rPr>
        <w:t>examen del elemento axiológico de la pretensión reivindicatoria</w:t>
      </w:r>
      <w:r w:rsidR="003B04C2" w:rsidRPr="001E6B34">
        <w:rPr>
          <w:rFonts w:ascii="Georgia" w:hAnsi="Georgia"/>
          <w:lang w:val="es-419"/>
        </w:rPr>
        <w:t xml:space="preserve"> y, estrechamente, relacionado con la legitimación en la causa </w:t>
      </w:r>
      <w:r w:rsidR="003B04C2" w:rsidRPr="001E6B34">
        <w:rPr>
          <w:rFonts w:ascii="Georgia" w:hAnsi="Georgia" w:cs="Arial"/>
          <w:lang w:val="es-419"/>
        </w:rPr>
        <w:t xml:space="preserve">por activa, que como </w:t>
      </w:r>
      <w:r w:rsidR="003B04C2" w:rsidRPr="001E6B34">
        <w:rPr>
          <w:rFonts w:ascii="Georgia" w:hAnsi="Georgia" w:cs="Arial"/>
          <w:u w:val="single"/>
          <w:lang w:val="es-419"/>
        </w:rPr>
        <w:t>presupuesto material que es</w:t>
      </w:r>
      <w:r w:rsidR="003B04C2" w:rsidRPr="001E6B34">
        <w:rPr>
          <w:rFonts w:ascii="Georgia" w:hAnsi="Georgia" w:cs="Arial"/>
          <w:lang w:val="es-419"/>
        </w:rPr>
        <w:t xml:space="preserve">, por regla general, se examina al proferir la </w:t>
      </w:r>
      <w:r w:rsidR="003B04C2" w:rsidRPr="001E6B34">
        <w:rPr>
          <w:rFonts w:ascii="Georgia" w:hAnsi="Georgia" w:cs="Arial"/>
          <w:b/>
          <w:lang w:val="es-419"/>
        </w:rPr>
        <w:t>sentencia</w:t>
      </w:r>
      <w:r w:rsidR="00F9422D" w:rsidRPr="001E6B34">
        <w:rPr>
          <w:rFonts w:ascii="Georgia" w:hAnsi="Georgia" w:cs="Arial"/>
          <w:b/>
          <w:lang w:val="es-419"/>
        </w:rPr>
        <w:t xml:space="preserve"> </w:t>
      </w:r>
      <w:r w:rsidR="00F9422D" w:rsidRPr="001E6B34">
        <w:rPr>
          <w:rFonts w:ascii="Georgia" w:hAnsi="Georgia" w:cs="Arial"/>
          <w:lang w:val="es-419"/>
        </w:rPr>
        <w:t>(</w:t>
      </w:r>
      <w:r w:rsidR="00F9422D" w:rsidRPr="001E6B34">
        <w:rPr>
          <w:rFonts w:ascii="Georgia" w:hAnsi="Georgia" w:cs="Arial"/>
          <w:sz w:val="22"/>
          <w:lang w:val="es-419"/>
        </w:rPr>
        <w:t xml:space="preserve">Que puede ser anticipada, </w:t>
      </w:r>
      <w:r w:rsidR="00D82AB9" w:rsidRPr="001E6B34">
        <w:rPr>
          <w:rFonts w:ascii="Georgia" w:hAnsi="Georgia" w:cs="Arial"/>
          <w:sz w:val="22"/>
          <w:lang w:val="es-419"/>
        </w:rPr>
        <w:t xml:space="preserve">en cualquier estado del proceso, </w:t>
      </w:r>
      <w:r w:rsidR="00F9422D" w:rsidRPr="001E6B34">
        <w:rPr>
          <w:rFonts w:ascii="Georgia" w:hAnsi="Georgia" w:cs="Arial"/>
          <w:sz w:val="22"/>
          <w:lang w:val="es-419"/>
        </w:rPr>
        <w:t>cuando se encuentre probad</w:t>
      </w:r>
      <w:r w:rsidR="00D82AB9" w:rsidRPr="001E6B34">
        <w:rPr>
          <w:rFonts w:ascii="Georgia" w:hAnsi="Georgia" w:cs="Arial"/>
          <w:sz w:val="22"/>
          <w:lang w:val="es-419"/>
        </w:rPr>
        <w:t>a</w:t>
      </w:r>
      <w:r w:rsidR="00F9422D" w:rsidRPr="001E6B34">
        <w:rPr>
          <w:rFonts w:ascii="Georgia" w:hAnsi="Georgia" w:cs="Arial"/>
          <w:sz w:val="22"/>
          <w:lang w:val="es-419"/>
        </w:rPr>
        <w:t xml:space="preserve"> su inexistencia, artículo 278-3º, CGP</w:t>
      </w:r>
      <w:r w:rsidR="00F9422D" w:rsidRPr="001E6B34">
        <w:rPr>
          <w:rFonts w:ascii="Georgia" w:hAnsi="Georgia" w:cs="Arial"/>
          <w:lang w:val="es-419"/>
        </w:rPr>
        <w:t>)</w:t>
      </w:r>
      <w:r w:rsidR="003B04C2" w:rsidRPr="001E6B34">
        <w:rPr>
          <w:rFonts w:ascii="Georgia" w:hAnsi="Georgia" w:cs="Arial"/>
          <w:lang w:val="es-419"/>
        </w:rPr>
        <w:t>, por vía de excepción puede serlo antes, como en los procesos ejecutivos</w:t>
      </w:r>
      <w:r w:rsidR="003B04C2" w:rsidRPr="001E6B34">
        <w:rPr>
          <w:rStyle w:val="Refdenotaalpie"/>
          <w:rFonts w:ascii="Georgia" w:hAnsi="Georgia"/>
          <w:lang w:val="es-419"/>
        </w:rPr>
        <w:footnoteReference w:id="23"/>
      </w:r>
      <w:r w:rsidR="003B04C2" w:rsidRPr="001E6B34">
        <w:rPr>
          <w:rFonts w:ascii="Georgia" w:hAnsi="Georgia" w:cs="Arial"/>
          <w:lang w:val="es-419"/>
        </w:rPr>
        <w:t>, de restitución de bien inmueble, los referidos por la Ley 1561, el divisorio, el de expropiación, entre otros</w:t>
      </w:r>
      <w:r w:rsidR="003B04C2" w:rsidRPr="001E6B34">
        <w:rPr>
          <w:rStyle w:val="Refdenotaalpie"/>
          <w:rFonts w:ascii="Georgia" w:hAnsi="Georgia"/>
          <w:lang w:val="es-419"/>
        </w:rPr>
        <w:footnoteReference w:id="24"/>
      </w:r>
      <w:r w:rsidR="001D4485" w:rsidRPr="001E6B34">
        <w:rPr>
          <w:rFonts w:ascii="Georgia" w:hAnsi="Georgia" w:cs="Arial"/>
          <w:lang w:val="es-419"/>
        </w:rPr>
        <w:t>, como ha señalado esta Sala en su precedente</w:t>
      </w:r>
      <w:r w:rsidR="001D4485" w:rsidRPr="001E6B34">
        <w:rPr>
          <w:rStyle w:val="Refdenotaalpie"/>
          <w:rFonts w:ascii="Georgia" w:hAnsi="Georgia"/>
          <w:lang w:val="es-419"/>
        </w:rPr>
        <w:footnoteReference w:id="25"/>
      </w:r>
      <w:r w:rsidR="001D4485" w:rsidRPr="001E6B34">
        <w:rPr>
          <w:rFonts w:ascii="Georgia" w:hAnsi="Georgia" w:cs="Arial"/>
          <w:lang w:val="es-419"/>
        </w:rPr>
        <w:t xml:space="preserve">. </w:t>
      </w:r>
    </w:p>
    <w:p w:rsidR="001E6B34" w:rsidRPr="001E6B34" w:rsidRDefault="001E6B34" w:rsidP="001E6B34">
      <w:pPr>
        <w:widowControl/>
        <w:spacing w:line="288" w:lineRule="auto"/>
        <w:jc w:val="both"/>
        <w:rPr>
          <w:rFonts w:ascii="Georgia" w:hAnsi="Georgia"/>
          <w:lang w:val="es-419"/>
        </w:rPr>
      </w:pPr>
    </w:p>
    <w:p w:rsidR="00960B01" w:rsidRPr="001E6B34" w:rsidRDefault="00960B01" w:rsidP="001E6B34">
      <w:pPr>
        <w:widowControl/>
        <w:spacing w:line="288" w:lineRule="auto"/>
        <w:jc w:val="both"/>
        <w:rPr>
          <w:rFonts w:ascii="Georgia" w:hAnsi="Georgia"/>
          <w:lang w:val="es-419"/>
        </w:rPr>
      </w:pPr>
      <w:r w:rsidRPr="001E6B34">
        <w:rPr>
          <w:rFonts w:ascii="Georgia" w:hAnsi="Georgia" w:cs="Arial"/>
          <w:lang w:val="es-419"/>
        </w:rPr>
        <w:t>De acuerdo con lo reseñado, es inexistente la vulneración o amenaza de los derechos fundamentales del actor</w:t>
      </w:r>
      <w:r w:rsidR="00360DDA" w:rsidRPr="001E6B34">
        <w:rPr>
          <w:rFonts w:ascii="Georgia" w:hAnsi="Georgia" w:cs="Arial"/>
          <w:lang w:val="es-419"/>
        </w:rPr>
        <w:t>, por parte del estrado judicial accionado</w:t>
      </w:r>
      <w:r w:rsidRPr="001E6B34">
        <w:rPr>
          <w:rFonts w:ascii="Georgia" w:hAnsi="Georgia" w:cs="Arial"/>
          <w:lang w:val="es-419"/>
        </w:rPr>
        <w:t>.</w:t>
      </w:r>
      <w:r w:rsidR="00360DDA" w:rsidRPr="001E6B34">
        <w:rPr>
          <w:rFonts w:ascii="Georgia" w:hAnsi="Georgia" w:cs="Arial"/>
          <w:lang w:val="es-419"/>
        </w:rPr>
        <w:t xml:space="preserve"> Ninguna interpretación inadecuada se dio a las normas aplicables</w:t>
      </w:r>
      <w:r w:rsidR="00D82AB9" w:rsidRPr="001E6B34">
        <w:rPr>
          <w:rFonts w:ascii="Georgia" w:hAnsi="Georgia" w:cs="Arial"/>
          <w:vertAlign w:val="superscript"/>
          <w:lang w:val="es-419"/>
        </w:rPr>
        <w:footnoteReference w:id="26"/>
      </w:r>
      <w:r w:rsidR="00D82AB9" w:rsidRPr="001E6B34">
        <w:rPr>
          <w:rFonts w:ascii="Georgia" w:hAnsi="Georgia" w:cs="Arial"/>
          <w:lang w:val="es-419"/>
        </w:rPr>
        <w:t>, como se afirma en el petitorio de amparo</w:t>
      </w:r>
      <w:r w:rsidR="00360DDA" w:rsidRPr="001E6B34">
        <w:rPr>
          <w:rFonts w:ascii="Georgia" w:hAnsi="Georgia" w:cs="Arial"/>
          <w:lang w:val="es-419"/>
        </w:rPr>
        <w:t xml:space="preserve">. </w:t>
      </w:r>
      <w:r w:rsidRPr="001E6B34">
        <w:rPr>
          <w:rFonts w:ascii="Georgia" w:hAnsi="Georgia"/>
          <w:lang w:val="es-419"/>
        </w:rPr>
        <w:t>Itérese que el juicio de validez en sede de tutela impide que este mecanismo sea empleado como una instancia adicional para ventilar controversias desatadas por las autoridades competentes;</w:t>
      </w:r>
      <w:r w:rsidRPr="001E6B34">
        <w:rPr>
          <w:rFonts w:ascii="Georgia" w:hAnsi="Georgia" w:cs="Arial"/>
          <w:lang w:val="es-419"/>
        </w:rPr>
        <w:t xml:space="preserve"> en consecuencia, se negará. </w:t>
      </w:r>
    </w:p>
    <w:p w:rsidR="00960B01" w:rsidRPr="001E6B34" w:rsidRDefault="00960B01" w:rsidP="001E6B34">
      <w:pPr>
        <w:pStyle w:val="Textoindependiente"/>
        <w:spacing w:line="288" w:lineRule="auto"/>
        <w:rPr>
          <w:rFonts w:ascii="Georgia" w:hAnsi="Georgia"/>
          <w:color w:val="000000" w:themeColor="text1"/>
          <w:szCs w:val="24"/>
          <w:lang w:val="es-419"/>
        </w:rPr>
      </w:pPr>
    </w:p>
    <w:p w:rsidR="00336434" w:rsidRPr="001E6B34" w:rsidRDefault="00336434" w:rsidP="001E6B34">
      <w:pPr>
        <w:pStyle w:val="Textoindependiente"/>
        <w:spacing w:line="288" w:lineRule="auto"/>
        <w:rPr>
          <w:rFonts w:ascii="Georgia" w:hAnsi="Georgia" w:cs="Arial"/>
          <w:szCs w:val="24"/>
          <w:lang w:val="es-419"/>
        </w:rPr>
      </w:pPr>
      <w:r w:rsidRPr="001E6B34">
        <w:rPr>
          <w:rFonts w:ascii="Georgia" w:hAnsi="Georgia"/>
          <w:szCs w:val="24"/>
          <w:lang w:val="es-419"/>
        </w:rPr>
        <w:lastRenderedPageBreak/>
        <w:t>De otro lado, se declarará improcedente la pretensión en contra del CSJ, porque el interesado no le ha formulado pedimento alguno para que</w:t>
      </w:r>
      <w:r w:rsidR="002E609A" w:rsidRPr="001E6B34">
        <w:rPr>
          <w:rFonts w:ascii="Georgia" w:hAnsi="Georgia"/>
          <w:szCs w:val="24"/>
          <w:lang w:val="es-419"/>
        </w:rPr>
        <w:t xml:space="preserve"> ejerza funciones de regulación, control o vigilancia frente a las </w:t>
      </w:r>
      <w:r w:rsidRPr="001E6B34">
        <w:rPr>
          <w:rFonts w:ascii="Georgia" w:hAnsi="Georgia"/>
          <w:szCs w:val="24"/>
          <w:lang w:val="es-419"/>
        </w:rPr>
        <w:t xml:space="preserve">actuaciones </w:t>
      </w:r>
      <w:r w:rsidR="002E609A" w:rsidRPr="001E6B34">
        <w:rPr>
          <w:rFonts w:ascii="Georgia" w:hAnsi="Georgia"/>
          <w:szCs w:val="24"/>
          <w:lang w:val="es-419"/>
        </w:rPr>
        <w:t>surtidas en el proceso cuestionado</w:t>
      </w:r>
      <w:r w:rsidRPr="001E6B34">
        <w:rPr>
          <w:rFonts w:ascii="Georgia" w:hAnsi="Georgia"/>
          <w:szCs w:val="24"/>
          <w:lang w:val="es-419"/>
        </w:rPr>
        <w:t xml:space="preserve">. </w:t>
      </w:r>
      <w:r w:rsidRPr="001E6B34">
        <w:rPr>
          <w:rFonts w:ascii="Georgia" w:hAnsi="Georgia" w:cs="Arial"/>
          <w:szCs w:val="24"/>
          <w:lang w:val="es-419"/>
        </w:rPr>
        <w:t xml:space="preserve"> </w:t>
      </w:r>
    </w:p>
    <w:p w:rsidR="003309C1" w:rsidRPr="001E6B34" w:rsidRDefault="003309C1" w:rsidP="001E6B34">
      <w:pPr>
        <w:pStyle w:val="Textoindependiente"/>
        <w:spacing w:line="288" w:lineRule="auto"/>
        <w:rPr>
          <w:rFonts w:ascii="Georgia" w:hAnsi="Georgia" w:cs="Arial"/>
          <w:color w:val="000000" w:themeColor="text1"/>
          <w:lang w:val="es-419"/>
        </w:rPr>
      </w:pPr>
    </w:p>
    <w:p w:rsidR="001E047B" w:rsidRDefault="001E047B" w:rsidP="001E6B34">
      <w:pPr>
        <w:tabs>
          <w:tab w:val="left" w:pos="-720"/>
        </w:tabs>
        <w:suppressAutoHyphens/>
        <w:spacing w:line="288" w:lineRule="auto"/>
        <w:jc w:val="both"/>
        <w:rPr>
          <w:rFonts w:ascii="Georgia" w:hAnsi="Georgia" w:cs="Arial"/>
          <w:color w:val="000000" w:themeColor="text1"/>
          <w:lang w:val="es-419"/>
        </w:rPr>
      </w:pPr>
      <w:r w:rsidRPr="001E6B34">
        <w:rPr>
          <w:rFonts w:ascii="Georgia" w:hAnsi="Georgia" w:cs="Arial"/>
          <w:color w:val="000000" w:themeColor="text1"/>
          <w:lang w:val="es-419"/>
        </w:rPr>
        <w:t xml:space="preserve">En mérito de lo expuesto, el </w:t>
      </w:r>
      <w:r w:rsidRPr="001E6B34">
        <w:rPr>
          <w:rFonts w:ascii="Georgia" w:hAnsi="Georgia" w:cs="Arial"/>
          <w:bCs/>
          <w:smallCaps/>
          <w:color w:val="000000" w:themeColor="text1"/>
          <w:lang w:val="es-419"/>
        </w:rPr>
        <w:t>Tribunal Superior del Distrito Judicial de Pereira, Sala de Decisión Civil -Familia</w:t>
      </w:r>
      <w:r w:rsidRPr="001E6B34">
        <w:rPr>
          <w:rFonts w:ascii="Georgia" w:hAnsi="Georgia" w:cs="Arial"/>
          <w:color w:val="000000" w:themeColor="text1"/>
          <w:lang w:val="es-419"/>
        </w:rPr>
        <w:t xml:space="preserve">, administrando Justicia, en nombre de la República </w:t>
      </w:r>
      <w:r w:rsidR="00D41520" w:rsidRPr="001E6B34">
        <w:rPr>
          <w:rFonts w:ascii="Georgia" w:hAnsi="Georgia" w:cs="Arial"/>
          <w:color w:val="000000" w:themeColor="text1"/>
          <w:lang w:val="es-419"/>
        </w:rPr>
        <w:t xml:space="preserve">de Colombia </w:t>
      </w:r>
      <w:r w:rsidRPr="001E6B34">
        <w:rPr>
          <w:rFonts w:ascii="Georgia" w:hAnsi="Georgia" w:cs="Arial"/>
          <w:color w:val="000000" w:themeColor="text1"/>
          <w:lang w:val="es-419"/>
        </w:rPr>
        <w:t>y por autoridad de la Ley,</w:t>
      </w:r>
    </w:p>
    <w:p w:rsidR="001E6B34" w:rsidRPr="001E6B34" w:rsidRDefault="001E6B34" w:rsidP="001E6B34">
      <w:pPr>
        <w:tabs>
          <w:tab w:val="left" w:pos="-720"/>
        </w:tabs>
        <w:suppressAutoHyphens/>
        <w:spacing w:line="288" w:lineRule="auto"/>
        <w:jc w:val="both"/>
        <w:rPr>
          <w:rFonts w:ascii="Georgia" w:hAnsi="Georgia" w:cs="Arial"/>
          <w:color w:val="000000" w:themeColor="text1"/>
          <w:lang w:val="es-419"/>
        </w:rPr>
      </w:pPr>
    </w:p>
    <w:p w:rsidR="0047349A" w:rsidRPr="001E6B34" w:rsidRDefault="0047349A" w:rsidP="001E6B34">
      <w:pPr>
        <w:tabs>
          <w:tab w:val="left" w:pos="-720"/>
        </w:tabs>
        <w:suppressAutoHyphens/>
        <w:spacing w:line="288" w:lineRule="auto"/>
        <w:jc w:val="both"/>
        <w:rPr>
          <w:rFonts w:ascii="Georgia" w:hAnsi="Georgia" w:cs="Arial"/>
          <w:color w:val="000000" w:themeColor="text1"/>
          <w:sz w:val="8"/>
          <w:lang w:val="es-419"/>
        </w:rPr>
      </w:pPr>
    </w:p>
    <w:p w:rsidR="001E047B" w:rsidRPr="001E6B34" w:rsidRDefault="001E047B" w:rsidP="001E6B34">
      <w:pPr>
        <w:pStyle w:val="Textoindependiente"/>
        <w:spacing w:line="288" w:lineRule="auto"/>
        <w:jc w:val="center"/>
        <w:rPr>
          <w:rFonts w:ascii="Georgia" w:hAnsi="Georgia" w:cs="Arial"/>
          <w:bCs/>
          <w:color w:val="000000" w:themeColor="text1"/>
          <w:lang w:val="es-419"/>
        </w:rPr>
      </w:pPr>
      <w:r w:rsidRPr="001E6B34">
        <w:rPr>
          <w:rFonts w:ascii="Georgia" w:hAnsi="Georgia" w:cs="Arial"/>
          <w:bCs/>
          <w:color w:val="000000" w:themeColor="text1"/>
          <w:lang w:val="es-419"/>
        </w:rPr>
        <w:t>F A L L A,</w:t>
      </w:r>
    </w:p>
    <w:p w:rsidR="001E047B" w:rsidRPr="001E6B34" w:rsidRDefault="001E047B" w:rsidP="001E6B34">
      <w:pPr>
        <w:pStyle w:val="Textoindependiente"/>
        <w:spacing w:line="288" w:lineRule="auto"/>
        <w:jc w:val="center"/>
        <w:rPr>
          <w:rFonts w:ascii="Georgia" w:hAnsi="Georgia" w:cs="Arial"/>
          <w:bCs/>
          <w:color w:val="000000" w:themeColor="text1"/>
          <w:lang w:val="es-419"/>
        </w:rPr>
      </w:pPr>
    </w:p>
    <w:p w:rsidR="00336434" w:rsidRPr="001E6B34" w:rsidRDefault="00336434" w:rsidP="001E6B34">
      <w:pPr>
        <w:pStyle w:val="Textoindependiente"/>
        <w:numPr>
          <w:ilvl w:val="0"/>
          <w:numId w:val="6"/>
        </w:numPr>
        <w:tabs>
          <w:tab w:val="clear" w:pos="720"/>
        </w:tabs>
        <w:spacing w:line="288" w:lineRule="auto"/>
        <w:ind w:left="426" w:hanging="426"/>
        <w:rPr>
          <w:rFonts w:ascii="Georgia" w:hAnsi="Georgia" w:cs="Arial"/>
          <w:szCs w:val="24"/>
          <w:lang w:val="es-419"/>
        </w:rPr>
      </w:pPr>
      <w:r w:rsidRPr="001E6B34">
        <w:rPr>
          <w:rFonts w:ascii="Georgia" w:hAnsi="Georgia"/>
          <w:szCs w:val="24"/>
          <w:lang w:val="es-419"/>
        </w:rPr>
        <w:t xml:space="preserve">NEGAR </w:t>
      </w:r>
      <w:r w:rsidR="002E609A" w:rsidRPr="001E6B34">
        <w:rPr>
          <w:rFonts w:ascii="Georgia" w:hAnsi="Georgia" w:cs="Arial"/>
          <w:szCs w:val="24"/>
          <w:lang w:val="es-419"/>
        </w:rPr>
        <w:t>la acción de tutela</w:t>
      </w:r>
      <w:r w:rsidRPr="001E6B34">
        <w:rPr>
          <w:rFonts w:ascii="Georgia" w:hAnsi="Georgia"/>
          <w:szCs w:val="24"/>
          <w:lang w:val="es-419"/>
        </w:rPr>
        <w:t xml:space="preserve"> formulad</w:t>
      </w:r>
      <w:r w:rsidR="002E609A" w:rsidRPr="001E6B34">
        <w:rPr>
          <w:rFonts w:ascii="Georgia" w:hAnsi="Georgia"/>
          <w:szCs w:val="24"/>
          <w:lang w:val="es-419"/>
        </w:rPr>
        <w:t>a</w:t>
      </w:r>
      <w:r w:rsidRPr="001E6B34">
        <w:rPr>
          <w:rFonts w:ascii="Georgia" w:hAnsi="Georgia"/>
          <w:szCs w:val="24"/>
          <w:lang w:val="es-419"/>
        </w:rPr>
        <w:t xml:space="preserve"> por el señor Fabio de Jesús Izquierdo Vinasco</w:t>
      </w:r>
      <w:r w:rsidR="002E609A" w:rsidRPr="001E6B34">
        <w:rPr>
          <w:rFonts w:ascii="Georgia" w:hAnsi="Georgia" w:cs="Arial"/>
          <w:szCs w:val="24"/>
          <w:lang w:val="es-419"/>
        </w:rPr>
        <w:t xml:space="preserve"> en contra del Juzgado Único Promiscuo del Circuito de Belén de Umbría, R.</w:t>
      </w:r>
    </w:p>
    <w:p w:rsidR="00933977" w:rsidRPr="001E6B34" w:rsidRDefault="00933977" w:rsidP="001E6B34">
      <w:pPr>
        <w:pStyle w:val="Textoindependiente"/>
        <w:tabs>
          <w:tab w:val="clear" w:pos="708"/>
        </w:tabs>
        <w:spacing w:line="288" w:lineRule="auto"/>
        <w:ind w:left="426"/>
        <w:rPr>
          <w:rFonts w:ascii="Georgia" w:hAnsi="Georgia" w:cs="Arial"/>
          <w:color w:val="000000" w:themeColor="text1"/>
          <w:szCs w:val="24"/>
          <w:lang w:val="es-419"/>
        </w:rPr>
      </w:pPr>
    </w:p>
    <w:p w:rsidR="002E609A" w:rsidRPr="001E6B34" w:rsidRDefault="002E609A" w:rsidP="001E6B34">
      <w:pPr>
        <w:pStyle w:val="Textoindependiente"/>
        <w:numPr>
          <w:ilvl w:val="0"/>
          <w:numId w:val="6"/>
        </w:numPr>
        <w:tabs>
          <w:tab w:val="clear" w:pos="720"/>
        </w:tabs>
        <w:spacing w:line="288" w:lineRule="auto"/>
        <w:ind w:left="284"/>
        <w:rPr>
          <w:rFonts w:ascii="Georgia" w:hAnsi="Georgia" w:cs="Arial"/>
          <w:szCs w:val="24"/>
          <w:lang w:val="es-419"/>
        </w:rPr>
      </w:pPr>
      <w:r w:rsidRPr="001E6B34">
        <w:rPr>
          <w:rFonts w:ascii="Georgia" w:hAnsi="Georgia" w:cs="Arial"/>
          <w:szCs w:val="24"/>
          <w:lang w:val="es-419"/>
        </w:rPr>
        <w:t xml:space="preserve">DECLARAR IMPROCEDENTE amparo constitucional en contra del CSJ. </w:t>
      </w:r>
    </w:p>
    <w:p w:rsidR="002E609A" w:rsidRPr="001E6B34" w:rsidRDefault="002E609A" w:rsidP="001E6B34">
      <w:pPr>
        <w:pStyle w:val="Textoindependiente"/>
        <w:tabs>
          <w:tab w:val="clear" w:pos="708"/>
        </w:tabs>
        <w:spacing w:line="288" w:lineRule="auto"/>
        <w:ind w:left="426"/>
        <w:rPr>
          <w:rFonts w:ascii="Georgia" w:hAnsi="Georgia" w:cs="Arial"/>
          <w:color w:val="000000" w:themeColor="text1"/>
          <w:szCs w:val="24"/>
          <w:lang w:val="es-419"/>
        </w:rPr>
      </w:pPr>
    </w:p>
    <w:p w:rsidR="00D41520" w:rsidRPr="001E6B34" w:rsidRDefault="001E047B" w:rsidP="001E6B34">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1E6B34">
        <w:rPr>
          <w:rFonts w:ascii="Georgia" w:hAnsi="Georgia" w:cs="Arial"/>
          <w:color w:val="000000" w:themeColor="text1"/>
          <w:szCs w:val="24"/>
          <w:lang w:val="es-419"/>
        </w:rPr>
        <w:t>REMITIR este expediente, a la CC para su eventual revisión, de no ser impugnada.</w:t>
      </w:r>
    </w:p>
    <w:p w:rsidR="00D41520" w:rsidRPr="001E6B34" w:rsidRDefault="00D41520" w:rsidP="001E6B34">
      <w:pPr>
        <w:pStyle w:val="Prrafodelista"/>
        <w:spacing w:line="288" w:lineRule="auto"/>
        <w:ind w:left="426" w:hanging="426"/>
        <w:rPr>
          <w:rFonts w:ascii="Georgia" w:hAnsi="Georgia" w:cs="Arial"/>
          <w:bCs/>
          <w:lang w:val="es-419"/>
        </w:rPr>
      </w:pPr>
    </w:p>
    <w:p w:rsidR="001E047B" w:rsidRPr="001E6B34" w:rsidRDefault="001E047B" w:rsidP="001E6B34">
      <w:pPr>
        <w:pStyle w:val="Textoindependiente"/>
        <w:numPr>
          <w:ilvl w:val="0"/>
          <w:numId w:val="6"/>
        </w:numPr>
        <w:tabs>
          <w:tab w:val="clear" w:pos="720"/>
        </w:tabs>
        <w:spacing w:line="288" w:lineRule="auto"/>
        <w:ind w:left="426" w:hanging="426"/>
        <w:rPr>
          <w:rFonts w:ascii="Georgia" w:hAnsi="Georgia" w:cs="Arial"/>
          <w:szCs w:val="24"/>
          <w:lang w:val="es-419"/>
        </w:rPr>
      </w:pPr>
      <w:r w:rsidRPr="001E6B34">
        <w:rPr>
          <w:rFonts w:ascii="Georgia" w:hAnsi="Georgia" w:cs="Arial"/>
          <w:bCs/>
          <w:lang w:val="es-419"/>
        </w:rPr>
        <w:t xml:space="preserve">ARCHIVAR </w:t>
      </w:r>
      <w:r w:rsidRPr="001E6B34">
        <w:rPr>
          <w:rFonts w:ascii="Georgia" w:hAnsi="Georgia" w:cs="Arial"/>
          <w:lang w:val="es-419"/>
        </w:rPr>
        <w:t>el expediente, previa anotaciones en los libros radicadores.</w:t>
      </w:r>
    </w:p>
    <w:p w:rsidR="001E047B" w:rsidRPr="001E6B34" w:rsidRDefault="001E047B" w:rsidP="001E6B34">
      <w:pPr>
        <w:pStyle w:val="Textoindependiente"/>
        <w:spacing w:line="288" w:lineRule="auto"/>
        <w:ind w:left="426" w:hanging="426"/>
        <w:jc w:val="center"/>
        <w:rPr>
          <w:rFonts w:ascii="Georgia" w:hAnsi="Georgia"/>
          <w:smallCaps/>
          <w:szCs w:val="24"/>
          <w:lang w:val="es-419"/>
        </w:rPr>
      </w:pPr>
    </w:p>
    <w:p w:rsidR="001E047B" w:rsidRPr="001E6B34" w:rsidRDefault="001E047B" w:rsidP="001E6B34">
      <w:pPr>
        <w:pStyle w:val="Textoindependiente"/>
        <w:spacing w:line="288" w:lineRule="auto"/>
        <w:jc w:val="center"/>
        <w:rPr>
          <w:rFonts w:ascii="Georgia" w:hAnsi="Georgia"/>
          <w:smallCaps/>
          <w:sz w:val="28"/>
          <w:szCs w:val="24"/>
          <w:lang w:val="es-419"/>
        </w:rPr>
      </w:pPr>
      <w:r w:rsidRPr="001E6B34">
        <w:rPr>
          <w:rFonts w:ascii="Georgia" w:hAnsi="Georgia"/>
          <w:smallCaps/>
          <w:sz w:val="28"/>
          <w:szCs w:val="24"/>
          <w:lang w:val="es-419"/>
        </w:rPr>
        <w:t>Notifíquese,</w:t>
      </w:r>
    </w:p>
    <w:p w:rsidR="00336434" w:rsidRPr="001E6B34" w:rsidRDefault="00336434"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8"/>
          <w:lang w:val="es-419"/>
        </w:rPr>
      </w:pPr>
    </w:p>
    <w:p w:rsidR="00336434" w:rsidRPr="001E6B34" w:rsidRDefault="00336434"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8"/>
          <w:lang w:val="es-419"/>
        </w:rPr>
      </w:pPr>
    </w:p>
    <w:p w:rsidR="001E047B" w:rsidRPr="001E6B34" w:rsidRDefault="001E047B"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1E6B34">
        <w:rPr>
          <w:rFonts w:ascii="Georgia" w:hAnsi="Georgia" w:cs="Arial"/>
          <w:spacing w:val="-3"/>
          <w:w w:val="150"/>
          <w:sz w:val="28"/>
          <w:lang w:val="es-419"/>
        </w:rPr>
        <w:t>D</w:t>
      </w:r>
      <w:r w:rsidRPr="001E6B34">
        <w:rPr>
          <w:rFonts w:ascii="Georgia" w:hAnsi="Georgia" w:cs="Arial"/>
          <w:spacing w:val="-3"/>
          <w:w w:val="150"/>
          <w:sz w:val="18"/>
          <w:szCs w:val="16"/>
          <w:lang w:val="es-419"/>
        </w:rPr>
        <w:t xml:space="preserve">UBERNEY </w:t>
      </w:r>
      <w:r w:rsidRPr="001E6B34">
        <w:rPr>
          <w:rFonts w:ascii="Georgia" w:hAnsi="Georgia" w:cs="Arial"/>
          <w:spacing w:val="-3"/>
          <w:w w:val="150"/>
          <w:sz w:val="28"/>
          <w:lang w:val="es-419"/>
        </w:rPr>
        <w:t>G</w:t>
      </w:r>
      <w:r w:rsidRPr="001E6B34">
        <w:rPr>
          <w:rFonts w:ascii="Georgia" w:hAnsi="Georgia" w:cs="Arial"/>
          <w:spacing w:val="-3"/>
          <w:w w:val="150"/>
          <w:sz w:val="18"/>
          <w:szCs w:val="16"/>
          <w:lang w:val="es-419"/>
        </w:rPr>
        <w:t xml:space="preserve">RISALES </w:t>
      </w:r>
      <w:r w:rsidRPr="001E6B34">
        <w:rPr>
          <w:rFonts w:ascii="Georgia" w:hAnsi="Georgia" w:cs="Arial"/>
          <w:spacing w:val="-3"/>
          <w:w w:val="150"/>
          <w:sz w:val="28"/>
          <w:lang w:val="es-419"/>
        </w:rPr>
        <w:t>H</w:t>
      </w:r>
      <w:r w:rsidRPr="001E6B34">
        <w:rPr>
          <w:rFonts w:ascii="Georgia" w:hAnsi="Georgia" w:cs="Arial"/>
          <w:spacing w:val="-3"/>
          <w:w w:val="150"/>
          <w:sz w:val="18"/>
          <w:szCs w:val="16"/>
          <w:lang w:val="es-419"/>
        </w:rPr>
        <w:t>ERRERA</w:t>
      </w:r>
    </w:p>
    <w:p w:rsidR="002E609A" w:rsidRPr="001E6B34" w:rsidRDefault="002E609A"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1E6B34">
        <w:rPr>
          <w:rFonts w:ascii="Georgia" w:hAnsi="Georgia" w:cs="Arial"/>
          <w:spacing w:val="-3"/>
          <w:w w:val="150"/>
          <w:sz w:val="28"/>
          <w:lang w:val="es-419"/>
        </w:rPr>
        <w:tab/>
      </w:r>
      <w:r w:rsidRPr="001E6B34">
        <w:rPr>
          <w:rFonts w:ascii="Georgia" w:hAnsi="Georgia" w:cs="Arial"/>
          <w:spacing w:val="-3"/>
          <w:w w:val="150"/>
          <w:sz w:val="28"/>
          <w:lang w:val="es-419"/>
        </w:rPr>
        <w:tab/>
      </w:r>
      <w:r w:rsidRPr="001E6B34">
        <w:rPr>
          <w:rFonts w:ascii="Georgia" w:hAnsi="Georgia" w:cs="Arial"/>
          <w:spacing w:val="-3"/>
          <w:w w:val="150"/>
          <w:sz w:val="28"/>
          <w:lang w:val="es-419"/>
        </w:rPr>
        <w:tab/>
        <w:t>M</w:t>
      </w:r>
      <w:r w:rsidRPr="001E6B34">
        <w:rPr>
          <w:rFonts w:ascii="Georgia" w:hAnsi="Georgia" w:cs="Arial"/>
          <w:spacing w:val="-3"/>
          <w:w w:val="150"/>
          <w:lang w:val="es-419"/>
        </w:rPr>
        <w:t xml:space="preserve"> </w:t>
      </w:r>
      <w:r w:rsidRPr="001E6B34">
        <w:rPr>
          <w:rFonts w:ascii="Georgia" w:hAnsi="Georgia" w:cs="Arial"/>
          <w:spacing w:val="-3"/>
          <w:w w:val="150"/>
          <w:sz w:val="18"/>
          <w:szCs w:val="20"/>
          <w:lang w:val="es-419"/>
        </w:rPr>
        <w:t xml:space="preserve">A G I S T R A D O  (ACLARA VOTO) </w:t>
      </w:r>
    </w:p>
    <w:p w:rsidR="00336434" w:rsidRPr="001E6B34" w:rsidRDefault="00336434"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8"/>
          <w:szCs w:val="18"/>
          <w:lang w:val="es-419"/>
        </w:rPr>
      </w:pPr>
    </w:p>
    <w:p w:rsidR="00336434" w:rsidRPr="001E6B34" w:rsidRDefault="00336434"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8"/>
          <w:szCs w:val="18"/>
          <w:lang w:val="es-419"/>
        </w:rPr>
      </w:pPr>
    </w:p>
    <w:p w:rsidR="001E047B" w:rsidRPr="001E6B34" w:rsidRDefault="001E047B"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1E6B34">
        <w:rPr>
          <w:rFonts w:ascii="Georgia" w:hAnsi="Georgia"/>
          <w:w w:val="150"/>
          <w:sz w:val="28"/>
          <w:szCs w:val="18"/>
          <w:lang w:val="es-419"/>
        </w:rPr>
        <w:t>E</w:t>
      </w:r>
      <w:r w:rsidRPr="001E6B34">
        <w:rPr>
          <w:rFonts w:ascii="Georgia" w:hAnsi="Georgia"/>
          <w:w w:val="150"/>
          <w:sz w:val="18"/>
          <w:szCs w:val="18"/>
          <w:lang w:val="es-419"/>
        </w:rPr>
        <w:t>DDER</w:t>
      </w:r>
      <w:r w:rsidRPr="001E6B34">
        <w:rPr>
          <w:rFonts w:ascii="Georgia" w:hAnsi="Georgia"/>
          <w:w w:val="150"/>
          <w:sz w:val="18"/>
          <w:lang w:val="es-419"/>
        </w:rPr>
        <w:t xml:space="preserve"> </w:t>
      </w:r>
      <w:r w:rsidRPr="001E6B34">
        <w:rPr>
          <w:rFonts w:ascii="Georgia" w:hAnsi="Georgia"/>
          <w:w w:val="150"/>
          <w:sz w:val="28"/>
          <w:lang w:val="es-419"/>
        </w:rPr>
        <w:t>J</w:t>
      </w:r>
      <w:r w:rsidRPr="001E6B34">
        <w:rPr>
          <w:rFonts w:ascii="Georgia" w:hAnsi="Georgia"/>
          <w:w w:val="150"/>
          <w:sz w:val="18"/>
          <w:szCs w:val="18"/>
          <w:lang w:val="es-419"/>
        </w:rPr>
        <w:t xml:space="preserve">IMMY </w:t>
      </w:r>
      <w:r w:rsidRPr="001E6B34">
        <w:rPr>
          <w:rFonts w:ascii="Georgia" w:hAnsi="Georgia"/>
          <w:w w:val="150"/>
          <w:sz w:val="28"/>
          <w:lang w:val="es-419"/>
        </w:rPr>
        <w:t>S</w:t>
      </w:r>
      <w:r w:rsidRPr="001E6B34">
        <w:rPr>
          <w:rFonts w:ascii="Georgia" w:hAnsi="Georgia"/>
          <w:w w:val="150"/>
          <w:sz w:val="18"/>
          <w:szCs w:val="18"/>
          <w:lang w:val="es-419"/>
        </w:rPr>
        <w:t xml:space="preserve">ÁNCHEZ </w:t>
      </w:r>
      <w:r w:rsidRPr="001E6B34">
        <w:rPr>
          <w:rFonts w:ascii="Georgia" w:hAnsi="Georgia"/>
          <w:w w:val="150"/>
          <w:sz w:val="28"/>
          <w:szCs w:val="18"/>
          <w:lang w:val="es-419"/>
        </w:rPr>
        <w:t>C.</w:t>
      </w:r>
      <w:r w:rsidRPr="001E6B34">
        <w:rPr>
          <w:rFonts w:ascii="Georgia" w:hAnsi="Georgia"/>
          <w:w w:val="150"/>
          <w:sz w:val="28"/>
          <w:szCs w:val="18"/>
          <w:lang w:val="es-419"/>
        </w:rPr>
        <w:tab/>
      </w:r>
      <w:r w:rsidRPr="001E6B34">
        <w:rPr>
          <w:rFonts w:ascii="Georgia" w:hAnsi="Georgia"/>
          <w:w w:val="150"/>
          <w:sz w:val="28"/>
          <w:szCs w:val="18"/>
          <w:lang w:val="es-419"/>
        </w:rPr>
        <w:tab/>
      </w:r>
      <w:r w:rsidRPr="001E6B34">
        <w:rPr>
          <w:rFonts w:ascii="Georgia" w:hAnsi="Georgia" w:cs="Arial"/>
          <w:spacing w:val="-3"/>
          <w:w w:val="150"/>
          <w:sz w:val="28"/>
          <w:szCs w:val="18"/>
          <w:lang w:val="es-419"/>
        </w:rPr>
        <w:t>J</w:t>
      </w:r>
      <w:r w:rsidRPr="001E6B34">
        <w:rPr>
          <w:rFonts w:ascii="Georgia" w:hAnsi="Georgia" w:cs="Arial"/>
          <w:spacing w:val="-3"/>
          <w:w w:val="150"/>
          <w:sz w:val="18"/>
          <w:szCs w:val="18"/>
          <w:lang w:val="es-419"/>
        </w:rPr>
        <w:t xml:space="preserve">AIME </w:t>
      </w:r>
      <w:r w:rsidRPr="001E6B34">
        <w:rPr>
          <w:rFonts w:ascii="Georgia" w:hAnsi="Georgia" w:cs="Arial"/>
          <w:spacing w:val="-3"/>
          <w:w w:val="150"/>
          <w:sz w:val="28"/>
          <w:szCs w:val="18"/>
          <w:lang w:val="es-419"/>
        </w:rPr>
        <w:t>A</w:t>
      </w:r>
      <w:r w:rsidRPr="001E6B34">
        <w:rPr>
          <w:rFonts w:ascii="Georgia" w:hAnsi="Georgia"/>
          <w:w w:val="150"/>
          <w:sz w:val="18"/>
          <w:szCs w:val="18"/>
          <w:lang w:val="es-419"/>
        </w:rPr>
        <w:t xml:space="preserve">LBERTO </w:t>
      </w:r>
      <w:r w:rsidRPr="001E6B34">
        <w:rPr>
          <w:rFonts w:ascii="Georgia" w:hAnsi="Georgia" w:cs="Arial"/>
          <w:spacing w:val="-3"/>
          <w:w w:val="150"/>
          <w:sz w:val="28"/>
          <w:szCs w:val="18"/>
          <w:lang w:val="es-419"/>
        </w:rPr>
        <w:t>S</w:t>
      </w:r>
      <w:r w:rsidRPr="001E6B34">
        <w:rPr>
          <w:rFonts w:ascii="Georgia" w:hAnsi="Georgia" w:cs="Arial"/>
          <w:spacing w:val="-3"/>
          <w:w w:val="150"/>
          <w:sz w:val="18"/>
          <w:szCs w:val="16"/>
          <w:lang w:val="es-419"/>
        </w:rPr>
        <w:t xml:space="preserve">ARAZA </w:t>
      </w:r>
      <w:r w:rsidRPr="001E6B34">
        <w:rPr>
          <w:rFonts w:ascii="Georgia" w:hAnsi="Georgia" w:cs="Arial"/>
          <w:spacing w:val="-3"/>
          <w:w w:val="150"/>
          <w:sz w:val="28"/>
          <w:szCs w:val="18"/>
          <w:lang w:val="es-419"/>
        </w:rPr>
        <w:t>N.</w:t>
      </w:r>
    </w:p>
    <w:p w:rsidR="001E6B34" w:rsidRPr="001E6B34" w:rsidRDefault="002C48C6"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2"/>
          <w:lang w:val="es-419"/>
        </w:rPr>
      </w:pPr>
      <w:r w:rsidRPr="001E6B34">
        <w:rPr>
          <w:rFonts w:ascii="Georgia" w:hAnsi="Georgia" w:cs="Arial"/>
          <w:w w:val="150"/>
          <w:sz w:val="28"/>
          <w:lang w:val="es-419"/>
        </w:rPr>
        <w:t xml:space="preserve">       </w:t>
      </w:r>
      <w:r w:rsidR="001E047B" w:rsidRPr="001E6B34">
        <w:rPr>
          <w:rFonts w:ascii="Georgia" w:hAnsi="Georgia" w:cs="Arial"/>
          <w:w w:val="150"/>
          <w:sz w:val="28"/>
          <w:lang w:val="es-419"/>
        </w:rPr>
        <w:t>M</w:t>
      </w:r>
      <w:r w:rsidR="001E047B" w:rsidRPr="001E6B34">
        <w:rPr>
          <w:rFonts w:ascii="Georgia" w:hAnsi="Georgia" w:cs="Arial"/>
          <w:w w:val="150"/>
          <w:sz w:val="18"/>
          <w:lang w:val="es-419"/>
        </w:rPr>
        <w:t xml:space="preserve"> A G I S T R A D O </w:t>
      </w:r>
      <w:r w:rsidR="001E047B" w:rsidRPr="001E6B34">
        <w:rPr>
          <w:rFonts w:ascii="Georgia" w:hAnsi="Georgia" w:cs="Arial"/>
          <w:w w:val="150"/>
          <w:sz w:val="18"/>
          <w:lang w:val="es-419"/>
        </w:rPr>
        <w:tab/>
      </w:r>
      <w:r w:rsidR="001E047B" w:rsidRPr="001E6B34">
        <w:rPr>
          <w:rFonts w:ascii="Georgia" w:hAnsi="Georgia" w:cs="Arial"/>
          <w:w w:val="150"/>
          <w:sz w:val="18"/>
          <w:lang w:val="es-419"/>
        </w:rPr>
        <w:tab/>
      </w:r>
      <w:r w:rsidR="001E047B" w:rsidRPr="001E6B34">
        <w:rPr>
          <w:rFonts w:ascii="Georgia" w:hAnsi="Georgia" w:cs="Arial"/>
          <w:w w:val="150"/>
          <w:sz w:val="18"/>
          <w:lang w:val="es-419"/>
        </w:rPr>
        <w:tab/>
      </w:r>
      <w:r w:rsidR="001E047B" w:rsidRPr="001E6B34">
        <w:rPr>
          <w:rFonts w:ascii="Georgia" w:hAnsi="Georgia" w:cs="Arial"/>
          <w:w w:val="150"/>
          <w:sz w:val="18"/>
          <w:lang w:val="es-419"/>
        </w:rPr>
        <w:tab/>
      </w:r>
      <w:r w:rsidRPr="001E6B34">
        <w:rPr>
          <w:rFonts w:ascii="Georgia" w:hAnsi="Georgia" w:cs="Arial"/>
          <w:w w:val="150"/>
          <w:sz w:val="18"/>
          <w:lang w:val="es-419"/>
        </w:rPr>
        <w:t xml:space="preserve">  </w:t>
      </w:r>
      <w:r w:rsidR="001E047B" w:rsidRPr="001E6B34">
        <w:rPr>
          <w:rFonts w:ascii="Georgia" w:hAnsi="Georgia" w:cs="Arial"/>
          <w:w w:val="150"/>
          <w:sz w:val="28"/>
          <w:lang w:val="es-419"/>
        </w:rPr>
        <w:t>M</w:t>
      </w:r>
      <w:r w:rsidR="001E6B34">
        <w:rPr>
          <w:rFonts w:ascii="Georgia" w:hAnsi="Georgia" w:cs="Arial"/>
          <w:w w:val="150"/>
          <w:sz w:val="18"/>
          <w:lang w:val="es-419"/>
        </w:rPr>
        <w:t xml:space="preserve"> A G I S T R A D O</w:t>
      </w:r>
    </w:p>
    <w:p w:rsidR="00C50868" w:rsidRPr="001E6B34" w:rsidRDefault="00C50868" w:rsidP="001E6B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right"/>
        <w:textAlignment w:val="baseline"/>
        <w:rPr>
          <w:rFonts w:ascii="Georgia" w:hAnsi="Georgia" w:cs="Arial"/>
          <w:w w:val="150"/>
          <w:sz w:val="12"/>
          <w:lang w:val="es-419"/>
        </w:rPr>
      </w:pPr>
    </w:p>
    <w:sectPr w:rsidR="00C50868" w:rsidRPr="001E6B34" w:rsidSect="001E6B34">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A8" w:rsidRDefault="007E6CA8" w:rsidP="0099045D">
      <w:r>
        <w:separator/>
      </w:r>
    </w:p>
  </w:endnote>
  <w:endnote w:type="continuationSeparator" w:id="0">
    <w:p w:rsidR="007E6CA8" w:rsidRDefault="007E6CA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A8" w:rsidRDefault="007E6CA8" w:rsidP="0099045D">
      <w:r>
        <w:separator/>
      </w:r>
    </w:p>
  </w:footnote>
  <w:footnote w:type="continuationSeparator" w:id="0">
    <w:p w:rsidR="007E6CA8" w:rsidRDefault="007E6CA8" w:rsidP="0099045D">
      <w:r>
        <w:continuationSeparator/>
      </w:r>
    </w:p>
  </w:footnote>
  <w:footnote w:id="1">
    <w:p w:rsidR="006921D7" w:rsidRPr="001E6B34" w:rsidRDefault="006921D7"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QUINCHE R., Manuel F. Vías de hecho, acción de tutela contra providencias, Temis SA, Bogotá, 2013, p.103.</w:t>
      </w:r>
    </w:p>
  </w:footnote>
  <w:footnote w:id="2">
    <w:p w:rsidR="006921D7" w:rsidRPr="001E6B34" w:rsidRDefault="006921D7"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QUIROGA N., Édgar A. Tutela contra decisiones judiciales, Universidad Santo Tomás y editorial Ibáñez, Bogotá DC, 2014, p.83.</w:t>
      </w:r>
    </w:p>
  </w:footnote>
  <w:footnote w:id="3">
    <w:p w:rsidR="006921D7" w:rsidRPr="001E6B34" w:rsidRDefault="006921D7"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w:t>
      </w:r>
      <w:r w:rsidRPr="001E6B34">
        <w:rPr>
          <w:rFonts w:ascii="Arial" w:hAnsi="Arial" w:cs="Arial"/>
          <w:sz w:val="18"/>
          <w:szCs w:val="22"/>
          <w:lang w:val="es-MX"/>
        </w:rPr>
        <w:t>CC. T-917 de 2011.</w:t>
      </w:r>
    </w:p>
  </w:footnote>
  <w:footnote w:id="4">
    <w:p w:rsidR="006921D7" w:rsidRPr="001E6B34" w:rsidRDefault="006921D7"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lang w:val="es-MX"/>
        </w:rPr>
        <w:t xml:space="preserve"> CC. C-590 de 2005.</w:t>
      </w:r>
    </w:p>
  </w:footnote>
  <w:footnote w:id="5">
    <w:p w:rsidR="006921D7" w:rsidRPr="001E6B34" w:rsidRDefault="006921D7"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lang w:val="es-MX"/>
        </w:rPr>
        <w:t xml:space="preserve"> CC. </w:t>
      </w:r>
      <w:r w:rsidR="001D4485" w:rsidRPr="001E6B34">
        <w:rPr>
          <w:rFonts w:ascii="Arial" w:hAnsi="Arial" w:cs="Arial"/>
          <w:sz w:val="18"/>
          <w:szCs w:val="22"/>
          <w:lang w:val="es-MX"/>
        </w:rPr>
        <w:t xml:space="preserve">SU116-2018, </w:t>
      </w:r>
      <w:r w:rsidRPr="001E6B34">
        <w:rPr>
          <w:rFonts w:ascii="Arial" w:hAnsi="Arial" w:cs="Arial"/>
          <w:bCs/>
          <w:sz w:val="18"/>
          <w:szCs w:val="22"/>
        </w:rPr>
        <w:t>SU-056 de 2018</w:t>
      </w:r>
      <w:r w:rsidRPr="001E6B34">
        <w:rPr>
          <w:rFonts w:ascii="Arial" w:hAnsi="Arial" w:cs="Arial"/>
          <w:sz w:val="18"/>
          <w:szCs w:val="22"/>
          <w:lang w:val="es-MX"/>
        </w:rPr>
        <w:t xml:space="preserve">, </w:t>
      </w:r>
      <w:hyperlink r:id="rId1" w:history="1">
        <w:r w:rsidRPr="001E6B34">
          <w:rPr>
            <w:rStyle w:val="Hipervnculo"/>
            <w:rFonts w:ascii="Arial" w:hAnsi="Arial" w:cs="Arial"/>
            <w:bCs/>
            <w:color w:val="000000"/>
            <w:sz w:val="18"/>
            <w:szCs w:val="22"/>
            <w:u w:val="none"/>
          </w:rPr>
          <w:t>SU-336 de 2017</w:t>
        </w:r>
      </w:hyperlink>
      <w:r w:rsidRPr="001E6B34">
        <w:rPr>
          <w:rFonts w:ascii="Arial" w:hAnsi="Arial" w:cs="Arial"/>
          <w:bCs/>
          <w:color w:val="000000"/>
          <w:sz w:val="18"/>
          <w:szCs w:val="22"/>
        </w:rPr>
        <w:t>, </w:t>
      </w:r>
      <w:hyperlink r:id="rId2" w:history="1">
        <w:r w:rsidRPr="001E6B34">
          <w:rPr>
            <w:rStyle w:val="Hipervnculo"/>
            <w:rFonts w:ascii="Arial" w:hAnsi="Arial" w:cs="Arial"/>
            <w:bCs/>
            <w:color w:val="000000"/>
            <w:sz w:val="18"/>
            <w:szCs w:val="22"/>
            <w:u w:val="none"/>
          </w:rPr>
          <w:t>SU-354 de 2017</w:t>
        </w:r>
      </w:hyperlink>
      <w:r w:rsidRPr="001E6B34">
        <w:rPr>
          <w:rFonts w:ascii="Arial" w:hAnsi="Arial" w:cs="Arial"/>
          <w:bCs/>
          <w:color w:val="000000"/>
          <w:sz w:val="18"/>
          <w:szCs w:val="22"/>
          <w:lang w:val="es-ES_tradnl"/>
        </w:rPr>
        <w:t xml:space="preserve">, </w:t>
      </w:r>
      <w:r w:rsidRPr="001E6B34">
        <w:rPr>
          <w:rFonts w:ascii="Arial" w:hAnsi="Arial" w:cs="Arial"/>
          <w:bCs/>
          <w:sz w:val="18"/>
          <w:szCs w:val="22"/>
          <w:lang w:val="es-ES_tradnl"/>
        </w:rPr>
        <w:t xml:space="preserve">T-137 de 2017 y </w:t>
      </w:r>
      <w:r w:rsidRPr="001E6B34">
        <w:rPr>
          <w:rFonts w:ascii="Arial" w:hAnsi="Arial" w:cs="Arial"/>
          <w:bCs/>
          <w:sz w:val="18"/>
          <w:szCs w:val="22"/>
        </w:rPr>
        <w:t>SU-222 de 2016</w:t>
      </w:r>
      <w:r w:rsidRPr="001E6B34">
        <w:rPr>
          <w:rFonts w:ascii="Arial" w:hAnsi="Arial" w:cs="Arial"/>
          <w:sz w:val="18"/>
          <w:szCs w:val="22"/>
          <w:lang w:val="es-MX"/>
        </w:rPr>
        <w:t>.</w:t>
      </w:r>
    </w:p>
  </w:footnote>
  <w:footnote w:id="6">
    <w:p w:rsidR="006921D7" w:rsidRPr="001E6B34" w:rsidRDefault="006921D7"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w:t>
      </w:r>
      <w:r w:rsidRPr="001E6B34">
        <w:rPr>
          <w:rFonts w:ascii="Arial" w:hAnsi="Arial" w:cs="Arial"/>
          <w:sz w:val="18"/>
          <w:szCs w:val="22"/>
          <w:lang w:val="es-MX"/>
        </w:rPr>
        <w:t>CC. T-307 de 2015.</w:t>
      </w:r>
    </w:p>
  </w:footnote>
  <w:footnote w:id="7">
    <w:p w:rsidR="006921D7" w:rsidRPr="001E6B34" w:rsidRDefault="006921D7" w:rsidP="00336434">
      <w:pPr>
        <w:pStyle w:val="Textonotapie"/>
        <w:jc w:val="both"/>
        <w:rPr>
          <w:rFonts w:ascii="Arial" w:hAnsi="Arial" w:cs="Arial"/>
          <w:sz w:val="18"/>
          <w:szCs w:val="22"/>
        </w:rPr>
      </w:pPr>
      <w:r w:rsidRPr="001E6B34">
        <w:rPr>
          <w:rFonts w:ascii="Arial" w:hAnsi="Arial" w:cs="Arial"/>
          <w:sz w:val="18"/>
          <w:szCs w:val="22"/>
          <w:vertAlign w:val="superscript"/>
        </w:rPr>
        <w:footnoteRef/>
      </w:r>
      <w:r w:rsidRPr="001E6B34">
        <w:rPr>
          <w:rFonts w:ascii="Arial" w:hAnsi="Arial" w:cs="Arial"/>
          <w:sz w:val="18"/>
          <w:szCs w:val="22"/>
        </w:rPr>
        <w:t xml:space="preserve"> ESCUELA JUDICIAL RODRIGO LARA BONILLA. </w:t>
      </w:r>
      <w:r w:rsidRPr="001E6B34">
        <w:rPr>
          <w:rFonts w:ascii="Arial" w:hAnsi="Arial" w:cs="Arial"/>
          <w:sz w:val="18"/>
          <w:szCs w:val="22"/>
          <w:lang w:val="es-CO"/>
        </w:rPr>
        <w:t xml:space="preserve">La acción de tutela en el ordenamiento constitucional colombiano, Universidad Nacional de Colombia, Catalina Botero Marino, </w:t>
      </w:r>
      <w:proofErr w:type="spellStart"/>
      <w:r w:rsidRPr="001E6B34">
        <w:rPr>
          <w:rFonts w:ascii="Arial" w:hAnsi="Arial" w:cs="Arial"/>
          <w:sz w:val="18"/>
          <w:szCs w:val="22"/>
          <w:lang w:val="es-CO"/>
        </w:rPr>
        <w:t>Ediprime</w:t>
      </w:r>
      <w:proofErr w:type="spellEnd"/>
      <w:r w:rsidRPr="001E6B34">
        <w:rPr>
          <w:rFonts w:ascii="Arial" w:hAnsi="Arial" w:cs="Arial"/>
          <w:sz w:val="18"/>
          <w:szCs w:val="22"/>
          <w:lang w:val="es-CO"/>
        </w:rPr>
        <w:t xml:space="preserve"> Ltda., 2006, p.61-75.</w:t>
      </w:r>
    </w:p>
  </w:footnote>
  <w:footnote w:id="8">
    <w:p w:rsidR="006921D7" w:rsidRPr="001E6B34" w:rsidRDefault="006921D7"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QUINCHE R., Manuel F. La acción de tutela, el amparo en Colombia, Bogotá DC, 2011, p.233-285.</w:t>
      </w:r>
    </w:p>
  </w:footnote>
  <w:footnote w:id="9">
    <w:p w:rsidR="00134286" w:rsidRPr="001E6B34" w:rsidRDefault="00134286"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lang w:val="es-MX"/>
        </w:rPr>
        <w:t xml:space="preserve"> CC. T-231 de 1994.</w:t>
      </w:r>
    </w:p>
  </w:footnote>
  <w:footnote w:id="10">
    <w:p w:rsidR="00134286" w:rsidRPr="001E6B34" w:rsidRDefault="00134286"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w:t>
      </w:r>
      <w:r w:rsidRPr="001E6B34">
        <w:rPr>
          <w:rFonts w:ascii="Arial" w:hAnsi="Arial" w:cs="Arial"/>
          <w:sz w:val="18"/>
          <w:szCs w:val="22"/>
          <w:lang w:val="es-MX"/>
        </w:rPr>
        <w:t>CC. T-831 de 2012.</w:t>
      </w:r>
    </w:p>
  </w:footnote>
  <w:footnote w:id="11">
    <w:p w:rsidR="00134286" w:rsidRPr="001E6B34" w:rsidRDefault="00134286"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QUINCHE R., Manuel F. La acción de tutela, el amparo en Colombia, Bogotá DC, 2011, p.268.</w:t>
      </w:r>
    </w:p>
  </w:footnote>
  <w:footnote w:id="12">
    <w:p w:rsidR="00134286" w:rsidRPr="001E6B34" w:rsidRDefault="00134286" w:rsidP="00336434">
      <w:pPr>
        <w:pStyle w:val="Textonotapie"/>
        <w:jc w:val="both"/>
        <w:rPr>
          <w:rFonts w:ascii="Arial" w:hAnsi="Arial" w:cs="Arial"/>
          <w:sz w:val="18"/>
          <w:szCs w:val="22"/>
        </w:rPr>
      </w:pPr>
      <w:r w:rsidRPr="001E6B34">
        <w:rPr>
          <w:rFonts w:ascii="Arial" w:hAnsi="Arial" w:cs="Arial"/>
          <w:sz w:val="18"/>
          <w:szCs w:val="22"/>
          <w:vertAlign w:val="superscript"/>
        </w:rPr>
        <w:footnoteRef/>
      </w:r>
      <w:r w:rsidRPr="001E6B34">
        <w:rPr>
          <w:rFonts w:ascii="Arial" w:hAnsi="Arial" w:cs="Arial"/>
          <w:sz w:val="18"/>
          <w:szCs w:val="22"/>
          <w:lang w:val="es-CO"/>
        </w:rPr>
        <w:t xml:space="preserve"> </w:t>
      </w:r>
      <w:r w:rsidRPr="001E6B34">
        <w:rPr>
          <w:rFonts w:ascii="Arial" w:hAnsi="Arial" w:cs="Arial"/>
          <w:sz w:val="18"/>
          <w:szCs w:val="22"/>
          <w:lang w:val="es-MX"/>
        </w:rPr>
        <w:t>CC</w:t>
      </w:r>
      <w:r w:rsidRPr="001E6B34">
        <w:rPr>
          <w:rFonts w:ascii="Arial" w:hAnsi="Arial" w:cs="Arial"/>
          <w:sz w:val="18"/>
          <w:szCs w:val="22"/>
          <w:lang w:val="es-CO"/>
        </w:rPr>
        <w:t>. T-573 de 1997.</w:t>
      </w:r>
    </w:p>
  </w:footnote>
  <w:footnote w:id="13">
    <w:p w:rsidR="00134286" w:rsidRPr="001E6B34" w:rsidRDefault="00134286" w:rsidP="00336434">
      <w:pPr>
        <w:pStyle w:val="Textonotapie"/>
        <w:jc w:val="both"/>
        <w:rPr>
          <w:rFonts w:ascii="Arial" w:hAnsi="Arial" w:cs="Arial"/>
          <w:sz w:val="18"/>
          <w:szCs w:val="22"/>
        </w:rPr>
      </w:pPr>
      <w:r w:rsidRPr="001E6B34">
        <w:rPr>
          <w:rFonts w:ascii="Arial" w:hAnsi="Arial" w:cs="Arial"/>
          <w:sz w:val="18"/>
          <w:szCs w:val="22"/>
          <w:vertAlign w:val="superscript"/>
        </w:rPr>
        <w:footnoteRef/>
      </w:r>
      <w:r w:rsidRPr="001E6B34">
        <w:rPr>
          <w:rFonts w:ascii="Arial" w:hAnsi="Arial" w:cs="Arial"/>
          <w:sz w:val="18"/>
          <w:szCs w:val="22"/>
          <w:lang w:val="es-CO"/>
        </w:rPr>
        <w:t xml:space="preserve"> </w:t>
      </w:r>
      <w:r w:rsidRPr="001E6B34">
        <w:rPr>
          <w:rFonts w:ascii="Arial" w:hAnsi="Arial" w:cs="Arial"/>
          <w:sz w:val="18"/>
          <w:szCs w:val="22"/>
          <w:lang w:val="es-MX"/>
        </w:rPr>
        <w:t>CC</w:t>
      </w:r>
      <w:r w:rsidRPr="001E6B34">
        <w:rPr>
          <w:rFonts w:ascii="Arial" w:hAnsi="Arial" w:cs="Arial"/>
          <w:sz w:val="18"/>
          <w:szCs w:val="22"/>
          <w:lang w:val="es-CO"/>
        </w:rPr>
        <w:t>. T-567 de 1998.</w:t>
      </w:r>
    </w:p>
  </w:footnote>
  <w:footnote w:id="14">
    <w:p w:rsidR="00134286" w:rsidRPr="001E6B34" w:rsidRDefault="00134286" w:rsidP="00336434">
      <w:pPr>
        <w:pStyle w:val="Textonotapie"/>
        <w:jc w:val="both"/>
        <w:rPr>
          <w:rFonts w:ascii="Arial" w:hAnsi="Arial" w:cs="Arial"/>
          <w:sz w:val="18"/>
          <w:szCs w:val="22"/>
        </w:rPr>
      </w:pPr>
      <w:r w:rsidRPr="001E6B34">
        <w:rPr>
          <w:rFonts w:ascii="Arial" w:hAnsi="Arial" w:cs="Arial"/>
          <w:sz w:val="18"/>
          <w:szCs w:val="22"/>
          <w:vertAlign w:val="superscript"/>
        </w:rPr>
        <w:footnoteRef/>
      </w:r>
      <w:r w:rsidRPr="001E6B34">
        <w:rPr>
          <w:rFonts w:ascii="Arial" w:hAnsi="Arial" w:cs="Arial"/>
          <w:sz w:val="18"/>
          <w:szCs w:val="22"/>
          <w:lang w:val="es-CO"/>
        </w:rPr>
        <w:t xml:space="preserve"> </w:t>
      </w:r>
      <w:r w:rsidRPr="001E6B34">
        <w:rPr>
          <w:rFonts w:ascii="Arial" w:hAnsi="Arial" w:cs="Arial"/>
          <w:sz w:val="18"/>
          <w:szCs w:val="22"/>
          <w:lang w:val="es-MX"/>
        </w:rPr>
        <w:t>CC</w:t>
      </w:r>
      <w:r w:rsidRPr="001E6B34">
        <w:rPr>
          <w:rFonts w:ascii="Arial" w:hAnsi="Arial" w:cs="Arial"/>
          <w:sz w:val="18"/>
          <w:szCs w:val="22"/>
          <w:lang w:val="es-CO"/>
        </w:rPr>
        <w:t>. T-001 de 1999.</w:t>
      </w:r>
    </w:p>
  </w:footnote>
  <w:footnote w:id="15">
    <w:p w:rsidR="00134286" w:rsidRPr="001E6B34" w:rsidRDefault="00134286"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w:t>
      </w:r>
      <w:r w:rsidRPr="001E6B34">
        <w:rPr>
          <w:rFonts w:ascii="Arial" w:hAnsi="Arial" w:cs="Arial"/>
          <w:sz w:val="18"/>
          <w:szCs w:val="22"/>
          <w:lang w:val="es-MX"/>
        </w:rPr>
        <w:t>CC. SU-949 de 2014 y T-192 de 2015.</w:t>
      </w:r>
    </w:p>
  </w:footnote>
  <w:footnote w:id="16">
    <w:p w:rsidR="00134286" w:rsidRPr="001E6B34" w:rsidRDefault="00134286"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w:t>
      </w:r>
      <w:r w:rsidRPr="001E6B34">
        <w:rPr>
          <w:rFonts w:ascii="Arial" w:hAnsi="Arial" w:cs="Arial"/>
          <w:sz w:val="18"/>
          <w:szCs w:val="22"/>
          <w:lang w:val="es-MX"/>
        </w:rPr>
        <w:t>CC. SU-949 de 2014.</w:t>
      </w:r>
      <w:r w:rsidRPr="001E6B34">
        <w:rPr>
          <w:rFonts w:ascii="Arial" w:hAnsi="Arial" w:cs="Arial"/>
          <w:sz w:val="18"/>
          <w:szCs w:val="22"/>
          <w:lang w:val="es-CO"/>
        </w:rPr>
        <w:t xml:space="preserve"> </w:t>
      </w:r>
    </w:p>
  </w:footnote>
  <w:footnote w:id="17">
    <w:p w:rsidR="00134286" w:rsidRPr="001E6B34" w:rsidRDefault="00134286"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CC. </w:t>
      </w:r>
      <w:r w:rsidRPr="001E6B34">
        <w:rPr>
          <w:rFonts w:ascii="Arial" w:hAnsi="Arial" w:cs="Arial"/>
          <w:bCs/>
          <w:sz w:val="18"/>
          <w:szCs w:val="22"/>
          <w:lang w:val="es-MX"/>
        </w:rPr>
        <w:t>SU-050 de 2017, T-233 de 2017, T-235 de 2017 y T-002 de 2018.</w:t>
      </w:r>
    </w:p>
  </w:footnote>
  <w:footnote w:id="18">
    <w:p w:rsidR="00BB6A25" w:rsidRPr="001E6B34" w:rsidRDefault="00BB6A25"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CC</w:t>
      </w:r>
      <w:r w:rsidRPr="001E6B34">
        <w:rPr>
          <w:rFonts w:ascii="Arial" w:hAnsi="Arial" w:cs="Arial"/>
          <w:sz w:val="18"/>
          <w:szCs w:val="22"/>
          <w:lang w:val="es-CO"/>
        </w:rPr>
        <w:t>. SU 499 de 2016, T137 de 2017 y T-323 de 2017</w:t>
      </w:r>
      <w:r w:rsidRPr="001E6B34">
        <w:rPr>
          <w:rFonts w:ascii="Arial" w:hAnsi="Arial" w:cs="Arial"/>
          <w:sz w:val="18"/>
          <w:szCs w:val="22"/>
        </w:rPr>
        <w:t xml:space="preserve">. </w:t>
      </w:r>
    </w:p>
  </w:footnote>
  <w:footnote w:id="19">
    <w:p w:rsidR="002904E7" w:rsidRPr="001E6B34" w:rsidRDefault="002904E7" w:rsidP="00336434">
      <w:pPr>
        <w:pStyle w:val="Textonotapie"/>
        <w:jc w:val="both"/>
        <w:rPr>
          <w:rFonts w:ascii="Arial" w:hAnsi="Arial" w:cs="Arial"/>
          <w:sz w:val="18"/>
          <w:szCs w:val="22"/>
        </w:rPr>
      </w:pPr>
      <w:r w:rsidRPr="001E6B34">
        <w:rPr>
          <w:rStyle w:val="Refdenotaalpie"/>
          <w:rFonts w:ascii="Arial" w:hAnsi="Arial" w:cs="Arial"/>
          <w:sz w:val="18"/>
          <w:szCs w:val="22"/>
          <w:lang w:val="es-CO"/>
        </w:rPr>
        <w:footnoteRef/>
      </w:r>
      <w:r w:rsidRPr="001E6B34">
        <w:rPr>
          <w:rFonts w:ascii="Arial" w:hAnsi="Arial" w:cs="Arial"/>
          <w:sz w:val="18"/>
          <w:szCs w:val="22"/>
          <w:lang w:val="es-CO"/>
        </w:rPr>
        <w:t xml:space="preserve"> CANOSA T., Fernando. Las </w:t>
      </w:r>
      <w:r w:rsidR="00EE5469" w:rsidRPr="001E6B34">
        <w:rPr>
          <w:rFonts w:ascii="Arial" w:hAnsi="Arial" w:cs="Arial"/>
          <w:sz w:val="18"/>
          <w:szCs w:val="22"/>
          <w:lang w:val="es-CO"/>
        </w:rPr>
        <w:t>excepciones previas en el Código General del Proceso</w:t>
      </w:r>
      <w:r w:rsidRPr="001E6B34">
        <w:rPr>
          <w:rFonts w:ascii="Arial" w:hAnsi="Arial" w:cs="Arial"/>
          <w:sz w:val="18"/>
          <w:szCs w:val="22"/>
          <w:lang w:val="es-CO"/>
        </w:rPr>
        <w:t xml:space="preserve">, </w:t>
      </w:r>
      <w:r w:rsidR="00EE5469" w:rsidRPr="001E6B34">
        <w:rPr>
          <w:rFonts w:ascii="Arial" w:hAnsi="Arial" w:cs="Arial"/>
          <w:sz w:val="18"/>
          <w:szCs w:val="22"/>
          <w:lang w:val="es-CO"/>
        </w:rPr>
        <w:t>5</w:t>
      </w:r>
      <w:r w:rsidRPr="001E6B34">
        <w:rPr>
          <w:rFonts w:ascii="Arial" w:hAnsi="Arial" w:cs="Arial"/>
          <w:sz w:val="18"/>
          <w:szCs w:val="22"/>
          <w:lang w:val="es-CO"/>
        </w:rPr>
        <w:t>ª edición, Ediciones Doctrina y ley,</w:t>
      </w:r>
      <w:r w:rsidR="00EE5469" w:rsidRPr="001E6B34">
        <w:rPr>
          <w:rFonts w:ascii="Arial" w:hAnsi="Arial" w:cs="Arial"/>
          <w:sz w:val="18"/>
          <w:szCs w:val="22"/>
          <w:lang w:val="es-CO"/>
        </w:rPr>
        <w:t xml:space="preserve"> 2018</w:t>
      </w:r>
      <w:r w:rsidRPr="001E6B34">
        <w:rPr>
          <w:rFonts w:ascii="Arial" w:hAnsi="Arial" w:cs="Arial"/>
          <w:sz w:val="18"/>
          <w:szCs w:val="22"/>
          <w:lang w:val="es-CO"/>
        </w:rPr>
        <w:t>, p.</w:t>
      </w:r>
      <w:r w:rsidR="00EE5469" w:rsidRPr="001E6B34">
        <w:rPr>
          <w:rFonts w:ascii="Arial" w:hAnsi="Arial" w:cs="Arial"/>
          <w:sz w:val="18"/>
          <w:szCs w:val="22"/>
          <w:lang w:val="es-CO"/>
        </w:rPr>
        <w:t>195 y ss</w:t>
      </w:r>
      <w:r w:rsidRPr="001E6B34">
        <w:rPr>
          <w:rFonts w:ascii="Arial" w:hAnsi="Arial" w:cs="Arial"/>
          <w:sz w:val="18"/>
          <w:szCs w:val="22"/>
          <w:lang w:val="es-CO"/>
        </w:rPr>
        <w:t>.</w:t>
      </w:r>
    </w:p>
  </w:footnote>
  <w:footnote w:id="20">
    <w:p w:rsidR="009B614F" w:rsidRPr="001E6B34" w:rsidRDefault="009B614F" w:rsidP="00336434">
      <w:pPr>
        <w:pStyle w:val="Textonotapie"/>
        <w:jc w:val="both"/>
        <w:rPr>
          <w:rFonts w:ascii="Arial" w:hAnsi="Arial" w:cs="Arial"/>
          <w:sz w:val="18"/>
          <w:szCs w:val="22"/>
          <w:lang w:val="es-CO"/>
        </w:rPr>
      </w:pPr>
      <w:r w:rsidRPr="001E6B34">
        <w:rPr>
          <w:rStyle w:val="Refdenotaalpie"/>
          <w:rFonts w:ascii="Arial" w:hAnsi="Arial" w:cs="Arial"/>
          <w:sz w:val="18"/>
          <w:szCs w:val="22"/>
        </w:rPr>
        <w:footnoteRef/>
      </w:r>
      <w:r w:rsidRPr="001E6B34">
        <w:rPr>
          <w:rFonts w:ascii="Arial" w:hAnsi="Arial" w:cs="Arial"/>
          <w:sz w:val="18"/>
          <w:szCs w:val="22"/>
        </w:rPr>
        <w:t xml:space="preserve"> </w:t>
      </w:r>
      <w:r w:rsidR="00960B01" w:rsidRPr="001E6B34">
        <w:rPr>
          <w:rFonts w:ascii="Arial" w:hAnsi="Arial" w:cs="Arial"/>
          <w:sz w:val="18"/>
          <w:szCs w:val="22"/>
        </w:rPr>
        <w:t>CRUZ T. Horacio</w:t>
      </w:r>
      <w:r w:rsidRPr="001E6B34">
        <w:rPr>
          <w:rFonts w:ascii="Arial" w:hAnsi="Arial" w:cs="Arial"/>
          <w:sz w:val="18"/>
          <w:szCs w:val="22"/>
        </w:rPr>
        <w:t>.</w:t>
      </w:r>
      <w:r w:rsidRPr="001E6B34">
        <w:rPr>
          <w:rFonts w:ascii="Arial" w:hAnsi="Arial" w:cs="Arial"/>
          <w:sz w:val="18"/>
          <w:szCs w:val="22"/>
          <w:lang w:val="es-CO"/>
        </w:rPr>
        <w:t xml:space="preserve"> </w:t>
      </w:r>
      <w:r w:rsidR="00960B01" w:rsidRPr="001E6B34">
        <w:rPr>
          <w:rFonts w:ascii="Arial" w:hAnsi="Arial" w:cs="Arial"/>
          <w:sz w:val="18"/>
          <w:szCs w:val="22"/>
          <w:lang w:val="es-CO"/>
        </w:rPr>
        <w:t>Conductas del demandado en el proceso civil</w:t>
      </w:r>
      <w:r w:rsidRPr="001E6B34">
        <w:rPr>
          <w:rFonts w:ascii="Arial" w:hAnsi="Arial" w:cs="Arial"/>
          <w:sz w:val="18"/>
          <w:szCs w:val="22"/>
          <w:lang w:val="es-CO"/>
        </w:rPr>
        <w:t xml:space="preserve">, </w:t>
      </w:r>
      <w:r w:rsidRPr="001E6B34">
        <w:rPr>
          <w:rFonts w:ascii="Arial" w:hAnsi="Arial" w:cs="Arial"/>
          <w:sz w:val="18"/>
          <w:szCs w:val="22"/>
          <w:u w:val="single"/>
          <w:lang w:val="es-CO"/>
        </w:rPr>
        <w:t>En:</w:t>
      </w:r>
      <w:r w:rsidRPr="001E6B34">
        <w:rPr>
          <w:rFonts w:ascii="Arial" w:hAnsi="Arial" w:cs="Arial"/>
          <w:sz w:val="18"/>
          <w:szCs w:val="22"/>
          <w:lang w:val="es-CO"/>
        </w:rPr>
        <w:t xml:space="preserve"> Puesta en práctica del Código General del Proceso, María del S. Rueda (Coordinadora), Bogotá DC, Universidad de los Andes, 2018, p.</w:t>
      </w:r>
      <w:r w:rsidR="00960B01" w:rsidRPr="001E6B34">
        <w:rPr>
          <w:rFonts w:ascii="Arial" w:hAnsi="Arial" w:cs="Arial"/>
          <w:sz w:val="18"/>
          <w:szCs w:val="22"/>
          <w:lang w:val="es-CO"/>
        </w:rPr>
        <w:t>318.</w:t>
      </w:r>
    </w:p>
  </w:footnote>
  <w:footnote w:id="21">
    <w:p w:rsidR="002904E7" w:rsidRPr="001E6B34" w:rsidRDefault="002904E7" w:rsidP="00336434">
      <w:pPr>
        <w:pStyle w:val="Textonotapie"/>
        <w:jc w:val="both"/>
        <w:rPr>
          <w:rFonts w:ascii="Arial" w:hAnsi="Arial" w:cs="Arial"/>
          <w:sz w:val="18"/>
          <w:szCs w:val="22"/>
        </w:rPr>
      </w:pPr>
      <w:r w:rsidRPr="001E6B34">
        <w:rPr>
          <w:rStyle w:val="Refdenotaalpie"/>
          <w:rFonts w:ascii="Arial" w:hAnsi="Arial" w:cs="Arial"/>
          <w:sz w:val="18"/>
          <w:szCs w:val="22"/>
          <w:lang w:val="es-CO"/>
        </w:rPr>
        <w:footnoteRef/>
      </w:r>
      <w:r w:rsidRPr="001E6B34">
        <w:rPr>
          <w:rFonts w:ascii="Arial" w:hAnsi="Arial" w:cs="Arial"/>
          <w:sz w:val="18"/>
          <w:szCs w:val="22"/>
          <w:lang w:val="es-CO"/>
        </w:rPr>
        <w:t xml:space="preserve"> LÓPEZ B., Hernán F. Código General del Proceso, tomo I, parte general, Bogotá DC, </w:t>
      </w:r>
      <w:proofErr w:type="spellStart"/>
      <w:r w:rsidRPr="001E6B34">
        <w:rPr>
          <w:rFonts w:ascii="Arial" w:hAnsi="Arial" w:cs="Arial"/>
          <w:sz w:val="18"/>
          <w:szCs w:val="22"/>
          <w:lang w:val="es-CO"/>
        </w:rPr>
        <w:t>Dupré</w:t>
      </w:r>
      <w:proofErr w:type="spellEnd"/>
      <w:r w:rsidRPr="001E6B34">
        <w:rPr>
          <w:rFonts w:ascii="Arial" w:hAnsi="Arial" w:cs="Arial"/>
          <w:sz w:val="18"/>
          <w:szCs w:val="22"/>
          <w:lang w:val="es-CO"/>
        </w:rPr>
        <w:t xml:space="preserve"> editores, 2016, p.9</w:t>
      </w:r>
      <w:r w:rsidR="00EE5469" w:rsidRPr="001E6B34">
        <w:rPr>
          <w:rFonts w:ascii="Arial" w:hAnsi="Arial" w:cs="Arial"/>
          <w:sz w:val="18"/>
          <w:szCs w:val="22"/>
          <w:lang w:val="es-CO"/>
        </w:rPr>
        <w:t>54</w:t>
      </w:r>
      <w:r w:rsidRPr="001E6B34">
        <w:rPr>
          <w:rFonts w:ascii="Arial" w:hAnsi="Arial" w:cs="Arial"/>
          <w:sz w:val="18"/>
          <w:szCs w:val="22"/>
          <w:lang w:val="es-CO"/>
        </w:rPr>
        <w:t>.</w:t>
      </w:r>
    </w:p>
  </w:footnote>
  <w:footnote w:id="22">
    <w:p w:rsidR="00012307" w:rsidRPr="001E6B34" w:rsidRDefault="00012307" w:rsidP="00336434">
      <w:pPr>
        <w:pStyle w:val="Textonotapie"/>
        <w:jc w:val="both"/>
        <w:rPr>
          <w:rFonts w:ascii="Arial" w:hAnsi="Arial" w:cs="Arial"/>
          <w:sz w:val="18"/>
          <w:szCs w:val="22"/>
          <w:lang w:val="es-CO"/>
        </w:rPr>
      </w:pPr>
      <w:r w:rsidRPr="001E6B34">
        <w:rPr>
          <w:rStyle w:val="Refdenotaalpie"/>
          <w:rFonts w:ascii="Arial" w:hAnsi="Arial" w:cs="Arial"/>
          <w:sz w:val="18"/>
          <w:szCs w:val="22"/>
        </w:rPr>
        <w:footnoteRef/>
      </w:r>
      <w:r w:rsidRPr="001E6B34">
        <w:rPr>
          <w:rFonts w:ascii="Arial" w:hAnsi="Arial" w:cs="Arial"/>
          <w:sz w:val="18"/>
          <w:szCs w:val="22"/>
        </w:rPr>
        <w:t xml:space="preserve"> MORALES M.</w:t>
      </w:r>
      <w:r w:rsidRPr="001E6B34">
        <w:rPr>
          <w:rFonts w:ascii="Arial" w:hAnsi="Arial" w:cs="Arial"/>
          <w:sz w:val="18"/>
          <w:szCs w:val="22"/>
          <w:lang w:val="es-CO"/>
        </w:rPr>
        <w:t>, Hernando. Curso de derecho procesal civil, parte general, 11ª edición, Bogotá DC, editorial ABC, 2015, p.452 y ss.</w:t>
      </w:r>
    </w:p>
  </w:footnote>
  <w:footnote w:id="23">
    <w:p w:rsidR="003B04C2" w:rsidRPr="001E6B34" w:rsidRDefault="003B04C2"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INSTITUTO COLOMBIANO DE DERECHO PROCESAL. Código General del Proceso</w:t>
      </w:r>
      <w:r w:rsidRPr="001E6B34">
        <w:rPr>
          <w:rFonts w:ascii="Arial" w:hAnsi="Arial" w:cs="Arial"/>
          <w:sz w:val="18"/>
          <w:szCs w:val="22"/>
          <w:lang w:val="es-CO"/>
        </w:rPr>
        <w:t>, comentado, Bogotá DC, Impresor Panamericana Formas e Impresos SAS, Algunas modificaciones a los recursos en el CGP, Edgardo Villamil Portilla, 2014, p.335-346.</w:t>
      </w:r>
    </w:p>
  </w:footnote>
  <w:footnote w:id="24">
    <w:p w:rsidR="003B04C2" w:rsidRPr="001E6B34" w:rsidRDefault="003B04C2" w:rsidP="00336434">
      <w:pPr>
        <w:pStyle w:val="Textonotapie"/>
        <w:jc w:val="both"/>
        <w:rPr>
          <w:rFonts w:ascii="Arial" w:hAnsi="Arial" w:cs="Arial"/>
          <w:sz w:val="18"/>
          <w:szCs w:val="22"/>
        </w:rPr>
      </w:pPr>
      <w:r w:rsidRPr="001E6B34">
        <w:rPr>
          <w:rStyle w:val="Refdenotaalpie"/>
          <w:rFonts w:ascii="Arial" w:hAnsi="Arial" w:cs="Arial"/>
          <w:sz w:val="18"/>
          <w:szCs w:val="22"/>
        </w:rPr>
        <w:footnoteRef/>
      </w:r>
      <w:r w:rsidRPr="001E6B34">
        <w:rPr>
          <w:rFonts w:ascii="Arial" w:hAnsi="Arial" w:cs="Arial"/>
          <w:sz w:val="18"/>
          <w:szCs w:val="22"/>
        </w:rPr>
        <w:t xml:space="preserve"> </w:t>
      </w:r>
      <w:r w:rsidRPr="001E6B34">
        <w:rPr>
          <w:rFonts w:ascii="Arial" w:hAnsi="Arial" w:cs="Arial"/>
          <w:sz w:val="18"/>
          <w:szCs w:val="22"/>
          <w:lang w:val="es-CO"/>
        </w:rPr>
        <w:t>MORALES M., Hernando. Ob. cit., p.159.</w:t>
      </w:r>
    </w:p>
  </w:footnote>
  <w:footnote w:id="25">
    <w:p w:rsidR="001D4485" w:rsidRPr="001E6B34" w:rsidRDefault="001D4485">
      <w:pPr>
        <w:pStyle w:val="Textonotapie"/>
        <w:rPr>
          <w:rFonts w:ascii="Arial" w:hAnsi="Arial" w:cs="Arial"/>
          <w:sz w:val="18"/>
          <w:lang w:val="es-CO"/>
        </w:rPr>
      </w:pPr>
      <w:r w:rsidRPr="001E6B34">
        <w:rPr>
          <w:rStyle w:val="Refdenotaalpie"/>
          <w:rFonts w:ascii="Arial" w:hAnsi="Arial" w:cs="Arial"/>
          <w:sz w:val="18"/>
        </w:rPr>
        <w:footnoteRef/>
      </w:r>
      <w:r w:rsidRPr="001E6B34">
        <w:rPr>
          <w:rFonts w:ascii="Arial" w:hAnsi="Arial" w:cs="Arial"/>
          <w:sz w:val="18"/>
        </w:rPr>
        <w:t xml:space="preserve"> TSP, Civil-Familia. </w:t>
      </w:r>
      <w:r w:rsidRPr="001E6B34">
        <w:rPr>
          <w:rFonts w:ascii="Arial" w:hAnsi="Arial" w:cs="Arial"/>
          <w:sz w:val="18"/>
          <w:lang w:val="es-CO"/>
        </w:rPr>
        <w:t>Sentencia del 13-02-2019</w:t>
      </w:r>
      <w:r w:rsidRPr="001E6B34">
        <w:rPr>
          <w:rFonts w:ascii="Arial" w:hAnsi="Arial" w:cs="Arial"/>
          <w:sz w:val="18"/>
        </w:rPr>
        <w:t>; MP: Grisales H., No.2013-00275-01.</w:t>
      </w:r>
    </w:p>
  </w:footnote>
  <w:footnote w:id="26">
    <w:p w:rsidR="00D82AB9" w:rsidRPr="001E6B34" w:rsidRDefault="00D82AB9" w:rsidP="00D82AB9">
      <w:pPr>
        <w:pStyle w:val="Textonotapie"/>
        <w:jc w:val="both"/>
        <w:rPr>
          <w:rFonts w:ascii="Arial" w:hAnsi="Arial" w:cs="Arial"/>
          <w:sz w:val="18"/>
        </w:rPr>
      </w:pPr>
      <w:r w:rsidRPr="001E6B34">
        <w:rPr>
          <w:rFonts w:ascii="Arial" w:hAnsi="Arial" w:cs="Arial"/>
          <w:sz w:val="18"/>
          <w:szCs w:val="22"/>
          <w:vertAlign w:val="superscript"/>
        </w:rPr>
        <w:footnoteRef/>
      </w:r>
      <w:r w:rsidRPr="001E6B34">
        <w:rPr>
          <w:rFonts w:ascii="Arial" w:hAnsi="Arial" w:cs="Arial"/>
          <w:sz w:val="18"/>
          <w:szCs w:val="22"/>
          <w:lang w:val="es-CO"/>
        </w:rPr>
        <w:t xml:space="preserve"> </w:t>
      </w:r>
      <w:r w:rsidRPr="001E6B34">
        <w:rPr>
          <w:rFonts w:ascii="Arial" w:hAnsi="Arial" w:cs="Arial"/>
          <w:sz w:val="18"/>
          <w:szCs w:val="22"/>
          <w:lang w:val="es-MX"/>
        </w:rPr>
        <w:t>CC</w:t>
      </w:r>
      <w:r w:rsidRPr="001E6B34">
        <w:rPr>
          <w:rFonts w:ascii="Arial" w:hAnsi="Arial" w:cs="Arial"/>
          <w:sz w:val="18"/>
          <w:szCs w:val="22"/>
          <w:lang w:val="es-CO"/>
        </w:rPr>
        <w:t>. T-573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D55C7E">
      <w:rPr>
        <w:rFonts w:ascii="Georgia" w:hAnsi="Georgia" w:cs="Calibri"/>
        <w:i/>
        <w:noProof/>
        <w:sz w:val="20"/>
      </w:rPr>
      <w:t>7</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6F7873">
      <w:rPr>
        <w:rFonts w:ascii="Georgia" w:hAnsi="Georgia" w:cs="Calibri"/>
        <w:i/>
        <w:sz w:val="20"/>
        <w:szCs w:val="22"/>
      </w:rPr>
      <w:t>2019-</w:t>
    </w:r>
    <w:r w:rsidR="00397878">
      <w:rPr>
        <w:rFonts w:ascii="Georgia" w:hAnsi="Georgia" w:cs="Calibri"/>
        <w:i/>
        <w:sz w:val="20"/>
        <w:szCs w:val="22"/>
      </w:rPr>
      <w:t>00</w:t>
    </w:r>
    <w:r w:rsidR="0058516E">
      <w:rPr>
        <w:rFonts w:ascii="Georgia" w:hAnsi="Georgia" w:cs="Calibri"/>
        <w:i/>
        <w:sz w:val="20"/>
        <w:szCs w:val="22"/>
      </w:rPr>
      <w:t>370</w:t>
    </w:r>
    <w:r w:rsidR="006F7873">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5EA"/>
    <w:rsid w:val="00006D07"/>
    <w:rsid w:val="00007C0C"/>
    <w:rsid w:val="000103BF"/>
    <w:rsid w:val="00010589"/>
    <w:rsid w:val="00012205"/>
    <w:rsid w:val="00012307"/>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0CC"/>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315"/>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67B3A"/>
    <w:rsid w:val="00170F1F"/>
    <w:rsid w:val="00171238"/>
    <w:rsid w:val="0017157E"/>
    <w:rsid w:val="001718F9"/>
    <w:rsid w:val="00173831"/>
    <w:rsid w:val="001747C9"/>
    <w:rsid w:val="0017484A"/>
    <w:rsid w:val="001753AB"/>
    <w:rsid w:val="00175C70"/>
    <w:rsid w:val="00175D2D"/>
    <w:rsid w:val="00176C9B"/>
    <w:rsid w:val="001778CF"/>
    <w:rsid w:val="00180B3C"/>
    <w:rsid w:val="00181213"/>
    <w:rsid w:val="00181C9F"/>
    <w:rsid w:val="00181ECC"/>
    <w:rsid w:val="00183208"/>
    <w:rsid w:val="00183A2B"/>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485"/>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B34"/>
    <w:rsid w:val="001E6E16"/>
    <w:rsid w:val="001E72A0"/>
    <w:rsid w:val="001E7412"/>
    <w:rsid w:val="001E78FE"/>
    <w:rsid w:val="001E7A6A"/>
    <w:rsid w:val="001E7D23"/>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4E7"/>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09A"/>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8D6"/>
    <w:rsid w:val="00325FDA"/>
    <w:rsid w:val="003261E6"/>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434"/>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0DDA"/>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4C2"/>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73D"/>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6C66"/>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0C9"/>
    <w:rsid w:val="0045270F"/>
    <w:rsid w:val="00453189"/>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A66"/>
    <w:rsid w:val="00462F25"/>
    <w:rsid w:val="0046344B"/>
    <w:rsid w:val="00463819"/>
    <w:rsid w:val="00463C2B"/>
    <w:rsid w:val="00463C79"/>
    <w:rsid w:val="00464F84"/>
    <w:rsid w:val="00465137"/>
    <w:rsid w:val="00465173"/>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3C3"/>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180"/>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16E"/>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A21"/>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D7CEE"/>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506"/>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CC6"/>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9E6"/>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34"/>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8D1"/>
    <w:rsid w:val="006E4A22"/>
    <w:rsid w:val="006E5240"/>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80"/>
    <w:rsid w:val="007D273C"/>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6CA8"/>
    <w:rsid w:val="007E7055"/>
    <w:rsid w:val="007E7CE6"/>
    <w:rsid w:val="007E7D23"/>
    <w:rsid w:val="007F045F"/>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4D5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B01"/>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14F"/>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793"/>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165"/>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04A"/>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9DA"/>
    <w:rsid w:val="00AF2DEF"/>
    <w:rsid w:val="00AF3D13"/>
    <w:rsid w:val="00AF3F1A"/>
    <w:rsid w:val="00AF4709"/>
    <w:rsid w:val="00AF4B63"/>
    <w:rsid w:val="00AF5AF0"/>
    <w:rsid w:val="00AF5DA2"/>
    <w:rsid w:val="00AF5F92"/>
    <w:rsid w:val="00AF61E2"/>
    <w:rsid w:val="00AF6433"/>
    <w:rsid w:val="00AF65FD"/>
    <w:rsid w:val="00AF6EF9"/>
    <w:rsid w:val="00AF753A"/>
    <w:rsid w:val="00AF78AE"/>
    <w:rsid w:val="00AF7F62"/>
    <w:rsid w:val="00B000D5"/>
    <w:rsid w:val="00B002D5"/>
    <w:rsid w:val="00B00555"/>
    <w:rsid w:val="00B0082D"/>
    <w:rsid w:val="00B013CA"/>
    <w:rsid w:val="00B01CA9"/>
    <w:rsid w:val="00B01EBF"/>
    <w:rsid w:val="00B02716"/>
    <w:rsid w:val="00B02C05"/>
    <w:rsid w:val="00B03045"/>
    <w:rsid w:val="00B04848"/>
    <w:rsid w:val="00B04C72"/>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1F4"/>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6A25"/>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2F85"/>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0B44"/>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296"/>
    <w:rsid w:val="00C6536F"/>
    <w:rsid w:val="00C65799"/>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1C0"/>
    <w:rsid w:val="00C77717"/>
    <w:rsid w:val="00C77956"/>
    <w:rsid w:val="00C77C0E"/>
    <w:rsid w:val="00C8035F"/>
    <w:rsid w:val="00C804DB"/>
    <w:rsid w:val="00C8077A"/>
    <w:rsid w:val="00C807F0"/>
    <w:rsid w:val="00C8175A"/>
    <w:rsid w:val="00C8268C"/>
    <w:rsid w:val="00C82900"/>
    <w:rsid w:val="00C82923"/>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1FB3"/>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C7E"/>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2AB9"/>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C86"/>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0CA8"/>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2DB"/>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0F91"/>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1F5C"/>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75F"/>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469"/>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579"/>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22D"/>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55E"/>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D5FB-3975-42D6-A34D-B1E5CBE2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2757</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23</cp:revision>
  <cp:lastPrinted>2019-04-26T16:07:00Z</cp:lastPrinted>
  <dcterms:created xsi:type="dcterms:W3CDTF">2019-04-25T13:22:00Z</dcterms:created>
  <dcterms:modified xsi:type="dcterms:W3CDTF">2019-05-09T15:47:00Z</dcterms:modified>
</cp:coreProperties>
</file>