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3C" w:rsidRPr="00DF403C" w:rsidRDefault="00DF403C" w:rsidP="00DF40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F403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F403C" w:rsidRPr="00DF403C" w:rsidRDefault="00DF403C" w:rsidP="00DF403C">
      <w:pPr>
        <w:jc w:val="both"/>
        <w:rPr>
          <w:rFonts w:ascii="Arial" w:hAnsi="Arial" w:cs="Arial"/>
          <w:sz w:val="20"/>
          <w:szCs w:val="20"/>
          <w:lang w:val="es-419"/>
        </w:rPr>
      </w:pP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Asunto</w:t>
      </w:r>
      <w:r w:rsidRPr="006C2316">
        <w:rPr>
          <w:rFonts w:ascii="Arial" w:hAnsi="Arial" w:cs="Arial"/>
          <w:sz w:val="20"/>
          <w:szCs w:val="20"/>
          <w:lang w:val="es-419"/>
        </w:rPr>
        <w:tab/>
      </w:r>
      <w:r w:rsidRPr="006C2316">
        <w:rPr>
          <w:rFonts w:ascii="Arial" w:hAnsi="Arial" w:cs="Arial"/>
          <w:sz w:val="20"/>
          <w:szCs w:val="20"/>
          <w:lang w:val="es-419"/>
        </w:rPr>
        <w:tab/>
      </w:r>
      <w:r w:rsidRPr="006C2316">
        <w:rPr>
          <w:rFonts w:ascii="Arial" w:hAnsi="Arial" w:cs="Arial"/>
          <w:sz w:val="20"/>
          <w:szCs w:val="20"/>
          <w:lang w:val="es-419"/>
        </w:rPr>
        <w:tab/>
        <w:t>: Apelación de auto interlocutorio</w:t>
      </w: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Tipo de proceso</w:t>
      </w:r>
      <w:r w:rsidRPr="006C2316">
        <w:rPr>
          <w:rFonts w:ascii="Arial" w:hAnsi="Arial" w:cs="Arial"/>
          <w:sz w:val="20"/>
          <w:szCs w:val="20"/>
          <w:lang w:val="es-419"/>
        </w:rPr>
        <w:tab/>
        <w:t>: Ejecutivo con pretensión real</w:t>
      </w: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 xml:space="preserve">Ejecutante </w:t>
      </w:r>
      <w:r w:rsidRPr="006C2316">
        <w:rPr>
          <w:rFonts w:ascii="Arial" w:hAnsi="Arial" w:cs="Arial"/>
          <w:sz w:val="20"/>
          <w:szCs w:val="20"/>
          <w:lang w:val="es-419"/>
        </w:rPr>
        <w:tab/>
      </w:r>
      <w:r w:rsidRPr="006C2316">
        <w:rPr>
          <w:rFonts w:ascii="Arial" w:hAnsi="Arial" w:cs="Arial"/>
          <w:sz w:val="20"/>
          <w:szCs w:val="20"/>
          <w:lang w:val="es-419"/>
        </w:rPr>
        <w:tab/>
        <w:t>: Gilberto de Jesús Castro Roldán</w:t>
      </w: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Ejecutado</w:t>
      </w:r>
      <w:r w:rsidRPr="006C2316">
        <w:rPr>
          <w:rFonts w:ascii="Arial" w:hAnsi="Arial" w:cs="Arial"/>
          <w:sz w:val="20"/>
          <w:szCs w:val="20"/>
          <w:lang w:val="es-419"/>
        </w:rPr>
        <w:tab/>
      </w:r>
      <w:r w:rsidRPr="006C2316">
        <w:rPr>
          <w:rFonts w:ascii="Arial" w:hAnsi="Arial" w:cs="Arial"/>
          <w:sz w:val="20"/>
          <w:szCs w:val="20"/>
          <w:lang w:val="es-419"/>
        </w:rPr>
        <w:tab/>
        <w:t>: Fernando Augusto Arias Bedoya</w:t>
      </w: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 xml:space="preserve">Procedencia </w:t>
      </w:r>
      <w:r w:rsidRPr="006C2316">
        <w:rPr>
          <w:rFonts w:ascii="Arial" w:hAnsi="Arial" w:cs="Arial"/>
          <w:sz w:val="20"/>
          <w:szCs w:val="20"/>
          <w:lang w:val="es-419"/>
        </w:rPr>
        <w:tab/>
      </w:r>
      <w:r w:rsidRPr="006C2316">
        <w:rPr>
          <w:rFonts w:ascii="Arial" w:hAnsi="Arial" w:cs="Arial"/>
          <w:sz w:val="20"/>
          <w:szCs w:val="20"/>
          <w:lang w:val="es-419"/>
        </w:rPr>
        <w:tab/>
        <w:t>: Juzgado 2º Civil del Circuito de Pereira</w:t>
      </w:r>
    </w:p>
    <w:p w:rsidR="00DF403C" w:rsidRPr="006C2316" w:rsidRDefault="00DF403C" w:rsidP="00DF403C">
      <w:pPr>
        <w:jc w:val="both"/>
        <w:rPr>
          <w:rFonts w:ascii="Arial" w:hAnsi="Arial" w:cs="Arial"/>
          <w:sz w:val="20"/>
          <w:szCs w:val="20"/>
          <w:lang w:val="es-419"/>
        </w:rPr>
      </w:pPr>
      <w:r w:rsidRPr="006C2316">
        <w:rPr>
          <w:rFonts w:ascii="Arial" w:hAnsi="Arial" w:cs="Arial"/>
          <w:sz w:val="20"/>
          <w:szCs w:val="20"/>
          <w:lang w:val="es-419"/>
        </w:rPr>
        <w:t>Radicación</w:t>
      </w:r>
      <w:r w:rsidRPr="006C2316">
        <w:rPr>
          <w:rFonts w:ascii="Arial" w:hAnsi="Arial" w:cs="Arial"/>
          <w:sz w:val="20"/>
          <w:szCs w:val="20"/>
          <w:lang w:val="es-419"/>
        </w:rPr>
        <w:tab/>
      </w:r>
      <w:r w:rsidRPr="006C2316">
        <w:rPr>
          <w:rFonts w:ascii="Arial" w:hAnsi="Arial" w:cs="Arial"/>
          <w:sz w:val="20"/>
          <w:szCs w:val="20"/>
          <w:lang w:val="es-419"/>
        </w:rPr>
        <w:tab/>
        <w:t>: 66001-31-03-002-2009-00419-01</w:t>
      </w:r>
    </w:p>
    <w:p w:rsidR="00DF403C" w:rsidRPr="00DF403C" w:rsidRDefault="00DF403C" w:rsidP="00DF403C">
      <w:pPr>
        <w:jc w:val="both"/>
        <w:rPr>
          <w:rFonts w:ascii="Arial" w:hAnsi="Arial" w:cs="Arial"/>
          <w:sz w:val="20"/>
          <w:szCs w:val="20"/>
          <w:lang w:val="es-419"/>
        </w:rPr>
      </w:pPr>
      <w:r w:rsidRPr="006C2316">
        <w:rPr>
          <w:rFonts w:ascii="Arial" w:hAnsi="Arial" w:cs="Arial"/>
          <w:sz w:val="20"/>
          <w:szCs w:val="20"/>
          <w:lang w:val="es-419"/>
        </w:rPr>
        <w:t>Mag. Sustanciador</w:t>
      </w:r>
      <w:r w:rsidRPr="006C2316">
        <w:rPr>
          <w:rFonts w:ascii="Arial" w:hAnsi="Arial" w:cs="Arial"/>
          <w:sz w:val="20"/>
          <w:szCs w:val="20"/>
          <w:lang w:val="es-419"/>
        </w:rPr>
        <w:tab/>
        <w:t>: DUBERNEY GRISALES HERRERA</w:t>
      </w:r>
    </w:p>
    <w:p w:rsidR="00DF403C" w:rsidRPr="00DF403C" w:rsidRDefault="00DF403C" w:rsidP="00DF403C">
      <w:pPr>
        <w:jc w:val="both"/>
        <w:rPr>
          <w:rFonts w:ascii="Arial" w:hAnsi="Arial" w:cs="Arial"/>
          <w:sz w:val="20"/>
          <w:szCs w:val="20"/>
          <w:lang w:val="es-419"/>
        </w:rPr>
      </w:pPr>
    </w:p>
    <w:p w:rsidR="00DF403C" w:rsidRPr="000165E5" w:rsidRDefault="0026422F" w:rsidP="00DF403C">
      <w:pPr>
        <w:jc w:val="both"/>
        <w:rPr>
          <w:rFonts w:ascii="Arial" w:hAnsi="Arial" w:cs="Arial"/>
          <w:b/>
          <w:bCs/>
          <w:iCs/>
          <w:sz w:val="20"/>
          <w:szCs w:val="20"/>
          <w:lang w:val="es-CO" w:eastAsia="fr-FR"/>
        </w:rPr>
      </w:pPr>
      <w:r w:rsidRPr="00DF403C">
        <w:rPr>
          <w:rFonts w:ascii="Arial" w:hAnsi="Arial" w:cs="Arial"/>
          <w:b/>
          <w:bCs/>
          <w:iCs/>
          <w:sz w:val="20"/>
          <w:szCs w:val="20"/>
          <w:lang w:val="es-419" w:eastAsia="fr-FR"/>
        </w:rPr>
        <w:t>TEMAS:</w:t>
      </w:r>
      <w:r w:rsidRPr="00DF403C">
        <w:rPr>
          <w:rFonts w:ascii="Arial" w:hAnsi="Arial" w:cs="Arial"/>
          <w:b/>
          <w:bCs/>
          <w:iCs/>
          <w:sz w:val="20"/>
          <w:szCs w:val="20"/>
          <w:lang w:val="es-419" w:eastAsia="fr-FR"/>
        </w:rPr>
        <w:tab/>
      </w:r>
      <w:r w:rsidRPr="0026422F">
        <w:rPr>
          <w:rFonts w:ascii="Arial" w:hAnsi="Arial" w:cs="Arial"/>
          <w:b/>
          <w:sz w:val="20"/>
          <w:szCs w:val="20"/>
          <w:lang w:val="es-419"/>
        </w:rPr>
        <w:t xml:space="preserve">DESISTIMIENTO TÁCITO </w:t>
      </w:r>
      <w:r w:rsidR="00D12EED">
        <w:rPr>
          <w:rFonts w:ascii="Arial" w:hAnsi="Arial" w:cs="Arial"/>
          <w:b/>
          <w:sz w:val="20"/>
          <w:szCs w:val="20"/>
          <w:lang w:val="es-CO"/>
        </w:rPr>
        <w:t>/</w:t>
      </w:r>
      <w:r w:rsidRPr="0026422F">
        <w:rPr>
          <w:rFonts w:ascii="Arial" w:hAnsi="Arial" w:cs="Arial"/>
          <w:b/>
          <w:sz w:val="20"/>
          <w:szCs w:val="20"/>
          <w:lang w:val="es-419"/>
        </w:rPr>
        <w:t xml:space="preserve"> </w:t>
      </w:r>
      <w:r w:rsidR="000165E5">
        <w:rPr>
          <w:rFonts w:ascii="Arial" w:hAnsi="Arial" w:cs="Arial"/>
          <w:b/>
          <w:bCs/>
          <w:iCs/>
          <w:sz w:val="20"/>
          <w:szCs w:val="20"/>
          <w:lang w:val="es-CO" w:eastAsia="fr-FR"/>
        </w:rPr>
        <w:t xml:space="preserve">RECUENTO NORMATIVO Y JURISPRUDENCIAL / </w:t>
      </w:r>
      <w:r w:rsidR="000165E5" w:rsidRPr="0026422F">
        <w:rPr>
          <w:rFonts w:ascii="Arial" w:hAnsi="Arial" w:cs="Arial"/>
          <w:b/>
          <w:sz w:val="20"/>
          <w:szCs w:val="20"/>
          <w:lang w:val="es-419"/>
        </w:rPr>
        <w:t xml:space="preserve">EFECTOS SOBRE EL FALLO </w:t>
      </w:r>
      <w:r w:rsidR="000165E5" w:rsidRPr="00DF403C">
        <w:rPr>
          <w:rFonts w:ascii="Arial" w:hAnsi="Arial" w:cs="Arial"/>
          <w:b/>
          <w:bCs/>
          <w:iCs/>
          <w:sz w:val="20"/>
          <w:szCs w:val="20"/>
          <w:lang w:val="es-419" w:eastAsia="fr-FR"/>
        </w:rPr>
        <w:t>/</w:t>
      </w:r>
      <w:r w:rsidR="000165E5">
        <w:rPr>
          <w:rFonts w:ascii="Arial" w:hAnsi="Arial" w:cs="Arial"/>
          <w:b/>
          <w:bCs/>
          <w:iCs/>
          <w:sz w:val="20"/>
          <w:szCs w:val="20"/>
          <w:lang w:val="es-CO" w:eastAsia="fr-FR"/>
        </w:rPr>
        <w:t xml:space="preserve"> INTERRUMPE EL TÉRMINO CUALQUIER ACTUACIÓN / NO ES INDISPENSABLE QUE MEDIE UNA PROVIDENCIA / Y TAMPOCO QUE SIGNIFIQUE IMPULSO DEL PROCESO.</w:t>
      </w:r>
    </w:p>
    <w:p w:rsidR="00DF403C" w:rsidRPr="00DF403C" w:rsidRDefault="00DF403C" w:rsidP="00DF403C">
      <w:pPr>
        <w:jc w:val="both"/>
        <w:rPr>
          <w:rFonts w:ascii="Arial" w:hAnsi="Arial" w:cs="Arial"/>
          <w:sz w:val="20"/>
          <w:szCs w:val="20"/>
          <w:lang w:val="es-419"/>
        </w:rPr>
      </w:pPr>
    </w:p>
    <w:p w:rsidR="004F44BB" w:rsidRPr="004F44BB" w:rsidRDefault="004F44BB" w:rsidP="004F44BB">
      <w:pPr>
        <w:jc w:val="both"/>
        <w:rPr>
          <w:rFonts w:ascii="Arial" w:hAnsi="Arial" w:cs="Arial"/>
          <w:sz w:val="20"/>
          <w:szCs w:val="20"/>
          <w:lang w:val="es-419"/>
        </w:rPr>
      </w:pPr>
      <w:r w:rsidRPr="004F44BB">
        <w:rPr>
          <w:rFonts w:ascii="Arial" w:hAnsi="Arial" w:cs="Arial"/>
          <w:sz w:val="20"/>
          <w:szCs w:val="20"/>
          <w:lang w:val="es-419"/>
        </w:rPr>
        <w:t>La figura se incorporó a nuestro sistema procesal a partir de la Ley 1194, “Por medio de la cual se reforma el Código de Procedimiento Civil y se dictan otras disposiciones”, como una forma más, de terminación anormal de los procesos civiles y de familia, de oficio o a petición de parte.</w:t>
      </w:r>
    </w:p>
    <w:p w:rsidR="004F44BB" w:rsidRPr="004F44BB" w:rsidRDefault="004F44BB" w:rsidP="004F44BB">
      <w:pPr>
        <w:jc w:val="both"/>
        <w:rPr>
          <w:rFonts w:ascii="Arial" w:hAnsi="Arial" w:cs="Arial"/>
          <w:sz w:val="20"/>
          <w:szCs w:val="20"/>
          <w:lang w:val="es-419"/>
        </w:rPr>
      </w:pPr>
    </w:p>
    <w:p w:rsidR="00DF403C" w:rsidRPr="00DF403C" w:rsidRDefault="004F44BB" w:rsidP="004F44BB">
      <w:pPr>
        <w:jc w:val="both"/>
        <w:rPr>
          <w:rFonts w:ascii="Arial" w:hAnsi="Arial" w:cs="Arial"/>
          <w:sz w:val="20"/>
          <w:szCs w:val="20"/>
          <w:lang w:val="es-419"/>
        </w:rPr>
      </w:pPr>
      <w:r w:rsidRPr="004F44BB">
        <w:rPr>
          <w:rFonts w:ascii="Arial" w:hAnsi="Arial" w:cs="Arial"/>
          <w:sz w:val="20"/>
          <w:szCs w:val="20"/>
          <w:lang w:val="es-419"/>
        </w:rPr>
        <w:t>En su momento, la CC (2008) al ocuparse de su inconstitucionalidad, dijo en los siguientes términos:”(…)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p>
    <w:p w:rsidR="00DF403C" w:rsidRPr="00DF403C" w:rsidRDefault="00DF403C" w:rsidP="00DF403C">
      <w:pPr>
        <w:jc w:val="both"/>
        <w:rPr>
          <w:rFonts w:ascii="Arial" w:hAnsi="Arial" w:cs="Arial"/>
          <w:sz w:val="20"/>
          <w:szCs w:val="20"/>
          <w:lang w:val="es-419"/>
        </w:rPr>
      </w:pPr>
    </w:p>
    <w:p w:rsidR="00DF403C" w:rsidRDefault="006654D4" w:rsidP="00DF403C">
      <w:pPr>
        <w:jc w:val="both"/>
        <w:rPr>
          <w:rFonts w:ascii="Arial" w:hAnsi="Arial" w:cs="Arial"/>
          <w:sz w:val="20"/>
          <w:szCs w:val="20"/>
          <w:lang w:val="es-CO"/>
        </w:rPr>
      </w:pPr>
      <w:r w:rsidRPr="006654D4">
        <w:rPr>
          <w:rFonts w:ascii="Arial" w:hAnsi="Arial" w:cs="Arial"/>
          <w:sz w:val="20"/>
          <w:szCs w:val="20"/>
          <w:lang w:val="es-419"/>
        </w:rPr>
        <w:t>Luego advino la Ley 1564, CGP, y en su artículo 317, consagró de nuevo la institución en comento, pero ahora con otras hipótesis normativas, cabe decir, fue ampliado su espectro de aplicación.</w:t>
      </w:r>
      <w:r>
        <w:rPr>
          <w:rFonts w:ascii="Arial" w:hAnsi="Arial" w:cs="Arial"/>
          <w:sz w:val="20"/>
          <w:szCs w:val="20"/>
          <w:lang w:val="es-CO"/>
        </w:rPr>
        <w:t xml:space="preserve"> (…)</w:t>
      </w:r>
    </w:p>
    <w:p w:rsidR="006654D4" w:rsidRDefault="006654D4" w:rsidP="00DF403C">
      <w:pPr>
        <w:jc w:val="both"/>
        <w:rPr>
          <w:rFonts w:ascii="Arial" w:hAnsi="Arial" w:cs="Arial"/>
          <w:sz w:val="20"/>
          <w:szCs w:val="20"/>
          <w:lang w:val="es-CO"/>
        </w:rPr>
      </w:pPr>
    </w:p>
    <w:p w:rsidR="009F3C7D" w:rsidRPr="009F3C7D" w:rsidRDefault="009F3C7D" w:rsidP="009F3C7D">
      <w:pPr>
        <w:jc w:val="both"/>
        <w:rPr>
          <w:rFonts w:ascii="Arial" w:hAnsi="Arial" w:cs="Arial"/>
          <w:sz w:val="20"/>
          <w:szCs w:val="20"/>
          <w:lang w:val="es-CO"/>
        </w:rPr>
      </w:pPr>
      <w:r w:rsidRPr="009F3C7D">
        <w:rPr>
          <w:rFonts w:ascii="Arial" w:hAnsi="Arial" w:cs="Arial"/>
          <w:sz w:val="20"/>
          <w:szCs w:val="20"/>
          <w:lang w:val="es-CO"/>
        </w:rPr>
        <w:t>Sobre la inactividad, dispone el artículo 317-2º que: “(…) Cuando un proceso (…), permanezca inactivo en la secretaría del despacho, porque no se solicita o realiza ninguna actuación (…), a petición de parte o de oficio, se decretará la terminación por desistimiento tácito sin necesidad de requerimiento previo (…)”; y, de conformidad con su literal b), el plazo será de dos (2) años en procesos que cuenten con sentencia judicial o auto de seguir adelante con la ejecución.</w:t>
      </w:r>
    </w:p>
    <w:p w:rsidR="009F3C7D" w:rsidRPr="009F3C7D" w:rsidRDefault="009F3C7D" w:rsidP="009F3C7D">
      <w:pPr>
        <w:jc w:val="both"/>
        <w:rPr>
          <w:rFonts w:ascii="Arial" w:hAnsi="Arial" w:cs="Arial"/>
          <w:sz w:val="20"/>
          <w:szCs w:val="20"/>
          <w:lang w:val="es-CO"/>
        </w:rPr>
      </w:pPr>
    </w:p>
    <w:p w:rsidR="006654D4" w:rsidRDefault="009F3C7D" w:rsidP="009F3C7D">
      <w:pPr>
        <w:jc w:val="both"/>
        <w:rPr>
          <w:rFonts w:ascii="Arial" w:hAnsi="Arial" w:cs="Arial"/>
          <w:sz w:val="20"/>
          <w:szCs w:val="20"/>
          <w:lang w:val="es-CO"/>
        </w:rPr>
      </w:pPr>
      <w:r w:rsidRPr="009F3C7D">
        <w:rPr>
          <w:rFonts w:ascii="Arial" w:hAnsi="Arial" w:cs="Arial"/>
          <w:sz w:val="20"/>
          <w:szCs w:val="20"/>
          <w:lang w:val="es-CO"/>
        </w:rPr>
        <w:t>Sobre la aplicación de esta forma de terminación anormal del proceso, cuando quiera que existan sentencia en el proceso, un sector de la doctrina procesalista repele la aniquilación del fallo y restarle eficacia, abogan para que se reduzca a la actuación posterior inconclusa; incluso el maestro López Blanco tilda de inconstitucional semejante consecuencia sobre tal decisión; sin embargo, ya la CC se había mostrado partidaria de su aplicación, eso sí en sede de tutela</w:t>
      </w:r>
      <w:r>
        <w:rPr>
          <w:rFonts w:ascii="Arial" w:hAnsi="Arial" w:cs="Arial"/>
          <w:sz w:val="20"/>
          <w:szCs w:val="20"/>
          <w:lang w:val="es-CO"/>
        </w:rPr>
        <w:t>…</w:t>
      </w:r>
    </w:p>
    <w:p w:rsidR="009F3C7D" w:rsidRDefault="009F3C7D" w:rsidP="009F3C7D">
      <w:pPr>
        <w:jc w:val="both"/>
        <w:rPr>
          <w:rFonts w:ascii="Arial" w:hAnsi="Arial" w:cs="Arial"/>
          <w:sz w:val="20"/>
          <w:szCs w:val="20"/>
          <w:lang w:val="es-CO"/>
        </w:rPr>
      </w:pPr>
    </w:p>
    <w:p w:rsidR="006654D4" w:rsidRPr="006654D4" w:rsidRDefault="00D12EED" w:rsidP="00DF403C">
      <w:pPr>
        <w:jc w:val="both"/>
        <w:rPr>
          <w:rFonts w:ascii="Arial" w:hAnsi="Arial" w:cs="Arial"/>
          <w:sz w:val="20"/>
          <w:szCs w:val="20"/>
          <w:lang w:val="es-CO"/>
        </w:rPr>
      </w:pPr>
      <w:r w:rsidRPr="00D12EED">
        <w:rPr>
          <w:rFonts w:ascii="Arial" w:hAnsi="Arial" w:cs="Arial"/>
          <w:sz w:val="20"/>
          <w:szCs w:val="20"/>
          <w:lang w:val="es-CO"/>
        </w:rPr>
        <w:t>Asimismo, respecto de la interrupción, refiere el literal c) que: “Cualquier actuación, de oficio o a petición de parte, de cualquier naturaleza, interrumpirá los términos previstos en este artículo.”; ahora, aun cuando se emplee la expresión “actuación”, debe tenerse en cuenta que no se está significando que deba mediar una providencia, sino que es idónea cualquier solicitud, por lo tanto, deviene inútil calificarla de apta para impulsar o no el proceso</w:t>
      </w:r>
      <w:r>
        <w:rPr>
          <w:rFonts w:ascii="Arial" w:hAnsi="Arial" w:cs="Arial"/>
          <w:sz w:val="20"/>
          <w:szCs w:val="20"/>
          <w:lang w:val="es-CO"/>
        </w:rPr>
        <w:t>…</w:t>
      </w:r>
    </w:p>
    <w:p w:rsidR="00DF403C" w:rsidRPr="00DF403C" w:rsidRDefault="00DF403C" w:rsidP="00DF403C">
      <w:pPr>
        <w:jc w:val="both"/>
        <w:rPr>
          <w:rFonts w:ascii="Arial" w:hAnsi="Arial" w:cs="Arial"/>
          <w:sz w:val="20"/>
          <w:szCs w:val="20"/>
          <w:lang w:val="es-419"/>
        </w:rPr>
      </w:pPr>
    </w:p>
    <w:p w:rsidR="00DF403C" w:rsidRPr="00DF403C" w:rsidRDefault="00DF403C" w:rsidP="00DF403C">
      <w:pPr>
        <w:jc w:val="both"/>
        <w:rPr>
          <w:rFonts w:ascii="Arial" w:hAnsi="Arial" w:cs="Arial"/>
          <w:sz w:val="20"/>
          <w:szCs w:val="20"/>
          <w:lang w:val="es-419"/>
        </w:rPr>
      </w:pPr>
    </w:p>
    <w:p w:rsidR="00DF403C" w:rsidRPr="00DF403C" w:rsidRDefault="00DF403C" w:rsidP="00DF403C">
      <w:pPr>
        <w:jc w:val="both"/>
        <w:rPr>
          <w:rFonts w:ascii="Arial" w:hAnsi="Arial" w:cs="Arial"/>
          <w:sz w:val="20"/>
          <w:szCs w:val="20"/>
          <w:lang w:val="es-419"/>
        </w:rPr>
      </w:pPr>
    </w:p>
    <w:p w:rsidR="00FE5476" w:rsidRPr="006C2316" w:rsidRDefault="0047271E" w:rsidP="00FE5476">
      <w:pPr>
        <w:pStyle w:val="Sinespaciado"/>
        <w:tabs>
          <w:tab w:val="left" w:pos="3579"/>
        </w:tabs>
        <w:spacing w:line="360" w:lineRule="auto"/>
        <w:ind w:left="3579" w:hanging="3579"/>
        <w:jc w:val="center"/>
        <w:rPr>
          <w:rFonts w:ascii="Georgia" w:hAnsi="Georgia" w:cs="Arial"/>
          <w:w w:val="140"/>
          <w:sz w:val="14"/>
          <w:lang w:val="es-419"/>
        </w:rPr>
      </w:pPr>
      <w:r>
        <w:rPr>
          <w:noProof/>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0</wp:posOffset>
            </wp:positionV>
            <wp:extent cx="354965" cy="354965"/>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6C2316"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6C2316"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6C2316"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6C2316">
        <w:rPr>
          <w:rFonts w:ascii="Georgia" w:hAnsi="Georgia" w:cs="Arial"/>
          <w:w w:val="140"/>
          <w:sz w:val="14"/>
          <w:lang w:val="es-419"/>
        </w:rPr>
        <w:t>REPUBLICA DE COLOMBIA</w:t>
      </w:r>
    </w:p>
    <w:p w:rsidR="00FE5476" w:rsidRPr="006C2316" w:rsidRDefault="00FE5476" w:rsidP="00FE5476">
      <w:pPr>
        <w:pStyle w:val="Sinespaciado"/>
        <w:tabs>
          <w:tab w:val="center" w:pos="4987"/>
          <w:tab w:val="left" w:pos="8449"/>
        </w:tabs>
        <w:spacing w:line="360" w:lineRule="auto"/>
        <w:jc w:val="center"/>
        <w:rPr>
          <w:rFonts w:ascii="Georgia" w:hAnsi="Georgia" w:cs="Arial"/>
          <w:w w:val="140"/>
          <w:lang w:val="es-419"/>
        </w:rPr>
      </w:pPr>
      <w:r w:rsidRPr="006C2316">
        <w:rPr>
          <w:rFonts w:ascii="Georgia" w:hAnsi="Georgia" w:cs="Arial"/>
          <w:w w:val="140"/>
          <w:sz w:val="14"/>
          <w:lang w:val="es-419"/>
        </w:rPr>
        <w:t>RAMA JUDICIAL DEL PODER PÚBLICO</w:t>
      </w:r>
    </w:p>
    <w:p w:rsidR="00FE5476" w:rsidRPr="006C2316" w:rsidRDefault="00FE5476" w:rsidP="00FE5476">
      <w:pPr>
        <w:pStyle w:val="Sinespaciado"/>
        <w:spacing w:line="360" w:lineRule="auto"/>
        <w:jc w:val="center"/>
        <w:rPr>
          <w:rFonts w:ascii="Georgia" w:hAnsi="Georgia" w:cs="Arial"/>
          <w:w w:val="140"/>
          <w:sz w:val="16"/>
          <w:lang w:val="es-419"/>
        </w:rPr>
      </w:pPr>
      <w:r w:rsidRPr="006C2316">
        <w:rPr>
          <w:rFonts w:ascii="Georgia" w:hAnsi="Georgia" w:cs="Arial"/>
          <w:w w:val="140"/>
          <w:sz w:val="18"/>
          <w:lang w:val="es-419"/>
        </w:rPr>
        <w:t>T</w:t>
      </w:r>
      <w:r w:rsidRPr="006C2316">
        <w:rPr>
          <w:rFonts w:ascii="Georgia" w:hAnsi="Georgia" w:cs="Arial"/>
          <w:w w:val="140"/>
          <w:sz w:val="16"/>
          <w:lang w:val="es-419"/>
        </w:rPr>
        <w:t>RIBUNAL</w:t>
      </w:r>
      <w:r w:rsidRPr="006C2316">
        <w:rPr>
          <w:rFonts w:ascii="Georgia" w:hAnsi="Georgia" w:cs="Arial"/>
          <w:w w:val="140"/>
          <w:sz w:val="18"/>
          <w:lang w:val="es-419"/>
        </w:rPr>
        <w:t xml:space="preserve"> S</w:t>
      </w:r>
      <w:r w:rsidRPr="006C2316">
        <w:rPr>
          <w:rFonts w:ascii="Georgia" w:hAnsi="Georgia" w:cs="Arial"/>
          <w:w w:val="140"/>
          <w:sz w:val="16"/>
          <w:lang w:val="es-419"/>
        </w:rPr>
        <w:t xml:space="preserve">UPERIOR DEL </w:t>
      </w:r>
      <w:r w:rsidRPr="006C2316">
        <w:rPr>
          <w:rFonts w:ascii="Georgia" w:hAnsi="Georgia" w:cs="Arial"/>
          <w:w w:val="140"/>
          <w:sz w:val="18"/>
          <w:lang w:val="es-419"/>
        </w:rPr>
        <w:t>D</w:t>
      </w:r>
      <w:r w:rsidRPr="006C2316">
        <w:rPr>
          <w:rFonts w:ascii="Georgia" w:hAnsi="Georgia" w:cs="Arial"/>
          <w:w w:val="140"/>
          <w:sz w:val="16"/>
          <w:lang w:val="es-419"/>
        </w:rPr>
        <w:t>ISTRITO</w:t>
      </w:r>
      <w:r w:rsidRPr="006C2316">
        <w:rPr>
          <w:rFonts w:ascii="Georgia" w:hAnsi="Georgia" w:cs="Arial"/>
          <w:w w:val="140"/>
          <w:sz w:val="18"/>
          <w:lang w:val="es-419"/>
        </w:rPr>
        <w:t xml:space="preserve"> J</w:t>
      </w:r>
      <w:r w:rsidRPr="006C2316">
        <w:rPr>
          <w:rFonts w:ascii="Georgia" w:hAnsi="Georgia" w:cs="Arial"/>
          <w:w w:val="140"/>
          <w:sz w:val="16"/>
          <w:lang w:val="es-419"/>
        </w:rPr>
        <w:t>UDICIAL</w:t>
      </w:r>
    </w:p>
    <w:p w:rsidR="00FE5476" w:rsidRPr="006C2316" w:rsidRDefault="00FE5476" w:rsidP="00FE5476">
      <w:pPr>
        <w:pStyle w:val="Sinespaciado"/>
        <w:spacing w:line="360" w:lineRule="auto"/>
        <w:jc w:val="center"/>
        <w:rPr>
          <w:rFonts w:ascii="Georgia" w:hAnsi="Georgia" w:cs="Arial"/>
          <w:w w:val="140"/>
          <w:sz w:val="16"/>
          <w:szCs w:val="18"/>
          <w:lang w:val="es-419"/>
        </w:rPr>
      </w:pPr>
      <w:r w:rsidRPr="006C2316">
        <w:rPr>
          <w:rFonts w:ascii="Georgia" w:hAnsi="Georgia" w:cs="Arial"/>
          <w:w w:val="140"/>
          <w:sz w:val="18"/>
          <w:szCs w:val="16"/>
          <w:lang w:val="es-419"/>
        </w:rPr>
        <w:t>S</w:t>
      </w:r>
      <w:r w:rsidRPr="006C2316">
        <w:rPr>
          <w:rFonts w:ascii="Georgia" w:hAnsi="Georgia" w:cs="Arial"/>
          <w:w w:val="140"/>
          <w:sz w:val="16"/>
          <w:szCs w:val="14"/>
          <w:lang w:val="es-419"/>
        </w:rPr>
        <w:t xml:space="preserve">ALA </w:t>
      </w:r>
      <w:r w:rsidRPr="006C2316">
        <w:rPr>
          <w:rFonts w:ascii="Georgia" w:hAnsi="Georgia" w:cs="Arial"/>
          <w:w w:val="140"/>
          <w:sz w:val="18"/>
          <w:szCs w:val="18"/>
          <w:lang w:val="es-419"/>
        </w:rPr>
        <w:t>U</w:t>
      </w:r>
      <w:r w:rsidRPr="006C2316">
        <w:rPr>
          <w:rFonts w:ascii="Georgia" w:hAnsi="Georgia" w:cs="Arial"/>
          <w:w w:val="140"/>
          <w:sz w:val="16"/>
          <w:szCs w:val="16"/>
          <w:lang w:val="es-419"/>
        </w:rPr>
        <w:t>NITARIA</w:t>
      </w:r>
      <w:r w:rsidRPr="006C2316">
        <w:rPr>
          <w:rFonts w:ascii="Georgia" w:hAnsi="Georgia" w:cs="Arial"/>
          <w:w w:val="140"/>
          <w:sz w:val="14"/>
          <w:szCs w:val="14"/>
          <w:lang w:val="es-419"/>
        </w:rPr>
        <w:t xml:space="preserve"> </w:t>
      </w:r>
      <w:r w:rsidRPr="006C2316">
        <w:rPr>
          <w:rFonts w:ascii="Georgia" w:hAnsi="Georgia" w:cs="Arial"/>
          <w:w w:val="140"/>
          <w:sz w:val="18"/>
          <w:szCs w:val="16"/>
          <w:lang w:val="es-419"/>
        </w:rPr>
        <w:t>C</w:t>
      </w:r>
      <w:r w:rsidRPr="006C2316">
        <w:rPr>
          <w:rFonts w:ascii="Georgia" w:hAnsi="Georgia" w:cs="Arial"/>
          <w:w w:val="140"/>
          <w:sz w:val="16"/>
          <w:szCs w:val="16"/>
          <w:lang w:val="es-419"/>
        </w:rPr>
        <w:t>IVIL</w:t>
      </w:r>
      <w:r w:rsidRPr="006C2316">
        <w:rPr>
          <w:rFonts w:ascii="Georgia" w:hAnsi="Georgia" w:cs="Arial"/>
          <w:w w:val="140"/>
          <w:sz w:val="14"/>
          <w:szCs w:val="14"/>
          <w:lang w:val="es-419"/>
        </w:rPr>
        <w:t xml:space="preserve">– </w:t>
      </w:r>
      <w:r w:rsidRPr="006C2316">
        <w:rPr>
          <w:rFonts w:ascii="Georgia" w:hAnsi="Georgia" w:cs="Arial"/>
          <w:w w:val="140"/>
          <w:sz w:val="18"/>
          <w:szCs w:val="16"/>
          <w:lang w:val="es-419"/>
        </w:rPr>
        <w:t>F</w:t>
      </w:r>
      <w:r w:rsidRPr="006C2316">
        <w:rPr>
          <w:rFonts w:ascii="Georgia" w:hAnsi="Georgia" w:cs="Arial"/>
          <w:w w:val="140"/>
          <w:sz w:val="16"/>
          <w:szCs w:val="16"/>
          <w:lang w:val="es-419"/>
        </w:rPr>
        <w:t xml:space="preserve">AMILIA – </w:t>
      </w:r>
      <w:r w:rsidRPr="006C2316">
        <w:rPr>
          <w:rFonts w:ascii="Georgia" w:hAnsi="Georgia" w:cs="Arial"/>
          <w:w w:val="140"/>
          <w:sz w:val="18"/>
          <w:szCs w:val="16"/>
          <w:lang w:val="es-419"/>
        </w:rPr>
        <w:t>D</w:t>
      </w:r>
      <w:r w:rsidRPr="006C2316">
        <w:rPr>
          <w:rFonts w:ascii="Georgia" w:hAnsi="Georgia" w:cs="Arial"/>
          <w:w w:val="140"/>
          <w:sz w:val="16"/>
          <w:szCs w:val="16"/>
          <w:lang w:val="es-419"/>
        </w:rPr>
        <w:t xml:space="preserve">ISTRITO DE </w:t>
      </w:r>
      <w:r w:rsidRPr="006C2316">
        <w:rPr>
          <w:rFonts w:ascii="Georgia" w:hAnsi="Georgia" w:cs="Arial"/>
          <w:w w:val="140"/>
          <w:sz w:val="18"/>
          <w:szCs w:val="16"/>
          <w:lang w:val="es-419"/>
        </w:rPr>
        <w:t>P</w:t>
      </w:r>
      <w:r w:rsidRPr="006C2316">
        <w:rPr>
          <w:rFonts w:ascii="Georgia" w:hAnsi="Georgia" w:cs="Arial"/>
          <w:w w:val="140"/>
          <w:sz w:val="16"/>
          <w:szCs w:val="16"/>
          <w:lang w:val="es-419"/>
        </w:rPr>
        <w:t>EREIRA</w:t>
      </w:r>
    </w:p>
    <w:p w:rsidR="00AC5058" w:rsidRPr="006C2316" w:rsidRDefault="00AC5058" w:rsidP="00FE5476">
      <w:pPr>
        <w:pStyle w:val="Sinespaciado"/>
        <w:spacing w:line="360" w:lineRule="auto"/>
        <w:jc w:val="center"/>
        <w:rPr>
          <w:rFonts w:ascii="Georgia" w:hAnsi="Georgia" w:cs="Arial"/>
          <w:w w:val="140"/>
          <w:sz w:val="16"/>
          <w:szCs w:val="16"/>
          <w:lang w:val="es-419"/>
        </w:rPr>
      </w:pPr>
      <w:r w:rsidRPr="006C2316">
        <w:rPr>
          <w:rFonts w:ascii="Georgia" w:hAnsi="Georgia" w:cs="Arial"/>
          <w:w w:val="140"/>
          <w:sz w:val="16"/>
          <w:szCs w:val="18"/>
          <w:lang w:val="es-419"/>
        </w:rPr>
        <w:t>D</w:t>
      </w:r>
      <w:r w:rsidR="00B30904" w:rsidRPr="006C2316">
        <w:rPr>
          <w:rFonts w:ascii="Georgia" w:hAnsi="Georgia" w:cs="Arial"/>
          <w:w w:val="140"/>
          <w:sz w:val="16"/>
          <w:szCs w:val="18"/>
          <w:lang w:val="es-419"/>
        </w:rPr>
        <w:t xml:space="preserve"> </w:t>
      </w:r>
      <w:r w:rsidRPr="006C2316">
        <w:rPr>
          <w:rFonts w:ascii="Georgia" w:hAnsi="Georgia" w:cs="Arial"/>
          <w:w w:val="140"/>
          <w:sz w:val="14"/>
          <w:szCs w:val="16"/>
          <w:lang w:val="es-419"/>
        </w:rPr>
        <w:t>E</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P</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A</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R</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T</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A</w:t>
      </w:r>
      <w:r w:rsidR="00B82EA3" w:rsidRPr="006C2316">
        <w:rPr>
          <w:rFonts w:ascii="Georgia" w:hAnsi="Georgia" w:cs="Arial"/>
          <w:w w:val="140"/>
          <w:sz w:val="14"/>
          <w:szCs w:val="16"/>
          <w:lang w:val="es-419"/>
        </w:rPr>
        <w:t xml:space="preserve"> </w:t>
      </w:r>
      <w:r w:rsidRPr="006C2316">
        <w:rPr>
          <w:rFonts w:ascii="Georgia" w:hAnsi="Georgia" w:cs="Arial"/>
          <w:w w:val="140"/>
          <w:sz w:val="14"/>
          <w:szCs w:val="16"/>
          <w:lang w:val="es-419"/>
        </w:rPr>
        <w:t>M</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E</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N</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T</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 xml:space="preserve">O </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D</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E</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L</w:t>
      </w:r>
      <w:r w:rsidR="00B30904" w:rsidRPr="006C2316">
        <w:rPr>
          <w:rFonts w:ascii="Georgia" w:hAnsi="Georgia" w:cs="Arial"/>
          <w:w w:val="140"/>
          <w:sz w:val="14"/>
          <w:szCs w:val="16"/>
          <w:lang w:val="es-419"/>
        </w:rPr>
        <w:t xml:space="preserve"> </w:t>
      </w:r>
      <w:r w:rsidRPr="006C2316">
        <w:rPr>
          <w:rFonts w:ascii="Georgia" w:hAnsi="Georgia" w:cs="Arial"/>
          <w:w w:val="140"/>
          <w:sz w:val="12"/>
          <w:szCs w:val="14"/>
          <w:lang w:val="es-419"/>
        </w:rPr>
        <w:t xml:space="preserve"> </w:t>
      </w:r>
      <w:r w:rsidR="00B30904" w:rsidRPr="006C2316">
        <w:rPr>
          <w:rFonts w:ascii="Georgia" w:hAnsi="Georgia" w:cs="Arial"/>
          <w:w w:val="140"/>
          <w:sz w:val="12"/>
          <w:szCs w:val="14"/>
          <w:lang w:val="es-419"/>
        </w:rPr>
        <w:t xml:space="preserve">  </w:t>
      </w:r>
      <w:r w:rsidRPr="006C2316">
        <w:rPr>
          <w:rFonts w:ascii="Georgia" w:hAnsi="Georgia" w:cs="Arial"/>
          <w:w w:val="140"/>
          <w:sz w:val="16"/>
          <w:szCs w:val="16"/>
          <w:lang w:val="es-419"/>
        </w:rPr>
        <w:t>R</w:t>
      </w:r>
      <w:r w:rsidR="00B30904" w:rsidRPr="006C2316">
        <w:rPr>
          <w:rFonts w:ascii="Georgia" w:hAnsi="Georgia" w:cs="Arial"/>
          <w:w w:val="140"/>
          <w:sz w:val="16"/>
          <w:szCs w:val="16"/>
          <w:lang w:val="es-419"/>
        </w:rPr>
        <w:t xml:space="preserve"> </w:t>
      </w:r>
      <w:r w:rsidRPr="006C2316">
        <w:rPr>
          <w:rFonts w:ascii="Georgia" w:hAnsi="Georgia" w:cs="Arial"/>
          <w:w w:val="140"/>
          <w:sz w:val="14"/>
          <w:szCs w:val="16"/>
          <w:lang w:val="es-419"/>
        </w:rPr>
        <w:t>I</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S</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A</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R</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A</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L</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D</w:t>
      </w:r>
      <w:r w:rsidR="00B30904" w:rsidRPr="006C2316">
        <w:rPr>
          <w:rFonts w:ascii="Georgia" w:hAnsi="Georgia" w:cs="Arial"/>
          <w:w w:val="140"/>
          <w:sz w:val="14"/>
          <w:szCs w:val="16"/>
          <w:lang w:val="es-419"/>
        </w:rPr>
        <w:t xml:space="preserve"> </w:t>
      </w:r>
      <w:r w:rsidRPr="006C2316">
        <w:rPr>
          <w:rFonts w:ascii="Georgia" w:hAnsi="Georgia" w:cs="Arial"/>
          <w:w w:val="140"/>
          <w:sz w:val="14"/>
          <w:szCs w:val="16"/>
          <w:lang w:val="es-419"/>
        </w:rPr>
        <w:t>A</w:t>
      </w:r>
    </w:p>
    <w:p w:rsidR="00AC5058" w:rsidRPr="006C2316" w:rsidRDefault="00AC5058" w:rsidP="00992942">
      <w:pPr>
        <w:spacing w:line="360" w:lineRule="auto"/>
        <w:rPr>
          <w:rFonts w:ascii="Georgia" w:hAnsi="Georgia" w:cs="Arial"/>
          <w:b/>
          <w:bCs/>
          <w:sz w:val="22"/>
          <w:szCs w:val="22"/>
          <w:lang w:val="es-419"/>
        </w:rPr>
      </w:pPr>
    </w:p>
    <w:p w:rsidR="00AC5058" w:rsidRPr="006C2316" w:rsidRDefault="00AC5058" w:rsidP="00AC5058">
      <w:pPr>
        <w:pStyle w:val="Puesto"/>
        <w:pBdr>
          <w:bottom w:val="double" w:sz="6" w:space="1" w:color="auto"/>
        </w:pBdr>
        <w:spacing w:line="360" w:lineRule="auto"/>
        <w:rPr>
          <w:rFonts w:ascii="Georgia" w:hAnsi="Georgia"/>
          <w:b w:val="0"/>
          <w:bCs w:val="0"/>
          <w:i w:val="0"/>
          <w:iCs w:val="0"/>
          <w:spacing w:val="-3"/>
          <w:sz w:val="2"/>
          <w:lang w:val="es-419"/>
        </w:rPr>
      </w:pPr>
    </w:p>
    <w:p w:rsidR="00DA52A9" w:rsidRPr="006C2316" w:rsidRDefault="00DA52A9" w:rsidP="00AC5058">
      <w:pPr>
        <w:pStyle w:val="Puesto"/>
        <w:spacing w:line="360" w:lineRule="auto"/>
        <w:rPr>
          <w:rFonts w:ascii="Georgia" w:hAnsi="Georgia"/>
          <w:b w:val="0"/>
          <w:bCs w:val="0"/>
          <w:i w:val="0"/>
          <w:iCs w:val="0"/>
          <w:spacing w:val="-3"/>
          <w:sz w:val="16"/>
          <w:lang w:val="es-419"/>
        </w:rPr>
      </w:pPr>
    </w:p>
    <w:p w:rsidR="00AC5058" w:rsidRPr="006C2316" w:rsidRDefault="00715B01" w:rsidP="006C2316">
      <w:pPr>
        <w:pStyle w:val="Puesto"/>
        <w:spacing w:line="276" w:lineRule="auto"/>
        <w:rPr>
          <w:rFonts w:ascii="Georgia" w:hAnsi="Georgia"/>
          <w:b w:val="0"/>
          <w:bCs w:val="0"/>
          <w:i w:val="0"/>
          <w:spacing w:val="-3"/>
          <w:lang w:val="es-419"/>
        </w:rPr>
      </w:pPr>
      <w:r w:rsidRPr="006C2316">
        <w:rPr>
          <w:rFonts w:ascii="Georgia" w:hAnsi="Georgia"/>
          <w:b w:val="0"/>
          <w:bCs w:val="0"/>
          <w:i w:val="0"/>
          <w:smallCaps/>
          <w:spacing w:val="-3"/>
          <w:sz w:val="28"/>
          <w:lang w:val="es-419"/>
        </w:rPr>
        <w:t xml:space="preserve">Pereira, R., </w:t>
      </w:r>
      <w:r w:rsidR="0079124F" w:rsidRPr="006C2316">
        <w:rPr>
          <w:rFonts w:ascii="Georgia" w:hAnsi="Georgia"/>
          <w:b w:val="0"/>
          <w:bCs w:val="0"/>
          <w:i w:val="0"/>
          <w:smallCaps/>
          <w:spacing w:val="-3"/>
          <w:sz w:val="28"/>
          <w:lang w:val="es-419"/>
        </w:rPr>
        <w:t>treinta</w:t>
      </w:r>
      <w:r w:rsidR="00510764" w:rsidRPr="006C2316">
        <w:rPr>
          <w:rFonts w:ascii="Georgia" w:hAnsi="Georgia"/>
          <w:b w:val="0"/>
          <w:bCs w:val="0"/>
          <w:i w:val="0"/>
          <w:smallCaps/>
          <w:spacing w:val="-3"/>
          <w:sz w:val="28"/>
          <w:lang w:val="es-419"/>
        </w:rPr>
        <w:t xml:space="preserve"> </w:t>
      </w:r>
      <w:r w:rsidR="005C5B79" w:rsidRPr="006C2316">
        <w:rPr>
          <w:rFonts w:ascii="Georgia" w:hAnsi="Georgia"/>
          <w:b w:val="0"/>
          <w:bCs w:val="0"/>
          <w:i w:val="0"/>
          <w:smallCaps/>
          <w:spacing w:val="-3"/>
          <w:sz w:val="28"/>
          <w:lang w:val="es-419"/>
        </w:rPr>
        <w:t>(</w:t>
      </w:r>
      <w:r w:rsidR="0079124F" w:rsidRPr="006C2316">
        <w:rPr>
          <w:rFonts w:ascii="Georgia" w:hAnsi="Georgia"/>
          <w:b w:val="0"/>
          <w:bCs w:val="0"/>
          <w:i w:val="0"/>
          <w:smallCaps/>
          <w:spacing w:val="-3"/>
          <w:sz w:val="28"/>
          <w:lang w:val="es-419"/>
        </w:rPr>
        <w:t>30</w:t>
      </w:r>
      <w:r w:rsidR="005C5B79" w:rsidRPr="006C2316">
        <w:rPr>
          <w:rFonts w:ascii="Georgia" w:hAnsi="Georgia"/>
          <w:b w:val="0"/>
          <w:bCs w:val="0"/>
          <w:i w:val="0"/>
          <w:smallCaps/>
          <w:spacing w:val="-3"/>
          <w:sz w:val="28"/>
          <w:lang w:val="es-419"/>
        </w:rPr>
        <w:t>)</w:t>
      </w:r>
      <w:r w:rsidR="00AC5058" w:rsidRPr="006C2316">
        <w:rPr>
          <w:rFonts w:ascii="Georgia" w:hAnsi="Georgia"/>
          <w:b w:val="0"/>
          <w:bCs w:val="0"/>
          <w:i w:val="0"/>
          <w:smallCaps/>
          <w:spacing w:val="-3"/>
          <w:sz w:val="28"/>
          <w:lang w:val="es-419"/>
        </w:rPr>
        <w:t xml:space="preserve"> de </w:t>
      </w:r>
      <w:r w:rsidR="00510764" w:rsidRPr="006C2316">
        <w:rPr>
          <w:rFonts w:ascii="Georgia" w:hAnsi="Georgia"/>
          <w:b w:val="0"/>
          <w:bCs w:val="0"/>
          <w:i w:val="0"/>
          <w:smallCaps/>
          <w:spacing w:val="-3"/>
          <w:sz w:val="28"/>
          <w:lang w:val="es-419"/>
        </w:rPr>
        <w:t xml:space="preserve">septiembre </w:t>
      </w:r>
      <w:r w:rsidR="00AC5058" w:rsidRPr="006C2316">
        <w:rPr>
          <w:rFonts w:ascii="Georgia" w:hAnsi="Georgia"/>
          <w:b w:val="0"/>
          <w:bCs w:val="0"/>
          <w:i w:val="0"/>
          <w:smallCaps/>
          <w:spacing w:val="-3"/>
          <w:sz w:val="28"/>
          <w:lang w:val="es-419"/>
        </w:rPr>
        <w:t xml:space="preserve">de dos mil </w:t>
      </w:r>
      <w:r w:rsidR="001B0965" w:rsidRPr="006C2316">
        <w:rPr>
          <w:rFonts w:ascii="Georgia" w:hAnsi="Georgia"/>
          <w:b w:val="0"/>
          <w:bCs w:val="0"/>
          <w:i w:val="0"/>
          <w:smallCaps/>
          <w:spacing w:val="-3"/>
          <w:sz w:val="28"/>
          <w:lang w:val="es-419"/>
        </w:rPr>
        <w:t xml:space="preserve">diecinueve </w:t>
      </w:r>
      <w:r w:rsidR="00DA56B3" w:rsidRPr="006C2316">
        <w:rPr>
          <w:rFonts w:ascii="Georgia" w:hAnsi="Georgia"/>
          <w:b w:val="0"/>
          <w:bCs w:val="0"/>
          <w:i w:val="0"/>
          <w:smallCaps/>
          <w:spacing w:val="-3"/>
          <w:sz w:val="28"/>
          <w:lang w:val="es-419"/>
        </w:rPr>
        <w:t>(</w:t>
      </w:r>
      <w:r w:rsidR="001B0965" w:rsidRPr="006C2316">
        <w:rPr>
          <w:rFonts w:ascii="Georgia" w:hAnsi="Georgia"/>
          <w:b w:val="0"/>
          <w:bCs w:val="0"/>
          <w:i w:val="0"/>
          <w:smallCaps/>
          <w:spacing w:val="-3"/>
          <w:sz w:val="28"/>
          <w:lang w:val="es-419"/>
        </w:rPr>
        <w:t>2019</w:t>
      </w:r>
      <w:r w:rsidR="00AC5058" w:rsidRPr="006C2316">
        <w:rPr>
          <w:rFonts w:ascii="Georgia" w:hAnsi="Georgia"/>
          <w:b w:val="0"/>
          <w:bCs w:val="0"/>
          <w:i w:val="0"/>
          <w:smallCaps/>
          <w:spacing w:val="-3"/>
          <w:sz w:val="28"/>
          <w:lang w:val="es-419"/>
        </w:rPr>
        <w:t>)</w:t>
      </w:r>
      <w:r w:rsidR="00AC5058" w:rsidRPr="006C2316">
        <w:rPr>
          <w:rFonts w:ascii="Georgia" w:hAnsi="Georgia"/>
          <w:b w:val="0"/>
          <w:bCs w:val="0"/>
          <w:i w:val="0"/>
          <w:spacing w:val="-3"/>
          <w:sz w:val="28"/>
          <w:lang w:val="es-419"/>
        </w:rPr>
        <w:t>.</w:t>
      </w:r>
    </w:p>
    <w:p w:rsidR="009167BE" w:rsidRPr="006C2316" w:rsidRDefault="009167BE" w:rsidP="006C2316">
      <w:pPr>
        <w:pStyle w:val="Sinespaciado"/>
        <w:spacing w:line="276" w:lineRule="auto"/>
        <w:rPr>
          <w:rFonts w:ascii="Georgia" w:hAnsi="Georgia" w:cs="Arial"/>
          <w:sz w:val="24"/>
          <w:lang w:val="es-419"/>
        </w:rPr>
      </w:pPr>
    </w:p>
    <w:p w:rsidR="00356104" w:rsidRPr="006C2316" w:rsidRDefault="00356104" w:rsidP="006C2316">
      <w:pPr>
        <w:pStyle w:val="Sinespaciado"/>
        <w:numPr>
          <w:ilvl w:val="0"/>
          <w:numId w:val="4"/>
        </w:numPr>
        <w:spacing w:line="276" w:lineRule="auto"/>
        <w:jc w:val="both"/>
        <w:rPr>
          <w:rFonts w:ascii="Georgia" w:hAnsi="Georgia" w:cs="Arial"/>
          <w:sz w:val="24"/>
          <w:lang w:val="es-419"/>
        </w:rPr>
      </w:pPr>
      <w:r w:rsidRPr="006C2316">
        <w:rPr>
          <w:rFonts w:ascii="Georgia" w:hAnsi="Georgia" w:cs="Arial"/>
          <w:sz w:val="32"/>
          <w:lang w:val="es-419"/>
        </w:rPr>
        <w:t>E</w:t>
      </w:r>
      <w:r w:rsidRPr="006C2316">
        <w:rPr>
          <w:rFonts w:ascii="Georgia" w:hAnsi="Georgia" w:cs="Arial"/>
          <w:sz w:val="24"/>
          <w:lang w:val="es-419"/>
        </w:rPr>
        <w:t>L ASUNTO POR DECIDIR</w:t>
      </w:r>
    </w:p>
    <w:p w:rsidR="00356104" w:rsidRPr="006C2316" w:rsidRDefault="00356104" w:rsidP="006C2316">
      <w:pPr>
        <w:pStyle w:val="Sinespaciado"/>
        <w:spacing w:line="276" w:lineRule="auto"/>
        <w:jc w:val="both"/>
        <w:rPr>
          <w:rFonts w:ascii="Georgia" w:hAnsi="Georgia" w:cs="Arial"/>
          <w:sz w:val="24"/>
          <w:lang w:val="es-419"/>
        </w:rPr>
      </w:pPr>
    </w:p>
    <w:p w:rsidR="00356104" w:rsidRPr="006C2316" w:rsidRDefault="00BF496F" w:rsidP="006C2316">
      <w:pPr>
        <w:pStyle w:val="Sinespaciado"/>
        <w:spacing w:line="276" w:lineRule="auto"/>
        <w:jc w:val="both"/>
        <w:rPr>
          <w:rFonts w:ascii="Georgia" w:hAnsi="Georgia" w:cs="Arial"/>
          <w:sz w:val="28"/>
          <w:lang w:val="es-419"/>
        </w:rPr>
      </w:pPr>
      <w:r w:rsidRPr="006C2316">
        <w:rPr>
          <w:rFonts w:ascii="Georgia" w:hAnsi="Georgia" w:cs="Arial"/>
          <w:sz w:val="24"/>
          <w:lang w:val="es-419"/>
        </w:rPr>
        <w:lastRenderedPageBreak/>
        <w:t xml:space="preserve">La </w:t>
      </w:r>
      <w:r w:rsidR="00E713BA" w:rsidRPr="006C2316">
        <w:rPr>
          <w:rFonts w:ascii="Georgia" w:hAnsi="Georgia" w:cs="Arial"/>
          <w:sz w:val="24"/>
          <w:lang w:val="es-419"/>
        </w:rPr>
        <w:t xml:space="preserve">alzada formulada por </w:t>
      </w:r>
      <w:r w:rsidRPr="006C2316">
        <w:rPr>
          <w:rFonts w:ascii="Georgia" w:hAnsi="Georgia" w:cs="Arial"/>
          <w:sz w:val="24"/>
          <w:lang w:val="es-419"/>
        </w:rPr>
        <w:t xml:space="preserve">el </w:t>
      </w:r>
      <w:r w:rsidR="00E713BA" w:rsidRPr="006C2316">
        <w:rPr>
          <w:rFonts w:ascii="Georgia" w:hAnsi="Georgia" w:cs="Arial"/>
          <w:sz w:val="24"/>
          <w:lang w:val="es-419"/>
        </w:rPr>
        <w:t xml:space="preserve">vocero </w:t>
      </w:r>
      <w:r w:rsidRPr="006C2316">
        <w:rPr>
          <w:rFonts w:ascii="Georgia" w:hAnsi="Georgia" w:cs="Arial"/>
          <w:sz w:val="24"/>
          <w:lang w:val="es-419"/>
        </w:rPr>
        <w:t>judicial de</w:t>
      </w:r>
      <w:r w:rsidR="00FB14B3" w:rsidRPr="006C2316">
        <w:rPr>
          <w:rFonts w:ascii="Georgia" w:hAnsi="Georgia" w:cs="Arial"/>
          <w:sz w:val="24"/>
          <w:lang w:val="es-419"/>
        </w:rPr>
        <w:t xml:space="preserve"> </w:t>
      </w:r>
      <w:r w:rsidR="004E704C" w:rsidRPr="006C2316">
        <w:rPr>
          <w:rFonts w:ascii="Georgia" w:hAnsi="Georgia" w:cs="Arial"/>
          <w:sz w:val="24"/>
          <w:lang w:val="es-419"/>
        </w:rPr>
        <w:t>l</w:t>
      </w:r>
      <w:r w:rsidR="00FB14B3" w:rsidRPr="006C2316">
        <w:rPr>
          <w:rFonts w:ascii="Georgia" w:hAnsi="Georgia" w:cs="Arial"/>
          <w:sz w:val="24"/>
          <w:lang w:val="es-419"/>
        </w:rPr>
        <w:t>a</w:t>
      </w:r>
      <w:r w:rsidR="004E704C" w:rsidRPr="006C2316">
        <w:rPr>
          <w:rFonts w:ascii="Georgia" w:hAnsi="Georgia" w:cs="Arial"/>
          <w:sz w:val="24"/>
          <w:lang w:val="es-419"/>
        </w:rPr>
        <w:t xml:space="preserve"> </w:t>
      </w:r>
      <w:r w:rsidR="00FB14B3" w:rsidRPr="006C2316">
        <w:rPr>
          <w:rFonts w:ascii="Georgia" w:hAnsi="Georgia" w:cs="Arial"/>
          <w:sz w:val="24"/>
          <w:lang w:val="es-419"/>
        </w:rPr>
        <w:t xml:space="preserve">parte </w:t>
      </w:r>
      <w:r w:rsidR="00510764" w:rsidRPr="006C2316">
        <w:rPr>
          <w:rFonts w:ascii="Georgia" w:hAnsi="Georgia" w:cs="Arial"/>
          <w:sz w:val="24"/>
          <w:lang w:val="es-419"/>
        </w:rPr>
        <w:t>actora</w:t>
      </w:r>
      <w:r w:rsidR="00B21B22" w:rsidRPr="006C2316">
        <w:rPr>
          <w:rFonts w:ascii="Georgia" w:hAnsi="Georgia" w:cs="Arial"/>
          <w:sz w:val="24"/>
          <w:lang w:val="es-419"/>
        </w:rPr>
        <w:t>,</w:t>
      </w:r>
      <w:r w:rsidR="008B706D" w:rsidRPr="006C2316">
        <w:rPr>
          <w:rFonts w:ascii="Georgia" w:hAnsi="Georgia" w:cs="Arial"/>
          <w:sz w:val="24"/>
          <w:lang w:val="es-419"/>
        </w:rPr>
        <w:t xml:space="preserve"> </w:t>
      </w:r>
      <w:r w:rsidR="00356104" w:rsidRPr="006C2316">
        <w:rPr>
          <w:rFonts w:ascii="Georgia" w:hAnsi="Georgia" w:cs="Arial"/>
          <w:sz w:val="24"/>
          <w:lang w:val="es-419"/>
        </w:rPr>
        <w:t xml:space="preserve">contra </w:t>
      </w:r>
      <w:r w:rsidR="00B21B22" w:rsidRPr="006C2316">
        <w:rPr>
          <w:rFonts w:ascii="Georgia" w:hAnsi="Georgia" w:cs="Arial"/>
          <w:sz w:val="24"/>
          <w:lang w:val="es-419"/>
        </w:rPr>
        <w:t xml:space="preserve">el auto </w:t>
      </w:r>
      <w:r w:rsidR="002F5A53" w:rsidRPr="006C2316">
        <w:rPr>
          <w:rFonts w:ascii="Georgia" w:hAnsi="Georgia" w:cs="Arial"/>
          <w:sz w:val="24"/>
          <w:lang w:val="es-419"/>
        </w:rPr>
        <w:t>que</w:t>
      </w:r>
      <w:r w:rsidR="007B4C24" w:rsidRPr="006C2316">
        <w:rPr>
          <w:rFonts w:ascii="Georgia" w:hAnsi="Georgia" w:cs="Arial"/>
          <w:sz w:val="24"/>
          <w:lang w:val="es-419"/>
        </w:rPr>
        <w:t xml:space="preserve"> </w:t>
      </w:r>
      <w:r w:rsidR="00D91E99" w:rsidRPr="006C2316">
        <w:rPr>
          <w:rFonts w:ascii="Georgia" w:hAnsi="Georgia" w:cs="Arial"/>
          <w:sz w:val="24"/>
          <w:lang w:val="es-419"/>
        </w:rPr>
        <w:t>terminó por desistimiento tácito el proceso</w:t>
      </w:r>
      <w:r w:rsidR="00E713BA" w:rsidRPr="006C2316">
        <w:rPr>
          <w:rFonts w:ascii="Georgia" w:hAnsi="Georgia" w:cs="Arial"/>
          <w:sz w:val="24"/>
          <w:lang w:val="es-419"/>
        </w:rPr>
        <w:t>,</w:t>
      </w:r>
      <w:r w:rsidR="007B4C24" w:rsidRPr="006C2316">
        <w:rPr>
          <w:rFonts w:ascii="Georgia" w:hAnsi="Georgia" w:cs="Arial"/>
          <w:sz w:val="24"/>
          <w:lang w:val="es-419"/>
        </w:rPr>
        <w:t xml:space="preserve"> </w:t>
      </w:r>
      <w:r w:rsidR="00D91E99" w:rsidRPr="006C2316">
        <w:rPr>
          <w:rFonts w:ascii="Georgia" w:hAnsi="Georgia" w:cs="Arial"/>
          <w:sz w:val="24"/>
          <w:lang w:val="es-419"/>
        </w:rPr>
        <w:t xml:space="preserve">al tenor de </w:t>
      </w:r>
      <w:r w:rsidRPr="006C2316">
        <w:rPr>
          <w:rFonts w:ascii="Georgia" w:hAnsi="Georgia" w:cs="Arial"/>
          <w:sz w:val="24"/>
          <w:lang w:val="es-419"/>
        </w:rPr>
        <w:t xml:space="preserve">las </w:t>
      </w:r>
      <w:r w:rsidR="00D91E99" w:rsidRPr="006C2316">
        <w:rPr>
          <w:rFonts w:ascii="Georgia" w:hAnsi="Georgia" w:cs="Arial"/>
          <w:sz w:val="24"/>
          <w:lang w:val="es-419"/>
        </w:rPr>
        <w:t xml:space="preserve">apreciaciones </w:t>
      </w:r>
      <w:r w:rsidR="008B4305" w:rsidRPr="006C2316">
        <w:rPr>
          <w:rFonts w:ascii="Georgia" w:hAnsi="Georgia" w:cs="Arial"/>
          <w:sz w:val="24"/>
          <w:lang w:val="es-419"/>
        </w:rPr>
        <w:t>jurídicas</w:t>
      </w:r>
      <w:r w:rsidR="00E713BA" w:rsidRPr="006C2316">
        <w:rPr>
          <w:rFonts w:ascii="Georgia" w:hAnsi="Georgia" w:cs="Arial"/>
          <w:sz w:val="24"/>
          <w:lang w:val="es-419"/>
        </w:rPr>
        <w:t xml:space="preserve"> </w:t>
      </w:r>
      <w:r w:rsidR="00164065" w:rsidRPr="006C2316">
        <w:rPr>
          <w:rFonts w:ascii="Georgia" w:hAnsi="Georgia" w:cs="Arial"/>
          <w:sz w:val="24"/>
          <w:lang w:val="es-419"/>
        </w:rPr>
        <w:t>siguientes</w:t>
      </w:r>
      <w:r w:rsidR="007751D3" w:rsidRPr="006C2316">
        <w:rPr>
          <w:rFonts w:ascii="Georgia" w:hAnsi="Georgia" w:cs="Arial"/>
          <w:sz w:val="24"/>
          <w:lang w:val="es-419"/>
        </w:rPr>
        <w:t>.</w:t>
      </w:r>
    </w:p>
    <w:p w:rsidR="00E910D3" w:rsidRPr="006C2316" w:rsidRDefault="00E910D3" w:rsidP="006C2316">
      <w:pPr>
        <w:pStyle w:val="Sinespaciado"/>
        <w:spacing w:line="276" w:lineRule="auto"/>
        <w:jc w:val="both"/>
        <w:rPr>
          <w:rFonts w:ascii="Georgia" w:hAnsi="Georgia" w:cs="Arial"/>
          <w:sz w:val="24"/>
          <w:lang w:val="es-419"/>
        </w:rPr>
      </w:pPr>
    </w:p>
    <w:p w:rsidR="00356104" w:rsidRPr="006C2316" w:rsidRDefault="00356104" w:rsidP="006C2316">
      <w:pPr>
        <w:pStyle w:val="Sinespaciado"/>
        <w:numPr>
          <w:ilvl w:val="0"/>
          <w:numId w:val="4"/>
        </w:numPr>
        <w:spacing w:line="276" w:lineRule="auto"/>
        <w:jc w:val="both"/>
        <w:rPr>
          <w:rFonts w:ascii="Georgia" w:hAnsi="Georgia" w:cs="Arial"/>
          <w:sz w:val="24"/>
          <w:lang w:val="es-419"/>
        </w:rPr>
      </w:pPr>
      <w:r w:rsidRPr="006C2316">
        <w:rPr>
          <w:rFonts w:ascii="Georgia" w:hAnsi="Georgia" w:cs="Arial"/>
          <w:sz w:val="32"/>
          <w:lang w:val="es-419"/>
        </w:rPr>
        <w:t>L</w:t>
      </w:r>
      <w:r w:rsidRPr="006C2316">
        <w:rPr>
          <w:rFonts w:ascii="Georgia" w:hAnsi="Georgia" w:cs="Arial"/>
          <w:sz w:val="24"/>
          <w:lang w:val="es-419"/>
        </w:rPr>
        <w:t>A PROVIDENCIA RECURRIDA</w:t>
      </w:r>
    </w:p>
    <w:p w:rsidR="00356104" w:rsidRPr="006C2316" w:rsidRDefault="00356104" w:rsidP="006C2316">
      <w:pPr>
        <w:pStyle w:val="Sinespaciado"/>
        <w:spacing w:line="276" w:lineRule="auto"/>
        <w:jc w:val="both"/>
        <w:rPr>
          <w:rFonts w:ascii="Georgia" w:hAnsi="Georgia" w:cs="Arial"/>
          <w:sz w:val="24"/>
          <w:lang w:val="es-419"/>
        </w:rPr>
      </w:pPr>
    </w:p>
    <w:p w:rsidR="003232DA" w:rsidRPr="006C2316" w:rsidRDefault="00B7712C" w:rsidP="006C2316">
      <w:pPr>
        <w:spacing w:line="276" w:lineRule="auto"/>
        <w:jc w:val="both"/>
        <w:rPr>
          <w:rFonts w:ascii="Georgia" w:hAnsi="Georgia" w:cs="Arial"/>
          <w:szCs w:val="22"/>
          <w:lang w:val="es-419"/>
        </w:rPr>
      </w:pPr>
      <w:r w:rsidRPr="006C2316">
        <w:rPr>
          <w:rFonts w:ascii="Georgia" w:hAnsi="Georgia" w:cs="Arial"/>
          <w:szCs w:val="22"/>
          <w:lang w:val="es-419"/>
        </w:rPr>
        <w:t>E</w:t>
      </w:r>
      <w:r w:rsidR="007B4C24" w:rsidRPr="006C2316">
        <w:rPr>
          <w:rFonts w:ascii="Georgia" w:hAnsi="Georgia" w:cs="Arial"/>
          <w:szCs w:val="22"/>
          <w:lang w:val="es-419"/>
        </w:rPr>
        <w:t xml:space="preserve">l </w:t>
      </w:r>
      <w:r w:rsidRPr="006C2316">
        <w:rPr>
          <w:rFonts w:ascii="Georgia" w:hAnsi="Georgia" w:cs="Arial"/>
          <w:szCs w:val="22"/>
          <w:lang w:val="es-419"/>
        </w:rPr>
        <w:t>0</w:t>
      </w:r>
      <w:r w:rsidR="005139B5" w:rsidRPr="006C2316">
        <w:rPr>
          <w:rFonts w:ascii="Georgia" w:hAnsi="Georgia" w:cs="Arial"/>
          <w:szCs w:val="22"/>
          <w:lang w:val="es-419"/>
        </w:rPr>
        <w:t>7</w:t>
      </w:r>
      <w:r w:rsidR="007B4C24" w:rsidRPr="006C2316">
        <w:rPr>
          <w:rFonts w:ascii="Georgia" w:hAnsi="Georgia" w:cs="Arial"/>
          <w:szCs w:val="22"/>
          <w:lang w:val="es-419"/>
        </w:rPr>
        <w:t>-</w:t>
      </w:r>
      <w:r w:rsidRPr="006C2316">
        <w:rPr>
          <w:rFonts w:ascii="Georgia" w:hAnsi="Georgia" w:cs="Arial"/>
          <w:szCs w:val="22"/>
          <w:lang w:val="es-419"/>
        </w:rPr>
        <w:t>12</w:t>
      </w:r>
      <w:r w:rsidR="007B4C24" w:rsidRPr="006C2316">
        <w:rPr>
          <w:rFonts w:ascii="Georgia" w:hAnsi="Georgia" w:cs="Arial"/>
          <w:szCs w:val="22"/>
          <w:lang w:val="es-419"/>
        </w:rPr>
        <w:t>-201</w:t>
      </w:r>
      <w:r w:rsidRPr="006C2316">
        <w:rPr>
          <w:rFonts w:ascii="Georgia" w:hAnsi="Georgia" w:cs="Arial"/>
          <w:szCs w:val="22"/>
          <w:lang w:val="es-419"/>
        </w:rPr>
        <w:t>8</w:t>
      </w:r>
      <w:r w:rsidR="00691512" w:rsidRPr="006C2316">
        <w:rPr>
          <w:rFonts w:ascii="Georgia" w:hAnsi="Georgia" w:cs="Arial"/>
          <w:szCs w:val="22"/>
          <w:lang w:val="es-419"/>
        </w:rPr>
        <w:t xml:space="preserve"> </w:t>
      </w:r>
      <w:r w:rsidR="005139B5" w:rsidRPr="006C2316">
        <w:rPr>
          <w:rFonts w:ascii="Georgia" w:hAnsi="Georgia" w:cs="Arial"/>
          <w:szCs w:val="22"/>
          <w:lang w:val="es-419"/>
        </w:rPr>
        <w:t xml:space="preserve">declaró la terminación del proceso </w:t>
      </w:r>
      <w:r w:rsidRPr="006C2316">
        <w:rPr>
          <w:rFonts w:ascii="Georgia" w:hAnsi="Georgia" w:cs="Arial"/>
          <w:szCs w:val="22"/>
          <w:lang w:val="es-419"/>
        </w:rPr>
        <w:t xml:space="preserve">por operar </w:t>
      </w:r>
      <w:r w:rsidR="005139B5" w:rsidRPr="006C2316">
        <w:rPr>
          <w:rFonts w:ascii="Georgia" w:hAnsi="Georgia" w:cs="Arial"/>
          <w:szCs w:val="22"/>
          <w:lang w:val="es-419"/>
        </w:rPr>
        <w:t xml:space="preserve">el desistimiento tácito, pues se encontró inactividad procesal de más de tres </w:t>
      </w:r>
      <w:r w:rsidR="00C511E4" w:rsidRPr="006C2316">
        <w:rPr>
          <w:rFonts w:ascii="Georgia" w:hAnsi="Georgia" w:cs="Arial"/>
          <w:szCs w:val="22"/>
          <w:lang w:val="es-419"/>
        </w:rPr>
        <w:t xml:space="preserve">(3) </w:t>
      </w:r>
      <w:r w:rsidR="005139B5" w:rsidRPr="006C2316">
        <w:rPr>
          <w:rFonts w:ascii="Georgia" w:hAnsi="Georgia" w:cs="Arial"/>
          <w:szCs w:val="22"/>
          <w:lang w:val="es-419"/>
        </w:rPr>
        <w:t>años</w:t>
      </w:r>
      <w:r w:rsidRPr="006C2316">
        <w:rPr>
          <w:rFonts w:ascii="Georgia" w:hAnsi="Georgia" w:cs="Arial"/>
          <w:szCs w:val="22"/>
          <w:lang w:val="es-419"/>
        </w:rPr>
        <w:t xml:space="preserve">, sin </w:t>
      </w:r>
      <w:r w:rsidR="005139B5" w:rsidRPr="006C2316">
        <w:rPr>
          <w:rFonts w:ascii="Georgia" w:hAnsi="Georgia" w:cs="Arial"/>
          <w:szCs w:val="22"/>
          <w:lang w:val="es-419"/>
        </w:rPr>
        <w:t>interrupción alguna dado que la parte ejecutante omitió gestionar pedimento</w:t>
      </w:r>
      <w:r w:rsidRPr="006C2316">
        <w:rPr>
          <w:rFonts w:ascii="Georgia" w:hAnsi="Georgia" w:cs="Arial"/>
          <w:szCs w:val="22"/>
          <w:lang w:val="es-419"/>
        </w:rPr>
        <w:t>s</w:t>
      </w:r>
      <w:r w:rsidR="005139B5" w:rsidRPr="006C2316">
        <w:rPr>
          <w:rFonts w:ascii="Georgia" w:hAnsi="Georgia" w:cs="Arial"/>
          <w:szCs w:val="22"/>
          <w:lang w:val="es-419"/>
        </w:rPr>
        <w:t xml:space="preserve"> </w:t>
      </w:r>
      <w:r w:rsidRPr="006C2316">
        <w:rPr>
          <w:rFonts w:ascii="Georgia" w:hAnsi="Georgia" w:cs="Arial"/>
          <w:szCs w:val="22"/>
          <w:lang w:val="es-419"/>
        </w:rPr>
        <w:t xml:space="preserve">de cualquier índole </w:t>
      </w:r>
      <w:r w:rsidR="003232DA" w:rsidRPr="006C2316">
        <w:rPr>
          <w:rFonts w:ascii="Georgia" w:hAnsi="Georgia" w:cs="Arial"/>
          <w:sz w:val="22"/>
          <w:szCs w:val="22"/>
          <w:lang w:val="es-419"/>
        </w:rPr>
        <w:t>(</w:t>
      </w:r>
      <w:r w:rsidR="00691512" w:rsidRPr="006C2316">
        <w:rPr>
          <w:rFonts w:ascii="Georgia" w:hAnsi="Georgia" w:cs="Arial"/>
          <w:sz w:val="22"/>
          <w:szCs w:val="22"/>
          <w:lang w:val="es-419"/>
        </w:rPr>
        <w:t>Folio</w:t>
      </w:r>
      <w:r w:rsidRPr="006C2316">
        <w:rPr>
          <w:rFonts w:ascii="Georgia" w:hAnsi="Georgia" w:cs="Arial"/>
          <w:sz w:val="22"/>
          <w:szCs w:val="22"/>
          <w:lang w:val="es-419"/>
        </w:rPr>
        <w:t>s</w:t>
      </w:r>
      <w:r w:rsidR="00691512" w:rsidRPr="006C2316">
        <w:rPr>
          <w:rFonts w:ascii="Georgia" w:hAnsi="Georgia" w:cs="Arial"/>
          <w:sz w:val="22"/>
          <w:szCs w:val="22"/>
          <w:lang w:val="es-419"/>
        </w:rPr>
        <w:t xml:space="preserve"> </w:t>
      </w:r>
      <w:r w:rsidR="0030280E" w:rsidRPr="006C2316">
        <w:rPr>
          <w:rFonts w:ascii="Georgia" w:hAnsi="Georgia" w:cs="Arial"/>
          <w:sz w:val="22"/>
          <w:szCs w:val="22"/>
          <w:lang w:val="es-419"/>
        </w:rPr>
        <w:t>2</w:t>
      </w:r>
      <w:r w:rsidR="00D77796" w:rsidRPr="006C2316">
        <w:rPr>
          <w:rFonts w:ascii="Georgia" w:hAnsi="Georgia" w:cs="Arial"/>
          <w:sz w:val="22"/>
          <w:szCs w:val="22"/>
          <w:lang w:val="es-419"/>
        </w:rPr>
        <w:t>96</w:t>
      </w:r>
      <w:r w:rsidR="0030280E" w:rsidRPr="006C2316">
        <w:rPr>
          <w:rFonts w:ascii="Georgia" w:hAnsi="Georgia" w:cs="Arial"/>
          <w:sz w:val="22"/>
          <w:szCs w:val="22"/>
          <w:lang w:val="es-419"/>
        </w:rPr>
        <w:t xml:space="preserve"> ss</w:t>
      </w:r>
      <w:r w:rsidR="00691512" w:rsidRPr="006C2316">
        <w:rPr>
          <w:rFonts w:ascii="Georgia" w:hAnsi="Georgia" w:cs="Arial"/>
          <w:sz w:val="22"/>
          <w:szCs w:val="22"/>
          <w:lang w:val="es-419"/>
        </w:rPr>
        <w:t>, cuaderno de primera instancia</w:t>
      </w:r>
      <w:r w:rsidR="00691512" w:rsidRPr="006C2316">
        <w:rPr>
          <w:rFonts w:ascii="Georgia" w:hAnsi="Georgia" w:cs="Arial"/>
          <w:szCs w:val="22"/>
          <w:lang w:val="es-419"/>
        </w:rPr>
        <w:t>)</w:t>
      </w:r>
      <w:r w:rsidR="00691512" w:rsidRPr="006C2316">
        <w:rPr>
          <w:rFonts w:ascii="Georgia" w:hAnsi="Georgia" w:cs="Arial"/>
          <w:sz w:val="22"/>
          <w:szCs w:val="22"/>
          <w:lang w:val="es-419"/>
        </w:rPr>
        <w:t>.</w:t>
      </w:r>
      <w:r w:rsidRPr="006C2316">
        <w:rPr>
          <w:rFonts w:ascii="Georgia" w:hAnsi="Georgia" w:cs="Arial"/>
          <w:sz w:val="22"/>
          <w:szCs w:val="22"/>
          <w:lang w:val="es-419"/>
        </w:rPr>
        <w:t xml:space="preserve"> </w:t>
      </w:r>
      <w:r w:rsidRPr="006C2316">
        <w:rPr>
          <w:rFonts w:ascii="Georgia" w:hAnsi="Georgia" w:cs="Arial"/>
          <w:szCs w:val="22"/>
          <w:lang w:val="es-419"/>
        </w:rPr>
        <w:t xml:space="preserve">Se interpuso reposición y fue denegada el </w:t>
      </w:r>
      <w:r w:rsidR="00D77796" w:rsidRPr="006C2316">
        <w:rPr>
          <w:rFonts w:ascii="Georgia" w:hAnsi="Georgia" w:cs="Arial"/>
          <w:szCs w:val="22"/>
          <w:lang w:val="es-419"/>
        </w:rPr>
        <w:t xml:space="preserve">17-07-2019 </w:t>
      </w:r>
      <w:r w:rsidRPr="006C2316">
        <w:rPr>
          <w:rFonts w:ascii="Georgia" w:hAnsi="Georgia" w:cs="Arial"/>
          <w:sz w:val="22"/>
          <w:szCs w:val="22"/>
          <w:lang w:val="es-419"/>
        </w:rPr>
        <w:t>(Folios 302 ss, cuaderno de primera instancia</w:t>
      </w:r>
      <w:r w:rsidRPr="006C2316">
        <w:rPr>
          <w:rFonts w:ascii="Georgia" w:hAnsi="Georgia" w:cs="Arial"/>
          <w:szCs w:val="22"/>
          <w:lang w:val="es-419"/>
        </w:rPr>
        <w:t>)</w:t>
      </w:r>
      <w:r w:rsidR="00DB4C1B" w:rsidRPr="006C2316">
        <w:rPr>
          <w:rFonts w:ascii="Georgia" w:hAnsi="Georgia" w:cs="Arial"/>
          <w:szCs w:val="22"/>
          <w:lang w:val="es-419"/>
        </w:rPr>
        <w:t>.</w:t>
      </w:r>
    </w:p>
    <w:p w:rsidR="003232DA" w:rsidRPr="006C2316" w:rsidRDefault="003232DA" w:rsidP="006C2316">
      <w:pPr>
        <w:spacing w:line="276" w:lineRule="auto"/>
        <w:jc w:val="both"/>
        <w:rPr>
          <w:rFonts w:ascii="Georgia" w:hAnsi="Georgia" w:cs="Arial"/>
          <w:szCs w:val="22"/>
          <w:lang w:val="es-419"/>
        </w:rPr>
      </w:pPr>
    </w:p>
    <w:p w:rsidR="00356104" w:rsidRPr="006C2316" w:rsidRDefault="00356104" w:rsidP="006C2316">
      <w:pPr>
        <w:pStyle w:val="Sinespaciado"/>
        <w:numPr>
          <w:ilvl w:val="0"/>
          <w:numId w:val="4"/>
        </w:numPr>
        <w:spacing w:line="276" w:lineRule="auto"/>
        <w:jc w:val="both"/>
        <w:rPr>
          <w:rFonts w:ascii="Georgia" w:hAnsi="Georgia" w:cs="Arial"/>
          <w:sz w:val="24"/>
          <w:lang w:val="es-419"/>
        </w:rPr>
      </w:pPr>
      <w:r w:rsidRPr="006C2316">
        <w:rPr>
          <w:rFonts w:ascii="Georgia" w:hAnsi="Georgia" w:cs="Arial"/>
          <w:sz w:val="32"/>
          <w:lang w:val="es-419"/>
        </w:rPr>
        <w:t>L</w:t>
      </w:r>
      <w:r w:rsidRPr="006C2316">
        <w:rPr>
          <w:rFonts w:ascii="Georgia" w:hAnsi="Georgia" w:cs="Arial"/>
          <w:sz w:val="24"/>
          <w:lang w:val="es-419"/>
        </w:rPr>
        <w:t xml:space="preserve">A SÍNTESIS DE LA </w:t>
      </w:r>
      <w:r w:rsidR="00953DFF" w:rsidRPr="006C2316">
        <w:rPr>
          <w:rFonts w:ascii="Georgia" w:hAnsi="Georgia" w:cs="Arial"/>
          <w:sz w:val="24"/>
          <w:lang w:val="es-419"/>
        </w:rPr>
        <w:t>APELACIÓN</w:t>
      </w:r>
    </w:p>
    <w:p w:rsidR="00EF584D" w:rsidRPr="006C2316" w:rsidRDefault="00EF584D" w:rsidP="006C2316">
      <w:pPr>
        <w:pStyle w:val="Sinespaciado"/>
        <w:spacing w:line="276" w:lineRule="auto"/>
        <w:jc w:val="both"/>
        <w:rPr>
          <w:rFonts w:ascii="Georgia" w:hAnsi="Georgia" w:cs="Arial"/>
          <w:sz w:val="24"/>
          <w:lang w:val="es-419"/>
        </w:rPr>
      </w:pPr>
    </w:p>
    <w:p w:rsidR="00D02EA1" w:rsidRDefault="001F23EE"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t>Reclama la revocatoria de la providencia porque, como el desistimiento tácito</w:t>
      </w:r>
      <w:r w:rsidR="008664A8" w:rsidRPr="006C2316">
        <w:rPr>
          <w:rFonts w:ascii="Georgia" w:hAnsi="Georgia" w:cs="Arial"/>
          <w:sz w:val="24"/>
          <w:lang w:val="es-419"/>
        </w:rPr>
        <w:t xml:space="preserve"> es una sanción</w:t>
      </w:r>
      <w:r w:rsidRPr="006C2316">
        <w:rPr>
          <w:rFonts w:ascii="Georgia" w:hAnsi="Georgia" w:cs="Arial"/>
          <w:sz w:val="24"/>
          <w:lang w:val="es-419"/>
        </w:rPr>
        <w:t>, resulta “injusta”  su aplicación si en cuenta se tiene que no es posible activar el proceso</w:t>
      </w:r>
      <w:r w:rsidR="00C511E4" w:rsidRPr="006C2316">
        <w:rPr>
          <w:rFonts w:ascii="Georgia" w:hAnsi="Georgia" w:cs="Arial"/>
          <w:sz w:val="24"/>
          <w:lang w:val="es-419"/>
        </w:rPr>
        <w:t>,</w:t>
      </w:r>
      <w:r w:rsidRPr="006C2316">
        <w:rPr>
          <w:rFonts w:ascii="Georgia" w:hAnsi="Georgia" w:cs="Arial"/>
          <w:sz w:val="24"/>
          <w:lang w:val="es-419"/>
        </w:rPr>
        <w:t xml:space="preserve"> porque el único bien del ejecutado está gravado con una medida por cuenta de la Fiscalía 13 Especializada de Bogotá,</w:t>
      </w:r>
      <w:r w:rsidR="0083602D" w:rsidRPr="006C2316">
        <w:rPr>
          <w:rFonts w:ascii="Georgia" w:hAnsi="Georgia" w:cs="Arial"/>
          <w:sz w:val="24"/>
          <w:lang w:val="es-419"/>
        </w:rPr>
        <w:t xml:space="preserve"> </w:t>
      </w:r>
      <w:r w:rsidR="008664A8" w:rsidRPr="006C2316">
        <w:rPr>
          <w:rFonts w:ascii="Georgia" w:hAnsi="Georgia" w:cs="Arial"/>
          <w:sz w:val="24"/>
          <w:lang w:val="es-419"/>
        </w:rPr>
        <w:t xml:space="preserve">que hace imposible llevarlo a subasta; </w:t>
      </w:r>
      <w:r w:rsidR="00B200E8" w:rsidRPr="006C2316">
        <w:rPr>
          <w:rFonts w:ascii="Georgia" w:hAnsi="Georgia" w:cs="Arial"/>
          <w:sz w:val="24"/>
          <w:lang w:val="es-419"/>
        </w:rPr>
        <w:t xml:space="preserve">por </w:t>
      </w:r>
      <w:r w:rsidR="008664A8" w:rsidRPr="006C2316">
        <w:rPr>
          <w:rFonts w:ascii="Georgia" w:hAnsi="Georgia" w:cs="Arial"/>
          <w:sz w:val="24"/>
          <w:lang w:val="es-419"/>
        </w:rPr>
        <w:t xml:space="preserve">lo tanto, </w:t>
      </w:r>
      <w:r w:rsidR="00B200E8" w:rsidRPr="006C2316">
        <w:rPr>
          <w:rFonts w:ascii="Georgia" w:hAnsi="Georgia" w:cs="Arial"/>
          <w:sz w:val="24"/>
          <w:lang w:val="es-419"/>
        </w:rPr>
        <w:t>solo resta “</w:t>
      </w:r>
      <w:r w:rsidR="00B200E8" w:rsidRPr="006C2316">
        <w:rPr>
          <w:rFonts w:ascii="Georgia" w:hAnsi="Georgia" w:cs="Arial"/>
          <w:i/>
          <w:sz w:val="24"/>
          <w:lang w:val="es-419"/>
        </w:rPr>
        <w:t>esperar pacientemente las resultas del proceso de extinción de dominio</w:t>
      </w:r>
      <w:r w:rsidR="00B200E8" w:rsidRPr="006C2316">
        <w:rPr>
          <w:rFonts w:ascii="Georgia" w:hAnsi="Georgia" w:cs="Arial"/>
          <w:sz w:val="24"/>
          <w:lang w:val="es-419"/>
        </w:rPr>
        <w:t xml:space="preserve">” </w:t>
      </w:r>
      <w:r w:rsidR="009F26E1" w:rsidRPr="006C2316">
        <w:rPr>
          <w:rFonts w:ascii="Georgia" w:hAnsi="Georgia" w:cs="Arial"/>
          <w:sz w:val="24"/>
          <w:lang w:val="es-419"/>
        </w:rPr>
        <w:t>(</w:t>
      </w:r>
      <w:r w:rsidR="009F26E1" w:rsidRPr="006C2316">
        <w:rPr>
          <w:rFonts w:ascii="Georgia" w:hAnsi="Georgia" w:cs="Arial"/>
          <w:lang w:val="es-419"/>
        </w:rPr>
        <w:t xml:space="preserve">Folios </w:t>
      </w:r>
      <w:r w:rsidR="00D21820" w:rsidRPr="006C2316">
        <w:rPr>
          <w:rFonts w:ascii="Georgia" w:hAnsi="Georgia" w:cs="Arial"/>
          <w:lang w:val="es-419"/>
        </w:rPr>
        <w:t>297 ss</w:t>
      </w:r>
      <w:r w:rsidR="009F26E1" w:rsidRPr="006C2316">
        <w:rPr>
          <w:rFonts w:ascii="Georgia" w:hAnsi="Georgia" w:cs="Arial"/>
          <w:lang w:val="es-419"/>
        </w:rPr>
        <w:t>, cuaderno de primera instancia</w:t>
      </w:r>
      <w:r w:rsidR="000F2875" w:rsidRPr="006C2316">
        <w:rPr>
          <w:rFonts w:ascii="Georgia" w:hAnsi="Georgia" w:cs="Arial"/>
          <w:sz w:val="24"/>
          <w:lang w:val="es-419"/>
        </w:rPr>
        <w:t>).</w:t>
      </w:r>
    </w:p>
    <w:p w:rsidR="0026422F" w:rsidRPr="006C2316" w:rsidRDefault="0026422F" w:rsidP="006C2316">
      <w:pPr>
        <w:pStyle w:val="Sinespaciado"/>
        <w:spacing w:line="276" w:lineRule="auto"/>
        <w:jc w:val="both"/>
        <w:rPr>
          <w:rFonts w:ascii="Georgia" w:hAnsi="Georgia" w:cs="Arial"/>
          <w:sz w:val="24"/>
          <w:lang w:val="es-419"/>
        </w:rPr>
      </w:pPr>
    </w:p>
    <w:p w:rsidR="00A640EB" w:rsidRPr="006C2316" w:rsidRDefault="00A640EB" w:rsidP="006C2316">
      <w:pPr>
        <w:pStyle w:val="Sinespaciado"/>
        <w:numPr>
          <w:ilvl w:val="0"/>
          <w:numId w:val="22"/>
        </w:numPr>
        <w:spacing w:line="276" w:lineRule="auto"/>
        <w:jc w:val="both"/>
        <w:rPr>
          <w:rFonts w:ascii="Georgia" w:hAnsi="Georgia" w:cs="Arial"/>
          <w:lang w:val="es-419"/>
        </w:rPr>
      </w:pPr>
      <w:r w:rsidRPr="006C2316">
        <w:rPr>
          <w:rFonts w:ascii="Georgia" w:hAnsi="Georgia" w:cs="Arial"/>
          <w:sz w:val="32"/>
          <w:lang w:val="es-419"/>
        </w:rPr>
        <w:t>L</w:t>
      </w:r>
      <w:r w:rsidRPr="006C2316">
        <w:rPr>
          <w:rFonts w:ascii="Georgia" w:hAnsi="Georgia" w:cs="Arial"/>
          <w:sz w:val="24"/>
          <w:lang w:val="es-419"/>
        </w:rPr>
        <w:t>AS ESTIMACIONES JURÍDICAS PARA DECIDIR</w:t>
      </w:r>
    </w:p>
    <w:p w:rsidR="00A640EB" w:rsidRPr="006C2316" w:rsidRDefault="00A640EB" w:rsidP="006C2316">
      <w:pPr>
        <w:pStyle w:val="Sinespaciado"/>
        <w:spacing w:line="276" w:lineRule="auto"/>
        <w:jc w:val="both"/>
        <w:rPr>
          <w:rFonts w:ascii="Georgia" w:hAnsi="Georgia"/>
          <w:sz w:val="24"/>
          <w:szCs w:val="24"/>
          <w:lang w:val="es-419"/>
        </w:rPr>
      </w:pPr>
    </w:p>
    <w:p w:rsidR="009F7B8B" w:rsidRPr="006C2316" w:rsidRDefault="009F7B8B" w:rsidP="006C2316">
      <w:pPr>
        <w:pStyle w:val="Textopredeterminado"/>
        <w:numPr>
          <w:ilvl w:val="1"/>
          <w:numId w:val="22"/>
        </w:numPr>
        <w:spacing w:line="276" w:lineRule="auto"/>
        <w:jc w:val="both"/>
        <w:rPr>
          <w:rFonts w:ascii="Georgia" w:hAnsi="Georgia" w:cs="Arial"/>
          <w:szCs w:val="22"/>
          <w:lang w:val="es-419"/>
        </w:rPr>
      </w:pPr>
      <w:r w:rsidRPr="006C2316">
        <w:rPr>
          <w:rFonts w:ascii="Georgia" w:hAnsi="Georgia" w:cs="Arial"/>
          <w:smallCaps/>
          <w:color w:val="auto"/>
          <w:lang w:val="es-419"/>
        </w:rPr>
        <w:t>La competencia funcional</w:t>
      </w:r>
    </w:p>
    <w:p w:rsidR="009F7B8B" w:rsidRPr="006C2316" w:rsidRDefault="009F7B8B" w:rsidP="006C2316">
      <w:pPr>
        <w:pStyle w:val="Textopredeterminado"/>
        <w:spacing w:line="276" w:lineRule="auto"/>
        <w:jc w:val="both"/>
        <w:rPr>
          <w:rFonts w:ascii="Georgia" w:hAnsi="Georgia" w:cs="Arial"/>
          <w:smallCaps/>
          <w:color w:val="auto"/>
          <w:lang w:val="es-419"/>
        </w:rPr>
      </w:pPr>
    </w:p>
    <w:p w:rsidR="009F7B8B" w:rsidRPr="006C2316" w:rsidRDefault="009F7B8B" w:rsidP="006C2316">
      <w:pPr>
        <w:pStyle w:val="Textopredeterminado"/>
        <w:spacing w:line="276" w:lineRule="auto"/>
        <w:jc w:val="both"/>
        <w:rPr>
          <w:rFonts w:ascii="Georgia" w:hAnsi="Georgia" w:cs="Arial"/>
          <w:szCs w:val="22"/>
          <w:lang w:val="es-419"/>
        </w:rPr>
      </w:pPr>
      <w:r w:rsidRPr="006C2316">
        <w:rPr>
          <w:rFonts w:ascii="Georgia" w:hAnsi="Georgia" w:cs="Arial"/>
          <w:szCs w:val="22"/>
          <w:lang w:val="es-419"/>
        </w:rPr>
        <w:t xml:space="preserve">La </w:t>
      </w:r>
      <w:r w:rsidR="001563D8" w:rsidRPr="006C2316">
        <w:rPr>
          <w:rFonts w:ascii="Georgia" w:hAnsi="Georgia" w:cs="Arial"/>
          <w:szCs w:val="22"/>
          <w:lang w:val="es-419"/>
        </w:rPr>
        <w:t>potestad</w:t>
      </w:r>
      <w:r w:rsidRPr="006C2316">
        <w:rPr>
          <w:rFonts w:ascii="Georgia" w:hAnsi="Georgia" w:cs="Arial"/>
          <w:szCs w:val="22"/>
          <w:lang w:val="es-419"/>
        </w:rPr>
        <w:t xml:space="preserve"> </w:t>
      </w:r>
      <w:r w:rsidR="001563D8" w:rsidRPr="006C2316">
        <w:rPr>
          <w:rFonts w:ascii="Georgia" w:hAnsi="Georgia" w:cs="Arial"/>
          <w:szCs w:val="22"/>
          <w:lang w:val="es-419"/>
        </w:rPr>
        <w:t xml:space="preserve">normativa </w:t>
      </w:r>
      <w:r w:rsidRPr="006C2316">
        <w:rPr>
          <w:rFonts w:ascii="Georgia" w:hAnsi="Georgia" w:cs="Arial"/>
          <w:szCs w:val="22"/>
          <w:lang w:val="es-419"/>
        </w:rPr>
        <w:t xml:space="preserve">para </w:t>
      </w:r>
      <w:r w:rsidR="001563D8" w:rsidRPr="006C2316">
        <w:rPr>
          <w:rFonts w:ascii="Georgia" w:hAnsi="Georgia" w:cs="Arial"/>
          <w:szCs w:val="22"/>
          <w:lang w:val="es-419"/>
        </w:rPr>
        <w:t>decidir esta disputa</w:t>
      </w:r>
      <w:r w:rsidRPr="006C2316">
        <w:rPr>
          <w:rFonts w:ascii="Georgia" w:hAnsi="Georgia" w:cs="Arial"/>
          <w:szCs w:val="22"/>
          <w:lang w:val="es-419"/>
        </w:rPr>
        <w:t xml:space="preserve"> radica en esta </w:t>
      </w:r>
      <w:r w:rsidR="001563D8" w:rsidRPr="006C2316">
        <w:rPr>
          <w:rFonts w:ascii="Georgia" w:hAnsi="Georgia" w:cs="Arial"/>
          <w:szCs w:val="22"/>
          <w:lang w:val="es-419"/>
        </w:rPr>
        <w:t xml:space="preserve">Sala </w:t>
      </w:r>
      <w:r w:rsidRPr="006C2316">
        <w:rPr>
          <w:rFonts w:ascii="Georgia" w:hAnsi="Georgia" w:cs="Arial"/>
          <w:szCs w:val="22"/>
          <w:lang w:val="es-419"/>
        </w:rPr>
        <w:t>por el factor funcional (</w:t>
      </w:r>
      <w:r w:rsidRPr="006C2316">
        <w:rPr>
          <w:rFonts w:ascii="Georgia" w:hAnsi="Georgia" w:cs="Arial"/>
          <w:sz w:val="22"/>
          <w:szCs w:val="22"/>
          <w:lang w:val="es-419"/>
        </w:rPr>
        <w:t>Artículos 31-1º y 35, CGP</w:t>
      </w:r>
      <w:r w:rsidRPr="006C2316">
        <w:rPr>
          <w:rFonts w:ascii="Georgia" w:hAnsi="Georgia" w:cs="Arial"/>
          <w:szCs w:val="22"/>
          <w:lang w:val="es-419"/>
        </w:rPr>
        <w:t xml:space="preserve">), </w:t>
      </w:r>
      <w:r w:rsidR="001563D8" w:rsidRPr="006C2316">
        <w:rPr>
          <w:rFonts w:ascii="Georgia" w:hAnsi="Georgia" w:cs="Arial"/>
          <w:szCs w:val="22"/>
          <w:lang w:val="es-419"/>
        </w:rPr>
        <w:t xml:space="preserve">por ser </w:t>
      </w:r>
      <w:r w:rsidRPr="006C2316">
        <w:rPr>
          <w:rFonts w:ascii="Georgia" w:hAnsi="Georgia" w:cs="Arial"/>
          <w:szCs w:val="22"/>
          <w:lang w:val="es-419"/>
        </w:rPr>
        <w:t>superiora jerárquica del Juzgado</w:t>
      </w:r>
      <w:r w:rsidRPr="006C2316">
        <w:rPr>
          <w:rFonts w:ascii="Georgia" w:hAnsi="Georgia" w:cs="Arial"/>
          <w:lang w:val="es-419"/>
        </w:rPr>
        <w:t xml:space="preserve"> </w:t>
      </w:r>
      <w:r w:rsidRPr="006C2316">
        <w:rPr>
          <w:rFonts w:ascii="Georgia" w:hAnsi="Georgia" w:cs="Arial"/>
          <w:szCs w:val="22"/>
          <w:lang w:val="es-419"/>
        </w:rPr>
        <w:t>emisor de</w:t>
      </w:r>
      <w:r w:rsidR="001563D8" w:rsidRPr="006C2316">
        <w:rPr>
          <w:rFonts w:ascii="Georgia" w:hAnsi="Georgia" w:cs="Arial"/>
          <w:szCs w:val="22"/>
          <w:lang w:val="es-419"/>
        </w:rPr>
        <w:t>l auto recurrido</w:t>
      </w:r>
      <w:r w:rsidRPr="006C2316">
        <w:rPr>
          <w:rFonts w:ascii="Georgia" w:hAnsi="Georgia" w:cs="Arial"/>
          <w:szCs w:val="22"/>
          <w:lang w:val="es-419"/>
        </w:rPr>
        <w:t>.</w:t>
      </w:r>
    </w:p>
    <w:p w:rsidR="00A640EB" w:rsidRPr="006C2316" w:rsidRDefault="00A640EB" w:rsidP="006C2316">
      <w:pPr>
        <w:pStyle w:val="Textopredeterminado"/>
        <w:spacing w:line="276" w:lineRule="auto"/>
        <w:jc w:val="both"/>
        <w:textAlignment w:val="auto"/>
        <w:rPr>
          <w:rFonts w:ascii="Georgia" w:hAnsi="Georgia" w:cs="Arial"/>
          <w:color w:val="auto"/>
          <w:lang w:val="es-419"/>
        </w:rPr>
      </w:pPr>
    </w:p>
    <w:p w:rsidR="009F7B8B" w:rsidRPr="006C2316" w:rsidRDefault="009F7B8B" w:rsidP="006C2316">
      <w:pPr>
        <w:pStyle w:val="Textopredeterminado"/>
        <w:numPr>
          <w:ilvl w:val="1"/>
          <w:numId w:val="22"/>
        </w:numPr>
        <w:spacing w:line="276" w:lineRule="auto"/>
        <w:jc w:val="both"/>
        <w:rPr>
          <w:rFonts w:ascii="Georgia" w:hAnsi="Georgia" w:cs="Arial"/>
          <w:szCs w:val="24"/>
          <w:lang w:val="es-419"/>
        </w:rPr>
      </w:pPr>
      <w:r w:rsidRPr="006C2316">
        <w:rPr>
          <w:rFonts w:ascii="Georgia" w:hAnsi="Georgia" w:cs="Arial"/>
          <w:smallCaps/>
          <w:lang w:val="es-419"/>
        </w:rPr>
        <w:t>Los requisitos de viabilidad de un recurso</w:t>
      </w:r>
    </w:p>
    <w:p w:rsidR="009F7B8B" w:rsidRPr="006C2316" w:rsidRDefault="009F7B8B" w:rsidP="006C2316">
      <w:pPr>
        <w:spacing w:line="276" w:lineRule="auto"/>
        <w:rPr>
          <w:rFonts w:ascii="Georgia" w:hAnsi="Georgia" w:cs="Arial"/>
          <w:spacing w:val="-3"/>
          <w:lang w:val="es-419"/>
        </w:rPr>
      </w:pPr>
    </w:p>
    <w:p w:rsidR="009F7B8B" w:rsidRPr="006C2316" w:rsidRDefault="0008799C" w:rsidP="006C2316">
      <w:pPr>
        <w:pStyle w:val="Textopredeterminado"/>
        <w:spacing w:line="276" w:lineRule="auto"/>
        <w:jc w:val="both"/>
        <w:rPr>
          <w:rFonts w:ascii="Georgia" w:hAnsi="Georgia" w:cs="Arial"/>
          <w:szCs w:val="24"/>
          <w:lang w:val="es-419"/>
        </w:rPr>
      </w:pPr>
      <w:r w:rsidRPr="006C2316">
        <w:rPr>
          <w:rFonts w:ascii="Georgia" w:hAnsi="Georgia" w:cs="Arial"/>
          <w:spacing w:val="-3"/>
          <w:lang w:val="es-419"/>
        </w:rPr>
        <w:t xml:space="preserve">En la teoría </w:t>
      </w:r>
      <w:r w:rsidR="009F7B8B" w:rsidRPr="006C2316">
        <w:rPr>
          <w:rFonts w:ascii="Georgia" w:hAnsi="Georgia" w:cs="Arial"/>
          <w:szCs w:val="24"/>
          <w:lang w:val="es-419"/>
        </w:rPr>
        <w:t>procesal</w:t>
      </w:r>
      <w:r w:rsidRPr="006C2316">
        <w:rPr>
          <w:rFonts w:ascii="Georgia" w:hAnsi="Georgia" w:cs="Arial"/>
          <w:szCs w:val="24"/>
          <w:lang w:val="es-419"/>
        </w:rPr>
        <w:t xml:space="preserve"> moderna</w:t>
      </w:r>
      <w:r w:rsidR="009F7B8B" w:rsidRPr="006C2316">
        <w:rPr>
          <w:rFonts w:ascii="Georgia" w:hAnsi="Georgia" w:cs="Arial"/>
          <w:szCs w:val="24"/>
          <w:lang w:val="es-419"/>
        </w:rPr>
        <w:t>, en presencia de los recursos, deben siempre concurrir los llamados presupuestos de viabilidad o trámite o</w:t>
      </w:r>
      <w:r w:rsidR="002F5A53" w:rsidRPr="006C2316">
        <w:rPr>
          <w:rFonts w:ascii="Georgia" w:hAnsi="Georgia" w:cs="Arial"/>
          <w:szCs w:val="24"/>
          <w:lang w:val="es-419"/>
        </w:rPr>
        <w:t xml:space="preserve"> </w:t>
      </w:r>
      <w:r w:rsidR="002F5A53" w:rsidRPr="006C2316">
        <w:rPr>
          <w:rFonts w:ascii="Georgia" w:hAnsi="Georgia" w:cs="Arial"/>
          <w:i/>
          <w:sz w:val="22"/>
          <w:szCs w:val="22"/>
          <w:lang w:val="es-419"/>
        </w:rPr>
        <w:t>“(…)</w:t>
      </w:r>
      <w:r w:rsidR="009F7B8B" w:rsidRPr="006C2316">
        <w:rPr>
          <w:rFonts w:ascii="Georgia" w:hAnsi="Georgia" w:cs="Arial"/>
          <w:i/>
          <w:sz w:val="22"/>
          <w:szCs w:val="22"/>
          <w:lang w:val="es-419"/>
        </w:rPr>
        <w:t xml:space="preserve"> condiciones para tener la posibilidad de recurrir</w:t>
      </w:r>
      <w:r w:rsidR="002F5A53" w:rsidRPr="006C2316">
        <w:rPr>
          <w:rFonts w:ascii="Georgia" w:hAnsi="Georgia" w:cs="Arial"/>
          <w:i/>
          <w:sz w:val="22"/>
          <w:szCs w:val="22"/>
          <w:lang w:val="es-419"/>
        </w:rPr>
        <w:t xml:space="preserve"> (…)”</w:t>
      </w:r>
      <w:r w:rsidR="009F7B8B" w:rsidRPr="006C2316">
        <w:rPr>
          <w:rStyle w:val="Refdenotaalpie"/>
          <w:rFonts w:ascii="Georgia" w:hAnsi="Georgia"/>
          <w:i/>
          <w:sz w:val="22"/>
          <w:szCs w:val="24"/>
          <w:lang w:val="es-419"/>
        </w:rPr>
        <w:footnoteReference w:id="1"/>
      </w:r>
      <w:r w:rsidR="009F7B8B" w:rsidRPr="006C2316">
        <w:rPr>
          <w:rFonts w:ascii="Georgia" w:hAnsi="Georgia" w:cs="Arial"/>
          <w:szCs w:val="24"/>
          <w:lang w:val="es-419"/>
        </w:rPr>
        <w:t xml:space="preserve">, </w:t>
      </w:r>
      <w:r w:rsidRPr="006C2316">
        <w:rPr>
          <w:rFonts w:ascii="Georgia" w:hAnsi="Georgia" w:cs="Arial"/>
          <w:szCs w:val="24"/>
          <w:lang w:val="es-419"/>
        </w:rPr>
        <w:t xml:space="preserve">también reconocidos como requisitos en palabras </w:t>
      </w:r>
      <w:r w:rsidR="009F7B8B" w:rsidRPr="006C2316">
        <w:rPr>
          <w:rFonts w:ascii="Georgia" w:hAnsi="Georgia" w:cs="Arial"/>
          <w:szCs w:val="24"/>
          <w:lang w:val="es-419"/>
        </w:rPr>
        <w:t>de la doctrina nacional</w:t>
      </w:r>
      <w:r w:rsidR="009F7B8B" w:rsidRPr="006C2316">
        <w:rPr>
          <w:rFonts w:ascii="Georgia" w:hAnsi="Georgia" w:cs="Arial"/>
          <w:szCs w:val="24"/>
          <w:vertAlign w:val="superscript"/>
          <w:lang w:val="es-419"/>
        </w:rPr>
        <w:footnoteReference w:id="2"/>
      </w:r>
      <w:r w:rsidR="009F7B8B" w:rsidRPr="006C2316">
        <w:rPr>
          <w:rFonts w:ascii="Georgia" w:hAnsi="Georgia" w:cs="Arial"/>
          <w:szCs w:val="24"/>
          <w:vertAlign w:val="superscript"/>
          <w:lang w:val="es-419"/>
        </w:rPr>
        <w:t>-</w:t>
      </w:r>
      <w:r w:rsidR="009F7B8B" w:rsidRPr="006C2316">
        <w:rPr>
          <w:rFonts w:ascii="Georgia" w:hAnsi="Georgia" w:cs="Arial"/>
          <w:szCs w:val="24"/>
          <w:vertAlign w:val="superscript"/>
          <w:lang w:val="es-419"/>
        </w:rPr>
        <w:footnoteReference w:id="3"/>
      </w:r>
      <w:r w:rsidR="009F7B8B" w:rsidRPr="006C2316">
        <w:rPr>
          <w:rFonts w:ascii="Georgia" w:hAnsi="Georgia" w:cs="Arial"/>
          <w:szCs w:val="24"/>
          <w:lang w:val="es-419"/>
        </w:rPr>
        <w:t xml:space="preserve">, </w:t>
      </w:r>
      <w:r w:rsidR="00DE476B" w:rsidRPr="006C2316">
        <w:rPr>
          <w:rFonts w:ascii="Georgia" w:hAnsi="Georgia" w:cs="Arial"/>
          <w:szCs w:val="24"/>
          <w:lang w:val="es-419"/>
        </w:rPr>
        <w:t xml:space="preserve">y permiten </w:t>
      </w:r>
      <w:r w:rsidR="009F7B8B" w:rsidRPr="006C2316">
        <w:rPr>
          <w:rFonts w:ascii="Georgia" w:hAnsi="Georgia" w:cs="Arial"/>
          <w:szCs w:val="24"/>
          <w:lang w:val="es-419"/>
        </w:rPr>
        <w:t>examinar el tema de apelación</w:t>
      </w:r>
      <w:r w:rsidR="00A257C5" w:rsidRPr="006C2316">
        <w:rPr>
          <w:rFonts w:ascii="Georgia" w:hAnsi="Georgia" w:cs="Arial"/>
          <w:szCs w:val="24"/>
          <w:lang w:val="es-419"/>
        </w:rPr>
        <w:t xml:space="preserve"> en el fondo</w:t>
      </w:r>
      <w:r w:rsidR="00A257C5" w:rsidRPr="006C2316">
        <w:rPr>
          <w:rStyle w:val="Refdenotaalpie"/>
          <w:rFonts w:ascii="Georgia" w:hAnsi="Georgia"/>
          <w:szCs w:val="24"/>
          <w:lang w:val="es-419"/>
        </w:rPr>
        <w:footnoteReference w:id="4"/>
      </w:r>
      <w:r w:rsidR="009F7B8B" w:rsidRPr="006C2316">
        <w:rPr>
          <w:rFonts w:ascii="Georgia" w:hAnsi="Georgia" w:cs="Arial"/>
          <w:szCs w:val="24"/>
          <w:lang w:val="es-419"/>
        </w:rPr>
        <w:t>.</w:t>
      </w:r>
    </w:p>
    <w:p w:rsidR="009F7B8B" w:rsidRPr="006C2316" w:rsidRDefault="009F7B8B" w:rsidP="006C2316">
      <w:pPr>
        <w:pStyle w:val="Textopredeterminado"/>
        <w:spacing w:line="276" w:lineRule="auto"/>
        <w:jc w:val="both"/>
        <w:rPr>
          <w:rFonts w:ascii="Georgia" w:hAnsi="Georgia" w:cs="Arial"/>
          <w:szCs w:val="24"/>
          <w:lang w:val="es-419"/>
        </w:rPr>
      </w:pPr>
    </w:p>
    <w:p w:rsidR="009F7B8B" w:rsidRPr="006C2316" w:rsidRDefault="009F7B8B" w:rsidP="006C2316">
      <w:pPr>
        <w:pStyle w:val="Sinespaciado"/>
        <w:spacing w:line="276" w:lineRule="auto"/>
        <w:jc w:val="both"/>
        <w:rPr>
          <w:rFonts w:ascii="Georgia" w:hAnsi="Georgia" w:cs="Arial"/>
          <w:lang w:val="es-419"/>
        </w:rPr>
      </w:pPr>
      <w:r w:rsidRPr="006C2316">
        <w:rPr>
          <w:rFonts w:ascii="Georgia" w:hAnsi="Georgia" w:cs="Arial"/>
          <w:sz w:val="24"/>
          <w:szCs w:val="24"/>
          <w:lang w:val="es-419"/>
        </w:rPr>
        <w:t xml:space="preserve">Se dice que los aludidos presupuestos son una serie de exigencias normativas formales que </w:t>
      </w:r>
      <w:r w:rsidR="00F20733" w:rsidRPr="006C2316">
        <w:rPr>
          <w:rFonts w:ascii="Georgia" w:hAnsi="Georgia" w:cs="Arial"/>
          <w:sz w:val="24"/>
          <w:szCs w:val="24"/>
          <w:lang w:val="es-419"/>
        </w:rPr>
        <w:t xml:space="preserve">habilitan la procedencia </w:t>
      </w:r>
      <w:r w:rsidRPr="006C2316">
        <w:rPr>
          <w:rFonts w:ascii="Georgia" w:hAnsi="Georgia" w:cs="Arial"/>
          <w:sz w:val="24"/>
          <w:szCs w:val="24"/>
          <w:lang w:val="es-419"/>
        </w:rPr>
        <w:t xml:space="preserve">y aseguran </w:t>
      </w:r>
      <w:r w:rsidR="00F20733" w:rsidRPr="006C2316">
        <w:rPr>
          <w:rFonts w:ascii="Georgia" w:hAnsi="Georgia" w:cs="Arial"/>
          <w:sz w:val="24"/>
          <w:szCs w:val="24"/>
          <w:lang w:val="es-419"/>
        </w:rPr>
        <w:t xml:space="preserve">una </w:t>
      </w:r>
      <w:r w:rsidRPr="006C2316">
        <w:rPr>
          <w:rFonts w:ascii="Georgia" w:hAnsi="Georgia" w:cs="Arial"/>
          <w:sz w:val="24"/>
          <w:szCs w:val="24"/>
          <w:lang w:val="es-419"/>
        </w:rPr>
        <w:t>decisión</w:t>
      </w:r>
      <w:r w:rsidR="00F20733" w:rsidRPr="006C2316">
        <w:rPr>
          <w:rFonts w:ascii="Georgia" w:hAnsi="Georgia" w:cs="Arial"/>
          <w:sz w:val="24"/>
          <w:szCs w:val="24"/>
          <w:lang w:val="es-419"/>
        </w:rPr>
        <w:t xml:space="preserve"> de la controversia</w:t>
      </w:r>
      <w:r w:rsidRPr="006C2316">
        <w:rPr>
          <w:rFonts w:ascii="Georgia" w:hAnsi="Georgia" w:cs="Arial"/>
          <w:sz w:val="24"/>
          <w:szCs w:val="24"/>
          <w:lang w:val="es-419"/>
        </w:rPr>
        <w:t>. Así lo anota el maestro López B.:</w:t>
      </w:r>
      <w:r w:rsidRPr="006C2316">
        <w:rPr>
          <w:rFonts w:ascii="Georgia" w:hAnsi="Georgia" w:cs="Arial"/>
          <w:lang w:val="es-419"/>
        </w:rPr>
        <w:t xml:space="preserve"> “</w:t>
      </w:r>
      <w:r w:rsidRPr="006C2316">
        <w:rPr>
          <w:rFonts w:ascii="Georgia" w:hAnsi="Georgia" w:cs="Arial"/>
          <w:i/>
          <w:lang w:val="es-419"/>
        </w:rPr>
        <w:t>En todo caso sin estar reunidos los requisitos de viabilidad del recurso jamás se podrá tener éxito en el mismo por constituir un precedente necesario para decidirlo</w:t>
      </w:r>
      <w:r w:rsidRPr="006C2316">
        <w:rPr>
          <w:rFonts w:ascii="Georgia" w:hAnsi="Georgia" w:cs="Arial"/>
          <w:lang w:val="es-419"/>
        </w:rPr>
        <w:t>”</w:t>
      </w:r>
      <w:r w:rsidRPr="006C2316">
        <w:rPr>
          <w:rFonts w:ascii="Georgia" w:hAnsi="Georgia" w:cs="Arial"/>
          <w:vertAlign w:val="superscript"/>
          <w:lang w:val="es-419"/>
        </w:rPr>
        <w:footnoteReference w:id="5"/>
      </w:r>
      <w:r w:rsidRPr="006C2316">
        <w:rPr>
          <w:rFonts w:ascii="Georgia" w:hAnsi="Georgia" w:cs="Arial"/>
          <w:lang w:val="es-419"/>
        </w:rPr>
        <w:t xml:space="preserve">. </w:t>
      </w:r>
      <w:r w:rsidRPr="006C2316">
        <w:rPr>
          <w:rFonts w:ascii="Georgia" w:hAnsi="Georgia" w:cs="Arial"/>
          <w:sz w:val="24"/>
          <w:lang w:val="es-419"/>
        </w:rPr>
        <w:t xml:space="preserve">Y lo explica el profesor Rojas G. en su obra: </w:t>
      </w:r>
      <w:r w:rsidRPr="006C2316">
        <w:rPr>
          <w:rFonts w:ascii="Georgia" w:hAnsi="Georgia" w:cs="Arial"/>
          <w:lang w:val="es-419"/>
        </w:rPr>
        <w:t>“</w:t>
      </w:r>
      <w:r w:rsidRPr="006C2316">
        <w:rPr>
          <w:rFonts w:ascii="Georgia" w:hAnsi="Georgia" w:cs="Arial"/>
          <w:i/>
          <w:lang w:val="es-419"/>
        </w:rPr>
        <w:t xml:space="preserve">(…) para que la impugnación pueda ser tramitada hasta establecer si debe prosperar han de cumplirse unos precisos </w:t>
      </w:r>
      <w:r w:rsidRPr="006C2316">
        <w:rPr>
          <w:rFonts w:ascii="Georgia" w:hAnsi="Georgia" w:cs="Arial"/>
          <w:i/>
          <w:lang w:val="es-419"/>
        </w:rPr>
        <w:lastRenderedPageBreak/>
        <w:t>requisitos.  En ausencia de ellos no debe dársele curso a la impugnación, o el trámite queda trunco, si ya se inició</w:t>
      </w:r>
      <w:r w:rsidRPr="006C2316">
        <w:rPr>
          <w:rFonts w:ascii="Georgia" w:hAnsi="Georgia" w:cs="Arial"/>
          <w:lang w:val="es-419"/>
        </w:rPr>
        <w:t>”</w:t>
      </w:r>
      <w:r w:rsidRPr="006C2316">
        <w:rPr>
          <w:rStyle w:val="Refdenotaalpie"/>
          <w:rFonts w:ascii="Georgia" w:hAnsi="Georgia" w:cs="Arial"/>
          <w:lang w:val="es-419"/>
        </w:rPr>
        <w:t xml:space="preserve"> </w:t>
      </w:r>
      <w:r w:rsidRPr="006C2316">
        <w:rPr>
          <w:rStyle w:val="Refdenotaalpie"/>
          <w:rFonts w:ascii="Georgia" w:hAnsi="Georgia" w:cs="Arial"/>
          <w:lang w:val="es-419"/>
        </w:rPr>
        <w:footnoteReference w:id="6"/>
      </w:r>
      <w:r w:rsidRPr="006C2316">
        <w:rPr>
          <w:rFonts w:ascii="Georgia" w:hAnsi="Georgia" w:cs="Arial"/>
          <w:lang w:val="es-419"/>
        </w:rPr>
        <w:t>.</w:t>
      </w:r>
    </w:p>
    <w:p w:rsidR="00B67D66" w:rsidRPr="006C2316" w:rsidRDefault="00B67D66" w:rsidP="006C2316">
      <w:pPr>
        <w:pStyle w:val="Sinespaciado"/>
        <w:spacing w:line="276" w:lineRule="auto"/>
        <w:jc w:val="both"/>
        <w:rPr>
          <w:rFonts w:ascii="Georgia" w:hAnsi="Georgia" w:cs="Arial"/>
          <w:sz w:val="24"/>
          <w:lang w:val="es-419"/>
        </w:rPr>
      </w:pPr>
    </w:p>
    <w:p w:rsidR="009F7B8B" w:rsidRPr="006C2316" w:rsidRDefault="009F7B8B" w:rsidP="006C2316">
      <w:pPr>
        <w:pStyle w:val="Sinespaciado"/>
        <w:spacing w:line="276" w:lineRule="auto"/>
        <w:jc w:val="both"/>
        <w:rPr>
          <w:rFonts w:ascii="Georgia" w:hAnsi="Georgia" w:cs="Arial"/>
          <w:color w:val="2D2D2D"/>
          <w:shd w:val="clear" w:color="auto" w:fill="FFFFFF"/>
          <w:lang w:val="es-419"/>
        </w:rPr>
      </w:pPr>
      <w:r w:rsidRPr="006C2316">
        <w:rPr>
          <w:rFonts w:ascii="Georgia" w:hAnsi="Georgia" w:cs="Arial"/>
          <w:sz w:val="24"/>
          <w:lang w:val="es-419"/>
        </w:rPr>
        <w:t xml:space="preserve">Los  mencionados  requisitos  son  concurrentes  y  necesarios,  </w:t>
      </w:r>
      <w:r w:rsidR="00F069A9" w:rsidRPr="006C2316">
        <w:rPr>
          <w:rFonts w:ascii="Georgia" w:hAnsi="Georgia" w:cs="Arial"/>
          <w:sz w:val="24"/>
          <w:lang w:val="es-419"/>
        </w:rPr>
        <w:t xml:space="preserve">enseña la doctrina procesalista más autorizada que </w:t>
      </w:r>
      <w:r w:rsidRPr="006C2316">
        <w:rPr>
          <w:rFonts w:ascii="Georgia" w:hAnsi="Georgia" w:cs="Arial"/>
          <w:sz w:val="24"/>
          <w:lang w:val="es-419"/>
        </w:rPr>
        <w:t xml:space="preserve">ausente  uno  se  malogra el estudio de la impugnación. </w:t>
      </w:r>
      <w:r w:rsidR="00855193" w:rsidRPr="006C2316">
        <w:rPr>
          <w:rFonts w:ascii="Georgia" w:hAnsi="Georgia" w:cs="Arial"/>
          <w:sz w:val="24"/>
          <w:lang w:val="es-419"/>
        </w:rPr>
        <w:t xml:space="preserve">También la </w:t>
      </w:r>
      <w:r w:rsidRPr="006C2316">
        <w:rPr>
          <w:rFonts w:ascii="Georgia" w:hAnsi="Georgia" w:cs="Arial"/>
          <w:sz w:val="24"/>
          <w:lang w:val="es-419"/>
        </w:rPr>
        <w:t>CSJ</w:t>
      </w:r>
      <w:r w:rsidR="00855193" w:rsidRPr="006C2316">
        <w:rPr>
          <w:rFonts w:ascii="Georgia" w:hAnsi="Georgia" w:cs="Arial"/>
          <w:sz w:val="24"/>
          <w:lang w:val="es-419"/>
        </w:rPr>
        <w:t>,</w:t>
      </w:r>
      <w:r w:rsidRPr="006C2316">
        <w:rPr>
          <w:rFonts w:ascii="Georgia" w:hAnsi="Georgia" w:cs="Arial"/>
          <w:sz w:val="24"/>
          <w:lang w:val="es-419"/>
        </w:rPr>
        <w:t xml:space="preserve"> </w:t>
      </w:r>
      <w:r w:rsidR="00F069A9" w:rsidRPr="006C2316">
        <w:rPr>
          <w:rFonts w:ascii="Georgia" w:hAnsi="Georgia" w:cs="Arial"/>
          <w:sz w:val="24"/>
          <w:lang w:val="es-419"/>
        </w:rPr>
        <w:t>predica</w:t>
      </w:r>
      <w:r w:rsidR="00855193" w:rsidRPr="006C2316">
        <w:rPr>
          <w:rFonts w:ascii="Georgia" w:hAnsi="Georgia" w:cs="Arial"/>
          <w:sz w:val="24"/>
          <w:lang w:val="es-419"/>
        </w:rPr>
        <w:t xml:space="preserve"> su cumplimiento</w:t>
      </w:r>
      <w:r w:rsidRPr="006C2316">
        <w:rPr>
          <w:rFonts w:ascii="Georgia" w:hAnsi="Georgia" w:cs="Arial"/>
          <w:sz w:val="24"/>
          <w:lang w:val="es-419"/>
        </w:rPr>
        <w:t xml:space="preserve">: </w:t>
      </w:r>
      <w:r w:rsidRPr="006C2316">
        <w:rPr>
          <w:rFonts w:ascii="Georgia" w:hAnsi="Georgia" w:cs="Arial"/>
          <w:lang w:val="es-419"/>
        </w:rPr>
        <w:t>“</w:t>
      </w:r>
      <w:r w:rsidRPr="006C2316">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6C2316">
        <w:rPr>
          <w:rFonts w:ascii="Georgia" w:hAnsi="Georgia" w:cs="Arial"/>
          <w:lang w:val="es-419"/>
        </w:rPr>
        <w:t>”</w:t>
      </w:r>
      <w:r w:rsidRPr="006C2316">
        <w:rPr>
          <w:rStyle w:val="Refdenotaalpie"/>
          <w:rFonts w:ascii="Georgia" w:hAnsi="Georgia"/>
          <w:lang w:val="es-419"/>
        </w:rPr>
        <w:footnoteReference w:id="7"/>
      </w:r>
      <w:r w:rsidRPr="006C2316">
        <w:rPr>
          <w:rFonts w:ascii="Georgia" w:hAnsi="Georgia" w:cs="Arial"/>
          <w:lang w:val="es-419"/>
        </w:rPr>
        <w:t xml:space="preserve">. </w:t>
      </w:r>
      <w:r w:rsidRPr="006C2316">
        <w:rPr>
          <w:rFonts w:ascii="Georgia" w:hAnsi="Georgia" w:cs="Arial"/>
          <w:sz w:val="24"/>
          <w:lang w:val="es-419"/>
        </w:rPr>
        <w:t>Y en decisión más próxima (2017)</w:t>
      </w:r>
      <w:r w:rsidRPr="006C2316">
        <w:rPr>
          <w:rStyle w:val="Refdenotaalpie"/>
          <w:rFonts w:ascii="Georgia" w:hAnsi="Georgia"/>
          <w:sz w:val="24"/>
          <w:lang w:val="es-419"/>
        </w:rPr>
        <w:footnoteReference w:id="8"/>
      </w:r>
      <w:r w:rsidRPr="006C2316">
        <w:rPr>
          <w:rFonts w:ascii="Georgia" w:hAnsi="Georgia" w:cs="Arial"/>
          <w:sz w:val="24"/>
          <w:lang w:val="es-419"/>
        </w:rPr>
        <w:t xml:space="preserve"> </w:t>
      </w:r>
      <w:r w:rsidR="00A257C5" w:rsidRPr="006C2316">
        <w:rPr>
          <w:rFonts w:ascii="Georgia" w:hAnsi="Georgia" w:cs="Arial"/>
          <w:sz w:val="24"/>
          <w:lang w:val="es-419"/>
        </w:rPr>
        <w:t>evocó</w:t>
      </w:r>
      <w:r w:rsidRPr="006C2316">
        <w:rPr>
          <w:rFonts w:ascii="Georgia" w:hAnsi="Georgia" w:cs="Arial"/>
          <w:lang w:val="es-419"/>
        </w:rPr>
        <w:t>: “</w:t>
      </w:r>
      <w:r w:rsidRPr="006C2316">
        <w:rPr>
          <w:rFonts w:ascii="Georgia" w:hAnsi="Georgia" w:cs="Arial"/>
          <w:i/>
          <w:lang w:val="es-419"/>
        </w:rPr>
        <w:t xml:space="preserve">(…) </w:t>
      </w:r>
      <w:r w:rsidRPr="006C2316">
        <w:rPr>
          <w:rFonts w:ascii="Georgia" w:hAnsi="Georgia" w:cs="Arial"/>
          <w:i/>
          <w:spacing w:val="-4"/>
          <w:lang w:val="es-419"/>
        </w:rPr>
        <w:t>Por supuesto que, era facultad del superior realizar el análisis preliminar para la «admisión» de la alzada, y conforme a la regla cuarta del canon 325 del C.G.P.</w:t>
      </w:r>
      <w:r w:rsidRPr="006C2316">
        <w:rPr>
          <w:rFonts w:ascii="Georgia" w:hAnsi="Georgia" w:cs="Arial"/>
          <w:spacing w:val="-4"/>
          <w:szCs w:val="28"/>
          <w:lang w:val="es-419"/>
        </w:rPr>
        <w:t xml:space="preserve"> </w:t>
      </w:r>
      <w:r w:rsidRPr="006C2316">
        <w:rPr>
          <w:rFonts w:ascii="Georgia" w:hAnsi="Georgia" w:cs="Arial"/>
          <w:i/>
          <w:shd w:val="clear" w:color="auto" w:fill="FFFFFF"/>
          <w:lang w:val="es-419"/>
        </w:rPr>
        <w:t>(…)”.</w:t>
      </w:r>
      <w:r w:rsidR="00F069A9" w:rsidRPr="006C2316">
        <w:rPr>
          <w:rFonts w:ascii="Georgia" w:hAnsi="Georgia" w:cs="Arial"/>
          <w:shd w:val="clear" w:color="auto" w:fill="FFFFFF"/>
          <w:lang w:val="es-419"/>
        </w:rPr>
        <w:t xml:space="preserve"> </w:t>
      </w:r>
      <w:r w:rsidR="00F069A9" w:rsidRPr="006C2316">
        <w:rPr>
          <w:rFonts w:ascii="Georgia" w:hAnsi="Georgia" w:cs="Arial"/>
          <w:sz w:val="24"/>
          <w:shd w:val="clear" w:color="auto" w:fill="FFFFFF"/>
          <w:lang w:val="es-419"/>
        </w:rPr>
        <w:t>Comentarios que son aplicables para el CGP, puesto que en este aspecto se conservó el esquema.</w:t>
      </w:r>
    </w:p>
    <w:p w:rsidR="009F7B8B" w:rsidRPr="006C2316" w:rsidRDefault="009F7B8B" w:rsidP="006C2316">
      <w:pPr>
        <w:pStyle w:val="Sinespaciado"/>
        <w:spacing w:line="276" w:lineRule="auto"/>
        <w:jc w:val="both"/>
        <w:rPr>
          <w:rFonts w:ascii="Georgia" w:hAnsi="Georgia"/>
          <w:color w:val="2D2D2D"/>
          <w:sz w:val="24"/>
          <w:shd w:val="clear" w:color="auto" w:fill="FFFFFF"/>
          <w:lang w:val="es-419"/>
        </w:rPr>
      </w:pPr>
    </w:p>
    <w:p w:rsidR="009F7B8B" w:rsidRPr="006C2316" w:rsidRDefault="009F7B8B" w:rsidP="006C2316">
      <w:pPr>
        <w:pStyle w:val="Textopredeterminado"/>
        <w:spacing w:line="276" w:lineRule="auto"/>
        <w:jc w:val="both"/>
        <w:rPr>
          <w:rFonts w:ascii="Georgia" w:hAnsi="Georgia" w:cs="Arial"/>
          <w:lang w:val="es-419"/>
        </w:rPr>
      </w:pPr>
      <w:r w:rsidRPr="006C2316">
        <w:rPr>
          <w:rFonts w:ascii="Georgia" w:hAnsi="Georgia" w:cs="Arial"/>
          <w:lang w:val="es-419"/>
        </w:rPr>
        <w:t xml:space="preserve">Esos supuestos son </w:t>
      </w:r>
      <w:r w:rsidR="000341E2" w:rsidRPr="006C2316">
        <w:rPr>
          <w:rFonts w:ascii="Georgia" w:hAnsi="Georgia" w:cs="Arial"/>
          <w:lang w:val="es-419"/>
        </w:rPr>
        <w:t xml:space="preserve">(i) </w:t>
      </w:r>
      <w:r w:rsidRPr="006C2316">
        <w:rPr>
          <w:rFonts w:ascii="Georgia" w:hAnsi="Georgia" w:cs="Arial"/>
          <w:lang w:val="es-419"/>
        </w:rPr>
        <w:t xml:space="preserve">legitimación, </w:t>
      </w:r>
      <w:r w:rsidR="000341E2" w:rsidRPr="006C2316">
        <w:rPr>
          <w:rFonts w:ascii="Georgia" w:hAnsi="Georgia" w:cs="Arial"/>
          <w:lang w:val="es-419"/>
        </w:rPr>
        <w:t xml:space="preserve">(ii) </w:t>
      </w:r>
      <w:r w:rsidRPr="006C2316">
        <w:rPr>
          <w:rFonts w:ascii="Georgia" w:hAnsi="Georgia" w:cs="Arial"/>
          <w:lang w:val="es-419"/>
        </w:rPr>
        <w:t xml:space="preserve">oportunidad, </w:t>
      </w:r>
      <w:r w:rsidR="000341E2" w:rsidRPr="006C2316">
        <w:rPr>
          <w:rFonts w:ascii="Georgia" w:hAnsi="Georgia" w:cs="Arial"/>
          <w:lang w:val="es-419"/>
        </w:rPr>
        <w:t xml:space="preserve">(iii) </w:t>
      </w:r>
      <w:r w:rsidRPr="006C2316">
        <w:rPr>
          <w:rFonts w:ascii="Georgia" w:hAnsi="Georgia" w:cs="Arial"/>
          <w:lang w:val="es-419"/>
        </w:rPr>
        <w:t xml:space="preserve">procedencia y </w:t>
      </w:r>
      <w:r w:rsidR="000341E2" w:rsidRPr="006C2316">
        <w:rPr>
          <w:rFonts w:ascii="Georgia" w:hAnsi="Georgia" w:cs="Arial"/>
          <w:lang w:val="es-419"/>
        </w:rPr>
        <w:t xml:space="preserve">(iv) </w:t>
      </w:r>
      <w:r w:rsidRPr="006C2316">
        <w:rPr>
          <w:rFonts w:ascii="Georgia" w:hAnsi="Georgia" w:cs="Arial"/>
          <w:lang w:val="es-419"/>
        </w:rPr>
        <w:t>cargas procesales (</w:t>
      </w:r>
      <w:r w:rsidRPr="006C2316">
        <w:rPr>
          <w:rFonts w:ascii="Georgia" w:hAnsi="Georgia" w:cs="Arial"/>
          <w:sz w:val="22"/>
          <w:lang w:val="es-419"/>
        </w:rPr>
        <w:t>Sustentación, expedición de copias, etc.</w:t>
      </w:r>
      <w:r w:rsidR="000341E2" w:rsidRPr="006C2316">
        <w:rPr>
          <w:rFonts w:ascii="Georgia" w:hAnsi="Georgia" w:cs="Arial"/>
          <w:lang w:val="es-419"/>
        </w:rPr>
        <w:t>);</w:t>
      </w:r>
      <w:r w:rsidRPr="006C2316">
        <w:rPr>
          <w:rFonts w:ascii="Georgia" w:hAnsi="Georgia" w:cs="Arial"/>
          <w:lang w:val="es-419"/>
        </w:rPr>
        <w:t xml:space="preserve"> es necesario precisar desde ya que, los tres </w:t>
      </w:r>
      <w:r w:rsidR="000341E2" w:rsidRPr="006C2316">
        <w:rPr>
          <w:rFonts w:ascii="Georgia" w:hAnsi="Georgia" w:cs="Arial"/>
          <w:lang w:val="es-419"/>
        </w:rPr>
        <w:t xml:space="preserve">(3) </w:t>
      </w:r>
      <w:r w:rsidRPr="006C2316">
        <w:rPr>
          <w:rFonts w:ascii="Georgia" w:hAnsi="Georgia" w:cs="Arial"/>
          <w:lang w:val="es-419"/>
        </w:rPr>
        <w:t>primeros implican la inadmisibilidad del recurso</w:t>
      </w:r>
      <w:r w:rsidR="000341E2" w:rsidRPr="006C2316">
        <w:rPr>
          <w:rFonts w:ascii="Georgia" w:hAnsi="Georgia" w:cs="Arial"/>
          <w:lang w:val="es-419"/>
        </w:rPr>
        <w:t>,</w:t>
      </w:r>
      <w:r w:rsidRPr="006C2316">
        <w:rPr>
          <w:rFonts w:ascii="Georgia" w:hAnsi="Georgia" w:cs="Arial"/>
          <w:lang w:val="es-419"/>
        </w:rPr>
        <w:t xml:space="preserve"> mientras que el cuarto, provoca la deserción, tal como acota la doctrina patria</w:t>
      </w:r>
      <w:r w:rsidRPr="006C2316">
        <w:rPr>
          <w:rStyle w:val="Refdenotaalpie"/>
          <w:rFonts w:ascii="Georgia" w:hAnsi="Georgia"/>
          <w:lang w:val="es-419"/>
        </w:rPr>
        <w:footnoteReference w:id="9"/>
      </w:r>
      <w:r w:rsidRPr="006C2316">
        <w:rPr>
          <w:rFonts w:ascii="Georgia" w:hAnsi="Georgia" w:cs="Arial"/>
          <w:vertAlign w:val="superscript"/>
          <w:lang w:val="es-419"/>
        </w:rPr>
        <w:t>-</w:t>
      </w:r>
      <w:r w:rsidRPr="006C2316">
        <w:rPr>
          <w:rStyle w:val="Refdenotaalpie"/>
          <w:rFonts w:ascii="Georgia" w:hAnsi="Georgia"/>
          <w:lang w:val="es-419"/>
        </w:rPr>
        <w:footnoteReference w:id="10"/>
      </w:r>
      <w:r w:rsidR="00386016" w:rsidRPr="006C2316">
        <w:rPr>
          <w:rFonts w:ascii="Georgia" w:hAnsi="Georgia" w:cs="Arial"/>
          <w:lang w:val="es-419"/>
        </w:rPr>
        <w:t>.</w:t>
      </w:r>
    </w:p>
    <w:p w:rsidR="009F7B8B" w:rsidRPr="006C2316" w:rsidRDefault="009F7B8B" w:rsidP="006C2316">
      <w:pPr>
        <w:pStyle w:val="Textopredeterminado"/>
        <w:spacing w:line="276" w:lineRule="auto"/>
        <w:jc w:val="both"/>
        <w:rPr>
          <w:rFonts w:ascii="Georgia" w:hAnsi="Georgia" w:cs="Arial"/>
          <w:lang w:val="es-419"/>
        </w:rPr>
      </w:pPr>
    </w:p>
    <w:p w:rsidR="009F7B8B" w:rsidRPr="006C2316" w:rsidRDefault="009F7B8B" w:rsidP="006C2316">
      <w:pPr>
        <w:pStyle w:val="Sinespaciado"/>
        <w:spacing w:line="276" w:lineRule="auto"/>
        <w:jc w:val="both"/>
        <w:rPr>
          <w:rFonts w:ascii="Georgia" w:hAnsi="Georgia" w:cs="Arial"/>
          <w:color w:val="000000"/>
          <w:sz w:val="24"/>
          <w:lang w:val="es-419"/>
        </w:rPr>
      </w:pPr>
      <w:r w:rsidRPr="006C2316">
        <w:rPr>
          <w:rFonts w:ascii="Georgia" w:hAnsi="Georgia" w:cs="Arial"/>
          <w:color w:val="000000"/>
          <w:sz w:val="24"/>
          <w:lang w:val="es-419"/>
        </w:rPr>
        <w:t>Para este caso se encuentran cumplidos, hay legitimación en la parte que recurre por</w:t>
      </w:r>
      <w:r w:rsidR="002F5A53" w:rsidRPr="006C2316">
        <w:rPr>
          <w:rFonts w:ascii="Georgia" w:hAnsi="Georgia" w:cs="Arial"/>
          <w:color w:val="000000"/>
          <w:sz w:val="24"/>
          <w:lang w:val="es-419"/>
        </w:rPr>
        <w:t xml:space="preserve">que hay </w:t>
      </w:r>
      <w:r w:rsidR="002F390D" w:rsidRPr="006C2316">
        <w:rPr>
          <w:rFonts w:ascii="Georgia" w:hAnsi="Georgia" w:cs="Arial"/>
          <w:color w:val="000000"/>
          <w:sz w:val="24"/>
          <w:lang w:val="es-419"/>
        </w:rPr>
        <w:t>menoscabo</w:t>
      </w:r>
      <w:r w:rsidR="002F5A53" w:rsidRPr="006C2316">
        <w:rPr>
          <w:rFonts w:ascii="Georgia" w:hAnsi="Georgia" w:cs="Arial"/>
          <w:color w:val="000000"/>
          <w:sz w:val="24"/>
          <w:lang w:val="es-419"/>
        </w:rPr>
        <w:t xml:space="preserve"> </w:t>
      </w:r>
      <w:r w:rsidR="002F390D" w:rsidRPr="006C2316">
        <w:rPr>
          <w:rFonts w:ascii="Georgia" w:hAnsi="Georgia" w:cs="Arial"/>
          <w:color w:val="000000"/>
          <w:sz w:val="24"/>
          <w:lang w:val="es-419"/>
        </w:rPr>
        <w:t xml:space="preserve">o perjuicio </w:t>
      </w:r>
      <w:r w:rsidR="002F5A53" w:rsidRPr="006C2316">
        <w:rPr>
          <w:rFonts w:ascii="Georgia" w:hAnsi="Georgia" w:cs="Arial"/>
          <w:color w:val="000000"/>
          <w:sz w:val="24"/>
          <w:lang w:val="es-419"/>
        </w:rPr>
        <w:t xml:space="preserve">en sus intereses </w:t>
      </w:r>
      <w:r w:rsidRPr="006C2316">
        <w:rPr>
          <w:rFonts w:ascii="Georgia" w:hAnsi="Georgia" w:cs="Arial"/>
          <w:color w:val="000000"/>
          <w:sz w:val="24"/>
          <w:lang w:val="es-419"/>
        </w:rPr>
        <w:t xml:space="preserve">con la </w:t>
      </w:r>
      <w:r w:rsidR="00386016" w:rsidRPr="006C2316">
        <w:rPr>
          <w:rFonts w:ascii="Georgia" w:hAnsi="Georgia" w:cs="Arial"/>
          <w:color w:val="000000"/>
          <w:sz w:val="24"/>
          <w:lang w:val="es-419"/>
        </w:rPr>
        <w:t>providencia</w:t>
      </w:r>
      <w:r w:rsidRPr="006C2316">
        <w:rPr>
          <w:rFonts w:ascii="Georgia" w:hAnsi="Georgia" w:cs="Arial"/>
          <w:color w:val="000000"/>
          <w:sz w:val="24"/>
          <w:lang w:val="es-419"/>
        </w:rPr>
        <w:t xml:space="preserve"> atacada; el recurso </w:t>
      </w:r>
      <w:r w:rsidR="00847767" w:rsidRPr="006C2316">
        <w:rPr>
          <w:rFonts w:ascii="Georgia" w:hAnsi="Georgia" w:cs="Arial"/>
          <w:color w:val="000000"/>
          <w:sz w:val="24"/>
          <w:lang w:val="es-419"/>
        </w:rPr>
        <w:t>se propuso a tiempo</w:t>
      </w:r>
      <w:r w:rsidR="009E4545" w:rsidRPr="006C2316">
        <w:rPr>
          <w:rFonts w:ascii="Georgia" w:hAnsi="Georgia" w:cs="Arial"/>
          <w:color w:val="000000"/>
          <w:sz w:val="24"/>
          <w:lang w:val="es-419"/>
        </w:rPr>
        <w:t xml:space="preserve"> </w:t>
      </w:r>
      <w:r w:rsidR="009E4545" w:rsidRPr="006C2316">
        <w:rPr>
          <w:rFonts w:ascii="Georgia" w:hAnsi="Georgia" w:cs="Arial"/>
          <w:color w:val="000000"/>
          <w:lang w:val="es-419"/>
        </w:rPr>
        <w:t>(Artículo 322-1º</w:t>
      </w:r>
      <w:r w:rsidR="002F5A53" w:rsidRPr="006C2316">
        <w:rPr>
          <w:rFonts w:ascii="Georgia" w:hAnsi="Georgia" w:cs="Arial"/>
          <w:color w:val="000000"/>
          <w:lang w:val="es-419"/>
        </w:rPr>
        <w:t>, CGP)</w:t>
      </w:r>
      <w:r w:rsidR="002F5A53" w:rsidRPr="006C2316">
        <w:rPr>
          <w:rFonts w:ascii="Georgia" w:hAnsi="Georgia" w:cs="Arial"/>
          <w:color w:val="000000"/>
          <w:sz w:val="24"/>
          <w:lang w:val="es-419"/>
        </w:rPr>
        <w:t>;</w:t>
      </w:r>
      <w:r w:rsidR="00386016" w:rsidRPr="006C2316">
        <w:rPr>
          <w:rFonts w:ascii="Georgia" w:hAnsi="Georgia" w:cs="Arial"/>
          <w:color w:val="000000"/>
          <w:sz w:val="24"/>
          <w:lang w:val="es-419"/>
        </w:rPr>
        <w:t xml:space="preserve"> </w:t>
      </w:r>
      <w:r w:rsidR="00847767" w:rsidRPr="006C2316">
        <w:rPr>
          <w:rFonts w:ascii="Georgia" w:hAnsi="Georgia" w:cs="Arial"/>
          <w:color w:val="000000"/>
          <w:sz w:val="24"/>
          <w:lang w:val="es-419"/>
        </w:rPr>
        <w:t xml:space="preserve">está consagrada la </w:t>
      </w:r>
      <w:r w:rsidR="00386016" w:rsidRPr="006C2316">
        <w:rPr>
          <w:rFonts w:ascii="Georgia" w:hAnsi="Georgia" w:cs="Arial"/>
          <w:color w:val="000000"/>
          <w:sz w:val="24"/>
          <w:lang w:val="es-419"/>
        </w:rPr>
        <w:t xml:space="preserve">impugnación para el auto recurrido </w:t>
      </w:r>
      <w:r w:rsidR="009E4545" w:rsidRPr="006C2316">
        <w:rPr>
          <w:rFonts w:ascii="Georgia" w:hAnsi="Georgia" w:cs="Arial"/>
          <w:color w:val="000000"/>
          <w:lang w:val="es-419"/>
        </w:rPr>
        <w:t>(Artículo</w:t>
      </w:r>
      <w:r w:rsidR="001E639B" w:rsidRPr="006C2316">
        <w:rPr>
          <w:rFonts w:ascii="Georgia" w:hAnsi="Georgia" w:cs="Arial"/>
          <w:color w:val="000000"/>
          <w:lang w:val="es-419"/>
        </w:rPr>
        <w:t>s</w:t>
      </w:r>
      <w:r w:rsidRPr="006C2316">
        <w:rPr>
          <w:rFonts w:ascii="Georgia" w:hAnsi="Georgia" w:cs="Arial"/>
          <w:color w:val="000000"/>
          <w:lang w:val="es-419"/>
        </w:rPr>
        <w:t xml:space="preserve"> </w:t>
      </w:r>
      <w:r w:rsidR="00847767" w:rsidRPr="006C2316">
        <w:rPr>
          <w:rFonts w:ascii="Georgia" w:hAnsi="Georgia" w:cs="Arial"/>
          <w:color w:val="000000"/>
          <w:lang w:val="es-419"/>
        </w:rPr>
        <w:t>321-7º y 317-e)</w:t>
      </w:r>
      <w:r w:rsidRPr="006C2316">
        <w:rPr>
          <w:rFonts w:ascii="Georgia" w:hAnsi="Georgia" w:cs="Arial"/>
          <w:color w:val="000000"/>
          <w:lang w:val="es-419"/>
        </w:rPr>
        <w:t xml:space="preserve">, </w:t>
      </w:r>
      <w:r w:rsidR="00084999" w:rsidRPr="006C2316">
        <w:rPr>
          <w:rFonts w:ascii="Georgia" w:hAnsi="Georgia" w:cs="Arial"/>
          <w:color w:val="000000"/>
          <w:lang w:val="es-419"/>
        </w:rPr>
        <w:t>ibídem</w:t>
      </w:r>
      <w:r w:rsidRPr="006C2316">
        <w:rPr>
          <w:rFonts w:ascii="Georgia" w:hAnsi="Georgia" w:cs="Arial"/>
          <w:color w:val="000000"/>
          <w:lang w:val="es-419"/>
        </w:rPr>
        <w:t>)</w:t>
      </w:r>
      <w:r w:rsidRPr="006C2316">
        <w:rPr>
          <w:rFonts w:ascii="Georgia" w:hAnsi="Georgia" w:cs="Arial"/>
          <w:color w:val="000000"/>
          <w:sz w:val="24"/>
          <w:lang w:val="es-419"/>
        </w:rPr>
        <w:t xml:space="preserve"> y está cumplida la carga procesal de la sustentación</w:t>
      </w:r>
      <w:r w:rsidR="00F366D2" w:rsidRPr="006C2316">
        <w:rPr>
          <w:rFonts w:ascii="Georgia" w:hAnsi="Georgia" w:cs="Arial"/>
          <w:color w:val="000000"/>
          <w:sz w:val="24"/>
          <w:lang w:val="es-419"/>
        </w:rPr>
        <w:t>, según el escrito de interposición visible a folio 297 y ss del expediente</w:t>
      </w:r>
      <w:r w:rsidRPr="006C2316">
        <w:rPr>
          <w:rFonts w:ascii="Georgia" w:hAnsi="Georgia" w:cs="Arial"/>
          <w:color w:val="000000"/>
          <w:sz w:val="24"/>
          <w:lang w:val="es-419"/>
        </w:rPr>
        <w:t xml:space="preserve"> </w:t>
      </w:r>
      <w:r w:rsidRPr="006C2316">
        <w:rPr>
          <w:rFonts w:ascii="Georgia" w:hAnsi="Georgia" w:cs="Arial"/>
          <w:color w:val="000000"/>
          <w:lang w:val="es-419"/>
        </w:rPr>
        <w:t xml:space="preserve">(Artículo 322-3º, </w:t>
      </w:r>
      <w:r w:rsidR="008F0855" w:rsidRPr="006C2316">
        <w:rPr>
          <w:rFonts w:ascii="Georgia" w:hAnsi="Georgia" w:cs="Arial"/>
          <w:color w:val="000000"/>
          <w:lang w:val="es-419"/>
        </w:rPr>
        <w:t>ibídem</w:t>
      </w:r>
      <w:r w:rsidRPr="006C2316">
        <w:rPr>
          <w:rFonts w:ascii="Georgia" w:hAnsi="Georgia" w:cs="Arial"/>
          <w:color w:val="000000"/>
          <w:lang w:val="es-419"/>
        </w:rPr>
        <w:t>)</w:t>
      </w:r>
      <w:r w:rsidRPr="006C2316">
        <w:rPr>
          <w:rFonts w:ascii="Georgia" w:hAnsi="Georgia" w:cs="Arial"/>
          <w:color w:val="000000"/>
          <w:sz w:val="24"/>
          <w:lang w:val="es-419"/>
        </w:rPr>
        <w:t>.</w:t>
      </w:r>
    </w:p>
    <w:p w:rsidR="00A640EB" w:rsidRPr="006C2316" w:rsidRDefault="00A640EB" w:rsidP="006C2316">
      <w:pPr>
        <w:pStyle w:val="Sinespaciado"/>
        <w:spacing w:line="276" w:lineRule="auto"/>
        <w:jc w:val="both"/>
        <w:rPr>
          <w:rFonts w:ascii="Georgia" w:hAnsi="Georgia" w:cs="Arial"/>
          <w:sz w:val="24"/>
          <w:lang w:val="es-419"/>
        </w:rPr>
      </w:pPr>
    </w:p>
    <w:p w:rsidR="00850CDA" w:rsidRPr="006C2316" w:rsidRDefault="00850CDA" w:rsidP="006C2316">
      <w:pPr>
        <w:pStyle w:val="Textopredeterminado"/>
        <w:numPr>
          <w:ilvl w:val="1"/>
          <w:numId w:val="22"/>
        </w:numPr>
        <w:spacing w:line="276" w:lineRule="auto"/>
        <w:jc w:val="both"/>
        <w:rPr>
          <w:rFonts w:ascii="Georgia" w:hAnsi="Georgia" w:cs="Arial"/>
          <w:szCs w:val="24"/>
          <w:lang w:val="es-419"/>
        </w:rPr>
      </w:pPr>
      <w:r w:rsidRPr="006C2316">
        <w:rPr>
          <w:rFonts w:ascii="Georgia" w:hAnsi="Georgia" w:cs="Arial"/>
          <w:smallCaps/>
          <w:sz w:val="25"/>
          <w:szCs w:val="25"/>
          <w:lang w:val="es-419"/>
        </w:rPr>
        <w:t>El problema jurídico para resolver</w:t>
      </w:r>
    </w:p>
    <w:p w:rsidR="00BF3114" w:rsidRPr="006C2316" w:rsidRDefault="00BF3114" w:rsidP="006C2316">
      <w:pPr>
        <w:pStyle w:val="Sinespaciado"/>
        <w:spacing w:line="276" w:lineRule="auto"/>
        <w:jc w:val="both"/>
        <w:rPr>
          <w:rFonts w:ascii="Georgia" w:hAnsi="Georgia" w:cs="Arial"/>
          <w:sz w:val="24"/>
          <w:lang w:val="es-419"/>
        </w:rPr>
      </w:pPr>
    </w:p>
    <w:p w:rsidR="0053086A" w:rsidRPr="006C2316" w:rsidRDefault="00BF3114" w:rsidP="006C2316">
      <w:pPr>
        <w:pStyle w:val="Sinespaciado"/>
        <w:spacing w:line="276" w:lineRule="auto"/>
        <w:jc w:val="both"/>
        <w:rPr>
          <w:rFonts w:ascii="Georgia" w:hAnsi="Georgia"/>
          <w:sz w:val="24"/>
          <w:szCs w:val="24"/>
          <w:lang w:val="es-419"/>
        </w:rPr>
      </w:pPr>
      <w:r w:rsidRPr="006C2316">
        <w:rPr>
          <w:rFonts w:ascii="Georgia" w:hAnsi="Georgia"/>
          <w:sz w:val="24"/>
          <w:szCs w:val="24"/>
          <w:lang w:val="es-419"/>
        </w:rPr>
        <w:t>¿</w:t>
      </w:r>
      <w:r w:rsidR="006A7F66" w:rsidRPr="006C2316">
        <w:rPr>
          <w:rFonts w:ascii="Georgia" w:hAnsi="Georgia"/>
          <w:sz w:val="24"/>
          <w:szCs w:val="24"/>
          <w:lang w:val="es-419"/>
        </w:rPr>
        <w:t>Debe</w:t>
      </w:r>
      <w:r w:rsidRPr="006C2316">
        <w:rPr>
          <w:rFonts w:ascii="Georgia" w:hAnsi="Georgia"/>
          <w:sz w:val="24"/>
          <w:szCs w:val="24"/>
          <w:lang w:val="es-419"/>
        </w:rPr>
        <w:t xml:space="preserve"> confirmar</w:t>
      </w:r>
      <w:r w:rsidR="006A7F66" w:rsidRPr="006C2316">
        <w:rPr>
          <w:rFonts w:ascii="Georgia" w:hAnsi="Georgia"/>
          <w:sz w:val="24"/>
          <w:szCs w:val="24"/>
          <w:lang w:val="es-419"/>
        </w:rPr>
        <w:t>se</w:t>
      </w:r>
      <w:r w:rsidR="00394B16" w:rsidRPr="006C2316">
        <w:rPr>
          <w:rFonts w:ascii="Georgia" w:hAnsi="Georgia"/>
          <w:sz w:val="24"/>
          <w:szCs w:val="24"/>
          <w:lang w:val="es-419"/>
        </w:rPr>
        <w:t>, modificarse</w:t>
      </w:r>
      <w:r w:rsidRPr="006C2316">
        <w:rPr>
          <w:rFonts w:ascii="Georgia" w:hAnsi="Georgia"/>
          <w:sz w:val="24"/>
          <w:szCs w:val="24"/>
          <w:lang w:val="es-419"/>
        </w:rPr>
        <w:t xml:space="preserve"> o revocar</w:t>
      </w:r>
      <w:r w:rsidR="006A7F66" w:rsidRPr="006C2316">
        <w:rPr>
          <w:rFonts w:ascii="Georgia" w:hAnsi="Georgia"/>
          <w:sz w:val="24"/>
          <w:szCs w:val="24"/>
          <w:lang w:val="es-419"/>
        </w:rPr>
        <w:t>se</w:t>
      </w:r>
      <w:r w:rsidRPr="006C2316">
        <w:rPr>
          <w:rFonts w:ascii="Georgia" w:hAnsi="Georgia"/>
          <w:sz w:val="24"/>
          <w:szCs w:val="24"/>
          <w:lang w:val="es-419"/>
        </w:rPr>
        <w:t xml:space="preserve"> </w:t>
      </w:r>
      <w:r w:rsidR="006A7F66" w:rsidRPr="006C2316">
        <w:rPr>
          <w:rFonts w:ascii="Georgia" w:hAnsi="Georgia"/>
          <w:sz w:val="24"/>
          <w:szCs w:val="24"/>
          <w:lang w:val="es-419"/>
        </w:rPr>
        <w:t>el auto</w:t>
      </w:r>
      <w:r w:rsidRPr="006C2316">
        <w:rPr>
          <w:rFonts w:ascii="Georgia" w:hAnsi="Georgia"/>
          <w:sz w:val="24"/>
          <w:szCs w:val="24"/>
          <w:lang w:val="es-419"/>
        </w:rPr>
        <w:t xml:space="preserve"> </w:t>
      </w:r>
      <w:r w:rsidR="003900EC" w:rsidRPr="006C2316">
        <w:rPr>
          <w:rFonts w:ascii="Georgia" w:hAnsi="Georgia"/>
          <w:sz w:val="24"/>
          <w:szCs w:val="24"/>
          <w:lang w:val="es-419"/>
        </w:rPr>
        <w:t xml:space="preserve">que </w:t>
      </w:r>
      <w:r w:rsidR="00394B16" w:rsidRPr="006C2316">
        <w:rPr>
          <w:rFonts w:ascii="Georgia" w:hAnsi="Georgia"/>
          <w:sz w:val="24"/>
          <w:szCs w:val="24"/>
          <w:lang w:val="es-419"/>
        </w:rPr>
        <w:t xml:space="preserve">terminó el proceso por desistimiento tácito, a </w:t>
      </w:r>
      <w:r w:rsidR="00506DB0" w:rsidRPr="006C2316">
        <w:rPr>
          <w:rFonts w:ascii="Georgia" w:hAnsi="Georgia"/>
          <w:sz w:val="24"/>
          <w:szCs w:val="24"/>
          <w:lang w:val="es-419"/>
        </w:rPr>
        <w:t xml:space="preserve">la </w:t>
      </w:r>
      <w:r w:rsidR="00394B16" w:rsidRPr="006C2316">
        <w:rPr>
          <w:rFonts w:ascii="Georgia" w:hAnsi="Georgia"/>
          <w:sz w:val="24"/>
          <w:szCs w:val="24"/>
          <w:lang w:val="es-419"/>
        </w:rPr>
        <w:t>luz de lo argüido por el recurrente</w:t>
      </w:r>
      <w:r w:rsidR="0053086A" w:rsidRPr="006C2316">
        <w:rPr>
          <w:rFonts w:ascii="Georgia" w:hAnsi="Georgia"/>
          <w:sz w:val="24"/>
          <w:szCs w:val="24"/>
          <w:lang w:val="es-419"/>
        </w:rPr>
        <w:t>?</w:t>
      </w:r>
    </w:p>
    <w:p w:rsidR="003900EC" w:rsidRPr="006C2316" w:rsidRDefault="003900EC" w:rsidP="006C2316">
      <w:pPr>
        <w:pStyle w:val="Sinespaciado"/>
        <w:spacing w:line="276" w:lineRule="auto"/>
        <w:jc w:val="both"/>
        <w:rPr>
          <w:rFonts w:ascii="Georgia" w:hAnsi="Georgia"/>
          <w:szCs w:val="24"/>
          <w:lang w:val="es-419"/>
        </w:rPr>
      </w:pPr>
    </w:p>
    <w:p w:rsidR="00B91725" w:rsidRPr="006C2316" w:rsidRDefault="00B91725" w:rsidP="006C2316">
      <w:pPr>
        <w:pStyle w:val="Sinespaciado"/>
        <w:widowControl w:val="0"/>
        <w:numPr>
          <w:ilvl w:val="0"/>
          <w:numId w:val="22"/>
        </w:numPr>
        <w:autoSpaceDE w:val="0"/>
        <w:autoSpaceDN w:val="0"/>
        <w:adjustRightInd w:val="0"/>
        <w:spacing w:line="276" w:lineRule="auto"/>
        <w:jc w:val="both"/>
        <w:rPr>
          <w:rFonts w:ascii="Georgia" w:hAnsi="Georgia" w:cs="Arial"/>
          <w:lang w:val="es-419"/>
        </w:rPr>
      </w:pPr>
      <w:r w:rsidRPr="006C2316">
        <w:rPr>
          <w:rFonts w:ascii="Georgia" w:hAnsi="Georgia" w:cs="Arial"/>
          <w:sz w:val="28"/>
          <w:lang w:val="es-419"/>
        </w:rPr>
        <w:t>L</w:t>
      </w:r>
      <w:r w:rsidRPr="006C2316">
        <w:rPr>
          <w:rFonts w:ascii="Georgia" w:hAnsi="Georgia" w:cs="Arial"/>
          <w:sz w:val="24"/>
          <w:lang w:val="es-419"/>
        </w:rPr>
        <w:t>A RESOLUCIÓN DEL PROBLEMA JURÍDICO</w:t>
      </w:r>
    </w:p>
    <w:p w:rsidR="00B91725" w:rsidRPr="006C2316" w:rsidRDefault="00B91725" w:rsidP="006C2316">
      <w:pPr>
        <w:pStyle w:val="Textopredeterminado"/>
        <w:spacing w:line="276" w:lineRule="auto"/>
        <w:jc w:val="both"/>
        <w:rPr>
          <w:rFonts w:ascii="Georgia" w:hAnsi="Georgia" w:cs="Arial"/>
          <w:color w:val="auto"/>
          <w:sz w:val="22"/>
          <w:lang w:val="es-419"/>
        </w:rPr>
      </w:pPr>
    </w:p>
    <w:p w:rsidR="00B91725" w:rsidRPr="006C2316" w:rsidRDefault="00F00514" w:rsidP="006C2316">
      <w:pPr>
        <w:pStyle w:val="Textopredeterminado"/>
        <w:spacing w:line="276" w:lineRule="auto"/>
        <w:jc w:val="both"/>
        <w:rPr>
          <w:rFonts w:ascii="Georgia" w:hAnsi="Georgia" w:cs="Arial"/>
          <w:szCs w:val="24"/>
          <w:lang w:val="es-419"/>
        </w:rPr>
      </w:pPr>
      <w:r w:rsidRPr="006C2316">
        <w:rPr>
          <w:rFonts w:ascii="Georgia" w:hAnsi="Georgia" w:cs="Arial"/>
          <w:szCs w:val="24"/>
          <w:lang w:val="es-419"/>
        </w:rPr>
        <w:t xml:space="preserve">Impera siempre estimar que </w:t>
      </w:r>
      <w:r w:rsidR="005C43D0" w:rsidRPr="006C2316">
        <w:rPr>
          <w:rFonts w:ascii="Georgia" w:hAnsi="Georgia" w:cs="Arial"/>
          <w:szCs w:val="24"/>
          <w:lang w:val="es-419"/>
        </w:rPr>
        <w:t>el marco decisional</w:t>
      </w:r>
      <w:r w:rsidRPr="006C2316">
        <w:rPr>
          <w:rFonts w:ascii="Georgia" w:hAnsi="Georgia" w:cs="Arial"/>
          <w:szCs w:val="24"/>
          <w:lang w:val="es-419"/>
        </w:rPr>
        <w:t xml:space="preserve"> de esta instancia, lo traza el recurso </w:t>
      </w:r>
      <w:r w:rsidR="00B91725" w:rsidRPr="006C2316">
        <w:rPr>
          <w:rFonts w:ascii="Georgia" w:hAnsi="Georgia" w:cs="Arial"/>
          <w:szCs w:val="24"/>
          <w:lang w:val="es-419"/>
        </w:rPr>
        <w:t>formulado</w:t>
      </w:r>
      <w:r w:rsidR="005C43D0" w:rsidRPr="006C2316">
        <w:rPr>
          <w:rFonts w:ascii="Georgia" w:hAnsi="Georgia" w:cs="Arial"/>
          <w:szCs w:val="24"/>
          <w:lang w:val="es-419"/>
        </w:rPr>
        <w:t>, en acatamiento de los</w:t>
      </w:r>
      <w:r w:rsidR="00B91725" w:rsidRPr="006C2316">
        <w:rPr>
          <w:rFonts w:ascii="Georgia" w:hAnsi="Georgia" w:cs="Arial"/>
          <w:szCs w:val="24"/>
          <w:lang w:val="es-419"/>
        </w:rPr>
        <w:t xml:space="preserve"> </w:t>
      </w:r>
      <w:r w:rsidR="005C43D0" w:rsidRPr="006C2316">
        <w:rPr>
          <w:rFonts w:ascii="Georgia" w:hAnsi="Georgia" w:cs="Arial"/>
          <w:szCs w:val="24"/>
          <w:lang w:val="es-419"/>
        </w:rPr>
        <w:t>artículos 320</w:t>
      </w:r>
      <w:r w:rsidR="00B91725" w:rsidRPr="006C2316">
        <w:rPr>
          <w:rFonts w:ascii="Georgia" w:hAnsi="Georgia" w:cs="Arial"/>
          <w:szCs w:val="24"/>
          <w:lang w:val="es-419"/>
        </w:rPr>
        <w:t xml:space="preserve"> y 328</w:t>
      </w:r>
      <w:r w:rsidR="005C43D0" w:rsidRPr="006C2316">
        <w:rPr>
          <w:rFonts w:ascii="Georgia" w:hAnsi="Georgia" w:cs="Arial"/>
          <w:szCs w:val="24"/>
          <w:lang w:val="es-419"/>
        </w:rPr>
        <w:t>, ibídem</w:t>
      </w:r>
      <w:r w:rsidRPr="006C2316">
        <w:rPr>
          <w:rFonts w:ascii="Georgia" w:hAnsi="Georgia" w:cs="Arial"/>
          <w:szCs w:val="24"/>
          <w:lang w:val="es-419"/>
        </w:rPr>
        <w:t xml:space="preserve">, consagratorios de la pretensión impugnaticia; así entonces, </w:t>
      </w:r>
      <w:r w:rsidR="00B91725" w:rsidRPr="006C2316">
        <w:rPr>
          <w:rFonts w:ascii="Georgia" w:hAnsi="Georgia" w:cs="Arial"/>
          <w:szCs w:val="24"/>
          <w:lang w:val="es-419"/>
        </w:rPr>
        <w:t xml:space="preserve">se examinará </w:t>
      </w:r>
      <w:r w:rsidRPr="006C2316">
        <w:rPr>
          <w:rFonts w:ascii="Georgia" w:hAnsi="Georgia" w:cs="Arial"/>
          <w:szCs w:val="24"/>
          <w:lang w:val="es-419"/>
        </w:rPr>
        <w:t>el litigio</w:t>
      </w:r>
      <w:r w:rsidR="008F0855" w:rsidRPr="006C2316">
        <w:rPr>
          <w:rFonts w:ascii="Georgia" w:hAnsi="Georgia" w:cs="Arial"/>
          <w:szCs w:val="24"/>
          <w:lang w:val="es-419"/>
        </w:rPr>
        <w:t>.</w:t>
      </w:r>
    </w:p>
    <w:p w:rsidR="00045F25" w:rsidRPr="006C2316" w:rsidRDefault="00045F25" w:rsidP="006C2316">
      <w:pPr>
        <w:pStyle w:val="Textopredeterminado"/>
        <w:spacing w:line="276" w:lineRule="auto"/>
        <w:jc w:val="both"/>
        <w:rPr>
          <w:rFonts w:ascii="Georgia" w:hAnsi="Georgia" w:cs="Arial"/>
          <w:szCs w:val="24"/>
          <w:lang w:val="es-419"/>
        </w:rPr>
      </w:pPr>
    </w:p>
    <w:p w:rsidR="00E206BE" w:rsidRPr="006C2316" w:rsidRDefault="00E206BE" w:rsidP="006C2316">
      <w:pPr>
        <w:pStyle w:val="Prrafodelista"/>
        <w:numPr>
          <w:ilvl w:val="1"/>
          <w:numId w:val="22"/>
        </w:numPr>
        <w:overflowPunct w:val="0"/>
        <w:autoSpaceDE w:val="0"/>
        <w:autoSpaceDN w:val="0"/>
        <w:adjustRightInd w:val="0"/>
        <w:spacing w:line="276" w:lineRule="auto"/>
        <w:jc w:val="both"/>
        <w:textAlignment w:val="baseline"/>
        <w:rPr>
          <w:rFonts w:ascii="Georgia" w:hAnsi="Georgia" w:cs="Arial"/>
          <w:smallCaps/>
          <w:szCs w:val="22"/>
          <w:lang w:val="es-419"/>
        </w:rPr>
      </w:pPr>
      <w:r w:rsidRPr="006C2316">
        <w:rPr>
          <w:rFonts w:ascii="Georgia" w:hAnsi="Georgia" w:cs="Arial"/>
          <w:smallCaps/>
          <w:szCs w:val="22"/>
          <w:lang w:val="es-419"/>
        </w:rPr>
        <w:t>El desistimiento tácito en el CGP</w:t>
      </w:r>
    </w:p>
    <w:p w:rsidR="00E206BE" w:rsidRPr="006C2316" w:rsidRDefault="00E206BE" w:rsidP="006C2316">
      <w:pPr>
        <w:pStyle w:val="Sinespaciado"/>
        <w:spacing w:line="276" w:lineRule="auto"/>
        <w:jc w:val="both"/>
        <w:rPr>
          <w:rFonts w:ascii="Georgia" w:hAnsi="Georgia" w:cs="Arial"/>
          <w:sz w:val="24"/>
          <w:szCs w:val="24"/>
          <w:lang w:val="es-419"/>
        </w:rPr>
      </w:pPr>
    </w:p>
    <w:p w:rsidR="00E206BE" w:rsidRPr="006C2316" w:rsidRDefault="00E206BE" w:rsidP="006C2316">
      <w:pPr>
        <w:pStyle w:val="Sinespaciado"/>
        <w:spacing w:line="276" w:lineRule="auto"/>
        <w:jc w:val="both"/>
        <w:rPr>
          <w:rFonts w:ascii="Georgia" w:hAnsi="Georgia" w:cs="Arial"/>
          <w:sz w:val="24"/>
          <w:szCs w:val="24"/>
          <w:lang w:val="es-419"/>
        </w:rPr>
      </w:pPr>
      <w:r w:rsidRPr="006C2316">
        <w:rPr>
          <w:rFonts w:ascii="Georgia" w:hAnsi="Georgia" w:cs="Arial"/>
          <w:sz w:val="24"/>
          <w:szCs w:val="24"/>
          <w:lang w:val="es-419"/>
        </w:rPr>
        <w:t xml:space="preserve">La figura se incorporó a nuestro sistema procesal a partir de la Ley 1194, </w:t>
      </w:r>
      <w:r w:rsidRPr="006C2316">
        <w:rPr>
          <w:rFonts w:ascii="Georgia" w:hAnsi="Georgia" w:cs="Arial"/>
          <w:i/>
          <w:sz w:val="24"/>
          <w:szCs w:val="24"/>
          <w:lang w:val="es-419"/>
        </w:rPr>
        <w:t>“</w:t>
      </w:r>
      <w:r w:rsidRPr="006C2316">
        <w:rPr>
          <w:rFonts w:ascii="Georgia" w:hAnsi="Georgia" w:cs="Arial"/>
          <w:i/>
          <w:szCs w:val="24"/>
          <w:lang w:val="es-419"/>
        </w:rPr>
        <w:t>Por medio de la cual se reforma el Código de Procedimiento Civil y se dictan otras disposiciones</w:t>
      </w:r>
      <w:r w:rsidRPr="006C2316">
        <w:rPr>
          <w:rFonts w:ascii="Georgia" w:hAnsi="Georgia" w:cs="Arial"/>
          <w:i/>
          <w:sz w:val="24"/>
          <w:szCs w:val="24"/>
          <w:lang w:val="es-419"/>
        </w:rPr>
        <w:t>”</w:t>
      </w:r>
      <w:r w:rsidRPr="006C2316">
        <w:rPr>
          <w:rFonts w:ascii="Georgia" w:hAnsi="Georgia" w:cs="Arial"/>
          <w:sz w:val="24"/>
          <w:szCs w:val="24"/>
          <w:lang w:val="es-419"/>
        </w:rPr>
        <w:t>, como una forma más, de terminación anormal de los procesos civiles y de familia, de oficio o a petición de parte.</w:t>
      </w:r>
    </w:p>
    <w:p w:rsidR="00E206BE" w:rsidRPr="006C2316" w:rsidRDefault="00E206BE" w:rsidP="006C2316">
      <w:pPr>
        <w:pStyle w:val="Sinespaciado"/>
        <w:spacing w:line="276" w:lineRule="auto"/>
        <w:jc w:val="both"/>
        <w:rPr>
          <w:rFonts w:ascii="Georgia" w:hAnsi="Georgia" w:cs="Arial"/>
          <w:sz w:val="24"/>
          <w:szCs w:val="24"/>
          <w:lang w:val="es-419"/>
        </w:rPr>
      </w:pPr>
    </w:p>
    <w:p w:rsidR="00E206BE" w:rsidRPr="006C2316" w:rsidRDefault="00E206BE" w:rsidP="006C2316">
      <w:pPr>
        <w:pStyle w:val="Sinespaciado"/>
        <w:spacing w:line="276" w:lineRule="auto"/>
        <w:jc w:val="both"/>
        <w:rPr>
          <w:rFonts w:ascii="Georgia" w:hAnsi="Georgia" w:cs="Arial"/>
          <w:sz w:val="24"/>
          <w:szCs w:val="24"/>
          <w:lang w:val="es-419"/>
        </w:rPr>
      </w:pPr>
      <w:r w:rsidRPr="006C2316">
        <w:rPr>
          <w:rFonts w:ascii="Georgia" w:hAnsi="Georgia" w:cs="Arial"/>
          <w:sz w:val="24"/>
          <w:szCs w:val="24"/>
          <w:lang w:val="es-419"/>
        </w:rPr>
        <w:lastRenderedPageBreak/>
        <w:t>En su momento, la CC</w:t>
      </w:r>
      <w:r w:rsidRPr="006C2316">
        <w:rPr>
          <w:rFonts w:ascii="Georgia" w:hAnsi="Georgia" w:cs="Arial"/>
          <w:sz w:val="24"/>
          <w:szCs w:val="24"/>
          <w:vertAlign w:val="superscript"/>
          <w:lang w:val="es-419"/>
        </w:rPr>
        <w:footnoteReference w:id="11"/>
      </w:r>
      <w:r w:rsidRPr="006C2316">
        <w:rPr>
          <w:rFonts w:ascii="Georgia" w:hAnsi="Georgia" w:cs="Arial"/>
          <w:sz w:val="24"/>
          <w:szCs w:val="24"/>
          <w:lang w:val="es-419"/>
        </w:rPr>
        <w:t xml:space="preserve"> (2008) al ocuparse de su inconstitucionalidad, dijo en los siguientes términos:”</w:t>
      </w:r>
      <w:r w:rsidRPr="006C2316">
        <w:rPr>
          <w:rFonts w:ascii="Georgia" w:hAnsi="Georgia" w:cs="Arial"/>
          <w:i/>
          <w:szCs w:val="24"/>
          <w:lang w:val="es-419"/>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r w:rsidRPr="006C2316">
        <w:rPr>
          <w:rFonts w:ascii="Georgia" w:hAnsi="Georgia" w:cs="Arial"/>
          <w:i/>
          <w:sz w:val="24"/>
          <w:szCs w:val="24"/>
          <w:lang w:val="es-419"/>
        </w:rPr>
        <w:t>”</w:t>
      </w:r>
      <w:r w:rsidRPr="006C2316">
        <w:rPr>
          <w:rFonts w:ascii="Georgia" w:hAnsi="Georgia" w:cs="Arial"/>
          <w:sz w:val="24"/>
          <w:szCs w:val="24"/>
          <w:lang w:val="es-419"/>
        </w:rPr>
        <w:t>.  El concepto fue reiterado por la misma Corporación</w:t>
      </w:r>
      <w:r w:rsidRPr="006C2316">
        <w:rPr>
          <w:rFonts w:ascii="Georgia" w:hAnsi="Georgia" w:cs="Arial"/>
          <w:sz w:val="24"/>
          <w:szCs w:val="24"/>
          <w:vertAlign w:val="superscript"/>
          <w:lang w:val="es-419"/>
        </w:rPr>
        <w:footnoteReference w:id="12"/>
      </w:r>
      <w:r w:rsidRPr="006C2316">
        <w:rPr>
          <w:rFonts w:ascii="Georgia" w:hAnsi="Georgia" w:cs="Arial"/>
          <w:sz w:val="24"/>
          <w:szCs w:val="24"/>
          <w:lang w:val="es-419"/>
        </w:rPr>
        <w:t xml:space="preserve"> en el año 2010, cuando hubo de revisar la constitucionalidad de la norma por omisión legislativa, respecto de los procesos laborales.</w:t>
      </w:r>
    </w:p>
    <w:p w:rsidR="00E206BE" w:rsidRPr="006C2316" w:rsidRDefault="00E206BE" w:rsidP="006C2316">
      <w:pPr>
        <w:pStyle w:val="Sinespaciado"/>
        <w:spacing w:line="276" w:lineRule="auto"/>
        <w:jc w:val="both"/>
        <w:rPr>
          <w:rFonts w:ascii="Georgia" w:hAnsi="Georgia" w:cs="Arial"/>
          <w:sz w:val="24"/>
          <w:szCs w:val="24"/>
          <w:lang w:val="es-419"/>
        </w:rPr>
      </w:pPr>
    </w:p>
    <w:p w:rsidR="00E206BE" w:rsidRPr="006C2316" w:rsidRDefault="00E206BE" w:rsidP="006C2316">
      <w:pPr>
        <w:pStyle w:val="Sinespaciado"/>
        <w:spacing w:line="276" w:lineRule="auto"/>
        <w:jc w:val="both"/>
        <w:rPr>
          <w:rFonts w:ascii="Georgia" w:hAnsi="Georgia" w:cs="Arial"/>
          <w:sz w:val="24"/>
          <w:szCs w:val="24"/>
          <w:lang w:val="es-419"/>
        </w:rPr>
      </w:pPr>
      <w:r w:rsidRPr="006C2316">
        <w:rPr>
          <w:rFonts w:ascii="Georgia" w:hAnsi="Georgia" w:cs="Arial"/>
          <w:sz w:val="24"/>
          <w:szCs w:val="24"/>
          <w:lang w:val="es-419"/>
        </w:rPr>
        <w:t>Las consecuencias adversas del legislador, se concibieron como efecto por haber desatendido el deber de colaborar con la administración de justicia, cuya finalidad es proteger el derecho de todas las personas a acceder a una administración de justicia diligente, célere, eficaz y eficiente, al debido proceso y la solución oportuna de los conflictos.</w:t>
      </w:r>
    </w:p>
    <w:p w:rsidR="00E206BE" w:rsidRPr="006C2316" w:rsidRDefault="00E206BE" w:rsidP="006C2316">
      <w:pPr>
        <w:pStyle w:val="Sinespaciado"/>
        <w:spacing w:line="276" w:lineRule="auto"/>
        <w:jc w:val="both"/>
        <w:rPr>
          <w:rFonts w:ascii="Georgia" w:hAnsi="Georgia" w:cs="Arial"/>
          <w:sz w:val="24"/>
          <w:szCs w:val="24"/>
          <w:lang w:val="es-419"/>
        </w:rPr>
      </w:pPr>
    </w:p>
    <w:p w:rsidR="00E206BE" w:rsidRPr="006C2316" w:rsidRDefault="00E206BE" w:rsidP="006C2316">
      <w:pPr>
        <w:pStyle w:val="Sinespaciado"/>
        <w:spacing w:line="276" w:lineRule="auto"/>
        <w:jc w:val="both"/>
        <w:rPr>
          <w:rFonts w:ascii="Georgia" w:hAnsi="Georgia" w:cs="Arial"/>
          <w:sz w:val="24"/>
          <w:szCs w:val="24"/>
          <w:lang w:val="es-419"/>
        </w:rPr>
      </w:pPr>
      <w:r w:rsidRPr="006C2316">
        <w:rPr>
          <w:rFonts w:ascii="Georgia" w:hAnsi="Georgia" w:cs="Arial"/>
          <w:sz w:val="24"/>
          <w:szCs w:val="24"/>
          <w:lang w:val="es-419"/>
        </w:rPr>
        <w:t>Luego advino la Ley 1564, CGP, y en su artículo 317, consagró de nuevo la institución en comento, pero ahora con otras hipótesis normativas, cabe decir, fue ampliado su espectro de aplicación.</w:t>
      </w:r>
    </w:p>
    <w:p w:rsidR="00E206BE" w:rsidRPr="006C2316" w:rsidRDefault="00E206BE" w:rsidP="006C2316">
      <w:pPr>
        <w:spacing w:line="276" w:lineRule="auto"/>
        <w:jc w:val="both"/>
        <w:rPr>
          <w:rFonts w:ascii="Georgia" w:hAnsi="Georgia" w:cs="Arial"/>
          <w:lang w:val="es-419"/>
        </w:rPr>
      </w:pPr>
    </w:p>
    <w:p w:rsidR="003E74B8" w:rsidRPr="006C2316" w:rsidRDefault="00E206BE" w:rsidP="006C2316">
      <w:pPr>
        <w:spacing w:line="276" w:lineRule="auto"/>
        <w:jc w:val="both"/>
        <w:rPr>
          <w:rFonts w:ascii="Georgia" w:hAnsi="Georgia" w:cs="Arial"/>
          <w:lang w:val="es-419"/>
        </w:rPr>
      </w:pPr>
      <w:r w:rsidRPr="006C2316">
        <w:rPr>
          <w:rFonts w:ascii="Georgia" w:hAnsi="Georgia" w:cs="Arial"/>
          <w:lang w:val="es-419"/>
        </w:rPr>
        <w:t>Algún sector de la doctrina especializada ha dicho que se trata de la misma perención</w:t>
      </w:r>
      <w:r w:rsidRPr="006C2316">
        <w:rPr>
          <w:rStyle w:val="Refdenotaalpie"/>
          <w:rFonts w:ascii="Georgia" w:hAnsi="Georgia"/>
          <w:lang w:val="es-419"/>
        </w:rPr>
        <w:footnoteReference w:id="13"/>
      </w:r>
      <w:r w:rsidRPr="006C2316">
        <w:rPr>
          <w:rFonts w:ascii="Georgia" w:hAnsi="Georgia" w:cs="Arial"/>
          <w:lang w:val="es-419"/>
        </w:rPr>
        <w:t xml:space="preserve">, la otrora </w:t>
      </w:r>
      <w:r w:rsidR="00152E12" w:rsidRPr="006C2316">
        <w:rPr>
          <w:rFonts w:ascii="Georgia" w:hAnsi="Georgia" w:cs="Arial"/>
          <w:lang w:val="es-419"/>
        </w:rPr>
        <w:t>“</w:t>
      </w:r>
      <w:r w:rsidRPr="006C2316">
        <w:rPr>
          <w:rFonts w:ascii="Georgia" w:hAnsi="Georgia" w:cs="Arial"/>
          <w:i/>
          <w:lang w:val="es-419"/>
        </w:rPr>
        <w:t>caducidad de la instancia</w:t>
      </w:r>
      <w:r w:rsidR="00152E12" w:rsidRPr="006C2316">
        <w:rPr>
          <w:rFonts w:ascii="Georgia" w:hAnsi="Georgia" w:cs="Arial"/>
          <w:lang w:val="es-419"/>
        </w:rPr>
        <w:t>”</w:t>
      </w:r>
      <w:r w:rsidRPr="006C2316">
        <w:rPr>
          <w:rFonts w:ascii="Georgia" w:hAnsi="Georgia" w:cs="Arial"/>
          <w:lang w:val="es-419"/>
        </w:rPr>
        <w:t>, prevista en el artículo 364, Ley 105 de 1931</w:t>
      </w:r>
      <w:r w:rsidR="00C55C73" w:rsidRPr="006C2316">
        <w:rPr>
          <w:rFonts w:ascii="Georgia" w:hAnsi="Georgia" w:cs="Arial"/>
          <w:lang w:val="es-419"/>
        </w:rPr>
        <w:t xml:space="preserve"> (</w:t>
      </w:r>
      <w:r w:rsidR="00C55C73" w:rsidRPr="006C2316">
        <w:rPr>
          <w:rFonts w:ascii="Georgia" w:hAnsi="Georgia" w:cs="Arial"/>
          <w:sz w:val="22"/>
          <w:lang w:val="es-419"/>
        </w:rPr>
        <w:t>Código Judicial</w:t>
      </w:r>
      <w:r w:rsidR="00C55C73" w:rsidRPr="006C2316">
        <w:rPr>
          <w:rFonts w:ascii="Georgia" w:hAnsi="Georgia" w:cs="Arial"/>
          <w:lang w:val="es-419"/>
        </w:rPr>
        <w:t>)</w:t>
      </w:r>
      <w:r w:rsidRPr="006C2316">
        <w:rPr>
          <w:rFonts w:ascii="Georgia" w:hAnsi="Georgia" w:cs="Arial"/>
          <w:lang w:val="es-419"/>
        </w:rPr>
        <w:t xml:space="preserve">, con el siguiente tenor literal: </w:t>
      </w:r>
      <w:r w:rsidRPr="006C2316">
        <w:rPr>
          <w:rFonts w:ascii="Georgia" w:hAnsi="Georgia" w:cs="Arial"/>
          <w:i/>
          <w:lang w:val="es-419"/>
        </w:rPr>
        <w:t>“</w:t>
      </w:r>
      <w:r w:rsidRPr="006C2316">
        <w:rPr>
          <w:rFonts w:ascii="Georgia" w:hAnsi="Georgia" w:cs="Arial"/>
          <w:i/>
          <w:sz w:val="22"/>
          <w:lang w:val="es-419"/>
        </w:rPr>
        <w:t>Cuando El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Pr="006C2316">
        <w:rPr>
          <w:rFonts w:ascii="Georgia" w:hAnsi="Georgia" w:cs="Arial"/>
          <w:i/>
          <w:lang w:val="es-419"/>
        </w:rPr>
        <w:t>”.</w:t>
      </w:r>
      <w:r w:rsidRPr="006C2316">
        <w:rPr>
          <w:rFonts w:ascii="Georgia" w:hAnsi="Georgia" w:cs="Arial"/>
          <w:lang w:val="es-419"/>
        </w:rPr>
        <w:t xml:space="preserve">  Las semejanzas </w:t>
      </w:r>
      <w:r w:rsidR="00C55C73" w:rsidRPr="006C2316">
        <w:rPr>
          <w:rFonts w:ascii="Georgia" w:hAnsi="Georgia" w:cs="Arial"/>
          <w:lang w:val="es-419"/>
        </w:rPr>
        <w:t xml:space="preserve">se evidencian con una simple </w:t>
      </w:r>
      <w:r w:rsidRPr="006C2316">
        <w:rPr>
          <w:rFonts w:ascii="Georgia" w:hAnsi="Georgia" w:cs="Arial"/>
          <w:lang w:val="es-419"/>
        </w:rPr>
        <w:t>lectura del enunciado.</w:t>
      </w:r>
      <w:r w:rsidR="003E74B8" w:rsidRPr="006C2316">
        <w:rPr>
          <w:rFonts w:ascii="Georgia" w:hAnsi="Georgia" w:cs="Arial"/>
          <w:lang w:val="es-419"/>
        </w:rPr>
        <w:t xml:space="preserve"> </w:t>
      </w:r>
    </w:p>
    <w:p w:rsidR="003E74B8" w:rsidRPr="006C2316" w:rsidRDefault="003E74B8" w:rsidP="006C2316">
      <w:pPr>
        <w:spacing w:line="276" w:lineRule="auto"/>
        <w:jc w:val="both"/>
        <w:rPr>
          <w:rFonts w:ascii="Georgia" w:hAnsi="Georgia" w:cs="Arial"/>
          <w:lang w:val="es-419"/>
        </w:rPr>
      </w:pPr>
    </w:p>
    <w:p w:rsidR="00E206BE" w:rsidRPr="006C2316" w:rsidRDefault="00E206BE" w:rsidP="006C2316">
      <w:pPr>
        <w:spacing w:line="276" w:lineRule="auto"/>
        <w:jc w:val="both"/>
        <w:rPr>
          <w:rFonts w:ascii="Georgia" w:hAnsi="Georgia" w:cs="Arial"/>
          <w:lang w:val="es-419"/>
        </w:rPr>
      </w:pPr>
      <w:r w:rsidRPr="006C2316">
        <w:rPr>
          <w:rFonts w:ascii="Georgia" w:hAnsi="Georgia"/>
          <w:lang w:val="es-419"/>
        </w:rPr>
        <w:t>Y la misma CC en su momento, precisó sobre el desistimiento tácito de la anterior normativa: “</w:t>
      </w:r>
      <w:r w:rsidRPr="006C2316">
        <w:rPr>
          <w:rFonts w:ascii="Georgia" w:hAnsi="Georgia"/>
          <w:i/>
          <w:sz w:val="22"/>
          <w:lang w:val="es-419"/>
        </w:rPr>
        <w:t xml:space="preserve">(…) </w:t>
      </w:r>
      <w:r w:rsidRPr="006C2316">
        <w:rPr>
          <w:rFonts w:ascii="Georgia" w:hAnsi="Georgia" w:cs="Arial"/>
          <w:i/>
          <w:sz w:val="22"/>
          <w:lang w:val="es-419"/>
        </w:rPr>
        <w:t>no es una figura novedosa en tanto ocupa el lugar que antes ocupó la perención como una forma anormal de terminación del proceso, imponible cuando se acredita la inactividad de la parte a cuyas instancias se promovió un trámite o proceso, el cual se paralizó por su causa.”.</w:t>
      </w:r>
      <w:r w:rsidRPr="006C2316">
        <w:rPr>
          <w:rFonts w:ascii="Georgia" w:hAnsi="Georgia" w:cs="Arial"/>
          <w:sz w:val="22"/>
          <w:lang w:val="es-419"/>
        </w:rPr>
        <w:t xml:space="preserve">  </w:t>
      </w:r>
      <w:r w:rsidRPr="006C2316">
        <w:rPr>
          <w:rFonts w:ascii="Georgia" w:hAnsi="Georgia" w:cs="Arial"/>
          <w:lang w:val="es-419"/>
        </w:rPr>
        <w:t>Reforzó el corolario preindicado así:</w:t>
      </w:r>
      <w:r w:rsidRPr="006C2316">
        <w:rPr>
          <w:rFonts w:ascii="Georgia" w:hAnsi="Georgia" w:cs="Arial"/>
          <w:sz w:val="22"/>
          <w:lang w:val="es-419"/>
        </w:rPr>
        <w:t xml:space="preserve"> “</w:t>
      </w:r>
      <w:r w:rsidRPr="006C2316">
        <w:rPr>
          <w:rFonts w:ascii="Georgia" w:hAnsi="Georgia" w:cs="Arial"/>
          <w:i/>
          <w:sz w:val="22"/>
          <w:lang w:val="es-419"/>
        </w:rPr>
        <w:t>El desistimiento tácito guarda algunas similitudes relevantes con la perención. Primero, es una forma de terminación anormal del proceso, la instancia o la actuación (art. 1°, Ley 1194 de 2008); segundo, tiene lugar a consecuencia de la inactividad de una parte (ídem); tercero, opera sin necesidad de que la parte la solicite (ídem); cuarto, está llamada a aplicarse en los procesos civiles y de familia.”.</w:t>
      </w:r>
    </w:p>
    <w:p w:rsidR="00E206BE" w:rsidRPr="006C2316" w:rsidRDefault="00E206BE" w:rsidP="006C2316">
      <w:pPr>
        <w:pStyle w:val="Ttulo2"/>
        <w:spacing w:line="276" w:lineRule="auto"/>
        <w:jc w:val="both"/>
        <w:rPr>
          <w:rFonts w:ascii="Georgia" w:hAnsi="Georgia" w:cs="Arial"/>
          <w:color w:val="auto"/>
          <w:sz w:val="24"/>
          <w:szCs w:val="24"/>
          <w:lang w:val="es-419"/>
        </w:rPr>
      </w:pPr>
    </w:p>
    <w:p w:rsidR="00E206BE" w:rsidRPr="006C2316" w:rsidRDefault="00E206BE" w:rsidP="006C2316">
      <w:pPr>
        <w:pStyle w:val="Ttulo2"/>
        <w:spacing w:line="276" w:lineRule="auto"/>
        <w:jc w:val="both"/>
        <w:rPr>
          <w:rFonts w:ascii="Georgia" w:hAnsi="Georgia" w:cs="Arial"/>
          <w:color w:val="auto"/>
          <w:sz w:val="24"/>
          <w:szCs w:val="24"/>
          <w:lang w:val="es-419"/>
        </w:rPr>
      </w:pPr>
      <w:r w:rsidRPr="006C2316">
        <w:rPr>
          <w:rFonts w:ascii="Georgia" w:hAnsi="Georgia" w:cs="Arial"/>
          <w:color w:val="auto"/>
          <w:sz w:val="24"/>
          <w:szCs w:val="24"/>
          <w:lang w:val="es-419"/>
        </w:rPr>
        <w:t>Al revisar la nueva estructura de la regla del CGP, se advierte que son tres (3) las hipótesis normativas que pueden darse para su aplicación, a saber: (i) En el ordinal primero (317-1º</w:t>
      </w:r>
      <w:r w:rsidR="00152E12" w:rsidRPr="006C2316">
        <w:rPr>
          <w:rFonts w:ascii="Georgia" w:hAnsi="Georgia" w:cs="Arial"/>
          <w:color w:val="auto"/>
          <w:sz w:val="24"/>
          <w:szCs w:val="24"/>
          <w:lang w:val="es-419"/>
        </w:rPr>
        <w:t>)</w:t>
      </w:r>
      <w:r w:rsidRPr="006C2316">
        <w:rPr>
          <w:rFonts w:ascii="Georgia" w:hAnsi="Georgia" w:cs="Arial"/>
          <w:color w:val="auto"/>
          <w:sz w:val="24"/>
          <w:szCs w:val="24"/>
          <w:lang w:val="es-419"/>
        </w:rPr>
        <w:t xml:space="preserve">; (ii) </w:t>
      </w:r>
      <w:r w:rsidR="00152E12" w:rsidRPr="006C2316">
        <w:rPr>
          <w:rFonts w:ascii="Georgia" w:hAnsi="Georgia" w:cs="Arial"/>
          <w:color w:val="auto"/>
          <w:sz w:val="24"/>
          <w:szCs w:val="24"/>
          <w:lang w:val="es-419"/>
        </w:rPr>
        <w:t>E</w:t>
      </w:r>
      <w:r w:rsidRPr="006C2316">
        <w:rPr>
          <w:rFonts w:ascii="Georgia" w:hAnsi="Georgia" w:cs="Arial"/>
          <w:color w:val="auto"/>
          <w:sz w:val="24"/>
          <w:szCs w:val="24"/>
          <w:lang w:val="es-419"/>
        </w:rPr>
        <w:t xml:space="preserve">n el numeral segundo (317-2º); y, (iii) En el literal b) del numeral 2º (317-2º-b).  La primera posibilidad </w:t>
      </w:r>
      <w:r w:rsidR="00152E12" w:rsidRPr="006C2316">
        <w:rPr>
          <w:rFonts w:ascii="Georgia" w:hAnsi="Georgia" w:cs="Arial"/>
          <w:color w:val="auto"/>
          <w:sz w:val="24"/>
          <w:szCs w:val="24"/>
          <w:lang w:val="es-419"/>
        </w:rPr>
        <w:t xml:space="preserve">lo </w:t>
      </w:r>
      <w:r w:rsidRPr="006C2316">
        <w:rPr>
          <w:rFonts w:ascii="Georgia" w:hAnsi="Georgia" w:cs="Arial"/>
          <w:color w:val="auto"/>
          <w:sz w:val="24"/>
          <w:szCs w:val="24"/>
          <w:lang w:val="es-419"/>
        </w:rPr>
        <w:t>contempla en su versión primigenia (</w:t>
      </w:r>
      <w:r w:rsidRPr="006C2316">
        <w:rPr>
          <w:rFonts w:ascii="Georgia" w:hAnsi="Georgia" w:cs="Arial"/>
          <w:color w:val="auto"/>
          <w:sz w:val="22"/>
          <w:szCs w:val="24"/>
          <w:lang w:val="es-419"/>
        </w:rPr>
        <w:t>Ley 1194</w:t>
      </w:r>
      <w:r w:rsidRPr="006C2316">
        <w:rPr>
          <w:rFonts w:ascii="Georgia" w:hAnsi="Georgia" w:cs="Arial"/>
          <w:color w:val="auto"/>
          <w:sz w:val="24"/>
          <w:szCs w:val="24"/>
          <w:lang w:val="es-419"/>
        </w:rPr>
        <w:t>), mientras que las otras corresponden a la antigua perención, pero ahora, por virtud del legislador procesal, quedan refundidas todas en el instituto del “</w:t>
      </w:r>
      <w:r w:rsidRPr="006C2316">
        <w:rPr>
          <w:rFonts w:ascii="Georgia" w:hAnsi="Georgia" w:cs="Arial"/>
          <w:i/>
          <w:color w:val="auto"/>
          <w:sz w:val="24"/>
          <w:szCs w:val="24"/>
          <w:lang w:val="es-419"/>
        </w:rPr>
        <w:t>desistimiento tácito</w:t>
      </w:r>
      <w:r w:rsidRPr="006C2316">
        <w:rPr>
          <w:rFonts w:ascii="Georgia" w:hAnsi="Georgia" w:cs="Arial"/>
          <w:color w:val="auto"/>
          <w:sz w:val="24"/>
          <w:szCs w:val="24"/>
          <w:lang w:val="es-419"/>
        </w:rPr>
        <w:t>”; subyace entonces, que esa “integración” de las dos figuras, no es extraña, atendidas las similitudes ya resaltadas.</w:t>
      </w:r>
    </w:p>
    <w:p w:rsidR="00E206BE" w:rsidRPr="006C2316" w:rsidRDefault="00E206BE" w:rsidP="006C2316">
      <w:pPr>
        <w:spacing w:line="276" w:lineRule="auto"/>
        <w:jc w:val="both"/>
        <w:rPr>
          <w:rFonts w:ascii="Georgia" w:hAnsi="Georgia" w:cs="Arial"/>
          <w:lang w:val="es-419"/>
        </w:rPr>
      </w:pPr>
    </w:p>
    <w:p w:rsidR="005C0C89" w:rsidRPr="006C2316" w:rsidRDefault="00E206BE" w:rsidP="006C2316">
      <w:pPr>
        <w:spacing w:line="276" w:lineRule="auto"/>
        <w:jc w:val="both"/>
        <w:rPr>
          <w:rFonts w:ascii="Georgia" w:hAnsi="Georgia" w:cs="Arial"/>
          <w:lang w:val="es-419"/>
        </w:rPr>
      </w:pPr>
      <w:r w:rsidRPr="006C2316">
        <w:rPr>
          <w:rFonts w:ascii="Georgia" w:hAnsi="Georgia" w:cs="Arial"/>
          <w:lang w:val="es-419"/>
        </w:rPr>
        <w:t>Por esos elementos comunes, también es razonable aplicar las legítimas finalidades adjudicadas a la figura en el pasado, pues el análisis se hizo sobre supuestos semejantes; se explicaron en los términos siguientes: (i) Evita la paralización del aparato jurisdiccional; (ii)</w:t>
      </w:r>
      <w:r w:rsidRPr="006C2316">
        <w:rPr>
          <w:rFonts w:ascii="Georgia" w:hAnsi="Georgia" w:cs="Arial"/>
          <w:b/>
          <w:lang w:val="es-419"/>
        </w:rPr>
        <w:t xml:space="preserve"> </w:t>
      </w:r>
      <w:r w:rsidRPr="006C2316">
        <w:rPr>
          <w:rFonts w:ascii="Georgia" w:hAnsi="Georgia" w:cs="Arial"/>
          <w:lang w:val="es-419"/>
        </w:rPr>
        <w:t>Permite la efectividad de los derechos de quienes participan en la administración de justicia; y (iii) Promueve la certeza jurídica de quienes actúan como partes en los procesos, entre otros efectos constitucionalmente valiosos</w:t>
      </w:r>
      <w:r w:rsidRPr="006C2316">
        <w:rPr>
          <w:rFonts w:ascii="Georgia" w:hAnsi="Georgia" w:cs="Arial"/>
          <w:vertAlign w:val="superscript"/>
          <w:lang w:val="es-419"/>
        </w:rPr>
        <w:footnoteReference w:id="14"/>
      </w:r>
      <w:r w:rsidRPr="006C2316">
        <w:rPr>
          <w:rFonts w:ascii="Georgia" w:hAnsi="Georgia" w:cs="Arial"/>
          <w:lang w:val="es-419"/>
        </w:rPr>
        <w:t>, por eso las limitaciones de los derechos fundamentales que resultan de la regulación acusada, no son desproporcionadas.</w:t>
      </w:r>
      <w:r w:rsidR="004D1311" w:rsidRPr="006C2316">
        <w:rPr>
          <w:rFonts w:ascii="Georgia" w:hAnsi="Georgia" w:cs="Arial"/>
          <w:lang w:val="es-419"/>
        </w:rPr>
        <w:t xml:space="preserve"> </w:t>
      </w:r>
    </w:p>
    <w:p w:rsidR="005C0C89" w:rsidRPr="006C2316" w:rsidRDefault="005C0C89" w:rsidP="006C2316">
      <w:pPr>
        <w:spacing w:line="276" w:lineRule="auto"/>
        <w:jc w:val="both"/>
        <w:rPr>
          <w:rFonts w:ascii="Georgia" w:hAnsi="Georgia" w:cs="Arial"/>
          <w:lang w:val="es-419"/>
        </w:rPr>
      </w:pPr>
    </w:p>
    <w:p w:rsidR="00E206BE" w:rsidRPr="006C2316" w:rsidRDefault="004D1311" w:rsidP="006C2316">
      <w:pPr>
        <w:spacing w:line="276" w:lineRule="auto"/>
        <w:jc w:val="both"/>
        <w:rPr>
          <w:rFonts w:ascii="Georgia" w:hAnsi="Georgia" w:cs="Arial"/>
          <w:lang w:val="es-419"/>
        </w:rPr>
      </w:pPr>
      <w:r w:rsidRPr="006C2316">
        <w:rPr>
          <w:rFonts w:ascii="Georgia" w:hAnsi="Georgia" w:cs="Arial"/>
          <w:lang w:val="es-419"/>
        </w:rPr>
        <w:t>Y lo re</w:t>
      </w:r>
      <w:r w:rsidR="00CE2317" w:rsidRPr="006C2316">
        <w:rPr>
          <w:rFonts w:ascii="Georgia" w:hAnsi="Georgia" w:cs="Arial"/>
          <w:lang w:val="es-419"/>
        </w:rPr>
        <w:t>iteró</w:t>
      </w:r>
      <w:r w:rsidRPr="006C2316">
        <w:rPr>
          <w:rFonts w:ascii="Georgia" w:hAnsi="Georgia" w:cs="Arial"/>
          <w:lang w:val="es-419"/>
        </w:rPr>
        <w:t xml:space="preserve"> </w:t>
      </w:r>
      <w:r w:rsidR="00E53F5B" w:rsidRPr="006C2316">
        <w:rPr>
          <w:rFonts w:ascii="Georgia" w:hAnsi="Georgia" w:cs="Arial"/>
          <w:lang w:val="es-419"/>
        </w:rPr>
        <w:t xml:space="preserve">la </w:t>
      </w:r>
      <w:r w:rsidR="00CE2317" w:rsidRPr="006C2316">
        <w:rPr>
          <w:rFonts w:ascii="Georgia" w:hAnsi="Georgia" w:cs="Arial"/>
          <w:lang w:val="es-419"/>
        </w:rPr>
        <w:t>Alta Colegiatura</w:t>
      </w:r>
      <w:r w:rsidR="00E53F5B" w:rsidRPr="006C2316">
        <w:rPr>
          <w:rStyle w:val="Refdenotaalpie"/>
          <w:rFonts w:ascii="Georgia" w:hAnsi="Georgia"/>
          <w:lang w:val="es-419"/>
        </w:rPr>
        <w:footnoteReference w:id="15"/>
      </w:r>
      <w:r w:rsidR="00E53F5B" w:rsidRPr="006C2316">
        <w:rPr>
          <w:rFonts w:ascii="Georgia" w:hAnsi="Georgia" w:cs="Arial"/>
          <w:lang w:val="es-419"/>
        </w:rPr>
        <w:t xml:space="preserve"> </w:t>
      </w:r>
      <w:r w:rsidRPr="006C2316">
        <w:rPr>
          <w:rFonts w:ascii="Georgia" w:hAnsi="Georgia" w:cs="Arial"/>
          <w:lang w:val="es-419"/>
        </w:rPr>
        <w:t>en reciente sentencia (2019), al revisar los efectos sancionatorios de extinción del derecho, cuando se imponga por segunda ocasión.</w:t>
      </w:r>
      <w:r w:rsidR="005C0C89" w:rsidRPr="006C2316">
        <w:rPr>
          <w:rFonts w:ascii="Georgia" w:hAnsi="Georgia" w:cs="Arial"/>
          <w:lang w:val="es-419"/>
        </w:rPr>
        <w:t xml:space="preserve"> Dijo en esta ocasión: “</w:t>
      </w:r>
      <w:r w:rsidR="005C0C89" w:rsidRPr="006C2316">
        <w:rPr>
          <w:rFonts w:ascii="Georgia" w:hAnsi="Georgia"/>
          <w:i/>
          <w:sz w:val="22"/>
          <w:szCs w:val="28"/>
          <w:lang w:val="es-419"/>
        </w:rPr>
        <w:t>La imposición de este tipo de cargas a los usuarios del aparato judicial no vulnera su derecho de acceso a la administración de justicia. Este derecho, como todos los demás, no es absoluto y, por ende, puede ser limitado por el Legislador; para el caso, con la imposición de unas cargas mínimas de diligencia en cabeza de quien activa el aparato judicial, las cuales, para la Sala, se traducen en deberes correlativos al derecho de acceder al sistema de justicia.</w:t>
      </w:r>
      <w:r w:rsidR="005C0C89" w:rsidRPr="006C2316">
        <w:rPr>
          <w:sz w:val="28"/>
          <w:szCs w:val="28"/>
          <w:lang w:val="es-419"/>
        </w:rPr>
        <w:t>”.</w:t>
      </w:r>
    </w:p>
    <w:p w:rsidR="00E206BE" w:rsidRPr="006C2316" w:rsidRDefault="00E206BE" w:rsidP="006C2316">
      <w:pPr>
        <w:spacing w:line="276" w:lineRule="auto"/>
        <w:jc w:val="both"/>
        <w:rPr>
          <w:rFonts w:ascii="Georgia" w:hAnsi="Georgia" w:cs="Arial"/>
          <w:lang w:val="es-419"/>
        </w:rPr>
      </w:pPr>
    </w:p>
    <w:p w:rsidR="00E206BE" w:rsidRPr="006C2316" w:rsidRDefault="00E206BE" w:rsidP="006C2316">
      <w:pPr>
        <w:spacing w:line="276" w:lineRule="auto"/>
        <w:jc w:val="both"/>
        <w:rPr>
          <w:rFonts w:ascii="Georgia" w:hAnsi="Georgia" w:cs="Arial"/>
          <w:lang w:val="es-419"/>
        </w:rPr>
      </w:pPr>
      <w:r w:rsidRPr="006C2316">
        <w:rPr>
          <w:rFonts w:ascii="Georgia" w:hAnsi="Georgia" w:cs="Arial"/>
          <w:lang w:val="es-419"/>
        </w:rPr>
        <w:t>A ninguna duda se remite que las últimas reformas procesales y en especial el CGP anhelan que los litigios tengan un plazo razonable para su resolución (</w:t>
      </w:r>
      <w:r w:rsidRPr="006C2316">
        <w:rPr>
          <w:rFonts w:ascii="Georgia" w:hAnsi="Georgia" w:cs="Arial"/>
          <w:sz w:val="22"/>
          <w:lang w:val="es-419"/>
        </w:rPr>
        <w:t>Artículo 121</w:t>
      </w:r>
      <w:r w:rsidR="00E53F5B" w:rsidRPr="006C2316">
        <w:rPr>
          <w:rFonts w:ascii="Georgia" w:hAnsi="Georgia" w:cs="Arial"/>
          <w:sz w:val="22"/>
          <w:lang w:val="es-419"/>
        </w:rPr>
        <w:t>, CGP</w:t>
      </w:r>
      <w:r w:rsidRPr="006C2316">
        <w:rPr>
          <w:rFonts w:ascii="Georgia" w:hAnsi="Georgia" w:cs="Arial"/>
          <w:lang w:val="es-419"/>
        </w:rPr>
        <w:t>) en el marco del principio de celeridad, prescrito por el artículo 4º de la Ley Estatutaria de la Administración de Justicia, al que debe sumarse el derecho a la tutela judicial efectiva (</w:t>
      </w:r>
      <w:r w:rsidRPr="006C2316">
        <w:rPr>
          <w:rFonts w:ascii="Georgia" w:hAnsi="Georgia" w:cs="Arial"/>
          <w:sz w:val="22"/>
          <w:lang w:val="es-419"/>
        </w:rPr>
        <w:t>Artículo 2º, CGP</w:t>
      </w:r>
      <w:r w:rsidRPr="006C2316">
        <w:rPr>
          <w:rFonts w:ascii="Georgia" w:hAnsi="Georgia" w:cs="Arial"/>
          <w:lang w:val="es-419"/>
        </w:rPr>
        <w:t>).</w:t>
      </w:r>
    </w:p>
    <w:p w:rsidR="00E206BE" w:rsidRPr="006C2316" w:rsidRDefault="00E206BE" w:rsidP="006C2316">
      <w:pPr>
        <w:spacing w:line="276" w:lineRule="auto"/>
        <w:jc w:val="both"/>
        <w:rPr>
          <w:rFonts w:ascii="Georgia" w:hAnsi="Georgia" w:cs="Arial"/>
          <w:lang w:val="es-419"/>
        </w:rPr>
      </w:pPr>
    </w:p>
    <w:p w:rsidR="00E206BE" w:rsidRPr="006C2316" w:rsidRDefault="00E206BE" w:rsidP="006C2316">
      <w:pPr>
        <w:spacing w:line="276" w:lineRule="auto"/>
        <w:jc w:val="both"/>
        <w:rPr>
          <w:rFonts w:ascii="Georgia" w:hAnsi="Georgia" w:cs="Arial"/>
          <w:lang w:val="es-419"/>
        </w:rPr>
      </w:pPr>
      <w:r w:rsidRPr="006C2316">
        <w:rPr>
          <w:rFonts w:ascii="Georgia" w:hAnsi="Georgia" w:cs="Arial"/>
          <w:lang w:val="es-419"/>
        </w:rPr>
        <w:t>Ahora, muy importante en el condigno ejercicio hermenéutico, es considerar que como se está en presencia de sanciones procesales, su aplicación ha de ser restringida, tal como dispone de antaño el artículo la Ley 153 de 1887, con reconocimiento de la justicia ordinaria</w:t>
      </w:r>
      <w:r w:rsidRPr="006C2316">
        <w:rPr>
          <w:rStyle w:val="Refdenotaalpie"/>
          <w:rFonts w:ascii="Georgia" w:hAnsi="Georgia"/>
          <w:lang w:val="es-419"/>
        </w:rPr>
        <w:footnoteReference w:id="16"/>
      </w:r>
      <w:r w:rsidRPr="006C2316">
        <w:rPr>
          <w:rFonts w:ascii="Georgia" w:hAnsi="Georgia" w:cs="Arial"/>
          <w:lang w:val="es-419"/>
        </w:rPr>
        <w:t xml:space="preserve"> y la constitucional del órgano de cierre</w:t>
      </w:r>
      <w:r w:rsidRPr="006C2316">
        <w:rPr>
          <w:rStyle w:val="Refdenotaalpie"/>
          <w:rFonts w:ascii="Georgia" w:hAnsi="Georgia"/>
          <w:lang w:val="es-419"/>
        </w:rPr>
        <w:footnoteReference w:id="17"/>
      </w:r>
      <w:r w:rsidRPr="006C2316">
        <w:rPr>
          <w:rFonts w:ascii="Georgia" w:hAnsi="Georgia" w:cs="Arial"/>
          <w:lang w:val="es-419"/>
        </w:rPr>
        <w:t>, así:</w:t>
      </w:r>
    </w:p>
    <w:p w:rsidR="00E206BE" w:rsidRPr="006C2316" w:rsidRDefault="00E206BE" w:rsidP="006C2316">
      <w:pPr>
        <w:spacing w:line="276" w:lineRule="auto"/>
        <w:ind w:left="567"/>
        <w:jc w:val="both"/>
        <w:rPr>
          <w:rFonts w:ascii="Georgia" w:hAnsi="Georgia" w:cs="Arial"/>
          <w:sz w:val="28"/>
          <w:szCs w:val="28"/>
          <w:shd w:val="clear" w:color="auto" w:fill="FFFFFF"/>
          <w:lang w:val="es-419"/>
        </w:rPr>
      </w:pPr>
    </w:p>
    <w:p w:rsidR="00E206BE" w:rsidRPr="0030485B" w:rsidRDefault="00E206BE" w:rsidP="0030485B">
      <w:pPr>
        <w:ind w:left="426" w:right="420"/>
        <w:jc w:val="both"/>
        <w:rPr>
          <w:rFonts w:ascii="Georgia" w:hAnsi="Georgia" w:cs="Arial"/>
          <w:sz w:val="22"/>
          <w:lang w:val="es-419"/>
        </w:rPr>
      </w:pPr>
      <w:r w:rsidRPr="0030485B">
        <w:rPr>
          <w:rFonts w:ascii="Georgia" w:hAnsi="Georgia" w:cs="Arial"/>
          <w:sz w:val="22"/>
          <w:szCs w:val="28"/>
          <w:shd w:val="clear" w:color="auto" w:fill="FFFFFF"/>
          <w:lang w:val="es-419"/>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30485B">
        <w:rPr>
          <w:rFonts w:ascii="Georgia" w:hAnsi="Georgia" w:cs="Arial"/>
          <w:sz w:val="22"/>
          <w:szCs w:val="28"/>
          <w:u w:val="single"/>
          <w:shd w:val="clear" w:color="auto" w:fill="FFFFFF"/>
          <w:lang w:val="es-419"/>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30485B">
        <w:rPr>
          <w:rFonts w:ascii="Georgia" w:hAnsi="Georgia" w:cs="Arial"/>
          <w:sz w:val="22"/>
          <w:szCs w:val="28"/>
          <w:shd w:val="clear" w:color="auto" w:fill="FFFFFF"/>
          <w:lang w:val="es-419"/>
        </w:rPr>
        <w:t>.  Sublínea ajena al original.</w:t>
      </w:r>
    </w:p>
    <w:p w:rsidR="00E206BE" w:rsidRPr="006C2316" w:rsidRDefault="00E206BE" w:rsidP="006C2316">
      <w:pPr>
        <w:pStyle w:val="Sinespaciado"/>
        <w:spacing w:line="276" w:lineRule="auto"/>
        <w:jc w:val="both"/>
        <w:rPr>
          <w:rFonts w:ascii="Georgia" w:hAnsi="Georgia" w:cs="Arial"/>
          <w:sz w:val="28"/>
          <w:lang w:val="es-419"/>
        </w:rPr>
      </w:pPr>
    </w:p>
    <w:p w:rsidR="00E206BE" w:rsidRPr="006C2316" w:rsidRDefault="00E206BE" w:rsidP="006C2316">
      <w:pPr>
        <w:pStyle w:val="Textoindependiente"/>
        <w:spacing w:line="276" w:lineRule="auto"/>
        <w:ind w:right="51"/>
        <w:rPr>
          <w:rFonts w:ascii="Georgia" w:hAnsi="Georgia" w:cs="Arial"/>
          <w:sz w:val="24"/>
          <w:szCs w:val="24"/>
          <w:lang w:val="es-419"/>
        </w:rPr>
      </w:pPr>
      <w:r w:rsidRPr="006C2316">
        <w:rPr>
          <w:rFonts w:ascii="Georgia" w:hAnsi="Georgia" w:cs="Arial"/>
          <w:sz w:val="24"/>
          <w:szCs w:val="24"/>
          <w:lang w:val="es-419"/>
        </w:rPr>
        <w:t xml:space="preserve">Así, para que la afectación generada con el desistimiento no sea inesperada, previamente la parte debe ser advertida por el juez, quien con </w:t>
      </w:r>
      <w:r w:rsidRPr="006C2316">
        <w:rPr>
          <w:rFonts w:ascii="Georgia" w:hAnsi="Georgia" w:cs="Arial"/>
          <w:sz w:val="24"/>
          <w:szCs w:val="24"/>
          <w:u w:val="single"/>
          <w:lang w:val="es-419"/>
        </w:rPr>
        <w:t>claridad determinará la actuación encomendada</w:t>
      </w:r>
      <w:r w:rsidRPr="006C2316">
        <w:rPr>
          <w:rFonts w:ascii="Georgia" w:hAnsi="Georgia" w:cs="Arial"/>
          <w:sz w:val="24"/>
          <w:szCs w:val="24"/>
          <w:lang w:val="es-419"/>
        </w:rPr>
        <w:t xml:space="preserve"> y otorgará el término legal para ejecutarla (Artículo 317-1º, CGP). De tiempo atrás tiene dicho el alto Tribunal Constitucional</w:t>
      </w:r>
      <w:r w:rsidRPr="006C2316">
        <w:rPr>
          <w:rFonts w:ascii="Georgia" w:hAnsi="Georgia"/>
          <w:sz w:val="24"/>
          <w:szCs w:val="24"/>
          <w:vertAlign w:val="superscript"/>
          <w:lang w:val="es-419"/>
        </w:rPr>
        <w:footnoteReference w:id="18"/>
      </w:r>
      <w:r w:rsidRPr="006C2316">
        <w:rPr>
          <w:rFonts w:ascii="Georgia" w:hAnsi="Georgia" w:cs="Arial"/>
          <w:sz w:val="24"/>
          <w:szCs w:val="24"/>
          <w:lang w:val="es-419"/>
        </w:rPr>
        <w:t>:</w:t>
      </w:r>
    </w:p>
    <w:p w:rsidR="00E206BE" w:rsidRPr="006C2316" w:rsidRDefault="00E206BE" w:rsidP="006C2316">
      <w:pPr>
        <w:pStyle w:val="Textoindependiente"/>
        <w:spacing w:line="276" w:lineRule="auto"/>
        <w:ind w:right="51"/>
        <w:rPr>
          <w:rFonts w:ascii="Georgia" w:hAnsi="Georgia" w:cs="Arial"/>
          <w:sz w:val="24"/>
          <w:szCs w:val="24"/>
          <w:lang w:val="es-419"/>
        </w:rPr>
      </w:pPr>
    </w:p>
    <w:p w:rsidR="00E206BE" w:rsidRPr="0030485B" w:rsidRDefault="00E206BE" w:rsidP="0030485B">
      <w:pPr>
        <w:pStyle w:val="Textoindependiente"/>
        <w:ind w:left="426" w:right="420"/>
        <w:rPr>
          <w:rFonts w:ascii="Georgia" w:hAnsi="Georgia" w:cs="Arial"/>
          <w:szCs w:val="24"/>
          <w:lang w:val="es-419"/>
        </w:rPr>
      </w:pPr>
      <w:r w:rsidRPr="0030485B">
        <w:rPr>
          <w:rFonts w:ascii="Georgia" w:hAnsi="Georgia" w:cs="Arial"/>
          <w:szCs w:val="24"/>
          <w:lang w:val="es-419"/>
        </w:rPr>
        <w:t xml:space="preserve">… la afectación que se produce con el desistimiento tácito no es súbita, ni sorpresiva para el futuro afectado. Este es advertido previamente por el juez de su deber de colaborar con el buen funcionamiento de la administración de justicia. </w:t>
      </w:r>
      <w:r w:rsidRPr="0030485B">
        <w:rPr>
          <w:rFonts w:ascii="Georgia" w:hAnsi="Georgia" w:cs="Arial"/>
          <w:szCs w:val="24"/>
          <w:u w:val="single"/>
          <w:lang w:val="es-419"/>
        </w:rPr>
        <w:t>Además recibe de parte del juez una orden específica sobre lo que le incumbe hacer procesalmente dentro de un plazo claro previamente determinado.</w:t>
      </w:r>
      <w:r w:rsidRPr="0030485B">
        <w:rPr>
          <w:rFonts w:ascii="Georgia" w:hAnsi="Georgia" w:cs="Arial"/>
          <w:szCs w:val="24"/>
          <w:lang w:val="es-419"/>
        </w:rPr>
        <w:t xml:space="preserve"> De ésta forma, la carga procesal </w:t>
      </w:r>
      <w:r w:rsidRPr="0030485B">
        <w:rPr>
          <w:rFonts w:ascii="Georgia" w:hAnsi="Georgia" w:cs="Arial"/>
          <w:b/>
          <w:szCs w:val="24"/>
          <w:lang w:val="es-419"/>
        </w:rPr>
        <w:t xml:space="preserve">(i) </w:t>
      </w:r>
      <w:r w:rsidRPr="0030485B">
        <w:rPr>
          <w:rFonts w:ascii="Georgia" w:hAnsi="Georgia" w:cs="Arial"/>
          <w:szCs w:val="24"/>
          <w:lang w:val="es-419"/>
        </w:rPr>
        <w:t>recae sobre el presunto interesado en seguir adelante con la actuación;</w:t>
      </w:r>
      <w:r w:rsidRPr="0030485B">
        <w:rPr>
          <w:rFonts w:ascii="Georgia" w:hAnsi="Georgia" w:cs="Arial"/>
          <w:szCs w:val="24"/>
          <w:vertAlign w:val="superscript"/>
          <w:lang w:val="es-419"/>
        </w:rPr>
        <w:footnoteReference w:id="19"/>
      </w:r>
      <w:r w:rsidRPr="0030485B">
        <w:rPr>
          <w:rFonts w:ascii="Georgia" w:hAnsi="Georgia" w:cs="Arial"/>
          <w:szCs w:val="24"/>
          <w:lang w:val="es-419"/>
        </w:rPr>
        <w:t xml:space="preserve"> </w:t>
      </w:r>
      <w:r w:rsidRPr="0030485B">
        <w:rPr>
          <w:rFonts w:ascii="Georgia" w:hAnsi="Georgia" w:cs="Arial"/>
          <w:b/>
          <w:szCs w:val="24"/>
          <w:lang w:val="es-419"/>
        </w:rPr>
        <w:t xml:space="preserve">(ii) </w:t>
      </w:r>
      <w:r w:rsidRPr="0030485B">
        <w:rPr>
          <w:rFonts w:ascii="Georgia" w:hAnsi="Georgia" w:cs="Arial"/>
          <w:szCs w:val="24"/>
          <w:lang w:val="es-419"/>
        </w:rPr>
        <w:t xml:space="preserve">se advierte cuando hay omisiones o conductas que impidan garantizar la diligente observancia de los términos; </w:t>
      </w:r>
      <w:r w:rsidRPr="0030485B">
        <w:rPr>
          <w:rFonts w:ascii="Georgia" w:hAnsi="Georgia" w:cs="Arial"/>
          <w:b/>
          <w:szCs w:val="24"/>
          <w:lang w:val="es-419"/>
        </w:rPr>
        <w:t xml:space="preserve">(iii) </w:t>
      </w:r>
      <w:r w:rsidR="004F1D47" w:rsidRPr="0030485B">
        <w:rPr>
          <w:rFonts w:ascii="Georgia" w:hAnsi="Georgia" w:cs="Arial"/>
          <w:szCs w:val="24"/>
          <w:lang w:val="es-419"/>
        </w:rPr>
        <w:t>se debe cumplir dentro de un término de treinta (30) días hábiles, tiempo amplio y suficiente para desplegar una actividad en la cual la parte se encuentra interesada</w:t>
      </w:r>
      <w:r w:rsidRPr="0030485B">
        <w:rPr>
          <w:rFonts w:ascii="Georgia" w:hAnsi="Georgia" w:cs="Arial"/>
          <w:szCs w:val="24"/>
          <w:lang w:val="es-419"/>
        </w:rPr>
        <w:t xml:space="preserve">. Además, </w:t>
      </w:r>
      <w:r w:rsidRPr="0030485B">
        <w:rPr>
          <w:rFonts w:ascii="Georgia" w:hAnsi="Georgia" w:cs="Arial"/>
          <w:b/>
          <w:szCs w:val="24"/>
          <w:lang w:val="es-419"/>
        </w:rPr>
        <w:t xml:space="preserve">(iv) </w:t>
      </w:r>
      <w:r w:rsidRPr="0030485B">
        <w:rPr>
          <w:rFonts w:ascii="Georgia" w:hAnsi="Georgia" w:cs="Arial"/>
          <w:szCs w:val="24"/>
          <w:lang w:val="es-419"/>
        </w:rPr>
        <w:t>la persona a la que se le impone la carga es advertida de la imposición de la misma y de las consecuencias de su incumplimiento...</w:t>
      </w:r>
    </w:p>
    <w:p w:rsidR="00E206BE" w:rsidRPr="0030485B" w:rsidRDefault="00E206BE" w:rsidP="006C2316">
      <w:pPr>
        <w:pStyle w:val="Sinespaciado"/>
        <w:spacing w:line="276" w:lineRule="auto"/>
        <w:jc w:val="both"/>
        <w:rPr>
          <w:rFonts w:ascii="Georgia" w:hAnsi="Georgia" w:cs="Arial"/>
          <w:sz w:val="24"/>
          <w:lang w:val="es-419"/>
        </w:rPr>
      </w:pPr>
    </w:p>
    <w:p w:rsidR="00E206BE" w:rsidRDefault="00E206BE"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t>De otro lado, en forma expresa, se estipula en las subreglas para la aplicación de esta forma de terminación anormal (Literales de la a) a la h), del artículo 317), que cuando se trate de incapaces sin apoderado judicial, es improcedente</w:t>
      </w:r>
      <w:r w:rsidRPr="006C2316">
        <w:rPr>
          <w:rStyle w:val="Refdenotaalpie"/>
          <w:rFonts w:ascii="Georgia" w:hAnsi="Georgia"/>
          <w:lang w:val="es-419"/>
        </w:rPr>
        <w:footnoteReference w:id="20"/>
      </w:r>
      <w:r w:rsidRPr="006C2316">
        <w:rPr>
          <w:rFonts w:ascii="Georgia" w:hAnsi="Georgia" w:cs="Arial"/>
          <w:sz w:val="24"/>
          <w:lang w:val="es-419"/>
        </w:rPr>
        <w:t>; y en parecer de este Despacho, deben añadirse aquellas situaciones de fuerza mayor, debidamente alegadas y probadas, ante el operador judicial, ya prohijadas por la Alta Magistratura Constitucional, al revisar la norma anterior</w:t>
      </w:r>
      <w:r w:rsidRPr="006C2316">
        <w:rPr>
          <w:rStyle w:val="Refdenotaalpie"/>
          <w:rFonts w:ascii="Georgia" w:hAnsi="Georgia"/>
          <w:lang w:val="es-419"/>
        </w:rPr>
        <w:footnoteReference w:id="21"/>
      </w:r>
      <w:r w:rsidRPr="006C2316">
        <w:rPr>
          <w:rFonts w:ascii="Georgia" w:hAnsi="Georgia" w:cs="Arial"/>
          <w:sz w:val="24"/>
          <w:lang w:val="es-419"/>
        </w:rPr>
        <w:t>; refiriéndose la citada colegiatura a que la parte se encuentre en imposibilidad de cumplir oportunamente con la carga procesal requerida por el Juez, esto es, encontrándose en situación de fuerza mayor, anota:</w:t>
      </w:r>
    </w:p>
    <w:p w:rsidR="0030485B" w:rsidRPr="006C2316" w:rsidRDefault="0030485B" w:rsidP="006C2316">
      <w:pPr>
        <w:pStyle w:val="Sinespaciado"/>
        <w:spacing w:line="276" w:lineRule="auto"/>
        <w:jc w:val="both"/>
        <w:rPr>
          <w:rFonts w:ascii="Georgia" w:hAnsi="Georgia" w:cs="Arial"/>
          <w:sz w:val="24"/>
          <w:lang w:val="es-419"/>
        </w:rPr>
      </w:pPr>
    </w:p>
    <w:p w:rsidR="00E206BE" w:rsidRPr="0030485B" w:rsidRDefault="00E206BE" w:rsidP="0030485B">
      <w:pPr>
        <w:pStyle w:val="Sinespaciado"/>
        <w:ind w:left="426" w:right="420"/>
        <w:jc w:val="both"/>
        <w:rPr>
          <w:rFonts w:ascii="Georgia" w:hAnsi="Georgia" w:cs="Arial"/>
          <w:lang w:val="es-419"/>
        </w:rPr>
      </w:pPr>
      <w:r w:rsidRPr="0030485B">
        <w:rPr>
          <w:rFonts w:ascii="Georgia" w:hAnsi="Georgia" w:cs="Arial"/>
          <w:lang w:val="es-419"/>
        </w:rPr>
        <w:t xml:space="preserve">Así las cosas, aun cuando en una situación de conflicto armado irregular o de violencia localizada, ciertas personalidades o grupos poblacionales se encuentren en una situación de especial vulnerabilidad frente a conductas como </w:t>
      </w:r>
      <w:r w:rsidRPr="0030485B">
        <w:rPr>
          <w:rFonts w:ascii="Georgia" w:hAnsi="Georgia" w:cs="Arial"/>
          <w:u w:val="single"/>
          <w:lang w:val="es-419"/>
        </w:rPr>
        <w:t>el secuestro, la desaparición forzada, la toma de rehenes y el desplazamiento forzado,</w:t>
      </w:r>
      <w:r w:rsidRPr="0030485B">
        <w:rPr>
          <w:rFonts w:ascii="Georgia" w:hAnsi="Georgia" w:cs="Arial"/>
          <w:lang w:val="es-419"/>
        </w:rPr>
        <w:t xml:space="preserve"> no por eso dejan de estar sometidos a una fuerza que deviene irresistible e imprevisible. En esa medida, éstos serían claros ejemplos de personas sometidas a una fuerza mayor, tal como lo ha indicado la jurisprudencia de la Corte Constitucional.</w:t>
      </w:r>
    </w:p>
    <w:p w:rsidR="00E206BE" w:rsidRPr="0030485B" w:rsidRDefault="00E206BE" w:rsidP="0030485B">
      <w:pPr>
        <w:pStyle w:val="Sinespaciado"/>
        <w:ind w:left="426" w:right="420"/>
        <w:jc w:val="both"/>
        <w:rPr>
          <w:rFonts w:ascii="Georgia" w:hAnsi="Georgia" w:cs="Arial"/>
          <w:lang w:val="es-419"/>
        </w:rPr>
      </w:pPr>
    </w:p>
    <w:p w:rsidR="00E206BE" w:rsidRPr="0030485B" w:rsidRDefault="00E206BE" w:rsidP="0030485B">
      <w:pPr>
        <w:pStyle w:val="Sinespaciado"/>
        <w:ind w:left="426" w:right="420"/>
        <w:jc w:val="both"/>
        <w:rPr>
          <w:rFonts w:ascii="Georgia" w:hAnsi="Georgia" w:cs="Arial"/>
          <w:sz w:val="20"/>
          <w:lang w:val="es-419"/>
        </w:rPr>
      </w:pPr>
      <w:r w:rsidRPr="0030485B">
        <w:rPr>
          <w:rFonts w:ascii="Georgia" w:hAnsi="Georgia" w:cs="Arial"/>
          <w:lang w:val="es-419"/>
        </w:rPr>
        <w:t>Por consiguiente, en los casos de fuerza mayor valorada por el juez, ni sería razonable interpretar que la persona ha desistido tácitamente de su pretensión o solicitud, ni sería ajustado a la realidad estimar que la persona ha cometido un comportamiento desleal o dilatorio de los términos a sabiendas, que merezca ser sancionado. Tampoco se le puede exigir que mientras está sometido a una fuerza que es irresistible e imprevisible, cumpla con una carga procesal que le es imposible realizar por razones ajenas a su voluntad.</w:t>
      </w:r>
    </w:p>
    <w:p w:rsidR="00E206BE" w:rsidRPr="006C2316" w:rsidRDefault="00E206BE" w:rsidP="006C2316">
      <w:pPr>
        <w:pStyle w:val="Sinespaciado"/>
        <w:spacing w:line="276" w:lineRule="auto"/>
        <w:jc w:val="both"/>
        <w:rPr>
          <w:rFonts w:ascii="Georgia" w:hAnsi="Georgia" w:cs="Arial"/>
          <w:sz w:val="28"/>
          <w:lang w:val="es-419"/>
        </w:rPr>
      </w:pPr>
    </w:p>
    <w:p w:rsidR="00E206BE" w:rsidRPr="006C2316" w:rsidRDefault="00CC0183" w:rsidP="006C2316">
      <w:pPr>
        <w:pStyle w:val="Sinespaciado"/>
        <w:spacing w:line="276" w:lineRule="auto"/>
        <w:jc w:val="both"/>
        <w:rPr>
          <w:rFonts w:ascii="Georgia" w:hAnsi="Georgia" w:cs="Arial"/>
          <w:sz w:val="24"/>
          <w:szCs w:val="24"/>
          <w:lang w:val="es-419"/>
        </w:rPr>
      </w:pPr>
      <w:r w:rsidRPr="006C2316">
        <w:rPr>
          <w:rFonts w:ascii="Georgia" w:hAnsi="Georgia" w:cs="Arial"/>
          <w:sz w:val="24"/>
          <w:lang w:val="es-419"/>
        </w:rPr>
        <w:t>Agregado que se justifica en la medida en que se trata de los mismos supuestos normativos.</w:t>
      </w:r>
      <w:r w:rsidR="006C0424" w:rsidRPr="006C2316">
        <w:rPr>
          <w:rFonts w:ascii="Georgia" w:hAnsi="Georgia" w:cs="Arial"/>
          <w:sz w:val="24"/>
          <w:lang w:val="es-419"/>
        </w:rPr>
        <w:t xml:space="preserve"> </w:t>
      </w:r>
      <w:r w:rsidR="00E206BE" w:rsidRPr="006C2316">
        <w:rPr>
          <w:rFonts w:ascii="Georgia" w:hAnsi="Georgia" w:cs="Arial"/>
          <w:sz w:val="24"/>
          <w:szCs w:val="24"/>
          <w:lang w:val="es-419"/>
        </w:rPr>
        <w:t>Importante relievar la intelección que en sede de tutela (</w:t>
      </w:r>
      <w:r w:rsidR="00E206BE" w:rsidRPr="006C2316">
        <w:rPr>
          <w:rFonts w:ascii="Georgia" w:hAnsi="Georgia" w:cs="Arial"/>
          <w:szCs w:val="24"/>
          <w:lang w:val="es-419"/>
        </w:rPr>
        <w:t>Criterio auxiliar</w:t>
      </w:r>
      <w:r w:rsidR="00E206BE" w:rsidRPr="006C2316">
        <w:rPr>
          <w:rFonts w:ascii="Georgia" w:hAnsi="Georgia" w:cs="Arial"/>
          <w:sz w:val="24"/>
          <w:szCs w:val="24"/>
          <w:lang w:val="es-419"/>
        </w:rPr>
        <w:t>) ha hecho la CSJ</w:t>
      </w:r>
      <w:r w:rsidR="00E206BE" w:rsidRPr="006C2316">
        <w:rPr>
          <w:rStyle w:val="Refdenotaalpie"/>
          <w:rFonts w:ascii="Georgia" w:hAnsi="Georgia"/>
          <w:lang w:val="es-419"/>
        </w:rPr>
        <w:footnoteReference w:id="22"/>
      </w:r>
      <w:r w:rsidR="00E206BE" w:rsidRPr="006C2316">
        <w:rPr>
          <w:rFonts w:ascii="Georgia" w:hAnsi="Georgia" w:cs="Arial"/>
          <w:sz w:val="24"/>
          <w:szCs w:val="24"/>
          <w:lang w:val="es-419"/>
        </w:rPr>
        <w:t xml:space="preserve"> (2017), sobre la inactividad a que se refiere el artículo 317, CGP, que comparte esta Magistratura: </w:t>
      </w:r>
    </w:p>
    <w:p w:rsidR="00E206BE" w:rsidRPr="006C2316" w:rsidRDefault="00E206BE" w:rsidP="006C2316">
      <w:pPr>
        <w:pStyle w:val="Textoindependiente"/>
        <w:spacing w:line="276" w:lineRule="auto"/>
        <w:rPr>
          <w:rFonts w:ascii="Georgia" w:hAnsi="Georgia"/>
          <w:sz w:val="28"/>
          <w:szCs w:val="24"/>
          <w:lang w:val="es-419"/>
        </w:rPr>
      </w:pPr>
    </w:p>
    <w:p w:rsidR="00E206BE" w:rsidRPr="0030485B" w:rsidRDefault="00E206BE" w:rsidP="0030485B">
      <w:pPr>
        <w:widowControl w:val="0"/>
        <w:ind w:left="426" w:right="420"/>
        <w:jc w:val="both"/>
        <w:rPr>
          <w:rFonts w:ascii="Georgia" w:hAnsi="Georgia" w:cs="Arial"/>
          <w:bCs/>
          <w:sz w:val="22"/>
          <w:lang w:val="es-419"/>
        </w:rPr>
      </w:pPr>
      <w:r w:rsidRPr="0030485B">
        <w:rPr>
          <w:rFonts w:ascii="Georgia" w:hAnsi="Georgia" w:cs="Arial"/>
          <w:bCs/>
          <w:sz w:val="22"/>
          <w:lang w:val="es-419"/>
        </w:rPr>
        <w:t xml:space="preserve">… la expresión «inactivo» a que hace alusión la norma mencionada, debe analizarse </w:t>
      </w:r>
      <w:r w:rsidRPr="0030485B">
        <w:rPr>
          <w:rFonts w:ascii="Georgia" w:hAnsi="Georgia" w:cs="Arial"/>
          <w:bCs/>
          <w:sz w:val="22"/>
          <w:lang w:val="es-419"/>
        </w:rPr>
        <w:lastRenderedPageBreak/>
        <w:t>de manera sistemática y armónica con lo preceptuado en el literal «c» del mismo canon, según el cual «cualquier actuación, de oficio o a petición de parte, de cualquier naturaleza, interrumpirá los términos previstos en este artículo».</w:t>
      </w:r>
    </w:p>
    <w:p w:rsidR="00E206BE" w:rsidRPr="0030485B" w:rsidRDefault="00E206BE" w:rsidP="0030485B">
      <w:pPr>
        <w:widowControl w:val="0"/>
        <w:ind w:left="426" w:right="420"/>
        <w:jc w:val="both"/>
        <w:rPr>
          <w:rFonts w:ascii="Georgia" w:hAnsi="Georgia" w:cs="Arial"/>
          <w:bCs/>
          <w:sz w:val="22"/>
          <w:lang w:val="es-419"/>
        </w:rPr>
      </w:pPr>
    </w:p>
    <w:p w:rsidR="00E206BE" w:rsidRPr="006C2316" w:rsidRDefault="00E206BE" w:rsidP="0030485B">
      <w:pPr>
        <w:widowControl w:val="0"/>
        <w:ind w:left="426" w:right="420"/>
        <w:jc w:val="both"/>
        <w:rPr>
          <w:rFonts w:ascii="Georgia" w:hAnsi="Georgia" w:cs="Arial"/>
          <w:bCs/>
          <w:lang w:val="es-419"/>
        </w:rPr>
      </w:pPr>
      <w:r w:rsidRPr="0030485B">
        <w:rPr>
          <w:rFonts w:ascii="Georgia" w:hAnsi="Georgia" w:cs="Arial"/>
          <w:b/>
          <w:bCs/>
          <w:sz w:val="22"/>
          <w:u w:val="single"/>
          <w:lang w:val="es-419"/>
        </w:rPr>
        <w:t>Una sana hermenéutica del texto legal referido, indica entonces, que para que podamos considerar que un expediente estuvo «inactivo» en la secretaría del despacho, debe permanecer huérfano de todo tipo de actuación, es decir, debe carecer de trámite, movimiento o alteración de cualquier naturaleza y ello debe ocurrir durante un plazo mínimo de un año, si lo que se pretende es aplicarle válidamente la figura jurídica del desistimiento tácito</w:t>
      </w:r>
      <w:r w:rsidRPr="0030485B">
        <w:rPr>
          <w:rFonts w:ascii="Georgia" w:hAnsi="Georgia" w:cs="Arial"/>
          <w:bCs/>
          <w:sz w:val="22"/>
          <w:lang w:val="es-419"/>
        </w:rPr>
        <w:t xml:space="preserve">… </w:t>
      </w:r>
      <w:r w:rsidRPr="006C2316">
        <w:rPr>
          <w:rFonts w:ascii="Georgia" w:hAnsi="Georgia" w:cs="Arial"/>
          <w:bCs/>
          <w:lang w:val="es-419"/>
        </w:rPr>
        <w:t>Negrilla y sublínea originales.</w:t>
      </w:r>
    </w:p>
    <w:p w:rsidR="00773A8F" w:rsidRPr="006C2316" w:rsidRDefault="00773A8F" w:rsidP="006C2316">
      <w:pPr>
        <w:pStyle w:val="Sinespaciado"/>
        <w:spacing w:line="276" w:lineRule="auto"/>
        <w:jc w:val="both"/>
        <w:rPr>
          <w:rFonts w:ascii="Georgia" w:hAnsi="Georgia" w:cs="Arial"/>
          <w:sz w:val="24"/>
          <w:szCs w:val="24"/>
          <w:lang w:val="es-419"/>
        </w:rPr>
      </w:pPr>
    </w:p>
    <w:p w:rsidR="00490AE3" w:rsidRPr="006C2316" w:rsidRDefault="00E206BE" w:rsidP="006C2316">
      <w:pPr>
        <w:pStyle w:val="Sinespaciado"/>
        <w:spacing w:line="276" w:lineRule="auto"/>
        <w:jc w:val="both"/>
        <w:rPr>
          <w:rFonts w:ascii="Georgia" w:hAnsi="Georgia" w:cs="Arial"/>
          <w:sz w:val="24"/>
          <w:lang w:val="es-419"/>
        </w:rPr>
      </w:pPr>
      <w:r w:rsidRPr="006C2316">
        <w:rPr>
          <w:rFonts w:ascii="Georgia" w:hAnsi="Georgia" w:cs="Arial"/>
          <w:sz w:val="24"/>
          <w:szCs w:val="24"/>
          <w:lang w:val="es-419"/>
        </w:rPr>
        <w:t>Finalmente, compete señalar que el desistimiento tácito del CGP fue demandado ante la CC</w:t>
      </w:r>
      <w:r w:rsidRPr="006C2316">
        <w:rPr>
          <w:rStyle w:val="Refdenotaalpie"/>
          <w:rFonts w:ascii="Georgia" w:hAnsi="Georgia"/>
          <w:lang w:val="es-419"/>
        </w:rPr>
        <w:footnoteReference w:id="23"/>
      </w:r>
      <w:r w:rsidRPr="006C2316">
        <w:rPr>
          <w:rFonts w:ascii="Georgia" w:hAnsi="Georgia" w:cs="Arial"/>
          <w:sz w:val="24"/>
          <w:szCs w:val="24"/>
          <w:lang w:val="es-419"/>
        </w:rPr>
        <w:t>, pero la Magistratura</w:t>
      </w:r>
      <w:r w:rsidRPr="006C2316">
        <w:rPr>
          <w:rFonts w:ascii="Georgia" w:hAnsi="Georgia" w:cs="Arial"/>
          <w:sz w:val="24"/>
          <w:lang w:val="es-419"/>
        </w:rPr>
        <w:t xml:space="preserve"> se declaró inhibida para decidir, por manera que los razonamientos allí vertidos, como no fueron las motivaciones que sirvieron para adoptar la decisión final, se catalogan como </w:t>
      </w:r>
      <w:r w:rsidRPr="006C2316">
        <w:rPr>
          <w:rFonts w:ascii="Georgia" w:hAnsi="Georgia" w:cs="Arial"/>
          <w:i/>
          <w:sz w:val="24"/>
          <w:lang w:val="es-419"/>
        </w:rPr>
        <w:t>obiter dicta</w:t>
      </w:r>
      <w:r w:rsidRPr="006C2316">
        <w:rPr>
          <w:rStyle w:val="Refdenotaalpie"/>
          <w:rFonts w:ascii="Georgia" w:hAnsi="Georgia"/>
          <w:lang w:val="es-419"/>
        </w:rPr>
        <w:footnoteReference w:id="24"/>
      </w:r>
      <w:r w:rsidRPr="006C2316">
        <w:rPr>
          <w:rFonts w:ascii="Georgia" w:hAnsi="Georgia" w:cs="Arial"/>
          <w:sz w:val="24"/>
          <w:lang w:val="es-419"/>
        </w:rPr>
        <w:t xml:space="preserve">, es decir, carecen de fuerza vinculante alguna para la comunidad jurídica, tienen apenas valor persuasivo. </w:t>
      </w:r>
    </w:p>
    <w:p w:rsidR="00E206BE" w:rsidRPr="006C2316" w:rsidRDefault="00E206BE" w:rsidP="006C2316">
      <w:pPr>
        <w:pStyle w:val="Sinespaciado"/>
        <w:spacing w:line="276" w:lineRule="auto"/>
        <w:ind w:right="567"/>
        <w:jc w:val="both"/>
        <w:rPr>
          <w:rFonts w:ascii="Georgia" w:hAnsi="Georgia" w:cs="Arial"/>
          <w:sz w:val="24"/>
          <w:lang w:val="es-419"/>
        </w:rPr>
      </w:pPr>
    </w:p>
    <w:p w:rsidR="00E206BE" w:rsidRPr="006C2316" w:rsidRDefault="00E206BE"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t xml:space="preserve">Sobre la inactividad, dispone el artículo 317-2º que: </w:t>
      </w:r>
      <w:r w:rsidRPr="006C2316">
        <w:rPr>
          <w:rFonts w:ascii="Georgia" w:hAnsi="Georgia" w:cs="Arial"/>
          <w:i/>
          <w:lang w:val="es-419"/>
        </w:rPr>
        <w:t>“(…) Cuando un proceso (…), permanezca inactivo en la secretaría del despacho, porque no se solicita o realiza ninguna actuación (…), a petición de parte o de oficio, se decretará la terminación por desistimiento tácito sin necesidad de requerimiento previo (…)”</w:t>
      </w:r>
      <w:r w:rsidRPr="006C2316">
        <w:rPr>
          <w:rFonts w:ascii="Georgia" w:hAnsi="Georgia" w:cs="Arial"/>
          <w:sz w:val="24"/>
          <w:lang w:val="es-419"/>
        </w:rPr>
        <w:t>; y, de conformidad con su literal b), el plazo será de dos (2) años en procesos que cuenten con sentencia judicial o auto de segu</w:t>
      </w:r>
      <w:r w:rsidR="004F1D47" w:rsidRPr="006C2316">
        <w:rPr>
          <w:rFonts w:ascii="Georgia" w:hAnsi="Georgia" w:cs="Arial"/>
          <w:sz w:val="24"/>
          <w:lang w:val="es-419"/>
        </w:rPr>
        <w:t>ir adelante con la ejecución.</w:t>
      </w:r>
    </w:p>
    <w:p w:rsidR="004F1D47" w:rsidRPr="006C2316" w:rsidRDefault="004F1D47" w:rsidP="006C2316">
      <w:pPr>
        <w:pStyle w:val="Sinespaciado"/>
        <w:spacing w:line="276" w:lineRule="auto"/>
        <w:jc w:val="both"/>
        <w:rPr>
          <w:rFonts w:ascii="Georgia" w:hAnsi="Georgia" w:cs="Arial"/>
          <w:sz w:val="24"/>
          <w:lang w:val="es-419"/>
        </w:rPr>
      </w:pPr>
    </w:p>
    <w:p w:rsidR="004F1D47" w:rsidRPr="006C2316" w:rsidRDefault="004F1D47"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t>Sobre la aplicación de esta forma de terminación anormal del proceso, cuando quiera que existan sentencia</w:t>
      </w:r>
      <w:r w:rsidR="00B244C0" w:rsidRPr="006C2316">
        <w:rPr>
          <w:rFonts w:ascii="Georgia" w:hAnsi="Georgia" w:cs="Arial"/>
          <w:sz w:val="24"/>
          <w:lang w:val="es-419"/>
        </w:rPr>
        <w:t xml:space="preserve"> en el proceso</w:t>
      </w:r>
      <w:r w:rsidRPr="006C2316">
        <w:rPr>
          <w:rFonts w:ascii="Georgia" w:hAnsi="Georgia" w:cs="Arial"/>
          <w:sz w:val="24"/>
          <w:lang w:val="es-419"/>
        </w:rPr>
        <w:t>, un sector de la doctrina procesalista repele la aniquilación del fallo y restarle eficacia, abogan para que se reduzca a la actuación posterior inconclusa</w:t>
      </w:r>
      <w:r w:rsidRPr="006C2316">
        <w:rPr>
          <w:rStyle w:val="Refdenotaalpie"/>
          <w:rFonts w:ascii="Georgia" w:hAnsi="Georgia"/>
          <w:sz w:val="24"/>
          <w:lang w:val="es-419"/>
        </w:rPr>
        <w:footnoteReference w:id="25"/>
      </w:r>
      <w:r w:rsidRPr="006C2316">
        <w:rPr>
          <w:rFonts w:ascii="Georgia" w:hAnsi="Georgia" w:cs="Arial"/>
          <w:sz w:val="24"/>
          <w:lang w:val="es-419"/>
        </w:rPr>
        <w:t>; incluso el maestro López Blanco</w:t>
      </w:r>
      <w:r w:rsidRPr="006C2316">
        <w:rPr>
          <w:rStyle w:val="Refdenotaalpie"/>
          <w:rFonts w:ascii="Georgia" w:hAnsi="Georgia"/>
          <w:sz w:val="24"/>
          <w:lang w:val="es-419"/>
        </w:rPr>
        <w:footnoteReference w:id="26"/>
      </w:r>
      <w:r w:rsidRPr="006C2316">
        <w:rPr>
          <w:rFonts w:ascii="Georgia" w:hAnsi="Georgia" w:cs="Arial"/>
          <w:sz w:val="24"/>
          <w:lang w:val="es-419"/>
        </w:rPr>
        <w:t xml:space="preserve"> tilda de inconstitucional semejante consecuencia sobre tal decisión</w:t>
      </w:r>
      <w:r w:rsidR="00B244C0" w:rsidRPr="006C2316">
        <w:rPr>
          <w:rFonts w:ascii="Georgia" w:hAnsi="Georgia" w:cs="Arial"/>
          <w:sz w:val="24"/>
          <w:lang w:val="es-419"/>
        </w:rPr>
        <w:t>; sin embargo, ya la CC</w:t>
      </w:r>
      <w:r w:rsidR="00B244C0" w:rsidRPr="006C2316">
        <w:rPr>
          <w:rStyle w:val="Refdenotaalpie"/>
          <w:rFonts w:ascii="Georgia" w:hAnsi="Georgia"/>
          <w:sz w:val="24"/>
          <w:lang w:val="es-419"/>
        </w:rPr>
        <w:footnoteReference w:id="27"/>
      </w:r>
      <w:r w:rsidR="00B244C0" w:rsidRPr="006C2316">
        <w:rPr>
          <w:rFonts w:ascii="Georgia" w:hAnsi="Georgia" w:cs="Arial"/>
          <w:sz w:val="24"/>
          <w:lang w:val="es-419"/>
        </w:rPr>
        <w:t xml:space="preserve"> se había mostrado partidaria de su aplicación, eso sí en sede de tutela (2011), así documentó una Sala de esta Corporación en 2015</w:t>
      </w:r>
      <w:r w:rsidR="00B244C0" w:rsidRPr="006C2316">
        <w:rPr>
          <w:rStyle w:val="Refdenotaalpie"/>
          <w:rFonts w:ascii="Georgia" w:hAnsi="Georgia"/>
          <w:sz w:val="24"/>
          <w:lang w:val="es-419"/>
        </w:rPr>
        <w:footnoteReference w:id="28"/>
      </w:r>
      <w:r w:rsidR="00B244C0" w:rsidRPr="006C2316">
        <w:rPr>
          <w:rFonts w:ascii="Georgia" w:hAnsi="Georgia" w:cs="Arial"/>
          <w:sz w:val="24"/>
          <w:lang w:val="es-419"/>
        </w:rPr>
        <w:t>, que al final no empleó para desatar el tema que le competía.</w:t>
      </w:r>
    </w:p>
    <w:p w:rsidR="00B244C0" w:rsidRPr="006C2316" w:rsidRDefault="00B244C0" w:rsidP="006C2316">
      <w:pPr>
        <w:pStyle w:val="Sinespaciado"/>
        <w:spacing w:line="276" w:lineRule="auto"/>
        <w:jc w:val="both"/>
        <w:rPr>
          <w:rFonts w:ascii="Georgia" w:hAnsi="Georgia" w:cs="Arial"/>
          <w:sz w:val="24"/>
          <w:lang w:val="es-419"/>
        </w:rPr>
      </w:pPr>
    </w:p>
    <w:p w:rsidR="00E206BE" w:rsidRPr="006C2316" w:rsidRDefault="00E206BE"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t xml:space="preserve">Asimismo, respecto de la interrupción, refiere el literal c) que: </w:t>
      </w:r>
      <w:r w:rsidRPr="006C2316">
        <w:rPr>
          <w:rFonts w:ascii="Georgia" w:hAnsi="Georgia" w:cs="Arial"/>
          <w:i/>
          <w:lang w:val="es-419"/>
        </w:rPr>
        <w:t>“Cualquier actuación, de oficio o a petición de parte, de cualquier naturaleza, interrumpirá los términos previstos en este artículo.</w:t>
      </w:r>
      <w:r w:rsidRPr="006C2316">
        <w:rPr>
          <w:rFonts w:ascii="Georgia" w:hAnsi="Georgia" w:cs="Arial"/>
          <w:sz w:val="24"/>
          <w:lang w:val="es-419"/>
        </w:rPr>
        <w:t xml:space="preserve">”; ahora, aun cuando se emplee la expresión “actuación”, debe tenerse en cuenta que no se está significando que deba mediar una providencia, sino que es idónea </w:t>
      </w:r>
      <w:r w:rsidRPr="006C2316">
        <w:rPr>
          <w:rFonts w:ascii="Georgia" w:hAnsi="Georgia" w:cs="Arial"/>
          <w:i/>
          <w:sz w:val="24"/>
          <w:lang w:val="es-419"/>
        </w:rPr>
        <w:t xml:space="preserve">cualquier solicitud, </w:t>
      </w:r>
      <w:r w:rsidRPr="006C2316">
        <w:rPr>
          <w:rFonts w:ascii="Georgia" w:hAnsi="Georgia" w:cs="Arial"/>
          <w:sz w:val="24"/>
          <w:lang w:val="es-419"/>
        </w:rPr>
        <w:t>por lo tanto,</w:t>
      </w:r>
      <w:r w:rsidRPr="006C2316">
        <w:rPr>
          <w:rFonts w:ascii="Georgia" w:hAnsi="Georgia" w:cs="Arial"/>
          <w:i/>
          <w:sz w:val="24"/>
          <w:lang w:val="es-419"/>
        </w:rPr>
        <w:t xml:space="preserve"> </w:t>
      </w:r>
      <w:r w:rsidRPr="006C2316">
        <w:rPr>
          <w:rFonts w:ascii="Georgia" w:hAnsi="Georgia" w:cs="Arial"/>
          <w:sz w:val="24"/>
          <w:lang w:val="es-419"/>
        </w:rPr>
        <w:t>deviene inútil calificarla de apta para impulsar o no el proceso, pues así sean peticiones de copias u otra especie, en especial aquellas que no connotan avance procesal, el legislador ha sido claro y reconoce que esos escritos demuestran un interés de la parte en el asunto, y ello basta para interrumpir el término. Criterio sostenido por esta Sala de la Corporación</w:t>
      </w:r>
      <w:r w:rsidRPr="006C2316">
        <w:rPr>
          <w:rStyle w:val="Refdenotaalpie"/>
          <w:rFonts w:ascii="Georgia" w:hAnsi="Georgia"/>
          <w:lang w:val="es-419"/>
        </w:rPr>
        <w:footnoteReference w:id="29"/>
      </w:r>
      <w:r w:rsidRPr="006C2316">
        <w:rPr>
          <w:rFonts w:ascii="Georgia" w:hAnsi="Georgia" w:cs="Arial"/>
          <w:sz w:val="24"/>
          <w:vertAlign w:val="superscript"/>
          <w:lang w:val="es-419"/>
        </w:rPr>
        <w:t>-</w:t>
      </w:r>
      <w:r w:rsidRPr="006C2316">
        <w:rPr>
          <w:rStyle w:val="Refdenotaalpie"/>
          <w:rFonts w:ascii="Georgia" w:hAnsi="Georgia"/>
          <w:lang w:val="es-419"/>
        </w:rPr>
        <w:footnoteReference w:id="30"/>
      </w:r>
      <w:r w:rsidRPr="006C2316">
        <w:rPr>
          <w:rFonts w:ascii="Georgia" w:hAnsi="Georgia" w:cs="Arial"/>
          <w:sz w:val="24"/>
          <w:lang w:val="es-419"/>
        </w:rPr>
        <w:t>.</w:t>
      </w:r>
    </w:p>
    <w:p w:rsidR="00E206BE" w:rsidRPr="006C2316" w:rsidRDefault="00E206BE" w:rsidP="006C2316">
      <w:pPr>
        <w:pStyle w:val="Sinespaciado"/>
        <w:spacing w:line="276" w:lineRule="auto"/>
        <w:jc w:val="both"/>
        <w:rPr>
          <w:rFonts w:ascii="Georgia" w:hAnsi="Georgia" w:cs="Arial"/>
          <w:sz w:val="24"/>
          <w:lang w:val="es-419"/>
        </w:rPr>
      </w:pPr>
    </w:p>
    <w:p w:rsidR="00E206BE" w:rsidRPr="006C2316" w:rsidRDefault="00E206BE" w:rsidP="006C2316">
      <w:pPr>
        <w:pStyle w:val="Sinespaciado"/>
        <w:spacing w:line="276" w:lineRule="auto"/>
        <w:jc w:val="both"/>
        <w:rPr>
          <w:rFonts w:ascii="Georgia" w:hAnsi="Georgia" w:cs="Arial"/>
          <w:sz w:val="24"/>
          <w:lang w:val="es-419"/>
        </w:rPr>
      </w:pPr>
      <w:r w:rsidRPr="006C2316">
        <w:rPr>
          <w:rFonts w:ascii="Georgia" w:hAnsi="Georgia" w:cs="Arial"/>
          <w:sz w:val="24"/>
          <w:lang w:val="es-419"/>
        </w:rPr>
        <w:lastRenderedPageBreak/>
        <w:t>La subreglas en comento, aplican para las tres (3) modalidades estatuidas, tal y como manda la misma preceptiva; la primera hipótesis amerita requerimiento previo, mientras que para las dos (2) restantes (</w:t>
      </w:r>
      <w:r w:rsidRPr="006C2316">
        <w:rPr>
          <w:rFonts w:ascii="Georgia" w:hAnsi="Georgia" w:cs="Arial"/>
          <w:sz w:val="24"/>
          <w:szCs w:val="24"/>
          <w:lang w:val="es-419"/>
        </w:rPr>
        <w:t xml:space="preserve">317-2º y 317-2º-b), </w:t>
      </w:r>
      <w:r w:rsidRPr="006C2316">
        <w:rPr>
          <w:rFonts w:ascii="Georgia" w:hAnsi="Georgia" w:cs="Arial"/>
          <w:sz w:val="24"/>
          <w:szCs w:val="24"/>
          <w:u w:val="single"/>
          <w:lang w:val="es-419"/>
        </w:rPr>
        <w:t xml:space="preserve">solo basta el </w:t>
      </w:r>
      <w:r w:rsidRPr="006C2316">
        <w:rPr>
          <w:rFonts w:ascii="Georgia" w:hAnsi="Georgia" w:cs="Arial"/>
          <w:sz w:val="24"/>
          <w:u w:val="single"/>
          <w:lang w:val="es-419"/>
        </w:rPr>
        <w:t>paso del tiempo</w:t>
      </w:r>
      <w:r w:rsidRPr="006C2316">
        <w:rPr>
          <w:rFonts w:ascii="Georgia" w:hAnsi="Georgia" w:cs="Arial"/>
          <w:sz w:val="24"/>
          <w:lang w:val="es-419"/>
        </w:rPr>
        <w:t>, un (1) año cuando no haya sentencia y dos (2) años, cuando la hubiere.  Dicho más llanamente: el plazo es objetivo.</w:t>
      </w:r>
    </w:p>
    <w:p w:rsidR="00E206BE" w:rsidRPr="006C2316" w:rsidRDefault="00E206BE" w:rsidP="006C2316">
      <w:pPr>
        <w:pStyle w:val="Sinespaciado"/>
        <w:spacing w:line="276" w:lineRule="auto"/>
        <w:jc w:val="both"/>
        <w:rPr>
          <w:rFonts w:ascii="Georgia" w:hAnsi="Georgia" w:cs="Arial"/>
          <w:sz w:val="24"/>
          <w:lang w:val="es-419"/>
        </w:rPr>
      </w:pPr>
    </w:p>
    <w:p w:rsidR="00045F25" w:rsidRPr="006C2316" w:rsidRDefault="00E206BE" w:rsidP="006C2316">
      <w:pPr>
        <w:pStyle w:val="Textopredeterminado"/>
        <w:spacing w:line="276" w:lineRule="auto"/>
        <w:jc w:val="both"/>
        <w:rPr>
          <w:rFonts w:ascii="Georgia" w:hAnsi="Georgia" w:cs="Arial"/>
          <w:szCs w:val="24"/>
          <w:lang w:val="es-419"/>
        </w:rPr>
      </w:pPr>
      <w:r w:rsidRPr="006C2316">
        <w:rPr>
          <w:rFonts w:ascii="Georgia" w:hAnsi="Georgia" w:cs="Arial"/>
          <w:lang w:val="es-419"/>
        </w:rPr>
        <w:t>El conteo  de  la  inactividad  procesal  se  inicia desde la última diligencia o audiencia y se descontará el tiempo que estuviese el expediente suspendido por acuerdo de las partes (Literal a) de la norma).</w:t>
      </w:r>
    </w:p>
    <w:p w:rsidR="00045F25" w:rsidRPr="006C2316" w:rsidRDefault="00045F25" w:rsidP="006C2316">
      <w:pPr>
        <w:pStyle w:val="Textopredeterminado"/>
        <w:spacing w:line="276" w:lineRule="auto"/>
        <w:jc w:val="both"/>
        <w:rPr>
          <w:rFonts w:ascii="Georgia" w:hAnsi="Georgia" w:cs="Arial"/>
          <w:szCs w:val="24"/>
          <w:lang w:val="es-419"/>
        </w:rPr>
      </w:pPr>
    </w:p>
    <w:p w:rsidR="00E53F5B" w:rsidRPr="006C2316" w:rsidRDefault="00E53F5B" w:rsidP="006C2316">
      <w:pPr>
        <w:pStyle w:val="Textopredeterminado"/>
        <w:numPr>
          <w:ilvl w:val="1"/>
          <w:numId w:val="22"/>
        </w:numPr>
        <w:spacing w:line="276" w:lineRule="auto"/>
        <w:jc w:val="both"/>
        <w:rPr>
          <w:rFonts w:ascii="Georgia" w:hAnsi="Georgia" w:cs="Arial"/>
          <w:smallCaps/>
          <w:szCs w:val="24"/>
          <w:lang w:val="es-419"/>
        </w:rPr>
      </w:pPr>
      <w:r w:rsidRPr="006C2316">
        <w:rPr>
          <w:rFonts w:ascii="Georgia" w:hAnsi="Georgia" w:cs="Arial"/>
          <w:smallCaps/>
          <w:szCs w:val="24"/>
          <w:lang w:val="es-419"/>
        </w:rPr>
        <w:t>El caso concreto examinado</w:t>
      </w:r>
    </w:p>
    <w:p w:rsidR="00E53F5B" w:rsidRPr="006C2316" w:rsidRDefault="00E53F5B" w:rsidP="006C2316">
      <w:pPr>
        <w:pStyle w:val="Textopredeterminado"/>
        <w:spacing w:line="276" w:lineRule="auto"/>
        <w:jc w:val="both"/>
        <w:rPr>
          <w:rFonts w:ascii="Georgia" w:hAnsi="Georgia" w:cs="Arial"/>
          <w:szCs w:val="24"/>
          <w:lang w:val="es-419"/>
        </w:rPr>
      </w:pPr>
    </w:p>
    <w:p w:rsidR="00E53F5B" w:rsidRPr="006C2316" w:rsidRDefault="00576E4A" w:rsidP="006C2316">
      <w:pPr>
        <w:pStyle w:val="Textopredeterminado"/>
        <w:spacing w:line="276" w:lineRule="auto"/>
        <w:jc w:val="both"/>
        <w:rPr>
          <w:rFonts w:ascii="Georgia" w:hAnsi="Georgia" w:cs="Arial"/>
          <w:szCs w:val="24"/>
          <w:lang w:val="es-419"/>
        </w:rPr>
      </w:pPr>
      <w:r w:rsidRPr="006C2316">
        <w:rPr>
          <w:rFonts w:ascii="Georgia" w:hAnsi="Georgia" w:cs="Arial"/>
          <w:szCs w:val="24"/>
          <w:lang w:val="es-419"/>
        </w:rPr>
        <w:t xml:space="preserve">A partir de las premisas jurídicas planteadas en los párrafos anteriores, bien se aprecia que por muy discutible que parezca, </w:t>
      </w:r>
      <w:r w:rsidR="004A6ADA" w:rsidRPr="006C2316">
        <w:rPr>
          <w:rFonts w:ascii="Georgia" w:hAnsi="Georgia" w:cs="Arial"/>
          <w:szCs w:val="24"/>
          <w:lang w:val="es-419"/>
        </w:rPr>
        <w:t>por aquello de la pérdida del tiempo y dinero invertidos en obtener la sentencia o auto de seguir adelante la ejecución, no solo de las partes sino también de la aparato estatal, es rotundo y categórico el aval que la doctrina judicial le ha dado, como lo ha hecho la Corte Constitucional en sus distintos pronunciamientos, y también el órgano de cierre de esta especialidad, aunque en sede de tutela (</w:t>
      </w:r>
      <w:r w:rsidR="004A6ADA" w:rsidRPr="006C2316">
        <w:rPr>
          <w:rFonts w:ascii="Georgia" w:hAnsi="Georgia" w:cs="Arial"/>
          <w:sz w:val="22"/>
          <w:szCs w:val="24"/>
          <w:lang w:val="es-419"/>
        </w:rPr>
        <w:t>Criterio auxiliar</w:t>
      </w:r>
      <w:r w:rsidR="004A6ADA" w:rsidRPr="006C2316">
        <w:rPr>
          <w:rFonts w:ascii="Georgia" w:hAnsi="Georgia" w:cs="Arial"/>
          <w:szCs w:val="24"/>
          <w:lang w:val="es-419"/>
        </w:rPr>
        <w:t>)</w:t>
      </w:r>
      <w:r w:rsidR="00381C10" w:rsidRPr="006C2316">
        <w:rPr>
          <w:rFonts w:ascii="Georgia" w:hAnsi="Georgia" w:cs="Arial"/>
          <w:szCs w:val="24"/>
          <w:lang w:val="es-419"/>
        </w:rPr>
        <w:t>.</w:t>
      </w:r>
    </w:p>
    <w:p w:rsidR="00381C10" w:rsidRPr="006C2316" w:rsidRDefault="00381C10" w:rsidP="006C2316">
      <w:pPr>
        <w:pStyle w:val="Textopredeterminado"/>
        <w:spacing w:line="276" w:lineRule="auto"/>
        <w:jc w:val="both"/>
        <w:rPr>
          <w:rFonts w:ascii="Georgia" w:hAnsi="Georgia" w:cs="Arial"/>
          <w:szCs w:val="24"/>
          <w:lang w:val="es-419"/>
        </w:rPr>
      </w:pPr>
    </w:p>
    <w:p w:rsidR="00381C10" w:rsidRPr="006C2316" w:rsidRDefault="00381C10" w:rsidP="006C2316">
      <w:pPr>
        <w:spacing w:line="276" w:lineRule="auto"/>
        <w:jc w:val="both"/>
        <w:rPr>
          <w:rFonts w:ascii="Georgia" w:hAnsi="Georgia" w:cs="Arial"/>
          <w:lang w:val="es-419"/>
        </w:rPr>
      </w:pPr>
      <w:r w:rsidRPr="006C2316">
        <w:rPr>
          <w:rFonts w:ascii="Georgia" w:hAnsi="Georgia" w:cs="Arial"/>
          <w:lang w:val="es-419"/>
        </w:rPr>
        <w:t>En decisión que guarda idénticos parámetros fácticos con este asunto, pues la queja consistía en que: “</w:t>
      </w:r>
      <w:r w:rsidRPr="006C2316">
        <w:rPr>
          <w:rFonts w:ascii="Georgia" w:hAnsi="Georgia" w:cs="Arial"/>
          <w:i/>
          <w:sz w:val="22"/>
          <w:lang w:val="es-419"/>
        </w:rPr>
        <w:t>(…) el Tribunal dio un concepto errado a la figura, al considerar que aquella no se puede aplicar en los procesos en los que ya existe sentencia o auto que ordena seguir adelante con la ejecución.</w:t>
      </w:r>
      <w:r w:rsidRPr="006C2316">
        <w:rPr>
          <w:rFonts w:ascii="Georgia" w:hAnsi="Georgia" w:cs="Arial"/>
          <w:lang w:val="es-419"/>
        </w:rPr>
        <w:t>”, al resolver la Sala Civil</w:t>
      </w:r>
      <w:r w:rsidR="00527A65" w:rsidRPr="006C2316">
        <w:rPr>
          <w:rStyle w:val="Refdenotaalpie"/>
          <w:rFonts w:ascii="Georgia" w:hAnsi="Georgia"/>
          <w:lang w:val="es-419"/>
        </w:rPr>
        <w:footnoteReference w:id="31"/>
      </w:r>
      <w:r w:rsidRPr="006C2316">
        <w:rPr>
          <w:rFonts w:ascii="Georgia" w:hAnsi="Georgia" w:cs="Arial"/>
          <w:lang w:val="es-419"/>
        </w:rPr>
        <w:t>, precisó con absoluta claridad:</w:t>
      </w:r>
    </w:p>
    <w:p w:rsidR="00381C10" w:rsidRPr="006C2316" w:rsidRDefault="00381C10" w:rsidP="006C2316">
      <w:pPr>
        <w:spacing w:line="276" w:lineRule="auto"/>
        <w:jc w:val="both"/>
        <w:rPr>
          <w:rFonts w:ascii="Georgia" w:hAnsi="Georgia" w:cs="Arial"/>
          <w:lang w:val="es-419"/>
        </w:rPr>
      </w:pPr>
    </w:p>
    <w:p w:rsidR="00381C10" w:rsidRPr="0030485B" w:rsidRDefault="00381C10" w:rsidP="0030485B">
      <w:pPr>
        <w:ind w:left="426" w:right="420"/>
        <w:jc w:val="both"/>
        <w:rPr>
          <w:rFonts w:ascii="Georgia" w:hAnsi="Georgia" w:cs="Arial"/>
          <w:sz w:val="22"/>
          <w:lang w:val="es-419"/>
        </w:rPr>
      </w:pPr>
      <w:r w:rsidRPr="0030485B">
        <w:rPr>
          <w:rFonts w:ascii="Georgia" w:hAnsi="Georgia"/>
          <w:sz w:val="22"/>
          <w:shd w:val="clear" w:color="auto" w:fill="FFFFFF"/>
          <w:lang w:val="es-419"/>
        </w:rPr>
        <w:t xml:space="preserve">… para la Sala, </w:t>
      </w:r>
      <w:r w:rsidRPr="0030485B">
        <w:rPr>
          <w:rFonts w:ascii="Georgia" w:hAnsi="Georgia" w:cs="Arial"/>
          <w:sz w:val="22"/>
          <w:lang w:val="es-419"/>
        </w:rPr>
        <w:t xml:space="preserve">es evidente la incursión del fallador accionado en un defecto sustancial que habilita la intervención excepcional del juez de tutela </w:t>
      </w:r>
      <w:r w:rsidRPr="0030485B">
        <w:rPr>
          <w:rFonts w:ascii="Georgia" w:hAnsi="Georgia" w:cs="Arial"/>
          <w:sz w:val="22"/>
          <w:u w:val="single"/>
          <w:lang w:val="es-419"/>
        </w:rPr>
        <w:t xml:space="preserve">para conjurar la ostensible transgresión a la garantía fundamental del debido proceso del peticionario del amparo, pues no existió ninguna razón jurídicamente válida para considerar que en </w:t>
      </w:r>
      <w:r w:rsidRPr="0030485B">
        <w:rPr>
          <w:rFonts w:ascii="Georgia" w:hAnsi="Georgia" w:cs="Arial"/>
          <w:i/>
          <w:sz w:val="22"/>
          <w:u w:val="single"/>
          <w:lang w:val="es-419"/>
        </w:rPr>
        <w:t>«tratándose del proceso ejecutivo con sentencia o auto que ordena seguir adelante con la ejecución, el desistimiento tácito, solo puede hacerse efectivo respecto de la fase, o actuación subsiguiente al proferimiento de las referidas providencias»</w:t>
      </w:r>
      <w:r w:rsidRPr="0030485B">
        <w:rPr>
          <w:rFonts w:ascii="Georgia" w:hAnsi="Georgia" w:cs="Arial"/>
          <w:sz w:val="22"/>
          <w:u w:val="single"/>
          <w:lang w:val="es-419"/>
        </w:rPr>
        <w:t xml:space="preserve"> y decretar así, una terminación de manera parcial</w:t>
      </w:r>
      <w:r w:rsidRPr="0030485B">
        <w:rPr>
          <w:rFonts w:ascii="Georgia" w:hAnsi="Georgia" w:cs="Arial"/>
          <w:sz w:val="22"/>
          <w:lang w:val="es-419"/>
        </w:rPr>
        <w:t>, como se hizo,  circunstancia que impone la concesión de la protección deprecada, como pasa a explicarse. Sublínea puesta a propósito por esta Sala.</w:t>
      </w:r>
    </w:p>
    <w:p w:rsidR="00381C10" w:rsidRPr="006C2316" w:rsidRDefault="00381C10" w:rsidP="006C2316">
      <w:pPr>
        <w:pStyle w:val="Textopredeterminado"/>
        <w:spacing w:line="276" w:lineRule="auto"/>
        <w:jc w:val="both"/>
        <w:rPr>
          <w:rFonts w:ascii="Georgia" w:hAnsi="Georgia" w:cs="Arial"/>
          <w:szCs w:val="24"/>
          <w:lang w:val="es-419"/>
        </w:rPr>
      </w:pPr>
    </w:p>
    <w:p w:rsidR="008D15CE" w:rsidRPr="006C2316" w:rsidRDefault="008D15CE" w:rsidP="006C2316">
      <w:pPr>
        <w:pStyle w:val="Textopredeterminado"/>
        <w:spacing w:line="276" w:lineRule="auto"/>
        <w:jc w:val="both"/>
        <w:rPr>
          <w:rFonts w:ascii="Georgia" w:hAnsi="Georgia" w:cs="Arial"/>
          <w:sz w:val="22"/>
          <w:szCs w:val="22"/>
          <w:lang w:val="es-419"/>
        </w:rPr>
      </w:pPr>
      <w:r w:rsidRPr="006C2316">
        <w:rPr>
          <w:rFonts w:ascii="Georgia" w:hAnsi="Georgia" w:cs="Arial"/>
          <w:szCs w:val="24"/>
          <w:lang w:val="es-419"/>
        </w:rPr>
        <w:t xml:space="preserve">Y como base para tal estimación esclareció </w:t>
      </w:r>
      <w:r w:rsidR="00B02527" w:rsidRPr="006C2316">
        <w:rPr>
          <w:rFonts w:ascii="Georgia" w:hAnsi="Georgia" w:cs="Arial"/>
          <w:szCs w:val="24"/>
          <w:lang w:val="es-419"/>
        </w:rPr>
        <w:t>que en la certeza de subsumirse la hipótesis en el literal b) del No.2, del citado artículo 317, ib., examinada la superación del bienio, correspondía, sin más, aplicar el efecto jurídico previsto en la regla: terminar el proceso. Y enfatizó que errado es: “</w:t>
      </w:r>
      <w:r w:rsidR="00B02527" w:rsidRPr="006C2316">
        <w:rPr>
          <w:rFonts w:ascii="Georgia" w:hAnsi="Georgia" w:cs="Arial"/>
          <w:i/>
          <w:szCs w:val="24"/>
          <w:lang w:val="es-419"/>
        </w:rPr>
        <w:t xml:space="preserve">(…) </w:t>
      </w:r>
      <w:r w:rsidR="00B02527" w:rsidRPr="006C2316">
        <w:rPr>
          <w:rFonts w:ascii="Georgia" w:hAnsi="Georgia" w:cs="Arial"/>
          <w:i/>
          <w:sz w:val="22"/>
          <w:szCs w:val="22"/>
          <w:lang w:val="es-419"/>
        </w:rPr>
        <w:t>establecer que la “fase procesal” a terminar era la subsiguiente a la sentencia, pues de la lectura del canon que desarrolla la figura, ninguna interpretación arroja en ese sentido.”.</w:t>
      </w:r>
    </w:p>
    <w:p w:rsidR="00527A65" w:rsidRPr="006C2316" w:rsidRDefault="00527A65" w:rsidP="006C2316">
      <w:pPr>
        <w:pStyle w:val="Textopredeterminado"/>
        <w:spacing w:line="276" w:lineRule="auto"/>
        <w:jc w:val="both"/>
        <w:rPr>
          <w:rFonts w:ascii="Georgia" w:hAnsi="Georgia" w:cs="Arial"/>
          <w:szCs w:val="24"/>
          <w:lang w:val="es-419"/>
        </w:rPr>
      </w:pPr>
    </w:p>
    <w:p w:rsidR="00045F25" w:rsidRPr="006C2316" w:rsidRDefault="00954748" w:rsidP="006C2316">
      <w:pPr>
        <w:pStyle w:val="Textopredeterminado"/>
        <w:spacing w:line="276" w:lineRule="auto"/>
        <w:jc w:val="both"/>
        <w:rPr>
          <w:rFonts w:ascii="Georgia" w:hAnsi="Georgia" w:cs="Arial"/>
          <w:szCs w:val="24"/>
          <w:lang w:val="es-419"/>
        </w:rPr>
      </w:pPr>
      <w:r w:rsidRPr="006C2316">
        <w:rPr>
          <w:rFonts w:ascii="Georgia" w:hAnsi="Georgia" w:cs="Arial"/>
          <w:szCs w:val="24"/>
          <w:lang w:val="es-419"/>
        </w:rPr>
        <w:t>Así las cosas, y no obstante que las sentencias de tutela de la CSJ carecen de fuerza vinculante, pues sí lo son aquellas emitidas por la autoridad vértice de la especialidad constitucional, para evitar la incursión en un defecto sustantivo, se prohíja la tesis de la Alta Magistratura en el sentido de fulminar la actuación, incluida la sentencia misma, por efectos de la terminación anormal que comporta la aplicación del desistimiento tácito.</w:t>
      </w:r>
    </w:p>
    <w:p w:rsidR="004C6A39" w:rsidRPr="006C2316" w:rsidRDefault="004C6A39" w:rsidP="006C2316">
      <w:pPr>
        <w:pStyle w:val="Textopredeterminado"/>
        <w:spacing w:line="276" w:lineRule="auto"/>
        <w:jc w:val="both"/>
        <w:rPr>
          <w:rFonts w:ascii="Georgia" w:hAnsi="Georgia" w:cs="Arial"/>
          <w:szCs w:val="24"/>
          <w:lang w:val="es-419"/>
        </w:rPr>
      </w:pPr>
    </w:p>
    <w:p w:rsidR="00A13470" w:rsidRPr="006C2316" w:rsidRDefault="004C6A39" w:rsidP="006C2316">
      <w:pPr>
        <w:pStyle w:val="Textopredeterminado"/>
        <w:spacing w:line="276" w:lineRule="auto"/>
        <w:jc w:val="both"/>
        <w:rPr>
          <w:rFonts w:ascii="Georgia" w:hAnsi="Georgia" w:cs="Arial"/>
          <w:lang w:val="es-419"/>
        </w:rPr>
      </w:pPr>
      <w:r w:rsidRPr="006C2316">
        <w:rPr>
          <w:rFonts w:ascii="Georgia" w:hAnsi="Georgia" w:cs="Arial"/>
          <w:szCs w:val="24"/>
          <w:lang w:val="es-419"/>
        </w:rPr>
        <w:lastRenderedPageBreak/>
        <w:t>De más está refutar la argumentación del apelante, puesto que lo esgrimido en sede de primer grado, ilustró con precisión las posibilidades que tenía la parte para “activar” el proceso; que valga aclararlo, no es menester que la gestión adelantada sea una de aquella</w:t>
      </w:r>
      <w:r w:rsidR="00BC5D7F" w:rsidRPr="006C2316">
        <w:rPr>
          <w:rFonts w:ascii="Georgia" w:hAnsi="Georgia" w:cs="Arial"/>
          <w:szCs w:val="24"/>
          <w:lang w:val="es-419"/>
        </w:rPr>
        <w:t>s</w:t>
      </w:r>
      <w:r w:rsidRPr="006C2316">
        <w:rPr>
          <w:rFonts w:ascii="Georgia" w:hAnsi="Georgia" w:cs="Arial"/>
          <w:szCs w:val="24"/>
          <w:lang w:val="es-419"/>
        </w:rPr>
        <w:t xml:space="preserve"> que lo impulsen, esto es, que </w:t>
      </w:r>
      <w:r w:rsidR="00034EC6" w:rsidRPr="006C2316">
        <w:rPr>
          <w:rFonts w:ascii="Georgia" w:hAnsi="Georgia" w:cs="Arial"/>
          <w:szCs w:val="24"/>
          <w:lang w:val="es-419"/>
        </w:rPr>
        <w:t xml:space="preserve">alteren la </w:t>
      </w:r>
      <w:r w:rsidRPr="006C2316">
        <w:rPr>
          <w:rFonts w:ascii="Georgia" w:hAnsi="Georgia" w:cs="Arial"/>
          <w:szCs w:val="24"/>
          <w:lang w:val="es-419"/>
        </w:rPr>
        <w:t xml:space="preserve">fase o estadio </w:t>
      </w:r>
      <w:r w:rsidR="00034EC6" w:rsidRPr="006C2316">
        <w:rPr>
          <w:rFonts w:ascii="Georgia" w:hAnsi="Georgia" w:cs="Arial"/>
          <w:szCs w:val="24"/>
          <w:lang w:val="es-419"/>
        </w:rPr>
        <w:t>a uno siguiente</w:t>
      </w:r>
      <w:r w:rsidRPr="006C2316">
        <w:rPr>
          <w:rFonts w:ascii="Georgia" w:hAnsi="Georgia" w:cs="Arial"/>
          <w:szCs w:val="24"/>
          <w:lang w:val="es-419"/>
        </w:rPr>
        <w:t xml:space="preserve">, basta simplemente </w:t>
      </w:r>
      <w:r w:rsidR="00501069" w:rsidRPr="006C2316">
        <w:rPr>
          <w:rFonts w:ascii="Georgia" w:hAnsi="Georgia" w:cs="Arial"/>
          <w:szCs w:val="24"/>
          <w:lang w:val="es-419"/>
        </w:rPr>
        <w:t>cualquier actividad, y visto está que aquí ningún acto puede atribuirse al actor, por manera que el juicio elaborado en la decisión que se revisa, resultó atinado.</w:t>
      </w:r>
      <w:r w:rsidR="006C0424" w:rsidRPr="006C2316">
        <w:rPr>
          <w:rFonts w:ascii="Georgia" w:hAnsi="Georgia" w:cs="Arial"/>
          <w:szCs w:val="24"/>
          <w:lang w:val="es-419"/>
        </w:rPr>
        <w:t xml:space="preserve"> </w:t>
      </w:r>
      <w:r w:rsidR="000020BB" w:rsidRPr="006C2316">
        <w:rPr>
          <w:rFonts w:ascii="Georgia" w:hAnsi="Georgia" w:cs="Arial"/>
          <w:lang w:val="es-419"/>
        </w:rPr>
        <w:t>E</w:t>
      </w:r>
      <w:r w:rsidR="0097729B" w:rsidRPr="006C2316">
        <w:rPr>
          <w:rFonts w:ascii="Georgia" w:hAnsi="Georgia" w:cs="Arial"/>
          <w:lang w:val="es-419"/>
        </w:rPr>
        <w:t>l corolario obligado es la confirmación de la determinación cuestionada porque el recurso adviene infundado</w:t>
      </w:r>
      <w:r w:rsidR="00987C54" w:rsidRPr="006C2316">
        <w:rPr>
          <w:rFonts w:ascii="Georgia" w:hAnsi="Georgia" w:cs="Arial"/>
          <w:lang w:val="es-419"/>
        </w:rPr>
        <w:t>.</w:t>
      </w:r>
    </w:p>
    <w:p w:rsidR="00DC1D3A" w:rsidRPr="006C2316" w:rsidRDefault="00DC1D3A" w:rsidP="006C2316">
      <w:pPr>
        <w:pStyle w:val="Textopredeterminado"/>
        <w:tabs>
          <w:tab w:val="left" w:pos="3900"/>
        </w:tabs>
        <w:spacing w:line="276" w:lineRule="auto"/>
        <w:jc w:val="both"/>
        <w:rPr>
          <w:rFonts w:ascii="Georgia" w:hAnsi="Georgia" w:cs="Arial"/>
          <w:lang w:val="es-419"/>
        </w:rPr>
      </w:pPr>
    </w:p>
    <w:p w:rsidR="00945481" w:rsidRPr="006C2316" w:rsidRDefault="00945481" w:rsidP="006C2316">
      <w:pPr>
        <w:pStyle w:val="Prrafodelista"/>
        <w:numPr>
          <w:ilvl w:val="0"/>
          <w:numId w:val="22"/>
        </w:numPr>
        <w:spacing w:line="276" w:lineRule="auto"/>
        <w:rPr>
          <w:rFonts w:ascii="Georgia" w:hAnsi="Georgia" w:cs="Arial"/>
          <w:lang w:val="es-419"/>
        </w:rPr>
      </w:pPr>
      <w:r w:rsidRPr="006C2316">
        <w:rPr>
          <w:rFonts w:ascii="Georgia" w:hAnsi="Georgia" w:cs="Arial"/>
          <w:sz w:val="32"/>
          <w:szCs w:val="22"/>
          <w:lang w:val="es-419"/>
        </w:rPr>
        <w:t>L</w:t>
      </w:r>
      <w:r w:rsidRPr="006C2316">
        <w:rPr>
          <w:rFonts w:ascii="Georgia" w:hAnsi="Georgia" w:cs="Arial"/>
          <w:szCs w:val="22"/>
          <w:lang w:val="es-419"/>
        </w:rPr>
        <w:t>AS DECISIONES FINALES</w:t>
      </w:r>
    </w:p>
    <w:p w:rsidR="00773A8F" w:rsidRPr="006C2316" w:rsidRDefault="00773A8F" w:rsidP="006C2316">
      <w:pPr>
        <w:spacing w:line="276" w:lineRule="auto"/>
        <w:jc w:val="both"/>
        <w:rPr>
          <w:rFonts w:ascii="Georgia" w:hAnsi="Georgia" w:cs="Arial"/>
          <w:lang w:val="es-419"/>
        </w:rPr>
      </w:pPr>
    </w:p>
    <w:p w:rsidR="003B3275" w:rsidRPr="006C2316" w:rsidRDefault="003B3275" w:rsidP="006C2316">
      <w:pPr>
        <w:spacing w:line="276" w:lineRule="auto"/>
        <w:jc w:val="both"/>
        <w:rPr>
          <w:rFonts w:ascii="Georgia" w:hAnsi="Georgia" w:cs="Arial"/>
          <w:lang w:val="es-419"/>
        </w:rPr>
      </w:pPr>
      <w:r w:rsidRPr="006C2316">
        <w:rPr>
          <w:rFonts w:ascii="Georgia" w:hAnsi="Georgia" w:cs="Arial"/>
          <w:lang w:val="es-419"/>
        </w:rPr>
        <w:t xml:space="preserve">En armonía con lo </w:t>
      </w:r>
      <w:r w:rsidR="00976B12" w:rsidRPr="006C2316">
        <w:rPr>
          <w:rFonts w:ascii="Georgia" w:hAnsi="Georgia" w:cs="Arial"/>
          <w:lang w:val="es-419"/>
        </w:rPr>
        <w:t>razonado</w:t>
      </w:r>
      <w:r w:rsidRPr="006C2316">
        <w:rPr>
          <w:rFonts w:ascii="Georgia" w:hAnsi="Georgia" w:cs="Arial"/>
          <w:lang w:val="es-419"/>
        </w:rPr>
        <w:t xml:space="preserve">: </w:t>
      </w:r>
      <w:r w:rsidRPr="006C2316">
        <w:rPr>
          <w:rFonts w:ascii="Georgia" w:hAnsi="Georgia" w:cs="Arial"/>
          <w:b/>
          <w:lang w:val="es-419"/>
        </w:rPr>
        <w:t>(i)</w:t>
      </w:r>
      <w:r w:rsidRPr="006C2316">
        <w:rPr>
          <w:rFonts w:ascii="Georgia" w:hAnsi="Georgia" w:cs="Arial"/>
          <w:lang w:val="es-419"/>
        </w:rPr>
        <w:t xml:space="preserve"> Se </w:t>
      </w:r>
      <w:r w:rsidR="00C83A8D" w:rsidRPr="006C2316">
        <w:rPr>
          <w:rFonts w:ascii="Georgia" w:hAnsi="Georgia" w:cs="Arial"/>
          <w:lang w:val="es-419"/>
        </w:rPr>
        <w:t xml:space="preserve">confirmará </w:t>
      </w:r>
      <w:r w:rsidR="00976B12" w:rsidRPr="006C2316">
        <w:rPr>
          <w:rFonts w:ascii="Georgia" w:hAnsi="Georgia" w:cs="Arial"/>
          <w:lang w:val="es-419"/>
        </w:rPr>
        <w:t>la terminación apelada</w:t>
      </w:r>
      <w:r w:rsidR="00EA41B6" w:rsidRPr="006C2316">
        <w:rPr>
          <w:rFonts w:ascii="Georgia" w:hAnsi="Georgia" w:cs="Arial"/>
          <w:lang w:val="es-419"/>
        </w:rPr>
        <w:t xml:space="preserve">; </w:t>
      </w:r>
      <w:r w:rsidR="00EA41B6" w:rsidRPr="006C2316">
        <w:rPr>
          <w:rFonts w:ascii="Georgia" w:hAnsi="Georgia" w:cs="Arial"/>
          <w:b/>
          <w:lang w:val="es-419"/>
        </w:rPr>
        <w:t>(ii)</w:t>
      </w:r>
      <w:r w:rsidR="00EA41B6" w:rsidRPr="006C2316">
        <w:rPr>
          <w:rFonts w:ascii="Georgia" w:hAnsi="Georgia" w:cs="Arial"/>
          <w:lang w:val="es-419"/>
        </w:rPr>
        <w:t xml:space="preserve"> </w:t>
      </w:r>
      <w:r w:rsidRPr="006C2316">
        <w:rPr>
          <w:rFonts w:ascii="Georgia" w:hAnsi="Georgia" w:cs="Arial"/>
          <w:lang w:val="es-419"/>
        </w:rPr>
        <w:t xml:space="preserve">Se advertirá </w:t>
      </w:r>
      <w:r w:rsidR="00976B12" w:rsidRPr="006C2316">
        <w:rPr>
          <w:rFonts w:ascii="Georgia" w:hAnsi="Georgia" w:cs="Arial"/>
          <w:lang w:val="es-419"/>
        </w:rPr>
        <w:t xml:space="preserve">sobre la </w:t>
      </w:r>
      <w:r w:rsidRPr="006C2316">
        <w:rPr>
          <w:rFonts w:ascii="Georgia" w:hAnsi="Georgia" w:cs="Arial"/>
          <w:lang w:val="es-419"/>
        </w:rPr>
        <w:t>irrec</w:t>
      </w:r>
      <w:r w:rsidR="00976B12" w:rsidRPr="006C2316">
        <w:rPr>
          <w:rFonts w:ascii="Georgia" w:hAnsi="Georgia" w:cs="Arial"/>
          <w:lang w:val="es-419"/>
        </w:rPr>
        <w:t>urribilidad</w:t>
      </w:r>
      <w:r w:rsidR="007E79C2" w:rsidRPr="006C2316">
        <w:rPr>
          <w:rFonts w:ascii="Georgia" w:hAnsi="Georgia" w:cs="Arial"/>
          <w:lang w:val="es-419"/>
        </w:rPr>
        <w:t xml:space="preserve"> </w:t>
      </w:r>
      <w:r w:rsidR="00976B12" w:rsidRPr="006C2316">
        <w:rPr>
          <w:rFonts w:ascii="Georgia" w:hAnsi="Georgia" w:cs="Arial"/>
          <w:lang w:val="es-419"/>
        </w:rPr>
        <w:t xml:space="preserve">de este proveído </w:t>
      </w:r>
      <w:r w:rsidR="007E79C2" w:rsidRPr="006C2316">
        <w:rPr>
          <w:rFonts w:ascii="Georgia" w:hAnsi="Georgia" w:cs="Arial"/>
          <w:lang w:val="es-419"/>
        </w:rPr>
        <w:t>(</w:t>
      </w:r>
      <w:r w:rsidR="007E79C2" w:rsidRPr="006C2316">
        <w:rPr>
          <w:rFonts w:ascii="Georgia" w:hAnsi="Georgia" w:cs="Arial"/>
          <w:sz w:val="22"/>
          <w:lang w:val="es-419"/>
        </w:rPr>
        <w:t>Artículo 35, CGP</w:t>
      </w:r>
      <w:r w:rsidR="007E79C2" w:rsidRPr="006C2316">
        <w:rPr>
          <w:rFonts w:ascii="Georgia" w:hAnsi="Georgia" w:cs="Arial"/>
          <w:lang w:val="es-419"/>
        </w:rPr>
        <w:t>);</w:t>
      </w:r>
      <w:r w:rsidR="00762E80" w:rsidRPr="006C2316">
        <w:rPr>
          <w:rFonts w:ascii="Georgia" w:hAnsi="Georgia" w:cs="Arial"/>
          <w:lang w:val="es-419"/>
        </w:rPr>
        <w:t xml:space="preserve"> </w:t>
      </w:r>
      <w:r w:rsidR="00762E80" w:rsidRPr="006C2316">
        <w:rPr>
          <w:rFonts w:ascii="Georgia" w:hAnsi="Georgia" w:cs="Arial"/>
          <w:b/>
          <w:lang w:val="es-419"/>
        </w:rPr>
        <w:t>(</w:t>
      </w:r>
      <w:r w:rsidR="00EA41B6" w:rsidRPr="006C2316">
        <w:rPr>
          <w:rFonts w:ascii="Georgia" w:hAnsi="Georgia" w:cs="Arial"/>
          <w:b/>
          <w:lang w:val="es-419"/>
        </w:rPr>
        <w:t>iii</w:t>
      </w:r>
      <w:r w:rsidR="00762E80" w:rsidRPr="006C2316">
        <w:rPr>
          <w:rFonts w:ascii="Georgia" w:hAnsi="Georgia" w:cs="Arial"/>
          <w:b/>
          <w:lang w:val="es-419"/>
        </w:rPr>
        <w:t>)</w:t>
      </w:r>
      <w:r w:rsidR="00762E80" w:rsidRPr="006C2316">
        <w:rPr>
          <w:rFonts w:ascii="Georgia" w:hAnsi="Georgia" w:cs="Arial"/>
          <w:lang w:val="es-419"/>
        </w:rPr>
        <w:t xml:space="preserve"> </w:t>
      </w:r>
      <w:r w:rsidR="00976B12" w:rsidRPr="006C2316">
        <w:rPr>
          <w:rFonts w:ascii="Georgia" w:hAnsi="Georgia" w:cs="Arial"/>
          <w:lang w:val="es-419"/>
        </w:rPr>
        <w:t>S</w:t>
      </w:r>
      <w:r w:rsidR="00B8609D" w:rsidRPr="006C2316">
        <w:rPr>
          <w:rFonts w:ascii="Georgia" w:hAnsi="Georgia" w:cs="Arial"/>
          <w:lang w:val="es-419"/>
        </w:rPr>
        <w:t xml:space="preserve">e condenará en costas al recurrente </w:t>
      </w:r>
      <w:r w:rsidR="003C6F40" w:rsidRPr="006C2316">
        <w:rPr>
          <w:rFonts w:ascii="Georgia" w:hAnsi="Georgia" w:cs="Arial"/>
          <w:lang w:val="es-419"/>
        </w:rPr>
        <w:t xml:space="preserve">que </w:t>
      </w:r>
      <w:r w:rsidR="00C83A8D" w:rsidRPr="006C2316">
        <w:rPr>
          <w:rFonts w:ascii="Georgia" w:hAnsi="Georgia" w:cs="Arial"/>
          <w:lang w:val="es-419"/>
        </w:rPr>
        <w:t xml:space="preserve">fracasó </w:t>
      </w:r>
      <w:r w:rsidR="003C6F40" w:rsidRPr="006C2316">
        <w:rPr>
          <w:rFonts w:ascii="Georgia" w:hAnsi="Georgia" w:cs="Arial"/>
          <w:lang w:val="es-419"/>
        </w:rPr>
        <w:t xml:space="preserve">en </w:t>
      </w:r>
      <w:r w:rsidR="00B8609D" w:rsidRPr="006C2316">
        <w:rPr>
          <w:rFonts w:ascii="Georgia" w:hAnsi="Georgia" w:cs="Arial"/>
          <w:lang w:val="es-419"/>
        </w:rPr>
        <w:t>su recurso</w:t>
      </w:r>
      <w:r w:rsidR="00976B12" w:rsidRPr="006C2316">
        <w:rPr>
          <w:rFonts w:ascii="Georgia" w:hAnsi="Georgia" w:cs="Arial"/>
          <w:lang w:val="es-419"/>
        </w:rPr>
        <w:t xml:space="preserve"> </w:t>
      </w:r>
      <w:r w:rsidR="005C7986" w:rsidRPr="006C2316">
        <w:rPr>
          <w:rFonts w:ascii="Georgia" w:hAnsi="Georgia" w:cs="Arial"/>
          <w:lang w:val="es-419"/>
        </w:rPr>
        <w:t>(</w:t>
      </w:r>
      <w:r w:rsidR="005C7986" w:rsidRPr="006C2316">
        <w:rPr>
          <w:rFonts w:ascii="Georgia" w:hAnsi="Georgia" w:cs="Arial"/>
          <w:sz w:val="22"/>
          <w:lang w:val="es-419"/>
        </w:rPr>
        <w:t>Artículo 365-1º, CGP</w:t>
      </w:r>
      <w:r w:rsidR="005C7986" w:rsidRPr="006C2316">
        <w:rPr>
          <w:rFonts w:ascii="Georgia" w:hAnsi="Georgia" w:cs="Arial"/>
          <w:lang w:val="es-419"/>
        </w:rPr>
        <w:t>)</w:t>
      </w:r>
      <w:r w:rsidR="002524DD" w:rsidRPr="006C2316">
        <w:rPr>
          <w:rFonts w:ascii="Georgia" w:hAnsi="Georgia" w:cs="Arial"/>
          <w:lang w:val="es-419"/>
        </w:rPr>
        <w:t xml:space="preserve">; </w:t>
      </w:r>
      <w:r w:rsidR="00EA41B6" w:rsidRPr="006C2316">
        <w:rPr>
          <w:rFonts w:ascii="Georgia" w:hAnsi="Georgia" w:cs="Arial"/>
          <w:lang w:val="es-419"/>
        </w:rPr>
        <w:t xml:space="preserve">y, </w:t>
      </w:r>
      <w:r w:rsidR="00EA41B6" w:rsidRPr="006C2316">
        <w:rPr>
          <w:rFonts w:ascii="Georgia" w:hAnsi="Georgia" w:cs="Arial"/>
          <w:b/>
          <w:lang w:val="es-419"/>
        </w:rPr>
        <w:t>(iv</w:t>
      </w:r>
      <w:r w:rsidR="00B8609D" w:rsidRPr="006C2316">
        <w:rPr>
          <w:rFonts w:ascii="Georgia" w:hAnsi="Georgia" w:cs="Arial"/>
          <w:b/>
          <w:lang w:val="es-419"/>
        </w:rPr>
        <w:t>)</w:t>
      </w:r>
      <w:r w:rsidR="00B8609D" w:rsidRPr="006C2316">
        <w:rPr>
          <w:rFonts w:ascii="Georgia" w:hAnsi="Georgia" w:cs="Arial"/>
          <w:lang w:val="es-419"/>
        </w:rPr>
        <w:t xml:space="preserve"> </w:t>
      </w:r>
      <w:r w:rsidRPr="006C2316">
        <w:rPr>
          <w:rFonts w:ascii="Georgia" w:hAnsi="Georgia" w:cs="Arial"/>
          <w:lang w:val="es-419"/>
        </w:rPr>
        <w:t>Se ordenará devolver el expedie</w:t>
      </w:r>
      <w:r w:rsidR="00762E80" w:rsidRPr="006C2316">
        <w:rPr>
          <w:rFonts w:ascii="Georgia" w:hAnsi="Georgia" w:cs="Arial"/>
          <w:lang w:val="es-419"/>
        </w:rPr>
        <w:t>nte al juzgado de origen</w:t>
      </w:r>
      <w:r w:rsidR="00B8609D" w:rsidRPr="006C2316">
        <w:rPr>
          <w:rFonts w:ascii="Georgia" w:hAnsi="Georgia" w:cs="Arial"/>
          <w:lang w:val="es-419"/>
        </w:rPr>
        <w:t>.</w:t>
      </w:r>
    </w:p>
    <w:p w:rsidR="002020F7" w:rsidRPr="006C2316" w:rsidRDefault="002020F7" w:rsidP="006C2316">
      <w:pPr>
        <w:spacing w:line="276" w:lineRule="auto"/>
        <w:jc w:val="both"/>
        <w:rPr>
          <w:rFonts w:ascii="Georgia" w:hAnsi="Georgia" w:cs="Arial"/>
          <w:lang w:val="es-419"/>
        </w:rPr>
      </w:pPr>
    </w:p>
    <w:p w:rsidR="00D77C6E" w:rsidRPr="006C2316" w:rsidRDefault="00D77C6E" w:rsidP="006C2316">
      <w:pPr>
        <w:spacing w:line="276" w:lineRule="auto"/>
        <w:jc w:val="both"/>
        <w:rPr>
          <w:rFonts w:ascii="Georgia" w:hAnsi="Georgia" w:cs="Arial"/>
          <w:lang w:val="es-419"/>
        </w:rPr>
      </w:pPr>
      <w:r w:rsidRPr="006C2316">
        <w:rPr>
          <w:rFonts w:ascii="Georgia" w:hAnsi="Georgia" w:cs="Arial"/>
          <w:lang w:val="es-419"/>
        </w:rPr>
        <w:t>Las agencias se fijarán en auto posterior y no en esta decisión, porque esa expresa modificación, fue introducida por la Ley 1395 de 2010, que desapareció en la nueva redacción del artículo 365, ib.</w:t>
      </w:r>
    </w:p>
    <w:p w:rsidR="00B103A7" w:rsidRPr="006C2316" w:rsidRDefault="00B103A7" w:rsidP="006C2316">
      <w:pPr>
        <w:spacing w:line="276" w:lineRule="auto"/>
        <w:jc w:val="both"/>
        <w:rPr>
          <w:rFonts w:ascii="Georgia" w:hAnsi="Georgia" w:cs="Arial"/>
          <w:lang w:val="es-419"/>
        </w:rPr>
      </w:pPr>
    </w:p>
    <w:p w:rsidR="003B3275" w:rsidRPr="006C2316" w:rsidRDefault="003B3275" w:rsidP="006C2316">
      <w:pPr>
        <w:tabs>
          <w:tab w:val="left" w:pos="-720"/>
        </w:tabs>
        <w:suppressAutoHyphens/>
        <w:spacing w:line="276" w:lineRule="auto"/>
        <w:jc w:val="both"/>
        <w:rPr>
          <w:rFonts w:ascii="Georgia" w:hAnsi="Georgia" w:cs="Arial"/>
          <w:spacing w:val="-3"/>
          <w:lang w:val="es-419"/>
        </w:rPr>
      </w:pPr>
      <w:r w:rsidRPr="006C2316">
        <w:rPr>
          <w:rFonts w:ascii="Georgia" w:hAnsi="Georgia" w:cs="Arial"/>
          <w:lang w:val="es-419"/>
        </w:rPr>
        <w:t xml:space="preserve">En mérito de lo discurrido en los acápites precedentes, el </w:t>
      </w:r>
      <w:r w:rsidRPr="006C2316">
        <w:rPr>
          <w:rFonts w:ascii="Georgia" w:hAnsi="Georgia" w:cs="Arial"/>
          <w:smallCaps/>
          <w:lang w:val="es-419"/>
        </w:rPr>
        <w:t>Tribunal Superior del Distrito Judicial de Pereira, Sala Unitaria de Decisión</w:t>
      </w:r>
      <w:r w:rsidRPr="006C2316">
        <w:rPr>
          <w:rFonts w:ascii="Georgia" w:hAnsi="Georgia" w:cs="Arial"/>
          <w:lang w:val="es-419"/>
        </w:rPr>
        <w:t>,</w:t>
      </w:r>
    </w:p>
    <w:p w:rsidR="003B3275" w:rsidRPr="005C55C2" w:rsidRDefault="003B3275" w:rsidP="005C55C2">
      <w:pPr>
        <w:pStyle w:val="Textopredeterminado"/>
        <w:tabs>
          <w:tab w:val="left" w:pos="3900"/>
        </w:tabs>
        <w:spacing w:line="276" w:lineRule="auto"/>
        <w:jc w:val="both"/>
        <w:rPr>
          <w:rFonts w:ascii="Georgia" w:hAnsi="Georgia" w:cs="Arial"/>
          <w:lang w:val="es-419"/>
        </w:rPr>
      </w:pPr>
    </w:p>
    <w:p w:rsidR="003B3275" w:rsidRPr="006C2316" w:rsidRDefault="003B3275" w:rsidP="006C2316">
      <w:pPr>
        <w:pStyle w:val="Sinespaciado"/>
        <w:spacing w:line="276" w:lineRule="auto"/>
        <w:jc w:val="center"/>
        <w:rPr>
          <w:rFonts w:ascii="Georgia" w:hAnsi="Georgia" w:cs="Arial"/>
          <w:lang w:val="es-419"/>
        </w:rPr>
      </w:pPr>
      <w:r w:rsidRPr="006C2316">
        <w:rPr>
          <w:rFonts w:ascii="Georgia" w:hAnsi="Georgia" w:cs="Arial"/>
          <w:sz w:val="28"/>
          <w:lang w:val="es-419"/>
        </w:rPr>
        <w:t xml:space="preserve">R </w:t>
      </w:r>
      <w:r w:rsidR="005C55C2">
        <w:rPr>
          <w:rFonts w:ascii="Georgia" w:hAnsi="Georgia" w:cs="Arial"/>
          <w:lang w:val="es-419"/>
        </w:rPr>
        <w:t>E S U E L V E</w:t>
      </w:r>
    </w:p>
    <w:p w:rsidR="003B3275" w:rsidRPr="005C55C2" w:rsidRDefault="003B3275" w:rsidP="005C55C2">
      <w:pPr>
        <w:pStyle w:val="Textopredeterminado"/>
        <w:tabs>
          <w:tab w:val="left" w:pos="3900"/>
        </w:tabs>
        <w:spacing w:line="276" w:lineRule="auto"/>
        <w:jc w:val="both"/>
        <w:rPr>
          <w:rFonts w:ascii="Georgia" w:hAnsi="Georgia" w:cs="Arial"/>
          <w:lang w:val="es-419"/>
        </w:rPr>
      </w:pPr>
    </w:p>
    <w:p w:rsidR="003B3275" w:rsidRPr="006C2316" w:rsidRDefault="008F0855" w:rsidP="006C2316">
      <w:pPr>
        <w:pStyle w:val="Textopredeterminado"/>
        <w:numPr>
          <w:ilvl w:val="0"/>
          <w:numId w:val="21"/>
        </w:numPr>
        <w:tabs>
          <w:tab w:val="left" w:pos="544"/>
        </w:tabs>
        <w:spacing w:line="276" w:lineRule="auto"/>
        <w:jc w:val="both"/>
        <w:textAlignment w:val="auto"/>
        <w:rPr>
          <w:rFonts w:ascii="Georgia" w:hAnsi="Georgia"/>
          <w:color w:val="auto"/>
          <w:szCs w:val="24"/>
          <w:lang w:val="es-419"/>
        </w:rPr>
      </w:pPr>
      <w:r w:rsidRPr="006C2316">
        <w:rPr>
          <w:rFonts w:ascii="Georgia" w:hAnsi="Georgia" w:cs="Arial"/>
          <w:color w:val="auto"/>
          <w:szCs w:val="24"/>
          <w:lang w:val="es-419"/>
        </w:rPr>
        <w:t xml:space="preserve">CONFIRMAR </w:t>
      </w:r>
      <w:r w:rsidR="00EA41B6" w:rsidRPr="006C2316">
        <w:rPr>
          <w:rFonts w:ascii="Georgia" w:hAnsi="Georgia" w:cs="Arial"/>
          <w:color w:val="auto"/>
          <w:szCs w:val="24"/>
          <w:lang w:val="es-419"/>
        </w:rPr>
        <w:t>el pro</w:t>
      </w:r>
      <w:r w:rsidR="0007518B" w:rsidRPr="006C2316">
        <w:rPr>
          <w:rFonts w:ascii="Georgia" w:hAnsi="Georgia" w:cs="Arial"/>
          <w:color w:val="auto"/>
          <w:szCs w:val="24"/>
          <w:lang w:val="es-419"/>
        </w:rPr>
        <w:t xml:space="preserve">veído dictado </w:t>
      </w:r>
      <w:r w:rsidRPr="006C2316">
        <w:rPr>
          <w:rFonts w:ascii="Georgia" w:hAnsi="Georgia" w:cs="Arial"/>
          <w:color w:val="auto"/>
          <w:szCs w:val="24"/>
          <w:lang w:val="es-419"/>
        </w:rPr>
        <w:t>día 0</w:t>
      </w:r>
      <w:r w:rsidR="003D5372" w:rsidRPr="006C2316">
        <w:rPr>
          <w:rFonts w:ascii="Georgia" w:hAnsi="Georgia" w:cs="Arial"/>
          <w:color w:val="auto"/>
          <w:szCs w:val="24"/>
          <w:lang w:val="es-419"/>
        </w:rPr>
        <w:t>7</w:t>
      </w:r>
      <w:r w:rsidR="00EA41B6" w:rsidRPr="006C2316">
        <w:rPr>
          <w:rFonts w:ascii="Georgia" w:hAnsi="Georgia" w:cs="Arial"/>
          <w:color w:val="auto"/>
          <w:szCs w:val="24"/>
          <w:lang w:val="es-419"/>
        </w:rPr>
        <w:t>-</w:t>
      </w:r>
      <w:r w:rsidR="003D5372" w:rsidRPr="006C2316">
        <w:rPr>
          <w:rFonts w:ascii="Georgia" w:hAnsi="Georgia" w:cs="Arial"/>
          <w:color w:val="auto"/>
          <w:szCs w:val="24"/>
          <w:lang w:val="es-419"/>
        </w:rPr>
        <w:t>12</w:t>
      </w:r>
      <w:r w:rsidR="00EA41B6" w:rsidRPr="006C2316">
        <w:rPr>
          <w:rFonts w:ascii="Georgia" w:hAnsi="Georgia" w:cs="Arial"/>
          <w:color w:val="auto"/>
          <w:szCs w:val="24"/>
          <w:lang w:val="es-419"/>
        </w:rPr>
        <w:t>-201</w:t>
      </w:r>
      <w:r w:rsidR="003D5372" w:rsidRPr="006C2316">
        <w:rPr>
          <w:rFonts w:ascii="Georgia" w:hAnsi="Georgia" w:cs="Arial"/>
          <w:color w:val="auto"/>
          <w:szCs w:val="24"/>
          <w:lang w:val="es-419"/>
        </w:rPr>
        <w:t>8</w:t>
      </w:r>
      <w:r w:rsidRPr="006C2316">
        <w:rPr>
          <w:rFonts w:ascii="Georgia" w:hAnsi="Georgia" w:cs="Arial"/>
          <w:color w:val="auto"/>
          <w:szCs w:val="24"/>
          <w:lang w:val="es-419"/>
        </w:rPr>
        <w:t xml:space="preserve">, que </w:t>
      </w:r>
      <w:r w:rsidR="003D5372" w:rsidRPr="006C2316">
        <w:rPr>
          <w:rFonts w:ascii="Georgia" w:hAnsi="Georgia" w:cs="Arial"/>
          <w:color w:val="auto"/>
          <w:szCs w:val="24"/>
          <w:lang w:val="es-419"/>
        </w:rPr>
        <w:t>declaró la terminación del proceso por desistimiento tácito</w:t>
      </w:r>
      <w:r w:rsidR="00DA20FF" w:rsidRPr="006C2316">
        <w:rPr>
          <w:rFonts w:ascii="Georgia" w:hAnsi="Georgia" w:cs="Arial"/>
          <w:color w:val="auto"/>
          <w:szCs w:val="24"/>
          <w:lang w:val="es-419"/>
        </w:rPr>
        <w:t>.</w:t>
      </w:r>
    </w:p>
    <w:p w:rsidR="003B3275" w:rsidRPr="005C55C2" w:rsidRDefault="003B3275" w:rsidP="005C55C2">
      <w:pPr>
        <w:pStyle w:val="Textopredeterminado"/>
        <w:tabs>
          <w:tab w:val="left" w:pos="3900"/>
        </w:tabs>
        <w:spacing w:line="276" w:lineRule="auto"/>
        <w:jc w:val="both"/>
        <w:rPr>
          <w:rFonts w:ascii="Georgia" w:hAnsi="Georgia" w:cs="Arial"/>
          <w:lang w:val="es-419"/>
        </w:rPr>
      </w:pPr>
    </w:p>
    <w:p w:rsidR="00B8609D" w:rsidRPr="006C2316" w:rsidRDefault="003B3275" w:rsidP="006C2316">
      <w:pPr>
        <w:pStyle w:val="Textopredeterminado"/>
        <w:numPr>
          <w:ilvl w:val="0"/>
          <w:numId w:val="21"/>
        </w:numPr>
        <w:tabs>
          <w:tab w:val="left" w:pos="544"/>
        </w:tabs>
        <w:spacing w:line="276" w:lineRule="auto"/>
        <w:jc w:val="both"/>
        <w:textAlignment w:val="auto"/>
        <w:rPr>
          <w:rFonts w:ascii="Georgia" w:hAnsi="Georgia"/>
          <w:color w:val="auto"/>
          <w:szCs w:val="24"/>
          <w:lang w:val="es-419"/>
        </w:rPr>
      </w:pPr>
      <w:r w:rsidRPr="005C55C2">
        <w:rPr>
          <w:rFonts w:ascii="Georgia" w:hAnsi="Georgia" w:cs="Arial"/>
          <w:lang w:val="es-419"/>
        </w:rPr>
        <w:t>ADVERTIR qu</w:t>
      </w:r>
      <w:r w:rsidR="00F978D5" w:rsidRPr="005C55C2">
        <w:rPr>
          <w:rFonts w:ascii="Georgia" w:hAnsi="Georgia" w:cs="Arial"/>
          <w:lang w:val="es-419"/>
        </w:rPr>
        <w:t xml:space="preserve">e esta decisión es irrecurrible; </w:t>
      </w:r>
      <w:r w:rsidR="003D5372" w:rsidRPr="005C55C2">
        <w:rPr>
          <w:rFonts w:ascii="Georgia" w:hAnsi="Georgia" w:cs="Arial"/>
          <w:lang w:val="es-419"/>
        </w:rPr>
        <w:t xml:space="preserve">y, </w:t>
      </w:r>
      <w:r w:rsidR="00B8609D" w:rsidRPr="005C55C2">
        <w:rPr>
          <w:rFonts w:ascii="Georgia" w:hAnsi="Georgia" w:cs="Arial"/>
          <w:lang w:val="es-419"/>
        </w:rPr>
        <w:t xml:space="preserve">CONDENAR </w:t>
      </w:r>
      <w:r w:rsidR="008F0855" w:rsidRPr="005C55C2">
        <w:rPr>
          <w:rFonts w:ascii="Georgia" w:hAnsi="Georgia" w:cs="Arial"/>
          <w:lang w:val="es-419"/>
        </w:rPr>
        <w:t>en costas</w:t>
      </w:r>
      <w:r w:rsidR="003D5372" w:rsidRPr="005C55C2">
        <w:rPr>
          <w:rFonts w:ascii="Georgia" w:hAnsi="Georgia" w:cs="Arial"/>
          <w:lang w:val="es-419"/>
        </w:rPr>
        <w:t>, en esta</w:t>
      </w:r>
      <w:r w:rsidR="003D5372" w:rsidRPr="006C2316">
        <w:rPr>
          <w:rFonts w:ascii="Georgia" w:hAnsi="Georgia"/>
          <w:color w:val="auto"/>
          <w:szCs w:val="24"/>
          <w:lang w:val="es-419"/>
        </w:rPr>
        <w:t xml:space="preserve"> instancia,</w:t>
      </w:r>
      <w:r w:rsidR="008F0855" w:rsidRPr="006C2316">
        <w:rPr>
          <w:rFonts w:ascii="Georgia" w:hAnsi="Georgia"/>
          <w:color w:val="auto"/>
          <w:szCs w:val="24"/>
          <w:lang w:val="es-419"/>
        </w:rPr>
        <w:t xml:space="preserve"> </w:t>
      </w:r>
      <w:r w:rsidR="00B8609D" w:rsidRPr="006C2316">
        <w:rPr>
          <w:rFonts w:ascii="Georgia" w:hAnsi="Georgia"/>
          <w:color w:val="auto"/>
          <w:szCs w:val="24"/>
          <w:lang w:val="es-419"/>
        </w:rPr>
        <w:t xml:space="preserve">a la parte </w:t>
      </w:r>
      <w:r w:rsidR="003D5372" w:rsidRPr="006C2316">
        <w:rPr>
          <w:rFonts w:ascii="Georgia" w:hAnsi="Georgia"/>
          <w:color w:val="auto"/>
          <w:szCs w:val="24"/>
          <w:lang w:val="es-419"/>
        </w:rPr>
        <w:t>ejecutante y a favor de la ejecutada. Las agencias de esta instancia se fijarán en auto posterior.</w:t>
      </w:r>
    </w:p>
    <w:p w:rsidR="009C5650" w:rsidRPr="005C55C2" w:rsidRDefault="009C5650" w:rsidP="005C55C2">
      <w:pPr>
        <w:pStyle w:val="Textopredeterminado"/>
        <w:tabs>
          <w:tab w:val="left" w:pos="3900"/>
        </w:tabs>
        <w:spacing w:line="276" w:lineRule="auto"/>
        <w:jc w:val="both"/>
        <w:rPr>
          <w:rFonts w:ascii="Georgia" w:hAnsi="Georgia" w:cs="Arial"/>
          <w:lang w:val="es-419"/>
        </w:rPr>
      </w:pPr>
    </w:p>
    <w:p w:rsidR="003964CD" w:rsidRPr="006C2316" w:rsidRDefault="003B3275" w:rsidP="006C2316">
      <w:pPr>
        <w:pStyle w:val="Textopredeterminado"/>
        <w:numPr>
          <w:ilvl w:val="0"/>
          <w:numId w:val="21"/>
        </w:numPr>
        <w:tabs>
          <w:tab w:val="left" w:pos="544"/>
        </w:tabs>
        <w:spacing w:line="276" w:lineRule="auto"/>
        <w:jc w:val="both"/>
        <w:textAlignment w:val="auto"/>
        <w:rPr>
          <w:rFonts w:ascii="Georgia" w:hAnsi="Georgia" w:cs="Arial"/>
          <w:szCs w:val="24"/>
          <w:lang w:val="es-419"/>
        </w:rPr>
      </w:pPr>
      <w:r w:rsidRPr="006C2316">
        <w:rPr>
          <w:rFonts w:ascii="Georgia" w:hAnsi="Georgia" w:cs="Arial"/>
          <w:color w:val="auto"/>
          <w:szCs w:val="24"/>
          <w:lang w:val="es-419"/>
        </w:rPr>
        <w:t xml:space="preserve">DEVOLVER el expediente al Despacho de origen, por conducto de la Secretaría </w:t>
      </w:r>
      <w:r w:rsidR="00F17EA4" w:rsidRPr="006C2316">
        <w:rPr>
          <w:rFonts w:ascii="Georgia" w:hAnsi="Georgia" w:cs="Arial"/>
          <w:color w:val="auto"/>
          <w:szCs w:val="24"/>
          <w:lang w:val="es-419"/>
        </w:rPr>
        <w:t>de la Sala</w:t>
      </w:r>
      <w:r w:rsidRPr="006C2316">
        <w:rPr>
          <w:rFonts w:ascii="Georgia" w:hAnsi="Georgia" w:cs="Arial"/>
          <w:color w:val="auto"/>
          <w:szCs w:val="24"/>
          <w:lang w:val="es-419"/>
        </w:rPr>
        <w:t>.</w:t>
      </w:r>
    </w:p>
    <w:p w:rsidR="006C2316" w:rsidRPr="005C55C2" w:rsidRDefault="006C2316" w:rsidP="005C55C2">
      <w:pPr>
        <w:pStyle w:val="Textopredeterminado"/>
        <w:tabs>
          <w:tab w:val="left" w:pos="3900"/>
        </w:tabs>
        <w:spacing w:line="276" w:lineRule="auto"/>
        <w:jc w:val="both"/>
        <w:rPr>
          <w:rFonts w:ascii="Georgia" w:hAnsi="Georgia" w:cs="Arial"/>
          <w:lang w:val="es-419"/>
        </w:rPr>
      </w:pPr>
    </w:p>
    <w:p w:rsidR="006C2316" w:rsidRPr="005C55C2" w:rsidRDefault="006C2316" w:rsidP="005C55C2">
      <w:pPr>
        <w:pStyle w:val="Textopredeterminado"/>
        <w:tabs>
          <w:tab w:val="left" w:pos="3900"/>
        </w:tabs>
        <w:spacing w:line="276" w:lineRule="auto"/>
        <w:jc w:val="both"/>
        <w:rPr>
          <w:rFonts w:ascii="Georgia" w:hAnsi="Georgia" w:cs="Arial"/>
          <w:lang w:val="es-419"/>
        </w:rPr>
      </w:pPr>
    </w:p>
    <w:p w:rsidR="005F57E8" w:rsidRPr="006C2316" w:rsidRDefault="00B8609D" w:rsidP="006C2316">
      <w:pPr>
        <w:pStyle w:val="Sinespaciado"/>
        <w:tabs>
          <w:tab w:val="center" w:pos="4845"/>
          <w:tab w:val="left" w:pos="6463"/>
        </w:tabs>
        <w:spacing w:line="276" w:lineRule="auto"/>
        <w:jc w:val="center"/>
        <w:rPr>
          <w:rFonts w:ascii="Georgia" w:hAnsi="Georgia" w:cs="Arial"/>
          <w:smallCaps/>
          <w:sz w:val="28"/>
          <w:lang w:val="es-419"/>
        </w:rPr>
      </w:pPr>
      <w:r w:rsidRPr="006C2316">
        <w:rPr>
          <w:rFonts w:ascii="Georgia" w:hAnsi="Georgia" w:cs="Arial"/>
          <w:smallCaps/>
          <w:sz w:val="28"/>
          <w:lang w:val="es-419"/>
        </w:rPr>
        <w:t xml:space="preserve">N </w:t>
      </w:r>
      <w:r w:rsidRPr="006C2316">
        <w:rPr>
          <w:rFonts w:ascii="Georgia" w:hAnsi="Georgia" w:cs="Arial"/>
          <w:smallCaps/>
          <w:lang w:val="es-419"/>
        </w:rPr>
        <w:t>O T I F Í Q U E S E</w:t>
      </w:r>
    </w:p>
    <w:p w:rsidR="006C0424" w:rsidRPr="005C55C2" w:rsidRDefault="006C0424" w:rsidP="005C55C2">
      <w:pPr>
        <w:pStyle w:val="Textopredeterminado"/>
        <w:tabs>
          <w:tab w:val="left" w:pos="3900"/>
        </w:tabs>
        <w:spacing w:line="276" w:lineRule="auto"/>
        <w:jc w:val="both"/>
        <w:rPr>
          <w:rFonts w:ascii="Georgia" w:hAnsi="Georgia" w:cs="Arial"/>
          <w:lang w:val="es-419"/>
        </w:rPr>
      </w:pPr>
    </w:p>
    <w:p w:rsidR="005C43D0" w:rsidRPr="005C55C2" w:rsidRDefault="005C43D0" w:rsidP="005C55C2">
      <w:pPr>
        <w:pStyle w:val="Textopredeterminado"/>
        <w:tabs>
          <w:tab w:val="left" w:pos="3900"/>
        </w:tabs>
        <w:spacing w:line="276" w:lineRule="auto"/>
        <w:jc w:val="both"/>
        <w:rPr>
          <w:rFonts w:ascii="Georgia" w:hAnsi="Georgia" w:cs="Arial"/>
          <w:lang w:val="es-419"/>
        </w:rPr>
      </w:pPr>
    </w:p>
    <w:p w:rsidR="00B8609D" w:rsidRPr="005C55C2" w:rsidRDefault="00B8609D" w:rsidP="005C55C2">
      <w:pPr>
        <w:pStyle w:val="Textopredeterminado"/>
        <w:tabs>
          <w:tab w:val="left" w:pos="3900"/>
        </w:tabs>
        <w:spacing w:line="276" w:lineRule="auto"/>
        <w:jc w:val="both"/>
        <w:rPr>
          <w:rFonts w:ascii="Georgia" w:hAnsi="Georgia" w:cs="Arial"/>
          <w:lang w:val="es-419"/>
        </w:rPr>
      </w:pPr>
    </w:p>
    <w:p w:rsidR="00412B9B" w:rsidRPr="006C2316" w:rsidRDefault="00412B9B" w:rsidP="006C2316">
      <w:pPr>
        <w:pStyle w:val="Textoindependiente"/>
        <w:spacing w:line="276" w:lineRule="auto"/>
        <w:jc w:val="center"/>
        <w:rPr>
          <w:rFonts w:ascii="Georgia" w:hAnsi="Georgia"/>
          <w:w w:val="150"/>
          <w:sz w:val="20"/>
          <w:lang w:val="es-419"/>
        </w:rPr>
      </w:pPr>
      <w:r w:rsidRPr="006C2316">
        <w:rPr>
          <w:rFonts w:ascii="Georgia" w:hAnsi="Georgia"/>
          <w:w w:val="150"/>
          <w:sz w:val="28"/>
          <w:szCs w:val="24"/>
          <w:lang w:val="es-419"/>
        </w:rPr>
        <w:t>D</w:t>
      </w:r>
      <w:r w:rsidRPr="006C2316">
        <w:rPr>
          <w:rFonts w:ascii="Georgia" w:hAnsi="Georgia"/>
          <w:w w:val="150"/>
          <w:sz w:val="20"/>
          <w:szCs w:val="18"/>
          <w:lang w:val="es-419"/>
        </w:rPr>
        <w:t xml:space="preserve">UBERNEY </w:t>
      </w:r>
      <w:r w:rsidRPr="006C2316">
        <w:rPr>
          <w:rFonts w:ascii="Georgia" w:hAnsi="Georgia"/>
          <w:w w:val="150"/>
          <w:sz w:val="28"/>
          <w:szCs w:val="24"/>
          <w:lang w:val="es-419"/>
        </w:rPr>
        <w:t>G</w:t>
      </w:r>
      <w:r w:rsidRPr="006C2316">
        <w:rPr>
          <w:rFonts w:ascii="Georgia" w:hAnsi="Georgia"/>
          <w:w w:val="150"/>
          <w:sz w:val="20"/>
          <w:szCs w:val="18"/>
          <w:lang w:val="es-419"/>
        </w:rPr>
        <w:t xml:space="preserve">RISALES </w:t>
      </w:r>
      <w:r w:rsidRPr="006C2316">
        <w:rPr>
          <w:rFonts w:ascii="Georgia" w:hAnsi="Georgia"/>
          <w:w w:val="150"/>
          <w:sz w:val="28"/>
          <w:szCs w:val="24"/>
          <w:lang w:val="es-419"/>
        </w:rPr>
        <w:t>H</w:t>
      </w:r>
      <w:r w:rsidRPr="006C2316">
        <w:rPr>
          <w:rFonts w:ascii="Georgia" w:hAnsi="Georgia"/>
          <w:w w:val="150"/>
          <w:sz w:val="20"/>
          <w:szCs w:val="18"/>
          <w:lang w:val="es-419"/>
        </w:rPr>
        <w:t>ERRERA</w:t>
      </w:r>
    </w:p>
    <w:p w:rsidR="007B6FA0" w:rsidRPr="006C2316" w:rsidRDefault="00412B9B" w:rsidP="006C2316">
      <w:pPr>
        <w:pStyle w:val="Textoindependiente"/>
        <w:tabs>
          <w:tab w:val="center" w:pos="4703"/>
          <w:tab w:val="right" w:pos="9407"/>
        </w:tabs>
        <w:spacing w:line="276" w:lineRule="auto"/>
        <w:jc w:val="center"/>
        <w:rPr>
          <w:rFonts w:ascii="Georgia" w:hAnsi="Georgia"/>
          <w:w w:val="150"/>
          <w:sz w:val="18"/>
          <w:lang w:val="es-419"/>
        </w:rPr>
      </w:pPr>
      <w:r w:rsidRPr="006C2316">
        <w:rPr>
          <w:rFonts w:ascii="Georgia" w:hAnsi="Georgia"/>
          <w:w w:val="150"/>
          <w:szCs w:val="24"/>
          <w:lang w:val="es-419"/>
        </w:rPr>
        <w:t xml:space="preserve">M </w:t>
      </w:r>
      <w:r w:rsidRPr="006C2316">
        <w:rPr>
          <w:rFonts w:ascii="Georgia" w:hAnsi="Georgia"/>
          <w:w w:val="150"/>
          <w:sz w:val="18"/>
          <w:lang w:val="es-419"/>
        </w:rPr>
        <w:t>A G I S T R A D O</w:t>
      </w:r>
    </w:p>
    <w:sectPr w:rsidR="007B6FA0" w:rsidRPr="006C2316" w:rsidSect="006C2316">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42" w:rsidRDefault="00376A42" w:rsidP="004D2025">
      <w:r>
        <w:separator/>
      </w:r>
    </w:p>
  </w:endnote>
  <w:endnote w:type="continuationSeparator" w:id="0">
    <w:p w:rsidR="00376A42" w:rsidRDefault="00376A4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rsidR="00F013A2" w:rsidRPr="00EF2F25" w:rsidRDefault="00F013A2" w:rsidP="00F013A2">
    <w:pPr>
      <w:pStyle w:val="Piedepgina"/>
      <w:spacing w:line="360" w:lineRule="auto"/>
      <w:jc w:val="right"/>
      <w:rPr>
        <w:rFonts w:ascii="Georgia" w:hAnsi="Georgia" w:cs="Arial"/>
        <w:i/>
        <w:spacing w:val="20"/>
        <w:w w:val="200"/>
        <w:sz w:val="14"/>
        <w:szCs w:val="10"/>
      </w:rPr>
    </w:pPr>
  </w:p>
  <w:p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rsidR="00441A24" w:rsidRPr="00EF2F25" w:rsidRDefault="00F013A2" w:rsidP="00F013A2">
    <w:pPr>
      <w:pStyle w:val="Piedepgina"/>
      <w:jc w:val="right"/>
      <w:rPr>
        <w:rFonts w:ascii="Georgia" w:hAnsi="Georgia"/>
      </w:rPr>
    </w:pPr>
    <w:proofErr w:type="spellStart"/>
    <w:r w:rsidRPr="00EF2F25">
      <w:rPr>
        <w:rFonts w:ascii="Georgia" w:hAnsi="Georgia" w:cs="Arial"/>
        <w:i/>
        <w:spacing w:val="20"/>
        <w:w w:val="200"/>
        <w:sz w:val="10"/>
        <w:szCs w:val="10"/>
      </w:rPr>
      <w:t>MP</w:t>
    </w:r>
    <w:proofErr w:type="spellEnd"/>
    <w:r w:rsidRPr="00EF2F25">
      <w:rPr>
        <w:rFonts w:ascii="Georgia" w:hAnsi="Georgia" w:cs="Arial"/>
        <w:i/>
        <w:spacing w:val="20"/>
        <w:w w:val="200"/>
        <w:sz w:val="10"/>
        <w:szCs w:val="10"/>
      </w:rPr>
      <w:t xml:space="preserve">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42" w:rsidRDefault="00376A42" w:rsidP="004D2025">
      <w:r>
        <w:separator/>
      </w:r>
    </w:p>
  </w:footnote>
  <w:footnote w:type="continuationSeparator" w:id="0">
    <w:p w:rsidR="00376A42" w:rsidRDefault="00376A42" w:rsidP="004D2025">
      <w:r>
        <w:continuationSeparator/>
      </w:r>
    </w:p>
  </w:footnote>
  <w:footnote w:id="1">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ESCOBAR V. Édgar G. Los recursos en el Código General del Proceso. Librería jurídica Sánchez R. Ltda. 2015, p.37.</w:t>
      </w:r>
    </w:p>
  </w:footnote>
  <w:footnote w:id="2">
    <w:p w:rsidR="001D2F5F" w:rsidRDefault="009F7B8B"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w:t>
      </w:r>
      <w:r w:rsidRPr="006C2316">
        <w:rPr>
          <w:rFonts w:ascii="Arial" w:hAnsi="Arial" w:cs="Arial"/>
          <w:sz w:val="18"/>
          <w:lang w:val="es-CO"/>
        </w:rPr>
        <w:t xml:space="preserve">LÓPEZ B., Hernán F. Código General del Proceso, parte general, Bogotá DC, </w:t>
      </w:r>
      <w:proofErr w:type="spellStart"/>
      <w:r w:rsidRPr="006C2316">
        <w:rPr>
          <w:rFonts w:ascii="Arial" w:hAnsi="Arial" w:cs="Arial"/>
          <w:sz w:val="18"/>
          <w:lang w:val="es-CO"/>
        </w:rPr>
        <w:t>Dupre</w:t>
      </w:r>
      <w:proofErr w:type="spellEnd"/>
      <w:r w:rsidRPr="006C2316">
        <w:rPr>
          <w:rFonts w:ascii="Arial" w:hAnsi="Arial" w:cs="Arial"/>
          <w:sz w:val="18"/>
          <w:lang w:val="es-CO"/>
        </w:rPr>
        <w:t xml:space="preserve"> editores, 2016, p.769-776</w:t>
      </w:r>
      <w:r w:rsidRPr="006C2316">
        <w:rPr>
          <w:rFonts w:ascii="Arial" w:hAnsi="Arial" w:cs="Arial"/>
          <w:sz w:val="18"/>
        </w:rPr>
        <w:t>.</w:t>
      </w:r>
    </w:p>
  </w:footnote>
  <w:footnote w:id="3">
    <w:p w:rsidR="001D2F5F" w:rsidRDefault="009F7B8B"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PARRA Q., Jairo. Derecho procesal civil, tomo I, Santafé de Bogotá D.C., Temis, 1992, p.276.</w:t>
      </w:r>
    </w:p>
  </w:footnote>
  <w:footnote w:id="4">
    <w:p w:rsidR="001D2F5F" w:rsidRDefault="00A257C5"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FORERO S., Jorge. El recurso de apelación y la pretensión impugnaticia [En línea]. </w:t>
      </w:r>
      <w:proofErr w:type="spellStart"/>
      <w:r w:rsidRPr="006C2316">
        <w:rPr>
          <w:rFonts w:ascii="Arial" w:hAnsi="Arial" w:cs="Arial"/>
          <w:sz w:val="18"/>
          <w:lang w:val="es-CO"/>
        </w:rPr>
        <w:t>ICDP</w:t>
      </w:r>
      <w:proofErr w:type="spellEnd"/>
      <w:r w:rsidRPr="006C2316">
        <w:rPr>
          <w:rFonts w:ascii="Arial" w:hAnsi="Arial" w:cs="Arial"/>
          <w:sz w:val="18"/>
          <w:lang w:val="es-CO"/>
        </w:rPr>
        <w:t>, revista enero-junio 2016 [Visitado el 2019-09-25]. Disponible en internet:</w:t>
      </w:r>
      <w:r w:rsidRPr="006C2316">
        <w:rPr>
          <w:rStyle w:val="CitaHTML"/>
          <w:rFonts w:ascii="Arial" w:hAnsi="Arial" w:cs="Arial"/>
          <w:iCs/>
          <w:sz w:val="18"/>
        </w:rPr>
        <w:t xml:space="preserve"> </w:t>
      </w:r>
      <w:r w:rsidRPr="006C2316">
        <w:rPr>
          <w:rFonts w:ascii="Arial" w:hAnsi="Arial" w:cs="Arial"/>
          <w:sz w:val="18"/>
          <w:lang w:val="es-CO" w:eastAsia="es-CO"/>
        </w:rPr>
        <w:t>ttps://letrujil.files.wordpress.com/2013/09/09jorge-forero-silva.pdf</w:t>
      </w:r>
    </w:p>
  </w:footnote>
  <w:footnote w:id="5">
    <w:p w:rsidR="001D2F5F" w:rsidRDefault="009F7B8B" w:rsidP="006C2316">
      <w:pPr>
        <w:pStyle w:val="Sinespaciado"/>
        <w:jc w:val="both"/>
      </w:pPr>
      <w:r w:rsidRPr="006C2316">
        <w:rPr>
          <w:rFonts w:ascii="Arial" w:hAnsi="Arial" w:cs="Arial"/>
          <w:sz w:val="18"/>
          <w:szCs w:val="20"/>
          <w:vertAlign w:val="superscript"/>
        </w:rPr>
        <w:footnoteRef/>
      </w:r>
      <w:r w:rsidRPr="006C2316">
        <w:rPr>
          <w:rFonts w:ascii="Arial" w:hAnsi="Arial" w:cs="Arial"/>
          <w:sz w:val="18"/>
          <w:szCs w:val="20"/>
        </w:rPr>
        <w:t xml:space="preserve"> </w:t>
      </w:r>
      <w:r w:rsidRPr="006C2316">
        <w:rPr>
          <w:rFonts w:ascii="Arial" w:hAnsi="Arial" w:cs="Arial"/>
          <w:sz w:val="18"/>
          <w:szCs w:val="20"/>
          <w:lang w:val="es-CO"/>
        </w:rPr>
        <w:t xml:space="preserve">LÓPEZ B., Hernán F. </w:t>
      </w:r>
      <w:r w:rsidRPr="006C2316">
        <w:rPr>
          <w:rFonts w:ascii="Arial" w:hAnsi="Arial" w:cs="Arial"/>
          <w:sz w:val="18"/>
          <w:szCs w:val="20"/>
        </w:rPr>
        <w:t>Ob. cit., p.769.</w:t>
      </w:r>
    </w:p>
  </w:footnote>
  <w:footnote w:id="6">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ROJAS G., Miguel E. Lecciones de derecho procesal, procedimiento civil, tomo II, </w:t>
      </w:r>
      <w:proofErr w:type="spellStart"/>
      <w:r w:rsidRPr="006C2316">
        <w:rPr>
          <w:rFonts w:ascii="Arial" w:hAnsi="Arial" w:cs="Arial"/>
          <w:sz w:val="18"/>
          <w:lang w:val="es-CO"/>
        </w:rPr>
        <w:t>ESAJU</w:t>
      </w:r>
      <w:proofErr w:type="spellEnd"/>
      <w:r w:rsidRPr="006C2316">
        <w:rPr>
          <w:rFonts w:ascii="Arial" w:hAnsi="Arial" w:cs="Arial"/>
          <w:sz w:val="18"/>
          <w:lang w:val="es-CO"/>
        </w:rPr>
        <w:t>, 2017, 6ª edición, Bogotá, p.429.</w:t>
      </w:r>
    </w:p>
  </w:footnote>
  <w:footnote w:id="7">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CSJ. Sala Civil. Sentencia del 17-09-1992; </w:t>
      </w:r>
      <w:proofErr w:type="spellStart"/>
      <w:r w:rsidRPr="006C2316">
        <w:rPr>
          <w:rFonts w:ascii="Arial" w:hAnsi="Arial" w:cs="Arial"/>
          <w:sz w:val="18"/>
          <w:lang w:val="es-CO"/>
        </w:rPr>
        <w:t>MP</w:t>
      </w:r>
      <w:proofErr w:type="spellEnd"/>
      <w:r w:rsidRPr="006C2316">
        <w:rPr>
          <w:rFonts w:ascii="Arial" w:hAnsi="Arial" w:cs="Arial"/>
          <w:sz w:val="18"/>
          <w:lang w:val="es-CO"/>
        </w:rPr>
        <w:t>: Ospina B.</w:t>
      </w:r>
    </w:p>
  </w:footnote>
  <w:footnote w:id="8">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CSJ. STC12737-2017.</w:t>
      </w:r>
    </w:p>
  </w:footnote>
  <w:footnote w:id="9">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LÓPEZ B., Hernán F.</w:t>
      </w:r>
      <w:r w:rsidRPr="006C2316">
        <w:rPr>
          <w:rFonts w:ascii="Arial" w:hAnsi="Arial" w:cs="Arial"/>
          <w:sz w:val="18"/>
        </w:rPr>
        <w:t xml:space="preserve"> Ob. cit., p.776.</w:t>
      </w:r>
    </w:p>
  </w:footnote>
  <w:footnote w:id="10">
    <w:p w:rsidR="001D2F5F" w:rsidRDefault="009F7B8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ROJAS G., Miguel E. Código General del Proceso comentado, </w:t>
      </w:r>
      <w:proofErr w:type="spellStart"/>
      <w:r w:rsidRPr="006C2316">
        <w:rPr>
          <w:rFonts w:ascii="Arial" w:hAnsi="Arial" w:cs="Arial"/>
          <w:sz w:val="18"/>
          <w:lang w:val="es-CO"/>
        </w:rPr>
        <w:t>ESAJU</w:t>
      </w:r>
      <w:proofErr w:type="spellEnd"/>
      <w:r w:rsidRPr="006C2316">
        <w:rPr>
          <w:rFonts w:ascii="Arial" w:hAnsi="Arial" w:cs="Arial"/>
          <w:sz w:val="18"/>
          <w:lang w:val="es-CO"/>
        </w:rPr>
        <w:t>, 2017, Bogotá DC, p.511.</w:t>
      </w:r>
    </w:p>
  </w:footnote>
  <w:footnote w:id="11">
    <w:p w:rsidR="001D2F5F" w:rsidRDefault="00E206BE"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CC. </w:t>
      </w:r>
      <w:r w:rsidRPr="006C2316">
        <w:rPr>
          <w:rFonts w:ascii="Arial" w:hAnsi="Arial" w:cs="Arial"/>
          <w:sz w:val="18"/>
          <w:lang w:val="es-CO"/>
        </w:rPr>
        <w:t>C-1186 de 2008.</w:t>
      </w:r>
    </w:p>
  </w:footnote>
  <w:footnote w:id="12">
    <w:p w:rsidR="001D2F5F" w:rsidRDefault="00E206BE"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CC. </w:t>
      </w:r>
      <w:r w:rsidRPr="006C2316">
        <w:rPr>
          <w:rFonts w:ascii="Arial" w:hAnsi="Arial" w:cs="Arial"/>
          <w:sz w:val="18"/>
          <w:lang w:val="es-CO"/>
        </w:rPr>
        <w:t>C-868 de 2010.</w:t>
      </w:r>
    </w:p>
  </w:footnote>
  <w:footnote w:id="13">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INSTITUTO COLOMBIANO DE DERECHO PROCESAL. </w:t>
      </w:r>
      <w:r w:rsidRPr="006C2316">
        <w:rPr>
          <w:rFonts w:ascii="Arial" w:hAnsi="Arial" w:cs="Arial"/>
          <w:sz w:val="18"/>
          <w:lang w:val="es-CO"/>
        </w:rPr>
        <w:t xml:space="preserve">Código General del Proceso, Carlos A. Colmenares U., XI. Formas anormales de terminación del proceso, impresor Panamericana Formas e Impresos </w:t>
      </w:r>
      <w:proofErr w:type="spellStart"/>
      <w:r w:rsidRPr="006C2316">
        <w:rPr>
          <w:rFonts w:ascii="Arial" w:hAnsi="Arial" w:cs="Arial"/>
          <w:sz w:val="18"/>
          <w:lang w:val="es-CO"/>
        </w:rPr>
        <w:t>SAS</w:t>
      </w:r>
      <w:proofErr w:type="spellEnd"/>
      <w:r w:rsidRPr="006C2316">
        <w:rPr>
          <w:rFonts w:ascii="Arial" w:hAnsi="Arial" w:cs="Arial"/>
          <w:sz w:val="18"/>
          <w:lang w:val="es-CO"/>
        </w:rPr>
        <w:t>,</w:t>
      </w:r>
      <w:r w:rsidRPr="006C2316">
        <w:rPr>
          <w:rFonts w:ascii="Arial" w:hAnsi="Arial" w:cs="Arial"/>
          <w:sz w:val="18"/>
        </w:rPr>
        <w:t xml:space="preserve"> Bogotá DC, 2014, p.329.</w:t>
      </w:r>
    </w:p>
  </w:footnote>
  <w:footnote w:id="14">
    <w:p w:rsidR="001D2F5F" w:rsidRDefault="00E206BE" w:rsidP="006C2316">
      <w:pPr>
        <w:pStyle w:val="Sinespaciado"/>
        <w:jc w:val="both"/>
      </w:pPr>
      <w:r w:rsidRPr="006C2316">
        <w:rPr>
          <w:rFonts w:ascii="Arial" w:hAnsi="Arial" w:cs="Arial"/>
          <w:sz w:val="18"/>
          <w:szCs w:val="20"/>
          <w:vertAlign w:val="superscript"/>
        </w:rPr>
        <w:footnoteRef/>
      </w:r>
      <w:r w:rsidRPr="006C2316">
        <w:rPr>
          <w:rFonts w:ascii="Arial" w:hAnsi="Arial" w:cs="Arial"/>
          <w:sz w:val="18"/>
          <w:szCs w:val="20"/>
        </w:rPr>
        <w:t xml:space="preserve"> CC. </w:t>
      </w:r>
      <w:r w:rsidRPr="006C2316">
        <w:rPr>
          <w:rFonts w:ascii="Arial" w:hAnsi="Arial" w:cs="Arial"/>
          <w:sz w:val="18"/>
          <w:szCs w:val="20"/>
          <w:lang w:val="es-CO"/>
        </w:rPr>
        <w:t>C-1186 de 2008.</w:t>
      </w:r>
    </w:p>
  </w:footnote>
  <w:footnote w:id="15">
    <w:p w:rsidR="001D2F5F" w:rsidRDefault="00E53F5B"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w:t>
      </w:r>
      <w:r w:rsidRPr="006C2316">
        <w:rPr>
          <w:rFonts w:ascii="Arial" w:hAnsi="Arial" w:cs="Arial"/>
          <w:sz w:val="18"/>
          <w:lang w:val="es-CO"/>
        </w:rPr>
        <w:t>C-173 de 2019.</w:t>
      </w:r>
    </w:p>
  </w:footnote>
  <w:footnote w:id="16">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CSJ, Sala Civil y Agraria. </w:t>
      </w:r>
      <w:r w:rsidRPr="006C2316">
        <w:rPr>
          <w:rFonts w:ascii="Arial" w:hAnsi="Arial" w:cs="Arial"/>
          <w:sz w:val="18"/>
          <w:lang w:val="es-CO"/>
        </w:rPr>
        <w:t xml:space="preserve">Sentencia del 28-06-1963; </w:t>
      </w:r>
      <w:proofErr w:type="spellStart"/>
      <w:r w:rsidRPr="006C2316">
        <w:rPr>
          <w:rFonts w:ascii="Arial" w:hAnsi="Arial" w:cs="Arial"/>
          <w:sz w:val="18"/>
          <w:lang w:val="es-CO"/>
        </w:rPr>
        <w:t>MP</w:t>
      </w:r>
      <w:proofErr w:type="spellEnd"/>
      <w:r w:rsidRPr="006C2316">
        <w:rPr>
          <w:rFonts w:ascii="Arial" w:hAnsi="Arial" w:cs="Arial"/>
          <w:sz w:val="18"/>
          <w:lang w:val="es-CO"/>
        </w:rPr>
        <w:t xml:space="preserve">: López de la Pava. </w:t>
      </w:r>
      <w:r w:rsidRPr="006C2316">
        <w:rPr>
          <w:rFonts w:ascii="Arial" w:hAnsi="Arial" w:cs="Arial"/>
          <w:sz w:val="18"/>
        </w:rPr>
        <w:t>Publicada en Gaceta Judicial: Tomo CII No.2267, p. 175-184.</w:t>
      </w:r>
    </w:p>
  </w:footnote>
  <w:footnote w:id="17">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w:t>
      </w:r>
      <w:r w:rsidRPr="006C2316">
        <w:rPr>
          <w:rFonts w:ascii="Arial" w:hAnsi="Arial" w:cs="Arial"/>
          <w:sz w:val="18"/>
          <w:lang w:val="es-CO"/>
        </w:rPr>
        <w:t>C-273 de 1999.</w:t>
      </w:r>
    </w:p>
  </w:footnote>
  <w:footnote w:id="18">
    <w:p w:rsidR="001D2F5F" w:rsidRDefault="00E206BE"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CC. C-1186 de 2008.</w:t>
      </w:r>
    </w:p>
  </w:footnote>
  <w:footnote w:id="19">
    <w:p w:rsidR="001D2F5F" w:rsidRDefault="00E206BE" w:rsidP="006C2316">
      <w:pPr>
        <w:pStyle w:val="Textonotapie"/>
        <w:jc w:val="both"/>
      </w:pPr>
      <w:r w:rsidRPr="006C2316">
        <w:rPr>
          <w:rFonts w:ascii="Arial" w:hAnsi="Arial" w:cs="Arial"/>
          <w:sz w:val="18"/>
          <w:vertAlign w:val="superscript"/>
        </w:rPr>
        <w:footnoteRef/>
      </w:r>
      <w:r w:rsidRPr="006C2316">
        <w:rPr>
          <w:rFonts w:ascii="Arial" w:hAnsi="Arial" w:cs="Arial"/>
          <w:sz w:val="18"/>
        </w:rPr>
        <w:t xml:space="preserve"> CC. C-874 de 2003.</w:t>
      </w:r>
    </w:p>
  </w:footnote>
  <w:footnote w:id="20">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CSJ. </w:t>
      </w:r>
      <w:r w:rsidRPr="006C2316">
        <w:rPr>
          <w:rFonts w:ascii="Arial" w:hAnsi="Arial" w:cs="Arial"/>
          <w:sz w:val="18"/>
        </w:rPr>
        <w:t>STC</w:t>
      </w:r>
      <w:r w:rsidR="00527A65" w:rsidRPr="006C2316">
        <w:rPr>
          <w:rFonts w:ascii="Arial" w:hAnsi="Arial" w:cs="Arial"/>
          <w:sz w:val="18"/>
        </w:rPr>
        <w:t>-</w:t>
      </w:r>
      <w:r w:rsidRPr="006C2316">
        <w:rPr>
          <w:rFonts w:ascii="Arial" w:hAnsi="Arial" w:cs="Arial"/>
          <w:sz w:val="18"/>
        </w:rPr>
        <w:t>8850-2016.</w:t>
      </w:r>
    </w:p>
  </w:footnote>
  <w:footnote w:id="21">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w:t>
      </w:r>
      <w:r w:rsidRPr="006C2316">
        <w:rPr>
          <w:rFonts w:ascii="Arial" w:hAnsi="Arial" w:cs="Arial"/>
          <w:sz w:val="18"/>
          <w:lang w:val="es-CO"/>
        </w:rPr>
        <w:t>C-1186 de 2008.</w:t>
      </w:r>
    </w:p>
  </w:footnote>
  <w:footnote w:id="22">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CSJ. </w:t>
      </w:r>
      <w:r w:rsidRPr="006C2316">
        <w:rPr>
          <w:rFonts w:ascii="Arial" w:hAnsi="Arial" w:cs="Arial"/>
          <w:sz w:val="18"/>
        </w:rPr>
        <w:t>STC</w:t>
      </w:r>
      <w:r w:rsidR="00527A65" w:rsidRPr="006C2316">
        <w:rPr>
          <w:rFonts w:ascii="Arial" w:hAnsi="Arial" w:cs="Arial"/>
          <w:sz w:val="18"/>
        </w:rPr>
        <w:t>-</w:t>
      </w:r>
      <w:r w:rsidRPr="006C2316">
        <w:rPr>
          <w:rFonts w:ascii="Arial" w:hAnsi="Arial" w:cs="Arial"/>
          <w:sz w:val="18"/>
        </w:rPr>
        <w:t>16426-2017 y</w:t>
      </w:r>
      <w:r w:rsidRPr="006C2316">
        <w:rPr>
          <w:rFonts w:ascii="Arial" w:hAnsi="Arial" w:cs="Arial"/>
          <w:b/>
          <w:sz w:val="18"/>
        </w:rPr>
        <w:t xml:space="preserve"> </w:t>
      </w:r>
      <w:r w:rsidRPr="006C2316">
        <w:rPr>
          <w:rFonts w:ascii="Arial" w:hAnsi="Arial" w:cs="Arial"/>
          <w:bCs/>
          <w:sz w:val="18"/>
        </w:rPr>
        <w:t>STC14997 de 2016, entre otras.</w:t>
      </w:r>
    </w:p>
  </w:footnote>
  <w:footnote w:id="23">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w:t>
      </w:r>
      <w:r w:rsidRPr="006C2316">
        <w:rPr>
          <w:rFonts w:ascii="Arial" w:hAnsi="Arial" w:cs="Arial"/>
          <w:sz w:val="18"/>
          <w:lang w:val="es-CO"/>
        </w:rPr>
        <w:t xml:space="preserve">C-531 de 2013 </w:t>
      </w:r>
      <w:r w:rsidRPr="0030485B">
        <w:rPr>
          <w:rFonts w:ascii="Arial" w:hAnsi="Arial" w:cs="Arial"/>
          <w:sz w:val="18"/>
        </w:rPr>
        <w:t xml:space="preserve">y </w:t>
      </w:r>
      <w:hyperlink r:id="rId1" w:history="1">
        <w:r w:rsidRPr="0030485B">
          <w:rPr>
            <w:rFonts w:ascii="Arial" w:hAnsi="Arial" w:cs="Arial"/>
            <w:sz w:val="18"/>
          </w:rPr>
          <w:t>C-553 de 2016</w:t>
        </w:r>
      </w:hyperlink>
      <w:r w:rsidRPr="006C2316">
        <w:rPr>
          <w:rFonts w:ascii="Arial" w:hAnsi="Arial" w:cs="Arial"/>
          <w:sz w:val="18"/>
          <w:lang w:val="es-CO"/>
        </w:rPr>
        <w:t>.</w:t>
      </w:r>
    </w:p>
  </w:footnote>
  <w:footnote w:id="24">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w:t>
      </w:r>
      <w:r w:rsidRPr="006C2316">
        <w:rPr>
          <w:rFonts w:ascii="Arial" w:hAnsi="Arial" w:cs="Arial"/>
          <w:sz w:val="18"/>
          <w:lang w:val="es-CO"/>
        </w:rPr>
        <w:t>SU-047 de 1999 y C-530 de 2011, entre otras.</w:t>
      </w:r>
    </w:p>
  </w:footnote>
  <w:footnote w:id="25">
    <w:p w:rsidR="001D2F5F" w:rsidRDefault="004F1D47"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ROJAS G., Miguel E. Ob. cit., p.551.</w:t>
      </w:r>
    </w:p>
  </w:footnote>
  <w:footnote w:id="26">
    <w:p w:rsidR="001D2F5F" w:rsidRDefault="004F1D47"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LÓPEZ B., Hernán F. </w:t>
      </w:r>
      <w:r w:rsidRPr="006C2316">
        <w:rPr>
          <w:rFonts w:ascii="Arial" w:hAnsi="Arial" w:cs="Arial"/>
          <w:sz w:val="18"/>
        </w:rPr>
        <w:t>Ob. cit., p.1039.</w:t>
      </w:r>
    </w:p>
  </w:footnote>
  <w:footnote w:id="27">
    <w:p w:rsidR="001D2F5F" w:rsidRDefault="00B244C0"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CC. T</w:t>
      </w:r>
      <w:r w:rsidRPr="006C2316">
        <w:rPr>
          <w:rFonts w:ascii="Arial" w:hAnsi="Arial" w:cs="Arial"/>
          <w:sz w:val="18"/>
          <w:lang w:val="es-CO"/>
        </w:rPr>
        <w:t>-511 de 2011.</w:t>
      </w:r>
    </w:p>
  </w:footnote>
  <w:footnote w:id="28">
    <w:p w:rsidR="001D2F5F" w:rsidRDefault="00B244C0"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proofErr w:type="spellStart"/>
      <w:r w:rsidRPr="006C2316">
        <w:rPr>
          <w:rFonts w:ascii="Arial" w:hAnsi="Arial" w:cs="Arial"/>
          <w:sz w:val="18"/>
        </w:rPr>
        <w:t>TSP</w:t>
      </w:r>
      <w:proofErr w:type="spellEnd"/>
      <w:r w:rsidRPr="006C2316">
        <w:rPr>
          <w:rFonts w:ascii="Arial" w:hAnsi="Arial" w:cs="Arial"/>
          <w:sz w:val="18"/>
        </w:rPr>
        <w:t xml:space="preserve">, Sala Unitaria Civil-Familia. Auto del 04-06-2015, </w:t>
      </w:r>
      <w:proofErr w:type="spellStart"/>
      <w:r w:rsidRPr="006C2316">
        <w:rPr>
          <w:rFonts w:ascii="Arial" w:hAnsi="Arial" w:cs="Arial"/>
          <w:sz w:val="18"/>
        </w:rPr>
        <w:t>MP</w:t>
      </w:r>
      <w:proofErr w:type="spellEnd"/>
      <w:r w:rsidRPr="006C2316">
        <w:rPr>
          <w:rFonts w:ascii="Arial" w:hAnsi="Arial" w:cs="Arial"/>
          <w:sz w:val="18"/>
        </w:rPr>
        <w:t>: Saraza N., No.2002-00189-01.</w:t>
      </w:r>
    </w:p>
  </w:footnote>
  <w:footnote w:id="29">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proofErr w:type="spellStart"/>
      <w:r w:rsidRPr="006C2316">
        <w:rPr>
          <w:rFonts w:ascii="Arial" w:hAnsi="Arial" w:cs="Arial"/>
          <w:sz w:val="18"/>
        </w:rPr>
        <w:t>TSP</w:t>
      </w:r>
      <w:proofErr w:type="spellEnd"/>
      <w:r w:rsidRPr="006C2316">
        <w:rPr>
          <w:rFonts w:ascii="Arial" w:hAnsi="Arial" w:cs="Arial"/>
          <w:sz w:val="18"/>
        </w:rPr>
        <w:t xml:space="preserve">, </w:t>
      </w:r>
      <w:r w:rsidR="004F1D47" w:rsidRPr="006C2316">
        <w:rPr>
          <w:rFonts w:ascii="Arial" w:hAnsi="Arial" w:cs="Arial"/>
          <w:sz w:val="18"/>
        </w:rPr>
        <w:t xml:space="preserve">Sala </w:t>
      </w:r>
      <w:r w:rsidRPr="006C2316">
        <w:rPr>
          <w:rFonts w:ascii="Arial" w:hAnsi="Arial" w:cs="Arial"/>
          <w:sz w:val="18"/>
        </w:rPr>
        <w:t>Unitaria Civil-F</w:t>
      </w:r>
      <w:r w:rsidR="00B244C0" w:rsidRPr="006C2316">
        <w:rPr>
          <w:rFonts w:ascii="Arial" w:hAnsi="Arial" w:cs="Arial"/>
          <w:sz w:val="18"/>
        </w:rPr>
        <w:t xml:space="preserve">amilia. Auto del 28-03-2017, </w:t>
      </w:r>
      <w:proofErr w:type="spellStart"/>
      <w:r w:rsidR="00B244C0" w:rsidRPr="006C2316">
        <w:rPr>
          <w:rFonts w:ascii="Arial" w:hAnsi="Arial" w:cs="Arial"/>
          <w:sz w:val="18"/>
        </w:rPr>
        <w:t>MP</w:t>
      </w:r>
      <w:proofErr w:type="spellEnd"/>
      <w:r w:rsidR="00B244C0" w:rsidRPr="006C2316">
        <w:rPr>
          <w:rFonts w:ascii="Arial" w:hAnsi="Arial" w:cs="Arial"/>
          <w:sz w:val="18"/>
        </w:rPr>
        <w:t>:</w:t>
      </w:r>
      <w:r w:rsidRPr="006C2316">
        <w:rPr>
          <w:rFonts w:ascii="Arial" w:hAnsi="Arial" w:cs="Arial"/>
          <w:sz w:val="18"/>
        </w:rPr>
        <w:t xml:space="preserve"> Grisales H., </w:t>
      </w:r>
      <w:r w:rsidR="00D3774A" w:rsidRPr="006C2316">
        <w:rPr>
          <w:rFonts w:ascii="Arial" w:hAnsi="Arial" w:cs="Arial"/>
          <w:sz w:val="18"/>
        </w:rPr>
        <w:t>No.</w:t>
      </w:r>
      <w:r w:rsidRPr="006C2316">
        <w:rPr>
          <w:rFonts w:ascii="Arial" w:hAnsi="Arial" w:cs="Arial"/>
          <w:sz w:val="18"/>
        </w:rPr>
        <w:t>2014-00299-02.</w:t>
      </w:r>
    </w:p>
  </w:footnote>
  <w:footnote w:id="30">
    <w:p w:rsidR="001D2F5F" w:rsidRDefault="00E206BE"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proofErr w:type="spellStart"/>
      <w:r w:rsidRPr="006C2316">
        <w:rPr>
          <w:rFonts w:ascii="Arial" w:hAnsi="Arial" w:cs="Arial"/>
          <w:sz w:val="18"/>
        </w:rPr>
        <w:t>TSP</w:t>
      </w:r>
      <w:proofErr w:type="spellEnd"/>
      <w:r w:rsidRPr="006C2316">
        <w:rPr>
          <w:rFonts w:ascii="Arial" w:hAnsi="Arial" w:cs="Arial"/>
          <w:sz w:val="18"/>
        </w:rPr>
        <w:t xml:space="preserve">, </w:t>
      </w:r>
      <w:r w:rsidR="004F1D47" w:rsidRPr="006C2316">
        <w:rPr>
          <w:rFonts w:ascii="Arial" w:hAnsi="Arial" w:cs="Arial"/>
          <w:sz w:val="18"/>
        </w:rPr>
        <w:t xml:space="preserve">Sala </w:t>
      </w:r>
      <w:r w:rsidRPr="006C2316">
        <w:rPr>
          <w:rFonts w:ascii="Arial" w:hAnsi="Arial" w:cs="Arial"/>
          <w:sz w:val="18"/>
        </w:rPr>
        <w:t>Unitaria Civil-F</w:t>
      </w:r>
      <w:r w:rsidR="00B244C0" w:rsidRPr="006C2316">
        <w:rPr>
          <w:rFonts w:ascii="Arial" w:hAnsi="Arial" w:cs="Arial"/>
          <w:sz w:val="18"/>
        </w:rPr>
        <w:t xml:space="preserve">amilia. Auto del 27-03-2015, </w:t>
      </w:r>
      <w:proofErr w:type="spellStart"/>
      <w:r w:rsidR="00B244C0" w:rsidRPr="006C2316">
        <w:rPr>
          <w:rFonts w:ascii="Arial" w:hAnsi="Arial" w:cs="Arial"/>
          <w:sz w:val="18"/>
        </w:rPr>
        <w:t>MP</w:t>
      </w:r>
      <w:proofErr w:type="spellEnd"/>
      <w:r w:rsidR="00B244C0" w:rsidRPr="006C2316">
        <w:rPr>
          <w:rFonts w:ascii="Arial" w:hAnsi="Arial" w:cs="Arial"/>
          <w:sz w:val="18"/>
        </w:rPr>
        <w:t>:</w:t>
      </w:r>
      <w:r w:rsidRPr="006C2316">
        <w:rPr>
          <w:rFonts w:ascii="Arial" w:hAnsi="Arial" w:cs="Arial"/>
          <w:sz w:val="18"/>
        </w:rPr>
        <w:t xml:space="preserve"> Grisales H., </w:t>
      </w:r>
      <w:r w:rsidR="00D3774A" w:rsidRPr="006C2316">
        <w:rPr>
          <w:rFonts w:ascii="Arial" w:hAnsi="Arial" w:cs="Arial"/>
          <w:sz w:val="18"/>
        </w:rPr>
        <w:t>No.</w:t>
      </w:r>
      <w:r w:rsidRPr="006C2316">
        <w:rPr>
          <w:rFonts w:ascii="Arial" w:hAnsi="Arial" w:cs="Arial"/>
          <w:sz w:val="18"/>
        </w:rPr>
        <w:t>2008-00069-01.</w:t>
      </w:r>
    </w:p>
  </w:footnote>
  <w:footnote w:id="31">
    <w:p w:rsidR="001D2F5F" w:rsidRDefault="00527A65" w:rsidP="006C2316">
      <w:pPr>
        <w:pStyle w:val="Textonotapie"/>
        <w:jc w:val="both"/>
      </w:pPr>
      <w:r w:rsidRPr="006C2316">
        <w:rPr>
          <w:rStyle w:val="Refdenotaalpie"/>
          <w:rFonts w:ascii="Arial" w:hAnsi="Arial" w:cs="Arial"/>
          <w:sz w:val="18"/>
        </w:rPr>
        <w:footnoteRef/>
      </w:r>
      <w:r w:rsidRPr="006C2316">
        <w:rPr>
          <w:rFonts w:ascii="Arial" w:hAnsi="Arial" w:cs="Arial"/>
          <w:sz w:val="18"/>
        </w:rPr>
        <w:t xml:space="preserve"> </w:t>
      </w:r>
      <w:r w:rsidRPr="006C2316">
        <w:rPr>
          <w:rFonts w:ascii="Arial" w:hAnsi="Arial" w:cs="Arial"/>
          <w:sz w:val="18"/>
          <w:lang w:val="es-CO"/>
        </w:rPr>
        <w:t xml:space="preserve">CSJ. </w:t>
      </w:r>
      <w:r w:rsidRPr="006C2316">
        <w:rPr>
          <w:rFonts w:ascii="Arial" w:hAnsi="Arial" w:cs="Arial"/>
          <w:sz w:val="18"/>
        </w:rPr>
        <w:t>STC-12923-2017.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7F" w:rsidRPr="001B0965" w:rsidRDefault="006D2A7F" w:rsidP="00DF403C">
    <w:pPr>
      <w:pStyle w:val="Encabezado"/>
      <w:pBdr>
        <w:bottom w:val="single" w:sz="4" w:space="1" w:color="D9D9D9"/>
      </w:pBdr>
      <w:jc w:val="right"/>
      <w:rPr>
        <w:rFonts w:ascii="Georgia" w:hAnsi="Georgia" w:cs="Kalinga"/>
        <w:bCs/>
        <w:i/>
        <w:sz w:val="20"/>
      </w:rPr>
    </w:pPr>
    <w:r w:rsidRPr="00DF403C">
      <w:rPr>
        <w:rFonts w:ascii="Georgia" w:hAnsi="Georgia" w:cs="Kalinga"/>
        <w:i/>
        <w:color w:val="7F7F7F"/>
        <w:spacing w:val="60"/>
        <w:sz w:val="20"/>
      </w:rPr>
      <w:t>Página</w:t>
    </w:r>
    <w:r w:rsidRPr="001B0965">
      <w:rPr>
        <w:rFonts w:ascii="Georgia" w:hAnsi="Georgia" w:cs="Kalinga"/>
        <w:i/>
        <w:sz w:val="20"/>
      </w:rPr>
      <w:t xml:space="preserve"> | </w:t>
    </w:r>
    <w:r w:rsidRPr="001B0965">
      <w:rPr>
        <w:rFonts w:ascii="Georgia" w:hAnsi="Georgia" w:cs="Kalinga"/>
        <w:i/>
        <w:sz w:val="20"/>
      </w:rPr>
      <w:fldChar w:fldCharType="begin"/>
    </w:r>
    <w:r w:rsidRPr="001B0965">
      <w:rPr>
        <w:rFonts w:ascii="Georgia" w:hAnsi="Georgia" w:cs="Kalinga"/>
        <w:i/>
        <w:sz w:val="20"/>
      </w:rPr>
      <w:instrText>PAGE   \* MERGEFORMAT</w:instrText>
    </w:r>
    <w:r w:rsidRPr="001B0965">
      <w:rPr>
        <w:rFonts w:ascii="Georgia" w:hAnsi="Georgia" w:cs="Kalinga"/>
        <w:i/>
        <w:sz w:val="20"/>
      </w:rPr>
      <w:fldChar w:fldCharType="separate"/>
    </w:r>
    <w:r w:rsidR="000074C4" w:rsidRPr="000074C4">
      <w:rPr>
        <w:rFonts w:ascii="Georgia" w:hAnsi="Georgia" w:cs="Kalinga"/>
        <w:bCs/>
        <w:i/>
        <w:noProof/>
        <w:sz w:val="20"/>
      </w:rPr>
      <w:t>1</w:t>
    </w:r>
    <w:r w:rsidRPr="001B0965">
      <w:rPr>
        <w:rFonts w:ascii="Georgia" w:hAnsi="Georgia" w:cs="Kalinga"/>
        <w:i/>
        <w:sz w:val="20"/>
      </w:rPr>
      <w:fldChar w:fldCharType="end"/>
    </w:r>
  </w:p>
  <w:p w:rsidR="006D2A7F" w:rsidRPr="001B0965"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1B0965">
      <w:rPr>
        <w:rFonts w:ascii="Georgia" w:hAnsi="Georgia" w:cs="Kalinga"/>
        <w:i/>
        <w:szCs w:val="20"/>
        <w:lang w:val="es-CO"/>
      </w:rPr>
      <w:t>E</w:t>
    </w:r>
    <w:r w:rsidRPr="001B0965">
      <w:rPr>
        <w:rFonts w:ascii="Georgia" w:hAnsi="Georgia" w:cs="Kalinga"/>
        <w:i/>
        <w:sz w:val="20"/>
        <w:szCs w:val="20"/>
        <w:lang w:val="es-CO"/>
      </w:rPr>
      <w:t>XPEDIENTE N</w:t>
    </w:r>
    <w:r w:rsidR="00510CEA" w:rsidRPr="001B0965">
      <w:rPr>
        <w:rFonts w:ascii="Georgia" w:hAnsi="Georgia" w:cs="Kalinga"/>
        <w:i/>
        <w:sz w:val="20"/>
        <w:szCs w:val="20"/>
        <w:lang w:val="es-CO"/>
      </w:rPr>
      <w:t>o</w:t>
    </w:r>
    <w:r w:rsidRPr="001B0965">
      <w:rPr>
        <w:rFonts w:ascii="Georgia" w:hAnsi="Georgia" w:cs="Kalinga"/>
        <w:i/>
        <w:sz w:val="20"/>
        <w:szCs w:val="20"/>
        <w:lang w:val="es-CO"/>
      </w:rPr>
      <w:t>.</w:t>
    </w:r>
    <w:r w:rsidR="00510764">
      <w:rPr>
        <w:rFonts w:ascii="Georgia" w:hAnsi="Georgia" w:cs="Kalinga"/>
        <w:i/>
        <w:sz w:val="20"/>
        <w:szCs w:val="20"/>
        <w:lang w:val="es-CO"/>
      </w:rPr>
      <w:t>20</w:t>
    </w:r>
    <w:r w:rsidR="00D91E99">
      <w:rPr>
        <w:rFonts w:ascii="Georgia" w:hAnsi="Georgia" w:cs="Kalinga"/>
        <w:i/>
        <w:sz w:val="20"/>
        <w:szCs w:val="20"/>
        <w:lang w:val="es-CO"/>
      </w:rPr>
      <w:t>0</w:t>
    </w:r>
    <w:r w:rsidR="002E5E82">
      <w:rPr>
        <w:rFonts w:ascii="Georgia" w:hAnsi="Georgia" w:cs="Kalinga"/>
        <w:i/>
        <w:sz w:val="20"/>
        <w:szCs w:val="20"/>
        <w:lang w:val="es-CO"/>
      </w:rPr>
      <w:t>9</w:t>
    </w:r>
    <w:r w:rsidR="00510764">
      <w:rPr>
        <w:rFonts w:ascii="Georgia" w:hAnsi="Georgia" w:cs="Kalinga"/>
        <w:i/>
        <w:sz w:val="20"/>
        <w:szCs w:val="20"/>
        <w:lang w:val="es-CO"/>
      </w:rPr>
      <w:t>-00</w:t>
    </w:r>
    <w:r w:rsidR="00F978D5">
      <w:rPr>
        <w:rFonts w:ascii="Georgia" w:hAnsi="Georgia" w:cs="Kalinga"/>
        <w:i/>
        <w:sz w:val="20"/>
        <w:szCs w:val="20"/>
        <w:lang w:val="es-CO"/>
      </w:rPr>
      <w:t>4</w:t>
    </w:r>
    <w:r w:rsidR="00D91E99">
      <w:rPr>
        <w:rFonts w:ascii="Georgia" w:hAnsi="Georgia" w:cs="Kalinga"/>
        <w:i/>
        <w:sz w:val="20"/>
        <w:szCs w:val="20"/>
        <w:lang w:val="es-CO"/>
      </w:rPr>
      <w:t>1</w:t>
    </w:r>
    <w:r w:rsidR="00F978D5">
      <w:rPr>
        <w:rFonts w:ascii="Georgia" w:hAnsi="Georgia" w:cs="Kalinga"/>
        <w:i/>
        <w:sz w:val="20"/>
        <w:szCs w:val="20"/>
        <w:lang w:val="es-CO"/>
      </w:rPr>
      <w:t>9</w:t>
    </w:r>
    <w:r w:rsidR="00510764">
      <w:rPr>
        <w:rFonts w:ascii="Georgia" w:hAnsi="Georgi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5E6D5D"/>
    <w:multiLevelType w:val="multilevel"/>
    <w:tmpl w:val="4F64331C"/>
    <w:lvl w:ilvl="0">
      <w:start w:val="4"/>
      <w:numFmt w:val="decimal"/>
      <w:lvlText w:val="%1."/>
      <w:lvlJc w:val="left"/>
      <w:pPr>
        <w:ind w:left="360" w:hanging="360"/>
      </w:pPr>
      <w:rPr>
        <w:rFonts w:cs="Times New Roman" w:hint="default"/>
        <w:color w:val="auto"/>
        <w:sz w:val="24"/>
        <w:szCs w:val="24"/>
      </w:rPr>
    </w:lvl>
    <w:lvl w:ilvl="1">
      <w:start w:val="1"/>
      <w:numFmt w:val="decimal"/>
      <w:lvlText w:val="%1.%2."/>
      <w:lvlJc w:val="left"/>
      <w:pPr>
        <w:ind w:left="720" w:hanging="720"/>
      </w:pPr>
      <w:rPr>
        <w:rFonts w:cs="Times New Roman" w:hint="default"/>
        <w:color w:val="auto"/>
        <w:sz w:val="24"/>
        <w:szCs w:val="24"/>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4">
    <w:nsid w:val="67334F69"/>
    <w:multiLevelType w:val="multilevel"/>
    <w:tmpl w:val="2B98ED96"/>
    <w:lvl w:ilvl="0">
      <w:start w:val="1"/>
      <w:numFmt w:val="decimal"/>
      <w:lvlText w:val="%1."/>
      <w:lvlJc w:val="left"/>
      <w:pPr>
        <w:ind w:left="360" w:hanging="360"/>
      </w:pPr>
      <w:rPr>
        <w:rFonts w:cs="Times New Roman"/>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6">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1"/>
  </w:num>
  <w:num w:numId="3">
    <w:abstractNumId w:val="8"/>
  </w:num>
  <w:num w:numId="4">
    <w:abstractNumId w:val="14"/>
  </w:num>
  <w:num w:numId="5">
    <w:abstractNumId w:val="9"/>
  </w:num>
  <w:num w:numId="6">
    <w:abstractNumId w:val="2"/>
  </w:num>
  <w:num w:numId="7">
    <w:abstractNumId w:val="10"/>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4C4"/>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5E5"/>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5D6D"/>
    <w:rsid w:val="00045F25"/>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6EF7"/>
    <w:rsid w:val="00057BF9"/>
    <w:rsid w:val="00057D0E"/>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50CD"/>
    <w:rsid w:val="00155C05"/>
    <w:rsid w:val="0015621A"/>
    <w:rsid w:val="001563D8"/>
    <w:rsid w:val="0015653D"/>
    <w:rsid w:val="0015683A"/>
    <w:rsid w:val="00157C29"/>
    <w:rsid w:val="00160282"/>
    <w:rsid w:val="0016165A"/>
    <w:rsid w:val="001625C6"/>
    <w:rsid w:val="001629BC"/>
    <w:rsid w:val="00162D36"/>
    <w:rsid w:val="00162D56"/>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ABB"/>
    <w:rsid w:val="001D0D37"/>
    <w:rsid w:val="001D109C"/>
    <w:rsid w:val="001D1B5E"/>
    <w:rsid w:val="001D2638"/>
    <w:rsid w:val="001D28CE"/>
    <w:rsid w:val="001D2F5F"/>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22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85B"/>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52B2"/>
    <w:rsid w:val="003554CE"/>
    <w:rsid w:val="003555B8"/>
    <w:rsid w:val="00355634"/>
    <w:rsid w:val="00355665"/>
    <w:rsid w:val="00356104"/>
    <w:rsid w:val="003562DD"/>
    <w:rsid w:val="003572D1"/>
    <w:rsid w:val="003603A8"/>
    <w:rsid w:val="00360A14"/>
    <w:rsid w:val="00360E44"/>
    <w:rsid w:val="0036168E"/>
    <w:rsid w:val="00361E94"/>
    <w:rsid w:val="00361FC8"/>
    <w:rsid w:val="0036253A"/>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A42"/>
    <w:rsid w:val="00376E80"/>
    <w:rsid w:val="00377151"/>
    <w:rsid w:val="00377884"/>
    <w:rsid w:val="00377D4D"/>
    <w:rsid w:val="003801FB"/>
    <w:rsid w:val="0038047A"/>
    <w:rsid w:val="00380780"/>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E1"/>
    <w:rsid w:val="00467B99"/>
    <w:rsid w:val="00470332"/>
    <w:rsid w:val="0047043C"/>
    <w:rsid w:val="004709F5"/>
    <w:rsid w:val="00471C68"/>
    <w:rsid w:val="00471EE2"/>
    <w:rsid w:val="0047271E"/>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48FF"/>
    <w:rsid w:val="004A508A"/>
    <w:rsid w:val="004A6A66"/>
    <w:rsid w:val="004A6ADA"/>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4CD2"/>
    <w:rsid w:val="004C50B5"/>
    <w:rsid w:val="004C541D"/>
    <w:rsid w:val="004C5C99"/>
    <w:rsid w:val="004C6293"/>
    <w:rsid w:val="004C6617"/>
    <w:rsid w:val="004C6A39"/>
    <w:rsid w:val="004C6F31"/>
    <w:rsid w:val="004C6F83"/>
    <w:rsid w:val="004C79BF"/>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D47"/>
    <w:rsid w:val="004F2EED"/>
    <w:rsid w:val="004F3A94"/>
    <w:rsid w:val="004F3CE8"/>
    <w:rsid w:val="004F3D54"/>
    <w:rsid w:val="004F4447"/>
    <w:rsid w:val="004F44BB"/>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9DB"/>
    <w:rsid w:val="00525C3F"/>
    <w:rsid w:val="00526A27"/>
    <w:rsid w:val="00526A33"/>
    <w:rsid w:val="00527007"/>
    <w:rsid w:val="005275FC"/>
    <w:rsid w:val="00527A65"/>
    <w:rsid w:val="0053063D"/>
    <w:rsid w:val="0053086A"/>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3FA2"/>
    <w:rsid w:val="005C43D0"/>
    <w:rsid w:val="005C4766"/>
    <w:rsid w:val="005C4AD2"/>
    <w:rsid w:val="005C4BFC"/>
    <w:rsid w:val="005C4D8D"/>
    <w:rsid w:val="005C52DC"/>
    <w:rsid w:val="005C55C2"/>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4D4"/>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1FC2"/>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316"/>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B92"/>
    <w:rsid w:val="008741CE"/>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5BB9"/>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5F80"/>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6E1"/>
    <w:rsid w:val="009F2825"/>
    <w:rsid w:val="009F29E0"/>
    <w:rsid w:val="009F305C"/>
    <w:rsid w:val="009F3129"/>
    <w:rsid w:val="009F3C7D"/>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A7E"/>
    <w:rsid w:val="00A32D74"/>
    <w:rsid w:val="00A33258"/>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67D66"/>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D8C"/>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B85"/>
    <w:rsid w:val="00C54FA4"/>
    <w:rsid w:val="00C55311"/>
    <w:rsid w:val="00C55B9B"/>
    <w:rsid w:val="00C55C73"/>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2EA1"/>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EED"/>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8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796"/>
    <w:rsid w:val="00D77A76"/>
    <w:rsid w:val="00D77C6E"/>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03C"/>
    <w:rsid w:val="00DF43F3"/>
    <w:rsid w:val="00DF4D1F"/>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3F5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33A5"/>
    <w:rsid w:val="00F5367F"/>
    <w:rsid w:val="00F53750"/>
    <w:rsid w:val="00F53BBC"/>
    <w:rsid w:val="00F5420D"/>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5A612F-41C5-422F-B754-22D3BE8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800">
      <w:marLeft w:val="0"/>
      <w:marRight w:val="0"/>
      <w:marTop w:val="0"/>
      <w:marBottom w:val="0"/>
      <w:divBdr>
        <w:top w:val="none" w:sz="0" w:space="0" w:color="auto"/>
        <w:left w:val="none" w:sz="0" w:space="0" w:color="auto"/>
        <w:bottom w:val="none" w:sz="0" w:space="0" w:color="auto"/>
        <w:right w:val="none" w:sz="0" w:space="0" w:color="auto"/>
      </w:divBdr>
      <w:divsChild>
        <w:div w:id="150021801">
          <w:marLeft w:val="45"/>
          <w:marRight w:val="45"/>
          <w:marTop w:val="0"/>
          <w:marBottom w:val="0"/>
          <w:divBdr>
            <w:top w:val="none" w:sz="0" w:space="0" w:color="auto"/>
            <w:left w:val="none" w:sz="0" w:space="0" w:color="auto"/>
            <w:bottom w:val="none" w:sz="0" w:space="0" w:color="auto"/>
            <w:right w:val="none" w:sz="0" w:space="0" w:color="auto"/>
          </w:divBdr>
          <w:divsChild>
            <w:div w:id="1500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1802">
      <w:marLeft w:val="0"/>
      <w:marRight w:val="0"/>
      <w:marTop w:val="0"/>
      <w:marBottom w:val="0"/>
      <w:divBdr>
        <w:top w:val="none" w:sz="0" w:space="0" w:color="auto"/>
        <w:left w:val="none" w:sz="0" w:space="0" w:color="auto"/>
        <w:bottom w:val="none" w:sz="0" w:space="0" w:color="auto"/>
        <w:right w:val="none" w:sz="0" w:space="0" w:color="auto"/>
      </w:divBdr>
    </w:div>
    <w:div w:id="150021803">
      <w:marLeft w:val="0"/>
      <w:marRight w:val="0"/>
      <w:marTop w:val="0"/>
      <w:marBottom w:val="0"/>
      <w:divBdr>
        <w:top w:val="none" w:sz="0" w:space="0" w:color="auto"/>
        <w:left w:val="none" w:sz="0" w:space="0" w:color="auto"/>
        <w:bottom w:val="none" w:sz="0" w:space="0" w:color="auto"/>
        <w:right w:val="none" w:sz="0" w:space="0" w:color="auto"/>
      </w:divBdr>
    </w:div>
    <w:div w:id="150021804">
      <w:marLeft w:val="0"/>
      <w:marRight w:val="0"/>
      <w:marTop w:val="0"/>
      <w:marBottom w:val="0"/>
      <w:divBdr>
        <w:top w:val="none" w:sz="0" w:space="0" w:color="auto"/>
        <w:left w:val="none" w:sz="0" w:space="0" w:color="auto"/>
        <w:bottom w:val="none" w:sz="0" w:space="0" w:color="auto"/>
        <w:right w:val="none" w:sz="0" w:space="0" w:color="auto"/>
      </w:divBdr>
      <w:divsChild>
        <w:div w:id="150021807">
          <w:marLeft w:val="45"/>
          <w:marRight w:val="45"/>
          <w:marTop w:val="0"/>
          <w:marBottom w:val="0"/>
          <w:divBdr>
            <w:top w:val="none" w:sz="0" w:space="0" w:color="auto"/>
            <w:left w:val="none" w:sz="0" w:space="0" w:color="auto"/>
            <w:bottom w:val="none" w:sz="0" w:space="0" w:color="auto"/>
            <w:right w:val="none" w:sz="0" w:space="0" w:color="auto"/>
          </w:divBdr>
          <w:divsChild>
            <w:div w:id="1500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1805">
      <w:marLeft w:val="0"/>
      <w:marRight w:val="0"/>
      <w:marTop w:val="0"/>
      <w:marBottom w:val="0"/>
      <w:divBdr>
        <w:top w:val="none" w:sz="0" w:space="0" w:color="auto"/>
        <w:left w:val="none" w:sz="0" w:space="0" w:color="auto"/>
        <w:bottom w:val="none" w:sz="0" w:space="0" w:color="auto"/>
        <w:right w:val="none" w:sz="0" w:space="0" w:color="auto"/>
      </w:divBdr>
    </w:div>
    <w:div w:id="150021809">
      <w:marLeft w:val="0"/>
      <w:marRight w:val="0"/>
      <w:marTop w:val="0"/>
      <w:marBottom w:val="0"/>
      <w:divBdr>
        <w:top w:val="none" w:sz="0" w:space="0" w:color="auto"/>
        <w:left w:val="none" w:sz="0" w:space="0" w:color="auto"/>
        <w:bottom w:val="none" w:sz="0" w:space="0" w:color="auto"/>
        <w:right w:val="none" w:sz="0" w:space="0" w:color="auto"/>
      </w:divBdr>
    </w:div>
    <w:div w:id="150021810">
      <w:marLeft w:val="0"/>
      <w:marRight w:val="0"/>
      <w:marTop w:val="0"/>
      <w:marBottom w:val="0"/>
      <w:divBdr>
        <w:top w:val="none" w:sz="0" w:space="0" w:color="auto"/>
        <w:left w:val="none" w:sz="0" w:space="0" w:color="auto"/>
        <w:bottom w:val="none" w:sz="0" w:space="0" w:color="auto"/>
        <w:right w:val="none" w:sz="0" w:space="0" w:color="auto"/>
      </w:divBdr>
    </w:div>
    <w:div w:id="150021811">
      <w:marLeft w:val="0"/>
      <w:marRight w:val="0"/>
      <w:marTop w:val="0"/>
      <w:marBottom w:val="0"/>
      <w:divBdr>
        <w:top w:val="none" w:sz="0" w:space="0" w:color="auto"/>
        <w:left w:val="none" w:sz="0" w:space="0" w:color="auto"/>
        <w:bottom w:val="none" w:sz="0" w:space="0" w:color="auto"/>
        <w:right w:val="none" w:sz="0" w:space="0" w:color="auto"/>
      </w:divBdr>
    </w:div>
    <w:div w:id="150021812">
      <w:marLeft w:val="0"/>
      <w:marRight w:val="0"/>
      <w:marTop w:val="0"/>
      <w:marBottom w:val="0"/>
      <w:divBdr>
        <w:top w:val="none" w:sz="0" w:space="0" w:color="auto"/>
        <w:left w:val="none" w:sz="0" w:space="0" w:color="auto"/>
        <w:bottom w:val="none" w:sz="0" w:space="0" w:color="auto"/>
        <w:right w:val="none" w:sz="0" w:space="0" w:color="auto"/>
      </w:divBdr>
    </w:div>
    <w:div w:id="150021813">
      <w:marLeft w:val="0"/>
      <w:marRight w:val="0"/>
      <w:marTop w:val="0"/>
      <w:marBottom w:val="0"/>
      <w:divBdr>
        <w:top w:val="none" w:sz="0" w:space="0" w:color="auto"/>
        <w:left w:val="none" w:sz="0" w:space="0" w:color="auto"/>
        <w:bottom w:val="none" w:sz="0" w:space="0" w:color="auto"/>
        <w:right w:val="none" w:sz="0" w:space="0" w:color="auto"/>
      </w:divBdr>
    </w:div>
    <w:div w:id="150021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6/C-553-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A664-45A8-4B16-B680-3E8DF854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cp:revision>
  <cp:lastPrinted>2019-09-30T20:42:00Z</cp:lastPrinted>
  <dcterms:created xsi:type="dcterms:W3CDTF">2019-10-02T12:29:00Z</dcterms:created>
  <dcterms:modified xsi:type="dcterms:W3CDTF">2019-10-02T14:07:00Z</dcterms:modified>
</cp:coreProperties>
</file>