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55" w:rsidRPr="002D1F55" w:rsidRDefault="002D1F55" w:rsidP="002D1F5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D1F5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D1F55" w:rsidRPr="002D1F55" w:rsidRDefault="002D1F55" w:rsidP="002D1F55">
      <w:pPr>
        <w:jc w:val="both"/>
        <w:rPr>
          <w:rFonts w:ascii="Arial" w:hAnsi="Arial" w:cs="Arial"/>
          <w:lang w:val="es-419"/>
        </w:rPr>
      </w:pPr>
    </w:p>
    <w:p w:rsidR="002D1F55" w:rsidRPr="00D829DF" w:rsidRDefault="002D1F55" w:rsidP="002D1F55">
      <w:pPr>
        <w:jc w:val="both"/>
        <w:rPr>
          <w:rFonts w:ascii="Arial" w:hAnsi="Arial" w:cs="Arial"/>
          <w:lang w:val="es-419"/>
        </w:rPr>
      </w:pPr>
      <w:r w:rsidRPr="00D829DF">
        <w:rPr>
          <w:rFonts w:ascii="Arial" w:hAnsi="Arial" w:cs="Arial"/>
          <w:lang w:val="es-419"/>
        </w:rPr>
        <w:t>Asunto</w:t>
      </w:r>
      <w:r w:rsidRPr="00D829DF">
        <w:rPr>
          <w:rFonts w:ascii="Arial" w:hAnsi="Arial" w:cs="Arial"/>
          <w:lang w:val="es-419"/>
        </w:rPr>
        <w:tab/>
      </w:r>
      <w:r w:rsidRPr="00D829DF">
        <w:rPr>
          <w:rFonts w:ascii="Arial" w:hAnsi="Arial" w:cs="Arial"/>
          <w:lang w:val="es-419"/>
        </w:rPr>
        <w:tab/>
      </w:r>
      <w:r w:rsidRPr="00D829DF">
        <w:rPr>
          <w:rFonts w:ascii="Arial" w:hAnsi="Arial" w:cs="Arial"/>
          <w:lang w:val="es-419"/>
        </w:rPr>
        <w:tab/>
        <w:t>: Decide admisibilidad de recurso de queja</w:t>
      </w:r>
    </w:p>
    <w:p w:rsidR="002D1F55" w:rsidRPr="00D829DF" w:rsidRDefault="002D1F55" w:rsidP="002D1F55">
      <w:pPr>
        <w:jc w:val="both"/>
        <w:rPr>
          <w:rFonts w:ascii="Arial" w:hAnsi="Arial" w:cs="Arial"/>
          <w:lang w:val="es-419"/>
        </w:rPr>
      </w:pPr>
      <w:r w:rsidRPr="00D829DF">
        <w:rPr>
          <w:rFonts w:ascii="Arial" w:hAnsi="Arial" w:cs="Arial"/>
          <w:lang w:val="es-419"/>
        </w:rPr>
        <w:t>Proceso</w:t>
      </w:r>
      <w:r w:rsidRPr="00D829DF">
        <w:rPr>
          <w:rFonts w:ascii="Arial" w:hAnsi="Arial" w:cs="Arial"/>
          <w:lang w:val="es-419"/>
        </w:rPr>
        <w:tab/>
      </w:r>
      <w:r w:rsidRPr="00D829DF">
        <w:rPr>
          <w:rFonts w:ascii="Arial" w:hAnsi="Arial" w:cs="Arial"/>
          <w:lang w:val="es-419"/>
        </w:rPr>
        <w:tab/>
        <w:t>: Ejecutivo con pretensión real</w:t>
      </w:r>
    </w:p>
    <w:p w:rsidR="002D1F55" w:rsidRPr="00D829DF" w:rsidRDefault="002D1F55" w:rsidP="002D1F55">
      <w:pPr>
        <w:jc w:val="both"/>
        <w:rPr>
          <w:rFonts w:ascii="Arial" w:hAnsi="Arial" w:cs="Arial"/>
          <w:lang w:val="es-419"/>
        </w:rPr>
      </w:pPr>
      <w:r w:rsidRPr="00D829DF">
        <w:rPr>
          <w:rFonts w:ascii="Arial" w:hAnsi="Arial" w:cs="Arial"/>
          <w:lang w:val="es-419"/>
        </w:rPr>
        <w:t>Ejecutante</w:t>
      </w:r>
      <w:r w:rsidRPr="00D829DF">
        <w:rPr>
          <w:rFonts w:ascii="Arial" w:hAnsi="Arial" w:cs="Arial"/>
          <w:lang w:val="es-419"/>
        </w:rPr>
        <w:tab/>
      </w:r>
      <w:r w:rsidRPr="00D829DF">
        <w:rPr>
          <w:rFonts w:ascii="Arial" w:hAnsi="Arial" w:cs="Arial"/>
          <w:lang w:val="es-419"/>
        </w:rPr>
        <w:tab/>
        <w:t>: Bancolombia SA</w:t>
      </w:r>
    </w:p>
    <w:p w:rsidR="002D1F55" w:rsidRPr="00D829DF" w:rsidRDefault="002D1F55" w:rsidP="002D1F55">
      <w:pPr>
        <w:jc w:val="both"/>
        <w:rPr>
          <w:rFonts w:ascii="Arial" w:hAnsi="Arial" w:cs="Arial"/>
          <w:lang w:val="es-419"/>
        </w:rPr>
      </w:pPr>
      <w:r w:rsidRPr="00D829DF">
        <w:rPr>
          <w:rFonts w:ascii="Arial" w:hAnsi="Arial" w:cs="Arial"/>
          <w:lang w:val="es-419"/>
        </w:rPr>
        <w:t>Ejecutado</w:t>
      </w:r>
      <w:r w:rsidRPr="00D829DF">
        <w:rPr>
          <w:rFonts w:ascii="Arial" w:hAnsi="Arial" w:cs="Arial"/>
          <w:lang w:val="es-419"/>
        </w:rPr>
        <w:tab/>
      </w:r>
      <w:r w:rsidRPr="00D829DF">
        <w:rPr>
          <w:rFonts w:ascii="Arial" w:hAnsi="Arial" w:cs="Arial"/>
          <w:lang w:val="es-419"/>
        </w:rPr>
        <w:tab/>
        <w:t>: Juan Carlos Restrepo Murillo</w:t>
      </w:r>
    </w:p>
    <w:p w:rsidR="002D1F55" w:rsidRPr="00D829DF" w:rsidRDefault="002D1F55" w:rsidP="002D1F55">
      <w:pPr>
        <w:jc w:val="both"/>
        <w:rPr>
          <w:rFonts w:ascii="Arial" w:hAnsi="Arial" w:cs="Arial"/>
          <w:lang w:val="es-419"/>
        </w:rPr>
      </w:pPr>
      <w:r w:rsidRPr="00D829DF">
        <w:rPr>
          <w:rFonts w:ascii="Arial" w:hAnsi="Arial" w:cs="Arial"/>
          <w:lang w:val="es-419"/>
        </w:rPr>
        <w:t>Procedencia</w:t>
      </w:r>
      <w:r w:rsidRPr="00D829DF">
        <w:rPr>
          <w:rFonts w:ascii="Arial" w:hAnsi="Arial" w:cs="Arial"/>
          <w:lang w:val="es-419"/>
        </w:rPr>
        <w:tab/>
      </w:r>
      <w:r w:rsidRPr="00D829DF">
        <w:rPr>
          <w:rFonts w:ascii="Arial" w:hAnsi="Arial" w:cs="Arial"/>
          <w:lang w:val="es-419"/>
        </w:rPr>
        <w:tab/>
        <w:t>: Juzgado Segundo Civil del Circuito de Pereira</w:t>
      </w:r>
    </w:p>
    <w:p w:rsidR="002D1F55" w:rsidRPr="00D829DF" w:rsidRDefault="002D1F55" w:rsidP="002D1F55">
      <w:pPr>
        <w:jc w:val="both"/>
        <w:rPr>
          <w:rFonts w:ascii="Arial" w:hAnsi="Arial" w:cs="Arial"/>
          <w:lang w:val="es-419"/>
        </w:rPr>
      </w:pPr>
      <w:r w:rsidRPr="00D829DF">
        <w:rPr>
          <w:rFonts w:ascii="Arial" w:hAnsi="Arial" w:cs="Arial"/>
          <w:lang w:val="es-419"/>
        </w:rPr>
        <w:t>Radicación</w:t>
      </w:r>
      <w:r w:rsidRPr="00D829DF">
        <w:rPr>
          <w:rFonts w:ascii="Arial" w:hAnsi="Arial" w:cs="Arial"/>
          <w:lang w:val="es-419"/>
        </w:rPr>
        <w:tab/>
      </w:r>
      <w:r w:rsidRPr="00D829DF">
        <w:rPr>
          <w:rFonts w:ascii="Arial" w:hAnsi="Arial" w:cs="Arial"/>
          <w:lang w:val="es-419"/>
        </w:rPr>
        <w:tab/>
        <w:t>: 66001-31-03-002-2016-00662-01</w:t>
      </w:r>
    </w:p>
    <w:p w:rsidR="002D1F55" w:rsidRPr="002D1F55" w:rsidRDefault="002D1F55" w:rsidP="002D1F55">
      <w:pPr>
        <w:jc w:val="both"/>
        <w:rPr>
          <w:rFonts w:ascii="Arial" w:hAnsi="Arial" w:cs="Arial"/>
          <w:lang w:val="es-419"/>
        </w:rPr>
      </w:pPr>
      <w:r w:rsidRPr="00D829DF">
        <w:rPr>
          <w:rFonts w:ascii="Arial" w:hAnsi="Arial" w:cs="Arial"/>
          <w:lang w:val="es-419"/>
        </w:rPr>
        <w:t>Mag Sustanciador</w:t>
      </w:r>
      <w:r w:rsidRPr="00D829DF">
        <w:rPr>
          <w:rFonts w:ascii="Arial" w:hAnsi="Arial" w:cs="Arial"/>
          <w:lang w:val="es-419"/>
        </w:rPr>
        <w:tab/>
        <w:t>: DUBERNEY GRISALES HERRERA</w:t>
      </w:r>
    </w:p>
    <w:p w:rsidR="002D1F55" w:rsidRPr="002D1F55" w:rsidRDefault="002D1F55" w:rsidP="002D1F55">
      <w:pPr>
        <w:jc w:val="both"/>
        <w:rPr>
          <w:rFonts w:ascii="Arial" w:hAnsi="Arial" w:cs="Arial"/>
          <w:lang w:val="es-419"/>
        </w:rPr>
      </w:pPr>
    </w:p>
    <w:p w:rsidR="002D1F55" w:rsidRPr="002D1F55" w:rsidRDefault="002D1F55" w:rsidP="002D1F55">
      <w:pPr>
        <w:jc w:val="both"/>
        <w:rPr>
          <w:rFonts w:ascii="Arial" w:hAnsi="Arial" w:cs="Arial"/>
          <w:b/>
          <w:bCs/>
          <w:iCs/>
          <w:lang w:val="es-419" w:eastAsia="fr-FR"/>
        </w:rPr>
      </w:pPr>
      <w:r w:rsidRPr="00D829DF">
        <w:rPr>
          <w:rFonts w:ascii="Arial" w:hAnsi="Arial" w:cs="Arial"/>
          <w:b/>
          <w:bCs/>
          <w:iCs/>
          <w:u w:val="single"/>
          <w:lang w:val="es-419" w:eastAsia="fr-FR"/>
        </w:rPr>
        <w:t>TEMAS:</w:t>
      </w:r>
      <w:r w:rsidRPr="00D829DF">
        <w:rPr>
          <w:rFonts w:ascii="Arial" w:hAnsi="Arial" w:cs="Arial"/>
          <w:b/>
          <w:bCs/>
          <w:iCs/>
          <w:lang w:val="es-419" w:eastAsia="fr-FR"/>
        </w:rPr>
        <w:tab/>
      </w:r>
      <w:r w:rsidR="00B514F6">
        <w:rPr>
          <w:rFonts w:ascii="Arial" w:hAnsi="Arial" w:cs="Arial"/>
          <w:b/>
          <w:bCs/>
          <w:iCs/>
          <w:lang w:val="es-CO" w:eastAsia="fr-FR"/>
        </w:rPr>
        <w:t xml:space="preserve">RECURSO DE QUEJA / </w:t>
      </w:r>
      <w:r w:rsidR="007C7752">
        <w:rPr>
          <w:rFonts w:ascii="Arial" w:hAnsi="Arial" w:cs="Arial"/>
          <w:b/>
          <w:bCs/>
          <w:iCs/>
          <w:lang w:val="es-CO" w:eastAsia="fr-FR"/>
        </w:rPr>
        <w:t>FINALIDAD / SUSTENTACIÓN / DEBE VERSAR, FORZOSAMENTE, SOBRE LOS MOTIVOS QUE EXPLIQUEN LA PROCEDENCIA DEL RECURSO NEGADO.</w:t>
      </w:r>
    </w:p>
    <w:p w:rsidR="002D1F55" w:rsidRPr="002D1F55" w:rsidRDefault="002D1F55" w:rsidP="002D1F55">
      <w:pPr>
        <w:jc w:val="both"/>
        <w:rPr>
          <w:rFonts w:ascii="Arial" w:hAnsi="Arial" w:cs="Arial"/>
          <w:lang w:val="es-419"/>
        </w:rPr>
      </w:pPr>
    </w:p>
    <w:p w:rsidR="00707FC0" w:rsidRPr="00707FC0" w:rsidRDefault="00707FC0" w:rsidP="00707FC0">
      <w:pPr>
        <w:jc w:val="both"/>
        <w:rPr>
          <w:rFonts w:ascii="Arial" w:hAnsi="Arial" w:cs="Arial"/>
          <w:lang w:val="es-419"/>
        </w:rPr>
      </w:pPr>
      <w:r w:rsidRPr="00707FC0">
        <w:rPr>
          <w:rFonts w:ascii="Arial" w:hAnsi="Arial" w:cs="Arial"/>
          <w:lang w:val="es-419"/>
        </w:rPr>
        <w:t xml:space="preserve">En el recurso de queja, no puede perderse de vista que, su finalidad es: “(…) corregir los errores en que haya incurrido el funcionario inferior cuando niega la concesión de los recursos de apelación o casación con el fin de que el superior pueda pronunciarse acerca de la legalidad y acierto de tales determinaciones (…)”  y entonces, la sustentación debe ir encaminada a explicar por qué debió concederse la alzada reclamada. </w:t>
      </w:r>
    </w:p>
    <w:p w:rsidR="00707FC0" w:rsidRPr="00707FC0" w:rsidRDefault="00707FC0" w:rsidP="00707FC0">
      <w:pPr>
        <w:jc w:val="both"/>
        <w:rPr>
          <w:rFonts w:ascii="Arial" w:hAnsi="Arial" w:cs="Arial"/>
          <w:lang w:val="es-419"/>
        </w:rPr>
      </w:pPr>
    </w:p>
    <w:p w:rsidR="002D1F55" w:rsidRPr="00707FC0" w:rsidRDefault="00707FC0" w:rsidP="00707FC0">
      <w:pPr>
        <w:jc w:val="both"/>
        <w:rPr>
          <w:rFonts w:ascii="Arial" w:hAnsi="Arial" w:cs="Arial"/>
          <w:lang w:val="es-CO"/>
        </w:rPr>
      </w:pPr>
      <w:r w:rsidRPr="00707FC0">
        <w:rPr>
          <w:rFonts w:ascii="Arial" w:hAnsi="Arial" w:cs="Arial"/>
          <w:lang w:val="es-419"/>
        </w:rPr>
        <w:t>Ahora, la oportunidad para esa exposición debe ser el momento de formular la reposición contra la decisión que negó la impugnación, pues aunque el trámite de este recurso se aligeró en vigencia del CGP y ha desaparecido la fundamentación ante el superior (Artículo 378-6º, CPC), en forma alguna, puede omitirse la presentación de esas razones jurídicas, puesto que son las que serán objeto de revisión en esta sede, a efectos de establecer la procedencia de</w:t>
      </w:r>
      <w:r>
        <w:rPr>
          <w:rFonts w:ascii="Arial" w:hAnsi="Arial" w:cs="Arial"/>
          <w:lang w:val="es-419"/>
        </w:rPr>
        <w:t xml:space="preserve"> alzada denegada</w:t>
      </w:r>
      <w:r>
        <w:rPr>
          <w:rFonts w:ascii="Arial" w:hAnsi="Arial" w:cs="Arial"/>
          <w:lang w:val="es-CO"/>
        </w:rPr>
        <w:t>…</w:t>
      </w:r>
    </w:p>
    <w:p w:rsidR="002D1F55" w:rsidRDefault="002D1F55" w:rsidP="002D1F55">
      <w:pPr>
        <w:jc w:val="both"/>
        <w:rPr>
          <w:rFonts w:ascii="Arial" w:hAnsi="Arial" w:cs="Arial"/>
          <w:lang w:val="es-419"/>
        </w:rPr>
      </w:pPr>
    </w:p>
    <w:p w:rsidR="00B514F6" w:rsidRPr="00B514F6" w:rsidRDefault="00B514F6" w:rsidP="00B514F6">
      <w:pPr>
        <w:jc w:val="both"/>
        <w:rPr>
          <w:rFonts w:ascii="Arial" w:hAnsi="Arial" w:cs="Arial"/>
          <w:lang w:val="es-419"/>
        </w:rPr>
      </w:pPr>
      <w:r w:rsidRPr="00B514F6">
        <w:rPr>
          <w:rFonts w:ascii="Arial" w:hAnsi="Arial" w:cs="Arial"/>
          <w:lang w:val="es-419"/>
        </w:rPr>
        <w:t>La parte interesada, en primera instancia y al formular la reposición contra el auto que negó la apelación, reiteró las razones que daban lugar a la primera de las impugnaciones, pero omitió cualquier argumentación frente a la segunda, sola la peticionó</w:t>
      </w:r>
      <w:r>
        <w:rPr>
          <w:rFonts w:ascii="Arial" w:hAnsi="Arial" w:cs="Arial"/>
          <w:lang w:val="es-CO"/>
        </w:rPr>
        <w:t>…</w:t>
      </w:r>
      <w:r w:rsidRPr="00B514F6">
        <w:rPr>
          <w:rFonts w:ascii="Arial" w:hAnsi="Arial" w:cs="Arial"/>
          <w:lang w:val="es-419"/>
        </w:rPr>
        <w:t xml:space="preserve"> </w:t>
      </w:r>
    </w:p>
    <w:p w:rsidR="00B514F6" w:rsidRPr="00B514F6" w:rsidRDefault="00B514F6" w:rsidP="00B514F6">
      <w:pPr>
        <w:jc w:val="both"/>
        <w:rPr>
          <w:rFonts w:ascii="Arial" w:hAnsi="Arial" w:cs="Arial"/>
          <w:lang w:val="es-419"/>
        </w:rPr>
      </w:pPr>
    </w:p>
    <w:p w:rsidR="00B514F6" w:rsidRPr="002D1F55" w:rsidRDefault="00B514F6" w:rsidP="00B514F6">
      <w:pPr>
        <w:jc w:val="both"/>
        <w:rPr>
          <w:rFonts w:ascii="Arial" w:hAnsi="Arial" w:cs="Arial"/>
          <w:lang w:val="es-419"/>
        </w:rPr>
      </w:pPr>
      <w:r w:rsidRPr="00B514F6">
        <w:rPr>
          <w:rFonts w:ascii="Arial" w:hAnsi="Arial" w:cs="Arial"/>
          <w:lang w:val="es-419"/>
        </w:rPr>
        <w:t>Confrontado lo anterior con las premisas jurídicas anotadas, se tiene que la recurrente incumplió el deber de sustentar el recurso, pues brilla por su ausencia la exposición de las razones jurídicas que, en su sentir hacen procedente la apelación formulada, de tal manera que esta Superioridad, en forma alguna puede adentrarse en ese análisis, carece de fundamentos para ello; en consecuencia, se impone el fracaso de esta especial impugnación.</w:t>
      </w:r>
    </w:p>
    <w:p w:rsidR="002D1F55" w:rsidRPr="002D1F55" w:rsidRDefault="002D1F55" w:rsidP="002D1F55">
      <w:pPr>
        <w:jc w:val="both"/>
        <w:rPr>
          <w:rFonts w:ascii="Arial" w:hAnsi="Arial" w:cs="Arial"/>
          <w:lang w:val="es-419"/>
        </w:rPr>
      </w:pPr>
    </w:p>
    <w:p w:rsidR="002D1F55" w:rsidRPr="002D1F55" w:rsidRDefault="002D1F55" w:rsidP="002D1F55">
      <w:pPr>
        <w:jc w:val="both"/>
        <w:rPr>
          <w:rFonts w:ascii="Arial" w:hAnsi="Arial" w:cs="Arial"/>
          <w:lang w:val="es-419"/>
        </w:rPr>
      </w:pPr>
    </w:p>
    <w:p w:rsidR="002D1F55" w:rsidRPr="002D1F55" w:rsidRDefault="002D1F55" w:rsidP="002D1F55">
      <w:pPr>
        <w:jc w:val="both"/>
        <w:rPr>
          <w:rFonts w:ascii="Arial" w:hAnsi="Arial" w:cs="Arial"/>
          <w:lang w:val="es-419"/>
        </w:rPr>
      </w:pPr>
    </w:p>
    <w:p w:rsidR="00CF2BC2" w:rsidRPr="00D829DF" w:rsidRDefault="000F3C9E" w:rsidP="00283F3B">
      <w:pPr>
        <w:pStyle w:val="Sinespaciado1"/>
        <w:spacing w:line="360" w:lineRule="auto"/>
        <w:jc w:val="center"/>
        <w:rPr>
          <w:rFonts w:ascii="Georgia" w:hAnsi="Georgia" w:cs="Arial"/>
          <w:w w:val="140"/>
          <w:sz w:val="14"/>
          <w:szCs w:val="14"/>
          <w:lang w:val="es-419"/>
        </w:rPr>
      </w:pPr>
      <w:r w:rsidRPr="00D829DF">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CF2BC2" w:rsidRPr="00D829DF" w:rsidRDefault="00CF2BC2" w:rsidP="00283F3B">
      <w:pPr>
        <w:pStyle w:val="Sinespaciado1"/>
        <w:spacing w:line="360" w:lineRule="auto"/>
        <w:jc w:val="center"/>
        <w:rPr>
          <w:rFonts w:ascii="Georgia" w:hAnsi="Georgia" w:cs="Arial"/>
          <w:w w:val="140"/>
          <w:sz w:val="14"/>
          <w:szCs w:val="14"/>
          <w:lang w:val="es-419"/>
        </w:rPr>
      </w:pPr>
    </w:p>
    <w:p w:rsidR="00CF2BC2" w:rsidRPr="00D829DF" w:rsidRDefault="00CF2BC2" w:rsidP="007C7752">
      <w:pPr>
        <w:pStyle w:val="Sinespaciado1"/>
        <w:spacing w:line="300" w:lineRule="auto"/>
        <w:jc w:val="center"/>
        <w:rPr>
          <w:rFonts w:ascii="Georgia" w:hAnsi="Georgia" w:cs="Arial"/>
          <w:w w:val="140"/>
          <w:sz w:val="14"/>
          <w:szCs w:val="14"/>
          <w:lang w:val="es-419"/>
        </w:rPr>
      </w:pPr>
      <w:r w:rsidRPr="00D829DF">
        <w:rPr>
          <w:rFonts w:ascii="Georgia" w:hAnsi="Georgia" w:cs="Arial"/>
          <w:w w:val="140"/>
          <w:sz w:val="14"/>
          <w:szCs w:val="14"/>
          <w:lang w:val="es-419"/>
        </w:rPr>
        <w:t>REPUBLICA DE COLOMBIA</w:t>
      </w:r>
    </w:p>
    <w:p w:rsidR="00CF2BC2" w:rsidRPr="00D829DF" w:rsidRDefault="00CF2BC2" w:rsidP="007C7752">
      <w:pPr>
        <w:pStyle w:val="Sinespaciado1"/>
        <w:tabs>
          <w:tab w:val="center" w:pos="4987"/>
          <w:tab w:val="left" w:pos="8449"/>
        </w:tabs>
        <w:spacing w:line="300" w:lineRule="auto"/>
        <w:jc w:val="center"/>
        <w:rPr>
          <w:rFonts w:ascii="Georgia" w:hAnsi="Georgia" w:cs="Arial"/>
          <w:w w:val="140"/>
          <w:lang w:val="es-419"/>
        </w:rPr>
      </w:pPr>
      <w:r w:rsidRPr="00D829DF">
        <w:rPr>
          <w:rFonts w:ascii="Georgia" w:hAnsi="Georgia" w:cs="Arial"/>
          <w:w w:val="140"/>
          <w:sz w:val="14"/>
          <w:szCs w:val="14"/>
          <w:lang w:val="es-419"/>
        </w:rPr>
        <w:t>RAMA JUDICIAL DEL PODER PÚBLICO</w:t>
      </w:r>
    </w:p>
    <w:p w:rsidR="00D91179" w:rsidRPr="00D829DF" w:rsidRDefault="00D91179" w:rsidP="007C7752">
      <w:pPr>
        <w:pStyle w:val="Sinespaciado"/>
        <w:spacing w:line="300" w:lineRule="auto"/>
        <w:jc w:val="center"/>
        <w:rPr>
          <w:rFonts w:ascii="Georgia" w:hAnsi="Georgia" w:cs="Arial"/>
          <w:w w:val="140"/>
          <w:sz w:val="16"/>
          <w:szCs w:val="16"/>
          <w:lang w:val="es-419"/>
        </w:rPr>
      </w:pPr>
      <w:r w:rsidRPr="00D829DF">
        <w:rPr>
          <w:rFonts w:ascii="Georgia" w:hAnsi="Georgia" w:cs="Arial"/>
          <w:w w:val="140"/>
          <w:sz w:val="18"/>
          <w:szCs w:val="18"/>
          <w:lang w:val="es-419"/>
        </w:rPr>
        <w:t>T</w:t>
      </w:r>
      <w:r w:rsidRPr="00D829DF">
        <w:rPr>
          <w:rFonts w:ascii="Georgia" w:hAnsi="Georgia" w:cs="Arial"/>
          <w:w w:val="140"/>
          <w:sz w:val="16"/>
          <w:szCs w:val="16"/>
          <w:lang w:val="es-419"/>
        </w:rPr>
        <w:t>RIBUNAL</w:t>
      </w:r>
      <w:r w:rsidRPr="00D829DF">
        <w:rPr>
          <w:rFonts w:ascii="Georgia" w:hAnsi="Georgia" w:cs="Arial"/>
          <w:w w:val="140"/>
          <w:sz w:val="18"/>
          <w:szCs w:val="18"/>
          <w:lang w:val="es-419"/>
        </w:rPr>
        <w:t xml:space="preserve"> S</w:t>
      </w:r>
      <w:r w:rsidRPr="00D829DF">
        <w:rPr>
          <w:rFonts w:ascii="Georgia" w:hAnsi="Georgia" w:cs="Arial"/>
          <w:w w:val="140"/>
          <w:sz w:val="16"/>
          <w:szCs w:val="16"/>
          <w:lang w:val="es-419"/>
        </w:rPr>
        <w:t xml:space="preserve">UPERIOR DE </w:t>
      </w:r>
      <w:r w:rsidRPr="00D829DF">
        <w:rPr>
          <w:rFonts w:ascii="Georgia" w:hAnsi="Georgia" w:cs="Arial"/>
          <w:w w:val="140"/>
          <w:sz w:val="18"/>
          <w:szCs w:val="18"/>
          <w:lang w:val="es-419"/>
        </w:rPr>
        <w:t>D</w:t>
      </w:r>
      <w:r w:rsidRPr="00D829DF">
        <w:rPr>
          <w:rFonts w:ascii="Georgia" w:hAnsi="Georgia" w:cs="Arial"/>
          <w:w w:val="140"/>
          <w:sz w:val="16"/>
          <w:szCs w:val="16"/>
          <w:lang w:val="es-419"/>
        </w:rPr>
        <w:t>ISTRITO</w:t>
      </w:r>
      <w:r w:rsidRPr="00D829DF">
        <w:rPr>
          <w:rFonts w:ascii="Georgia" w:hAnsi="Georgia" w:cs="Arial"/>
          <w:w w:val="140"/>
          <w:sz w:val="18"/>
          <w:szCs w:val="18"/>
          <w:lang w:val="es-419"/>
        </w:rPr>
        <w:t xml:space="preserve"> J</w:t>
      </w:r>
      <w:r w:rsidRPr="00D829DF">
        <w:rPr>
          <w:rFonts w:ascii="Georgia" w:hAnsi="Georgia" w:cs="Arial"/>
          <w:w w:val="140"/>
          <w:sz w:val="16"/>
          <w:szCs w:val="16"/>
          <w:lang w:val="es-419"/>
        </w:rPr>
        <w:t>UDICIAL</w:t>
      </w:r>
    </w:p>
    <w:p w:rsidR="00D91179" w:rsidRPr="00D829DF" w:rsidRDefault="00D91179" w:rsidP="007C7752">
      <w:pPr>
        <w:pStyle w:val="Sinespaciado"/>
        <w:spacing w:line="300" w:lineRule="auto"/>
        <w:jc w:val="center"/>
        <w:rPr>
          <w:rFonts w:ascii="Georgia" w:hAnsi="Georgia" w:cs="Arial"/>
          <w:w w:val="140"/>
          <w:sz w:val="16"/>
          <w:szCs w:val="16"/>
          <w:lang w:val="es-419"/>
        </w:rPr>
      </w:pPr>
      <w:r w:rsidRPr="00D829DF">
        <w:rPr>
          <w:rFonts w:ascii="Georgia" w:hAnsi="Georgia" w:cs="Arial"/>
          <w:w w:val="140"/>
          <w:sz w:val="18"/>
          <w:szCs w:val="16"/>
          <w:lang w:val="es-419"/>
        </w:rPr>
        <w:t>S</w:t>
      </w:r>
      <w:r w:rsidRPr="00D829DF">
        <w:rPr>
          <w:rFonts w:ascii="Georgia" w:hAnsi="Georgia" w:cs="Arial"/>
          <w:w w:val="140"/>
          <w:sz w:val="16"/>
          <w:szCs w:val="14"/>
          <w:lang w:val="es-419"/>
        </w:rPr>
        <w:t xml:space="preserve">ALA </w:t>
      </w:r>
      <w:r w:rsidRPr="00D829DF">
        <w:rPr>
          <w:rFonts w:ascii="Georgia" w:hAnsi="Georgia" w:cs="Arial"/>
          <w:w w:val="140"/>
          <w:sz w:val="18"/>
          <w:szCs w:val="18"/>
          <w:lang w:val="es-419"/>
        </w:rPr>
        <w:t>U</w:t>
      </w:r>
      <w:r w:rsidRPr="00D829DF">
        <w:rPr>
          <w:rFonts w:ascii="Georgia" w:hAnsi="Georgia" w:cs="Arial"/>
          <w:w w:val="140"/>
          <w:sz w:val="16"/>
          <w:szCs w:val="16"/>
          <w:lang w:val="es-419"/>
        </w:rPr>
        <w:t>NITARIA</w:t>
      </w:r>
      <w:r w:rsidRPr="00D829DF">
        <w:rPr>
          <w:rFonts w:ascii="Georgia" w:hAnsi="Georgia" w:cs="Arial"/>
          <w:w w:val="140"/>
          <w:sz w:val="14"/>
          <w:szCs w:val="14"/>
          <w:lang w:val="es-419"/>
        </w:rPr>
        <w:t xml:space="preserve"> </w:t>
      </w:r>
      <w:r w:rsidRPr="00D829DF">
        <w:rPr>
          <w:rFonts w:ascii="Georgia" w:hAnsi="Georgia" w:cs="Arial"/>
          <w:w w:val="140"/>
          <w:sz w:val="18"/>
          <w:szCs w:val="16"/>
          <w:lang w:val="es-419"/>
        </w:rPr>
        <w:t>C</w:t>
      </w:r>
      <w:r w:rsidRPr="00D829DF">
        <w:rPr>
          <w:rFonts w:ascii="Georgia" w:hAnsi="Georgia" w:cs="Arial"/>
          <w:w w:val="140"/>
          <w:sz w:val="16"/>
          <w:szCs w:val="16"/>
          <w:lang w:val="es-419"/>
        </w:rPr>
        <w:t>IVIL</w:t>
      </w:r>
      <w:r w:rsidR="00674D49" w:rsidRPr="00D829DF">
        <w:rPr>
          <w:rFonts w:ascii="Georgia" w:hAnsi="Georgia" w:cs="Arial"/>
          <w:w w:val="140"/>
          <w:sz w:val="16"/>
          <w:szCs w:val="16"/>
          <w:lang w:val="es-419"/>
        </w:rPr>
        <w:t xml:space="preserve"> </w:t>
      </w:r>
      <w:r w:rsidRPr="00D829DF">
        <w:rPr>
          <w:rFonts w:ascii="Georgia" w:hAnsi="Georgia" w:cs="Arial"/>
          <w:w w:val="140"/>
          <w:sz w:val="14"/>
          <w:szCs w:val="14"/>
          <w:lang w:val="es-419"/>
        </w:rPr>
        <w:t xml:space="preserve">– </w:t>
      </w:r>
      <w:r w:rsidRPr="00D829DF">
        <w:rPr>
          <w:rFonts w:ascii="Georgia" w:hAnsi="Georgia" w:cs="Arial"/>
          <w:w w:val="140"/>
          <w:sz w:val="18"/>
          <w:szCs w:val="16"/>
          <w:lang w:val="es-419"/>
        </w:rPr>
        <w:t>F</w:t>
      </w:r>
      <w:r w:rsidRPr="00D829DF">
        <w:rPr>
          <w:rFonts w:ascii="Georgia" w:hAnsi="Georgia" w:cs="Arial"/>
          <w:w w:val="140"/>
          <w:sz w:val="16"/>
          <w:szCs w:val="16"/>
          <w:lang w:val="es-419"/>
        </w:rPr>
        <w:t xml:space="preserve">AMILIA – </w:t>
      </w:r>
      <w:r w:rsidRPr="00D829DF">
        <w:rPr>
          <w:rFonts w:ascii="Georgia" w:hAnsi="Georgia" w:cs="Arial"/>
          <w:w w:val="140"/>
          <w:sz w:val="18"/>
          <w:szCs w:val="16"/>
          <w:lang w:val="es-419"/>
        </w:rPr>
        <w:t>D</w:t>
      </w:r>
      <w:r w:rsidRPr="00D829DF">
        <w:rPr>
          <w:rFonts w:ascii="Georgia" w:hAnsi="Georgia" w:cs="Arial"/>
          <w:w w:val="140"/>
          <w:sz w:val="16"/>
          <w:szCs w:val="16"/>
          <w:lang w:val="es-419"/>
        </w:rPr>
        <w:t xml:space="preserve">ISTRITO DE </w:t>
      </w:r>
      <w:r w:rsidRPr="00D829DF">
        <w:rPr>
          <w:rFonts w:ascii="Georgia" w:hAnsi="Georgia" w:cs="Arial"/>
          <w:w w:val="140"/>
          <w:sz w:val="18"/>
          <w:szCs w:val="16"/>
          <w:lang w:val="es-419"/>
        </w:rPr>
        <w:t>P</w:t>
      </w:r>
      <w:r w:rsidRPr="00D829DF">
        <w:rPr>
          <w:rFonts w:ascii="Georgia" w:hAnsi="Georgia" w:cs="Arial"/>
          <w:w w:val="140"/>
          <w:sz w:val="16"/>
          <w:szCs w:val="16"/>
          <w:lang w:val="es-419"/>
        </w:rPr>
        <w:t>EREIRA</w:t>
      </w:r>
    </w:p>
    <w:p w:rsidR="00D91179" w:rsidRPr="00D829DF" w:rsidRDefault="00D91179" w:rsidP="007C7752">
      <w:pPr>
        <w:pStyle w:val="Sinespaciado"/>
        <w:spacing w:line="300" w:lineRule="auto"/>
        <w:jc w:val="center"/>
        <w:rPr>
          <w:rFonts w:ascii="Georgia" w:hAnsi="Georgia" w:cs="Arial"/>
          <w:w w:val="140"/>
          <w:sz w:val="16"/>
          <w:szCs w:val="16"/>
          <w:lang w:val="es-419"/>
        </w:rPr>
      </w:pPr>
      <w:r w:rsidRPr="00D829DF">
        <w:rPr>
          <w:rFonts w:ascii="Georgia" w:hAnsi="Georgia" w:cs="Arial"/>
          <w:w w:val="140"/>
          <w:sz w:val="18"/>
          <w:szCs w:val="18"/>
          <w:lang w:val="es-419"/>
        </w:rPr>
        <w:t>D</w:t>
      </w:r>
      <w:r w:rsidRPr="00D829DF">
        <w:rPr>
          <w:rFonts w:ascii="Georgia" w:hAnsi="Georgia" w:cs="Arial"/>
          <w:w w:val="140"/>
          <w:sz w:val="16"/>
          <w:szCs w:val="16"/>
          <w:lang w:val="es-419"/>
        </w:rPr>
        <w:t>EPARTAMENTO DEL</w:t>
      </w:r>
      <w:r w:rsidRPr="00D829DF">
        <w:rPr>
          <w:rFonts w:ascii="Georgia" w:hAnsi="Georgia" w:cs="Arial"/>
          <w:w w:val="140"/>
          <w:sz w:val="14"/>
          <w:szCs w:val="14"/>
          <w:lang w:val="es-419"/>
        </w:rPr>
        <w:t xml:space="preserve"> </w:t>
      </w:r>
      <w:r w:rsidRPr="00D829DF">
        <w:rPr>
          <w:rFonts w:ascii="Georgia" w:hAnsi="Georgia" w:cs="Arial"/>
          <w:w w:val="140"/>
          <w:sz w:val="18"/>
          <w:szCs w:val="16"/>
          <w:lang w:val="es-419"/>
        </w:rPr>
        <w:t>R</w:t>
      </w:r>
      <w:r w:rsidRPr="00D829DF">
        <w:rPr>
          <w:rFonts w:ascii="Georgia" w:hAnsi="Georgia" w:cs="Arial"/>
          <w:w w:val="140"/>
          <w:sz w:val="16"/>
          <w:szCs w:val="16"/>
          <w:lang w:val="es-419"/>
        </w:rPr>
        <w:t xml:space="preserve">ISARALDA </w:t>
      </w:r>
    </w:p>
    <w:p w:rsidR="00CF2BC2" w:rsidRPr="00D829DF" w:rsidRDefault="00CF2BC2" w:rsidP="007C7752">
      <w:pPr>
        <w:pStyle w:val="Textoindependiente"/>
        <w:pBdr>
          <w:bottom w:val="double" w:sz="6" w:space="1" w:color="auto"/>
        </w:pBdr>
        <w:spacing w:line="300" w:lineRule="auto"/>
        <w:jc w:val="center"/>
        <w:rPr>
          <w:rFonts w:ascii="Georgia" w:hAnsi="Georgia" w:cs="Arial"/>
          <w:sz w:val="22"/>
          <w:szCs w:val="22"/>
          <w:lang w:val="es-419"/>
        </w:rPr>
      </w:pPr>
    </w:p>
    <w:p w:rsidR="00CF2BC2" w:rsidRPr="00D829DF" w:rsidRDefault="00CF2BC2" w:rsidP="007C7752">
      <w:pPr>
        <w:pStyle w:val="Textoindependiente"/>
        <w:spacing w:line="300" w:lineRule="auto"/>
        <w:jc w:val="center"/>
        <w:rPr>
          <w:rFonts w:ascii="Georgia" w:hAnsi="Georgia" w:cs="Arial"/>
          <w:sz w:val="22"/>
          <w:szCs w:val="22"/>
          <w:lang w:val="es-419"/>
        </w:rPr>
      </w:pPr>
    </w:p>
    <w:p w:rsidR="00CF2BC2" w:rsidRPr="00D829DF" w:rsidRDefault="00CF2BC2" w:rsidP="007C7752">
      <w:pPr>
        <w:spacing w:line="300" w:lineRule="auto"/>
        <w:jc w:val="center"/>
        <w:rPr>
          <w:rFonts w:ascii="Georgia" w:hAnsi="Georgia" w:cs="Arial"/>
          <w:sz w:val="24"/>
          <w:szCs w:val="24"/>
          <w:lang w:val="es-419"/>
        </w:rPr>
      </w:pPr>
      <w:r w:rsidRPr="00D829DF">
        <w:rPr>
          <w:rFonts w:ascii="Georgia" w:hAnsi="Georgia" w:cs="Arial"/>
          <w:smallCaps/>
          <w:sz w:val="24"/>
          <w:szCs w:val="24"/>
          <w:lang w:val="es-419"/>
        </w:rPr>
        <w:t xml:space="preserve">Pereira, R., </w:t>
      </w:r>
      <w:r w:rsidR="00241D5D" w:rsidRPr="00D829DF">
        <w:rPr>
          <w:rFonts w:ascii="Georgia" w:hAnsi="Georgia" w:cs="Arial"/>
          <w:smallCaps/>
          <w:sz w:val="24"/>
          <w:szCs w:val="24"/>
          <w:lang w:val="es-419"/>
        </w:rPr>
        <w:t xml:space="preserve">trece </w:t>
      </w:r>
      <w:r w:rsidRPr="00D829DF">
        <w:rPr>
          <w:rFonts w:ascii="Georgia" w:hAnsi="Georgia" w:cs="Arial"/>
          <w:smallCaps/>
          <w:sz w:val="24"/>
          <w:szCs w:val="24"/>
          <w:lang w:val="es-419"/>
        </w:rPr>
        <w:t>(</w:t>
      </w:r>
      <w:r w:rsidR="00241D5D" w:rsidRPr="00D829DF">
        <w:rPr>
          <w:rFonts w:ascii="Georgia" w:hAnsi="Georgia" w:cs="Arial"/>
          <w:smallCaps/>
          <w:sz w:val="24"/>
          <w:szCs w:val="24"/>
          <w:lang w:val="es-419"/>
        </w:rPr>
        <w:t>13</w:t>
      </w:r>
      <w:r w:rsidRPr="00D829DF">
        <w:rPr>
          <w:rFonts w:ascii="Georgia" w:hAnsi="Georgia" w:cs="Arial"/>
          <w:smallCaps/>
          <w:sz w:val="24"/>
          <w:szCs w:val="24"/>
          <w:lang w:val="es-419"/>
        </w:rPr>
        <w:t xml:space="preserve">) de </w:t>
      </w:r>
      <w:r w:rsidR="008D4F8E" w:rsidRPr="00D829DF">
        <w:rPr>
          <w:rFonts w:ascii="Georgia" w:hAnsi="Georgia" w:cs="Arial"/>
          <w:smallCaps/>
          <w:sz w:val="24"/>
          <w:szCs w:val="24"/>
          <w:lang w:val="es-419"/>
        </w:rPr>
        <w:t>noviembre</w:t>
      </w:r>
      <w:r w:rsidRPr="00D829DF">
        <w:rPr>
          <w:rFonts w:ascii="Georgia" w:hAnsi="Georgia" w:cs="Arial"/>
          <w:smallCaps/>
          <w:sz w:val="24"/>
          <w:szCs w:val="24"/>
          <w:lang w:val="es-419"/>
        </w:rPr>
        <w:t xml:space="preserve"> de dos mil </w:t>
      </w:r>
      <w:r w:rsidR="0053348A" w:rsidRPr="00D829DF">
        <w:rPr>
          <w:rFonts w:ascii="Georgia" w:hAnsi="Georgia" w:cs="Arial"/>
          <w:smallCaps/>
          <w:sz w:val="24"/>
          <w:szCs w:val="24"/>
          <w:lang w:val="es-419"/>
        </w:rPr>
        <w:t>dieci</w:t>
      </w:r>
      <w:r w:rsidR="008D4F8E" w:rsidRPr="00D829DF">
        <w:rPr>
          <w:rFonts w:ascii="Georgia" w:hAnsi="Georgia" w:cs="Arial"/>
          <w:smallCaps/>
          <w:sz w:val="24"/>
          <w:szCs w:val="24"/>
          <w:lang w:val="es-419"/>
        </w:rPr>
        <w:t xml:space="preserve">nueve </w:t>
      </w:r>
      <w:r w:rsidRPr="00D829DF">
        <w:rPr>
          <w:rFonts w:ascii="Georgia" w:hAnsi="Georgia" w:cs="Arial"/>
          <w:smallCaps/>
          <w:sz w:val="24"/>
          <w:szCs w:val="24"/>
          <w:lang w:val="es-419"/>
        </w:rPr>
        <w:t>(201</w:t>
      </w:r>
      <w:r w:rsidR="008D4F8E" w:rsidRPr="00D829DF">
        <w:rPr>
          <w:rFonts w:ascii="Georgia" w:hAnsi="Georgia" w:cs="Arial"/>
          <w:smallCaps/>
          <w:sz w:val="24"/>
          <w:szCs w:val="24"/>
          <w:lang w:val="es-419"/>
        </w:rPr>
        <w:t>9</w:t>
      </w:r>
      <w:r w:rsidRPr="00D829DF">
        <w:rPr>
          <w:rFonts w:ascii="Georgia" w:hAnsi="Georgia" w:cs="Arial"/>
          <w:smallCaps/>
          <w:sz w:val="24"/>
          <w:szCs w:val="24"/>
          <w:lang w:val="es-419"/>
        </w:rPr>
        <w:t>)</w:t>
      </w:r>
      <w:r w:rsidRPr="00D829DF">
        <w:rPr>
          <w:rFonts w:ascii="Georgia" w:hAnsi="Georgia" w:cs="Arial"/>
          <w:sz w:val="24"/>
          <w:szCs w:val="24"/>
          <w:lang w:val="es-419"/>
        </w:rPr>
        <w:t>.</w:t>
      </w:r>
    </w:p>
    <w:p w:rsidR="00CF2BC2" w:rsidRPr="00D829DF" w:rsidRDefault="00CF2BC2" w:rsidP="007C7752">
      <w:pPr>
        <w:spacing w:line="300" w:lineRule="auto"/>
        <w:jc w:val="both"/>
        <w:rPr>
          <w:rFonts w:ascii="Georgia" w:hAnsi="Georgia" w:cs="Arial"/>
          <w:b/>
          <w:bCs/>
          <w:sz w:val="24"/>
          <w:szCs w:val="24"/>
          <w:lang w:val="es-419"/>
        </w:rPr>
      </w:pPr>
    </w:p>
    <w:p w:rsidR="00CF2BC2" w:rsidRPr="00D829DF" w:rsidRDefault="00CF2BC2" w:rsidP="007C7752">
      <w:pPr>
        <w:pStyle w:val="Sinespaciado"/>
        <w:widowControl/>
        <w:numPr>
          <w:ilvl w:val="0"/>
          <w:numId w:val="3"/>
        </w:numPr>
        <w:autoSpaceDE/>
        <w:autoSpaceDN/>
        <w:adjustRightInd/>
        <w:spacing w:line="300" w:lineRule="auto"/>
        <w:jc w:val="both"/>
        <w:rPr>
          <w:rFonts w:ascii="Georgia" w:hAnsi="Georgia" w:cs="Arial"/>
          <w:sz w:val="24"/>
          <w:szCs w:val="24"/>
          <w:lang w:val="es-419"/>
        </w:rPr>
      </w:pPr>
      <w:r w:rsidRPr="00D829DF">
        <w:rPr>
          <w:rFonts w:ascii="Georgia" w:hAnsi="Georgia" w:cs="Arial"/>
          <w:sz w:val="24"/>
          <w:szCs w:val="24"/>
          <w:lang w:val="es-419"/>
        </w:rPr>
        <w:t>EL ASUNTO POR DECIDIR</w:t>
      </w:r>
    </w:p>
    <w:p w:rsidR="00CF2BC2" w:rsidRPr="00D829DF" w:rsidRDefault="00CF2BC2" w:rsidP="007C7752">
      <w:pPr>
        <w:pStyle w:val="Puesto"/>
        <w:spacing w:line="300" w:lineRule="auto"/>
        <w:jc w:val="left"/>
        <w:rPr>
          <w:rFonts w:ascii="Georgia" w:hAnsi="Georgia"/>
          <w:b w:val="0"/>
          <w:bCs w:val="0"/>
          <w:i w:val="0"/>
          <w:iCs w:val="0"/>
          <w:spacing w:val="-3"/>
          <w:szCs w:val="22"/>
          <w:lang w:val="es-419"/>
        </w:rPr>
      </w:pPr>
    </w:p>
    <w:p w:rsidR="00CF2BC2" w:rsidRPr="00D829DF" w:rsidRDefault="00CF2BC2" w:rsidP="007C7752">
      <w:pPr>
        <w:spacing w:line="300" w:lineRule="auto"/>
        <w:jc w:val="both"/>
        <w:rPr>
          <w:rFonts w:ascii="Georgia" w:hAnsi="Georgia" w:cs="Arial"/>
          <w:sz w:val="24"/>
          <w:szCs w:val="24"/>
          <w:lang w:val="es-419"/>
        </w:rPr>
      </w:pPr>
      <w:r w:rsidRPr="00D829DF">
        <w:rPr>
          <w:rFonts w:ascii="Georgia" w:hAnsi="Georgia" w:cs="Arial"/>
          <w:sz w:val="24"/>
          <w:szCs w:val="24"/>
          <w:lang w:val="es-419"/>
        </w:rPr>
        <w:t xml:space="preserve">La verificación de los supuestos de </w:t>
      </w:r>
      <w:r w:rsidR="00674D49" w:rsidRPr="00D829DF">
        <w:rPr>
          <w:rFonts w:ascii="Georgia" w:hAnsi="Georgia" w:cs="Arial"/>
          <w:sz w:val="24"/>
          <w:szCs w:val="24"/>
          <w:lang w:val="es-419"/>
        </w:rPr>
        <w:t>admisibilidad</w:t>
      </w:r>
      <w:r w:rsidR="00680E0E" w:rsidRPr="00D829DF">
        <w:rPr>
          <w:rFonts w:ascii="Georgia" w:hAnsi="Georgia" w:cs="Arial"/>
          <w:sz w:val="24"/>
          <w:szCs w:val="24"/>
          <w:lang w:val="es-419"/>
        </w:rPr>
        <w:t xml:space="preserve"> o procedencia</w:t>
      </w:r>
      <w:r w:rsidR="00674D49" w:rsidRPr="00D829DF">
        <w:rPr>
          <w:rFonts w:ascii="Georgia" w:hAnsi="Georgia" w:cs="Arial"/>
          <w:sz w:val="24"/>
          <w:szCs w:val="24"/>
          <w:lang w:val="es-419"/>
        </w:rPr>
        <w:t xml:space="preserve"> </w:t>
      </w:r>
      <w:r w:rsidRPr="00D829DF">
        <w:rPr>
          <w:rFonts w:ascii="Georgia" w:hAnsi="Georgia" w:cs="Arial"/>
          <w:sz w:val="24"/>
          <w:szCs w:val="24"/>
          <w:lang w:val="es-419"/>
        </w:rPr>
        <w:t xml:space="preserve">del recurso </w:t>
      </w:r>
      <w:r w:rsidR="003B0B26" w:rsidRPr="00D829DF">
        <w:rPr>
          <w:rFonts w:ascii="Georgia" w:hAnsi="Georgia" w:cs="Arial"/>
          <w:sz w:val="24"/>
          <w:szCs w:val="24"/>
          <w:lang w:val="es-419"/>
        </w:rPr>
        <w:t xml:space="preserve">ordinario </w:t>
      </w:r>
      <w:r w:rsidRPr="00D829DF">
        <w:rPr>
          <w:rFonts w:ascii="Georgia" w:hAnsi="Georgia" w:cs="Arial"/>
          <w:sz w:val="24"/>
          <w:szCs w:val="24"/>
          <w:lang w:val="es-419"/>
        </w:rPr>
        <w:t xml:space="preserve">de </w:t>
      </w:r>
      <w:r w:rsidR="00CB6BFA" w:rsidRPr="00D829DF">
        <w:rPr>
          <w:rFonts w:ascii="Georgia" w:hAnsi="Georgia" w:cs="Arial"/>
          <w:sz w:val="24"/>
          <w:szCs w:val="24"/>
          <w:lang w:val="es-419"/>
        </w:rPr>
        <w:t>queja</w:t>
      </w:r>
      <w:r w:rsidRPr="00D829DF">
        <w:rPr>
          <w:rFonts w:ascii="Georgia" w:hAnsi="Georgia" w:cs="Arial"/>
          <w:sz w:val="24"/>
          <w:szCs w:val="24"/>
          <w:lang w:val="es-419"/>
        </w:rPr>
        <w:t xml:space="preserve"> pr</w:t>
      </w:r>
      <w:r w:rsidR="00977E7F" w:rsidRPr="00D829DF">
        <w:rPr>
          <w:rFonts w:ascii="Georgia" w:hAnsi="Georgia" w:cs="Arial"/>
          <w:sz w:val="24"/>
          <w:szCs w:val="24"/>
          <w:lang w:val="es-419"/>
        </w:rPr>
        <w:t xml:space="preserve">esentado </w:t>
      </w:r>
      <w:r w:rsidRPr="00D829DF">
        <w:rPr>
          <w:rFonts w:ascii="Georgia" w:hAnsi="Georgia" w:cs="Arial"/>
          <w:sz w:val="24"/>
          <w:szCs w:val="24"/>
          <w:lang w:val="es-419"/>
        </w:rPr>
        <w:t xml:space="preserve">por </w:t>
      </w:r>
      <w:r w:rsidR="008D4F8E" w:rsidRPr="00D829DF">
        <w:rPr>
          <w:rFonts w:ascii="Georgia" w:hAnsi="Georgia" w:cs="Arial"/>
          <w:sz w:val="24"/>
          <w:szCs w:val="24"/>
          <w:lang w:val="es-419"/>
        </w:rPr>
        <w:t>la parte actora</w:t>
      </w:r>
      <w:r w:rsidRPr="00D829DF">
        <w:rPr>
          <w:rFonts w:ascii="Georgia" w:hAnsi="Georgia" w:cs="Arial"/>
          <w:sz w:val="24"/>
          <w:szCs w:val="24"/>
          <w:lang w:val="es-419"/>
        </w:rPr>
        <w:t xml:space="preserve">, contra </w:t>
      </w:r>
      <w:r w:rsidR="00C87903" w:rsidRPr="00D829DF">
        <w:rPr>
          <w:rFonts w:ascii="Georgia" w:hAnsi="Georgia" w:cs="Arial"/>
          <w:sz w:val="24"/>
          <w:szCs w:val="24"/>
          <w:lang w:val="es-419"/>
        </w:rPr>
        <w:t xml:space="preserve">el auto de fecha </w:t>
      </w:r>
      <w:r w:rsidR="00F029D8" w:rsidRPr="00D829DF">
        <w:rPr>
          <w:rFonts w:ascii="Georgia" w:hAnsi="Georgia" w:cs="Arial"/>
          <w:sz w:val="24"/>
          <w:szCs w:val="24"/>
          <w:lang w:val="es-419"/>
        </w:rPr>
        <w:t>1</w:t>
      </w:r>
      <w:r w:rsidR="008D4F8E" w:rsidRPr="00D829DF">
        <w:rPr>
          <w:rFonts w:ascii="Georgia" w:hAnsi="Georgia" w:cs="Arial"/>
          <w:sz w:val="24"/>
          <w:szCs w:val="24"/>
          <w:lang w:val="es-419"/>
        </w:rPr>
        <w:t>0</w:t>
      </w:r>
      <w:r w:rsidR="00F029D8" w:rsidRPr="00D829DF">
        <w:rPr>
          <w:rFonts w:ascii="Georgia" w:hAnsi="Georgia" w:cs="Arial"/>
          <w:sz w:val="24"/>
          <w:szCs w:val="24"/>
          <w:lang w:val="es-419"/>
        </w:rPr>
        <w:t>-0</w:t>
      </w:r>
      <w:r w:rsidR="008D4F8E" w:rsidRPr="00D829DF">
        <w:rPr>
          <w:rFonts w:ascii="Georgia" w:hAnsi="Georgia" w:cs="Arial"/>
          <w:sz w:val="24"/>
          <w:szCs w:val="24"/>
          <w:lang w:val="es-419"/>
        </w:rPr>
        <w:t>9</w:t>
      </w:r>
      <w:r w:rsidR="00F029D8" w:rsidRPr="00D829DF">
        <w:rPr>
          <w:rFonts w:ascii="Georgia" w:hAnsi="Georgia" w:cs="Arial"/>
          <w:sz w:val="24"/>
          <w:szCs w:val="24"/>
          <w:lang w:val="es-419"/>
        </w:rPr>
        <w:t>-201</w:t>
      </w:r>
      <w:r w:rsidR="008D4F8E" w:rsidRPr="00D829DF">
        <w:rPr>
          <w:rFonts w:ascii="Georgia" w:hAnsi="Georgia" w:cs="Arial"/>
          <w:sz w:val="24"/>
          <w:szCs w:val="24"/>
          <w:lang w:val="es-419"/>
        </w:rPr>
        <w:t>9</w:t>
      </w:r>
      <w:r w:rsidR="00C87903" w:rsidRPr="00D829DF">
        <w:rPr>
          <w:rFonts w:ascii="Georgia" w:hAnsi="Georgia" w:cs="Arial"/>
          <w:sz w:val="24"/>
          <w:szCs w:val="24"/>
          <w:lang w:val="es-419"/>
        </w:rPr>
        <w:t xml:space="preserve"> </w:t>
      </w:r>
      <w:r w:rsidR="00D91179" w:rsidRPr="00D829DF">
        <w:rPr>
          <w:rFonts w:ascii="Georgia" w:hAnsi="Georgia" w:cs="Arial"/>
          <w:sz w:val="24"/>
          <w:szCs w:val="24"/>
          <w:lang w:val="es-419"/>
        </w:rPr>
        <w:t>proferid</w:t>
      </w:r>
      <w:r w:rsidR="00C87903" w:rsidRPr="00D829DF">
        <w:rPr>
          <w:rFonts w:ascii="Georgia" w:hAnsi="Georgia" w:cs="Arial"/>
          <w:sz w:val="24"/>
          <w:szCs w:val="24"/>
          <w:lang w:val="es-419"/>
        </w:rPr>
        <w:t>o</w:t>
      </w:r>
      <w:r w:rsidR="00D91179" w:rsidRPr="00D829DF">
        <w:rPr>
          <w:rFonts w:ascii="Georgia" w:hAnsi="Georgia" w:cs="Arial"/>
          <w:sz w:val="24"/>
          <w:szCs w:val="24"/>
          <w:lang w:val="es-419"/>
        </w:rPr>
        <w:t xml:space="preserve"> </w:t>
      </w:r>
      <w:r w:rsidR="00DB458F" w:rsidRPr="00D829DF">
        <w:rPr>
          <w:rFonts w:ascii="Georgia" w:hAnsi="Georgia" w:cs="Arial"/>
          <w:sz w:val="24"/>
          <w:szCs w:val="24"/>
          <w:lang w:val="es-419"/>
        </w:rPr>
        <w:t>en el asunto en referencia</w:t>
      </w:r>
      <w:r w:rsidRPr="00D829DF">
        <w:rPr>
          <w:rFonts w:ascii="Georgia" w:hAnsi="Georgia" w:cs="Arial"/>
          <w:sz w:val="24"/>
          <w:szCs w:val="24"/>
          <w:lang w:val="es-419"/>
        </w:rPr>
        <w:t>, previas las apreciaciones jurídicas que enseguida se plantean.</w:t>
      </w:r>
    </w:p>
    <w:p w:rsidR="00CF2BC2" w:rsidRPr="00D829DF" w:rsidRDefault="00CF2BC2" w:rsidP="007C7752">
      <w:pPr>
        <w:pStyle w:val="Sinespaciado"/>
        <w:widowControl/>
        <w:autoSpaceDE/>
        <w:autoSpaceDN/>
        <w:adjustRightInd/>
        <w:spacing w:line="300" w:lineRule="auto"/>
        <w:jc w:val="both"/>
        <w:rPr>
          <w:rFonts w:ascii="Georgia" w:hAnsi="Georgia" w:cs="Arial"/>
          <w:sz w:val="24"/>
          <w:lang w:val="es-419"/>
        </w:rPr>
      </w:pPr>
    </w:p>
    <w:p w:rsidR="00CF2BC2" w:rsidRPr="00D829DF" w:rsidRDefault="00CF2BC2" w:rsidP="007C7752">
      <w:pPr>
        <w:pStyle w:val="Sinespaciado"/>
        <w:numPr>
          <w:ilvl w:val="0"/>
          <w:numId w:val="3"/>
        </w:numPr>
        <w:spacing w:line="300" w:lineRule="auto"/>
        <w:jc w:val="both"/>
        <w:rPr>
          <w:rFonts w:ascii="Georgia" w:hAnsi="Georgia" w:cs="Arial"/>
          <w:lang w:val="es-419"/>
        </w:rPr>
      </w:pPr>
      <w:r w:rsidRPr="00D829DF">
        <w:rPr>
          <w:rFonts w:ascii="Georgia" w:hAnsi="Georgia" w:cs="Arial"/>
          <w:sz w:val="28"/>
          <w:szCs w:val="28"/>
          <w:lang w:val="es-419"/>
        </w:rPr>
        <w:t>L</w:t>
      </w:r>
      <w:r w:rsidRPr="00D829DF">
        <w:rPr>
          <w:rFonts w:ascii="Georgia" w:hAnsi="Georgia" w:cs="Arial"/>
          <w:sz w:val="24"/>
          <w:szCs w:val="24"/>
          <w:lang w:val="es-419"/>
        </w:rPr>
        <w:t>AS ESTIMACIONES JURÍDICAS PARA DECIDIR</w:t>
      </w:r>
    </w:p>
    <w:p w:rsidR="00CF2BC2" w:rsidRPr="00D829DF" w:rsidRDefault="00CF2BC2" w:rsidP="007C7752">
      <w:pPr>
        <w:spacing w:line="300" w:lineRule="auto"/>
        <w:jc w:val="both"/>
        <w:rPr>
          <w:rFonts w:ascii="Georgia" w:hAnsi="Georgia" w:cs="Arial"/>
          <w:sz w:val="24"/>
          <w:szCs w:val="24"/>
          <w:lang w:val="es-419"/>
        </w:rPr>
      </w:pPr>
    </w:p>
    <w:p w:rsidR="00D63AC7" w:rsidRPr="00D829DF" w:rsidRDefault="00DB458F" w:rsidP="007C7752">
      <w:pPr>
        <w:spacing w:line="300" w:lineRule="auto"/>
        <w:jc w:val="both"/>
        <w:rPr>
          <w:rFonts w:ascii="Georgia" w:hAnsi="Georgia" w:cs="Arial"/>
          <w:sz w:val="24"/>
          <w:lang w:val="es-419"/>
        </w:rPr>
      </w:pPr>
      <w:r w:rsidRPr="00D829DF">
        <w:rPr>
          <w:rFonts w:ascii="Georgia" w:hAnsi="Georgia" w:cs="Arial"/>
          <w:sz w:val="24"/>
          <w:lang w:val="es-419"/>
        </w:rPr>
        <w:lastRenderedPageBreak/>
        <w:t xml:space="preserve">2.1. </w:t>
      </w:r>
      <w:r w:rsidR="00D63AC7" w:rsidRPr="00D829DF">
        <w:rPr>
          <w:rFonts w:ascii="Georgia" w:hAnsi="Georgia" w:cs="Arial"/>
          <w:smallCaps/>
          <w:sz w:val="24"/>
          <w:lang w:val="es-419"/>
        </w:rPr>
        <w:t>Los requisitos de viabilidad de un recurso</w:t>
      </w:r>
    </w:p>
    <w:p w:rsidR="00D63AC7" w:rsidRPr="00D829DF" w:rsidRDefault="00D63AC7" w:rsidP="007C7752">
      <w:pPr>
        <w:spacing w:line="300" w:lineRule="auto"/>
        <w:jc w:val="both"/>
        <w:rPr>
          <w:rFonts w:ascii="Georgia" w:hAnsi="Georgia" w:cs="Arial"/>
          <w:sz w:val="24"/>
          <w:lang w:val="es-419"/>
        </w:rPr>
      </w:pPr>
    </w:p>
    <w:p w:rsidR="002F0156" w:rsidRPr="00D829DF" w:rsidRDefault="005B0036" w:rsidP="007C7752">
      <w:pPr>
        <w:spacing w:line="300" w:lineRule="auto"/>
        <w:jc w:val="both"/>
        <w:rPr>
          <w:rFonts w:ascii="Georgia" w:hAnsi="Georgia" w:cs="Arial"/>
          <w:sz w:val="24"/>
          <w:lang w:val="es-419"/>
        </w:rPr>
      </w:pPr>
      <w:r w:rsidRPr="00D829DF">
        <w:rPr>
          <w:rFonts w:ascii="Georgia" w:hAnsi="Georgia"/>
          <w:sz w:val="24"/>
          <w:lang w:val="es-419"/>
        </w:rPr>
        <w:t xml:space="preserve">En </w:t>
      </w:r>
      <w:r w:rsidR="002F0156" w:rsidRPr="00D829DF">
        <w:rPr>
          <w:rFonts w:ascii="Georgia" w:hAnsi="Georgia"/>
          <w:sz w:val="24"/>
          <w:lang w:val="es-419"/>
        </w:rPr>
        <w:t xml:space="preserve">materia de recursos, </w:t>
      </w:r>
      <w:r w:rsidR="002F0156" w:rsidRPr="00D829DF">
        <w:rPr>
          <w:rFonts w:ascii="Georgia" w:hAnsi="Georgia" w:cs="Arial"/>
          <w:sz w:val="24"/>
          <w:lang w:val="es-419"/>
        </w:rPr>
        <w:t xml:space="preserve">es </w:t>
      </w:r>
      <w:r w:rsidRPr="00D829DF">
        <w:rPr>
          <w:rFonts w:ascii="Georgia" w:hAnsi="Georgia" w:cs="Arial"/>
          <w:sz w:val="24"/>
          <w:lang w:val="es-419"/>
        </w:rPr>
        <w:t xml:space="preserve">siempre </w:t>
      </w:r>
      <w:r w:rsidR="002F0156" w:rsidRPr="00D829DF">
        <w:rPr>
          <w:rFonts w:ascii="Georgia" w:hAnsi="Georgia" w:cs="Arial"/>
          <w:sz w:val="24"/>
          <w:lang w:val="es-419"/>
        </w:rPr>
        <w:t>indispensable la revisión de esos presupuestos que permiten desatar el recurso</w:t>
      </w:r>
      <w:r w:rsidR="008D4F8E" w:rsidRPr="00D829DF">
        <w:rPr>
          <w:rFonts w:ascii="Georgia" w:hAnsi="Georgia" w:cs="Arial"/>
          <w:sz w:val="24"/>
          <w:lang w:val="es-419"/>
        </w:rPr>
        <w:t xml:space="preserve"> </w:t>
      </w:r>
      <w:r w:rsidR="008D4F8E" w:rsidRPr="00D829DF">
        <w:rPr>
          <w:rFonts w:ascii="Georgia" w:hAnsi="Georgia" w:cs="Arial"/>
          <w:sz w:val="28"/>
          <w:lang w:val="es-419"/>
        </w:rPr>
        <w:t xml:space="preserve">o </w:t>
      </w:r>
      <w:r w:rsidR="008D4F8E" w:rsidRPr="00D829DF">
        <w:rPr>
          <w:rFonts w:ascii="Georgia" w:hAnsi="Georgia" w:cs="Arial"/>
          <w:i/>
          <w:lang w:val="es-419"/>
        </w:rPr>
        <w:t>condiciones para tener la posibilidad de recurrir</w:t>
      </w:r>
      <w:r w:rsidR="008D4F8E" w:rsidRPr="00D829DF">
        <w:rPr>
          <w:rStyle w:val="Refdenotaalpie"/>
          <w:rFonts w:ascii="Georgia" w:hAnsi="Georgia"/>
          <w:sz w:val="24"/>
          <w:lang w:val="es-419"/>
        </w:rPr>
        <w:footnoteReference w:id="1"/>
      </w:r>
      <w:r w:rsidR="002F0156" w:rsidRPr="00D829DF">
        <w:rPr>
          <w:rFonts w:ascii="Georgia" w:hAnsi="Georgia" w:cs="Arial"/>
          <w:sz w:val="24"/>
          <w:lang w:val="es-419"/>
        </w:rPr>
        <w:t xml:space="preserve">, según lo rotula la doctrina </w:t>
      </w:r>
      <w:r w:rsidR="002F0156" w:rsidRPr="00D829DF">
        <w:rPr>
          <w:rFonts w:ascii="Georgia" w:hAnsi="Georgia" w:cs="Arial"/>
          <w:sz w:val="24"/>
          <w:szCs w:val="24"/>
          <w:lang w:val="es-419"/>
        </w:rPr>
        <w:t>procesal nacional</w:t>
      </w:r>
      <w:r w:rsidR="008D4F8E" w:rsidRPr="00D829DF">
        <w:rPr>
          <w:rFonts w:ascii="Georgia" w:hAnsi="Georgia" w:cs="Arial"/>
          <w:sz w:val="28"/>
          <w:vertAlign w:val="superscript"/>
          <w:lang w:val="es-419"/>
        </w:rPr>
        <w:footnoteReference w:id="2"/>
      </w:r>
      <w:r w:rsidR="008D4F8E" w:rsidRPr="00D829DF">
        <w:rPr>
          <w:rFonts w:ascii="Georgia" w:hAnsi="Georgia" w:cs="Arial"/>
          <w:sz w:val="28"/>
          <w:vertAlign w:val="superscript"/>
          <w:lang w:val="es-419"/>
        </w:rPr>
        <w:t>-</w:t>
      </w:r>
      <w:r w:rsidR="008D4F8E" w:rsidRPr="00D829DF">
        <w:rPr>
          <w:rFonts w:ascii="Georgia" w:hAnsi="Georgia" w:cs="Arial"/>
          <w:sz w:val="28"/>
          <w:vertAlign w:val="superscript"/>
          <w:lang w:val="es-419"/>
        </w:rPr>
        <w:footnoteReference w:id="3"/>
      </w:r>
      <w:r w:rsidR="002F0156" w:rsidRPr="00D829DF">
        <w:rPr>
          <w:rFonts w:ascii="Georgia" w:hAnsi="Georgia" w:cs="Arial"/>
          <w:sz w:val="24"/>
          <w:lang w:val="es-419"/>
        </w:rPr>
        <w:t xml:space="preserve">, a efectos de examinar el tema discutido por vía de apelación, puesto que se dice que son ellos una serie de exigencias normativas formales que permiten su trámite y aseguran su decisión.  </w:t>
      </w:r>
    </w:p>
    <w:p w:rsidR="002F0156" w:rsidRPr="00D829DF" w:rsidRDefault="002F0156" w:rsidP="007C7752">
      <w:pPr>
        <w:pStyle w:val="Sinespaciado"/>
        <w:spacing w:line="300" w:lineRule="auto"/>
        <w:jc w:val="both"/>
        <w:rPr>
          <w:rFonts w:ascii="Georgia" w:hAnsi="Georgia" w:cs="Arial"/>
          <w:lang w:val="es-419"/>
        </w:rPr>
      </w:pPr>
    </w:p>
    <w:p w:rsidR="002F0156" w:rsidRPr="00D829DF" w:rsidRDefault="002F0156" w:rsidP="007C7752">
      <w:pPr>
        <w:pStyle w:val="Sinespaciado"/>
        <w:spacing w:line="300" w:lineRule="auto"/>
        <w:jc w:val="both"/>
        <w:rPr>
          <w:rFonts w:ascii="Georgia" w:hAnsi="Georgia" w:cs="Arial"/>
          <w:lang w:val="es-419"/>
        </w:rPr>
      </w:pPr>
      <w:r w:rsidRPr="00D829DF">
        <w:rPr>
          <w:rFonts w:ascii="Georgia" w:hAnsi="Georgia" w:cs="Arial"/>
          <w:sz w:val="24"/>
          <w:lang w:val="es-419"/>
        </w:rPr>
        <w:t xml:space="preserve">Así lo anota el </w:t>
      </w:r>
      <w:r w:rsidR="008D4F8E" w:rsidRPr="00D829DF">
        <w:rPr>
          <w:rFonts w:ascii="Georgia" w:hAnsi="Georgia" w:cs="Arial"/>
          <w:sz w:val="24"/>
          <w:lang w:val="es-419"/>
        </w:rPr>
        <w:t>maestro</w:t>
      </w:r>
      <w:r w:rsidRPr="00D829DF">
        <w:rPr>
          <w:rFonts w:ascii="Georgia" w:hAnsi="Georgia" w:cs="Arial"/>
          <w:sz w:val="24"/>
          <w:lang w:val="es-419"/>
        </w:rPr>
        <w:t xml:space="preserve"> López Blanco</w:t>
      </w:r>
      <w:r w:rsidRPr="00D829DF">
        <w:rPr>
          <w:rFonts w:ascii="Georgia" w:hAnsi="Georgia" w:cs="Arial"/>
          <w:sz w:val="24"/>
          <w:vertAlign w:val="superscript"/>
          <w:lang w:val="es-419"/>
        </w:rPr>
        <w:footnoteReference w:id="4"/>
      </w:r>
      <w:r w:rsidRPr="00D829DF">
        <w:rPr>
          <w:rFonts w:ascii="Georgia" w:hAnsi="Georgia" w:cs="Arial"/>
          <w:sz w:val="24"/>
          <w:lang w:val="es-419"/>
        </w:rPr>
        <w:t>:</w:t>
      </w:r>
      <w:r w:rsidRPr="00D829DF">
        <w:rPr>
          <w:rFonts w:ascii="Georgia" w:hAnsi="Georgia" w:cs="Arial"/>
          <w:lang w:val="es-419"/>
        </w:rPr>
        <w:t xml:space="preserve"> “</w:t>
      </w:r>
      <w:r w:rsidRPr="00D829DF">
        <w:rPr>
          <w:rFonts w:ascii="Georgia" w:hAnsi="Georgia" w:cs="Arial"/>
          <w:i/>
          <w:lang w:val="es-419"/>
        </w:rPr>
        <w:t>En todo caso sin estar reunidos los requisitos de viabilidad del recurso jamás se podrá tener éxito en el mismo por constituir un precedente necesario para decidirlo.</w:t>
      </w:r>
      <w:r w:rsidRPr="00D829DF">
        <w:rPr>
          <w:rFonts w:ascii="Georgia" w:hAnsi="Georgia" w:cs="Arial"/>
          <w:lang w:val="es-419"/>
        </w:rPr>
        <w:t xml:space="preserve">”.  </w:t>
      </w:r>
      <w:r w:rsidRPr="00D829DF">
        <w:rPr>
          <w:rFonts w:ascii="Georgia" w:hAnsi="Georgia" w:cs="Arial"/>
          <w:sz w:val="24"/>
          <w:lang w:val="es-419"/>
        </w:rPr>
        <w:t>Y lo explica el profesor Rojas Gómez</w:t>
      </w:r>
      <w:r w:rsidRPr="00D829DF">
        <w:rPr>
          <w:rStyle w:val="Refdenotaalpie"/>
          <w:rFonts w:ascii="Georgia" w:hAnsi="Georgia" w:cs="Arial"/>
          <w:sz w:val="24"/>
          <w:lang w:val="es-419"/>
        </w:rPr>
        <w:footnoteReference w:id="5"/>
      </w:r>
      <w:r w:rsidRPr="00D829DF">
        <w:rPr>
          <w:rFonts w:ascii="Georgia" w:hAnsi="Georgia" w:cs="Arial"/>
          <w:sz w:val="24"/>
          <w:lang w:val="es-419"/>
        </w:rPr>
        <w:t xml:space="preserve"> en su obra:</w:t>
      </w:r>
      <w:r w:rsidRPr="00D829DF">
        <w:rPr>
          <w:rFonts w:ascii="Georgia" w:hAnsi="Georgia" w:cs="Arial"/>
          <w:lang w:val="es-419"/>
        </w:rPr>
        <w:t xml:space="preserve"> “</w:t>
      </w:r>
      <w:r w:rsidRPr="00D829DF">
        <w:rPr>
          <w:rFonts w:ascii="Georgia" w:hAnsi="Georgia" w:cs="Arial"/>
          <w:i/>
          <w:lang w:val="es-419"/>
        </w:rPr>
        <w:t>(…) para que la impugnación pueda ser tramitada hasta establecer si debe prosperar han de cumplirse unos precisos requisitos.  En ausencia de ellos no debe dársele curso a la impugnación, o el trámite queda trunco, si ya se inició.</w:t>
      </w:r>
      <w:r w:rsidRPr="00D829DF">
        <w:rPr>
          <w:rFonts w:ascii="Georgia" w:hAnsi="Georgia" w:cs="Arial"/>
          <w:lang w:val="es-419"/>
        </w:rPr>
        <w:t>”.</w:t>
      </w:r>
    </w:p>
    <w:p w:rsidR="002F0156" w:rsidRPr="00D829DF" w:rsidRDefault="002F0156" w:rsidP="007C7752">
      <w:pPr>
        <w:pStyle w:val="Sinespaciado"/>
        <w:spacing w:line="300" w:lineRule="auto"/>
        <w:jc w:val="both"/>
        <w:rPr>
          <w:rFonts w:ascii="Georgia" w:hAnsi="Georgia" w:cs="Arial"/>
          <w:lang w:val="es-419"/>
        </w:rPr>
      </w:pPr>
    </w:p>
    <w:p w:rsidR="008D4F8E" w:rsidRPr="00D829DF" w:rsidRDefault="008D4F8E" w:rsidP="007C7752">
      <w:pPr>
        <w:spacing w:line="300" w:lineRule="auto"/>
        <w:jc w:val="both"/>
        <w:rPr>
          <w:rFonts w:ascii="Georgia" w:hAnsi="Georgia" w:cs="Arial"/>
          <w:sz w:val="28"/>
          <w:lang w:val="es-419"/>
        </w:rPr>
      </w:pPr>
      <w:r w:rsidRPr="00D829DF">
        <w:rPr>
          <w:rFonts w:ascii="Georgia" w:hAnsi="Georgia" w:cs="Arial"/>
          <w:sz w:val="24"/>
          <w:lang w:val="es-419"/>
        </w:rPr>
        <w:t xml:space="preserve">Los presupuestos son concurrentes, lo que se traduce en que su ausencia frustra el estudio de la impugnación. También la CSJ, predica su cumplimiento: </w:t>
      </w:r>
      <w:r w:rsidRPr="00D829DF">
        <w:rPr>
          <w:rFonts w:ascii="Georgia" w:hAnsi="Georgia" w:cs="Arial"/>
          <w:sz w:val="22"/>
          <w:szCs w:val="22"/>
          <w:lang w:val="es-419"/>
        </w:rPr>
        <w:t>“</w:t>
      </w:r>
      <w:r w:rsidRPr="00D829DF">
        <w:rPr>
          <w:rFonts w:ascii="Georgia" w:hAnsi="Georgia" w:cs="Arial"/>
          <w:i/>
          <w:sz w:val="22"/>
          <w:szCs w:val="22"/>
          <w:lang w:val="es-419"/>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D829DF">
        <w:rPr>
          <w:rFonts w:ascii="Georgia" w:hAnsi="Georgia" w:cs="Arial"/>
          <w:sz w:val="22"/>
          <w:szCs w:val="22"/>
          <w:lang w:val="es-419"/>
        </w:rPr>
        <w:t>”</w:t>
      </w:r>
      <w:r w:rsidRPr="00D829DF">
        <w:rPr>
          <w:rStyle w:val="Refdenotaalpie"/>
          <w:rFonts w:ascii="Georgia" w:hAnsi="Georgia"/>
          <w:sz w:val="24"/>
          <w:lang w:val="es-419"/>
        </w:rPr>
        <w:footnoteReference w:id="6"/>
      </w:r>
      <w:r w:rsidRPr="00D829DF">
        <w:rPr>
          <w:rFonts w:ascii="Georgia" w:hAnsi="Georgia" w:cs="Arial"/>
          <w:sz w:val="24"/>
          <w:lang w:val="es-419"/>
        </w:rPr>
        <w:t>. Y en decisión más próxima (2017)</w:t>
      </w:r>
      <w:r w:rsidRPr="00D829DF">
        <w:rPr>
          <w:rStyle w:val="Refdenotaalpie"/>
          <w:rFonts w:ascii="Georgia" w:hAnsi="Georgia"/>
          <w:sz w:val="24"/>
          <w:lang w:val="es-419"/>
        </w:rPr>
        <w:footnoteReference w:id="7"/>
      </w:r>
      <w:r w:rsidRPr="00D829DF">
        <w:rPr>
          <w:rFonts w:ascii="Georgia" w:hAnsi="Georgia" w:cs="Arial"/>
          <w:sz w:val="24"/>
          <w:lang w:val="es-419"/>
        </w:rPr>
        <w:t xml:space="preserve"> evocó: </w:t>
      </w:r>
      <w:r w:rsidRPr="00D829DF">
        <w:rPr>
          <w:rFonts w:ascii="Georgia" w:hAnsi="Georgia" w:cs="Arial"/>
          <w:sz w:val="22"/>
          <w:lang w:val="es-419"/>
        </w:rPr>
        <w:t>“</w:t>
      </w:r>
      <w:r w:rsidRPr="00D829DF">
        <w:rPr>
          <w:rFonts w:ascii="Georgia" w:hAnsi="Georgia" w:cs="Arial"/>
          <w:i/>
          <w:sz w:val="22"/>
          <w:lang w:val="es-419"/>
        </w:rPr>
        <w:t xml:space="preserve">(…) </w:t>
      </w:r>
      <w:r w:rsidRPr="00D829DF">
        <w:rPr>
          <w:rFonts w:ascii="Georgia" w:hAnsi="Georgia" w:cs="Arial"/>
          <w:i/>
          <w:spacing w:val="-4"/>
          <w:sz w:val="22"/>
          <w:lang w:val="es-419"/>
        </w:rPr>
        <w:t>Por supuesto que, era facultad del superior realizar el análisis preliminar para la «admisión» de la alzada, y conforme a la regla cuarta del canon 325 del C.G.P.</w:t>
      </w:r>
      <w:r w:rsidRPr="00D829DF">
        <w:rPr>
          <w:rFonts w:ascii="Georgia" w:hAnsi="Georgia" w:cs="Arial"/>
          <w:spacing w:val="-4"/>
          <w:sz w:val="22"/>
          <w:szCs w:val="28"/>
          <w:lang w:val="es-419"/>
        </w:rPr>
        <w:t xml:space="preserve"> </w:t>
      </w:r>
      <w:r w:rsidRPr="00D829DF">
        <w:rPr>
          <w:rFonts w:ascii="Georgia" w:hAnsi="Georgia" w:cs="Arial"/>
          <w:i/>
          <w:sz w:val="22"/>
          <w:shd w:val="clear" w:color="auto" w:fill="FFFFFF"/>
          <w:lang w:val="es-419"/>
        </w:rPr>
        <w:t>(…)”</w:t>
      </w:r>
      <w:r w:rsidRPr="00D829DF">
        <w:rPr>
          <w:rFonts w:ascii="Georgia" w:hAnsi="Georgia" w:cs="Arial"/>
          <w:i/>
          <w:sz w:val="24"/>
          <w:shd w:val="clear" w:color="auto" w:fill="FFFFFF"/>
          <w:lang w:val="es-419"/>
        </w:rPr>
        <w:t>.</w:t>
      </w:r>
      <w:r w:rsidRPr="00D829DF">
        <w:rPr>
          <w:rFonts w:ascii="Georgia" w:hAnsi="Georgia" w:cs="Arial"/>
          <w:sz w:val="24"/>
          <w:shd w:val="clear" w:color="auto" w:fill="FFFFFF"/>
          <w:lang w:val="es-419"/>
        </w:rPr>
        <w:t xml:space="preserve"> Comentarios que son aplicables para el CGP, puesto que en este aspecto se conservó el esquema.</w:t>
      </w:r>
    </w:p>
    <w:p w:rsidR="002F0156" w:rsidRPr="00D829DF" w:rsidRDefault="002F0156" w:rsidP="007C7752">
      <w:pPr>
        <w:pStyle w:val="Sinespaciado"/>
        <w:spacing w:line="300" w:lineRule="auto"/>
        <w:jc w:val="both"/>
        <w:rPr>
          <w:rFonts w:ascii="Georgia" w:hAnsi="Georgia" w:cs="Arial"/>
          <w:sz w:val="24"/>
          <w:szCs w:val="24"/>
          <w:lang w:val="es-419"/>
        </w:rPr>
      </w:pPr>
    </w:p>
    <w:p w:rsidR="008D4F8E" w:rsidRPr="00D829DF" w:rsidRDefault="008D4F8E" w:rsidP="007C7752">
      <w:pPr>
        <w:pStyle w:val="Textopredeterminado"/>
        <w:spacing w:line="300" w:lineRule="auto"/>
        <w:jc w:val="both"/>
        <w:rPr>
          <w:rFonts w:ascii="Georgia" w:hAnsi="Georgia" w:cs="Arial"/>
          <w:color w:val="auto"/>
          <w:lang w:val="es-419"/>
        </w:rPr>
      </w:pPr>
      <w:r w:rsidRPr="00D829DF">
        <w:rPr>
          <w:rFonts w:ascii="Georgia" w:hAnsi="Georgia" w:cs="Arial"/>
          <w:color w:val="auto"/>
          <w:lang w:val="es-419"/>
        </w:rPr>
        <w:t>Esos supuestos son (i) legitimación, (ii) oportunidad, (iii) procedencia y (iv) cargas procesales (</w:t>
      </w:r>
      <w:r w:rsidRPr="00D829DF">
        <w:rPr>
          <w:rFonts w:ascii="Georgia" w:hAnsi="Georgia" w:cs="Arial"/>
          <w:color w:val="auto"/>
          <w:sz w:val="22"/>
          <w:lang w:val="es-419"/>
        </w:rPr>
        <w:t>Sustentación, expedición de copias, etc.</w:t>
      </w:r>
      <w:r w:rsidRPr="00D829DF">
        <w:rPr>
          <w:rFonts w:ascii="Georgia" w:hAnsi="Georgia" w:cs="Arial"/>
          <w:color w:val="auto"/>
          <w:lang w:val="es-419"/>
        </w:rPr>
        <w:t>); es necesario precisar desde ya que, los tres (3) primeros implican la inadmisibilidad del recurso, mientras que el cuarto, provoca la deserción, tal como acota la doctrina patria</w:t>
      </w:r>
      <w:r w:rsidRPr="00D829DF">
        <w:rPr>
          <w:rStyle w:val="Refdenotaalpie"/>
          <w:rFonts w:ascii="Georgia" w:hAnsi="Georgia"/>
          <w:sz w:val="22"/>
          <w:lang w:val="es-419"/>
        </w:rPr>
        <w:footnoteReference w:id="8"/>
      </w:r>
      <w:r w:rsidRPr="00D829DF">
        <w:rPr>
          <w:rStyle w:val="Refdenotaalpie"/>
          <w:sz w:val="22"/>
          <w:lang w:val="es-419"/>
        </w:rPr>
        <w:t>-</w:t>
      </w:r>
      <w:r w:rsidRPr="00D829DF">
        <w:rPr>
          <w:rStyle w:val="Refdenotaalpie"/>
          <w:rFonts w:ascii="Georgia" w:hAnsi="Georgia"/>
          <w:sz w:val="22"/>
          <w:lang w:val="es-419"/>
        </w:rPr>
        <w:footnoteReference w:id="9"/>
      </w:r>
      <w:r w:rsidRPr="00D829DF">
        <w:rPr>
          <w:rFonts w:ascii="Georgia" w:hAnsi="Georgia" w:cs="Arial"/>
          <w:color w:val="auto"/>
          <w:lang w:val="es-419"/>
        </w:rPr>
        <w:t>.</w:t>
      </w:r>
    </w:p>
    <w:p w:rsidR="001B103C" w:rsidRPr="00D829DF" w:rsidRDefault="001B103C" w:rsidP="007C7752">
      <w:pPr>
        <w:pStyle w:val="Sinespaciado"/>
        <w:spacing w:line="300" w:lineRule="auto"/>
        <w:jc w:val="both"/>
        <w:rPr>
          <w:rFonts w:ascii="Georgia" w:hAnsi="Georgia" w:cs="Arial"/>
          <w:sz w:val="24"/>
          <w:szCs w:val="24"/>
          <w:lang w:val="es-419"/>
        </w:rPr>
      </w:pPr>
    </w:p>
    <w:p w:rsidR="001B103C" w:rsidRPr="00D829DF" w:rsidRDefault="001B103C" w:rsidP="007C7752">
      <w:pPr>
        <w:spacing w:line="300" w:lineRule="auto"/>
        <w:jc w:val="both"/>
        <w:rPr>
          <w:rFonts w:ascii="Georgia" w:hAnsi="Georgia" w:cs="Arial"/>
          <w:sz w:val="24"/>
          <w:szCs w:val="24"/>
          <w:lang w:val="es-419"/>
        </w:rPr>
      </w:pPr>
      <w:r w:rsidRPr="00D829DF">
        <w:rPr>
          <w:rFonts w:ascii="Georgia" w:hAnsi="Georgia" w:cs="Arial"/>
          <w:sz w:val="24"/>
          <w:szCs w:val="24"/>
          <w:lang w:val="es-419"/>
        </w:rPr>
        <w:t xml:space="preserve">Frente a los tres primeros el estudio se da por superado, dado que: (i) Hay legitimación o interés en la parte </w:t>
      </w:r>
      <w:r w:rsidR="008D4F8E" w:rsidRPr="00D829DF">
        <w:rPr>
          <w:rFonts w:ascii="Georgia" w:hAnsi="Georgia" w:cs="Arial"/>
          <w:sz w:val="24"/>
          <w:szCs w:val="24"/>
          <w:lang w:val="es-419"/>
        </w:rPr>
        <w:t>ejecutante</w:t>
      </w:r>
      <w:r w:rsidRPr="00D829DF">
        <w:rPr>
          <w:rFonts w:ascii="Georgia" w:hAnsi="Georgia" w:cs="Arial"/>
          <w:sz w:val="24"/>
          <w:szCs w:val="24"/>
          <w:lang w:val="es-419"/>
        </w:rPr>
        <w:t>, que recurre; (ii) La providencia atacada es susceptible de recurrir en queja, pues le fue negada una apelación (</w:t>
      </w:r>
      <w:r w:rsidRPr="00D829DF">
        <w:rPr>
          <w:rFonts w:ascii="Georgia" w:hAnsi="Georgia" w:cs="Arial"/>
          <w:sz w:val="22"/>
          <w:szCs w:val="24"/>
          <w:lang w:val="es-419"/>
        </w:rPr>
        <w:t>Artículo 352, CGP</w:t>
      </w:r>
      <w:r w:rsidRPr="00D829DF">
        <w:rPr>
          <w:rFonts w:ascii="Georgia" w:hAnsi="Georgia" w:cs="Arial"/>
          <w:sz w:val="24"/>
          <w:szCs w:val="24"/>
          <w:lang w:val="es-419"/>
        </w:rPr>
        <w:t xml:space="preserve">); y (iii) Fue oportuna la </w:t>
      </w:r>
      <w:r w:rsidR="006F5528" w:rsidRPr="00D829DF">
        <w:rPr>
          <w:rFonts w:ascii="Georgia" w:hAnsi="Georgia" w:cs="Arial"/>
          <w:sz w:val="24"/>
          <w:szCs w:val="24"/>
          <w:lang w:val="es-419"/>
        </w:rPr>
        <w:t>formulación (</w:t>
      </w:r>
      <w:r w:rsidR="006F5528" w:rsidRPr="00D829DF">
        <w:rPr>
          <w:rFonts w:ascii="Georgia" w:hAnsi="Georgia" w:cs="Arial"/>
          <w:sz w:val="22"/>
          <w:szCs w:val="24"/>
          <w:lang w:val="es-419"/>
        </w:rPr>
        <w:t>Folio</w:t>
      </w:r>
      <w:r w:rsidR="00B15897" w:rsidRPr="00D829DF">
        <w:rPr>
          <w:rFonts w:ascii="Georgia" w:hAnsi="Georgia" w:cs="Arial"/>
          <w:sz w:val="22"/>
          <w:szCs w:val="24"/>
          <w:lang w:val="es-419"/>
        </w:rPr>
        <w:t>s</w:t>
      </w:r>
      <w:r w:rsidR="006F5528" w:rsidRPr="00D829DF">
        <w:rPr>
          <w:rFonts w:ascii="Georgia" w:hAnsi="Georgia" w:cs="Arial"/>
          <w:sz w:val="22"/>
          <w:szCs w:val="24"/>
          <w:lang w:val="es-419"/>
        </w:rPr>
        <w:t xml:space="preserve"> </w:t>
      </w:r>
      <w:r w:rsidR="00A74260" w:rsidRPr="00D829DF">
        <w:rPr>
          <w:rFonts w:ascii="Georgia" w:hAnsi="Georgia" w:cs="Arial"/>
          <w:sz w:val="22"/>
          <w:szCs w:val="24"/>
          <w:lang w:val="es-419"/>
        </w:rPr>
        <w:t>273</w:t>
      </w:r>
      <w:r w:rsidR="00B15897" w:rsidRPr="00D829DF">
        <w:rPr>
          <w:rFonts w:ascii="Georgia" w:hAnsi="Georgia" w:cs="Arial"/>
          <w:sz w:val="22"/>
          <w:szCs w:val="24"/>
          <w:lang w:val="es-419"/>
        </w:rPr>
        <w:t>-274</w:t>
      </w:r>
      <w:r w:rsidR="006F5528" w:rsidRPr="00D829DF">
        <w:rPr>
          <w:rFonts w:ascii="Georgia" w:hAnsi="Georgia" w:cs="Arial"/>
          <w:sz w:val="22"/>
          <w:szCs w:val="24"/>
          <w:lang w:val="es-419"/>
        </w:rPr>
        <w:t>, cuaderno de copias</w:t>
      </w:r>
      <w:r w:rsidR="006F5528" w:rsidRPr="00D829DF">
        <w:rPr>
          <w:rFonts w:ascii="Georgia" w:hAnsi="Georgia" w:cs="Arial"/>
          <w:sz w:val="24"/>
          <w:szCs w:val="24"/>
          <w:lang w:val="es-419"/>
        </w:rPr>
        <w:t>)</w:t>
      </w:r>
      <w:r w:rsidRPr="00D829DF">
        <w:rPr>
          <w:rFonts w:ascii="Georgia" w:hAnsi="Georgia" w:cs="Arial"/>
          <w:sz w:val="24"/>
          <w:szCs w:val="24"/>
          <w:lang w:val="es-419"/>
        </w:rPr>
        <w:t xml:space="preserve">. Ahora el examen se centrará en la </w:t>
      </w:r>
      <w:r w:rsidRPr="00D829DF">
        <w:rPr>
          <w:rFonts w:ascii="Georgia" w:hAnsi="Georgia" w:cs="Arial"/>
          <w:sz w:val="24"/>
          <w:szCs w:val="24"/>
          <w:u w:val="single"/>
          <w:lang w:val="es-419"/>
        </w:rPr>
        <w:t>sustentación</w:t>
      </w:r>
      <w:r w:rsidRPr="00D829DF">
        <w:rPr>
          <w:rFonts w:ascii="Georgia" w:hAnsi="Georgia" w:cs="Arial"/>
          <w:sz w:val="24"/>
          <w:szCs w:val="24"/>
          <w:lang w:val="es-419"/>
        </w:rPr>
        <w:t>, como carga procesal que se echa de menos dada la vigencia del CGP, tal como pasará a explicarse.</w:t>
      </w:r>
    </w:p>
    <w:p w:rsidR="001B103C" w:rsidRPr="00D829DF" w:rsidRDefault="001B103C" w:rsidP="007C7752">
      <w:pPr>
        <w:spacing w:line="300" w:lineRule="auto"/>
        <w:jc w:val="both"/>
        <w:rPr>
          <w:rFonts w:ascii="Georgia" w:hAnsi="Georgia" w:cs="Arial"/>
          <w:sz w:val="24"/>
          <w:szCs w:val="24"/>
          <w:lang w:val="es-419"/>
        </w:rPr>
      </w:pPr>
    </w:p>
    <w:p w:rsidR="0005335E" w:rsidRPr="00D829DF" w:rsidRDefault="0005335E" w:rsidP="007C7752">
      <w:pPr>
        <w:spacing w:line="300" w:lineRule="auto"/>
        <w:jc w:val="both"/>
        <w:rPr>
          <w:rFonts w:ascii="Georgia" w:hAnsi="Georgia" w:cs="Arial"/>
          <w:sz w:val="24"/>
          <w:szCs w:val="24"/>
          <w:lang w:val="es-419"/>
        </w:rPr>
      </w:pPr>
      <w:r w:rsidRPr="00D829DF">
        <w:rPr>
          <w:rFonts w:ascii="Georgia" w:hAnsi="Georgia" w:cs="Arial"/>
          <w:sz w:val="24"/>
          <w:szCs w:val="24"/>
          <w:lang w:val="es-419"/>
        </w:rPr>
        <w:t xml:space="preserve">2.1.1. </w:t>
      </w:r>
      <w:r w:rsidRPr="00D829DF">
        <w:rPr>
          <w:rFonts w:ascii="Georgia" w:hAnsi="Georgia" w:cs="Arial"/>
          <w:smallCaps/>
          <w:sz w:val="24"/>
          <w:szCs w:val="24"/>
          <w:lang w:val="es-419"/>
        </w:rPr>
        <w:t xml:space="preserve">La </w:t>
      </w:r>
      <w:r w:rsidRPr="00D829DF">
        <w:rPr>
          <w:rFonts w:ascii="Georgia" w:hAnsi="Georgia" w:cs="Arial"/>
          <w:smallCaps/>
          <w:sz w:val="24"/>
          <w:lang w:val="es-419"/>
        </w:rPr>
        <w:t>sustentación</w:t>
      </w:r>
      <w:r w:rsidRPr="00D829DF">
        <w:rPr>
          <w:rFonts w:ascii="Georgia" w:hAnsi="Georgia" w:cs="Arial"/>
          <w:smallCaps/>
          <w:sz w:val="24"/>
          <w:szCs w:val="24"/>
          <w:lang w:val="es-419"/>
        </w:rPr>
        <w:t xml:space="preserve"> del recurso</w:t>
      </w:r>
    </w:p>
    <w:p w:rsidR="0005335E" w:rsidRPr="00D829DF" w:rsidRDefault="0005335E" w:rsidP="007C7752">
      <w:pPr>
        <w:spacing w:line="300" w:lineRule="auto"/>
        <w:jc w:val="both"/>
        <w:rPr>
          <w:rFonts w:ascii="Georgia" w:hAnsi="Georgia" w:cs="Arial"/>
          <w:sz w:val="24"/>
          <w:szCs w:val="24"/>
          <w:lang w:val="es-419"/>
        </w:rPr>
      </w:pPr>
    </w:p>
    <w:p w:rsidR="0005335E" w:rsidRPr="00D829DF" w:rsidRDefault="0005335E" w:rsidP="007C7752">
      <w:pPr>
        <w:spacing w:line="300" w:lineRule="auto"/>
        <w:jc w:val="both"/>
        <w:rPr>
          <w:rFonts w:ascii="Georgia" w:hAnsi="Georgia" w:cs="Arial"/>
          <w:sz w:val="24"/>
          <w:lang w:val="es-419"/>
        </w:rPr>
      </w:pPr>
      <w:r w:rsidRPr="00D829DF">
        <w:rPr>
          <w:rFonts w:ascii="Georgia" w:hAnsi="Georgia" w:cs="Arial"/>
          <w:sz w:val="24"/>
          <w:lang w:val="es-419"/>
        </w:rPr>
        <w:t xml:space="preserve">Se entiende como la exposición de las razones y fundamentos al juez de porqué la </w:t>
      </w:r>
      <w:r w:rsidRPr="00D829DF">
        <w:rPr>
          <w:rFonts w:ascii="Georgia" w:hAnsi="Georgia" w:cs="Arial"/>
          <w:i/>
          <w:iCs/>
          <w:sz w:val="22"/>
          <w:lang w:val="es-419"/>
        </w:rPr>
        <w:t>“(…) providencia está errada, con el fin de que proceda a modificarla o revocarla, por cuanto es evidente que si el juez no tiene esa base, no le es dable entrar a resolver (…)”</w:t>
      </w:r>
      <w:r w:rsidRPr="00D829DF">
        <w:rPr>
          <w:rFonts w:ascii="Georgia" w:hAnsi="Georgia" w:cs="Arial"/>
          <w:i/>
          <w:iCs/>
          <w:sz w:val="24"/>
          <w:vertAlign w:val="superscript"/>
          <w:lang w:val="es-419"/>
        </w:rPr>
        <w:footnoteReference w:id="10"/>
      </w:r>
      <w:r w:rsidRPr="00D829DF">
        <w:rPr>
          <w:rFonts w:ascii="Georgia" w:hAnsi="Georgia" w:cs="Arial"/>
          <w:sz w:val="24"/>
          <w:lang w:val="es-419"/>
        </w:rPr>
        <w:t xml:space="preserve">.  Es que no basta el mero deseo de la parte de recurrir una determinada providencia, sino que debe indicar los motivos de su inconformidad debidamente fundamentada.  </w:t>
      </w:r>
    </w:p>
    <w:p w:rsidR="0005335E" w:rsidRPr="00D829DF" w:rsidRDefault="0005335E" w:rsidP="007C7752">
      <w:pPr>
        <w:pStyle w:val="Sinespaciado"/>
        <w:spacing w:line="300" w:lineRule="auto"/>
        <w:jc w:val="both"/>
        <w:rPr>
          <w:rFonts w:ascii="Georgia" w:hAnsi="Georgia" w:cs="Arial"/>
          <w:lang w:val="es-419"/>
        </w:rPr>
      </w:pPr>
    </w:p>
    <w:p w:rsidR="0005335E" w:rsidRPr="00D829DF" w:rsidRDefault="0005335E" w:rsidP="007C7752">
      <w:pPr>
        <w:pStyle w:val="Sinespaciado"/>
        <w:spacing w:line="300" w:lineRule="auto"/>
        <w:jc w:val="both"/>
        <w:rPr>
          <w:rFonts w:ascii="Georgia" w:hAnsi="Georgia" w:cs="Arial"/>
          <w:lang w:val="es-419"/>
        </w:rPr>
      </w:pPr>
      <w:r w:rsidRPr="00D829DF">
        <w:rPr>
          <w:rFonts w:ascii="Georgia" w:hAnsi="Georgia" w:cs="Arial"/>
          <w:sz w:val="24"/>
          <w:lang w:val="es-419"/>
        </w:rPr>
        <w:t>Comenta, en la misma línea de pensamiento, el profesor Miguel E. Rojas G</w:t>
      </w:r>
      <w:r w:rsidRPr="00D829DF">
        <w:rPr>
          <w:rStyle w:val="Refdenotaalpie"/>
          <w:rFonts w:ascii="Georgia" w:hAnsi="Georgia" w:cs="Arial"/>
          <w:sz w:val="24"/>
          <w:lang w:val="es-419"/>
        </w:rPr>
        <w:footnoteReference w:id="11"/>
      </w:r>
      <w:r w:rsidRPr="00D829DF">
        <w:rPr>
          <w:rFonts w:ascii="Georgia" w:hAnsi="Georgia" w:cs="Arial"/>
          <w:lang w:val="es-419"/>
        </w:rPr>
        <w:t>.: “</w:t>
      </w:r>
      <w:r w:rsidRPr="00D829DF">
        <w:rPr>
          <w:rFonts w:ascii="Georgia" w:hAnsi="Georgia" w:cs="Arial"/>
          <w:i/>
          <w:iCs/>
          <w:lang w:val="es-419"/>
        </w:rPr>
        <w:t xml:space="preserve">Si el individuo se siente injustamente lesionado como consecuencia de la decisión judicial, habrá de tener por lo menos una razón seria para considerarlo así.  </w:t>
      </w:r>
      <w:r w:rsidRPr="00D829DF">
        <w:rPr>
          <w:rFonts w:ascii="Georgia" w:hAnsi="Georgia" w:cs="Arial"/>
          <w:i/>
          <w:iCs/>
          <w:u w:val="single"/>
          <w:lang w:val="es-419"/>
        </w:rPr>
        <w:t>Para que fundadamente pueda esperar que la justicia se corrija removiendo los errores que la determinan, tendrá que explicar siquiera el motivo de su inconformidad.</w:t>
      </w:r>
      <w:r w:rsidRPr="00D829DF">
        <w:rPr>
          <w:rFonts w:ascii="Georgia" w:hAnsi="Georgia" w:cs="Arial"/>
          <w:lang w:val="es-419"/>
        </w:rPr>
        <w:t>” (Subrayado ajeno al original).</w:t>
      </w:r>
    </w:p>
    <w:p w:rsidR="001B103C" w:rsidRPr="00D829DF" w:rsidRDefault="001B103C" w:rsidP="007C7752">
      <w:pPr>
        <w:pStyle w:val="Sinespaciado"/>
        <w:spacing w:line="300" w:lineRule="auto"/>
        <w:jc w:val="both"/>
        <w:rPr>
          <w:rFonts w:ascii="Georgia" w:hAnsi="Georgia" w:cs="Arial"/>
          <w:lang w:val="es-419"/>
        </w:rPr>
      </w:pPr>
    </w:p>
    <w:p w:rsidR="003918CD" w:rsidRPr="00D829DF" w:rsidRDefault="006F5528" w:rsidP="007C7752">
      <w:pPr>
        <w:pStyle w:val="Sinespaciado"/>
        <w:spacing w:line="300" w:lineRule="auto"/>
        <w:jc w:val="both"/>
        <w:rPr>
          <w:rFonts w:ascii="Georgia" w:hAnsi="Georgia" w:cs="Arial"/>
          <w:sz w:val="24"/>
          <w:lang w:val="es-419"/>
        </w:rPr>
      </w:pPr>
      <w:r w:rsidRPr="00D829DF">
        <w:rPr>
          <w:rFonts w:ascii="Georgia" w:hAnsi="Georgia" w:cs="Arial"/>
          <w:sz w:val="24"/>
          <w:lang w:val="es-419"/>
        </w:rPr>
        <w:t>En el recurso de queja, no puede perderse de vista que, su finalidad es:</w:t>
      </w:r>
      <w:r w:rsidRPr="00D829DF">
        <w:rPr>
          <w:rFonts w:ascii="Georgia" w:hAnsi="Georgia" w:cs="Arial"/>
          <w:lang w:val="es-419"/>
        </w:rPr>
        <w:t xml:space="preserve"> </w:t>
      </w:r>
      <w:r w:rsidRPr="00D829DF">
        <w:rPr>
          <w:rFonts w:ascii="Georgia" w:hAnsi="Georgia" w:cs="Arial"/>
          <w:i/>
          <w:lang w:val="es-419"/>
        </w:rPr>
        <w:t>“(…) corregir los errores en que haya incurrido el funcionario inferior cuando niega la concesión de los recursos de apelación o casación con el fin de que el superior pueda pronunciarse acerca de la legalidad y acierto de tales determinaciones (…)”</w:t>
      </w:r>
      <w:r w:rsidR="00C545C3" w:rsidRPr="00D829DF">
        <w:rPr>
          <w:rStyle w:val="Refdenotaalpie"/>
          <w:rFonts w:ascii="Georgia" w:hAnsi="Georgia" w:cs="Arial"/>
          <w:i/>
          <w:lang w:val="es-419"/>
        </w:rPr>
        <w:footnoteReference w:id="12"/>
      </w:r>
      <w:r w:rsidR="00875C10" w:rsidRPr="00D829DF">
        <w:rPr>
          <w:rFonts w:ascii="Georgia" w:hAnsi="Georgia" w:cs="Arial"/>
          <w:sz w:val="24"/>
          <w:lang w:val="es-419"/>
        </w:rPr>
        <w:t xml:space="preserve"> y entonces</w:t>
      </w:r>
      <w:r w:rsidR="008819CB" w:rsidRPr="00D829DF">
        <w:rPr>
          <w:rFonts w:ascii="Georgia" w:hAnsi="Georgia" w:cs="Arial"/>
          <w:sz w:val="24"/>
          <w:lang w:val="es-419"/>
        </w:rPr>
        <w:t>,</w:t>
      </w:r>
      <w:r w:rsidR="00875C10" w:rsidRPr="00D829DF">
        <w:rPr>
          <w:rFonts w:ascii="Georgia" w:hAnsi="Georgia" w:cs="Arial"/>
          <w:sz w:val="24"/>
          <w:lang w:val="es-419"/>
        </w:rPr>
        <w:t xml:space="preserve"> la sustentación debe ir encaminada a explicar por qué debió </w:t>
      </w:r>
      <w:r w:rsidR="005A0E1D" w:rsidRPr="00D829DF">
        <w:rPr>
          <w:rFonts w:ascii="Georgia" w:hAnsi="Georgia" w:cs="Arial"/>
          <w:sz w:val="24"/>
          <w:lang w:val="es-419"/>
        </w:rPr>
        <w:t>concederse la alzada reclamada</w:t>
      </w:r>
      <w:r w:rsidR="003918CD" w:rsidRPr="00D829DF">
        <w:rPr>
          <w:rFonts w:ascii="Georgia" w:hAnsi="Georgia" w:cs="Arial"/>
          <w:sz w:val="24"/>
          <w:lang w:val="es-419"/>
        </w:rPr>
        <w:t xml:space="preserve">. </w:t>
      </w:r>
    </w:p>
    <w:p w:rsidR="003918CD" w:rsidRPr="00D829DF" w:rsidRDefault="003918CD" w:rsidP="007C7752">
      <w:pPr>
        <w:pStyle w:val="Sinespaciado"/>
        <w:spacing w:line="300" w:lineRule="auto"/>
        <w:jc w:val="both"/>
        <w:rPr>
          <w:rFonts w:ascii="Georgia" w:hAnsi="Georgia" w:cs="Arial"/>
          <w:sz w:val="24"/>
          <w:lang w:val="es-419"/>
        </w:rPr>
      </w:pPr>
    </w:p>
    <w:p w:rsidR="006F5528" w:rsidRPr="00D829DF" w:rsidRDefault="003918CD" w:rsidP="007C7752">
      <w:pPr>
        <w:pStyle w:val="Sinespaciado"/>
        <w:spacing w:line="300" w:lineRule="auto"/>
        <w:jc w:val="both"/>
        <w:rPr>
          <w:rFonts w:ascii="Georgia" w:hAnsi="Georgia" w:cs="Arial"/>
          <w:sz w:val="24"/>
          <w:szCs w:val="24"/>
          <w:lang w:val="es-419"/>
        </w:rPr>
      </w:pPr>
      <w:r w:rsidRPr="00D829DF">
        <w:rPr>
          <w:rFonts w:ascii="Georgia" w:hAnsi="Georgia" w:cs="Arial"/>
          <w:sz w:val="24"/>
          <w:lang w:val="es-419"/>
        </w:rPr>
        <w:t xml:space="preserve">Ahora, </w:t>
      </w:r>
      <w:r w:rsidR="005A0E1D" w:rsidRPr="00D829DF">
        <w:rPr>
          <w:rFonts w:ascii="Georgia" w:hAnsi="Georgia" w:cs="Arial"/>
          <w:sz w:val="24"/>
          <w:lang w:val="es-419"/>
        </w:rPr>
        <w:t>la oportunidad</w:t>
      </w:r>
      <w:r w:rsidRPr="00D829DF">
        <w:rPr>
          <w:rFonts w:ascii="Georgia" w:hAnsi="Georgia" w:cs="Arial"/>
          <w:sz w:val="24"/>
          <w:lang w:val="es-419"/>
        </w:rPr>
        <w:t xml:space="preserve"> para esa exposición</w:t>
      </w:r>
      <w:r w:rsidR="005A0E1D" w:rsidRPr="00D829DF">
        <w:rPr>
          <w:rFonts w:ascii="Georgia" w:hAnsi="Georgia" w:cs="Arial"/>
          <w:sz w:val="24"/>
          <w:lang w:val="es-419"/>
        </w:rPr>
        <w:t xml:space="preserve"> debe ser el momento </w:t>
      </w:r>
      <w:r w:rsidRPr="00D829DF">
        <w:rPr>
          <w:rFonts w:ascii="Georgia" w:hAnsi="Georgia" w:cs="Arial"/>
          <w:sz w:val="24"/>
          <w:lang w:val="es-419"/>
        </w:rPr>
        <w:t xml:space="preserve">de </w:t>
      </w:r>
      <w:r w:rsidR="005A0E1D" w:rsidRPr="00D829DF">
        <w:rPr>
          <w:rFonts w:ascii="Georgia" w:hAnsi="Georgia" w:cs="Arial"/>
          <w:sz w:val="24"/>
          <w:lang w:val="es-419"/>
        </w:rPr>
        <w:t>formula</w:t>
      </w:r>
      <w:r w:rsidRPr="00D829DF">
        <w:rPr>
          <w:rFonts w:ascii="Georgia" w:hAnsi="Georgia" w:cs="Arial"/>
          <w:sz w:val="24"/>
          <w:lang w:val="es-419"/>
        </w:rPr>
        <w:t>r</w:t>
      </w:r>
      <w:r w:rsidR="005A0E1D" w:rsidRPr="00D829DF">
        <w:rPr>
          <w:rFonts w:ascii="Georgia" w:hAnsi="Georgia" w:cs="Arial"/>
          <w:sz w:val="24"/>
          <w:lang w:val="es-419"/>
        </w:rPr>
        <w:t xml:space="preserve"> la reposición contra </w:t>
      </w:r>
      <w:r w:rsidR="0091310A" w:rsidRPr="00D829DF">
        <w:rPr>
          <w:rFonts w:ascii="Georgia" w:hAnsi="Georgia" w:cs="Arial"/>
          <w:sz w:val="24"/>
          <w:lang w:val="es-419"/>
        </w:rPr>
        <w:t xml:space="preserve">la </w:t>
      </w:r>
      <w:r w:rsidR="005A0E1D" w:rsidRPr="00D829DF">
        <w:rPr>
          <w:rFonts w:ascii="Georgia" w:hAnsi="Georgia" w:cs="Arial"/>
          <w:sz w:val="24"/>
          <w:lang w:val="es-419"/>
        </w:rPr>
        <w:t>decisión que negó la impugnaci</w:t>
      </w:r>
      <w:r w:rsidRPr="00D829DF">
        <w:rPr>
          <w:rFonts w:ascii="Georgia" w:hAnsi="Georgia" w:cs="Arial"/>
          <w:sz w:val="24"/>
          <w:lang w:val="es-419"/>
        </w:rPr>
        <w:t>ón,</w:t>
      </w:r>
      <w:r w:rsidR="0091310A" w:rsidRPr="00D829DF">
        <w:rPr>
          <w:rFonts w:ascii="Georgia" w:hAnsi="Georgia" w:cs="Arial"/>
          <w:sz w:val="24"/>
          <w:lang w:val="es-419"/>
        </w:rPr>
        <w:t xml:space="preserve"> pues aunque el trámite de este recurso se aligeró en vigencia del CGP y </w:t>
      </w:r>
      <w:r w:rsidR="00A879A3" w:rsidRPr="00D829DF">
        <w:rPr>
          <w:rFonts w:ascii="Georgia" w:hAnsi="Georgia" w:cs="Arial"/>
          <w:sz w:val="24"/>
          <w:lang w:val="es-419"/>
        </w:rPr>
        <w:t xml:space="preserve">ha </w:t>
      </w:r>
      <w:r w:rsidR="0091310A" w:rsidRPr="00D829DF">
        <w:rPr>
          <w:rFonts w:ascii="Georgia" w:hAnsi="Georgia" w:cs="Arial"/>
          <w:sz w:val="24"/>
          <w:lang w:val="es-419"/>
        </w:rPr>
        <w:t>desaparecido la fundamentación ante el superior (</w:t>
      </w:r>
      <w:r w:rsidR="0091310A" w:rsidRPr="00D829DF">
        <w:rPr>
          <w:rFonts w:ascii="Georgia" w:hAnsi="Georgia" w:cs="Arial"/>
          <w:lang w:val="es-419"/>
        </w:rPr>
        <w:t>Artículo 378</w:t>
      </w:r>
      <w:r w:rsidR="00B87EDA" w:rsidRPr="00D829DF">
        <w:rPr>
          <w:rFonts w:ascii="Georgia" w:hAnsi="Georgia" w:cs="Arial"/>
          <w:lang w:val="es-419"/>
        </w:rPr>
        <w:t>-6º</w:t>
      </w:r>
      <w:r w:rsidR="0091310A" w:rsidRPr="00D829DF">
        <w:rPr>
          <w:rFonts w:ascii="Georgia" w:hAnsi="Georgia" w:cs="Arial"/>
          <w:lang w:val="es-419"/>
        </w:rPr>
        <w:t>, CPC</w:t>
      </w:r>
      <w:r w:rsidR="0091310A" w:rsidRPr="00D829DF">
        <w:rPr>
          <w:rFonts w:ascii="Georgia" w:hAnsi="Georgia" w:cs="Arial"/>
          <w:sz w:val="24"/>
          <w:lang w:val="es-419"/>
        </w:rPr>
        <w:t>), en forma alguna</w:t>
      </w:r>
      <w:r w:rsidR="0024635D" w:rsidRPr="00D829DF">
        <w:rPr>
          <w:rFonts w:ascii="Georgia" w:hAnsi="Georgia" w:cs="Arial"/>
          <w:sz w:val="24"/>
          <w:lang w:val="es-419"/>
        </w:rPr>
        <w:t>,</w:t>
      </w:r>
      <w:r w:rsidR="00B87EDA" w:rsidRPr="00D829DF">
        <w:rPr>
          <w:rFonts w:ascii="Georgia" w:hAnsi="Georgia" w:cs="Arial"/>
          <w:sz w:val="24"/>
          <w:lang w:val="es-419"/>
        </w:rPr>
        <w:t xml:space="preserve"> </w:t>
      </w:r>
      <w:r w:rsidR="0091310A" w:rsidRPr="00D829DF">
        <w:rPr>
          <w:rFonts w:ascii="Georgia" w:hAnsi="Georgia" w:cs="Arial"/>
          <w:sz w:val="24"/>
          <w:lang w:val="es-419"/>
        </w:rPr>
        <w:t xml:space="preserve">puede </w:t>
      </w:r>
      <w:r w:rsidR="00B87EDA" w:rsidRPr="00D829DF">
        <w:rPr>
          <w:rFonts w:ascii="Georgia" w:hAnsi="Georgia" w:cs="Arial"/>
          <w:sz w:val="24"/>
          <w:lang w:val="es-419"/>
        </w:rPr>
        <w:t xml:space="preserve">omitirse la presentación de esas razones jurídicas, </w:t>
      </w:r>
      <w:r w:rsidR="00A879A3" w:rsidRPr="00D829DF">
        <w:rPr>
          <w:rFonts w:ascii="Georgia" w:hAnsi="Georgia" w:cs="Arial"/>
          <w:sz w:val="24"/>
          <w:lang w:val="es-419"/>
        </w:rPr>
        <w:t xml:space="preserve">puesto </w:t>
      </w:r>
      <w:r w:rsidR="00B87EDA" w:rsidRPr="00D829DF">
        <w:rPr>
          <w:rFonts w:ascii="Georgia" w:hAnsi="Georgia" w:cs="Arial"/>
          <w:sz w:val="24"/>
          <w:lang w:val="es-419"/>
        </w:rPr>
        <w:t xml:space="preserve">que </w:t>
      </w:r>
      <w:r w:rsidR="00A879A3" w:rsidRPr="00D829DF">
        <w:rPr>
          <w:rFonts w:ascii="Georgia" w:hAnsi="Georgia" w:cs="Arial"/>
          <w:sz w:val="24"/>
          <w:lang w:val="es-419"/>
        </w:rPr>
        <w:t xml:space="preserve">son las </w:t>
      </w:r>
      <w:r w:rsidR="003E05A3" w:rsidRPr="00D829DF">
        <w:rPr>
          <w:rFonts w:ascii="Georgia" w:hAnsi="Georgia" w:cs="Arial"/>
          <w:sz w:val="24"/>
          <w:lang w:val="es-419"/>
        </w:rPr>
        <w:t xml:space="preserve">que serán </w:t>
      </w:r>
      <w:r w:rsidR="00A879A3" w:rsidRPr="00D829DF">
        <w:rPr>
          <w:rFonts w:ascii="Georgia" w:hAnsi="Georgia" w:cs="Arial"/>
          <w:sz w:val="24"/>
          <w:lang w:val="es-419"/>
        </w:rPr>
        <w:t>objeto de revisión en esta sede</w:t>
      </w:r>
      <w:r w:rsidR="003E05A3" w:rsidRPr="00D829DF">
        <w:rPr>
          <w:rFonts w:ascii="Georgia" w:hAnsi="Georgia" w:cs="Arial"/>
          <w:sz w:val="24"/>
          <w:lang w:val="es-419"/>
        </w:rPr>
        <w:t>, a efectos de establecer la procedencia de alzada denegada</w:t>
      </w:r>
      <w:r w:rsidR="0091310A" w:rsidRPr="00D829DF">
        <w:rPr>
          <w:rFonts w:ascii="Georgia" w:hAnsi="Georgia" w:cs="Arial"/>
          <w:sz w:val="24"/>
          <w:lang w:val="es-419"/>
        </w:rPr>
        <w:t>.</w:t>
      </w:r>
      <w:r w:rsidR="0005335E" w:rsidRPr="00D829DF">
        <w:rPr>
          <w:rFonts w:ascii="Georgia" w:hAnsi="Georgia" w:cs="Arial"/>
          <w:sz w:val="24"/>
          <w:lang w:val="es-419"/>
        </w:rPr>
        <w:t xml:space="preserve"> Tal como </w:t>
      </w:r>
      <w:r w:rsidR="00241D5D" w:rsidRPr="00D829DF">
        <w:rPr>
          <w:rFonts w:ascii="Georgia" w:hAnsi="Georgia" w:cs="Arial"/>
          <w:sz w:val="24"/>
          <w:lang w:val="es-419"/>
        </w:rPr>
        <w:t>enseña</w:t>
      </w:r>
      <w:r w:rsidR="0005335E" w:rsidRPr="00D829DF">
        <w:rPr>
          <w:rFonts w:ascii="Georgia" w:hAnsi="Georgia" w:cs="Arial"/>
          <w:sz w:val="24"/>
          <w:lang w:val="es-419"/>
        </w:rPr>
        <w:t xml:space="preserve"> </w:t>
      </w:r>
      <w:r w:rsidR="0005335E" w:rsidRPr="00D829DF">
        <w:rPr>
          <w:rFonts w:ascii="Georgia" w:hAnsi="Georgia" w:cs="Arial"/>
          <w:sz w:val="24"/>
          <w:szCs w:val="24"/>
          <w:lang w:val="es-419"/>
        </w:rPr>
        <w:t>(2017)</w:t>
      </w:r>
      <w:r w:rsidR="0005335E" w:rsidRPr="00D829DF">
        <w:rPr>
          <w:rStyle w:val="Refdenotaalpie"/>
          <w:rFonts w:ascii="Georgia" w:hAnsi="Georgia"/>
          <w:lang w:val="es-419"/>
        </w:rPr>
        <w:footnoteReference w:id="13"/>
      </w:r>
      <w:r w:rsidR="0005335E" w:rsidRPr="00D829DF">
        <w:rPr>
          <w:rFonts w:ascii="Georgia" w:hAnsi="Georgia" w:cs="Arial"/>
          <w:sz w:val="24"/>
          <w:szCs w:val="24"/>
          <w:lang w:val="es-419"/>
        </w:rPr>
        <w:t xml:space="preserve"> </w:t>
      </w:r>
      <w:r w:rsidR="00241D5D" w:rsidRPr="00D829DF">
        <w:rPr>
          <w:rFonts w:ascii="Georgia" w:hAnsi="Georgia" w:cs="Arial"/>
          <w:sz w:val="24"/>
          <w:szCs w:val="24"/>
          <w:lang w:val="es-419"/>
        </w:rPr>
        <w:t xml:space="preserve">la </w:t>
      </w:r>
      <w:r w:rsidR="0005335E" w:rsidRPr="00D829DF">
        <w:rPr>
          <w:rFonts w:ascii="Georgia" w:hAnsi="Georgia" w:cs="Arial"/>
          <w:sz w:val="24"/>
          <w:szCs w:val="24"/>
          <w:lang w:val="es-419"/>
        </w:rPr>
        <w:t xml:space="preserve">jurisprudencia de la CSJ: </w:t>
      </w:r>
    </w:p>
    <w:p w:rsidR="001C3FEE" w:rsidRPr="00D829DF" w:rsidRDefault="001C3FEE" w:rsidP="007C7752">
      <w:pPr>
        <w:pStyle w:val="Sinespaciado"/>
        <w:spacing w:line="300" w:lineRule="auto"/>
        <w:jc w:val="both"/>
        <w:rPr>
          <w:rFonts w:ascii="Georgia" w:hAnsi="Georgia" w:cs="Arial"/>
          <w:sz w:val="24"/>
          <w:szCs w:val="24"/>
          <w:lang w:val="es-419"/>
        </w:rPr>
      </w:pPr>
    </w:p>
    <w:p w:rsidR="00B15897" w:rsidRPr="00325EFF" w:rsidRDefault="001C3FEE" w:rsidP="007C7752">
      <w:pPr>
        <w:pStyle w:val="NormalCSJ"/>
        <w:spacing w:line="240" w:lineRule="auto"/>
        <w:ind w:left="426" w:right="420" w:firstLine="0"/>
        <w:rPr>
          <w:rFonts w:ascii="Georgia" w:hAnsi="Georgia"/>
          <w:sz w:val="22"/>
          <w:szCs w:val="24"/>
          <w:lang w:val="es-419"/>
        </w:rPr>
      </w:pPr>
      <w:bookmarkStart w:id="0" w:name="_GoBack"/>
      <w:r w:rsidRPr="00325EFF">
        <w:rPr>
          <w:rFonts w:ascii="Georgia" w:hAnsi="Georgia"/>
          <w:sz w:val="22"/>
          <w:szCs w:val="24"/>
          <w:lang w:val="es-419"/>
        </w:rPr>
        <w:t>Se resalta que en los eventos reseñados, es necesario que la parte interesada en los medios de impugnación cuya concesión es denegada, proceda a ejercitar la queja adecuadamente</w:t>
      </w:r>
      <w:r w:rsidRPr="00325EFF">
        <w:rPr>
          <w:rStyle w:val="CitaIntraCSJCar"/>
          <w:rFonts w:ascii="Georgia" w:hAnsi="Georgia"/>
          <w:sz w:val="22"/>
          <w:lang w:val="es-419"/>
        </w:rPr>
        <w:t>,</w:t>
      </w:r>
      <w:r w:rsidRPr="00325EFF">
        <w:rPr>
          <w:rFonts w:ascii="Georgia" w:hAnsi="Georgia"/>
          <w:sz w:val="22"/>
          <w:szCs w:val="24"/>
          <w:lang w:val="es-419"/>
        </w:rPr>
        <w:t xml:space="preserve"> lo cual implica cuando menos, que en la oportunidad legalmente prevista, manifieste de forma sustentada su inconformidad, la cual habrá de circunscribirse a la discusión en concreto sobre la habilitación legal del recurso invocado, esto es, a las razones por las cuales la apelación o la queja, según se trate, deben ser concedidas.</w:t>
      </w:r>
    </w:p>
    <w:bookmarkEnd w:id="0"/>
    <w:p w:rsidR="00B15897" w:rsidRPr="00D829DF" w:rsidRDefault="00B15897" w:rsidP="007C7752">
      <w:pPr>
        <w:pStyle w:val="NormalCSJ"/>
        <w:spacing w:line="300" w:lineRule="auto"/>
        <w:ind w:right="567" w:firstLine="0"/>
        <w:rPr>
          <w:rFonts w:ascii="Georgia" w:hAnsi="Georgia"/>
          <w:sz w:val="24"/>
          <w:szCs w:val="24"/>
          <w:lang w:val="es-419"/>
        </w:rPr>
      </w:pPr>
    </w:p>
    <w:p w:rsidR="00B15897" w:rsidRPr="00D829DF" w:rsidRDefault="00B15897" w:rsidP="007C7752">
      <w:pPr>
        <w:pStyle w:val="NormalCSJ"/>
        <w:spacing w:line="300" w:lineRule="auto"/>
        <w:ind w:right="567" w:firstLine="0"/>
        <w:rPr>
          <w:rFonts w:ascii="Georgia" w:hAnsi="Georgia"/>
          <w:sz w:val="24"/>
          <w:szCs w:val="24"/>
          <w:lang w:val="es-419"/>
        </w:rPr>
      </w:pPr>
      <w:r w:rsidRPr="00D829DF">
        <w:rPr>
          <w:rFonts w:ascii="Georgia" w:hAnsi="Georgia"/>
          <w:sz w:val="24"/>
          <w:szCs w:val="24"/>
          <w:lang w:val="es-419"/>
        </w:rPr>
        <w:t>Y reiteró, recientemente (09-10-2019)</w:t>
      </w:r>
      <w:r w:rsidRPr="00D829DF">
        <w:rPr>
          <w:rStyle w:val="Refdenotaalpie"/>
          <w:rFonts w:ascii="Georgia" w:hAnsi="Georgia"/>
          <w:sz w:val="24"/>
          <w:szCs w:val="24"/>
          <w:lang w:val="es-419"/>
        </w:rPr>
        <w:footnoteReference w:id="14"/>
      </w:r>
      <w:r w:rsidRPr="00D829DF">
        <w:rPr>
          <w:rFonts w:ascii="Georgia" w:hAnsi="Georgia"/>
          <w:sz w:val="24"/>
          <w:szCs w:val="24"/>
          <w:lang w:val="es-419"/>
        </w:rPr>
        <w:t xml:space="preserve"> al desatar un recurso de queja: </w:t>
      </w:r>
      <w:r w:rsidRPr="00D829DF">
        <w:rPr>
          <w:rFonts w:ascii="Georgia" w:hAnsi="Georgia"/>
          <w:i/>
          <w:sz w:val="24"/>
          <w:szCs w:val="24"/>
          <w:lang w:val="es-419"/>
        </w:rPr>
        <w:t>“</w:t>
      </w:r>
      <w:r w:rsidRPr="00325EFF">
        <w:rPr>
          <w:rFonts w:ascii="Georgia" w:hAnsi="Georgia"/>
          <w:i/>
          <w:sz w:val="22"/>
          <w:szCs w:val="24"/>
          <w:lang w:val="es-419"/>
        </w:rPr>
        <w:t>(…)</w:t>
      </w:r>
      <w:r w:rsidR="00241D5D" w:rsidRPr="00325EFF">
        <w:rPr>
          <w:rFonts w:ascii="Georgia" w:hAnsi="Georgia"/>
          <w:i/>
          <w:sz w:val="22"/>
          <w:szCs w:val="24"/>
          <w:lang w:val="es-419"/>
        </w:rPr>
        <w:t xml:space="preserve"> </w:t>
      </w:r>
      <w:r w:rsidRPr="00325EFF">
        <w:rPr>
          <w:rFonts w:ascii="Georgia" w:hAnsi="Georgia" w:cs="Arial"/>
          <w:i/>
          <w:sz w:val="22"/>
          <w:szCs w:val="24"/>
          <w:lang w:val="es-419"/>
        </w:rPr>
        <w:t xml:space="preserve">se ha predicado que para que el juzgador esté en la obligación de abordar una temática particular del litigio, no basta con interponer el recurso, sino que el recurrente debe exponer los fundamentos de su descontento, indicando de manera «concreta» los tópicos sobre los cuales versa su reproche, pues no es del resorte del administrador de </w:t>
      </w:r>
      <w:r w:rsidRPr="00325EFF">
        <w:rPr>
          <w:rFonts w:ascii="Georgia" w:hAnsi="Georgia" w:cs="Arial"/>
          <w:i/>
          <w:sz w:val="22"/>
          <w:szCs w:val="24"/>
          <w:lang w:val="es-419"/>
        </w:rPr>
        <w:lastRenderedPageBreak/>
        <w:t>justicia entrar en una tarea especulativa, en aras de averiguar dónde y por qué su decisión no está conforme con el ordenamiento o con los hechos del asunto (…)</w:t>
      </w:r>
      <w:r w:rsidRPr="00D829DF">
        <w:rPr>
          <w:rFonts w:ascii="Georgia" w:hAnsi="Georgia" w:cs="Arial"/>
          <w:i/>
          <w:sz w:val="24"/>
          <w:szCs w:val="24"/>
          <w:lang w:val="es-419"/>
        </w:rPr>
        <w:t>”</w:t>
      </w:r>
      <w:r w:rsidRPr="00D829DF">
        <w:rPr>
          <w:rFonts w:ascii="Georgia" w:hAnsi="Georgia" w:cs="Arial"/>
          <w:szCs w:val="18"/>
          <w:lang w:val="es-419"/>
        </w:rPr>
        <w:t>.</w:t>
      </w:r>
    </w:p>
    <w:p w:rsidR="00D829DF" w:rsidRPr="00D829DF" w:rsidRDefault="00D829DF" w:rsidP="007C7752">
      <w:pPr>
        <w:overflowPunct w:val="0"/>
        <w:autoSpaceDE w:val="0"/>
        <w:autoSpaceDN w:val="0"/>
        <w:adjustRightInd w:val="0"/>
        <w:spacing w:line="300" w:lineRule="auto"/>
        <w:contextualSpacing/>
        <w:jc w:val="both"/>
        <w:textAlignment w:val="baseline"/>
        <w:rPr>
          <w:rFonts w:ascii="Georgia" w:hAnsi="Georgia" w:cs="Arial"/>
          <w:sz w:val="24"/>
          <w:lang w:val="es-419"/>
        </w:rPr>
      </w:pPr>
    </w:p>
    <w:p w:rsidR="003101D8" w:rsidRPr="00D829DF" w:rsidRDefault="003101D8" w:rsidP="007C7752">
      <w:pPr>
        <w:overflowPunct w:val="0"/>
        <w:autoSpaceDE w:val="0"/>
        <w:autoSpaceDN w:val="0"/>
        <w:adjustRightInd w:val="0"/>
        <w:spacing w:line="300" w:lineRule="auto"/>
        <w:contextualSpacing/>
        <w:jc w:val="both"/>
        <w:textAlignment w:val="baseline"/>
        <w:rPr>
          <w:rFonts w:ascii="Georgia" w:hAnsi="Georgia" w:cs="Arial"/>
          <w:sz w:val="24"/>
          <w:lang w:val="es-419"/>
        </w:rPr>
      </w:pPr>
      <w:r w:rsidRPr="00D829DF">
        <w:rPr>
          <w:rFonts w:ascii="Georgia" w:hAnsi="Georgia" w:cs="Arial"/>
          <w:sz w:val="24"/>
          <w:lang w:val="es-419"/>
        </w:rPr>
        <w:t>2.2. El análisis del caso concreto</w:t>
      </w:r>
    </w:p>
    <w:p w:rsidR="003101D8" w:rsidRPr="00D829DF" w:rsidRDefault="003101D8" w:rsidP="007C7752">
      <w:pPr>
        <w:pStyle w:val="Sinespaciado"/>
        <w:spacing w:line="300" w:lineRule="auto"/>
        <w:jc w:val="both"/>
        <w:rPr>
          <w:rFonts w:ascii="Georgia" w:hAnsi="Georgia" w:cs="Arial"/>
          <w:sz w:val="24"/>
          <w:lang w:val="es-419"/>
        </w:rPr>
      </w:pPr>
    </w:p>
    <w:p w:rsidR="000E35DB" w:rsidRPr="00D829DF" w:rsidRDefault="000E35DB" w:rsidP="007C7752">
      <w:pPr>
        <w:pStyle w:val="Sinespaciado"/>
        <w:spacing w:line="300" w:lineRule="auto"/>
        <w:jc w:val="both"/>
        <w:rPr>
          <w:rFonts w:ascii="Georgia" w:hAnsi="Georgia" w:cs="Arial"/>
          <w:lang w:val="es-419"/>
        </w:rPr>
      </w:pPr>
      <w:r w:rsidRPr="00D829DF">
        <w:rPr>
          <w:rFonts w:ascii="Georgia" w:hAnsi="Georgia" w:cs="Arial"/>
          <w:sz w:val="24"/>
          <w:lang w:val="es-419"/>
        </w:rPr>
        <w:t xml:space="preserve">La parte </w:t>
      </w:r>
      <w:r w:rsidR="001C3FEE" w:rsidRPr="00D829DF">
        <w:rPr>
          <w:rFonts w:ascii="Georgia" w:hAnsi="Georgia" w:cs="Arial"/>
          <w:sz w:val="24"/>
          <w:lang w:val="es-419"/>
        </w:rPr>
        <w:t>interesada</w:t>
      </w:r>
      <w:r w:rsidRPr="00D829DF">
        <w:rPr>
          <w:rFonts w:ascii="Georgia" w:hAnsi="Georgia" w:cs="Arial"/>
          <w:sz w:val="24"/>
          <w:lang w:val="es-419"/>
        </w:rPr>
        <w:t>, en primera instancia y al formular la reposición contra el auto que negó la apelación,</w:t>
      </w:r>
      <w:r w:rsidR="00B15897" w:rsidRPr="00D829DF">
        <w:rPr>
          <w:rFonts w:ascii="Georgia" w:hAnsi="Georgia" w:cs="Arial"/>
          <w:sz w:val="24"/>
          <w:lang w:val="es-419"/>
        </w:rPr>
        <w:t xml:space="preserve"> reiteró las razones que daban lugar a la primera de las impugnaciones, pero omitió cualquier argumentación frente a la segunda, sola la peticionó</w:t>
      </w:r>
      <w:r w:rsidR="000037BB" w:rsidRPr="00D829DF">
        <w:rPr>
          <w:rFonts w:ascii="Georgia" w:hAnsi="Georgia" w:cs="Arial"/>
          <w:sz w:val="24"/>
          <w:lang w:val="es-419"/>
        </w:rPr>
        <w:t xml:space="preserve"> (Folio</w:t>
      </w:r>
      <w:r w:rsidR="00B15897" w:rsidRPr="00D829DF">
        <w:rPr>
          <w:rFonts w:ascii="Georgia" w:hAnsi="Georgia" w:cs="Arial"/>
          <w:sz w:val="24"/>
          <w:lang w:val="es-419"/>
        </w:rPr>
        <w:t>s 273-274</w:t>
      </w:r>
      <w:r w:rsidR="000037BB" w:rsidRPr="00D829DF">
        <w:rPr>
          <w:rFonts w:ascii="Georgia" w:hAnsi="Georgia" w:cs="Arial"/>
          <w:sz w:val="24"/>
          <w:lang w:val="es-419"/>
        </w:rPr>
        <w:t>, cuaderno de copias)</w:t>
      </w:r>
      <w:r w:rsidRPr="00D829DF">
        <w:rPr>
          <w:rFonts w:ascii="Georgia" w:hAnsi="Georgia" w:cs="Arial"/>
          <w:lang w:val="es-419"/>
        </w:rPr>
        <w:t xml:space="preserve">. </w:t>
      </w:r>
    </w:p>
    <w:p w:rsidR="000E35DB" w:rsidRPr="00D829DF" w:rsidRDefault="000E35DB" w:rsidP="007C7752">
      <w:pPr>
        <w:pStyle w:val="Sinespaciado"/>
        <w:spacing w:line="300" w:lineRule="auto"/>
        <w:jc w:val="both"/>
        <w:rPr>
          <w:rFonts w:ascii="Georgia" w:hAnsi="Georgia" w:cs="Arial"/>
          <w:lang w:val="es-419"/>
        </w:rPr>
      </w:pPr>
    </w:p>
    <w:p w:rsidR="000E35DB" w:rsidRPr="00D829DF" w:rsidRDefault="000037BB" w:rsidP="007C7752">
      <w:pPr>
        <w:pStyle w:val="Sinespaciado"/>
        <w:spacing w:line="300" w:lineRule="auto"/>
        <w:jc w:val="both"/>
        <w:rPr>
          <w:rFonts w:ascii="Georgia" w:hAnsi="Georgia" w:cs="Arial"/>
          <w:sz w:val="24"/>
          <w:lang w:val="es-419"/>
        </w:rPr>
      </w:pPr>
      <w:r w:rsidRPr="00D829DF">
        <w:rPr>
          <w:rFonts w:ascii="Georgia" w:hAnsi="Georgia" w:cs="Arial"/>
          <w:sz w:val="24"/>
          <w:lang w:val="es-419"/>
        </w:rPr>
        <w:t xml:space="preserve">Confrontado lo </w:t>
      </w:r>
      <w:r w:rsidR="0024635D" w:rsidRPr="00D829DF">
        <w:rPr>
          <w:rFonts w:ascii="Georgia" w:hAnsi="Georgia" w:cs="Arial"/>
          <w:sz w:val="24"/>
          <w:lang w:val="es-419"/>
        </w:rPr>
        <w:t xml:space="preserve">anterior </w:t>
      </w:r>
      <w:r w:rsidRPr="00D829DF">
        <w:rPr>
          <w:rFonts w:ascii="Georgia" w:hAnsi="Georgia" w:cs="Arial"/>
          <w:sz w:val="24"/>
          <w:lang w:val="es-419"/>
        </w:rPr>
        <w:t>con las premisas jurídicas anotadas, se tiene que l</w:t>
      </w:r>
      <w:r w:rsidR="00B15897" w:rsidRPr="00D829DF">
        <w:rPr>
          <w:rFonts w:ascii="Georgia" w:hAnsi="Georgia" w:cs="Arial"/>
          <w:sz w:val="24"/>
          <w:lang w:val="es-419"/>
        </w:rPr>
        <w:t>a</w:t>
      </w:r>
      <w:r w:rsidRPr="00D829DF">
        <w:rPr>
          <w:rFonts w:ascii="Georgia" w:hAnsi="Georgia" w:cs="Arial"/>
          <w:sz w:val="24"/>
          <w:lang w:val="es-419"/>
        </w:rPr>
        <w:t xml:space="preserve"> </w:t>
      </w:r>
      <w:r w:rsidR="003E05A3" w:rsidRPr="00D829DF">
        <w:rPr>
          <w:rFonts w:ascii="Georgia" w:hAnsi="Georgia" w:cs="Arial"/>
          <w:sz w:val="24"/>
          <w:lang w:val="es-419"/>
        </w:rPr>
        <w:t xml:space="preserve">recurrente </w:t>
      </w:r>
      <w:r w:rsidRPr="00D829DF">
        <w:rPr>
          <w:rFonts w:ascii="Georgia" w:hAnsi="Georgia" w:cs="Arial"/>
          <w:sz w:val="24"/>
          <w:lang w:val="es-419"/>
        </w:rPr>
        <w:t xml:space="preserve">incumplió el deber de sustentar el recurso, </w:t>
      </w:r>
      <w:r w:rsidRPr="00D829DF">
        <w:rPr>
          <w:rFonts w:ascii="Georgia" w:hAnsi="Georgia" w:cs="Arial"/>
          <w:sz w:val="24"/>
          <w:u w:val="single"/>
          <w:lang w:val="es-419"/>
        </w:rPr>
        <w:t xml:space="preserve">pues </w:t>
      </w:r>
      <w:r w:rsidR="005235C4" w:rsidRPr="00D829DF">
        <w:rPr>
          <w:rFonts w:ascii="Georgia" w:hAnsi="Georgia" w:cs="Arial"/>
          <w:sz w:val="24"/>
          <w:u w:val="single"/>
          <w:lang w:val="es-419"/>
        </w:rPr>
        <w:t xml:space="preserve">brilla por su ausencia la </w:t>
      </w:r>
      <w:r w:rsidRPr="00D829DF">
        <w:rPr>
          <w:rFonts w:ascii="Georgia" w:hAnsi="Georgia" w:cs="Arial"/>
          <w:sz w:val="24"/>
          <w:u w:val="single"/>
          <w:lang w:val="es-419"/>
        </w:rPr>
        <w:t>exp</w:t>
      </w:r>
      <w:r w:rsidR="005235C4" w:rsidRPr="00D829DF">
        <w:rPr>
          <w:rFonts w:ascii="Georgia" w:hAnsi="Georgia" w:cs="Arial"/>
          <w:sz w:val="24"/>
          <w:u w:val="single"/>
          <w:lang w:val="es-419"/>
        </w:rPr>
        <w:t xml:space="preserve">osición de </w:t>
      </w:r>
      <w:r w:rsidRPr="00D829DF">
        <w:rPr>
          <w:rFonts w:ascii="Georgia" w:hAnsi="Georgia" w:cs="Arial"/>
          <w:sz w:val="24"/>
          <w:u w:val="single"/>
          <w:lang w:val="es-419"/>
        </w:rPr>
        <w:t>las razones jurídicas que</w:t>
      </w:r>
      <w:r w:rsidR="00A879A3" w:rsidRPr="00D829DF">
        <w:rPr>
          <w:rFonts w:ascii="Georgia" w:hAnsi="Georgia" w:cs="Arial"/>
          <w:sz w:val="24"/>
          <w:u w:val="single"/>
          <w:lang w:val="es-419"/>
        </w:rPr>
        <w:t xml:space="preserve">, en su sentir </w:t>
      </w:r>
      <w:r w:rsidRPr="00D829DF">
        <w:rPr>
          <w:rFonts w:ascii="Georgia" w:hAnsi="Georgia" w:cs="Arial"/>
          <w:sz w:val="24"/>
          <w:u w:val="single"/>
          <w:lang w:val="es-419"/>
        </w:rPr>
        <w:t xml:space="preserve">hacen </w:t>
      </w:r>
      <w:r w:rsidR="00A879A3" w:rsidRPr="00D829DF">
        <w:rPr>
          <w:rFonts w:ascii="Georgia" w:hAnsi="Georgia" w:cs="Arial"/>
          <w:sz w:val="24"/>
          <w:u w:val="single"/>
          <w:lang w:val="es-419"/>
        </w:rPr>
        <w:t xml:space="preserve">procedente </w:t>
      </w:r>
      <w:r w:rsidRPr="00D829DF">
        <w:rPr>
          <w:rFonts w:ascii="Georgia" w:hAnsi="Georgia" w:cs="Arial"/>
          <w:sz w:val="24"/>
          <w:u w:val="single"/>
          <w:lang w:val="es-419"/>
        </w:rPr>
        <w:t>la apelación formulada</w:t>
      </w:r>
      <w:r w:rsidR="000E35DB" w:rsidRPr="00D829DF">
        <w:rPr>
          <w:rFonts w:ascii="Georgia" w:hAnsi="Georgia" w:cs="Arial"/>
          <w:sz w:val="24"/>
          <w:lang w:val="es-419"/>
        </w:rPr>
        <w:t>, de tal manera que esta Superioridad</w:t>
      </w:r>
      <w:r w:rsidR="00C820A5" w:rsidRPr="00D829DF">
        <w:rPr>
          <w:rFonts w:ascii="Georgia" w:hAnsi="Georgia" w:cs="Arial"/>
          <w:sz w:val="24"/>
          <w:lang w:val="es-419"/>
        </w:rPr>
        <w:t>,</w:t>
      </w:r>
      <w:r w:rsidR="000E35DB" w:rsidRPr="00D829DF">
        <w:rPr>
          <w:rFonts w:ascii="Georgia" w:hAnsi="Georgia" w:cs="Arial"/>
          <w:sz w:val="24"/>
          <w:lang w:val="es-419"/>
        </w:rPr>
        <w:t xml:space="preserve"> </w:t>
      </w:r>
      <w:r w:rsidR="00C820A5" w:rsidRPr="00D829DF">
        <w:rPr>
          <w:rFonts w:ascii="Georgia" w:hAnsi="Georgia" w:cs="Arial"/>
          <w:sz w:val="24"/>
          <w:lang w:val="es-419"/>
        </w:rPr>
        <w:t>en forma alguna puede adentrarse en e</w:t>
      </w:r>
      <w:r w:rsidR="00241D5D" w:rsidRPr="00D829DF">
        <w:rPr>
          <w:rFonts w:ascii="Georgia" w:hAnsi="Georgia" w:cs="Arial"/>
          <w:sz w:val="24"/>
          <w:lang w:val="es-419"/>
        </w:rPr>
        <w:t>se</w:t>
      </w:r>
      <w:r w:rsidR="00C820A5" w:rsidRPr="00D829DF">
        <w:rPr>
          <w:rFonts w:ascii="Georgia" w:hAnsi="Georgia" w:cs="Arial"/>
          <w:sz w:val="24"/>
          <w:lang w:val="es-419"/>
        </w:rPr>
        <w:t xml:space="preserve"> análisis</w:t>
      </w:r>
      <w:r w:rsidR="0024635D" w:rsidRPr="00D829DF">
        <w:rPr>
          <w:rFonts w:ascii="Georgia" w:hAnsi="Georgia" w:cs="Arial"/>
          <w:sz w:val="24"/>
          <w:lang w:val="es-419"/>
        </w:rPr>
        <w:t>, carece de fundamentos para ello</w:t>
      </w:r>
      <w:r w:rsidR="003E05A3" w:rsidRPr="00D829DF">
        <w:rPr>
          <w:rFonts w:ascii="Georgia" w:hAnsi="Georgia" w:cs="Arial"/>
          <w:sz w:val="24"/>
          <w:lang w:val="es-419"/>
        </w:rPr>
        <w:t>;</w:t>
      </w:r>
      <w:r w:rsidR="0024635D" w:rsidRPr="00D829DF">
        <w:rPr>
          <w:rFonts w:ascii="Georgia" w:hAnsi="Georgia" w:cs="Arial"/>
          <w:sz w:val="24"/>
          <w:lang w:val="es-419"/>
        </w:rPr>
        <w:t xml:space="preserve"> en consecuencia, se impone el fracaso de </w:t>
      </w:r>
      <w:r w:rsidR="003E05A3" w:rsidRPr="00D829DF">
        <w:rPr>
          <w:rFonts w:ascii="Georgia" w:hAnsi="Georgia" w:cs="Arial"/>
          <w:sz w:val="24"/>
          <w:lang w:val="es-419"/>
        </w:rPr>
        <w:t xml:space="preserve">esta especial </w:t>
      </w:r>
      <w:r w:rsidR="0024635D" w:rsidRPr="00D829DF">
        <w:rPr>
          <w:rFonts w:ascii="Georgia" w:hAnsi="Georgia" w:cs="Arial"/>
          <w:sz w:val="24"/>
          <w:lang w:val="es-419"/>
        </w:rPr>
        <w:t>impugnación</w:t>
      </w:r>
      <w:r w:rsidR="00C820A5" w:rsidRPr="00D829DF">
        <w:rPr>
          <w:rFonts w:ascii="Georgia" w:hAnsi="Georgia" w:cs="Arial"/>
          <w:sz w:val="24"/>
          <w:lang w:val="es-419"/>
        </w:rPr>
        <w:t>.</w:t>
      </w:r>
    </w:p>
    <w:p w:rsidR="00AF5519" w:rsidRPr="00D829DF" w:rsidRDefault="00AF5519" w:rsidP="007C7752">
      <w:pPr>
        <w:tabs>
          <w:tab w:val="left" w:pos="-720"/>
        </w:tabs>
        <w:suppressAutoHyphens/>
        <w:spacing w:line="300" w:lineRule="auto"/>
        <w:jc w:val="both"/>
        <w:rPr>
          <w:rFonts w:ascii="Georgia" w:hAnsi="Georgia" w:cs="Arial"/>
          <w:spacing w:val="-3"/>
          <w:sz w:val="26"/>
          <w:szCs w:val="26"/>
          <w:lang w:val="es-419"/>
        </w:rPr>
      </w:pPr>
    </w:p>
    <w:p w:rsidR="00F819BA" w:rsidRPr="00D829DF" w:rsidRDefault="00642AD4" w:rsidP="007C7752">
      <w:pPr>
        <w:pStyle w:val="Sinespaciado"/>
        <w:spacing w:line="300" w:lineRule="auto"/>
        <w:jc w:val="both"/>
        <w:rPr>
          <w:rFonts w:ascii="Georgia" w:hAnsi="Georgia" w:cs="Arial"/>
          <w:sz w:val="24"/>
          <w:lang w:val="es-419"/>
        </w:rPr>
      </w:pPr>
      <w:r w:rsidRPr="00D829DF">
        <w:rPr>
          <w:rFonts w:ascii="Georgia" w:hAnsi="Georgia" w:cs="Arial"/>
          <w:sz w:val="24"/>
          <w:lang w:val="es-419"/>
        </w:rPr>
        <w:t xml:space="preserve">Con todo, si en gracia de discusión se considerara atendido el presupuesto reseñado, advierte esta </w:t>
      </w:r>
      <w:r w:rsidR="00241D5D" w:rsidRPr="00D829DF">
        <w:rPr>
          <w:rFonts w:ascii="Georgia" w:hAnsi="Georgia" w:cs="Arial"/>
          <w:sz w:val="24"/>
          <w:lang w:val="es-419"/>
        </w:rPr>
        <w:t>Magistratura</w:t>
      </w:r>
      <w:r w:rsidRPr="00D829DF">
        <w:rPr>
          <w:rFonts w:ascii="Georgia" w:hAnsi="Georgia" w:cs="Arial"/>
          <w:sz w:val="24"/>
          <w:lang w:val="es-419"/>
        </w:rPr>
        <w:t xml:space="preserve"> que la queja también estaría destinada al fracaso, porque las nulidades, excepciones previas, medidas cautelares, incidentes y el </w:t>
      </w:r>
      <w:r w:rsidRPr="00D829DF">
        <w:rPr>
          <w:rFonts w:ascii="Georgia" w:hAnsi="Georgia" w:cs="Arial"/>
          <w:smallCaps/>
          <w:sz w:val="24"/>
          <w:lang w:val="es-419"/>
        </w:rPr>
        <w:t>recurso de apelación</w:t>
      </w:r>
      <w:r w:rsidRPr="00D829DF">
        <w:rPr>
          <w:rFonts w:ascii="Georgia" w:hAnsi="Georgia" w:cs="Arial"/>
          <w:sz w:val="24"/>
          <w:lang w:val="es-419"/>
        </w:rPr>
        <w:t>, entre otras, en nuestro derecho procesal, se gobiernan por el principio de la taxatividad o especificidad</w:t>
      </w:r>
      <w:r w:rsidRPr="00D829DF">
        <w:rPr>
          <w:rFonts w:ascii="Georgia" w:hAnsi="Georgia" w:cs="Arial"/>
          <w:sz w:val="24"/>
          <w:vertAlign w:val="superscript"/>
          <w:lang w:val="es-419"/>
        </w:rPr>
        <w:footnoteReference w:id="15"/>
      </w:r>
      <w:r w:rsidRPr="00D829DF">
        <w:rPr>
          <w:rFonts w:ascii="Georgia" w:hAnsi="Georgia" w:cs="Arial"/>
          <w:sz w:val="24"/>
          <w:vertAlign w:val="superscript"/>
          <w:lang w:val="es-419"/>
        </w:rPr>
        <w:t>-</w:t>
      </w:r>
      <w:r w:rsidRPr="00D829DF">
        <w:rPr>
          <w:rFonts w:ascii="Georgia" w:hAnsi="Georgia" w:cs="Arial"/>
          <w:sz w:val="24"/>
          <w:vertAlign w:val="superscript"/>
          <w:lang w:val="es-419"/>
        </w:rPr>
        <w:footnoteReference w:id="16"/>
      </w:r>
      <w:r w:rsidRPr="00D829DF">
        <w:rPr>
          <w:rFonts w:ascii="Georgia" w:hAnsi="Georgia" w:cs="Arial"/>
          <w:sz w:val="24"/>
          <w:lang w:val="es-419"/>
        </w:rPr>
        <w:t xml:space="preserve">. </w:t>
      </w:r>
      <w:r w:rsidR="00F819BA" w:rsidRPr="00D829DF">
        <w:rPr>
          <w:rFonts w:ascii="Georgia" w:hAnsi="Georgia" w:cs="Arial"/>
          <w:sz w:val="24"/>
          <w:lang w:val="es-419"/>
        </w:rPr>
        <w:t>El principio de la doble instancia, previsto por el artículo 31 de nuestra Carta Política, no es absoluto sino relativo, aplica para las sentencias y excepcionalmente según el legislativo. La doctrina constitucional sobre este principio ha sido constante y sólida desde 1995</w:t>
      </w:r>
      <w:r w:rsidR="00F819BA" w:rsidRPr="00D829DF">
        <w:rPr>
          <w:rStyle w:val="Refdenotaalpie"/>
          <w:rFonts w:ascii="Georgia" w:hAnsi="Georgia"/>
          <w:sz w:val="24"/>
          <w:lang w:val="es-419"/>
        </w:rPr>
        <w:footnoteReference w:id="17"/>
      </w:r>
      <w:r w:rsidR="00F819BA" w:rsidRPr="00D829DF">
        <w:rPr>
          <w:rFonts w:ascii="Georgia" w:hAnsi="Georgia" w:cs="Arial"/>
          <w:sz w:val="24"/>
          <w:lang w:val="es-419"/>
        </w:rPr>
        <w:t xml:space="preserve"> hasta nuestros días; en 2017</w:t>
      </w:r>
      <w:r w:rsidR="00F819BA" w:rsidRPr="00D829DF">
        <w:rPr>
          <w:rStyle w:val="Refdenotaalpie"/>
          <w:rFonts w:ascii="Georgia" w:hAnsi="Georgia"/>
          <w:sz w:val="24"/>
          <w:lang w:val="es-419"/>
        </w:rPr>
        <w:footnoteReference w:id="18"/>
      </w:r>
      <w:r w:rsidR="00F819BA" w:rsidRPr="00D829DF">
        <w:rPr>
          <w:rFonts w:ascii="Georgia" w:hAnsi="Georgia" w:cs="Arial"/>
          <w:sz w:val="24"/>
          <w:lang w:val="es-419"/>
        </w:rPr>
        <w:t xml:space="preserve"> revisó en sede de exequibilidad la potestad de configuración normativa del legislador en materia procesal, específicamente los recursos de alzada, artículo 222 de la Ley 1801.</w:t>
      </w:r>
    </w:p>
    <w:p w:rsidR="00F819BA" w:rsidRPr="00D829DF" w:rsidRDefault="00F819BA" w:rsidP="007C7752">
      <w:pPr>
        <w:pStyle w:val="Textoindependiente"/>
        <w:spacing w:line="300" w:lineRule="auto"/>
        <w:rPr>
          <w:rFonts w:ascii="Georgia" w:hAnsi="Georgia" w:cs="Arial"/>
          <w:szCs w:val="22"/>
          <w:lang w:val="es-419"/>
        </w:rPr>
      </w:pPr>
    </w:p>
    <w:p w:rsidR="00642AD4" w:rsidRPr="00325EFF" w:rsidRDefault="00642AD4" w:rsidP="007C7752">
      <w:pPr>
        <w:pStyle w:val="Textoindependiente"/>
        <w:spacing w:line="300" w:lineRule="auto"/>
        <w:rPr>
          <w:rFonts w:ascii="Georgia" w:hAnsi="Georgia" w:cs="Arial"/>
          <w:spacing w:val="0"/>
          <w:lang w:val="es-419"/>
        </w:rPr>
      </w:pPr>
      <w:r w:rsidRPr="00325EFF">
        <w:rPr>
          <w:rFonts w:ascii="Georgia" w:hAnsi="Georgia" w:cs="Arial"/>
          <w:spacing w:val="0"/>
          <w:szCs w:val="22"/>
          <w:lang w:val="es-419"/>
        </w:rPr>
        <w:t xml:space="preserve">En el mismo sentido se ha pronunciado el maestro </w:t>
      </w:r>
      <w:r w:rsidRPr="00325EFF">
        <w:rPr>
          <w:rFonts w:ascii="Georgia" w:hAnsi="Georgia" w:cs="Arial"/>
          <w:spacing w:val="0"/>
          <w:lang w:val="es-419"/>
        </w:rPr>
        <w:t>López Blanco</w:t>
      </w:r>
      <w:r w:rsidRPr="00325EFF">
        <w:rPr>
          <w:rFonts w:ascii="Georgia" w:hAnsi="Georgia" w:cs="Arial"/>
          <w:spacing w:val="0"/>
          <w:vertAlign w:val="superscript"/>
          <w:lang w:val="es-419"/>
        </w:rPr>
        <w:footnoteReference w:id="19"/>
      </w:r>
      <w:r w:rsidR="00241D5D" w:rsidRPr="00325EFF">
        <w:rPr>
          <w:rFonts w:ascii="Georgia" w:hAnsi="Georgia" w:cs="Arial"/>
          <w:spacing w:val="0"/>
          <w:lang w:val="es-419"/>
        </w:rPr>
        <w:t xml:space="preserve">; </w:t>
      </w:r>
      <w:r w:rsidRPr="00325EFF">
        <w:rPr>
          <w:rFonts w:ascii="Georgia" w:hAnsi="Georgia" w:cs="Arial"/>
          <w:spacing w:val="0"/>
          <w:lang w:val="es-419"/>
        </w:rPr>
        <w:t xml:space="preserve">oportunas resultan las palabras del profesor Rojas Gómez, quien comenta sobre el tema: </w:t>
      </w:r>
      <w:r w:rsidRPr="00325EFF">
        <w:rPr>
          <w:rFonts w:ascii="Georgia" w:hAnsi="Georgia" w:cs="Arial"/>
          <w:i/>
          <w:spacing w:val="0"/>
          <w:sz w:val="22"/>
          <w:lang w:val="es-419"/>
        </w:rPr>
        <w:t>“(…) La disposición mantiene el carácter taxativo de la procedencia del recurso de apelación, de suerte que además de las sentencias de primera instancia, solo cabe la alzada contra los autos que la ley indique. Y además de las autos expresamente relacionados en este artículo, hace apelables todos los que en otros artículos del mismo código se señalen (…)”</w:t>
      </w:r>
      <w:r w:rsidRPr="00325EFF">
        <w:rPr>
          <w:rFonts w:ascii="Georgia" w:hAnsi="Georgia" w:cs="Arial"/>
          <w:spacing w:val="0"/>
          <w:vertAlign w:val="superscript"/>
          <w:lang w:val="es-419"/>
        </w:rPr>
        <w:footnoteReference w:id="20"/>
      </w:r>
      <w:r w:rsidRPr="00325EFF">
        <w:rPr>
          <w:rFonts w:ascii="Georgia" w:hAnsi="Georgia" w:cs="Arial"/>
          <w:spacing w:val="0"/>
          <w:lang w:val="es-419"/>
        </w:rPr>
        <w:t xml:space="preserve">. </w:t>
      </w:r>
    </w:p>
    <w:p w:rsidR="00AF4A81" w:rsidRPr="00D829DF" w:rsidRDefault="00AF4A81" w:rsidP="007C7752">
      <w:pPr>
        <w:pStyle w:val="Textoindependiente"/>
        <w:spacing w:line="300" w:lineRule="auto"/>
        <w:rPr>
          <w:rFonts w:ascii="Georgia" w:hAnsi="Georgia" w:cs="Arial"/>
          <w:lang w:val="es-419"/>
        </w:rPr>
      </w:pPr>
    </w:p>
    <w:p w:rsidR="00AF4A81" w:rsidRDefault="00AF4A81" w:rsidP="007C7752">
      <w:pPr>
        <w:pStyle w:val="Sinespaciado"/>
        <w:spacing w:line="300" w:lineRule="auto"/>
        <w:jc w:val="both"/>
        <w:rPr>
          <w:rFonts w:ascii="Georgia" w:hAnsi="Georgia" w:cs="Arial"/>
          <w:sz w:val="24"/>
          <w:szCs w:val="24"/>
          <w:lang w:val="es-419"/>
        </w:rPr>
      </w:pPr>
      <w:r w:rsidRPr="00D829DF">
        <w:rPr>
          <w:rFonts w:ascii="Georgia" w:hAnsi="Georgia" w:cs="Arial"/>
          <w:sz w:val="24"/>
          <w:lang w:val="es-419"/>
        </w:rPr>
        <w:t>En ese escenario</w:t>
      </w:r>
      <w:r w:rsidRPr="00D829DF">
        <w:rPr>
          <w:rFonts w:ascii="Georgia" w:hAnsi="Georgia" w:cs="Arial"/>
          <w:sz w:val="24"/>
          <w:szCs w:val="24"/>
          <w:lang w:val="es-419"/>
        </w:rPr>
        <w:t>, se advierte que, la decisión recurrida, de ninguna manera, hace parte de las enlistadas como pasible de apelación (</w:t>
      </w:r>
      <w:r w:rsidRPr="00D829DF">
        <w:rPr>
          <w:rFonts w:ascii="Georgia" w:hAnsi="Georgia" w:cs="Arial"/>
          <w:szCs w:val="24"/>
          <w:lang w:val="es-419"/>
        </w:rPr>
        <w:t>Artículo 321, CGP</w:t>
      </w:r>
      <w:r w:rsidRPr="00D829DF">
        <w:rPr>
          <w:rFonts w:ascii="Georgia" w:hAnsi="Georgia" w:cs="Arial"/>
          <w:sz w:val="24"/>
          <w:szCs w:val="24"/>
          <w:lang w:val="es-419"/>
        </w:rPr>
        <w:t xml:space="preserve">). </w:t>
      </w:r>
    </w:p>
    <w:p w:rsidR="00971C22" w:rsidRPr="00D829DF" w:rsidRDefault="00971C22" w:rsidP="007C7752">
      <w:pPr>
        <w:pStyle w:val="Sinespaciado"/>
        <w:spacing w:line="300" w:lineRule="auto"/>
        <w:jc w:val="both"/>
        <w:rPr>
          <w:rFonts w:ascii="Georgia" w:hAnsi="Georgia" w:cs="Arial"/>
          <w:sz w:val="24"/>
          <w:szCs w:val="24"/>
          <w:lang w:val="es-419"/>
        </w:rPr>
      </w:pPr>
    </w:p>
    <w:p w:rsidR="000E35DB" w:rsidRPr="00D829DF" w:rsidRDefault="000E35DB" w:rsidP="007C7752">
      <w:pPr>
        <w:pStyle w:val="Textopredeterminado"/>
        <w:numPr>
          <w:ilvl w:val="0"/>
          <w:numId w:val="3"/>
        </w:numPr>
        <w:spacing w:line="300" w:lineRule="auto"/>
        <w:jc w:val="both"/>
        <w:rPr>
          <w:rFonts w:ascii="Georgia" w:hAnsi="Georgia" w:cs="Arial"/>
          <w:lang w:val="es-419"/>
        </w:rPr>
      </w:pPr>
      <w:r w:rsidRPr="00D829DF">
        <w:rPr>
          <w:rFonts w:ascii="Georgia" w:hAnsi="Georgia" w:cs="Arial"/>
          <w:lang w:val="es-419"/>
        </w:rPr>
        <w:t>LAS DECISIONES FINALES</w:t>
      </w:r>
    </w:p>
    <w:p w:rsidR="000E35DB" w:rsidRPr="00D829DF" w:rsidRDefault="000E35DB" w:rsidP="007C7752">
      <w:pPr>
        <w:pStyle w:val="Textopredeterminado"/>
        <w:spacing w:line="300" w:lineRule="auto"/>
        <w:ind w:left="360"/>
        <w:jc w:val="both"/>
        <w:rPr>
          <w:rFonts w:ascii="Georgia" w:hAnsi="Georgia" w:cs="Arial"/>
          <w:sz w:val="20"/>
          <w:lang w:val="es-419"/>
        </w:rPr>
      </w:pPr>
    </w:p>
    <w:p w:rsidR="000E35DB" w:rsidRPr="00D829DF" w:rsidRDefault="000E35DB" w:rsidP="007C7752">
      <w:pPr>
        <w:pStyle w:val="Textoindependiente"/>
        <w:spacing w:line="300" w:lineRule="auto"/>
        <w:ind w:right="51"/>
        <w:rPr>
          <w:rFonts w:ascii="Georgia" w:hAnsi="Georgia" w:cs="Arial"/>
          <w:lang w:val="es-419"/>
        </w:rPr>
      </w:pPr>
      <w:r w:rsidRPr="00D829DF">
        <w:rPr>
          <w:rFonts w:ascii="Georgia" w:hAnsi="Georgia" w:cs="Arial"/>
          <w:lang w:val="es-419"/>
        </w:rPr>
        <w:t>En armonía con las premisas expuestas, se declarará desierto el recurso</w:t>
      </w:r>
      <w:r w:rsidR="00C820A5" w:rsidRPr="00D829DF">
        <w:rPr>
          <w:rFonts w:ascii="Georgia" w:hAnsi="Georgia" w:cs="Arial"/>
          <w:lang w:val="es-419"/>
        </w:rPr>
        <w:t xml:space="preserve"> de queja</w:t>
      </w:r>
      <w:r w:rsidRPr="00D829DF">
        <w:rPr>
          <w:rFonts w:ascii="Georgia" w:hAnsi="Georgia" w:cs="Arial"/>
          <w:lang w:val="es-419"/>
        </w:rPr>
        <w:t xml:space="preserve">, por ausencia de </w:t>
      </w:r>
      <w:r w:rsidR="00C820A5" w:rsidRPr="00D829DF">
        <w:rPr>
          <w:rFonts w:ascii="Georgia" w:hAnsi="Georgia" w:cs="Arial"/>
          <w:lang w:val="es-419"/>
        </w:rPr>
        <w:t>sustentación</w:t>
      </w:r>
      <w:r w:rsidRPr="00D829DF">
        <w:rPr>
          <w:rFonts w:ascii="Georgia" w:hAnsi="Georgia" w:cs="Arial"/>
          <w:lang w:val="es-419"/>
        </w:rPr>
        <w:t>.</w:t>
      </w:r>
    </w:p>
    <w:p w:rsidR="00423F93" w:rsidRPr="00D829DF" w:rsidRDefault="00423F93" w:rsidP="007C7752">
      <w:pPr>
        <w:pStyle w:val="Textoindependiente"/>
        <w:spacing w:line="300" w:lineRule="auto"/>
        <w:ind w:right="51"/>
        <w:rPr>
          <w:rFonts w:ascii="Georgia" w:hAnsi="Georgia" w:cs="Arial"/>
          <w:sz w:val="22"/>
          <w:szCs w:val="22"/>
          <w:lang w:val="es-419"/>
        </w:rPr>
      </w:pPr>
    </w:p>
    <w:p w:rsidR="000E35DB" w:rsidRPr="00D829DF" w:rsidRDefault="000E35DB" w:rsidP="007C7752">
      <w:pPr>
        <w:autoSpaceDE w:val="0"/>
        <w:autoSpaceDN w:val="0"/>
        <w:adjustRightInd w:val="0"/>
        <w:spacing w:line="300" w:lineRule="auto"/>
        <w:jc w:val="both"/>
        <w:rPr>
          <w:rFonts w:ascii="Georgia" w:hAnsi="Georgia" w:cs="Arial"/>
          <w:sz w:val="24"/>
          <w:szCs w:val="24"/>
          <w:lang w:val="es-419"/>
        </w:rPr>
      </w:pPr>
      <w:r w:rsidRPr="00D829DF">
        <w:rPr>
          <w:rFonts w:ascii="Georgia" w:hAnsi="Georgia" w:cs="Arial"/>
          <w:sz w:val="24"/>
          <w:szCs w:val="24"/>
          <w:lang w:val="es-419"/>
        </w:rPr>
        <w:t xml:space="preserve">Considerando suficientes los argumentos expuestos en esta providencia, el </w:t>
      </w:r>
      <w:r w:rsidRPr="00D829DF">
        <w:rPr>
          <w:rFonts w:ascii="Georgia" w:hAnsi="Georgia" w:cs="Arial"/>
          <w:smallCaps/>
          <w:sz w:val="24"/>
          <w:szCs w:val="24"/>
          <w:lang w:val="es-419"/>
        </w:rPr>
        <w:t>Tribunal Superior del Distrito Judicial de Pereira, en Sala Unitaria</w:t>
      </w:r>
      <w:r w:rsidRPr="00D829DF">
        <w:rPr>
          <w:rFonts w:ascii="Georgia" w:hAnsi="Georgia" w:cs="Arial"/>
          <w:sz w:val="24"/>
          <w:szCs w:val="24"/>
          <w:lang w:val="es-419"/>
        </w:rPr>
        <w:t>,</w:t>
      </w:r>
    </w:p>
    <w:p w:rsidR="00F819BA" w:rsidRPr="00D829DF" w:rsidRDefault="00F819BA" w:rsidP="007C7752">
      <w:pPr>
        <w:autoSpaceDE w:val="0"/>
        <w:autoSpaceDN w:val="0"/>
        <w:adjustRightInd w:val="0"/>
        <w:spacing w:line="300" w:lineRule="auto"/>
        <w:jc w:val="both"/>
        <w:rPr>
          <w:rFonts w:ascii="Georgia" w:hAnsi="Georgia" w:cs="Arial"/>
          <w:sz w:val="24"/>
          <w:szCs w:val="24"/>
          <w:lang w:val="es-419"/>
        </w:rPr>
      </w:pPr>
    </w:p>
    <w:p w:rsidR="000E35DB" w:rsidRPr="009844A5" w:rsidRDefault="000E35DB" w:rsidP="007C7752">
      <w:pPr>
        <w:pStyle w:val="Sinespaciado"/>
        <w:spacing w:line="300" w:lineRule="auto"/>
        <w:jc w:val="center"/>
        <w:rPr>
          <w:rFonts w:ascii="Georgia" w:hAnsi="Georgia" w:cs="Arial"/>
          <w:sz w:val="24"/>
          <w:szCs w:val="24"/>
          <w:lang w:val="es-419"/>
        </w:rPr>
      </w:pPr>
      <w:r w:rsidRPr="009844A5">
        <w:rPr>
          <w:rFonts w:ascii="Georgia" w:hAnsi="Georgia" w:cs="Arial"/>
          <w:sz w:val="24"/>
          <w:szCs w:val="24"/>
          <w:lang w:val="es-419"/>
        </w:rPr>
        <w:t xml:space="preserve">R </w:t>
      </w:r>
      <w:r w:rsidR="00971C22" w:rsidRPr="009844A5">
        <w:rPr>
          <w:rFonts w:ascii="Georgia" w:hAnsi="Georgia" w:cs="Arial"/>
          <w:sz w:val="24"/>
          <w:szCs w:val="24"/>
          <w:lang w:val="es-419"/>
        </w:rPr>
        <w:t>E S U E L V E</w:t>
      </w:r>
    </w:p>
    <w:p w:rsidR="000E35DB" w:rsidRPr="00D829DF" w:rsidRDefault="000E35DB" w:rsidP="007C7752">
      <w:pPr>
        <w:pStyle w:val="Sinespaciado"/>
        <w:spacing w:line="300" w:lineRule="auto"/>
        <w:jc w:val="center"/>
        <w:rPr>
          <w:rFonts w:ascii="Georgia" w:hAnsi="Georgia" w:cs="Arial"/>
          <w:sz w:val="24"/>
          <w:lang w:val="es-419"/>
        </w:rPr>
      </w:pPr>
    </w:p>
    <w:p w:rsidR="000E35DB" w:rsidRPr="00D829DF" w:rsidRDefault="000E35DB" w:rsidP="007C7752">
      <w:pPr>
        <w:pStyle w:val="Textopredeterminado"/>
        <w:numPr>
          <w:ilvl w:val="0"/>
          <w:numId w:val="2"/>
        </w:numPr>
        <w:spacing w:line="300" w:lineRule="auto"/>
        <w:jc w:val="both"/>
        <w:rPr>
          <w:rFonts w:ascii="Georgia" w:hAnsi="Georgia" w:cs="Arial"/>
          <w:lang w:val="es-419"/>
        </w:rPr>
      </w:pPr>
      <w:r w:rsidRPr="00D829DF">
        <w:rPr>
          <w:rFonts w:ascii="Georgia" w:hAnsi="Georgia" w:cs="Arial"/>
          <w:lang w:val="es-419"/>
        </w:rPr>
        <w:t xml:space="preserve">DECLARAR desierto el recurso de </w:t>
      </w:r>
      <w:r w:rsidR="00C820A5" w:rsidRPr="00D829DF">
        <w:rPr>
          <w:rFonts w:ascii="Georgia" w:hAnsi="Georgia" w:cs="Arial"/>
          <w:lang w:val="es-419"/>
        </w:rPr>
        <w:t xml:space="preserve">queja, </w:t>
      </w:r>
      <w:r w:rsidRPr="00D829DF">
        <w:rPr>
          <w:rFonts w:ascii="Georgia" w:hAnsi="Georgia" w:cs="Arial"/>
          <w:lang w:val="es-419"/>
        </w:rPr>
        <w:t>formulado</w:t>
      </w:r>
      <w:r w:rsidR="00C820A5" w:rsidRPr="00D829DF">
        <w:rPr>
          <w:rFonts w:ascii="Georgia" w:hAnsi="Georgia" w:cs="Arial"/>
          <w:lang w:val="es-419"/>
        </w:rPr>
        <w:t xml:space="preserve"> </w:t>
      </w:r>
      <w:r w:rsidRPr="00D829DF">
        <w:rPr>
          <w:rFonts w:ascii="Georgia" w:hAnsi="Georgia" w:cs="Arial"/>
          <w:lang w:val="es-419"/>
        </w:rPr>
        <w:t xml:space="preserve">contra la providencia del </w:t>
      </w:r>
      <w:r w:rsidR="00423F93" w:rsidRPr="00D829DF">
        <w:rPr>
          <w:rFonts w:ascii="Georgia" w:hAnsi="Georgia" w:cs="Arial"/>
          <w:lang w:val="es-419"/>
        </w:rPr>
        <w:t>10-09-2019</w:t>
      </w:r>
      <w:r w:rsidRPr="00D829DF">
        <w:rPr>
          <w:rFonts w:ascii="Georgia" w:hAnsi="Georgia" w:cs="Arial"/>
          <w:lang w:val="es-419"/>
        </w:rPr>
        <w:t xml:space="preserve">, ante </w:t>
      </w:r>
      <w:r w:rsidR="00C820A5" w:rsidRPr="00D829DF">
        <w:rPr>
          <w:rFonts w:ascii="Georgia" w:hAnsi="Georgia" w:cs="Arial"/>
          <w:lang w:val="es-419"/>
        </w:rPr>
        <w:t xml:space="preserve">la </w:t>
      </w:r>
      <w:r w:rsidRPr="00D829DF">
        <w:rPr>
          <w:rFonts w:ascii="Georgia" w:hAnsi="Georgia" w:cs="Arial"/>
          <w:lang w:val="es-419"/>
        </w:rPr>
        <w:t xml:space="preserve">falta de </w:t>
      </w:r>
      <w:r w:rsidR="00C820A5" w:rsidRPr="00D829DF">
        <w:rPr>
          <w:rFonts w:ascii="Georgia" w:hAnsi="Georgia" w:cs="Arial"/>
          <w:lang w:val="es-419"/>
        </w:rPr>
        <w:t>sustentación</w:t>
      </w:r>
      <w:r w:rsidRPr="00D829DF">
        <w:rPr>
          <w:rFonts w:ascii="Georgia" w:hAnsi="Georgia" w:cs="Arial"/>
          <w:lang w:val="es-419"/>
        </w:rPr>
        <w:t>.</w:t>
      </w:r>
    </w:p>
    <w:p w:rsidR="000E35DB" w:rsidRPr="00D829DF" w:rsidRDefault="000E35DB" w:rsidP="007C7752">
      <w:pPr>
        <w:spacing w:line="300" w:lineRule="auto"/>
        <w:ind w:left="360"/>
        <w:rPr>
          <w:rFonts w:ascii="Georgia" w:hAnsi="Georgia" w:cs="Arial"/>
          <w:sz w:val="24"/>
          <w:szCs w:val="24"/>
          <w:lang w:val="es-419"/>
        </w:rPr>
      </w:pPr>
    </w:p>
    <w:p w:rsidR="000E35DB" w:rsidRPr="00D829DF" w:rsidRDefault="000E35DB" w:rsidP="007C7752">
      <w:pPr>
        <w:pStyle w:val="Textopredeterminado"/>
        <w:numPr>
          <w:ilvl w:val="0"/>
          <w:numId w:val="2"/>
        </w:numPr>
        <w:spacing w:line="300" w:lineRule="auto"/>
        <w:jc w:val="both"/>
        <w:rPr>
          <w:rFonts w:ascii="Georgia" w:hAnsi="Georgia" w:cs="Arial"/>
          <w:lang w:val="es-419"/>
        </w:rPr>
      </w:pPr>
      <w:r w:rsidRPr="00D829DF">
        <w:rPr>
          <w:rFonts w:ascii="Georgia" w:hAnsi="Georgia" w:cs="Arial"/>
          <w:lang w:val="es-419"/>
        </w:rPr>
        <w:t xml:space="preserve">DEVOLVER el expediente al Juzgado </w:t>
      </w:r>
      <w:r w:rsidR="00423F93" w:rsidRPr="00D829DF">
        <w:rPr>
          <w:rFonts w:ascii="Georgia" w:hAnsi="Georgia" w:cs="Arial"/>
          <w:lang w:val="es-419"/>
        </w:rPr>
        <w:t>Segundo Civil d</w:t>
      </w:r>
      <w:r w:rsidR="00C6379E" w:rsidRPr="00D829DF">
        <w:rPr>
          <w:rFonts w:ascii="Georgia" w:hAnsi="Georgia" w:cs="Arial"/>
          <w:lang w:val="es-419"/>
        </w:rPr>
        <w:t xml:space="preserve">el Circuito de </w:t>
      </w:r>
      <w:r w:rsidR="00423F93" w:rsidRPr="00D829DF">
        <w:rPr>
          <w:rFonts w:ascii="Georgia" w:hAnsi="Georgia" w:cs="Arial"/>
          <w:lang w:val="es-419"/>
        </w:rPr>
        <w:t>Pereira</w:t>
      </w:r>
      <w:r w:rsidR="00C6379E" w:rsidRPr="00D829DF">
        <w:rPr>
          <w:rFonts w:ascii="Georgia" w:hAnsi="Georgia" w:cs="Arial"/>
          <w:lang w:val="es-419"/>
        </w:rPr>
        <w:t>, R.</w:t>
      </w:r>
    </w:p>
    <w:p w:rsidR="00977E7F" w:rsidRPr="00D829DF" w:rsidRDefault="00977E7F" w:rsidP="007C7752">
      <w:pPr>
        <w:pStyle w:val="Prrafodelista"/>
        <w:spacing w:line="300" w:lineRule="auto"/>
        <w:ind w:left="360"/>
        <w:rPr>
          <w:rFonts w:ascii="Georgia" w:hAnsi="Georgia" w:cs="Arial"/>
          <w:sz w:val="24"/>
          <w:szCs w:val="22"/>
          <w:lang w:val="es-419"/>
        </w:rPr>
      </w:pPr>
    </w:p>
    <w:p w:rsidR="00977E7F" w:rsidRPr="00D829DF" w:rsidRDefault="00977E7F" w:rsidP="007C7752">
      <w:pPr>
        <w:pStyle w:val="Prrafodelista"/>
        <w:numPr>
          <w:ilvl w:val="0"/>
          <w:numId w:val="2"/>
        </w:numPr>
        <w:spacing w:line="300" w:lineRule="auto"/>
        <w:jc w:val="both"/>
        <w:rPr>
          <w:rFonts w:ascii="Georgia" w:hAnsi="Georgia" w:cs="Arial"/>
          <w:sz w:val="24"/>
          <w:szCs w:val="22"/>
          <w:lang w:val="es-419"/>
        </w:rPr>
      </w:pPr>
      <w:r w:rsidRPr="00D829DF">
        <w:rPr>
          <w:rFonts w:ascii="Georgia" w:hAnsi="Georgia" w:cs="Arial"/>
          <w:sz w:val="24"/>
          <w:szCs w:val="22"/>
          <w:lang w:val="es-419"/>
        </w:rPr>
        <w:t>ADVERTIR que contra esta providencia no procede recurso alguno.</w:t>
      </w:r>
    </w:p>
    <w:p w:rsidR="00870960" w:rsidRPr="00D829DF" w:rsidRDefault="00870960" w:rsidP="007C7752">
      <w:pPr>
        <w:pStyle w:val="Textopredeterminado"/>
        <w:spacing w:line="300" w:lineRule="auto"/>
        <w:jc w:val="center"/>
        <w:rPr>
          <w:rFonts w:ascii="Georgia" w:hAnsi="Georgia" w:cs="Arial"/>
          <w:smallCaps/>
          <w:lang w:val="es-419"/>
        </w:rPr>
      </w:pPr>
    </w:p>
    <w:p w:rsidR="00CF2BC2" w:rsidRPr="00D829DF" w:rsidRDefault="00D829DF" w:rsidP="007C7752">
      <w:pPr>
        <w:pStyle w:val="Textopredeterminado"/>
        <w:spacing w:line="300" w:lineRule="auto"/>
        <w:jc w:val="center"/>
        <w:rPr>
          <w:rFonts w:ascii="Georgia" w:hAnsi="Georgia" w:cs="Arial"/>
          <w:smallCaps/>
          <w:lang w:val="es-419"/>
        </w:rPr>
      </w:pPr>
      <w:r>
        <w:rPr>
          <w:rFonts w:ascii="Georgia" w:hAnsi="Georgia" w:cs="Arial"/>
          <w:smallCaps/>
          <w:lang w:val="es-419"/>
        </w:rPr>
        <w:t>Notifíquese</w:t>
      </w:r>
    </w:p>
    <w:p w:rsidR="00F819BA" w:rsidRPr="00D829DF" w:rsidRDefault="00F819BA" w:rsidP="007C7752">
      <w:pPr>
        <w:pStyle w:val="Textopredeterminado"/>
        <w:spacing w:line="300" w:lineRule="auto"/>
        <w:jc w:val="center"/>
        <w:rPr>
          <w:rFonts w:ascii="Georgia" w:hAnsi="Georgia" w:cs="Arial"/>
          <w:smallCaps/>
          <w:lang w:val="es-419"/>
        </w:rPr>
      </w:pPr>
    </w:p>
    <w:p w:rsidR="00F819BA" w:rsidRPr="00D829DF" w:rsidRDefault="00F819BA" w:rsidP="007C7752">
      <w:pPr>
        <w:pStyle w:val="Textopredeterminado"/>
        <w:spacing w:line="300" w:lineRule="auto"/>
        <w:jc w:val="center"/>
        <w:rPr>
          <w:rFonts w:ascii="Georgia" w:hAnsi="Georgia" w:cs="Arial"/>
          <w:smallCaps/>
          <w:lang w:val="es-419"/>
        </w:rPr>
      </w:pPr>
    </w:p>
    <w:p w:rsidR="00CF2BC2" w:rsidRPr="00D829DF" w:rsidRDefault="00CF2BC2" w:rsidP="007C7752">
      <w:pPr>
        <w:pStyle w:val="Textopredeterminado"/>
        <w:spacing w:line="300" w:lineRule="auto"/>
        <w:jc w:val="center"/>
        <w:rPr>
          <w:rFonts w:ascii="Georgia" w:hAnsi="Georgia" w:cs="Arial"/>
          <w:smallCaps/>
          <w:lang w:val="es-419"/>
        </w:rPr>
      </w:pPr>
    </w:p>
    <w:p w:rsidR="00CF2BC2" w:rsidRPr="00D829DF" w:rsidRDefault="00CF2BC2" w:rsidP="007C7752">
      <w:pPr>
        <w:pStyle w:val="Textopredeterminado"/>
        <w:spacing w:line="300" w:lineRule="auto"/>
        <w:jc w:val="center"/>
        <w:rPr>
          <w:rFonts w:ascii="Georgia" w:hAnsi="Georgia" w:cs="Arial"/>
          <w:caps/>
          <w:spacing w:val="20"/>
          <w:w w:val="150"/>
          <w:sz w:val="22"/>
          <w:szCs w:val="20"/>
          <w:lang w:val="es-419"/>
        </w:rPr>
      </w:pPr>
      <w:r w:rsidRPr="00D829DF">
        <w:rPr>
          <w:rFonts w:ascii="Georgia" w:hAnsi="Georgia" w:cs="Arial"/>
          <w:caps/>
          <w:spacing w:val="20"/>
          <w:w w:val="150"/>
          <w:sz w:val="28"/>
          <w:lang w:val="es-419"/>
        </w:rPr>
        <w:t xml:space="preserve"> D</w:t>
      </w:r>
      <w:r w:rsidRPr="00D829DF">
        <w:rPr>
          <w:rFonts w:ascii="Georgia" w:hAnsi="Georgia" w:cs="Arial"/>
          <w:caps/>
          <w:spacing w:val="20"/>
          <w:w w:val="150"/>
          <w:sz w:val="18"/>
          <w:szCs w:val="16"/>
          <w:lang w:val="es-419"/>
        </w:rPr>
        <w:t xml:space="preserve">UBERNEY </w:t>
      </w:r>
      <w:r w:rsidRPr="00D829DF">
        <w:rPr>
          <w:rFonts w:ascii="Georgia" w:hAnsi="Georgia" w:cs="Arial"/>
          <w:caps/>
          <w:spacing w:val="20"/>
          <w:w w:val="150"/>
          <w:sz w:val="28"/>
          <w:lang w:val="es-419"/>
        </w:rPr>
        <w:t>G</w:t>
      </w:r>
      <w:r w:rsidRPr="00D829DF">
        <w:rPr>
          <w:rFonts w:ascii="Georgia" w:hAnsi="Georgia" w:cs="Arial"/>
          <w:caps/>
          <w:spacing w:val="20"/>
          <w:w w:val="150"/>
          <w:sz w:val="18"/>
          <w:szCs w:val="16"/>
          <w:lang w:val="es-419"/>
        </w:rPr>
        <w:t xml:space="preserve">RISALES </w:t>
      </w:r>
      <w:r w:rsidRPr="00D829DF">
        <w:rPr>
          <w:rFonts w:ascii="Georgia" w:hAnsi="Georgia" w:cs="Arial"/>
          <w:caps/>
          <w:spacing w:val="20"/>
          <w:w w:val="150"/>
          <w:sz w:val="28"/>
          <w:lang w:val="es-419"/>
        </w:rPr>
        <w:t>H</w:t>
      </w:r>
      <w:r w:rsidRPr="00D829DF">
        <w:rPr>
          <w:rFonts w:ascii="Georgia" w:hAnsi="Georgia" w:cs="Arial"/>
          <w:caps/>
          <w:spacing w:val="20"/>
          <w:w w:val="150"/>
          <w:sz w:val="18"/>
          <w:szCs w:val="16"/>
          <w:lang w:val="es-419"/>
        </w:rPr>
        <w:t>ERRERA</w:t>
      </w:r>
    </w:p>
    <w:p w:rsidR="00D067C0" w:rsidRPr="00D829DF" w:rsidRDefault="00CF2BC2" w:rsidP="007C7752">
      <w:pPr>
        <w:spacing w:line="300" w:lineRule="auto"/>
        <w:jc w:val="center"/>
        <w:rPr>
          <w:rFonts w:ascii="Georgia" w:hAnsi="Georgia" w:cs="Arial"/>
          <w:sz w:val="12"/>
          <w:szCs w:val="12"/>
          <w:lang w:val="es-419"/>
        </w:rPr>
      </w:pPr>
      <w:r w:rsidRPr="00D829DF">
        <w:rPr>
          <w:rFonts w:ascii="Georgia" w:hAnsi="Georgia" w:cs="Arial"/>
          <w:caps/>
          <w:spacing w:val="20"/>
          <w:w w:val="150"/>
          <w:sz w:val="22"/>
          <w:lang w:val="es-419"/>
        </w:rPr>
        <w:t xml:space="preserve">M </w:t>
      </w:r>
      <w:r w:rsidRPr="00D829DF">
        <w:rPr>
          <w:rFonts w:ascii="Georgia" w:hAnsi="Georgia" w:cs="Arial"/>
          <w:caps/>
          <w:spacing w:val="20"/>
          <w:w w:val="150"/>
          <w:sz w:val="18"/>
          <w:szCs w:val="16"/>
          <w:lang w:val="es-419"/>
        </w:rPr>
        <w:t>A G I S T R A D O</w:t>
      </w:r>
    </w:p>
    <w:sectPr w:rsidR="00D067C0" w:rsidRPr="00D829DF" w:rsidSect="002D1F55">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B50" w:rsidRDefault="00BD7B50" w:rsidP="00934BB4">
      <w:r>
        <w:separator/>
      </w:r>
    </w:p>
  </w:endnote>
  <w:endnote w:type="continuationSeparator" w:id="0">
    <w:p w:rsidR="00BD7B50" w:rsidRDefault="00BD7B50"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6" w:rsidRDefault="00D92F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C2" w:rsidRDefault="00CF2BC2" w:rsidP="006E6DCB">
    <w:pPr>
      <w:pStyle w:val="Piedepgina"/>
      <w:pBdr>
        <w:bottom w:val="double" w:sz="6" w:space="1" w:color="auto"/>
      </w:pBdr>
      <w:spacing w:line="360" w:lineRule="auto"/>
      <w:ind w:firstLine="708"/>
      <w:rPr>
        <w:rFonts w:ascii="Arial" w:hAnsi="Arial" w:cs="Arial"/>
        <w:spacing w:val="20"/>
        <w:w w:val="200"/>
        <w:sz w:val="14"/>
        <w:szCs w:val="14"/>
      </w:rPr>
    </w:pPr>
  </w:p>
  <w:p w:rsidR="00CF2BC2" w:rsidRDefault="00CF2BC2" w:rsidP="006E6DCB">
    <w:pPr>
      <w:pStyle w:val="Piedepgina"/>
      <w:spacing w:line="360" w:lineRule="auto"/>
      <w:jc w:val="right"/>
      <w:rPr>
        <w:rFonts w:ascii="Arial" w:hAnsi="Arial" w:cs="Arial"/>
        <w:spacing w:val="20"/>
        <w:w w:val="200"/>
        <w:sz w:val="14"/>
        <w:szCs w:val="14"/>
      </w:rPr>
    </w:pPr>
  </w:p>
  <w:p w:rsidR="00CF2BC2" w:rsidRPr="003E18D8" w:rsidRDefault="00CF2BC2" w:rsidP="006E6DCB">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CF2BC2" w:rsidRPr="006E6DCB" w:rsidRDefault="00CF2BC2" w:rsidP="006E6DCB">
    <w:pPr>
      <w:pStyle w:val="Piedepgina"/>
      <w:jc w:val="right"/>
    </w:pPr>
    <w:r w:rsidRPr="00836EE1">
      <w:rPr>
        <w:rFonts w:ascii="Arial" w:hAnsi="Arial" w:cs="Arial"/>
        <w:spacing w:val="20"/>
        <w:w w:val="200"/>
        <w:sz w:val="10"/>
        <w:szCs w:val="10"/>
      </w:rPr>
      <w:t>M</w:t>
    </w:r>
    <w:r w:rsidR="00D91179">
      <w:rPr>
        <w:rFonts w:ascii="Arial" w:hAnsi="Arial" w:cs="Arial"/>
        <w:spacing w:val="20"/>
        <w:w w:val="200"/>
        <w:sz w:val="10"/>
        <w:szCs w:val="10"/>
      </w:rPr>
      <w:t>S</w:t>
    </w:r>
    <w:r w:rsidRPr="00836EE1">
      <w:rPr>
        <w:rFonts w:ascii="Arial" w:hAnsi="Arial" w:cs="Arial"/>
        <w:spacing w:val="20"/>
        <w:w w:val="200"/>
        <w:sz w:val="10"/>
        <w:szCs w:val="10"/>
      </w:rPr>
      <w:t xml:space="preserve"> </w:t>
    </w:r>
    <w:r w:rsidRPr="00836EE1">
      <w:rPr>
        <w:rFonts w:ascii="Arial" w:hAnsi="Arial" w:cs="Arial"/>
        <w:spacing w:val="20"/>
        <w:w w:val="200"/>
        <w:sz w:val="12"/>
        <w:szCs w:val="12"/>
      </w:rPr>
      <w:t>D</w:t>
    </w:r>
    <w:r w:rsidRPr="00836EE1">
      <w:rPr>
        <w:rFonts w:ascii="Arial" w:hAnsi="Arial" w:cs="Arial"/>
        <w:spacing w:val="20"/>
        <w:w w:val="200"/>
        <w:sz w:val="8"/>
        <w:szCs w:val="8"/>
      </w:rPr>
      <w:t>UBERNEY</w:t>
    </w:r>
    <w:r>
      <w:rPr>
        <w:rFonts w:ascii="Arial" w:hAnsi="Arial" w:cs="Arial"/>
        <w:spacing w:val="20"/>
        <w:w w:val="200"/>
        <w:sz w:val="8"/>
        <w:szCs w:val="8"/>
      </w:rPr>
      <w:t xml:space="preserve"> </w:t>
    </w:r>
    <w:r w:rsidRPr="00836EE1">
      <w:rPr>
        <w:rFonts w:ascii="Arial" w:hAnsi="Arial" w:cs="Arial"/>
        <w:spacing w:val="20"/>
        <w:w w:val="200"/>
        <w:sz w:val="12"/>
        <w:szCs w:val="12"/>
      </w:rPr>
      <w:t>G</w:t>
    </w:r>
    <w:r w:rsidRPr="00836EE1">
      <w:rPr>
        <w:rFonts w:ascii="Arial" w:hAnsi="Arial" w:cs="Arial"/>
        <w:spacing w:val="20"/>
        <w:w w:val="200"/>
        <w:sz w:val="8"/>
        <w:szCs w:val="8"/>
      </w:rPr>
      <w:t>RISALES</w:t>
    </w:r>
    <w:r>
      <w:rPr>
        <w:rFonts w:ascii="Arial" w:hAnsi="Arial" w:cs="Arial"/>
        <w:spacing w:val="20"/>
        <w:w w:val="200"/>
        <w:sz w:val="8"/>
        <w:szCs w:val="8"/>
      </w:rPr>
      <w:t xml:space="preserve"> </w:t>
    </w:r>
    <w:r w:rsidRPr="00836EE1">
      <w:rPr>
        <w:rFonts w:ascii="Arial" w:hAnsi="Arial" w:cs="Arial"/>
        <w:spacing w:val="20"/>
        <w:w w:val="200"/>
        <w:sz w:val="12"/>
        <w:szCs w:val="12"/>
      </w:rPr>
      <w:t>H</w:t>
    </w:r>
    <w:r w:rsidRPr="00836EE1">
      <w:rPr>
        <w:rFonts w:ascii="Arial" w:hAnsi="Arial" w:cs="Arial"/>
        <w:spacing w:val="20"/>
        <w:w w:val="200"/>
        <w:sz w:val="8"/>
        <w:szCs w:val="8"/>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6" w:rsidRDefault="00D92F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B50" w:rsidRDefault="00BD7B50" w:rsidP="00934BB4">
      <w:r>
        <w:separator/>
      </w:r>
    </w:p>
  </w:footnote>
  <w:footnote w:type="continuationSeparator" w:id="0">
    <w:p w:rsidR="00BD7B50" w:rsidRDefault="00BD7B50" w:rsidP="00934BB4">
      <w:r>
        <w:continuationSeparator/>
      </w:r>
    </w:p>
  </w:footnote>
  <w:footnote w:id="1">
    <w:p w:rsidR="008D4F8E" w:rsidRPr="00D829DF" w:rsidRDefault="008D4F8E" w:rsidP="00D829DF">
      <w:pPr>
        <w:pStyle w:val="Textonotapie"/>
        <w:jc w:val="both"/>
        <w:rPr>
          <w:rFonts w:ascii="Century" w:hAnsi="Century"/>
          <w:sz w:val="18"/>
        </w:rPr>
      </w:pPr>
      <w:r w:rsidRPr="00D829DF">
        <w:rPr>
          <w:rStyle w:val="Refdenotaalpie"/>
          <w:rFonts w:ascii="Century" w:hAnsi="Century"/>
          <w:sz w:val="18"/>
        </w:rPr>
        <w:footnoteRef/>
      </w:r>
      <w:r w:rsidRPr="00D829DF">
        <w:rPr>
          <w:rFonts w:ascii="Century" w:hAnsi="Century"/>
          <w:sz w:val="18"/>
        </w:rPr>
        <w:t xml:space="preserve"> </w:t>
      </w:r>
      <w:r w:rsidRPr="00D829DF">
        <w:rPr>
          <w:rFonts w:ascii="Century" w:hAnsi="Century"/>
          <w:sz w:val="18"/>
          <w:lang w:val="es-CO"/>
        </w:rPr>
        <w:t>ESCOBAR V. Édgar G. Los recursos en el Código General del Proceso. Librería jurídica Sánchez R. Ltda. 2015, p.37.</w:t>
      </w:r>
    </w:p>
  </w:footnote>
  <w:footnote w:id="2">
    <w:p w:rsidR="008D4F8E" w:rsidRPr="00D829DF" w:rsidRDefault="008D4F8E" w:rsidP="00D829DF">
      <w:pPr>
        <w:pStyle w:val="Textonotapie"/>
        <w:jc w:val="both"/>
        <w:rPr>
          <w:rFonts w:ascii="Century" w:hAnsi="Century"/>
          <w:sz w:val="18"/>
        </w:rPr>
      </w:pPr>
      <w:r w:rsidRPr="00D829DF">
        <w:rPr>
          <w:rFonts w:ascii="Century" w:hAnsi="Century"/>
          <w:sz w:val="18"/>
          <w:vertAlign w:val="superscript"/>
        </w:rPr>
        <w:footnoteRef/>
      </w:r>
      <w:r w:rsidRPr="00D829DF">
        <w:rPr>
          <w:rFonts w:ascii="Century" w:hAnsi="Century"/>
          <w:sz w:val="18"/>
        </w:rPr>
        <w:t xml:space="preserve"> </w:t>
      </w:r>
      <w:r w:rsidRPr="00D829DF">
        <w:rPr>
          <w:rFonts w:ascii="Century" w:hAnsi="Century"/>
          <w:sz w:val="18"/>
          <w:lang w:val="es-CO"/>
        </w:rPr>
        <w:t xml:space="preserve">LÓPEZ B., Hernán F. Código General del Proceso, parte general, Bogotá DC, </w:t>
      </w:r>
      <w:proofErr w:type="spellStart"/>
      <w:r w:rsidRPr="00D829DF">
        <w:rPr>
          <w:rFonts w:ascii="Century" w:hAnsi="Century"/>
          <w:sz w:val="18"/>
          <w:lang w:val="es-CO"/>
        </w:rPr>
        <w:t>Dupre</w:t>
      </w:r>
      <w:proofErr w:type="spellEnd"/>
      <w:r w:rsidRPr="00D829DF">
        <w:rPr>
          <w:rFonts w:ascii="Century" w:hAnsi="Century"/>
          <w:sz w:val="18"/>
          <w:lang w:val="es-CO"/>
        </w:rPr>
        <w:t xml:space="preserve"> editores, 2016, p.769-776</w:t>
      </w:r>
      <w:r w:rsidRPr="00D829DF">
        <w:rPr>
          <w:rFonts w:ascii="Century" w:hAnsi="Century"/>
          <w:sz w:val="18"/>
        </w:rPr>
        <w:t>.</w:t>
      </w:r>
    </w:p>
  </w:footnote>
  <w:footnote w:id="3">
    <w:p w:rsidR="008D4F8E" w:rsidRPr="00D829DF" w:rsidRDefault="008D4F8E" w:rsidP="00D829DF">
      <w:pPr>
        <w:pStyle w:val="Textonotapie"/>
        <w:jc w:val="both"/>
        <w:rPr>
          <w:rFonts w:ascii="Century" w:hAnsi="Century"/>
          <w:sz w:val="18"/>
        </w:rPr>
      </w:pPr>
      <w:r w:rsidRPr="00D829DF">
        <w:rPr>
          <w:rFonts w:ascii="Century" w:hAnsi="Century"/>
          <w:sz w:val="18"/>
          <w:vertAlign w:val="superscript"/>
        </w:rPr>
        <w:footnoteRef/>
      </w:r>
      <w:r w:rsidRPr="00D829DF">
        <w:rPr>
          <w:rFonts w:ascii="Century" w:hAnsi="Century"/>
          <w:sz w:val="18"/>
        </w:rPr>
        <w:t xml:space="preserve"> PARRA Q., Jairo. Derecho procesal civil, tomo I, Santafé de Bogotá DC, Temis, 1992, p.276.</w:t>
      </w:r>
    </w:p>
  </w:footnote>
  <w:footnote w:id="4">
    <w:p w:rsidR="002F0156" w:rsidRPr="00D829DF" w:rsidRDefault="002F0156" w:rsidP="00D829DF">
      <w:pPr>
        <w:pStyle w:val="Sinespaciado"/>
        <w:jc w:val="both"/>
        <w:rPr>
          <w:rFonts w:ascii="Century" w:hAnsi="Century" w:cs="Times New Roman"/>
          <w:sz w:val="18"/>
          <w:szCs w:val="20"/>
        </w:rPr>
      </w:pPr>
      <w:r w:rsidRPr="00D829DF">
        <w:rPr>
          <w:rFonts w:ascii="Century" w:hAnsi="Century" w:cs="Times New Roman"/>
          <w:sz w:val="18"/>
          <w:szCs w:val="20"/>
          <w:vertAlign w:val="superscript"/>
        </w:rPr>
        <w:footnoteRef/>
      </w:r>
      <w:r w:rsidRPr="00D829DF">
        <w:rPr>
          <w:rFonts w:ascii="Century" w:hAnsi="Century" w:cs="Times New Roman"/>
          <w:sz w:val="18"/>
          <w:szCs w:val="20"/>
        </w:rPr>
        <w:t xml:space="preserve"> </w:t>
      </w:r>
      <w:r w:rsidR="005B0036" w:rsidRPr="00D829DF">
        <w:rPr>
          <w:rFonts w:ascii="Century" w:hAnsi="Century" w:cs="Times New Roman"/>
          <w:sz w:val="18"/>
          <w:szCs w:val="20"/>
          <w:lang w:val="es-CO"/>
        </w:rPr>
        <w:t>LÓPEZ B., Hernán F.</w:t>
      </w:r>
      <w:r w:rsidRPr="00D829DF">
        <w:rPr>
          <w:rFonts w:ascii="Century" w:hAnsi="Century" w:cs="Times New Roman"/>
          <w:sz w:val="18"/>
          <w:szCs w:val="20"/>
          <w:lang w:val="es-CO"/>
        </w:rPr>
        <w:t xml:space="preserve"> </w:t>
      </w:r>
      <w:r w:rsidR="00C545C3" w:rsidRPr="00D829DF">
        <w:rPr>
          <w:rFonts w:ascii="Century" w:hAnsi="Century" w:cs="Times New Roman"/>
          <w:sz w:val="18"/>
          <w:szCs w:val="20"/>
        </w:rPr>
        <w:t>o</w:t>
      </w:r>
      <w:r w:rsidRPr="00D829DF">
        <w:rPr>
          <w:rFonts w:ascii="Century" w:hAnsi="Century" w:cs="Times New Roman"/>
          <w:sz w:val="18"/>
          <w:szCs w:val="20"/>
        </w:rPr>
        <w:t>b. cit., p.769.</w:t>
      </w:r>
    </w:p>
  </w:footnote>
  <w:footnote w:id="5">
    <w:p w:rsidR="002F0156" w:rsidRPr="00D829DF" w:rsidRDefault="002F0156" w:rsidP="00D829DF">
      <w:pPr>
        <w:pStyle w:val="Textonotapie"/>
        <w:jc w:val="both"/>
        <w:rPr>
          <w:rFonts w:ascii="Century" w:hAnsi="Century"/>
          <w:sz w:val="18"/>
          <w:lang w:val="es-CO"/>
        </w:rPr>
      </w:pPr>
      <w:r w:rsidRPr="00D829DF">
        <w:rPr>
          <w:rStyle w:val="Refdenotaalpie"/>
          <w:rFonts w:ascii="Century" w:hAnsi="Century"/>
          <w:sz w:val="18"/>
        </w:rPr>
        <w:footnoteRef/>
      </w:r>
      <w:r w:rsidRPr="00D829DF">
        <w:rPr>
          <w:rFonts w:ascii="Century" w:hAnsi="Century"/>
          <w:sz w:val="18"/>
        </w:rPr>
        <w:t xml:space="preserve"> </w:t>
      </w:r>
      <w:r w:rsidR="005B0036" w:rsidRPr="00D829DF">
        <w:rPr>
          <w:rFonts w:ascii="Century" w:hAnsi="Century"/>
          <w:sz w:val="18"/>
          <w:lang w:val="es-CO"/>
        </w:rPr>
        <w:t>ROJAS G., Miguel E.</w:t>
      </w:r>
      <w:r w:rsidRPr="00D829DF">
        <w:rPr>
          <w:rFonts w:ascii="Century" w:hAnsi="Century"/>
          <w:sz w:val="18"/>
          <w:lang w:val="es-CO"/>
        </w:rPr>
        <w:t xml:space="preserve"> Lecciones de derecho procesal, tomo II, procedimiento civil, </w:t>
      </w:r>
      <w:proofErr w:type="spellStart"/>
      <w:r w:rsidR="005B0036" w:rsidRPr="00D829DF">
        <w:rPr>
          <w:rFonts w:ascii="Century" w:hAnsi="Century"/>
          <w:sz w:val="18"/>
          <w:lang w:val="es-CO"/>
        </w:rPr>
        <w:t>ESAJU</w:t>
      </w:r>
      <w:proofErr w:type="spellEnd"/>
      <w:r w:rsidRPr="00D829DF">
        <w:rPr>
          <w:rFonts w:ascii="Century" w:hAnsi="Century"/>
          <w:sz w:val="18"/>
          <w:lang w:val="es-CO"/>
        </w:rPr>
        <w:t>, 2013, 5ª edición, Bogotá DC, p.332.</w:t>
      </w:r>
    </w:p>
  </w:footnote>
  <w:footnote w:id="6">
    <w:p w:rsidR="008D4F8E" w:rsidRPr="00D829DF" w:rsidRDefault="008D4F8E" w:rsidP="00D829DF">
      <w:pPr>
        <w:pStyle w:val="Textonotapie"/>
        <w:jc w:val="both"/>
        <w:rPr>
          <w:rFonts w:ascii="Century" w:hAnsi="Century"/>
          <w:sz w:val="18"/>
        </w:rPr>
      </w:pPr>
      <w:r w:rsidRPr="00D829DF">
        <w:rPr>
          <w:rStyle w:val="Refdenotaalpie"/>
          <w:rFonts w:ascii="Century" w:hAnsi="Century"/>
          <w:sz w:val="18"/>
        </w:rPr>
        <w:footnoteRef/>
      </w:r>
      <w:r w:rsidRPr="00D829DF">
        <w:rPr>
          <w:rFonts w:ascii="Century" w:hAnsi="Century"/>
          <w:sz w:val="18"/>
        </w:rPr>
        <w:t xml:space="preserve"> </w:t>
      </w:r>
      <w:r w:rsidRPr="00D829DF">
        <w:rPr>
          <w:rFonts w:ascii="Century" w:hAnsi="Century"/>
          <w:sz w:val="18"/>
          <w:lang w:val="es-CO"/>
        </w:rPr>
        <w:t xml:space="preserve">CSJ. Sala Civil. Sentencia del 17-09-1992; </w:t>
      </w:r>
      <w:proofErr w:type="spellStart"/>
      <w:r w:rsidRPr="00D829DF">
        <w:rPr>
          <w:rFonts w:ascii="Century" w:hAnsi="Century"/>
          <w:sz w:val="18"/>
          <w:lang w:val="es-CO"/>
        </w:rPr>
        <w:t>MP</w:t>
      </w:r>
      <w:proofErr w:type="spellEnd"/>
      <w:r w:rsidRPr="00D829DF">
        <w:rPr>
          <w:rFonts w:ascii="Century" w:hAnsi="Century"/>
          <w:sz w:val="18"/>
          <w:lang w:val="es-CO"/>
        </w:rPr>
        <w:t>: Ospina B.</w:t>
      </w:r>
    </w:p>
  </w:footnote>
  <w:footnote w:id="7">
    <w:p w:rsidR="008D4F8E" w:rsidRPr="00D829DF" w:rsidRDefault="008D4F8E" w:rsidP="00D829DF">
      <w:pPr>
        <w:pStyle w:val="Textonotapie"/>
        <w:jc w:val="both"/>
        <w:rPr>
          <w:rFonts w:ascii="Century" w:hAnsi="Century"/>
          <w:sz w:val="18"/>
        </w:rPr>
      </w:pPr>
      <w:r w:rsidRPr="00D829DF">
        <w:rPr>
          <w:rStyle w:val="Refdenotaalpie"/>
          <w:rFonts w:ascii="Century" w:hAnsi="Century"/>
          <w:sz w:val="18"/>
        </w:rPr>
        <w:footnoteRef/>
      </w:r>
      <w:r w:rsidRPr="00D829DF">
        <w:rPr>
          <w:rFonts w:ascii="Century" w:hAnsi="Century"/>
          <w:sz w:val="18"/>
        </w:rPr>
        <w:t xml:space="preserve"> </w:t>
      </w:r>
      <w:r w:rsidRPr="00D829DF">
        <w:rPr>
          <w:rFonts w:ascii="Century" w:hAnsi="Century"/>
          <w:sz w:val="18"/>
          <w:lang w:val="es-CO"/>
        </w:rPr>
        <w:t>CSJ. STC12737-2017.</w:t>
      </w:r>
    </w:p>
  </w:footnote>
  <w:footnote w:id="8">
    <w:p w:rsidR="008D4F8E" w:rsidRPr="00D829DF" w:rsidRDefault="008D4F8E" w:rsidP="00D829DF">
      <w:pPr>
        <w:pStyle w:val="Textonotapie"/>
        <w:jc w:val="both"/>
        <w:rPr>
          <w:rFonts w:ascii="Century" w:hAnsi="Century"/>
          <w:sz w:val="18"/>
        </w:rPr>
      </w:pPr>
      <w:r w:rsidRPr="00D829DF">
        <w:rPr>
          <w:rStyle w:val="Refdenotaalpie"/>
          <w:rFonts w:ascii="Century" w:hAnsi="Century"/>
          <w:sz w:val="18"/>
        </w:rPr>
        <w:footnoteRef/>
      </w:r>
      <w:r w:rsidRPr="00D829DF">
        <w:rPr>
          <w:rFonts w:ascii="Century" w:hAnsi="Century"/>
          <w:sz w:val="18"/>
        </w:rPr>
        <w:t xml:space="preserve"> </w:t>
      </w:r>
      <w:r w:rsidRPr="00D829DF">
        <w:rPr>
          <w:rFonts w:ascii="Century" w:hAnsi="Century"/>
          <w:sz w:val="18"/>
          <w:lang w:val="es-CO"/>
        </w:rPr>
        <w:t>LÓPEZ B., Hernán F.</w:t>
      </w:r>
      <w:r w:rsidRPr="00D829DF">
        <w:rPr>
          <w:rFonts w:ascii="Century" w:hAnsi="Century"/>
          <w:sz w:val="18"/>
        </w:rPr>
        <w:t xml:space="preserve"> Ob. cit., p.776.</w:t>
      </w:r>
    </w:p>
  </w:footnote>
  <w:footnote w:id="9">
    <w:p w:rsidR="008D4F8E" w:rsidRPr="00D829DF" w:rsidRDefault="008D4F8E" w:rsidP="00D829DF">
      <w:pPr>
        <w:pStyle w:val="Textonotapie"/>
        <w:jc w:val="both"/>
        <w:rPr>
          <w:rFonts w:ascii="Century" w:hAnsi="Century"/>
          <w:sz w:val="18"/>
        </w:rPr>
      </w:pPr>
      <w:r w:rsidRPr="00D829DF">
        <w:rPr>
          <w:rStyle w:val="Refdenotaalpie"/>
          <w:rFonts w:ascii="Century" w:hAnsi="Century"/>
          <w:sz w:val="18"/>
        </w:rPr>
        <w:footnoteRef/>
      </w:r>
      <w:r w:rsidRPr="00D829DF">
        <w:rPr>
          <w:rFonts w:ascii="Century" w:hAnsi="Century"/>
          <w:sz w:val="18"/>
        </w:rPr>
        <w:t xml:space="preserve"> </w:t>
      </w:r>
      <w:r w:rsidRPr="00D829DF">
        <w:rPr>
          <w:rFonts w:ascii="Century" w:hAnsi="Century"/>
          <w:sz w:val="18"/>
          <w:lang w:val="es-CO"/>
        </w:rPr>
        <w:t xml:space="preserve">ROJAS G., Miguel E. Código General del Proceso comentado, </w:t>
      </w:r>
      <w:proofErr w:type="spellStart"/>
      <w:r w:rsidRPr="00D829DF">
        <w:rPr>
          <w:rFonts w:ascii="Century" w:hAnsi="Century"/>
          <w:sz w:val="18"/>
          <w:lang w:val="es-CO"/>
        </w:rPr>
        <w:t>ESAJU</w:t>
      </w:r>
      <w:proofErr w:type="spellEnd"/>
      <w:r w:rsidRPr="00D829DF">
        <w:rPr>
          <w:rFonts w:ascii="Century" w:hAnsi="Century"/>
          <w:sz w:val="18"/>
          <w:lang w:val="es-CO"/>
        </w:rPr>
        <w:t>, 2017, Bogotá DC, p.511.</w:t>
      </w:r>
    </w:p>
  </w:footnote>
  <w:footnote w:id="10">
    <w:p w:rsidR="0005335E" w:rsidRPr="00D829DF" w:rsidRDefault="0005335E" w:rsidP="00D829DF">
      <w:pPr>
        <w:pStyle w:val="Sinespaciado"/>
        <w:jc w:val="both"/>
        <w:rPr>
          <w:rFonts w:ascii="Century" w:hAnsi="Century" w:cs="Times New Roman"/>
          <w:sz w:val="18"/>
          <w:szCs w:val="20"/>
        </w:rPr>
      </w:pPr>
      <w:r w:rsidRPr="00D829DF">
        <w:rPr>
          <w:rFonts w:ascii="Century" w:hAnsi="Century" w:cs="Times New Roman"/>
          <w:sz w:val="18"/>
          <w:szCs w:val="20"/>
          <w:vertAlign w:val="superscript"/>
        </w:rPr>
        <w:footnoteRef/>
      </w:r>
      <w:r w:rsidRPr="00D829DF">
        <w:rPr>
          <w:rFonts w:ascii="Century" w:hAnsi="Century" w:cs="Times New Roman"/>
          <w:sz w:val="18"/>
          <w:szCs w:val="20"/>
        </w:rPr>
        <w:t xml:space="preserve"> </w:t>
      </w:r>
      <w:r w:rsidRPr="00D829DF">
        <w:rPr>
          <w:rFonts w:ascii="Century" w:hAnsi="Century" w:cs="Times New Roman"/>
          <w:sz w:val="18"/>
          <w:szCs w:val="20"/>
          <w:lang w:val="es-CO"/>
        </w:rPr>
        <w:t>LÓPEZ B., Hernán F.</w:t>
      </w:r>
      <w:r w:rsidRPr="00D829DF">
        <w:rPr>
          <w:rFonts w:ascii="Century" w:hAnsi="Century" w:cs="Times New Roman"/>
          <w:sz w:val="18"/>
          <w:szCs w:val="20"/>
        </w:rPr>
        <w:t xml:space="preserve"> Ob. cit., p.778.</w:t>
      </w:r>
    </w:p>
  </w:footnote>
  <w:footnote w:id="11">
    <w:p w:rsidR="0005335E" w:rsidRPr="00D829DF" w:rsidRDefault="0005335E" w:rsidP="00D829DF">
      <w:pPr>
        <w:pStyle w:val="Textonotapie"/>
        <w:jc w:val="both"/>
        <w:rPr>
          <w:rFonts w:ascii="Century" w:hAnsi="Century"/>
          <w:sz w:val="18"/>
        </w:rPr>
      </w:pPr>
      <w:r w:rsidRPr="00D829DF">
        <w:rPr>
          <w:rStyle w:val="Refdenotaalpie"/>
          <w:rFonts w:ascii="Century" w:hAnsi="Century"/>
          <w:sz w:val="18"/>
        </w:rPr>
        <w:footnoteRef/>
      </w:r>
      <w:r w:rsidRPr="00D829DF">
        <w:rPr>
          <w:rFonts w:ascii="Century" w:hAnsi="Century"/>
          <w:sz w:val="18"/>
        </w:rPr>
        <w:t xml:space="preserve"> </w:t>
      </w:r>
      <w:r w:rsidRPr="00D829DF">
        <w:rPr>
          <w:rFonts w:ascii="Century" w:hAnsi="Century"/>
          <w:sz w:val="18"/>
          <w:lang w:val="es-CO"/>
        </w:rPr>
        <w:t>ROJAS G., Miguel E.</w:t>
      </w:r>
      <w:r w:rsidRPr="00D829DF">
        <w:rPr>
          <w:rFonts w:ascii="Century" w:hAnsi="Century"/>
          <w:sz w:val="18"/>
        </w:rPr>
        <w:t xml:space="preserve"> Lecciones de derecho procesal, Teoría del proceso, tomo I, </w:t>
      </w:r>
      <w:proofErr w:type="spellStart"/>
      <w:r w:rsidRPr="00D829DF">
        <w:rPr>
          <w:rFonts w:ascii="Century" w:hAnsi="Century"/>
          <w:sz w:val="18"/>
          <w:lang w:val="es-CO"/>
        </w:rPr>
        <w:t>ESAJU</w:t>
      </w:r>
      <w:proofErr w:type="spellEnd"/>
      <w:r w:rsidRPr="00D829DF">
        <w:rPr>
          <w:rFonts w:ascii="Century" w:hAnsi="Century"/>
          <w:sz w:val="18"/>
        </w:rPr>
        <w:t>, 3ª edición, 2013, Bogotá DC, p.204.</w:t>
      </w:r>
    </w:p>
  </w:footnote>
  <w:footnote w:id="12">
    <w:p w:rsidR="00C545C3" w:rsidRPr="00D829DF" w:rsidRDefault="00C545C3" w:rsidP="00D829DF">
      <w:pPr>
        <w:pStyle w:val="Textonotapie"/>
        <w:jc w:val="both"/>
        <w:rPr>
          <w:rFonts w:ascii="Century" w:hAnsi="Century"/>
          <w:sz w:val="18"/>
          <w:lang w:val="es-CO"/>
        </w:rPr>
      </w:pPr>
      <w:r w:rsidRPr="00D829DF">
        <w:rPr>
          <w:rStyle w:val="Refdenotaalpie"/>
          <w:rFonts w:ascii="Century" w:hAnsi="Century"/>
          <w:sz w:val="18"/>
        </w:rPr>
        <w:footnoteRef/>
      </w:r>
      <w:r w:rsidRPr="00D829DF">
        <w:rPr>
          <w:rFonts w:ascii="Century" w:hAnsi="Century"/>
          <w:sz w:val="18"/>
        </w:rPr>
        <w:t xml:space="preserve"> </w:t>
      </w:r>
      <w:r w:rsidR="003E05A3" w:rsidRPr="00D829DF">
        <w:rPr>
          <w:rFonts w:ascii="Century" w:hAnsi="Century"/>
          <w:sz w:val="18"/>
          <w:lang w:val="es-CO"/>
        </w:rPr>
        <w:t>LÓPEZ B., Hernán F.</w:t>
      </w:r>
      <w:r w:rsidRPr="00D829DF">
        <w:rPr>
          <w:rFonts w:ascii="Century" w:hAnsi="Century"/>
          <w:sz w:val="18"/>
        </w:rPr>
        <w:t xml:space="preserve"> ob. cit., p.880</w:t>
      </w:r>
      <w:r w:rsidRPr="00D829DF">
        <w:rPr>
          <w:rFonts w:ascii="Century" w:hAnsi="Century" w:cs="Calibri"/>
          <w:sz w:val="18"/>
        </w:rPr>
        <w:t>.</w:t>
      </w:r>
    </w:p>
  </w:footnote>
  <w:footnote w:id="13">
    <w:p w:rsidR="0005335E" w:rsidRPr="00D829DF" w:rsidRDefault="0005335E" w:rsidP="00D829DF">
      <w:pPr>
        <w:pStyle w:val="Textonotapie"/>
        <w:jc w:val="both"/>
        <w:rPr>
          <w:rFonts w:ascii="Century" w:hAnsi="Century"/>
          <w:sz w:val="18"/>
          <w:lang w:val="es-CO"/>
        </w:rPr>
      </w:pPr>
      <w:r w:rsidRPr="00D829DF">
        <w:rPr>
          <w:rStyle w:val="Refdenotaalpie"/>
          <w:rFonts w:ascii="Century" w:hAnsi="Century"/>
          <w:sz w:val="18"/>
        </w:rPr>
        <w:footnoteRef/>
      </w:r>
      <w:r w:rsidRPr="00D829DF">
        <w:rPr>
          <w:rFonts w:ascii="Century" w:hAnsi="Century"/>
          <w:sz w:val="18"/>
        </w:rPr>
        <w:t xml:space="preserve"> </w:t>
      </w:r>
      <w:r w:rsidRPr="00D829DF">
        <w:rPr>
          <w:rFonts w:ascii="Century" w:hAnsi="Century"/>
          <w:sz w:val="18"/>
          <w:lang w:val="es-CO"/>
        </w:rPr>
        <w:t xml:space="preserve">CSJ. </w:t>
      </w:r>
      <w:r w:rsidR="00204422" w:rsidRPr="00D829DF">
        <w:rPr>
          <w:rFonts w:ascii="Century" w:hAnsi="Century"/>
          <w:sz w:val="18"/>
          <w:lang w:val="es-CO"/>
        </w:rPr>
        <w:t>AC584-2017</w:t>
      </w:r>
      <w:r w:rsidRPr="00D829DF">
        <w:rPr>
          <w:rFonts w:ascii="Century" w:hAnsi="Century"/>
          <w:sz w:val="18"/>
          <w:lang w:val="es-CO"/>
        </w:rPr>
        <w:t>.</w:t>
      </w:r>
    </w:p>
  </w:footnote>
  <w:footnote w:id="14">
    <w:p w:rsidR="00B15897" w:rsidRPr="00D829DF" w:rsidRDefault="00B15897" w:rsidP="00D829DF">
      <w:pPr>
        <w:pStyle w:val="Textonotapie"/>
        <w:jc w:val="both"/>
        <w:rPr>
          <w:rFonts w:ascii="Century" w:hAnsi="Century"/>
          <w:sz w:val="18"/>
          <w:lang w:val="es-CO"/>
        </w:rPr>
      </w:pPr>
      <w:r w:rsidRPr="00D829DF">
        <w:rPr>
          <w:rStyle w:val="Refdenotaalpie"/>
          <w:rFonts w:ascii="Century" w:hAnsi="Century"/>
          <w:sz w:val="18"/>
        </w:rPr>
        <w:footnoteRef/>
      </w:r>
      <w:r w:rsidRPr="00D829DF">
        <w:rPr>
          <w:rFonts w:ascii="Century" w:hAnsi="Century"/>
          <w:sz w:val="18"/>
        </w:rPr>
        <w:t xml:space="preserve"> </w:t>
      </w:r>
      <w:r w:rsidRPr="00D829DF">
        <w:rPr>
          <w:rFonts w:ascii="Century" w:hAnsi="Century"/>
          <w:sz w:val="18"/>
          <w:lang w:val="es-CO"/>
        </w:rPr>
        <w:t>CSJ. AC4387-2019.</w:t>
      </w:r>
    </w:p>
  </w:footnote>
  <w:footnote w:id="15">
    <w:p w:rsidR="00642AD4" w:rsidRPr="00D829DF" w:rsidRDefault="00642AD4" w:rsidP="00D829DF">
      <w:pPr>
        <w:pStyle w:val="Textonotapie"/>
        <w:jc w:val="both"/>
        <w:rPr>
          <w:rFonts w:ascii="Century" w:hAnsi="Century"/>
          <w:sz w:val="18"/>
        </w:rPr>
      </w:pPr>
      <w:r w:rsidRPr="00D829DF">
        <w:rPr>
          <w:rFonts w:ascii="Century" w:hAnsi="Century"/>
          <w:sz w:val="18"/>
          <w:vertAlign w:val="superscript"/>
          <w:lang w:val="es-CO"/>
        </w:rPr>
        <w:footnoteRef/>
      </w:r>
      <w:r w:rsidRPr="00D829DF">
        <w:rPr>
          <w:rFonts w:ascii="Century" w:hAnsi="Century"/>
          <w:sz w:val="18"/>
          <w:lang w:val="es-CO"/>
        </w:rPr>
        <w:t xml:space="preserve"> ROJAS G., Miguel E. Lecciones de derecho procesal, Procedimiento civil, tomo II</w:t>
      </w:r>
      <w:r w:rsidR="00F819BA" w:rsidRPr="00D829DF">
        <w:rPr>
          <w:rFonts w:ascii="Century" w:hAnsi="Century"/>
          <w:sz w:val="18"/>
          <w:lang w:val="es-CO"/>
        </w:rPr>
        <w:t>.</w:t>
      </w:r>
      <w:r w:rsidRPr="00D829DF">
        <w:rPr>
          <w:rFonts w:ascii="Century" w:hAnsi="Century"/>
          <w:sz w:val="18"/>
          <w:lang w:val="es-CO"/>
        </w:rPr>
        <w:t xml:space="preserve"> </w:t>
      </w:r>
      <w:r w:rsidR="00F819BA" w:rsidRPr="00D829DF">
        <w:rPr>
          <w:rFonts w:ascii="Century" w:hAnsi="Century"/>
          <w:sz w:val="18"/>
          <w:lang w:val="es-CO"/>
        </w:rPr>
        <w:t>Ob. cit.</w:t>
      </w:r>
      <w:r w:rsidRPr="00D829DF">
        <w:rPr>
          <w:rFonts w:ascii="Century" w:hAnsi="Century"/>
          <w:sz w:val="18"/>
        </w:rPr>
        <w:t>, p.448</w:t>
      </w:r>
      <w:r w:rsidRPr="00D829DF">
        <w:rPr>
          <w:rFonts w:ascii="Century" w:hAnsi="Century"/>
          <w:sz w:val="18"/>
          <w:lang w:val="es-CO"/>
        </w:rPr>
        <w:t>.</w:t>
      </w:r>
    </w:p>
  </w:footnote>
  <w:footnote w:id="16">
    <w:p w:rsidR="00642AD4" w:rsidRPr="00D829DF" w:rsidRDefault="00642AD4" w:rsidP="00D829DF">
      <w:pPr>
        <w:pStyle w:val="Textonotapie"/>
        <w:jc w:val="both"/>
        <w:rPr>
          <w:rFonts w:ascii="Century" w:hAnsi="Century"/>
          <w:sz w:val="18"/>
        </w:rPr>
      </w:pPr>
      <w:r w:rsidRPr="00D829DF">
        <w:rPr>
          <w:rFonts w:ascii="Century" w:hAnsi="Century"/>
          <w:sz w:val="18"/>
          <w:vertAlign w:val="superscript"/>
          <w:lang w:val="es-CO"/>
        </w:rPr>
        <w:footnoteRef/>
      </w:r>
      <w:r w:rsidRPr="00D829DF">
        <w:rPr>
          <w:rFonts w:ascii="Century" w:hAnsi="Century"/>
          <w:sz w:val="18"/>
          <w:lang w:val="es-CO"/>
        </w:rPr>
        <w:t xml:space="preserve"> </w:t>
      </w:r>
      <w:proofErr w:type="spellStart"/>
      <w:r w:rsidRPr="00D829DF">
        <w:rPr>
          <w:rFonts w:ascii="Century" w:hAnsi="Century"/>
          <w:sz w:val="18"/>
          <w:lang w:val="es-CO"/>
        </w:rPr>
        <w:t>DEVIS</w:t>
      </w:r>
      <w:proofErr w:type="spellEnd"/>
      <w:r w:rsidRPr="00D829DF">
        <w:rPr>
          <w:rFonts w:ascii="Century" w:hAnsi="Century"/>
          <w:sz w:val="18"/>
          <w:lang w:val="es-CO"/>
        </w:rPr>
        <w:t xml:space="preserve"> E., Hernando. El proceso civil, parte general, 1990, Bogotá DC, </w:t>
      </w:r>
      <w:proofErr w:type="spellStart"/>
      <w:r w:rsidRPr="00D829DF">
        <w:rPr>
          <w:rFonts w:ascii="Century" w:hAnsi="Century"/>
          <w:sz w:val="18"/>
          <w:lang w:val="es-CO"/>
        </w:rPr>
        <w:t>Diké</w:t>
      </w:r>
      <w:proofErr w:type="spellEnd"/>
      <w:r w:rsidRPr="00D829DF">
        <w:rPr>
          <w:rFonts w:ascii="Century" w:hAnsi="Century"/>
          <w:sz w:val="18"/>
          <w:lang w:val="es-CO"/>
        </w:rPr>
        <w:t>, p.341.</w:t>
      </w:r>
    </w:p>
  </w:footnote>
  <w:footnote w:id="17">
    <w:p w:rsidR="00F819BA" w:rsidRPr="00D829DF" w:rsidRDefault="00F819BA" w:rsidP="00D829DF">
      <w:pPr>
        <w:pStyle w:val="Textonotapie"/>
        <w:jc w:val="both"/>
        <w:rPr>
          <w:rFonts w:ascii="Century" w:hAnsi="Century"/>
          <w:sz w:val="18"/>
          <w:lang w:val="es-CO"/>
        </w:rPr>
      </w:pPr>
      <w:r w:rsidRPr="00D829DF">
        <w:rPr>
          <w:rStyle w:val="Refdenotaalpie"/>
          <w:rFonts w:ascii="Century" w:hAnsi="Century"/>
          <w:sz w:val="18"/>
        </w:rPr>
        <w:footnoteRef/>
      </w:r>
      <w:r w:rsidRPr="00D829DF">
        <w:rPr>
          <w:rFonts w:ascii="Century" w:hAnsi="Century"/>
          <w:sz w:val="18"/>
        </w:rPr>
        <w:t xml:space="preserve"> </w:t>
      </w:r>
      <w:r w:rsidRPr="00D829DF">
        <w:rPr>
          <w:rFonts w:ascii="Century" w:hAnsi="Century"/>
          <w:sz w:val="18"/>
          <w:lang w:val="es-CO"/>
        </w:rPr>
        <w:t>CC.  C-153 de 1995.</w:t>
      </w:r>
    </w:p>
  </w:footnote>
  <w:footnote w:id="18">
    <w:p w:rsidR="00F819BA" w:rsidRPr="00D829DF" w:rsidRDefault="00F819BA" w:rsidP="00D829DF">
      <w:pPr>
        <w:pStyle w:val="Textonotapie"/>
        <w:jc w:val="both"/>
        <w:rPr>
          <w:rFonts w:ascii="Century" w:hAnsi="Century"/>
          <w:sz w:val="18"/>
          <w:lang w:val="es-CO"/>
        </w:rPr>
      </w:pPr>
      <w:r w:rsidRPr="00D829DF">
        <w:rPr>
          <w:rStyle w:val="Refdenotaalpie"/>
          <w:rFonts w:ascii="Century" w:hAnsi="Century"/>
          <w:sz w:val="18"/>
        </w:rPr>
        <w:footnoteRef/>
      </w:r>
      <w:r w:rsidRPr="00D829DF">
        <w:rPr>
          <w:rFonts w:ascii="Century" w:hAnsi="Century"/>
          <w:sz w:val="18"/>
        </w:rPr>
        <w:t xml:space="preserve"> </w:t>
      </w:r>
      <w:r w:rsidRPr="00D829DF">
        <w:rPr>
          <w:rFonts w:ascii="Century" w:hAnsi="Century"/>
          <w:sz w:val="18"/>
          <w:lang w:val="es-CO"/>
        </w:rPr>
        <w:t>CC.  C-282 de 2017.</w:t>
      </w:r>
    </w:p>
  </w:footnote>
  <w:footnote w:id="19">
    <w:p w:rsidR="00642AD4" w:rsidRPr="00D829DF" w:rsidRDefault="00642AD4" w:rsidP="00D829DF">
      <w:pPr>
        <w:pStyle w:val="Sinespaciado"/>
        <w:jc w:val="both"/>
        <w:rPr>
          <w:rFonts w:ascii="Century" w:hAnsi="Century" w:cs="Times New Roman"/>
          <w:sz w:val="18"/>
          <w:szCs w:val="20"/>
        </w:rPr>
      </w:pPr>
      <w:r w:rsidRPr="00D829DF">
        <w:rPr>
          <w:rFonts w:ascii="Century" w:hAnsi="Century" w:cs="Times New Roman"/>
          <w:sz w:val="18"/>
          <w:szCs w:val="20"/>
          <w:vertAlign w:val="superscript"/>
          <w:lang w:val="es-CO"/>
        </w:rPr>
        <w:footnoteRef/>
      </w:r>
      <w:r w:rsidRPr="00D829DF">
        <w:rPr>
          <w:rFonts w:ascii="Century" w:hAnsi="Century" w:cs="Times New Roman"/>
          <w:sz w:val="18"/>
          <w:szCs w:val="20"/>
          <w:lang w:val="es-CO"/>
        </w:rPr>
        <w:t xml:space="preserve"> LÓPEZ B., Hernán F. </w:t>
      </w:r>
      <w:r w:rsidR="00F819BA" w:rsidRPr="00D829DF">
        <w:rPr>
          <w:rFonts w:ascii="Century" w:hAnsi="Century" w:cs="Times New Roman"/>
          <w:sz w:val="18"/>
          <w:szCs w:val="20"/>
          <w:lang w:val="es-CO"/>
        </w:rPr>
        <w:t>Ob. cit.</w:t>
      </w:r>
      <w:r w:rsidRPr="00D829DF">
        <w:rPr>
          <w:rFonts w:ascii="Century" w:hAnsi="Century" w:cs="Times New Roman"/>
          <w:sz w:val="18"/>
          <w:szCs w:val="20"/>
          <w:lang w:val="es-CO"/>
        </w:rPr>
        <w:t>, p.792.</w:t>
      </w:r>
    </w:p>
  </w:footnote>
  <w:footnote w:id="20">
    <w:p w:rsidR="00642AD4" w:rsidRPr="00D829DF" w:rsidRDefault="00642AD4" w:rsidP="00D829DF">
      <w:pPr>
        <w:pStyle w:val="Textonotapie"/>
        <w:jc w:val="both"/>
        <w:rPr>
          <w:sz w:val="18"/>
        </w:rPr>
      </w:pPr>
      <w:r w:rsidRPr="00D829DF">
        <w:rPr>
          <w:rFonts w:ascii="Century" w:hAnsi="Century"/>
          <w:sz w:val="18"/>
          <w:vertAlign w:val="superscript"/>
          <w:lang w:val="es-CO"/>
        </w:rPr>
        <w:footnoteRef/>
      </w:r>
      <w:r w:rsidRPr="00D829DF">
        <w:rPr>
          <w:rFonts w:ascii="Century" w:hAnsi="Century"/>
          <w:sz w:val="18"/>
          <w:lang w:val="es-CO"/>
        </w:rPr>
        <w:t xml:space="preserve"> ROJAS G., Miguel E. Código General del Proceso, comentado </w:t>
      </w:r>
      <w:r w:rsidR="00F819BA" w:rsidRPr="00D829DF">
        <w:rPr>
          <w:rFonts w:ascii="Century" w:hAnsi="Century"/>
          <w:sz w:val="18"/>
          <w:lang w:val="es-CO"/>
        </w:rPr>
        <w:t>Ob. cit.,</w:t>
      </w:r>
      <w:r w:rsidRPr="00D829DF">
        <w:rPr>
          <w:rFonts w:ascii="Century" w:hAnsi="Century"/>
          <w:sz w:val="18"/>
        </w:rPr>
        <w:t xml:space="preserve"> p.506</w:t>
      </w:r>
      <w:r w:rsidRPr="00D829DF">
        <w:rPr>
          <w:rFonts w:ascii="Century" w:hAnsi="Century"/>
          <w:sz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6" w:rsidRDefault="00D92F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C2" w:rsidRPr="006F2303" w:rsidRDefault="00CF2BC2" w:rsidP="00D279DF">
    <w:pPr>
      <w:pStyle w:val="Encabezado"/>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7C7752">
      <w:rPr>
        <w:rFonts w:ascii="Calibri" w:hAnsi="Calibri" w:cs="Calibri"/>
        <w:noProof/>
      </w:rPr>
      <w:t>5</w:t>
    </w:r>
    <w:r w:rsidRPr="006F2303">
      <w:rPr>
        <w:rFonts w:ascii="Calibri" w:hAnsi="Calibri" w:cs="Calibri"/>
      </w:rPr>
      <w:fldChar w:fldCharType="end"/>
    </w:r>
  </w:p>
  <w:p w:rsidR="00CF2BC2" w:rsidRPr="00325EFF" w:rsidRDefault="00CF2BC2" w:rsidP="00325EFF">
    <w:pPr>
      <w:pStyle w:val="Encabezado"/>
      <w:ind w:right="360"/>
      <w:jc w:val="both"/>
      <w:rPr>
        <w:rFonts w:ascii="Calibri" w:hAnsi="Calibri" w:cs="Calibri"/>
      </w:rPr>
    </w:pPr>
    <w:r w:rsidRPr="006F2303">
      <w:rPr>
        <w:rFonts w:ascii="Calibri" w:hAnsi="Calibri" w:cs="Calibri"/>
        <w:i/>
        <w:iCs/>
        <w:sz w:val="28"/>
        <w:szCs w:val="28"/>
      </w:rPr>
      <w:t>E</w:t>
    </w:r>
    <w:r w:rsidRPr="006F2303">
      <w:rPr>
        <w:rFonts w:ascii="Calibri" w:hAnsi="Calibri" w:cs="Calibri"/>
        <w:i/>
        <w:iCs/>
      </w:rPr>
      <w:t>XPEDIENTE No.</w:t>
    </w:r>
    <w:r w:rsidR="00D92FE6">
      <w:rPr>
        <w:rFonts w:ascii="Calibri" w:hAnsi="Calibri" w:cs="Calibri"/>
        <w:i/>
        <w:iCs/>
      </w:rPr>
      <w:t xml:space="preserve"> </w:t>
    </w:r>
    <w:r w:rsidRPr="006F2303">
      <w:rPr>
        <w:rFonts w:ascii="Calibri" w:hAnsi="Calibri" w:cs="Calibri"/>
        <w:i/>
        <w:iCs/>
      </w:rPr>
      <w:t>20</w:t>
    </w:r>
    <w:r w:rsidR="005B0036">
      <w:rPr>
        <w:rFonts w:ascii="Calibri" w:hAnsi="Calibri" w:cs="Calibri"/>
        <w:i/>
        <w:iCs/>
      </w:rPr>
      <w:t>1</w:t>
    </w:r>
    <w:r w:rsidR="008D4F8E">
      <w:rPr>
        <w:rFonts w:ascii="Calibri" w:hAnsi="Calibri" w:cs="Calibri"/>
        <w:i/>
        <w:iCs/>
      </w:rPr>
      <w:t>6</w:t>
    </w:r>
    <w:r w:rsidRPr="006F2303">
      <w:rPr>
        <w:rFonts w:ascii="Calibri" w:hAnsi="Calibri" w:cs="Calibri"/>
        <w:i/>
        <w:iCs/>
      </w:rPr>
      <w:t>-00</w:t>
    </w:r>
    <w:r w:rsidR="008D4F8E">
      <w:rPr>
        <w:rFonts w:ascii="Calibri" w:hAnsi="Calibri" w:cs="Calibri"/>
        <w:i/>
        <w:iCs/>
      </w:rPr>
      <w:t>662</w:t>
    </w:r>
    <w:r w:rsidRPr="006F2303">
      <w:rPr>
        <w:rFonts w:ascii="Calibri" w:hAnsi="Calibri" w:cs="Calibri"/>
        <w:i/>
        <w:iCs/>
      </w:rPr>
      <w:t>-0</w:t>
    </w:r>
    <w:r w:rsidR="008D4F8E">
      <w:rPr>
        <w:rFonts w:ascii="Calibri" w:hAnsi="Calibri" w:cs="Calibri"/>
        <w:i/>
        <w:iCs/>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E6" w:rsidRDefault="00D92F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155E6D5D"/>
    <w:multiLevelType w:val="multilevel"/>
    <w:tmpl w:val="B72EF83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2DA53BD3"/>
    <w:multiLevelType w:val="hybridMultilevel"/>
    <w:tmpl w:val="80E2D34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52D329C7"/>
    <w:multiLevelType w:val="multilevel"/>
    <w:tmpl w:val="EDC67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69BE7731"/>
    <w:multiLevelType w:val="multilevel"/>
    <w:tmpl w:val="E62473B6"/>
    <w:lvl w:ilvl="0">
      <w:start w:val="4"/>
      <w:numFmt w:val="decimal"/>
      <w:lvlText w:val="%1."/>
      <w:lvlJc w:val="left"/>
      <w:pPr>
        <w:ind w:left="400" w:hanging="400"/>
      </w:pPr>
      <w:rPr>
        <w:rFonts w:hint="default"/>
        <w:sz w:val="24"/>
        <w:szCs w:val="24"/>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C8"/>
    <w:rsid w:val="0000074F"/>
    <w:rsid w:val="000037BB"/>
    <w:rsid w:val="00024513"/>
    <w:rsid w:val="00024962"/>
    <w:rsid w:val="000257D4"/>
    <w:rsid w:val="00026A0B"/>
    <w:rsid w:val="000277D9"/>
    <w:rsid w:val="00032170"/>
    <w:rsid w:val="00033C34"/>
    <w:rsid w:val="0004057A"/>
    <w:rsid w:val="00041035"/>
    <w:rsid w:val="00045583"/>
    <w:rsid w:val="0005335E"/>
    <w:rsid w:val="00073FC1"/>
    <w:rsid w:val="00082B69"/>
    <w:rsid w:val="0008352A"/>
    <w:rsid w:val="00084C89"/>
    <w:rsid w:val="00095957"/>
    <w:rsid w:val="0009631B"/>
    <w:rsid w:val="000A0D0F"/>
    <w:rsid w:val="000A3570"/>
    <w:rsid w:val="000A6D32"/>
    <w:rsid w:val="000B0AA5"/>
    <w:rsid w:val="000C072E"/>
    <w:rsid w:val="000C0AD3"/>
    <w:rsid w:val="000D198F"/>
    <w:rsid w:val="000D571D"/>
    <w:rsid w:val="000E0A1E"/>
    <w:rsid w:val="000E35DB"/>
    <w:rsid w:val="000E770D"/>
    <w:rsid w:val="000F0859"/>
    <w:rsid w:val="000F3C9E"/>
    <w:rsid w:val="00103097"/>
    <w:rsid w:val="00103F51"/>
    <w:rsid w:val="00121C98"/>
    <w:rsid w:val="0012212E"/>
    <w:rsid w:val="00123173"/>
    <w:rsid w:val="00125206"/>
    <w:rsid w:val="0012615B"/>
    <w:rsid w:val="001261EC"/>
    <w:rsid w:val="0012762C"/>
    <w:rsid w:val="001333D9"/>
    <w:rsid w:val="00133642"/>
    <w:rsid w:val="00134343"/>
    <w:rsid w:val="00136209"/>
    <w:rsid w:val="0013799C"/>
    <w:rsid w:val="0014171F"/>
    <w:rsid w:val="00144F59"/>
    <w:rsid w:val="001469BE"/>
    <w:rsid w:val="00147B6F"/>
    <w:rsid w:val="00154E71"/>
    <w:rsid w:val="001605CE"/>
    <w:rsid w:val="001720A4"/>
    <w:rsid w:val="00176FCE"/>
    <w:rsid w:val="00181456"/>
    <w:rsid w:val="00182CE6"/>
    <w:rsid w:val="00187F98"/>
    <w:rsid w:val="00193EF3"/>
    <w:rsid w:val="00195679"/>
    <w:rsid w:val="001A04E5"/>
    <w:rsid w:val="001B103C"/>
    <w:rsid w:val="001B51FB"/>
    <w:rsid w:val="001C3FEE"/>
    <w:rsid w:val="001C486D"/>
    <w:rsid w:val="001D022B"/>
    <w:rsid w:val="001D1A8E"/>
    <w:rsid w:val="001D345B"/>
    <w:rsid w:val="001D35E7"/>
    <w:rsid w:val="001E15ED"/>
    <w:rsid w:val="001E217C"/>
    <w:rsid w:val="001E507E"/>
    <w:rsid w:val="001E5F3E"/>
    <w:rsid w:val="001E6028"/>
    <w:rsid w:val="001E6688"/>
    <w:rsid w:val="001E7E1D"/>
    <w:rsid w:val="001F061C"/>
    <w:rsid w:val="001F1AC3"/>
    <w:rsid w:val="001F7989"/>
    <w:rsid w:val="00202278"/>
    <w:rsid w:val="00202459"/>
    <w:rsid w:val="00204422"/>
    <w:rsid w:val="002069DC"/>
    <w:rsid w:val="0021100C"/>
    <w:rsid w:val="00214826"/>
    <w:rsid w:val="00225EBD"/>
    <w:rsid w:val="00231A7F"/>
    <w:rsid w:val="00231C63"/>
    <w:rsid w:val="00231EC9"/>
    <w:rsid w:val="0023594A"/>
    <w:rsid w:val="00237760"/>
    <w:rsid w:val="00237DB5"/>
    <w:rsid w:val="00241D5D"/>
    <w:rsid w:val="0024283A"/>
    <w:rsid w:val="00244FE8"/>
    <w:rsid w:val="0024635D"/>
    <w:rsid w:val="002508C8"/>
    <w:rsid w:val="00250A89"/>
    <w:rsid w:val="00262AA5"/>
    <w:rsid w:val="002643C1"/>
    <w:rsid w:val="00267E63"/>
    <w:rsid w:val="002720BB"/>
    <w:rsid w:val="00276FBD"/>
    <w:rsid w:val="00283F3B"/>
    <w:rsid w:val="00284272"/>
    <w:rsid w:val="002954B9"/>
    <w:rsid w:val="00295B68"/>
    <w:rsid w:val="00297A18"/>
    <w:rsid w:val="002A2C45"/>
    <w:rsid w:val="002A4492"/>
    <w:rsid w:val="002B3782"/>
    <w:rsid w:val="002B63B1"/>
    <w:rsid w:val="002C082F"/>
    <w:rsid w:val="002C20A1"/>
    <w:rsid w:val="002C3054"/>
    <w:rsid w:val="002C3923"/>
    <w:rsid w:val="002D1F55"/>
    <w:rsid w:val="002D7035"/>
    <w:rsid w:val="002E1265"/>
    <w:rsid w:val="002E3F14"/>
    <w:rsid w:val="002F0156"/>
    <w:rsid w:val="002F109A"/>
    <w:rsid w:val="002F17B8"/>
    <w:rsid w:val="002F3960"/>
    <w:rsid w:val="002F41F8"/>
    <w:rsid w:val="00300CA0"/>
    <w:rsid w:val="00303545"/>
    <w:rsid w:val="00305FD8"/>
    <w:rsid w:val="003101D8"/>
    <w:rsid w:val="00310452"/>
    <w:rsid w:val="00313209"/>
    <w:rsid w:val="0031546B"/>
    <w:rsid w:val="00316338"/>
    <w:rsid w:val="00321EB0"/>
    <w:rsid w:val="0032336B"/>
    <w:rsid w:val="00323FAA"/>
    <w:rsid w:val="00325EFF"/>
    <w:rsid w:val="00332BA5"/>
    <w:rsid w:val="003378C2"/>
    <w:rsid w:val="00344B8C"/>
    <w:rsid w:val="00345277"/>
    <w:rsid w:val="003469CD"/>
    <w:rsid w:val="003475B0"/>
    <w:rsid w:val="00354A55"/>
    <w:rsid w:val="00355163"/>
    <w:rsid w:val="00360E12"/>
    <w:rsid w:val="0036415A"/>
    <w:rsid w:val="00364A03"/>
    <w:rsid w:val="003677FC"/>
    <w:rsid w:val="00374B39"/>
    <w:rsid w:val="00380AB4"/>
    <w:rsid w:val="00385E58"/>
    <w:rsid w:val="00387DA1"/>
    <w:rsid w:val="003918CD"/>
    <w:rsid w:val="00395097"/>
    <w:rsid w:val="00395DD3"/>
    <w:rsid w:val="00395FA8"/>
    <w:rsid w:val="003A0668"/>
    <w:rsid w:val="003A1DF5"/>
    <w:rsid w:val="003B0B26"/>
    <w:rsid w:val="003B6759"/>
    <w:rsid w:val="003C23B2"/>
    <w:rsid w:val="003C7277"/>
    <w:rsid w:val="003D05FD"/>
    <w:rsid w:val="003D1FEE"/>
    <w:rsid w:val="003D338B"/>
    <w:rsid w:val="003D637D"/>
    <w:rsid w:val="003D6411"/>
    <w:rsid w:val="003E05A3"/>
    <w:rsid w:val="003E0BE1"/>
    <w:rsid w:val="003E1342"/>
    <w:rsid w:val="003E18D8"/>
    <w:rsid w:val="003F751D"/>
    <w:rsid w:val="004042B6"/>
    <w:rsid w:val="0040704F"/>
    <w:rsid w:val="004157A4"/>
    <w:rsid w:val="00415D29"/>
    <w:rsid w:val="004171D2"/>
    <w:rsid w:val="00423F93"/>
    <w:rsid w:val="00424F04"/>
    <w:rsid w:val="0043241F"/>
    <w:rsid w:val="00433CB1"/>
    <w:rsid w:val="00435A8C"/>
    <w:rsid w:val="00436600"/>
    <w:rsid w:val="004466E8"/>
    <w:rsid w:val="00450514"/>
    <w:rsid w:val="00452F01"/>
    <w:rsid w:val="0046365F"/>
    <w:rsid w:val="004657AC"/>
    <w:rsid w:val="00471258"/>
    <w:rsid w:val="0047403E"/>
    <w:rsid w:val="00476C23"/>
    <w:rsid w:val="00480A57"/>
    <w:rsid w:val="00480C2B"/>
    <w:rsid w:val="0048279C"/>
    <w:rsid w:val="00483AB9"/>
    <w:rsid w:val="00491A48"/>
    <w:rsid w:val="004938AF"/>
    <w:rsid w:val="0049577F"/>
    <w:rsid w:val="004B283C"/>
    <w:rsid w:val="004C269E"/>
    <w:rsid w:val="004C5362"/>
    <w:rsid w:val="004C742E"/>
    <w:rsid w:val="004D5521"/>
    <w:rsid w:val="004E0A26"/>
    <w:rsid w:val="004F34F3"/>
    <w:rsid w:val="004F4A0C"/>
    <w:rsid w:val="004F63B7"/>
    <w:rsid w:val="00502897"/>
    <w:rsid w:val="005033BE"/>
    <w:rsid w:val="005067BB"/>
    <w:rsid w:val="005073A0"/>
    <w:rsid w:val="00510F15"/>
    <w:rsid w:val="00521784"/>
    <w:rsid w:val="005235C4"/>
    <w:rsid w:val="005328FB"/>
    <w:rsid w:val="0053348A"/>
    <w:rsid w:val="00533EA3"/>
    <w:rsid w:val="00534744"/>
    <w:rsid w:val="00540948"/>
    <w:rsid w:val="00547417"/>
    <w:rsid w:val="00554579"/>
    <w:rsid w:val="0056049A"/>
    <w:rsid w:val="00560A13"/>
    <w:rsid w:val="00570657"/>
    <w:rsid w:val="00571C50"/>
    <w:rsid w:val="005725C5"/>
    <w:rsid w:val="005737A8"/>
    <w:rsid w:val="005760BE"/>
    <w:rsid w:val="00580988"/>
    <w:rsid w:val="00584F0C"/>
    <w:rsid w:val="00585B94"/>
    <w:rsid w:val="0058654F"/>
    <w:rsid w:val="00594009"/>
    <w:rsid w:val="00595F4D"/>
    <w:rsid w:val="005962AF"/>
    <w:rsid w:val="00596C73"/>
    <w:rsid w:val="005A0E1D"/>
    <w:rsid w:val="005B0036"/>
    <w:rsid w:val="005B1749"/>
    <w:rsid w:val="005B3F17"/>
    <w:rsid w:val="005B51AB"/>
    <w:rsid w:val="005B7C4B"/>
    <w:rsid w:val="005D1D85"/>
    <w:rsid w:val="005D24AC"/>
    <w:rsid w:val="005D42F4"/>
    <w:rsid w:val="005D5F25"/>
    <w:rsid w:val="005D5F82"/>
    <w:rsid w:val="005D66BB"/>
    <w:rsid w:val="005D7F3E"/>
    <w:rsid w:val="005E0907"/>
    <w:rsid w:val="005E0EF5"/>
    <w:rsid w:val="005E716C"/>
    <w:rsid w:val="005F10C5"/>
    <w:rsid w:val="005F2C64"/>
    <w:rsid w:val="005F3A7D"/>
    <w:rsid w:val="005F4DF6"/>
    <w:rsid w:val="00602CAB"/>
    <w:rsid w:val="00610142"/>
    <w:rsid w:val="00612EBD"/>
    <w:rsid w:val="0061392E"/>
    <w:rsid w:val="006167BC"/>
    <w:rsid w:val="00640F5C"/>
    <w:rsid w:val="00642AD4"/>
    <w:rsid w:val="006434AD"/>
    <w:rsid w:val="00644FD2"/>
    <w:rsid w:val="006503FC"/>
    <w:rsid w:val="006504BC"/>
    <w:rsid w:val="00651590"/>
    <w:rsid w:val="00653E8E"/>
    <w:rsid w:val="00656489"/>
    <w:rsid w:val="00657D91"/>
    <w:rsid w:val="00657E95"/>
    <w:rsid w:val="0066267B"/>
    <w:rsid w:val="006643F5"/>
    <w:rsid w:val="00664C8A"/>
    <w:rsid w:val="00665413"/>
    <w:rsid w:val="00672632"/>
    <w:rsid w:val="00674D49"/>
    <w:rsid w:val="0067565D"/>
    <w:rsid w:val="0067615B"/>
    <w:rsid w:val="00680E0E"/>
    <w:rsid w:val="00681918"/>
    <w:rsid w:val="006838A2"/>
    <w:rsid w:val="00684E4A"/>
    <w:rsid w:val="00686970"/>
    <w:rsid w:val="00686AA8"/>
    <w:rsid w:val="00687A40"/>
    <w:rsid w:val="006A52B5"/>
    <w:rsid w:val="006A585E"/>
    <w:rsid w:val="006B17C9"/>
    <w:rsid w:val="006B1D95"/>
    <w:rsid w:val="006B29D1"/>
    <w:rsid w:val="006B5855"/>
    <w:rsid w:val="006B7FDF"/>
    <w:rsid w:val="006C1578"/>
    <w:rsid w:val="006C61B8"/>
    <w:rsid w:val="006D0895"/>
    <w:rsid w:val="006D1431"/>
    <w:rsid w:val="006D1BF2"/>
    <w:rsid w:val="006D6072"/>
    <w:rsid w:val="006D72FA"/>
    <w:rsid w:val="006E29D1"/>
    <w:rsid w:val="006E6DCB"/>
    <w:rsid w:val="006E788B"/>
    <w:rsid w:val="006F1452"/>
    <w:rsid w:val="006F2303"/>
    <w:rsid w:val="006F5528"/>
    <w:rsid w:val="006F6DA6"/>
    <w:rsid w:val="00701405"/>
    <w:rsid w:val="00707831"/>
    <w:rsid w:val="00707FC0"/>
    <w:rsid w:val="00723703"/>
    <w:rsid w:val="007260AC"/>
    <w:rsid w:val="00730E6F"/>
    <w:rsid w:val="00731292"/>
    <w:rsid w:val="00731A6A"/>
    <w:rsid w:val="00736839"/>
    <w:rsid w:val="00740B73"/>
    <w:rsid w:val="0074466A"/>
    <w:rsid w:val="00756496"/>
    <w:rsid w:val="00767E8A"/>
    <w:rsid w:val="00771991"/>
    <w:rsid w:val="00772EBC"/>
    <w:rsid w:val="007816C9"/>
    <w:rsid w:val="007860C0"/>
    <w:rsid w:val="007A0FC4"/>
    <w:rsid w:val="007A203D"/>
    <w:rsid w:val="007B0B58"/>
    <w:rsid w:val="007B48F5"/>
    <w:rsid w:val="007C0444"/>
    <w:rsid w:val="007C2D3D"/>
    <w:rsid w:val="007C37EE"/>
    <w:rsid w:val="007C760F"/>
    <w:rsid w:val="007C7752"/>
    <w:rsid w:val="007C7FFE"/>
    <w:rsid w:val="007D2348"/>
    <w:rsid w:val="007D469C"/>
    <w:rsid w:val="007D58AF"/>
    <w:rsid w:val="007E3E43"/>
    <w:rsid w:val="007E40E0"/>
    <w:rsid w:val="007F6B11"/>
    <w:rsid w:val="00801268"/>
    <w:rsid w:val="00802837"/>
    <w:rsid w:val="00812438"/>
    <w:rsid w:val="00812CAA"/>
    <w:rsid w:val="0083071A"/>
    <w:rsid w:val="00836EE1"/>
    <w:rsid w:val="00841492"/>
    <w:rsid w:val="00844A81"/>
    <w:rsid w:val="00845DB6"/>
    <w:rsid w:val="00851DF5"/>
    <w:rsid w:val="00852028"/>
    <w:rsid w:val="00855783"/>
    <w:rsid w:val="0086065B"/>
    <w:rsid w:val="00861EC0"/>
    <w:rsid w:val="00866786"/>
    <w:rsid w:val="00866CEB"/>
    <w:rsid w:val="008701DF"/>
    <w:rsid w:val="00870960"/>
    <w:rsid w:val="00870DD8"/>
    <w:rsid w:val="00872615"/>
    <w:rsid w:val="00872825"/>
    <w:rsid w:val="00875C10"/>
    <w:rsid w:val="00877D36"/>
    <w:rsid w:val="008819CB"/>
    <w:rsid w:val="008922FC"/>
    <w:rsid w:val="00892FB7"/>
    <w:rsid w:val="008934E6"/>
    <w:rsid w:val="00894746"/>
    <w:rsid w:val="00894D1F"/>
    <w:rsid w:val="00896FC3"/>
    <w:rsid w:val="00897D2F"/>
    <w:rsid w:val="008A2989"/>
    <w:rsid w:val="008B681A"/>
    <w:rsid w:val="008D0A65"/>
    <w:rsid w:val="008D2823"/>
    <w:rsid w:val="008D4F8E"/>
    <w:rsid w:val="008D6B5E"/>
    <w:rsid w:val="008E015B"/>
    <w:rsid w:val="008E0D48"/>
    <w:rsid w:val="008E12EC"/>
    <w:rsid w:val="008E3261"/>
    <w:rsid w:val="008F13E9"/>
    <w:rsid w:val="008F1AA8"/>
    <w:rsid w:val="008F4CB6"/>
    <w:rsid w:val="008F5F03"/>
    <w:rsid w:val="0090333F"/>
    <w:rsid w:val="0091310A"/>
    <w:rsid w:val="00913BCC"/>
    <w:rsid w:val="00934BB4"/>
    <w:rsid w:val="0093624A"/>
    <w:rsid w:val="00941FCD"/>
    <w:rsid w:val="00951C2E"/>
    <w:rsid w:val="009645BB"/>
    <w:rsid w:val="00971480"/>
    <w:rsid w:val="00971C22"/>
    <w:rsid w:val="009721FE"/>
    <w:rsid w:val="00977144"/>
    <w:rsid w:val="00977E7F"/>
    <w:rsid w:val="0098264E"/>
    <w:rsid w:val="00982B46"/>
    <w:rsid w:val="00982D1F"/>
    <w:rsid w:val="009844A5"/>
    <w:rsid w:val="00984E65"/>
    <w:rsid w:val="009A15BE"/>
    <w:rsid w:val="009A5AA5"/>
    <w:rsid w:val="009A7938"/>
    <w:rsid w:val="009B3602"/>
    <w:rsid w:val="009B44B4"/>
    <w:rsid w:val="009B5BBC"/>
    <w:rsid w:val="009B65E5"/>
    <w:rsid w:val="009C2D71"/>
    <w:rsid w:val="009E0216"/>
    <w:rsid w:val="009E1ACB"/>
    <w:rsid w:val="009E4D2B"/>
    <w:rsid w:val="009E65DF"/>
    <w:rsid w:val="009F1427"/>
    <w:rsid w:val="009F2D8F"/>
    <w:rsid w:val="009F76D7"/>
    <w:rsid w:val="00A01106"/>
    <w:rsid w:val="00A04C6B"/>
    <w:rsid w:val="00A062F3"/>
    <w:rsid w:val="00A10745"/>
    <w:rsid w:val="00A11372"/>
    <w:rsid w:val="00A14F72"/>
    <w:rsid w:val="00A163BD"/>
    <w:rsid w:val="00A170E4"/>
    <w:rsid w:val="00A238E3"/>
    <w:rsid w:val="00A24704"/>
    <w:rsid w:val="00A33BF7"/>
    <w:rsid w:val="00A54805"/>
    <w:rsid w:val="00A57F6E"/>
    <w:rsid w:val="00A703E3"/>
    <w:rsid w:val="00A72BB3"/>
    <w:rsid w:val="00A72CE2"/>
    <w:rsid w:val="00A74260"/>
    <w:rsid w:val="00A87098"/>
    <w:rsid w:val="00A879A3"/>
    <w:rsid w:val="00A87BFE"/>
    <w:rsid w:val="00A95343"/>
    <w:rsid w:val="00A95FD6"/>
    <w:rsid w:val="00A966A2"/>
    <w:rsid w:val="00A96ADB"/>
    <w:rsid w:val="00A970DE"/>
    <w:rsid w:val="00AA0EBA"/>
    <w:rsid w:val="00AA2F1B"/>
    <w:rsid w:val="00AA3772"/>
    <w:rsid w:val="00AA52EE"/>
    <w:rsid w:val="00AB28B5"/>
    <w:rsid w:val="00AB630B"/>
    <w:rsid w:val="00AC3AFA"/>
    <w:rsid w:val="00AC4819"/>
    <w:rsid w:val="00AC5D57"/>
    <w:rsid w:val="00AC6D78"/>
    <w:rsid w:val="00AC7E0E"/>
    <w:rsid w:val="00AD1F9C"/>
    <w:rsid w:val="00AD6960"/>
    <w:rsid w:val="00AF0BEB"/>
    <w:rsid w:val="00AF4A81"/>
    <w:rsid w:val="00AF5519"/>
    <w:rsid w:val="00AF581F"/>
    <w:rsid w:val="00B0422C"/>
    <w:rsid w:val="00B12609"/>
    <w:rsid w:val="00B15897"/>
    <w:rsid w:val="00B2078D"/>
    <w:rsid w:val="00B20C5E"/>
    <w:rsid w:val="00B2546D"/>
    <w:rsid w:val="00B27CC5"/>
    <w:rsid w:val="00B30F47"/>
    <w:rsid w:val="00B31648"/>
    <w:rsid w:val="00B3269C"/>
    <w:rsid w:val="00B3707F"/>
    <w:rsid w:val="00B40A31"/>
    <w:rsid w:val="00B40F83"/>
    <w:rsid w:val="00B50E55"/>
    <w:rsid w:val="00B514F6"/>
    <w:rsid w:val="00B6337A"/>
    <w:rsid w:val="00B70B6C"/>
    <w:rsid w:val="00B70B6D"/>
    <w:rsid w:val="00B80408"/>
    <w:rsid w:val="00B806ED"/>
    <w:rsid w:val="00B80AB6"/>
    <w:rsid w:val="00B87EDA"/>
    <w:rsid w:val="00B92401"/>
    <w:rsid w:val="00B92AB4"/>
    <w:rsid w:val="00B93F8C"/>
    <w:rsid w:val="00B960DF"/>
    <w:rsid w:val="00BA1C8C"/>
    <w:rsid w:val="00BA594C"/>
    <w:rsid w:val="00BA7888"/>
    <w:rsid w:val="00BB39DE"/>
    <w:rsid w:val="00BC5F1F"/>
    <w:rsid w:val="00BD12C5"/>
    <w:rsid w:val="00BD1BDA"/>
    <w:rsid w:val="00BD207B"/>
    <w:rsid w:val="00BD4330"/>
    <w:rsid w:val="00BD7B50"/>
    <w:rsid w:val="00BD7CFA"/>
    <w:rsid w:val="00BE0C8F"/>
    <w:rsid w:val="00BE0E76"/>
    <w:rsid w:val="00BE2C52"/>
    <w:rsid w:val="00BF05B9"/>
    <w:rsid w:val="00BF1631"/>
    <w:rsid w:val="00BF4F29"/>
    <w:rsid w:val="00BF54BA"/>
    <w:rsid w:val="00BF6D42"/>
    <w:rsid w:val="00C020C1"/>
    <w:rsid w:val="00C06FCD"/>
    <w:rsid w:val="00C10B9D"/>
    <w:rsid w:val="00C2164E"/>
    <w:rsid w:val="00C25D91"/>
    <w:rsid w:val="00C26338"/>
    <w:rsid w:val="00C34B6F"/>
    <w:rsid w:val="00C35F68"/>
    <w:rsid w:val="00C37B5C"/>
    <w:rsid w:val="00C42051"/>
    <w:rsid w:val="00C52CF4"/>
    <w:rsid w:val="00C545C3"/>
    <w:rsid w:val="00C6248F"/>
    <w:rsid w:val="00C6379E"/>
    <w:rsid w:val="00C66938"/>
    <w:rsid w:val="00C67CDE"/>
    <w:rsid w:val="00C820A5"/>
    <w:rsid w:val="00C85F9E"/>
    <w:rsid w:val="00C861F3"/>
    <w:rsid w:val="00C87903"/>
    <w:rsid w:val="00C9261A"/>
    <w:rsid w:val="00C93D6D"/>
    <w:rsid w:val="00C95487"/>
    <w:rsid w:val="00CA3BCF"/>
    <w:rsid w:val="00CA48FA"/>
    <w:rsid w:val="00CB6BFA"/>
    <w:rsid w:val="00CC0F99"/>
    <w:rsid w:val="00CC3457"/>
    <w:rsid w:val="00CC41F7"/>
    <w:rsid w:val="00CC6516"/>
    <w:rsid w:val="00CD018E"/>
    <w:rsid w:val="00CD0B7D"/>
    <w:rsid w:val="00CD46C0"/>
    <w:rsid w:val="00CE186E"/>
    <w:rsid w:val="00CE5FAF"/>
    <w:rsid w:val="00CF2BC2"/>
    <w:rsid w:val="00CF2E47"/>
    <w:rsid w:val="00CF35A6"/>
    <w:rsid w:val="00CF3C6C"/>
    <w:rsid w:val="00CF7B32"/>
    <w:rsid w:val="00D067C0"/>
    <w:rsid w:val="00D07372"/>
    <w:rsid w:val="00D1363F"/>
    <w:rsid w:val="00D20FE0"/>
    <w:rsid w:val="00D2626D"/>
    <w:rsid w:val="00D26C55"/>
    <w:rsid w:val="00D279DF"/>
    <w:rsid w:val="00D30A13"/>
    <w:rsid w:val="00D32AA4"/>
    <w:rsid w:val="00D32E3D"/>
    <w:rsid w:val="00D41173"/>
    <w:rsid w:val="00D5242C"/>
    <w:rsid w:val="00D5244E"/>
    <w:rsid w:val="00D53ADD"/>
    <w:rsid w:val="00D63659"/>
    <w:rsid w:val="00D63AC7"/>
    <w:rsid w:val="00D758AB"/>
    <w:rsid w:val="00D75C32"/>
    <w:rsid w:val="00D829DF"/>
    <w:rsid w:val="00D90DCB"/>
    <w:rsid w:val="00D91179"/>
    <w:rsid w:val="00D91BEB"/>
    <w:rsid w:val="00D91D05"/>
    <w:rsid w:val="00D92FE6"/>
    <w:rsid w:val="00D95C78"/>
    <w:rsid w:val="00D973D0"/>
    <w:rsid w:val="00D9750B"/>
    <w:rsid w:val="00DA3BD1"/>
    <w:rsid w:val="00DB1D36"/>
    <w:rsid w:val="00DB458F"/>
    <w:rsid w:val="00DB6059"/>
    <w:rsid w:val="00DB7C98"/>
    <w:rsid w:val="00DC173D"/>
    <w:rsid w:val="00DC4F12"/>
    <w:rsid w:val="00DC703E"/>
    <w:rsid w:val="00DD1704"/>
    <w:rsid w:val="00DD3BD8"/>
    <w:rsid w:val="00DD7872"/>
    <w:rsid w:val="00DF2360"/>
    <w:rsid w:val="00DF2C89"/>
    <w:rsid w:val="00DF6816"/>
    <w:rsid w:val="00E1029B"/>
    <w:rsid w:val="00E27453"/>
    <w:rsid w:val="00E27935"/>
    <w:rsid w:val="00E30F8E"/>
    <w:rsid w:val="00E31602"/>
    <w:rsid w:val="00E37259"/>
    <w:rsid w:val="00E3739D"/>
    <w:rsid w:val="00E37456"/>
    <w:rsid w:val="00E4399D"/>
    <w:rsid w:val="00E55393"/>
    <w:rsid w:val="00E61687"/>
    <w:rsid w:val="00E619D8"/>
    <w:rsid w:val="00E61CFE"/>
    <w:rsid w:val="00E70F59"/>
    <w:rsid w:val="00E72608"/>
    <w:rsid w:val="00E73D21"/>
    <w:rsid w:val="00E77EB2"/>
    <w:rsid w:val="00E86B83"/>
    <w:rsid w:val="00E942BA"/>
    <w:rsid w:val="00E979D2"/>
    <w:rsid w:val="00EA3DE4"/>
    <w:rsid w:val="00EA47A2"/>
    <w:rsid w:val="00EB19F3"/>
    <w:rsid w:val="00EB6074"/>
    <w:rsid w:val="00EC0B17"/>
    <w:rsid w:val="00EC44E7"/>
    <w:rsid w:val="00EC519C"/>
    <w:rsid w:val="00ED4349"/>
    <w:rsid w:val="00ED506C"/>
    <w:rsid w:val="00ED70B1"/>
    <w:rsid w:val="00EE1700"/>
    <w:rsid w:val="00EE186F"/>
    <w:rsid w:val="00EE4AB1"/>
    <w:rsid w:val="00EF73DE"/>
    <w:rsid w:val="00F029D8"/>
    <w:rsid w:val="00F10094"/>
    <w:rsid w:val="00F10D94"/>
    <w:rsid w:val="00F207CD"/>
    <w:rsid w:val="00F21836"/>
    <w:rsid w:val="00F25E89"/>
    <w:rsid w:val="00F36966"/>
    <w:rsid w:val="00F37133"/>
    <w:rsid w:val="00F437F8"/>
    <w:rsid w:val="00F453F1"/>
    <w:rsid w:val="00F503EE"/>
    <w:rsid w:val="00F60B33"/>
    <w:rsid w:val="00F6278C"/>
    <w:rsid w:val="00F70D3D"/>
    <w:rsid w:val="00F735F8"/>
    <w:rsid w:val="00F76084"/>
    <w:rsid w:val="00F77D80"/>
    <w:rsid w:val="00F819BA"/>
    <w:rsid w:val="00F83594"/>
    <w:rsid w:val="00F91C7F"/>
    <w:rsid w:val="00F92B15"/>
    <w:rsid w:val="00FA09AB"/>
    <w:rsid w:val="00FA7D23"/>
    <w:rsid w:val="00FB14A8"/>
    <w:rsid w:val="00FD17BA"/>
    <w:rsid w:val="00FD349C"/>
    <w:rsid w:val="00FD72DA"/>
    <w:rsid w:val="00FF2E86"/>
    <w:rsid w:val="00FF4292"/>
    <w:rsid w:val="00FF4C53"/>
    <w:rsid w:val="00FF69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50F256-A8EC-4CD7-9DD2-086608E3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E3"/>
    <w:rPr>
      <w:sz w:val="20"/>
      <w:szCs w:val="20"/>
    </w:rPr>
  </w:style>
  <w:style w:type="paragraph" w:styleId="Ttulo1">
    <w:name w:val="heading 1"/>
    <w:basedOn w:val="Normal"/>
    <w:next w:val="Normal"/>
    <w:link w:val="Ttulo1Car"/>
    <w:uiPriority w:val="99"/>
    <w:qFormat/>
    <w:rsid w:val="00A238E3"/>
    <w:pPr>
      <w:keepNext/>
      <w:spacing w:line="360" w:lineRule="auto"/>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Cambria"/>
      <w:b/>
      <w:bCs/>
      <w:kern w:val="32"/>
      <w:sz w:val="32"/>
      <w:szCs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szCs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Verdana"/>
      <w:spacing w:val="-3"/>
      <w:sz w:val="24"/>
      <w:szCs w:val="24"/>
      <w:lang w:val="es-ES_tradnl" w:eastAsia="es-ES"/>
    </w:rPr>
  </w:style>
  <w:style w:type="paragraph" w:styleId="Sinespaciado">
    <w:name w:val="No Spacing"/>
    <w:link w:val="SinespaciadoCar1"/>
    <w:uiPriority w:val="1"/>
    <w:qFormat/>
    <w:rsid w:val="0040704F"/>
    <w:pPr>
      <w:widowControl w:val="0"/>
      <w:autoSpaceDE w:val="0"/>
      <w:autoSpaceDN w:val="0"/>
      <w:adjustRightInd w:val="0"/>
    </w:pPr>
    <w:rPr>
      <w:rFonts w:ascii="Courier New" w:hAnsi="Courier New" w:cs="Courier New"/>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934BB4"/>
    <w:rPr>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ahoma"/>
      <w:sz w:val="16"/>
      <w:szCs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187F98"/>
    <w:rPr>
      <w:vertAlign w:val="superscript"/>
    </w:rPr>
  </w:style>
  <w:style w:type="character" w:customStyle="1" w:styleId="SinespaciadoCar1">
    <w:name w:val="Sin espaciado Car1"/>
    <w:link w:val="Sinespaciado"/>
    <w:uiPriority w:val="99"/>
    <w:locked/>
    <w:rsid w:val="0013799C"/>
    <w:rPr>
      <w:rFonts w:ascii="Courier New" w:hAnsi="Courier New" w:cs="Courier New"/>
      <w:sz w:val="22"/>
      <w:szCs w:val="22"/>
      <w:lang w:val="es-ES" w:eastAsia="es-ES"/>
    </w:rPr>
  </w:style>
  <w:style w:type="paragraph" w:styleId="Puesto">
    <w:name w:val="Title"/>
    <w:basedOn w:val="Normal"/>
    <w:link w:val="PuestoCar"/>
    <w:uiPriority w:val="99"/>
    <w:qFormat/>
    <w:rsid w:val="00310452"/>
    <w:pPr>
      <w:jc w:val="center"/>
    </w:pPr>
    <w:rPr>
      <w:rFonts w:ascii="Arial" w:hAnsi="Arial" w:cs="Arial"/>
      <w:b/>
      <w:bCs/>
      <w:i/>
      <w:iCs/>
      <w:sz w:val="24"/>
      <w:szCs w:val="24"/>
    </w:rPr>
  </w:style>
  <w:style w:type="character" w:customStyle="1" w:styleId="PuestoCar">
    <w:name w:val="Puesto Car"/>
    <w:basedOn w:val="Fuentedeprrafopredeter"/>
    <w:link w:val="Puesto"/>
    <w:uiPriority w:val="99"/>
    <w:locked/>
    <w:rsid w:val="00310452"/>
    <w:rPr>
      <w:rFonts w:ascii="Arial" w:hAnsi="Arial" w:cs="Arial"/>
      <w:b/>
      <w:bCs/>
      <w:i/>
      <w:iCs/>
      <w:sz w:val="24"/>
      <w:szCs w:val="24"/>
      <w:lang w:val="es-ES" w:eastAsia="es-ES"/>
    </w:rPr>
  </w:style>
  <w:style w:type="paragraph" w:styleId="Prrafodelista">
    <w:name w:val="List Paragraph"/>
    <w:basedOn w:val="Normal"/>
    <w:uiPriority w:val="34"/>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cs="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cs="Courier New"/>
    </w:rPr>
  </w:style>
  <w:style w:type="character" w:customStyle="1" w:styleId="SinespaciadoCar">
    <w:name w:val="Sin espaciado Car"/>
    <w:link w:val="Sinespaciado1"/>
    <w:uiPriority w:val="1"/>
    <w:locked/>
    <w:rsid w:val="00283F3B"/>
    <w:rPr>
      <w:rFonts w:ascii="Courier New" w:hAnsi="Courier New" w:cs="Courier New"/>
      <w:sz w:val="22"/>
      <w:szCs w:val="22"/>
      <w:lang w:val="es-ES" w:eastAsia="es-ES"/>
    </w:rPr>
  </w:style>
  <w:style w:type="paragraph" w:customStyle="1" w:styleId="NormalCSJ">
    <w:name w:val="Normal CSJ"/>
    <w:basedOn w:val="Normal"/>
    <w:link w:val="NormalCSJCar"/>
    <w:qFormat/>
    <w:rsid w:val="001C3FEE"/>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1C3FEE"/>
    <w:rPr>
      <w:bCs/>
      <w:i/>
      <w:sz w:val="24"/>
      <w:szCs w:val="24"/>
    </w:rPr>
  </w:style>
  <w:style w:type="character" w:customStyle="1" w:styleId="NormalCSJCar">
    <w:name w:val="Normal CSJ Car"/>
    <w:basedOn w:val="Fuentedeprrafopredeter"/>
    <w:link w:val="NormalCSJ"/>
    <w:rsid w:val="001C3FEE"/>
    <w:rPr>
      <w:rFonts w:ascii="Bookman Old Style" w:eastAsia="Calibri" w:hAnsi="Bookman Old Style"/>
      <w:sz w:val="28"/>
      <w:szCs w:val="28"/>
    </w:rPr>
  </w:style>
  <w:style w:type="character" w:customStyle="1" w:styleId="CitaIntraCSJCar">
    <w:name w:val="Cita Intra CSJ Car"/>
    <w:basedOn w:val="NormalCSJCar"/>
    <w:link w:val="CitaIntraCSJ"/>
    <w:rsid w:val="001C3FEE"/>
    <w:rPr>
      <w:rFonts w:ascii="Bookman Old Style" w:eastAsia="Calibri" w:hAnsi="Bookman Old Style"/>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11553">
      <w:bodyDiv w:val="1"/>
      <w:marLeft w:val="0"/>
      <w:marRight w:val="0"/>
      <w:marTop w:val="0"/>
      <w:marBottom w:val="0"/>
      <w:divBdr>
        <w:top w:val="none" w:sz="0" w:space="0" w:color="auto"/>
        <w:left w:val="none" w:sz="0" w:space="0" w:color="auto"/>
        <w:bottom w:val="none" w:sz="0" w:space="0" w:color="auto"/>
        <w:right w:val="none" w:sz="0" w:space="0" w:color="auto"/>
      </w:divBdr>
    </w:div>
    <w:div w:id="212900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6747-430C-44E2-9504-463EC15C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1748</Words>
  <Characters>9619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Henry Lora Rodriguez</cp:lastModifiedBy>
  <cp:revision>12</cp:revision>
  <cp:lastPrinted>2019-11-13T14:06:00Z</cp:lastPrinted>
  <dcterms:created xsi:type="dcterms:W3CDTF">2019-11-12T19:15:00Z</dcterms:created>
  <dcterms:modified xsi:type="dcterms:W3CDTF">2019-12-09T15:31:00Z</dcterms:modified>
</cp:coreProperties>
</file>