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8F" w:rsidRPr="0074188F" w:rsidRDefault="0074188F" w:rsidP="0074188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74188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4188F" w:rsidRPr="0074188F" w:rsidRDefault="0074188F" w:rsidP="0074188F">
      <w:pPr>
        <w:spacing w:after="0" w:line="240" w:lineRule="auto"/>
        <w:jc w:val="both"/>
        <w:rPr>
          <w:rFonts w:ascii="Arial" w:eastAsia="Times New Roman" w:hAnsi="Arial" w:cs="Arial"/>
          <w:sz w:val="20"/>
          <w:szCs w:val="20"/>
          <w:lang w:val="es-419" w:eastAsia="es-ES"/>
        </w:rPr>
      </w:pPr>
    </w:p>
    <w:p w:rsidR="0074188F" w:rsidRPr="0074188F" w:rsidRDefault="0074188F" w:rsidP="0074188F">
      <w:pPr>
        <w:spacing w:after="0" w:line="240" w:lineRule="auto"/>
        <w:jc w:val="both"/>
        <w:rPr>
          <w:rFonts w:ascii="Arial" w:eastAsia="Times New Roman" w:hAnsi="Arial" w:cs="Arial"/>
          <w:b/>
          <w:bCs/>
          <w:iCs/>
          <w:sz w:val="20"/>
          <w:szCs w:val="20"/>
          <w:lang w:val="es-419" w:eastAsia="fr-FR"/>
        </w:rPr>
      </w:pPr>
      <w:r w:rsidRPr="0074188F">
        <w:rPr>
          <w:rFonts w:ascii="Arial" w:eastAsia="Times New Roman" w:hAnsi="Arial" w:cs="Arial"/>
          <w:b/>
          <w:bCs/>
          <w:iCs/>
          <w:sz w:val="20"/>
          <w:szCs w:val="20"/>
          <w:lang w:val="es-419" w:eastAsia="fr-FR"/>
        </w:rPr>
        <w:t>TEMAS:</w:t>
      </w:r>
      <w:r w:rsidRPr="0074188F">
        <w:rPr>
          <w:rFonts w:ascii="Arial" w:eastAsia="Times New Roman" w:hAnsi="Arial" w:cs="Arial"/>
          <w:b/>
          <w:bCs/>
          <w:iCs/>
          <w:sz w:val="20"/>
          <w:szCs w:val="20"/>
          <w:lang w:val="es-419" w:eastAsia="fr-FR"/>
        </w:rPr>
        <w:tab/>
      </w:r>
      <w:r w:rsidR="000736B9">
        <w:rPr>
          <w:rFonts w:ascii="Arial" w:eastAsia="Times New Roman" w:hAnsi="Arial" w:cs="Arial"/>
          <w:b/>
          <w:bCs/>
          <w:iCs/>
          <w:sz w:val="20"/>
          <w:szCs w:val="20"/>
          <w:lang w:val="es-CO" w:eastAsia="fr-FR"/>
        </w:rPr>
        <w:t xml:space="preserve">SEGURIDAD SOCIAL / RECONOCIMIENTO DE PENSIÓN DE INVALIDEZ / PROCEDENCIA EXCEPCIONAL DE LA TUTELA PARA EL EFECTO / CRITERIOS PARA CONCEDER EL AMPARO </w:t>
      </w:r>
      <w:r w:rsidR="0046390F">
        <w:rPr>
          <w:rFonts w:ascii="Arial" w:eastAsia="Times New Roman" w:hAnsi="Arial" w:cs="Arial"/>
          <w:b/>
          <w:bCs/>
          <w:iCs/>
          <w:sz w:val="20"/>
          <w:szCs w:val="20"/>
          <w:lang w:val="es-CO" w:eastAsia="fr-FR"/>
        </w:rPr>
        <w:t xml:space="preserve">DE MANERA EXCEPCIONAL / </w:t>
      </w:r>
      <w:r w:rsidR="000736B9">
        <w:rPr>
          <w:rFonts w:ascii="Arial" w:eastAsia="Times New Roman" w:hAnsi="Arial" w:cs="Arial"/>
          <w:b/>
          <w:bCs/>
          <w:iCs/>
          <w:sz w:val="20"/>
          <w:szCs w:val="20"/>
          <w:lang w:val="es-CO" w:eastAsia="fr-FR"/>
        </w:rPr>
        <w:t>CONDICIÓN MÁS BENEFICIOSA /</w:t>
      </w:r>
      <w:r w:rsidR="0046390F">
        <w:rPr>
          <w:rFonts w:ascii="Arial" w:eastAsia="Times New Roman" w:hAnsi="Arial" w:cs="Arial"/>
          <w:b/>
          <w:bCs/>
          <w:iCs/>
          <w:sz w:val="20"/>
          <w:szCs w:val="20"/>
          <w:lang w:val="es-CO" w:eastAsia="fr-FR"/>
        </w:rPr>
        <w:t xml:space="preserve"> NO SE CUMPLEN LOS PRESUPUESTOS PARA SU APLICACIÓN.</w:t>
      </w:r>
    </w:p>
    <w:p w:rsidR="0074188F" w:rsidRPr="0074188F" w:rsidRDefault="0074188F" w:rsidP="0074188F">
      <w:pPr>
        <w:spacing w:after="0" w:line="240" w:lineRule="auto"/>
        <w:jc w:val="both"/>
        <w:rPr>
          <w:rFonts w:ascii="Arial" w:eastAsia="Times New Roman" w:hAnsi="Arial" w:cs="Arial"/>
          <w:sz w:val="20"/>
          <w:szCs w:val="20"/>
          <w:lang w:val="es-419" w:eastAsia="es-ES"/>
        </w:rPr>
      </w:pPr>
    </w:p>
    <w:p w:rsidR="0074188F" w:rsidRPr="00B941E4" w:rsidRDefault="00B941E4" w:rsidP="0074188F">
      <w:pPr>
        <w:spacing w:after="0" w:line="240" w:lineRule="auto"/>
        <w:jc w:val="both"/>
        <w:rPr>
          <w:rFonts w:ascii="Arial" w:eastAsia="Times New Roman" w:hAnsi="Arial" w:cs="Arial"/>
          <w:sz w:val="20"/>
          <w:szCs w:val="20"/>
          <w:lang w:val="es-CO" w:eastAsia="es-ES"/>
        </w:rPr>
      </w:pPr>
      <w:r w:rsidRPr="00B941E4">
        <w:rPr>
          <w:rFonts w:ascii="Arial" w:eastAsia="Times New Roman" w:hAnsi="Arial" w:cs="Arial"/>
          <w:sz w:val="20"/>
          <w:szCs w:val="20"/>
          <w:lang w:val="es-419" w:eastAsia="es-ES"/>
        </w:rPr>
        <w:t>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También se ha hecho énfasis en que, por regla general, este amparo es improcedente para el reconocimiento de derechos de raigambre laboral, a menos que se den unas condiciones fijadas por Corte Constitucional</w:t>
      </w:r>
      <w:r>
        <w:rPr>
          <w:rFonts w:ascii="Arial" w:eastAsia="Times New Roman" w:hAnsi="Arial" w:cs="Arial"/>
          <w:sz w:val="20"/>
          <w:szCs w:val="20"/>
          <w:lang w:val="es-CO" w:eastAsia="es-ES"/>
        </w:rPr>
        <w:t>…</w:t>
      </w:r>
    </w:p>
    <w:p w:rsidR="0074188F" w:rsidRPr="0074188F" w:rsidRDefault="0074188F" w:rsidP="0074188F">
      <w:pPr>
        <w:spacing w:after="0" w:line="240" w:lineRule="auto"/>
        <w:jc w:val="both"/>
        <w:rPr>
          <w:rFonts w:ascii="Arial" w:eastAsia="Times New Roman" w:hAnsi="Arial" w:cs="Arial"/>
          <w:sz w:val="20"/>
          <w:szCs w:val="20"/>
          <w:lang w:val="es-419" w:eastAsia="es-ES"/>
        </w:rPr>
      </w:pPr>
    </w:p>
    <w:p w:rsidR="0074188F" w:rsidRPr="0074188F" w:rsidRDefault="000736B9" w:rsidP="0074188F">
      <w:pPr>
        <w:spacing w:after="0" w:line="240" w:lineRule="auto"/>
        <w:jc w:val="both"/>
        <w:rPr>
          <w:rFonts w:ascii="Arial" w:eastAsia="Times New Roman" w:hAnsi="Arial" w:cs="Arial"/>
          <w:sz w:val="20"/>
          <w:szCs w:val="20"/>
          <w:lang w:val="es-419" w:eastAsia="es-ES"/>
        </w:rPr>
      </w:pPr>
      <w:r w:rsidRPr="000736B9">
        <w:rPr>
          <w:rFonts w:ascii="Arial" w:eastAsia="Times New Roman" w:hAnsi="Arial" w:cs="Arial"/>
          <w:sz w:val="20"/>
          <w:szCs w:val="20"/>
          <w:lang w:val="es-419" w:eastAsia="es-ES"/>
        </w:rPr>
        <w:t>Se anticipa que es inviable aplicar a este asunto lo reglado por el Decreto 758 de 1990, habida cuenta de que el demandante nunca cotizó durante su vigencia y menos adquirió su condición de inválido en ese tiempo, ya que sus aportes empezaron en enero del 2001 y esa regulación, no se olvide, fue derogada desde la entrada en vigencia de la ley 100 de 1993, es decir desde el 1° de abril de 1994, lo que impone que, para su aplicación favorable al trabajador, este tendría que haber cotizado al menos 300 semanas antes de esa fecha y ello, es evidente, no pudo ocurrir.</w:t>
      </w:r>
    </w:p>
    <w:p w:rsidR="0074188F" w:rsidRDefault="0074188F" w:rsidP="0074188F">
      <w:pPr>
        <w:spacing w:after="0" w:line="240" w:lineRule="auto"/>
        <w:jc w:val="both"/>
        <w:rPr>
          <w:rFonts w:ascii="Arial" w:eastAsia="Times New Roman" w:hAnsi="Arial" w:cs="Arial"/>
          <w:sz w:val="20"/>
          <w:szCs w:val="20"/>
          <w:lang w:val="es-ES" w:eastAsia="es-ES"/>
        </w:rPr>
      </w:pPr>
    </w:p>
    <w:p w:rsidR="000736B9" w:rsidRPr="0074188F" w:rsidRDefault="000736B9" w:rsidP="0074188F">
      <w:pPr>
        <w:spacing w:after="0" w:line="240" w:lineRule="auto"/>
        <w:jc w:val="both"/>
        <w:rPr>
          <w:rFonts w:ascii="Arial" w:eastAsia="Times New Roman" w:hAnsi="Arial" w:cs="Arial"/>
          <w:sz w:val="20"/>
          <w:szCs w:val="20"/>
          <w:lang w:val="es-ES" w:eastAsia="es-ES"/>
        </w:rPr>
      </w:pPr>
    </w:p>
    <w:p w:rsidR="0074188F" w:rsidRPr="0074188F" w:rsidRDefault="0074188F" w:rsidP="0074188F">
      <w:pPr>
        <w:spacing w:after="0" w:line="240" w:lineRule="auto"/>
        <w:jc w:val="both"/>
        <w:rPr>
          <w:rFonts w:ascii="Arial" w:eastAsia="Times New Roman" w:hAnsi="Arial" w:cs="Arial"/>
          <w:sz w:val="20"/>
          <w:szCs w:val="20"/>
          <w:lang w:val="es-ES" w:eastAsia="es-ES"/>
        </w:rPr>
      </w:pPr>
    </w:p>
    <w:p w:rsidR="00756044" w:rsidRPr="0074188F" w:rsidRDefault="00F43CD2"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6"/>
          <w:lang w:val="es-ES" w:eastAsia="es-ES"/>
        </w:rPr>
      </w:pPr>
      <w:r w:rsidRPr="0074188F">
        <w:rPr>
          <w:rFonts w:ascii="Gadugi" w:hAnsi="Gadugi"/>
          <w:b/>
          <w:sz w:val="24"/>
          <w:szCs w:val="26"/>
        </w:rPr>
        <w:t xml:space="preserve">TRIBUNAL SUPERIOR DEL DISTRITO JUDICIAL </w:t>
      </w:r>
      <w:r w:rsidRPr="0074188F">
        <w:rPr>
          <w:rFonts w:ascii="Gadugi" w:hAnsi="Gadugi"/>
          <w:b/>
          <w:sz w:val="24"/>
          <w:szCs w:val="26"/>
          <w:lang w:val="es-419"/>
        </w:rPr>
        <w:t xml:space="preserve">   </w:t>
      </w:r>
      <w:r w:rsidRPr="0074188F">
        <w:rPr>
          <w:rFonts w:ascii="Gadugi" w:hAnsi="Gadugi"/>
          <w:b/>
          <w:sz w:val="24"/>
          <w:szCs w:val="26"/>
          <w:lang w:val="es-419"/>
        </w:rPr>
        <w:tab/>
      </w:r>
      <w:r w:rsidRPr="0074188F">
        <w:rPr>
          <w:rFonts w:ascii="Gadugi" w:hAnsi="Gadugi"/>
          <w:b/>
          <w:sz w:val="24"/>
          <w:szCs w:val="26"/>
          <w:lang w:val="es-419"/>
        </w:rPr>
        <w:tab/>
      </w:r>
      <w:r w:rsidRPr="0074188F">
        <w:rPr>
          <w:rFonts w:ascii="Gadugi" w:hAnsi="Gadugi"/>
          <w:b/>
          <w:sz w:val="24"/>
          <w:szCs w:val="26"/>
          <w:lang w:val="es-419"/>
        </w:rPr>
        <w:tab/>
      </w:r>
      <w:r w:rsidRPr="0074188F">
        <w:rPr>
          <w:rFonts w:ascii="Gadugi" w:hAnsi="Gadugi"/>
          <w:b/>
          <w:sz w:val="24"/>
          <w:szCs w:val="26"/>
          <w:lang w:val="es-419"/>
        </w:rPr>
        <w:tab/>
        <w:t xml:space="preserve">   </w:t>
      </w:r>
      <w:r w:rsidR="00CC619F" w:rsidRPr="0074188F">
        <w:rPr>
          <w:rFonts w:ascii="Gadugi" w:hAnsi="Gadugi"/>
          <w:b/>
          <w:sz w:val="24"/>
          <w:szCs w:val="26"/>
          <w:lang w:val="es-419"/>
        </w:rPr>
        <w:t xml:space="preserve">      </w:t>
      </w:r>
      <w:r w:rsidR="00724256" w:rsidRPr="0074188F">
        <w:rPr>
          <w:rFonts w:ascii="Gadugi" w:hAnsi="Gadugi"/>
          <w:b/>
          <w:sz w:val="24"/>
          <w:szCs w:val="26"/>
        </w:rPr>
        <w:t xml:space="preserve">      SALA DE DECISIÓN CIVIL-FAMILIA</w:t>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4F7764" w:rsidRPr="0074188F" w:rsidRDefault="004F776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r w:rsidRPr="0074188F">
        <w:rPr>
          <w:rFonts w:ascii="Gadugi" w:eastAsia="Times New Roman" w:hAnsi="Gadugi" w:cs="Times New Roman"/>
          <w:sz w:val="24"/>
          <w:szCs w:val="26"/>
          <w:lang w:val="es-ES" w:eastAsia="es-ES"/>
        </w:rPr>
        <w:t>Magistrado: Jaime Alberto Saraza Naranjo</w:t>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419" w:eastAsia="es-ES"/>
        </w:rPr>
      </w:pPr>
      <w:r w:rsidRPr="0074188F">
        <w:rPr>
          <w:rFonts w:ascii="Gadugi" w:eastAsia="Times New Roman" w:hAnsi="Gadugi" w:cs="Times New Roman"/>
          <w:sz w:val="24"/>
          <w:szCs w:val="26"/>
          <w:lang w:val="es-ES" w:eastAsia="es-ES"/>
        </w:rPr>
        <w:t xml:space="preserve">Pereira, </w:t>
      </w:r>
      <w:r w:rsidR="00AF6C3D" w:rsidRPr="0074188F">
        <w:rPr>
          <w:rFonts w:ascii="Gadugi" w:eastAsia="Times New Roman" w:hAnsi="Gadugi" w:cs="Times New Roman"/>
          <w:sz w:val="24"/>
          <w:szCs w:val="26"/>
          <w:lang w:val="es-ES" w:eastAsia="es-ES"/>
        </w:rPr>
        <w:t xml:space="preserve">mayo tres del dos mil diecinueve </w:t>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419" w:eastAsia="es-ES"/>
        </w:rPr>
      </w:pPr>
      <w:r w:rsidRPr="0074188F">
        <w:rPr>
          <w:rFonts w:ascii="Gadugi" w:eastAsia="Times New Roman" w:hAnsi="Gadugi" w:cs="Times New Roman"/>
          <w:sz w:val="24"/>
          <w:szCs w:val="26"/>
          <w:lang w:val="es-ES" w:eastAsia="es-ES"/>
        </w:rPr>
        <w:t>Expediente</w:t>
      </w:r>
      <w:r w:rsidRPr="0074188F">
        <w:rPr>
          <w:rFonts w:ascii="Gadugi" w:eastAsia="Times New Roman" w:hAnsi="Gadugi" w:cs="Times New Roman"/>
          <w:sz w:val="24"/>
          <w:szCs w:val="26"/>
          <w:lang w:val="es-419" w:eastAsia="es-ES"/>
        </w:rPr>
        <w:t>s:</w:t>
      </w:r>
      <w:r w:rsidR="004F7764" w:rsidRPr="0074188F">
        <w:rPr>
          <w:rFonts w:ascii="Gadugi" w:eastAsia="Times New Roman" w:hAnsi="Gadugi" w:cs="Times New Roman"/>
          <w:sz w:val="24"/>
          <w:szCs w:val="26"/>
          <w:lang w:val="es-ES" w:eastAsia="es-ES"/>
        </w:rPr>
        <w:t xml:space="preserve"> 66001-31-1</w:t>
      </w:r>
      <w:r w:rsidR="005273EA" w:rsidRPr="0074188F">
        <w:rPr>
          <w:rFonts w:ascii="Gadugi" w:eastAsia="Times New Roman" w:hAnsi="Gadugi" w:cs="Times New Roman"/>
          <w:sz w:val="24"/>
          <w:szCs w:val="26"/>
          <w:lang w:val="es-ES" w:eastAsia="es-ES"/>
        </w:rPr>
        <w:t>0-002</w:t>
      </w:r>
      <w:r w:rsidRPr="0074188F">
        <w:rPr>
          <w:rFonts w:ascii="Gadugi" w:eastAsia="Times New Roman" w:hAnsi="Gadugi" w:cs="Times New Roman"/>
          <w:sz w:val="24"/>
          <w:szCs w:val="26"/>
          <w:lang w:val="es-ES" w:eastAsia="es-ES"/>
        </w:rPr>
        <w:t>-201</w:t>
      </w:r>
      <w:r w:rsidR="00D11CCF" w:rsidRPr="0074188F">
        <w:rPr>
          <w:rFonts w:ascii="Gadugi" w:eastAsia="Times New Roman" w:hAnsi="Gadugi" w:cs="Times New Roman"/>
          <w:sz w:val="24"/>
          <w:szCs w:val="26"/>
          <w:lang w:val="es-ES" w:eastAsia="es-ES"/>
        </w:rPr>
        <w:t>9</w:t>
      </w:r>
      <w:r w:rsidRPr="0074188F">
        <w:rPr>
          <w:rFonts w:ascii="Gadugi" w:eastAsia="Times New Roman" w:hAnsi="Gadugi" w:cs="Times New Roman"/>
          <w:sz w:val="24"/>
          <w:szCs w:val="26"/>
          <w:lang w:val="es-ES" w:eastAsia="es-ES"/>
        </w:rPr>
        <w:t>-00</w:t>
      </w:r>
      <w:r w:rsidR="005273EA" w:rsidRPr="0074188F">
        <w:rPr>
          <w:rFonts w:ascii="Gadugi" w:eastAsia="Times New Roman" w:hAnsi="Gadugi" w:cs="Times New Roman"/>
          <w:sz w:val="24"/>
          <w:szCs w:val="26"/>
          <w:lang w:val="es-419" w:eastAsia="es-ES"/>
        </w:rPr>
        <w:t>041</w:t>
      </w:r>
      <w:r w:rsidRPr="0074188F">
        <w:rPr>
          <w:rFonts w:ascii="Gadugi" w:eastAsia="Times New Roman" w:hAnsi="Gadugi" w:cs="Times New Roman"/>
          <w:sz w:val="24"/>
          <w:szCs w:val="26"/>
          <w:lang w:val="es-ES" w:eastAsia="es-ES"/>
        </w:rPr>
        <w:t>-01</w:t>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00426DA0" w:rsidRPr="0074188F">
        <w:rPr>
          <w:rFonts w:ascii="Gadugi" w:eastAsia="Times New Roman" w:hAnsi="Gadugi" w:cs="Times New Roman"/>
          <w:sz w:val="24"/>
          <w:szCs w:val="26"/>
          <w:lang w:val="es-ES" w:eastAsia="es-ES"/>
        </w:rPr>
        <w:tab/>
      </w:r>
      <w:r w:rsidR="00426DA0" w:rsidRPr="0074188F">
        <w:rPr>
          <w:rFonts w:ascii="Gadugi" w:eastAsia="Times New Roman" w:hAnsi="Gadugi" w:cs="Times New Roman"/>
          <w:sz w:val="24"/>
          <w:szCs w:val="26"/>
          <w:lang w:val="es-ES" w:eastAsia="es-ES"/>
        </w:rPr>
        <w:tab/>
      </w:r>
      <w:r w:rsidR="0074188F">
        <w:rPr>
          <w:rFonts w:ascii="Gadugi" w:eastAsia="Times New Roman" w:hAnsi="Gadugi" w:cs="Times New Roman"/>
          <w:sz w:val="24"/>
          <w:szCs w:val="26"/>
          <w:lang w:val="es-ES" w:eastAsia="es-ES"/>
        </w:rPr>
        <w:tab/>
      </w:r>
      <w:r w:rsidR="00426DA0"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Acta N°</w:t>
      </w:r>
      <w:r w:rsidRPr="0074188F">
        <w:rPr>
          <w:rFonts w:ascii="Gadugi" w:eastAsia="Times New Roman" w:hAnsi="Gadugi" w:cs="Times New Roman"/>
          <w:sz w:val="24"/>
          <w:szCs w:val="26"/>
          <w:lang w:val="es-419" w:eastAsia="es-ES"/>
        </w:rPr>
        <w:t xml:space="preserve"> </w:t>
      </w:r>
      <w:r w:rsidR="00AF6C3D" w:rsidRPr="0074188F">
        <w:rPr>
          <w:rFonts w:ascii="Gadugi" w:eastAsia="Times New Roman" w:hAnsi="Gadugi" w:cs="Times New Roman"/>
          <w:sz w:val="24"/>
          <w:szCs w:val="26"/>
          <w:lang w:val="es-419" w:eastAsia="es-ES"/>
        </w:rPr>
        <w:t>179 del 3 de mayo del 2019</w:t>
      </w:r>
      <w:r w:rsidR="00724256" w:rsidRPr="0074188F">
        <w:rPr>
          <w:rFonts w:ascii="Gadugi" w:eastAsia="Times New Roman" w:hAnsi="Gadugi" w:cs="Times New Roman"/>
          <w:sz w:val="24"/>
          <w:szCs w:val="26"/>
          <w:lang w:val="es-419" w:eastAsia="es-ES"/>
        </w:rPr>
        <w:t xml:space="preserve"> </w:t>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756044" w:rsidRPr="0074188F" w:rsidRDefault="00756044"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ES" w:eastAsia="es-ES"/>
        </w:rPr>
        <w:t xml:space="preserve">  </w:t>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t xml:space="preserve">Procede la Sala a decidir la </w:t>
      </w:r>
      <w:r w:rsidRPr="0074188F">
        <w:rPr>
          <w:rFonts w:ascii="Gadugi" w:eastAsia="Times New Roman" w:hAnsi="Gadugi" w:cs="Arial"/>
          <w:sz w:val="24"/>
          <w:szCs w:val="26"/>
          <w:lang w:val="es-419" w:eastAsia="es-ES"/>
        </w:rPr>
        <w:t xml:space="preserve">impugnación propuesta por la </w:t>
      </w:r>
      <w:r w:rsidRPr="0074188F">
        <w:rPr>
          <w:rFonts w:ascii="Gadugi" w:eastAsia="Times New Roman" w:hAnsi="Gadugi" w:cs="Arial"/>
          <w:sz w:val="24"/>
          <w:szCs w:val="26"/>
          <w:lang w:val="es-CO" w:eastAsia="es-ES"/>
        </w:rPr>
        <w:t>parte demandante</w:t>
      </w:r>
      <w:r w:rsidRPr="0074188F">
        <w:rPr>
          <w:rFonts w:ascii="Gadugi" w:eastAsia="Times New Roman" w:hAnsi="Gadugi" w:cs="Arial"/>
          <w:sz w:val="24"/>
          <w:szCs w:val="26"/>
          <w:lang w:val="es-419" w:eastAsia="es-ES"/>
        </w:rPr>
        <w:t xml:space="preserve"> contra la sentencia del </w:t>
      </w:r>
      <w:r w:rsidR="005273EA" w:rsidRPr="0074188F">
        <w:rPr>
          <w:rFonts w:ascii="Gadugi" w:eastAsia="Times New Roman" w:hAnsi="Gadugi" w:cs="Arial"/>
          <w:sz w:val="24"/>
          <w:szCs w:val="26"/>
          <w:lang w:val="es-419" w:eastAsia="es-ES"/>
        </w:rPr>
        <w:t>18</w:t>
      </w:r>
      <w:r w:rsidR="00F43CD2" w:rsidRPr="0074188F">
        <w:rPr>
          <w:rFonts w:ascii="Gadugi" w:eastAsia="Times New Roman" w:hAnsi="Gadugi" w:cs="Arial"/>
          <w:sz w:val="24"/>
          <w:szCs w:val="26"/>
          <w:lang w:val="es-419" w:eastAsia="es-ES"/>
        </w:rPr>
        <w:t xml:space="preserve"> de </w:t>
      </w:r>
      <w:r w:rsidR="005273EA" w:rsidRPr="0074188F">
        <w:rPr>
          <w:rFonts w:ascii="Gadugi" w:eastAsia="Times New Roman" w:hAnsi="Gadugi" w:cs="Arial"/>
          <w:sz w:val="24"/>
          <w:szCs w:val="26"/>
          <w:lang w:val="es-419" w:eastAsia="es-ES"/>
        </w:rPr>
        <w:t>febrero</w:t>
      </w:r>
      <w:r w:rsidR="00F43CD2" w:rsidRPr="0074188F">
        <w:rPr>
          <w:rFonts w:ascii="Gadugi" w:eastAsia="Times New Roman" w:hAnsi="Gadugi" w:cs="Arial"/>
          <w:sz w:val="24"/>
          <w:szCs w:val="26"/>
          <w:lang w:val="es-419" w:eastAsia="es-ES"/>
        </w:rPr>
        <w:t xml:space="preserve"> del 2019</w:t>
      </w:r>
      <w:r w:rsidRPr="0074188F">
        <w:rPr>
          <w:rFonts w:ascii="Gadugi" w:eastAsia="Times New Roman" w:hAnsi="Gadugi" w:cs="Arial"/>
          <w:sz w:val="24"/>
          <w:szCs w:val="26"/>
          <w:lang w:val="es-CO" w:eastAsia="es-ES"/>
        </w:rPr>
        <w:t>,</w:t>
      </w:r>
      <w:r w:rsidRPr="0074188F">
        <w:rPr>
          <w:rFonts w:ascii="Gadugi" w:eastAsia="Times New Roman" w:hAnsi="Gadugi" w:cs="Arial"/>
          <w:sz w:val="24"/>
          <w:szCs w:val="26"/>
          <w:lang w:val="es-419" w:eastAsia="es-ES"/>
        </w:rPr>
        <w:t xml:space="preserve"> proferida por el </w:t>
      </w:r>
      <w:r w:rsidR="00F43CD2" w:rsidRPr="0074188F">
        <w:rPr>
          <w:rFonts w:ascii="Gadugi" w:hAnsi="Gadugi" w:cs="Arial"/>
          <w:sz w:val="24"/>
          <w:szCs w:val="26"/>
          <w:lang w:val="es-419"/>
        </w:rPr>
        <w:t xml:space="preserve">Juzgado </w:t>
      </w:r>
      <w:r w:rsidR="00BE109A" w:rsidRPr="0074188F">
        <w:rPr>
          <w:rFonts w:ascii="Gadugi" w:hAnsi="Gadugi" w:cs="Arial"/>
          <w:sz w:val="24"/>
          <w:szCs w:val="26"/>
          <w:lang w:val="es-CO"/>
        </w:rPr>
        <w:t>Segundo de F</w:t>
      </w:r>
      <w:r w:rsidR="005273EA" w:rsidRPr="0074188F">
        <w:rPr>
          <w:rFonts w:ascii="Gadugi" w:hAnsi="Gadugi" w:cs="Arial"/>
          <w:sz w:val="24"/>
          <w:szCs w:val="26"/>
          <w:lang w:val="es-CO"/>
        </w:rPr>
        <w:t>amilia</w:t>
      </w:r>
      <w:r w:rsidR="00F43CD2" w:rsidRPr="0074188F">
        <w:rPr>
          <w:rFonts w:ascii="Gadugi" w:hAnsi="Gadugi" w:cs="Arial"/>
          <w:sz w:val="24"/>
          <w:szCs w:val="26"/>
          <w:lang w:val="es-CO"/>
        </w:rPr>
        <w:t xml:space="preserve"> de Pereira</w:t>
      </w:r>
      <w:r w:rsidRPr="0074188F">
        <w:rPr>
          <w:rFonts w:ascii="Gadugi" w:eastAsia="Times New Roman" w:hAnsi="Gadugi" w:cs="Arial"/>
          <w:sz w:val="24"/>
          <w:szCs w:val="26"/>
          <w:lang w:val="es-419" w:eastAsia="es-ES"/>
        </w:rPr>
        <w:t xml:space="preserve">, en esta </w:t>
      </w:r>
      <w:r w:rsidRPr="0074188F">
        <w:rPr>
          <w:rFonts w:ascii="Gadugi" w:eastAsia="Times New Roman" w:hAnsi="Gadugi" w:cs="Arial"/>
          <w:sz w:val="24"/>
          <w:szCs w:val="26"/>
          <w:lang w:val="es-ES" w:eastAsia="es-ES"/>
        </w:rPr>
        <w:t xml:space="preserve">acción de tutela que </w:t>
      </w:r>
      <w:r w:rsidR="005273EA" w:rsidRPr="0074188F">
        <w:rPr>
          <w:rFonts w:ascii="Gadugi" w:eastAsia="Times New Roman" w:hAnsi="Gadugi" w:cs="Arial"/>
          <w:b/>
          <w:sz w:val="24"/>
          <w:szCs w:val="26"/>
          <w:lang w:val="es-ES" w:eastAsia="es-ES"/>
        </w:rPr>
        <w:t xml:space="preserve">Absalón Hernández </w:t>
      </w:r>
      <w:proofErr w:type="spellStart"/>
      <w:r w:rsidR="005273EA" w:rsidRPr="0074188F">
        <w:rPr>
          <w:rFonts w:ascii="Gadugi" w:eastAsia="Times New Roman" w:hAnsi="Gadugi" w:cs="Arial"/>
          <w:b/>
          <w:sz w:val="24"/>
          <w:szCs w:val="26"/>
          <w:lang w:val="es-ES" w:eastAsia="es-ES"/>
        </w:rPr>
        <w:t>Hernández</w:t>
      </w:r>
      <w:proofErr w:type="spellEnd"/>
      <w:r w:rsidR="005273EA" w:rsidRPr="0074188F">
        <w:rPr>
          <w:rFonts w:ascii="Gadugi" w:eastAsia="Times New Roman" w:hAnsi="Gadugi" w:cs="Arial"/>
          <w:b/>
          <w:sz w:val="24"/>
          <w:szCs w:val="26"/>
          <w:lang w:val="es-ES" w:eastAsia="es-ES"/>
        </w:rPr>
        <w:t xml:space="preserve"> </w:t>
      </w:r>
      <w:r w:rsidRPr="0074188F">
        <w:rPr>
          <w:rFonts w:ascii="Gadugi" w:eastAsia="Times New Roman" w:hAnsi="Gadugi" w:cs="Arial"/>
          <w:sz w:val="24"/>
          <w:szCs w:val="26"/>
          <w:lang w:val="es-ES" w:eastAsia="es-ES"/>
        </w:rPr>
        <w:t xml:space="preserve">promovió </w:t>
      </w:r>
      <w:r w:rsidRPr="0074188F">
        <w:rPr>
          <w:rFonts w:ascii="Gadugi" w:eastAsia="Times New Roman" w:hAnsi="Gadugi" w:cs="Arial"/>
          <w:sz w:val="24"/>
          <w:szCs w:val="26"/>
          <w:lang w:val="es-419" w:eastAsia="es-ES"/>
        </w:rPr>
        <w:t xml:space="preserve">frente a </w:t>
      </w:r>
      <w:r w:rsidRPr="0074188F">
        <w:rPr>
          <w:rFonts w:ascii="Gadugi" w:eastAsia="Times New Roman" w:hAnsi="Gadugi" w:cs="Arial"/>
          <w:b/>
          <w:sz w:val="24"/>
          <w:szCs w:val="26"/>
          <w:lang w:val="es-ES" w:eastAsia="es-ES"/>
        </w:rPr>
        <w:t>C</w:t>
      </w:r>
      <w:r w:rsidR="005273EA" w:rsidRPr="0074188F">
        <w:rPr>
          <w:rFonts w:ascii="Gadugi" w:eastAsia="Times New Roman" w:hAnsi="Gadugi" w:cs="Arial"/>
          <w:b/>
          <w:sz w:val="24"/>
          <w:szCs w:val="26"/>
          <w:lang w:val="es-ES" w:eastAsia="es-ES"/>
        </w:rPr>
        <w:t>olpensiones</w:t>
      </w:r>
      <w:r w:rsidRPr="0074188F">
        <w:rPr>
          <w:rFonts w:ascii="Gadugi" w:eastAsia="Times New Roman" w:hAnsi="Gadugi" w:cs="Arial"/>
          <w:sz w:val="24"/>
          <w:szCs w:val="26"/>
          <w:lang w:val="es-ES" w:eastAsia="es-ES"/>
        </w:rPr>
        <w:t>.</w:t>
      </w:r>
    </w:p>
    <w:p w:rsidR="00756044" w:rsidRPr="0074188F" w:rsidRDefault="005273EA"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756044" w:rsidRPr="0074188F" w:rsidRDefault="00756044" w:rsidP="00A235A6">
      <w:pPr>
        <w:overflowPunct w:val="0"/>
        <w:autoSpaceDE w:val="0"/>
        <w:autoSpaceDN w:val="0"/>
        <w:adjustRightInd w:val="0"/>
        <w:spacing w:after="0" w:line="276" w:lineRule="auto"/>
        <w:textAlignment w:val="baseline"/>
        <w:rPr>
          <w:rFonts w:ascii="Gadugi" w:eastAsia="Times New Roman" w:hAnsi="Gadugi" w:cs="Arial"/>
          <w:b/>
          <w:bCs/>
          <w:sz w:val="24"/>
          <w:szCs w:val="26"/>
          <w:lang w:val="es-ES" w:eastAsia="es-ES"/>
        </w:rPr>
      </w:pPr>
      <w:r w:rsidRPr="0074188F">
        <w:rPr>
          <w:rFonts w:ascii="Gadugi" w:eastAsia="Times New Roman" w:hAnsi="Gadugi" w:cs="Arial"/>
          <w:b/>
          <w:bCs/>
          <w:sz w:val="24"/>
          <w:szCs w:val="26"/>
          <w:lang w:val="es-ES" w:eastAsia="es-ES"/>
        </w:rPr>
        <w:t xml:space="preserve">  </w:t>
      </w:r>
      <w:r w:rsidRPr="0074188F">
        <w:rPr>
          <w:rFonts w:ascii="Gadugi" w:eastAsia="Times New Roman" w:hAnsi="Gadugi" w:cs="Arial"/>
          <w:b/>
          <w:bCs/>
          <w:sz w:val="24"/>
          <w:szCs w:val="26"/>
          <w:lang w:val="es-ES" w:eastAsia="es-ES"/>
        </w:rPr>
        <w:tab/>
      </w:r>
      <w:r w:rsidRPr="0074188F">
        <w:rPr>
          <w:rFonts w:ascii="Gadugi" w:eastAsia="Times New Roman" w:hAnsi="Gadugi" w:cs="Arial"/>
          <w:b/>
          <w:bCs/>
          <w:sz w:val="24"/>
          <w:szCs w:val="26"/>
          <w:lang w:val="es-ES" w:eastAsia="es-ES"/>
        </w:rPr>
        <w:tab/>
      </w:r>
      <w:r w:rsidRPr="0074188F">
        <w:rPr>
          <w:rFonts w:ascii="Gadugi" w:eastAsia="Times New Roman" w:hAnsi="Gadugi" w:cs="Arial"/>
          <w:b/>
          <w:bCs/>
          <w:sz w:val="24"/>
          <w:szCs w:val="26"/>
          <w:lang w:val="es-ES" w:eastAsia="es-ES"/>
        </w:rPr>
        <w:tab/>
      </w:r>
      <w:r w:rsidRPr="0074188F">
        <w:rPr>
          <w:rFonts w:ascii="Gadugi" w:eastAsia="Times New Roman" w:hAnsi="Gadugi" w:cs="Arial"/>
          <w:b/>
          <w:bCs/>
          <w:sz w:val="24"/>
          <w:szCs w:val="26"/>
          <w:lang w:val="es-ES" w:eastAsia="es-ES"/>
        </w:rPr>
        <w:tab/>
      </w:r>
    </w:p>
    <w:p w:rsidR="00756044" w:rsidRPr="0074188F" w:rsidRDefault="00756044" w:rsidP="00A235A6">
      <w:pPr>
        <w:overflowPunct w:val="0"/>
        <w:autoSpaceDE w:val="0"/>
        <w:autoSpaceDN w:val="0"/>
        <w:adjustRightInd w:val="0"/>
        <w:spacing w:after="0" w:line="276" w:lineRule="auto"/>
        <w:textAlignment w:val="baseline"/>
        <w:rPr>
          <w:rFonts w:ascii="Gadugi" w:eastAsia="Times New Roman" w:hAnsi="Gadugi" w:cs="Arial"/>
          <w:sz w:val="24"/>
          <w:szCs w:val="26"/>
          <w:lang w:val="es-ES" w:eastAsia="es-ES"/>
        </w:rPr>
      </w:pPr>
      <w:r w:rsidRPr="0074188F">
        <w:rPr>
          <w:rFonts w:ascii="Gadugi" w:eastAsia="Times New Roman" w:hAnsi="Gadugi" w:cs="Arial"/>
          <w:b/>
          <w:bCs/>
          <w:sz w:val="24"/>
          <w:szCs w:val="26"/>
          <w:lang w:val="es-ES" w:eastAsia="es-ES"/>
        </w:rPr>
        <w:t xml:space="preserve">  </w:t>
      </w:r>
      <w:r w:rsidRPr="0074188F">
        <w:rPr>
          <w:rFonts w:ascii="Gadugi" w:eastAsia="Times New Roman" w:hAnsi="Gadugi" w:cs="Arial"/>
          <w:b/>
          <w:bCs/>
          <w:sz w:val="24"/>
          <w:szCs w:val="26"/>
          <w:lang w:val="es-ES" w:eastAsia="es-ES"/>
        </w:rPr>
        <w:tab/>
      </w:r>
      <w:r w:rsidRPr="0074188F">
        <w:rPr>
          <w:rFonts w:ascii="Gadugi" w:eastAsia="Times New Roman" w:hAnsi="Gadugi" w:cs="Arial"/>
          <w:b/>
          <w:bCs/>
          <w:sz w:val="24"/>
          <w:szCs w:val="26"/>
          <w:lang w:val="es-ES" w:eastAsia="es-ES"/>
        </w:rPr>
        <w:tab/>
      </w:r>
      <w:r w:rsidRPr="0074188F">
        <w:rPr>
          <w:rFonts w:ascii="Gadugi" w:eastAsia="Times New Roman" w:hAnsi="Gadugi" w:cs="Arial"/>
          <w:b/>
          <w:bCs/>
          <w:sz w:val="24"/>
          <w:szCs w:val="26"/>
          <w:lang w:val="es-ES" w:eastAsia="es-ES"/>
        </w:rPr>
        <w:tab/>
      </w:r>
      <w:r w:rsidRPr="0074188F">
        <w:rPr>
          <w:rFonts w:ascii="Gadugi" w:eastAsia="Times New Roman" w:hAnsi="Gadugi" w:cs="Arial"/>
          <w:b/>
          <w:bCs/>
          <w:sz w:val="24"/>
          <w:szCs w:val="26"/>
          <w:lang w:val="es-ES" w:eastAsia="es-ES"/>
        </w:rPr>
        <w:tab/>
        <w:t>ANTECEDENTES</w:t>
      </w:r>
    </w:p>
    <w:p w:rsidR="00756044" w:rsidRPr="0074188F" w:rsidRDefault="005273EA" w:rsidP="00A235A6">
      <w:pPr>
        <w:overflowPunct w:val="0"/>
        <w:autoSpaceDE w:val="0"/>
        <w:autoSpaceDN w:val="0"/>
        <w:adjustRightInd w:val="0"/>
        <w:spacing w:after="0" w:line="276" w:lineRule="auto"/>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756044" w:rsidRPr="0074188F" w:rsidRDefault="005273EA"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756044" w:rsidRPr="0074188F" w:rsidRDefault="00756044"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 xml:space="preserve">  </w:t>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005273EA" w:rsidRPr="0074188F">
        <w:rPr>
          <w:rFonts w:ascii="Gadugi" w:eastAsia="Times New Roman" w:hAnsi="Gadugi" w:cs="Arial"/>
          <w:sz w:val="24"/>
          <w:szCs w:val="26"/>
          <w:lang w:val="es-ES" w:eastAsia="es-ES"/>
        </w:rPr>
        <w:t>En su propio nombre</w:t>
      </w:r>
      <w:r w:rsidR="006E3819" w:rsidRPr="0074188F">
        <w:rPr>
          <w:rFonts w:ascii="Gadugi" w:eastAsia="Times New Roman" w:hAnsi="Gadugi" w:cs="Arial"/>
          <w:sz w:val="24"/>
          <w:szCs w:val="26"/>
          <w:lang w:val="es-ES" w:eastAsia="es-ES"/>
        </w:rPr>
        <w:t>, acudió</w:t>
      </w:r>
      <w:r w:rsidRPr="0074188F">
        <w:rPr>
          <w:rFonts w:ascii="Gadugi" w:eastAsia="Times New Roman" w:hAnsi="Gadugi" w:cs="Arial"/>
          <w:sz w:val="24"/>
          <w:szCs w:val="26"/>
          <w:lang w:val="es-419" w:eastAsia="es-ES"/>
        </w:rPr>
        <w:t xml:space="preserve"> </w:t>
      </w:r>
      <w:r w:rsidR="000E068E" w:rsidRPr="0074188F">
        <w:rPr>
          <w:rFonts w:ascii="Gadugi" w:eastAsia="Times New Roman" w:hAnsi="Gadugi" w:cs="Arial"/>
          <w:sz w:val="24"/>
          <w:szCs w:val="26"/>
          <w:lang w:val="es-419" w:eastAsia="es-ES"/>
        </w:rPr>
        <w:t>el</w:t>
      </w:r>
      <w:r w:rsidRPr="0074188F">
        <w:rPr>
          <w:rFonts w:ascii="Gadugi" w:eastAsia="Times New Roman" w:hAnsi="Gadugi" w:cs="Arial"/>
          <w:sz w:val="24"/>
          <w:szCs w:val="26"/>
          <w:lang w:val="es-ES" w:eastAsia="es-ES"/>
        </w:rPr>
        <w:t xml:space="preserve"> demandante en procura de la protección de sus derechos fundamentales</w:t>
      </w:r>
      <w:r w:rsidR="006E3819" w:rsidRPr="0074188F">
        <w:rPr>
          <w:rFonts w:ascii="Gadugi" w:eastAsia="Times New Roman" w:hAnsi="Gadugi" w:cs="Arial"/>
          <w:sz w:val="24"/>
          <w:szCs w:val="26"/>
          <w:lang w:val="es-ES" w:eastAsia="es-ES"/>
        </w:rPr>
        <w:t xml:space="preserve"> </w:t>
      </w:r>
      <w:r w:rsidR="005273EA" w:rsidRPr="0074188F">
        <w:rPr>
          <w:rFonts w:ascii="Gadugi" w:eastAsia="Times New Roman" w:hAnsi="Gadugi" w:cs="Arial"/>
          <w:sz w:val="24"/>
          <w:szCs w:val="26"/>
          <w:lang w:val="es-ES" w:eastAsia="es-ES"/>
        </w:rPr>
        <w:t>al mínimo vital, dignidad humana, igualdad y seguridad social integral</w:t>
      </w:r>
      <w:r w:rsidR="006E3819" w:rsidRPr="0074188F">
        <w:rPr>
          <w:rFonts w:ascii="Gadugi" w:eastAsia="Times New Roman" w:hAnsi="Gadugi" w:cs="Arial"/>
          <w:sz w:val="24"/>
          <w:szCs w:val="26"/>
          <w:lang w:val="es-ES" w:eastAsia="es-ES"/>
        </w:rPr>
        <w:t>,</w:t>
      </w:r>
      <w:r w:rsidRPr="0074188F">
        <w:rPr>
          <w:rFonts w:ascii="Gadugi" w:eastAsia="Times New Roman" w:hAnsi="Gadugi" w:cs="Arial"/>
          <w:sz w:val="24"/>
          <w:szCs w:val="26"/>
          <w:lang w:val="es-ES" w:eastAsia="es-ES"/>
        </w:rPr>
        <w:t xml:space="preserve"> que estima lesionados por la </w:t>
      </w:r>
      <w:r w:rsidR="00077766" w:rsidRPr="0074188F">
        <w:rPr>
          <w:rFonts w:ascii="Gadugi" w:eastAsia="Times New Roman" w:hAnsi="Gadugi" w:cs="Arial"/>
          <w:sz w:val="24"/>
          <w:szCs w:val="26"/>
          <w:lang w:val="es-419" w:eastAsia="es-ES"/>
        </w:rPr>
        <w:t>entidad</w:t>
      </w:r>
      <w:r w:rsidR="00F43CD2" w:rsidRPr="0074188F">
        <w:rPr>
          <w:rFonts w:ascii="Gadugi" w:eastAsia="Times New Roman" w:hAnsi="Gadugi" w:cs="Arial"/>
          <w:sz w:val="24"/>
          <w:szCs w:val="26"/>
          <w:lang w:val="es-ES" w:eastAsia="es-ES"/>
        </w:rPr>
        <w:t xml:space="preserve"> accionada. </w:t>
      </w:r>
    </w:p>
    <w:p w:rsidR="00756044" w:rsidRPr="0074188F" w:rsidRDefault="006E3819"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5273EA" w:rsidRPr="0074188F" w:rsidRDefault="00756044"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419" w:eastAsia="es-ES"/>
        </w:rPr>
      </w:pPr>
      <w:r w:rsidRPr="0074188F">
        <w:rPr>
          <w:rFonts w:ascii="Gadugi" w:eastAsia="Times New Roman" w:hAnsi="Gadugi" w:cs="Arial"/>
          <w:sz w:val="24"/>
          <w:szCs w:val="26"/>
          <w:lang w:val="es-ES" w:eastAsia="es-ES"/>
        </w:rPr>
        <w:lastRenderedPageBreak/>
        <w:t xml:space="preserve">  </w:t>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00BC6F09" w:rsidRPr="0074188F">
        <w:rPr>
          <w:rFonts w:ascii="Gadugi" w:eastAsia="Times New Roman" w:hAnsi="Gadugi" w:cs="Arial"/>
          <w:sz w:val="24"/>
          <w:szCs w:val="26"/>
          <w:lang w:val="es-419" w:eastAsia="es-ES"/>
        </w:rPr>
        <w:t>Narró</w:t>
      </w:r>
      <w:r w:rsidR="00712825" w:rsidRPr="0074188F">
        <w:rPr>
          <w:rFonts w:ascii="Gadugi" w:eastAsia="Times New Roman" w:hAnsi="Gadugi" w:cs="Arial"/>
          <w:sz w:val="24"/>
          <w:szCs w:val="26"/>
          <w:lang w:val="es-419" w:eastAsia="es-ES"/>
        </w:rPr>
        <w:t xml:space="preserve"> </w:t>
      </w:r>
      <w:r w:rsidR="006E3819" w:rsidRPr="0074188F">
        <w:rPr>
          <w:rFonts w:ascii="Gadugi" w:eastAsia="Times New Roman" w:hAnsi="Gadugi" w:cs="Arial"/>
          <w:sz w:val="24"/>
          <w:szCs w:val="26"/>
          <w:lang w:val="es-419" w:eastAsia="es-ES"/>
        </w:rPr>
        <w:t>que</w:t>
      </w:r>
      <w:r w:rsidR="00BC6F09" w:rsidRPr="0074188F">
        <w:rPr>
          <w:rFonts w:ascii="Gadugi" w:eastAsia="Times New Roman" w:hAnsi="Gadugi" w:cs="Arial"/>
          <w:sz w:val="24"/>
          <w:szCs w:val="26"/>
          <w:lang w:val="es-419" w:eastAsia="es-ES"/>
        </w:rPr>
        <w:t xml:space="preserve"> </w:t>
      </w:r>
      <w:r w:rsidR="005273EA" w:rsidRPr="0074188F">
        <w:rPr>
          <w:rFonts w:ascii="Gadugi" w:eastAsia="Times New Roman" w:hAnsi="Gadugi" w:cs="Arial"/>
          <w:sz w:val="24"/>
          <w:szCs w:val="26"/>
          <w:lang w:val="es-419" w:eastAsia="es-ES"/>
        </w:rPr>
        <w:t>nació el 5 de agosto del año 1946</w:t>
      </w:r>
      <w:r w:rsidR="009D1C3C" w:rsidRPr="0074188F">
        <w:rPr>
          <w:rFonts w:ascii="Gadugi" w:eastAsia="Times New Roman" w:hAnsi="Gadugi" w:cs="Arial"/>
          <w:sz w:val="24"/>
          <w:szCs w:val="26"/>
          <w:lang w:val="es-419" w:eastAsia="es-ES"/>
        </w:rPr>
        <w:t xml:space="preserve"> y</w:t>
      </w:r>
      <w:r w:rsidR="005273EA" w:rsidRPr="0074188F">
        <w:rPr>
          <w:rFonts w:ascii="Gadugi" w:eastAsia="Times New Roman" w:hAnsi="Gadugi" w:cs="Arial"/>
          <w:sz w:val="24"/>
          <w:szCs w:val="26"/>
          <w:lang w:val="es-419" w:eastAsia="es-ES"/>
        </w:rPr>
        <w:t xml:space="preserve"> el 25 de julio del 2016 fue calificado por la Junta Regional de Calificación de Invalidez de Risaralda con un 50,14% de pérdida de capacidad laboral, por enfermedad común, con fecha de estructuración del 14 de abril de ese mismo año. </w:t>
      </w:r>
    </w:p>
    <w:p w:rsidR="005273EA" w:rsidRPr="0074188F" w:rsidRDefault="005273EA"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419" w:eastAsia="es-ES"/>
        </w:rPr>
      </w:pPr>
    </w:p>
    <w:p w:rsidR="00004092" w:rsidRPr="0074188F" w:rsidRDefault="005273EA"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t>Por lo anterior solicitó ante la entidad encartada el reconocimiento y pago de su pensión de invalidez</w:t>
      </w:r>
      <w:r w:rsidR="00BE109A"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419" w:eastAsia="es-ES"/>
        </w:rPr>
        <w:t xml:space="preserve"> la que fue negada en doble instancia por no cumplir con los requisitos establecidos en el </w:t>
      </w:r>
      <w:r w:rsidR="00004092" w:rsidRPr="0074188F">
        <w:rPr>
          <w:rFonts w:ascii="Gadugi" w:eastAsia="Times New Roman" w:hAnsi="Gadugi" w:cs="Arial"/>
          <w:sz w:val="24"/>
          <w:szCs w:val="26"/>
          <w:lang w:val="es-419" w:eastAsia="es-ES"/>
        </w:rPr>
        <w:t xml:space="preserve">artículo 1º </w:t>
      </w:r>
      <w:r w:rsidR="00004092" w:rsidRPr="0074188F">
        <w:rPr>
          <w:rFonts w:ascii="Gadugi" w:eastAsia="Times New Roman" w:hAnsi="Gadugi" w:cs="Arial"/>
          <w:sz w:val="24"/>
          <w:szCs w:val="26"/>
          <w:lang w:val="es-CO" w:eastAsia="es-ES"/>
        </w:rPr>
        <w:t xml:space="preserve"> de la ley 860 del 2003, es decir no reunir 50 semanas de cotización en los 3 años anteriores a la fecha de estructuración.</w:t>
      </w:r>
    </w:p>
    <w:p w:rsidR="00004092" w:rsidRPr="0074188F" w:rsidRDefault="0000409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p>
    <w:p w:rsidR="00004092" w:rsidRPr="0074188F" w:rsidRDefault="0000409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t>Manifiesta que es claro que no cumple con las exigencias de la citada norma, pero si con las del artículo 6ª del acuerdo 049 de 1990</w:t>
      </w:r>
      <w:r w:rsidR="0046299F" w:rsidRPr="0074188F">
        <w:rPr>
          <w:rFonts w:ascii="Gadugi" w:eastAsia="Times New Roman" w:hAnsi="Gadugi" w:cs="Arial"/>
          <w:sz w:val="24"/>
          <w:szCs w:val="26"/>
          <w:lang w:val="es-419" w:eastAsia="es-ES"/>
        </w:rPr>
        <w:t>,</w:t>
      </w:r>
      <w:r w:rsidR="00BE109A" w:rsidRPr="0074188F">
        <w:rPr>
          <w:rFonts w:ascii="Gadugi" w:eastAsia="Times New Roman" w:hAnsi="Gadugi" w:cs="Arial"/>
          <w:sz w:val="24"/>
          <w:szCs w:val="26"/>
          <w:lang w:val="es-CO" w:eastAsia="es-ES"/>
        </w:rPr>
        <w:t xml:space="preserve"> </w:t>
      </w:r>
      <w:r w:rsidRPr="0074188F">
        <w:rPr>
          <w:rFonts w:ascii="Gadugi" w:eastAsia="Times New Roman" w:hAnsi="Gadugi" w:cs="Arial"/>
          <w:sz w:val="24"/>
          <w:szCs w:val="26"/>
          <w:lang w:val="es-CO" w:eastAsia="es-ES"/>
        </w:rPr>
        <w:t>es decir</w:t>
      </w:r>
      <w:r w:rsidR="0046299F"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más del 50% de pérdida de capacidad laboral y 300 semanas cotizadas en cualquier tiempo</w:t>
      </w:r>
      <w:r w:rsidR="0046299F"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por lo cual debe reconocérsele la subvención en virtud del principio de condición más beneficiosa. </w:t>
      </w:r>
    </w:p>
    <w:p w:rsidR="00EA27C8" w:rsidRPr="0074188F" w:rsidRDefault="0000409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p>
    <w:p w:rsidR="00004092" w:rsidRPr="0074188F" w:rsidRDefault="00EA27C8"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419" w:eastAsia="es-ES"/>
        </w:rPr>
        <w:t xml:space="preserve">  </w:t>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00004092" w:rsidRPr="0074188F">
        <w:rPr>
          <w:rFonts w:ascii="Gadugi" w:eastAsia="Times New Roman" w:hAnsi="Gadugi" w:cs="Arial"/>
          <w:sz w:val="24"/>
          <w:szCs w:val="26"/>
          <w:lang w:val="es-CO" w:eastAsia="es-ES"/>
        </w:rPr>
        <w:t xml:space="preserve">Adujo que atraviesa un grave estado de salud que le impide trabajar y una deplorable situación económica </w:t>
      </w:r>
    </w:p>
    <w:p w:rsidR="00F43CD2" w:rsidRPr="0074188F" w:rsidRDefault="0000409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419"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005273EA" w:rsidRPr="0074188F">
        <w:rPr>
          <w:rFonts w:ascii="Gadugi" w:eastAsia="Times New Roman" w:hAnsi="Gadugi" w:cs="Arial"/>
          <w:sz w:val="24"/>
          <w:szCs w:val="26"/>
          <w:lang w:val="es-419" w:eastAsia="es-ES"/>
        </w:rPr>
        <w:t xml:space="preserve"> </w:t>
      </w:r>
    </w:p>
    <w:p w:rsidR="008D27F3" w:rsidRPr="0074188F" w:rsidRDefault="008D27F3"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419" w:eastAsia="es-ES"/>
        </w:rPr>
      </w:pP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ES" w:eastAsia="es-ES"/>
        </w:rPr>
        <w:t>Pidió, en consecuencia, el amparo de los derechos invocados</w:t>
      </w:r>
      <w:r w:rsidRPr="0074188F">
        <w:rPr>
          <w:rFonts w:ascii="Gadugi" w:eastAsia="Times New Roman" w:hAnsi="Gadugi" w:cs="Arial"/>
          <w:sz w:val="24"/>
          <w:szCs w:val="26"/>
          <w:lang w:val="es-419" w:eastAsia="es-ES"/>
        </w:rPr>
        <w:t xml:space="preserve"> con la orden a Colpensiones de reconocer la pensión de invalidez en su favor con fundamento en el </w:t>
      </w:r>
      <w:r w:rsidR="008E58CD" w:rsidRPr="0074188F">
        <w:rPr>
          <w:rFonts w:ascii="Gadugi" w:eastAsia="Times New Roman" w:hAnsi="Gadugi" w:cs="Arial"/>
          <w:sz w:val="24"/>
          <w:szCs w:val="26"/>
          <w:lang w:val="es-419" w:eastAsia="es-ES"/>
        </w:rPr>
        <w:t>A</w:t>
      </w:r>
      <w:r w:rsidRPr="0074188F">
        <w:rPr>
          <w:rFonts w:ascii="Gadugi" w:eastAsia="Times New Roman" w:hAnsi="Gadugi" w:cs="Arial"/>
          <w:sz w:val="24"/>
          <w:szCs w:val="26"/>
          <w:lang w:val="es-419" w:eastAsia="es-ES"/>
        </w:rPr>
        <w:t>cuerdo  049 de 1990</w:t>
      </w:r>
      <w:r w:rsidR="00194701" w:rsidRPr="0074188F">
        <w:rPr>
          <w:rFonts w:ascii="Gadugi" w:eastAsia="Times New Roman" w:hAnsi="Gadugi" w:cs="Arial"/>
          <w:sz w:val="24"/>
          <w:szCs w:val="26"/>
          <w:lang w:val="es-419" w:eastAsia="es-ES"/>
        </w:rPr>
        <w:t xml:space="preserve"> y la sentencia SU 442 del 2016.</w:t>
      </w:r>
    </w:p>
    <w:p w:rsidR="00674A22" w:rsidRPr="0074188F" w:rsidRDefault="00674A2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419" w:eastAsia="es-ES"/>
        </w:rPr>
      </w:pPr>
    </w:p>
    <w:p w:rsidR="00194701" w:rsidRPr="0074188F" w:rsidRDefault="00674A2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ES" w:eastAsia="es-ES"/>
        </w:rPr>
        <w:t xml:space="preserve">El Juzgado de primer grado dio trámite a la acción y notificó de lo pertinente </w:t>
      </w:r>
      <w:r w:rsidR="00194701" w:rsidRPr="0074188F">
        <w:rPr>
          <w:rFonts w:ascii="Gadugi" w:eastAsia="Times New Roman" w:hAnsi="Gadugi" w:cs="Arial"/>
          <w:sz w:val="24"/>
          <w:szCs w:val="26"/>
          <w:lang w:val="es-ES" w:eastAsia="es-ES"/>
        </w:rPr>
        <w:t>a la Subdirectora de Determinación IX y la Directora de Prestaciones Económicas de Colpensiones.</w:t>
      </w:r>
    </w:p>
    <w:p w:rsidR="00194701" w:rsidRPr="0074188F" w:rsidRDefault="00194701"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p>
    <w:p w:rsidR="00194701" w:rsidRPr="0074188F" w:rsidRDefault="00194701"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t>Compareció la Directora de Acciones Constitucionales de la entidad accionada</w:t>
      </w:r>
      <w:r w:rsidR="00890802" w:rsidRPr="0074188F">
        <w:rPr>
          <w:rFonts w:ascii="Gadugi" w:eastAsia="Times New Roman" w:hAnsi="Gadugi" w:cs="Arial"/>
          <w:sz w:val="24"/>
          <w:szCs w:val="26"/>
          <w:lang w:val="es-ES" w:eastAsia="es-ES"/>
        </w:rPr>
        <w:t>,</w:t>
      </w:r>
      <w:r w:rsidRPr="0074188F">
        <w:rPr>
          <w:rFonts w:ascii="Gadugi" w:eastAsia="Times New Roman" w:hAnsi="Gadugi" w:cs="Arial"/>
          <w:sz w:val="24"/>
          <w:szCs w:val="26"/>
          <w:lang w:val="es-ES" w:eastAsia="es-ES"/>
        </w:rPr>
        <w:t xml:space="preserve"> </w:t>
      </w:r>
      <w:r w:rsidR="00890802" w:rsidRPr="0074188F">
        <w:rPr>
          <w:rFonts w:ascii="Gadugi" w:eastAsia="Times New Roman" w:hAnsi="Gadugi" w:cs="Arial"/>
          <w:sz w:val="24"/>
          <w:szCs w:val="26"/>
          <w:lang w:val="es-ES" w:eastAsia="es-ES"/>
        </w:rPr>
        <w:t xml:space="preserve">indicó que esta demanda desconoce el carácter subsidiario de la acción de tutela, que la fecha de estructuración de la invalidez del solicitante data del 14 de abril del 2016, por lo que la norma aplicable a su caso es el artículo 39 de la ley 100 de 1993 y en tal virtud comoquiera que entre el 14 de abril del 2016 y el 14 de abril del 2013 no se registran semanas cotizadas se negó el reconocimiento solicitado. </w:t>
      </w:r>
      <w:r w:rsidR="00FD24E2" w:rsidRPr="0074188F">
        <w:rPr>
          <w:rFonts w:ascii="Gadugi" w:eastAsia="Times New Roman" w:hAnsi="Gadugi" w:cs="Arial"/>
          <w:sz w:val="24"/>
          <w:szCs w:val="26"/>
          <w:lang w:val="es-ES" w:eastAsia="es-ES"/>
        </w:rPr>
        <w:t>Solicitó denegar la demanda.</w:t>
      </w:r>
    </w:p>
    <w:p w:rsidR="00756044" w:rsidRPr="0074188F" w:rsidRDefault="00890802"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00756044" w:rsidRPr="0074188F">
        <w:rPr>
          <w:rFonts w:ascii="Gadugi" w:eastAsia="Times New Roman" w:hAnsi="Gadugi" w:cs="Arial"/>
          <w:sz w:val="24"/>
          <w:szCs w:val="26"/>
          <w:lang w:val="es-ES" w:eastAsia="es-ES"/>
        </w:rPr>
        <w:t xml:space="preserve">  </w:t>
      </w:r>
      <w:r w:rsidR="00756044" w:rsidRPr="0074188F">
        <w:rPr>
          <w:rFonts w:ascii="Gadugi" w:eastAsia="Times New Roman" w:hAnsi="Gadugi" w:cs="Arial"/>
          <w:sz w:val="24"/>
          <w:szCs w:val="26"/>
          <w:lang w:val="es-ES" w:eastAsia="es-ES"/>
        </w:rPr>
        <w:tab/>
      </w:r>
      <w:r w:rsidR="00756044" w:rsidRPr="0074188F">
        <w:rPr>
          <w:rFonts w:ascii="Gadugi" w:eastAsia="Times New Roman" w:hAnsi="Gadugi" w:cs="Arial"/>
          <w:sz w:val="24"/>
          <w:szCs w:val="26"/>
          <w:lang w:val="es-ES" w:eastAsia="es-ES"/>
        </w:rPr>
        <w:tab/>
      </w:r>
      <w:r w:rsidR="00756044" w:rsidRPr="0074188F">
        <w:rPr>
          <w:rFonts w:ascii="Gadugi" w:eastAsia="Times New Roman" w:hAnsi="Gadugi" w:cs="Arial"/>
          <w:sz w:val="24"/>
          <w:szCs w:val="26"/>
          <w:lang w:val="es-ES" w:eastAsia="es-ES"/>
        </w:rPr>
        <w:tab/>
      </w:r>
      <w:r w:rsidR="00756044" w:rsidRPr="0074188F">
        <w:rPr>
          <w:rFonts w:ascii="Gadugi" w:eastAsia="Times New Roman" w:hAnsi="Gadugi" w:cs="Arial"/>
          <w:sz w:val="24"/>
          <w:szCs w:val="26"/>
          <w:lang w:val="es-ES" w:eastAsia="es-ES"/>
        </w:rPr>
        <w:tab/>
      </w:r>
    </w:p>
    <w:p w:rsidR="00FD24E2" w:rsidRPr="0074188F" w:rsidRDefault="00756044"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t xml:space="preserve">Sobrevino el fallo de primer grado que </w:t>
      </w:r>
      <w:r w:rsidR="00FD24E2" w:rsidRPr="0074188F">
        <w:rPr>
          <w:rFonts w:ascii="Gadugi" w:eastAsia="Times New Roman" w:hAnsi="Gadugi" w:cs="Arial"/>
          <w:sz w:val="24"/>
          <w:szCs w:val="26"/>
          <w:lang w:val="es-ES" w:eastAsia="es-ES"/>
        </w:rPr>
        <w:t>estimó improcedente el resguardo</w:t>
      </w:r>
      <w:r w:rsidR="0046299F" w:rsidRPr="0074188F">
        <w:rPr>
          <w:rFonts w:ascii="Gadugi" w:eastAsia="Times New Roman" w:hAnsi="Gadugi" w:cs="Arial"/>
          <w:sz w:val="24"/>
          <w:szCs w:val="26"/>
          <w:lang w:val="es-419" w:eastAsia="es-ES"/>
        </w:rPr>
        <w:t>. E</w:t>
      </w:r>
      <w:r w:rsidR="00FD24E2" w:rsidRPr="0074188F">
        <w:rPr>
          <w:rFonts w:ascii="Gadugi" w:eastAsia="Times New Roman" w:hAnsi="Gadugi" w:cs="Arial"/>
          <w:sz w:val="24"/>
          <w:szCs w:val="26"/>
          <w:lang w:val="es-ES" w:eastAsia="es-ES"/>
        </w:rPr>
        <w:t xml:space="preserve">l fundamento principal para así decidir fue que el señor Hernández </w:t>
      </w:r>
      <w:proofErr w:type="spellStart"/>
      <w:r w:rsidR="00FD24E2" w:rsidRPr="0074188F">
        <w:rPr>
          <w:rFonts w:ascii="Gadugi" w:eastAsia="Times New Roman" w:hAnsi="Gadugi" w:cs="Arial"/>
          <w:sz w:val="24"/>
          <w:szCs w:val="26"/>
          <w:lang w:val="es-ES" w:eastAsia="es-ES"/>
        </w:rPr>
        <w:t>Hernández</w:t>
      </w:r>
      <w:proofErr w:type="spellEnd"/>
      <w:r w:rsidR="00FD24E2" w:rsidRPr="0074188F">
        <w:rPr>
          <w:rFonts w:ascii="Gadugi" w:eastAsia="Times New Roman" w:hAnsi="Gadugi" w:cs="Arial"/>
          <w:sz w:val="24"/>
          <w:szCs w:val="26"/>
          <w:lang w:val="es-ES" w:eastAsia="es-ES"/>
        </w:rPr>
        <w:t xml:space="preserve"> mostró una actitud pasiva a la hora de elevar la reclamación pensional</w:t>
      </w:r>
      <w:r w:rsidR="0046299F" w:rsidRPr="0074188F">
        <w:rPr>
          <w:rFonts w:ascii="Gadugi" w:eastAsia="Times New Roman" w:hAnsi="Gadugi" w:cs="Arial"/>
          <w:sz w:val="24"/>
          <w:szCs w:val="26"/>
          <w:lang w:val="es-419" w:eastAsia="es-ES"/>
        </w:rPr>
        <w:t>,</w:t>
      </w:r>
      <w:r w:rsidR="00FD24E2" w:rsidRPr="0074188F">
        <w:rPr>
          <w:rFonts w:ascii="Gadugi" w:eastAsia="Times New Roman" w:hAnsi="Gadugi" w:cs="Arial"/>
          <w:sz w:val="24"/>
          <w:szCs w:val="26"/>
          <w:lang w:val="es-ES" w:eastAsia="es-ES"/>
        </w:rPr>
        <w:t xml:space="preserve"> si se tiene en cuenta que la calificación de pérdida laboral data de más de dos años y medio atrás. </w:t>
      </w:r>
    </w:p>
    <w:p w:rsidR="00756044" w:rsidRPr="0074188F" w:rsidRDefault="008B4181"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lastRenderedPageBreak/>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5B6943" w:rsidRPr="0074188F" w:rsidRDefault="00F46E71"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t>Impugnó el</w:t>
      </w:r>
      <w:r w:rsidR="00756044" w:rsidRPr="0074188F">
        <w:rPr>
          <w:rFonts w:ascii="Gadugi" w:eastAsia="Times New Roman" w:hAnsi="Gadugi" w:cs="Arial"/>
          <w:sz w:val="24"/>
          <w:szCs w:val="26"/>
          <w:lang w:val="es-CO" w:eastAsia="es-ES"/>
        </w:rPr>
        <w:t xml:space="preserve"> demandante</w:t>
      </w:r>
      <w:r w:rsidR="00756044" w:rsidRPr="0074188F">
        <w:rPr>
          <w:rFonts w:ascii="Gadugi" w:eastAsia="Times New Roman" w:hAnsi="Gadugi" w:cs="Arial"/>
          <w:sz w:val="24"/>
          <w:szCs w:val="26"/>
          <w:lang w:val="es-419" w:eastAsia="es-ES"/>
        </w:rPr>
        <w:t xml:space="preserve">, </w:t>
      </w:r>
      <w:r w:rsidR="00756044" w:rsidRPr="0074188F">
        <w:rPr>
          <w:rFonts w:ascii="Gadugi" w:eastAsia="Times New Roman" w:hAnsi="Gadugi" w:cs="Arial"/>
          <w:sz w:val="24"/>
          <w:szCs w:val="26"/>
          <w:lang w:val="es-CO" w:eastAsia="es-ES"/>
        </w:rPr>
        <w:t xml:space="preserve">quien </w:t>
      </w:r>
      <w:r w:rsidR="005B6943" w:rsidRPr="0074188F">
        <w:rPr>
          <w:rFonts w:ascii="Gadugi" w:eastAsia="Times New Roman" w:hAnsi="Gadugi" w:cs="Arial"/>
          <w:sz w:val="24"/>
          <w:szCs w:val="26"/>
          <w:lang w:val="es-CO" w:eastAsia="es-ES"/>
        </w:rPr>
        <w:t>explicó que su tardanza para dar inicio a la solicitud pensional se debió a que después a su proceso de calificación de pérdida de capacidad laboral, intentó realizar un trámite administrativo ante Colpensiones llamado “solicitud de cálculos actuariales por omisión de empleador”, con el fin de que un empleador que tuvo entre el 2 de octubre del 2013 y el 15 de diciembre del 2014</w:t>
      </w:r>
      <w:r w:rsidR="00730FB0" w:rsidRPr="0074188F">
        <w:rPr>
          <w:rFonts w:ascii="Gadugi" w:eastAsia="Times New Roman" w:hAnsi="Gadugi" w:cs="Arial"/>
          <w:sz w:val="24"/>
          <w:szCs w:val="26"/>
          <w:lang w:val="es-CO" w:eastAsia="es-ES"/>
        </w:rPr>
        <w:t xml:space="preserve"> pagara una obligación en mora, lo que de haber resultado avante, le hubiera evitado tener que acudir a esta vía constitucional para reclamar su pensión en virtud de la aplicación del principio de condición más beneficiosa. </w:t>
      </w:r>
    </w:p>
    <w:p w:rsidR="00730FB0" w:rsidRPr="0074188F" w:rsidRDefault="00730FB0"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p>
    <w:p w:rsidR="00907DCF" w:rsidRPr="0074188F" w:rsidRDefault="00730FB0"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6"/>
          <w:lang w:val="es-ES" w:eastAsia="es-ES"/>
        </w:rPr>
      </w:pPr>
      <w:r w:rsidRPr="0074188F">
        <w:rPr>
          <w:rFonts w:ascii="Gadugi" w:eastAsia="Times New Roman" w:hAnsi="Gadugi" w:cs="Arial"/>
          <w:b/>
          <w:sz w:val="24"/>
          <w:szCs w:val="26"/>
          <w:lang w:val="es-ES" w:eastAsia="es-ES"/>
        </w:rPr>
        <w:t>CONSIDERACIONES</w:t>
      </w:r>
    </w:p>
    <w:p w:rsidR="00756044" w:rsidRPr="0074188F" w:rsidRDefault="00756044" w:rsidP="00A235A6">
      <w:pPr>
        <w:autoSpaceDE w:val="0"/>
        <w:autoSpaceDN w:val="0"/>
        <w:adjustRightInd w:val="0"/>
        <w:spacing w:after="0" w:line="276" w:lineRule="auto"/>
        <w:jc w:val="both"/>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 xml:space="preserve">  </w:t>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756044" w:rsidRPr="0074188F" w:rsidRDefault="00674A22" w:rsidP="00A235A6">
      <w:pPr>
        <w:autoSpaceDE w:val="0"/>
        <w:autoSpaceDN w:val="0"/>
        <w:adjustRightInd w:val="0"/>
        <w:spacing w:after="0" w:line="276" w:lineRule="auto"/>
        <w:jc w:val="both"/>
        <w:rPr>
          <w:rFonts w:ascii="Gadugi" w:eastAsia="Times New Roman" w:hAnsi="Gadugi" w:cs="Arial"/>
          <w:sz w:val="24"/>
          <w:szCs w:val="26"/>
          <w:lang w:val="es-ES" w:eastAsia="es-ES"/>
        </w:rPr>
      </w:pP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r w:rsidRPr="0074188F">
        <w:rPr>
          <w:rFonts w:ascii="Gadugi" w:eastAsia="Times New Roman" w:hAnsi="Gadugi" w:cs="Arial"/>
          <w:sz w:val="24"/>
          <w:szCs w:val="26"/>
          <w:lang w:val="es-ES" w:eastAsia="es-ES"/>
        </w:rPr>
        <w:tab/>
      </w:r>
    </w:p>
    <w:p w:rsidR="00756044" w:rsidRPr="0074188F" w:rsidRDefault="00756044" w:rsidP="00A235A6">
      <w:pPr>
        <w:autoSpaceDE w:val="0"/>
        <w:autoSpaceDN w:val="0"/>
        <w:adjustRightInd w:val="0"/>
        <w:spacing w:after="0" w:line="276" w:lineRule="auto"/>
        <w:jc w:val="both"/>
        <w:rPr>
          <w:rFonts w:ascii="Gadugi" w:eastAsia="Times New Roman" w:hAnsi="Gadugi" w:cs="Arial"/>
          <w:sz w:val="24"/>
          <w:szCs w:val="26"/>
          <w:lang w:val="es-ES" w:eastAsia="es-ES"/>
        </w:rPr>
      </w:pPr>
      <w:r w:rsidRPr="0074188F">
        <w:rPr>
          <w:rFonts w:ascii="Gadugi" w:eastAsia="Times New Roman" w:hAnsi="Gadugi" w:cs="Arial"/>
          <w:sz w:val="24"/>
          <w:szCs w:val="26"/>
          <w:lang w:val="es-419" w:eastAsia="es-ES"/>
        </w:rPr>
        <w:t xml:space="preserve">  </w:t>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756044" w:rsidRPr="0074188F" w:rsidRDefault="00756044" w:rsidP="00A235A6">
      <w:pPr>
        <w:overflowPunct w:val="0"/>
        <w:autoSpaceDE w:val="0"/>
        <w:autoSpaceDN w:val="0"/>
        <w:adjustRightInd w:val="0"/>
        <w:spacing w:after="0" w:line="276" w:lineRule="auto"/>
        <w:jc w:val="both"/>
        <w:textAlignment w:val="baseline"/>
        <w:rPr>
          <w:rFonts w:ascii="Gadugi" w:eastAsia="Times New Roman" w:hAnsi="Gadugi" w:cs="Times New Roman"/>
          <w:sz w:val="24"/>
          <w:szCs w:val="26"/>
          <w:lang w:val="es-ES" w:eastAsia="es-ES"/>
        </w:rPr>
      </w:pPr>
      <w:r w:rsidRPr="0074188F">
        <w:rPr>
          <w:rFonts w:ascii="Gadugi" w:eastAsia="Times New Roman" w:hAnsi="Gadugi" w:cs="Times New Roman"/>
          <w:sz w:val="24"/>
          <w:szCs w:val="26"/>
          <w:lang w:val="es-ES" w:eastAsia="es-ES"/>
        </w:rPr>
        <w:t xml:space="preserve">  </w:t>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00A92999" w:rsidRPr="0074188F">
        <w:rPr>
          <w:rFonts w:ascii="Gadugi" w:eastAsia="Times New Roman" w:hAnsi="Gadugi" w:cs="Times New Roman"/>
          <w:sz w:val="24"/>
          <w:szCs w:val="26"/>
          <w:lang w:val="es-ES" w:eastAsia="es-ES"/>
        </w:rPr>
        <w:t>En este asunto</w:t>
      </w:r>
      <w:r w:rsidRPr="0074188F">
        <w:rPr>
          <w:rFonts w:ascii="Gadugi" w:eastAsia="Times New Roman" w:hAnsi="Gadugi" w:cs="Times New Roman"/>
          <w:sz w:val="24"/>
          <w:szCs w:val="26"/>
          <w:lang w:val="es-ES" w:eastAsia="es-ES"/>
        </w:rPr>
        <w:t xml:space="preserve">, </w:t>
      </w:r>
      <w:r w:rsidR="005273EA" w:rsidRPr="0074188F">
        <w:rPr>
          <w:rFonts w:ascii="Gadugi" w:eastAsia="Times New Roman" w:hAnsi="Gadugi" w:cs="Times New Roman"/>
          <w:sz w:val="24"/>
          <w:szCs w:val="26"/>
          <w:lang w:val="es-ES" w:eastAsia="es-ES"/>
        </w:rPr>
        <w:t>Absalón Hernández Hernández</w:t>
      </w:r>
      <w:r w:rsidR="00505E24" w:rsidRPr="0074188F">
        <w:rPr>
          <w:rFonts w:ascii="Gadugi" w:eastAsia="Times New Roman" w:hAnsi="Gadugi" w:cs="Times New Roman"/>
          <w:sz w:val="24"/>
          <w:szCs w:val="26"/>
          <w:lang w:val="es-ES" w:eastAsia="es-ES"/>
        </w:rPr>
        <w:t xml:space="preserve"> </w:t>
      </w:r>
      <w:r w:rsidRPr="0074188F">
        <w:rPr>
          <w:rFonts w:ascii="Gadugi" w:eastAsia="Times New Roman" w:hAnsi="Gadugi" w:cs="Times New Roman"/>
          <w:sz w:val="24"/>
          <w:szCs w:val="26"/>
          <w:lang w:val="es-ES" w:eastAsia="es-ES"/>
        </w:rPr>
        <w:t>dirigió su reclamo contra la Administ</w:t>
      </w:r>
      <w:r w:rsidR="0088709E" w:rsidRPr="0074188F">
        <w:rPr>
          <w:rFonts w:ascii="Gadugi" w:eastAsia="Times New Roman" w:hAnsi="Gadugi" w:cs="Times New Roman"/>
          <w:sz w:val="24"/>
          <w:szCs w:val="26"/>
          <w:lang w:val="es-ES" w:eastAsia="es-ES"/>
        </w:rPr>
        <w:t>radora Colombiana de Pensiones,</w:t>
      </w:r>
      <w:r w:rsidRPr="0074188F">
        <w:rPr>
          <w:rFonts w:ascii="Gadugi" w:eastAsia="Times New Roman" w:hAnsi="Gadugi" w:cs="Times New Roman"/>
          <w:sz w:val="24"/>
          <w:szCs w:val="26"/>
          <w:lang w:val="es-ES" w:eastAsia="es-ES"/>
        </w:rPr>
        <w:t xml:space="preserve"> con el fin de que se resuelva</w:t>
      </w:r>
      <w:r w:rsidRPr="0074188F">
        <w:rPr>
          <w:rFonts w:ascii="Gadugi" w:eastAsia="Times New Roman" w:hAnsi="Gadugi" w:cs="Times New Roman"/>
          <w:sz w:val="24"/>
          <w:szCs w:val="26"/>
          <w:lang w:val="es-419" w:eastAsia="es-ES"/>
        </w:rPr>
        <w:t xml:space="preserve"> </w:t>
      </w:r>
      <w:r w:rsidRPr="0074188F">
        <w:rPr>
          <w:rFonts w:ascii="Gadugi" w:eastAsia="Times New Roman" w:hAnsi="Gadugi" w:cs="Times New Roman"/>
          <w:sz w:val="24"/>
          <w:szCs w:val="26"/>
          <w:lang w:val="es-ES" w:eastAsia="es-ES"/>
        </w:rPr>
        <w:t xml:space="preserve">favorablemente su petición de reconocimiento y pago de </w:t>
      </w:r>
      <w:r w:rsidRPr="0074188F">
        <w:rPr>
          <w:rFonts w:ascii="Gadugi" w:eastAsia="Times New Roman" w:hAnsi="Gadugi" w:cs="Times New Roman"/>
          <w:sz w:val="24"/>
          <w:szCs w:val="26"/>
          <w:lang w:val="es-419" w:eastAsia="es-ES"/>
        </w:rPr>
        <w:t xml:space="preserve">la </w:t>
      </w:r>
      <w:r w:rsidRPr="0074188F">
        <w:rPr>
          <w:rFonts w:ascii="Gadugi" w:eastAsia="Times New Roman" w:hAnsi="Gadugi" w:cs="Times New Roman"/>
          <w:sz w:val="24"/>
          <w:szCs w:val="26"/>
          <w:lang w:val="es-ES" w:eastAsia="es-ES"/>
        </w:rPr>
        <w:t xml:space="preserve">pensión de </w:t>
      </w:r>
      <w:r w:rsidR="006D7F5E" w:rsidRPr="0074188F">
        <w:rPr>
          <w:rFonts w:ascii="Gadugi" w:eastAsia="Times New Roman" w:hAnsi="Gadugi" w:cs="Times New Roman"/>
          <w:sz w:val="24"/>
          <w:szCs w:val="26"/>
          <w:lang w:val="es-ES" w:eastAsia="es-ES"/>
        </w:rPr>
        <w:t>invalidez</w:t>
      </w:r>
      <w:r w:rsidRPr="0074188F">
        <w:rPr>
          <w:rFonts w:ascii="Gadugi" w:eastAsia="Times New Roman" w:hAnsi="Gadugi" w:cs="Times New Roman"/>
          <w:sz w:val="24"/>
          <w:szCs w:val="26"/>
          <w:lang w:val="es-ES" w:eastAsia="es-ES"/>
        </w:rPr>
        <w:t xml:space="preserve">, desechada por cuanto </w:t>
      </w:r>
      <w:r w:rsidR="00A92999" w:rsidRPr="0074188F">
        <w:rPr>
          <w:rFonts w:ascii="Gadugi" w:eastAsia="Times New Roman" w:hAnsi="Gadugi" w:cs="Times New Roman"/>
          <w:sz w:val="24"/>
          <w:szCs w:val="26"/>
          <w:lang w:val="es-419" w:eastAsia="es-ES"/>
        </w:rPr>
        <w:t>no cue</w:t>
      </w:r>
      <w:r w:rsidR="0088709E" w:rsidRPr="0074188F">
        <w:rPr>
          <w:rFonts w:ascii="Gadugi" w:eastAsia="Times New Roman" w:hAnsi="Gadugi" w:cs="Times New Roman"/>
          <w:sz w:val="24"/>
          <w:szCs w:val="26"/>
          <w:lang w:val="es-419" w:eastAsia="es-ES"/>
        </w:rPr>
        <w:t>nta con los requisitos establecidos en el artículo 1</w:t>
      </w:r>
      <w:r w:rsidR="008E58CD" w:rsidRPr="0074188F">
        <w:rPr>
          <w:rFonts w:ascii="Gadugi" w:eastAsia="Times New Roman" w:hAnsi="Gadugi" w:cs="Times New Roman"/>
          <w:sz w:val="24"/>
          <w:szCs w:val="26"/>
          <w:lang w:val="es-419" w:eastAsia="es-ES"/>
        </w:rPr>
        <w:t>°</w:t>
      </w:r>
      <w:r w:rsidR="0088709E" w:rsidRPr="0074188F">
        <w:rPr>
          <w:rFonts w:ascii="Gadugi" w:eastAsia="Times New Roman" w:hAnsi="Gadugi" w:cs="Times New Roman"/>
          <w:sz w:val="24"/>
          <w:szCs w:val="26"/>
          <w:lang w:val="es-419" w:eastAsia="es-ES"/>
        </w:rPr>
        <w:t xml:space="preserve"> de la ley 860 de 2003</w:t>
      </w:r>
      <w:r w:rsidR="00302A66" w:rsidRPr="0074188F">
        <w:rPr>
          <w:rFonts w:ascii="Gadugi" w:eastAsia="Times New Roman" w:hAnsi="Gadugi" w:cs="Times New Roman"/>
          <w:sz w:val="24"/>
          <w:szCs w:val="26"/>
          <w:lang w:val="es-419" w:eastAsia="es-ES"/>
        </w:rPr>
        <w:t xml:space="preserve"> que modificó el artículo 39 de la ley 100, </w:t>
      </w:r>
      <w:r w:rsidR="0088709E" w:rsidRPr="0074188F">
        <w:rPr>
          <w:rFonts w:ascii="Gadugi" w:eastAsia="Times New Roman" w:hAnsi="Gadugi" w:cs="Times New Roman"/>
          <w:sz w:val="24"/>
          <w:szCs w:val="26"/>
          <w:lang w:val="es-419" w:eastAsia="es-ES"/>
        </w:rPr>
        <w:t>para acceder a ella</w:t>
      </w:r>
      <w:r w:rsidRPr="0074188F">
        <w:rPr>
          <w:rFonts w:ascii="Gadugi" w:eastAsia="Times New Roman" w:hAnsi="Gadugi" w:cs="Times New Roman"/>
          <w:sz w:val="24"/>
          <w:szCs w:val="26"/>
          <w:lang w:val="es-ES" w:eastAsia="es-ES"/>
        </w:rPr>
        <w:t xml:space="preserve">. </w:t>
      </w:r>
    </w:p>
    <w:p w:rsidR="00D97BAB" w:rsidRPr="0074188F" w:rsidRDefault="00674A22" w:rsidP="00A235A6">
      <w:pPr>
        <w:overflowPunct w:val="0"/>
        <w:autoSpaceDE w:val="0"/>
        <w:autoSpaceDN w:val="0"/>
        <w:adjustRightInd w:val="0"/>
        <w:spacing w:after="0" w:line="276" w:lineRule="auto"/>
        <w:jc w:val="both"/>
        <w:textAlignment w:val="baseline"/>
        <w:rPr>
          <w:rFonts w:ascii="Gadugi" w:eastAsia="Times New Roman" w:hAnsi="Gadugi" w:cs="Times New Roman"/>
          <w:sz w:val="24"/>
          <w:szCs w:val="26"/>
          <w:lang w:val="es-ES" w:eastAsia="es-ES"/>
        </w:rPr>
      </w:pP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p>
    <w:p w:rsidR="00756044" w:rsidRPr="0074188F" w:rsidRDefault="00570DA5"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419" w:eastAsia="es-ES"/>
        </w:rPr>
      </w:pP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Arial"/>
          <w:sz w:val="24"/>
          <w:szCs w:val="26"/>
          <w:lang w:val="es-CO" w:eastAsia="es-ES"/>
        </w:rPr>
        <w:t>El Juzgado de instancia, se dijo, despachó desfavorablemente el amparo</w:t>
      </w:r>
      <w:r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w:t>
      </w:r>
      <w:r w:rsidR="006D7F5E" w:rsidRPr="0074188F">
        <w:rPr>
          <w:rFonts w:ascii="Gadugi" w:eastAsia="Times New Roman" w:hAnsi="Gadugi" w:cs="Arial"/>
          <w:sz w:val="24"/>
          <w:szCs w:val="26"/>
          <w:lang w:val="es-CO" w:eastAsia="es-ES"/>
        </w:rPr>
        <w:t>al considerarlo improcedente.</w:t>
      </w:r>
    </w:p>
    <w:p w:rsidR="00570DA5" w:rsidRPr="0074188F" w:rsidRDefault="00570DA5" w:rsidP="00A235A6">
      <w:pPr>
        <w:overflowPunct w:val="0"/>
        <w:autoSpaceDE w:val="0"/>
        <w:autoSpaceDN w:val="0"/>
        <w:adjustRightInd w:val="0"/>
        <w:spacing w:after="0" w:line="276" w:lineRule="auto"/>
        <w:jc w:val="both"/>
        <w:textAlignment w:val="baseline"/>
        <w:rPr>
          <w:rFonts w:ascii="Gadugi" w:eastAsia="Times New Roman" w:hAnsi="Gadugi" w:cs="Times New Roman"/>
          <w:sz w:val="24"/>
          <w:szCs w:val="26"/>
          <w:lang w:val="es-ES" w:eastAsia="es-ES"/>
        </w:rPr>
      </w:pPr>
    </w:p>
    <w:p w:rsidR="00665342" w:rsidRPr="0074188F" w:rsidRDefault="00756044" w:rsidP="00A235A6">
      <w:pPr>
        <w:autoSpaceDE w:val="0"/>
        <w:autoSpaceDN w:val="0"/>
        <w:adjustRightInd w:val="0"/>
        <w:spacing w:after="0" w:line="276" w:lineRule="auto"/>
        <w:jc w:val="both"/>
        <w:rPr>
          <w:rFonts w:ascii="Gadugi" w:eastAsia="Times New Roman" w:hAnsi="Gadugi" w:cs="Arial"/>
          <w:sz w:val="24"/>
          <w:szCs w:val="26"/>
          <w:lang w:val="es-419" w:eastAsia="es-ES"/>
        </w:rPr>
      </w:pPr>
      <w:r w:rsidRPr="0074188F">
        <w:rPr>
          <w:rFonts w:ascii="Gadugi" w:eastAsia="Times New Roman" w:hAnsi="Gadugi" w:cs="Times New Roman"/>
          <w:sz w:val="24"/>
          <w:szCs w:val="26"/>
          <w:lang w:val="es-419" w:eastAsia="es-ES"/>
        </w:rPr>
        <w:t xml:space="preserve">  </w:t>
      </w:r>
      <w:r w:rsidRPr="0074188F">
        <w:rPr>
          <w:rFonts w:ascii="Gadugi" w:eastAsia="Times New Roman" w:hAnsi="Gadugi" w:cs="Times New Roman"/>
          <w:sz w:val="24"/>
          <w:szCs w:val="26"/>
          <w:lang w:val="es-419" w:eastAsia="es-ES"/>
        </w:rPr>
        <w:tab/>
      </w:r>
      <w:r w:rsidRPr="0074188F">
        <w:rPr>
          <w:rFonts w:ascii="Gadugi" w:eastAsia="Times New Roman" w:hAnsi="Gadugi" w:cs="Times New Roman"/>
          <w:sz w:val="24"/>
          <w:szCs w:val="26"/>
          <w:lang w:val="es-419" w:eastAsia="es-ES"/>
        </w:rPr>
        <w:tab/>
      </w:r>
      <w:r w:rsidRPr="0074188F">
        <w:rPr>
          <w:rFonts w:ascii="Gadugi" w:eastAsia="Times New Roman" w:hAnsi="Gadugi" w:cs="Times New Roman"/>
          <w:sz w:val="24"/>
          <w:szCs w:val="26"/>
          <w:lang w:val="es-419" w:eastAsia="es-ES"/>
        </w:rPr>
        <w:tab/>
      </w:r>
      <w:r w:rsidRPr="0074188F">
        <w:rPr>
          <w:rFonts w:ascii="Gadugi" w:eastAsia="Times New Roman" w:hAnsi="Gadugi" w:cs="Times New Roman"/>
          <w:sz w:val="24"/>
          <w:szCs w:val="26"/>
          <w:lang w:val="es-419" w:eastAsia="es-ES"/>
        </w:rPr>
        <w:tab/>
      </w:r>
      <w:r w:rsidRPr="0074188F">
        <w:rPr>
          <w:rFonts w:ascii="Gadugi" w:eastAsia="Times New Roman" w:hAnsi="Gadugi" w:cs="Arial"/>
          <w:sz w:val="24"/>
          <w:szCs w:val="26"/>
          <w:lang w:val="es-419" w:eastAsia="es-ES"/>
        </w:rPr>
        <w:t xml:space="preserve">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w:t>
      </w:r>
      <w:r w:rsidR="007D29D6" w:rsidRPr="0074188F">
        <w:rPr>
          <w:rFonts w:ascii="Gadugi" w:eastAsia="Times New Roman" w:hAnsi="Gadugi" w:cs="Arial"/>
          <w:sz w:val="24"/>
          <w:szCs w:val="26"/>
          <w:lang w:val="es-419" w:eastAsia="es-ES"/>
        </w:rPr>
        <w:t xml:space="preserve">También se ha hecho énfasis en que, por regla general, este amparo es improcedente para el reconocimiento de derechos de </w:t>
      </w:r>
      <w:r w:rsidR="007D29D6" w:rsidRPr="0074188F">
        <w:rPr>
          <w:rFonts w:ascii="Gadugi" w:eastAsia="Times New Roman" w:hAnsi="Gadugi" w:cs="Arial"/>
          <w:sz w:val="24"/>
          <w:szCs w:val="26"/>
          <w:lang w:val="es-419" w:eastAsia="es-ES"/>
        </w:rPr>
        <w:lastRenderedPageBreak/>
        <w:t xml:space="preserve">raigambre laboral, a menos que se den unas condiciones </w:t>
      </w:r>
      <w:r w:rsidR="00665342" w:rsidRPr="0074188F">
        <w:rPr>
          <w:rFonts w:ascii="Gadugi" w:eastAsia="Times New Roman" w:hAnsi="Gadugi" w:cs="Arial"/>
          <w:sz w:val="24"/>
          <w:szCs w:val="26"/>
          <w:lang w:val="es-419" w:eastAsia="es-ES"/>
        </w:rPr>
        <w:t>fijadas por Corte Constitucional, que en la sentencia SU-442 de 2016 explicó que:</w:t>
      </w:r>
    </w:p>
    <w:p w:rsidR="00426DA0" w:rsidRPr="0074188F" w:rsidRDefault="00426DA0" w:rsidP="00A235A6">
      <w:pPr>
        <w:autoSpaceDE w:val="0"/>
        <w:autoSpaceDN w:val="0"/>
        <w:adjustRightInd w:val="0"/>
        <w:spacing w:after="0" w:line="276" w:lineRule="auto"/>
        <w:jc w:val="both"/>
        <w:rPr>
          <w:rFonts w:ascii="Gadugi" w:eastAsia="Times New Roman" w:hAnsi="Gadugi" w:cs="Arial"/>
          <w:sz w:val="24"/>
          <w:szCs w:val="26"/>
          <w:lang w:val="es-419" w:eastAsia="es-ES"/>
        </w:rPr>
      </w:pPr>
    </w:p>
    <w:p w:rsidR="00665342" w:rsidRPr="0074188F" w:rsidRDefault="00665342" w:rsidP="0074188F">
      <w:pPr>
        <w:pStyle w:val="Body"/>
        <w:pBdr>
          <w:top w:val="none" w:sz="0" w:space="0" w:color="auto"/>
          <w:left w:val="none" w:sz="0" w:space="0" w:color="auto"/>
          <w:bottom w:val="none" w:sz="0" w:space="0" w:color="auto"/>
          <w:right w:val="none" w:sz="0" w:space="0" w:color="auto"/>
        </w:pBdr>
        <w:ind w:left="426" w:right="420" w:firstLine="1984"/>
        <w:jc w:val="both"/>
        <w:rPr>
          <w:rFonts w:ascii="Arial Narrow" w:hAnsi="Arial Narrow"/>
          <w:color w:val="auto"/>
          <w:sz w:val="24"/>
          <w:szCs w:val="26"/>
          <w:lang w:val="es-CO"/>
        </w:rPr>
      </w:pPr>
      <w:r w:rsidRPr="0074188F">
        <w:rPr>
          <w:rStyle w:val="Nmerodepgina"/>
          <w:rFonts w:ascii="Arial Narrow" w:hAnsi="Arial Narrow"/>
          <w:color w:val="auto"/>
          <w:sz w:val="24"/>
          <w:szCs w:val="26"/>
          <w:shd w:val="clear" w:color="auto" w:fill="FFFFFF"/>
          <w:lang w:val="es-CO"/>
        </w:rPr>
        <w:t>La acción de tutela</w:t>
      </w:r>
      <w:r w:rsidRPr="0074188F">
        <w:rPr>
          <w:rFonts w:ascii="Arial Narrow" w:hAnsi="Arial Narrow"/>
          <w:color w:val="auto"/>
          <w:sz w:val="24"/>
          <w:szCs w:val="26"/>
          <w:lang w:val="es-CO"/>
        </w:rPr>
        <w:t xml:space="preserve"> es procedente si se emplea cuando (i) el actor no dispone de otro medio judicial de defensa; o (ii) existen otros medios de defensa judicial pero es necesaria la tutela para evitar la consumación de un perjuicio irremediable;</w:t>
      </w:r>
      <w:r w:rsidRPr="0074188F">
        <w:rPr>
          <w:rStyle w:val="Refdenotaalpie"/>
          <w:rFonts w:ascii="Arial Narrow" w:hAnsi="Arial Narrow"/>
          <w:color w:val="auto"/>
          <w:sz w:val="24"/>
          <w:szCs w:val="26"/>
          <w:lang w:val="es-CO"/>
        </w:rPr>
        <w:footnoteReference w:id="1"/>
      </w:r>
      <w:r w:rsidRPr="0074188F">
        <w:rPr>
          <w:rFonts w:ascii="Arial Narrow" w:hAnsi="Arial Narrow"/>
          <w:color w:val="auto"/>
          <w:sz w:val="24"/>
          <w:szCs w:val="26"/>
          <w:lang w:val="es-CO"/>
        </w:rPr>
        <w:t xml:space="preserve"> o (iii) los recursos disponibles no son idóneos o eficaces, toda vez que su sola existencia formal no es garantía de su utilidad en el caso concreto. En este último caso,</w:t>
      </w:r>
      <w:r w:rsidRPr="0074188F">
        <w:rPr>
          <w:rStyle w:val="Nmerodepgina"/>
          <w:rFonts w:ascii="Arial Narrow" w:hAnsi="Arial Narrow"/>
          <w:color w:val="auto"/>
          <w:sz w:val="24"/>
          <w:szCs w:val="26"/>
          <w:shd w:val="clear" w:color="auto" w:fill="FFFFFF"/>
          <w:lang w:val="es-CO"/>
        </w:rPr>
        <w:t xml:space="preserve"> l</w:t>
      </w:r>
      <w:r w:rsidRPr="0074188F">
        <w:rPr>
          <w:rFonts w:ascii="Arial Narrow" w:hAnsi="Arial Narrow"/>
          <w:color w:val="auto"/>
          <w:sz w:val="24"/>
          <w:szCs w:val="26"/>
          <w:lang w:val="es-CO"/>
        </w:rPr>
        <w:t>a determinación de la eficacia e idoneidad de los recursos ordinarios no debe obedecer a un análisis abstracto y general. Es competencia del juez constitucional examinar cuál es la eficacia que, en concreto, tiene el otro instrumento de protección.</w:t>
      </w:r>
      <w:r w:rsidRPr="0074188F">
        <w:rPr>
          <w:rFonts w:ascii="Arial Narrow" w:hAnsi="Arial Narrow"/>
          <w:color w:val="auto"/>
          <w:sz w:val="24"/>
          <w:szCs w:val="26"/>
          <w:vertAlign w:val="superscript"/>
          <w:lang w:val="es-CO"/>
        </w:rPr>
        <w:footnoteReference w:id="2"/>
      </w:r>
      <w:r w:rsidRPr="0074188F">
        <w:rPr>
          <w:rFonts w:ascii="Arial Narrow" w:hAnsi="Arial Narrow"/>
          <w:color w:val="auto"/>
          <w:sz w:val="24"/>
          <w:szCs w:val="26"/>
          <w:lang w:val="es-CO"/>
        </w:rPr>
        <w:t xml:space="preserve"> Y para determinar esto último la jurisprudencia de esta Corte ha señalado dos pautas generales: primero, debe verificarse si los otros medios de defensa </w:t>
      </w:r>
      <w:r w:rsidRPr="0074188F">
        <w:rPr>
          <w:rFonts w:ascii="Arial Narrow" w:hAnsi="Arial Narrow"/>
          <w:color w:val="auto"/>
          <w:sz w:val="24"/>
          <w:szCs w:val="26"/>
          <w:shd w:val="clear" w:color="auto" w:fill="FFFFFF"/>
          <w:lang w:val="es-CO"/>
        </w:rPr>
        <w:t>proveen un remedio integral, y segundo si son expeditos para evitar un perjuicio irremediable.</w:t>
      </w:r>
      <w:r w:rsidRPr="0074188F">
        <w:rPr>
          <w:rFonts w:ascii="Arial Narrow" w:hAnsi="Arial Narrow"/>
          <w:color w:val="auto"/>
          <w:sz w:val="24"/>
          <w:szCs w:val="26"/>
          <w:shd w:val="clear" w:color="auto" w:fill="FFFFFF"/>
          <w:vertAlign w:val="superscript"/>
          <w:lang w:val="es-CO"/>
        </w:rPr>
        <w:footnoteReference w:id="3"/>
      </w:r>
    </w:p>
    <w:p w:rsidR="0074188F" w:rsidRDefault="0074188F" w:rsidP="00A235A6">
      <w:pPr>
        <w:autoSpaceDE w:val="0"/>
        <w:autoSpaceDN w:val="0"/>
        <w:adjustRightInd w:val="0"/>
        <w:spacing w:after="0" w:line="276" w:lineRule="auto"/>
        <w:jc w:val="both"/>
        <w:rPr>
          <w:rFonts w:ascii="Gadugi" w:eastAsia="Times New Roman" w:hAnsi="Gadugi" w:cs="Arial"/>
          <w:sz w:val="24"/>
          <w:szCs w:val="26"/>
          <w:lang w:val="es-CO" w:eastAsia="es-ES"/>
        </w:rPr>
      </w:pPr>
    </w:p>
    <w:p w:rsidR="00FB69AE" w:rsidRPr="0074188F" w:rsidRDefault="00570DA5" w:rsidP="00A235A6">
      <w:pPr>
        <w:autoSpaceDE w:val="0"/>
        <w:autoSpaceDN w:val="0"/>
        <w:adjustRightInd w:val="0"/>
        <w:spacing w:after="0" w:line="276" w:lineRule="auto"/>
        <w:jc w:val="both"/>
        <w:rPr>
          <w:rFonts w:ascii="Gadugi" w:eastAsia="Times New Roman" w:hAnsi="Gadugi" w:cs="Arial"/>
          <w:sz w:val="24"/>
          <w:szCs w:val="26"/>
          <w:lang w:val="es-419"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t>Requisitos que</w:t>
      </w:r>
      <w:r w:rsidR="0061104F"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ciertamente</w:t>
      </w:r>
      <w:r w:rsidR="007D29D6"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se </w:t>
      </w:r>
      <w:r w:rsidR="00302A66" w:rsidRPr="0074188F">
        <w:rPr>
          <w:rFonts w:ascii="Gadugi" w:eastAsia="Times New Roman" w:hAnsi="Gadugi" w:cs="Arial"/>
          <w:sz w:val="24"/>
          <w:szCs w:val="26"/>
          <w:lang w:val="es-CO" w:eastAsia="es-ES"/>
        </w:rPr>
        <w:t>hallan</w:t>
      </w:r>
      <w:r w:rsidRPr="0074188F">
        <w:rPr>
          <w:rFonts w:ascii="Gadugi" w:eastAsia="Times New Roman" w:hAnsi="Gadugi" w:cs="Arial"/>
          <w:sz w:val="24"/>
          <w:szCs w:val="26"/>
          <w:lang w:val="es-CO" w:eastAsia="es-ES"/>
        </w:rPr>
        <w:t xml:space="preserve"> cumplidos en la presente acci</w:t>
      </w:r>
      <w:r w:rsidR="006D7F5E" w:rsidRPr="0074188F">
        <w:rPr>
          <w:rFonts w:ascii="Gadugi" w:eastAsia="Times New Roman" w:hAnsi="Gadugi" w:cs="Arial"/>
          <w:sz w:val="24"/>
          <w:szCs w:val="26"/>
          <w:lang w:val="es-CO" w:eastAsia="es-ES"/>
        </w:rPr>
        <w:t xml:space="preserve">ón, </w:t>
      </w:r>
      <w:r w:rsidR="0046299F" w:rsidRPr="0074188F">
        <w:rPr>
          <w:rFonts w:ascii="Gadugi" w:eastAsia="Times New Roman" w:hAnsi="Gadugi" w:cs="Arial"/>
          <w:sz w:val="24"/>
          <w:szCs w:val="26"/>
          <w:lang w:val="es-419" w:eastAsia="es-ES"/>
        </w:rPr>
        <w:t xml:space="preserve">por cuanto </w:t>
      </w:r>
      <w:r w:rsidR="006D7F5E" w:rsidRPr="0074188F">
        <w:rPr>
          <w:rFonts w:ascii="Gadugi" w:eastAsia="Times New Roman" w:hAnsi="Gadugi" w:cs="Arial"/>
          <w:sz w:val="24"/>
          <w:szCs w:val="26"/>
          <w:lang w:val="es-CO" w:eastAsia="es-ES"/>
        </w:rPr>
        <w:t>el</w:t>
      </w:r>
      <w:r w:rsidRPr="0074188F">
        <w:rPr>
          <w:rFonts w:ascii="Gadugi" w:eastAsia="Times New Roman" w:hAnsi="Gadugi" w:cs="Arial"/>
          <w:sz w:val="24"/>
          <w:szCs w:val="26"/>
          <w:lang w:val="es-CO" w:eastAsia="es-ES"/>
        </w:rPr>
        <w:t xml:space="preserve"> accionante se reporta como </w:t>
      </w:r>
      <w:r w:rsidR="00665342" w:rsidRPr="0074188F">
        <w:rPr>
          <w:rFonts w:ascii="Gadugi" w:eastAsia="Times New Roman" w:hAnsi="Gadugi" w:cs="Arial"/>
          <w:sz w:val="24"/>
          <w:szCs w:val="26"/>
          <w:lang w:val="es-CO" w:eastAsia="es-ES"/>
        </w:rPr>
        <w:t>una persona</w:t>
      </w:r>
      <w:r w:rsidRPr="0074188F">
        <w:rPr>
          <w:rFonts w:ascii="Gadugi" w:eastAsia="Times New Roman" w:hAnsi="Gadugi" w:cs="Arial"/>
          <w:sz w:val="24"/>
          <w:szCs w:val="26"/>
          <w:lang w:val="es-CO" w:eastAsia="es-ES"/>
        </w:rPr>
        <w:t xml:space="preserve"> de especial protección constitucional</w:t>
      </w:r>
      <w:r w:rsidR="007D29D6" w:rsidRPr="0074188F">
        <w:rPr>
          <w:rFonts w:ascii="Gadugi" w:eastAsia="Times New Roman" w:hAnsi="Gadugi" w:cs="Arial"/>
          <w:sz w:val="24"/>
          <w:szCs w:val="26"/>
          <w:lang w:val="es-419" w:eastAsia="es-ES"/>
        </w:rPr>
        <w:t>,</w:t>
      </w:r>
      <w:r w:rsidR="006D7F5E" w:rsidRPr="0074188F">
        <w:rPr>
          <w:rFonts w:ascii="Gadugi" w:eastAsia="Times New Roman" w:hAnsi="Gadugi" w:cs="Arial"/>
          <w:sz w:val="24"/>
          <w:szCs w:val="26"/>
          <w:lang w:val="es-419" w:eastAsia="es-ES"/>
        </w:rPr>
        <w:t xml:space="preserve"> dada </w:t>
      </w:r>
      <w:r w:rsidR="00665342" w:rsidRPr="0074188F">
        <w:rPr>
          <w:rFonts w:ascii="Gadugi" w:eastAsia="Times New Roman" w:hAnsi="Gadugi" w:cs="Arial"/>
          <w:sz w:val="24"/>
          <w:szCs w:val="26"/>
          <w:lang w:val="es-419" w:eastAsia="es-ES"/>
        </w:rPr>
        <w:t xml:space="preserve">su </w:t>
      </w:r>
      <w:r w:rsidR="006D7F5E" w:rsidRPr="0074188F">
        <w:rPr>
          <w:rFonts w:ascii="Gadugi" w:eastAsia="Times New Roman" w:hAnsi="Gadugi" w:cs="Arial"/>
          <w:sz w:val="24"/>
          <w:szCs w:val="26"/>
          <w:lang w:val="es-419" w:eastAsia="es-ES"/>
        </w:rPr>
        <w:t>condición de invalidez</w:t>
      </w:r>
      <w:r w:rsidR="00772BEE" w:rsidRPr="0074188F">
        <w:rPr>
          <w:rFonts w:ascii="Gadugi" w:eastAsia="Times New Roman" w:hAnsi="Gadugi" w:cs="Arial"/>
          <w:sz w:val="24"/>
          <w:szCs w:val="26"/>
          <w:lang w:val="es-419" w:eastAsia="es-ES"/>
        </w:rPr>
        <w:t>,</w:t>
      </w:r>
      <w:r w:rsidR="006D7F5E" w:rsidRPr="0074188F">
        <w:rPr>
          <w:rFonts w:ascii="Gadugi" w:eastAsia="Times New Roman" w:hAnsi="Gadugi" w:cs="Arial"/>
          <w:sz w:val="24"/>
          <w:szCs w:val="26"/>
          <w:lang w:val="es-419" w:eastAsia="es-ES"/>
        </w:rPr>
        <w:t xml:space="preserve"> </w:t>
      </w:r>
      <w:r w:rsidR="0096367E" w:rsidRPr="0074188F">
        <w:rPr>
          <w:rFonts w:ascii="Gadugi" w:eastAsia="Times New Roman" w:hAnsi="Gadugi" w:cs="Arial"/>
          <w:sz w:val="24"/>
          <w:szCs w:val="26"/>
          <w:lang w:val="es-419" w:eastAsia="es-ES"/>
        </w:rPr>
        <w:t xml:space="preserve">ya que fue calificado con un </w:t>
      </w:r>
      <w:r w:rsidR="00665342" w:rsidRPr="0074188F">
        <w:rPr>
          <w:rFonts w:ascii="Gadugi" w:eastAsia="Times New Roman" w:hAnsi="Gadugi" w:cs="Arial"/>
          <w:sz w:val="24"/>
          <w:szCs w:val="26"/>
          <w:lang w:val="es-419" w:eastAsia="es-ES"/>
        </w:rPr>
        <w:t>5</w:t>
      </w:r>
      <w:r w:rsidR="00BE109A" w:rsidRPr="0074188F">
        <w:rPr>
          <w:rFonts w:ascii="Gadugi" w:eastAsia="Times New Roman" w:hAnsi="Gadugi" w:cs="Arial"/>
          <w:sz w:val="24"/>
          <w:szCs w:val="26"/>
          <w:lang w:val="es-419" w:eastAsia="es-ES"/>
        </w:rPr>
        <w:t>0,14</w:t>
      </w:r>
      <w:r w:rsidR="00665342" w:rsidRPr="0074188F">
        <w:rPr>
          <w:rFonts w:ascii="Gadugi" w:eastAsia="Times New Roman" w:hAnsi="Gadugi" w:cs="Arial"/>
          <w:sz w:val="24"/>
          <w:szCs w:val="26"/>
          <w:lang w:val="es-419" w:eastAsia="es-ES"/>
        </w:rPr>
        <w:t>% de pérdida de capacidad laboral</w:t>
      </w:r>
      <w:r w:rsidR="00772BEE" w:rsidRPr="0074188F">
        <w:rPr>
          <w:rFonts w:ascii="Gadugi" w:eastAsia="Times New Roman" w:hAnsi="Gadugi" w:cs="Arial"/>
          <w:sz w:val="24"/>
          <w:szCs w:val="26"/>
          <w:lang w:val="es-419" w:eastAsia="es-ES"/>
        </w:rPr>
        <w:t xml:space="preserve"> </w:t>
      </w:r>
      <w:r w:rsidR="006D7F5E" w:rsidRPr="0074188F">
        <w:rPr>
          <w:rFonts w:ascii="Gadugi" w:eastAsia="Times New Roman" w:hAnsi="Gadugi" w:cs="Arial"/>
          <w:sz w:val="24"/>
          <w:szCs w:val="26"/>
          <w:lang w:val="es-419" w:eastAsia="es-ES"/>
        </w:rPr>
        <w:t xml:space="preserve">(f. </w:t>
      </w:r>
      <w:r w:rsidR="00BE109A" w:rsidRPr="0074188F">
        <w:rPr>
          <w:rFonts w:ascii="Gadugi" w:eastAsia="Times New Roman" w:hAnsi="Gadugi" w:cs="Arial"/>
          <w:sz w:val="24"/>
          <w:szCs w:val="26"/>
          <w:lang w:val="es-419" w:eastAsia="es-ES"/>
        </w:rPr>
        <w:t>18v</w:t>
      </w:r>
      <w:r w:rsidR="0096367E" w:rsidRPr="0074188F">
        <w:rPr>
          <w:rFonts w:ascii="Gadugi" w:eastAsia="Times New Roman" w:hAnsi="Gadugi" w:cs="Arial"/>
          <w:sz w:val="24"/>
          <w:szCs w:val="26"/>
          <w:lang w:val="es-419" w:eastAsia="es-ES"/>
        </w:rPr>
        <w:t>.</w:t>
      </w:r>
      <w:r w:rsidR="006D7F5E" w:rsidRPr="0074188F">
        <w:rPr>
          <w:rFonts w:ascii="Gadugi" w:eastAsia="Times New Roman" w:hAnsi="Gadugi" w:cs="Arial"/>
          <w:sz w:val="24"/>
          <w:szCs w:val="26"/>
          <w:lang w:val="es-419" w:eastAsia="es-ES"/>
        </w:rPr>
        <w:t>, c.</w:t>
      </w:r>
      <w:r w:rsidR="00C21E67" w:rsidRPr="0074188F">
        <w:rPr>
          <w:rFonts w:ascii="Gadugi" w:eastAsia="Times New Roman" w:hAnsi="Gadugi" w:cs="Arial"/>
          <w:sz w:val="24"/>
          <w:szCs w:val="26"/>
          <w:lang w:val="es-419" w:eastAsia="es-ES"/>
        </w:rPr>
        <w:t xml:space="preserve"> </w:t>
      </w:r>
      <w:r w:rsidR="006D7F5E" w:rsidRPr="0074188F">
        <w:rPr>
          <w:rFonts w:ascii="Gadugi" w:eastAsia="Times New Roman" w:hAnsi="Gadugi" w:cs="Arial"/>
          <w:sz w:val="24"/>
          <w:szCs w:val="26"/>
          <w:lang w:val="es-419" w:eastAsia="es-ES"/>
        </w:rPr>
        <w:t>1)</w:t>
      </w:r>
      <w:r w:rsidR="0061104F" w:rsidRPr="0074188F">
        <w:rPr>
          <w:rFonts w:ascii="Gadugi" w:eastAsia="Times New Roman" w:hAnsi="Gadugi" w:cs="Arial"/>
          <w:sz w:val="24"/>
          <w:szCs w:val="26"/>
          <w:lang w:val="es-419" w:eastAsia="es-ES"/>
        </w:rPr>
        <w:t xml:space="preserve">; </w:t>
      </w:r>
      <w:r w:rsidR="00772BEE" w:rsidRPr="0074188F">
        <w:rPr>
          <w:rFonts w:ascii="Gadugi" w:eastAsia="Times New Roman" w:hAnsi="Gadugi" w:cs="Arial"/>
          <w:sz w:val="24"/>
          <w:szCs w:val="26"/>
          <w:lang w:val="es-419" w:eastAsia="es-ES"/>
        </w:rPr>
        <w:t xml:space="preserve">además, </w:t>
      </w:r>
      <w:r w:rsidRPr="0074188F">
        <w:rPr>
          <w:rFonts w:ascii="Gadugi" w:eastAsia="Times New Roman" w:hAnsi="Gadugi" w:cs="Arial"/>
          <w:sz w:val="24"/>
          <w:szCs w:val="26"/>
          <w:lang w:val="es-CO" w:eastAsia="es-ES"/>
        </w:rPr>
        <w:t>lo que alega</w:t>
      </w:r>
      <w:r w:rsidR="007D29D6"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precisamente</w:t>
      </w:r>
      <w:r w:rsidR="007D29D6" w:rsidRPr="0074188F">
        <w:rPr>
          <w:rFonts w:ascii="Gadugi" w:eastAsia="Times New Roman" w:hAnsi="Gadugi" w:cs="Arial"/>
          <w:sz w:val="24"/>
          <w:szCs w:val="26"/>
          <w:lang w:val="es-419" w:eastAsia="es-ES"/>
        </w:rPr>
        <w:t>,</w:t>
      </w:r>
      <w:r w:rsidRPr="0074188F">
        <w:rPr>
          <w:rFonts w:ascii="Gadugi" w:eastAsia="Times New Roman" w:hAnsi="Gadugi" w:cs="Arial"/>
          <w:sz w:val="24"/>
          <w:szCs w:val="26"/>
          <w:lang w:val="es-CO" w:eastAsia="es-ES"/>
        </w:rPr>
        <w:t xml:space="preserve"> es la afectación </w:t>
      </w:r>
      <w:r w:rsidR="007D29D6" w:rsidRPr="0074188F">
        <w:rPr>
          <w:rFonts w:ascii="Gadugi" w:eastAsia="Times New Roman" w:hAnsi="Gadugi" w:cs="Arial"/>
          <w:sz w:val="24"/>
          <w:szCs w:val="26"/>
          <w:lang w:val="es-419" w:eastAsia="es-ES"/>
        </w:rPr>
        <w:t>de</w:t>
      </w:r>
      <w:r w:rsidRPr="0074188F">
        <w:rPr>
          <w:rFonts w:ascii="Gadugi" w:eastAsia="Times New Roman" w:hAnsi="Gadugi" w:cs="Arial"/>
          <w:sz w:val="24"/>
          <w:szCs w:val="26"/>
          <w:lang w:val="es-CO" w:eastAsia="es-ES"/>
        </w:rPr>
        <w:t xml:space="preserve"> su derecho fundamental al mínimo vital,</w:t>
      </w:r>
      <w:r w:rsidR="006849A6" w:rsidRPr="0074188F">
        <w:rPr>
          <w:rFonts w:ascii="Gadugi" w:eastAsia="Times New Roman" w:hAnsi="Gadugi" w:cs="Arial"/>
          <w:sz w:val="24"/>
          <w:szCs w:val="26"/>
          <w:lang w:val="es-CO" w:eastAsia="es-ES"/>
        </w:rPr>
        <w:t xml:space="preserve"> </w:t>
      </w:r>
      <w:r w:rsidR="00665342" w:rsidRPr="0074188F">
        <w:rPr>
          <w:rFonts w:ascii="Gadugi" w:eastAsia="Times New Roman" w:hAnsi="Gadugi" w:cs="Arial"/>
          <w:sz w:val="24"/>
          <w:szCs w:val="26"/>
          <w:lang w:val="es-419" w:eastAsia="es-ES"/>
        </w:rPr>
        <w:t xml:space="preserve">pues, según indica </w:t>
      </w:r>
      <w:r w:rsidR="008E58CD" w:rsidRPr="0074188F">
        <w:rPr>
          <w:rFonts w:ascii="Gadugi" w:eastAsia="Times New Roman" w:hAnsi="Gadugi" w:cs="Arial"/>
          <w:sz w:val="24"/>
          <w:szCs w:val="26"/>
          <w:lang w:val="es-419" w:eastAsia="es-ES"/>
        </w:rPr>
        <w:t xml:space="preserve">y se sustenta con una declaración extrajuicio (f. </w:t>
      </w:r>
      <w:r w:rsidR="00BE109A" w:rsidRPr="0074188F">
        <w:rPr>
          <w:rFonts w:ascii="Gadugi" w:eastAsia="Times New Roman" w:hAnsi="Gadugi" w:cs="Arial"/>
          <w:sz w:val="24"/>
          <w:szCs w:val="26"/>
          <w:lang w:val="es-419" w:eastAsia="es-ES"/>
        </w:rPr>
        <w:t>48</w:t>
      </w:r>
      <w:r w:rsidR="008E58CD" w:rsidRPr="0074188F">
        <w:rPr>
          <w:rFonts w:ascii="Gadugi" w:eastAsia="Times New Roman" w:hAnsi="Gadugi" w:cs="Arial"/>
          <w:sz w:val="24"/>
          <w:szCs w:val="26"/>
          <w:lang w:val="es-419" w:eastAsia="es-ES"/>
        </w:rPr>
        <w:t xml:space="preserve">, c.1), </w:t>
      </w:r>
      <w:r w:rsidR="00BE109A" w:rsidRPr="0074188F">
        <w:rPr>
          <w:rFonts w:ascii="Gadugi" w:eastAsia="Times New Roman" w:hAnsi="Gadugi" w:cs="Arial"/>
          <w:sz w:val="24"/>
          <w:szCs w:val="26"/>
          <w:lang w:val="es-419" w:eastAsia="es-ES"/>
        </w:rPr>
        <w:t>carece de recursos para su sostenimiento y el de su familia</w:t>
      </w:r>
      <w:r w:rsidR="0096367E" w:rsidRPr="0074188F">
        <w:rPr>
          <w:rFonts w:ascii="Gadugi" w:eastAsia="Times New Roman" w:hAnsi="Gadugi" w:cs="Arial"/>
          <w:sz w:val="24"/>
          <w:szCs w:val="26"/>
          <w:lang w:val="es-419" w:eastAsia="es-ES"/>
        </w:rPr>
        <w:t>, l</w:t>
      </w:r>
      <w:r w:rsidR="00C21E67" w:rsidRPr="0074188F">
        <w:rPr>
          <w:rFonts w:ascii="Gadugi" w:eastAsia="Times New Roman" w:hAnsi="Gadugi" w:cs="Arial"/>
          <w:sz w:val="24"/>
          <w:szCs w:val="26"/>
          <w:lang w:val="es-CO" w:eastAsia="es-ES"/>
        </w:rPr>
        <w:t xml:space="preserve">o que no fue </w:t>
      </w:r>
      <w:r w:rsidRPr="0074188F">
        <w:rPr>
          <w:rFonts w:ascii="Gadugi" w:eastAsia="Times New Roman" w:hAnsi="Gadugi" w:cs="Arial"/>
          <w:sz w:val="24"/>
          <w:szCs w:val="26"/>
          <w:lang w:val="es-CO" w:eastAsia="es-ES"/>
        </w:rPr>
        <w:t>contrariado por la demandada</w:t>
      </w:r>
      <w:r w:rsidR="007D29D6" w:rsidRPr="0074188F">
        <w:rPr>
          <w:rFonts w:ascii="Gadugi" w:eastAsia="Times New Roman" w:hAnsi="Gadugi" w:cs="Arial"/>
          <w:sz w:val="24"/>
          <w:szCs w:val="26"/>
          <w:lang w:val="es-419" w:eastAsia="es-ES"/>
        </w:rPr>
        <w:t xml:space="preserve">; </w:t>
      </w:r>
      <w:r w:rsidR="0061104F" w:rsidRPr="0074188F">
        <w:rPr>
          <w:rFonts w:ascii="Gadugi" w:eastAsia="Times New Roman" w:hAnsi="Gadugi" w:cs="Arial"/>
          <w:sz w:val="24"/>
          <w:szCs w:val="26"/>
          <w:lang w:val="es-419" w:eastAsia="es-ES"/>
        </w:rPr>
        <w:t xml:space="preserve">en adición, </w:t>
      </w:r>
      <w:r w:rsidRPr="0074188F">
        <w:rPr>
          <w:rFonts w:ascii="Gadugi" w:eastAsia="Times New Roman" w:hAnsi="Gadugi" w:cs="Arial"/>
          <w:sz w:val="24"/>
          <w:szCs w:val="26"/>
          <w:lang w:val="es-CO" w:eastAsia="es-ES"/>
        </w:rPr>
        <w:t>ha intentado</w:t>
      </w:r>
      <w:r w:rsidR="007D29D6" w:rsidRPr="0074188F">
        <w:rPr>
          <w:rFonts w:ascii="Gadugi" w:eastAsia="Times New Roman" w:hAnsi="Gadugi" w:cs="Arial"/>
          <w:sz w:val="24"/>
          <w:szCs w:val="26"/>
          <w:lang w:val="es-419" w:eastAsia="es-ES"/>
        </w:rPr>
        <w:t xml:space="preserve"> infructuosamente </w:t>
      </w:r>
      <w:r w:rsidRPr="0074188F">
        <w:rPr>
          <w:rFonts w:ascii="Gadugi" w:eastAsia="Times New Roman" w:hAnsi="Gadugi" w:cs="Arial"/>
          <w:sz w:val="24"/>
          <w:szCs w:val="26"/>
          <w:lang w:val="es-CO" w:eastAsia="es-ES"/>
        </w:rPr>
        <w:t xml:space="preserve">obtener la prestación </w:t>
      </w:r>
      <w:r w:rsidRPr="0074188F">
        <w:rPr>
          <w:rFonts w:ascii="Gadugi" w:eastAsia="Times New Roman" w:hAnsi="Gadugi" w:cs="Arial"/>
          <w:sz w:val="24"/>
          <w:szCs w:val="26"/>
          <w:lang w:val="es-CO" w:eastAsia="es-ES"/>
        </w:rPr>
        <w:lastRenderedPageBreak/>
        <w:t>deprecada y</w:t>
      </w:r>
      <w:r w:rsidR="00C21E67" w:rsidRPr="0074188F">
        <w:rPr>
          <w:rFonts w:ascii="Gadugi" w:eastAsia="Times New Roman" w:hAnsi="Gadugi" w:cs="Arial"/>
          <w:sz w:val="24"/>
          <w:szCs w:val="26"/>
          <w:lang w:val="es-419" w:eastAsia="es-ES"/>
        </w:rPr>
        <w:t xml:space="preserve"> </w:t>
      </w:r>
      <w:r w:rsidRPr="0074188F">
        <w:rPr>
          <w:rFonts w:ascii="Gadugi" w:eastAsia="Times New Roman" w:hAnsi="Gadugi" w:cs="Arial"/>
          <w:sz w:val="24"/>
          <w:szCs w:val="26"/>
          <w:lang w:val="es-CO" w:eastAsia="es-ES"/>
        </w:rPr>
        <w:t>debido a su edad y su expectativa de vida</w:t>
      </w:r>
      <w:r w:rsidR="0061104F" w:rsidRPr="0074188F">
        <w:rPr>
          <w:rFonts w:ascii="Gadugi" w:eastAsia="Times New Roman" w:hAnsi="Gadugi" w:cs="Arial"/>
          <w:sz w:val="24"/>
          <w:szCs w:val="26"/>
          <w:lang w:val="es-419" w:eastAsia="es-ES"/>
        </w:rPr>
        <w:t>,</w:t>
      </w:r>
      <w:r w:rsidR="00C21E67" w:rsidRPr="0074188F">
        <w:rPr>
          <w:rFonts w:ascii="Gadugi" w:eastAsia="Times New Roman" w:hAnsi="Gadugi" w:cs="Arial"/>
          <w:sz w:val="24"/>
          <w:szCs w:val="26"/>
          <w:lang w:val="es-CO" w:eastAsia="es-ES"/>
        </w:rPr>
        <w:t xml:space="preserve"> el proceso judicial no resulta</w:t>
      </w:r>
      <w:r w:rsidRPr="0074188F">
        <w:rPr>
          <w:rFonts w:ascii="Gadugi" w:eastAsia="Times New Roman" w:hAnsi="Gadugi" w:cs="Arial"/>
          <w:sz w:val="24"/>
          <w:szCs w:val="26"/>
          <w:lang w:val="es-CO" w:eastAsia="es-ES"/>
        </w:rPr>
        <w:t xml:space="preserve"> idóneo para la efectiva protección de sus derechos</w:t>
      </w:r>
      <w:r w:rsidR="00FB69AE" w:rsidRPr="0074188F">
        <w:rPr>
          <w:rFonts w:ascii="Gadugi" w:eastAsia="Times New Roman" w:hAnsi="Gadugi" w:cs="Arial"/>
          <w:sz w:val="24"/>
          <w:szCs w:val="26"/>
          <w:lang w:val="es-419" w:eastAsia="es-ES"/>
        </w:rPr>
        <w:t xml:space="preserve">. </w:t>
      </w:r>
    </w:p>
    <w:p w:rsidR="00FB69AE" w:rsidRPr="0074188F" w:rsidRDefault="00FB69AE" w:rsidP="00A235A6">
      <w:pPr>
        <w:autoSpaceDE w:val="0"/>
        <w:autoSpaceDN w:val="0"/>
        <w:adjustRightInd w:val="0"/>
        <w:spacing w:after="0" w:line="276" w:lineRule="auto"/>
        <w:jc w:val="both"/>
        <w:rPr>
          <w:rFonts w:ascii="Gadugi" w:eastAsia="Times New Roman" w:hAnsi="Gadugi" w:cs="Arial"/>
          <w:sz w:val="24"/>
          <w:szCs w:val="26"/>
          <w:lang w:val="es-419" w:eastAsia="es-ES"/>
        </w:rPr>
      </w:pPr>
    </w:p>
    <w:p w:rsidR="00570DA5" w:rsidRPr="0074188F" w:rsidRDefault="00FB69AE" w:rsidP="00A235A6">
      <w:pPr>
        <w:autoSpaceDE w:val="0"/>
        <w:autoSpaceDN w:val="0"/>
        <w:adjustRightInd w:val="0"/>
        <w:spacing w:after="0" w:line="276" w:lineRule="auto"/>
        <w:jc w:val="both"/>
        <w:rPr>
          <w:rFonts w:ascii="Gadugi" w:eastAsia="Times New Roman" w:hAnsi="Gadugi" w:cs="Arial"/>
          <w:sz w:val="24"/>
          <w:szCs w:val="26"/>
          <w:lang w:val="es-CO" w:eastAsia="es-ES"/>
        </w:rPr>
      </w:pPr>
      <w:r w:rsidRPr="0074188F">
        <w:rPr>
          <w:rFonts w:ascii="Gadugi" w:eastAsia="Times New Roman" w:hAnsi="Gadugi" w:cs="Arial"/>
          <w:sz w:val="24"/>
          <w:szCs w:val="26"/>
          <w:lang w:val="es-419" w:eastAsia="es-ES"/>
        </w:rPr>
        <w:t xml:space="preserve">  </w:t>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t>L</w:t>
      </w:r>
      <w:r w:rsidR="00302A66" w:rsidRPr="0074188F">
        <w:rPr>
          <w:rFonts w:ascii="Gadugi" w:eastAsia="Times New Roman" w:hAnsi="Gadugi" w:cs="Arial"/>
          <w:sz w:val="24"/>
          <w:szCs w:val="26"/>
          <w:lang w:val="es-CO" w:eastAsia="es-ES"/>
        </w:rPr>
        <w:t>a Corte Constitucional</w:t>
      </w:r>
      <w:r w:rsidRPr="0074188F">
        <w:rPr>
          <w:rFonts w:ascii="Gadugi" w:eastAsia="Times New Roman" w:hAnsi="Gadugi" w:cs="Arial"/>
          <w:sz w:val="24"/>
          <w:szCs w:val="26"/>
          <w:lang w:val="es-419" w:eastAsia="es-ES"/>
        </w:rPr>
        <w:t xml:space="preserve"> en la s</w:t>
      </w:r>
      <w:proofErr w:type="spellStart"/>
      <w:r w:rsidR="00302A66" w:rsidRPr="0074188F">
        <w:rPr>
          <w:rFonts w:ascii="Gadugi" w:eastAsia="Times New Roman" w:hAnsi="Gadugi" w:cs="Arial"/>
          <w:sz w:val="24"/>
          <w:szCs w:val="26"/>
          <w:lang w:val="es-CO" w:eastAsia="es-ES"/>
        </w:rPr>
        <w:t>entencia</w:t>
      </w:r>
      <w:proofErr w:type="spellEnd"/>
      <w:r w:rsidR="00302A66" w:rsidRPr="0074188F">
        <w:rPr>
          <w:rFonts w:ascii="Gadugi" w:eastAsia="Times New Roman" w:hAnsi="Gadugi" w:cs="Arial"/>
          <w:sz w:val="24"/>
          <w:szCs w:val="26"/>
          <w:lang w:val="es-CO" w:eastAsia="es-ES"/>
        </w:rPr>
        <w:t xml:space="preserve"> T-376 de 2011, reiterada en la Sentencia T-716 de 2015, precisó que:</w:t>
      </w:r>
    </w:p>
    <w:p w:rsidR="00426DA0" w:rsidRPr="0074188F" w:rsidRDefault="00C21E67" w:rsidP="00A235A6">
      <w:pPr>
        <w:autoSpaceDE w:val="0"/>
        <w:autoSpaceDN w:val="0"/>
        <w:adjustRightInd w:val="0"/>
        <w:spacing w:after="0" w:line="276" w:lineRule="auto"/>
        <w:jc w:val="both"/>
        <w:rPr>
          <w:rFonts w:ascii="Gadugi" w:eastAsia="Times New Roman" w:hAnsi="Gadugi" w:cs="Arial"/>
          <w:sz w:val="24"/>
          <w:szCs w:val="26"/>
          <w:lang w:val="es-CO"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p>
    <w:p w:rsidR="00C21E67" w:rsidRPr="0074188F" w:rsidRDefault="00C21E67" w:rsidP="0074188F">
      <w:pPr>
        <w:autoSpaceDE w:val="0"/>
        <w:autoSpaceDN w:val="0"/>
        <w:adjustRightInd w:val="0"/>
        <w:spacing w:after="0" w:line="240" w:lineRule="auto"/>
        <w:ind w:left="426" w:right="420" w:firstLine="2268"/>
        <w:jc w:val="both"/>
        <w:rPr>
          <w:rFonts w:ascii="Arial Narrow" w:eastAsia="Times New Roman" w:hAnsi="Arial Narrow" w:cs="Arial"/>
          <w:sz w:val="24"/>
          <w:szCs w:val="26"/>
          <w:lang w:val="es-CO" w:eastAsia="es-ES"/>
        </w:rPr>
      </w:pPr>
      <w:r w:rsidRPr="0074188F">
        <w:rPr>
          <w:rFonts w:ascii="Arial Narrow" w:eastAsia="Times New Roman" w:hAnsi="Arial Narrow" w:cs="Arial"/>
          <w:sz w:val="24"/>
          <w:szCs w:val="26"/>
          <w:lang w:val="es-CO" w:eastAsia="es-ES"/>
        </w:rPr>
        <w:t>“</w:t>
      </w:r>
      <w:r w:rsidR="00302A66" w:rsidRPr="0074188F">
        <w:rPr>
          <w:rFonts w:ascii="Arial Narrow" w:eastAsia="Times New Roman" w:hAnsi="Arial Narrow" w:cs="Arial"/>
          <w:sz w:val="24"/>
          <w:szCs w:val="26"/>
          <w:lang w:val="es-CO" w:eastAsia="es-ES"/>
        </w:rPr>
        <w:t>L</w:t>
      </w:r>
      <w:r w:rsidRPr="0074188F">
        <w:rPr>
          <w:rFonts w:ascii="Arial Narrow" w:eastAsia="Times New Roman" w:hAnsi="Arial Narrow" w:cs="Arial"/>
          <w:sz w:val="24"/>
          <w:szCs w:val="26"/>
          <w:lang w:val="es-CO" w:eastAsia="es-ES"/>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p>
    <w:p w:rsidR="00607281" w:rsidRPr="0074188F" w:rsidRDefault="00607281" w:rsidP="00A235A6">
      <w:pPr>
        <w:autoSpaceDE w:val="0"/>
        <w:autoSpaceDN w:val="0"/>
        <w:adjustRightInd w:val="0"/>
        <w:spacing w:after="0" w:line="276" w:lineRule="auto"/>
        <w:jc w:val="both"/>
        <w:rPr>
          <w:rFonts w:ascii="Gadugi" w:eastAsia="Times New Roman" w:hAnsi="Gadugi" w:cs="Arial"/>
          <w:sz w:val="24"/>
          <w:szCs w:val="26"/>
          <w:lang w:val="es-CO" w:eastAsia="es-ES"/>
        </w:rPr>
      </w:pPr>
    </w:p>
    <w:p w:rsidR="005E666C" w:rsidRPr="0074188F" w:rsidRDefault="00891E39" w:rsidP="00A235A6">
      <w:pPr>
        <w:autoSpaceDE w:val="0"/>
        <w:autoSpaceDN w:val="0"/>
        <w:adjustRightInd w:val="0"/>
        <w:spacing w:after="0" w:line="276" w:lineRule="auto"/>
        <w:jc w:val="both"/>
        <w:rPr>
          <w:rFonts w:ascii="Gadugi" w:eastAsia="Times New Roman" w:hAnsi="Gadugi" w:cs="Arial"/>
          <w:sz w:val="24"/>
          <w:szCs w:val="26"/>
          <w:lang w:val="es-419"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0061104F" w:rsidRPr="0074188F">
        <w:rPr>
          <w:rFonts w:ascii="Gadugi" w:eastAsia="Times New Roman" w:hAnsi="Gadugi" w:cs="Arial"/>
          <w:sz w:val="24"/>
          <w:szCs w:val="26"/>
          <w:lang w:val="es-419" w:eastAsia="es-ES"/>
        </w:rPr>
        <w:t xml:space="preserve">Es decir, que la subsidiariedad reclamada por el juzgado, se viene a menos </w:t>
      </w:r>
      <w:r w:rsidR="00665342" w:rsidRPr="0074188F">
        <w:rPr>
          <w:rFonts w:ascii="Gadugi" w:eastAsia="Times New Roman" w:hAnsi="Gadugi" w:cs="Arial"/>
          <w:sz w:val="24"/>
          <w:szCs w:val="26"/>
          <w:lang w:val="es-419" w:eastAsia="es-ES"/>
        </w:rPr>
        <w:t>y</w:t>
      </w:r>
      <w:r w:rsidR="00BC74CC" w:rsidRPr="0074188F">
        <w:rPr>
          <w:rFonts w:ascii="Gadugi" w:eastAsia="Times New Roman" w:hAnsi="Gadugi" w:cs="Arial"/>
          <w:sz w:val="24"/>
          <w:szCs w:val="26"/>
          <w:lang w:val="es-419" w:eastAsia="es-ES"/>
        </w:rPr>
        <w:t xml:space="preserve"> también </w:t>
      </w:r>
      <w:r w:rsidR="00665342" w:rsidRPr="0074188F">
        <w:rPr>
          <w:rFonts w:ascii="Gadugi" w:eastAsia="Times New Roman" w:hAnsi="Gadugi" w:cs="Arial"/>
          <w:sz w:val="24"/>
          <w:szCs w:val="26"/>
          <w:lang w:val="es-419" w:eastAsia="es-ES"/>
        </w:rPr>
        <w:t xml:space="preserve">la inmediatez se cumple porque </w:t>
      </w:r>
      <w:r w:rsidR="00BE109A" w:rsidRPr="0074188F">
        <w:rPr>
          <w:rFonts w:ascii="Gadugi" w:eastAsia="Times New Roman" w:hAnsi="Gadugi" w:cs="Arial"/>
          <w:sz w:val="24"/>
          <w:szCs w:val="26"/>
          <w:lang w:val="es-419" w:eastAsia="es-ES"/>
        </w:rPr>
        <w:t>el</w:t>
      </w:r>
      <w:r w:rsidR="00665342" w:rsidRPr="0074188F">
        <w:rPr>
          <w:rFonts w:ascii="Gadugi" w:eastAsia="Times New Roman" w:hAnsi="Gadugi" w:cs="Arial"/>
          <w:sz w:val="24"/>
          <w:szCs w:val="26"/>
          <w:lang w:val="es-419" w:eastAsia="es-ES"/>
        </w:rPr>
        <w:t xml:space="preserve"> acto administrativo </w:t>
      </w:r>
      <w:r w:rsidR="00BE109A" w:rsidRPr="0074188F">
        <w:rPr>
          <w:rFonts w:ascii="Gadugi" w:eastAsia="Times New Roman" w:hAnsi="Gadugi" w:cs="Arial"/>
          <w:sz w:val="24"/>
          <w:szCs w:val="26"/>
          <w:lang w:val="es-419" w:eastAsia="es-ES"/>
        </w:rPr>
        <w:t xml:space="preserve">que definió en segunda instancia su petición </w:t>
      </w:r>
      <w:r w:rsidR="00BC74CC" w:rsidRPr="0074188F">
        <w:rPr>
          <w:rFonts w:ascii="Gadugi" w:eastAsia="Times New Roman" w:hAnsi="Gadugi" w:cs="Arial"/>
          <w:sz w:val="24"/>
          <w:szCs w:val="26"/>
          <w:lang w:val="es-419" w:eastAsia="es-ES"/>
        </w:rPr>
        <w:t>data del 17 de enero de este año (f. 30, c. 1).</w:t>
      </w:r>
    </w:p>
    <w:p w:rsidR="00435DC4" w:rsidRPr="0074188F" w:rsidRDefault="00435DC4" w:rsidP="00A235A6">
      <w:pPr>
        <w:autoSpaceDE w:val="0"/>
        <w:autoSpaceDN w:val="0"/>
        <w:adjustRightInd w:val="0"/>
        <w:spacing w:after="0" w:line="276" w:lineRule="auto"/>
        <w:jc w:val="both"/>
        <w:rPr>
          <w:rFonts w:ascii="Gadugi" w:eastAsia="Times New Roman" w:hAnsi="Gadugi" w:cs="Arial"/>
          <w:sz w:val="24"/>
          <w:szCs w:val="26"/>
          <w:lang w:val="es-419" w:eastAsia="es-ES"/>
        </w:rPr>
      </w:pPr>
    </w:p>
    <w:p w:rsidR="00665342" w:rsidRPr="0074188F" w:rsidRDefault="00435DC4" w:rsidP="00A235A6">
      <w:pPr>
        <w:autoSpaceDE w:val="0"/>
        <w:autoSpaceDN w:val="0"/>
        <w:adjustRightInd w:val="0"/>
        <w:spacing w:after="0" w:line="276" w:lineRule="auto"/>
        <w:jc w:val="both"/>
        <w:rPr>
          <w:rFonts w:ascii="Gadugi" w:eastAsia="Times New Roman" w:hAnsi="Gadugi" w:cs="Arial"/>
          <w:sz w:val="24"/>
          <w:szCs w:val="26"/>
          <w:lang w:val="es-419" w:eastAsia="es-ES"/>
        </w:rPr>
      </w:pP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00665342" w:rsidRPr="0074188F">
        <w:rPr>
          <w:rFonts w:ascii="Gadugi" w:eastAsia="Times New Roman" w:hAnsi="Gadugi" w:cs="Arial"/>
          <w:sz w:val="24"/>
          <w:szCs w:val="26"/>
          <w:lang w:val="es-419" w:eastAsia="es-ES"/>
        </w:rPr>
        <w:t>Dicho lo cual, es oportuno enfilar el asunto por el principio de la condición más beneficiosa en materia de pensión de invalidez, como se propone.</w:t>
      </w:r>
    </w:p>
    <w:p w:rsidR="00665342" w:rsidRPr="0074188F" w:rsidRDefault="00665342" w:rsidP="00A235A6">
      <w:pPr>
        <w:autoSpaceDE w:val="0"/>
        <w:autoSpaceDN w:val="0"/>
        <w:adjustRightInd w:val="0"/>
        <w:spacing w:after="0" w:line="276" w:lineRule="auto"/>
        <w:jc w:val="both"/>
        <w:rPr>
          <w:rFonts w:ascii="Gadugi" w:eastAsia="Times New Roman" w:hAnsi="Gadugi" w:cs="Arial"/>
          <w:sz w:val="24"/>
          <w:szCs w:val="26"/>
          <w:lang w:val="es-419" w:eastAsia="es-ES"/>
        </w:rPr>
      </w:pPr>
    </w:p>
    <w:p w:rsidR="00665342" w:rsidRPr="0074188F" w:rsidRDefault="00665342" w:rsidP="00A235A6">
      <w:pPr>
        <w:tabs>
          <w:tab w:val="left" w:pos="374"/>
        </w:tabs>
        <w:spacing w:after="0" w:line="276" w:lineRule="auto"/>
        <w:jc w:val="both"/>
        <w:rPr>
          <w:rFonts w:ascii="Arial Narrow" w:eastAsia="Times New Roman" w:hAnsi="Arial Narrow" w:cs="Times New Roman"/>
          <w:sz w:val="24"/>
          <w:szCs w:val="26"/>
          <w:bdr w:val="none" w:sz="0" w:space="0" w:color="auto" w:frame="1"/>
          <w:lang w:eastAsia="es-MX"/>
        </w:rPr>
      </w:pP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eastAsia="Times New Roman" w:hAnsi="Gadugi" w:cs="Arial"/>
          <w:sz w:val="24"/>
          <w:szCs w:val="26"/>
          <w:lang w:val="es-419" w:eastAsia="es-ES"/>
        </w:rPr>
        <w:tab/>
      </w:r>
      <w:r w:rsidRPr="0074188F">
        <w:rPr>
          <w:rFonts w:ascii="Gadugi" w:hAnsi="Gadugi"/>
          <w:bCs/>
          <w:sz w:val="24"/>
          <w:szCs w:val="26"/>
          <w:bdr w:val="none" w:sz="0" w:space="0" w:color="auto" w:frame="1"/>
          <w:lang w:val="es-419"/>
        </w:rPr>
        <w:t xml:space="preserve">Sobre el tema ha </w:t>
      </w:r>
      <w:r w:rsidRPr="0074188F">
        <w:rPr>
          <w:rFonts w:ascii="Gadugi" w:hAnsi="Gadugi" w:cs="Century Gothic"/>
          <w:sz w:val="24"/>
          <w:szCs w:val="26"/>
        </w:rPr>
        <w:t>insistido la Corte, como se lee en la sentencia antes citada</w:t>
      </w:r>
      <w:r w:rsidRPr="0074188F">
        <w:rPr>
          <w:rStyle w:val="Refdenotaalpie"/>
          <w:rFonts w:ascii="Gadugi" w:hAnsi="Gadugi"/>
          <w:sz w:val="24"/>
          <w:szCs w:val="26"/>
          <w:bdr w:val="none" w:sz="0" w:space="0" w:color="auto" w:frame="1"/>
        </w:rPr>
        <w:footnoteReference w:id="4"/>
      </w:r>
      <w:r w:rsidRPr="0074188F">
        <w:rPr>
          <w:rFonts w:ascii="Gadugi" w:hAnsi="Gadugi" w:cs="Century Gothic"/>
          <w:sz w:val="24"/>
          <w:szCs w:val="26"/>
        </w:rPr>
        <w:t xml:space="preserve"> y más</w:t>
      </w:r>
      <w:r w:rsidRPr="0074188F">
        <w:rPr>
          <w:rFonts w:ascii="Gadugi" w:hAnsi="Gadugi" w:cs="Century Gothic"/>
          <w:sz w:val="24"/>
          <w:szCs w:val="26"/>
          <w:lang w:val="es-419"/>
        </w:rPr>
        <w:t xml:space="preserve"> recientemente, en la sentencia T-086 del 2018, en la que arribó a esta síntesis: </w:t>
      </w:r>
    </w:p>
    <w:p w:rsidR="00426DA0" w:rsidRPr="0074188F" w:rsidRDefault="00426DA0" w:rsidP="00A235A6">
      <w:pPr>
        <w:shd w:val="clear" w:color="auto" w:fill="FFFFFF"/>
        <w:spacing w:after="0" w:line="276" w:lineRule="auto"/>
        <w:ind w:left="567" w:right="618"/>
        <w:jc w:val="both"/>
        <w:textAlignment w:val="baseline"/>
        <w:rPr>
          <w:rFonts w:ascii="Arial Narrow" w:eastAsia="Times New Roman" w:hAnsi="Arial Narrow" w:cs="Times New Roman"/>
          <w:sz w:val="24"/>
          <w:szCs w:val="26"/>
          <w:bdr w:val="none" w:sz="0" w:space="0" w:color="auto" w:frame="1"/>
          <w:lang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r w:rsidRPr="0074188F">
        <w:rPr>
          <w:rFonts w:ascii="Arial Narrow" w:eastAsia="Times New Roman" w:hAnsi="Arial Narrow" w:cs="Times New Roman"/>
          <w:sz w:val="24"/>
          <w:szCs w:val="26"/>
          <w:bdr w:val="none" w:sz="0" w:space="0" w:color="auto" w:frame="1"/>
          <w:lang w:eastAsia="es-MX"/>
        </w:rPr>
        <w:tab/>
      </w:r>
      <w:r w:rsidRPr="0074188F">
        <w:rPr>
          <w:rFonts w:ascii="Arial Narrow" w:eastAsia="Times New Roman" w:hAnsi="Arial Narrow" w:cs="Times New Roman"/>
          <w:sz w:val="24"/>
          <w:szCs w:val="26"/>
          <w:bdr w:val="none" w:sz="0" w:space="0" w:color="auto" w:frame="1"/>
          <w:lang w:eastAsia="es-MX"/>
        </w:rPr>
        <w:tab/>
      </w:r>
      <w:r w:rsidRPr="0074188F">
        <w:rPr>
          <w:rFonts w:ascii="Arial Narrow" w:eastAsia="Times New Roman" w:hAnsi="Arial Narrow" w:cs="Times New Roman"/>
          <w:sz w:val="24"/>
          <w:szCs w:val="26"/>
          <w:bdr w:val="none" w:sz="0" w:space="0" w:color="auto" w:frame="1"/>
          <w:lang w:eastAsia="es-MX"/>
        </w:rPr>
        <w:tab/>
      </w:r>
      <w:r w:rsidRPr="0074188F">
        <w:rPr>
          <w:rFonts w:ascii="Arial Narrow" w:eastAsia="Times New Roman" w:hAnsi="Arial Narrow" w:cs="Times New Roman"/>
          <w:sz w:val="24"/>
          <w:szCs w:val="26"/>
          <w:bdr w:val="none" w:sz="0" w:space="0" w:color="auto" w:frame="1"/>
          <w:lang w:eastAsia="es-MX"/>
        </w:rPr>
        <w:tab/>
      </w:r>
      <w:r w:rsidRPr="0074188F">
        <w:rPr>
          <w:rFonts w:ascii="Arial Narrow" w:eastAsia="Times New Roman" w:hAnsi="Arial Narrow" w:cs="Times New Roman"/>
          <w:sz w:val="24"/>
          <w:szCs w:val="26"/>
          <w:bdr w:val="none" w:sz="0" w:space="0" w:color="auto" w:frame="1"/>
          <w:shd w:val="clear" w:color="auto" w:fill="FFFFFF"/>
          <w:lang w:eastAsia="es-MX"/>
        </w:rPr>
        <w:t>19.</w:t>
      </w:r>
      <w:r w:rsidRPr="0074188F">
        <w:rPr>
          <w:rFonts w:ascii="Arial Narrow" w:eastAsia="Times New Roman" w:hAnsi="Arial Narrow" w:cs="Times New Roman"/>
          <w:sz w:val="24"/>
          <w:szCs w:val="26"/>
          <w:bdr w:val="none" w:sz="0" w:space="0" w:color="auto" w:frame="1"/>
          <w:shd w:val="clear" w:color="auto" w:fill="FFFFFF"/>
          <w:lang w:val="es-CO" w:eastAsia="es-MX"/>
        </w:rPr>
        <w:t> Ahora bien, tanto la Corte Constitucional como la Sala de Casación Laboral de la Corte Suprema de Justicia reconocen el principio de la </w:t>
      </w:r>
      <w:r w:rsidRPr="0074188F">
        <w:rPr>
          <w:rFonts w:ascii="Arial Narrow" w:eastAsia="Times New Roman" w:hAnsi="Arial Narrow" w:cs="Times New Roman"/>
          <w:sz w:val="24"/>
          <w:szCs w:val="26"/>
          <w:bdr w:val="none" w:sz="0" w:space="0" w:color="auto" w:frame="1"/>
          <w:lang w:val="es-CO" w:eastAsia="es-MX"/>
        </w:rPr>
        <w:t>condición más beneficiosa. Sin embargo, e</w:t>
      </w:r>
      <w:r w:rsidRPr="0074188F">
        <w:rPr>
          <w:rFonts w:ascii="Arial Narrow" w:eastAsia="Times New Roman" w:hAnsi="Arial Narrow" w:cs="Times New Roman"/>
          <w:sz w:val="24"/>
          <w:szCs w:val="26"/>
          <w:bdr w:val="none" w:sz="0" w:space="0" w:color="auto" w:frame="1"/>
          <w:shd w:val="clear" w:color="auto" w:fill="FFFFFF"/>
          <w:lang w:val="es-CO" w:eastAsia="es-MX"/>
        </w:rPr>
        <w:t>l alcance de este principio fue un motivo de desacuerdo jurisprudencial. Durante varios años, la Corte Constitucional utilizó mayoritariamente la tesis amplia</w:t>
      </w:r>
      <w:r w:rsidRPr="0074188F">
        <w:rPr>
          <w:rStyle w:val="Refdenotaalpie"/>
          <w:rFonts w:ascii="Arial Narrow" w:eastAsia="Times New Roman" w:hAnsi="Arial Narrow"/>
          <w:sz w:val="24"/>
          <w:szCs w:val="26"/>
          <w:bdr w:val="none" w:sz="0" w:space="0" w:color="auto" w:frame="1"/>
          <w:shd w:val="clear" w:color="auto" w:fill="FFFFFF"/>
          <w:lang w:val="es-CO" w:eastAsia="es-MX"/>
        </w:rPr>
        <w:footnoteReference w:id="5"/>
      </w:r>
      <w:r w:rsidRPr="0074188F">
        <w:rPr>
          <w:rFonts w:ascii="Arial Narrow" w:eastAsia="Times New Roman" w:hAnsi="Arial Narrow" w:cs="Times New Roman"/>
          <w:sz w:val="24"/>
          <w:szCs w:val="26"/>
          <w:bdr w:val="none" w:sz="0" w:space="0" w:color="auto" w:frame="1"/>
          <w:shd w:val="clear" w:color="auto" w:fill="FFFFFF"/>
          <w:lang w:val="es-419" w:eastAsia="es-MX"/>
        </w:rPr>
        <w:t xml:space="preserve"> </w:t>
      </w:r>
      <w:r w:rsidRPr="0074188F">
        <w:rPr>
          <w:rFonts w:ascii="Arial Narrow" w:eastAsia="Times New Roman" w:hAnsi="Arial Narrow" w:cs="Times New Roman"/>
          <w:sz w:val="24"/>
          <w:szCs w:val="26"/>
          <w:bdr w:val="none" w:sz="0" w:space="0" w:color="auto" w:frame="1"/>
          <w:shd w:val="clear" w:color="auto" w:fill="FFFFFF"/>
          <w:lang w:val="es-CO" w:eastAsia="es-MX"/>
        </w:rPr>
        <w:t>de la condición más beneficiosa, según </w:t>
      </w:r>
      <w:r w:rsidRPr="0074188F">
        <w:rPr>
          <w:rFonts w:ascii="Arial Narrow" w:eastAsia="Times New Roman" w:hAnsi="Arial Narrow" w:cs="Times New Roman"/>
          <w:sz w:val="24"/>
          <w:szCs w:val="26"/>
          <w:bdr w:val="none" w:sz="0" w:space="0" w:color="auto" w:frame="1"/>
          <w:lang w:val="es-CO" w:eastAsia="es-MX"/>
        </w:rPr>
        <w:t>la cual es posible aplicar cualquiera de los tres regímenes que han regulado el derecho a la pensión de invalidez sin límite de tiempo. Por su parte, </w:t>
      </w:r>
      <w:r w:rsidRPr="0074188F">
        <w:rPr>
          <w:rFonts w:ascii="Arial Narrow" w:eastAsia="Times New Roman" w:hAnsi="Arial Narrow" w:cs="Times New Roman"/>
          <w:sz w:val="24"/>
          <w:szCs w:val="26"/>
          <w:bdr w:val="none" w:sz="0" w:space="0" w:color="auto" w:frame="1"/>
          <w:shd w:val="clear" w:color="auto" w:fill="FFFFFF"/>
          <w:lang w:val="es-CO" w:eastAsia="es-MX"/>
        </w:rPr>
        <w:t>la Sala de Casación Laboral de la Corte Suprema de Justicia </w:t>
      </w:r>
      <w:r w:rsidRPr="0074188F">
        <w:rPr>
          <w:rFonts w:ascii="Arial Narrow" w:eastAsia="Times New Roman" w:hAnsi="Arial Narrow" w:cs="Times New Roman"/>
          <w:sz w:val="24"/>
          <w:szCs w:val="26"/>
          <w:bdr w:val="none" w:sz="0" w:space="0" w:color="auto" w:frame="1"/>
          <w:lang w:val="es-CO" w:eastAsia="es-MX"/>
        </w:rPr>
        <w:t>sostiene una tesis restrictiva</w:t>
      </w:r>
      <w:r w:rsidRPr="0074188F">
        <w:rPr>
          <w:rStyle w:val="Refdenotaalpie"/>
          <w:rFonts w:ascii="Arial Narrow" w:eastAsia="Times New Roman" w:hAnsi="Arial Narrow"/>
          <w:sz w:val="24"/>
          <w:szCs w:val="26"/>
          <w:bdr w:val="none" w:sz="0" w:space="0" w:color="auto" w:frame="1"/>
          <w:lang w:val="es-CO" w:eastAsia="es-MX"/>
        </w:rPr>
        <w:footnoteReference w:id="6"/>
      </w:r>
      <w:r w:rsidRPr="0074188F">
        <w:rPr>
          <w:rFonts w:ascii="Arial Narrow" w:eastAsia="Times New Roman" w:hAnsi="Arial Narrow" w:cs="Times New Roman"/>
          <w:sz w:val="24"/>
          <w:szCs w:val="26"/>
          <w:bdr w:val="none" w:sz="0" w:space="0" w:color="auto" w:frame="1"/>
          <w:lang w:val="es-CO" w:eastAsia="es-MX"/>
        </w:rPr>
        <w:t>, de la que se desprende que la norma aplicable es la inmediatamente anterior a la estructuración de la invalidez.</w:t>
      </w: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Arial Unicode MS" w:hAnsi="Arial Narrow" w:cs="Times New Roman"/>
          <w:b/>
          <w:sz w:val="24"/>
          <w:szCs w:val="26"/>
          <w:bdr w:val="none" w:sz="0" w:space="0" w:color="auto" w:frame="1"/>
          <w:shd w:val="clear" w:color="auto" w:fill="FFFFFF"/>
          <w:lang w:val="es-CO" w:eastAsia="es-MX"/>
        </w:rPr>
      </w:pP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Arial Unicode MS" w:hAnsi="Arial Narrow" w:cs="Times New Roman"/>
          <w:b/>
          <w:sz w:val="24"/>
          <w:szCs w:val="26"/>
          <w:bdr w:val="none" w:sz="0" w:space="0" w:color="auto" w:frame="1"/>
          <w:shd w:val="clear" w:color="auto" w:fill="FFFFFF"/>
          <w:lang w:val="es-CO" w:eastAsia="es-MX"/>
        </w:rPr>
        <w:t>La Corte Constitucional zanjó esta discusión en la </w:t>
      </w:r>
      <w:r w:rsidRPr="0074188F">
        <w:rPr>
          <w:rFonts w:ascii="Arial Narrow" w:eastAsia="Arial Unicode MS" w:hAnsi="Arial Narrow" w:cs="Times New Roman"/>
          <w:b/>
          <w:bCs/>
          <w:sz w:val="24"/>
          <w:szCs w:val="26"/>
          <w:bdr w:val="none" w:sz="0" w:space="0" w:color="auto" w:frame="1"/>
          <w:lang w:val="es-CO" w:eastAsia="es-MX"/>
        </w:rPr>
        <w:t>sentencia SU-442 de 2016 </w:t>
      </w:r>
      <w:r w:rsidRPr="0074188F">
        <w:rPr>
          <w:rFonts w:ascii="Arial Narrow" w:eastAsia="Arial Unicode MS" w:hAnsi="Arial Narrow" w:cs="Times New Roman"/>
          <w:b/>
          <w:sz w:val="24"/>
          <w:szCs w:val="26"/>
          <w:bdr w:val="none" w:sz="0" w:space="0" w:color="auto" w:frame="1"/>
          <w:shd w:val="clear" w:color="auto" w:fill="FFFFFF"/>
          <w:lang w:val="es-CO" w:eastAsia="es-MX"/>
        </w:rPr>
        <w:t xml:space="preserve">previamente referida. Esta providencia determinó que una solicitud de reconocimiento pensional </w:t>
      </w:r>
      <w:r w:rsidRPr="0074188F">
        <w:rPr>
          <w:rFonts w:ascii="Arial Narrow" w:eastAsia="Arial Unicode MS" w:hAnsi="Arial Narrow" w:cs="Times New Roman"/>
          <w:b/>
          <w:sz w:val="24"/>
          <w:szCs w:val="26"/>
          <w:u w:val="single"/>
          <w:bdr w:val="none" w:sz="0" w:space="0" w:color="auto" w:frame="1"/>
          <w:shd w:val="clear" w:color="auto" w:fill="FFFFFF"/>
          <w:lang w:val="es-CO" w:eastAsia="es-MX"/>
        </w:rPr>
        <w:t>puede examinarse conforme a las normas anteriores a la que se encontraba vigente cuando se estructuró una pérdida de capacidad laboral igual o mayor del 50%</w:t>
      </w:r>
      <w:r w:rsidRPr="0074188F">
        <w:rPr>
          <w:rFonts w:ascii="Arial Narrow" w:eastAsia="Arial Unicode MS" w:hAnsi="Arial Narrow" w:cs="Times New Roman"/>
          <w:b/>
          <w:sz w:val="24"/>
          <w:szCs w:val="26"/>
          <w:bdr w:val="none" w:sz="0" w:space="0" w:color="auto" w:frame="1"/>
          <w:shd w:val="clear" w:color="auto" w:fill="FFFFFF"/>
          <w:lang w:val="es-CO" w:eastAsia="es-MX"/>
        </w:rPr>
        <w:t xml:space="preserve">, con fundamento en el principio de la condición más beneficiosa. Con respecto a su alcance en el tiempo, esta Corporación determinó que la condición más beneficiosa en pensiones de invalidez no se restringe exclusivamente a admitir u ordenar la aplicación de la norma inmediatamente anterior a la vigente, sino que se extiende a todo esquema normativo anterior bajo el cual el </w:t>
      </w:r>
      <w:r w:rsidRPr="0074188F">
        <w:rPr>
          <w:rFonts w:ascii="Arial Narrow" w:eastAsia="Arial Unicode MS" w:hAnsi="Arial Narrow" w:cs="Times New Roman"/>
          <w:b/>
          <w:sz w:val="24"/>
          <w:szCs w:val="26"/>
          <w:bdr w:val="none" w:sz="0" w:space="0" w:color="auto" w:frame="1"/>
          <w:shd w:val="clear" w:color="auto" w:fill="FFFFFF"/>
          <w:lang w:val="es-CO" w:eastAsia="es-MX"/>
        </w:rPr>
        <w:lastRenderedPageBreak/>
        <w:t>afiliado o beneficiario haya generado una expectativa legítima conforme a la jurisprudencia. Así mismo, estableció lo siguiente:</w:t>
      </w:r>
    </w:p>
    <w:p w:rsidR="00665342" w:rsidRPr="0074188F" w:rsidRDefault="00665342" w:rsidP="0074188F">
      <w:pPr>
        <w:shd w:val="clear" w:color="auto" w:fill="FFFFFF"/>
        <w:spacing w:after="0" w:line="240" w:lineRule="auto"/>
        <w:ind w:left="426" w:right="420"/>
        <w:jc w:val="both"/>
        <w:textAlignment w:val="baseline"/>
        <w:rPr>
          <w:rFonts w:ascii="Arial Narrow" w:eastAsia="Arial Unicode MS" w:hAnsi="Arial Narrow" w:cs="Times New Roman"/>
          <w:sz w:val="24"/>
          <w:szCs w:val="26"/>
          <w:bdr w:val="none" w:sz="0" w:space="0" w:color="auto" w:frame="1"/>
          <w:shd w:val="clear" w:color="auto" w:fill="FFFFFF"/>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Arial Unicode MS" w:hAnsi="Arial Narrow" w:cs="Times New Roman"/>
          <w:i/>
          <w:iCs/>
          <w:sz w:val="24"/>
          <w:szCs w:val="26"/>
          <w:bdr w:val="none" w:sz="0" w:space="0" w:color="auto" w:frame="1"/>
          <w:lang w:val="es-CO" w:eastAsia="es-MX"/>
        </w:rPr>
      </w:pPr>
      <w:r w:rsidRPr="0074188F">
        <w:rPr>
          <w:rFonts w:ascii="Arial Narrow" w:eastAsia="Arial Unicode MS" w:hAnsi="Arial Narrow" w:cs="Times New Roman"/>
          <w:sz w:val="24"/>
          <w:szCs w:val="26"/>
          <w:bdr w:val="none" w:sz="0" w:space="0" w:color="auto" w:frame="1"/>
          <w:shd w:val="clear" w:color="auto" w:fill="FFFFFF"/>
          <w:lang w:val="es-CO" w:eastAsia="es-MX"/>
        </w:rPr>
        <w:tab/>
      </w:r>
      <w:r w:rsidRPr="0074188F">
        <w:rPr>
          <w:rFonts w:ascii="Arial Narrow" w:eastAsia="Arial Unicode MS" w:hAnsi="Arial Narrow" w:cs="Times New Roman"/>
          <w:sz w:val="24"/>
          <w:szCs w:val="26"/>
          <w:bdr w:val="none" w:sz="0" w:space="0" w:color="auto" w:frame="1"/>
          <w:shd w:val="clear" w:color="auto" w:fill="FFFFFF"/>
          <w:lang w:val="es-CO" w:eastAsia="es-MX"/>
        </w:rPr>
        <w:tab/>
      </w:r>
      <w:r w:rsidRPr="0074188F">
        <w:rPr>
          <w:rFonts w:ascii="Arial Narrow" w:eastAsia="Arial Unicode MS" w:hAnsi="Arial Narrow" w:cs="Times New Roman"/>
          <w:sz w:val="24"/>
          <w:szCs w:val="26"/>
          <w:bdr w:val="none" w:sz="0" w:space="0" w:color="auto" w:frame="1"/>
          <w:shd w:val="clear" w:color="auto" w:fill="FFFFFF"/>
          <w:lang w:val="es-CO" w:eastAsia="es-MX"/>
        </w:rPr>
        <w:tab/>
      </w:r>
      <w:r w:rsidRPr="0074188F">
        <w:rPr>
          <w:rFonts w:ascii="Arial Narrow" w:eastAsia="Arial Unicode MS" w:hAnsi="Arial Narrow" w:cs="Times New Roman"/>
          <w:sz w:val="24"/>
          <w:szCs w:val="26"/>
          <w:bdr w:val="none" w:sz="0" w:space="0" w:color="auto" w:frame="1"/>
          <w:shd w:val="clear" w:color="auto" w:fill="FFFFFF"/>
          <w:lang w:val="es-419" w:eastAsia="es-MX"/>
        </w:rPr>
        <w:t xml:space="preserve"> </w:t>
      </w:r>
      <w:r w:rsidRPr="0074188F">
        <w:rPr>
          <w:rFonts w:ascii="Arial Narrow" w:eastAsia="Arial Unicode MS" w:hAnsi="Arial Narrow" w:cs="Times New Roman"/>
          <w:sz w:val="24"/>
          <w:szCs w:val="26"/>
          <w:bdr w:val="none" w:sz="0" w:space="0" w:color="auto" w:frame="1"/>
          <w:shd w:val="clear" w:color="auto" w:fill="FFFFFF"/>
          <w:lang w:val="es-419" w:eastAsia="es-MX"/>
        </w:rPr>
        <w:tab/>
      </w:r>
      <w:r w:rsidRPr="0074188F">
        <w:rPr>
          <w:rFonts w:ascii="Arial Narrow" w:eastAsia="Arial Unicode MS" w:hAnsi="Arial Narrow" w:cs="Times New Roman"/>
          <w:i/>
          <w:iCs/>
          <w:sz w:val="24"/>
          <w:szCs w:val="26"/>
          <w:bdr w:val="none" w:sz="0" w:space="0" w:color="auto" w:frame="1"/>
          <w:lang w:val="es-CO" w:eastAsia="es-MX"/>
        </w:rPr>
        <w:t>“Por lo demás, una vez la jurisprudencia ha interpretado que la condición más beneficiosa admite sujetar la pensión de invalidez a reglas bajo cuya vigencia se contrajo una expectativa legítima, no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w:t>
      </w:r>
    </w:p>
    <w:p w:rsidR="00665342" w:rsidRPr="0074188F" w:rsidRDefault="00665342" w:rsidP="0074188F">
      <w:pPr>
        <w:shd w:val="clear" w:color="auto" w:fill="FFFFFF"/>
        <w:spacing w:after="0" w:line="240" w:lineRule="auto"/>
        <w:ind w:left="426" w:right="420"/>
        <w:jc w:val="both"/>
        <w:textAlignment w:val="baseline"/>
        <w:rPr>
          <w:rFonts w:ascii="Arial Narrow" w:eastAsia="Arial Unicode MS" w:hAnsi="Arial Narrow" w:cs="Times New Roman"/>
          <w:i/>
          <w:iCs/>
          <w:sz w:val="24"/>
          <w:szCs w:val="26"/>
          <w:bdr w:val="none" w:sz="0" w:space="0" w:color="auto" w:frame="1"/>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r w:rsidRPr="0074188F">
        <w:rPr>
          <w:rFonts w:ascii="Arial Narrow" w:eastAsia="Arial Unicode MS" w:hAnsi="Arial Narrow" w:cs="Times New Roman"/>
          <w:i/>
          <w:iCs/>
          <w:sz w:val="24"/>
          <w:szCs w:val="26"/>
          <w:bdr w:val="none" w:sz="0" w:space="0" w:color="auto" w:frame="1"/>
          <w:lang w:val="es-CO" w:eastAsia="es-MX"/>
        </w:rPr>
        <w:tab/>
      </w:r>
      <w:r w:rsidRPr="0074188F">
        <w:rPr>
          <w:rFonts w:ascii="Arial Narrow" w:eastAsia="Arial Unicode MS" w:hAnsi="Arial Narrow" w:cs="Times New Roman"/>
          <w:i/>
          <w:iCs/>
          <w:sz w:val="24"/>
          <w:szCs w:val="26"/>
          <w:bdr w:val="none" w:sz="0" w:space="0" w:color="auto" w:frame="1"/>
          <w:lang w:val="es-CO" w:eastAsia="es-MX"/>
        </w:rPr>
        <w:tab/>
      </w:r>
      <w:r w:rsidRPr="0074188F">
        <w:rPr>
          <w:rFonts w:ascii="Arial Narrow" w:eastAsia="Arial Unicode MS" w:hAnsi="Arial Narrow" w:cs="Times New Roman"/>
          <w:i/>
          <w:iCs/>
          <w:sz w:val="24"/>
          <w:szCs w:val="26"/>
          <w:bdr w:val="none" w:sz="0" w:space="0" w:color="auto" w:frame="1"/>
          <w:lang w:val="es-CO" w:eastAsia="es-MX"/>
        </w:rPr>
        <w:tab/>
      </w:r>
      <w:r w:rsidRPr="0074188F">
        <w:rPr>
          <w:rFonts w:ascii="Arial Narrow" w:eastAsia="Arial Unicode MS" w:hAnsi="Arial Narrow" w:cs="Times New Roman"/>
          <w:i/>
          <w:iCs/>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CO" w:eastAsia="es-MX"/>
        </w:rPr>
        <w:t>20. Adicionalmente, la referida sentencia realizó algunas precisiones sobre la aplicación de la condición más beneficiosa y reiteró la concepción de </w:t>
      </w:r>
      <w:r w:rsidRPr="0074188F">
        <w:rPr>
          <w:rFonts w:ascii="Arial Narrow" w:eastAsia="Times New Roman" w:hAnsi="Arial Narrow" w:cs="Times New Roman"/>
          <w:i/>
          <w:iCs/>
          <w:sz w:val="24"/>
          <w:szCs w:val="26"/>
          <w:bdr w:val="none" w:sz="0" w:space="0" w:color="auto" w:frame="1"/>
          <w:lang w:val="es-CO" w:eastAsia="es-MX"/>
        </w:rPr>
        <w:t>“expectativa legítima”</w:t>
      </w:r>
      <w:r w:rsidRPr="0074188F">
        <w:rPr>
          <w:rFonts w:ascii="Arial Narrow" w:eastAsia="Times New Roman" w:hAnsi="Arial Narrow" w:cs="Times New Roman"/>
          <w:sz w:val="24"/>
          <w:szCs w:val="26"/>
          <w:bdr w:val="none" w:sz="0" w:space="0" w:color="auto" w:frame="1"/>
          <w:lang w:val="es-CO" w:eastAsia="es-MX"/>
        </w:rPr>
        <w:t>. En particular, estableció que, en casos de pensiones de invalidez, sólo es posible aplicar la condición más beneficiosa</w:t>
      </w:r>
      <w:r w:rsidRPr="0074188F">
        <w:rPr>
          <w:rFonts w:ascii="Arial Narrow" w:eastAsia="Times New Roman" w:hAnsi="Arial Narrow" w:cs="Times New Roman"/>
          <w:sz w:val="24"/>
          <w:szCs w:val="26"/>
          <w:bdr w:val="none" w:sz="0" w:space="0" w:color="auto" w:frame="1"/>
          <w:shd w:val="clear" w:color="auto" w:fill="FFFFFF"/>
          <w:lang w:val="es-CO" w:eastAsia="es-MX"/>
        </w:rPr>
        <w:t> a un usuario que tenía una expectativa legítima bajo una norma anterior.</w:t>
      </w: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t>Para mostrar la aplicación de la condición más beneficiosa, dicha providencia </w:t>
      </w:r>
      <w:r w:rsidRPr="0074188F">
        <w:rPr>
          <w:rFonts w:ascii="Arial Narrow" w:eastAsia="Times New Roman" w:hAnsi="Arial Narrow" w:cs="Times New Roman"/>
          <w:sz w:val="24"/>
          <w:szCs w:val="26"/>
          <w:bdr w:val="none" w:sz="0" w:space="0" w:color="auto" w:frame="1"/>
          <w:lang w:val="es-CO" w:eastAsia="es-MX"/>
        </w:rPr>
        <w:t>reiteró el proceso llevado a cabo </w:t>
      </w:r>
      <w:r w:rsidRPr="0074188F">
        <w:rPr>
          <w:rFonts w:ascii="Arial Narrow" w:eastAsia="Times New Roman" w:hAnsi="Arial Narrow" w:cs="Times New Roman"/>
          <w:sz w:val="24"/>
          <w:szCs w:val="26"/>
          <w:bdr w:val="none" w:sz="0" w:space="0" w:color="auto" w:frame="1"/>
          <w:shd w:val="clear" w:color="auto" w:fill="FFFFFF"/>
          <w:lang w:val="es-CO" w:eastAsia="es-MX"/>
        </w:rPr>
        <w:t>en las </w:t>
      </w:r>
      <w:r w:rsidRPr="0074188F">
        <w:rPr>
          <w:rFonts w:ascii="Arial Narrow" w:eastAsia="Times New Roman" w:hAnsi="Arial Narrow" w:cs="Times New Roman"/>
          <w:bCs/>
          <w:sz w:val="24"/>
          <w:szCs w:val="26"/>
          <w:bdr w:val="none" w:sz="0" w:space="0" w:color="auto" w:frame="1"/>
          <w:lang w:val="es-CO" w:eastAsia="es-MX"/>
        </w:rPr>
        <w:t>sentencias T-569 de 2015</w:t>
      </w:r>
      <w:r w:rsidRPr="0074188F">
        <w:rPr>
          <w:rStyle w:val="Refdenotaalpie"/>
          <w:rFonts w:ascii="Arial Narrow" w:eastAsia="Times New Roman" w:hAnsi="Arial Narrow"/>
          <w:bCs/>
          <w:sz w:val="24"/>
          <w:szCs w:val="26"/>
          <w:bdr w:val="none" w:sz="0" w:space="0" w:color="auto" w:frame="1"/>
          <w:lang w:val="es-CO" w:eastAsia="es-MX"/>
        </w:rPr>
        <w:footnoteReference w:id="7"/>
      </w:r>
      <w:r w:rsidRPr="0074188F">
        <w:rPr>
          <w:rFonts w:ascii="Arial Narrow" w:eastAsia="Times New Roman" w:hAnsi="Arial Narrow" w:cs="Times New Roman"/>
          <w:sz w:val="24"/>
          <w:szCs w:val="26"/>
          <w:bdr w:val="none" w:sz="0" w:space="0" w:color="auto" w:frame="1"/>
          <w:lang w:val="es-CO" w:eastAsia="es-MX"/>
        </w:rPr>
        <w:t>y </w:t>
      </w:r>
      <w:r w:rsidRPr="0074188F">
        <w:rPr>
          <w:rFonts w:ascii="Arial Narrow" w:eastAsia="Times New Roman" w:hAnsi="Arial Narrow" w:cs="Times New Roman"/>
          <w:bCs/>
          <w:sz w:val="24"/>
          <w:szCs w:val="26"/>
          <w:bdr w:val="none" w:sz="0" w:space="0" w:color="auto" w:frame="1"/>
          <w:lang w:val="es-CO" w:eastAsia="es-MX"/>
        </w:rPr>
        <w:t>T-065 de 2016</w:t>
      </w:r>
      <w:r w:rsidRPr="0074188F">
        <w:rPr>
          <w:rStyle w:val="Refdenotaalpie"/>
          <w:rFonts w:ascii="Arial Narrow" w:eastAsia="Times New Roman" w:hAnsi="Arial Narrow"/>
          <w:bCs/>
          <w:sz w:val="24"/>
          <w:szCs w:val="26"/>
          <w:bdr w:val="none" w:sz="0" w:space="0" w:color="auto" w:frame="1"/>
          <w:lang w:val="es-CO" w:eastAsia="es-MX"/>
        </w:rPr>
        <w:footnoteReference w:id="8"/>
      </w:r>
      <w:r w:rsidRPr="0074188F">
        <w:rPr>
          <w:rFonts w:ascii="Arial Narrow" w:eastAsia="Times New Roman" w:hAnsi="Arial Narrow" w:cs="Times New Roman"/>
          <w:sz w:val="24"/>
          <w:szCs w:val="26"/>
          <w:bdr w:val="none" w:sz="0" w:space="0" w:color="auto" w:frame="1"/>
          <w:lang w:val="es-CO" w:eastAsia="es-MX"/>
        </w:rPr>
        <w:t> de la siguiente manera:</w:t>
      </w: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p>
    <w:p w:rsidR="00665342" w:rsidRPr="0074188F" w:rsidRDefault="00665342" w:rsidP="0074188F">
      <w:pPr>
        <w:shd w:val="clear" w:color="auto" w:fill="FFFFFF"/>
        <w:tabs>
          <w:tab w:val="left" w:pos="2835"/>
          <w:tab w:val="left" w:pos="3119"/>
          <w:tab w:val="left" w:pos="3261"/>
        </w:tabs>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r w:rsidRPr="0074188F">
        <w:rPr>
          <w:rFonts w:ascii="Arial Narrow" w:eastAsia="Times New Roman" w:hAnsi="Arial Narrow" w:cs="Times New Roman"/>
          <w:sz w:val="24"/>
          <w:szCs w:val="26"/>
          <w:bdr w:val="none" w:sz="0" w:space="0" w:color="auto" w:frame="1"/>
          <w:lang w:val="es-CO" w:eastAsia="es-MX"/>
        </w:rPr>
        <w:t xml:space="preserve"> </w:t>
      </w:r>
      <w:r w:rsidRPr="0074188F">
        <w:rPr>
          <w:rFonts w:ascii="Arial Narrow" w:eastAsia="Times New Roman" w:hAnsi="Arial Narrow" w:cs="Times New Roman"/>
          <w:sz w:val="24"/>
          <w:szCs w:val="26"/>
          <w:bdr w:val="none" w:sz="0" w:space="0" w:color="auto" w:frame="1"/>
          <w:lang w:val="es-CO" w:eastAsia="es-MX"/>
        </w:rPr>
        <w:tab/>
        <w:t>a)   </w:t>
      </w:r>
      <w:r w:rsidRPr="0074188F">
        <w:rPr>
          <w:rFonts w:ascii="Arial Narrow" w:eastAsia="Times New Roman" w:hAnsi="Arial Narrow" w:cs="Times New Roman"/>
          <w:sz w:val="24"/>
          <w:szCs w:val="26"/>
          <w:bdr w:val="none" w:sz="0" w:space="0" w:color="auto" w:frame="1"/>
          <w:shd w:val="clear" w:color="auto" w:fill="FFFFFF"/>
          <w:lang w:val="es-CO" w:eastAsia="es-MX"/>
        </w:rPr>
        <w:t>el supuesto fáctico parte del caso de un usuario del sistema general de pensiones que cumplió con los requisitos para acceder a la pensión de invalidez en vigencia de alguna de las dos normas anteriores a la Ley 860 de 2003;</w:t>
      </w:r>
    </w:p>
    <w:p w:rsidR="00665342" w:rsidRPr="0074188F" w:rsidRDefault="00665342" w:rsidP="0074188F">
      <w:pPr>
        <w:shd w:val="clear" w:color="auto" w:fill="FFFFFF"/>
        <w:tabs>
          <w:tab w:val="left" w:pos="3119"/>
        </w:tabs>
        <w:spacing w:after="0" w:line="240" w:lineRule="auto"/>
        <w:ind w:left="426" w:right="420"/>
        <w:jc w:val="both"/>
        <w:textAlignment w:val="baseline"/>
        <w:rPr>
          <w:rFonts w:ascii="Arial Narrow" w:eastAsia="Times New Roman" w:hAnsi="Arial Narrow" w:cs="Calibri"/>
          <w:sz w:val="24"/>
          <w:szCs w:val="26"/>
          <w:lang w:eastAsia="es-MX"/>
        </w:rPr>
      </w:pPr>
    </w:p>
    <w:p w:rsidR="00665342" w:rsidRPr="0074188F" w:rsidRDefault="00665342" w:rsidP="0074188F">
      <w:pPr>
        <w:shd w:val="clear" w:color="auto" w:fill="FFFFFF"/>
        <w:tabs>
          <w:tab w:val="left" w:pos="2835"/>
        </w:tabs>
        <w:spacing w:after="0" w:line="240" w:lineRule="auto"/>
        <w:ind w:left="426" w:right="420"/>
        <w:jc w:val="both"/>
        <w:textAlignment w:val="baseline"/>
        <w:rPr>
          <w:rFonts w:ascii="Arial Narrow" w:eastAsia="Times New Roman" w:hAnsi="Arial Narrow" w:cs="Calibri"/>
          <w:sz w:val="24"/>
          <w:szCs w:val="26"/>
          <w:lang w:eastAsia="es-MX"/>
        </w:rPr>
      </w:pPr>
      <w:r w:rsidRPr="0074188F">
        <w:rPr>
          <w:rFonts w:ascii="Arial Narrow" w:eastAsia="Times New Roman" w:hAnsi="Arial Narrow" w:cs="Calibri"/>
          <w:sz w:val="24"/>
          <w:szCs w:val="26"/>
          <w:lang w:eastAsia="es-MX"/>
        </w:rPr>
        <w:tab/>
      </w:r>
      <w:r w:rsidRPr="0074188F">
        <w:rPr>
          <w:rFonts w:ascii="Arial Narrow" w:eastAsia="Times New Roman" w:hAnsi="Arial Narrow" w:cs="Times New Roman"/>
          <w:sz w:val="24"/>
          <w:szCs w:val="26"/>
          <w:bdr w:val="none" w:sz="0" w:space="0" w:color="auto" w:frame="1"/>
          <w:lang w:val="es-CO" w:eastAsia="es-MX"/>
        </w:rPr>
        <w:t>b)   </w:t>
      </w:r>
      <w:r w:rsidRPr="0074188F">
        <w:rPr>
          <w:rFonts w:ascii="Arial Narrow" w:eastAsia="Times New Roman" w:hAnsi="Arial Narrow" w:cs="Times New Roman"/>
          <w:sz w:val="24"/>
          <w:szCs w:val="26"/>
          <w:bdr w:val="none" w:sz="0" w:space="0" w:color="auto" w:frame="1"/>
          <w:shd w:val="clear" w:color="auto" w:fill="FFFFFF"/>
          <w:lang w:val="es-CO" w:eastAsia="es-MX"/>
        </w:rPr>
        <w:t>la legislación en la que cumple los requisitos para acceder a la pensión de invalidez es derogada sin contemplar un régimen de transición;</w:t>
      </w:r>
    </w:p>
    <w:p w:rsidR="00665342" w:rsidRPr="0074188F" w:rsidRDefault="00665342" w:rsidP="0074188F">
      <w:pPr>
        <w:shd w:val="clear" w:color="auto" w:fill="FFFFFF"/>
        <w:tabs>
          <w:tab w:val="left" w:pos="3119"/>
        </w:tabs>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p>
    <w:p w:rsidR="00665342" w:rsidRPr="0074188F" w:rsidRDefault="00665342" w:rsidP="0074188F">
      <w:pPr>
        <w:shd w:val="clear" w:color="auto" w:fill="FFFFFF"/>
        <w:tabs>
          <w:tab w:val="left" w:pos="2835"/>
          <w:tab w:val="left" w:pos="3119"/>
        </w:tabs>
        <w:spacing w:after="0" w:line="240" w:lineRule="auto"/>
        <w:ind w:left="426" w:right="420"/>
        <w:jc w:val="both"/>
        <w:textAlignment w:val="baseline"/>
        <w:rPr>
          <w:rFonts w:ascii="Arial Narrow" w:eastAsia="Times New Roman" w:hAnsi="Arial Narrow" w:cs="Calibri"/>
          <w:sz w:val="24"/>
          <w:szCs w:val="26"/>
          <w:lang w:eastAsia="es-MX"/>
        </w:rPr>
      </w:pPr>
      <w:r w:rsidRPr="0074188F">
        <w:rPr>
          <w:rFonts w:ascii="Arial Narrow" w:eastAsia="Times New Roman" w:hAnsi="Arial Narrow" w:cs="Times New Roman"/>
          <w:sz w:val="24"/>
          <w:szCs w:val="26"/>
          <w:bdr w:val="none" w:sz="0" w:space="0" w:color="auto" w:frame="1"/>
          <w:lang w:val="es-CO" w:eastAsia="es-MX"/>
        </w:rPr>
        <w:tab/>
        <w:t>c)    </w:t>
      </w:r>
      <w:r w:rsidRPr="0074188F">
        <w:rPr>
          <w:rFonts w:ascii="Arial Narrow" w:eastAsia="Times New Roman" w:hAnsi="Arial Narrow" w:cs="Times New Roman"/>
          <w:sz w:val="24"/>
          <w:szCs w:val="26"/>
          <w:bdr w:val="none" w:sz="0" w:space="0" w:color="auto" w:frame="1"/>
          <w:shd w:val="clear" w:color="auto" w:fill="FFFFFF"/>
          <w:lang w:val="es-CO" w:eastAsia="es-MX"/>
        </w:rPr>
        <w:t>el cambio de legislación hizo más gravosa la situación del usuario, en la medida en que con la nueva normativa no cumple con los requisitos para acceder al reconocimiento de la pensión de invalidez;</w:t>
      </w:r>
    </w:p>
    <w:p w:rsidR="00665342" w:rsidRPr="0074188F" w:rsidRDefault="00665342" w:rsidP="0074188F">
      <w:pPr>
        <w:shd w:val="clear" w:color="auto" w:fill="FFFFFF"/>
        <w:tabs>
          <w:tab w:val="left" w:pos="3119"/>
        </w:tabs>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p>
    <w:p w:rsidR="00665342" w:rsidRPr="0074188F" w:rsidRDefault="00665342" w:rsidP="0074188F">
      <w:pPr>
        <w:shd w:val="clear" w:color="auto" w:fill="FFFFFF"/>
        <w:tabs>
          <w:tab w:val="left" w:pos="2835"/>
          <w:tab w:val="left" w:pos="3119"/>
        </w:tabs>
        <w:spacing w:after="0" w:line="240" w:lineRule="auto"/>
        <w:ind w:left="426" w:right="420"/>
        <w:jc w:val="both"/>
        <w:textAlignment w:val="baseline"/>
        <w:rPr>
          <w:rFonts w:ascii="Arial Narrow" w:eastAsia="Times New Roman" w:hAnsi="Arial Narrow" w:cs="Calibri"/>
          <w:sz w:val="24"/>
          <w:szCs w:val="26"/>
          <w:lang w:eastAsia="es-MX"/>
        </w:rPr>
      </w:pPr>
      <w:r w:rsidRPr="0074188F">
        <w:rPr>
          <w:rFonts w:ascii="Arial Narrow" w:eastAsia="Times New Roman" w:hAnsi="Arial Narrow" w:cs="Times New Roman"/>
          <w:sz w:val="24"/>
          <w:szCs w:val="26"/>
          <w:bdr w:val="none" w:sz="0" w:space="0" w:color="auto" w:frame="1"/>
          <w:lang w:val="es-CO" w:eastAsia="es-MX"/>
        </w:rPr>
        <w:tab/>
        <w:t>d) </w:t>
      </w: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419" w:eastAsia="es-MX"/>
        </w:rPr>
        <w:t xml:space="preserve"> </w:t>
      </w:r>
      <w:r w:rsidRPr="0074188F">
        <w:rPr>
          <w:rFonts w:ascii="Arial Narrow" w:eastAsia="Times New Roman" w:hAnsi="Arial Narrow" w:cs="Times New Roman"/>
          <w:sz w:val="24"/>
          <w:szCs w:val="26"/>
          <w:bdr w:val="none" w:sz="0" w:space="0" w:color="auto" w:frame="1"/>
          <w:shd w:val="clear" w:color="auto" w:fill="FFFFFF"/>
          <w:lang w:val="es-CO" w:eastAsia="es-MX"/>
        </w:rPr>
        <w:t>con posterioridad a la entrada en vigencia del nuevo régimen, el usuario solicita el reconocimiento de una pensión de invalidez;</w:t>
      </w:r>
    </w:p>
    <w:p w:rsidR="00665342" w:rsidRPr="0074188F" w:rsidRDefault="00665342" w:rsidP="0074188F">
      <w:pPr>
        <w:shd w:val="clear" w:color="auto" w:fill="FFFFFF"/>
        <w:tabs>
          <w:tab w:val="left" w:pos="3119"/>
        </w:tabs>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p>
    <w:p w:rsidR="00665342" w:rsidRPr="0074188F" w:rsidRDefault="00665342" w:rsidP="0074188F">
      <w:pPr>
        <w:shd w:val="clear" w:color="auto" w:fill="FFFFFF"/>
        <w:tabs>
          <w:tab w:val="left" w:pos="2835"/>
          <w:tab w:val="left" w:pos="3261"/>
        </w:tabs>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r w:rsidRPr="0074188F">
        <w:rPr>
          <w:rFonts w:ascii="Arial Narrow" w:eastAsia="Times New Roman" w:hAnsi="Arial Narrow" w:cs="Times New Roman"/>
          <w:sz w:val="24"/>
          <w:szCs w:val="26"/>
          <w:bdr w:val="none" w:sz="0" w:space="0" w:color="auto" w:frame="1"/>
          <w:lang w:val="es-419" w:eastAsia="es-MX"/>
        </w:rPr>
        <w:t xml:space="preserve"> </w:t>
      </w:r>
      <w:r w:rsidRPr="0074188F">
        <w:rPr>
          <w:rFonts w:ascii="Arial Narrow" w:eastAsia="Times New Roman" w:hAnsi="Arial Narrow" w:cs="Times New Roman"/>
          <w:sz w:val="24"/>
          <w:szCs w:val="26"/>
          <w:bdr w:val="none" w:sz="0" w:space="0" w:color="auto" w:frame="1"/>
          <w:lang w:val="es-419" w:eastAsia="es-MX"/>
        </w:rPr>
        <w:tab/>
      </w:r>
      <w:r w:rsidRPr="0074188F">
        <w:rPr>
          <w:rFonts w:ascii="Arial Narrow" w:eastAsia="Times New Roman" w:hAnsi="Arial Narrow" w:cs="Times New Roman"/>
          <w:sz w:val="24"/>
          <w:szCs w:val="26"/>
          <w:bdr w:val="none" w:sz="0" w:space="0" w:color="auto" w:frame="1"/>
          <w:lang w:val="es-CO" w:eastAsia="es-MX"/>
        </w:rPr>
        <w:t>e)   </w:t>
      </w:r>
      <w:r w:rsidRPr="0074188F">
        <w:rPr>
          <w:rFonts w:ascii="Arial Narrow" w:eastAsia="Times New Roman" w:hAnsi="Arial Narrow" w:cs="Times New Roman"/>
          <w:sz w:val="24"/>
          <w:szCs w:val="26"/>
          <w:bdr w:val="none" w:sz="0" w:space="0" w:color="auto" w:frame="1"/>
          <w:shd w:val="clear" w:color="auto" w:fill="FFFFFF"/>
          <w:lang w:val="es-CO" w:eastAsia="es-MX"/>
        </w:rPr>
        <w:t>el usuario no cumple con los requisitos establecidos en el artículo 1º de la Ley 860 de 2003;</w:t>
      </w: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b/>
          <w:sz w:val="24"/>
          <w:szCs w:val="26"/>
          <w:bdr w:val="none" w:sz="0" w:space="0" w:color="auto" w:frame="1"/>
          <w:shd w:val="clear" w:color="auto" w:fill="FFFFFF"/>
          <w:lang w:val="es-CO" w:eastAsia="es-MX"/>
        </w:rPr>
        <w:t>Con fundamento en lo anterior, la Corte aplicó la condición más beneficiosa bajo el argumento de que el peticionario tenía una expectativa legítima, debido a que había cumplido con los requisitos establecidos para acceder a la pensión en alguna de las legislaciones anteriores</w:t>
      </w:r>
      <w:r w:rsidRPr="0074188F">
        <w:rPr>
          <w:rFonts w:ascii="Arial Narrow" w:eastAsia="Times New Roman" w:hAnsi="Arial Narrow" w:cs="Times New Roman"/>
          <w:sz w:val="24"/>
          <w:szCs w:val="26"/>
          <w:bdr w:val="none" w:sz="0" w:space="0" w:color="auto" w:frame="1"/>
          <w:shd w:val="clear" w:color="auto" w:fill="FFFFFF"/>
          <w:lang w:val="es-CO" w:eastAsia="es-MX"/>
        </w:rPr>
        <w:t>.</w:t>
      </w: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shd w:val="clear" w:color="auto" w:fill="FFFFFF"/>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shd w:val="clear" w:color="auto" w:fill="FFFFFF"/>
          <w:lang w:val="es-CO" w:eastAsia="es-MX"/>
        </w:rPr>
        <w:tab/>
      </w:r>
      <w:r w:rsidRPr="0074188F">
        <w:rPr>
          <w:rFonts w:ascii="Arial Narrow" w:eastAsia="Times New Roman" w:hAnsi="Arial Narrow" w:cs="Times New Roman"/>
          <w:sz w:val="24"/>
          <w:szCs w:val="26"/>
          <w:bdr w:val="none" w:sz="0" w:space="0" w:color="auto" w:frame="1"/>
          <w:lang w:val="es-CO" w:eastAsia="es-MX"/>
        </w:rPr>
        <w:t>En consecuencia, se evidencia que la jurisprudencia de esta Corporación ha aplicado la condición más beneficiosa exclusivamente en aquellos casos en los que una persona cumplió con los requisitos de un régimen derogado para acceder a la pensión de invalidez y en ausencia de un régimen de transición, con fundamento en que se han defraudado sus expectativas legítimas de acceder a una pensión dentro de un régimen que perdió vigencia.</w:t>
      </w: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Times New Roman"/>
          <w:sz w:val="24"/>
          <w:szCs w:val="26"/>
          <w:bdr w:val="none" w:sz="0" w:space="0" w:color="auto" w:frame="1"/>
          <w:lang w:val="es-CO" w:eastAsia="es-MX"/>
        </w:rPr>
      </w:pPr>
    </w:p>
    <w:p w:rsidR="00665342" w:rsidRPr="0074188F" w:rsidRDefault="00665342" w:rsidP="0074188F">
      <w:pPr>
        <w:shd w:val="clear" w:color="auto" w:fill="FFFFFF"/>
        <w:spacing w:after="0" w:line="240" w:lineRule="auto"/>
        <w:ind w:left="426" w:right="420"/>
        <w:jc w:val="both"/>
        <w:textAlignment w:val="baseline"/>
        <w:rPr>
          <w:rFonts w:ascii="Arial Narrow" w:eastAsia="Times New Roman" w:hAnsi="Arial Narrow" w:cs="Calibri"/>
          <w:sz w:val="24"/>
          <w:szCs w:val="26"/>
          <w:lang w:eastAsia="es-MX"/>
        </w:rPr>
      </w:pPr>
      <w:r w:rsidRPr="0074188F">
        <w:rPr>
          <w:rFonts w:ascii="Arial Narrow" w:eastAsia="Times New Roman" w:hAnsi="Arial Narrow" w:cs="Times New Roman"/>
          <w:sz w:val="24"/>
          <w:szCs w:val="26"/>
          <w:bdr w:val="none" w:sz="0" w:space="0" w:color="auto" w:frame="1"/>
          <w:lang w:val="es-CO" w:eastAsia="es-MX"/>
        </w:rPr>
        <w:lastRenderedPageBreak/>
        <w:tab/>
      </w: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CO" w:eastAsia="es-MX"/>
        </w:rPr>
        <w:tab/>
      </w:r>
      <w:r w:rsidRPr="0074188F">
        <w:rPr>
          <w:rFonts w:ascii="Arial Narrow" w:eastAsia="Times New Roman" w:hAnsi="Arial Narrow" w:cs="Times New Roman"/>
          <w:sz w:val="24"/>
          <w:szCs w:val="26"/>
          <w:bdr w:val="none" w:sz="0" w:space="0" w:color="auto" w:frame="1"/>
          <w:lang w:val="es-CO" w:eastAsia="es-MX"/>
        </w:rPr>
        <w:tab/>
        <w:t xml:space="preserve">21. En conclusión, para aplicar el principio de la condición más beneficiosa es necesario que la persona que busca el reconocimiento de una pensión de invalidez: (i) </w:t>
      </w:r>
      <w:r w:rsidRPr="0074188F">
        <w:rPr>
          <w:rFonts w:ascii="Arial Narrow" w:eastAsia="Times New Roman" w:hAnsi="Arial Narrow" w:cs="Times New Roman"/>
          <w:sz w:val="24"/>
          <w:szCs w:val="26"/>
          <w:u w:val="single"/>
          <w:bdr w:val="none" w:sz="0" w:space="0" w:color="auto" w:frame="1"/>
          <w:lang w:val="es-CO" w:eastAsia="es-MX"/>
        </w:rPr>
        <w:t xml:space="preserve">cumpla con los requisitos exigidos para acceder a dicha prestación en un régimen derogado, lo que se constituye como una expectativa legítima de acogerse a él; </w:t>
      </w:r>
      <w:r w:rsidRPr="0074188F">
        <w:rPr>
          <w:rFonts w:ascii="Arial Narrow" w:eastAsia="Times New Roman" w:hAnsi="Arial Narrow" w:cs="Times New Roman"/>
          <w:sz w:val="24"/>
          <w:szCs w:val="26"/>
          <w:bdr w:val="none" w:sz="0" w:space="0" w:color="auto" w:frame="1"/>
          <w:lang w:val="es-CO" w:eastAsia="es-MX"/>
        </w:rPr>
        <w:t xml:space="preserve">y (ii) </w:t>
      </w:r>
      <w:r w:rsidRPr="0074188F">
        <w:rPr>
          <w:rFonts w:ascii="Arial Narrow" w:eastAsia="Times New Roman" w:hAnsi="Arial Narrow" w:cs="Times New Roman"/>
          <w:sz w:val="24"/>
          <w:szCs w:val="26"/>
          <w:u w:val="single"/>
          <w:bdr w:val="none" w:sz="0" w:space="0" w:color="auto" w:frame="1"/>
          <w:lang w:val="es-CO" w:eastAsia="es-MX"/>
        </w:rPr>
        <w:t>no cumpla con las exigencias requeridas en el nuevo régimen, el cual dejó sin efectos al anterior sin contemplar un régimen de transición para sujetos que hubieran cumplido con las condiciones previas</w:t>
      </w:r>
      <w:r w:rsidRPr="0074188F">
        <w:rPr>
          <w:rFonts w:ascii="Arial Narrow" w:eastAsia="Times New Roman" w:hAnsi="Arial Narrow" w:cs="Times New Roman"/>
          <w:sz w:val="24"/>
          <w:szCs w:val="26"/>
          <w:bdr w:val="none" w:sz="0" w:space="0" w:color="auto" w:frame="1"/>
          <w:lang w:val="es-CO" w:eastAsia="es-MX"/>
        </w:rPr>
        <w:t>.” (Se destaca)</w:t>
      </w:r>
    </w:p>
    <w:p w:rsidR="00426DA0" w:rsidRPr="0074188F" w:rsidRDefault="00665342" w:rsidP="00A235A6">
      <w:pPr>
        <w:shd w:val="clear" w:color="auto" w:fill="FFFFFF"/>
        <w:spacing w:after="0" w:line="276" w:lineRule="auto"/>
        <w:jc w:val="both"/>
        <w:textAlignment w:val="baseline"/>
        <w:rPr>
          <w:rFonts w:ascii="Times New Roman" w:eastAsia="Times New Roman" w:hAnsi="Times New Roman" w:cs="Times New Roman"/>
          <w:sz w:val="24"/>
          <w:szCs w:val="26"/>
          <w:bdr w:val="none" w:sz="0" w:space="0" w:color="auto" w:frame="1"/>
          <w:lang w:val="es-CO" w:eastAsia="es-MX"/>
        </w:rPr>
      </w:pPr>
      <w:r w:rsidRPr="0074188F">
        <w:rPr>
          <w:rFonts w:ascii="Times New Roman" w:eastAsia="Times New Roman" w:hAnsi="Times New Roman" w:cs="Times New Roman"/>
          <w:sz w:val="24"/>
          <w:szCs w:val="26"/>
          <w:bdr w:val="none" w:sz="0" w:space="0" w:color="auto" w:frame="1"/>
          <w:lang w:val="es-CO" w:eastAsia="es-MX"/>
        </w:rPr>
        <w:t> </w:t>
      </w:r>
    </w:p>
    <w:p w:rsidR="000139A5" w:rsidRPr="0074188F" w:rsidRDefault="00665342" w:rsidP="00A235A6">
      <w:pPr>
        <w:autoSpaceDE w:val="0"/>
        <w:autoSpaceDN w:val="0"/>
        <w:adjustRightInd w:val="0"/>
        <w:spacing w:after="0" w:line="276" w:lineRule="auto"/>
        <w:jc w:val="both"/>
        <w:rPr>
          <w:rFonts w:ascii="Gadugi" w:eastAsia="Times New Roman" w:hAnsi="Gadugi" w:cs="Arial"/>
          <w:sz w:val="24"/>
          <w:szCs w:val="26"/>
          <w:lang w:val="es-CO"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00944011" w:rsidRPr="0074188F">
        <w:rPr>
          <w:rFonts w:ascii="Gadugi" w:eastAsia="Times New Roman" w:hAnsi="Gadugi" w:cs="Arial"/>
          <w:sz w:val="24"/>
          <w:szCs w:val="26"/>
          <w:lang w:val="es-CO" w:eastAsia="es-ES"/>
        </w:rPr>
        <w:t>En el caso concreto</w:t>
      </w:r>
      <w:r w:rsidR="00EA27C8" w:rsidRPr="0074188F">
        <w:rPr>
          <w:rFonts w:ascii="Gadugi" w:eastAsia="Times New Roman" w:hAnsi="Gadugi" w:cs="Arial"/>
          <w:sz w:val="24"/>
          <w:szCs w:val="26"/>
          <w:lang w:val="es-419" w:eastAsia="es-ES"/>
        </w:rPr>
        <w:t>,</w:t>
      </w:r>
      <w:r w:rsidR="00944011" w:rsidRPr="0074188F">
        <w:rPr>
          <w:rFonts w:ascii="Gadugi" w:eastAsia="Times New Roman" w:hAnsi="Gadugi" w:cs="Arial"/>
          <w:sz w:val="24"/>
          <w:szCs w:val="26"/>
          <w:lang w:val="es-CO" w:eastAsia="es-ES"/>
        </w:rPr>
        <w:t xml:space="preserve"> </w:t>
      </w:r>
      <w:r w:rsidR="0096221B" w:rsidRPr="0074188F">
        <w:rPr>
          <w:rFonts w:ascii="Gadugi" w:eastAsia="Times New Roman" w:hAnsi="Gadugi" w:cs="Arial"/>
          <w:sz w:val="24"/>
          <w:szCs w:val="26"/>
          <w:lang w:val="es-CO" w:eastAsia="es-ES"/>
        </w:rPr>
        <w:t xml:space="preserve">Colpensiones negó la subvención porque </w:t>
      </w:r>
      <w:r w:rsidR="00A235A6" w:rsidRPr="0074188F">
        <w:rPr>
          <w:rFonts w:ascii="Gadugi" w:eastAsia="Times New Roman" w:hAnsi="Gadugi" w:cs="Arial"/>
          <w:sz w:val="24"/>
          <w:szCs w:val="26"/>
          <w:lang w:val="es-CO" w:eastAsia="es-ES"/>
        </w:rPr>
        <w:t>el asegurado no acredita el requisito de las 50 semanas cotizadas dentro de los tres (3) años anteriores a la fecha de estructuración de invalidez,</w:t>
      </w:r>
      <w:r w:rsidR="0096221B" w:rsidRPr="0074188F">
        <w:rPr>
          <w:rFonts w:ascii="Gadugi" w:eastAsia="Times New Roman" w:hAnsi="Gadugi" w:cs="Arial"/>
          <w:sz w:val="24"/>
          <w:szCs w:val="26"/>
          <w:lang w:val="es-CO" w:eastAsia="es-ES"/>
        </w:rPr>
        <w:t xml:space="preserve"> situación que da al traste con lo reglado en el  artículo 1° de la ley 860 del 2003.</w:t>
      </w:r>
      <w:r w:rsidR="00754C0F" w:rsidRPr="0074188F">
        <w:rPr>
          <w:rFonts w:ascii="Gadugi" w:eastAsia="Times New Roman" w:hAnsi="Gadugi" w:cs="Arial"/>
          <w:sz w:val="24"/>
          <w:szCs w:val="26"/>
          <w:lang w:val="es-CO" w:eastAsia="es-ES"/>
        </w:rPr>
        <w:t xml:space="preserve"> Por su parte</w:t>
      </w:r>
      <w:r w:rsidR="0096221B" w:rsidRPr="0074188F">
        <w:rPr>
          <w:rFonts w:ascii="Gadugi" w:eastAsia="Times New Roman" w:hAnsi="Gadugi" w:cs="Arial"/>
          <w:sz w:val="24"/>
          <w:szCs w:val="26"/>
          <w:lang w:val="es-CO" w:eastAsia="es-ES"/>
        </w:rPr>
        <w:t xml:space="preserve"> </w:t>
      </w:r>
      <w:r w:rsidR="00754C0F" w:rsidRPr="0074188F">
        <w:rPr>
          <w:rFonts w:ascii="Gadugi" w:eastAsia="Times New Roman" w:hAnsi="Gadugi" w:cs="Arial"/>
          <w:sz w:val="24"/>
          <w:szCs w:val="26"/>
          <w:lang w:val="es-CO" w:eastAsia="es-ES"/>
        </w:rPr>
        <w:t>e</w:t>
      </w:r>
      <w:r w:rsidR="000139A5" w:rsidRPr="0074188F">
        <w:rPr>
          <w:rFonts w:ascii="Gadugi" w:eastAsia="Times New Roman" w:hAnsi="Gadugi" w:cs="Arial"/>
          <w:sz w:val="24"/>
          <w:szCs w:val="26"/>
          <w:lang w:val="es-CO" w:eastAsia="es-ES"/>
        </w:rPr>
        <w:t>l actor considera que su caso debe ser estudiado a la luz del artículo 6° del</w:t>
      </w:r>
      <w:r w:rsidR="00A235A6" w:rsidRPr="0074188F">
        <w:rPr>
          <w:rFonts w:ascii="Gadugi" w:eastAsia="Times New Roman" w:hAnsi="Gadugi" w:cs="Arial"/>
          <w:sz w:val="24"/>
          <w:szCs w:val="26"/>
          <w:lang w:val="es-CO" w:eastAsia="es-ES"/>
        </w:rPr>
        <w:t xml:space="preserve"> Decreto 758 de 1990</w:t>
      </w:r>
      <w:r w:rsidR="000139A5" w:rsidRPr="0074188F">
        <w:rPr>
          <w:rFonts w:ascii="Gadugi" w:eastAsia="Times New Roman" w:hAnsi="Gadugi" w:cs="Arial"/>
          <w:sz w:val="24"/>
          <w:szCs w:val="26"/>
          <w:lang w:val="es-CO" w:eastAsia="es-ES"/>
        </w:rPr>
        <w:t xml:space="preserve"> </w:t>
      </w:r>
      <w:r w:rsidR="00A235A6" w:rsidRPr="0074188F">
        <w:rPr>
          <w:rFonts w:ascii="Gadugi" w:eastAsia="Times New Roman" w:hAnsi="Gadugi" w:cs="Arial"/>
          <w:sz w:val="24"/>
          <w:szCs w:val="26"/>
          <w:lang w:val="es-CO" w:eastAsia="es-ES"/>
        </w:rPr>
        <w:t xml:space="preserve">que aprobó el </w:t>
      </w:r>
      <w:r w:rsidR="000139A5" w:rsidRPr="0074188F">
        <w:rPr>
          <w:rFonts w:ascii="Gadugi" w:eastAsia="Times New Roman" w:hAnsi="Gadugi" w:cs="Arial"/>
          <w:sz w:val="24"/>
          <w:szCs w:val="26"/>
          <w:lang w:val="es-CO" w:eastAsia="es-ES"/>
        </w:rPr>
        <w:t>acu</w:t>
      </w:r>
      <w:r w:rsidR="00A235A6" w:rsidRPr="0074188F">
        <w:rPr>
          <w:rFonts w:ascii="Gadugi" w:eastAsia="Times New Roman" w:hAnsi="Gadugi" w:cs="Arial"/>
          <w:sz w:val="24"/>
          <w:szCs w:val="26"/>
          <w:lang w:val="es-CO" w:eastAsia="es-ES"/>
        </w:rPr>
        <w:t>e</w:t>
      </w:r>
      <w:r w:rsidR="000139A5" w:rsidRPr="0074188F">
        <w:rPr>
          <w:rFonts w:ascii="Gadugi" w:eastAsia="Times New Roman" w:hAnsi="Gadugi" w:cs="Arial"/>
          <w:sz w:val="24"/>
          <w:szCs w:val="26"/>
          <w:lang w:val="es-CO" w:eastAsia="es-ES"/>
        </w:rPr>
        <w:t xml:space="preserve">rdo 049 de 1990, </w:t>
      </w:r>
      <w:r w:rsidR="00A235A6" w:rsidRPr="0074188F">
        <w:rPr>
          <w:rFonts w:ascii="Gadugi" w:eastAsia="Times New Roman" w:hAnsi="Gadugi" w:cs="Arial"/>
          <w:sz w:val="24"/>
          <w:szCs w:val="26"/>
          <w:lang w:val="es-CO" w:eastAsia="es-ES"/>
        </w:rPr>
        <w:t xml:space="preserve">estatuto en el que cumple con las exigencias para pensionarse porque es inválido y cotizó 300 semanas en cualquier tiempo con anterioridad al estado de invalidez.  </w:t>
      </w:r>
    </w:p>
    <w:p w:rsidR="00754C0F" w:rsidRPr="0074188F" w:rsidRDefault="00754C0F" w:rsidP="00A235A6">
      <w:pPr>
        <w:autoSpaceDE w:val="0"/>
        <w:autoSpaceDN w:val="0"/>
        <w:adjustRightInd w:val="0"/>
        <w:spacing w:after="0" w:line="276" w:lineRule="auto"/>
        <w:jc w:val="both"/>
        <w:rPr>
          <w:rFonts w:ascii="Gadugi" w:eastAsia="Times New Roman" w:hAnsi="Gadugi" w:cs="Arial"/>
          <w:sz w:val="24"/>
          <w:szCs w:val="26"/>
          <w:lang w:val="es-CO" w:eastAsia="es-ES"/>
        </w:rPr>
      </w:pPr>
    </w:p>
    <w:p w:rsidR="00A235A6" w:rsidRPr="0074188F" w:rsidRDefault="00BC74CC" w:rsidP="00754C0F">
      <w:pPr>
        <w:spacing w:after="0" w:line="276" w:lineRule="auto"/>
        <w:ind w:right="19" w:firstLine="2835"/>
        <w:jc w:val="both"/>
        <w:rPr>
          <w:rFonts w:ascii="Gadugi" w:hAnsi="Gadugi"/>
          <w:sz w:val="24"/>
          <w:szCs w:val="26"/>
          <w:lang w:val="es-419"/>
        </w:rPr>
      </w:pPr>
      <w:r w:rsidRPr="0074188F">
        <w:rPr>
          <w:rFonts w:ascii="Gadugi" w:hAnsi="Gadugi"/>
          <w:sz w:val="24"/>
          <w:szCs w:val="26"/>
          <w:lang w:val="es-419"/>
        </w:rPr>
        <w:t>S</w:t>
      </w:r>
      <w:r w:rsidR="00AF3A1F" w:rsidRPr="0074188F">
        <w:rPr>
          <w:rFonts w:ascii="Gadugi" w:hAnsi="Gadugi"/>
          <w:sz w:val="24"/>
          <w:szCs w:val="26"/>
          <w:lang w:val="es-419"/>
        </w:rPr>
        <w:t>on varias las normas que han regulado la pensión de invalidez, entre ellas, y sin mencionar otras más vetustas que no vienen al caso, están el</w:t>
      </w:r>
      <w:r w:rsidR="00754C0F" w:rsidRPr="0074188F">
        <w:rPr>
          <w:rFonts w:ascii="Gadugi" w:hAnsi="Gadugi"/>
          <w:sz w:val="24"/>
          <w:szCs w:val="26"/>
          <w:lang w:val="es-419"/>
        </w:rPr>
        <w:t xml:space="preserve"> </w:t>
      </w:r>
      <w:r w:rsidR="00754C0F" w:rsidRPr="0074188F">
        <w:rPr>
          <w:rFonts w:ascii="Gadugi" w:eastAsia="Times New Roman" w:hAnsi="Gadugi" w:cs="Arial"/>
          <w:sz w:val="24"/>
          <w:szCs w:val="26"/>
          <w:lang w:val="es-CO" w:eastAsia="es-ES"/>
        </w:rPr>
        <w:t>artículo 6° del</w:t>
      </w:r>
      <w:r w:rsidR="00AF3A1F" w:rsidRPr="0074188F">
        <w:rPr>
          <w:rFonts w:ascii="Gadugi" w:hAnsi="Gadugi"/>
          <w:sz w:val="24"/>
          <w:szCs w:val="26"/>
          <w:lang w:val="es-419"/>
        </w:rPr>
        <w:t xml:space="preserve"> </w:t>
      </w:r>
      <w:r w:rsidR="00754C0F" w:rsidRPr="0074188F">
        <w:rPr>
          <w:rFonts w:ascii="Gadugi" w:hAnsi="Gadugi"/>
          <w:sz w:val="24"/>
          <w:szCs w:val="26"/>
          <w:lang w:val="es-419"/>
        </w:rPr>
        <w:t>D</w:t>
      </w:r>
      <w:r w:rsidR="00AF3A1F" w:rsidRPr="0074188F">
        <w:rPr>
          <w:rFonts w:ascii="Gadugi" w:hAnsi="Gadugi"/>
          <w:sz w:val="24"/>
          <w:szCs w:val="26"/>
          <w:lang w:val="es-419"/>
        </w:rPr>
        <w:t>ecreto 758 de 1990,</w:t>
      </w:r>
      <w:r w:rsidR="00A235A6" w:rsidRPr="0074188F">
        <w:rPr>
          <w:rFonts w:ascii="Gadugi" w:hAnsi="Gadugi"/>
          <w:sz w:val="24"/>
          <w:szCs w:val="26"/>
          <w:lang w:val="es-419"/>
        </w:rPr>
        <w:t xml:space="preserve"> que es la norma </w:t>
      </w:r>
      <w:r w:rsidR="0096367E" w:rsidRPr="0074188F">
        <w:rPr>
          <w:rFonts w:ascii="Gadugi" w:hAnsi="Gadugi"/>
          <w:sz w:val="24"/>
          <w:szCs w:val="26"/>
          <w:lang w:val="es-419"/>
        </w:rPr>
        <w:t>a</w:t>
      </w:r>
      <w:r w:rsidR="00A235A6" w:rsidRPr="0074188F">
        <w:rPr>
          <w:rFonts w:ascii="Gadugi" w:hAnsi="Gadugi"/>
          <w:sz w:val="24"/>
          <w:szCs w:val="26"/>
          <w:lang w:val="es-419"/>
        </w:rPr>
        <w:t xml:space="preserve"> la que se aferra el peticionario para deprecar la </w:t>
      </w:r>
      <w:r w:rsidR="0096367E" w:rsidRPr="0074188F">
        <w:rPr>
          <w:rFonts w:ascii="Gadugi" w:hAnsi="Gadugi"/>
          <w:sz w:val="24"/>
          <w:szCs w:val="26"/>
          <w:lang w:val="es-419"/>
        </w:rPr>
        <w:t xml:space="preserve">pensión, </w:t>
      </w:r>
      <w:r w:rsidR="00754C0F" w:rsidRPr="0074188F">
        <w:rPr>
          <w:rFonts w:ascii="Gadugi" w:hAnsi="Gadugi"/>
          <w:sz w:val="24"/>
          <w:szCs w:val="26"/>
          <w:lang w:val="es-419"/>
        </w:rPr>
        <w:t>el artículo 39 de la</w:t>
      </w:r>
      <w:r w:rsidR="00AF3A1F" w:rsidRPr="0074188F">
        <w:rPr>
          <w:rFonts w:ascii="Gadugi" w:hAnsi="Gadugi"/>
          <w:sz w:val="24"/>
          <w:szCs w:val="26"/>
          <w:lang w:val="es-419"/>
        </w:rPr>
        <w:t xml:space="preserve"> ley 100 de 1993</w:t>
      </w:r>
      <w:r w:rsidR="0096367E" w:rsidRPr="0074188F">
        <w:rPr>
          <w:rFonts w:ascii="Gadugi" w:hAnsi="Gadugi"/>
          <w:sz w:val="24"/>
          <w:szCs w:val="26"/>
          <w:lang w:val="es-419"/>
        </w:rPr>
        <w:t xml:space="preserve"> en su versión original,</w:t>
      </w:r>
      <w:r w:rsidR="00AF3A1F" w:rsidRPr="0074188F">
        <w:rPr>
          <w:rFonts w:ascii="Gadugi" w:hAnsi="Gadugi"/>
          <w:sz w:val="24"/>
          <w:szCs w:val="26"/>
          <w:lang w:val="es-419"/>
        </w:rPr>
        <w:t xml:space="preserve"> y </w:t>
      </w:r>
      <w:r w:rsidR="00754C0F" w:rsidRPr="0074188F">
        <w:rPr>
          <w:rFonts w:ascii="Gadugi" w:hAnsi="Gadugi"/>
          <w:sz w:val="24"/>
          <w:szCs w:val="26"/>
          <w:lang w:val="es-419"/>
        </w:rPr>
        <w:t xml:space="preserve">el artículo 1° de la Ley </w:t>
      </w:r>
      <w:r w:rsidR="00AF3A1F" w:rsidRPr="0074188F">
        <w:rPr>
          <w:rFonts w:ascii="Gadugi" w:hAnsi="Gadugi"/>
          <w:sz w:val="24"/>
          <w:szCs w:val="26"/>
          <w:lang w:val="es-419"/>
        </w:rPr>
        <w:t>860 de 2003</w:t>
      </w:r>
      <w:r w:rsidR="00754C0F" w:rsidRPr="0074188F">
        <w:rPr>
          <w:rFonts w:ascii="Gadugi" w:hAnsi="Gadugi"/>
          <w:sz w:val="24"/>
          <w:szCs w:val="26"/>
          <w:lang w:val="es-419"/>
        </w:rPr>
        <w:t xml:space="preserve">, pábulo de Colpensiones para negar la prestación que se ruega. </w:t>
      </w:r>
    </w:p>
    <w:p w:rsidR="00A235A6" w:rsidRPr="0074188F" w:rsidRDefault="00A235A6" w:rsidP="00754C0F">
      <w:pPr>
        <w:spacing w:after="0" w:line="276" w:lineRule="auto"/>
        <w:ind w:right="19" w:firstLine="2835"/>
        <w:jc w:val="both"/>
        <w:rPr>
          <w:rFonts w:ascii="Gadugi" w:hAnsi="Gadugi"/>
          <w:sz w:val="24"/>
          <w:szCs w:val="26"/>
          <w:lang w:val="es-419"/>
        </w:rPr>
      </w:pPr>
    </w:p>
    <w:p w:rsidR="00AF3A1F" w:rsidRPr="0074188F" w:rsidRDefault="00AF3A1F" w:rsidP="00754C0F">
      <w:pPr>
        <w:spacing w:after="0" w:line="276" w:lineRule="auto"/>
        <w:ind w:right="19" w:firstLine="2835"/>
        <w:jc w:val="both"/>
        <w:rPr>
          <w:rFonts w:ascii="Gadugi" w:hAnsi="Gadugi"/>
          <w:sz w:val="24"/>
          <w:szCs w:val="26"/>
          <w:lang w:val="es-419"/>
        </w:rPr>
      </w:pPr>
      <w:r w:rsidRPr="0074188F">
        <w:rPr>
          <w:rFonts w:ascii="Gadugi" w:hAnsi="Gadugi"/>
          <w:sz w:val="24"/>
          <w:szCs w:val="26"/>
          <w:lang w:val="es-419"/>
        </w:rPr>
        <w:t xml:space="preserve">La primera que exigía condición de invalidez y 150 semanas en los 6 años anteriores a la pérdida de capacidad laboral o 300 semanas en cualquier tiempo; la segunda, demandaba el estado de invalidez y 26 semanas de cotización para quien se encontrara cotizando, o 26 semanas en el año inmediatamente anterior a la fecha de estructuración, para quien hubiese dejado de hacerlo; y la última, vigente hoy, que exige constitución de la invalidez y 50 semanas </w:t>
      </w:r>
      <w:r w:rsidR="0096367E" w:rsidRPr="0074188F">
        <w:rPr>
          <w:rFonts w:ascii="Gadugi" w:hAnsi="Gadugi"/>
          <w:sz w:val="24"/>
          <w:szCs w:val="26"/>
          <w:lang w:val="es-419"/>
        </w:rPr>
        <w:t xml:space="preserve">de cotización </w:t>
      </w:r>
      <w:r w:rsidRPr="0074188F">
        <w:rPr>
          <w:rFonts w:ascii="Gadugi" w:hAnsi="Gadugi"/>
          <w:sz w:val="24"/>
          <w:szCs w:val="26"/>
          <w:lang w:val="es-419"/>
        </w:rPr>
        <w:t>en los 3 años anteriores a la misma</w:t>
      </w:r>
      <w:r w:rsidRPr="0074188F">
        <w:rPr>
          <w:rStyle w:val="Refdenotaalpie"/>
          <w:rFonts w:ascii="Gadugi" w:hAnsi="Gadugi"/>
          <w:sz w:val="24"/>
          <w:szCs w:val="26"/>
          <w:lang w:val="es-419"/>
        </w:rPr>
        <w:footnoteReference w:id="9"/>
      </w:r>
      <w:r w:rsidRPr="0074188F">
        <w:rPr>
          <w:rFonts w:ascii="Gadugi" w:hAnsi="Gadugi"/>
          <w:sz w:val="24"/>
          <w:szCs w:val="26"/>
          <w:lang w:val="es-419"/>
        </w:rPr>
        <w:t>.</w:t>
      </w:r>
    </w:p>
    <w:p w:rsidR="00754C0F" w:rsidRPr="0074188F" w:rsidRDefault="00754C0F" w:rsidP="00754C0F">
      <w:pPr>
        <w:spacing w:after="0" w:line="276" w:lineRule="auto"/>
        <w:ind w:right="19" w:firstLine="2835"/>
        <w:jc w:val="both"/>
        <w:rPr>
          <w:rFonts w:ascii="Gadugi" w:hAnsi="Gadugi"/>
          <w:sz w:val="24"/>
          <w:szCs w:val="26"/>
          <w:lang w:val="es-419"/>
        </w:rPr>
      </w:pPr>
    </w:p>
    <w:p w:rsidR="00684C16" w:rsidRPr="0074188F" w:rsidRDefault="00A235A6" w:rsidP="00754C0F">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00754C0F" w:rsidRPr="0074188F">
        <w:rPr>
          <w:rFonts w:ascii="Gadugi" w:hAnsi="Gadugi" w:cs="Century Gothic"/>
          <w:sz w:val="24"/>
          <w:szCs w:val="26"/>
          <w:lang w:val="es-419"/>
        </w:rPr>
        <w:t xml:space="preserve">Ninguna aplicable al caso del señor Absalón Hernández Hernández. </w:t>
      </w:r>
      <w:r w:rsidRPr="0074188F">
        <w:rPr>
          <w:rFonts w:ascii="Gadugi" w:hAnsi="Gadugi" w:cs="Century Gothic"/>
          <w:sz w:val="24"/>
          <w:szCs w:val="26"/>
          <w:lang w:val="es-419"/>
        </w:rPr>
        <w:t xml:space="preserve"> </w:t>
      </w:r>
    </w:p>
    <w:p w:rsidR="00754C0F" w:rsidRPr="0074188F" w:rsidRDefault="00754C0F" w:rsidP="00754C0F">
      <w:pPr>
        <w:tabs>
          <w:tab w:val="left" w:pos="851"/>
        </w:tabs>
        <w:spacing w:after="0" w:line="276" w:lineRule="auto"/>
        <w:ind w:right="-40"/>
        <w:jc w:val="both"/>
        <w:rPr>
          <w:rFonts w:ascii="Gadugi" w:hAnsi="Gadugi" w:cs="Century Gothic"/>
          <w:sz w:val="24"/>
          <w:szCs w:val="26"/>
          <w:lang w:val="es-419"/>
        </w:rPr>
      </w:pPr>
    </w:p>
    <w:p w:rsidR="00A235A6" w:rsidRPr="0074188F" w:rsidRDefault="00684C16" w:rsidP="00754C0F">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00754C0F" w:rsidRPr="0074188F">
        <w:rPr>
          <w:rFonts w:ascii="Gadugi" w:hAnsi="Gadugi" w:cs="Century Gothic"/>
          <w:sz w:val="24"/>
          <w:szCs w:val="26"/>
          <w:lang w:val="es-419"/>
        </w:rPr>
        <w:t>Así se afirma por</w:t>
      </w:r>
      <w:r w:rsidRPr="0074188F">
        <w:rPr>
          <w:rFonts w:ascii="Gadugi" w:hAnsi="Gadugi" w:cs="Century Gothic"/>
          <w:sz w:val="24"/>
          <w:szCs w:val="26"/>
          <w:lang w:val="es-419"/>
        </w:rPr>
        <w:t>que el accionante empezó a cotizar</w:t>
      </w:r>
      <w:r w:rsidR="00A235A6" w:rsidRPr="0074188F">
        <w:rPr>
          <w:rFonts w:ascii="Gadugi" w:hAnsi="Gadugi" w:cs="Century Gothic"/>
          <w:sz w:val="24"/>
          <w:szCs w:val="26"/>
          <w:lang w:val="es-419"/>
        </w:rPr>
        <w:t xml:space="preserve"> al sistema en </w:t>
      </w:r>
      <w:r w:rsidRPr="0074188F">
        <w:rPr>
          <w:rFonts w:ascii="Gadugi" w:hAnsi="Gadugi" w:cs="Century Gothic"/>
          <w:sz w:val="24"/>
          <w:szCs w:val="26"/>
          <w:lang w:val="es-419"/>
        </w:rPr>
        <w:t xml:space="preserve">enero </w:t>
      </w:r>
      <w:r w:rsidR="00A235A6" w:rsidRPr="0074188F">
        <w:rPr>
          <w:rFonts w:ascii="Gadugi" w:hAnsi="Gadugi" w:cs="Century Gothic"/>
          <w:sz w:val="24"/>
          <w:szCs w:val="26"/>
          <w:lang w:val="es-419"/>
        </w:rPr>
        <w:t>de</w:t>
      </w:r>
      <w:r w:rsidRPr="0074188F">
        <w:rPr>
          <w:rFonts w:ascii="Gadugi" w:hAnsi="Gadugi" w:cs="Century Gothic"/>
          <w:sz w:val="24"/>
          <w:szCs w:val="26"/>
          <w:lang w:val="es-419"/>
        </w:rPr>
        <w:t>l 2001</w:t>
      </w:r>
      <w:r w:rsidR="00A235A6" w:rsidRPr="0074188F">
        <w:rPr>
          <w:rFonts w:ascii="Gadugi" w:hAnsi="Gadugi" w:cs="Century Gothic"/>
          <w:sz w:val="24"/>
          <w:szCs w:val="26"/>
          <w:lang w:val="es-419"/>
        </w:rPr>
        <w:t xml:space="preserve"> y lo hizo hasta mes de </w:t>
      </w:r>
      <w:r w:rsidRPr="0074188F">
        <w:rPr>
          <w:rFonts w:ascii="Gadugi" w:hAnsi="Gadugi" w:cs="Century Gothic"/>
          <w:sz w:val="24"/>
          <w:szCs w:val="26"/>
          <w:lang w:val="es-419"/>
        </w:rPr>
        <w:t>agosto</w:t>
      </w:r>
      <w:r w:rsidR="00A235A6" w:rsidRPr="0074188F">
        <w:rPr>
          <w:rFonts w:ascii="Gadugi" w:hAnsi="Gadugi" w:cs="Century Gothic"/>
          <w:sz w:val="24"/>
          <w:szCs w:val="26"/>
          <w:lang w:val="es-419"/>
        </w:rPr>
        <w:t xml:space="preserve"> de</w:t>
      </w:r>
      <w:r w:rsidRPr="0074188F">
        <w:rPr>
          <w:rFonts w:ascii="Gadugi" w:hAnsi="Gadugi" w:cs="Century Gothic"/>
          <w:sz w:val="24"/>
          <w:szCs w:val="26"/>
          <w:lang w:val="es-419"/>
        </w:rPr>
        <w:t>l</w:t>
      </w:r>
      <w:r w:rsidR="00754C0F" w:rsidRPr="0074188F">
        <w:rPr>
          <w:rFonts w:ascii="Gadugi" w:hAnsi="Gadugi" w:cs="Century Gothic"/>
          <w:sz w:val="24"/>
          <w:szCs w:val="26"/>
          <w:lang w:val="es-419"/>
        </w:rPr>
        <w:t xml:space="preserve"> año 2011</w:t>
      </w:r>
      <w:r w:rsidR="00A235A6" w:rsidRPr="0074188F">
        <w:rPr>
          <w:rFonts w:ascii="Gadugi" w:hAnsi="Gadugi" w:cs="Century Gothic"/>
          <w:sz w:val="24"/>
          <w:szCs w:val="26"/>
          <w:lang w:val="es-419"/>
        </w:rPr>
        <w:t>; fue cali</w:t>
      </w:r>
      <w:r w:rsidR="00754C0F" w:rsidRPr="0074188F">
        <w:rPr>
          <w:rFonts w:ascii="Gadugi" w:hAnsi="Gadugi" w:cs="Century Gothic"/>
          <w:sz w:val="24"/>
          <w:szCs w:val="26"/>
          <w:lang w:val="es-419"/>
        </w:rPr>
        <w:t>ficado</w:t>
      </w:r>
      <w:r w:rsidR="00A235A6" w:rsidRPr="0074188F">
        <w:rPr>
          <w:rFonts w:ascii="Gadugi" w:hAnsi="Gadugi" w:cs="Century Gothic"/>
          <w:sz w:val="24"/>
          <w:szCs w:val="26"/>
          <w:lang w:val="es-419"/>
        </w:rPr>
        <w:t xml:space="preserve"> con </w:t>
      </w:r>
      <w:r w:rsidRPr="0074188F">
        <w:rPr>
          <w:rFonts w:ascii="Gadugi" w:hAnsi="Gadugi" w:cs="Century Gothic"/>
          <w:sz w:val="24"/>
          <w:szCs w:val="26"/>
          <w:lang w:val="es-419"/>
        </w:rPr>
        <w:t>un 50,14</w:t>
      </w:r>
      <w:r w:rsidR="00A235A6" w:rsidRPr="0074188F">
        <w:rPr>
          <w:rFonts w:ascii="Gadugi" w:hAnsi="Gadugi" w:cs="Century Gothic"/>
          <w:sz w:val="24"/>
          <w:szCs w:val="26"/>
          <w:lang w:val="es-419"/>
        </w:rPr>
        <w:t xml:space="preserve">% de pérdida de capacidad laboral, con fecha de estructuración del </w:t>
      </w:r>
      <w:r w:rsidRPr="0074188F">
        <w:rPr>
          <w:rFonts w:ascii="Gadugi" w:hAnsi="Gadugi" w:cs="Century Gothic"/>
          <w:sz w:val="24"/>
          <w:szCs w:val="26"/>
          <w:lang w:val="es-419"/>
        </w:rPr>
        <w:t>14</w:t>
      </w:r>
      <w:r w:rsidR="00A235A6" w:rsidRPr="0074188F">
        <w:rPr>
          <w:rFonts w:ascii="Gadugi" w:hAnsi="Gadugi" w:cs="Century Gothic"/>
          <w:sz w:val="24"/>
          <w:szCs w:val="26"/>
          <w:lang w:val="es-419"/>
        </w:rPr>
        <w:t xml:space="preserve"> de </w:t>
      </w:r>
      <w:r w:rsidRPr="0074188F">
        <w:rPr>
          <w:rFonts w:ascii="Gadugi" w:hAnsi="Gadugi" w:cs="Century Gothic"/>
          <w:sz w:val="24"/>
          <w:szCs w:val="26"/>
          <w:lang w:val="es-419"/>
        </w:rPr>
        <w:t xml:space="preserve">abril </w:t>
      </w:r>
      <w:r w:rsidR="00A235A6" w:rsidRPr="0074188F">
        <w:rPr>
          <w:rFonts w:ascii="Gadugi" w:hAnsi="Gadugi" w:cs="Century Gothic"/>
          <w:sz w:val="24"/>
          <w:szCs w:val="26"/>
          <w:lang w:val="es-419"/>
        </w:rPr>
        <w:t>de</w:t>
      </w:r>
      <w:r w:rsidRPr="0074188F">
        <w:rPr>
          <w:rFonts w:ascii="Gadugi" w:hAnsi="Gadugi" w:cs="Century Gothic"/>
          <w:sz w:val="24"/>
          <w:szCs w:val="26"/>
          <w:lang w:val="es-419"/>
        </w:rPr>
        <w:t>l 2016</w:t>
      </w:r>
      <w:r w:rsidR="00A235A6" w:rsidRPr="0074188F">
        <w:rPr>
          <w:rFonts w:ascii="Gadugi" w:hAnsi="Gadugi" w:cs="Century Gothic"/>
          <w:sz w:val="24"/>
          <w:szCs w:val="26"/>
          <w:lang w:val="es-419"/>
        </w:rPr>
        <w:t xml:space="preserve">; y durante su historia laboral acumuló </w:t>
      </w:r>
      <w:r w:rsidR="00D045A1" w:rsidRPr="0074188F">
        <w:rPr>
          <w:rFonts w:ascii="Gadugi" w:hAnsi="Gadugi" w:cs="Century Gothic"/>
          <w:sz w:val="24"/>
          <w:szCs w:val="26"/>
          <w:lang w:val="es-419"/>
        </w:rPr>
        <w:t>538 semanas (f. 18, c. 1).</w:t>
      </w:r>
    </w:p>
    <w:p w:rsidR="00684C16" w:rsidRPr="0074188F" w:rsidRDefault="00684C16" w:rsidP="00754C0F">
      <w:pPr>
        <w:tabs>
          <w:tab w:val="left" w:pos="851"/>
        </w:tabs>
        <w:spacing w:after="0" w:line="276" w:lineRule="auto"/>
        <w:ind w:right="-40"/>
        <w:jc w:val="both"/>
        <w:rPr>
          <w:rFonts w:ascii="Gadugi" w:hAnsi="Gadugi" w:cs="Century Gothic"/>
          <w:sz w:val="24"/>
          <w:szCs w:val="26"/>
          <w:lang w:val="es-419"/>
        </w:rPr>
      </w:pPr>
    </w:p>
    <w:p w:rsidR="00A235A6" w:rsidRPr="0074188F" w:rsidRDefault="00A235A6" w:rsidP="00754C0F">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 xml:space="preserve">     </w:t>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00C22136" w:rsidRPr="0074188F">
        <w:rPr>
          <w:rFonts w:ascii="Gadugi" w:hAnsi="Gadugi" w:cs="Century Gothic"/>
          <w:sz w:val="24"/>
          <w:szCs w:val="26"/>
          <w:lang w:val="es-419"/>
        </w:rPr>
        <w:t>Al</w:t>
      </w:r>
      <w:r w:rsidR="00754C0F" w:rsidRPr="0074188F">
        <w:rPr>
          <w:rFonts w:ascii="Gadugi" w:hAnsi="Gadugi" w:cs="Century Gothic"/>
          <w:sz w:val="24"/>
          <w:szCs w:val="26"/>
          <w:lang w:val="es-419"/>
        </w:rPr>
        <w:t xml:space="preserve"> contrastar esa situación con las normas citadas se halla lo siguiente:</w:t>
      </w:r>
      <w:r w:rsidRPr="0074188F">
        <w:rPr>
          <w:rFonts w:ascii="Gadugi" w:hAnsi="Gadugi" w:cs="Century Gothic"/>
          <w:sz w:val="24"/>
          <w:szCs w:val="26"/>
          <w:lang w:val="es-419"/>
        </w:rPr>
        <w:t xml:space="preserve"> </w:t>
      </w:r>
    </w:p>
    <w:p w:rsidR="00A235A6" w:rsidRPr="0074188F" w:rsidRDefault="00A235A6" w:rsidP="00754C0F">
      <w:pPr>
        <w:tabs>
          <w:tab w:val="left" w:pos="851"/>
        </w:tabs>
        <w:spacing w:after="0" w:line="276" w:lineRule="auto"/>
        <w:ind w:right="-40"/>
        <w:jc w:val="both"/>
        <w:rPr>
          <w:rFonts w:ascii="Gadugi" w:hAnsi="Gadugi" w:cs="Century Gothic"/>
          <w:sz w:val="24"/>
          <w:szCs w:val="26"/>
          <w:lang w:val="es-419"/>
        </w:rPr>
      </w:pPr>
    </w:p>
    <w:p w:rsidR="00A235A6" w:rsidRPr="0074188F" w:rsidRDefault="00A235A6" w:rsidP="00BE109A">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 xml:space="preserve">   </w:t>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00C22136" w:rsidRPr="0074188F">
        <w:rPr>
          <w:rFonts w:ascii="Gadugi" w:hAnsi="Gadugi" w:cs="Century Gothic"/>
          <w:sz w:val="24"/>
          <w:szCs w:val="26"/>
          <w:lang w:val="es-419"/>
        </w:rPr>
        <w:t>Se</w:t>
      </w:r>
      <w:r w:rsidRPr="0074188F">
        <w:rPr>
          <w:rFonts w:ascii="Gadugi" w:hAnsi="Gadugi" w:cs="Century Gothic"/>
          <w:sz w:val="24"/>
          <w:szCs w:val="26"/>
          <w:lang w:val="es-419"/>
        </w:rPr>
        <w:t xml:space="preserve"> anticipa que </w:t>
      </w:r>
      <w:r w:rsidR="00684C16" w:rsidRPr="0074188F">
        <w:rPr>
          <w:rFonts w:ascii="Gadugi" w:hAnsi="Gadugi" w:cs="Century Gothic"/>
          <w:sz w:val="24"/>
          <w:szCs w:val="26"/>
          <w:lang w:val="es-419"/>
        </w:rPr>
        <w:t>es inviable</w:t>
      </w:r>
      <w:r w:rsidRPr="0074188F">
        <w:rPr>
          <w:rFonts w:ascii="Gadugi" w:hAnsi="Gadugi" w:cs="Century Gothic"/>
          <w:sz w:val="24"/>
          <w:szCs w:val="26"/>
          <w:lang w:val="es-419"/>
        </w:rPr>
        <w:t xml:space="preserve"> aplicar a este asunto lo reglado por el Decreto 758 de 1990, habida cuenta de que</w:t>
      </w:r>
      <w:r w:rsidR="00684C16" w:rsidRPr="0074188F">
        <w:rPr>
          <w:rFonts w:ascii="Gadugi" w:hAnsi="Gadugi" w:cs="Century Gothic"/>
          <w:sz w:val="24"/>
          <w:szCs w:val="26"/>
          <w:lang w:val="es-419"/>
        </w:rPr>
        <w:t xml:space="preserve"> el demandante</w:t>
      </w:r>
      <w:r w:rsidRPr="0074188F">
        <w:rPr>
          <w:rFonts w:ascii="Gadugi" w:hAnsi="Gadugi" w:cs="Century Gothic"/>
          <w:sz w:val="24"/>
          <w:szCs w:val="26"/>
          <w:lang w:val="es-419"/>
        </w:rPr>
        <w:t xml:space="preserve"> nunca cotizó durante su vigencia y menos adquirió su condición de inváli</w:t>
      </w:r>
      <w:r w:rsidR="00684C16" w:rsidRPr="0074188F">
        <w:rPr>
          <w:rFonts w:ascii="Gadugi" w:hAnsi="Gadugi" w:cs="Century Gothic"/>
          <w:sz w:val="24"/>
          <w:szCs w:val="26"/>
          <w:lang w:val="es-419"/>
        </w:rPr>
        <w:t>do</w:t>
      </w:r>
      <w:r w:rsidRPr="0074188F">
        <w:rPr>
          <w:rFonts w:ascii="Gadugi" w:hAnsi="Gadugi" w:cs="Century Gothic"/>
          <w:sz w:val="24"/>
          <w:szCs w:val="26"/>
          <w:lang w:val="es-419"/>
        </w:rPr>
        <w:t xml:space="preserve"> en ese tiempo, ya que sus aportes</w:t>
      </w:r>
      <w:r w:rsidR="00684C16" w:rsidRPr="0074188F">
        <w:rPr>
          <w:rFonts w:ascii="Gadugi" w:hAnsi="Gadugi" w:cs="Century Gothic"/>
          <w:sz w:val="24"/>
          <w:szCs w:val="26"/>
          <w:lang w:val="es-419"/>
        </w:rPr>
        <w:t xml:space="preserve"> empezaron</w:t>
      </w:r>
      <w:r w:rsidRPr="0074188F">
        <w:rPr>
          <w:rFonts w:ascii="Gadugi" w:hAnsi="Gadugi" w:cs="Century Gothic"/>
          <w:sz w:val="24"/>
          <w:szCs w:val="26"/>
          <w:lang w:val="es-419"/>
        </w:rPr>
        <w:t xml:space="preserve"> </w:t>
      </w:r>
      <w:r w:rsidR="00684C16" w:rsidRPr="0074188F">
        <w:rPr>
          <w:rFonts w:ascii="Gadugi" w:hAnsi="Gadugi" w:cs="Century Gothic"/>
          <w:sz w:val="24"/>
          <w:szCs w:val="26"/>
          <w:lang w:val="es-419"/>
        </w:rPr>
        <w:t>en enero</w:t>
      </w:r>
      <w:r w:rsidRPr="0074188F">
        <w:rPr>
          <w:rFonts w:ascii="Gadugi" w:hAnsi="Gadugi" w:cs="Century Gothic"/>
          <w:sz w:val="24"/>
          <w:szCs w:val="26"/>
          <w:lang w:val="es-419"/>
        </w:rPr>
        <w:t xml:space="preserve"> </w:t>
      </w:r>
      <w:r w:rsidR="00684C16" w:rsidRPr="0074188F">
        <w:rPr>
          <w:rFonts w:ascii="Gadugi" w:hAnsi="Gadugi" w:cs="Century Gothic"/>
          <w:sz w:val="24"/>
          <w:szCs w:val="26"/>
          <w:lang w:val="es-419"/>
        </w:rPr>
        <w:t>del 2001 y</w:t>
      </w:r>
      <w:r w:rsidRPr="0074188F">
        <w:rPr>
          <w:rFonts w:ascii="Gadugi" w:hAnsi="Gadugi" w:cs="Century Gothic"/>
          <w:sz w:val="24"/>
          <w:szCs w:val="26"/>
          <w:lang w:val="es-419"/>
        </w:rPr>
        <w:t xml:space="preserve"> </w:t>
      </w:r>
      <w:r w:rsidR="00684C16" w:rsidRPr="0074188F">
        <w:rPr>
          <w:rFonts w:ascii="Gadugi" w:hAnsi="Gadugi" w:cs="Century Gothic"/>
          <w:sz w:val="24"/>
          <w:szCs w:val="26"/>
          <w:lang w:val="es-419"/>
        </w:rPr>
        <w:t>e</w:t>
      </w:r>
      <w:r w:rsidRPr="0074188F">
        <w:rPr>
          <w:rFonts w:ascii="Gadugi" w:hAnsi="Gadugi" w:cs="Century Gothic"/>
          <w:sz w:val="24"/>
          <w:szCs w:val="26"/>
          <w:lang w:val="es-419"/>
        </w:rPr>
        <w:t>sa regulación, no se olvide, fue derogada desde la entrada en vigencia de la ley 100 de 1993, es decir desde el 1</w:t>
      </w:r>
      <w:r w:rsidR="00684C16" w:rsidRPr="0074188F">
        <w:rPr>
          <w:rFonts w:ascii="Gadugi" w:hAnsi="Gadugi" w:cs="Century Gothic"/>
          <w:sz w:val="24"/>
          <w:szCs w:val="26"/>
          <w:lang w:val="es-419"/>
        </w:rPr>
        <w:t>°</w:t>
      </w:r>
      <w:r w:rsidRPr="0074188F">
        <w:rPr>
          <w:rFonts w:ascii="Gadugi" w:hAnsi="Gadugi" w:cs="Century Gothic"/>
          <w:sz w:val="24"/>
          <w:szCs w:val="26"/>
          <w:lang w:val="es-419"/>
        </w:rPr>
        <w:t xml:space="preserve"> de abril de 1994, lo que impone que, para su aplicación favorable al trabajador, este tendría que haber cotizado al menos 300 semanas</w:t>
      </w:r>
      <w:r w:rsidR="0096367E" w:rsidRPr="0074188F">
        <w:rPr>
          <w:rFonts w:ascii="Gadugi" w:hAnsi="Gadugi" w:cs="Century Gothic"/>
          <w:sz w:val="24"/>
          <w:szCs w:val="26"/>
          <w:lang w:val="es-419"/>
        </w:rPr>
        <w:t xml:space="preserve"> antes de esa fecha y ello, </w:t>
      </w:r>
      <w:r w:rsidRPr="0074188F">
        <w:rPr>
          <w:rFonts w:ascii="Gadugi" w:hAnsi="Gadugi" w:cs="Century Gothic"/>
          <w:sz w:val="24"/>
          <w:szCs w:val="26"/>
          <w:lang w:val="es-419"/>
        </w:rPr>
        <w:t xml:space="preserve">es evidente, no pudo ocurrir. </w:t>
      </w:r>
    </w:p>
    <w:p w:rsidR="00A235A6" w:rsidRPr="0074188F" w:rsidRDefault="00A235A6" w:rsidP="00BE109A">
      <w:pPr>
        <w:tabs>
          <w:tab w:val="left" w:pos="851"/>
        </w:tabs>
        <w:spacing w:after="0" w:line="276" w:lineRule="auto"/>
        <w:ind w:right="-40"/>
        <w:jc w:val="both"/>
        <w:rPr>
          <w:rFonts w:ascii="Gadugi" w:hAnsi="Gadugi" w:cs="Century Gothic"/>
          <w:sz w:val="24"/>
          <w:szCs w:val="26"/>
          <w:lang w:val="es-419"/>
        </w:rPr>
      </w:pPr>
    </w:p>
    <w:p w:rsidR="00A235A6" w:rsidRPr="0074188F" w:rsidRDefault="00A235A6" w:rsidP="00BE109A">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 xml:space="preserve">  </w:t>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t>En el caso del original artículo 39 de la Ley 100 de 1993, se exigían 26 semanas cotizadas al momento de la estructuración, y si se había dejado de cotizar, las mismas 26 semanas en el año inmed</w:t>
      </w:r>
      <w:r w:rsidR="00684C16" w:rsidRPr="0074188F">
        <w:rPr>
          <w:rFonts w:ascii="Gadugi" w:hAnsi="Gadugi" w:cs="Century Gothic"/>
          <w:sz w:val="24"/>
          <w:szCs w:val="26"/>
          <w:lang w:val="es-419"/>
        </w:rPr>
        <w:t>iatamente anterior a esa fecha; r</w:t>
      </w:r>
      <w:r w:rsidRPr="0074188F">
        <w:rPr>
          <w:rFonts w:ascii="Gadugi" w:hAnsi="Gadugi" w:cs="Century Gothic"/>
          <w:sz w:val="24"/>
          <w:szCs w:val="26"/>
          <w:lang w:val="es-419"/>
        </w:rPr>
        <w:t xml:space="preserve">equisitos que también se echan de menos, porque, se reitera, para la fecha de aparición del estado de invalidez </w:t>
      </w:r>
      <w:r w:rsidR="00684C16" w:rsidRPr="0074188F">
        <w:rPr>
          <w:rFonts w:ascii="Gadugi" w:hAnsi="Gadugi" w:cs="Century Gothic"/>
          <w:sz w:val="24"/>
          <w:szCs w:val="26"/>
          <w:lang w:val="es-419"/>
        </w:rPr>
        <w:t>del señor Hernández Hernández,</w:t>
      </w:r>
      <w:r w:rsidRPr="0074188F">
        <w:rPr>
          <w:rFonts w:ascii="Gadugi" w:hAnsi="Gadugi" w:cs="Century Gothic"/>
          <w:sz w:val="24"/>
          <w:szCs w:val="26"/>
          <w:lang w:val="es-419"/>
        </w:rPr>
        <w:t xml:space="preserve"> ya llevaba al menos cinco años sin cubrir ningún aporte. </w:t>
      </w:r>
    </w:p>
    <w:p w:rsidR="00A235A6" w:rsidRPr="0074188F" w:rsidRDefault="00A235A6" w:rsidP="00BE109A">
      <w:pPr>
        <w:tabs>
          <w:tab w:val="left" w:pos="851"/>
        </w:tabs>
        <w:spacing w:after="0" w:line="276" w:lineRule="auto"/>
        <w:ind w:right="-40"/>
        <w:jc w:val="both"/>
        <w:rPr>
          <w:rFonts w:ascii="Gadugi" w:hAnsi="Gadugi" w:cs="Century Gothic"/>
          <w:sz w:val="24"/>
          <w:szCs w:val="26"/>
          <w:lang w:val="es-419"/>
        </w:rPr>
      </w:pPr>
    </w:p>
    <w:p w:rsidR="00A235A6" w:rsidRPr="0074188F" w:rsidRDefault="00A235A6" w:rsidP="00C22136">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 xml:space="preserve">  </w:t>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t xml:space="preserve">Y si a la ley 860 de 2003 nos atenemos, la cuestión es similar, por cuanto esta norma exige haber cotizado al menos 50 semanas dentro de los tres años anteriores a la estructuración de la invalidez, lo que tampoco acontece, dado que, se repite, </w:t>
      </w:r>
      <w:r w:rsidR="00684C16" w:rsidRPr="0074188F">
        <w:rPr>
          <w:rFonts w:ascii="Gadugi" w:hAnsi="Gadugi" w:cs="Century Gothic"/>
          <w:sz w:val="24"/>
          <w:szCs w:val="26"/>
          <w:lang w:val="es-419"/>
        </w:rPr>
        <w:t>él</w:t>
      </w:r>
      <w:r w:rsidRPr="0074188F">
        <w:rPr>
          <w:rFonts w:ascii="Gadugi" w:hAnsi="Gadugi" w:cs="Century Gothic"/>
          <w:sz w:val="24"/>
          <w:szCs w:val="26"/>
          <w:lang w:val="es-419"/>
        </w:rPr>
        <w:t xml:space="preserve"> dejó de cotizar al sistema en el año 20</w:t>
      </w:r>
      <w:r w:rsidR="00684C16" w:rsidRPr="0074188F">
        <w:rPr>
          <w:rFonts w:ascii="Gadugi" w:hAnsi="Gadugi" w:cs="Century Gothic"/>
          <w:sz w:val="24"/>
          <w:szCs w:val="26"/>
          <w:lang w:val="es-419"/>
        </w:rPr>
        <w:t>11</w:t>
      </w:r>
      <w:r w:rsidRPr="0074188F">
        <w:rPr>
          <w:rFonts w:ascii="Gadugi" w:hAnsi="Gadugi" w:cs="Century Gothic"/>
          <w:sz w:val="24"/>
          <w:szCs w:val="26"/>
          <w:lang w:val="es-419"/>
        </w:rPr>
        <w:t xml:space="preserve">. </w:t>
      </w:r>
    </w:p>
    <w:p w:rsidR="00C22136" w:rsidRPr="0074188F" w:rsidRDefault="00C22136" w:rsidP="00C22136">
      <w:pPr>
        <w:tabs>
          <w:tab w:val="left" w:pos="851"/>
        </w:tabs>
        <w:spacing w:after="0" w:line="276" w:lineRule="auto"/>
        <w:ind w:right="-40"/>
        <w:jc w:val="both"/>
        <w:rPr>
          <w:rFonts w:ascii="Gadugi" w:hAnsi="Gadugi" w:cs="Century Gothic"/>
          <w:sz w:val="24"/>
          <w:szCs w:val="26"/>
          <w:lang w:val="es-419"/>
        </w:rPr>
      </w:pPr>
    </w:p>
    <w:p w:rsidR="00C22136" w:rsidRPr="0074188F" w:rsidRDefault="00C22136" w:rsidP="00C22136">
      <w:pPr>
        <w:tabs>
          <w:tab w:val="left" w:pos="851"/>
        </w:tabs>
        <w:spacing w:after="0" w:line="276" w:lineRule="auto"/>
        <w:ind w:right="-40"/>
        <w:jc w:val="both"/>
        <w:rPr>
          <w:rFonts w:ascii="Gadugi" w:hAnsi="Gadugi" w:cs="Century Gothic"/>
          <w:sz w:val="24"/>
          <w:szCs w:val="26"/>
          <w:lang w:val="es-419"/>
        </w:rPr>
      </w:pP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t xml:space="preserve">Para ilustrar lo explicado la Sala hace uso de un método didáctico que habitualmente </w:t>
      </w:r>
      <w:r w:rsidR="00EA27C8" w:rsidRPr="0074188F">
        <w:rPr>
          <w:rFonts w:ascii="Gadugi" w:hAnsi="Gadugi" w:cs="Century Gothic"/>
          <w:sz w:val="24"/>
          <w:szCs w:val="26"/>
          <w:lang w:val="es-419"/>
        </w:rPr>
        <w:t>utiliza</w:t>
      </w:r>
      <w:r w:rsidRPr="0074188F">
        <w:rPr>
          <w:rFonts w:ascii="Gadugi" w:hAnsi="Gadugi" w:cs="Century Gothic"/>
          <w:sz w:val="24"/>
          <w:szCs w:val="26"/>
          <w:lang w:val="es-419"/>
        </w:rPr>
        <w:t xml:space="preserve"> la Corte Constitucional para resolver este tipo de asuntos, así se puede ver por ejemplo en la Sentencia T-047 del 2018:</w:t>
      </w:r>
    </w:p>
    <w:p w:rsidR="00C22136" w:rsidRPr="0074188F" w:rsidRDefault="00C22136" w:rsidP="00C22136">
      <w:pPr>
        <w:tabs>
          <w:tab w:val="left" w:pos="851"/>
        </w:tabs>
        <w:spacing w:after="0" w:line="276" w:lineRule="auto"/>
        <w:ind w:right="-40"/>
        <w:jc w:val="both"/>
        <w:rPr>
          <w:rFonts w:ascii="Gadugi" w:hAnsi="Gadugi" w:cs="Century Gothic"/>
          <w:sz w:val="24"/>
          <w:szCs w:val="26"/>
          <w:lang w:val="es-419"/>
        </w:rPr>
      </w:pPr>
    </w:p>
    <w:tbl>
      <w:tblPr>
        <w:tblW w:w="8907" w:type="dxa"/>
        <w:jc w:val="center"/>
        <w:tblCellMar>
          <w:left w:w="0" w:type="dxa"/>
          <w:right w:w="0" w:type="dxa"/>
        </w:tblCellMar>
        <w:tblLook w:val="04A0" w:firstRow="1" w:lastRow="0" w:firstColumn="1" w:lastColumn="0" w:noHBand="0" w:noVBand="1"/>
      </w:tblPr>
      <w:tblGrid>
        <w:gridCol w:w="1561"/>
        <w:gridCol w:w="2056"/>
        <w:gridCol w:w="1164"/>
        <w:gridCol w:w="2159"/>
        <w:gridCol w:w="1967"/>
      </w:tblGrid>
      <w:tr w:rsidR="00C22136" w:rsidRPr="00527F7E" w:rsidTr="00EA27C8">
        <w:trPr>
          <w:trHeight w:val="1374"/>
          <w:jc w:val="center"/>
        </w:trPr>
        <w:tc>
          <w:tcPr>
            <w:tcW w:w="15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A235A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Gadugi" w:hAnsi="Gadugi" w:cs="Century Gothic"/>
                <w:color w:val="000000" w:themeColor="text1"/>
                <w:szCs w:val="26"/>
                <w:lang w:val="es-419"/>
              </w:rPr>
              <w:tab/>
              <w:t xml:space="preserve"> </w:t>
            </w:r>
            <w:r w:rsidR="00C22136"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Regímenes pensionales y vigencias</w:t>
            </w:r>
          </w:p>
        </w:tc>
        <w:tc>
          <w:tcPr>
            <w:tcW w:w="20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Requisitos del régimen</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tc>
        <w:tc>
          <w:tcPr>
            <w:tcW w:w="11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Semanas cotizadas durante la vigencia </w:t>
            </w:r>
          </w:p>
        </w:tc>
        <w:tc>
          <w:tcPr>
            <w:tcW w:w="2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¿Cumple con los requisitos?</w:t>
            </w:r>
          </w:p>
        </w:tc>
        <w:tc>
          <w:tcPr>
            <w:tcW w:w="19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¿Se configuró una expectativa legítima antes del cambio de legislación?</w:t>
            </w:r>
          </w:p>
        </w:tc>
      </w:tr>
      <w:tr w:rsidR="00C22136" w:rsidRPr="00527F7E" w:rsidTr="00EA27C8">
        <w:trPr>
          <w:trHeight w:val="1332"/>
          <w:jc w:val="center"/>
        </w:trPr>
        <w:tc>
          <w:tcPr>
            <w:tcW w:w="15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Artículo 1º de la Ley 860 de 2003: </w:t>
            </w:r>
            <w:r w:rsidRPr="00527F7E">
              <w:rPr>
                <w:rFonts w:ascii="Arial Narrow" w:eastAsia="Times New Roman" w:hAnsi="Arial Narrow" w:cs="Times New Roman"/>
                <w:szCs w:val="26"/>
                <w:bdr w:val="none" w:sz="0" w:space="0" w:color="auto" w:frame="1"/>
                <w:lang w:val="es-CO" w:eastAsia="es-CO"/>
              </w:rPr>
              <w:t>vigente desde el 29 de diciembre de 2003.</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ES_tradnl" w:eastAsia="es-CO"/>
              </w:rPr>
              <w:t> </w:t>
            </w: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ind w:right="-62"/>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Supuesto a:</w:t>
            </w:r>
            <w:r w:rsidRPr="00527F7E">
              <w:rPr>
                <w:rFonts w:ascii="Arial Narrow" w:eastAsia="Times New Roman" w:hAnsi="Arial Narrow" w:cs="Times New Roman"/>
                <w:szCs w:val="26"/>
                <w:bdr w:val="none" w:sz="0" w:space="0" w:color="auto" w:frame="1"/>
                <w:lang w:val="es-CO" w:eastAsia="es-CO"/>
              </w:rPr>
              <w:t> 50 semanas dentro de los últimos 3 años inmediatamente anteriores a la fecha de estructuración.</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 </w:t>
            </w:r>
          </w:p>
        </w:tc>
        <w:tc>
          <w:tcPr>
            <w:tcW w:w="11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394</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Contraste del supuesto a: </w:t>
            </w:r>
            <w:r w:rsidRPr="00527F7E">
              <w:rPr>
                <w:rFonts w:ascii="Arial Narrow" w:eastAsia="Times New Roman" w:hAnsi="Arial Narrow" w:cs="Times New Roman"/>
                <w:b/>
                <w:bCs/>
                <w:szCs w:val="26"/>
                <w:bdr w:val="none" w:sz="0" w:space="0" w:color="auto" w:frame="1"/>
                <w:lang w:val="es-CO" w:eastAsia="es-CO"/>
              </w:rPr>
              <w:t>no lo cumple</w:t>
            </w:r>
            <w:r w:rsidRPr="00527F7E">
              <w:rPr>
                <w:rFonts w:ascii="Arial Narrow" w:eastAsia="Times New Roman" w:hAnsi="Arial Narrow" w:cs="Times New Roman"/>
                <w:szCs w:val="26"/>
                <w:bdr w:val="none" w:sz="0" w:space="0" w:color="auto" w:frame="1"/>
                <w:lang w:val="es-CO" w:eastAsia="es-CO"/>
              </w:rPr>
              <w:t>. No cotizó semanas dentro de los últimos 3 años al 14 de abril del 2016</w:t>
            </w:r>
          </w:p>
        </w:tc>
        <w:tc>
          <w:tcPr>
            <w:tcW w:w="19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szCs w:val="26"/>
                <w:bdr w:val="none" w:sz="0" w:space="0" w:color="auto" w:frame="1"/>
                <w:lang w:val="es-CO" w:eastAsia="es-CO"/>
              </w:rPr>
              <w:t>No aplica</w:t>
            </w:r>
            <w:r w:rsidRPr="00527F7E">
              <w:rPr>
                <w:rFonts w:ascii="Arial Narrow" w:eastAsia="Times New Roman" w:hAnsi="Arial Narrow" w:cs="Times New Roman"/>
                <w:szCs w:val="26"/>
                <w:bdr w:val="none" w:sz="0" w:space="0" w:color="auto" w:frame="1"/>
                <w:lang w:val="es-CO" w:eastAsia="es-CO"/>
              </w:rPr>
              <w:t>, ya que no cumple con las condiciones del régimen actual.  </w:t>
            </w:r>
          </w:p>
        </w:tc>
      </w:tr>
      <w:tr w:rsidR="00C22136" w:rsidRPr="00527F7E" w:rsidTr="00EA27C8">
        <w:trPr>
          <w:trHeight w:val="1995"/>
          <w:jc w:val="center"/>
        </w:trPr>
        <w:tc>
          <w:tcPr>
            <w:tcW w:w="1561" w:type="dxa"/>
            <w:vMerge/>
            <w:tcBorders>
              <w:top w:val="nil"/>
              <w:left w:val="single" w:sz="8" w:space="0" w:color="auto"/>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ind w:right="-62"/>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 xml:space="preserve">Supuesto b: </w:t>
            </w:r>
            <w:r w:rsidRPr="00527F7E">
              <w:rPr>
                <w:rFonts w:ascii="Arial Narrow" w:eastAsia="Times New Roman" w:hAnsi="Arial Narrow" w:cs="Times New Roman"/>
                <w:szCs w:val="26"/>
                <w:bdr w:val="none" w:sz="0" w:space="0" w:color="auto" w:frame="1"/>
                <w:lang w:val="es-CO" w:eastAsia="es-CO"/>
              </w:rPr>
              <w:t>haber cotizado 25 semanas en los últimos 3 años si y solo si ha cotizado por lo menos el75% de las semanas mínimas requeridas para acceder a la pensión de vejez.</w:t>
            </w:r>
          </w:p>
        </w:tc>
        <w:tc>
          <w:tcPr>
            <w:tcW w:w="0" w:type="auto"/>
            <w:vMerge/>
            <w:tcBorders>
              <w:top w:val="nil"/>
              <w:left w:val="nil"/>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Contraste del supuesto a: </w:t>
            </w:r>
            <w:r w:rsidRPr="00527F7E">
              <w:rPr>
                <w:rFonts w:ascii="Arial Narrow" w:eastAsia="Times New Roman" w:hAnsi="Arial Narrow" w:cs="Times New Roman"/>
                <w:b/>
                <w:bCs/>
                <w:szCs w:val="26"/>
                <w:bdr w:val="none" w:sz="0" w:space="0" w:color="auto" w:frame="1"/>
                <w:lang w:val="es-CO" w:eastAsia="es-CO"/>
              </w:rPr>
              <w:t>no lo cumple</w:t>
            </w:r>
            <w:r w:rsidRPr="00527F7E">
              <w:rPr>
                <w:rFonts w:ascii="Arial Narrow" w:eastAsia="Times New Roman" w:hAnsi="Arial Narrow" w:cs="Times New Roman"/>
                <w:szCs w:val="26"/>
                <w:bdr w:val="none" w:sz="0" w:space="0" w:color="auto" w:frame="1"/>
                <w:lang w:val="es-CO" w:eastAsia="es-CO"/>
              </w:rPr>
              <w:t>. No cotizó semanas dentro de los últimos 3 años al 14 de abril del 2016</w:t>
            </w:r>
            <w:r w:rsidRPr="00527F7E">
              <w:rPr>
                <w:rFonts w:ascii="Arial Narrow" w:eastAsia="Times New Roman" w:hAnsi="Arial Narrow" w:cs="Times New Roman"/>
                <w:i/>
                <w:iCs/>
                <w:szCs w:val="26"/>
                <w:bdr w:val="none" w:sz="0" w:space="0" w:color="auto" w:frame="1"/>
                <w:lang w:val="es-CO" w:eastAsia="es-CO"/>
              </w:rPr>
              <w:t> </w:t>
            </w:r>
          </w:p>
        </w:tc>
        <w:tc>
          <w:tcPr>
            <w:tcW w:w="1967" w:type="dxa"/>
            <w:vMerge/>
            <w:tcBorders>
              <w:top w:val="nil"/>
              <w:left w:val="nil"/>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r>
      <w:tr w:rsidR="00C22136" w:rsidRPr="00527F7E" w:rsidTr="00EA27C8">
        <w:trPr>
          <w:trHeight w:val="1493"/>
          <w:jc w:val="center"/>
        </w:trPr>
        <w:tc>
          <w:tcPr>
            <w:tcW w:w="15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ES_tradnl" w:eastAsia="es-CO"/>
              </w:rPr>
              <w:lastRenderedPageBreak/>
              <w:t>Artículo 39 de la Ley 100 de 1993 en su versión original: </w:t>
            </w:r>
            <w:r w:rsidRPr="00527F7E">
              <w:rPr>
                <w:rFonts w:ascii="Arial Narrow" w:eastAsia="Times New Roman" w:hAnsi="Arial Narrow" w:cs="Times New Roman"/>
                <w:szCs w:val="26"/>
                <w:bdr w:val="none" w:sz="0" w:space="0" w:color="auto" w:frame="1"/>
                <w:lang w:val="es-ES_tradnl" w:eastAsia="es-CO"/>
              </w:rPr>
              <w:t>vigente desde el 1º de abril de 1994 hasta el 28 de diciembre de 2003.</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ES_tradnl" w:eastAsia="es-CO"/>
              </w:rPr>
              <w:t> </w:t>
            </w: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 xml:space="preserve">Supuesto c: </w:t>
            </w:r>
            <w:r w:rsidRPr="00527F7E">
              <w:rPr>
                <w:rFonts w:ascii="Arial Narrow" w:eastAsia="Times New Roman" w:hAnsi="Arial Narrow" w:cs="Times New Roman"/>
                <w:szCs w:val="26"/>
                <w:bdr w:val="none" w:sz="0" w:space="0" w:color="auto" w:frame="1"/>
                <w:lang w:val="es-CO" w:eastAsia="es-CO"/>
              </w:rPr>
              <w:t>Estar cotizando al régimen y haber cotizado 26 semanas al momento de producirse el estado de invalidez.</w:t>
            </w:r>
          </w:p>
        </w:tc>
        <w:tc>
          <w:tcPr>
            <w:tcW w:w="11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144</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szCs w:val="26"/>
                <w:bdr w:val="none" w:sz="0" w:space="0" w:color="auto" w:frame="1"/>
                <w:lang w:val="es-CO" w:eastAsia="es-CO"/>
              </w:rPr>
              <w:t> </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 </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Contraste del supuesto c: </w:t>
            </w:r>
            <w:r w:rsidRPr="00527F7E">
              <w:rPr>
                <w:rFonts w:ascii="Arial Narrow" w:eastAsia="Times New Roman" w:hAnsi="Arial Narrow" w:cs="Times New Roman"/>
                <w:b/>
                <w:bCs/>
                <w:szCs w:val="26"/>
                <w:bdr w:val="none" w:sz="0" w:space="0" w:color="auto" w:frame="1"/>
                <w:lang w:val="es-CO" w:eastAsia="es-CO"/>
              </w:rPr>
              <w:t>no lo cumple.</w:t>
            </w:r>
            <w:r w:rsidRPr="00527F7E">
              <w:rPr>
                <w:rFonts w:ascii="Arial Narrow" w:eastAsia="Times New Roman" w:hAnsi="Arial Narrow" w:cs="Times New Roman"/>
                <w:szCs w:val="26"/>
                <w:bdr w:val="none" w:sz="0" w:space="0" w:color="auto" w:frame="1"/>
                <w:lang w:val="es-CO" w:eastAsia="es-CO"/>
              </w:rPr>
              <w:t> Al momento de producirse el estado de invalidez no se encontraba cotizando al régimen.</w:t>
            </w:r>
          </w:p>
        </w:tc>
        <w:tc>
          <w:tcPr>
            <w:tcW w:w="19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No aplica. </w:t>
            </w:r>
            <w:r w:rsidRPr="00527F7E">
              <w:rPr>
                <w:rFonts w:ascii="Arial Narrow" w:eastAsia="Times New Roman" w:hAnsi="Arial Narrow" w:cs="Times New Roman"/>
                <w:szCs w:val="26"/>
                <w:bdr w:val="none" w:sz="0" w:space="0" w:color="auto" w:frame="1"/>
                <w:lang w:val="es-CO" w:eastAsia="es-CO"/>
              </w:rPr>
              <w:t>Si bien cotizó 144 semanas </w:t>
            </w:r>
            <w:r w:rsidRPr="00527F7E">
              <w:rPr>
                <w:rFonts w:ascii="Arial Narrow" w:eastAsia="Times New Roman" w:hAnsi="Arial Narrow" w:cs="Times New Roman"/>
                <w:b/>
                <w:bCs/>
                <w:szCs w:val="26"/>
                <w:bdr w:val="none" w:sz="0" w:space="0" w:color="auto" w:frame="1"/>
                <w:lang w:val="es-CO" w:eastAsia="es-CO"/>
              </w:rPr>
              <w:t> </w:t>
            </w:r>
            <w:r w:rsidRPr="00527F7E">
              <w:rPr>
                <w:rFonts w:ascii="Arial Narrow" w:eastAsia="Times New Roman" w:hAnsi="Arial Narrow" w:cs="Times New Roman"/>
                <w:szCs w:val="26"/>
                <w:bdr w:val="none" w:sz="0" w:space="0" w:color="auto" w:frame="1"/>
                <w:lang w:val="es-CO" w:eastAsia="es-CO"/>
              </w:rPr>
              <w:t>durante su vigencia, el accionante incumplía los requisitos, ya que al momento de la  estructuración no estaba activo en el Sistema, y no hizo ninguna cotización en el año inmediatamente anterior a la fecha de  estructuración.</w:t>
            </w:r>
          </w:p>
        </w:tc>
      </w:tr>
      <w:tr w:rsidR="00C22136" w:rsidRPr="00527F7E" w:rsidTr="00EA27C8">
        <w:trPr>
          <w:trHeight w:val="1826"/>
          <w:jc w:val="center"/>
        </w:trPr>
        <w:tc>
          <w:tcPr>
            <w:tcW w:w="1561" w:type="dxa"/>
            <w:vMerge/>
            <w:tcBorders>
              <w:top w:val="nil"/>
              <w:left w:val="single" w:sz="8" w:space="0" w:color="auto"/>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Supuesto d:</w:t>
            </w:r>
            <w:r w:rsidRPr="00527F7E">
              <w:rPr>
                <w:rFonts w:ascii="Arial Narrow" w:eastAsia="Times New Roman" w:hAnsi="Arial Narrow" w:cs="Times New Roman"/>
                <w:szCs w:val="26"/>
                <w:bdr w:val="none" w:sz="0" w:space="0" w:color="auto" w:frame="1"/>
                <w:lang w:val="es-CO" w:eastAsia="es-CO"/>
              </w:rPr>
              <w:t> No estar cotizando al sistema pero haber cotizado 26 semanas en el año inmediatamente anterior al momento en que se produzca el estado de invalidez.</w:t>
            </w:r>
          </w:p>
        </w:tc>
        <w:tc>
          <w:tcPr>
            <w:tcW w:w="0" w:type="auto"/>
            <w:vMerge/>
            <w:tcBorders>
              <w:top w:val="nil"/>
              <w:left w:val="nil"/>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Contraste del supuesto d:</w:t>
            </w:r>
            <w:r w:rsidRPr="00527F7E">
              <w:rPr>
                <w:rFonts w:ascii="Arial Narrow" w:eastAsia="Times New Roman" w:hAnsi="Arial Narrow" w:cs="Times New Roman"/>
                <w:szCs w:val="26"/>
                <w:bdr w:val="none" w:sz="0" w:space="0" w:color="auto" w:frame="1"/>
                <w:lang w:val="es-CO" w:eastAsia="es-CO"/>
              </w:rPr>
              <w:t> </w:t>
            </w:r>
            <w:r w:rsidRPr="00527F7E">
              <w:rPr>
                <w:rFonts w:ascii="Arial Narrow" w:eastAsia="Times New Roman" w:hAnsi="Arial Narrow" w:cs="Times New Roman"/>
                <w:b/>
                <w:bCs/>
                <w:szCs w:val="26"/>
                <w:bdr w:val="none" w:sz="0" w:space="0" w:color="auto" w:frame="1"/>
                <w:lang w:val="es-CO" w:eastAsia="es-CO"/>
              </w:rPr>
              <w:t>no lo cumple</w:t>
            </w:r>
            <w:r w:rsidRPr="00527F7E">
              <w:rPr>
                <w:rFonts w:ascii="Arial Narrow" w:eastAsia="Times New Roman" w:hAnsi="Arial Narrow" w:cs="Times New Roman"/>
                <w:szCs w:val="26"/>
                <w:bdr w:val="none" w:sz="0" w:space="0" w:color="auto" w:frame="1"/>
                <w:lang w:val="es-CO" w:eastAsia="es-CO"/>
              </w:rPr>
              <w:t>. En el año inmediatamente anterior a la estructuración de la invalidez no reporta cotización alguna.</w:t>
            </w:r>
          </w:p>
        </w:tc>
        <w:tc>
          <w:tcPr>
            <w:tcW w:w="1967" w:type="dxa"/>
            <w:vMerge/>
            <w:tcBorders>
              <w:top w:val="nil"/>
              <w:left w:val="nil"/>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r>
      <w:tr w:rsidR="00C22136" w:rsidRPr="00527F7E" w:rsidTr="00EA27C8">
        <w:trPr>
          <w:trHeight w:val="1210"/>
          <w:jc w:val="center"/>
        </w:trPr>
        <w:tc>
          <w:tcPr>
            <w:tcW w:w="156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ES_tradnl" w:eastAsia="es-CO"/>
              </w:rPr>
              <w:t>Artículo 6 del Decreto 758 de 1990: </w:t>
            </w:r>
            <w:r w:rsidRPr="00527F7E">
              <w:rPr>
                <w:rFonts w:ascii="Arial Narrow" w:eastAsia="Times New Roman" w:hAnsi="Arial Narrow" w:cs="Times New Roman"/>
                <w:szCs w:val="26"/>
                <w:bdr w:val="none" w:sz="0" w:space="0" w:color="auto" w:frame="1"/>
                <w:lang w:val="es-ES_tradnl" w:eastAsia="es-CO"/>
              </w:rPr>
              <w:t>vigente desde el 1º de febrero de 1990 hasta el 31 de marzo de 1994.</w:t>
            </w: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 xml:space="preserve">Supuesto e: </w:t>
            </w:r>
            <w:r w:rsidRPr="00527F7E">
              <w:rPr>
                <w:rFonts w:ascii="Arial Narrow" w:eastAsia="Times New Roman" w:hAnsi="Arial Narrow" w:cs="Times New Roman"/>
                <w:szCs w:val="26"/>
                <w:bdr w:val="none" w:sz="0" w:space="0" w:color="auto" w:frame="1"/>
                <w:lang w:val="es-CO" w:eastAsia="es-CO"/>
              </w:rPr>
              <w:t>haber cotizado 150 semanas dentro de los 6 años anteriores al estado de invalidez.</w:t>
            </w:r>
          </w:p>
        </w:tc>
        <w:tc>
          <w:tcPr>
            <w:tcW w:w="11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p w:rsidR="00C22136" w:rsidRPr="00527F7E" w:rsidRDefault="00C22136" w:rsidP="00527F7E">
            <w:pPr>
              <w:spacing w:after="0" w:line="240" w:lineRule="auto"/>
              <w:jc w:val="center"/>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0</w:t>
            </w:r>
          </w:p>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bCs/>
                <w:szCs w:val="26"/>
                <w:bdr w:val="none" w:sz="0" w:space="0" w:color="auto" w:frame="1"/>
                <w:lang w:val="es-CO" w:eastAsia="es-CO"/>
              </w:rPr>
              <w:t> </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Contraste del supuesto e:</w:t>
            </w:r>
            <w:r w:rsidRPr="00527F7E">
              <w:rPr>
                <w:rFonts w:ascii="Arial Narrow" w:eastAsia="Times New Roman" w:hAnsi="Arial Narrow" w:cs="Times New Roman"/>
                <w:szCs w:val="26"/>
                <w:bdr w:val="none" w:sz="0" w:space="0" w:color="auto" w:frame="1"/>
                <w:lang w:val="es-CO" w:eastAsia="es-CO"/>
              </w:rPr>
              <w:t> </w:t>
            </w:r>
            <w:r w:rsidRPr="00527F7E">
              <w:rPr>
                <w:rFonts w:ascii="Arial Narrow" w:eastAsia="Times New Roman" w:hAnsi="Arial Narrow" w:cs="Times New Roman"/>
                <w:b/>
                <w:bCs/>
                <w:szCs w:val="26"/>
                <w:bdr w:val="none" w:sz="0" w:space="0" w:color="auto" w:frame="1"/>
                <w:lang w:val="es-CO" w:eastAsia="es-CO"/>
              </w:rPr>
              <w:t>no lo cumple. </w:t>
            </w:r>
            <w:r w:rsidRPr="00527F7E">
              <w:rPr>
                <w:rFonts w:ascii="Arial Narrow" w:eastAsia="Times New Roman" w:hAnsi="Arial Narrow" w:cs="Times New Roman"/>
                <w:szCs w:val="26"/>
                <w:bdr w:val="none" w:sz="0" w:space="0" w:color="auto" w:frame="1"/>
                <w:lang w:val="es-CO" w:eastAsia="es-CO"/>
              </w:rPr>
              <w:t>Sin cotizaciones durante la vigencia de este régimen.</w:t>
            </w:r>
          </w:p>
        </w:tc>
        <w:tc>
          <w:tcPr>
            <w:tcW w:w="196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b/>
                <w:szCs w:val="26"/>
                <w:bdr w:val="none" w:sz="0" w:space="0" w:color="auto" w:frame="1"/>
                <w:lang w:val="es-CO" w:eastAsia="es-CO"/>
              </w:rPr>
              <w:t>No Aplica</w:t>
            </w:r>
            <w:r w:rsidRPr="00527F7E">
              <w:rPr>
                <w:rFonts w:ascii="Arial Narrow" w:eastAsia="Times New Roman" w:hAnsi="Arial Narrow" w:cs="Times New Roman"/>
                <w:szCs w:val="26"/>
                <w:bdr w:val="none" w:sz="0" w:space="0" w:color="auto" w:frame="1"/>
                <w:lang w:val="es-CO" w:eastAsia="es-CO"/>
              </w:rPr>
              <w:t>, Sin cotizaciones durante la vigencia de este régimen.</w:t>
            </w:r>
          </w:p>
        </w:tc>
      </w:tr>
      <w:tr w:rsidR="00C22136" w:rsidRPr="00527F7E" w:rsidTr="00EA27C8">
        <w:trPr>
          <w:trHeight w:val="1250"/>
          <w:jc w:val="center"/>
        </w:trPr>
        <w:tc>
          <w:tcPr>
            <w:tcW w:w="1561" w:type="dxa"/>
            <w:vMerge/>
            <w:tcBorders>
              <w:top w:val="nil"/>
              <w:left w:val="single" w:sz="8" w:space="0" w:color="auto"/>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c>
          <w:tcPr>
            <w:tcW w:w="2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 xml:space="preserve">Supuesto f: </w:t>
            </w:r>
            <w:r w:rsidRPr="00527F7E">
              <w:rPr>
                <w:rFonts w:ascii="Arial Narrow" w:eastAsia="Times New Roman" w:hAnsi="Arial Narrow" w:cs="Times New Roman"/>
                <w:szCs w:val="26"/>
                <w:bdr w:val="none" w:sz="0" w:space="0" w:color="auto" w:frame="1"/>
                <w:lang w:val="es-CO" w:eastAsia="es-CO"/>
              </w:rPr>
              <w:t>haber cotizado 300 semanas en cualquier época anterior al estado de invalidez.</w:t>
            </w:r>
          </w:p>
        </w:tc>
        <w:tc>
          <w:tcPr>
            <w:tcW w:w="0" w:type="auto"/>
            <w:vMerge/>
            <w:tcBorders>
              <w:top w:val="nil"/>
              <w:left w:val="nil"/>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22136" w:rsidRPr="00527F7E" w:rsidRDefault="00C22136" w:rsidP="00527F7E">
            <w:pPr>
              <w:spacing w:after="0" w:line="240" w:lineRule="auto"/>
              <w:jc w:val="both"/>
              <w:textAlignment w:val="baseline"/>
              <w:rPr>
                <w:rFonts w:ascii="Arial Narrow" w:eastAsia="Times New Roman" w:hAnsi="Arial Narrow" w:cs="Calibri"/>
                <w:szCs w:val="26"/>
                <w:lang w:val="es-CO" w:eastAsia="es-CO"/>
              </w:rPr>
            </w:pPr>
            <w:r w:rsidRPr="00527F7E">
              <w:rPr>
                <w:rFonts w:ascii="Arial Narrow" w:eastAsia="Times New Roman" w:hAnsi="Arial Narrow" w:cs="Times New Roman"/>
                <w:i/>
                <w:iCs/>
                <w:szCs w:val="26"/>
                <w:bdr w:val="none" w:sz="0" w:space="0" w:color="auto" w:frame="1"/>
                <w:lang w:val="es-CO" w:eastAsia="es-CO"/>
              </w:rPr>
              <w:t>Contraste del supuesto f:</w:t>
            </w:r>
            <w:r w:rsidRPr="00527F7E">
              <w:rPr>
                <w:rFonts w:ascii="Arial Narrow" w:eastAsia="Times New Roman" w:hAnsi="Arial Narrow" w:cs="Times New Roman"/>
                <w:b/>
                <w:bCs/>
                <w:szCs w:val="26"/>
                <w:bdr w:val="none" w:sz="0" w:space="0" w:color="auto" w:frame="1"/>
                <w:lang w:val="es-CO" w:eastAsia="es-CO"/>
              </w:rPr>
              <w:t> </w:t>
            </w:r>
            <w:r w:rsidR="00F77162" w:rsidRPr="00527F7E">
              <w:rPr>
                <w:rFonts w:ascii="Arial Narrow" w:eastAsia="Times New Roman" w:hAnsi="Arial Narrow" w:cs="Times New Roman"/>
                <w:b/>
                <w:bCs/>
                <w:szCs w:val="26"/>
                <w:bdr w:val="none" w:sz="0" w:space="0" w:color="auto" w:frame="1"/>
                <w:lang w:val="es-CO" w:eastAsia="es-CO"/>
              </w:rPr>
              <w:t>no</w:t>
            </w:r>
            <w:r w:rsidRPr="00527F7E">
              <w:rPr>
                <w:rFonts w:ascii="Arial Narrow" w:eastAsia="Times New Roman" w:hAnsi="Arial Narrow" w:cs="Times New Roman"/>
                <w:b/>
                <w:bCs/>
                <w:szCs w:val="26"/>
                <w:bdr w:val="none" w:sz="0" w:space="0" w:color="auto" w:frame="1"/>
                <w:lang w:val="es-CO" w:eastAsia="es-CO"/>
              </w:rPr>
              <w:t xml:space="preserve"> lo cumple</w:t>
            </w:r>
            <w:r w:rsidRPr="00527F7E">
              <w:rPr>
                <w:rFonts w:ascii="Arial Narrow" w:eastAsia="Times New Roman" w:hAnsi="Arial Narrow" w:cs="Times New Roman"/>
                <w:szCs w:val="26"/>
                <w:bdr w:val="none" w:sz="0" w:space="0" w:color="auto" w:frame="1"/>
                <w:lang w:val="es-CO" w:eastAsia="es-CO"/>
              </w:rPr>
              <w:t>. Sin cotizaciones durante la vigencia de este régimen.</w:t>
            </w:r>
          </w:p>
        </w:tc>
        <w:tc>
          <w:tcPr>
            <w:tcW w:w="1967" w:type="dxa"/>
            <w:vMerge/>
            <w:tcBorders>
              <w:top w:val="nil"/>
              <w:left w:val="nil"/>
              <w:bottom w:val="single" w:sz="8" w:space="0" w:color="auto"/>
              <w:right w:val="single" w:sz="8" w:space="0" w:color="auto"/>
            </w:tcBorders>
            <w:shd w:val="clear" w:color="auto" w:fill="F3F3F3"/>
            <w:vAlign w:val="center"/>
            <w:hideMark/>
          </w:tcPr>
          <w:p w:rsidR="00C22136" w:rsidRPr="00527F7E" w:rsidRDefault="00C22136" w:rsidP="00527F7E">
            <w:pPr>
              <w:spacing w:after="0" w:line="240" w:lineRule="auto"/>
              <w:rPr>
                <w:rFonts w:ascii="Arial Narrow" w:eastAsia="Times New Roman" w:hAnsi="Arial Narrow" w:cs="Calibri"/>
                <w:szCs w:val="26"/>
                <w:lang w:val="es-CO" w:eastAsia="es-CO"/>
              </w:rPr>
            </w:pPr>
          </w:p>
        </w:tc>
      </w:tr>
    </w:tbl>
    <w:p w:rsidR="00C22136" w:rsidRPr="0074188F" w:rsidRDefault="00C22136" w:rsidP="00684C16">
      <w:pPr>
        <w:tabs>
          <w:tab w:val="left" w:pos="851"/>
        </w:tabs>
        <w:spacing w:line="276" w:lineRule="auto"/>
        <w:ind w:right="-40"/>
        <w:jc w:val="both"/>
        <w:rPr>
          <w:rFonts w:ascii="Gadugi" w:hAnsi="Gadugi" w:cs="Century Gothic"/>
          <w:sz w:val="24"/>
          <w:szCs w:val="26"/>
          <w:lang w:val="es-419"/>
        </w:rPr>
      </w:pPr>
    </w:p>
    <w:p w:rsidR="00AF6C3D" w:rsidRPr="0074188F" w:rsidRDefault="00A235A6" w:rsidP="00BE109A">
      <w:pPr>
        <w:tabs>
          <w:tab w:val="left" w:pos="851"/>
        </w:tabs>
        <w:spacing w:after="0" w:line="276" w:lineRule="auto"/>
        <w:ind w:right="-40"/>
        <w:jc w:val="both"/>
        <w:rPr>
          <w:rFonts w:ascii="Gadugi" w:hAnsi="Gadugi" w:cs="Century Gothic"/>
          <w:sz w:val="24"/>
          <w:szCs w:val="26"/>
          <w:lang w:val="es-CO"/>
        </w:rPr>
      </w:pP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419"/>
        </w:rPr>
        <w:tab/>
      </w:r>
      <w:r w:rsidRPr="0074188F">
        <w:rPr>
          <w:rFonts w:ascii="Gadugi" w:hAnsi="Gadugi" w:cs="Century Gothic"/>
          <w:sz w:val="24"/>
          <w:szCs w:val="26"/>
          <w:lang w:val="es-CO"/>
        </w:rPr>
        <w:t>De este</w:t>
      </w:r>
      <w:r w:rsidRPr="0074188F">
        <w:rPr>
          <w:rFonts w:ascii="Gadugi" w:hAnsi="Gadugi" w:cs="Century Gothic"/>
          <w:sz w:val="24"/>
          <w:szCs w:val="26"/>
          <w:lang w:val="es-419"/>
        </w:rPr>
        <w:t xml:space="preserve"> recuento salta a la vista que la nutrida jurisprudencia es inaplicable al caso </w:t>
      </w:r>
      <w:r w:rsidR="00684C16" w:rsidRPr="0074188F">
        <w:rPr>
          <w:rFonts w:ascii="Gadugi" w:hAnsi="Gadugi" w:cs="Century Gothic"/>
          <w:sz w:val="24"/>
          <w:szCs w:val="26"/>
          <w:lang w:val="es-419"/>
        </w:rPr>
        <w:t>del peticionario</w:t>
      </w:r>
      <w:r w:rsidRPr="0074188F">
        <w:rPr>
          <w:rFonts w:ascii="Gadugi" w:hAnsi="Gadugi" w:cs="Century Gothic"/>
          <w:sz w:val="24"/>
          <w:szCs w:val="26"/>
          <w:lang w:val="es-419"/>
        </w:rPr>
        <w:t>, pues resulta indiscutible que las cotizaciones reportadas</w:t>
      </w:r>
      <w:r w:rsidRPr="0074188F">
        <w:rPr>
          <w:rFonts w:ascii="Gadugi" w:hAnsi="Gadugi" w:cs="Century Gothic"/>
          <w:sz w:val="24"/>
          <w:szCs w:val="26"/>
          <w:lang w:val="es-CO"/>
        </w:rPr>
        <w:t>, no se produjeron en el lapso durante el cual estuvo vigente la norma con la cual pretende se validen y eso, de ent</w:t>
      </w:r>
      <w:r w:rsidR="00AF6C3D" w:rsidRPr="0074188F">
        <w:rPr>
          <w:rFonts w:ascii="Gadugi" w:hAnsi="Gadugi" w:cs="Century Gothic"/>
          <w:sz w:val="24"/>
          <w:szCs w:val="26"/>
          <w:lang w:val="es-CO"/>
        </w:rPr>
        <w:t xml:space="preserve">rada, desvanece sus intenciones. </w:t>
      </w:r>
    </w:p>
    <w:p w:rsidR="00AF6C3D" w:rsidRPr="0074188F" w:rsidRDefault="00AF6C3D" w:rsidP="00BE109A">
      <w:pPr>
        <w:tabs>
          <w:tab w:val="left" w:pos="851"/>
        </w:tabs>
        <w:spacing w:after="0" w:line="276" w:lineRule="auto"/>
        <w:ind w:right="-40"/>
        <w:jc w:val="both"/>
        <w:rPr>
          <w:rFonts w:ascii="Gadugi" w:hAnsi="Gadugi" w:cs="Century Gothic"/>
          <w:sz w:val="24"/>
          <w:szCs w:val="26"/>
          <w:lang w:val="es-CO"/>
        </w:rPr>
      </w:pPr>
    </w:p>
    <w:p w:rsidR="00AF6C3D" w:rsidRPr="0074188F" w:rsidRDefault="00AF6C3D" w:rsidP="00BE109A">
      <w:pPr>
        <w:tabs>
          <w:tab w:val="left" w:pos="851"/>
        </w:tabs>
        <w:spacing w:after="0" w:line="276" w:lineRule="auto"/>
        <w:ind w:right="-40"/>
        <w:jc w:val="both"/>
        <w:rPr>
          <w:rFonts w:ascii="Gadugi" w:hAnsi="Gadugi" w:cs="Century Gothic"/>
          <w:sz w:val="24"/>
          <w:szCs w:val="26"/>
          <w:lang w:val="es-CO"/>
        </w:rPr>
      </w:pPr>
      <w:r w:rsidRPr="0074188F">
        <w:rPr>
          <w:rFonts w:ascii="Gadugi" w:hAnsi="Gadugi" w:cs="Century Gothic"/>
          <w:sz w:val="24"/>
          <w:szCs w:val="26"/>
          <w:lang w:val="es-CO"/>
        </w:rPr>
        <w:tab/>
      </w:r>
      <w:r w:rsidRPr="0074188F">
        <w:rPr>
          <w:rFonts w:ascii="Gadugi" w:hAnsi="Gadugi" w:cs="Century Gothic"/>
          <w:sz w:val="24"/>
          <w:szCs w:val="26"/>
          <w:lang w:val="es-CO"/>
        </w:rPr>
        <w:tab/>
      </w:r>
      <w:r w:rsidRPr="0074188F">
        <w:rPr>
          <w:rFonts w:ascii="Gadugi" w:hAnsi="Gadugi" w:cs="Century Gothic"/>
          <w:sz w:val="24"/>
          <w:szCs w:val="26"/>
          <w:lang w:val="es-CO"/>
        </w:rPr>
        <w:tab/>
      </w:r>
      <w:r w:rsidRPr="0074188F">
        <w:rPr>
          <w:rFonts w:ascii="Gadugi" w:hAnsi="Gadugi" w:cs="Century Gothic"/>
          <w:sz w:val="24"/>
          <w:szCs w:val="26"/>
          <w:lang w:val="es-CO"/>
        </w:rPr>
        <w:tab/>
        <w:t>Criterio que</w:t>
      </w:r>
      <w:r w:rsidR="001378B1" w:rsidRPr="0074188F">
        <w:rPr>
          <w:rFonts w:ascii="Gadugi" w:hAnsi="Gadugi" w:cs="Century Gothic"/>
          <w:sz w:val="24"/>
          <w:szCs w:val="26"/>
          <w:lang w:val="es-CO"/>
        </w:rPr>
        <w:t>,</w:t>
      </w:r>
      <w:r w:rsidRPr="0074188F">
        <w:rPr>
          <w:rFonts w:ascii="Gadugi" w:hAnsi="Gadugi" w:cs="Century Gothic"/>
          <w:sz w:val="24"/>
          <w:szCs w:val="26"/>
          <w:lang w:val="es-CO"/>
        </w:rPr>
        <w:t xml:space="preserve"> valga decir</w:t>
      </w:r>
      <w:r w:rsidR="001378B1" w:rsidRPr="0074188F">
        <w:rPr>
          <w:rFonts w:ascii="Gadugi" w:hAnsi="Gadugi" w:cs="Century Gothic"/>
          <w:sz w:val="24"/>
          <w:szCs w:val="26"/>
          <w:lang w:val="es-CO"/>
        </w:rPr>
        <w:t>,</w:t>
      </w:r>
      <w:r w:rsidRPr="0074188F">
        <w:rPr>
          <w:rFonts w:ascii="Gadugi" w:hAnsi="Gadugi" w:cs="Century Gothic"/>
          <w:sz w:val="24"/>
          <w:szCs w:val="26"/>
          <w:lang w:val="es-CO"/>
        </w:rPr>
        <w:t xml:space="preserve"> </w:t>
      </w:r>
      <w:r w:rsidR="001378B1" w:rsidRPr="0074188F">
        <w:rPr>
          <w:rFonts w:ascii="Gadugi" w:hAnsi="Gadugi" w:cs="Century Gothic"/>
          <w:sz w:val="24"/>
          <w:szCs w:val="26"/>
          <w:lang w:val="es-CO"/>
        </w:rPr>
        <w:t>viene sosteniendo pacíficamente</w:t>
      </w:r>
      <w:r w:rsidRPr="0074188F">
        <w:rPr>
          <w:rFonts w:ascii="Gadugi" w:hAnsi="Gadugi" w:cs="Century Gothic"/>
          <w:sz w:val="24"/>
          <w:szCs w:val="26"/>
          <w:lang w:val="es-CO"/>
        </w:rPr>
        <w:t xml:space="preserve"> esta </w:t>
      </w:r>
      <w:r w:rsidR="001378B1" w:rsidRPr="0074188F">
        <w:rPr>
          <w:rFonts w:ascii="Gadugi" w:hAnsi="Gadugi" w:cs="Century Gothic"/>
          <w:sz w:val="24"/>
          <w:szCs w:val="26"/>
          <w:lang w:val="es-CO"/>
        </w:rPr>
        <w:t>Sala del Tribunal</w:t>
      </w:r>
      <w:r w:rsidR="001378B1" w:rsidRPr="0074188F">
        <w:rPr>
          <w:rStyle w:val="Refdenotaalpie"/>
          <w:rFonts w:ascii="Gadugi" w:hAnsi="Gadugi"/>
          <w:sz w:val="24"/>
          <w:szCs w:val="26"/>
          <w:lang w:val="es-CO"/>
        </w:rPr>
        <w:footnoteReference w:id="10"/>
      </w:r>
      <w:r w:rsidR="001378B1" w:rsidRPr="0074188F">
        <w:rPr>
          <w:rFonts w:ascii="Gadugi" w:hAnsi="Gadugi" w:cs="Century Gothic"/>
          <w:sz w:val="24"/>
          <w:szCs w:val="26"/>
          <w:lang w:val="es-CO"/>
        </w:rPr>
        <w:t>-</w:t>
      </w:r>
      <w:r w:rsidR="001378B1" w:rsidRPr="0074188F">
        <w:rPr>
          <w:rStyle w:val="Refdenotaalpie"/>
          <w:rFonts w:ascii="Gadugi" w:hAnsi="Gadugi"/>
          <w:sz w:val="24"/>
          <w:szCs w:val="26"/>
          <w:lang w:val="es-CO"/>
        </w:rPr>
        <w:footnoteReference w:id="11"/>
      </w:r>
      <w:r w:rsidR="001378B1" w:rsidRPr="0074188F">
        <w:rPr>
          <w:rFonts w:ascii="Gadugi" w:hAnsi="Gadugi" w:cs="Century Gothic"/>
          <w:sz w:val="24"/>
          <w:szCs w:val="26"/>
          <w:lang w:val="es-CO"/>
        </w:rPr>
        <w:t>-</w:t>
      </w:r>
      <w:r w:rsidR="001378B1" w:rsidRPr="0074188F">
        <w:rPr>
          <w:rStyle w:val="Refdenotaalpie"/>
          <w:rFonts w:ascii="Gadugi" w:hAnsi="Gadugi"/>
          <w:sz w:val="24"/>
          <w:szCs w:val="26"/>
          <w:lang w:val="es-CO"/>
        </w:rPr>
        <w:footnoteReference w:id="12"/>
      </w:r>
      <w:r w:rsidRPr="0074188F">
        <w:rPr>
          <w:rFonts w:ascii="Gadugi" w:hAnsi="Gadugi" w:cs="Century Gothic"/>
          <w:sz w:val="24"/>
          <w:szCs w:val="26"/>
          <w:lang w:val="es-CO"/>
        </w:rPr>
        <w:t xml:space="preserve">. </w:t>
      </w:r>
    </w:p>
    <w:p w:rsidR="00684C16" w:rsidRPr="0074188F" w:rsidRDefault="00684C16" w:rsidP="00BE109A">
      <w:pPr>
        <w:tabs>
          <w:tab w:val="left" w:pos="851"/>
        </w:tabs>
        <w:spacing w:after="0" w:line="276" w:lineRule="auto"/>
        <w:ind w:right="-40"/>
        <w:jc w:val="both"/>
        <w:rPr>
          <w:rFonts w:ascii="Gadugi" w:hAnsi="Gadugi" w:cs="Century Gothic"/>
          <w:sz w:val="24"/>
          <w:szCs w:val="26"/>
          <w:lang w:val="es-419"/>
        </w:rPr>
      </w:pPr>
    </w:p>
    <w:p w:rsidR="00684C16" w:rsidRPr="0074188F" w:rsidRDefault="005B7535" w:rsidP="00A235A6">
      <w:pPr>
        <w:autoSpaceDE w:val="0"/>
        <w:autoSpaceDN w:val="0"/>
        <w:adjustRightInd w:val="0"/>
        <w:spacing w:after="0" w:line="276" w:lineRule="auto"/>
        <w:jc w:val="both"/>
        <w:rPr>
          <w:rFonts w:ascii="Gadugi" w:eastAsia="Times New Roman" w:hAnsi="Gadugi" w:cs="Times New Roman"/>
          <w:sz w:val="24"/>
          <w:szCs w:val="26"/>
          <w:bdr w:val="none" w:sz="0" w:space="0" w:color="auto" w:frame="1"/>
          <w:lang w:val="es-ES_tradnl" w:eastAsia="es-ES"/>
        </w:rPr>
      </w:pP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Pr="0074188F">
        <w:rPr>
          <w:rFonts w:ascii="Gadugi" w:eastAsia="Times New Roman" w:hAnsi="Gadugi" w:cs="Arial"/>
          <w:sz w:val="24"/>
          <w:szCs w:val="26"/>
          <w:lang w:val="es-CO" w:eastAsia="es-ES"/>
        </w:rPr>
        <w:tab/>
      </w:r>
      <w:r w:rsidR="00665342" w:rsidRPr="0074188F">
        <w:rPr>
          <w:rFonts w:ascii="Gadugi" w:eastAsia="Times New Roman" w:hAnsi="Gadugi" w:cs="Times New Roman"/>
          <w:sz w:val="24"/>
          <w:szCs w:val="26"/>
          <w:bdr w:val="none" w:sz="0" w:space="0" w:color="auto" w:frame="1"/>
          <w:lang w:val="es-419" w:eastAsia="es-ES"/>
        </w:rPr>
        <w:t xml:space="preserve">Por lo expuesto, </w:t>
      </w:r>
      <w:r w:rsidR="00665342" w:rsidRPr="0074188F">
        <w:rPr>
          <w:rFonts w:ascii="Gadugi" w:eastAsia="Times New Roman" w:hAnsi="Gadugi" w:cs="Times New Roman"/>
          <w:sz w:val="24"/>
          <w:szCs w:val="26"/>
          <w:bdr w:val="none" w:sz="0" w:space="0" w:color="auto" w:frame="1"/>
          <w:lang w:val="es-ES_tradnl" w:eastAsia="es-ES"/>
        </w:rPr>
        <w:t xml:space="preserve">se </w:t>
      </w:r>
      <w:r w:rsidR="00684C16" w:rsidRPr="0074188F">
        <w:rPr>
          <w:rFonts w:ascii="Gadugi" w:eastAsia="Times New Roman" w:hAnsi="Gadugi" w:cs="Times New Roman"/>
          <w:sz w:val="24"/>
          <w:szCs w:val="26"/>
          <w:bdr w:val="none" w:sz="0" w:space="0" w:color="auto" w:frame="1"/>
          <w:lang w:val="es-ES_tradnl" w:eastAsia="es-ES"/>
        </w:rPr>
        <w:t xml:space="preserve">prohijará la </w:t>
      </w:r>
      <w:r w:rsidR="00665342" w:rsidRPr="0074188F">
        <w:rPr>
          <w:rFonts w:ascii="Gadugi" w:eastAsia="Times New Roman" w:hAnsi="Gadugi" w:cs="Times New Roman"/>
          <w:sz w:val="24"/>
          <w:szCs w:val="26"/>
          <w:bdr w:val="none" w:sz="0" w:space="0" w:color="auto" w:frame="1"/>
          <w:lang w:val="es-ES_tradnl" w:eastAsia="es-ES"/>
        </w:rPr>
        <w:t xml:space="preserve">sentencia </w:t>
      </w:r>
      <w:r w:rsidR="00684C16" w:rsidRPr="0074188F">
        <w:rPr>
          <w:rFonts w:ascii="Gadugi" w:eastAsia="Times New Roman" w:hAnsi="Gadugi" w:cs="Times New Roman"/>
          <w:sz w:val="24"/>
          <w:szCs w:val="26"/>
          <w:bdr w:val="none" w:sz="0" w:space="0" w:color="auto" w:frame="1"/>
          <w:lang w:val="es-ES_tradnl" w:eastAsia="es-ES"/>
        </w:rPr>
        <w:t xml:space="preserve">impugnada que despachó desfavorablemente el amparo, sin embargo, se modificará en el sentido de que el resguardo debe negarse y no declararse improcedente, porque dadas las particulares condiciones del actor el caso ameritaba un análisis de fondo; </w:t>
      </w:r>
      <w:r w:rsidR="00754C0F" w:rsidRPr="0074188F">
        <w:rPr>
          <w:rFonts w:ascii="Gadugi" w:eastAsia="Times New Roman" w:hAnsi="Gadugi" w:cs="Times New Roman"/>
          <w:sz w:val="24"/>
          <w:szCs w:val="26"/>
          <w:bdr w:val="none" w:sz="0" w:space="0" w:color="auto" w:frame="1"/>
          <w:lang w:val="es-ES_tradnl" w:eastAsia="es-ES"/>
        </w:rPr>
        <w:t xml:space="preserve">cuyo resultado permite concluir que es inexistente la vulneración alegada. </w:t>
      </w:r>
    </w:p>
    <w:p w:rsidR="00FF5B8E" w:rsidRPr="0074188F" w:rsidRDefault="00FF5B8E" w:rsidP="00A235A6">
      <w:pPr>
        <w:autoSpaceDE w:val="0"/>
        <w:autoSpaceDN w:val="0"/>
        <w:adjustRightInd w:val="0"/>
        <w:spacing w:after="0" w:line="276" w:lineRule="auto"/>
        <w:jc w:val="both"/>
        <w:rPr>
          <w:rFonts w:ascii="Gadugi" w:eastAsia="Times New Roman" w:hAnsi="Gadugi" w:cs="Times New Roman"/>
          <w:sz w:val="24"/>
          <w:szCs w:val="26"/>
          <w:bdr w:val="none" w:sz="0" w:space="0" w:color="auto" w:frame="1"/>
          <w:lang w:val="es-CO" w:eastAsia="es-ES"/>
        </w:rPr>
      </w:pPr>
    </w:p>
    <w:p w:rsidR="00FF5B8E" w:rsidRPr="0074188F" w:rsidRDefault="00FF5B8E" w:rsidP="00A235A6">
      <w:pPr>
        <w:autoSpaceDE w:val="0"/>
        <w:autoSpaceDN w:val="0"/>
        <w:adjustRightInd w:val="0"/>
        <w:spacing w:after="0" w:line="276" w:lineRule="auto"/>
        <w:jc w:val="both"/>
        <w:rPr>
          <w:rFonts w:ascii="Gadugi" w:eastAsia="Times New Roman" w:hAnsi="Gadugi" w:cs="Times New Roman"/>
          <w:sz w:val="24"/>
          <w:szCs w:val="26"/>
          <w:bdr w:val="none" w:sz="0" w:space="0" w:color="auto" w:frame="1"/>
          <w:lang w:val="es-CO" w:eastAsia="es-ES"/>
        </w:rPr>
      </w:pPr>
      <w:bookmarkStart w:id="0" w:name="_GoBack"/>
      <w:bookmarkEnd w:id="0"/>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6"/>
          <w:lang w:val="es-ES" w:eastAsia="es-ES"/>
        </w:rPr>
      </w:pPr>
      <w:r w:rsidRPr="0074188F">
        <w:rPr>
          <w:rFonts w:ascii="Gadugi" w:eastAsia="Times New Roman" w:hAnsi="Gadugi" w:cs="Times New Roman"/>
          <w:b/>
          <w:bCs/>
          <w:sz w:val="24"/>
          <w:szCs w:val="26"/>
          <w:lang w:val="es-ES" w:eastAsia="es-ES"/>
        </w:rPr>
        <w:t>DECISIÓN</w:t>
      </w:r>
    </w:p>
    <w:p w:rsidR="00756044" w:rsidRPr="0074188F" w:rsidRDefault="00756044"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756044" w:rsidRPr="0074188F" w:rsidRDefault="00756044" w:rsidP="00A235A6">
      <w:pPr>
        <w:overflowPunct w:val="0"/>
        <w:autoSpaceDE w:val="0"/>
        <w:autoSpaceDN w:val="0"/>
        <w:adjustRightInd w:val="0"/>
        <w:spacing w:after="0" w:line="276" w:lineRule="auto"/>
        <w:jc w:val="both"/>
        <w:textAlignment w:val="baseline"/>
        <w:rPr>
          <w:rFonts w:ascii="Gadugi" w:eastAsia="Times New Roman" w:hAnsi="Gadugi" w:cs="Times New Roman"/>
          <w:sz w:val="24"/>
          <w:szCs w:val="26"/>
          <w:lang w:val="es-ES" w:eastAsia="es-ES"/>
        </w:rPr>
      </w:pPr>
    </w:p>
    <w:p w:rsidR="00756044" w:rsidRPr="0074188F" w:rsidRDefault="0061438F" w:rsidP="00A235A6">
      <w:pPr>
        <w:overflowPunct w:val="0"/>
        <w:autoSpaceDE w:val="0"/>
        <w:autoSpaceDN w:val="0"/>
        <w:adjustRightInd w:val="0"/>
        <w:spacing w:after="0" w:line="276" w:lineRule="auto"/>
        <w:jc w:val="both"/>
        <w:textAlignment w:val="baseline"/>
        <w:rPr>
          <w:rFonts w:ascii="Gadugi" w:eastAsia="Times New Roman" w:hAnsi="Gadugi" w:cs="Arial"/>
          <w:sz w:val="24"/>
          <w:szCs w:val="26"/>
          <w:lang w:val="es-CO" w:eastAsia="es-ES"/>
        </w:rPr>
      </w:pP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Pr="0074188F">
        <w:rPr>
          <w:rFonts w:ascii="Gadugi" w:eastAsia="Times New Roman" w:hAnsi="Gadugi" w:cs="Times New Roman"/>
          <w:sz w:val="24"/>
          <w:szCs w:val="26"/>
          <w:lang w:val="es-ES" w:eastAsia="es-ES"/>
        </w:rPr>
        <w:tab/>
      </w:r>
      <w:r w:rsidR="00724256" w:rsidRPr="0074188F">
        <w:rPr>
          <w:rFonts w:ascii="Gadugi" w:hAnsi="Gadugi"/>
          <w:sz w:val="24"/>
          <w:szCs w:val="26"/>
        </w:rPr>
        <w:t xml:space="preserve">En mérito de lo expuesto, la </w:t>
      </w:r>
      <w:r w:rsidR="00724256" w:rsidRPr="0074188F">
        <w:rPr>
          <w:rFonts w:ascii="Gadugi" w:hAnsi="Gadugi"/>
          <w:b/>
          <w:sz w:val="24"/>
          <w:szCs w:val="26"/>
        </w:rPr>
        <w:t>Sala Civil - Familia del Tribunal Superior del Distrito Judicial de Pereira</w:t>
      </w:r>
      <w:r w:rsidR="00724256" w:rsidRPr="0074188F">
        <w:rPr>
          <w:rFonts w:ascii="Gadugi" w:hAnsi="Gadugi"/>
          <w:sz w:val="24"/>
          <w:szCs w:val="26"/>
        </w:rPr>
        <w:t xml:space="preserve">, administrando justicia en </w:t>
      </w:r>
      <w:r w:rsidR="00724256" w:rsidRPr="0074188F">
        <w:rPr>
          <w:rFonts w:ascii="Gadugi" w:hAnsi="Gadugi"/>
          <w:sz w:val="24"/>
          <w:szCs w:val="26"/>
        </w:rPr>
        <w:lastRenderedPageBreak/>
        <w:t>nombre de la República y por autoridad de la Ley</w:t>
      </w:r>
      <w:r w:rsidR="00756044" w:rsidRPr="0074188F">
        <w:rPr>
          <w:rFonts w:ascii="Gadugi" w:eastAsia="Times New Roman" w:hAnsi="Gadugi" w:cs="Times New Roman"/>
          <w:sz w:val="24"/>
          <w:szCs w:val="26"/>
          <w:lang w:val="es-ES" w:eastAsia="es-ES"/>
        </w:rPr>
        <w:t>, </w:t>
      </w:r>
      <w:r w:rsidR="00754C0F" w:rsidRPr="0074188F">
        <w:rPr>
          <w:rFonts w:ascii="Gadugi" w:eastAsia="Times New Roman" w:hAnsi="Gadugi" w:cs="Times New Roman"/>
          <w:b/>
          <w:bCs/>
          <w:sz w:val="24"/>
          <w:szCs w:val="26"/>
          <w:lang w:val="es-ES" w:eastAsia="es-ES"/>
        </w:rPr>
        <w:t>MODIFICA</w:t>
      </w:r>
      <w:r w:rsidR="00756044" w:rsidRPr="0074188F">
        <w:rPr>
          <w:rFonts w:ascii="Gadugi" w:eastAsia="Times New Roman" w:hAnsi="Gadugi" w:cs="Times New Roman"/>
          <w:sz w:val="24"/>
          <w:szCs w:val="26"/>
          <w:lang w:val="es-ES" w:eastAsia="es-ES"/>
        </w:rPr>
        <w:t xml:space="preserve"> la sentencia dictada</w:t>
      </w:r>
      <w:r w:rsidR="00754C0F" w:rsidRPr="0074188F">
        <w:rPr>
          <w:rFonts w:ascii="Gadugi" w:eastAsia="Times New Roman" w:hAnsi="Gadugi" w:cs="Times New Roman"/>
          <w:sz w:val="24"/>
          <w:szCs w:val="26"/>
          <w:lang w:val="es-ES" w:eastAsia="es-ES"/>
        </w:rPr>
        <w:t xml:space="preserve"> el 18</w:t>
      </w:r>
      <w:r w:rsidR="004F7764" w:rsidRPr="0074188F">
        <w:rPr>
          <w:rFonts w:ascii="Gadugi" w:eastAsia="Times New Roman" w:hAnsi="Gadugi" w:cs="Times New Roman"/>
          <w:sz w:val="24"/>
          <w:szCs w:val="26"/>
          <w:lang w:val="es-ES" w:eastAsia="es-ES"/>
        </w:rPr>
        <w:t xml:space="preserve"> de </w:t>
      </w:r>
      <w:r w:rsidR="00754C0F" w:rsidRPr="0074188F">
        <w:rPr>
          <w:rFonts w:ascii="Gadugi" w:eastAsia="Times New Roman" w:hAnsi="Gadugi" w:cs="Times New Roman"/>
          <w:sz w:val="24"/>
          <w:szCs w:val="26"/>
          <w:lang w:val="es-ES" w:eastAsia="es-ES"/>
        </w:rPr>
        <w:t>febrero</w:t>
      </w:r>
      <w:r w:rsidR="004F7764" w:rsidRPr="0074188F">
        <w:rPr>
          <w:rFonts w:ascii="Gadugi" w:eastAsia="Times New Roman" w:hAnsi="Gadugi" w:cs="Times New Roman"/>
          <w:sz w:val="24"/>
          <w:szCs w:val="26"/>
          <w:lang w:val="es-ES" w:eastAsia="es-ES"/>
        </w:rPr>
        <w:t xml:space="preserve"> del año 2019,</w:t>
      </w:r>
      <w:r w:rsidR="00756044" w:rsidRPr="0074188F">
        <w:rPr>
          <w:rFonts w:ascii="Gadugi" w:eastAsia="Times New Roman" w:hAnsi="Gadugi" w:cs="Times New Roman"/>
          <w:sz w:val="24"/>
          <w:szCs w:val="26"/>
          <w:lang w:val="es-ES" w:eastAsia="es-ES"/>
        </w:rPr>
        <w:t xml:space="preserve"> por el  </w:t>
      </w:r>
      <w:r w:rsidRPr="0074188F">
        <w:rPr>
          <w:rFonts w:ascii="Gadugi" w:hAnsi="Gadugi" w:cs="Arial"/>
          <w:sz w:val="24"/>
          <w:szCs w:val="26"/>
          <w:lang w:val="es-419"/>
        </w:rPr>
        <w:t xml:space="preserve">Juzgado </w:t>
      </w:r>
      <w:r w:rsidR="00754C0F" w:rsidRPr="0074188F">
        <w:rPr>
          <w:rFonts w:ascii="Gadugi" w:hAnsi="Gadugi" w:cs="Arial"/>
          <w:sz w:val="24"/>
          <w:szCs w:val="26"/>
          <w:lang w:val="es-CO"/>
        </w:rPr>
        <w:t>Segundo de Familia de Pereira</w:t>
      </w:r>
      <w:r w:rsidRPr="0074188F">
        <w:rPr>
          <w:rFonts w:ascii="Gadugi" w:eastAsia="Times New Roman" w:hAnsi="Gadugi" w:cs="Arial"/>
          <w:sz w:val="24"/>
          <w:szCs w:val="26"/>
          <w:lang w:val="es-419" w:eastAsia="es-ES"/>
        </w:rPr>
        <w:t xml:space="preserve">, en esta </w:t>
      </w:r>
      <w:r w:rsidRPr="0074188F">
        <w:rPr>
          <w:rFonts w:ascii="Gadugi" w:eastAsia="Times New Roman" w:hAnsi="Gadugi" w:cs="Arial"/>
          <w:sz w:val="24"/>
          <w:szCs w:val="26"/>
          <w:lang w:val="es-ES" w:eastAsia="es-ES"/>
        </w:rPr>
        <w:t xml:space="preserve">acción de tutela que </w:t>
      </w:r>
      <w:r w:rsidR="005273EA" w:rsidRPr="0074188F">
        <w:rPr>
          <w:rFonts w:ascii="Gadugi" w:eastAsia="Times New Roman" w:hAnsi="Gadugi" w:cs="Arial"/>
          <w:b/>
          <w:sz w:val="24"/>
          <w:szCs w:val="26"/>
          <w:lang w:val="es-ES" w:eastAsia="es-ES"/>
        </w:rPr>
        <w:t xml:space="preserve">Absalón Hernández </w:t>
      </w:r>
      <w:proofErr w:type="spellStart"/>
      <w:r w:rsidR="005273EA" w:rsidRPr="0074188F">
        <w:rPr>
          <w:rFonts w:ascii="Gadugi" w:eastAsia="Times New Roman" w:hAnsi="Gadugi" w:cs="Arial"/>
          <w:b/>
          <w:sz w:val="24"/>
          <w:szCs w:val="26"/>
          <w:lang w:val="es-ES" w:eastAsia="es-ES"/>
        </w:rPr>
        <w:t>Hernández</w:t>
      </w:r>
      <w:proofErr w:type="spellEnd"/>
      <w:r w:rsidR="00754C0F" w:rsidRPr="0074188F">
        <w:rPr>
          <w:rFonts w:ascii="Gadugi" w:eastAsia="Times New Roman" w:hAnsi="Gadugi" w:cs="Arial"/>
          <w:b/>
          <w:sz w:val="24"/>
          <w:szCs w:val="26"/>
          <w:lang w:val="es-ES" w:eastAsia="es-ES"/>
        </w:rPr>
        <w:t xml:space="preserve"> </w:t>
      </w:r>
      <w:r w:rsidRPr="0074188F">
        <w:rPr>
          <w:rFonts w:ascii="Gadugi" w:eastAsia="Times New Roman" w:hAnsi="Gadugi" w:cs="Arial"/>
          <w:sz w:val="24"/>
          <w:szCs w:val="26"/>
          <w:lang w:val="es-ES" w:eastAsia="es-ES"/>
        </w:rPr>
        <w:t xml:space="preserve">promovió </w:t>
      </w:r>
      <w:r w:rsidRPr="0074188F">
        <w:rPr>
          <w:rFonts w:ascii="Gadugi" w:eastAsia="Times New Roman" w:hAnsi="Gadugi" w:cs="Arial"/>
          <w:sz w:val="24"/>
          <w:szCs w:val="26"/>
          <w:lang w:val="es-419" w:eastAsia="es-ES"/>
        </w:rPr>
        <w:t xml:space="preserve">frente a </w:t>
      </w:r>
      <w:r w:rsidRPr="0074188F">
        <w:rPr>
          <w:rFonts w:ascii="Gadugi" w:eastAsia="Times New Roman" w:hAnsi="Gadugi" w:cs="Arial"/>
          <w:b/>
          <w:sz w:val="24"/>
          <w:szCs w:val="26"/>
          <w:lang w:val="es-ES" w:eastAsia="es-ES"/>
        </w:rPr>
        <w:t>COLPENSIONES</w:t>
      </w:r>
      <w:r w:rsidR="00754C0F" w:rsidRPr="0074188F">
        <w:rPr>
          <w:rFonts w:ascii="Gadugi" w:eastAsia="Times New Roman" w:hAnsi="Gadugi" w:cs="Arial"/>
          <w:sz w:val="24"/>
          <w:szCs w:val="26"/>
          <w:lang w:val="es-ES" w:eastAsia="es-ES"/>
        </w:rPr>
        <w:t xml:space="preserve">, para </w:t>
      </w:r>
      <w:r w:rsidR="00754C0F" w:rsidRPr="0074188F">
        <w:rPr>
          <w:rFonts w:ascii="Gadugi" w:eastAsia="Times New Roman" w:hAnsi="Gadugi" w:cs="Arial"/>
          <w:b/>
          <w:sz w:val="24"/>
          <w:szCs w:val="26"/>
          <w:lang w:val="es-ES" w:eastAsia="es-ES"/>
        </w:rPr>
        <w:t xml:space="preserve">NEGAR </w:t>
      </w:r>
      <w:r w:rsidR="00754C0F" w:rsidRPr="0074188F">
        <w:rPr>
          <w:rFonts w:ascii="Gadugi" w:eastAsia="Times New Roman" w:hAnsi="Gadugi" w:cs="Arial"/>
          <w:sz w:val="24"/>
          <w:szCs w:val="26"/>
          <w:lang w:val="es-ES" w:eastAsia="es-ES"/>
        </w:rPr>
        <w:t>el amparo impetrado.</w:t>
      </w:r>
    </w:p>
    <w:p w:rsidR="000326A6" w:rsidRPr="0074188F" w:rsidRDefault="000326A6" w:rsidP="00A235A6">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6"/>
          <w:bdr w:val="none" w:sz="0" w:space="0" w:color="auto" w:frame="1"/>
          <w:lang w:val="es-ES_tradnl" w:eastAsia="es-ES"/>
        </w:rPr>
      </w:pPr>
    </w:p>
    <w:p w:rsidR="00756044" w:rsidRPr="0074188F" w:rsidRDefault="00756044" w:rsidP="00A235A6">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6"/>
          <w:lang w:val="es-419" w:eastAsia="es-ES"/>
        </w:rPr>
      </w:pPr>
      <w:r w:rsidRPr="0074188F">
        <w:rPr>
          <w:rFonts w:ascii="Gadugi" w:eastAsia="Times New Roman" w:hAnsi="Gadugi" w:cs="Times New Roman"/>
          <w:sz w:val="24"/>
          <w:szCs w:val="26"/>
          <w:bdr w:val="none" w:sz="0" w:space="0" w:color="auto" w:frame="1"/>
          <w:lang w:val="es-ES_tradnl" w:eastAsia="es-ES"/>
        </w:rPr>
        <w:t xml:space="preserve">  </w:t>
      </w:r>
      <w:r w:rsidR="006230BC" w:rsidRPr="0074188F">
        <w:rPr>
          <w:rFonts w:ascii="Gadugi" w:eastAsia="Times New Roman" w:hAnsi="Gadugi" w:cs="Times New Roman"/>
          <w:sz w:val="24"/>
          <w:szCs w:val="26"/>
          <w:bdr w:val="none" w:sz="0" w:space="0" w:color="auto" w:frame="1"/>
          <w:lang w:val="es-419" w:eastAsia="es-ES"/>
        </w:rPr>
        <w:t xml:space="preserve">     </w:t>
      </w:r>
      <w:r w:rsidR="006230BC" w:rsidRPr="0074188F">
        <w:rPr>
          <w:rFonts w:ascii="Gadugi" w:eastAsia="Times New Roman" w:hAnsi="Gadugi" w:cs="Times New Roman"/>
          <w:sz w:val="24"/>
          <w:szCs w:val="26"/>
          <w:bdr w:val="none" w:sz="0" w:space="0" w:color="auto" w:frame="1"/>
          <w:lang w:val="es-419" w:eastAsia="es-ES"/>
        </w:rPr>
        <w:tab/>
      </w:r>
      <w:r w:rsidR="006230BC" w:rsidRPr="0074188F">
        <w:rPr>
          <w:rFonts w:ascii="Gadugi" w:eastAsia="Times New Roman" w:hAnsi="Gadugi" w:cs="Times New Roman"/>
          <w:sz w:val="24"/>
          <w:szCs w:val="26"/>
          <w:bdr w:val="none" w:sz="0" w:space="0" w:color="auto" w:frame="1"/>
          <w:lang w:val="es-419" w:eastAsia="es-ES"/>
        </w:rPr>
        <w:tab/>
      </w:r>
      <w:r w:rsidR="006230BC" w:rsidRPr="0074188F">
        <w:rPr>
          <w:rFonts w:ascii="Gadugi" w:eastAsia="Times New Roman" w:hAnsi="Gadugi" w:cs="Times New Roman"/>
          <w:sz w:val="24"/>
          <w:szCs w:val="26"/>
          <w:bdr w:val="none" w:sz="0" w:space="0" w:color="auto" w:frame="1"/>
          <w:lang w:val="es-419" w:eastAsia="es-ES"/>
        </w:rPr>
        <w:tab/>
      </w:r>
      <w:r w:rsidR="006230BC" w:rsidRPr="0074188F">
        <w:rPr>
          <w:rFonts w:ascii="Gadugi" w:eastAsia="Times New Roman" w:hAnsi="Gadugi" w:cs="Times New Roman"/>
          <w:sz w:val="24"/>
          <w:szCs w:val="26"/>
          <w:bdr w:val="none" w:sz="0" w:space="0" w:color="auto" w:frame="1"/>
          <w:lang w:val="es-419" w:eastAsia="es-ES"/>
        </w:rPr>
        <w:tab/>
      </w:r>
      <w:r w:rsidRPr="0074188F">
        <w:rPr>
          <w:rFonts w:ascii="Gadugi" w:eastAsia="Times New Roman" w:hAnsi="Gadugi" w:cs="Times New Roman"/>
          <w:sz w:val="24"/>
          <w:szCs w:val="26"/>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74188F">
        <w:rPr>
          <w:rFonts w:ascii="Gadugi" w:eastAsia="Times New Roman" w:hAnsi="Gadugi" w:cs="Times New Roman"/>
          <w:bCs/>
          <w:sz w:val="24"/>
          <w:szCs w:val="26"/>
          <w:lang w:val="es-419" w:eastAsia="es-ES"/>
        </w:rPr>
        <w:t>A su regreso, archívese.</w:t>
      </w:r>
    </w:p>
    <w:p w:rsidR="004E4A9F" w:rsidRPr="0074188F" w:rsidRDefault="004E4A9F" w:rsidP="00A235A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6"/>
          <w:lang w:val="es-ES" w:eastAsia="es-ES"/>
        </w:rPr>
      </w:pPr>
    </w:p>
    <w:p w:rsidR="00F43CD2" w:rsidRPr="0074188F" w:rsidRDefault="00F43CD2" w:rsidP="00A235A6">
      <w:pPr>
        <w:spacing w:after="0" w:line="276" w:lineRule="auto"/>
        <w:ind w:firstLine="2835"/>
        <w:jc w:val="both"/>
        <w:rPr>
          <w:rFonts w:ascii="Gadugi" w:hAnsi="Gadugi" w:cs="Century Gothic"/>
          <w:sz w:val="24"/>
          <w:szCs w:val="26"/>
        </w:rPr>
      </w:pPr>
      <w:r w:rsidRPr="0074188F">
        <w:rPr>
          <w:rFonts w:ascii="Gadugi" w:hAnsi="Gadugi" w:cs="Century Gothic"/>
          <w:sz w:val="24"/>
          <w:szCs w:val="26"/>
        </w:rPr>
        <w:t>Los Magistrados,</w:t>
      </w:r>
    </w:p>
    <w:p w:rsidR="00F43CD2" w:rsidRPr="0074188F" w:rsidRDefault="00F43CD2" w:rsidP="00A235A6">
      <w:pPr>
        <w:spacing w:after="0" w:line="276" w:lineRule="auto"/>
        <w:ind w:firstLine="2835"/>
        <w:jc w:val="both"/>
        <w:rPr>
          <w:rFonts w:ascii="Gadugi" w:hAnsi="Gadugi"/>
          <w:sz w:val="24"/>
          <w:szCs w:val="26"/>
        </w:rPr>
      </w:pPr>
    </w:p>
    <w:p w:rsidR="00426DA0" w:rsidRPr="0074188F" w:rsidRDefault="00426DA0" w:rsidP="00A235A6">
      <w:pPr>
        <w:spacing w:after="0" w:line="276" w:lineRule="auto"/>
        <w:ind w:firstLine="2835"/>
        <w:jc w:val="both"/>
        <w:rPr>
          <w:rFonts w:ascii="Gadugi" w:hAnsi="Gadugi"/>
          <w:sz w:val="24"/>
          <w:szCs w:val="26"/>
        </w:rPr>
      </w:pPr>
    </w:p>
    <w:p w:rsidR="00EA27C8" w:rsidRPr="0074188F" w:rsidRDefault="00EA27C8" w:rsidP="00A235A6">
      <w:pPr>
        <w:spacing w:after="0" w:line="276" w:lineRule="auto"/>
        <w:ind w:firstLine="2835"/>
        <w:jc w:val="both"/>
        <w:rPr>
          <w:rFonts w:ascii="Gadugi" w:hAnsi="Gadugi"/>
          <w:sz w:val="24"/>
          <w:szCs w:val="26"/>
        </w:rPr>
      </w:pPr>
    </w:p>
    <w:p w:rsidR="0093530C" w:rsidRPr="0074188F" w:rsidRDefault="0093530C" w:rsidP="00A235A6">
      <w:pPr>
        <w:spacing w:after="0" w:line="276" w:lineRule="auto"/>
        <w:ind w:firstLine="2835"/>
        <w:jc w:val="both"/>
        <w:rPr>
          <w:rFonts w:ascii="Gadugi" w:hAnsi="Gadugi"/>
          <w:sz w:val="24"/>
          <w:szCs w:val="26"/>
        </w:rPr>
      </w:pPr>
    </w:p>
    <w:p w:rsidR="00F43CD2" w:rsidRPr="0074188F" w:rsidRDefault="00F43CD2" w:rsidP="00A235A6">
      <w:pPr>
        <w:spacing w:after="0" w:line="276" w:lineRule="auto"/>
        <w:ind w:firstLine="2835"/>
        <w:jc w:val="both"/>
        <w:rPr>
          <w:rFonts w:ascii="Gadugi" w:hAnsi="Gadugi" w:cs="Century Gothic"/>
          <w:b/>
          <w:bCs/>
          <w:sz w:val="24"/>
          <w:szCs w:val="26"/>
        </w:rPr>
      </w:pPr>
      <w:r w:rsidRPr="0074188F">
        <w:rPr>
          <w:rFonts w:ascii="Gadugi" w:hAnsi="Gadugi" w:cs="Century Gothic"/>
          <w:b/>
          <w:bCs/>
          <w:sz w:val="24"/>
          <w:szCs w:val="26"/>
        </w:rPr>
        <w:t>JAIME ALBERTO SARAZA NARANJO</w:t>
      </w:r>
    </w:p>
    <w:p w:rsidR="00F43CD2" w:rsidRPr="0074188F" w:rsidRDefault="00F43CD2" w:rsidP="00A235A6">
      <w:pPr>
        <w:spacing w:after="0" w:line="276" w:lineRule="auto"/>
        <w:ind w:firstLine="2835"/>
        <w:jc w:val="both"/>
        <w:rPr>
          <w:rFonts w:ascii="Gadugi" w:hAnsi="Gadugi" w:cs="Century Gothic"/>
          <w:b/>
          <w:bCs/>
          <w:sz w:val="24"/>
          <w:szCs w:val="26"/>
        </w:rPr>
      </w:pPr>
    </w:p>
    <w:p w:rsidR="00EA27C8" w:rsidRPr="0074188F" w:rsidRDefault="00EA27C8" w:rsidP="00A235A6">
      <w:pPr>
        <w:spacing w:after="0" w:line="276" w:lineRule="auto"/>
        <w:ind w:firstLine="2835"/>
        <w:jc w:val="both"/>
        <w:rPr>
          <w:rFonts w:ascii="Gadugi" w:hAnsi="Gadugi" w:cs="Century Gothic"/>
          <w:b/>
          <w:bCs/>
          <w:sz w:val="24"/>
          <w:szCs w:val="26"/>
        </w:rPr>
      </w:pPr>
    </w:p>
    <w:p w:rsidR="00EA27C8" w:rsidRPr="0074188F" w:rsidRDefault="00EA27C8" w:rsidP="00A235A6">
      <w:pPr>
        <w:spacing w:after="0" w:line="276" w:lineRule="auto"/>
        <w:ind w:firstLine="2835"/>
        <w:jc w:val="both"/>
        <w:rPr>
          <w:rFonts w:ascii="Gadugi" w:hAnsi="Gadugi" w:cs="Century Gothic"/>
          <w:b/>
          <w:bCs/>
          <w:sz w:val="24"/>
          <w:szCs w:val="26"/>
        </w:rPr>
      </w:pPr>
    </w:p>
    <w:p w:rsidR="00F77162" w:rsidRPr="0074188F" w:rsidRDefault="00F77162" w:rsidP="00A235A6">
      <w:pPr>
        <w:spacing w:after="0" w:line="276" w:lineRule="auto"/>
        <w:ind w:firstLine="2835"/>
        <w:jc w:val="both"/>
        <w:rPr>
          <w:rFonts w:ascii="Gadugi" w:hAnsi="Gadugi" w:cs="Century Gothic"/>
          <w:b/>
          <w:bCs/>
          <w:sz w:val="24"/>
          <w:szCs w:val="26"/>
        </w:rPr>
      </w:pPr>
    </w:p>
    <w:p w:rsidR="001378B1" w:rsidRPr="0074188F" w:rsidRDefault="00F77162" w:rsidP="00A235A6">
      <w:pPr>
        <w:spacing w:after="0" w:line="276" w:lineRule="auto"/>
        <w:jc w:val="both"/>
        <w:rPr>
          <w:rFonts w:ascii="Gadugi" w:hAnsi="Gadugi" w:cs="Century Gothic"/>
          <w:b/>
          <w:bCs/>
          <w:sz w:val="24"/>
          <w:szCs w:val="26"/>
        </w:rPr>
      </w:pPr>
      <w:r w:rsidRPr="0074188F">
        <w:rPr>
          <w:rFonts w:ascii="Gadugi" w:hAnsi="Gadugi" w:cs="Century Gothic"/>
          <w:b/>
          <w:bCs/>
          <w:sz w:val="24"/>
          <w:szCs w:val="26"/>
          <w:lang w:val="es-419"/>
        </w:rPr>
        <w:t>CLAUDIA MARÍA ARCILA RÍOS</w:t>
      </w:r>
      <w:r w:rsidR="00F43CD2" w:rsidRPr="0074188F">
        <w:rPr>
          <w:rFonts w:ascii="Gadugi" w:hAnsi="Gadugi" w:cs="Century Gothic"/>
          <w:b/>
          <w:bCs/>
          <w:sz w:val="24"/>
          <w:szCs w:val="26"/>
        </w:rPr>
        <w:t xml:space="preserve"> </w:t>
      </w:r>
      <w:r w:rsidR="0061438F" w:rsidRPr="0074188F">
        <w:rPr>
          <w:rFonts w:ascii="Gadugi" w:hAnsi="Gadugi" w:cs="Century Gothic"/>
          <w:b/>
          <w:bCs/>
          <w:sz w:val="24"/>
          <w:szCs w:val="26"/>
        </w:rPr>
        <w:t xml:space="preserve">     </w:t>
      </w:r>
      <w:r w:rsidRPr="0074188F">
        <w:rPr>
          <w:rFonts w:ascii="Gadugi" w:hAnsi="Gadugi" w:cs="Century Gothic"/>
          <w:b/>
          <w:bCs/>
          <w:sz w:val="24"/>
          <w:szCs w:val="26"/>
        </w:rPr>
        <w:t xml:space="preserve">            </w:t>
      </w:r>
      <w:r w:rsidR="0061438F" w:rsidRPr="0074188F">
        <w:rPr>
          <w:rFonts w:ascii="Gadugi" w:hAnsi="Gadugi" w:cs="Century Gothic"/>
          <w:b/>
          <w:bCs/>
          <w:sz w:val="24"/>
          <w:szCs w:val="26"/>
        </w:rPr>
        <w:t xml:space="preserve">   </w:t>
      </w:r>
      <w:r w:rsidR="00F43CD2" w:rsidRPr="0074188F">
        <w:rPr>
          <w:rFonts w:ascii="Gadugi" w:hAnsi="Gadugi" w:cs="Century Gothic"/>
          <w:b/>
          <w:bCs/>
          <w:sz w:val="24"/>
          <w:szCs w:val="26"/>
        </w:rPr>
        <w:t xml:space="preserve"> DUBERNEY GRISALES HERRERA  </w:t>
      </w:r>
    </w:p>
    <w:p w:rsidR="00EA27C8" w:rsidRPr="0074188F" w:rsidRDefault="001378B1">
      <w:pPr>
        <w:spacing w:after="0" w:line="276" w:lineRule="auto"/>
        <w:jc w:val="both"/>
        <w:rPr>
          <w:rFonts w:ascii="Gadugi" w:eastAsia="Times New Roman" w:hAnsi="Gadugi" w:cs="Arial"/>
          <w:sz w:val="24"/>
          <w:szCs w:val="26"/>
          <w:lang w:val="es-419" w:eastAsia="es-ES"/>
        </w:rPr>
      </w:pPr>
      <w:r w:rsidRPr="0074188F">
        <w:rPr>
          <w:rFonts w:ascii="Gadugi" w:hAnsi="Gadugi" w:cs="Century Gothic"/>
          <w:b/>
          <w:bCs/>
          <w:sz w:val="24"/>
          <w:szCs w:val="26"/>
        </w:rPr>
        <w:t xml:space="preserve">         </w:t>
      </w:r>
      <w:r w:rsidRPr="0074188F">
        <w:rPr>
          <w:rFonts w:ascii="Gadugi" w:hAnsi="Gadugi" w:cs="Century Gothic"/>
          <w:bCs/>
          <w:sz w:val="24"/>
          <w:szCs w:val="26"/>
        </w:rPr>
        <w:t>Ausencia justificada</w:t>
      </w:r>
    </w:p>
    <w:sectPr w:rsidR="00EA27C8" w:rsidRPr="0074188F" w:rsidSect="006A18F7">
      <w:footerReference w:type="default" r:id="rId7"/>
      <w:pgSz w:w="12242" w:h="18722"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D7" w:rsidRDefault="002A4AD7" w:rsidP="00756044">
      <w:pPr>
        <w:spacing w:after="0" w:line="240" w:lineRule="auto"/>
      </w:pPr>
      <w:r>
        <w:separator/>
      </w:r>
    </w:p>
  </w:endnote>
  <w:endnote w:type="continuationSeparator" w:id="0">
    <w:p w:rsidR="002A4AD7" w:rsidRDefault="002A4AD7"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rPr>
        <w:rFonts w:ascii="Arial" w:hAnsi="Arial" w:cs="Arial"/>
        <w:sz w:val="18"/>
      </w:rPr>
    </w:sdtEndPr>
    <w:sdtContent>
      <w:p w:rsidR="00C22136" w:rsidRPr="00E36BB6" w:rsidRDefault="00C22136">
        <w:pPr>
          <w:pStyle w:val="Piedepgina"/>
          <w:jc w:val="right"/>
          <w:rPr>
            <w:rFonts w:ascii="Arial" w:hAnsi="Arial" w:cs="Arial"/>
            <w:sz w:val="18"/>
          </w:rPr>
        </w:pPr>
        <w:r w:rsidRPr="00E36BB6">
          <w:rPr>
            <w:rFonts w:ascii="Arial" w:hAnsi="Arial" w:cs="Arial"/>
            <w:sz w:val="18"/>
          </w:rPr>
          <w:fldChar w:fldCharType="begin"/>
        </w:r>
        <w:r w:rsidRPr="00E36BB6">
          <w:rPr>
            <w:rFonts w:ascii="Arial" w:hAnsi="Arial" w:cs="Arial"/>
            <w:sz w:val="18"/>
          </w:rPr>
          <w:instrText>PAGE   \* MERGEFORMAT</w:instrText>
        </w:r>
        <w:r w:rsidRPr="00E36BB6">
          <w:rPr>
            <w:rFonts w:ascii="Arial" w:hAnsi="Arial" w:cs="Arial"/>
            <w:sz w:val="18"/>
          </w:rPr>
          <w:fldChar w:fldCharType="separate"/>
        </w:r>
        <w:r w:rsidR="006A18F7" w:rsidRPr="006A18F7">
          <w:rPr>
            <w:rFonts w:ascii="Arial" w:hAnsi="Arial" w:cs="Arial"/>
            <w:noProof/>
            <w:sz w:val="18"/>
            <w:lang w:val="es-ES"/>
          </w:rPr>
          <w:t>10</w:t>
        </w:r>
        <w:r w:rsidRPr="00E36BB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D7" w:rsidRDefault="002A4AD7" w:rsidP="00756044">
      <w:pPr>
        <w:spacing w:after="0" w:line="240" w:lineRule="auto"/>
      </w:pPr>
      <w:r>
        <w:separator/>
      </w:r>
    </w:p>
  </w:footnote>
  <w:footnote w:type="continuationSeparator" w:id="0">
    <w:p w:rsidR="002A4AD7" w:rsidRDefault="002A4AD7" w:rsidP="00756044">
      <w:pPr>
        <w:spacing w:after="0" w:line="240" w:lineRule="auto"/>
      </w:pPr>
      <w:r>
        <w:continuationSeparator/>
      </w:r>
    </w:p>
  </w:footnote>
  <w:footnote w:id="1">
    <w:p w:rsidR="00C22136" w:rsidRPr="0074188F" w:rsidRDefault="00C22136" w:rsidP="0074188F">
      <w:pPr>
        <w:pStyle w:val="Body"/>
        <w:pBdr>
          <w:top w:val="none" w:sz="0" w:space="0" w:color="auto"/>
          <w:left w:val="none" w:sz="0" w:space="0" w:color="auto"/>
          <w:bottom w:val="none" w:sz="0" w:space="0" w:color="auto"/>
          <w:right w:val="none" w:sz="0" w:space="0" w:color="auto"/>
        </w:pBdr>
        <w:jc w:val="both"/>
        <w:rPr>
          <w:rFonts w:ascii="Arial" w:hAnsi="Arial" w:cs="Arial"/>
          <w:sz w:val="18"/>
          <w:szCs w:val="24"/>
        </w:rPr>
      </w:pPr>
      <w:r w:rsidRPr="0074188F">
        <w:rPr>
          <w:rStyle w:val="Refdenotaalpie"/>
          <w:rFonts w:ascii="Arial" w:hAnsi="Arial" w:cs="Arial"/>
          <w:color w:val="auto"/>
          <w:sz w:val="18"/>
          <w:szCs w:val="24"/>
          <w:lang w:val="es-CO"/>
        </w:rPr>
        <w:footnoteRef/>
      </w:r>
      <w:r w:rsidRPr="0074188F">
        <w:rPr>
          <w:rStyle w:val="Nmerodepgina"/>
          <w:rFonts w:ascii="Arial" w:hAnsi="Arial" w:cs="Arial"/>
          <w:color w:val="auto"/>
          <w:sz w:val="18"/>
          <w:szCs w:val="24"/>
          <w:lang w:val="es-CO"/>
        </w:rPr>
        <w:t xml:space="preserve"> El perjuicio irremediable es un daño a un bien que se deteriora irreversiblemente hasta el punto en que ya no puede ser recuperado en su integridad. No siendo todo daño irreparable, el perjuicio al que aquí se alude debe ser (i) inminente; (ii) grave; (iii) requerir de medidas urgentes para su supresión, y (iv) demandar la acción de tutela como una medida impostergable. </w:t>
      </w:r>
      <w:r w:rsidRPr="0074188F">
        <w:rPr>
          <w:rStyle w:val="Nmerodepgina"/>
          <w:rFonts w:ascii="Arial" w:hAnsi="Arial" w:cs="Arial"/>
          <w:color w:val="auto"/>
          <w:sz w:val="18"/>
          <w:szCs w:val="24"/>
          <w:shd w:val="clear" w:color="auto" w:fill="FFFFFF"/>
          <w:lang w:val="es-CO"/>
        </w:rPr>
        <w:t xml:space="preserve">Por inminencia se ha entendido </w:t>
      </w:r>
      <w:r w:rsidRPr="0074188F">
        <w:rPr>
          <w:rStyle w:val="Nmerodepgina"/>
          <w:rFonts w:ascii="Arial" w:hAnsi="Arial" w:cs="Arial"/>
          <w:color w:val="auto"/>
          <w:sz w:val="18"/>
          <w:szCs w:val="24"/>
          <w:lang w:val="es-CO"/>
        </w:rPr>
        <w:t xml:space="preserve">algo que amenaza o que está por suceder prontamente. Es decir, un daño cierto y predecible cuya ocurrencia se pronostica objetivamente en el corto plazo a partir de la evidencia fáctica y que justifica la toma de medidas prudentes y oportunas para evitar su realización. Así pues, no se trata de una simple expectativa o hipótesis. El criterio de gravedad, por su parte, se refiere al nivel de intensidad que debe reportar el daño. Esto es, a la importancia del bien jurídico tutelado y al nivel de afectación que puede sufrir. Esta exigencia busca garantizar que la amenaza o violación sea motivo de una actuación extraordinariamente oportuna y diligente. El criterio de urgencia, por otra parte, está relacionado con las medidas precisas que se requieren para evitar la pronta consumación del perjuicio irremediable y la consecuente vulneración del derecho. Por esta razón, la urgencia está directamente ligada a la inminencia. Mientras que la primera alude a la respuesta célere y concreta que se requiere, la segunda hace referencia a la prontitud del evento. La </w:t>
      </w:r>
      <w:proofErr w:type="spellStart"/>
      <w:r w:rsidRPr="0074188F">
        <w:rPr>
          <w:rStyle w:val="Nmerodepgina"/>
          <w:rFonts w:ascii="Arial" w:hAnsi="Arial" w:cs="Arial"/>
          <w:color w:val="auto"/>
          <w:sz w:val="18"/>
          <w:szCs w:val="24"/>
          <w:lang w:val="es-CO"/>
        </w:rPr>
        <w:t>impostergabilidad</w:t>
      </w:r>
      <w:proofErr w:type="spellEnd"/>
      <w:r w:rsidRPr="0074188F">
        <w:rPr>
          <w:rStyle w:val="Nmerodepgina"/>
          <w:rFonts w:ascii="Arial" w:hAnsi="Arial" w:cs="Arial"/>
          <w:color w:val="auto"/>
          <w:sz w:val="18"/>
          <w:szCs w:val="24"/>
          <w:lang w:val="es-CO"/>
        </w:rPr>
        <w:t xml:space="preserve"> de la acción de tutela, por último, ha sido definida como la consecuencia de la urgencia y la gravedad, bajo el entendido de que un amparo tardío a los derechos fundamentales resulta ineficaz e inoportuno. Sobre los elementos constitutivos del perjuicio irremediable se pueden ver las consideraciones hechas en las siguientes Sentencias: T- 225 de 1993 (MP Vladimiro Naranjo Mesa), </w:t>
      </w:r>
      <w:r w:rsidRPr="0074188F">
        <w:rPr>
          <w:rStyle w:val="Nmerodepgina"/>
          <w:rFonts w:ascii="Arial" w:hAnsi="Arial" w:cs="Arial"/>
          <w:color w:val="auto"/>
          <w:sz w:val="18"/>
          <w:szCs w:val="24"/>
          <w:shd w:val="clear" w:color="auto" w:fill="FFFFFF"/>
          <w:lang w:val="es-CO"/>
        </w:rPr>
        <w:t xml:space="preserve">T-789 de 2003 (MP Manuel José Cepeda Espinosa), </w:t>
      </w:r>
      <w:r w:rsidRPr="0074188F">
        <w:rPr>
          <w:rStyle w:val="Nmerodepgina"/>
          <w:rFonts w:ascii="Arial" w:hAnsi="Arial" w:cs="Arial"/>
          <w:color w:val="auto"/>
          <w:sz w:val="18"/>
          <w:szCs w:val="24"/>
          <w:lang w:val="es-CO"/>
        </w:rPr>
        <w:t xml:space="preserve">T-761 de 2010 (MP María Victoria Calle Correa), T-424 de 2011 (MP Juan Carlos Henao Pérez), T-206 de 2013 (MP Jorge Iván Palacio Palacio) y T-471 de 2014 (MP Luis Guillermo Guerrero Pérez), entre muchas otras. </w:t>
      </w:r>
    </w:p>
  </w:footnote>
  <w:footnote w:id="2">
    <w:p w:rsidR="00C22136" w:rsidRPr="0074188F" w:rsidRDefault="00C22136" w:rsidP="0074188F">
      <w:pPr>
        <w:pStyle w:val="Textonotapie"/>
        <w:jc w:val="both"/>
        <w:rPr>
          <w:rFonts w:ascii="Arial" w:hAnsi="Arial" w:cs="Arial"/>
          <w:sz w:val="18"/>
          <w:szCs w:val="24"/>
        </w:rPr>
      </w:pPr>
      <w:r w:rsidRPr="0074188F">
        <w:rPr>
          <w:rFonts w:ascii="Arial" w:hAnsi="Arial" w:cs="Arial"/>
          <w:sz w:val="18"/>
          <w:szCs w:val="24"/>
          <w:vertAlign w:val="superscript"/>
          <w:lang w:val="es-CO"/>
        </w:rPr>
        <w:footnoteRef/>
      </w:r>
      <w:r w:rsidRPr="0074188F">
        <w:rPr>
          <w:rFonts w:ascii="Arial" w:hAnsi="Arial" w:cs="Arial"/>
          <w:sz w:val="18"/>
          <w:szCs w:val="24"/>
          <w:lang w:val="es-CO"/>
        </w:rPr>
        <w:t xml:space="preserve"> El artículo 6 numeral 1° del Decreto 2591 de 1991 ofrece un desarrollo admisible de la Constitución Política, y de acuerdo con su texto, la disponibilidad de dichos medios debe ser </w:t>
      </w:r>
      <w:r w:rsidRPr="0074188F">
        <w:rPr>
          <w:rFonts w:ascii="Arial" w:hAnsi="Arial" w:cs="Arial"/>
          <w:i/>
          <w:sz w:val="18"/>
          <w:szCs w:val="24"/>
          <w:lang w:val="es-CO"/>
        </w:rPr>
        <w:t>“apreciada en concreto, en cuanto a su eficacia, atendiendo las circunstancias en que se encuentra el solicitante”</w:t>
      </w:r>
      <w:r w:rsidRPr="0074188F">
        <w:rPr>
          <w:rFonts w:ascii="Arial" w:hAnsi="Arial" w:cs="Arial"/>
          <w:sz w:val="18"/>
          <w:szCs w:val="24"/>
          <w:lang w:val="es-CO"/>
        </w:rPr>
        <w:t xml:space="preserve"> (</w:t>
      </w:r>
      <w:proofErr w:type="spellStart"/>
      <w:r w:rsidRPr="0074188F">
        <w:rPr>
          <w:rFonts w:ascii="Arial" w:hAnsi="Arial" w:cs="Arial"/>
          <w:sz w:val="18"/>
          <w:szCs w:val="24"/>
          <w:lang w:val="es-CO"/>
        </w:rPr>
        <w:t>Dcto</w:t>
      </w:r>
      <w:proofErr w:type="spellEnd"/>
      <w:r w:rsidRPr="0074188F">
        <w:rPr>
          <w:rFonts w:ascii="Arial" w:hAnsi="Arial" w:cs="Arial"/>
          <w:sz w:val="18"/>
          <w:szCs w:val="24"/>
          <w:lang w:val="es-CO"/>
        </w:rPr>
        <w:t xml:space="preserve"> 2591 de 1991, art. 6.1).</w:t>
      </w:r>
    </w:p>
  </w:footnote>
  <w:footnote w:id="3">
    <w:p w:rsidR="00C22136" w:rsidRPr="0074188F" w:rsidRDefault="00C22136" w:rsidP="0074188F">
      <w:pPr>
        <w:pStyle w:val="Textonotapie"/>
        <w:jc w:val="both"/>
        <w:rPr>
          <w:rFonts w:ascii="Arial" w:hAnsi="Arial" w:cs="Arial"/>
          <w:sz w:val="18"/>
          <w:szCs w:val="24"/>
        </w:rPr>
      </w:pPr>
      <w:r w:rsidRPr="0074188F">
        <w:rPr>
          <w:rFonts w:ascii="Arial" w:hAnsi="Arial" w:cs="Arial"/>
          <w:sz w:val="18"/>
          <w:szCs w:val="24"/>
          <w:vertAlign w:val="superscript"/>
          <w:lang w:val="es-CO"/>
        </w:rPr>
        <w:footnoteRef/>
      </w:r>
      <w:r w:rsidRPr="0074188F">
        <w:rPr>
          <w:rFonts w:ascii="Arial" w:hAnsi="Arial" w:cs="Arial"/>
          <w:sz w:val="18"/>
          <w:szCs w:val="24"/>
          <w:lang w:val="es-CO"/>
        </w:rPr>
        <w:t xml:space="preserve"> Sentencia SU-961 de 1999 (MP. Vladimiro Naranjo Mesa. Unánime). En esa ocasión, la Corte debía definir si una acción contenciosa era eficaz para resolver una determinada pretensión, y concluyó que no lo era. Por esa razón, juzgó que la acción de tutela debía considerarse el medio de defensa idóneo. En ese contexto definió los criterios para determinar si los otros medios de defensa judicial, distintos a la tutela, son eficaces. Lo hizo en el siguiente sentido: “[…] </w:t>
      </w:r>
      <w:r w:rsidRPr="0074188F">
        <w:rPr>
          <w:rFonts w:ascii="Arial" w:hAnsi="Arial" w:cs="Arial"/>
          <w:sz w:val="18"/>
          <w:szCs w:val="24"/>
          <w:shd w:val="clear" w:color="auto" w:fill="FFFFFF"/>
          <w:lang w:val="es-CO"/>
        </w:rPr>
        <w:t>En cada caso, el juez está en la obligación de determinar si las acciones disponibles le otorgan una protección eficaz y completa a quien la interpone.  Si no es así, si los mecanismos ordinarios carecen de tales características, el juez puede otorgar el amparo de dos maneras distintas, dependiendo de la situación de que se trate. 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 La segunda posibilidad, es que las acciones comunes no sean susceptibles de resolver el problema de manera integral”.</w:t>
      </w:r>
    </w:p>
  </w:footnote>
  <w:footnote w:id="4">
    <w:p w:rsidR="00C22136" w:rsidRPr="0074188F" w:rsidRDefault="00C22136" w:rsidP="0074188F">
      <w:pPr>
        <w:pStyle w:val="Textonotapie"/>
        <w:jc w:val="both"/>
        <w:rPr>
          <w:rFonts w:ascii="Arial" w:hAnsi="Arial" w:cs="Arial"/>
          <w:sz w:val="18"/>
          <w:szCs w:val="24"/>
          <w:lang w:val="es-419"/>
        </w:rPr>
      </w:pPr>
      <w:r w:rsidRPr="0074188F">
        <w:rPr>
          <w:rStyle w:val="Refdenotaalpie"/>
          <w:rFonts w:ascii="Arial" w:hAnsi="Arial" w:cs="Arial"/>
          <w:sz w:val="18"/>
          <w:szCs w:val="24"/>
        </w:rPr>
        <w:footnoteRef/>
      </w:r>
      <w:r w:rsidRPr="0074188F">
        <w:rPr>
          <w:rFonts w:ascii="Arial" w:hAnsi="Arial" w:cs="Arial"/>
          <w:sz w:val="18"/>
          <w:szCs w:val="24"/>
        </w:rPr>
        <w:t xml:space="preserve"> </w:t>
      </w:r>
      <w:r w:rsidRPr="0074188F">
        <w:rPr>
          <w:rFonts w:ascii="Arial" w:hAnsi="Arial" w:cs="Arial"/>
          <w:sz w:val="18"/>
          <w:szCs w:val="24"/>
          <w:lang w:val="es-419"/>
        </w:rPr>
        <w:t xml:space="preserve">También en las sentencias </w:t>
      </w:r>
      <w:r w:rsidRPr="0074188F">
        <w:rPr>
          <w:rFonts w:ascii="Arial" w:hAnsi="Arial" w:cs="Arial"/>
          <w:sz w:val="18"/>
          <w:szCs w:val="24"/>
          <w:lang w:val="es-CO"/>
        </w:rPr>
        <w:t>T- 190, T-235 y T</w:t>
      </w:r>
      <w:r w:rsidRPr="0074188F">
        <w:rPr>
          <w:rFonts w:ascii="Arial" w:hAnsi="Arial" w:cs="Arial"/>
          <w:sz w:val="18"/>
          <w:szCs w:val="24"/>
          <w:lang w:val="es-419"/>
        </w:rPr>
        <w:t>-</w:t>
      </w:r>
      <w:r w:rsidRPr="0074188F">
        <w:rPr>
          <w:rFonts w:ascii="Arial" w:hAnsi="Arial" w:cs="Arial"/>
          <w:sz w:val="18"/>
          <w:szCs w:val="24"/>
          <w:lang w:val="es-CO"/>
        </w:rPr>
        <w:t>295 de 2015</w:t>
      </w:r>
      <w:r w:rsidRPr="0074188F">
        <w:rPr>
          <w:rFonts w:ascii="Arial" w:hAnsi="Arial" w:cs="Arial"/>
          <w:sz w:val="18"/>
          <w:szCs w:val="24"/>
          <w:lang w:val="es-419"/>
        </w:rPr>
        <w:t>.</w:t>
      </w:r>
    </w:p>
  </w:footnote>
  <w:footnote w:id="5">
    <w:p w:rsidR="00C22136" w:rsidRPr="0074188F" w:rsidRDefault="00C22136" w:rsidP="0074188F">
      <w:pPr>
        <w:pStyle w:val="Textonotapie"/>
        <w:jc w:val="both"/>
        <w:rPr>
          <w:rFonts w:ascii="Arial" w:hAnsi="Arial" w:cs="Arial"/>
          <w:sz w:val="18"/>
          <w:szCs w:val="24"/>
          <w:lang w:val="es-MX"/>
        </w:rPr>
      </w:pPr>
      <w:r w:rsidRPr="0074188F">
        <w:rPr>
          <w:rStyle w:val="Refdenotaalpie"/>
          <w:rFonts w:ascii="Arial" w:hAnsi="Arial" w:cs="Arial"/>
          <w:sz w:val="18"/>
          <w:szCs w:val="24"/>
        </w:rPr>
        <w:footnoteRef/>
      </w:r>
      <w:r w:rsidRPr="0074188F">
        <w:rPr>
          <w:rFonts w:ascii="Arial" w:hAnsi="Arial" w:cs="Arial"/>
          <w:sz w:val="18"/>
          <w:szCs w:val="24"/>
        </w:rPr>
        <w:t xml:space="preserve"> </w:t>
      </w:r>
      <w:r w:rsidRPr="0074188F">
        <w:rPr>
          <w:rFonts w:ascii="Arial" w:hAnsi="Arial" w:cs="Arial"/>
          <w:color w:val="000000"/>
          <w:sz w:val="18"/>
          <w:szCs w:val="24"/>
          <w:bdr w:val="none" w:sz="0" w:space="0" w:color="auto" w:frame="1"/>
          <w:shd w:val="clear" w:color="auto" w:fill="FFFFFF"/>
          <w:lang w:val="pt-BR"/>
        </w:rPr>
        <w:t> Sentencia T-774 de 2015, M.P. Luis Ernesto Vargas; Sentencia T-137 de 2016, M.P. Luis Ernesto Vargas.</w:t>
      </w:r>
    </w:p>
  </w:footnote>
  <w:footnote w:id="6">
    <w:p w:rsidR="00C22136" w:rsidRPr="0074188F" w:rsidRDefault="00C22136" w:rsidP="0074188F">
      <w:pPr>
        <w:pStyle w:val="Textonotapie"/>
        <w:jc w:val="both"/>
        <w:rPr>
          <w:rFonts w:ascii="Arial" w:hAnsi="Arial" w:cs="Arial"/>
          <w:sz w:val="18"/>
          <w:szCs w:val="24"/>
          <w:lang w:val="es-MX"/>
        </w:rPr>
      </w:pPr>
      <w:r w:rsidRPr="0074188F">
        <w:rPr>
          <w:rStyle w:val="Refdenotaalpie"/>
          <w:rFonts w:ascii="Arial" w:hAnsi="Arial" w:cs="Arial"/>
          <w:sz w:val="18"/>
          <w:szCs w:val="24"/>
        </w:rPr>
        <w:footnoteRef/>
      </w:r>
      <w:r w:rsidRPr="0074188F">
        <w:rPr>
          <w:rFonts w:ascii="Arial" w:hAnsi="Arial" w:cs="Arial"/>
          <w:sz w:val="18"/>
          <w:szCs w:val="24"/>
        </w:rPr>
        <w:t xml:space="preserve"> </w:t>
      </w:r>
      <w:r w:rsidRPr="0074188F">
        <w:rPr>
          <w:rFonts w:ascii="Arial" w:hAnsi="Arial" w:cs="Arial"/>
          <w:color w:val="000000"/>
          <w:sz w:val="18"/>
          <w:szCs w:val="24"/>
          <w:bdr w:val="none" w:sz="0" w:space="0" w:color="auto" w:frame="1"/>
          <w:shd w:val="clear" w:color="auto" w:fill="FFFFFF"/>
          <w:lang w:val="pt-BR"/>
        </w:rPr>
        <w:t xml:space="preserve">Corte Suprema de Justicia. Sala de </w:t>
      </w:r>
      <w:proofErr w:type="spellStart"/>
      <w:r w:rsidRPr="0074188F">
        <w:rPr>
          <w:rFonts w:ascii="Arial" w:hAnsi="Arial" w:cs="Arial"/>
          <w:color w:val="000000"/>
          <w:sz w:val="18"/>
          <w:szCs w:val="24"/>
          <w:bdr w:val="none" w:sz="0" w:space="0" w:color="auto" w:frame="1"/>
          <w:shd w:val="clear" w:color="auto" w:fill="FFFFFF"/>
          <w:lang w:val="pt-BR"/>
        </w:rPr>
        <w:t>Casación</w:t>
      </w:r>
      <w:proofErr w:type="spellEnd"/>
      <w:r w:rsidRPr="0074188F">
        <w:rPr>
          <w:rFonts w:ascii="Arial" w:hAnsi="Arial" w:cs="Arial"/>
          <w:color w:val="000000"/>
          <w:sz w:val="18"/>
          <w:szCs w:val="24"/>
          <w:bdr w:val="none" w:sz="0" w:space="0" w:color="auto" w:frame="1"/>
          <w:shd w:val="clear" w:color="auto" w:fill="FFFFFF"/>
          <w:lang w:val="pt-BR"/>
        </w:rPr>
        <w:t xml:space="preserve"> Laboral. Sentencia </w:t>
      </w:r>
      <w:proofErr w:type="spellStart"/>
      <w:r w:rsidRPr="0074188F">
        <w:rPr>
          <w:rFonts w:ascii="Arial" w:hAnsi="Arial" w:cs="Arial"/>
          <w:color w:val="000000"/>
          <w:sz w:val="18"/>
          <w:szCs w:val="24"/>
          <w:bdr w:val="none" w:sz="0" w:space="0" w:color="auto" w:frame="1"/>
          <w:shd w:val="clear" w:color="auto" w:fill="FFFFFF"/>
          <w:lang w:val="pt-BR"/>
        </w:rPr>
        <w:t>del</w:t>
      </w:r>
      <w:proofErr w:type="spellEnd"/>
      <w:r w:rsidRPr="0074188F">
        <w:rPr>
          <w:rFonts w:ascii="Arial" w:hAnsi="Arial" w:cs="Arial"/>
          <w:color w:val="000000"/>
          <w:sz w:val="18"/>
          <w:szCs w:val="24"/>
          <w:bdr w:val="none" w:sz="0" w:space="0" w:color="auto" w:frame="1"/>
          <w:shd w:val="clear" w:color="auto" w:fill="FFFFFF"/>
          <w:lang w:val="pt-BR"/>
        </w:rPr>
        <w:t xml:space="preserve"> 11 de </w:t>
      </w:r>
      <w:proofErr w:type="spellStart"/>
      <w:r w:rsidRPr="0074188F">
        <w:rPr>
          <w:rFonts w:ascii="Arial" w:hAnsi="Arial" w:cs="Arial"/>
          <w:color w:val="000000"/>
          <w:sz w:val="18"/>
          <w:szCs w:val="24"/>
          <w:bdr w:val="none" w:sz="0" w:space="0" w:color="auto" w:frame="1"/>
          <w:shd w:val="clear" w:color="auto" w:fill="FFFFFF"/>
          <w:lang w:val="pt-BR"/>
        </w:rPr>
        <w:t>noviembre</w:t>
      </w:r>
      <w:proofErr w:type="spellEnd"/>
      <w:r w:rsidRPr="0074188F">
        <w:rPr>
          <w:rFonts w:ascii="Arial" w:hAnsi="Arial" w:cs="Arial"/>
          <w:color w:val="000000"/>
          <w:sz w:val="18"/>
          <w:szCs w:val="24"/>
          <w:bdr w:val="none" w:sz="0" w:space="0" w:color="auto" w:frame="1"/>
          <w:shd w:val="clear" w:color="auto" w:fill="FFFFFF"/>
          <w:lang w:val="pt-BR"/>
        </w:rPr>
        <w:t xml:space="preserve"> de 2015. Radicado 54093. </w:t>
      </w:r>
      <w:r w:rsidRPr="0074188F">
        <w:rPr>
          <w:rFonts w:ascii="Arial" w:hAnsi="Arial" w:cs="Arial"/>
          <w:color w:val="000000"/>
          <w:sz w:val="18"/>
          <w:szCs w:val="24"/>
          <w:bdr w:val="none" w:sz="0" w:space="0" w:color="auto" w:frame="1"/>
          <w:shd w:val="clear" w:color="auto" w:fill="FFFFFF"/>
          <w:lang w:val="es-ES_tradnl"/>
        </w:rPr>
        <w:t>M.P. Luis Gabriel Miranda.</w:t>
      </w:r>
    </w:p>
  </w:footnote>
  <w:footnote w:id="7">
    <w:p w:rsidR="00C22136" w:rsidRPr="0074188F" w:rsidRDefault="00C22136" w:rsidP="0074188F">
      <w:pPr>
        <w:pStyle w:val="Textonotapie"/>
        <w:jc w:val="both"/>
        <w:rPr>
          <w:rFonts w:ascii="Arial" w:hAnsi="Arial" w:cs="Arial"/>
          <w:sz w:val="18"/>
          <w:szCs w:val="24"/>
          <w:lang w:val="es-MX"/>
        </w:rPr>
      </w:pPr>
      <w:r w:rsidRPr="0074188F">
        <w:rPr>
          <w:rStyle w:val="Refdenotaalpie"/>
          <w:rFonts w:ascii="Arial" w:hAnsi="Arial" w:cs="Arial"/>
          <w:sz w:val="18"/>
          <w:szCs w:val="24"/>
        </w:rPr>
        <w:footnoteRef/>
      </w:r>
      <w:r w:rsidRPr="0074188F">
        <w:rPr>
          <w:rFonts w:ascii="Arial" w:hAnsi="Arial" w:cs="Arial"/>
          <w:sz w:val="18"/>
          <w:szCs w:val="24"/>
        </w:rPr>
        <w:t xml:space="preserve"> </w:t>
      </w:r>
      <w:r w:rsidRPr="0074188F">
        <w:rPr>
          <w:rFonts w:ascii="Arial" w:hAnsi="Arial" w:cs="Arial"/>
          <w:color w:val="000000"/>
          <w:sz w:val="18"/>
          <w:szCs w:val="24"/>
          <w:shd w:val="clear" w:color="auto" w:fill="FFFFFF"/>
        </w:rPr>
        <w:t>M.P. Luis Guillermo Guerrero Pérez.</w:t>
      </w:r>
    </w:p>
  </w:footnote>
  <w:footnote w:id="8">
    <w:p w:rsidR="00C22136" w:rsidRPr="0074188F" w:rsidRDefault="00C22136" w:rsidP="0074188F">
      <w:pPr>
        <w:pStyle w:val="Textonotapie"/>
        <w:jc w:val="both"/>
        <w:rPr>
          <w:rFonts w:ascii="Arial" w:hAnsi="Arial" w:cs="Arial"/>
          <w:sz w:val="18"/>
          <w:szCs w:val="24"/>
          <w:lang w:val="es-MX"/>
        </w:rPr>
      </w:pPr>
      <w:r w:rsidRPr="0074188F">
        <w:rPr>
          <w:rStyle w:val="Refdenotaalpie"/>
          <w:rFonts w:ascii="Arial" w:hAnsi="Arial" w:cs="Arial"/>
          <w:sz w:val="18"/>
          <w:szCs w:val="24"/>
        </w:rPr>
        <w:footnoteRef/>
      </w:r>
      <w:r w:rsidRPr="0074188F">
        <w:rPr>
          <w:rFonts w:ascii="Arial" w:hAnsi="Arial" w:cs="Arial"/>
          <w:sz w:val="18"/>
          <w:szCs w:val="24"/>
        </w:rPr>
        <w:t xml:space="preserve"> </w:t>
      </w:r>
      <w:r w:rsidRPr="0074188F">
        <w:rPr>
          <w:rFonts w:ascii="Arial" w:hAnsi="Arial" w:cs="Arial"/>
          <w:color w:val="000000"/>
          <w:sz w:val="18"/>
          <w:szCs w:val="24"/>
          <w:shd w:val="clear" w:color="auto" w:fill="FFFFFF"/>
        </w:rPr>
        <w:t>M.P. Gloria Stella Ortiz Delgado.</w:t>
      </w:r>
    </w:p>
  </w:footnote>
  <w:footnote w:id="9">
    <w:p w:rsidR="00C22136" w:rsidRPr="0074188F" w:rsidRDefault="00C22136" w:rsidP="0074188F">
      <w:pPr>
        <w:pStyle w:val="Textonotapie"/>
        <w:jc w:val="both"/>
        <w:rPr>
          <w:rFonts w:ascii="Arial" w:hAnsi="Arial" w:cs="Arial"/>
          <w:sz w:val="18"/>
          <w:szCs w:val="24"/>
          <w:lang w:val="es-MX"/>
        </w:rPr>
      </w:pPr>
      <w:r w:rsidRPr="0074188F">
        <w:rPr>
          <w:rStyle w:val="Refdenotaalpie"/>
          <w:rFonts w:ascii="Arial" w:hAnsi="Arial" w:cs="Arial"/>
          <w:sz w:val="18"/>
          <w:szCs w:val="24"/>
        </w:rPr>
        <w:footnoteRef/>
      </w:r>
      <w:r w:rsidRPr="0074188F">
        <w:rPr>
          <w:rFonts w:ascii="Arial" w:hAnsi="Arial" w:cs="Arial"/>
          <w:sz w:val="18"/>
          <w:szCs w:val="24"/>
        </w:rPr>
        <w:t xml:space="preserve"> Así se explica en la </w:t>
      </w:r>
      <w:r w:rsidRPr="0074188F">
        <w:rPr>
          <w:rFonts w:ascii="Arial" w:hAnsi="Arial" w:cs="Arial"/>
          <w:sz w:val="18"/>
          <w:szCs w:val="24"/>
          <w:lang w:val="es-MX"/>
        </w:rPr>
        <w:t>SU-442/16</w:t>
      </w:r>
    </w:p>
  </w:footnote>
  <w:footnote w:id="10">
    <w:p w:rsidR="001378B1" w:rsidRPr="0074188F" w:rsidRDefault="001378B1" w:rsidP="0074188F">
      <w:pPr>
        <w:pStyle w:val="Textonotapie"/>
        <w:jc w:val="both"/>
        <w:rPr>
          <w:rFonts w:ascii="Arial" w:hAnsi="Arial" w:cs="Arial"/>
          <w:sz w:val="18"/>
          <w:szCs w:val="24"/>
          <w:lang w:val="es-CO"/>
        </w:rPr>
      </w:pPr>
      <w:r w:rsidRPr="0074188F">
        <w:rPr>
          <w:rStyle w:val="Refdenotaalpie"/>
          <w:rFonts w:ascii="Arial" w:hAnsi="Arial" w:cs="Arial"/>
          <w:sz w:val="18"/>
          <w:szCs w:val="24"/>
        </w:rPr>
        <w:footnoteRef/>
      </w:r>
      <w:r w:rsidRPr="0074188F">
        <w:rPr>
          <w:rFonts w:ascii="Arial" w:hAnsi="Arial" w:cs="Arial"/>
          <w:sz w:val="18"/>
          <w:szCs w:val="24"/>
        </w:rPr>
        <w:t xml:space="preserve"> TSP. SCF. Rad. 2017-00425-01 </w:t>
      </w:r>
      <w:proofErr w:type="spellStart"/>
      <w:r w:rsidRPr="0074188F">
        <w:rPr>
          <w:rFonts w:ascii="Arial" w:hAnsi="Arial" w:cs="Arial"/>
          <w:sz w:val="18"/>
          <w:szCs w:val="24"/>
        </w:rPr>
        <w:t>Sent</w:t>
      </w:r>
      <w:proofErr w:type="spellEnd"/>
      <w:r w:rsidRPr="0074188F">
        <w:rPr>
          <w:rFonts w:ascii="Arial" w:hAnsi="Arial" w:cs="Arial"/>
          <w:sz w:val="18"/>
          <w:szCs w:val="24"/>
        </w:rPr>
        <w:t xml:space="preserve">. del 6 de marzo del 2017 M.P. Jaime Alberto Saraza Naranjo. </w:t>
      </w:r>
      <w:r w:rsidRPr="0074188F">
        <w:rPr>
          <w:rFonts w:ascii="Arial" w:hAnsi="Arial" w:cs="Arial"/>
          <w:sz w:val="18"/>
          <w:szCs w:val="24"/>
        </w:rPr>
        <w:tab/>
      </w:r>
    </w:p>
  </w:footnote>
  <w:footnote w:id="11">
    <w:p w:rsidR="001378B1" w:rsidRPr="0074188F" w:rsidRDefault="001378B1" w:rsidP="0074188F">
      <w:pPr>
        <w:pStyle w:val="Textonotapie"/>
        <w:jc w:val="both"/>
        <w:rPr>
          <w:rFonts w:ascii="Arial" w:hAnsi="Arial" w:cs="Arial"/>
          <w:sz w:val="18"/>
          <w:szCs w:val="24"/>
          <w:lang w:val="es-CO"/>
        </w:rPr>
      </w:pPr>
      <w:r w:rsidRPr="0074188F">
        <w:rPr>
          <w:rStyle w:val="Refdenotaalpie"/>
          <w:rFonts w:ascii="Arial" w:hAnsi="Arial" w:cs="Arial"/>
          <w:sz w:val="18"/>
          <w:szCs w:val="24"/>
        </w:rPr>
        <w:footnoteRef/>
      </w:r>
      <w:r w:rsidRPr="0074188F">
        <w:rPr>
          <w:rFonts w:ascii="Arial" w:hAnsi="Arial" w:cs="Arial"/>
          <w:sz w:val="18"/>
          <w:szCs w:val="24"/>
        </w:rPr>
        <w:t xml:space="preserve"> TSP. SCF. </w:t>
      </w:r>
      <w:r w:rsidRPr="0074188F">
        <w:rPr>
          <w:rFonts w:ascii="Arial" w:hAnsi="Arial" w:cs="Arial"/>
          <w:sz w:val="18"/>
          <w:szCs w:val="24"/>
          <w:lang w:val="es-CO"/>
        </w:rPr>
        <w:t xml:space="preserve">Rad. 2018-00451-01 </w:t>
      </w:r>
      <w:proofErr w:type="spellStart"/>
      <w:r w:rsidRPr="0074188F">
        <w:rPr>
          <w:rFonts w:ascii="Arial" w:hAnsi="Arial" w:cs="Arial"/>
          <w:sz w:val="18"/>
          <w:szCs w:val="24"/>
          <w:lang w:val="es-CO"/>
        </w:rPr>
        <w:t>Sent</w:t>
      </w:r>
      <w:proofErr w:type="spellEnd"/>
      <w:r w:rsidRPr="0074188F">
        <w:rPr>
          <w:rFonts w:ascii="Arial" w:hAnsi="Arial" w:cs="Arial"/>
          <w:sz w:val="18"/>
          <w:szCs w:val="24"/>
          <w:lang w:val="es-CO"/>
        </w:rPr>
        <w:t>. del 19 de diciembre del 2018 M.P. Duberney Grisales Herrera.</w:t>
      </w:r>
    </w:p>
  </w:footnote>
  <w:footnote w:id="12">
    <w:p w:rsidR="001378B1" w:rsidRPr="0074188F" w:rsidRDefault="001378B1" w:rsidP="0074188F">
      <w:pPr>
        <w:pStyle w:val="Textonotapie"/>
        <w:jc w:val="both"/>
        <w:rPr>
          <w:rFonts w:ascii="Arial" w:hAnsi="Arial" w:cs="Arial"/>
          <w:sz w:val="18"/>
          <w:szCs w:val="24"/>
          <w:lang w:val="es-CO"/>
        </w:rPr>
      </w:pPr>
      <w:r w:rsidRPr="0074188F">
        <w:rPr>
          <w:rStyle w:val="Refdenotaalpie"/>
          <w:rFonts w:ascii="Arial" w:hAnsi="Arial" w:cs="Arial"/>
          <w:sz w:val="18"/>
          <w:szCs w:val="24"/>
        </w:rPr>
        <w:footnoteRef/>
      </w:r>
      <w:r w:rsidRPr="0074188F">
        <w:rPr>
          <w:rFonts w:ascii="Arial" w:hAnsi="Arial" w:cs="Arial"/>
          <w:sz w:val="18"/>
          <w:szCs w:val="24"/>
        </w:rPr>
        <w:t xml:space="preserve"> TSP. SCF. </w:t>
      </w:r>
      <w:r w:rsidRPr="0074188F">
        <w:rPr>
          <w:rFonts w:ascii="Arial" w:hAnsi="Arial" w:cs="Arial"/>
          <w:sz w:val="18"/>
          <w:szCs w:val="24"/>
          <w:lang w:val="es-CO"/>
        </w:rPr>
        <w:t xml:space="preserve">Rad. 2018-00751-01 </w:t>
      </w:r>
      <w:proofErr w:type="spellStart"/>
      <w:r w:rsidRPr="0074188F">
        <w:rPr>
          <w:rFonts w:ascii="Arial" w:hAnsi="Arial" w:cs="Arial"/>
          <w:sz w:val="18"/>
          <w:szCs w:val="24"/>
          <w:lang w:val="es-CO"/>
        </w:rPr>
        <w:t>Sent</w:t>
      </w:r>
      <w:proofErr w:type="spellEnd"/>
      <w:r w:rsidRPr="0074188F">
        <w:rPr>
          <w:rFonts w:ascii="Arial" w:hAnsi="Arial" w:cs="Arial"/>
          <w:sz w:val="18"/>
          <w:szCs w:val="24"/>
          <w:lang w:val="es-CO"/>
        </w:rPr>
        <w:t>. del 23 de enero del 2019. M.P. Duberney Grisales Herrera.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4"/>
    <w:rsid w:val="0000161A"/>
    <w:rsid w:val="00003BCD"/>
    <w:rsid w:val="00004092"/>
    <w:rsid w:val="000139A5"/>
    <w:rsid w:val="000326A6"/>
    <w:rsid w:val="00033FD2"/>
    <w:rsid w:val="0004483B"/>
    <w:rsid w:val="00053F48"/>
    <w:rsid w:val="00055409"/>
    <w:rsid w:val="000736B9"/>
    <w:rsid w:val="00074430"/>
    <w:rsid w:val="00077766"/>
    <w:rsid w:val="000A618F"/>
    <w:rsid w:val="000D63B6"/>
    <w:rsid w:val="000E068E"/>
    <w:rsid w:val="000F3535"/>
    <w:rsid w:val="001228A7"/>
    <w:rsid w:val="001378B1"/>
    <w:rsid w:val="0015705D"/>
    <w:rsid w:val="00170829"/>
    <w:rsid w:val="00181964"/>
    <w:rsid w:val="00194701"/>
    <w:rsid w:val="001A17A5"/>
    <w:rsid w:val="001E3579"/>
    <w:rsid w:val="00216770"/>
    <w:rsid w:val="00271C50"/>
    <w:rsid w:val="0027557E"/>
    <w:rsid w:val="00293295"/>
    <w:rsid w:val="002A4AD7"/>
    <w:rsid w:val="002B111A"/>
    <w:rsid w:val="002C46EF"/>
    <w:rsid w:val="002D6937"/>
    <w:rsid w:val="002E3065"/>
    <w:rsid w:val="00302A66"/>
    <w:rsid w:val="003069A3"/>
    <w:rsid w:val="003154B1"/>
    <w:rsid w:val="00315A48"/>
    <w:rsid w:val="003559F5"/>
    <w:rsid w:val="003A0F8D"/>
    <w:rsid w:val="003A3639"/>
    <w:rsid w:val="003A7E25"/>
    <w:rsid w:val="0040103B"/>
    <w:rsid w:val="00426DA0"/>
    <w:rsid w:val="00430A05"/>
    <w:rsid w:val="0043250B"/>
    <w:rsid w:val="00435DC4"/>
    <w:rsid w:val="0046299F"/>
    <w:rsid w:val="00462FE7"/>
    <w:rsid w:val="0046390F"/>
    <w:rsid w:val="00477CB4"/>
    <w:rsid w:val="004B14D4"/>
    <w:rsid w:val="004D53C1"/>
    <w:rsid w:val="004E0C3B"/>
    <w:rsid w:val="004E4A9F"/>
    <w:rsid w:val="004F03DD"/>
    <w:rsid w:val="004F7764"/>
    <w:rsid w:val="00505E24"/>
    <w:rsid w:val="00517F08"/>
    <w:rsid w:val="005273EA"/>
    <w:rsid w:val="00527F7E"/>
    <w:rsid w:val="00534A58"/>
    <w:rsid w:val="00570DA5"/>
    <w:rsid w:val="005B6943"/>
    <w:rsid w:val="005B7535"/>
    <w:rsid w:val="005C000E"/>
    <w:rsid w:val="005D653A"/>
    <w:rsid w:val="005E666C"/>
    <w:rsid w:val="005F3E08"/>
    <w:rsid w:val="005F7FDF"/>
    <w:rsid w:val="00607281"/>
    <w:rsid w:val="0061104F"/>
    <w:rsid w:val="0061438F"/>
    <w:rsid w:val="00616474"/>
    <w:rsid w:val="00620F63"/>
    <w:rsid w:val="006230BC"/>
    <w:rsid w:val="006278C7"/>
    <w:rsid w:val="00657454"/>
    <w:rsid w:val="00665342"/>
    <w:rsid w:val="00674A22"/>
    <w:rsid w:val="0067794B"/>
    <w:rsid w:val="006849A6"/>
    <w:rsid w:val="00684C16"/>
    <w:rsid w:val="00695D52"/>
    <w:rsid w:val="006A18F7"/>
    <w:rsid w:val="006B0A03"/>
    <w:rsid w:val="006D4518"/>
    <w:rsid w:val="006D5D3E"/>
    <w:rsid w:val="006D7F5E"/>
    <w:rsid w:val="006E1A3D"/>
    <w:rsid w:val="006E3819"/>
    <w:rsid w:val="006E6D69"/>
    <w:rsid w:val="006F5C2C"/>
    <w:rsid w:val="0070049D"/>
    <w:rsid w:val="007045BE"/>
    <w:rsid w:val="00712825"/>
    <w:rsid w:val="00714B45"/>
    <w:rsid w:val="00724256"/>
    <w:rsid w:val="00730FB0"/>
    <w:rsid w:val="00740AC8"/>
    <w:rsid w:val="0074188F"/>
    <w:rsid w:val="00742586"/>
    <w:rsid w:val="00754C0F"/>
    <w:rsid w:val="00756044"/>
    <w:rsid w:val="00772BEE"/>
    <w:rsid w:val="00784E3A"/>
    <w:rsid w:val="00796976"/>
    <w:rsid w:val="007A519B"/>
    <w:rsid w:val="007D29D6"/>
    <w:rsid w:val="007D4C6D"/>
    <w:rsid w:val="007F5CC3"/>
    <w:rsid w:val="00843149"/>
    <w:rsid w:val="0088709E"/>
    <w:rsid w:val="00890802"/>
    <w:rsid w:val="00891E39"/>
    <w:rsid w:val="0089363A"/>
    <w:rsid w:val="00896C50"/>
    <w:rsid w:val="008A1CF9"/>
    <w:rsid w:val="008A42CD"/>
    <w:rsid w:val="008B0351"/>
    <w:rsid w:val="008B4181"/>
    <w:rsid w:val="008D27F3"/>
    <w:rsid w:val="008E58CD"/>
    <w:rsid w:val="008F0C90"/>
    <w:rsid w:val="008F18E2"/>
    <w:rsid w:val="008F5463"/>
    <w:rsid w:val="009033CA"/>
    <w:rsid w:val="0090540A"/>
    <w:rsid w:val="00907DCF"/>
    <w:rsid w:val="009106CF"/>
    <w:rsid w:val="00923230"/>
    <w:rsid w:val="0093530C"/>
    <w:rsid w:val="009430BD"/>
    <w:rsid w:val="00944011"/>
    <w:rsid w:val="0096221B"/>
    <w:rsid w:val="0096367E"/>
    <w:rsid w:val="009A199B"/>
    <w:rsid w:val="009D1C3C"/>
    <w:rsid w:val="00A22B0F"/>
    <w:rsid w:val="00A235A6"/>
    <w:rsid w:val="00A47A41"/>
    <w:rsid w:val="00A64ADF"/>
    <w:rsid w:val="00A86B0A"/>
    <w:rsid w:val="00A92999"/>
    <w:rsid w:val="00AB0C0C"/>
    <w:rsid w:val="00AD6B4D"/>
    <w:rsid w:val="00AE0224"/>
    <w:rsid w:val="00AE2539"/>
    <w:rsid w:val="00AF3A1F"/>
    <w:rsid w:val="00AF6C3D"/>
    <w:rsid w:val="00B27688"/>
    <w:rsid w:val="00B700DF"/>
    <w:rsid w:val="00B71930"/>
    <w:rsid w:val="00B92F45"/>
    <w:rsid w:val="00B941E4"/>
    <w:rsid w:val="00BC5313"/>
    <w:rsid w:val="00BC6F09"/>
    <w:rsid w:val="00BC74CC"/>
    <w:rsid w:val="00BE109A"/>
    <w:rsid w:val="00BF3C77"/>
    <w:rsid w:val="00C21E67"/>
    <w:rsid w:val="00C22136"/>
    <w:rsid w:val="00C444FE"/>
    <w:rsid w:val="00C70616"/>
    <w:rsid w:val="00CC5651"/>
    <w:rsid w:val="00CC619F"/>
    <w:rsid w:val="00CE05C3"/>
    <w:rsid w:val="00D045A1"/>
    <w:rsid w:val="00D11CCF"/>
    <w:rsid w:val="00D161D8"/>
    <w:rsid w:val="00D33CE9"/>
    <w:rsid w:val="00D42F2B"/>
    <w:rsid w:val="00D44763"/>
    <w:rsid w:val="00D8236D"/>
    <w:rsid w:val="00D97BAB"/>
    <w:rsid w:val="00DA7561"/>
    <w:rsid w:val="00DD00B4"/>
    <w:rsid w:val="00DD4215"/>
    <w:rsid w:val="00DE2030"/>
    <w:rsid w:val="00E07CA6"/>
    <w:rsid w:val="00E24C1E"/>
    <w:rsid w:val="00E36BB6"/>
    <w:rsid w:val="00E434E7"/>
    <w:rsid w:val="00E87CCB"/>
    <w:rsid w:val="00EA27C8"/>
    <w:rsid w:val="00EA3E59"/>
    <w:rsid w:val="00EA3F8D"/>
    <w:rsid w:val="00EC38FC"/>
    <w:rsid w:val="00ED5877"/>
    <w:rsid w:val="00F0575B"/>
    <w:rsid w:val="00F0648E"/>
    <w:rsid w:val="00F3183F"/>
    <w:rsid w:val="00F43CD2"/>
    <w:rsid w:val="00F46E71"/>
    <w:rsid w:val="00F5696F"/>
    <w:rsid w:val="00F77162"/>
    <w:rsid w:val="00F84347"/>
    <w:rsid w:val="00FB69AE"/>
    <w:rsid w:val="00FD24E2"/>
    <w:rsid w:val="00FD4DBD"/>
    <w:rsid w:val="00FE20DE"/>
    <w:rsid w:val="00FE5F8A"/>
    <w:rsid w:val="00FF5B8E"/>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11375391">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2BD6-0CA4-4E45-B183-9C2E825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3528</Words>
  <Characters>19406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8</cp:revision>
  <cp:lastPrinted>2019-05-03T15:48:00Z</cp:lastPrinted>
  <dcterms:created xsi:type="dcterms:W3CDTF">2019-05-03T13:36:00Z</dcterms:created>
  <dcterms:modified xsi:type="dcterms:W3CDTF">2019-06-12T17:03:00Z</dcterms:modified>
</cp:coreProperties>
</file>