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89D5" w14:textId="77777777" w:rsidR="0012458F" w:rsidRPr="0012458F" w:rsidRDefault="0012458F" w:rsidP="001245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2458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C9A99D" w14:textId="77777777" w:rsidR="0012458F" w:rsidRPr="0012458F" w:rsidRDefault="0012458F" w:rsidP="0012458F">
      <w:pPr>
        <w:jc w:val="both"/>
        <w:rPr>
          <w:rFonts w:ascii="Arial" w:hAnsi="Arial" w:cs="Arial"/>
          <w:sz w:val="20"/>
          <w:szCs w:val="20"/>
          <w:lang w:val="es-419"/>
        </w:rPr>
      </w:pPr>
    </w:p>
    <w:p w14:paraId="6F7CC1FA" w14:textId="3F4462AB" w:rsidR="0012458F" w:rsidRPr="0012458F" w:rsidRDefault="0012458F" w:rsidP="0012458F">
      <w:pPr>
        <w:jc w:val="both"/>
        <w:rPr>
          <w:rFonts w:ascii="Arial" w:hAnsi="Arial" w:cs="Arial"/>
          <w:b/>
          <w:bCs/>
          <w:iCs/>
          <w:sz w:val="20"/>
          <w:szCs w:val="20"/>
          <w:lang w:val="es-419" w:eastAsia="fr-FR"/>
        </w:rPr>
      </w:pPr>
      <w:r w:rsidRPr="0012458F">
        <w:rPr>
          <w:rFonts w:ascii="Arial" w:hAnsi="Arial" w:cs="Arial"/>
          <w:b/>
          <w:bCs/>
          <w:iCs/>
          <w:sz w:val="20"/>
          <w:szCs w:val="20"/>
          <w:u w:val="single"/>
          <w:lang w:val="es-419" w:eastAsia="fr-FR"/>
        </w:rPr>
        <w:t>TEMAS:</w:t>
      </w:r>
      <w:r w:rsidRPr="0012458F">
        <w:rPr>
          <w:rFonts w:ascii="Arial" w:hAnsi="Arial" w:cs="Arial"/>
          <w:b/>
          <w:bCs/>
          <w:iCs/>
          <w:sz w:val="20"/>
          <w:szCs w:val="20"/>
          <w:lang w:val="es-419" w:eastAsia="fr-FR"/>
        </w:rPr>
        <w:tab/>
      </w:r>
      <w:r w:rsidR="00300655">
        <w:rPr>
          <w:rFonts w:ascii="Arial" w:hAnsi="Arial" w:cs="Arial"/>
          <w:b/>
          <w:bCs/>
          <w:iCs/>
          <w:sz w:val="20"/>
          <w:szCs w:val="20"/>
          <w:lang w:val="es-419" w:eastAsia="fr-FR"/>
        </w:rPr>
        <w:t>INADMISIÓN APELACIÓN / EXTEMPORANEIDAD / RENUNCIA DEL PODER NO INTERRUMPE NI SUSPENDE EL PROCESO / TAMPOCO TERMINA EL MANDATO IPSO FACTO / RECURSO DE SÚPLICA.</w:t>
      </w:r>
    </w:p>
    <w:p w14:paraId="202A7AC6" w14:textId="77777777" w:rsidR="0012458F" w:rsidRPr="0012458F" w:rsidRDefault="0012458F" w:rsidP="0012458F">
      <w:pPr>
        <w:jc w:val="both"/>
        <w:rPr>
          <w:rFonts w:ascii="Arial" w:hAnsi="Arial" w:cs="Arial"/>
          <w:sz w:val="20"/>
          <w:szCs w:val="20"/>
          <w:lang w:val="es-419"/>
        </w:rPr>
      </w:pPr>
      <w:bookmarkStart w:id="0" w:name="_GoBack"/>
      <w:bookmarkEnd w:id="0"/>
    </w:p>
    <w:p w14:paraId="4565D23B" w14:textId="79EFBA27" w:rsidR="00B56AA9" w:rsidRPr="00B56AA9" w:rsidRDefault="00B56AA9" w:rsidP="00B56AA9">
      <w:pPr>
        <w:jc w:val="both"/>
        <w:rPr>
          <w:rFonts w:ascii="Arial" w:hAnsi="Arial" w:cs="Arial"/>
          <w:sz w:val="20"/>
          <w:szCs w:val="20"/>
          <w:lang w:val="es-419"/>
        </w:rPr>
      </w:pPr>
      <w:r>
        <w:rPr>
          <w:rFonts w:ascii="Arial" w:hAnsi="Arial" w:cs="Arial"/>
          <w:sz w:val="20"/>
          <w:szCs w:val="20"/>
          <w:lang w:val="es-419"/>
        </w:rPr>
        <w:t xml:space="preserve">… </w:t>
      </w:r>
      <w:r w:rsidRPr="00B56AA9">
        <w:rPr>
          <w:rFonts w:ascii="Arial" w:hAnsi="Arial" w:cs="Arial"/>
          <w:sz w:val="20"/>
          <w:szCs w:val="20"/>
          <w:lang w:val="es-419"/>
        </w:rPr>
        <w:t>la sentencia se dictó de manera escrita, el 22 de abril del presente año; se notificó por estado el día siguiente y su ejecutoria corrió durante los días 24, 25 y 26 que siguieron.  Sin embargo, el recurso de apelación se formuló el 24 de mayo, cuando ya había vencido la oportunidad para hacerlo.</w:t>
      </w:r>
    </w:p>
    <w:p w14:paraId="6E3EF9FF" w14:textId="77777777" w:rsidR="00B56AA9" w:rsidRPr="00B56AA9" w:rsidRDefault="00B56AA9" w:rsidP="00B56AA9">
      <w:pPr>
        <w:jc w:val="both"/>
        <w:rPr>
          <w:rFonts w:ascii="Arial" w:hAnsi="Arial" w:cs="Arial"/>
          <w:sz w:val="20"/>
          <w:szCs w:val="20"/>
          <w:lang w:val="es-419"/>
        </w:rPr>
      </w:pPr>
    </w:p>
    <w:p w14:paraId="0109A04E" w14:textId="77777777" w:rsidR="00B56AA9" w:rsidRPr="00B56AA9" w:rsidRDefault="00B56AA9" w:rsidP="00B56AA9">
      <w:pPr>
        <w:jc w:val="both"/>
        <w:rPr>
          <w:rFonts w:ascii="Arial" w:hAnsi="Arial" w:cs="Arial"/>
          <w:sz w:val="20"/>
          <w:szCs w:val="20"/>
          <w:lang w:val="es-419"/>
        </w:rPr>
      </w:pPr>
      <w:r w:rsidRPr="00B56AA9">
        <w:rPr>
          <w:rFonts w:ascii="Arial" w:hAnsi="Arial" w:cs="Arial"/>
          <w:sz w:val="20"/>
          <w:szCs w:val="20"/>
          <w:lang w:val="es-419"/>
        </w:rPr>
        <w:t>Y el proceso no se interrumpió ni se suspendió por la renuncia que del poder hizo el abogado que venía representando a la demandante, pues ese hecho no estaba enlistado como causales que lo justificaran de acuerdo con los artículos 168 y 170 del código vigente para cuando se presentó la renuncia, ni en los 159 y 161 del Código General del Proceso que regulan la materia en la actualidad.</w:t>
      </w:r>
    </w:p>
    <w:p w14:paraId="69577CC4" w14:textId="77777777" w:rsidR="00B56AA9" w:rsidRPr="00B56AA9" w:rsidRDefault="00B56AA9" w:rsidP="00B56AA9">
      <w:pPr>
        <w:jc w:val="both"/>
        <w:rPr>
          <w:rFonts w:ascii="Arial" w:hAnsi="Arial" w:cs="Arial"/>
          <w:sz w:val="20"/>
          <w:szCs w:val="20"/>
          <w:lang w:val="es-419"/>
        </w:rPr>
      </w:pPr>
    </w:p>
    <w:p w14:paraId="18B4C796" w14:textId="4954BFB7" w:rsidR="0012458F" w:rsidRPr="0012458F" w:rsidRDefault="00B56AA9" w:rsidP="00B56AA9">
      <w:pPr>
        <w:jc w:val="both"/>
        <w:rPr>
          <w:rFonts w:ascii="Arial" w:hAnsi="Arial" w:cs="Arial"/>
          <w:sz w:val="20"/>
          <w:szCs w:val="20"/>
          <w:lang w:val="es-419"/>
        </w:rPr>
      </w:pPr>
      <w:r w:rsidRPr="00B56AA9">
        <w:rPr>
          <w:rFonts w:ascii="Arial" w:hAnsi="Arial" w:cs="Arial"/>
          <w:sz w:val="20"/>
          <w:szCs w:val="20"/>
          <w:lang w:val="es-419"/>
        </w:rPr>
        <w:t>Tampoco se quedó sin representación la actora, de acuerdo con el inciso 4º del artículo 69 del Código de Procedimiento Civil, según el cual: “La renuncia no pone término al poder ni a la sustitución, sino cinco días después de notificarse por estado el auto que la admita, y se haga saber al poderdante o sustituidor por telegrama dirigido a la dirección denunciada para recibir notificaciones personales</w:t>
      </w:r>
      <w:r>
        <w:rPr>
          <w:rFonts w:ascii="Arial" w:hAnsi="Arial" w:cs="Arial"/>
          <w:sz w:val="20"/>
          <w:szCs w:val="20"/>
          <w:lang w:val="es-419"/>
        </w:rPr>
        <w:t>…</w:t>
      </w:r>
      <w:r w:rsidR="00300655">
        <w:rPr>
          <w:rFonts w:ascii="Arial" w:hAnsi="Arial" w:cs="Arial"/>
          <w:sz w:val="20"/>
          <w:szCs w:val="20"/>
          <w:lang w:val="es-419"/>
        </w:rPr>
        <w:t xml:space="preserve"> </w:t>
      </w:r>
      <w:r w:rsidR="00300655" w:rsidRPr="00300655">
        <w:rPr>
          <w:rFonts w:ascii="Arial" w:hAnsi="Arial" w:cs="Arial"/>
          <w:sz w:val="20"/>
          <w:szCs w:val="20"/>
          <w:lang w:val="es-419"/>
        </w:rPr>
        <w:t>y de conformidad  con el inciso 4º del artículo 76 del Código General del Proceso, que enseña: “La renuncia no pone término al poder sino cinco (5) días después de presentado el memorial de renuncia en el juzgado, acompañado de la comunicación enviada al poderdante en tal sentido.”</w:t>
      </w:r>
    </w:p>
    <w:p w14:paraId="6A598E2C" w14:textId="77777777" w:rsidR="0012458F" w:rsidRPr="0012458F" w:rsidRDefault="0012458F" w:rsidP="0012458F">
      <w:pPr>
        <w:jc w:val="both"/>
        <w:rPr>
          <w:rFonts w:ascii="Arial" w:hAnsi="Arial" w:cs="Arial"/>
          <w:sz w:val="20"/>
          <w:szCs w:val="20"/>
          <w:lang w:val="es-419"/>
        </w:rPr>
      </w:pPr>
    </w:p>
    <w:p w14:paraId="08B00F2C" w14:textId="77777777" w:rsidR="0012458F" w:rsidRPr="0012458F" w:rsidRDefault="0012458F" w:rsidP="0012458F">
      <w:pPr>
        <w:jc w:val="both"/>
        <w:rPr>
          <w:rFonts w:ascii="Arial" w:hAnsi="Arial" w:cs="Arial"/>
          <w:sz w:val="20"/>
          <w:szCs w:val="20"/>
          <w:lang w:val="es-419"/>
        </w:rPr>
      </w:pPr>
    </w:p>
    <w:p w14:paraId="6542AEA6" w14:textId="77777777" w:rsidR="0012458F" w:rsidRPr="0012458F" w:rsidRDefault="0012458F" w:rsidP="0012458F">
      <w:pPr>
        <w:jc w:val="both"/>
        <w:rPr>
          <w:rFonts w:ascii="Arial" w:hAnsi="Arial" w:cs="Arial"/>
          <w:sz w:val="20"/>
          <w:szCs w:val="20"/>
        </w:rPr>
      </w:pPr>
    </w:p>
    <w:p w14:paraId="0B006E5D" w14:textId="77777777" w:rsidR="0012458F" w:rsidRDefault="00251537" w:rsidP="0012458F">
      <w:pPr>
        <w:pStyle w:val="Ttulo"/>
        <w:spacing w:line="276" w:lineRule="auto"/>
        <w:rPr>
          <w:rFonts w:ascii="Tahoma" w:hAnsi="Tahoma" w:cs="Tahoma"/>
          <w:i w:val="0"/>
        </w:rPr>
      </w:pPr>
      <w:r w:rsidRPr="0012458F">
        <w:rPr>
          <w:rFonts w:ascii="Tahoma" w:hAnsi="Tahoma" w:cs="Tahoma"/>
          <w:i w:val="0"/>
        </w:rPr>
        <w:t>TRIBUNAL SUPERIOR DEL DISTRITO JUDICIAL</w:t>
      </w:r>
    </w:p>
    <w:p w14:paraId="3A50AEC5" w14:textId="2A969298" w:rsidR="00251537" w:rsidRPr="0012458F" w:rsidRDefault="00251537" w:rsidP="0012458F">
      <w:pPr>
        <w:pStyle w:val="Ttulo"/>
        <w:spacing w:line="276" w:lineRule="auto"/>
        <w:rPr>
          <w:rFonts w:ascii="Tahoma" w:hAnsi="Tahoma" w:cs="Tahoma"/>
          <w:i w:val="0"/>
        </w:rPr>
      </w:pPr>
      <w:r w:rsidRPr="0012458F">
        <w:rPr>
          <w:rFonts w:ascii="Tahoma" w:hAnsi="Tahoma" w:cs="Tahoma"/>
          <w:i w:val="0"/>
        </w:rPr>
        <w:t>SALA DUAL DE DECISIÓN CIVIL FAMILIA</w:t>
      </w:r>
    </w:p>
    <w:p w14:paraId="444D91A9" w14:textId="77777777" w:rsidR="00251537" w:rsidRPr="0012458F" w:rsidRDefault="00251537" w:rsidP="0012458F">
      <w:pPr>
        <w:spacing w:line="276" w:lineRule="auto"/>
        <w:jc w:val="center"/>
        <w:rPr>
          <w:rFonts w:ascii="Tahoma" w:hAnsi="Tahoma" w:cs="Tahoma"/>
        </w:rPr>
      </w:pPr>
    </w:p>
    <w:p w14:paraId="7C544382" w14:textId="77777777" w:rsidR="00F75477" w:rsidRPr="0012458F" w:rsidRDefault="00F75477" w:rsidP="0012458F">
      <w:pPr>
        <w:spacing w:line="276" w:lineRule="auto"/>
        <w:jc w:val="center"/>
        <w:rPr>
          <w:rFonts w:ascii="Tahoma" w:hAnsi="Tahoma" w:cs="Tahoma"/>
        </w:rPr>
      </w:pPr>
    </w:p>
    <w:p w14:paraId="34E3F4FF" w14:textId="77777777" w:rsidR="00251537" w:rsidRPr="0012458F" w:rsidRDefault="00251537" w:rsidP="0012458F">
      <w:pPr>
        <w:spacing w:line="276" w:lineRule="auto"/>
        <w:ind w:firstLine="576"/>
        <w:jc w:val="both"/>
        <w:rPr>
          <w:rFonts w:ascii="Tahoma" w:hAnsi="Tahoma" w:cs="Tahoma"/>
        </w:rPr>
      </w:pPr>
      <w:r w:rsidRPr="0012458F">
        <w:rPr>
          <w:rFonts w:ascii="Tahoma" w:hAnsi="Tahoma" w:cs="Tahoma"/>
        </w:rPr>
        <w:t>Magistrada Ponente: Claudia María Arcila Ríos</w:t>
      </w:r>
    </w:p>
    <w:p w14:paraId="283ABC92" w14:textId="5657AD9F" w:rsidR="00251537" w:rsidRPr="0012458F" w:rsidRDefault="00251537" w:rsidP="0012458F">
      <w:pPr>
        <w:spacing w:line="276" w:lineRule="auto"/>
        <w:ind w:firstLine="576"/>
        <w:rPr>
          <w:rFonts w:ascii="Tahoma" w:hAnsi="Tahoma" w:cs="Tahoma"/>
          <w:lang w:val="es-ES_tradnl"/>
        </w:rPr>
      </w:pPr>
      <w:r w:rsidRPr="0012458F">
        <w:rPr>
          <w:rFonts w:ascii="Tahoma" w:hAnsi="Tahoma" w:cs="Tahoma"/>
          <w:lang w:val="es-ES_tradnl"/>
        </w:rPr>
        <w:t xml:space="preserve">Pereira, </w:t>
      </w:r>
      <w:r w:rsidR="00A82B44" w:rsidRPr="0012458F">
        <w:rPr>
          <w:rFonts w:ascii="Tahoma" w:hAnsi="Tahoma" w:cs="Tahoma"/>
          <w:lang w:val="es-ES_tradnl"/>
        </w:rPr>
        <w:t xml:space="preserve">noviembre </w:t>
      </w:r>
      <w:r w:rsidR="00574A38" w:rsidRPr="0012458F">
        <w:rPr>
          <w:rFonts w:ascii="Tahoma" w:hAnsi="Tahoma" w:cs="Tahoma"/>
          <w:lang w:val="es-ES_tradnl"/>
        </w:rPr>
        <w:t>dieciocho</w:t>
      </w:r>
      <w:r w:rsidR="00A82B44" w:rsidRPr="0012458F">
        <w:rPr>
          <w:rFonts w:ascii="Tahoma" w:hAnsi="Tahoma" w:cs="Tahoma"/>
          <w:lang w:val="es-ES_tradnl"/>
        </w:rPr>
        <w:t xml:space="preserve"> (</w:t>
      </w:r>
      <w:r w:rsidR="00574A38" w:rsidRPr="0012458F">
        <w:rPr>
          <w:rFonts w:ascii="Tahoma" w:hAnsi="Tahoma" w:cs="Tahoma"/>
          <w:lang w:val="es-ES_tradnl"/>
        </w:rPr>
        <w:t>18)</w:t>
      </w:r>
      <w:r w:rsidR="00F4324D" w:rsidRPr="0012458F">
        <w:rPr>
          <w:rFonts w:ascii="Tahoma" w:hAnsi="Tahoma" w:cs="Tahoma"/>
          <w:lang w:val="es-ES_tradnl"/>
        </w:rPr>
        <w:t xml:space="preserve"> de dos mil diecinueve (2019</w:t>
      </w:r>
      <w:r w:rsidRPr="0012458F">
        <w:rPr>
          <w:rFonts w:ascii="Tahoma" w:hAnsi="Tahoma" w:cs="Tahoma"/>
          <w:lang w:val="es-ES_tradnl"/>
        </w:rPr>
        <w:t xml:space="preserve">) </w:t>
      </w:r>
    </w:p>
    <w:p w14:paraId="7060F006" w14:textId="2934E600" w:rsidR="00251537" w:rsidRPr="0012458F" w:rsidRDefault="00251537" w:rsidP="0012458F">
      <w:pPr>
        <w:spacing w:line="276" w:lineRule="auto"/>
        <w:ind w:firstLine="576"/>
        <w:rPr>
          <w:rFonts w:ascii="Tahoma" w:hAnsi="Tahoma" w:cs="Tahoma"/>
          <w:lang w:val="es-ES_tradnl"/>
        </w:rPr>
      </w:pPr>
      <w:r w:rsidRPr="0012458F">
        <w:rPr>
          <w:rFonts w:ascii="Tahoma" w:hAnsi="Tahoma" w:cs="Tahoma"/>
          <w:lang w:val="es-ES_tradnl"/>
        </w:rPr>
        <w:t xml:space="preserve">Acta </w:t>
      </w:r>
      <w:r w:rsidR="00DD0B3A" w:rsidRPr="0012458F">
        <w:rPr>
          <w:rFonts w:ascii="Tahoma" w:hAnsi="Tahoma" w:cs="Tahoma"/>
          <w:lang w:val="es-ES_tradnl"/>
        </w:rPr>
        <w:t xml:space="preserve">No. </w:t>
      </w:r>
      <w:r w:rsidR="00574A38" w:rsidRPr="0012458F">
        <w:rPr>
          <w:rFonts w:ascii="Tahoma" w:hAnsi="Tahoma" w:cs="Tahoma"/>
          <w:lang w:val="es-ES_tradnl"/>
        </w:rPr>
        <w:t>576 de noviembre 18 de 2019</w:t>
      </w:r>
    </w:p>
    <w:p w14:paraId="51E4FEDB" w14:textId="48796482" w:rsidR="00251537" w:rsidRPr="0012458F" w:rsidRDefault="00251537" w:rsidP="0012458F">
      <w:pPr>
        <w:spacing w:line="276" w:lineRule="auto"/>
        <w:ind w:firstLine="576"/>
        <w:jc w:val="both"/>
        <w:rPr>
          <w:rFonts w:ascii="Tahoma" w:hAnsi="Tahoma" w:cs="Tahoma"/>
        </w:rPr>
      </w:pPr>
      <w:r w:rsidRPr="0012458F">
        <w:rPr>
          <w:rFonts w:ascii="Tahoma" w:hAnsi="Tahoma" w:cs="Tahoma"/>
        </w:rPr>
        <w:t xml:space="preserve">Expediente </w:t>
      </w:r>
      <w:r w:rsidR="004F6983" w:rsidRPr="0012458F">
        <w:rPr>
          <w:rFonts w:ascii="Tahoma" w:hAnsi="Tahoma" w:cs="Tahoma"/>
        </w:rPr>
        <w:t>66-001-31-03-002-201</w:t>
      </w:r>
      <w:r w:rsidR="00A82B44" w:rsidRPr="0012458F">
        <w:rPr>
          <w:rFonts w:ascii="Tahoma" w:hAnsi="Tahoma" w:cs="Tahoma"/>
        </w:rPr>
        <w:t>2</w:t>
      </w:r>
      <w:r w:rsidR="004F6983" w:rsidRPr="0012458F">
        <w:rPr>
          <w:rFonts w:ascii="Tahoma" w:hAnsi="Tahoma" w:cs="Tahoma"/>
        </w:rPr>
        <w:t>-00</w:t>
      </w:r>
      <w:r w:rsidR="00A82B44" w:rsidRPr="0012458F">
        <w:rPr>
          <w:rFonts w:ascii="Tahoma" w:hAnsi="Tahoma" w:cs="Tahoma"/>
        </w:rPr>
        <w:t>046</w:t>
      </w:r>
      <w:r w:rsidR="004F6983" w:rsidRPr="0012458F">
        <w:rPr>
          <w:rFonts w:ascii="Tahoma" w:hAnsi="Tahoma" w:cs="Tahoma"/>
        </w:rPr>
        <w:t>-01</w:t>
      </w:r>
    </w:p>
    <w:p w14:paraId="5911E7F5" w14:textId="77777777" w:rsidR="00251537" w:rsidRPr="0012458F" w:rsidRDefault="00251537" w:rsidP="0012458F">
      <w:pPr>
        <w:spacing w:line="276" w:lineRule="auto"/>
        <w:jc w:val="both"/>
        <w:rPr>
          <w:rFonts w:ascii="Tahoma" w:hAnsi="Tahoma" w:cs="Tahoma"/>
        </w:rPr>
      </w:pPr>
    </w:p>
    <w:p w14:paraId="47AEC7A4" w14:textId="77777777" w:rsidR="00F75477" w:rsidRPr="0012458F" w:rsidRDefault="00F75477" w:rsidP="0012458F">
      <w:pPr>
        <w:spacing w:line="276" w:lineRule="auto"/>
        <w:jc w:val="both"/>
        <w:rPr>
          <w:rFonts w:ascii="Tahoma" w:hAnsi="Tahoma" w:cs="Tahoma"/>
        </w:rPr>
      </w:pPr>
    </w:p>
    <w:p w14:paraId="047E0176" w14:textId="67721EFD" w:rsidR="00126022" w:rsidRPr="0012458F" w:rsidRDefault="001053E0" w:rsidP="0012458F">
      <w:pPr>
        <w:spacing w:line="276" w:lineRule="auto"/>
        <w:jc w:val="both"/>
        <w:rPr>
          <w:rFonts w:ascii="Tahoma" w:hAnsi="Tahoma" w:cs="Tahoma"/>
        </w:rPr>
      </w:pPr>
      <w:r w:rsidRPr="0012458F">
        <w:rPr>
          <w:rFonts w:ascii="Tahoma" w:hAnsi="Tahoma" w:cs="Tahoma"/>
        </w:rPr>
        <w:t>Procede esta Sala Dual</w:t>
      </w:r>
      <w:r w:rsidRPr="0012458F">
        <w:rPr>
          <w:rStyle w:val="Refdenotaalpie"/>
          <w:rFonts w:ascii="Tahoma" w:hAnsi="Tahoma" w:cs="Tahoma"/>
        </w:rPr>
        <w:footnoteReference w:id="1"/>
      </w:r>
      <w:r w:rsidRPr="0012458F">
        <w:rPr>
          <w:rFonts w:ascii="Tahoma" w:hAnsi="Tahoma" w:cs="Tahoma"/>
        </w:rPr>
        <w:t xml:space="preserve"> </w:t>
      </w:r>
      <w:r w:rsidR="00251537" w:rsidRPr="0012458F">
        <w:rPr>
          <w:rFonts w:ascii="Tahoma" w:hAnsi="Tahoma" w:cs="Tahoma"/>
        </w:rPr>
        <w:t xml:space="preserve">a decidir el recurso de súplica </w:t>
      </w:r>
      <w:r w:rsidR="00A87463" w:rsidRPr="0012458F">
        <w:rPr>
          <w:rFonts w:ascii="Tahoma" w:hAnsi="Tahoma" w:cs="Tahoma"/>
        </w:rPr>
        <w:t>que formul</w:t>
      </w:r>
      <w:r w:rsidR="002F4271" w:rsidRPr="0012458F">
        <w:rPr>
          <w:rFonts w:ascii="Tahoma" w:hAnsi="Tahoma" w:cs="Tahoma"/>
        </w:rPr>
        <w:t>ó</w:t>
      </w:r>
      <w:r w:rsidR="00251537" w:rsidRPr="0012458F">
        <w:rPr>
          <w:rFonts w:ascii="Tahoma" w:hAnsi="Tahoma" w:cs="Tahoma"/>
        </w:rPr>
        <w:t xml:space="preserve"> el apoderado judicial de la </w:t>
      </w:r>
      <w:r w:rsidR="001A4CB6" w:rsidRPr="0012458F">
        <w:rPr>
          <w:rFonts w:ascii="Tahoma" w:hAnsi="Tahoma" w:cs="Tahoma"/>
        </w:rPr>
        <w:t>demanda</w:t>
      </w:r>
      <w:r w:rsidR="00A82B44" w:rsidRPr="0012458F">
        <w:rPr>
          <w:rFonts w:ascii="Tahoma" w:hAnsi="Tahoma" w:cs="Tahoma"/>
        </w:rPr>
        <w:t>nte,</w:t>
      </w:r>
      <w:r w:rsidR="00251537" w:rsidRPr="0012458F">
        <w:rPr>
          <w:rFonts w:ascii="Tahoma" w:hAnsi="Tahoma" w:cs="Tahoma"/>
        </w:rPr>
        <w:t xml:space="preserve"> </w:t>
      </w:r>
      <w:r w:rsidR="008D132A" w:rsidRPr="0012458F">
        <w:rPr>
          <w:rFonts w:ascii="Tahoma" w:hAnsi="Tahoma" w:cs="Tahoma"/>
        </w:rPr>
        <w:t xml:space="preserve">señora </w:t>
      </w:r>
      <w:r w:rsidR="00A82B44" w:rsidRPr="0012458F">
        <w:rPr>
          <w:rFonts w:ascii="Tahoma" w:hAnsi="Tahoma" w:cs="Tahoma"/>
        </w:rPr>
        <w:t>María Elena Cuestas Sepúlveda</w:t>
      </w:r>
      <w:r w:rsidR="008D132A" w:rsidRPr="0012458F">
        <w:rPr>
          <w:rFonts w:ascii="Tahoma" w:hAnsi="Tahoma" w:cs="Tahoma"/>
        </w:rPr>
        <w:t xml:space="preserve">, </w:t>
      </w:r>
      <w:r w:rsidR="00F54305" w:rsidRPr="0012458F">
        <w:rPr>
          <w:rFonts w:ascii="Tahoma" w:hAnsi="Tahoma" w:cs="Tahoma"/>
        </w:rPr>
        <w:t xml:space="preserve">frente a la providencia del 17 de octubre del presente año, mediante la cual el magistrado Jaime Alberto Saraza Naranjo inadmitió el recurso de apelación que aquella interpuso contra la sentencia proferida por el Juzgado Segundo Civil del Circuito de Pereira, el 22 de abril del mismo año, en el proceso que la recurrente instauró contra </w:t>
      </w:r>
      <w:r w:rsidR="00A82B44" w:rsidRPr="0012458F">
        <w:rPr>
          <w:rFonts w:ascii="Tahoma" w:hAnsi="Tahoma" w:cs="Tahoma"/>
        </w:rPr>
        <w:t>Leasing Bol</w:t>
      </w:r>
      <w:r w:rsidR="00285AA6" w:rsidRPr="0012458F">
        <w:rPr>
          <w:rFonts w:ascii="Tahoma" w:hAnsi="Tahoma" w:cs="Tahoma"/>
        </w:rPr>
        <w:t>í</w:t>
      </w:r>
      <w:r w:rsidR="00A82B44" w:rsidRPr="0012458F">
        <w:rPr>
          <w:rFonts w:ascii="Tahoma" w:hAnsi="Tahoma" w:cs="Tahoma"/>
        </w:rPr>
        <w:t>var S</w:t>
      </w:r>
      <w:r w:rsidR="00F54305" w:rsidRPr="0012458F">
        <w:rPr>
          <w:rFonts w:ascii="Tahoma" w:hAnsi="Tahoma" w:cs="Tahoma"/>
        </w:rPr>
        <w:t>.</w:t>
      </w:r>
      <w:r w:rsidR="00A82B44" w:rsidRPr="0012458F">
        <w:rPr>
          <w:rFonts w:ascii="Tahoma" w:hAnsi="Tahoma" w:cs="Tahoma"/>
        </w:rPr>
        <w:t>A</w:t>
      </w:r>
      <w:r w:rsidR="00F54305" w:rsidRPr="0012458F">
        <w:rPr>
          <w:rFonts w:ascii="Tahoma" w:hAnsi="Tahoma" w:cs="Tahoma"/>
        </w:rPr>
        <w:t>.</w:t>
      </w:r>
      <w:r w:rsidR="008D132A" w:rsidRPr="0012458F">
        <w:rPr>
          <w:rFonts w:ascii="Tahoma" w:hAnsi="Tahoma" w:cs="Tahoma"/>
        </w:rPr>
        <w:t xml:space="preserve"> </w:t>
      </w:r>
    </w:p>
    <w:p w14:paraId="53EC7FB3" w14:textId="77777777" w:rsidR="0027163D" w:rsidRPr="0012458F" w:rsidRDefault="0027163D" w:rsidP="0012458F">
      <w:pPr>
        <w:spacing w:line="276" w:lineRule="auto"/>
        <w:jc w:val="both"/>
        <w:rPr>
          <w:rFonts w:ascii="Tahoma" w:hAnsi="Tahoma" w:cs="Tahoma"/>
          <w:b/>
        </w:rPr>
      </w:pPr>
    </w:p>
    <w:p w14:paraId="3CB06C7A" w14:textId="77777777" w:rsidR="00A034EB" w:rsidRPr="0012458F" w:rsidRDefault="00251537" w:rsidP="0012458F">
      <w:pPr>
        <w:spacing w:line="276" w:lineRule="auto"/>
        <w:jc w:val="both"/>
        <w:rPr>
          <w:rFonts w:ascii="Tahoma" w:hAnsi="Tahoma" w:cs="Tahoma"/>
          <w:b/>
        </w:rPr>
      </w:pPr>
      <w:r w:rsidRPr="0012458F">
        <w:rPr>
          <w:rFonts w:ascii="Tahoma" w:hAnsi="Tahoma" w:cs="Tahoma"/>
          <w:b/>
        </w:rPr>
        <w:t>A N T E C E D E N T E S</w:t>
      </w:r>
    </w:p>
    <w:p w14:paraId="23BB6886" w14:textId="77777777" w:rsidR="00A82B44" w:rsidRPr="0012458F" w:rsidRDefault="00A82B44" w:rsidP="0012458F">
      <w:pPr>
        <w:spacing w:line="276" w:lineRule="auto"/>
        <w:jc w:val="both"/>
        <w:rPr>
          <w:rFonts w:ascii="Tahoma" w:hAnsi="Tahoma" w:cs="Tahoma"/>
          <w:b/>
          <w:color w:val="000000" w:themeColor="text1"/>
        </w:rPr>
      </w:pPr>
    </w:p>
    <w:p w14:paraId="671D806F" w14:textId="7A55C5A5" w:rsidR="00136C84" w:rsidRPr="0012458F" w:rsidRDefault="00136C84" w:rsidP="0012458F">
      <w:pPr>
        <w:pStyle w:val="Textoindependiente"/>
        <w:spacing w:line="276" w:lineRule="auto"/>
        <w:rPr>
          <w:rFonts w:cs="Tahoma"/>
          <w:sz w:val="24"/>
          <w:szCs w:val="24"/>
        </w:rPr>
      </w:pPr>
      <w:r w:rsidRPr="0012458F">
        <w:rPr>
          <w:rFonts w:cs="Tahoma"/>
          <w:color w:val="000000" w:themeColor="text1"/>
          <w:sz w:val="24"/>
          <w:szCs w:val="24"/>
        </w:rPr>
        <w:t xml:space="preserve">1. En </w:t>
      </w:r>
      <w:r w:rsidR="004E5A9E" w:rsidRPr="0012458F">
        <w:rPr>
          <w:rFonts w:cs="Tahoma"/>
          <w:color w:val="000000" w:themeColor="text1"/>
          <w:sz w:val="24"/>
          <w:szCs w:val="24"/>
        </w:rPr>
        <w:t xml:space="preserve">la providencia que desató el litigio, el funcionario de primer grado negó las pretensiones de la demanda; condenó </w:t>
      </w:r>
      <w:r w:rsidRPr="0012458F">
        <w:rPr>
          <w:rFonts w:cs="Tahoma"/>
          <w:sz w:val="24"/>
          <w:szCs w:val="24"/>
        </w:rPr>
        <w:t>en costas a la parte vencida</w:t>
      </w:r>
      <w:r w:rsidR="004E5A9E" w:rsidRPr="0012458F">
        <w:rPr>
          <w:rFonts w:cs="Tahoma"/>
          <w:sz w:val="24"/>
          <w:szCs w:val="24"/>
        </w:rPr>
        <w:t xml:space="preserve"> y </w:t>
      </w:r>
      <w:r w:rsidRPr="0012458F">
        <w:rPr>
          <w:rFonts w:cs="Tahoma"/>
          <w:sz w:val="24"/>
          <w:szCs w:val="24"/>
        </w:rPr>
        <w:t>dispuso el archivo de las diligencias</w:t>
      </w:r>
      <w:r w:rsidR="00BA48E6" w:rsidRPr="0012458F">
        <w:rPr>
          <w:rStyle w:val="Refdenotaalpie"/>
          <w:rFonts w:cs="Tahoma"/>
          <w:sz w:val="24"/>
          <w:szCs w:val="24"/>
        </w:rPr>
        <w:footnoteReference w:id="2"/>
      </w:r>
      <w:r w:rsidR="004E5A9E" w:rsidRPr="0012458F">
        <w:rPr>
          <w:rFonts w:cs="Tahoma"/>
          <w:sz w:val="24"/>
          <w:szCs w:val="24"/>
        </w:rPr>
        <w:t>.</w:t>
      </w:r>
    </w:p>
    <w:p w14:paraId="2860FAD3" w14:textId="77777777" w:rsidR="004E5A9E" w:rsidRPr="0012458F" w:rsidRDefault="004E5A9E" w:rsidP="0012458F">
      <w:pPr>
        <w:pStyle w:val="Textoindependiente"/>
        <w:spacing w:line="276" w:lineRule="auto"/>
        <w:rPr>
          <w:rFonts w:cs="Tahoma"/>
          <w:sz w:val="24"/>
          <w:szCs w:val="24"/>
        </w:rPr>
      </w:pPr>
    </w:p>
    <w:p w14:paraId="4CBD465D" w14:textId="77777777" w:rsidR="00F54305" w:rsidRPr="0012458F" w:rsidRDefault="004E5A9E" w:rsidP="0012458F">
      <w:pPr>
        <w:pStyle w:val="Textoindependiente"/>
        <w:spacing w:line="276" w:lineRule="auto"/>
        <w:rPr>
          <w:rFonts w:cs="Tahoma"/>
          <w:sz w:val="24"/>
          <w:szCs w:val="24"/>
        </w:rPr>
      </w:pPr>
      <w:r w:rsidRPr="0012458F">
        <w:rPr>
          <w:rFonts w:cs="Tahoma"/>
          <w:sz w:val="24"/>
          <w:szCs w:val="24"/>
        </w:rPr>
        <w:t xml:space="preserve">2. </w:t>
      </w:r>
      <w:r w:rsidR="00323AD6" w:rsidRPr="0012458F">
        <w:rPr>
          <w:rFonts w:cs="Tahoma"/>
          <w:sz w:val="24"/>
          <w:szCs w:val="24"/>
        </w:rPr>
        <w:t xml:space="preserve">Por auto del </w:t>
      </w:r>
      <w:r w:rsidR="00136C84" w:rsidRPr="0012458F">
        <w:rPr>
          <w:rFonts w:cs="Tahoma"/>
          <w:sz w:val="24"/>
          <w:szCs w:val="24"/>
        </w:rPr>
        <w:t>8 de mayo</w:t>
      </w:r>
      <w:r w:rsidR="00323AD6" w:rsidRPr="0012458F">
        <w:rPr>
          <w:rFonts w:cs="Tahoma"/>
          <w:sz w:val="24"/>
          <w:szCs w:val="24"/>
        </w:rPr>
        <w:t xml:space="preserve"> del presente año</w:t>
      </w:r>
      <w:r w:rsidR="00BA48E6" w:rsidRPr="0012458F">
        <w:rPr>
          <w:rStyle w:val="Refdenotaalpie"/>
          <w:rFonts w:cs="Tahoma"/>
          <w:sz w:val="24"/>
          <w:szCs w:val="24"/>
        </w:rPr>
        <w:footnoteReference w:id="3"/>
      </w:r>
      <w:r w:rsidR="00136C84" w:rsidRPr="0012458F">
        <w:rPr>
          <w:rFonts w:cs="Tahoma"/>
          <w:sz w:val="24"/>
          <w:szCs w:val="24"/>
        </w:rPr>
        <w:t xml:space="preserve">, </w:t>
      </w:r>
      <w:r w:rsidR="00323AD6" w:rsidRPr="0012458F">
        <w:rPr>
          <w:rFonts w:cs="Tahoma"/>
          <w:sz w:val="24"/>
          <w:szCs w:val="24"/>
        </w:rPr>
        <w:t>el juzgado de primera sede</w:t>
      </w:r>
      <w:r w:rsidR="004335B4" w:rsidRPr="0012458F">
        <w:rPr>
          <w:rFonts w:cs="Tahoma"/>
          <w:sz w:val="24"/>
          <w:szCs w:val="24"/>
        </w:rPr>
        <w:t xml:space="preserve"> </w:t>
      </w:r>
      <w:r w:rsidR="00A21A2B" w:rsidRPr="0012458F">
        <w:rPr>
          <w:rFonts w:cs="Tahoma"/>
          <w:sz w:val="24"/>
          <w:szCs w:val="24"/>
        </w:rPr>
        <w:t>orden</w:t>
      </w:r>
      <w:r w:rsidR="00F54305" w:rsidRPr="0012458F">
        <w:rPr>
          <w:rFonts w:cs="Tahoma"/>
          <w:sz w:val="24"/>
          <w:szCs w:val="24"/>
        </w:rPr>
        <w:t xml:space="preserve">ó </w:t>
      </w:r>
      <w:r w:rsidR="004335B4" w:rsidRPr="0012458F">
        <w:rPr>
          <w:rFonts w:cs="Tahoma"/>
          <w:sz w:val="24"/>
          <w:szCs w:val="24"/>
        </w:rPr>
        <w:t xml:space="preserve">comunicar </w:t>
      </w:r>
      <w:r w:rsidR="00A21A2B" w:rsidRPr="0012458F">
        <w:rPr>
          <w:rFonts w:cs="Tahoma"/>
          <w:sz w:val="24"/>
          <w:szCs w:val="24"/>
        </w:rPr>
        <w:t>a la demandante sobre la renuncia de su a</w:t>
      </w:r>
      <w:r w:rsidR="00BA48E6" w:rsidRPr="0012458F">
        <w:rPr>
          <w:rFonts w:cs="Tahoma"/>
          <w:sz w:val="24"/>
          <w:szCs w:val="24"/>
        </w:rPr>
        <w:t>bogado</w:t>
      </w:r>
      <w:r w:rsidR="00F54305" w:rsidRPr="0012458F">
        <w:rPr>
          <w:rFonts w:cs="Tahoma"/>
          <w:sz w:val="24"/>
          <w:szCs w:val="24"/>
        </w:rPr>
        <w:t xml:space="preserve">, requiriéndola </w:t>
      </w:r>
      <w:r w:rsidR="00BA48E6" w:rsidRPr="0012458F">
        <w:rPr>
          <w:rFonts w:cs="Tahoma"/>
          <w:sz w:val="24"/>
          <w:szCs w:val="24"/>
        </w:rPr>
        <w:t xml:space="preserve">para que </w:t>
      </w:r>
      <w:r w:rsidR="00BA48E6" w:rsidRPr="0012458F">
        <w:rPr>
          <w:rFonts w:cs="Tahoma"/>
          <w:sz w:val="24"/>
          <w:szCs w:val="24"/>
        </w:rPr>
        <w:lastRenderedPageBreak/>
        <w:t>dentro de los cinco días siguientes constituya nuevo apoderado judicial, en los términos del inciso 4º del artículo 69 del Código de Procedimiento Civil</w:t>
      </w:r>
      <w:r w:rsidR="00BA48E6" w:rsidRPr="0012458F">
        <w:rPr>
          <w:rStyle w:val="Refdenotaalpie"/>
          <w:rFonts w:cs="Tahoma"/>
          <w:sz w:val="24"/>
          <w:szCs w:val="24"/>
        </w:rPr>
        <w:footnoteReference w:id="4"/>
      </w:r>
      <w:r w:rsidR="00BA48E6" w:rsidRPr="0012458F">
        <w:rPr>
          <w:rFonts w:cs="Tahoma"/>
          <w:sz w:val="24"/>
          <w:szCs w:val="24"/>
        </w:rPr>
        <w:t xml:space="preserve">. </w:t>
      </w:r>
    </w:p>
    <w:p w14:paraId="27024FA6" w14:textId="77777777" w:rsidR="00F54305" w:rsidRPr="0012458F" w:rsidRDefault="00F54305" w:rsidP="0012458F">
      <w:pPr>
        <w:pStyle w:val="Textoindependiente"/>
        <w:spacing w:line="276" w:lineRule="auto"/>
        <w:rPr>
          <w:rFonts w:cs="Tahoma"/>
          <w:sz w:val="24"/>
          <w:szCs w:val="24"/>
        </w:rPr>
      </w:pPr>
    </w:p>
    <w:p w14:paraId="7417DE8E" w14:textId="6BC5CBC3" w:rsidR="00F54305" w:rsidRPr="0012458F" w:rsidRDefault="00F54305" w:rsidP="0012458F">
      <w:pPr>
        <w:pStyle w:val="Textoindependiente"/>
        <w:spacing w:line="276" w:lineRule="auto"/>
        <w:rPr>
          <w:rFonts w:cs="Tahoma"/>
          <w:sz w:val="24"/>
          <w:szCs w:val="24"/>
        </w:rPr>
      </w:pPr>
      <w:r w:rsidRPr="0012458F">
        <w:rPr>
          <w:rFonts w:cs="Tahoma"/>
          <w:sz w:val="24"/>
          <w:szCs w:val="24"/>
        </w:rPr>
        <w:t xml:space="preserve">3. A ello se procedió por medio de oficio </w:t>
      </w:r>
      <w:r w:rsidR="00136C84" w:rsidRPr="0012458F">
        <w:rPr>
          <w:rFonts w:cs="Tahoma"/>
          <w:sz w:val="24"/>
          <w:szCs w:val="24"/>
        </w:rPr>
        <w:t>No. 095</w:t>
      </w:r>
      <w:r w:rsidR="00A65BED" w:rsidRPr="0012458F">
        <w:rPr>
          <w:rFonts w:cs="Tahoma"/>
          <w:sz w:val="24"/>
          <w:szCs w:val="24"/>
        </w:rPr>
        <w:t>3</w:t>
      </w:r>
      <w:r w:rsidRPr="0012458F">
        <w:rPr>
          <w:rFonts w:cs="Tahoma"/>
          <w:sz w:val="24"/>
          <w:szCs w:val="24"/>
        </w:rPr>
        <w:t xml:space="preserve"> del 7 (sic) del mismo mes</w:t>
      </w:r>
      <w:r w:rsidR="00A65BED" w:rsidRPr="0012458F">
        <w:rPr>
          <w:rStyle w:val="Refdenotaalpie"/>
          <w:rFonts w:cs="Tahoma"/>
          <w:sz w:val="24"/>
          <w:szCs w:val="24"/>
        </w:rPr>
        <w:footnoteReference w:id="5"/>
      </w:r>
      <w:r w:rsidRPr="0012458F">
        <w:rPr>
          <w:rFonts w:cs="Tahoma"/>
          <w:sz w:val="24"/>
          <w:szCs w:val="24"/>
        </w:rPr>
        <w:t xml:space="preserve">, remitido a la destinataria por correo el </w:t>
      </w:r>
      <w:r w:rsidR="00136C84" w:rsidRPr="0012458F">
        <w:rPr>
          <w:rFonts w:cs="Tahoma"/>
          <w:sz w:val="24"/>
          <w:szCs w:val="24"/>
        </w:rPr>
        <w:t>1</w:t>
      </w:r>
      <w:r w:rsidR="00A65BED" w:rsidRPr="0012458F">
        <w:rPr>
          <w:rFonts w:cs="Tahoma"/>
          <w:sz w:val="24"/>
          <w:szCs w:val="24"/>
        </w:rPr>
        <w:t>0</w:t>
      </w:r>
      <w:r w:rsidR="00136C84" w:rsidRPr="0012458F">
        <w:rPr>
          <w:rFonts w:cs="Tahoma"/>
          <w:sz w:val="24"/>
          <w:szCs w:val="24"/>
        </w:rPr>
        <w:t xml:space="preserve"> </w:t>
      </w:r>
      <w:r w:rsidRPr="0012458F">
        <w:rPr>
          <w:rFonts w:cs="Tahoma"/>
          <w:sz w:val="24"/>
          <w:szCs w:val="24"/>
        </w:rPr>
        <w:t>siguiente</w:t>
      </w:r>
      <w:r w:rsidR="00935239" w:rsidRPr="0012458F">
        <w:rPr>
          <w:rStyle w:val="Refdenotaalpie"/>
          <w:rFonts w:cs="Tahoma"/>
          <w:sz w:val="24"/>
          <w:szCs w:val="24"/>
        </w:rPr>
        <w:footnoteReference w:id="6"/>
      </w:r>
      <w:r w:rsidRPr="0012458F">
        <w:rPr>
          <w:rFonts w:cs="Tahoma"/>
          <w:sz w:val="24"/>
          <w:szCs w:val="24"/>
        </w:rPr>
        <w:t xml:space="preserve"> y </w:t>
      </w:r>
      <w:r w:rsidR="00136C84" w:rsidRPr="0012458F">
        <w:rPr>
          <w:rFonts w:cs="Tahoma"/>
          <w:sz w:val="24"/>
          <w:szCs w:val="24"/>
        </w:rPr>
        <w:t>recibido el 1</w:t>
      </w:r>
      <w:r w:rsidR="006F2AC3" w:rsidRPr="0012458F">
        <w:rPr>
          <w:rFonts w:cs="Tahoma"/>
          <w:sz w:val="24"/>
          <w:szCs w:val="24"/>
        </w:rPr>
        <w:t>3</w:t>
      </w:r>
      <w:r w:rsidR="00136C84" w:rsidRPr="0012458F">
        <w:rPr>
          <w:rFonts w:cs="Tahoma"/>
          <w:sz w:val="24"/>
          <w:szCs w:val="24"/>
        </w:rPr>
        <w:t xml:space="preserve"> siguiente</w:t>
      </w:r>
      <w:r w:rsidR="00136C84" w:rsidRPr="0012458F">
        <w:rPr>
          <w:rStyle w:val="Refdenotaalpie"/>
          <w:rFonts w:cs="Tahoma"/>
          <w:sz w:val="24"/>
          <w:szCs w:val="24"/>
        </w:rPr>
        <w:footnoteReference w:id="7"/>
      </w:r>
      <w:r w:rsidRPr="0012458F">
        <w:rPr>
          <w:rFonts w:cs="Tahoma"/>
          <w:sz w:val="24"/>
          <w:szCs w:val="24"/>
        </w:rPr>
        <w:t xml:space="preserve">. </w:t>
      </w:r>
    </w:p>
    <w:p w14:paraId="01423E30" w14:textId="77777777" w:rsidR="006F2AC3" w:rsidRPr="0012458F" w:rsidRDefault="006F2AC3" w:rsidP="0012458F">
      <w:pPr>
        <w:pStyle w:val="Textoindependiente"/>
        <w:spacing w:line="276" w:lineRule="auto"/>
        <w:rPr>
          <w:rFonts w:cs="Tahoma"/>
          <w:sz w:val="24"/>
          <w:szCs w:val="24"/>
        </w:rPr>
      </w:pPr>
    </w:p>
    <w:p w14:paraId="68840046" w14:textId="0C4E083F" w:rsidR="00136C84" w:rsidRPr="0012458F" w:rsidRDefault="00F54305" w:rsidP="0012458F">
      <w:pPr>
        <w:pStyle w:val="Textoindependiente"/>
        <w:spacing w:line="276" w:lineRule="auto"/>
        <w:rPr>
          <w:rFonts w:cs="Tahoma"/>
          <w:sz w:val="24"/>
          <w:szCs w:val="24"/>
        </w:rPr>
      </w:pPr>
      <w:r w:rsidRPr="0012458F">
        <w:rPr>
          <w:rFonts w:cs="Tahoma"/>
          <w:sz w:val="24"/>
          <w:szCs w:val="24"/>
        </w:rPr>
        <w:t>4.  E</w:t>
      </w:r>
      <w:r w:rsidR="00136C84" w:rsidRPr="0012458F">
        <w:rPr>
          <w:rFonts w:cs="Tahoma"/>
          <w:sz w:val="24"/>
          <w:szCs w:val="24"/>
        </w:rPr>
        <w:t>l 22</w:t>
      </w:r>
      <w:r w:rsidRPr="0012458F">
        <w:rPr>
          <w:rFonts w:cs="Tahoma"/>
          <w:sz w:val="24"/>
          <w:szCs w:val="24"/>
        </w:rPr>
        <w:t xml:space="preserve"> de mayo </w:t>
      </w:r>
      <w:r w:rsidR="00136C84" w:rsidRPr="0012458F">
        <w:rPr>
          <w:rFonts w:cs="Tahoma"/>
          <w:sz w:val="24"/>
          <w:szCs w:val="24"/>
        </w:rPr>
        <w:t>la demandante constituyó nuevo apoderado</w:t>
      </w:r>
      <w:r w:rsidR="00A65BED" w:rsidRPr="0012458F">
        <w:rPr>
          <w:rStyle w:val="Refdenotaalpie"/>
          <w:rFonts w:cs="Tahoma"/>
          <w:sz w:val="24"/>
          <w:szCs w:val="24"/>
        </w:rPr>
        <w:footnoteReference w:id="8"/>
      </w:r>
      <w:r w:rsidR="00136C84" w:rsidRPr="0012458F">
        <w:rPr>
          <w:rFonts w:cs="Tahoma"/>
          <w:sz w:val="24"/>
          <w:szCs w:val="24"/>
        </w:rPr>
        <w:t xml:space="preserve"> y el 24, ese profesional apeló la sentencia</w:t>
      </w:r>
      <w:r w:rsidR="00136C84" w:rsidRPr="0012458F">
        <w:rPr>
          <w:rStyle w:val="Refdenotaalpie"/>
          <w:rFonts w:cs="Tahoma"/>
          <w:sz w:val="24"/>
          <w:szCs w:val="24"/>
        </w:rPr>
        <w:footnoteReference w:id="9"/>
      </w:r>
      <w:r w:rsidR="00136C84" w:rsidRPr="0012458F">
        <w:rPr>
          <w:rFonts w:cs="Tahoma"/>
          <w:sz w:val="24"/>
          <w:szCs w:val="24"/>
        </w:rPr>
        <w:t>.</w:t>
      </w:r>
    </w:p>
    <w:p w14:paraId="7054C552" w14:textId="77777777" w:rsidR="00136C84" w:rsidRPr="0012458F" w:rsidRDefault="00136C84" w:rsidP="0012458F">
      <w:pPr>
        <w:spacing w:line="276" w:lineRule="auto"/>
        <w:jc w:val="both"/>
        <w:rPr>
          <w:rFonts w:ascii="Tahoma" w:hAnsi="Tahoma" w:cs="Tahoma"/>
        </w:rPr>
      </w:pPr>
    </w:p>
    <w:p w14:paraId="47B9A1DA" w14:textId="7B9B3B92" w:rsidR="009D0EA7" w:rsidRPr="0012458F" w:rsidRDefault="00F54305" w:rsidP="0012458F">
      <w:pPr>
        <w:spacing w:line="276" w:lineRule="auto"/>
        <w:jc w:val="both"/>
        <w:rPr>
          <w:rFonts w:ascii="Tahoma" w:hAnsi="Tahoma" w:cs="Tahoma"/>
        </w:rPr>
      </w:pPr>
      <w:r w:rsidRPr="0012458F">
        <w:rPr>
          <w:rFonts w:ascii="Tahoma" w:hAnsi="Tahoma" w:cs="Tahoma"/>
        </w:rPr>
        <w:t>5</w:t>
      </w:r>
      <w:r w:rsidR="009D0EA7" w:rsidRPr="0012458F">
        <w:rPr>
          <w:rFonts w:ascii="Tahoma" w:hAnsi="Tahoma" w:cs="Tahoma"/>
        </w:rPr>
        <w:t>. Recibido el expediente, el magistrado al que correspondió por reparto, al efectuar el examen preliminar, inadmitió el recurso de apelación porque “La sentencia objeto de impugnación fue dictada el pasado 22 de abril de manera escrita y notificada por estado el 23 siguiente, sin que en el término de ejecutoria las partes presentaran recurso”</w:t>
      </w:r>
      <w:r w:rsidR="00416A40" w:rsidRPr="0012458F">
        <w:rPr>
          <w:rStyle w:val="Refdenotaalpie"/>
          <w:rFonts w:ascii="Tahoma" w:hAnsi="Tahoma" w:cs="Tahoma"/>
        </w:rPr>
        <w:footnoteReference w:id="10"/>
      </w:r>
      <w:r w:rsidR="009D0EA7" w:rsidRPr="0012458F">
        <w:rPr>
          <w:rFonts w:ascii="Tahoma" w:hAnsi="Tahoma" w:cs="Tahoma"/>
        </w:rPr>
        <w:t>.</w:t>
      </w:r>
    </w:p>
    <w:p w14:paraId="3782FE70" w14:textId="77777777" w:rsidR="009D0EA7" w:rsidRPr="0012458F" w:rsidRDefault="009D0EA7" w:rsidP="0012458F">
      <w:pPr>
        <w:spacing w:line="276" w:lineRule="auto"/>
        <w:jc w:val="both"/>
        <w:rPr>
          <w:rFonts w:ascii="Tahoma" w:hAnsi="Tahoma" w:cs="Tahoma"/>
        </w:rPr>
      </w:pPr>
    </w:p>
    <w:p w14:paraId="5CAF835C" w14:textId="45208307" w:rsidR="00416A40" w:rsidRPr="0012458F" w:rsidRDefault="00017F13" w:rsidP="0012458F">
      <w:pPr>
        <w:spacing w:line="276" w:lineRule="auto"/>
        <w:jc w:val="both"/>
        <w:rPr>
          <w:rFonts w:ascii="Tahoma" w:hAnsi="Tahoma" w:cs="Tahoma"/>
        </w:rPr>
      </w:pPr>
      <w:r w:rsidRPr="0012458F">
        <w:rPr>
          <w:rFonts w:ascii="Tahoma" w:hAnsi="Tahoma" w:cs="Tahoma"/>
        </w:rPr>
        <w:t>6</w:t>
      </w:r>
      <w:r w:rsidR="00416A40" w:rsidRPr="0012458F">
        <w:rPr>
          <w:rFonts w:ascii="Tahoma" w:hAnsi="Tahoma" w:cs="Tahoma"/>
        </w:rPr>
        <w:t>. Inconforme con esa determinación, el apoderado de la demandante interpuso recurso de súplica</w:t>
      </w:r>
      <w:r w:rsidR="005D32FB" w:rsidRPr="0012458F">
        <w:rPr>
          <w:rFonts w:ascii="Tahoma" w:hAnsi="Tahoma" w:cs="Tahoma"/>
        </w:rPr>
        <w:t xml:space="preserve">. Expresó, en síntesis, que para la fecha en la que se profirió la sentencia </w:t>
      </w:r>
      <w:r w:rsidR="00BB0A83" w:rsidRPr="0012458F">
        <w:rPr>
          <w:rFonts w:ascii="Tahoma" w:hAnsi="Tahoma" w:cs="Tahoma"/>
        </w:rPr>
        <w:t xml:space="preserve">de primera instancia, </w:t>
      </w:r>
      <w:r w:rsidR="005D32FB" w:rsidRPr="0012458F">
        <w:rPr>
          <w:rFonts w:ascii="Tahoma" w:hAnsi="Tahoma" w:cs="Tahoma"/>
        </w:rPr>
        <w:t>su poderdante</w:t>
      </w:r>
      <w:r w:rsidR="00BB0A83" w:rsidRPr="0012458F">
        <w:rPr>
          <w:rFonts w:ascii="Tahoma" w:hAnsi="Tahoma" w:cs="Tahoma"/>
        </w:rPr>
        <w:t xml:space="preserve"> carecía de defensa técnica, pues el abogado que la asistía había presentado renuncia al poder, cuatro años atrás, situación que ignoraba porque el juzgado la enteró de esa situación el 11 de mayo del presente año</w:t>
      </w:r>
      <w:r w:rsidR="005D32FB" w:rsidRPr="0012458F">
        <w:rPr>
          <w:rStyle w:val="Refdenotaalpie"/>
          <w:rFonts w:ascii="Tahoma" w:hAnsi="Tahoma" w:cs="Tahoma"/>
        </w:rPr>
        <w:footnoteReference w:id="11"/>
      </w:r>
      <w:r w:rsidR="005D32FB" w:rsidRPr="0012458F">
        <w:rPr>
          <w:rFonts w:ascii="Tahoma" w:hAnsi="Tahoma" w:cs="Tahoma"/>
        </w:rPr>
        <w:t xml:space="preserve">. </w:t>
      </w:r>
    </w:p>
    <w:p w14:paraId="3767EB26" w14:textId="77777777" w:rsidR="009D0EA7" w:rsidRPr="0012458F" w:rsidRDefault="009D0EA7" w:rsidP="0012458F">
      <w:pPr>
        <w:spacing w:line="276" w:lineRule="auto"/>
        <w:jc w:val="both"/>
        <w:rPr>
          <w:rFonts w:ascii="Tahoma" w:hAnsi="Tahoma" w:cs="Tahoma"/>
          <w:b/>
        </w:rPr>
      </w:pPr>
    </w:p>
    <w:p w14:paraId="7F22D418" w14:textId="77777777" w:rsidR="00136C84" w:rsidRPr="0012458F" w:rsidRDefault="00136C84" w:rsidP="0012458F">
      <w:pPr>
        <w:spacing w:line="276" w:lineRule="auto"/>
        <w:jc w:val="both"/>
        <w:rPr>
          <w:rFonts w:ascii="Tahoma" w:hAnsi="Tahoma" w:cs="Tahoma"/>
          <w:b/>
        </w:rPr>
      </w:pPr>
      <w:r w:rsidRPr="0012458F">
        <w:rPr>
          <w:rFonts w:ascii="Tahoma" w:hAnsi="Tahoma" w:cs="Tahoma"/>
          <w:b/>
        </w:rPr>
        <w:t>C O N S I D E R A C I O N E S</w:t>
      </w:r>
    </w:p>
    <w:p w14:paraId="762F9FEA" w14:textId="77777777" w:rsidR="00136C84" w:rsidRPr="0012458F" w:rsidRDefault="00136C84" w:rsidP="0012458F">
      <w:pPr>
        <w:spacing w:line="276" w:lineRule="auto"/>
        <w:jc w:val="both"/>
        <w:rPr>
          <w:rFonts w:ascii="Tahoma" w:hAnsi="Tahoma" w:cs="Tahoma"/>
          <w:b/>
        </w:rPr>
      </w:pPr>
    </w:p>
    <w:p w14:paraId="3BE95944" w14:textId="757A9B66" w:rsidR="0066176C" w:rsidRPr="0012458F" w:rsidRDefault="0066176C" w:rsidP="0012458F">
      <w:pPr>
        <w:tabs>
          <w:tab w:val="left" w:pos="945"/>
        </w:tabs>
        <w:spacing w:line="276" w:lineRule="auto"/>
        <w:jc w:val="both"/>
        <w:rPr>
          <w:rFonts w:ascii="Tahoma" w:hAnsi="Tahoma" w:cs="Tahoma"/>
        </w:rPr>
      </w:pPr>
      <w:r w:rsidRPr="0012458F">
        <w:rPr>
          <w:rFonts w:ascii="Tahoma" w:hAnsi="Tahoma" w:cs="Tahoma"/>
        </w:rPr>
        <w:t xml:space="preserve">1. El artículo 322 del Código General del Proceso, en relación con la oportunidad y requisitos del recurso de apelación, establece en el inciso 2º del numeral 1º: </w:t>
      </w:r>
      <w:r w:rsidRPr="0012458F">
        <w:rPr>
          <w:rFonts w:ascii="Tahoma" w:hAnsi="Tahoma" w:cs="Tahoma"/>
          <w:i/>
        </w:rPr>
        <w:t>“</w:t>
      </w:r>
      <w:r w:rsidRPr="0012458F">
        <w:rPr>
          <w:rFonts w:ascii="Tahoma" w:hAnsi="Tahoma" w:cs="Tahoma"/>
          <w:i/>
          <w:sz w:val="22"/>
        </w:rPr>
        <w:t>La apelación contra la providencia que se dicte fuera de audiencia deberá interponerse ante el juez que la dictó, en el acto de su notificación personal o por escrito dentro de los tres (3) días siguientes a su notificación por estado…</w:t>
      </w:r>
      <w:r w:rsidRPr="0012458F">
        <w:rPr>
          <w:rFonts w:ascii="Tahoma" w:hAnsi="Tahoma" w:cs="Tahoma"/>
          <w:i/>
        </w:rPr>
        <w:t>”.</w:t>
      </w:r>
      <w:r w:rsidRPr="0012458F">
        <w:rPr>
          <w:rFonts w:ascii="Tahoma" w:hAnsi="Tahoma" w:cs="Tahoma"/>
        </w:rPr>
        <w:t xml:space="preserve"> El mismo término otorgaba el artículo 352 del Código de Procedimiento Civil, para impugnar la sentencia escrita.</w:t>
      </w:r>
    </w:p>
    <w:p w14:paraId="4E25AAE4" w14:textId="77777777" w:rsidR="001C4F4D" w:rsidRPr="0012458F" w:rsidRDefault="001C4F4D" w:rsidP="0012458F">
      <w:pPr>
        <w:spacing w:line="276" w:lineRule="auto"/>
        <w:jc w:val="both"/>
        <w:rPr>
          <w:rFonts w:ascii="Tahoma" w:hAnsi="Tahoma" w:cs="Tahoma"/>
        </w:rPr>
      </w:pPr>
    </w:p>
    <w:p w14:paraId="5C75B85C" w14:textId="77777777" w:rsidR="0012458F" w:rsidRDefault="0066176C" w:rsidP="0012458F">
      <w:pPr>
        <w:spacing w:line="276" w:lineRule="auto"/>
        <w:jc w:val="both"/>
        <w:rPr>
          <w:rFonts w:ascii="Tahoma" w:hAnsi="Tahoma" w:cs="Tahoma"/>
        </w:rPr>
      </w:pPr>
      <w:r w:rsidRPr="0012458F">
        <w:rPr>
          <w:rFonts w:ascii="Tahoma" w:hAnsi="Tahoma" w:cs="Tahoma"/>
        </w:rPr>
        <w:t>2.</w:t>
      </w:r>
      <w:r w:rsidR="0006502C" w:rsidRPr="0012458F">
        <w:rPr>
          <w:rFonts w:ascii="Tahoma" w:hAnsi="Tahoma" w:cs="Tahoma"/>
        </w:rPr>
        <w:t xml:space="preserve"> Sobre el tema, el doctrinante Miguel Enrique Rojas Gómez, enseña:</w:t>
      </w:r>
    </w:p>
    <w:p w14:paraId="310D8D15" w14:textId="77777777" w:rsidR="0012458F" w:rsidRDefault="0012458F" w:rsidP="0012458F">
      <w:pPr>
        <w:spacing w:line="276" w:lineRule="auto"/>
        <w:jc w:val="both"/>
        <w:rPr>
          <w:rFonts w:ascii="Tahoma" w:hAnsi="Tahoma" w:cs="Tahoma"/>
        </w:rPr>
      </w:pPr>
    </w:p>
    <w:p w14:paraId="4AD1161A" w14:textId="2B2E7A10" w:rsidR="00B52560" w:rsidRPr="0012458F" w:rsidRDefault="0006502C" w:rsidP="0012458F">
      <w:pPr>
        <w:ind w:left="426" w:right="420"/>
        <w:jc w:val="both"/>
        <w:rPr>
          <w:rFonts w:ascii="Tahoma" w:hAnsi="Tahoma" w:cs="Tahoma"/>
          <w:i/>
          <w:sz w:val="22"/>
        </w:rPr>
      </w:pPr>
      <w:r w:rsidRPr="0012458F">
        <w:rPr>
          <w:rFonts w:ascii="Tahoma" w:hAnsi="Tahoma" w:cs="Tahoma"/>
          <w:sz w:val="22"/>
        </w:rPr>
        <w:t>“</w:t>
      </w:r>
      <w:r w:rsidRPr="0012458F">
        <w:rPr>
          <w:rFonts w:ascii="Tahoma" w:hAnsi="Tahoma" w:cs="Tahoma"/>
          <w:i/>
          <w:sz w:val="22"/>
        </w:rPr>
        <w:t>La oportunidad para interponer el recurso de apelación depende principalmente de si la decisión es pronunciada en audiencia o por fuera de esta</w:t>
      </w:r>
      <w:r w:rsidR="00B52560" w:rsidRPr="0012458F">
        <w:rPr>
          <w:rFonts w:ascii="Tahoma" w:hAnsi="Tahoma" w:cs="Tahoma"/>
          <w:i/>
          <w:sz w:val="22"/>
        </w:rPr>
        <w:t>. En el primer caso la decisión queda notificada en estrados apenas pronunciada y el recurso debe interponerse verbalmente de inmediato; en el segundo caso, aunque la disposición señale que se debe interponer en el acto de notificación personal o dentro de los tres días siguientes a la notificación por estado, eso no es del todo cierto, pues de ser así la oportunidad para apelar quedaría excesivamente comprimida por el hecho de la notificación personal.</w:t>
      </w:r>
    </w:p>
    <w:p w14:paraId="700C80EA" w14:textId="77777777" w:rsidR="00B52560" w:rsidRPr="0012458F" w:rsidRDefault="00B52560" w:rsidP="0012458F">
      <w:pPr>
        <w:ind w:left="426" w:right="420"/>
        <w:jc w:val="both"/>
        <w:rPr>
          <w:rFonts w:ascii="Tahoma" w:hAnsi="Tahoma" w:cs="Tahoma"/>
          <w:i/>
          <w:sz w:val="22"/>
        </w:rPr>
      </w:pPr>
    </w:p>
    <w:p w14:paraId="61C71DE5" w14:textId="7D4D5188" w:rsidR="0006502C" w:rsidRPr="0012458F" w:rsidRDefault="00B52560" w:rsidP="0012458F">
      <w:pPr>
        <w:ind w:left="426" w:right="420"/>
        <w:jc w:val="both"/>
        <w:rPr>
          <w:rFonts w:ascii="Tahoma" w:hAnsi="Tahoma" w:cs="Tahoma"/>
          <w:i/>
          <w:sz w:val="22"/>
        </w:rPr>
      </w:pPr>
      <w:r w:rsidRPr="0012458F">
        <w:rPr>
          <w:rFonts w:ascii="Tahoma" w:hAnsi="Tahoma" w:cs="Tahoma"/>
          <w:i/>
          <w:sz w:val="22"/>
        </w:rPr>
        <w:lastRenderedPageBreak/>
        <w:t>Lo cierto es que cuando la providencia se emita fuera de audiencia debe ser notificada personalmente, por aviso, o por estado según el caso, y de todas maneras el término para apelar es de tres días contados desde el siguiente a la notificación, lo mismo que sucede con el recurso de reposición (art. 318), de modo que si no se impugna en ese tiempo cobra ejecutoria (art. 302)…</w:t>
      </w:r>
      <w:r w:rsidRPr="0012458F">
        <w:rPr>
          <w:rFonts w:ascii="Tahoma" w:hAnsi="Tahoma" w:cs="Tahoma"/>
          <w:sz w:val="22"/>
        </w:rPr>
        <w:t>”</w:t>
      </w:r>
      <w:r w:rsidRPr="0012458F">
        <w:rPr>
          <w:rStyle w:val="Refdenotaalpie"/>
          <w:rFonts w:ascii="Tahoma" w:hAnsi="Tahoma" w:cs="Tahoma"/>
          <w:i/>
          <w:sz w:val="22"/>
        </w:rPr>
        <w:footnoteReference w:id="12"/>
      </w:r>
      <w:r w:rsidR="00A568F7" w:rsidRPr="0012458F">
        <w:rPr>
          <w:rFonts w:ascii="Tahoma" w:hAnsi="Tahoma" w:cs="Tahoma"/>
          <w:i/>
          <w:sz w:val="22"/>
        </w:rPr>
        <w:t>.</w:t>
      </w:r>
      <w:r w:rsidR="0006502C" w:rsidRPr="0012458F">
        <w:rPr>
          <w:rFonts w:ascii="Tahoma" w:hAnsi="Tahoma" w:cs="Tahoma"/>
          <w:i/>
          <w:sz w:val="22"/>
        </w:rPr>
        <w:t xml:space="preserve"> </w:t>
      </w:r>
    </w:p>
    <w:p w14:paraId="0D3D912A" w14:textId="4C6C8001" w:rsidR="0006502C" w:rsidRPr="0012458F" w:rsidRDefault="0066176C" w:rsidP="0012458F">
      <w:pPr>
        <w:tabs>
          <w:tab w:val="left" w:pos="945"/>
        </w:tabs>
        <w:spacing w:line="276" w:lineRule="auto"/>
        <w:jc w:val="both"/>
        <w:rPr>
          <w:rFonts w:ascii="Tahoma" w:hAnsi="Tahoma" w:cs="Tahoma"/>
        </w:rPr>
      </w:pPr>
      <w:r w:rsidRPr="0012458F">
        <w:rPr>
          <w:rFonts w:ascii="Tahoma" w:hAnsi="Tahoma" w:cs="Tahoma"/>
        </w:rPr>
        <w:t xml:space="preserve"> </w:t>
      </w:r>
    </w:p>
    <w:p w14:paraId="30E011E5" w14:textId="3B6B3C79" w:rsidR="0066176C" w:rsidRPr="0012458F" w:rsidRDefault="00A568F7" w:rsidP="0012458F">
      <w:pPr>
        <w:tabs>
          <w:tab w:val="left" w:pos="945"/>
        </w:tabs>
        <w:spacing w:line="276" w:lineRule="auto"/>
        <w:jc w:val="both"/>
        <w:rPr>
          <w:rFonts w:ascii="Tahoma" w:hAnsi="Tahoma" w:cs="Tahoma"/>
        </w:rPr>
      </w:pPr>
      <w:r w:rsidRPr="0012458F">
        <w:rPr>
          <w:rFonts w:ascii="Tahoma" w:hAnsi="Tahoma" w:cs="Tahoma"/>
        </w:rPr>
        <w:t xml:space="preserve">3. </w:t>
      </w:r>
      <w:r w:rsidR="0066176C" w:rsidRPr="0012458F">
        <w:rPr>
          <w:rFonts w:ascii="Tahoma" w:hAnsi="Tahoma" w:cs="Tahoma"/>
        </w:rPr>
        <w:t xml:space="preserve">En el caso concreto, la sentencia </w:t>
      </w:r>
      <w:r w:rsidRPr="0012458F">
        <w:rPr>
          <w:rFonts w:ascii="Tahoma" w:hAnsi="Tahoma" w:cs="Tahoma"/>
        </w:rPr>
        <w:t xml:space="preserve">se </w:t>
      </w:r>
      <w:r w:rsidR="002C2C1E" w:rsidRPr="0012458F">
        <w:rPr>
          <w:rFonts w:ascii="Tahoma" w:hAnsi="Tahoma" w:cs="Tahoma"/>
        </w:rPr>
        <w:t xml:space="preserve">dictó de manera escrita, el </w:t>
      </w:r>
      <w:r w:rsidRPr="0012458F">
        <w:rPr>
          <w:rFonts w:ascii="Tahoma" w:hAnsi="Tahoma" w:cs="Tahoma"/>
        </w:rPr>
        <w:t>22 de abril del presente año</w:t>
      </w:r>
      <w:r w:rsidR="002C2C1E" w:rsidRPr="0012458F">
        <w:rPr>
          <w:rFonts w:ascii="Tahoma" w:hAnsi="Tahoma" w:cs="Tahoma"/>
        </w:rPr>
        <w:t xml:space="preserve">; </w:t>
      </w:r>
      <w:r w:rsidRPr="0012458F">
        <w:rPr>
          <w:rFonts w:ascii="Tahoma" w:hAnsi="Tahoma" w:cs="Tahoma"/>
        </w:rPr>
        <w:t>se notificó por estado el</w:t>
      </w:r>
      <w:r w:rsidR="002C2C1E" w:rsidRPr="0012458F">
        <w:rPr>
          <w:rFonts w:ascii="Tahoma" w:hAnsi="Tahoma" w:cs="Tahoma"/>
        </w:rPr>
        <w:t xml:space="preserve"> día siguiente y su eje</w:t>
      </w:r>
      <w:r w:rsidR="0066176C" w:rsidRPr="0012458F">
        <w:rPr>
          <w:rFonts w:ascii="Tahoma" w:hAnsi="Tahoma" w:cs="Tahoma"/>
        </w:rPr>
        <w:t xml:space="preserve">cutoria corrió durante los días 24, 25 y 26 que siguieron. </w:t>
      </w:r>
      <w:r w:rsidR="00B56AA9">
        <w:rPr>
          <w:rFonts w:ascii="Tahoma" w:hAnsi="Tahoma" w:cs="Tahoma"/>
        </w:rPr>
        <w:t xml:space="preserve"> </w:t>
      </w:r>
      <w:r w:rsidR="0066176C" w:rsidRPr="0012458F">
        <w:rPr>
          <w:rFonts w:ascii="Tahoma" w:hAnsi="Tahoma" w:cs="Tahoma"/>
        </w:rPr>
        <w:t>Sin embargo, el recurso de apelación se formuló el 24 de mayo, cuando ya había vencido la oportunidad para hacerlo.</w:t>
      </w:r>
    </w:p>
    <w:p w14:paraId="1F1B5A95" w14:textId="77777777" w:rsidR="0066176C" w:rsidRPr="0012458F" w:rsidRDefault="0066176C" w:rsidP="0012458F">
      <w:pPr>
        <w:tabs>
          <w:tab w:val="left" w:pos="945"/>
        </w:tabs>
        <w:spacing w:line="276" w:lineRule="auto"/>
        <w:jc w:val="both"/>
        <w:rPr>
          <w:rFonts w:ascii="Tahoma" w:hAnsi="Tahoma" w:cs="Tahoma"/>
        </w:rPr>
      </w:pPr>
    </w:p>
    <w:p w14:paraId="776EB82E" w14:textId="6E407DDD" w:rsidR="0066176C" w:rsidRDefault="0066176C" w:rsidP="0012458F">
      <w:pPr>
        <w:tabs>
          <w:tab w:val="left" w:pos="945"/>
        </w:tabs>
        <w:spacing w:line="276" w:lineRule="auto"/>
        <w:jc w:val="both"/>
        <w:rPr>
          <w:rFonts w:ascii="Tahoma" w:hAnsi="Tahoma" w:cs="Tahoma"/>
        </w:rPr>
      </w:pPr>
      <w:r w:rsidRPr="0012458F">
        <w:rPr>
          <w:rFonts w:ascii="Tahoma" w:hAnsi="Tahoma" w:cs="Tahoma"/>
        </w:rPr>
        <w:t>Y el proceso no se interrumpió ni</w:t>
      </w:r>
      <w:r w:rsidR="002C2C1E" w:rsidRPr="0012458F">
        <w:rPr>
          <w:rFonts w:ascii="Tahoma" w:hAnsi="Tahoma" w:cs="Tahoma"/>
        </w:rPr>
        <w:t xml:space="preserve"> se</w:t>
      </w:r>
      <w:r w:rsidRPr="0012458F">
        <w:rPr>
          <w:rFonts w:ascii="Tahoma" w:hAnsi="Tahoma" w:cs="Tahoma"/>
        </w:rPr>
        <w:t xml:space="preserve"> suspendió por la renuncia que del poder hizo el abogado que venía representando</w:t>
      </w:r>
      <w:r w:rsidR="0006502C" w:rsidRPr="0012458F">
        <w:rPr>
          <w:rFonts w:ascii="Tahoma" w:hAnsi="Tahoma" w:cs="Tahoma"/>
        </w:rPr>
        <w:t xml:space="preserve"> a la demandante</w:t>
      </w:r>
      <w:r w:rsidRPr="0012458F">
        <w:rPr>
          <w:rFonts w:ascii="Tahoma" w:hAnsi="Tahoma" w:cs="Tahoma"/>
        </w:rPr>
        <w:t>, pues ese hecho no estaba enlistado como causales que lo justificaran de acuerdo con los artículos 168 y 170 del código vigente para cuando se presentó la renuncia, ni en los 159 y 161 del Código General del Proceso que regulan la materia en la actualidad.</w:t>
      </w:r>
    </w:p>
    <w:p w14:paraId="64067F77" w14:textId="77777777" w:rsidR="0012458F" w:rsidRPr="0012458F" w:rsidRDefault="0012458F" w:rsidP="0012458F">
      <w:pPr>
        <w:tabs>
          <w:tab w:val="left" w:pos="945"/>
        </w:tabs>
        <w:spacing w:line="276" w:lineRule="auto"/>
        <w:jc w:val="both"/>
        <w:rPr>
          <w:rFonts w:ascii="Tahoma" w:hAnsi="Tahoma" w:cs="Tahoma"/>
        </w:rPr>
      </w:pPr>
    </w:p>
    <w:p w14:paraId="2D36DABA" w14:textId="1C1CD757" w:rsidR="0066176C" w:rsidRPr="0012458F" w:rsidRDefault="0066176C" w:rsidP="0012458F">
      <w:pPr>
        <w:tabs>
          <w:tab w:val="left" w:pos="945"/>
        </w:tabs>
        <w:spacing w:line="276" w:lineRule="auto"/>
        <w:jc w:val="both"/>
        <w:rPr>
          <w:rFonts w:ascii="Tahoma" w:hAnsi="Tahoma" w:cs="Tahoma"/>
          <w:i/>
        </w:rPr>
      </w:pPr>
      <w:r w:rsidRPr="0012458F">
        <w:rPr>
          <w:rFonts w:ascii="Tahoma" w:hAnsi="Tahoma" w:cs="Tahoma"/>
        </w:rPr>
        <w:t xml:space="preserve">Tampoco se quedó sin representación la actora, de acuerdo con el inciso 4º del artículo 69 del Código de Procedimiento Civil, según el cual: </w:t>
      </w:r>
      <w:r w:rsidRPr="0012458F">
        <w:rPr>
          <w:rFonts w:ascii="Tahoma" w:hAnsi="Tahoma" w:cs="Tahoma"/>
          <w:i/>
        </w:rPr>
        <w:t>“</w:t>
      </w:r>
      <w:r w:rsidRPr="0012458F">
        <w:rPr>
          <w:rFonts w:ascii="Tahoma" w:hAnsi="Tahoma" w:cs="Tahoma"/>
          <w:i/>
          <w:sz w:val="22"/>
        </w:rPr>
        <w:t>La renuncia no pone término al poder ni a la sustitución, sino cinco días después de notificarse por estado el auto que la admita, y se haga saber al poderdante o sustituidor por telegrama dirigido a la dirección denunciada para recibir notificaciones personales, cuando para este lugar exista el servicio, y en su defecto como lo disponen los numerales 1º y 2º del artículo 320…</w:t>
      </w:r>
      <w:r w:rsidRPr="0012458F">
        <w:rPr>
          <w:rFonts w:ascii="Tahoma" w:hAnsi="Tahoma" w:cs="Tahoma"/>
          <w:i/>
        </w:rPr>
        <w:t>”</w:t>
      </w:r>
      <w:r w:rsidRPr="0012458F">
        <w:rPr>
          <w:rFonts w:ascii="Tahoma" w:hAnsi="Tahoma" w:cs="Tahoma"/>
        </w:rPr>
        <w:t xml:space="preserve"> y de conformidad  con el inciso 4º del artículo 76 del Código General del Proceso, que enseña: “</w:t>
      </w:r>
      <w:r w:rsidRPr="0012458F">
        <w:rPr>
          <w:rFonts w:ascii="Tahoma" w:hAnsi="Tahoma" w:cs="Tahoma"/>
          <w:i/>
          <w:sz w:val="22"/>
        </w:rPr>
        <w:t>La renuncia no pone término al poder sino cinco (5) días después de presentado el memorial de renuncia en el juzgado, acompañado de la comunicación enviada al poderdante en tal sentido</w:t>
      </w:r>
      <w:r w:rsidRPr="0012458F">
        <w:rPr>
          <w:rFonts w:ascii="Tahoma" w:hAnsi="Tahoma" w:cs="Tahoma"/>
          <w:i/>
        </w:rPr>
        <w:t>.”</w:t>
      </w:r>
    </w:p>
    <w:p w14:paraId="2ACA7A8D" w14:textId="0FC2A22B" w:rsidR="004752DC" w:rsidRPr="0012458F" w:rsidRDefault="004752DC" w:rsidP="0012458F">
      <w:pPr>
        <w:tabs>
          <w:tab w:val="left" w:pos="945"/>
        </w:tabs>
        <w:spacing w:line="276" w:lineRule="auto"/>
        <w:jc w:val="both"/>
        <w:rPr>
          <w:rFonts w:ascii="Tahoma" w:hAnsi="Tahoma" w:cs="Tahoma"/>
        </w:rPr>
      </w:pPr>
    </w:p>
    <w:p w14:paraId="01C7A60B" w14:textId="77777777" w:rsidR="00825505" w:rsidRPr="0012458F" w:rsidRDefault="004752DC" w:rsidP="0012458F">
      <w:pPr>
        <w:tabs>
          <w:tab w:val="left" w:pos="945"/>
        </w:tabs>
        <w:spacing w:line="276" w:lineRule="auto"/>
        <w:jc w:val="both"/>
        <w:rPr>
          <w:rFonts w:ascii="Tahoma" w:hAnsi="Tahoma" w:cs="Tahoma"/>
        </w:rPr>
      </w:pPr>
      <w:r w:rsidRPr="0012458F">
        <w:rPr>
          <w:rFonts w:ascii="Tahoma" w:hAnsi="Tahoma" w:cs="Tahoma"/>
        </w:rPr>
        <w:t>En relación con el tema, la doctrina</w:t>
      </w:r>
      <w:r w:rsidR="00825505" w:rsidRPr="0012458F">
        <w:rPr>
          <w:rFonts w:ascii="Tahoma" w:hAnsi="Tahoma" w:cs="Tahoma"/>
        </w:rPr>
        <w:t xml:space="preserve"> en vigencia del Código de Procedimiento Civil, expresó:</w:t>
      </w:r>
    </w:p>
    <w:p w14:paraId="6EA2DC4C" w14:textId="77777777" w:rsidR="00825505" w:rsidRPr="0012458F" w:rsidRDefault="00825505" w:rsidP="0012458F">
      <w:pPr>
        <w:tabs>
          <w:tab w:val="left" w:pos="945"/>
        </w:tabs>
        <w:spacing w:line="276" w:lineRule="auto"/>
        <w:jc w:val="both"/>
        <w:rPr>
          <w:rFonts w:ascii="Tahoma" w:hAnsi="Tahoma" w:cs="Tahoma"/>
        </w:rPr>
      </w:pPr>
    </w:p>
    <w:p w14:paraId="78EA5042" w14:textId="4ACACE16" w:rsidR="00825505" w:rsidRPr="0012458F" w:rsidRDefault="00825505" w:rsidP="0012458F">
      <w:pPr>
        <w:ind w:left="426" w:right="420"/>
        <w:jc w:val="both"/>
        <w:rPr>
          <w:rFonts w:ascii="Tahoma" w:hAnsi="Tahoma" w:cs="Tahoma"/>
          <w:i/>
          <w:sz w:val="22"/>
        </w:rPr>
      </w:pPr>
      <w:r w:rsidRPr="0012458F">
        <w:rPr>
          <w:rFonts w:ascii="Tahoma" w:hAnsi="Tahoma" w:cs="Tahoma"/>
          <w:sz w:val="22"/>
        </w:rPr>
        <w:t>“</w:t>
      </w:r>
      <w:r w:rsidRPr="0012458F">
        <w:rPr>
          <w:rFonts w:ascii="Tahoma" w:hAnsi="Tahoma" w:cs="Tahoma"/>
          <w:i/>
          <w:sz w:val="22"/>
        </w:rPr>
        <w:t>El inciso cuarto del artículo 69 requiere de una especial puntualización puesto que debe entenderse que el plazo de los cinco días para desligarse del poder no opera a partir de la notificación por estado del auto que admite la renuncia, por cuanto debe contarse el mismo es a partir de la remisión del telegrama o, si en el sitio no existe correo urbano, de la notificación en la forma prevista en los numerales 1º y 2º del art. 320.</w:t>
      </w:r>
    </w:p>
    <w:p w14:paraId="1265145C" w14:textId="77777777" w:rsidR="00825505" w:rsidRPr="0012458F" w:rsidRDefault="00825505" w:rsidP="0012458F">
      <w:pPr>
        <w:ind w:left="426" w:right="420"/>
        <w:jc w:val="both"/>
        <w:rPr>
          <w:rFonts w:ascii="Tahoma" w:hAnsi="Tahoma" w:cs="Tahoma"/>
          <w:i/>
          <w:sz w:val="22"/>
        </w:rPr>
      </w:pPr>
    </w:p>
    <w:p w14:paraId="6150F277" w14:textId="2D0E376E" w:rsidR="00825505" w:rsidRPr="0012458F" w:rsidRDefault="00825505" w:rsidP="0012458F">
      <w:pPr>
        <w:ind w:left="426" w:right="420"/>
        <w:jc w:val="both"/>
        <w:rPr>
          <w:rFonts w:ascii="Tahoma" w:hAnsi="Tahoma" w:cs="Tahoma"/>
          <w:i/>
          <w:sz w:val="22"/>
        </w:rPr>
      </w:pPr>
      <w:r w:rsidRPr="0012458F">
        <w:rPr>
          <w:rFonts w:ascii="Tahoma" w:hAnsi="Tahoma" w:cs="Tahoma"/>
          <w:i/>
          <w:sz w:val="22"/>
        </w:rPr>
        <w:t>Téngase presente además que el artículo 71 en el numeral 8º del C. de P. C. le impone al apoderado del deber de procurar que su poderdante conozca de inmediato la renuncia al poder al disponer que debe “darle a conocer de inmediato la renuncia del poder</w:t>
      </w:r>
      <w:r w:rsidRPr="0012458F">
        <w:rPr>
          <w:rFonts w:ascii="Tahoma" w:hAnsi="Tahoma" w:cs="Tahoma"/>
          <w:sz w:val="22"/>
        </w:rPr>
        <w:t>”</w:t>
      </w:r>
      <w:r w:rsidR="005A0BCA" w:rsidRPr="0012458F">
        <w:rPr>
          <w:rStyle w:val="Refdenotaalpie"/>
          <w:rFonts w:ascii="Tahoma" w:hAnsi="Tahoma" w:cs="Tahoma"/>
          <w:i/>
          <w:sz w:val="22"/>
        </w:rPr>
        <w:footnoteReference w:id="13"/>
      </w:r>
      <w:r w:rsidRPr="0012458F">
        <w:rPr>
          <w:rFonts w:ascii="Tahoma" w:hAnsi="Tahoma" w:cs="Tahoma"/>
          <w:i/>
          <w:sz w:val="22"/>
        </w:rPr>
        <w:t>.</w:t>
      </w:r>
    </w:p>
    <w:p w14:paraId="3522A6E9" w14:textId="77777777" w:rsidR="00825505" w:rsidRPr="0012458F" w:rsidRDefault="00825505" w:rsidP="0012458F">
      <w:pPr>
        <w:tabs>
          <w:tab w:val="left" w:pos="945"/>
        </w:tabs>
        <w:spacing w:line="276" w:lineRule="auto"/>
        <w:jc w:val="both"/>
        <w:rPr>
          <w:rFonts w:ascii="Tahoma" w:hAnsi="Tahoma" w:cs="Tahoma"/>
        </w:rPr>
      </w:pPr>
    </w:p>
    <w:p w14:paraId="38D41234" w14:textId="695FE69F" w:rsidR="004752DC" w:rsidRPr="0012458F" w:rsidRDefault="005A0BCA" w:rsidP="0012458F">
      <w:pPr>
        <w:tabs>
          <w:tab w:val="left" w:pos="945"/>
        </w:tabs>
        <w:spacing w:line="276" w:lineRule="auto"/>
        <w:jc w:val="both"/>
        <w:rPr>
          <w:rFonts w:ascii="Tahoma" w:hAnsi="Tahoma" w:cs="Tahoma"/>
        </w:rPr>
      </w:pPr>
      <w:r w:rsidRPr="0012458F">
        <w:rPr>
          <w:rFonts w:ascii="Tahoma" w:hAnsi="Tahoma" w:cs="Tahoma"/>
        </w:rPr>
        <w:t>Y en rigor del actual Código</w:t>
      </w:r>
      <w:r w:rsidR="00A338E4" w:rsidRPr="0012458F">
        <w:rPr>
          <w:rFonts w:ascii="Tahoma" w:hAnsi="Tahoma" w:cs="Tahoma"/>
        </w:rPr>
        <w:t xml:space="preserve">, </w:t>
      </w:r>
      <w:r w:rsidRPr="0012458F">
        <w:rPr>
          <w:rFonts w:ascii="Tahoma" w:hAnsi="Tahoma" w:cs="Tahoma"/>
        </w:rPr>
        <w:t xml:space="preserve">se ha </w:t>
      </w:r>
      <w:r w:rsidR="004752DC" w:rsidRPr="0012458F">
        <w:rPr>
          <w:rFonts w:ascii="Tahoma" w:hAnsi="Tahoma" w:cs="Tahoma"/>
        </w:rPr>
        <w:t xml:space="preserve">dicho: </w:t>
      </w:r>
    </w:p>
    <w:p w14:paraId="483BA2CB" w14:textId="77777777" w:rsidR="004752DC" w:rsidRPr="0012458F" w:rsidRDefault="004752DC" w:rsidP="0012458F">
      <w:pPr>
        <w:tabs>
          <w:tab w:val="left" w:pos="945"/>
        </w:tabs>
        <w:spacing w:line="276" w:lineRule="auto"/>
        <w:jc w:val="both"/>
        <w:rPr>
          <w:rFonts w:ascii="Tahoma" w:hAnsi="Tahoma" w:cs="Tahoma"/>
          <w:i/>
        </w:rPr>
      </w:pPr>
    </w:p>
    <w:p w14:paraId="02D0204C" w14:textId="031075CD" w:rsidR="004752DC" w:rsidRPr="0012458F" w:rsidRDefault="004752DC" w:rsidP="0012458F">
      <w:pPr>
        <w:ind w:left="426" w:right="420"/>
        <w:jc w:val="both"/>
        <w:rPr>
          <w:rFonts w:ascii="Tahoma" w:hAnsi="Tahoma" w:cs="Tahoma"/>
          <w:i/>
          <w:sz w:val="22"/>
        </w:rPr>
      </w:pPr>
      <w:r w:rsidRPr="0012458F">
        <w:rPr>
          <w:rFonts w:ascii="Tahoma" w:hAnsi="Tahoma" w:cs="Tahoma"/>
          <w:sz w:val="22"/>
        </w:rPr>
        <w:t>“</w:t>
      </w:r>
      <w:r w:rsidRPr="0012458F">
        <w:rPr>
          <w:rFonts w:ascii="Tahoma" w:hAnsi="Tahoma" w:cs="Tahoma"/>
          <w:i/>
          <w:sz w:val="22"/>
        </w:rPr>
        <w:t>c) La renuncia del apoderado produce la terminación de la representación, pero no ipso facto, sino pasado un tiempo después de la comunicación del acto al despacho judicial respectivo y al poderd</w:t>
      </w:r>
      <w:r w:rsidR="00A338E4" w:rsidRPr="0012458F">
        <w:rPr>
          <w:rFonts w:ascii="Tahoma" w:hAnsi="Tahoma" w:cs="Tahoma"/>
          <w:i/>
          <w:sz w:val="22"/>
        </w:rPr>
        <w:t>a</w:t>
      </w:r>
      <w:r w:rsidRPr="0012458F">
        <w:rPr>
          <w:rFonts w:ascii="Tahoma" w:hAnsi="Tahoma" w:cs="Tahoma"/>
          <w:i/>
          <w:sz w:val="22"/>
        </w:rPr>
        <w:t>nte</w:t>
      </w:r>
      <w:r w:rsidRPr="0012458F">
        <w:rPr>
          <w:rFonts w:ascii="Tahoma" w:hAnsi="Tahoma" w:cs="Tahoma"/>
          <w:sz w:val="22"/>
        </w:rPr>
        <w:t>”</w:t>
      </w:r>
      <w:r w:rsidRPr="0012458F">
        <w:rPr>
          <w:rStyle w:val="Refdenotaalpie"/>
          <w:rFonts w:ascii="Tahoma" w:hAnsi="Tahoma" w:cs="Tahoma"/>
          <w:i/>
          <w:sz w:val="22"/>
        </w:rPr>
        <w:footnoteReference w:id="14"/>
      </w:r>
      <w:r w:rsidRPr="0012458F">
        <w:rPr>
          <w:rFonts w:ascii="Tahoma" w:hAnsi="Tahoma" w:cs="Tahoma"/>
          <w:i/>
          <w:sz w:val="22"/>
        </w:rPr>
        <w:t>.</w:t>
      </w:r>
    </w:p>
    <w:p w14:paraId="1F1F49FD" w14:textId="77777777" w:rsidR="00A338E4" w:rsidRPr="0012458F" w:rsidRDefault="00A338E4" w:rsidP="0012458F">
      <w:pPr>
        <w:tabs>
          <w:tab w:val="left" w:pos="945"/>
        </w:tabs>
        <w:spacing w:line="276" w:lineRule="auto"/>
        <w:jc w:val="both"/>
        <w:rPr>
          <w:rFonts w:ascii="Tahoma" w:hAnsi="Tahoma" w:cs="Tahoma"/>
        </w:rPr>
      </w:pPr>
    </w:p>
    <w:p w14:paraId="27A080FE" w14:textId="72D411C7" w:rsidR="0066176C" w:rsidRPr="0012458F" w:rsidRDefault="0066176C" w:rsidP="0012458F">
      <w:pPr>
        <w:tabs>
          <w:tab w:val="left" w:pos="945"/>
        </w:tabs>
        <w:spacing w:line="276" w:lineRule="auto"/>
        <w:jc w:val="both"/>
        <w:rPr>
          <w:rFonts w:ascii="Tahoma" w:hAnsi="Tahoma" w:cs="Tahoma"/>
        </w:rPr>
      </w:pPr>
      <w:r w:rsidRPr="0012458F">
        <w:rPr>
          <w:rFonts w:ascii="Tahoma" w:hAnsi="Tahoma" w:cs="Tahoma"/>
        </w:rPr>
        <w:t>En conclusión, el recurso de que se trata se propuso de manera extemporánea</w:t>
      </w:r>
      <w:r w:rsidR="0006502C" w:rsidRPr="0012458F">
        <w:rPr>
          <w:rFonts w:ascii="Tahoma" w:hAnsi="Tahoma" w:cs="Tahoma"/>
        </w:rPr>
        <w:t>.</w:t>
      </w:r>
    </w:p>
    <w:p w14:paraId="0E912F66" w14:textId="77777777" w:rsidR="0006502C" w:rsidRPr="0012458F" w:rsidRDefault="0006502C" w:rsidP="0012458F">
      <w:pPr>
        <w:tabs>
          <w:tab w:val="left" w:pos="945"/>
        </w:tabs>
        <w:spacing w:line="276" w:lineRule="auto"/>
        <w:jc w:val="both"/>
        <w:rPr>
          <w:rFonts w:ascii="Tahoma" w:hAnsi="Tahoma" w:cs="Tahoma"/>
        </w:rPr>
      </w:pPr>
    </w:p>
    <w:p w14:paraId="4CBAE233" w14:textId="4574B202" w:rsidR="0006502C" w:rsidRPr="0012458F" w:rsidRDefault="00A568F7" w:rsidP="0012458F">
      <w:pPr>
        <w:tabs>
          <w:tab w:val="left" w:pos="945"/>
        </w:tabs>
        <w:spacing w:line="276" w:lineRule="auto"/>
        <w:jc w:val="both"/>
        <w:rPr>
          <w:rFonts w:ascii="Tahoma" w:hAnsi="Tahoma" w:cs="Tahoma"/>
        </w:rPr>
      </w:pPr>
      <w:r w:rsidRPr="0012458F">
        <w:rPr>
          <w:rFonts w:ascii="Tahoma" w:hAnsi="Tahoma" w:cs="Tahoma"/>
        </w:rPr>
        <w:t xml:space="preserve">Se </w:t>
      </w:r>
      <w:r w:rsidR="006F2AC3" w:rsidRPr="0012458F">
        <w:rPr>
          <w:rFonts w:ascii="Tahoma" w:hAnsi="Tahoma" w:cs="Tahoma"/>
        </w:rPr>
        <w:t>tiene</w:t>
      </w:r>
      <w:r w:rsidRPr="0012458F">
        <w:rPr>
          <w:rFonts w:ascii="Tahoma" w:hAnsi="Tahoma" w:cs="Tahoma"/>
        </w:rPr>
        <w:t xml:space="preserve"> entonces de lo expuesto que fue acertada la decisión objeto de súplica, razón por la cual se confirmará.</w:t>
      </w:r>
    </w:p>
    <w:p w14:paraId="5381605F" w14:textId="77777777" w:rsidR="0066176C" w:rsidRPr="0012458F" w:rsidRDefault="0066176C" w:rsidP="0012458F">
      <w:pPr>
        <w:tabs>
          <w:tab w:val="left" w:pos="945"/>
        </w:tabs>
        <w:spacing w:line="276" w:lineRule="auto"/>
        <w:jc w:val="both"/>
        <w:rPr>
          <w:rFonts w:ascii="Tahoma" w:hAnsi="Tahoma" w:cs="Tahoma"/>
        </w:rPr>
      </w:pPr>
    </w:p>
    <w:p w14:paraId="255AFD05" w14:textId="77777777" w:rsidR="0066176C" w:rsidRPr="0012458F" w:rsidRDefault="0066176C" w:rsidP="0012458F">
      <w:pPr>
        <w:spacing w:line="276" w:lineRule="auto"/>
        <w:jc w:val="both"/>
        <w:rPr>
          <w:rFonts w:ascii="Tahoma" w:hAnsi="Tahoma" w:cs="Tahoma"/>
        </w:rPr>
      </w:pPr>
      <w:r w:rsidRPr="0012458F">
        <w:rPr>
          <w:rFonts w:ascii="Tahoma" w:hAnsi="Tahoma" w:cs="Tahoma"/>
        </w:rPr>
        <w:t xml:space="preserve">Por lo expuesto, el Tribunal Superior del Distrito Judicial de Pereira, Risaralda, en Sala Unitaria Civil Familia, </w:t>
      </w:r>
    </w:p>
    <w:p w14:paraId="1619CFF6" w14:textId="7BA89974" w:rsidR="001C4F4D" w:rsidRPr="0012458F" w:rsidRDefault="001C4F4D" w:rsidP="0012458F">
      <w:pPr>
        <w:spacing w:line="276" w:lineRule="auto"/>
        <w:jc w:val="both"/>
        <w:rPr>
          <w:rFonts w:ascii="Tahoma" w:hAnsi="Tahoma" w:cs="Tahoma"/>
        </w:rPr>
      </w:pPr>
    </w:p>
    <w:p w14:paraId="2DDCC740" w14:textId="77777777" w:rsidR="00136C84" w:rsidRPr="0012458F" w:rsidRDefault="00136C84" w:rsidP="0012458F">
      <w:pPr>
        <w:spacing w:line="276" w:lineRule="auto"/>
        <w:jc w:val="both"/>
        <w:rPr>
          <w:rFonts w:ascii="Tahoma" w:hAnsi="Tahoma" w:cs="Tahoma"/>
          <w:b/>
        </w:rPr>
      </w:pPr>
      <w:r w:rsidRPr="0012458F">
        <w:rPr>
          <w:rFonts w:ascii="Tahoma" w:hAnsi="Tahoma" w:cs="Tahoma"/>
          <w:b/>
        </w:rPr>
        <w:t>R E S U E L V E </w:t>
      </w:r>
    </w:p>
    <w:p w14:paraId="09D4BD4B" w14:textId="77777777" w:rsidR="00136C84" w:rsidRPr="0012458F" w:rsidRDefault="00136C84" w:rsidP="0012458F">
      <w:pPr>
        <w:spacing w:line="276" w:lineRule="auto"/>
        <w:jc w:val="both"/>
        <w:rPr>
          <w:rFonts w:ascii="Tahoma" w:hAnsi="Tahoma" w:cs="Tahoma"/>
        </w:rPr>
      </w:pPr>
    </w:p>
    <w:p w14:paraId="2346E4D6" w14:textId="0A535EDF" w:rsidR="00A568F7" w:rsidRPr="0012458F" w:rsidRDefault="00136C84" w:rsidP="0012458F">
      <w:pPr>
        <w:tabs>
          <w:tab w:val="left" w:pos="945"/>
        </w:tabs>
        <w:spacing w:line="276" w:lineRule="auto"/>
        <w:jc w:val="both"/>
        <w:rPr>
          <w:rFonts w:ascii="Tahoma" w:hAnsi="Tahoma" w:cs="Tahoma"/>
        </w:rPr>
      </w:pPr>
      <w:r w:rsidRPr="0012458F">
        <w:rPr>
          <w:rFonts w:ascii="Tahoma" w:hAnsi="Tahoma" w:cs="Tahoma"/>
          <w:b/>
        </w:rPr>
        <w:t xml:space="preserve">1º </w:t>
      </w:r>
      <w:r w:rsidR="00A568F7" w:rsidRPr="0012458F">
        <w:rPr>
          <w:rFonts w:ascii="Tahoma" w:hAnsi="Tahoma" w:cs="Tahoma"/>
        </w:rPr>
        <w:t>Confirmar el auto de fecha 17 de octubre último, proferido por el magistrado Jaime Alberto Saraza Naranjo, en el trámite del proceso que instauró la señora María Elena Cuestas Sepúlveda contra Leasing Bolívar S</w:t>
      </w:r>
      <w:r w:rsidR="00B56AA9">
        <w:rPr>
          <w:rFonts w:ascii="Tahoma" w:hAnsi="Tahoma" w:cs="Tahoma"/>
        </w:rPr>
        <w:t>.</w:t>
      </w:r>
      <w:r w:rsidR="00A568F7" w:rsidRPr="0012458F">
        <w:rPr>
          <w:rFonts w:ascii="Tahoma" w:hAnsi="Tahoma" w:cs="Tahoma"/>
        </w:rPr>
        <w:t>A.</w:t>
      </w:r>
    </w:p>
    <w:p w14:paraId="68006CCE" w14:textId="77777777" w:rsidR="000A225A" w:rsidRPr="0012458F" w:rsidRDefault="000A225A" w:rsidP="0012458F">
      <w:pPr>
        <w:spacing w:line="276" w:lineRule="auto"/>
        <w:jc w:val="both"/>
        <w:rPr>
          <w:rFonts w:ascii="Tahoma" w:hAnsi="Tahoma" w:cs="Tahoma"/>
        </w:rPr>
      </w:pPr>
    </w:p>
    <w:p w14:paraId="75A02B04" w14:textId="0C082AAD" w:rsidR="00585404" w:rsidRPr="0012458F" w:rsidRDefault="00585404" w:rsidP="0012458F">
      <w:pPr>
        <w:spacing w:line="276" w:lineRule="auto"/>
        <w:jc w:val="both"/>
        <w:rPr>
          <w:rFonts w:ascii="Tahoma" w:hAnsi="Tahoma" w:cs="Tahoma"/>
        </w:rPr>
      </w:pPr>
      <w:r w:rsidRPr="0012458F">
        <w:rPr>
          <w:rFonts w:ascii="Tahoma" w:hAnsi="Tahoma" w:cs="Tahoma"/>
          <w:b/>
        </w:rPr>
        <w:t>2</w:t>
      </w:r>
      <w:r w:rsidR="005A0BCA" w:rsidRPr="0012458F">
        <w:rPr>
          <w:rFonts w:ascii="Tahoma" w:hAnsi="Tahoma" w:cs="Tahoma"/>
          <w:b/>
        </w:rPr>
        <w:t>º</w:t>
      </w:r>
      <w:r w:rsidRPr="0012458F">
        <w:rPr>
          <w:rFonts w:ascii="Tahoma" w:hAnsi="Tahoma" w:cs="Tahoma"/>
        </w:rPr>
        <w:t xml:space="preserve"> En firme este auto, remítase la actuación al magistrado que dictó la providencia impugnada.</w:t>
      </w:r>
    </w:p>
    <w:p w14:paraId="1C9F2613" w14:textId="77777777" w:rsidR="00585404" w:rsidRPr="0012458F" w:rsidRDefault="00585404" w:rsidP="0012458F">
      <w:pPr>
        <w:spacing w:line="276" w:lineRule="auto"/>
        <w:jc w:val="both"/>
        <w:rPr>
          <w:rFonts w:ascii="Tahoma" w:hAnsi="Tahoma" w:cs="Tahoma"/>
          <w:b/>
        </w:rPr>
      </w:pPr>
    </w:p>
    <w:p w14:paraId="208476DA" w14:textId="77777777" w:rsidR="00585404" w:rsidRPr="0012458F" w:rsidRDefault="00585404" w:rsidP="0012458F">
      <w:pPr>
        <w:spacing w:line="276" w:lineRule="auto"/>
        <w:jc w:val="both"/>
        <w:rPr>
          <w:rFonts w:ascii="Tahoma" w:hAnsi="Tahoma" w:cs="Tahoma"/>
        </w:rPr>
      </w:pPr>
      <w:r w:rsidRPr="0012458F">
        <w:rPr>
          <w:rFonts w:ascii="Tahoma" w:hAnsi="Tahoma" w:cs="Tahoma"/>
        </w:rPr>
        <w:t xml:space="preserve">Notifíquese, </w:t>
      </w:r>
    </w:p>
    <w:p w14:paraId="68B2EF9E" w14:textId="77777777" w:rsidR="00585404" w:rsidRPr="0012458F" w:rsidRDefault="00585404" w:rsidP="0012458F">
      <w:pPr>
        <w:spacing w:line="276" w:lineRule="auto"/>
        <w:jc w:val="both"/>
        <w:rPr>
          <w:rFonts w:ascii="Tahoma" w:hAnsi="Tahoma" w:cs="Tahoma"/>
          <w:b/>
        </w:rPr>
      </w:pPr>
    </w:p>
    <w:p w14:paraId="67909F1B" w14:textId="77777777" w:rsidR="00251537" w:rsidRPr="0012458F" w:rsidRDefault="00251537" w:rsidP="0012458F">
      <w:pPr>
        <w:spacing w:line="276" w:lineRule="auto"/>
        <w:jc w:val="both"/>
        <w:rPr>
          <w:rFonts w:ascii="Tahoma" w:hAnsi="Tahoma" w:cs="Tahoma"/>
        </w:rPr>
      </w:pPr>
      <w:r w:rsidRPr="0012458F">
        <w:rPr>
          <w:rFonts w:ascii="Tahoma" w:hAnsi="Tahoma" w:cs="Tahoma"/>
        </w:rPr>
        <w:t xml:space="preserve">Los Magistrados, </w:t>
      </w:r>
    </w:p>
    <w:p w14:paraId="3234AB7F" w14:textId="77777777" w:rsidR="00251537" w:rsidRPr="0012458F" w:rsidRDefault="00251537" w:rsidP="0012458F">
      <w:pPr>
        <w:spacing w:line="276" w:lineRule="auto"/>
        <w:jc w:val="both"/>
        <w:rPr>
          <w:rFonts w:ascii="Tahoma" w:hAnsi="Tahoma" w:cs="Tahoma"/>
        </w:rPr>
      </w:pPr>
    </w:p>
    <w:p w14:paraId="520624F8" w14:textId="77777777" w:rsidR="008B7478" w:rsidRPr="0012458F" w:rsidRDefault="008B7478" w:rsidP="0012458F">
      <w:pPr>
        <w:spacing w:line="276" w:lineRule="auto"/>
        <w:jc w:val="both"/>
        <w:rPr>
          <w:rFonts w:ascii="Tahoma" w:hAnsi="Tahoma" w:cs="Tahoma"/>
        </w:rPr>
      </w:pPr>
    </w:p>
    <w:p w14:paraId="3059F26F" w14:textId="77777777" w:rsidR="005A0BCA" w:rsidRPr="0012458F" w:rsidRDefault="005A0BCA" w:rsidP="0012458F">
      <w:pPr>
        <w:spacing w:line="276" w:lineRule="auto"/>
        <w:jc w:val="both"/>
        <w:rPr>
          <w:rFonts w:ascii="Tahoma" w:hAnsi="Tahoma" w:cs="Tahoma"/>
          <w:b/>
        </w:rPr>
      </w:pPr>
    </w:p>
    <w:p w14:paraId="40CCC03E" w14:textId="77777777" w:rsidR="00251537" w:rsidRPr="0012458F" w:rsidRDefault="00251537" w:rsidP="0012458F">
      <w:pPr>
        <w:spacing w:line="276" w:lineRule="auto"/>
        <w:jc w:val="both"/>
        <w:rPr>
          <w:rFonts w:ascii="Tahoma" w:hAnsi="Tahoma" w:cs="Tahoma"/>
          <w:b/>
        </w:rPr>
      </w:pPr>
      <w:r w:rsidRPr="0012458F">
        <w:rPr>
          <w:rFonts w:ascii="Tahoma" w:hAnsi="Tahoma" w:cs="Tahoma"/>
          <w:b/>
        </w:rPr>
        <w:tab/>
      </w:r>
      <w:r w:rsidRPr="0012458F">
        <w:rPr>
          <w:rFonts w:ascii="Tahoma" w:hAnsi="Tahoma" w:cs="Tahoma"/>
          <w:b/>
        </w:rPr>
        <w:tab/>
      </w:r>
      <w:r w:rsidRPr="0012458F">
        <w:rPr>
          <w:rFonts w:ascii="Tahoma" w:hAnsi="Tahoma" w:cs="Tahoma"/>
          <w:b/>
        </w:rPr>
        <w:tab/>
        <w:t>CLAUDIA MARÍA ARCILA RÍOS</w:t>
      </w:r>
    </w:p>
    <w:p w14:paraId="09F7ED22" w14:textId="77777777" w:rsidR="00251537" w:rsidRPr="0012458F" w:rsidRDefault="00251537" w:rsidP="0012458F">
      <w:pPr>
        <w:spacing w:line="276" w:lineRule="auto"/>
        <w:jc w:val="both"/>
        <w:rPr>
          <w:rFonts w:ascii="Tahoma" w:hAnsi="Tahoma" w:cs="Tahoma"/>
          <w:b/>
        </w:rPr>
      </w:pPr>
    </w:p>
    <w:p w14:paraId="45A0E81A" w14:textId="77777777" w:rsidR="00251537" w:rsidRPr="0012458F" w:rsidRDefault="00251537" w:rsidP="0012458F">
      <w:pPr>
        <w:spacing w:line="276" w:lineRule="auto"/>
        <w:jc w:val="both"/>
        <w:rPr>
          <w:rFonts w:ascii="Tahoma" w:hAnsi="Tahoma" w:cs="Tahoma"/>
          <w:b/>
        </w:rPr>
      </w:pPr>
    </w:p>
    <w:p w14:paraId="45313AAE" w14:textId="77777777" w:rsidR="007E3FC5" w:rsidRPr="0012458F" w:rsidRDefault="007E3FC5" w:rsidP="0012458F">
      <w:pPr>
        <w:pStyle w:val="Textoindependiente"/>
        <w:spacing w:line="276" w:lineRule="auto"/>
        <w:ind w:left="1416" w:firstLine="708"/>
        <w:rPr>
          <w:rFonts w:cs="Tahoma"/>
          <w:b/>
          <w:sz w:val="24"/>
          <w:szCs w:val="24"/>
        </w:rPr>
      </w:pPr>
    </w:p>
    <w:p w14:paraId="00DB9AAE" w14:textId="53FC5C9B" w:rsidR="00D10477" w:rsidRPr="0012458F" w:rsidRDefault="00251537" w:rsidP="0012458F">
      <w:pPr>
        <w:pStyle w:val="Textoindependiente"/>
        <w:spacing w:line="276" w:lineRule="auto"/>
        <w:ind w:left="1416" w:firstLine="708"/>
        <w:rPr>
          <w:rFonts w:cs="Tahoma"/>
          <w:sz w:val="24"/>
          <w:szCs w:val="24"/>
        </w:rPr>
      </w:pPr>
      <w:proofErr w:type="spellStart"/>
      <w:r w:rsidRPr="0012458F">
        <w:rPr>
          <w:rFonts w:cs="Tahoma"/>
          <w:b/>
          <w:sz w:val="24"/>
          <w:szCs w:val="24"/>
        </w:rPr>
        <w:t>DUBERNEY</w:t>
      </w:r>
      <w:proofErr w:type="spellEnd"/>
      <w:r w:rsidRPr="0012458F">
        <w:rPr>
          <w:rFonts w:cs="Tahoma"/>
          <w:b/>
          <w:sz w:val="24"/>
          <w:szCs w:val="24"/>
        </w:rPr>
        <w:t xml:space="preserve"> GRISALES HERRERA</w:t>
      </w:r>
    </w:p>
    <w:sectPr w:rsidR="00D10477" w:rsidRPr="0012458F" w:rsidSect="0012458F">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6024" w14:textId="77777777" w:rsidR="00621DAF" w:rsidRDefault="00621DAF" w:rsidP="00B932FA">
      <w:r>
        <w:separator/>
      </w:r>
    </w:p>
  </w:endnote>
  <w:endnote w:type="continuationSeparator" w:id="0">
    <w:p w14:paraId="1EE037A3" w14:textId="77777777" w:rsidR="00621DAF" w:rsidRDefault="00621DAF" w:rsidP="00B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47351"/>
      <w:docPartObj>
        <w:docPartGallery w:val="Page Numbers (Bottom of Page)"/>
        <w:docPartUnique/>
      </w:docPartObj>
    </w:sdtPr>
    <w:sdtEndPr>
      <w:rPr>
        <w:rFonts w:ascii="Arial" w:hAnsi="Arial" w:cs="Arial"/>
        <w:sz w:val="18"/>
      </w:rPr>
    </w:sdtEndPr>
    <w:sdtContent>
      <w:p w14:paraId="720B9D66" w14:textId="6618584B" w:rsidR="00C75438" w:rsidRPr="0012458F" w:rsidRDefault="00C75438">
        <w:pPr>
          <w:pStyle w:val="Piedepgina"/>
          <w:jc w:val="right"/>
          <w:rPr>
            <w:rFonts w:ascii="Arial" w:hAnsi="Arial" w:cs="Arial"/>
            <w:sz w:val="18"/>
          </w:rPr>
        </w:pPr>
        <w:r w:rsidRPr="0012458F">
          <w:rPr>
            <w:rFonts w:ascii="Arial" w:hAnsi="Arial" w:cs="Arial"/>
            <w:sz w:val="18"/>
          </w:rPr>
          <w:fldChar w:fldCharType="begin"/>
        </w:r>
        <w:r w:rsidRPr="0012458F">
          <w:rPr>
            <w:rFonts w:ascii="Arial" w:hAnsi="Arial" w:cs="Arial"/>
            <w:sz w:val="18"/>
          </w:rPr>
          <w:instrText>PAGE   \* MERGEFORMAT</w:instrText>
        </w:r>
        <w:r w:rsidRPr="0012458F">
          <w:rPr>
            <w:rFonts w:ascii="Arial" w:hAnsi="Arial" w:cs="Arial"/>
            <w:sz w:val="18"/>
          </w:rPr>
          <w:fldChar w:fldCharType="separate"/>
        </w:r>
        <w:r w:rsidR="00300655">
          <w:rPr>
            <w:rFonts w:ascii="Arial" w:hAnsi="Arial" w:cs="Arial"/>
            <w:noProof/>
            <w:sz w:val="18"/>
          </w:rPr>
          <w:t>1</w:t>
        </w:r>
        <w:r w:rsidRPr="0012458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876AA" w14:textId="77777777" w:rsidR="00621DAF" w:rsidRDefault="00621DAF" w:rsidP="00B932FA">
      <w:r>
        <w:separator/>
      </w:r>
    </w:p>
  </w:footnote>
  <w:footnote w:type="continuationSeparator" w:id="0">
    <w:p w14:paraId="50333653" w14:textId="77777777" w:rsidR="00621DAF" w:rsidRDefault="00621DAF" w:rsidP="00B932FA">
      <w:r>
        <w:continuationSeparator/>
      </w:r>
    </w:p>
  </w:footnote>
  <w:footnote w:id="1">
    <w:p w14:paraId="701690A8" w14:textId="77777777" w:rsidR="001053E0" w:rsidRPr="0012458F" w:rsidRDefault="001053E0"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 xml:space="preserve">De conformidad con el inciso 2º del artículo 332 del Código General del Proceso. </w:t>
      </w:r>
    </w:p>
  </w:footnote>
  <w:footnote w:id="2">
    <w:p w14:paraId="478C4F6A" w14:textId="3E1C7708" w:rsidR="00BA48E6" w:rsidRPr="0012458F" w:rsidRDefault="00BA48E6"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Folios 137 a 141, cuaderno principal.</w:t>
      </w:r>
    </w:p>
  </w:footnote>
  <w:footnote w:id="3">
    <w:p w14:paraId="3F99CC89" w14:textId="60193447" w:rsidR="00BA48E6" w:rsidRPr="0012458F" w:rsidRDefault="00BA48E6"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 142, cuaderno principal.</w:t>
      </w:r>
    </w:p>
  </w:footnote>
  <w:footnote w:id="4">
    <w:p w14:paraId="04A0D90B" w14:textId="4C86FE4C" w:rsidR="00BA48E6" w:rsidRPr="0012458F" w:rsidRDefault="00BA48E6"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 142, cuaderno principal.</w:t>
      </w:r>
    </w:p>
  </w:footnote>
  <w:footnote w:id="5">
    <w:p w14:paraId="670DDED7" w14:textId="75A06F69" w:rsidR="00A65BED" w:rsidRPr="0012458F" w:rsidRDefault="00A65BED"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 143, cuaderno principal.</w:t>
      </w:r>
    </w:p>
  </w:footnote>
  <w:footnote w:id="6">
    <w:p w14:paraId="08286C06" w14:textId="51683C2F" w:rsidR="00935239" w:rsidRPr="0012458F" w:rsidRDefault="00935239"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 143, cuaderno principal.</w:t>
      </w:r>
    </w:p>
  </w:footnote>
  <w:footnote w:id="7">
    <w:p w14:paraId="2CBAF217" w14:textId="1E26DF2B" w:rsidR="00136C84" w:rsidRPr="0012458F" w:rsidRDefault="00136C84"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 14</w:t>
      </w:r>
      <w:r w:rsidR="00A65BED" w:rsidRPr="0012458F">
        <w:rPr>
          <w:rFonts w:ascii="Arial" w:hAnsi="Arial" w:cs="Arial"/>
          <w:sz w:val="18"/>
          <w:szCs w:val="18"/>
          <w:lang w:val="es-CO"/>
        </w:rPr>
        <w:t>4</w:t>
      </w:r>
      <w:r w:rsidR="006F2AC3" w:rsidRPr="0012458F">
        <w:rPr>
          <w:rFonts w:ascii="Arial" w:hAnsi="Arial" w:cs="Arial"/>
          <w:sz w:val="18"/>
          <w:szCs w:val="18"/>
          <w:lang w:val="es-CO"/>
        </w:rPr>
        <w:t xml:space="preserve"> vuelto</w:t>
      </w:r>
      <w:r w:rsidRPr="0012458F">
        <w:rPr>
          <w:rFonts w:ascii="Arial" w:hAnsi="Arial" w:cs="Arial"/>
          <w:sz w:val="18"/>
          <w:szCs w:val="18"/>
          <w:lang w:val="es-CO"/>
        </w:rPr>
        <w:t>, cuaderno principal.</w:t>
      </w:r>
    </w:p>
  </w:footnote>
  <w:footnote w:id="8">
    <w:p w14:paraId="0D5074A7" w14:textId="6E78E397" w:rsidR="00A65BED" w:rsidRPr="0012458F" w:rsidRDefault="00A65BED"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 146, cuaderno principal.</w:t>
      </w:r>
    </w:p>
  </w:footnote>
  <w:footnote w:id="9">
    <w:p w14:paraId="08787EDB" w14:textId="57F789B6" w:rsidR="00136C84" w:rsidRPr="0012458F" w:rsidRDefault="00136C84"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Folios 14</w:t>
      </w:r>
      <w:r w:rsidR="00A65BED" w:rsidRPr="0012458F">
        <w:rPr>
          <w:rFonts w:ascii="Arial" w:hAnsi="Arial" w:cs="Arial"/>
          <w:sz w:val="18"/>
          <w:szCs w:val="18"/>
          <w:lang w:val="es-CO"/>
        </w:rPr>
        <w:t>7 a 151</w:t>
      </w:r>
      <w:r w:rsidRPr="0012458F">
        <w:rPr>
          <w:rFonts w:ascii="Arial" w:hAnsi="Arial" w:cs="Arial"/>
          <w:sz w:val="18"/>
          <w:szCs w:val="18"/>
          <w:lang w:val="es-CO"/>
        </w:rPr>
        <w:t>, cuaderno principal.</w:t>
      </w:r>
    </w:p>
  </w:footnote>
  <w:footnote w:id="10">
    <w:p w14:paraId="1520EBCF" w14:textId="56A6EBC3" w:rsidR="00416A40" w:rsidRPr="0012458F" w:rsidRDefault="00416A40"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Folios 3 y 4, cuaderno de segunda instancia.</w:t>
      </w:r>
    </w:p>
  </w:footnote>
  <w:footnote w:id="11">
    <w:p w14:paraId="130BBD73" w14:textId="0058B5A6" w:rsidR="005D32FB" w:rsidRPr="0012458F" w:rsidRDefault="005D32FB"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Folios 5 a 7, cuaderno de segunda instancia.</w:t>
      </w:r>
    </w:p>
  </w:footnote>
  <w:footnote w:id="12">
    <w:p w14:paraId="43E8F717" w14:textId="70F83670" w:rsidR="00B52560" w:rsidRPr="0012458F" w:rsidRDefault="00B52560"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C</w:t>
      </w:r>
      <w:r w:rsidR="00A568F7" w:rsidRPr="0012458F">
        <w:rPr>
          <w:rFonts w:ascii="Arial" w:hAnsi="Arial" w:cs="Arial"/>
          <w:sz w:val="18"/>
          <w:szCs w:val="18"/>
          <w:lang w:val="es-CO"/>
        </w:rPr>
        <w:t xml:space="preserve">ódigo General del Proceso, </w:t>
      </w:r>
      <w:proofErr w:type="spellStart"/>
      <w:r w:rsidRPr="0012458F">
        <w:rPr>
          <w:rFonts w:ascii="Arial" w:hAnsi="Arial" w:cs="Arial"/>
          <w:sz w:val="18"/>
          <w:szCs w:val="18"/>
          <w:lang w:val="es-CO"/>
        </w:rPr>
        <w:t>E</w:t>
      </w:r>
      <w:r w:rsidR="00A568F7" w:rsidRPr="0012458F">
        <w:rPr>
          <w:rFonts w:ascii="Arial" w:hAnsi="Arial" w:cs="Arial"/>
          <w:sz w:val="18"/>
          <w:szCs w:val="18"/>
          <w:lang w:val="es-CO"/>
        </w:rPr>
        <w:t>SAJU</w:t>
      </w:r>
      <w:proofErr w:type="spellEnd"/>
      <w:r w:rsidRPr="0012458F">
        <w:rPr>
          <w:rFonts w:ascii="Arial" w:hAnsi="Arial" w:cs="Arial"/>
          <w:sz w:val="18"/>
          <w:szCs w:val="18"/>
          <w:lang w:val="es-CO"/>
        </w:rPr>
        <w:t>. Página 510.</w:t>
      </w:r>
    </w:p>
  </w:footnote>
  <w:footnote w:id="13">
    <w:p w14:paraId="15713B86" w14:textId="43EDD668" w:rsidR="005A0BCA" w:rsidRPr="0012458F" w:rsidRDefault="005A0BCA"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 xml:space="preserve">Procedimiento Civil, Tomo I. Hernán Fabio López Blanco. </w:t>
      </w:r>
      <w:proofErr w:type="spellStart"/>
      <w:r w:rsidRPr="0012458F">
        <w:rPr>
          <w:rFonts w:ascii="Arial" w:hAnsi="Arial" w:cs="Arial"/>
          <w:sz w:val="18"/>
          <w:szCs w:val="18"/>
          <w:lang w:val="es-CO"/>
        </w:rPr>
        <w:t>Dupré</w:t>
      </w:r>
      <w:proofErr w:type="spellEnd"/>
      <w:r w:rsidRPr="0012458F">
        <w:rPr>
          <w:rFonts w:ascii="Arial" w:hAnsi="Arial" w:cs="Arial"/>
          <w:sz w:val="18"/>
          <w:szCs w:val="18"/>
          <w:lang w:val="es-CO"/>
        </w:rPr>
        <w:t xml:space="preserve"> Editores, Novena Edición, página 382.</w:t>
      </w:r>
    </w:p>
  </w:footnote>
  <w:footnote w:id="14">
    <w:p w14:paraId="6CBFA1BF" w14:textId="68D20DE9" w:rsidR="004752DC" w:rsidRPr="0012458F" w:rsidRDefault="004752DC" w:rsidP="0012458F">
      <w:pPr>
        <w:pStyle w:val="Textonotapie"/>
        <w:jc w:val="both"/>
        <w:rPr>
          <w:rFonts w:ascii="Arial" w:hAnsi="Arial" w:cs="Arial"/>
          <w:sz w:val="18"/>
          <w:szCs w:val="18"/>
          <w:lang w:val="es-CO"/>
        </w:rPr>
      </w:pPr>
      <w:r w:rsidRPr="0012458F">
        <w:rPr>
          <w:rStyle w:val="Refdenotaalpie"/>
          <w:rFonts w:ascii="Arial" w:hAnsi="Arial" w:cs="Arial"/>
          <w:sz w:val="18"/>
          <w:szCs w:val="18"/>
        </w:rPr>
        <w:footnoteRef/>
      </w:r>
      <w:r w:rsidRPr="0012458F">
        <w:rPr>
          <w:rFonts w:ascii="Arial" w:hAnsi="Arial" w:cs="Arial"/>
          <w:sz w:val="18"/>
          <w:szCs w:val="18"/>
        </w:rPr>
        <w:t xml:space="preserve"> </w:t>
      </w:r>
      <w:r w:rsidRPr="0012458F">
        <w:rPr>
          <w:rFonts w:ascii="Arial" w:hAnsi="Arial" w:cs="Arial"/>
          <w:sz w:val="18"/>
          <w:szCs w:val="18"/>
          <w:lang w:val="es-CO"/>
        </w:rPr>
        <w:t xml:space="preserve">Código General del Proceso. </w:t>
      </w:r>
      <w:proofErr w:type="spellStart"/>
      <w:r w:rsidRPr="0012458F">
        <w:rPr>
          <w:rFonts w:ascii="Arial" w:hAnsi="Arial" w:cs="Arial"/>
          <w:sz w:val="18"/>
          <w:szCs w:val="18"/>
          <w:lang w:val="es-CO"/>
        </w:rPr>
        <w:t>ESAJU</w:t>
      </w:r>
      <w:proofErr w:type="spellEnd"/>
      <w:r w:rsidRPr="0012458F">
        <w:rPr>
          <w:rFonts w:ascii="Arial" w:hAnsi="Arial" w:cs="Arial"/>
          <w:sz w:val="18"/>
          <w:szCs w:val="18"/>
          <w:lang w:val="es-CO"/>
        </w:rPr>
        <w:t>. Miguel Enrique Rojas Gómez, página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F7DE" w14:textId="77777777" w:rsidR="00435796" w:rsidRDefault="00BF3E46" w:rsidP="004357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D7E854" w14:textId="77777777" w:rsidR="00435796" w:rsidRDefault="00435796" w:rsidP="0043579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4B95" w14:textId="77777777" w:rsidR="00435796" w:rsidRPr="006D2A7F" w:rsidRDefault="00435796" w:rsidP="00435796">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2">
    <w:nsid w:val="64642A80"/>
    <w:multiLevelType w:val="hybridMultilevel"/>
    <w:tmpl w:val="BBB8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pStyle w:val="Ttulo2"/>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FA"/>
    <w:rsid w:val="0000016A"/>
    <w:rsid w:val="000032B6"/>
    <w:rsid w:val="00005CEF"/>
    <w:rsid w:val="000129B9"/>
    <w:rsid w:val="00017F13"/>
    <w:rsid w:val="00023E16"/>
    <w:rsid w:val="00043065"/>
    <w:rsid w:val="00045522"/>
    <w:rsid w:val="00052A76"/>
    <w:rsid w:val="0006502C"/>
    <w:rsid w:val="00090739"/>
    <w:rsid w:val="00094F21"/>
    <w:rsid w:val="000A00A0"/>
    <w:rsid w:val="000A225A"/>
    <w:rsid w:val="000A3B47"/>
    <w:rsid w:val="000A5745"/>
    <w:rsid w:val="000B6614"/>
    <w:rsid w:val="000C0163"/>
    <w:rsid w:val="000C4498"/>
    <w:rsid w:val="000C7212"/>
    <w:rsid w:val="000D5589"/>
    <w:rsid w:val="000D6547"/>
    <w:rsid w:val="000E211E"/>
    <w:rsid w:val="000F6A37"/>
    <w:rsid w:val="001029FD"/>
    <w:rsid w:val="001053E0"/>
    <w:rsid w:val="001110D2"/>
    <w:rsid w:val="0012458F"/>
    <w:rsid w:val="00126022"/>
    <w:rsid w:val="00135F39"/>
    <w:rsid w:val="00136C84"/>
    <w:rsid w:val="00141E2D"/>
    <w:rsid w:val="00142582"/>
    <w:rsid w:val="0014442F"/>
    <w:rsid w:val="0015669F"/>
    <w:rsid w:val="0016296F"/>
    <w:rsid w:val="00165D6D"/>
    <w:rsid w:val="001732A7"/>
    <w:rsid w:val="001738ED"/>
    <w:rsid w:val="00183CA7"/>
    <w:rsid w:val="001911EF"/>
    <w:rsid w:val="00195FF7"/>
    <w:rsid w:val="001971F5"/>
    <w:rsid w:val="001A4CB6"/>
    <w:rsid w:val="001C4F4D"/>
    <w:rsid w:val="001D4635"/>
    <w:rsid w:val="001F35F0"/>
    <w:rsid w:val="001F73F2"/>
    <w:rsid w:val="002179CA"/>
    <w:rsid w:val="0022460B"/>
    <w:rsid w:val="0022637A"/>
    <w:rsid w:val="00230443"/>
    <w:rsid w:val="00234974"/>
    <w:rsid w:val="00243974"/>
    <w:rsid w:val="00247CCB"/>
    <w:rsid w:val="002500FC"/>
    <w:rsid w:val="00251537"/>
    <w:rsid w:val="00257967"/>
    <w:rsid w:val="0027163D"/>
    <w:rsid w:val="00273C4F"/>
    <w:rsid w:val="00276093"/>
    <w:rsid w:val="00285247"/>
    <w:rsid w:val="00285AA6"/>
    <w:rsid w:val="002949D2"/>
    <w:rsid w:val="00295823"/>
    <w:rsid w:val="002B35A2"/>
    <w:rsid w:val="002B3B7C"/>
    <w:rsid w:val="002B4442"/>
    <w:rsid w:val="002C2C1E"/>
    <w:rsid w:val="002C64A0"/>
    <w:rsid w:val="002C7DD2"/>
    <w:rsid w:val="002D5F6A"/>
    <w:rsid w:val="002F4271"/>
    <w:rsid w:val="00300655"/>
    <w:rsid w:val="00303B04"/>
    <w:rsid w:val="00315633"/>
    <w:rsid w:val="00323AD6"/>
    <w:rsid w:val="003263FF"/>
    <w:rsid w:val="003315FA"/>
    <w:rsid w:val="00351FA4"/>
    <w:rsid w:val="003540A5"/>
    <w:rsid w:val="0035649A"/>
    <w:rsid w:val="00365774"/>
    <w:rsid w:val="00367A33"/>
    <w:rsid w:val="00367F94"/>
    <w:rsid w:val="00382FB8"/>
    <w:rsid w:val="003B5336"/>
    <w:rsid w:val="003C339F"/>
    <w:rsid w:val="003C7C88"/>
    <w:rsid w:val="003D11F0"/>
    <w:rsid w:val="00402C87"/>
    <w:rsid w:val="00416A40"/>
    <w:rsid w:val="00417C7B"/>
    <w:rsid w:val="00424C69"/>
    <w:rsid w:val="004317E8"/>
    <w:rsid w:val="004335B4"/>
    <w:rsid w:val="004354B4"/>
    <w:rsid w:val="00435796"/>
    <w:rsid w:val="004363FB"/>
    <w:rsid w:val="004373B1"/>
    <w:rsid w:val="0043777C"/>
    <w:rsid w:val="00454670"/>
    <w:rsid w:val="004752DC"/>
    <w:rsid w:val="0047549B"/>
    <w:rsid w:val="004926C6"/>
    <w:rsid w:val="00496E21"/>
    <w:rsid w:val="004A7ACB"/>
    <w:rsid w:val="004B03A4"/>
    <w:rsid w:val="004B7C37"/>
    <w:rsid w:val="004C598D"/>
    <w:rsid w:val="004D4F19"/>
    <w:rsid w:val="004E0D61"/>
    <w:rsid w:val="004E1284"/>
    <w:rsid w:val="004E30B8"/>
    <w:rsid w:val="004E5A9E"/>
    <w:rsid w:val="004F6983"/>
    <w:rsid w:val="00543A71"/>
    <w:rsid w:val="00564835"/>
    <w:rsid w:val="00574A38"/>
    <w:rsid w:val="00574F88"/>
    <w:rsid w:val="005761D0"/>
    <w:rsid w:val="0057741C"/>
    <w:rsid w:val="005833D8"/>
    <w:rsid w:val="00585404"/>
    <w:rsid w:val="00595EAB"/>
    <w:rsid w:val="005A04C6"/>
    <w:rsid w:val="005A097E"/>
    <w:rsid w:val="005A0BCA"/>
    <w:rsid w:val="005B1036"/>
    <w:rsid w:val="005B1CFC"/>
    <w:rsid w:val="005B1FBF"/>
    <w:rsid w:val="005B714D"/>
    <w:rsid w:val="005C7A00"/>
    <w:rsid w:val="005D32FB"/>
    <w:rsid w:val="0060454A"/>
    <w:rsid w:val="00621DAF"/>
    <w:rsid w:val="00627C55"/>
    <w:rsid w:val="00634FE2"/>
    <w:rsid w:val="0063659D"/>
    <w:rsid w:val="00642232"/>
    <w:rsid w:val="00650FC0"/>
    <w:rsid w:val="006530A2"/>
    <w:rsid w:val="0066176C"/>
    <w:rsid w:val="00664779"/>
    <w:rsid w:val="0068426A"/>
    <w:rsid w:val="00694065"/>
    <w:rsid w:val="006A13D9"/>
    <w:rsid w:val="006A5FE1"/>
    <w:rsid w:val="006C5E07"/>
    <w:rsid w:val="006D4ED2"/>
    <w:rsid w:val="006E296C"/>
    <w:rsid w:val="006E6B8D"/>
    <w:rsid w:val="006F2AC3"/>
    <w:rsid w:val="006F3EB4"/>
    <w:rsid w:val="0070004A"/>
    <w:rsid w:val="00701DBA"/>
    <w:rsid w:val="00704344"/>
    <w:rsid w:val="00726063"/>
    <w:rsid w:val="0073432B"/>
    <w:rsid w:val="0074196E"/>
    <w:rsid w:val="00741E00"/>
    <w:rsid w:val="007428F9"/>
    <w:rsid w:val="0074346C"/>
    <w:rsid w:val="00744B59"/>
    <w:rsid w:val="00762BF5"/>
    <w:rsid w:val="00770C16"/>
    <w:rsid w:val="007961C5"/>
    <w:rsid w:val="007A3C82"/>
    <w:rsid w:val="007B2845"/>
    <w:rsid w:val="007C24B8"/>
    <w:rsid w:val="007E3FC5"/>
    <w:rsid w:val="007F012C"/>
    <w:rsid w:val="007F2B54"/>
    <w:rsid w:val="007F4810"/>
    <w:rsid w:val="007F77A6"/>
    <w:rsid w:val="00810E39"/>
    <w:rsid w:val="00813830"/>
    <w:rsid w:val="00825505"/>
    <w:rsid w:val="00825566"/>
    <w:rsid w:val="008444D0"/>
    <w:rsid w:val="00846DC8"/>
    <w:rsid w:val="008A568A"/>
    <w:rsid w:val="008A5E16"/>
    <w:rsid w:val="008B3DAE"/>
    <w:rsid w:val="008B46D3"/>
    <w:rsid w:val="008B7478"/>
    <w:rsid w:val="008D132A"/>
    <w:rsid w:val="008D1EB0"/>
    <w:rsid w:val="008D5EE1"/>
    <w:rsid w:val="008D60C9"/>
    <w:rsid w:val="008E5A64"/>
    <w:rsid w:val="008E5D29"/>
    <w:rsid w:val="008E735D"/>
    <w:rsid w:val="008F1787"/>
    <w:rsid w:val="009033D1"/>
    <w:rsid w:val="009110C5"/>
    <w:rsid w:val="00915A67"/>
    <w:rsid w:val="00923868"/>
    <w:rsid w:val="00925C87"/>
    <w:rsid w:val="00930F9D"/>
    <w:rsid w:val="00935239"/>
    <w:rsid w:val="00945C49"/>
    <w:rsid w:val="00956473"/>
    <w:rsid w:val="009612F0"/>
    <w:rsid w:val="00972D74"/>
    <w:rsid w:val="00987388"/>
    <w:rsid w:val="00992684"/>
    <w:rsid w:val="009B3848"/>
    <w:rsid w:val="009D0EA7"/>
    <w:rsid w:val="009D13BC"/>
    <w:rsid w:val="009D20B3"/>
    <w:rsid w:val="009D2127"/>
    <w:rsid w:val="009D5EE5"/>
    <w:rsid w:val="00A00EA3"/>
    <w:rsid w:val="00A034EB"/>
    <w:rsid w:val="00A2034B"/>
    <w:rsid w:val="00A21A2B"/>
    <w:rsid w:val="00A338E4"/>
    <w:rsid w:val="00A41517"/>
    <w:rsid w:val="00A4687F"/>
    <w:rsid w:val="00A46E1A"/>
    <w:rsid w:val="00A473FD"/>
    <w:rsid w:val="00A568F7"/>
    <w:rsid w:val="00A65BED"/>
    <w:rsid w:val="00A82B44"/>
    <w:rsid w:val="00A87463"/>
    <w:rsid w:val="00AA6642"/>
    <w:rsid w:val="00AA7590"/>
    <w:rsid w:val="00AB1E60"/>
    <w:rsid w:val="00AB47E5"/>
    <w:rsid w:val="00AB62ED"/>
    <w:rsid w:val="00AD569E"/>
    <w:rsid w:val="00AD7428"/>
    <w:rsid w:val="00AE0AA4"/>
    <w:rsid w:val="00AE1EBB"/>
    <w:rsid w:val="00AE7FB2"/>
    <w:rsid w:val="00AF6C71"/>
    <w:rsid w:val="00B10099"/>
    <w:rsid w:val="00B230C5"/>
    <w:rsid w:val="00B23EE1"/>
    <w:rsid w:val="00B3310F"/>
    <w:rsid w:val="00B42424"/>
    <w:rsid w:val="00B466DB"/>
    <w:rsid w:val="00B51900"/>
    <w:rsid w:val="00B52560"/>
    <w:rsid w:val="00B54905"/>
    <w:rsid w:val="00B56AA9"/>
    <w:rsid w:val="00B60B62"/>
    <w:rsid w:val="00B61786"/>
    <w:rsid w:val="00B704A6"/>
    <w:rsid w:val="00B71DDA"/>
    <w:rsid w:val="00B774A2"/>
    <w:rsid w:val="00B836C7"/>
    <w:rsid w:val="00B932FA"/>
    <w:rsid w:val="00B979F7"/>
    <w:rsid w:val="00BA0F01"/>
    <w:rsid w:val="00BA48E6"/>
    <w:rsid w:val="00BB0A83"/>
    <w:rsid w:val="00BE30F2"/>
    <w:rsid w:val="00BE5DD2"/>
    <w:rsid w:val="00BE6BBD"/>
    <w:rsid w:val="00BF0494"/>
    <w:rsid w:val="00BF3E46"/>
    <w:rsid w:val="00BF6A40"/>
    <w:rsid w:val="00C06248"/>
    <w:rsid w:val="00C1168A"/>
    <w:rsid w:val="00C15377"/>
    <w:rsid w:val="00C17038"/>
    <w:rsid w:val="00C20B40"/>
    <w:rsid w:val="00C215D2"/>
    <w:rsid w:val="00C219B9"/>
    <w:rsid w:val="00C35C01"/>
    <w:rsid w:val="00C47A51"/>
    <w:rsid w:val="00C56E38"/>
    <w:rsid w:val="00C75438"/>
    <w:rsid w:val="00C879D6"/>
    <w:rsid w:val="00C9178C"/>
    <w:rsid w:val="00C92523"/>
    <w:rsid w:val="00C9289E"/>
    <w:rsid w:val="00CA13E6"/>
    <w:rsid w:val="00CA2CE4"/>
    <w:rsid w:val="00CA3963"/>
    <w:rsid w:val="00CA7921"/>
    <w:rsid w:val="00CB3942"/>
    <w:rsid w:val="00CC33DE"/>
    <w:rsid w:val="00CE3F43"/>
    <w:rsid w:val="00D010AA"/>
    <w:rsid w:val="00D10477"/>
    <w:rsid w:val="00D23052"/>
    <w:rsid w:val="00D25420"/>
    <w:rsid w:val="00D263C9"/>
    <w:rsid w:val="00D61D70"/>
    <w:rsid w:val="00D65316"/>
    <w:rsid w:val="00D70401"/>
    <w:rsid w:val="00D763C8"/>
    <w:rsid w:val="00D9359F"/>
    <w:rsid w:val="00D96278"/>
    <w:rsid w:val="00DA421F"/>
    <w:rsid w:val="00DC4022"/>
    <w:rsid w:val="00DD0B3A"/>
    <w:rsid w:val="00DF15ED"/>
    <w:rsid w:val="00DF3B19"/>
    <w:rsid w:val="00DF4430"/>
    <w:rsid w:val="00DF57FB"/>
    <w:rsid w:val="00DF5A46"/>
    <w:rsid w:val="00E178CF"/>
    <w:rsid w:val="00E21BE5"/>
    <w:rsid w:val="00E31F22"/>
    <w:rsid w:val="00E34320"/>
    <w:rsid w:val="00E34CC4"/>
    <w:rsid w:val="00E47FB4"/>
    <w:rsid w:val="00E52181"/>
    <w:rsid w:val="00E53F7B"/>
    <w:rsid w:val="00E75F49"/>
    <w:rsid w:val="00E764B5"/>
    <w:rsid w:val="00E8185A"/>
    <w:rsid w:val="00E81A5D"/>
    <w:rsid w:val="00E829F8"/>
    <w:rsid w:val="00E918E7"/>
    <w:rsid w:val="00E97179"/>
    <w:rsid w:val="00EB57E9"/>
    <w:rsid w:val="00EC1C90"/>
    <w:rsid w:val="00ED70EF"/>
    <w:rsid w:val="00EE738C"/>
    <w:rsid w:val="00EF2029"/>
    <w:rsid w:val="00EF626D"/>
    <w:rsid w:val="00F06B0B"/>
    <w:rsid w:val="00F076A2"/>
    <w:rsid w:val="00F13F97"/>
    <w:rsid w:val="00F4324D"/>
    <w:rsid w:val="00F43E7C"/>
    <w:rsid w:val="00F47B20"/>
    <w:rsid w:val="00F53E3D"/>
    <w:rsid w:val="00F54305"/>
    <w:rsid w:val="00F547E5"/>
    <w:rsid w:val="00F5511E"/>
    <w:rsid w:val="00F55680"/>
    <w:rsid w:val="00F72316"/>
    <w:rsid w:val="00F75477"/>
    <w:rsid w:val="00F801A2"/>
    <w:rsid w:val="00F82AFA"/>
    <w:rsid w:val="00FA055F"/>
    <w:rsid w:val="00FA4312"/>
    <w:rsid w:val="00FA7B18"/>
    <w:rsid w:val="00FB10FC"/>
    <w:rsid w:val="00FC22BA"/>
    <w:rsid w:val="00FD0205"/>
    <w:rsid w:val="00FD085C"/>
    <w:rsid w:val="00FD5253"/>
    <w:rsid w:val="00FE4119"/>
    <w:rsid w:val="00FE4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F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104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51537"/>
    <w:pPr>
      <w:keepNext/>
      <w:numPr>
        <w:ilvl w:val="1"/>
        <w:numId w:val="1"/>
      </w:numPr>
      <w:suppressAutoHyphens/>
      <w:overflowPunct w:val="0"/>
      <w:autoSpaceDE w:val="0"/>
      <w:jc w:val="center"/>
      <w:textAlignment w:val="baseline"/>
      <w:outlineLvl w:val="1"/>
    </w:pPr>
    <w:rPr>
      <w:rFonts w:ascii="Verdana" w:hAnsi="Verdana"/>
      <w:b/>
      <w:spacing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932FA"/>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B932FA"/>
    <w:pPr>
      <w:tabs>
        <w:tab w:val="center" w:pos="4252"/>
        <w:tab w:val="right" w:pos="8504"/>
      </w:tabs>
    </w:pPr>
  </w:style>
  <w:style w:type="character" w:customStyle="1" w:styleId="EncabezadoCar">
    <w:name w:val="Encabezado Car"/>
    <w:basedOn w:val="Fuentedeprrafopredeter"/>
    <w:link w:val="Encabezado"/>
    <w:uiPriority w:val="99"/>
    <w:rsid w:val="00B932FA"/>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B932FA"/>
    <w:rPr>
      <w:rFonts w:cs="Times New Roman"/>
    </w:rPr>
  </w:style>
  <w:style w:type="paragraph" w:styleId="Sinespaciado">
    <w:name w:val="No Spacing"/>
    <w:link w:val="SinespaciadoCar"/>
    <w:uiPriority w:val="1"/>
    <w:qFormat/>
    <w:rsid w:val="00B932FA"/>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B932FA"/>
    <w:pPr>
      <w:ind w:left="720"/>
      <w:contextualSpacing/>
    </w:pPr>
  </w:style>
  <w:style w:type="paragraph" w:styleId="Textoindependiente">
    <w:name w:val="Body Text"/>
    <w:basedOn w:val="Normal"/>
    <w:link w:val="TextoindependienteCar"/>
    <w:uiPriority w:val="99"/>
    <w:rsid w:val="00B932FA"/>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B932FA"/>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B932FA"/>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932FA"/>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B932FA"/>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B932FA"/>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rsid w:val="00B932FA"/>
    <w:rPr>
      <w:rFonts w:cs="Times New Roman"/>
      <w:vertAlign w:val="superscript"/>
    </w:rPr>
  </w:style>
  <w:style w:type="paragraph" w:styleId="Ttulo">
    <w:name w:val="Title"/>
    <w:basedOn w:val="Normal"/>
    <w:link w:val="TtuloCar1"/>
    <w:qFormat/>
    <w:rsid w:val="00B932FA"/>
    <w:pPr>
      <w:jc w:val="center"/>
    </w:pPr>
    <w:rPr>
      <w:rFonts w:ascii="Arial" w:hAnsi="Arial" w:cs="Arial"/>
      <w:b/>
      <w:bCs/>
      <w:i/>
      <w:iCs/>
    </w:rPr>
  </w:style>
  <w:style w:type="character" w:customStyle="1" w:styleId="TtuloCar1">
    <w:name w:val="Título Car1"/>
    <w:basedOn w:val="Fuentedeprrafopredeter"/>
    <w:link w:val="Ttulo"/>
    <w:uiPriority w:val="99"/>
    <w:rsid w:val="00B932FA"/>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B932FA"/>
    <w:rPr>
      <w:rFonts w:ascii="Calibri" w:eastAsia="Times New Roman" w:hAnsi="Calibri" w:cs="Times New Roman"/>
      <w:lang w:eastAsia="es-ES"/>
    </w:rPr>
  </w:style>
  <w:style w:type="character" w:customStyle="1" w:styleId="Ttulo2Car">
    <w:name w:val="Título 2 Car"/>
    <w:basedOn w:val="Fuentedeprrafopredeter"/>
    <w:link w:val="Ttulo2"/>
    <w:rsid w:val="00251537"/>
    <w:rPr>
      <w:rFonts w:ascii="Verdana" w:eastAsia="Times New Roman" w:hAnsi="Verdana" w:cs="Times New Roman"/>
      <w:b/>
      <w:spacing w:val="20"/>
      <w:sz w:val="24"/>
      <w:szCs w:val="20"/>
      <w:lang w:val="es-ES_tradnl" w:eastAsia="ar-SA"/>
    </w:rPr>
  </w:style>
  <w:style w:type="character" w:styleId="Refdecomentario">
    <w:name w:val="annotation reference"/>
    <w:basedOn w:val="Fuentedeprrafopredeter"/>
    <w:uiPriority w:val="99"/>
    <w:semiHidden/>
    <w:unhideWhenUsed/>
    <w:rsid w:val="00E764B5"/>
    <w:rPr>
      <w:sz w:val="16"/>
      <w:szCs w:val="16"/>
    </w:rPr>
  </w:style>
  <w:style w:type="paragraph" w:styleId="Textocomentario">
    <w:name w:val="annotation text"/>
    <w:basedOn w:val="Normal"/>
    <w:link w:val="TextocomentarioCar"/>
    <w:uiPriority w:val="99"/>
    <w:semiHidden/>
    <w:unhideWhenUsed/>
    <w:rsid w:val="00E764B5"/>
    <w:rPr>
      <w:sz w:val="20"/>
      <w:szCs w:val="20"/>
    </w:rPr>
  </w:style>
  <w:style w:type="character" w:customStyle="1" w:styleId="TextocomentarioCar">
    <w:name w:val="Texto comentario Car"/>
    <w:basedOn w:val="Fuentedeprrafopredeter"/>
    <w:link w:val="Textocomentario"/>
    <w:uiPriority w:val="99"/>
    <w:semiHidden/>
    <w:rsid w:val="00E764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764B5"/>
    <w:rPr>
      <w:b/>
      <w:bCs/>
    </w:rPr>
  </w:style>
  <w:style w:type="character" w:customStyle="1" w:styleId="AsuntodelcomentarioCar">
    <w:name w:val="Asunto del comentario Car"/>
    <w:basedOn w:val="TextocomentarioCar"/>
    <w:link w:val="Asuntodelcomentario"/>
    <w:uiPriority w:val="99"/>
    <w:semiHidden/>
    <w:rsid w:val="00E764B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E764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4B5"/>
    <w:rPr>
      <w:rFonts w:ascii="Segoe UI" w:eastAsia="Times New Roman" w:hAnsi="Segoe UI" w:cs="Segoe UI"/>
      <w:sz w:val="18"/>
      <w:szCs w:val="18"/>
      <w:lang w:eastAsia="es-ES"/>
    </w:rPr>
  </w:style>
  <w:style w:type="paragraph" w:customStyle="1" w:styleId="BodyText24">
    <w:name w:val="Body Text 24"/>
    <w:basedOn w:val="Normal"/>
    <w:rsid w:val="007F012C"/>
    <w:pPr>
      <w:overflowPunct w:val="0"/>
      <w:autoSpaceDE w:val="0"/>
      <w:autoSpaceDN w:val="0"/>
      <w:adjustRightInd w:val="0"/>
      <w:ind w:left="708"/>
      <w:jc w:val="both"/>
      <w:textAlignment w:val="baseline"/>
    </w:pPr>
    <w:rPr>
      <w:rFonts w:ascii="Verdana" w:hAnsi="Verdana"/>
      <w:spacing w:val="20"/>
      <w:szCs w:val="20"/>
      <w:lang w:val="es-ES_tradnl"/>
    </w:rPr>
  </w:style>
  <w:style w:type="character" w:customStyle="1" w:styleId="Ttulo1Car">
    <w:name w:val="Título 1 Car"/>
    <w:basedOn w:val="Fuentedeprrafopredeter"/>
    <w:link w:val="Ttulo1"/>
    <w:uiPriority w:val="9"/>
    <w:rsid w:val="00D10477"/>
    <w:rPr>
      <w:rFonts w:asciiTheme="majorHAnsi" w:eastAsiaTheme="majorEastAsia" w:hAnsiTheme="majorHAnsi" w:cstheme="majorBidi"/>
      <w:color w:val="2E74B5" w:themeColor="accent1" w:themeShade="BF"/>
      <w:sz w:val="32"/>
      <w:szCs w:val="32"/>
      <w:lang w:eastAsia="es-ES"/>
    </w:rPr>
  </w:style>
  <w:style w:type="paragraph" w:customStyle="1" w:styleId="a">
    <w:basedOn w:val="Normal"/>
    <w:next w:val="Ttulo"/>
    <w:link w:val="TtuloCar"/>
    <w:qFormat/>
    <w:rsid w:val="00D10477"/>
    <w:pPr>
      <w:spacing w:before="240" w:after="60"/>
      <w:jc w:val="center"/>
      <w:outlineLvl w:val="0"/>
    </w:pPr>
    <w:rPr>
      <w:rFonts w:ascii="Arial" w:hAnsi="Arial"/>
      <w:b/>
      <w:kern w:val="28"/>
      <w:sz w:val="32"/>
      <w:szCs w:val="20"/>
    </w:rPr>
  </w:style>
  <w:style w:type="character" w:customStyle="1" w:styleId="TtuloCar">
    <w:name w:val="Título Car"/>
    <w:link w:val="a"/>
    <w:rsid w:val="00D10477"/>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F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104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51537"/>
    <w:pPr>
      <w:keepNext/>
      <w:numPr>
        <w:ilvl w:val="1"/>
        <w:numId w:val="1"/>
      </w:numPr>
      <w:suppressAutoHyphens/>
      <w:overflowPunct w:val="0"/>
      <w:autoSpaceDE w:val="0"/>
      <w:jc w:val="center"/>
      <w:textAlignment w:val="baseline"/>
      <w:outlineLvl w:val="1"/>
    </w:pPr>
    <w:rPr>
      <w:rFonts w:ascii="Verdana" w:hAnsi="Verdana"/>
      <w:b/>
      <w:spacing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932FA"/>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B932FA"/>
    <w:pPr>
      <w:tabs>
        <w:tab w:val="center" w:pos="4252"/>
        <w:tab w:val="right" w:pos="8504"/>
      </w:tabs>
    </w:pPr>
  </w:style>
  <w:style w:type="character" w:customStyle="1" w:styleId="EncabezadoCar">
    <w:name w:val="Encabezado Car"/>
    <w:basedOn w:val="Fuentedeprrafopredeter"/>
    <w:link w:val="Encabezado"/>
    <w:uiPriority w:val="99"/>
    <w:rsid w:val="00B932FA"/>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B932FA"/>
    <w:rPr>
      <w:rFonts w:cs="Times New Roman"/>
    </w:rPr>
  </w:style>
  <w:style w:type="paragraph" w:styleId="Sinespaciado">
    <w:name w:val="No Spacing"/>
    <w:link w:val="SinespaciadoCar"/>
    <w:uiPriority w:val="1"/>
    <w:qFormat/>
    <w:rsid w:val="00B932FA"/>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B932FA"/>
    <w:pPr>
      <w:ind w:left="720"/>
      <w:contextualSpacing/>
    </w:pPr>
  </w:style>
  <w:style w:type="paragraph" w:styleId="Textoindependiente">
    <w:name w:val="Body Text"/>
    <w:basedOn w:val="Normal"/>
    <w:link w:val="TextoindependienteCar"/>
    <w:uiPriority w:val="99"/>
    <w:rsid w:val="00B932FA"/>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B932FA"/>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B932FA"/>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932FA"/>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B932FA"/>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B932FA"/>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rsid w:val="00B932FA"/>
    <w:rPr>
      <w:rFonts w:cs="Times New Roman"/>
      <w:vertAlign w:val="superscript"/>
    </w:rPr>
  </w:style>
  <w:style w:type="paragraph" w:styleId="Ttulo">
    <w:name w:val="Title"/>
    <w:basedOn w:val="Normal"/>
    <w:link w:val="TtuloCar1"/>
    <w:qFormat/>
    <w:rsid w:val="00B932FA"/>
    <w:pPr>
      <w:jc w:val="center"/>
    </w:pPr>
    <w:rPr>
      <w:rFonts w:ascii="Arial" w:hAnsi="Arial" w:cs="Arial"/>
      <w:b/>
      <w:bCs/>
      <w:i/>
      <w:iCs/>
    </w:rPr>
  </w:style>
  <w:style w:type="character" w:customStyle="1" w:styleId="TtuloCar1">
    <w:name w:val="Título Car1"/>
    <w:basedOn w:val="Fuentedeprrafopredeter"/>
    <w:link w:val="Ttulo"/>
    <w:uiPriority w:val="99"/>
    <w:rsid w:val="00B932FA"/>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B932FA"/>
    <w:rPr>
      <w:rFonts w:ascii="Calibri" w:eastAsia="Times New Roman" w:hAnsi="Calibri" w:cs="Times New Roman"/>
      <w:lang w:eastAsia="es-ES"/>
    </w:rPr>
  </w:style>
  <w:style w:type="character" w:customStyle="1" w:styleId="Ttulo2Car">
    <w:name w:val="Título 2 Car"/>
    <w:basedOn w:val="Fuentedeprrafopredeter"/>
    <w:link w:val="Ttulo2"/>
    <w:rsid w:val="00251537"/>
    <w:rPr>
      <w:rFonts w:ascii="Verdana" w:eastAsia="Times New Roman" w:hAnsi="Verdana" w:cs="Times New Roman"/>
      <w:b/>
      <w:spacing w:val="20"/>
      <w:sz w:val="24"/>
      <w:szCs w:val="20"/>
      <w:lang w:val="es-ES_tradnl" w:eastAsia="ar-SA"/>
    </w:rPr>
  </w:style>
  <w:style w:type="character" w:styleId="Refdecomentario">
    <w:name w:val="annotation reference"/>
    <w:basedOn w:val="Fuentedeprrafopredeter"/>
    <w:uiPriority w:val="99"/>
    <w:semiHidden/>
    <w:unhideWhenUsed/>
    <w:rsid w:val="00E764B5"/>
    <w:rPr>
      <w:sz w:val="16"/>
      <w:szCs w:val="16"/>
    </w:rPr>
  </w:style>
  <w:style w:type="paragraph" w:styleId="Textocomentario">
    <w:name w:val="annotation text"/>
    <w:basedOn w:val="Normal"/>
    <w:link w:val="TextocomentarioCar"/>
    <w:uiPriority w:val="99"/>
    <w:semiHidden/>
    <w:unhideWhenUsed/>
    <w:rsid w:val="00E764B5"/>
    <w:rPr>
      <w:sz w:val="20"/>
      <w:szCs w:val="20"/>
    </w:rPr>
  </w:style>
  <w:style w:type="character" w:customStyle="1" w:styleId="TextocomentarioCar">
    <w:name w:val="Texto comentario Car"/>
    <w:basedOn w:val="Fuentedeprrafopredeter"/>
    <w:link w:val="Textocomentario"/>
    <w:uiPriority w:val="99"/>
    <w:semiHidden/>
    <w:rsid w:val="00E764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764B5"/>
    <w:rPr>
      <w:b/>
      <w:bCs/>
    </w:rPr>
  </w:style>
  <w:style w:type="character" w:customStyle="1" w:styleId="AsuntodelcomentarioCar">
    <w:name w:val="Asunto del comentario Car"/>
    <w:basedOn w:val="TextocomentarioCar"/>
    <w:link w:val="Asuntodelcomentario"/>
    <w:uiPriority w:val="99"/>
    <w:semiHidden/>
    <w:rsid w:val="00E764B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E764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4B5"/>
    <w:rPr>
      <w:rFonts w:ascii="Segoe UI" w:eastAsia="Times New Roman" w:hAnsi="Segoe UI" w:cs="Segoe UI"/>
      <w:sz w:val="18"/>
      <w:szCs w:val="18"/>
      <w:lang w:eastAsia="es-ES"/>
    </w:rPr>
  </w:style>
  <w:style w:type="paragraph" w:customStyle="1" w:styleId="BodyText24">
    <w:name w:val="Body Text 24"/>
    <w:basedOn w:val="Normal"/>
    <w:rsid w:val="007F012C"/>
    <w:pPr>
      <w:overflowPunct w:val="0"/>
      <w:autoSpaceDE w:val="0"/>
      <w:autoSpaceDN w:val="0"/>
      <w:adjustRightInd w:val="0"/>
      <w:ind w:left="708"/>
      <w:jc w:val="both"/>
      <w:textAlignment w:val="baseline"/>
    </w:pPr>
    <w:rPr>
      <w:rFonts w:ascii="Verdana" w:hAnsi="Verdana"/>
      <w:spacing w:val="20"/>
      <w:szCs w:val="20"/>
      <w:lang w:val="es-ES_tradnl"/>
    </w:rPr>
  </w:style>
  <w:style w:type="character" w:customStyle="1" w:styleId="Ttulo1Car">
    <w:name w:val="Título 1 Car"/>
    <w:basedOn w:val="Fuentedeprrafopredeter"/>
    <w:link w:val="Ttulo1"/>
    <w:uiPriority w:val="9"/>
    <w:rsid w:val="00D10477"/>
    <w:rPr>
      <w:rFonts w:asciiTheme="majorHAnsi" w:eastAsiaTheme="majorEastAsia" w:hAnsiTheme="majorHAnsi" w:cstheme="majorBidi"/>
      <w:color w:val="2E74B5" w:themeColor="accent1" w:themeShade="BF"/>
      <w:sz w:val="32"/>
      <w:szCs w:val="32"/>
      <w:lang w:eastAsia="es-ES"/>
    </w:rPr>
  </w:style>
  <w:style w:type="paragraph" w:customStyle="1" w:styleId="a">
    <w:basedOn w:val="Normal"/>
    <w:next w:val="Ttulo"/>
    <w:link w:val="TtuloCar"/>
    <w:qFormat/>
    <w:rsid w:val="00D10477"/>
    <w:pPr>
      <w:spacing w:before="240" w:after="60"/>
      <w:jc w:val="center"/>
      <w:outlineLvl w:val="0"/>
    </w:pPr>
    <w:rPr>
      <w:rFonts w:ascii="Arial" w:hAnsi="Arial"/>
      <w:b/>
      <w:kern w:val="28"/>
      <w:sz w:val="32"/>
      <w:szCs w:val="20"/>
    </w:rPr>
  </w:style>
  <w:style w:type="character" w:customStyle="1" w:styleId="TtuloCar">
    <w:name w:val="Título Car"/>
    <w:link w:val="a"/>
    <w:rsid w:val="00D10477"/>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614">
      <w:bodyDiv w:val="1"/>
      <w:marLeft w:val="0"/>
      <w:marRight w:val="0"/>
      <w:marTop w:val="0"/>
      <w:marBottom w:val="0"/>
      <w:divBdr>
        <w:top w:val="none" w:sz="0" w:space="0" w:color="auto"/>
        <w:left w:val="none" w:sz="0" w:space="0" w:color="auto"/>
        <w:bottom w:val="none" w:sz="0" w:space="0" w:color="auto"/>
        <w:right w:val="none" w:sz="0" w:space="0" w:color="auto"/>
      </w:divBdr>
    </w:div>
    <w:div w:id="10991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E7C6-D952-4706-9592-DB43BA79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Copias</dc:creator>
  <cp:keywords/>
  <dc:description/>
  <cp:lastModifiedBy>ALONSO</cp:lastModifiedBy>
  <cp:revision>9</cp:revision>
  <cp:lastPrinted>2019-11-18T16:30:00Z</cp:lastPrinted>
  <dcterms:created xsi:type="dcterms:W3CDTF">2019-11-14T22:14:00Z</dcterms:created>
  <dcterms:modified xsi:type="dcterms:W3CDTF">2020-01-09T16:39:00Z</dcterms:modified>
</cp:coreProperties>
</file>