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1A" w:rsidRPr="001B731A" w:rsidRDefault="001B731A" w:rsidP="001B731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1B731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731A" w:rsidRPr="001B731A" w:rsidRDefault="001B731A" w:rsidP="001B731A">
      <w:pPr>
        <w:jc w:val="both"/>
        <w:rPr>
          <w:rFonts w:ascii="Arial" w:hAnsi="Arial" w:cs="Arial"/>
          <w:lang w:val="es-419"/>
        </w:rPr>
      </w:pPr>
    </w:p>
    <w:p w:rsidR="001B731A" w:rsidRPr="001B731A" w:rsidRDefault="001B731A" w:rsidP="001B731A">
      <w:pPr>
        <w:jc w:val="both"/>
        <w:rPr>
          <w:rFonts w:ascii="Arial" w:hAnsi="Arial" w:cs="Arial"/>
          <w:lang w:val="es-419"/>
        </w:rPr>
      </w:pPr>
      <w:r w:rsidRPr="001B731A">
        <w:rPr>
          <w:rFonts w:ascii="Arial" w:hAnsi="Arial" w:cs="Arial"/>
          <w:lang w:val="es-419"/>
        </w:rPr>
        <w:t>Providencia:</w:t>
      </w:r>
      <w:r>
        <w:rPr>
          <w:rFonts w:ascii="Arial" w:hAnsi="Arial" w:cs="Arial"/>
          <w:lang w:val="es-419"/>
        </w:rPr>
        <w:tab/>
      </w:r>
      <w:r>
        <w:rPr>
          <w:rFonts w:ascii="Arial" w:hAnsi="Arial" w:cs="Arial"/>
          <w:lang w:val="es-419"/>
        </w:rPr>
        <w:tab/>
      </w:r>
      <w:r w:rsidRPr="001B731A">
        <w:rPr>
          <w:rFonts w:ascii="Arial" w:hAnsi="Arial" w:cs="Arial"/>
          <w:lang w:val="es-419"/>
        </w:rPr>
        <w:t>Sentencia de 1</w:t>
      </w:r>
      <w:r w:rsidR="00651DBB">
        <w:rPr>
          <w:rFonts w:ascii="Arial" w:hAnsi="Arial" w:cs="Arial"/>
          <w:lang w:val="es-CO"/>
        </w:rPr>
        <w:t>3 de mayo</w:t>
      </w:r>
      <w:r w:rsidRPr="001B731A">
        <w:rPr>
          <w:rFonts w:ascii="Arial" w:hAnsi="Arial" w:cs="Arial"/>
          <w:lang w:val="es-419"/>
        </w:rPr>
        <w:t xml:space="preserve"> de 2019</w:t>
      </w:r>
    </w:p>
    <w:p w:rsidR="001B731A" w:rsidRPr="001B731A" w:rsidRDefault="001B731A" w:rsidP="001B731A">
      <w:pPr>
        <w:jc w:val="both"/>
        <w:rPr>
          <w:rFonts w:ascii="Arial" w:hAnsi="Arial" w:cs="Arial"/>
          <w:lang w:val="es-419"/>
        </w:rPr>
      </w:pPr>
      <w:r w:rsidRPr="001B731A">
        <w:rPr>
          <w:rFonts w:ascii="Arial" w:hAnsi="Arial" w:cs="Arial"/>
          <w:lang w:val="es-419"/>
        </w:rPr>
        <w:t>Radicación Nro.</w:t>
      </w:r>
      <w:r w:rsidRPr="001B731A">
        <w:rPr>
          <w:rFonts w:ascii="Arial" w:hAnsi="Arial" w:cs="Arial"/>
          <w:lang w:val="es-419"/>
        </w:rPr>
        <w:tab/>
        <w:t>66001-31-05-005-2016-00339-01</w:t>
      </w:r>
    </w:p>
    <w:p w:rsidR="001B731A" w:rsidRPr="001B731A" w:rsidRDefault="001B731A" w:rsidP="001B731A">
      <w:pPr>
        <w:jc w:val="both"/>
        <w:rPr>
          <w:rFonts w:ascii="Arial" w:hAnsi="Arial" w:cs="Arial"/>
          <w:lang w:val="es-419"/>
        </w:rPr>
      </w:pPr>
      <w:r w:rsidRPr="001B731A">
        <w:rPr>
          <w:rFonts w:ascii="Arial" w:hAnsi="Arial" w:cs="Arial"/>
          <w:lang w:val="es-419"/>
        </w:rPr>
        <w:t>Proceso</w:t>
      </w:r>
      <w:r>
        <w:rPr>
          <w:rFonts w:ascii="Arial" w:hAnsi="Arial" w:cs="Arial"/>
          <w:lang w:val="es-CO"/>
        </w:rPr>
        <w:t>:</w:t>
      </w:r>
      <w:r w:rsidRPr="001B731A">
        <w:rPr>
          <w:rFonts w:ascii="Arial" w:hAnsi="Arial" w:cs="Arial"/>
          <w:lang w:val="es-419"/>
        </w:rPr>
        <w:tab/>
      </w:r>
      <w:r w:rsidRPr="001B731A">
        <w:rPr>
          <w:rFonts w:ascii="Arial" w:hAnsi="Arial" w:cs="Arial"/>
          <w:lang w:val="es-419"/>
        </w:rPr>
        <w:tab/>
        <w:t>Ordinario Laboral</w:t>
      </w:r>
    </w:p>
    <w:p w:rsidR="001B731A" w:rsidRPr="001B731A" w:rsidRDefault="001B731A" w:rsidP="001B731A">
      <w:pPr>
        <w:jc w:val="both"/>
        <w:rPr>
          <w:rFonts w:ascii="Arial" w:hAnsi="Arial" w:cs="Arial"/>
          <w:lang w:val="es-419"/>
        </w:rPr>
      </w:pPr>
      <w:r w:rsidRPr="001B731A">
        <w:rPr>
          <w:rFonts w:ascii="Arial" w:hAnsi="Arial" w:cs="Arial"/>
          <w:lang w:val="es-419"/>
        </w:rPr>
        <w:t>Demandante:</w:t>
      </w:r>
      <w:r w:rsidRPr="001B731A">
        <w:rPr>
          <w:rFonts w:ascii="Arial" w:hAnsi="Arial" w:cs="Arial"/>
          <w:lang w:val="es-419"/>
        </w:rPr>
        <w:tab/>
      </w:r>
      <w:r w:rsidRPr="001B731A">
        <w:rPr>
          <w:rFonts w:ascii="Arial" w:hAnsi="Arial" w:cs="Arial"/>
          <w:lang w:val="es-419"/>
        </w:rPr>
        <w:tab/>
        <w:t xml:space="preserve">Duberney Castaño Romero </w:t>
      </w:r>
    </w:p>
    <w:p w:rsidR="001B731A" w:rsidRPr="001B731A" w:rsidRDefault="001B731A" w:rsidP="001B731A">
      <w:pPr>
        <w:jc w:val="both"/>
        <w:rPr>
          <w:rFonts w:ascii="Arial" w:hAnsi="Arial" w:cs="Arial"/>
          <w:lang w:val="es-419"/>
        </w:rPr>
      </w:pPr>
      <w:r w:rsidRPr="001B731A">
        <w:rPr>
          <w:rFonts w:ascii="Arial" w:hAnsi="Arial" w:cs="Arial"/>
          <w:lang w:val="es-419"/>
        </w:rPr>
        <w:t>Demandados:</w:t>
      </w:r>
      <w:r w:rsidRPr="001B731A">
        <w:rPr>
          <w:rFonts w:ascii="Arial" w:hAnsi="Arial" w:cs="Arial"/>
          <w:lang w:val="es-419"/>
        </w:rPr>
        <w:tab/>
      </w:r>
      <w:r w:rsidRPr="001B731A">
        <w:rPr>
          <w:rFonts w:ascii="Arial" w:hAnsi="Arial" w:cs="Arial"/>
          <w:lang w:val="es-419"/>
        </w:rPr>
        <w:tab/>
        <w:t>Promasivo S.A. - Megabús S.A. y otros</w:t>
      </w:r>
    </w:p>
    <w:p w:rsidR="001B731A" w:rsidRPr="001B731A" w:rsidRDefault="001B731A" w:rsidP="001B731A">
      <w:pPr>
        <w:jc w:val="both"/>
        <w:rPr>
          <w:rFonts w:ascii="Arial" w:hAnsi="Arial" w:cs="Arial"/>
          <w:lang w:val="es-419"/>
        </w:rPr>
      </w:pPr>
      <w:r w:rsidRPr="001B731A">
        <w:rPr>
          <w:rFonts w:ascii="Arial" w:hAnsi="Arial" w:cs="Arial"/>
          <w:lang w:val="es-419"/>
        </w:rPr>
        <w:t>Magistrado Ponente:</w:t>
      </w:r>
      <w:r>
        <w:rPr>
          <w:rFonts w:ascii="Arial" w:hAnsi="Arial" w:cs="Arial"/>
          <w:lang w:val="es-419"/>
        </w:rPr>
        <w:tab/>
      </w:r>
      <w:r w:rsidRPr="001B731A">
        <w:rPr>
          <w:rFonts w:ascii="Arial" w:hAnsi="Arial" w:cs="Arial"/>
          <w:lang w:val="es-419"/>
        </w:rPr>
        <w:t>Julio César Salazar Muñoz</w:t>
      </w:r>
    </w:p>
    <w:p w:rsidR="001B731A" w:rsidRPr="001B731A" w:rsidRDefault="001B731A" w:rsidP="001B731A">
      <w:pPr>
        <w:jc w:val="both"/>
        <w:rPr>
          <w:rFonts w:ascii="Arial" w:hAnsi="Arial" w:cs="Arial"/>
          <w:lang w:val="es-419"/>
        </w:rPr>
      </w:pPr>
      <w:r w:rsidRPr="001B731A">
        <w:rPr>
          <w:rFonts w:ascii="Arial" w:hAnsi="Arial" w:cs="Arial"/>
          <w:lang w:val="es-419"/>
        </w:rPr>
        <w:t>Juzgado de origen:</w:t>
      </w:r>
      <w:r w:rsidRPr="001B731A">
        <w:rPr>
          <w:rFonts w:ascii="Arial" w:hAnsi="Arial" w:cs="Arial"/>
          <w:lang w:val="es-419"/>
        </w:rPr>
        <w:tab/>
        <w:t>Juzgado Quinto Laboral del Circuito</w:t>
      </w:r>
    </w:p>
    <w:p w:rsidR="001B731A" w:rsidRPr="001B731A" w:rsidRDefault="001B731A" w:rsidP="001B731A">
      <w:pPr>
        <w:jc w:val="both"/>
        <w:rPr>
          <w:rFonts w:ascii="Arial" w:hAnsi="Arial" w:cs="Arial"/>
          <w:lang w:val="es-419"/>
        </w:rPr>
      </w:pPr>
    </w:p>
    <w:p w:rsidR="0027280D" w:rsidRPr="0027280D" w:rsidRDefault="001B731A" w:rsidP="0027280D">
      <w:pPr>
        <w:pStyle w:val="Sinespaciado"/>
        <w:jc w:val="both"/>
        <w:rPr>
          <w:rFonts w:ascii="Arial" w:hAnsi="Arial" w:cs="Arial"/>
          <w:b/>
          <w:bCs/>
          <w:iCs/>
          <w:lang w:val="es-419" w:eastAsia="fr-FR"/>
        </w:rPr>
      </w:pPr>
      <w:r w:rsidRPr="001B731A">
        <w:rPr>
          <w:rFonts w:ascii="Arial" w:hAnsi="Arial" w:cs="Arial"/>
          <w:b/>
          <w:bCs/>
          <w:iCs/>
          <w:lang w:val="es-419" w:eastAsia="fr-FR"/>
        </w:rPr>
        <w:t>TEMAS:</w:t>
      </w:r>
      <w:r w:rsidRPr="001B731A">
        <w:rPr>
          <w:rFonts w:ascii="Arial" w:hAnsi="Arial" w:cs="Arial"/>
          <w:b/>
          <w:bCs/>
          <w:iCs/>
          <w:lang w:val="es-419" w:eastAsia="fr-FR"/>
        </w:rPr>
        <w:tab/>
      </w:r>
      <w:r w:rsidR="0027280D" w:rsidRPr="0027280D">
        <w:rPr>
          <w:rFonts w:ascii="Arial" w:hAnsi="Arial" w:cs="Arial"/>
          <w:b/>
          <w:bCs/>
          <w:iCs/>
          <w:lang w:val="es-CO" w:eastAsia="fr-FR"/>
        </w:rPr>
        <w:t>CONTRATO DE TRABAJO / NOVACIÓN / REQUISITOS / NO SE CUMPLEN EN ESTE CASO / INDEMNIZACIÓN MORATORIA /</w:t>
      </w:r>
      <w:r w:rsidR="00BF41B9">
        <w:rPr>
          <w:rFonts w:ascii="Arial" w:hAnsi="Arial" w:cs="Arial"/>
          <w:b/>
          <w:bCs/>
          <w:iCs/>
          <w:lang w:val="es-CO" w:eastAsia="fr-FR"/>
        </w:rPr>
        <w:t xml:space="preserve"> EMPRESAS EN ESTADO DE LIQUIDACIÓN /</w:t>
      </w:r>
      <w:r w:rsidR="0027280D" w:rsidRPr="0027280D">
        <w:rPr>
          <w:rFonts w:ascii="Arial" w:hAnsi="Arial" w:cs="Arial"/>
          <w:b/>
          <w:bCs/>
          <w:iCs/>
          <w:lang w:val="es-CO" w:eastAsia="fr-FR"/>
        </w:rPr>
        <w:t xml:space="preserve"> MALA FE DEL EMPLEADOR / NO TIENE QUE PROBARLA EL TRABAJADOR</w:t>
      </w:r>
      <w:r w:rsidR="00BF41B9">
        <w:rPr>
          <w:rFonts w:ascii="Arial" w:hAnsi="Arial" w:cs="Arial"/>
          <w:b/>
          <w:bCs/>
          <w:iCs/>
          <w:lang w:val="es-CO" w:eastAsia="fr-FR"/>
        </w:rPr>
        <w:t xml:space="preserve"> / COBERTURA DE LA PÓLIZA DE GARANTÍA.</w:t>
      </w:r>
    </w:p>
    <w:p w:rsidR="0027280D" w:rsidRPr="0027280D" w:rsidRDefault="0027280D" w:rsidP="0027280D">
      <w:pPr>
        <w:jc w:val="both"/>
        <w:rPr>
          <w:rFonts w:ascii="Arial" w:hAnsi="Arial" w:cs="Arial"/>
          <w:lang w:val="es-419"/>
        </w:rPr>
      </w:pPr>
    </w:p>
    <w:p w:rsidR="0027280D" w:rsidRPr="0027280D" w:rsidRDefault="0027280D" w:rsidP="0027280D">
      <w:pPr>
        <w:jc w:val="both"/>
        <w:rPr>
          <w:rFonts w:ascii="Arial" w:hAnsi="Arial" w:cs="Arial"/>
          <w:lang w:val="es-419"/>
        </w:rPr>
      </w:pPr>
      <w:r w:rsidRPr="0027280D">
        <w:rPr>
          <w:rFonts w:ascii="Arial" w:hAnsi="Arial" w:cs="Arial"/>
          <w:lang w:val="es-419"/>
        </w:rPr>
        <w:t>Entendida como la extinción de una obligación mediante la creación de otra nueva destinada a reemplazarla, tiene como principal característica precisamente que a través de un mismo acto jurídico se extingue una obligación y en su lugar se da vida a otra nueva y diferente.</w:t>
      </w:r>
    </w:p>
    <w:p w:rsidR="0027280D" w:rsidRPr="0027280D" w:rsidRDefault="0027280D" w:rsidP="0027280D">
      <w:pPr>
        <w:jc w:val="both"/>
        <w:rPr>
          <w:rFonts w:ascii="Arial" w:hAnsi="Arial" w:cs="Arial"/>
          <w:lang w:val="es-419"/>
        </w:rPr>
      </w:pPr>
    </w:p>
    <w:p w:rsidR="0027280D" w:rsidRPr="0027280D" w:rsidRDefault="0027280D" w:rsidP="0027280D">
      <w:pPr>
        <w:jc w:val="both"/>
        <w:rPr>
          <w:rFonts w:ascii="Arial" w:hAnsi="Arial" w:cs="Arial"/>
          <w:lang w:val="es-419"/>
        </w:rPr>
      </w:pPr>
      <w:r w:rsidRPr="0027280D">
        <w:rPr>
          <w:rFonts w:ascii="Arial" w:hAnsi="Arial" w:cs="Arial"/>
          <w:lang w:val="es-419"/>
        </w:rPr>
        <w:t>La Sala de Casación Laboral de la Corte Suprema de Justicia, en sentencia del 16 de febrero de 2001, Radicación 14.586, M.P. Luís Gonzalo Toro Correa, sobre el tema, consideró:</w:t>
      </w:r>
    </w:p>
    <w:p w:rsidR="0027280D" w:rsidRPr="0027280D" w:rsidRDefault="0027280D" w:rsidP="0027280D">
      <w:pPr>
        <w:jc w:val="both"/>
        <w:rPr>
          <w:rFonts w:ascii="Arial" w:hAnsi="Arial" w:cs="Arial"/>
          <w:lang w:val="es-419"/>
        </w:rPr>
      </w:pPr>
    </w:p>
    <w:p w:rsidR="0027280D" w:rsidRPr="0027280D" w:rsidRDefault="0027280D" w:rsidP="0027280D">
      <w:pPr>
        <w:jc w:val="both"/>
        <w:rPr>
          <w:rFonts w:ascii="Arial" w:hAnsi="Arial" w:cs="Arial"/>
          <w:lang w:val="es-419"/>
        </w:rPr>
      </w:pPr>
      <w:r w:rsidRPr="0027280D">
        <w:rPr>
          <w:rFonts w:ascii="Arial" w:hAnsi="Arial" w:cs="Arial"/>
          <w:lang w:val="es-419"/>
        </w:rPr>
        <w:t>“De otro lado, para que exista novación, en los términos del Código Civil, es necesario que la obligación nueva sea sustancialmente diferente a la anterior que sustituye (art. 1690 C. C.). (…)</w:t>
      </w:r>
    </w:p>
    <w:p w:rsidR="0027280D" w:rsidRPr="0027280D" w:rsidRDefault="0027280D" w:rsidP="0027280D">
      <w:pPr>
        <w:jc w:val="both"/>
        <w:rPr>
          <w:rFonts w:ascii="Arial" w:hAnsi="Arial" w:cs="Arial"/>
          <w:lang w:val="es-419"/>
        </w:rPr>
      </w:pPr>
    </w:p>
    <w:p w:rsidR="0027280D" w:rsidRPr="0027280D" w:rsidRDefault="0027280D" w:rsidP="0027280D">
      <w:pPr>
        <w:jc w:val="both"/>
        <w:rPr>
          <w:rFonts w:ascii="Arial" w:hAnsi="Arial" w:cs="Arial"/>
          <w:lang w:val="es-419"/>
        </w:rPr>
      </w:pPr>
      <w:r w:rsidRPr="0027280D">
        <w:rPr>
          <w:rFonts w:ascii="Arial" w:hAnsi="Arial" w:cs="Arial"/>
          <w:lang w:val="es-419"/>
        </w:rPr>
        <w:t xml:space="preserve">… la Sala Civil de la Corte, en sentencia de vieja data se pronunció sobre este punto atinente a la novación, siendo pertinentes al caso ahora debatido, las siguientes consideraciones: </w:t>
      </w:r>
    </w:p>
    <w:p w:rsidR="0027280D" w:rsidRPr="0027280D" w:rsidRDefault="0027280D" w:rsidP="0027280D">
      <w:pPr>
        <w:jc w:val="both"/>
        <w:rPr>
          <w:rFonts w:ascii="Arial" w:hAnsi="Arial" w:cs="Arial"/>
          <w:lang w:val="es-419"/>
        </w:rPr>
      </w:pPr>
    </w:p>
    <w:p w:rsidR="0027280D" w:rsidRPr="0027280D" w:rsidRDefault="0027280D" w:rsidP="0027280D">
      <w:pPr>
        <w:jc w:val="both"/>
        <w:rPr>
          <w:rFonts w:ascii="Arial" w:hAnsi="Arial" w:cs="Arial"/>
          <w:lang w:val="es-CO"/>
        </w:rPr>
      </w:pPr>
      <w:r w:rsidRPr="0027280D">
        <w:rPr>
          <w:rFonts w:ascii="Arial" w:hAnsi="Arial" w:cs="Arial"/>
          <w:lang w:val="es-419"/>
        </w:rPr>
        <w:t>“En la novación son necesarias tres condiciones: animus novandi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pag. 247)”.</w:t>
      </w:r>
      <w:r>
        <w:rPr>
          <w:rFonts w:ascii="Arial" w:hAnsi="Arial" w:cs="Arial"/>
          <w:lang w:val="es-CO"/>
        </w:rPr>
        <w:t xml:space="preserve"> (…)</w:t>
      </w:r>
    </w:p>
    <w:p w:rsidR="001B731A" w:rsidRDefault="001B731A" w:rsidP="001B731A">
      <w:pPr>
        <w:jc w:val="both"/>
        <w:rPr>
          <w:rFonts w:ascii="Arial" w:hAnsi="Arial" w:cs="Arial"/>
          <w:lang w:val="es-419"/>
        </w:rPr>
      </w:pPr>
    </w:p>
    <w:p w:rsidR="0027280D" w:rsidRDefault="00341321" w:rsidP="001B731A">
      <w:pPr>
        <w:jc w:val="both"/>
        <w:rPr>
          <w:rFonts w:ascii="Arial" w:hAnsi="Arial" w:cs="Arial"/>
          <w:lang w:val="es-419"/>
        </w:rPr>
      </w:pPr>
      <w:r>
        <w:rPr>
          <w:rFonts w:ascii="Arial" w:hAnsi="Arial" w:cs="Arial"/>
          <w:lang w:val="es-CO"/>
        </w:rPr>
        <w:t>… en e</w:t>
      </w:r>
      <w:r w:rsidRPr="00341321">
        <w:rPr>
          <w:rFonts w:ascii="Arial" w:hAnsi="Arial" w:cs="Arial"/>
          <w:lang w:val="es-419"/>
        </w:rPr>
        <w:t>stos procesos en los que se analiza la procedencia de las sanciones moratorias a empleadores que han entrado en estado de liquidación forzosa, la Sala de Casación Laboral en sentencia SL2833 de 1º de marzo de 2017 radicación Nº 53.793, recordó que no es posible fulminar condena en ese aspecto en contra de empresas que se encuentren esa situación, argumentando que en esos eventos los directivos no disponen libremente de sus recursos, debido a que es un agente estatal quien dirige los destinos de la unidad de explotación económica, con el fin de conservar el equilibro de la compañía y respetando la igualdad entre los acreedores.</w:t>
      </w:r>
    </w:p>
    <w:p w:rsidR="00341321" w:rsidRDefault="00341321" w:rsidP="001B731A">
      <w:pPr>
        <w:jc w:val="both"/>
        <w:rPr>
          <w:rFonts w:ascii="Arial" w:hAnsi="Arial" w:cs="Arial"/>
          <w:lang w:val="es-419"/>
        </w:rPr>
      </w:pPr>
    </w:p>
    <w:p w:rsidR="00341321" w:rsidRDefault="00341321" w:rsidP="001B731A">
      <w:pPr>
        <w:jc w:val="both"/>
        <w:rPr>
          <w:rFonts w:ascii="Arial" w:hAnsi="Arial" w:cs="Arial"/>
          <w:lang w:val="es-CO"/>
        </w:rPr>
      </w:pPr>
      <w:r w:rsidRPr="00341321">
        <w:rPr>
          <w:rFonts w:ascii="Arial" w:hAnsi="Arial" w:cs="Arial"/>
          <w:lang w:val="es-419"/>
        </w:rPr>
        <w:t>Bajo esas circunstancias, a partir del 14 de octubre de 2014 cuando la interventora tomó posesión de su cargo como Representante legal y Gerente de Promasivo S.A., los Directivos y Accionistas de esa sociedad, perdieron cualquier injerencia en cuanto a los pagos y obligaciones que debían cubrirse en favor de sus trabajadores, quedando a partir de ese momento la situación financiera, administrativa, asistencial y jurídica en manos de la agente interventora; por lo que al aplicar los argumentos esgrimidos por el máximo órgano de la jurisdicción ordinaria laboral al presente caso, evidente es, que la sanción moratoria por la no consignación de las cesantías del año 2013 iba máximo hasta el 14 de octubre de 2014</w:t>
      </w:r>
      <w:r>
        <w:rPr>
          <w:rFonts w:ascii="Arial" w:hAnsi="Arial" w:cs="Arial"/>
          <w:lang w:val="es-CO"/>
        </w:rPr>
        <w:t>. (…)</w:t>
      </w:r>
    </w:p>
    <w:p w:rsidR="00B46C51" w:rsidRDefault="00B46C51" w:rsidP="001B731A">
      <w:pPr>
        <w:jc w:val="both"/>
        <w:rPr>
          <w:rFonts w:ascii="Arial" w:hAnsi="Arial" w:cs="Arial"/>
          <w:lang w:val="es-CO"/>
        </w:rPr>
      </w:pPr>
    </w:p>
    <w:p w:rsidR="00B46C51" w:rsidRDefault="00B46C51" w:rsidP="001B731A">
      <w:pPr>
        <w:jc w:val="both"/>
        <w:rPr>
          <w:rFonts w:ascii="Arial" w:hAnsi="Arial" w:cs="Arial"/>
          <w:lang w:val="es-CO"/>
        </w:rPr>
      </w:pPr>
      <w:r w:rsidRPr="00B46C51">
        <w:rPr>
          <w:rFonts w:ascii="Arial" w:hAnsi="Arial" w:cs="Arial"/>
          <w:lang w:val="es-CO"/>
        </w:rPr>
        <w:t xml:space="preserve">En cuanto al señalamiento hecho por </w:t>
      </w:r>
      <w:proofErr w:type="spellStart"/>
      <w:r w:rsidRPr="00B46C51">
        <w:rPr>
          <w:rFonts w:ascii="Arial" w:hAnsi="Arial" w:cs="Arial"/>
          <w:lang w:val="es-CO"/>
        </w:rPr>
        <w:t>Liberty</w:t>
      </w:r>
      <w:proofErr w:type="spellEnd"/>
      <w:r w:rsidRPr="00B46C51">
        <w:rPr>
          <w:rFonts w:ascii="Arial" w:hAnsi="Arial" w:cs="Arial"/>
          <w:lang w:val="es-CO"/>
        </w:rPr>
        <w:t xml:space="preserve"> Seguros S.A. respecto a que la póliza Nº 1937092 no cubre lo concerniente a vacaciones y aportes al sistema general de pensiones, necesario es revisar cuales son los emolumentos que se cubren en esa póliza –fls.217 a 225- remitiéndose directamente al punto 1.5 concerniente al amparo de salarios, prestaciones sociales e indemnizaciones laborales</w:t>
      </w:r>
      <w:r>
        <w:rPr>
          <w:rFonts w:ascii="Arial" w:hAnsi="Arial" w:cs="Arial"/>
          <w:lang w:val="es-CO"/>
        </w:rPr>
        <w:t>…</w:t>
      </w:r>
    </w:p>
    <w:p w:rsidR="00B46C51" w:rsidRDefault="00B46C51" w:rsidP="001B731A">
      <w:pPr>
        <w:jc w:val="both"/>
        <w:rPr>
          <w:rFonts w:ascii="Arial" w:hAnsi="Arial" w:cs="Arial"/>
          <w:lang w:val="es-CO"/>
        </w:rPr>
      </w:pPr>
    </w:p>
    <w:p w:rsidR="00B46C51" w:rsidRPr="00341321" w:rsidRDefault="00B46C51" w:rsidP="001B731A">
      <w:pPr>
        <w:jc w:val="both"/>
        <w:rPr>
          <w:rFonts w:ascii="Arial" w:hAnsi="Arial" w:cs="Arial"/>
          <w:lang w:val="es-CO"/>
        </w:rPr>
      </w:pPr>
      <w:r w:rsidRPr="00B46C51">
        <w:rPr>
          <w:rFonts w:ascii="Arial" w:hAnsi="Arial" w:cs="Arial"/>
          <w:lang w:val="es-CO"/>
        </w:rPr>
        <w:t xml:space="preserve">Nótese como, si bien no se hace una mención explícita del cubrimiento de estipendios tales como las vacaciones o los aportes al sistema general de pensiones, la verdad es que no cabe duda que éstos se encuentran debidamente cobijados en la póliza Nº 1937092, ya que con ella se busca garantizar el pago de la totalidad de las obligaciones laborales a que está obligado el contratista garantizado, en otras palabras, la póliza cubre el incumplimiento en el pago por parte </w:t>
      </w:r>
      <w:proofErr w:type="spellStart"/>
      <w:r w:rsidRPr="00B46C51">
        <w:rPr>
          <w:rFonts w:ascii="Arial" w:hAnsi="Arial" w:cs="Arial"/>
          <w:lang w:val="es-CO"/>
        </w:rPr>
        <w:t>Promasivo</w:t>
      </w:r>
      <w:proofErr w:type="spellEnd"/>
      <w:r w:rsidRPr="00B46C51">
        <w:rPr>
          <w:rFonts w:ascii="Arial" w:hAnsi="Arial" w:cs="Arial"/>
          <w:lang w:val="es-CO"/>
        </w:rPr>
        <w:t xml:space="preserve"> S.A. frente a todas y cada una de las obligaciones laborales contraídas con sus trabajadores, dentro de las que se encuentran evidentemente el pago de las vacaciones y de los aportes al sistema general de pensiones</w:t>
      </w:r>
      <w:r>
        <w:rPr>
          <w:rFonts w:ascii="Arial" w:hAnsi="Arial" w:cs="Arial"/>
          <w:lang w:val="es-CO"/>
        </w:rPr>
        <w:t>…</w:t>
      </w:r>
    </w:p>
    <w:p w:rsidR="001B731A" w:rsidRPr="001B731A" w:rsidRDefault="001B731A" w:rsidP="001B731A">
      <w:pPr>
        <w:jc w:val="both"/>
        <w:rPr>
          <w:rFonts w:ascii="Arial" w:hAnsi="Arial" w:cs="Arial"/>
          <w:lang w:val="es-419"/>
        </w:rPr>
      </w:pPr>
    </w:p>
    <w:p w:rsidR="001B731A" w:rsidRPr="001B731A" w:rsidRDefault="001B731A" w:rsidP="001B731A">
      <w:pPr>
        <w:jc w:val="both"/>
        <w:rPr>
          <w:rFonts w:ascii="Arial" w:hAnsi="Arial" w:cs="Arial"/>
          <w:lang w:val="es-419"/>
        </w:rPr>
      </w:pPr>
    </w:p>
    <w:p w:rsidR="001B731A" w:rsidRPr="001B731A" w:rsidRDefault="001B731A" w:rsidP="001B731A">
      <w:pPr>
        <w:jc w:val="both"/>
        <w:rPr>
          <w:rFonts w:ascii="Arial" w:hAnsi="Arial" w:cs="Arial"/>
          <w:lang w:val="es-ES"/>
        </w:rPr>
      </w:pPr>
    </w:p>
    <w:p w:rsidR="00651454" w:rsidRPr="001B731A" w:rsidRDefault="00651454" w:rsidP="001B731A">
      <w:pPr>
        <w:keepNext/>
        <w:spacing w:line="288" w:lineRule="auto"/>
        <w:jc w:val="center"/>
        <w:outlineLvl w:val="2"/>
        <w:rPr>
          <w:rFonts w:ascii="Arial" w:hAnsi="Arial" w:cs="Arial"/>
          <w:b/>
          <w:sz w:val="24"/>
          <w:szCs w:val="24"/>
        </w:rPr>
      </w:pPr>
      <w:r w:rsidRPr="001B731A">
        <w:rPr>
          <w:rFonts w:ascii="Arial" w:hAnsi="Arial" w:cs="Arial"/>
          <w:b/>
          <w:sz w:val="24"/>
          <w:szCs w:val="24"/>
        </w:rPr>
        <w:t>TRIBUNAL SUPERIOR DEL DISTRITO JUDICIAL</w:t>
      </w:r>
    </w:p>
    <w:p w:rsidR="00651454" w:rsidRPr="001B731A" w:rsidRDefault="00651454" w:rsidP="001B731A">
      <w:pPr>
        <w:spacing w:line="288" w:lineRule="auto"/>
        <w:jc w:val="center"/>
        <w:rPr>
          <w:rFonts w:ascii="Arial" w:hAnsi="Arial" w:cs="Arial"/>
          <w:b/>
          <w:sz w:val="24"/>
          <w:szCs w:val="24"/>
        </w:rPr>
      </w:pPr>
      <w:r w:rsidRPr="001B731A">
        <w:rPr>
          <w:rFonts w:ascii="Arial" w:hAnsi="Arial" w:cs="Arial"/>
          <w:b/>
          <w:sz w:val="24"/>
          <w:szCs w:val="24"/>
        </w:rPr>
        <w:t>SALA LABORAL</w:t>
      </w:r>
    </w:p>
    <w:p w:rsidR="00651454" w:rsidRPr="001B731A" w:rsidRDefault="00651454" w:rsidP="001B731A">
      <w:pPr>
        <w:spacing w:line="288" w:lineRule="auto"/>
        <w:jc w:val="center"/>
        <w:rPr>
          <w:rFonts w:ascii="Arial" w:hAnsi="Arial" w:cs="Arial"/>
          <w:b/>
          <w:sz w:val="24"/>
          <w:szCs w:val="24"/>
        </w:rPr>
      </w:pPr>
      <w:r w:rsidRPr="001B731A">
        <w:rPr>
          <w:rFonts w:ascii="Arial" w:hAnsi="Arial" w:cs="Arial"/>
          <w:b/>
          <w:sz w:val="24"/>
          <w:szCs w:val="24"/>
        </w:rPr>
        <w:t xml:space="preserve">MAGISTRADO PONENTE: JULIO CÉSAR SALAZAR MUÑOZ </w:t>
      </w:r>
    </w:p>
    <w:p w:rsidR="00651454" w:rsidRPr="001B731A" w:rsidRDefault="00651454" w:rsidP="001B731A">
      <w:pPr>
        <w:spacing w:line="288" w:lineRule="auto"/>
        <w:jc w:val="center"/>
        <w:rPr>
          <w:rFonts w:ascii="Arial" w:hAnsi="Arial" w:cs="Arial"/>
          <w:b/>
          <w:sz w:val="24"/>
          <w:szCs w:val="24"/>
        </w:rPr>
      </w:pPr>
    </w:p>
    <w:p w:rsidR="00651454" w:rsidRPr="001B731A" w:rsidRDefault="00651454" w:rsidP="001B731A">
      <w:pPr>
        <w:spacing w:line="288" w:lineRule="auto"/>
        <w:jc w:val="center"/>
        <w:rPr>
          <w:rFonts w:ascii="Arial" w:hAnsi="Arial" w:cs="Arial"/>
          <w:b/>
          <w:sz w:val="24"/>
          <w:szCs w:val="24"/>
        </w:rPr>
      </w:pPr>
      <w:r w:rsidRPr="001B731A">
        <w:rPr>
          <w:rFonts w:ascii="Arial" w:hAnsi="Arial" w:cs="Arial"/>
          <w:b/>
          <w:sz w:val="24"/>
          <w:szCs w:val="24"/>
        </w:rPr>
        <w:t>AUDIENCIA PÚBLICA</w:t>
      </w:r>
    </w:p>
    <w:p w:rsidR="00651454" w:rsidRPr="001B731A" w:rsidRDefault="00651454" w:rsidP="001B731A">
      <w:pPr>
        <w:keepNext/>
        <w:spacing w:line="288" w:lineRule="auto"/>
        <w:jc w:val="both"/>
        <w:outlineLvl w:val="1"/>
        <w:rPr>
          <w:rFonts w:ascii="Arial" w:hAnsi="Arial" w:cs="Arial"/>
          <w:b/>
          <w:sz w:val="24"/>
          <w:szCs w:val="24"/>
        </w:rPr>
      </w:pPr>
    </w:p>
    <w:p w:rsidR="00651454" w:rsidRPr="001B731A" w:rsidRDefault="00651454" w:rsidP="001B731A">
      <w:pPr>
        <w:keepNext/>
        <w:spacing w:line="288" w:lineRule="auto"/>
        <w:jc w:val="both"/>
        <w:outlineLvl w:val="1"/>
        <w:rPr>
          <w:rFonts w:ascii="Arial" w:hAnsi="Arial" w:cs="Arial"/>
          <w:b/>
          <w:sz w:val="24"/>
          <w:szCs w:val="24"/>
        </w:rPr>
      </w:pPr>
      <w:r w:rsidRPr="001B731A">
        <w:rPr>
          <w:rFonts w:ascii="Arial" w:hAnsi="Arial" w:cs="Arial"/>
          <w:b/>
          <w:sz w:val="24"/>
          <w:szCs w:val="24"/>
        </w:rPr>
        <w:t>SALUDO. BUEN DÍA</w:t>
      </w:r>
    </w:p>
    <w:p w:rsidR="00651454" w:rsidRPr="001B731A" w:rsidRDefault="00651454" w:rsidP="001B731A">
      <w:pPr>
        <w:spacing w:line="288" w:lineRule="auto"/>
        <w:rPr>
          <w:rFonts w:ascii="Arial" w:hAnsi="Arial" w:cs="Arial"/>
          <w:sz w:val="24"/>
          <w:szCs w:val="24"/>
        </w:rPr>
      </w:pPr>
    </w:p>
    <w:p w:rsidR="00651454" w:rsidRPr="001B731A" w:rsidRDefault="00651454" w:rsidP="001B731A">
      <w:pPr>
        <w:suppressAutoHyphens/>
        <w:spacing w:line="288" w:lineRule="auto"/>
        <w:jc w:val="both"/>
        <w:rPr>
          <w:rFonts w:ascii="Arial" w:hAnsi="Arial" w:cs="Arial"/>
          <w:sz w:val="24"/>
          <w:szCs w:val="24"/>
        </w:rPr>
      </w:pPr>
      <w:r w:rsidRPr="001B731A">
        <w:rPr>
          <w:rFonts w:ascii="Arial" w:hAnsi="Arial" w:cs="Arial"/>
          <w:spacing w:val="-2"/>
          <w:sz w:val="24"/>
          <w:szCs w:val="24"/>
        </w:rPr>
        <w:t xml:space="preserve">Hoy, </w:t>
      </w:r>
      <w:r w:rsidR="00651DBB">
        <w:rPr>
          <w:rFonts w:ascii="Arial" w:hAnsi="Arial" w:cs="Arial"/>
          <w:spacing w:val="-2"/>
          <w:sz w:val="24"/>
          <w:szCs w:val="24"/>
        </w:rPr>
        <w:t>trece de mayo</w:t>
      </w:r>
      <w:r w:rsidRPr="001B731A">
        <w:rPr>
          <w:rFonts w:ascii="Arial" w:hAnsi="Arial" w:cs="Arial"/>
          <w:spacing w:val="-2"/>
          <w:sz w:val="24"/>
          <w:szCs w:val="24"/>
        </w:rPr>
        <w:t xml:space="preserve"> de dos mil diecinueve, siendo las </w:t>
      </w:r>
      <w:r w:rsidR="00651DBB">
        <w:rPr>
          <w:rFonts w:ascii="Arial" w:hAnsi="Arial" w:cs="Arial"/>
          <w:spacing w:val="-2"/>
          <w:sz w:val="24"/>
          <w:szCs w:val="24"/>
        </w:rPr>
        <w:t xml:space="preserve">once </w:t>
      </w:r>
      <w:r w:rsidRPr="001B731A">
        <w:rPr>
          <w:rFonts w:ascii="Arial" w:hAnsi="Arial" w:cs="Arial"/>
          <w:spacing w:val="-2"/>
          <w:sz w:val="24"/>
          <w:szCs w:val="24"/>
        </w:rPr>
        <w:t xml:space="preserve">de la mañana, la Sala de Decisión Laboral Nº 3 del Tribunal Superior del Distrito Judicial de Pereira, </w:t>
      </w:r>
      <w:r w:rsidRPr="001B731A">
        <w:rPr>
          <w:rFonts w:ascii="Arial" w:hAnsi="Arial" w:cs="Arial"/>
          <w:sz w:val="24"/>
          <w:szCs w:val="24"/>
        </w:rPr>
        <w:t xml:space="preserve">se declara en audiencia pública con el propósito de resolver los recursos de apelación interpuestos por las llamadas en garantía en contra de la sentencia proferida por el Juzgado </w:t>
      </w:r>
      <w:r w:rsidR="006F1375" w:rsidRPr="001B731A">
        <w:rPr>
          <w:rFonts w:ascii="Arial" w:hAnsi="Arial" w:cs="Arial"/>
          <w:sz w:val="24"/>
          <w:szCs w:val="24"/>
        </w:rPr>
        <w:t>Quinto Laboral del Circuito el 29</w:t>
      </w:r>
      <w:r w:rsidRPr="001B731A">
        <w:rPr>
          <w:rFonts w:ascii="Arial" w:hAnsi="Arial" w:cs="Arial"/>
          <w:sz w:val="24"/>
          <w:szCs w:val="24"/>
        </w:rPr>
        <w:t xml:space="preserve"> de agosto de 2018, dentro del proceso que promueve el señor </w:t>
      </w:r>
      <w:r w:rsidR="00DF06C2" w:rsidRPr="001B731A">
        <w:rPr>
          <w:rFonts w:ascii="Arial" w:hAnsi="Arial" w:cs="Arial"/>
          <w:sz w:val="24"/>
          <w:szCs w:val="24"/>
        </w:rPr>
        <w:t>DUBERNEY CASTAÑO ROMERO</w:t>
      </w:r>
      <w:r w:rsidRPr="001B731A">
        <w:rPr>
          <w:rFonts w:ascii="Arial" w:hAnsi="Arial" w:cs="Arial"/>
          <w:sz w:val="24"/>
          <w:szCs w:val="24"/>
        </w:rPr>
        <w:t xml:space="preserve"> a las sociedades PROMASIVO S.A. y MEGABUS S.A., al que fueron llamadas en garantía la SOCIEDAD LÓPEZ BEDOYA Y ASOCIADOS Y CÍA. S en C, LIBERTY SEGUROS S.A. Y SI 99 S.A., cuya radicación c</w:t>
      </w:r>
      <w:r w:rsidR="00DF06C2" w:rsidRPr="001B731A">
        <w:rPr>
          <w:rFonts w:ascii="Arial" w:hAnsi="Arial" w:cs="Arial"/>
          <w:sz w:val="24"/>
          <w:szCs w:val="24"/>
        </w:rPr>
        <w:t>orresponde al Nº 66001-31-05-005-2016-00339</w:t>
      </w:r>
      <w:r w:rsidRPr="001B731A">
        <w:rPr>
          <w:rFonts w:ascii="Arial" w:hAnsi="Arial" w:cs="Arial"/>
          <w:sz w:val="24"/>
          <w:szCs w:val="24"/>
        </w:rPr>
        <w:t>-01.</w:t>
      </w:r>
    </w:p>
    <w:p w:rsidR="00651454" w:rsidRPr="001B731A" w:rsidRDefault="00651454" w:rsidP="001B731A">
      <w:pPr>
        <w:suppressAutoHyphens/>
        <w:spacing w:line="288" w:lineRule="auto"/>
        <w:jc w:val="both"/>
        <w:rPr>
          <w:rFonts w:ascii="Arial" w:hAnsi="Arial" w:cs="Arial"/>
          <w:sz w:val="24"/>
          <w:szCs w:val="24"/>
        </w:rPr>
      </w:pPr>
    </w:p>
    <w:p w:rsidR="00651454" w:rsidRPr="001B731A" w:rsidRDefault="00651454" w:rsidP="001B731A">
      <w:pPr>
        <w:spacing w:line="288" w:lineRule="auto"/>
        <w:ind w:right="51"/>
        <w:jc w:val="both"/>
        <w:rPr>
          <w:rFonts w:ascii="Arial" w:hAnsi="Arial" w:cs="Arial"/>
          <w:bCs/>
          <w:sz w:val="24"/>
          <w:szCs w:val="24"/>
        </w:rPr>
      </w:pPr>
      <w:r w:rsidRPr="001B731A">
        <w:rPr>
          <w:rFonts w:ascii="Arial" w:hAnsi="Arial" w:cs="Arial"/>
          <w:bCs/>
          <w:sz w:val="24"/>
          <w:szCs w:val="24"/>
        </w:rPr>
        <w:t>Al acto comparecen las personas que a continuación se identifican:</w:t>
      </w:r>
    </w:p>
    <w:p w:rsidR="00651454" w:rsidRPr="001B731A" w:rsidRDefault="00651454" w:rsidP="001B731A">
      <w:pPr>
        <w:spacing w:line="288" w:lineRule="auto"/>
        <w:jc w:val="both"/>
        <w:rPr>
          <w:rFonts w:ascii="Arial" w:hAnsi="Arial" w:cs="Arial"/>
          <w:bCs/>
          <w:sz w:val="24"/>
          <w:szCs w:val="24"/>
        </w:rPr>
      </w:pPr>
      <w:r w:rsidRPr="001B731A">
        <w:rPr>
          <w:rFonts w:ascii="Arial" w:hAnsi="Arial" w:cs="Arial"/>
          <w:bCs/>
          <w:sz w:val="24"/>
          <w:szCs w:val="24"/>
        </w:rPr>
        <w:t>Demandante y su apoderado:</w:t>
      </w:r>
    </w:p>
    <w:p w:rsidR="00651454" w:rsidRPr="001B731A" w:rsidRDefault="00651454" w:rsidP="001B731A">
      <w:pPr>
        <w:spacing w:line="288" w:lineRule="auto"/>
        <w:ind w:right="51"/>
        <w:jc w:val="both"/>
        <w:rPr>
          <w:rFonts w:ascii="Arial" w:hAnsi="Arial" w:cs="Arial"/>
          <w:bCs/>
          <w:sz w:val="24"/>
          <w:szCs w:val="24"/>
        </w:rPr>
      </w:pPr>
      <w:r w:rsidRPr="001B731A">
        <w:rPr>
          <w:rFonts w:ascii="Arial" w:hAnsi="Arial" w:cs="Arial"/>
          <w:bCs/>
          <w:sz w:val="24"/>
          <w:szCs w:val="24"/>
        </w:rPr>
        <w:t>Demandado y su apoderado:</w:t>
      </w:r>
    </w:p>
    <w:p w:rsidR="00651454" w:rsidRPr="001B731A" w:rsidRDefault="00651454" w:rsidP="001B731A">
      <w:pPr>
        <w:spacing w:line="288" w:lineRule="auto"/>
        <w:jc w:val="both"/>
        <w:rPr>
          <w:rFonts w:ascii="Arial" w:hAnsi="Arial" w:cs="Arial"/>
          <w:sz w:val="24"/>
          <w:szCs w:val="24"/>
        </w:rPr>
      </w:pPr>
    </w:p>
    <w:p w:rsidR="00651454" w:rsidRPr="001B731A" w:rsidRDefault="00651454" w:rsidP="001B731A">
      <w:pPr>
        <w:keepNext/>
        <w:tabs>
          <w:tab w:val="left" w:pos="-720"/>
        </w:tabs>
        <w:suppressAutoHyphens/>
        <w:spacing w:line="288" w:lineRule="auto"/>
        <w:jc w:val="center"/>
        <w:outlineLvl w:val="3"/>
        <w:rPr>
          <w:rFonts w:ascii="Arial" w:hAnsi="Arial" w:cs="Arial"/>
          <w:b/>
          <w:spacing w:val="-3"/>
          <w:sz w:val="24"/>
          <w:szCs w:val="24"/>
        </w:rPr>
      </w:pPr>
      <w:r w:rsidRPr="001B731A">
        <w:rPr>
          <w:rFonts w:ascii="Arial" w:hAnsi="Arial" w:cs="Arial"/>
          <w:b/>
          <w:spacing w:val="-3"/>
          <w:sz w:val="24"/>
          <w:szCs w:val="24"/>
        </w:rPr>
        <w:t>ANTECEDENTES</w:t>
      </w:r>
    </w:p>
    <w:p w:rsidR="00651454" w:rsidRPr="001B731A" w:rsidRDefault="00651454" w:rsidP="001B731A">
      <w:pPr>
        <w:spacing w:line="288" w:lineRule="auto"/>
        <w:jc w:val="both"/>
        <w:rPr>
          <w:rFonts w:ascii="Arial" w:hAnsi="Arial" w:cs="Arial"/>
          <w:sz w:val="24"/>
          <w:szCs w:val="24"/>
        </w:rPr>
      </w:pPr>
    </w:p>
    <w:p w:rsidR="00CC0887" w:rsidRPr="001B731A" w:rsidRDefault="00651454" w:rsidP="001B731A">
      <w:pPr>
        <w:spacing w:line="288" w:lineRule="auto"/>
        <w:jc w:val="both"/>
        <w:rPr>
          <w:rFonts w:ascii="Arial" w:hAnsi="Arial" w:cs="Arial"/>
          <w:sz w:val="24"/>
          <w:szCs w:val="24"/>
        </w:rPr>
      </w:pPr>
      <w:r w:rsidRPr="001B731A">
        <w:rPr>
          <w:rFonts w:ascii="Arial" w:hAnsi="Arial" w:cs="Arial"/>
          <w:sz w:val="24"/>
          <w:szCs w:val="24"/>
        </w:rPr>
        <w:t xml:space="preserve">Pretende el señor </w:t>
      </w:r>
      <w:r w:rsidR="008E5FB5" w:rsidRPr="001B731A">
        <w:rPr>
          <w:rFonts w:ascii="Arial" w:hAnsi="Arial" w:cs="Arial"/>
          <w:sz w:val="24"/>
          <w:szCs w:val="24"/>
        </w:rPr>
        <w:t>Duberney Castaño Romero</w:t>
      </w:r>
      <w:r w:rsidR="00CC0887" w:rsidRPr="001B731A">
        <w:rPr>
          <w:rFonts w:ascii="Arial" w:hAnsi="Arial" w:cs="Arial"/>
          <w:sz w:val="24"/>
          <w:szCs w:val="24"/>
        </w:rPr>
        <w:t xml:space="preserve"> que la justicia laboral declare la existencia de un contrato de trabajo entre él y Promasivo S.A. entre el </w:t>
      </w:r>
      <w:r w:rsidR="008E5FB5" w:rsidRPr="001B731A">
        <w:rPr>
          <w:rFonts w:ascii="Arial" w:hAnsi="Arial" w:cs="Arial"/>
          <w:sz w:val="24"/>
          <w:szCs w:val="24"/>
        </w:rPr>
        <w:t>19 de agosto de 2006</w:t>
      </w:r>
      <w:r w:rsidR="00CC0887" w:rsidRPr="001B731A">
        <w:rPr>
          <w:rFonts w:ascii="Arial" w:hAnsi="Arial" w:cs="Arial"/>
          <w:sz w:val="24"/>
          <w:szCs w:val="24"/>
        </w:rPr>
        <w:t xml:space="preserve"> y el </w:t>
      </w:r>
      <w:r w:rsidR="008E5FB5" w:rsidRPr="001B731A">
        <w:rPr>
          <w:rFonts w:ascii="Arial" w:hAnsi="Arial" w:cs="Arial"/>
          <w:sz w:val="24"/>
          <w:szCs w:val="24"/>
        </w:rPr>
        <w:t>30 de septiembre de 2014</w:t>
      </w:r>
      <w:r w:rsidR="00CC0887" w:rsidRPr="001B731A">
        <w:rPr>
          <w:rFonts w:ascii="Arial" w:hAnsi="Arial" w:cs="Arial"/>
          <w:sz w:val="24"/>
          <w:szCs w:val="24"/>
        </w:rPr>
        <w:t xml:space="preserve"> y con base en ello aspira que se le cancelen una serie de emolumentos e indemnizaciones que detalla en la demanda, respecto de las que considera solidariamente responsable a </w:t>
      </w:r>
      <w:proofErr w:type="spellStart"/>
      <w:r w:rsidR="00CC0887" w:rsidRPr="001B731A">
        <w:rPr>
          <w:rFonts w:ascii="Arial" w:hAnsi="Arial" w:cs="Arial"/>
          <w:sz w:val="24"/>
          <w:szCs w:val="24"/>
        </w:rPr>
        <w:t>Megabus</w:t>
      </w:r>
      <w:proofErr w:type="spellEnd"/>
      <w:r w:rsidR="00CC0887" w:rsidRPr="001B731A">
        <w:rPr>
          <w:rFonts w:ascii="Arial" w:hAnsi="Arial" w:cs="Arial"/>
          <w:sz w:val="24"/>
          <w:szCs w:val="24"/>
        </w:rPr>
        <w:t xml:space="preserve"> S.A.</w:t>
      </w:r>
    </w:p>
    <w:p w:rsidR="00CC0887" w:rsidRPr="001B731A" w:rsidRDefault="00CC0887" w:rsidP="001B731A">
      <w:pPr>
        <w:spacing w:line="288" w:lineRule="auto"/>
        <w:jc w:val="both"/>
        <w:rPr>
          <w:rFonts w:ascii="Arial" w:hAnsi="Arial" w:cs="Arial"/>
          <w:sz w:val="24"/>
          <w:szCs w:val="24"/>
        </w:rPr>
      </w:pPr>
    </w:p>
    <w:p w:rsidR="008E5FB5" w:rsidRPr="001B731A" w:rsidRDefault="00CC0887" w:rsidP="001B731A">
      <w:pPr>
        <w:spacing w:line="288" w:lineRule="auto"/>
        <w:jc w:val="both"/>
        <w:rPr>
          <w:rFonts w:ascii="Arial" w:hAnsi="Arial" w:cs="Arial"/>
          <w:sz w:val="24"/>
          <w:szCs w:val="24"/>
        </w:rPr>
      </w:pPr>
      <w:r w:rsidRPr="001B731A">
        <w:rPr>
          <w:rFonts w:ascii="Arial" w:hAnsi="Arial" w:cs="Arial"/>
          <w:sz w:val="24"/>
          <w:szCs w:val="24"/>
        </w:rPr>
        <w:t>En la narración de los hechos, luego de explicar la naturaleza jurídica de las entidades que demanda</w:t>
      </w:r>
      <w:r w:rsidR="00970A3A" w:rsidRPr="001B731A">
        <w:rPr>
          <w:rFonts w:ascii="Arial" w:hAnsi="Arial" w:cs="Arial"/>
          <w:sz w:val="24"/>
          <w:szCs w:val="24"/>
        </w:rPr>
        <w:t>, indica que los servicios por é</w:t>
      </w:r>
      <w:r w:rsidRPr="001B731A">
        <w:rPr>
          <w:rFonts w:ascii="Arial" w:hAnsi="Arial" w:cs="Arial"/>
          <w:sz w:val="24"/>
          <w:szCs w:val="24"/>
        </w:rPr>
        <w:t xml:space="preserve">l prestados </w:t>
      </w:r>
      <w:r w:rsidR="00CF3E7C" w:rsidRPr="001B731A">
        <w:rPr>
          <w:rFonts w:ascii="Arial" w:hAnsi="Arial" w:cs="Arial"/>
          <w:sz w:val="24"/>
          <w:szCs w:val="24"/>
        </w:rPr>
        <w:t xml:space="preserve">como operador de bus </w:t>
      </w:r>
      <w:r w:rsidR="008E5FB5" w:rsidRPr="001B731A">
        <w:rPr>
          <w:rFonts w:ascii="Arial" w:hAnsi="Arial" w:cs="Arial"/>
          <w:sz w:val="24"/>
          <w:szCs w:val="24"/>
        </w:rPr>
        <w:t>articulado</w:t>
      </w:r>
      <w:r w:rsidR="00CF3E7C" w:rsidRPr="001B731A">
        <w:rPr>
          <w:rFonts w:ascii="Arial" w:hAnsi="Arial" w:cs="Arial"/>
          <w:sz w:val="24"/>
          <w:szCs w:val="24"/>
        </w:rPr>
        <w:t xml:space="preserve"> </w:t>
      </w:r>
      <w:r w:rsidRPr="001B731A">
        <w:rPr>
          <w:rFonts w:ascii="Arial" w:hAnsi="Arial" w:cs="Arial"/>
          <w:sz w:val="24"/>
          <w:szCs w:val="24"/>
        </w:rPr>
        <w:t>a favor de Promasivo S.A. entre las calendas señaladas anteriormente fueron de índole laboral</w:t>
      </w:r>
      <w:r w:rsidR="00CF3E7C" w:rsidRPr="001B731A">
        <w:rPr>
          <w:rFonts w:ascii="Arial" w:hAnsi="Arial" w:cs="Arial"/>
          <w:sz w:val="24"/>
          <w:szCs w:val="24"/>
        </w:rPr>
        <w:t xml:space="preserve">, habiéndose finiquitado el contrato por decisión </w:t>
      </w:r>
      <w:r w:rsidR="008E5FB5" w:rsidRPr="001B731A">
        <w:rPr>
          <w:rFonts w:ascii="Arial" w:hAnsi="Arial" w:cs="Arial"/>
          <w:sz w:val="24"/>
          <w:szCs w:val="24"/>
        </w:rPr>
        <w:t>imputable a su</w:t>
      </w:r>
      <w:r w:rsidR="00CF3E7C" w:rsidRPr="001B731A">
        <w:rPr>
          <w:rFonts w:ascii="Arial" w:hAnsi="Arial" w:cs="Arial"/>
          <w:sz w:val="24"/>
          <w:szCs w:val="24"/>
        </w:rPr>
        <w:t xml:space="preserve"> empleador</w:t>
      </w:r>
      <w:r w:rsidR="00CC2050" w:rsidRPr="001B731A">
        <w:rPr>
          <w:rFonts w:ascii="Arial" w:hAnsi="Arial" w:cs="Arial"/>
          <w:sz w:val="24"/>
          <w:szCs w:val="24"/>
        </w:rPr>
        <w:t xml:space="preserve">, en razón al incumplimiento por parte de éste de sus obligaciones laborales, adeudándosele a la fecha de presentación de la demanda salarios, prestaciones sociales y el reajuste de algunos ciclos de cotizaciones a pensión; el 21 de diciembre de 2015 elevó reclamaciones ante las sociedades accionadas; la Agente Liquidadora de Promasivo S.A. el 10 de enero de 2016 emitió liquidación al contrato, reconociendo acreencias por concepto de salarios y prestaciones sociales y por su parte </w:t>
      </w:r>
      <w:proofErr w:type="spellStart"/>
      <w:r w:rsidR="00CC2050" w:rsidRPr="001B731A">
        <w:rPr>
          <w:rFonts w:ascii="Arial" w:hAnsi="Arial" w:cs="Arial"/>
          <w:sz w:val="24"/>
          <w:szCs w:val="24"/>
        </w:rPr>
        <w:t>Megabus</w:t>
      </w:r>
      <w:proofErr w:type="spellEnd"/>
      <w:r w:rsidR="00CC2050" w:rsidRPr="001B731A">
        <w:rPr>
          <w:rFonts w:ascii="Arial" w:hAnsi="Arial" w:cs="Arial"/>
          <w:sz w:val="24"/>
          <w:szCs w:val="24"/>
        </w:rPr>
        <w:t xml:space="preserve"> </w:t>
      </w:r>
      <w:proofErr w:type="spellStart"/>
      <w:r w:rsidR="00CC2050" w:rsidRPr="001B731A">
        <w:rPr>
          <w:rFonts w:ascii="Arial" w:hAnsi="Arial" w:cs="Arial"/>
          <w:sz w:val="24"/>
          <w:szCs w:val="24"/>
        </w:rPr>
        <w:t>S.A</w:t>
      </w:r>
      <w:proofErr w:type="spellEnd"/>
      <w:r w:rsidR="00CC2050" w:rsidRPr="001B731A">
        <w:rPr>
          <w:rFonts w:ascii="Arial" w:hAnsi="Arial" w:cs="Arial"/>
          <w:sz w:val="24"/>
          <w:szCs w:val="24"/>
        </w:rPr>
        <w:t xml:space="preserve"> en escrito de 3 de febrero de 2016 dio respuesta negando las pretensiones formuladas.</w:t>
      </w:r>
    </w:p>
    <w:p w:rsidR="00772E7F" w:rsidRPr="001B731A" w:rsidRDefault="00772E7F" w:rsidP="001B731A">
      <w:pPr>
        <w:spacing w:line="288" w:lineRule="auto"/>
        <w:jc w:val="both"/>
        <w:rPr>
          <w:rFonts w:ascii="Arial" w:hAnsi="Arial" w:cs="Arial"/>
          <w:sz w:val="24"/>
          <w:szCs w:val="24"/>
        </w:rPr>
      </w:pPr>
    </w:p>
    <w:p w:rsidR="003B00C3" w:rsidRPr="001B731A" w:rsidRDefault="00772E7F" w:rsidP="001B731A">
      <w:pPr>
        <w:spacing w:line="288" w:lineRule="auto"/>
        <w:jc w:val="both"/>
        <w:rPr>
          <w:rFonts w:ascii="Arial" w:hAnsi="Arial" w:cs="Arial"/>
          <w:sz w:val="24"/>
          <w:szCs w:val="24"/>
        </w:rPr>
      </w:pPr>
      <w:r w:rsidRPr="001B731A">
        <w:rPr>
          <w:rFonts w:ascii="Arial" w:hAnsi="Arial" w:cs="Arial"/>
          <w:sz w:val="24"/>
          <w:szCs w:val="24"/>
        </w:rPr>
        <w:t>Al da</w:t>
      </w:r>
      <w:r w:rsidR="000A46D7" w:rsidRPr="001B731A">
        <w:rPr>
          <w:rFonts w:ascii="Arial" w:hAnsi="Arial" w:cs="Arial"/>
          <w:sz w:val="24"/>
          <w:szCs w:val="24"/>
        </w:rPr>
        <w:t>r respuesta a la demanda –fls.65 a 7</w:t>
      </w:r>
      <w:r w:rsidRPr="001B731A">
        <w:rPr>
          <w:rFonts w:ascii="Arial" w:hAnsi="Arial" w:cs="Arial"/>
          <w:sz w:val="24"/>
          <w:szCs w:val="24"/>
        </w:rPr>
        <w:t>3-</w:t>
      </w:r>
      <w:r w:rsidR="00002096" w:rsidRPr="001B731A">
        <w:rPr>
          <w:rFonts w:ascii="Arial" w:hAnsi="Arial" w:cs="Arial"/>
          <w:sz w:val="24"/>
          <w:szCs w:val="24"/>
        </w:rPr>
        <w:t xml:space="preserve"> </w:t>
      </w:r>
      <w:r w:rsidR="003B00C3" w:rsidRPr="001B731A">
        <w:rPr>
          <w:rFonts w:ascii="Arial" w:hAnsi="Arial" w:cs="Arial"/>
          <w:sz w:val="24"/>
          <w:szCs w:val="24"/>
        </w:rPr>
        <w:t>Promasivo S.A. aceptó la mayoría de los hechos, dijo no constarle otros y se opuso a las pretensiones condenatorias. Formuló las excepciones de fondo que quiere hacer valer en el proceso.</w:t>
      </w:r>
    </w:p>
    <w:p w:rsidR="003B00C3" w:rsidRPr="001B731A" w:rsidRDefault="003B00C3" w:rsidP="001B731A">
      <w:pPr>
        <w:spacing w:line="288" w:lineRule="auto"/>
        <w:jc w:val="both"/>
        <w:rPr>
          <w:rFonts w:ascii="Arial" w:hAnsi="Arial" w:cs="Arial"/>
          <w:sz w:val="24"/>
          <w:szCs w:val="24"/>
        </w:rPr>
      </w:pPr>
    </w:p>
    <w:p w:rsidR="00772E7F" w:rsidRPr="001B731A" w:rsidRDefault="003B00C3" w:rsidP="001B731A">
      <w:pPr>
        <w:spacing w:line="288" w:lineRule="auto"/>
        <w:jc w:val="both"/>
        <w:rPr>
          <w:rFonts w:ascii="Arial" w:hAnsi="Arial" w:cs="Arial"/>
          <w:sz w:val="24"/>
          <w:szCs w:val="24"/>
        </w:rPr>
      </w:pPr>
      <w:r w:rsidRPr="001B731A">
        <w:rPr>
          <w:rFonts w:ascii="Arial" w:hAnsi="Arial" w:cs="Arial"/>
          <w:sz w:val="24"/>
          <w:szCs w:val="24"/>
        </w:rPr>
        <w:t xml:space="preserve">Por su parte </w:t>
      </w:r>
      <w:proofErr w:type="spellStart"/>
      <w:r w:rsidR="00002096" w:rsidRPr="001B731A">
        <w:rPr>
          <w:rFonts w:ascii="Arial" w:hAnsi="Arial" w:cs="Arial"/>
          <w:sz w:val="24"/>
          <w:szCs w:val="24"/>
        </w:rPr>
        <w:t>Megabus</w:t>
      </w:r>
      <w:proofErr w:type="spellEnd"/>
      <w:r w:rsidR="00002096" w:rsidRPr="001B731A">
        <w:rPr>
          <w:rFonts w:ascii="Arial" w:hAnsi="Arial" w:cs="Arial"/>
          <w:sz w:val="24"/>
          <w:szCs w:val="24"/>
        </w:rPr>
        <w:t xml:space="preserve"> S.A. </w:t>
      </w:r>
      <w:r w:rsidRPr="001B731A">
        <w:rPr>
          <w:rFonts w:ascii="Arial" w:hAnsi="Arial" w:cs="Arial"/>
          <w:sz w:val="24"/>
          <w:szCs w:val="24"/>
        </w:rPr>
        <w:t xml:space="preserve">dando contestación al libelo introductorio –fls.92 a 108- </w:t>
      </w:r>
      <w:r w:rsidR="00002096" w:rsidRPr="001B731A">
        <w:rPr>
          <w:rFonts w:ascii="Arial" w:hAnsi="Arial" w:cs="Arial"/>
          <w:sz w:val="24"/>
          <w:szCs w:val="24"/>
        </w:rPr>
        <w:t>solo aceptó la reclamación elevada por el demandante y su falta de respuesta. Frente a los demás hechos expresó que no eran ciertos o que no le constaban. Se opuso a las pretensiones y formuló la excepción de mérito “Prescripción”.</w:t>
      </w:r>
    </w:p>
    <w:p w:rsidR="0083682F" w:rsidRPr="001B731A" w:rsidRDefault="0083682F" w:rsidP="001B731A">
      <w:pPr>
        <w:spacing w:line="288" w:lineRule="auto"/>
        <w:jc w:val="both"/>
        <w:rPr>
          <w:rFonts w:ascii="Arial" w:hAnsi="Arial" w:cs="Arial"/>
          <w:sz w:val="24"/>
          <w:szCs w:val="24"/>
        </w:rPr>
      </w:pPr>
    </w:p>
    <w:p w:rsidR="0083682F" w:rsidRPr="001B731A" w:rsidRDefault="0083682F" w:rsidP="001B731A">
      <w:pPr>
        <w:spacing w:line="288" w:lineRule="auto"/>
        <w:jc w:val="both"/>
        <w:rPr>
          <w:rFonts w:ascii="Arial" w:hAnsi="Arial" w:cs="Arial"/>
          <w:sz w:val="24"/>
          <w:szCs w:val="24"/>
        </w:rPr>
      </w:pPr>
      <w:r w:rsidRPr="001B731A">
        <w:rPr>
          <w:rFonts w:ascii="Arial" w:hAnsi="Arial" w:cs="Arial"/>
          <w:sz w:val="24"/>
          <w:szCs w:val="24"/>
        </w:rPr>
        <w:t>En escritos aparte –fls.</w:t>
      </w:r>
      <w:r w:rsidR="003B00C3" w:rsidRPr="001B731A">
        <w:rPr>
          <w:rFonts w:ascii="Arial" w:hAnsi="Arial" w:cs="Arial"/>
          <w:sz w:val="24"/>
          <w:szCs w:val="24"/>
        </w:rPr>
        <w:t>116 a 127</w:t>
      </w:r>
      <w:r w:rsidRPr="001B731A">
        <w:rPr>
          <w:rFonts w:ascii="Arial" w:hAnsi="Arial" w:cs="Arial"/>
          <w:sz w:val="24"/>
          <w:szCs w:val="24"/>
        </w:rPr>
        <w:t xml:space="preserve">-, solicitó que fueran llamadas en garantía SI 99 S.A., López Bedoya y Asociados </w:t>
      </w:r>
      <w:r w:rsidR="003B00C3" w:rsidRPr="001B731A">
        <w:rPr>
          <w:rFonts w:ascii="Arial" w:hAnsi="Arial" w:cs="Arial"/>
          <w:sz w:val="24"/>
          <w:szCs w:val="24"/>
        </w:rPr>
        <w:t>&amp;</w:t>
      </w:r>
      <w:r w:rsidRPr="001B731A">
        <w:rPr>
          <w:rFonts w:ascii="Arial" w:hAnsi="Arial" w:cs="Arial"/>
          <w:sz w:val="24"/>
          <w:szCs w:val="24"/>
        </w:rPr>
        <w:t xml:space="preserve"> Cía. S en C. y Liberty Seguros </w:t>
      </w:r>
      <w:proofErr w:type="gramStart"/>
      <w:r w:rsidRPr="001B731A">
        <w:rPr>
          <w:rFonts w:ascii="Arial" w:hAnsi="Arial" w:cs="Arial"/>
          <w:sz w:val="24"/>
          <w:szCs w:val="24"/>
        </w:rPr>
        <w:t>S.A..</w:t>
      </w:r>
      <w:proofErr w:type="gramEnd"/>
    </w:p>
    <w:p w:rsidR="003B00C3" w:rsidRPr="001B731A" w:rsidRDefault="003B00C3" w:rsidP="001B731A">
      <w:pPr>
        <w:spacing w:line="288" w:lineRule="auto"/>
        <w:jc w:val="both"/>
        <w:rPr>
          <w:rFonts w:ascii="Arial" w:hAnsi="Arial" w:cs="Arial"/>
          <w:sz w:val="24"/>
          <w:szCs w:val="24"/>
        </w:rPr>
      </w:pPr>
    </w:p>
    <w:p w:rsidR="003B00C3" w:rsidRPr="001B731A" w:rsidRDefault="003B00C3" w:rsidP="001B731A">
      <w:pPr>
        <w:spacing w:line="288" w:lineRule="auto"/>
        <w:jc w:val="both"/>
        <w:rPr>
          <w:rFonts w:ascii="Arial" w:hAnsi="Arial" w:cs="Arial"/>
          <w:sz w:val="24"/>
          <w:szCs w:val="24"/>
        </w:rPr>
      </w:pPr>
      <w:r w:rsidRPr="001B731A">
        <w:rPr>
          <w:rFonts w:ascii="Arial" w:hAnsi="Arial" w:cs="Arial"/>
          <w:sz w:val="24"/>
          <w:szCs w:val="24"/>
        </w:rPr>
        <w:t>López Bedoya y Asociados &amp; Cía. S en C. dio respuesta a la demanda y al llamamiento en garantía –fls.165 a 187- oponiéndose a las pretensiones de ambas y posteriormente proponiendo las excepciones de mérito que se encuentran debidamente relacionadas en el escrito.</w:t>
      </w:r>
    </w:p>
    <w:p w:rsidR="0083682F" w:rsidRPr="001B731A" w:rsidRDefault="0083682F" w:rsidP="001B731A">
      <w:pPr>
        <w:spacing w:line="288" w:lineRule="auto"/>
        <w:jc w:val="both"/>
        <w:rPr>
          <w:rFonts w:ascii="Arial" w:hAnsi="Arial" w:cs="Arial"/>
          <w:sz w:val="24"/>
          <w:szCs w:val="24"/>
        </w:rPr>
      </w:pPr>
    </w:p>
    <w:p w:rsidR="00CC0887" w:rsidRPr="001B731A" w:rsidRDefault="00CC0887" w:rsidP="001B731A">
      <w:pPr>
        <w:spacing w:line="288" w:lineRule="auto"/>
        <w:jc w:val="both"/>
        <w:rPr>
          <w:rFonts w:ascii="Arial" w:hAnsi="Arial" w:cs="Arial"/>
          <w:sz w:val="24"/>
          <w:szCs w:val="24"/>
        </w:rPr>
      </w:pPr>
    </w:p>
    <w:p w:rsidR="00651454" w:rsidRPr="001B731A" w:rsidRDefault="003B00C3" w:rsidP="001B731A">
      <w:pPr>
        <w:spacing w:line="288" w:lineRule="auto"/>
        <w:jc w:val="both"/>
        <w:rPr>
          <w:rFonts w:ascii="Arial" w:hAnsi="Arial" w:cs="Arial"/>
          <w:sz w:val="24"/>
          <w:szCs w:val="24"/>
        </w:rPr>
      </w:pPr>
      <w:r w:rsidRPr="001B731A">
        <w:rPr>
          <w:rFonts w:ascii="Arial" w:hAnsi="Arial" w:cs="Arial"/>
          <w:sz w:val="24"/>
          <w:szCs w:val="24"/>
        </w:rPr>
        <w:t xml:space="preserve">Por su parte </w:t>
      </w:r>
      <w:r w:rsidR="00E112C0" w:rsidRPr="001B731A">
        <w:rPr>
          <w:rFonts w:ascii="Arial" w:hAnsi="Arial" w:cs="Arial"/>
          <w:sz w:val="24"/>
          <w:szCs w:val="24"/>
        </w:rPr>
        <w:t>Liberty Seguros S.A. dando respue</w:t>
      </w:r>
      <w:r w:rsidR="00653608" w:rsidRPr="001B731A">
        <w:rPr>
          <w:rFonts w:ascii="Arial" w:hAnsi="Arial" w:cs="Arial"/>
          <w:sz w:val="24"/>
          <w:szCs w:val="24"/>
        </w:rPr>
        <w:t xml:space="preserve">sta al libelo introductorio </w:t>
      </w:r>
      <w:r w:rsidR="00E112C0" w:rsidRPr="001B731A">
        <w:rPr>
          <w:rFonts w:ascii="Arial" w:hAnsi="Arial" w:cs="Arial"/>
          <w:sz w:val="24"/>
          <w:szCs w:val="24"/>
        </w:rPr>
        <w:t>y al llamamiento en garantía –fls.</w:t>
      </w:r>
      <w:r w:rsidRPr="001B731A">
        <w:rPr>
          <w:rFonts w:ascii="Arial" w:hAnsi="Arial" w:cs="Arial"/>
          <w:sz w:val="24"/>
          <w:szCs w:val="24"/>
        </w:rPr>
        <w:t>197 a 216</w:t>
      </w:r>
      <w:r w:rsidR="00E112C0" w:rsidRPr="001B731A">
        <w:rPr>
          <w:rFonts w:ascii="Arial" w:hAnsi="Arial" w:cs="Arial"/>
          <w:sz w:val="24"/>
          <w:szCs w:val="24"/>
        </w:rPr>
        <w:t>- s</w:t>
      </w:r>
      <w:r w:rsidR="00653608" w:rsidRPr="001B731A">
        <w:rPr>
          <w:rFonts w:ascii="Arial" w:hAnsi="Arial" w:cs="Arial"/>
          <w:sz w:val="24"/>
          <w:szCs w:val="24"/>
        </w:rPr>
        <w:t>e opuso a las pretensiones de</w:t>
      </w:r>
      <w:r w:rsidR="00AF2A59" w:rsidRPr="001B731A">
        <w:rPr>
          <w:rFonts w:ascii="Arial" w:hAnsi="Arial" w:cs="Arial"/>
          <w:sz w:val="24"/>
          <w:szCs w:val="24"/>
        </w:rPr>
        <w:t>l primero</w:t>
      </w:r>
      <w:r w:rsidR="00E112C0" w:rsidRPr="001B731A">
        <w:rPr>
          <w:rFonts w:ascii="Arial" w:hAnsi="Arial" w:cs="Arial"/>
          <w:sz w:val="24"/>
          <w:szCs w:val="24"/>
        </w:rPr>
        <w:t xml:space="preserve"> y dijo atenerse a lo que resulte probado frente al segundo, proponiendo excepci</w:t>
      </w:r>
      <w:r w:rsidR="00653608" w:rsidRPr="001B731A">
        <w:rPr>
          <w:rFonts w:ascii="Arial" w:hAnsi="Arial" w:cs="Arial"/>
          <w:sz w:val="24"/>
          <w:szCs w:val="24"/>
        </w:rPr>
        <w:t xml:space="preserve">ones de mérito frente a ambas, las </w:t>
      </w:r>
      <w:r w:rsidR="00E112C0" w:rsidRPr="001B731A">
        <w:rPr>
          <w:rFonts w:ascii="Arial" w:hAnsi="Arial" w:cs="Arial"/>
          <w:sz w:val="24"/>
          <w:szCs w:val="24"/>
        </w:rPr>
        <w:t xml:space="preserve">que se encuentran debidamente </w:t>
      </w:r>
      <w:r w:rsidRPr="001B731A">
        <w:rPr>
          <w:rFonts w:ascii="Arial" w:hAnsi="Arial" w:cs="Arial"/>
          <w:sz w:val="24"/>
          <w:szCs w:val="24"/>
        </w:rPr>
        <w:t>enlistadas</w:t>
      </w:r>
      <w:r w:rsidR="00E112C0" w:rsidRPr="001B731A">
        <w:rPr>
          <w:rFonts w:ascii="Arial" w:hAnsi="Arial" w:cs="Arial"/>
          <w:sz w:val="24"/>
          <w:szCs w:val="24"/>
        </w:rPr>
        <w:t xml:space="preserve"> en </w:t>
      </w:r>
      <w:r w:rsidRPr="001B731A">
        <w:rPr>
          <w:rFonts w:ascii="Arial" w:hAnsi="Arial" w:cs="Arial"/>
          <w:sz w:val="24"/>
          <w:szCs w:val="24"/>
        </w:rPr>
        <w:t>dicho documento</w:t>
      </w:r>
      <w:r w:rsidR="00E112C0" w:rsidRPr="001B731A">
        <w:rPr>
          <w:rFonts w:ascii="Arial" w:hAnsi="Arial" w:cs="Arial"/>
          <w:sz w:val="24"/>
          <w:szCs w:val="24"/>
        </w:rPr>
        <w:t>.</w:t>
      </w:r>
    </w:p>
    <w:p w:rsidR="00E112C0" w:rsidRPr="001B731A" w:rsidRDefault="00E112C0" w:rsidP="001B731A">
      <w:pPr>
        <w:spacing w:line="288" w:lineRule="auto"/>
        <w:jc w:val="both"/>
        <w:rPr>
          <w:rFonts w:ascii="Arial" w:hAnsi="Arial" w:cs="Arial"/>
          <w:sz w:val="24"/>
          <w:szCs w:val="24"/>
        </w:rPr>
      </w:pPr>
    </w:p>
    <w:p w:rsidR="00E112C0" w:rsidRPr="001B731A" w:rsidRDefault="003B00C3" w:rsidP="001B731A">
      <w:pPr>
        <w:spacing w:line="288" w:lineRule="auto"/>
        <w:jc w:val="both"/>
        <w:rPr>
          <w:rFonts w:ascii="Arial" w:hAnsi="Arial" w:cs="Arial"/>
          <w:sz w:val="24"/>
          <w:szCs w:val="24"/>
        </w:rPr>
      </w:pPr>
      <w:r w:rsidRPr="001B731A">
        <w:rPr>
          <w:rFonts w:ascii="Arial" w:hAnsi="Arial" w:cs="Arial"/>
          <w:sz w:val="24"/>
          <w:szCs w:val="24"/>
        </w:rPr>
        <w:t xml:space="preserve">Bajo esa misma estructura </w:t>
      </w:r>
      <w:r w:rsidR="001A4AF0" w:rsidRPr="001B731A">
        <w:rPr>
          <w:rFonts w:ascii="Arial" w:hAnsi="Arial" w:cs="Arial"/>
          <w:sz w:val="24"/>
          <w:szCs w:val="24"/>
        </w:rPr>
        <w:t>SI 99 S.A. contestó la demanda y el llamamiento en garantía –fls.</w:t>
      </w:r>
      <w:r w:rsidRPr="001B731A">
        <w:rPr>
          <w:rFonts w:ascii="Arial" w:hAnsi="Arial" w:cs="Arial"/>
          <w:sz w:val="24"/>
          <w:szCs w:val="24"/>
        </w:rPr>
        <w:t>227 a 249</w:t>
      </w:r>
      <w:r w:rsidR="001A4AF0" w:rsidRPr="001B731A">
        <w:rPr>
          <w:rFonts w:ascii="Arial" w:hAnsi="Arial" w:cs="Arial"/>
          <w:sz w:val="24"/>
          <w:szCs w:val="24"/>
        </w:rPr>
        <w:t>- oponiéndose a las pretensiones de ambas, lo que la llevó a proponer las excepciones de mérito que también se encuentran adecuadamente relacionadas en el contenido de los escritos.</w:t>
      </w:r>
    </w:p>
    <w:p w:rsidR="00E112C0" w:rsidRPr="001B731A" w:rsidRDefault="00E112C0" w:rsidP="001B731A">
      <w:pPr>
        <w:spacing w:line="288" w:lineRule="auto"/>
        <w:jc w:val="both"/>
        <w:rPr>
          <w:rFonts w:ascii="Arial" w:hAnsi="Arial" w:cs="Arial"/>
          <w:sz w:val="24"/>
          <w:szCs w:val="24"/>
        </w:rPr>
      </w:pPr>
    </w:p>
    <w:p w:rsidR="006E2EDD" w:rsidRPr="001B731A" w:rsidRDefault="00062994" w:rsidP="001B731A">
      <w:pPr>
        <w:spacing w:line="288" w:lineRule="auto"/>
        <w:jc w:val="both"/>
        <w:rPr>
          <w:rFonts w:ascii="Arial" w:hAnsi="Arial" w:cs="Arial"/>
          <w:sz w:val="24"/>
          <w:szCs w:val="24"/>
        </w:rPr>
      </w:pPr>
      <w:r w:rsidRPr="001B731A">
        <w:rPr>
          <w:rFonts w:ascii="Arial" w:hAnsi="Arial" w:cs="Arial"/>
          <w:sz w:val="24"/>
          <w:szCs w:val="24"/>
        </w:rPr>
        <w:t>En sente</w:t>
      </w:r>
      <w:r w:rsidR="00405181" w:rsidRPr="001B731A">
        <w:rPr>
          <w:rFonts w:ascii="Arial" w:hAnsi="Arial" w:cs="Arial"/>
          <w:sz w:val="24"/>
          <w:szCs w:val="24"/>
        </w:rPr>
        <w:t>ncia de 29</w:t>
      </w:r>
      <w:r w:rsidRPr="001B731A">
        <w:rPr>
          <w:rFonts w:ascii="Arial" w:hAnsi="Arial" w:cs="Arial"/>
          <w:sz w:val="24"/>
          <w:szCs w:val="24"/>
        </w:rPr>
        <w:t xml:space="preserve"> de agosto de 2018, la falladora de primer grado declaró la existencia del contrato de trabajo entre el señor </w:t>
      </w:r>
      <w:r w:rsidR="002232C8" w:rsidRPr="001B731A">
        <w:rPr>
          <w:rFonts w:ascii="Arial" w:hAnsi="Arial" w:cs="Arial"/>
          <w:sz w:val="24"/>
          <w:szCs w:val="24"/>
        </w:rPr>
        <w:t>Duberney Castaño Romero</w:t>
      </w:r>
      <w:r w:rsidRPr="001B731A">
        <w:rPr>
          <w:rFonts w:ascii="Arial" w:hAnsi="Arial" w:cs="Arial"/>
          <w:sz w:val="24"/>
          <w:szCs w:val="24"/>
        </w:rPr>
        <w:t xml:space="preserve"> y la liquidada Promasivo S.A. entre el </w:t>
      </w:r>
      <w:r w:rsidR="006E2EDD" w:rsidRPr="001B731A">
        <w:rPr>
          <w:rFonts w:ascii="Arial" w:hAnsi="Arial" w:cs="Arial"/>
          <w:sz w:val="24"/>
          <w:szCs w:val="24"/>
        </w:rPr>
        <w:t>19 de agosto de 2006 y el 30 de septiembre de 2014</w:t>
      </w:r>
      <w:r w:rsidRPr="001B731A">
        <w:rPr>
          <w:rFonts w:ascii="Arial" w:hAnsi="Arial" w:cs="Arial"/>
          <w:sz w:val="24"/>
          <w:szCs w:val="24"/>
        </w:rPr>
        <w:t xml:space="preserve">, accediendo a las pretensiones condenatorias concernientes </w:t>
      </w:r>
      <w:r w:rsidR="006E2EDD" w:rsidRPr="001B731A">
        <w:rPr>
          <w:rFonts w:ascii="Arial" w:hAnsi="Arial" w:cs="Arial"/>
          <w:sz w:val="24"/>
          <w:szCs w:val="24"/>
        </w:rPr>
        <w:t>al pago de salarios y prestaciones sociales, reajuste de unos periodos de cotización al sistema general de pensiones, las indemnización por despido indirecto, las sanciones moratorias de los artículos 99 de la Ley 50 de 1990 y 65 del CST.</w:t>
      </w:r>
    </w:p>
    <w:p w:rsidR="00062994" w:rsidRPr="001B731A" w:rsidRDefault="00062994" w:rsidP="001B731A">
      <w:pPr>
        <w:spacing w:line="288" w:lineRule="auto"/>
        <w:jc w:val="both"/>
        <w:rPr>
          <w:rFonts w:ascii="Arial" w:hAnsi="Arial" w:cs="Arial"/>
          <w:sz w:val="24"/>
          <w:szCs w:val="24"/>
        </w:rPr>
      </w:pPr>
    </w:p>
    <w:p w:rsidR="00062994" w:rsidRPr="001B731A" w:rsidRDefault="00062994" w:rsidP="001B731A">
      <w:pPr>
        <w:spacing w:line="288" w:lineRule="auto"/>
        <w:jc w:val="both"/>
        <w:rPr>
          <w:rFonts w:ascii="Arial" w:hAnsi="Arial" w:cs="Arial"/>
          <w:sz w:val="24"/>
          <w:szCs w:val="24"/>
        </w:rPr>
      </w:pPr>
      <w:r w:rsidRPr="001B731A">
        <w:rPr>
          <w:rFonts w:ascii="Arial" w:hAnsi="Arial" w:cs="Arial"/>
          <w:sz w:val="24"/>
          <w:szCs w:val="24"/>
        </w:rPr>
        <w:t xml:space="preserve">Declaró que </w:t>
      </w:r>
      <w:proofErr w:type="spellStart"/>
      <w:r w:rsidRPr="001B731A">
        <w:rPr>
          <w:rFonts w:ascii="Arial" w:hAnsi="Arial" w:cs="Arial"/>
          <w:sz w:val="24"/>
          <w:szCs w:val="24"/>
        </w:rPr>
        <w:t>Mega</w:t>
      </w:r>
      <w:r w:rsidR="00392C29" w:rsidRPr="001B731A">
        <w:rPr>
          <w:rFonts w:ascii="Arial" w:hAnsi="Arial" w:cs="Arial"/>
          <w:sz w:val="24"/>
          <w:szCs w:val="24"/>
        </w:rPr>
        <w:t>bus</w:t>
      </w:r>
      <w:proofErr w:type="spellEnd"/>
      <w:r w:rsidR="00392C29" w:rsidRPr="001B731A">
        <w:rPr>
          <w:rFonts w:ascii="Arial" w:hAnsi="Arial" w:cs="Arial"/>
          <w:sz w:val="24"/>
          <w:szCs w:val="24"/>
        </w:rPr>
        <w:t xml:space="preserve"> S.A. es solidariamente responsable frente a las condenas impuestas a Promasivo S.A. en virtud a lo previsto en el artículo 34 del CST, así como lo son también las llamadas en garantía López Bedoya y Asociados &amp; </w:t>
      </w:r>
      <w:proofErr w:type="spellStart"/>
      <w:r w:rsidR="00392C29" w:rsidRPr="001B731A">
        <w:rPr>
          <w:rFonts w:ascii="Arial" w:hAnsi="Arial" w:cs="Arial"/>
          <w:sz w:val="24"/>
          <w:szCs w:val="24"/>
        </w:rPr>
        <w:t>Cia</w:t>
      </w:r>
      <w:proofErr w:type="spellEnd"/>
      <w:r w:rsidR="00392C29" w:rsidRPr="001B731A">
        <w:rPr>
          <w:rFonts w:ascii="Arial" w:hAnsi="Arial" w:cs="Arial"/>
          <w:sz w:val="24"/>
          <w:szCs w:val="24"/>
        </w:rPr>
        <w:t xml:space="preserve"> S en C y SI 99 S.A. frente a </w:t>
      </w:r>
      <w:proofErr w:type="spellStart"/>
      <w:r w:rsidR="00392C29" w:rsidRPr="001B731A">
        <w:rPr>
          <w:rFonts w:ascii="Arial" w:hAnsi="Arial" w:cs="Arial"/>
          <w:sz w:val="24"/>
          <w:szCs w:val="24"/>
        </w:rPr>
        <w:t>Megabus</w:t>
      </w:r>
      <w:proofErr w:type="spellEnd"/>
      <w:r w:rsidR="00392C29" w:rsidRPr="001B731A">
        <w:rPr>
          <w:rFonts w:ascii="Arial" w:hAnsi="Arial" w:cs="Arial"/>
          <w:sz w:val="24"/>
          <w:szCs w:val="24"/>
        </w:rPr>
        <w:t xml:space="preserve"> S.A. al haberse obligado voluntariamente en el contrato de concesión 01 de 2004.</w:t>
      </w:r>
    </w:p>
    <w:p w:rsidR="00392C29" w:rsidRPr="001B731A" w:rsidRDefault="00392C29" w:rsidP="001B731A">
      <w:pPr>
        <w:spacing w:line="288" w:lineRule="auto"/>
        <w:jc w:val="both"/>
        <w:rPr>
          <w:rFonts w:ascii="Arial" w:hAnsi="Arial" w:cs="Arial"/>
          <w:sz w:val="24"/>
          <w:szCs w:val="24"/>
        </w:rPr>
      </w:pPr>
    </w:p>
    <w:p w:rsidR="00392C29" w:rsidRPr="001B731A" w:rsidRDefault="00392C29" w:rsidP="001B731A">
      <w:pPr>
        <w:spacing w:line="288" w:lineRule="auto"/>
        <w:jc w:val="both"/>
        <w:rPr>
          <w:rFonts w:ascii="Arial" w:hAnsi="Arial" w:cs="Arial"/>
          <w:sz w:val="24"/>
          <w:szCs w:val="24"/>
        </w:rPr>
      </w:pPr>
      <w:r w:rsidRPr="001B731A">
        <w:rPr>
          <w:rFonts w:ascii="Arial" w:hAnsi="Arial" w:cs="Arial"/>
          <w:sz w:val="24"/>
          <w:szCs w:val="24"/>
        </w:rPr>
        <w:t xml:space="preserve">Condenó también a Liberty Seguros S.A. a responder por los valores que cancele </w:t>
      </w:r>
      <w:proofErr w:type="spellStart"/>
      <w:r w:rsidRPr="001B731A">
        <w:rPr>
          <w:rFonts w:ascii="Arial" w:hAnsi="Arial" w:cs="Arial"/>
          <w:sz w:val="24"/>
          <w:szCs w:val="24"/>
        </w:rPr>
        <w:t>Megabus</w:t>
      </w:r>
      <w:proofErr w:type="spellEnd"/>
      <w:r w:rsidRPr="001B731A">
        <w:rPr>
          <w:rFonts w:ascii="Arial" w:hAnsi="Arial" w:cs="Arial"/>
          <w:sz w:val="24"/>
          <w:szCs w:val="24"/>
        </w:rPr>
        <w:t xml:space="preserve"> S.A. por las condenas que le fueron impuestas de manera solidaria, hasta por el monto amparado en la póliza de cumplimiento Nº 1937092, siempre y cuando el valor asegurado no se haya agotado.</w:t>
      </w:r>
    </w:p>
    <w:p w:rsidR="00FC4CEA" w:rsidRPr="001B731A" w:rsidRDefault="00FC4CEA" w:rsidP="001B731A">
      <w:pPr>
        <w:spacing w:line="288" w:lineRule="auto"/>
        <w:jc w:val="both"/>
        <w:rPr>
          <w:rFonts w:ascii="Arial" w:hAnsi="Arial" w:cs="Arial"/>
          <w:sz w:val="24"/>
          <w:szCs w:val="24"/>
        </w:rPr>
      </w:pPr>
    </w:p>
    <w:p w:rsidR="00FC4CEA" w:rsidRPr="001B731A" w:rsidRDefault="00FC4CEA" w:rsidP="001B731A">
      <w:pPr>
        <w:spacing w:line="288" w:lineRule="auto"/>
        <w:jc w:val="both"/>
        <w:rPr>
          <w:rFonts w:ascii="Arial" w:hAnsi="Arial" w:cs="Arial"/>
          <w:sz w:val="24"/>
          <w:szCs w:val="24"/>
        </w:rPr>
      </w:pPr>
      <w:r w:rsidRPr="001B731A">
        <w:rPr>
          <w:rFonts w:ascii="Arial" w:hAnsi="Arial" w:cs="Arial"/>
          <w:sz w:val="24"/>
          <w:szCs w:val="24"/>
        </w:rPr>
        <w:lastRenderedPageBreak/>
        <w:t xml:space="preserve">Finalmente condenó en costas procesales a Promasivo S.A. y </w:t>
      </w:r>
      <w:proofErr w:type="spellStart"/>
      <w:r w:rsidRPr="001B731A">
        <w:rPr>
          <w:rFonts w:ascii="Arial" w:hAnsi="Arial" w:cs="Arial"/>
          <w:sz w:val="24"/>
          <w:szCs w:val="24"/>
        </w:rPr>
        <w:t>Megabus</w:t>
      </w:r>
      <w:proofErr w:type="spellEnd"/>
      <w:r w:rsidRPr="001B731A">
        <w:rPr>
          <w:rFonts w:ascii="Arial" w:hAnsi="Arial" w:cs="Arial"/>
          <w:sz w:val="24"/>
          <w:szCs w:val="24"/>
        </w:rPr>
        <w:t xml:space="preserve"> S.A.</w:t>
      </w:r>
      <w:r w:rsidR="003B27C8" w:rsidRPr="001B731A">
        <w:rPr>
          <w:rFonts w:ascii="Arial" w:hAnsi="Arial" w:cs="Arial"/>
          <w:sz w:val="24"/>
          <w:szCs w:val="24"/>
        </w:rPr>
        <w:t xml:space="preserve"> a favor del demandante en un 95</w:t>
      </w:r>
      <w:r w:rsidRPr="001B731A">
        <w:rPr>
          <w:rFonts w:ascii="Arial" w:hAnsi="Arial" w:cs="Arial"/>
          <w:sz w:val="24"/>
          <w:szCs w:val="24"/>
        </w:rPr>
        <w:t>%, así como a l</w:t>
      </w:r>
      <w:r w:rsidR="003B27C8" w:rsidRPr="001B731A">
        <w:rPr>
          <w:rFonts w:ascii="Arial" w:hAnsi="Arial" w:cs="Arial"/>
          <w:sz w:val="24"/>
          <w:szCs w:val="24"/>
        </w:rPr>
        <w:t>as llamadas en garantía en un 2</w:t>
      </w:r>
      <w:r w:rsidRPr="001B731A">
        <w:rPr>
          <w:rFonts w:ascii="Arial" w:hAnsi="Arial" w:cs="Arial"/>
          <w:sz w:val="24"/>
          <w:szCs w:val="24"/>
        </w:rPr>
        <w:t xml:space="preserve">0% a favor de </w:t>
      </w:r>
      <w:proofErr w:type="spellStart"/>
      <w:r w:rsidRPr="001B731A">
        <w:rPr>
          <w:rFonts w:ascii="Arial" w:hAnsi="Arial" w:cs="Arial"/>
          <w:sz w:val="24"/>
          <w:szCs w:val="24"/>
        </w:rPr>
        <w:t>Megabus</w:t>
      </w:r>
      <w:proofErr w:type="spellEnd"/>
      <w:r w:rsidRPr="001B731A">
        <w:rPr>
          <w:rFonts w:ascii="Arial" w:hAnsi="Arial" w:cs="Arial"/>
          <w:sz w:val="24"/>
          <w:szCs w:val="24"/>
        </w:rPr>
        <w:t xml:space="preserve"> S.A.</w:t>
      </w:r>
    </w:p>
    <w:p w:rsidR="00FC4CEA" w:rsidRPr="001B731A" w:rsidRDefault="00FC4CEA" w:rsidP="001B731A">
      <w:pPr>
        <w:spacing w:line="288" w:lineRule="auto"/>
        <w:jc w:val="both"/>
        <w:rPr>
          <w:rFonts w:ascii="Arial" w:hAnsi="Arial" w:cs="Arial"/>
          <w:sz w:val="24"/>
          <w:szCs w:val="24"/>
        </w:rPr>
      </w:pPr>
    </w:p>
    <w:p w:rsidR="00FC4CEA" w:rsidRPr="001B731A" w:rsidRDefault="00C70BEC" w:rsidP="001B731A">
      <w:pPr>
        <w:spacing w:line="288" w:lineRule="auto"/>
        <w:jc w:val="both"/>
        <w:rPr>
          <w:rFonts w:ascii="Arial" w:hAnsi="Arial" w:cs="Arial"/>
          <w:sz w:val="24"/>
          <w:szCs w:val="24"/>
        </w:rPr>
      </w:pPr>
      <w:r w:rsidRPr="001B731A">
        <w:rPr>
          <w:rFonts w:ascii="Arial" w:hAnsi="Arial" w:cs="Arial"/>
          <w:sz w:val="24"/>
          <w:szCs w:val="24"/>
        </w:rPr>
        <w:t>Inconformes con la decisión, los apoderados judiciales de las llamadas en garantía interpusieron recurso de apelación, en los siguientes términos:</w:t>
      </w:r>
    </w:p>
    <w:p w:rsidR="00C70BEC" w:rsidRPr="001B731A" w:rsidRDefault="00C70BEC" w:rsidP="001B731A">
      <w:pPr>
        <w:spacing w:line="288" w:lineRule="auto"/>
        <w:jc w:val="both"/>
        <w:rPr>
          <w:rFonts w:ascii="Arial" w:hAnsi="Arial" w:cs="Arial"/>
          <w:sz w:val="24"/>
          <w:szCs w:val="24"/>
        </w:rPr>
      </w:pPr>
    </w:p>
    <w:p w:rsidR="000A243B" w:rsidRPr="001B731A" w:rsidRDefault="00A626D1" w:rsidP="001B731A">
      <w:pPr>
        <w:spacing w:line="288" w:lineRule="auto"/>
        <w:jc w:val="both"/>
        <w:rPr>
          <w:rFonts w:ascii="Arial" w:hAnsi="Arial" w:cs="Arial"/>
          <w:sz w:val="24"/>
          <w:szCs w:val="24"/>
        </w:rPr>
      </w:pPr>
      <w:r w:rsidRPr="001B731A">
        <w:rPr>
          <w:rFonts w:ascii="Arial" w:hAnsi="Arial" w:cs="Arial"/>
          <w:sz w:val="24"/>
          <w:szCs w:val="24"/>
        </w:rPr>
        <w:t xml:space="preserve">López Bedoya Asociados &amp; </w:t>
      </w:r>
      <w:proofErr w:type="spellStart"/>
      <w:r w:rsidRPr="001B731A">
        <w:rPr>
          <w:rFonts w:ascii="Arial" w:hAnsi="Arial" w:cs="Arial"/>
          <w:sz w:val="24"/>
          <w:szCs w:val="24"/>
        </w:rPr>
        <w:t>Cia</w:t>
      </w:r>
      <w:proofErr w:type="spellEnd"/>
      <w:r w:rsidRPr="001B731A">
        <w:rPr>
          <w:rFonts w:ascii="Arial" w:hAnsi="Arial" w:cs="Arial"/>
          <w:sz w:val="24"/>
          <w:szCs w:val="24"/>
        </w:rPr>
        <w:t xml:space="preserve"> S en C. </w:t>
      </w:r>
      <w:r w:rsidR="000A243B" w:rsidRPr="001B731A">
        <w:rPr>
          <w:rFonts w:ascii="Arial" w:hAnsi="Arial" w:cs="Arial"/>
          <w:sz w:val="24"/>
          <w:szCs w:val="24"/>
        </w:rPr>
        <w:t xml:space="preserve">controvierte la condena por concepto de auxilio de cesantías del año 2014, pues considera que la </w:t>
      </w:r>
      <w:r w:rsidR="000A243B" w:rsidRPr="001B731A">
        <w:rPr>
          <w:rFonts w:ascii="Arial" w:hAnsi="Arial" w:cs="Arial"/>
          <w:i/>
          <w:sz w:val="24"/>
          <w:szCs w:val="24"/>
        </w:rPr>
        <w:t>a quo</w:t>
      </w:r>
      <w:r w:rsidR="000A243B" w:rsidRPr="001B731A">
        <w:rPr>
          <w:rFonts w:ascii="Arial" w:hAnsi="Arial" w:cs="Arial"/>
          <w:sz w:val="24"/>
          <w:szCs w:val="24"/>
        </w:rPr>
        <w:t xml:space="preserve"> la liquidó teniendo en cuenta todo el año, cuando la relación laboral se extendió al 30 de septiembre de 2014.</w:t>
      </w:r>
      <w:r w:rsidR="006F5DBD" w:rsidRPr="001B731A">
        <w:rPr>
          <w:rFonts w:ascii="Arial" w:hAnsi="Arial" w:cs="Arial"/>
          <w:sz w:val="24"/>
          <w:szCs w:val="24"/>
        </w:rPr>
        <w:t xml:space="preserve"> Igualmente dijo que le pareció entender que el juzgado emitió condena por concepto de cesantías de los años 2012 y 2013, cuando es bien sabido que Promasivo S.A. solo quedó adeudando las del 2013.</w:t>
      </w:r>
    </w:p>
    <w:p w:rsidR="000A243B" w:rsidRPr="001B731A" w:rsidRDefault="000A243B" w:rsidP="001B731A">
      <w:pPr>
        <w:spacing w:line="288" w:lineRule="auto"/>
        <w:jc w:val="both"/>
        <w:rPr>
          <w:rFonts w:ascii="Arial" w:hAnsi="Arial" w:cs="Arial"/>
          <w:sz w:val="24"/>
          <w:szCs w:val="24"/>
        </w:rPr>
      </w:pPr>
    </w:p>
    <w:p w:rsidR="000A243B" w:rsidRPr="001B731A" w:rsidRDefault="000A243B" w:rsidP="001B731A">
      <w:pPr>
        <w:spacing w:line="288" w:lineRule="auto"/>
        <w:jc w:val="both"/>
        <w:rPr>
          <w:rFonts w:ascii="Arial" w:hAnsi="Arial" w:cs="Arial"/>
          <w:sz w:val="24"/>
          <w:szCs w:val="24"/>
        </w:rPr>
      </w:pPr>
      <w:r w:rsidRPr="001B731A">
        <w:rPr>
          <w:rFonts w:ascii="Arial" w:hAnsi="Arial" w:cs="Arial"/>
          <w:sz w:val="24"/>
          <w:szCs w:val="24"/>
        </w:rPr>
        <w:t>Frente a la</w:t>
      </w:r>
      <w:r w:rsidR="006F5DBD" w:rsidRPr="001B731A">
        <w:rPr>
          <w:rFonts w:ascii="Arial" w:hAnsi="Arial" w:cs="Arial"/>
          <w:sz w:val="24"/>
          <w:szCs w:val="24"/>
        </w:rPr>
        <w:t>s</w:t>
      </w:r>
      <w:r w:rsidRPr="001B731A">
        <w:rPr>
          <w:rFonts w:ascii="Arial" w:hAnsi="Arial" w:cs="Arial"/>
          <w:sz w:val="24"/>
          <w:szCs w:val="24"/>
        </w:rPr>
        <w:t xml:space="preserve"> sanci</w:t>
      </w:r>
      <w:r w:rsidR="006F5DBD" w:rsidRPr="001B731A">
        <w:rPr>
          <w:rFonts w:ascii="Arial" w:hAnsi="Arial" w:cs="Arial"/>
          <w:sz w:val="24"/>
          <w:szCs w:val="24"/>
        </w:rPr>
        <w:t>ones</w:t>
      </w:r>
      <w:r w:rsidRPr="001B731A">
        <w:rPr>
          <w:rFonts w:ascii="Arial" w:hAnsi="Arial" w:cs="Arial"/>
          <w:sz w:val="24"/>
          <w:szCs w:val="24"/>
        </w:rPr>
        <w:t xml:space="preserve"> moratoria</w:t>
      </w:r>
      <w:r w:rsidR="006F5DBD" w:rsidRPr="001B731A">
        <w:rPr>
          <w:rFonts w:ascii="Arial" w:hAnsi="Arial" w:cs="Arial"/>
          <w:sz w:val="24"/>
          <w:szCs w:val="24"/>
        </w:rPr>
        <w:t>s</w:t>
      </w:r>
      <w:r w:rsidRPr="001B731A">
        <w:rPr>
          <w:rFonts w:ascii="Arial" w:hAnsi="Arial" w:cs="Arial"/>
          <w:sz w:val="24"/>
          <w:szCs w:val="24"/>
        </w:rPr>
        <w:t xml:space="preserve"> sostiene que </w:t>
      </w:r>
      <w:r w:rsidR="006F5DBD" w:rsidRPr="001B731A">
        <w:rPr>
          <w:rFonts w:ascii="Arial" w:hAnsi="Arial" w:cs="Arial"/>
          <w:sz w:val="24"/>
          <w:szCs w:val="24"/>
        </w:rPr>
        <w:t xml:space="preserve">no hay lugar a ellas </w:t>
      </w:r>
      <w:r w:rsidRPr="001B731A">
        <w:rPr>
          <w:rFonts w:ascii="Arial" w:hAnsi="Arial" w:cs="Arial"/>
          <w:sz w:val="24"/>
          <w:szCs w:val="24"/>
        </w:rPr>
        <w:t>al quedar demostrado</w:t>
      </w:r>
      <w:r w:rsidR="006F5DBD" w:rsidRPr="001B731A">
        <w:rPr>
          <w:rFonts w:ascii="Arial" w:hAnsi="Arial" w:cs="Arial"/>
          <w:sz w:val="24"/>
          <w:szCs w:val="24"/>
        </w:rPr>
        <w:t xml:space="preserve"> en el proceso</w:t>
      </w:r>
      <w:r w:rsidRPr="001B731A">
        <w:rPr>
          <w:rFonts w:ascii="Arial" w:hAnsi="Arial" w:cs="Arial"/>
          <w:sz w:val="24"/>
          <w:szCs w:val="24"/>
        </w:rPr>
        <w:t xml:space="preserve"> que desde el 25 de julio de 2014 </w:t>
      </w:r>
      <w:r w:rsidR="006F5DBD" w:rsidRPr="001B731A">
        <w:rPr>
          <w:rFonts w:ascii="Arial" w:hAnsi="Arial" w:cs="Arial"/>
          <w:sz w:val="24"/>
          <w:szCs w:val="24"/>
        </w:rPr>
        <w:t xml:space="preserve">Promasivo S.A. </w:t>
      </w:r>
      <w:r w:rsidRPr="001B731A">
        <w:rPr>
          <w:rFonts w:ascii="Arial" w:hAnsi="Arial" w:cs="Arial"/>
          <w:sz w:val="24"/>
          <w:szCs w:val="24"/>
        </w:rPr>
        <w:t>perdió el control total de la empresa pasando a manos de la Superintendencia de Puertos y Transporte, por lo que ninguna mala fe puede endilgársele a partir de ese momento.</w:t>
      </w:r>
    </w:p>
    <w:p w:rsidR="00950356" w:rsidRPr="001B731A" w:rsidRDefault="00950356" w:rsidP="001B731A">
      <w:pPr>
        <w:spacing w:line="288" w:lineRule="auto"/>
        <w:jc w:val="both"/>
        <w:rPr>
          <w:rFonts w:ascii="Arial" w:hAnsi="Arial" w:cs="Arial"/>
          <w:sz w:val="24"/>
          <w:szCs w:val="24"/>
        </w:rPr>
      </w:pPr>
    </w:p>
    <w:p w:rsidR="002271D4" w:rsidRPr="001B731A" w:rsidRDefault="000C688E" w:rsidP="001B731A">
      <w:pPr>
        <w:spacing w:line="288" w:lineRule="auto"/>
        <w:jc w:val="both"/>
        <w:rPr>
          <w:rFonts w:ascii="Arial" w:hAnsi="Arial" w:cs="Arial"/>
          <w:sz w:val="24"/>
          <w:szCs w:val="24"/>
        </w:rPr>
      </w:pPr>
      <w:r w:rsidRPr="001B731A">
        <w:rPr>
          <w:rFonts w:ascii="Arial" w:hAnsi="Arial" w:cs="Arial"/>
          <w:sz w:val="24"/>
          <w:szCs w:val="24"/>
        </w:rPr>
        <w:t>SI 99 S.A. expresó que no es posible que se le condene solidariamente a cancelar las sumas que se impusieron a las empresas demandadas, pues con la suscripción de los Otros Sí se modificó el contrato de concesión Nº 01 de 2004 del que esa entidad era garante, presentándose una novación de la obligación, lo cual la exonera de cualquier responsabilidad solidaria frente a Megabús S.A.</w:t>
      </w:r>
    </w:p>
    <w:p w:rsidR="000C688E" w:rsidRPr="001B731A" w:rsidRDefault="000C688E" w:rsidP="001B731A">
      <w:pPr>
        <w:spacing w:line="288" w:lineRule="auto"/>
        <w:jc w:val="both"/>
        <w:rPr>
          <w:rFonts w:ascii="Arial" w:hAnsi="Arial" w:cs="Arial"/>
          <w:sz w:val="24"/>
          <w:szCs w:val="24"/>
        </w:rPr>
      </w:pPr>
    </w:p>
    <w:p w:rsidR="00F915D7" w:rsidRPr="001B731A" w:rsidRDefault="000B74F7" w:rsidP="001B731A">
      <w:pPr>
        <w:spacing w:line="288" w:lineRule="auto"/>
        <w:jc w:val="both"/>
        <w:rPr>
          <w:rFonts w:ascii="Arial" w:hAnsi="Arial" w:cs="Arial"/>
          <w:sz w:val="24"/>
          <w:szCs w:val="24"/>
        </w:rPr>
      </w:pPr>
      <w:r w:rsidRPr="001B731A">
        <w:rPr>
          <w:rFonts w:ascii="Arial" w:hAnsi="Arial" w:cs="Arial"/>
          <w:sz w:val="24"/>
          <w:szCs w:val="24"/>
        </w:rPr>
        <w:t xml:space="preserve">Liberty Seguros S.A. sostuvo que la mala fe de las conductas del tomador </w:t>
      </w:r>
      <w:r w:rsidR="00F915D7" w:rsidRPr="001B731A">
        <w:rPr>
          <w:rFonts w:ascii="Arial" w:hAnsi="Arial" w:cs="Arial"/>
          <w:sz w:val="24"/>
          <w:szCs w:val="24"/>
        </w:rPr>
        <w:t>consistentes</w:t>
      </w:r>
      <w:r w:rsidRPr="001B731A">
        <w:rPr>
          <w:rFonts w:ascii="Arial" w:hAnsi="Arial" w:cs="Arial"/>
          <w:sz w:val="24"/>
          <w:szCs w:val="24"/>
        </w:rPr>
        <w:t xml:space="preserve"> en la omisión en el pago de las acreencias laborales</w:t>
      </w:r>
      <w:r w:rsidR="00F915D7" w:rsidRPr="001B731A">
        <w:rPr>
          <w:rFonts w:ascii="Arial" w:hAnsi="Arial" w:cs="Arial"/>
          <w:sz w:val="24"/>
          <w:szCs w:val="24"/>
        </w:rPr>
        <w:t xml:space="preserve"> del actor</w:t>
      </w:r>
      <w:r w:rsidRPr="001B731A">
        <w:rPr>
          <w:rFonts w:ascii="Arial" w:hAnsi="Arial" w:cs="Arial"/>
          <w:sz w:val="24"/>
          <w:szCs w:val="24"/>
        </w:rPr>
        <w:t xml:space="preserve">, </w:t>
      </w:r>
      <w:r w:rsidR="00F915D7" w:rsidRPr="001B731A">
        <w:rPr>
          <w:rFonts w:ascii="Arial" w:hAnsi="Arial" w:cs="Arial"/>
          <w:sz w:val="24"/>
          <w:szCs w:val="24"/>
        </w:rPr>
        <w:t xml:space="preserve">hace que esas sumas de dinero no sean asegurables </w:t>
      </w:r>
      <w:r w:rsidRPr="001B731A">
        <w:rPr>
          <w:rFonts w:ascii="Arial" w:hAnsi="Arial" w:cs="Arial"/>
          <w:sz w:val="24"/>
          <w:szCs w:val="24"/>
        </w:rPr>
        <w:t xml:space="preserve">de conformidad con lo previsto en el artículo 1055 del </w:t>
      </w:r>
      <w:proofErr w:type="spellStart"/>
      <w:r w:rsidRPr="001B731A">
        <w:rPr>
          <w:rFonts w:ascii="Arial" w:hAnsi="Arial" w:cs="Arial"/>
          <w:sz w:val="24"/>
          <w:szCs w:val="24"/>
        </w:rPr>
        <w:t>C.Cio</w:t>
      </w:r>
      <w:proofErr w:type="spellEnd"/>
      <w:r w:rsidRPr="001B731A">
        <w:rPr>
          <w:rFonts w:ascii="Arial" w:hAnsi="Arial" w:cs="Arial"/>
          <w:sz w:val="24"/>
          <w:szCs w:val="24"/>
        </w:rPr>
        <w:t xml:space="preserve">. </w:t>
      </w:r>
    </w:p>
    <w:p w:rsidR="00F915D7" w:rsidRPr="001B731A" w:rsidRDefault="00F915D7" w:rsidP="001B731A">
      <w:pPr>
        <w:spacing w:line="288" w:lineRule="auto"/>
        <w:jc w:val="both"/>
        <w:rPr>
          <w:rFonts w:ascii="Arial" w:hAnsi="Arial" w:cs="Arial"/>
          <w:sz w:val="24"/>
          <w:szCs w:val="24"/>
        </w:rPr>
      </w:pPr>
    </w:p>
    <w:p w:rsidR="003B3EE3" w:rsidRPr="001B731A" w:rsidRDefault="00F915D7" w:rsidP="001B731A">
      <w:pPr>
        <w:spacing w:line="288" w:lineRule="auto"/>
        <w:jc w:val="both"/>
        <w:rPr>
          <w:rFonts w:ascii="Arial" w:hAnsi="Arial" w:cs="Arial"/>
          <w:sz w:val="24"/>
          <w:szCs w:val="24"/>
        </w:rPr>
      </w:pPr>
      <w:r w:rsidRPr="001B731A">
        <w:rPr>
          <w:rFonts w:ascii="Arial" w:hAnsi="Arial" w:cs="Arial"/>
          <w:sz w:val="24"/>
          <w:szCs w:val="24"/>
        </w:rPr>
        <w:t xml:space="preserve">Seguidamente indicó que en caso de que deba reembolsar las sumas de dinero que cancele </w:t>
      </w:r>
      <w:proofErr w:type="spellStart"/>
      <w:r w:rsidRPr="001B731A">
        <w:rPr>
          <w:rFonts w:ascii="Arial" w:hAnsi="Arial" w:cs="Arial"/>
          <w:sz w:val="24"/>
          <w:szCs w:val="24"/>
        </w:rPr>
        <w:t>Megabus</w:t>
      </w:r>
      <w:proofErr w:type="spellEnd"/>
      <w:r w:rsidRPr="001B731A">
        <w:rPr>
          <w:rFonts w:ascii="Arial" w:hAnsi="Arial" w:cs="Arial"/>
          <w:sz w:val="24"/>
          <w:szCs w:val="24"/>
        </w:rPr>
        <w:t xml:space="preserve"> S.A. con cargo a la póliza Nº </w:t>
      </w:r>
      <w:r w:rsidR="000B74F7" w:rsidRPr="001B731A">
        <w:rPr>
          <w:rFonts w:ascii="Arial" w:hAnsi="Arial" w:cs="Arial"/>
          <w:sz w:val="24"/>
          <w:szCs w:val="24"/>
        </w:rPr>
        <w:t>1937092,</w:t>
      </w:r>
      <w:r w:rsidRPr="001B731A">
        <w:rPr>
          <w:rFonts w:ascii="Arial" w:hAnsi="Arial" w:cs="Arial"/>
          <w:sz w:val="24"/>
          <w:szCs w:val="24"/>
        </w:rPr>
        <w:t xml:space="preserve"> debe atenderse su clausulado en cuanto al límite global y al monto que ya ha sido afectado en virtud a otras condenas judiciales; señalando que en todo caso la misma no cubre </w:t>
      </w:r>
      <w:r w:rsidR="000B74F7" w:rsidRPr="001B731A">
        <w:rPr>
          <w:rFonts w:ascii="Arial" w:hAnsi="Arial" w:cs="Arial"/>
          <w:sz w:val="24"/>
          <w:szCs w:val="24"/>
        </w:rPr>
        <w:t>vacaciones ni pagos a la seguridad social.</w:t>
      </w:r>
      <w:r w:rsidR="00133F2C" w:rsidRPr="001B731A">
        <w:rPr>
          <w:rFonts w:ascii="Arial" w:hAnsi="Arial" w:cs="Arial"/>
          <w:sz w:val="24"/>
          <w:szCs w:val="24"/>
        </w:rPr>
        <w:t xml:space="preserve"> </w:t>
      </w:r>
    </w:p>
    <w:p w:rsidR="000C688E" w:rsidRPr="001B731A" w:rsidRDefault="000C688E" w:rsidP="001B731A">
      <w:pPr>
        <w:spacing w:line="288" w:lineRule="auto"/>
        <w:jc w:val="both"/>
        <w:rPr>
          <w:rFonts w:ascii="Arial" w:hAnsi="Arial" w:cs="Arial"/>
          <w:sz w:val="24"/>
          <w:szCs w:val="24"/>
        </w:rPr>
      </w:pPr>
    </w:p>
    <w:p w:rsidR="00651454" w:rsidRPr="001B731A" w:rsidRDefault="00651454" w:rsidP="001B731A">
      <w:pPr>
        <w:spacing w:line="288" w:lineRule="auto"/>
        <w:jc w:val="both"/>
        <w:rPr>
          <w:rFonts w:ascii="Arial" w:hAnsi="Arial" w:cs="Arial"/>
          <w:sz w:val="24"/>
          <w:szCs w:val="24"/>
        </w:rPr>
      </w:pPr>
      <w:r w:rsidRPr="001B731A">
        <w:rPr>
          <w:rFonts w:ascii="Arial" w:hAnsi="Arial" w:cs="Arial"/>
          <w:sz w:val="24"/>
          <w:szCs w:val="24"/>
        </w:rPr>
        <w:t>En este estado se corre traslado a los asistentes para que presenten sus alegatos.</w:t>
      </w:r>
    </w:p>
    <w:p w:rsidR="00651454" w:rsidRPr="001B731A" w:rsidRDefault="00651454" w:rsidP="001B731A">
      <w:pPr>
        <w:spacing w:line="288" w:lineRule="auto"/>
        <w:jc w:val="both"/>
        <w:rPr>
          <w:rFonts w:ascii="Arial" w:hAnsi="Arial" w:cs="Arial"/>
          <w:sz w:val="24"/>
          <w:szCs w:val="24"/>
        </w:rPr>
      </w:pPr>
    </w:p>
    <w:p w:rsidR="00651454" w:rsidRPr="001B731A" w:rsidRDefault="00651454" w:rsidP="001B731A">
      <w:pPr>
        <w:spacing w:line="288" w:lineRule="auto"/>
        <w:jc w:val="both"/>
        <w:rPr>
          <w:rFonts w:ascii="Arial" w:hAnsi="Arial" w:cs="Arial"/>
          <w:sz w:val="24"/>
          <w:szCs w:val="24"/>
        </w:rPr>
      </w:pPr>
      <w:r w:rsidRPr="001B731A">
        <w:rPr>
          <w:rFonts w:ascii="Arial" w:hAnsi="Arial" w:cs="Arial"/>
          <w:sz w:val="24"/>
          <w:szCs w:val="24"/>
        </w:rPr>
        <w:t xml:space="preserve">Oídas las argumentaciones a esta Sala de Decisión le corresponde resolver los siguientes </w:t>
      </w:r>
      <w:r w:rsidRPr="001B731A">
        <w:rPr>
          <w:rFonts w:ascii="Arial" w:hAnsi="Arial" w:cs="Arial"/>
          <w:b/>
          <w:i/>
          <w:sz w:val="24"/>
          <w:szCs w:val="24"/>
        </w:rPr>
        <w:t>PROBLEMAS JURÍDICOS</w:t>
      </w:r>
      <w:r w:rsidRPr="001B731A">
        <w:rPr>
          <w:rFonts w:ascii="Arial" w:hAnsi="Arial" w:cs="Arial"/>
          <w:sz w:val="24"/>
          <w:szCs w:val="24"/>
        </w:rPr>
        <w:t>:</w:t>
      </w:r>
    </w:p>
    <w:p w:rsidR="000C688E" w:rsidRPr="001B731A" w:rsidRDefault="000C688E" w:rsidP="001B731A">
      <w:pPr>
        <w:spacing w:line="288" w:lineRule="auto"/>
        <w:ind w:right="618"/>
        <w:jc w:val="both"/>
        <w:rPr>
          <w:rFonts w:ascii="Arial" w:hAnsi="Arial" w:cs="Arial"/>
          <w:b/>
          <w:i/>
          <w:iCs/>
          <w:sz w:val="24"/>
          <w:szCs w:val="24"/>
        </w:rPr>
      </w:pPr>
    </w:p>
    <w:p w:rsidR="000C688E" w:rsidRPr="001B731A" w:rsidRDefault="000C688E" w:rsidP="001B731A">
      <w:pPr>
        <w:spacing w:line="288" w:lineRule="auto"/>
        <w:ind w:left="567" w:right="618"/>
        <w:jc w:val="both"/>
        <w:rPr>
          <w:rFonts w:ascii="Arial" w:hAnsi="Arial" w:cs="Arial"/>
          <w:b/>
          <w:i/>
          <w:iCs/>
          <w:sz w:val="24"/>
          <w:szCs w:val="24"/>
        </w:rPr>
      </w:pPr>
      <w:r w:rsidRPr="001B731A">
        <w:rPr>
          <w:rFonts w:ascii="Arial" w:hAnsi="Arial" w:cs="Arial"/>
          <w:b/>
          <w:i/>
          <w:iCs/>
          <w:sz w:val="24"/>
          <w:szCs w:val="24"/>
        </w:rPr>
        <w:t>¿</w:t>
      </w:r>
      <w:r w:rsidR="00F915D7" w:rsidRPr="001B731A">
        <w:rPr>
          <w:rFonts w:ascii="Arial" w:hAnsi="Arial" w:cs="Arial"/>
          <w:b/>
          <w:i/>
          <w:iCs/>
          <w:sz w:val="24"/>
          <w:szCs w:val="24"/>
        </w:rPr>
        <w:t>Estuvo correctamente calculada la condena por concepto de cesantías</w:t>
      </w:r>
      <w:r w:rsidRPr="001B731A">
        <w:rPr>
          <w:rFonts w:ascii="Arial" w:hAnsi="Arial" w:cs="Arial"/>
          <w:b/>
          <w:i/>
          <w:iCs/>
          <w:sz w:val="24"/>
          <w:szCs w:val="24"/>
        </w:rPr>
        <w:t>?</w:t>
      </w:r>
    </w:p>
    <w:p w:rsidR="000B1DD1" w:rsidRPr="001B731A" w:rsidRDefault="000B1DD1" w:rsidP="001B731A">
      <w:pPr>
        <w:spacing w:line="288" w:lineRule="auto"/>
        <w:ind w:left="567" w:right="618"/>
        <w:jc w:val="both"/>
        <w:rPr>
          <w:rFonts w:ascii="Arial" w:hAnsi="Arial" w:cs="Arial"/>
          <w:b/>
          <w:i/>
          <w:iCs/>
          <w:sz w:val="24"/>
          <w:szCs w:val="24"/>
        </w:rPr>
      </w:pPr>
    </w:p>
    <w:p w:rsidR="000C688E" w:rsidRPr="001B731A" w:rsidRDefault="000C688E" w:rsidP="001B731A">
      <w:pPr>
        <w:spacing w:line="288" w:lineRule="auto"/>
        <w:ind w:left="567" w:right="618"/>
        <w:jc w:val="both"/>
        <w:rPr>
          <w:rFonts w:ascii="Arial" w:hAnsi="Arial" w:cs="Arial"/>
          <w:b/>
          <w:i/>
          <w:iCs/>
          <w:sz w:val="24"/>
          <w:szCs w:val="24"/>
        </w:rPr>
      </w:pPr>
      <w:r w:rsidRPr="001B731A">
        <w:rPr>
          <w:rFonts w:ascii="Arial" w:hAnsi="Arial" w:cs="Arial"/>
          <w:b/>
          <w:i/>
          <w:iCs/>
          <w:sz w:val="24"/>
          <w:szCs w:val="24"/>
        </w:rPr>
        <w:t xml:space="preserve">¿Es dable exonerar a Promasivo S.A. del pago de las sanciones </w:t>
      </w:r>
      <w:r w:rsidR="006F5DBD" w:rsidRPr="001B731A">
        <w:rPr>
          <w:rFonts w:ascii="Arial" w:hAnsi="Arial" w:cs="Arial"/>
          <w:b/>
          <w:i/>
          <w:iCs/>
          <w:sz w:val="24"/>
          <w:szCs w:val="24"/>
        </w:rPr>
        <w:t>moratorias a que fue condenada en el curso de la primera instancia</w:t>
      </w:r>
      <w:r w:rsidRPr="001B731A">
        <w:rPr>
          <w:rFonts w:ascii="Arial" w:hAnsi="Arial" w:cs="Arial"/>
          <w:b/>
          <w:i/>
          <w:iCs/>
          <w:sz w:val="24"/>
          <w:szCs w:val="24"/>
        </w:rPr>
        <w:t>?</w:t>
      </w:r>
    </w:p>
    <w:p w:rsidR="00A24840" w:rsidRPr="001B731A" w:rsidRDefault="00A24840" w:rsidP="001B731A">
      <w:pPr>
        <w:spacing w:line="288" w:lineRule="auto"/>
        <w:ind w:left="567" w:right="618"/>
        <w:jc w:val="both"/>
        <w:rPr>
          <w:rFonts w:ascii="Arial" w:hAnsi="Arial" w:cs="Arial"/>
          <w:b/>
          <w:i/>
          <w:iCs/>
          <w:sz w:val="24"/>
          <w:szCs w:val="24"/>
        </w:rPr>
      </w:pPr>
    </w:p>
    <w:p w:rsidR="00A24840" w:rsidRPr="001B731A" w:rsidRDefault="00A24840" w:rsidP="001B731A">
      <w:pPr>
        <w:spacing w:line="288" w:lineRule="auto"/>
        <w:ind w:left="567" w:right="618"/>
        <w:jc w:val="both"/>
        <w:rPr>
          <w:rFonts w:ascii="Arial" w:hAnsi="Arial" w:cs="Arial"/>
          <w:b/>
          <w:i/>
          <w:iCs/>
          <w:sz w:val="24"/>
          <w:szCs w:val="24"/>
        </w:rPr>
      </w:pPr>
      <w:r w:rsidRPr="001B731A">
        <w:rPr>
          <w:rFonts w:ascii="Arial" w:hAnsi="Arial" w:cs="Arial"/>
          <w:b/>
          <w:i/>
          <w:iCs/>
          <w:sz w:val="24"/>
          <w:szCs w:val="24"/>
        </w:rPr>
        <w:lastRenderedPageBreak/>
        <w:t>¿Debe responder solidariamente la sociedad SI 99 S.A. frente a la sociedad Megabús S.A. o se configuró una novación de tales obligaciones?</w:t>
      </w:r>
    </w:p>
    <w:p w:rsidR="00A24840" w:rsidRPr="001B731A" w:rsidRDefault="00A24840" w:rsidP="001B731A">
      <w:pPr>
        <w:spacing w:line="288" w:lineRule="auto"/>
        <w:ind w:left="567" w:right="618"/>
        <w:jc w:val="both"/>
        <w:rPr>
          <w:rFonts w:ascii="Arial" w:hAnsi="Arial" w:cs="Arial"/>
          <w:b/>
          <w:i/>
          <w:iCs/>
          <w:sz w:val="24"/>
          <w:szCs w:val="24"/>
        </w:rPr>
      </w:pPr>
    </w:p>
    <w:p w:rsidR="00A24840" w:rsidRPr="001B731A" w:rsidRDefault="00A24840" w:rsidP="001B731A">
      <w:pPr>
        <w:spacing w:line="288" w:lineRule="auto"/>
        <w:ind w:left="567" w:right="618"/>
        <w:jc w:val="both"/>
        <w:rPr>
          <w:rFonts w:ascii="Arial" w:hAnsi="Arial" w:cs="Arial"/>
          <w:b/>
          <w:i/>
          <w:iCs/>
          <w:sz w:val="24"/>
          <w:szCs w:val="24"/>
        </w:rPr>
      </w:pPr>
      <w:r w:rsidRPr="001B731A">
        <w:rPr>
          <w:rFonts w:ascii="Arial" w:hAnsi="Arial" w:cs="Arial"/>
          <w:b/>
          <w:i/>
          <w:iCs/>
          <w:sz w:val="24"/>
          <w:szCs w:val="24"/>
        </w:rPr>
        <w:t>¿</w:t>
      </w:r>
      <w:r w:rsidR="00AD7288" w:rsidRPr="001B731A">
        <w:rPr>
          <w:rFonts w:ascii="Arial" w:hAnsi="Arial" w:cs="Arial"/>
          <w:b/>
          <w:i/>
          <w:iCs/>
          <w:sz w:val="24"/>
          <w:szCs w:val="24"/>
        </w:rPr>
        <w:t>Para afectarse la póliza Nº 1937092 debe necesariamente hacerse un estudio sobre la mala fe en la que pudo o no incurrir Promasivo S.A.?</w:t>
      </w:r>
    </w:p>
    <w:p w:rsidR="002178D4" w:rsidRPr="001B731A" w:rsidRDefault="002178D4" w:rsidP="001B731A">
      <w:pPr>
        <w:spacing w:line="288" w:lineRule="auto"/>
        <w:ind w:left="567" w:right="618"/>
        <w:jc w:val="both"/>
        <w:rPr>
          <w:rFonts w:ascii="Arial" w:hAnsi="Arial" w:cs="Arial"/>
          <w:b/>
          <w:i/>
          <w:iCs/>
          <w:sz w:val="24"/>
          <w:szCs w:val="24"/>
        </w:rPr>
      </w:pPr>
    </w:p>
    <w:p w:rsidR="002178D4" w:rsidRPr="001B731A" w:rsidRDefault="002178D4" w:rsidP="001B731A">
      <w:pPr>
        <w:spacing w:line="288" w:lineRule="auto"/>
        <w:ind w:left="567" w:right="618"/>
        <w:jc w:val="both"/>
        <w:rPr>
          <w:rFonts w:ascii="Arial" w:hAnsi="Arial" w:cs="Arial"/>
          <w:b/>
          <w:i/>
          <w:iCs/>
          <w:sz w:val="24"/>
          <w:szCs w:val="24"/>
        </w:rPr>
      </w:pPr>
      <w:r w:rsidRPr="001B731A">
        <w:rPr>
          <w:rFonts w:ascii="Arial" w:hAnsi="Arial" w:cs="Arial"/>
          <w:b/>
          <w:i/>
          <w:iCs/>
          <w:sz w:val="24"/>
          <w:szCs w:val="24"/>
        </w:rPr>
        <w:t>¿Cubre la póliza pagos por vacaciones y seguridad social?</w:t>
      </w:r>
    </w:p>
    <w:p w:rsidR="00651454" w:rsidRPr="001B731A" w:rsidRDefault="00651454" w:rsidP="001B731A">
      <w:pPr>
        <w:spacing w:line="288" w:lineRule="auto"/>
        <w:ind w:right="618"/>
        <w:jc w:val="both"/>
        <w:rPr>
          <w:rFonts w:ascii="Arial" w:hAnsi="Arial" w:cs="Arial"/>
          <w:b/>
          <w:i/>
          <w:iCs/>
          <w:sz w:val="24"/>
          <w:szCs w:val="24"/>
        </w:rPr>
      </w:pPr>
    </w:p>
    <w:p w:rsidR="00651454" w:rsidRPr="001B731A" w:rsidRDefault="00651454" w:rsidP="001B731A">
      <w:pPr>
        <w:spacing w:line="288" w:lineRule="auto"/>
        <w:ind w:left="567" w:right="618"/>
        <w:jc w:val="both"/>
        <w:rPr>
          <w:rFonts w:ascii="Arial" w:hAnsi="Arial" w:cs="Arial"/>
          <w:b/>
          <w:i/>
          <w:iCs/>
          <w:sz w:val="24"/>
          <w:szCs w:val="24"/>
        </w:rPr>
      </w:pPr>
      <w:r w:rsidRPr="001B731A">
        <w:rPr>
          <w:rFonts w:ascii="Arial" w:hAnsi="Arial" w:cs="Arial"/>
          <w:b/>
          <w:i/>
          <w:iCs/>
          <w:sz w:val="24"/>
          <w:szCs w:val="24"/>
        </w:rPr>
        <w:t xml:space="preserve">¿Existen acreencias laborales por las que deba responder solidariamente Megabús S.A. y que no se encuentren cubiertas por la mencionada póliza?  </w:t>
      </w:r>
    </w:p>
    <w:p w:rsidR="00F3708E" w:rsidRPr="001B731A" w:rsidRDefault="00F3708E" w:rsidP="001B731A">
      <w:pPr>
        <w:spacing w:line="288" w:lineRule="auto"/>
        <w:ind w:left="567" w:right="618"/>
        <w:jc w:val="both"/>
        <w:rPr>
          <w:rFonts w:ascii="Arial" w:hAnsi="Arial" w:cs="Arial"/>
          <w:b/>
          <w:i/>
          <w:iCs/>
          <w:sz w:val="24"/>
          <w:szCs w:val="24"/>
        </w:rPr>
      </w:pPr>
    </w:p>
    <w:p w:rsidR="00651454" w:rsidRPr="001B731A" w:rsidRDefault="002178D4" w:rsidP="001B731A">
      <w:pPr>
        <w:spacing w:line="288" w:lineRule="auto"/>
        <w:jc w:val="both"/>
        <w:rPr>
          <w:rFonts w:ascii="Arial" w:hAnsi="Arial" w:cs="Arial"/>
          <w:iCs/>
          <w:sz w:val="24"/>
          <w:szCs w:val="24"/>
        </w:rPr>
      </w:pPr>
      <w:r w:rsidRPr="001B731A">
        <w:rPr>
          <w:rFonts w:ascii="Arial" w:hAnsi="Arial" w:cs="Arial"/>
          <w:iCs/>
          <w:sz w:val="24"/>
          <w:szCs w:val="24"/>
        </w:rPr>
        <w:t>Antes</w:t>
      </w:r>
      <w:r w:rsidR="00651454" w:rsidRPr="001B731A">
        <w:rPr>
          <w:rFonts w:ascii="Arial" w:hAnsi="Arial" w:cs="Arial"/>
          <w:iCs/>
          <w:sz w:val="24"/>
          <w:szCs w:val="24"/>
        </w:rPr>
        <w:t xml:space="preserve"> de dar solución a los interrogantes en el caso concreto, se considera necesario precisar, el siguiente aspecto:</w:t>
      </w:r>
    </w:p>
    <w:p w:rsidR="00651454" w:rsidRPr="001B731A" w:rsidRDefault="00651454" w:rsidP="001B731A">
      <w:pPr>
        <w:spacing w:line="288" w:lineRule="auto"/>
        <w:jc w:val="both"/>
        <w:rPr>
          <w:rFonts w:ascii="Arial" w:hAnsi="Arial" w:cs="Arial"/>
          <w:iCs/>
          <w:sz w:val="24"/>
          <w:szCs w:val="24"/>
        </w:rPr>
      </w:pPr>
    </w:p>
    <w:p w:rsidR="00651454" w:rsidRPr="001B731A" w:rsidRDefault="00FD2197" w:rsidP="001B731A">
      <w:pPr>
        <w:spacing w:line="288" w:lineRule="auto"/>
        <w:ind w:right="284"/>
        <w:jc w:val="both"/>
        <w:rPr>
          <w:rFonts w:ascii="Arial" w:hAnsi="Arial" w:cs="Arial"/>
          <w:b/>
          <w:sz w:val="24"/>
          <w:szCs w:val="24"/>
        </w:rPr>
      </w:pPr>
      <w:r>
        <w:rPr>
          <w:rFonts w:ascii="Arial" w:hAnsi="Arial" w:cs="Arial"/>
          <w:b/>
          <w:sz w:val="24"/>
          <w:szCs w:val="24"/>
        </w:rPr>
        <w:t>DE LA NOVACIÓN</w:t>
      </w:r>
    </w:p>
    <w:p w:rsidR="00651454" w:rsidRPr="001B731A" w:rsidRDefault="00651454" w:rsidP="001B731A">
      <w:pPr>
        <w:spacing w:line="288" w:lineRule="auto"/>
        <w:ind w:right="284"/>
        <w:jc w:val="both"/>
        <w:rPr>
          <w:rFonts w:ascii="Arial" w:hAnsi="Arial" w:cs="Arial"/>
          <w:sz w:val="24"/>
          <w:szCs w:val="24"/>
        </w:rPr>
      </w:pPr>
    </w:p>
    <w:p w:rsidR="00AD7288" w:rsidRPr="001B731A" w:rsidRDefault="00AD7288" w:rsidP="001B731A">
      <w:pPr>
        <w:spacing w:line="288" w:lineRule="auto"/>
        <w:ind w:right="284"/>
        <w:jc w:val="both"/>
        <w:rPr>
          <w:rFonts w:ascii="Arial" w:hAnsi="Arial" w:cs="Arial"/>
          <w:sz w:val="24"/>
          <w:szCs w:val="24"/>
        </w:rPr>
      </w:pPr>
      <w:r w:rsidRPr="001B731A">
        <w:rPr>
          <w:rFonts w:ascii="Arial" w:hAnsi="Arial" w:cs="Arial"/>
          <w:sz w:val="24"/>
          <w:szCs w:val="24"/>
        </w:rPr>
        <w:t xml:space="preserve">Entendida como la extinción de una obligación mediante la creación de otra nueva destinada a reemplazarla, tiene como principal característica precisamente que a través de un mismo acto jurídico se extingue una obligación y en su lugar da vida a otra nueva y diferente. </w:t>
      </w:r>
    </w:p>
    <w:p w:rsidR="00AD7288" w:rsidRPr="001B731A" w:rsidRDefault="00AD7288" w:rsidP="001B731A">
      <w:pPr>
        <w:spacing w:line="288" w:lineRule="auto"/>
        <w:ind w:right="284"/>
        <w:jc w:val="both"/>
        <w:rPr>
          <w:rFonts w:ascii="Arial" w:hAnsi="Arial" w:cs="Arial"/>
          <w:sz w:val="24"/>
          <w:szCs w:val="24"/>
        </w:rPr>
      </w:pPr>
    </w:p>
    <w:p w:rsidR="00651454" w:rsidRPr="001B731A" w:rsidRDefault="00651454" w:rsidP="001B731A">
      <w:pPr>
        <w:spacing w:line="288" w:lineRule="auto"/>
        <w:ind w:right="284"/>
        <w:jc w:val="both"/>
        <w:rPr>
          <w:rFonts w:ascii="Arial" w:hAnsi="Arial" w:cs="Arial"/>
          <w:sz w:val="24"/>
          <w:szCs w:val="24"/>
        </w:rPr>
      </w:pPr>
      <w:r w:rsidRPr="001B731A">
        <w:rPr>
          <w:rFonts w:ascii="Arial" w:hAnsi="Arial" w:cs="Arial"/>
          <w:sz w:val="24"/>
          <w:szCs w:val="24"/>
        </w:rPr>
        <w:t>La Sala de Casación Laboral de la Corte Suprema de Justicia, en sentencia del 16 de febrero de 2001, Radicación 14.586, M.P. Luís Gonzalo Toro Correa, sobre el tema, consideró:</w:t>
      </w:r>
    </w:p>
    <w:p w:rsidR="00651454" w:rsidRPr="001B731A" w:rsidRDefault="00651454" w:rsidP="001B731A">
      <w:pPr>
        <w:spacing w:line="288" w:lineRule="auto"/>
        <w:ind w:right="284"/>
        <w:jc w:val="both"/>
        <w:rPr>
          <w:rFonts w:ascii="Arial" w:hAnsi="Arial" w:cs="Arial"/>
          <w:sz w:val="24"/>
          <w:szCs w:val="24"/>
        </w:rPr>
      </w:pPr>
    </w:p>
    <w:p w:rsidR="00651454" w:rsidRPr="00AE17AF" w:rsidRDefault="00651454" w:rsidP="00AE17AF">
      <w:pPr>
        <w:ind w:left="426" w:right="420"/>
        <w:jc w:val="both"/>
        <w:rPr>
          <w:rFonts w:ascii="Arial" w:hAnsi="Arial" w:cs="Arial"/>
          <w:sz w:val="22"/>
          <w:szCs w:val="24"/>
        </w:rPr>
      </w:pPr>
      <w:r w:rsidRPr="00AE17AF">
        <w:rPr>
          <w:rFonts w:ascii="Arial" w:hAnsi="Arial" w:cs="Arial"/>
          <w:sz w:val="22"/>
          <w:szCs w:val="24"/>
        </w:rPr>
        <w:t>“De otro lado, para que exista novación, en los términos del Código Civil, es necesario que la obligación nueva sea sustancialmente diferente a la anterior que sustituye (art. 1690 C. C.)</w:t>
      </w:r>
    </w:p>
    <w:p w:rsidR="00651454" w:rsidRPr="00AE17AF" w:rsidRDefault="00651454" w:rsidP="00AE17AF">
      <w:pPr>
        <w:ind w:left="426" w:right="420"/>
        <w:jc w:val="both"/>
        <w:rPr>
          <w:rFonts w:ascii="Arial" w:hAnsi="Arial" w:cs="Arial"/>
          <w:sz w:val="22"/>
          <w:szCs w:val="24"/>
        </w:rPr>
      </w:pPr>
    </w:p>
    <w:p w:rsidR="00651454" w:rsidRPr="00AE17AF" w:rsidRDefault="00651454" w:rsidP="00AE17AF">
      <w:pPr>
        <w:ind w:left="426" w:right="420"/>
        <w:jc w:val="both"/>
        <w:rPr>
          <w:rFonts w:ascii="Arial" w:hAnsi="Arial" w:cs="Arial"/>
          <w:sz w:val="22"/>
          <w:szCs w:val="24"/>
        </w:rPr>
      </w:pPr>
      <w:r w:rsidRPr="00AE17AF">
        <w:rPr>
          <w:rFonts w:ascii="Arial" w:hAnsi="Arial" w:cs="Arial"/>
          <w:sz w:val="22"/>
          <w:szCs w:val="24"/>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rsidR="00651454" w:rsidRPr="00AE17AF" w:rsidRDefault="00651454" w:rsidP="00AE17AF">
      <w:pPr>
        <w:ind w:left="426" w:right="420"/>
        <w:jc w:val="both"/>
        <w:rPr>
          <w:rFonts w:ascii="Arial" w:hAnsi="Arial" w:cs="Arial"/>
          <w:sz w:val="22"/>
          <w:szCs w:val="24"/>
        </w:rPr>
      </w:pPr>
    </w:p>
    <w:p w:rsidR="00651454" w:rsidRPr="00AE17AF" w:rsidRDefault="00651454" w:rsidP="00AE17AF">
      <w:pPr>
        <w:ind w:left="426" w:right="420"/>
        <w:jc w:val="both"/>
        <w:rPr>
          <w:rFonts w:ascii="Arial" w:hAnsi="Arial" w:cs="Arial"/>
          <w:i/>
          <w:sz w:val="22"/>
          <w:szCs w:val="24"/>
        </w:rPr>
      </w:pPr>
      <w:r w:rsidRPr="00AE17AF">
        <w:rPr>
          <w:rFonts w:ascii="Arial" w:hAnsi="Arial" w:cs="Arial"/>
          <w:i/>
          <w:sz w:val="22"/>
          <w:szCs w:val="24"/>
        </w:rPr>
        <w:t xml:space="preserve">“No habiendo, como en el caso que se examina, ni cambio de personas, ni de objeto, pero ni siquiera modificaciones expresas pactadas en relación con la obligación primitiva es </w:t>
      </w:r>
      <w:proofErr w:type="spellStart"/>
      <w:r w:rsidRPr="00AE17AF">
        <w:rPr>
          <w:rFonts w:ascii="Arial" w:hAnsi="Arial" w:cs="Arial"/>
          <w:i/>
          <w:sz w:val="22"/>
          <w:szCs w:val="24"/>
        </w:rPr>
        <w:t>injurídico</w:t>
      </w:r>
      <w:proofErr w:type="spellEnd"/>
      <w:r w:rsidRPr="00AE17AF">
        <w:rPr>
          <w:rFonts w:ascii="Arial" w:hAnsi="Arial" w:cs="Arial"/>
          <w:i/>
          <w:sz w:val="22"/>
          <w:szCs w:val="24"/>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 P. Dr. Diógenes Sepúlveda Mejía)  </w:t>
      </w:r>
    </w:p>
    <w:p w:rsidR="00651454" w:rsidRPr="00AE17AF" w:rsidRDefault="00651454" w:rsidP="00AE17AF">
      <w:pPr>
        <w:pStyle w:val="Textodebloque"/>
        <w:spacing w:line="240" w:lineRule="auto"/>
        <w:ind w:left="426" w:right="420"/>
        <w:rPr>
          <w:rFonts w:cs="Arial"/>
          <w:sz w:val="22"/>
          <w:szCs w:val="24"/>
        </w:rPr>
      </w:pPr>
    </w:p>
    <w:p w:rsidR="00651454" w:rsidRPr="00AE17AF" w:rsidRDefault="00651454" w:rsidP="00AE17AF">
      <w:pPr>
        <w:ind w:left="426" w:right="420"/>
        <w:jc w:val="both"/>
        <w:rPr>
          <w:rFonts w:ascii="Arial" w:hAnsi="Arial" w:cs="Arial"/>
          <w:sz w:val="22"/>
          <w:szCs w:val="24"/>
        </w:rPr>
      </w:pPr>
      <w:r w:rsidRPr="00AE17AF">
        <w:rPr>
          <w:rFonts w:ascii="Arial" w:hAnsi="Arial" w:cs="Arial"/>
          <w:sz w:val="22"/>
          <w:szCs w:val="24"/>
        </w:rPr>
        <w:t xml:space="preserve">Así mismo, la Sala Civil de la Corte, en sentencia de vieja data se pronunció sobre este punto atinente a la novación, siendo pertinentes al caso ahora debatido, las siguientes consideraciones: </w:t>
      </w:r>
    </w:p>
    <w:p w:rsidR="00651454" w:rsidRPr="00AE17AF" w:rsidRDefault="00651454" w:rsidP="00AE17AF">
      <w:pPr>
        <w:ind w:left="426" w:right="420"/>
        <w:jc w:val="both"/>
        <w:rPr>
          <w:rFonts w:ascii="Arial" w:hAnsi="Arial" w:cs="Arial"/>
          <w:sz w:val="22"/>
          <w:szCs w:val="24"/>
        </w:rPr>
      </w:pPr>
    </w:p>
    <w:p w:rsidR="00651454" w:rsidRPr="001B731A" w:rsidRDefault="00651454" w:rsidP="00AE17AF">
      <w:pPr>
        <w:ind w:left="426" w:right="420"/>
        <w:jc w:val="both"/>
        <w:rPr>
          <w:rFonts w:ascii="Arial" w:hAnsi="Arial" w:cs="Arial"/>
          <w:sz w:val="24"/>
          <w:szCs w:val="24"/>
        </w:rPr>
      </w:pPr>
      <w:r w:rsidRPr="00AE17AF">
        <w:rPr>
          <w:rFonts w:ascii="Arial" w:hAnsi="Arial" w:cs="Arial"/>
          <w:i/>
          <w:sz w:val="22"/>
          <w:szCs w:val="24"/>
        </w:rPr>
        <w:t xml:space="preserve">“En la novación son necesarias tres condiciones: animus </w:t>
      </w:r>
      <w:proofErr w:type="spellStart"/>
      <w:r w:rsidRPr="00AE17AF">
        <w:rPr>
          <w:rFonts w:ascii="Arial" w:hAnsi="Arial" w:cs="Arial"/>
          <w:i/>
          <w:sz w:val="22"/>
          <w:szCs w:val="24"/>
        </w:rPr>
        <w:t>novandi</w:t>
      </w:r>
      <w:proofErr w:type="spellEnd"/>
      <w:r w:rsidRPr="00AE17AF">
        <w:rPr>
          <w:rFonts w:ascii="Arial" w:hAnsi="Arial" w:cs="Arial"/>
          <w:i/>
          <w:sz w:val="22"/>
          <w:szCs w:val="24"/>
        </w:rPr>
        <w:t xml:space="preserve"> (C. C. art. 1693); la nueva obligación debe diferenciarse  de la antigua en cierta medida, en una cuestión que ataña a la obligación en sí misma considerada, y no a meras modalidades como la simple mutación de lugar para el pago, o la ampliación o </w:t>
      </w:r>
      <w:r w:rsidRPr="00AE17AF">
        <w:rPr>
          <w:rFonts w:ascii="Arial" w:hAnsi="Arial" w:cs="Arial"/>
          <w:i/>
          <w:sz w:val="22"/>
          <w:szCs w:val="24"/>
        </w:rPr>
        <w:lastRenderedPageBreak/>
        <w:t xml:space="preserve">reducción del plazo (arts. 1707, 1708 y 1709); finalmente, capacidad de las partes.” </w:t>
      </w:r>
      <w:r w:rsidRPr="001B731A">
        <w:rPr>
          <w:rFonts w:ascii="Arial" w:hAnsi="Arial" w:cs="Arial"/>
          <w:sz w:val="24"/>
          <w:szCs w:val="24"/>
        </w:rPr>
        <w:t>(Cas. 24 de marzo de 1943, Gace</w:t>
      </w:r>
      <w:r w:rsidR="0027280D">
        <w:rPr>
          <w:rFonts w:ascii="Arial" w:hAnsi="Arial" w:cs="Arial"/>
          <w:sz w:val="24"/>
          <w:szCs w:val="24"/>
        </w:rPr>
        <w:t>ta Judicial, Tomo LV, pág. 247)</w:t>
      </w:r>
      <w:r w:rsidRPr="001B731A">
        <w:rPr>
          <w:rFonts w:ascii="Arial" w:hAnsi="Arial" w:cs="Arial"/>
          <w:sz w:val="24"/>
          <w:szCs w:val="24"/>
        </w:rPr>
        <w:t xml:space="preserve">”. </w:t>
      </w:r>
    </w:p>
    <w:p w:rsidR="00651454" w:rsidRPr="0027280D" w:rsidRDefault="00651454" w:rsidP="0027280D">
      <w:pPr>
        <w:tabs>
          <w:tab w:val="left" w:pos="8647"/>
          <w:tab w:val="left" w:pos="9356"/>
        </w:tabs>
        <w:spacing w:line="288" w:lineRule="auto"/>
        <w:jc w:val="both"/>
        <w:rPr>
          <w:rFonts w:ascii="Arial" w:hAnsi="Arial" w:cs="Arial"/>
          <w:sz w:val="24"/>
          <w:szCs w:val="24"/>
        </w:rPr>
      </w:pPr>
    </w:p>
    <w:p w:rsidR="00651454" w:rsidRPr="00FD2197" w:rsidRDefault="00651454" w:rsidP="001B731A">
      <w:pPr>
        <w:spacing w:line="288" w:lineRule="auto"/>
        <w:ind w:right="284"/>
        <w:jc w:val="both"/>
        <w:rPr>
          <w:rFonts w:ascii="Arial" w:hAnsi="Arial" w:cs="Arial"/>
          <w:b/>
          <w:sz w:val="24"/>
          <w:szCs w:val="24"/>
        </w:rPr>
      </w:pPr>
      <w:r w:rsidRPr="00FD2197">
        <w:rPr>
          <w:rFonts w:ascii="Arial" w:hAnsi="Arial" w:cs="Arial"/>
          <w:b/>
          <w:sz w:val="24"/>
          <w:szCs w:val="24"/>
        </w:rPr>
        <w:t>EL CASO CONCRETO</w:t>
      </w:r>
    </w:p>
    <w:p w:rsidR="00651454" w:rsidRPr="001B731A" w:rsidRDefault="00651454" w:rsidP="001B731A">
      <w:pPr>
        <w:tabs>
          <w:tab w:val="left" w:pos="8647"/>
          <w:tab w:val="left" w:pos="9356"/>
        </w:tabs>
        <w:spacing w:line="288" w:lineRule="auto"/>
        <w:jc w:val="both"/>
        <w:rPr>
          <w:rFonts w:ascii="Arial" w:hAnsi="Arial" w:cs="Arial"/>
          <w:sz w:val="24"/>
          <w:szCs w:val="24"/>
        </w:rPr>
      </w:pPr>
    </w:p>
    <w:p w:rsidR="00DC36EC" w:rsidRPr="001B731A" w:rsidRDefault="00AD7288"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 xml:space="preserve">Considera la sociedad López Bedoya y Asociados $ </w:t>
      </w:r>
      <w:proofErr w:type="spellStart"/>
      <w:r w:rsidRPr="001B731A">
        <w:rPr>
          <w:rFonts w:ascii="Arial" w:hAnsi="Arial" w:cs="Arial"/>
          <w:sz w:val="24"/>
          <w:szCs w:val="24"/>
        </w:rPr>
        <w:t>Cia</w:t>
      </w:r>
      <w:proofErr w:type="spellEnd"/>
      <w:r w:rsidRPr="001B731A">
        <w:rPr>
          <w:rFonts w:ascii="Arial" w:hAnsi="Arial" w:cs="Arial"/>
          <w:sz w:val="24"/>
          <w:szCs w:val="24"/>
        </w:rPr>
        <w:t xml:space="preserve"> S en C., que </w:t>
      </w:r>
      <w:r w:rsidR="00DC36EC" w:rsidRPr="001B731A">
        <w:rPr>
          <w:rFonts w:ascii="Arial" w:hAnsi="Arial" w:cs="Arial"/>
          <w:sz w:val="24"/>
          <w:szCs w:val="24"/>
        </w:rPr>
        <w:t xml:space="preserve">la liquidación efectuada por la </w:t>
      </w:r>
      <w:r w:rsidR="00DC36EC" w:rsidRPr="001B731A">
        <w:rPr>
          <w:rFonts w:ascii="Arial" w:hAnsi="Arial" w:cs="Arial"/>
          <w:i/>
          <w:sz w:val="24"/>
          <w:szCs w:val="24"/>
        </w:rPr>
        <w:t xml:space="preserve">a quo </w:t>
      </w:r>
      <w:r w:rsidR="00DC36EC" w:rsidRPr="001B731A">
        <w:rPr>
          <w:rFonts w:ascii="Arial" w:hAnsi="Arial" w:cs="Arial"/>
          <w:sz w:val="24"/>
          <w:szCs w:val="24"/>
        </w:rPr>
        <w:t xml:space="preserve">respecto a la condena por concepto de auxilio de cesantías del año 2014, no se encuentra debidamente calculada, ya que estima que </w:t>
      </w:r>
      <w:r w:rsidR="009A001D" w:rsidRPr="001B731A">
        <w:rPr>
          <w:rFonts w:ascii="Arial" w:hAnsi="Arial" w:cs="Arial"/>
          <w:sz w:val="24"/>
          <w:szCs w:val="24"/>
        </w:rPr>
        <w:t>se tuvo en cuenta la totalidad del año, cuando realmente el actor en esa anualidad prestó sus servicios hasta el 30 de septiembre de 2014.</w:t>
      </w:r>
    </w:p>
    <w:p w:rsidR="009A001D" w:rsidRPr="001B731A" w:rsidRDefault="009A001D" w:rsidP="001B731A">
      <w:pPr>
        <w:tabs>
          <w:tab w:val="left" w:pos="8647"/>
          <w:tab w:val="left" w:pos="9356"/>
        </w:tabs>
        <w:spacing w:line="288" w:lineRule="auto"/>
        <w:jc w:val="both"/>
        <w:rPr>
          <w:rFonts w:ascii="Arial" w:hAnsi="Arial" w:cs="Arial"/>
          <w:sz w:val="24"/>
          <w:szCs w:val="24"/>
        </w:rPr>
      </w:pPr>
    </w:p>
    <w:p w:rsidR="009A001D" w:rsidRPr="001B731A" w:rsidRDefault="006A60E0"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Frente a ese rubro y en general frente a la totalidad de las prestaciones sociales, la sentenciadora de primera instancia se remitió a la contestación de la demanda hecha en su momento por la empleadora Promasivo S.A. y sus correspondientes anexos –fls.65 a 75- en los que acepta la deuda contraída con su trabajador Duberney Castaño Romero, confesando deber por concepto de cesantías</w:t>
      </w:r>
      <w:r w:rsidR="00F80C63" w:rsidRPr="001B731A">
        <w:rPr>
          <w:rFonts w:ascii="Arial" w:hAnsi="Arial" w:cs="Arial"/>
          <w:sz w:val="24"/>
          <w:szCs w:val="24"/>
        </w:rPr>
        <w:t xml:space="preserve"> lo correspondiente al año 2013 por valor de $1.156.652 y la suma de $945.805 por la fracción del año 2014, debiendo una suma global por cesantías del orden de $2.102.457, que es precisamente la cifra por la que emitió condena el Juzgado Quinto Laboral del Circuito, observándose en consecuencia que, contrario a lo expresado por el apoderado judicial de López Bedoya y Asociados &amp; </w:t>
      </w:r>
      <w:proofErr w:type="spellStart"/>
      <w:r w:rsidR="00F80C63" w:rsidRPr="001B731A">
        <w:rPr>
          <w:rFonts w:ascii="Arial" w:hAnsi="Arial" w:cs="Arial"/>
          <w:sz w:val="24"/>
          <w:szCs w:val="24"/>
        </w:rPr>
        <w:t>Cia</w:t>
      </w:r>
      <w:proofErr w:type="spellEnd"/>
      <w:r w:rsidR="00F80C63" w:rsidRPr="001B731A">
        <w:rPr>
          <w:rFonts w:ascii="Arial" w:hAnsi="Arial" w:cs="Arial"/>
          <w:sz w:val="24"/>
          <w:szCs w:val="24"/>
        </w:rPr>
        <w:t xml:space="preserve"> S en C., la liquidación de las cesantías del año 2014 se hizo por el término que duró la relación contractual en esa anualidad, es decir, hasta el 30 de septiembre, siendo del caso agregar, que no hubo emisión de condena por cesantías causadas en el año 2012.</w:t>
      </w:r>
    </w:p>
    <w:p w:rsidR="00EB3058" w:rsidRPr="001B731A" w:rsidRDefault="00EB3058" w:rsidP="001B731A">
      <w:pPr>
        <w:tabs>
          <w:tab w:val="left" w:pos="8647"/>
          <w:tab w:val="left" w:pos="9356"/>
        </w:tabs>
        <w:spacing w:line="288" w:lineRule="auto"/>
        <w:jc w:val="both"/>
        <w:rPr>
          <w:rFonts w:ascii="Arial" w:hAnsi="Arial" w:cs="Arial"/>
          <w:sz w:val="24"/>
          <w:szCs w:val="24"/>
        </w:rPr>
      </w:pPr>
    </w:p>
    <w:p w:rsidR="00077DF5" w:rsidRPr="001B731A" w:rsidRDefault="00EB3058"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En lo atinente al tema de la imposición de la</w:t>
      </w:r>
      <w:r w:rsidR="00F25DDB" w:rsidRPr="001B731A">
        <w:rPr>
          <w:rFonts w:ascii="Arial" w:hAnsi="Arial" w:cs="Arial"/>
          <w:sz w:val="24"/>
          <w:szCs w:val="24"/>
        </w:rPr>
        <w:t>s sanciones</w:t>
      </w:r>
      <w:r w:rsidRPr="001B731A">
        <w:rPr>
          <w:rFonts w:ascii="Arial" w:hAnsi="Arial" w:cs="Arial"/>
          <w:sz w:val="24"/>
          <w:szCs w:val="24"/>
        </w:rPr>
        <w:t xml:space="preserve"> moratoria</w:t>
      </w:r>
      <w:r w:rsidR="00F25DDB" w:rsidRPr="001B731A">
        <w:rPr>
          <w:rFonts w:ascii="Arial" w:hAnsi="Arial" w:cs="Arial"/>
          <w:sz w:val="24"/>
          <w:szCs w:val="24"/>
        </w:rPr>
        <w:t>s</w:t>
      </w:r>
      <w:r w:rsidRPr="001B731A">
        <w:rPr>
          <w:rFonts w:ascii="Arial" w:hAnsi="Arial" w:cs="Arial"/>
          <w:sz w:val="24"/>
          <w:szCs w:val="24"/>
        </w:rPr>
        <w:t xml:space="preserve">, lo primero que debe advertirse es que es posición pacifica de la jurisprudencia local y nacional, que este tipo de sanciones no opera de manera automática, ya que en cada caso en concreto debe analizarse si el empleador </w:t>
      </w:r>
      <w:proofErr w:type="spellStart"/>
      <w:r w:rsidR="00077DF5" w:rsidRPr="001B731A">
        <w:rPr>
          <w:rFonts w:ascii="Arial" w:hAnsi="Arial" w:cs="Arial"/>
          <w:sz w:val="24"/>
          <w:szCs w:val="24"/>
        </w:rPr>
        <w:t>omisivo</w:t>
      </w:r>
      <w:proofErr w:type="spellEnd"/>
      <w:r w:rsidR="00077DF5" w:rsidRPr="001B731A">
        <w:rPr>
          <w:rFonts w:ascii="Arial" w:hAnsi="Arial" w:cs="Arial"/>
          <w:sz w:val="24"/>
          <w:szCs w:val="24"/>
        </w:rPr>
        <w:t xml:space="preserve"> expone razones que pueden ser puestas en el plano de la buena fe, en aras de exonerarse de la misma. </w:t>
      </w:r>
    </w:p>
    <w:p w:rsidR="00077DF5" w:rsidRPr="001B731A" w:rsidRDefault="00077DF5" w:rsidP="001B731A">
      <w:pPr>
        <w:tabs>
          <w:tab w:val="left" w:pos="8647"/>
          <w:tab w:val="left" w:pos="9356"/>
        </w:tabs>
        <w:spacing w:line="288" w:lineRule="auto"/>
        <w:jc w:val="both"/>
        <w:rPr>
          <w:rFonts w:ascii="Arial" w:hAnsi="Arial" w:cs="Arial"/>
          <w:sz w:val="24"/>
          <w:szCs w:val="24"/>
        </w:rPr>
      </w:pPr>
    </w:p>
    <w:p w:rsidR="00EB3058" w:rsidRPr="001B731A" w:rsidRDefault="007E2E0A"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Conforme con lo expuesto, equivocado resulta por parte de la aseguradora Liberty S.A. afirmar que para poder imprimir este tipo de sanción y en consecuencia afectar la póliza Nº 1937092, deba hacerse un análisis sobre la mala fe de Promasivo S.A. al no cancelar en debida forma las obligaciones con sus trabajadores, pues como insistentemente lo ha señalado la Sala en casos de similares connotaciones, entenderlo en la forma en que lo hace la aseguradora, significaría imponerle una carga probatoria al trabajador, consistente en demostrar la mala fe del empleador, la cual no está contemplada en la Ley, y que tampoco ha sido impuesta por vía jurisprudencial.</w:t>
      </w:r>
    </w:p>
    <w:p w:rsidR="003D2C1F" w:rsidRPr="001B731A" w:rsidRDefault="003D2C1F" w:rsidP="001B731A">
      <w:pPr>
        <w:tabs>
          <w:tab w:val="left" w:pos="8647"/>
          <w:tab w:val="left" w:pos="9356"/>
        </w:tabs>
        <w:spacing w:line="288" w:lineRule="auto"/>
        <w:jc w:val="both"/>
        <w:rPr>
          <w:rFonts w:ascii="Arial" w:hAnsi="Arial" w:cs="Arial"/>
          <w:sz w:val="24"/>
          <w:szCs w:val="24"/>
        </w:rPr>
      </w:pPr>
    </w:p>
    <w:p w:rsidR="003D2C1F" w:rsidRPr="001B731A" w:rsidRDefault="003D2C1F"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 xml:space="preserve">Ahora bien, en estos procesos en los que se analiza la procedencia de las sanciones moratorias a empleadores que han entrado en estado de liquidación forzosa, la Sala de Casación Laboral en sentencia SL2833 de 1º de marzo de 2017 radicación Nº 53.793, recordó que no es posible fulminar condena en ese aspecto en contra de empresas que se encuentren esa situación, argumentando que en esos eventos los directivos no </w:t>
      </w:r>
      <w:r w:rsidR="00F25DDB" w:rsidRPr="001B731A">
        <w:rPr>
          <w:rFonts w:ascii="Arial" w:hAnsi="Arial" w:cs="Arial"/>
          <w:sz w:val="24"/>
          <w:szCs w:val="24"/>
        </w:rPr>
        <w:t>disponen</w:t>
      </w:r>
      <w:r w:rsidRPr="001B731A">
        <w:rPr>
          <w:rFonts w:ascii="Arial" w:hAnsi="Arial" w:cs="Arial"/>
          <w:sz w:val="24"/>
          <w:szCs w:val="24"/>
        </w:rPr>
        <w:t xml:space="preserve"> libremente de sus recursos, debido a que es un agente estatal </w:t>
      </w:r>
      <w:r w:rsidRPr="001B731A">
        <w:rPr>
          <w:rFonts w:ascii="Arial" w:hAnsi="Arial" w:cs="Arial"/>
          <w:sz w:val="24"/>
          <w:szCs w:val="24"/>
        </w:rPr>
        <w:lastRenderedPageBreak/>
        <w:t>quien dirige los destinos de la unidad de explotación económica, con el fin de conservar el equilibro de la compañía y respetando la igualdad entre los acreedores.</w:t>
      </w:r>
    </w:p>
    <w:p w:rsidR="003D2C1F" w:rsidRPr="001B731A" w:rsidRDefault="003D2C1F" w:rsidP="001B731A">
      <w:pPr>
        <w:tabs>
          <w:tab w:val="left" w:pos="8647"/>
          <w:tab w:val="left" w:pos="9356"/>
        </w:tabs>
        <w:spacing w:line="288" w:lineRule="auto"/>
        <w:jc w:val="both"/>
        <w:rPr>
          <w:rFonts w:ascii="Arial" w:hAnsi="Arial" w:cs="Arial"/>
          <w:sz w:val="24"/>
          <w:szCs w:val="24"/>
        </w:rPr>
      </w:pPr>
    </w:p>
    <w:p w:rsidR="003D2C1F" w:rsidRPr="001B731A" w:rsidRDefault="003D2C1F"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 xml:space="preserve">Frente a este punto, </w:t>
      </w:r>
      <w:r w:rsidR="00D01480" w:rsidRPr="001B731A">
        <w:rPr>
          <w:rFonts w:ascii="Arial" w:hAnsi="Arial" w:cs="Arial"/>
          <w:sz w:val="24"/>
          <w:szCs w:val="24"/>
        </w:rPr>
        <w:t>la Superintendencia de Sociedades por medio de auto Nº 400-016033 de 26 de</w:t>
      </w:r>
      <w:r w:rsidR="00F25DDB" w:rsidRPr="001B731A">
        <w:rPr>
          <w:rFonts w:ascii="Arial" w:hAnsi="Arial" w:cs="Arial"/>
          <w:sz w:val="24"/>
          <w:szCs w:val="24"/>
        </w:rPr>
        <w:t xml:space="preserve"> noviembre de 2015 –cd folio 75</w:t>
      </w:r>
      <w:r w:rsidR="00D01480" w:rsidRPr="001B731A">
        <w:rPr>
          <w:rFonts w:ascii="Arial" w:hAnsi="Arial" w:cs="Arial"/>
          <w:sz w:val="24"/>
          <w:szCs w:val="24"/>
        </w:rPr>
        <w:t>- declaró la apertura del proceso de liquidación forzosa de Promasivo S.A., designando inmediatamente un agente interventor, lo que permitiría entender que fue a partir de ese momento que la sociedad empleadora y más precisamente su representante legal y directivos perdieron el control de la entidad</w:t>
      </w:r>
      <w:r w:rsidR="00F25DDB" w:rsidRPr="001B731A">
        <w:rPr>
          <w:rFonts w:ascii="Arial" w:hAnsi="Arial" w:cs="Arial"/>
          <w:sz w:val="24"/>
          <w:szCs w:val="24"/>
        </w:rPr>
        <w:t>.</w:t>
      </w:r>
    </w:p>
    <w:p w:rsidR="00BA208A" w:rsidRPr="001B731A" w:rsidRDefault="00BA208A" w:rsidP="001B731A">
      <w:pPr>
        <w:tabs>
          <w:tab w:val="left" w:pos="8647"/>
          <w:tab w:val="left" w:pos="9356"/>
        </w:tabs>
        <w:spacing w:line="288" w:lineRule="auto"/>
        <w:jc w:val="both"/>
        <w:rPr>
          <w:rFonts w:ascii="Arial" w:hAnsi="Arial" w:cs="Arial"/>
          <w:sz w:val="24"/>
          <w:szCs w:val="24"/>
        </w:rPr>
      </w:pPr>
    </w:p>
    <w:p w:rsidR="00BA208A" w:rsidRPr="001B731A" w:rsidRDefault="00BA208A"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 xml:space="preserve">Sin embargo, ello no fue así, ya que como se desprende de la resolución Nº </w:t>
      </w:r>
      <w:r w:rsidR="00E4522B" w:rsidRPr="001B731A">
        <w:rPr>
          <w:rFonts w:ascii="Arial" w:hAnsi="Arial" w:cs="Arial"/>
          <w:sz w:val="24"/>
          <w:szCs w:val="24"/>
        </w:rPr>
        <w:t>11426</w:t>
      </w:r>
      <w:r w:rsidRPr="001B731A">
        <w:rPr>
          <w:rFonts w:ascii="Arial" w:hAnsi="Arial" w:cs="Arial"/>
          <w:sz w:val="24"/>
          <w:szCs w:val="24"/>
        </w:rPr>
        <w:t xml:space="preserve"> de </w:t>
      </w:r>
      <w:r w:rsidR="00E4522B" w:rsidRPr="001B731A">
        <w:rPr>
          <w:rFonts w:ascii="Arial" w:hAnsi="Arial" w:cs="Arial"/>
          <w:sz w:val="24"/>
          <w:szCs w:val="24"/>
        </w:rPr>
        <w:t>25 de julio de 2014</w:t>
      </w:r>
      <w:r w:rsidR="00F25DDB" w:rsidRPr="001B731A">
        <w:rPr>
          <w:rFonts w:ascii="Arial" w:hAnsi="Arial" w:cs="Arial"/>
          <w:sz w:val="24"/>
          <w:szCs w:val="24"/>
        </w:rPr>
        <w:t xml:space="preserve"> –cd folio 75-</w:t>
      </w:r>
      <w:r w:rsidR="00E4522B" w:rsidRPr="001B731A">
        <w:rPr>
          <w:rFonts w:ascii="Arial" w:hAnsi="Arial" w:cs="Arial"/>
          <w:sz w:val="24"/>
          <w:szCs w:val="24"/>
        </w:rPr>
        <w:t xml:space="preserve">, </w:t>
      </w:r>
      <w:r w:rsidR="00054512" w:rsidRPr="001B731A">
        <w:rPr>
          <w:rFonts w:ascii="Arial" w:hAnsi="Arial" w:cs="Arial"/>
          <w:sz w:val="24"/>
          <w:szCs w:val="24"/>
        </w:rPr>
        <w:t xml:space="preserve">previamente </w:t>
      </w:r>
      <w:r w:rsidR="00E4522B" w:rsidRPr="001B731A">
        <w:rPr>
          <w:rFonts w:ascii="Arial" w:hAnsi="Arial" w:cs="Arial"/>
          <w:sz w:val="24"/>
          <w:szCs w:val="24"/>
        </w:rPr>
        <w:t>la Superintendencia de Puertos y Transportes ordenó remover de sus cargos a la representante legal de Promasivo S.A. y a la totalidad de los miembros de la Junta Directiva, designando</w:t>
      </w:r>
      <w:r w:rsidR="00800F92" w:rsidRPr="001B731A">
        <w:rPr>
          <w:rFonts w:ascii="Arial" w:hAnsi="Arial" w:cs="Arial"/>
          <w:sz w:val="24"/>
          <w:szCs w:val="24"/>
        </w:rPr>
        <w:t xml:space="preserve"> </w:t>
      </w:r>
      <w:r w:rsidR="00E4522B" w:rsidRPr="001B731A">
        <w:rPr>
          <w:rFonts w:ascii="Arial" w:hAnsi="Arial" w:cs="Arial"/>
          <w:sz w:val="24"/>
          <w:szCs w:val="24"/>
        </w:rPr>
        <w:t xml:space="preserve">para esos efectos auxiliares inscritos en la lista de la Superintendencia </w:t>
      </w:r>
      <w:r w:rsidR="00800F92" w:rsidRPr="001B731A">
        <w:rPr>
          <w:rFonts w:ascii="Arial" w:hAnsi="Arial" w:cs="Arial"/>
          <w:sz w:val="24"/>
          <w:szCs w:val="24"/>
        </w:rPr>
        <w:t>de Sociedades.</w:t>
      </w:r>
    </w:p>
    <w:p w:rsidR="00BA208A" w:rsidRPr="001B731A" w:rsidRDefault="00BA208A" w:rsidP="001B731A">
      <w:pPr>
        <w:tabs>
          <w:tab w:val="left" w:pos="8647"/>
          <w:tab w:val="left" w:pos="9356"/>
        </w:tabs>
        <w:spacing w:line="288" w:lineRule="auto"/>
        <w:jc w:val="both"/>
        <w:rPr>
          <w:rFonts w:ascii="Arial" w:hAnsi="Arial" w:cs="Arial"/>
          <w:sz w:val="24"/>
          <w:szCs w:val="24"/>
        </w:rPr>
      </w:pPr>
    </w:p>
    <w:p w:rsidR="00F25DDB" w:rsidRPr="001B731A" w:rsidRDefault="00800F92"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 xml:space="preserve">Bajo esas circunstancias, </w:t>
      </w:r>
      <w:r w:rsidR="0028250A" w:rsidRPr="001B731A">
        <w:rPr>
          <w:rFonts w:ascii="Arial" w:hAnsi="Arial" w:cs="Arial"/>
          <w:sz w:val="24"/>
          <w:szCs w:val="24"/>
        </w:rPr>
        <w:t>a partir de</w:t>
      </w:r>
      <w:r w:rsidR="00566D55" w:rsidRPr="001B731A">
        <w:rPr>
          <w:rFonts w:ascii="Arial" w:hAnsi="Arial" w:cs="Arial"/>
          <w:sz w:val="24"/>
          <w:szCs w:val="24"/>
        </w:rPr>
        <w:t xml:space="preserve">l 14 de octubre de 2014 </w:t>
      </w:r>
      <w:r w:rsidRPr="001B731A">
        <w:rPr>
          <w:rFonts w:ascii="Arial" w:hAnsi="Arial" w:cs="Arial"/>
          <w:sz w:val="24"/>
          <w:szCs w:val="24"/>
        </w:rPr>
        <w:t xml:space="preserve">cuando la interventora tomó posesión de su cargo como Representante legal y Gerente de Promasivo S.A., los Directivos y Accionistas de esa sociedad, perdieron cualquier injerencia en cuanto a los pagos y obligaciones que debían cubrirse en favor de sus trabajadores, quedando a partir de ese momento la situación financiera, administrativa, asistencial y jurídica en manos de la agente interventora; por lo que al aplicar los argumentos esgrimidos por el máximo órgano de la jurisdicción ordinaria laboral al presente caso, evidente es, que la sanción moratoria por la no consignación de las cesantías del año 2013 </w:t>
      </w:r>
      <w:r w:rsidR="009B6122" w:rsidRPr="001B731A">
        <w:rPr>
          <w:rFonts w:ascii="Arial" w:hAnsi="Arial" w:cs="Arial"/>
          <w:sz w:val="24"/>
          <w:szCs w:val="24"/>
        </w:rPr>
        <w:t>iba máximo hasta el 14 de octubre de 2014, pero como el vínculo laboral finalizó el 30 de septiembre anterior, era hasta esa fecha que debía liquidarse, como acertadamente lo hizo el juzgado de conocimiento.</w:t>
      </w:r>
    </w:p>
    <w:p w:rsidR="00894050" w:rsidRPr="001B731A" w:rsidRDefault="00894050" w:rsidP="001B731A">
      <w:pPr>
        <w:tabs>
          <w:tab w:val="left" w:pos="8647"/>
          <w:tab w:val="left" w:pos="9356"/>
        </w:tabs>
        <w:spacing w:line="288" w:lineRule="auto"/>
        <w:jc w:val="both"/>
        <w:rPr>
          <w:rFonts w:ascii="Arial" w:hAnsi="Arial" w:cs="Arial"/>
          <w:sz w:val="24"/>
          <w:szCs w:val="24"/>
        </w:rPr>
      </w:pPr>
    </w:p>
    <w:p w:rsidR="00894050" w:rsidRPr="001B731A" w:rsidRDefault="009B6122"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Ahora, como a partir del 1º de octubre de 2014 empezó a correr la sanción prevista en el artículo 65 del CST, conforme lo dicho precedentemente, la misma solo se extiende hasta el 14 de octubre de 2014, motivo por el que la condena por ese concepto se reduce a la suma de $</w:t>
      </w:r>
      <w:r w:rsidR="00437C5D" w:rsidRPr="001B731A">
        <w:rPr>
          <w:rFonts w:ascii="Arial" w:hAnsi="Arial" w:cs="Arial"/>
          <w:sz w:val="24"/>
          <w:szCs w:val="24"/>
        </w:rPr>
        <w:t xml:space="preserve">417.831; por lo que habrá de modificarse </w:t>
      </w:r>
      <w:r w:rsidR="00812E74" w:rsidRPr="001B731A">
        <w:rPr>
          <w:rFonts w:ascii="Arial" w:hAnsi="Arial" w:cs="Arial"/>
          <w:sz w:val="24"/>
          <w:szCs w:val="24"/>
        </w:rPr>
        <w:t>en ese aspecto el ordinal tercero de la sentencia objeto de estudio.</w:t>
      </w:r>
    </w:p>
    <w:p w:rsidR="009C7850" w:rsidRPr="001B731A" w:rsidRDefault="009C7850" w:rsidP="001B731A">
      <w:pPr>
        <w:tabs>
          <w:tab w:val="left" w:pos="8647"/>
          <w:tab w:val="left" w:pos="9356"/>
        </w:tabs>
        <w:spacing w:line="288" w:lineRule="auto"/>
        <w:jc w:val="both"/>
        <w:rPr>
          <w:rFonts w:ascii="Arial" w:hAnsi="Arial" w:cs="Arial"/>
          <w:sz w:val="24"/>
          <w:szCs w:val="24"/>
        </w:rPr>
      </w:pPr>
    </w:p>
    <w:p w:rsidR="00D72F47" w:rsidRPr="001B731A" w:rsidRDefault="009C7850"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 xml:space="preserve">En cuanto al señalamiento hecho por </w:t>
      </w:r>
      <w:proofErr w:type="spellStart"/>
      <w:r w:rsidRPr="001B731A">
        <w:rPr>
          <w:rFonts w:ascii="Arial" w:hAnsi="Arial" w:cs="Arial"/>
          <w:sz w:val="24"/>
          <w:szCs w:val="24"/>
        </w:rPr>
        <w:t>Liberty</w:t>
      </w:r>
      <w:proofErr w:type="spellEnd"/>
      <w:r w:rsidRPr="001B731A">
        <w:rPr>
          <w:rFonts w:ascii="Arial" w:hAnsi="Arial" w:cs="Arial"/>
          <w:sz w:val="24"/>
          <w:szCs w:val="24"/>
        </w:rPr>
        <w:t xml:space="preserve"> Seguros S.A. respecto a que la póliza Nº 1937092 no cubre lo concerniente a vacaciones y aportes al sistem</w:t>
      </w:r>
      <w:r w:rsidR="00FE1732" w:rsidRPr="001B731A">
        <w:rPr>
          <w:rFonts w:ascii="Arial" w:hAnsi="Arial" w:cs="Arial"/>
          <w:sz w:val="24"/>
          <w:szCs w:val="24"/>
        </w:rPr>
        <w:t xml:space="preserve">a general de pensiones, </w:t>
      </w:r>
      <w:r w:rsidR="00EE09AC" w:rsidRPr="001B731A">
        <w:rPr>
          <w:rFonts w:ascii="Arial" w:hAnsi="Arial" w:cs="Arial"/>
          <w:sz w:val="24"/>
          <w:szCs w:val="24"/>
        </w:rPr>
        <w:t>necesario es revisar cuales son los emolumen</w:t>
      </w:r>
      <w:r w:rsidR="00012CDE" w:rsidRPr="001B731A">
        <w:rPr>
          <w:rFonts w:ascii="Arial" w:hAnsi="Arial" w:cs="Arial"/>
          <w:sz w:val="24"/>
          <w:szCs w:val="24"/>
        </w:rPr>
        <w:t>tos que se cubren en esa póliza –fls.217 a 225-</w:t>
      </w:r>
      <w:r w:rsidR="00EE09AC" w:rsidRPr="001B731A">
        <w:rPr>
          <w:rFonts w:ascii="Arial" w:hAnsi="Arial" w:cs="Arial"/>
          <w:sz w:val="24"/>
          <w:szCs w:val="24"/>
        </w:rPr>
        <w:t xml:space="preserve"> </w:t>
      </w:r>
      <w:r w:rsidR="00012CDE" w:rsidRPr="001B731A">
        <w:rPr>
          <w:rFonts w:ascii="Arial" w:hAnsi="Arial" w:cs="Arial"/>
          <w:sz w:val="24"/>
          <w:szCs w:val="24"/>
        </w:rPr>
        <w:t>remitiéndose directamente</w:t>
      </w:r>
      <w:r w:rsidR="00EE09AC" w:rsidRPr="001B731A">
        <w:rPr>
          <w:rFonts w:ascii="Arial" w:hAnsi="Arial" w:cs="Arial"/>
          <w:sz w:val="24"/>
          <w:szCs w:val="24"/>
        </w:rPr>
        <w:t xml:space="preserve"> al </w:t>
      </w:r>
      <w:r w:rsidR="00D72F47" w:rsidRPr="001B731A">
        <w:rPr>
          <w:rFonts w:ascii="Arial" w:hAnsi="Arial" w:cs="Arial"/>
          <w:sz w:val="24"/>
          <w:szCs w:val="24"/>
        </w:rPr>
        <w:t xml:space="preserve">punto 1.5 concerniente al amparo de salarios, prestaciones sociales e indemnizaciones laborales, </w:t>
      </w:r>
      <w:r w:rsidR="00012CDE" w:rsidRPr="001B731A">
        <w:rPr>
          <w:rFonts w:ascii="Arial" w:hAnsi="Arial" w:cs="Arial"/>
          <w:sz w:val="24"/>
          <w:szCs w:val="24"/>
        </w:rPr>
        <w:t xml:space="preserve">en donde </w:t>
      </w:r>
      <w:r w:rsidR="00D72F47" w:rsidRPr="001B731A">
        <w:rPr>
          <w:rFonts w:ascii="Arial" w:hAnsi="Arial" w:cs="Arial"/>
          <w:sz w:val="24"/>
          <w:szCs w:val="24"/>
        </w:rPr>
        <w:t xml:space="preserve">se </w:t>
      </w:r>
      <w:r w:rsidR="00012CDE" w:rsidRPr="001B731A">
        <w:rPr>
          <w:rFonts w:ascii="Arial" w:hAnsi="Arial" w:cs="Arial"/>
          <w:sz w:val="24"/>
          <w:szCs w:val="24"/>
        </w:rPr>
        <w:t>especifica</w:t>
      </w:r>
      <w:r w:rsidR="00D72F47" w:rsidRPr="001B731A">
        <w:rPr>
          <w:rFonts w:ascii="Arial" w:hAnsi="Arial" w:cs="Arial"/>
          <w:sz w:val="24"/>
          <w:szCs w:val="24"/>
        </w:rPr>
        <w:t xml:space="preserve"> que </w:t>
      </w:r>
      <w:r w:rsidR="00012CDE" w:rsidRPr="001B731A">
        <w:rPr>
          <w:rFonts w:ascii="Arial" w:hAnsi="Arial" w:cs="Arial"/>
          <w:sz w:val="24"/>
          <w:szCs w:val="24"/>
        </w:rPr>
        <w:t xml:space="preserve">la misma </w:t>
      </w:r>
      <w:r w:rsidR="00D72F47" w:rsidRPr="001B731A">
        <w:rPr>
          <w:rFonts w:ascii="Arial" w:hAnsi="Arial" w:cs="Arial"/>
          <w:i/>
          <w:sz w:val="24"/>
          <w:szCs w:val="24"/>
        </w:rPr>
        <w:t>“</w:t>
      </w:r>
      <w:r w:rsidR="00D72F47" w:rsidRPr="00AE17AF">
        <w:rPr>
          <w:rFonts w:ascii="Arial" w:hAnsi="Arial" w:cs="Arial"/>
          <w:i/>
          <w:sz w:val="22"/>
          <w:szCs w:val="24"/>
        </w:rPr>
        <w:t>…</w:t>
      </w:r>
      <w:r w:rsidR="00AE17AF" w:rsidRPr="00AE17AF">
        <w:rPr>
          <w:rFonts w:ascii="Arial" w:hAnsi="Arial" w:cs="Arial"/>
          <w:i/>
          <w:sz w:val="22"/>
          <w:szCs w:val="24"/>
        </w:rPr>
        <w:t xml:space="preserve"> </w:t>
      </w:r>
      <w:r w:rsidR="00D72F47" w:rsidRPr="00AE17AF">
        <w:rPr>
          <w:rFonts w:ascii="Arial" w:hAnsi="Arial" w:cs="Arial"/>
          <w:i/>
          <w:sz w:val="22"/>
          <w:szCs w:val="24"/>
        </w:rPr>
        <w:t>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r w:rsidR="00D72F47" w:rsidRPr="001B731A">
        <w:rPr>
          <w:rFonts w:ascii="Arial" w:hAnsi="Arial" w:cs="Arial"/>
          <w:i/>
          <w:sz w:val="24"/>
          <w:szCs w:val="24"/>
        </w:rPr>
        <w:t>”.</w:t>
      </w:r>
    </w:p>
    <w:p w:rsidR="00D72F47" w:rsidRPr="001B731A" w:rsidRDefault="00D72F47" w:rsidP="001B731A">
      <w:pPr>
        <w:tabs>
          <w:tab w:val="left" w:pos="8647"/>
          <w:tab w:val="left" w:pos="9356"/>
        </w:tabs>
        <w:spacing w:line="288" w:lineRule="auto"/>
        <w:jc w:val="both"/>
        <w:rPr>
          <w:rFonts w:ascii="Arial" w:hAnsi="Arial" w:cs="Arial"/>
          <w:sz w:val="24"/>
          <w:szCs w:val="24"/>
        </w:rPr>
      </w:pPr>
    </w:p>
    <w:p w:rsidR="00EE09AC" w:rsidRPr="001B731A" w:rsidRDefault="00D72F47"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 xml:space="preserve">Nótese como, si bien no se hace una mención explícita del cubrimiento de estipendios tales como las vacaciones </w:t>
      </w:r>
      <w:r w:rsidR="009743B8" w:rsidRPr="001B731A">
        <w:rPr>
          <w:rFonts w:ascii="Arial" w:hAnsi="Arial" w:cs="Arial"/>
          <w:sz w:val="24"/>
          <w:szCs w:val="24"/>
        </w:rPr>
        <w:t xml:space="preserve">o los aportes al sistema general de pensiones, la verdad es que no cabe duda que éstos se encuentran debidamente cobijados en la póliza Nº </w:t>
      </w:r>
      <w:r w:rsidR="009743B8" w:rsidRPr="001B731A">
        <w:rPr>
          <w:rFonts w:ascii="Arial" w:hAnsi="Arial" w:cs="Arial"/>
          <w:sz w:val="24"/>
          <w:szCs w:val="24"/>
        </w:rPr>
        <w:lastRenderedPageBreak/>
        <w:t xml:space="preserve">1937092, ya que con ella se busca garantizar el pago de </w:t>
      </w:r>
      <w:r w:rsidR="009743B8" w:rsidRPr="001B731A">
        <w:rPr>
          <w:rFonts w:ascii="Arial" w:hAnsi="Arial" w:cs="Arial"/>
          <w:b/>
          <w:sz w:val="24"/>
          <w:szCs w:val="24"/>
        </w:rPr>
        <w:t>la totalidad de las obligaciones laborales a que está obligado el contratista garantizado</w:t>
      </w:r>
      <w:r w:rsidR="009743B8" w:rsidRPr="001B731A">
        <w:rPr>
          <w:rFonts w:ascii="Arial" w:hAnsi="Arial" w:cs="Arial"/>
          <w:sz w:val="24"/>
          <w:szCs w:val="24"/>
        </w:rPr>
        <w:t xml:space="preserve">, en otras palabras, la póliza cubre el incumplimiento en el pago por parte Promasivo S.A. frente a todas y cada una de las obligaciones laborales contraídas con sus trabajadores, dentro de las que se encuentran evidentemente el pago de las vacaciones y de los aportes al sistema general de pensiones; como correctamente lo hizo la </w:t>
      </w:r>
      <w:r w:rsidR="009743B8" w:rsidRPr="001B731A">
        <w:rPr>
          <w:rFonts w:ascii="Arial" w:hAnsi="Arial" w:cs="Arial"/>
          <w:i/>
          <w:sz w:val="24"/>
          <w:szCs w:val="24"/>
        </w:rPr>
        <w:t>a quo</w:t>
      </w:r>
      <w:r w:rsidR="009743B8" w:rsidRPr="001B731A">
        <w:rPr>
          <w:rFonts w:ascii="Arial" w:hAnsi="Arial" w:cs="Arial"/>
          <w:sz w:val="24"/>
          <w:szCs w:val="24"/>
        </w:rPr>
        <w:t xml:space="preserve">, siendo pertinente indicar que también determinó que la misma solo </w:t>
      </w:r>
      <w:r w:rsidR="00EE09AC" w:rsidRPr="001B731A">
        <w:rPr>
          <w:rFonts w:ascii="Arial" w:hAnsi="Arial" w:cs="Arial"/>
          <w:sz w:val="24"/>
          <w:szCs w:val="24"/>
        </w:rPr>
        <w:t>puede ser afe</w:t>
      </w:r>
      <w:r w:rsidR="009743B8" w:rsidRPr="001B731A">
        <w:rPr>
          <w:rFonts w:ascii="Arial" w:hAnsi="Arial" w:cs="Arial"/>
          <w:sz w:val="24"/>
          <w:szCs w:val="24"/>
        </w:rPr>
        <w:t>ctada hasta el monto asegurado, debiéndose tener en cuenta el porcentaje que ya ha sido afectado con procesos judiciales legalmente finalizados.</w:t>
      </w:r>
    </w:p>
    <w:p w:rsidR="00800F92" w:rsidRPr="001B731A" w:rsidRDefault="00800F92" w:rsidP="001B731A">
      <w:pPr>
        <w:tabs>
          <w:tab w:val="left" w:pos="8647"/>
          <w:tab w:val="left" w:pos="9356"/>
        </w:tabs>
        <w:spacing w:line="288" w:lineRule="auto"/>
        <w:jc w:val="both"/>
        <w:rPr>
          <w:rFonts w:ascii="Arial" w:hAnsi="Arial" w:cs="Arial"/>
          <w:sz w:val="24"/>
          <w:szCs w:val="24"/>
        </w:rPr>
      </w:pPr>
    </w:p>
    <w:p w:rsidR="00800F92" w:rsidRPr="001B731A" w:rsidRDefault="00D06600"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E</w:t>
      </w:r>
      <w:r w:rsidR="00F53A35" w:rsidRPr="001B731A">
        <w:rPr>
          <w:rFonts w:ascii="Arial" w:hAnsi="Arial" w:cs="Arial"/>
          <w:sz w:val="24"/>
          <w:szCs w:val="24"/>
        </w:rPr>
        <w:t xml:space="preserve">n relación al argumento de SI 99 S.A., frente a la novación de la obligación para efectos de exonerarse del pago solidario de las condenas impuestas a cargo de Megabús S.A., verificados los Otros Sí No. 2, 3 y 4 del Contrato de Concesión 01 de 2004 suscritos entre </w:t>
      </w:r>
      <w:r w:rsidRPr="001B731A">
        <w:rPr>
          <w:rFonts w:ascii="Arial" w:hAnsi="Arial" w:cs="Arial"/>
          <w:sz w:val="24"/>
          <w:szCs w:val="24"/>
        </w:rPr>
        <w:t xml:space="preserve">las sociedades accionadas </w:t>
      </w:r>
      <w:r w:rsidR="002519F7" w:rsidRPr="001B731A">
        <w:rPr>
          <w:rFonts w:ascii="Arial" w:hAnsi="Arial" w:cs="Arial"/>
          <w:sz w:val="24"/>
          <w:szCs w:val="24"/>
        </w:rPr>
        <w:t>–cd folio 108</w:t>
      </w:r>
      <w:r w:rsidR="00BC2B1F" w:rsidRPr="001B731A">
        <w:rPr>
          <w:rFonts w:ascii="Arial" w:hAnsi="Arial" w:cs="Arial"/>
          <w:sz w:val="24"/>
          <w:szCs w:val="24"/>
        </w:rPr>
        <w:t xml:space="preserve"> </w:t>
      </w:r>
      <w:proofErr w:type="spellStart"/>
      <w:r w:rsidR="00BC2B1F" w:rsidRPr="001B731A">
        <w:rPr>
          <w:rFonts w:ascii="Arial" w:hAnsi="Arial" w:cs="Arial"/>
          <w:sz w:val="24"/>
          <w:szCs w:val="24"/>
        </w:rPr>
        <w:t>vto</w:t>
      </w:r>
      <w:proofErr w:type="spellEnd"/>
      <w:r w:rsidR="00BC2B1F" w:rsidRPr="001B731A">
        <w:rPr>
          <w:rFonts w:ascii="Arial" w:hAnsi="Arial" w:cs="Arial"/>
          <w:sz w:val="24"/>
          <w:szCs w:val="24"/>
        </w:rPr>
        <w:t xml:space="preserve">-,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00BC2B1F" w:rsidRPr="001B731A">
        <w:rPr>
          <w:rFonts w:ascii="Arial" w:hAnsi="Arial" w:cs="Arial"/>
          <w:sz w:val="24"/>
          <w:szCs w:val="24"/>
        </w:rPr>
        <w:t>Megabus</w:t>
      </w:r>
      <w:proofErr w:type="spellEnd"/>
      <w:r w:rsidR="00BC2B1F" w:rsidRPr="001B731A">
        <w:rPr>
          <w:rFonts w:ascii="Arial" w:hAnsi="Arial" w:cs="Arial"/>
          <w:sz w:val="24"/>
          <w:szCs w:val="24"/>
        </w:rPr>
        <w:t>, a través de la participación del concesionario en los recursos económicos generados por la prestaci</w:t>
      </w:r>
      <w:r w:rsidR="00E04D73" w:rsidRPr="001B731A">
        <w:rPr>
          <w:rFonts w:ascii="Arial" w:hAnsi="Arial" w:cs="Arial"/>
          <w:sz w:val="24"/>
          <w:szCs w:val="24"/>
        </w:rPr>
        <w:t>ón del servicio; ya que lo qu</w:t>
      </w:r>
      <w:r w:rsidR="00CB0B07" w:rsidRPr="001B731A">
        <w:rPr>
          <w:rFonts w:ascii="Arial" w:hAnsi="Arial" w:cs="Arial"/>
          <w:sz w:val="24"/>
          <w:szCs w:val="24"/>
        </w:rPr>
        <w:t>e garantizaban con esos otros si</w:t>
      </w:r>
      <w:r w:rsidR="00E04D73" w:rsidRPr="001B731A">
        <w:rPr>
          <w:rFonts w:ascii="Arial" w:hAnsi="Arial" w:cs="Arial"/>
          <w:sz w:val="24"/>
          <w:szCs w:val="24"/>
        </w:rPr>
        <w:t xml:space="preserve">, era brindar </w:t>
      </w:r>
      <w:r w:rsidR="00F53A35" w:rsidRPr="001B731A">
        <w:rPr>
          <w:rFonts w:ascii="Arial" w:hAnsi="Arial" w:cs="Arial"/>
          <w:sz w:val="24"/>
          <w:szCs w:val="24"/>
        </w:rPr>
        <w:t>un servicio óptimo y seguro a los usuarios, ampliar la garantía o asegura</w:t>
      </w:r>
      <w:r w:rsidR="00E04D73" w:rsidRPr="001B731A">
        <w:rPr>
          <w:rFonts w:ascii="Arial" w:hAnsi="Arial" w:cs="Arial"/>
          <w:sz w:val="24"/>
          <w:szCs w:val="24"/>
        </w:rPr>
        <w:t xml:space="preserve">miento en favor del concedente; lo que indefectiblemente lleva a concluir que no </w:t>
      </w:r>
      <w:r w:rsidR="002519F7" w:rsidRPr="001B731A">
        <w:rPr>
          <w:rFonts w:ascii="Arial" w:hAnsi="Arial" w:cs="Arial"/>
          <w:sz w:val="24"/>
          <w:szCs w:val="24"/>
        </w:rPr>
        <w:t>hubo</w:t>
      </w:r>
      <w:r w:rsidR="00E04D73" w:rsidRPr="001B731A">
        <w:rPr>
          <w:rFonts w:ascii="Arial" w:hAnsi="Arial" w:cs="Arial"/>
          <w:sz w:val="24"/>
          <w:szCs w:val="24"/>
        </w:rPr>
        <w:t xml:space="preserve"> una verdadera novación, pues obsérvese que no </w:t>
      </w:r>
      <w:r w:rsidR="00F53A35" w:rsidRPr="001B731A">
        <w:rPr>
          <w:rFonts w:ascii="Arial" w:hAnsi="Arial" w:cs="Arial"/>
          <w:sz w:val="24"/>
          <w:szCs w:val="24"/>
        </w:rPr>
        <w:t>se presentó la extinción de la obligación que voluntariamente se adjudicó la sociedad SI 99 S.A., a través del Compromiso suscrito y contenido en el Anexo No. 1 – Formatos de Presentación de la Propuesta (v) Formato de Acreditación de la Capacidad Económ</w:t>
      </w:r>
      <w:r w:rsidR="00E04D73" w:rsidRPr="001B731A">
        <w:rPr>
          <w:rFonts w:ascii="Arial" w:hAnsi="Arial" w:cs="Arial"/>
          <w:sz w:val="24"/>
          <w:szCs w:val="24"/>
        </w:rPr>
        <w:t xml:space="preserve">ica, en favor de Promasivo S.A., </w:t>
      </w:r>
      <w:r w:rsidR="00F53A35" w:rsidRPr="001B731A">
        <w:rPr>
          <w:rFonts w:ascii="Arial" w:hAnsi="Arial" w:cs="Arial"/>
          <w:sz w:val="24"/>
          <w:szCs w:val="24"/>
        </w:rPr>
        <w:t>y po</w:t>
      </w:r>
      <w:r w:rsidR="00E04D73" w:rsidRPr="001B731A">
        <w:rPr>
          <w:rFonts w:ascii="Arial" w:hAnsi="Arial" w:cs="Arial"/>
          <w:sz w:val="24"/>
          <w:szCs w:val="24"/>
        </w:rPr>
        <w:t>r ello su solidaridad se mantiene</w:t>
      </w:r>
      <w:r w:rsidR="00F53A35" w:rsidRPr="001B731A">
        <w:rPr>
          <w:rFonts w:ascii="Arial" w:hAnsi="Arial" w:cs="Arial"/>
          <w:sz w:val="24"/>
          <w:szCs w:val="24"/>
        </w:rPr>
        <w:t xml:space="preserve"> incólume.</w:t>
      </w:r>
    </w:p>
    <w:p w:rsidR="00F53A35" w:rsidRPr="001B731A" w:rsidRDefault="00F53A35" w:rsidP="001B731A">
      <w:pPr>
        <w:spacing w:line="288" w:lineRule="auto"/>
        <w:ind w:right="284"/>
        <w:jc w:val="both"/>
        <w:rPr>
          <w:rFonts w:ascii="Arial" w:hAnsi="Arial" w:cs="Arial"/>
          <w:sz w:val="24"/>
          <w:szCs w:val="24"/>
        </w:rPr>
      </w:pPr>
    </w:p>
    <w:p w:rsidR="00C97DEA" w:rsidRPr="001B731A" w:rsidRDefault="00C97DEA"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Quedan así resueltos los recursos presentados por las partes.</w:t>
      </w:r>
    </w:p>
    <w:p w:rsidR="00C97DEA" w:rsidRPr="001B731A" w:rsidRDefault="00C97DEA" w:rsidP="001B731A">
      <w:pPr>
        <w:tabs>
          <w:tab w:val="left" w:pos="8647"/>
          <w:tab w:val="left" w:pos="9356"/>
        </w:tabs>
        <w:spacing w:line="288" w:lineRule="auto"/>
        <w:jc w:val="both"/>
        <w:rPr>
          <w:rFonts w:ascii="Arial" w:hAnsi="Arial" w:cs="Arial"/>
          <w:sz w:val="24"/>
          <w:szCs w:val="24"/>
        </w:rPr>
      </w:pPr>
    </w:p>
    <w:p w:rsidR="00C97DEA" w:rsidRPr="001B731A" w:rsidRDefault="00C97DEA" w:rsidP="001B731A">
      <w:pPr>
        <w:tabs>
          <w:tab w:val="left" w:pos="8647"/>
          <w:tab w:val="left" w:pos="9356"/>
        </w:tabs>
        <w:spacing w:line="288" w:lineRule="auto"/>
        <w:jc w:val="both"/>
        <w:rPr>
          <w:rFonts w:ascii="Arial" w:hAnsi="Arial" w:cs="Arial"/>
          <w:sz w:val="24"/>
          <w:szCs w:val="24"/>
        </w:rPr>
      </w:pPr>
      <w:r w:rsidRPr="001B731A">
        <w:rPr>
          <w:rFonts w:ascii="Arial" w:hAnsi="Arial" w:cs="Arial"/>
          <w:sz w:val="24"/>
          <w:szCs w:val="24"/>
        </w:rPr>
        <w:t xml:space="preserve">Costas en esta instancia a cargo </w:t>
      </w:r>
      <w:r w:rsidR="002B2CB4" w:rsidRPr="001B731A">
        <w:rPr>
          <w:rFonts w:ascii="Arial" w:hAnsi="Arial" w:cs="Arial"/>
          <w:sz w:val="24"/>
          <w:szCs w:val="24"/>
        </w:rPr>
        <w:t xml:space="preserve">de SI 99 S.A y de Liberty Seguros S.A. en un 100% a favor de </w:t>
      </w:r>
      <w:proofErr w:type="spellStart"/>
      <w:r w:rsidR="002B2CB4" w:rsidRPr="001B731A">
        <w:rPr>
          <w:rFonts w:ascii="Arial" w:hAnsi="Arial" w:cs="Arial"/>
          <w:sz w:val="24"/>
          <w:szCs w:val="24"/>
        </w:rPr>
        <w:t>Megabus</w:t>
      </w:r>
      <w:proofErr w:type="spellEnd"/>
      <w:r w:rsidR="002B2CB4" w:rsidRPr="001B731A">
        <w:rPr>
          <w:rFonts w:ascii="Arial" w:hAnsi="Arial" w:cs="Arial"/>
          <w:sz w:val="24"/>
          <w:szCs w:val="24"/>
        </w:rPr>
        <w:t xml:space="preserve"> S.A.</w:t>
      </w:r>
    </w:p>
    <w:p w:rsidR="00C97DEA" w:rsidRPr="001B731A" w:rsidRDefault="00C97DEA" w:rsidP="001B731A">
      <w:pPr>
        <w:tabs>
          <w:tab w:val="left" w:pos="8647"/>
          <w:tab w:val="left" w:pos="9356"/>
        </w:tabs>
        <w:spacing w:line="288" w:lineRule="auto"/>
        <w:jc w:val="both"/>
        <w:rPr>
          <w:rFonts w:ascii="Arial" w:hAnsi="Arial" w:cs="Arial"/>
          <w:sz w:val="24"/>
          <w:szCs w:val="24"/>
        </w:rPr>
      </w:pPr>
    </w:p>
    <w:p w:rsidR="00C97DEA" w:rsidRDefault="00C97DEA" w:rsidP="001B731A">
      <w:pPr>
        <w:widowControl w:val="0"/>
        <w:autoSpaceDE w:val="0"/>
        <w:autoSpaceDN w:val="0"/>
        <w:adjustRightInd w:val="0"/>
        <w:spacing w:line="288" w:lineRule="auto"/>
        <w:jc w:val="both"/>
        <w:rPr>
          <w:rFonts w:ascii="Arial" w:hAnsi="Arial" w:cs="Arial"/>
          <w:sz w:val="24"/>
          <w:szCs w:val="24"/>
        </w:rPr>
      </w:pPr>
      <w:r w:rsidRPr="001B731A">
        <w:rPr>
          <w:rFonts w:ascii="Arial" w:hAnsi="Arial" w:cs="Arial"/>
          <w:sz w:val="24"/>
          <w:szCs w:val="24"/>
        </w:rPr>
        <w:t xml:space="preserve">En mérito de lo expuesto, la </w:t>
      </w:r>
      <w:r w:rsidRPr="001B731A">
        <w:rPr>
          <w:rFonts w:ascii="Arial" w:hAnsi="Arial" w:cs="Arial"/>
          <w:b/>
          <w:sz w:val="24"/>
          <w:szCs w:val="24"/>
        </w:rPr>
        <w:t>Sala de Decisión Laboral Nº 3 del Tribunal Superior de Pereira</w:t>
      </w:r>
      <w:r w:rsidRPr="001B731A">
        <w:rPr>
          <w:rFonts w:ascii="Arial" w:hAnsi="Arial" w:cs="Arial"/>
          <w:sz w:val="24"/>
          <w:szCs w:val="24"/>
        </w:rPr>
        <w:t>, administrando justicia en nombre de la Repúb</w:t>
      </w:r>
      <w:r w:rsidR="00BF41B9">
        <w:rPr>
          <w:rFonts w:ascii="Arial" w:hAnsi="Arial" w:cs="Arial"/>
          <w:sz w:val="24"/>
          <w:szCs w:val="24"/>
        </w:rPr>
        <w:t>lica y por autoridad de la ley,</w:t>
      </w:r>
    </w:p>
    <w:p w:rsidR="00BF41B9" w:rsidRPr="001B731A" w:rsidRDefault="00BF41B9" w:rsidP="001B731A">
      <w:pPr>
        <w:widowControl w:val="0"/>
        <w:autoSpaceDE w:val="0"/>
        <w:autoSpaceDN w:val="0"/>
        <w:adjustRightInd w:val="0"/>
        <w:spacing w:line="288" w:lineRule="auto"/>
        <w:jc w:val="both"/>
        <w:rPr>
          <w:rFonts w:ascii="Arial" w:hAnsi="Arial" w:cs="Arial"/>
          <w:sz w:val="24"/>
          <w:szCs w:val="24"/>
        </w:rPr>
      </w:pPr>
    </w:p>
    <w:p w:rsidR="00C97DEA" w:rsidRPr="001B731A" w:rsidRDefault="00C97DEA" w:rsidP="001B731A">
      <w:pPr>
        <w:widowControl w:val="0"/>
        <w:autoSpaceDE w:val="0"/>
        <w:autoSpaceDN w:val="0"/>
        <w:adjustRightInd w:val="0"/>
        <w:spacing w:line="288" w:lineRule="auto"/>
        <w:jc w:val="center"/>
        <w:rPr>
          <w:rFonts w:ascii="Arial" w:hAnsi="Arial" w:cs="Arial"/>
          <w:b/>
          <w:sz w:val="24"/>
          <w:szCs w:val="24"/>
        </w:rPr>
      </w:pPr>
      <w:r w:rsidRPr="001B731A">
        <w:rPr>
          <w:rFonts w:ascii="Arial" w:hAnsi="Arial" w:cs="Arial"/>
          <w:b/>
          <w:sz w:val="24"/>
          <w:szCs w:val="24"/>
        </w:rPr>
        <w:t>RESUELVE</w:t>
      </w:r>
    </w:p>
    <w:p w:rsidR="00C97DEA" w:rsidRPr="001B731A" w:rsidRDefault="00C97DEA" w:rsidP="001B731A">
      <w:pPr>
        <w:tabs>
          <w:tab w:val="left" w:pos="8647"/>
          <w:tab w:val="left" w:pos="9356"/>
        </w:tabs>
        <w:spacing w:line="288" w:lineRule="auto"/>
        <w:jc w:val="both"/>
        <w:rPr>
          <w:rFonts w:ascii="Arial" w:hAnsi="Arial" w:cs="Arial"/>
          <w:sz w:val="24"/>
          <w:szCs w:val="24"/>
        </w:rPr>
      </w:pPr>
    </w:p>
    <w:p w:rsidR="00C97DEA" w:rsidRPr="001B731A" w:rsidRDefault="00C97DEA" w:rsidP="001B731A">
      <w:pPr>
        <w:tabs>
          <w:tab w:val="left" w:pos="8647"/>
          <w:tab w:val="left" w:pos="9356"/>
        </w:tabs>
        <w:spacing w:line="288" w:lineRule="auto"/>
        <w:jc w:val="both"/>
        <w:rPr>
          <w:rFonts w:ascii="Arial" w:hAnsi="Arial" w:cs="Arial"/>
          <w:sz w:val="24"/>
          <w:szCs w:val="24"/>
        </w:rPr>
      </w:pPr>
      <w:r w:rsidRPr="001B731A">
        <w:rPr>
          <w:rFonts w:ascii="Arial" w:hAnsi="Arial" w:cs="Arial"/>
          <w:b/>
          <w:sz w:val="24"/>
          <w:szCs w:val="24"/>
        </w:rPr>
        <w:t xml:space="preserve">PRIMERO. MODIFICAR </w:t>
      </w:r>
      <w:r w:rsidRPr="001B731A">
        <w:rPr>
          <w:rFonts w:ascii="Arial" w:hAnsi="Arial" w:cs="Arial"/>
          <w:sz w:val="24"/>
          <w:szCs w:val="24"/>
        </w:rPr>
        <w:t xml:space="preserve">el ordinal TERCERO de la sentencia recurrida para reconocer la sanción </w:t>
      </w:r>
      <w:r w:rsidR="003B0C74" w:rsidRPr="001B731A">
        <w:rPr>
          <w:rFonts w:ascii="Arial" w:hAnsi="Arial" w:cs="Arial"/>
          <w:sz w:val="24"/>
          <w:szCs w:val="24"/>
        </w:rPr>
        <w:t>prevista en el artículo 65 del CST</w:t>
      </w:r>
      <w:r w:rsidRPr="001B731A">
        <w:rPr>
          <w:rFonts w:ascii="Arial" w:hAnsi="Arial" w:cs="Arial"/>
          <w:sz w:val="24"/>
          <w:szCs w:val="24"/>
        </w:rPr>
        <w:t xml:space="preserve"> por valor de $</w:t>
      </w:r>
      <w:r w:rsidR="003B0C74" w:rsidRPr="001B731A">
        <w:rPr>
          <w:rFonts w:ascii="Arial" w:hAnsi="Arial" w:cs="Arial"/>
          <w:sz w:val="24"/>
          <w:szCs w:val="24"/>
        </w:rPr>
        <w:t>417.831</w:t>
      </w:r>
      <w:r w:rsidRPr="001B731A">
        <w:rPr>
          <w:rFonts w:ascii="Arial" w:hAnsi="Arial" w:cs="Arial"/>
          <w:sz w:val="24"/>
          <w:szCs w:val="24"/>
        </w:rPr>
        <w:t>. El referido ordinal quedará así:</w:t>
      </w:r>
    </w:p>
    <w:p w:rsidR="00C97DEA" w:rsidRPr="001B731A" w:rsidRDefault="00C97DEA" w:rsidP="001B731A">
      <w:pPr>
        <w:tabs>
          <w:tab w:val="left" w:pos="8647"/>
          <w:tab w:val="left" w:pos="9356"/>
        </w:tabs>
        <w:spacing w:line="288" w:lineRule="auto"/>
        <w:jc w:val="both"/>
        <w:rPr>
          <w:rFonts w:ascii="Arial" w:hAnsi="Arial" w:cs="Arial"/>
          <w:sz w:val="24"/>
          <w:szCs w:val="24"/>
        </w:rPr>
      </w:pPr>
    </w:p>
    <w:p w:rsidR="00C97DEA" w:rsidRPr="001B731A" w:rsidRDefault="00C97DEA" w:rsidP="001B731A">
      <w:pPr>
        <w:tabs>
          <w:tab w:val="left" w:pos="8647"/>
          <w:tab w:val="left" w:pos="9356"/>
        </w:tabs>
        <w:spacing w:line="288" w:lineRule="auto"/>
        <w:ind w:left="567"/>
        <w:jc w:val="both"/>
        <w:rPr>
          <w:rFonts w:ascii="Arial" w:hAnsi="Arial" w:cs="Arial"/>
          <w:i/>
          <w:sz w:val="24"/>
          <w:szCs w:val="24"/>
        </w:rPr>
      </w:pPr>
      <w:r w:rsidRPr="001B731A">
        <w:rPr>
          <w:rFonts w:ascii="Arial" w:hAnsi="Arial" w:cs="Arial"/>
          <w:i/>
          <w:sz w:val="24"/>
          <w:szCs w:val="24"/>
        </w:rPr>
        <w:t>“</w:t>
      </w:r>
      <w:r w:rsidRPr="001B731A">
        <w:rPr>
          <w:rFonts w:ascii="Arial" w:hAnsi="Arial" w:cs="Arial"/>
          <w:b/>
          <w:i/>
          <w:sz w:val="24"/>
          <w:szCs w:val="24"/>
        </w:rPr>
        <w:t xml:space="preserve">TERCERO. CONDENAR </w:t>
      </w:r>
      <w:r w:rsidRPr="001B731A">
        <w:rPr>
          <w:rFonts w:ascii="Arial" w:hAnsi="Arial" w:cs="Arial"/>
          <w:i/>
          <w:sz w:val="24"/>
          <w:szCs w:val="24"/>
        </w:rPr>
        <w:t xml:space="preserve">a PROMASIVO S.A. y solidariamente a  MEGABUS S.A., a cancelar a favor del señor </w:t>
      </w:r>
      <w:r w:rsidR="003B0C74" w:rsidRPr="001B731A">
        <w:rPr>
          <w:rFonts w:ascii="Arial" w:hAnsi="Arial" w:cs="Arial"/>
          <w:i/>
          <w:sz w:val="24"/>
          <w:szCs w:val="24"/>
        </w:rPr>
        <w:t>DUBERNEY CASTAÑO ROMERO</w:t>
      </w:r>
      <w:r w:rsidRPr="001B731A">
        <w:rPr>
          <w:rFonts w:ascii="Arial" w:hAnsi="Arial" w:cs="Arial"/>
          <w:i/>
          <w:sz w:val="24"/>
          <w:szCs w:val="24"/>
        </w:rPr>
        <w:t>, las siguientes sumas:</w:t>
      </w:r>
    </w:p>
    <w:p w:rsidR="00C97DEA" w:rsidRPr="001B731A" w:rsidRDefault="00C97DEA" w:rsidP="001B731A">
      <w:pPr>
        <w:tabs>
          <w:tab w:val="left" w:pos="8647"/>
          <w:tab w:val="left" w:pos="9356"/>
        </w:tabs>
        <w:spacing w:line="288" w:lineRule="auto"/>
        <w:ind w:left="567"/>
        <w:jc w:val="both"/>
        <w:rPr>
          <w:rFonts w:ascii="Arial" w:hAnsi="Arial" w:cs="Arial"/>
          <w:i/>
          <w:sz w:val="24"/>
          <w:szCs w:val="24"/>
        </w:rPr>
      </w:pPr>
    </w:p>
    <w:p w:rsidR="003B0C74" w:rsidRPr="001B731A" w:rsidRDefault="00C97DEA" w:rsidP="001B731A">
      <w:pPr>
        <w:tabs>
          <w:tab w:val="left" w:pos="8647"/>
          <w:tab w:val="left" w:pos="9356"/>
        </w:tabs>
        <w:spacing w:line="288" w:lineRule="auto"/>
        <w:ind w:left="567"/>
        <w:jc w:val="both"/>
        <w:rPr>
          <w:rFonts w:ascii="Arial" w:hAnsi="Arial" w:cs="Arial"/>
          <w:i/>
          <w:sz w:val="24"/>
          <w:szCs w:val="24"/>
        </w:rPr>
      </w:pPr>
      <w:r w:rsidRPr="001B731A">
        <w:rPr>
          <w:rFonts w:ascii="Arial" w:hAnsi="Arial" w:cs="Arial"/>
          <w:i/>
          <w:sz w:val="24"/>
          <w:szCs w:val="24"/>
        </w:rPr>
        <w:lastRenderedPageBreak/>
        <w:t>$</w:t>
      </w:r>
      <w:r w:rsidR="003B0C74" w:rsidRPr="001B731A">
        <w:rPr>
          <w:rFonts w:ascii="Arial" w:hAnsi="Arial" w:cs="Arial"/>
          <w:i/>
          <w:sz w:val="24"/>
          <w:szCs w:val="24"/>
        </w:rPr>
        <w:t>2.496.303 por concepto de salarios insolutos</w:t>
      </w:r>
    </w:p>
    <w:p w:rsidR="00C97DEA" w:rsidRPr="001B731A" w:rsidRDefault="003B0C74" w:rsidP="001B731A">
      <w:pPr>
        <w:tabs>
          <w:tab w:val="left" w:pos="8647"/>
          <w:tab w:val="left" w:pos="9356"/>
        </w:tabs>
        <w:spacing w:line="288" w:lineRule="auto"/>
        <w:ind w:left="567"/>
        <w:jc w:val="both"/>
        <w:rPr>
          <w:rFonts w:ascii="Arial" w:hAnsi="Arial" w:cs="Arial"/>
          <w:i/>
          <w:sz w:val="24"/>
          <w:szCs w:val="24"/>
        </w:rPr>
      </w:pPr>
      <w:r w:rsidRPr="001B731A">
        <w:rPr>
          <w:rFonts w:ascii="Arial" w:hAnsi="Arial" w:cs="Arial"/>
          <w:i/>
          <w:sz w:val="24"/>
          <w:szCs w:val="24"/>
        </w:rPr>
        <w:t>$650.296 por concepto de vacaciones</w:t>
      </w:r>
    </w:p>
    <w:p w:rsidR="00C97DEA" w:rsidRPr="001B731A" w:rsidRDefault="00C97DEA" w:rsidP="001B731A">
      <w:pPr>
        <w:tabs>
          <w:tab w:val="left" w:pos="8647"/>
          <w:tab w:val="left" w:pos="9356"/>
        </w:tabs>
        <w:spacing w:line="288" w:lineRule="auto"/>
        <w:ind w:left="567"/>
        <w:jc w:val="both"/>
        <w:rPr>
          <w:rFonts w:ascii="Arial" w:hAnsi="Arial" w:cs="Arial"/>
          <w:i/>
          <w:sz w:val="24"/>
          <w:szCs w:val="24"/>
        </w:rPr>
      </w:pPr>
      <w:r w:rsidRPr="001B731A">
        <w:rPr>
          <w:rFonts w:ascii="Arial" w:hAnsi="Arial" w:cs="Arial"/>
          <w:i/>
          <w:sz w:val="24"/>
          <w:szCs w:val="24"/>
        </w:rPr>
        <w:t>$</w:t>
      </w:r>
      <w:r w:rsidR="003B0C74" w:rsidRPr="001B731A">
        <w:rPr>
          <w:rFonts w:ascii="Arial" w:hAnsi="Arial" w:cs="Arial"/>
          <w:i/>
          <w:sz w:val="24"/>
          <w:szCs w:val="24"/>
        </w:rPr>
        <w:t>303.451 por concepto de prima de servicios.</w:t>
      </w:r>
    </w:p>
    <w:p w:rsidR="00C97DEA" w:rsidRPr="001B731A" w:rsidRDefault="00C97DEA" w:rsidP="001B731A">
      <w:pPr>
        <w:tabs>
          <w:tab w:val="left" w:pos="8647"/>
          <w:tab w:val="left" w:pos="9356"/>
        </w:tabs>
        <w:spacing w:line="288" w:lineRule="auto"/>
        <w:ind w:left="567"/>
        <w:jc w:val="both"/>
        <w:rPr>
          <w:rFonts w:ascii="Arial" w:hAnsi="Arial" w:cs="Arial"/>
          <w:i/>
          <w:sz w:val="24"/>
          <w:szCs w:val="24"/>
        </w:rPr>
      </w:pPr>
      <w:r w:rsidRPr="001B731A">
        <w:rPr>
          <w:rFonts w:ascii="Arial" w:hAnsi="Arial" w:cs="Arial"/>
          <w:i/>
          <w:sz w:val="24"/>
          <w:szCs w:val="24"/>
        </w:rPr>
        <w:t>$</w:t>
      </w:r>
      <w:r w:rsidR="003B0C74" w:rsidRPr="001B731A">
        <w:rPr>
          <w:rFonts w:ascii="Arial" w:hAnsi="Arial" w:cs="Arial"/>
          <w:i/>
          <w:sz w:val="24"/>
          <w:szCs w:val="24"/>
        </w:rPr>
        <w:t>2.102.457 por concepto de cesantías.</w:t>
      </w:r>
    </w:p>
    <w:p w:rsidR="00C97DEA" w:rsidRPr="001B731A" w:rsidRDefault="00C97DEA" w:rsidP="001B731A">
      <w:pPr>
        <w:tabs>
          <w:tab w:val="left" w:pos="8647"/>
          <w:tab w:val="left" w:pos="9356"/>
        </w:tabs>
        <w:spacing w:line="288" w:lineRule="auto"/>
        <w:ind w:left="567"/>
        <w:jc w:val="both"/>
        <w:rPr>
          <w:rFonts w:ascii="Arial" w:hAnsi="Arial" w:cs="Arial"/>
          <w:i/>
          <w:sz w:val="24"/>
          <w:szCs w:val="24"/>
        </w:rPr>
      </w:pPr>
      <w:r w:rsidRPr="001B731A">
        <w:rPr>
          <w:rFonts w:ascii="Arial" w:hAnsi="Arial" w:cs="Arial"/>
          <w:i/>
          <w:sz w:val="24"/>
          <w:szCs w:val="24"/>
        </w:rPr>
        <w:t>$</w:t>
      </w:r>
      <w:r w:rsidR="00636C66" w:rsidRPr="001B731A">
        <w:rPr>
          <w:rFonts w:ascii="Arial" w:hAnsi="Arial" w:cs="Arial"/>
          <w:i/>
          <w:sz w:val="24"/>
          <w:szCs w:val="24"/>
        </w:rPr>
        <w:t>83.861 por concepto de intereses a las cesantías.</w:t>
      </w:r>
    </w:p>
    <w:p w:rsidR="00636C66" w:rsidRPr="001B731A" w:rsidRDefault="00636C66" w:rsidP="001B731A">
      <w:pPr>
        <w:tabs>
          <w:tab w:val="left" w:pos="8647"/>
          <w:tab w:val="left" w:pos="9356"/>
        </w:tabs>
        <w:spacing w:line="288" w:lineRule="auto"/>
        <w:ind w:left="567"/>
        <w:jc w:val="both"/>
        <w:rPr>
          <w:rFonts w:ascii="Arial" w:hAnsi="Arial" w:cs="Arial"/>
          <w:i/>
          <w:sz w:val="24"/>
          <w:szCs w:val="24"/>
        </w:rPr>
      </w:pPr>
      <w:r w:rsidRPr="001B731A">
        <w:rPr>
          <w:rFonts w:ascii="Arial" w:hAnsi="Arial" w:cs="Arial"/>
          <w:i/>
          <w:sz w:val="24"/>
          <w:szCs w:val="24"/>
        </w:rPr>
        <w:t>$16.773.767 por concepto de sanción por no consignación de las cesantías del año 2013.</w:t>
      </w:r>
    </w:p>
    <w:p w:rsidR="00636C66" w:rsidRPr="001B731A" w:rsidRDefault="00636C66" w:rsidP="001B731A">
      <w:pPr>
        <w:tabs>
          <w:tab w:val="left" w:pos="8647"/>
          <w:tab w:val="left" w:pos="9356"/>
        </w:tabs>
        <w:spacing w:line="288" w:lineRule="auto"/>
        <w:ind w:left="567"/>
        <w:jc w:val="both"/>
        <w:rPr>
          <w:rFonts w:ascii="Arial" w:hAnsi="Arial" w:cs="Arial"/>
          <w:i/>
          <w:sz w:val="24"/>
          <w:szCs w:val="24"/>
        </w:rPr>
      </w:pPr>
      <w:r w:rsidRPr="001B731A">
        <w:rPr>
          <w:rFonts w:ascii="Arial" w:hAnsi="Arial" w:cs="Arial"/>
          <w:i/>
          <w:sz w:val="24"/>
          <w:szCs w:val="24"/>
        </w:rPr>
        <w:t>$417.831 por concepto de sanción por no pago de salarios y prestaciones sociales.</w:t>
      </w:r>
    </w:p>
    <w:p w:rsidR="00636C66" w:rsidRPr="001B731A" w:rsidRDefault="00636C66" w:rsidP="001B731A">
      <w:pPr>
        <w:tabs>
          <w:tab w:val="left" w:pos="8647"/>
          <w:tab w:val="left" w:pos="9356"/>
        </w:tabs>
        <w:spacing w:line="288" w:lineRule="auto"/>
        <w:ind w:left="567"/>
        <w:jc w:val="both"/>
        <w:rPr>
          <w:rFonts w:ascii="Arial" w:hAnsi="Arial" w:cs="Arial"/>
          <w:i/>
          <w:sz w:val="24"/>
          <w:szCs w:val="24"/>
        </w:rPr>
      </w:pPr>
      <w:r w:rsidRPr="001B731A">
        <w:rPr>
          <w:rFonts w:ascii="Arial" w:hAnsi="Arial" w:cs="Arial"/>
          <w:i/>
          <w:sz w:val="24"/>
          <w:szCs w:val="24"/>
        </w:rPr>
        <w:t>$5.141.642 por concepto de indemnización por despido indirecto.”.</w:t>
      </w:r>
    </w:p>
    <w:p w:rsidR="00C97DEA" w:rsidRPr="001B731A" w:rsidRDefault="00C97DEA" w:rsidP="001B731A">
      <w:pPr>
        <w:tabs>
          <w:tab w:val="left" w:pos="8647"/>
          <w:tab w:val="left" w:pos="9356"/>
        </w:tabs>
        <w:spacing w:line="288" w:lineRule="auto"/>
        <w:ind w:left="567"/>
        <w:jc w:val="both"/>
        <w:rPr>
          <w:rFonts w:ascii="Arial" w:hAnsi="Arial" w:cs="Arial"/>
          <w:i/>
          <w:sz w:val="24"/>
          <w:szCs w:val="24"/>
        </w:rPr>
      </w:pPr>
    </w:p>
    <w:p w:rsidR="00C97DEA" w:rsidRPr="001B731A" w:rsidRDefault="00C97DEA" w:rsidP="001B731A">
      <w:pPr>
        <w:widowControl w:val="0"/>
        <w:autoSpaceDE w:val="0"/>
        <w:autoSpaceDN w:val="0"/>
        <w:adjustRightInd w:val="0"/>
        <w:spacing w:line="288" w:lineRule="auto"/>
        <w:jc w:val="both"/>
        <w:rPr>
          <w:rFonts w:ascii="Arial" w:hAnsi="Arial" w:cs="Arial"/>
          <w:sz w:val="24"/>
          <w:szCs w:val="24"/>
        </w:rPr>
      </w:pPr>
      <w:r w:rsidRPr="001B731A">
        <w:rPr>
          <w:rFonts w:ascii="Arial" w:hAnsi="Arial" w:cs="Arial"/>
          <w:b/>
          <w:sz w:val="24"/>
          <w:szCs w:val="24"/>
        </w:rPr>
        <w:t xml:space="preserve">SEGUNDO. </w:t>
      </w:r>
      <w:r w:rsidR="00E63193" w:rsidRPr="001B731A">
        <w:rPr>
          <w:rFonts w:ascii="Arial" w:hAnsi="Arial" w:cs="Arial"/>
          <w:b/>
          <w:sz w:val="24"/>
          <w:szCs w:val="24"/>
        </w:rPr>
        <w:t xml:space="preserve">CONFIRMAR </w:t>
      </w:r>
      <w:r w:rsidR="00E63193" w:rsidRPr="001B731A">
        <w:rPr>
          <w:rFonts w:ascii="Arial" w:hAnsi="Arial" w:cs="Arial"/>
          <w:sz w:val="24"/>
          <w:szCs w:val="24"/>
        </w:rPr>
        <w:t>en todo lo demás la sentencia recurrida.</w:t>
      </w:r>
    </w:p>
    <w:p w:rsidR="00C97DEA" w:rsidRPr="001B731A" w:rsidRDefault="00C97DEA" w:rsidP="001B731A">
      <w:pPr>
        <w:widowControl w:val="0"/>
        <w:autoSpaceDE w:val="0"/>
        <w:autoSpaceDN w:val="0"/>
        <w:adjustRightInd w:val="0"/>
        <w:spacing w:line="288" w:lineRule="auto"/>
        <w:jc w:val="both"/>
        <w:rPr>
          <w:rFonts w:ascii="Arial" w:hAnsi="Arial" w:cs="Arial"/>
          <w:sz w:val="24"/>
          <w:szCs w:val="24"/>
        </w:rPr>
      </w:pPr>
    </w:p>
    <w:p w:rsidR="00C97DEA" w:rsidRPr="001B731A" w:rsidRDefault="00C97DEA" w:rsidP="001B731A">
      <w:pPr>
        <w:widowControl w:val="0"/>
        <w:autoSpaceDE w:val="0"/>
        <w:autoSpaceDN w:val="0"/>
        <w:adjustRightInd w:val="0"/>
        <w:spacing w:line="288" w:lineRule="auto"/>
        <w:jc w:val="both"/>
        <w:rPr>
          <w:rFonts w:ascii="Arial" w:hAnsi="Arial" w:cs="Arial"/>
          <w:sz w:val="24"/>
          <w:szCs w:val="24"/>
        </w:rPr>
      </w:pPr>
      <w:r w:rsidRPr="001B731A">
        <w:rPr>
          <w:rFonts w:ascii="Arial" w:hAnsi="Arial" w:cs="Arial"/>
          <w:b/>
          <w:sz w:val="24"/>
          <w:szCs w:val="24"/>
        </w:rPr>
        <w:t xml:space="preserve">TERCERO. CONDENAR </w:t>
      </w:r>
      <w:r w:rsidRPr="001B731A">
        <w:rPr>
          <w:rFonts w:ascii="Arial" w:hAnsi="Arial" w:cs="Arial"/>
          <w:sz w:val="24"/>
          <w:szCs w:val="24"/>
        </w:rPr>
        <w:t xml:space="preserve">en costas </w:t>
      </w:r>
      <w:r w:rsidR="00E63193" w:rsidRPr="001B731A">
        <w:rPr>
          <w:rFonts w:ascii="Arial" w:hAnsi="Arial" w:cs="Arial"/>
          <w:sz w:val="24"/>
          <w:szCs w:val="24"/>
        </w:rPr>
        <w:t>en esta sede a</w:t>
      </w:r>
      <w:r w:rsidRPr="001B731A">
        <w:rPr>
          <w:rFonts w:ascii="Arial" w:hAnsi="Arial" w:cs="Arial"/>
          <w:sz w:val="24"/>
          <w:szCs w:val="24"/>
        </w:rPr>
        <w:t xml:space="preserve"> SI 99 S.A.</w:t>
      </w:r>
      <w:r w:rsidR="00E63193" w:rsidRPr="001B731A">
        <w:rPr>
          <w:rFonts w:ascii="Arial" w:hAnsi="Arial" w:cs="Arial"/>
          <w:sz w:val="24"/>
          <w:szCs w:val="24"/>
        </w:rPr>
        <w:t xml:space="preserve"> y Liberty Seguros S.A.</w:t>
      </w:r>
      <w:r w:rsidRPr="001B731A">
        <w:rPr>
          <w:rFonts w:ascii="Arial" w:hAnsi="Arial" w:cs="Arial"/>
          <w:sz w:val="24"/>
          <w:szCs w:val="24"/>
        </w:rPr>
        <w:t xml:space="preserve"> en un 100% de las causadas.</w:t>
      </w:r>
    </w:p>
    <w:p w:rsidR="00C97DEA" w:rsidRPr="001B731A" w:rsidRDefault="00C97DEA" w:rsidP="001B731A">
      <w:pPr>
        <w:widowControl w:val="0"/>
        <w:autoSpaceDE w:val="0"/>
        <w:autoSpaceDN w:val="0"/>
        <w:adjustRightInd w:val="0"/>
        <w:spacing w:line="288" w:lineRule="auto"/>
        <w:jc w:val="both"/>
        <w:rPr>
          <w:rFonts w:ascii="Arial" w:hAnsi="Arial" w:cs="Arial"/>
          <w:sz w:val="24"/>
          <w:szCs w:val="24"/>
        </w:rPr>
      </w:pPr>
    </w:p>
    <w:p w:rsidR="00C97DEA" w:rsidRPr="001B731A" w:rsidRDefault="00C97DEA" w:rsidP="001B731A">
      <w:pPr>
        <w:spacing w:line="288" w:lineRule="auto"/>
        <w:jc w:val="both"/>
        <w:rPr>
          <w:rFonts w:ascii="Arial" w:hAnsi="Arial" w:cs="Arial"/>
          <w:sz w:val="24"/>
          <w:szCs w:val="24"/>
        </w:rPr>
      </w:pPr>
      <w:r w:rsidRPr="001B731A">
        <w:rPr>
          <w:rFonts w:ascii="Arial" w:hAnsi="Arial" w:cs="Arial"/>
          <w:sz w:val="24"/>
          <w:szCs w:val="24"/>
        </w:rPr>
        <w:t>Notificación surtida en estrados.</w:t>
      </w:r>
    </w:p>
    <w:p w:rsidR="00C97DEA" w:rsidRPr="001B731A" w:rsidRDefault="00C97DEA" w:rsidP="001B731A">
      <w:pPr>
        <w:spacing w:line="288" w:lineRule="auto"/>
        <w:jc w:val="both"/>
        <w:rPr>
          <w:rFonts w:ascii="Arial" w:hAnsi="Arial" w:cs="Arial"/>
          <w:sz w:val="24"/>
          <w:szCs w:val="24"/>
        </w:rPr>
      </w:pPr>
    </w:p>
    <w:p w:rsidR="00C97DEA" w:rsidRPr="001B731A" w:rsidRDefault="00C97DEA" w:rsidP="001B731A">
      <w:pPr>
        <w:spacing w:line="288" w:lineRule="auto"/>
        <w:jc w:val="both"/>
        <w:rPr>
          <w:rFonts w:ascii="Arial" w:hAnsi="Arial" w:cs="Arial"/>
          <w:sz w:val="24"/>
          <w:szCs w:val="24"/>
        </w:rPr>
      </w:pPr>
      <w:r w:rsidRPr="001B731A">
        <w:rPr>
          <w:rFonts w:ascii="Arial" w:hAnsi="Arial" w:cs="Arial"/>
          <w:sz w:val="24"/>
          <w:szCs w:val="24"/>
        </w:rPr>
        <w:t>No siendo otro el objeto de la presente audiencia, se eleva y firma esta acta por las personas que en ella han intervenido.</w:t>
      </w:r>
    </w:p>
    <w:p w:rsidR="00C97DEA" w:rsidRPr="001B731A" w:rsidRDefault="00C97DEA" w:rsidP="001B731A">
      <w:pPr>
        <w:spacing w:line="288" w:lineRule="auto"/>
        <w:jc w:val="both"/>
        <w:rPr>
          <w:rFonts w:ascii="Arial" w:hAnsi="Arial" w:cs="Arial"/>
          <w:sz w:val="24"/>
          <w:szCs w:val="24"/>
        </w:rPr>
      </w:pPr>
    </w:p>
    <w:p w:rsidR="00C97DEA" w:rsidRPr="001B731A" w:rsidRDefault="00C97DEA" w:rsidP="001B731A">
      <w:pPr>
        <w:widowControl w:val="0"/>
        <w:autoSpaceDE w:val="0"/>
        <w:autoSpaceDN w:val="0"/>
        <w:adjustRightInd w:val="0"/>
        <w:spacing w:line="288" w:lineRule="auto"/>
        <w:jc w:val="both"/>
        <w:rPr>
          <w:rFonts w:ascii="Arial" w:hAnsi="Arial" w:cs="Arial"/>
          <w:sz w:val="24"/>
          <w:szCs w:val="24"/>
        </w:rPr>
      </w:pPr>
      <w:r w:rsidRPr="001B731A">
        <w:rPr>
          <w:rFonts w:ascii="Arial" w:hAnsi="Arial" w:cs="Arial"/>
          <w:sz w:val="24"/>
          <w:szCs w:val="24"/>
        </w:rPr>
        <w:t>Quienes Integran la Sala,</w:t>
      </w:r>
    </w:p>
    <w:p w:rsidR="001B731A" w:rsidRPr="00B12846" w:rsidRDefault="001B731A" w:rsidP="001B731A">
      <w:pPr>
        <w:widowControl w:val="0"/>
        <w:autoSpaceDE w:val="0"/>
        <w:autoSpaceDN w:val="0"/>
        <w:adjustRightInd w:val="0"/>
        <w:spacing w:line="288" w:lineRule="auto"/>
        <w:jc w:val="center"/>
        <w:rPr>
          <w:rFonts w:ascii="Arial" w:hAnsi="Arial" w:cs="Arial"/>
          <w:b/>
          <w:sz w:val="24"/>
          <w:szCs w:val="24"/>
        </w:rPr>
      </w:pPr>
    </w:p>
    <w:p w:rsidR="001B731A" w:rsidRPr="00B12846" w:rsidRDefault="001B731A" w:rsidP="001B731A">
      <w:pPr>
        <w:widowControl w:val="0"/>
        <w:autoSpaceDE w:val="0"/>
        <w:autoSpaceDN w:val="0"/>
        <w:adjustRightInd w:val="0"/>
        <w:spacing w:line="288" w:lineRule="auto"/>
        <w:jc w:val="center"/>
        <w:rPr>
          <w:rFonts w:ascii="Arial" w:hAnsi="Arial" w:cs="Arial"/>
          <w:b/>
          <w:sz w:val="24"/>
          <w:szCs w:val="24"/>
        </w:rPr>
      </w:pPr>
    </w:p>
    <w:p w:rsidR="001B731A" w:rsidRPr="00B12846" w:rsidRDefault="001B731A" w:rsidP="001B731A">
      <w:pPr>
        <w:widowControl w:val="0"/>
        <w:autoSpaceDE w:val="0"/>
        <w:autoSpaceDN w:val="0"/>
        <w:adjustRightInd w:val="0"/>
        <w:spacing w:line="288" w:lineRule="auto"/>
        <w:jc w:val="center"/>
        <w:rPr>
          <w:rFonts w:ascii="Arial" w:hAnsi="Arial" w:cs="Arial"/>
          <w:b/>
          <w:sz w:val="24"/>
          <w:szCs w:val="24"/>
        </w:rPr>
      </w:pPr>
    </w:p>
    <w:p w:rsidR="001B731A" w:rsidRPr="008D05EC" w:rsidRDefault="001B731A" w:rsidP="001B731A">
      <w:pPr>
        <w:widowControl w:val="0"/>
        <w:autoSpaceDE w:val="0"/>
        <w:autoSpaceDN w:val="0"/>
        <w:adjustRightInd w:val="0"/>
        <w:spacing w:line="288" w:lineRule="auto"/>
        <w:jc w:val="center"/>
        <w:rPr>
          <w:rFonts w:ascii="Arial" w:hAnsi="Arial" w:cs="Arial"/>
          <w:b/>
          <w:sz w:val="22"/>
          <w:szCs w:val="24"/>
        </w:rPr>
      </w:pPr>
      <w:r w:rsidRPr="008D05EC">
        <w:rPr>
          <w:rFonts w:ascii="Arial" w:hAnsi="Arial" w:cs="Arial"/>
          <w:b/>
          <w:sz w:val="22"/>
          <w:szCs w:val="24"/>
        </w:rPr>
        <w:t>JULIO CÉSAR SALAZAR MUÑOZ</w:t>
      </w:r>
    </w:p>
    <w:p w:rsidR="001B731A" w:rsidRPr="00B12846" w:rsidRDefault="001B731A" w:rsidP="001B731A">
      <w:pPr>
        <w:widowControl w:val="0"/>
        <w:autoSpaceDE w:val="0"/>
        <w:autoSpaceDN w:val="0"/>
        <w:adjustRightInd w:val="0"/>
        <w:spacing w:line="288" w:lineRule="auto"/>
        <w:jc w:val="center"/>
        <w:rPr>
          <w:rFonts w:ascii="Arial" w:hAnsi="Arial" w:cs="Arial"/>
          <w:sz w:val="24"/>
          <w:szCs w:val="24"/>
        </w:rPr>
      </w:pPr>
      <w:r w:rsidRPr="00B12846">
        <w:rPr>
          <w:rFonts w:ascii="Arial" w:hAnsi="Arial" w:cs="Arial"/>
          <w:sz w:val="24"/>
          <w:szCs w:val="24"/>
        </w:rPr>
        <w:t>Ponente</w:t>
      </w:r>
    </w:p>
    <w:p w:rsidR="001B731A" w:rsidRPr="00B12846" w:rsidRDefault="001B731A" w:rsidP="001B731A">
      <w:pPr>
        <w:widowControl w:val="0"/>
        <w:autoSpaceDE w:val="0"/>
        <w:autoSpaceDN w:val="0"/>
        <w:adjustRightInd w:val="0"/>
        <w:spacing w:line="288" w:lineRule="auto"/>
        <w:jc w:val="center"/>
        <w:rPr>
          <w:rFonts w:ascii="Arial" w:hAnsi="Arial" w:cs="Arial"/>
          <w:sz w:val="24"/>
          <w:szCs w:val="24"/>
        </w:rPr>
      </w:pPr>
    </w:p>
    <w:p w:rsidR="001B731A" w:rsidRPr="00B12846" w:rsidRDefault="001B731A" w:rsidP="001B731A">
      <w:pPr>
        <w:widowControl w:val="0"/>
        <w:autoSpaceDE w:val="0"/>
        <w:autoSpaceDN w:val="0"/>
        <w:adjustRightInd w:val="0"/>
        <w:spacing w:line="288" w:lineRule="auto"/>
        <w:jc w:val="center"/>
        <w:rPr>
          <w:rFonts w:ascii="Arial" w:hAnsi="Arial" w:cs="Arial"/>
          <w:sz w:val="24"/>
          <w:szCs w:val="24"/>
        </w:rPr>
      </w:pPr>
    </w:p>
    <w:p w:rsidR="001B731A" w:rsidRPr="00B12846" w:rsidRDefault="001B731A" w:rsidP="001B731A">
      <w:pPr>
        <w:widowControl w:val="0"/>
        <w:autoSpaceDE w:val="0"/>
        <w:autoSpaceDN w:val="0"/>
        <w:adjustRightInd w:val="0"/>
        <w:spacing w:line="288" w:lineRule="auto"/>
        <w:rPr>
          <w:rFonts w:ascii="Arial" w:hAnsi="Arial" w:cs="Arial"/>
          <w:b/>
          <w:sz w:val="24"/>
          <w:szCs w:val="24"/>
        </w:rPr>
      </w:pPr>
    </w:p>
    <w:p w:rsidR="00AE17AF" w:rsidRDefault="001B731A" w:rsidP="00AE17AF">
      <w:pPr>
        <w:widowControl w:val="0"/>
        <w:autoSpaceDE w:val="0"/>
        <w:autoSpaceDN w:val="0"/>
        <w:adjustRightInd w:val="0"/>
        <w:spacing w:line="288" w:lineRule="auto"/>
        <w:ind w:left="4956" w:hanging="4956"/>
        <w:rPr>
          <w:rFonts w:ascii="Arial" w:hAnsi="Arial" w:cs="Arial"/>
          <w:b/>
          <w:sz w:val="22"/>
          <w:szCs w:val="24"/>
        </w:rPr>
      </w:pPr>
      <w:r w:rsidRPr="004428CB">
        <w:rPr>
          <w:rFonts w:ascii="Arial" w:hAnsi="Arial" w:cs="Arial"/>
          <w:b/>
          <w:sz w:val="22"/>
          <w:szCs w:val="24"/>
        </w:rPr>
        <w:t>FRANCISCO JAVIER TAMAYO TABARES</w:t>
      </w:r>
      <w:r w:rsidRPr="004428CB">
        <w:rPr>
          <w:rFonts w:ascii="Arial" w:hAnsi="Arial" w:cs="Arial"/>
          <w:b/>
          <w:sz w:val="22"/>
          <w:szCs w:val="24"/>
        </w:rPr>
        <w:tab/>
        <w:t xml:space="preserve"> </w:t>
      </w:r>
      <w:r>
        <w:rPr>
          <w:rFonts w:ascii="Arial" w:hAnsi="Arial" w:cs="Arial"/>
          <w:b/>
          <w:sz w:val="22"/>
          <w:szCs w:val="24"/>
        </w:rPr>
        <w:t xml:space="preserve">   </w:t>
      </w:r>
      <w:r w:rsidRPr="004428CB">
        <w:rPr>
          <w:rFonts w:ascii="Arial" w:hAnsi="Arial" w:cs="Arial"/>
          <w:b/>
          <w:sz w:val="22"/>
          <w:szCs w:val="24"/>
        </w:rPr>
        <w:t xml:space="preserve">   ANA LUCÍA CAICEDO CALDERÓN</w:t>
      </w:r>
    </w:p>
    <w:p w:rsidR="00651454" w:rsidRPr="00AE17AF" w:rsidRDefault="001B731A" w:rsidP="00AE17AF">
      <w:pPr>
        <w:widowControl w:val="0"/>
        <w:autoSpaceDE w:val="0"/>
        <w:autoSpaceDN w:val="0"/>
        <w:adjustRightInd w:val="0"/>
        <w:spacing w:line="288" w:lineRule="auto"/>
        <w:ind w:left="5664" w:firstLine="708"/>
        <w:rPr>
          <w:rFonts w:ascii="Arial" w:hAnsi="Arial" w:cs="Arial"/>
          <w:b/>
          <w:sz w:val="22"/>
          <w:szCs w:val="24"/>
        </w:rPr>
      </w:pPr>
      <w:r>
        <w:rPr>
          <w:rFonts w:ascii="Arial" w:hAnsi="Arial" w:cs="Arial"/>
          <w:sz w:val="24"/>
          <w:szCs w:val="24"/>
        </w:rPr>
        <w:t xml:space="preserve">    </w:t>
      </w:r>
      <w:r w:rsidRPr="00B12846">
        <w:rPr>
          <w:rFonts w:ascii="Arial" w:hAnsi="Arial" w:cs="Arial"/>
          <w:sz w:val="24"/>
          <w:szCs w:val="24"/>
        </w:rPr>
        <w:t>Impedida</w:t>
      </w:r>
    </w:p>
    <w:sectPr w:rsidR="00651454" w:rsidRPr="00AE17AF" w:rsidSect="001B731A">
      <w:headerReference w:type="even" r:id="rId6"/>
      <w:headerReference w:type="default" r:id="rId7"/>
      <w:footerReference w:type="even" r:id="rId8"/>
      <w:footerReference w:type="default" r:id="rId9"/>
      <w:headerReference w:type="first" r:id="rId10"/>
      <w:footerReference w:type="first" r:id="rId11"/>
      <w:pgSz w:w="12242" w:h="18722" w:code="12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77" w:rsidRDefault="00996D77" w:rsidP="00651454">
      <w:r>
        <w:separator/>
      </w:r>
    </w:p>
  </w:endnote>
  <w:endnote w:type="continuationSeparator" w:id="0">
    <w:p w:rsidR="00996D77" w:rsidRDefault="00996D77" w:rsidP="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61" w:rsidRDefault="006D1D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C3" w:rsidRPr="00646579" w:rsidRDefault="003372C3">
    <w:pPr>
      <w:pStyle w:val="Piedepgina"/>
      <w:jc w:val="right"/>
      <w:rPr>
        <w:rFonts w:ascii="Arial" w:hAnsi="Arial" w:cs="Arial"/>
        <w:sz w:val="18"/>
      </w:rPr>
    </w:pPr>
    <w:r w:rsidRPr="00646579">
      <w:rPr>
        <w:rFonts w:ascii="Arial" w:hAnsi="Arial" w:cs="Arial"/>
        <w:sz w:val="18"/>
      </w:rPr>
      <w:fldChar w:fldCharType="begin"/>
    </w:r>
    <w:r w:rsidRPr="00646579">
      <w:rPr>
        <w:rFonts w:ascii="Arial" w:hAnsi="Arial" w:cs="Arial"/>
        <w:sz w:val="18"/>
      </w:rPr>
      <w:instrText xml:space="preserve"> PAGE   \* MERGEFORMAT </w:instrText>
    </w:r>
    <w:r w:rsidRPr="00646579">
      <w:rPr>
        <w:rFonts w:ascii="Arial" w:hAnsi="Arial" w:cs="Arial"/>
        <w:sz w:val="18"/>
      </w:rPr>
      <w:fldChar w:fldCharType="separate"/>
    </w:r>
    <w:r w:rsidR="00BF41B9">
      <w:rPr>
        <w:rFonts w:ascii="Arial" w:hAnsi="Arial" w:cs="Arial"/>
        <w:noProof/>
        <w:sz w:val="18"/>
      </w:rPr>
      <w:t>2</w:t>
    </w:r>
    <w:r w:rsidRPr="00646579">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61" w:rsidRDefault="006D1D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77" w:rsidRDefault="00996D77" w:rsidP="00651454">
      <w:r>
        <w:separator/>
      </w:r>
    </w:p>
  </w:footnote>
  <w:footnote w:type="continuationSeparator" w:id="0">
    <w:p w:rsidR="00996D77" w:rsidRDefault="00996D77" w:rsidP="006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61" w:rsidRDefault="006D1D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61" w:rsidRPr="00137A2A" w:rsidRDefault="006D1D61" w:rsidP="006D1D61">
    <w:pPr>
      <w:tabs>
        <w:tab w:val="center" w:pos="4419"/>
        <w:tab w:val="right" w:pos="8838"/>
      </w:tabs>
      <w:spacing w:after="200" w:line="276" w:lineRule="auto"/>
      <w:ind w:right="360"/>
      <w:jc w:val="both"/>
      <w:rPr>
        <w:rFonts w:ascii="Arial Narrow" w:eastAsia="Calibri" w:hAnsi="Arial Narrow" w:cs="Tahoma"/>
        <w:bCs/>
        <w:color w:val="FF0000"/>
        <w:sz w:val="18"/>
        <w:szCs w:val="18"/>
        <w:lang w:val="es-CO" w:eastAsia="en-US"/>
      </w:rPr>
    </w:pPr>
    <w:r w:rsidRPr="00137A2A">
      <w:rPr>
        <w:rFonts w:ascii="Arial Narrow" w:eastAsia="Calibri" w:hAnsi="Arial Narrow" w:cs="Tahoma"/>
        <w:bCs/>
        <w:color w:val="FF0000"/>
        <w:sz w:val="18"/>
        <w:szCs w:val="18"/>
        <w:lang w:val="es-CO" w:eastAsia="en-US"/>
      </w:rPr>
      <w:t xml:space="preserve">El siguiente es el documento presentado por </w:t>
    </w:r>
    <w:r w:rsidRPr="00137A2A">
      <w:rPr>
        <w:rFonts w:ascii="Arial Narrow" w:eastAsia="Calibri" w:hAnsi="Arial Narrow"/>
        <w:bCs/>
        <w:color w:val="FF0000"/>
        <w:sz w:val="18"/>
        <w:szCs w:val="18"/>
        <w:lang w:val="es-CO" w:eastAsia="en-US"/>
      </w:rPr>
      <w:t>el</w:t>
    </w:r>
    <w:r w:rsidRPr="00137A2A">
      <w:rPr>
        <w:rFonts w:ascii="Arial Narrow" w:eastAsia="Calibri" w:hAnsi="Arial Narrow" w:cs="Tahoma"/>
        <w:bCs/>
        <w:color w:val="FF0000"/>
        <w:sz w:val="18"/>
        <w:szCs w:val="18"/>
        <w:lang w:val="es-CO" w:eastAsia="en-US"/>
      </w:rPr>
      <w:t xml:space="preserve"> Magistrad</w:t>
    </w:r>
    <w:r w:rsidRPr="00137A2A">
      <w:rPr>
        <w:rFonts w:ascii="Arial Narrow" w:eastAsia="Calibri" w:hAnsi="Arial Narrow"/>
        <w:bCs/>
        <w:color w:val="FF0000"/>
        <w:sz w:val="18"/>
        <w:szCs w:val="18"/>
        <w:lang w:val="es-CO" w:eastAsia="en-US"/>
      </w:rPr>
      <w:t>o</w:t>
    </w:r>
    <w:r w:rsidRPr="00137A2A">
      <w:rPr>
        <w:rFonts w:ascii="Arial Narrow" w:eastAsia="Calibri" w:hAnsi="Arial Narrow" w:cs="Tahoma"/>
        <w:bCs/>
        <w:color w:val="FF0000"/>
        <w:sz w:val="18"/>
        <w:szCs w:val="18"/>
        <w:lang w:val="es-CO" w:eastAsia="en-US"/>
      </w:rPr>
      <w:t xml:space="preserve"> ponente que sirvió de base para proferir en audiencia la sentencia de segunda instancia dentro del pr</w:t>
    </w:r>
    <w:r w:rsidRPr="00137A2A">
      <w:rPr>
        <w:rFonts w:ascii="Arial Narrow" w:eastAsia="Calibri" w:hAnsi="Arial Narrow"/>
        <w:bCs/>
        <w:color w:val="FF0000"/>
        <w:sz w:val="18"/>
        <w:szCs w:val="18"/>
        <w:lang w:val="es-CO" w:eastAsia="en-US"/>
      </w:rPr>
      <w:t>esente proceso</w:t>
    </w:r>
    <w:r w:rsidRPr="00137A2A">
      <w:rPr>
        <w:rFonts w:ascii="Arial Narrow" w:eastAsia="Calibri" w:hAnsi="Arial Narrow" w:cs="Tahoma"/>
        <w:bCs/>
        <w:color w:val="FF0000"/>
        <w:sz w:val="18"/>
        <w:szCs w:val="18"/>
        <w:lang w:val="es-CO" w:eastAsia="en-US"/>
      </w:rPr>
      <w:t>. El contenido total y fiel de la decisión debe ser verificado en el audio que reposa en la Secretaría.</w:t>
    </w:r>
  </w:p>
  <w:p w:rsidR="003372C3" w:rsidRPr="00646579" w:rsidRDefault="00FE6797" w:rsidP="00646579">
    <w:pPr>
      <w:pStyle w:val="Encabezado"/>
      <w:ind w:right="360"/>
      <w:jc w:val="center"/>
      <w:rPr>
        <w:rFonts w:ascii="Arial" w:hAnsi="Arial" w:cs="Arial"/>
        <w:sz w:val="16"/>
        <w:szCs w:val="16"/>
      </w:rPr>
    </w:pPr>
    <w:r>
      <w:rPr>
        <w:rFonts w:ascii="Arial" w:hAnsi="Arial" w:cs="Arial"/>
        <w:sz w:val="16"/>
        <w:szCs w:val="16"/>
      </w:rPr>
      <w:t xml:space="preserve">Duberney Castaño Romero </w:t>
    </w:r>
    <w:r w:rsidRPr="00EE3188">
      <w:rPr>
        <w:rFonts w:ascii="Arial" w:hAnsi="Arial" w:cs="Arial"/>
        <w:sz w:val="16"/>
        <w:szCs w:val="16"/>
      </w:rPr>
      <w:t xml:space="preserve">Vs </w:t>
    </w:r>
    <w:r>
      <w:rPr>
        <w:rFonts w:ascii="Arial" w:hAnsi="Arial" w:cs="Arial"/>
        <w:sz w:val="16"/>
        <w:szCs w:val="16"/>
      </w:rPr>
      <w:t>Promasivo S.A., Megabús S.A. y otros. Rad. 66001-31-05-005-2016-00339</w:t>
    </w:r>
    <w:r w:rsidRPr="00EE3188">
      <w:rPr>
        <w:rFonts w:ascii="Arial" w:hAnsi="Arial" w:cs="Arial"/>
        <w:sz w:val="16"/>
        <w:szCs w:val="16"/>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61" w:rsidRPr="00646579" w:rsidRDefault="006D1D61" w:rsidP="006465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4"/>
    <w:rsid w:val="00002096"/>
    <w:rsid w:val="000050F4"/>
    <w:rsid w:val="00005849"/>
    <w:rsid w:val="00012CDE"/>
    <w:rsid w:val="00025E38"/>
    <w:rsid w:val="00043E50"/>
    <w:rsid w:val="00054512"/>
    <w:rsid w:val="00062994"/>
    <w:rsid w:val="00063787"/>
    <w:rsid w:val="000674B6"/>
    <w:rsid w:val="0007081C"/>
    <w:rsid w:val="00077DF5"/>
    <w:rsid w:val="00095682"/>
    <w:rsid w:val="000A243B"/>
    <w:rsid w:val="000A29BD"/>
    <w:rsid w:val="000A46D7"/>
    <w:rsid w:val="000B0B55"/>
    <w:rsid w:val="000B1DD1"/>
    <w:rsid w:val="000B74F7"/>
    <w:rsid w:val="000C688E"/>
    <w:rsid w:val="000E6DCD"/>
    <w:rsid w:val="001110E8"/>
    <w:rsid w:val="00133F2C"/>
    <w:rsid w:val="00155D2F"/>
    <w:rsid w:val="001603E2"/>
    <w:rsid w:val="00161AFD"/>
    <w:rsid w:val="001771AE"/>
    <w:rsid w:val="001826BD"/>
    <w:rsid w:val="001831A0"/>
    <w:rsid w:val="00185B12"/>
    <w:rsid w:val="00190DBB"/>
    <w:rsid w:val="001A4AF0"/>
    <w:rsid w:val="001A7811"/>
    <w:rsid w:val="001B0306"/>
    <w:rsid w:val="001B5AEA"/>
    <w:rsid w:val="001B731A"/>
    <w:rsid w:val="001B787F"/>
    <w:rsid w:val="001D5B30"/>
    <w:rsid w:val="001F3062"/>
    <w:rsid w:val="001F7C54"/>
    <w:rsid w:val="002178D4"/>
    <w:rsid w:val="002208DF"/>
    <w:rsid w:val="002232C8"/>
    <w:rsid w:val="00224BB4"/>
    <w:rsid w:val="002271D4"/>
    <w:rsid w:val="0024019D"/>
    <w:rsid w:val="002436B2"/>
    <w:rsid w:val="0024538F"/>
    <w:rsid w:val="00245974"/>
    <w:rsid w:val="00246C55"/>
    <w:rsid w:val="00246F92"/>
    <w:rsid w:val="0025082B"/>
    <w:rsid w:val="002519F7"/>
    <w:rsid w:val="00267489"/>
    <w:rsid w:val="0027280D"/>
    <w:rsid w:val="00274096"/>
    <w:rsid w:val="002801C1"/>
    <w:rsid w:val="0028250A"/>
    <w:rsid w:val="002908C3"/>
    <w:rsid w:val="002964E3"/>
    <w:rsid w:val="002A1CBB"/>
    <w:rsid w:val="002A2C87"/>
    <w:rsid w:val="002B0982"/>
    <w:rsid w:val="002B2CB4"/>
    <w:rsid w:val="002C621D"/>
    <w:rsid w:val="002C7F9A"/>
    <w:rsid w:val="002D7A32"/>
    <w:rsid w:val="002E42FF"/>
    <w:rsid w:val="00303E93"/>
    <w:rsid w:val="00310396"/>
    <w:rsid w:val="00317EA3"/>
    <w:rsid w:val="003372C3"/>
    <w:rsid w:val="00337AF2"/>
    <w:rsid w:val="00341321"/>
    <w:rsid w:val="00362FD3"/>
    <w:rsid w:val="003644AC"/>
    <w:rsid w:val="0037551B"/>
    <w:rsid w:val="003763AB"/>
    <w:rsid w:val="00390FEF"/>
    <w:rsid w:val="00392C29"/>
    <w:rsid w:val="0039523C"/>
    <w:rsid w:val="003A4BD7"/>
    <w:rsid w:val="003B00C3"/>
    <w:rsid w:val="003B0C74"/>
    <w:rsid w:val="003B27C8"/>
    <w:rsid w:val="003B3EE3"/>
    <w:rsid w:val="003C44F4"/>
    <w:rsid w:val="003D2C1F"/>
    <w:rsid w:val="003E3E60"/>
    <w:rsid w:val="003E4438"/>
    <w:rsid w:val="003F035B"/>
    <w:rsid w:val="003F412A"/>
    <w:rsid w:val="00405181"/>
    <w:rsid w:val="00407676"/>
    <w:rsid w:val="004144C5"/>
    <w:rsid w:val="00417210"/>
    <w:rsid w:val="004262B8"/>
    <w:rsid w:val="00437C5D"/>
    <w:rsid w:val="00447CD4"/>
    <w:rsid w:val="004737F3"/>
    <w:rsid w:val="00475699"/>
    <w:rsid w:val="00476278"/>
    <w:rsid w:val="00480B1C"/>
    <w:rsid w:val="0049583C"/>
    <w:rsid w:val="0049700F"/>
    <w:rsid w:val="004A0114"/>
    <w:rsid w:val="004A7C11"/>
    <w:rsid w:val="004B7B03"/>
    <w:rsid w:val="004D2BAB"/>
    <w:rsid w:val="004D4BA4"/>
    <w:rsid w:val="004F548D"/>
    <w:rsid w:val="00501D19"/>
    <w:rsid w:val="005034D4"/>
    <w:rsid w:val="005230A9"/>
    <w:rsid w:val="005346E2"/>
    <w:rsid w:val="00557B31"/>
    <w:rsid w:val="0056481C"/>
    <w:rsid w:val="00566D55"/>
    <w:rsid w:val="005743D5"/>
    <w:rsid w:val="005B568B"/>
    <w:rsid w:val="005B57AE"/>
    <w:rsid w:val="005F6BBE"/>
    <w:rsid w:val="005F739E"/>
    <w:rsid w:val="006131EA"/>
    <w:rsid w:val="00627099"/>
    <w:rsid w:val="00633B03"/>
    <w:rsid w:val="00636C66"/>
    <w:rsid w:val="00646579"/>
    <w:rsid w:val="00651454"/>
    <w:rsid w:val="00651DBB"/>
    <w:rsid w:val="00653608"/>
    <w:rsid w:val="00655A47"/>
    <w:rsid w:val="00666642"/>
    <w:rsid w:val="006709B8"/>
    <w:rsid w:val="00682E51"/>
    <w:rsid w:val="00694283"/>
    <w:rsid w:val="006A20BD"/>
    <w:rsid w:val="006A60E0"/>
    <w:rsid w:val="006B7C97"/>
    <w:rsid w:val="006C69CB"/>
    <w:rsid w:val="006D1D61"/>
    <w:rsid w:val="006D37FB"/>
    <w:rsid w:val="006D3956"/>
    <w:rsid w:val="006E1A90"/>
    <w:rsid w:val="006E2EDD"/>
    <w:rsid w:val="006E43BE"/>
    <w:rsid w:val="006E5970"/>
    <w:rsid w:val="006F1375"/>
    <w:rsid w:val="006F4F9F"/>
    <w:rsid w:val="006F5DBD"/>
    <w:rsid w:val="00703CCA"/>
    <w:rsid w:val="007249D1"/>
    <w:rsid w:val="00735D7F"/>
    <w:rsid w:val="00736BDC"/>
    <w:rsid w:val="007658DC"/>
    <w:rsid w:val="00772E7F"/>
    <w:rsid w:val="00773BC2"/>
    <w:rsid w:val="00776CE1"/>
    <w:rsid w:val="007808DA"/>
    <w:rsid w:val="0079382B"/>
    <w:rsid w:val="00797197"/>
    <w:rsid w:val="007A0A38"/>
    <w:rsid w:val="007A2476"/>
    <w:rsid w:val="007E2E0A"/>
    <w:rsid w:val="00800F92"/>
    <w:rsid w:val="00812E74"/>
    <w:rsid w:val="00833011"/>
    <w:rsid w:val="0083682F"/>
    <w:rsid w:val="0085208E"/>
    <w:rsid w:val="008671E9"/>
    <w:rsid w:val="0088105A"/>
    <w:rsid w:val="00883427"/>
    <w:rsid w:val="0089149B"/>
    <w:rsid w:val="00894050"/>
    <w:rsid w:val="008A71FE"/>
    <w:rsid w:val="008C7774"/>
    <w:rsid w:val="008E5FB5"/>
    <w:rsid w:val="00905787"/>
    <w:rsid w:val="009148BB"/>
    <w:rsid w:val="00922D44"/>
    <w:rsid w:val="00937568"/>
    <w:rsid w:val="009464A8"/>
    <w:rsid w:val="00947D07"/>
    <w:rsid w:val="00950356"/>
    <w:rsid w:val="00952EEF"/>
    <w:rsid w:val="009566DF"/>
    <w:rsid w:val="009663BB"/>
    <w:rsid w:val="00970A3A"/>
    <w:rsid w:val="009743B8"/>
    <w:rsid w:val="009913ED"/>
    <w:rsid w:val="00996D77"/>
    <w:rsid w:val="009A001D"/>
    <w:rsid w:val="009B6122"/>
    <w:rsid w:val="009C59EC"/>
    <w:rsid w:val="009C7850"/>
    <w:rsid w:val="009E1A2C"/>
    <w:rsid w:val="009E6FC1"/>
    <w:rsid w:val="009F672F"/>
    <w:rsid w:val="00A22B97"/>
    <w:rsid w:val="00A24840"/>
    <w:rsid w:val="00A30DDF"/>
    <w:rsid w:val="00A423F6"/>
    <w:rsid w:val="00A5122C"/>
    <w:rsid w:val="00A563AD"/>
    <w:rsid w:val="00A626D1"/>
    <w:rsid w:val="00A62A20"/>
    <w:rsid w:val="00A72BCE"/>
    <w:rsid w:val="00AA13F0"/>
    <w:rsid w:val="00AA63D5"/>
    <w:rsid w:val="00AC6AA5"/>
    <w:rsid w:val="00AD7288"/>
    <w:rsid w:val="00AD77BB"/>
    <w:rsid w:val="00AE17AF"/>
    <w:rsid w:val="00AF1242"/>
    <w:rsid w:val="00AF2A59"/>
    <w:rsid w:val="00AF6FF5"/>
    <w:rsid w:val="00AF709D"/>
    <w:rsid w:val="00B233EB"/>
    <w:rsid w:val="00B32DFE"/>
    <w:rsid w:val="00B33F4D"/>
    <w:rsid w:val="00B46C51"/>
    <w:rsid w:val="00B47A89"/>
    <w:rsid w:val="00B528E3"/>
    <w:rsid w:val="00B53AF4"/>
    <w:rsid w:val="00B608F1"/>
    <w:rsid w:val="00B805AB"/>
    <w:rsid w:val="00BA208A"/>
    <w:rsid w:val="00BB37C4"/>
    <w:rsid w:val="00BC2B1F"/>
    <w:rsid w:val="00BC7A09"/>
    <w:rsid w:val="00BE0FBC"/>
    <w:rsid w:val="00BF41B9"/>
    <w:rsid w:val="00C03076"/>
    <w:rsid w:val="00C150BE"/>
    <w:rsid w:val="00C37198"/>
    <w:rsid w:val="00C4794D"/>
    <w:rsid w:val="00C50538"/>
    <w:rsid w:val="00C65207"/>
    <w:rsid w:val="00C677FD"/>
    <w:rsid w:val="00C70BEC"/>
    <w:rsid w:val="00C77A0B"/>
    <w:rsid w:val="00C80CDF"/>
    <w:rsid w:val="00C97DEA"/>
    <w:rsid w:val="00CA0429"/>
    <w:rsid w:val="00CA0E8A"/>
    <w:rsid w:val="00CB0B07"/>
    <w:rsid w:val="00CC0887"/>
    <w:rsid w:val="00CC0DDB"/>
    <w:rsid w:val="00CC2050"/>
    <w:rsid w:val="00CC4936"/>
    <w:rsid w:val="00CC68C3"/>
    <w:rsid w:val="00CD4585"/>
    <w:rsid w:val="00CE335D"/>
    <w:rsid w:val="00CE3467"/>
    <w:rsid w:val="00CF3E7C"/>
    <w:rsid w:val="00CF5693"/>
    <w:rsid w:val="00CF7D6C"/>
    <w:rsid w:val="00D01480"/>
    <w:rsid w:val="00D06600"/>
    <w:rsid w:val="00D104F2"/>
    <w:rsid w:val="00D15E2A"/>
    <w:rsid w:val="00D5246B"/>
    <w:rsid w:val="00D7148D"/>
    <w:rsid w:val="00D72F47"/>
    <w:rsid w:val="00D81A7E"/>
    <w:rsid w:val="00D9568B"/>
    <w:rsid w:val="00DA7BCD"/>
    <w:rsid w:val="00DC1123"/>
    <w:rsid w:val="00DC36EC"/>
    <w:rsid w:val="00DE19FF"/>
    <w:rsid w:val="00DF06C2"/>
    <w:rsid w:val="00DF6B91"/>
    <w:rsid w:val="00E04D73"/>
    <w:rsid w:val="00E112C0"/>
    <w:rsid w:val="00E11772"/>
    <w:rsid w:val="00E127D2"/>
    <w:rsid w:val="00E25986"/>
    <w:rsid w:val="00E26C3A"/>
    <w:rsid w:val="00E27689"/>
    <w:rsid w:val="00E3368B"/>
    <w:rsid w:val="00E4522B"/>
    <w:rsid w:val="00E4608B"/>
    <w:rsid w:val="00E63193"/>
    <w:rsid w:val="00E917EB"/>
    <w:rsid w:val="00E93DA7"/>
    <w:rsid w:val="00EA153E"/>
    <w:rsid w:val="00EB3058"/>
    <w:rsid w:val="00EC1437"/>
    <w:rsid w:val="00ED1F39"/>
    <w:rsid w:val="00ED3F28"/>
    <w:rsid w:val="00EE09AC"/>
    <w:rsid w:val="00EE32A3"/>
    <w:rsid w:val="00EF4F9E"/>
    <w:rsid w:val="00F10B25"/>
    <w:rsid w:val="00F25DDB"/>
    <w:rsid w:val="00F35601"/>
    <w:rsid w:val="00F3708E"/>
    <w:rsid w:val="00F53A35"/>
    <w:rsid w:val="00F74AD7"/>
    <w:rsid w:val="00F80737"/>
    <w:rsid w:val="00F80C63"/>
    <w:rsid w:val="00F915D7"/>
    <w:rsid w:val="00FA69F7"/>
    <w:rsid w:val="00FB05B7"/>
    <w:rsid w:val="00FB6D46"/>
    <w:rsid w:val="00FC4CEA"/>
    <w:rsid w:val="00FD2197"/>
    <w:rsid w:val="00FD6E31"/>
    <w:rsid w:val="00FE079F"/>
    <w:rsid w:val="00FE1732"/>
    <w:rsid w:val="00FE1AC4"/>
    <w:rsid w:val="00FE677A"/>
    <w:rsid w:val="00FE6797"/>
    <w:rsid w:val="00FF420D"/>
    <w:rsid w:val="00FF6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ABAE1-D7CA-41B8-82AD-8D032FDC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5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1454"/>
    <w:pPr>
      <w:tabs>
        <w:tab w:val="center" w:pos="4252"/>
        <w:tab w:val="right" w:pos="8504"/>
      </w:tabs>
    </w:pPr>
  </w:style>
  <w:style w:type="character" w:customStyle="1" w:styleId="EncabezadoCar">
    <w:name w:val="Encabezado Car"/>
    <w:basedOn w:val="Fuentedeprrafopredeter"/>
    <w:link w:val="Encabezado"/>
    <w:uiPriority w:val="99"/>
    <w:rsid w:val="0065145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51454"/>
    <w:pPr>
      <w:tabs>
        <w:tab w:val="center" w:pos="4419"/>
        <w:tab w:val="right" w:pos="8838"/>
      </w:tabs>
    </w:pPr>
  </w:style>
  <w:style w:type="character" w:customStyle="1" w:styleId="PiedepginaCar">
    <w:name w:val="Pie de página Car"/>
    <w:basedOn w:val="Fuentedeprrafopredeter"/>
    <w:link w:val="Piedepgina"/>
    <w:rsid w:val="00651454"/>
    <w:rPr>
      <w:rFonts w:ascii="Times New Roman" w:eastAsia="Times New Roman" w:hAnsi="Times New Roman" w:cs="Times New Roman"/>
      <w:sz w:val="20"/>
      <w:szCs w:val="20"/>
      <w:lang w:val="es-ES_tradnl" w:eastAsia="es-ES"/>
    </w:rPr>
  </w:style>
  <w:style w:type="paragraph" w:styleId="Textodebloque">
    <w:name w:val="Block Text"/>
    <w:basedOn w:val="Normal"/>
    <w:semiHidden/>
    <w:unhideWhenUsed/>
    <w:rsid w:val="00651454"/>
    <w:pPr>
      <w:spacing w:line="360" w:lineRule="auto"/>
      <w:ind w:left="567" w:right="567"/>
      <w:jc w:val="both"/>
    </w:pPr>
    <w:rPr>
      <w:rFonts w:ascii="Arial" w:hAnsi="Arial"/>
      <w:i/>
      <w:sz w:val="24"/>
    </w:rPr>
  </w:style>
  <w:style w:type="paragraph" w:styleId="Prrafodelista">
    <w:name w:val="List Paragraph"/>
    <w:basedOn w:val="Normal"/>
    <w:uiPriority w:val="34"/>
    <w:qFormat/>
    <w:rsid w:val="000B1DD1"/>
    <w:pPr>
      <w:ind w:left="720"/>
      <w:contextualSpacing/>
    </w:pPr>
  </w:style>
  <w:style w:type="paragraph" w:styleId="Sinespaciado">
    <w:name w:val="No Spacing"/>
    <w:uiPriority w:val="1"/>
    <w:qFormat/>
    <w:rsid w:val="0027280D"/>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9</Pages>
  <Words>3805</Words>
  <Characters>20929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Henry Lora Rodriguez</cp:lastModifiedBy>
  <cp:revision>27</cp:revision>
  <dcterms:created xsi:type="dcterms:W3CDTF">2019-03-12T14:15:00Z</dcterms:created>
  <dcterms:modified xsi:type="dcterms:W3CDTF">2019-06-26T15:43:00Z</dcterms:modified>
</cp:coreProperties>
</file>