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7F9" w:rsidRPr="00B30EFC" w:rsidRDefault="000507F9" w:rsidP="000507F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507F9" w:rsidRDefault="000507F9" w:rsidP="000507F9">
      <w:pPr>
        <w:jc w:val="both"/>
        <w:rPr>
          <w:rFonts w:ascii="Arial" w:hAnsi="Arial" w:cs="Arial"/>
          <w:lang w:val="es-419"/>
        </w:rPr>
      </w:pPr>
    </w:p>
    <w:p w:rsidR="000507F9" w:rsidRPr="00ED290D" w:rsidRDefault="000507F9" w:rsidP="00ED290D">
      <w:pPr>
        <w:jc w:val="both"/>
        <w:rPr>
          <w:rFonts w:ascii="Arial" w:hAnsi="Arial" w:cs="Arial"/>
          <w:lang w:val="es-419"/>
        </w:rPr>
      </w:pPr>
      <w:r w:rsidRPr="00ED290D">
        <w:rPr>
          <w:rFonts w:ascii="Arial" w:hAnsi="Arial" w:cs="Arial"/>
          <w:lang w:val="es-419"/>
        </w:rPr>
        <w:t>Radicación Nro.</w:t>
      </w:r>
      <w:r w:rsidR="00ED290D">
        <w:rPr>
          <w:rFonts w:ascii="Arial" w:hAnsi="Arial" w:cs="Arial"/>
          <w:lang w:val="es-CO"/>
        </w:rPr>
        <w:t>:</w:t>
      </w:r>
      <w:r w:rsidR="00ED290D">
        <w:rPr>
          <w:rFonts w:ascii="Arial" w:hAnsi="Arial" w:cs="Arial"/>
          <w:lang w:val="es-419"/>
        </w:rPr>
        <w:tab/>
      </w:r>
      <w:r w:rsidRPr="00ED290D">
        <w:rPr>
          <w:rFonts w:ascii="Arial" w:hAnsi="Arial" w:cs="Arial"/>
          <w:lang w:val="es-419"/>
        </w:rPr>
        <w:t>66001-31-05-002-2018-00709-01</w:t>
      </w:r>
    </w:p>
    <w:p w:rsidR="000507F9" w:rsidRPr="00ED290D" w:rsidRDefault="00ED290D" w:rsidP="00ED290D">
      <w:pPr>
        <w:jc w:val="both"/>
        <w:rPr>
          <w:rFonts w:ascii="Arial" w:hAnsi="Arial" w:cs="Arial"/>
          <w:lang w:val="es-419"/>
        </w:rPr>
      </w:pPr>
      <w:r>
        <w:rPr>
          <w:rFonts w:ascii="Arial" w:hAnsi="Arial" w:cs="Arial"/>
          <w:lang w:val="es-419"/>
        </w:rPr>
        <w:t>Proceso</w:t>
      </w:r>
      <w:r w:rsidR="000507F9" w:rsidRPr="00ED290D">
        <w:rPr>
          <w:rFonts w:ascii="Arial" w:hAnsi="Arial" w:cs="Arial"/>
          <w:lang w:val="es-419"/>
        </w:rPr>
        <w:t>:</w:t>
      </w:r>
      <w:r>
        <w:rPr>
          <w:rFonts w:ascii="Arial" w:hAnsi="Arial" w:cs="Arial"/>
          <w:lang w:val="es-419"/>
        </w:rPr>
        <w:tab/>
      </w:r>
      <w:r w:rsidR="000507F9" w:rsidRPr="00ED290D">
        <w:rPr>
          <w:rFonts w:ascii="Arial" w:hAnsi="Arial" w:cs="Arial"/>
          <w:lang w:val="es-419"/>
        </w:rPr>
        <w:tab/>
        <w:t xml:space="preserve">Acción de Tutela </w:t>
      </w:r>
    </w:p>
    <w:p w:rsidR="000507F9" w:rsidRPr="00ED290D" w:rsidRDefault="00ED290D" w:rsidP="00ED290D">
      <w:pPr>
        <w:jc w:val="both"/>
        <w:rPr>
          <w:rFonts w:ascii="Arial" w:hAnsi="Arial" w:cs="Arial"/>
          <w:lang w:val="es-419"/>
        </w:rPr>
      </w:pPr>
      <w:r>
        <w:rPr>
          <w:rFonts w:ascii="Arial" w:hAnsi="Arial" w:cs="Arial"/>
          <w:lang w:val="es-419"/>
        </w:rPr>
        <w:t>Accionante</w:t>
      </w:r>
      <w:r w:rsidR="000507F9" w:rsidRPr="00ED290D">
        <w:rPr>
          <w:rFonts w:ascii="Arial" w:hAnsi="Arial" w:cs="Arial"/>
          <w:lang w:val="es-419"/>
        </w:rPr>
        <w:t>:</w:t>
      </w:r>
      <w:r>
        <w:rPr>
          <w:rFonts w:ascii="Arial" w:hAnsi="Arial" w:cs="Arial"/>
          <w:lang w:val="es-419"/>
        </w:rPr>
        <w:tab/>
      </w:r>
      <w:r w:rsidR="000507F9" w:rsidRPr="00ED290D">
        <w:rPr>
          <w:rFonts w:ascii="Arial" w:hAnsi="Arial" w:cs="Arial"/>
          <w:lang w:val="es-419"/>
        </w:rPr>
        <w:tab/>
        <w:t>Fabio de Jesús Muñoz Muñoz</w:t>
      </w:r>
    </w:p>
    <w:p w:rsidR="000507F9" w:rsidRPr="00ED290D" w:rsidRDefault="000507F9" w:rsidP="00ED290D">
      <w:pPr>
        <w:jc w:val="both"/>
        <w:rPr>
          <w:rFonts w:ascii="Arial" w:hAnsi="Arial" w:cs="Arial"/>
          <w:lang w:val="es-419"/>
        </w:rPr>
      </w:pPr>
      <w:r w:rsidRPr="00ED290D">
        <w:rPr>
          <w:rFonts w:ascii="Arial" w:hAnsi="Arial" w:cs="Arial"/>
          <w:lang w:val="es-419"/>
        </w:rPr>
        <w:t>Accionado:</w:t>
      </w:r>
      <w:r w:rsidR="00ED290D">
        <w:rPr>
          <w:rFonts w:ascii="Arial" w:hAnsi="Arial" w:cs="Arial"/>
          <w:lang w:val="es-419"/>
        </w:rPr>
        <w:tab/>
      </w:r>
      <w:r w:rsidRPr="00ED290D">
        <w:rPr>
          <w:rFonts w:ascii="Arial" w:hAnsi="Arial" w:cs="Arial"/>
          <w:lang w:val="es-419"/>
        </w:rPr>
        <w:tab/>
        <w:t>Colpensiones</w:t>
      </w:r>
    </w:p>
    <w:p w:rsidR="000507F9" w:rsidRPr="00ED290D" w:rsidRDefault="000507F9" w:rsidP="00ED290D">
      <w:pPr>
        <w:jc w:val="both"/>
        <w:rPr>
          <w:rFonts w:ascii="Arial" w:hAnsi="Arial" w:cs="Arial"/>
          <w:lang w:val="es-419"/>
        </w:rPr>
      </w:pPr>
      <w:r w:rsidRPr="00ED290D">
        <w:rPr>
          <w:rFonts w:ascii="Arial" w:hAnsi="Arial" w:cs="Arial"/>
          <w:lang w:val="es-419"/>
        </w:rPr>
        <w:t>Juzgado de Origen</w:t>
      </w:r>
      <w:r w:rsidR="00ED290D">
        <w:rPr>
          <w:rFonts w:ascii="Arial" w:hAnsi="Arial" w:cs="Arial"/>
          <w:lang w:val="es-CO"/>
        </w:rPr>
        <w:t>:</w:t>
      </w:r>
      <w:r w:rsidRPr="00ED290D">
        <w:rPr>
          <w:rFonts w:ascii="Arial" w:hAnsi="Arial" w:cs="Arial"/>
          <w:lang w:val="es-419"/>
        </w:rPr>
        <w:tab/>
        <w:t xml:space="preserve">Segundo Laboral del Circuito </w:t>
      </w:r>
    </w:p>
    <w:p w:rsidR="000507F9" w:rsidRPr="00ED290D" w:rsidRDefault="000507F9" w:rsidP="00ED290D">
      <w:pPr>
        <w:jc w:val="both"/>
        <w:rPr>
          <w:rFonts w:ascii="Arial" w:hAnsi="Arial" w:cs="Arial"/>
          <w:lang w:val="es-419"/>
        </w:rPr>
      </w:pPr>
      <w:r w:rsidRPr="00ED290D">
        <w:rPr>
          <w:rFonts w:ascii="Arial" w:hAnsi="Arial" w:cs="Arial"/>
          <w:lang w:val="es-419"/>
        </w:rPr>
        <w:t>Providencia</w:t>
      </w:r>
      <w:r w:rsidR="00ED290D">
        <w:rPr>
          <w:rFonts w:ascii="Arial" w:hAnsi="Arial" w:cs="Arial"/>
          <w:lang w:val="es-CO"/>
        </w:rPr>
        <w:t>:</w:t>
      </w:r>
      <w:r w:rsidRPr="00ED290D">
        <w:rPr>
          <w:rFonts w:ascii="Arial" w:hAnsi="Arial" w:cs="Arial"/>
          <w:lang w:val="es-419"/>
        </w:rPr>
        <w:tab/>
      </w:r>
      <w:r w:rsidRPr="00ED290D">
        <w:rPr>
          <w:rFonts w:ascii="Arial" w:hAnsi="Arial" w:cs="Arial"/>
          <w:lang w:val="es-419"/>
        </w:rPr>
        <w:tab/>
        <w:t>Segunda Instancia</w:t>
      </w:r>
    </w:p>
    <w:p w:rsidR="000507F9" w:rsidRPr="00B30EFC" w:rsidRDefault="000507F9" w:rsidP="000507F9">
      <w:pPr>
        <w:jc w:val="both"/>
        <w:rPr>
          <w:rFonts w:ascii="Arial" w:hAnsi="Arial" w:cs="Arial"/>
          <w:lang w:val="es-419"/>
        </w:rPr>
      </w:pPr>
    </w:p>
    <w:p w:rsidR="000507F9" w:rsidRPr="00AF4061" w:rsidRDefault="00ED290D" w:rsidP="000507F9">
      <w:pPr>
        <w:pStyle w:val="Sinespaciado"/>
        <w:jc w:val="both"/>
        <w:rPr>
          <w:rFonts w:ascii="Arial" w:hAnsi="Arial" w:cs="Arial"/>
          <w:b/>
          <w:bCs/>
          <w:iCs/>
          <w:lang w:val="es-CO" w:eastAsia="fr-FR"/>
        </w:rPr>
      </w:pPr>
      <w:r w:rsidRPr="00B30EFC">
        <w:rPr>
          <w:rFonts w:ascii="Arial" w:hAnsi="Arial" w:cs="Arial"/>
          <w:b/>
          <w:bCs/>
          <w:iCs/>
          <w:lang w:val="es-419" w:eastAsia="fr-FR"/>
        </w:rPr>
        <w:t>TEMAS:</w:t>
      </w:r>
      <w:r w:rsidRPr="00B30EFC">
        <w:rPr>
          <w:rFonts w:ascii="Arial" w:hAnsi="Arial" w:cs="Arial"/>
          <w:b/>
          <w:bCs/>
          <w:iCs/>
          <w:lang w:val="es-419" w:eastAsia="fr-FR"/>
        </w:rPr>
        <w:tab/>
      </w:r>
      <w:r w:rsidR="00AF4061">
        <w:rPr>
          <w:rFonts w:ascii="Arial" w:hAnsi="Arial" w:cs="Arial"/>
          <w:b/>
          <w:bCs/>
          <w:iCs/>
          <w:lang w:val="es-CO" w:eastAsia="fr-FR"/>
        </w:rPr>
        <w:t xml:space="preserve">SEGURIDAD SOCIAL / CALIFICACIÓN DE </w:t>
      </w:r>
      <w:r w:rsidRPr="00ED290D">
        <w:rPr>
          <w:rFonts w:ascii="Arial" w:hAnsi="Arial" w:cs="Arial"/>
          <w:b/>
          <w:bCs/>
          <w:iCs/>
          <w:lang w:val="es-419" w:eastAsia="fr-FR"/>
        </w:rPr>
        <w:t>PÉRDIDA DE CAPACIDAD LABORAL</w:t>
      </w:r>
      <w:r w:rsidRPr="00B30EFC">
        <w:rPr>
          <w:rFonts w:ascii="Arial" w:hAnsi="Arial" w:cs="Arial"/>
          <w:b/>
          <w:bCs/>
          <w:iCs/>
          <w:lang w:val="es-419" w:eastAsia="fr-FR"/>
        </w:rPr>
        <w:t xml:space="preserve"> / </w:t>
      </w:r>
      <w:r w:rsidR="00AF4061">
        <w:rPr>
          <w:rFonts w:ascii="Arial" w:hAnsi="Arial" w:cs="Arial"/>
          <w:b/>
          <w:bCs/>
          <w:iCs/>
          <w:lang w:val="es-CO" w:eastAsia="fr-FR"/>
        </w:rPr>
        <w:t>PROCEDENCIA DE LA TUTELA PARA ORDENARLA / DEBERES DEL AFILIADO PARA EL EFECTO.</w:t>
      </w:r>
    </w:p>
    <w:p w:rsidR="000507F9" w:rsidRDefault="000507F9" w:rsidP="000507F9">
      <w:pPr>
        <w:jc w:val="both"/>
        <w:rPr>
          <w:rFonts w:ascii="Arial" w:hAnsi="Arial" w:cs="Arial"/>
          <w:lang w:val="es-419"/>
        </w:rPr>
      </w:pPr>
    </w:p>
    <w:p w:rsidR="000507F9" w:rsidRPr="00AF4061" w:rsidRDefault="00AF4061" w:rsidP="000507F9">
      <w:pPr>
        <w:jc w:val="both"/>
        <w:rPr>
          <w:rFonts w:ascii="Arial" w:hAnsi="Arial" w:cs="Arial"/>
          <w:lang w:val="es-CO"/>
        </w:rPr>
      </w:pPr>
      <w:r>
        <w:rPr>
          <w:rFonts w:ascii="Arial" w:hAnsi="Arial" w:cs="Arial"/>
          <w:lang w:val="es-CO"/>
        </w:rPr>
        <w:t>…</w:t>
      </w:r>
      <w:r w:rsidR="000507F9" w:rsidRPr="00ED290D">
        <w:rPr>
          <w:rFonts w:ascii="Arial" w:hAnsi="Arial" w:cs="Arial"/>
          <w:lang w:val="es-419"/>
        </w:rPr>
        <w:t xml:space="preserve"> no queda duda para esta Sala, la importancia que tiene este acto para que una persona que ve mermada su capacidad de trabajo pueda acceder a la protección económica o asistencial del sistema de seguridad social integral. Por ello, mereció pronunciamiento del legislador en la Ley 100 de 1993, artículo 41, que fija quienes son los encargados de la valoración, en qué términos y ante qué instancias se puede rebatir esa decisión. De hecho, tal valoración ha sido entendida por la jurisprudencia constitucional como un derecho fundamental, por la importancia que representa para el acceso a otras garantías ius fundamentales.</w:t>
      </w:r>
      <w:r>
        <w:rPr>
          <w:rFonts w:ascii="Arial" w:hAnsi="Arial" w:cs="Arial"/>
          <w:lang w:val="es-CO"/>
        </w:rPr>
        <w:t xml:space="preserve"> (…)</w:t>
      </w:r>
    </w:p>
    <w:p w:rsidR="00AF4061" w:rsidRPr="00AF4061" w:rsidRDefault="00AF4061" w:rsidP="000507F9">
      <w:pPr>
        <w:jc w:val="both"/>
        <w:rPr>
          <w:rFonts w:ascii="Arial" w:hAnsi="Arial" w:cs="Arial"/>
          <w:lang w:val="es-CO"/>
        </w:rPr>
      </w:pPr>
    </w:p>
    <w:p w:rsidR="00AF4061" w:rsidRPr="00AF4061" w:rsidRDefault="00AF4061" w:rsidP="000507F9">
      <w:pPr>
        <w:jc w:val="both"/>
        <w:rPr>
          <w:rFonts w:ascii="Arial" w:hAnsi="Arial" w:cs="Arial"/>
          <w:lang w:val="es-CO"/>
        </w:rPr>
      </w:pPr>
      <w:r w:rsidRPr="00AF4061">
        <w:rPr>
          <w:rFonts w:ascii="Arial" w:hAnsi="Arial" w:cs="Arial"/>
          <w:lang w:val="es-CO"/>
        </w:rPr>
        <w:t xml:space="preserve">… </w:t>
      </w:r>
      <w:r w:rsidRPr="00AF4061">
        <w:rPr>
          <w:rFonts w:ascii="Arial" w:hAnsi="Arial" w:cs="Arial"/>
          <w:lang w:val="es-CO"/>
        </w:rPr>
        <w:t>es también del caso indicar, que al afiliado le incumben deberes en el marco del sistema de seguridad social y, especialmente, en lo atinente a la calificación de la pérdida de capacidad laboral, como arrimar al evaluador la totalidad de los exámenes e historial médico que permitan a este conocer de las diferentes dolencias, su diagnóstico, su evolución, su tratamiento y las mejoras del mismo, razón por la cual, incluso, los evaluadores pueden solicitar  los exámenes complementarios del caso (art. 36 D. 2431 de 2001).</w:t>
      </w:r>
    </w:p>
    <w:p w:rsidR="000507F9" w:rsidRPr="00AF4061" w:rsidRDefault="000507F9" w:rsidP="000507F9">
      <w:pPr>
        <w:jc w:val="both"/>
        <w:rPr>
          <w:rFonts w:ascii="Arial" w:hAnsi="Arial" w:cs="Arial"/>
          <w:lang w:val="es-CO"/>
        </w:rPr>
      </w:pPr>
    </w:p>
    <w:p w:rsidR="000507F9" w:rsidRPr="00AF4061" w:rsidRDefault="000507F9" w:rsidP="000507F9">
      <w:pPr>
        <w:jc w:val="both"/>
        <w:rPr>
          <w:rFonts w:ascii="Arial" w:hAnsi="Arial" w:cs="Arial"/>
          <w:lang w:val="es-CO"/>
        </w:rPr>
      </w:pPr>
    </w:p>
    <w:p w:rsidR="000507F9" w:rsidRDefault="000507F9" w:rsidP="000507F9">
      <w:pPr>
        <w:jc w:val="both"/>
        <w:rPr>
          <w:rFonts w:ascii="Arial" w:hAnsi="Arial" w:cs="Arial"/>
          <w:lang w:val="es-419"/>
        </w:rPr>
      </w:pPr>
    </w:p>
    <w:p w:rsidR="00EF2DB9" w:rsidRPr="00ED290D" w:rsidRDefault="00EF2DB9" w:rsidP="00AF4061">
      <w:pPr>
        <w:tabs>
          <w:tab w:val="center" w:pos="4419"/>
          <w:tab w:val="right" w:pos="8838"/>
        </w:tabs>
        <w:spacing w:line="312" w:lineRule="auto"/>
        <w:ind w:right="-7" w:firstLine="851"/>
        <w:jc w:val="center"/>
        <w:rPr>
          <w:rFonts w:ascii="Arial Narrow" w:hAnsi="Arial Narrow"/>
          <w:b/>
          <w:i/>
          <w:sz w:val="26"/>
          <w:szCs w:val="26"/>
          <w:lang w:val="x-none" w:eastAsia="x-none"/>
        </w:rPr>
      </w:pPr>
      <w:r w:rsidRPr="00ED290D">
        <w:rPr>
          <w:rFonts w:ascii="Arial Narrow" w:hAnsi="Arial Narrow"/>
          <w:b/>
          <w:i/>
          <w:sz w:val="26"/>
          <w:szCs w:val="26"/>
          <w:lang w:val="x-none" w:eastAsia="x-none"/>
        </w:rPr>
        <w:t>TRIBUNAL SUPERIOR DEL DISTRITO</w:t>
      </w:r>
    </w:p>
    <w:p w:rsidR="00EF2DB9" w:rsidRPr="00ED290D" w:rsidRDefault="00EF2DB9" w:rsidP="00AF4061">
      <w:pPr>
        <w:tabs>
          <w:tab w:val="center" w:pos="4419"/>
          <w:tab w:val="right" w:pos="8838"/>
        </w:tabs>
        <w:spacing w:line="312" w:lineRule="auto"/>
        <w:ind w:right="-7" w:firstLine="851"/>
        <w:jc w:val="center"/>
        <w:rPr>
          <w:rFonts w:ascii="Arial Narrow" w:hAnsi="Arial Narrow"/>
          <w:b/>
          <w:i/>
          <w:sz w:val="26"/>
          <w:szCs w:val="26"/>
          <w:lang w:val="x-none" w:eastAsia="x-none"/>
        </w:rPr>
      </w:pPr>
      <w:r w:rsidRPr="00ED290D">
        <w:rPr>
          <w:rFonts w:ascii="Arial Narrow" w:hAnsi="Arial Narrow"/>
          <w:b/>
          <w:i/>
          <w:noProof/>
          <w:spacing w:val="-3"/>
          <w:sz w:val="26"/>
          <w:szCs w:val="26"/>
        </w:rPr>
        <w:drawing>
          <wp:inline distT="0" distB="0" distL="0" distR="0" wp14:anchorId="09D60445" wp14:editId="726E794B">
            <wp:extent cx="655320" cy="688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5320" cy="688975"/>
                    </a:xfrm>
                    <a:prstGeom prst="rect">
                      <a:avLst/>
                    </a:prstGeom>
                    <a:noFill/>
                    <a:ln>
                      <a:noFill/>
                    </a:ln>
                  </pic:spPr>
                </pic:pic>
              </a:graphicData>
            </a:graphic>
          </wp:inline>
        </w:drawing>
      </w:r>
    </w:p>
    <w:p w:rsidR="00EF2DB9" w:rsidRPr="00ED290D" w:rsidRDefault="00EF2DB9" w:rsidP="00AF4061">
      <w:pPr>
        <w:tabs>
          <w:tab w:val="center" w:pos="4419"/>
          <w:tab w:val="right" w:pos="8838"/>
        </w:tabs>
        <w:spacing w:line="312" w:lineRule="auto"/>
        <w:ind w:right="-7" w:firstLine="851"/>
        <w:jc w:val="center"/>
        <w:rPr>
          <w:rFonts w:ascii="Arial Narrow" w:hAnsi="Arial Narrow"/>
          <w:b/>
          <w:i/>
          <w:sz w:val="26"/>
          <w:szCs w:val="26"/>
          <w:lang w:eastAsia="x-none"/>
        </w:rPr>
      </w:pPr>
      <w:r w:rsidRPr="00ED290D">
        <w:rPr>
          <w:rFonts w:ascii="Arial Narrow" w:hAnsi="Arial Narrow"/>
          <w:b/>
          <w:i/>
          <w:sz w:val="26"/>
          <w:szCs w:val="26"/>
          <w:lang w:val="x-none" w:eastAsia="x-none"/>
        </w:rPr>
        <w:t>PEREIRA RISARALDA</w:t>
      </w:r>
    </w:p>
    <w:p w:rsidR="00EF2DB9" w:rsidRPr="00ED290D" w:rsidRDefault="00EF2DB9" w:rsidP="00AF4061">
      <w:pPr>
        <w:tabs>
          <w:tab w:val="center" w:pos="4419"/>
          <w:tab w:val="right" w:pos="8838"/>
        </w:tabs>
        <w:spacing w:line="312" w:lineRule="auto"/>
        <w:ind w:right="-7" w:firstLine="851"/>
        <w:jc w:val="center"/>
        <w:rPr>
          <w:rFonts w:ascii="Arial Narrow" w:hAnsi="Arial Narrow"/>
          <w:b/>
          <w:i/>
          <w:sz w:val="26"/>
          <w:szCs w:val="26"/>
          <w:lang w:eastAsia="x-none"/>
        </w:rPr>
      </w:pPr>
      <w:r w:rsidRPr="00ED290D">
        <w:rPr>
          <w:rFonts w:ascii="Arial Narrow" w:hAnsi="Arial Narrow" w:cs="Tahoma"/>
          <w:b/>
          <w:i/>
          <w:sz w:val="26"/>
          <w:szCs w:val="26"/>
          <w:lang w:val="es-CO"/>
        </w:rPr>
        <w:t>MAGISTRADO PONENTE: FRANCISCO JAVIER TAMAYO TABARES</w:t>
      </w:r>
    </w:p>
    <w:p w:rsidR="00EF2DB9" w:rsidRPr="00ED290D" w:rsidRDefault="00EF2DB9" w:rsidP="00AF4061">
      <w:pPr>
        <w:spacing w:line="312" w:lineRule="auto"/>
        <w:jc w:val="both"/>
        <w:rPr>
          <w:rFonts w:ascii="Arial Narrow" w:hAnsi="Arial Narrow" w:cs="Tahoma"/>
          <w:bCs/>
          <w:i/>
          <w:sz w:val="26"/>
          <w:szCs w:val="26"/>
        </w:rPr>
      </w:pPr>
    </w:p>
    <w:p w:rsidR="00EF2DB9" w:rsidRPr="00ED290D" w:rsidRDefault="00EF2DB9" w:rsidP="00AF4061">
      <w:pPr>
        <w:spacing w:line="312" w:lineRule="auto"/>
        <w:ind w:firstLine="851"/>
        <w:jc w:val="both"/>
        <w:rPr>
          <w:rFonts w:ascii="Arial Narrow" w:hAnsi="Arial Narrow" w:cs="Tahoma"/>
          <w:sz w:val="26"/>
          <w:szCs w:val="26"/>
          <w:lang w:val="es-CO"/>
        </w:rPr>
      </w:pPr>
      <w:r w:rsidRPr="00ED290D">
        <w:rPr>
          <w:rFonts w:ascii="Arial Narrow" w:hAnsi="Arial Narrow" w:cs="Tahoma"/>
          <w:sz w:val="26"/>
          <w:szCs w:val="26"/>
          <w:lang w:val="es-CO"/>
        </w:rPr>
        <w:t xml:space="preserve">Pereira, </w:t>
      </w:r>
      <w:r w:rsidR="00CA5815" w:rsidRPr="00ED290D">
        <w:rPr>
          <w:rFonts w:ascii="Arial Narrow" w:hAnsi="Arial Narrow" w:cs="Tahoma"/>
          <w:sz w:val="26"/>
          <w:szCs w:val="26"/>
          <w:lang w:val="es-CO"/>
        </w:rPr>
        <w:t>ocho</w:t>
      </w:r>
      <w:r w:rsidR="00FE1E22" w:rsidRPr="00ED290D">
        <w:rPr>
          <w:rFonts w:ascii="Arial Narrow" w:hAnsi="Arial Narrow" w:cs="Tahoma"/>
          <w:sz w:val="26"/>
          <w:szCs w:val="26"/>
          <w:lang w:val="es-CO"/>
        </w:rPr>
        <w:t xml:space="preserve"> </w:t>
      </w:r>
      <w:r w:rsidR="00E77E97" w:rsidRPr="00ED290D">
        <w:rPr>
          <w:rFonts w:ascii="Arial Narrow" w:hAnsi="Arial Narrow" w:cs="Tahoma"/>
          <w:sz w:val="26"/>
          <w:szCs w:val="26"/>
          <w:lang w:val="es-CO"/>
        </w:rPr>
        <w:t xml:space="preserve">de </w:t>
      </w:r>
      <w:r w:rsidR="00FE1E22" w:rsidRPr="00ED290D">
        <w:rPr>
          <w:rFonts w:ascii="Arial Narrow" w:hAnsi="Arial Narrow" w:cs="Tahoma"/>
          <w:sz w:val="26"/>
          <w:szCs w:val="26"/>
          <w:lang w:val="es-CO"/>
        </w:rPr>
        <w:t>febrero</w:t>
      </w:r>
      <w:r w:rsidRPr="00ED290D">
        <w:rPr>
          <w:rFonts w:ascii="Arial Narrow" w:hAnsi="Arial Narrow" w:cs="Tahoma"/>
          <w:sz w:val="26"/>
          <w:szCs w:val="26"/>
          <w:lang w:val="es-CO"/>
        </w:rPr>
        <w:t xml:space="preserve"> de dos mil </w:t>
      </w:r>
      <w:r w:rsidR="00CA5815" w:rsidRPr="00ED290D">
        <w:rPr>
          <w:rFonts w:ascii="Arial Narrow" w:hAnsi="Arial Narrow" w:cs="Tahoma"/>
          <w:sz w:val="26"/>
          <w:szCs w:val="26"/>
          <w:lang w:val="es-CO"/>
        </w:rPr>
        <w:t>diecinueve</w:t>
      </w:r>
      <w:r w:rsidRPr="00ED290D">
        <w:rPr>
          <w:rFonts w:ascii="Arial Narrow" w:hAnsi="Arial Narrow" w:cs="Tahoma"/>
          <w:sz w:val="26"/>
          <w:szCs w:val="26"/>
          <w:lang w:val="es-CO"/>
        </w:rPr>
        <w:t>.</w:t>
      </w:r>
    </w:p>
    <w:p w:rsidR="00EF2DB9" w:rsidRPr="00ED290D" w:rsidRDefault="00EF2DB9" w:rsidP="00AF4061">
      <w:pPr>
        <w:spacing w:line="312" w:lineRule="auto"/>
        <w:ind w:firstLine="851"/>
        <w:rPr>
          <w:rFonts w:ascii="Arial Narrow" w:hAnsi="Arial Narrow" w:cs="Tahoma"/>
          <w:sz w:val="26"/>
          <w:szCs w:val="26"/>
          <w:lang w:val="es-CO"/>
        </w:rPr>
      </w:pPr>
      <w:r w:rsidRPr="00ED290D">
        <w:rPr>
          <w:rFonts w:ascii="Arial Narrow" w:hAnsi="Arial Narrow" w:cs="Tahoma"/>
          <w:sz w:val="26"/>
          <w:szCs w:val="26"/>
          <w:lang w:val="es-CO"/>
        </w:rPr>
        <w:t xml:space="preserve">Acta número </w:t>
      </w:r>
      <w:r w:rsidR="00F450A2" w:rsidRPr="00ED290D">
        <w:rPr>
          <w:rFonts w:ascii="Arial Narrow" w:hAnsi="Arial Narrow" w:cs="Tahoma"/>
          <w:sz w:val="26"/>
          <w:szCs w:val="26"/>
          <w:lang w:val="es-CO"/>
        </w:rPr>
        <w:t>____</w:t>
      </w:r>
      <w:r w:rsidRPr="00ED290D">
        <w:rPr>
          <w:rFonts w:ascii="Arial Narrow" w:hAnsi="Arial Narrow" w:cs="Tahoma"/>
          <w:sz w:val="26"/>
          <w:szCs w:val="26"/>
          <w:lang w:val="es-CO"/>
        </w:rPr>
        <w:t xml:space="preserve"> </w:t>
      </w:r>
      <w:r w:rsidR="00CA5815" w:rsidRPr="00ED290D">
        <w:rPr>
          <w:rFonts w:ascii="Arial Narrow" w:hAnsi="Arial Narrow" w:cs="Tahoma"/>
          <w:sz w:val="26"/>
          <w:szCs w:val="26"/>
          <w:lang w:val="es-CO"/>
        </w:rPr>
        <w:t>8</w:t>
      </w:r>
      <w:r w:rsidRPr="00ED290D">
        <w:rPr>
          <w:rFonts w:ascii="Arial Narrow" w:hAnsi="Arial Narrow" w:cs="Tahoma"/>
          <w:sz w:val="26"/>
          <w:szCs w:val="26"/>
          <w:lang w:val="es-CO"/>
        </w:rPr>
        <w:t xml:space="preserve"> de </w:t>
      </w:r>
      <w:r w:rsidR="00FE1E22" w:rsidRPr="00ED290D">
        <w:rPr>
          <w:rFonts w:ascii="Arial Narrow" w:hAnsi="Arial Narrow" w:cs="Tahoma"/>
          <w:sz w:val="26"/>
          <w:szCs w:val="26"/>
          <w:lang w:val="es-CO"/>
        </w:rPr>
        <w:t>febrero</w:t>
      </w:r>
      <w:r w:rsidRPr="00ED290D">
        <w:rPr>
          <w:rFonts w:ascii="Arial Narrow" w:hAnsi="Arial Narrow" w:cs="Tahoma"/>
          <w:sz w:val="26"/>
          <w:szCs w:val="26"/>
          <w:lang w:val="es-CO"/>
        </w:rPr>
        <w:t xml:space="preserve"> de 201</w:t>
      </w:r>
      <w:r w:rsidR="00CA5815" w:rsidRPr="00ED290D">
        <w:rPr>
          <w:rFonts w:ascii="Arial Narrow" w:hAnsi="Arial Narrow" w:cs="Tahoma"/>
          <w:sz w:val="26"/>
          <w:szCs w:val="26"/>
          <w:lang w:val="es-CO"/>
        </w:rPr>
        <w:t>9</w:t>
      </w:r>
      <w:r w:rsidRPr="00ED290D">
        <w:rPr>
          <w:rFonts w:ascii="Arial Narrow" w:hAnsi="Arial Narrow" w:cs="Tahoma"/>
          <w:sz w:val="26"/>
          <w:szCs w:val="26"/>
          <w:lang w:val="es-CO"/>
        </w:rPr>
        <w:t>.</w:t>
      </w:r>
    </w:p>
    <w:p w:rsidR="00EF2DB9" w:rsidRPr="00ED290D" w:rsidRDefault="00EF2DB9" w:rsidP="00AF4061">
      <w:pPr>
        <w:spacing w:line="312" w:lineRule="auto"/>
        <w:ind w:firstLine="851"/>
        <w:jc w:val="center"/>
        <w:rPr>
          <w:rFonts w:ascii="Arial Narrow" w:hAnsi="Arial Narrow" w:cs="Tahoma"/>
          <w:sz w:val="26"/>
          <w:szCs w:val="26"/>
          <w:lang w:val="es-CO"/>
        </w:rPr>
      </w:pPr>
    </w:p>
    <w:p w:rsidR="00EF2DB9" w:rsidRPr="00ED290D" w:rsidRDefault="00EF2DB9" w:rsidP="00AF4061">
      <w:pPr>
        <w:spacing w:line="312" w:lineRule="auto"/>
        <w:ind w:firstLine="851"/>
        <w:jc w:val="both"/>
        <w:rPr>
          <w:rFonts w:ascii="Arial Narrow" w:hAnsi="Arial Narrow" w:cs="Tahoma"/>
          <w:sz w:val="26"/>
          <w:szCs w:val="26"/>
        </w:rPr>
      </w:pPr>
      <w:r w:rsidRPr="00ED290D">
        <w:rPr>
          <w:rFonts w:ascii="Arial Narrow" w:hAnsi="Arial Narrow" w:cs="Tahoma"/>
          <w:sz w:val="26"/>
          <w:szCs w:val="26"/>
        </w:rPr>
        <w:t xml:space="preserve"> </w:t>
      </w:r>
      <w:r w:rsidRPr="00ED290D">
        <w:rPr>
          <w:rFonts w:ascii="Arial Narrow" w:hAnsi="Arial Narrow" w:cs="Tahoma"/>
          <w:sz w:val="26"/>
          <w:szCs w:val="26"/>
        </w:rPr>
        <w:tab/>
        <w:t xml:space="preserve">Procede la Sala de Decisión Laboral de este Tribunal a resolver la impugnación, contra la sentencia dictada por el Juzgado </w:t>
      </w:r>
      <w:r w:rsidR="00FE1E22" w:rsidRPr="00ED290D">
        <w:rPr>
          <w:rFonts w:ascii="Arial Narrow" w:hAnsi="Arial Narrow" w:cs="Tahoma"/>
          <w:sz w:val="26"/>
          <w:szCs w:val="26"/>
        </w:rPr>
        <w:t>Segundo</w:t>
      </w:r>
      <w:r w:rsidRPr="00ED290D">
        <w:rPr>
          <w:rFonts w:ascii="Arial Narrow" w:hAnsi="Arial Narrow" w:cs="Tahoma"/>
          <w:sz w:val="26"/>
          <w:szCs w:val="26"/>
        </w:rPr>
        <w:t xml:space="preserve"> Laboral del Circuito de Pereira (Risaralda), el </w:t>
      </w:r>
      <w:r w:rsidR="00CA5815" w:rsidRPr="00ED290D">
        <w:rPr>
          <w:rFonts w:ascii="Arial Narrow" w:hAnsi="Arial Narrow" w:cs="Tahoma"/>
          <w:sz w:val="26"/>
          <w:szCs w:val="26"/>
        </w:rPr>
        <w:t>07</w:t>
      </w:r>
      <w:r w:rsidRPr="00ED290D">
        <w:rPr>
          <w:rFonts w:ascii="Arial Narrow" w:hAnsi="Arial Narrow" w:cs="Tahoma"/>
          <w:sz w:val="26"/>
          <w:szCs w:val="26"/>
        </w:rPr>
        <w:t xml:space="preserve"> de </w:t>
      </w:r>
      <w:r w:rsidR="00CA5815" w:rsidRPr="00ED290D">
        <w:rPr>
          <w:rFonts w:ascii="Arial Narrow" w:hAnsi="Arial Narrow" w:cs="Tahoma"/>
          <w:sz w:val="26"/>
          <w:szCs w:val="26"/>
        </w:rPr>
        <w:t>diciembre</w:t>
      </w:r>
      <w:r w:rsidRPr="00ED290D">
        <w:rPr>
          <w:rFonts w:ascii="Arial Narrow" w:hAnsi="Arial Narrow" w:cs="Tahoma"/>
          <w:sz w:val="26"/>
          <w:szCs w:val="26"/>
        </w:rPr>
        <w:t xml:space="preserve"> de</w:t>
      </w:r>
      <w:r w:rsidR="00B6038F" w:rsidRPr="00ED290D">
        <w:rPr>
          <w:rFonts w:ascii="Arial Narrow" w:hAnsi="Arial Narrow" w:cs="Tahoma"/>
          <w:sz w:val="26"/>
          <w:szCs w:val="26"/>
        </w:rPr>
        <w:t xml:space="preserve"> 201</w:t>
      </w:r>
      <w:r w:rsidR="00CA5815" w:rsidRPr="00ED290D">
        <w:rPr>
          <w:rFonts w:ascii="Arial Narrow" w:hAnsi="Arial Narrow" w:cs="Tahoma"/>
          <w:sz w:val="26"/>
          <w:szCs w:val="26"/>
        </w:rPr>
        <w:t>8</w:t>
      </w:r>
      <w:r w:rsidRPr="00ED290D">
        <w:rPr>
          <w:rFonts w:ascii="Arial Narrow" w:hAnsi="Arial Narrow" w:cs="Tahoma"/>
          <w:sz w:val="26"/>
          <w:szCs w:val="26"/>
        </w:rPr>
        <w:t xml:space="preserve">, dentro de la acción de tutela promovida por </w:t>
      </w:r>
      <w:r w:rsidR="00CA5815" w:rsidRPr="00ED290D">
        <w:rPr>
          <w:rFonts w:ascii="Arial Narrow" w:hAnsi="Arial Narrow" w:cs="Tahoma"/>
          <w:b/>
          <w:i/>
          <w:sz w:val="26"/>
          <w:szCs w:val="26"/>
        </w:rPr>
        <w:t xml:space="preserve">Fabio de Jesús Muñoz </w:t>
      </w:r>
      <w:proofErr w:type="spellStart"/>
      <w:r w:rsidR="00CA5815" w:rsidRPr="00ED290D">
        <w:rPr>
          <w:rFonts w:ascii="Arial Narrow" w:hAnsi="Arial Narrow" w:cs="Tahoma"/>
          <w:b/>
          <w:i/>
          <w:sz w:val="26"/>
          <w:szCs w:val="26"/>
        </w:rPr>
        <w:t>Muñoz</w:t>
      </w:r>
      <w:proofErr w:type="spellEnd"/>
      <w:r w:rsidR="00CA5815" w:rsidRPr="00ED290D">
        <w:rPr>
          <w:rFonts w:ascii="Arial Narrow" w:hAnsi="Arial Narrow" w:cs="Tahoma"/>
          <w:b/>
          <w:i/>
          <w:sz w:val="26"/>
          <w:szCs w:val="26"/>
        </w:rPr>
        <w:t xml:space="preserve"> </w:t>
      </w:r>
      <w:r w:rsidRPr="00ED290D">
        <w:rPr>
          <w:rFonts w:ascii="Arial Narrow" w:hAnsi="Arial Narrow" w:cs="Tahoma"/>
          <w:sz w:val="26"/>
          <w:szCs w:val="26"/>
        </w:rPr>
        <w:t>en contra de</w:t>
      </w:r>
      <w:r w:rsidR="00FE1E22" w:rsidRPr="00ED290D">
        <w:rPr>
          <w:rFonts w:ascii="Arial Narrow" w:hAnsi="Arial Narrow" w:cs="Tahoma"/>
          <w:sz w:val="26"/>
          <w:szCs w:val="26"/>
        </w:rPr>
        <w:t xml:space="preserve"> </w:t>
      </w:r>
      <w:r w:rsidRPr="00ED290D">
        <w:rPr>
          <w:rFonts w:ascii="Arial Narrow" w:hAnsi="Arial Narrow" w:cs="Tahoma"/>
          <w:sz w:val="26"/>
          <w:szCs w:val="26"/>
        </w:rPr>
        <w:t>l</w:t>
      </w:r>
      <w:r w:rsidR="00FE1E22" w:rsidRPr="00ED290D">
        <w:rPr>
          <w:rFonts w:ascii="Arial Narrow" w:hAnsi="Arial Narrow" w:cs="Tahoma"/>
          <w:sz w:val="26"/>
          <w:szCs w:val="26"/>
        </w:rPr>
        <w:t xml:space="preserve">a </w:t>
      </w:r>
      <w:r w:rsidR="00FE1E22" w:rsidRPr="00ED290D">
        <w:rPr>
          <w:rFonts w:ascii="Arial Narrow" w:hAnsi="Arial Narrow" w:cs="Tahoma"/>
          <w:b/>
          <w:i/>
          <w:sz w:val="26"/>
          <w:szCs w:val="26"/>
        </w:rPr>
        <w:t>Administradora Colombiana de Pensiones - Colpensiones</w:t>
      </w:r>
      <w:r w:rsidRPr="00ED290D">
        <w:rPr>
          <w:rFonts w:ascii="Arial Narrow" w:hAnsi="Arial Narrow" w:cs="Tahoma"/>
          <w:b/>
          <w:i/>
          <w:sz w:val="26"/>
          <w:szCs w:val="26"/>
        </w:rPr>
        <w:t>,</w:t>
      </w:r>
      <w:r w:rsidRPr="00ED290D">
        <w:rPr>
          <w:rFonts w:ascii="Arial Narrow" w:hAnsi="Arial Narrow" w:cs="Tahoma"/>
          <w:sz w:val="26"/>
          <w:szCs w:val="26"/>
        </w:rPr>
        <w:t xml:space="preserve"> por la presunta violación de su</w:t>
      </w:r>
      <w:r w:rsidR="00FE1E22" w:rsidRPr="00ED290D">
        <w:rPr>
          <w:rFonts w:ascii="Arial Narrow" w:hAnsi="Arial Narrow" w:cs="Tahoma"/>
          <w:sz w:val="26"/>
          <w:szCs w:val="26"/>
        </w:rPr>
        <w:t>s</w:t>
      </w:r>
      <w:r w:rsidRPr="00ED290D">
        <w:rPr>
          <w:rFonts w:ascii="Arial Narrow" w:hAnsi="Arial Narrow" w:cs="Tahoma"/>
          <w:sz w:val="26"/>
          <w:szCs w:val="26"/>
        </w:rPr>
        <w:t xml:space="preserve"> derecho</w:t>
      </w:r>
      <w:r w:rsidR="00FE1E22" w:rsidRPr="00ED290D">
        <w:rPr>
          <w:rFonts w:ascii="Arial Narrow" w:hAnsi="Arial Narrow" w:cs="Tahoma"/>
          <w:sz w:val="26"/>
          <w:szCs w:val="26"/>
        </w:rPr>
        <w:t>s</w:t>
      </w:r>
      <w:r w:rsidRPr="00ED290D">
        <w:rPr>
          <w:rFonts w:ascii="Arial Narrow" w:hAnsi="Arial Narrow" w:cs="Tahoma"/>
          <w:sz w:val="26"/>
          <w:szCs w:val="26"/>
        </w:rPr>
        <w:t xml:space="preserve"> </w:t>
      </w:r>
      <w:r w:rsidR="00FE1E22" w:rsidRPr="00ED290D">
        <w:rPr>
          <w:rFonts w:ascii="Arial Narrow" w:hAnsi="Arial Narrow" w:cs="Tahoma"/>
          <w:sz w:val="26"/>
          <w:szCs w:val="26"/>
        </w:rPr>
        <w:t xml:space="preserve">fundamentales </w:t>
      </w:r>
      <w:r w:rsidR="00CA5815" w:rsidRPr="00ED290D">
        <w:rPr>
          <w:rFonts w:ascii="Arial Narrow" w:hAnsi="Arial Narrow" w:cs="Tahoma"/>
          <w:sz w:val="26"/>
          <w:szCs w:val="26"/>
        </w:rPr>
        <w:t xml:space="preserve">a </w:t>
      </w:r>
      <w:r w:rsidR="00FE1E22" w:rsidRPr="00ED290D">
        <w:rPr>
          <w:rFonts w:ascii="Arial Narrow" w:hAnsi="Arial Narrow" w:cs="Tahoma"/>
          <w:sz w:val="26"/>
          <w:szCs w:val="26"/>
        </w:rPr>
        <w:t xml:space="preserve">la seguridad social y </w:t>
      </w:r>
      <w:r w:rsidR="00CA5815" w:rsidRPr="00ED290D">
        <w:rPr>
          <w:rFonts w:ascii="Arial Narrow" w:hAnsi="Arial Narrow" w:cs="Tahoma"/>
          <w:sz w:val="26"/>
          <w:szCs w:val="26"/>
        </w:rPr>
        <w:t>al debido proceso</w:t>
      </w:r>
      <w:r w:rsidR="00F450A2" w:rsidRPr="00ED290D">
        <w:rPr>
          <w:rFonts w:ascii="Arial Narrow" w:hAnsi="Arial Narrow" w:cs="Tahoma"/>
          <w:sz w:val="26"/>
          <w:szCs w:val="26"/>
        </w:rPr>
        <w:t>.</w:t>
      </w:r>
    </w:p>
    <w:p w:rsidR="00CA5815" w:rsidRPr="00ED290D" w:rsidRDefault="00CA5815" w:rsidP="00AF4061">
      <w:pPr>
        <w:spacing w:line="312" w:lineRule="auto"/>
        <w:ind w:firstLine="851"/>
        <w:jc w:val="both"/>
        <w:rPr>
          <w:rFonts w:ascii="Arial Narrow" w:hAnsi="Arial Narrow" w:cs="Tahoma"/>
          <w:sz w:val="26"/>
          <w:szCs w:val="26"/>
        </w:rPr>
      </w:pPr>
    </w:p>
    <w:p w:rsidR="00EF2DB9" w:rsidRPr="00ED290D" w:rsidRDefault="00EF2DB9" w:rsidP="00AF4061">
      <w:pPr>
        <w:spacing w:line="312" w:lineRule="auto"/>
        <w:ind w:firstLine="851"/>
        <w:jc w:val="both"/>
        <w:rPr>
          <w:rFonts w:ascii="Arial Narrow" w:hAnsi="Arial Narrow" w:cs="Tahoma"/>
          <w:sz w:val="26"/>
          <w:szCs w:val="26"/>
        </w:rPr>
      </w:pPr>
      <w:r w:rsidRPr="00ED290D">
        <w:rPr>
          <w:rFonts w:ascii="Arial Narrow" w:hAnsi="Arial Narrow" w:cs="Tahoma"/>
          <w:sz w:val="26"/>
          <w:szCs w:val="26"/>
        </w:rPr>
        <w:t xml:space="preserve"> </w:t>
      </w:r>
      <w:r w:rsidRPr="00ED290D">
        <w:rPr>
          <w:rFonts w:ascii="Arial Narrow" w:hAnsi="Arial Narrow" w:cs="Tahoma"/>
          <w:sz w:val="26"/>
          <w:szCs w:val="26"/>
        </w:rPr>
        <w:tab/>
        <w:t xml:space="preserve">El proyecto presentado por el ponente, fue aprobado y corresponde a la siguiente, </w:t>
      </w:r>
    </w:p>
    <w:p w:rsidR="00EF2DB9" w:rsidRPr="00ED290D" w:rsidRDefault="00EF2DB9" w:rsidP="00AF4061">
      <w:pPr>
        <w:spacing w:line="312" w:lineRule="auto"/>
        <w:ind w:firstLine="851"/>
        <w:jc w:val="both"/>
        <w:rPr>
          <w:rFonts w:ascii="Arial Narrow" w:hAnsi="Arial Narrow" w:cs="Tahoma"/>
          <w:sz w:val="26"/>
          <w:szCs w:val="26"/>
        </w:rPr>
      </w:pPr>
    </w:p>
    <w:p w:rsidR="00EF2DB9" w:rsidRPr="00ED290D" w:rsidRDefault="00EF2DB9" w:rsidP="00AF4061">
      <w:pPr>
        <w:spacing w:line="312" w:lineRule="auto"/>
        <w:jc w:val="center"/>
        <w:rPr>
          <w:rFonts w:ascii="Arial Narrow" w:hAnsi="Arial Narrow" w:cs="Tahoma"/>
          <w:b/>
          <w:bCs/>
          <w:i/>
          <w:sz w:val="26"/>
          <w:szCs w:val="26"/>
          <w:lang w:val="es-CO"/>
        </w:rPr>
      </w:pPr>
      <w:r w:rsidRPr="00ED290D">
        <w:rPr>
          <w:rFonts w:ascii="Arial Narrow" w:hAnsi="Arial Narrow" w:cs="Tahoma"/>
          <w:bCs/>
          <w:i/>
          <w:sz w:val="26"/>
          <w:szCs w:val="26"/>
          <w:lang w:val="es-CO"/>
        </w:rPr>
        <w:t>I-</w:t>
      </w:r>
      <w:r w:rsidRPr="00ED290D">
        <w:rPr>
          <w:rFonts w:ascii="Arial Narrow" w:hAnsi="Arial Narrow" w:cs="Tahoma"/>
          <w:b/>
          <w:bCs/>
          <w:i/>
          <w:sz w:val="26"/>
          <w:szCs w:val="26"/>
          <w:lang w:val="es-CO"/>
        </w:rPr>
        <w:t xml:space="preserve"> SENTENCIA.</w:t>
      </w:r>
    </w:p>
    <w:p w:rsidR="00EF2DB9" w:rsidRPr="00ED290D" w:rsidRDefault="00EF2DB9" w:rsidP="00AF4061">
      <w:pPr>
        <w:spacing w:line="312" w:lineRule="auto"/>
        <w:ind w:firstLine="851"/>
        <w:jc w:val="center"/>
        <w:rPr>
          <w:rFonts w:ascii="Arial Narrow" w:hAnsi="Arial Narrow" w:cs="Tahoma"/>
          <w:sz w:val="26"/>
          <w:szCs w:val="26"/>
          <w:lang w:val="es-CO"/>
        </w:rPr>
      </w:pPr>
    </w:p>
    <w:p w:rsidR="00EF2DB9" w:rsidRPr="00ED290D" w:rsidRDefault="00EF2DB9" w:rsidP="00AF4061">
      <w:pPr>
        <w:spacing w:line="312" w:lineRule="auto"/>
        <w:ind w:firstLine="851"/>
        <w:jc w:val="both"/>
        <w:rPr>
          <w:rFonts w:ascii="Arial Narrow" w:hAnsi="Arial Narrow" w:cs="Tahoma"/>
          <w:b/>
          <w:bCs/>
          <w:i/>
          <w:iCs/>
          <w:sz w:val="26"/>
          <w:szCs w:val="26"/>
        </w:rPr>
      </w:pPr>
      <w:r w:rsidRPr="00ED290D">
        <w:rPr>
          <w:rFonts w:ascii="Arial Narrow" w:hAnsi="Arial Narrow" w:cs="Tahoma"/>
          <w:b/>
          <w:bCs/>
          <w:i/>
          <w:iCs/>
          <w:sz w:val="26"/>
          <w:szCs w:val="26"/>
        </w:rPr>
        <w:t>1. Hechos jurídicamente relevantes.</w:t>
      </w:r>
    </w:p>
    <w:p w:rsidR="00EF2DB9" w:rsidRPr="00ED290D" w:rsidRDefault="00EF2DB9" w:rsidP="00AF4061">
      <w:pPr>
        <w:pStyle w:val="Sinespaciado"/>
        <w:spacing w:line="312" w:lineRule="auto"/>
        <w:ind w:firstLine="851"/>
        <w:rPr>
          <w:rFonts w:ascii="Arial Narrow" w:hAnsi="Arial Narrow"/>
          <w:sz w:val="26"/>
          <w:szCs w:val="26"/>
        </w:rPr>
      </w:pPr>
    </w:p>
    <w:p w:rsidR="008F5BC5" w:rsidRPr="00ED290D" w:rsidRDefault="00CA5815" w:rsidP="00AF4061">
      <w:pPr>
        <w:spacing w:line="312" w:lineRule="auto"/>
        <w:ind w:firstLine="851"/>
        <w:jc w:val="both"/>
        <w:rPr>
          <w:rFonts w:ascii="Arial Narrow" w:hAnsi="Arial Narrow" w:cs="Tahoma"/>
          <w:spacing w:val="-3"/>
          <w:sz w:val="26"/>
          <w:szCs w:val="26"/>
        </w:rPr>
      </w:pPr>
      <w:r w:rsidRPr="00ED290D">
        <w:rPr>
          <w:rFonts w:ascii="Arial Narrow" w:hAnsi="Arial Narrow" w:cs="Tahoma"/>
          <w:spacing w:val="-3"/>
          <w:sz w:val="26"/>
          <w:szCs w:val="26"/>
        </w:rPr>
        <w:t xml:space="preserve">Refiere el accionante que es una persona de 67 años de edad, dedicado a labores agrícolas, que en virtud de un problema de salud su capacidad de trabajo se ha visto mermada, que padece trastorno de ansiedad y depresión, </w:t>
      </w:r>
      <w:proofErr w:type="spellStart"/>
      <w:r w:rsidRPr="00ED290D">
        <w:rPr>
          <w:rFonts w:ascii="Arial Narrow" w:hAnsi="Arial Narrow" w:cs="Tahoma"/>
          <w:spacing w:val="-3"/>
          <w:sz w:val="26"/>
          <w:szCs w:val="26"/>
        </w:rPr>
        <w:t>hemocolectomi</w:t>
      </w:r>
      <w:r w:rsidR="009654E6" w:rsidRPr="00ED290D">
        <w:rPr>
          <w:rFonts w:ascii="Arial Narrow" w:hAnsi="Arial Narrow" w:cs="Tahoma"/>
          <w:spacing w:val="-3"/>
          <w:sz w:val="26"/>
          <w:szCs w:val="26"/>
        </w:rPr>
        <w:t>a</w:t>
      </w:r>
      <w:proofErr w:type="spellEnd"/>
      <w:r w:rsidRPr="00ED290D">
        <w:rPr>
          <w:rFonts w:ascii="Arial Narrow" w:hAnsi="Arial Narrow" w:cs="Tahoma"/>
          <w:spacing w:val="-3"/>
          <w:sz w:val="26"/>
          <w:szCs w:val="26"/>
        </w:rPr>
        <w:t xml:space="preserve"> con colostomía, </w:t>
      </w:r>
      <w:proofErr w:type="spellStart"/>
      <w:r w:rsidRPr="00ED290D">
        <w:rPr>
          <w:rFonts w:ascii="Arial Narrow" w:hAnsi="Arial Narrow" w:cs="Tahoma"/>
          <w:spacing w:val="-3"/>
          <w:sz w:val="26"/>
          <w:szCs w:val="26"/>
        </w:rPr>
        <w:t>espondiloartrosis</w:t>
      </w:r>
      <w:proofErr w:type="spellEnd"/>
      <w:r w:rsidRPr="00ED290D">
        <w:rPr>
          <w:rFonts w:ascii="Arial Narrow" w:hAnsi="Arial Narrow" w:cs="Tahoma"/>
          <w:spacing w:val="-3"/>
          <w:sz w:val="26"/>
          <w:szCs w:val="26"/>
        </w:rPr>
        <w:t xml:space="preserve"> con </w:t>
      </w:r>
      <w:proofErr w:type="spellStart"/>
      <w:r w:rsidRPr="00ED290D">
        <w:rPr>
          <w:rFonts w:ascii="Arial Narrow" w:hAnsi="Arial Narrow" w:cs="Tahoma"/>
          <w:spacing w:val="-3"/>
          <w:sz w:val="26"/>
          <w:szCs w:val="26"/>
        </w:rPr>
        <w:t>dicopatia</w:t>
      </w:r>
      <w:proofErr w:type="spellEnd"/>
      <w:r w:rsidRPr="00ED290D">
        <w:rPr>
          <w:rFonts w:ascii="Arial Narrow" w:hAnsi="Arial Narrow" w:cs="Tahoma"/>
          <w:spacing w:val="-3"/>
          <w:sz w:val="26"/>
          <w:szCs w:val="26"/>
        </w:rPr>
        <w:t xml:space="preserve"> degenerativa múltiple, </w:t>
      </w:r>
      <w:proofErr w:type="spellStart"/>
      <w:r w:rsidRPr="00ED290D">
        <w:rPr>
          <w:rFonts w:ascii="Arial Narrow" w:hAnsi="Arial Narrow" w:cs="Tahoma"/>
          <w:spacing w:val="-3"/>
          <w:sz w:val="26"/>
          <w:szCs w:val="26"/>
        </w:rPr>
        <w:t>poliartrosis</w:t>
      </w:r>
      <w:proofErr w:type="spellEnd"/>
      <w:r w:rsidRPr="00ED290D">
        <w:rPr>
          <w:rFonts w:ascii="Arial Narrow" w:hAnsi="Arial Narrow" w:cs="Tahoma"/>
          <w:spacing w:val="-3"/>
          <w:sz w:val="26"/>
          <w:szCs w:val="26"/>
        </w:rPr>
        <w:t xml:space="preserve">, </w:t>
      </w:r>
      <w:proofErr w:type="spellStart"/>
      <w:r w:rsidRPr="00ED290D">
        <w:rPr>
          <w:rFonts w:ascii="Arial Narrow" w:hAnsi="Arial Narrow" w:cs="Tahoma"/>
          <w:spacing w:val="-3"/>
          <w:sz w:val="26"/>
          <w:szCs w:val="26"/>
        </w:rPr>
        <w:t>polianeuropatia</w:t>
      </w:r>
      <w:proofErr w:type="spellEnd"/>
      <w:r w:rsidRPr="00ED290D">
        <w:rPr>
          <w:rFonts w:ascii="Arial Narrow" w:hAnsi="Arial Narrow" w:cs="Tahoma"/>
          <w:spacing w:val="-3"/>
          <w:sz w:val="26"/>
          <w:szCs w:val="26"/>
        </w:rPr>
        <w:t xml:space="preserve"> sensitiva, </w:t>
      </w:r>
      <w:proofErr w:type="spellStart"/>
      <w:r w:rsidRPr="00ED290D">
        <w:rPr>
          <w:rFonts w:ascii="Arial Narrow" w:hAnsi="Arial Narrow" w:cs="Tahoma"/>
          <w:spacing w:val="-3"/>
          <w:sz w:val="26"/>
          <w:szCs w:val="26"/>
        </w:rPr>
        <w:t>cervicalgia</w:t>
      </w:r>
      <w:proofErr w:type="spellEnd"/>
      <w:r w:rsidRPr="00ED290D">
        <w:rPr>
          <w:rFonts w:ascii="Arial Narrow" w:hAnsi="Arial Narrow" w:cs="Tahoma"/>
          <w:spacing w:val="-3"/>
          <w:sz w:val="26"/>
          <w:szCs w:val="26"/>
        </w:rPr>
        <w:t xml:space="preserve"> y lumbalgia, hipoacusia bilateral, trastorno del sueño y </w:t>
      </w:r>
      <w:r w:rsidR="008F5BC5" w:rsidRPr="00ED290D">
        <w:rPr>
          <w:rFonts w:ascii="Arial Narrow" w:hAnsi="Arial Narrow" w:cs="Tahoma"/>
          <w:spacing w:val="-3"/>
          <w:sz w:val="26"/>
          <w:szCs w:val="26"/>
        </w:rPr>
        <w:t>deterioro</w:t>
      </w:r>
      <w:r w:rsidRPr="00ED290D">
        <w:rPr>
          <w:rFonts w:ascii="Arial Narrow" w:hAnsi="Arial Narrow" w:cs="Tahoma"/>
          <w:spacing w:val="-3"/>
          <w:sz w:val="26"/>
          <w:szCs w:val="26"/>
        </w:rPr>
        <w:t xml:space="preserve"> cognitivo asociado a la edad, que el trabajo desplegado empeora significativamente sus </w:t>
      </w:r>
      <w:r w:rsidR="008F5BC5" w:rsidRPr="00ED290D">
        <w:rPr>
          <w:rFonts w:ascii="Arial Narrow" w:hAnsi="Arial Narrow" w:cs="Tahoma"/>
          <w:spacing w:val="-3"/>
          <w:sz w:val="26"/>
          <w:szCs w:val="26"/>
        </w:rPr>
        <w:t>múltiples</w:t>
      </w:r>
      <w:r w:rsidRPr="00ED290D">
        <w:rPr>
          <w:rFonts w:ascii="Arial Narrow" w:hAnsi="Arial Narrow" w:cs="Tahoma"/>
          <w:spacing w:val="-3"/>
          <w:sz w:val="26"/>
          <w:szCs w:val="26"/>
        </w:rPr>
        <w:t xml:space="preserve"> dolencias, que el 13 de junio de 2018 radicó ante la accionada solicitud para que se le asignará cita para la valoración de pérdida de la capacidad laboral, que a la fecha no se le ha dado respuesta a la petición</w:t>
      </w:r>
      <w:r w:rsidR="008F5BC5" w:rsidRPr="00ED290D">
        <w:rPr>
          <w:rFonts w:ascii="Arial Narrow" w:hAnsi="Arial Narrow" w:cs="Tahoma"/>
          <w:spacing w:val="-3"/>
          <w:sz w:val="26"/>
          <w:szCs w:val="26"/>
        </w:rPr>
        <w:t>, lo que ha afectado su derecho a la seguridad social y al debido proceso.</w:t>
      </w:r>
    </w:p>
    <w:p w:rsidR="008F5BC5" w:rsidRPr="00ED290D" w:rsidRDefault="008F5BC5" w:rsidP="00AF4061">
      <w:pPr>
        <w:spacing w:line="312" w:lineRule="auto"/>
        <w:ind w:firstLine="851"/>
        <w:jc w:val="both"/>
        <w:rPr>
          <w:rFonts w:ascii="Arial Narrow" w:hAnsi="Arial Narrow" w:cs="Tahoma"/>
          <w:spacing w:val="-3"/>
          <w:sz w:val="26"/>
          <w:szCs w:val="26"/>
        </w:rPr>
      </w:pPr>
    </w:p>
    <w:p w:rsidR="008F5BC5" w:rsidRPr="00ED290D" w:rsidRDefault="008F5BC5" w:rsidP="00AF4061">
      <w:pPr>
        <w:spacing w:line="312" w:lineRule="auto"/>
        <w:ind w:firstLine="851"/>
        <w:jc w:val="both"/>
        <w:rPr>
          <w:rFonts w:ascii="Arial Narrow" w:hAnsi="Arial Narrow" w:cs="Tahoma"/>
          <w:spacing w:val="-3"/>
          <w:sz w:val="26"/>
          <w:szCs w:val="26"/>
        </w:rPr>
      </w:pPr>
      <w:r w:rsidRPr="00ED290D">
        <w:rPr>
          <w:rFonts w:ascii="Arial Narrow" w:hAnsi="Arial Narrow" w:cs="Tahoma"/>
          <w:spacing w:val="-3"/>
          <w:sz w:val="26"/>
          <w:szCs w:val="26"/>
        </w:rPr>
        <w:t>Por lo anterior, solicita se ordene a la entidad se le fije fecha para la calificación correspondiente de su pérdida de capacidad laboral.</w:t>
      </w:r>
    </w:p>
    <w:p w:rsidR="00BC6097" w:rsidRPr="00ED290D" w:rsidRDefault="00BC6097" w:rsidP="00AF4061">
      <w:pPr>
        <w:spacing w:line="312" w:lineRule="auto"/>
        <w:ind w:firstLine="851"/>
        <w:jc w:val="both"/>
        <w:rPr>
          <w:rFonts w:ascii="Arial Narrow" w:hAnsi="Arial Narrow" w:cs="Tahoma"/>
          <w:spacing w:val="-3"/>
          <w:sz w:val="26"/>
          <w:szCs w:val="26"/>
        </w:rPr>
      </w:pPr>
    </w:p>
    <w:p w:rsidR="00EF2DB9" w:rsidRPr="00ED290D" w:rsidRDefault="00EF2DB9" w:rsidP="00AF4061">
      <w:pPr>
        <w:spacing w:line="312" w:lineRule="auto"/>
        <w:ind w:firstLine="851"/>
        <w:jc w:val="both"/>
        <w:rPr>
          <w:rFonts w:ascii="Arial Narrow" w:hAnsi="Arial Narrow" w:cs="Tahoma"/>
          <w:b/>
          <w:i/>
          <w:sz w:val="26"/>
          <w:szCs w:val="26"/>
        </w:rPr>
      </w:pPr>
      <w:r w:rsidRPr="00ED290D">
        <w:rPr>
          <w:rFonts w:ascii="Arial Narrow" w:hAnsi="Arial Narrow" w:cs="Tahoma"/>
          <w:b/>
          <w:i/>
          <w:sz w:val="26"/>
          <w:szCs w:val="26"/>
        </w:rPr>
        <w:t>2. Actuación procesal.</w:t>
      </w:r>
    </w:p>
    <w:p w:rsidR="008F5BC5" w:rsidRPr="00ED290D" w:rsidRDefault="008F5BC5" w:rsidP="00AF4061">
      <w:pPr>
        <w:spacing w:line="312" w:lineRule="auto"/>
        <w:ind w:firstLine="851"/>
        <w:jc w:val="both"/>
        <w:rPr>
          <w:rFonts w:ascii="Arial Narrow" w:hAnsi="Arial Narrow" w:cs="Tahoma"/>
          <w:sz w:val="26"/>
          <w:szCs w:val="26"/>
          <w:lang w:val="es-ES_tradnl"/>
        </w:rPr>
      </w:pPr>
    </w:p>
    <w:p w:rsidR="000544CF" w:rsidRPr="00ED290D" w:rsidRDefault="00F450A2" w:rsidP="00AF4061">
      <w:pPr>
        <w:spacing w:line="312" w:lineRule="auto"/>
        <w:ind w:firstLine="851"/>
        <w:jc w:val="both"/>
        <w:rPr>
          <w:rFonts w:ascii="Arial Narrow" w:hAnsi="Arial Narrow" w:cs="Tahoma"/>
          <w:sz w:val="26"/>
          <w:szCs w:val="26"/>
          <w:lang w:val="es-ES_tradnl"/>
        </w:rPr>
      </w:pPr>
      <w:r w:rsidRPr="00ED290D">
        <w:rPr>
          <w:rFonts w:ascii="Arial Narrow" w:hAnsi="Arial Narrow" w:cs="Tahoma"/>
          <w:sz w:val="26"/>
          <w:szCs w:val="26"/>
          <w:lang w:val="es-ES_tradnl"/>
        </w:rPr>
        <w:t>Admitida la tutela, se dio traslado a</w:t>
      </w:r>
      <w:r w:rsidR="000544CF" w:rsidRPr="00ED290D">
        <w:rPr>
          <w:rFonts w:ascii="Arial Narrow" w:hAnsi="Arial Narrow" w:cs="Tahoma"/>
          <w:sz w:val="26"/>
          <w:szCs w:val="26"/>
          <w:lang w:val="es-ES_tradnl"/>
        </w:rPr>
        <w:t xml:space="preserve"> Colpensiones, entidad que al</w:t>
      </w:r>
      <w:r w:rsidR="008F5BC5" w:rsidRPr="00ED290D">
        <w:rPr>
          <w:rFonts w:ascii="Arial Narrow" w:hAnsi="Arial Narrow" w:cs="Tahoma"/>
          <w:sz w:val="26"/>
          <w:szCs w:val="26"/>
          <w:lang w:val="es-ES_tradnl"/>
        </w:rPr>
        <w:t xml:space="preserve">legó respuesta aduciendo que requirió el 25 de julio de 2018 y el 03 de diciembre del mismo año, exámenes complementarios para proceder a la tasación de la pérdida de capacidad laboral. Estima además que la </w:t>
      </w:r>
      <w:r w:rsidR="000544CF" w:rsidRPr="00ED290D">
        <w:rPr>
          <w:rFonts w:ascii="Arial Narrow" w:hAnsi="Arial Narrow" w:cs="Tahoma"/>
          <w:sz w:val="26"/>
          <w:szCs w:val="26"/>
          <w:lang w:val="es-ES_tradnl"/>
        </w:rPr>
        <w:t xml:space="preserve">tutela es un mecanismo subsidiario, </w:t>
      </w:r>
      <w:r w:rsidR="008F5BC5" w:rsidRPr="00ED290D">
        <w:rPr>
          <w:rFonts w:ascii="Arial Narrow" w:hAnsi="Arial Narrow" w:cs="Tahoma"/>
          <w:sz w:val="26"/>
          <w:szCs w:val="26"/>
          <w:lang w:val="es-ES_tradnl"/>
        </w:rPr>
        <w:t>y que estas controversias deben tramitarse por la jurisdicción ordinaria laboral. Por tanto depreca que se niegue la acción de amparo</w:t>
      </w:r>
      <w:r w:rsidR="000544CF" w:rsidRPr="00ED290D">
        <w:rPr>
          <w:rFonts w:ascii="Arial Narrow" w:hAnsi="Arial Narrow" w:cs="Tahoma"/>
          <w:sz w:val="26"/>
          <w:szCs w:val="26"/>
          <w:lang w:val="es-ES_tradnl"/>
        </w:rPr>
        <w:t>.</w:t>
      </w:r>
    </w:p>
    <w:p w:rsidR="00D13E8E" w:rsidRPr="00ED290D" w:rsidRDefault="00D13E8E" w:rsidP="00AF4061">
      <w:pPr>
        <w:spacing w:line="312" w:lineRule="auto"/>
        <w:ind w:firstLine="851"/>
        <w:jc w:val="both"/>
        <w:rPr>
          <w:rFonts w:ascii="Arial Narrow" w:hAnsi="Arial Narrow" w:cs="Tahoma"/>
          <w:sz w:val="26"/>
          <w:szCs w:val="26"/>
          <w:lang w:val="es-ES_tradnl"/>
        </w:rPr>
      </w:pPr>
    </w:p>
    <w:p w:rsidR="00EF2DB9" w:rsidRPr="00ED290D" w:rsidRDefault="00EF2DB9" w:rsidP="00AF4061">
      <w:pPr>
        <w:spacing w:line="312" w:lineRule="auto"/>
        <w:ind w:firstLine="851"/>
        <w:jc w:val="both"/>
        <w:rPr>
          <w:rFonts w:ascii="Arial Narrow" w:hAnsi="Arial Narrow" w:cs="Tahoma"/>
          <w:b/>
          <w:i/>
          <w:sz w:val="26"/>
          <w:szCs w:val="26"/>
        </w:rPr>
      </w:pPr>
      <w:r w:rsidRPr="00ED290D">
        <w:rPr>
          <w:rFonts w:ascii="Arial Narrow" w:hAnsi="Arial Narrow" w:cs="Tahoma"/>
          <w:b/>
          <w:i/>
          <w:sz w:val="26"/>
          <w:szCs w:val="26"/>
        </w:rPr>
        <w:t>3. Sentencia de primera instancia.</w:t>
      </w:r>
    </w:p>
    <w:p w:rsidR="00EF2DB9" w:rsidRPr="00ED290D" w:rsidRDefault="00EF2DB9" w:rsidP="00AF4061">
      <w:pPr>
        <w:pStyle w:val="Sinespaciado"/>
        <w:spacing w:line="312" w:lineRule="auto"/>
        <w:ind w:firstLine="851"/>
        <w:rPr>
          <w:rFonts w:ascii="Arial Narrow" w:hAnsi="Arial Narrow"/>
          <w:sz w:val="26"/>
          <w:szCs w:val="26"/>
        </w:rPr>
      </w:pPr>
    </w:p>
    <w:p w:rsidR="008F5BC5" w:rsidRPr="00ED290D" w:rsidRDefault="00EF2DB9" w:rsidP="00AF4061">
      <w:pPr>
        <w:spacing w:line="312" w:lineRule="auto"/>
        <w:ind w:firstLine="851"/>
        <w:jc w:val="both"/>
        <w:rPr>
          <w:rFonts w:ascii="Arial Narrow" w:hAnsi="Arial Narrow" w:cs="Tahoma"/>
          <w:sz w:val="26"/>
          <w:szCs w:val="26"/>
        </w:rPr>
      </w:pPr>
      <w:r w:rsidRPr="00ED290D">
        <w:rPr>
          <w:rFonts w:ascii="Arial Narrow" w:hAnsi="Arial Narrow" w:cs="Tahoma"/>
          <w:sz w:val="26"/>
          <w:szCs w:val="26"/>
        </w:rPr>
        <w:t xml:space="preserve">La </w:t>
      </w:r>
      <w:r w:rsidRPr="00ED290D">
        <w:rPr>
          <w:rFonts w:ascii="Arial Narrow" w:hAnsi="Arial Narrow" w:cs="Tahoma"/>
          <w:i/>
          <w:sz w:val="26"/>
          <w:szCs w:val="26"/>
        </w:rPr>
        <w:t>a-quo</w:t>
      </w:r>
      <w:r w:rsidRPr="00ED290D">
        <w:rPr>
          <w:rFonts w:ascii="Arial Narrow" w:hAnsi="Arial Narrow" w:cs="Tahoma"/>
          <w:sz w:val="26"/>
          <w:szCs w:val="26"/>
        </w:rPr>
        <w:t xml:space="preserve"> dictó sentencia de fondo por medio de la </w:t>
      </w:r>
      <w:r w:rsidR="000544CF" w:rsidRPr="00ED290D">
        <w:rPr>
          <w:rFonts w:ascii="Arial Narrow" w:hAnsi="Arial Narrow" w:cs="Tahoma"/>
          <w:sz w:val="26"/>
          <w:szCs w:val="26"/>
        </w:rPr>
        <w:t xml:space="preserve">cual </w:t>
      </w:r>
      <w:r w:rsidR="008F5BC5" w:rsidRPr="00ED290D">
        <w:rPr>
          <w:rFonts w:ascii="Arial Narrow" w:hAnsi="Arial Narrow" w:cs="Tahoma"/>
          <w:sz w:val="26"/>
          <w:szCs w:val="26"/>
        </w:rPr>
        <w:t>tuteló los derechos fundamentales de petición, debido proceso y seguridad social del actor y dispuso que se le valore por el área de medicina laboral de esa entidad  y que se le ponga de presente el aludido dictamen, con el fin de la posible controversia. Para así concluir estimó que la valoración para establecer la pérdida de capacidad laboral es un medio de garantía del derecho fundamental a la seguridad social, puesto que es el que permite determinar la existencia o no de una prestación pensional y asistencial, por lo que su tardanza o negativa, va en contravía del derecho a la seguridad social.</w:t>
      </w:r>
    </w:p>
    <w:p w:rsidR="00EF2DB9" w:rsidRPr="00ED290D" w:rsidRDefault="00EF2DB9" w:rsidP="00AF4061">
      <w:pPr>
        <w:spacing w:line="312" w:lineRule="auto"/>
        <w:ind w:firstLine="851"/>
        <w:jc w:val="both"/>
        <w:rPr>
          <w:rFonts w:ascii="Arial Narrow" w:hAnsi="Arial Narrow" w:cs="Tahoma"/>
          <w:sz w:val="26"/>
          <w:szCs w:val="26"/>
        </w:rPr>
      </w:pPr>
    </w:p>
    <w:p w:rsidR="00EF2DB9" w:rsidRPr="00ED290D" w:rsidRDefault="00EF2DB9" w:rsidP="00AF4061">
      <w:pPr>
        <w:spacing w:line="312" w:lineRule="auto"/>
        <w:ind w:firstLine="851"/>
        <w:jc w:val="both"/>
        <w:rPr>
          <w:rFonts w:ascii="Arial Narrow" w:hAnsi="Arial Narrow" w:cs="Tahoma"/>
          <w:b/>
          <w:i/>
          <w:sz w:val="26"/>
          <w:szCs w:val="26"/>
        </w:rPr>
      </w:pPr>
      <w:r w:rsidRPr="00ED290D">
        <w:rPr>
          <w:rFonts w:ascii="Arial Narrow" w:hAnsi="Arial Narrow" w:cs="Tahoma"/>
          <w:b/>
          <w:i/>
          <w:sz w:val="26"/>
          <w:szCs w:val="26"/>
        </w:rPr>
        <w:t xml:space="preserve">4. Impugnación. </w:t>
      </w:r>
    </w:p>
    <w:p w:rsidR="0074785B" w:rsidRPr="00ED290D" w:rsidRDefault="0074785B" w:rsidP="00AF4061">
      <w:pPr>
        <w:pStyle w:val="Sinespaciado"/>
        <w:spacing w:line="312" w:lineRule="auto"/>
        <w:ind w:firstLine="851"/>
        <w:rPr>
          <w:rFonts w:ascii="Arial Narrow" w:hAnsi="Arial Narrow"/>
          <w:sz w:val="26"/>
          <w:szCs w:val="26"/>
        </w:rPr>
      </w:pPr>
    </w:p>
    <w:p w:rsidR="00E5674D" w:rsidRDefault="008F5BC5" w:rsidP="00AF4061">
      <w:pPr>
        <w:spacing w:line="312" w:lineRule="auto"/>
        <w:ind w:firstLine="851"/>
        <w:jc w:val="both"/>
        <w:rPr>
          <w:rFonts w:ascii="Arial Narrow" w:hAnsi="Arial Narrow" w:cs="Tahoma"/>
          <w:sz w:val="26"/>
          <w:szCs w:val="26"/>
        </w:rPr>
      </w:pPr>
      <w:r w:rsidRPr="00ED290D">
        <w:rPr>
          <w:rFonts w:ascii="Arial Narrow" w:hAnsi="Arial Narrow" w:cs="Tahoma"/>
          <w:sz w:val="26"/>
          <w:szCs w:val="26"/>
        </w:rPr>
        <w:lastRenderedPageBreak/>
        <w:t>Colpensiones impugn</w:t>
      </w:r>
      <w:r w:rsidR="00E5674D" w:rsidRPr="00ED290D">
        <w:rPr>
          <w:rFonts w:ascii="Arial Narrow" w:hAnsi="Arial Narrow" w:cs="Tahoma"/>
          <w:sz w:val="26"/>
          <w:szCs w:val="26"/>
        </w:rPr>
        <w:t>ó</w:t>
      </w:r>
      <w:r w:rsidRPr="00ED290D">
        <w:rPr>
          <w:rFonts w:ascii="Arial Narrow" w:hAnsi="Arial Narrow" w:cs="Tahoma"/>
          <w:sz w:val="26"/>
          <w:szCs w:val="26"/>
        </w:rPr>
        <w:t xml:space="preserve"> la </w:t>
      </w:r>
      <w:r w:rsidR="00E5674D" w:rsidRPr="00ED290D">
        <w:rPr>
          <w:rFonts w:ascii="Arial Narrow" w:hAnsi="Arial Narrow" w:cs="Tahoma"/>
          <w:sz w:val="26"/>
          <w:szCs w:val="26"/>
        </w:rPr>
        <w:t>decisión</w:t>
      </w:r>
      <w:r w:rsidRPr="00ED290D">
        <w:rPr>
          <w:rFonts w:ascii="Arial Narrow" w:hAnsi="Arial Narrow" w:cs="Tahoma"/>
          <w:sz w:val="26"/>
          <w:szCs w:val="26"/>
        </w:rPr>
        <w:t>, al estimar que el requerimiento efectuado por la entidad, de una valoración por oftalmología y otras especialidades, impide la calificación del estado de invalidez</w:t>
      </w:r>
      <w:r w:rsidR="00E5674D" w:rsidRPr="00ED290D">
        <w:rPr>
          <w:rFonts w:ascii="Arial Narrow" w:hAnsi="Arial Narrow" w:cs="Tahoma"/>
          <w:sz w:val="26"/>
          <w:szCs w:val="26"/>
        </w:rPr>
        <w:t>.</w:t>
      </w:r>
    </w:p>
    <w:p w:rsidR="00BD1F62" w:rsidRPr="00ED290D" w:rsidRDefault="00BD1F62" w:rsidP="00AF4061">
      <w:pPr>
        <w:spacing w:line="312" w:lineRule="auto"/>
        <w:ind w:firstLine="851"/>
        <w:jc w:val="both"/>
        <w:rPr>
          <w:rFonts w:ascii="Arial Narrow" w:hAnsi="Arial Narrow" w:cs="Tahoma"/>
          <w:sz w:val="26"/>
          <w:szCs w:val="26"/>
        </w:rPr>
      </w:pPr>
    </w:p>
    <w:p w:rsidR="00957E9D" w:rsidRPr="00ED290D" w:rsidRDefault="00E5674D" w:rsidP="00AF4061">
      <w:pPr>
        <w:spacing w:line="312" w:lineRule="auto"/>
        <w:ind w:firstLine="851"/>
        <w:jc w:val="both"/>
        <w:rPr>
          <w:rFonts w:ascii="Arial Narrow" w:hAnsi="Arial Narrow" w:cs="Tahoma"/>
          <w:sz w:val="26"/>
          <w:szCs w:val="26"/>
        </w:rPr>
      </w:pPr>
      <w:r w:rsidRPr="00ED290D">
        <w:rPr>
          <w:rFonts w:ascii="Arial Narrow" w:hAnsi="Arial Narrow" w:cs="Tahoma"/>
          <w:sz w:val="26"/>
          <w:szCs w:val="26"/>
        </w:rPr>
        <w:t>Por tal razón, depreca que se revoque la decisión de primer grado.</w:t>
      </w:r>
    </w:p>
    <w:p w:rsidR="00B76B80" w:rsidRPr="00ED290D" w:rsidRDefault="00B76B80" w:rsidP="00AF4061">
      <w:pPr>
        <w:spacing w:line="312" w:lineRule="auto"/>
        <w:ind w:firstLine="851"/>
        <w:jc w:val="both"/>
        <w:rPr>
          <w:rFonts w:ascii="Arial Narrow" w:hAnsi="Arial Narrow" w:cs="Tahoma"/>
          <w:sz w:val="26"/>
          <w:szCs w:val="26"/>
        </w:rPr>
      </w:pPr>
    </w:p>
    <w:p w:rsidR="00EF2DB9" w:rsidRPr="00ED290D" w:rsidRDefault="00EF2DB9" w:rsidP="00AF4061">
      <w:pPr>
        <w:spacing w:line="312" w:lineRule="auto"/>
        <w:ind w:firstLine="851"/>
        <w:jc w:val="center"/>
        <w:rPr>
          <w:rFonts w:ascii="Arial Narrow" w:hAnsi="Arial Narrow" w:cs="Tahoma"/>
          <w:b/>
          <w:bCs/>
          <w:i/>
          <w:sz w:val="26"/>
          <w:szCs w:val="26"/>
        </w:rPr>
      </w:pPr>
      <w:r w:rsidRPr="00ED290D">
        <w:rPr>
          <w:rFonts w:ascii="Arial Narrow" w:hAnsi="Arial Narrow" w:cs="Tahoma"/>
          <w:bCs/>
          <w:i/>
          <w:sz w:val="26"/>
          <w:szCs w:val="26"/>
        </w:rPr>
        <w:t>II-</w:t>
      </w:r>
      <w:r w:rsidRPr="00ED290D">
        <w:rPr>
          <w:rFonts w:ascii="Arial Narrow" w:hAnsi="Arial Narrow" w:cs="Tahoma"/>
          <w:b/>
          <w:bCs/>
          <w:i/>
          <w:sz w:val="26"/>
          <w:szCs w:val="26"/>
        </w:rPr>
        <w:t xml:space="preserve"> CONSIDERACIONES.</w:t>
      </w:r>
    </w:p>
    <w:p w:rsidR="00B76B80" w:rsidRPr="00ED290D" w:rsidRDefault="00B76B80" w:rsidP="00AF4061">
      <w:pPr>
        <w:spacing w:line="312" w:lineRule="auto"/>
        <w:ind w:firstLine="851"/>
        <w:jc w:val="center"/>
        <w:rPr>
          <w:rFonts w:ascii="Arial Narrow" w:hAnsi="Arial Narrow" w:cs="Tahoma"/>
          <w:b/>
          <w:bCs/>
          <w:i/>
          <w:sz w:val="26"/>
          <w:szCs w:val="26"/>
        </w:rPr>
      </w:pPr>
    </w:p>
    <w:p w:rsidR="00EF2DB9" w:rsidRPr="00ED290D" w:rsidRDefault="00EF2DB9" w:rsidP="00AF4061">
      <w:pPr>
        <w:spacing w:line="312" w:lineRule="auto"/>
        <w:ind w:firstLine="851"/>
        <w:jc w:val="both"/>
        <w:rPr>
          <w:rFonts w:ascii="Arial Narrow" w:hAnsi="Arial Narrow" w:cs="Tahoma"/>
          <w:b/>
          <w:bCs/>
          <w:i/>
          <w:sz w:val="26"/>
          <w:szCs w:val="26"/>
        </w:rPr>
      </w:pPr>
      <w:r w:rsidRPr="00ED290D">
        <w:rPr>
          <w:rFonts w:ascii="Arial Narrow" w:hAnsi="Arial Narrow" w:cs="Tahoma"/>
          <w:b/>
          <w:bCs/>
          <w:i/>
          <w:sz w:val="26"/>
          <w:szCs w:val="26"/>
        </w:rPr>
        <w:t>1. Competencia.</w:t>
      </w:r>
    </w:p>
    <w:p w:rsidR="00EF2DB9" w:rsidRPr="00ED290D" w:rsidRDefault="00EF2DB9" w:rsidP="00AF4061">
      <w:pPr>
        <w:spacing w:line="312" w:lineRule="auto"/>
        <w:ind w:firstLine="851"/>
        <w:jc w:val="both"/>
        <w:rPr>
          <w:rFonts w:ascii="Arial Narrow" w:hAnsi="Arial Narrow" w:cs="Tahoma"/>
          <w:b/>
          <w:bCs/>
          <w:sz w:val="26"/>
          <w:szCs w:val="26"/>
        </w:rPr>
      </w:pPr>
    </w:p>
    <w:p w:rsidR="00EF2DB9" w:rsidRPr="00ED290D" w:rsidRDefault="00EF2DB9" w:rsidP="00AF4061">
      <w:pPr>
        <w:spacing w:line="312" w:lineRule="auto"/>
        <w:ind w:firstLine="851"/>
        <w:jc w:val="both"/>
        <w:rPr>
          <w:rFonts w:ascii="Arial Narrow" w:hAnsi="Arial Narrow" w:cs="Tahoma"/>
          <w:sz w:val="26"/>
          <w:szCs w:val="26"/>
        </w:rPr>
      </w:pPr>
      <w:r w:rsidRPr="00ED290D">
        <w:rPr>
          <w:rFonts w:ascii="Arial Narrow" w:hAnsi="Arial Narrow" w:cs="Tahoma"/>
          <w:sz w:val="26"/>
          <w:szCs w:val="26"/>
        </w:rPr>
        <w:t>Esta Colegiatura es competente para resolver la impugnación presentada por la parte accionada, en virtud de los factores funcional y territorial.</w:t>
      </w:r>
    </w:p>
    <w:p w:rsidR="00E5674D" w:rsidRPr="00ED290D" w:rsidRDefault="00E5674D" w:rsidP="00AF4061">
      <w:pPr>
        <w:spacing w:line="312" w:lineRule="auto"/>
        <w:ind w:firstLine="851"/>
        <w:jc w:val="both"/>
        <w:rPr>
          <w:rFonts w:ascii="Arial Narrow" w:hAnsi="Arial Narrow" w:cs="Arial"/>
          <w:b/>
          <w:i/>
          <w:color w:val="000000"/>
          <w:spacing w:val="-2"/>
          <w:sz w:val="26"/>
          <w:szCs w:val="26"/>
        </w:rPr>
      </w:pPr>
    </w:p>
    <w:p w:rsidR="00EF2DB9" w:rsidRPr="00ED290D" w:rsidRDefault="00EF2DB9" w:rsidP="00AF4061">
      <w:pPr>
        <w:spacing w:line="312" w:lineRule="auto"/>
        <w:ind w:firstLine="851"/>
        <w:jc w:val="both"/>
        <w:rPr>
          <w:rFonts w:ascii="Arial Narrow" w:hAnsi="Arial Narrow" w:cs="Tahoma"/>
          <w:sz w:val="26"/>
          <w:szCs w:val="26"/>
        </w:rPr>
      </w:pPr>
      <w:r w:rsidRPr="00ED290D">
        <w:rPr>
          <w:rFonts w:ascii="Arial Narrow" w:hAnsi="Arial Narrow" w:cs="Arial"/>
          <w:b/>
          <w:i/>
          <w:color w:val="000000"/>
          <w:spacing w:val="-2"/>
          <w:sz w:val="26"/>
          <w:szCs w:val="26"/>
        </w:rPr>
        <w:t>2. Problema Jurídico</w:t>
      </w:r>
    </w:p>
    <w:p w:rsidR="00EF2DB9" w:rsidRPr="00ED290D" w:rsidRDefault="00EF2DB9" w:rsidP="00AF4061">
      <w:pPr>
        <w:spacing w:line="312" w:lineRule="auto"/>
        <w:ind w:firstLine="851"/>
        <w:jc w:val="both"/>
        <w:rPr>
          <w:rFonts w:ascii="Arial Narrow" w:hAnsi="Arial Narrow" w:cs="Tahoma"/>
          <w:sz w:val="26"/>
          <w:szCs w:val="26"/>
        </w:rPr>
      </w:pPr>
    </w:p>
    <w:p w:rsidR="00EF2DB9" w:rsidRPr="00ED290D" w:rsidRDefault="00EF2DB9" w:rsidP="00AF4061">
      <w:pPr>
        <w:spacing w:line="312" w:lineRule="auto"/>
        <w:ind w:firstLine="851"/>
        <w:jc w:val="both"/>
        <w:rPr>
          <w:rFonts w:ascii="Arial Narrow" w:hAnsi="Arial Narrow" w:cs="Arial"/>
          <w:i/>
          <w:color w:val="000000"/>
          <w:spacing w:val="-2"/>
          <w:sz w:val="26"/>
          <w:szCs w:val="26"/>
        </w:rPr>
      </w:pPr>
      <w:r w:rsidRPr="00ED290D">
        <w:rPr>
          <w:rFonts w:ascii="Arial Narrow" w:hAnsi="Arial Narrow" w:cs="Arial"/>
          <w:i/>
          <w:color w:val="000000"/>
          <w:spacing w:val="-2"/>
          <w:sz w:val="26"/>
          <w:szCs w:val="26"/>
        </w:rPr>
        <w:t>¿</w:t>
      </w:r>
      <w:r w:rsidR="00957E9D" w:rsidRPr="00ED290D">
        <w:rPr>
          <w:rFonts w:ascii="Arial Narrow" w:hAnsi="Arial Narrow" w:cs="Arial"/>
          <w:i/>
          <w:color w:val="000000"/>
          <w:spacing w:val="-2"/>
          <w:sz w:val="26"/>
          <w:szCs w:val="26"/>
        </w:rPr>
        <w:t xml:space="preserve">Es posible que por vía de tutela se ordene </w:t>
      </w:r>
      <w:r w:rsidR="00E5674D" w:rsidRPr="00ED290D">
        <w:rPr>
          <w:rFonts w:ascii="Arial Narrow" w:hAnsi="Arial Narrow" w:cs="Arial"/>
          <w:i/>
          <w:color w:val="000000"/>
          <w:spacing w:val="-2"/>
          <w:sz w:val="26"/>
          <w:szCs w:val="26"/>
        </w:rPr>
        <w:t>la calificación del estado de invalidez</w:t>
      </w:r>
      <w:r w:rsidR="00AD2815" w:rsidRPr="00ED290D">
        <w:rPr>
          <w:rFonts w:ascii="Arial Narrow" w:hAnsi="Arial Narrow" w:cs="Arial"/>
          <w:i/>
          <w:color w:val="000000"/>
          <w:spacing w:val="-2"/>
          <w:sz w:val="26"/>
          <w:szCs w:val="26"/>
        </w:rPr>
        <w:t>?</w:t>
      </w:r>
    </w:p>
    <w:p w:rsidR="00121DE2" w:rsidRPr="00ED290D" w:rsidRDefault="00121DE2" w:rsidP="00AF4061">
      <w:pPr>
        <w:spacing w:line="312" w:lineRule="auto"/>
        <w:ind w:firstLine="851"/>
        <w:jc w:val="both"/>
        <w:rPr>
          <w:rFonts w:ascii="Arial Narrow" w:hAnsi="Arial Narrow" w:cs="Arial"/>
          <w:i/>
          <w:color w:val="000000"/>
          <w:spacing w:val="-2"/>
          <w:sz w:val="26"/>
          <w:szCs w:val="26"/>
        </w:rPr>
      </w:pPr>
    </w:p>
    <w:p w:rsidR="00EF2DB9" w:rsidRPr="00ED290D" w:rsidRDefault="00EF2DB9" w:rsidP="00AF4061">
      <w:pPr>
        <w:spacing w:line="312" w:lineRule="auto"/>
        <w:ind w:firstLine="851"/>
        <w:jc w:val="both"/>
        <w:rPr>
          <w:rFonts w:ascii="Arial Narrow" w:hAnsi="Arial Narrow" w:cs="Arial"/>
          <w:i/>
          <w:color w:val="000000"/>
          <w:spacing w:val="-2"/>
          <w:sz w:val="26"/>
          <w:szCs w:val="26"/>
        </w:rPr>
      </w:pPr>
      <w:r w:rsidRPr="00ED290D">
        <w:rPr>
          <w:rFonts w:ascii="Arial Narrow" w:hAnsi="Arial Narrow" w:cs="Arial"/>
          <w:b/>
          <w:i/>
          <w:sz w:val="26"/>
          <w:szCs w:val="26"/>
        </w:rPr>
        <w:t>3. Desarrollo de la problemática planteada:</w:t>
      </w:r>
    </w:p>
    <w:p w:rsidR="00EF2DB9" w:rsidRPr="00ED290D" w:rsidRDefault="00EF2DB9" w:rsidP="00AF4061">
      <w:pPr>
        <w:tabs>
          <w:tab w:val="left" w:pos="-720"/>
        </w:tabs>
        <w:suppressAutoHyphens/>
        <w:spacing w:line="312" w:lineRule="auto"/>
        <w:ind w:right="-7" w:firstLine="851"/>
        <w:jc w:val="both"/>
        <w:rPr>
          <w:rFonts w:ascii="Arial Narrow" w:hAnsi="Arial Narrow" w:cs="Tahoma"/>
          <w:b/>
          <w:color w:val="000000"/>
          <w:spacing w:val="-2"/>
          <w:sz w:val="26"/>
          <w:szCs w:val="26"/>
        </w:rPr>
      </w:pPr>
      <w:r w:rsidRPr="00ED290D">
        <w:rPr>
          <w:rFonts w:ascii="Arial Narrow" w:hAnsi="Arial Narrow" w:cs="Tahoma"/>
          <w:b/>
          <w:i/>
          <w:color w:val="000000"/>
          <w:spacing w:val="-2"/>
          <w:sz w:val="26"/>
          <w:szCs w:val="26"/>
        </w:rPr>
        <w:tab/>
      </w:r>
    </w:p>
    <w:p w:rsidR="00D2326B" w:rsidRPr="00ED290D" w:rsidRDefault="00957E9D" w:rsidP="00AF4061">
      <w:pPr>
        <w:tabs>
          <w:tab w:val="left" w:pos="-720"/>
        </w:tabs>
        <w:suppressAutoHyphens/>
        <w:spacing w:line="312" w:lineRule="auto"/>
        <w:ind w:right="-7" w:firstLine="851"/>
        <w:jc w:val="both"/>
        <w:rPr>
          <w:rFonts w:ascii="Arial Narrow" w:hAnsi="Arial Narrow" w:cs="Tahoma"/>
          <w:color w:val="000000"/>
          <w:spacing w:val="-2"/>
          <w:sz w:val="26"/>
          <w:szCs w:val="26"/>
        </w:rPr>
      </w:pPr>
      <w:r w:rsidRPr="00ED290D">
        <w:rPr>
          <w:rFonts w:ascii="Arial Narrow" w:hAnsi="Arial Narrow" w:cs="Tahoma"/>
          <w:color w:val="000000"/>
          <w:spacing w:val="-2"/>
          <w:sz w:val="26"/>
          <w:szCs w:val="26"/>
        </w:rPr>
        <w:t xml:space="preserve">La acción de tutela fue estatuida por el Constituyente de 1991 con el fin de dotar a las personas de un mecanismos expedito para proteger sus derechos fundamentales, cuando quiera que estos hubieren resultado afectados o </w:t>
      </w:r>
      <w:r w:rsidR="00D2326B" w:rsidRPr="00ED290D">
        <w:rPr>
          <w:rFonts w:ascii="Arial Narrow" w:hAnsi="Arial Narrow" w:cs="Tahoma"/>
          <w:color w:val="000000"/>
          <w:spacing w:val="-2"/>
          <w:sz w:val="26"/>
          <w:szCs w:val="26"/>
        </w:rPr>
        <w:t>vulnerados por la acción o la omisión de una autoridad pública o de los particulares, en los precisos casos señalados por el legislador.</w:t>
      </w:r>
    </w:p>
    <w:p w:rsidR="00144351" w:rsidRPr="00ED290D" w:rsidRDefault="00144351" w:rsidP="00AF4061">
      <w:pPr>
        <w:tabs>
          <w:tab w:val="left" w:pos="-720"/>
        </w:tabs>
        <w:suppressAutoHyphens/>
        <w:spacing w:line="312" w:lineRule="auto"/>
        <w:ind w:right="-7" w:firstLine="851"/>
        <w:jc w:val="both"/>
        <w:rPr>
          <w:rFonts w:ascii="Arial Narrow" w:hAnsi="Arial Narrow" w:cs="Tahoma"/>
          <w:color w:val="000000"/>
          <w:spacing w:val="-2"/>
          <w:sz w:val="26"/>
          <w:szCs w:val="26"/>
        </w:rPr>
      </w:pPr>
    </w:p>
    <w:p w:rsidR="00D2326B" w:rsidRPr="00ED290D" w:rsidRDefault="00D2326B" w:rsidP="00AF4061">
      <w:pPr>
        <w:tabs>
          <w:tab w:val="left" w:pos="-720"/>
        </w:tabs>
        <w:suppressAutoHyphens/>
        <w:spacing w:line="312" w:lineRule="auto"/>
        <w:ind w:right="-7" w:firstLine="851"/>
        <w:jc w:val="both"/>
        <w:rPr>
          <w:rFonts w:ascii="Arial Narrow" w:hAnsi="Arial Narrow" w:cs="Tahoma"/>
          <w:color w:val="000000"/>
          <w:spacing w:val="-2"/>
          <w:sz w:val="26"/>
          <w:szCs w:val="26"/>
        </w:rPr>
      </w:pPr>
      <w:r w:rsidRPr="00ED290D">
        <w:rPr>
          <w:rFonts w:ascii="Arial Narrow" w:hAnsi="Arial Narrow" w:cs="Tahoma"/>
          <w:color w:val="000000"/>
          <w:spacing w:val="-2"/>
          <w:sz w:val="26"/>
          <w:szCs w:val="26"/>
        </w:rPr>
        <w:t>Una de las características especiales de la esta acción constitucional, es su carácter subsidiario, lo que quiere decir que su aplicación está restringida a aquellos eventos en los cuales no existe otro medio de defensa judicial o el existente resulta poco idóneo para amparar la garantía fundamental.</w:t>
      </w:r>
    </w:p>
    <w:p w:rsidR="00D2326B" w:rsidRPr="00ED290D" w:rsidRDefault="00D2326B" w:rsidP="00AF4061">
      <w:pPr>
        <w:tabs>
          <w:tab w:val="left" w:pos="-720"/>
        </w:tabs>
        <w:suppressAutoHyphens/>
        <w:spacing w:line="312" w:lineRule="auto"/>
        <w:ind w:right="-7" w:firstLine="851"/>
        <w:jc w:val="both"/>
        <w:rPr>
          <w:rFonts w:ascii="Arial Narrow" w:hAnsi="Arial Narrow" w:cs="Tahoma"/>
          <w:color w:val="000000"/>
          <w:spacing w:val="-2"/>
          <w:sz w:val="26"/>
          <w:szCs w:val="26"/>
        </w:rPr>
      </w:pPr>
    </w:p>
    <w:p w:rsidR="00E5674D" w:rsidRPr="00ED290D" w:rsidRDefault="00E5674D" w:rsidP="00AF4061">
      <w:pPr>
        <w:tabs>
          <w:tab w:val="left" w:pos="-720"/>
        </w:tabs>
        <w:suppressAutoHyphens/>
        <w:spacing w:line="312" w:lineRule="auto"/>
        <w:ind w:right="-7" w:firstLine="851"/>
        <w:jc w:val="both"/>
        <w:rPr>
          <w:rFonts w:ascii="Arial Narrow" w:hAnsi="Arial Narrow" w:cs="Tahoma"/>
          <w:color w:val="000000"/>
          <w:spacing w:val="-2"/>
          <w:sz w:val="26"/>
          <w:szCs w:val="26"/>
        </w:rPr>
      </w:pPr>
      <w:r w:rsidRPr="00ED290D">
        <w:rPr>
          <w:rFonts w:ascii="Arial Narrow" w:hAnsi="Arial Narrow" w:cs="Tahoma"/>
          <w:color w:val="000000"/>
          <w:spacing w:val="-2"/>
          <w:sz w:val="26"/>
          <w:szCs w:val="26"/>
        </w:rPr>
        <w:t>El derecho que acá se debate es el de la seguridad social y su efectivo acceso por parte del afiliado, cuando se requiere una calificación o determinación del estado de invalidez, de la estructuración del mismo y de su origen. Y no queda duda para esta Sala, la importancia que tiene este acto para que una persona que ve mermada su capacidad de trabajo pueda acceder a la protección económica o asistencial del sistema de seguridad social integral. Por ello, mereció pronunciamiento del legislador en la Ley 100 de 1993, artículo 41, que fija quienes son los encargados de la valoración, en qué términos y ante qué instancias se puede rebatir esa decisión.</w:t>
      </w:r>
      <w:r w:rsidR="00794CEA" w:rsidRPr="00ED290D">
        <w:rPr>
          <w:rFonts w:ascii="Arial Narrow" w:hAnsi="Arial Narrow" w:cs="Tahoma"/>
          <w:color w:val="000000"/>
          <w:spacing w:val="-2"/>
          <w:sz w:val="26"/>
          <w:szCs w:val="26"/>
        </w:rPr>
        <w:t xml:space="preserve"> De hecho, tal valoración ha sido entendida por la jurisprudencia constitucional como un derecho fundamental, por la importancia que representa para el acceso a otras garantías </w:t>
      </w:r>
      <w:proofErr w:type="spellStart"/>
      <w:r w:rsidR="00794CEA" w:rsidRPr="00ED290D">
        <w:rPr>
          <w:rFonts w:ascii="Arial Narrow" w:hAnsi="Arial Narrow" w:cs="Tahoma"/>
          <w:color w:val="000000"/>
          <w:spacing w:val="-2"/>
          <w:sz w:val="26"/>
          <w:szCs w:val="26"/>
        </w:rPr>
        <w:t>ius</w:t>
      </w:r>
      <w:proofErr w:type="spellEnd"/>
      <w:r w:rsidR="00794CEA" w:rsidRPr="00ED290D">
        <w:rPr>
          <w:rFonts w:ascii="Arial Narrow" w:hAnsi="Arial Narrow" w:cs="Tahoma"/>
          <w:color w:val="000000"/>
          <w:spacing w:val="-2"/>
          <w:sz w:val="26"/>
          <w:szCs w:val="26"/>
        </w:rPr>
        <w:t xml:space="preserve"> fundamentales. Así lo ha dicho el Tribunal Constitucional:</w:t>
      </w:r>
    </w:p>
    <w:p w:rsidR="00794CEA" w:rsidRPr="00ED290D" w:rsidRDefault="00794CEA" w:rsidP="00AF4061">
      <w:pPr>
        <w:tabs>
          <w:tab w:val="left" w:pos="-720"/>
        </w:tabs>
        <w:suppressAutoHyphens/>
        <w:spacing w:line="312" w:lineRule="auto"/>
        <w:ind w:right="-7" w:firstLine="851"/>
        <w:jc w:val="both"/>
        <w:rPr>
          <w:rFonts w:ascii="Arial Narrow" w:hAnsi="Arial Narrow" w:cs="Tahoma"/>
          <w:color w:val="000000"/>
          <w:spacing w:val="-2"/>
          <w:sz w:val="26"/>
          <w:szCs w:val="26"/>
        </w:rPr>
      </w:pPr>
    </w:p>
    <w:p w:rsidR="00794CEA" w:rsidRPr="00BD1F62" w:rsidRDefault="00794CEA" w:rsidP="00AF4061">
      <w:pPr>
        <w:suppressAutoHyphens/>
        <w:spacing w:line="264" w:lineRule="auto"/>
        <w:ind w:left="425" w:right="420" w:firstLine="851"/>
        <w:jc w:val="both"/>
        <w:rPr>
          <w:rFonts w:ascii="Arial Narrow" w:hAnsi="Arial Narrow" w:cs="Tahoma"/>
          <w:color w:val="000000"/>
          <w:spacing w:val="-2"/>
          <w:sz w:val="24"/>
          <w:szCs w:val="26"/>
        </w:rPr>
      </w:pPr>
      <w:r w:rsidRPr="00BD1F62">
        <w:rPr>
          <w:rFonts w:ascii="Arial Narrow" w:hAnsi="Arial Narrow" w:cs="Tahoma"/>
          <w:i/>
          <w:color w:val="000000"/>
          <w:spacing w:val="-2"/>
          <w:sz w:val="24"/>
          <w:szCs w:val="26"/>
        </w:rPr>
        <w:t>“La calificación de la pérdida de capacidad laboral ha sido considerada por la jurisprudencia constitucional, como un derecho que tiene toda persona, el cual cobra gran importancia al constituir el medio para acceder a la garantía y protección de otros derechos fundamentales como la salud, la seguridad social y el mínimo vital, en la medida que permite establecer a qué tipo de prestaciones tiene derecho quien es afectado por una enfermedad o accidente, producido con ocasión o como consecuencia de la actividad laboral, o por causas de origen común”</w:t>
      </w:r>
      <w:r w:rsidRPr="00BD1F62">
        <w:rPr>
          <w:rFonts w:ascii="Arial Narrow" w:hAnsi="Arial Narrow" w:cs="Tahoma"/>
          <w:color w:val="000000"/>
          <w:spacing w:val="-2"/>
          <w:sz w:val="24"/>
          <w:szCs w:val="26"/>
        </w:rPr>
        <w:t xml:space="preserve"> (T-056-2014).</w:t>
      </w:r>
    </w:p>
    <w:p w:rsidR="00794CEA" w:rsidRPr="00ED290D" w:rsidRDefault="00794CEA" w:rsidP="00AF4061">
      <w:pPr>
        <w:tabs>
          <w:tab w:val="left" w:pos="-720"/>
        </w:tabs>
        <w:suppressAutoHyphens/>
        <w:spacing w:line="312" w:lineRule="auto"/>
        <w:ind w:right="-7" w:firstLine="851"/>
        <w:jc w:val="both"/>
        <w:rPr>
          <w:rFonts w:ascii="Arial Narrow" w:hAnsi="Arial Narrow" w:cs="Tahoma"/>
          <w:color w:val="000000"/>
          <w:spacing w:val="-2"/>
          <w:sz w:val="26"/>
          <w:szCs w:val="26"/>
        </w:rPr>
      </w:pPr>
    </w:p>
    <w:p w:rsidR="00794CEA" w:rsidRPr="00ED290D" w:rsidRDefault="00E5674D" w:rsidP="00AF4061">
      <w:pPr>
        <w:tabs>
          <w:tab w:val="left" w:pos="-720"/>
        </w:tabs>
        <w:suppressAutoHyphens/>
        <w:spacing w:line="312" w:lineRule="auto"/>
        <w:ind w:right="-7" w:firstLine="851"/>
        <w:jc w:val="both"/>
        <w:rPr>
          <w:rFonts w:ascii="Arial Narrow" w:hAnsi="Arial Narrow" w:cs="Tahoma"/>
          <w:color w:val="000000"/>
          <w:spacing w:val="-2"/>
          <w:sz w:val="26"/>
          <w:szCs w:val="26"/>
        </w:rPr>
      </w:pPr>
      <w:r w:rsidRPr="00ED290D">
        <w:rPr>
          <w:rFonts w:ascii="Arial Narrow" w:hAnsi="Arial Narrow" w:cs="Tahoma"/>
          <w:color w:val="000000"/>
          <w:spacing w:val="-2"/>
          <w:sz w:val="26"/>
          <w:szCs w:val="26"/>
        </w:rPr>
        <w:t xml:space="preserve">Ahora, es también del caso indicar, que al afiliado le incumben deberes en el marco del sistema de seguridad social y, especialmente, en lo atinente a la calificación de la </w:t>
      </w:r>
      <w:r w:rsidR="00794CEA" w:rsidRPr="00ED290D">
        <w:rPr>
          <w:rFonts w:ascii="Arial Narrow" w:hAnsi="Arial Narrow" w:cs="Tahoma"/>
          <w:color w:val="000000"/>
          <w:spacing w:val="-2"/>
          <w:sz w:val="26"/>
          <w:szCs w:val="26"/>
        </w:rPr>
        <w:t>pérdida</w:t>
      </w:r>
      <w:r w:rsidRPr="00ED290D">
        <w:rPr>
          <w:rFonts w:ascii="Arial Narrow" w:hAnsi="Arial Narrow" w:cs="Tahoma"/>
          <w:color w:val="000000"/>
          <w:spacing w:val="-2"/>
          <w:sz w:val="26"/>
          <w:szCs w:val="26"/>
        </w:rPr>
        <w:t xml:space="preserve"> de capacidad laboral</w:t>
      </w:r>
      <w:r w:rsidR="00794CEA" w:rsidRPr="00ED290D">
        <w:rPr>
          <w:rFonts w:ascii="Arial Narrow" w:hAnsi="Arial Narrow" w:cs="Tahoma"/>
          <w:color w:val="000000"/>
          <w:spacing w:val="-2"/>
          <w:sz w:val="26"/>
          <w:szCs w:val="26"/>
        </w:rPr>
        <w:t>, como arrimar al evaluador la totalidad de los exámenes e historial médico que permitan a este conocer de las diferentes dolencias, su diagnóstico, su evolución, su tratamiento y las mejoras del mismo, razón por la cual, incluso, los evaluadores pueden solicitar  los exámenes complementarios del caso (art. 36 D. 2431 de 2001).</w:t>
      </w:r>
    </w:p>
    <w:p w:rsidR="00794CEA" w:rsidRPr="00ED290D" w:rsidRDefault="00794CEA" w:rsidP="00AF4061">
      <w:pPr>
        <w:tabs>
          <w:tab w:val="left" w:pos="-720"/>
        </w:tabs>
        <w:suppressAutoHyphens/>
        <w:spacing w:line="312" w:lineRule="auto"/>
        <w:ind w:right="-7" w:firstLine="851"/>
        <w:jc w:val="both"/>
        <w:rPr>
          <w:rFonts w:ascii="Arial Narrow" w:hAnsi="Arial Narrow" w:cs="Tahoma"/>
          <w:color w:val="000000"/>
          <w:spacing w:val="-2"/>
          <w:sz w:val="26"/>
          <w:szCs w:val="26"/>
        </w:rPr>
      </w:pPr>
    </w:p>
    <w:p w:rsidR="002245B8" w:rsidRPr="00ED290D" w:rsidRDefault="00794CEA" w:rsidP="00AF4061">
      <w:pPr>
        <w:tabs>
          <w:tab w:val="left" w:pos="-720"/>
        </w:tabs>
        <w:suppressAutoHyphens/>
        <w:spacing w:line="312" w:lineRule="auto"/>
        <w:ind w:right="-7" w:firstLine="851"/>
        <w:jc w:val="both"/>
        <w:rPr>
          <w:rFonts w:ascii="Arial Narrow" w:hAnsi="Arial Narrow" w:cs="Tahoma"/>
          <w:color w:val="000000"/>
          <w:spacing w:val="-2"/>
          <w:sz w:val="26"/>
          <w:szCs w:val="26"/>
        </w:rPr>
      </w:pPr>
      <w:r w:rsidRPr="00ED290D">
        <w:rPr>
          <w:rFonts w:ascii="Arial Narrow" w:hAnsi="Arial Narrow" w:cs="Tahoma"/>
          <w:color w:val="000000"/>
          <w:spacing w:val="-2"/>
          <w:sz w:val="26"/>
          <w:szCs w:val="26"/>
        </w:rPr>
        <w:t>Pues bien, visto este panorama, en el caso puntual se tiene que Colpensiones, mediante oficio del 25 de julio de 2018 –</w:t>
      </w:r>
      <w:proofErr w:type="spellStart"/>
      <w:r w:rsidRPr="00ED290D">
        <w:rPr>
          <w:rFonts w:ascii="Arial Narrow" w:hAnsi="Arial Narrow" w:cs="Tahoma"/>
          <w:color w:val="000000"/>
          <w:spacing w:val="-2"/>
          <w:sz w:val="26"/>
          <w:szCs w:val="26"/>
        </w:rPr>
        <w:t>fl</w:t>
      </w:r>
      <w:proofErr w:type="spellEnd"/>
      <w:r w:rsidRPr="00ED290D">
        <w:rPr>
          <w:rFonts w:ascii="Arial Narrow" w:hAnsi="Arial Narrow" w:cs="Tahoma"/>
          <w:color w:val="000000"/>
          <w:spacing w:val="-2"/>
          <w:sz w:val="26"/>
          <w:szCs w:val="26"/>
        </w:rPr>
        <w:t>. 37- estimó que era necesario complementar la historia clínica del accionante</w:t>
      </w:r>
      <w:r w:rsidR="002245B8" w:rsidRPr="00ED290D">
        <w:rPr>
          <w:rFonts w:ascii="Arial Narrow" w:hAnsi="Arial Narrow" w:cs="Tahoma"/>
          <w:color w:val="000000"/>
          <w:spacing w:val="-2"/>
          <w:sz w:val="26"/>
          <w:szCs w:val="26"/>
        </w:rPr>
        <w:t xml:space="preserve"> con valoraciones por varios especialistas, aspecto que está –obviamente- dentro de sus facultades. Sin embargo, el aludido oficio apenas se remitió al accionante el 06 de diciembre, conforme a la guía de correo que aparece a folio 38 de la actuación, lo que pone de presente un actuar desidioso con la petición de valoración que hizo el accionante, quien además es una persona de especial protección constitucional, atendiendo su edad, aspecto este último que </w:t>
      </w:r>
      <w:r w:rsidR="002245B8" w:rsidRPr="00ED290D">
        <w:rPr>
          <w:rFonts w:ascii="Arial Narrow" w:hAnsi="Arial Narrow" w:cs="Tahoma"/>
          <w:color w:val="000000"/>
          <w:spacing w:val="-2"/>
          <w:sz w:val="26"/>
          <w:szCs w:val="26"/>
          <w:lang w:val="es-CO"/>
        </w:rPr>
        <w:t xml:space="preserve">da mayor relevancia </w:t>
      </w:r>
      <w:r w:rsidR="002245B8" w:rsidRPr="00ED290D">
        <w:rPr>
          <w:rFonts w:ascii="Arial Narrow" w:hAnsi="Arial Narrow" w:cs="Tahoma"/>
          <w:color w:val="000000"/>
          <w:spacing w:val="-2"/>
          <w:sz w:val="26"/>
          <w:szCs w:val="26"/>
        </w:rPr>
        <w:t>a la valoración de su discapacidad.</w:t>
      </w:r>
    </w:p>
    <w:p w:rsidR="009654E6" w:rsidRPr="00ED290D" w:rsidRDefault="009654E6" w:rsidP="00AF4061">
      <w:pPr>
        <w:tabs>
          <w:tab w:val="left" w:pos="-720"/>
        </w:tabs>
        <w:suppressAutoHyphens/>
        <w:spacing w:line="312" w:lineRule="auto"/>
        <w:ind w:right="-7" w:firstLine="851"/>
        <w:jc w:val="both"/>
        <w:rPr>
          <w:rFonts w:ascii="Arial Narrow" w:hAnsi="Arial Narrow" w:cs="Tahoma"/>
          <w:color w:val="000000"/>
          <w:spacing w:val="-2"/>
          <w:sz w:val="26"/>
          <w:szCs w:val="26"/>
        </w:rPr>
      </w:pPr>
    </w:p>
    <w:p w:rsidR="002245B8" w:rsidRPr="00ED290D" w:rsidRDefault="002245B8" w:rsidP="00AF4061">
      <w:pPr>
        <w:tabs>
          <w:tab w:val="left" w:pos="-720"/>
        </w:tabs>
        <w:suppressAutoHyphens/>
        <w:spacing w:line="312" w:lineRule="auto"/>
        <w:ind w:right="-7" w:firstLine="851"/>
        <w:jc w:val="both"/>
        <w:rPr>
          <w:rFonts w:ascii="Arial Narrow" w:hAnsi="Arial Narrow" w:cs="Tahoma"/>
          <w:color w:val="000000"/>
          <w:spacing w:val="-2"/>
          <w:sz w:val="26"/>
          <w:szCs w:val="26"/>
        </w:rPr>
      </w:pPr>
      <w:r w:rsidRPr="00ED290D">
        <w:rPr>
          <w:rFonts w:ascii="Arial Narrow" w:hAnsi="Arial Narrow" w:cs="Tahoma"/>
          <w:color w:val="000000"/>
          <w:spacing w:val="-2"/>
          <w:sz w:val="26"/>
          <w:szCs w:val="26"/>
        </w:rPr>
        <w:t xml:space="preserve">Por tanto, es del caso que se adelante la calificación de la capacidad laboral del actor de manera perentoria, como lo dedujo la a-quo, sin que la entidad pueda excusarse en la ausencia de los aludidos exámenes, puesto que el mismo parágrafo 1º del artículo 36 del Decreto 2431 de 2001, autoriza a que se efectúen las valoraciones correspondientes con entidades </w:t>
      </w:r>
      <w:proofErr w:type="spellStart"/>
      <w:r w:rsidRPr="00ED290D">
        <w:rPr>
          <w:rFonts w:ascii="Arial Narrow" w:hAnsi="Arial Narrow" w:cs="Tahoma"/>
          <w:color w:val="000000"/>
          <w:spacing w:val="-2"/>
          <w:sz w:val="26"/>
          <w:szCs w:val="26"/>
        </w:rPr>
        <w:t>interconsultoras</w:t>
      </w:r>
      <w:proofErr w:type="spellEnd"/>
      <w:r w:rsidRPr="00ED290D">
        <w:rPr>
          <w:rFonts w:ascii="Arial Narrow" w:hAnsi="Arial Narrow" w:cs="Tahoma"/>
          <w:color w:val="000000"/>
          <w:spacing w:val="-2"/>
          <w:sz w:val="26"/>
          <w:szCs w:val="26"/>
        </w:rPr>
        <w:t xml:space="preserve">. Y si bien esta norma regula el tema de las Juntas de Calificación de Invalidez, es posible su </w:t>
      </w:r>
      <w:r w:rsidR="00E41428" w:rsidRPr="00ED290D">
        <w:rPr>
          <w:rFonts w:ascii="Arial Narrow" w:hAnsi="Arial Narrow" w:cs="Tahoma"/>
          <w:color w:val="000000"/>
          <w:spacing w:val="-2"/>
          <w:sz w:val="26"/>
          <w:szCs w:val="26"/>
        </w:rPr>
        <w:t>aplicación</w:t>
      </w:r>
      <w:r w:rsidRPr="00ED290D">
        <w:rPr>
          <w:rFonts w:ascii="Arial Narrow" w:hAnsi="Arial Narrow" w:cs="Tahoma"/>
          <w:color w:val="000000"/>
          <w:spacing w:val="-2"/>
          <w:sz w:val="26"/>
          <w:szCs w:val="26"/>
        </w:rPr>
        <w:t xml:space="preserve"> cuando la determinación de la invalidez se va a efectuar en primera oportunidad por las entidades enlistadas en el canon 41 de la Ley 100 de 1993.</w:t>
      </w:r>
    </w:p>
    <w:p w:rsidR="002245B8" w:rsidRPr="00ED290D" w:rsidRDefault="002245B8" w:rsidP="00AF4061">
      <w:pPr>
        <w:tabs>
          <w:tab w:val="left" w:pos="-720"/>
        </w:tabs>
        <w:suppressAutoHyphens/>
        <w:spacing w:line="312" w:lineRule="auto"/>
        <w:ind w:right="-7" w:firstLine="851"/>
        <w:jc w:val="both"/>
        <w:rPr>
          <w:rFonts w:ascii="Arial Narrow" w:hAnsi="Arial Narrow" w:cs="Tahoma"/>
          <w:color w:val="000000"/>
          <w:spacing w:val="-2"/>
          <w:sz w:val="26"/>
          <w:szCs w:val="26"/>
        </w:rPr>
      </w:pPr>
    </w:p>
    <w:p w:rsidR="002245B8" w:rsidRPr="00ED290D" w:rsidRDefault="002245B8" w:rsidP="00AF4061">
      <w:pPr>
        <w:tabs>
          <w:tab w:val="left" w:pos="-720"/>
        </w:tabs>
        <w:suppressAutoHyphens/>
        <w:spacing w:line="312" w:lineRule="auto"/>
        <w:ind w:right="-7" w:firstLine="851"/>
        <w:jc w:val="both"/>
        <w:rPr>
          <w:rFonts w:ascii="Arial Narrow" w:hAnsi="Arial Narrow" w:cs="Tahoma"/>
          <w:color w:val="000000"/>
          <w:spacing w:val="-2"/>
          <w:sz w:val="26"/>
          <w:szCs w:val="26"/>
        </w:rPr>
      </w:pPr>
      <w:r w:rsidRPr="00ED290D">
        <w:rPr>
          <w:rFonts w:ascii="Arial Narrow" w:hAnsi="Arial Narrow" w:cs="Tahoma"/>
          <w:color w:val="000000"/>
          <w:spacing w:val="-2"/>
          <w:sz w:val="26"/>
          <w:szCs w:val="26"/>
        </w:rPr>
        <w:t>Por lo tanto, ninguna razón justifica la omisión de la entidad en la realización de la valoración de la pérdida de capacidad laboral solicitada por el actor, razón por la cual se observa que la decisión de primer grado es acertada y, por tanto, deberá confirmarse.</w:t>
      </w:r>
    </w:p>
    <w:p w:rsidR="006B24F2" w:rsidRPr="00ED290D" w:rsidRDefault="006B24F2" w:rsidP="00AF4061">
      <w:pPr>
        <w:pStyle w:val="Prrafodelista1"/>
        <w:spacing w:line="312" w:lineRule="auto"/>
        <w:ind w:left="0" w:firstLine="851"/>
        <w:jc w:val="both"/>
        <w:rPr>
          <w:rFonts w:ascii="Arial Narrow" w:hAnsi="Arial Narrow"/>
          <w:sz w:val="26"/>
          <w:szCs w:val="26"/>
        </w:rPr>
      </w:pPr>
    </w:p>
    <w:p w:rsidR="00EF2DB9" w:rsidRPr="00ED290D" w:rsidRDefault="00EF2DB9" w:rsidP="00AF4061">
      <w:pPr>
        <w:pStyle w:val="Prrafodelista1"/>
        <w:spacing w:line="312" w:lineRule="auto"/>
        <w:ind w:left="0" w:firstLine="851"/>
        <w:jc w:val="both"/>
        <w:rPr>
          <w:rFonts w:ascii="Arial Narrow" w:hAnsi="Arial Narrow"/>
          <w:sz w:val="26"/>
          <w:szCs w:val="26"/>
        </w:rPr>
      </w:pPr>
      <w:r w:rsidRPr="00ED290D">
        <w:rPr>
          <w:rFonts w:ascii="Arial Narrow" w:hAnsi="Arial Narrow"/>
          <w:sz w:val="26"/>
          <w:szCs w:val="26"/>
        </w:rPr>
        <w:t>En mérito de lo expuesto,</w:t>
      </w:r>
      <w:r w:rsidRPr="00ED290D">
        <w:rPr>
          <w:rFonts w:ascii="Arial Narrow" w:hAnsi="Arial Narrow"/>
          <w:b/>
          <w:sz w:val="26"/>
          <w:szCs w:val="26"/>
        </w:rPr>
        <w:t xml:space="preserve"> </w:t>
      </w:r>
      <w:r w:rsidRPr="00ED290D">
        <w:rPr>
          <w:rFonts w:ascii="Arial Narrow" w:hAnsi="Arial Narrow"/>
          <w:b/>
          <w:i/>
          <w:sz w:val="26"/>
          <w:szCs w:val="26"/>
        </w:rPr>
        <w:t>el Tribunal Superior del Distrito Judicial de Pereira - Risaralda, Sala Laboral,</w:t>
      </w:r>
      <w:r w:rsidRPr="00ED290D">
        <w:rPr>
          <w:rFonts w:ascii="Arial Narrow" w:hAnsi="Arial Narrow"/>
          <w:b/>
          <w:sz w:val="26"/>
          <w:szCs w:val="26"/>
        </w:rPr>
        <w:t xml:space="preserve"> </w:t>
      </w:r>
      <w:r w:rsidRPr="00ED290D">
        <w:rPr>
          <w:rFonts w:ascii="Arial Narrow" w:hAnsi="Arial Narrow"/>
          <w:sz w:val="26"/>
          <w:szCs w:val="26"/>
        </w:rPr>
        <w:t>administrando justicia en nombre del pueblo y por mandato de la Constitución,</w:t>
      </w:r>
    </w:p>
    <w:p w:rsidR="00EF2DB9" w:rsidRPr="00ED290D" w:rsidRDefault="00EF2DB9" w:rsidP="00AF4061">
      <w:pPr>
        <w:spacing w:line="312" w:lineRule="auto"/>
        <w:ind w:firstLine="851"/>
        <w:jc w:val="center"/>
        <w:rPr>
          <w:rFonts w:ascii="Arial Narrow" w:hAnsi="Arial Narrow" w:cs="Arial"/>
          <w:b/>
          <w:i/>
          <w:sz w:val="26"/>
          <w:szCs w:val="26"/>
        </w:rPr>
      </w:pPr>
    </w:p>
    <w:p w:rsidR="00EF2DB9" w:rsidRPr="00ED290D" w:rsidRDefault="00EF2DB9" w:rsidP="00AF4061">
      <w:pPr>
        <w:spacing w:line="312" w:lineRule="auto"/>
        <w:ind w:firstLine="851"/>
        <w:jc w:val="center"/>
        <w:rPr>
          <w:rFonts w:ascii="Arial Narrow" w:hAnsi="Arial Narrow" w:cs="Arial"/>
          <w:b/>
          <w:i/>
          <w:sz w:val="26"/>
          <w:szCs w:val="26"/>
        </w:rPr>
      </w:pPr>
      <w:r w:rsidRPr="00ED290D">
        <w:rPr>
          <w:rFonts w:ascii="Arial Narrow" w:hAnsi="Arial Narrow" w:cs="Arial"/>
          <w:b/>
          <w:i/>
          <w:sz w:val="26"/>
          <w:szCs w:val="26"/>
        </w:rPr>
        <w:lastRenderedPageBreak/>
        <w:t>FALLA</w:t>
      </w:r>
    </w:p>
    <w:p w:rsidR="00EF2DB9" w:rsidRPr="00ED290D" w:rsidRDefault="00EF2DB9" w:rsidP="00AF4061">
      <w:pPr>
        <w:spacing w:line="312" w:lineRule="auto"/>
        <w:ind w:firstLine="851"/>
        <w:jc w:val="center"/>
        <w:rPr>
          <w:rFonts w:ascii="Arial Narrow" w:hAnsi="Arial Narrow" w:cs="Arial"/>
          <w:b/>
          <w:i/>
          <w:sz w:val="26"/>
          <w:szCs w:val="26"/>
        </w:rPr>
      </w:pPr>
    </w:p>
    <w:p w:rsidR="00E01EB2" w:rsidRPr="00ED290D" w:rsidRDefault="00EF2DB9" w:rsidP="00AF4061">
      <w:pPr>
        <w:spacing w:line="312" w:lineRule="auto"/>
        <w:ind w:firstLine="851"/>
        <w:jc w:val="both"/>
        <w:rPr>
          <w:rFonts w:ascii="Arial Narrow" w:hAnsi="Arial Narrow" w:cs="Arial"/>
          <w:b/>
          <w:spacing w:val="-2"/>
          <w:sz w:val="26"/>
          <w:szCs w:val="26"/>
        </w:rPr>
      </w:pPr>
      <w:r w:rsidRPr="00ED290D">
        <w:rPr>
          <w:rFonts w:ascii="Arial Narrow" w:hAnsi="Arial Narrow" w:cs="Arial"/>
          <w:b/>
          <w:i/>
          <w:sz w:val="26"/>
          <w:szCs w:val="26"/>
        </w:rPr>
        <w:t xml:space="preserve">1º. </w:t>
      </w:r>
      <w:r w:rsidR="00274F61" w:rsidRPr="00ED290D">
        <w:rPr>
          <w:rFonts w:ascii="Arial Narrow" w:hAnsi="Arial Narrow" w:cs="Arial"/>
          <w:b/>
          <w:i/>
          <w:spacing w:val="-2"/>
          <w:sz w:val="26"/>
          <w:szCs w:val="26"/>
        </w:rPr>
        <w:t>Confirmar</w:t>
      </w:r>
      <w:r w:rsidRPr="00ED290D">
        <w:rPr>
          <w:rFonts w:ascii="Arial Narrow" w:hAnsi="Arial Narrow" w:cs="Arial"/>
          <w:b/>
          <w:i/>
          <w:spacing w:val="-2"/>
          <w:sz w:val="26"/>
          <w:szCs w:val="26"/>
        </w:rPr>
        <w:t xml:space="preserve"> </w:t>
      </w:r>
      <w:r w:rsidRPr="00ED290D">
        <w:rPr>
          <w:rFonts w:ascii="Arial Narrow" w:hAnsi="Arial Narrow" w:cs="Arial"/>
          <w:spacing w:val="-2"/>
          <w:sz w:val="26"/>
          <w:szCs w:val="26"/>
        </w:rPr>
        <w:t xml:space="preserve">el fallo </w:t>
      </w:r>
      <w:r w:rsidR="00E01EB2" w:rsidRPr="00ED290D">
        <w:rPr>
          <w:rFonts w:ascii="Arial Narrow" w:hAnsi="Arial Narrow" w:cs="Arial"/>
          <w:spacing w:val="-2"/>
          <w:sz w:val="26"/>
          <w:szCs w:val="26"/>
        </w:rPr>
        <w:t xml:space="preserve">del </w:t>
      </w:r>
      <w:r w:rsidR="002245B8" w:rsidRPr="00ED290D">
        <w:rPr>
          <w:rFonts w:ascii="Arial Narrow" w:hAnsi="Arial Narrow" w:cs="Arial"/>
          <w:spacing w:val="-2"/>
          <w:sz w:val="26"/>
          <w:szCs w:val="26"/>
        </w:rPr>
        <w:t>07</w:t>
      </w:r>
      <w:r w:rsidR="00E01EB2" w:rsidRPr="00ED290D">
        <w:rPr>
          <w:rFonts w:ascii="Arial Narrow" w:hAnsi="Arial Narrow" w:cs="Arial"/>
          <w:spacing w:val="-2"/>
          <w:sz w:val="26"/>
          <w:szCs w:val="26"/>
        </w:rPr>
        <w:t xml:space="preserve"> de </w:t>
      </w:r>
      <w:r w:rsidR="002245B8" w:rsidRPr="00ED290D">
        <w:rPr>
          <w:rFonts w:ascii="Arial Narrow" w:hAnsi="Arial Narrow" w:cs="Arial"/>
          <w:spacing w:val="-2"/>
          <w:sz w:val="26"/>
          <w:szCs w:val="26"/>
        </w:rPr>
        <w:t>diciembre</w:t>
      </w:r>
      <w:r w:rsidR="00E01EB2" w:rsidRPr="00ED290D">
        <w:rPr>
          <w:rFonts w:ascii="Arial Narrow" w:hAnsi="Arial Narrow" w:cs="Arial"/>
          <w:spacing w:val="-2"/>
          <w:sz w:val="26"/>
          <w:szCs w:val="26"/>
        </w:rPr>
        <w:t xml:space="preserve"> de 201</w:t>
      </w:r>
      <w:r w:rsidR="002245B8" w:rsidRPr="00ED290D">
        <w:rPr>
          <w:rFonts w:ascii="Arial Narrow" w:hAnsi="Arial Narrow" w:cs="Arial"/>
          <w:spacing w:val="-2"/>
          <w:sz w:val="26"/>
          <w:szCs w:val="26"/>
        </w:rPr>
        <w:t>8</w:t>
      </w:r>
      <w:r w:rsidR="00E01EB2" w:rsidRPr="00ED290D">
        <w:rPr>
          <w:rFonts w:ascii="Arial Narrow" w:hAnsi="Arial Narrow" w:cs="Arial"/>
          <w:spacing w:val="-2"/>
          <w:sz w:val="26"/>
          <w:szCs w:val="26"/>
        </w:rPr>
        <w:t xml:space="preserve">, proferido por el </w:t>
      </w:r>
      <w:r w:rsidRPr="00ED290D">
        <w:rPr>
          <w:rFonts w:ascii="Arial Narrow" w:hAnsi="Arial Narrow" w:cs="Arial"/>
          <w:spacing w:val="-2"/>
          <w:sz w:val="26"/>
          <w:szCs w:val="26"/>
        </w:rPr>
        <w:t xml:space="preserve">Juzgado </w:t>
      </w:r>
      <w:r w:rsidR="006B24F2" w:rsidRPr="00ED290D">
        <w:rPr>
          <w:rFonts w:ascii="Arial Narrow" w:hAnsi="Arial Narrow" w:cs="Arial"/>
          <w:spacing w:val="-2"/>
          <w:sz w:val="26"/>
          <w:szCs w:val="26"/>
        </w:rPr>
        <w:t>Segundo</w:t>
      </w:r>
      <w:r w:rsidRPr="00ED290D">
        <w:rPr>
          <w:rFonts w:ascii="Arial Narrow" w:hAnsi="Arial Narrow" w:cs="Arial"/>
          <w:spacing w:val="-2"/>
          <w:sz w:val="26"/>
          <w:szCs w:val="26"/>
        </w:rPr>
        <w:t xml:space="preserve"> Laboral del Circuito de Pereira Risaralda</w:t>
      </w:r>
      <w:r w:rsidR="00274F61" w:rsidRPr="00ED290D">
        <w:rPr>
          <w:rFonts w:ascii="Arial Narrow" w:hAnsi="Arial Narrow" w:cs="Arial"/>
          <w:spacing w:val="-2"/>
          <w:sz w:val="26"/>
          <w:szCs w:val="26"/>
        </w:rPr>
        <w:t xml:space="preserve"> dentro de la acción de tutela adelantada por </w:t>
      </w:r>
      <w:r w:rsidR="002245B8" w:rsidRPr="00ED290D">
        <w:rPr>
          <w:rFonts w:ascii="Arial Narrow" w:hAnsi="Arial Narrow" w:cs="Arial"/>
          <w:spacing w:val="-2"/>
          <w:sz w:val="26"/>
          <w:szCs w:val="26"/>
        </w:rPr>
        <w:t>el</w:t>
      </w:r>
      <w:r w:rsidR="00274F61" w:rsidRPr="00ED290D">
        <w:rPr>
          <w:rFonts w:ascii="Arial Narrow" w:hAnsi="Arial Narrow" w:cs="Arial"/>
          <w:spacing w:val="-2"/>
          <w:sz w:val="26"/>
          <w:szCs w:val="26"/>
        </w:rPr>
        <w:t xml:space="preserve"> señor </w:t>
      </w:r>
      <w:r w:rsidR="002245B8" w:rsidRPr="00ED290D">
        <w:rPr>
          <w:rFonts w:ascii="Arial Narrow" w:hAnsi="Arial Narrow" w:cs="Arial"/>
          <w:b/>
          <w:spacing w:val="-2"/>
          <w:sz w:val="26"/>
          <w:szCs w:val="26"/>
        </w:rPr>
        <w:t xml:space="preserve">Fabio de Jesús Muñoz </w:t>
      </w:r>
      <w:proofErr w:type="spellStart"/>
      <w:r w:rsidR="002245B8" w:rsidRPr="00ED290D">
        <w:rPr>
          <w:rFonts w:ascii="Arial Narrow" w:hAnsi="Arial Narrow" w:cs="Arial"/>
          <w:b/>
          <w:spacing w:val="-2"/>
          <w:sz w:val="26"/>
          <w:szCs w:val="26"/>
        </w:rPr>
        <w:t>Muñoz</w:t>
      </w:r>
      <w:proofErr w:type="spellEnd"/>
      <w:r w:rsidR="00274F61" w:rsidRPr="00ED290D">
        <w:rPr>
          <w:rFonts w:ascii="Arial Narrow" w:hAnsi="Arial Narrow" w:cs="Arial"/>
          <w:b/>
          <w:spacing w:val="-2"/>
          <w:sz w:val="26"/>
          <w:szCs w:val="26"/>
        </w:rPr>
        <w:t xml:space="preserve"> </w:t>
      </w:r>
      <w:r w:rsidR="00274F61" w:rsidRPr="00ED290D">
        <w:rPr>
          <w:rFonts w:ascii="Arial Narrow" w:hAnsi="Arial Narrow" w:cs="Arial"/>
          <w:spacing w:val="-2"/>
          <w:sz w:val="26"/>
          <w:szCs w:val="26"/>
        </w:rPr>
        <w:t>en contra de</w:t>
      </w:r>
      <w:r w:rsidR="006B24F2" w:rsidRPr="00ED290D">
        <w:rPr>
          <w:rFonts w:ascii="Arial Narrow" w:hAnsi="Arial Narrow" w:cs="Arial"/>
          <w:spacing w:val="-2"/>
          <w:sz w:val="26"/>
          <w:szCs w:val="26"/>
        </w:rPr>
        <w:t xml:space="preserve"> </w:t>
      </w:r>
      <w:r w:rsidR="00274F61" w:rsidRPr="00ED290D">
        <w:rPr>
          <w:rFonts w:ascii="Arial Narrow" w:hAnsi="Arial Narrow" w:cs="Arial"/>
          <w:spacing w:val="-2"/>
          <w:sz w:val="26"/>
          <w:szCs w:val="26"/>
        </w:rPr>
        <w:t>l</w:t>
      </w:r>
      <w:r w:rsidR="006B24F2" w:rsidRPr="00ED290D">
        <w:rPr>
          <w:rFonts w:ascii="Arial Narrow" w:hAnsi="Arial Narrow" w:cs="Arial"/>
          <w:spacing w:val="-2"/>
          <w:sz w:val="26"/>
          <w:szCs w:val="26"/>
        </w:rPr>
        <w:t>a</w:t>
      </w:r>
      <w:r w:rsidR="00274F61" w:rsidRPr="00ED290D">
        <w:rPr>
          <w:rFonts w:ascii="Arial Narrow" w:hAnsi="Arial Narrow" w:cs="Arial"/>
          <w:spacing w:val="-2"/>
          <w:sz w:val="26"/>
          <w:szCs w:val="26"/>
        </w:rPr>
        <w:t xml:space="preserve"> </w:t>
      </w:r>
      <w:r w:rsidR="006B24F2" w:rsidRPr="00ED290D">
        <w:rPr>
          <w:rFonts w:ascii="Arial Narrow" w:hAnsi="Arial Narrow" w:cs="Arial"/>
          <w:b/>
          <w:spacing w:val="-2"/>
          <w:sz w:val="26"/>
          <w:szCs w:val="26"/>
        </w:rPr>
        <w:t>Administradora Colombiana de Pensiones - Colpensiones</w:t>
      </w:r>
    </w:p>
    <w:p w:rsidR="00EF2DB9" w:rsidRPr="00ED290D" w:rsidRDefault="00EF2DB9" w:rsidP="00AF4061">
      <w:pPr>
        <w:spacing w:line="312" w:lineRule="auto"/>
        <w:ind w:firstLine="851"/>
        <w:jc w:val="both"/>
        <w:rPr>
          <w:rFonts w:ascii="Arial Narrow" w:hAnsi="Arial Narrow" w:cs="Tahoma"/>
          <w:b/>
          <w:i/>
          <w:sz w:val="26"/>
          <w:szCs w:val="26"/>
        </w:rPr>
      </w:pPr>
    </w:p>
    <w:p w:rsidR="00EF2DB9" w:rsidRPr="00ED290D" w:rsidRDefault="00EF2DB9" w:rsidP="00AF4061">
      <w:pPr>
        <w:spacing w:line="312" w:lineRule="auto"/>
        <w:ind w:firstLine="851"/>
        <w:jc w:val="both"/>
        <w:rPr>
          <w:rFonts w:ascii="Arial Narrow" w:hAnsi="Arial Narrow" w:cs="Arial"/>
          <w:i/>
          <w:sz w:val="26"/>
          <w:szCs w:val="26"/>
        </w:rPr>
      </w:pPr>
      <w:r w:rsidRPr="00ED290D">
        <w:rPr>
          <w:rFonts w:ascii="Arial Narrow" w:hAnsi="Arial Narrow" w:cs="Arial"/>
          <w:b/>
          <w:i/>
          <w:spacing w:val="-2"/>
          <w:sz w:val="26"/>
          <w:szCs w:val="26"/>
        </w:rPr>
        <w:t>2.</w:t>
      </w:r>
      <w:r w:rsidRPr="00ED290D">
        <w:rPr>
          <w:rFonts w:ascii="Arial Narrow" w:hAnsi="Arial Narrow" w:cs="Arial"/>
          <w:b/>
          <w:i/>
          <w:sz w:val="26"/>
          <w:szCs w:val="26"/>
        </w:rPr>
        <w:t xml:space="preserve"> Notificar</w:t>
      </w:r>
      <w:r w:rsidRPr="00ED290D">
        <w:rPr>
          <w:rFonts w:ascii="Arial Narrow" w:hAnsi="Arial Narrow" w:cs="Arial"/>
          <w:i/>
          <w:sz w:val="26"/>
          <w:szCs w:val="26"/>
        </w:rPr>
        <w:t xml:space="preserve"> la decisión por el medio más eficaz.</w:t>
      </w:r>
    </w:p>
    <w:p w:rsidR="00EF2DB9" w:rsidRPr="00ED290D" w:rsidRDefault="00EF2DB9" w:rsidP="00AF4061">
      <w:pPr>
        <w:spacing w:line="312" w:lineRule="auto"/>
        <w:ind w:firstLine="851"/>
        <w:jc w:val="both"/>
        <w:rPr>
          <w:rFonts w:ascii="Arial Narrow" w:hAnsi="Arial Narrow" w:cs="Arial"/>
          <w:i/>
          <w:sz w:val="26"/>
          <w:szCs w:val="26"/>
        </w:rPr>
      </w:pPr>
    </w:p>
    <w:p w:rsidR="00EF2DB9" w:rsidRPr="00ED290D" w:rsidRDefault="00EF2DB9" w:rsidP="00AF4061">
      <w:pPr>
        <w:suppressAutoHyphens/>
        <w:spacing w:line="312" w:lineRule="auto"/>
        <w:ind w:firstLine="851"/>
        <w:jc w:val="both"/>
        <w:rPr>
          <w:rFonts w:ascii="Arial Narrow" w:hAnsi="Arial Narrow" w:cs="Arial"/>
          <w:i/>
          <w:spacing w:val="-2"/>
          <w:sz w:val="26"/>
          <w:szCs w:val="26"/>
        </w:rPr>
      </w:pPr>
      <w:r w:rsidRPr="00ED290D">
        <w:rPr>
          <w:rFonts w:ascii="Arial Narrow" w:hAnsi="Arial Narrow" w:cs="Arial"/>
          <w:b/>
          <w:i/>
          <w:spacing w:val="-2"/>
          <w:sz w:val="26"/>
          <w:szCs w:val="26"/>
        </w:rPr>
        <w:t>3. Remitir</w:t>
      </w:r>
      <w:r w:rsidRPr="00ED290D">
        <w:rPr>
          <w:rFonts w:ascii="Arial Narrow" w:hAnsi="Arial Narrow" w:cs="Arial"/>
          <w:i/>
          <w:spacing w:val="-2"/>
          <w:sz w:val="26"/>
          <w:szCs w:val="26"/>
        </w:rPr>
        <w:t xml:space="preserve"> el expediente a la Corte Constitucional para su eventual revisión, conforme al artículo 31 del Decreto 2591 de 1991.</w:t>
      </w:r>
    </w:p>
    <w:p w:rsidR="00EF2DB9" w:rsidRPr="00ED290D" w:rsidRDefault="00EF2DB9" w:rsidP="00AF4061">
      <w:pPr>
        <w:pStyle w:val="Prrafodelista1"/>
        <w:spacing w:line="312" w:lineRule="auto"/>
        <w:ind w:left="0" w:firstLine="851"/>
        <w:jc w:val="both"/>
        <w:rPr>
          <w:rFonts w:ascii="Arial Narrow" w:hAnsi="Arial Narrow"/>
          <w:b/>
          <w:i/>
          <w:sz w:val="26"/>
          <w:szCs w:val="26"/>
        </w:rPr>
      </w:pPr>
    </w:p>
    <w:p w:rsidR="00EF2DB9" w:rsidRPr="00ED290D" w:rsidRDefault="00EF2DB9" w:rsidP="00AF4061">
      <w:pPr>
        <w:pStyle w:val="Prrafodelista1"/>
        <w:spacing w:line="312" w:lineRule="auto"/>
        <w:ind w:left="0" w:firstLine="851"/>
        <w:jc w:val="both"/>
        <w:rPr>
          <w:rFonts w:ascii="Arial Narrow" w:hAnsi="Arial Narrow"/>
          <w:b/>
          <w:i/>
          <w:sz w:val="26"/>
          <w:szCs w:val="26"/>
        </w:rPr>
      </w:pPr>
      <w:r w:rsidRPr="00ED290D">
        <w:rPr>
          <w:rFonts w:ascii="Arial Narrow" w:hAnsi="Arial Narrow"/>
          <w:b/>
          <w:i/>
          <w:sz w:val="26"/>
          <w:szCs w:val="26"/>
        </w:rPr>
        <w:t>CÓPIESE, NOTIFÍQUESE Y CÚMPLASE.</w:t>
      </w:r>
    </w:p>
    <w:p w:rsidR="00ED290D" w:rsidRPr="00C31D65" w:rsidRDefault="00ED290D" w:rsidP="00AF4061">
      <w:pPr>
        <w:spacing w:line="312" w:lineRule="auto"/>
        <w:jc w:val="both"/>
        <w:rPr>
          <w:rFonts w:ascii="Arial Narrow" w:hAnsi="Arial Narrow" w:cs="Tahoma"/>
          <w:b/>
          <w:sz w:val="26"/>
          <w:szCs w:val="26"/>
        </w:rPr>
      </w:pPr>
    </w:p>
    <w:p w:rsidR="00ED290D" w:rsidRPr="00C31D65" w:rsidRDefault="00ED290D" w:rsidP="00AF4061">
      <w:pPr>
        <w:spacing w:line="312" w:lineRule="auto"/>
        <w:jc w:val="both"/>
        <w:rPr>
          <w:rFonts w:ascii="Arial Narrow" w:hAnsi="Arial Narrow" w:cs="Tahoma"/>
          <w:b/>
          <w:sz w:val="26"/>
          <w:szCs w:val="26"/>
        </w:rPr>
      </w:pPr>
    </w:p>
    <w:p w:rsidR="00ED290D" w:rsidRPr="00C31D65" w:rsidRDefault="00ED290D" w:rsidP="00AF4061">
      <w:pPr>
        <w:spacing w:line="312" w:lineRule="auto"/>
        <w:jc w:val="both"/>
        <w:rPr>
          <w:rFonts w:ascii="Arial Narrow" w:hAnsi="Arial Narrow" w:cs="Tahoma"/>
          <w:b/>
          <w:sz w:val="26"/>
          <w:szCs w:val="26"/>
        </w:rPr>
      </w:pPr>
    </w:p>
    <w:p w:rsidR="00ED290D" w:rsidRPr="00E1577B" w:rsidRDefault="00ED290D" w:rsidP="00AF4061">
      <w:pPr>
        <w:spacing w:line="312" w:lineRule="auto"/>
        <w:jc w:val="center"/>
        <w:rPr>
          <w:rFonts w:ascii="Arial Narrow" w:hAnsi="Arial Narrow" w:cs="Tahoma"/>
          <w:b/>
          <w:bCs/>
          <w:iCs/>
          <w:sz w:val="26"/>
          <w:szCs w:val="26"/>
        </w:rPr>
      </w:pPr>
      <w:r w:rsidRPr="00E1577B">
        <w:rPr>
          <w:rFonts w:ascii="Arial Narrow" w:hAnsi="Arial Narrow" w:cs="Tahoma"/>
          <w:b/>
          <w:bCs/>
          <w:iCs/>
          <w:sz w:val="26"/>
          <w:szCs w:val="26"/>
        </w:rPr>
        <w:t>FRANCISCO JAVIER TAMAYO TABARES</w:t>
      </w:r>
    </w:p>
    <w:p w:rsidR="00ED290D" w:rsidRPr="00E1577B" w:rsidRDefault="00ED290D" w:rsidP="00AF4061">
      <w:pPr>
        <w:spacing w:line="312" w:lineRule="auto"/>
        <w:jc w:val="center"/>
        <w:rPr>
          <w:rFonts w:ascii="Arial Narrow" w:hAnsi="Arial Narrow" w:cs="Tahoma"/>
          <w:sz w:val="26"/>
          <w:szCs w:val="26"/>
        </w:rPr>
      </w:pPr>
      <w:r w:rsidRPr="00E1577B">
        <w:rPr>
          <w:rFonts w:ascii="Arial Narrow" w:hAnsi="Arial Narrow" w:cs="Tahoma"/>
          <w:sz w:val="26"/>
          <w:szCs w:val="26"/>
        </w:rPr>
        <w:t>Magistrado Ponente</w:t>
      </w:r>
    </w:p>
    <w:p w:rsidR="00ED290D" w:rsidRPr="00E1577B" w:rsidRDefault="00ED290D" w:rsidP="00AF4061">
      <w:pPr>
        <w:spacing w:line="312" w:lineRule="auto"/>
        <w:jc w:val="both"/>
        <w:rPr>
          <w:rFonts w:ascii="Arial Narrow" w:hAnsi="Arial Narrow" w:cs="Tahoma"/>
          <w:sz w:val="26"/>
          <w:szCs w:val="26"/>
        </w:rPr>
      </w:pPr>
    </w:p>
    <w:p w:rsidR="00ED290D" w:rsidRPr="00E1577B" w:rsidRDefault="00ED290D" w:rsidP="00AF4061">
      <w:pPr>
        <w:spacing w:line="312" w:lineRule="auto"/>
        <w:jc w:val="both"/>
        <w:rPr>
          <w:rFonts w:ascii="Arial Narrow" w:hAnsi="Arial Narrow" w:cs="Tahoma"/>
          <w:b/>
          <w:sz w:val="26"/>
          <w:szCs w:val="26"/>
        </w:rPr>
      </w:pPr>
    </w:p>
    <w:p w:rsidR="00ED290D" w:rsidRPr="00E1577B" w:rsidRDefault="00ED290D" w:rsidP="00AF4061">
      <w:pPr>
        <w:spacing w:line="312" w:lineRule="auto"/>
        <w:jc w:val="both"/>
        <w:rPr>
          <w:rFonts w:ascii="Arial Narrow" w:hAnsi="Arial Narrow" w:cs="Tahoma"/>
          <w:b/>
          <w:sz w:val="26"/>
          <w:szCs w:val="26"/>
        </w:rPr>
      </w:pPr>
    </w:p>
    <w:p w:rsidR="00ED290D" w:rsidRPr="00E1577B" w:rsidRDefault="00ED290D" w:rsidP="00AF4061">
      <w:pPr>
        <w:tabs>
          <w:tab w:val="left" w:pos="8647"/>
        </w:tabs>
        <w:spacing w:line="312" w:lineRule="auto"/>
        <w:jc w:val="both"/>
        <w:rPr>
          <w:rFonts w:ascii="Arial Narrow" w:hAnsi="Arial Narrow" w:cs="Tahoma"/>
          <w:b/>
          <w:bCs/>
          <w:iCs/>
          <w:sz w:val="26"/>
          <w:szCs w:val="26"/>
        </w:rPr>
      </w:pPr>
      <w:r w:rsidRPr="00E1577B">
        <w:rPr>
          <w:rFonts w:ascii="Arial Narrow" w:hAnsi="Arial Narrow" w:cs="Tahoma"/>
          <w:b/>
          <w:bCs/>
          <w:iCs/>
          <w:sz w:val="26"/>
          <w:szCs w:val="26"/>
        </w:rPr>
        <w:t>OLGA LUCIA HOYOS SEPÚLVEDA                       ANA LUCIA CAICEDO CALDERÓN</w:t>
      </w:r>
    </w:p>
    <w:p w:rsidR="00ED290D" w:rsidRPr="00E1577B" w:rsidRDefault="00ED290D" w:rsidP="00AF4061">
      <w:pPr>
        <w:spacing w:line="312" w:lineRule="auto"/>
        <w:jc w:val="both"/>
        <w:rPr>
          <w:rFonts w:ascii="Arial Narrow" w:hAnsi="Arial Narrow" w:cs="Tahoma"/>
          <w:sz w:val="26"/>
          <w:szCs w:val="26"/>
        </w:rPr>
      </w:pPr>
      <w:r w:rsidRPr="00E1577B">
        <w:rPr>
          <w:rFonts w:ascii="Arial Narrow" w:hAnsi="Arial Narrow" w:cs="Tahoma"/>
          <w:sz w:val="26"/>
          <w:szCs w:val="26"/>
        </w:rPr>
        <w:t xml:space="preserve">                  Magistrada                                                                 </w:t>
      </w:r>
      <w:proofErr w:type="spellStart"/>
      <w:r w:rsidRPr="00E1577B">
        <w:rPr>
          <w:rFonts w:ascii="Arial Narrow" w:hAnsi="Arial Narrow" w:cs="Tahoma"/>
          <w:sz w:val="26"/>
          <w:szCs w:val="26"/>
        </w:rPr>
        <w:t>Magistrada</w:t>
      </w:r>
      <w:proofErr w:type="spellEnd"/>
    </w:p>
    <w:p w:rsidR="00ED290D" w:rsidRPr="00E1577B" w:rsidRDefault="00ED290D" w:rsidP="00AF4061">
      <w:pPr>
        <w:spacing w:line="312" w:lineRule="auto"/>
        <w:jc w:val="center"/>
        <w:rPr>
          <w:rFonts w:ascii="Arial Narrow" w:hAnsi="Arial Narrow" w:cs="Tahoma"/>
          <w:bCs/>
          <w:iCs/>
          <w:sz w:val="26"/>
          <w:szCs w:val="26"/>
        </w:rPr>
      </w:pPr>
    </w:p>
    <w:p w:rsidR="00ED290D" w:rsidRPr="00E1577B" w:rsidRDefault="00ED290D" w:rsidP="00AF4061">
      <w:pPr>
        <w:spacing w:line="312" w:lineRule="auto"/>
        <w:jc w:val="center"/>
        <w:rPr>
          <w:rFonts w:ascii="Arial Narrow" w:hAnsi="Arial Narrow" w:cs="Tahoma"/>
          <w:bCs/>
          <w:iCs/>
          <w:sz w:val="26"/>
          <w:szCs w:val="26"/>
        </w:rPr>
      </w:pPr>
    </w:p>
    <w:p w:rsidR="00ED290D" w:rsidRPr="00E1577B" w:rsidRDefault="00ED290D" w:rsidP="00AF4061">
      <w:pPr>
        <w:spacing w:line="312" w:lineRule="auto"/>
        <w:jc w:val="center"/>
        <w:rPr>
          <w:rFonts w:ascii="Arial Narrow" w:hAnsi="Arial Narrow" w:cs="Tahoma"/>
          <w:b/>
          <w:bCs/>
          <w:iCs/>
          <w:sz w:val="26"/>
          <w:szCs w:val="26"/>
        </w:rPr>
      </w:pPr>
      <w:r w:rsidRPr="00E1577B">
        <w:rPr>
          <w:rFonts w:ascii="Arial Narrow" w:hAnsi="Arial Narrow" w:cs="Tahoma"/>
          <w:b/>
          <w:bCs/>
          <w:iCs/>
          <w:sz w:val="26"/>
          <w:szCs w:val="26"/>
        </w:rPr>
        <w:t>Diego Andrés Morales Gómez</w:t>
      </w:r>
    </w:p>
    <w:p w:rsidR="00D84850" w:rsidRPr="00ED290D" w:rsidRDefault="00ED290D" w:rsidP="00AF4061">
      <w:pPr>
        <w:spacing w:line="312" w:lineRule="auto"/>
        <w:jc w:val="center"/>
        <w:rPr>
          <w:rFonts w:ascii="Arial Narrow" w:hAnsi="Arial Narrow"/>
          <w:sz w:val="26"/>
          <w:szCs w:val="26"/>
        </w:rPr>
      </w:pPr>
      <w:r w:rsidRPr="00E1577B">
        <w:rPr>
          <w:rFonts w:ascii="Arial Narrow" w:hAnsi="Arial Narrow" w:cs="Tahoma"/>
          <w:iCs/>
          <w:sz w:val="26"/>
          <w:szCs w:val="26"/>
        </w:rPr>
        <w:t>Secretario</w:t>
      </w:r>
    </w:p>
    <w:sectPr w:rsidR="00D84850" w:rsidRPr="00ED290D" w:rsidSect="00AF4061">
      <w:headerReference w:type="even" r:id="rId8"/>
      <w:headerReference w:type="default" r:id="rId9"/>
      <w:footerReference w:type="even" r:id="rId10"/>
      <w:footerReference w:type="default" r:id="rId11"/>
      <w:footerReference w:type="first" r:id="rId12"/>
      <w:pgSz w:w="12242" w:h="18722" w:code="14"/>
      <w:pgMar w:top="1985" w:right="1418" w:bottom="1418" w:left="1985"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9AA" w:rsidRDefault="006069AA" w:rsidP="00EF2DB9">
      <w:r>
        <w:separator/>
      </w:r>
    </w:p>
  </w:endnote>
  <w:endnote w:type="continuationSeparator" w:id="0">
    <w:p w:rsidR="006069AA" w:rsidRDefault="006069AA" w:rsidP="00EF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8FF" w:rsidRDefault="00094D1A" w:rsidP="001D2CB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318FF" w:rsidRDefault="006069AA" w:rsidP="001D2CB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750142"/>
      <w:docPartObj>
        <w:docPartGallery w:val="Page Numbers (Bottom of Page)"/>
        <w:docPartUnique/>
      </w:docPartObj>
    </w:sdtPr>
    <w:sdtEndPr/>
    <w:sdtContent>
      <w:p w:rsidR="00706D8C" w:rsidRDefault="00094D1A">
        <w:pPr>
          <w:pStyle w:val="Piedepgina"/>
          <w:jc w:val="center"/>
        </w:pPr>
        <w:r>
          <w:fldChar w:fldCharType="begin"/>
        </w:r>
        <w:r>
          <w:instrText>PAGE   \* MERGEFORMAT</w:instrText>
        </w:r>
        <w:r>
          <w:fldChar w:fldCharType="separate"/>
        </w:r>
        <w:r w:rsidR="00B0428C">
          <w:rPr>
            <w:noProof/>
          </w:rPr>
          <w:t>5</w:t>
        </w:r>
        <w:r>
          <w:fldChar w:fldCharType="end"/>
        </w:r>
      </w:p>
    </w:sdtContent>
  </w:sdt>
  <w:p w:rsidR="003318FF" w:rsidRDefault="006069AA" w:rsidP="001D2CBB">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254209"/>
      <w:docPartObj>
        <w:docPartGallery w:val="Page Numbers (Bottom of Page)"/>
        <w:docPartUnique/>
      </w:docPartObj>
    </w:sdtPr>
    <w:sdtEndPr>
      <w:rPr>
        <w:rFonts w:ascii="Arial" w:hAnsi="Arial" w:cs="Arial"/>
      </w:rPr>
    </w:sdtEndPr>
    <w:sdtContent>
      <w:p w:rsidR="00573095" w:rsidRPr="000507F9" w:rsidRDefault="00094D1A">
        <w:pPr>
          <w:pStyle w:val="Piedepgina"/>
          <w:jc w:val="center"/>
          <w:rPr>
            <w:rFonts w:ascii="Arial" w:hAnsi="Arial" w:cs="Arial"/>
          </w:rPr>
        </w:pPr>
        <w:r w:rsidRPr="000507F9">
          <w:rPr>
            <w:rFonts w:ascii="Arial" w:hAnsi="Arial" w:cs="Arial"/>
          </w:rPr>
          <w:fldChar w:fldCharType="begin"/>
        </w:r>
        <w:r w:rsidRPr="000507F9">
          <w:rPr>
            <w:rFonts w:ascii="Arial" w:hAnsi="Arial" w:cs="Arial"/>
          </w:rPr>
          <w:instrText>PAGE   \* MERGEFORMAT</w:instrText>
        </w:r>
        <w:r w:rsidRPr="000507F9">
          <w:rPr>
            <w:rFonts w:ascii="Arial" w:hAnsi="Arial" w:cs="Arial"/>
          </w:rPr>
          <w:fldChar w:fldCharType="separate"/>
        </w:r>
        <w:r w:rsidR="00B0428C">
          <w:rPr>
            <w:rFonts w:ascii="Arial" w:hAnsi="Arial" w:cs="Arial"/>
            <w:noProof/>
          </w:rPr>
          <w:t>1</w:t>
        </w:r>
        <w:r w:rsidRPr="000507F9">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9AA" w:rsidRDefault="006069AA" w:rsidP="00EF2DB9">
      <w:r>
        <w:separator/>
      </w:r>
    </w:p>
  </w:footnote>
  <w:footnote w:type="continuationSeparator" w:id="0">
    <w:p w:rsidR="006069AA" w:rsidRDefault="006069AA" w:rsidP="00EF2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8FF" w:rsidRDefault="00094D1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318FF" w:rsidRDefault="006069A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7F9" w:rsidRPr="000507F9" w:rsidRDefault="000507F9" w:rsidP="000507F9">
    <w:pPr>
      <w:widowControl w:val="0"/>
      <w:tabs>
        <w:tab w:val="center" w:pos="4419"/>
      </w:tabs>
      <w:autoSpaceDE w:val="0"/>
      <w:autoSpaceDN w:val="0"/>
      <w:adjustRightInd w:val="0"/>
      <w:rPr>
        <w:rFonts w:ascii="Arial" w:hAnsi="Arial" w:cs="Arial"/>
        <w:bCs/>
        <w:i/>
        <w:iCs/>
        <w:sz w:val="18"/>
        <w:lang w:eastAsia="es-MX"/>
      </w:rPr>
    </w:pPr>
    <w:r w:rsidRPr="000507F9">
      <w:rPr>
        <w:rFonts w:ascii="Arial" w:hAnsi="Arial" w:cs="Arial"/>
        <w:i/>
        <w:sz w:val="18"/>
        <w:lang w:val="es-MX" w:eastAsia="es-MX"/>
      </w:rPr>
      <w:t xml:space="preserve">Radicación No. </w:t>
    </w:r>
    <w:r w:rsidRPr="000507F9">
      <w:rPr>
        <w:rFonts w:ascii="Arial" w:hAnsi="Arial" w:cs="Arial"/>
        <w:bCs/>
        <w:i/>
        <w:iCs/>
        <w:sz w:val="18"/>
        <w:lang w:eastAsia="es-MX"/>
      </w:rPr>
      <w:t>66001-31-05-002-2018-00709-01</w:t>
    </w:r>
  </w:p>
  <w:p w:rsidR="00706D8C" w:rsidRPr="000507F9" w:rsidRDefault="000507F9" w:rsidP="000507F9">
    <w:pPr>
      <w:widowControl w:val="0"/>
      <w:tabs>
        <w:tab w:val="center" w:pos="4419"/>
      </w:tabs>
      <w:autoSpaceDE w:val="0"/>
      <w:autoSpaceDN w:val="0"/>
      <w:adjustRightInd w:val="0"/>
      <w:rPr>
        <w:rFonts w:ascii="Arial" w:hAnsi="Arial" w:cs="Arial"/>
        <w:bCs/>
        <w:i/>
        <w:iCs/>
        <w:sz w:val="18"/>
        <w:lang w:eastAsia="es-MX"/>
      </w:rPr>
    </w:pPr>
    <w:r w:rsidRPr="000507F9">
      <w:rPr>
        <w:rFonts w:ascii="Arial" w:hAnsi="Arial" w:cs="Arial"/>
        <w:bCs/>
        <w:i/>
        <w:iCs/>
        <w:sz w:val="18"/>
        <w:lang w:eastAsia="es-MX"/>
      </w:rPr>
      <w:t xml:space="preserve">Fabio de Jesús Muñoz </w:t>
    </w:r>
    <w:proofErr w:type="spellStart"/>
    <w:r w:rsidRPr="000507F9">
      <w:rPr>
        <w:rFonts w:ascii="Arial" w:hAnsi="Arial" w:cs="Arial"/>
        <w:bCs/>
        <w:i/>
        <w:iCs/>
        <w:sz w:val="18"/>
        <w:lang w:eastAsia="es-MX"/>
      </w:rPr>
      <w:t>Muñoz</w:t>
    </w:r>
    <w:proofErr w:type="spellEnd"/>
    <w:r w:rsidRPr="000507F9">
      <w:rPr>
        <w:rFonts w:ascii="Arial" w:hAnsi="Arial" w:cs="Arial"/>
        <w:bCs/>
        <w:i/>
        <w:iCs/>
        <w:sz w:val="18"/>
        <w:lang w:eastAsia="es-MX"/>
      </w:rPr>
      <w:t xml:space="preserve"> </w:t>
    </w:r>
    <w:r w:rsidRPr="000507F9">
      <w:rPr>
        <w:rFonts w:ascii="Arial" w:hAnsi="Arial" w:cs="Arial"/>
        <w:i/>
        <w:sz w:val="18"/>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55BFE"/>
    <w:multiLevelType w:val="hybridMultilevel"/>
    <w:tmpl w:val="015C88D8"/>
    <w:lvl w:ilvl="0" w:tplc="AB78C24A">
      <w:start w:val="4"/>
      <w:numFmt w:val="bullet"/>
      <w:lvlText w:val="-"/>
      <w:lvlJc w:val="left"/>
      <w:pPr>
        <w:ind w:left="927" w:hanging="360"/>
      </w:pPr>
      <w:rPr>
        <w:rFonts w:ascii="Arial Narrow" w:eastAsia="Times New Roman" w:hAnsi="Arial Narrow" w:cs="Aria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1">
    <w:nsid w:val="4B9D1121"/>
    <w:multiLevelType w:val="hybridMultilevel"/>
    <w:tmpl w:val="F15E5EC0"/>
    <w:lvl w:ilvl="0" w:tplc="4BA6A0F8">
      <w:start w:val="4"/>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B9"/>
    <w:rsid w:val="00034D62"/>
    <w:rsid w:val="000507F9"/>
    <w:rsid w:val="00051539"/>
    <w:rsid w:val="000544CF"/>
    <w:rsid w:val="0006498B"/>
    <w:rsid w:val="0007343D"/>
    <w:rsid w:val="000806AE"/>
    <w:rsid w:val="00094D1A"/>
    <w:rsid w:val="00096CD4"/>
    <w:rsid w:val="000A366F"/>
    <w:rsid w:val="000C217D"/>
    <w:rsid w:val="000E4B73"/>
    <w:rsid w:val="000E7F42"/>
    <w:rsid w:val="000F6CA5"/>
    <w:rsid w:val="00107A23"/>
    <w:rsid w:val="00114C5D"/>
    <w:rsid w:val="00121DE2"/>
    <w:rsid w:val="00144351"/>
    <w:rsid w:val="00161FA5"/>
    <w:rsid w:val="00172834"/>
    <w:rsid w:val="00195F57"/>
    <w:rsid w:val="001B1244"/>
    <w:rsid w:val="001B15C1"/>
    <w:rsid w:val="001B7B2B"/>
    <w:rsid w:val="001D5943"/>
    <w:rsid w:val="001E521E"/>
    <w:rsid w:val="001F4796"/>
    <w:rsid w:val="00205D4E"/>
    <w:rsid w:val="00210B27"/>
    <w:rsid w:val="00211384"/>
    <w:rsid w:val="002245B8"/>
    <w:rsid w:val="00242152"/>
    <w:rsid w:val="0025420E"/>
    <w:rsid w:val="00257042"/>
    <w:rsid w:val="002708F8"/>
    <w:rsid w:val="00273C20"/>
    <w:rsid w:val="00274E22"/>
    <w:rsid w:val="00274F61"/>
    <w:rsid w:val="002936C7"/>
    <w:rsid w:val="002A2BDD"/>
    <w:rsid w:val="002B69F7"/>
    <w:rsid w:val="002C2326"/>
    <w:rsid w:val="002D78BD"/>
    <w:rsid w:val="00301BC5"/>
    <w:rsid w:val="003104F1"/>
    <w:rsid w:val="00312A1B"/>
    <w:rsid w:val="003250C2"/>
    <w:rsid w:val="003676D2"/>
    <w:rsid w:val="003827EE"/>
    <w:rsid w:val="003C4DC9"/>
    <w:rsid w:val="004151EF"/>
    <w:rsid w:val="00426F72"/>
    <w:rsid w:val="00474722"/>
    <w:rsid w:val="00483E33"/>
    <w:rsid w:val="004C3CF0"/>
    <w:rsid w:val="004C43B9"/>
    <w:rsid w:val="004D01C5"/>
    <w:rsid w:val="004F4B24"/>
    <w:rsid w:val="0050739C"/>
    <w:rsid w:val="00515BDC"/>
    <w:rsid w:val="0054131E"/>
    <w:rsid w:val="00542BCB"/>
    <w:rsid w:val="00562DFA"/>
    <w:rsid w:val="00563496"/>
    <w:rsid w:val="0058546D"/>
    <w:rsid w:val="00597689"/>
    <w:rsid w:val="005B19CF"/>
    <w:rsid w:val="005B5408"/>
    <w:rsid w:val="005C4C63"/>
    <w:rsid w:val="005D48E3"/>
    <w:rsid w:val="005E05E9"/>
    <w:rsid w:val="005F5E82"/>
    <w:rsid w:val="00601243"/>
    <w:rsid w:val="006069AA"/>
    <w:rsid w:val="00606A5A"/>
    <w:rsid w:val="006135E9"/>
    <w:rsid w:val="006226B6"/>
    <w:rsid w:val="00662BBF"/>
    <w:rsid w:val="0067518A"/>
    <w:rsid w:val="00677EA6"/>
    <w:rsid w:val="00697F4A"/>
    <w:rsid w:val="006A5917"/>
    <w:rsid w:val="006B24F2"/>
    <w:rsid w:val="006E6C05"/>
    <w:rsid w:val="006E7812"/>
    <w:rsid w:val="006F2FF3"/>
    <w:rsid w:val="006F5D16"/>
    <w:rsid w:val="0074785B"/>
    <w:rsid w:val="00763B52"/>
    <w:rsid w:val="00794CEA"/>
    <w:rsid w:val="00797961"/>
    <w:rsid w:val="007A05D5"/>
    <w:rsid w:val="007B5499"/>
    <w:rsid w:val="007C11D0"/>
    <w:rsid w:val="007E245C"/>
    <w:rsid w:val="00801EA7"/>
    <w:rsid w:val="008730BC"/>
    <w:rsid w:val="00890536"/>
    <w:rsid w:val="008B3744"/>
    <w:rsid w:val="008C413A"/>
    <w:rsid w:val="008F003B"/>
    <w:rsid w:val="008F5BC5"/>
    <w:rsid w:val="00904726"/>
    <w:rsid w:val="00907A5F"/>
    <w:rsid w:val="00910D9F"/>
    <w:rsid w:val="009121FD"/>
    <w:rsid w:val="009250B7"/>
    <w:rsid w:val="009313FB"/>
    <w:rsid w:val="00957E9D"/>
    <w:rsid w:val="009654E6"/>
    <w:rsid w:val="00992043"/>
    <w:rsid w:val="009954D7"/>
    <w:rsid w:val="009B79E4"/>
    <w:rsid w:val="009C77F3"/>
    <w:rsid w:val="00A23CFA"/>
    <w:rsid w:val="00A83C94"/>
    <w:rsid w:val="00A94EC4"/>
    <w:rsid w:val="00AA18C3"/>
    <w:rsid w:val="00AB3F8F"/>
    <w:rsid w:val="00AD113A"/>
    <w:rsid w:val="00AD1743"/>
    <w:rsid w:val="00AD2815"/>
    <w:rsid w:val="00AF4061"/>
    <w:rsid w:val="00AF6191"/>
    <w:rsid w:val="00AF7E3D"/>
    <w:rsid w:val="00B03830"/>
    <w:rsid w:val="00B0428C"/>
    <w:rsid w:val="00B27D51"/>
    <w:rsid w:val="00B56E76"/>
    <w:rsid w:val="00B6038F"/>
    <w:rsid w:val="00B76B80"/>
    <w:rsid w:val="00B81DE5"/>
    <w:rsid w:val="00B943CA"/>
    <w:rsid w:val="00BC097A"/>
    <w:rsid w:val="00BC1F3C"/>
    <w:rsid w:val="00BC6097"/>
    <w:rsid w:val="00BD1F62"/>
    <w:rsid w:val="00C312EE"/>
    <w:rsid w:val="00C32B09"/>
    <w:rsid w:val="00C33999"/>
    <w:rsid w:val="00CA4D07"/>
    <w:rsid w:val="00CA5815"/>
    <w:rsid w:val="00CC7FF3"/>
    <w:rsid w:val="00CF150C"/>
    <w:rsid w:val="00CF576A"/>
    <w:rsid w:val="00D10C09"/>
    <w:rsid w:val="00D13E8E"/>
    <w:rsid w:val="00D2326B"/>
    <w:rsid w:val="00D62ECF"/>
    <w:rsid w:val="00DB0105"/>
    <w:rsid w:val="00DB6BF3"/>
    <w:rsid w:val="00DC29C8"/>
    <w:rsid w:val="00DD36B5"/>
    <w:rsid w:val="00DF2E4F"/>
    <w:rsid w:val="00DF30A5"/>
    <w:rsid w:val="00E01EB2"/>
    <w:rsid w:val="00E27B52"/>
    <w:rsid w:val="00E325CF"/>
    <w:rsid w:val="00E34FC3"/>
    <w:rsid w:val="00E35F80"/>
    <w:rsid w:val="00E41428"/>
    <w:rsid w:val="00E5674D"/>
    <w:rsid w:val="00E77E97"/>
    <w:rsid w:val="00E8795B"/>
    <w:rsid w:val="00EA2928"/>
    <w:rsid w:val="00EA6F5D"/>
    <w:rsid w:val="00ED1490"/>
    <w:rsid w:val="00ED290D"/>
    <w:rsid w:val="00EF2313"/>
    <w:rsid w:val="00EF2DB9"/>
    <w:rsid w:val="00EF6E78"/>
    <w:rsid w:val="00F404A0"/>
    <w:rsid w:val="00F450A2"/>
    <w:rsid w:val="00F50C95"/>
    <w:rsid w:val="00F51301"/>
    <w:rsid w:val="00F57992"/>
    <w:rsid w:val="00F65645"/>
    <w:rsid w:val="00FD798A"/>
    <w:rsid w:val="00FE1E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A5F447-8222-4EC5-970E-C52ACED3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DB9"/>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F2DB9"/>
    <w:pPr>
      <w:tabs>
        <w:tab w:val="center" w:pos="4252"/>
        <w:tab w:val="right" w:pos="8504"/>
      </w:tabs>
    </w:pPr>
  </w:style>
  <w:style w:type="character" w:customStyle="1" w:styleId="EncabezadoCar">
    <w:name w:val="Encabezado Car"/>
    <w:basedOn w:val="Fuentedeprrafopredeter"/>
    <w:link w:val="Encabezado"/>
    <w:uiPriority w:val="99"/>
    <w:rsid w:val="00EF2DB9"/>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EF2DB9"/>
  </w:style>
  <w:style w:type="paragraph" w:styleId="Piedepgina">
    <w:name w:val="footer"/>
    <w:basedOn w:val="Normal"/>
    <w:link w:val="PiedepginaCar"/>
    <w:uiPriority w:val="99"/>
    <w:rsid w:val="00EF2DB9"/>
    <w:pPr>
      <w:tabs>
        <w:tab w:val="center" w:pos="4252"/>
        <w:tab w:val="right" w:pos="8504"/>
      </w:tabs>
    </w:pPr>
  </w:style>
  <w:style w:type="character" w:customStyle="1" w:styleId="PiedepginaCar">
    <w:name w:val="Pie de página Car"/>
    <w:basedOn w:val="Fuentedeprrafopredeter"/>
    <w:link w:val="Piedepgina"/>
    <w:uiPriority w:val="99"/>
    <w:rsid w:val="00EF2DB9"/>
    <w:rPr>
      <w:rFonts w:ascii="Times New Roman" w:eastAsia="Times New Roman" w:hAnsi="Times New Roman" w:cs="Times New Roman"/>
      <w:sz w:val="20"/>
      <w:szCs w:val="20"/>
      <w:lang w:val="es-ES" w:eastAsia="es-ES"/>
    </w:rPr>
  </w:style>
  <w:style w:type="paragraph" w:styleId="Textonotapie">
    <w:name w:val="footnote text"/>
    <w:aliases w:val="Footnote Text Char Char Char Char Char,Footnote Text Char Char Char Char,Footnote reference,FA Fu,Footnote Text Char Char Char Car,Footnote Text Char Char Char,Footnote Text Char,texto de nota al pie,Footnote Text,Ref. de nota al pie1"/>
    <w:basedOn w:val="Normal"/>
    <w:link w:val="TextonotapieCar1"/>
    <w:uiPriority w:val="99"/>
    <w:rsid w:val="00EF2DB9"/>
  </w:style>
  <w:style w:type="character" w:customStyle="1" w:styleId="TextonotapieCar">
    <w:name w:val="Texto nota pie Car"/>
    <w:basedOn w:val="Fuentedeprrafopredeter"/>
    <w:uiPriority w:val="99"/>
    <w:semiHidden/>
    <w:rsid w:val="00EF2DB9"/>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Footnotes refss,Fago Fußnotenzeichen"/>
    <w:uiPriority w:val="99"/>
    <w:rsid w:val="00EF2DB9"/>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texto de nota al pie Car"/>
    <w:link w:val="Textonotapie"/>
    <w:uiPriority w:val="99"/>
    <w:rsid w:val="00EF2DB9"/>
    <w:rPr>
      <w:rFonts w:ascii="Times New Roman" w:eastAsia="Times New Roman" w:hAnsi="Times New Roman" w:cs="Times New Roman"/>
      <w:sz w:val="20"/>
      <w:szCs w:val="20"/>
      <w:lang w:val="es-ES" w:eastAsia="es-ES"/>
    </w:rPr>
  </w:style>
  <w:style w:type="paragraph" w:customStyle="1" w:styleId="Prrafodelista1">
    <w:name w:val="Párrafo de lista1"/>
    <w:basedOn w:val="Normal"/>
    <w:rsid w:val="00EF2DB9"/>
    <w:pPr>
      <w:ind w:left="720"/>
      <w:contextualSpacing/>
    </w:pPr>
  </w:style>
  <w:style w:type="paragraph" w:styleId="Textoindependiente">
    <w:name w:val="Body Text"/>
    <w:basedOn w:val="Normal"/>
    <w:link w:val="TextoindependienteCar"/>
    <w:rsid w:val="00EF2DB9"/>
    <w:pPr>
      <w:spacing w:after="120"/>
    </w:pPr>
  </w:style>
  <w:style w:type="character" w:customStyle="1" w:styleId="TextoindependienteCar">
    <w:name w:val="Texto independiente Car"/>
    <w:basedOn w:val="Fuentedeprrafopredeter"/>
    <w:link w:val="Textoindependiente"/>
    <w:rsid w:val="00EF2DB9"/>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EF2DB9"/>
    <w:pPr>
      <w:spacing w:after="0" w:line="240" w:lineRule="auto"/>
    </w:pPr>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CF150C"/>
    <w:pPr>
      <w:ind w:left="720"/>
      <w:contextualSpacing/>
    </w:pPr>
  </w:style>
  <w:style w:type="paragraph" w:styleId="Textodeglobo">
    <w:name w:val="Balloon Text"/>
    <w:basedOn w:val="Normal"/>
    <w:link w:val="TextodegloboCar"/>
    <w:uiPriority w:val="99"/>
    <w:semiHidden/>
    <w:unhideWhenUsed/>
    <w:rsid w:val="006A59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5917"/>
    <w:rPr>
      <w:rFonts w:ascii="Segoe UI" w:eastAsia="Times New Roman" w:hAnsi="Segoe UI" w:cs="Segoe UI"/>
      <w:sz w:val="18"/>
      <w:szCs w:val="18"/>
      <w:lang w:val="es-ES" w:eastAsia="es-ES"/>
    </w:rPr>
  </w:style>
  <w:style w:type="character" w:customStyle="1" w:styleId="SinespaciadoCar">
    <w:name w:val="Sin espaciado Car"/>
    <w:link w:val="Sinespaciado"/>
    <w:uiPriority w:val="1"/>
    <w:locked/>
    <w:rsid w:val="000507F9"/>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1620</Words>
  <Characters>8911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6</cp:revision>
  <cp:lastPrinted>2019-02-08T15:41:00Z</cp:lastPrinted>
  <dcterms:created xsi:type="dcterms:W3CDTF">2019-02-07T19:56:00Z</dcterms:created>
  <dcterms:modified xsi:type="dcterms:W3CDTF">2019-03-20T13:07:00Z</dcterms:modified>
</cp:coreProperties>
</file>