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F3A8F" w:rsidRPr="00B30EFC" w:rsidRDefault="000F3A8F" w:rsidP="000F3A8F">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8"/>
          <w:sz w:val="18"/>
          <w:szCs w:val="18"/>
          <w:lang w:val="es-419" w:eastAsia="fr-FR"/>
        </w:rPr>
      </w:pPr>
      <w:r w:rsidRPr="00B30EFC">
        <w:rPr>
          <w:rFonts w:ascii="Arial" w:hAnsi="Arial" w:cs="Arial"/>
          <w:color w:val="FF0000"/>
          <w:spacing w:val="-8"/>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0F3A8F" w:rsidRDefault="000F3A8F" w:rsidP="000F3A8F">
      <w:pPr>
        <w:jc w:val="both"/>
        <w:rPr>
          <w:rFonts w:ascii="Arial" w:hAnsi="Arial" w:cs="Arial"/>
          <w:lang w:val="es-419"/>
        </w:rPr>
      </w:pPr>
    </w:p>
    <w:p w:rsidR="00E1577B" w:rsidRPr="00E1577B" w:rsidRDefault="00E1577B" w:rsidP="00E1577B">
      <w:pPr>
        <w:jc w:val="both"/>
        <w:rPr>
          <w:rFonts w:ascii="Arial" w:hAnsi="Arial" w:cs="Arial"/>
          <w:lang w:val="es-419"/>
        </w:rPr>
      </w:pPr>
      <w:r w:rsidRPr="00E1577B">
        <w:rPr>
          <w:rFonts w:ascii="Arial" w:hAnsi="Arial" w:cs="Arial"/>
          <w:lang w:val="es-419"/>
        </w:rPr>
        <w:t>Radicación N</w:t>
      </w:r>
      <w:r>
        <w:rPr>
          <w:rFonts w:ascii="Arial" w:hAnsi="Arial" w:cs="Arial"/>
          <w:lang w:val="es-CO"/>
        </w:rPr>
        <w:t>º</w:t>
      </w:r>
      <w:r w:rsidRPr="00E1577B">
        <w:rPr>
          <w:rFonts w:ascii="Arial" w:hAnsi="Arial" w:cs="Arial"/>
          <w:lang w:val="es-419"/>
        </w:rPr>
        <w:t>:</w:t>
      </w:r>
      <w:r>
        <w:rPr>
          <w:rFonts w:ascii="Arial" w:hAnsi="Arial" w:cs="Arial"/>
          <w:lang w:val="es-419"/>
        </w:rPr>
        <w:tab/>
      </w:r>
      <w:r w:rsidRPr="00E1577B">
        <w:rPr>
          <w:rFonts w:ascii="Arial" w:hAnsi="Arial" w:cs="Arial"/>
          <w:lang w:val="es-419"/>
        </w:rPr>
        <w:t>66001-31-05-002-2018-00274-00</w:t>
      </w:r>
    </w:p>
    <w:p w:rsidR="00E1577B" w:rsidRPr="00E1577B" w:rsidRDefault="00E1577B" w:rsidP="00E1577B">
      <w:pPr>
        <w:jc w:val="both"/>
        <w:rPr>
          <w:rFonts w:ascii="Arial" w:hAnsi="Arial" w:cs="Arial"/>
          <w:lang w:val="es-419"/>
        </w:rPr>
      </w:pPr>
      <w:r w:rsidRPr="00E1577B">
        <w:rPr>
          <w:rFonts w:ascii="Arial" w:hAnsi="Arial" w:cs="Arial"/>
          <w:lang w:val="es-419"/>
        </w:rPr>
        <w:t>Proceso:</w:t>
      </w:r>
      <w:r w:rsidRPr="00E1577B">
        <w:rPr>
          <w:rFonts w:ascii="Arial" w:hAnsi="Arial" w:cs="Arial"/>
          <w:lang w:val="es-419"/>
        </w:rPr>
        <w:tab/>
        <w:t xml:space="preserve">Tutela 2ª Instancia </w:t>
      </w:r>
    </w:p>
    <w:p w:rsidR="00E1577B" w:rsidRPr="00E1577B" w:rsidRDefault="00E1577B" w:rsidP="00E1577B">
      <w:pPr>
        <w:jc w:val="both"/>
        <w:rPr>
          <w:rFonts w:ascii="Arial" w:hAnsi="Arial" w:cs="Arial"/>
          <w:lang w:val="es-419"/>
        </w:rPr>
      </w:pPr>
      <w:r w:rsidRPr="00E1577B">
        <w:rPr>
          <w:rFonts w:ascii="Arial" w:hAnsi="Arial" w:cs="Arial"/>
          <w:lang w:val="es-419"/>
        </w:rPr>
        <w:t>Accionante:</w:t>
      </w:r>
      <w:r w:rsidRPr="00E1577B">
        <w:rPr>
          <w:rFonts w:ascii="Arial" w:hAnsi="Arial" w:cs="Arial"/>
          <w:lang w:val="es-419"/>
        </w:rPr>
        <w:tab/>
        <w:t>Jhony Esteban García González</w:t>
      </w:r>
    </w:p>
    <w:p w:rsidR="00E1577B" w:rsidRPr="00E1577B" w:rsidRDefault="00E1577B" w:rsidP="00E1577B">
      <w:pPr>
        <w:jc w:val="both"/>
        <w:rPr>
          <w:rFonts w:ascii="Arial" w:hAnsi="Arial" w:cs="Arial"/>
          <w:lang w:val="es-419"/>
        </w:rPr>
      </w:pPr>
      <w:r w:rsidRPr="00E1577B">
        <w:rPr>
          <w:rFonts w:ascii="Arial" w:hAnsi="Arial" w:cs="Arial"/>
          <w:lang w:val="es-419"/>
        </w:rPr>
        <w:t>Accionado:</w:t>
      </w:r>
      <w:r w:rsidRPr="00E1577B">
        <w:rPr>
          <w:rFonts w:ascii="Arial" w:hAnsi="Arial" w:cs="Arial"/>
          <w:lang w:val="es-419"/>
        </w:rPr>
        <w:tab/>
      </w:r>
      <w:r>
        <w:rPr>
          <w:rFonts w:ascii="Arial" w:hAnsi="Arial" w:cs="Arial"/>
          <w:lang w:val="es-419"/>
        </w:rPr>
        <w:t>Direcci</w:t>
      </w:r>
      <w:proofErr w:type="spellStart"/>
      <w:r>
        <w:rPr>
          <w:rFonts w:ascii="Arial" w:hAnsi="Arial" w:cs="Arial"/>
          <w:lang w:val="es-CO"/>
        </w:rPr>
        <w:t>ó</w:t>
      </w:r>
      <w:proofErr w:type="spellEnd"/>
      <w:r w:rsidRPr="00E1577B">
        <w:rPr>
          <w:rFonts w:ascii="Arial" w:hAnsi="Arial" w:cs="Arial"/>
          <w:lang w:val="es-419"/>
        </w:rPr>
        <w:t xml:space="preserve">n Nacional de Sanidad </w:t>
      </w:r>
      <w:r>
        <w:rPr>
          <w:rFonts w:ascii="Arial" w:hAnsi="Arial" w:cs="Arial"/>
          <w:lang w:val="es-CO"/>
        </w:rPr>
        <w:t xml:space="preserve">– </w:t>
      </w:r>
      <w:r w:rsidRPr="00E1577B">
        <w:rPr>
          <w:rFonts w:ascii="Arial" w:hAnsi="Arial" w:cs="Arial"/>
          <w:lang w:val="es-419"/>
        </w:rPr>
        <w:t>Ejercito Nacional</w:t>
      </w:r>
    </w:p>
    <w:p w:rsidR="00E1577B" w:rsidRPr="00E1577B" w:rsidRDefault="00E1577B" w:rsidP="00E1577B">
      <w:pPr>
        <w:jc w:val="both"/>
        <w:rPr>
          <w:rFonts w:ascii="Arial" w:hAnsi="Arial" w:cs="Arial"/>
          <w:lang w:val="es-419"/>
        </w:rPr>
      </w:pPr>
      <w:r w:rsidRPr="00E1577B">
        <w:rPr>
          <w:rFonts w:ascii="Arial" w:hAnsi="Arial" w:cs="Arial"/>
          <w:lang w:val="es-419"/>
        </w:rPr>
        <w:t>Providencia</w:t>
      </w:r>
      <w:r w:rsidR="00C31D65">
        <w:rPr>
          <w:rFonts w:ascii="Arial" w:hAnsi="Arial" w:cs="Arial"/>
          <w:lang w:val="es-CO"/>
        </w:rPr>
        <w:t>:</w:t>
      </w:r>
      <w:r w:rsidRPr="00E1577B">
        <w:rPr>
          <w:rFonts w:ascii="Arial" w:hAnsi="Arial" w:cs="Arial"/>
          <w:lang w:val="es-419"/>
        </w:rPr>
        <w:tab/>
        <w:t xml:space="preserve">Segunda Instancia </w:t>
      </w:r>
    </w:p>
    <w:p w:rsidR="00E1577B" w:rsidRPr="00B30EFC" w:rsidRDefault="00E1577B" w:rsidP="000F3A8F">
      <w:pPr>
        <w:jc w:val="both"/>
        <w:rPr>
          <w:rFonts w:ascii="Arial" w:hAnsi="Arial" w:cs="Arial"/>
          <w:lang w:val="es-419"/>
        </w:rPr>
      </w:pPr>
    </w:p>
    <w:p w:rsidR="000F3A8F" w:rsidRPr="00B30EFC" w:rsidRDefault="00E1577B" w:rsidP="000F3A8F">
      <w:pPr>
        <w:pStyle w:val="Sinespaciado"/>
        <w:jc w:val="both"/>
        <w:rPr>
          <w:rFonts w:ascii="Arial" w:hAnsi="Arial" w:cs="Arial"/>
          <w:b/>
          <w:bCs/>
          <w:iCs/>
          <w:lang w:val="es-419" w:eastAsia="fr-FR"/>
        </w:rPr>
      </w:pPr>
      <w:r w:rsidRPr="00B30EFC">
        <w:rPr>
          <w:rFonts w:ascii="Arial" w:hAnsi="Arial" w:cs="Arial"/>
          <w:b/>
          <w:bCs/>
          <w:iCs/>
          <w:lang w:val="es-419" w:eastAsia="fr-FR"/>
        </w:rPr>
        <w:t>TEMAS:</w:t>
      </w:r>
      <w:r w:rsidRPr="00B30EFC">
        <w:rPr>
          <w:rFonts w:ascii="Arial" w:hAnsi="Arial" w:cs="Arial"/>
          <w:b/>
          <w:bCs/>
          <w:iCs/>
          <w:lang w:val="es-419" w:eastAsia="fr-FR"/>
        </w:rPr>
        <w:tab/>
      </w:r>
      <w:r w:rsidR="00285F85">
        <w:rPr>
          <w:rFonts w:ascii="Arial" w:hAnsi="Arial" w:cs="Arial"/>
          <w:b/>
          <w:bCs/>
          <w:iCs/>
          <w:lang w:val="es-CO" w:eastAsia="fr-FR"/>
        </w:rPr>
        <w:t xml:space="preserve">DERECHO A LA SALUD / </w:t>
      </w:r>
      <w:r w:rsidRPr="00E1577B">
        <w:rPr>
          <w:rFonts w:ascii="Arial" w:hAnsi="Arial" w:cs="Arial"/>
          <w:b/>
          <w:bCs/>
          <w:iCs/>
          <w:lang w:val="es-419" w:eastAsia="fr-FR"/>
        </w:rPr>
        <w:t>HECHO SUPERADO</w:t>
      </w:r>
      <w:r w:rsidR="00285F85">
        <w:rPr>
          <w:rFonts w:ascii="Arial" w:hAnsi="Arial" w:cs="Arial"/>
          <w:b/>
          <w:bCs/>
          <w:iCs/>
          <w:lang w:val="es-CO" w:eastAsia="fr-FR"/>
        </w:rPr>
        <w:t xml:space="preserve"> / DEMOSTRARLO ES CARGA PROBATORIA DEL ACCIONADO.</w:t>
      </w:r>
      <w:bookmarkStart w:id="0" w:name="_GoBack"/>
      <w:bookmarkEnd w:id="0"/>
    </w:p>
    <w:p w:rsidR="000F3A8F" w:rsidRDefault="000F3A8F" w:rsidP="000F3A8F">
      <w:pPr>
        <w:jc w:val="both"/>
        <w:rPr>
          <w:rFonts w:ascii="Arial" w:hAnsi="Arial" w:cs="Arial"/>
          <w:lang w:val="es-419"/>
        </w:rPr>
      </w:pPr>
    </w:p>
    <w:p w:rsidR="00AA4C4D" w:rsidRPr="00285F85" w:rsidRDefault="00285F85" w:rsidP="00285F85">
      <w:pPr>
        <w:jc w:val="both"/>
        <w:rPr>
          <w:rFonts w:ascii="Arial" w:hAnsi="Arial" w:cs="Arial"/>
          <w:lang w:val="es-419"/>
        </w:rPr>
      </w:pPr>
      <w:r>
        <w:rPr>
          <w:rFonts w:ascii="Arial" w:hAnsi="Arial" w:cs="Arial"/>
          <w:lang w:val="es-CO"/>
        </w:rPr>
        <w:t>… cuando</w:t>
      </w:r>
      <w:r w:rsidR="00AA4C4D" w:rsidRPr="00285F85">
        <w:rPr>
          <w:rFonts w:ascii="Arial" w:hAnsi="Arial" w:cs="Arial"/>
          <w:lang w:val="es-419"/>
        </w:rPr>
        <w:t xml:space="preserve"> el acto o la omisión que amenaza o pone en peligro el derecho fundamental de una persona </w:t>
      </w:r>
      <w:proofErr w:type="gramStart"/>
      <w:r w:rsidR="00AA4C4D" w:rsidRPr="00285F85">
        <w:rPr>
          <w:rFonts w:ascii="Arial" w:hAnsi="Arial" w:cs="Arial"/>
          <w:lang w:val="es-419"/>
        </w:rPr>
        <w:t>cesa</w:t>
      </w:r>
      <w:proofErr w:type="gramEnd"/>
      <w:r w:rsidR="00AA4C4D" w:rsidRPr="00285F85">
        <w:rPr>
          <w:rFonts w:ascii="Arial" w:hAnsi="Arial" w:cs="Arial"/>
          <w:lang w:val="es-419"/>
        </w:rPr>
        <w:t>, la acción de tutela pierde su objeto de protección, debiendo declararse improcedente. La Corte Constitucional se ha pronunciado profusamente frente al tema</w:t>
      </w:r>
      <w:r w:rsidR="00AA4C4D" w:rsidRPr="00285F85">
        <w:rPr>
          <w:rFonts w:ascii="Arial" w:hAnsi="Arial" w:cs="Arial"/>
          <w:lang w:val="es-419"/>
        </w:rPr>
        <w:t>…</w:t>
      </w:r>
      <w:r w:rsidR="00AA4C4D" w:rsidRPr="00285F85">
        <w:rPr>
          <w:rFonts w:ascii="Arial" w:hAnsi="Arial" w:cs="Arial"/>
          <w:lang w:val="es-419"/>
        </w:rPr>
        <w:t>:</w:t>
      </w:r>
    </w:p>
    <w:p w:rsidR="00AA4C4D" w:rsidRPr="00285F85" w:rsidRDefault="00AA4C4D" w:rsidP="00285F85">
      <w:pPr>
        <w:jc w:val="both"/>
        <w:rPr>
          <w:rFonts w:ascii="Arial" w:hAnsi="Arial" w:cs="Arial"/>
          <w:lang w:val="es-419"/>
        </w:rPr>
      </w:pPr>
    </w:p>
    <w:p w:rsidR="00AA4C4D" w:rsidRPr="00285F85" w:rsidRDefault="00AA4C4D" w:rsidP="00285F85">
      <w:pPr>
        <w:jc w:val="both"/>
        <w:rPr>
          <w:rFonts w:ascii="Arial" w:hAnsi="Arial" w:cs="Arial"/>
          <w:lang w:val="es-419"/>
        </w:rPr>
      </w:pPr>
      <w:r w:rsidRPr="00285F85">
        <w:rPr>
          <w:rFonts w:ascii="Arial" w:hAnsi="Arial" w:cs="Arial"/>
          <w:lang w:val="es-419"/>
        </w:rPr>
        <w:t>“…</w:t>
      </w:r>
      <w:r w:rsidRPr="00285F85">
        <w:rPr>
          <w:rFonts w:ascii="Arial" w:hAnsi="Arial" w:cs="Arial"/>
          <w:lang w:val="es-419"/>
        </w:rPr>
        <w:t xml:space="preserve"> se tiene que el propósito de la tutela</w:t>
      </w:r>
      <w:r w:rsidRPr="00285F85">
        <w:rPr>
          <w:rFonts w:ascii="Arial" w:hAnsi="Arial" w:cs="Arial"/>
          <w:lang w:val="es-419"/>
        </w:rPr>
        <w:t xml:space="preserve">… </w:t>
      </w:r>
      <w:r w:rsidRPr="00285F85">
        <w:rPr>
          <w:rFonts w:ascii="Arial" w:hAnsi="Arial" w:cs="Arial"/>
          <w:lang w:val="es-419"/>
        </w:rPr>
        <w:t>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AA4C4D" w:rsidRPr="00285F85" w:rsidRDefault="00AA4C4D" w:rsidP="00285F85">
      <w:pPr>
        <w:jc w:val="both"/>
        <w:rPr>
          <w:rFonts w:ascii="Arial" w:hAnsi="Arial" w:cs="Arial"/>
          <w:lang w:val="es-419"/>
        </w:rPr>
      </w:pPr>
      <w:r w:rsidRPr="00285F85">
        <w:rPr>
          <w:rFonts w:ascii="Arial" w:hAnsi="Arial" w:cs="Arial"/>
          <w:lang w:val="es-419"/>
        </w:rPr>
        <w:t xml:space="preserve"> </w:t>
      </w:r>
    </w:p>
    <w:p w:rsidR="00AA4C4D" w:rsidRPr="00285F85" w:rsidRDefault="00AA4C4D" w:rsidP="00AA4C4D">
      <w:pPr>
        <w:jc w:val="both"/>
        <w:rPr>
          <w:rFonts w:ascii="Arial" w:hAnsi="Arial" w:cs="Arial"/>
          <w:lang w:val="es-419"/>
        </w:rPr>
      </w:pPr>
      <w:r w:rsidRPr="00285F85">
        <w:rPr>
          <w:rFonts w:ascii="Arial" w:hAnsi="Arial" w:cs="Arial"/>
          <w:lang w:val="es-419"/>
        </w:rPr>
        <w:t>“N</w:t>
      </w:r>
      <w:r w:rsidRPr="00285F85">
        <w:rPr>
          <w:rFonts w:ascii="Arial" w:hAnsi="Arial" w:cs="Arial"/>
          <w:lang w:val="es-419"/>
        </w:rPr>
        <w:t>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w:t>
      </w:r>
      <w:r w:rsidRPr="00285F85">
        <w:rPr>
          <w:rFonts w:ascii="Arial" w:hAnsi="Arial" w:cs="Arial"/>
          <w:lang w:val="es-419"/>
        </w:rPr>
        <w:t>…</w:t>
      </w:r>
    </w:p>
    <w:p w:rsidR="00AA4C4D" w:rsidRDefault="00AA4C4D" w:rsidP="00AA4C4D">
      <w:pPr>
        <w:jc w:val="both"/>
        <w:rPr>
          <w:rFonts w:ascii="Arial" w:hAnsi="Arial" w:cs="Arial"/>
          <w:lang w:val="es-419"/>
        </w:rPr>
      </w:pPr>
    </w:p>
    <w:p w:rsidR="00AA4C4D" w:rsidRPr="00B30EFC" w:rsidRDefault="00AA4C4D" w:rsidP="00AA4C4D">
      <w:pPr>
        <w:jc w:val="both"/>
        <w:rPr>
          <w:rFonts w:ascii="Arial" w:hAnsi="Arial" w:cs="Arial"/>
          <w:lang w:val="es-419"/>
        </w:rPr>
      </w:pPr>
      <w:r w:rsidRPr="00285F85">
        <w:rPr>
          <w:rFonts w:ascii="Arial" w:hAnsi="Arial" w:cs="Arial"/>
          <w:lang w:val="es-419"/>
        </w:rPr>
        <w:t xml:space="preserve">… </w:t>
      </w:r>
      <w:r w:rsidRPr="00285F85">
        <w:rPr>
          <w:rFonts w:ascii="Arial" w:hAnsi="Arial" w:cs="Arial"/>
          <w:lang w:val="es-419"/>
        </w:rPr>
        <w:t>encuentra la Sala que el elemento traído como prueba de la cesación de la vulneración, no resulta idóneo para ello, amen que no se tiene certeza de quien es la persona que suscribe el documento, si estaba autorizado por el accionante para ello o si guarda algún tipo de parentesco con éste, aspectos que permitieran darle validez o tener certeza, acerca de la recepción efectiva de los medicamentos. Sobra decir, que tal certeza, debía brindarla la entidad accionada con el fin de liberarse de las obligaciones impuestas en el fallo, pero como se ha evidenciado, no se cumplió con tal deber.</w:t>
      </w:r>
    </w:p>
    <w:p w:rsidR="000F3A8F" w:rsidRDefault="000F3A8F" w:rsidP="000F3A8F">
      <w:pPr>
        <w:jc w:val="both"/>
        <w:rPr>
          <w:rFonts w:ascii="Arial" w:hAnsi="Arial" w:cs="Arial"/>
          <w:lang w:val="es-419"/>
        </w:rPr>
      </w:pPr>
    </w:p>
    <w:p w:rsidR="000F3A8F" w:rsidRDefault="000F3A8F" w:rsidP="000F3A8F">
      <w:pPr>
        <w:jc w:val="both"/>
        <w:rPr>
          <w:rFonts w:ascii="Arial" w:hAnsi="Arial" w:cs="Arial"/>
          <w:lang w:val="es-419"/>
        </w:rPr>
      </w:pPr>
    </w:p>
    <w:p w:rsidR="000F3A8F" w:rsidRDefault="000F3A8F" w:rsidP="000F3A8F">
      <w:pPr>
        <w:jc w:val="both"/>
        <w:rPr>
          <w:rFonts w:ascii="Arial" w:hAnsi="Arial" w:cs="Arial"/>
          <w:lang w:val="es-419"/>
        </w:rPr>
      </w:pPr>
    </w:p>
    <w:p w:rsidR="002F2145" w:rsidRPr="00E1577B" w:rsidRDefault="002F2145" w:rsidP="00E1577B">
      <w:pPr>
        <w:pStyle w:val="Encabezado"/>
        <w:spacing w:line="288" w:lineRule="auto"/>
        <w:ind w:right="-7"/>
        <w:jc w:val="center"/>
        <w:rPr>
          <w:rFonts w:ascii="Arial Narrow" w:hAnsi="Arial Narrow"/>
          <w:b/>
          <w:sz w:val="26"/>
          <w:szCs w:val="26"/>
        </w:rPr>
      </w:pPr>
      <w:r w:rsidRPr="00E1577B">
        <w:rPr>
          <w:rFonts w:ascii="Arial Narrow" w:hAnsi="Arial Narrow"/>
          <w:b/>
          <w:sz w:val="26"/>
          <w:szCs w:val="26"/>
        </w:rPr>
        <w:t>TRIBUNAL SUPERIOR DEL DISTRITO</w:t>
      </w:r>
    </w:p>
    <w:p w:rsidR="002F2145" w:rsidRPr="00E1577B" w:rsidRDefault="002F2145" w:rsidP="00E1577B">
      <w:pPr>
        <w:pStyle w:val="Encabezado"/>
        <w:spacing w:line="288" w:lineRule="auto"/>
        <w:ind w:right="-7"/>
        <w:jc w:val="center"/>
        <w:rPr>
          <w:rFonts w:ascii="Arial Narrow" w:hAnsi="Arial Narrow"/>
          <w:b/>
          <w:sz w:val="26"/>
          <w:szCs w:val="26"/>
        </w:rPr>
      </w:pPr>
      <w:r w:rsidRPr="00E1577B">
        <w:rPr>
          <w:rFonts w:ascii="Arial Narrow" w:hAnsi="Arial Narrow"/>
          <w:b/>
          <w:spacing w:val="-3"/>
          <w:sz w:val="26"/>
          <w:szCs w:val="26"/>
        </w:rPr>
        <w:object w:dxaOrig="3090" w:dyaOrig="328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35pt;height:54.45pt" o:ole="" fillcolor="window">
            <v:imagedata r:id="rId8" o:title=""/>
          </v:shape>
          <o:OLEObject Type="Embed" ProgID="PBrush" ShapeID="_x0000_i1025" DrawAspect="Content" ObjectID="_1614573340" r:id="rId9"/>
        </w:object>
      </w:r>
    </w:p>
    <w:p w:rsidR="002F2145" w:rsidRPr="00E1577B" w:rsidRDefault="002F2145" w:rsidP="00E1577B">
      <w:pPr>
        <w:pStyle w:val="Encabezado"/>
        <w:spacing w:line="288" w:lineRule="auto"/>
        <w:ind w:right="-7"/>
        <w:jc w:val="center"/>
        <w:rPr>
          <w:rFonts w:ascii="Arial Narrow" w:hAnsi="Arial Narrow"/>
          <w:b/>
          <w:sz w:val="26"/>
          <w:szCs w:val="26"/>
        </w:rPr>
      </w:pPr>
      <w:r w:rsidRPr="00E1577B">
        <w:rPr>
          <w:rFonts w:ascii="Arial Narrow" w:hAnsi="Arial Narrow"/>
          <w:b/>
          <w:sz w:val="26"/>
          <w:szCs w:val="26"/>
        </w:rPr>
        <w:t>PEREIRA RISARALDA</w:t>
      </w:r>
    </w:p>
    <w:p w:rsidR="002F2145" w:rsidRPr="00E1577B" w:rsidRDefault="002F2145" w:rsidP="00E1577B">
      <w:pPr>
        <w:spacing w:line="288" w:lineRule="auto"/>
        <w:jc w:val="center"/>
        <w:rPr>
          <w:rFonts w:ascii="Arial Narrow" w:hAnsi="Arial Narrow" w:cs="Tahoma"/>
          <w:b/>
          <w:sz w:val="26"/>
          <w:szCs w:val="26"/>
        </w:rPr>
      </w:pPr>
      <w:r w:rsidRPr="00E1577B">
        <w:rPr>
          <w:rFonts w:ascii="Arial Narrow" w:hAnsi="Arial Narrow" w:cs="Tahoma"/>
          <w:b/>
          <w:sz w:val="26"/>
          <w:szCs w:val="26"/>
        </w:rPr>
        <w:t>MAGISTRADO PONENTE: FRANCISCO JAVIER TAMAYO TABARES</w:t>
      </w:r>
    </w:p>
    <w:p w:rsidR="002F2145" w:rsidRPr="00E1577B" w:rsidRDefault="002F2145" w:rsidP="00E1577B">
      <w:pPr>
        <w:pStyle w:val="Encabezado"/>
        <w:spacing w:line="288" w:lineRule="auto"/>
        <w:ind w:right="-7"/>
        <w:rPr>
          <w:rFonts w:ascii="Arial Narrow" w:hAnsi="Arial Narrow" w:cs="Tahoma"/>
          <w:b/>
          <w:i/>
          <w:sz w:val="26"/>
          <w:szCs w:val="26"/>
          <w:highlight w:val="cyan"/>
        </w:rPr>
      </w:pPr>
    </w:p>
    <w:p w:rsidR="002F2145" w:rsidRPr="00E1577B" w:rsidRDefault="002F2145" w:rsidP="00E1577B">
      <w:pPr>
        <w:spacing w:line="288" w:lineRule="auto"/>
        <w:ind w:left="2127" w:hanging="2127"/>
        <w:jc w:val="both"/>
        <w:rPr>
          <w:rFonts w:ascii="Arial Narrow" w:hAnsi="Arial Narrow" w:cs="Tahoma"/>
          <w:sz w:val="26"/>
          <w:szCs w:val="26"/>
          <w:lang w:val="es-CO"/>
        </w:rPr>
      </w:pPr>
    </w:p>
    <w:p w:rsidR="002F2145" w:rsidRPr="00E1577B" w:rsidRDefault="002F2145" w:rsidP="00E1577B">
      <w:pPr>
        <w:spacing w:line="288" w:lineRule="auto"/>
        <w:rPr>
          <w:rFonts w:ascii="Arial Narrow" w:hAnsi="Arial Narrow" w:cs="Tahoma"/>
          <w:sz w:val="26"/>
          <w:szCs w:val="26"/>
        </w:rPr>
      </w:pPr>
      <w:r w:rsidRPr="00E1577B">
        <w:rPr>
          <w:rFonts w:ascii="Arial Narrow" w:hAnsi="Arial Narrow" w:cs="Tahoma"/>
          <w:sz w:val="26"/>
          <w:szCs w:val="26"/>
        </w:rPr>
        <w:t xml:space="preserve">Pereira, </w:t>
      </w:r>
      <w:r w:rsidR="00484987" w:rsidRPr="00E1577B">
        <w:rPr>
          <w:rFonts w:ascii="Arial Narrow" w:hAnsi="Arial Narrow" w:cs="Tahoma"/>
          <w:sz w:val="26"/>
          <w:szCs w:val="26"/>
        </w:rPr>
        <w:t>catorce</w:t>
      </w:r>
      <w:r w:rsidR="00846882" w:rsidRPr="00E1577B">
        <w:rPr>
          <w:rFonts w:ascii="Arial Narrow" w:hAnsi="Arial Narrow" w:cs="Tahoma"/>
          <w:sz w:val="26"/>
          <w:szCs w:val="26"/>
        </w:rPr>
        <w:t xml:space="preserve"> </w:t>
      </w:r>
      <w:r w:rsidRPr="00E1577B">
        <w:rPr>
          <w:rFonts w:ascii="Arial Narrow" w:hAnsi="Arial Narrow" w:cs="Tahoma"/>
          <w:sz w:val="26"/>
          <w:szCs w:val="26"/>
        </w:rPr>
        <w:t>(</w:t>
      </w:r>
      <w:r w:rsidR="00516928" w:rsidRPr="00E1577B">
        <w:rPr>
          <w:rFonts w:ascii="Arial Narrow" w:hAnsi="Arial Narrow" w:cs="Tahoma"/>
          <w:sz w:val="26"/>
          <w:szCs w:val="26"/>
        </w:rPr>
        <w:t>1</w:t>
      </w:r>
      <w:r w:rsidR="00484987" w:rsidRPr="00E1577B">
        <w:rPr>
          <w:rFonts w:ascii="Arial Narrow" w:hAnsi="Arial Narrow" w:cs="Tahoma"/>
          <w:sz w:val="26"/>
          <w:szCs w:val="26"/>
        </w:rPr>
        <w:t>4</w:t>
      </w:r>
      <w:r w:rsidRPr="00E1577B">
        <w:rPr>
          <w:rFonts w:ascii="Arial Narrow" w:hAnsi="Arial Narrow" w:cs="Tahoma"/>
          <w:sz w:val="26"/>
          <w:szCs w:val="26"/>
        </w:rPr>
        <w:t xml:space="preserve">) de </w:t>
      </w:r>
      <w:r w:rsidR="005C4599" w:rsidRPr="00E1577B">
        <w:rPr>
          <w:rFonts w:ascii="Arial Narrow" w:hAnsi="Arial Narrow" w:cs="Tahoma"/>
          <w:sz w:val="26"/>
          <w:szCs w:val="26"/>
        </w:rPr>
        <w:t>febrero</w:t>
      </w:r>
      <w:r w:rsidR="003B2283" w:rsidRPr="00E1577B">
        <w:rPr>
          <w:rFonts w:ascii="Arial Narrow" w:hAnsi="Arial Narrow" w:cs="Tahoma"/>
          <w:sz w:val="26"/>
          <w:szCs w:val="26"/>
        </w:rPr>
        <w:t xml:space="preserve"> </w:t>
      </w:r>
      <w:r w:rsidRPr="00E1577B">
        <w:rPr>
          <w:rFonts w:ascii="Arial Narrow" w:hAnsi="Arial Narrow" w:cs="Tahoma"/>
          <w:sz w:val="26"/>
          <w:szCs w:val="26"/>
        </w:rPr>
        <w:t xml:space="preserve">de dos mil </w:t>
      </w:r>
      <w:r w:rsidR="00846882" w:rsidRPr="00E1577B">
        <w:rPr>
          <w:rFonts w:ascii="Arial Narrow" w:hAnsi="Arial Narrow" w:cs="Tahoma"/>
          <w:sz w:val="26"/>
          <w:szCs w:val="26"/>
        </w:rPr>
        <w:t>dieci</w:t>
      </w:r>
      <w:r w:rsidR="005C4599" w:rsidRPr="00E1577B">
        <w:rPr>
          <w:rFonts w:ascii="Arial Narrow" w:hAnsi="Arial Narrow" w:cs="Tahoma"/>
          <w:sz w:val="26"/>
          <w:szCs w:val="26"/>
        </w:rPr>
        <w:t>nueve</w:t>
      </w:r>
      <w:r w:rsidRPr="00E1577B">
        <w:rPr>
          <w:rFonts w:ascii="Arial Narrow" w:hAnsi="Arial Narrow" w:cs="Tahoma"/>
          <w:sz w:val="26"/>
          <w:szCs w:val="26"/>
        </w:rPr>
        <w:t xml:space="preserve"> (201</w:t>
      </w:r>
      <w:r w:rsidR="005C4599" w:rsidRPr="00E1577B">
        <w:rPr>
          <w:rFonts w:ascii="Arial Narrow" w:hAnsi="Arial Narrow" w:cs="Tahoma"/>
          <w:sz w:val="26"/>
          <w:szCs w:val="26"/>
        </w:rPr>
        <w:t>9</w:t>
      </w:r>
      <w:r w:rsidRPr="00E1577B">
        <w:rPr>
          <w:rFonts w:ascii="Arial Narrow" w:hAnsi="Arial Narrow" w:cs="Tahoma"/>
          <w:sz w:val="26"/>
          <w:szCs w:val="26"/>
        </w:rPr>
        <w:t>).</w:t>
      </w:r>
    </w:p>
    <w:p w:rsidR="002F2145" w:rsidRPr="00E1577B" w:rsidRDefault="002F2145" w:rsidP="00E1577B">
      <w:pPr>
        <w:pStyle w:val="Ttulo3"/>
        <w:spacing w:line="288" w:lineRule="auto"/>
        <w:jc w:val="left"/>
        <w:rPr>
          <w:rFonts w:ascii="Arial Narrow" w:hAnsi="Arial Narrow" w:cs="Tahoma"/>
          <w:sz w:val="26"/>
          <w:szCs w:val="26"/>
        </w:rPr>
      </w:pPr>
      <w:r w:rsidRPr="00E1577B">
        <w:rPr>
          <w:rFonts w:ascii="Arial Narrow" w:hAnsi="Arial Narrow" w:cs="Tahoma"/>
          <w:sz w:val="26"/>
          <w:szCs w:val="26"/>
        </w:rPr>
        <w:t xml:space="preserve">Acta número ___ del </w:t>
      </w:r>
      <w:r w:rsidR="00516928" w:rsidRPr="00E1577B">
        <w:rPr>
          <w:rFonts w:ascii="Arial Narrow" w:hAnsi="Arial Narrow" w:cs="Tahoma"/>
          <w:sz w:val="26"/>
          <w:szCs w:val="26"/>
        </w:rPr>
        <w:t>1</w:t>
      </w:r>
      <w:r w:rsidR="00484987" w:rsidRPr="00E1577B">
        <w:rPr>
          <w:rFonts w:ascii="Arial Narrow" w:hAnsi="Arial Narrow" w:cs="Tahoma"/>
          <w:sz w:val="26"/>
          <w:szCs w:val="26"/>
        </w:rPr>
        <w:t>4</w:t>
      </w:r>
      <w:r w:rsidRPr="00E1577B">
        <w:rPr>
          <w:rFonts w:ascii="Arial Narrow" w:hAnsi="Arial Narrow" w:cs="Tahoma"/>
          <w:sz w:val="26"/>
          <w:szCs w:val="26"/>
        </w:rPr>
        <w:t xml:space="preserve"> de </w:t>
      </w:r>
      <w:r w:rsidR="005C4599" w:rsidRPr="00E1577B">
        <w:rPr>
          <w:rFonts w:ascii="Arial Narrow" w:hAnsi="Arial Narrow" w:cs="Tahoma"/>
          <w:sz w:val="26"/>
          <w:szCs w:val="26"/>
        </w:rPr>
        <w:t>febrero</w:t>
      </w:r>
      <w:r w:rsidRPr="00E1577B">
        <w:rPr>
          <w:rFonts w:ascii="Arial Narrow" w:hAnsi="Arial Narrow" w:cs="Tahoma"/>
          <w:sz w:val="26"/>
          <w:szCs w:val="26"/>
        </w:rPr>
        <w:t xml:space="preserve"> de 201</w:t>
      </w:r>
      <w:r w:rsidR="005C4599" w:rsidRPr="00E1577B">
        <w:rPr>
          <w:rFonts w:ascii="Arial Narrow" w:hAnsi="Arial Narrow" w:cs="Tahoma"/>
          <w:sz w:val="26"/>
          <w:szCs w:val="26"/>
        </w:rPr>
        <w:t>9</w:t>
      </w:r>
      <w:r w:rsidRPr="00E1577B">
        <w:rPr>
          <w:rFonts w:ascii="Arial Narrow" w:hAnsi="Arial Narrow" w:cs="Tahoma"/>
          <w:sz w:val="26"/>
          <w:szCs w:val="26"/>
        </w:rPr>
        <w:t>.</w:t>
      </w:r>
    </w:p>
    <w:p w:rsidR="002F2145" w:rsidRPr="00E1577B" w:rsidRDefault="002F2145" w:rsidP="00E1577B">
      <w:pPr>
        <w:spacing w:line="288" w:lineRule="auto"/>
        <w:jc w:val="both"/>
        <w:rPr>
          <w:rFonts w:ascii="Arial Narrow" w:hAnsi="Arial Narrow" w:cs="Tahoma"/>
          <w:sz w:val="26"/>
          <w:szCs w:val="26"/>
        </w:rPr>
      </w:pPr>
    </w:p>
    <w:p w:rsidR="0059653E" w:rsidRPr="00E1577B" w:rsidRDefault="002F2145" w:rsidP="00E1577B">
      <w:pPr>
        <w:spacing w:line="288" w:lineRule="auto"/>
        <w:ind w:firstLine="851"/>
        <w:jc w:val="both"/>
        <w:rPr>
          <w:rFonts w:ascii="Arial Narrow" w:hAnsi="Arial Narrow" w:cs="Tahoma"/>
          <w:sz w:val="26"/>
          <w:szCs w:val="26"/>
        </w:rPr>
      </w:pPr>
      <w:r w:rsidRPr="00E1577B">
        <w:rPr>
          <w:rFonts w:ascii="Arial Narrow" w:hAnsi="Arial Narrow" w:cs="Tahoma"/>
          <w:sz w:val="26"/>
          <w:szCs w:val="26"/>
        </w:rPr>
        <w:tab/>
      </w:r>
      <w:r w:rsidR="0059653E" w:rsidRPr="00E1577B">
        <w:rPr>
          <w:rFonts w:ascii="Arial Narrow" w:hAnsi="Arial Narrow" w:cs="Tahoma"/>
          <w:sz w:val="26"/>
          <w:szCs w:val="26"/>
        </w:rPr>
        <w:t xml:space="preserve">Procede la Sala </w:t>
      </w:r>
      <w:r w:rsidR="00516928" w:rsidRPr="00E1577B">
        <w:rPr>
          <w:rFonts w:ascii="Arial Narrow" w:hAnsi="Arial Narrow" w:cs="Tahoma"/>
          <w:sz w:val="26"/>
          <w:szCs w:val="26"/>
        </w:rPr>
        <w:t>Cuarta</w:t>
      </w:r>
      <w:r w:rsidR="003B2283" w:rsidRPr="00E1577B">
        <w:rPr>
          <w:rFonts w:ascii="Arial Narrow" w:hAnsi="Arial Narrow" w:cs="Tahoma"/>
          <w:sz w:val="26"/>
          <w:szCs w:val="26"/>
        </w:rPr>
        <w:t xml:space="preserve"> </w:t>
      </w:r>
      <w:r w:rsidR="0059653E" w:rsidRPr="00E1577B">
        <w:rPr>
          <w:rFonts w:ascii="Arial Narrow" w:hAnsi="Arial Narrow" w:cs="Tahoma"/>
          <w:sz w:val="26"/>
          <w:szCs w:val="26"/>
        </w:rPr>
        <w:t xml:space="preserve">de Decisión Laboral de este Tribunal a resolver la impugnación, contra la sentencia dictada por el Juzgado </w:t>
      </w:r>
      <w:r w:rsidR="005C4599" w:rsidRPr="00E1577B">
        <w:rPr>
          <w:rFonts w:ascii="Arial Narrow" w:hAnsi="Arial Narrow" w:cs="Tahoma"/>
          <w:sz w:val="26"/>
          <w:szCs w:val="26"/>
        </w:rPr>
        <w:t>Segundo</w:t>
      </w:r>
      <w:r w:rsidR="0059653E" w:rsidRPr="00E1577B">
        <w:rPr>
          <w:rFonts w:ascii="Arial Narrow" w:hAnsi="Arial Narrow" w:cs="Tahoma"/>
          <w:sz w:val="26"/>
          <w:szCs w:val="26"/>
        </w:rPr>
        <w:t xml:space="preserve"> Laboral del Circuito de Pereira, el </w:t>
      </w:r>
      <w:r w:rsidR="005C4599" w:rsidRPr="00E1577B">
        <w:rPr>
          <w:rFonts w:ascii="Arial Narrow" w:hAnsi="Arial Narrow" w:cs="Tahoma"/>
          <w:sz w:val="26"/>
          <w:szCs w:val="26"/>
        </w:rPr>
        <w:t>14</w:t>
      </w:r>
      <w:r w:rsidR="00846882" w:rsidRPr="00E1577B">
        <w:rPr>
          <w:rFonts w:ascii="Arial Narrow" w:hAnsi="Arial Narrow" w:cs="Tahoma"/>
          <w:sz w:val="26"/>
          <w:szCs w:val="26"/>
        </w:rPr>
        <w:t xml:space="preserve"> </w:t>
      </w:r>
      <w:r w:rsidR="0059653E" w:rsidRPr="00E1577B">
        <w:rPr>
          <w:rFonts w:ascii="Arial Narrow" w:hAnsi="Arial Narrow" w:cs="Tahoma"/>
          <w:sz w:val="26"/>
          <w:szCs w:val="26"/>
        </w:rPr>
        <w:t xml:space="preserve">de </w:t>
      </w:r>
      <w:r w:rsidR="005C4599" w:rsidRPr="00E1577B">
        <w:rPr>
          <w:rFonts w:ascii="Arial Narrow" w:hAnsi="Arial Narrow" w:cs="Tahoma"/>
          <w:sz w:val="26"/>
          <w:szCs w:val="26"/>
        </w:rPr>
        <w:t>diciembre</w:t>
      </w:r>
      <w:r w:rsidR="0059653E" w:rsidRPr="00E1577B">
        <w:rPr>
          <w:rFonts w:ascii="Arial Narrow" w:hAnsi="Arial Narrow" w:cs="Tahoma"/>
          <w:sz w:val="26"/>
          <w:szCs w:val="26"/>
        </w:rPr>
        <w:t xml:space="preserve"> de 201</w:t>
      </w:r>
      <w:r w:rsidR="00516928" w:rsidRPr="00E1577B">
        <w:rPr>
          <w:rFonts w:ascii="Arial Narrow" w:hAnsi="Arial Narrow" w:cs="Tahoma"/>
          <w:sz w:val="26"/>
          <w:szCs w:val="26"/>
        </w:rPr>
        <w:t>8</w:t>
      </w:r>
      <w:r w:rsidR="0059653E" w:rsidRPr="00E1577B">
        <w:rPr>
          <w:rFonts w:ascii="Arial Narrow" w:hAnsi="Arial Narrow" w:cs="Tahoma"/>
          <w:sz w:val="26"/>
          <w:szCs w:val="26"/>
        </w:rPr>
        <w:t xml:space="preserve">, dentro de la acción de tutela promovida por </w:t>
      </w:r>
      <w:r w:rsidR="005C4599" w:rsidRPr="00E1577B">
        <w:rPr>
          <w:rFonts w:ascii="Arial Narrow" w:hAnsi="Arial Narrow" w:cs="Tahoma"/>
          <w:b/>
          <w:i/>
          <w:sz w:val="26"/>
          <w:szCs w:val="26"/>
        </w:rPr>
        <w:t>Jhony Esteban García González</w:t>
      </w:r>
      <w:r w:rsidR="00DD2C70" w:rsidRPr="00E1577B">
        <w:rPr>
          <w:rFonts w:ascii="Arial Narrow" w:hAnsi="Arial Narrow" w:cs="Tahoma"/>
          <w:b/>
          <w:i/>
          <w:sz w:val="26"/>
          <w:szCs w:val="26"/>
        </w:rPr>
        <w:t xml:space="preserve"> </w:t>
      </w:r>
      <w:r w:rsidR="0059653E" w:rsidRPr="00E1577B">
        <w:rPr>
          <w:rFonts w:ascii="Arial Narrow" w:hAnsi="Arial Narrow" w:cs="Tahoma"/>
          <w:sz w:val="26"/>
          <w:szCs w:val="26"/>
        </w:rPr>
        <w:t xml:space="preserve">en contra de la </w:t>
      </w:r>
      <w:r w:rsidR="003B72B8" w:rsidRPr="00E1577B">
        <w:rPr>
          <w:rFonts w:ascii="Arial Narrow" w:hAnsi="Arial Narrow" w:cs="Tahoma"/>
          <w:b/>
          <w:i/>
          <w:sz w:val="26"/>
          <w:szCs w:val="26"/>
        </w:rPr>
        <w:t>Dirección</w:t>
      </w:r>
      <w:r w:rsidR="005C4599" w:rsidRPr="00E1577B">
        <w:rPr>
          <w:rFonts w:ascii="Arial Narrow" w:hAnsi="Arial Narrow" w:cs="Tahoma"/>
          <w:b/>
          <w:i/>
          <w:sz w:val="26"/>
          <w:szCs w:val="26"/>
        </w:rPr>
        <w:t xml:space="preserve"> Nacional de Sanidad del Ejercito Nacional</w:t>
      </w:r>
      <w:r w:rsidR="003B72B8" w:rsidRPr="00E1577B">
        <w:rPr>
          <w:rFonts w:ascii="Arial Narrow" w:hAnsi="Arial Narrow" w:cs="Tahoma"/>
          <w:b/>
          <w:i/>
          <w:sz w:val="26"/>
          <w:szCs w:val="26"/>
        </w:rPr>
        <w:t xml:space="preserve"> y Dispensario Médico 3029 Batallòn San Mateo de Pereira</w:t>
      </w:r>
      <w:r w:rsidR="0059653E" w:rsidRPr="00E1577B">
        <w:rPr>
          <w:rFonts w:ascii="Arial Narrow" w:hAnsi="Arial Narrow" w:cs="Tahoma"/>
          <w:b/>
          <w:i/>
          <w:sz w:val="26"/>
          <w:szCs w:val="26"/>
        </w:rPr>
        <w:t>,</w:t>
      </w:r>
      <w:r w:rsidR="0059653E" w:rsidRPr="00E1577B">
        <w:rPr>
          <w:rFonts w:ascii="Arial Narrow" w:hAnsi="Arial Narrow" w:cs="Tahoma"/>
          <w:sz w:val="26"/>
          <w:szCs w:val="26"/>
        </w:rPr>
        <w:t xml:space="preserve"> por la presunta violación de su derecho constitucional fundamental </w:t>
      </w:r>
      <w:r w:rsidR="003B72B8" w:rsidRPr="00E1577B">
        <w:rPr>
          <w:rFonts w:ascii="Arial Narrow" w:hAnsi="Arial Narrow" w:cs="Tahoma"/>
          <w:sz w:val="26"/>
          <w:szCs w:val="26"/>
        </w:rPr>
        <w:t>a la salud</w:t>
      </w:r>
      <w:r w:rsidR="0059653E" w:rsidRPr="00E1577B">
        <w:rPr>
          <w:rFonts w:ascii="Arial Narrow" w:hAnsi="Arial Narrow" w:cs="Tahoma"/>
          <w:sz w:val="26"/>
          <w:szCs w:val="26"/>
        </w:rPr>
        <w:t>.</w:t>
      </w:r>
    </w:p>
    <w:p w:rsidR="0059653E" w:rsidRPr="00E1577B" w:rsidRDefault="0059653E" w:rsidP="00E1577B">
      <w:pPr>
        <w:spacing w:line="288" w:lineRule="auto"/>
        <w:ind w:firstLine="851"/>
        <w:jc w:val="both"/>
        <w:rPr>
          <w:rFonts w:ascii="Arial Narrow" w:hAnsi="Arial Narrow" w:cs="Tahoma"/>
          <w:b/>
          <w:sz w:val="26"/>
          <w:szCs w:val="26"/>
        </w:rPr>
      </w:pPr>
    </w:p>
    <w:p w:rsidR="0059653E" w:rsidRPr="00E1577B" w:rsidRDefault="00EE51B0" w:rsidP="00E1577B">
      <w:pPr>
        <w:spacing w:line="288" w:lineRule="auto"/>
        <w:ind w:firstLine="851"/>
        <w:jc w:val="both"/>
        <w:rPr>
          <w:rFonts w:ascii="Arial Narrow" w:hAnsi="Arial Narrow" w:cs="Tahoma"/>
          <w:sz w:val="26"/>
          <w:szCs w:val="26"/>
        </w:rPr>
      </w:pPr>
      <w:r w:rsidRPr="00E1577B">
        <w:rPr>
          <w:rFonts w:ascii="Arial Narrow" w:hAnsi="Arial Narrow" w:cs="Tahoma"/>
          <w:sz w:val="26"/>
          <w:szCs w:val="26"/>
        </w:rPr>
        <w:t>E</w:t>
      </w:r>
      <w:r w:rsidR="0059653E" w:rsidRPr="00E1577B">
        <w:rPr>
          <w:rFonts w:ascii="Arial Narrow" w:hAnsi="Arial Narrow" w:cs="Tahoma"/>
          <w:sz w:val="26"/>
          <w:szCs w:val="26"/>
        </w:rPr>
        <w:t xml:space="preserve">l proyecto presentado por el ponente, fue aprobado y corresponde a la siguiente, </w:t>
      </w:r>
    </w:p>
    <w:p w:rsidR="002F2145" w:rsidRPr="00E1577B" w:rsidRDefault="002F2145" w:rsidP="00E1577B">
      <w:pPr>
        <w:spacing w:line="288" w:lineRule="auto"/>
        <w:jc w:val="both"/>
        <w:rPr>
          <w:rFonts w:ascii="Arial Narrow" w:hAnsi="Arial Narrow" w:cs="Tahoma"/>
          <w:i/>
          <w:sz w:val="26"/>
          <w:szCs w:val="26"/>
        </w:rPr>
      </w:pPr>
    </w:p>
    <w:p w:rsidR="002F2145" w:rsidRPr="00E1577B" w:rsidRDefault="002F2145" w:rsidP="00E1577B">
      <w:pPr>
        <w:spacing w:line="288" w:lineRule="auto"/>
        <w:jc w:val="center"/>
        <w:rPr>
          <w:rFonts w:ascii="Arial Narrow" w:hAnsi="Arial Narrow" w:cs="Tahoma"/>
          <w:b/>
          <w:i/>
          <w:sz w:val="26"/>
          <w:szCs w:val="26"/>
        </w:rPr>
      </w:pPr>
      <w:r w:rsidRPr="00E1577B">
        <w:rPr>
          <w:rFonts w:ascii="Arial Narrow" w:hAnsi="Arial Narrow" w:cs="Tahoma"/>
          <w:sz w:val="26"/>
          <w:szCs w:val="26"/>
        </w:rPr>
        <w:lastRenderedPageBreak/>
        <w:t>I.</w:t>
      </w:r>
      <w:r w:rsidRPr="00E1577B">
        <w:rPr>
          <w:rFonts w:ascii="Arial Narrow" w:hAnsi="Arial Narrow" w:cs="Tahoma"/>
          <w:b/>
          <w:i/>
          <w:sz w:val="26"/>
          <w:szCs w:val="26"/>
        </w:rPr>
        <w:t xml:space="preserve"> HECHOS JURIDICAMENTE RELEVANTES</w:t>
      </w:r>
    </w:p>
    <w:p w:rsidR="002F2145" w:rsidRPr="00E1577B" w:rsidRDefault="002F2145" w:rsidP="00E1577B">
      <w:pPr>
        <w:spacing w:line="288" w:lineRule="auto"/>
        <w:ind w:firstLine="851"/>
        <w:jc w:val="both"/>
        <w:rPr>
          <w:rFonts w:ascii="Arial Narrow" w:hAnsi="Arial Narrow" w:cs="Tahoma"/>
          <w:sz w:val="26"/>
          <w:szCs w:val="26"/>
        </w:rPr>
      </w:pPr>
    </w:p>
    <w:p w:rsidR="003B72B8" w:rsidRDefault="00484987" w:rsidP="00E1577B">
      <w:pPr>
        <w:pStyle w:val="Textoindependiente21"/>
        <w:spacing w:line="288" w:lineRule="auto"/>
        <w:ind w:firstLine="851"/>
        <w:rPr>
          <w:rFonts w:ascii="Arial Narrow" w:hAnsi="Arial Narrow" w:cs="Tahoma"/>
          <w:b w:val="0"/>
          <w:sz w:val="26"/>
          <w:szCs w:val="26"/>
        </w:rPr>
      </w:pPr>
      <w:r w:rsidRPr="00E1577B">
        <w:rPr>
          <w:rFonts w:ascii="Arial Narrow" w:hAnsi="Arial Narrow" w:cs="Tahoma"/>
          <w:b w:val="0"/>
          <w:sz w:val="26"/>
          <w:szCs w:val="26"/>
        </w:rPr>
        <w:t>Refiere el accionante que prestó</w:t>
      </w:r>
      <w:r w:rsidR="003B72B8" w:rsidRPr="00E1577B">
        <w:rPr>
          <w:rFonts w:ascii="Arial Narrow" w:hAnsi="Arial Narrow" w:cs="Tahoma"/>
          <w:b w:val="0"/>
          <w:sz w:val="26"/>
          <w:szCs w:val="26"/>
        </w:rPr>
        <w:t xml:space="preserve"> el servicio militar en la ciudad de Pereira entre los años 2017 y 2018, que en servicio activo se le diagnosticaron dos patologías consecuencia del mismo, que las patologías son síndrome nefrótico y síndrome edematoso, </w:t>
      </w:r>
      <w:r w:rsidRPr="00E1577B">
        <w:rPr>
          <w:rFonts w:ascii="Arial Narrow" w:hAnsi="Arial Narrow" w:cs="Tahoma"/>
          <w:b w:val="0"/>
          <w:sz w:val="26"/>
          <w:szCs w:val="26"/>
        </w:rPr>
        <w:t xml:space="preserve">que igualmente se le diagnosticó </w:t>
      </w:r>
      <w:r w:rsidR="003B72B8" w:rsidRPr="00E1577B">
        <w:rPr>
          <w:rFonts w:ascii="Arial Narrow" w:hAnsi="Arial Narrow" w:cs="Tahoma"/>
          <w:b w:val="0"/>
          <w:sz w:val="26"/>
          <w:szCs w:val="26"/>
        </w:rPr>
        <w:t xml:space="preserve"> “trastornos de adaptación”, que el 29 de septiembre del año 2018 se le ordenó por el nefrólogo “Prednisolona, atorvastatina, calciao de vitamina D3, furosemida, verapamilo, ciclosporina y sertralina”, que una vez terminado su servicio militar el servicio de salud no se lo volvieron a prestar.</w:t>
      </w:r>
    </w:p>
    <w:p w:rsidR="00D43254" w:rsidRPr="00E1577B" w:rsidRDefault="00D43254" w:rsidP="00E1577B">
      <w:pPr>
        <w:pStyle w:val="Textoindependiente21"/>
        <w:spacing w:line="288" w:lineRule="auto"/>
        <w:ind w:firstLine="851"/>
        <w:rPr>
          <w:rFonts w:ascii="Arial Narrow" w:hAnsi="Arial Narrow" w:cs="Tahoma"/>
          <w:b w:val="0"/>
          <w:sz w:val="26"/>
          <w:szCs w:val="26"/>
        </w:rPr>
      </w:pPr>
    </w:p>
    <w:p w:rsidR="007468F5" w:rsidRPr="00E1577B" w:rsidRDefault="007468F5" w:rsidP="00E1577B">
      <w:pPr>
        <w:pStyle w:val="Textoindependiente21"/>
        <w:spacing w:line="288" w:lineRule="auto"/>
        <w:ind w:firstLine="851"/>
        <w:rPr>
          <w:rFonts w:ascii="Arial Narrow" w:hAnsi="Arial Narrow" w:cs="Tahoma"/>
          <w:b w:val="0"/>
          <w:sz w:val="26"/>
          <w:szCs w:val="26"/>
        </w:rPr>
      </w:pPr>
      <w:r w:rsidRPr="00E1577B">
        <w:rPr>
          <w:rFonts w:ascii="Arial Narrow" w:hAnsi="Arial Narrow" w:cs="Tahoma"/>
          <w:b w:val="0"/>
          <w:sz w:val="26"/>
          <w:szCs w:val="26"/>
        </w:rPr>
        <w:t>Por tales razones depreca que se tutelen sus derechos fundamentales y se ordene la entrega de los mismos, así como la prestación de los servicios de salud necesarios para atender las patologías ocurridas en servicio activo.</w:t>
      </w:r>
    </w:p>
    <w:p w:rsidR="007468F5" w:rsidRPr="00E1577B" w:rsidRDefault="007468F5" w:rsidP="00E1577B">
      <w:pPr>
        <w:pStyle w:val="Textoindependiente21"/>
        <w:spacing w:line="288" w:lineRule="auto"/>
        <w:ind w:firstLine="851"/>
        <w:rPr>
          <w:rFonts w:ascii="Arial Narrow" w:hAnsi="Arial Narrow" w:cs="Tahoma"/>
          <w:b w:val="0"/>
          <w:sz w:val="26"/>
          <w:szCs w:val="26"/>
        </w:rPr>
      </w:pPr>
    </w:p>
    <w:p w:rsidR="007468F5" w:rsidRPr="00E1577B" w:rsidRDefault="007468F5" w:rsidP="00E1577B">
      <w:pPr>
        <w:pStyle w:val="Textoindependiente21"/>
        <w:spacing w:line="288" w:lineRule="auto"/>
        <w:ind w:firstLine="851"/>
        <w:rPr>
          <w:rFonts w:ascii="Arial Narrow" w:hAnsi="Arial Narrow" w:cs="Tahoma"/>
          <w:b w:val="0"/>
          <w:sz w:val="26"/>
          <w:szCs w:val="26"/>
        </w:rPr>
      </w:pPr>
      <w:r w:rsidRPr="00E1577B">
        <w:rPr>
          <w:rFonts w:ascii="Arial Narrow" w:hAnsi="Arial Narrow" w:cs="Tahoma"/>
          <w:b w:val="0"/>
          <w:sz w:val="26"/>
          <w:szCs w:val="26"/>
        </w:rPr>
        <w:t>Admitida la acción se dispuso el traslado del caso a los accionados, de los cuales se obtuvo pronunciamiento únicamente del dispensario médico, quien indicó que el actor ya no se encuentra vinculado con esa entidad para el servicio de salud, por lo que pide que se declare la improcedencia de la acción constitucional.</w:t>
      </w:r>
    </w:p>
    <w:p w:rsidR="00867634" w:rsidRPr="00E1577B" w:rsidRDefault="00867634" w:rsidP="00E1577B">
      <w:pPr>
        <w:pStyle w:val="Textoindependiente21"/>
        <w:spacing w:line="288" w:lineRule="auto"/>
        <w:ind w:firstLine="851"/>
        <w:rPr>
          <w:rFonts w:ascii="Arial Narrow" w:hAnsi="Arial Narrow" w:cs="Tahoma"/>
          <w:sz w:val="26"/>
          <w:szCs w:val="26"/>
        </w:rPr>
      </w:pPr>
    </w:p>
    <w:p w:rsidR="00B44FFB" w:rsidRPr="00E1577B" w:rsidRDefault="00B44FFB" w:rsidP="00E1577B">
      <w:pPr>
        <w:pStyle w:val="Textoindependiente21"/>
        <w:spacing w:line="288" w:lineRule="auto"/>
        <w:ind w:firstLine="851"/>
        <w:rPr>
          <w:rFonts w:ascii="Arial Narrow" w:hAnsi="Arial Narrow" w:cs="Tahoma"/>
          <w:sz w:val="26"/>
          <w:szCs w:val="26"/>
        </w:rPr>
      </w:pPr>
      <w:r w:rsidRPr="00E1577B">
        <w:rPr>
          <w:rFonts w:ascii="Arial Narrow" w:hAnsi="Arial Narrow" w:cs="Tahoma"/>
          <w:sz w:val="26"/>
          <w:szCs w:val="26"/>
        </w:rPr>
        <w:t>II. SENTENCIA DE PRIMERA INSTANCIA.</w:t>
      </w:r>
    </w:p>
    <w:p w:rsidR="00B44FFB" w:rsidRPr="00E1577B" w:rsidRDefault="00B44FFB" w:rsidP="00E1577B">
      <w:pPr>
        <w:pStyle w:val="Textoindependiente21"/>
        <w:spacing w:line="288" w:lineRule="auto"/>
        <w:ind w:firstLine="851"/>
        <w:rPr>
          <w:rFonts w:ascii="Arial Narrow" w:hAnsi="Arial Narrow" w:cs="Tahoma"/>
          <w:sz w:val="26"/>
          <w:szCs w:val="26"/>
        </w:rPr>
      </w:pPr>
    </w:p>
    <w:p w:rsidR="001038D5" w:rsidRPr="00E1577B" w:rsidRDefault="00B44FFB" w:rsidP="00E1577B">
      <w:pPr>
        <w:pStyle w:val="Textoindependiente21"/>
        <w:spacing w:line="288" w:lineRule="auto"/>
        <w:ind w:firstLine="851"/>
        <w:rPr>
          <w:rFonts w:ascii="Arial Narrow" w:hAnsi="Arial Narrow" w:cs="Tahoma"/>
          <w:b w:val="0"/>
          <w:sz w:val="26"/>
          <w:szCs w:val="26"/>
        </w:rPr>
      </w:pPr>
      <w:r w:rsidRPr="00E1577B">
        <w:rPr>
          <w:rFonts w:ascii="Arial Narrow" w:hAnsi="Arial Narrow" w:cs="Tahoma"/>
          <w:b w:val="0"/>
          <w:sz w:val="26"/>
          <w:szCs w:val="26"/>
        </w:rPr>
        <w:t xml:space="preserve">La Jueza a-quo </w:t>
      </w:r>
      <w:r w:rsidR="007468F5" w:rsidRPr="00E1577B">
        <w:rPr>
          <w:rFonts w:ascii="Arial Narrow" w:hAnsi="Arial Narrow" w:cs="Tahoma"/>
          <w:b w:val="0"/>
          <w:sz w:val="26"/>
          <w:szCs w:val="26"/>
        </w:rPr>
        <w:t xml:space="preserve">negó que el actor estuviera afiliado al sistema de salud de las fuerzas militares, pero encontró que de los medicamentos ordenados al mismo en la atención </w:t>
      </w:r>
      <w:r w:rsidR="00484987" w:rsidRPr="00E1577B">
        <w:rPr>
          <w:rFonts w:ascii="Arial Narrow" w:hAnsi="Arial Narrow" w:cs="Tahoma"/>
          <w:b w:val="0"/>
          <w:sz w:val="26"/>
          <w:szCs w:val="26"/>
        </w:rPr>
        <w:t>recibida quedó</w:t>
      </w:r>
      <w:r w:rsidR="007468F5" w:rsidRPr="00E1577B">
        <w:rPr>
          <w:rFonts w:ascii="Arial Narrow" w:hAnsi="Arial Narrow" w:cs="Tahoma"/>
          <w:b w:val="0"/>
          <w:sz w:val="26"/>
          <w:szCs w:val="26"/>
        </w:rPr>
        <w:t xml:space="preserve"> haciendo falta uno de ellos, puntualmente el denominado “Carbonato de Calcio (1500 MG)/Vitamina D3 Tableta o capsula 600+200MG+UI, por lo que</w:t>
      </w:r>
      <w:r w:rsidR="001038D5" w:rsidRPr="00E1577B">
        <w:rPr>
          <w:rFonts w:ascii="Arial Narrow" w:hAnsi="Arial Narrow" w:cs="Tahoma"/>
          <w:b w:val="0"/>
          <w:sz w:val="26"/>
          <w:szCs w:val="26"/>
        </w:rPr>
        <w:t xml:space="preserve"> ordenó la entrega del mismo a los accionados.</w:t>
      </w:r>
    </w:p>
    <w:p w:rsidR="00F32A59" w:rsidRPr="00E1577B" w:rsidRDefault="00F32A59" w:rsidP="00E1577B">
      <w:pPr>
        <w:pStyle w:val="Textoindependiente21"/>
        <w:spacing w:line="288" w:lineRule="auto"/>
        <w:ind w:firstLine="851"/>
        <w:rPr>
          <w:rFonts w:ascii="Arial Narrow" w:hAnsi="Arial Narrow" w:cs="Tahoma"/>
          <w:b w:val="0"/>
          <w:sz w:val="26"/>
          <w:szCs w:val="26"/>
        </w:rPr>
      </w:pPr>
    </w:p>
    <w:p w:rsidR="007F7E55" w:rsidRPr="00E1577B" w:rsidRDefault="007F7E55" w:rsidP="00E1577B">
      <w:pPr>
        <w:pStyle w:val="Textoindependiente21"/>
        <w:spacing w:line="288" w:lineRule="auto"/>
        <w:ind w:firstLine="851"/>
        <w:rPr>
          <w:rFonts w:ascii="Arial Narrow" w:hAnsi="Arial Narrow" w:cs="Tahoma"/>
          <w:sz w:val="26"/>
          <w:szCs w:val="26"/>
        </w:rPr>
      </w:pPr>
      <w:r w:rsidRPr="00E1577B">
        <w:rPr>
          <w:rFonts w:ascii="Arial Narrow" w:hAnsi="Arial Narrow" w:cs="Tahoma"/>
          <w:sz w:val="26"/>
          <w:szCs w:val="26"/>
        </w:rPr>
        <w:t>III. IMPUGNACIÓN.</w:t>
      </w:r>
    </w:p>
    <w:p w:rsidR="007F7E55" w:rsidRPr="00E1577B" w:rsidRDefault="007F7E55" w:rsidP="00E1577B">
      <w:pPr>
        <w:pStyle w:val="Textoindependiente21"/>
        <w:spacing w:line="288" w:lineRule="auto"/>
        <w:ind w:firstLine="851"/>
        <w:rPr>
          <w:rFonts w:ascii="Arial Narrow" w:hAnsi="Arial Narrow" w:cs="Tahoma"/>
          <w:sz w:val="26"/>
          <w:szCs w:val="26"/>
        </w:rPr>
      </w:pPr>
    </w:p>
    <w:p w:rsidR="001038D5" w:rsidRPr="00E1577B" w:rsidRDefault="001038D5" w:rsidP="00E1577B">
      <w:pPr>
        <w:pStyle w:val="Textoindependiente21"/>
        <w:spacing w:line="288" w:lineRule="auto"/>
        <w:ind w:firstLine="851"/>
        <w:rPr>
          <w:rFonts w:ascii="Arial Narrow" w:hAnsi="Arial Narrow" w:cs="Tahoma"/>
          <w:b w:val="0"/>
          <w:sz w:val="26"/>
          <w:szCs w:val="26"/>
        </w:rPr>
      </w:pPr>
      <w:r w:rsidRPr="00E1577B">
        <w:rPr>
          <w:rFonts w:ascii="Arial Narrow" w:hAnsi="Arial Narrow" w:cs="Tahoma"/>
          <w:b w:val="0"/>
          <w:sz w:val="26"/>
          <w:szCs w:val="26"/>
        </w:rPr>
        <w:t>El dispensario médico 3029 del Ba</w:t>
      </w:r>
      <w:r w:rsidR="00484987" w:rsidRPr="00E1577B">
        <w:rPr>
          <w:rFonts w:ascii="Arial Narrow" w:hAnsi="Arial Narrow" w:cs="Tahoma"/>
          <w:b w:val="0"/>
          <w:sz w:val="26"/>
          <w:szCs w:val="26"/>
        </w:rPr>
        <w:t xml:space="preserve">tallón San Mateo, </w:t>
      </w:r>
      <w:r w:rsidRPr="00E1577B">
        <w:rPr>
          <w:rFonts w:ascii="Arial Narrow" w:hAnsi="Arial Narrow" w:cs="Tahoma"/>
          <w:b w:val="0"/>
          <w:sz w:val="26"/>
          <w:szCs w:val="26"/>
        </w:rPr>
        <w:t>inconforme con la decisión la impugnó oportunamente, informando que el aludido medicamento fue entregado al accionante en su domicilio, ante las dificultades existentes para contactarlo y lograr su comparecencia, alegando por ende, que existe un hecho superado.</w:t>
      </w:r>
    </w:p>
    <w:p w:rsidR="00B44FFB" w:rsidRPr="00E1577B" w:rsidRDefault="00B44FFB" w:rsidP="00E1577B">
      <w:pPr>
        <w:pStyle w:val="Textoindependiente21"/>
        <w:spacing w:line="288" w:lineRule="auto"/>
        <w:ind w:firstLine="851"/>
        <w:rPr>
          <w:rFonts w:ascii="Arial Narrow" w:hAnsi="Arial Narrow" w:cs="Tahoma"/>
          <w:b w:val="0"/>
          <w:sz w:val="26"/>
          <w:szCs w:val="26"/>
        </w:rPr>
      </w:pPr>
    </w:p>
    <w:p w:rsidR="002F2145" w:rsidRPr="00E1577B" w:rsidRDefault="002F2145" w:rsidP="00E1577B">
      <w:pPr>
        <w:pStyle w:val="Textoindependiente21"/>
        <w:spacing w:line="288" w:lineRule="auto"/>
        <w:ind w:firstLine="851"/>
        <w:rPr>
          <w:rFonts w:ascii="Arial Narrow" w:hAnsi="Arial Narrow" w:cs="Tahoma"/>
          <w:b w:val="0"/>
          <w:sz w:val="26"/>
          <w:szCs w:val="26"/>
        </w:rPr>
      </w:pPr>
      <w:r w:rsidRPr="00E1577B">
        <w:rPr>
          <w:rFonts w:ascii="Arial Narrow" w:hAnsi="Arial Narrow" w:cs="Tahoma"/>
          <w:b w:val="0"/>
          <w:sz w:val="26"/>
          <w:szCs w:val="26"/>
        </w:rPr>
        <w:t>III.</w:t>
      </w:r>
      <w:r w:rsidRPr="00E1577B">
        <w:rPr>
          <w:rFonts w:ascii="Arial Narrow" w:hAnsi="Arial Narrow" w:cs="Tahoma"/>
          <w:i/>
          <w:sz w:val="26"/>
          <w:szCs w:val="26"/>
        </w:rPr>
        <w:t xml:space="preserve"> CONSIDERACIONES.</w:t>
      </w:r>
    </w:p>
    <w:p w:rsidR="002F2145" w:rsidRPr="00E1577B" w:rsidRDefault="002F2145" w:rsidP="00E1577B">
      <w:pPr>
        <w:spacing w:line="288" w:lineRule="auto"/>
        <w:ind w:right="-7"/>
        <w:jc w:val="both"/>
        <w:rPr>
          <w:rFonts w:ascii="Arial Narrow" w:hAnsi="Arial Narrow" w:cs="Tahoma"/>
          <w:b/>
          <w:color w:val="000000"/>
          <w:sz w:val="26"/>
          <w:szCs w:val="26"/>
        </w:rPr>
      </w:pPr>
    </w:p>
    <w:p w:rsidR="001038D5" w:rsidRPr="00E1577B" w:rsidRDefault="001038D5" w:rsidP="00E1577B">
      <w:pPr>
        <w:tabs>
          <w:tab w:val="left" w:pos="-720"/>
        </w:tabs>
        <w:suppressAutoHyphens/>
        <w:spacing w:line="288" w:lineRule="auto"/>
        <w:ind w:left="851" w:right="-7"/>
        <w:jc w:val="both"/>
        <w:rPr>
          <w:rFonts w:ascii="Arial Narrow" w:hAnsi="Arial Narrow" w:cs="Tahoma"/>
          <w:b/>
          <w:bCs/>
          <w:i/>
          <w:color w:val="000000"/>
          <w:spacing w:val="-2"/>
          <w:sz w:val="26"/>
          <w:szCs w:val="26"/>
        </w:rPr>
      </w:pPr>
      <w:r w:rsidRPr="00E1577B">
        <w:rPr>
          <w:rFonts w:ascii="Arial Narrow" w:hAnsi="Arial Narrow" w:cs="Tahoma"/>
          <w:b/>
          <w:bCs/>
          <w:i/>
          <w:color w:val="000000"/>
          <w:spacing w:val="-2"/>
          <w:sz w:val="26"/>
          <w:szCs w:val="26"/>
        </w:rPr>
        <w:t>Cuestión previa.</w:t>
      </w:r>
    </w:p>
    <w:p w:rsidR="001038D5" w:rsidRPr="00E1577B" w:rsidRDefault="001038D5" w:rsidP="00E1577B">
      <w:pPr>
        <w:tabs>
          <w:tab w:val="left" w:pos="-720"/>
        </w:tabs>
        <w:suppressAutoHyphens/>
        <w:spacing w:line="288" w:lineRule="auto"/>
        <w:ind w:left="851" w:right="-7"/>
        <w:jc w:val="both"/>
        <w:rPr>
          <w:rFonts w:ascii="Arial Narrow" w:hAnsi="Arial Narrow" w:cs="Tahoma"/>
          <w:b/>
          <w:bCs/>
          <w:i/>
          <w:color w:val="000000"/>
          <w:spacing w:val="-2"/>
          <w:sz w:val="26"/>
          <w:szCs w:val="26"/>
        </w:rPr>
      </w:pPr>
    </w:p>
    <w:p w:rsidR="001038D5" w:rsidRPr="00E1577B" w:rsidRDefault="001038D5" w:rsidP="00E1577B">
      <w:pPr>
        <w:tabs>
          <w:tab w:val="left" w:pos="-720"/>
        </w:tabs>
        <w:suppressAutoHyphens/>
        <w:spacing w:line="288" w:lineRule="auto"/>
        <w:ind w:right="-7" w:firstLine="993"/>
        <w:jc w:val="both"/>
        <w:rPr>
          <w:rFonts w:ascii="Arial Narrow" w:hAnsi="Arial Narrow" w:cs="Tahoma"/>
          <w:bCs/>
          <w:color w:val="000000"/>
          <w:spacing w:val="-2"/>
          <w:sz w:val="26"/>
          <w:szCs w:val="26"/>
        </w:rPr>
      </w:pPr>
      <w:r w:rsidRPr="00E1577B">
        <w:rPr>
          <w:rFonts w:ascii="Arial Narrow" w:hAnsi="Arial Narrow" w:cs="Tahoma"/>
          <w:bCs/>
          <w:color w:val="000000"/>
          <w:spacing w:val="-2"/>
          <w:sz w:val="26"/>
          <w:szCs w:val="26"/>
        </w:rPr>
        <w:t>Encontrándose el proceso en esta Sala se allegaron por parte del Despacho a-quo varios memoriales, entre los cuales estaba un memorial de impugnación presentada por el accionante, con fecha de recibido en ese Despacho del 15 de enero de 2019.</w:t>
      </w:r>
    </w:p>
    <w:p w:rsidR="001038D5" w:rsidRPr="00E1577B" w:rsidRDefault="001038D5" w:rsidP="00E1577B">
      <w:pPr>
        <w:tabs>
          <w:tab w:val="left" w:pos="-720"/>
        </w:tabs>
        <w:suppressAutoHyphens/>
        <w:spacing w:line="288" w:lineRule="auto"/>
        <w:ind w:right="-7" w:firstLine="993"/>
        <w:jc w:val="both"/>
        <w:rPr>
          <w:rFonts w:ascii="Arial Narrow" w:hAnsi="Arial Narrow" w:cs="Tahoma"/>
          <w:bCs/>
          <w:color w:val="000000"/>
          <w:spacing w:val="-2"/>
          <w:sz w:val="26"/>
          <w:szCs w:val="26"/>
        </w:rPr>
      </w:pPr>
    </w:p>
    <w:p w:rsidR="001038D5" w:rsidRPr="00E1577B" w:rsidRDefault="001038D5" w:rsidP="00E1577B">
      <w:pPr>
        <w:tabs>
          <w:tab w:val="left" w:pos="-720"/>
        </w:tabs>
        <w:suppressAutoHyphens/>
        <w:spacing w:line="288" w:lineRule="auto"/>
        <w:ind w:right="-7" w:firstLine="993"/>
        <w:jc w:val="both"/>
        <w:rPr>
          <w:rFonts w:ascii="Arial Narrow" w:hAnsi="Arial Narrow" w:cs="Tahoma"/>
          <w:bCs/>
          <w:color w:val="000000"/>
          <w:spacing w:val="-2"/>
          <w:sz w:val="26"/>
          <w:szCs w:val="26"/>
        </w:rPr>
      </w:pPr>
      <w:r w:rsidRPr="00E1577B">
        <w:rPr>
          <w:rFonts w:ascii="Arial Narrow" w:hAnsi="Arial Narrow" w:cs="Tahoma"/>
          <w:bCs/>
          <w:color w:val="000000"/>
          <w:spacing w:val="-2"/>
          <w:sz w:val="26"/>
          <w:szCs w:val="26"/>
        </w:rPr>
        <w:lastRenderedPageBreak/>
        <w:t>Esta Colegiatura encuentra que dicha impugnación se presentó de manera extemporánea y, por ello, esta Sala se abstendrá de abordar su estudio. Para arribar a esta conclusión, es necesario precisar que el artículo 31 del Decreto 2591 de 1991, establece que la decisión podrá ser impugnada dentro de los tres días siguientes a su notificación. Tal acto, en el caso puntual, se hizo al accionante por medio de correo electrónico enviado el 18 de diciembre de 2018, tal como se observa con la constancia de entrega del mismo visible a folio 38 del expediente</w:t>
      </w:r>
      <w:r w:rsidR="00B730C3" w:rsidRPr="00E1577B">
        <w:rPr>
          <w:rFonts w:ascii="Arial Narrow" w:hAnsi="Arial Narrow" w:cs="Tahoma"/>
          <w:bCs/>
          <w:color w:val="000000"/>
          <w:spacing w:val="-2"/>
          <w:sz w:val="26"/>
          <w:szCs w:val="26"/>
        </w:rPr>
        <w:t>. Lo anterior, conlleva a que el accionante contara con los días 19 de diciembre de 2018, 11 y 14 de enero de 2019 para presentar la impugnación, efectuándolo apenas el 15 de enero de 2019. Por lo anterior, en virtud del principio de preclusión, refulge evidente que se debe denegar la impugnación propuesta por la parte accionante.</w:t>
      </w:r>
    </w:p>
    <w:p w:rsidR="00B730C3" w:rsidRPr="00E1577B" w:rsidRDefault="00B730C3" w:rsidP="00E1577B">
      <w:pPr>
        <w:tabs>
          <w:tab w:val="left" w:pos="-720"/>
        </w:tabs>
        <w:suppressAutoHyphens/>
        <w:spacing w:line="288" w:lineRule="auto"/>
        <w:ind w:right="-7" w:firstLine="993"/>
        <w:jc w:val="both"/>
        <w:rPr>
          <w:rFonts w:ascii="Arial Narrow" w:hAnsi="Arial Narrow" w:cs="Tahoma"/>
          <w:bCs/>
          <w:color w:val="000000"/>
          <w:spacing w:val="-2"/>
          <w:sz w:val="26"/>
          <w:szCs w:val="26"/>
        </w:rPr>
      </w:pPr>
    </w:p>
    <w:p w:rsidR="002F2145" w:rsidRPr="00E1577B" w:rsidRDefault="002F2145" w:rsidP="00E1577B">
      <w:pPr>
        <w:tabs>
          <w:tab w:val="left" w:pos="-720"/>
        </w:tabs>
        <w:suppressAutoHyphens/>
        <w:spacing w:line="288" w:lineRule="auto"/>
        <w:ind w:left="851" w:right="-7"/>
        <w:jc w:val="both"/>
        <w:rPr>
          <w:rFonts w:ascii="Arial Narrow" w:hAnsi="Arial Narrow" w:cs="Tahoma"/>
          <w:b/>
          <w:bCs/>
          <w:i/>
          <w:color w:val="000000"/>
          <w:spacing w:val="-2"/>
          <w:sz w:val="26"/>
          <w:szCs w:val="26"/>
        </w:rPr>
      </w:pPr>
      <w:r w:rsidRPr="00E1577B">
        <w:rPr>
          <w:rFonts w:ascii="Arial Narrow" w:hAnsi="Arial Narrow" w:cs="Tahoma"/>
          <w:b/>
          <w:bCs/>
          <w:i/>
          <w:color w:val="000000"/>
          <w:spacing w:val="-2"/>
          <w:sz w:val="26"/>
          <w:szCs w:val="26"/>
        </w:rPr>
        <w:t>Problema jurídico a resolver.</w:t>
      </w:r>
    </w:p>
    <w:p w:rsidR="002F2145" w:rsidRPr="00E1577B" w:rsidRDefault="002F2145" w:rsidP="00E1577B">
      <w:pPr>
        <w:tabs>
          <w:tab w:val="left" w:pos="-720"/>
        </w:tabs>
        <w:suppressAutoHyphens/>
        <w:spacing w:line="288" w:lineRule="auto"/>
        <w:ind w:right="-7" w:firstLine="851"/>
        <w:jc w:val="both"/>
        <w:rPr>
          <w:rFonts w:ascii="Arial Narrow" w:hAnsi="Arial Narrow" w:cs="Tahoma"/>
          <w:bCs/>
          <w:i/>
          <w:color w:val="000000"/>
          <w:spacing w:val="-2"/>
          <w:sz w:val="26"/>
          <w:szCs w:val="26"/>
        </w:rPr>
      </w:pPr>
    </w:p>
    <w:p w:rsidR="002F2145" w:rsidRPr="00E1577B" w:rsidRDefault="002F2145" w:rsidP="00E1577B">
      <w:pPr>
        <w:tabs>
          <w:tab w:val="left" w:pos="-720"/>
        </w:tabs>
        <w:suppressAutoHyphens/>
        <w:spacing w:line="288" w:lineRule="auto"/>
        <w:ind w:right="-7" w:firstLine="851"/>
        <w:jc w:val="both"/>
        <w:rPr>
          <w:rFonts w:ascii="Arial Narrow" w:hAnsi="Arial Narrow" w:cs="Tahoma"/>
          <w:bCs/>
          <w:i/>
          <w:color w:val="000000"/>
          <w:spacing w:val="-2"/>
          <w:sz w:val="26"/>
          <w:szCs w:val="26"/>
        </w:rPr>
      </w:pPr>
      <w:r w:rsidRPr="00E1577B">
        <w:rPr>
          <w:rFonts w:ascii="Arial Narrow" w:hAnsi="Arial Narrow" w:cs="Tahoma"/>
          <w:bCs/>
          <w:i/>
          <w:color w:val="000000"/>
          <w:spacing w:val="-2"/>
          <w:sz w:val="26"/>
          <w:szCs w:val="26"/>
        </w:rPr>
        <w:t>¿</w:t>
      </w:r>
      <w:r w:rsidR="00184C13" w:rsidRPr="00E1577B">
        <w:rPr>
          <w:rFonts w:ascii="Arial Narrow" w:hAnsi="Arial Narrow" w:cs="Tahoma"/>
          <w:bCs/>
          <w:i/>
          <w:color w:val="000000"/>
          <w:spacing w:val="-2"/>
          <w:sz w:val="26"/>
          <w:szCs w:val="26"/>
        </w:rPr>
        <w:t xml:space="preserve">Ha cesado el motivo de la vulneración del derecho </w:t>
      </w:r>
      <w:r w:rsidR="00B730C3" w:rsidRPr="00E1577B">
        <w:rPr>
          <w:rFonts w:ascii="Arial Narrow" w:hAnsi="Arial Narrow" w:cs="Tahoma"/>
          <w:bCs/>
          <w:i/>
          <w:color w:val="000000"/>
          <w:spacing w:val="-2"/>
          <w:sz w:val="26"/>
          <w:szCs w:val="26"/>
        </w:rPr>
        <w:t>a la salud</w:t>
      </w:r>
      <w:r w:rsidR="005D7C28" w:rsidRPr="00E1577B">
        <w:rPr>
          <w:rFonts w:ascii="Arial Narrow" w:hAnsi="Arial Narrow" w:cs="Tahoma"/>
          <w:bCs/>
          <w:i/>
          <w:color w:val="000000"/>
          <w:spacing w:val="-2"/>
          <w:sz w:val="26"/>
          <w:szCs w:val="26"/>
        </w:rPr>
        <w:t xml:space="preserve"> </w:t>
      </w:r>
      <w:r w:rsidR="00184C13" w:rsidRPr="00E1577B">
        <w:rPr>
          <w:rFonts w:ascii="Arial Narrow" w:hAnsi="Arial Narrow" w:cs="Tahoma"/>
          <w:bCs/>
          <w:i/>
          <w:color w:val="000000"/>
          <w:spacing w:val="-2"/>
          <w:sz w:val="26"/>
          <w:szCs w:val="26"/>
        </w:rPr>
        <w:t>del accionante</w:t>
      </w:r>
      <w:r w:rsidRPr="00E1577B">
        <w:rPr>
          <w:rFonts w:ascii="Arial Narrow" w:hAnsi="Arial Narrow" w:cs="Tahoma"/>
          <w:bCs/>
          <w:i/>
          <w:color w:val="000000"/>
          <w:spacing w:val="-2"/>
          <w:sz w:val="26"/>
          <w:szCs w:val="26"/>
        </w:rPr>
        <w:t>?</w:t>
      </w:r>
    </w:p>
    <w:p w:rsidR="002F2145" w:rsidRPr="00E1577B" w:rsidRDefault="002F2145" w:rsidP="00E1577B">
      <w:pPr>
        <w:tabs>
          <w:tab w:val="left" w:pos="-720"/>
        </w:tabs>
        <w:suppressAutoHyphens/>
        <w:spacing w:line="288" w:lineRule="auto"/>
        <w:ind w:right="-7" w:firstLine="851"/>
        <w:jc w:val="both"/>
        <w:rPr>
          <w:rFonts w:ascii="Arial Narrow" w:hAnsi="Arial Narrow" w:cs="Tahoma"/>
          <w:bCs/>
          <w:i/>
          <w:color w:val="000000"/>
          <w:spacing w:val="-2"/>
          <w:sz w:val="26"/>
          <w:szCs w:val="26"/>
        </w:rPr>
      </w:pPr>
    </w:p>
    <w:p w:rsidR="002F2145" w:rsidRPr="00E1577B" w:rsidRDefault="002F2145" w:rsidP="00E1577B">
      <w:pPr>
        <w:spacing w:line="288" w:lineRule="auto"/>
        <w:ind w:firstLine="900"/>
        <w:jc w:val="both"/>
        <w:rPr>
          <w:rFonts w:ascii="Arial Narrow" w:hAnsi="Arial Narrow" w:cs="Arial"/>
          <w:b/>
          <w:i/>
          <w:sz w:val="26"/>
          <w:szCs w:val="26"/>
        </w:rPr>
      </w:pPr>
      <w:r w:rsidRPr="00E1577B">
        <w:rPr>
          <w:rFonts w:ascii="Arial Narrow" w:hAnsi="Arial Narrow" w:cs="Arial"/>
          <w:b/>
          <w:i/>
          <w:sz w:val="26"/>
          <w:szCs w:val="26"/>
        </w:rPr>
        <w:t>Desarrollo de la problemática planteada</w:t>
      </w:r>
    </w:p>
    <w:p w:rsidR="002F2145" w:rsidRPr="00E1577B" w:rsidRDefault="002F2145" w:rsidP="00E1577B">
      <w:pPr>
        <w:spacing w:line="288" w:lineRule="auto"/>
        <w:ind w:left="1134"/>
        <w:jc w:val="both"/>
        <w:rPr>
          <w:rFonts w:ascii="Arial Narrow" w:hAnsi="Arial Narrow" w:cs="Arial"/>
          <w:b/>
          <w:i/>
          <w:iCs/>
          <w:sz w:val="26"/>
          <w:szCs w:val="26"/>
        </w:rPr>
      </w:pPr>
    </w:p>
    <w:p w:rsidR="00184C13" w:rsidRPr="00E1577B" w:rsidRDefault="00184C13" w:rsidP="00E1577B">
      <w:pPr>
        <w:spacing w:line="288" w:lineRule="auto"/>
        <w:ind w:firstLine="993"/>
        <w:jc w:val="both"/>
        <w:rPr>
          <w:rFonts w:ascii="Arial Narrow" w:hAnsi="Arial Narrow" w:cs="Arial"/>
          <w:iCs/>
          <w:sz w:val="26"/>
          <w:szCs w:val="26"/>
        </w:rPr>
      </w:pPr>
      <w:r w:rsidRPr="00E1577B">
        <w:rPr>
          <w:rFonts w:ascii="Arial Narrow" w:hAnsi="Arial Narrow" w:cs="Arial"/>
          <w:iCs/>
          <w:sz w:val="26"/>
          <w:szCs w:val="26"/>
        </w:rPr>
        <w:t xml:space="preserve">La acción de tutela, contenida en el artículo 86 de la Carta Política, tiene como objeto la protección pronta y eficaz de los derechos fundamentales, cuando quiera que estos se vean afectados o conculcados, dotando al Juez de las herramientas necesarias para tomar todas las medidas pertinentes para salvaguardarlos.  </w:t>
      </w:r>
    </w:p>
    <w:p w:rsidR="00184C13" w:rsidRPr="00E1577B" w:rsidRDefault="00184C13" w:rsidP="00E1577B">
      <w:pPr>
        <w:spacing w:line="288" w:lineRule="auto"/>
        <w:ind w:firstLine="993"/>
        <w:jc w:val="both"/>
        <w:rPr>
          <w:rFonts w:ascii="Arial Narrow" w:hAnsi="Arial Narrow" w:cs="Arial"/>
          <w:iCs/>
          <w:sz w:val="26"/>
          <w:szCs w:val="26"/>
        </w:rPr>
      </w:pPr>
    </w:p>
    <w:p w:rsidR="00184C13" w:rsidRPr="00E1577B" w:rsidRDefault="00184C13" w:rsidP="00E1577B">
      <w:pPr>
        <w:spacing w:line="288" w:lineRule="auto"/>
        <w:ind w:firstLine="993"/>
        <w:jc w:val="both"/>
        <w:rPr>
          <w:rFonts w:ascii="Arial Narrow" w:hAnsi="Arial Narrow" w:cs="Arial"/>
          <w:iCs/>
          <w:sz w:val="26"/>
          <w:szCs w:val="26"/>
        </w:rPr>
      </w:pPr>
      <w:r w:rsidRPr="00E1577B">
        <w:rPr>
          <w:rFonts w:ascii="Arial Narrow" w:hAnsi="Arial Narrow" w:cs="Arial"/>
          <w:iCs/>
          <w:sz w:val="26"/>
          <w:szCs w:val="26"/>
        </w:rPr>
        <w:t xml:space="preserve">Por ello, cuando el acto o la omisión que amenaza o pone en peligro el derecho fundamental de una persona </w:t>
      </w:r>
      <w:proofErr w:type="gramStart"/>
      <w:r w:rsidRPr="00E1577B">
        <w:rPr>
          <w:rFonts w:ascii="Arial Narrow" w:hAnsi="Arial Narrow" w:cs="Arial"/>
          <w:iCs/>
          <w:sz w:val="26"/>
          <w:szCs w:val="26"/>
        </w:rPr>
        <w:t>cesa</w:t>
      </w:r>
      <w:proofErr w:type="gramEnd"/>
      <w:r w:rsidRPr="00E1577B">
        <w:rPr>
          <w:rFonts w:ascii="Arial Narrow" w:hAnsi="Arial Narrow" w:cs="Arial"/>
          <w:iCs/>
          <w:sz w:val="26"/>
          <w:szCs w:val="26"/>
        </w:rPr>
        <w:t>, la acción de tutela pierde su objeto de protección, debiendo declararse improcedente. La Corte Constitucional se ha pronunciado profusamente frente al tema, siendo pertinente para una mejor ilustración, citar uno de tales pronunciamientos:</w:t>
      </w:r>
    </w:p>
    <w:p w:rsidR="00184C13" w:rsidRPr="00E1577B" w:rsidRDefault="00184C13" w:rsidP="00E1577B">
      <w:pPr>
        <w:spacing w:line="288" w:lineRule="auto"/>
        <w:ind w:firstLine="993"/>
        <w:jc w:val="both"/>
        <w:rPr>
          <w:rFonts w:ascii="Arial Narrow" w:hAnsi="Arial Narrow" w:cs="Arial"/>
          <w:iCs/>
          <w:sz w:val="26"/>
          <w:szCs w:val="26"/>
        </w:rPr>
      </w:pPr>
    </w:p>
    <w:p w:rsidR="00184C13" w:rsidRPr="00D43254" w:rsidRDefault="00184C13" w:rsidP="00D43254">
      <w:pPr>
        <w:ind w:left="426" w:right="420" w:firstLine="993"/>
        <w:jc w:val="both"/>
        <w:rPr>
          <w:rFonts w:ascii="Arial Narrow" w:hAnsi="Arial Narrow" w:cs="Arial"/>
          <w:i/>
          <w:iCs/>
          <w:sz w:val="24"/>
          <w:szCs w:val="26"/>
        </w:rPr>
      </w:pPr>
      <w:r w:rsidRPr="00D43254">
        <w:rPr>
          <w:rFonts w:ascii="Arial Narrow" w:hAnsi="Arial Narrow" w:cs="Arial"/>
          <w:i/>
          <w:iCs/>
          <w:sz w:val="24"/>
          <w:szCs w:val="26"/>
        </w:rPr>
        <w:t>“Esta Corporación, al interpretar el contenido y alcance del artículo 86 de la Constitución Política, en forma reiterada ha señalado que el objetivo de la acción de tutela se circunscribe a la protección inmediata y actual de los derechos fundamentales, cuando estos resulten vulnerados o amenazados por la acción u omisión de las autoridades públicas, o de los particulares en los casos expresamente consagrados en la ley.</w:t>
      </w:r>
    </w:p>
    <w:p w:rsidR="00184C13" w:rsidRPr="00D43254" w:rsidRDefault="00184C13" w:rsidP="00D43254">
      <w:pPr>
        <w:ind w:left="426" w:right="420" w:firstLine="993"/>
        <w:jc w:val="both"/>
        <w:rPr>
          <w:rFonts w:ascii="Arial Narrow" w:hAnsi="Arial Narrow" w:cs="Arial"/>
          <w:i/>
          <w:iCs/>
          <w:sz w:val="24"/>
          <w:szCs w:val="26"/>
        </w:rPr>
      </w:pPr>
      <w:r w:rsidRPr="00D43254">
        <w:rPr>
          <w:rFonts w:ascii="Arial Narrow" w:hAnsi="Arial Narrow" w:cs="Arial"/>
          <w:i/>
          <w:iCs/>
          <w:sz w:val="24"/>
          <w:szCs w:val="26"/>
        </w:rPr>
        <w:t xml:space="preserve"> </w:t>
      </w:r>
    </w:p>
    <w:p w:rsidR="00184C13" w:rsidRPr="00D43254" w:rsidRDefault="00184C13" w:rsidP="00D43254">
      <w:pPr>
        <w:ind w:left="426" w:right="420" w:firstLine="993"/>
        <w:jc w:val="both"/>
        <w:rPr>
          <w:rFonts w:ascii="Arial Narrow" w:hAnsi="Arial Narrow" w:cs="Arial"/>
          <w:i/>
          <w:iCs/>
          <w:sz w:val="24"/>
          <w:szCs w:val="26"/>
        </w:rPr>
      </w:pPr>
      <w:r w:rsidRPr="00D43254">
        <w:rPr>
          <w:rFonts w:ascii="Arial Narrow" w:hAnsi="Arial Narrow" w:cs="Arial"/>
          <w:i/>
          <w:iCs/>
          <w:sz w:val="24"/>
          <w:szCs w:val="26"/>
        </w:rPr>
        <w:t>Así las cosas, se tiene que el propósito de la tutela, como lo establece el mencionado artículo, es que el Juez Constitucional, de manera expedita, administre justicia en el caso concreto, profiriendo las órdenes que considere pertinentes a la autoridad pública o al particular que con sus acciones han amenazado o vulnerado derechos fundamentales y procurar así la defensa actual y cierta de los mismos.</w:t>
      </w:r>
    </w:p>
    <w:p w:rsidR="00184C13" w:rsidRPr="00D43254" w:rsidRDefault="00184C13" w:rsidP="00D43254">
      <w:pPr>
        <w:ind w:left="426" w:right="420" w:firstLine="993"/>
        <w:jc w:val="both"/>
        <w:rPr>
          <w:rFonts w:ascii="Arial Narrow" w:hAnsi="Arial Narrow" w:cs="Arial"/>
          <w:i/>
          <w:iCs/>
          <w:sz w:val="24"/>
          <w:szCs w:val="26"/>
        </w:rPr>
      </w:pPr>
      <w:r w:rsidRPr="00D43254">
        <w:rPr>
          <w:rFonts w:ascii="Arial Narrow" w:hAnsi="Arial Narrow" w:cs="Arial"/>
          <w:i/>
          <w:iCs/>
          <w:sz w:val="24"/>
          <w:szCs w:val="26"/>
        </w:rPr>
        <w:t xml:space="preserve"> </w:t>
      </w:r>
    </w:p>
    <w:p w:rsidR="00184C13" w:rsidRPr="00D43254" w:rsidRDefault="00184C13" w:rsidP="00D43254">
      <w:pPr>
        <w:ind w:left="426" w:right="420" w:firstLine="993"/>
        <w:jc w:val="both"/>
        <w:rPr>
          <w:rFonts w:ascii="Arial Narrow" w:hAnsi="Arial Narrow" w:cs="Arial"/>
          <w:i/>
          <w:iCs/>
          <w:sz w:val="24"/>
          <w:szCs w:val="26"/>
        </w:rPr>
      </w:pPr>
      <w:r w:rsidRPr="00D43254">
        <w:rPr>
          <w:rFonts w:ascii="Arial Narrow" w:hAnsi="Arial Narrow" w:cs="Arial"/>
          <w:i/>
          <w:iCs/>
          <w:sz w:val="24"/>
          <w:szCs w:val="26"/>
        </w:rPr>
        <w:t>No obstante, cuando la situación de hecho que causa la supuesta amenaza o vulneración del derecho alegado desaparece o se encuentra superada, la acción de tutela pierde toda razón de ser como mecanismo más apropiado y expedito de protección judicial, por cuanto a que la decisión que pudiese adoptar el juez respecto del caso concreto resultaría a todas luces inocua, y por consiguiente contraria al objetivo constitucionalmente previsto para esta acción.”</w:t>
      </w:r>
      <w:r w:rsidRPr="00D43254">
        <w:rPr>
          <w:rStyle w:val="Refdenotaalpie"/>
          <w:rFonts w:ascii="Arial Narrow" w:hAnsi="Arial Narrow" w:cs="Arial"/>
          <w:i/>
          <w:iCs/>
          <w:sz w:val="24"/>
          <w:szCs w:val="26"/>
        </w:rPr>
        <w:footnoteReference w:id="1"/>
      </w:r>
      <w:r w:rsidRPr="00D43254">
        <w:rPr>
          <w:rFonts w:ascii="Arial Narrow" w:hAnsi="Arial Narrow" w:cs="Arial"/>
          <w:i/>
          <w:iCs/>
          <w:sz w:val="24"/>
          <w:szCs w:val="26"/>
        </w:rPr>
        <w:t xml:space="preserve">   </w:t>
      </w:r>
    </w:p>
    <w:p w:rsidR="00B730C3" w:rsidRPr="00E1577B" w:rsidRDefault="00B730C3" w:rsidP="00E1577B">
      <w:pPr>
        <w:spacing w:line="288" w:lineRule="auto"/>
        <w:ind w:firstLine="993"/>
        <w:jc w:val="both"/>
        <w:rPr>
          <w:rFonts w:ascii="Arial Narrow" w:hAnsi="Arial Narrow" w:cs="Arial"/>
          <w:iCs/>
          <w:sz w:val="26"/>
          <w:szCs w:val="26"/>
        </w:rPr>
      </w:pPr>
    </w:p>
    <w:p w:rsidR="00B730C3" w:rsidRPr="00E1577B" w:rsidRDefault="00B730C3" w:rsidP="00E1577B">
      <w:pPr>
        <w:spacing w:line="288" w:lineRule="auto"/>
        <w:ind w:firstLine="993"/>
        <w:jc w:val="both"/>
        <w:rPr>
          <w:rFonts w:ascii="Arial Narrow" w:hAnsi="Arial Narrow" w:cs="Arial"/>
          <w:iCs/>
          <w:sz w:val="26"/>
          <w:szCs w:val="26"/>
        </w:rPr>
      </w:pPr>
      <w:r w:rsidRPr="00E1577B">
        <w:rPr>
          <w:rFonts w:ascii="Arial Narrow" w:hAnsi="Arial Narrow" w:cs="Arial"/>
          <w:iCs/>
          <w:sz w:val="26"/>
          <w:szCs w:val="26"/>
        </w:rPr>
        <w:lastRenderedPageBreak/>
        <w:t>Pues bien, teniendo en cuenta el precedente glosado y los medios de convicción obrantes en el infolio, se tiene que la entidad pretende se declare cumplida su obligación, pues presuntamente entregó al accionante el medicamento ordenado en la sentencia, lo que hizo, según sus dichos, en el propio domicilio del titular del derecho, lo que sustenta con el documento visible a folio 46 vto., en el que se evidencia que el 20 de diciembre de 2018, se le entregó al seño Alonso Agudelo –que es quien suscribe- el aludido documento.</w:t>
      </w:r>
    </w:p>
    <w:p w:rsidR="00B730C3" w:rsidRPr="00E1577B" w:rsidRDefault="00B730C3" w:rsidP="00E1577B">
      <w:pPr>
        <w:spacing w:line="288" w:lineRule="auto"/>
        <w:ind w:firstLine="993"/>
        <w:jc w:val="both"/>
        <w:rPr>
          <w:rFonts w:ascii="Arial Narrow" w:hAnsi="Arial Narrow" w:cs="Arial"/>
          <w:iCs/>
          <w:sz w:val="26"/>
          <w:szCs w:val="26"/>
        </w:rPr>
      </w:pPr>
    </w:p>
    <w:p w:rsidR="00335044" w:rsidRPr="00E1577B" w:rsidRDefault="00B730C3" w:rsidP="00E1577B">
      <w:pPr>
        <w:spacing w:line="288" w:lineRule="auto"/>
        <w:ind w:firstLine="993"/>
        <w:jc w:val="both"/>
        <w:rPr>
          <w:rFonts w:ascii="Arial Narrow" w:hAnsi="Arial Narrow" w:cs="Arial"/>
          <w:iCs/>
          <w:sz w:val="26"/>
          <w:szCs w:val="26"/>
        </w:rPr>
      </w:pPr>
      <w:r w:rsidRPr="00E1577B">
        <w:rPr>
          <w:rFonts w:ascii="Arial Narrow" w:hAnsi="Arial Narrow" w:cs="Arial"/>
          <w:iCs/>
          <w:sz w:val="26"/>
          <w:szCs w:val="26"/>
        </w:rPr>
        <w:t xml:space="preserve">En realidad, encuentra la Sala que el elemento traído como prueba de la cesación de la vulneración, no resulta idóneo para ello, amen que no se tiene certeza de quien es la persona que suscribe el documento, si estaba autorizado por el accionante para ello o si guarda algún tipo de parentesco con éste, aspectos que permitieran darle validez o tener certeza, acerca de la recepción efectiva de los medicamentos. Sobra decir, que tal certeza, debía brindarla la entidad accionada con el fin de liberarse </w:t>
      </w:r>
      <w:r w:rsidR="00335044" w:rsidRPr="00E1577B">
        <w:rPr>
          <w:rFonts w:ascii="Arial Narrow" w:hAnsi="Arial Narrow" w:cs="Arial"/>
          <w:iCs/>
          <w:sz w:val="26"/>
          <w:szCs w:val="26"/>
        </w:rPr>
        <w:t>de las obligaciones impuestas en el fallo, pero como se ha evidenciado, no se cumplió con tal deber.</w:t>
      </w:r>
    </w:p>
    <w:p w:rsidR="00335044" w:rsidRPr="00E1577B" w:rsidRDefault="00335044" w:rsidP="00E1577B">
      <w:pPr>
        <w:spacing w:line="288" w:lineRule="auto"/>
        <w:ind w:firstLine="993"/>
        <w:jc w:val="both"/>
        <w:rPr>
          <w:rFonts w:ascii="Arial Narrow" w:hAnsi="Arial Narrow" w:cs="Arial"/>
          <w:iCs/>
          <w:sz w:val="26"/>
          <w:szCs w:val="26"/>
        </w:rPr>
      </w:pPr>
    </w:p>
    <w:p w:rsidR="00335044" w:rsidRPr="00E1577B" w:rsidRDefault="00335044" w:rsidP="00E1577B">
      <w:pPr>
        <w:spacing w:line="288" w:lineRule="auto"/>
        <w:ind w:firstLine="993"/>
        <w:jc w:val="both"/>
        <w:rPr>
          <w:rFonts w:ascii="Arial Narrow" w:hAnsi="Arial Narrow" w:cs="Arial"/>
          <w:iCs/>
          <w:sz w:val="26"/>
          <w:szCs w:val="26"/>
        </w:rPr>
      </w:pPr>
      <w:r w:rsidRPr="00E1577B">
        <w:rPr>
          <w:rFonts w:ascii="Arial Narrow" w:hAnsi="Arial Narrow" w:cs="Arial"/>
          <w:iCs/>
          <w:sz w:val="26"/>
          <w:szCs w:val="26"/>
        </w:rPr>
        <w:t>Por lo mismo, encuentra la Sala que aún permanece latente la vulneración del derecho del accionante a que le suministre la medicación, razón por la cual deberá mantenerse la orden de primer grado, rechazando –consecuentemente- los argumentos de la impugnación.</w:t>
      </w:r>
    </w:p>
    <w:p w:rsidR="00D06FCC" w:rsidRPr="00E1577B" w:rsidRDefault="00D06FCC" w:rsidP="00E1577B">
      <w:pPr>
        <w:spacing w:line="288" w:lineRule="auto"/>
        <w:rPr>
          <w:rFonts w:ascii="Arial Narrow" w:hAnsi="Arial Narrow"/>
          <w:sz w:val="26"/>
          <w:szCs w:val="26"/>
        </w:rPr>
      </w:pPr>
    </w:p>
    <w:p w:rsidR="002F2145" w:rsidRDefault="002F2145" w:rsidP="00E1577B">
      <w:pPr>
        <w:pStyle w:val="Prrafodelista1"/>
        <w:spacing w:line="288" w:lineRule="auto"/>
        <w:ind w:left="0" w:firstLine="709"/>
        <w:jc w:val="both"/>
        <w:rPr>
          <w:rFonts w:ascii="Arial Narrow" w:hAnsi="Arial Narrow"/>
          <w:sz w:val="26"/>
          <w:szCs w:val="26"/>
        </w:rPr>
      </w:pPr>
      <w:r w:rsidRPr="00E1577B">
        <w:rPr>
          <w:rFonts w:ascii="Arial Narrow" w:hAnsi="Arial Narrow"/>
          <w:sz w:val="26"/>
          <w:szCs w:val="26"/>
        </w:rPr>
        <w:t>En mérito de lo expuesto</w:t>
      </w:r>
      <w:r w:rsidRPr="00E1577B">
        <w:rPr>
          <w:rFonts w:ascii="Arial Narrow" w:hAnsi="Arial Narrow"/>
          <w:b/>
          <w:i/>
          <w:sz w:val="26"/>
          <w:szCs w:val="26"/>
        </w:rPr>
        <w:t>, el Tribunal Superior del Distrito Judicial de Pereira - Risaralda, Sala Laboral,</w:t>
      </w:r>
      <w:r w:rsidRPr="00E1577B">
        <w:rPr>
          <w:rFonts w:ascii="Arial Narrow" w:hAnsi="Arial Narrow"/>
          <w:sz w:val="26"/>
          <w:szCs w:val="26"/>
        </w:rPr>
        <w:t xml:space="preserve"> administrando justicia en nombre del pueblo y </w:t>
      </w:r>
      <w:r w:rsidR="00D43254">
        <w:rPr>
          <w:rFonts w:ascii="Arial Narrow" w:hAnsi="Arial Narrow"/>
          <w:sz w:val="26"/>
          <w:szCs w:val="26"/>
        </w:rPr>
        <w:t>por mandato de la Constitución</w:t>
      </w:r>
    </w:p>
    <w:p w:rsidR="00D43254" w:rsidRPr="00E1577B" w:rsidRDefault="00D43254" w:rsidP="00E1577B">
      <w:pPr>
        <w:pStyle w:val="Prrafodelista1"/>
        <w:spacing w:line="288" w:lineRule="auto"/>
        <w:ind w:left="0" w:firstLine="709"/>
        <w:jc w:val="both"/>
        <w:rPr>
          <w:rFonts w:ascii="Arial Narrow" w:hAnsi="Arial Narrow"/>
          <w:sz w:val="26"/>
          <w:szCs w:val="26"/>
        </w:rPr>
      </w:pPr>
    </w:p>
    <w:p w:rsidR="002F2145" w:rsidRPr="00E1577B" w:rsidRDefault="002F2145" w:rsidP="00E1577B">
      <w:pPr>
        <w:spacing w:line="288" w:lineRule="auto"/>
        <w:jc w:val="center"/>
        <w:rPr>
          <w:rFonts w:ascii="Arial Narrow" w:hAnsi="Arial Narrow" w:cs="Arial"/>
          <w:b/>
          <w:i/>
          <w:sz w:val="26"/>
          <w:szCs w:val="26"/>
        </w:rPr>
      </w:pPr>
      <w:r w:rsidRPr="00E1577B">
        <w:rPr>
          <w:rFonts w:ascii="Arial Narrow" w:hAnsi="Arial Narrow" w:cs="Arial"/>
          <w:b/>
          <w:i/>
          <w:sz w:val="26"/>
          <w:szCs w:val="26"/>
        </w:rPr>
        <w:t>RESUELVE</w:t>
      </w:r>
    </w:p>
    <w:p w:rsidR="002F2145" w:rsidRPr="00E1577B" w:rsidRDefault="002F2145" w:rsidP="00E1577B">
      <w:pPr>
        <w:pStyle w:val="Textosinformato"/>
        <w:spacing w:line="288" w:lineRule="auto"/>
        <w:ind w:firstLine="1440"/>
        <w:jc w:val="both"/>
        <w:rPr>
          <w:rFonts w:ascii="Arial Narrow" w:hAnsi="Arial Narrow" w:cs="Arial"/>
          <w:b/>
          <w:color w:val="000000"/>
          <w:spacing w:val="-2"/>
          <w:sz w:val="26"/>
          <w:szCs w:val="26"/>
        </w:rPr>
      </w:pPr>
    </w:p>
    <w:p w:rsidR="007C7E5D" w:rsidRPr="00E1577B" w:rsidRDefault="007C7E5D" w:rsidP="00E1577B">
      <w:pPr>
        <w:spacing w:line="288" w:lineRule="auto"/>
        <w:ind w:firstLine="851"/>
        <w:jc w:val="both"/>
        <w:rPr>
          <w:rFonts w:ascii="Arial Narrow" w:hAnsi="Arial Narrow" w:cs="Arial"/>
          <w:color w:val="000000"/>
          <w:spacing w:val="-2"/>
          <w:sz w:val="26"/>
          <w:szCs w:val="26"/>
        </w:rPr>
      </w:pPr>
      <w:r w:rsidRPr="00E1577B">
        <w:rPr>
          <w:rFonts w:ascii="Arial Narrow" w:hAnsi="Arial Narrow" w:cs="Arial"/>
          <w:b/>
          <w:i/>
          <w:sz w:val="26"/>
          <w:szCs w:val="26"/>
        </w:rPr>
        <w:t xml:space="preserve">1º. </w:t>
      </w:r>
      <w:r w:rsidR="00335044" w:rsidRPr="00E1577B">
        <w:rPr>
          <w:rFonts w:ascii="Arial Narrow" w:hAnsi="Arial Narrow" w:cs="Arial"/>
          <w:b/>
          <w:i/>
          <w:sz w:val="26"/>
          <w:szCs w:val="26"/>
        </w:rPr>
        <w:t xml:space="preserve">Confirmar </w:t>
      </w:r>
      <w:r w:rsidR="006F47B2" w:rsidRPr="00E1577B">
        <w:rPr>
          <w:rFonts w:ascii="Arial Narrow" w:hAnsi="Arial Narrow" w:cs="Arial"/>
          <w:color w:val="000000"/>
          <w:spacing w:val="-2"/>
          <w:sz w:val="26"/>
          <w:szCs w:val="26"/>
        </w:rPr>
        <w:t xml:space="preserve">el fallo del </w:t>
      </w:r>
      <w:r w:rsidR="00335044" w:rsidRPr="00E1577B">
        <w:rPr>
          <w:rFonts w:ascii="Arial Narrow" w:hAnsi="Arial Narrow" w:cs="Arial"/>
          <w:color w:val="000000"/>
          <w:spacing w:val="-2"/>
          <w:sz w:val="26"/>
          <w:szCs w:val="26"/>
        </w:rPr>
        <w:t>14</w:t>
      </w:r>
      <w:r w:rsidR="006F47B2" w:rsidRPr="00E1577B">
        <w:rPr>
          <w:rFonts w:ascii="Arial Narrow" w:hAnsi="Arial Narrow" w:cs="Arial"/>
          <w:color w:val="000000"/>
          <w:spacing w:val="-2"/>
          <w:sz w:val="26"/>
          <w:szCs w:val="26"/>
        </w:rPr>
        <w:t xml:space="preserve"> de </w:t>
      </w:r>
      <w:r w:rsidR="00335044" w:rsidRPr="00E1577B">
        <w:rPr>
          <w:rFonts w:ascii="Arial Narrow" w:hAnsi="Arial Narrow" w:cs="Arial"/>
          <w:color w:val="000000"/>
          <w:spacing w:val="-2"/>
          <w:sz w:val="26"/>
          <w:szCs w:val="26"/>
        </w:rPr>
        <w:t>diciembre</w:t>
      </w:r>
      <w:r w:rsidR="006F47B2" w:rsidRPr="00E1577B">
        <w:rPr>
          <w:rFonts w:ascii="Arial Narrow" w:hAnsi="Arial Narrow" w:cs="Arial"/>
          <w:color w:val="000000"/>
          <w:spacing w:val="-2"/>
          <w:sz w:val="26"/>
          <w:szCs w:val="26"/>
        </w:rPr>
        <w:t xml:space="preserve"> de 201</w:t>
      </w:r>
      <w:r w:rsidR="005A1E5C" w:rsidRPr="00E1577B">
        <w:rPr>
          <w:rFonts w:ascii="Arial Narrow" w:hAnsi="Arial Narrow" w:cs="Arial"/>
          <w:color w:val="000000"/>
          <w:spacing w:val="-2"/>
          <w:sz w:val="26"/>
          <w:szCs w:val="26"/>
        </w:rPr>
        <w:t>8</w:t>
      </w:r>
      <w:r w:rsidR="006F47B2" w:rsidRPr="00E1577B">
        <w:rPr>
          <w:rFonts w:ascii="Arial Narrow" w:hAnsi="Arial Narrow" w:cs="Arial"/>
          <w:color w:val="000000"/>
          <w:spacing w:val="-2"/>
          <w:sz w:val="26"/>
          <w:szCs w:val="26"/>
        </w:rPr>
        <w:t xml:space="preserve">, proferido por el Juzgado </w:t>
      </w:r>
      <w:r w:rsidR="00335044" w:rsidRPr="00E1577B">
        <w:rPr>
          <w:rFonts w:ascii="Arial Narrow" w:hAnsi="Arial Narrow" w:cs="Arial"/>
          <w:color w:val="000000"/>
          <w:spacing w:val="-2"/>
          <w:sz w:val="26"/>
          <w:szCs w:val="26"/>
        </w:rPr>
        <w:t>Segundo</w:t>
      </w:r>
      <w:r w:rsidR="006F47B2" w:rsidRPr="00E1577B">
        <w:rPr>
          <w:rFonts w:ascii="Arial Narrow" w:hAnsi="Arial Narrow" w:cs="Arial"/>
          <w:color w:val="000000"/>
          <w:spacing w:val="-2"/>
          <w:sz w:val="26"/>
          <w:szCs w:val="26"/>
        </w:rPr>
        <w:t xml:space="preserve"> Laboral del Circuito de Pereira dentro de la acción de tutela de la referencia</w:t>
      </w:r>
      <w:r w:rsidR="005A1E5C" w:rsidRPr="00E1577B">
        <w:rPr>
          <w:rFonts w:ascii="Arial Narrow" w:hAnsi="Arial Narrow" w:cs="Arial"/>
          <w:color w:val="000000"/>
          <w:spacing w:val="-2"/>
          <w:sz w:val="26"/>
          <w:szCs w:val="26"/>
        </w:rPr>
        <w:t>.</w:t>
      </w:r>
    </w:p>
    <w:p w:rsidR="00335044" w:rsidRPr="00E1577B" w:rsidRDefault="00335044" w:rsidP="00E1577B">
      <w:pPr>
        <w:spacing w:line="288" w:lineRule="auto"/>
        <w:ind w:firstLine="851"/>
        <w:jc w:val="both"/>
        <w:rPr>
          <w:rFonts w:ascii="Arial Narrow" w:hAnsi="Arial Narrow" w:cs="Arial"/>
          <w:color w:val="000000"/>
          <w:spacing w:val="-2"/>
          <w:sz w:val="26"/>
          <w:szCs w:val="26"/>
        </w:rPr>
      </w:pPr>
    </w:p>
    <w:p w:rsidR="007C7E5D" w:rsidRPr="00E1577B" w:rsidRDefault="007C7E5D" w:rsidP="00E1577B">
      <w:pPr>
        <w:spacing w:line="288" w:lineRule="auto"/>
        <w:ind w:firstLine="851"/>
        <w:jc w:val="both"/>
        <w:rPr>
          <w:rFonts w:ascii="Arial Narrow" w:hAnsi="Arial Narrow" w:cs="Arial"/>
          <w:i/>
          <w:sz w:val="26"/>
          <w:szCs w:val="26"/>
        </w:rPr>
      </w:pPr>
      <w:r w:rsidRPr="00E1577B">
        <w:rPr>
          <w:rFonts w:ascii="Arial Narrow" w:hAnsi="Arial Narrow" w:cs="Arial"/>
          <w:b/>
          <w:i/>
          <w:color w:val="000000"/>
          <w:spacing w:val="-2"/>
          <w:sz w:val="26"/>
          <w:szCs w:val="26"/>
        </w:rPr>
        <w:t>2.</w:t>
      </w:r>
      <w:r w:rsidRPr="00E1577B">
        <w:rPr>
          <w:rFonts w:ascii="Arial Narrow" w:hAnsi="Arial Narrow" w:cs="Arial"/>
          <w:b/>
          <w:i/>
          <w:sz w:val="26"/>
          <w:szCs w:val="26"/>
        </w:rPr>
        <w:t xml:space="preserve"> Notificar</w:t>
      </w:r>
      <w:r w:rsidRPr="00E1577B">
        <w:rPr>
          <w:rFonts w:ascii="Arial Narrow" w:hAnsi="Arial Narrow" w:cs="Arial"/>
          <w:i/>
          <w:sz w:val="26"/>
          <w:szCs w:val="26"/>
        </w:rPr>
        <w:t xml:space="preserve"> la decisión por el medio más eficaz.</w:t>
      </w:r>
    </w:p>
    <w:p w:rsidR="007C7E5D" w:rsidRPr="00E1577B" w:rsidRDefault="007C7E5D" w:rsidP="00E1577B">
      <w:pPr>
        <w:spacing w:line="288" w:lineRule="auto"/>
        <w:ind w:firstLine="851"/>
        <w:jc w:val="both"/>
        <w:rPr>
          <w:rFonts w:ascii="Arial Narrow" w:hAnsi="Arial Narrow" w:cs="Arial"/>
          <w:i/>
          <w:sz w:val="26"/>
          <w:szCs w:val="26"/>
        </w:rPr>
      </w:pPr>
    </w:p>
    <w:p w:rsidR="007C7E5D" w:rsidRPr="00E1577B" w:rsidRDefault="007C7E5D" w:rsidP="00E1577B">
      <w:pPr>
        <w:suppressAutoHyphens/>
        <w:spacing w:line="288" w:lineRule="auto"/>
        <w:ind w:firstLine="851"/>
        <w:jc w:val="both"/>
        <w:rPr>
          <w:rFonts w:ascii="Arial Narrow" w:hAnsi="Arial Narrow" w:cs="Arial"/>
          <w:i/>
          <w:spacing w:val="-2"/>
          <w:sz w:val="26"/>
          <w:szCs w:val="26"/>
        </w:rPr>
      </w:pPr>
      <w:r w:rsidRPr="00E1577B">
        <w:rPr>
          <w:rFonts w:ascii="Arial Narrow" w:hAnsi="Arial Narrow" w:cs="Arial"/>
          <w:b/>
          <w:i/>
          <w:spacing w:val="-2"/>
          <w:sz w:val="26"/>
          <w:szCs w:val="26"/>
        </w:rPr>
        <w:t>3. Remitir</w:t>
      </w:r>
      <w:r w:rsidRPr="00E1577B">
        <w:rPr>
          <w:rFonts w:ascii="Arial Narrow" w:hAnsi="Arial Narrow" w:cs="Arial"/>
          <w:i/>
          <w:spacing w:val="-2"/>
          <w:sz w:val="26"/>
          <w:szCs w:val="26"/>
        </w:rPr>
        <w:t xml:space="preserve"> el expediente a la Corte Constitucional para su eventual revisión, conforme al artículo 31 del Decreto 2591 de 1991.</w:t>
      </w:r>
    </w:p>
    <w:p w:rsidR="002F2145" w:rsidRPr="00E1577B" w:rsidRDefault="002F2145" w:rsidP="00E1577B">
      <w:pPr>
        <w:tabs>
          <w:tab w:val="left" w:pos="-720"/>
        </w:tabs>
        <w:suppressAutoHyphens/>
        <w:spacing w:line="288" w:lineRule="auto"/>
        <w:ind w:right="-7"/>
        <w:jc w:val="both"/>
        <w:rPr>
          <w:rFonts w:ascii="Arial Narrow" w:hAnsi="Arial Narrow" w:cs="Tahoma"/>
          <w:color w:val="000000"/>
          <w:spacing w:val="-2"/>
          <w:sz w:val="26"/>
          <w:szCs w:val="26"/>
        </w:rPr>
      </w:pPr>
    </w:p>
    <w:p w:rsidR="002F2145" w:rsidRPr="00E1577B" w:rsidRDefault="002F2145" w:rsidP="00E1577B">
      <w:pPr>
        <w:pStyle w:val="Prrafodelista1"/>
        <w:spacing w:line="288" w:lineRule="auto"/>
        <w:ind w:left="0" w:firstLine="851"/>
        <w:jc w:val="both"/>
        <w:rPr>
          <w:rFonts w:ascii="Arial Narrow" w:hAnsi="Arial Narrow" w:cs="Tahoma"/>
          <w:b/>
          <w:sz w:val="26"/>
          <w:szCs w:val="26"/>
        </w:rPr>
      </w:pPr>
      <w:r w:rsidRPr="00E1577B">
        <w:rPr>
          <w:rFonts w:ascii="Arial Narrow" w:hAnsi="Arial Narrow" w:cs="Tahoma"/>
          <w:b/>
          <w:sz w:val="26"/>
          <w:szCs w:val="26"/>
        </w:rPr>
        <w:t>CÓPIESE, NOTIFÍQUESE Y CÚMPLASE.</w:t>
      </w:r>
    </w:p>
    <w:p w:rsidR="00485183" w:rsidRPr="00C31D65" w:rsidRDefault="00485183" w:rsidP="00C31D65">
      <w:pPr>
        <w:spacing w:line="288" w:lineRule="auto"/>
        <w:jc w:val="both"/>
        <w:rPr>
          <w:rFonts w:ascii="Arial Narrow" w:hAnsi="Arial Narrow" w:cs="Tahoma"/>
          <w:b/>
          <w:sz w:val="26"/>
          <w:szCs w:val="26"/>
        </w:rPr>
      </w:pPr>
    </w:p>
    <w:p w:rsidR="00D43254" w:rsidRPr="00C31D65" w:rsidRDefault="00D43254" w:rsidP="00C31D65">
      <w:pPr>
        <w:spacing w:line="288" w:lineRule="auto"/>
        <w:jc w:val="both"/>
        <w:rPr>
          <w:rFonts w:ascii="Arial Narrow" w:hAnsi="Arial Narrow" w:cs="Tahoma"/>
          <w:b/>
          <w:sz w:val="26"/>
          <w:szCs w:val="26"/>
        </w:rPr>
      </w:pPr>
    </w:p>
    <w:p w:rsidR="00485183" w:rsidRPr="00C31D65" w:rsidRDefault="00485183" w:rsidP="00C31D65">
      <w:pPr>
        <w:spacing w:line="288" w:lineRule="auto"/>
        <w:jc w:val="both"/>
        <w:rPr>
          <w:rFonts w:ascii="Arial Narrow" w:hAnsi="Arial Narrow" w:cs="Tahoma"/>
          <w:b/>
          <w:sz w:val="26"/>
          <w:szCs w:val="26"/>
        </w:rPr>
      </w:pPr>
    </w:p>
    <w:p w:rsidR="002F2145" w:rsidRPr="00E1577B" w:rsidRDefault="002F2145" w:rsidP="00E1577B">
      <w:pPr>
        <w:spacing w:line="288" w:lineRule="auto"/>
        <w:jc w:val="center"/>
        <w:rPr>
          <w:rFonts w:ascii="Arial Narrow" w:hAnsi="Arial Narrow" w:cs="Tahoma"/>
          <w:b/>
          <w:bCs/>
          <w:iCs/>
          <w:sz w:val="26"/>
          <w:szCs w:val="26"/>
        </w:rPr>
      </w:pPr>
      <w:r w:rsidRPr="00E1577B">
        <w:rPr>
          <w:rFonts w:ascii="Arial Narrow" w:hAnsi="Arial Narrow" w:cs="Tahoma"/>
          <w:b/>
          <w:bCs/>
          <w:iCs/>
          <w:sz w:val="26"/>
          <w:szCs w:val="26"/>
        </w:rPr>
        <w:t>FRANCISCO JAVIER TAMAYO TABARES</w:t>
      </w:r>
    </w:p>
    <w:p w:rsidR="002F2145" w:rsidRPr="00E1577B" w:rsidRDefault="002F2145" w:rsidP="00E1577B">
      <w:pPr>
        <w:spacing w:line="288" w:lineRule="auto"/>
        <w:jc w:val="center"/>
        <w:rPr>
          <w:rFonts w:ascii="Arial Narrow" w:hAnsi="Arial Narrow" w:cs="Tahoma"/>
          <w:sz w:val="26"/>
          <w:szCs w:val="26"/>
        </w:rPr>
      </w:pPr>
      <w:r w:rsidRPr="00E1577B">
        <w:rPr>
          <w:rFonts w:ascii="Arial Narrow" w:hAnsi="Arial Narrow" w:cs="Tahoma"/>
          <w:sz w:val="26"/>
          <w:szCs w:val="26"/>
        </w:rPr>
        <w:t>Magistrado Ponente</w:t>
      </w:r>
    </w:p>
    <w:p w:rsidR="002F2145" w:rsidRPr="00E1577B" w:rsidRDefault="002F2145" w:rsidP="00E1577B">
      <w:pPr>
        <w:spacing w:line="288" w:lineRule="auto"/>
        <w:jc w:val="both"/>
        <w:rPr>
          <w:rFonts w:ascii="Arial Narrow" w:hAnsi="Arial Narrow" w:cs="Tahoma"/>
          <w:sz w:val="26"/>
          <w:szCs w:val="26"/>
        </w:rPr>
      </w:pPr>
    </w:p>
    <w:p w:rsidR="002F2145" w:rsidRPr="00E1577B" w:rsidRDefault="002F2145" w:rsidP="00E1577B">
      <w:pPr>
        <w:spacing w:line="288" w:lineRule="auto"/>
        <w:jc w:val="both"/>
        <w:rPr>
          <w:rFonts w:ascii="Arial Narrow" w:hAnsi="Arial Narrow" w:cs="Tahoma"/>
          <w:b/>
          <w:sz w:val="26"/>
          <w:szCs w:val="26"/>
        </w:rPr>
      </w:pPr>
    </w:p>
    <w:p w:rsidR="002F2145" w:rsidRPr="00E1577B" w:rsidRDefault="002F2145" w:rsidP="00E1577B">
      <w:pPr>
        <w:spacing w:line="288" w:lineRule="auto"/>
        <w:jc w:val="both"/>
        <w:rPr>
          <w:rFonts w:ascii="Arial Narrow" w:hAnsi="Arial Narrow" w:cs="Tahoma"/>
          <w:b/>
          <w:sz w:val="26"/>
          <w:szCs w:val="26"/>
        </w:rPr>
      </w:pPr>
    </w:p>
    <w:p w:rsidR="002F2145" w:rsidRPr="00E1577B" w:rsidRDefault="007C7E5D" w:rsidP="00E1577B">
      <w:pPr>
        <w:tabs>
          <w:tab w:val="left" w:pos="8647"/>
        </w:tabs>
        <w:spacing w:line="288" w:lineRule="auto"/>
        <w:jc w:val="both"/>
        <w:rPr>
          <w:rFonts w:ascii="Arial Narrow" w:hAnsi="Arial Narrow" w:cs="Tahoma"/>
          <w:b/>
          <w:bCs/>
          <w:iCs/>
          <w:sz w:val="26"/>
          <w:szCs w:val="26"/>
        </w:rPr>
      </w:pPr>
      <w:r w:rsidRPr="00E1577B">
        <w:rPr>
          <w:rFonts w:ascii="Arial Narrow" w:hAnsi="Arial Narrow" w:cs="Tahoma"/>
          <w:b/>
          <w:bCs/>
          <w:iCs/>
          <w:sz w:val="26"/>
          <w:szCs w:val="26"/>
        </w:rPr>
        <w:t>OLGA LUCIA HOYOS SEPÚLVEDA</w:t>
      </w:r>
      <w:r w:rsidR="002F2145" w:rsidRPr="00E1577B">
        <w:rPr>
          <w:rFonts w:ascii="Arial Narrow" w:hAnsi="Arial Narrow" w:cs="Tahoma"/>
          <w:b/>
          <w:bCs/>
          <w:iCs/>
          <w:sz w:val="26"/>
          <w:szCs w:val="26"/>
        </w:rPr>
        <w:t xml:space="preserve">                       </w:t>
      </w:r>
      <w:r w:rsidRPr="00E1577B">
        <w:rPr>
          <w:rFonts w:ascii="Arial Narrow" w:hAnsi="Arial Narrow" w:cs="Tahoma"/>
          <w:b/>
          <w:bCs/>
          <w:iCs/>
          <w:sz w:val="26"/>
          <w:szCs w:val="26"/>
        </w:rPr>
        <w:t>ANA LUCIA CAICEDO CALDERON</w:t>
      </w:r>
    </w:p>
    <w:p w:rsidR="00CF5E21" w:rsidRPr="00E1577B" w:rsidRDefault="002F2145" w:rsidP="00285F85">
      <w:pPr>
        <w:spacing w:line="288" w:lineRule="auto"/>
        <w:jc w:val="both"/>
        <w:rPr>
          <w:rFonts w:ascii="Arial Narrow" w:hAnsi="Arial Narrow"/>
          <w:sz w:val="26"/>
          <w:szCs w:val="26"/>
        </w:rPr>
      </w:pPr>
      <w:r w:rsidRPr="00E1577B">
        <w:rPr>
          <w:rFonts w:ascii="Arial Narrow" w:hAnsi="Arial Narrow" w:cs="Tahoma"/>
          <w:sz w:val="26"/>
          <w:szCs w:val="26"/>
        </w:rPr>
        <w:lastRenderedPageBreak/>
        <w:t xml:space="preserve">                  Magistrada                                                                 Magistrad</w:t>
      </w:r>
      <w:r w:rsidR="007C7E5D" w:rsidRPr="00E1577B">
        <w:rPr>
          <w:rFonts w:ascii="Arial Narrow" w:hAnsi="Arial Narrow" w:cs="Tahoma"/>
          <w:sz w:val="26"/>
          <w:szCs w:val="26"/>
        </w:rPr>
        <w:t>a</w:t>
      </w:r>
    </w:p>
    <w:sectPr w:rsidR="00CF5E21" w:rsidRPr="00E1577B" w:rsidSect="000F3A8F">
      <w:headerReference w:type="even" r:id="rId10"/>
      <w:headerReference w:type="default" r:id="rId11"/>
      <w:footerReference w:type="even" r:id="rId12"/>
      <w:footerReference w:type="default" r:id="rId13"/>
      <w:footerReference w:type="first" r:id="rId14"/>
      <w:pgSz w:w="12242" w:h="18722" w:code="119"/>
      <w:pgMar w:top="1871" w:right="1304" w:bottom="1304" w:left="1871" w:header="567" w:footer="567"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07020" w:rsidRDefault="00407020" w:rsidP="002F2145">
      <w:r>
        <w:separator/>
      </w:r>
    </w:p>
  </w:endnote>
  <w:endnote w:type="continuationSeparator" w:id="0">
    <w:p w:rsidR="00407020" w:rsidRDefault="00407020" w:rsidP="002F21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40000013"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rsidP="00534693">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966C1D" w:rsidRDefault="00407020" w:rsidP="00534693">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407020" w:rsidP="00534693">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D2D16" w:rsidRPr="00E1577B" w:rsidRDefault="00197403">
    <w:pPr>
      <w:pStyle w:val="Piedepgina"/>
      <w:jc w:val="right"/>
      <w:rPr>
        <w:rFonts w:ascii="Arial" w:hAnsi="Arial" w:cs="Arial"/>
      </w:rPr>
    </w:pPr>
    <w:r w:rsidRPr="00E1577B">
      <w:rPr>
        <w:rFonts w:ascii="Arial" w:hAnsi="Arial" w:cs="Arial"/>
      </w:rPr>
      <w:fldChar w:fldCharType="begin"/>
    </w:r>
    <w:r w:rsidRPr="00E1577B">
      <w:rPr>
        <w:rFonts w:ascii="Arial" w:hAnsi="Arial" w:cs="Arial"/>
      </w:rPr>
      <w:instrText>PAGE   \* MERGEFORMAT</w:instrText>
    </w:r>
    <w:r w:rsidRPr="00E1577B">
      <w:rPr>
        <w:rFonts w:ascii="Arial" w:hAnsi="Arial" w:cs="Arial"/>
      </w:rPr>
      <w:fldChar w:fldCharType="separate"/>
    </w:r>
    <w:r w:rsidR="00285F85">
      <w:rPr>
        <w:rFonts w:ascii="Arial" w:hAnsi="Arial" w:cs="Arial"/>
        <w:noProof/>
      </w:rPr>
      <w:t>1</w:t>
    </w:r>
    <w:r w:rsidRPr="00E1577B">
      <w:rPr>
        <w:rFonts w:ascii="Arial" w:hAnsi="Arial" w:cs="Arial"/>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07020" w:rsidRDefault="00407020" w:rsidP="002F2145">
      <w:r>
        <w:separator/>
      </w:r>
    </w:p>
  </w:footnote>
  <w:footnote w:type="continuationSeparator" w:id="0">
    <w:p w:rsidR="00407020" w:rsidRDefault="00407020" w:rsidP="002F2145">
      <w:r>
        <w:continuationSeparator/>
      </w:r>
    </w:p>
  </w:footnote>
  <w:footnote w:id="1">
    <w:p w:rsidR="00184C13" w:rsidRPr="00D43254" w:rsidRDefault="00184C13" w:rsidP="00184C13">
      <w:pPr>
        <w:pStyle w:val="Textonotapie"/>
        <w:rPr>
          <w:rFonts w:ascii="Arial" w:hAnsi="Arial" w:cs="Arial"/>
          <w:sz w:val="18"/>
        </w:rPr>
      </w:pPr>
      <w:r w:rsidRPr="00D43254">
        <w:rPr>
          <w:rStyle w:val="Refdenotaalpie"/>
          <w:rFonts w:ascii="Arial" w:hAnsi="Arial" w:cs="Arial"/>
          <w:sz w:val="18"/>
        </w:rPr>
        <w:footnoteRef/>
      </w:r>
      <w:r w:rsidRPr="00D43254">
        <w:rPr>
          <w:rFonts w:ascii="Arial" w:hAnsi="Arial" w:cs="Arial"/>
          <w:sz w:val="18"/>
        </w:rPr>
        <w:t xml:space="preserve"> </w:t>
      </w:r>
      <w:r w:rsidRPr="00D43254">
        <w:rPr>
          <w:rFonts w:ascii="Arial" w:hAnsi="Arial" w:cs="Arial"/>
          <w:color w:val="2D2D2D"/>
          <w:sz w:val="18"/>
          <w:shd w:val="clear" w:color="auto" w:fill="FFFFFF"/>
        </w:rPr>
        <w:t>Sentencia T-308 de 2003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C1D" w:rsidRDefault="00197403">
    <w:pPr>
      <w:pStyle w:val="Encabezado"/>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Pr>
        <w:rStyle w:val="Nmerodepgina"/>
        <w:noProof/>
      </w:rPr>
      <w:t>1</w:t>
    </w:r>
    <w:r>
      <w:rPr>
        <w:rStyle w:val="Nmerodepgina"/>
      </w:rPr>
      <w:fldChar w:fldCharType="end"/>
    </w:r>
  </w:p>
  <w:p w:rsidR="00966C1D" w:rsidRDefault="00407020">
    <w:pPr>
      <w:pStyle w:val="Encabezado"/>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3A8F" w:rsidRPr="00E1577B" w:rsidRDefault="000F3A8F" w:rsidP="000F3A8F">
    <w:pPr>
      <w:widowControl w:val="0"/>
      <w:tabs>
        <w:tab w:val="center" w:pos="4419"/>
      </w:tabs>
      <w:autoSpaceDE w:val="0"/>
      <w:autoSpaceDN w:val="0"/>
      <w:adjustRightInd w:val="0"/>
      <w:rPr>
        <w:rFonts w:ascii="Arial" w:hAnsi="Arial" w:cs="Arial"/>
        <w:bCs/>
        <w:iCs/>
        <w:sz w:val="18"/>
        <w:lang w:eastAsia="es-MX"/>
      </w:rPr>
    </w:pPr>
    <w:r w:rsidRPr="00E1577B">
      <w:rPr>
        <w:rFonts w:ascii="Arial" w:hAnsi="Arial" w:cs="Arial"/>
        <w:sz w:val="18"/>
        <w:lang w:val="es-MX" w:eastAsia="es-MX"/>
      </w:rPr>
      <w:t xml:space="preserve">Radicación No. </w:t>
    </w:r>
    <w:r w:rsidRPr="00E1577B">
      <w:rPr>
        <w:rFonts w:ascii="Arial" w:hAnsi="Arial" w:cs="Arial"/>
        <w:bCs/>
        <w:iCs/>
        <w:sz w:val="18"/>
        <w:lang w:eastAsia="es-MX"/>
      </w:rPr>
      <w:t>66001-31-05-002-2018-00724-00</w:t>
    </w:r>
    <w:r w:rsidRPr="00E1577B">
      <w:rPr>
        <w:rFonts w:ascii="Arial" w:hAnsi="Arial" w:cs="Arial"/>
        <w:bCs/>
        <w:iCs/>
        <w:sz w:val="18"/>
        <w:lang w:eastAsia="es-MX"/>
      </w:rPr>
      <w:tab/>
    </w:r>
  </w:p>
  <w:p w:rsidR="005A5BAD" w:rsidRPr="00E1577B" w:rsidRDefault="000F3A8F" w:rsidP="000F3A8F">
    <w:pPr>
      <w:rPr>
        <w:rFonts w:ascii="Arial" w:hAnsi="Arial" w:cs="Arial"/>
        <w:sz w:val="18"/>
      </w:rPr>
    </w:pPr>
    <w:proofErr w:type="spellStart"/>
    <w:r w:rsidRPr="00E1577B">
      <w:rPr>
        <w:rFonts w:ascii="Arial" w:hAnsi="Arial" w:cs="Arial"/>
        <w:sz w:val="18"/>
      </w:rPr>
      <w:t>Jhony</w:t>
    </w:r>
    <w:proofErr w:type="spellEnd"/>
    <w:r w:rsidRPr="00E1577B">
      <w:rPr>
        <w:rFonts w:ascii="Arial" w:hAnsi="Arial" w:cs="Arial"/>
        <w:sz w:val="18"/>
      </w:rPr>
      <w:t xml:space="preserve"> Esteban García González vs Dirección Nacional de Sanidad Ejercito Nacional.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7E64635"/>
    <w:multiLevelType w:val="hybridMultilevel"/>
    <w:tmpl w:val="2D9E5DC2"/>
    <w:lvl w:ilvl="0" w:tplc="9B44FF28">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0FA56EBE"/>
    <w:multiLevelType w:val="hybridMultilevel"/>
    <w:tmpl w:val="0CB27506"/>
    <w:lvl w:ilvl="0" w:tplc="992CB6CA">
      <w:start w:val="1"/>
      <w:numFmt w:val="decimal"/>
      <w:lvlText w:val="%1."/>
      <w:lvlJc w:val="left"/>
      <w:pPr>
        <w:ind w:left="1211" w:hanging="360"/>
      </w:pPr>
      <w:rPr>
        <w:rFonts w:hint="default"/>
      </w:rPr>
    </w:lvl>
    <w:lvl w:ilvl="1" w:tplc="240A0019" w:tentative="1">
      <w:start w:val="1"/>
      <w:numFmt w:val="lowerLetter"/>
      <w:lvlText w:val="%2."/>
      <w:lvlJc w:val="left"/>
      <w:pPr>
        <w:ind w:left="1931" w:hanging="360"/>
      </w:pPr>
    </w:lvl>
    <w:lvl w:ilvl="2" w:tplc="240A001B" w:tentative="1">
      <w:start w:val="1"/>
      <w:numFmt w:val="lowerRoman"/>
      <w:lvlText w:val="%3."/>
      <w:lvlJc w:val="right"/>
      <w:pPr>
        <w:ind w:left="2651" w:hanging="180"/>
      </w:pPr>
    </w:lvl>
    <w:lvl w:ilvl="3" w:tplc="240A000F" w:tentative="1">
      <w:start w:val="1"/>
      <w:numFmt w:val="decimal"/>
      <w:lvlText w:val="%4."/>
      <w:lvlJc w:val="left"/>
      <w:pPr>
        <w:ind w:left="3371" w:hanging="360"/>
      </w:pPr>
    </w:lvl>
    <w:lvl w:ilvl="4" w:tplc="240A0019" w:tentative="1">
      <w:start w:val="1"/>
      <w:numFmt w:val="lowerLetter"/>
      <w:lvlText w:val="%5."/>
      <w:lvlJc w:val="left"/>
      <w:pPr>
        <w:ind w:left="4091" w:hanging="360"/>
      </w:pPr>
    </w:lvl>
    <w:lvl w:ilvl="5" w:tplc="240A001B" w:tentative="1">
      <w:start w:val="1"/>
      <w:numFmt w:val="lowerRoman"/>
      <w:lvlText w:val="%6."/>
      <w:lvlJc w:val="right"/>
      <w:pPr>
        <w:ind w:left="4811" w:hanging="180"/>
      </w:pPr>
    </w:lvl>
    <w:lvl w:ilvl="6" w:tplc="240A000F" w:tentative="1">
      <w:start w:val="1"/>
      <w:numFmt w:val="decimal"/>
      <w:lvlText w:val="%7."/>
      <w:lvlJc w:val="left"/>
      <w:pPr>
        <w:ind w:left="5531" w:hanging="360"/>
      </w:pPr>
    </w:lvl>
    <w:lvl w:ilvl="7" w:tplc="240A0019" w:tentative="1">
      <w:start w:val="1"/>
      <w:numFmt w:val="lowerLetter"/>
      <w:lvlText w:val="%8."/>
      <w:lvlJc w:val="left"/>
      <w:pPr>
        <w:ind w:left="6251" w:hanging="360"/>
      </w:pPr>
    </w:lvl>
    <w:lvl w:ilvl="8" w:tplc="240A001B" w:tentative="1">
      <w:start w:val="1"/>
      <w:numFmt w:val="lowerRoman"/>
      <w:lvlText w:val="%9."/>
      <w:lvlJc w:val="right"/>
      <w:pPr>
        <w:ind w:left="6971" w:hanging="180"/>
      </w:pPr>
    </w:lvl>
  </w:abstractNum>
  <w:abstractNum w:abstractNumId="2">
    <w:nsid w:val="24377F62"/>
    <w:multiLevelType w:val="hybridMultilevel"/>
    <w:tmpl w:val="5EB84276"/>
    <w:lvl w:ilvl="0" w:tplc="80302A26">
      <w:start w:val="3"/>
      <w:numFmt w:val="decimal"/>
      <w:lvlText w:val="%1."/>
      <w:lvlJc w:val="left"/>
      <w:pPr>
        <w:ind w:left="1571" w:hanging="360"/>
      </w:pPr>
      <w:rPr>
        <w:rFonts w:hint="default"/>
      </w:rPr>
    </w:lvl>
    <w:lvl w:ilvl="1" w:tplc="0C0A0019" w:tentative="1">
      <w:start w:val="1"/>
      <w:numFmt w:val="lowerLetter"/>
      <w:lvlText w:val="%2."/>
      <w:lvlJc w:val="left"/>
      <w:pPr>
        <w:ind w:left="2291" w:hanging="360"/>
      </w:pPr>
    </w:lvl>
    <w:lvl w:ilvl="2" w:tplc="0C0A001B" w:tentative="1">
      <w:start w:val="1"/>
      <w:numFmt w:val="lowerRoman"/>
      <w:lvlText w:val="%3."/>
      <w:lvlJc w:val="right"/>
      <w:pPr>
        <w:ind w:left="3011" w:hanging="180"/>
      </w:pPr>
    </w:lvl>
    <w:lvl w:ilvl="3" w:tplc="0C0A000F" w:tentative="1">
      <w:start w:val="1"/>
      <w:numFmt w:val="decimal"/>
      <w:lvlText w:val="%4."/>
      <w:lvlJc w:val="left"/>
      <w:pPr>
        <w:ind w:left="3731" w:hanging="360"/>
      </w:pPr>
    </w:lvl>
    <w:lvl w:ilvl="4" w:tplc="0C0A0019" w:tentative="1">
      <w:start w:val="1"/>
      <w:numFmt w:val="lowerLetter"/>
      <w:lvlText w:val="%5."/>
      <w:lvlJc w:val="left"/>
      <w:pPr>
        <w:ind w:left="4451" w:hanging="360"/>
      </w:pPr>
    </w:lvl>
    <w:lvl w:ilvl="5" w:tplc="0C0A001B" w:tentative="1">
      <w:start w:val="1"/>
      <w:numFmt w:val="lowerRoman"/>
      <w:lvlText w:val="%6."/>
      <w:lvlJc w:val="right"/>
      <w:pPr>
        <w:ind w:left="5171" w:hanging="180"/>
      </w:pPr>
    </w:lvl>
    <w:lvl w:ilvl="6" w:tplc="0C0A000F" w:tentative="1">
      <w:start w:val="1"/>
      <w:numFmt w:val="decimal"/>
      <w:lvlText w:val="%7."/>
      <w:lvlJc w:val="left"/>
      <w:pPr>
        <w:ind w:left="5891" w:hanging="360"/>
      </w:pPr>
    </w:lvl>
    <w:lvl w:ilvl="7" w:tplc="0C0A0019" w:tentative="1">
      <w:start w:val="1"/>
      <w:numFmt w:val="lowerLetter"/>
      <w:lvlText w:val="%8."/>
      <w:lvlJc w:val="left"/>
      <w:pPr>
        <w:ind w:left="6611" w:hanging="360"/>
      </w:pPr>
    </w:lvl>
    <w:lvl w:ilvl="8" w:tplc="0C0A001B" w:tentative="1">
      <w:start w:val="1"/>
      <w:numFmt w:val="lowerRoman"/>
      <w:lvlText w:val="%9."/>
      <w:lvlJc w:val="right"/>
      <w:pPr>
        <w:ind w:left="7331" w:hanging="180"/>
      </w:pPr>
    </w:lvl>
  </w:abstractNum>
  <w:abstractNum w:abstractNumId="3">
    <w:nsid w:val="3B5F7ACA"/>
    <w:multiLevelType w:val="hybridMultilevel"/>
    <w:tmpl w:val="EEC0BDEE"/>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4">
    <w:nsid w:val="491C0C8C"/>
    <w:multiLevelType w:val="hybridMultilevel"/>
    <w:tmpl w:val="AAC86FA4"/>
    <w:lvl w:ilvl="0" w:tplc="9774A79C">
      <w:numFmt w:val="bullet"/>
      <w:lvlText w:val="-"/>
      <w:lvlJc w:val="left"/>
      <w:pPr>
        <w:ind w:left="720" w:hanging="360"/>
      </w:pPr>
      <w:rPr>
        <w:rFonts w:ascii="Arial Narrow" w:eastAsia="Times New Roman" w:hAnsi="Arial Narrow" w:cs="Tahoma"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2"/>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es-MX" w:vendorID="64" w:dllVersion="131078" w:nlCheck="1" w:checkStyle="1"/>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2145"/>
    <w:rsid w:val="000237DF"/>
    <w:rsid w:val="0002497D"/>
    <w:rsid w:val="0004534E"/>
    <w:rsid w:val="0004677C"/>
    <w:rsid w:val="00055161"/>
    <w:rsid w:val="000A226C"/>
    <w:rsid w:val="000A2720"/>
    <w:rsid w:val="000B6ED9"/>
    <w:rsid w:val="000C34CC"/>
    <w:rsid w:val="000D1E83"/>
    <w:rsid w:val="000D7E0E"/>
    <w:rsid w:val="000E1951"/>
    <w:rsid w:val="000E5245"/>
    <w:rsid w:val="000F3A8F"/>
    <w:rsid w:val="000F3BEE"/>
    <w:rsid w:val="001038D5"/>
    <w:rsid w:val="00104370"/>
    <w:rsid w:val="00105395"/>
    <w:rsid w:val="0012218C"/>
    <w:rsid w:val="00125594"/>
    <w:rsid w:val="00140F9F"/>
    <w:rsid w:val="001549EF"/>
    <w:rsid w:val="001746A5"/>
    <w:rsid w:val="00184C13"/>
    <w:rsid w:val="001856ED"/>
    <w:rsid w:val="00197403"/>
    <w:rsid w:val="001A6DF5"/>
    <w:rsid w:val="001C2595"/>
    <w:rsid w:val="001E7337"/>
    <w:rsid w:val="001F6FDB"/>
    <w:rsid w:val="00215F40"/>
    <w:rsid w:val="002200B6"/>
    <w:rsid w:val="00222A66"/>
    <w:rsid w:val="00242C4F"/>
    <w:rsid w:val="0024370A"/>
    <w:rsid w:val="002478A7"/>
    <w:rsid w:val="00285F85"/>
    <w:rsid w:val="00294CBB"/>
    <w:rsid w:val="002C21E8"/>
    <w:rsid w:val="002E4154"/>
    <w:rsid w:val="002E4A3A"/>
    <w:rsid w:val="002E77F4"/>
    <w:rsid w:val="002F2145"/>
    <w:rsid w:val="002F52FD"/>
    <w:rsid w:val="00327B2F"/>
    <w:rsid w:val="003305F0"/>
    <w:rsid w:val="00335044"/>
    <w:rsid w:val="00367810"/>
    <w:rsid w:val="003B2283"/>
    <w:rsid w:val="003B72B8"/>
    <w:rsid w:val="003C20DC"/>
    <w:rsid w:val="003E450B"/>
    <w:rsid w:val="00407020"/>
    <w:rsid w:val="0041051B"/>
    <w:rsid w:val="004509FE"/>
    <w:rsid w:val="00470CCF"/>
    <w:rsid w:val="0047365D"/>
    <w:rsid w:val="004738FF"/>
    <w:rsid w:val="004754E6"/>
    <w:rsid w:val="00484987"/>
    <w:rsid w:val="00485183"/>
    <w:rsid w:val="004A428A"/>
    <w:rsid w:val="004E7ACD"/>
    <w:rsid w:val="00516928"/>
    <w:rsid w:val="005412FC"/>
    <w:rsid w:val="00546F20"/>
    <w:rsid w:val="005524CA"/>
    <w:rsid w:val="00564F7B"/>
    <w:rsid w:val="005711E3"/>
    <w:rsid w:val="0058049D"/>
    <w:rsid w:val="0059653E"/>
    <w:rsid w:val="005A1814"/>
    <w:rsid w:val="005A1E5C"/>
    <w:rsid w:val="005A5BAD"/>
    <w:rsid w:val="005C4599"/>
    <w:rsid w:val="005C7E20"/>
    <w:rsid w:val="005D7C28"/>
    <w:rsid w:val="005F077C"/>
    <w:rsid w:val="00614F84"/>
    <w:rsid w:val="00620E9A"/>
    <w:rsid w:val="00624956"/>
    <w:rsid w:val="00645D26"/>
    <w:rsid w:val="00656535"/>
    <w:rsid w:val="006629AF"/>
    <w:rsid w:val="006A1CB2"/>
    <w:rsid w:val="006B16F4"/>
    <w:rsid w:val="006B302F"/>
    <w:rsid w:val="006D2569"/>
    <w:rsid w:val="006D46EF"/>
    <w:rsid w:val="006F16BD"/>
    <w:rsid w:val="006F47B2"/>
    <w:rsid w:val="00723A29"/>
    <w:rsid w:val="00736BB3"/>
    <w:rsid w:val="007468F5"/>
    <w:rsid w:val="00754999"/>
    <w:rsid w:val="00764677"/>
    <w:rsid w:val="007868FD"/>
    <w:rsid w:val="007B78A9"/>
    <w:rsid w:val="007C2050"/>
    <w:rsid w:val="007C2EC0"/>
    <w:rsid w:val="007C7E5D"/>
    <w:rsid w:val="007F7E55"/>
    <w:rsid w:val="00846882"/>
    <w:rsid w:val="00867634"/>
    <w:rsid w:val="00873073"/>
    <w:rsid w:val="008755A5"/>
    <w:rsid w:val="008C054C"/>
    <w:rsid w:val="008C45A3"/>
    <w:rsid w:val="008D0272"/>
    <w:rsid w:val="008D57EB"/>
    <w:rsid w:val="008E4327"/>
    <w:rsid w:val="008E676D"/>
    <w:rsid w:val="009448E3"/>
    <w:rsid w:val="009550FE"/>
    <w:rsid w:val="00974EF6"/>
    <w:rsid w:val="009B35F9"/>
    <w:rsid w:val="009B3FE8"/>
    <w:rsid w:val="00A25DA1"/>
    <w:rsid w:val="00A343A3"/>
    <w:rsid w:val="00A442C7"/>
    <w:rsid w:val="00A51446"/>
    <w:rsid w:val="00A70856"/>
    <w:rsid w:val="00A769E3"/>
    <w:rsid w:val="00A925FB"/>
    <w:rsid w:val="00AA4C4D"/>
    <w:rsid w:val="00AA4F64"/>
    <w:rsid w:val="00AA565F"/>
    <w:rsid w:val="00AA796E"/>
    <w:rsid w:val="00AA7B37"/>
    <w:rsid w:val="00AB1570"/>
    <w:rsid w:val="00AF0395"/>
    <w:rsid w:val="00AF1622"/>
    <w:rsid w:val="00AF1CE4"/>
    <w:rsid w:val="00AF3F2F"/>
    <w:rsid w:val="00B05F10"/>
    <w:rsid w:val="00B22D93"/>
    <w:rsid w:val="00B44FFB"/>
    <w:rsid w:val="00B6307A"/>
    <w:rsid w:val="00B70C27"/>
    <w:rsid w:val="00B713DF"/>
    <w:rsid w:val="00B730C3"/>
    <w:rsid w:val="00B81A1A"/>
    <w:rsid w:val="00BA3F3D"/>
    <w:rsid w:val="00BB3F13"/>
    <w:rsid w:val="00BC3BAA"/>
    <w:rsid w:val="00C02492"/>
    <w:rsid w:val="00C056A5"/>
    <w:rsid w:val="00C27958"/>
    <w:rsid w:val="00C31D65"/>
    <w:rsid w:val="00C5039D"/>
    <w:rsid w:val="00C65529"/>
    <w:rsid w:val="00C771A1"/>
    <w:rsid w:val="00C9069F"/>
    <w:rsid w:val="00C94EE3"/>
    <w:rsid w:val="00CA6BDD"/>
    <w:rsid w:val="00CC4164"/>
    <w:rsid w:val="00CD4302"/>
    <w:rsid w:val="00CD4A03"/>
    <w:rsid w:val="00CF5E21"/>
    <w:rsid w:val="00D02C07"/>
    <w:rsid w:val="00D03A18"/>
    <w:rsid w:val="00D06FCC"/>
    <w:rsid w:val="00D366B3"/>
    <w:rsid w:val="00D43254"/>
    <w:rsid w:val="00D557E5"/>
    <w:rsid w:val="00D62FB2"/>
    <w:rsid w:val="00DB6078"/>
    <w:rsid w:val="00DD2C70"/>
    <w:rsid w:val="00DE20B5"/>
    <w:rsid w:val="00E04692"/>
    <w:rsid w:val="00E1577B"/>
    <w:rsid w:val="00E1762C"/>
    <w:rsid w:val="00E20C51"/>
    <w:rsid w:val="00E753AC"/>
    <w:rsid w:val="00E84590"/>
    <w:rsid w:val="00E8646B"/>
    <w:rsid w:val="00E948DF"/>
    <w:rsid w:val="00E9561B"/>
    <w:rsid w:val="00EA7DF3"/>
    <w:rsid w:val="00EB4CF3"/>
    <w:rsid w:val="00EC30C8"/>
    <w:rsid w:val="00EC44E8"/>
    <w:rsid w:val="00EE51B0"/>
    <w:rsid w:val="00F30CB2"/>
    <w:rsid w:val="00F32A59"/>
    <w:rsid w:val="00F32B04"/>
    <w:rsid w:val="00F54646"/>
    <w:rsid w:val="00F57658"/>
    <w:rsid w:val="00FB44CC"/>
    <w:rsid w:val="00FD291B"/>
    <w:rsid w:val="00FD7FDE"/>
    <w:rsid w:val="00FF7EE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6AAEB1BA-BC7B-4C11-B6C1-34070A35A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F2145"/>
    <w:pPr>
      <w:spacing w:after="0" w:line="240" w:lineRule="auto"/>
    </w:pPr>
    <w:rPr>
      <w:rFonts w:ascii="Times New Roman" w:eastAsia="Times New Roman" w:hAnsi="Times New Roman" w:cs="Times New Roman"/>
      <w:sz w:val="20"/>
      <w:szCs w:val="20"/>
      <w:lang w:eastAsia="es-ES"/>
    </w:rPr>
  </w:style>
  <w:style w:type="paragraph" w:styleId="Ttulo3">
    <w:name w:val="heading 3"/>
    <w:basedOn w:val="Normal"/>
    <w:next w:val="Normal"/>
    <w:link w:val="Ttulo3Car"/>
    <w:qFormat/>
    <w:rsid w:val="002F2145"/>
    <w:pPr>
      <w:keepNext/>
      <w:spacing w:line="360" w:lineRule="auto"/>
      <w:jc w:val="center"/>
      <w:outlineLvl w:val="2"/>
    </w:pPr>
    <w:rPr>
      <w:rFonts w:ascii="Arial" w:hAnsi="Arial"/>
      <w:sz w:val="24"/>
    </w:rPr>
  </w:style>
  <w:style w:type="paragraph" w:styleId="Ttulo4">
    <w:name w:val="heading 4"/>
    <w:basedOn w:val="Normal"/>
    <w:next w:val="Normal"/>
    <w:link w:val="Ttulo4Car"/>
    <w:qFormat/>
    <w:rsid w:val="002F2145"/>
    <w:pPr>
      <w:keepNext/>
      <w:spacing w:line="360" w:lineRule="auto"/>
      <w:jc w:val="center"/>
      <w:outlineLvl w:val="3"/>
    </w:pPr>
    <w:rPr>
      <w:rFonts w:ascii="Verdana" w:hAnsi="Verdana"/>
      <w:b/>
      <w:bCs/>
      <w:sz w:val="24"/>
    </w:rPr>
  </w:style>
  <w:style w:type="paragraph" w:styleId="Ttulo6">
    <w:name w:val="heading 6"/>
    <w:basedOn w:val="Normal"/>
    <w:next w:val="Normal"/>
    <w:link w:val="Ttulo6Car"/>
    <w:qFormat/>
    <w:rsid w:val="002F2145"/>
    <w:pPr>
      <w:keepNext/>
      <w:spacing w:line="360" w:lineRule="auto"/>
      <w:jc w:val="center"/>
      <w:outlineLvl w:val="5"/>
    </w:pPr>
    <w:rPr>
      <w:rFonts w:ascii="Verdana" w:hAnsi="Verdana"/>
      <w:b/>
      <w:color w:val="000000"/>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2F2145"/>
    <w:rPr>
      <w:rFonts w:ascii="Arial" w:eastAsia="Times New Roman" w:hAnsi="Arial" w:cs="Times New Roman"/>
      <w:sz w:val="24"/>
      <w:szCs w:val="20"/>
      <w:lang w:eastAsia="es-ES"/>
    </w:rPr>
  </w:style>
  <w:style w:type="character" w:customStyle="1" w:styleId="Ttulo4Car">
    <w:name w:val="Título 4 Car"/>
    <w:basedOn w:val="Fuentedeprrafopredeter"/>
    <w:link w:val="Ttulo4"/>
    <w:rsid w:val="002F2145"/>
    <w:rPr>
      <w:rFonts w:ascii="Verdana" w:eastAsia="Times New Roman" w:hAnsi="Verdana" w:cs="Times New Roman"/>
      <w:b/>
      <w:bCs/>
      <w:sz w:val="24"/>
      <w:szCs w:val="20"/>
      <w:lang w:eastAsia="es-ES"/>
    </w:rPr>
  </w:style>
  <w:style w:type="character" w:customStyle="1" w:styleId="Ttulo6Car">
    <w:name w:val="Título 6 Car"/>
    <w:basedOn w:val="Fuentedeprrafopredeter"/>
    <w:link w:val="Ttulo6"/>
    <w:rsid w:val="002F2145"/>
    <w:rPr>
      <w:rFonts w:ascii="Verdana" w:eastAsia="Times New Roman" w:hAnsi="Verdana" w:cs="Times New Roman"/>
      <w:b/>
      <w:color w:val="000000"/>
      <w:sz w:val="24"/>
      <w:szCs w:val="20"/>
      <w:lang w:eastAsia="es-ES"/>
    </w:rPr>
  </w:style>
  <w:style w:type="paragraph" w:styleId="Encabezado">
    <w:name w:val="header"/>
    <w:basedOn w:val="Normal"/>
    <w:link w:val="EncabezadoCar"/>
    <w:uiPriority w:val="99"/>
    <w:rsid w:val="002F2145"/>
    <w:pPr>
      <w:tabs>
        <w:tab w:val="center" w:pos="4252"/>
        <w:tab w:val="right" w:pos="8504"/>
      </w:tabs>
    </w:pPr>
  </w:style>
  <w:style w:type="character" w:customStyle="1" w:styleId="EncabezadoCar">
    <w:name w:val="Encabezado Car"/>
    <w:basedOn w:val="Fuentedeprrafopredeter"/>
    <w:link w:val="Encabezado"/>
    <w:uiPriority w:val="99"/>
    <w:rsid w:val="002F2145"/>
    <w:rPr>
      <w:rFonts w:ascii="Times New Roman" w:eastAsia="Times New Roman" w:hAnsi="Times New Roman" w:cs="Times New Roman"/>
      <w:sz w:val="20"/>
      <w:szCs w:val="20"/>
      <w:lang w:eastAsia="es-ES"/>
    </w:rPr>
  </w:style>
  <w:style w:type="character" w:styleId="Nmerodepgina">
    <w:name w:val="page number"/>
    <w:basedOn w:val="Fuentedeprrafopredeter"/>
    <w:rsid w:val="002F2145"/>
  </w:style>
  <w:style w:type="paragraph" w:styleId="Piedepgina">
    <w:name w:val="footer"/>
    <w:basedOn w:val="Normal"/>
    <w:link w:val="PiedepginaCar"/>
    <w:uiPriority w:val="99"/>
    <w:rsid w:val="002F2145"/>
    <w:pPr>
      <w:tabs>
        <w:tab w:val="center" w:pos="4252"/>
        <w:tab w:val="right" w:pos="8504"/>
      </w:tabs>
    </w:pPr>
  </w:style>
  <w:style w:type="character" w:customStyle="1" w:styleId="PiedepginaCar">
    <w:name w:val="Pie de página Car"/>
    <w:basedOn w:val="Fuentedeprrafopredeter"/>
    <w:link w:val="Piedepgina"/>
    <w:uiPriority w:val="99"/>
    <w:rsid w:val="002F2145"/>
    <w:rPr>
      <w:rFonts w:ascii="Times New Roman" w:eastAsia="Times New Roman" w:hAnsi="Times New Roman" w:cs="Times New Roman"/>
      <w:sz w:val="20"/>
      <w:szCs w:val="20"/>
      <w:lang w:eastAsia="es-ES"/>
    </w:rPr>
  </w:style>
  <w:style w:type="paragraph" w:styleId="Textoindependiente2">
    <w:name w:val="Body Text 2"/>
    <w:basedOn w:val="Normal"/>
    <w:link w:val="Textoindependiente2Car"/>
    <w:rsid w:val="002F2145"/>
    <w:pPr>
      <w:spacing w:line="360" w:lineRule="auto"/>
      <w:jc w:val="both"/>
    </w:pPr>
    <w:rPr>
      <w:rFonts w:ascii="Verdana" w:hAnsi="Verdana"/>
      <w:sz w:val="24"/>
    </w:rPr>
  </w:style>
  <w:style w:type="character" w:customStyle="1" w:styleId="Textoindependiente2Car">
    <w:name w:val="Texto independiente 2 Car"/>
    <w:basedOn w:val="Fuentedeprrafopredeter"/>
    <w:link w:val="Textoindependiente2"/>
    <w:rsid w:val="002F2145"/>
    <w:rPr>
      <w:rFonts w:ascii="Verdana" w:eastAsia="Times New Roman" w:hAnsi="Verdana" w:cs="Times New Roman"/>
      <w:sz w:val="24"/>
      <w:szCs w:val="20"/>
      <w:lang w:eastAsia="es-ES"/>
    </w:rPr>
  </w:style>
  <w:style w:type="paragraph" w:styleId="Textonotapie">
    <w:name w:val="footnote text"/>
    <w:aliases w:val="Footnote Text Char Char Char Char Char,Footnote Text Char Char Char Char,Footnote reference,FA Fu,Footnote Text Char Char Char Car,Footnote Text Char Char Char,Footnote Text Char,Ref. de nota al pie1,texto de nota al pie,Footnote Text"/>
    <w:basedOn w:val="Normal"/>
    <w:link w:val="TextonotapieCar1"/>
    <w:uiPriority w:val="99"/>
    <w:rsid w:val="002F2145"/>
  </w:style>
  <w:style w:type="character" w:customStyle="1" w:styleId="TextonotapieCar">
    <w:name w:val="Texto nota pie Car"/>
    <w:basedOn w:val="Fuentedeprrafopredeter"/>
    <w:uiPriority w:val="99"/>
    <w:semiHidden/>
    <w:rsid w:val="002F2145"/>
    <w:rPr>
      <w:rFonts w:ascii="Times New Roman" w:eastAsia="Times New Roman" w:hAnsi="Times New Roman" w:cs="Times New Roman"/>
      <w:sz w:val="20"/>
      <w:szCs w:val="20"/>
      <w:lang w:eastAsia="es-ES"/>
    </w:rPr>
  </w:style>
  <w:style w:type="character" w:styleId="Refdenotaalpie">
    <w:name w:val="footnote reference"/>
    <w:aliases w:val="Texto de nota al pie"/>
    <w:uiPriority w:val="99"/>
    <w:rsid w:val="002F2145"/>
    <w:rPr>
      <w:vertAlign w:val="superscript"/>
    </w:rPr>
  </w:style>
  <w:style w:type="character" w:customStyle="1" w:styleId="TtuloCar">
    <w:name w:val="Título Car"/>
    <w:locked/>
    <w:rsid w:val="002F2145"/>
    <w:rPr>
      <w:rFonts w:ascii="Comic Sans MS" w:hAnsi="Comic Sans MS"/>
      <w:b/>
      <w:i/>
      <w:sz w:val="24"/>
      <w:lang w:val="es-ES" w:eastAsia="es-ES" w:bidi="ar-SA"/>
    </w:rPr>
  </w:style>
  <w:style w:type="paragraph" w:customStyle="1" w:styleId="Textoindependiente21">
    <w:name w:val="Texto independiente 21"/>
    <w:basedOn w:val="Normal"/>
    <w:rsid w:val="002F2145"/>
    <w:pPr>
      <w:spacing w:line="360" w:lineRule="auto"/>
      <w:jc w:val="both"/>
    </w:pPr>
    <w:rPr>
      <w:rFonts w:ascii="Arial" w:hAnsi="Arial"/>
      <w:b/>
      <w:sz w:val="28"/>
      <w:lang w:val="es-ES_tradnl"/>
    </w:rPr>
  </w:style>
  <w:style w:type="paragraph" w:styleId="Textosinformato">
    <w:name w:val="Plain Text"/>
    <w:basedOn w:val="Normal"/>
    <w:link w:val="TextosinformatoCar"/>
    <w:rsid w:val="002F2145"/>
    <w:pPr>
      <w:autoSpaceDE w:val="0"/>
      <w:autoSpaceDN w:val="0"/>
    </w:pPr>
    <w:rPr>
      <w:rFonts w:ascii="Courier New" w:hAnsi="Courier New"/>
    </w:rPr>
  </w:style>
  <w:style w:type="character" w:customStyle="1" w:styleId="TextosinformatoCar">
    <w:name w:val="Texto sin formato Car"/>
    <w:basedOn w:val="Fuentedeprrafopredeter"/>
    <w:link w:val="Textosinformato"/>
    <w:rsid w:val="002F2145"/>
    <w:rPr>
      <w:rFonts w:ascii="Courier New" w:eastAsia="Times New Roman" w:hAnsi="Courier New" w:cs="Times New Roman"/>
      <w:sz w:val="20"/>
      <w:szCs w:val="20"/>
      <w:lang w:eastAsia="es-ES"/>
    </w:rPr>
  </w:style>
  <w:style w:type="character" w:customStyle="1" w:styleId="TextonotapieCar1">
    <w:name w:val="Texto nota pie Car1"/>
    <w:aliases w:val="Footnote Text Char Char Char Char Char Car,Footnote Text Char Char Char Char Car,Footnote reference Car,FA Fu Car,Footnote Text Char Char Char Car Car,Footnote Text Char Char Char Car1,Footnote Text Char Car,Ref. de nota al pie1 Car"/>
    <w:link w:val="Textonotapie"/>
    <w:uiPriority w:val="99"/>
    <w:locked/>
    <w:rsid w:val="002F2145"/>
    <w:rPr>
      <w:rFonts w:ascii="Times New Roman" w:eastAsia="Times New Roman" w:hAnsi="Times New Roman" w:cs="Times New Roman"/>
      <w:sz w:val="20"/>
      <w:szCs w:val="20"/>
      <w:lang w:eastAsia="es-ES"/>
    </w:rPr>
  </w:style>
  <w:style w:type="paragraph" w:customStyle="1" w:styleId="Prrafodelista1">
    <w:name w:val="Párrafo de lista1"/>
    <w:basedOn w:val="Normal"/>
    <w:rsid w:val="002F2145"/>
    <w:pPr>
      <w:ind w:left="720"/>
      <w:contextualSpacing/>
    </w:pPr>
  </w:style>
  <w:style w:type="paragraph" w:styleId="Prrafodelista">
    <w:name w:val="List Paragraph"/>
    <w:basedOn w:val="Normal"/>
    <w:uiPriority w:val="34"/>
    <w:qFormat/>
    <w:rsid w:val="002F2145"/>
    <w:pPr>
      <w:ind w:left="720"/>
      <w:contextualSpacing/>
    </w:pPr>
  </w:style>
  <w:style w:type="character" w:customStyle="1" w:styleId="apple-converted-space">
    <w:name w:val="apple-converted-space"/>
    <w:basedOn w:val="Fuentedeprrafopredeter"/>
    <w:rsid w:val="002F2145"/>
  </w:style>
  <w:style w:type="paragraph" w:styleId="Sinespaciado">
    <w:name w:val="No Spacing"/>
    <w:link w:val="SinespaciadoCar"/>
    <w:uiPriority w:val="1"/>
    <w:qFormat/>
    <w:rsid w:val="00C27958"/>
    <w:pPr>
      <w:spacing w:after="0" w:line="240" w:lineRule="auto"/>
    </w:pPr>
    <w:rPr>
      <w:rFonts w:ascii="Times New Roman" w:eastAsia="Times New Roman" w:hAnsi="Times New Roman" w:cs="Times New Roman"/>
      <w:sz w:val="20"/>
      <w:szCs w:val="20"/>
      <w:lang w:eastAsia="es-ES"/>
    </w:rPr>
  </w:style>
  <w:style w:type="character" w:styleId="Hipervnculo">
    <w:name w:val="Hyperlink"/>
    <w:basedOn w:val="Fuentedeprrafopredeter"/>
    <w:uiPriority w:val="99"/>
    <w:semiHidden/>
    <w:unhideWhenUsed/>
    <w:rsid w:val="00F54646"/>
    <w:rPr>
      <w:color w:val="0000FF"/>
      <w:u w:val="single"/>
    </w:rPr>
  </w:style>
  <w:style w:type="character" w:customStyle="1" w:styleId="apple-style-span">
    <w:name w:val="apple-style-span"/>
    <w:rsid w:val="008D0272"/>
    <w:rPr>
      <w:rFonts w:ascii="Times New Roman" w:hAnsi="Times New Roman" w:cs="Times New Roman" w:hint="default"/>
    </w:rPr>
  </w:style>
  <w:style w:type="paragraph" w:styleId="Textodeglobo">
    <w:name w:val="Balloon Text"/>
    <w:basedOn w:val="Normal"/>
    <w:link w:val="TextodegloboCar"/>
    <w:uiPriority w:val="99"/>
    <w:semiHidden/>
    <w:unhideWhenUsed/>
    <w:rsid w:val="00AA796E"/>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A796E"/>
    <w:rPr>
      <w:rFonts w:ascii="Segoe UI" w:eastAsia="Times New Roman" w:hAnsi="Segoe UI" w:cs="Segoe UI"/>
      <w:sz w:val="18"/>
      <w:szCs w:val="18"/>
      <w:lang w:eastAsia="es-ES"/>
    </w:rPr>
  </w:style>
  <w:style w:type="character" w:customStyle="1" w:styleId="SinespaciadoCar">
    <w:name w:val="Sin espaciado Car"/>
    <w:link w:val="Sinespaciado"/>
    <w:uiPriority w:val="1"/>
    <w:locked/>
    <w:rsid w:val="000F3A8F"/>
    <w:rPr>
      <w:rFonts w:ascii="Times New Roman" w:eastAsia="Times New Roman" w:hAnsi="Times New Roman" w:cs="Times New Roman"/>
      <w:sz w:val="20"/>
      <w:szCs w:val="20"/>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3505834">
      <w:bodyDiv w:val="1"/>
      <w:marLeft w:val="0"/>
      <w:marRight w:val="0"/>
      <w:marTop w:val="0"/>
      <w:marBottom w:val="0"/>
      <w:divBdr>
        <w:top w:val="none" w:sz="0" w:space="0" w:color="auto"/>
        <w:left w:val="none" w:sz="0" w:space="0" w:color="auto"/>
        <w:bottom w:val="none" w:sz="0" w:space="0" w:color="auto"/>
        <w:right w:val="none" w:sz="0" w:space="0" w:color="auto"/>
      </w:divBdr>
    </w:div>
    <w:div w:id="1818060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3.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80D262B-5161-4A20-BC70-6B64D9D649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1587</Words>
  <Characters>8733</Characters>
  <Application>Microsoft Office Word</Application>
  <DocSecurity>0</DocSecurity>
  <Lines>72</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10300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Alberto Simoes P.</dc:creator>
  <cp:keywords/>
  <dc:description/>
  <cp:lastModifiedBy>Henry Lora Rodriguez</cp:lastModifiedBy>
  <cp:revision>9</cp:revision>
  <cp:lastPrinted>2019-02-14T20:21:00Z</cp:lastPrinted>
  <dcterms:created xsi:type="dcterms:W3CDTF">2019-02-14T14:31:00Z</dcterms:created>
  <dcterms:modified xsi:type="dcterms:W3CDTF">2019-03-20T12:49:00Z</dcterms:modified>
</cp:coreProperties>
</file>