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21" w:rsidRPr="00635E21" w:rsidRDefault="00635E21" w:rsidP="00635E21">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635E2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 xml:space="preserve">Providencia: </w:t>
      </w:r>
      <w:r w:rsidRPr="00635E21">
        <w:rPr>
          <w:rFonts w:ascii="Arial" w:hAnsi="Arial" w:cs="Arial"/>
          <w:sz w:val="20"/>
          <w:lang w:val="es-419"/>
        </w:rPr>
        <w:tab/>
      </w:r>
      <w:r w:rsidRPr="00635E21">
        <w:rPr>
          <w:rFonts w:ascii="Arial" w:hAnsi="Arial" w:cs="Arial"/>
          <w:sz w:val="20"/>
          <w:lang w:val="es-419"/>
        </w:rPr>
        <w:tab/>
        <w:t>Sentencia de Segunda Instancia, jueves 30 de mayo de 2019</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 xml:space="preserve">Radicación No: </w:t>
      </w:r>
      <w:r w:rsidRPr="00635E21">
        <w:rPr>
          <w:rFonts w:ascii="Arial" w:hAnsi="Arial" w:cs="Arial"/>
          <w:sz w:val="20"/>
          <w:lang w:val="es-419"/>
        </w:rPr>
        <w:tab/>
      </w:r>
      <w:r w:rsidRPr="00635E21">
        <w:rPr>
          <w:rFonts w:ascii="Arial" w:hAnsi="Arial" w:cs="Arial"/>
          <w:sz w:val="20"/>
          <w:lang w:val="es-419"/>
        </w:rPr>
        <w:tab/>
        <w:t>66001-31-05-005-2016-00479-01</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Proceso:</w:t>
      </w:r>
      <w:r w:rsidRPr="00635E21">
        <w:rPr>
          <w:rFonts w:ascii="Arial" w:hAnsi="Arial" w:cs="Arial"/>
          <w:sz w:val="20"/>
          <w:lang w:val="es-419"/>
        </w:rPr>
        <w:tab/>
      </w:r>
      <w:r w:rsidRPr="00635E21">
        <w:rPr>
          <w:rFonts w:ascii="Arial" w:hAnsi="Arial" w:cs="Arial"/>
          <w:sz w:val="20"/>
          <w:lang w:val="es-419"/>
        </w:rPr>
        <w:tab/>
        <w:t>Ordinario Laboral</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Demandante:</w:t>
      </w:r>
      <w:r w:rsidRPr="00635E21">
        <w:rPr>
          <w:rFonts w:ascii="Arial" w:hAnsi="Arial" w:cs="Arial"/>
          <w:sz w:val="20"/>
          <w:lang w:val="es-419"/>
        </w:rPr>
        <w:tab/>
      </w:r>
      <w:r w:rsidRPr="00635E21">
        <w:rPr>
          <w:rFonts w:ascii="Arial" w:hAnsi="Arial" w:cs="Arial"/>
          <w:sz w:val="20"/>
          <w:lang w:val="es-419"/>
        </w:rPr>
        <w:tab/>
        <w:t>Die</w:t>
      </w:r>
      <w:r>
        <w:rPr>
          <w:rFonts w:ascii="Arial" w:hAnsi="Arial" w:cs="Arial"/>
          <w:sz w:val="20"/>
          <w:lang w:val="es-419"/>
        </w:rPr>
        <w:t>go Fernando Garcés Granada</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Demandado:</w:t>
      </w:r>
      <w:r w:rsidRPr="00635E21">
        <w:rPr>
          <w:rFonts w:ascii="Arial" w:hAnsi="Arial" w:cs="Arial"/>
          <w:sz w:val="20"/>
          <w:lang w:val="es-419"/>
        </w:rPr>
        <w:tab/>
      </w:r>
      <w:r w:rsidRPr="00635E21">
        <w:rPr>
          <w:rFonts w:ascii="Arial" w:hAnsi="Arial" w:cs="Arial"/>
          <w:sz w:val="20"/>
          <w:lang w:val="es-419"/>
        </w:rPr>
        <w:tab/>
        <w:t xml:space="preserve">Megabús S.A. y otros </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Juzgado de origen:</w:t>
      </w:r>
      <w:r w:rsidRPr="00635E21">
        <w:rPr>
          <w:rFonts w:ascii="Arial" w:hAnsi="Arial" w:cs="Arial"/>
          <w:sz w:val="20"/>
          <w:lang w:val="es-419"/>
        </w:rPr>
        <w:tab/>
        <w:t>Quinto Laboral del Circuito de Pereira</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r w:rsidRPr="00635E21">
        <w:rPr>
          <w:rFonts w:ascii="Arial" w:hAnsi="Arial" w:cs="Arial"/>
          <w:sz w:val="20"/>
          <w:lang w:val="es-419"/>
        </w:rPr>
        <w:t>Magistrado Ponente:</w:t>
      </w:r>
      <w:r w:rsidRPr="00635E21">
        <w:rPr>
          <w:rFonts w:ascii="Arial" w:hAnsi="Arial" w:cs="Arial"/>
          <w:sz w:val="20"/>
          <w:lang w:val="es-419"/>
        </w:rPr>
        <w:tab/>
        <w:t>Francisco Javier Tamayo Tabares.</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p>
    <w:p w:rsidR="006A05FC" w:rsidRDefault="00635E21" w:rsidP="006A05FC">
      <w:pPr>
        <w:jc w:val="both"/>
        <w:rPr>
          <w:rFonts w:ascii="Arial" w:hAnsi="Arial" w:cs="Arial"/>
          <w:b/>
          <w:bCs/>
          <w:iCs/>
          <w:sz w:val="20"/>
          <w:lang w:val="es-419" w:eastAsia="fr-FR"/>
        </w:rPr>
      </w:pPr>
      <w:r w:rsidRPr="00635E21">
        <w:rPr>
          <w:rFonts w:ascii="Arial" w:hAnsi="Arial" w:cs="Arial"/>
          <w:b/>
          <w:bCs/>
          <w:iCs/>
          <w:sz w:val="20"/>
          <w:lang w:val="es-419" w:eastAsia="fr-FR"/>
        </w:rPr>
        <w:t>TEMAS:</w:t>
      </w:r>
      <w:r w:rsidRPr="00635E21">
        <w:rPr>
          <w:rFonts w:ascii="Arial" w:hAnsi="Arial" w:cs="Arial"/>
          <w:b/>
          <w:bCs/>
          <w:iCs/>
          <w:sz w:val="20"/>
          <w:lang w:val="es-419" w:eastAsia="fr-FR"/>
        </w:rPr>
        <w:tab/>
      </w:r>
      <w:r w:rsidR="006A05FC">
        <w:rPr>
          <w:rFonts w:ascii="Arial" w:hAnsi="Arial" w:cs="Arial"/>
          <w:b/>
          <w:bCs/>
          <w:iCs/>
          <w:sz w:val="20"/>
          <w:lang w:val="es-CO" w:eastAsia="fr-FR"/>
        </w:rPr>
        <w:t xml:space="preserve">CONTRATO DE TRABAJO / </w:t>
      </w:r>
      <w:r w:rsidR="006A05FC">
        <w:rPr>
          <w:rFonts w:ascii="Arial" w:hAnsi="Arial" w:cs="Arial"/>
          <w:b/>
          <w:bCs/>
          <w:iCs/>
          <w:sz w:val="20"/>
          <w:lang w:val="es-419" w:eastAsia="fr-FR"/>
        </w:rPr>
        <w:t>NOVACIÓN</w:t>
      </w:r>
      <w:r w:rsidR="006A05FC">
        <w:rPr>
          <w:rFonts w:ascii="Arial" w:hAnsi="Arial" w:cs="Arial"/>
          <w:b/>
          <w:bCs/>
          <w:iCs/>
          <w:sz w:val="20"/>
          <w:lang w:val="es-CO" w:eastAsia="fr-FR"/>
        </w:rPr>
        <w:t xml:space="preserve"> / REQUISITOS / NO SE CUMPLEN EN ESTE CASO / COBERTURA DE LA PÓLIZA DE GARANTÍA.</w:t>
      </w:r>
    </w:p>
    <w:p w:rsidR="006A05FC" w:rsidRDefault="006A05FC" w:rsidP="006A05FC">
      <w:pPr>
        <w:overflowPunct w:val="0"/>
        <w:autoSpaceDE w:val="0"/>
        <w:autoSpaceDN w:val="0"/>
        <w:adjustRightInd w:val="0"/>
        <w:jc w:val="both"/>
        <w:textAlignment w:val="baseline"/>
        <w:rPr>
          <w:rFonts w:ascii="Arial" w:hAnsi="Arial" w:cs="Arial"/>
          <w:sz w:val="20"/>
          <w:lang w:val="es-419"/>
        </w:rPr>
      </w:pP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“necesario que lo declaren las partes, o que aparezca indubitablemente que su intención ha sido novar...” (1693 ibídem).</w:t>
      </w: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El tema, ha sido abordado por la Sala de Casación Civil de la Corte Suprema de Justicia</w:t>
      </w:r>
      <w:r>
        <w:rPr>
          <w:rFonts w:ascii="Arial" w:hAnsi="Arial" w:cs="Arial"/>
          <w:sz w:val="20"/>
          <w:lang w:val="es-CO"/>
        </w:rPr>
        <w:t>…</w:t>
      </w:r>
      <w:r>
        <w:rPr>
          <w:rFonts w:ascii="Arial" w:hAnsi="Arial" w:cs="Arial"/>
          <w:sz w:val="20"/>
          <w:lang w:val="es-419"/>
        </w:rPr>
        <w:t xml:space="preserve"> y también por su homóloga laboral</w:t>
      </w:r>
      <w:r>
        <w:rPr>
          <w:rFonts w:ascii="Arial" w:hAnsi="Arial" w:cs="Arial"/>
          <w:sz w:val="20"/>
          <w:lang w:val="es-CO"/>
        </w:rPr>
        <w:t>…</w:t>
      </w:r>
      <w:r>
        <w:rPr>
          <w:rFonts w:ascii="Arial" w:hAnsi="Arial" w:cs="Arial"/>
          <w:sz w:val="20"/>
          <w:lang w:val="es-419"/>
        </w:rPr>
        <w:t>, en las que se hace énfasis acerca de la existencia de un verdadero y auténtico cambio de la obligación por otra, y no en simples modificaciones leves o adjetivas sin repercusiones de significación alguna alrededor objeto de la obligación pactada primigeniamente.</w:t>
      </w: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6A05FC" w:rsidRDefault="006A05FC" w:rsidP="006A05FC">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419"/>
        </w:rPr>
        <w:t>En ese orden, los cambios introducidos, en el “Otros sí”, al contrato de concesión, del cual la recurrente, fue una de sus adherentes, como solidaria, y que milita en medio magnético CD, a folio 131, versan tales modificaciones en aspectos netamente operativos del sistema de transporte, sin que revelen cambios sustanciales acerca del objeto a que se comprometió verdaderamente la concesionaria</w:t>
      </w:r>
      <w:r>
        <w:rPr>
          <w:rFonts w:ascii="Arial" w:hAnsi="Arial" w:cs="Arial"/>
          <w:sz w:val="20"/>
          <w:lang w:val="es-CO"/>
        </w:rPr>
        <w:t>…</w:t>
      </w:r>
    </w:p>
    <w:p w:rsidR="006A05FC" w:rsidRDefault="006A05FC" w:rsidP="006A05FC">
      <w:pPr>
        <w:overflowPunct w:val="0"/>
        <w:autoSpaceDE w:val="0"/>
        <w:autoSpaceDN w:val="0"/>
        <w:adjustRightInd w:val="0"/>
        <w:jc w:val="both"/>
        <w:textAlignment w:val="baseline"/>
        <w:rPr>
          <w:rFonts w:ascii="Arial" w:hAnsi="Arial" w:cs="Arial"/>
          <w:sz w:val="20"/>
          <w:lang w:val="es-CO"/>
        </w:rPr>
      </w:pP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Por ende, la esencia de la obligación, se conservó intacta, tal cual se consignara en los otros sí Nos. 1 y 5 y de similar manera en el otro sí No. 2. </w:t>
      </w:r>
    </w:p>
    <w:p w:rsidR="006A05FC" w:rsidRDefault="006A05FC" w:rsidP="006A05FC">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6A05FC" w:rsidRDefault="006A05FC" w:rsidP="006A05FC">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419"/>
        </w:rPr>
        <w:t>De suerte que, en los términos del artículo 1687 del Código Civil, no hay novación si no hay sustitución de una obligación por otra.</w:t>
      </w:r>
      <w:r>
        <w:rPr>
          <w:rFonts w:ascii="Arial" w:hAnsi="Arial" w:cs="Arial"/>
          <w:sz w:val="20"/>
          <w:lang w:val="es-CO"/>
        </w:rPr>
        <w:t xml:space="preserve"> (…)</w:t>
      </w:r>
    </w:p>
    <w:p w:rsidR="00635E21" w:rsidRDefault="00635E21" w:rsidP="006A05FC">
      <w:pPr>
        <w:jc w:val="both"/>
        <w:rPr>
          <w:rFonts w:ascii="Arial" w:hAnsi="Arial" w:cs="Arial"/>
          <w:sz w:val="20"/>
          <w:lang w:val="es-419"/>
        </w:rPr>
      </w:pPr>
    </w:p>
    <w:p w:rsidR="006A05FC" w:rsidRPr="006A05FC" w:rsidRDefault="006A05FC" w:rsidP="006A05FC">
      <w:pPr>
        <w:jc w:val="both"/>
        <w:rPr>
          <w:rFonts w:ascii="Arial" w:hAnsi="Arial" w:cs="Arial"/>
          <w:sz w:val="20"/>
          <w:lang w:val="es-419"/>
        </w:rPr>
      </w:pPr>
      <w:r w:rsidRPr="006A05FC">
        <w:rPr>
          <w:rFonts w:ascii="Arial" w:hAnsi="Arial" w:cs="Arial"/>
          <w:sz w:val="20"/>
          <w:lang w:val="es-419"/>
        </w:rPr>
        <w:t>Tampoco le asiste razón al apelante cuando afirma que la póliza de seguros no cubre lo concerniente a las vacaciones y aportes a pensión reconocidos en primera instancia, por cuanto si bien el punto 1.5 en comento,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6A05FC" w:rsidRPr="006A05FC" w:rsidRDefault="006A05FC" w:rsidP="006A05FC">
      <w:pPr>
        <w:jc w:val="both"/>
        <w:rPr>
          <w:rFonts w:ascii="Arial" w:hAnsi="Arial" w:cs="Arial"/>
          <w:sz w:val="20"/>
          <w:lang w:val="es-419"/>
        </w:rPr>
      </w:pPr>
    </w:p>
    <w:p w:rsidR="006A05FC" w:rsidRPr="00635E21" w:rsidRDefault="006A05FC" w:rsidP="006A05FC">
      <w:pPr>
        <w:jc w:val="both"/>
        <w:rPr>
          <w:rFonts w:ascii="Arial" w:hAnsi="Arial" w:cs="Arial"/>
          <w:sz w:val="20"/>
          <w:lang w:val="es-419"/>
        </w:rPr>
      </w:pPr>
      <w:r w:rsidRPr="006A05FC">
        <w:rPr>
          <w:rFonts w:ascii="Arial" w:hAnsi="Arial" w:cs="Arial"/>
          <w:sz w:val="20"/>
          <w:lang w:val="es-419"/>
        </w:rPr>
        <w:t>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Promasivo S.A. frente a sus trabajadores.</w:t>
      </w: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p>
    <w:p w:rsidR="00635E21" w:rsidRPr="00635E21" w:rsidRDefault="00635E21" w:rsidP="00635E21">
      <w:pPr>
        <w:overflowPunct w:val="0"/>
        <w:autoSpaceDE w:val="0"/>
        <w:autoSpaceDN w:val="0"/>
        <w:adjustRightInd w:val="0"/>
        <w:jc w:val="both"/>
        <w:textAlignment w:val="baseline"/>
        <w:rPr>
          <w:rFonts w:ascii="Arial" w:hAnsi="Arial" w:cs="Arial"/>
          <w:sz w:val="20"/>
          <w:lang w:val="es-419"/>
        </w:rPr>
      </w:pPr>
    </w:p>
    <w:p w:rsidR="00EE768A" w:rsidRPr="00635E21" w:rsidRDefault="00EE768A" w:rsidP="00635E21">
      <w:pPr>
        <w:pStyle w:val="Puesto"/>
        <w:spacing w:line="288" w:lineRule="auto"/>
        <w:rPr>
          <w:sz w:val="26"/>
          <w:szCs w:val="26"/>
        </w:rPr>
      </w:pPr>
      <w:r w:rsidRPr="00635E21">
        <w:rPr>
          <w:sz w:val="26"/>
          <w:szCs w:val="26"/>
        </w:rPr>
        <w:t>REPÚBLICA DE COLOMBIA</w:t>
      </w:r>
    </w:p>
    <w:p w:rsidR="00EE768A" w:rsidRPr="00635E21" w:rsidRDefault="00EE768A" w:rsidP="00635E21">
      <w:pPr>
        <w:tabs>
          <w:tab w:val="left" w:pos="3060"/>
        </w:tabs>
        <w:spacing w:line="288" w:lineRule="auto"/>
        <w:jc w:val="center"/>
        <w:rPr>
          <w:rFonts w:ascii="Arial Narrow" w:hAnsi="Arial Narrow" w:cs="Arial"/>
          <w:b/>
          <w:sz w:val="26"/>
          <w:szCs w:val="26"/>
        </w:rPr>
      </w:pPr>
      <w:r w:rsidRPr="00635E21">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2969952" r:id="rId8"/>
        </w:object>
      </w:r>
      <w:r w:rsidRPr="00635E21">
        <w:rPr>
          <w:rFonts w:ascii="Arial Narrow" w:hAnsi="Arial Narrow" w:cs="Arial"/>
          <w:b/>
          <w:color w:val="000000"/>
          <w:sz w:val="26"/>
          <w:szCs w:val="26"/>
        </w:rPr>
        <w:br w:type="textWrapping" w:clear="all"/>
      </w:r>
      <w:r w:rsidRPr="00635E21">
        <w:rPr>
          <w:rFonts w:ascii="Arial Narrow" w:hAnsi="Arial Narrow" w:cs="Arial"/>
          <w:b/>
          <w:sz w:val="26"/>
          <w:szCs w:val="26"/>
        </w:rPr>
        <w:t>TRIBUNAL SUPERIOR DE DISTRITO JUDICIAL DE PEREIRA</w:t>
      </w:r>
    </w:p>
    <w:p w:rsidR="00EE768A" w:rsidRPr="00635E21" w:rsidRDefault="00EE768A" w:rsidP="00635E21">
      <w:pPr>
        <w:pStyle w:val="Ttulo1"/>
        <w:spacing w:line="288" w:lineRule="auto"/>
        <w:rPr>
          <w:rFonts w:ascii="Arial Narrow" w:hAnsi="Arial Narrow" w:cs="Arial"/>
          <w:sz w:val="26"/>
          <w:szCs w:val="26"/>
        </w:rPr>
      </w:pPr>
      <w:r w:rsidRPr="00635E21">
        <w:rPr>
          <w:rFonts w:ascii="Arial Narrow" w:hAnsi="Arial Narrow" w:cs="Arial"/>
          <w:sz w:val="26"/>
          <w:szCs w:val="26"/>
        </w:rPr>
        <w:lastRenderedPageBreak/>
        <w:t>SALA CUARTA DE DECISIÓN LABORAL</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Sinespaciado"/>
        <w:spacing w:line="288" w:lineRule="auto"/>
        <w:ind w:firstLine="708"/>
        <w:rPr>
          <w:rFonts w:ascii="Arial Narrow" w:hAnsi="Arial Narrow" w:cs="Arial"/>
          <w:b/>
          <w:spacing w:val="-6"/>
          <w:sz w:val="26"/>
          <w:szCs w:val="26"/>
        </w:rPr>
      </w:pPr>
      <w:r w:rsidRPr="00635E21">
        <w:rPr>
          <w:rFonts w:ascii="Arial Narrow" w:hAnsi="Arial Narrow" w:cs="Arial"/>
          <w:b/>
          <w:spacing w:val="-6"/>
          <w:sz w:val="26"/>
          <w:szCs w:val="26"/>
          <w:u w:val="single"/>
        </w:rPr>
        <w:t>AUDIENCIA PÚBLICA</w:t>
      </w:r>
      <w:r w:rsidRPr="00635E21">
        <w:rPr>
          <w:rFonts w:ascii="Arial Narrow" w:hAnsi="Arial Narrow" w:cs="Arial"/>
          <w:b/>
          <w:spacing w:val="-6"/>
          <w:sz w:val="26"/>
          <w:szCs w:val="26"/>
        </w:rPr>
        <w:t>:</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b/>
          <w:bCs/>
          <w:iCs/>
          <w:spacing w:val="-6"/>
          <w:sz w:val="26"/>
          <w:szCs w:val="26"/>
        </w:rPr>
      </w:pPr>
      <w:r w:rsidRPr="00635E21">
        <w:rPr>
          <w:rFonts w:ascii="Arial Narrow" w:eastAsia="Calibri" w:hAnsi="Arial Narrow" w:cs="Arial"/>
          <w:spacing w:val="-6"/>
          <w:sz w:val="26"/>
          <w:szCs w:val="26"/>
          <w:lang w:val="es-CO" w:eastAsia="en-US"/>
        </w:rPr>
        <w:t xml:space="preserve">En Pereira, a los </w:t>
      </w:r>
      <w:r w:rsidR="006658B8" w:rsidRPr="00635E21">
        <w:rPr>
          <w:rFonts w:ascii="Arial Narrow" w:eastAsia="Calibri" w:hAnsi="Arial Narrow" w:cs="Arial"/>
          <w:spacing w:val="-6"/>
          <w:sz w:val="26"/>
          <w:szCs w:val="26"/>
          <w:lang w:val="es-CO" w:eastAsia="en-US"/>
        </w:rPr>
        <w:t xml:space="preserve">treinta </w:t>
      </w:r>
      <w:r w:rsidRPr="00635E21">
        <w:rPr>
          <w:rFonts w:ascii="Arial Narrow" w:eastAsia="Calibri" w:hAnsi="Arial Narrow" w:cs="Arial"/>
          <w:spacing w:val="-6"/>
          <w:sz w:val="26"/>
          <w:szCs w:val="26"/>
          <w:lang w:val="es-CO" w:eastAsia="en-US"/>
        </w:rPr>
        <w:t>(3</w:t>
      </w:r>
      <w:r w:rsidR="006658B8" w:rsidRPr="00635E21">
        <w:rPr>
          <w:rFonts w:ascii="Arial Narrow" w:eastAsia="Calibri" w:hAnsi="Arial Narrow" w:cs="Arial"/>
          <w:spacing w:val="-6"/>
          <w:sz w:val="26"/>
          <w:szCs w:val="26"/>
          <w:lang w:val="es-CO" w:eastAsia="en-US"/>
        </w:rPr>
        <w:t>0</w:t>
      </w:r>
      <w:r w:rsidRPr="00635E21">
        <w:rPr>
          <w:rFonts w:ascii="Arial Narrow" w:eastAsia="Calibri" w:hAnsi="Arial Narrow" w:cs="Arial"/>
          <w:spacing w:val="-6"/>
          <w:sz w:val="26"/>
          <w:szCs w:val="26"/>
          <w:lang w:val="es-CO" w:eastAsia="en-US"/>
        </w:rPr>
        <w:t xml:space="preserve">) días del mes de mayo de dos mil diecinueve  (2019), siendo las </w:t>
      </w:r>
      <w:r w:rsidR="006658B8" w:rsidRPr="00635E21">
        <w:rPr>
          <w:rFonts w:ascii="Arial Narrow" w:eastAsia="Calibri" w:hAnsi="Arial Narrow" w:cs="Arial"/>
          <w:spacing w:val="-6"/>
          <w:sz w:val="26"/>
          <w:szCs w:val="26"/>
          <w:lang w:val="es-CO" w:eastAsia="en-US"/>
        </w:rPr>
        <w:t>siete y treinta de la mañana (7</w:t>
      </w:r>
      <w:r w:rsidRPr="00635E21">
        <w:rPr>
          <w:rFonts w:ascii="Arial Narrow" w:eastAsia="Calibri" w:hAnsi="Arial Narrow" w:cs="Arial"/>
          <w:spacing w:val="-6"/>
          <w:sz w:val="26"/>
          <w:szCs w:val="26"/>
          <w:lang w:val="es-CO" w:eastAsia="en-US"/>
        </w:rPr>
        <w:t xml:space="preserve">:30 a.m.), </w:t>
      </w:r>
      <w:r w:rsidRPr="00635E21">
        <w:rPr>
          <w:rFonts w:ascii="Arial Narrow" w:hAnsi="Arial Narrow" w:cs="Arial"/>
          <w:bCs/>
          <w:color w:val="000000"/>
          <w:spacing w:val="-6"/>
          <w:sz w:val="26"/>
          <w:szCs w:val="26"/>
          <w:lang w:eastAsia="es-CO"/>
        </w:rPr>
        <w:t xml:space="preserve">procede la Sala Cuarta de Decisión Laboral del Tribunal Superior de Pereira, a resolver los recursos de apelación interpuestos por las codemandadas López Bedoya y Asociados,  Sistema Integrado de Transporte Masivo SI 99 S.A. y Liberty Seguros S.A. contra </w:t>
      </w:r>
      <w:r w:rsidRPr="00635E21">
        <w:rPr>
          <w:rFonts w:ascii="Arial Narrow" w:hAnsi="Arial Narrow" w:cs="Arial"/>
          <w:spacing w:val="-6"/>
          <w:sz w:val="26"/>
          <w:szCs w:val="26"/>
        </w:rPr>
        <w:t xml:space="preserve">la sentencia proferida el 29 de agosto de 2018 por el Juzgado Quinto Laboral del Circuito de Pereira, dentro del proceso ordinario promovido por </w:t>
      </w:r>
      <w:r w:rsidRPr="00635E21">
        <w:rPr>
          <w:rFonts w:ascii="Arial Narrow" w:hAnsi="Arial Narrow" w:cs="Arial"/>
          <w:b/>
          <w:spacing w:val="-6"/>
          <w:sz w:val="26"/>
          <w:szCs w:val="26"/>
        </w:rPr>
        <w:t xml:space="preserve">Diego Fernando Garcés Granada </w:t>
      </w:r>
      <w:r w:rsidRPr="00635E21">
        <w:rPr>
          <w:rFonts w:ascii="Arial Narrow" w:hAnsi="Arial Narrow" w:cs="Arial"/>
          <w:spacing w:val="-6"/>
          <w:sz w:val="26"/>
          <w:szCs w:val="26"/>
        </w:rPr>
        <w:t xml:space="preserve">contra </w:t>
      </w:r>
      <w:proofErr w:type="spellStart"/>
      <w:r w:rsidRPr="00635E21">
        <w:rPr>
          <w:rFonts w:ascii="Arial Narrow" w:hAnsi="Arial Narrow" w:cs="Arial"/>
          <w:b/>
          <w:spacing w:val="-6"/>
          <w:sz w:val="26"/>
          <w:szCs w:val="26"/>
        </w:rPr>
        <w:t>Promasivo</w:t>
      </w:r>
      <w:proofErr w:type="spellEnd"/>
      <w:r w:rsidRPr="00635E21">
        <w:rPr>
          <w:rFonts w:ascii="Arial Narrow" w:hAnsi="Arial Narrow" w:cs="Arial"/>
          <w:b/>
          <w:spacing w:val="-6"/>
          <w:sz w:val="26"/>
          <w:szCs w:val="26"/>
        </w:rPr>
        <w:t xml:space="preserve"> S.A. en liquidación, Megabus S.A. </w:t>
      </w:r>
      <w:r w:rsidRPr="00635E21">
        <w:rPr>
          <w:rFonts w:ascii="Arial Narrow" w:hAnsi="Arial Narrow" w:cs="Arial"/>
          <w:spacing w:val="-6"/>
          <w:sz w:val="26"/>
          <w:szCs w:val="26"/>
        </w:rPr>
        <w:t>y las llamadas en garantía</w:t>
      </w:r>
      <w:r w:rsidRPr="00635E21">
        <w:rPr>
          <w:rFonts w:ascii="Arial Narrow" w:hAnsi="Arial Narrow" w:cs="Arial"/>
          <w:b/>
          <w:spacing w:val="-6"/>
          <w:sz w:val="26"/>
          <w:szCs w:val="26"/>
        </w:rPr>
        <w:t xml:space="preserve">: </w:t>
      </w:r>
      <w:r w:rsidRPr="00635E21">
        <w:rPr>
          <w:rFonts w:ascii="Arial Narrow" w:hAnsi="Arial Narrow" w:cs="Arial"/>
          <w:b/>
          <w:spacing w:val="-6"/>
          <w:sz w:val="26"/>
          <w:szCs w:val="26"/>
          <w:lang w:val="es-CO" w:eastAsia="es-CO"/>
        </w:rPr>
        <w:t>Sistema Integrado de Transporte SI 99 S.A.</w:t>
      </w:r>
      <w:r w:rsidRPr="00635E21">
        <w:rPr>
          <w:rFonts w:ascii="Arial Narrow" w:hAnsi="Arial Narrow" w:cs="Arial"/>
          <w:b/>
          <w:spacing w:val="-6"/>
          <w:sz w:val="26"/>
          <w:szCs w:val="26"/>
        </w:rPr>
        <w:t xml:space="preserve">, López Bedoya y Asociados &amp; </w:t>
      </w:r>
      <w:proofErr w:type="spellStart"/>
      <w:r w:rsidRPr="00635E21">
        <w:rPr>
          <w:rFonts w:ascii="Arial Narrow" w:hAnsi="Arial Narrow" w:cs="Arial"/>
          <w:b/>
          <w:spacing w:val="-6"/>
          <w:sz w:val="26"/>
          <w:szCs w:val="26"/>
        </w:rPr>
        <w:t>Cia</w:t>
      </w:r>
      <w:proofErr w:type="spellEnd"/>
      <w:r w:rsidRPr="00635E21">
        <w:rPr>
          <w:rFonts w:ascii="Arial Narrow" w:hAnsi="Arial Narrow" w:cs="Arial"/>
          <w:b/>
          <w:spacing w:val="-6"/>
          <w:sz w:val="26"/>
          <w:szCs w:val="26"/>
        </w:rPr>
        <w:t xml:space="preserve">. En. C. </w:t>
      </w:r>
      <w:r w:rsidRPr="00635E21">
        <w:rPr>
          <w:rFonts w:ascii="Arial Narrow" w:hAnsi="Arial Narrow" w:cs="Arial"/>
          <w:spacing w:val="-6"/>
          <w:sz w:val="26"/>
          <w:szCs w:val="26"/>
        </w:rPr>
        <w:t>y</w:t>
      </w:r>
      <w:r w:rsidRPr="00635E21">
        <w:rPr>
          <w:rFonts w:ascii="Arial Narrow" w:hAnsi="Arial Narrow" w:cs="Arial"/>
          <w:b/>
          <w:spacing w:val="-6"/>
          <w:sz w:val="26"/>
          <w:szCs w:val="26"/>
        </w:rPr>
        <w:t xml:space="preserve"> Liberty Seguros S.A.  </w:t>
      </w:r>
      <w:r w:rsidRPr="00635E21">
        <w:rPr>
          <w:rFonts w:ascii="Arial Narrow" w:hAnsi="Arial Narrow" w:cs="Arial"/>
          <w:b/>
          <w:bCs/>
          <w:iCs/>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851"/>
        <w:jc w:val="both"/>
        <w:rPr>
          <w:rFonts w:ascii="Arial Narrow" w:hAnsi="Arial Narrow" w:cs="Arial"/>
          <w:b/>
          <w:bCs/>
          <w:iCs/>
          <w:spacing w:val="-6"/>
          <w:sz w:val="26"/>
          <w:szCs w:val="26"/>
        </w:rPr>
      </w:pPr>
      <w:r w:rsidRPr="00635E21">
        <w:rPr>
          <w:rFonts w:ascii="Arial Narrow" w:hAnsi="Arial Narrow" w:cs="Arial"/>
          <w:b/>
          <w:bCs/>
          <w:iCs/>
          <w:spacing w:val="-6"/>
          <w:sz w:val="26"/>
          <w:szCs w:val="26"/>
        </w:rPr>
        <w:t>IDENTIFICACIÓN DE LAS PARTES</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851"/>
        <w:jc w:val="both"/>
        <w:rPr>
          <w:rFonts w:ascii="Arial Narrow" w:hAnsi="Arial Narrow" w:cs="Arial"/>
          <w:bCs/>
          <w:iCs/>
          <w:spacing w:val="-6"/>
          <w:sz w:val="26"/>
          <w:szCs w:val="26"/>
        </w:rPr>
      </w:pPr>
      <w:r w:rsidRPr="00635E21">
        <w:rPr>
          <w:rFonts w:ascii="Arial Narrow" w:hAnsi="Arial Narrow" w:cs="Arial"/>
          <w:b/>
          <w:bCs/>
          <w:iCs/>
          <w:spacing w:val="-6"/>
          <w:sz w:val="26"/>
          <w:szCs w:val="26"/>
        </w:rPr>
        <w:t>INTRODUCCIÓN</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Pretende el demandante se declare la existencia de un contrato de trabajo a término indefinido entre él y </w:t>
      </w:r>
      <w:proofErr w:type="spellStart"/>
      <w:r w:rsidRPr="00635E21">
        <w:rPr>
          <w:rFonts w:ascii="Arial Narrow" w:hAnsi="Arial Narrow" w:cs="Arial"/>
          <w:spacing w:val="-6"/>
          <w:sz w:val="26"/>
          <w:szCs w:val="26"/>
        </w:rPr>
        <w:t>P</w:t>
      </w:r>
      <w:r w:rsidR="00E02744" w:rsidRPr="00635E21">
        <w:rPr>
          <w:rFonts w:ascii="Arial Narrow" w:hAnsi="Arial Narrow" w:cs="Arial"/>
          <w:spacing w:val="-6"/>
          <w:sz w:val="26"/>
          <w:szCs w:val="26"/>
        </w:rPr>
        <w:t>romasivo</w:t>
      </w:r>
      <w:proofErr w:type="spellEnd"/>
      <w:r w:rsidR="00E02744" w:rsidRPr="00635E21">
        <w:rPr>
          <w:rFonts w:ascii="Arial Narrow" w:hAnsi="Arial Narrow" w:cs="Arial"/>
          <w:spacing w:val="-6"/>
          <w:sz w:val="26"/>
          <w:szCs w:val="26"/>
        </w:rPr>
        <w:t xml:space="preserve"> S.</w:t>
      </w:r>
      <w:r w:rsidRPr="00635E21">
        <w:rPr>
          <w:rFonts w:ascii="Arial Narrow" w:hAnsi="Arial Narrow" w:cs="Arial"/>
          <w:spacing w:val="-6"/>
          <w:sz w:val="26"/>
          <w:szCs w:val="26"/>
        </w:rPr>
        <w:t xml:space="preserve">A., desde el 29 de agosto, 2011 y el 29 de agosto de 2014, fecha en que culminó por causas imputables al empleador; en consecuencia pide que se condene a esa entidad y solidariamente a , a pagar los valores de la liquidación final del contrato, que corresponde a las horas dominicales y el recargo nocturno, cesantías del 2012, 2013 y 2014, prima de servicios del segundo semestre de 2014, vacaciones del 2013 y 2014, aportes a pensión de los meses de abril a diciembre de 2013 y julio a agosto de 2014, así como el reajuste de los ciclos de enero a junio de 2014, la indemnización por despido injusto, las sanciones moratorias contenidas en el artículo 65 CST y artículo 99 Ley 50/90, más las costas del proceso.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Como fundamento a esos pedimentos, expone que prestó sus servicios personales bajo la continuada dependencia y subordinación de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para desempeñar el cargo de operador de bus alimentador del Sistema de Transporte Masivo, cumpliendo los horarios establecidos; que </w:t>
      </w:r>
      <w:r w:rsidR="009D498C" w:rsidRPr="00635E21">
        <w:rPr>
          <w:rFonts w:ascii="Arial Narrow" w:hAnsi="Arial Narrow" w:cs="Arial"/>
          <w:spacing w:val="-6"/>
          <w:sz w:val="26"/>
          <w:szCs w:val="26"/>
        </w:rPr>
        <w:t xml:space="preserve">para el año </w:t>
      </w:r>
      <w:r w:rsidRPr="00635E21">
        <w:rPr>
          <w:rFonts w:ascii="Arial Narrow" w:hAnsi="Arial Narrow" w:cs="Arial"/>
          <w:spacing w:val="-6"/>
          <w:sz w:val="26"/>
          <w:szCs w:val="26"/>
        </w:rPr>
        <w:t>2014</w:t>
      </w:r>
      <w:r w:rsidR="009D498C" w:rsidRPr="00635E21">
        <w:rPr>
          <w:rFonts w:ascii="Arial Narrow" w:hAnsi="Arial Narrow" w:cs="Arial"/>
          <w:spacing w:val="-6"/>
          <w:sz w:val="26"/>
          <w:szCs w:val="26"/>
        </w:rPr>
        <w:t xml:space="preserve"> recibió como asignación básica mensual</w:t>
      </w:r>
      <w:r w:rsidRPr="00635E21">
        <w:rPr>
          <w:rFonts w:ascii="Arial Narrow" w:hAnsi="Arial Narrow" w:cs="Arial"/>
          <w:spacing w:val="-6"/>
          <w:sz w:val="26"/>
          <w:szCs w:val="26"/>
        </w:rPr>
        <w:t xml:space="preserve">, sin incluir el trabajo suplementario, </w:t>
      </w:r>
      <w:r w:rsidR="009D498C" w:rsidRPr="00635E21">
        <w:rPr>
          <w:rFonts w:ascii="Arial Narrow" w:hAnsi="Arial Narrow" w:cs="Arial"/>
          <w:spacing w:val="-6"/>
          <w:sz w:val="26"/>
          <w:szCs w:val="26"/>
        </w:rPr>
        <w:t>la suma de $895.352</w:t>
      </w:r>
      <w:r w:rsidRPr="00635E21">
        <w:rPr>
          <w:rFonts w:ascii="Arial Narrow" w:hAnsi="Arial Narrow" w:cs="Arial"/>
          <w:spacing w:val="-6"/>
          <w:sz w:val="26"/>
          <w:szCs w:val="26"/>
        </w:rPr>
        <w:t xml:space="preserve">; que recibía una bonificación mensual habitual de $ 100.000; que su empleador realizó cotizaciones al sistema de pensional sobre una base inferior a la que correspondía en los ciclos </w:t>
      </w:r>
      <w:r w:rsidR="009D498C" w:rsidRPr="00635E21">
        <w:rPr>
          <w:rFonts w:ascii="Arial Narrow" w:hAnsi="Arial Narrow" w:cs="Arial"/>
          <w:spacing w:val="-6"/>
          <w:sz w:val="26"/>
          <w:szCs w:val="26"/>
        </w:rPr>
        <w:t>referidos previamente sobre los cuales se pide el reajuste</w:t>
      </w:r>
      <w:r w:rsidRPr="00635E21">
        <w:rPr>
          <w:rFonts w:ascii="Arial Narrow" w:hAnsi="Arial Narrow" w:cs="Arial"/>
          <w:spacing w:val="-6"/>
          <w:sz w:val="26"/>
          <w:szCs w:val="26"/>
        </w:rPr>
        <w:t xml:space="preserve">; que no realizó el pago en los meses </w:t>
      </w:r>
      <w:r w:rsidR="009D498C" w:rsidRPr="00635E21">
        <w:rPr>
          <w:rFonts w:ascii="Arial Narrow" w:hAnsi="Arial Narrow" w:cs="Arial"/>
          <w:spacing w:val="-6"/>
          <w:sz w:val="26"/>
          <w:szCs w:val="26"/>
        </w:rPr>
        <w:t>abril a dic</w:t>
      </w:r>
      <w:r w:rsidRPr="00635E21">
        <w:rPr>
          <w:rFonts w:ascii="Arial Narrow" w:hAnsi="Arial Narrow" w:cs="Arial"/>
          <w:spacing w:val="-6"/>
          <w:sz w:val="26"/>
          <w:szCs w:val="26"/>
        </w:rPr>
        <w:t xml:space="preserve">iembre de 2013, y de </w:t>
      </w:r>
      <w:r w:rsidR="009D498C" w:rsidRPr="00635E21">
        <w:rPr>
          <w:rFonts w:ascii="Arial Narrow" w:hAnsi="Arial Narrow" w:cs="Arial"/>
          <w:spacing w:val="-6"/>
          <w:sz w:val="26"/>
          <w:szCs w:val="26"/>
        </w:rPr>
        <w:t>julio a agosto de 2014</w:t>
      </w:r>
      <w:r w:rsidRPr="00635E21">
        <w:rPr>
          <w:rFonts w:ascii="Arial Narrow" w:hAnsi="Arial Narrow" w:cs="Arial"/>
          <w:spacing w:val="-6"/>
          <w:sz w:val="26"/>
          <w:szCs w:val="26"/>
        </w:rPr>
        <w:t>;</w:t>
      </w:r>
      <w:r w:rsidR="009D498C" w:rsidRPr="00635E21">
        <w:rPr>
          <w:rFonts w:ascii="Arial Narrow" w:hAnsi="Arial Narrow" w:cs="Arial"/>
          <w:spacing w:val="-6"/>
          <w:sz w:val="26"/>
          <w:szCs w:val="26"/>
        </w:rPr>
        <w:t xml:space="preserve"> </w:t>
      </w:r>
      <w:r w:rsidRPr="00635E21">
        <w:rPr>
          <w:rFonts w:ascii="Arial Narrow" w:hAnsi="Arial Narrow" w:cs="Arial"/>
          <w:spacing w:val="-6"/>
          <w:sz w:val="26"/>
          <w:szCs w:val="26"/>
        </w:rPr>
        <w:t xml:space="preserve">aduce que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S.A. es el concesionario del Sistema de Transporte Masivo del Área Metropolitana Centro de Occidente y  Megabús el ente gestor encargado del control  vigilancia del contrato de Concesión No. 01 de 2004, suscrito entre esas entidades; que</w:t>
      </w:r>
      <w:r w:rsidR="009D498C" w:rsidRPr="00635E21">
        <w:rPr>
          <w:rFonts w:ascii="Arial Narrow" w:hAnsi="Arial Narrow" w:cs="Arial"/>
          <w:spacing w:val="-6"/>
          <w:sz w:val="26"/>
          <w:szCs w:val="26"/>
        </w:rPr>
        <w:t xml:space="preserve"> presentó renuncia a raíz de los múltiples incumpliendo de su empleador en el pago de sus obligaciones laborales;</w:t>
      </w:r>
      <w:r w:rsidRPr="00635E21">
        <w:rPr>
          <w:rFonts w:ascii="Arial Narrow" w:hAnsi="Arial Narrow" w:cs="Arial"/>
          <w:spacing w:val="-6"/>
          <w:sz w:val="26"/>
          <w:szCs w:val="26"/>
        </w:rPr>
        <w:t xml:space="preserve"> que a la fecha no le han cancelado </w:t>
      </w:r>
      <w:r w:rsidR="009D498C" w:rsidRPr="00635E21">
        <w:rPr>
          <w:rFonts w:ascii="Arial Narrow" w:hAnsi="Arial Narrow" w:cs="Arial"/>
          <w:spacing w:val="-6"/>
          <w:sz w:val="26"/>
          <w:szCs w:val="26"/>
        </w:rPr>
        <w:t xml:space="preserve">las acreencias laborales solicitadas a través de esta acción judicial; que </w:t>
      </w:r>
      <w:r w:rsidR="00231348" w:rsidRPr="00635E21">
        <w:rPr>
          <w:rFonts w:ascii="Arial Narrow" w:hAnsi="Arial Narrow" w:cs="Arial"/>
          <w:spacing w:val="-6"/>
          <w:sz w:val="26"/>
          <w:szCs w:val="26"/>
        </w:rPr>
        <w:t xml:space="preserve">presentó reclamación de los </w:t>
      </w:r>
      <w:r w:rsidR="00231348" w:rsidRPr="00635E21">
        <w:rPr>
          <w:rFonts w:ascii="Arial Narrow" w:hAnsi="Arial Narrow" w:cs="Arial"/>
          <w:spacing w:val="-6"/>
          <w:sz w:val="26"/>
          <w:szCs w:val="26"/>
        </w:rPr>
        <w:lastRenderedPageBreak/>
        <w:t xml:space="preserve">créditos laborales </w:t>
      </w:r>
      <w:r w:rsidRPr="00635E21">
        <w:rPr>
          <w:rFonts w:ascii="Arial Narrow" w:hAnsi="Arial Narrow" w:cs="Arial"/>
          <w:spacing w:val="-6"/>
          <w:sz w:val="26"/>
          <w:szCs w:val="26"/>
        </w:rPr>
        <w:t>ante el empleador</w:t>
      </w:r>
      <w:r w:rsidR="00231348" w:rsidRPr="00635E21">
        <w:rPr>
          <w:rFonts w:ascii="Arial Narrow" w:hAnsi="Arial Narrow" w:cs="Arial"/>
          <w:spacing w:val="-6"/>
          <w:sz w:val="26"/>
          <w:szCs w:val="26"/>
        </w:rPr>
        <w:t>, Megabús y la Superintendencia de sociedades, sin embargo, ninguna de las entidades ha concurrido al pago</w:t>
      </w:r>
      <w:r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Admitida la demanda, se dispuso el traslado a los demandados.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S.A. en liquidación, aceptó los hechos relacionados con la existencia del vínculo laboral con el demandante, el salario básico devengado y la bonificación mensual, aclarando que no era constitutiva de salario, el contrato de concesión que suscribió con Megabus S.A., las dificultades en la prestación del servicio, el extremo inicial de la relación, entre otros. Se opuso a las pretensiones incoadas en su contra. En su defensa, propuso como excepciones de fondo: “Prescripción”, “Inexistencia parcial de las obligaciones demandadas”, “C</w:t>
      </w:r>
      <w:r w:rsidR="00017019" w:rsidRPr="00635E21">
        <w:rPr>
          <w:rFonts w:ascii="Arial Narrow" w:hAnsi="Arial Narrow" w:cs="Arial"/>
          <w:spacing w:val="-6"/>
          <w:sz w:val="26"/>
          <w:szCs w:val="26"/>
        </w:rPr>
        <w:t>obro de lo no debido”, “</w:t>
      </w:r>
      <w:r w:rsidRPr="00635E21">
        <w:rPr>
          <w:rFonts w:ascii="Arial Narrow" w:hAnsi="Arial Narrow" w:cs="Arial"/>
          <w:spacing w:val="-6"/>
          <w:sz w:val="26"/>
          <w:szCs w:val="26"/>
        </w:rPr>
        <w:t>Indebi</w:t>
      </w:r>
      <w:r w:rsidR="00017019" w:rsidRPr="00635E21">
        <w:rPr>
          <w:rFonts w:ascii="Arial Narrow" w:hAnsi="Arial Narrow" w:cs="Arial"/>
          <w:spacing w:val="-6"/>
          <w:sz w:val="26"/>
          <w:szCs w:val="26"/>
        </w:rPr>
        <w:t>da acumulación de pretensiones” y “Doble cobro de las acreencias laborales”</w:t>
      </w:r>
      <w:r w:rsidRPr="00635E21">
        <w:rPr>
          <w:rFonts w:ascii="Arial Narrow" w:hAnsi="Arial Narrow" w:cs="Arial"/>
          <w:spacing w:val="-6"/>
          <w:sz w:val="26"/>
          <w:szCs w:val="26"/>
        </w:rPr>
        <w:t xml:space="preserve">  ver folios </w:t>
      </w:r>
      <w:r w:rsidR="00017019" w:rsidRPr="00635E21">
        <w:rPr>
          <w:rFonts w:ascii="Arial Narrow" w:hAnsi="Arial Narrow" w:cs="Arial"/>
          <w:spacing w:val="-6"/>
          <w:sz w:val="26"/>
          <w:szCs w:val="26"/>
        </w:rPr>
        <w:t xml:space="preserve">99 a 106. </w:t>
      </w:r>
      <w:r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Megabus S.A., se opuso igualmente a las pretensiones. Replicó que su contratista y concesionaria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S.A., gozaba de plena autonomía y libertad para contratar el personal requerido, por ende, Megabús no tiene compromiso en este asunto, en los términos y para los efectos de la cláusula de indemnidad que se pactó con el concesionario. Propuso como único medio exceptivo el de “Prescripción”. En escrito anexo llamó en garantía a SI 99 S.A., López Bedoya y Asociados y </w:t>
      </w:r>
      <w:proofErr w:type="spellStart"/>
      <w:r w:rsidRPr="00635E21">
        <w:rPr>
          <w:rFonts w:ascii="Arial Narrow" w:hAnsi="Arial Narrow" w:cs="Arial"/>
          <w:spacing w:val="-6"/>
          <w:sz w:val="26"/>
          <w:szCs w:val="26"/>
        </w:rPr>
        <w:t>Cia</w:t>
      </w:r>
      <w:proofErr w:type="spellEnd"/>
      <w:r w:rsidRPr="00635E21">
        <w:rPr>
          <w:rFonts w:ascii="Arial Narrow" w:hAnsi="Arial Narrow" w:cs="Arial"/>
          <w:spacing w:val="-6"/>
          <w:sz w:val="26"/>
          <w:szCs w:val="26"/>
        </w:rPr>
        <w:t xml:space="preserve">. S. en C., y a la Compañía Liberty Seguros S.A., ver folios </w:t>
      </w:r>
      <w:r w:rsidR="00017019" w:rsidRPr="00635E21">
        <w:rPr>
          <w:rFonts w:ascii="Arial Narrow" w:hAnsi="Arial Narrow" w:cs="Arial"/>
          <w:spacing w:val="-6"/>
          <w:sz w:val="26"/>
          <w:szCs w:val="26"/>
        </w:rPr>
        <w:t xml:space="preserve">118 a 137. </w:t>
      </w:r>
      <w:r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La jueza accedió a los llamamientos.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Liberty seguros S.A., se opuso a las declaraciones y condenas iniciales. Propuso como excepciones de fondo</w:t>
      </w:r>
      <w:r w:rsidRPr="00635E21">
        <w:rPr>
          <w:rFonts w:ascii="Arial Narrow" w:hAnsi="Arial Narrow" w:cs="Arial"/>
          <w:color w:val="FF0000"/>
          <w:spacing w:val="-6"/>
          <w:sz w:val="26"/>
          <w:szCs w:val="26"/>
        </w:rPr>
        <w:t xml:space="preserve"> </w:t>
      </w:r>
      <w:r w:rsidRPr="00635E21">
        <w:rPr>
          <w:rFonts w:ascii="Arial Narrow" w:hAnsi="Arial Narrow" w:cs="Arial"/>
          <w:spacing w:val="-6"/>
          <w:sz w:val="26"/>
          <w:szCs w:val="26"/>
        </w:rPr>
        <w:t>“Falta de legitimación en la causa por pasiva”, “Inexistencia de la obligación demandada por inexistencia de causa jurídica”, “Improcedencia de reconocimiento de intereses moratorios”, “Inexistencia de la obligación de indemnizar” y “Prescripción”, ver fls.</w:t>
      </w:r>
      <w:r w:rsidR="00426E77" w:rsidRPr="00635E21">
        <w:rPr>
          <w:rFonts w:ascii="Arial Narrow" w:hAnsi="Arial Narrow" w:cs="Arial"/>
          <w:spacing w:val="-6"/>
          <w:sz w:val="26"/>
          <w:szCs w:val="26"/>
        </w:rPr>
        <w:t>211 a 225</w:t>
      </w:r>
      <w:r w:rsidRPr="00635E21">
        <w:rPr>
          <w:rFonts w:ascii="Arial Narrow" w:hAnsi="Arial Narrow" w:cs="Arial"/>
          <w:spacing w:val="-6"/>
          <w:sz w:val="26"/>
          <w:szCs w:val="26"/>
        </w:rPr>
        <w:t>.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635E21">
        <w:rPr>
          <w:rFonts w:ascii="Arial Narrow" w:hAnsi="Arial Narrow" w:cs="Arial"/>
          <w:spacing w:val="-6"/>
          <w:sz w:val="26"/>
          <w:szCs w:val="26"/>
        </w:rPr>
        <w:t>Inasegurabilidad</w:t>
      </w:r>
      <w:proofErr w:type="spellEnd"/>
      <w:r w:rsidRPr="00635E21">
        <w:rPr>
          <w:rFonts w:ascii="Arial Narrow" w:hAnsi="Arial Narrow" w:cs="Arial"/>
          <w:spacing w:val="-6"/>
          <w:sz w:val="26"/>
          <w:szCs w:val="26"/>
        </w:rPr>
        <w:t xml:space="preserve"> de la culpa grave y los actos meramente potestativos”, “Riesgos no amparados”, “Ausencia de dolo”, “Límite asegurado”, “No constitución en mora por parte del beneficiario”, y “Oposición a medios de prueba emanados de terceros”, ver folios 226 a </w:t>
      </w:r>
      <w:r w:rsidR="00426E77" w:rsidRPr="00635E21">
        <w:rPr>
          <w:rFonts w:ascii="Arial Narrow" w:hAnsi="Arial Narrow" w:cs="Arial"/>
          <w:spacing w:val="-6"/>
          <w:sz w:val="26"/>
          <w:szCs w:val="26"/>
        </w:rPr>
        <w:t>229</w:t>
      </w:r>
      <w:r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Sistema Integrado de Transporte SI 99 S.A., se opuso a las declaraciones y condenas impetradas en su contra, aduciendo que su responsabilidad solidaria se surte con respecto a las relaciones surgidas única y exclusivamente entre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S.A. y </w:t>
      </w:r>
      <w:proofErr w:type="spellStart"/>
      <w:r w:rsidRPr="00635E21">
        <w:rPr>
          <w:rFonts w:ascii="Arial Narrow" w:hAnsi="Arial Narrow" w:cs="Arial"/>
          <w:spacing w:val="-6"/>
          <w:sz w:val="26"/>
          <w:szCs w:val="26"/>
        </w:rPr>
        <w:t>Megabus</w:t>
      </w:r>
      <w:proofErr w:type="spellEnd"/>
      <w:r w:rsidRPr="00635E21">
        <w:rPr>
          <w:rFonts w:ascii="Arial Narrow" w:hAnsi="Arial Narrow" w:cs="Arial"/>
          <w:spacing w:val="-6"/>
          <w:sz w:val="26"/>
          <w:szCs w:val="26"/>
        </w:rPr>
        <w:t xml:space="preserve"> S.A., y no frente a terceros que no formaron parte del contrato de concesión. Puso de presente además que la sociedad enajenó sus acciones desde el año 2009, por lo que dejó de ser parte del concesionario, de suerte que, los hechos que se alegan en la demanda no le son oponibles. Propuso como excepciones de fondo: “Falta de Legitimación por pasiva”, “Cobro de lo no debido por inexistencia </w:t>
      </w:r>
      <w:r w:rsidRPr="00635E21">
        <w:rPr>
          <w:rFonts w:ascii="Arial Narrow" w:hAnsi="Arial Narrow" w:cs="Arial"/>
          <w:spacing w:val="-6"/>
          <w:sz w:val="26"/>
          <w:szCs w:val="26"/>
        </w:rPr>
        <w:lastRenderedPageBreak/>
        <w:t xml:space="preserve">de obligación y por ausencia de causa”, “Inexistencia de solidaridad”,  “Buena fe” y “Prescripción”, ver folios </w:t>
      </w:r>
      <w:r w:rsidR="00426E77" w:rsidRPr="00635E21">
        <w:rPr>
          <w:rFonts w:ascii="Arial Narrow" w:hAnsi="Arial Narrow" w:cs="Arial"/>
          <w:spacing w:val="-6"/>
          <w:sz w:val="26"/>
          <w:szCs w:val="26"/>
        </w:rPr>
        <w:t>252</w:t>
      </w:r>
      <w:r w:rsidRPr="00635E21">
        <w:rPr>
          <w:rFonts w:ascii="Arial Narrow" w:hAnsi="Arial Narrow" w:cs="Arial"/>
          <w:spacing w:val="-6"/>
          <w:sz w:val="26"/>
          <w:szCs w:val="26"/>
        </w:rPr>
        <w:t xml:space="preserve"> a </w:t>
      </w:r>
      <w:r w:rsidR="00426E77" w:rsidRPr="00635E21">
        <w:rPr>
          <w:rFonts w:ascii="Arial Narrow" w:hAnsi="Arial Narrow" w:cs="Arial"/>
          <w:spacing w:val="-6"/>
          <w:sz w:val="26"/>
          <w:szCs w:val="26"/>
        </w:rPr>
        <w:t>273.</w:t>
      </w:r>
      <w:r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López Bedoya y Asociados &amp; </w:t>
      </w:r>
      <w:proofErr w:type="spellStart"/>
      <w:r w:rsidRPr="00635E21">
        <w:rPr>
          <w:rFonts w:ascii="Arial Narrow" w:hAnsi="Arial Narrow" w:cs="Arial"/>
          <w:spacing w:val="-6"/>
          <w:sz w:val="26"/>
          <w:szCs w:val="26"/>
        </w:rPr>
        <w:t>Cia</w:t>
      </w:r>
      <w:proofErr w:type="spellEnd"/>
      <w:r w:rsidRPr="00635E21">
        <w:rPr>
          <w:rFonts w:ascii="Arial Narrow" w:hAnsi="Arial Narrow" w:cs="Arial"/>
          <w:spacing w:val="-6"/>
          <w:sz w:val="26"/>
          <w:szCs w:val="26"/>
        </w:rPr>
        <w:t>. S. en C., se opuso a las pretensiones de la demanda y del llamamiento, indicando que no es la llamada a responder solidariamente por las obligaciones laborales peticionadas en los términos del artículo 34 CST, y se atuvo a lo probado en el proceso. Propuso como excepciones de fondo: “Petición antes de tiempo”, “Inexistencia del demandante o del demandado”, “Ausencia de solidaridad”, “Prescripción”, e “Inexistencia de las obligaciones demandadas”, ver folios 320 a 3</w:t>
      </w:r>
      <w:r w:rsidR="00922CE5" w:rsidRPr="00635E21">
        <w:rPr>
          <w:rFonts w:ascii="Arial Narrow" w:hAnsi="Arial Narrow" w:cs="Arial"/>
          <w:spacing w:val="-6"/>
          <w:sz w:val="26"/>
          <w:szCs w:val="26"/>
        </w:rPr>
        <w:t>45</w:t>
      </w:r>
      <w:r w:rsidRPr="00635E21">
        <w:rPr>
          <w:rFonts w:ascii="Arial Narrow" w:hAnsi="Arial Narrow" w:cs="Arial"/>
          <w:spacing w:val="-6"/>
          <w:sz w:val="26"/>
          <w:szCs w:val="26"/>
        </w:rPr>
        <w:t>.</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900"/>
        <w:jc w:val="both"/>
        <w:rPr>
          <w:rFonts w:ascii="Arial Narrow" w:hAnsi="Arial Narrow" w:cs="Arial"/>
          <w:b/>
          <w:spacing w:val="-6"/>
          <w:sz w:val="26"/>
          <w:szCs w:val="26"/>
        </w:rPr>
      </w:pPr>
      <w:r w:rsidRPr="00635E21">
        <w:rPr>
          <w:rFonts w:ascii="Arial Narrow" w:hAnsi="Arial Narrow" w:cs="Arial"/>
          <w:b/>
          <w:spacing w:val="-6"/>
          <w:sz w:val="26"/>
          <w:szCs w:val="26"/>
        </w:rPr>
        <w:t>SENTENCIA DE PRIMERA INSTANCIA</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900"/>
        <w:jc w:val="both"/>
        <w:rPr>
          <w:rFonts w:ascii="Arial Narrow" w:hAnsi="Arial Narrow" w:cs="Arial"/>
          <w:spacing w:val="-6"/>
          <w:sz w:val="26"/>
          <w:szCs w:val="26"/>
        </w:rPr>
      </w:pPr>
      <w:r w:rsidRPr="00635E21">
        <w:rPr>
          <w:rFonts w:ascii="Arial Narrow" w:hAnsi="Arial Narrow" w:cs="Arial"/>
          <w:spacing w:val="-6"/>
          <w:sz w:val="26"/>
          <w:szCs w:val="26"/>
        </w:rPr>
        <w:t>El juzgado de primer grado dictó fallo el 2</w:t>
      </w:r>
      <w:r w:rsidR="00E02744" w:rsidRPr="00635E21">
        <w:rPr>
          <w:rFonts w:ascii="Arial Narrow" w:hAnsi="Arial Narrow" w:cs="Arial"/>
          <w:spacing w:val="-6"/>
          <w:sz w:val="26"/>
          <w:szCs w:val="26"/>
        </w:rPr>
        <w:t>9</w:t>
      </w:r>
      <w:r w:rsidRPr="00635E21">
        <w:rPr>
          <w:rFonts w:ascii="Arial Narrow" w:hAnsi="Arial Narrow" w:cs="Arial"/>
          <w:spacing w:val="-6"/>
          <w:sz w:val="26"/>
          <w:szCs w:val="26"/>
        </w:rPr>
        <w:t xml:space="preserve"> de agosto de 2018, en el que declaró la existencia del contrato de trabajo a término indefinido entre el demandante y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S.A. liquidada, desde el </w:t>
      </w:r>
      <w:r w:rsidR="00E02744" w:rsidRPr="00635E21">
        <w:rPr>
          <w:rFonts w:ascii="Arial Narrow" w:hAnsi="Arial Narrow" w:cs="Arial"/>
          <w:spacing w:val="-6"/>
          <w:sz w:val="26"/>
          <w:szCs w:val="26"/>
        </w:rPr>
        <w:t>29 de agosto de 2011</w:t>
      </w:r>
      <w:r w:rsidRPr="00635E21">
        <w:rPr>
          <w:rFonts w:ascii="Arial Narrow" w:hAnsi="Arial Narrow" w:cs="Arial"/>
          <w:spacing w:val="-6"/>
          <w:sz w:val="26"/>
          <w:szCs w:val="26"/>
        </w:rPr>
        <w:t xml:space="preserve"> y el </w:t>
      </w:r>
      <w:r w:rsidR="00E02744" w:rsidRPr="00635E21">
        <w:rPr>
          <w:rFonts w:ascii="Arial Narrow" w:hAnsi="Arial Narrow" w:cs="Arial"/>
          <w:spacing w:val="-6"/>
          <w:sz w:val="26"/>
          <w:szCs w:val="26"/>
        </w:rPr>
        <w:t>29 de agosto de 2014</w:t>
      </w:r>
      <w:r w:rsidRPr="00635E21">
        <w:rPr>
          <w:rFonts w:ascii="Arial Narrow" w:hAnsi="Arial Narrow" w:cs="Arial"/>
          <w:spacing w:val="-6"/>
          <w:sz w:val="26"/>
          <w:szCs w:val="26"/>
        </w:rPr>
        <w:t xml:space="preserve">, y en consecuencia, condenó a este </w:t>
      </w:r>
      <w:r w:rsidR="00E02744" w:rsidRPr="00635E21">
        <w:rPr>
          <w:rFonts w:ascii="Arial Narrow" w:hAnsi="Arial Narrow" w:cs="Arial"/>
          <w:spacing w:val="-6"/>
          <w:sz w:val="26"/>
          <w:szCs w:val="26"/>
        </w:rPr>
        <w:t xml:space="preserve">a pagar las horas extras y recargos nocturnos causados en el mes de agosto de 2014, la prima de servicios </w:t>
      </w:r>
      <w:proofErr w:type="spellStart"/>
      <w:r w:rsidR="00E02744" w:rsidRPr="00635E21">
        <w:rPr>
          <w:rFonts w:ascii="Arial Narrow" w:hAnsi="Arial Narrow" w:cs="Arial"/>
          <w:spacing w:val="-6"/>
          <w:sz w:val="26"/>
          <w:szCs w:val="26"/>
        </w:rPr>
        <w:t>proporcioanl</w:t>
      </w:r>
      <w:proofErr w:type="spellEnd"/>
      <w:r w:rsidR="00E02744" w:rsidRPr="00635E21">
        <w:rPr>
          <w:rFonts w:ascii="Arial Narrow" w:hAnsi="Arial Narrow" w:cs="Arial"/>
          <w:spacing w:val="-6"/>
          <w:sz w:val="26"/>
          <w:szCs w:val="26"/>
        </w:rPr>
        <w:t xml:space="preserve"> al segundo </w:t>
      </w:r>
      <w:proofErr w:type="spellStart"/>
      <w:r w:rsidR="00E02744" w:rsidRPr="00635E21">
        <w:rPr>
          <w:rFonts w:ascii="Arial Narrow" w:hAnsi="Arial Narrow" w:cs="Arial"/>
          <w:spacing w:val="-6"/>
          <w:sz w:val="26"/>
          <w:szCs w:val="26"/>
        </w:rPr>
        <w:t>semenestre</w:t>
      </w:r>
      <w:proofErr w:type="spellEnd"/>
      <w:r w:rsidR="00E02744" w:rsidRPr="00635E21">
        <w:rPr>
          <w:rFonts w:ascii="Arial Narrow" w:hAnsi="Arial Narrow" w:cs="Arial"/>
          <w:spacing w:val="-6"/>
          <w:sz w:val="26"/>
          <w:szCs w:val="26"/>
        </w:rPr>
        <w:t xml:space="preserve"> del año 2014, las cesantías causadas desde el 2012, los intereses a las mismas del año 2014, la </w:t>
      </w:r>
      <w:r w:rsidRPr="00635E21">
        <w:rPr>
          <w:rFonts w:ascii="Arial Narrow" w:hAnsi="Arial Narrow" w:cs="Arial"/>
          <w:spacing w:val="-6"/>
          <w:sz w:val="26"/>
          <w:szCs w:val="26"/>
        </w:rPr>
        <w:t xml:space="preserve">indemnización por despido injusto, </w:t>
      </w:r>
      <w:r w:rsidR="00E02744" w:rsidRPr="00635E21">
        <w:rPr>
          <w:rFonts w:ascii="Arial Narrow" w:hAnsi="Arial Narrow" w:cs="Arial"/>
          <w:spacing w:val="-6"/>
          <w:sz w:val="26"/>
          <w:szCs w:val="26"/>
        </w:rPr>
        <w:t xml:space="preserve">la </w:t>
      </w:r>
      <w:r w:rsidRPr="00635E21">
        <w:rPr>
          <w:rFonts w:ascii="Arial Narrow" w:hAnsi="Arial Narrow" w:cs="Arial"/>
          <w:spacing w:val="-6"/>
          <w:sz w:val="26"/>
          <w:szCs w:val="26"/>
        </w:rPr>
        <w:t>sanci</w:t>
      </w:r>
      <w:r w:rsidR="00E02744" w:rsidRPr="00635E21">
        <w:rPr>
          <w:rFonts w:ascii="Arial Narrow" w:hAnsi="Arial Narrow" w:cs="Arial"/>
          <w:spacing w:val="-6"/>
          <w:sz w:val="26"/>
          <w:szCs w:val="26"/>
        </w:rPr>
        <w:t>o</w:t>
      </w:r>
      <w:r w:rsidRPr="00635E21">
        <w:rPr>
          <w:rFonts w:ascii="Arial Narrow" w:hAnsi="Arial Narrow" w:cs="Arial"/>
          <w:spacing w:val="-6"/>
          <w:sz w:val="26"/>
          <w:szCs w:val="26"/>
        </w:rPr>
        <w:t>n</w:t>
      </w:r>
      <w:r w:rsidR="00E02744" w:rsidRPr="00635E21">
        <w:rPr>
          <w:rFonts w:ascii="Arial Narrow" w:hAnsi="Arial Narrow" w:cs="Arial"/>
          <w:spacing w:val="-6"/>
          <w:sz w:val="26"/>
          <w:szCs w:val="26"/>
        </w:rPr>
        <w:t xml:space="preserve">es </w:t>
      </w:r>
      <w:r w:rsidRPr="00635E21">
        <w:rPr>
          <w:rFonts w:ascii="Arial Narrow" w:hAnsi="Arial Narrow" w:cs="Arial"/>
          <w:spacing w:val="-6"/>
          <w:sz w:val="26"/>
          <w:szCs w:val="26"/>
        </w:rPr>
        <w:t>moratoria por no consignación de las cesantías causadas en el 2013</w:t>
      </w:r>
      <w:r w:rsidR="00E02744" w:rsidRPr="00635E21">
        <w:rPr>
          <w:rFonts w:ascii="Arial Narrow" w:hAnsi="Arial Narrow" w:cs="Arial"/>
          <w:spacing w:val="-6"/>
          <w:sz w:val="26"/>
          <w:szCs w:val="26"/>
        </w:rPr>
        <w:t xml:space="preserve"> y, por no pago de salarios y prestaciones sociales, </w:t>
      </w:r>
      <w:r w:rsidRPr="00635E21">
        <w:rPr>
          <w:rFonts w:ascii="Arial Narrow" w:hAnsi="Arial Narrow" w:cs="Arial"/>
          <w:spacing w:val="-6"/>
          <w:sz w:val="26"/>
          <w:szCs w:val="26"/>
        </w:rPr>
        <w:t xml:space="preserve"> </w:t>
      </w:r>
      <w:r w:rsidR="00E02744" w:rsidRPr="00635E21">
        <w:rPr>
          <w:rFonts w:ascii="Arial Narrow" w:hAnsi="Arial Narrow" w:cs="Arial"/>
          <w:spacing w:val="-6"/>
          <w:sz w:val="26"/>
          <w:szCs w:val="26"/>
        </w:rPr>
        <w:t xml:space="preserve">los </w:t>
      </w:r>
      <w:r w:rsidRPr="00635E21">
        <w:rPr>
          <w:rFonts w:ascii="Arial Narrow" w:hAnsi="Arial Narrow" w:cs="Arial"/>
          <w:spacing w:val="-6"/>
          <w:sz w:val="26"/>
          <w:szCs w:val="26"/>
        </w:rPr>
        <w:t>aportes a seguridad soc</w:t>
      </w:r>
      <w:r w:rsidR="00E02744" w:rsidRPr="00635E21">
        <w:rPr>
          <w:rFonts w:ascii="Arial Narrow" w:hAnsi="Arial Narrow" w:cs="Arial"/>
          <w:spacing w:val="-6"/>
          <w:sz w:val="26"/>
          <w:szCs w:val="26"/>
        </w:rPr>
        <w:t xml:space="preserve">ial en los periodos de abril a diciembre de 2013 y de enero a agosto de 2014 y, la indexación de la condena por vacaciones y despido injusto.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900"/>
        <w:jc w:val="both"/>
        <w:rPr>
          <w:rFonts w:ascii="Arial Narrow" w:hAnsi="Arial Narrow" w:cs="Arial"/>
          <w:spacing w:val="-6"/>
          <w:sz w:val="26"/>
          <w:szCs w:val="26"/>
        </w:rPr>
      </w:pPr>
      <w:r w:rsidRPr="00635E21">
        <w:rPr>
          <w:rFonts w:ascii="Arial Narrow" w:hAnsi="Arial Narrow" w:cs="Arial"/>
          <w:color w:val="212121"/>
          <w:spacing w:val="-6"/>
          <w:sz w:val="26"/>
          <w:szCs w:val="26"/>
        </w:rPr>
        <w:t xml:space="preserve">Dispuso que Megabus SA., era solidaria, así mismo, condenó en el mismo nivel de solidarias a las sociedades SI 99 S.A. y López Bedoya y Asociados, por las obligaciones de Megabus, en razón de la suscripción del contrato de concesión, al igual que a Liberty Seguros en virtud de la póliza y hasta el límite del valor asegurado. Por último, impuso las costas a cargo de </w:t>
      </w:r>
      <w:proofErr w:type="spellStart"/>
      <w:r w:rsidRPr="00635E21">
        <w:rPr>
          <w:rFonts w:ascii="Arial Narrow" w:hAnsi="Arial Narrow" w:cs="Arial"/>
          <w:color w:val="212121"/>
          <w:spacing w:val="-6"/>
          <w:sz w:val="26"/>
          <w:szCs w:val="26"/>
        </w:rPr>
        <w:t>Promasivo</w:t>
      </w:r>
      <w:proofErr w:type="spellEnd"/>
      <w:r w:rsidRPr="00635E21">
        <w:rPr>
          <w:rFonts w:ascii="Arial Narrow" w:hAnsi="Arial Narrow" w:cs="Arial"/>
          <w:color w:val="212121"/>
          <w:spacing w:val="-6"/>
          <w:sz w:val="26"/>
          <w:szCs w:val="26"/>
        </w:rPr>
        <w:t xml:space="preserve"> y </w:t>
      </w:r>
      <w:proofErr w:type="spellStart"/>
      <w:r w:rsidRPr="00635E21">
        <w:rPr>
          <w:rFonts w:ascii="Arial Narrow" w:hAnsi="Arial Narrow" w:cs="Arial"/>
          <w:color w:val="212121"/>
          <w:spacing w:val="-6"/>
          <w:sz w:val="26"/>
          <w:szCs w:val="26"/>
        </w:rPr>
        <w:t>Megabús</w:t>
      </w:r>
      <w:proofErr w:type="spellEnd"/>
      <w:r w:rsidRPr="00635E21">
        <w:rPr>
          <w:rFonts w:ascii="Arial Narrow" w:hAnsi="Arial Narrow" w:cs="Arial"/>
          <w:color w:val="212121"/>
          <w:spacing w:val="-6"/>
          <w:sz w:val="26"/>
          <w:szCs w:val="26"/>
        </w:rPr>
        <w:t xml:space="preserve"> en favor del demandante en un </w:t>
      </w:r>
      <w:r w:rsidR="00E02744" w:rsidRPr="00635E21">
        <w:rPr>
          <w:rFonts w:ascii="Arial Narrow" w:hAnsi="Arial Narrow" w:cs="Arial"/>
          <w:color w:val="212121"/>
          <w:spacing w:val="-6"/>
          <w:sz w:val="26"/>
          <w:szCs w:val="26"/>
        </w:rPr>
        <w:t>9</w:t>
      </w:r>
      <w:r w:rsidRPr="00635E21">
        <w:rPr>
          <w:rFonts w:ascii="Arial Narrow" w:hAnsi="Arial Narrow" w:cs="Arial"/>
          <w:color w:val="212121"/>
          <w:spacing w:val="-6"/>
          <w:sz w:val="26"/>
          <w:szCs w:val="26"/>
        </w:rPr>
        <w:t>0 % de las causadas y, a las llamadas</w:t>
      </w:r>
      <w:r w:rsidR="00E02744" w:rsidRPr="00635E21">
        <w:rPr>
          <w:rFonts w:ascii="Arial Narrow" w:hAnsi="Arial Narrow" w:cs="Arial"/>
          <w:color w:val="212121"/>
          <w:spacing w:val="-6"/>
          <w:sz w:val="26"/>
          <w:szCs w:val="26"/>
        </w:rPr>
        <w:t xml:space="preserve"> en garantía a favor de Megabús en un 20 %. </w:t>
      </w:r>
      <w:r w:rsidRPr="00635E21">
        <w:rPr>
          <w:rFonts w:ascii="Arial Narrow" w:hAnsi="Arial Narrow" w:cs="Arial"/>
          <w:color w:val="212121"/>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900"/>
        <w:jc w:val="both"/>
        <w:rPr>
          <w:rFonts w:ascii="Arial Narrow" w:hAnsi="Arial Narrow" w:cs="Arial"/>
          <w:b/>
          <w:spacing w:val="-6"/>
          <w:sz w:val="26"/>
          <w:szCs w:val="26"/>
        </w:rPr>
      </w:pPr>
      <w:r w:rsidRPr="00635E21">
        <w:rPr>
          <w:rFonts w:ascii="Arial Narrow" w:hAnsi="Arial Narrow" w:cs="Arial"/>
          <w:b/>
          <w:spacing w:val="-6"/>
          <w:sz w:val="26"/>
          <w:szCs w:val="26"/>
        </w:rPr>
        <w:t>APELACIÓN</w:t>
      </w:r>
    </w:p>
    <w:p w:rsidR="00EE768A" w:rsidRPr="00635E21" w:rsidRDefault="00EE768A" w:rsidP="00635E21">
      <w:pPr>
        <w:pStyle w:val="Sinespaciado"/>
        <w:spacing w:line="288" w:lineRule="auto"/>
        <w:rPr>
          <w:rFonts w:ascii="Arial Narrow" w:hAnsi="Arial Narrow" w:cs="Arial"/>
          <w:sz w:val="26"/>
          <w:szCs w:val="26"/>
        </w:rPr>
      </w:pPr>
    </w:p>
    <w:p w:rsidR="00136FEC" w:rsidRDefault="00EE768A"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000000"/>
          <w:spacing w:val="-6"/>
          <w:sz w:val="26"/>
          <w:szCs w:val="26"/>
          <w:lang w:eastAsia="es-CO"/>
        </w:rPr>
        <w:t>El procurador judicial de</w:t>
      </w:r>
      <w:r w:rsidR="00720B04" w:rsidRPr="00635E21">
        <w:rPr>
          <w:rFonts w:ascii="Arial Narrow" w:hAnsi="Arial Narrow" w:cs="Arial"/>
          <w:color w:val="000000"/>
          <w:spacing w:val="-6"/>
          <w:sz w:val="26"/>
          <w:szCs w:val="26"/>
          <w:lang w:eastAsia="es-CO"/>
        </w:rPr>
        <w:t xml:space="preserve"> la sociedad </w:t>
      </w:r>
      <w:r w:rsidR="00C04B3E" w:rsidRPr="00635E21">
        <w:rPr>
          <w:rFonts w:ascii="Arial Narrow" w:hAnsi="Arial Narrow" w:cs="Arial"/>
          <w:color w:val="000000"/>
          <w:spacing w:val="-6"/>
          <w:sz w:val="26"/>
          <w:szCs w:val="26"/>
          <w:lang w:eastAsia="es-CO"/>
        </w:rPr>
        <w:t xml:space="preserve">López Bedoya y Asociados </w:t>
      </w:r>
      <w:r w:rsidR="00136FEC" w:rsidRPr="00635E21">
        <w:rPr>
          <w:rFonts w:ascii="Arial Narrow" w:hAnsi="Arial Narrow" w:cs="Arial"/>
          <w:color w:val="212121"/>
          <w:spacing w:val="-6"/>
          <w:sz w:val="26"/>
          <w:szCs w:val="26"/>
        </w:rPr>
        <w:t>cuestionó la imposición de las indemnizaciones</w:t>
      </w:r>
      <w:r w:rsidR="00720B04" w:rsidRPr="00635E21">
        <w:rPr>
          <w:rFonts w:ascii="Arial Narrow" w:hAnsi="Arial Narrow" w:cs="Arial"/>
          <w:color w:val="212121"/>
          <w:spacing w:val="-6"/>
          <w:sz w:val="26"/>
          <w:szCs w:val="26"/>
        </w:rPr>
        <w:t xml:space="preserve"> a las que accedió la primera </w:t>
      </w:r>
      <w:proofErr w:type="spellStart"/>
      <w:r w:rsidR="00720B04" w:rsidRPr="00635E21">
        <w:rPr>
          <w:rFonts w:ascii="Arial Narrow" w:hAnsi="Arial Narrow" w:cs="Arial"/>
          <w:color w:val="212121"/>
          <w:spacing w:val="-6"/>
          <w:sz w:val="26"/>
          <w:szCs w:val="26"/>
        </w:rPr>
        <w:t>isntancia</w:t>
      </w:r>
      <w:proofErr w:type="spellEnd"/>
      <w:r w:rsidR="00136FEC" w:rsidRPr="00635E21">
        <w:rPr>
          <w:rFonts w:ascii="Arial Narrow" w:hAnsi="Arial Narrow" w:cs="Arial"/>
          <w:color w:val="212121"/>
          <w:spacing w:val="-6"/>
          <w:sz w:val="26"/>
          <w:szCs w:val="26"/>
        </w:rPr>
        <w:t>, puesto</w:t>
      </w:r>
      <w:r w:rsidR="00720B04" w:rsidRPr="00635E21">
        <w:rPr>
          <w:rFonts w:ascii="Arial Narrow" w:hAnsi="Arial Narrow" w:cs="Arial"/>
          <w:color w:val="212121"/>
          <w:spacing w:val="-6"/>
          <w:sz w:val="26"/>
          <w:szCs w:val="26"/>
        </w:rPr>
        <w:t xml:space="preserve"> a su consideración, </w:t>
      </w:r>
      <w:r w:rsidR="00136FEC" w:rsidRPr="00635E21">
        <w:rPr>
          <w:rFonts w:ascii="Arial Narrow" w:hAnsi="Arial Narrow" w:cs="Arial"/>
          <w:color w:val="212121"/>
          <w:spacing w:val="-6"/>
          <w:sz w:val="26"/>
          <w:szCs w:val="26"/>
        </w:rPr>
        <w:t>quedó d</w:t>
      </w:r>
      <w:r w:rsidR="00720B04" w:rsidRPr="00635E21">
        <w:rPr>
          <w:rFonts w:ascii="Arial Narrow" w:hAnsi="Arial Narrow" w:cs="Arial"/>
          <w:color w:val="212121"/>
          <w:spacing w:val="-6"/>
          <w:sz w:val="26"/>
          <w:szCs w:val="26"/>
        </w:rPr>
        <w:t xml:space="preserve">ebidamente acreditado </w:t>
      </w:r>
      <w:r w:rsidR="00136FEC" w:rsidRPr="00635E21">
        <w:rPr>
          <w:rFonts w:ascii="Arial Narrow" w:hAnsi="Arial Narrow" w:cs="Arial"/>
          <w:color w:val="212121"/>
          <w:spacing w:val="-6"/>
          <w:sz w:val="26"/>
          <w:szCs w:val="26"/>
        </w:rPr>
        <w:t xml:space="preserve">que desde el 2012 </w:t>
      </w:r>
      <w:proofErr w:type="spellStart"/>
      <w:r w:rsidR="00136FEC" w:rsidRPr="00635E21">
        <w:rPr>
          <w:rFonts w:ascii="Arial Narrow" w:hAnsi="Arial Narrow" w:cs="Arial"/>
          <w:color w:val="212121"/>
          <w:spacing w:val="-6"/>
          <w:sz w:val="26"/>
          <w:szCs w:val="26"/>
        </w:rPr>
        <w:t>Promasivo</w:t>
      </w:r>
      <w:proofErr w:type="spellEnd"/>
      <w:r w:rsidR="00136FEC" w:rsidRPr="00635E21">
        <w:rPr>
          <w:rFonts w:ascii="Arial Narrow" w:hAnsi="Arial Narrow" w:cs="Arial"/>
          <w:color w:val="212121"/>
          <w:spacing w:val="-6"/>
          <w:sz w:val="26"/>
          <w:szCs w:val="26"/>
        </w:rPr>
        <w:t xml:space="preserve"> S.A., atravesó una difícil situación económica</w:t>
      </w:r>
      <w:r w:rsidR="00720B04" w:rsidRPr="00635E21">
        <w:rPr>
          <w:rFonts w:ascii="Arial Narrow" w:hAnsi="Arial Narrow" w:cs="Arial"/>
          <w:color w:val="212121"/>
          <w:spacing w:val="-6"/>
          <w:sz w:val="26"/>
          <w:szCs w:val="26"/>
        </w:rPr>
        <w:t xml:space="preserve"> que le impidió cumplir con sus obligaciones como empleador</w:t>
      </w:r>
      <w:r w:rsidR="00136FEC" w:rsidRPr="00635E21">
        <w:rPr>
          <w:rFonts w:ascii="Arial Narrow" w:hAnsi="Arial Narrow" w:cs="Arial"/>
          <w:color w:val="212121"/>
          <w:spacing w:val="-6"/>
          <w:sz w:val="26"/>
          <w:szCs w:val="26"/>
        </w:rPr>
        <w:t xml:space="preserve">, siendo prueba de ello el sometimiento a control por parte de la Superintendencia de Puertos y Transporte, </w:t>
      </w:r>
      <w:r w:rsidR="008972C7" w:rsidRPr="00635E21">
        <w:rPr>
          <w:rFonts w:ascii="Arial Narrow" w:hAnsi="Arial Narrow" w:cs="Arial"/>
          <w:color w:val="212121"/>
          <w:spacing w:val="-6"/>
          <w:sz w:val="26"/>
          <w:szCs w:val="26"/>
        </w:rPr>
        <w:t xml:space="preserve">la </w:t>
      </w:r>
      <w:r w:rsidR="00720B04" w:rsidRPr="00635E21">
        <w:rPr>
          <w:rFonts w:ascii="Arial Narrow" w:hAnsi="Arial Narrow" w:cs="Arial"/>
          <w:color w:val="212121"/>
          <w:spacing w:val="-6"/>
          <w:sz w:val="26"/>
          <w:szCs w:val="26"/>
        </w:rPr>
        <w:t xml:space="preserve">intervención en el manejo de la empresa y la posterior liquidación judicial </w:t>
      </w:r>
      <w:r w:rsidR="008972C7" w:rsidRPr="00635E21">
        <w:rPr>
          <w:rFonts w:ascii="Arial Narrow" w:hAnsi="Arial Narrow" w:cs="Arial"/>
          <w:color w:val="212121"/>
          <w:spacing w:val="-6"/>
          <w:sz w:val="26"/>
          <w:szCs w:val="26"/>
        </w:rPr>
        <w:t>ante la Superintendencia de Sociedades</w:t>
      </w:r>
      <w:r w:rsidR="00720B04" w:rsidRPr="00635E21">
        <w:rPr>
          <w:rFonts w:ascii="Arial Narrow" w:hAnsi="Arial Narrow" w:cs="Arial"/>
          <w:color w:val="212121"/>
          <w:spacing w:val="-6"/>
          <w:sz w:val="26"/>
          <w:szCs w:val="26"/>
        </w:rPr>
        <w:t xml:space="preserve">. </w:t>
      </w:r>
      <w:r w:rsidR="008972C7" w:rsidRPr="00635E21">
        <w:rPr>
          <w:rFonts w:ascii="Arial Narrow" w:hAnsi="Arial Narrow" w:cs="Arial"/>
          <w:color w:val="212121"/>
          <w:spacing w:val="-6"/>
          <w:sz w:val="26"/>
          <w:szCs w:val="26"/>
        </w:rPr>
        <w:t xml:space="preserve">Por lo que solicita </w:t>
      </w:r>
      <w:r w:rsidR="00720B04" w:rsidRPr="00635E21">
        <w:rPr>
          <w:rFonts w:ascii="Arial Narrow" w:hAnsi="Arial Narrow" w:cs="Arial"/>
          <w:color w:val="212121"/>
          <w:spacing w:val="-6"/>
          <w:sz w:val="26"/>
          <w:szCs w:val="26"/>
        </w:rPr>
        <w:t>se analice a fondo este aspecto, puesto que la entidad no actuó de mala fe y por ende, s</w:t>
      </w:r>
      <w:r w:rsidR="008972C7" w:rsidRPr="00635E21">
        <w:rPr>
          <w:rFonts w:ascii="Arial Narrow" w:hAnsi="Arial Narrow" w:cs="Arial"/>
          <w:color w:val="212121"/>
          <w:spacing w:val="-6"/>
          <w:sz w:val="26"/>
          <w:szCs w:val="26"/>
        </w:rPr>
        <w:t>e absuelva de las indemnizaciones</w:t>
      </w:r>
      <w:r w:rsidR="00720B04" w:rsidRPr="00635E21">
        <w:rPr>
          <w:rFonts w:ascii="Arial Narrow" w:hAnsi="Arial Narrow" w:cs="Arial"/>
          <w:color w:val="212121"/>
          <w:spacing w:val="-6"/>
          <w:sz w:val="26"/>
          <w:szCs w:val="26"/>
        </w:rPr>
        <w:t xml:space="preserve"> impuestas. </w:t>
      </w:r>
    </w:p>
    <w:p w:rsidR="00635E21" w:rsidRPr="00635E21" w:rsidRDefault="00635E21" w:rsidP="00635E21">
      <w:pPr>
        <w:shd w:val="clear" w:color="auto" w:fill="FFFFFF"/>
        <w:spacing w:line="288" w:lineRule="auto"/>
        <w:ind w:firstLine="708"/>
        <w:jc w:val="both"/>
        <w:rPr>
          <w:rFonts w:ascii="Arial Narrow" w:hAnsi="Arial Narrow" w:cs="Arial"/>
          <w:color w:val="212121"/>
          <w:spacing w:val="-6"/>
          <w:sz w:val="26"/>
          <w:szCs w:val="26"/>
        </w:rPr>
      </w:pPr>
    </w:p>
    <w:p w:rsidR="00EE768A" w:rsidRPr="00635E21" w:rsidRDefault="00720B04" w:rsidP="00635E21">
      <w:pPr>
        <w:tabs>
          <w:tab w:val="left" w:pos="0"/>
        </w:tabs>
        <w:suppressAutoHyphens/>
        <w:spacing w:line="288" w:lineRule="auto"/>
        <w:jc w:val="both"/>
        <w:rPr>
          <w:rFonts w:ascii="Arial Narrow" w:hAnsi="Arial Narrow" w:cs="Arial"/>
          <w:spacing w:val="-6"/>
          <w:sz w:val="26"/>
          <w:szCs w:val="26"/>
        </w:rPr>
      </w:pPr>
      <w:r w:rsidRPr="00635E21">
        <w:rPr>
          <w:rFonts w:ascii="Arial Narrow" w:hAnsi="Arial Narrow" w:cs="Arial"/>
          <w:color w:val="000000"/>
          <w:spacing w:val="-6"/>
          <w:sz w:val="26"/>
          <w:szCs w:val="26"/>
          <w:lang w:eastAsia="es-CO"/>
        </w:rPr>
        <w:lastRenderedPageBreak/>
        <w:tab/>
        <w:t xml:space="preserve">Por su parte, </w:t>
      </w:r>
      <w:r w:rsidR="00EE768A" w:rsidRPr="00635E21">
        <w:rPr>
          <w:rFonts w:ascii="Arial Narrow" w:hAnsi="Arial Narrow" w:cs="Arial"/>
          <w:spacing w:val="-6"/>
          <w:sz w:val="26"/>
          <w:szCs w:val="26"/>
          <w:lang w:val="es-CO" w:eastAsia="es-CO"/>
        </w:rPr>
        <w:t xml:space="preserve">SI 99 S.A. se mostró inconforme con la solidaridad que se le deduce con el llamamiento en garantía, aduciendo que </w:t>
      </w:r>
      <w:r w:rsidRPr="00635E21">
        <w:rPr>
          <w:rFonts w:ascii="Arial Narrow" w:hAnsi="Arial Narrow" w:cs="Arial"/>
          <w:spacing w:val="-6"/>
          <w:sz w:val="26"/>
          <w:szCs w:val="26"/>
          <w:lang w:val="es-CO" w:eastAsia="es-CO"/>
        </w:rPr>
        <w:t xml:space="preserve">la </w:t>
      </w:r>
      <w:r w:rsidR="00EE768A" w:rsidRPr="00635E21">
        <w:rPr>
          <w:rFonts w:ascii="Arial Narrow" w:hAnsi="Arial Narrow" w:cs="Arial"/>
          <w:spacing w:val="-6"/>
          <w:sz w:val="26"/>
          <w:szCs w:val="26"/>
        </w:rPr>
        <w:t>suscr</w:t>
      </w:r>
      <w:r w:rsidRPr="00635E21">
        <w:rPr>
          <w:rFonts w:ascii="Arial Narrow" w:hAnsi="Arial Narrow" w:cs="Arial"/>
          <w:spacing w:val="-6"/>
          <w:sz w:val="26"/>
          <w:szCs w:val="26"/>
        </w:rPr>
        <w:t xml:space="preserve">ipción de los Otros Sí, modificaron </w:t>
      </w:r>
      <w:r w:rsidR="00EE768A" w:rsidRPr="00635E21">
        <w:rPr>
          <w:rFonts w:ascii="Arial Narrow" w:hAnsi="Arial Narrow" w:cs="Arial"/>
          <w:spacing w:val="-6"/>
          <w:sz w:val="26"/>
          <w:szCs w:val="26"/>
        </w:rPr>
        <w:t>la esencia del contrato de concesión Nº 01 de 2004 del que era garante, por lo tanto, al no haber participado en la suscripción de los mismos, se da la figura de la novación de la obligación, como eximente de cualquier responsabilidad solidaria frente a Megabús S.A.</w:t>
      </w:r>
    </w:p>
    <w:p w:rsidR="00EE768A" w:rsidRPr="00635E21" w:rsidRDefault="00EE768A" w:rsidP="00635E21">
      <w:pPr>
        <w:pStyle w:val="Sinespaciado"/>
        <w:spacing w:line="288" w:lineRule="auto"/>
        <w:rPr>
          <w:rFonts w:ascii="Arial Narrow" w:hAnsi="Arial Narrow" w:cs="Arial"/>
          <w:sz w:val="26"/>
          <w:szCs w:val="26"/>
          <w:lang w:val="es-CO" w:eastAsia="es-CO"/>
        </w:rPr>
      </w:pPr>
    </w:p>
    <w:p w:rsidR="00EE768A" w:rsidRPr="00635E21" w:rsidRDefault="00EE768A" w:rsidP="00635E21">
      <w:pPr>
        <w:tabs>
          <w:tab w:val="left" w:pos="0"/>
        </w:tabs>
        <w:suppressAutoHyphens/>
        <w:spacing w:line="288" w:lineRule="auto"/>
        <w:jc w:val="both"/>
        <w:rPr>
          <w:rFonts w:ascii="Arial Narrow" w:hAnsi="Arial Narrow" w:cs="Arial"/>
          <w:spacing w:val="-6"/>
          <w:sz w:val="26"/>
          <w:szCs w:val="26"/>
          <w:lang w:val="es-CO" w:eastAsia="es-CO"/>
        </w:rPr>
      </w:pPr>
      <w:r w:rsidRPr="00635E21">
        <w:rPr>
          <w:rFonts w:ascii="Arial Narrow" w:hAnsi="Arial Narrow" w:cs="Arial"/>
          <w:color w:val="000000"/>
          <w:spacing w:val="-6"/>
          <w:sz w:val="26"/>
          <w:szCs w:val="26"/>
          <w:lang w:eastAsia="es-CO"/>
        </w:rPr>
        <w:tab/>
        <w:t xml:space="preserve">Por su parte, Liberty Seguros S.A se alzó contra la decisión indicando que; (i) </w:t>
      </w:r>
      <w:r w:rsidRPr="00635E21">
        <w:rPr>
          <w:rFonts w:ascii="Arial Narrow" w:hAnsi="Arial Narrow" w:cs="Arial"/>
          <w:spacing w:val="-6"/>
          <w:sz w:val="26"/>
          <w:szCs w:val="26"/>
          <w:lang w:val="es-CO" w:eastAsia="es-CO"/>
        </w:rPr>
        <w:t xml:space="preserve">las exclusiones de la póliza contemplan la culpa grave, el dolo y los actos meramente potestativos, y dado que </w:t>
      </w:r>
      <w:proofErr w:type="spellStart"/>
      <w:r w:rsidRPr="00635E21">
        <w:rPr>
          <w:rFonts w:ascii="Arial Narrow" w:hAnsi="Arial Narrow" w:cs="Arial"/>
          <w:spacing w:val="-6"/>
          <w:sz w:val="26"/>
          <w:szCs w:val="26"/>
          <w:lang w:val="es-CO" w:eastAsia="es-CO"/>
        </w:rPr>
        <w:t>Promasivo</w:t>
      </w:r>
      <w:proofErr w:type="spellEnd"/>
      <w:r w:rsidRPr="00635E21">
        <w:rPr>
          <w:rFonts w:ascii="Arial Narrow" w:hAnsi="Arial Narrow" w:cs="Arial"/>
          <w:spacing w:val="-6"/>
          <w:sz w:val="26"/>
          <w:szCs w:val="26"/>
          <w:lang w:val="es-CO" w:eastAsia="es-CO"/>
        </w:rPr>
        <w:t xml:space="preserve">, en calidad de tomador y Megabus como asegurado, incumplieron sus obligaciones contractuales, no existe cobertura en el pago de indemnizaciones moratorias, al tenor de lo preceptuado en el artículo 1055 del C. Co; </w:t>
      </w:r>
      <w:r w:rsidR="00720B04" w:rsidRPr="00635E21">
        <w:rPr>
          <w:rFonts w:ascii="Arial Narrow" w:hAnsi="Arial Narrow" w:cs="Arial"/>
          <w:spacing w:val="-6"/>
          <w:sz w:val="26"/>
          <w:szCs w:val="26"/>
          <w:lang w:val="es-CO" w:eastAsia="es-CO"/>
        </w:rPr>
        <w:t>ni tampoco existe cobertura para el pago de lo</w:t>
      </w:r>
      <w:r w:rsidRPr="00635E21">
        <w:rPr>
          <w:rFonts w:ascii="Arial Narrow" w:hAnsi="Arial Narrow" w:cs="Arial"/>
          <w:spacing w:val="-6"/>
          <w:sz w:val="26"/>
          <w:szCs w:val="26"/>
          <w:lang w:val="es-CO" w:eastAsia="es-CO"/>
        </w:rPr>
        <w:t xml:space="preserve">s aportes a pensión </w:t>
      </w:r>
      <w:r w:rsidR="00720B04" w:rsidRPr="00635E21">
        <w:rPr>
          <w:rFonts w:ascii="Arial Narrow" w:hAnsi="Arial Narrow" w:cs="Arial"/>
          <w:spacing w:val="-6"/>
          <w:sz w:val="26"/>
          <w:szCs w:val="26"/>
          <w:lang w:val="es-CO" w:eastAsia="es-CO"/>
        </w:rPr>
        <w:t xml:space="preserve">y las vacaciones reconocidas por la a-quo.  </w:t>
      </w:r>
    </w:p>
    <w:p w:rsidR="00EE768A" w:rsidRPr="00635E21" w:rsidRDefault="00EE768A" w:rsidP="00635E21">
      <w:pPr>
        <w:spacing w:line="288" w:lineRule="auto"/>
        <w:jc w:val="both"/>
        <w:rPr>
          <w:rFonts w:ascii="Arial Narrow" w:hAnsi="Arial Narrow" w:cs="Arial"/>
          <w:sz w:val="26"/>
          <w:szCs w:val="26"/>
          <w:u w:val="single"/>
          <w:lang w:val="es-CO"/>
        </w:rPr>
      </w:pPr>
    </w:p>
    <w:p w:rsidR="00EE768A" w:rsidRPr="00635E21" w:rsidRDefault="00EE768A" w:rsidP="00635E21">
      <w:pPr>
        <w:pStyle w:val="Sinespaciado"/>
        <w:spacing w:line="288" w:lineRule="auto"/>
        <w:ind w:firstLine="708"/>
        <w:rPr>
          <w:rFonts w:ascii="Arial Narrow" w:hAnsi="Arial Narrow" w:cs="Arial"/>
          <w:b/>
          <w:sz w:val="26"/>
          <w:szCs w:val="26"/>
          <w:lang w:eastAsia="es-CO"/>
        </w:rPr>
      </w:pPr>
      <w:r w:rsidRPr="00635E21">
        <w:rPr>
          <w:rFonts w:ascii="Arial Narrow" w:hAnsi="Arial Narrow" w:cs="Arial"/>
          <w:b/>
          <w:sz w:val="26"/>
          <w:szCs w:val="26"/>
          <w:lang w:eastAsia="es-CO"/>
        </w:rPr>
        <w:t>CONSIDERACIONES.</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Sinespaciado"/>
        <w:spacing w:line="288" w:lineRule="auto"/>
        <w:rPr>
          <w:rFonts w:ascii="Arial Narrow" w:hAnsi="Arial Narrow" w:cs="Arial"/>
          <w:sz w:val="26"/>
          <w:szCs w:val="26"/>
        </w:rPr>
      </w:pPr>
      <w:r w:rsidRPr="00635E21">
        <w:rPr>
          <w:rFonts w:ascii="Arial Narrow" w:hAnsi="Arial Narrow" w:cs="Arial"/>
          <w:sz w:val="26"/>
          <w:szCs w:val="26"/>
        </w:rPr>
        <w:tab/>
        <w:t>Problemas jurídicos.</w:t>
      </w:r>
    </w:p>
    <w:p w:rsidR="00720B04" w:rsidRPr="00635E21" w:rsidRDefault="00720B04" w:rsidP="00635E21">
      <w:pPr>
        <w:pStyle w:val="Sinespaciado"/>
        <w:spacing w:line="288" w:lineRule="auto"/>
        <w:rPr>
          <w:rFonts w:ascii="Arial Narrow" w:hAnsi="Arial Narrow" w:cs="Arial"/>
          <w:sz w:val="26"/>
          <w:szCs w:val="26"/>
        </w:rPr>
      </w:pPr>
    </w:p>
    <w:p w:rsidR="00720B04" w:rsidRPr="00635E21" w:rsidRDefault="00720B04" w:rsidP="00635E21">
      <w:pPr>
        <w:pStyle w:val="Sinespaciado"/>
        <w:spacing w:line="288" w:lineRule="auto"/>
        <w:ind w:firstLine="708"/>
        <w:jc w:val="both"/>
        <w:rPr>
          <w:rFonts w:ascii="Arial Narrow" w:hAnsi="Arial Narrow" w:cs="Arial"/>
          <w:i/>
          <w:spacing w:val="-6"/>
          <w:sz w:val="26"/>
          <w:szCs w:val="26"/>
        </w:rPr>
      </w:pPr>
      <w:r w:rsidRPr="00635E21">
        <w:rPr>
          <w:rFonts w:ascii="Arial Narrow" w:hAnsi="Arial Narrow" w:cs="Arial"/>
          <w:i/>
          <w:color w:val="212121"/>
          <w:spacing w:val="-6"/>
          <w:sz w:val="26"/>
          <w:szCs w:val="26"/>
        </w:rPr>
        <w:t xml:space="preserve">¿Son de recibo las </w:t>
      </w:r>
      <w:r w:rsidR="00C40613" w:rsidRPr="00635E21">
        <w:rPr>
          <w:rFonts w:ascii="Arial Narrow" w:hAnsi="Arial Narrow" w:cs="Arial"/>
          <w:i/>
          <w:spacing w:val="-6"/>
          <w:sz w:val="26"/>
          <w:szCs w:val="26"/>
        </w:rPr>
        <w:t>sanciones</w:t>
      </w:r>
      <w:r w:rsidRPr="00635E21">
        <w:rPr>
          <w:rFonts w:ascii="Arial Narrow" w:hAnsi="Arial Narrow" w:cs="Arial"/>
          <w:i/>
          <w:spacing w:val="-6"/>
          <w:sz w:val="26"/>
          <w:szCs w:val="26"/>
        </w:rPr>
        <w:t xml:space="preserve"> moratorias de que tratan los artículos 99 de la Ley 50/90 y 65 del CST</w:t>
      </w:r>
      <w:r w:rsidR="00C40613" w:rsidRPr="00635E21">
        <w:rPr>
          <w:rFonts w:ascii="Arial Narrow" w:hAnsi="Arial Narrow" w:cs="Arial"/>
          <w:i/>
          <w:spacing w:val="-6"/>
          <w:sz w:val="26"/>
          <w:szCs w:val="26"/>
        </w:rPr>
        <w:t xml:space="preserve"> y, la indemnización por despido injusto</w:t>
      </w:r>
      <w:r w:rsidRPr="00635E21">
        <w:rPr>
          <w:rFonts w:ascii="Arial Narrow" w:hAnsi="Arial Narrow" w:cs="Arial"/>
          <w:i/>
          <w:spacing w:val="-6"/>
          <w:sz w:val="26"/>
          <w:szCs w:val="26"/>
        </w:rPr>
        <w:t>?</w:t>
      </w:r>
    </w:p>
    <w:p w:rsidR="00720B04" w:rsidRPr="00635E21" w:rsidRDefault="00720B04" w:rsidP="00635E21">
      <w:pPr>
        <w:pStyle w:val="Sinespaciado"/>
        <w:spacing w:line="288" w:lineRule="auto"/>
        <w:rPr>
          <w:rFonts w:ascii="Arial Narrow" w:hAnsi="Arial Narrow" w:cs="Arial"/>
          <w:color w:val="FF0000"/>
          <w:sz w:val="26"/>
          <w:szCs w:val="26"/>
        </w:rPr>
      </w:pPr>
    </w:p>
    <w:p w:rsidR="00EE768A" w:rsidRPr="00635E21" w:rsidRDefault="00EE768A" w:rsidP="00635E21">
      <w:pPr>
        <w:pStyle w:val="Sinespaciado"/>
        <w:spacing w:line="288" w:lineRule="auto"/>
        <w:ind w:firstLine="708"/>
        <w:jc w:val="both"/>
        <w:rPr>
          <w:rFonts w:ascii="Arial Narrow" w:hAnsi="Arial Narrow" w:cs="Arial"/>
          <w:i/>
          <w:iCs/>
          <w:spacing w:val="-6"/>
          <w:sz w:val="26"/>
          <w:szCs w:val="26"/>
        </w:rPr>
      </w:pPr>
      <w:r w:rsidRPr="00635E21">
        <w:rPr>
          <w:rFonts w:ascii="Arial Narrow" w:hAnsi="Arial Narrow" w:cs="Arial"/>
          <w:i/>
          <w:iCs/>
          <w:spacing w:val="-6"/>
          <w:sz w:val="26"/>
          <w:szCs w:val="26"/>
        </w:rPr>
        <w:t>¿Debe responder solidariamente la sociedad SI 99 S.A. frente a Megabús S.A. como lo concluyó la a-quo?</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Sinespaciado"/>
        <w:spacing w:line="288" w:lineRule="auto"/>
        <w:ind w:firstLine="708"/>
        <w:jc w:val="both"/>
        <w:rPr>
          <w:rFonts w:ascii="Arial Narrow" w:hAnsi="Arial Narrow" w:cs="Arial"/>
          <w:i/>
          <w:color w:val="212121"/>
          <w:spacing w:val="-6"/>
          <w:sz w:val="26"/>
          <w:szCs w:val="26"/>
        </w:rPr>
      </w:pPr>
      <w:r w:rsidRPr="00635E21">
        <w:rPr>
          <w:rFonts w:ascii="Arial Narrow" w:hAnsi="Arial Narrow" w:cs="Arial"/>
          <w:i/>
          <w:color w:val="212121"/>
          <w:spacing w:val="-6"/>
          <w:sz w:val="26"/>
          <w:szCs w:val="26"/>
        </w:rPr>
        <w:t>¿La mala fe patronal afectó o no la Póliza de Seguro, o alguno de los rubros laborales?</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Sinespaciado"/>
        <w:spacing w:line="288" w:lineRule="auto"/>
        <w:ind w:firstLine="708"/>
        <w:jc w:val="both"/>
        <w:rPr>
          <w:rFonts w:ascii="Arial Narrow" w:hAnsi="Arial Narrow" w:cs="Arial"/>
          <w:i/>
          <w:iCs/>
          <w:spacing w:val="-6"/>
          <w:sz w:val="26"/>
          <w:szCs w:val="26"/>
        </w:rPr>
      </w:pPr>
      <w:r w:rsidRPr="00635E21">
        <w:rPr>
          <w:rFonts w:ascii="Arial Narrow" w:hAnsi="Arial Narrow" w:cs="Arial"/>
          <w:i/>
          <w:iCs/>
          <w:spacing w:val="-6"/>
          <w:sz w:val="26"/>
          <w:szCs w:val="26"/>
        </w:rPr>
        <w:t xml:space="preserve">¿Existen acreencias laborales por las que deba responder solidariamente Megabús S.A. y que no se encuentren cubiertas por la mencionada póliza?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spacing w:line="288" w:lineRule="auto"/>
        <w:ind w:firstLine="708"/>
        <w:jc w:val="both"/>
        <w:rPr>
          <w:rFonts w:ascii="Arial Narrow" w:hAnsi="Arial Narrow" w:cs="Arial"/>
          <w:b/>
          <w:sz w:val="26"/>
          <w:szCs w:val="26"/>
        </w:rPr>
      </w:pPr>
      <w:r w:rsidRPr="00635E21">
        <w:rPr>
          <w:rFonts w:ascii="Arial Narrow" w:hAnsi="Arial Narrow" w:cs="Arial"/>
          <w:b/>
          <w:sz w:val="26"/>
          <w:szCs w:val="26"/>
        </w:rPr>
        <w:t xml:space="preserve">Desenvolvimiento de la problemática planteada. </w:t>
      </w:r>
    </w:p>
    <w:p w:rsidR="00EE768A" w:rsidRPr="00635E21" w:rsidRDefault="00EE768A" w:rsidP="00635E21">
      <w:pPr>
        <w:pStyle w:val="Sinespaciado"/>
        <w:spacing w:line="288" w:lineRule="auto"/>
        <w:rPr>
          <w:rFonts w:ascii="Arial Narrow" w:hAnsi="Arial Narrow" w:cs="Arial"/>
          <w:sz w:val="26"/>
          <w:szCs w:val="26"/>
        </w:rPr>
      </w:pPr>
    </w:p>
    <w:p w:rsidR="00720B04" w:rsidRPr="00635E21" w:rsidRDefault="00720B04"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La adecuada solución de los anteriores dilemas jurídicos, por rigor metodológico, impone examinar, en primer lugar, la inconformidad de la sociedad López Bedoya y Asociados &amp; </w:t>
      </w:r>
      <w:proofErr w:type="spellStart"/>
      <w:r w:rsidRPr="00635E21">
        <w:rPr>
          <w:rFonts w:ascii="Arial Narrow" w:hAnsi="Arial Narrow" w:cs="Arial"/>
          <w:color w:val="212121"/>
          <w:spacing w:val="-6"/>
          <w:sz w:val="26"/>
          <w:szCs w:val="26"/>
        </w:rPr>
        <w:t>Cía</w:t>
      </w:r>
      <w:proofErr w:type="spellEnd"/>
      <w:r w:rsidRPr="00635E21">
        <w:rPr>
          <w:rFonts w:ascii="Arial Narrow" w:hAnsi="Arial Narrow" w:cs="Arial"/>
          <w:color w:val="212121"/>
          <w:spacing w:val="-6"/>
          <w:sz w:val="26"/>
          <w:szCs w:val="26"/>
        </w:rPr>
        <w:t xml:space="preserve"> S. en C.</w:t>
      </w:r>
    </w:p>
    <w:p w:rsidR="00720B04" w:rsidRPr="00635E21" w:rsidRDefault="00720B04" w:rsidP="00635E21">
      <w:pPr>
        <w:pStyle w:val="Sinespaciado"/>
        <w:spacing w:line="288" w:lineRule="auto"/>
        <w:rPr>
          <w:rFonts w:ascii="Arial Narrow" w:hAnsi="Arial Narrow" w:cs="Arial"/>
          <w:sz w:val="26"/>
          <w:szCs w:val="26"/>
        </w:rPr>
      </w:pPr>
    </w:p>
    <w:p w:rsidR="00635E21" w:rsidRDefault="00720B04"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Reprocha esta sociedad la imposición de las sanciones moratorias a las que accedió la a-quo, contenidas en el artículo 65 CST y 50 de la Ley 50 de 1990, pues a su juicio, la crisis económica de </w:t>
      </w:r>
      <w:proofErr w:type="spellStart"/>
      <w:r w:rsidRPr="00635E21">
        <w:rPr>
          <w:rFonts w:ascii="Arial Narrow" w:hAnsi="Arial Narrow" w:cs="Arial"/>
          <w:color w:val="212121"/>
          <w:spacing w:val="-6"/>
          <w:sz w:val="26"/>
          <w:szCs w:val="26"/>
        </w:rPr>
        <w:t>Promasivo</w:t>
      </w:r>
      <w:proofErr w:type="spellEnd"/>
      <w:r w:rsidRPr="00635E21">
        <w:rPr>
          <w:rFonts w:ascii="Arial Narrow" w:hAnsi="Arial Narrow" w:cs="Arial"/>
          <w:color w:val="212121"/>
          <w:spacing w:val="-6"/>
          <w:sz w:val="26"/>
          <w:szCs w:val="26"/>
        </w:rPr>
        <w:t xml:space="preserve"> </w:t>
      </w:r>
      <w:proofErr w:type="spellStart"/>
      <w:r w:rsidRPr="00635E21">
        <w:rPr>
          <w:rFonts w:ascii="Arial Narrow" w:hAnsi="Arial Narrow" w:cs="Arial"/>
          <w:color w:val="212121"/>
          <w:spacing w:val="-6"/>
          <w:sz w:val="26"/>
          <w:szCs w:val="26"/>
        </w:rPr>
        <w:t>S.A</w:t>
      </w:r>
      <w:proofErr w:type="spellEnd"/>
      <w:r w:rsidRPr="00635E21">
        <w:rPr>
          <w:rFonts w:ascii="Arial Narrow" w:hAnsi="Arial Narrow" w:cs="Arial"/>
          <w:color w:val="212121"/>
          <w:spacing w:val="-6"/>
          <w:sz w:val="26"/>
          <w:szCs w:val="26"/>
        </w:rPr>
        <w:t xml:space="preserve">, le impidió cumplir las obligaciones laborales, circunstancia que considera es indicativa de buena fe, y por ende, </w:t>
      </w:r>
      <w:proofErr w:type="spellStart"/>
      <w:r w:rsidRPr="00635E21">
        <w:rPr>
          <w:rFonts w:ascii="Arial Narrow" w:hAnsi="Arial Narrow" w:cs="Arial"/>
          <w:color w:val="212121"/>
          <w:spacing w:val="-6"/>
          <w:sz w:val="26"/>
          <w:szCs w:val="26"/>
        </w:rPr>
        <w:t>exonerat</w:t>
      </w:r>
      <w:r w:rsidR="00635E21">
        <w:rPr>
          <w:rFonts w:ascii="Arial Narrow" w:hAnsi="Arial Narrow" w:cs="Arial"/>
          <w:color w:val="212121"/>
          <w:spacing w:val="-6"/>
          <w:sz w:val="26"/>
          <w:szCs w:val="26"/>
        </w:rPr>
        <w:t>iva</w:t>
      </w:r>
      <w:proofErr w:type="spellEnd"/>
      <w:r w:rsidR="00635E21">
        <w:rPr>
          <w:rFonts w:ascii="Arial Narrow" w:hAnsi="Arial Narrow" w:cs="Arial"/>
          <w:color w:val="212121"/>
          <w:spacing w:val="-6"/>
          <w:sz w:val="26"/>
          <w:szCs w:val="26"/>
        </w:rPr>
        <w:t xml:space="preserve"> de las sanciones referidas.</w:t>
      </w:r>
    </w:p>
    <w:p w:rsidR="00635E21" w:rsidRDefault="00635E21" w:rsidP="00635E21">
      <w:pPr>
        <w:shd w:val="clear" w:color="auto" w:fill="FFFFFF"/>
        <w:spacing w:line="288" w:lineRule="auto"/>
        <w:ind w:firstLine="708"/>
        <w:jc w:val="both"/>
        <w:rPr>
          <w:rFonts w:ascii="Arial Narrow" w:hAnsi="Arial Narrow" w:cs="Arial"/>
          <w:color w:val="212121"/>
          <w:spacing w:val="-6"/>
          <w:sz w:val="26"/>
          <w:szCs w:val="26"/>
        </w:rPr>
      </w:pPr>
    </w:p>
    <w:p w:rsidR="00720B04" w:rsidRPr="00635E21" w:rsidRDefault="00720B04"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Al respecto, debe la Sala precisar en primer lugar, que tal como lo tiene decantado la jurisprudencia del órgano de cierre de esta especialidad laboral, las indemnizaciones moratorias no proceden de forma automática ni inexorable, pues no es suficiente que el empleador adeude </w:t>
      </w:r>
      <w:r w:rsidRPr="00635E21">
        <w:rPr>
          <w:rFonts w:ascii="Arial Narrow" w:hAnsi="Arial Narrow" w:cs="Arial"/>
          <w:color w:val="212121"/>
          <w:spacing w:val="-6"/>
          <w:sz w:val="26"/>
          <w:szCs w:val="26"/>
        </w:rPr>
        <w:lastRenderedPageBreak/>
        <w:t>objetivamente salarios y/o prestaciones sociales a la finalización del vínculo laboral, sino que es menester que el juzgador ausculte en el comportamiento subjetivo del obligado, en aras de verificar si existen razones atendibles que lo impulsaron a no cancelar los haberes laborales al momento de la conclusión del nexo contractual, pues en caso de existir razones serias y justificables por estar revestidas de buena fe, se procedería a su exoneración, de lo contrario, se fulminaría condena.</w:t>
      </w:r>
    </w:p>
    <w:p w:rsidR="00720B04" w:rsidRPr="00635E21" w:rsidRDefault="00720B04" w:rsidP="00635E21">
      <w:pPr>
        <w:pStyle w:val="Sinespaciado"/>
        <w:spacing w:line="288" w:lineRule="auto"/>
        <w:rPr>
          <w:rFonts w:ascii="Arial Narrow" w:hAnsi="Arial Narrow" w:cs="Arial"/>
          <w:sz w:val="26"/>
          <w:szCs w:val="26"/>
        </w:rPr>
      </w:pPr>
    </w:p>
    <w:p w:rsidR="00720B04" w:rsidRPr="00635E21" w:rsidRDefault="00720B04"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También, es pacífica la línea jurisprudencial, que por regla general la crisis económica no es un ejemplo de la buena fe patronal, y por ende, </w:t>
      </w:r>
      <w:proofErr w:type="spellStart"/>
      <w:r w:rsidRPr="00635E21">
        <w:rPr>
          <w:rFonts w:ascii="Arial Narrow" w:hAnsi="Arial Narrow" w:cs="Arial"/>
          <w:color w:val="212121"/>
          <w:spacing w:val="-6"/>
          <w:sz w:val="26"/>
          <w:szCs w:val="26"/>
        </w:rPr>
        <w:t>exonerativa</w:t>
      </w:r>
      <w:proofErr w:type="spellEnd"/>
      <w:r w:rsidRPr="00635E21">
        <w:rPr>
          <w:rFonts w:ascii="Arial Narrow" w:hAnsi="Arial Narrow" w:cs="Arial"/>
          <w:color w:val="212121"/>
          <w:spacing w:val="-6"/>
          <w:sz w:val="26"/>
          <w:szCs w:val="26"/>
        </w:rPr>
        <w:t xml:space="preserve"> de esta condena, siempre que no se den circunstancias particulares que afloren tal buena fe, tal cual ocurre con la liquidación obligatoria o forzada por el Estado, de una sociedad comercial, a través de la Superintendencia del ramo, tal cual se ha venido aplicando por esta Sala, en el evento de </w:t>
      </w:r>
      <w:proofErr w:type="spellStart"/>
      <w:r w:rsidRPr="00635E21">
        <w:rPr>
          <w:rFonts w:ascii="Arial Narrow" w:hAnsi="Arial Narrow" w:cs="Arial"/>
          <w:color w:val="212121"/>
          <w:spacing w:val="-6"/>
          <w:sz w:val="26"/>
          <w:szCs w:val="26"/>
        </w:rPr>
        <w:t>Promasivo</w:t>
      </w:r>
      <w:proofErr w:type="spellEnd"/>
      <w:r w:rsidRPr="00635E21">
        <w:rPr>
          <w:rFonts w:ascii="Arial Narrow" w:hAnsi="Arial Narrow" w:cs="Arial"/>
          <w:color w:val="212121"/>
          <w:spacing w:val="-6"/>
          <w:sz w:val="26"/>
          <w:szCs w:val="26"/>
        </w:rPr>
        <w:t xml:space="preserve"> S.A., a partir de 2015, sin embargo, tal circunstancia </w:t>
      </w:r>
      <w:proofErr w:type="spellStart"/>
      <w:r w:rsidRPr="00635E21">
        <w:rPr>
          <w:rFonts w:ascii="Arial Narrow" w:hAnsi="Arial Narrow" w:cs="Arial"/>
          <w:color w:val="212121"/>
          <w:spacing w:val="-6"/>
          <w:sz w:val="26"/>
          <w:szCs w:val="26"/>
        </w:rPr>
        <w:t>exculpativa</w:t>
      </w:r>
      <w:proofErr w:type="spellEnd"/>
      <w:r w:rsidRPr="00635E21">
        <w:rPr>
          <w:rFonts w:ascii="Arial Narrow" w:hAnsi="Arial Narrow" w:cs="Arial"/>
          <w:color w:val="212121"/>
          <w:spacing w:val="-6"/>
          <w:sz w:val="26"/>
          <w:szCs w:val="26"/>
        </w:rPr>
        <w:t xml:space="preserve">, no se le ha atribuido el susodicho alcance, a hechos ocurridos con antelación a esa intervención obligatoria, cuál se presentó a propósito de la intervención de la Superintendencia de Puertos y Transporte, la cual tras imponer multas a aquella sociedad, removió a sus representantes legales para posesionar a otros, quienes al igual que a los liquidadores en el trámite </w:t>
      </w:r>
      <w:proofErr w:type="spellStart"/>
      <w:r w:rsidRPr="00635E21">
        <w:rPr>
          <w:rFonts w:ascii="Arial Narrow" w:hAnsi="Arial Narrow" w:cs="Arial"/>
          <w:color w:val="212121"/>
          <w:spacing w:val="-6"/>
          <w:sz w:val="26"/>
          <w:szCs w:val="26"/>
        </w:rPr>
        <w:t>liquidadorio</w:t>
      </w:r>
      <w:proofErr w:type="spellEnd"/>
      <w:r w:rsidRPr="00635E21">
        <w:rPr>
          <w:rFonts w:ascii="Arial Narrow" w:hAnsi="Arial Narrow" w:cs="Arial"/>
          <w:color w:val="212121"/>
          <w:spacing w:val="-6"/>
          <w:sz w:val="26"/>
          <w:szCs w:val="26"/>
        </w:rPr>
        <w:t xml:space="preserve">, velaron por la administración del patrimonio de la entidad con miras a la protección de la prenda general de acreedores en especial la de los trabajadores, por lo que si no realizaron los pagos oportunos a estos, no fue por la desidia u otra circunstancia que se le pueda reprochar en tal sentido, sino a causa de la situación que recibieron, aspecto que replanteó la Sala de decisión No. 3, en ocasión reciente, al ubicar tal conducta dentro de los parámetros de la Buena Fe, capaz de exonerar a la obligada de las indemnizaciones dichas, a partir del momento en que la Superintendencia de Puertos y Transporte además de supervigilar a </w:t>
      </w:r>
      <w:proofErr w:type="spellStart"/>
      <w:r w:rsidRPr="00635E21">
        <w:rPr>
          <w:rFonts w:ascii="Arial Narrow" w:hAnsi="Arial Narrow" w:cs="Arial"/>
          <w:color w:val="212121"/>
          <w:spacing w:val="-6"/>
          <w:sz w:val="26"/>
          <w:szCs w:val="26"/>
        </w:rPr>
        <w:t>Promasivo</w:t>
      </w:r>
      <w:proofErr w:type="spellEnd"/>
      <w:r w:rsidRPr="00635E21">
        <w:rPr>
          <w:rFonts w:ascii="Arial Narrow" w:hAnsi="Arial Narrow" w:cs="Arial"/>
          <w:color w:val="212121"/>
          <w:spacing w:val="-6"/>
          <w:sz w:val="26"/>
          <w:szCs w:val="26"/>
        </w:rPr>
        <w:t xml:space="preserve"> S.A.,</w:t>
      </w:r>
      <w:r w:rsidR="00B56F83" w:rsidRPr="00635E21">
        <w:rPr>
          <w:rFonts w:ascii="Arial Narrow" w:hAnsi="Arial Narrow" w:cs="Arial"/>
          <w:color w:val="212121"/>
          <w:spacing w:val="-6"/>
          <w:sz w:val="26"/>
          <w:szCs w:val="26"/>
        </w:rPr>
        <w:t xml:space="preserve"> </w:t>
      </w:r>
      <w:r w:rsidRPr="00635E21">
        <w:rPr>
          <w:rFonts w:ascii="Arial Narrow" w:hAnsi="Arial Narrow" w:cs="Arial"/>
          <w:color w:val="212121"/>
          <w:spacing w:val="-6"/>
          <w:sz w:val="26"/>
          <w:szCs w:val="26"/>
        </w:rPr>
        <w:t xml:space="preserve">designó como interventora a la Dra. Adriana Betancourt Ortiz, quien tomó posesión del cargo el 15 de octubre de 2014. </w:t>
      </w:r>
    </w:p>
    <w:p w:rsidR="00C40613" w:rsidRPr="00635E21" w:rsidRDefault="00C40613" w:rsidP="00635E21">
      <w:pPr>
        <w:shd w:val="clear" w:color="auto" w:fill="FFFFFF"/>
        <w:spacing w:line="288" w:lineRule="auto"/>
        <w:ind w:firstLine="708"/>
        <w:jc w:val="both"/>
        <w:rPr>
          <w:rFonts w:ascii="Arial Narrow" w:hAnsi="Arial Narrow" w:cs="Arial"/>
          <w:color w:val="212121"/>
          <w:spacing w:val="-6"/>
          <w:sz w:val="26"/>
          <w:szCs w:val="26"/>
        </w:rPr>
      </w:pPr>
    </w:p>
    <w:p w:rsidR="00B56F83" w:rsidRPr="00635E21" w:rsidRDefault="00B56F83" w:rsidP="00635E21">
      <w:pPr>
        <w:pStyle w:val="Sinespaciado"/>
        <w:spacing w:line="288" w:lineRule="auto"/>
        <w:jc w:val="both"/>
        <w:rPr>
          <w:rFonts w:ascii="Arial Narrow" w:hAnsi="Arial Narrow" w:cs="Arial"/>
          <w:color w:val="212121"/>
          <w:spacing w:val="-6"/>
          <w:sz w:val="26"/>
          <w:szCs w:val="26"/>
        </w:rPr>
      </w:pPr>
      <w:r w:rsidRPr="00635E21">
        <w:rPr>
          <w:rFonts w:ascii="Arial Narrow" w:hAnsi="Arial Narrow" w:cs="Arial"/>
          <w:sz w:val="26"/>
          <w:szCs w:val="26"/>
        </w:rPr>
        <w:t> </w:t>
      </w:r>
      <w:r w:rsidRPr="00635E21">
        <w:rPr>
          <w:rFonts w:ascii="Arial Narrow" w:hAnsi="Arial Narrow" w:cs="Arial"/>
          <w:sz w:val="26"/>
          <w:szCs w:val="26"/>
        </w:rPr>
        <w:tab/>
      </w:r>
      <w:r w:rsidRPr="00635E21">
        <w:rPr>
          <w:rFonts w:ascii="Arial Narrow" w:hAnsi="Arial Narrow" w:cs="Arial"/>
          <w:color w:val="212121"/>
          <w:spacing w:val="-6"/>
          <w:sz w:val="26"/>
          <w:szCs w:val="26"/>
        </w:rPr>
        <w:t xml:space="preserve">De suerte, que esta Sala de Decisión obrando en consonancia con su homóloga Sala de decisión No. 3, recogerá su línea anterior, para en su lugar, disponer que la sanción  moratoria establecida en el artículo 65 del CST, corre del 30 de agosto al 14 de octubre de 2014, a razón de un salario diario de $29.845, para un total de $1`343.025. No se modificará el valor de la sanción por no consignación de cesantías, por cuanto la a-quo acertó </w:t>
      </w:r>
      <w:r w:rsidR="00232B7C" w:rsidRPr="00635E21">
        <w:rPr>
          <w:rFonts w:ascii="Arial Narrow" w:hAnsi="Arial Narrow" w:cs="Arial"/>
          <w:color w:val="212121"/>
          <w:spacing w:val="-6"/>
          <w:sz w:val="26"/>
          <w:szCs w:val="26"/>
        </w:rPr>
        <w:t>al establecerla frente a las cesantías del 2012, desde el 15 de febrero de 2013 al 14 de febrero de 2014 y, frente a las causadas en el año 2013, aplicar la sanción desde el 15 de febrero al 29 de agosto de 2014</w:t>
      </w:r>
      <w:r w:rsidRPr="00635E21">
        <w:rPr>
          <w:rFonts w:ascii="Arial Narrow" w:hAnsi="Arial Narrow" w:cs="Arial"/>
          <w:color w:val="212121"/>
          <w:spacing w:val="-6"/>
          <w:sz w:val="26"/>
          <w:szCs w:val="26"/>
        </w:rPr>
        <w:t xml:space="preserve">. Se modificará por ende, el ordinal </w:t>
      </w:r>
      <w:r w:rsidR="00232B7C" w:rsidRPr="00635E21">
        <w:rPr>
          <w:rFonts w:ascii="Arial Narrow" w:hAnsi="Arial Narrow" w:cs="Arial"/>
          <w:color w:val="212121"/>
          <w:spacing w:val="-6"/>
          <w:sz w:val="26"/>
          <w:szCs w:val="26"/>
        </w:rPr>
        <w:t>3</w:t>
      </w:r>
      <w:r w:rsidRPr="00635E21">
        <w:rPr>
          <w:rFonts w:ascii="Arial Narrow" w:hAnsi="Arial Narrow" w:cs="Arial"/>
          <w:color w:val="212121"/>
          <w:spacing w:val="-6"/>
          <w:sz w:val="26"/>
          <w:szCs w:val="26"/>
        </w:rPr>
        <w:t>º de la sentencia.</w:t>
      </w:r>
    </w:p>
    <w:p w:rsidR="00232B7C" w:rsidRPr="00635E21" w:rsidRDefault="00232B7C" w:rsidP="00635E21">
      <w:pPr>
        <w:pStyle w:val="Sinespaciado"/>
        <w:spacing w:line="288" w:lineRule="auto"/>
        <w:rPr>
          <w:rFonts w:ascii="Arial Narrow" w:hAnsi="Arial Narrow" w:cs="Arial"/>
          <w:sz w:val="26"/>
          <w:szCs w:val="26"/>
        </w:rPr>
      </w:pPr>
    </w:p>
    <w:p w:rsidR="00720B04" w:rsidRPr="00635E21" w:rsidRDefault="00C40613" w:rsidP="00635E21">
      <w:pPr>
        <w:pStyle w:val="Sinespaciado"/>
        <w:spacing w:line="288" w:lineRule="auto"/>
        <w:ind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No procede la exoneración de la indemnización por despido injusto, como quiera que esta se produjo antes de la designación del agente interventor por parte del Estado, quien como se dijo, tomó posesión del cargo el 15 de octubre de 2014, por lo que sólo a partir de esa fecha puede entenderse que el representante legal y los directivos de </w:t>
      </w:r>
      <w:proofErr w:type="spellStart"/>
      <w:r w:rsidRPr="00635E21">
        <w:rPr>
          <w:rFonts w:ascii="Arial Narrow" w:hAnsi="Arial Narrow" w:cs="Arial"/>
          <w:spacing w:val="-6"/>
          <w:sz w:val="26"/>
          <w:szCs w:val="26"/>
        </w:rPr>
        <w:t>Promasivo</w:t>
      </w:r>
      <w:proofErr w:type="spellEnd"/>
      <w:r w:rsidRPr="00635E21">
        <w:rPr>
          <w:rFonts w:ascii="Arial Narrow" w:hAnsi="Arial Narrow" w:cs="Arial"/>
          <w:spacing w:val="-6"/>
          <w:sz w:val="26"/>
          <w:szCs w:val="26"/>
        </w:rPr>
        <w:t xml:space="preserve"> perdieron el control de la compañía. </w:t>
      </w:r>
    </w:p>
    <w:p w:rsidR="00C40613" w:rsidRPr="00635E21" w:rsidRDefault="00C40613"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En lo tocante con la apelación de la sociedad SI 99 S.A., consistente en que se declare que con ocasión a la suscripción de los otros sí, se modificó la esencia del contrato de concesión No. </w:t>
      </w:r>
      <w:r w:rsidRPr="00635E21">
        <w:rPr>
          <w:rFonts w:ascii="Arial Narrow" w:hAnsi="Arial Narrow" w:cs="Arial"/>
          <w:color w:val="212121"/>
          <w:spacing w:val="-6"/>
          <w:sz w:val="26"/>
          <w:szCs w:val="26"/>
        </w:rPr>
        <w:lastRenderedPageBreak/>
        <w:t>01 de 2004 del cual era garante, y en consecuencia se presentó una novación, vale precisar que tal figura se encuentra disciplinada en el artículo 1687 del Código Civil, como un modo de extinguir las obligaciones consistente en cambiar la obligación primitiva por otra nueva, siendo </w:t>
      </w:r>
      <w:r w:rsidRPr="00635E21">
        <w:rPr>
          <w:rFonts w:ascii="Arial Narrow" w:hAnsi="Arial Narrow" w:cs="Arial"/>
          <w:i/>
          <w:iCs/>
          <w:color w:val="212121"/>
          <w:spacing w:val="-6"/>
          <w:sz w:val="26"/>
          <w:szCs w:val="26"/>
        </w:rPr>
        <w:t>“necesario que lo declaren las partes, o que aparezca indubitablemente que su intención ha sido novar...</w:t>
      </w:r>
      <w:r w:rsidRPr="00635E21">
        <w:rPr>
          <w:rFonts w:ascii="Arial Narrow" w:hAnsi="Arial Narrow" w:cs="Arial"/>
          <w:color w:val="212121"/>
          <w:spacing w:val="-6"/>
          <w:sz w:val="26"/>
          <w:szCs w:val="26"/>
        </w:rPr>
        <w:t>” (1693 ibídem).</w:t>
      </w:r>
    </w:p>
    <w:p w:rsidR="00720B04" w:rsidRPr="00635E21" w:rsidRDefault="00720B04"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El tema, ha sido abordado por la Sala de Casación Civil de la Corte Suprema de Justicia </w:t>
      </w:r>
      <w:r w:rsidRPr="00635E21">
        <w:rPr>
          <w:rFonts w:ascii="Arial Narrow" w:hAnsi="Arial Narrow" w:cs="Arial"/>
          <w:iCs/>
          <w:color w:val="212121"/>
          <w:spacing w:val="-6"/>
          <w:sz w:val="26"/>
          <w:szCs w:val="26"/>
        </w:rPr>
        <w:t>Sentencia No. 7304 del 12 de agosto de 2003, y también por su homóloga laboral, </w:t>
      </w:r>
      <w:r w:rsidRPr="00635E21">
        <w:rPr>
          <w:rFonts w:ascii="Arial Narrow" w:hAnsi="Arial Narrow" w:cs="Arial"/>
          <w:color w:val="212121"/>
          <w:spacing w:val="-6"/>
          <w:sz w:val="26"/>
          <w:szCs w:val="26"/>
        </w:rPr>
        <w:t>en sentencia del 16 de febrero de 2001, Radicación 14.586</w:t>
      </w:r>
      <w:r w:rsidRPr="00635E21">
        <w:rPr>
          <w:rFonts w:ascii="Arial Narrow" w:hAnsi="Arial Narrow" w:cs="Arial"/>
          <w:iCs/>
          <w:color w:val="212121"/>
          <w:spacing w:val="-6"/>
          <w:sz w:val="26"/>
          <w:szCs w:val="26"/>
        </w:rPr>
        <w:t>, en las que se hace énfasis acerca de la existencia de un verdadero y auténtico cambio de la obligación por otra, y no en simples modificaciones leves o adjetivas sin repercusiones de significación alguna alrededor del objeto de la obligación pactada primigeniamente</w:t>
      </w:r>
      <w:r w:rsidRPr="00635E21">
        <w:rPr>
          <w:rFonts w:ascii="Arial Narrow" w:hAnsi="Arial Narrow" w:cs="Arial"/>
          <w:color w:val="212121"/>
          <w:spacing w:val="-6"/>
          <w:sz w:val="26"/>
          <w:szCs w:val="26"/>
        </w:rPr>
        <w:t>.</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En ese orden, los cambios introducidos, en el “Otros sí”, al contrato de concesión, del cual la recurrente, fue una de sus adherentes, como solidaria, y que milita en medio magnético CD, a folio 131, versan sobre modificaciones y aspectos netamente operativos del sistema de transporte, sin que revelen cambios sustanciales acerca del objeto a que se comprometió originalmente 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w:t>
      </w:r>
      <w:proofErr w:type="spellStart"/>
      <w:r w:rsidRPr="00635E21">
        <w:rPr>
          <w:rFonts w:ascii="Arial Narrow" w:hAnsi="Arial Narrow" w:cs="Arial"/>
          <w:color w:val="212121"/>
          <w:spacing w:val="-6"/>
          <w:sz w:val="26"/>
          <w:szCs w:val="26"/>
        </w:rPr>
        <w:t>ví</w:t>
      </w:r>
      <w:proofErr w:type="spellEnd"/>
      <w:r w:rsidRPr="00635E21">
        <w:rPr>
          <w:rFonts w:ascii="Arial Narrow" w:hAnsi="Arial Narrow" w:cs="Arial"/>
          <w:color w:val="212121"/>
          <w:spacing w:val="-6"/>
          <w:sz w:val="26"/>
          <w:szCs w:val="26"/>
        </w:rPr>
        <w:t>)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Mientras que el objeto esencial del contrato de concesión 01 de 2004, consistió en: la explotación del Servicio Público de Transporte Masivo en las Rutas troncales del Sistema Megabús, a través de la participación del Concesionario en los recursos económicos generados por la prestación del servicio.</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 xml:space="preserve">Por ende, la esencia de la obligación, se conservó intacta, tal cual se consignara en los otros sí Nos. 1 y 5 y de similar manera en el otro sí No. 2. </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De suerte que, en los términos del artículo 1687 del Código Civil, no hay novación si no hay sustitución de una obligación por otra.</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No prospera, por ende, el recurso de apelación.</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pStyle w:val="Sinespaciado"/>
        <w:spacing w:line="288" w:lineRule="auto"/>
        <w:ind w:firstLine="708"/>
        <w:jc w:val="both"/>
        <w:rPr>
          <w:rFonts w:ascii="Arial Narrow" w:hAnsi="Arial Narrow" w:cs="Arial"/>
          <w:spacing w:val="-6"/>
          <w:sz w:val="26"/>
          <w:szCs w:val="26"/>
          <w:lang w:val="es-CO" w:eastAsia="es-CO"/>
        </w:rPr>
      </w:pPr>
      <w:r w:rsidRPr="00635E21">
        <w:rPr>
          <w:rFonts w:ascii="Arial Narrow" w:hAnsi="Arial Narrow" w:cs="Arial"/>
          <w:spacing w:val="-6"/>
          <w:sz w:val="26"/>
          <w:szCs w:val="26"/>
        </w:rPr>
        <w:t xml:space="preserve">En relación con el cuestionamiento de la compañía aseguradora Liberty Seguros, </w:t>
      </w:r>
      <w:r w:rsidRPr="00635E21">
        <w:rPr>
          <w:rFonts w:ascii="Arial Narrow" w:hAnsi="Arial Narrow" w:cs="Arial"/>
          <w:spacing w:val="-6"/>
          <w:sz w:val="26"/>
          <w:szCs w:val="26"/>
          <w:lang w:val="es-CO" w:eastAsia="es-CO"/>
        </w:rPr>
        <w:t xml:space="preserve">se dirá que no le asiste razón en punto a que la póliza no cubre la culpa grave, el dolo y los actos meramente potestativo, pues tales exclusiones no se advierten en el texto de la póliza, que por el </w:t>
      </w:r>
      <w:r w:rsidRPr="00635E21">
        <w:rPr>
          <w:rFonts w:ascii="Arial Narrow" w:hAnsi="Arial Narrow" w:cs="Arial"/>
          <w:spacing w:val="-6"/>
          <w:sz w:val="26"/>
          <w:szCs w:val="26"/>
          <w:lang w:val="es-CO" w:eastAsia="es-CO"/>
        </w:rPr>
        <w:lastRenderedPageBreak/>
        <w:t>contrario, lisa y llanamente, preceptúa que la misma garantiza el cumplimiento, pago de salarios, prestaciones sociales e indemnizaciones laborales, en desarrollo del contrato de concesión No. 01 de 2004 de Megabus S.A., para el concesionario.</w:t>
      </w:r>
    </w:p>
    <w:p w:rsidR="00B43549" w:rsidRPr="00635E21" w:rsidRDefault="00B43549" w:rsidP="00635E21">
      <w:pPr>
        <w:pStyle w:val="Sinespaciado"/>
        <w:spacing w:line="288" w:lineRule="auto"/>
        <w:rPr>
          <w:rFonts w:ascii="Arial Narrow" w:hAnsi="Arial Narrow" w:cs="Arial"/>
          <w:sz w:val="26"/>
          <w:szCs w:val="26"/>
          <w:lang w:val="es-CO"/>
        </w:rPr>
      </w:pPr>
    </w:p>
    <w:p w:rsidR="00B43549" w:rsidRPr="00635E21" w:rsidRDefault="00B43549" w:rsidP="00635E21">
      <w:pPr>
        <w:shd w:val="clear" w:color="auto" w:fill="FFFFFF"/>
        <w:spacing w:line="288" w:lineRule="auto"/>
        <w:ind w:firstLine="708"/>
        <w:jc w:val="both"/>
        <w:rPr>
          <w:rFonts w:ascii="Arial Narrow" w:hAnsi="Arial Narrow" w:cs="Arial"/>
          <w:spacing w:val="-6"/>
          <w:sz w:val="26"/>
          <w:szCs w:val="26"/>
          <w:lang w:val="es-CO" w:eastAsia="es-CO"/>
        </w:rPr>
      </w:pPr>
      <w:r w:rsidRPr="00635E21">
        <w:rPr>
          <w:rFonts w:ascii="Arial Narrow" w:hAnsi="Arial Narrow" w:cs="Arial"/>
          <w:spacing w:val="-6"/>
          <w:sz w:val="26"/>
          <w:szCs w:val="26"/>
          <w:lang w:val="es-CO" w:eastAsia="es-CO"/>
        </w:rPr>
        <w:t>Y en orden a que no quede asomo de duda en cuanto a la cobertura de la póliza de cumplimiento a favor de entidades estatales, reza el documento visible a folio 236, en el punto 1.5 "</w:t>
      </w:r>
      <w:r w:rsidRPr="00635E21">
        <w:rPr>
          <w:rFonts w:ascii="Arial Narrow" w:hAnsi="Arial Narrow" w:cs="Arial"/>
          <w:i/>
          <w:spacing w:val="-6"/>
          <w:sz w:val="26"/>
          <w:szCs w:val="26"/>
          <w:lang w:val="es-CO" w:eastAsia="es-CO"/>
        </w:rPr>
        <w:t>Amparo de pago de salarios, prestaciones sociales legales e indemnizaciones laborales</w:t>
      </w:r>
      <w:r w:rsidRPr="00635E21">
        <w:rPr>
          <w:rFonts w:ascii="Arial Narrow" w:hAnsi="Arial Narrow" w:cs="Arial"/>
          <w:spacing w:val="-6"/>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bookmarkStart w:id="0" w:name="_GoBack"/>
      <w:bookmarkEnd w:id="0"/>
    </w:p>
    <w:p w:rsidR="00B43549" w:rsidRPr="00635E21" w:rsidRDefault="00B43549" w:rsidP="00635E21">
      <w:pPr>
        <w:pStyle w:val="Sinespaciado"/>
        <w:spacing w:line="288" w:lineRule="auto"/>
        <w:rPr>
          <w:rFonts w:ascii="Arial Narrow" w:hAnsi="Arial Narrow" w:cs="Arial"/>
          <w:sz w:val="26"/>
          <w:szCs w:val="26"/>
          <w:lang w:val="es-CO"/>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lang w:val="es-CO"/>
        </w:rPr>
        <w:t xml:space="preserve">Tampoco le asiste razón al apelante cuando afirma que </w:t>
      </w:r>
      <w:r w:rsidRPr="00635E21">
        <w:rPr>
          <w:rFonts w:ascii="Arial Narrow" w:hAnsi="Arial Narrow" w:cs="Arial"/>
          <w:color w:val="212121"/>
          <w:spacing w:val="-6"/>
          <w:sz w:val="26"/>
          <w:szCs w:val="26"/>
        </w:rPr>
        <w:t>la póliza de seguros no cubre lo concerniente a las vacaciones y aportes a pensión reconocidos en primera instancia, por cuanto si bien el punto 1.5 en comento,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spacing w:val="-6"/>
          <w:sz w:val="26"/>
          <w:szCs w:val="26"/>
          <w:lang w:val="es-CO" w:eastAsia="es-CO"/>
        </w:rPr>
      </w:pPr>
      <w:r w:rsidRPr="00635E21">
        <w:rPr>
          <w:rFonts w:ascii="Arial Narrow" w:hAnsi="Arial Narrow" w:cs="Arial"/>
          <w:spacing w:val="-6"/>
          <w:sz w:val="26"/>
          <w:szCs w:val="26"/>
          <w:lang w:val="es-CO" w:eastAsia="es-CO"/>
        </w:rPr>
        <w:t xml:space="preserve">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w:t>
      </w:r>
      <w:proofErr w:type="spellStart"/>
      <w:r w:rsidRPr="00635E21">
        <w:rPr>
          <w:rFonts w:ascii="Arial Narrow" w:hAnsi="Arial Narrow" w:cs="Arial"/>
          <w:spacing w:val="-6"/>
          <w:sz w:val="26"/>
          <w:szCs w:val="26"/>
          <w:lang w:val="es-CO" w:eastAsia="es-CO"/>
        </w:rPr>
        <w:t>Promasivo</w:t>
      </w:r>
      <w:proofErr w:type="spellEnd"/>
      <w:r w:rsidRPr="00635E21">
        <w:rPr>
          <w:rFonts w:ascii="Arial Narrow" w:hAnsi="Arial Narrow" w:cs="Arial"/>
          <w:spacing w:val="-6"/>
          <w:sz w:val="26"/>
          <w:szCs w:val="26"/>
          <w:lang w:val="es-CO" w:eastAsia="es-CO"/>
        </w:rPr>
        <w:t xml:space="preserve"> S.A. frente a sus trabajadores. </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spacing w:val="-6"/>
          <w:sz w:val="26"/>
          <w:szCs w:val="26"/>
          <w:lang w:val="es-CO" w:eastAsia="es-CO"/>
        </w:rPr>
      </w:pPr>
      <w:r w:rsidRPr="00635E21">
        <w:rPr>
          <w:rFonts w:ascii="Arial Narrow" w:hAnsi="Arial Narrow" w:cs="Arial"/>
          <w:spacing w:val="-6"/>
          <w:sz w:val="26"/>
          <w:szCs w:val="26"/>
          <w:lang w:val="es-CO" w:eastAsia="es-CO"/>
        </w:rPr>
        <w:t>Así se consignó además en el contrato de concesión cuando exigió que la garantía de la póliza de cumplimiento debía cubrir el pago de los salarios, prestaciones sociales, indemnizaciones y demás acreencias de los empleados del Concesionario que intervinieran en el cumplimiento del referido contrato de concesión (ver punto 73.7 Clausula 73).</w:t>
      </w:r>
    </w:p>
    <w:p w:rsidR="00B43549" w:rsidRPr="00635E21" w:rsidRDefault="00B43549" w:rsidP="00635E21">
      <w:pPr>
        <w:pStyle w:val="Sinespaciado"/>
        <w:spacing w:line="288" w:lineRule="auto"/>
        <w:rPr>
          <w:rFonts w:ascii="Arial Narrow" w:hAnsi="Arial Narrow" w:cs="Arial"/>
          <w:sz w:val="26"/>
          <w:szCs w:val="26"/>
        </w:rPr>
      </w:pPr>
    </w:p>
    <w:p w:rsidR="00B43549" w:rsidRPr="00635E21" w:rsidRDefault="00B43549" w:rsidP="00635E21">
      <w:pPr>
        <w:shd w:val="clear" w:color="auto" w:fill="FFFFFF"/>
        <w:spacing w:line="288" w:lineRule="auto"/>
        <w:ind w:firstLine="708"/>
        <w:jc w:val="both"/>
        <w:rPr>
          <w:rFonts w:ascii="Arial Narrow" w:hAnsi="Arial Narrow" w:cs="Arial"/>
          <w:color w:val="212121"/>
          <w:spacing w:val="-6"/>
          <w:sz w:val="26"/>
          <w:szCs w:val="26"/>
        </w:rPr>
      </w:pPr>
      <w:r w:rsidRPr="00635E21">
        <w:rPr>
          <w:rFonts w:ascii="Arial Narrow" w:hAnsi="Arial Narrow" w:cs="Arial"/>
          <w:color w:val="212121"/>
          <w:spacing w:val="-6"/>
          <w:sz w:val="26"/>
          <w:szCs w:val="26"/>
        </w:rPr>
        <w:t>Por ende, acertó la a-quo al declarar que le corresponde a Liberty Seguros S.A. responder por las sumas que por dichos conceptos se haya condenado a Megabús S.A. en su calidad de beneficiaria de los servicios prestados por el accionante, y al advertir que sólo puede ser afectada hasta el monto del límite asegurado, al teno</w:t>
      </w:r>
      <w:r w:rsidR="006207F5" w:rsidRPr="00635E21">
        <w:rPr>
          <w:rFonts w:ascii="Arial Narrow" w:hAnsi="Arial Narrow" w:cs="Arial"/>
          <w:color w:val="212121"/>
          <w:spacing w:val="-6"/>
          <w:sz w:val="26"/>
          <w:szCs w:val="26"/>
        </w:rPr>
        <w:t xml:space="preserve">r de la cláusula 4 de la misma. </w:t>
      </w:r>
      <w:r w:rsidRPr="00635E21">
        <w:rPr>
          <w:rFonts w:ascii="Arial Narrow" w:hAnsi="Arial Narrow" w:cs="Arial"/>
          <w:color w:val="212121"/>
          <w:spacing w:val="-6"/>
          <w:sz w:val="26"/>
          <w:szCs w:val="26"/>
        </w:rPr>
        <w:t xml:space="preserve">Por ende, no prospera el recurso. </w:t>
      </w:r>
    </w:p>
    <w:p w:rsidR="00B43549" w:rsidRPr="00635E21" w:rsidRDefault="00B43549" w:rsidP="00635E21">
      <w:pPr>
        <w:pStyle w:val="Sinespaciado"/>
        <w:spacing w:line="288" w:lineRule="auto"/>
        <w:rPr>
          <w:rFonts w:ascii="Arial Narrow" w:hAnsi="Arial Narrow" w:cs="Arial"/>
          <w:sz w:val="26"/>
          <w:szCs w:val="26"/>
        </w:rPr>
      </w:pPr>
    </w:p>
    <w:p w:rsidR="00EE768A" w:rsidRPr="00635E21" w:rsidRDefault="00EE768A" w:rsidP="00635E21">
      <w:pPr>
        <w:pStyle w:val="Sinespaciado"/>
        <w:tabs>
          <w:tab w:val="right" w:pos="8838"/>
        </w:tabs>
        <w:spacing w:line="288" w:lineRule="auto"/>
        <w:ind w:firstLine="708"/>
        <w:jc w:val="both"/>
        <w:rPr>
          <w:rFonts w:ascii="Arial Narrow" w:hAnsi="Arial Narrow" w:cs="Arial"/>
          <w:bCs/>
          <w:spacing w:val="-6"/>
          <w:sz w:val="26"/>
          <w:szCs w:val="26"/>
        </w:rPr>
      </w:pPr>
      <w:r w:rsidRPr="00635E21">
        <w:rPr>
          <w:rFonts w:ascii="Arial Narrow" w:hAnsi="Arial Narrow" w:cs="Arial"/>
          <w:bCs/>
          <w:spacing w:val="-6"/>
          <w:sz w:val="26"/>
          <w:szCs w:val="26"/>
        </w:rPr>
        <w:t xml:space="preserve">Con lo dicho, quedan resueltos íntegramente las inconformidades propuestas. </w:t>
      </w:r>
    </w:p>
    <w:p w:rsidR="00EE768A" w:rsidRPr="00635E21" w:rsidRDefault="00EE768A" w:rsidP="00635E21">
      <w:pPr>
        <w:pStyle w:val="Sinespaciado"/>
        <w:spacing w:line="288" w:lineRule="auto"/>
        <w:rPr>
          <w:rFonts w:ascii="Arial Narrow" w:hAnsi="Arial Narrow" w:cs="Arial"/>
          <w:sz w:val="26"/>
          <w:szCs w:val="26"/>
        </w:rPr>
      </w:pPr>
    </w:p>
    <w:p w:rsidR="006207F5" w:rsidRPr="00635E21" w:rsidRDefault="006207F5" w:rsidP="00635E21">
      <w:pPr>
        <w:pStyle w:val="Sinespaciado"/>
        <w:tabs>
          <w:tab w:val="right" w:pos="8838"/>
        </w:tabs>
        <w:spacing w:line="288" w:lineRule="auto"/>
        <w:ind w:firstLine="567"/>
        <w:jc w:val="both"/>
        <w:rPr>
          <w:rFonts w:ascii="Arial Narrow" w:hAnsi="Arial Narrow" w:cs="Arial"/>
          <w:bCs/>
          <w:spacing w:val="-6"/>
          <w:sz w:val="26"/>
          <w:szCs w:val="26"/>
        </w:rPr>
      </w:pPr>
      <w:r w:rsidRPr="00635E21">
        <w:rPr>
          <w:rFonts w:ascii="Arial Narrow" w:hAnsi="Arial Narrow" w:cs="Arial"/>
          <w:bCs/>
          <w:spacing w:val="-6"/>
          <w:sz w:val="26"/>
          <w:szCs w:val="26"/>
        </w:rPr>
        <w:lastRenderedPageBreak/>
        <w:t>C</w:t>
      </w:r>
      <w:r w:rsidR="00EE768A" w:rsidRPr="00635E21">
        <w:rPr>
          <w:rFonts w:ascii="Arial Narrow" w:hAnsi="Arial Narrow" w:cs="Arial"/>
          <w:bCs/>
          <w:spacing w:val="-6"/>
          <w:sz w:val="26"/>
          <w:szCs w:val="26"/>
        </w:rPr>
        <w:t xml:space="preserve">ostas de segundo grado a cargo de </w:t>
      </w:r>
      <w:r w:rsidRPr="00635E21">
        <w:rPr>
          <w:rFonts w:ascii="Arial Narrow" w:hAnsi="Arial Narrow" w:cs="Arial"/>
          <w:bCs/>
          <w:spacing w:val="-6"/>
          <w:sz w:val="26"/>
          <w:szCs w:val="26"/>
        </w:rPr>
        <w:t xml:space="preserve">SI 99 y Liberty Seguros S.A., </w:t>
      </w:r>
      <w:r w:rsidR="00EE768A" w:rsidRPr="00635E21">
        <w:rPr>
          <w:rFonts w:ascii="Arial Narrow" w:hAnsi="Arial Narrow" w:cs="Arial"/>
          <w:bCs/>
          <w:spacing w:val="-6"/>
          <w:sz w:val="26"/>
          <w:szCs w:val="26"/>
        </w:rPr>
        <w:t xml:space="preserve">a favor de Megabús S.A. </w:t>
      </w:r>
      <w:r w:rsidRPr="00635E21">
        <w:rPr>
          <w:rFonts w:ascii="Arial Narrow" w:hAnsi="Arial Narrow" w:cs="Arial"/>
          <w:bCs/>
          <w:spacing w:val="-6"/>
          <w:sz w:val="26"/>
          <w:szCs w:val="26"/>
        </w:rPr>
        <w:t>Se absuelve a López</w:t>
      </w:r>
      <w:r w:rsidR="002E6B8E" w:rsidRPr="00635E21">
        <w:rPr>
          <w:rFonts w:ascii="Arial Narrow" w:hAnsi="Arial Narrow" w:cs="Arial"/>
          <w:bCs/>
          <w:spacing w:val="-6"/>
          <w:sz w:val="26"/>
          <w:szCs w:val="26"/>
        </w:rPr>
        <w:t xml:space="preserve"> Bedoya y Asociados, dada la prosperidad parcial del recurso.</w:t>
      </w:r>
    </w:p>
    <w:p w:rsidR="00EE768A" w:rsidRPr="00635E21" w:rsidRDefault="002E6B8E" w:rsidP="00635E21">
      <w:pPr>
        <w:pStyle w:val="Sinespaciado"/>
        <w:spacing w:line="288" w:lineRule="auto"/>
        <w:rPr>
          <w:rFonts w:ascii="Arial Narrow" w:hAnsi="Arial Narrow" w:cs="Arial"/>
          <w:sz w:val="26"/>
          <w:szCs w:val="26"/>
        </w:rPr>
      </w:pPr>
      <w:r w:rsidRPr="00635E21">
        <w:rPr>
          <w:rFonts w:ascii="Arial Narrow" w:hAnsi="Arial Narrow" w:cs="Arial"/>
          <w:sz w:val="26"/>
          <w:szCs w:val="26"/>
        </w:rPr>
        <w:t xml:space="preserve"> </w:t>
      </w:r>
    </w:p>
    <w:p w:rsidR="00EE768A" w:rsidRPr="00635E21" w:rsidRDefault="00EE768A" w:rsidP="00635E21">
      <w:pPr>
        <w:pStyle w:val="Textoindependiente31"/>
        <w:spacing w:line="288" w:lineRule="auto"/>
        <w:ind w:firstLine="708"/>
        <w:rPr>
          <w:rFonts w:ascii="Arial Narrow" w:hAnsi="Arial Narrow" w:cs="Arial"/>
          <w:spacing w:val="-6"/>
          <w:sz w:val="26"/>
          <w:szCs w:val="26"/>
        </w:rPr>
      </w:pPr>
      <w:r w:rsidRPr="00635E21">
        <w:rPr>
          <w:rFonts w:ascii="Arial Narrow" w:hAnsi="Arial Narrow" w:cs="Arial"/>
          <w:spacing w:val="-6"/>
          <w:sz w:val="26"/>
          <w:szCs w:val="26"/>
        </w:rPr>
        <w:t>En mérito de lo expuesto, el H. Tribunal Superior del Distrito Judicial de Pereira - Risaralda, Sala Cuarta de Decisión Laboral, administrando justicia en nombre de la República y por autoridad de la ley,</w:t>
      </w:r>
    </w:p>
    <w:p w:rsidR="00EE768A" w:rsidRPr="00635E21" w:rsidRDefault="00EE768A" w:rsidP="00635E21">
      <w:pPr>
        <w:pStyle w:val="Textoindependiente31"/>
        <w:spacing w:line="288" w:lineRule="auto"/>
        <w:jc w:val="center"/>
        <w:rPr>
          <w:rFonts w:ascii="Arial Narrow" w:hAnsi="Arial Narrow" w:cs="Arial"/>
          <w:b/>
          <w:spacing w:val="-6"/>
          <w:sz w:val="26"/>
          <w:szCs w:val="26"/>
        </w:rPr>
      </w:pPr>
      <w:r w:rsidRPr="00635E21">
        <w:rPr>
          <w:rFonts w:ascii="Arial Narrow" w:hAnsi="Arial Narrow" w:cs="Arial"/>
          <w:b/>
          <w:spacing w:val="-6"/>
          <w:sz w:val="26"/>
          <w:szCs w:val="26"/>
        </w:rPr>
        <w:t>FALLA</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B43549" w:rsidP="00635E21">
      <w:pPr>
        <w:pStyle w:val="Prrafodelista"/>
        <w:widowControl w:val="0"/>
        <w:numPr>
          <w:ilvl w:val="0"/>
          <w:numId w:val="1"/>
        </w:numPr>
        <w:tabs>
          <w:tab w:val="left" w:pos="993"/>
        </w:tabs>
        <w:autoSpaceDE w:val="0"/>
        <w:autoSpaceDN w:val="0"/>
        <w:adjustRightInd w:val="0"/>
        <w:spacing w:line="288" w:lineRule="auto"/>
        <w:ind w:left="0" w:firstLine="708"/>
        <w:jc w:val="both"/>
        <w:rPr>
          <w:rFonts w:ascii="Arial Narrow" w:hAnsi="Arial Narrow" w:cs="Arial"/>
          <w:spacing w:val="-6"/>
          <w:sz w:val="26"/>
          <w:szCs w:val="26"/>
        </w:rPr>
      </w:pPr>
      <w:r w:rsidRPr="00635E21">
        <w:rPr>
          <w:rFonts w:ascii="Arial Narrow" w:hAnsi="Arial Narrow" w:cs="Arial"/>
          <w:b/>
          <w:spacing w:val="-6"/>
          <w:sz w:val="26"/>
          <w:szCs w:val="26"/>
        </w:rPr>
        <w:t xml:space="preserve">Modificar </w:t>
      </w:r>
      <w:r w:rsidRPr="00635E21">
        <w:rPr>
          <w:rFonts w:ascii="Arial Narrow" w:hAnsi="Arial Narrow" w:cs="Arial"/>
          <w:spacing w:val="-6"/>
          <w:sz w:val="26"/>
          <w:szCs w:val="26"/>
        </w:rPr>
        <w:t>parcialmente el ordinal 3º de la sentencia</w:t>
      </w:r>
      <w:r w:rsidRPr="00635E21">
        <w:rPr>
          <w:rFonts w:ascii="Arial Narrow" w:hAnsi="Arial Narrow" w:cs="Arial"/>
          <w:b/>
          <w:spacing w:val="-6"/>
          <w:sz w:val="26"/>
          <w:szCs w:val="26"/>
        </w:rPr>
        <w:t xml:space="preserve"> </w:t>
      </w:r>
      <w:r w:rsidR="00EE768A" w:rsidRPr="00635E21">
        <w:rPr>
          <w:rFonts w:ascii="Arial Narrow" w:hAnsi="Arial Narrow" w:cs="Arial"/>
          <w:spacing w:val="-6"/>
          <w:sz w:val="26"/>
          <w:szCs w:val="26"/>
        </w:rPr>
        <w:t>proferida el 2</w:t>
      </w:r>
      <w:r w:rsidRPr="00635E21">
        <w:rPr>
          <w:rFonts w:ascii="Arial Narrow" w:hAnsi="Arial Narrow" w:cs="Arial"/>
          <w:spacing w:val="-6"/>
          <w:sz w:val="26"/>
          <w:szCs w:val="26"/>
        </w:rPr>
        <w:t>9</w:t>
      </w:r>
      <w:r w:rsidR="00EE768A" w:rsidRPr="00635E21">
        <w:rPr>
          <w:rFonts w:ascii="Arial Narrow" w:hAnsi="Arial Narrow" w:cs="Arial"/>
          <w:spacing w:val="-6"/>
          <w:sz w:val="26"/>
          <w:szCs w:val="26"/>
        </w:rPr>
        <w:t xml:space="preserve"> de agosto de 2018 por el Juzgado </w:t>
      </w:r>
      <w:r w:rsidRPr="00635E21">
        <w:rPr>
          <w:rFonts w:ascii="Arial Narrow" w:hAnsi="Arial Narrow" w:cs="Arial"/>
          <w:spacing w:val="-6"/>
          <w:sz w:val="26"/>
          <w:szCs w:val="26"/>
        </w:rPr>
        <w:t>Quinto</w:t>
      </w:r>
      <w:r w:rsidR="00EE768A" w:rsidRPr="00635E21">
        <w:rPr>
          <w:rFonts w:ascii="Arial Narrow" w:hAnsi="Arial Narrow" w:cs="Arial"/>
          <w:spacing w:val="-6"/>
          <w:sz w:val="26"/>
          <w:szCs w:val="26"/>
        </w:rPr>
        <w:t xml:space="preserve"> Laboral del Circuito de Pereira, dentro del proceso ordinario laboral de primera instancia de la referencia</w:t>
      </w:r>
      <w:r w:rsidRPr="00635E21">
        <w:rPr>
          <w:rFonts w:ascii="Arial Narrow" w:hAnsi="Arial Narrow" w:cs="Arial"/>
          <w:spacing w:val="-6"/>
          <w:sz w:val="26"/>
          <w:szCs w:val="26"/>
        </w:rPr>
        <w:t xml:space="preserve">, en el sentido de </w:t>
      </w:r>
      <w:r w:rsidR="00E5533E" w:rsidRPr="00635E21">
        <w:rPr>
          <w:rFonts w:ascii="Arial Narrow" w:hAnsi="Arial Narrow" w:cs="Arial"/>
          <w:color w:val="212121"/>
          <w:spacing w:val="-6"/>
          <w:sz w:val="26"/>
          <w:szCs w:val="26"/>
        </w:rPr>
        <w:t xml:space="preserve">indicar </w:t>
      </w:r>
      <w:r w:rsidRPr="00635E21">
        <w:rPr>
          <w:rFonts w:ascii="Arial Narrow" w:hAnsi="Arial Narrow" w:cs="Arial"/>
          <w:color w:val="212121"/>
          <w:spacing w:val="-6"/>
          <w:sz w:val="26"/>
          <w:szCs w:val="26"/>
        </w:rPr>
        <w:t>que la sanción  moratoria establecida en el artículo 65 del CST, corre del 30 de agosto al 14 de octubre de 2014, a razón de un salario diario de $29.845, para un total de $1`343.025.</w:t>
      </w:r>
      <w:r w:rsidR="00EE768A" w:rsidRPr="00635E21">
        <w:rPr>
          <w:rFonts w:ascii="Arial Narrow" w:hAnsi="Arial Narrow" w:cs="Arial"/>
          <w:spacing w:val="-6"/>
          <w:sz w:val="26"/>
          <w:szCs w:val="26"/>
        </w:rPr>
        <w:t xml:space="preserve"> </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Prrafodelista"/>
        <w:widowControl w:val="0"/>
        <w:numPr>
          <w:ilvl w:val="0"/>
          <w:numId w:val="1"/>
        </w:numPr>
        <w:tabs>
          <w:tab w:val="left" w:pos="993"/>
        </w:tabs>
        <w:autoSpaceDE w:val="0"/>
        <w:autoSpaceDN w:val="0"/>
        <w:adjustRightInd w:val="0"/>
        <w:spacing w:line="288" w:lineRule="auto"/>
        <w:ind w:left="0" w:firstLine="708"/>
        <w:jc w:val="both"/>
        <w:rPr>
          <w:rFonts w:ascii="Arial Narrow" w:hAnsi="Arial Narrow" w:cs="Arial"/>
          <w:spacing w:val="-6"/>
          <w:sz w:val="26"/>
          <w:szCs w:val="26"/>
        </w:rPr>
      </w:pPr>
      <w:r w:rsidRPr="00635E21">
        <w:rPr>
          <w:rFonts w:ascii="Arial Narrow" w:hAnsi="Arial Narrow" w:cs="Arial"/>
          <w:spacing w:val="-6"/>
          <w:sz w:val="26"/>
          <w:szCs w:val="26"/>
        </w:rPr>
        <w:t xml:space="preserve">Costas en esta instancia a cargo de </w:t>
      </w:r>
      <w:r w:rsidR="00E5533E" w:rsidRPr="00635E21">
        <w:rPr>
          <w:rFonts w:ascii="Arial Narrow" w:hAnsi="Arial Narrow" w:cs="Arial"/>
          <w:spacing w:val="-6"/>
          <w:sz w:val="26"/>
          <w:szCs w:val="26"/>
        </w:rPr>
        <w:t xml:space="preserve">las recurrentes </w:t>
      </w:r>
      <w:r w:rsidRPr="00635E21">
        <w:rPr>
          <w:rFonts w:ascii="Arial Narrow" w:hAnsi="Arial Narrow" w:cs="Arial"/>
          <w:spacing w:val="-6"/>
          <w:sz w:val="26"/>
          <w:szCs w:val="26"/>
        </w:rPr>
        <w:t>SI 99 SS.A. y Liberty Seguros S.A.</w:t>
      </w:r>
      <w:r w:rsidR="00E5533E" w:rsidRPr="00635E21">
        <w:rPr>
          <w:rFonts w:ascii="Arial Narrow" w:hAnsi="Arial Narrow" w:cs="Arial"/>
          <w:spacing w:val="-6"/>
          <w:sz w:val="26"/>
          <w:szCs w:val="26"/>
        </w:rPr>
        <w:t xml:space="preserve">, </w:t>
      </w:r>
      <w:r w:rsidRPr="00635E21">
        <w:rPr>
          <w:rFonts w:ascii="Arial Narrow" w:hAnsi="Arial Narrow" w:cs="Arial"/>
          <w:spacing w:val="-6"/>
          <w:sz w:val="26"/>
          <w:szCs w:val="26"/>
        </w:rPr>
        <w:t xml:space="preserve"> a favor de Megabús S.A.  </w:t>
      </w:r>
    </w:p>
    <w:p w:rsidR="00EE768A" w:rsidRPr="00635E21" w:rsidRDefault="00EE768A" w:rsidP="00635E21">
      <w:pPr>
        <w:pStyle w:val="Sinespaciado"/>
        <w:spacing w:line="288" w:lineRule="auto"/>
        <w:rPr>
          <w:rFonts w:ascii="Arial Narrow" w:hAnsi="Arial Narrow" w:cs="Arial"/>
          <w:spacing w:val="-6"/>
          <w:sz w:val="26"/>
          <w:szCs w:val="26"/>
        </w:rPr>
      </w:pPr>
    </w:p>
    <w:p w:rsidR="00EE768A" w:rsidRPr="00635E21" w:rsidRDefault="00EE768A" w:rsidP="00635E21">
      <w:pPr>
        <w:pStyle w:val="Textoindependiente31"/>
        <w:spacing w:line="288" w:lineRule="auto"/>
        <w:ind w:firstLine="851"/>
        <w:rPr>
          <w:rFonts w:ascii="Arial Narrow" w:hAnsi="Arial Narrow" w:cs="Arial"/>
          <w:spacing w:val="-6"/>
          <w:sz w:val="26"/>
          <w:szCs w:val="26"/>
        </w:rPr>
      </w:pPr>
      <w:r w:rsidRPr="00635E21">
        <w:rPr>
          <w:rFonts w:ascii="Arial Narrow" w:hAnsi="Arial Narrow" w:cs="Arial"/>
          <w:spacing w:val="-6"/>
          <w:sz w:val="26"/>
          <w:szCs w:val="26"/>
        </w:rPr>
        <w:t>NOTIFÍQUESE, CÚMPLASE Y DEVUÉLVASE.</w:t>
      </w:r>
    </w:p>
    <w:p w:rsidR="00EE768A" w:rsidRPr="00635E21" w:rsidRDefault="00EE768A" w:rsidP="00635E21">
      <w:pPr>
        <w:pStyle w:val="Sinespaciado"/>
        <w:spacing w:line="288" w:lineRule="auto"/>
        <w:rPr>
          <w:rFonts w:ascii="Arial Narrow" w:hAnsi="Arial Narrow" w:cs="Arial"/>
          <w:sz w:val="26"/>
          <w:szCs w:val="26"/>
        </w:rPr>
      </w:pPr>
    </w:p>
    <w:p w:rsidR="00EE768A" w:rsidRPr="00635E21" w:rsidRDefault="00EE768A" w:rsidP="00635E21">
      <w:pPr>
        <w:pStyle w:val="Textoindependiente31"/>
        <w:spacing w:line="288" w:lineRule="auto"/>
        <w:ind w:firstLine="851"/>
        <w:rPr>
          <w:rFonts w:ascii="Arial Narrow" w:hAnsi="Arial Narrow" w:cs="Arial"/>
          <w:spacing w:val="-6"/>
          <w:sz w:val="26"/>
          <w:szCs w:val="26"/>
        </w:rPr>
      </w:pPr>
      <w:r w:rsidRPr="00635E21">
        <w:rPr>
          <w:rFonts w:ascii="Arial Narrow" w:hAnsi="Arial Narrow" w:cs="Arial"/>
          <w:spacing w:val="-6"/>
          <w:sz w:val="26"/>
          <w:szCs w:val="26"/>
        </w:rPr>
        <w:t>La anterior decisión queda notificada en estrados.</w:t>
      </w:r>
    </w:p>
    <w:p w:rsidR="00635E21" w:rsidRPr="005A39E1" w:rsidRDefault="00635E21" w:rsidP="00635E21">
      <w:pPr>
        <w:spacing w:line="288" w:lineRule="auto"/>
        <w:jc w:val="both"/>
        <w:rPr>
          <w:rFonts w:ascii="Arial Narrow" w:hAnsi="Arial Narrow" w:cs="Arial"/>
          <w:bCs/>
          <w:iCs/>
          <w:sz w:val="26"/>
          <w:szCs w:val="26"/>
        </w:rPr>
      </w:pPr>
    </w:p>
    <w:p w:rsidR="00635E21" w:rsidRPr="005A39E1" w:rsidRDefault="00635E21" w:rsidP="00635E21">
      <w:pPr>
        <w:spacing w:line="288" w:lineRule="auto"/>
        <w:jc w:val="both"/>
        <w:rPr>
          <w:rFonts w:ascii="Arial Narrow" w:hAnsi="Arial Narrow" w:cs="Arial"/>
          <w:bCs/>
          <w:iCs/>
          <w:sz w:val="26"/>
          <w:szCs w:val="26"/>
        </w:rPr>
      </w:pPr>
    </w:p>
    <w:p w:rsidR="00635E21" w:rsidRPr="005A39E1" w:rsidRDefault="00635E21" w:rsidP="00635E21">
      <w:pPr>
        <w:spacing w:line="288" w:lineRule="auto"/>
        <w:jc w:val="both"/>
        <w:rPr>
          <w:rFonts w:ascii="Arial Narrow" w:hAnsi="Arial Narrow" w:cs="Arial"/>
          <w:bCs/>
          <w:iCs/>
          <w:sz w:val="26"/>
          <w:szCs w:val="26"/>
        </w:rPr>
      </w:pPr>
    </w:p>
    <w:p w:rsidR="00635E21" w:rsidRPr="00BC223B" w:rsidRDefault="00635E21" w:rsidP="00635E21">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FRANCISCO JAVIER TAMAYO TABARES</w:t>
      </w:r>
    </w:p>
    <w:p w:rsidR="00635E21" w:rsidRPr="00BC223B" w:rsidRDefault="00635E21" w:rsidP="00635E21">
      <w:pPr>
        <w:pStyle w:val="Textoindependiente31"/>
        <w:spacing w:line="288" w:lineRule="auto"/>
        <w:jc w:val="center"/>
        <w:rPr>
          <w:rFonts w:ascii="Arial Narrow" w:hAnsi="Arial Narrow" w:cs="Tahoma"/>
          <w:spacing w:val="-6"/>
          <w:sz w:val="26"/>
          <w:szCs w:val="26"/>
        </w:rPr>
      </w:pPr>
      <w:r w:rsidRPr="00BC223B">
        <w:rPr>
          <w:rFonts w:ascii="Arial Narrow" w:hAnsi="Arial Narrow" w:cs="Tahoma"/>
          <w:spacing w:val="-6"/>
          <w:sz w:val="26"/>
          <w:szCs w:val="26"/>
        </w:rPr>
        <w:t>Magistrado Ponente</w:t>
      </w:r>
    </w:p>
    <w:p w:rsidR="00635E21" w:rsidRPr="005A39E1" w:rsidRDefault="00635E21" w:rsidP="00635E21">
      <w:pPr>
        <w:spacing w:line="288" w:lineRule="auto"/>
        <w:jc w:val="both"/>
        <w:rPr>
          <w:rFonts w:ascii="Arial Narrow" w:hAnsi="Arial Narrow" w:cs="Arial"/>
          <w:bCs/>
          <w:iCs/>
          <w:sz w:val="26"/>
          <w:szCs w:val="26"/>
        </w:rPr>
      </w:pPr>
    </w:p>
    <w:p w:rsidR="00635E21" w:rsidRPr="005A39E1" w:rsidRDefault="00635E21" w:rsidP="00635E21">
      <w:pPr>
        <w:spacing w:line="288" w:lineRule="auto"/>
        <w:jc w:val="both"/>
        <w:rPr>
          <w:rFonts w:ascii="Arial Narrow" w:hAnsi="Arial Narrow" w:cs="Arial"/>
          <w:bCs/>
          <w:iCs/>
          <w:sz w:val="26"/>
          <w:szCs w:val="26"/>
        </w:rPr>
      </w:pPr>
    </w:p>
    <w:p w:rsidR="00635E21" w:rsidRPr="005A39E1" w:rsidRDefault="00635E21" w:rsidP="00635E21">
      <w:pPr>
        <w:spacing w:line="288" w:lineRule="auto"/>
        <w:jc w:val="both"/>
        <w:rPr>
          <w:rFonts w:ascii="Arial Narrow" w:hAnsi="Arial Narrow" w:cs="Arial"/>
          <w:bCs/>
          <w:iCs/>
          <w:sz w:val="26"/>
          <w:szCs w:val="26"/>
        </w:rPr>
      </w:pPr>
    </w:p>
    <w:p w:rsidR="00635E21" w:rsidRPr="00BC223B" w:rsidRDefault="00635E21" w:rsidP="00635E21">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 xml:space="preserve">JULIO CESAR SALAZAR MUÑOZ </w:t>
      </w:r>
    </w:p>
    <w:p w:rsidR="00031AD5" w:rsidRPr="00635E21" w:rsidRDefault="00635E21" w:rsidP="00635E21">
      <w:pPr>
        <w:pStyle w:val="Textoindependiente31"/>
        <w:spacing w:line="288" w:lineRule="auto"/>
        <w:jc w:val="center"/>
        <w:rPr>
          <w:rFonts w:ascii="Arial Narrow" w:hAnsi="Arial Narrow" w:cs="Arial"/>
          <w:sz w:val="26"/>
          <w:szCs w:val="26"/>
        </w:rPr>
      </w:pPr>
      <w:r w:rsidRPr="00BC223B">
        <w:rPr>
          <w:rFonts w:ascii="Arial Narrow" w:hAnsi="Arial Narrow" w:cs="Tahoma"/>
          <w:spacing w:val="-6"/>
          <w:sz w:val="26"/>
          <w:szCs w:val="26"/>
        </w:rPr>
        <w:t>Magistrado</w:t>
      </w:r>
    </w:p>
    <w:sectPr w:rsidR="00031AD5" w:rsidRPr="00635E21" w:rsidSect="00051F3B">
      <w:headerReference w:type="default" r:id="rId9"/>
      <w:footerReference w:type="default" r:id="rId10"/>
      <w:pgSz w:w="12240" w:h="18720"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F8" w:rsidRDefault="00EE3FF8" w:rsidP="00EE768A">
      <w:r>
        <w:separator/>
      </w:r>
    </w:p>
  </w:endnote>
  <w:endnote w:type="continuationSeparator" w:id="0">
    <w:p w:rsidR="00EE3FF8" w:rsidRDefault="00EE3FF8" w:rsidP="00EE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635E21" w:rsidRDefault="003E3A8D">
        <w:pPr>
          <w:pStyle w:val="Piedepgina"/>
          <w:jc w:val="center"/>
          <w:rPr>
            <w:rFonts w:ascii="Arial" w:hAnsi="Arial" w:cs="Arial"/>
            <w:sz w:val="18"/>
          </w:rPr>
        </w:pPr>
        <w:r w:rsidRPr="00635E21">
          <w:rPr>
            <w:rFonts w:ascii="Arial" w:hAnsi="Arial" w:cs="Arial"/>
            <w:sz w:val="18"/>
          </w:rPr>
          <w:fldChar w:fldCharType="begin"/>
        </w:r>
        <w:r w:rsidRPr="00635E21">
          <w:rPr>
            <w:rFonts w:ascii="Arial" w:hAnsi="Arial" w:cs="Arial"/>
            <w:sz w:val="18"/>
          </w:rPr>
          <w:instrText>PAGE   \* MERGEFORMAT</w:instrText>
        </w:r>
        <w:r w:rsidRPr="00635E21">
          <w:rPr>
            <w:rFonts w:ascii="Arial" w:hAnsi="Arial" w:cs="Arial"/>
            <w:sz w:val="18"/>
          </w:rPr>
          <w:fldChar w:fldCharType="separate"/>
        </w:r>
        <w:r w:rsidR="00051F3B" w:rsidRPr="00051F3B">
          <w:rPr>
            <w:rFonts w:ascii="Arial" w:hAnsi="Arial" w:cs="Arial"/>
            <w:noProof/>
            <w:sz w:val="18"/>
            <w:lang w:val="es-ES"/>
          </w:rPr>
          <w:t>8</w:t>
        </w:r>
        <w:r w:rsidRPr="00635E21">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F8" w:rsidRDefault="00EE3FF8" w:rsidP="00EE768A">
      <w:r>
        <w:separator/>
      </w:r>
    </w:p>
  </w:footnote>
  <w:footnote w:type="continuationSeparator" w:id="0">
    <w:p w:rsidR="00EE3FF8" w:rsidRDefault="00EE3FF8" w:rsidP="00EE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B2" w:rsidRPr="00635E21" w:rsidRDefault="003E3A8D" w:rsidP="00C321B2">
    <w:pPr>
      <w:jc w:val="both"/>
      <w:rPr>
        <w:rFonts w:ascii="Arial" w:hAnsi="Arial" w:cs="Arial"/>
        <w:bCs/>
        <w:sz w:val="18"/>
        <w:szCs w:val="16"/>
      </w:rPr>
    </w:pPr>
    <w:r w:rsidRPr="00635E21">
      <w:rPr>
        <w:rFonts w:ascii="Arial" w:hAnsi="Arial" w:cs="Arial"/>
        <w:bCs/>
        <w:sz w:val="18"/>
        <w:szCs w:val="16"/>
      </w:rPr>
      <w:t>Radicación No: 66001-31-05-00</w:t>
    </w:r>
    <w:r w:rsidR="00EE768A" w:rsidRPr="00635E21">
      <w:rPr>
        <w:rFonts w:ascii="Arial" w:hAnsi="Arial" w:cs="Arial"/>
        <w:bCs/>
        <w:sz w:val="18"/>
        <w:szCs w:val="16"/>
      </w:rPr>
      <w:t>5-2016-00479-01</w:t>
    </w:r>
  </w:p>
  <w:p w:rsidR="00C321B2" w:rsidRPr="00635E21" w:rsidRDefault="00EE768A" w:rsidP="00635E21">
    <w:pPr>
      <w:jc w:val="both"/>
      <w:rPr>
        <w:rFonts w:ascii="Arial" w:hAnsi="Arial" w:cs="Arial"/>
        <w:bCs/>
        <w:iCs/>
        <w:sz w:val="18"/>
        <w:szCs w:val="16"/>
      </w:rPr>
    </w:pPr>
    <w:r w:rsidRPr="00635E21">
      <w:rPr>
        <w:rFonts w:ascii="Arial" w:hAnsi="Arial" w:cs="Arial"/>
        <w:bCs/>
        <w:sz w:val="18"/>
        <w:szCs w:val="16"/>
      </w:rPr>
      <w:t xml:space="preserve">Diego Fernando Garcés Granada </w:t>
    </w:r>
    <w:r w:rsidR="003E3A8D" w:rsidRPr="00635E21">
      <w:rPr>
        <w:rFonts w:ascii="Arial" w:hAnsi="Arial" w:cs="Arial"/>
        <w:bCs/>
        <w:sz w:val="18"/>
        <w:szCs w:val="16"/>
      </w:rPr>
      <w:t>vs Megabús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1BE3"/>
    <w:multiLevelType w:val="hybridMultilevel"/>
    <w:tmpl w:val="D0AE30BA"/>
    <w:lvl w:ilvl="0" w:tplc="122EEBDA">
      <w:start w:val="1"/>
      <w:numFmt w:val="decimal"/>
      <w:lvlText w:val="%1."/>
      <w:lvlJc w:val="left"/>
      <w:pPr>
        <w:ind w:left="1068" w:hanging="360"/>
      </w:pPr>
      <w:rPr>
        <w:rFonts w:cs="Tahoma"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8A"/>
    <w:rsid w:val="00017019"/>
    <w:rsid w:val="00031AD5"/>
    <w:rsid w:val="00051F3B"/>
    <w:rsid w:val="00070615"/>
    <w:rsid w:val="00136FEC"/>
    <w:rsid w:val="001D17EC"/>
    <w:rsid w:val="00231348"/>
    <w:rsid w:val="00232B7C"/>
    <w:rsid w:val="002E6B8E"/>
    <w:rsid w:val="003E3A8D"/>
    <w:rsid w:val="00426E77"/>
    <w:rsid w:val="006207F5"/>
    <w:rsid w:val="00635E21"/>
    <w:rsid w:val="00651063"/>
    <w:rsid w:val="006658B8"/>
    <w:rsid w:val="006A05FC"/>
    <w:rsid w:val="00720B04"/>
    <w:rsid w:val="008217E0"/>
    <w:rsid w:val="00840288"/>
    <w:rsid w:val="008972C7"/>
    <w:rsid w:val="00922CE5"/>
    <w:rsid w:val="009D498C"/>
    <w:rsid w:val="00A675BB"/>
    <w:rsid w:val="00B43549"/>
    <w:rsid w:val="00B45B2E"/>
    <w:rsid w:val="00B56F83"/>
    <w:rsid w:val="00C04B3E"/>
    <w:rsid w:val="00C40613"/>
    <w:rsid w:val="00E02744"/>
    <w:rsid w:val="00E5533E"/>
    <w:rsid w:val="00E82296"/>
    <w:rsid w:val="00EE3FF8"/>
    <w:rsid w:val="00EE768A"/>
    <w:rsid w:val="00F43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17937-27D2-4954-9F13-85631FA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8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EE768A"/>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768A"/>
    <w:rPr>
      <w:rFonts w:ascii="Arial" w:eastAsia="Times New Roman" w:hAnsi="Arial" w:cs="Times New Roman"/>
      <w:b/>
      <w:sz w:val="28"/>
      <w:szCs w:val="20"/>
      <w:lang w:val="es-CO" w:eastAsia="es-ES"/>
    </w:rPr>
  </w:style>
  <w:style w:type="paragraph" w:styleId="Sinespaciado">
    <w:name w:val="No Spacing"/>
    <w:uiPriority w:val="1"/>
    <w:qFormat/>
    <w:rsid w:val="00EE768A"/>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EE768A"/>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EE768A"/>
    <w:rPr>
      <w:rFonts w:ascii="Arial Narrow" w:eastAsia="Times New Roman" w:hAnsi="Arial Narrow" w:cs="Arial"/>
      <w:b/>
      <w:sz w:val="24"/>
      <w:szCs w:val="24"/>
      <w:lang w:eastAsia="es-ES"/>
    </w:rPr>
  </w:style>
  <w:style w:type="paragraph" w:customStyle="1" w:styleId="Textoindependiente31">
    <w:name w:val="Texto independiente 31"/>
    <w:basedOn w:val="Normal"/>
    <w:rsid w:val="00EE768A"/>
    <w:pPr>
      <w:spacing w:line="360" w:lineRule="auto"/>
      <w:jc w:val="both"/>
    </w:pPr>
    <w:rPr>
      <w:rFonts w:ascii="Arial" w:hAnsi="Arial"/>
      <w:sz w:val="28"/>
    </w:rPr>
  </w:style>
  <w:style w:type="paragraph" w:styleId="Encabezado">
    <w:name w:val="header"/>
    <w:basedOn w:val="Normal"/>
    <w:link w:val="EncabezadoCar"/>
    <w:uiPriority w:val="99"/>
    <w:unhideWhenUsed/>
    <w:rsid w:val="00EE768A"/>
    <w:pPr>
      <w:tabs>
        <w:tab w:val="center" w:pos="4252"/>
        <w:tab w:val="right" w:pos="8504"/>
      </w:tabs>
    </w:pPr>
  </w:style>
  <w:style w:type="character" w:customStyle="1" w:styleId="EncabezadoCar">
    <w:name w:val="Encabezado Car"/>
    <w:basedOn w:val="Fuentedeprrafopredeter"/>
    <w:link w:val="Encabezado"/>
    <w:uiPriority w:val="99"/>
    <w:rsid w:val="00EE768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E768A"/>
    <w:pPr>
      <w:tabs>
        <w:tab w:val="center" w:pos="4252"/>
        <w:tab w:val="right" w:pos="8504"/>
      </w:tabs>
    </w:pPr>
  </w:style>
  <w:style w:type="character" w:customStyle="1" w:styleId="PiedepginaCar">
    <w:name w:val="Pie de página Car"/>
    <w:basedOn w:val="Fuentedeprrafopredeter"/>
    <w:link w:val="Piedepgina"/>
    <w:uiPriority w:val="99"/>
    <w:rsid w:val="00EE768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E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4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3881</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cp:lastPrinted>2019-05-29T16:06:00Z</cp:lastPrinted>
  <dcterms:created xsi:type="dcterms:W3CDTF">2019-05-29T16:06:00Z</dcterms:created>
  <dcterms:modified xsi:type="dcterms:W3CDTF">2019-06-25T17:13:00Z</dcterms:modified>
</cp:coreProperties>
</file>