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30" w:rsidRPr="00876E30" w:rsidRDefault="00876E30" w:rsidP="00876E30">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876E30">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76E30" w:rsidRPr="00876E30" w:rsidRDefault="00876E30" w:rsidP="00876E30">
      <w:pPr>
        <w:jc w:val="both"/>
        <w:rPr>
          <w:color w:val="auto"/>
          <w:sz w:val="20"/>
          <w:szCs w:val="20"/>
          <w:lang w:val="es-419"/>
        </w:rPr>
      </w:pPr>
    </w:p>
    <w:p w:rsidR="00876E30" w:rsidRPr="00876E30" w:rsidRDefault="00876E30" w:rsidP="00876E30">
      <w:pPr>
        <w:jc w:val="both"/>
        <w:rPr>
          <w:color w:val="auto"/>
          <w:sz w:val="20"/>
          <w:szCs w:val="20"/>
          <w:lang w:val="es-419"/>
        </w:rPr>
      </w:pPr>
      <w:r w:rsidRPr="00876E30">
        <w:rPr>
          <w:color w:val="auto"/>
          <w:sz w:val="20"/>
          <w:szCs w:val="20"/>
          <w:lang w:val="es-419"/>
        </w:rPr>
        <w:t>Providencia:</w:t>
      </w:r>
      <w:r w:rsidRPr="00876E30">
        <w:rPr>
          <w:color w:val="auto"/>
          <w:sz w:val="20"/>
          <w:szCs w:val="20"/>
          <w:lang w:val="es-419"/>
        </w:rPr>
        <w:tab/>
      </w:r>
      <w:r>
        <w:rPr>
          <w:color w:val="auto"/>
          <w:sz w:val="20"/>
          <w:szCs w:val="20"/>
          <w:lang w:val="es-419"/>
        </w:rPr>
        <w:tab/>
      </w:r>
      <w:r w:rsidRPr="00876E30">
        <w:rPr>
          <w:color w:val="auto"/>
          <w:sz w:val="20"/>
          <w:szCs w:val="20"/>
          <w:lang w:val="es-419"/>
        </w:rPr>
        <w:t>Auto desatando conflicto de competencia</w:t>
      </w:r>
    </w:p>
    <w:p w:rsidR="00876E30" w:rsidRPr="00876E30" w:rsidRDefault="006E530B" w:rsidP="00876E30">
      <w:pPr>
        <w:jc w:val="both"/>
        <w:rPr>
          <w:color w:val="auto"/>
          <w:sz w:val="20"/>
          <w:szCs w:val="20"/>
          <w:lang w:val="es-419"/>
        </w:rPr>
      </w:pPr>
      <w:r>
        <w:rPr>
          <w:color w:val="auto"/>
          <w:sz w:val="20"/>
          <w:szCs w:val="20"/>
          <w:lang w:val="es-419"/>
        </w:rPr>
        <w:t>Proceso:</w:t>
      </w:r>
      <w:r>
        <w:rPr>
          <w:color w:val="auto"/>
          <w:sz w:val="20"/>
          <w:szCs w:val="20"/>
          <w:lang w:val="es-419"/>
        </w:rPr>
        <w:tab/>
      </w:r>
      <w:r>
        <w:rPr>
          <w:color w:val="auto"/>
          <w:sz w:val="20"/>
          <w:szCs w:val="20"/>
          <w:lang w:val="es-419"/>
        </w:rPr>
        <w:tab/>
        <w:t>Acción de tutela</w:t>
      </w:r>
      <w:bookmarkStart w:id="0" w:name="_GoBack"/>
      <w:bookmarkEnd w:id="0"/>
    </w:p>
    <w:p w:rsidR="00876E30" w:rsidRPr="00876E30" w:rsidRDefault="00876E30" w:rsidP="00876E30">
      <w:pPr>
        <w:jc w:val="both"/>
        <w:rPr>
          <w:color w:val="auto"/>
          <w:sz w:val="20"/>
          <w:szCs w:val="20"/>
          <w:lang w:val="es-419"/>
        </w:rPr>
      </w:pPr>
      <w:r w:rsidRPr="00876E30">
        <w:rPr>
          <w:color w:val="auto"/>
          <w:sz w:val="20"/>
          <w:szCs w:val="20"/>
          <w:lang w:val="es-419"/>
        </w:rPr>
        <w:t>Accionante:</w:t>
      </w:r>
      <w:r w:rsidRPr="00876E30">
        <w:rPr>
          <w:color w:val="auto"/>
          <w:sz w:val="20"/>
          <w:szCs w:val="20"/>
          <w:lang w:val="es-419"/>
        </w:rPr>
        <w:tab/>
      </w:r>
      <w:r w:rsidRPr="00876E30">
        <w:rPr>
          <w:color w:val="auto"/>
          <w:sz w:val="20"/>
          <w:szCs w:val="20"/>
          <w:lang w:val="es-419"/>
        </w:rPr>
        <w:tab/>
        <w:t xml:space="preserve">Gerardo Ospina Sánchez  </w:t>
      </w:r>
    </w:p>
    <w:p w:rsidR="00876E30" w:rsidRPr="00876E30" w:rsidRDefault="00876E30" w:rsidP="00876E30">
      <w:pPr>
        <w:jc w:val="both"/>
        <w:rPr>
          <w:color w:val="auto"/>
          <w:sz w:val="20"/>
          <w:szCs w:val="20"/>
          <w:lang w:val="es-419"/>
        </w:rPr>
      </w:pPr>
      <w:r w:rsidRPr="00876E30">
        <w:rPr>
          <w:color w:val="auto"/>
          <w:sz w:val="20"/>
          <w:szCs w:val="20"/>
          <w:lang w:val="es-419"/>
        </w:rPr>
        <w:t>Accionado:</w:t>
      </w:r>
      <w:r>
        <w:rPr>
          <w:color w:val="auto"/>
          <w:sz w:val="20"/>
          <w:szCs w:val="20"/>
          <w:lang w:val="es-419"/>
        </w:rPr>
        <w:tab/>
      </w:r>
      <w:r>
        <w:rPr>
          <w:color w:val="auto"/>
          <w:sz w:val="20"/>
          <w:szCs w:val="20"/>
          <w:lang w:val="es-419"/>
        </w:rPr>
        <w:tab/>
      </w:r>
      <w:r w:rsidRPr="00876E30">
        <w:rPr>
          <w:color w:val="auto"/>
          <w:sz w:val="20"/>
          <w:szCs w:val="20"/>
          <w:lang w:val="es-419"/>
        </w:rPr>
        <w:t xml:space="preserve">AFP Porvenir S.A. y otra  </w:t>
      </w:r>
    </w:p>
    <w:p w:rsidR="00876E30" w:rsidRPr="00876E30" w:rsidRDefault="00876E30" w:rsidP="00876E30">
      <w:pPr>
        <w:jc w:val="both"/>
        <w:rPr>
          <w:color w:val="auto"/>
          <w:sz w:val="20"/>
          <w:szCs w:val="20"/>
          <w:lang w:val="es-419"/>
        </w:rPr>
      </w:pPr>
      <w:r w:rsidRPr="00876E30">
        <w:rPr>
          <w:color w:val="auto"/>
          <w:sz w:val="20"/>
          <w:szCs w:val="20"/>
          <w:lang w:val="es-419"/>
        </w:rPr>
        <w:t>Magistrado Ponente:</w:t>
      </w:r>
      <w:r>
        <w:rPr>
          <w:color w:val="auto"/>
          <w:sz w:val="20"/>
          <w:szCs w:val="20"/>
          <w:lang w:val="es-419"/>
        </w:rPr>
        <w:tab/>
      </w:r>
      <w:r w:rsidRPr="00876E30">
        <w:rPr>
          <w:color w:val="auto"/>
          <w:sz w:val="20"/>
          <w:szCs w:val="20"/>
          <w:lang w:val="es-419"/>
        </w:rPr>
        <w:t>Francisco Javier Tamayo Tabares</w:t>
      </w:r>
    </w:p>
    <w:p w:rsidR="00876E30" w:rsidRPr="00876E30" w:rsidRDefault="00876E30" w:rsidP="00876E30">
      <w:pPr>
        <w:jc w:val="both"/>
        <w:rPr>
          <w:color w:val="auto"/>
          <w:sz w:val="20"/>
          <w:szCs w:val="20"/>
          <w:lang w:val="es-419"/>
        </w:rPr>
      </w:pPr>
    </w:p>
    <w:p w:rsidR="00876E30" w:rsidRPr="00876E30" w:rsidRDefault="00876E30" w:rsidP="00876E30">
      <w:pPr>
        <w:jc w:val="both"/>
        <w:rPr>
          <w:b/>
          <w:bCs/>
          <w:iCs/>
          <w:color w:val="auto"/>
          <w:sz w:val="20"/>
          <w:szCs w:val="20"/>
          <w:lang w:val="es-419" w:eastAsia="fr-FR"/>
        </w:rPr>
      </w:pPr>
      <w:r w:rsidRPr="00876E30">
        <w:rPr>
          <w:b/>
          <w:bCs/>
          <w:iCs/>
          <w:color w:val="auto"/>
          <w:sz w:val="20"/>
          <w:szCs w:val="20"/>
          <w:lang w:val="es-419" w:eastAsia="fr-FR"/>
        </w:rPr>
        <w:t>TEMAS:</w:t>
      </w:r>
      <w:r w:rsidRPr="00876E30">
        <w:rPr>
          <w:b/>
          <w:bCs/>
          <w:iCs/>
          <w:color w:val="auto"/>
          <w:sz w:val="20"/>
          <w:szCs w:val="20"/>
          <w:lang w:val="es-419" w:eastAsia="fr-FR"/>
        </w:rPr>
        <w:tab/>
      </w:r>
      <w:r w:rsidR="008A4A98">
        <w:rPr>
          <w:b/>
          <w:bCs/>
          <w:iCs/>
          <w:color w:val="auto"/>
          <w:sz w:val="20"/>
          <w:szCs w:val="20"/>
          <w:lang w:val="es-CO" w:eastAsia="fr-FR"/>
        </w:rPr>
        <w:t>CONFLICTO</w:t>
      </w:r>
      <w:r w:rsidR="000928CC">
        <w:rPr>
          <w:b/>
          <w:bCs/>
          <w:iCs/>
          <w:color w:val="auto"/>
          <w:sz w:val="20"/>
          <w:szCs w:val="20"/>
          <w:lang w:val="es-CO" w:eastAsia="fr-FR"/>
        </w:rPr>
        <w:t xml:space="preserve"> NEGATIVO </w:t>
      </w:r>
      <w:r w:rsidR="008A4A98">
        <w:rPr>
          <w:b/>
          <w:bCs/>
          <w:iCs/>
          <w:color w:val="auto"/>
          <w:sz w:val="20"/>
          <w:szCs w:val="20"/>
          <w:lang w:val="es-CO" w:eastAsia="fr-FR"/>
        </w:rPr>
        <w:t xml:space="preserve">DE COMPETENCIA / </w:t>
      </w:r>
      <w:r w:rsidR="000928CC">
        <w:rPr>
          <w:b/>
          <w:bCs/>
          <w:iCs/>
          <w:color w:val="auto"/>
          <w:sz w:val="20"/>
          <w:szCs w:val="20"/>
          <w:lang w:val="es-CO" w:eastAsia="fr-FR"/>
        </w:rPr>
        <w:t>FACULTAD DEL TRIBUNAL PARA DIRIMIRLO / ACCIÓN DE TUTELA Vs INCIDENTE DE DESACATO / CONSIDERAR QUE LA PETICIÓN DEBE TRAMITARSE COMO LO SEGUNDO, NO AUTORIZA DESPRENDERSE DEL CONOCIMIENTO DE LA DEMANDA PRESENTADA PARA PROMOVER LA PRIMERA</w:t>
      </w:r>
      <w:r w:rsidR="00CD3500">
        <w:rPr>
          <w:b/>
          <w:bCs/>
          <w:iCs/>
          <w:color w:val="auto"/>
          <w:sz w:val="20"/>
          <w:szCs w:val="20"/>
          <w:lang w:val="es-CO" w:eastAsia="fr-FR"/>
        </w:rPr>
        <w:t xml:space="preserve"> / ES CUESTIÓN QUE DEBE RESOLVERSE EN LA SENTENCIA.</w:t>
      </w:r>
    </w:p>
    <w:p w:rsidR="00876E30" w:rsidRPr="00876E30" w:rsidRDefault="00876E30" w:rsidP="00876E30">
      <w:pPr>
        <w:jc w:val="both"/>
        <w:rPr>
          <w:color w:val="auto"/>
          <w:sz w:val="20"/>
          <w:szCs w:val="20"/>
          <w:lang w:val="es-419"/>
        </w:rPr>
      </w:pPr>
    </w:p>
    <w:p w:rsidR="008A4A98" w:rsidRPr="008A4A98" w:rsidRDefault="008A4A98" w:rsidP="008A4A98">
      <w:pPr>
        <w:jc w:val="both"/>
        <w:rPr>
          <w:color w:val="auto"/>
          <w:sz w:val="20"/>
          <w:szCs w:val="20"/>
          <w:lang w:val="es-CO"/>
        </w:rPr>
      </w:pPr>
      <w:r>
        <w:rPr>
          <w:color w:val="auto"/>
          <w:sz w:val="20"/>
          <w:szCs w:val="20"/>
          <w:lang w:val="es-CO"/>
        </w:rPr>
        <w:t xml:space="preserve">… </w:t>
      </w:r>
      <w:r w:rsidRPr="008A4A98">
        <w:rPr>
          <w:color w:val="auto"/>
          <w:sz w:val="20"/>
          <w:szCs w:val="20"/>
          <w:lang w:val="es-CO"/>
        </w:rPr>
        <w:t>de conformidad con la competencia asignada a la Salas Mixtas de los Tribunales, por la Ley Estatutaria de la Administración de Justicia, o Ley 270 de 1996, inciso 2º del artículo 18, propende porque no quede el asunto constitucional sin resolver de fondo, en vista de que ni uno ni otro funcionario judicial, comprometido en el conflicto, aduzcan razones para no conocer dicho asunto.</w:t>
      </w:r>
    </w:p>
    <w:p w:rsidR="008A4A98" w:rsidRPr="008A4A98" w:rsidRDefault="008A4A98" w:rsidP="008A4A98">
      <w:pPr>
        <w:jc w:val="both"/>
        <w:rPr>
          <w:color w:val="auto"/>
          <w:sz w:val="20"/>
          <w:szCs w:val="20"/>
          <w:lang w:val="es-CO"/>
        </w:rPr>
      </w:pPr>
    </w:p>
    <w:p w:rsidR="00876E30" w:rsidRDefault="008A4A98" w:rsidP="008A4A98">
      <w:pPr>
        <w:jc w:val="both"/>
        <w:rPr>
          <w:color w:val="auto"/>
          <w:sz w:val="20"/>
          <w:szCs w:val="20"/>
          <w:lang w:val="es-CO"/>
        </w:rPr>
      </w:pPr>
      <w:r w:rsidRPr="008A4A98">
        <w:rPr>
          <w:color w:val="auto"/>
          <w:sz w:val="20"/>
          <w:szCs w:val="20"/>
          <w:lang w:val="es-CO"/>
        </w:rPr>
        <w:t>La finalidad de la disposición es entonces, que ante una colisión negativa de tales dimensiones, sea el Tribunal del Distrito a que pertenecen los jueces involucrados en el conflicto, el que defina la situación en guarda del respeto del ciudadano, al derecho de poseer un juez natural, que pueda tramitar y dirimir la controversia sometida a su composición, como expresión máxima del derecho constitucional al acceso a la administración de justicia, consagrada en nuestra Carta Política, a todo ciudadano.</w:t>
      </w:r>
    </w:p>
    <w:p w:rsidR="008A4A98" w:rsidRDefault="008A4A98" w:rsidP="008A4A98">
      <w:pPr>
        <w:jc w:val="both"/>
        <w:rPr>
          <w:color w:val="auto"/>
          <w:sz w:val="20"/>
          <w:szCs w:val="20"/>
          <w:lang w:val="es-CO"/>
        </w:rPr>
      </w:pPr>
    </w:p>
    <w:p w:rsidR="008A4A98" w:rsidRPr="008A4A98" w:rsidRDefault="008A4A98" w:rsidP="008A4A98">
      <w:pPr>
        <w:jc w:val="both"/>
        <w:rPr>
          <w:color w:val="auto"/>
          <w:sz w:val="20"/>
          <w:szCs w:val="20"/>
          <w:lang w:val="es-CO"/>
        </w:rPr>
      </w:pPr>
      <w:r w:rsidRPr="008A4A98">
        <w:rPr>
          <w:color w:val="auto"/>
          <w:sz w:val="20"/>
          <w:szCs w:val="20"/>
          <w:lang w:val="es-CO"/>
        </w:rPr>
        <w:t>De tal suerte, que si el escrito repartido al Juzgado Segundo Penal Municipal de Adolescentes con funciones de control de garantías de Pereira, lo había instaurado, el ciudadano Gerardo Ospina Sánchez, como acción de tutela y no como promoción de un incidente de desacato, no había lugar, para que el funcionario judicial pretendiera separarse de su conocimiento, so pena de que no se trataba de un escrito de Tutela, pues así lo habida denominado Ospina Sánchez.</w:t>
      </w:r>
    </w:p>
    <w:p w:rsidR="008A4A98" w:rsidRPr="008A4A98" w:rsidRDefault="008A4A98" w:rsidP="008A4A98">
      <w:pPr>
        <w:jc w:val="both"/>
        <w:rPr>
          <w:color w:val="auto"/>
          <w:sz w:val="20"/>
          <w:szCs w:val="20"/>
          <w:lang w:val="es-CO"/>
        </w:rPr>
      </w:pPr>
    </w:p>
    <w:p w:rsidR="008A4A98" w:rsidRPr="008A4A98" w:rsidRDefault="008A4A98" w:rsidP="008A4A98">
      <w:pPr>
        <w:jc w:val="both"/>
        <w:rPr>
          <w:color w:val="auto"/>
          <w:sz w:val="20"/>
          <w:szCs w:val="20"/>
          <w:lang w:val="es-CO"/>
        </w:rPr>
      </w:pPr>
      <w:r w:rsidRPr="008A4A98">
        <w:rPr>
          <w:color w:val="auto"/>
          <w:sz w:val="20"/>
          <w:szCs w:val="20"/>
          <w:lang w:val="es-CO"/>
        </w:rPr>
        <w:t>Adicional a ello, antes de que el funcionario se adelantara en calificar el escrito, como el de la promoción de un incidente de desacato, para despojarse del conocimiento de este asunto constitucional, perdió de vista otras disposiciones contenidas en el Decreto reglamentario de la acción de Tutela, Decreto 2591 de 1991, en sus artículos 25 y 38,  que impiden la temeridad en la interposición de las acciones de Tutela, e incluso la imposibilidad de instaurar una o más acciones derivadas en la misma vulneración, sin que su remedio, necesariamente, sea el de apartarse del juzgamiento de la cuestión sometida a su composición, como se optó en el Sub-lite.</w:t>
      </w:r>
    </w:p>
    <w:p w:rsidR="00876E30" w:rsidRPr="00876E30" w:rsidRDefault="00876E30" w:rsidP="00876E30">
      <w:pPr>
        <w:jc w:val="both"/>
        <w:rPr>
          <w:color w:val="auto"/>
          <w:sz w:val="20"/>
          <w:szCs w:val="20"/>
          <w:lang w:val="es-419"/>
        </w:rPr>
      </w:pPr>
    </w:p>
    <w:p w:rsidR="00876E30" w:rsidRPr="00876E30" w:rsidRDefault="00876E30" w:rsidP="00876E30">
      <w:pPr>
        <w:jc w:val="both"/>
        <w:rPr>
          <w:color w:val="auto"/>
          <w:sz w:val="20"/>
          <w:szCs w:val="20"/>
          <w:lang w:val="es-419"/>
        </w:rPr>
      </w:pPr>
    </w:p>
    <w:p w:rsidR="00876E30" w:rsidRPr="00876E30" w:rsidRDefault="00876E30" w:rsidP="00876E30">
      <w:pPr>
        <w:jc w:val="both"/>
        <w:rPr>
          <w:color w:val="auto"/>
          <w:sz w:val="20"/>
          <w:szCs w:val="20"/>
        </w:rPr>
      </w:pPr>
    </w:p>
    <w:p w:rsidR="00332243" w:rsidRPr="00876E30" w:rsidRDefault="00332243" w:rsidP="00876E30">
      <w:pPr>
        <w:pStyle w:val="Puesto"/>
        <w:spacing w:line="288" w:lineRule="auto"/>
        <w:rPr>
          <w:rFonts w:ascii="Arial Narrow" w:hAnsi="Arial Narrow" w:cs="Arial"/>
          <w:color w:val="auto"/>
          <w:sz w:val="26"/>
          <w:szCs w:val="26"/>
        </w:rPr>
      </w:pPr>
      <w:r w:rsidRPr="00876E30">
        <w:rPr>
          <w:rFonts w:ascii="Arial Narrow" w:hAnsi="Arial Narrow" w:cs="Arial"/>
          <w:color w:val="auto"/>
          <w:sz w:val="26"/>
          <w:szCs w:val="26"/>
        </w:rPr>
        <w:t>REPÚBLICA DE COLOMBIA</w:t>
      </w:r>
    </w:p>
    <w:p w:rsidR="00332243" w:rsidRPr="00876E30" w:rsidRDefault="00332243" w:rsidP="00876E30">
      <w:pPr>
        <w:tabs>
          <w:tab w:val="left" w:pos="3060"/>
        </w:tabs>
        <w:spacing w:line="288" w:lineRule="auto"/>
        <w:jc w:val="center"/>
        <w:rPr>
          <w:rFonts w:ascii="Arial Narrow" w:hAnsi="Arial Narrow"/>
          <w:b/>
          <w:sz w:val="26"/>
          <w:szCs w:val="26"/>
        </w:rPr>
      </w:pPr>
      <w:r w:rsidRPr="00876E30">
        <w:rPr>
          <w:rFonts w:ascii="Arial Narrow" w:hAnsi="Arial Narrow"/>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69.95pt" o:ole="" fillcolor="window">
            <v:imagedata r:id="rId6" o:title=""/>
          </v:shape>
          <o:OLEObject Type="Embed" ProgID="Word.Picture.8" ShapeID="_x0000_i1025" DrawAspect="Content" ObjectID="_1627455737" r:id="rId7"/>
        </w:object>
      </w:r>
      <w:r w:rsidRPr="00876E30">
        <w:rPr>
          <w:rFonts w:ascii="Arial Narrow" w:hAnsi="Arial Narrow"/>
          <w:b/>
          <w:sz w:val="26"/>
          <w:szCs w:val="26"/>
        </w:rPr>
        <w:br w:type="textWrapping" w:clear="all"/>
        <w:t>TRIBUNAL SUPERIOR DE DISTRITO JUDICIAL DE PEREIRA</w:t>
      </w:r>
    </w:p>
    <w:p w:rsidR="00332243" w:rsidRPr="00876E30" w:rsidRDefault="00332243" w:rsidP="00876E30">
      <w:pPr>
        <w:pStyle w:val="Ttulo1"/>
        <w:spacing w:line="288" w:lineRule="auto"/>
        <w:rPr>
          <w:rFonts w:ascii="Arial Narrow" w:hAnsi="Arial Narrow"/>
          <w:sz w:val="26"/>
          <w:szCs w:val="26"/>
        </w:rPr>
      </w:pPr>
      <w:r w:rsidRPr="00876E30">
        <w:rPr>
          <w:rFonts w:ascii="Arial Narrow" w:hAnsi="Arial Narrow"/>
          <w:sz w:val="26"/>
          <w:szCs w:val="26"/>
        </w:rPr>
        <w:t>SALA MIXTA No. 11.</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rPr>
          <w:rFonts w:ascii="Arial Narrow" w:hAnsi="Arial Narrow"/>
          <w:sz w:val="26"/>
          <w:szCs w:val="26"/>
        </w:rPr>
      </w:pPr>
      <w:r w:rsidRPr="00876E30">
        <w:rPr>
          <w:rFonts w:ascii="Arial Narrow" w:hAnsi="Arial Narrow"/>
          <w:sz w:val="26"/>
          <w:szCs w:val="26"/>
        </w:rPr>
        <w:tab/>
      </w:r>
      <w:r w:rsidRPr="00876E30">
        <w:rPr>
          <w:rFonts w:ascii="Arial Narrow" w:hAnsi="Arial Narrow"/>
          <w:sz w:val="26"/>
          <w:szCs w:val="26"/>
        </w:rPr>
        <w:tab/>
        <w:t>Pereira, treinta</w:t>
      </w:r>
      <w:r w:rsidR="00F174A5" w:rsidRPr="00876E30">
        <w:rPr>
          <w:rFonts w:ascii="Arial Narrow" w:hAnsi="Arial Narrow"/>
          <w:sz w:val="26"/>
          <w:szCs w:val="26"/>
        </w:rPr>
        <w:t xml:space="preserve"> y uno</w:t>
      </w:r>
      <w:r w:rsidRPr="00876E30">
        <w:rPr>
          <w:rFonts w:ascii="Arial Narrow" w:hAnsi="Arial Narrow"/>
          <w:sz w:val="26"/>
          <w:szCs w:val="26"/>
        </w:rPr>
        <w:t xml:space="preserve"> (3</w:t>
      </w:r>
      <w:r w:rsidR="00F174A5" w:rsidRPr="00876E30">
        <w:rPr>
          <w:rFonts w:ascii="Arial Narrow" w:hAnsi="Arial Narrow"/>
          <w:sz w:val="26"/>
          <w:szCs w:val="26"/>
        </w:rPr>
        <w:t>1</w:t>
      </w:r>
      <w:r w:rsidRPr="00876E30">
        <w:rPr>
          <w:rFonts w:ascii="Arial Narrow" w:hAnsi="Arial Narrow"/>
          <w:sz w:val="26"/>
          <w:szCs w:val="26"/>
        </w:rPr>
        <w:t xml:space="preserve">) de julio de dos mil diecinueve (2019). </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jc w:val="center"/>
        <w:rPr>
          <w:rFonts w:ascii="Arial Narrow" w:hAnsi="Arial Narrow"/>
          <w:i/>
          <w:iCs/>
          <w:sz w:val="26"/>
          <w:szCs w:val="26"/>
        </w:rPr>
      </w:pPr>
      <w:r w:rsidRPr="00876E30">
        <w:rPr>
          <w:rFonts w:ascii="Arial Narrow" w:hAnsi="Arial Narrow"/>
          <w:sz w:val="26"/>
          <w:szCs w:val="26"/>
        </w:rPr>
        <w:t xml:space="preserve">Acta de discusión No. </w:t>
      </w:r>
      <w:r w:rsidR="00F174A5" w:rsidRPr="00876E30">
        <w:rPr>
          <w:rFonts w:ascii="Arial Narrow" w:hAnsi="Arial Narrow"/>
          <w:sz w:val="26"/>
          <w:szCs w:val="26"/>
        </w:rPr>
        <w:t>344 del 31</w:t>
      </w:r>
      <w:r w:rsidRPr="00876E30">
        <w:rPr>
          <w:rFonts w:ascii="Arial Narrow" w:hAnsi="Arial Narrow"/>
          <w:sz w:val="26"/>
          <w:szCs w:val="26"/>
        </w:rPr>
        <w:t xml:space="preserve"> de julio de 2019.</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b/>
          <w:bCs/>
          <w:i/>
          <w:iCs/>
          <w:spacing w:val="-6"/>
          <w:kern w:val="28"/>
          <w:sz w:val="26"/>
          <w:szCs w:val="26"/>
          <w:lang w:val="es-MX"/>
        </w:rPr>
      </w:pPr>
      <w:r w:rsidRPr="00876E30">
        <w:rPr>
          <w:rFonts w:ascii="Arial Narrow" w:hAnsi="Arial Narrow"/>
          <w:bCs/>
          <w:i/>
          <w:iCs/>
          <w:spacing w:val="-6"/>
          <w:kern w:val="28"/>
          <w:sz w:val="26"/>
          <w:szCs w:val="26"/>
          <w:lang w:val="es-MX"/>
        </w:rPr>
        <w:t>I.</w:t>
      </w:r>
      <w:r w:rsidRPr="00876E30">
        <w:rPr>
          <w:rFonts w:ascii="Arial Narrow" w:hAnsi="Arial Narrow"/>
          <w:b/>
          <w:bCs/>
          <w:i/>
          <w:iCs/>
          <w:spacing w:val="-6"/>
          <w:kern w:val="28"/>
          <w:sz w:val="26"/>
          <w:szCs w:val="26"/>
          <w:lang w:val="es-MX"/>
        </w:rPr>
        <w:t xml:space="preserve"> TEMA A TRATAR.</w:t>
      </w:r>
    </w:p>
    <w:p w:rsidR="00332243" w:rsidRPr="00876E30" w:rsidRDefault="00332243" w:rsidP="00876E30">
      <w:pPr>
        <w:pStyle w:val="Sinespaciado"/>
        <w:spacing w:line="288" w:lineRule="auto"/>
        <w:rPr>
          <w:rFonts w:ascii="Arial Narrow" w:hAnsi="Arial Narrow"/>
          <w:spacing w:val="-6"/>
          <w:sz w:val="26"/>
          <w:szCs w:val="26"/>
        </w:rPr>
      </w:pPr>
    </w:p>
    <w:p w:rsidR="00332243" w:rsidRPr="00876E30" w:rsidRDefault="00332243" w:rsidP="00876E30">
      <w:pPr>
        <w:spacing w:line="288" w:lineRule="auto"/>
        <w:ind w:firstLine="708"/>
        <w:jc w:val="both"/>
        <w:rPr>
          <w:rFonts w:ascii="Arial Narrow" w:hAnsi="Arial Narrow"/>
          <w:b/>
          <w:spacing w:val="-6"/>
          <w:sz w:val="26"/>
          <w:szCs w:val="26"/>
        </w:rPr>
      </w:pPr>
      <w:r w:rsidRPr="00876E30">
        <w:rPr>
          <w:rFonts w:ascii="Arial Narrow" w:hAnsi="Arial Narrow"/>
          <w:spacing w:val="-6"/>
          <w:sz w:val="26"/>
          <w:szCs w:val="26"/>
        </w:rPr>
        <w:t>Procede la Sala Mixta No. 11 del Tribunal Superior del Distrito Judicial de Pereira – Risaralda</w:t>
      </w:r>
      <w:r w:rsidRPr="00876E30">
        <w:rPr>
          <w:rFonts w:ascii="Arial Narrow" w:hAnsi="Arial Narrow"/>
          <w:color w:val="auto"/>
          <w:spacing w:val="-6"/>
          <w:sz w:val="26"/>
          <w:szCs w:val="26"/>
        </w:rPr>
        <w:t xml:space="preserve">, integrada por </w:t>
      </w:r>
      <w:r w:rsidRPr="00876E30">
        <w:rPr>
          <w:rFonts w:ascii="Arial Narrow" w:hAnsi="Arial Narrow"/>
          <w:b/>
          <w:i/>
          <w:color w:val="auto"/>
          <w:spacing w:val="-6"/>
          <w:sz w:val="26"/>
          <w:szCs w:val="26"/>
        </w:rPr>
        <w:t xml:space="preserve">Jaime Alberto Saraza Naranjo, </w:t>
      </w:r>
      <w:r w:rsidRPr="00876E30">
        <w:rPr>
          <w:rFonts w:ascii="Arial Narrow" w:hAnsi="Arial Narrow"/>
          <w:color w:val="auto"/>
          <w:spacing w:val="-6"/>
          <w:sz w:val="26"/>
          <w:szCs w:val="26"/>
        </w:rPr>
        <w:t xml:space="preserve">Magistrado de la Sala Civil – Familia, </w:t>
      </w:r>
      <w:r w:rsidRPr="00876E30">
        <w:rPr>
          <w:rFonts w:ascii="Arial Narrow" w:hAnsi="Arial Narrow"/>
          <w:b/>
          <w:i/>
          <w:color w:val="auto"/>
          <w:spacing w:val="-6"/>
          <w:sz w:val="26"/>
          <w:szCs w:val="26"/>
        </w:rPr>
        <w:t xml:space="preserve">Jorge Arturo Castaño Duque </w:t>
      </w:r>
      <w:r w:rsidRPr="00876E30">
        <w:rPr>
          <w:rFonts w:ascii="Arial Narrow" w:hAnsi="Arial Narrow"/>
          <w:color w:val="auto"/>
          <w:spacing w:val="-6"/>
          <w:sz w:val="26"/>
          <w:szCs w:val="26"/>
        </w:rPr>
        <w:t xml:space="preserve">Magistrado de la Sala Penal y, </w:t>
      </w:r>
      <w:r w:rsidRPr="00876E30">
        <w:rPr>
          <w:rFonts w:ascii="Arial Narrow" w:hAnsi="Arial Narrow"/>
          <w:b/>
          <w:i/>
          <w:color w:val="auto"/>
          <w:spacing w:val="-6"/>
          <w:sz w:val="26"/>
          <w:szCs w:val="26"/>
        </w:rPr>
        <w:t xml:space="preserve">Francisco Javier Tamayo Tabares, </w:t>
      </w:r>
      <w:r w:rsidRPr="00876E30">
        <w:rPr>
          <w:rFonts w:ascii="Arial Narrow" w:hAnsi="Arial Narrow"/>
          <w:color w:val="auto"/>
          <w:spacing w:val="-6"/>
          <w:sz w:val="26"/>
          <w:szCs w:val="26"/>
        </w:rPr>
        <w:t>Magistrado de la Sala Laboral, quien funge como ponente, a dirimir el</w:t>
      </w:r>
      <w:r w:rsidRPr="00876E30">
        <w:rPr>
          <w:rFonts w:ascii="Arial Narrow" w:hAnsi="Arial Narrow"/>
          <w:i/>
          <w:iCs/>
          <w:color w:val="auto"/>
          <w:spacing w:val="-6"/>
          <w:sz w:val="26"/>
          <w:szCs w:val="26"/>
        </w:rPr>
        <w:t xml:space="preserve"> “conflicto negativo de competencia”</w:t>
      </w:r>
      <w:r w:rsidRPr="00876E30">
        <w:rPr>
          <w:rFonts w:ascii="Arial Narrow" w:hAnsi="Arial Narrow"/>
          <w:color w:val="auto"/>
          <w:spacing w:val="-6"/>
          <w:sz w:val="26"/>
          <w:szCs w:val="26"/>
        </w:rPr>
        <w:t xml:space="preserve"> suscitado entre </w:t>
      </w:r>
      <w:r w:rsidRPr="00876E30">
        <w:rPr>
          <w:rFonts w:ascii="Arial Narrow" w:hAnsi="Arial Narrow"/>
          <w:color w:val="auto"/>
          <w:spacing w:val="-6"/>
          <w:sz w:val="26"/>
          <w:szCs w:val="26"/>
        </w:rPr>
        <w:lastRenderedPageBreak/>
        <w:t xml:space="preserve">el Juzgado Segundo Penal Municipal para Adolescentes con funciones de Control de Garantías de Pereira y el Juzgado Sexto Penal del Circuito con funciones de conocimiento de Pereira, dentro de la acción de tutela promovida por el señor </w:t>
      </w:r>
      <w:r w:rsidRPr="00876E30">
        <w:rPr>
          <w:rFonts w:ascii="Arial Narrow" w:hAnsi="Arial Narrow"/>
          <w:b/>
          <w:color w:val="auto"/>
          <w:spacing w:val="-6"/>
          <w:sz w:val="26"/>
          <w:szCs w:val="26"/>
        </w:rPr>
        <w:t>Gerardo Ospina Sánchez</w:t>
      </w:r>
      <w:r w:rsidRPr="00876E30">
        <w:rPr>
          <w:rFonts w:ascii="Arial Narrow" w:hAnsi="Arial Narrow"/>
          <w:color w:val="auto"/>
          <w:spacing w:val="-6"/>
          <w:sz w:val="26"/>
          <w:szCs w:val="26"/>
        </w:rPr>
        <w:t xml:space="preserve"> </w:t>
      </w:r>
      <w:r w:rsidRPr="00876E30">
        <w:rPr>
          <w:rFonts w:ascii="Arial Narrow" w:hAnsi="Arial Narrow"/>
          <w:spacing w:val="-6"/>
          <w:sz w:val="26"/>
          <w:szCs w:val="26"/>
        </w:rPr>
        <w:t xml:space="preserve">contra la </w:t>
      </w:r>
      <w:r w:rsidRPr="00876E30">
        <w:rPr>
          <w:rFonts w:ascii="Arial Narrow" w:hAnsi="Arial Narrow"/>
          <w:b/>
          <w:spacing w:val="-6"/>
          <w:sz w:val="26"/>
          <w:szCs w:val="26"/>
        </w:rPr>
        <w:t xml:space="preserve">AFP Porvenir S.A. </w:t>
      </w:r>
    </w:p>
    <w:p w:rsidR="00332243" w:rsidRPr="00876E30" w:rsidRDefault="00332243" w:rsidP="00876E30">
      <w:pPr>
        <w:spacing w:line="288" w:lineRule="auto"/>
        <w:ind w:firstLine="1440"/>
        <w:jc w:val="both"/>
        <w:rPr>
          <w:rFonts w:ascii="Arial Narrow" w:hAnsi="Arial Narrow"/>
          <w:b/>
          <w:bCs/>
          <w:i/>
          <w:iCs/>
          <w:spacing w:val="-6"/>
          <w:sz w:val="26"/>
          <w:szCs w:val="26"/>
        </w:rPr>
      </w:pPr>
    </w:p>
    <w:p w:rsidR="00332243" w:rsidRPr="00876E30" w:rsidRDefault="00332243" w:rsidP="00876E30">
      <w:pPr>
        <w:spacing w:line="288" w:lineRule="auto"/>
        <w:ind w:firstLine="1440"/>
        <w:jc w:val="both"/>
        <w:rPr>
          <w:rFonts w:ascii="Arial Narrow" w:hAnsi="Arial Narrow"/>
          <w:b/>
          <w:bCs/>
          <w:i/>
          <w:iCs/>
          <w:spacing w:val="-6"/>
          <w:sz w:val="26"/>
          <w:szCs w:val="26"/>
        </w:rPr>
      </w:pPr>
    </w:p>
    <w:p w:rsidR="00332243" w:rsidRPr="00876E30" w:rsidRDefault="00332243" w:rsidP="00876E30">
      <w:pPr>
        <w:spacing w:line="288" w:lineRule="auto"/>
        <w:ind w:firstLine="708"/>
        <w:jc w:val="both"/>
        <w:rPr>
          <w:rFonts w:ascii="Arial Narrow" w:hAnsi="Arial Narrow"/>
          <w:b/>
          <w:bCs/>
          <w:i/>
          <w:iCs/>
          <w:spacing w:val="-6"/>
          <w:sz w:val="26"/>
          <w:szCs w:val="26"/>
        </w:rPr>
      </w:pPr>
      <w:r w:rsidRPr="00876E30">
        <w:rPr>
          <w:rFonts w:ascii="Arial Narrow" w:hAnsi="Arial Narrow"/>
          <w:bCs/>
          <w:i/>
          <w:iCs/>
          <w:spacing w:val="-6"/>
          <w:sz w:val="26"/>
          <w:szCs w:val="26"/>
        </w:rPr>
        <w:t xml:space="preserve">II. </w:t>
      </w:r>
      <w:r w:rsidRPr="00876E30">
        <w:rPr>
          <w:rFonts w:ascii="Arial Narrow" w:hAnsi="Arial Narrow"/>
          <w:b/>
          <w:bCs/>
          <w:i/>
          <w:iCs/>
          <w:spacing w:val="-6"/>
          <w:sz w:val="26"/>
          <w:szCs w:val="26"/>
        </w:rPr>
        <w:t>ANTECEDENTES.</w:t>
      </w:r>
    </w:p>
    <w:p w:rsidR="00332243" w:rsidRPr="00876E30" w:rsidRDefault="00332243" w:rsidP="00876E30">
      <w:pPr>
        <w:pStyle w:val="Sinespaciado"/>
        <w:spacing w:line="288" w:lineRule="auto"/>
        <w:rPr>
          <w:rFonts w:ascii="Arial Narrow" w:hAnsi="Arial Narrow"/>
          <w:spacing w:val="-6"/>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El conflicto a desatar entre ambas células judiciales, surge a propósito de habérsele practicado al ciudadano Gerardo Ospina Sánchez, una calificación de pérdida de capacidad laboral, por parte de la AFP Porvenir S.A., en cumplimiento de la sentencia de tutela emitida por el Juzgado Sexto Penal del Circuito con funciones de conocimiento de Pereira, a instancias de aquel.</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No satisfecho, el accionante, con tal experticia médica, en la medida en que, según él, se adelantó sin el resultado de exámenes, diagnósticos e historias clínicas, determinándose, apenas una pérdida de la capacidad laboral del 37.01%, sin fundamento científico, es la razón por la cual, Ospina Sánchez, instauró una segunda acción de tutela, repartida al Juzgado Segundo Penal Municipal para Adolescentes con funciones de garantía, en orden a que se dejara sin efecto dicha calificación de la pérdida de la capacidad laboral.</w:t>
      </w:r>
    </w:p>
    <w:p w:rsidR="00332243" w:rsidRPr="00876E30" w:rsidRDefault="00332243" w:rsidP="00876E30">
      <w:pPr>
        <w:pStyle w:val="Sinespaciado"/>
        <w:spacing w:line="288" w:lineRule="auto"/>
        <w:rPr>
          <w:rFonts w:ascii="Arial Narrow" w:hAnsi="Arial Narrow"/>
          <w:snapToGrid w:val="0"/>
          <w:sz w:val="26"/>
          <w:szCs w:val="26"/>
        </w:rPr>
      </w:pPr>
    </w:p>
    <w:p w:rsidR="00332243" w:rsidRPr="00876E30" w:rsidRDefault="00332243" w:rsidP="00876E30">
      <w:pPr>
        <w:spacing w:line="288" w:lineRule="auto"/>
        <w:ind w:left="96" w:firstLine="612"/>
        <w:jc w:val="both"/>
        <w:rPr>
          <w:rFonts w:ascii="Arial Narrow" w:hAnsi="Arial Narrow"/>
          <w:b/>
          <w:bCs/>
          <w:i/>
          <w:iCs/>
          <w:spacing w:val="-6"/>
          <w:sz w:val="26"/>
          <w:szCs w:val="26"/>
        </w:rPr>
      </w:pPr>
      <w:r w:rsidRPr="00876E30">
        <w:rPr>
          <w:rFonts w:ascii="Arial Narrow" w:hAnsi="Arial Narrow"/>
          <w:bCs/>
          <w:i/>
          <w:iCs/>
          <w:spacing w:val="-6"/>
          <w:sz w:val="26"/>
          <w:szCs w:val="26"/>
        </w:rPr>
        <w:t>III.</w:t>
      </w:r>
      <w:r w:rsidRPr="00876E30">
        <w:rPr>
          <w:rFonts w:ascii="Arial Narrow" w:hAnsi="Arial Narrow"/>
          <w:b/>
          <w:bCs/>
          <w:i/>
          <w:iCs/>
          <w:spacing w:val="-6"/>
          <w:sz w:val="26"/>
          <w:szCs w:val="26"/>
        </w:rPr>
        <w:t xml:space="preserve"> TRAMITE PROCESAL.</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Con base en el relato anterior y previamente a haber escuchado en declaración al ciudadano Gerardo Ospina Sánchez, el juzgado receptor de la nueva acción de tutela, remitió esta a la primigenia autoridad judicial, esto es, Juzgado Sexto Penal del Circuito con funciones de conocimiento, en orden a que esta célula judicial le imprimiera el trámite del incidente de desacato.</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Arribada la actuación constitucional al comentado Juzgado Sexto Penal del Circuito con funciones de conocimiento de Pereira, provocó el conflicto negativo, para que lo desatara una de las Salas Mixtas del Tribunal, al estimar que la competencia radicaba en el funcionario al que se le había repartido, inicialmente, esta nueva acción constitucional, puesto que con esa denominación se había rotulado el escrito y, no como incidente de desacato, destacando que la nueva acción de tutela era independiente y distinta a la primigenia que había fallado el funcionario convocante de esta colisión, aunado a que en la actualidad, adelanta el trámite incidental por desacato, por el incumplimiento del pago de las incapacidades médicas.</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napToGrid w:val="0"/>
          <w:spacing w:val="-6"/>
          <w:sz w:val="26"/>
          <w:szCs w:val="26"/>
        </w:rPr>
      </w:pPr>
      <w:r w:rsidRPr="00876E30">
        <w:rPr>
          <w:rFonts w:ascii="Arial Narrow" w:hAnsi="Arial Narrow"/>
          <w:snapToGrid w:val="0"/>
          <w:spacing w:val="-6"/>
          <w:sz w:val="26"/>
          <w:szCs w:val="26"/>
        </w:rPr>
        <w:t>El reparto de las diligencias en esta Corporación, correspondió a la Sala Mixta No. 11, la cual procede a desatar el conflicto en cuestión, previas las siguientes</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bCs/>
          <w:i/>
          <w:iCs/>
          <w:spacing w:val="-6"/>
          <w:sz w:val="26"/>
          <w:szCs w:val="26"/>
        </w:rPr>
        <w:t>IV.</w:t>
      </w:r>
      <w:r w:rsidRPr="00876E30">
        <w:rPr>
          <w:rFonts w:ascii="Arial Narrow" w:hAnsi="Arial Narrow"/>
          <w:b/>
          <w:bCs/>
          <w:i/>
          <w:iCs/>
          <w:spacing w:val="-6"/>
          <w:sz w:val="26"/>
          <w:szCs w:val="26"/>
        </w:rPr>
        <w:t xml:space="preserve"> CONSIDERACIONES</w:t>
      </w:r>
      <w:r w:rsidRPr="00876E30">
        <w:rPr>
          <w:rFonts w:ascii="Arial Narrow" w:hAnsi="Arial Narrow"/>
          <w:b/>
          <w:bCs/>
          <w:spacing w:val="-6"/>
          <w:sz w:val="26"/>
          <w:szCs w:val="26"/>
        </w:rPr>
        <w:t>:</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b/>
          <w:bCs/>
          <w:i/>
          <w:iCs/>
          <w:spacing w:val="-6"/>
          <w:sz w:val="26"/>
          <w:szCs w:val="26"/>
          <w:lang w:val="es-ES_tradnl" w:eastAsia="en-US"/>
        </w:rPr>
      </w:pPr>
      <w:r w:rsidRPr="00876E30">
        <w:rPr>
          <w:rFonts w:ascii="Arial Narrow" w:hAnsi="Arial Narrow"/>
          <w:b/>
          <w:bCs/>
          <w:i/>
          <w:iCs/>
          <w:spacing w:val="-6"/>
          <w:sz w:val="26"/>
          <w:szCs w:val="26"/>
        </w:rPr>
        <w:t xml:space="preserve">1. </w:t>
      </w:r>
      <w:r w:rsidRPr="00876E30">
        <w:rPr>
          <w:rFonts w:ascii="Arial Narrow" w:hAnsi="Arial Narrow"/>
          <w:b/>
          <w:bCs/>
          <w:i/>
          <w:iCs/>
          <w:spacing w:val="-6"/>
          <w:sz w:val="26"/>
          <w:szCs w:val="26"/>
          <w:lang w:val="es-ES_tradnl" w:eastAsia="en-US"/>
        </w:rPr>
        <w:t xml:space="preserve">Del problema jurídico: </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i/>
          <w:spacing w:val="-6"/>
          <w:sz w:val="26"/>
          <w:szCs w:val="26"/>
        </w:rPr>
      </w:pPr>
      <w:r w:rsidRPr="00876E30">
        <w:rPr>
          <w:rFonts w:ascii="Arial Narrow" w:hAnsi="Arial Narrow"/>
          <w:i/>
          <w:spacing w:val="-6"/>
          <w:sz w:val="26"/>
          <w:szCs w:val="26"/>
        </w:rPr>
        <w:t>¿Es función de la Sala Mixta del Tribunal, definir cuando un escrito es de acción de tutela, o cuando está dirigido a la apertura de un incidente de desacato</w:t>
      </w:r>
      <w:proofErr w:type="gramStart"/>
      <w:r w:rsidRPr="00876E30">
        <w:rPr>
          <w:rFonts w:ascii="Arial Narrow" w:hAnsi="Arial Narrow"/>
          <w:i/>
          <w:spacing w:val="-6"/>
          <w:sz w:val="26"/>
          <w:szCs w:val="26"/>
        </w:rPr>
        <w:t>?.</w:t>
      </w:r>
      <w:proofErr w:type="gramEnd"/>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i/>
          <w:spacing w:val="-6"/>
          <w:sz w:val="26"/>
          <w:szCs w:val="26"/>
        </w:rPr>
      </w:pPr>
      <w:r w:rsidRPr="00876E30">
        <w:rPr>
          <w:rFonts w:ascii="Arial Narrow" w:hAnsi="Arial Narrow"/>
          <w:i/>
          <w:spacing w:val="-6"/>
          <w:sz w:val="26"/>
          <w:szCs w:val="26"/>
        </w:rPr>
        <w:lastRenderedPageBreak/>
        <w:t>¿Si el ciudadano ha rotulado el escrito, como acción de tutela, será válido que el juez a quien se dirigió, lo redireccione como de apertura de un incidente de desacato, y con base en ello lo remita a otro Juez Constitucional</w:t>
      </w:r>
      <w:proofErr w:type="gramStart"/>
      <w:r w:rsidRPr="00876E30">
        <w:rPr>
          <w:rFonts w:ascii="Arial Narrow" w:hAnsi="Arial Narrow"/>
          <w:i/>
          <w:spacing w:val="-6"/>
          <w:sz w:val="26"/>
          <w:szCs w:val="26"/>
        </w:rPr>
        <w:t>?.</w:t>
      </w:r>
      <w:proofErr w:type="gramEnd"/>
      <w:r w:rsidRPr="00876E30">
        <w:rPr>
          <w:rFonts w:ascii="Arial Narrow" w:hAnsi="Arial Narrow"/>
          <w:i/>
          <w:spacing w:val="-6"/>
          <w:sz w:val="26"/>
          <w:szCs w:val="26"/>
        </w:rPr>
        <w:tab/>
      </w:r>
    </w:p>
    <w:p w:rsidR="00332243" w:rsidRPr="00876E30" w:rsidRDefault="00332243" w:rsidP="00876E30">
      <w:pPr>
        <w:spacing w:line="288" w:lineRule="auto"/>
        <w:ind w:firstLine="708"/>
        <w:jc w:val="both"/>
        <w:rPr>
          <w:rFonts w:ascii="Arial Narrow" w:hAnsi="Arial Narrow"/>
          <w:spacing w:val="-6"/>
          <w:sz w:val="26"/>
          <w:szCs w:val="26"/>
        </w:rPr>
      </w:pPr>
    </w:p>
    <w:p w:rsidR="00332243" w:rsidRPr="00876E30" w:rsidRDefault="00332243" w:rsidP="00876E30">
      <w:pPr>
        <w:spacing w:line="288" w:lineRule="auto"/>
        <w:ind w:firstLine="708"/>
        <w:jc w:val="both"/>
        <w:rPr>
          <w:rFonts w:ascii="Arial Narrow" w:hAnsi="Arial Narrow"/>
          <w:b/>
          <w:i/>
          <w:iCs/>
          <w:color w:val="auto"/>
          <w:spacing w:val="-6"/>
          <w:sz w:val="26"/>
          <w:szCs w:val="26"/>
          <w:lang w:eastAsia="en-US"/>
        </w:rPr>
      </w:pPr>
      <w:r w:rsidRPr="00876E30">
        <w:rPr>
          <w:rFonts w:ascii="Arial Narrow" w:hAnsi="Arial Narrow"/>
          <w:b/>
          <w:i/>
          <w:iCs/>
          <w:color w:val="auto"/>
          <w:spacing w:val="-6"/>
          <w:sz w:val="26"/>
          <w:szCs w:val="26"/>
          <w:lang w:eastAsia="en-US"/>
        </w:rPr>
        <w:t>2.  Desenvolvimiento de la problemática planteada.</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Los cuestionamientos precedentes son válidos, en la medida en que de conformidad con la competencia asignada a la Salas Mixtas de los Tribunales, por la Ley Estatutaria de la Administración de Justicia, o Ley 270 de 1996, inciso 2º del artículo 18, propende porque no quede el asunto constitucional sin resolver de fondo, en vista de que ni uno ni otro funcionario judicial, comprometido en el conflicto, aduzcan razones para no conocer dicho asunto.</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La finalidad de la disposición es entonces, que ante una colisión negativa de tales dimensiones, sea el Tribunal del Distrito a que pertenecen los jueces involucrados en el conflicto, el que defina la situación en guarda del respeto del ciudadano, al derecho de poseer un juez natural, que pueda tramitar y dirimir la controversia sometida a su composición, como expresión máxima del derecho constitucional al acceso a la administración de justicia, consagrada en nuestra Carta Política, a todo ciudadano.</w:t>
      </w:r>
    </w:p>
    <w:p w:rsidR="00332243" w:rsidRPr="00876E30" w:rsidRDefault="00332243" w:rsidP="00876E30">
      <w:pPr>
        <w:pStyle w:val="Sinespaciado"/>
        <w:spacing w:line="288" w:lineRule="auto"/>
        <w:rPr>
          <w:rFonts w:ascii="Arial Narrow" w:hAnsi="Arial Narrow"/>
          <w:sz w:val="26"/>
          <w:szCs w:val="26"/>
        </w:rPr>
      </w:pPr>
      <w:r w:rsidRPr="00876E30">
        <w:rPr>
          <w:rFonts w:ascii="Arial Narrow" w:hAnsi="Arial Narrow"/>
          <w:sz w:val="26"/>
          <w:szCs w:val="26"/>
        </w:rPr>
        <w:tab/>
      </w: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De tal suerte, que si el escrito repartido al Juzgado Segundo Penal Municipal de Adolescentes con funciones de control de garantías de Pereira, lo había instaurado, el ciudadano Gerardo Ospina Sánchez, como acción de tutela y no como promoción de un incidente de desacato, no había lugar, para que el funcionario judicial pretendiera separarse de su conocimiento, so pena de que no se trataba de un escrito de Tutela, pues así lo habida denominado Ospina Sánchez.</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Adicional a ello, antes de que el funcionario se adelantara en calificar el escrito, como el de la promoción de un incidente de desacato, para despojarse del conocimiento de este asunto constitucional, perdió de vista otras disposiciones contenidas en el Decreto reglamentario de la acción de Tutela, Decreto 2591 de 1991</w:t>
      </w:r>
      <w:r w:rsidR="00506BE7" w:rsidRPr="00876E30">
        <w:rPr>
          <w:rFonts w:ascii="Arial Narrow" w:hAnsi="Arial Narrow"/>
          <w:spacing w:val="-6"/>
          <w:sz w:val="26"/>
          <w:szCs w:val="26"/>
        </w:rPr>
        <w:t xml:space="preserve">, en sus artículos 25 y 38, </w:t>
      </w:r>
      <w:r w:rsidRPr="00876E30">
        <w:rPr>
          <w:rFonts w:ascii="Arial Narrow" w:hAnsi="Arial Narrow"/>
          <w:spacing w:val="-6"/>
          <w:sz w:val="26"/>
          <w:szCs w:val="26"/>
        </w:rPr>
        <w:t xml:space="preserve"> que impiden la temeridad en la interposición de las acciones de Tutela, e incluso la imposibilidad de instaurar una o más acciones derivadas en la misma vulneración, sin que su remedio, necesariamente, sea el de apartarse del juzgamiento de la cuestión sometida a su composición, como se optó en el Sub-lite.</w:t>
      </w:r>
    </w:p>
    <w:p w:rsidR="00332243" w:rsidRPr="00876E30" w:rsidRDefault="00332243" w:rsidP="00876E30">
      <w:pPr>
        <w:pStyle w:val="Sinespaciado"/>
        <w:spacing w:line="288" w:lineRule="auto"/>
        <w:rPr>
          <w:rFonts w:ascii="Arial Narrow" w:hAnsi="Arial Narrow"/>
          <w:sz w:val="26"/>
          <w:szCs w:val="26"/>
        </w:rPr>
      </w:pPr>
    </w:p>
    <w:p w:rsidR="00506BE7" w:rsidRPr="00876E30" w:rsidRDefault="00506BE7"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Así las cosas, no son de recibo los argumentos esgrimidos por el Juzgado Segundo Penal Municipal de Adolescentes con funciones de control de Garantías de Pereira, puesto que si bien la vulneración de los derechos fundamentales, denunciados por el accionante, se originaron presuntamente, en la práctica de un dictamen ordenado en cumplimiento de otra acción de Tutela, se itera, la no procedibilidad de la nueva acción de tutela, y la remisión del escrito al funcionario primigenio, resulta intempestiva o apresurada, y carente de justificación para la no asunción de su conocimiento, independientemente, de que en el fallo ulterior se amparara o no los derechos invocados en el escrito, contando para ello, el juez constitucional, con las herramientas consagradas en la Constitución Política y en el Decreto reglamentario de la acción de Tutela, como atrás se expuso, para evitar los desmanes de los proponentes de las acciones de Tutela.</w:t>
      </w:r>
    </w:p>
    <w:p w:rsidR="00506BE7" w:rsidRPr="00876E30" w:rsidRDefault="00506BE7" w:rsidP="00876E30">
      <w:pPr>
        <w:pStyle w:val="Sinespaciado"/>
        <w:spacing w:line="288" w:lineRule="auto"/>
        <w:rPr>
          <w:rFonts w:ascii="Arial Narrow" w:hAnsi="Arial Narrow"/>
          <w:sz w:val="26"/>
          <w:szCs w:val="26"/>
        </w:rPr>
      </w:pPr>
    </w:p>
    <w:p w:rsidR="00506BE7" w:rsidRPr="00876E30" w:rsidRDefault="00506BE7"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 xml:space="preserve">Es por la motivación anterior, en censura de lo actuado por el Juzgado Segundo Penal Municipal de Adolescentes con funciones de control de garantías de Pereira, que la acción de Tutela </w:t>
      </w:r>
      <w:r w:rsidRPr="00876E30">
        <w:rPr>
          <w:rFonts w:ascii="Arial Narrow" w:hAnsi="Arial Narrow"/>
          <w:spacing w:val="-6"/>
          <w:sz w:val="26"/>
          <w:szCs w:val="26"/>
        </w:rPr>
        <w:lastRenderedPageBreak/>
        <w:t>incoada por el ciudadano Gerardo Ospina Sánchez, en contra de la AFP Porvenir S.A., debe regresar al titular de dicho despacho judicial para que sin dilación alguna, asuma el conocimiento de la presente acción de Tutela.</w:t>
      </w:r>
    </w:p>
    <w:p w:rsidR="00506BE7" w:rsidRPr="00876E30" w:rsidRDefault="00506BE7" w:rsidP="00876E30">
      <w:pPr>
        <w:pStyle w:val="Sinespaciado"/>
        <w:spacing w:line="288" w:lineRule="auto"/>
        <w:rPr>
          <w:rFonts w:ascii="Arial Narrow" w:hAnsi="Arial Narrow"/>
          <w:sz w:val="26"/>
          <w:szCs w:val="26"/>
        </w:rPr>
      </w:pPr>
    </w:p>
    <w:p w:rsidR="00506BE7" w:rsidRPr="00876E30" w:rsidRDefault="00506BE7" w:rsidP="00876E30">
      <w:pPr>
        <w:spacing w:line="288" w:lineRule="auto"/>
        <w:ind w:firstLine="708"/>
        <w:jc w:val="both"/>
        <w:rPr>
          <w:rFonts w:ascii="Arial Narrow" w:hAnsi="Arial Narrow"/>
          <w:spacing w:val="-6"/>
          <w:sz w:val="26"/>
          <w:szCs w:val="26"/>
        </w:rPr>
      </w:pPr>
      <w:r w:rsidRPr="00876E30">
        <w:rPr>
          <w:rFonts w:ascii="Arial Narrow" w:hAnsi="Arial Narrow"/>
          <w:spacing w:val="-6"/>
          <w:sz w:val="26"/>
          <w:szCs w:val="26"/>
        </w:rPr>
        <w:t>En tales términos se dirime el presente conflicto negativo de competencia en el asunto constitucional de la referencia.</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i/>
          <w:iCs/>
          <w:color w:val="auto"/>
          <w:spacing w:val="-6"/>
          <w:sz w:val="26"/>
          <w:szCs w:val="26"/>
        </w:rPr>
      </w:pPr>
      <w:r w:rsidRPr="00876E30">
        <w:rPr>
          <w:rFonts w:ascii="Arial Narrow" w:hAnsi="Arial Narrow"/>
          <w:color w:val="auto"/>
          <w:spacing w:val="-6"/>
          <w:sz w:val="26"/>
          <w:szCs w:val="26"/>
          <w:lang w:val="es-ES_tradnl"/>
        </w:rPr>
        <w:t>En razón y merito a lo expuesto, la</w:t>
      </w:r>
      <w:r w:rsidRPr="00876E30">
        <w:rPr>
          <w:rFonts w:ascii="Arial Narrow" w:hAnsi="Arial Narrow"/>
          <w:i/>
          <w:iCs/>
          <w:color w:val="auto"/>
          <w:spacing w:val="-6"/>
          <w:sz w:val="26"/>
          <w:szCs w:val="26"/>
          <w:lang w:val="es-ES_tradnl"/>
        </w:rPr>
        <w:t xml:space="preserve"> </w:t>
      </w:r>
      <w:r w:rsidRPr="00876E30">
        <w:rPr>
          <w:rFonts w:ascii="Arial Narrow" w:hAnsi="Arial Narrow"/>
          <w:b/>
          <w:bCs/>
          <w:i/>
          <w:iCs/>
          <w:color w:val="auto"/>
          <w:spacing w:val="-6"/>
          <w:sz w:val="26"/>
          <w:szCs w:val="26"/>
        </w:rPr>
        <w:t xml:space="preserve">Sala Mixta Nro. 11 de Decisión del Tribunal Superior de Pereira - Risaralda, </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jc w:val="center"/>
        <w:rPr>
          <w:rFonts w:ascii="Arial Narrow" w:hAnsi="Arial Narrow"/>
          <w:b/>
          <w:bCs/>
          <w:i/>
          <w:iCs/>
          <w:color w:val="auto"/>
          <w:spacing w:val="-6"/>
          <w:sz w:val="26"/>
          <w:szCs w:val="26"/>
        </w:rPr>
      </w:pPr>
      <w:r w:rsidRPr="00876E30">
        <w:rPr>
          <w:rFonts w:ascii="Arial Narrow" w:hAnsi="Arial Narrow"/>
          <w:b/>
          <w:bCs/>
          <w:i/>
          <w:iCs/>
          <w:color w:val="auto"/>
          <w:spacing w:val="-6"/>
          <w:sz w:val="26"/>
          <w:szCs w:val="26"/>
        </w:rPr>
        <w:t>RESUELVE:</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napToGrid w:val="0"/>
          <w:color w:val="auto"/>
          <w:spacing w:val="-6"/>
          <w:sz w:val="26"/>
          <w:szCs w:val="26"/>
        </w:rPr>
      </w:pPr>
      <w:r w:rsidRPr="00876E30">
        <w:rPr>
          <w:rFonts w:ascii="Arial Narrow" w:hAnsi="Arial Narrow"/>
          <w:b/>
          <w:bCs/>
          <w:iCs/>
          <w:color w:val="auto"/>
          <w:spacing w:val="-6"/>
          <w:sz w:val="26"/>
          <w:szCs w:val="26"/>
        </w:rPr>
        <w:t xml:space="preserve">1. Declarar </w:t>
      </w:r>
      <w:r w:rsidRPr="00876E30">
        <w:rPr>
          <w:rFonts w:ascii="Arial Narrow" w:hAnsi="Arial Narrow"/>
          <w:color w:val="auto"/>
          <w:spacing w:val="-6"/>
          <w:sz w:val="26"/>
          <w:szCs w:val="26"/>
        </w:rPr>
        <w:t xml:space="preserve">que el conocimiento de la acción de tutela instaurada por el señor Gerardo Ospina Sánchez contra </w:t>
      </w:r>
      <w:r w:rsidRPr="00876E30">
        <w:rPr>
          <w:rFonts w:ascii="Arial Narrow" w:hAnsi="Arial Narrow"/>
          <w:b/>
          <w:color w:val="auto"/>
          <w:spacing w:val="-6"/>
          <w:kern w:val="28"/>
          <w:sz w:val="26"/>
          <w:szCs w:val="26"/>
        </w:rPr>
        <w:t>la AFP Porvenir S.A.,</w:t>
      </w:r>
      <w:r w:rsidRPr="00876E30">
        <w:rPr>
          <w:rFonts w:ascii="Arial Narrow" w:hAnsi="Arial Narrow"/>
          <w:color w:val="auto"/>
          <w:spacing w:val="-6"/>
          <w:kern w:val="28"/>
          <w:sz w:val="26"/>
          <w:szCs w:val="26"/>
        </w:rPr>
        <w:t xml:space="preserve"> </w:t>
      </w:r>
      <w:r w:rsidRPr="00876E30">
        <w:rPr>
          <w:rFonts w:ascii="Arial Narrow" w:hAnsi="Arial Narrow"/>
          <w:snapToGrid w:val="0"/>
          <w:color w:val="auto"/>
          <w:spacing w:val="-6"/>
          <w:sz w:val="26"/>
          <w:szCs w:val="26"/>
        </w:rPr>
        <w:t xml:space="preserve">le corresponde al Juzgado Segundo Penal Municipal para adolescentes con funciones de control de garantías de Pereira. </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iCs/>
          <w:spacing w:val="-6"/>
          <w:sz w:val="26"/>
          <w:szCs w:val="26"/>
        </w:rPr>
      </w:pPr>
      <w:r w:rsidRPr="00876E30">
        <w:rPr>
          <w:rFonts w:ascii="Arial Narrow" w:hAnsi="Arial Narrow"/>
          <w:b/>
          <w:bCs/>
          <w:iCs/>
          <w:spacing w:val="-6"/>
          <w:sz w:val="26"/>
          <w:szCs w:val="26"/>
        </w:rPr>
        <w:t xml:space="preserve">2. Consecuencialmente, </w:t>
      </w:r>
      <w:r w:rsidRPr="00876E30">
        <w:rPr>
          <w:rFonts w:ascii="Arial Narrow" w:hAnsi="Arial Narrow"/>
          <w:bCs/>
          <w:iCs/>
          <w:spacing w:val="-6"/>
          <w:sz w:val="26"/>
          <w:szCs w:val="26"/>
        </w:rPr>
        <w:t xml:space="preserve">se dispondrá </w:t>
      </w:r>
      <w:r w:rsidRPr="00876E30">
        <w:rPr>
          <w:rFonts w:ascii="Arial Narrow" w:hAnsi="Arial Narrow"/>
          <w:spacing w:val="-6"/>
          <w:sz w:val="26"/>
          <w:szCs w:val="26"/>
        </w:rPr>
        <w:t>la remisión de las diligencias a dicho Despacho Judicial para lo de su cargo</w:t>
      </w:r>
      <w:r w:rsidRPr="00876E30">
        <w:rPr>
          <w:rFonts w:ascii="Arial Narrow" w:hAnsi="Arial Narrow"/>
          <w:iCs/>
          <w:spacing w:val="-6"/>
          <w:sz w:val="26"/>
          <w:szCs w:val="26"/>
        </w:rPr>
        <w:t>.</w:t>
      </w:r>
    </w:p>
    <w:p w:rsidR="00332243" w:rsidRPr="00876E30" w:rsidRDefault="00332243"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708"/>
        <w:jc w:val="both"/>
        <w:rPr>
          <w:rFonts w:ascii="Arial Narrow" w:hAnsi="Arial Narrow"/>
          <w:spacing w:val="-6"/>
          <w:sz w:val="26"/>
          <w:szCs w:val="26"/>
        </w:rPr>
      </w:pPr>
      <w:r w:rsidRPr="00876E30">
        <w:rPr>
          <w:rFonts w:ascii="Arial Narrow" w:hAnsi="Arial Narrow"/>
          <w:b/>
          <w:bCs/>
          <w:iCs/>
          <w:spacing w:val="-6"/>
          <w:sz w:val="26"/>
          <w:szCs w:val="26"/>
        </w:rPr>
        <w:t xml:space="preserve">3. Comuníquesele </w:t>
      </w:r>
      <w:r w:rsidRPr="00876E30">
        <w:rPr>
          <w:rFonts w:ascii="Arial Narrow" w:hAnsi="Arial Narrow"/>
          <w:spacing w:val="-6"/>
          <w:sz w:val="26"/>
          <w:szCs w:val="26"/>
        </w:rPr>
        <w:t xml:space="preserve">lo pertinente a los </w:t>
      </w:r>
      <w:r w:rsidRPr="00876E30">
        <w:rPr>
          <w:rFonts w:ascii="Arial Narrow" w:hAnsi="Arial Narrow"/>
          <w:snapToGrid w:val="0"/>
          <w:spacing w:val="-6"/>
          <w:sz w:val="26"/>
          <w:szCs w:val="26"/>
        </w:rPr>
        <w:t xml:space="preserve">Juzgados </w:t>
      </w:r>
      <w:r w:rsidRPr="00876E30">
        <w:rPr>
          <w:rFonts w:ascii="Arial Narrow" w:hAnsi="Arial Narrow"/>
          <w:color w:val="auto"/>
          <w:spacing w:val="-6"/>
          <w:sz w:val="26"/>
          <w:szCs w:val="26"/>
        </w:rPr>
        <w:t xml:space="preserve">Segundo Penal Municipal para Adolescentes con funciones de Control de Garantías de Pereira y el Sexto Penal del Circuito con funciones de conocimiento de Pereira. </w:t>
      </w:r>
    </w:p>
    <w:p w:rsidR="00506BE7" w:rsidRPr="00876E30" w:rsidRDefault="00506BE7" w:rsidP="00876E30">
      <w:pPr>
        <w:pStyle w:val="Sinespaciado"/>
        <w:spacing w:line="288" w:lineRule="auto"/>
        <w:rPr>
          <w:rFonts w:ascii="Arial Narrow" w:hAnsi="Arial Narrow"/>
          <w:sz w:val="26"/>
          <w:szCs w:val="26"/>
        </w:rPr>
      </w:pPr>
    </w:p>
    <w:p w:rsidR="00332243" w:rsidRPr="00876E30" w:rsidRDefault="00332243" w:rsidP="00876E30">
      <w:pPr>
        <w:spacing w:line="288" w:lineRule="auto"/>
        <w:ind w:firstLine="1440"/>
        <w:jc w:val="both"/>
        <w:rPr>
          <w:rFonts w:ascii="Arial Narrow" w:hAnsi="Arial Narrow"/>
          <w:b/>
          <w:bCs/>
          <w:iCs/>
          <w:spacing w:val="-6"/>
          <w:sz w:val="26"/>
          <w:szCs w:val="26"/>
        </w:rPr>
      </w:pPr>
      <w:r w:rsidRPr="00876E30">
        <w:rPr>
          <w:rFonts w:ascii="Arial Narrow" w:hAnsi="Arial Narrow"/>
          <w:b/>
          <w:bCs/>
          <w:iCs/>
          <w:spacing w:val="-6"/>
          <w:sz w:val="26"/>
          <w:szCs w:val="26"/>
        </w:rPr>
        <w:t>NOTIFIQUESE y CUMPLASE.</w:t>
      </w:r>
    </w:p>
    <w:p w:rsidR="00332243" w:rsidRPr="00876E30" w:rsidRDefault="00332243" w:rsidP="00876E30">
      <w:pPr>
        <w:tabs>
          <w:tab w:val="left" w:pos="5311"/>
        </w:tabs>
        <w:spacing w:line="288" w:lineRule="auto"/>
        <w:jc w:val="both"/>
        <w:rPr>
          <w:rFonts w:ascii="Arial Narrow" w:hAnsi="Arial Narrow"/>
          <w:iCs/>
          <w:spacing w:val="-6"/>
          <w:sz w:val="26"/>
          <w:szCs w:val="26"/>
        </w:rPr>
      </w:pPr>
    </w:p>
    <w:p w:rsidR="00332243" w:rsidRPr="00876E30" w:rsidRDefault="00332243" w:rsidP="00876E30">
      <w:pPr>
        <w:spacing w:line="288" w:lineRule="auto"/>
        <w:jc w:val="center"/>
        <w:rPr>
          <w:rFonts w:ascii="Arial Narrow" w:hAnsi="Arial Narrow"/>
          <w:b/>
          <w:bCs/>
          <w:spacing w:val="-6"/>
          <w:sz w:val="26"/>
          <w:szCs w:val="26"/>
        </w:rPr>
      </w:pPr>
    </w:p>
    <w:p w:rsidR="00332243" w:rsidRPr="00876E30" w:rsidRDefault="00332243" w:rsidP="00876E30">
      <w:pPr>
        <w:spacing w:line="288" w:lineRule="auto"/>
        <w:jc w:val="center"/>
        <w:rPr>
          <w:rFonts w:ascii="Arial Narrow" w:hAnsi="Arial Narrow"/>
          <w:b/>
          <w:bCs/>
          <w:spacing w:val="-6"/>
          <w:sz w:val="26"/>
          <w:szCs w:val="26"/>
        </w:rPr>
      </w:pPr>
    </w:p>
    <w:p w:rsidR="00332243" w:rsidRPr="00876E30" w:rsidRDefault="00332243" w:rsidP="00876E30">
      <w:pPr>
        <w:spacing w:line="288" w:lineRule="auto"/>
        <w:jc w:val="center"/>
        <w:rPr>
          <w:rFonts w:ascii="Arial Narrow" w:hAnsi="Arial Narrow"/>
          <w:b/>
          <w:bCs/>
          <w:iCs/>
          <w:spacing w:val="-6"/>
          <w:sz w:val="26"/>
          <w:szCs w:val="26"/>
        </w:rPr>
      </w:pPr>
      <w:r w:rsidRPr="00876E30">
        <w:rPr>
          <w:rFonts w:ascii="Arial Narrow" w:hAnsi="Arial Narrow"/>
          <w:b/>
          <w:bCs/>
          <w:iCs/>
          <w:spacing w:val="-6"/>
          <w:sz w:val="26"/>
          <w:szCs w:val="26"/>
        </w:rPr>
        <w:t>FRANCISCO JAVIER TAMAYO TABARES</w:t>
      </w:r>
    </w:p>
    <w:p w:rsidR="00332243" w:rsidRPr="00876E30" w:rsidRDefault="00332243" w:rsidP="00876E30">
      <w:pPr>
        <w:spacing w:line="288" w:lineRule="auto"/>
        <w:jc w:val="center"/>
        <w:rPr>
          <w:rFonts w:ascii="Arial Narrow" w:hAnsi="Arial Narrow"/>
          <w:iCs/>
          <w:spacing w:val="-6"/>
          <w:sz w:val="26"/>
          <w:szCs w:val="26"/>
        </w:rPr>
      </w:pPr>
      <w:r w:rsidRPr="00876E30">
        <w:rPr>
          <w:rFonts w:ascii="Arial Narrow" w:hAnsi="Arial Narrow"/>
          <w:iCs/>
          <w:spacing w:val="-6"/>
          <w:sz w:val="26"/>
          <w:szCs w:val="26"/>
        </w:rPr>
        <w:t>Magistrado</w:t>
      </w:r>
    </w:p>
    <w:p w:rsidR="00332243" w:rsidRPr="00876E30" w:rsidRDefault="00332243" w:rsidP="00876E30">
      <w:pPr>
        <w:spacing w:line="288" w:lineRule="auto"/>
        <w:jc w:val="center"/>
        <w:rPr>
          <w:rFonts w:ascii="Arial Narrow" w:hAnsi="Arial Narrow"/>
          <w:iCs/>
          <w:spacing w:val="-6"/>
          <w:sz w:val="26"/>
          <w:szCs w:val="26"/>
        </w:rPr>
      </w:pPr>
    </w:p>
    <w:p w:rsidR="00332243" w:rsidRPr="00876E30" w:rsidRDefault="00332243" w:rsidP="00876E30">
      <w:pPr>
        <w:spacing w:line="288" w:lineRule="auto"/>
        <w:jc w:val="center"/>
        <w:rPr>
          <w:rFonts w:ascii="Arial Narrow" w:hAnsi="Arial Narrow"/>
          <w:iCs/>
          <w:spacing w:val="-6"/>
          <w:sz w:val="26"/>
          <w:szCs w:val="26"/>
        </w:rPr>
      </w:pPr>
    </w:p>
    <w:p w:rsidR="00332243" w:rsidRPr="00876E30" w:rsidRDefault="00332243" w:rsidP="00876E30">
      <w:pPr>
        <w:spacing w:line="288" w:lineRule="auto"/>
        <w:jc w:val="center"/>
        <w:rPr>
          <w:rFonts w:ascii="Arial Narrow" w:hAnsi="Arial Narrow"/>
          <w:iCs/>
          <w:spacing w:val="-6"/>
          <w:sz w:val="26"/>
          <w:szCs w:val="26"/>
        </w:rPr>
      </w:pPr>
    </w:p>
    <w:p w:rsidR="00332243" w:rsidRPr="00876E30" w:rsidRDefault="00332243" w:rsidP="00876E30">
      <w:pPr>
        <w:spacing w:line="288" w:lineRule="auto"/>
        <w:ind w:right="-91"/>
        <w:jc w:val="center"/>
        <w:rPr>
          <w:rFonts w:ascii="Arial Narrow" w:hAnsi="Arial Narrow"/>
          <w:b/>
          <w:spacing w:val="-6"/>
          <w:sz w:val="26"/>
          <w:szCs w:val="26"/>
        </w:rPr>
      </w:pPr>
      <w:r w:rsidRPr="00876E30">
        <w:rPr>
          <w:rFonts w:ascii="Arial Narrow" w:hAnsi="Arial Narrow"/>
          <w:b/>
          <w:spacing w:val="-6"/>
          <w:sz w:val="26"/>
          <w:szCs w:val="26"/>
        </w:rPr>
        <w:t>JAIME ALBERTO SARAZA NARANJO</w:t>
      </w:r>
    </w:p>
    <w:p w:rsidR="00332243" w:rsidRPr="00876E30" w:rsidRDefault="00332243" w:rsidP="00876E30">
      <w:pPr>
        <w:spacing w:line="288" w:lineRule="auto"/>
        <w:jc w:val="center"/>
        <w:rPr>
          <w:rFonts w:ascii="Arial Narrow" w:hAnsi="Arial Narrow"/>
          <w:iCs/>
          <w:spacing w:val="-6"/>
          <w:sz w:val="26"/>
          <w:szCs w:val="26"/>
        </w:rPr>
      </w:pPr>
      <w:r w:rsidRPr="00876E30">
        <w:rPr>
          <w:rFonts w:ascii="Arial Narrow" w:hAnsi="Arial Narrow"/>
          <w:iCs/>
          <w:spacing w:val="-6"/>
          <w:sz w:val="26"/>
          <w:szCs w:val="26"/>
        </w:rPr>
        <w:t>Magistrado</w:t>
      </w:r>
    </w:p>
    <w:p w:rsidR="00332243" w:rsidRPr="00876E30" w:rsidRDefault="00332243" w:rsidP="00876E30">
      <w:pPr>
        <w:spacing w:line="288" w:lineRule="auto"/>
        <w:ind w:right="-91"/>
        <w:jc w:val="center"/>
        <w:rPr>
          <w:rFonts w:ascii="Arial Narrow" w:hAnsi="Arial Narrow"/>
          <w:b/>
          <w:spacing w:val="-6"/>
          <w:sz w:val="26"/>
          <w:szCs w:val="26"/>
        </w:rPr>
      </w:pPr>
    </w:p>
    <w:p w:rsidR="00332243" w:rsidRPr="00876E30" w:rsidRDefault="00332243" w:rsidP="00876E30">
      <w:pPr>
        <w:spacing w:line="288" w:lineRule="auto"/>
        <w:ind w:right="-91"/>
        <w:jc w:val="center"/>
        <w:rPr>
          <w:rFonts w:ascii="Arial Narrow" w:hAnsi="Arial Narrow"/>
          <w:b/>
          <w:spacing w:val="-6"/>
          <w:sz w:val="26"/>
          <w:szCs w:val="26"/>
        </w:rPr>
      </w:pPr>
    </w:p>
    <w:p w:rsidR="00332243" w:rsidRPr="00876E30" w:rsidRDefault="00332243" w:rsidP="00876E30">
      <w:pPr>
        <w:spacing w:line="288" w:lineRule="auto"/>
        <w:ind w:right="-91"/>
        <w:jc w:val="center"/>
        <w:rPr>
          <w:rFonts w:ascii="Arial Narrow" w:hAnsi="Arial Narrow"/>
          <w:b/>
          <w:spacing w:val="-6"/>
          <w:sz w:val="26"/>
          <w:szCs w:val="26"/>
        </w:rPr>
      </w:pPr>
    </w:p>
    <w:p w:rsidR="00332243" w:rsidRPr="00876E30" w:rsidRDefault="00332243" w:rsidP="00876E30">
      <w:pPr>
        <w:spacing w:line="288" w:lineRule="auto"/>
        <w:ind w:right="-91"/>
        <w:jc w:val="center"/>
        <w:rPr>
          <w:rFonts w:ascii="Arial Narrow" w:hAnsi="Arial Narrow"/>
          <w:b/>
          <w:bCs/>
          <w:iCs/>
          <w:spacing w:val="-6"/>
          <w:sz w:val="26"/>
          <w:szCs w:val="26"/>
        </w:rPr>
      </w:pPr>
      <w:r w:rsidRPr="00876E30">
        <w:rPr>
          <w:rFonts w:ascii="Arial Narrow" w:hAnsi="Arial Narrow"/>
          <w:b/>
          <w:spacing w:val="-6"/>
          <w:sz w:val="26"/>
          <w:szCs w:val="26"/>
        </w:rPr>
        <w:t>JORGE ARTURO CASTAÑO DUQUE</w:t>
      </w:r>
    </w:p>
    <w:p w:rsidR="00031AD5" w:rsidRPr="00876E30" w:rsidRDefault="00332243" w:rsidP="00F70AD6">
      <w:pPr>
        <w:spacing w:line="288" w:lineRule="auto"/>
        <w:ind w:right="-91"/>
        <w:jc w:val="center"/>
        <w:rPr>
          <w:rFonts w:ascii="Arial Narrow" w:hAnsi="Arial Narrow"/>
          <w:sz w:val="26"/>
          <w:szCs w:val="26"/>
        </w:rPr>
      </w:pPr>
      <w:r w:rsidRPr="00876E30">
        <w:rPr>
          <w:rFonts w:ascii="Arial Narrow" w:hAnsi="Arial Narrow"/>
          <w:iCs/>
          <w:spacing w:val="-6"/>
          <w:sz w:val="26"/>
          <w:szCs w:val="26"/>
        </w:rPr>
        <w:t>Magistrado</w:t>
      </w:r>
    </w:p>
    <w:sectPr w:rsidR="00031AD5" w:rsidRPr="00876E30" w:rsidSect="00F70AD6">
      <w:headerReference w:type="default" r:id="rId8"/>
      <w:footerReference w:type="even" r:id="rId9"/>
      <w:footerReference w:type="default" r:id="rId10"/>
      <w:pgSz w:w="12242" w:h="19442" w:code="26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A4" w:rsidRDefault="00FE42A4">
      <w:r>
        <w:separator/>
      </w:r>
    </w:p>
  </w:endnote>
  <w:endnote w:type="continuationSeparator" w:id="0">
    <w:p w:rsidR="00FE42A4" w:rsidRDefault="00FE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11" w:rsidRDefault="00506BE7" w:rsidP="003D06C8">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DE3611" w:rsidRDefault="00FE42A4" w:rsidP="002436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11" w:rsidRPr="00F70AD6" w:rsidRDefault="00506BE7" w:rsidP="00F70AD6">
    <w:pPr>
      <w:pStyle w:val="Sinespaciado"/>
      <w:framePr w:wrap="around" w:vAnchor="text" w:hAnchor="margin" w:xAlign="right" w:y="1"/>
      <w:jc w:val="both"/>
      <w:rPr>
        <w:sz w:val="18"/>
        <w:szCs w:val="18"/>
      </w:rPr>
    </w:pPr>
    <w:r w:rsidRPr="00F70AD6">
      <w:rPr>
        <w:sz w:val="18"/>
        <w:szCs w:val="18"/>
      </w:rPr>
      <w:fldChar w:fldCharType="begin"/>
    </w:r>
    <w:r w:rsidRPr="00F70AD6">
      <w:rPr>
        <w:sz w:val="18"/>
        <w:szCs w:val="18"/>
      </w:rPr>
      <w:instrText xml:space="preserve">PAGE  </w:instrText>
    </w:r>
    <w:r w:rsidRPr="00F70AD6">
      <w:rPr>
        <w:sz w:val="18"/>
        <w:szCs w:val="18"/>
      </w:rPr>
      <w:fldChar w:fldCharType="separate"/>
    </w:r>
    <w:r w:rsidR="00761550">
      <w:rPr>
        <w:noProof/>
        <w:sz w:val="18"/>
        <w:szCs w:val="18"/>
      </w:rPr>
      <w:t>2</w:t>
    </w:r>
    <w:r w:rsidRPr="00F70AD6">
      <w:rPr>
        <w:sz w:val="18"/>
        <w:szCs w:val="18"/>
      </w:rPr>
      <w:fldChar w:fldCharType="end"/>
    </w:r>
  </w:p>
  <w:p w:rsidR="00DE3611" w:rsidRDefault="00FE42A4" w:rsidP="002436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A4" w:rsidRDefault="00FE42A4">
      <w:r>
        <w:separator/>
      </w:r>
    </w:p>
  </w:footnote>
  <w:footnote w:type="continuationSeparator" w:id="0">
    <w:p w:rsidR="00FE42A4" w:rsidRDefault="00FE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11" w:rsidRPr="00F70AD6" w:rsidRDefault="00506BE7" w:rsidP="00F70AD6">
    <w:pPr>
      <w:pStyle w:val="Sinespaciado"/>
      <w:jc w:val="both"/>
      <w:rPr>
        <w:sz w:val="18"/>
        <w:szCs w:val="18"/>
      </w:rPr>
    </w:pPr>
    <w:r w:rsidRPr="00F70AD6">
      <w:rPr>
        <w:sz w:val="18"/>
        <w:szCs w:val="18"/>
      </w:rPr>
      <w:t>Conflicto de Competencia</w:t>
    </w:r>
  </w:p>
  <w:p w:rsidR="00DE3611" w:rsidRPr="00F70AD6" w:rsidRDefault="00506BE7" w:rsidP="00F70AD6">
    <w:pPr>
      <w:pStyle w:val="Sinespaciado"/>
      <w:jc w:val="both"/>
      <w:rPr>
        <w:sz w:val="18"/>
        <w:szCs w:val="18"/>
      </w:rPr>
    </w:pPr>
    <w:r w:rsidRPr="00F70AD6">
      <w:rPr>
        <w:sz w:val="18"/>
        <w:szCs w:val="18"/>
      </w:rPr>
      <w:t xml:space="preserve">Acción de tutela. Gerardo Ospina Sánchez vs Porvenir S.A. y otra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43"/>
    <w:rsid w:val="00031AD5"/>
    <w:rsid w:val="000928CC"/>
    <w:rsid w:val="001B6160"/>
    <w:rsid w:val="00332243"/>
    <w:rsid w:val="00387E6E"/>
    <w:rsid w:val="004F7A04"/>
    <w:rsid w:val="00506BE7"/>
    <w:rsid w:val="006274A3"/>
    <w:rsid w:val="006E530B"/>
    <w:rsid w:val="00761550"/>
    <w:rsid w:val="008217E0"/>
    <w:rsid w:val="00876E30"/>
    <w:rsid w:val="008A4A98"/>
    <w:rsid w:val="00A675BB"/>
    <w:rsid w:val="00CD182C"/>
    <w:rsid w:val="00CD3500"/>
    <w:rsid w:val="00F174A5"/>
    <w:rsid w:val="00F555EE"/>
    <w:rsid w:val="00F70AD6"/>
    <w:rsid w:val="00FE4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B9CC6-45D4-4C71-B4FF-AD4BBD0A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43"/>
    <w:pPr>
      <w:spacing w:after="0" w:line="240" w:lineRule="auto"/>
    </w:pPr>
    <w:rPr>
      <w:rFonts w:ascii="Arial" w:eastAsia="Times New Roman" w:hAnsi="Arial" w:cs="Arial"/>
      <w:color w:val="000000"/>
      <w:lang w:eastAsia="es-ES"/>
    </w:rPr>
  </w:style>
  <w:style w:type="paragraph" w:styleId="Ttulo1">
    <w:name w:val="heading 1"/>
    <w:basedOn w:val="Normal"/>
    <w:next w:val="Normal"/>
    <w:link w:val="Ttulo1Car"/>
    <w:qFormat/>
    <w:rsid w:val="00332243"/>
    <w:pPr>
      <w:keepNext/>
      <w:spacing w:line="360" w:lineRule="auto"/>
      <w:jc w:val="center"/>
      <w:outlineLvl w:val="0"/>
    </w:pPr>
    <w:rPr>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243"/>
    <w:rPr>
      <w:rFonts w:ascii="Arial" w:eastAsia="Times New Roman" w:hAnsi="Arial" w:cs="Arial"/>
      <w:b/>
      <w:bCs/>
      <w:sz w:val="28"/>
      <w:szCs w:val="28"/>
      <w:lang w:eastAsia="es-ES"/>
    </w:rPr>
  </w:style>
  <w:style w:type="character" w:customStyle="1" w:styleId="PuestoCar">
    <w:name w:val="Puesto Car"/>
    <w:basedOn w:val="Fuentedeprrafopredeter"/>
    <w:link w:val="Puesto"/>
    <w:locked/>
    <w:rsid w:val="00332243"/>
    <w:rPr>
      <w:rFonts w:ascii="Bookman Old Style" w:hAnsi="Bookman Old Style" w:cs="Bookman Old Style"/>
      <w:b/>
      <w:bCs/>
      <w:color w:val="0000FF"/>
      <w:lang w:val="es-CO" w:eastAsia="es-ES"/>
    </w:rPr>
  </w:style>
  <w:style w:type="paragraph" w:styleId="Puesto">
    <w:name w:val="Title"/>
    <w:basedOn w:val="Normal"/>
    <w:link w:val="PuestoCar"/>
    <w:qFormat/>
    <w:rsid w:val="00332243"/>
    <w:pPr>
      <w:spacing w:line="240" w:lineRule="atLeast"/>
      <w:jc w:val="center"/>
    </w:pPr>
    <w:rPr>
      <w:rFonts w:ascii="Bookman Old Style" w:eastAsiaTheme="minorHAnsi" w:hAnsi="Bookman Old Style" w:cs="Bookman Old Style"/>
      <w:b/>
      <w:bCs/>
      <w:color w:val="0000FF"/>
      <w:lang w:val="es-CO"/>
    </w:rPr>
  </w:style>
  <w:style w:type="character" w:customStyle="1" w:styleId="PuestoCar1">
    <w:name w:val="Puesto Car1"/>
    <w:basedOn w:val="Fuentedeprrafopredeter"/>
    <w:uiPriority w:val="10"/>
    <w:rsid w:val="00332243"/>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rsid w:val="00332243"/>
    <w:pPr>
      <w:tabs>
        <w:tab w:val="center" w:pos="4252"/>
        <w:tab w:val="right" w:pos="8504"/>
      </w:tabs>
    </w:pPr>
  </w:style>
  <w:style w:type="character" w:customStyle="1" w:styleId="PiedepginaCar">
    <w:name w:val="Pie de página Car"/>
    <w:basedOn w:val="Fuentedeprrafopredeter"/>
    <w:link w:val="Piedepgina"/>
    <w:rsid w:val="00332243"/>
    <w:rPr>
      <w:rFonts w:ascii="Arial" w:eastAsia="Times New Roman" w:hAnsi="Arial" w:cs="Arial"/>
      <w:color w:val="000000"/>
      <w:lang w:eastAsia="es-ES"/>
    </w:rPr>
  </w:style>
  <w:style w:type="character" w:styleId="Nmerodepgina">
    <w:name w:val="page number"/>
    <w:basedOn w:val="Fuentedeprrafopredeter"/>
    <w:rsid w:val="00332243"/>
  </w:style>
  <w:style w:type="paragraph" w:styleId="Sinespaciado">
    <w:name w:val="No Spacing"/>
    <w:uiPriority w:val="1"/>
    <w:qFormat/>
    <w:rsid w:val="00332243"/>
    <w:pPr>
      <w:spacing w:after="0" w:line="240" w:lineRule="auto"/>
    </w:pPr>
    <w:rPr>
      <w:rFonts w:ascii="Arial" w:eastAsia="Times New Roman" w:hAnsi="Arial" w:cs="Arial"/>
      <w:color w:val="000000"/>
      <w:lang w:eastAsia="es-ES"/>
    </w:rPr>
  </w:style>
  <w:style w:type="paragraph" w:styleId="Textodeglobo">
    <w:name w:val="Balloon Text"/>
    <w:basedOn w:val="Normal"/>
    <w:link w:val="TextodegloboCar"/>
    <w:uiPriority w:val="99"/>
    <w:semiHidden/>
    <w:unhideWhenUsed/>
    <w:rsid w:val="00F17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4A5"/>
    <w:rPr>
      <w:rFonts w:ascii="Segoe UI" w:eastAsia="Times New Roman" w:hAnsi="Segoe UI" w:cs="Segoe UI"/>
      <w:color w:val="000000"/>
      <w:sz w:val="18"/>
      <w:szCs w:val="18"/>
      <w:lang w:eastAsia="es-ES"/>
    </w:rPr>
  </w:style>
  <w:style w:type="paragraph" w:styleId="Encabezado">
    <w:name w:val="header"/>
    <w:basedOn w:val="Normal"/>
    <w:link w:val="EncabezadoCar"/>
    <w:uiPriority w:val="99"/>
    <w:unhideWhenUsed/>
    <w:rsid w:val="00F70AD6"/>
    <w:pPr>
      <w:tabs>
        <w:tab w:val="center" w:pos="4252"/>
        <w:tab w:val="right" w:pos="8504"/>
      </w:tabs>
    </w:pPr>
  </w:style>
  <w:style w:type="character" w:customStyle="1" w:styleId="EncabezadoCar">
    <w:name w:val="Encabezado Car"/>
    <w:basedOn w:val="Fuentedeprrafopredeter"/>
    <w:link w:val="Encabezado"/>
    <w:uiPriority w:val="99"/>
    <w:rsid w:val="00F70AD6"/>
    <w:rPr>
      <w:rFonts w:ascii="Arial" w:eastAsia="Times New Roman" w:hAnsi="Arial" w:cs="Arial"/>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cp:lastPrinted>2019-07-31T12:29:00Z</cp:lastPrinted>
  <dcterms:created xsi:type="dcterms:W3CDTF">2019-07-30T12:31:00Z</dcterms:created>
  <dcterms:modified xsi:type="dcterms:W3CDTF">2019-08-16T15:16:00Z</dcterms:modified>
</cp:coreProperties>
</file>