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F12" w:rsidRPr="00D14F12" w:rsidRDefault="00D14F12" w:rsidP="00D14F1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D14F1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bookmarkStart w:id="0" w:name="_GoBack"/>
      <w:bookmarkEnd w:id="0"/>
    </w:p>
    <w:p w:rsidR="00D14F12" w:rsidRPr="00D14F12" w:rsidRDefault="00D14F12" w:rsidP="00D14F12">
      <w:pPr>
        <w:jc w:val="both"/>
        <w:rPr>
          <w:rFonts w:ascii="Arial" w:hAnsi="Arial" w:cs="Arial"/>
          <w:sz w:val="20"/>
          <w:lang w:val="es-419"/>
        </w:rPr>
      </w:pPr>
    </w:p>
    <w:p w:rsidR="00D14F12" w:rsidRPr="00D14F12" w:rsidRDefault="00D14F12" w:rsidP="00D14F12">
      <w:pPr>
        <w:jc w:val="both"/>
        <w:rPr>
          <w:rFonts w:ascii="Arial" w:hAnsi="Arial" w:cs="Arial"/>
          <w:sz w:val="20"/>
          <w:lang w:val="es-419"/>
        </w:rPr>
      </w:pPr>
      <w:r w:rsidRPr="00D14F12">
        <w:rPr>
          <w:rFonts w:ascii="Arial" w:hAnsi="Arial" w:cs="Arial"/>
          <w:sz w:val="20"/>
          <w:lang w:val="es-419"/>
        </w:rPr>
        <w:t>Providencia:</w:t>
      </w:r>
      <w:r>
        <w:rPr>
          <w:rFonts w:ascii="Arial" w:hAnsi="Arial" w:cs="Arial"/>
          <w:sz w:val="20"/>
          <w:lang w:val="es-419"/>
        </w:rPr>
        <w:tab/>
      </w:r>
      <w:r w:rsidRPr="00D14F12">
        <w:rPr>
          <w:rFonts w:ascii="Arial" w:hAnsi="Arial" w:cs="Arial"/>
          <w:sz w:val="20"/>
          <w:lang w:val="es-419"/>
        </w:rPr>
        <w:tab/>
        <w:t>Sentencia de Segunda Instancia, jueves 26 de septiembre de 2019.</w:t>
      </w:r>
    </w:p>
    <w:p w:rsidR="00D14F12" w:rsidRPr="00D14F12" w:rsidRDefault="00D14F12" w:rsidP="00D14F12">
      <w:pPr>
        <w:jc w:val="both"/>
        <w:rPr>
          <w:rFonts w:ascii="Arial" w:hAnsi="Arial" w:cs="Arial"/>
          <w:sz w:val="20"/>
          <w:lang w:val="es-419"/>
        </w:rPr>
      </w:pPr>
      <w:r w:rsidRPr="00D14F12">
        <w:rPr>
          <w:rFonts w:ascii="Arial" w:hAnsi="Arial" w:cs="Arial"/>
          <w:sz w:val="20"/>
          <w:lang w:val="es-419"/>
        </w:rPr>
        <w:t>Radicación No:</w:t>
      </w:r>
      <w:r w:rsidRPr="00D14F12">
        <w:rPr>
          <w:rFonts w:ascii="Arial" w:hAnsi="Arial" w:cs="Arial"/>
          <w:sz w:val="20"/>
          <w:lang w:val="es-419"/>
        </w:rPr>
        <w:tab/>
      </w:r>
      <w:r w:rsidRPr="00D14F12">
        <w:rPr>
          <w:rFonts w:ascii="Arial" w:hAnsi="Arial" w:cs="Arial"/>
          <w:sz w:val="20"/>
          <w:lang w:val="es-419"/>
        </w:rPr>
        <w:tab/>
        <w:t>66001-31-05-002-2016-00334-01</w:t>
      </w:r>
    </w:p>
    <w:p w:rsidR="00D14F12" w:rsidRPr="00D14F12" w:rsidRDefault="00D14F12" w:rsidP="00D14F12">
      <w:pPr>
        <w:jc w:val="both"/>
        <w:rPr>
          <w:rFonts w:ascii="Arial" w:hAnsi="Arial" w:cs="Arial"/>
          <w:sz w:val="20"/>
          <w:lang w:val="es-419"/>
        </w:rPr>
      </w:pPr>
      <w:r w:rsidRPr="00D14F12">
        <w:rPr>
          <w:rFonts w:ascii="Arial" w:hAnsi="Arial" w:cs="Arial"/>
          <w:sz w:val="20"/>
          <w:lang w:val="es-419"/>
        </w:rPr>
        <w:t>Proceso:</w:t>
      </w:r>
      <w:r w:rsidRPr="00D14F12">
        <w:rPr>
          <w:rFonts w:ascii="Arial" w:hAnsi="Arial" w:cs="Arial"/>
          <w:sz w:val="20"/>
          <w:lang w:val="es-419"/>
        </w:rPr>
        <w:tab/>
      </w:r>
      <w:r w:rsidRPr="00D14F12">
        <w:rPr>
          <w:rFonts w:ascii="Arial" w:hAnsi="Arial" w:cs="Arial"/>
          <w:sz w:val="20"/>
          <w:lang w:val="es-419"/>
        </w:rPr>
        <w:tab/>
        <w:t>Ordinario Laboral</w:t>
      </w:r>
    </w:p>
    <w:p w:rsidR="00D14F12" w:rsidRPr="00D14F12" w:rsidRDefault="00D14F12" w:rsidP="00D14F12">
      <w:pPr>
        <w:jc w:val="both"/>
        <w:rPr>
          <w:rFonts w:ascii="Arial" w:hAnsi="Arial" w:cs="Arial"/>
          <w:sz w:val="20"/>
          <w:lang w:val="es-419"/>
        </w:rPr>
      </w:pPr>
      <w:r w:rsidRPr="00D14F12">
        <w:rPr>
          <w:rFonts w:ascii="Arial" w:hAnsi="Arial" w:cs="Arial"/>
          <w:sz w:val="20"/>
          <w:lang w:val="es-419"/>
        </w:rPr>
        <w:t>Demandante:</w:t>
      </w:r>
      <w:r w:rsidRPr="00D14F12">
        <w:rPr>
          <w:rFonts w:ascii="Arial" w:hAnsi="Arial" w:cs="Arial"/>
          <w:sz w:val="20"/>
          <w:lang w:val="es-419"/>
        </w:rPr>
        <w:tab/>
      </w:r>
      <w:r w:rsidRPr="00D14F12">
        <w:rPr>
          <w:rFonts w:ascii="Arial" w:hAnsi="Arial" w:cs="Arial"/>
          <w:sz w:val="20"/>
          <w:lang w:val="es-419"/>
        </w:rPr>
        <w:tab/>
        <w:t xml:space="preserve">Alba Lucia Ocampo Sepúlveda  </w:t>
      </w:r>
    </w:p>
    <w:p w:rsidR="00D14F12" w:rsidRPr="00D14F12" w:rsidRDefault="00D14F12" w:rsidP="00D14F12">
      <w:pPr>
        <w:jc w:val="both"/>
        <w:rPr>
          <w:rFonts w:ascii="Arial" w:hAnsi="Arial" w:cs="Arial"/>
          <w:sz w:val="20"/>
          <w:lang w:val="es-419"/>
        </w:rPr>
      </w:pPr>
      <w:r w:rsidRPr="00D14F12">
        <w:rPr>
          <w:rFonts w:ascii="Arial" w:hAnsi="Arial" w:cs="Arial"/>
          <w:sz w:val="20"/>
          <w:lang w:val="es-419"/>
        </w:rPr>
        <w:t>Demandado:</w:t>
      </w:r>
      <w:r w:rsidRPr="00D14F12">
        <w:rPr>
          <w:rFonts w:ascii="Arial" w:hAnsi="Arial" w:cs="Arial"/>
          <w:sz w:val="20"/>
          <w:lang w:val="es-419"/>
        </w:rPr>
        <w:tab/>
      </w:r>
      <w:r w:rsidRPr="00D14F12">
        <w:rPr>
          <w:rFonts w:ascii="Arial" w:hAnsi="Arial" w:cs="Arial"/>
          <w:sz w:val="20"/>
          <w:lang w:val="es-419"/>
        </w:rPr>
        <w:tab/>
        <w:t>Colpensiones.</w:t>
      </w:r>
    </w:p>
    <w:p w:rsidR="00D14F12" w:rsidRPr="00D14F12" w:rsidRDefault="00D14F12" w:rsidP="00D14F12">
      <w:pPr>
        <w:jc w:val="both"/>
        <w:rPr>
          <w:rFonts w:ascii="Arial" w:hAnsi="Arial" w:cs="Arial"/>
          <w:sz w:val="20"/>
          <w:lang w:val="es-419"/>
        </w:rPr>
      </w:pPr>
      <w:r w:rsidRPr="00D14F12">
        <w:rPr>
          <w:rFonts w:ascii="Arial" w:hAnsi="Arial" w:cs="Arial"/>
          <w:sz w:val="20"/>
          <w:lang w:val="es-419"/>
        </w:rPr>
        <w:t>Juzgado de origen:</w:t>
      </w:r>
      <w:r w:rsidRPr="00D14F12">
        <w:rPr>
          <w:rFonts w:ascii="Arial" w:hAnsi="Arial" w:cs="Arial"/>
          <w:sz w:val="20"/>
          <w:lang w:val="es-419"/>
        </w:rPr>
        <w:tab/>
        <w:t>Segundo Laboral del Circuito de Pereira.</w:t>
      </w:r>
    </w:p>
    <w:p w:rsidR="00D14F12" w:rsidRPr="00D14F12" w:rsidRDefault="00D14F12" w:rsidP="00D14F12">
      <w:pPr>
        <w:jc w:val="both"/>
        <w:rPr>
          <w:rFonts w:ascii="Arial" w:hAnsi="Arial" w:cs="Arial"/>
          <w:sz w:val="20"/>
          <w:lang w:val="es-419"/>
        </w:rPr>
      </w:pPr>
      <w:r w:rsidRPr="00D14F12">
        <w:rPr>
          <w:rFonts w:ascii="Arial" w:hAnsi="Arial" w:cs="Arial"/>
          <w:sz w:val="20"/>
          <w:lang w:val="es-419"/>
        </w:rPr>
        <w:t>Magistrado Ponente:</w:t>
      </w:r>
      <w:r w:rsidRPr="00D14F12">
        <w:rPr>
          <w:rFonts w:ascii="Arial" w:hAnsi="Arial" w:cs="Arial"/>
          <w:sz w:val="20"/>
          <w:lang w:val="es-419"/>
        </w:rPr>
        <w:tab/>
        <w:t>Francisco Javier Tamayo Tabares.</w:t>
      </w:r>
    </w:p>
    <w:p w:rsidR="00D14F12" w:rsidRPr="00D14F12" w:rsidRDefault="00D14F12" w:rsidP="00D14F12">
      <w:pPr>
        <w:jc w:val="both"/>
        <w:rPr>
          <w:rFonts w:ascii="Arial" w:hAnsi="Arial" w:cs="Arial"/>
          <w:sz w:val="20"/>
          <w:lang w:val="es-419"/>
        </w:rPr>
      </w:pPr>
    </w:p>
    <w:p w:rsidR="00D14F12" w:rsidRPr="00875EB1" w:rsidRDefault="00D14F12" w:rsidP="00D14F12">
      <w:pPr>
        <w:jc w:val="both"/>
        <w:rPr>
          <w:rFonts w:ascii="Arial" w:hAnsi="Arial" w:cs="Arial"/>
          <w:b/>
          <w:bCs/>
          <w:iCs/>
          <w:sz w:val="20"/>
          <w:lang w:val="es-CO" w:eastAsia="fr-FR"/>
        </w:rPr>
      </w:pPr>
      <w:r w:rsidRPr="00D14F12">
        <w:rPr>
          <w:rFonts w:ascii="Arial" w:hAnsi="Arial" w:cs="Arial"/>
          <w:b/>
          <w:bCs/>
          <w:iCs/>
          <w:sz w:val="20"/>
          <w:lang w:val="es-419" w:eastAsia="fr-FR"/>
        </w:rPr>
        <w:t>TEMAS:</w:t>
      </w:r>
      <w:r w:rsidRPr="00D14F12">
        <w:rPr>
          <w:rFonts w:ascii="Arial" w:hAnsi="Arial" w:cs="Arial"/>
          <w:b/>
          <w:bCs/>
          <w:iCs/>
          <w:sz w:val="20"/>
          <w:lang w:val="es-419" w:eastAsia="fr-FR"/>
        </w:rPr>
        <w:tab/>
      </w:r>
      <w:r w:rsidR="003F317B">
        <w:rPr>
          <w:rFonts w:ascii="Arial" w:hAnsi="Arial" w:cs="Arial"/>
          <w:b/>
          <w:bCs/>
          <w:iCs/>
          <w:sz w:val="20"/>
          <w:lang w:val="es-CO" w:eastAsia="fr-FR"/>
        </w:rPr>
        <w:t>RELIQUIDACIÓN PENSIONAL / ACTUALIZACIÓN DE</w:t>
      </w:r>
      <w:r w:rsidR="00875EB1">
        <w:rPr>
          <w:rFonts w:ascii="Arial" w:hAnsi="Arial" w:cs="Arial"/>
          <w:b/>
          <w:bCs/>
          <w:iCs/>
          <w:sz w:val="20"/>
          <w:lang w:val="es-CO" w:eastAsia="fr-FR"/>
        </w:rPr>
        <w:t xml:space="preserve">L SALARIO BASE DE LIQUIDACIÓN </w:t>
      </w:r>
      <w:r w:rsidR="003F317B">
        <w:rPr>
          <w:rFonts w:ascii="Arial" w:hAnsi="Arial" w:cs="Arial"/>
          <w:b/>
          <w:bCs/>
          <w:iCs/>
          <w:sz w:val="20"/>
          <w:lang w:val="es-CO" w:eastAsia="fr-FR"/>
        </w:rPr>
        <w:t xml:space="preserve">/ </w:t>
      </w:r>
      <w:r w:rsidRPr="00D14F12">
        <w:rPr>
          <w:rFonts w:ascii="Arial" w:hAnsi="Arial" w:cs="Arial"/>
          <w:b/>
          <w:sz w:val="20"/>
          <w:lang w:val="es-419"/>
        </w:rPr>
        <w:t xml:space="preserve">COSA JUZGADA </w:t>
      </w:r>
      <w:r w:rsidRPr="00D14F12">
        <w:rPr>
          <w:rFonts w:ascii="Arial" w:hAnsi="Arial" w:cs="Arial"/>
          <w:b/>
          <w:bCs/>
          <w:iCs/>
          <w:sz w:val="20"/>
          <w:lang w:val="es-419" w:eastAsia="fr-FR"/>
        </w:rPr>
        <w:t xml:space="preserve">/ </w:t>
      </w:r>
      <w:r w:rsidR="00875EB1">
        <w:rPr>
          <w:rFonts w:ascii="Arial" w:hAnsi="Arial" w:cs="Arial"/>
          <w:b/>
          <w:bCs/>
          <w:iCs/>
          <w:sz w:val="20"/>
          <w:lang w:val="es-CO" w:eastAsia="fr-FR"/>
        </w:rPr>
        <w:t>ELEMENTOS QUE INTEGRAN ESTA FIGURA / ANÁLISIS DE CADA UNO DE ELLOS / IDENTIDAD DE PARTES NO ES FORZOSAMENTE IDENTIDAD DE PERSONAS.</w:t>
      </w:r>
    </w:p>
    <w:p w:rsidR="00D14F12" w:rsidRDefault="00D14F12" w:rsidP="00D14F12">
      <w:pPr>
        <w:jc w:val="both"/>
        <w:rPr>
          <w:rFonts w:ascii="Arial" w:hAnsi="Arial" w:cs="Arial"/>
          <w:sz w:val="20"/>
          <w:lang w:val="es-419"/>
        </w:rPr>
      </w:pPr>
    </w:p>
    <w:p w:rsidR="007A169A" w:rsidRPr="007A169A" w:rsidRDefault="007A169A" w:rsidP="007A169A">
      <w:pPr>
        <w:jc w:val="both"/>
        <w:rPr>
          <w:rFonts w:ascii="Arial" w:hAnsi="Arial" w:cs="Arial"/>
          <w:sz w:val="20"/>
          <w:lang w:val="es-419"/>
        </w:rPr>
      </w:pPr>
      <w:r w:rsidRPr="007A169A">
        <w:rPr>
          <w:rFonts w:ascii="Arial" w:hAnsi="Arial" w:cs="Arial"/>
          <w:sz w:val="20"/>
          <w:lang w:val="es-419"/>
        </w:rPr>
        <w:t>Con el fin de mantener la unidad en las decisiones judiciales y evitar que se emitan por varios funcionarios judiciales pronunciamientos sobre un mismo punto, se estableció la institución procesal de la cosa juzgada, garantizándose con ella la seguridad jurídica, evitándose con ella el infinito debate sobre un asunto que involucre a las mismas partes, el mismo objeto litigioso y las mismas causas.</w:t>
      </w:r>
    </w:p>
    <w:p w:rsidR="007A169A" w:rsidRPr="007A169A" w:rsidRDefault="007A169A" w:rsidP="007A169A">
      <w:pPr>
        <w:jc w:val="both"/>
        <w:rPr>
          <w:rFonts w:ascii="Arial" w:hAnsi="Arial" w:cs="Arial"/>
          <w:sz w:val="20"/>
          <w:lang w:val="es-419"/>
        </w:rPr>
      </w:pPr>
    </w:p>
    <w:p w:rsidR="007A169A" w:rsidRDefault="007A169A" w:rsidP="007A169A">
      <w:pPr>
        <w:jc w:val="both"/>
        <w:rPr>
          <w:rFonts w:ascii="Arial" w:hAnsi="Arial" w:cs="Arial"/>
          <w:sz w:val="20"/>
          <w:lang w:val="es-CO"/>
        </w:rPr>
      </w:pPr>
      <w:r w:rsidRPr="007A169A">
        <w:rPr>
          <w:rFonts w:ascii="Arial" w:hAnsi="Arial" w:cs="Arial"/>
          <w:sz w:val="20"/>
          <w:lang w:val="es-419"/>
        </w:rPr>
        <w:t>El artículo 303 del CGP, se encarga de regular el tema de la cosa juzgada indicando que: “La sentencia ejecutoriada proferida en proceso contencioso tiene fuerza de cosa juzgada siempre que el nuevo proceso verse sobre el mismo objeto, se funde en la misma causa que el anterior y entre ambos procesos haya identidad jurídica de partes”.</w:t>
      </w:r>
      <w:r w:rsidR="00721111">
        <w:rPr>
          <w:rFonts w:ascii="Arial" w:hAnsi="Arial" w:cs="Arial"/>
          <w:sz w:val="20"/>
          <w:lang w:val="es-CO"/>
        </w:rPr>
        <w:t xml:space="preserve"> (…)</w:t>
      </w:r>
    </w:p>
    <w:p w:rsidR="00721111" w:rsidRPr="00721111" w:rsidRDefault="00721111" w:rsidP="007A169A">
      <w:pPr>
        <w:jc w:val="both"/>
        <w:rPr>
          <w:rFonts w:ascii="Arial" w:hAnsi="Arial" w:cs="Arial"/>
          <w:sz w:val="20"/>
          <w:lang w:val="es-CO"/>
        </w:rPr>
      </w:pPr>
    </w:p>
    <w:p w:rsidR="007A169A" w:rsidRDefault="00721111" w:rsidP="00D14F12">
      <w:pPr>
        <w:jc w:val="both"/>
        <w:rPr>
          <w:rFonts w:ascii="Arial" w:hAnsi="Arial" w:cs="Arial"/>
          <w:sz w:val="20"/>
          <w:lang w:val="es-CO"/>
        </w:rPr>
      </w:pPr>
      <w:r>
        <w:rPr>
          <w:rFonts w:ascii="Arial" w:hAnsi="Arial" w:cs="Arial"/>
          <w:sz w:val="20"/>
          <w:lang w:val="es-CO"/>
        </w:rPr>
        <w:t xml:space="preserve">… </w:t>
      </w:r>
      <w:r w:rsidRPr="00721111">
        <w:rPr>
          <w:rFonts w:ascii="Arial" w:hAnsi="Arial" w:cs="Arial"/>
          <w:sz w:val="20"/>
          <w:lang w:val="es-419"/>
        </w:rPr>
        <w:t>se tiene que en el presente caso, por la iniciativa de la a-quo, se lograron allegar en medio magnético CD copias de una actuación judicial anterior tramitada en Manizales, Caldas -fls. 93 vto. y 99- en las que se puede constatar que el señor Hernando Uribe Vargas había puesto en conocimiento de la jurisdicción laboral la reliquidación de su derecho pensional de vejez, siendo el demandado en ese proceso el Instituto de Seguros Sociales, que fue subrogado por Colpensiones.</w:t>
      </w:r>
      <w:r>
        <w:rPr>
          <w:rFonts w:ascii="Arial" w:hAnsi="Arial" w:cs="Arial"/>
          <w:sz w:val="20"/>
          <w:lang w:val="es-CO"/>
        </w:rPr>
        <w:t xml:space="preserve"> (…)</w:t>
      </w:r>
    </w:p>
    <w:p w:rsidR="00721111" w:rsidRDefault="00721111" w:rsidP="00D14F12">
      <w:pPr>
        <w:jc w:val="both"/>
        <w:rPr>
          <w:rFonts w:ascii="Arial" w:hAnsi="Arial" w:cs="Arial"/>
          <w:sz w:val="20"/>
          <w:lang w:val="es-CO"/>
        </w:rPr>
      </w:pPr>
    </w:p>
    <w:p w:rsidR="00721111" w:rsidRPr="00721111" w:rsidRDefault="00721111" w:rsidP="00D14F12">
      <w:pPr>
        <w:jc w:val="both"/>
        <w:rPr>
          <w:rFonts w:ascii="Arial" w:hAnsi="Arial" w:cs="Arial"/>
          <w:sz w:val="20"/>
          <w:lang w:val="es-CO"/>
        </w:rPr>
      </w:pPr>
      <w:r>
        <w:rPr>
          <w:rFonts w:ascii="Arial" w:hAnsi="Arial" w:cs="Arial"/>
          <w:sz w:val="20"/>
          <w:lang w:val="es-CO"/>
        </w:rPr>
        <w:t xml:space="preserve">… </w:t>
      </w:r>
      <w:r w:rsidRPr="00721111">
        <w:rPr>
          <w:rFonts w:ascii="Arial" w:hAnsi="Arial" w:cs="Arial"/>
          <w:sz w:val="20"/>
          <w:lang w:val="es-CO"/>
        </w:rPr>
        <w:t>dígase que está acreditada la identidad jurídica de partes en los dos procesos, pues aunque en el juicio primigenio actuó como demandante el señor Hernando Uribe Vargas, y en el actual aparece la señora Alba Lucía Ocampo Sepúlveda, lo cierto es que ésta está actuando como sucesora procesal de aquel, al haberse producido un cambio en la titularidad de los derechos subjetivos que le pertenecían y que conforman el objeto del proceso.</w:t>
      </w:r>
      <w:r>
        <w:rPr>
          <w:rFonts w:ascii="Arial" w:hAnsi="Arial" w:cs="Arial"/>
          <w:sz w:val="20"/>
          <w:lang w:val="es-CO"/>
        </w:rPr>
        <w:t xml:space="preserve"> (…)</w:t>
      </w:r>
    </w:p>
    <w:p w:rsidR="00D14F12" w:rsidRPr="00D14F12" w:rsidRDefault="00D14F12" w:rsidP="00D14F12">
      <w:pPr>
        <w:jc w:val="both"/>
        <w:rPr>
          <w:rFonts w:ascii="Arial" w:hAnsi="Arial" w:cs="Arial"/>
          <w:sz w:val="20"/>
          <w:lang w:val="es-419"/>
        </w:rPr>
      </w:pPr>
    </w:p>
    <w:p w:rsidR="00D14F12" w:rsidRDefault="003F317B" w:rsidP="00D14F12">
      <w:pPr>
        <w:jc w:val="both"/>
        <w:rPr>
          <w:rFonts w:ascii="Arial" w:hAnsi="Arial" w:cs="Arial"/>
          <w:sz w:val="20"/>
          <w:lang w:val="es-CO"/>
        </w:rPr>
      </w:pPr>
      <w:r w:rsidRPr="003F317B">
        <w:rPr>
          <w:rFonts w:ascii="Arial" w:hAnsi="Arial" w:cs="Arial"/>
          <w:sz w:val="20"/>
          <w:lang w:val="es-419"/>
        </w:rPr>
        <w:t>La identidad de objeto, en este asunto, se acompasa perfectamente con las exigencias legales para pregonar la existencia de cosa juzgada, puesto que si bien en esta segunda litis se enlistó además la súplica en torno a la reliquidación de la pensión de sobrevivientes, ello corresponde a un segundo nivel, dependiente del éxito de la primera súplica, esto es, la actualización de la primera mesada de la pensión de vejez de q</w:t>
      </w:r>
      <w:r>
        <w:rPr>
          <w:rFonts w:ascii="Arial" w:hAnsi="Arial" w:cs="Arial"/>
          <w:sz w:val="20"/>
          <w:lang w:val="es-419"/>
        </w:rPr>
        <w:t>uien causó la de sobrevivientes…</w:t>
      </w:r>
    </w:p>
    <w:p w:rsidR="003F317B" w:rsidRPr="003F317B" w:rsidRDefault="003F317B" w:rsidP="00D14F12">
      <w:pPr>
        <w:jc w:val="both"/>
        <w:rPr>
          <w:rFonts w:ascii="Arial" w:hAnsi="Arial" w:cs="Arial"/>
          <w:sz w:val="20"/>
          <w:lang w:val="es-CO"/>
        </w:rPr>
      </w:pPr>
    </w:p>
    <w:p w:rsidR="003F317B" w:rsidRPr="003F317B" w:rsidRDefault="003F317B" w:rsidP="003F317B">
      <w:pPr>
        <w:jc w:val="both"/>
        <w:rPr>
          <w:rFonts w:ascii="Arial" w:hAnsi="Arial" w:cs="Arial"/>
          <w:sz w:val="20"/>
          <w:lang w:val="es-ES"/>
        </w:rPr>
      </w:pPr>
      <w:r w:rsidRPr="003F317B">
        <w:rPr>
          <w:rFonts w:ascii="Arial" w:hAnsi="Arial" w:cs="Arial"/>
          <w:sz w:val="20"/>
          <w:lang w:val="es-ES"/>
        </w:rPr>
        <w:t xml:space="preserve">En cuanto a las causas en los dos procesos, se tiene que ambos refieren como sustento fáctico los hechos alusivos a la incorrecta liquidación de la mesada pensional por parte de la entidad administradora de pensiones, al no actualizarla para el año 1990, siendo entonces la misma causa que sustentó la anterior demanda. </w:t>
      </w:r>
    </w:p>
    <w:p w:rsidR="003F317B" w:rsidRPr="003F317B" w:rsidRDefault="003F317B" w:rsidP="003F317B">
      <w:pPr>
        <w:jc w:val="both"/>
        <w:rPr>
          <w:rFonts w:ascii="Arial" w:hAnsi="Arial" w:cs="Arial"/>
          <w:sz w:val="20"/>
          <w:lang w:val="es-ES"/>
        </w:rPr>
      </w:pPr>
    </w:p>
    <w:p w:rsidR="00D14F12" w:rsidRDefault="003F317B" w:rsidP="003F317B">
      <w:pPr>
        <w:jc w:val="both"/>
        <w:rPr>
          <w:rFonts w:ascii="Arial" w:hAnsi="Arial" w:cs="Arial"/>
          <w:sz w:val="20"/>
          <w:lang w:val="es-ES"/>
        </w:rPr>
      </w:pPr>
      <w:r w:rsidRPr="003F317B">
        <w:rPr>
          <w:rFonts w:ascii="Arial" w:hAnsi="Arial" w:cs="Arial"/>
          <w:sz w:val="20"/>
          <w:lang w:val="es-ES"/>
        </w:rPr>
        <w:t>Por lo tanto, para esta Sala no queda duda que este asunto ya había sido decidido por la justicia laboral, razón por la cual se configuró la cosa juzgada en el presente caso</w:t>
      </w:r>
      <w:r>
        <w:rPr>
          <w:rFonts w:ascii="Arial" w:hAnsi="Arial" w:cs="Arial"/>
          <w:sz w:val="20"/>
          <w:lang w:val="es-ES"/>
        </w:rPr>
        <w:t>…</w:t>
      </w:r>
    </w:p>
    <w:p w:rsidR="003F317B" w:rsidRPr="00D14F12" w:rsidRDefault="003F317B" w:rsidP="003F317B">
      <w:pPr>
        <w:jc w:val="both"/>
        <w:rPr>
          <w:rFonts w:ascii="Arial" w:hAnsi="Arial" w:cs="Arial"/>
          <w:sz w:val="20"/>
          <w:lang w:val="es-ES"/>
        </w:rPr>
      </w:pPr>
    </w:p>
    <w:p w:rsidR="00D14F12" w:rsidRPr="00D14F12" w:rsidRDefault="00D14F12" w:rsidP="00D14F12">
      <w:pPr>
        <w:jc w:val="both"/>
        <w:rPr>
          <w:rFonts w:ascii="Arial" w:hAnsi="Arial" w:cs="Arial"/>
          <w:sz w:val="20"/>
          <w:lang w:val="es-ES"/>
        </w:rPr>
      </w:pPr>
    </w:p>
    <w:p w:rsidR="00D14F12" w:rsidRPr="00D14F12" w:rsidRDefault="00D14F12" w:rsidP="00D14F12">
      <w:pPr>
        <w:jc w:val="both"/>
        <w:rPr>
          <w:rFonts w:ascii="Arial" w:hAnsi="Arial" w:cs="Arial"/>
          <w:sz w:val="20"/>
          <w:lang w:val="es-ES"/>
        </w:rPr>
      </w:pPr>
    </w:p>
    <w:p w:rsidR="00C6105C" w:rsidRPr="00BA5911" w:rsidRDefault="00C6105C" w:rsidP="003F317B">
      <w:pPr>
        <w:spacing w:line="288" w:lineRule="auto"/>
        <w:jc w:val="center"/>
        <w:rPr>
          <w:rFonts w:ascii="Arial Narrow" w:hAnsi="Arial Narrow" w:cs="Arial"/>
          <w:b/>
          <w:sz w:val="26"/>
          <w:szCs w:val="26"/>
          <w:lang w:val="es-419"/>
        </w:rPr>
      </w:pPr>
      <w:r w:rsidRPr="00BA5911">
        <w:rPr>
          <w:rFonts w:ascii="Arial Narrow" w:hAnsi="Arial Narrow" w:cs="Arial"/>
          <w:b/>
          <w:sz w:val="26"/>
          <w:szCs w:val="26"/>
          <w:lang w:val="es-419"/>
        </w:rPr>
        <w:t>REPÚBLICA DE COLOMBIA</w:t>
      </w:r>
    </w:p>
    <w:p w:rsidR="00C6105C" w:rsidRPr="00BA5911" w:rsidRDefault="00C6105C" w:rsidP="003F317B">
      <w:pPr>
        <w:tabs>
          <w:tab w:val="left" w:pos="3060"/>
        </w:tabs>
        <w:spacing w:line="288" w:lineRule="auto"/>
        <w:jc w:val="center"/>
        <w:rPr>
          <w:rFonts w:ascii="Arial Narrow" w:hAnsi="Arial Narrow" w:cs="Arial"/>
          <w:b/>
          <w:sz w:val="26"/>
          <w:szCs w:val="26"/>
          <w:lang w:val="es-419"/>
        </w:rPr>
      </w:pPr>
      <w:r w:rsidRPr="00BA5911">
        <w:rPr>
          <w:rFonts w:ascii="Arial Narrow" w:hAnsi="Arial Narrow" w:cs="Arial"/>
          <w:b/>
          <w:noProof/>
          <w:sz w:val="26"/>
          <w:szCs w:val="26"/>
          <w:lang w:val="es-ES"/>
        </w:rPr>
        <w:drawing>
          <wp:inline distT="0" distB="0" distL="0" distR="0" wp14:anchorId="772B2A19" wp14:editId="4DFAFD76">
            <wp:extent cx="862330" cy="8883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BA5911">
        <w:rPr>
          <w:rFonts w:ascii="Arial Narrow" w:hAnsi="Arial Narrow" w:cs="Arial"/>
          <w:b/>
          <w:color w:val="000000"/>
          <w:sz w:val="26"/>
          <w:szCs w:val="26"/>
          <w:lang w:val="es-419"/>
        </w:rPr>
        <w:br w:type="textWrapping" w:clear="all"/>
      </w:r>
      <w:r w:rsidRPr="00BA5911">
        <w:rPr>
          <w:rFonts w:ascii="Arial Narrow" w:hAnsi="Arial Narrow" w:cs="Arial"/>
          <w:b/>
          <w:sz w:val="26"/>
          <w:szCs w:val="26"/>
          <w:lang w:val="es-419"/>
        </w:rPr>
        <w:t>TRIBUNAL SUPERIOR DE DISTRITO JUDICIAL DE PEREIRA</w:t>
      </w:r>
    </w:p>
    <w:p w:rsidR="00C6105C" w:rsidRPr="00BA5911" w:rsidRDefault="00C6105C" w:rsidP="003F317B">
      <w:pPr>
        <w:keepNext/>
        <w:spacing w:line="288" w:lineRule="auto"/>
        <w:jc w:val="center"/>
        <w:outlineLvl w:val="0"/>
        <w:rPr>
          <w:rFonts w:ascii="Arial Narrow" w:hAnsi="Arial Narrow" w:cs="Arial"/>
          <w:b/>
          <w:bCs/>
          <w:kern w:val="32"/>
          <w:sz w:val="26"/>
          <w:szCs w:val="26"/>
          <w:lang w:val="es-419"/>
        </w:rPr>
      </w:pPr>
      <w:r w:rsidRPr="00BA5911">
        <w:rPr>
          <w:rFonts w:ascii="Arial Narrow" w:hAnsi="Arial Narrow" w:cs="Arial"/>
          <w:b/>
          <w:bCs/>
          <w:kern w:val="32"/>
          <w:sz w:val="26"/>
          <w:szCs w:val="26"/>
          <w:lang w:val="es-419"/>
        </w:rPr>
        <w:t>SALA CUARTA DE DECISIÓN LABORAL</w:t>
      </w:r>
    </w:p>
    <w:p w:rsidR="00C6105C" w:rsidRPr="00BA5911" w:rsidRDefault="00C6105C" w:rsidP="003F317B">
      <w:pPr>
        <w:spacing w:line="288" w:lineRule="auto"/>
        <w:jc w:val="both"/>
        <w:rPr>
          <w:rFonts w:ascii="Arial Narrow" w:hAnsi="Arial Narrow" w:cs="Arial"/>
          <w:sz w:val="26"/>
          <w:szCs w:val="26"/>
          <w:lang w:val="es-419"/>
        </w:rPr>
      </w:pPr>
    </w:p>
    <w:p w:rsidR="00796EDD" w:rsidRPr="00DF67DF" w:rsidRDefault="00796EDD" w:rsidP="003F317B">
      <w:pPr>
        <w:spacing w:line="288" w:lineRule="auto"/>
        <w:ind w:firstLine="708"/>
        <w:jc w:val="both"/>
        <w:rPr>
          <w:rFonts w:ascii="Arial Narrow" w:hAnsi="Arial Narrow" w:cs="Arial"/>
          <w:bCs/>
          <w:iCs/>
          <w:sz w:val="26"/>
          <w:szCs w:val="26"/>
        </w:rPr>
      </w:pPr>
      <w:r w:rsidRPr="00DF67DF">
        <w:rPr>
          <w:rFonts w:ascii="Arial Narrow" w:eastAsia="Calibri" w:hAnsi="Arial Narrow" w:cs="Arial"/>
          <w:sz w:val="26"/>
          <w:szCs w:val="26"/>
          <w:lang w:val="es-CO" w:eastAsia="en-US"/>
        </w:rPr>
        <w:lastRenderedPageBreak/>
        <w:t>En Pereira, hoy veintiséis (26</w:t>
      </w:r>
      <w:r w:rsidR="00F87459" w:rsidRPr="00DF67DF">
        <w:rPr>
          <w:rFonts w:ascii="Arial Narrow" w:eastAsia="Calibri" w:hAnsi="Arial Narrow" w:cs="Arial"/>
          <w:sz w:val="26"/>
          <w:szCs w:val="26"/>
          <w:lang w:val="es-CO" w:eastAsia="en-US"/>
        </w:rPr>
        <w:t>) de septiembre de</w:t>
      </w:r>
      <w:r w:rsidRPr="00DF67DF">
        <w:rPr>
          <w:rFonts w:ascii="Arial Narrow" w:eastAsia="Calibri" w:hAnsi="Arial Narrow" w:cs="Arial"/>
          <w:sz w:val="26"/>
          <w:szCs w:val="26"/>
          <w:lang w:val="es-CO" w:eastAsia="en-US"/>
        </w:rPr>
        <w:t xml:space="preserve"> dos mil </w:t>
      </w:r>
      <w:r w:rsidR="00F87459" w:rsidRPr="00DF67DF">
        <w:rPr>
          <w:rFonts w:ascii="Arial Narrow" w:eastAsia="Calibri" w:hAnsi="Arial Narrow" w:cs="Arial"/>
          <w:sz w:val="26"/>
          <w:szCs w:val="26"/>
          <w:lang w:val="es-CO" w:eastAsia="en-US"/>
        </w:rPr>
        <w:t>diecinueve</w:t>
      </w:r>
      <w:r w:rsidRPr="00DF67DF">
        <w:rPr>
          <w:rFonts w:ascii="Arial Narrow" w:eastAsia="Calibri" w:hAnsi="Arial Narrow" w:cs="Arial"/>
          <w:sz w:val="26"/>
          <w:szCs w:val="26"/>
          <w:lang w:val="es-CO" w:eastAsia="en-US"/>
        </w:rPr>
        <w:t xml:space="preserve"> (201</w:t>
      </w:r>
      <w:r w:rsidR="00F87459" w:rsidRPr="00DF67DF">
        <w:rPr>
          <w:rFonts w:ascii="Arial Narrow" w:eastAsia="Calibri" w:hAnsi="Arial Narrow" w:cs="Arial"/>
          <w:sz w:val="26"/>
          <w:szCs w:val="26"/>
          <w:lang w:val="es-CO" w:eastAsia="en-US"/>
        </w:rPr>
        <w:t>9</w:t>
      </w:r>
      <w:r w:rsidRPr="00DF67DF">
        <w:rPr>
          <w:rFonts w:ascii="Arial Narrow" w:eastAsia="Calibri" w:hAnsi="Arial Narrow" w:cs="Arial"/>
          <w:sz w:val="26"/>
          <w:szCs w:val="26"/>
          <w:lang w:val="es-CO" w:eastAsia="en-US"/>
        </w:rPr>
        <w:t>), siendo las nueve</w:t>
      </w:r>
      <w:r w:rsidR="00F87459" w:rsidRPr="00DF67DF">
        <w:rPr>
          <w:rFonts w:ascii="Arial Narrow" w:eastAsia="Calibri" w:hAnsi="Arial Narrow" w:cs="Arial"/>
          <w:sz w:val="26"/>
          <w:szCs w:val="26"/>
          <w:lang w:val="es-CO" w:eastAsia="en-US"/>
        </w:rPr>
        <w:t xml:space="preserve"> y cuarenta y cinco </w:t>
      </w:r>
      <w:r w:rsidRPr="00DF67DF">
        <w:rPr>
          <w:rFonts w:ascii="Arial Narrow" w:eastAsia="Calibri" w:hAnsi="Arial Narrow" w:cs="Arial"/>
          <w:sz w:val="26"/>
          <w:szCs w:val="26"/>
          <w:lang w:val="es-CO" w:eastAsia="en-US"/>
        </w:rPr>
        <w:t>de la mañana (9:</w:t>
      </w:r>
      <w:r w:rsidR="00F87459" w:rsidRPr="00DF67DF">
        <w:rPr>
          <w:rFonts w:ascii="Arial Narrow" w:eastAsia="Calibri" w:hAnsi="Arial Narrow" w:cs="Arial"/>
          <w:sz w:val="26"/>
          <w:szCs w:val="26"/>
          <w:lang w:val="es-CO" w:eastAsia="en-US"/>
        </w:rPr>
        <w:t>45</w:t>
      </w:r>
      <w:r w:rsidRPr="00DF67DF">
        <w:rPr>
          <w:rFonts w:ascii="Arial Narrow" w:eastAsia="Calibri" w:hAnsi="Arial Narrow" w:cs="Arial"/>
          <w:sz w:val="26"/>
          <w:szCs w:val="26"/>
          <w:lang w:val="es-CO" w:eastAsia="en-US"/>
        </w:rPr>
        <w:t xml:space="preserve"> a.m.) </w:t>
      </w:r>
      <w:r w:rsidRPr="00DF67DF">
        <w:rPr>
          <w:rFonts w:ascii="Arial Narrow" w:hAnsi="Arial Narrow" w:cs="Tahoma"/>
          <w:bCs/>
          <w:color w:val="000000"/>
          <w:sz w:val="26"/>
          <w:szCs w:val="26"/>
          <w:lang w:eastAsia="es-CO"/>
        </w:rPr>
        <w:t xml:space="preserve">reunidos en la Sala de Audiencia las magistradas y el suscrito magistrado de la Sala Laboral No. </w:t>
      </w:r>
      <w:r w:rsidR="00F87459" w:rsidRPr="00DF67DF">
        <w:rPr>
          <w:rFonts w:ascii="Arial Narrow" w:hAnsi="Arial Narrow" w:cs="Tahoma"/>
          <w:bCs/>
          <w:color w:val="000000"/>
          <w:sz w:val="26"/>
          <w:szCs w:val="26"/>
          <w:lang w:eastAsia="es-CO"/>
        </w:rPr>
        <w:t>4</w:t>
      </w:r>
      <w:r w:rsidRPr="00DF67DF">
        <w:rPr>
          <w:rFonts w:ascii="Arial Narrow" w:hAnsi="Arial Narrow" w:cs="Tahoma"/>
          <w:bCs/>
          <w:color w:val="000000"/>
          <w:sz w:val="26"/>
          <w:szCs w:val="26"/>
          <w:lang w:eastAsia="es-CO"/>
        </w:rPr>
        <w:t xml:space="preserve"> del Tribunal Superior de Pereira, el ponente declara abierto el acto, que tiene por objeto resolver el </w:t>
      </w:r>
      <w:r w:rsidR="00F87459" w:rsidRPr="00DF67DF">
        <w:rPr>
          <w:rFonts w:ascii="Arial Narrow" w:hAnsi="Arial Narrow" w:cs="Tahoma"/>
          <w:bCs/>
          <w:color w:val="000000"/>
          <w:sz w:val="26"/>
          <w:szCs w:val="26"/>
          <w:lang w:eastAsia="es-CO"/>
        </w:rPr>
        <w:t>grado jurisdiccional de consulta frente a</w:t>
      </w:r>
      <w:r w:rsidRPr="00DF67DF">
        <w:rPr>
          <w:rFonts w:ascii="Arial Narrow" w:hAnsi="Arial Narrow" w:cs="Tahoma"/>
          <w:bCs/>
          <w:color w:val="000000"/>
          <w:sz w:val="26"/>
          <w:szCs w:val="26"/>
          <w:lang w:eastAsia="es-CO"/>
        </w:rPr>
        <w:t xml:space="preserve"> la sentencia proferida el </w:t>
      </w:r>
      <w:r w:rsidR="00F87459" w:rsidRPr="00DF67DF">
        <w:rPr>
          <w:rFonts w:ascii="Arial Narrow" w:hAnsi="Arial Narrow" w:cs="Tahoma"/>
          <w:bCs/>
          <w:color w:val="000000"/>
          <w:sz w:val="26"/>
          <w:szCs w:val="26"/>
          <w:lang w:eastAsia="es-CO"/>
        </w:rPr>
        <w:t>15 de marzo de 2019</w:t>
      </w:r>
      <w:r w:rsidRPr="00DF67DF">
        <w:rPr>
          <w:rFonts w:ascii="Arial Narrow" w:hAnsi="Arial Narrow" w:cs="Tahoma"/>
          <w:bCs/>
          <w:color w:val="000000"/>
          <w:sz w:val="26"/>
          <w:szCs w:val="26"/>
          <w:lang w:eastAsia="es-CO"/>
        </w:rPr>
        <w:t xml:space="preserve"> </w:t>
      </w:r>
      <w:r w:rsidRPr="00DF67DF">
        <w:rPr>
          <w:rFonts w:ascii="Arial Narrow" w:hAnsi="Arial Narrow" w:cs="Arial"/>
          <w:sz w:val="26"/>
          <w:szCs w:val="26"/>
        </w:rPr>
        <w:t xml:space="preserve">por el Juzgado </w:t>
      </w:r>
      <w:r w:rsidR="00F87459" w:rsidRPr="00DF67DF">
        <w:rPr>
          <w:rFonts w:ascii="Arial Narrow" w:hAnsi="Arial Narrow" w:cs="Arial"/>
          <w:sz w:val="26"/>
          <w:szCs w:val="26"/>
        </w:rPr>
        <w:t>Segundo</w:t>
      </w:r>
      <w:r w:rsidRPr="00DF67DF">
        <w:rPr>
          <w:rFonts w:ascii="Arial Narrow" w:hAnsi="Arial Narrow" w:cs="Arial"/>
          <w:sz w:val="26"/>
          <w:szCs w:val="26"/>
        </w:rPr>
        <w:t xml:space="preserve"> Laboral del Circuito de Pereira, dentro del proceso ordinario laboral promovido por </w:t>
      </w:r>
      <w:r w:rsidR="00F87459" w:rsidRPr="00DF67DF">
        <w:rPr>
          <w:rFonts w:ascii="Arial Narrow" w:hAnsi="Arial Narrow" w:cs="Arial"/>
          <w:b/>
          <w:sz w:val="26"/>
          <w:szCs w:val="26"/>
        </w:rPr>
        <w:t>Alba Lucía Ocampo Sepúlveda</w:t>
      </w:r>
      <w:r w:rsidR="00F87459" w:rsidRPr="00DF67DF">
        <w:rPr>
          <w:rFonts w:ascii="Arial Narrow" w:hAnsi="Arial Narrow" w:cs="Arial"/>
          <w:i/>
          <w:sz w:val="26"/>
          <w:szCs w:val="26"/>
        </w:rPr>
        <w:t xml:space="preserve"> </w:t>
      </w:r>
      <w:r w:rsidRPr="00DF67DF">
        <w:rPr>
          <w:rFonts w:ascii="Arial Narrow" w:hAnsi="Arial Narrow" w:cs="Arial"/>
          <w:sz w:val="26"/>
          <w:szCs w:val="26"/>
        </w:rPr>
        <w:t xml:space="preserve">contra </w:t>
      </w:r>
      <w:r w:rsidRPr="00DF67DF">
        <w:rPr>
          <w:rFonts w:ascii="Arial Narrow" w:hAnsi="Arial Narrow" w:cs="Arial"/>
          <w:b/>
          <w:bCs/>
          <w:sz w:val="26"/>
          <w:szCs w:val="26"/>
        </w:rPr>
        <w:t>Colpensiones</w:t>
      </w:r>
      <w:r w:rsidRPr="00DF67DF">
        <w:rPr>
          <w:rFonts w:ascii="Arial Narrow" w:hAnsi="Arial Narrow" w:cs="Arial"/>
          <w:bCs/>
          <w:i/>
          <w:iCs/>
          <w:sz w:val="26"/>
          <w:szCs w:val="26"/>
        </w:rPr>
        <w:t>.</w:t>
      </w:r>
    </w:p>
    <w:p w:rsidR="00796EDD" w:rsidRPr="00DF67DF" w:rsidRDefault="00042CC5" w:rsidP="003F317B">
      <w:pPr>
        <w:pStyle w:val="Sinespaciado"/>
        <w:tabs>
          <w:tab w:val="left" w:pos="1195"/>
        </w:tabs>
        <w:spacing w:line="288" w:lineRule="auto"/>
        <w:rPr>
          <w:rFonts w:ascii="Arial Narrow" w:hAnsi="Arial Narrow"/>
          <w:sz w:val="26"/>
          <w:szCs w:val="26"/>
          <w:lang w:eastAsia="es-CO"/>
        </w:rPr>
      </w:pPr>
      <w:r w:rsidRPr="00DF67DF">
        <w:rPr>
          <w:rFonts w:ascii="Arial Narrow" w:hAnsi="Arial Narrow"/>
          <w:sz w:val="26"/>
          <w:szCs w:val="26"/>
          <w:lang w:eastAsia="es-CO"/>
        </w:rPr>
        <w:tab/>
      </w:r>
    </w:p>
    <w:p w:rsidR="00796EDD" w:rsidRPr="00DF67DF" w:rsidRDefault="00796EDD" w:rsidP="003F317B">
      <w:pPr>
        <w:spacing w:line="288" w:lineRule="auto"/>
        <w:ind w:firstLine="851"/>
        <w:rPr>
          <w:rFonts w:ascii="Arial Narrow" w:hAnsi="Arial Narrow" w:cs="Tahoma"/>
          <w:b/>
          <w:i/>
          <w:sz w:val="26"/>
          <w:szCs w:val="26"/>
        </w:rPr>
      </w:pPr>
      <w:r w:rsidRPr="00DF67DF">
        <w:rPr>
          <w:rFonts w:ascii="Arial Narrow" w:hAnsi="Arial Narrow" w:cs="Tahoma"/>
          <w:b/>
          <w:sz w:val="26"/>
          <w:szCs w:val="26"/>
        </w:rPr>
        <w:t>I.</w:t>
      </w:r>
      <w:r w:rsidRPr="00DF67DF">
        <w:rPr>
          <w:rFonts w:ascii="Arial Narrow" w:hAnsi="Arial Narrow" w:cs="Tahoma"/>
          <w:b/>
          <w:i/>
          <w:sz w:val="26"/>
          <w:szCs w:val="26"/>
        </w:rPr>
        <w:t xml:space="preserve"> INTRODUCCIÓN</w:t>
      </w:r>
    </w:p>
    <w:p w:rsidR="00796EDD" w:rsidRPr="00DF67DF" w:rsidRDefault="000A2E09" w:rsidP="003F317B">
      <w:pPr>
        <w:pStyle w:val="Sinespaciado"/>
        <w:spacing w:line="288" w:lineRule="auto"/>
        <w:rPr>
          <w:rFonts w:ascii="Arial Narrow" w:hAnsi="Arial Narrow"/>
          <w:sz w:val="26"/>
          <w:szCs w:val="26"/>
        </w:rPr>
      </w:pPr>
      <w:r w:rsidRPr="00DF67DF">
        <w:rPr>
          <w:rFonts w:ascii="Arial Narrow" w:hAnsi="Arial Narrow"/>
          <w:sz w:val="26"/>
          <w:szCs w:val="26"/>
        </w:rPr>
        <w:tab/>
      </w:r>
    </w:p>
    <w:p w:rsidR="00796EDD" w:rsidRPr="00DF67DF" w:rsidRDefault="00796EDD" w:rsidP="003F317B">
      <w:pPr>
        <w:shd w:val="clear" w:color="auto" w:fill="FFFFFF"/>
        <w:spacing w:line="288" w:lineRule="auto"/>
        <w:ind w:firstLine="851"/>
        <w:jc w:val="both"/>
        <w:rPr>
          <w:rFonts w:ascii="Arial Narrow" w:hAnsi="Arial Narrow" w:cs="Tahoma"/>
          <w:sz w:val="26"/>
          <w:szCs w:val="26"/>
        </w:rPr>
      </w:pPr>
      <w:r w:rsidRPr="00DF67DF">
        <w:rPr>
          <w:rFonts w:ascii="Arial Narrow" w:hAnsi="Arial Narrow" w:cs="Tahoma"/>
          <w:sz w:val="26"/>
          <w:szCs w:val="26"/>
        </w:rPr>
        <w:t>Pretende la demandante se declare que</w:t>
      </w:r>
      <w:r w:rsidR="00F87459" w:rsidRPr="00DF67DF">
        <w:rPr>
          <w:rFonts w:ascii="Arial Narrow" w:hAnsi="Arial Narrow" w:cs="Tahoma"/>
          <w:sz w:val="26"/>
          <w:szCs w:val="26"/>
        </w:rPr>
        <w:t xml:space="preserve"> hay lugar a la actualización del salario base de la pensión de vejez </w:t>
      </w:r>
      <w:r w:rsidR="00473DC4" w:rsidRPr="00DF67DF">
        <w:rPr>
          <w:rFonts w:ascii="Arial Narrow" w:hAnsi="Arial Narrow" w:cs="Tahoma"/>
          <w:sz w:val="26"/>
          <w:szCs w:val="26"/>
        </w:rPr>
        <w:t xml:space="preserve">que en vida le fue </w:t>
      </w:r>
      <w:r w:rsidR="00F87459" w:rsidRPr="00DF67DF">
        <w:rPr>
          <w:rFonts w:ascii="Arial Narrow" w:hAnsi="Arial Narrow" w:cs="Tahoma"/>
          <w:sz w:val="26"/>
          <w:szCs w:val="26"/>
        </w:rPr>
        <w:t xml:space="preserve">reconocida </w:t>
      </w:r>
      <w:r w:rsidR="000A2E09" w:rsidRPr="00DF67DF">
        <w:rPr>
          <w:rFonts w:ascii="Arial Narrow" w:hAnsi="Arial Narrow" w:cs="Tahoma"/>
          <w:sz w:val="26"/>
          <w:szCs w:val="26"/>
        </w:rPr>
        <w:t>a</w:t>
      </w:r>
      <w:r w:rsidR="00473DC4" w:rsidRPr="00DF67DF">
        <w:rPr>
          <w:rFonts w:ascii="Arial Narrow" w:hAnsi="Arial Narrow" w:cs="Tahoma"/>
          <w:sz w:val="26"/>
          <w:szCs w:val="26"/>
        </w:rPr>
        <w:t xml:space="preserve">l señor </w:t>
      </w:r>
      <w:r w:rsidR="00F87459" w:rsidRPr="00DF67DF">
        <w:rPr>
          <w:rFonts w:ascii="Arial Narrow" w:hAnsi="Arial Narrow" w:cs="Tahoma"/>
          <w:sz w:val="26"/>
          <w:szCs w:val="26"/>
        </w:rPr>
        <w:t xml:space="preserve">Hernando Uribe Vargas, y en consecuencia, se declare que ella tiene derecho a que la entidad </w:t>
      </w:r>
      <w:r w:rsidR="000A2E09" w:rsidRPr="00DF67DF">
        <w:rPr>
          <w:rFonts w:ascii="Arial Narrow" w:hAnsi="Arial Narrow" w:cs="Tahoma"/>
          <w:sz w:val="26"/>
          <w:szCs w:val="26"/>
        </w:rPr>
        <w:t xml:space="preserve">demandada </w:t>
      </w:r>
      <w:r w:rsidR="00F87459" w:rsidRPr="00DF67DF">
        <w:rPr>
          <w:rFonts w:ascii="Arial Narrow" w:hAnsi="Arial Narrow" w:cs="Tahoma"/>
          <w:sz w:val="26"/>
          <w:szCs w:val="26"/>
        </w:rPr>
        <w:t xml:space="preserve">le </w:t>
      </w:r>
      <w:proofErr w:type="spellStart"/>
      <w:r w:rsidR="00F87459" w:rsidRPr="00DF67DF">
        <w:rPr>
          <w:rFonts w:ascii="Arial Narrow" w:hAnsi="Arial Narrow" w:cs="Tahoma"/>
          <w:sz w:val="26"/>
          <w:szCs w:val="26"/>
        </w:rPr>
        <w:t>reliquide</w:t>
      </w:r>
      <w:proofErr w:type="spellEnd"/>
      <w:r w:rsidR="00F87459" w:rsidRPr="00DF67DF">
        <w:rPr>
          <w:rFonts w:ascii="Arial Narrow" w:hAnsi="Arial Narrow" w:cs="Tahoma"/>
          <w:sz w:val="26"/>
          <w:szCs w:val="26"/>
        </w:rPr>
        <w:t xml:space="preserve"> la sustitución pensional que le fue otorgada con ocasión al deceso de aquel, a partir del 7 de octubre de 2010, </w:t>
      </w:r>
      <w:r w:rsidR="000A2E09" w:rsidRPr="00DF67DF">
        <w:rPr>
          <w:rFonts w:ascii="Arial Narrow" w:hAnsi="Arial Narrow" w:cs="Tahoma"/>
          <w:sz w:val="26"/>
          <w:szCs w:val="26"/>
        </w:rPr>
        <w:t xml:space="preserve">así como al pago de la </w:t>
      </w:r>
      <w:r w:rsidR="00473DC4" w:rsidRPr="00DF67DF">
        <w:rPr>
          <w:rFonts w:ascii="Arial Narrow" w:hAnsi="Arial Narrow" w:cs="Tahoma"/>
          <w:sz w:val="26"/>
          <w:szCs w:val="26"/>
        </w:rPr>
        <w:t xml:space="preserve">diferencia obtenida, la indexación de las condenas y las costas procesales a su favor. </w:t>
      </w:r>
    </w:p>
    <w:p w:rsidR="00C6105C" w:rsidRPr="00DF67DF" w:rsidRDefault="00C6105C" w:rsidP="003F317B">
      <w:pPr>
        <w:shd w:val="clear" w:color="auto" w:fill="FFFFFF"/>
        <w:spacing w:line="288" w:lineRule="auto"/>
        <w:ind w:firstLine="851"/>
        <w:jc w:val="both"/>
        <w:rPr>
          <w:rFonts w:ascii="Arial Narrow" w:hAnsi="Arial Narrow" w:cs="Tahoma"/>
          <w:sz w:val="26"/>
          <w:szCs w:val="26"/>
        </w:rPr>
      </w:pPr>
    </w:p>
    <w:p w:rsidR="00473DC4" w:rsidRPr="00DF67DF" w:rsidRDefault="00473DC4" w:rsidP="003F317B">
      <w:pPr>
        <w:shd w:val="clear" w:color="auto" w:fill="FFFFFF"/>
        <w:spacing w:line="288" w:lineRule="auto"/>
        <w:ind w:firstLine="851"/>
        <w:jc w:val="both"/>
        <w:rPr>
          <w:rFonts w:ascii="Arial Narrow" w:hAnsi="Arial Narrow" w:cs="Tahoma"/>
          <w:sz w:val="26"/>
          <w:szCs w:val="26"/>
        </w:rPr>
      </w:pPr>
      <w:r w:rsidRPr="00DF67DF">
        <w:rPr>
          <w:rFonts w:ascii="Arial Narrow" w:hAnsi="Arial Narrow" w:cs="Tahoma"/>
          <w:sz w:val="26"/>
          <w:szCs w:val="26"/>
        </w:rPr>
        <w:t xml:space="preserve">Como fundamento a esos pedimentos, expuso básicamente que mediante Resolución No. 01223 del 21 de mayo de 1991, el ISS le reconoció al señor Hernando Uribe Vargas la pensión de vejez con fundamento en el Acuerdo 049/90, en cuantía de $50.841 para el año 1990; que la liquidación </w:t>
      </w:r>
      <w:r w:rsidR="00AB5169" w:rsidRPr="00DF67DF">
        <w:rPr>
          <w:rFonts w:ascii="Arial Narrow" w:hAnsi="Arial Narrow" w:cs="Tahoma"/>
          <w:sz w:val="26"/>
          <w:szCs w:val="26"/>
        </w:rPr>
        <w:t xml:space="preserve">tuvo en cuenta un total de 973 semanas cotizadas y un </w:t>
      </w:r>
      <w:r w:rsidRPr="00DF67DF">
        <w:rPr>
          <w:rFonts w:ascii="Arial Narrow" w:hAnsi="Arial Narrow" w:cs="Tahoma"/>
          <w:sz w:val="26"/>
          <w:szCs w:val="26"/>
        </w:rPr>
        <w:t xml:space="preserve">salario </w:t>
      </w:r>
      <w:r w:rsidR="00AB5169" w:rsidRPr="00DF67DF">
        <w:rPr>
          <w:rFonts w:ascii="Arial Narrow" w:hAnsi="Arial Narrow" w:cs="Tahoma"/>
          <w:sz w:val="26"/>
          <w:szCs w:val="26"/>
        </w:rPr>
        <w:t xml:space="preserve">base </w:t>
      </w:r>
      <w:r w:rsidRPr="00DF67DF">
        <w:rPr>
          <w:rFonts w:ascii="Arial Narrow" w:hAnsi="Arial Narrow" w:cs="Tahoma"/>
          <w:sz w:val="26"/>
          <w:szCs w:val="26"/>
        </w:rPr>
        <w:t>de $7</w:t>
      </w:r>
      <w:r w:rsidR="00AB5169" w:rsidRPr="00DF67DF">
        <w:rPr>
          <w:rFonts w:ascii="Arial Narrow" w:hAnsi="Arial Narrow" w:cs="Tahoma"/>
          <w:sz w:val="26"/>
          <w:szCs w:val="26"/>
        </w:rPr>
        <w:t xml:space="preserve">0.612, el cual no se actualizó a la fecha de reconocimiento de la prestación. Aduce que </w:t>
      </w:r>
      <w:r w:rsidRPr="00DF67DF">
        <w:rPr>
          <w:rFonts w:ascii="Arial Narrow" w:hAnsi="Arial Narrow" w:cs="Tahoma"/>
          <w:sz w:val="26"/>
          <w:szCs w:val="26"/>
        </w:rPr>
        <w:t>con ocasión al deceso de</w:t>
      </w:r>
      <w:r w:rsidR="00AB5169" w:rsidRPr="00DF67DF">
        <w:rPr>
          <w:rFonts w:ascii="Arial Narrow" w:hAnsi="Arial Narrow" w:cs="Tahoma"/>
          <w:sz w:val="26"/>
          <w:szCs w:val="26"/>
        </w:rPr>
        <w:t>l pensionado</w:t>
      </w:r>
      <w:r w:rsidRPr="00DF67DF">
        <w:rPr>
          <w:rFonts w:ascii="Arial Narrow" w:hAnsi="Arial Narrow" w:cs="Tahoma"/>
          <w:sz w:val="26"/>
          <w:szCs w:val="26"/>
        </w:rPr>
        <w:t xml:space="preserve">, el ISS le reconoció </w:t>
      </w:r>
      <w:r w:rsidR="00AB5169" w:rsidRPr="00DF67DF">
        <w:rPr>
          <w:rFonts w:ascii="Arial Narrow" w:hAnsi="Arial Narrow" w:cs="Tahoma"/>
          <w:sz w:val="26"/>
          <w:szCs w:val="26"/>
        </w:rPr>
        <w:t>a la demandante la sustituci</w:t>
      </w:r>
      <w:r w:rsidRPr="00DF67DF">
        <w:rPr>
          <w:rFonts w:ascii="Arial Narrow" w:hAnsi="Arial Narrow" w:cs="Tahoma"/>
          <w:sz w:val="26"/>
          <w:szCs w:val="26"/>
        </w:rPr>
        <w:t xml:space="preserve">ón pensional a través de la Resolución No. 2199 del 21 de junio de 2011. </w:t>
      </w:r>
    </w:p>
    <w:p w:rsidR="00796EDD" w:rsidRPr="00DF67DF" w:rsidRDefault="00796EDD" w:rsidP="003F317B">
      <w:pPr>
        <w:pStyle w:val="Sinespaciado"/>
        <w:spacing w:line="288" w:lineRule="auto"/>
        <w:rPr>
          <w:rFonts w:ascii="Arial Narrow" w:hAnsi="Arial Narrow"/>
          <w:sz w:val="26"/>
          <w:szCs w:val="26"/>
        </w:rPr>
      </w:pPr>
    </w:p>
    <w:p w:rsidR="00796EDD" w:rsidRPr="00DF67DF" w:rsidRDefault="00AB5169" w:rsidP="003F317B">
      <w:pPr>
        <w:shd w:val="clear" w:color="auto" w:fill="FFFFFF"/>
        <w:spacing w:line="288" w:lineRule="auto"/>
        <w:ind w:firstLine="708"/>
        <w:jc w:val="both"/>
        <w:rPr>
          <w:rFonts w:ascii="Arial Narrow" w:hAnsi="Arial Narrow" w:cs="Tahoma"/>
          <w:sz w:val="26"/>
          <w:szCs w:val="26"/>
        </w:rPr>
      </w:pPr>
      <w:r w:rsidRPr="00DF67DF">
        <w:rPr>
          <w:rFonts w:ascii="Arial Narrow" w:hAnsi="Arial Narrow" w:cs="Tahoma"/>
          <w:sz w:val="26"/>
          <w:szCs w:val="26"/>
        </w:rPr>
        <w:t xml:space="preserve">Admitida la demanda, </w:t>
      </w:r>
      <w:r w:rsidR="00796EDD" w:rsidRPr="00DF67DF">
        <w:rPr>
          <w:rFonts w:ascii="Arial Narrow" w:hAnsi="Arial Narrow" w:cs="Tahoma"/>
          <w:sz w:val="26"/>
          <w:szCs w:val="26"/>
        </w:rPr>
        <w:t xml:space="preserve">Colpensiones allegó respuesta </w:t>
      </w:r>
      <w:r w:rsidRPr="00DF67DF">
        <w:rPr>
          <w:rFonts w:ascii="Arial Narrow" w:hAnsi="Arial Narrow" w:cs="Tahoma"/>
          <w:sz w:val="26"/>
          <w:szCs w:val="26"/>
        </w:rPr>
        <w:t xml:space="preserve">a través de su portavoz judicial, en la que se opuso a la prosperidad de las pretensiones al considerar que la prestación pensional del fallecido fue otorgada con fundamento en la norma vigente más favorable a sus intereses. En su defensa propuso como medios exceptivos de fondo los de “Inexistencia del derecho”, “Buena fe” y “Prescripción”, ver folios 45 a 48. </w:t>
      </w:r>
    </w:p>
    <w:p w:rsidR="00796EDD" w:rsidRPr="00DF67DF" w:rsidRDefault="00796EDD" w:rsidP="003F317B">
      <w:pPr>
        <w:pStyle w:val="Sinespaciado"/>
        <w:spacing w:line="288" w:lineRule="auto"/>
        <w:rPr>
          <w:rFonts w:ascii="Arial Narrow" w:hAnsi="Arial Narrow"/>
          <w:sz w:val="26"/>
          <w:szCs w:val="26"/>
        </w:rPr>
      </w:pPr>
    </w:p>
    <w:p w:rsidR="00796EDD" w:rsidRPr="00DF67DF" w:rsidRDefault="00796EDD" w:rsidP="003F317B">
      <w:pPr>
        <w:spacing w:line="288" w:lineRule="auto"/>
        <w:ind w:firstLine="708"/>
        <w:jc w:val="both"/>
        <w:rPr>
          <w:rFonts w:ascii="Arial Narrow" w:hAnsi="Arial Narrow" w:cs="Tahoma"/>
          <w:b/>
          <w:i/>
          <w:sz w:val="26"/>
          <w:szCs w:val="26"/>
        </w:rPr>
      </w:pPr>
      <w:r w:rsidRPr="00DF67DF">
        <w:rPr>
          <w:rFonts w:ascii="Arial Narrow" w:hAnsi="Arial Narrow" w:cs="Tahoma"/>
          <w:b/>
          <w:i/>
          <w:sz w:val="26"/>
          <w:szCs w:val="26"/>
        </w:rPr>
        <w:t xml:space="preserve">II. SENTENCIA </w:t>
      </w:r>
    </w:p>
    <w:p w:rsidR="00796EDD" w:rsidRPr="00DF67DF" w:rsidRDefault="00796EDD" w:rsidP="003F317B">
      <w:pPr>
        <w:pStyle w:val="Sinespaciado"/>
        <w:spacing w:line="288" w:lineRule="auto"/>
        <w:rPr>
          <w:rFonts w:ascii="Arial Narrow" w:hAnsi="Arial Narrow"/>
          <w:sz w:val="26"/>
          <w:szCs w:val="26"/>
        </w:rPr>
      </w:pPr>
    </w:p>
    <w:p w:rsidR="00F3744B" w:rsidRPr="00DF67DF" w:rsidRDefault="00796EDD" w:rsidP="003F317B">
      <w:pPr>
        <w:spacing w:line="288" w:lineRule="auto"/>
        <w:ind w:firstLine="900"/>
        <w:jc w:val="both"/>
        <w:rPr>
          <w:rFonts w:ascii="Arial Narrow" w:hAnsi="Arial Narrow" w:cs="Tahoma"/>
          <w:color w:val="000000"/>
          <w:sz w:val="26"/>
          <w:szCs w:val="26"/>
          <w:lang w:eastAsia="es-CO"/>
        </w:rPr>
      </w:pPr>
      <w:r w:rsidRPr="00DF67DF">
        <w:rPr>
          <w:rFonts w:ascii="Arial Narrow" w:hAnsi="Arial Narrow" w:cs="Tahoma"/>
          <w:color w:val="000000"/>
          <w:sz w:val="26"/>
          <w:szCs w:val="26"/>
          <w:lang w:eastAsia="es-CO"/>
        </w:rPr>
        <w:t xml:space="preserve">El Juzgado de conocimiento mediante sentencia del </w:t>
      </w:r>
      <w:r w:rsidR="00AB5169" w:rsidRPr="00DF67DF">
        <w:rPr>
          <w:rFonts w:ascii="Arial Narrow" w:hAnsi="Arial Narrow" w:cs="Tahoma"/>
          <w:color w:val="000000"/>
          <w:sz w:val="26"/>
          <w:szCs w:val="26"/>
          <w:lang w:eastAsia="es-CO"/>
        </w:rPr>
        <w:t>15 de marzo de 2019,</w:t>
      </w:r>
      <w:r w:rsidRPr="00DF67DF">
        <w:rPr>
          <w:rFonts w:ascii="Arial Narrow" w:hAnsi="Arial Narrow" w:cs="Tahoma"/>
          <w:color w:val="000000"/>
          <w:sz w:val="26"/>
          <w:szCs w:val="26"/>
          <w:lang w:eastAsia="es-CO"/>
        </w:rPr>
        <w:t xml:space="preserve"> declaró probad</w:t>
      </w:r>
      <w:r w:rsidR="00F3744B" w:rsidRPr="00DF67DF">
        <w:rPr>
          <w:rFonts w:ascii="Arial Narrow" w:hAnsi="Arial Narrow" w:cs="Tahoma"/>
          <w:color w:val="000000"/>
          <w:sz w:val="26"/>
          <w:szCs w:val="26"/>
          <w:lang w:eastAsia="es-CO"/>
        </w:rPr>
        <w:t xml:space="preserve">a oficiosamente la excepción de cosa juzgada, y en consecuencia negó las pretensiones de la demanda y condenó en costas a la parte vencida en juicio en un 100% de las causadas. </w:t>
      </w:r>
    </w:p>
    <w:p w:rsidR="00F3744B" w:rsidRPr="00DF67DF" w:rsidRDefault="00F3744B" w:rsidP="003F317B">
      <w:pPr>
        <w:pStyle w:val="Sinespaciado"/>
        <w:spacing w:line="288" w:lineRule="auto"/>
        <w:rPr>
          <w:rFonts w:ascii="Arial Narrow" w:hAnsi="Arial Narrow"/>
          <w:sz w:val="26"/>
          <w:szCs w:val="26"/>
        </w:rPr>
      </w:pPr>
    </w:p>
    <w:p w:rsidR="00F3744B" w:rsidRPr="00DF67DF" w:rsidRDefault="00F3744B" w:rsidP="003F317B">
      <w:pPr>
        <w:spacing w:line="288" w:lineRule="auto"/>
        <w:ind w:firstLine="900"/>
        <w:jc w:val="both"/>
        <w:rPr>
          <w:rFonts w:ascii="Arial Narrow" w:hAnsi="Arial Narrow" w:cs="Tahoma"/>
          <w:sz w:val="26"/>
          <w:szCs w:val="26"/>
        </w:rPr>
      </w:pPr>
      <w:r w:rsidRPr="00DF67DF">
        <w:rPr>
          <w:rFonts w:ascii="Arial Narrow" w:hAnsi="Arial Narrow" w:cs="Tahoma"/>
          <w:sz w:val="26"/>
          <w:szCs w:val="26"/>
          <w:lang w:eastAsia="es-CO"/>
        </w:rPr>
        <w:t>Para arribar a tal determinación, estudió el asunto co</w:t>
      </w:r>
      <w:r w:rsidRPr="00DF67DF">
        <w:rPr>
          <w:rFonts w:ascii="Arial Narrow" w:hAnsi="Arial Narrow" w:cs="Tahoma"/>
          <w:sz w:val="26"/>
          <w:szCs w:val="26"/>
        </w:rPr>
        <w:t>nforme a los lineamientos del artículo 303 CGP, encontrando que en una ocasión anterior, el pensionado fallecido sometió el asunto a determinación judicial, encontrándose que fue negado. Encuentra que tanto en el caso anterior, como en el presente, las partes eran iguales, el objeto del litigio era el mismo y las causas que lo sustentaban eran idénticas, por lo que no era posible someter nuevamente el asunto a escrutinio judicial.</w:t>
      </w:r>
    </w:p>
    <w:p w:rsidR="00796EDD" w:rsidRPr="00DF67DF" w:rsidRDefault="00796EDD" w:rsidP="003F317B">
      <w:pPr>
        <w:pStyle w:val="Sinespaciado"/>
        <w:spacing w:line="288" w:lineRule="auto"/>
        <w:rPr>
          <w:rFonts w:ascii="Arial Narrow" w:hAnsi="Arial Narrow"/>
          <w:sz w:val="26"/>
          <w:szCs w:val="26"/>
          <w:lang w:eastAsia="es-CO"/>
        </w:rPr>
      </w:pPr>
    </w:p>
    <w:p w:rsidR="00796EDD" w:rsidRPr="00DF67DF" w:rsidRDefault="00796EDD" w:rsidP="003F317B">
      <w:pPr>
        <w:tabs>
          <w:tab w:val="left" w:pos="3410"/>
        </w:tabs>
        <w:spacing w:line="288" w:lineRule="auto"/>
        <w:ind w:firstLine="900"/>
        <w:jc w:val="both"/>
        <w:rPr>
          <w:rFonts w:ascii="Arial Narrow" w:hAnsi="Arial Narrow" w:cs="Tahoma"/>
          <w:b/>
          <w:i/>
          <w:color w:val="000000"/>
          <w:sz w:val="26"/>
          <w:szCs w:val="26"/>
          <w:lang w:eastAsia="es-CO"/>
        </w:rPr>
      </w:pPr>
      <w:r w:rsidRPr="00DF67DF">
        <w:rPr>
          <w:rFonts w:ascii="Arial Narrow" w:hAnsi="Arial Narrow" w:cs="Tahoma"/>
          <w:b/>
          <w:i/>
          <w:color w:val="000000"/>
          <w:sz w:val="26"/>
          <w:szCs w:val="26"/>
          <w:lang w:eastAsia="es-CO"/>
        </w:rPr>
        <w:t xml:space="preserve">III. </w:t>
      </w:r>
      <w:r w:rsidR="00F3744B" w:rsidRPr="00DF67DF">
        <w:rPr>
          <w:rFonts w:ascii="Arial Narrow" w:hAnsi="Arial Narrow" w:cs="Tahoma"/>
          <w:b/>
          <w:i/>
          <w:color w:val="000000"/>
          <w:sz w:val="26"/>
          <w:szCs w:val="26"/>
          <w:lang w:eastAsia="es-CO"/>
        </w:rPr>
        <w:t xml:space="preserve">CONSULTA </w:t>
      </w:r>
      <w:r w:rsidR="00F3744B" w:rsidRPr="00DF67DF">
        <w:rPr>
          <w:rFonts w:ascii="Arial Narrow" w:hAnsi="Arial Narrow" w:cs="Tahoma"/>
          <w:b/>
          <w:i/>
          <w:color w:val="000000"/>
          <w:sz w:val="26"/>
          <w:szCs w:val="26"/>
          <w:lang w:eastAsia="es-CO"/>
        </w:rPr>
        <w:tab/>
      </w:r>
    </w:p>
    <w:p w:rsidR="00F3744B" w:rsidRPr="00DF67DF" w:rsidRDefault="00F3744B" w:rsidP="003F317B">
      <w:pPr>
        <w:pStyle w:val="Sinespaciado"/>
        <w:spacing w:line="288" w:lineRule="auto"/>
        <w:rPr>
          <w:rFonts w:ascii="Arial Narrow" w:hAnsi="Arial Narrow"/>
          <w:sz w:val="26"/>
          <w:szCs w:val="26"/>
        </w:rPr>
      </w:pPr>
    </w:p>
    <w:p w:rsidR="00F3744B" w:rsidRPr="00DF67DF" w:rsidRDefault="00F3744B" w:rsidP="003F317B">
      <w:pPr>
        <w:tabs>
          <w:tab w:val="left" w:pos="709"/>
          <w:tab w:val="left" w:pos="8647"/>
        </w:tabs>
        <w:spacing w:line="288" w:lineRule="auto"/>
        <w:ind w:right="191"/>
        <w:jc w:val="both"/>
        <w:rPr>
          <w:rFonts w:ascii="Arial Narrow" w:hAnsi="Arial Narrow" w:cs="Tahoma"/>
          <w:iCs/>
          <w:sz w:val="26"/>
          <w:szCs w:val="26"/>
          <w:lang w:val="es-MX" w:eastAsia="es-CO"/>
        </w:rPr>
      </w:pPr>
      <w:r w:rsidRPr="00DF67DF">
        <w:rPr>
          <w:rFonts w:ascii="Arial Narrow" w:hAnsi="Arial Narrow" w:cs="Tahoma"/>
          <w:iCs/>
          <w:sz w:val="26"/>
          <w:szCs w:val="26"/>
          <w:lang w:eastAsia="es-CO"/>
        </w:rPr>
        <w:tab/>
      </w:r>
      <w:r w:rsidRPr="00DF67DF">
        <w:rPr>
          <w:rFonts w:ascii="Arial Narrow" w:hAnsi="Arial Narrow" w:cs="Tahoma"/>
          <w:iCs/>
          <w:sz w:val="26"/>
          <w:szCs w:val="26"/>
          <w:lang w:val="es-MX" w:eastAsia="es-CO"/>
        </w:rPr>
        <w:t xml:space="preserve">Respecto del citado proveído se dispuso el grado jurisdiccional de consulta ante esta Sala, </w:t>
      </w:r>
      <w:r w:rsidR="006D40E0" w:rsidRPr="00DF67DF">
        <w:rPr>
          <w:rFonts w:ascii="Arial Narrow" w:hAnsi="Arial Narrow" w:cs="Tahoma"/>
          <w:iCs/>
          <w:sz w:val="26"/>
          <w:szCs w:val="26"/>
          <w:lang w:val="es-MX" w:eastAsia="es-CO"/>
        </w:rPr>
        <w:t xml:space="preserve">de conformidad con el artículo 69 </w:t>
      </w:r>
      <w:proofErr w:type="spellStart"/>
      <w:r w:rsidR="006D40E0" w:rsidRPr="00DF67DF">
        <w:rPr>
          <w:rFonts w:ascii="Arial Narrow" w:hAnsi="Arial Narrow" w:cs="Tahoma"/>
          <w:iCs/>
          <w:sz w:val="26"/>
          <w:szCs w:val="26"/>
          <w:lang w:val="es-MX" w:eastAsia="es-CO"/>
        </w:rPr>
        <w:t>CPTSS</w:t>
      </w:r>
      <w:proofErr w:type="spellEnd"/>
      <w:r w:rsidR="006D40E0" w:rsidRPr="00DF67DF">
        <w:rPr>
          <w:rFonts w:ascii="Arial Narrow" w:hAnsi="Arial Narrow" w:cs="Tahoma"/>
          <w:iCs/>
          <w:sz w:val="26"/>
          <w:szCs w:val="26"/>
          <w:lang w:val="es-MX" w:eastAsia="es-CO"/>
        </w:rPr>
        <w:t xml:space="preserve">, </w:t>
      </w:r>
      <w:r w:rsidRPr="00DF67DF">
        <w:rPr>
          <w:rFonts w:ascii="Arial Narrow" w:hAnsi="Arial Narrow" w:cs="Tahoma"/>
          <w:iCs/>
          <w:sz w:val="26"/>
          <w:szCs w:val="26"/>
          <w:lang w:val="es-MX" w:eastAsia="es-CO"/>
        </w:rPr>
        <w:t>por haber si</w:t>
      </w:r>
      <w:r w:rsidR="006D40E0" w:rsidRPr="00DF67DF">
        <w:rPr>
          <w:rFonts w:ascii="Arial Narrow" w:hAnsi="Arial Narrow" w:cs="Tahoma"/>
          <w:iCs/>
          <w:sz w:val="26"/>
          <w:szCs w:val="26"/>
          <w:lang w:val="es-MX" w:eastAsia="es-CO"/>
        </w:rPr>
        <w:t xml:space="preserve">do desfavorable a los intereses de la parte demandante, </w:t>
      </w:r>
      <w:r w:rsidRPr="00DF67DF">
        <w:rPr>
          <w:rFonts w:ascii="Arial Narrow" w:hAnsi="Arial Narrow" w:cs="Tahoma"/>
          <w:iCs/>
          <w:sz w:val="26"/>
          <w:szCs w:val="26"/>
          <w:lang w:val="es-MX" w:eastAsia="es-CO"/>
        </w:rPr>
        <w:t xml:space="preserve">y surtido como se encuentra el trámite procesal, se procede a desatarlo. </w:t>
      </w:r>
    </w:p>
    <w:p w:rsidR="00C6105C" w:rsidRPr="00DF67DF" w:rsidRDefault="00C6105C" w:rsidP="003F317B">
      <w:pPr>
        <w:tabs>
          <w:tab w:val="left" w:pos="709"/>
          <w:tab w:val="left" w:pos="8647"/>
        </w:tabs>
        <w:spacing w:line="288" w:lineRule="auto"/>
        <w:ind w:right="191"/>
        <w:jc w:val="both"/>
        <w:rPr>
          <w:rFonts w:ascii="Arial Narrow" w:hAnsi="Arial Narrow" w:cs="Tahoma"/>
          <w:iCs/>
          <w:sz w:val="26"/>
          <w:szCs w:val="26"/>
          <w:lang w:val="es-MX" w:eastAsia="es-CO"/>
        </w:rPr>
      </w:pPr>
    </w:p>
    <w:p w:rsidR="00796EDD" w:rsidRPr="00DF67DF" w:rsidRDefault="00796EDD" w:rsidP="003F317B">
      <w:pPr>
        <w:spacing w:line="288" w:lineRule="auto"/>
        <w:ind w:firstLine="900"/>
        <w:jc w:val="both"/>
        <w:rPr>
          <w:rFonts w:ascii="Arial Narrow" w:hAnsi="Arial Narrow" w:cs="Tahoma"/>
          <w:b/>
          <w:i/>
          <w:sz w:val="26"/>
          <w:szCs w:val="26"/>
        </w:rPr>
      </w:pPr>
      <w:r w:rsidRPr="00DF67DF">
        <w:rPr>
          <w:rFonts w:ascii="Arial Narrow" w:hAnsi="Arial Narrow" w:cs="Tahoma"/>
          <w:b/>
          <w:i/>
          <w:sz w:val="26"/>
          <w:szCs w:val="26"/>
        </w:rPr>
        <w:t>Del problema jurídico.</w:t>
      </w:r>
    </w:p>
    <w:p w:rsidR="00796EDD" w:rsidRPr="00DF67DF" w:rsidRDefault="00796EDD" w:rsidP="003F317B">
      <w:pPr>
        <w:pStyle w:val="Sinespaciado"/>
        <w:spacing w:line="288" w:lineRule="auto"/>
        <w:rPr>
          <w:rFonts w:ascii="Arial Narrow" w:hAnsi="Arial Narrow"/>
          <w:sz w:val="26"/>
          <w:szCs w:val="26"/>
        </w:rPr>
      </w:pPr>
    </w:p>
    <w:p w:rsidR="00796EDD" w:rsidRPr="00DF67DF" w:rsidRDefault="00796EDD" w:rsidP="003F317B">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DF67DF">
        <w:rPr>
          <w:rFonts w:ascii="Arial Narrow" w:hAnsi="Arial Narrow" w:cs="Tahoma"/>
          <w:color w:val="000000"/>
          <w:sz w:val="26"/>
          <w:szCs w:val="26"/>
          <w:lang w:eastAsia="es-CO"/>
        </w:rPr>
        <w:t>Visto el recuento anterior, la Sala formula los siguientes problemas jurídicos:</w:t>
      </w:r>
    </w:p>
    <w:p w:rsidR="00796EDD" w:rsidRPr="00DF67DF" w:rsidRDefault="00796EDD" w:rsidP="003F317B">
      <w:pPr>
        <w:pStyle w:val="Sinespaciado"/>
        <w:spacing w:line="288" w:lineRule="auto"/>
        <w:rPr>
          <w:rFonts w:ascii="Arial Narrow" w:hAnsi="Arial Narrow"/>
          <w:sz w:val="26"/>
          <w:szCs w:val="26"/>
        </w:rPr>
      </w:pPr>
    </w:p>
    <w:p w:rsidR="006D40E0" w:rsidRPr="00DF67DF" w:rsidRDefault="006D40E0" w:rsidP="003F317B">
      <w:pPr>
        <w:spacing w:line="288" w:lineRule="auto"/>
        <w:ind w:firstLine="900"/>
        <w:jc w:val="both"/>
        <w:rPr>
          <w:rFonts w:ascii="Arial Narrow" w:hAnsi="Arial Narrow" w:cs="Tahoma"/>
          <w:i/>
          <w:sz w:val="26"/>
          <w:szCs w:val="26"/>
        </w:rPr>
      </w:pPr>
      <w:r w:rsidRPr="00DF67DF">
        <w:rPr>
          <w:rFonts w:ascii="Arial Narrow" w:hAnsi="Arial Narrow" w:cs="Tahoma"/>
          <w:i/>
          <w:sz w:val="26"/>
          <w:szCs w:val="26"/>
        </w:rPr>
        <w:t>¿Ha operado en este asunto la figura de la cosa juzgada?</w:t>
      </w:r>
    </w:p>
    <w:p w:rsidR="00796EDD" w:rsidRPr="00DF67DF" w:rsidRDefault="00796EDD" w:rsidP="003F317B">
      <w:pPr>
        <w:pStyle w:val="Sinespaciado"/>
        <w:spacing w:line="288" w:lineRule="auto"/>
        <w:rPr>
          <w:rFonts w:ascii="Arial Narrow" w:hAnsi="Arial Narrow"/>
          <w:sz w:val="26"/>
          <w:szCs w:val="26"/>
        </w:rPr>
      </w:pPr>
    </w:p>
    <w:p w:rsidR="00796EDD" w:rsidRPr="00DF67DF" w:rsidRDefault="00796EDD" w:rsidP="003F317B">
      <w:pPr>
        <w:tabs>
          <w:tab w:val="left" w:pos="0"/>
          <w:tab w:val="left" w:pos="8647"/>
        </w:tabs>
        <w:suppressAutoHyphens/>
        <w:spacing w:line="288" w:lineRule="auto"/>
        <w:ind w:firstLine="900"/>
        <w:jc w:val="both"/>
        <w:rPr>
          <w:rFonts w:ascii="Arial Narrow" w:hAnsi="Arial Narrow" w:cs="Tahoma"/>
          <w:b/>
          <w:sz w:val="26"/>
          <w:szCs w:val="26"/>
        </w:rPr>
      </w:pPr>
      <w:r w:rsidRPr="00DF67DF">
        <w:rPr>
          <w:rFonts w:ascii="Arial Narrow" w:hAnsi="Arial Narrow" w:cs="Tahoma"/>
          <w:b/>
          <w:i/>
          <w:sz w:val="26"/>
          <w:szCs w:val="26"/>
        </w:rPr>
        <w:t>Alegatos en esta instancia</w:t>
      </w:r>
      <w:r w:rsidRPr="00DF67DF">
        <w:rPr>
          <w:rFonts w:ascii="Arial Narrow" w:hAnsi="Arial Narrow" w:cs="Tahoma"/>
          <w:b/>
          <w:sz w:val="26"/>
          <w:szCs w:val="26"/>
        </w:rPr>
        <w:t>:</w:t>
      </w:r>
    </w:p>
    <w:p w:rsidR="00796EDD" w:rsidRPr="00DF67DF" w:rsidRDefault="00753180" w:rsidP="003F317B">
      <w:pPr>
        <w:pStyle w:val="Sinespaciado"/>
        <w:spacing w:line="288" w:lineRule="auto"/>
        <w:rPr>
          <w:rFonts w:ascii="Arial Narrow" w:hAnsi="Arial Narrow"/>
          <w:sz w:val="26"/>
          <w:szCs w:val="26"/>
        </w:rPr>
      </w:pPr>
      <w:r w:rsidRPr="00DF67DF">
        <w:rPr>
          <w:rFonts w:ascii="Arial Narrow" w:hAnsi="Arial Narrow"/>
          <w:sz w:val="26"/>
          <w:szCs w:val="26"/>
        </w:rPr>
        <w:tab/>
      </w:r>
    </w:p>
    <w:p w:rsidR="00796EDD" w:rsidRPr="00DF67DF" w:rsidRDefault="00796EDD" w:rsidP="003F317B">
      <w:pPr>
        <w:spacing w:line="288" w:lineRule="auto"/>
        <w:ind w:firstLine="851"/>
        <w:jc w:val="both"/>
        <w:rPr>
          <w:rFonts w:ascii="Arial Narrow" w:hAnsi="Arial Narrow" w:cs="Tahoma"/>
          <w:sz w:val="26"/>
          <w:szCs w:val="26"/>
        </w:rPr>
      </w:pPr>
      <w:r w:rsidRPr="00DF67DF">
        <w:rPr>
          <w:rFonts w:ascii="Arial Narrow" w:hAnsi="Arial Narrow" w:cs="Tahoma"/>
          <w:sz w:val="26"/>
          <w:szCs w:val="26"/>
        </w:rPr>
        <w:t xml:space="preserve">En este estado de la diligencia y antes de que la Colegiatura, de respuesta al problema jurídico planteado, con el propósito de desatar la instancia, se corre traslado por el término de 8 minutos, a cada uno de los voceros judiciales de las partes asistentes a la audiencia, empezando por la parte </w:t>
      </w:r>
      <w:r w:rsidR="006D40E0" w:rsidRPr="00DF67DF">
        <w:rPr>
          <w:rFonts w:ascii="Arial Narrow" w:hAnsi="Arial Narrow" w:cs="Tahoma"/>
          <w:sz w:val="26"/>
          <w:szCs w:val="26"/>
        </w:rPr>
        <w:t>demandante</w:t>
      </w:r>
      <w:r w:rsidRPr="00DF67DF">
        <w:rPr>
          <w:rFonts w:ascii="Arial Narrow" w:hAnsi="Arial Narrow" w:cs="Tahoma"/>
          <w:sz w:val="26"/>
          <w:szCs w:val="26"/>
        </w:rPr>
        <w:t xml:space="preserve">. Escuchadas las anteriores intervenciones que en síntesis reflejan los puntos debatidos por los integrantes de la Sala, se procede a decidir de fondo, previa las siguientes: </w:t>
      </w:r>
    </w:p>
    <w:p w:rsidR="00796EDD" w:rsidRPr="00DF67DF" w:rsidRDefault="00796EDD" w:rsidP="003F317B">
      <w:pPr>
        <w:pStyle w:val="Sinespaciado"/>
        <w:spacing w:line="288" w:lineRule="auto"/>
        <w:rPr>
          <w:rFonts w:ascii="Arial Narrow" w:hAnsi="Arial Narrow"/>
          <w:sz w:val="26"/>
          <w:szCs w:val="26"/>
        </w:rPr>
      </w:pPr>
    </w:p>
    <w:p w:rsidR="00796EDD" w:rsidRPr="00DF67DF" w:rsidRDefault="00796EDD" w:rsidP="003F317B">
      <w:pPr>
        <w:spacing w:line="288" w:lineRule="auto"/>
        <w:ind w:left="1429" w:hanging="578"/>
        <w:jc w:val="both"/>
        <w:rPr>
          <w:rFonts w:ascii="Arial Narrow" w:hAnsi="Arial Narrow" w:cs="Tahoma"/>
          <w:b/>
          <w:i/>
          <w:sz w:val="26"/>
          <w:szCs w:val="26"/>
        </w:rPr>
      </w:pPr>
      <w:r w:rsidRPr="00DF67DF">
        <w:rPr>
          <w:rFonts w:ascii="Arial Narrow" w:hAnsi="Arial Narrow" w:cs="Tahoma"/>
          <w:b/>
          <w:i/>
          <w:sz w:val="26"/>
          <w:szCs w:val="26"/>
        </w:rPr>
        <w:t>VI. CONSIDERACIONES:</w:t>
      </w:r>
    </w:p>
    <w:p w:rsidR="00796EDD" w:rsidRPr="00DF67DF" w:rsidRDefault="00796EDD" w:rsidP="003F317B">
      <w:pPr>
        <w:pStyle w:val="Sinespaciado"/>
        <w:spacing w:line="288" w:lineRule="auto"/>
        <w:rPr>
          <w:rFonts w:ascii="Arial Narrow" w:hAnsi="Arial Narrow"/>
          <w:sz w:val="26"/>
          <w:szCs w:val="26"/>
        </w:rPr>
      </w:pPr>
    </w:p>
    <w:p w:rsidR="006D40E0" w:rsidRPr="00DF67DF" w:rsidRDefault="006D40E0" w:rsidP="003F317B">
      <w:pPr>
        <w:spacing w:line="288" w:lineRule="auto"/>
        <w:ind w:firstLine="851"/>
        <w:jc w:val="both"/>
        <w:rPr>
          <w:rFonts w:ascii="Arial Narrow" w:hAnsi="Arial Narrow" w:cs="Arial"/>
          <w:sz w:val="26"/>
          <w:szCs w:val="26"/>
          <w:lang w:val="es-CO"/>
        </w:rPr>
      </w:pPr>
      <w:r w:rsidRPr="00DF67DF">
        <w:rPr>
          <w:rFonts w:ascii="Arial Narrow" w:hAnsi="Arial Narrow" w:cs="Arial"/>
          <w:sz w:val="26"/>
          <w:szCs w:val="26"/>
        </w:rPr>
        <w:t xml:space="preserve">Con el fin de mantener la unidad en las decisiones judiciales y evitar que se emitan por varios funcionarios judiciales pronunciamientos sobre un mismo punto, se estableció la institución procesal de la cosa juzgada, garantizándose con ella la seguridad jurídica, evitándose con ella </w:t>
      </w:r>
      <w:r w:rsidRPr="00DF67DF">
        <w:rPr>
          <w:rFonts w:ascii="Arial Narrow" w:hAnsi="Arial Narrow" w:cs="Arial"/>
          <w:sz w:val="26"/>
          <w:szCs w:val="26"/>
          <w:lang w:val="es-CO"/>
        </w:rPr>
        <w:t>el infinito debate sobre un asunto que involucre a las mismas partes, el mismo objeto litigioso y las mismas causas.</w:t>
      </w:r>
    </w:p>
    <w:p w:rsidR="006D40E0" w:rsidRPr="00DF67DF" w:rsidRDefault="006D40E0" w:rsidP="003F317B">
      <w:pPr>
        <w:pStyle w:val="Sinespaciado"/>
        <w:spacing w:line="288" w:lineRule="auto"/>
        <w:rPr>
          <w:rFonts w:ascii="Arial Narrow" w:hAnsi="Arial Narrow"/>
          <w:sz w:val="26"/>
          <w:szCs w:val="26"/>
        </w:rPr>
      </w:pPr>
    </w:p>
    <w:p w:rsidR="006D40E0" w:rsidRPr="00DF67DF" w:rsidRDefault="006D40E0" w:rsidP="003F317B">
      <w:pPr>
        <w:spacing w:line="288" w:lineRule="auto"/>
        <w:ind w:firstLine="851"/>
        <w:jc w:val="both"/>
        <w:rPr>
          <w:rFonts w:ascii="Arial Narrow" w:hAnsi="Arial Narrow" w:cs="Arial"/>
          <w:i/>
          <w:sz w:val="26"/>
          <w:szCs w:val="26"/>
        </w:rPr>
      </w:pPr>
      <w:r w:rsidRPr="00DF67DF">
        <w:rPr>
          <w:rFonts w:ascii="Arial Narrow" w:hAnsi="Arial Narrow" w:cs="Arial"/>
          <w:sz w:val="26"/>
          <w:szCs w:val="26"/>
        </w:rPr>
        <w:t xml:space="preserve">El artículo 303 del CGP, se encarga de regular el tema de la cosa juzgada indicando que: </w:t>
      </w:r>
      <w:r w:rsidRPr="00DF67DF">
        <w:rPr>
          <w:rFonts w:ascii="Arial Narrow" w:hAnsi="Arial Narrow" w:cs="Arial"/>
          <w:i/>
          <w:sz w:val="26"/>
          <w:szCs w:val="26"/>
        </w:rPr>
        <w:t>“</w:t>
      </w:r>
      <w:r w:rsidRPr="00DF67DF">
        <w:rPr>
          <w:rFonts w:ascii="Arial Narrow" w:hAnsi="Arial Narrow" w:cs="Arial"/>
          <w:i/>
          <w:szCs w:val="26"/>
        </w:rPr>
        <w:t>La sentencia ejecutoriada proferida en proceso contencioso tiene fuerza de cosa juzgada siempre que el nuevo proceso verse sobre el mismo objeto, se funde en la misma causa que el anterior y entre ambos procesos haya identidad jurídica de partes</w:t>
      </w:r>
      <w:r w:rsidRPr="00DF67DF">
        <w:rPr>
          <w:rFonts w:ascii="Arial Narrow" w:hAnsi="Arial Narrow" w:cs="Arial"/>
          <w:i/>
          <w:sz w:val="26"/>
          <w:szCs w:val="26"/>
        </w:rPr>
        <w:t>”.</w:t>
      </w:r>
    </w:p>
    <w:p w:rsidR="006D40E0" w:rsidRPr="00DF67DF" w:rsidRDefault="006D40E0" w:rsidP="003F317B">
      <w:pPr>
        <w:pStyle w:val="Sinespaciado"/>
        <w:spacing w:line="288" w:lineRule="auto"/>
        <w:rPr>
          <w:rFonts w:ascii="Arial Narrow" w:hAnsi="Arial Narrow"/>
          <w:sz w:val="26"/>
          <w:szCs w:val="26"/>
        </w:rPr>
      </w:pPr>
    </w:p>
    <w:p w:rsidR="006D40E0" w:rsidRPr="00DF67DF" w:rsidRDefault="006D40E0" w:rsidP="003F317B">
      <w:pPr>
        <w:spacing w:line="288" w:lineRule="auto"/>
        <w:ind w:firstLine="851"/>
        <w:jc w:val="both"/>
        <w:rPr>
          <w:rFonts w:ascii="Arial Narrow" w:hAnsi="Arial Narrow" w:cs="Arial"/>
          <w:sz w:val="26"/>
          <w:szCs w:val="26"/>
        </w:rPr>
      </w:pPr>
      <w:r w:rsidRPr="00DF67DF">
        <w:rPr>
          <w:rFonts w:ascii="Arial Narrow" w:hAnsi="Arial Narrow" w:cs="Arial"/>
          <w:sz w:val="26"/>
          <w:szCs w:val="26"/>
        </w:rPr>
        <w:t>Por lo tanto, corresponde al Juzgador verificar si el asunto sometido a su conocimiento es igual a uno decido anteriormente, en el que hubieren intervenido idénticas partes, existe identidad jurídica de partes y el sustento en ambos asuntos sea igual.</w:t>
      </w:r>
    </w:p>
    <w:p w:rsidR="006D40E0" w:rsidRPr="00DF67DF" w:rsidRDefault="006D40E0" w:rsidP="003F317B">
      <w:pPr>
        <w:pStyle w:val="Sinespaciado"/>
        <w:spacing w:line="288" w:lineRule="auto"/>
        <w:rPr>
          <w:rFonts w:ascii="Arial Narrow" w:hAnsi="Arial Narrow"/>
          <w:sz w:val="26"/>
          <w:szCs w:val="26"/>
        </w:rPr>
      </w:pPr>
    </w:p>
    <w:p w:rsidR="00744840" w:rsidRPr="00DF67DF" w:rsidRDefault="006D40E0" w:rsidP="003F317B">
      <w:pPr>
        <w:spacing w:line="288" w:lineRule="auto"/>
        <w:ind w:firstLine="851"/>
        <w:jc w:val="both"/>
        <w:rPr>
          <w:rFonts w:ascii="Arial Narrow" w:hAnsi="Arial Narrow" w:cs="Arial"/>
          <w:sz w:val="26"/>
          <w:szCs w:val="26"/>
        </w:rPr>
      </w:pPr>
      <w:r w:rsidRPr="00DF67DF">
        <w:rPr>
          <w:rFonts w:ascii="Arial Narrow" w:hAnsi="Arial Narrow" w:cs="Arial"/>
          <w:sz w:val="26"/>
          <w:szCs w:val="26"/>
        </w:rPr>
        <w:t xml:space="preserve">Pues bien, se tiene que en el presente caso, por la iniciativa de la a-quo, se lograron allegar </w:t>
      </w:r>
      <w:r w:rsidR="00753180" w:rsidRPr="00DF67DF">
        <w:rPr>
          <w:rFonts w:ascii="Arial Narrow" w:hAnsi="Arial Narrow" w:cs="Arial"/>
          <w:sz w:val="26"/>
          <w:szCs w:val="26"/>
        </w:rPr>
        <w:t xml:space="preserve">en medio magnético CD </w:t>
      </w:r>
      <w:r w:rsidRPr="00DF67DF">
        <w:rPr>
          <w:rFonts w:ascii="Arial Narrow" w:hAnsi="Arial Narrow" w:cs="Arial"/>
          <w:sz w:val="26"/>
          <w:szCs w:val="26"/>
        </w:rPr>
        <w:t xml:space="preserve">copias de </w:t>
      </w:r>
      <w:r w:rsidR="004360CD" w:rsidRPr="00DF67DF">
        <w:rPr>
          <w:rFonts w:ascii="Arial Narrow" w:hAnsi="Arial Narrow" w:cs="Arial"/>
          <w:sz w:val="26"/>
          <w:szCs w:val="26"/>
        </w:rPr>
        <w:t>una</w:t>
      </w:r>
      <w:r w:rsidR="00753180" w:rsidRPr="00DF67DF">
        <w:rPr>
          <w:rFonts w:ascii="Arial Narrow" w:hAnsi="Arial Narrow" w:cs="Arial"/>
          <w:sz w:val="26"/>
          <w:szCs w:val="26"/>
        </w:rPr>
        <w:t xml:space="preserve"> actuación judicial anterior </w:t>
      </w:r>
      <w:r w:rsidR="00D8744D" w:rsidRPr="00DF67DF">
        <w:rPr>
          <w:rFonts w:ascii="Arial Narrow" w:hAnsi="Arial Narrow" w:cs="Arial"/>
          <w:sz w:val="26"/>
          <w:szCs w:val="26"/>
        </w:rPr>
        <w:t xml:space="preserve">tramitada en Manizales, Caldas </w:t>
      </w:r>
      <w:r w:rsidR="007A169A">
        <w:rPr>
          <w:rFonts w:ascii="Arial Narrow" w:hAnsi="Arial Narrow" w:cs="Arial"/>
          <w:sz w:val="26"/>
          <w:szCs w:val="26"/>
        </w:rPr>
        <w:t>-</w:t>
      </w:r>
      <w:proofErr w:type="spellStart"/>
      <w:r w:rsidRPr="00DF67DF">
        <w:rPr>
          <w:rFonts w:ascii="Arial Narrow" w:hAnsi="Arial Narrow" w:cs="Arial"/>
          <w:sz w:val="26"/>
          <w:szCs w:val="26"/>
        </w:rPr>
        <w:t>fls</w:t>
      </w:r>
      <w:proofErr w:type="spellEnd"/>
      <w:r w:rsidRPr="00DF67DF">
        <w:rPr>
          <w:rFonts w:ascii="Arial Narrow" w:hAnsi="Arial Narrow" w:cs="Arial"/>
          <w:sz w:val="26"/>
          <w:szCs w:val="26"/>
        </w:rPr>
        <w:t xml:space="preserve">. </w:t>
      </w:r>
      <w:r w:rsidR="00753180" w:rsidRPr="00DF67DF">
        <w:rPr>
          <w:rFonts w:ascii="Arial Narrow" w:hAnsi="Arial Narrow" w:cs="Arial"/>
          <w:sz w:val="26"/>
          <w:szCs w:val="26"/>
        </w:rPr>
        <w:t>93 vto. y 99</w:t>
      </w:r>
      <w:r w:rsidRPr="00DF67DF">
        <w:rPr>
          <w:rFonts w:ascii="Arial Narrow" w:hAnsi="Arial Narrow" w:cs="Arial"/>
          <w:sz w:val="26"/>
          <w:szCs w:val="26"/>
        </w:rPr>
        <w:t xml:space="preserve">- en las que se puede constatar que </w:t>
      </w:r>
      <w:r w:rsidR="00753180" w:rsidRPr="00DF67DF">
        <w:rPr>
          <w:rFonts w:ascii="Arial Narrow" w:hAnsi="Arial Narrow" w:cs="Arial"/>
          <w:sz w:val="26"/>
          <w:szCs w:val="26"/>
        </w:rPr>
        <w:t xml:space="preserve">el señor Hernando Uribe Vargas </w:t>
      </w:r>
      <w:r w:rsidRPr="00DF67DF">
        <w:rPr>
          <w:rFonts w:ascii="Arial Narrow" w:hAnsi="Arial Narrow" w:cs="Arial"/>
          <w:sz w:val="26"/>
          <w:szCs w:val="26"/>
        </w:rPr>
        <w:t xml:space="preserve">había puesto en conocimiento de la jurisdicción laboral </w:t>
      </w:r>
      <w:r w:rsidR="00753180" w:rsidRPr="00DF67DF">
        <w:rPr>
          <w:rFonts w:ascii="Arial Narrow" w:hAnsi="Arial Narrow" w:cs="Arial"/>
          <w:sz w:val="26"/>
          <w:szCs w:val="26"/>
        </w:rPr>
        <w:t xml:space="preserve">la reliquidación de su derecho pensional </w:t>
      </w:r>
      <w:r w:rsidR="00753180" w:rsidRPr="00DF67DF">
        <w:rPr>
          <w:rFonts w:ascii="Arial Narrow" w:hAnsi="Arial Narrow" w:cs="Arial"/>
          <w:sz w:val="26"/>
          <w:szCs w:val="26"/>
        </w:rPr>
        <w:lastRenderedPageBreak/>
        <w:t>de vejez</w:t>
      </w:r>
      <w:r w:rsidRPr="00DF67DF">
        <w:rPr>
          <w:rFonts w:ascii="Arial Narrow" w:hAnsi="Arial Narrow" w:cs="Arial"/>
          <w:sz w:val="26"/>
          <w:szCs w:val="26"/>
        </w:rPr>
        <w:t>,</w:t>
      </w:r>
      <w:r w:rsidR="00753180" w:rsidRPr="00DF67DF">
        <w:rPr>
          <w:rFonts w:ascii="Arial Narrow" w:hAnsi="Arial Narrow" w:cs="Arial"/>
          <w:sz w:val="26"/>
          <w:szCs w:val="26"/>
        </w:rPr>
        <w:t xml:space="preserve"> siendo el demandado en ese proceso el Instituto de Seguros Sociales, que fue subrogado por Colpensiones</w:t>
      </w:r>
      <w:r w:rsidRPr="00DF67DF">
        <w:rPr>
          <w:rFonts w:ascii="Arial Narrow" w:hAnsi="Arial Narrow" w:cs="Arial"/>
          <w:sz w:val="26"/>
          <w:szCs w:val="26"/>
        </w:rPr>
        <w:t xml:space="preserve">. En </w:t>
      </w:r>
      <w:r w:rsidR="00753180" w:rsidRPr="00DF67DF">
        <w:rPr>
          <w:rFonts w:ascii="Arial Narrow" w:hAnsi="Arial Narrow" w:cs="Arial"/>
          <w:sz w:val="26"/>
          <w:szCs w:val="26"/>
        </w:rPr>
        <w:t>tal asunto</w:t>
      </w:r>
      <w:r w:rsidRPr="00DF67DF">
        <w:rPr>
          <w:rFonts w:ascii="Arial Narrow" w:hAnsi="Arial Narrow" w:cs="Arial"/>
          <w:sz w:val="26"/>
          <w:szCs w:val="26"/>
        </w:rPr>
        <w:t xml:space="preserve">, se verifica que el objeto litigioso </w:t>
      </w:r>
      <w:r w:rsidR="00965395" w:rsidRPr="00DF67DF">
        <w:rPr>
          <w:rFonts w:ascii="Arial Narrow" w:hAnsi="Arial Narrow" w:cs="Arial"/>
          <w:sz w:val="26"/>
          <w:szCs w:val="26"/>
        </w:rPr>
        <w:t>fue además del incremento pensional por persona a cargo</w:t>
      </w:r>
      <w:r w:rsidR="00687ACF" w:rsidRPr="00DF67DF">
        <w:rPr>
          <w:rFonts w:ascii="Arial Narrow" w:hAnsi="Arial Narrow" w:cs="Arial"/>
          <w:sz w:val="26"/>
          <w:szCs w:val="26"/>
        </w:rPr>
        <w:t xml:space="preserve">, </w:t>
      </w:r>
      <w:r w:rsidR="00744840" w:rsidRPr="00DF67DF">
        <w:rPr>
          <w:rFonts w:ascii="Arial Narrow" w:hAnsi="Arial Narrow" w:cs="Arial"/>
          <w:sz w:val="26"/>
          <w:szCs w:val="26"/>
        </w:rPr>
        <w:t xml:space="preserve">la indexación </w:t>
      </w:r>
      <w:r w:rsidR="00687ACF" w:rsidRPr="00DF67DF">
        <w:rPr>
          <w:rFonts w:ascii="Arial Narrow" w:hAnsi="Arial Narrow" w:cs="Arial"/>
          <w:sz w:val="26"/>
          <w:szCs w:val="26"/>
        </w:rPr>
        <w:t>de la primera mesada pensional con la consecuente reliquidación de las mesadas pensionales retroactivas y futuras</w:t>
      </w:r>
      <w:r w:rsidRPr="00DF67DF">
        <w:rPr>
          <w:rFonts w:ascii="Arial Narrow" w:hAnsi="Arial Narrow" w:cs="Arial"/>
          <w:sz w:val="26"/>
          <w:szCs w:val="26"/>
        </w:rPr>
        <w:t xml:space="preserve">. Finalmente, se tiene que la causa </w:t>
      </w:r>
      <w:r w:rsidR="00744840" w:rsidRPr="00DF67DF">
        <w:rPr>
          <w:rFonts w:ascii="Arial Narrow" w:hAnsi="Arial Narrow" w:cs="Arial"/>
          <w:sz w:val="26"/>
          <w:szCs w:val="26"/>
        </w:rPr>
        <w:t xml:space="preserve">de litigio </w:t>
      </w:r>
      <w:r w:rsidRPr="00DF67DF">
        <w:rPr>
          <w:rFonts w:ascii="Arial Narrow" w:hAnsi="Arial Narrow" w:cs="Arial"/>
          <w:sz w:val="26"/>
          <w:szCs w:val="26"/>
        </w:rPr>
        <w:t xml:space="preserve">es </w:t>
      </w:r>
      <w:r w:rsidR="00744840" w:rsidRPr="00DF67DF">
        <w:rPr>
          <w:rFonts w:ascii="Arial Narrow" w:hAnsi="Arial Narrow" w:cs="Arial"/>
          <w:sz w:val="26"/>
          <w:szCs w:val="26"/>
        </w:rPr>
        <w:t xml:space="preserve">que la entidad demandada efectuó la liquidación de la primera mesada pensional </w:t>
      </w:r>
      <w:r w:rsidR="00687ACF" w:rsidRPr="00DF67DF">
        <w:rPr>
          <w:rFonts w:ascii="Arial Narrow" w:hAnsi="Arial Narrow" w:cs="Arial"/>
          <w:sz w:val="26"/>
          <w:szCs w:val="26"/>
        </w:rPr>
        <w:t>en el mes de</w:t>
      </w:r>
      <w:r w:rsidR="00744840" w:rsidRPr="00DF67DF">
        <w:rPr>
          <w:rFonts w:ascii="Arial Narrow" w:hAnsi="Arial Narrow" w:cs="Arial"/>
          <w:sz w:val="26"/>
          <w:szCs w:val="26"/>
        </w:rPr>
        <w:t xml:space="preserve"> abril de 1990, con base en los ingresos y cotizaciones realizadas </w:t>
      </w:r>
      <w:r w:rsidR="00687ACF" w:rsidRPr="00DF67DF">
        <w:rPr>
          <w:rFonts w:ascii="Arial Narrow" w:hAnsi="Arial Narrow" w:cs="Arial"/>
          <w:sz w:val="26"/>
          <w:szCs w:val="26"/>
        </w:rPr>
        <w:t xml:space="preserve">al sistema pensional </w:t>
      </w:r>
      <w:r w:rsidR="00744840" w:rsidRPr="00DF67DF">
        <w:rPr>
          <w:rFonts w:ascii="Arial Narrow" w:hAnsi="Arial Narrow" w:cs="Arial"/>
          <w:sz w:val="26"/>
          <w:szCs w:val="26"/>
        </w:rPr>
        <w:t>hasta el 30 de septiembre de 1985</w:t>
      </w:r>
      <w:r w:rsidR="00687ACF" w:rsidRPr="00DF67DF">
        <w:rPr>
          <w:rFonts w:ascii="Arial Narrow" w:hAnsi="Arial Narrow" w:cs="Arial"/>
          <w:sz w:val="26"/>
          <w:szCs w:val="26"/>
        </w:rPr>
        <w:t xml:space="preserve">, sin tener en cuenta la depreciación de la moneda entre los años 1985 y 1990, </w:t>
      </w:r>
      <w:r w:rsidR="00965395" w:rsidRPr="00DF67DF">
        <w:rPr>
          <w:rFonts w:ascii="Arial Narrow" w:hAnsi="Arial Narrow" w:cs="Arial"/>
          <w:sz w:val="26"/>
          <w:szCs w:val="26"/>
        </w:rPr>
        <w:t xml:space="preserve">puesto que </w:t>
      </w:r>
      <w:r w:rsidR="00687ACF" w:rsidRPr="00DF67DF">
        <w:rPr>
          <w:rFonts w:ascii="Arial Narrow" w:hAnsi="Arial Narrow" w:cs="Arial"/>
          <w:sz w:val="26"/>
          <w:szCs w:val="26"/>
        </w:rPr>
        <w:t>la primera mesada pensional debidamente indexada para el año 1990 ascendía a $153.</w:t>
      </w:r>
      <w:r w:rsidR="00965395" w:rsidRPr="00DF67DF">
        <w:rPr>
          <w:rFonts w:ascii="Arial Narrow" w:hAnsi="Arial Narrow" w:cs="Arial"/>
          <w:sz w:val="26"/>
          <w:szCs w:val="26"/>
        </w:rPr>
        <w:t>843 y no a $</w:t>
      </w:r>
      <w:r w:rsidR="00687ACF" w:rsidRPr="00DF67DF">
        <w:rPr>
          <w:rFonts w:ascii="Arial Narrow" w:hAnsi="Arial Narrow" w:cs="Arial"/>
          <w:sz w:val="26"/>
          <w:szCs w:val="26"/>
        </w:rPr>
        <w:t>50.841 como lo estimó en ese entonces la entidad de seguridad social demandada.</w:t>
      </w:r>
      <w:r w:rsidR="00744840" w:rsidRPr="00DF67DF">
        <w:rPr>
          <w:rFonts w:ascii="Arial Narrow" w:hAnsi="Arial Narrow" w:cs="Arial"/>
          <w:sz w:val="26"/>
          <w:szCs w:val="26"/>
        </w:rPr>
        <w:t xml:space="preserve"> </w:t>
      </w:r>
    </w:p>
    <w:p w:rsidR="006D40E0" w:rsidRPr="00DF67DF" w:rsidRDefault="00965395" w:rsidP="003F317B">
      <w:pPr>
        <w:pStyle w:val="Sinespaciado"/>
        <w:spacing w:line="288" w:lineRule="auto"/>
        <w:rPr>
          <w:rFonts w:ascii="Arial Narrow" w:hAnsi="Arial Narrow"/>
          <w:sz w:val="26"/>
          <w:szCs w:val="26"/>
        </w:rPr>
      </w:pPr>
      <w:r w:rsidRPr="00DF67DF">
        <w:rPr>
          <w:rFonts w:ascii="Arial Narrow" w:hAnsi="Arial Narrow"/>
          <w:sz w:val="26"/>
          <w:szCs w:val="26"/>
        </w:rPr>
        <w:tab/>
      </w:r>
      <w:r w:rsidR="00217688" w:rsidRPr="00DF67DF">
        <w:rPr>
          <w:rFonts w:ascii="Arial Narrow" w:hAnsi="Arial Narrow"/>
          <w:sz w:val="26"/>
          <w:szCs w:val="26"/>
        </w:rPr>
        <w:tab/>
      </w:r>
    </w:p>
    <w:p w:rsidR="006D40E0" w:rsidRPr="00DF67DF" w:rsidRDefault="006D40E0" w:rsidP="003F317B">
      <w:pPr>
        <w:spacing w:line="288" w:lineRule="auto"/>
        <w:ind w:firstLine="851"/>
        <w:jc w:val="both"/>
        <w:rPr>
          <w:rFonts w:ascii="Arial Narrow" w:hAnsi="Arial Narrow" w:cs="Arial"/>
          <w:sz w:val="26"/>
          <w:szCs w:val="26"/>
        </w:rPr>
      </w:pPr>
      <w:r w:rsidRPr="00DF67DF">
        <w:rPr>
          <w:rFonts w:ascii="Arial Narrow" w:hAnsi="Arial Narrow" w:cs="Arial"/>
          <w:sz w:val="26"/>
          <w:szCs w:val="26"/>
        </w:rPr>
        <w:t xml:space="preserve">Definidas las características de </w:t>
      </w:r>
      <w:r w:rsidR="00753180" w:rsidRPr="00DF67DF">
        <w:rPr>
          <w:rFonts w:ascii="Arial Narrow" w:hAnsi="Arial Narrow" w:cs="Arial"/>
          <w:sz w:val="26"/>
          <w:szCs w:val="26"/>
        </w:rPr>
        <w:t>ese anterior proceso</w:t>
      </w:r>
      <w:r w:rsidRPr="00DF67DF">
        <w:rPr>
          <w:rFonts w:ascii="Arial Narrow" w:hAnsi="Arial Narrow" w:cs="Arial"/>
          <w:sz w:val="26"/>
          <w:szCs w:val="26"/>
        </w:rPr>
        <w:t xml:space="preserve"> y </w:t>
      </w:r>
      <w:r w:rsidR="00965395" w:rsidRPr="00DF67DF">
        <w:rPr>
          <w:rFonts w:ascii="Arial Narrow" w:hAnsi="Arial Narrow" w:cs="Arial"/>
          <w:sz w:val="26"/>
          <w:szCs w:val="26"/>
        </w:rPr>
        <w:t>dado</w:t>
      </w:r>
      <w:r w:rsidRPr="00DF67DF">
        <w:rPr>
          <w:rFonts w:ascii="Arial Narrow" w:hAnsi="Arial Narrow" w:cs="Arial"/>
          <w:sz w:val="26"/>
          <w:szCs w:val="26"/>
        </w:rPr>
        <w:t xml:space="preserve"> que </w:t>
      </w:r>
      <w:r w:rsidR="00753180" w:rsidRPr="00DF67DF">
        <w:rPr>
          <w:rFonts w:ascii="Arial Narrow" w:hAnsi="Arial Narrow" w:cs="Arial"/>
          <w:sz w:val="26"/>
          <w:szCs w:val="26"/>
        </w:rPr>
        <w:t xml:space="preserve">cuenta </w:t>
      </w:r>
      <w:r w:rsidRPr="00DF67DF">
        <w:rPr>
          <w:rFonts w:ascii="Arial Narrow" w:hAnsi="Arial Narrow" w:cs="Arial"/>
          <w:sz w:val="26"/>
          <w:szCs w:val="26"/>
        </w:rPr>
        <w:t>con decisiones de primer y segundo grado</w:t>
      </w:r>
      <w:r w:rsidR="00965395" w:rsidRPr="00DF67DF">
        <w:rPr>
          <w:rFonts w:ascii="Arial Narrow" w:hAnsi="Arial Narrow" w:cs="Arial"/>
          <w:sz w:val="26"/>
          <w:szCs w:val="26"/>
        </w:rPr>
        <w:t xml:space="preserve">, así como de casación, </w:t>
      </w:r>
      <w:r w:rsidRPr="00DF67DF">
        <w:rPr>
          <w:rFonts w:ascii="Arial Narrow" w:hAnsi="Arial Narrow" w:cs="Arial"/>
          <w:sz w:val="26"/>
          <w:szCs w:val="26"/>
        </w:rPr>
        <w:t xml:space="preserve">debidamente ejecutoriadas, deberá esta Sala entrar a analizar si la demanda planteada por </w:t>
      </w:r>
      <w:proofErr w:type="gramStart"/>
      <w:r w:rsidRPr="00DF67DF">
        <w:rPr>
          <w:rFonts w:ascii="Arial Narrow" w:hAnsi="Arial Narrow" w:cs="Arial"/>
          <w:sz w:val="26"/>
          <w:szCs w:val="26"/>
        </w:rPr>
        <w:t>la</w:t>
      </w:r>
      <w:proofErr w:type="gramEnd"/>
      <w:r w:rsidRPr="00DF67DF">
        <w:rPr>
          <w:rFonts w:ascii="Arial Narrow" w:hAnsi="Arial Narrow" w:cs="Arial"/>
          <w:sz w:val="26"/>
          <w:szCs w:val="26"/>
        </w:rPr>
        <w:t xml:space="preserve"> señora </w:t>
      </w:r>
      <w:r w:rsidR="00965395" w:rsidRPr="00DF67DF">
        <w:rPr>
          <w:rFonts w:ascii="Arial Narrow" w:hAnsi="Arial Narrow" w:cs="Arial"/>
          <w:sz w:val="26"/>
          <w:szCs w:val="26"/>
        </w:rPr>
        <w:t>Alba Lucía Ocampo Sepúlveda e</w:t>
      </w:r>
      <w:r w:rsidRPr="00DF67DF">
        <w:rPr>
          <w:rFonts w:ascii="Arial Narrow" w:hAnsi="Arial Narrow" w:cs="Arial"/>
          <w:sz w:val="26"/>
          <w:szCs w:val="26"/>
        </w:rPr>
        <w:t>n el presente asunto es igual a</w:t>
      </w:r>
      <w:r w:rsidR="00965395" w:rsidRPr="00DF67DF">
        <w:rPr>
          <w:rFonts w:ascii="Arial Narrow" w:hAnsi="Arial Narrow" w:cs="Arial"/>
          <w:sz w:val="26"/>
          <w:szCs w:val="26"/>
        </w:rPr>
        <w:t xml:space="preserve">l anterior </w:t>
      </w:r>
      <w:r w:rsidRPr="00DF67DF">
        <w:rPr>
          <w:rFonts w:ascii="Arial Narrow" w:hAnsi="Arial Narrow" w:cs="Arial"/>
          <w:sz w:val="26"/>
          <w:szCs w:val="26"/>
        </w:rPr>
        <w:t>o si, por el contr</w:t>
      </w:r>
      <w:r w:rsidR="00965395" w:rsidRPr="00DF67DF">
        <w:rPr>
          <w:rFonts w:ascii="Arial Narrow" w:hAnsi="Arial Narrow" w:cs="Arial"/>
          <w:sz w:val="26"/>
          <w:szCs w:val="26"/>
        </w:rPr>
        <w:t>ario, es uno</w:t>
      </w:r>
      <w:r w:rsidRPr="00DF67DF">
        <w:rPr>
          <w:rFonts w:ascii="Arial Narrow" w:hAnsi="Arial Narrow" w:cs="Arial"/>
          <w:sz w:val="26"/>
          <w:szCs w:val="26"/>
        </w:rPr>
        <w:t xml:space="preserve"> diferente.</w:t>
      </w:r>
    </w:p>
    <w:p w:rsidR="006D40E0" w:rsidRPr="00DF67DF" w:rsidRDefault="008654CD" w:rsidP="003F317B">
      <w:pPr>
        <w:pStyle w:val="Sinespaciado"/>
        <w:tabs>
          <w:tab w:val="left" w:pos="2051"/>
        </w:tabs>
        <w:spacing w:line="288" w:lineRule="auto"/>
        <w:rPr>
          <w:rFonts w:ascii="Arial Narrow" w:hAnsi="Arial Narrow"/>
          <w:sz w:val="26"/>
          <w:szCs w:val="26"/>
        </w:rPr>
      </w:pPr>
      <w:r w:rsidRPr="00DF67DF">
        <w:rPr>
          <w:rFonts w:ascii="Arial Narrow" w:hAnsi="Arial Narrow"/>
          <w:sz w:val="26"/>
          <w:szCs w:val="26"/>
        </w:rPr>
        <w:tab/>
      </w:r>
    </w:p>
    <w:p w:rsidR="00982393" w:rsidRPr="00DF67DF" w:rsidRDefault="00B31289" w:rsidP="003F317B">
      <w:pPr>
        <w:spacing w:line="288" w:lineRule="auto"/>
        <w:ind w:firstLine="851"/>
        <w:jc w:val="both"/>
        <w:rPr>
          <w:rFonts w:ascii="Arial Narrow" w:hAnsi="Arial Narrow" w:cs="Arial"/>
          <w:sz w:val="26"/>
          <w:szCs w:val="26"/>
        </w:rPr>
      </w:pPr>
      <w:r w:rsidRPr="00DF67DF">
        <w:rPr>
          <w:rFonts w:ascii="Arial Narrow" w:hAnsi="Arial Narrow" w:cs="Arial"/>
          <w:sz w:val="26"/>
          <w:szCs w:val="26"/>
        </w:rPr>
        <w:t xml:space="preserve">Pues bien, de una vez dígase que está acreditada la identidad jurídica de partes en los dos procesos, </w:t>
      </w:r>
      <w:r w:rsidR="00982393" w:rsidRPr="00DF67DF">
        <w:rPr>
          <w:rFonts w:ascii="Arial Narrow" w:hAnsi="Arial Narrow" w:cs="Arial"/>
          <w:sz w:val="26"/>
          <w:szCs w:val="26"/>
        </w:rPr>
        <w:t xml:space="preserve">pues aunque en el juicio primigenio actuó </w:t>
      </w:r>
      <w:r w:rsidR="00FD139E" w:rsidRPr="00DF67DF">
        <w:rPr>
          <w:rFonts w:ascii="Arial Narrow" w:hAnsi="Arial Narrow" w:cs="Arial"/>
          <w:sz w:val="26"/>
          <w:szCs w:val="26"/>
        </w:rPr>
        <w:t xml:space="preserve">como demandante </w:t>
      </w:r>
      <w:r w:rsidR="00982393" w:rsidRPr="00DF67DF">
        <w:rPr>
          <w:rFonts w:ascii="Arial Narrow" w:hAnsi="Arial Narrow" w:cs="Arial"/>
          <w:sz w:val="26"/>
          <w:szCs w:val="26"/>
        </w:rPr>
        <w:t xml:space="preserve">el señor Hernando Uribe Vargas, y en el actual aparece la señora Alba Lucía Ocampo Sepúlveda, </w:t>
      </w:r>
      <w:r w:rsidR="0010550B" w:rsidRPr="00DF67DF">
        <w:rPr>
          <w:rFonts w:ascii="Arial Narrow" w:hAnsi="Arial Narrow" w:cs="Arial"/>
          <w:sz w:val="26"/>
          <w:szCs w:val="26"/>
        </w:rPr>
        <w:t xml:space="preserve">lo cierto es que ésta está actuando </w:t>
      </w:r>
      <w:r w:rsidR="00FD139E" w:rsidRPr="00DF67DF">
        <w:rPr>
          <w:rFonts w:ascii="Arial Narrow" w:hAnsi="Arial Narrow" w:cs="Arial"/>
          <w:sz w:val="26"/>
          <w:szCs w:val="26"/>
        </w:rPr>
        <w:t>como sucesora procesal</w:t>
      </w:r>
      <w:r w:rsidR="0010550B" w:rsidRPr="00DF67DF">
        <w:rPr>
          <w:rFonts w:ascii="Arial Narrow" w:hAnsi="Arial Narrow" w:cs="Arial"/>
          <w:sz w:val="26"/>
          <w:szCs w:val="26"/>
        </w:rPr>
        <w:t xml:space="preserve"> de aquel</w:t>
      </w:r>
      <w:r w:rsidR="00FD139E" w:rsidRPr="00DF67DF">
        <w:rPr>
          <w:rFonts w:ascii="Arial Narrow" w:hAnsi="Arial Narrow" w:cs="Arial"/>
          <w:sz w:val="26"/>
          <w:szCs w:val="26"/>
        </w:rPr>
        <w:t xml:space="preserve">, al haberse producido un cambio en la titularidad de los derechos subjetivos </w:t>
      </w:r>
      <w:r w:rsidR="0010550B" w:rsidRPr="00DF67DF">
        <w:rPr>
          <w:rFonts w:ascii="Arial Narrow" w:hAnsi="Arial Narrow" w:cs="Arial"/>
          <w:sz w:val="26"/>
          <w:szCs w:val="26"/>
        </w:rPr>
        <w:t xml:space="preserve">que </w:t>
      </w:r>
      <w:r w:rsidR="00FD139E" w:rsidRPr="00DF67DF">
        <w:rPr>
          <w:rFonts w:ascii="Arial Narrow" w:hAnsi="Arial Narrow" w:cs="Arial"/>
          <w:sz w:val="26"/>
          <w:szCs w:val="26"/>
        </w:rPr>
        <w:t xml:space="preserve">le pertenecían y que conforman el objeto del proceso. </w:t>
      </w:r>
    </w:p>
    <w:p w:rsidR="00FD139E" w:rsidRPr="00DF67DF" w:rsidRDefault="00FD139E" w:rsidP="003F317B">
      <w:pPr>
        <w:pStyle w:val="Sinespaciado"/>
        <w:spacing w:line="288" w:lineRule="auto"/>
        <w:rPr>
          <w:rFonts w:ascii="Arial Narrow" w:hAnsi="Arial Narrow"/>
          <w:sz w:val="26"/>
          <w:szCs w:val="26"/>
        </w:rPr>
      </w:pPr>
    </w:p>
    <w:p w:rsidR="007A58FF" w:rsidRPr="00DF67DF" w:rsidRDefault="00FD139E" w:rsidP="003F317B">
      <w:pPr>
        <w:spacing w:line="288" w:lineRule="auto"/>
        <w:ind w:firstLine="851"/>
        <w:jc w:val="both"/>
        <w:rPr>
          <w:rFonts w:ascii="Arial Narrow" w:hAnsi="Arial Narrow" w:cs="Arial"/>
          <w:sz w:val="26"/>
          <w:szCs w:val="26"/>
        </w:rPr>
      </w:pPr>
      <w:r w:rsidRPr="00DF67DF">
        <w:rPr>
          <w:rFonts w:ascii="Arial Narrow" w:hAnsi="Arial Narrow" w:cs="Arial"/>
          <w:sz w:val="26"/>
          <w:szCs w:val="26"/>
        </w:rPr>
        <w:t>Recuérdese que la identidad de partes no debe confundirse con la identidad de personas, pues si bien es cierto que el requisito de</w:t>
      </w:r>
      <w:r w:rsidR="004360CD" w:rsidRPr="00DF67DF">
        <w:rPr>
          <w:rFonts w:ascii="Arial Narrow" w:hAnsi="Arial Narrow" w:cs="Arial"/>
          <w:sz w:val="26"/>
          <w:szCs w:val="26"/>
        </w:rPr>
        <w:t xml:space="preserve"> la </w:t>
      </w:r>
      <w:r w:rsidRPr="00DF67DF">
        <w:rPr>
          <w:rFonts w:ascii="Arial Narrow" w:hAnsi="Arial Narrow" w:cs="Arial"/>
          <w:sz w:val="26"/>
          <w:szCs w:val="26"/>
        </w:rPr>
        <w:t xml:space="preserve">cosa juzgada se configura cuando los integrantes de las partes </w:t>
      </w:r>
      <w:r w:rsidR="004360CD" w:rsidRPr="00DF67DF">
        <w:rPr>
          <w:rFonts w:ascii="Arial Narrow" w:hAnsi="Arial Narrow" w:cs="Arial"/>
          <w:sz w:val="26"/>
          <w:szCs w:val="26"/>
        </w:rPr>
        <w:t xml:space="preserve">o sujetos procesales </w:t>
      </w:r>
      <w:r w:rsidRPr="00DF67DF">
        <w:rPr>
          <w:rFonts w:ascii="Arial Narrow" w:hAnsi="Arial Narrow" w:cs="Arial"/>
          <w:sz w:val="26"/>
          <w:szCs w:val="26"/>
        </w:rPr>
        <w:t xml:space="preserve">son las mismas personas en el proceso primigenio y en el nuevo proceso, </w:t>
      </w:r>
      <w:r w:rsidR="004360CD" w:rsidRPr="00DF67DF">
        <w:rPr>
          <w:rFonts w:ascii="Arial Narrow" w:hAnsi="Arial Narrow" w:cs="Arial"/>
          <w:sz w:val="26"/>
          <w:szCs w:val="26"/>
        </w:rPr>
        <w:t xml:space="preserve">lo cierto es que </w:t>
      </w:r>
      <w:r w:rsidRPr="00DF67DF">
        <w:rPr>
          <w:rFonts w:ascii="Arial Narrow" w:hAnsi="Arial Narrow" w:cs="Arial"/>
          <w:sz w:val="26"/>
          <w:szCs w:val="26"/>
        </w:rPr>
        <w:t xml:space="preserve">puede suceder que haya cambio físico de personas, más no alteración de las partes, como sucede cuando en el nuevo proceso intervienen los sucesores mortis causa, </w:t>
      </w:r>
      <w:r w:rsidR="004360CD" w:rsidRPr="00DF67DF">
        <w:rPr>
          <w:rFonts w:ascii="Arial Narrow" w:hAnsi="Arial Narrow" w:cs="Arial"/>
          <w:sz w:val="26"/>
          <w:szCs w:val="26"/>
        </w:rPr>
        <w:t xml:space="preserve">tal como ocurrió </w:t>
      </w:r>
      <w:r w:rsidRPr="00DF67DF">
        <w:rPr>
          <w:rFonts w:ascii="Arial Narrow" w:hAnsi="Arial Narrow" w:cs="Arial"/>
          <w:sz w:val="26"/>
          <w:szCs w:val="26"/>
        </w:rPr>
        <w:t xml:space="preserve">en </w:t>
      </w:r>
      <w:r w:rsidR="00002A63" w:rsidRPr="00DF67DF">
        <w:rPr>
          <w:rFonts w:ascii="Arial Narrow" w:hAnsi="Arial Narrow" w:cs="Arial"/>
          <w:sz w:val="26"/>
          <w:szCs w:val="26"/>
        </w:rPr>
        <w:t xml:space="preserve">el sub-lite, </w:t>
      </w:r>
      <w:r w:rsidR="004360CD" w:rsidRPr="00DF67DF">
        <w:rPr>
          <w:rFonts w:ascii="Arial Narrow" w:hAnsi="Arial Narrow" w:cs="Arial"/>
          <w:sz w:val="26"/>
          <w:szCs w:val="26"/>
        </w:rPr>
        <w:t xml:space="preserve">en el que la demandante, en calidad de </w:t>
      </w:r>
      <w:r w:rsidR="00002A63" w:rsidRPr="00DF67DF">
        <w:rPr>
          <w:rFonts w:ascii="Arial Narrow" w:hAnsi="Arial Narrow" w:cs="Arial"/>
          <w:sz w:val="26"/>
          <w:szCs w:val="26"/>
        </w:rPr>
        <w:t>sobreviviente</w:t>
      </w:r>
      <w:r w:rsidR="004C267E" w:rsidRPr="00DF67DF">
        <w:rPr>
          <w:rFonts w:ascii="Arial Narrow" w:hAnsi="Arial Narrow" w:cs="Arial"/>
          <w:sz w:val="26"/>
          <w:szCs w:val="26"/>
        </w:rPr>
        <w:t>, sustituyó</w:t>
      </w:r>
      <w:r w:rsidR="00002A63" w:rsidRPr="00DF67DF">
        <w:rPr>
          <w:rFonts w:ascii="Arial Narrow" w:hAnsi="Arial Narrow" w:cs="Arial"/>
          <w:sz w:val="26"/>
          <w:szCs w:val="26"/>
        </w:rPr>
        <w:t xml:space="preserve"> </w:t>
      </w:r>
      <w:r w:rsidR="004360CD" w:rsidRPr="00DF67DF">
        <w:rPr>
          <w:rFonts w:ascii="Arial Narrow" w:hAnsi="Arial Narrow" w:cs="Arial"/>
          <w:sz w:val="26"/>
          <w:szCs w:val="26"/>
        </w:rPr>
        <w:t>como benefici</w:t>
      </w:r>
      <w:r w:rsidR="00002A63" w:rsidRPr="00DF67DF">
        <w:rPr>
          <w:rFonts w:ascii="Arial Narrow" w:hAnsi="Arial Narrow" w:cs="Arial"/>
          <w:sz w:val="26"/>
          <w:szCs w:val="26"/>
        </w:rPr>
        <w:t>a</w:t>
      </w:r>
      <w:r w:rsidR="004C267E" w:rsidRPr="00DF67DF">
        <w:rPr>
          <w:rFonts w:ascii="Arial Narrow" w:hAnsi="Arial Narrow" w:cs="Arial"/>
          <w:sz w:val="26"/>
          <w:szCs w:val="26"/>
        </w:rPr>
        <w:t>ria a</w:t>
      </w:r>
      <w:r w:rsidR="00002A63" w:rsidRPr="00DF67DF">
        <w:rPr>
          <w:rFonts w:ascii="Arial Narrow" w:hAnsi="Arial Narrow" w:cs="Arial"/>
          <w:sz w:val="26"/>
          <w:szCs w:val="26"/>
        </w:rPr>
        <w:t>l fallecido como sujeto del derecho a la pensi</w:t>
      </w:r>
      <w:r w:rsidR="004C267E" w:rsidRPr="00DF67DF">
        <w:rPr>
          <w:rFonts w:ascii="Arial Narrow" w:hAnsi="Arial Narrow" w:cs="Arial"/>
          <w:sz w:val="26"/>
          <w:szCs w:val="26"/>
        </w:rPr>
        <w:t xml:space="preserve">ón. </w:t>
      </w:r>
    </w:p>
    <w:p w:rsidR="002B007B" w:rsidRPr="00DF67DF" w:rsidRDefault="002B007B" w:rsidP="003F317B">
      <w:pPr>
        <w:spacing w:line="288" w:lineRule="auto"/>
        <w:ind w:firstLine="851"/>
        <w:jc w:val="both"/>
        <w:rPr>
          <w:rFonts w:ascii="Arial Narrow" w:hAnsi="Arial Narrow" w:cs="Arial"/>
          <w:sz w:val="26"/>
          <w:szCs w:val="26"/>
        </w:rPr>
      </w:pPr>
    </w:p>
    <w:p w:rsidR="007A58FF" w:rsidRPr="00DF67DF" w:rsidRDefault="007A58FF" w:rsidP="003F317B">
      <w:pPr>
        <w:spacing w:line="288" w:lineRule="auto"/>
        <w:ind w:firstLine="851"/>
        <w:jc w:val="both"/>
        <w:rPr>
          <w:rFonts w:ascii="Arial Narrow" w:hAnsi="Arial Narrow" w:cs="Arial"/>
          <w:sz w:val="26"/>
          <w:szCs w:val="26"/>
        </w:rPr>
      </w:pPr>
      <w:r w:rsidRPr="00DF67DF">
        <w:rPr>
          <w:rFonts w:ascii="Arial Narrow" w:hAnsi="Arial Narrow" w:cs="Arial"/>
          <w:sz w:val="26"/>
          <w:szCs w:val="26"/>
        </w:rPr>
        <w:t xml:space="preserve">La identidad de objeto, en este asunto, se acompasa perfectamente con las exigencias legales para pregonar la existencia de cosa juzgada, puesto que si bien en esta segunda litis se enlistó además la súplica en torno a la reliquidación de la pensión de sobrevivientes, ello corresponde a un segundo nivel, dependiente del éxito de la primera súplica, esto es, la </w:t>
      </w:r>
      <w:r w:rsidR="0064088C" w:rsidRPr="00DF67DF">
        <w:rPr>
          <w:rFonts w:ascii="Arial Narrow" w:hAnsi="Arial Narrow" w:cs="Arial"/>
          <w:sz w:val="26"/>
          <w:szCs w:val="26"/>
        </w:rPr>
        <w:t xml:space="preserve">actualización de la primera mesada </w:t>
      </w:r>
      <w:r w:rsidRPr="00DF67DF">
        <w:rPr>
          <w:rFonts w:ascii="Arial Narrow" w:hAnsi="Arial Narrow" w:cs="Arial"/>
          <w:sz w:val="26"/>
          <w:szCs w:val="26"/>
        </w:rPr>
        <w:t xml:space="preserve">de la pensión de vejez de quien causó la de sobrevivientes, la que luego de escrutada no supera el test que la ponga a salvo de la figura de la cosa juzgada, en esta contienda, y al no superar tal escollo, inane sería analizar el segundo nivel de las pretensiones, vale decir, la aludida reliquidación de la pensión de sobrevivientes. </w:t>
      </w:r>
    </w:p>
    <w:p w:rsidR="006D40E0" w:rsidRPr="00DF67DF" w:rsidRDefault="006D40E0" w:rsidP="003F317B">
      <w:pPr>
        <w:pStyle w:val="Sinespaciado"/>
        <w:spacing w:line="288" w:lineRule="auto"/>
        <w:rPr>
          <w:rFonts w:ascii="Arial Narrow" w:hAnsi="Arial Narrow"/>
          <w:sz w:val="26"/>
          <w:szCs w:val="26"/>
        </w:rPr>
      </w:pPr>
    </w:p>
    <w:p w:rsidR="00042CC5" w:rsidRPr="00DF67DF" w:rsidRDefault="00002A63" w:rsidP="003F317B">
      <w:pPr>
        <w:spacing w:line="288" w:lineRule="auto"/>
        <w:ind w:firstLine="851"/>
        <w:jc w:val="both"/>
        <w:rPr>
          <w:rFonts w:ascii="Arial Narrow" w:hAnsi="Arial Narrow" w:cs="Arial"/>
          <w:sz w:val="26"/>
          <w:szCs w:val="26"/>
        </w:rPr>
      </w:pPr>
      <w:r w:rsidRPr="00DF67DF">
        <w:rPr>
          <w:rFonts w:ascii="Arial Narrow" w:hAnsi="Arial Narrow" w:cs="Arial"/>
          <w:sz w:val="26"/>
          <w:szCs w:val="26"/>
        </w:rPr>
        <w:t xml:space="preserve">En cuanto </w:t>
      </w:r>
      <w:r w:rsidR="004859BF" w:rsidRPr="00DF67DF">
        <w:rPr>
          <w:rFonts w:ascii="Arial Narrow" w:hAnsi="Arial Narrow" w:cs="Arial"/>
          <w:sz w:val="26"/>
          <w:szCs w:val="26"/>
        </w:rPr>
        <w:t xml:space="preserve">a las causas </w:t>
      </w:r>
      <w:r w:rsidRPr="00DF67DF">
        <w:rPr>
          <w:rFonts w:ascii="Arial Narrow" w:hAnsi="Arial Narrow" w:cs="Arial"/>
          <w:sz w:val="26"/>
          <w:szCs w:val="26"/>
        </w:rPr>
        <w:t>en los dos procesos, se tiene que ambos refieren como sustento fáctico los hechos alusivos a la incorrecta liquidación de la mesada pensional por parte de la entidad administradora de pensiones, al no actualizarla p</w:t>
      </w:r>
      <w:r w:rsidR="00042CC5" w:rsidRPr="00DF67DF">
        <w:rPr>
          <w:rFonts w:ascii="Arial Narrow" w:hAnsi="Arial Narrow" w:cs="Arial"/>
          <w:sz w:val="26"/>
          <w:szCs w:val="26"/>
        </w:rPr>
        <w:t xml:space="preserve">ara el año 1990, siendo entonces la misma causa que sustentó la anterior demanda. </w:t>
      </w:r>
    </w:p>
    <w:p w:rsidR="00042CC5" w:rsidRPr="00DF67DF" w:rsidRDefault="00042CC5" w:rsidP="003F317B">
      <w:pPr>
        <w:pStyle w:val="Sinespaciado"/>
        <w:spacing w:line="288" w:lineRule="auto"/>
        <w:rPr>
          <w:rFonts w:ascii="Arial Narrow" w:hAnsi="Arial Narrow"/>
          <w:sz w:val="26"/>
          <w:szCs w:val="26"/>
        </w:rPr>
      </w:pPr>
    </w:p>
    <w:p w:rsidR="00042CC5" w:rsidRPr="00DF67DF" w:rsidRDefault="00042CC5" w:rsidP="003F317B">
      <w:pPr>
        <w:spacing w:line="288" w:lineRule="auto"/>
        <w:ind w:firstLine="851"/>
        <w:jc w:val="both"/>
        <w:rPr>
          <w:rFonts w:ascii="Arial Narrow" w:hAnsi="Arial Narrow" w:cs="Arial"/>
          <w:sz w:val="26"/>
          <w:szCs w:val="26"/>
        </w:rPr>
      </w:pPr>
      <w:r w:rsidRPr="00DF67DF">
        <w:rPr>
          <w:rFonts w:ascii="Arial Narrow" w:hAnsi="Arial Narrow" w:cs="Arial"/>
          <w:sz w:val="26"/>
          <w:szCs w:val="26"/>
        </w:rPr>
        <w:t>Por lo tanto, para esta Sala no queda duda que este asunto ya había sido decidido por la justicia laboral, razón por la cual se configuró la cosa juzgada en el presente caso, tal como lo coligió la sentenciadora de primer grado, razón por la que se confirmará la providencia de primer grado.</w:t>
      </w:r>
    </w:p>
    <w:p w:rsidR="00042CC5" w:rsidRPr="00DF67DF" w:rsidRDefault="00042CC5" w:rsidP="003F317B">
      <w:pPr>
        <w:pStyle w:val="Sinespaciado"/>
        <w:spacing w:line="288" w:lineRule="auto"/>
        <w:rPr>
          <w:rFonts w:ascii="Arial Narrow" w:hAnsi="Arial Narrow"/>
          <w:sz w:val="26"/>
          <w:szCs w:val="26"/>
        </w:rPr>
      </w:pPr>
    </w:p>
    <w:p w:rsidR="00042CC5" w:rsidRPr="00DF67DF" w:rsidRDefault="00042CC5" w:rsidP="003F317B">
      <w:pPr>
        <w:spacing w:line="288" w:lineRule="auto"/>
        <w:ind w:firstLine="851"/>
        <w:jc w:val="both"/>
        <w:rPr>
          <w:rFonts w:ascii="Arial Narrow" w:hAnsi="Arial Narrow" w:cs="Arial"/>
          <w:sz w:val="26"/>
          <w:szCs w:val="26"/>
        </w:rPr>
      </w:pPr>
      <w:r w:rsidRPr="00DF67DF">
        <w:rPr>
          <w:rFonts w:ascii="Arial Narrow" w:hAnsi="Arial Narrow" w:cs="Arial"/>
          <w:sz w:val="26"/>
          <w:szCs w:val="26"/>
        </w:rPr>
        <w:t xml:space="preserve">Sin costas en esta instancia por haberse conocido </w:t>
      </w:r>
      <w:r w:rsidR="004C267E" w:rsidRPr="00DF67DF">
        <w:rPr>
          <w:rFonts w:ascii="Arial Narrow" w:hAnsi="Arial Narrow" w:cs="Arial"/>
          <w:sz w:val="26"/>
          <w:szCs w:val="26"/>
        </w:rPr>
        <w:t>en grado</w:t>
      </w:r>
      <w:r w:rsidR="008654CD" w:rsidRPr="00DF67DF">
        <w:rPr>
          <w:rFonts w:ascii="Arial Narrow" w:hAnsi="Arial Narrow" w:cs="Arial"/>
          <w:sz w:val="26"/>
          <w:szCs w:val="26"/>
        </w:rPr>
        <w:t xml:space="preserve"> jurisdiccional </w:t>
      </w:r>
      <w:r w:rsidR="004C267E" w:rsidRPr="00DF67DF">
        <w:rPr>
          <w:rFonts w:ascii="Arial Narrow" w:hAnsi="Arial Narrow" w:cs="Arial"/>
          <w:sz w:val="26"/>
          <w:szCs w:val="26"/>
        </w:rPr>
        <w:t xml:space="preserve">de </w:t>
      </w:r>
      <w:r w:rsidRPr="00DF67DF">
        <w:rPr>
          <w:rFonts w:ascii="Arial Narrow" w:hAnsi="Arial Narrow" w:cs="Arial"/>
          <w:sz w:val="26"/>
          <w:szCs w:val="26"/>
        </w:rPr>
        <w:t xml:space="preserve">consulta. </w:t>
      </w:r>
    </w:p>
    <w:p w:rsidR="00796EDD" w:rsidRPr="00DF67DF" w:rsidRDefault="00796EDD" w:rsidP="003F317B">
      <w:pPr>
        <w:pStyle w:val="Sinespaciado"/>
        <w:spacing w:line="288" w:lineRule="auto"/>
        <w:rPr>
          <w:rFonts w:ascii="Arial Narrow" w:hAnsi="Arial Narrow"/>
          <w:sz w:val="26"/>
          <w:szCs w:val="26"/>
        </w:rPr>
      </w:pPr>
    </w:p>
    <w:p w:rsidR="00796EDD" w:rsidRPr="00DF67DF" w:rsidRDefault="00796EDD" w:rsidP="003F317B">
      <w:pPr>
        <w:pStyle w:val="Prrafodelista1"/>
        <w:spacing w:after="0" w:line="288" w:lineRule="auto"/>
        <w:ind w:left="0" w:firstLine="900"/>
        <w:jc w:val="both"/>
        <w:rPr>
          <w:rFonts w:ascii="Arial Narrow" w:hAnsi="Arial Narrow"/>
          <w:sz w:val="26"/>
          <w:szCs w:val="26"/>
        </w:rPr>
      </w:pPr>
      <w:r w:rsidRPr="00DF67DF">
        <w:rPr>
          <w:rFonts w:ascii="Arial Narrow" w:hAnsi="Arial Narrow"/>
          <w:sz w:val="26"/>
          <w:szCs w:val="26"/>
        </w:rPr>
        <w:t>En mérito de lo expuesto, el</w:t>
      </w:r>
      <w:r w:rsidRPr="00DF67DF">
        <w:rPr>
          <w:rFonts w:ascii="Arial Narrow" w:hAnsi="Arial Narrow"/>
          <w:i/>
          <w:sz w:val="26"/>
          <w:szCs w:val="26"/>
        </w:rPr>
        <w:t xml:space="preserve"> H. Tribunal Superior del Distrito Judicial de Pereira - Risaralda, Sala</w:t>
      </w:r>
      <w:r w:rsidR="00042CC5" w:rsidRPr="00DF67DF">
        <w:rPr>
          <w:rFonts w:ascii="Arial Narrow" w:hAnsi="Arial Narrow"/>
          <w:i/>
          <w:sz w:val="26"/>
          <w:szCs w:val="26"/>
        </w:rPr>
        <w:t xml:space="preserve"> Cuarta de Decisión </w:t>
      </w:r>
      <w:r w:rsidRPr="00DF67DF">
        <w:rPr>
          <w:rFonts w:ascii="Arial Narrow" w:hAnsi="Arial Narrow"/>
          <w:i/>
          <w:sz w:val="26"/>
          <w:szCs w:val="26"/>
        </w:rPr>
        <w:t>Laboral,</w:t>
      </w:r>
      <w:r w:rsidRPr="00DF67DF">
        <w:rPr>
          <w:rFonts w:ascii="Arial Narrow" w:hAnsi="Arial Narrow"/>
          <w:sz w:val="26"/>
          <w:szCs w:val="26"/>
        </w:rPr>
        <w:t xml:space="preserve"> administrando justicia en nombre de la República y por autoridad de la ley,</w:t>
      </w:r>
    </w:p>
    <w:p w:rsidR="004C267E" w:rsidRPr="00DF67DF" w:rsidRDefault="004C267E" w:rsidP="003F317B">
      <w:pPr>
        <w:pStyle w:val="Sinespaciado"/>
        <w:spacing w:line="288" w:lineRule="auto"/>
        <w:rPr>
          <w:rFonts w:ascii="Arial Narrow" w:hAnsi="Arial Narrow"/>
          <w:sz w:val="26"/>
          <w:szCs w:val="26"/>
        </w:rPr>
      </w:pPr>
    </w:p>
    <w:p w:rsidR="00796EDD" w:rsidRPr="00DF67DF" w:rsidRDefault="00796EDD" w:rsidP="003F317B">
      <w:pPr>
        <w:spacing w:line="288" w:lineRule="auto"/>
        <w:jc w:val="center"/>
        <w:rPr>
          <w:rFonts w:ascii="Arial Narrow" w:hAnsi="Arial Narrow" w:cs="Arial"/>
          <w:b/>
          <w:i/>
          <w:sz w:val="26"/>
          <w:szCs w:val="26"/>
        </w:rPr>
      </w:pPr>
      <w:r w:rsidRPr="00DF67DF">
        <w:rPr>
          <w:rFonts w:ascii="Arial Narrow" w:hAnsi="Arial Narrow" w:cs="Arial"/>
          <w:b/>
          <w:i/>
          <w:sz w:val="26"/>
          <w:szCs w:val="26"/>
        </w:rPr>
        <w:t>FALLA</w:t>
      </w:r>
    </w:p>
    <w:p w:rsidR="00796EDD" w:rsidRPr="00DF67DF" w:rsidRDefault="00796EDD" w:rsidP="003F317B">
      <w:pPr>
        <w:pStyle w:val="Sinespaciado"/>
        <w:spacing w:line="288" w:lineRule="auto"/>
        <w:rPr>
          <w:rFonts w:ascii="Arial Narrow" w:hAnsi="Arial Narrow"/>
          <w:sz w:val="26"/>
          <w:szCs w:val="26"/>
        </w:rPr>
      </w:pPr>
    </w:p>
    <w:p w:rsidR="00796EDD" w:rsidRPr="00DF67DF" w:rsidRDefault="00796EDD" w:rsidP="003F317B">
      <w:pPr>
        <w:pStyle w:val="Prrafodelista"/>
        <w:numPr>
          <w:ilvl w:val="0"/>
          <w:numId w:val="1"/>
        </w:numPr>
        <w:spacing w:line="288" w:lineRule="auto"/>
        <w:ind w:left="0" w:firstLine="705"/>
        <w:jc w:val="both"/>
        <w:rPr>
          <w:rFonts w:ascii="Arial Narrow" w:hAnsi="Arial Narrow"/>
          <w:sz w:val="26"/>
          <w:szCs w:val="26"/>
        </w:rPr>
      </w:pPr>
      <w:r w:rsidRPr="00DF67DF">
        <w:rPr>
          <w:rFonts w:ascii="Arial Narrow" w:hAnsi="Arial Narrow" w:cs="Arial"/>
          <w:b/>
          <w:sz w:val="26"/>
          <w:szCs w:val="26"/>
        </w:rPr>
        <w:t>Confirma</w:t>
      </w:r>
      <w:r w:rsidRPr="00DF67DF">
        <w:rPr>
          <w:rFonts w:ascii="Arial Narrow" w:hAnsi="Arial Narrow" w:cs="Arial"/>
          <w:i/>
          <w:sz w:val="26"/>
          <w:szCs w:val="26"/>
        </w:rPr>
        <w:t xml:space="preserve"> </w:t>
      </w:r>
      <w:r w:rsidR="00042CC5" w:rsidRPr="00DF67DF">
        <w:rPr>
          <w:rFonts w:ascii="Arial Narrow" w:hAnsi="Arial Narrow" w:cs="Arial"/>
          <w:sz w:val="26"/>
          <w:szCs w:val="26"/>
        </w:rPr>
        <w:t xml:space="preserve">la sentencia proferida el 15 </w:t>
      </w:r>
      <w:r w:rsidRPr="00DF67DF">
        <w:rPr>
          <w:rFonts w:ascii="Arial Narrow" w:hAnsi="Arial Narrow" w:cs="Arial"/>
          <w:sz w:val="26"/>
          <w:szCs w:val="26"/>
        </w:rPr>
        <w:t>de m</w:t>
      </w:r>
      <w:r w:rsidR="00042CC5" w:rsidRPr="00DF67DF">
        <w:rPr>
          <w:rFonts w:ascii="Arial Narrow" w:hAnsi="Arial Narrow" w:cs="Arial"/>
          <w:sz w:val="26"/>
          <w:szCs w:val="26"/>
        </w:rPr>
        <w:t xml:space="preserve">arzo de 2019 </w:t>
      </w:r>
      <w:r w:rsidRPr="00DF67DF">
        <w:rPr>
          <w:rFonts w:ascii="Arial Narrow" w:hAnsi="Arial Narrow" w:cs="Arial"/>
          <w:sz w:val="26"/>
          <w:szCs w:val="26"/>
        </w:rPr>
        <w:t xml:space="preserve">por el Juzgado </w:t>
      </w:r>
      <w:r w:rsidR="00042CC5" w:rsidRPr="00DF67DF">
        <w:rPr>
          <w:rFonts w:ascii="Arial Narrow" w:hAnsi="Arial Narrow" w:cs="Arial"/>
          <w:sz w:val="26"/>
          <w:szCs w:val="26"/>
        </w:rPr>
        <w:t>Segundo</w:t>
      </w:r>
      <w:r w:rsidRPr="00DF67DF">
        <w:rPr>
          <w:rFonts w:ascii="Arial Narrow" w:hAnsi="Arial Narrow" w:cs="Arial"/>
          <w:sz w:val="26"/>
          <w:szCs w:val="26"/>
        </w:rPr>
        <w:t xml:space="preserve"> Laboral del Circuito de Pereira, dentro del proceso ordinario laboral de la referencia</w:t>
      </w:r>
      <w:r w:rsidRPr="00DF67DF">
        <w:rPr>
          <w:rFonts w:ascii="Arial Narrow" w:hAnsi="Arial Narrow" w:cs="Arial"/>
          <w:i/>
          <w:sz w:val="26"/>
          <w:szCs w:val="26"/>
        </w:rPr>
        <w:t>.</w:t>
      </w:r>
    </w:p>
    <w:p w:rsidR="00042CC5" w:rsidRPr="00DF67DF" w:rsidRDefault="00042CC5" w:rsidP="003F317B">
      <w:pPr>
        <w:pStyle w:val="Sinespaciado"/>
        <w:spacing w:line="288" w:lineRule="auto"/>
        <w:rPr>
          <w:rFonts w:ascii="Arial Narrow" w:hAnsi="Arial Narrow"/>
          <w:sz w:val="26"/>
          <w:szCs w:val="26"/>
        </w:rPr>
      </w:pPr>
    </w:p>
    <w:p w:rsidR="00796EDD" w:rsidRPr="00DF67DF" w:rsidRDefault="00796EDD" w:rsidP="003F317B">
      <w:pPr>
        <w:spacing w:line="288" w:lineRule="auto"/>
        <w:jc w:val="both"/>
        <w:rPr>
          <w:rFonts w:ascii="Arial Narrow" w:hAnsi="Arial Narrow" w:cs="Arial"/>
          <w:sz w:val="26"/>
          <w:szCs w:val="26"/>
        </w:rPr>
      </w:pPr>
      <w:r w:rsidRPr="00DF67DF">
        <w:rPr>
          <w:rFonts w:ascii="Arial Narrow" w:hAnsi="Arial Narrow" w:cs="Arial"/>
          <w:i/>
          <w:sz w:val="26"/>
          <w:szCs w:val="26"/>
        </w:rPr>
        <w:tab/>
      </w:r>
      <w:r w:rsidR="00042CC5" w:rsidRPr="00DF67DF">
        <w:rPr>
          <w:rFonts w:ascii="Arial Narrow" w:hAnsi="Arial Narrow" w:cs="Arial"/>
          <w:b/>
          <w:i/>
          <w:sz w:val="26"/>
          <w:szCs w:val="26"/>
        </w:rPr>
        <w:t>2</w:t>
      </w:r>
      <w:r w:rsidRPr="00DF67DF">
        <w:rPr>
          <w:rFonts w:ascii="Arial Narrow" w:hAnsi="Arial Narrow" w:cs="Arial"/>
          <w:bCs/>
          <w:sz w:val="26"/>
          <w:szCs w:val="26"/>
        </w:rPr>
        <w:t xml:space="preserve">. </w:t>
      </w:r>
      <w:r w:rsidR="00042CC5" w:rsidRPr="00DF67DF">
        <w:rPr>
          <w:rFonts w:ascii="Arial Narrow" w:hAnsi="Arial Narrow" w:cs="Arial"/>
          <w:bCs/>
          <w:sz w:val="26"/>
          <w:szCs w:val="26"/>
        </w:rPr>
        <w:t>Sin costas en esta instancia</w:t>
      </w:r>
      <w:r w:rsidRPr="00DF67DF">
        <w:rPr>
          <w:rFonts w:ascii="Arial Narrow" w:hAnsi="Arial Narrow" w:cs="Arial"/>
          <w:bCs/>
          <w:sz w:val="26"/>
          <w:szCs w:val="26"/>
        </w:rPr>
        <w:t>.</w:t>
      </w:r>
    </w:p>
    <w:p w:rsidR="00796EDD" w:rsidRPr="00DF67DF" w:rsidRDefault="00796EDD" w:rsidP="003F317B">
      <w:pPr>
        <w:pStyle w:val="Sinespaciado"/>
        <w:spacing w:line="288" w:lineRule="auto"/>
        <w:rPr>
          <w:rFonts w:ascii="Arial Narrow" w:hAnsi="Arial Narrow"/>
          <w:sz w:val="26"/>
          <w:szCs w:val="26"/>
        </w:rPr>
      </w:pPr>
    </w:p>
    <w:p w:rsidR="00796EDD" w:rsidRPr="00DF67DF" w:rsidRDefault="00796EDD" w:rsidP="003F317B">
      <w:pPr>
        <w:spacing w:line="288" w:lineRule="auto"/>
        <w:ind w:firstLine="900"/>
        <w:jc w:val="both"/>
        <w:rPr>
          <w:rFonts w:ascii="Arial Narrow" w:hAnsi="Arial Narrow" w:cs="Microsoft Sans Serif"/>
          <w:bCs/>
          <w:iCs/>
          <w:sz w:val="26"/>
          <w:szCs w:val="26"/>
          <w:lang w:val="es-ES"/>
        </w:rPr>
      </w:pPr>
      <w:r w:rsidRPr="00DF67DF">
        <w:rPr>
          <w:rFonts w:ascii="Arial Narrow" w:hAnsi="Arial Narrow" w:cs="Microsoft Sans Serif"/>
          <w:bCs/>
          <w:iCs/>
          <w:sz w:val="26"/>
          <w:szCs w:val="26"/>
          <w:lang w:val="es-ES"/>
        </w:rPr>
        <w:t>La anterior decisión queda notificada en estrados.</w:t>
      </w:r>
    </w:p>
    <w:p w:rsidR="00C6105C" w:rsidRPr="00DF67DF" w:rsidRDefault="00C6105C" w:rsidP="003F317B">
      <w:pPr>
        <w:spacing w:line="288" w:lineRule="auto"/>
        <w:jc w:val="center"/>
        <w:rPr>
          <w:rFonts w:ascii="Arial Narrow" w:hAnsi="Arial Narrow" w:cs="Arial"/>
          <w:bCs/>
          <w:iCs/>
          <w:sz w:val="26"/>
          <w:szCs w:val="26"/>
          <w:lang w:val="es-ES"/>
        </w:rPr>
      </w:pPr>
    </w:p>
    <w:p w:rsidR="00C6105C" w:rsidRPr="00DF67DF" w:rsidRDefault="00C6105C" w:rsidP="003F317B">
      <w:pPr>
        <w:spacing w:line="288" w:lineRule="auto"/>
        <w:jc w:val="center"/>
        <w:rPr>
          <w:rFonts w:ascii="Arial Narrow" w:hAnsi="Arial Narrow" w:cs="Arial"/>
          <w:bCs/>
          <w:i/>
          <w:iCs/>
          <w:sz w:val="26"/>
          <w:szCs w:val="26"/>
          <w:lang w:val="es-ES"/>
        </w:rPr>
      </w:pPr>
    </w:p>
    <w:p w:rsidR="00C6105C" w:rsidRPr="00DF67DF" w:rsidRDefault="00C6105C" w:rsidP="003F317B">
      <w:pPr>
        <w:spacing w:line="288" w:lineRule="auto"/>
        <w:jc w:val="center"/>
        <w:rPr>
          <w:rFonts w:ascii="Arial Narrow" w:hAnsi="Arial Narrow" w:cs="Arial"/>
          <w:bCs/>
          <w:i/>
          <w:iCs/>
          <w:sz w:val="26"/>
          <w:szCs w:val="26"/>
          <w:lang w:val="es-ES"/>
        </w:rPr>
      </w:pPr>
    </w:p>
    <w:p w:rsidR="00C6105C" w:rsidRPr="00DF67DF" w:rsidRDefault="00C6105C" w:rsidP="003F317B">
      <w:pPr>
        <w:spacing w:line="288" w:lineRule="auto"/>
        <w:jc w:val="center"/>
        <w:rPr>
          <w:rFonts w:ascii="Arial Narrow" w:hAnsi="Arial Narrow" w:cs="Arial"/>
          <w:b/>
          <w:bCs/>
          <w:i/>
          <w:iCs/>
          <w:sz w:val="26"/>
          <w:szCs w:val="26"/>
          <w:lang w:val="es-ES"/>
        </w:rPr>
      </w:pPr>
      <w:r w:rsidRPr="00DF67DF">
        <w:rPr>
          <w:rFonts w:ascii="Arial Narrow" w:hAnsi="Arial Narrow" w:cs="Arial"/>
          <w:b/>
          <w:bCs/>
          <w:i/>
          <w:iCs/>
          <w:sz w:val="26"/>
          <w:szCs w:val="26"/>
          <w:lang w:val="es-ES"/>
        </w:rPr>
        <w:t>FRANCISCO JAVIER TAMAYO TABARES</w:t>
      </w:r>
    </w:p>
    <w:p w:rsidR="00C6105C" w:rsidRPr="00DF67DF" w:rsidRDefault="00C6105C" w:rsidP="003F317B">
      <w:pPr>
        <w:spacing w:line="288" w:lineRule="auto"/>
        <w:jc w:val="center"/>
        <w:rPr>
          <w:rFonts w:ascii="Arial Narrow" w:hAnsi="Arial Narrow" w:cs="Arial"/>
          <w:bCs/>
          <w:i/>
          <w:iCs/>
          <w:sz w:val="26"/>
          <w:szCs w:val="26"/>
          <w:lang w:val="es-ES"/>
        </w:rPr>
      </w:pPr>
      <w:r w:rsidRPr="00DF67DF">
        <w:rPr>
          <w:rFonts w:ascii="Arial Narrow" w:hAnsi="Arial Narrow" w:cs="Arial"/>
          <w:bCs/>
          <w:i/>
          <w:iCs/>
          <w:sz w:val="26"/>
          <w:szCs w:val="26"/>
          <w:lang w:val="es-ES"/>
        </w:rPr>
        <w:t>Magistrado Ponente</w:t>
      </w:r>
    </w:p>
    <w:p w:rsidR="00C6105C" w:rsidRPr="00DF67DF" w:rsidRDefault="00C6105C" w:rsidP="003F317B">
      <w:pPr>
        <w:spacing w:line="288" w:lineRule="auto"/>
        <w:jc w:val="center"/>
        <w:rPr>
          <w:rFonts w:ascii="Arial Narrow" w:hAnsi="Arial Narrow" w:cs="Arial"/>
          <w:bCs/>
          <w:i/>
          <w:iCs/>
          <w:sz w:val="26"/>
          <w:szCs w:val="26"/>
          <w:lang w:val="es-ES"/>
        </w:rPr>
      </w:pPr>
    </w:p>
    <w:p w:rsidR="00C6105C" w:rsidRPr="00DF67DF" w:rsidRDefault="00C6105C" w:rsidP="003F317B">
      <w:pPr>
        <w:spacing w:line="288" w:lineRule="auto"/>
        <w:jc w:val="center"/>
        <w:rPr>
          <w:rFonts w:ascii="Arial Narrow" w:hAnsi="Arial Narrow" w:cs="Arial"/>
          <w:bCs/>
          <w:i/>
          <w:iCs/>
          <w:sz w:val="26"/>
          <w:szCs w:val="26"/>
          <w:lang w:val="es-ES"/>
        </w:rPr>
      </w:pPr>
    </w:p>
    <w:p w:rsidR="00C6105C" w:rsidRPr="00DF67DF" w:rsidRDefault="00C6105C" w:rsidP="003F317B">
      <w:pPr>
        <w:spacing w:line="288" w:lineRule="auto"/>
        <w:jc w:val="both"/>
        <w:rPr>
          <w:rFonts w:ascii="Arial Narrow" w:hAnsi="Arial Narrow" w:cs="Arial"/>
          <w:b/>
          <w:bCs/>
          <w:i/>
          <w:iCs/>
          <w:sz w:val="26"/>
          <w:szCs w:val="26"/>
          <w:lang w:val="es-ES"/>
        </w:rPr>
      </w:pPr>
      <w:r w:rsidRPr="00DF67DF">
        <w:rPr>
          <w:rFonts w:ascii="Arial Narrow" w:hAnsi="Arial Narrow" w:cs="Arial"/>
          <w:b/>
          <w:bCs/>
          <w:i/>
          <w:iCs/>
          <w:sz w:val="26"/>
          <w:szCs w:val="26"/>
          <w:lang w:val="es-ES"/>
        </w:rPr>
        <w:t>ANA LUCÍA CAICEDO CALDERÓN</w:t>
      </w:r>
      <w:r w:rsidRPr="00DF67DF">
        <w:rPr>
          <w:rFonts w:ascii="Arial Narrow" w:hAnsi="Arial Narrow" w:cs="Arial"/>
          <w:b/>
          <w:bCs/>
          <w:i/>
          <w:iCs/>
          <w:sz w:val="26"/>
          <w:szCs w:val="26"/>
          <w:lang w:val="es-ES"/>
        </w:rPr>
        <w:tab/>
      </w:r>
      <w:r w:rsidRPr="00DF67DF">
        <w:rPr>
          <w:rFonts w:ascii="Arial Narrow" w:hAnsi="Arial Narrow" w:cs="Arial"/>
          <w:b/>
          <w:bCs/>
          <w:i/>
          <w:iCs/>
          <w:sz w:val="26"/>
          <w:szCs w:val="26"/>
          <w:lang w:val="es-ES"/>
        </w:rPr>
        <w:tab/>
      </w:r>
      <w:r w:rsidRPr="00DF67DF">
        <w:rPr>
          <w:rFonts w:ascii="Arial Narrow" w:hAnsi="Arial Narrow" w:cs="Arial"/>
          <w:b/>
          <w:bCs/>
          <w:i/>
          <w:iCs/>
          <w:sz w:val="26"/>
          <w:szCs w:val="26"/>
          <w:lang w:val="es-ES"/>
        </w:rPr>
        <w:tab/>
        <w:t xml:space="preserve">         OLGA LUCIA HOYOS SEPÚLVEDA</w:t>
      </w:r>
    </w:p>
    <w:p w:rsidR="00796EDD" w:rsidRPr="00DF67DF" w:rsidRDefault="00C6105C" w:rsidP="003F317B">
      <w:pPr>
        <w:spacing w:line="288" w:lineRule="auto"/>
        <w:ind w:firstLine="900"/>
        <w:jc w:val="both"/>
        <w:rPr>
          <w:rFonts w:ascii="Arial Narrow" w:hAnsi="Arial Narrow" w:cs="Arial"/>
          <w:sz w:val="26"/>
          <w:szCs w:val="26"/>
        </w:rPr>
      </w:pPr>
      <w:r w:rsidRPr="00DF67DF">
        <w:rPr>
          <w:rFonts w:ascii="Arial Narrow" w:hAnsi="Arial Narrow" w:cs="Arial"/>
          <w:bCs/>
          <w:i/>
          <w:iCs/>
          <w:sz w:val="26"/>
          <w:szCs w:val="26"/>
          <w:lang w:val="es-ES"/>
        </w:rPr>
        <w:t xml:space="preserve">       Magistrada</w:t>
      </w:r>
      <w:r w:rsidRPr="00DF67DF">
        <w:rPr>
          <w:rFonts w:ascii="Arial Narrow" w:hAnsi="Arial Narrow" w:cs="Arial"/>
          <w:bCs/>
          <w:i/>
          <w:iCs/>
          <w:sz w:val="26"/>
          <w:szCs w:val="26"/>
          <w:lang w:val="es-ES"/>
        </w:rPr>
        <w:tab/>
      </w:r>
      <w:r w:rsidRPr="00DF67DF">
        <w:rPr>
          <w:rFonts w:ascii="Arial Narrow" w:hAnsi="Arial Narrow" w:cs="Arial"/>
          <w:bCs/>
          <w:i/>
          <w:iCs/>
          <w:sz w:val="26"/>
          <w:szCs w:val="26"/>
          <w:lang w:val="es-ES"/>
        </w:rPr>
        <w:tab/>
      </w:r>
      <w:r w:rsidRPr="00DF67DF">
        <w:rPr>
          <w:rFonts w:ascii="Arial Narrow" w:hAnsi="Arial Narrow" w:cs="Arial"/>
          <w:bCs/>
          <w:i/>
          <w:iCs/>
          <w:sz w:val="26"/>
          <w:szCs w:val="26"/>
          <w:lang w:val="es-ES"/>
        </w:rPr>
        <w:tab/>
      </w:r>
      <w:r w:rsidRPr="00DF67DF">
        <w:rPr>
          <w:rFonts w:ascii="Arial Narrow" w:hAnsi="Arial Narrow" w:cs="Arial"/>
          <w:bCs/>
          <w:i/>
          <w:iCs/>
          <w:sz w:val="26"/>
          <w:szCs w:val="26"/>
          <w:lang w:val="es-ES"/>
        </w:rPr>
        <w:tab/>
      </w:r>
      <w:r w:rsidRPr="00DF67DF">
        <w:rPr>
          <w:rFonts w:ascii="Arial Narrow" w:hAnsi="Arial Narrow" w:cs="Arial"/>
          <w:bCs/>
          <w:i/>
          <w:iCs/>
          <w:sz w:val="26"/>
          <w:szCs w:val="26"/>
          <w:lang w:val="es-ES"/>
        </w:rPr>
        <w:tab/>
      </w:r>
      <w:r w:rsidRPr="00DF67DF">
        <w:rPr>
          <w:rFonts w:ascii="Arial Narrow" w:hAnsi="Arial Narrow" w:cs="Arial"/>
          <w:bCs/>
          <w:i/>
          <w:iCs/>
          <w:sz w:val="26"/>
          <w:szCs w:val="26"/>
          <w:lang w:val="es-ES"/>
        </w:rPr>
        <w:tab/>
        <w:t xml:space="preserve">    </w:t>
      </w:r>
      <w:proofErr w:type="spellStart"/>
      <w:r w:rsidRPr="00DF67DF">
        <w:rPr>
          <w:rFonts w:ascii="Arial Narrow" w:hAnsi="Arial Narrow" w:cs="Arial"/>
          <w:bCs/>
          <w:i/>
          <w:iCs/>
          <w:sz w:val="26"/>
          <w:szCs w:val="26"/>
          <w:lang w:val="es-ES"/>
        </w:rPr>
        <w:t>Magistrada</w:t>
      </w:r>
      <w:proofErr w:type="spellEnd"/>
    </w:p>
    <w:sectPr w:rsidR="00796EDD" w:rsidRPr="00DF67DF" w:rsidSect="00D14F12">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B6C" w:rsidRDefault="00BF3B6C" w:rsidP="00796EDD">
      <w:r>
        <w:separator/>
      </w:r>
    </w:p>
  </w:endnote>
  <w:endnote w:type="continuationSeparator" w:id="0">
    <w:p w:rsidR="00BF3B6C" w:rsidRDefault="00BF3B6C" w:rsidP="0079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0A" w:rsidRDefault="00152802" w:rsidP="004A6C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0B0A" w:rsidRDefault="00BF3B6C" w:rsidP="004A6C2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631877"/>
      <w:docPartObj>
        <w:docPartGallery w:val="Page Numbers (Bottom of Page)"/>
        <w:docPartUnique/>
      </w:docPartObj>
    </w:sdtPr>
    <w:sdtEndPr>
      <w:rPr>
        <w:rFonts w:ascii="Arial" w:hAnsi="Arial" w:cs="Arial"/>
        <w:sz w:val="18"/>
      </w:rPr>
    </w:sdtEndPr>
    <w:sdtContent>
      <w:p w:rsidR="00B50B0A" w:rsidRPr="00D14F12" w:rsidRDefault="00152802">
        <w:pPr>
          <w:pStyle w:val="Piedepgina"/>
          <w:jc w:val="right"/>
          <w:rPr>
            <w:rFonts w:ascii="Arial" w:hAnsi="Arial" w:cs="Arial"/>
            <w:sz w:val="18"/>
          </w:rPr>
        </w:pPr>
        <w:r w:rsidRPr="00D14F12">
          <w:rPr>
            <w:rFonts w:ascii="Arial" w:hAnsi="Arial" w:cs="Arial"/>
            <w:sz w:val="18"/>
          </w:rPr>
          <w:fldChar w:fldCharType="begin"/>
        </w:r>
        <w:r w:rsidRPr="00D14F12">
          <w:rPr>
            <w:rFonts w:ascii="Arial" w:hAnsi="Arial" w:cs="Arial"/>
            <w:sz w:val="18"/>
          </w:rPr>
          <w:instrText>PAGE   \* MERGEFORMAT</w:instrText>
        </w:r>
        <w:r w:rsidRPr="00D14F12">
          <w:rPr>
            <w:rFonts w:ascii="Arial" w:hAnsi="Arial" w:cs="Arial"/>
            <w:sz w:val="18"/>
          </w:rPr>
          <w:fldChar w:fldCharType="separate"/>
        </w:r>
        <w:r w:rsidR="00875EB1" w:rsidRPr="00875EB1">
          <w:rPr>
            <w:rFonts w:ascii="Arial" w:hAnsi="Arial" w:cs="Arial"/>
            <w:noProof/>
            <w:sz w:val="18"/>
            <w:lang w:val="es-ES"/>
          </w:rPr>
          <w:t>5</w:t>
        </w:r>
        <w:r w:rsidRPr="00D14F12">
          <w:rPr>
            <w:rFonts w:ascii="Arial" w:hAnsi="Arial" w:cs="Arial"/>
            <w:noProof/>
            <w:sz w:val="18"/>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B6C" w:rsidRDefault="00BF3B6C" w:rsidP="00796EDD">
      <w:r>
        <w:separator/>
      </w:r>
    </w:p>
  </w:footnote>
  <w:footnote w:type="continuationSeparator" w:id="0">
    <w:p w:rsidR="00BF3B6C" w:rsidRDefault="00BF3B6C" w:rsidP="00796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0A" w:rsidRPr="00D14F12" w:rsidRDefault="00152802" w:rsidP="004A6C23">
    <w:pPr>
      <w:jc w:val="both"/>
      <w:rPr>
        <w:rFonts w:ascii="Arial" w:hAnsi="Arial" w:cs="Arial"/>
        <w:bCs/>
        <w:sz w:val="18"/>
        <w:szCs w:val="16"/>
      </w:rPr>
    </w:pPr>
    <w:r w:rsidRPr="00D14F12">
      <w:rPr>
        <w:rFonts w:ascii="Arial" w:hAnsi="Arial" w:cs="Arial"/>
        <w:bCs/>
        <w:sz w:val="18"/>
        <w:szCs w:val="16"/>
      </w:rPr>
      <w:t>Radicación No: 66001-31-05-00</w:t>
    </w:r>
    <w:r w:rsidR="00796EDD" w:rsidRPr="00D14F12">
      <w:rPr>
        <w:rFonts w:ascii="Arial" w:hAnsi="Arial" w:cs="Arial"/>
        <w:bCs/>
        <w:sz w:val="18"/>
        <w:szCs w:val="16"/>
      </w:rPr>
      <w:t>2-2016-00334-01</w:t>
    </w:r>
  </w:p>
  <w:p w:rsidR="00B50B0A" w:rsidRPr="00D14F12" w:rsidRDefault="00796EDD" w:rsidP="004A6C23">
    <w:pPr>
      <w:jc w:val="both"/>
      <w:rPr>
        <w:rFonts w:ascii="Arial" w:hAnsi="Arial" w:cs="Arial"/>
        <w:sz w:val="28"/>
      </w:rPr>
    </w:pPr>
    <w:r w:rsidRPr="00D14F12">
      <w:rPr>
        <w:rFonts w:ascii="Arial" w:hAnsi="Arial" w:cs="Arial"/>
        <w:bCs/>
        <w:sz w:val="18"/>
        <w:szCs w:val="16"/>
      </w:rPr>
      <w:t xml:space="preserve">Alba Lucía Ocampo Sepúlveda </w:t>
    </w:r>
    <w:r w:rsidR="00152802" w:rsidRPr="00D14F12">
      <w:rPr>
        <w:rFonts w:ascii="Arial" w:hAnsi="Arial" w:cs="Arial"/>
        <w:bCs/>
        <w:sz w:val="18"/>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956F1"/>
    <w:multiLevelType w:val="hybridMultilevel"/>
    <w:tmpl w:val="074C4A24"/>
    <w:lvl w:ilvl="0" w:tplc="4C0AA1D6">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7353C3D"/>
    <w:multiLevelType w:val="hybridMultilevel"/>
    <w:tmpl w:val="72909760"/>
    <w:lvl w:ilvl="0" w:tplc="B9126A6C">
      <w:start w:val="1"/>
      <w:numFmt w:val="decimal"/>
      <w:lvlText w:val="%1."/>
      <w:lvlJc w:val="left"/>
      <w:pPr>
        <w:ind w:left="1065" w:hanging="360"/>
      </w:pPr>
      <w:rPr>
        <w:rFonts w:ascii="Arial Narrow" w:hAnsi="Arial Narrow" w:hint="default"/>
        <w:b/>
        <w:i w:val="0"/>
        <w:sz w:val="28"/>
        <w:szCs w:val="28"/>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DD"/>
    <w:rsid w:val="00002A63"/>
    <w:rsid w:val="00031AD5"/>
    <w:rsid w:val="00042CC5"/>
    <w:rsid w:val="000A2E09"/>
    <w:rsid w:val="0010550B"/>
    <w:rsid w:val="00152802"/>
    <w:rsid w:val="00217688"/>
    <w:rsid w:val="002B007B"/>
    <w:rsid w:val="002C305E"/>
    <w:rsid w:val="003F317B"/>
    <w:rsid w:val="004360CD"/>
    <w:rsid w:val="00473DC4"/>
    <w:rsid w:val="004859BF"/>
    <w:rsid w:val="004C267E"/>
    <w:rsid w:val="0064088C"/>
    <w:rsid w:val="00687ACF"/>
    <w:rsid w:val="006C37E9"/>
    <w:rsid w:val="006D40E0"/>
    <w:rsid w:val="00721111"/>
    <w:rsid w:val="00744840"/>
    <w:rsid w:val="00753180"/>
    <w:rsid w:val="00796EDD"/>
    <w:rsid w:val="007A169A"/>
    <w:rsid w:val="007A58FF"/>
    <w:rsid w:val="008217E0"/>
    <w:rsid w:val="008654CD"/>
    <w:rsid w:val="00875EB1"/>
    <w:rsid w:val="00965395"/>
    <w:rsid w:val="00982393"/>
    <w:rsid w:val="00A37121"/>
    <w:rsid w:val="00A675BB"/>
    <w:rsid w:val="00AB5169"/>
    <w:rsid w:val="00B31289"/>
    <w:rsid w:val="00BF3B6C"/>
    <w:rsid w:val="00C6105C"/>
    <w:rsid w:val="00CD7023"/>
    <w:rsid w:val="00D14F12"/>
    <w:rsid w:val="00D8744D"/>
    <w:rsid w:val="00DF67DF"/>
    <w:rsid w:val="00F3744B"/>
    <w:rsid w:val="00F87459"/>
    <w:rsid w:val="00FD13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701746-B703-4A58-B158-8CD03F03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ED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96EDD"/>
    <w:pPr>
      <w:tabs>
        <w:tab w:val="center" w:pos="4252"/>
        <w:tab w:val="right" w:pos="8504"/>
      </w:tabs>
    </w:pPr>
  </w:style>
  <w:style w:type="character" w:customStyle="1" w:styleId="PiedepginaCar">
    <w:name w:val="Pie de página Car"/>
    <w:basedOn w:val="Fuentedeprrafopredeter"/>
    <w:link w:val="Piedepgina"/>
    <w:uiPriority w:val="99"/>
    <w:rsid w:val="00796ED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96EDD"/>
  </w:style>
  <w:style w:type="paragraph" w:customStyle="1" w:styleId="Prrafodelista1">
    <w:name w:val="Párrafo de lista1"/>
    <w:basedOn w:val="Normal"/>
    <w:rsid w:val="00796EDD"/>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796EDD"/>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96EDD"/>
    <w:pPr>
      <w:ind w:left="720"/>
      <w:contextualSpacing/>
    </w:pPr>
  </w:style>
  <w:style w:type="paragraph" w:styleId="Textonotapie">
    <w:name w:val="footnote text"/>
    <w:basedOn w:val="Normal"/>
    <w:link w:val="TextonotapieCar"/>
    <w:uiPriority w:val="99"/>
    <w:semiHidden/>
    <w:unhideWhenUsed/>
    <w:rsid w:val="00796EDD"/>
    <w:rPr>
      <w:sz w:val="20"/>
    </w:rPr>
  </w:style>
  <w:style w:type="character" w:customStyle="1" w:styleId="TextonotapieCar">
    <w:name w:val="Texto nota pie Car"/>
    <w:basedOn w:val="Fuentedeprrafopredeter"/>
    <w:link w:val="Textonotapie"/>
    <w:uiPriority w:val="99"/>
    <w:semiHidden/>
    <w:rsid w:val="00796EDD"/>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796EDD"/>
    <w:rPr>
      <w:vertAlign w:val="superscript"/>
    </w:rPr>
  </w:style>
  <w:style w:type="paragraph" w:styleId="Encabezado">
    <w:name w:val="header"/>
    <w:basedOn w:val="Normal"/>
    <w:link w:val="EncabezadoCar"/>
    <w:uiPriority w:val="99"/>
    <w:unhideWhenUsed/>
    <w:rsid w:val="00796EDD"/>
    <w:pPr>
      <w:tabs>
        <w:tab w:val="center" w:pos="4252"/>
        <w:tab w:val="right" w:pos="8504"/>
      </w:tabs>
    </w:pPr>
  </w:style>
  <w:style w:type="character" w:customStyle="1" w:styleId="EncabezadoCar">
    <w:name w:val="Encabezado Car"/>
    <w:basedOn w:val="Fuentedeprrafopredeter"/>
    <w:link w:val="Encabezado"/>
    <w:uiPriority w:val="99"/>
    <w:rsid w:val="00796EDD"/>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6D40E0"/>
    <w:rPr>
      <w:color w:val="0000FF"/>
      <w:u w:val="single"/>
    </w:rPr>
  </w:style>
  <w:style w:type="character" w:styleId="Textoennegrita">
    <w:name w:val="Strong"/>
    <w:basedOn w:val="Fuentedeprrafopredeter"/>
    <w:uiPriority w:val="22"/>
    <w:qFormat/>
    <w:rsid w:val="00FD1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2025</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14</cp:revision>
  <dcterms:created xsi:type="dcterms:W3CDTF">2019-09-16T15:33:00Z</dcterms:created>
  <dcterms:modified xsi:type="dcterms:W3CDTF">2019-10-08T13:32:00Z</dcterms:modified>
</cp:coreProperties>
</file>