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C9" w:rsidRPr="00DF42C9" w:rsidRDefault="00DF42C9" w:rsidP="00DF42C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DF42C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F42C9" w:rsidRPr="00DF42C9" w:rsidRDefault="00DF42C9" w:rsidP="00DF42C9">
      <w:pPr>
        <w:jc w:val="both"/>
        <w:rPr>
          <w:rFonts w:ascii="Arial" w:hAnsi="Arial" w:cs="Arial"/>
          <w:sz w:val="20"/>
          <w:szCs w:val="20"/>
          <w:lang w:val="es-419"/>
        </w:rPr>
      </w:pPr>
    </w:p>
    <w:p w:rsidR="00DF42C9" w:rsidRPr="00DF42C9" w:rsidRDefault="00DF42C9" w:rsidP="00DF42C9">
      <w:pPr>
        <w:jc w:val="both"/>
        <w:rPr>
          <w:rFonts w:ascii="Arial" w:hAnsi="Arial" w:cs="Arial"/>
          <w:sz w:val="20"/>
          <w:szCs w:val="20"/>
          <w:lang w:val="es-419"/>
        </w:rPr>
      </w:pPr>
      <w:r w:rsidRPr="00DF42C9">
        <w:rPr>
          <w:rFonts w:ascii="Arial" w:hAnsi="Arial" w:cs="Arial"/>
          <w:sz w:val="20"/>
          <w:szCs w:val="20"/>
          <w:lang w:val="es-419"/>
        </w:rPr>
        <w:t>Providencia:</w:t>
      </w:r>
      <w:r>
        <w:rPr>
          <w:rFonts w:ascii="Arial" w:hAnsi="Arial" w:cs="Arial"/>
          <w:sz w:val="20"/>
          <w:szCs w:val="20"/>
          <w:lang w:val="es-419"/>
        </w:rPr>
        <w:tab/>
      </w:r>
      <w:r w:rsidRPr="00DF42C9">
        <w:rPr>
          <w:rFonts w:ascii="Arial" w:hAnsi="Arial" w:cs="Arial"/>
          <w:sz w:val="20"/>
          <w:szCs w:val="20"/>
          <w:lang w:val="es-419"/>
        </w:rPr>
        <w:tab/>
        <w:t>Sentencia del 24 de octubre de 2019</w:t>
      </w:r>
    </w:p>
    <w:p w:rsidR="00DF42C9" w:rsidRPr="00DF42C9" w:rsidRDefault="00DF42C9" w:rsidP="00DF42C9">
      <w:pPr>
        <w:jc w:val="both"/>
        <w:rPr>
          <w:rFonts w:ascii="Arial" w:hAnsi="Arial" w:cs="Arial"/>
          <w:sz w:val="20"/>
          <w:szCs w:val="20"/>
          <w:lang w:val="es-419"/>
        </w:rPr>
      </w:pPr>
      <w:r>
        <w:rPr>
          <w:rFonts w:ascii="Arial" w:hAnsi="Arial" w:cs="Arial"/>
          <w:sz w:val="20"/>
          <w:szCs w:val="20"/>
          <w:lang w:val="es-419"/>
        </w:rPr>
        <w:t>Radicación Nro:</w:t>
      </w:r>
      <w:r w:rsidRPr="00DF42C9">
        <w:rPr>
          <w:rFonts w:ascii="Arial" w:hAnsi="Arial" w:cs="Arial"/>
          <w:sz w:val="20"/>
          <w:szCs w:val="20"/>
          <w:lang w:val="es-419"/>
        </w:rPr>
        <w:tab/>
        <w:t>66001-31-05-005-2017-00394-01</w:t>
      </w:r>
    </w:p>
    <w:p w:rsidR="00DF42C9" w:rsidRPr="00DF42C9" w:rsidRDefault="00DF42C9" w:rsidP="00DF42C9">
      <w:pPr>
        <w:jc w:val="both"/>
        <w:rPr>
          <w:rFonts w:ascii="Arial" w:hAnsi="Arial" w:cs="Arial"/>
          <w:sz w:val="20"/>
          <w:szCs w:val="20"/>
          <w:lang w:val="es-419"/>
        </w:rPr>
      </w:pPr>
      <w:r w:rsidRPr="00DF42C9">
        <w:rPr>
          <w:rFonts w:ascii="Arial" w:hAnsi="Arial" w:cs="Arial"/>
          <w:sz w:val="20"/>
          <w:szCs w:val="20"/>
          <w:lang w:val="es-419"/>
        </w:rPr>
        <w:t>Proceso</w:t>
      </w:r>
      <w:r w:rsidRPr="00DF42C9">
        <w:rPr>
          <w:rFonts w:ascii="Arial" w:hAnsi="Arial" w:cs="Arial"/>
          <w:sz w:val="20"/>
          <w:szCs w:val="20"/>
          <w:lang w:val="es-419"/>
        </w:rPr>
        <w:tab/>
      </w:r>
      <w:r w:rsidRPr="00DF42C9">
        <w:rPr>
          <w:rFonts w:ascii="Arial" w:hAnsi="Arial" w:cs="Arial"/>
          <w:sz w:val="20"/>
          <w:szCs w:val="20"/>
          <w:lang w:val="es-419"/>
        </w:rPr>
        <w:tab/>
        <w:t>Ordinario Laboral</w:t>
      </w:r>
    </w:p>
    <w:p w:rsidR="00DF42C9" w:rsidRPr="00DF42C9" w:rsidRDefault="00DF42C9" w:rsidP="00DF42C9">
      <w:pPr>
        <w:jc w:val="both"/>
        <w:rPr>
          <w:rFonts w:ascii="Arial" w:hAnsi="Arial" w:cs="Arial"/>
          <w:sz w:val="20"/>
          <w:szCs w:val="20"/>
          <w:lang w:val="es-419"/>
        </w:rPr>
      </w:pPr>
      <w:r w:rsidRPr="00DF42C9">
        <w:rPr>
          <w:rFonts w:ascii="Arial" w:hAnsi="Arial" w:cs="Arial"/>
          <w:sz w:val="20"/>
          <w:szCs w:val="20"/>
          <w:lang w:val="es-419"/>
        </w:rPr>
        <w:t>Demandante:</w:t>
      </w:r>
      <w:r w:rsidRPr="00DF42C9">
        <w:rPr>
          <w:rFonts w:ascii="Arial" w:hAnsi="Arial" w:cs="Arial"/>
          <w:sz w:val="20"/>
          <w:szCs w:val="20"/>
          <w:lang w:val="es-419"/>
        </w:rPr>
        <w:tab/>
      </w:r>
      <w:r w:rsidRPr="00DF42C9">
        <w:rPr>
          <w:rFonts w:ascii="Arial" w:hAnsi="Arial" w:cs="Arial"/>
          <w:sz w:val="20"/>
          <w:szCs w:val="20"/>
          <w:lang w:val="es-419"/>
        </w:rPr>
        <w:tab/>
        <w:t xml:space="preserve">Abel Ramos Escue  </w:t>
      </w:r>
    </w:p>
    <w:p w:rsidR="00DF42C9" w:rsidRPr="00DF42C9" w:rsidRDefault="00DF42C9" w:rsidP="00DF42C9">
      <w:pPr>
        <w:jc w:val="both"/>
        <w:rPr>
          <w:rFonts w:ascii="Arial" w:hAnsi="Arial" w:cs="Arial"/>
          <w:sz w:val="20"/>
          <w:szCs w:val="20"/>
          <w:lang w:val="es-419"/>
        </w:rPr>
      </w:pPr>
      <w:r w:rsidRPr="00DF42C9">
        <w:rPr>
          <w:rFonts w:ascii="Arial" w:hAnsi="Arial" w:cs="Arial"/>
          <w:sz w:val="20"/>
          <w:szCs w:val="20"/>
          <w:lang w:val="es-419"/>
        </w:rPr>
        <w:t>Demandado:</w:t>
      </w:r>
      <w:r w:rsidRPr="00DF42C9">
        <w:rPr>
          <w:rFonts w:ascii="Arial" w:hAnsi="Arial" w:cs="Arial"/>
          <w:sz w:val="20"/>
          <w:szCs w:val="20"/>
          <w:lang w:val="es-419"/>
        </w:rPr>
        <w:tab/>
      </w:r>
      <w:r w:rsidRPr="00DF42C9">
        <w:rPr>
          <w:rFonts w:ascii="Arial" w:hAnsi="Arial" w:cs="Arial"/>
          <w:sz w:val="20"/>
          <w:szCs w:val="20"/>
          <w:lang w:val="es-419"/>
        </w:rPr>
        <w:tab/>
        <w:t xml:space="preserve">Colpensiones </w:t>
      </w:r>
    </w:p>
    <w:p w:rsidR="00DF42C9" w:rsidRPr="00DF42C9" w:rsidRDefault="00DF42C9" w:rsidP="00DF42C9">
      <w:pPr>
        <w:jc w:val="both"/>
        <w:rPr>
          <w:rFonts w:ascii="Arial" w:hAnsi="Arial" w:cs="Arial"/>
          <w:sz w:val="20"/>
          <w:szCs w:val="20"/>
          <w:lang w:val="es-419"/>
        </w:rPr>
      </w:pPr>
      <w:r w:rsidRPr="00DF42C9">
        <w:rPr>
          <w:rFonts w:ascii="Arial" w:hAnsi="Arial" w:cs="Arial"/>
          <w:sz w:val="20"/>
          <w:szCs w:val="20"/>
          <w:lang w:val="es-419"/>
        </w:rPr>
        <w:t>Magistrado Ponente:</w:t>
      </w:r>
      <w:r w:rsidRPr="00DF42C9">
        <w:rPr>
          <w:rFonts w:ascii="Arial" w:hAnsi="Arial" w:cs="Arial"/>
          <w:sz w:val="20"/>
          <w:szCs w:val="20"/>
          <w:lang w:val="es-419"/>
        </w:rPr>
        <w:tab/>
        <w:t>Francisco Javier Tamayo Tabares</w:t>
      </w:r>
    </w:p>
    <w:p w:rsidR="00DF42C9" w:rsidRPr="00DF42C9" w:rsidRDefault="00DF42C9" w:rsidP="00DF42C9">
      <w:pPr>
        <w:jc w:val="both"/>
        <w:rPr>
          <w:rFonts w:ascii="Arial" w:hAnsi="Arial" w:cs="Arial"/>
          <w:sz w:val="20"/>
          <w:szCs w:val="20"/>
          <w:lang w:val="es-419"/>
        </w:rPr>
      </w:pPr>
      <w:r w:rsidRPr="00DF42C9">
        <w:rPr>
          <w:rFonts w:ascii="Arial" w:hAnsi="Arial" w:cs="Arial"/>
          <w:sz w:val="20"/>
          <w:szCs w:val="20"/>
          <w:lang w:val="es-419"/>
        </w:rPr>
        <w:t>Juzgado de origen:</w:t>
      </w:r>
      <w:r w:rsidRPr="00DF42C9">
        <w:rPr>
          <w:rFonts w:ascii="Arial" w:hAnsi="Arial" w:cs="Arial"/>
          <w:sz w:val="20"/>
          <w:szCs w:val="20"/>
          <w:lang w:val="es-419"/>
        </w:rPr>
        <w:tab/>
        <w:t>Juzgado Quinto Laboral del Circuito</w:t>
      </w:r>
    </w:p>
    <w:p w:rsidR="00DF42C9" w:rsidRPr="00DF42C9" w:rsidRDefault="00DF42C9" w:rsidP="00DF42C9">
      <w:pPr>
        <w:jc w:val="both"/>
        <w:rPr>
          <w:rFonts w:ascii="Arial" w:hAnsi="Arial" w:cs="Arial"/>
          <w:sz w:val="20"/>
          <w:szCs w:val="20"/>
          <w:lang w:val="es-419"/>
        </w:rPr>
      </w:pPr>
    </w:p>
    <w:p w:rsidR="00DF42C9" w:rsidRDefault="00DF42C9" w:rsidP="00DF42C9">
      <w:pPr>
        <w:jc w:val="both"/>
        <w:rPr>
          <w:rFonts w:ascii="Arial" w:hAnsi="Arial" w:cs="Arial"/>
          <w:sz w:val="20"/>
          <w:szCs w:val="20"/>
          <w:lang w:val="es-419"/>
        </w:rPr>
      </w:pPr>
      <w:r w:rsidRPr="00DF42C9">
        <w:rPr>
          <w:rFonts w:ascii="Arial" w:hAnsi="Arial" w:cs="Arial"/>
          <w:b/>
          <w:bCs/>
          <w:iCs/>
          <w:sz w:val="20"/>
          <w:szCs w:val="20"/>
          <w:u w:val="single"/>
          <w:lang w:val="es-419" w:eastAsia="fr-FR"/>
        </w:rPr>
        <w:t>TEMAS:</w:t>
      </w:r>
      <w:r w:rsidRPr="00DF42C9">
        <w:rPr>
          <w:rFonts w:ascii="Arial" w:hAnsi="Arial" w:cs="Arial"/>
          <w:b/>
          <w:bCs/>
          <w:iCs/>
          <w:sz w:val="20"/>
          <w:szCs w:val="20"/>
          <w:lang w:val="es-419" w:eastAsia="fr-FR"/>
        </w:rPr>
        <w:tab/>
      </w:r>
      <w:r w:rsidRPr="00DF42C9">
        <w:rPr>
          <w:rFonts w:ascii="Arial" w:hAnsi="Arial" w:cs="Arial"/>
          <w:b/>
          <w:sz w:val="20"/>
          <w:szCs w:val="20"/>
          <w:lang w:val="es-419"/>
        </w:rPr>
        <w:t xml:space="preserve">INCREMENTOS PENSIONALES POR PERSONA A CARGO </w:t>
      </w:r>
      <w:r w:rsidR="00FA6DAD">
        <w:rPr>
          <w:rFonts w:ascii="Arial" w:hAnsi="Arial" w:cs="Arial"/>
          <w:b/>
          <w:sz w:val="20"/>
          <w:szCs w:val="20"/>
        </w:rPr>
        <w:t xml:space="preserve">/ </w:t>
      </w:r>
      <w:r w:rsidR="00B04E4B" w:rsidRPr="00B04E4B">
        <w:rPr>
          <w:rFonts w:ascii="Arial" w:hAnsi="Arial" w:cs="Arial"/>
          <w:b/>
          <w:sz w:val="20"/>
          <w:szCs w:val="20"/>
          <w:lang w:val="es-419"/>
        </w:rPr>
        <w:t>VIGENCIA /</w:t>
      </w:r>
      <w:r w:rsidR="00BD6FF8">
        <w:rPr>
          <w:rFonts w:ascii="Arial" w:hAnsi="Arial" w:cs="Arial"/>
          <w:b/>
          <w:sz w:val="20"/>
          <w:szCs w:val="20"/>
        </w:rPr>
        <w:t xml:space="preserve"> SE ACOGE EL CRITERIO DE LA CORTE SUPREMA DE JUSTICIA /</w:t>
      </w:r>
      <w:r w:rsidR="00B04E4B" w:rsidRPr="00B04E4B">
        <w:rPr>
          <w:rFonts w:ascii="Arial" w:hAnsi="Arial" w:cs="Arial"/>
          <w:b/>
          <w:sz w:val="20"/>
          <w:szCs w:val="20"/>
          <w:lang w:val="es-419"/>
        </w:rPr>
        <w:t xml:space="preserve"> NO FORMAN PARTE D</w:t>
      </w:r>
      <w:r w:rsidR="00BD6FF8">
        <w:rPr>
          <w:rFonts w:ascii="Arial" w:hAnsi="Arial" w:cs="Arial"/>
          <w:b/>
          <w:sz w:val="20"/>
          <w:szCs w:val="20"/>
        </w:rPr>
        <w:t xml:space="preserve">EL DERECHO PENSIONAL </w:t>
      </w:r>
      <w:r w:rsidR="00B04E4B" w:rsidRPr="00B04E4B">
        <w:rPr>
          <w:rFonts w:ascii="Arial" w:hAnsi="Arial" w:cs="Arial"/>
          <w:b/>
          <w:sz w:val="20"/>
          <w:szCs w:val="20"/>
          <w:lang w:val="es-419"/>
        </w:rPr>
        <w:t xml:space="preserve">/ </w:t>
      </w:r>
      <w:r w:rsidR="00BD6FF8">
        <w:rPr>
          <w:rFonts w:ascii="Arial" w:hAnsi="Arial" w:cs="Arial"/>
          <w:b/>
          <w:sz w:val="20"/>
          <w:szCs w:val="20"/>
        </w:rPr>
        <w:t xml:space="preserve">ARTÍCULO 22 DE ACUERDO 049 DE 1990 / </w:t>
      </w:r>
      <w:r w:rsidR="00B04E4B" w:rsidRPr="00B04E4B">
        <w:rPr>
          <w:rFonts w:ascii="Arial" w:hAnsi="Arial" w:cs="Arial"/>
          <w:b/>
          <w:sz w:val="20"/>
          <w:szCs w:val="20"/>
          <w:lang w:val="es-419"/>
        </w:rPr>
        <w:t>EN CONSECUENCIA, SON SUSCEPTIBLES DE PRESCRIBIR.</w:t>
      </w:r>
    </w:p>
    <w:p w:rsidR="00B04E4B" w:rsidRDefault="00B04E4B" w:rsidP="00DF42C9">
      <w:pPr>
        <w:jc w:val="both"/>
        <w:rPr>
          <w:rFonts w:ascii="Arial" w:hAnsi="Arial" w:cs="Arial"/>
          <w:sz w:val="20"/>
          <w:szCs w:val="20"/>
          <w:lang w:val="es-419"/>
        </w:rPr>
      </w:pPr>
    </w:p>
    <w:p w:rsidR="00AB4FEF" w:rsidRDefault="00AB4FEF" w:rsidP="00DF42C9">
      <w:pPr>
        <w:jc w:val="both"/>
        <w:rPr>
          <w:rFonts w:ascii="Arial" w:hAnsi="Arial" w:cs="Arial"/>
          <w:sz w:val="20"/>
          <w:szCs w:val="20"/>
        </w:rPr>
      </w:pPr>
      <w:r w:rsidRPr="00AB4FEF">
        <w:rPr>
          <w:rFonts w:ascii="Arial" w:hAnsi="Arial" w:cs="Arial"/>
          <w:sz w:val="20"/>
          <w:szCs w:val="20"/>
          <w:lang w:val="es-419"/>
        </w:rPr>
        <w:t>Los incrementos pensionales surgieron antes de la entrada en vigencia de la Ley 100 de 1993 y tienen como sustento el artículo 21 del Acuerdo 049 de 1990, aprobado por el Decreto 758 de la misma calenda</w:t>
      </w:r>
      <w:r>
        <w:rPr>
          <w:rFonts w:ascii="Arial" w:hAnsi="Arial" w:cs="Arial"/>
          <w:sz w:val="20"/>
          <w:szCs w:val="20"/>
        </w:rPr>
        <w:t>…</w:t>
      </w:r>
    </w:p>
    <w:p w:rsidR="00755C7C" w:rsidRDefault="00755C7C" w:rsidP="00DF42C9">
      <w:pPr>
        <w:jc w:val="both"/>
        <w:rPr>
          <w:rFonts w:ascii="Arial" w:hAnsi="Arial" w:cs="Arial"/>
          <w:sz w:val="20"/>
          <w:szCs w:val="20"/>
        </w:rPr>
      </w:pPr>
    </w:p>
    <w:p w:rsidR="00755C7C" w:rsidRPr="00755C7C" w:rsidRDefault="00755C7C" w:rsidP="00755C7C">
      <w:pPr>
        <w:jc w:val="both"/>
        <w:rPr>
          <w:rFonts w:ascii="Arial" w:hAnsi="Arial" w:cs="Arial"/>
          <w:sz w:val="20"/>
          <w:szCs w:val="20"/>
        </w:rPr>
      </w:pPr>
      <w:r w:rsidRPr="00755C7C">
        <w:rPr>
          <w:rFonts w:ascii="Arial" w:hAnsi="Arial" w:cs="Arial"/>
          <w:sz w:val="20"/>
          <w:szCs w:val="20"/>
        </w:rPr>
        <w:t xml:space="preserve">Por su parte, el artículo 22 también acusado, de manera expresa estipula, que estos incrementos o aumentos no forman parte integrante de la pensión de invalidez o de vejez que reconoce el Instituto de Seguros Sociales. Y agrega, que el derecho a ellos subsiste mientras perduren las causas que les dieron origen. </w:t>
      </w:r>
    </w:p>
    <w:p w:rsidR="00755C7C" w:rsidRPr="00755C7C" w:rsidRDefault="00755C7C" w:rsidP="00755C7C">
      <w:pPr>
        <w:jc w:val="both"/>
        <w:rPr>
          <w:rFonts w:ascii="Arial" w:hAnsi="Arial" w:cs="Arial"/>
          <w:sz w:val="20"/>
          <w:szCs w:val="20"/>
        </w:rPr>
      </w:pPr>
    </w:p>
    <w:p w:rsidR="00755C7C" w:rsidRPr="00AB4FEF" w:rsidRDefault="00755C7C" w:rsidP="00755C7C">
      <w:pPr>
        <w:jc w:val="both"/>
        <w:rPr>
          <w:rFonts w:ascii="Arial" w:hAnsi="Arial" w:cs="Arial"/>
          <w:sz w:val="20"/>
          <w:szCs w:val="20"/>
        </w:rPr>
      </w:pPr>
      <w:r w:rsidRPr="00755C7C">
        <w:rPr>
          <w:rFonts w:ascii="Arial" w:hAnsi="Arial" w:cs="Arial"/>
          <w:sz w:val="20"/>
          <w:szCs w:val="20"/>
        </w:rPr>
        <w:t>Sobre la vigencia de tales incrementos, la Corte Constitucional en varias oportunidades se ha pronunciado, y de antaño, venía sosteniendo en concordancia con la jurisprudencia de la Sala de Casación Laboral de la Corte Suprema de Justicia, que tales adendas se encontraban vigentes y eran aplicables a aquellas pensiones reconocidas en virtud del Acuerdo 049/90, sin que con la entrada en vigencia del nuevo estatuto de la seguridad social hubiesen desaparecido o perdido su vigencia.</w:t>
      </w:r>
      <w:r>
        <w:rPr>
          <w:rFonts w:ascii="Arial" w:hAnsi="Arial" w:cs="Arial"/>
          <w:sz w:val="20"/>
          <w:szCs w:val="20"/>
        </w:rPr>
        <w:t xml:space="preserve"> (…)</w:t>
      </w:r>
    </w:p>
    <w:p w:rsidR="00AB4FEF" w:rsidRDefault="00AB4FEF" w:rsidP="00DF42C9">
      <w:pPr>
        <w:jc w:val="both"/>
        <w:rPr>
          <w:rFonts w:ascii="Arial" w:hAnsi="Arial" w:cs="Arial"/>
          <w:sz w:val="20"/>
          <w:szCs w:val="20"/>
          <w:lang w:val="es-419"/>
        </w:rPr>
      </w:pPr>
    </w:p>
    <w:p w:rsidR="00F04BB0" w:rsidRPr="00F04BB0" w:rsidRDefault="00F04BB0" w:rsidP="00DF42C9">
      <w:pPr>
        <w:jc w:val="both"/>
        <w:rPr>
          <w:rFonts w:ascii="Arial" w:hAnsi="Arial" w:cs="Arial"/>
          <w:sz w:val="20"/>
          <w:szCs w:val="20"/>
        </w:rPr>
      </w:pPr>
      <w:r w:rsidRPr="00F04BB0">
        <w:rPr>
          <w:rFonts w:ascii="Arial" w:hAnsi="Arial" w:cs="Arial"/>
          <w:sz w:val="20"/>
          <w:szCs w:val="20"/>
          <w:lang w:val="es-419"/>
        </w:rPr>
        <w:t>Por su parte, sobre este tópico, Sala de Casación Laboral de la Corte Suprema de Justicia, ha mantenido el criterio jurisprudencial uniforme en cuanto a que los incrementos pensionales por personas a cargo previstos en el artículo 21 del Acuerdo 049 de 1990, aprobado por el Decreto 758 del mismo año, están vigentes y proceden para quienes les fue reconocida la pensión de vejez regulada en el artículo 12 ibídem, incluso después de la promulgación de la Ley 100 de 1993, bien por derecho propio o por aplicación del régimen de transición consagrado en el artículo 36 de ésta ley.</w:t>
      </w:r>
      <w:r>
        <w:rPr>
          <w:rFonts w:ascii="Arial" w:hAnsi="Arial" w:cs="Arial"/>
          <w:sz w:val="20"/>
          <w:szCs w:val="20"/>
        </w:rPr>
        <w:t xml:space="preserve"> (…)</w:t>
      </w:r>
    </w:p>
    <w:p w:rsidR="00F04BB0" w:rsidRDefault="00F04BB0" w:rsidP="00DF42C9">
      <w:pPr>
        <w:jc w:val="both"/>
        <w:rPr>
          <w:rFonts w:ascii="Arial" w:hAnsi="Arial" w:cs="Arial"/>
          <w:sz w:val="20"/>
          <w:szCs w:val="20"/>
          <w:lang w:val="es-419"/>
        </w:rPr>
      </w:pPr>
    </w:p>
    <w:p w:rsidR="00DF42C9" w:rsidRDefault="00F04BB0" w:rsidP="00DF42C9">
      <w:pPr>
        <w:jc w:val="both"/>
        <w:rPr>
          <w:rFonts w:ascii="Arial" w:hAnsi="Arial" w:cs="Arial"/>
          <w:sz w:val="20"/>
          <w:szCs w:val="20"/>
        </w:rPr>
      </w:pPr>
      <w:r w:rsidRPr="00F04BB0">
        <w:rPr>
          <w:rFonts w:ascii="Arial" w:hAnsi="Arial" w:cs="Arial"/>
          <w:sz w:val="20"/>
          <w:szCs w:val="20"/>
          <w:lang w:val="es-419"/>
        </w:rPr>
        <w:t>Como se ve, en la actualidad existen dos posiciones divergentes en torno a la vigencia o no de los incrementos pensionales por personas a cargo previstos en el artículo 21 de la Ley 100/93, con posterioridad a la promulgación de la Ley 100/93. Sin embargo, ha de clarificarse que este Tribunal mantiene imperante en este tipo de asuntos, la línea jurisprudencial que de tiempo atrás ha venido fijando la CSJ en su Sala de Casación Laboral, como máximo órgano de cierre de la especialidad ordinaria, como quiera que su tesis le otorga una interpretación más favorable a los intereses del  pensionado.</w:t>
      </w:r>
      <w:r w:rsidR="00B04E4B">
        <w:rPr>
          <w:rFonts w:ascii="Arial" w:hAnsi="Arial" w:cs="Arial"/>
          <w:sz w:val="20"/>
          <w:szCs w:val="20"/>
        </w:rPr>
        <w:t xml:space="preserve"> (…)</w:t>
      </w:r>
    </w:p>
    <w:p w:rsidR="00B04E4B" w:rsidRDefault="00B04E4B" w:rsidP="00DF42C9">
      <w:pPr>
        <w:jc w:val="both"/>
        <w:rPr>
          <w:rFonts w:ascii="Arial" w:hAnsi="Arial" w:cs="Arial"/>
          <w:sz w:val="20"/>
          <w:szCs w:val="20"/>
        </w:rPr>
      </w:pPr>
    </w:p>
    <w:p w:rsidR="00B04E4B" w:rsidRPr="00B04E4B" w:rsidRDefault="00B04E4B" w:rsidP="00DF42C9">
      <w:pPr>
        <w:jc w:val="both"/>
        <w:rPr>
          <w:rFonts w:ascii="Arial" w:hAnsi="Arial" w:cs="Arial"/>
          <w:sz w:val="20"/>
          <w:szCs w:val="20"/>
        </w:rPr>
      </w:pPr>
      <w:r w:rsidRPr="00B04E4B">
        <w:rPr>
          <w:rFonts w:ascii="Arial" w:hAnsi="Arial" w:cs="Arial"/>
          <w:sz w:val="20"/>
          <w:szCs w:val="20"/>
        </w:rPr>
        <w:t>Así mismo, considera que al tenor de lo preceptuado en el artículo 22 del referido acuerdo, tales incrementos pensionales si están sujetos a que el tiempo impida su reclamación coactiva, como quiera que al no ser parte integrante del derecho pensional, naturalmente, no pueden gozar de las mismas atribuciones que este, como el de la imprescriptibilidad, tal como lo ha considerado la jurisprudencia de la Sala de Casación de la Corte Suprema de Justicia, a la cual se hizo alusión previamente.</w:t>
      </w:r>
    </w:p>
    <w:p w:rsidR="00DF42C9" w:rsidRPr="00DF42C9" w:rsidRDefault="00DF42C9" w:rsidP="00DF42C9">
      <w:pPr>
        <w:jc w:val="both"/>
        <w:rPr>
          <w:rFonts w:ascii="Arial" w:hAnsi="Arial" w:cs="Arial"/>
          <w:sz w:val="20"/>
          <w:szCs w:val="20"/>
          <w:lang w:val="es-ES"/>
        </w:rPr>
      </w:pPr>
    </w:p>
    <w:p w:rsidR="00DF42C9" w:rsidRPr="00DF42C9" w:rsidRDefault="00DF42C9" w:rsidP="00DF42C9">
      <w:pPr>
        <w:jc w:val="both"/>
        <w:rPr>
          <w:rFonts w:ascii="Arial" w:hAnsi="Arial" w:cs="Arial"/>
          <w:sz w:val="20"/>
          <w:szCs w:val="20"/>
          <w:lang w:val="es-ES"/>
        </w:rPr>
      </w:pPr>
    </w:p>
    <w:p w:rsidR="00DF42C9" w:rsidRPr="00DF42C9" w:rsidRDefault="00DF42C9" w:rsidP="00DF42C9">
      <w:pPr>
        <w:jc w:val="both"/>
        <w:rPr>
          <w:rFonts w:ascii="Arial" w:hAnsi="Arial" w:cs="Arial"/>
          <w:sz w:val="20"/>
          <w:szCs w:val="20"/>
          <w:lang w:val="es-ES"/>
        </w:rPr>
      </w:pPr>
    </w:p>
    <w:p w:rsidR="00DF42C9" w:rsidRPr="00BA53D2" w:rsidRDefault="00DF42C9" w:rsidP="00BA53D2">
      <w:pPr>
        <w:tabs>
          <w:tab w:val="left" w:pos="3105"/>
        </w:tabs>
        <w:spacing w:line="288" w:lineRule="auto"/>
        <w:ind w:left="1418" w:hanging="1418"/>
        <w:jc w:val="center"/>
        <w:rPr>
          <w:rFonts w:ascii="Arial Narrow" w:eastAsia="Calibri" w:hAnsi="Arial Narrow" w:cs="Arial"/>
          <w:b/>
          <w:sz w:val="26"/>
          <w:szCs w:val="26"/>
          <w:lang w:val="es-ES" w:eastAsia="en-US"/>
        </w:rPr>
      </w:pPr>
      <w:r w:rsidRPr="00BA53D2">
        <w:rPr>
          <w:rFonts w:ascii="Arial Narrow" w:eastAsia="Calibri" w:hAnsi="Arial Narrow" w:cs="Arial"/>
          <w:b/>
          <w:sz w:val="26"/>
          <w:szCs w:val="26"/>
          <w:lang w:val="es-ES" w:eastAsia="en-US"/>
        </w:rPr>
        <w:t>REPÚBLICA DE COLOMBIA</w:t>
      </w:r>
    </w:p>
    <w:p w:rsidR="00DF42C9" w:rsidRPr="00BA53D2" w:rsidRDefault="00DF42C9" w:rsidP="00BA53D2">
      <w:pPr>
        <w:tabs>
          <w:tab w:val="left" w:pos="3060"/>
        </w:tabs>
        <w:spacing w:line="288" w:lineRule="auto"/>
        <w:jc w:val="center"/>
        <w:rPr>
          <w:rFonts w:ascii="Arial Narrow" w:eastAsia="Calibri" w:hAnsi="Arial Narrow" w:cs="Arial"/>
          <w:b/>
          <w:sz w:val="26"/>
          <w:szCs w:val="26"/>
          <w:lang w:val="es-ES" w:eastAsia="en-US"/>
        </w:rPr>
      </w:pPr>
      <w:r w:rsidRPr="00BA53D2">
        <w:rPr>
          <w:rFonts w:ascii="Arial Narrow" w:eastAsia="Calibri" w:hAnsi="Arial Narrow" w:cs="Arial"/>
          <w:b/>
          <w:noProof/>
          <w:sz w:val="26"/>
          <w:szCs w:val="26"/>
          <w:lang w:val="es-ES"/>
        </w:rPr>
        <w:drawing>
          <wp:inline distT="0" distB="0" distL="0" distR="0" wp14:anchorId="2F91F70B" wp14:editId="0DBF2F86">
            <wp:extent cx="871220" cy="88201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BA53D2">
        <w:rPr>
          <w:rFonts w:ascii="Arial Narrow" w:eastAsia="Calibri" w:hAnsi="Arial Narrow" w:cs="Arial"/>
          <w:b/>
          <w:sz w:val="26"/>
          <w:szCs w:val="26"/>
          <w:lang w:val="es-ES" w:eastAsia="en-US"/>
        </w:rPr>
        <w:br w:type="textWrapping" w:clear="all"/>
        <w:t>TRIBUNAL SUPERIOR DE DISTRITO JUDICIAL DE PEREIRA</w:t>
      </w:r>
    </w:p>
    <w:p w:rsidR="00DF42C9" w:rsidRPr="00BA53D2" w:rsidRDefault="00DF42C9" w:rsidP="00BA53D2">
      <w:pPr>
        <w:keepNext/>
        <w:spacing w:line="288" w:lineRule="auto"/>
        <w:jc w:val="center"/>
        <w:outlineLvl w:val="0"/>
        <w:rPr>
          <w:rFonts w:ascii="Arial Narrow" w:eastAsia="Calibri" w:hAnsi="Arial Narrow" w:cs="Arial"/>
          <w:b/>
          <w:bCs/>
          <w:kern w:val="32"/>
          <w:sz w:val="26"/>
          <w:szCs w:val="26"/>
          <w:lang w:val="es-ES" w:eastAsia="en-US"/>
        </w:rPr>
      </w:pPr>
      <w:r w:rsidRPr="00BA53D2">
        <w:rPr>
          <w:rFonts w:ascii="Arial Narrow" w:eastAsia="Calibri" w:hAnsi="Arial Narrow" w:cs="Arial"/>
          <w:b/>
          <w:bCs/>
          <w:kern w:val="32"/>
          <w:sz w:val="26"/>
          <w:szCs w:val="26"/>
          <w:lang w:val="es-ES" w:eastAsia="en-US"/>
        </w:rPr>
        <w:t>SALA CUARTA DE DECISIÓN LABORAL</w:t>
      </w:r>
    </w:p>
    <w:p w:rsidR="00DF42C9" w:rsidRPr="00BA53D2" w:rsidRDefault="00DF42C9" w:rsidP="00BA53D2">
      <w:pPr>
        <w:tabs>
          <w:tab w:val="left" w:pos="1560"/>
        </w:tabs>
        <w:spacing w:line="288" w:lineRule="auto"/>
        <w:ind w:left="1560" w:hanging="1560"/>
        <w:jc w:val="both"/>
        <w:rPr>
          <w:rFonts w:ascii="Arial Narrow" w:eastAsia="Calibri" w:hAnsi="Arial Narrow" w:cs="Arial"/>
          <w:sz w:val="26"/>
          <w:szCs w:val="26"/>
          <w:lang w:val="es-ES" w:eastAsia="en-US"/>
        </w:rPr>
      </w:pPr>
    </w:p>
    <w:p w:rsidR="00DF42C9" w:rsidRPr="00BA53D2" w:rsidRDefault="00DF42C9" w:rsidP="00BA53D2">
      <w:pPr>
        <w:spacing w:line="288" w:lineRule="auto"/>
        <w:ind w:left="1440" w:hanging="589"/>
        <w:jc w:val="center"/>
        <w:rPr>
          <w:rFonts w:ascii="Arial Narrow" w:eastAsia="Calibri" w:hAnsi="Arial Narrow" w:cs="Arial"/>
          <w:b/>
          <w:bCs/>
          <w:sz w:val="26"/>
          <w:szCs w:val="26"/>
          <w:u w:val="single"/>
          <w:lang w:val="es-ES" w:eastAsia="en-US"/>
        </w:rPr>
      </w:pPr>
      <w:r w:rsidRPr="00BA53D2">
        <w:rPr>
          <w:rFonts w:ascii="Arial Narrow" w:eastAsia="Calibri" w:hAnsi="Arial Narrow" w:cs="Arial"/>
          <w:sz w:val="26"/>
          <w:szCs w:val="26"/>
          <w:lang w:val="es-ES" w:eastAsia="en-US"/>
        </w:rPr>
        <w:lastRenderedPageBreak/>
        <w:t>Magistrado Ponente:</w:t>
      </w:r>
      <w:r w:rsidRPr="00BA53D2">
        <w:rPr>
          <w:rFonts w:ascii="Arial Narrow" w:eastAsia="Calibri" w:hAnsi="Arial Narrow" w:cs="Arial"/>
          <w:b/>
          <w:sz w:val="26"/>
          <w:szCs w:val="26"/>
          <w:lang w:val="es-ES" w:eastAsia="en-US"/>
        </w:rPr>
        <w:t xml:space="preserve"> </w:t>
      </w:r>
      <w:r w:rsidRPr="00BA53D2">
        <w:rPr>
          <w:rFonts w:ascii="Arial Narrow" w:eastAsia="Calibri" w:hAnsi="Arial Narrow" w:cs="Arial"/>
          <w:b/>
          <w:bCs/>
          <w:sz w:val="26"/>
          <w:szCs w:val="26"/>
          <w:lang w:val="es-ES" w:eastAsia="en-US"/>
        </w:rPr>
        <w:t>FRANCISCO JAVIER TAMAYO TABARES</w:t>
      </w:r>
    </w:p>
    <w:p w:rsidR="00DF42C9" w:rsidRPr="00BA53D2" w:rsidRDefault="00DF42C9" w:rsidP="00BA53D2">
      <w:pPr>
        <w:tabs>
          <w:tab w:val="left" w:pos="1560"/>
        </w:tabs>
        <w:spacing w:line="288" w:lineRule="auto"/>
        <w:jc w:val="both"/>
        <w:rPr>
          <w:rFonts w:ascii="Arial Narrow" w:eastAsia="Calibri" w:hAnsi="Arial Narrow" w:cs="Arial"/>
          <w:sz w:val="26"/>
          <w:szCs w:val="26"/>
          <w:lang w:val="es-ES" w:eastAsia="en-US"/>
        </w:rPr>
      </w:pPr>
    </w:p>
    <w:p w:rsidR="00DF42C9" w:rsidRPr="00BA53D2" w:rsidRDefault="00DF42C9" w:rsidP="00BA53D2">
      <w:pPr>
        <w:tabs>
          <w:tab w:val="left" w:pos="1560"/>
        </w:tabs>
        <w:spacing w:line="288" w:lineRule="auto"/>
        <w:jc w:val="both"/>
        <w:rPr>
          <w:rFonts w:ascii="Arial Narrow" w:eastAsia="Calibri" w:hAnsi="Arial Narrow" w:cs="Arial"/>
          <w:sz w:val="26"/>
          <w:szCs w:val="26"/>
          <w:lang w:val="es-ES" w:eastAsia="en-US"/>
        </w:rPr>
      </w:pPr>
    </w:p>
    <w:p w:rsidR="002329D2" w:rsidRPr="00BA53D2" w:rsidRDefault="002329D2" w:rsidP="00BA53D2">
      <w:pPr>
        <w:spacing w:line="288" w:lineRule="auto"/>
        <w:ind w:firstLine="851"/>
        <w:jc w:val="both"/>
        <w:rPr>
          <w:rFonts w:ascii="Arial Narrow" w:hAnsi="Arial Narrow" w:cs="Arial"/>
          <w:sz w:val="26"/>
          <w:szCs w:val="26"/>
        </w:rPr>
      </w:pPr>
      <w:r w:rsidRPr="00BA53D2">
        <w:rPr>
          <w:rFonts w:ascii="Arial Narrow" w:eastAsia="Calibri" w:hAnsi="Arial Narrow" w:cs="Arial"/>
          <w:sz w:val="26"/>
          <w:szCs w:val="26"/>
          <w:lang w:eastAsia="en-US"/>
        </w:rPr>
        <w:t xml:space="preserve">En Pereira, a  los veinticuatro (24) días del mes de octubre de dos mil diecinueve (2019), siendo las nueve y cuarenta y cinco de la mañana (9:45 a.m.) </w:t>
      </w:r>
      <w:r w:rsidRPr="00BA53D2">
        <w:rPr>
          <w:rFonts w:ascii="Arial Narrow" w:hAnsi="Arial Narrow" w:cs="Tahoma"/>
          <w:bCs/>
          <w:color w:val="000000"/>
          <w:sz w:val="26"/>
          <w:szCs w:val="26"/>
          <w:lang w:eastAsia="es-CO"/>
        </w:rPr>
        <w:t xml:space="preserve">reunidos en la Sala de Audiencia las magistradas y el suscrito magistrado de la Sala Cuarta de Decisión Laboral del Tribunal Superior de Pereira, el ponente declara formalmente abierto el acto, que tiene por objeto resolver el recurso de apelación interpuesto por la parte </w:t>
      </w:r>
      <w:r w:rsidR="00CA2B69" w:rsidRPr="00BA53D2">
        <w:rPr>
          <w:rFonts w:ascii="Arial Narrow" w:hAnsi="Arial Narrow" w:cs="Tahoma"/>
          <w:bCs/>
          <w:color w:val="000000"/>
          <w:sz w:val="26"/>
          <w:szCs w:val="26"/>
          <w:lang w:eastAsia="es-CO"/>
        </w:rPr>
        <w:t xml:space="preserve">actora contra </w:t>
      </w:r>
      <w:r w:rsidRPr="00BA53D2">
        <w:rPr>
          <w:rFonts w:ascii="Arial Narrow" w:hAnsi="Arial Narrow" w:cs="Tahoma"/>
          <w:bCs/>
          <w:color w:val="000000"/>
          <w:sz w:val="26"/>
          <w:szCs w:val="26"/>
          <w:lang w:eastAsia="es-CO"/>
        </w:rPr>
        <w:t xml:space="preserve"> </w:t>
      </w:r>
      <w:r w:rsidRPr="00BA53D2">
        <w:rPr>
          <w:rFonts w:ascii="Arial Narrow" w:hAnsi="Arial Narrow" w:cs="Arial"/>
          <w:sz w:val="26"/>
          <w:szCs w:val="26"/>
        </w:rPr>
        <w:t xml:space="preserve">la sentencia proferida el </w:t>
      </w:r>
      <w:r w:rsidR="00CA2B69" w:rsidRPr="00BA53D2">
        <w:rPr>
          <w:rFonts w:ascii="Arial Narrow" w:hAnsi="Arial Narrow" w:cs="Arial"/>
          <w:sz w:val="26"/>
          <w:szCs w:val="26"/>
        </w:rPr>
        <w:t xml:space="preserve">26 de febrero de 2019 </w:t>
      </w:r>
      <w:r w:rsidRPr="00BA53D2">
        <w:rPr>
          <w:rFonts w:ascii="Arial Narrow" w:hAnsi="Arial Narrow" w:cs="Arial"/>
          <w:sz w:val="26"/>
          <w:szCs w:val="26"/>
        </w:rPr>
        <w:t xml:space="preserve">por el Juzgado </w:t>
      </w:r>
      <w:r w:rsidR="00CA2B69" w:rsidRPr="00BA53D2">
        <w:rPr>
          <w:rFonts w:ascii="Arial Narrow" w:hAnsi="Arial Narrow" w:cs="Arial"/>
          <w:sz w:val="26"/>
          <w:szCs w:val="26"/>
        </w:rPr>
        <w:t>Quinto</w:t>
      </w:r>
      <w:r w:rsidRPr="00BA53D2">
        <w:rPr>
          <w:rFonts w:ascii="Arial Narrow" w:hAnsi="Arial Narrow" w:cs="Arial"/>
          <w:sz w:val="26"/>
          <w:szCs w:val="26"/>
        </w:rPr>
        <w:t xml:space="preserve"> Laboral del Circuito de Pereira, dentro del proceso ordinario laboral promovido por </w:t>
      </w:r>
      <w:r w:rsidR="00CA2B69" w:rsidRPr="00BA53D2">
        <w:rPr>
          <w:rFonts w:ascii="Arial Narrow" w:hAnsi="Arial Narrow" w:cs="Arial"/>
          <w:b/>
          <w:iCs/>
          <w:sz w:val="26"/>
          <w:szCs w:val="26"/>
        </w:rPr>
        <w:t xml:space="preserve">Abel Ramos </w:t>
      </w:r>
      <w:proofErr w:type="spellStart"/>
      <w:r w:rsidR="00CA2B69" w:rsidRPr="00BA53D2">
        <w:rPr>
          <w:rFonts w:ascii="Arial Narrow" w:hAnsi="Arial Narrow" w:cs="Arial"/>
          <w:b/>
          <w:iCs/>
          <w:sz w:val="26"/>
          <w:szCs w:val="26"/>
        </w:rPr>
        <w:t>Escue</w:t>
      </w:r>
      <w:proofErr w:type="spellEnd"/>
      <w:r w:rsidR="00CA2B69" w:rsidRPr="00BA53D2">
        <w:rPr>
          <w:rFonts w:ascii="Arial Narrow" w:hAnsi="Arial Narrow" w:cs="Arial"/>
          <w:b/>
          <w:iCs/>
          <w:sz w:val="26"/>
          <w:szCs w:val="26"/>
        </w:rPr>
        <w:t xml:space="preserve"> </w:t>
      </w:r>
      <w:r w:rsidRPr="00BA53D2">
        <w:rPr>
          <w:rFonts w:ascii="Arial Narrow" w:hAnsi="Arial Narrow" w:cs="Arial"/>
          <w:sz w:val="26"/>
          <w:szCs w:val="26"/>
        </w:rPr>
        <w:t xml:space="preserve">contra la </w:t>
      </w:r>
      <w:r w:rsidRPr="00BA53D2">
        <w:rPr>
          <w:rFonts w:ascii="Arial Narrow" w:hAnsi="Arial Narrow" w:cs="Arial"/>
          <w:b/>
          <w:sz w:val="26"/>
          <w:szCs w:val="26"/>
        </w:rPr>
        <w:t>Administradora Colombiana de Pensiones Colpensiones</w:t>
      </w:r>
      <w:r w:rsidRPr="00BA53D2">
        <w:rPr>
          <w:rFonts w:ascii="Arial Narrow" w:hAnsi="Arial Narrow" w:cs="Arial"/>
          <w:sz w:val="26"/>
          <w:szCs w:val="26"/>
        </w:rPr>
        <w:t>.</w:t>
      </w:r>
    </w:p>
    <w:p w:rsidR="00CA2B69" w:rsidRPr="00BA53D2" w:rsidRDefault="00CA2B69" w:rsidP="00BA53D2">
      <w:pPr>
        <w:pStyle w:val="Sinespaciado"/>
        <w:spacing w:line="288" w:lineRule="auto"/>
        <w:rPr>
          <w:rFonts w:ascii="Arial Narrow" w:hAnsi="Arial Narrow"/>
          <w:sz w:val="26"/>
          <w:szCs w:val="26"/>
        </w:rPr>
      </w:pPr>
    </w:p>
    <w:p w:rsidR="00CA2B69" w:rsidRPr="00BA53D2" w:rsidRDefault="00CA2B69" w:rsidP="00BA53D2">
      <w:pPr>
        <w:shd w:val="clear" w:color="auto" w:fill="FFFFFF"/>
        <w:spacing w:line="288" w:lineRule="auto"/>
        <w:ind w:firstLine="708"/>
        <w:jc w:val="both"/>
        <w:rPr>
          <w:rFonts w:ascii="Arial Narrow" w:hAnsi="Arial Narrow" w:cs="Tahoma"/>
          <w:b/>
          <w:bCs/>
          <w:color w:val="000000"/>
          <w:sz w:val="26"/>
          <w:szCs w:val="26"/>
          <w:lang w:eastAsia="es-CO"/>
        </w:rPr>
      </w:pPr>
      <w:r w:rsidRPr="00BA53D2">
        <w:rPr>
          <w:rFonts w:ascii="Arial Narrow" w:hAnsi="Arial Narrow" w:cs="Tahoma"/>
          <w:b/>
          <w:bCs/>
          <w:color w:val="000000"/>
          <w:sz w:val="26"/>
          <w:szCs w:val="26"/>
          <w:lang w:eastAsia="es-CO"/>
        </w:rPr>
        <w:t>IDENTIFICACIÓN DE LOS PRESENTES:</w:t>
      </w:r>
    </w:p>
    <w:p w:rsidR="00CA2B69" w:rsidRPr="00BA53D2" w:rsidRDefault="00CA2B69" w:rsidP="00BA53D2">
      <w:pPr>
        <w:pStyle w:val="Sinespaciado"/>
        <w:spacing w:line="288" w:lineRule="auto"/>
        <w:rPr>
          <w:rFonts w:ascii="Arial Narrow" w:hAnsi="Arial Narrow"/>
          <w:b/>
          <w:sz w:val="26"/>
          <w:szCs w:val="26"/>
          <w:lang w:eastAsia="es-CO"/>
        </w:rPr>
      </w:pPr>
    </w:p>
    <w:p w:rsidR="00CA2B69" w:rsidRPr="00BA53D2" w:rsidRDefault="00CA2B69" w:rsidP="00BA53D2">
      <w:pPr>
        <w:pStyle w:val="Prrafodelista"/>
        <w:numPr>
          <w:ilvl w:val="0"/>
          <w:numId w:val="1"/>
        </w:numPr>
        <w:spacing w:line="288" w:lineRule="auto"/>
        <w:rPr>
          <w:rFonts w:ascii="Arial Narrow" w:hAnsi="Arial Narrow" w:cs="Tahoma"/>
          <w:b/>
          <w:sz w:val="26"/>
          <w:szCs w:val="26"/>
        </w:rPr>
      </w:pPr>
      <w:r w:rsidRPr="00BA53D2">
        <w:rPr>
          <w:rFonts w:ascii="Arial Narrow" w:hAnsi="Arial Narrow" w:cs="Tahoma"/>
          <w:b/>
          <w:i/>
          <w:sz w:val="26"/>
          <w:szCs w:val="26"/>
        </w:rPr>
        <w:t>INTRODUCCIÓN</w:t>
      </w:r>
    </w:p>
    <w:p w:rsidR="00CA2B69" w:rsidRPr="00BA53D2" w:rsidRDefault="00CA2B69" w:rsidP="00BA53D2">
      <w:pPr>
        <w:pStyle w:val="Sinespaciado"/>
        <w:spacing w:line="288" w:lineRule="auto"/>
        <w:rPr>
          <w:rFonts w:ascii="Arial Narrow" w:hAnsi="Arial Narrow"/>
          <w:sz w:val="26"/>
          <w:szCs w:val="26"/>
        </w:rPr>
      </w:pPr>
    </w:p>
    <w:p w:rsidR="00CA2B69" w:rsidRPr="00BA53D2" w:rsidRDefault="00CA2B69" w:rsidP="00BA53D2">
      <w:pPr>
        <w:spacing w:line="288" w:lineRule="auto"/>
        <w:ind w:firstLine="900"/>
        <w:jc w:val="both"/>
        <w:rPr>
          <w:rFonts w:ascii="Arial Narrow" w:hAnsi="Arial Narrow" w:cs="Tahoma"/>
          <w:sz w:val="26"/>
          <w:szCs w:val="26"/>
        </w:rPr>
      </w:pPr>
      <w:r w:rsidRPr="00BA53D2">
        <w:rPr>
          <w:rFonts w:ascii="Arial Narrow" w:hAnsi="Arial Narrow" w:cs="Tahoma"/>
          <w:sz w:val="26"/>
          <w:szCs w:val="26"/>
        </w:rPr>
        <w:t xml:space="preserve">Pretende el demandante se declare que tiene derecho al reconocimiento y pago del incremento pensional de que trata el artículo 21 del Acuerdo 049/90, por tener a cargo a su cónyuge, y en consecuencia, pide que se condene a la entidad demandada a reconocer y pagar dicha prestación económica en un 14% sobre la pensión mínima legal vigente, desde el 1 de diciembre de 2000 en adelante, junto con los intereses moratorios a </w:t>
      </w:r>
      <w:r w:rsidR="00162449" w:rsidRPr="00BA53D2">
        <w:rPr>
          <w:rFonts w:ascii="Arial Narrow" w:hAnsi="Arial Narrow" w:cs="Tahoma"/>
          <w:sz w:val="26"/>
          <w:szCs w:val="26"/>
        </w:rPr>
        <w:t xml:space="preserve">la tasa máxima legal permitida, </w:t>
      </w:r>
      <w:r w:rsidRPr="00BA53D2">
        <w:rPr>
          <w:rFonts w:ascii="Arial Narrow" w:hAnsi="Arial Narrow" w:cs="Tahoma"/>
          <w:sz w:val="26"/>
          <w:szCs w:val="26"/>
        </w:rPr>
        <w:t xml:space="preserve">y las </w:t>
      </w:r>
      <w:r w:rsidR="003F3705" w:rsidRPr="00BA53D2">
        <w:rPr>
          <w:rFonts w:ascii="Arial Narrow" w:hAnsi="Arial Narrow" w:cs="Tahoma"/>
          <w:sz w:val="26"/>
          <w:szCs w:val="26"/>
        </w:rPr>
        <w:t>costas del proceso a su favor.</w:t>
      </w:r>
    </w:p>
    <w:p w:rsidR="003F3705" w:rsidRPr="00BA53D2" w:rsidRDefault="003F3705" w:rsidP="00BA53D2">
      <w:pPr>
        <w:spacing w:line="288" w:lineRule="auto"/>
        <w:ind w:firstLine="900"/>
        <w:jc w:val="both"/>
        <w:rPr>
          <w:rFonts w:ascii="Arial Narrow" w:hAnsi="Arial Narrow" w:cs="Tahoma"/>
          <w:sz w:val="26"/>
          <w:szCs w:val="26"/>
        </w:rPr>
      </w:pPr>
    </w:p>
    <w:p w:rsidR="00CA2B69" w:rsidRPr="00BA53D2" w:rsidRDefault="00CA2B69" w:rsidP="00BA53D2">
      <w:pPr>
        <w:spacing w:line="288" w:lineRule="auto"/>
        <w:ind w:firstLine="900"/>
        <w:jc w:val="both"/>
        <w:rPr>
          <w:rFonts w:ascii="Arial Narrow" w:hAnsi="Arial Narrow" w:cs="Tahoma"/>
          <w:sz w:val="26"/>
          <w:szCs w:val="26"/>
        </w:rPr>
      </w:pPr>
      <w:r w:rsidRPr="00BA53D2">
        <w:rPr>
          <w:rFonts w:ascii="Arial Narrow" w:hAnsi="Arial Narrow" w:cs="Tahoma"/>
          <w:sz w:val="26"/>
          <w:szCs w:val="26"/>
        </w:rPr>
        <w:t xml:space="preserve">Como sustento a sus pedimentos expone que </w:t>
      </w:r>
      <w:r w:rsidR="007F444A" w:rsidRPr="00BA53D2">
        <w:rPr>
          <w:rFonts w:ascii="Arial Narrow" w:hAnsi="Arial Narrow" w:cs="Tahoma"/>
          <w:sz w:val="26"/>
          <w:szCs w:val="26"/>
        </w:rPr>
        <w:t>le fue reconocida la pensión de vejez a través de la Resolución No. 29928 del 2000, a partir del 1º de diciembre de esa anualidad y en cuantía de 1SMLMV, con fundamento en el Acuerdo 049 de 1990</w:t>
      </w:r>
      <w:r w:rsidR="00162449" w:rsidRPr="00BA53D2">
        <w:rPr>
          <w:rFonts w:ascii="Arial Narrow" w:hAnsi="Arial Narrow" w:cs="Tahoma"/>
          <w:sz w:val="26"/>
          <w:szCs w:val="26"/>
        </w:rPr>
        <w:t xml:space="preserve">; que desde hace más de 30 años contrajo matrimonio católico con María </w:t>
      </w:r>
      <w:proofErr w:type="spellStart"/>
      <w:r w:rsidR="00162449" w:rsidRPr="00BA53D2">
        <w:rPr>
          <w:rFonts w:ascii="Arial Narrow" w:hAnsi="Arial Narrow" w:cs="Tahoma"/>
          <w:sz w:val="26"/>
          <w:szCs w:val="26"/>
        </w:rPr>
        <w:t>Omaida</w:t>
      </w:r>
      <w:proofErr w:type="spellEnd"/>
      <w:r w:rsidR="00162449" w:rsidRPr="00BA53D2">
        <w:rPr>
          <w:rFonts w:ascii="Arial Narrow" w:hAnsi="Arial Narrow" w:cs="Tahoma"/>
          <w:sz w:val="26"/>
          <w:szCs w:val="26"/>
        </w:rPr>
        <w:t xml:space="preserve"> Castaño, quien es su beneficiaria en salud y no recibe ningún tipo de pensión</w:t>
      </w:r>
      <w:r w:rsidR="00F15CB3" w:rsidRPr="00BA53D2">
        <w:rPr>
          <w:rFonts w:ascii="Arial Narrow" w:hAnsi="Arial Narrow" w:cs="Tahoma"/>
          <w:sz w:val="26"/>
          <w:szCs w:val="26"/>
        </w:rPr>
        <w:t xml:space="preserve"> y, qu</w:t>
      </w:r>
      <w:r w:rsidR="00162449" w:rsidRPr="00BA53D2">
        <w:rPr>
          <w:rFonts w:ascii="Arial Narrow" w:hAnsi="Arial Narrow" w:cs="Tahoma"/>
          <w:sz w:val="26"/>
          <w:szCs w:val="26"/>
        </w:rPr>
        <w:t xml:space="preserve">e en el mes de agosto de 2017 solicitó el pago de </w:t>
      </w:r>
      <w:r w:rsidR="00F15CB3" w:rsidRPr="00BA53D2">
        <w:rPr>
          <w:rFonts w:ascii="Arial Narrow" w:hAnsi="Arial Narrow" w:cs="Tahoma"/>
          <w:sz w:val="26"/>
          <w:szCs w:val="26"/>
        </w:rPr>
        <w:t>los incrementos, empero que, le fueron negados</w:t>
      </w:r>
      <w:r w:rsidR="00162449" w:rsidRPr="00BA53D2">
        <w:rPr>
          <w:rFonts w:ascii="Arial Narrow" w:hAnsi="Arial Narrow" w:cs="Tahoma"/>
          <w:sz w:val="26"/>
          <w:szCs w:val="26"/>
        </w:rPr>
        <w:t>.</w:t>
      </w:r>
    </w:p>
    <w:p w:rsidR="00CA2B69" w:rsidRPr="00BA53D2" w:rsidRDefault="00CA2B69" w:rsidP="00BA53D2">
      <w:pPr>
        <w:pStyle w:val="Sinespaciado"/>
        <w:spacing w:line="288" w:lineRule="auto"/>
        <w:rPr>
          <w:rFonts w:ascii="Arial Narrow" w:hAnsi="Arial Narrow"/>
          <w:sz w:val="26"/>
          <w:szCs w:val="26"/>
        </w:rPr>
      </w:pPr>
    </w:p>
    <w:p w:rsidR="00CA2B69" w:rsidRPr="00BA53D2" w:rsidRDefault="00CA2B69" w:rsidP="00BA53D2">
      <w:pPr>
        <w:spacing w:line="288" w:lineRule="auto"/>
        <w:ind w:firstLine="708"/>
        <w:jc w:val="both"/>
        <w:rPr>
          <w:rFonts w:ascii="Arial Narrow" w:hAnsi="Arial Narrow" w:cs="Tahoma"/>
          <w:sz w:val="26"/>
          <w:szCs w:val="26"/>
        </w:rPr>
      </w:pPr>
      <w:r w:rsidRPr="00BA53D2">
        <w:rPr>
          <w:rFonts w:ascii="Arial Narrow" w:hAnsi="Arial Narrow" w:cs="Tahoma"/>
          <w:sz w:val="26"/>
          <w:szCs w:val="26"/>
        </w:rPr>
        <w:t xml:space="preserve">Admitida la demanda se dio traslado a Colpensiones, quien a través de su portavoz judicial se pronunció oponiéndose a las pretensiones, al considerar que </w:t>
      </w:r>
      <w:r w:rsidR="00162449" w:rsidRPr="00BA53D2">
        <w:rPr>
          <w:rFonts w:ascii="Arial Narrow" w:hAnsi="Arial Narrow" w:cs="Tahoma"/>
          <w:sz w:val="26"/>
          <w:szCs w:val="26"/>
        </w:rPr>
        <w:t xml:space="preserve">el </w:t>
      </w:r>
      <w:r w:rsidRPr="00BA53D2">
        <w:rPr>
          <w:rFonts w:ascii="Arial Narrow" w:hAnsi="Arial Narrow" w:cs="Tahoma"/>
          <w:sz w:val="26"/>
          <w:szCs w:val="26"/>
        </w:rPr>
        <w:t xml:space="preserve"> derecho a incrementar la pensión </w:t>
      </w:r>
      <w:r w:rsidR="00162449" w:rsidRPr="00BA53D2">
        <w:rPr>
          <w:rFonts w:ascii="Arial Narrow" w:hAnsi="Arial Narrow" w:cs="Tahoma"/>
          <w:sz w:val="26"/>
          <w:szCs w:val="26"/>
        </w:rPr>
        <w:t xml:space="preserve">desapareció de la vida jurídica </w:t>
      </w:r>
      <w:r w:rsidR="00F15CB3" w:rsidRPr="00BA53D2">
        <w:rPr>
          <w:rFonts w:ascii="Arial Narrow" w:hAnsi="Arial Narrow" w:cs="Tahoma"/>
          <w:sz w:val="26"/>
          <w:szCs w:val="26"/>
        </w:rPr>
        <w:t xml:space="preserve">puesto que </w:t>
      </w:r>
      <w:r w:rsidR="00162449" w:rsidRPr="00BA53D2">
        <w:rPr>
          <w:rFonts w:ascii="Arial Narrow" w:hAnsi="Arial Narrow" w:cs="Tahoma"/>
          <w:sz w:val="26"/>
          <w:szCs w:val="26"/>
        </w:rPr>
        <w:t>no forma parte del nuevo estatuto de la seguridad social</w:t>
      </w:r>
      <w:r w:rsidRPr="00BA53D2">
        <w:rPr>
          <w:rFonts w:ascii="Arial Narrow" w:hAnsi="Arial Narrow" w:cs="Tahoma"/>
          <w:sz w:val="26"/>
          <w:szCs w:val="26"/>
        </w:rPr>
        <w:t xml:space="preserve">. En su defensa, formuló como excepciones de fondo: “Inexistencia de la obligación </w:t>
      </w:r>
      <w:r w:rsidR="00162449" w:rsidRPr="00BA53D2">
        <w:rPr>
          <w:rFonts w:ascii="Arial Narrow" w:hAnsi="Arial Narrow" w:cs="Tahoma"/>
          <w:sz w:val="26"/>
          <w:szCs w:val="26"/>
        </w:rPr>
        <w:t xml:space="preserve">y cobro de lo no debido”, “Buena fe”, “Imposibilidad jurídica para cumplir con las obligaciones pretendidas” y </w:t>
      </w:r>
      <w:r w:rsidRPr="00BA53D2">
        <w:rPr>
          <w:rFonts w:ascii="Arial Narrow" w:hAnsi="Arial Narrow" w:cs="Tahoma"/>
          <w:sz w:val="26"/>
          <w:szCs w:val="26"/>
        </w:rPr>
        <w:t xml:space="preserve">“Prescripción”. </w:t>
      </w:r>
    </w:p>
    <w:p w:rsidR="00CA2B69" w:rsidRPr="00BA53D2" w:rsidRDefault="00CA2B69" w:rsidP="00BA53D2">
      <w:pPr>
        <w:pStyle w:val="Sinespaciado"/>
        <w:spacing w:line="288" w:lineRule="auto"/>
        <w:rPr>
          <w:rFonts w:ascii="Arial Narrow" w:hAnsi="Arial Narrow"/>
          <w:sz w:val="26"/>
          <w:szCs w:val="26"/>
        </w:rPr>
      </w:pPr>
    </w:p>
    <w:p w:rsidR="00CA2B69" w:rsidRPr="00BA53D2" w:rsidRDefault="00CA2B69" w:rsidP="00BA53D2">
      <w:pPr>
        <w:pStyle w:val="Prrafodelista"/>
        <w:numPr>
          <w:ilvl w:val="0"/>
          <w:numId w:val="1"/>
        </w:numPr>
        <w:spacing w:line="288" w:lineRule="auto"/>
        <w:jc w:val="both"/>
        <w:rPr>
          <w:rFonts w:ascii="Arial Narrow" w:hAnsi="Arial Narrow" w:cs="Tahoma"/>
          <w:b/>
          <w:i/>
          <w:sz w:val="26"/>
          <w:szCs w:val="26"/>
        </w:rPr>
      </w:pPr>
      <w:r w:rsidRPr="00BA53D2">
        <w:rPr>
          <w:rFonts w:ascii="Arial Narrow" w:hAnsi="Arial Narrow" w:cs="Tahoma"/>
          <w:b/>
          <w:i/>
          <w:sz w:val="26"/>
          <w:szCs w:val="26"/>
        </w:rPr>
        <w:t>SENTENCIA DEL JUZGADO</w:t>
      </w:r>
    </w:p>
    <w:p w:rsidR="00CA2B69" w:rsidRPr="00BA53D2" w:rsidRDefault="00CA2B69" w:rsidP="00BA53D2">
      <w:pPr>
        <w:pStyle w:val="Sinespaciado"/>
        <w:spacing w:line="288" w:lineRule="auto"/>
        <w:rPr>
          <w:rFonts w:ascii="Arial Narrow" w:hAnsi="Arial Narrow"/>
          <w:sz w:val="26"/>
          <w:szCs w:val="26"/>
        </w:rPr>
      </w:pPr>
    </w:p>
    <w:p w:rsidR="00CA2B69" w:rsidRPr="00BA53D2" w:rsidRDefault="00CA2B69" w:rsidP="00BA53D2">
      <w:pPr>
        <w:shd w:val="clear" w:color="auto" w:fill="FFFFFF"/>
        <w:spacing w:line="288" w:lineRule="auto"/>
        <w:ind w:firstLine="851"/>
        <w:jc w:val="both"/>
        <w:rPr>
          <w:rFonts w:ascii="Arial Narrow" w:hAnsi="Arial Narrow" w:cs="Tahoma"/>
          <w:color w:val="000000"/>
          <w:sz w:val="26"/>
          <w:szCs w:val="26"/>
          <w:lang w:eastAsia="es-CO"/>
        </w:rPr>
      </w:pPr>
      <w:r w:rsidRPr="00BA53D2">
        <w:rPr>
          <w:rFonts w:ascii="Arial Narrow" w:hAnsi="Arial Narrow" w:cs="Tahoma"/>
          <w:color w:val="000000"/>
          <w:sz w:val="26"/>
          <w:szCs w:val="26"/>
          <w:lang w:eastAsia="es-CO"/>
        </w:rPr>
        <w:t xml:space="preserve">El Juzgado de conocimiento mediante fallo proferido el </w:t>
      </w:r>
      <w:r w:rsidR="00162449" w:rsidRPr="00BA53D2">
        <w:rPr>
          <w:rFonts w:ascii="Arial Narrow" w:hAnsi="Arial Narrow" w:cs="Tahoma"/>
          <w:color w:val="000000"/>
          <w:sz w:val="26"/>
          <w:szCs w:val="26"/>
          <w:lang w:eastAsia="es-CO"/>
        </w:rPr>
        <w:t>26 de febrero de 2019</w:t>
      </w:r>
      <w:r w:rsidRPr="00BA53D2">
        <w:rPr>
          <w:rFonts w:ascii="Arial Narrow" w:hAnsi="Arial Narrow" w:cs="Tahoma"/>
          <w:color w:val="000000"/>
          <w:sz w:val="26"/>
          <w:szCs w:val="26"/>
          <w:lang w:eastAsia="es-CO"/>
        </w:rPr>
        <w:t>,</w:t>
      </w:r>
      <w:r w:rsidR="00162449" w:rsidRPr="00BA53D2">
        <w:rPr>
          <w:rFonts w:ascii="Arial Narrow" w:hAnsi="Arial Narrow" w:cs="Tahoma"/>
          <w:color w:val="000000"/>
          <w:sz w:val="26"/>
          <w:szCs w:val="26"/>
          <w:lang w:eastAsia="es-CO"/>
        </w:rPr>
        <w:t xml:space="preserve"> declaró probada la excepción de prescripción propuesta por la ent</w:t>
      </w:r>
      <w:r w:rsidRPr="00BA53D2">
        <w:rPr>
          <w:rFonts w:ascii="Arial Narrow" w:hAnsi="Arial Narrow" w:cs="Tahoma"/>
          <w:color w:val="000000"/>
          <w:sz w:val="26"/>
          <w:szCs w:val="26"/>
          <w:lang w:eastAsia="es-CO"/>
        </w:rPr>
        <w:t xml:space="preserve">idad accionada, y en consecuencia, la absolvió de las pretensiones incoadas en su contra. Condenó en costas al demandante.  </w:t>
      </w:r>
    </w:p>
    <w:p w:rsidR="00CA2B69" w:rsidRPr="00BA53D2" w:rsidRDefault="00CA2B69" w:rsidP="00BA53D2">
      <w:pPr>
        <w:pStyle w:val="Sinespaciado"/>
        <w:spacing w:line="288" w:lineRule="auto"/>
        <w:rPr>
          <w:rFonts w:ascii="Arial Narrow" w:hAnsi="Arial Narrow"/>
          <w:sz w:val="26"/>
          <w:szCs w:val="26"/>
        </w:rPr>
      </w:pPr>
    </w:p>
    <w:p w:rsidR="00CA2B69" w:rsidRPr="00BA53D2" w:rsidRDefault="00CA2B69" w:rsidP="00BA53D2">
      <w:pPr>
        <w:shd w:val="clear" w:color="auto" w:fill="FFFFFF"/>
        <w:spacing w:line="288" w:lineRule="auto"/>
        <w:ind w:firstLine="851"/>
        <w:jc w:val="both"/>
        <w:rPr>
          <w:rFonts w:ascii="Arial Narrow" w:hAnsi="Arial Narrow" w:cs="Tahoma"/>
          <w:color w:val="000000"/>
          <w:sz w:val="26"/>
          <w:szCs w:val="26"/>
          <w:lang w:eastAsia="es-CO"/>
        </w:rPr>
      </w:pPr>
      <w:r w:rsidRPr="00BA53D2">
        <w:rPr>
          <w:rFonts w:ascii="Arial Narrow" w:hAnsi="Arial Narrow" w:cs="Tahoma"/>
          <w:color w:val="000000"/>
          <w:sz w:val="26"/>
          <w:szCs w:val="26"/>
          <w:lang w:eastAsia="es-CO"/>
        </w:rPr>
        <w:lastRenderedPageBreak/>
        <w:t>En la motiva, indicó que los incrementos pensionales son aplicables en la actualidad y que en el caso puntual, se acreditó debidamente que el actor es pensionado de conformidad con el Acuerdo 049 de 1990</w:t>
      </w:r>
      <w:r w:rsidR="00C41BBB" w:rsidRPr="00BA53D2">
        <w:rPr>
          <w:rFonts w:ascii="Arial Narrow" w:hAnsi="Arial Narrow" w:cs="Tahoma"/>
          <w:color w:val="000000"/>
          <w:sz w:val="26"/>
          <w:szCs w:val="26"/>
          <w:lang w:eastAsia="es-CO"/>
        </w:rPr>
        <w:t>, y que su esposa depende económicamente de él</w:t>
      </w:r>
      <w:r w:rsidRPr="00BA53D2">
        <w:rPr>
          <w:rFonts w:ascii="Arial Narrow" w:hAnsi="Arial Narrow" w:cs="Tahoma"/>
          <w:color w:val="000000"/>
          <w:sz w:val="26"/>
          <w:szCs w:val="26"/>
          <w:lang w:eastAsia="es-CO"/>
        </w:rPr>
        <w:t xml:space="preserve">. Sin embargo, estimó que no hay lugar al reconocimiento del derecho al incremento pensional, </w:t>
      </w:r>
      <w:r w:rsidR="00C41BBB" w:rsidRPr="00BA53D2">
        <w:rPr>
          <w:rFonts w:ascii="Arial Narrow" w:hAnsi="Arial Narrow" w:cs="Tahoma"/>
          <w:color w:val="000000"/>
          <w:sz w:val="26"/>
          <w:szCs w:val="26"/>
          <w:lang w:eastAsia="es-CO"/>
        </w:rPr>
        <w:t>dado que el mismo se encuentra</w:t>
      </w:r>
      <w:r w:rsidR="00452117" w:rsidRPr="00BA53D2">
        <w:rPr>
          <w:rFonts w:ascii="Arial Narrow" w:hAnsi="Arial Narrow" w:cs="Tahoma"/>
          <w:color w:val="000000"/>
          <w:sz w:val="26"/>
          <w:szCs w:val="26"/>
          <w:lang w:eastAsia="es-CO"/>
        </w:rPr>
        <w:t xml:space="preserve"> prescrito, dado que no fue reclamado dentro de los 3 años siguientes a su exigibilidad. </w:t>
      </w:r>
    </w:p>
    <w:p w:rsidR="002932CD" w:rsidRPr="00BA53D2" w:rsidRDefault="002932CD" w:rsidP="00BA53D2">
      <w:pPr>
        <w:shd w:val="clear" w:color="auto" w:fill="FFFFFF"/>
        <w:spacing w:line="288" w:lineRule="auto"/>
        <w:ind w:firstLine="851"/>
        <w:jc w:val="both"/>
        <w:rPr>
          <w:rFonts w:ascii="Arial Narrow" w:hAnsi="Arial Narrow" w:cs="Tahoma"/>
          <w:color w:val="000000"/>
          <w:sz w:val="26"/>
          <w:szCs w:val="26"/>
          <w:lang w:eastAsia="es-CO"/>
        </w:rPr>
      </w:pPr>
    </w:p>
    <w:p w:rsidR="00452117" w:rsidRPr="00BA53D2" w:rsidRDefault="00452117" w:rsidP="00BA53D2">
      <w:pPr>
        <w:shd w:val="clear" w:color="auto" w:fill="FFFFFF"/>
        <w:spacing w:line="288" w:lineRule="auto"/>
        <w:ind w:firstLine="851"/>
        <w:jc w:val="both"/>
        <w:rPr>
          <w:rFonts w:ascii="Arial Narrow" w:hAnsi="Arial Narrow" w:cs="Tahoma"/>
          <w:b/>
          <w:color w:val="000000"/>
          <w:sz w:val="26"/>
          <w:szCs w:val="26"/>
          <w:lang w:eastAsia="es-CO"/>
        </w:rPr>
      </w:pPr>
      <w:r w:rsidRPr="00BA53D2">
        <w:rPr>
          <w:rFonts w:ascii="Arial Narrow" w:hAnsi="Arial Narrow" w:cs="Tahoma"/>
          <w:b/>
          <w:color w:val="000000"/>
          <w:sz w:val="26"/>
          <w:szCs w:val="26"/>
          <w:lang w:eastAsia="es-CO"/>
        </w:rPr>
        <w:t>III. RECURSO DE APELACIÓN</w:t>
      </w:r>
    </w:p>
    <w:p w:rsidR="00452117" w:rsidRPr="00BA53D2" w:rsidRDefault="00452117" w:rsidP="00BA53D2">
      <w:pPr>
        <w:pStyle w:val="Sinespaciado"/>
        <w:spacing w:line="288" w:lineRule="auto"/>
        <w:rPr>
          <w:rFonts w:ascii="Arial Narrow" w:hAnsi="Arial Narrow"/>
          <w:sz w:val="26"/>
          <w:szCs w:val="26"/>
        </w:rPr>
      </w:pPr>
    </w:p>
    <w:p w:rsidR="00452117" w:rsidRPr="00BA53D2" w:rsidRDefault="00452117" w:rsidP="00BA53D2">
      <w:pPr>
        <w:shd w:val="clear" w:color="auto" w:fill="FFFFFF"/>
        <w:spacing w:line="288" w:lineRule="auto"/>
        <w:ind w:firstLine="851"/>
        <w:jc w:val="both"/>
        <w:rPr>
          <w:rFonts w:ascii="Arial Narrow" w:hAnsi="Arial Narrow" w:cs="Tahoma"/>
          <w:color w:val="000000"/>
          <w:sz w:val="26"/>
          <w:szCs w:val="26"/>
          <w:lang w:eastAsia="es-CO"/>
        </w:rPr>
      </w:pPr>
      <w:r w:rsidRPr="00BA53D2">
        <w:rPr>
          <w:rFonts w:ascii="Arial Narrow" w:hAnsi="Arial Narrow" w:cs="Tahoma"/>
          <w:color w:val="000000"/>
          <w:sz w:val="26"/>
          <w:szCs w:val="26"/>
          <w:lang w:eastAsia="es-CO"/>
        </w:rPr>
        <w:t xml:space="preserve">Inconforme con lo decidido, la parte actora se alzó contra la decisión en orden a que se </w:t>
      </w:r>
      <w:r w:rsidR="0098716F" w:rsidRPr="00BA53D2">
        <w:rPr>
          <w:rFonts w:ascii="Arial Narrow" w:hAnsi="Arial Narrow" w:cs="Tahoma"/>
          <w:color w:val="000000"/>
          <w:sz w:val="26"/>
          <w:szCs w:val="26"/>
          <w:lang w:eastAsia="es-CO"/>
        </w:rPr>
        <w:t xml:space="preserve">modifique </w:t>
      </w:r>
      <w:r w:rsidRPr="00BA53D2">
        <w:rPr>
          <w:rFonts w:ascii="Arial Narrow" w:hAnsi="Arial Narrow" w:cs="Tahoma"/>
          <w:color w:val="000000"/>
          <w:sz w:val="26"/>
          <w:szCs w:val="26"/>
          <w:lang w:eastAsia="es-CO"/>
        </w:rPr>
        <w:t xml:space="preserve">y se acceda a lo pretendido. En </w:t>
      </w:r>
      <w:r w:rsidR="0098716F" w:rsidRPr="00BA53D2">
        <w:rPr>
          <w:rFonts w:ascii="Arial Narrow" w:hAnsi="Arial Narrow" w:cs="Tahoma"/>
          <w:color w:val="000000"/>
          <w:sz w:val="26"/>
          <w:szCs w:val="26"/>
          <w:lang w:eastAsia="es-CO"/>
        </w:rPr>
        <w:t xml:space="preserve">la sustentación indicó básicamente que la a-quo desconoció el precedente constitucional según el cual el derecho a los incrementos pensionales es imprescriptible, pues lo que prescribe son las mesadas </w:t>
      </w:r>
      <w:r w:rsidR="00F15CB3" w:rsidRPr="00BA53D2">
        <w:rPr>
          <w:rFonts w:ascii="Arial Narrow" w:hAnsi="Arial Narrow" w:cs="Tahoma"/>
          <w:color w:val="000000"/>
          <w:sz w:val="26"/>
          <w:szCs w:val="26"/>
          <w:lang w:eastAsia="es-CO"/>
        </w:rPr>
        <w:t>más no</w:t>
      </w:r>
      <w:r w:rsidR="0098716F" w:rsidRPr="00BA53D2">
        <w:rPr>
          <w:rFonts w:ascii="Arial Narrow" w:hAnsi="Arial Narrow" w:cs="Tahoma"/>
          <w:color w:val="000000"/>
          <w:sz w:val="26"/>
          <w:szCs w:val="26"/>
          <w:lang w:eastAsia="es-CO"/>
        </w:rPr>
        <w:t xml:space="preserve"> el derecho a recibir tales adendas. Por ende, solicita se revisen las distintas posiciones y sentencias que frente al tema han emitido las altas cortes, incluyendo el Consejo de Estado, a fin de que se aplique la interpretación más favorable al pensionado. </w:t>
      </w:r>
    </w:p>
    <w:p w:rsidR="00C16F08" w:rsidRPr="00BA53D2" w:rsidRDefault="00C16F08" w:rsidP="00BA53D2">
      <w:pPr>
        <w:pStyle w:val="Sinespaciado"/>
        <w:spacing w:line="288" w:lineRule="auto"/>
        <w:rPr>
          <w:rFonts w:ascii="Arial Narrow" w:hAnsi="Arial Narrow"/>
          <w:sz w:val="26"/>
          <w:szCs w:val="26"/>
        </w:rPr>
      </w:pPr>
    </w:p>
    <w:p w:rsidR="00875A75" w:rsidRPr="00BA53D2" w:rsidRDefault="00C16F08" w:rsidP="00BA53D2">
      <w:pPr>
        <w:shd w:val="clear" w:color="auto" w:fill="FFFFFF"/>
        <w:spacing w:line="288" w:lineRule="auto"/>
        <w:ind w:firstLine="851"/>
        <w:jc w:val="both"/>
        <w:rPr>
          <w:rFonts w:ascii="Arial Narrow" w:hAnsi="Arial Narrow" w:cs="Tahoma"/>
          <w:color w:val="000000"/>
          <w:sz w:val="26"/>
          <w:szCs w:val="26"/>
          <w:lang w:eastAsia="es-CO"/>
        </w:rPr>
      </w:pPr>
      <w:r w:rsidRPr="00BA53D2">
        <w:rPr>
          <w:rFonts w:ascii="Arial Narrow" w:hAnsi="Arial Narrow" w:cs="Tahoma"/>
          <w:color w:val="000000"/>
          <w:sz w:val="26"/>
          <w:szCs w:val="26"/>
          <w:lang w:eastAsia="es-CO"/>
        </w:rPr>
        <w:t xml:space="preserve">Llegado el proceso a esta segunda instancia, la Agencia Nacional de Defensa Jurídico del Estado presentó a través de su portavoz judicial, escrito de intervención, alegando básicamente que la Corte Constitucional a través de sentencia SU 140 de 2019, determinó que los incrementos pensionales por personas a cargo previstos en el artículo 21 del Acuerdo 049/90 fueron derogados con la entrada en vigor de la Ley 100/93, razón por la cual no producen efecto jurídico alguno respecto a quienes adquirieron el derecho pensional con posterioridad a la vigencia de esa ley, tal cual ocurre en este asunto. </w:t>
      </w:r>
    </w:p>
    <w:p w:rsidR="00875A75" w:rsidRPr="00BA53D2" w:rsidRDefault="00875A75" w:rsidP="00BA53D2">
      <w:pPr>
        <w:pStyle w:val="Sinespaciado"/>
        <w:spacing w:line="288" w:lineRule="auto"/>
        <w:rPr>
          <w:rFonts w:ascii="Arial Narrow" w:hAnsi="Arial Narrow"/>
          <w:sz w:val="26"/>
          <w:szCs w:val="26"/>
        </w:rPr>
      </w:pPr>
    </w:p>
    <w:p w:rsidR="00C16F08" w:rsidRPr="00BA53D2" w:rsidRDefault="00C16F08" w:rsidP="00BA53D2">
      <w:pPr>
        <w:shd w:val="clear" w:color="auto" w:fill="FFFFFF"/>
        <w:spacing w:line="288" w:lineRule="auto"/>
        <w:ind w:firstLine="851"/>
        <w:jc w:val="both"/>
        <w:rPr>
          <w:rFonts w:ascii="Arial Narrow" w:hAnsi="Arial Narrow" w:cs="Tahoma"/>
          <w:color w:val="000000"/>
          <w:sz w:val="26"/>
          <w:szCs w:val="26"/>
          <w:lang w:eastAsia="es-CO"/>
        </w:rPr>
      </w:pPr>
      <w:r w:rsidRPr="00BA53D2">
        <w:rPr>
          <w:rFonts w:ascii="Arial Narrow" w:hAnsi="Arial Narrow" w:cs="Tahoma"/>
          <w:color w:val="000000"/>
          <w:sz w:val="26"/>
          <w:szCs w:val="26"/>
          <w:lang w:eastAsia="es-CO"/>
        </w:rPr>
        <w:t xml:space="preserve">Por  auto dictado el 10 de octubre último se admitió su intervención y se reconoció </w:t>
      </w:r>
      <w:r w:rsidR="00875A75" w:rsidRPr="00BA53D2">
        <w:rPr>
          <w:rFonts w:ascii="Arial Narrow" w:hAnsi="Arial Narrow" w:cs="Tahoma"/>
          <w:color w:val="000000"/>
          <w:sz w:val="26"/>
          <w:szCs w:val="26"/>
          <w:lang w:eastAsia="es-CO"/>
        </w:rPr>
        <w:t xml:space="preserve">personería jurídica </w:t>
      </w:r>
      <w:r w:rsidRPr="00BA53D2">
        <w:rPr>
          <w:rFonts w:ascii="Arial Narrow" w:hAnsi="Arial Narrow" w:cs="Tahoma"/>
          <w:color w:val="000000"/>
          <w:sz w:val="26"/>
          <w:szCs w:val="26"/>
          <w:lang w:eastAsia="es-CO"/>
        </w:rPr>
        <w:t xml:space="preserve">para actuar al </w:t>
      </w:r>
      <w:r w:rsidR="00875A75" w:rsidRPr="00BA53D2">
        <w:rPr>
          <w:rFonts w:ascii="Arial Narrow" w:hAnsi="Arial Narrow" w:cs="Tahoma"/>
          <w:color w:val="000000"/>
          <w:sz w:val="26"/>
          <w:szCs w:val="26"/>
          <w:lang w:eastAsia="es-CO"/>
        </w:rPr>
        <w:t xml:space="preserve">abogado Cesar Augusto Méndez Becerra, conforma al poder otorgado. </w:t>
      </w:r>
    </w:p>
    <w:p w:rsidR="004E5720" w:rsidRPr="00BA53D2" w:rsidRDefault="004E5720" w:rsidP="00BA53D2">
      <w:pPr>
        <w:pStyle w:val="Sinespaciado"/>
        <w:spacing w:line="288" w:lineRule="auto"/>
        <w:rPr>
          <w:rFonts w:ascii="Arial Narrow" w:hAnsi="Arial Narrow"/>
          <w:sz w:val="26"/>
          <w:szCs w:val="26"/>
        </w:rPr>
      </w:pPr>
    </w:p>
    <w:p w:rsidR="004E5720" w:rsidRPr="00BA53D2" w:rsidRDefault="004E5720" w:rsidP="00BA53D2">
      <w:pPr>
        <w:tabs>
          <w:tab w:val="left" w:pos="851"/>
        </w:tabs>
        <w:spacing w:line="288" w:lineRule="auto"/>
        <w:jc w:val="both"/>
        <w:rPr>
          <w:rFonts w:ascii="Arial Narrow" w:hAnsi="Arial Narrow"/>
          <w:b/>
          <w:bCs/>
          <w:sz w:val="26"/>
          <w:szCs w:val="26"/>
        </w:rPr>
      </w:pPr>
      <w:r w:rsidRPr="00BA53D2">
        <w:rPr>
          <w:rFonts w:ascii="Arial Narrow" w:hAnsi="Arial Narrow"/>
          <w:b/>
          <w:bCs/>
          <w:sz w:val="26"/>
          <w:szCs w:val="26"/>
        </w:rPr>
        <w:tab/>
        <w:t>IV. ALEGATOS EN ESTA INSTANCIA.</w:t>
      </w:r>
    </w:p>
    <w:p w:rsidR="004E5720" w:rsidRPr="00BA53D2" w:rsidRDefault="004E5720" w:rsidP="00BA53D2">
      <w:pPr>
        <w:pStyle w:val="Sinespaciado"/>
        <w:spacing w:line="288" w:lineRule="auto"/>
        <w:rPr>
          <w:rFonts w:ascii="Arial Narrow" w:hAnsi="Arial Narrow"/>
          <w:sz w:val="26"/>
          <w:szCs w:val="26"/>
        </w:rPr>
      </w:pPr>
    </w:p>
    <w:p w:rsidR="002932CD" w:rsidRPr="00BA53D2" w:rsidRDefault="004E5720" w:rsidP="00BA53D2">
      <w:pPr>
        <w:tabs>
          <w:tab w:val="left" w:pos="567"/>
        </w:tabs>
        <w:spacing w:line="288" w:lineRule="auto"/>
        <w:jc w:val="both"/>
        <w:rPr>
          <w:rFonts w:ascii="Arial Narrow" w:hAnsi="Arial Narrow"/>
          <w:sz w:val="26"/>
          <w:szCs w:val="26"/>
        </w:rPr>
      </w:pPr>
      <w:r w:rsidRPr="00BA53D2">
        <w:rPr>
          <w:rFonts w:ascii="Arial Narrow" w:hAnsi="Arial Narrow"/>
          <w:sz w:val="26"/>
          <w:szCs w:val="26"/>
        </w:rPr>
        <w:tab/>
        <w:t xml:space="preserve">En este estado de la diligencia y antes de que la Colegiatura, proceda a decidir lo de su competencia, se corre traslado por el término de 8 minutos, a cada uno de los voceros judiciales de las partes asistentes a la audiencia, empezando por la parte recurrente (art. </w:t>
      </w:r>
      <w:smartTag w:uri="urn:schemas-microsoft-com:office:smarttags" w:element="metricconverter">
        <w:smartTagPr>
          <w:attr w:name="ProductID" w:val="66 A"/>
        </w:smartTagPr>
        <w:r w:rsidRPr="00BA53D2">
          <w:rPr>
            <w:rFonts w:ascii="Arial Narrow" w:hAnsi="Arial Narrow"/>
            <w:sz w:val="26"/>
            <w:szCs w:val="26"/>
          </w:rPr>
          <w:t>66 A</w:t>
        </w:r>
      </w:smartTag>
      <w:r w:rsidRPr="00BA53D2">
        <w:rPr>
          <w:rFonts w:ascii="Arial Narrow" w:hAnsi="Arial Narrow"/>
          <w:sz w:val="26"/>
          <w:szCs w:val="26"/>
        </w:rPr>
        <w:t xml:space="preserve"> </w:t>
      </w:r>
      <w:proofErr w:type="spellStart"/>
      <w:r w:rsidRPr="00BA53D2">
        <w:rPr>
          <w:rFonts w:ascii="Arial Narrow" w:hAnsi="Arial Narrow"/>
          <w:sz w:val="26"/>
          <w:szCs w:val="26"/>
        </w:rPr>
        <w:t>CPLSS</w:t>
      </w:r>
      <w:proofErr w:type="spellEnd"/>
      <w:r w:rsidRPr="00BA53D2">
        <w:rPr>
          <w:rFonts w:ascii="Arial Narrow" w:hAnsi="Arial Narrow"/>
          <w:sz w:val="26"/>
          <w:szCs w:val="26"/>
        </w:rPr>
        <w:t xml:space="preserve">.). </w:t>
      </w:r>
    </w:p>
    <w:p w:rsidR="002932CD" w:rsidRPr="00BA53D2" w:rsidRDefault="002932CD" w:rsidP="00BA53D2">
      <w:pPr>
        <w:pStyle w:val="Sinespaciado"/>
        <w:spacing w:line="288" w:lineRule="auto"/>
        <w:rPr>
          <w:rFonts w:ascii="Arial Narrow" w:hAnsi="Arial Narrow"/>
          <w:sz w:val="26"/>
          <w:szCs w:val="26"/>
        </w:rPr>
      </w:pPr>
    </w:p>
    <w:p w:rsidR="004E5720" w:rsidRPr="00BA53D2" w:rsidRDefault="002932CD" w:rsidP="00BA53D2">
      <w:pPr>
        <w:tabs>
          <w:tab w:val="left" w:pos="567"/>
        </w:tabs>
        <w:spacing w:line="288" w:lineRule="auto"/>
        <w:jc w:val="both"/>
        <w:rPr>
          <w:rFonts w:ascii="Arial Narrow" w:hAnsi="Arial Narrow"/>
          <w:sz w:val="26"/>
          <w:szCs w:val="26"/>
        </w:rPr>
      </w:pPr>
      <w:r w:rsidRPr="00BA53D2">
        <w:rPr>
          <w:rFonts w:ascii="Arial Narrow" w:hAnsi="Arial Narrow"/>
          <w:sz w:val="26"/>
          <w:szCs w:val="26"/>
        </w:rPr>
        <w:tab/>
      </w:r>
      <w:r w:rsidR="004E5720" w:rsidRPr="00BA53D2">
        <w:rPr>
          <w:rFonts w:ascii="Arial Narrow" w:hAnsi="Arial Narrow"/>
          <w:sz w:val="26"/>
          <w:szCs w:val="26"/>
        </w:rPr>
        <w:t>Escuchadas las intervenciones que en síntesis reflejan los puntos debatidos por los integrantes de la Sala, se procede a decidir lo que corresponda, previas las siguientes:</w:t>
      </w:r>
    </w:p>
    <w:p w:rsidR="002932CD" w:rsidRPr="00BA53D2" w:rsidRDefault="002932CD" w:rsidP="00BA53D2">
      <w:pPr>
        <w:pStyle w:val="Sinespaciado"/>
        <w:spacing w:line="288" w:lineRule="auto"/>
        <w:rPr>
          <w:rFonts w:ascii="Arial Narrow" w:hAnsi="Arial Narrow"/>
          <w:sz w:val="26"/>
          <w:szCs w:val="26"/>
        </w:rPr>
      </w:pPr>
    </w:p>
    <w:p w:rsidR="004E5720" w:rsidRPr="00BA53D2" w:rsidRDefault="004E5720" w:rsidP="00BA53D2">
      <w:pPr>
        <w:tabs>
          <w:tab w:val="left" w:pos="851"/>
        </w:tabs>
        <w:spacing w:line="288" w:lineRule="auto"/>
        <w:ind w:hanging="993"/>
        <w:jc w:val="both"/>
        <w:rPr>
          <w:rFonts w:ascii="Arial Narrow" w:hAnsi="Arial Narrow"/>
          <w:b/>
          <w:bCs/>
          <w:sz w:val="26"/>
          <w:szCs w:val="26"/>
        </w:rPr>
      </w:pPr>
      <w:r w:rsidRPr="00BA53D2">
        <w:rPr>
          <w:rFonts w:ascii="Arial Narrow" w:hAnsi="Arial Narrow"/>
          <w:sz w:val="26"/>
          <w:szCs w:val="26"/>
        </w:rPr>
        <w:tab/>
      </w:r>
      <w:r w:rsidRPr="00BA53D2">
        <w:rPr>
          <w:rFonts w:ascii="Arial Narrow" w:hAnsi="Arial Narrow"/>
          <w:b/>
          <w:bCs/>
          <w:sz w:val="26"/>
          <w:szCs w:val="26"/>
        </w:rPr>
        <w:tab/>
        <w:t>V. CONSIDERACIONES:</w:t>
      </w:r>
    </w:p>
    <w:p w:rsidR="004E5720" w:rsidRPr="00BA53D2" w:rsidRDefault="004E5720" w:rsidP="00BA53D2">
      <w:pPr>
        <w:pStyle w:val="Sinespaciado"/>
        <w:spacing w:line="288" w:lineRule="auto"/>
        <w:rPr>
          <w:rFonts w:ascii="Arial Narrow" w:hAnsi="Arial Narrow"/>
          <w:sz w:val="26"/>
          <w:szCs w:val="26"/>
        </w:rPr>
      </w:pPr>
    </w:p>
    <w:p w:rsidR="004E5720" w:rsidRPr="00BA53D2" w:rsidRDefault="004E5720" w:rsidP="00BA53D2">
      <w:pPr>
        <w:tabs>
          <w:tab w:val="left" w:pos="567"/>
        </w:tabs>
        <w:spacing w:line="288" w:lineRule="auto"/>
        <w:ind w:firstLine="284"/>
        <w:jc w:val="both"/>
        <w:rPr>
          <w:rFonts w:ascii="Arial Narrow" w:hAnsi="Arial Narrow"/>
          <w:b/>
          <w:bCs/>
          <w:sz w:val="26"/>
          <w:szCs w:val="26"/>
        </w:rPr>
      </w:pPr>
      <w:r w:rsidRPr="00BA53D2">
        <w:rPr>
          <w:rFonts w:ascii="Arial Narrow" w:hAnsi="Arial Narrow"/>
          <w:b/>
          <w:bCs/>
          <w:sz w:val="26"/>
          <w:szCs w:val="26"/>
        </w:rPr>
        <w:tab/>
        <w:t>Del Problema Jurídico:</w:t>
      </w:r>
    </w:p>
    <w:p w:rsidR="004E5720" w:rsidRPr="00BA53D2" w:rsidRDefault="00EA359B" w:rsidP="00BA53D2">
      <w:pPr>
        <w:pStyle w:val="Sinespaciado"/>
        <w:spacing w:line="288" w:lineRule="auto"/>
        <w:rPr>
          <w:rFonts w:ascii="Arial Narrow" w:hAnsi="Arial Narrow"/>
          <w:sz w:val="26"/>
          <w:szCs w:val="26"/>
        </w:rPr>
      </w:pPr>
      <w:r w:rsidRPr="00BA53D2">
        <w:rPr>
          <w:rFonts w:ascii="Arial Narrow" w:hAnsi="Arial Narrow"/>
          <w:sz w:val="26"/>
          <w:szCs w:val="26"/>
        </w:rPr>
        <w:tab/>
      </w:r>
    </w:p>
    <w:p w:rsidR="004E5720" w:rsidRPr="00BA53D2" w:rsidRDefault="004E5720" w:rsidP="00BA53D2">
      <w:pPr>
        <w:tabs>
          <w:tab w:val="left" w:pos="567"/>
        </w:tabs>
        <w:spacing w:line="288" w:lineRule="auto"/>
        <w:ind w:firstLine="284"/>
        <w:jc w:val="both"/>
        <w:rPr>
          <w:rFonts w:ascii="Arial Narrow" w:hAnsi="Arial Narrow"/>
          <w:b/>
          <w:bCs/>
          <w:sz w:val="26"/>
          <w:szCs w:val="26"/>
        </w:rPr>
      </w:pPr>
      <w:r w:rsidRPr="00BA53D2">
        <w:rPr>
          <w:rFonts w:ascii="Arial Narrow" w:hAnsi="Arial Narrow"/>
          <w:b/>
          <w:bCs/>
          <w:sz w:val="26"/>
          <w:szCs w:val="26"/>
        </w:rPr>
        <w:tab/>
      </w:r>
      <w:r w:rsidRPr="00BA53D2">
        <w:rPr>
          <w:rFonts w:ascii="Arial Narrow" w:hAnsi="Arial Narrow"/>
          <w:b/>
          <w:bCs/>
          <w:sz w:val="26"/>
          <w:szCs w:val="26"/>
        </w:rPr>
        <w:tab/>
      </w:r>
      <w:r w:rsidRPr="00BA53D2">
        <w:rPr>
          <w:rFonts w:ascii="Arial Narrow" w:hAnsi="Arial Narrow" w:cs="Tahoma"/>
          <w:color w:val="000000"/>
          <w:sz w:val="26"/>
          <w:szCs w:val="26"/>
          <w:lang w:eastAsia="es-CO"/>
        </w:rPr>
        <w:t>Plantea la Sala como problemas jurídicos los siguientes:</w:t>
      </w:r>
    </w:p>
    <w:p w:rsidR="004E5720" w:rsidRPr="00BA53D2" w:rsidRDefault="004E5720" w:rsidP="00BA53D2">
      <w:pPr>
        <w:pStyle w:val="Sinespaciado"/>
        <w:spacing w:line="288" w:lineRule="auto"/>
        <w:rPr>
          <w:rFonts w:ascii="Arial Narrow" w:hAnsi="Arial Narrow"/>
          <w:sz w:val="26"/>
          <w:szCs w:val="26"/>
        </w:rPr>
      </w:pPr>
    </w:p>
    <w:p w:rsidR="004E5720" w:rsidRPr="00BA53D2" w:rsidRDefault="004E5720" w:rsidP="00BA53D2">
      <w:pPr>
        <w:tabs>
          <w:tab w:val="left" w:pos="567"/>
        </w:tabs>
        <w:spacing w:line="288" w:lineRule="auto"/>
        <w:jc w:val="both"/>
        <w:rPr>
          <w:rFonts w:ascii="Arial Narrow" w:hAnsi="Arial Narrow"/>
          <w:i/>
          <w:sz w:val="26"/>
          <w:szCs w:val="26"/>
        </w:rPr>
      </w:pPr>
      <w:r w:rsidRPr="00BA53D2">
        <w:rPr>
          <w:rFonts w:ascii="Arial Narrow" w:hAnsi="Arial Narrow" w:cs="Tahoma"/>
          <w:bCs/>
          <w:i/>
          <w:sz w:val="26"/>
          <w:szCs w:val="26"/>
        </w:rPr>
        <w:lastRenderedPageBreak/>
        <w:tab/>
      </w:r>
      <w:r w:rsidRPr="00BA53D2">
        <w:rPr>
          <w:rFonts w:ascii="Arial Narrow" w:hAnsi="Arial Narrow"/>
          <w:i/>
          <w:sz w:val="26"/>
          <w:szCs w:val="26"/>
        </w:rPr>
        <w:t xml:space="preserve">¿Están vigentes los incrementos pensionales por personas a cargo? </w:t>
      </w:r>
    </w:p>
    <w:p w:rsidR="004E5720" w:rsidRPr="00BA53D2" w:rsidRDefault="004E5720" w:rsidP="00BA53D2">
      <w:pPr>
        <w:pStyle w:val="Prrafodelista"/>
        <w:tabs>
          <w:tab w:val="left" w:pos="1276"/>
        </w:tabs>
        <w:spacing w:line="288" w:lineRule="auto"/>
        <w:ind w:left="993" w:hanging="426"/>
        <w:jc w:val="both"/>
        <w:rPr>
          <w:rFonts w:ascii="Arial Narrow" w:hAnsi="Arial Narrow"/>
          <w:i/>
          <w:sz w:val="26"/>
          <w:szCs w:val="26"/>
        </w:rPr>
      </w:pPr>
    </w:p>
    <w:p w:rsidR="004E5720" w:rsidRPr="00BA53D2" w:rsidRDefault="004E5720" w:rsidP="00BA53D2">
      <w:pPr>
        <w:tabs>
          <w:tab w:val="left" w:pos="567"/>
        </w:tabs>
        <w:spacing w:line="288" w:lineRule="auto"/>
        <w:jc w:val="both"/>
        <w:rPr>
          <w:rFonts w:ascii="Arial Narrow" w:hAnsi="Arial Narrow"/>
          <w:i/>
          <w:sz w:val="26"/>
          <w:szCs w:val="26"/>
        </w:rPr>
      </w:pPr>
      <w:r w:rsidRPr="00BA53D2">
        <w:rPr>
          <w:rFonts w:ascii="Arial Narrow" w:hAnsi="Arial Narrow"/>
          <w:i/>
          <w:sz w:val="26"/>
          <w:szCs w:val="26"/>
          <w:lang w:val="es-ES_tradnl"/>
        </w:rPr>
        <w:tab/>
      </w:r>
      <w:r w:rsidRPr="00BA53D2">
        <w:rPr>
          <w:rFonts w:ascii="Arial Narrow" w:hAnsi="Arial Narrow"/>
          <w:i/>
          <w:sz w:val="26"/>
          <w:szCs w:val="26"/>
        </w:rPr>
        <w:t xml:space="preserve">¿El demandante acredita las condiciones fácticas necesarias para causar el derecho al incremento del 14% por cónyuge a cargo?  </w:t>
      </w:r>
    </w:p>
    <w:p w:rsidR="004E5720" w:rsidRPr="00BA53D2" w:rsidRDefault="004E5720" w:rsidP="00BA53D2">
      <w:pPr>
        <w:pStyle w:val="Sinespaciado"/>
        <w:spacing w:line="288" w:lineRule="auto"/>
        <w:rPr>
          <w:rFonts w:ascii="Arial Narrow" w:hAnsi="Arial Narrow"/>
          <w:i/>
          <w:sz w:val="26"/>
          <w:szCs w:val="26"/>
        </w:rPr>
      </w:pPr>
    </w:p>
    <w:p w:rsidR="004E5720" w:rsidRPr="00BA53D2" w:rsidRDefault="004E5720" w:rsidP="00BA53D2">
      <w:pPr>
        <w:tabs>
          <w:tab w:val="left" w:pos="567"/>
        </w:tabs>
        <w:spacing w:line="288" w:lineRule="auto"/>
        <w:jc w:val="both"/>
        <w:rPr>
          <w:rFonts w:ascii="Arial Narrow" w:hAnsi="Arial Narrow"/>
          <w:i/>
          <w:sz w:val="26"/>
          <w:szCs w:val="26"/>
        </w:rPr>
      </w:pPr>
      <w:r w:rsidRPr="00BA53D2">
        <w:rPr>
          <w:rFonts w:ascii="Arial Narrow" w:hAnsi="Arial Narrow"/>
          <w:i/>
          <w:sz w:val="26"/>
          <w:szCs w:val="26"/>
        </w:rPr>
        <w:tab/>
        <w:t>¿Es imprescriptible o no el derecho a los incrementos pensionales como l</w:t>
      </w:r>
      <w:r w:rsidR="003F3705" w:rsidRPr="00BA53D2">
        <w:rPr>
          <w:rFonts w:ascii="Arial Narrow" w:hAnsi="Arial Narrow"/>
          <w:i/>
          <w:sz w:val="26"/>
          <w:szCs w:val="26"/>
        </w:rPr>
        <w:t xml:space="preserve">o plantea la parte recurrente? </w:t>
      </w:r>
    </w:p>
    <w:p w:rsidR="003F3705" w:rsidRPr="00BA53D2" w:rsidRDefault="003F3705" w:rsidP="00BA53D2">
      <w:pPr>
        <w:tabs>
          <w:tab w:val="left" w:pos="567"/>
        </w:tabs>
        <w:spacing w:line="288" w:lineRule="auto"/>
        <w:jc w:val="both"/>
        <w:rPr>
          <w:rFonts w:ascii="Arial Narrow" w:hAnsi="Arial Narrow"/>
          <w:i/>
          <w:sz w:val="26"/>
          <w:szCs w:val="26"/>
        </w:rPr>
      </w:pPr>
    </w:p>
    <w:p w:rsidR="004E5720" w:rsidRPr="00BA53D2" w:rsidRDefault="004E5720" w:rsidP="00BA53D2">
      <w:pPr>
        <w:tabs>
          <w:tab w:val="left" w:pos="567"/>
        </w:tabs>
        <w:spacing w:line="288" w:lineRule="auto"/>
        <w:ind w:firstLine="284"/>
        <w:jc w:val="both"/>
        <w:rPr>
          <w:rFonts w:ascii="Arial Narrow" w:hAnsi="Arial Narrow"/>
          <w:b/>
          <w:bCs/>
          <w:sz w:val="26"/>
          <w:szCs w:val="26"/>
        </w:rPr>
      </w:pPr>
      <w:r w:rsidRPr="00BA53D2">
        <w:rPr>
          <w:rFonts w:ascii="Arial Narrow" w:hAnsi="Arial Narrow"/>
          <w:b/>
          <w:bCs/>
          <w:sz w:val="26"/>
          <w:szCs w:val="26"/>
        </w:rPr>
        <w:tab/>
      </w:r>
      <w:r w:rsidR="00F15CB3" w:rsidRPr="00BA53D2">
        <w:rPr>
          <w:rFonts w:ascii="Arial Narrow" w:hAnsi="Arial Narrow"/>
          <w:b/>
          <w:bCs/>
          <w:sz w:val="26"/>
          <w:szCs w:val="26"/>
        </w:rPr>
        <w:t>Desenvolvimiento de la problemática planteada</w:t>
      </w:r>
      <w:r w:rsidRPr="00BA53D2">
        <w:rPr>
          <w:rFonts w:ascii="Arial Narrow" w:hAnsi="Arial Narrow"/>
          <w:b/>
          <w:bCs/>
          <w:sz w:val="26"/>
          <w:szCs w:val="26"/>
        </w:rPr>
        <w:t>.</w:t>
      </w:r>
    </w:p>
    <w:p w:rsidR="004E5720" w:rsidRPr="00BA53D2" w:rsidRDefault="004E5720" w:rsidP="00BA53D2">
      <w:pPr>
        <w:pStyle w:val="Sinespaciado"/>
        <w:spacing w:line="288" w:lineRule="auto"/>
        <w:rPr>
          <w:rFonts w:ascii="Arial Narrow" w:hAnsi="Arial Narrow"/>
          <w:sz w:val="26"/>
          <w:szCs w:val="26"/>
        </w:rPr>
      </w:pPr>
    </w:p>
    <w:p w:rsidR="00F268B7" w:rsidRPr="00BA53D2" w:rsidRDefault="00DE575B" w:rsidP="00BA53D2">
      <w:pPr>
        <w:widowControl w:val="0"/>
        <w:autoSpaceDE w:val="0"/>
        <w:autoSpaceDN w:val="0"/>
        <w:adjustRightInd w:val="0"/>
        <w:spacing w:line="288" w:lineRule="auto"/>
        <w:ind w:firstLine="708"/>
        <w:jc w:val="both"/>
        <w:rPr>
          <w:rFonts w:ascii="Arial Narrow" w:hAnsi="Arial Narrow" w:cs="Tahoma"/>
          <w:sz w:val="26"/>
          <w:szCs w:val="26"/>
        </w:rPr>
      </w:pPr>
      <w:r w:rsidRPr="00BA53D2">
        <w:rPr>
          <w:rFonts w:ascii="Arial Narrow" w:hAnsi="Arial Narrow"/>
          <w:sz w:val="26"/>
          <w:szCs w:val="26"/>
          <w:lang w:eastAsia="en-US"/>
        </w:rPr>
        <w:t>Los incrementos pensionales</w:t>
      </w:r>
      <w:r w:rsidR="00200546" w:rsidRPr="00BA53D2">
        <w:rPr>
          <w:rFonts w:ascii="Arial Narrow" w:hAnsi="Arial Narrow"/>
          <w:sz w:val="26"/>
          <w:szCs w:val="26"/>
          <w:lang w:eastAsia="en-US"/>
        </w:rPr>
        <w:t xml:space="preserve"> surgieron antes de la entrada en vigencia de la Ley 100 de 1993 y </w:t>
      </w:r>
      <w:r w:rsidRPr="00BA53D2">
        <w:rPr>
          <w:rFonts w:ascii="Arial Narrow" w:hAnsi="Arial Narrow"/>
          <w:sz w:val="26"/>
          <w:szCs w:val="26"/>
          <w:lang w:eastAsia="en-US"/>
        </w:rPr>
        <w:t xml:space="preserve">tienen como sustento el </w:t>
      </w:r>
      <w:r w:rsidRPr="00BA53D2">
        <w:rPr>
          <w:rFonts w:ascii="Arial Narrow" w:hAnsi="Arial Narrow" w:cs="Tahoma"/>
          <w:sz w:val="26"/>
          <w:szCs w:val="26"/>
        </w:rPr>
        <w:t>artículo 21 del Acuerdo 049 de 1990, aprobado por el Decreto 758 de la misma calenda, según el cual</w:t>
      </w:r>
      <w:r w:rsidR="00200546" w:rsidRPr="00BA53D2">
        <w:rPr>
          <w:rFonts w:ascii="Arial Narrow" w:hAnsi="Arial Narrow" w:cs="Tahoma"/>
          <w:sz w:val="26"/>
          <w:szCs w:val="26"/>
        </w:rPr>
        <w:t xml:space="preserve">: </w:t>
      </w:r>
    </w:p>
    <w:p w:rsidR="00F268B7" w:rsidRPr="00BA53D2" w:rsidRDefault="00F268B7" w:rsidP="00BA53D2">
      <w:pPr>
        <w:pStyle w:val="Sinespaciado"/>
        <w:spacing w:line="288" w:lineRule="auto"/>
        <w:rPr>
          <w:rFonts w:ascii="Arial Narrow" w:hAnsi="Arial Narrow"/>
          <w:sz w:val="26"/>
          <w:szCs w:val="26"/>
        </w:rPr>
      </w:pPr>
    </w:p>
    <w:p w:rsidR="00200546" w:rsidRPr="00BA53D2" w:rsidRDefault="00200546" w:rsidP="00BA53D2">
      <w:pPr>
        <w:widowControl w:val="0"/>
        <w:autoSpaceDE w:val="0"/>
        <w:autoSpaceDN w:val="0"/>
        <w:adjustRightInd w:val="0"/>
        <w:ind w:left="426" w:right="424"/>
        <w:jc w:val="both"/>
        <w:rPr>
          <w:rFonts w:ascii="Arial Narrow" w:hAnsi="Arial Narrow"/>
          <w:szCs w:val="26"/>
          <w:lang w:val="es-ES"/>
        </w:rPr>
      </w:pPr>
      <w:r w:rsidRPr="00BA53D2">
        <w:rPr>
          <w:rFonts w:ascii="Arial Narrow" w:hAnsi="Arial Narrow" w:cs="Tahoma"/>
          <w:szCs w:val="26"/>
        </w:rPr>
        <w:t>“las pensiones</w:t>
      </w:r>
      <w:r w:rsidRPr="00BA53D2">
        <w:rPr>
          <w:rFonts w:ascii="Arial Narrow" w:hAnsi="Arial Narrow"/>
          <w:i/>
          <w:iCs/>
          <w:szCs w:val="26"/>
          <w:bdr w:val="none" w:sz="0" w:space="0" w:color="auto" w:frame="1"/>
        </w:rPr>
        <w:t xml:space="preserve"> mensuales de invalidez y de vejez se incrementaran así: a) En un siete por ciento (7%) sobre la pensión mínima legal, por cada uno de los hijos o hijas menores de 16 años o de dieciocho (18) años si son estudiantes o por cada uno de los hijos inválidos no pensionados de cualquier edad, siempre que dependan económicamente del beneficiario y, </w:t>
      </w:r>
      <w:r w:rsidRPr="00BA53D2">
        <w:rPr>
          <w:rFonts w:ascii="Arial Narrow" w:hAnsi="Arial Narrow"/>
          <w:bCs/>
          <w:i/>
          <w:iCs/>
          <w:szCs w:val="26"/>
          <w:bdr w:val="none" w:sz="0" w:space="0" w:color="auto" w:frame="1"/>
        </w:rPr>
        <w:t>b)</w:t>
      </w:r>
      <w:r w:rsidRPr="00BA53D2">
        <w:rPr>
          <w:rFonts w:ascii="Arial Narrow" w:hAnsi="Arial Narrow"/>
          <w:b/>
          <w:bCs/>
          <w:i/>
          <w:iCs/>
          <w:szCs w:val="26"/>
          <w:bdr w:val="none" w:sz="0" w:space="0" w:color="auto" w:frame="1"/>
        </w:rPr>
        <w:t xml:space="preserve"> </w:t>
      </w:r>
      <w:r w:rsidRPr="00BA53D2">
        <w:rPr>
          <w:rFonts w:ascii="Arial Narrow" w:hAnsi="Arial Narrow"/>
          <w:bCs/>
          <w:i/>
          <w:iCs/>
          <w:szCs w:val="26"/>
          <w:bdr w:val="none" w:sz="0" w:space="0" w:color="auto" w:frame="1"/>
        </w:rPr>
        <w:t>En un catorce por ciento (14%) sobre la pensión mínima legal, por el cónyuge o compañero o compañera del beneficiario que dependa económicamente de éste y no disfrute de una pensión.</w:t>
      </w:r>
      <w:r w:rsidR="00F268B7" w:rsidRPr="00BA53D2">
        <w:rPr>
          <w:rFonts w:ascii="Arial Narrow" w:hAnsi="Arial Narrow"/>
          <w:bCs/>
          <w:i/>
          <w:iCs/>
          <w:szCs w:val="26"/>
          <w:bdr w:val="none" w:sz="0" w:space="0" w:color="auto" w:frame="1"/>
        </w:rPr>
        <w:t>”</w:t>
      </w:r>
    </w:p>
    <w:p w:rsidR="00E935FE" w:rsidRPr="00BA53D2" w:rsidRDefault="00200546" w:rsidP="00BA53D2">
      <w:pPr>
        <w:pStyle w:val="Sinespaciado"/>
        <w:spacing w:line="288" w:lineRule="auto"/>
        <w:rPr>
          <w:rFonts w:ascii="Arial Narrow" w:hAnsi="Arial Narrow"/>
          <w:sz w:val="26"/>
          <w:szCs w:val="26"/>
        </w:rPr>
      </w:pPr>
      <w:r w:rsidRPr="00BA53D2">
        <w:rPr>
          <w:rFonts w:ascii="Arial Narrow" w:hAnsi="Arial Narrow"/>
          <w:sz w:val="26"/>
          <w:szCs w:val="26"/>
          <w:bdr w:val="none" w:sz="0" w:space="0" w:color="auto" w:frame="1"/>
        </w:rPr>
        <w:t> </w:t>
      </w:r>
    </w:p>
    <w:p w:rsidR="00F15CB3" w:rsidRPr="00BA53D2" w:rsidRDefault="004E0328" w:rsidP="00BA53D2">
      <w:pPr>
        <w:pStyle w:val="Sinespaciado"/>
        <w:spacing w:line="288" w:lineRule="auto"/>
        <w:ind w:firstLine="708"/>
        <w:jc w:val="both"/>
        <w:rPr>
          <w:rFonts w:ascii="Arial Narrow" w:hAnsi="Arial Narrow"/>
          <w:sz w:val="26"/>
          <w:szCs w:val="26"/>
        </w:rPr>
      </w:pPr>
      <w:r w:rsidRPr="00BA53D2">
        <w:rPr>
          <w:rFonts w:ascii="Arial Narrow" w:hAnsi="Arial Narrow"/>
          <w:sz w:val="26"/>
          <w:szCs w:val="26"/>
        </w:rPr>
        <w:t xml:space="preserve">Por su parte, el artículo 22 también acusado, de manera expresa estipula, que estos incrementos o aumentos no forman parte integrante de la pensión de invalidez o de vejez que reconoce el Instituto de Seguros Sociales. Y agrega, que el derecho a ellos subsiste mientras perduren </w:t>
      </w:r>
      <w:r w:rsidR="00F15CB3" w:rsidRPr="00BA53D2">
        <w:rPr>
          <w:rFonts w:ascii="Arial Narrow" w:hAnsi="Arial Narrow"/>
          <w:sz w:val="26"/>
          <w:szCs w:val="26"/>
        </w:rPr>
        <w:t xml:space="preserve">las causas que les dieron origen. </w:t>
      </w:r>
    </w:p>
    <w:p w:rsidR="00F15CB3" w:rsidRPr="00BA53D2" w:rsidRDefault="00F15CB3" w:rsidP="00BA53D2">
      <w:pPr>
        <w:pStyle w:val="Sinespaciado"/>
        <w:spacing w:line="288" w:lineRule="auto"/>
        <w:rPr>
          <w:rFonts w:ascii="Arial Narrow" w:hAnsi="Arial Narrow"/>
          <w:sz w:val="26"/>
          <w:szCs w:val="26"/>
        </w:rPr>
      </w:pPr>
    </w:p>
    <w:p w:rsidR="00200546" w:rsidRPr="00BA53D2" w:rsidRDefault="00200546" w:rsidP="00BA53D2">
      <w:pPr>
        <w:widowControl w:val="0"/>
        <w:autoSpaceDE w:val="0"/>
        <w:autoSpaceDN w:val="0"/>
        <w:adjustRightInd w:val="0"/>
        <w:spacing w:line="288" w:lineRule="auto"/>
        <w:ind w:firstLine="708"/>
        <w:jc w:val="both"/>
        <w:rPr>
          <w:rFonts w:ascii="Arial Narrow" w:hAnsi="Arial Narrow"/>
          <w:sz w:val="26"/>
          <w:szCs w:val="26"/>
        </w:rPr>
      </w:pPr>
      <w:r w:rsidRPr="00BA53D2">
        <w:rPr>
          <w:rFonts w:ascii="Arial Narrow" w:hAnsi="Arial Narrow" w:cs="Tahoma"/>
          <w:sz w:val="26"/>
          <w:szCs w:val="26"/>
        </w:rPr>
        <w:t xml:space="preserve">Sobre la vigencia </w:t>
      </w:r>
      <w:r w:rsidR="00DE575B" w:rsidRPr="00BA53D2">
        <w:rPr>
          <w:rFonts w:ascii="Arial Narrow" w:hAnsi="Arial Narrow" w:cs="Tahoma"/>
          <w:sz w:val="26"/>
          <w:szCs w:val="26"/>
        </w:rPr>
        <w:t>de tales incrementos</w:t>
      </w:r>
      <w:r w:rsidRPr="00BA53D2">
        <w:rPr>
          <w:rFonts w:ascii="Arial Narrow" w:hAnsi="Arial Narrow" w:cs="Tahoma"/>
          <w:sz w:val="26"/>
          <w:szCs w:val="26"/>
        </w:rPr>
        <w:t xml:space="preserve">, la Corte Constitucional en varias oportunidades se ha pronunciado, </w:t>
      </w:r>
      <w:r w:rsidR="00327147" w:rsidRPr="00BA53D2">
        <w:rPr>
          <w:rFonts w:ascii="Arial Narrow" w:hAnsi="Arial Narrow" w:cs="Tahoma"/>
          <w:sz w:val="26"/>
          <w:szCs w:val="26"/>
        </w:rPr>
        <w:t xml:space="preserve">y de antaño, venía sosteniendo </w:t>
      </w:r>
      <w:r w:rsidRPr="00BA53D2">
        <w:rPr>
          <w:rFonts w:ascii="Arial Narrow" w:hAnsi="Arial Narrow" w:cs="Tahoma"/>
          <w:sz w:val="26"/>
          <w:szCs w:val="26"/>
        </w:rPr>
        <w:t xml:space="preserve">en concordancia con la jurisprudencia de la Sala de Casación Laboral de la Corte Suprema de Justicia, que tales adendas </w:t>
      </w:r>
      <w:r w:rsidR="00EE2F39" w:rsidRPr="00BA53D2">
        <w:rPr>
          <w:rFonts w:ascii="Arial Narrow" w:hAnsi="Arial Narrow" w:cs="Tahoma"/>
          <w:sz w:val="26"/>
          <w:szCs w:val="26"/>
        </w:rPr>
        <w:t xml:space="preserve">se encontraban </w:t>
      </w:r>
      <w:r w:rsidRPr="00BA53D2">
        <w:rPr>
          <w:rFonts w:ascii="Arial Narrow" w:hAnsi="Arial Narrow" w:cs="Tahoma"/>
          <w:sz w:val="26"/>
          <w:szCs w:val="26"/>
        </w:rPr>
        <w:t xml:space="preserve">vigentes y eran aplicables a aquellas pensiones reconocidas en virtud del Acuerdo 049/90, sin que con la entrada en vigencia del nuevo estatuto de la seguridad social hubiesen desaparecido o perdido su vigencia. </w:t>
      </w:r>
    </w:p>
    <w:p w:rsidR="007306E0" w:rsidRPr="00BA53D2" w:rsidRDefault="007306E0" w:rsidP="00BA53D2">
      <w:pPr>
        <w:pStyle w:val="Sinespaciado"/>
        <w:spacing w:line="288" w:lineRule="auto"/>
        <w:rPr>
          <w:rFonts w:ascii="Arial Narrow" w:hAnsi="Arial Narrow"/>
          <w:sz w:val="26"/>
          <w:szCs w:val="26"/>
        </w:rPr>
      </w:pPr>
    </w:p>
    <w:p w:rsidR="00327147" w:rsidRPr="00BA53D2" w:rsidRDefault="00327147" w:rsidP="00BA53D2">
      <w:pPr>
        <w:pStyle w:val="Sinespaciado"/>
        <w:spacing w:line="288" w:lineRule="auto"/>
        <w:jc w:val="both"/>
        <w:rPr>
          <w:rFonts w:ascii="Arial Narrow" w:hAnsi="Arial Narrow" w:cs="Tahoma"/>
          <w:sz w:val="26"/>
          <w:szCs w:val="26"/>
        </w:rPr>
      </w:pPr>
      <w:r w:rsidRPr="00BA53D2">
        <w:rPr>
          <w:rFonts w:ascii="Arial Narrow" w:hAnsi="Arial Narrow"/>
          <w:sz w:val="26"/>
          <w:szCs w:val="26"/>
        </w:rPr>
        <w:tab/>
      </w:r>
      <w:r w:rsidRPr="00BA53D2">
        <w:rPr>
          <w:rFonts w:ascii="Arial Narrow" w:hAnsi="Arial Narrow" w:cs="Tahoma"/>
          <w:sz w:val="26"/>
          <w:szCs w:val="26"/>
        </w:rPr>
        <w:t xml:space="preserve">No obstante, </w:t>
      </w:r>
      <w:r w:rsidR="003857FD" w:rsidRPr="00BA53D2">
        <w:rPr>
          <w:rFonts w:ascii="Arial Narrow" w:hAnsi="Arial Narrow" w:cs="Tahoma"/>
          <w:sz w:val="26"/>
          <w:szCs w:val="26"/>
        </w:rPr>
        <w:t xml:space="preserve">en reciente sentencia SU 140 de 2019, </w:t>
      </w:r>
      <w:r w:rsidR="0013369D" w:rsidRPr="00BA53D2">
        <w:rPr>
          <w:rFonts w:ascii="Arial Narrow" w:hAnsi="Arial Narrow" w:cs="Tahoma"/>
          <w:sz w:val="26"/>
          <w:szCs w:val="26"/>
        </w:rPr>
        <w:t xml:space="preserve"> </w:t>
      </w:r>
      <w:r w:rsidRPr="00BA53D2">
        <w:rPr>
          <w:rFonts w:ascii="Arial Narrow" w:hAnsi="Arial Narrow" w:cs="Tahoma"/>
          <w:sz w:val="26"/>
          <w:szCs w:val="26"/>
        </w:rPr>
        <w:t xml:space="preserve">cambió radicalmente su postura en torno a la vigencia de los incrementos pensionales por personas </w:t>
      </w:r>
      <w:r w:rsidR="007F3247" w:rsidRPr="00BA53D2">
        <w:rPr>
          <w:rFonts w:ascii="Arial Narrow" w:hAnsi="Arial Narrow" w:cs="Tahoma"/>
          <w:sz w:val="26"/>
          <w:szCs w:val="26"/>
        </w:rPr>
        <w:t>a cargo</w:t>
      </w:r>
      <w:r w:rsidRPr="00BA53D2">
        <w:rPr>
          <w:rFonts w:ascii="Arial Narrow" w:hAnsi="Arial Narrow" w:cs="Tahoma"/>
          <w:sz w:val="26"/>
          <w:szCs w:val="26"/>
        </w:rPr>
        <w:t xml:space="preserve">, para concluir que estos quedaron derogados orgánicamente </w:t>
      </w:r>
      <w:r w:rsidR="0013369D" w:rsidRPr="00BA53D2">
        <w:rPr>
          <w:rFonts w:ascii="Arial Narrow" w:hAnsi="Arial Narrow" w:cs="Tahoma"/>
          <w:sz w:val="26"/>
          <w:szCs w:val="26"/>
        </w:rPr>
        <w:t xml:space="preserve">con la promulgación </w:t>
      </w:r>
      <w:r w:rsidRPr="00BA53D2">
        <w:rPr>
          <w:rFonts w:ascii="Arial Narrow" w:hAnsi="Arial Narrow" w:cs="Tahoma"/>
          <w:sz w:val="26"/>
          <w:szCs w:val="26"/>
        </w:rPr>
        <w:t xml:space="preserve">de la Ley 100/93, dado que el legislador abolió los regímenes pensionales existentes para ese momento, dentro del cual cohabitaban los referidos incrementos, y los integró en uno sólo de carácter </w:t>
      </w:r>
      <w:r w:rsidR="00830F3E" w:rsidRPr="00BA53D2">
        <w:rPr>
          <w:rFonts w:ascii="Arial Narrow" w:hAnsi="Arial Narrow" w:cs="Tahoma"/>
          <w:sz w:val="26"/>
          <w:szCs w:val="26"/>
        </w:rPr>
        <w:t>general</w:t>
      </w:r>
      <w:r w:rsidR="0091551B" w:rsidRPr="00BA53D2">
        <w:rPr>
          <w:rFonts w:ascii="Arial Narrow" w:hAnsi="Arial Narrow" w:cs="Tahoma"/>
          <w:sz w:val="26"/>
          <w:szCs w:val="26"/>
        </w:rPr>
        <w:t xml:space="preserve">. </w:t>
      </w:r>
      <w:r w:rsidRPr="00BA53D2">
        <w:rPr>
          <w:rFonts w:ascii="Arial Narrow" w:hAnsi="Arial Narrow" w:cs="Tahoma"/>
          <w:sz w:val="26"/>
          <w:szCs w:val="26"/>
        </w:rPr>
        <w:t xml:space="preserve">Lo anterior, sin perjuicio de los derechos adquiridos de </w:t>
      </w:r>
      <w:r w:rsidR="0013369D" w:rsidRPr="00BA53D2">
        <w:rPr>
          <w:rFonts w:ascii="Arial Narrow" w:hAnsi="Arial Narrow" w:cs="Tahoma"/>
          <w:sz w:val="26"/>
          <w:szCs w:val="26"/>
        </w:rPr>
        <w:t>los</w:t>
      </w:r>
      <w:r w:rsidR="002172E2" w:rsidRPr="00BA53D2">
        <w:rPr>
          <w:rFonts w:ascii="Arial Narrow" w:hAnsi="Arial Narrow" w:cs="Tahoma"/>
          <w:sz w:val="26"/>
          <w:szCs w:val="26"/>
        </w:rPr>
        <w:t xml:space="preserve"> </w:t>
      </w:r>
      <w:r w:rsidRPr="00BA53D2">
        <w:rPr>
          <w:rFonts w:ascii="Arial Narrow" w:hAnsi="Arial Narrow" w:cs="Tahoma"/>
          <w:sz w:val="26"/>
          <w:szCs w:val="26"/>
        </w:rPr>
        <w:t xml:space="preserve">pensionados que habían logrado </w:t>
      </w:r>
      <w:r w:rsidR="00830F3E" w:rsidRPr="00BA53D2">
        <w:rPr>
          <w:rFonts w:ascii="Arial Narrow" w:hAnsi="Arial Narrow" w:cs="Tahoma"/>
          <w:sz w:val="26"/>
          <w:szCs w:val="26"/>
        </w:rPr>
        <w:t>tal</w:t>
      </w:r>
      <w:r w:rsidRPr="00BA53D2">
        <w:rPr>
          <w:rFonts w:ascii="Arial Narrow" w:hAnsi="Arial Narrow" w:cs="Tahoma"/>
          <w:sz w:val="26"/>
          <w:szCs w:val="26"/>
        </w:rPr>
        <w:t xml:space="preserve"> beneficio</w:t>
      </w:r>
      <w:r w:rsidR="0091551B" w:rsidRPr="00BA53D2">
        <w:rPr>
          <w:rFonts w:ascii="Arial Narrow" w:hAnsi="Arial Narrow" w:cs="Tahoma"/>
          <w:sz w:val="26"/>
          <w:szCs w:val="26"/>
        </w:rPr>
        <w:t xml:space="preserve"> </w:t>
      </w:r>
      <w:r w:rsidRPr="00BA53D2">
        <w:rPr>
          <w:rFonts w:ascii="Arial Narrow" w:hAnsi="Arial Narrow" w:cs="Tahoma"/>
          <w:sz w:val="26"/>
          <w:szCs w:val="26"/>
        </w:rPr>
        <w:t xml:space="preserve">con anterioridad a la </w:t>
      </w:r>
      <w:r w:rsidR="0013369D" w:rsidRPr="00BA53D2">
        <w:rPr>
          <w:rFonts w:ascii="Arial Narrow" w:hAnsi="Arial Narrow" w:cs="Tahoma"/>
          <w:sz w:val="26"/>
          <w:szCs w:val="26"/>
        </w:rPr>
        <w:t>expedición</w:t>
      </w:r>
      <w:r w:rsidRPr="00BA53D2">
        <w:rPr>
          <w:rFonts w:ascii="Arial Narrow" w:hAnsi="Arial Narrow" w:cs="Tahoma"/>
          <w:sz w:val="26"/>
          <w:szCs w:val="26"/>
        </w:rPr>
        <w:t xml:space="preserve"> de la referida</w:t>
      </w:r>
      <w:r w:rsidR="0091551B" w:rsidRPr="00BA53D2">
        <w:rPr>
          <w:rFonts w:ascii="Arial Narrow" w:hAnsi="Arial Narrow" w:cs="Tahoma"/>
          <w:sz w:val="26"/>
          <w:szCs w:val="26"/>
        </w:rPr>
        <w:t xml:space="preserve"> Ley 100/93, y mantenían </w:t>
      </w:r>
      <w:r w:rsidR="002172E2" w:rsidRPr="00BA53D2">
        <w:rPr>
          <w:rFonts w:ascii="Arial Narrow" w:hAnsi="Arial Narrow" w:cs="Tahoma"/>
          <w:sz w:val="26"/>
          <w:szCs w:val="26"/>
        </w:rPr>
        <w:t xml:space="preserve">las condiciones </w:t>
      </w:r>
      <w:r w:rsidR="0013369D" w:rsidRPr="00BA53D2">
        <w:rPr>
          <w:rFonts w:ascii="Arial Narrow" w:hAnsi="Arial Narrow" w:cs="Tahoma"/>
          <w:sz w:val="26"/>
          <w:szCs w:val="26"/>
        </w:rPr>
        <w:t xml:space="preserve">que les dieron origen. </w:t>
      </w:r>
    </w:p>
    <w:p w:rsidR="00327147" w:rsidRPr="00BA53D2" w:rsidRDefault="00327147" w:rsidP="00BA53D2">
      <w:pPr>
        <w:pStyle w:val="Sinespaciado"/>
        <w:spacing w:line="288" w:lineRule="auto"/>
        <w:rPr>
          <w:rFonts w:ascii="Arial Narrow" w:hAnsi="Arial Narrow"/>
          <w:sz w:val="26"/>
          <w:szCs w:val="26"/>
        </w:rPr>
      </w:pPr>
    </w:p>
    <w:p w:rsidR="0091551B" w:rsidRPr="00BA53D2" w:rsidRDefault="0091551B" w:rsidP="00BA53D2">
      <w:pPr>
        <w:widowControl w:val="0"/>
        <w:autoSpaceDE w:val="0"/>
        <w:autoSpaceDN w:val="0"/>
        <w:adjustRightInd w:val="0"/>
        <w:spacing w:line="288" w:lineRule="auto"/>
        <w:ind w:firstLine="708"/>
        <w:jc w:val="both"/>
        <w:rPr>
          <w:rFonts w:ascii="Arial Narrow" w:hAnsi="Arial Narrow" w:cs="Tahoma"/>
          <w:sz w:val="26"/>
          <w:szCs w:val="26"/>
        </w:rPr>
      </w:pPr>
      <w:r w:rsidRPr="00BA53D2">
        <w:rPr>
          <w:rFonts w:ascii="Arial Narrow" w:hAnsi="Arial Narrow" w:cs="Tahoma"/>
          <w:sz w:val="26"/>
          <w:szCs w:val="26"/>
        </w:rPr>
        <w:t xml:space="preserve">Explicó </w:t>
      </w:r>
      <w:r w:rsidR="002172E2" w:rsidRPr="00BA53D2">
        <w:rPr>
          <w:rFonts w:ascii="Arial Narrow" w:hAnsi="Arial Narrow" w:cs="Tahoma"/>
          <w:sz w:val="26"/>
          <w:szCs w:val="26"/>
        </w:rPr>
        <w:t>además</w:t>
      </w:r>
      <w:r w:rsidR="0013369D" w:rsidRPr="00BA53D2">
        <w:rPr>
          <w:rFonts w:ascii="Arial Narrow" w:hAnsi="Arial Narrow" w:cs="Tahoma"/>
          <w:sz w:val="26"/>
          <w:szCs w:val="26"/>
        </w:rPr>
        <w:t xml:space="preserve"> esa Corporación</w:t>
      </w:r>
      <w:r w:rsidR="002172E2" w:rsidRPr="00BA53D2">
        <w:rPr>
          <w:rFonts w:ascii="Arial Narrow" w:hAnsi="Arial Narrow" w:cs="Tahoma"/>
          <w:sz w:val="26"/>
          <w:szCs w:val="26"/>
        </w:rPr>
        <w:t xml:space="preserve"> </w:t>
      </w:r>
      <w:r w:rsidRPr="00BA53D2">
        <w:rPr>
          <w:rFonts w:ascii="Arial Narrow" w:hAnsi="Arial Narrow" w:cs="Tahoma"/>
          <w:sz w:val="26"/>
          <w:szCs w:val="26"/>
        </w:rPr>
        <w:t xml:space="preserve">que </w:t>
      </w:r>
      <w:r w:rsidR="0013369D" w:rsidRPr="00BA53D2">
        <w:rPr>
          <w:rFonts w:ascii="Arial Narrow" w:hAnsi="Arial Narrow" w:cs="Tahoma"/>
          <w:sz w:val="26"/>
          <w:szCs w:val="26"/>
        </w:rPr>
        <w:t xml:space="preserve">el nuevo estatuto </w:t>
      </w:r>
      <w:r w:rsidRPr="00BA53D2">
        <w:rPr>
          <w:rFonts w:ascii="Arial Narrow" w:hAnsi="Arial Narrow" w:cs="Tahoma"/>
          <w:sz w:val="26"/>
          <w:szCs w:val="26"/>
        </w:rPr>
        <w:t xml:space="preserve">previó un régimen de transición para la protección de expectativas legítimas, ordenando la subsistencia de los regímenes pensionales pero únicamente </w:t>
      </w:r>
      <w:r w:rsidR="0013369D" w:rsidRPr="00BA53D2">
        <w:rPr>
          <w:rFonts w:ascii="Arial Narrow" w:hAnsi="Arial Narrow" w:cs="Tahoma"/>
          <w:sz w:val="26"/>
          <w:szCs w:val="26"/>
        </w:rPr>
        <w:t xml:space="preserve">respecto a tres </w:t>
      </w:r>
      <w:r w:rsidRPr="00BA53D2">
        <w:rPr>
          <w:rFonts w:ascii="Arial Narrow" w:hAnsi="Arial Narrow" w:cs="Tahoma"/>
          <w:sz w:val="26"/>
          <w:szCs w:val="26"/>
        </w:rPr>
        <w:t xml:space="preserve">asuntos específicos: la edad, el tiempo de servicios </w:t>
      </w:r>
      <w:r w:rsidRPr="00BA53D2">
        <w:rPr>
          <w:rFonts w:ascii="Arial Narrow" w:hAnsi="Arial Narrow" w:cs="Tahoma"/>
          <w:sz w:val="26"/>
          <w:szCs w:val="26"/>
        </w:rPr>
        <w:lastRenderedPageBreak/>
        <w:t xml:space="preserve">y el monto de la pensión, previendo que todos los demás aspectos estarían regidos por la nueva normatividad.  </w:t>
      </w:r>
      <w:r w:rsidR="0013369D" w:rsidRPr="00BA53D2">
        <w:rPr>
          <w:rFonts w:ascii="Arial Narrow" w:hAnsi="Arial Narrow" w:cs="Tahoma"/>
          <w:sz w:val="26"/>
          <w:szCs w:val="26"/>
        </w:rPr>
        <w:t xml:space="preserve">Al respecto precisó: </w:t>
      </w:r>
    </w:p>
    <w:p w:rsidR="003857FD" w:rsidRPr="00BA53D2" w:rsidRDefault="003857FD" w:rsidP="00BA53D2">
      <w:pPr>
        <w:pStyle w:val="Sinespaciado"/>
        <w:spacing w:line="288" w:lineRule="auto"/>
        <w:rPr>
          <w:rFonts w:ascii="Arial Narrow" w:hAnsi="Arial Narrow"/>
          <w:sz w:val="26"/>
          <w:szCs w:val="26"/>
        </w:rPr>
      </w:pPr>
    </w:p>
    <w:p w:rsidR="0013369D" w:rsidRPr="00BA53D2" w:rsidRDefault="0013369D" w:rsidP="00BA53D2">
      <w:pPr>
        <w:widowControl w:val="0"/>
        <w:autoSpaceDE w:val="0"/>
        <w:autoSpaceDN w:val="0"/>
        <w:adjustRightInd w:val="0"/>
        <w:ind w:left="426" w:right="418" w:firstLine="708"/>
        <w:jc w:val="both"/>
        <w:rPr>
          <w:rFonts w:ascii="Arial Narrow" w:hAnsi="Arial Narrow" w:cs="Tahoma"/>
          <w:i/>
          <w:szCs w:val="26"/>
        </w:rPr>
      </w:pPr>
      <w:r w:rsidRPr="00BA53D2">
        <w:rPr>
          <w:rFonts w:ascii="Arial Narrow" w:hAnsi="Arial Narrow"/>
          <w:b/>
          <w:bCs/>
          <w:szCs w:val="26"/>
          <w:bdr w:val="none" w:sz="0" w:space="0" w:color="auto" w:frame="1"/>
        </w:rPr>
        <w:t> “</w:t>
      </w:r>
      <w:r w:rsidRPr="00BA53D2">
        <w:rPr>
          <w:rFonts w:ascii="Arial Narrow" w:hAnsi="Arial Narrow"/>
          <w:i/>
          <w:szCs w:val="26"/>
          <w:bdr w:val="none" w:sz="0" w:space="0" w:color="auto" w:frame="1"/>
          <w:shd w:val="clear" w:color="auto" w:fill="FFFFFF"/>
        </w:rPr>
        <w:t>En suma, si cupiere duda sobre la derogatoria orgánica que, por virtud de la expedición de la Ley 100, sufrieron los incrementos que en su momento previó el artículo 21 del Decreto 758 de 1990, tal derogatoria se encontraría confirmada con la consagración de un régimen de transición que se diseñó para proteger las expectativas legítimas exclusivamente respecto del </w:t>
      </w:r>
      <w:r w:rsidRPr="00BA53D2">
        <w:rPr>
          <w:rFonts w:ascii="Arial Narrow" w:hAnsi="Arial Narrow"/>
          <w:b/>
          <w:bCs/>
          <w:i/>
          <w:szCs w:val="26"/>
          <w:bdr w:val="none" w:sz="0" w:space="0" w:color="auto" w:frame="1"/>
        </w:rPr>
        <w:t>derecho a la pensión</w:t>
      </w:r>
      <w:r w:rsidRPr="00BA53D2">
        <w:rPr>
          <w:rFonts w:ascii="Arial Narrow" w:hAnsi="Arial Narrow"/>
          <w:i/>
          <w:szCs w:val="26"/>
          <w:bdr w:val="none" w:sz="0" w:space="0" w:color="auto" w:frame="1"/>
          <w:shd w:val="clear" w:color="auto" w:fill="FFFFFF"/>
        </w:rPr>
        <w:t>, pero que no llegó a extenderse a derechos extra pensionales accesorios de dicha pensión, más aún cuando –como sucede con los incrementos que prevé el artículo 21 del Decreto 758 de 1990 no fueron dotados de una naturaleza pensional por expresa disposición del subsiguiente artículo 22 </w:t>
      </w:r>
      <w:proofErr w:type="spellStart"/>
      <w:r w:rsidRPr="00BA53D2">
        <w:rPr>
          <w:rFonts w:ascii="Arial Narrow" w:hAnsi="Arial Narrow"/>
          <w:i/>
          <w:iCs/>
          <w:szCs w:val="26"/>
          <w:bdr w:val="none" w:sz="0" w:space="0" w:color="auto" w:frame="1"/>
        </w:rPr>
        <w:t>ibíd</w:t>
      </w:r>
      <w:proofErr w:type="spellEnd"/>
      <w:r w:rsidRPr="00BA53D2">
        <w:rPr>
          <w:rFonts w:ascii="Arial Narrow" w:hAnsi="Arial Narrow"/>
          <w:i/>
          <w:iCs/>
          <w:szCs w:val="26"/>
          <w:bdr w:val="none" w:sz="0" w:space="0" w:color="auto" w:frame="1"/>
        </w:rPr>
        <w:t>”</w:t>
      </w:r>
      <w:r w:rsidRPr="00BA53D2">
        <w:rPr>
          <w:rFonts w:ascii="Arial Narrow" w:hAnsi="Arial Narrow"/>
          <w:i/>
          <w:szCs w:val="26"/>
          <w:bdr w:val="none" w:sz="0" w:space="0" w:color="auto" w:frame="1"/>
          <w:shd w:val="clear" w:color="auto" w:fill="FFFFFF"/>
        </w:rPr>
        <w:t>.</w:t>
      </w:r>
    </w:p>
    <w:p w:rsidR="0013369D" w:rsidRPr="00BA53D2" w:rsidRDefault="0013369D" w:rsidP="00BA53D2">
      <w:pPr>
        <w:pStyle w:val="Sinespaciado"/>
        <w:spacing w:line="288" w:lineRule="auto"/>
        <w:rPr>
          <w:rFonts w:ascii="Arial Narrow" w:hAnsi="Arial Narrow"/>
          <w:sz w:val="26"/>
          <w:szCs w:val="26"/>
        </w:rPr>
      </w:pPr>
    </w:p>
    <w:p w:rsidR="00580E97" w:rsidRPr="00BA53D2" w:rsidRDefault="00580E97" w:rsidP="00BA53D2">
      <w:pPr>
        <w:widowControl w:val="0"/>
        <w:autoSpaceDE w:val="0"/>
        <w:autoSpaceDN w:val="0"/>
        <w:adjustRightInd w:val="0"/>
        <w:spacing w:line="288" w:lineRule="auto"/>
        <w:ind w:firstLine="708"/>
        <w:jc w:val="both"/>
        <w:rPr>
          <w:rFonts w:ascii="Arial Narrow" w:hAnsi="Arial Narrow"/>
          <w:i/>
          <w:sz w:val="26"/>
          <w:szCs w:val="26"/>
          <w:bdr w:val="none" w:sz="0" w:space="0" w:color="auto" w:frame="1"/>
          <w:shd w:val="clear" w:color="auto" w:fill="FFFFFF"/>
        </w:rPr>
      </w:pPr>
      <w:r w:rsidRPr="00BA53D2">
        <w:rPr>
          <w:rFonts w:ascii="Arial Narrow" w:hAnsi="Arial Narrow" w:cs="Tahoma"/>
          <w:sz w:val="26"/>
          <w:szCs w:val="26"/>
        </w:rPr>
        <w:t xml:space="preserve">De otra parte, consideró que </w:t>
      </w:r>
      <w:r w:rsidR="00B4304D" w:rsidRPr="00BA53D2">
        <w:rPr>
          <w:rFonts w:ascii="Arial Narrow" w:hAnsi="Arial Narrow" w:cs="Tahoma"/>
          <w:sz w:val="26"/>
          <w:szCs w:val="26"/>
        </w:rPr>
        <w:t xml:space="preserve">el eventual derecho a los incrementos pensionales por persona a cargo no puede entenderse como parte integrante del </w:t>
      </w:r>
      <w:r w:rsidR="00192B57" w:rsidRPr="00BA53D2">
        <w:rPr>
          <w:rFonts w:ascii="Arial Narrow" w:hAnsi="Arial Narrow" w:cs="Tahoma"/>
          <w:sz w:val="26"/>
          <w:szCs w:val="26"/>
        </w:rPr>
        <w:t>derecho</w:t>
      </w:r>
      <w:r w:rsidR="00B4304D" w:rsidRPr="00BA53D2">
        <w:rPr>
          <w:rFonts w:ascii="Arial Narrow" w:hAnsi="Arial Narrow" w:cs="Tahoma"/>
          <w:sz w:val="26"/>
          <w:szCs w:val="26"/>
        </w:rPr>
        <w:t xml:space="preserve"> fundamental a la seguridad social, toda vez que: “</w:t>
      </w:r>
      <w:r w:rsidRPr="00BA53D2">
        <w:rPr>
          <w:rFonts w:ascii="Arial Narrow" w:hAnsi="Arial Narrow"/>
          <w:i/>
          <w:szCs w:val="26"/>
          <w:bdr w:val="none" w:sz="0" w:space="0" w:color="auto" w:frame="1"/>
        </w:rPr>
        <w:t>no está relacionado con la dignidad de persona alguna y, por ende, debe ceder ante la necesidad de garantizar la sostenibilidad financiera del sistema pensional en tanto que es mediante ésta que el Estado puede sostener una política diseñada para permitir que otras personas accedan a la posibilidad de tener </w:t>
      </w:r>
      <w:r w:rsidR="00EA359B" w:rsidRPr="00BA53D2">
        <w:rPr>
          <w:rFonts w:ascii="Arial Narrow" w:hAnsi="Arial Narrow"/>
          <w:i/>
          <w:szCs w:val="26"/>
          <w:bdr w:val="none" w:sz="0" w:space="0" w:color="auto" w:frame="1"/>
          <w:shd w:val="clear" w:color="auto" w:fill="FFFFFF"/>
        </w:rPr>
        <w:t>una vida digna</w:t>
      </w:r>
      <w:r w:rsidR="00B4304D" w:rsidRPr="00BA53D2">
        <w:rPr>
          <w:rFonts w:ascii="Arial Narrow" w:hAnsi="Arial Narrow"/>
          <w:i/>
          <w:sz w:val="26"/>
          <w:szCs w:val="26"/>
          <w:bdr w:val="none" w:sz="0" w:space="0" w:color="auto" w:frame="1"/>
          <w:shd w:val="clear" w:color="auto" w:fill="FFFFFF"/>
        </w:rPr>
        <w:t>”.</w:t>
      </w:r>
    </w:p>
    <w:p w:rsidR="00B4304D" w:rsidRPr="00BA53D2" w:rsidRDefault="00B4304D" w:rsidP="00BA53D2">
      <w:pPr>
        <w:pStyle w:val="Sinespaciado"/>
        <w:spacing w:line="288" w:lineRule="auto"/>
        <w:rPr>
          <w:rFonts w:ascii="Arial Narrow" w:hAnsi="Arial Narrow"/>
          <w:sz w:val="26"/>
          <w:szCs w:val="26"/>
        </w:rPr>
      </w:pPr>
    </w:p>
    <w:p w:rsidR="00DB1E28" w:rsidRPr="00BA53D2" w:rsidRDefault="00BC0C26" w:rsidP="00BA53D2">
      <w:pPr>
        <w:widowControl w:val="0"/>
        <w:autoSpaceDE w:val="0"/>
        <w:autoSpaceDN w:val="0"/>
        <w:adjustRightInd w:val="0"/>
        <w:spacing w:line="288" w:lineRule="auto"/>
        <w:ind w:firstLine="708"/>
        <w:jc w:val="both"/>
        <w:rPr>
          <w:rFonts w:ascii="Arial Narrow" w:hAnsi="Arial Narrow" w:cs="Arial"/>
          <w:bCs/>
          <w:sz w:val="26"/>
          <w:szCs w:val="26"/>
        </w:rPr>
      </w:pPr>
      <w:r w:rsidRPr="00BA53D2">
        <w:rPr>
          <w:rFonts w:ascii="Arial Narrow" w:hAnsi="Arial Narrow" w:cs="Arial"/>
          <w:bCs/>
          <w:sz w:val="26"/>
          <w:szCs w:val="26"/>
        </w:rPr>
        <w:t xml:space="preserve">Por su parte, sobre este tópico, Sala </w:t>
      </w:r>
      <w:r w:rsidR="00DB1E28" w:rsidRPr="00BA53D2">
        <w:rPr>
          <w:rFonts w:ascii="Arial Narrow" w:hAnsi="Arial Narrow" w:cs="Arial"/>
          <w:bCs/>
          <w:sz w:val="26"/>
          <w:szCs w:val="26"/>
        </w:rPr>
        <w:t xml:space="preserve">de Casación </w:t>
      </w:r>
      <w:r w:rsidRPr="00BA53D2">
        <w:rPr>
          <w:rFonts w:ascii="Arial Narrow" w:hAnsi="Arial Narrow" w:cs="Arial"/>
          <w:bCs/>
          <w:sz w:val="26"/>
          <w:szCs w:val="26"/>
        </w:rPr>
        <w:t>Laboral de la Corte Suprema de Justicia, ha mantenido el criterio</w:t>
      </w:r>
      <w:r w:rsidR="0083383C" w:rsidRPr="00BA53D2">
        <w:rPr>
          <w:rFonts w:ascii="Arial Narrow" w:hAnsi="Arial Narrow" w:cs="Arial"/>
          <w:bCs/>
          <w:sz w:val="26"/>
          <w:szCs w:val="26"/>
        </w:rPr>
        <w:t xml:space="preserve"> jurisprudencial uniforme en cuanto a que </w:t>
      </w:r>
      <w:r w:rsidRPr="00BA53D2">
        <w:rPr>
          <w:rFonts w:ascii="Arial Narrow" w:hAnsi="Arial Narrow" w:cs="Arial"/>
          <w:bCs/>
          <w:sz w:val="26"/>
          <w:szCs w:val="26"/>
        </w:rPr>
        <w:t>los incrementos pensionales por persona</w:t>
      </w:r>
      <w:r w:rsidR="00DB1E28" w:rsidRPr="00BA53D2">
        <w:rPr>
          <w:rFonts w:ascii="Arial Narrow" w:hAnsi="Arial Narrow" w:cs="Arial"/>
          <w:bCs/>
          <w:sz w:val="26"/>
          <w:szCs w:val="26"/>
        </w:rPr>
        <w:t>s</w:t>
      </w:r>
      <w:r w:rsidRPr="00BA53D2">
        <w:rPr>
          <w:rFonts w:ascii="Arial Narrow" w:hAnsi="Arial Narrow" w:cs="Arial"/>
          <w:bCs/>
          <w:sz w:val="26"/>
          <w:szCs w:val="26"/>
        </w:rPr>
        <w:t xml:space="preserve"> a cargo previstos en el artículo 21 del Acuerdo 049 de 1990, aprobado por el Decreto 758 del mismo año, </w:t>
      </w:r>
      <w:r w:rsidR="0083383C" w:rsidRPr="00BA53D2">
        <w:rPr>
          <w:rFonts w:ascii="Arial Narrow" w:hAnsi="Arial Narrow" w:cs="Arial"/>
          <w:bCs/>
          <w:sz w:val="26"/>
          <w:szCs w:val="26"/>
        </w:rPr>
        <w:t xml:space="preserve">están vigentes y proceden </w:t>
      </w:r>
      <w:r w:rsidRPr="00BA53D2">
        <w:rPr>
          <w:rFonts w:ascii="Arial Narrow" w:hAnsi="Arial Narrow" w:cs="Arial"/>
          <w:bCs/>
          <w:sz w:val="26"/>
          <w:szCs w:val="26"/>
        </w:rPr>
        <w:t xml:space="preserve">para quienes les fue reconocida la pensión de vejez regulada en el artículo 12 </w:t>
      </w:r>
      <w:r w:rsidR="0083383C" w:rsidRPr="00BA53D2">
        <w:rPr>
          <w:rFonts w:ascii="Arial Narrow" w:hAnsi="Arial Narrow" w:cs="Arial"/>
          <w:bCs/>
          <w:sz w:val="26"/>
          <w:szCs w:val="26"/>
        </w:rPr>
        <w:t>ibídem,</w:t>
      </w:r>
      <w:r w:rsidRPr="00BA53D2">
        <w:rPr>
          <w:rFonts w:ascii="Arial Narrow" w:hAnsi="Arial Narrow" w:cs="Arial"/>
          <w:bCs/>
          <w:sz w:val="26"/>
          <w:szCs w:val="26"/>
        </w:rPr>
        <w:t xml:space="preserve"> incluso después de la promulgación de la Ley 100 de 1993, bien por derecho propio o por aplicación del régimen de transición consagrado en el artículo 36 de ésta ley</w:t>
      </w:r>
      <w:r w:rsidR="00DB1E28" w:rsidRPr="00BA53D2">
        <w:rPr>
          <w:rFonts w:ascii="Arial Narrow" w:hAnsi="Arial Narrow" w:cs="Arial"/>
          <w:bCs/>
          <w:sz w:val="26"/>
          <w:szCs w:val="26"/>
        </w:rPr>
        <w:t>.</w:t>
      </w:r>
      <w:r w:rsidRPr="00BA53D2">
        <w:rPr>
          <w:rFonts w:ascii="Arial Narrow" w:hAnsi="Arial Narrow" w:cs="Arial"/>
          <w:bCs/>
          <w:sz w:val="26"/>
          <w:szCs w:val="26"/>
        </w:rPr>
        <w:t xml:space="preserve"> </w:t>
      </w:r>
    </w:p>
    <w:p w:rsidR="00DB1E28" w:rsidRPr="00BA53D2" w:rsidRDefault="00DB1E28" w:rsidP="00BA53D2">
      <w:pPr>
        <w:pStyle w:val="Sinespaciado"/>
        <w:spacing w:line="288" w:lineRule="auto"/>
        <w:rPr>
          <w:rFonts w:ascii="Arial Narrow" w:hAnsi="Arial Narrow"/>
          <w:sz w:val="26"/>
          <w:szCs w:val="26"/>
        </w:rPr>
      </w:pPr>
    </w:p>
    <w:p w:rsidR="00BC0C26" w:rsidRPr="00BA53D2" w:rsidRDefault="00BC0C26" w:rsidP="00BA53D2">
      <w:pPr>
        <w:widowControl w:val="0"/>
        <w:autoSpaceDE w:val="0"/>
        <w:autoSpaceDN w:val="0"/>
        <w:adjustRightInd w:val="0"/>
        <w:spacing w:line="288" w:lineRule="auto"/>
        <w:ind w:firstLine="708"/>
        <w:jc w:val="both"/>
        <w:rPr>
          <w:rFonts w:ascii="Arial Narrow" w:hAnsi="Arial Narrow" w:cs="Arial"/>
          <w:bCs/>
          <w:sz w:val="26"/>
          <w:szCs w:val="26"/>
        </w:rPr>
      </w:pPr>
      <w:r w:rsidRPr="00BA53D2">
        <w:rPr>
          <w:rFonts w:ascii="Arial Narrow" w:hAnsi="Arial Narrow" w:cs="Arial"/>
          <w:sz w:val="26"/>
          <w:szCs w:val="26"/>
        </w:rPr>
        <w:t xml:space="preserve">Tal línea </w:t>
      </w:r>
      <w:r w:rsidR="0083383C" w:rsidRPr="00BA53D2">
        <w:rPr>
          <w:rFonts w:ascii="Arial Narrow" w:hAnsi="Arial Narrow" w:cs="Arial"/>
          <w:sz w:val="26"/>
          <w:szCs w:val="26"/>
        </w:rPr>
        <w:t xml:space="preserve">jurisprudencial fue adoptada </w:t>
      </w:r>
      <w:r w:rsidR="00D479BE" w:rsidRPr="00BA53D2">
        <w:rPr>
          <w:rFonts w:ascii="Arial Narrow" w:hAnsi="Arial Narrow" w:cs="Arial"/>
          <w:sz w:val="26"/>
          <w:szCs w:val="26"/>
        </w:rPr>
        <w:t xml:space="preserve"> desde </w:t>
      </w:r>
      <w:r w:rsidRPr="00BA53D2">
        <w:rPr>
          <w:rFonts w:ascii="Arial Narrow" w:hAnsi="Arial Narrow" w:cs="Arial"/>
          <w:sz w:val="26"/>
          <w:szCs w:val="26"/>
        </w:rPr>
        <w:t xml:space="preserve">la sentencia con radicación 21517 del </w:t>
      </w:r>
      <w:r w:rsidRPr="00BA53D2">
        <w:rPr>
          <w:rFonts w:ascii="Arial Narrow" w:hAnsi="Arial Narrow" w:cs="Arial"/>
          <w:bCs/>
          <w:sz w:val="26"/>
          <w:szCs w:val="26"/>
        </w:rPr>
        <w:t>27 de julio de 2005</w:t>
      </w:r>
      <w:r w:rsidR="0083383C" w:rsidRPr="00BA53D2">
        <w:rPr>
          <w:rFonts w:ascii="Arial Narrow" w:hAnsi="Arial Narrow" w:cs="Arial"/>
          <w:bCs/>
          <w:sz w:val="26"/>
          <w:szCs w:val="26"/>
        </w:rPr>
        <w:t xml:space="preserve">, y a la fecha se mantiene incólume. </w:t>
      </w:r>
    </w:p>
    <w:p w:rsidR="00F15CB3" w:rsidRPr="00BA53D2" w:rsidRDefault="00F15CB3" w:rsidP="00BA53D2">
      <w:pPr>
        <w:pStyle w:val="Sinespaciado"/>
        <w:spacing w:line="288" w:lineRule="auto"/>
        <w:rPr>
          <w:rFonts w:ascii="Arial Narrow" w:hAnsi="Arial Narrow"/>
          <w:sz w:val="26"/>
          <w:szCs w:val="26"/>
        </w:rPr>
      </w:pPr>
    </w:p>
    <w:p w:rsidR="00AC5999" w:rsidRPr="00BA53D2" w:rsidRDefault="00843C2D" w:rsidP="00BA53D2">
      <w:pPr>
        <w:pStyle w:val="Sinespaciado"/>
        <w:spacing w:line="288" w:lineRule="auto"/>
        <w:jc w:val="both"/>
        <w:rPr>
          <w:rFonts w:ascii="Arial Narrow" w:hAnsi="Arial Narrow" w:cs="Tahoma"/>
          <w:sz w:val="26"/>
          <w:szCs w:val="26"/>
        </w:rPr>
      </w:pPr>
      <w:r w:rsidRPr="00BA53D2">
        <w:rPr>
          <w:rFonts w:ascii="Arial Narrow" w:hAnsi="Arial Narrow"/>
          <w:sz w:val="26"/>
          <w:szCs w:val="26"/>
        </w:rPr>
        <w:tab/>
      </w:r>
      <w:r w:rsidR="00AC5999" w:rsidRPr="00BA53D2">
        <w:rPr>
          <w:rFonts w:ascii="Arial Narrow" w:hAnsi="Arial Narrow" w:cs="Arial"/>
          <w:bCs/>
          <w:sz w:val="26"/>
          <w:szCs w:val="26"/>
        </w:rPr>
        <w:t xml:space="preserve">Así mismo, esa superioridad ha considerado que el </w:t>
      </w:r>
      <w:r w:rsidR="00AC5999" w:rsidRPr="00BA53D2">
        <w:rPr>
          <w:rFonts w:ascii="Arial Narrow" w:hAnsi="Arial Narrow" w:cs="Tahoma"/>
          <w:sz w:val="26"/>
          <w:szCs w:val="26"/>
        </w:rPr>
        <w:t>derecho al incremento pensional por persona a cargo es objeto de prescripción, en virtud a que tales adendas no hacen parte integrante de la pensión de invalidez o de vejez, según lo preceptúa el mismo artículo 22 del referido Acuerdo 049/90, y por tanto, no gozan de los mismos atributos que esta, entre ellos</w:t>
      </w:r>
      <w:r w:rsidR="003F3705" w:rsidRPr="00BA53D2">
        <w:rPr>
          <w:rFonts w:ascii="Arial Narrow" w:hAnsi="Arial Narrow" w:cs="Tahoma"/>
          <w:sz w:val="26"/>
          <w:szCs w:val="26"/>
        </w:rPr>
        <w:t>, el de la imprescriptibilidad.</w:t>
      </w:r>
    </w:p>
    <w:p w:rsidR="003F3705" w:rsidRPr="00BA53D2" w:rsidRDefault="003F3705" w:rsidP="00BA53D2">
      <w:pPr>
        <w:pStyle w:val="Sinespaciado"/>
        <w:spacing w:line="288" w:lineRule="auto"/>
        <w:jc w:val="both"/>
        <w:rPr>
          <w:rFonts w:ascii="Arial Narrow" w:hAnsi="Arial Narrow" w:cs="Tahoma"/>
          <w:sz w:val="26"/>
          <w:szCs w:val="26"/>
        </w:rPr>
      </w:pPr>
    </w:p>
    <w:p w:rsidR="00CA0B52" w:rsidRPr="00BA53D2" w:rsidRDefault="00AC5999" w:rsidP="00BA53D2">
      <w:pPr>
        <w:pStyle w:val="Textoindependiente"/>
        <w:spacing w:line="288" w:lineRule="auto"/>
        <w:ind w:firstLine="567"/>
        <w:rPr>
          <w:rFonts w:ascii="Arial Narrow" w:hAnsi="Arial Narrow"/>
          <w:sz w:val="26"/>
          <w:szCs w:val="26"/>
        </w:rPr>
      </w:pPr>
      <w:r w:rsidRPr="00BA53D2">
        <w:rPr>
          <w:rFonts w:ascii="Arial Narrow" w:hAnsi="Arial Narrow"/>
          <w:sz w:val="26"/>
          <w:szCs w:val="26"/>
        </w:rPr>
        <w:tab/>
        <w:t>Como se ve,</w:t>
      </w:r>
      <w:r w:rsidR="00041032" w:rsidRPr="00BA53D2">
        <w:rPr>
          <w:rFonts w:ascii="Arial Narrow" w:hAnsi="Arial Narrow"/>
          <w:sz w:val="26"/>
          <w:szCs w:val="26"/>
        </w:rPr>
        <w:t xml:space="preserve"> en la actualidad </w:t>
      </w:r>
      <w:r w:rsidRPr="00BA53D2">
        <w:rPr>
          <w:rFonts w:ascii="Arial Narrow" w:hAnsi="Arial Narrow"/>
          <w:sz w:val="26"/>
          <w:szCs w:val="26"/>
        </w:rPr>
        <w:t xml:space="preserve">existen dos posiciones divergentes en torno a la vigencia </w:t>
      </w:r>
      <w:r w:rsidR="00041032" w:rsidRPr="00BA53D2">
        <w:rPr>
          <w:rFonts w:ascii="Arial Narrow" w:hAnsi="Arial Narrow"/>
          <w:sz w:val="26"/>
          <w:szCs w:val="26"/>
        </w:rPr>
        <w:t xml:space="preserve">o no </w:t>
      </w:r>
      <w:r w:rsidRPr="00BA53D2">
        <w:rPr>
          <w:rFonts w:ascii="Arial Narrow" w:hAnsi="Arial Narrow"/>
          <w:sz w:val="26"/>
          <w:szCs w:val="26"/>
        </w:rPr>
        <w:t>de los incrementos pensionales por personas a cargo previstos en el artículo 21 de la Ley 100/93, con posterioridad a la promulgación de la Ley 100/93</w:t>
      </w:r>
      <w:r w:rsidR="00317BAA" w:rsidRPr="00BA53D2">
        <w:rPr>
          <w:rFonts w:ascii="Arial Narrow" w:hAnsi="Arial Narrow"/>
          <w:sz w:val="26"/>
          <w:szCs w:val="26"/>
        </w:rPr>
        <w:t xml:space="preserve">. Sin </w:t>
      </w:r>
      <w:r w:rsidR="00982A7E" w:rsidRPr="00BA53D2">
        <w:rPr>
          <w:rFonts w:ascii="Arial Narrow" w:hAnsi="Arial Narrow"/>
          <w:sz w:val="26"/>
          <w:szCs w:val="26"/>
        </w:rPr>
        <w:t xml:space="preserve">embargo, ha de clarificarse que este Tribunal </w:t>
      </w:r>
      <w:r w:rsidR="00CA6974" w:rsidRPr="00BA53D2">
        <w:rPr>
          <w:rFonts w:ascii="Arial Narrow" w:hAnsi="Arial Narrow"/>
          <w:sz w:val="26"/>
          <w:szCs w:val="26"/>
        </w:rPr>
        <w:t xml:space="preserve">mantiene imperante </w:t>
      </w:r>
      <w:r w:rsidR="00041032" w:rsidRPr="00BA53D2">
        <w:rPr>
          <w:rFonts w:ascii="Arial Narrow" w:hAnsi="Arial Narrow"/>
          <w:sz w:val="26"/>
          <w:szCs w:val="26"/>
        </w:rPr>
        <w:t>en este</w:t>
      </w:r>
      <w:r w:rsidR="00CA6974" w:rsidRPr="00BA53D2">
        <w:rPr>
          <w:rFonts w:ascii="Arial Narrow" w:hAnsi="Arial Narrow"/>
          <w:sz w:val="26"/>
          <w:szCs w:val="26"/>
        </w:rPr>
        <w:t xml:space="preserve"> tipo de asuntos, </w:t>
      </w:r>
      <w:r w:rsidR="00041032" w:rsidRPr="00BA53D2">
        <w:rPr>
          <w:rFonts w:ascii="Arial Narrow" w:hAnsi="Arial Narrow"/>
          <w:sz w:val="26"/>
          <w:szCs w:val="26"/>
        </w:rPr>
        <w:t>la línea jurisprudencial</w:t>
      </w:r>
      <w:r w:rsidR="00CA6974" w:rsidRPr="00BA53D2">
        <w:rPr>
          <w:rFonts w:ascii="Arial Narrow" w:hAnsi="Arial Narrow"/>
          <w:sz w:val="26"/>
          <w:szCs w:val="26"/>
        </w:rPr>
        <w:t xml:space="preserve"> que de tiempo atrás ha venido fijando </w:t>
      </w:r>
      <w:r w:rsidR="00041032" w:rsidRPr="00BA53D2">
        <w:rPr>
          <w:rFonts w:ascii="Arial Narrow" w:hAnsi="Arial Narrow"/>
          <w:sz w:val="26"/>
          <w:szCs w:val="26"/>
        </w:rPr>
        <w:t>la C</w:t>
      </w:r>
      <w:r w:rsidR="003857FD" w:rsidRPr="00BA53D2">
        <w:rPr>
          <w:rFonts w:ascii="Arial Narrow" w:hAnsi="Arial Narrow"/>
          <w:sz w:val="26"/>
          <w:szCs w:val="26"/>
        </w:rPr>
        <w:t xml:space="preserve">SJ </w:t>
      </w:r>
      <w:r w:rsidR="00CA6974" w:rsidRPr="00BA53D2">
        <w:rPr>
          <w:rFonts w:ascii="Arial Narrow" w:hAnsi="Arial Narrow"/>
          <w:sz w:val="26"/>
          <w:szCs w:val="26"/>
        </w:rPr>
        <w:t xml:space="preserve">en su Sala de Casación Laboral, </w:t>
      </w:r>
      <w:r w:rsidR="00041032" w:rsidRPr="00BA53D2">
        <w:rPr>
          <w:rFonts w:ascii="Arial Narrow" w:hAnsi="Arial Narrow"/>
          <w:sz w:val="26"/>
          <w:szCs w:val="26"/>
        </w:rPr>
        <w:t xml:space="preserve">como máximo órgano de cierre de la especialidad ordinaria, </w:t>
      </w:r>
      <w:r w:rsidR="00317BAA" w:rsidRPr="00BA53D2">
        <w:rPr>
          <w:rFonts w:ascii="Arial Narrow" w:hAnsi="Arial Narrow"/>
          <w:sz w:val="26"/>
          <w:szCs w:val="26"/>
        </w:rPr>
        <w:t xml:space="preserve">como quiera que su tesis </w:t>
      </w:r>
      <w:r w:rsidR="00982A7E" w:rsidRPr="00BA53D2">
        <w:rPr>
          <w:rFonts w:ascii="Arial Narrow" w:hAnsi="Arial Narrow"/>
          <w:sz w:val="26"/>
          <w:szCs w:val="26"/>
        </w:rPr>
        <w:t xml:space="preserve">le otorga una interpretación </w:t>
      </w:r>
      <w:r w:rsidR="00041032" w:rsidRPr="00BA53D2">
        <w:rPr>
          <w:rFonts w:ascii="Arial Narrow" w:hAnsi="Arial Narrow"/>
          <w:sz w:val="26"/>
          <w:szCs w:val="26"/>
        </w:rPr>
        <w:t>más favorable</w:t>
      </w:r>
      <w:r w:rsidR="00CA6974" w:rsidRPr="00BA53D2">
        <w:rPr>
          <w:rFonts w:ascii="Arial Narrow" w:hAnsi="Arial Narrow"/>
          <w:sz w:val="26"/>
          <w:szCs w:val="26"/>
        </w:rPr>
        <w:t xml:space="preserve"> </w:t>
      </w:r>
      <w:r w:rsidR="00843C2D" w:rsidRPr="00BA53D2">
        <w:rPr>
          <w:rFonts w:ascii="Arial Narrow" w:hAnsi="Arial Narrow"/>
          <w:sz w:val="26"/>
          <w:szCs w:val="26"/>
        </w:rPr>
        <w:t xml:space="preserve">a los intereses del </w:t>
      </w:r>
      <w:r w:rsidR="00317BAA" w:rsidRPr="00BA53D2">
        <w:rPr>
          <w:rFonts w:ascii="Arial Narrow" w:hAnsi="Arial Narrow"/>
          <w:sz w:val="26"/>
          <w:szCs w:val="26"/>
        </w:rPr>
        <w:t xml:space="preserve"> pensionado. </w:t>
      </w:r>
      <w:r w:rsidR="00843C2D" w:rsidRPr="00BA53D2">
        <w:rPr>
          <w:rFonts w:ascii="Arial Narrow" w:hAnsi="Arial Narrow"/>
          <w:sz w:val="26"/>
          <w:szCs w:val="26"/>
        </w:rPr>
        <w:t xml:space="preserve">Y se considera más acorde con el orden constitucional, toda vez que: </w:t>
      </w:r>
      <w:r w:rsidR="00003CC5" w:rsidRPr="00BA53D2">
        <w:rPr>
          <w:rFonts w:ascii="Arial Narrow" w:hAnsi="Arial Narrow"/>
          <w:sz w:val="26"/>
          <w:szCs w:val="26"/>
        </w:rPr>
        <w:t xml:space="preserve">                          </w:t>
      </w:r>
    </w:p>
    <w:p w:rsidR="00CA0B52" w:rsidRPr="00BA53D2" w:rsidRDefault="00CA0B52" w:rsidP="00BA53D2">
      <w:pPr>
        <w:pStyle w:val="Sinespaciado"/>
        <w:spacing w:line="288" w:lineRule="auto"/>
        <w:rPr>
          <w:rFonts w:ascii="Arial Narrow" w:hAnsi="Arial Narrow"/>
          <w:sz w:val="26"/>
          <w:szCs w:val="26"/>
        </w:rPr>
      </w:pPr>
    </w:p>
    <w:p w:rsidR="00192B57" w:rsidRPr="00BA53D2" w:rsidRDefault="00843C2D" w:rsidP="00BA53D2">
      <w:pPr>
        <w:pStyle w:val="Textoindependiente"/>
        <w:spacing w:line="288" w:lineRule="auto"/>
        <w:ind w:firstLine="709"/>
        <w:rPr>
          <w:rFonts w:ascii="Arial Narrow" w:hAnsi="Arial Narrow"/>
          <w:sz w:val="26"/>
          <w:szCs w:val="26"/>
        </w:rPr>
      </w:pPr>
      <w:r w:rsidRPr="00BA53D2">
        <w:rPr>
          <w:rFonts w:ascii="Arial Narrow" w:hAnsi="Arial Narrow"/>
          <w:sz w:val="26"/>
          <w:szCs w:val="26"/>
        </w:rPr>
        <w:lastRenderedPageBreak/>
        <w:t xml:space="preserve">(i) </w:t>
      </w:r>
      <w:r w:rsidR="00E935FE" w:rsidRPr="00BA53D2">
        <w:rPr>
          <w:rFonts w:ascii="Arial Narrow" w:hAnsi="Arial Narrow"/>
          <w:sz w:val="26"/>
          <w:szCs w:val="26"/>
        </w:rPr>
        <w:t>Corresponde</w:t>
      </w:r>
      <w:r w:rsidRPr="00BA53D2">
        <w:rPr>
          <w:rFonts w:ascii="Arial Narrow" w:hAnsi="Arial Narrow"/>
          <w:sz w:val="26"/>
          <w:szCs w:val="26"/>
        </w:rPr>
        <w:t xml:space="preserve"> a la interpretación más </w:t>
      </w:r>
      <w:r w:rsidR="00887F3F" w:rsidRPr="00BA53D2">
        <w:rPr>
          <w:rFonts w:ascii="Arial Narrow" w:hAnsi="Arial Narrow"/>
          <w:sz w:val="26"/>
          <w:szCs w:val="26"/>
        </w:rPr>
        <w:t xml:space="preserve">respetuosa </w:t>
      </w:r>
      <w:r w:rsidRPr="00BA53D2">
        <w:rPr>
          <w:rFonts w:ascii="Arial Narrow" w:hAnsi="Arial Narrow"/>
          <w:sz w:val="26"/>
          <w:szCs w:val="26"/>
        </w:rPr>
        <w:t>de</w:t>
      </w:r>
      <w:r w:rsidR="00887F3F" w:rsidRPr="00BA53D2">
        <w:rPr>
          <w:rFonts w:ascii="Arial Narrow" w:hAnsi="Arial Narrow"/>
          <w:sz w:val="26"/>
          <w:szCs w:val="26"/>
        </w:rPr>
        <w:t>l</w:t>
      </w:r>
      <w:r w:rsidRPr="00BA53D2">
        <w:rPr>
          <w:rFonts w:ascii="Arial Narrow" w:hAnsi="Arial Narrow"/>
          <w:sz w:val="26"/>
          <w:szCs w:val="26"/>
        </w:rPr>
        <w:t xml:space="preserve"> principio de in dubio pro operario</w:t>
      </w:r>
      <w:r w:rsidR="00887F3F" w:rsidRPr="00BA53D2">
        <w:rPr>
          <w:rFonts w:ascii="Arial Narrow" w:hAnsi="Arial Narrow"/>
          <w:sz w:val="26"/>
          <w:szCs w:val="26"/>
        </w:rPr>
        <w:t xml:space="preserve"> (art. 53 Carta Política)</w:t>
      </w:r>
      <w:r w:rsidR="00003CC5" w:rsidRPr="00BA53D2">
        <w:rPr>
          <w:rFonts w:ascii="Arial Narrow" w:hAnsi="Arial Narrow"/>
          <w:sz w:val="26"/>
          <w:szCs w:val="26"/>
        </w:rPr>
        <w:t xml:space="preserve">; </w:t>
      </w:r>
    </w:p>
    <w:p w:rsidR="00FD1466" w:rsidRPr="00BA53D2" w:rsidRDefault="00FD1466" w:rsidP="00BA53D2">
      <w:pPr>
        <w:pStyle w:val="Sinespaciado"/>
        <w:spacing w:line="288" w:lineRule="auto"/>
        <w:rPr>
          <w:rFonts w:ascii="Arial Narrow" w:hAnsi="Arial Narrow"/>
          <w:sz w:val="26"/>
          <w:szCs w:val="26"/>
        </w:rPr>
      </w:pPr>
    </w:p>
    <w:p w:rsidR="00192B57" w:rsidRPr="00BA53D2" w:rsidRDefault="00843C2D" w:rsidP="00BA53D2">
      <w:pPr>
        <w:pStyle w:val="Textoindependiente"/>
        <w:spacing w:line="288" w:lineRule="auto"/>
        <w:ind w:firstLine="709"/>
        <w:rPr>
          <w:rFonts w:ascii="Arial Narrow" w:hAnsi="Arial Narrow"/>
          <w:sz w:val="26"/>
          <w:szCs w:val="26"/>
        </w:rPr>
      </w:pPr>
      <w:r w:rsidRPr="00BA53D2">
        <w:rPr>
          <w:rFonts w:ascii="Arial Narrow" w:hAnsi="Arial Narrow"/>
          <w:sz w:val="26"/>
          <w:szCs w:val="26"/>
        </w:rPr>
        <w:t>(ii) es la postura que de tiempo atrás había</w:t>
      </w:r>
      <w:r w:rsidR="00887F3F" w:rsidRPr="00BA53D2">
        <w:rPr>
          <w:rFonts w:ascii="Arial Narrow" w:hAnsi="Arial Narrow"/>
          <w:sz w:val="26"/>
          <w:szCs w:val="26"/>
        </w:rPr>
        <w:t xml:space="preserve"> venido defendiendo </w:t>
      </w:r>
      <w:r w:rsidRPr="00BA53D2">
        <w:rPr>
          <w:rFonts w:ascii="Arial Narrow" w:hAnsi="Arial Narrow"/>
          <w:sz w:val="26"/>
          <w:szCs w:val="26"/>
        </w:rPr>
        <w:t>la Corte Constitucional, fundamentada en los derechos pensionales y de favora</w:t>
      </w:r>
      <w:r w:rsidR="00887F3F" w:rsidRPr="00BA53D2">
        <w:rPr>
          <w:rFonts w:ascii="Arial Narrow" w:hAnsi="Arial Narrow"/>
          <w:sz w:val="26"/>
          <w:szCs w:val="26"/>
        </w:rPr>
        <w:t xml:space="preserve">bilidad en materia laboral, </w:t>
      </w:r>
      <w:r w:rsidRPr="00BA53D2">
        <w:rPr>
          <w:rFonts w:ascii="Arial Narrow" w:hAnsi="Arial Narrow"/>
          <w:sz w:val="26"/>
          <w:szCs w:val="26"/>
        </w:rPr>
        <w:t>motivada a la luz de los principios de orden constitu</w:t>
      </w:r>
      <w:r w:rsidR="00192B57" w:rsidRPr="00BA53D2">
        <w:rPr>
          <w:rFonts w:ascii="Arial Narrow" w:hAnsi="Arial Narrow"/>
          <w:sz w:val="26"/>
          <w:szCs w:val="26"/>
        </w:rPr>
        <w:t xml:space="preserve">cional vigente; </w:t>
      </w:r>
    </w:p>
    <w:p w:rsidR="00FD1466" w:rsidRPr="00BA53D2" w:rsidRDefault="00FD1466" w:rsidP="00BA53D2">
      <w:pPr>
        <w:pStyle w:val="Sinespaciado"/>
        <w:spacing w:line="288" w:lineRule="auto"/>
        <w:rPr>
          <w:rFonts w:ascii="Arial Narrow" w:hAnsi="Arial Narrow"/>
          <w:sz w:val="26"/>
          <w:szCs w:val="26"/>
        </w:rPr>
      </w:pPr>
    </w:p>
    <w:p w:rsidR="00003CC5" w:rsidRPr="00BA53D2" w:rsidRDefault="00003CC5" w:rsidP="00BA53D2">
      <w:pPr>
        <w:pStyle w:val="Textoindependiente"/>
        <w:spacing w:line="288" w:lineRule="auto"/>
        <w:ind w:firstLine="709"/>
        <w:rPr>
          <w:rFonts w:ascii="Arial Narrow" w:hAnsi="Arial Narrow"/>
          <w:sz w:val="26"/>
          <w:szCs w:val="26"/>
        </w:rPr>
      </w:pPr>
      <w:r w:rsidRPr="00BA53D2">
        <w:rPr>
          <w:rFonts w:ascii="Arial Narrow" w:hAnsi="Arial Narrow"/>
          <w:sz w:val="26"/>
          <w:szCs w:val="26"/>
        </w:rPr>
        <w:t xml:space="preserve">(iii) </w:t>
      </w:r>
      <w:r w:rsidR="003527D4" w:rsidRPr="00BA53D2">
        <w:rPr>
          <w:rFonts w:ascii="Arial Narrow" w:hAnsi="Arial Narrow"/>
          <w:sz w:val="26"/>
          <w:szCs w:val="26"/>
        </w:rPr>
        <w:t xml:space="preserve">el artículo 31 de la Ley 100/93 estableció que serán aplicables al </w:t>
      </w:r>
      <w:proofErr w:type="spellStart"/>
      <w:r w:rsidR="003857FD" w:rsidRPr="00BA53D2">
        <w:rPr>
          <w:rFonts w:ascii="Arial Narrow" w:hAnsi="Arial Narrow"/>
          <w:sz w:val="26"/>
          <w:szCs w:val="26"/>
        </w:rPr>
        <w:t>RPMPD</w:t>
      </w:r>
      <w:proofErr w:type="spellEnd"/>
      <w:r w:rsidR="003857FD" w:rsidRPr="00BA53D2">
        <w:rPr>
          <w:rFonts w:ascii="Arial Narrow" w:hAnsi="Arial Narrow"/>
          <w:sz w:val="26"/>
          <w:szCs w:val="26"/>
        </w:rPr>
        <w:t xml:space="preserve"> l</w:t>
      </w:r>
      <w:r w:rsidR="003527D4" w:rsidRPr="00BA53D2">
        <w:rPr>
          <w:rFonts w:ascii="Arial Narrow" w:hAnsi="Arial Narrow"/>
          <w:sz w:val="26"/>
          <w:szCs w:val="26"/>
        </w:rPr>
        <w:t>as disposiciones vigentes para los seguros de invalidez, vejez y muerte a cargo del ISS, con las adiciones, modificacione</w:t>
      </w:r>
      <w:r w:rsidR="00FD1466" w:rsidRPr="00BA53D2">
        <w:rPr>
          <w:rFonts w:ascii="Arial Narrow" w:hAnsi="Arial Narrow"/>
          <w:sz w:val="26"/>
          <w:szCs w:val="26"/>
        </w:rPr>
        <w:t>s y excepciones allí contenidas;</w:t>
      </w:r>
    </w:p>
    <w:p w:rsidR="00FD1466" w:rsidRPr="00BA53D2" w:rsidRDefault="00FD1466" w:rsidP="00BA53D2">
      <w:pPr>
        <w:pStyle w:val="Sinespaciado"/>
        <w:spacing w:line="288" w:lineRule="auto"/>
        <w:rPr>
          <w:rFonts w:ascii="Arial Narrow" w:hAnsi="Arial Narrow"/>
          <w:sz w:val="26"/>
          <w:szCs w:val="26"/>
        </w:rPr>
      </w:pPr>
    </w:p>
    <w:p w:rsidR="00FD1466" w:rsidRPr="00BA53D2" w:rsidRDefault="00192B57" w:rsidP="00BA53D2">
      <w:pPr>
        <w:pStyle w:val="Textoindependiente"/>
        <w:spacing w:line="288" w:lineRule="auto"/>
        <w:ind w:firstLine="709"/>
        <w:rPr>
          <w:rFonts w:ascii="Arial Narrow" w:hAnsi="Arial Narrow"/>
          <w:sz w:val="26"/>
          <w:szCs w:val="26"/>
        </w:rPr>
      </w:pPr>
      <w:r w:rsidRPr="00BA53D2">
        <w:rPr>
          <w:rFonts w:ascii="Arial Narrow" w:hAnsi="Arial Narrow"/>
          <w:sz w:val="26"/>
          <w:szCs w:val="26"/>
        </w:rPr>
        <w:t xml:space="preserve">(iv) la sentencia de la Corte Constitucional </w:t>
      </w:r>
      <w:r w:rsidR="00FD1466" w:rsidRPr="00BA53D2">
        <w:rPr>
          <w:rFonts w:ascii="Arial Narrow" w:hAnsi="Arial Narrow"/>
          <w:sz w:val="26"/>
          <w:szCs w:val="26"/>
        </w:rPr>
        <w:t xml:space="preserve">de 2019 </w:t>
      </w:r>
      <w:r w:rsidRPr="00BA53D2">
        <w:rPr>
          <w:rFonts w:ascii="Arial Narrow" w:hAnsi="Arial Narrow"/>
          <w:sz w:val="26"/>
          <w:szCs w:val="26"/>
        </w:rPr>
        <w:t>sólo fij</w:t>
      </w:r>
      <w:r w:rsidR="00D479BE" w:rsidRPr="00BA53D2">
        <w:rPr>
          <w:rFonts w:ascii="Arial Narrow" w:hAnsi="Arial Narrow"/>
          <w:sz w:val="26"/>
          <w:szCs w:val="26"/>
        </w:rPr>
        <w:t>ó</w:t>
      </w:r>
      <w:r w:rsidRPr="00BA53D2">
        <w:rPr>
          <w:rFonts w:ascii="Arial Narrow" w:hAnsi="Arial Narrow"/>
          <w:sz w:val="26"/>
          <w:szCs w:val="26"/>
        </w:rPr>
        <w:t xml:space="preserve"> jurisprudencia respecto al problema jurídico planteado, y no </w:t>
      </w:r>
      <w:r w:rsidR="00D24527" w:rsidRPr="00BA53D2">
        <w:rPr>
          <w:rFonts w:ascii="Arial Narrow" w:hAnsi="Arial Narrow"/>
          <w:sz w:val="26"/>
          <w:szCs w:val="26"/>
        </w:rPr>
        <w:t xml:space="preserve">hizo </w:t>
      </w:r>
      <w:r w:rsidRPr="00BA53D2">
        <w:rPr>
          <w:rFonts w:ascii="Arial Narrow" w:hAnsi="Arial Narrow"/>
          <w:sz w:val="26"/>
          <w:szCs w:val="26"/>
        </w:rPr>
        <w:t>un juicio de constitucionalidad abstracto ni de vigencia de las leye</w:t>
      </w:r>
      <w:r w:rsidR="00FD1466" w:rsidRPr="00BA53D2">
        <w:rPr>
          <w:rFonts w:ascii="Arial Narrow" w:hAnsi="Arial Narrow"/>
          <w:sz w:val="26"/>
          <w:szCs w:val="26"/>
        </w:rPr>
        <w:t>s, que tenga efecto erga omnes;</w:t>
      </w:r>
    </w:p>
    <w:p w:rsidR="00D24527" w:rsidRPr="00BA53D2" w:rsidRDefault="00FD1466" w:rsidP="00BA53D2">
      <w:pPr>
        <w:pStyle w:val="Sinespaciado"/>
        <w:spacing w:line="288" w:lineRule="auto"/>
        <w:rPr>
          <w:rFonts w:ascii="Arial Narrow" w:hAnsi="Arial Narrow"/>
          <w:sz w:val="26"/>
          <w:szCs w:val="26"/>
        </w:rPr>
      </w:pPr>
      <w:r w:rsidRPr="00BA53D2">
        <w:rPr>
          <w:rFonts w:ascii="Arial Narrow" w:hAnsi="Arial Narrow"/>
          <w:sz w:val="26"/>
          <w:szCs w:val="26"/>
        </w:rPr>
        <w:t xml:space="preserve"> </w:t>
      </w:r>
    </w:p>
    <w:p w:rsidR="00CA0B52" w:rsidRPr="00BA53D2" w:rsidRDefault="00192B57" w:rsidP="00BA53D2">
      <w:pPr>
        <w:pStyle w:val="Textoindependiente"/>
        <w:spacing w:line="288" w:lineRule="auto"/>
        <w:ind w:firstLine="851"/>
        <w:rPr>
          <w:rFonts w:ascii="Arial Narrow" w:hAnsi="Arial Narrow"/>
          <w:sz w:val="26"/>
          <w:szCs w:val="26"/>
        </w:rPr>
      </w:pPr>
      <w:r w:rsidRPr="00BA53D2">
        <w:rPr>
          <w:rFonts w:ascii="Arial Narrow" w:hAnsi="Arial Narrow"/>
          <w:sz w:val="26"/>
          <w:szCs w:val="26"/>
        </w:rPr>
        <w:t xml:space="preserve">(v) el último pronunciamiento de la Corte Constitucional </w:t>
      </w:r>
      <w:r w:rsidR="005A3BC1" w:rsidRPr="00BA53D2">
        <w:rPr>
          <w:rFonts w:ascii="Arial Narrow" w:hAnsi="Arial Narrow"/>
          <w:sz w:val="26"/>
          <w:szCs w:val="26"/>
        </w:rPr>
        <w:t xml:space="preserve">afectó la cosa juzgada de la sentencia dictada </w:t>
      </w:r>
      <w:r w:rsidR="009B55DA" w:rsidRPr="00BA53D2">
        <w:rPr>
          <w:rFonts w:ascii="Arial Narrow" w:hAnsi="Arial Narrow"/>
          <w:sz w:val="26"/>
          <w:szCs w:val="26"/>
        </w:rPr>
        <w:t xml:space="preserve">el 16 de noviembre de 2017 </w:t>
      </w:r>
      <w:r w:rsidR="005A3BC1" w:rsidRPr="00BA53D2">
        <w:rPr>
          <w:rFonts w:ascii="Arial Narrow" w:hAnsi="Arial Narrow"/>
          <w:sz w:val="26"/>
          <w:szCs w:val="26"/>
        </w:rPr>
        <w:t>por la Sección Segunda de la Sala de lo Contencioso Administrativo del Consejo de Estado</w:t>
      </w:r>
      <w:r w:rsidR="007220A7" w:rsidRPr="00BA53D2">
        <w:rPr>
          <w:rStyle w:val="Refdenotaalpie"/>
          <w:rFonts w:ascii="Arial Narrow" w:hAnsi="Arial Narrow"/>
          <w:sz w:val="26"/>
          <w:szCs w:val="26"/>
        </w:rPr>
        <w:footnoteReference w:id="1"/>
      </w:r>
      <w:r w:rsidR="005A3BC1" w:rsidRPr="00BA53D2">
        <w:rPr>
          <w:rFonts w:ascii="Arial Narrow" w:hAnsi="Arial Narrow"/>
          <w:sz w:val="26"/>
          <w:szCs w:val="26"/>
        </w:rPr>
        <w:t xml:space="preserve">, </w:t>
      </w:r>
      <w:r w:rsidR="009B55DA" w:rsidRPr="00BA53D2">
        <w:rPr>
          <w:rFonts w:ascii="Arial Narrow" w:hAnsi="Arial Narrow"/>
          <w:sz w:val="26"/>
          <w:szCs w:val="26"/>
        </w:rPr>
        <w:t>CP. Gabriel Valbuena Hernández, e</w:t>
      </w:r>
      <w:r w:rsidR="005A3BC1" w:rsidRPr="00BA53D2">
        <w:rPr>
          <w:rFonts w:ascii="Arial Narrow" w:hAnsi="Arial Narrow"/>
          <w:sz w:val="26"/>
          <w:szCs w:val="26"/>
        </w:rPr>
        <w:t>xpedida con efectos legales y en el marco de control de legalidad</w:t>
      </w:r>
      <w:r w:rsidR="009B55DA" w:rsidRPr="00BA53D2">
        <w:rPr>
          <w:rFonts w:ascii="Arial Narrow" w:hAnsi="Arial Narrow"/>
          <w:sz w:val="26"/>
          <w:szCs w:val="26"/>
        </w:rPr>
        <w:t xml:space="preserve">, en la cual se </w:t>
      </w:r>
      <w:r w:rsidR="00003CC5" w:rsidRPr="00BA53D2">
        <w:rPr>
          <w:rFonts w:ascii="Arial Narrow" w:hAnsi="Arial Narrow"/>
          <w:sz w:val="26"/>
          <w:szCs w:val="26"/>
        </w:rPr>
        <w:t xml:space="preserve">determinó que </w:t>
      </w:r>
      <w:r w:rsidR="00CA0B52" w:rsidRPr="00BA53D2">
        <w:rPr>
          <w:rFonts w:ascii="Arial Narrow" w:hAnsi="Arial Narrow"/>
          <w:sz w:val="26"/>
          <w:szCs w:val="26"/>
        </w:rPr>
        <w:t xml:space="preserve">los incrementos pensionales por persona a cargo previstos en el artículo </w:t>
      </w:r>
      <w:r w:rsidR="009B55DA" w:rsidRPr="00BA53D2">
        <w:rPr>
          <w:rFonts w:ascii="Arial Narrow" w:hAnsi="Arial Narrow"/>
          <w:sz w:val="26"/>
          <w:szCs w:val="26"/>
        </w:rPr>
        <w:t xml:space="preserve">21 del Acuerdo 049/90, </w:t>
      </w:r>
      <w:r w:rsidR="00CA0B52" w:rsidRPr="00BA53D2">
        <w:rPr>
          <w:rFonts w:ascii="Arial Narrow" w:hAnsi="Arial Narrow"/>
          <w:sz w:val="26"/>
          <w:szCs w:val="26"/>
        </w:rPr>
        <w:t xml:space="preserve">aún subsisten para los beneficiarios del régimen de transición que cumplen requisitos de dicho acuerdo para jubilarse por invalidez o vejez y con las exigencias para ser beneficiario de tales adendas respecto de sus familiares. </w:t>
      </w:r>
    </w:p>
    <w:p w:rsidR="00D479BE" w:rsidRPr="00BA53D2" w:rsidRDefault="00D479BE" w:rsidP="00BA53D2">
      <w:pPr>
        <w:pStyle w:val="Textoindependiente"/>
        <w:spacing w:line="288" w:lineRule="auto"/>
        <w:ind w:firstLine="567"/>
        <w:rPr>
          <w:rFonts w:ascii="Arial Narrow" w:hAnsi="Arial Narrow"/>
          <w:sz w:val="26"/>
          <w:szCs w:val="26"/>
        </w:rPr>
      </w:pPr>
    </w:p>
    <w:p w:rsidR="009B55DA" w:rsidRPr="00BA53D2" w:rsidRDefault="00DF7576" w:rsidP="00BA53D2">
      <w:pPr>
        <w:pStyle w:val="Textoindependiente"/>
        <w:spacing w:line="288" w:lineRule="auto"/>
        <w:ind w:firstLine="567"/>
        <w:rPr>
          <w:rFonts w:ascii="Arial Narrow" w:hAnsi="Arial Narrow"/>
          <w:sz w:val="26"/>
          <w:szCs w:val="26"/>
        </w:rPr>
      </w:pPr>
      <w:r w:rsidRPr="00BA53D2">
        <w:rPr>
          <w:rFonts w:ascii="Arial Narrow" w:hAnsi="Arial Narrow"/>
          <w:sz w:val="26"/>
          <w:szCs w:val="26"/>
        </w:rPr>
        <w:t xml:space="preserve">En tal providencia, esa Corporación consideró </w:t>
      </w:r>
      <w:r w:rsidR="009B55DA" w:rsidRPr="00BA53D2">
        <w:rPr>
          <w:rFonts w:ascii="Arial Narrow" w:hAnsi="Arial Narrow"/>
          <w:sz w:val="26"/>
          <w:szCs w:val="26"/>
        </w:rPr>
        <w:t xml:space="preserve">que la Ley 100/93 estableció </w:t>
      </w:r>
      <w:r w:rsidR="00FD1466" w:rsidRPr="00BA53D2">
        <w:rPr>
          <w:rFonts w:ascii="Arial Narrow" w:hAnsi="Arial Narrow"/>
          <w:sz w:val="26"/>
          <w:szCs w:val="26"/>
        </w:rPr>
        <w:t xml:space="preserve">por primera vez </w:t>
      </w:r>
      <w:r w:rsidR="009B55DA" w:rsidRPr="00BA53D2">
        <w:rPr>
          <w:rFonts w:ascii="Arial Narrow" w:hAnsi="Arial Narrow"/>
          <w:sz w:val="26"/>
          <w:szCs w:val="26"/>
        </w:rPr>
        <w:t xml:space="preserve">un nuevo sistema de seguridad social integral con el fin de unificar la normativa concerniente a las pensiones, salud y riesgos profesionales, sin regular en nada la materia concerniente a los incrementos pensionales por personas a cargo previstos en el artículo 21 del Acuerdo 049/90; máxime cuando salvaguardó los derechos adquiridos y el régimen de transición, debiendo entenderse entonces que a los jubilados por invalidez o por vejez al amparo de dicho acuerdo les asiste el derecho al reconocimiento y pago de los incrementos por familiares a cargo, siempre que se presenten esas especiales circunstancias. Por lo que concluyó que frente a los referidos incrementos, no se produjo la derogatoria orgánica. </w:t>
      </w:r>
    </w:p>
    <w:p w:rsidR="00CA0B52" w:rsidRPr="00BA53D2" w:rsidRDefault="00CA0B52" w:rsidP="00BA53D2">
      <w:pPr>
        <w:pStyle w:val="Sinespaciado"/>
        <w:spacing w:line="288" w:lineRule="auto"/>
        <w:rPr>
          <w:rFonts w:ascii="Arial Narrow" w:hAnsi="Arial Narrow"/>
          <w:sz w:val="26"/>
          <w:szCs w:val="26"/>
        </w:rPr>
      </w:pPr>
    </w:p>
    <w:p w:rsidR="00CA0B52" w:rsidRPr="00BA53D2" w:rsidRDefault="00CA0B52" w:rsidP="00BA53D2">
      <w:pPr>
        <w:pStyle w:val="Textoindependiente"/>
        <w:spacing w:line="288" w:lineRule="auto"/>
        <w:ind w:firstLine="567"/>
        <w:rPr>
          <w:rFonts w:ascii="Arial Narrow" w:hAnsi="Arial Narrow"/>
          <w:sz w:val="26"/>
          <w:szCs w:val="26"/>
          <w:lang w:val="es-CO"/>
        </w:rPr>
      </w:pPr>
      <w:r w:rsidRPr="00BA53D2">
        <w:rPr>
          <w:rFonts w:ascii="Arial Narrow" w:hAnsi="Arial Narrow"/>
          <w:sz w:val="26"/>
          <w:szCs w:val="26"/>
        </w:rPr>
        <w:t xml:space="preserve">Bajo tales planteamientos, </w:t>
      </w:r>
      <w:r w:rsidR="009B55DA" w:rsidRPr="00BA53D2">
        <w:rPr>
          <w:rFonts w:ascii="Arial Narrow" w:hAnsi="Arial Narrow"/>
          <w:sz w:val="26"/>
          <w:szCs w:val="26"/>
        </w:rPr>
        <w:t xml:space="preserve">esta Sala, se itera, </w:t>
      </w:r>
      <w:r w:rsidRPr="00BA53D2">
        <w:rPr>
          <w:rFonts w:ascii="Arial Narrow" w:hAnsi="Arial Narrow"/>
          <w:sz w:val="26"/>
          <w:szCs w:val="26"/>
        </w:rPr>
        <w:t xml:space="preserve">acoge el criterio según el cual </w:t>
      </w:r>
      <w:r w:rsidRPr="00BA53D2">
        <w:rPr>
          <w:rFonts w:ascii="Arial Narrow" w:hAnsi="Arial Narrow"/>
          <w:sz w:val="26"/>
          <w:szCs w:val="26"/>
          <w:lang w:val="es-CO"/>
        </w:rPr>
        <w:t xml:space="preserve">el incremento pensional por personas a cargo contenido en el artículo 21 del Acuerdo 049 de 1990, aún conserva vigencia con la entrada en vigor de la Ley 100 de 1993, y que su permanencia en el ordenamiento jurídico se impone no sólo para los pensionados que acceden por derecho propio a la pensión de vejez o de invalidez con base en esa normatividad, sino también a quienes lo hacen en aplicación del régimen de transición. </w:t>
      </w:r>
    </w:p>
    <w:p w:rsidR="00AF5A96" w:rsidRPr="00BA53D2" w:rsidRDefault="00AF5A96" w:rsidP="00BA53D2">
      <w:pPr>
        <w:pStyle w:val="Sinespaciado"/>
        <w:spacing w:line="288" w:lineRule="auto"/>
        <w:rPr>
          <w:rFonts w:ascii="Arial Narrow" w:hAnsi="Arial Narrow"/>
          <w:sz w:val="26"/>
          <w:szCs w:val="26"/>
        </w:rPr>
      </w:pPr>
    </w:p>
    <w:p w:rsidR="00613AD1" w:rsidRPr="00BA53D2" w:rsidRDefault="00AF5A96" w:rsidP="00BA53D2">
      <w:pPr>
        <w:pStyle w:val="Textoindependiente"/>
        <w:spacing w:line="288" w:lineRule="auto"/>
        <w:ind w:firstLine="567"/>
        <w:rPr>
          <w:rFonts w:ascii="Arial Narrow" w:hAnsi="Arial Narrow"/>
          <w:sz w:val="26"/>
          <w:szCs w:val="26"/>
        </w:rPr>
      </w:pPr>
      <w:r w:rsidRPr="00BA53D2">
        <w:rPr>
          <w:rFonts w:ascii="Arial Narrow" w:hAnsi="Arial Narrow"/>
          <w:sz w:val="26"/>
          <w:szCs w:val="26"/>
          <w:lang w:val="es-CO"/>
        </w:rPr>
        <w:t xml:space="preserve">Así mismo, </w:t>
      </w:r>
      <w:r w:rsidR="005C23F2" w:rsidRPr="00BA53D2">
        <w:rPr>
          <w:rFonts w:ascii="Arial Narrow" w:hAnsi="Arial Narrow"/>
          <w:sz w:val="26"/>
          <w:szCs w:val="26"/>
          <w:lang w:val="es-CO"/>
        </w:rPr>
        <w:t>c</w:t>
      </w:r>
      <w:r w:rsidRPr="00BA53D2">
        <w:rPr>
          <w:rFonts w:ascii="Arial Narrow" w:hAnsi="Arial Narrow"/>
          <w:sz w:val="26"/>
          <w:szCs w:val="26"/>
          <w:lang w:val="es-CO"/>
        </w:rPr>
        <w:t xml:space="preserve">onsidera que al tenor de lo preceptuado en el artículo 22 del referido acuerdo, </w:t>
      </w:r>
      <w:r w:rsidR="005C23F2" w:rsidRPr="00BA53D2">
        <w:rPr>
          <w:rFonts w:ascii="Arial Narrow" w:hAnsi="Arial Narrow"/>
          <w:sz w:val="26"/>
          <w:szCs w:val="26"/>
          <w:lang w:val="es-CO"/>
        </w:rPr>
        <w:t xml:space="preserve">tales incrementos pensionales si están sujetos a que </w:t>
      </w:r>
      <w:r w:rsidRPr="00BA53D2">
        <w:rPr>
          <w:rFonts w:ascii="Arial Narrow" w:hAnsi="Arial Narrow"/>
          <w:sz w:val="26"/>
          <w:szCs w:val="26"/>
        </w:rPr>
        <w:t>el tiempo impida su reclamación coactiva</w:t>
      </w:r>
      <w:r w:rsidR="005C23F2" w:rsidRPr="00BA53D2">
        <w:rPr>
          <w:rFonts w:ascii="Arial Narrow" w:hAnsi="Arial Narrow"/>
          <w:sz w:val="26"/>
          <w:szCs w:val="26"/>
        </w:rPr>
        <w:t>, como quiera que al no ser parte integrante del derecho pensional, naturalmente</w:t>
      </w:r>
      <w:r w:rsidR="00D479BE" w:rsidRPr="00BA53D2">
        <w:rPr>
          <w:rFonts w:ascii="Arial Narrow" w:hAnsi="Arial Narrow"/>
          <w:sz w:val="26"/>
          <w:szCs w:val="26"/>
        </w:rPr>
        <w:t xml:space="preserve">, </w:t>
      </w:r>
      <w:r w:rsidR="005C23F2" w:rsidRPr="00BA53D2">
        <w:rPr>
          <w:rFonts w:ascii="Arial Narrow" w:hAnsi="Arial Narrow"/>
          <w:sz w:val="26"/>
          <w:szCs w:val="26"/>
        </w:rPr>
        <w:t>no pueden gozar de las mismas atribuciones</w:t>
      </w:r>
      <w:r w:rsidR="00D479BE" w:rsidRPr="00BA53D2">
        <w:rPr>
          <w:rFonts w:ascii="Arial Narrow" w:hAnsi="Arial Narrow"/>
          <w:sz w:val="26"/>
          <w:szCs w:val="26"/>
        </w:rPr>
        <w:t xml:space="preserve"> que este</w:t>
      </w:r>
      <w:r w:rsidR="005C23F2" w:rsidRPr="00BA53D2">
        <w:rPr>
          <w:rFonts w:ascii="Arial Narrow" w:hAnsi="Arial Narrow"/>
          <w:sz w:val="26"/>
          <w:szCs w:val="26"/>
        </w:rPr>
        <w:t xml:space="preserve">, como el de la imprescriptibilidad, tal como lo ha considerado </w:t>
      </w:r>
      <w:r w:rsidRPr="00BA53D2">
        <w:rPr>
          <w:rFonts w:ascii="Arial Narrow" w:hAnsi="Arial Narrow"/>
          <w:sz w:val="26"/>
          <w:szCs w:val="26"/>
        </w:rPr>
        <w:t>la jurisprudencia de la Sala de Casación d</w:t>
      </w:r>
      <w:r w:rsidR="005C23F2" w:rsidRPr="00BA53D2">
        <w:rPr>
          <w:rFonts w:ascii="Arial Narrow" w:hAnsi="Arial Narrow"/>
          <w:sz w:val="26"/>
          <w:szCs w:val="26"/>
        </w:rPr>
        <w:t>e la Corte Suprema de Justicia, a la cua</w:t>
      </w:r>
      <w:bookmarkStart w:id="0" w:name="_GoBack"/>
      <w:bookmarkEnd w:id="0"/>
      <w:r w:rsidR="005C23F2" w:rsidRPr="00BA53D2">
        <w:rPr>
          <w:rFonts w:ascii="Arial Narrow" w:hAnsi="Arial Narrow"/>
          <w:sz w:val="26"/>
          <w:szCs w:val="26"/>
        </w:rPr>
        <w:t>l se hizo alusión previamente.</w:t>
      </w:r>
    </w:p>
    <w:p w:rsidR="009B55DA" w:rsidRPr="00BA53D2" w:rsidRDefault="00B04E4B" w:rsidP="00BA53D2">
      <w:pPr>
        <w:pStyle w:val="Sinespaciado"/>
        <w:tabs>
          <w:tab w:val="left" w:pos="2595"/>
        </w:tabs>
        <w:spacing w:line="288" w:lineRule="auto"/>
        <w:rPr>
          <w:rFonts w:ascii="Arial Narrow" w:hAnsi="Arial Narrow"/>
          <w:sz w:val="26"/>
          <w:szCs w:val="26"/>
        </w:rPr>
      </w:pPr>
      <w:r w:rsidRPr="00BA53D2">
        <w:rPr>
          <w:rFonts w:ascii="Arial Narrow" w:hAnsi="Arial Narrow"/>
          <w:sz w:val="26"/>
          <w:szCs w:val="26"/>
        </w:rPr>
        <w:tab/>
      </w:r>
    </w:p>
    <w:p w:rsidR="00613AD1" w:rsidRPr="00BA53D2" w:rsidRDefault="00613AD1" w:rsidP="00BA53D2">
      <w:pPr>
        <w:pStyle w:val="Textoindependiente"/>
        <w:spacing w:line="288" w:lineRule="auto"/>
        <w:ind w:firstLine="851"/>
        <w:rPr>
          <w:rFonts w:ascii="Arial Narrow" w:hAnsi="Arial Narrow"/>
          <w:sz w:val="26"/>
          <w:szCs w:val="26"/>
        </w:rPr>
      </w:pPr>
      <w:r w:rsidRPr="00BA53D2">
        <w:rPr>
          <w:rFonts w:ascii="Arial Narrow" w:hAnsi="Arial Narrow"/>
          <w:sz w:val="26"/>
          <w:szCs w:val="26"/>
        </w:rPr>
        <w:t xml:space="preserve">En el caso puntual, se tiene que al señor </w:t>
      </w:r>
      <w:r w:rsidR="00480C5A" w:rsidRPr="00BA53D2">
        <w:rPr>
          <w:rFonts w:ascii="Arial Narrow" w:hAnsi="Arial Narrow"/>
          <w:sz w:val="26"/>
          <w:szCs w:val="26"/>
        </w:rPr>
        <w:t xml:space="preserve">Abel Ramos </w:t>
      </w:r>
      <w:proofErr w:type="spellStart"/>
      <w:r w:rsidR="00480C5A" w:rsidRPr="00BA53D2">
        <w:rPr>
          <w:rFonts w:ascii="Arial Narrow" w:hAnsi="Arial Narrow"/>
          <w:sz w:val="26"/>
          <w:szCs w:val="26"/>
        </w:rPr>
        <w:t>Escue</w:t>
      </w:r>
      <w:proofErr w:type="spellEnd"/>
      <w:r w:rsidR="00480C5A" w:rsidRPr="00BA53D2">
        <w:rPr>
          <w:rFonts w:ascii="Arial Narrow" w:hAnsi="Arial Narrow"/>
          <w:sz w:val="26"/>
          <w:szCs w:val="26"/>
        </w:rPr>
        <w:t xml:space="preserve"> </w:t>
      </w:r>
      <w:r w:rsidRPr="00BA53D2">
        <w:rPr>
          <w:rFonts w:ascii="Arial Narrow" w:hAnsi="Arial Narrow"/>
          <w:sz w:val="26"/>
          <w:szCs w:val="26"/>
        </w:rPr>
        <w:t>se le reconoció su pensión de vejez mediante Resolución No.</w:t>
      </w:r>
      <w:r w:rsidR="00480C5A" w:rsidRPr="00BA53D2">
        <w:rPr>
          <w:rFonts w:ascii="Arial Narrow" w:hAnsi="Arial Narrow"/>
          <w:sz w:val="26"/>
          <w:szCs w:val="26"/>
        </w:rPr>
        <w:t>002928 de 2000</w:t>
      </w:r>
      <w:r w:rsidRPr="00BA53D2">
        <w:rPr>
          <w:rFonts w:ascii="Arial Narrow" w:hAnsi="Arial Narrow"/>
          <w:sz w:val="26"/>
          <w:szCs w:val="26"/>
        </w:rPr>
        <w:t xml:space="preserve">, a partir del 1º de mayo de esa anualidad y cuyo fundamento legal lo fue el Acuerdo 049 de 1990. Existe además en el infolio prueba documental idónea que acredita el vínculo matrimonial del actor con la señora </w:t>
      </w:r>
      <w:r w:rsidR="00480C5A" w:rsidRPr="00BA53D2">
        <w:rPr>
          <w:rFonts w:ascii="Arial Narrow" w:hAnsi="Arial Narrow"/>
          <w:sz w:val="26"/>
          <w:szCs w:val="26"/>
        </w:rPr>
        <w:t xml:space="preserve">María </w:t>
      </w:r>
      <w:proofErr w:type="spellStart"/>
      <w:r w:rsidR="00480C5A" w:rsidRPr="00BA53D2">
        <w:rPr>
          <w:rFonts w:ascii="Arial Narrow" w:hAnsi="Arial Narrow"/>
          <w:sz w:val="26"/>
          <w:szCs w:val="26"/>
        </w:rPr>
        <w:t>Omaida</w:t>
      </w:r>
      <w:proofErr w:type="spellEnd"/>
      <w:r w:rsidR="00480C5A" w:rsidRPr="00BA53D2">
        <w:rPr>
          <w:rFonts w:ascii="Arial Narrow" w:hAnsi="Arial Narrow"/>
          <w:sz w:val="26"/>
          <w:szCs w:val="26"/>
        </w:rPr>
        <w:t xml:space="preserve"> Castaño</w:t>
      </w:r>
      <w:r w:rsidRPr="00BA53D2">
        <w:rPr>
          <w:rFonts w:ascii="Arial Narrow" w:hAnsi="Arial Narrow"/>
          <w:sz w:val="26"/>
          <w:szCs w:val="26"/>
        </w:rPr>
        <w:t xml:space="preserve">, el cual data desde el </w:t>
      </w:r>
      <w:r w:rsidR="00480C5A" w:rsidRPr="00BA53D2">
        <w:rPr>
          <w:rFonts w:ascii="Arial Narrow" w:hAnsi="Arial Narrow"/>
          <w:sz w:val="26"/>
          <w:szCs w:val="26"/>
        </w:rPr>
        <w:t>27 de abril de 1980 -f</w:t>
      </w:r>
      <w:r w:rsidRPr="00BA53D2">
        <w:rPr>
          <w:rFonts w:ascii="Arial Narrow" w:hAnsi="Arial Narrow"/>
          <w:sz w:val="26"/>
          <w:szCs w:val="26"/>
        </w:rPr>
        <w:t>l.</w:t>
      </w:r>
      <w:r w:rsidR="00480C5A" w:rsidRPr="00BA53D2">
        <w:rPr>
          <w:rFonts w:ascii="Arial Narrow" w:hAnsi="Arial Narrow"/>
          <w:sz w:val="26"/>
          <w:szCs w:val="26"/>
        </w:rPr>
        <w:t>9</w:t>
      </w:r>
      <w:r w:rsidRPr="00BA53D2">
        <w:rPr>
          <w:rFonts w:ascii="Arial Narrow" w:hAnsi="Arial Narrow"/>
          <w:sz w:val="26"/>
          <w:szCs w:val="26"/>
        </w:rPr>
        <w:t xml:space="preserve"> sin que exista nota alguna que desdiga de la existencia del vínculo. </w:t>
      </w:r>
    </w:p>
    <w:p w:rsidR="008E76DC" w:rsidRPr="00BA53D2" w:rsidRDefault="008E76DC" w:rsidP="00BA53D2">
      <w:pPr>
        <w:pStyle w:val="Sinespaciado"/>
        <w:spacing w:line="288" w:lineRule="auto"/>
        <w:rPr>
          <w:rFonts w:ascii="Arial Narrow" w:hAnsi="Arial Narrow"/>
          <w:sz w:val="26"/>
          <w:szCs w:val="26"/>
        </w:rPr>
      </w:pPr>
    </w:p>
    <w:p w:rsidR="008E76DC" w:rsidRPr="00BA53D2" w:rsidRDefault="008E76DC" w:rsidP="00BA53D2">
      <w:pPr>
        <w:pStyle w:val="Textoindependiente"/>
        <w:spacing w:line="288" w:lineRule="auto"/>
        <w:ind w:firstLine="851"/>
        <w:rPr>
          <w:rFonts w:ascii="Arial Narrow" w:hAnsi="Arial Narrow"/>
          <w:sz w:val="26"/>
          <w:szCs w:val="26"/>
        </w:rPr>
      </w:pPr>
      <w:r w:rsidRPr="00BA53D2">
        <w:rPr>
          <w:rFonts w:ascii="Arial Narrow" w:hAnsi="Arial Narrow"/>
          <w:sz w:val="26"/>
          <w:szCs w:val="26"/>
        </w:rPr>
        <w:t xml:space="preserve">Además, se escucharon las declaraciones de </w:t>
      </w:r>
      <w:r w:rsidR="0076515B" w:rsidRPr="00BA53D2">
        <w:rPr>
          <w:rFonts w:ascii="Arial Narrow" w:hAnsi="Arial Narrow"/>
          <w:sz w:val="26"/>
          <w:szCs w:val="26"/>
        </w:rPr>
        <w:t xml:space="preserve">Ricardo Andrés Rojas Quintero, Gloria </w:t>
      </w:r>
      <w:r w:rsidR="00B45B1D" w:rsidRPr="00BA53D2">
        <w:rPr>
          <w:rFonts w:ascii="Arial Narrow" w:hAnsi="Arial Narrow"/>
          <w:sz w:val="26"/>
          <w:szCs w:val="26"/>
        </w:rPr>
        <w:t xml:space="preserve">Franco y María Luz </w:t>
      </w:r>
      <w:proofErr w:type="spellStart"/>
      <w:r w:rsidR="00B45B1D" w:rsidRPr="00BA53D2">
        <w:rPr>
          <w:rFonts w:ascii="Arial Narrow" w:hAnsi="Arial Narrow"/>
          <w:sz w:val="26"/>
          <w:szCs w:val="26"/>
        </w:rPr>
        <w:t>Mila</w:t>
      </w:r>
      <w:proofErr w:type="spellEnd"/>
      <w:r w:rsidR="00B45B1D" w:rsidRPr="00BA53D2">
        <w:rPr>
          <w:rFonts w:ascii="Arial Narrow" w:hAnsi="Arial Narrow"/>
          <w:sz w:val="26"/>
          <w:szCs w:val="26"/>
        </w:rPr>
        <w:t xml:space="preserve"> Arias, quienes al unísono manifestaron que la señora María </w:t>
      </w:r>
      <w:proofErr w:type="spellStart"/>
      <w:r w:rsidR="00B45B1D" w:rsidRPr="00BA53D2">
        <w:rPr>
          <w:rFonts w:ascii="Arial Narrow" w:hAnsi="Arial Narrow"/>
          <w:sz w:val="26"/>
          <w:szCs w:val="26"/>
        </w:rPr>
        <w:t>Omaida</w:t>
      </w:r>
      <w:proofErr w:type="spellEnd"/>
      <w:r w:rsidR="00B45B1D" w:rsidRPr="00BA53D2">
        <w:rPr>
          <w:rFonts w:ascii="Arial Narrow" w:hAnsi="Arial Narrow"/>
          <w:sz w:val="26"/>
          <w:szCs w:val="26"/>
        </w:rPr>
        <w:t xml:space="preserve"> Castaño depende para su sustento económico de su esposo, puesto que no posee ingresos de ninguna naturaleza, por lo que se acredita la dependencia económica exigida en este tipo de asuntos. </w:t>
      </w:r>
    </w:p>
    <w:p w:rsidR="008E76DC" w:rsidRPr="00BA53D2" w:rsidRDefault="008E76DC" w:rsidP="00BA53D2">
      <w:pPr>
        <w:pStyle w:val="Sinespaciado"/>
        <w:spacing w:line="288" w:lineRule="auto"/>
        <w:rPr>
          <w:rFonts w:ascii="Arial Narrow" w:hAnsi="Arial Narrow"/>
          <w:sz w:val="26"/>
          <w:szCs w:val="26"/>
        </w:rPr>
      </w:pPr>
    </w:p>
    <w:p w:rsidR="009B55DA" w:rsidRPr="00BA53D2" w:rsidRDefault="00DF7576" w:rsidP="00BA53D2">
      <w:pPr>
        <w:pStyle w:val="Textoindependiente"/>
        <w:spacing w:line="288" w:lineRule="auto"/>
        <w:ind w:firstLine="851"/>
        <w:rPr>
          <w:rFonts w:ascii="Arial Narrow" w:hAnsi="Arial Narrow"/>
          <w:sz w:val="26"/>
          <w:szCs w:val="26"/>
        </w:rPr>
      </w:pPr>
      <w:r w:rsidRPr="00BA53D2">
        <w:rPr>
          <w:rFonts w:ascii="Arial Narrow" w:hAnsi="Arial Narrow"/>
          <w:sz w:val="26"/>
          <w:szCs w:val="26"/>
        </w:rPr>
        <w:t>Por ende se concluye</w:t>
      </w:r>
      <w:r w:rsidR="00B45B1D" w:rsidRPr="00BA53D2">
        <w:rPr>
          <w:rFonts w:ascii="Arial Narrow" w:hAnsi="Arial Narrow"/>
          <w:sz w:val="26"/>
          <w:szCs w:val="26"/>
        </w:rPr>
        <w:t xml:space="preserve"> que el demandante acreditó el cumplimiento de los requisitos exigidos en el artículo 21 del Acuerdo 049 de 1990, para percibir el incremento pensional del 14 %, por tener su cónyuge a cargo. No obstante, el aludido derecho se encuentra prescrito, conforme a los artículos 151 y 488 del </w:t>
      </w:r>
      <w:proofErr w:type="spellStart"/>
      <w:r w:rsidR="00B45B1D" w:rsidRPr="00BA53D2">
        <w:rPr>
          <w:rFonts w:ascii="Arial Narrow" w:hAnsi="Arial Narrow"/>
          <w:sz w:val="26"/>
          <w:szCs w:val="26"/>
        </w:rPr>
        <w:t>CPLSS</w:t>
      </w:r>
      <w:proofErr w:type="spellEnd"/>
      <w:r w:rsidR="00B45B1D" w:rsidRPr="00BA53D2">
        <w:rPr>
          <w:rFonts w:ascii="Arial Narrow" w:hAnsi="Arial Narrow"/>
          <w:sz w:val="26"/>
          <w:szCs w:val="26"/>
        </w:rPr>
        <w:t xml:space="preserve"> y del CL, pues claramente se </w:t>
      </w:r>
      <w:r w:rsidRPr="00BA53D2">
        <w:rPr>
          <w:rFonts w:ascii="Arial Narrow" w:hAnsi="Arial Narrow"/>
          <w:sz w:val="26"/>
          <w:szCs w:val="26"/>
        </w:rPr>
        <w:t>superó</w:t>
      </w:r>
      <w:r w:rsidR="00B45B1D" w:rsidRPr="00BA53D2">
        <w:rPr>
          <w:rFonts w:ascii="Arial Narrow" w:hAnsi="Arial Narrow"/>
          <w:sz w:val="26"/>
          <w:szCs w:val="26"/>
        </w:rPr>
        <w:t xml:space="preserve"> el término trienal para la reclamación de los mismos, en tanto que la solicitud se elevó el 30 de agosto de 2017</w:t>
      </w:r>
      <w:r w:rsidR="00B45B1D" w:rsidRPr="00BA53D2">
        <w:rPr>
          <w:rFonts w:ascii="Arial Narrow" w:hAnsi="Arial Narrow" w:cs="Tahoma"/>
          <w:sz w:val="26"/>
          <w:szCs w:val="26"/>
        </w:rPr>
        <w:t xml:space="preserve"> –fl.13</w:t>
      </w:r>
      <w:r w:rsidR="00D70F40" w:rsidRPr="00BA53D2">
        <w:rPr>
          <w:rFonts w:ascii="Arial Narrow" w:hAnsi="Arial Narrow" w:cs="Tahoma"/>
          <w:sz w:val="26"/>
          <w:szCs w:val="26"/>
        </w:rPr>
        <w:t xml:space="preserve">, es decir, </w:t>
      </w:r>
      <w:r w:rsidR="009B55DA" w:rsidRPr="00BA53D2">
        <w:rPr>
          <w:rFonts w:ascii="Arial Narrow" w:hAnsi="Arial Narrow"/>
          <w:sz w:val="26"/>
          <w:szCs w:val="26"/>
        </w:rPr>
        <w:t xml:space="preserve">por fuera del término legal de tres años siguientes al momento en que adquirió el estatus de pensionado. </w:t>
      </w:r>
    </w:p>
    <w:p w:rsidR="009B55DA" w:rsidRPr="00BA53D2" w:rsidRDefault="00F15CB3" w:rsidP="00BA53D2">
      <w:pPr>
        <w:pStyle w:val="Sinespaciado"/>
        <w:spacing w:line="288" w:lineRule="auto"/>
        <w:rPr>
          <w:rFonts w:ascii="Arial Narrow" w:hAnsi="Arial Narrow"/>
          <w:sz w:val="26"/>
          <w:szCs w:val="26"/>
        </w:rPr>
      </w:pPr>
      <w:r w:rsidRPr="00BA53D2">
        <w:rPr>
          <w:rFonts w:ascii="Arial Narrow" w:hAnsi="Arial Narrow"/>
          <w:sz w:val="26"/>
          <w:szCs w:val="26"/>
        </w:rPr>
        <w:tab/>
      </w:r>
    </w:p>
    <w:p w:rsidR="00B0497F" w:rsidRPr="00BA53D2" w:rsidRDefault="009B55DA" w:rsidP="00BA53D2">
      <w:pPr>
        <w:pStyle w:val="Textoindependiente"/>
        <w:spacing w:line="288" w:lineRule="auto"/>
        <w:ind w:firstLine="851"/>
        <w:rPr>
          <w:rFonts w:ascii="Arial Narrow" w:hAnsi="Arial Narrow"/>
          <w:sz w:val="26"/>
          <w:szCs w:val="26"/>
        </w:rPr>
      </w:pPr>
      <w:r w:rsidRPr="00BA53D2">
        <w:rPr>
          <w:rFonts w:ascii="Arial Narrow" w:hAnsi="Arial Narrow"/>
          <w:sz w:val="26"/>
          <w:szCs w:val="26"/>
        </w:rPr>
        <w:t>Y</w:t>
      </w:r>
      <w:r w:rsidR="00DF7576" w:rsidRPr="00BA53D2">
        <w:rPr>
          <w:rFonts w:ascii="Arial Narrow" w:hAnsi="Arial Narrow"/>
          <w:sz w:val="26"/>
          <w:szCs w:val="26"/>
        </w:rPr>
        <w:t xml:space="preserve"> el panorama tampoco sería diferente si se </w:t>
      </w:r>
      <w:r w:rsidR="00CA03F6" w:rsidRPr="00BA53D2">
        <w:rPr>
          <w:rFonts w:ascii="Arial Narrow" w:hAnsi="Arial Narrow"/>
          <w:sz w:val="26"/>
          <w:szCs w:val="26"/>
        </w:rPr>
        <w:t xml:space="preserve">acogiese </w:t>
      </w:r>
      <w:r w:rsidRPr="00BA53D2">
        <w:rPr>
          <w:rFonts w:ascii="Arial Narrow" w:hAnsi="Arial Narrow"/>
          <w:sz w:val="26"/>
          <w:szCs w:val="26"/>
        </w:rPr>
        <w:t>la nueva postura</w:t>
      </w:r>
      <w:r w:rsidR="000C13CE" w:rsidRPr="00BA53D2">
        <w:rPr>
          <w:rFonts w:ascii="Arial Narrow" w:hAnsi="Arial Narrow"/>
          <w:sz w:val="26"/>
          <w:szCs w:val="26"/>
        </w:rPr>
        <w:t xml:space="preserve"> establecida por </w:t>
      </w:r>
      <w:r w:rsidRPr="00BA53D2">
        <w:rPr>
          <w:rFonts w:ascii="Arial Narrow" w:hAnsi="Arial Narrow"/>
          <w:sz w:val="26"/>
          <w:szCs w:val="26"/>
        </w:rPr>
        <w:t xml:space="preserve">el órgano de cierre de la especialidad laboral, </w:t>
      </w:r>
      <w:r w:rsidR="000D5E0C" w:rsidRPr="00BA53D2">
        <w:rPr>
          <w:rFonts w:ascii="Arial Narrow" w:hAnsi="Arial Narrow"/>
          <w:sz w:val="26"/>
          <w:szCs w:val="26"/>
        </w:rPr>
        <w:t xml:space="preserve">en sentencia </w:t>
      </w:r>
      <w:proofErr w:type="spellStart"/>
      <w:r w:rsidR="000D5E0C" w:rsidRPr="00BA53D2">
        <w:rPr>
          <w:rFonts w:ascii="Arial Narrow" w:hAnsi="Arial Narrow"/>
          <w:sz w:val="26"/>
          <w:szCs w:val="26"/>
        </w:rPr>
        <w:t>SL</w:t>
      </w:r>
      <w:proofErr w:type="spellEnd"/>
      <w:r w:rsidR="000D5E0C" w:rsidRPr="00BA53D2">
        <w:rPr>
          <w:rFonts w:ascii="Arial Narrow" w:hAnsi="Arial Narrow"/>
          <w:sz w:val="26"/>
          <w:szCs w:val="26"/>
        </w:rPr>
        <w:t xml:space="preserve"> 2711 radicación 70201</w:t>
      </w:r>
      <w:r w:rsidR="00B0497F" w:rsidRPr="00BA53D2">
        <w:rPr>
          <w:rFonts w:ascii="Arial Narrow" w:hAnsi="Arial Narrow"/>
          <w:sz w:val="26"/>
          <w:szCs w:val="26"/>
        </w:rPr>
        <w:t xml:space="preserve"> del 17 de julio de 2019</w:t>
      </w:r>
      <w:r w:rsidR="000D5E0C" w:rsidRPr="00BA53D2">
        <w:rPr>
          <w:rFonts w:ascii="Arial Narrow" w:hAnsi="Arial Narrow"/>
          <w:sz w:val="26"/>
          <w:szCs w:val="26"/>
        </w:rPr>
        <w:t xml:space="preserve">, en torno </w:t>
      </w:r>
      <w:r w:rsidR="00CA03F6" w:rsidRPr="00BA53D2">
        <w:rPr>
          <w:rFonts w:ascii="Arial Narrow" w:hAnsi="Arial Narrow"/>
          <w:sz w:val="26"/>
          <w:szCs w:val="26"/>
        </w:rPr>
        <w:t xml:space="preserve">a que </w:t>
      </w:r>
      <w:r w:rsidR="00B0497F" w:rsidRPr="00BA53D2">
        <w:rPr>
          <w:rFonts w:ascii="Arial Narrow" w:hAnsi="Arial Narrow"/>
          <w:sz w:val="26"/>
          <w:szCs w:val="26"/>
        </w:rPr>
        <w:t>el término prescriptivo de la acció</w:t>
      </w:r>
      <w:r w:rsidR="00CA03F6" w:rsidRPr="00BA53D2">
        <w:rPr>
          <w:rFonts w:ascii="Arial Narrow" w:hAnsi="Arial Narrow"/>
          <w:sz w:val="26"/>
          <w:szCs w:val="26"/>
        </w:rPr>
        <w:t xml:space="preserve">n para reclamar el derecho a los incrementos pensionales por </w:t>
      </w:r>
      <w:r w:rsidR="00B0497F" w:rsidRPr="00BA53D2">
        <w:rPr>
          <w:rFonts w:ascii="Arial Narrow" w:hAnsi="Arial Narrow"/>
          <w:sz w:val="26"/>
          <w:szCs w:val="26"/>
        </w:rPr>
        <w:t>persona a cargo, debe efectuarse</w:t>
      </w:r>
      <w:r w:rsidR="001D2D65" w:rsidRPr="00BA53D2">
        <w:rPr>
          <w:rFonts w:ascii="Arial Narrow" w:hAnsi="Arial Narrow"/>
          <w:sz w:val="26"/>
          <w:szCs w:val="26"/>
        </w:rPr>
        <w:t xml:space="preserve"> </w:t>
      </w:r>
      <w:r w:rsidR="001D2D65" w:rsidRPr="00BA53D2">
        <w:rPr>
          <w:rFonts w:ascii="Arial Narrow" w:hAnsi="Arial Narrow"/>
          <w:b/>
          <w:sz w:val="26"/>
          <w:szCs w:val="26"/>
        </w:rPr>
        <w:t xml:space="preserve">no </w:t>
      </w:r>
      <w:r w:rsidR="001D2D65" w:rsidRPr="00BA53D2">
        <w:rPr>
          <w:rFonts w:ascii="Arial Narrow" w:hAnsi="Arial Narrow"/>
          <w:sz w:val="26"/>
          <w:szCs w:val="26"/>
        </w:rPr>
        <w:t xml:space="preserve">desde la fecha de adquisición de estatus de pensionado, sino </w:t>
      </w:r>
      <w:r w:rsidR="00B0497F" w:rsidRPr="00BA53D2">
        <w:rPr>
          <w:rFonts w:ascii="Arial Narrow" w:hAnsi="Arial Narrow"/>
          <w:sz w:val="26"/>
          <w:szCs w:val="26"/>
        </w:rPr>
        <w:t>a partir del momento en que se consolidan o reúnen los requisitos para adquiri</w:t>
      </w:r>
      <w:r w:rsidR="00CA03F6" w:rsidRPr="00BA53D2">
        <w:rPr>
          <w:rFonts w:ascii="Arial Narrow" w:hAnsi="Arial Narrow"/>
          <w:sz w:val="26"/>
          <w:szCs w:val="26"/>
        </w:rPr>
        <w:t>r tal beneficio</w:t>
      </w:r>
      <w:r w:rsidR="001D2D65" w:rsidRPr="00BA53D2">
        <w:rPr>
          <w:rFonts w:ascii="Arial Narrow" w:hAnsi="Arial Narrow"/>
          <w:sz w:val="26"/>
          <w:szCs w:val="26"/>
        </w:rPr>
        <w:t xml:space="preserve">, aun cuando las condiciones se adquieran después del reconocimiento de la pensión, </w:t>
      </w:r>
      <w:r w:rsidR="00DF7576" w:rsidRPr="00BA53D2">
        <w:rPr>
          <w:rFonts w:ascii="Arial Narrow" w:hAnsi="Arial Narrow"/>
          <w:sz w:val="26"/>
          <w:szCs w:val="26"/>
        </w:rPr>
        <w:t xml:space="preserve">pues claramente, en el sub-lite, el </w:t>
      </w:r>
      <w:r w:rsidR="001D2D65" w:rsidRPr="00BA53D2">
        <w:rPr>
          <w:rFonts w:ascii="Arial Narrow" w:hAnsi="Arial Narrow"/>
          <w:sz w:val="26"/>
          <w:szCs w:val="26"/>
        </w:rPr>
        <w:t>vínculo</w:t>
      </w:r>
      <w:r w:rsidR="00DF7576" w:rsidRPr="00BA53D2">
        <w:rPr>
          <w:rFonts w:ascii="Arial Narrow" w:hAnsi="Arial Narrow"/>
          <w:sz w:val="26"/>
          <w:szCs w:val="26"/>
        </w:rPr>
        <w:t xml:space="preserve"> matrimonial y la dependencia económica </w:t>
      </w:r>
      <w:r w:rsidR="001D2D65" w:rsidRPr="00BA53D2">
        <w:rPr>
          <w:rFonts w:ascii="Arial Narrow" w:hAnsi="Arial Narrow"/>
          <w:sz w:val="26"/>
          <w:szCs w:val="26"/>
        </w:rPr>
        <w:t xml:space="preserve">se consolidaron </w:t>
      </w:r>
      <w:r w:rsidR="00DF7576" w:rsidRPr="00BA53D2">
        <w:rPr>
          <w:rFonts w:ascii="Arial Narrow" w:hAnsi="Arial Narrow"/>
          <w:sz w:val="26"/>
          <w:szCs w:val="26"/>
        </w:rPr>
        <w:t xml:space="preserve">con antelación a la adquisición de tal estatus, por lo que </w:t>
      </w:r>
      <w:r w:rsidR="001D2D65" w:rsidRPr="00BA53D2">
        <w:rPr>
          <w:rFonts w:ascii="Arial Narrow" w:hAnsi="Arial Narrow"/>
          <w:sz w:val="26"/>
          <w:szCs w:val="26"/>
        </w:rPr>
        <w:t>e</w:t>
      </w:r>
      <w:r w:rsidR="000C13CE" w:rsidRPr="00BA53D2">
        <w:rPr>
          <w:rFonts w:ascii="Arial Narrow" w:hAnsi="Arial Narrow"/>
          <w:sz w:val="26"/>
          <w:szCs w:val="26"/>
        </w:rPr>
        <w:t xml:space="preserve">l reclamo del </w:t>
      </w:r>
      <w:r w:rsidR="001D2D65" w:rsidRPr="00BA53D2">
        <w:rPr>
          <w:rFonts w:ascii="Arial Narrow" w:hAnsi="Arial Narrow"/>
          <w:sz w:val="26"/>
          <w:szCs w:val="26"/>
        </w:rPr>
        <w:t xml:space="preserve"> derecho debió </w:t>
      </w:r>
      <w:r w:rsidR="000C13CE" w:rsidRPr="00BA53D2">
        <w:rPr>
          <w:rFonts w:ascii="Arial Narrow" w:hAnsi="Arial Narrow"/>
          <w:sz w:val="26"/>
          <w:szCs w:val="26"/>
        </w:rPr>
        <w:t xml:space="preserve">hacerse </w:t>
      </w:r>
      <w:r w:rsidR="001D2D65" w:rsidRPr="00BA53D2">
        <w:rPr>
          <w:rFonts w:ascii="Arial Narrow" w:hAnsi="Arial Narrow"/>
          <w:sz w:val="26"/>
          <w:szCs w:val="26"/>
        </w:rPr>
        <w:t>dentro de los tres años siguientes al reconocimiento de la pensión</w:t>
      </w:r>
      <w:r w:rsidR="00DF7576" w:rsidRPr="00BA53D2">
        <w:rPr>
          <w:rFonts w:ascii="Arial Narrow" w:hAnsi="Arial Narrow"/>
          <w:sz w:val="26"/>
          <w:szCs w:val="26"/>
        </w:rPr>
        <w:t xml:space="preserve">. </w:t>
      </w:r>
    </w:p>
    <w:p w:rsidR="00D70F40" w:rsidRPr="00BA53D2" w:rsidRDefault="00D70F40" w:rsidP="00BA53D2">
      <w:pPr>
        <w:pStyle w:val="Sinespaciado"/>
        <w:spacing w:line="288" w:lineRule="auto"/>
        <w:rPr>
          <w:rFonts w:ascii="Arial Narrow" w:hAnsi="Arial Narrow"/>
          <w:sz w:val="26"/>
          <w:szCs w:val="26"/>
        </w:rPr>
      </w:pPr>
    </w:p>
    <w:p w:rsidR="00B45B1D" w:rsidRPr="00BA53D2" w:rsidRDefault="00F15CB3" w:rsidP="00BA53D2">
      <w:pPr>
        <w:pStyle w:val="Textoindependiente"/>
        <w:spacing w:line="288" w:lineRule="auto"/>
        <w:rPr>
          <w:rFonts w:ascii="Arial Narrow" w:hAnsi="Arial Narrow"/>
          <w:sz w:val="26"/>
          <w:szCs w:val="26"/>
        </w:rPr>
      </w:pPr>
      <w:r w:rsidRPr="00BA53D2">
        <w:rPr>
          <w:rFonts w:ascii="Arial Narrow" w:hAnsi="Arial Narrow"/>
          <w:sz w:val="26"/>
          <w:szCs w:val="26"/>
          <w:lang w:val="es-CO"/>
        </w:rPr>
        <w:t xml:space="preserve">  </w:t>
      </w:r>
      <w:r w:rsidRPr="00BA53D2">
        <w:rPr>
          <w:rFonts w:ascii="Arial Narrow" w:hAnsi="Arial Narrow"/>
          <w:sz w:val="26"/>
          <w:szCs w:val="26"/>
          <w:lang w:val="es-CO"/>
        </w:rPr>
        <w:tab/>
        <w:t>En suma</w:t>
      </w:r>
      <w:r w:rsidR="00D70F40" w:rsidRPr="00BA53D2">
        <w:rPr>
          <w:rFonts w:ascii="Arial Narrow" w:hAnsi="Arial Narrow"/>
          <w:sz w:val="26"/>
          <w:szCs w:val="26"/>
        </w:rPr>
        <w:t xml:space="preserve">, acertó la </w:t>
      </w:r>
      <w:r w:rsidR="009D5F23" w:rsidRPr="00BA53D2">
        <w:rPr>
          <w:rFonts w:ascii="Arial Narrow" w:hAnsi="Arial Narrow"/>
          <w:sz w:val="26"/>
          <w:szCs w:val="26"/>
        </w:rPr>
        <w:t xml:space="preserve">a-quo </w:t>
      </w:r>
      <w:r w:rsidR="00D70F40" w:rsidRPr="00BA53D2">
        <w:rPr>
          <w:rFonts w:ascii="Arial Narrow" w:hAnsi="Arial Narrow"/>
          <w:sz w:val="26"/>
          <w:szCs w:val="26"/>
        </w:rPr>
        <w:t xml:space="preserve">en su decisión de declarar prescrito el derecho peticionado, no obstante, erró al </w:t>
      </w:r>
      <w:r w:rsidR="00B45B1D" w:rsidRPr="00BA53D2">
        <w:rPr>
          <w:rFonts w:ascii="Arial Narrow" w:hAnsi="Arial Narrow"/>
          <w:sz w:val="26"/>
          <w:szCs w:val="26"/>
        </w:rPr>
        <w:t>no declarar</w:t>
      </w:r>
      <w:r w:rsidR="009D5F23" w:rsidRPr="00BA53D2">
        <w:rPr>
          <w:rFonts w:ascii="Arial Narrow" w:hAnsi="Arial Narrow"/>
          <w:sz w:val="26"/>
          <w:szCs w:val="26"/>
        </w:rPr>
        <w:t xml:space="preserve"> primero</w:t>
      </w:r>
      <w:r w:rsidR="00B45B1D" w:rsidRPr="00BA53D2">
        <w:rPr>
          <w:rFonts w:ascii="Arial Narrow" w:hAnsi="Arial Narrow"/>
          <w:sz w:val="26"/>
          <w:szCs w:val="26"/>
        </w:rPr>
        <w:t xml:space="preserve"> la existencia del derecho reclamado; por lo que se adicionará </w:t>
      </w:r>
      <w:r w:rsidR="00980370" w:rsidRPr="00BA53D2">
        <w:rPr>
          <w:rFonts w:ascii="Arial Narrow" w:hAnsi="Arial Narrow"/>
          <w:sz w:val="26"/>
          <w:szCs w:val="26"/>
        </w:rPr>
        <w:t>la providencia en ese sentido.</w:t>
      </w:r>
    </w:p>
    <w:p w:rsidR="00980370" w:rsidRPr="00BA53D2" w:rsidRDefault="00980370" w:rsidP="00BA53D2">
      <w:pPr>
        <w:pStyle w:val="Textoindependiente"/>
        <w:spacing w:line="288" w:lineRule="auto"/>
        <w:rPr>
          <w:rFonts w:ascii="Arial Narrow" w:hAnsi="Arial Narrow"/>
          <w:sz w:val="26"/>
          <w:szCs w:val="26"/>
        </w:rPr>
      </w:pPr>
    </w:p>
    <w:p w:rsidR="00B45B1D" w:rsidRPr="00BA53D2" w:rsidRDefault="00B45B1D" w:rsidP="00BA53D2">
      <w:pPr>
        <w:pStyle w:val="Textoindependiente"/>
        <w:spacing w:line="288" w:lineRule="auto"/>
        <w:ind w:firstLine="851"/>
        <w:rPr>
          <w:rFonts w:ascii="Arial Narrow" w:hAnsi="Arial Narrow"/>
          <w:sz w:val="26"/>
          <w:szCs w:val="26"/>
        </w:rPr>
      </w:pPr>
      <w:r w:rsidRPr="00BA53D2">
        <w:rPr>
          <w:rFonts w:ascii="Arial Narrow" w:hAnsi="Arial Narrow"/>
          <w:sz w:val="26"/>
          <w:szCs w:val="26"/>
        </w:rPr>
        <w:lastRenderedPageBreak/>
        <w:t>Las costas en esta instancia serán a cargo del apelante.</w:t>
      </w:r>
    </w:p>
    <w:p w:rsidR="008E76DC" w:rsidRPr="00BA53D2" w:rsidRDefault="008E76DC" w:rsidP="00BA53D2">
      <w:pPr>
        <w:pStyle w:val="Sinespaciado"/>
        <w:spacing w:line="288" w:lineRule="auto"/>
        <w:rPr>
          <w:rFonts w:ascii="Arial Narrow" w:hAnsi="Arial Narrow"/>
          <w:sz w:val="26"/>
          <w:szCs w:val="26"/>
        </w:rPr>
      </w:pPr>
    </w:p>
    <w:p w:rsidR="00B45B1D" w:rsidRPr="00BA53D2" w:rsidRDefault="00B45B1D" w:rsidP="00BA53D2">
      <w:pPr>
        <w:pStyle w:val="Prrafodelista1"/>
        <w:spacing w:after="0" w:line="288" w:lineRule="auto"/>
        <w:ind w:left="0" w:firstLine="900"/>
        <w:jc w:val="both"/>
        <w:rPr>
          <w:rFonts w:ascii="Arial Narrow" w:hAnsi="Arial Narrow"/>
          <w:sz w:val="26"/>
          <w:szCs w:val="26"/>
        </w:rPr>
      </w:pPr>
      <w:r w:rsidRPr="00BA53D2">
        <w:rPr>
          <w:rFonts w:ascii="Arial Narrow" w:hAnsi="Arial Narrow"/>
          <w:sz w:val="26"/>
          <w:szCs w:val="26"/>
        </w:rPr>
        <w:t>En mérito de lo expuesto, el Tribunal Superior del Distrito Judicial de Pereira - Risaralda, Sala Cuarta de Decisión Laboral, administrando justicia en nombre de la República y por autoridad de la ley,</w:t>
      </w:r>
    </w:p>
    <w:p w:rsidR="005A449F" w:rsidRPr="00BA53D2" w:rsidRDefault="005A449F" w:rsidP="00BA53D2">
      <w:pPr>
        <w:pStyle w:val="Prrafodelista1"/>
        <w:spacing w:after="0" w:line="288" w:lineRule="auto"/>
        <w:ind w:left="0" w:firstLine="900"/>
        <w:jc w:val="center"/>
        <w:rPr>
          <w:rFonts w:ascii="Arial Narrow" w:hAnsi="Arial Narrow"/>
          <w:b/>
          <w:sz w:val="26"/>
          <w:szCs w:val="26"/>
        </w:rPr>
      </w:pPr>
    </w:p>
    <w:p w:rsidR="00B45B1D" w:rsidRPr="00BA53D2" w:rsidRDefault="00B45B1D" w:rsidP="00BA53D2">
      <w:pPr>
        <w:pStyle w:val="Prrafodelista1"/>
        <w:spacing w:after="0" w:line="288" w:lineRule="auto"/>
        <w:ind w:left="0"/>
        <w:jc w:val="center"/>
        <w:rPr>
          <w:rFonts w:ascii="Arial Narrow" w:hAnsi="Arial Narrow"/>
          <w:b/>
          <w:sz w:val="26"/>
          <w:szCs w:val="26"/>
        </w:rPr>
      </w:pPr>
      <w:r w:rsidRPr="00BA53D2">
        <w:rPr>
          <w:rFonts w:ascii="Arial Narrow" w:hAnsi="Arial Narrow"/>
          <w:b/>
          <w:sz w:val="26"/>
          <w:szCs w:val="26"/>
        </w:rPr>
        <w:t>FALLA</w:t>
      </w:r>
    </w:p>
    <w:p w:rsidR="00B45B1D" w:rsidRPr="00BA53D2" w:rsidRDefault="00B45B1D" w:rsidP="00BA53D2">
      <w:pPr>
        <w:pStyle w:val="Sinespaciado"/>
        <w:spacing w:line="288" w:lineRule="auto"/>
        <w:rPr>
          <w:rFonts w:ascii="Arial Narrow" w:hAnsi="Arial Narrow"/>
          <w:sz w:val="26"/>
          <w:szCs w:val="26"/>
        </w:rPr>
      </w:pPr>
    </w:p>
    <w:p w:rsidR="00B45B1D" w:rsidRPr="00BA53D2" w:rsidRDefault="00B45B1D" w:rsidP="00BA53D2">
      <w:pPr>
        <w:pStyle w:val="Prrafodelista"/>
        <w:numPr>
          <w:ilvl w:val="0"/>
          <w:numId w:val="4"/>
        </w:numPr>
        <w:spacing w:line="288" w:lineRule="auto"/>
        <w:ind w:left="0" w:firstLine="360"/>
        <w:jc w:val="both"/>
        <w:rPr>
          <w:rFonts w:ascii="Arial Narrow" w:hAnsi="Arial Narrow" w:cs="Arial"/>
          <w:sz w:val="26"/>
          <w:szCs w:val="26"/>
        </w:rPr>
      </w:pPr>
      <w:r w:rsidRPr="00BA53D2">
        <w:rPr>
          <w:rFonts w:ascii="Arial Narrow" w:hAnsi="Arial Narrow" w:cs="Arial"/>
          <w:b/>
          <w:sz w:val="26"/>
          <w:szCs w:val="26"/>
        </w:rPr>
        <w:t xml:space="preserve">Adicionar </w:t>
      </w:r>
      <w:r w:rsidRPr="00BA53D2">
        <w:rPr>
          <w:rFonts w:ascii="Arial Narrow" w:hAnsi="Arial Narrow" w:cs="Arial"/>
          <w:sz w:val="26"/>
          <w:szCs w:val="26"/>
        </w:rPr>
        <w:t xml:space="preserve">la sentencia dictada el 26 de febrero de 2019 por el Juzgado Quinto Laboral del Circuito de Pereira, dentro del proceso ordinario laboral de la referencia, en el sentido de </w:t>
      </w:r>
      <w:r w:rsidRPr="00BA53D2">
        <w:rPr>
          <w:rFonts w:ascii="Arial Narrow" w:hAnsi="Arial Narrow" w:cs="Arial"/>
          <w:b/>
          <w:sz w:val="26"/>
          <w:szCs w:val="26"/>
        </w:rPr>
        <w:t>Declarar</w:t>
      </w:r>
      <w:r w:rsidRPr="00BA53D2">
        <w:rPr>
          <w:rFonts w:ascii="Arial Narrow" w:hAnsi="Arial Narrow" w:cs="Arial"/>
          <w:sz w:val="26"/>
          <w:szCs w:val="26"/>
        </w:rPr>
        <w:t xml:space="preserve"> que Abel Ramos </w:t>
      </w:r>
      <w:proofErr w:type="spellStart"/>
      <w:r w:rsidRPr="00BA53D2">
        <w:rPr>
          <w:rFonts w:ascii="Arial Narrow" w:hAnsi="Arial Narrow" w:cs="Arial"/>
          <w:sz w:val="26"/>
          <w:szCs w:val="26"/>
        </w:rPr>
        <w:t>Escue</w:t>
      </w:r>
      <w:proofErr w:type="spellEnd"/>
      <w:r w:rsidRPr="00BA53D2">
        <w:rPr>
          <w:rFonts w:ascii="Arial Narrow" w:hAnsi="Arial Narrow" w:cs="Arial"/>
          <w:sz w:val="26"/>
          <w:szCs w:val="26"/>
        </w:rPr>
        <w:t xml:space="preserve"> acreditó los requisitos para tener derecho al incremento pensional del 14 %, por tener a su cónyuge a cargo.</w:t>
      </w:r>
    </w:p>
    <w:p w:rsidR="00B45B1D" w:rsidRPr="00BA53D2" w:rsidRDefault="00B45B1D" w:rsidP="00BA53D2">
      <w:pPr>
        <w:pStyle w:val="Sinespaciado"/>
        <w:spacing w:line="288" w:lineRule="auto"/>
        <w:rPr>
          <w:rFonts w:ascii="Arial Narrow" w:hAnsi="Arial Narrow"/>
          <w:sz w:val="26"/>
          <w:szCs w:val="26"/>
        </w:rPr>
      </w:pPr>
    </w:p>
    <w:p w:rsidR="00B45B1D" w:rsidRPr="00BA53D2" w:rsidRDefault="00B45B1D" w:rsidP="00BA53D2">
      <w:pPr>
        <w:pStyle w:val="Prrafodelista"/>
        <w:numPr>
          <w:ilvl w:val="0"/>
          <w:numId w:val="4"/>
        </w:numPr>
        <w:spacing w:line="288" w:lineRule="auto"/>
        <w:jc w:val="both"/>
        <w:rPr>
          <w:rFonts w:ascii="Arial Narrow" w:hAnsi="Arial Narrow" w:cs="Arial"/>
          <w:sz w:val="26"/>
          <w:szCs w:val="26"/>
        </w:rPr>
      </w:pPr>
      <w:r w:rsidRPr="00BA53D2">
        <w:rPr>
          <w:rFonts w:ascii="Arial Narrow" w:hAnsi="Arial Narrow" w:cs="Arial"/>
          <w:b/>
          <w:sz w:val="26"/>
          <w:szCs w:val="26"/>
        </w:rPr>
        <w:t xml:space="preserve">Confirmar </w:t>
      </w:r>
      <w:r w:rsidRPr="00BA53D2">
        <w:rPr>
          <w:rFonts w:ascii="Arial Narrow" w:hAnsi="Arial Narrow" w:cs="Arial"/>
          <w:sz w:val="26"/>
          <w:szCs w:val="26"/>
        </w:rPr>
        <w:t>todo lo demás.</w:t>
      </w:r>
      <w:r w:rsidRPr="00BA53D2">
        <w:rPr>
          <w:rFonts w:ascii="Arial Narrow" w:hAnsi="Arial Narrow" w:cs="Arial"/>
          <w:b/>
          <w:sz w:val="26"/>
          <w:szCs w:val="26"/>
        </w:rPr>
        <w:t xml:space="preserve"> </w:t>
      </w:r>
    </w:p>
    <w:p w:rsidR="00B45B1D" w:rsidRPr="00BA53D2" w:rsidRDefault="00B45B1D" w:rsidP="00BA53D2">
      <w:pPr>
        <w:pStyle w:val="Sinespaciado"/>
        <w:spacing w:line="288" w:lineRule="auto"/>
        <w:rPr>
          <w:rFonts w:ascii="Arial Narrow" w:hAnsi="Arial Narrow"/>
          <w:sz w:val="26"/>
          <w:szCs w:val="26"/>
        </w:rPr>
      </w:pPr>
    </w:p>
    <w:p w:rsidR="00B45B1D" w:rsidRPr="00BA53D2" w:rsidRDefault="00B45B1D" w:rsidP="00BA53D2">
      <w:pPr>
        <w:spacing w:line="288" w:lineRule="auto"/>
        <w:ind w:firstLine="360"/>
        <w:jc w:val="both"/>
        <w:rPr>
          <w:rFonts w:ascii="Arial Narrow" w:hAnsi="Arial Narrow" w:cs="Arial"/>
          <w:sz w:val="26"/>
          <w:szCs w:val="26"/>
        </w:rPr>
      </w:pPr>
      <w:r w:rsidRPr="00BA53D2">
        <w:rPr>
          <w:rFonts w:ascii="Arial Narrow" w:hAnsi="Arial Narrow" w:cs="Arial"/>
          <w:b/>
          <w:sz w:val="26"/>
          <w:szCs w:val="26"/>
        </w:rPr>
        <w:t xml:space="preserve">3. </w:t>
      </w:r>
      <w:r w:rsidRPr="00BA53D2">
        <w:rPr>
          <w:rFonts w:ascii="Arial Narrow" w:hAnsi="Arial Narrow" w:cs="Arial"/>
          <w:sz w:val="26"/>
          <w:szCs w:val="26"/>
        </w:rPr>
        <w:t xml:space="preserve">Costas a cargo de la parte recurrente. </w:t>
      </w:r>
    </w:p>
    <w:p w:rsidR="00E01650" w:rsidRPr="00BA53D2" w:rsidRDefault="00E01650" w:rsidP="00BA53D2">
      <w:pPr>
        <w:pStyle w:val="Sinespaciado"/>
        <w:spacing w:line="288" w:lineRule="auto"/>
        <w:rPr>
          <w:rFonts w:ascii="Arial Narrow" w:hAnsi="Arial Narrow"/>
          <w:sz w:val="26"/>
          <w:szCs w:val="26"/>
          <w:shd w:val="clear" w:color="auto" w:fill="FFFFFF"/>
          <w:lang w:val="es-ES_tradnl"/>
        </w:rPr>
      </w:pPr>
    </w:p>
    <w:p w:rsidR="00862A62" w:rsidRPr="00BA53D2" w:rsidRDefault="00862A62" w:rsidP="00BA53D2">
      <w:pPr>
        <w:pStyle w:val="Sinespaciado"/>
        <w:spacing w:line="288" w:lineRule="auto"/>
        <w:jc w:val="both"/>
        <w:rPr>
          <w:rFonts w:ascii="Arial Narrow" w:hAnsi="Arial Narrow"/>
          <w:b/>
          <w:i/>
          <w:sz w:val="26"/>
          <w:szCs w:val="26"/>
        </w:rPr>
      </w:pPr>
      <w:r w:rsidRPr="00BA53D2">
        <w:rPr>
          <w:rFonts w:ascii="Arial Narrow" w:hAnsi="Arial Narrow"/>
          <w:sz w:val="26"/>
          <w:szCs w:val="26"/>
        </w:rPr>
        <w:t xml:space="preserve">Notificación surtida </w:t>
      </w:r>
      <w:r w:rsidRPr="00BA53D2">
        <w:rPr>
          <w:rFonts w:ascii="Arial Narrow" w:hAnsi="Arial Narrow"/>
          <w:b/>
          <w:i/>
          <w:sz w:val="26"/>
          <w:szCs w:val="26"/>
        </w:rPr>
        <w:t>en estrados.</w:t>
      </w:r>
    </w:p>
    <w:p w:rsidR="003F3705" w:rsidRPr="00BA53D2" w:rsidRDefault="003F3705" w:rsidP="00BA53D2">
      <w:pPr>
        <w:spacing w:line="288" w:lineRule="auto"/>
        <w:rPr>
          <w:rFonts w:ascii="Arial Narrow" w:hAnsi="Arial Narrow"/>
          <w:sz w:val="26"/>
          <w:szCs w:val="26"/>
        </w:rPr>
      </w:pPr>
    </w:p>
    <w:p w:rsidR="003F3705" w:rsidRPr="00BD0CAE" w:rsidRDefault="003F3705" w:rsidP="003F3705">
      <w:pPr>
        <w:spacing w:line="276" w:lineRule="auto"/>
        <w:rPr>
          <w:rFonts w:ascii="Arial Narrow" w:hAnsi="Arial Narrow"/>
          <w:spacing w:val="-6"/>
          <w:sz w:val="26"/>
          <w:szCs w:val="26"/>
        </w:rPr>
      </w:pPr>
    </w:p>
    <w:p w:rsidR="003F3705" w:rsidRPr="00BD0CAE" w:rsidRDefault="003F3705" w:rsidP="003F3705">
      <w:pPr>
        <w:spacing w:line="276" w:lineRule="auto"/>
        <w:rPr>
          <w:rFonts w:ascii="Arial Narrow" w:hAnsi="Arial Narrow" w:cs="Microsoft Sans Serif"/>
          <w:bCs/>
          <w:iCs/>
          <w:color w:val="000000"/>
          <w:spacing w:val="-6"/>
          <w:sz w:val="26"/>
          <w:szCs w:val="26"/>
        </w:rPr>
      </w:pPr>
    </w:p>
    <w:p w:rsidR="003F3705" w:rsidRPr="00BD0CAE" w:rsidRDefault="003F3705" w:rsidP="003F3705">
      <w:pPr>
        <w:spacing w:line="276" w:lineRule="auto"/>
        <w:jc w:val="center"/>
        <w:rPr>
          <w:rFonts w:ascii="Arial Narrow" w:hAnsi="Arial Narrow" w:cs="Microsoft Sans Serif"/>
          <w:b/>
          <w:bCs/>
          <w:iCs/>
          <w:color w:val="000000"/>
          <w:spacing w:val="-6"/>
          <w:sz w:val="26"/>
          <w:szCs w:val="26"/>
        </w:rPr>
      </w:pPr>
      <w:r w:rsidRPr="00BD0CAE">
        <w:rPr>
          <w:rFonts w:ascii="Arial Narrow" w:hAnsi="Arial Narrow" w:cs="Microsoft Sans Serif"/>
          <w:b/>
          <w:bCs/>
          <w:iCs/>
          <w:color w:val="000000"/>
          <w:spacing w:val="-6"/>
          <w:sz w:val="26"/>
          <w:szCs w:val="26"/>
        </w:rPr>
        <w:t>FRANCISCO JAVIER TAMAYO TABARES</w:t>
      </w:r>
    </w:p>
    <w:p w:rsidR="003F3705" w:rsidRPr="00BD0CAE" w:rsidRDefault="003F3705" w:rsidP="003F3705">
      <w:pPr>
        <w:spacing w:line="276" w:lineRule="auto"/>
        <w:jc w:val="center"/>
        <w:rPr>
          <w:rFonts w:ascii="Arial Narrow" w:hAnsi="Arial Narrow" w:cs="Microsoft Sans Serif"/>
          <w:color w:val="000000"/>
          <w:spacing w:val="-6"/>
          <w:sz w:val="26"/>
          <w:szCs w:val="26"/>
        </w:rPr>
      </w:pPr>
      <w:r w:rsidRPr="00BD0CAE">
        <w:rPr>
          <w:rFonts w:ascii="Arial Narrow" w:hAnsi="Arial Narrow" w:cs="Microsoft Sans Serif"/>
          <w:color w:val="000000"/>
          <w:spacing w:val="-6"/>
          <w:sz w:val="26"/>
          <w:szCs w:val="26"/>
        </w:rPr>
        <w:t xml:space="preserve">Magistrado Ponente </w:t>
      </w:r>
    </w:p>
    <w:p w:rsidR="003F3705" w:rsidRPr="00BD0CAE" w:rsidRDefault="003F3705" w:rsidP="003F3705">
      <w:pPr>
        <w:spacing w:line="276" w:lineRule="auto"/>
        <w:jc w:val="both"/>
        <w:rPr>
          <w:rFonts w:ascii="Arial Narrow" w:hAnsi="Arial Narrow" w:cs="Microsoft Sans Serif"/>
          <w:color w:val="000000"/>
          <w:spacing w:val="-6"/>
          <w:sz w:val="26"/>
          <w:szCs w:val="26"/>
        </w:rPr>
      </w:pPr>
    </w:p>
    <w:p w:rsidR="003F3705" w:rsidRPr="00BD0CAE" w:rsidRDefault="003F3705" w:rsidP="003F3705">
      <w:pPr>
        <w:spacing w:line="276" w:lineRule="auto"/>
        <w:rPr>
          <w:rFonts w:ascii="Arial Narrow" w:hAnsi="Arial Narrow"/>
          <w:spacing w:val="-6"/>
          <w:sz w:val="26"/>
          <w:szCs w:val="26"/>
          <w:lang w:val="es-ES_tradnl"/>
        </w:rPr>
      </w:pPr>
    </w:p>
    <w:p w:rsidR="003F3705" w:rsidRPr="00BD0CAE" w:rsidRDefault="003F3705" w:rsidP="003F3705">
      <w:pPr>
        <w:spacing w:line="276" w:lineRule="auto"/>
        <w:rPr>
          <w:rFonts w:ascii="Arial Narrow" w:hAnsi="Arial Narrow"/>
          <w:spacing w:val="-6"/>
          <w:sz w:val="26"/>
          <w:szCs w:val="26"/>
          <w:lang w:val="es-ES_tradnl"/>
        </w:rPr>
      </w:pPr>
    </w:p>
    <w:p w:rsidR="003F3705" w:rsidRPr="00BD0CAE" w:rsidRDefault="003F3705" w:rsidP="003F3705">
      <w:pPr>
        <w:spacing w:line="276" w:lineRule="auto"/>
        <w:rPr>
          <w:rFonts w:ascii="Arial Narrow" w:hAnsi="Arial Narrow" w:cs="Microsoft Sans Serif"/>
          <w:b/>
          <w:bCs/>
          <w:iCs/>
          <w:color w:val="000000"/>
          <w:spacing w:val="-6"/>
          <w:sz w:val="26"/>
          <w:szCs w:val="26"/>
        </w:rPr>
      </w:pPr>
      <w:r w:rsidRPr="00BD0CAE">
        <w:rPr>
          <w:rFonts w:ascii="Arial Narrow" w:hAnsi="Arial Narrow" w:cs="Microsoft Sans Serif"/>
          <w:b/>
          <w:bCs/>
          <w:iCs/>
          <w:color w:val="000000"/>
          <w:spacing w:val="-6"/>
          <w:sz w:val="26"/>
          <w:szCs w:val="26"/>
        </w:rPr>
        <w:t>ANA LUCÍA CAICEDO CALDERÓN</w:t>
      </w:r>
      <w:r w:rsidRPr="00BD0CAE">
        <w:rPr>
          <w:rFonts w:ascii="Arial Narrow" w:hAnsi="Arial Narrow" w:cs="Microsoft Sans Serif"/>
          <w:b/>
          <w:bCs/>
          <w:iCs/>
          <w:color w:val="000000"/>
          <w:spacing w:val="-6"/>
          <w:sz w:val="26"/>
          <w:szCs w:val="26"/>
        </w:rPr>
        <w:tab/>
      </w:r>
      <w:r w:rsidRPr="00BD0CAE">
        <w:rPr>
          <w:rFonts w:ascii="Arial Narrow" w:hAnsi="Arial Narrow" w:cs="Microsoft Sans Serif"/>
          <w:b/>
          <w:bCs/>
          <w:iCs/>
          <w:color w:val="000000"/>
          <w:spacing w:val="-6"/>
          <w:sz w:val="26"/>
          <w:szCs w:val="26"/>
        </w:rPr>
        <w:tab/>
      </w:r>
      <w:r w:rsidRPr="00BD0CAE">
        <w:rPr>
          <w:rFonts w:ascii="Arial Narrow" w:hAnsi="Arial Narrow" w:cs="Microsoft Sans Serif"/>
          <w:b/>
          <w:bCs/>
          <w:iCs/>
          <w:color w:val="000000"/>
          <w:spacing w:val="-6"/>
          <w:sz w:val="26"/>
          <w:szCs w:val="26"/>
        </w:rPr>
        <w:tab/>
        <w:t xml:space="preserve">         OLGA LUCÍA HOYOS SEPÚLVEDA </w:t>
      </w:r>
    </w:p>
    <w:p w:rsidR="005A449F" w:rsidRPr="003F3705" w:rsidRDefault="003F3705" w:rsidP="003F3705">
      <w:pPr>
        <w:spacing w:line="276" w:lineRule="auto"/>
        <w:ind w:firstLine="708"/>
        <w:rPr>
          <w:rFonts w:ascii="Arial Narrow" w:hAnsi="Arial Narrow"/>
          <w:spacing w:val="-6"/>
          <w:sz w:val="26"/>
          <w:szCs w:val="26"/>
        </w:rPr>
      </w:pPr>
      <w:r w:rsidRPr="00BD0CAE">
        <w:rPr>
          <w:rFonts w:ascii="Arial Narrow" w:hAnsi="Arial Narrow" w:cs="Microsoft Sans Serif"/>
          <w:color w:val="000000"/>
          <w:spacing w:val="-6"/>
          <w:sz w:val="26"/>
          <w:szCs w:val="26"/>
        </w:rPr>
        <w:t xml:space="preserve">      Magistrada</w:t>
      </w:r>
      <w:r w:rsidRPr="00BD0CAE">
        <w:rPr>
          <w:rFonts w:ascii="Arial Narrow" w:hAnsi="Arial Narrow" w:cs="Microsoft Sans Serif"/>
          <w:color w:val="000000"/>
          <w:spacing w:val="-6"/>
          <w:sz w:val="26"/>
          <w:szCs w:val="26"/>
        </w:rPr>
        <w:tab/>
      </w:r>
      <w:r w:rsidRPr="00BD0CAE">
        <w:rPr>
          <w:rFonts w:ascii="Arial Narrow" w:hAnsi="Arial Narrow" w:cs="Microsoft Sans Serif"/>
          <w:color w:val="000000"/>
          <w:spacing w:val="-6"/>
          <w:sz w:val="26"/>
          <w:szCs w:val="26"/>
        </w:rPr>
        <w:tab/>
      </w:r>
      <w:r w:rsidRPr="00BD0CAE">
        <w:rPr>
          <w:rFonts w:ascii="Arial Narrow" w:hAnsi="Arial Narrow" w:cs="Microsoft Sans Serif"/>
          <w:color w:val="000000"/>
          <w:spacing w:val="-6"/>
          <w:sz w:val="26"/>
          <w:szCs w:val="26"/>
        </w:rPr>
        <w:tab/>
      </w:r>
      <w:r>
        <w:rPr>
          <w:rFonts w:ascii="Arial Narrow" w:hAnsi="Arial Narrow" w:cs="Microsoft Sans Serif"/>
          <w:color w:val="000000"/>
          <w:spacing w:val="-6"/>
          <w:sz w:val="26"/>
          <w:szCs w:val="26"/>
        </w:rPr>
        <w:tab/>
      </w:r>
      <w:r w:rsidRPr="00BD0CAE">
        <w:rPr>
          <w:rFonts w:ascii="Arial Narrow" w:hAnsi="Arial Narrow" w:cs="Microsoft Sans Serif"/>
          <w:color w:val="000000"/>
          <w:spacing w:val="-6"/>
          <w:sz w:val="26"/>
          <w:szCs w:val="26"/>
        </w:rPr>
        <w:tab/>
      </w:r>
      <w:r w:rsidRPr="00BD0CAE">
        <w:rPr>
          <w:rFonts w:ascii="Arial Narrow" w:hAnsi="Arial Narrow" w:cs="Microsoft Sans Serif"/>
          <w:color w:val="000000"/>
          <w:spacing w:val="-6"/>
          <w:sz w:val="26"/>
          <w:szCs w:val="26"/>
        </w:rPr>
        <w:tab/>
      </w:r>
      <w:r w:rsidRPr="00BD0CAE">
        <w:rPr>
          <w:rFonts w:ascii="Arial Narrow" w:hAnsi="Arial Narrow" w:cs="Microsoft Sans Serif"/>
          <w:color w:val="000000"/>
          <w:spacing w:val="-6"/>
          <w:sz w:val="26"/>
          <w:szCs w:val="26"/>
        </w:rPr>
        <w:tab/>
        <w:t xml:space="preserve">   Magistrada</w:t>
      </w:r>
    </w:p>
    <w:sectPr w:rsidR="005A449F" w:rsidRPr="003F3705" w:rsidSect="00980370">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57" w:rsidRDefault="00DB2D57" w:rsidP="002329D2">
      <w:r>
        <w:separator/>
      </w:r>
    </w:p>
  </w:endnote>
  <w:endnote w:type="continuationSeparator" w:id="0">
    <w:p w:rsidR="00DB2D57" w:rsidRDefault="00DB2D57" w:rsidP="0023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13592"/>
      <w:docPartObj>
        <w:docPartGallery w:val="Page Numbers (Bottom of Page)"/>
        <w:docPartUnique/>
      </w:docPartObj>
    </w:sdtPr>
    <w:sdtEndPr>
      <w:rPr>
        <w:rFonts w:ascii="Arial" w:hAnsi="Arial" w:cs="Arial"/>
        <w:bCs/>
        <w:sz w:val="18"/>
        <w:szCs w:val="16"/>
      </w:rPr>
    </w:sdtEndPr>
    <w:sdtContent>
      <w:p w:rsidR="000D5E0C" w:rsidRPr="00980370" w:rsidRDefault="000D5E0C">
        <w:pPr>
          <w:pStyle w:val="Piedepgina"/>
          <w:jc w:val="right"/>
          <w:rPr>
            <w:rFonts w:ascii="Arial" w:hAnsi="Arial" w:cs="Arial"/>
            <w:bCs/>
            <w:sz w:val="18"/>
            <w:szCs w:val="16"/>
          </w:rPr>
        </w:pPr>
        <w:r w:rsidRPr="00980370">
          <w:rPr>
            <w:rFonts w:ascii="Arial" w:hAnsi="Arial" w:cs="Arial"/>
            <w:bCs/>
            <w:sz w:val="18"/>
            <w:szCs w:val="16"/>
          </w:rPr>
          <w:fldChar w:fldCharType="begin"/>
        </w:r>
        <w:r w:rsidRPr="00980370">
          <w:rPr>
            <w:rFonts w:ascii="Arial" w:hAnsi="Arial" w:cs="Arial"/>
            <w:bCs/>
            <w:sz w:val="18"/>
            <w:szCs w:val="16"/>
          </w:rPr>
          <w:instrText>PAGE   \* MERGEFORMAT</w:instrText>
        </w:r>
        <w:r w:rsidRPr="00980370">
          <w:rPr>
            <w:rFonts w:ascii="Arial" w:hAnsi="Arial" w:cs="Arial"/>
            <w:bCs/>
            <w:sz w:val="18"/>
            <w:szCs w:val="16"/>
          </w:rPr>
          <w:fldChar w:fldCharType="separate"/>
        </w:r>
        <w:r w:rsidR="00BA53D2">
          <w:rPr>
            <w:rFonts w:ascii="Arial" w:hAnsi="Arial" w:cs="Arial"/>
            <w:bCs/>
            <w:noProof/>
            <w:sz w:val="18"/>
            <w:szCs w:val="16"/>
          </w:rPr>
          <w:t>8</w:t>
        </w:r>
        <w:r w:rsidRPr="00980370">
          <w:rPr>
            <w:rFonts w:ascii="Arial" w:hAnsi="Arial" w:cs="Arial"/>
            <w:bCs/>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57" w:rsidRDefault="00DB2D57" w:rsidP="002329D2">
      <w:r>
        <w:separator/>
      </w:r>
    </w:p>
  </w:footnote>
  <w:footnote w:type="continuationSeparator" w:id="0">
    <w:p w:rsidR="00DB2D57" w:rsidRDefault="00DB2D57" w:rsidP="002329D2">
      <w:r>
        <w:continuationSeparator/>
      </w:r>
    </w:p>
  </w:footnote>
  <w:footnote w:id="1">
    <w:p w:rsidR="00D479BE" w:rsidRDefault="00D479BE" w:rsidP="009B55DA">
      <w:pPr>
        <w:pStyle w:val="Textonotapie"/>
        <w:rPr>
          <w:rFonts w:ascii="Arial Narrow" w:hAnsi="Arial Narrow"/>
          <w:sz w:val="18"/>
          <w:szCs w:val="18"/>
        </w:rPr>
      </w:pPr>
    </w:p>
    <w:p w:rsidR="00D479BE" w:rsidRDefault="00D479BE" w:rsidP="009B55DA">
      <w:pPr>
        <w:pStyle w:val="Textonotapie"/>
        <w:rPr>
          <w:rFonts w:ascii="Arial Narrow" w:hAnsi="Arial Narrow"/>
          <w:sz w:val="18"/>
          <w:szCs w:val="18"/>
        </w:rPr>
      </w:pPr>
    </w:p>
    <w:p w:rsidR="000D5E0C" w:rsidRPr="003F3705" w:rsidRDefault="000D5E0C" w:rsidP="009B55DA">
      <w:pPr>
        <w:pStyle w:val="Textonotapie"/>
        <w:rPr>
          <w:rFonts w:ascii="Arial" w:hAnsi="Arial" w:cs="Arial"/>
          <w:sz w:val="18"/>
          <w:szCs w:val="18"/>
        </w:rPr>
      </w:pPr>
      <w:r w:rsidRPr="003F3705">
        <w:rPr>
          <w:rStyle w:val="Refdenotaalpie"/>
          <w:rFonts w:ascii="Arial" w:hAnsi="Arial" w:cs="Arial"/>
          <w:sz w:val="18"/>
          <w:szCs w:val="18"/>
        </w:rPr>
        <w:footnoteRef/>
      </w:r>
      <w:r w:rsidRPr="003F3705">
        <w:rPr>
          <w:rFonts w:ascii="Arial" w:hAnsi="Arial" w:cs="Arial"/>
          <w:sz w:val="18"/>
          <w:szCs w:val="18"/>
        </w:rPr>
        <w:t xml:space="preserve"> Sentencia del 16 de noviembre de 2017, radicación 11001-03-25-000-2008-00127-00 (2741-08).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0C" w:rsidRPr="00980370" w:rsidRDefault="000D5E0C" w:rsidP="002329D2">
    <w:pPr>
      <w:jc w:val="both"/>
      <w:rPr>
        <w:rFonts w:ascii="Arial" w:hAnsi="Arial" w:cs="Arial"/>
        <w:bCs/>
        <w:sz w:val="18"/>
        <w:szCs w:val="16"/>
      </w:rPr>
    </w:pPr>
    <w:r w:rsidRPr="00980370">
      <w:rPr>
        <w:rFonts w:ascii="Arial" w:hAnsi="Arial" w:cs="Arial"/>
        <w:bCs/>
        <w:sz w:val="18"/>
        <w:szCs w:val="16"/>
      </w:rPr>
      <w:t>Radicación No: 66001-31-05-005-2017-00394-01</w:t>
    </w:r>
  </w:p>
  <w:p w:rsidR="000D5E0C" w:rsidRPr="00980370" w:rsidRDefault="000D5E0C" w:rsidP="00980370">
    <w:pPr>
      <w:jc w:val="both"/>
      <w:rPr>
        <w:rFonts w:ascii="Arial" w:hAnsi="Arial" w:cs="Arial"/>
        <w:sz w:val="28"/>
      </w:rPr>
    </w:pPr>
    <w:r w:rsidRPr="00980370">
      <w:rPr>
        <w:rFonts w:ascii="Arial" w:hAnsi="Arial" w:cs="Arial"/>
        <w:bCs/>
        <w:sz w:val="18"/>
        <w:szCs w:val="16"/>
      </w:rPr>
      <w:t xml:space="preserve">Abel Ramos </w:t>
    </w:r>
    <w:proofErr w:type="spellStart"/>
    <w:r w:rsidRPr="00980370">
      <w:rPr>
        <w:rFonts w:ascii="Arial" w:hAnsi="Arial" w:cs="Arial"/>
        <w:bCs/>
        <w:sz w:val="18"/>
        <w:szCs w:val="16"/>
      </w:rPr>
      <w:t>Escue</w:t>
    </w:r>
    <w:proofErr w:type="spellEnd"/>
    <w:r w:rsidRPr="00980370">
      <w:rPr>
        <w:rFonts w:ascii="Arial" w:hAnsi="Arial" w:cs="Arial"/>
        <w:bCs/>
        <w:sz w:val="18"/>
        <w:szCs w:val="16"/>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9626945"/>
    <w:multiLevelType w:val="multilevel"/>
    <w:tmpl w:val="FE7EB08A"/>
    <w:lvl w:ilvl="0">
      <w:start w:val="1"/>
      <w:numFmt w:val="upperRoman"/>
      <w:lvlText w:val="%1."/>
      <w:lvlJc w:val="left"/>
      <w:pPr>
        <w:ind w:left="1572" w:hanging="720"/>
      </w:pPr>
      <w:rPr>
        <w:rFonts w:hint="default"/>
      </w:rPr>
    </w:lvl>
    <w:lvl w:ilvl="1">
      <w:start w:val="1"/>
      <w:numFmt w:val="decimal"/>
      <w:isLgl/>
      <w:lvlText w:val="%1.%2."/>
      <w:lvlJc w:val="left"/>
      <w:pPr>
        <w:ind w:left="1212" w:hanging="360"/>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1932" w:hanging="108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652" w:hanging="1800"/>
      </w:pPr>
      <w:rPr>
        <w:rFonts w:hint="default"/>
        <w:b/>
      </w:rPr>
    </w:lvl>
  </w:abstractNum>
  <w:abstractNum w:abstractNumId="2">
    <w:nsid w:val="19E47681"/>
    <w:multiLevelType w:val="hybridMultilevel"/>
    <w:tmpl w:val="A118C640"/>
    <w:lvl w:ilvl="0" w:tplc="C0BC793E">
      <w:start w:val="1"/>
      <w:numFmt w:val="lowerLetter"/>
      <w:lvlText w:val="%1."/>
      <w:lvlJc w:val="left"/>
      <w:pPr>
        <w:ind w:left="1208" w:hanging="360"/>
      </w:pPr>
      <w:rPr>
        <w:rFonts w:hint="default"/>
      </w:rPr>
    </w:lvl>
    <w:lvl w:ilvl="1" w:tplc="240A0019" w:tentative="1">
      <w:start w:val="1"/>
      <w:numFmt w:val="lowerLetter"/>
      <w:lvlText w:val="%2."/>
      <w:lvlJc w:val="left"/>
      <w:pPr>
        <w:ind w:left="1928" w:hanging="360"/>
      </w:pPr>
    </w:lvl>
    <w:lvl w:ilvl="2" w:tplc="240A001B" w:tentative="1">
      <w:start w:val="1"/>
      <w:numFmt w:val="lowerRoman"/>
      <w:lvlText w:val="%3."/>
      <w:lvlJc w:val="right"/>
      <w:pPr>
        <w:ind w:left="2648" w:hanging="180"/>
      </w:pPr>
    </w:lvl>
    <w:lvl w:ilvl="3" w:tplc="240A000F" w:tentative="1">
      <w:start w:val="1"/>
      <w:numFmt w:val="decimal"/>
      <w:lvlText w:val="%4."/>
      <w:lvlJc w:val="left"/>
      <w:pPr>
        <w:ind w:left="3368" w:hanging="360"/>
      </w:pPr>
    </w:lvl>
    <w:lvl w:ilvl="4" w:tplc="240A0019" w:tentative="1">
      <w:start w:val="1"/>
      <w:numFmt w:val="lowerLetter"/>
      <w:lvlText w:val="%5."/>
      <w:lvlJc w:val="left"/>
      <w:pPr>
        <w:ind w:left="4088" w:hanging="360"/>
      </w:pPr>
    </w:lvl>
    <w:lvl w:ilvl="5" w:tplc="240A001B" w:tentative="1">
      <w:start w:val="1"/>
      <w:numFmt w:val="lowerRoman"/>
      <w:lvlText w:val="%6."/>
      <w:lvlJc w:val="right"/>
      <w:pPr>
        <w:ind w:left="4808" w:hanging="180"/>
      </w:pPr>
    </w:lvl>
    <w:lvl w:ilvl="6" w:tplc="240A000F" w:tentative="1">
      <w:start w:val="1"/>
      <w:numFmt w:val="decimal"/>
      <w:lvlText w:val="%7."/>
      <w:lvlJc w:val="left"/>
      <w:pPr>
        <w:ind w:left="5528" w:hanging="360"/>
      </w:pPr>
    </w:lvl>
    <w:lvl w:ilvl="7" w:tplc="240A0019" w:tentative="1">
      <w:start w:val="1"/>
      <w:numFmt w:val="lowerLetter"/>
      <w:lvlText w:val="%8."/>
      <w:lvlJc w:val="left"/>
      <w:pPr>
        <w:ind w:left="6248" w:hanging="360"/>
      </w:pPr>
    </w:lvl>
    <w:lvl w:ilvl="8" w:tplc="240A001B" w:tentative="1">
      <w:start w:val="1"/>
      <w:numFmt w:val="lowerRoman"/>
      <w:lvlText w:val="%9."/>
      <w:lvlJc w:val="right"/>
      <w:pPr>
        <w:ind w:left="6968" w:hanging="180"/>
      </w:pPr>
    </w:lvl>
  </w:abstractNum>
  <w:abstractNum w:abstractNumId="3">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D2"/>
    <w:rsid w:val="00003CC5"/>
    <w:rsid w:val="00031AD5"/>
    <w:rsid w:val="00041032"/>
    <w:rsid w:val="000C0508"/>
    <w:rsid w:val="000C13CE"/>
    <w:rsid w:val="000D5E0C"/>
    <w:rsid w:val="0013369D"/>
    <w:rsid w:val="00162449"/>
    <w:rsid w:val="00190045"/>
    <w:rsid w:val="00192B57"/>
    <w:rsid w:val="001D2D65"/>
    <w:rsid w:val="00200546"/>
    <w:rsid w:val="002172E2"/>
    <w:rsid w:val="002329D2"/>
    <w:rsid w:val="00257FC5"/>
    <w:rsid w:val="002932CD"/>
    <w:rsid w:val="00317BAA"/>
    <w:rsid w:val="00327147"/>
    <w:rsid w:val="003527D4"/>
    <w:rsid w:val="003779F5"/>
    <w:rsid w:val="003857FD"/>
    <w:rsid w:val="003B0F64"/>
    <w:rsid w:val="003F3705"/>
    <w:rsid w:val="00452117"/>
    <w:rsid w:val="00480C5A"/>
    <w:rsid w:val="004A6497"/>
    <w:rsid w:val="004E0328"/>
    <w:rsid w:val="004E5720"/>
    <w:rsid w:val="00580E97"/>
    <w:rsid w:val="005A3BC1"/>
    <w:rsid w:val="005A449F"/>
    <w:rsid w:val="005B2D12"/>
    <w:rsid w:val="005C23F2"/>
    <w:rsid w:val="00613AD1"/>
    <w:rsid w:val="00623389"/>
    <w:rsid w:val="006C2934"/>
    <w:rsid w:val="006C3459"/>
    <w:rsid w:val="007220A7"/>
    <w:rsid w:val="007306E0"/>
    <w:rsid w:val="00731E27"/>
    <w:rsid w:val="00755C7C"/>
    <w:rsid w:val="0076515B"/>
    <w:rsid w:val="007D39BF"/>
    <w:rsid w:val="007F3247"/>
    <w:rsid w:val="007F444A"/>
    <w:rsid w:val="008217E0"/>
    <w:rsid w:val="00830F3E"/>
    <w:rsid w:val="0083383C"/>
    <w:rsid w:val="0083724D"/>
    <w:rsid w:val="00843C2D"/>
    <w:rsid w:val="00862A62"/>
    <w:rsid w:val="00875A75"/>
    <w:rsid w:val="00887F3F"/>
    <w:rsid w:val="008E76DC"/>
    <w:rsid w:val="0091551B"/>
    <w:rsid w:val="00964CE1"/>
    <w:rsid w:val="00980370"/>
    <w:rsid w:val="00982A7E"/>
    <w:rsid w:val="0098716F"/>
    <w:rsid w:val="009B55DA"/>
    <w:rsid w:val="009D5F23"/>
    <w:rsid w:val="00A61F5D"/>
    <w:rsid w:val="00A675BB"/>
    <w:rsid w:val="00AB2158"/>
    <w:rsid w:val="00AB4FEF"/>
    <w:rsid w:val="00AC5999"/>
    <w:rsid w:val="00AF5A96"/>
    <w:rsid w:val="00B0497F"/>
    <w:rsid w:val="00B04E4B"/>
    <w:rsid w:val="00B4304D"/>
    <w:rsid w:val="00B45B1D"/>
    <w:rsid w:val="00B56068"/>
    <w:rsid w:val="00BA53D2"/>
    <w:rsid w:val="00BC0C26"/>
    <w:rsid w:val="00BD6FF8"/>
    <w:rsid w:val="00C16F08"/>
    <w:rsid w:val="00C41BBB"/>
    <w:rsid w:val="00CA03F6"/>
    <w:rsid w:val="00CA0B52"/>
    <w:rsid w:val="00CA2B69"/>
    <w:rsid w:val="00CA6974"/>
    <w:rsid w:val="00CD1466"/>
    <w:rsid w:val="00D24527"/>
    <w:rsid w:val="00D479BE"/>
    <w:rsid w:val="00D70F40"/>
    <w:rsid w:val="00DB1E28"/>
    <w:rsid w:val="00DB2D57"/>
    <w:rsid w:val="00DE575B"/>
    <w:rsid w:val="00DE603E"/>
    <w:rsid w:val="00DF42C9"/>
    <w:rsid w:val="00DF7576"/>
    <w:rsid w:val="00E01650"/>
    <w:rsid w:val="00E935FE"/>
    <w:rsid w:val="00EA359B"/>
    <w:rsid w:val="00EE2F39"/>
    <w:rsid w:val="00F04BB0"/>
    <w:rsid w:val="00F15CB3"/>
    <w:rsid w:val="00F268B7"/>
    <w:rsid w:val="00F903E4"/>
    <w:rsid w:val="00FA6DAD"/>
    <w:rsid w:val="00FD1466"/>
    <w:rsid w:val="00FD32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C8D460-A842-4D90-BDDB-A670F3C6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9D2"/>
    <w:pPr>
      <w:spacing w:after="0" w:line="240" w:lineRule="auto"/>
    </w:pPr>
    <w:rPr>
      <w:rFonts w:ascii="Times New Roman" w:eastAsia="Times New Roman" w:hAnsi="Times New Roman" w:cs="Times New Roman"/>
      <w:sz w:val="24"/>
      <w:szCs w:val="24"/>
      <w:lang w:val="es-CO" w:eastAsia="es-ES"/>
    </w:rPr>
  </w:style>
  <w:style w:type="paragraph" w:styleId="Ttulo3">
    <w:name w:val="heading 3"/>
    <w:basedOn w:val="Normal"/>
    <w:next w:val="Normal"/>
    <w:link w:val="Ttulo3Car"/>
    <w:qFormat/>
    <w:rsid w:val="002329D2"/>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329D2"/>
    <w:rPr>
      <w:rFonts w:ascii="Arial" w:eastAsia="Times New Roman" w:hAnsi="Arial" w:cs="Times New Roman"/>
      <w:b/>
      <w:sz w:val="36"/>
      <w:szCs w:val="20"/>
      <w:lang w:val="es-ES_tradnl" w:eastAsia="es-ES"/>
    </w:rPr>
  </w:style>
  <w:style w:type="paragraph" w:styleId="Sinespaciado">
    <w:name w:val="No Spacing"/>
    <w:uiPriority w:val="1"/>
    <w:qFormat/>
    <w:rsid w:val="002329D2"/>
    <w:pPr>
      <w:spacing w:after="0" w:line="240" w:lineRule="auto"/>
    </w:pPr>
    <w:rPr>
      <w:rFonts w:ascii="Times New Roman" w:eastAsia="Times New Roman" w:hAnsi="Times New Roman" w:cs="Times New Roman"/>
      <w:sz w:val="24"/>
      <w:szCs w:val="24"/>
      <w:lang w:val="es-CO" w:eastAsia="es-ES"/>
    </w:rPr>
  </w:style>
  <w:style w:type="paragraph" w:styleId="Encabezado">
    <w:name w:val="header"/>
    <w:basedOn w:val="Normal"/>
    <w:link w:val="EncabezadoCar"/>
    <w:uiPriority w:val="99"/>
    <w:unhideWhenUsed/>
    <w:rsid w:val="002329D2"/>
    <w:pPr>
      <w:tabs>
        <w:tab w:val="center" w:pos="4252"/>
        <w:tab w:val="right" w:pos="8504"/>
      </w:tabs>
    </w:pPr>
  </w:style>
  <w:style w:type="character" w:customStyle="1" w:styleId="EncabezadoCar">
    <w:name w:val="Encabezado Car"/>
    <w:basedOn w:val="Fuentedeprrafopredeter"/>
    <w:link w:val="Encabezado"/>
    <w:uiPriority w:val="99"/>
    <w:rsid w:val="002329D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2329D2"/>
    <w:pPr>
      <w:tabs>
        <w:tab w:val="center" w:pos="4252"/>
        <w:tab w:val="right" w:pos="8504"/>
      </w:tabs>
    </w:pPr>
  </w:style>
  <w:style w:type="character" w:customStyle="1" w:styleId="PiedepginaCar">
    <w:name w:val="Pie de página Car"/>
    <w:basedOn w:val="Fuentedeprrafopredeter"/>
    <w:link w:val="Piedepgina"/>
    <w:uiPriority w:val="99"/>
    <w:rsid w:val="002329D2"/>
    <w:rPr>
      <w:rFonts w:ascii="Times New Roman" w:eastAsia="Times New Roman" w:hAnsi="Times New Roman" w:cs="Times New Roman"/>
      <w:sz w:val="24"/>
      <w:szCs w:val="24"/>
      <w:lang w:val="es-CO" w:eastAsia="es-ES"/>
    </w:rPr>
  </w:style>
  <w:style w:type="paragraph" w:styleId="Prrafodelista">
    <w:name w:val="List Paragraph"/>
    <w:basedOn w:val="Normal"/>
    <w:uiPriority w:val="34"/>
    <w:qFormat/>
    <w:rsid w:val="00CA2B69"/>
    <w:pPr>
      <w:ind w:left="720"/>
      <w:contextualSpacing/>
    </w:pPr>
    <w:rPr>
      <w:szCs w:val="20"/>
      <w:lang w:val="es-ES_tradnl"/>
    </w:rPr>
  </w:style>
  <w:style w:type="character" w:customStyle="1" w:styleId="letra14pt">
    <w:name w:val="letra14pt"/>
    <w:basedOn w:val="Fuentedeprrafopredeter"/>
    <w:rsid w:val="00DE575B"/>
  </w:style>
  <w:style w:type="character" w:styleId="Refdenotaalpie">
    <w:name w:val="footnote reference"/>
    <w:basedOn w:val="Fuentedeprrafopredeter"/>
    <w:uiPriority w:val="99"/>
    <w:semiHidden/>
    <w:unhideWhenUsed/>
    <w:rsid w:val="0013369D"/>
  </w:style>
  <w:style w:type="character" w:customStyle="1" w:styleId="TextoindependienteCar">
    <w:name w:val="Texto independiente Car"/>
    <w:link w:val="Textoindependiente"/>
    <w:locked/>
    <w:rsid w:val="00AC5999"/>
    <w:rPr>
      <w:rFonts w:ascii="Arial" w:hAnsi="Arial" w:cs="Arial"/>
      <w:sz w:val="24"/>
      <w:lang w:val="es-ES_tradnl" w:eastAsia="es-ES"/>
    </w:rPr>
  </w:style>
  <w:style w:type="paragraph" w:styleId="Textoindependiente">
    <w:name w:val="Body Text"/>
    <w:basedOn w:val="Normal"/>
    <w:link w:val="TextoindependienteCar"/>
    <w:rsid w:val="00AC5999"/>
    <w:pPr>
      <w:jc w:val="both"/>
    </w:pPr>
    <w:rPr>
      <w:rFonts w:ascii="Arial" w:eastAsiaTheme="minorHAnsi" w:hAnsi="Arial" w:cs="Arial"/>
      <w:szCs w:val="22"/>
      <w:lang w:val="es-ES_tradnl"/>
    </w:rPr>
  </w:style>
  <w:style w:type="character" w:customStyle="1" w:styleId="TextoindependienteCar1">
    <w:name w:val="Texto independiente Car1"/>
    <w:basedOn w:val="Fuentedeprrafopredeter"/>
    <w:uiPriority w:val="99"/>
    <w:semiHidden/>
    <w:rsid w:val="00AC5999"/>
    <w:rPr>
      <w:rFonts w:ascii="Times New Roman" w:eastAsia="Times New Roman" w:hAnsi="Times New Roman" w:cs="Times New Roman"/>
      <w:sz w:val="24"/>
      <w:szCs w:val="24"/>
      <w:lang w:val="es-CO" w:eastAsia="es-ES"/>
    </w:rPr>
  </w:style>
  <w:style w:type="paragraph" w:customStyle="1" w:styleId="Prrafodelista1">
    <w:name w:val="Párrafo de lista1"/>
    <w:basedOn w:val="Normal"/>
    <w:rsid w:val="00B45B1D"/>
    <w:pPr>
      <w:spacing w:after="200" w:line="276" w:lineRule="auto"/>
      <w:ind w:left="720"/>
      <w:contextualSpacing/>
    </w:pPr>
    <w:rPr>
      <w:rFonts w:ascii="Calibri" w:hAnsi="Calibri"/>
      <w:sz w:val="22"/>
      <w:szCs w:val="22"/>
      <w:lang w:eastAsia="en-US"/>
    </w:rPr>
  </w:style>
  <w:style w:type="paragraph" w:styleId="Textonotapie">
    <w:name w:val="footnote text"/>
    <w:basedOn w:val="Normal"/>
    <w:link w:val="TextonotapieCar"/>
    <w:uiPriority w:val="99"/>
    <w:semiHidden/>
    <w:unhideWhenUsed/>
    <w:rsid w:val="005A3BC1"/>
    <w:rPr>
      <w:sz w:val="20"/>
      <w:szCs w:val="20"/>
    </w:rPr>
  </w:style>
  <w:style w:type="character" w:customStyle="1" w:styleId="TextonotapieCar">
    <w:name w:val="Texto nota pie Car"/>
    <w:basedOn w:val="Fuentedeprrafopredeter"/>
    <w:link w:val="Textonotapie"/>
    <w:uiPriority w:val="99"/>
    <w:semiHidden/>
    <w:rsid w:val="005A3BC1"/>
    <w:rPr>
      <w:rFonts w:ascii="Times New Roman" w:eastAsia="Times New Roman" w:hAnsi="Times New Roman" w:cs="Times New Roman"/>
      <w:sz w:val="20"/>
      <w:szCs w:val="20"/>
      <w:lang w:val="es-CO" w:eastAsia="es-ES"/>
    </w:rPr>
  </w:style>
  <w:style w:type="paragraph" w:styleId="Textonotaalfinal">
    <w:name w:val="endnote text"/>
    <w:basedOn w:val="Normal"/>
    <w:link w:val="TextonotaalfinalCar"/>
    <w:uiPriority w:val="99"/>
    <w:semiHidden/>
    <w:unhideWhenUsed/>
    <w:rsid w:val="009B55DA"/>
    <w:rPr>
      <w:sz w:val="20"/>
      <w:szCs w:val="20"/>
    </w:rPr>
  </w:style>
  <w:style w:type="character" w:customStyle="1" w:styleId="TextonotaalfinalCar">
    <w:name w:val="Texto nota al final Car"/>
    <w:basedOn w:val="Fuentedeprrafopredeter"/>
    <w:link w:val="Textonotaalfinal"/>
    <w:uiPriority w:val="99"/>
    <w:semiHidden/>
    <w:rsid w:val="009B55DA"/>
    <w:rPr>
      <w:rFonts w:ascii="Times New Roman" w:eastAsia="Times New Roman" w:hAnsi="Times New Roman" w:cs="Times New Roman"/>
      <w:sz w:val="20"/>
      <w:szCs w:val="20"/>
      <w:lang w:val="es-CO" w:eastAsia="es-ES"/>
    </w:rPr>
  </w:style>
  <w:style w:type="character" w:styleId="Refdenotaalfinal">
    <w:name w:val="endnote reference"/>
    <w:basedOn w:val="Fuentedeprrafopredeter"/>
    <w:uiPriority w:val="99"/>
    <w:semiHidden/>
    <w:unhideWhenUsed/>
    <w:rsid w:val="009B55DA"/>
    <w:rPr>
      <w:vertAlign w:val="superscript"/>
    </w:rPr>
  </w:style>
  <w:style w:type="paragraph" w:styleId="Textodeglobo">
    <w:name w:val="Balloon Text"/>
    <w:basedOn w:val="Normal"/>
    <w:link w:val="TextodegloboCar"/>
    <w:uiPriority w:val="99"/>
    <w:semiHidden/>
    <w:unhideWhenUsed/>
    <w:rsid w:val="00DB1E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1E28"/>
    <w:rPr>
      <w:rFonts w:ascii="Segoe UI" w:eastAsia="Times New Roman"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3295">
      <w:bodyDiv w:val="1"/>
      <w:marLeft w:val="0"/>
      <w:marRight w:val="0"/>
      <w:marTop w:val="0"/>
      <w:marBottom w:val="0"/>
      <w:divBdr>
        <w:top w:val="none" w:sz="0" w:space="0" w:color="auto"/>
        <w:left w:val="none" w:sz="0" w:space="0" w:color="auto"/>
        <w:bottom w:val="none" w:sz="0" w:space="0" w:color="auto"/>
        <w:right w:val="none" w:sz="0" w:space="0" w:color="auto"/>
      </w:divBdr>
    </w:div>
    <w:div w:id="648051570">
      <w:bodyDiv w:val="1"/>
      <w:marLeft w:val="0"/>
      <w:marRight w:val="0"/>
      <w:marTop w:val="0"/>
      <w:marBottom w:val="0"/>
      <w:divBdr>
        <w:top w:val="none" w:sz="0" w:space="0" w:color="auto"/>
        <w:left w:val="none" w:sz="0" w:space="0" w:color="auto"/>
        <w:bottom w:val="none" w:sz="0" w:space="0" w:color="auto"/>
        <w:right w:val="none" w:sz="0" w:space="0" w:color="auto"/>
      </w:divBdr>
    </w:div>
    <w:div w:id="1450127655">
      <w:bodyDiv w:val="1"/>
      <w:marLeft w:val="0"/>
      <w:marRight w:val="0"/>
      <w:marTop w:val="0"/>
      <w:marBottom w:val="0"/>
      <w:divBdr>
        <w:top w:val="none" w:sz="0" w:space="0" w:color="auto"/>
        <w:left w:val="none" w:sz="0" w:space="0" w:color="auto"/>
        <w:bottom w:val="none" w:sz="0" w:space="0" w:color="auto"/>
        <w:right w:val="none" w:sz="0" w:space="0" w:color="auto"/>
      </w:divBdr>
    </w:div>
    <w:div w:id="1711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115E-3E2A-4C9A-B868-DBB7A5F0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3278</Words>
  <Characters>18035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10</cp:revision>
  <cp:lastPrinted>2019-10-17T14:01:00Z</cp:lastPrinted>
  <dcterms:created xsi:type="dcterms:W3CDTF">2019-10-17T13:38:00Z</dcterms:created>
  <dcterms:modified xsi:type="dcterms:W3CDTF">2019-11-21T18:45:00Z</dcterms:modified>
</cp:coreProperties>
</file>