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B73" w:rsidRPr="005B3B73" w:rsidRDefault="005B3B73" w:rsidP="005B3B7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5B3B7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B3B73" w:rsidRPr="005B3B73" w:rsidRDefault="005B3B73" w:rsidP="005B3B73">
      <w:pPr>
        <w:jc w:val="both"/>
        <w:rPr>
          <w:rFonts w:ascii="Arial" w:hAnsi="Arial" w:cs="Arial"/>
          <w:sz w:val="20"/>
          <w:lang w:val="es-419"/>
        </w:rPr>
      </w:pPr>
    </w:p>
    <w:p w:rsidR="005B3B73" w:rsidRPr="005B3B73" w:rsidRDefault="005B3B73" w:rsidP="005B3B73">
      <w:pPr>
        <w:jc w:val="both"/>
        <w:rPr>
          <w:rFonts w:ascii="Arial" w:hAnsi="Arial" w:cs="Arial"/>
          <w:sz w:val="20"/>
          <w:lang w:val="es-419"/>
        </w:rPr>
      </w:pPr>
      <w:r w:rsidRPr="005B3B73">
        <w:rPr>
          <w:rFonts w:ascii="Arial" w:hAnsi="Arial" w:cs="Arial"/>
          <w:sz w:val="20"/>
          <w:lang w:val="es-419"/>
        </w:rPr>
        <w:t>Providencia:</w:t>
      </w:r>
      <w:r w:rsidRPr="005B3B73">
        <w:rPr>
          <w:rFonts w:ascii="Arial" w:hAnsi="Arial" w:cs="Arial"/>
          <w:sz w:val="20"/>
          <w:lang w:val="es-419"/>
        </w:rPr>
        <w:tab/>
      </w:r>
      <w:r w:rsidRPr="005B3B73">
        <w:rPr>
          <w:rFonts w:ascii="Arial" w:hAnsi="Arial" w:cs="Arial"/>
          <w:sz w:val="20"/>
          <w:lang w:val="es-419"/>
        </w:rPr>
        <w:tab/>
        <w:t>Sentencia de Segunda Instancia, 10 de octubre de 2019.</w:t>
      </w:r>
    </w:p>
    <w:p w:rsidR="005B3B73" w:rsidRPr="005B3B73" w:rsidRDefault="005B3B73" w:rsidP="005B3B73">
      <w:pPr>
        <w:jc w:val="both"/>
        <w:rPr>
          <w:rFonts w:ascii="Arial" w:hAnsi="Arial" w:cs="Arial"/>
          <w:sz w:val="20"/>
          <w:lang w:val="es-419"/>
        </w:rPr>
      </w:pPr>
      <w:r w:rsidRPr="005B3B73">
        <w:rPr>
          <w:rFonts w:ascii="Arial" w:hAnsi="Arial" w:cs="Arial"/>
          <w:sz w:val="20"/>
          <w:lang w:val="es-419"/>
        </w:rPr>
        <w:t>Radicación No:</w:t>
      </w:r>
      <w:r>
        <w:rPr>
          <w:rFonts w:ascii="Arial" w:hAnsi="Arial" w:cs="Arial"/>
          <w:sz w:val="20"/>
          <w:lang w:val="es-419"/>
        </w:rPr>
        <w:tab/>
      </w:r>
      <w:r w:rsidRPr="005B3B73">
        <w:rPr>
          <w:rFonts w:ascii="Arial" w:hAnsi="Arial" w:cs="Arial"/>
          <w:sz w:val="20"/>
          <w:lang w:val="es-419"/>
        </w:rPr>
        <w:tab/>
        <w:t>66001</w:t>
      </w:r>
      <w:r w:rsidR="00352EE1">
        <w:rPr>
          <w:rFonts w:ascii="Arial" w:hAnsi="Arial" w:cs="Arial"/>
          <w:sz w:val="20"/>
          <w:lang w:val="es-CO"/>
        </w:rPr>
        <w:t>-</w:t>
      </w:r>
      <w:r w:rsidRPr="005B3B73">
        <w:rPr>
          <w:rFonts w:ascii="Arial" w:hAnsi="Arial" w:cs="Arial"/>
          <w:sz w:val="20"/>
          <w:lang w:val="es-419"/>
        </w:rPr>
        <w:t>31</w:t>
      </w:r>
      <w:r w:rsidR="00352EE1">
        <w:rPr>
          <w:rFonts w:ascii="Arial" w:hAnsi="Arial" w:cs="Arial"/>
          <w:sz w:val="20"/>
          <w:lang w:val="es-CO"/>
        </w:rPr>
        <w:t>-0</w:t>
      </w:r>
      <w:r w:rsidRPr="005B3B73">
        <w:rPr>
          <w:rFonts w:ascii="Arial" w:hAnsi="Arial" w:cs="Arial"/>
          <w:sz w:val="20"/>
          <w:lang w:val="es-419"/>
        </w:rPr>
        <w:t>1</w:t>
      </w:r>
      <w:r w:rsidR="00352EE1">
        <w:rPr>
          <w:rFonts w:ascii="Arial" w:hAnsi="Arial" w:cs="Arial"/>
          <w:sz w:val="20"/>
          <w:lang w:val="es-CO"/>
        </w:rPr>
        <w:t>-</w:t>
      </w:r>
      <w:r w:rsidRPr="005B3B73">
        <w:rPr>
          <w:rFonts w:ascii="Arial" w:hAnsi="Arial" w:cs="Arial"/>
          <w:sz w:val="20"/>
          <w:lang w:val="es-419"/>
        </w:rPr>
        <w:t>002-2018-00001-00</w:t>
      </w:r>
    </w:p>
    <w:p w:rsidR="005B3B73" w:rsidRPr="005B3B73" w:rsidRDefault="005B3B73" w:rsidP="005B3B73">
      <w:pPr>
        <w:jc w:val="both"/>
        <w:rPr>
          <w:rFonts w:ascii="Arial" w:hAnsi="Arial" w:cs="Arial"/>
          <w:sz w:val="20"/>
          <w:lang w:val="es-419"/>
        </w:rPr>
      </w:pPr>
      <w:r>
        <w:rPr>
          <w:rFonts w:ascii="Arial" w:hAnsi="Arial" w:cs="Arial"/>
          <w:sz w:val="20"/>
          <w:lang w:val="es-419"/>
        </w:rPr>
        <w:t>Proceso:</w:t>
      </w:r>
      <w:r w:rsidRPr="005B3B73">
        <w:rPr>
          <w:rFonts w:ascii="Arial" w:hAnsi="Arial" w:cs="Arial"/>
          <w:sz w:val="20"/>
          <w:lang w:val="es-419"/>
        </w:rPr>
        <w:tab/>
      </w:r>
      <w:r w:rsidRPr="005B3B73">
        <w:rPr>
          <w:rFonts w:ascii="Arial" w:hAnsi="Arial" w:cs="Arial"/>
          <w:sz w:val="20"/>
          <w:lang w:val="es-419"/>
        </w:rPr>
        <w:tab/>
        <w:t>Ordinario Laboral.</w:t>
      </w:r>
    </w:p>
    <w:p w:rsidR="005B3B73" w:rsidRPr="005B3B73" w:rsidRDefault="005B3B73" w:rsidP="005B3B73">
      <w:pPr>
        <w:jc w:val="both"/>
        <w:rPr>
          <w:rFonts w:ascii="Arial" w:hAnsi="Arial" w:cs="Arial"/>
          <w:sz w:val="20"/>
          <w:lang w:val="es-419"/>
        </w:rPr>
      </w:pPr>
      <w:r w:rsidRPr="005B3B73">
        <w:rPr>
          <w:rFonts w:ascii="Arial" w:hAnsi="Arial" w:cs="Arial"/>
          <w:sz w:val="20"/>
          <w:lang w:val="es-419"/>
        </w:rPr>
        <w:t>Demandante:</w:t>
      </w:r>
      <w:r>
        <w:rPr>
          <w:rFonts w:ascii="Arial" w:hAnsi="Arial" w:cs="Arial"/>
          <w:sz w:val="20"/>
          <w:lang w:val="es-419"/>
        </w:rPr>
        <w:tab/>
      </w:r>
      <w:r>
        <w:rPr>
          <w:rFonts w:ascii="Arial" w:hAnsi="Arial" w:cs="Arial"/>
          <w:sz w:val="20"/>
          <w:lang w:val="es-419"/>
        </w:rPr>
        <w:tab/>
        <w:t>Pedro José Giraldo Salazar</w:t>
      </w:r>
    </w:p>
    <w:p w:rsidR="005B3B73" w:rsidRPr="005B3B73" w:rsidRDefault="005B3B73" w:rsidP="005B3B73">
      <w:pPr>
        <w:jc w:val="both"/>
        <w:rPr>
          <w:rFonts w:ascii="Arial" w:hAnsi="Arial" w:cs="Arial"/>
          <w:sz w:val="20"/>
          <w:lang w:val="es-419"/>
        </w:rPr>
      </w:pPr>
      <w:r w:rsidRPr="005B3B73">
        <w:rPr>
          <w:rFonts w:ascii="Arial" w:hAnsi="Arial" w:cs="Arial"/>
          <w:sz w:val="20"/>
          <w:lang w:val="es-419"/>
        </w:rPr>
        <w:t>Demandado:</w:t>
      </w:r>
      <w:r w:rsidRPr="005B3B73">
        <w:rPr>
          <w:rFonts w:ascii="Arial" w:hAnsi="Arial" w:cs="Arial"/>
          <w:sz w:val="20"/>
          <w:lang w:val="es-419"/>
        </w:rPr>
        <w:tab/>
      </w:r>
      <w:r w:rsidRPr="005B3B73">
        <w:rPr>
          <w:rFonts w:ascii="Arial" w:hAnsi="Arial" w:cs="Arial"/>
          <w:sz w:val="20"/>
          <w:lang w:val="es-419"/>
        </w:rPr>
        <w:tab/>
        <w:t>Sociedad Administradora de Fondos de Pensiones y Cesantías Porvenir</w:t>
      </w:r>
    </w:p>
    <w:p w:rsidR="005B3B73" w:rsidRPr="005B3B73" w:rsidRDefault="005B3B73" w:rsidP="005B3B73">
      <w:pPr>
        <w:jc w:val="both"/>
        <w:rPr>
          <w:rFonts w:ascii="Arial" w:hAnsi="Arial" w:cs="Arial"/>
          <w:sz w:val="20"/>
          <w:lang w:val="es-419"/>
        </w:rPr>
      </w:pPr>
      <w:r w:rsidRPr="005B3B73">
        <w:rPr>
          <w:rFonts w:ascii="Arial" w:hAnsi="Arial" w:cs="Arial"/>
          <w:sz w:val="20"/>
          <w:lang w:val="es-419"/>
        </w:rPr>
        <w:t>Juzgado de origen:</w:t>
      </w:r>
      <w:r w:rsidRPr="005B3B73">
        <w:rPr>
          <w:rFonts w:ascii="Arial" w:hAnsi="Arial" w:cs="Arial"/>
          <w:sz w:val="20"/>
          <w:lang w:val="es-419"/>
        </w:rPr>
        <w:tab/>
        <w:t>Segundo Laboral del Circuito de Pereira.</w:t>
      </w:r>
    </w:p>
    <w:p w:rsidR="005B3B73" w:rsidRPr="005B3B73" w:rsidRDefault="005B3B73" w:rsidP="005B3B73">
      <w:pPr>
        <w:jc w:val="both"/>
        <w:rPr>
          <w:rFonts w:ascii="Arial" w:hAnsi="Arial" w:cs="Arial"/>
          <w:sz w:val="20"/>
          <w:lang w:val="es-419"/>
        </w:rPr>
      </w:pPr>
      <w:r w:rsidRPr="005B3B73">
        <w:rPr>
          <w:rFonts w:ascii="Arial" w:hAnsi="Arial" w:cs="Arial"/>
          <w:sz w:val="20"/>
          <w:lang w:val="es-419"/>
        </w:rPr>
        <w:t>Magistrado Ponente:</w:t>
      </w:r>
      <w:r w:rsidRPr="005B3B73">
        <w:rPr>
          <w:rFonts w:ascii="Arial" w:hAnsi="Arial" w:cs="Arial"/>
          <w:sz w:val="20"/>
          <w:lang w:val="es-419"/>
        </w:rPr>
        <w:tab/>
        <w:t>Francisco Javier Tamayo Tabares.</w:t>
      </w:r>
    </w:p>
    <w:p w:rsidR="005B3B73" w:rsidRPr="005B3B73" w:rsidRDefault="005B3B73" w:rsidP="005B3B73">
      <w:pPr>
        <w:jc w:val="both"/>
        <w:rPr>
          <w:rFonts w:ascii="Arial" w:hAnsi="Arial" w:cs="Arial"/>
          <w:sz w:val="20"/>
          <w:lang w:val="es-419"/>
        </w:rPr>
      </w:pPr>
    </w:p>
    <w:p w:rsidR="005B3B73" w:rsidRPr="005B3B73" w:rsidRDefault="005B3B73" w:rsidP="005B3B73">
      <w:pPr>
        <w:jc w:val="both"/>
        <w:rPr>
          <w:rFonts w:ascii="Arial" w:hAnsi="Arial" w:cs="Arial"/>
          <w:b/>
          <w:bCs/>
          <w:iCs/>
          <w:sz w:val="20"/>
          <w:lang w:val="es-419" w:eastAsia="fr-FR"/>
        </w:rPr>
      </w:pPr>
      <w:r w:rsidRPr="005B3B73">
        <w:rPr>
          <w:rFonts w:ascii="Arial" w:hAnsi="Arial" w:cs="Arial"/>
          <w:b/>
          <w:bCs/>
          <w:iCs/>
          <w:sz w:val="20"/>
          <w:u w:val="single"/>
          <w:lang w:val="es-419" w:eastAsia="fr-FR"/>
        </w:rPr>
        <w:t>TEMAS:</w:t>
      </w:r>
      <w:r w:rsidRPr="005B3B73">
        <w:rPr>
          <w:rFonts w:ascii="Arial" w:hAnsi="Arial" w:cs="Arial"/>
          <w:b/>
          <w:bCs/>
          <w:iCs/>
          <w:sz w:val="20"/>
          <w:lang w:val="es-419" w:eastAsia="fr-FR"/>
        </w:rPr>
        <w:tab/>
      </w:r>
      <w:r w:rsidR="00BF4177" w:rsidRPr="00BF4177">
        <w:rPr>
          <w:rFonts w:ascii="Arial" w:hAnsi="Arial" w:cs="Arial"/>
          <w:b/>
          <w:sz w:val="20"/>
          <w:lang w:val="es-419"/>
        </w:rPr>
        <w:t xml:space="preserve">PENSIÓN </w:t>
      </w:r>
      <w:r w:rsidR="006C0194">
        <w:rPr>
          <w:rFonts w:ascii="Arial" w:hAnsi="Arial" w:cs="Arial"/>
          <w:b/>
          <w:sz w:val="20"/>
          <w:lang w:val="es-CO"/>
        </w:rPr>
        <w:t xml:space="preserve">DE INVALIDEZ </w:t>
      </w:r>
      <w:r w:rsidR="00BF4177" w:rsidRPr="00BF4177">
        <w:rPr>
          <w:rFonts w:ascii="Arial" w:hAnsi="Arial" w:cs="Arial"/>
          <w:b/>
          <w:sz w:val="20"/>
          <w:lang w:val="es-419"/>
        </w:rPr>
        <w:t xml:space="preserve">/ CAUSADA EN VIGENCIA DE LA LEY </w:t>
      </w:r>
      <w:r w:rsidR="00BF4177">
        <w:rPr>
          <w:rFonts w:ascii="Arial" w:hAnsi="Arial" w:cs="Arial"/>
          <w:b/>
          <w:sz w:val="20"/>
          <w:lang w:val="es-CO"/>
        </w:rPr>
        <w:t>860</w:t>
      </w:r>
      <w:r w:rsidR="00BF4177" w:rsidRPr="00BF4177">
        <w:rPr>
          <w:rFonts w:ascii="Arial" w:hAnsi="Arial" w:cs="Arial"/>
          <w:b/>
          <w:sz w:val="20"/>
          <w:lang w:val="es-419"/>
        </w:rPr>
        <w:t xml:space="preserve"> DE 2003 / NO SE CUMPLEN SUS REQUISITOS / CONDICIÓN MÁS BENEFICIOSA PARA APLICAR LEY 100 DE 1993 / LÍMITE TEMPORAL / TRES AÑOS DESDE LA VIGENCIA DE DICHA LEY / NO SE CUMPLE EN ESTE CASO.</w:t>
      </w:r>
      <w:r w:rsidRPr="005B3B73">
        <w:rPr>
          <w:rFonts w:ascii="Arial" w:hAnsi="Arial" w:cs="Arial"/>
          <w:b/>
          <w:bCs/>
          <w:iCs/>
          <w:sz w:val="20"/>
          <w:lang w:val="es-419" w:eastAsia="fr-FR"/>
        </w:rPr>
        <w:t xml:space="preserve"> </w:t>
      </w:r>
    </w:p>
    <w:p w:rsidR="005B3B73" w:rsidRDefault="005B3B73" w:rsidP="005B3B73">
      <w:pPr>
        <w:jc w:val="both"/>
        <w:rPr>
          <w:rFonts w:ascii="Arial" w:hAnsi="Arial" w:cs="Arial"/>
          <w:sz w:val="20"/>
          <w:lang w:val="es-419"/>
        </w:rPr>
      </w:pPr>
    </w:p>
    <w:p w:rsidR="006A045F" w:rsidRPr="006A045F" w:rsidRDefault="006A045F" w:rsidP="006A045F">
      <w:pPr>
        <w:jc w:val="both"/>
        <w:rPr>
          <w:rFonts w:ascii="Arial" w:hAnsi="Arial" w:cs="Arial"/>
          <w:sz w:val="20"/>
          <w:lang w:val="es-419"/>
        </w:rPr>
      </w:pPr>
      <w:r>
        <w:rPr>
          <w:rFonts w:ascii="Arial" w:hAnsi="Arial" w:cs="Arial"/>
          <w:sz w:val="20"/>
          <w:lang w:val="es-CO"/>
        </w:rPr>
        <w:t xml:space="preserve">… </w:t>
      </w:r>
      <w:r w:rsidRPr="006A045F">
        <w:rPr>
          <w:rFonts w:ascii="Arial" w:hAnsi="Arial" w:cs="Arial"/>
          <w:sz w:val="20"/>
          <w:lang w:val="es-419"/>
        </w:rPr>
        <w:t xml:space="preserve">la norma que rige la situación pensional del actor, esto es, el artículo 39 de la Ley 100 de 1993, modificado por el artículo 1º de la Ley 860 de 2003, por ser la vigente al momento de estructurarse su estado invalidante. Dicha disposición exige además de la pérdida de capacidad laboral igual o superior al 50%, una densidad de aportes al sistema pensional de 50 semanas o más en los tres años anteriores a la fecha de estructuración de la invalidez, requisito este que valga anotar, no satisfizo el actor, si se tiene en cuenta que dentro de ese periodo, concretamente, entre el 4 de diciembre de 2013 y ese mismo día y mes del año 2010, sólo cotizó 8 semanas al sistema pensional.  </w:t>
      </w:r>
    </w:p>
    <w:p w:rsidR="006A045F" w:rsidRPr="006A045F" w:rsidRDefault="006A045F" w:rsidP="006A045F">
      <w:pPr>
        <w:jc w:val="both"/>
        <w:rPr>
          <w:rFonts w:ascii="Arial" w:hAnsi="Arial" w:cs="Arial"/>
          <w:sz w:val="20"/>
          <w:lang w:val="es-419"/>
        </w:rPr>
      </w:pPr>
    </w:p>
    <w:p w:rsidR="006A045F" w:rsidRPr="006A045F" w:rsidRDefault="006A045F" w:rsidP="006A045F">
      <w:pPr>
        <w:jc w:val="both"/>
        <w:rPr>
          <w:rFonts w:ascii="Arial" w:hAnsi="Arial" w:cs="Arial"/>
          <w:sz w:val="20"/>
          <w:lang w:val="es-419"/>
        </w:rPr>
      </w:pPr>
      <w:r w:rsidRPr="006A045F">
        <w:rPr>
          <w:rFonts w:ascii="Arial" w:hAnsi="Arial" w:cs="Arial"/>
          <w:sz w:val="20"/>
          <w:lang w:val="es-419"/>
        </w:rPr>
        <w:t xml:space="preserve">Ahora bien, el demandante solicitó la aplicación del artículo 39 original de la Ley 100 de 1993, con venero en el principio de la condición más beneficiosa. </w:t>
      </w:r>
    </w:p>
    <w:p w:rsidR="006A045F" w:rsidRPr="006A045F" w:rsidRDefault="006A045F" w:rsidP="006A045F">
      <w:pPr>
        <w:jc w:val="both"/>
        <w:rPr>
          <w:rFonts w:ascii="Arial" w:hAnsi="Arial" w:cs="Arial"/>
          <w:sz w:val="20"/>
          <w:lang w:val="es-419"/>
        </w:rPr>
      </w:pPr>
    </w:p>
    <w:p w:rsidR="006A045F" w:rsidRPr="006A045F" w:rsidRDefault="006A045F" w:rsidP="006A045F">
      <w:pPr>
        <w:jc w:val="both"/>
        <w:rPr>
          <w:rFonts w:ascii="Arial" w:hAnsi="Arial" w:cs="Arial"/>
          <w:sz w:val="20"/>
          <w:lang w:val="es-CO"/>
        </w:rPr>
      </w:pPr>
      <w:r w:rsidRPr="006A045F">
        <w:rPr>
          <w:rFonts w:ascii="Arial" w:hAnsi="Arial" w:cs="Arial"/>
          <w:sz w:val="20"/>
          <w:lang w:val="es-419"/>
        </w:rPr>
        <w:t>En ese sentido, acorde con la interpretación de la Sala de Casación Laboral, ese precepto normativo - Art. 39 Ley 100/93 en su versión original - continuaría produciendo efectos jurídicos por un tiempo determinado de tres años, por ser el tiempo que la nueva normativa, la Ley 860 de 2003, dispuso como necesario para que los afiliados cumplieran los requisitos exigidos para la obtención del derecho pensional, por ende, su permanencia en el tiempo se extendería únicamente hasta el 26 de diciembre de 2006, para las personas que poseen una expectativa legítima, sin que con posterioridad a esa calenda sea viable su aplicación, por cuanto el principio de la condición más beneficiosa no puede convertirse en obstáculo de los cambios normativos, dada su aplicación excepcional y restrictiva.</w:t>
      </w:r>
      <w:r>
        <w:rPr>
          <w:rFonts w:ascii="Arial" w:hAnsi="Arial" w:cs="Arial"/>
          <w:sz w:val="20"/>
          <w:lang w:val="es-CO"/>
        </w:rPr>
        <w:t xml:space="preserve"> (…)</w:t>
      </w:r>
    </w:p>
    <w:p w:rsidR="006A045F" w:rsidRDefault="006A045F" w:rsidP="005B3B73">
      <w:pPr>
        <w:jc w:val="both"/>
        <w:rPr>
          <w:rFonts w:ascii="Arial" w:hAnsi="Arial" w:cs="Arial"/>
          <w:sz w:val="20"/>
          <w:lang w:val="es-419"/>
        </w:rPr>
      </w:pPr>
    </w:p>
    <w:p w:rsidR="005B3B73" w:rsidRDefault="00C90DAD" w:rsidP="005B3B73">
      <w:pPr>
        <w:jc w:val="both"/>
        <w:rPr>
          <w:rFonts w:ascii="Arial" w:hAnsi="Arial" w:cs="Arial"/>
          <w:sz w:val="20"/>
          <w:lang w:val="es-419"/>
        </w:rPr>
      </w:pPr>
      <w:r>
        <w:rPr>
          <w:rFonts w:ascii="Arial" w:hAnsi="Arial" w:cs="Arial"/>
          <w:sz w:val="20"/>
          <w:lang w:val="es-CO"/>
        </w:rPr>
        <w:t>…</w:t>
      </w:r>
      <w:r w:rsidRPr="00C90DAD">
        <w:rPr>
          <w:rFonts w:ascii="Arial" w:hAnsi="Arial" w:cs="Arial"/>
          <w:sz w:val="20"/>
          <w:lang w:val="es-419"/>
        </w:rPr>
        <w:t xml:space="preserve"> en punto al criterio de acceso al derecho pensional, para aquellos afiliados que no se encontraban cotizando al momento del cambio normativo de las leyes 100 de 1993 y 860 de 2003, esto es, al 26 de diciembre de 2003, caso en el cual se enmarca el demandante, se exige además de tener una pérdida de capacidad laboral igual o superior al 50 %, producida dentro de los tres años siguientes a la vigencia de la nueva norma, esto es, entre el 26 de diciembre de 2003 y ese mismo día y mes del año 2006, una densidad mínima de 26 semanas dentro del año inmediatamente anterior a la fecha del tránsito legislativo, es decir, entre el 26 de diciembre de 2002 y esa misma fecha del año 2003.</w:t>
      </w:r>
    </w:p>
    <w:p w:rsidR="00813B78" w:rsidRDefault="00813B78" w:rsidP="005B3B73">
      <w:pPr>
        <w:jc w:val="both"/>
        <w:rPr>
          <w:rFonts w:ascii="Arial" w:hAnsi="Arial" w:cs="Arial"/>
          <w:sz w:val="20"/>
          <w:lang w:val="es-419"/>
        </w:rPr>
      </w:pPr>
    </w:p>
    <w:p w:rsidR="00813B78" w:rsidRPr="00813B78" w:rsidRDefault="00813B78" w:rsidP="005B3B73">
      <w:pPr>
        <w:jc w:val="both"/>
        <w:rPr>
          <w:rFonts w:ascii="Arial" w:hAnsi="Arial" w:cs="Arial"/>
          <w:b/>
          <w:color w:val="FF0000"/>
          <w:sz w:val="20"/>
          <w:lang w:val="es-CO"/>
        </w:rPr>
      </w:pPr>
      <w:r w:rsidRPr="00813B78">
        <w:rPr>
          <w:rFonts w:ascii="Arial" w:hAnsi="Arial" w:cs="Arial"/>
          <w:b/>
          <w:color w:val="FF0000"/>
          <w:sz w:val="20"/>
          <w:lang w:val="es-CO"/>
        </w:rPr>
        <w:t>SALVAMENTO DE VOTO: DOCTORA ANA LUCÍA CAICEDO CALDERÓN</w:t>
      </w:r>
    </w:p>
    <w:p w:rsidR="005B3B73" w:rsidRDefault="005B3B73" w:rsidP="005B3B73">
      <w:pPr>
        <w:jc w:val="both"/>
        <w:rPr>
          <w:rFonts w:ascii="Arial" w:hAnsi="Arial" w:cs="Arial"/>
          <w:sz w:val="20"/>
          <w:lang w:val="es-419"/>
        </w:rPr>
      </w:pPr>
    </w:p>
    <w:p w:rsidR="00813B78" w:rsidRPr="00813B78" w:rsidRDefault="00813B78" w:rsidP="00813B78">
      <w:pPr>
        <w:jc w:val="both"/>
        <w:rPr>
          <w:rFonts w:ascii="Arial" w:hAnsi="Arial" w:cs="Arial"/>
          <w:sz w:val="20"/>
          <w:lang w:val="es-419"/>
        </w:rPr>
      </w:pPr>
      <w:r w:rsidRPr="00813B78">
        <w:rPr>
          <w:rFonts w:ascii="Arial" w:hAnsi="Arial" w:cs="Arial"/>
          <w:sz w:val="20"/>
          <w:lang w:val="es-419"/>
        </w:rPr>
        <w:t xml:space="preserve">Encuentro demasiado formalista el argumento según el cual, por el hecho de que no se haya solicitado en la demanda la aplicación del Acuerdo 049 de 1990, no era posible acudir en esta instancia al principio de la condición más beneficiosa en aplicación de dicha disposición normativa, pues ello desvirtúa el prevalencia del derecho sustancial sobre el formal y desdice el aforismo de uso común en la administración de justicia que reza “Dame los hechos, yo te daré el derecho” (Da mihi factum, dabo tibi ius). </w:t>
      </w:r>
    </w:p>
    <w:p w:rsidR="00813B78" w:rsidRPr="00813B78" w:rsidRDefault="00813B78" w:rsidP="00813B78">
      <w:pPr>
        <w:jc w:val="both"/>
        <w:rPr>
          <w:rFonts w:ascii="Arial" w:hAnsi="Arial" w:cs="Arial"/>
          <w:sz w:val="20"/>
          <w:lang w:val="es-419"/>
        </w:rPr>
      </w:pPr>
    </w:p>
    <w:p w:rsidR="00813B78" w:rsidRDefault="00813B78" w:rsidP="00813B78">
      <w:pPr>
        <w:jc w:val="both"/>
        <w:rPr>
          <w:rFonts w:ascii="Arial" w:hAnsi="Arial" w:cs="Arial"/>
          <w:sz w:val="20"/>
          <w:lang w:val="es-CO"/>
        </w:rPr>
      </w:pPr>
      <w:r w:rsidRPr="00813B78">
        <w:rPr>
          <w:rFonts w:ascii="Arial" w:hAnsi="Arial" w:cs="Arial"/>
          <w:sz w:val="20"/>
          <w:lang w:val="es-419"/>
        </w:rPr>
        <w:t>Por otra parte, respecto a la aplicación del principio de la condición más beneficiosa cuando se persigue el reconocimiento de una pensión de invalidez, las mayorías de la Sala de Decisión No. 4 de esta Corporación, en sentencia proferida el pasado 5 de septiembre, dentro del proceso radicado con el No. 2017-00172, M.P. Francisco Javier Tamayo Tabares, sostuvieron lo siguiente:</w:t>
      </w:r>
      <w:r>
        <w:rPr>
          <w:rFonts w:ascii="Arial" w:hAnsi="Arial" w:cs="Arial"/>
          <w:sz w:val="20"/>
          <w:lang w:val="es-CO"/>
        </w:rPr>
        <w:t xml:space="preserve"> (…)</w:t>
      </w:r>
    </w:p>
    <w:p w:rsidR="00813B78" w:rsidRDefault="00813B78" w:rsidP="00813B78">
      <w:pPr>
        <w:jc w:val="both"/>
        <w:rPr>
          <w:rFonts w:ascii="Arial" w:hAnsi="Arial" w:cs="Arial"/>
          <w:sz w:val="20"/>
          <w:lang w:val="es-CO"/>
        </w:rPr>
      </w:pPr>
    </w:p>
    <w:p w:rsidR="00813B78" w:rsidRPr="00813B78" w:rsidRDefault="00813B78" w:rsidP="00813B78">
      <w:pPr>
        <w:jc w:val="both"/>
        <w:rPr>
          <w:rFonts w:ascii="Arial" w:hAnsi="Arial" w:cs="Arial"/>
          <w:sz w:val="20"/>
          <w:lang w:val="es-CO"/>
        </w:rPr>
      </w:pPr>
      <w:r w:rsidRPr="00813B78">
        <w:rPr>
          <w:rFonts w:ascii="Arial" w:hAnsi="Arial" w:cs="Arial"/>
          <w:sz w:val="20"/>
          <w:lang w:val="es-CO"/>
        </w:rPr>
        <w:t>En virtud de lo anterior, considero que debió revocarse la sentencia de primera instancia y ordenar el reconocimiento de la pensión de invalidez deprecada, al contar el actor con una pérdida de capacidad laboral superior al 50% y más de 300 semanas cotizadas con antelación a la entrada en vigencia de la Ley 100 de 1993, según da cuenta la historia laboral que milita en el infolio.</w:t>
      </w:r>
    </w:p>
    <w:p w:rsidR="00813B78" w:rsidRPr="005B3B73" w:rsidRDefault="00813B78" w:rsidP="005B3B73">
      <w:pPr>
        <w:jc w:val="both"/>
        <w:rPr>
          <w:rFonts w:ascii="Arial" w:hAnsi="Arial" w:cs="Arial"/>
          <w:sz w:val="20"/>
          <w:lang w:val="es-419"/>
        </w:rPr>
      </w:pPr>
    </w:p>
    <w:p w:rsidR="005B3B73" w:rsidRPr="005B3B73" w:rsidRDefault="005B3B73" w:rsidP="005B3B73">
      <w:pPr>
        <w:jc w:val="both"/>
        <w:rPr>
          <w:rFonts w:ascii="Arial" w:hAnsi="Arial" w:cs="Arial"/>
          <w:sz w:val="20"/>
          <w:lang w:val="es-ES"/>
        </w:rPr>
      </w:pPr>
    </w:p>
    <w:p w:rsidR="005B3B73" w:rsidRPr="005B3B73" w:rsidRDefault="005B3B73" w:rsidP="005B3B73">
      <w:pPr>
        <w:jc w:val="both"/>
        <w:rPr>
          <w:rFonts w:ascii="Arial" w:hAnsi="Arial" w:cs="Arial"/>
          <w:sz w:val="20"/>
          <w:lang w:val="es-ES"/>
        </w:rPr>
      </w:pPr>
    </w:p>
    <w:p w:rsidR="005B3B73" w:rsidRPr="005B3B73" w:rsidRDefault="005B3B73" w:rsidP="006E3AD9">
      <w:pPr>
        <w:tabs>
          <w:tab w:val="left" w:pos="3105"/>
        </w:tabs>
        <w:spacing w:line="276" w:lineRule="auto"/>
        <w:ind w:left="1418" w:hanging="1418"/>
        <w:jc w:val="center"/>
        <w:rPr>
          <w:rFonts w:ascii="Arial Narrow" w:eastAsia="Calibri" w:hAnsi="Arial Narrow" w:cs="Arial"/>
          <w:b/>
          <w:sz w:val="26"/>
          <w:szCs w:val="26"/>
          <w:lang w:val="es-ES" w:eastAsia="en-US"/>
        </w:rPr>
      </w:pPr>
      <w:r w:rsidRPr="005B3B73">
        <w:rPr>
          <w:rFonts w:ascii="Arial Narrow" w:eastAsia="Calibri" w:hAnsi="Arial Narrow" w:cs="Arial"/>
          <w:b/>
          <w:sz w:val="26"/>
          <w:szCs w:val="26"/>
          <w:lang w:val="es-ES" w:eastAsia="en-US"/>
        </w:rPr>
        <w:t>REPÚBLICA DE COLOMBIA</w:t>
      </w:r>
    </w:p>
    <w:p w:rsidR="005B3B73" w:rsidRPr="005B3B73" w:rsidRDefault="005B3B73" w:rsidP="006E3AD9">
      <w:pPr>
        <w:tabs>
          <w:tab w:val="left" w:pos="3060"/>
        </w:tabs>
        <w:spacing w:line="276" w:lineRule="auto"/>
        <w:jc w:val="center"/>
        <w:rPr>
          <w:rFonts w:ascii="Arial Narrow" w:eastAsia="Calibri" w:hAnsi="Arial Narrow" w:cs="Arial"/>
          <w:b/>
          <w:sz w:val="26"/>
          <w:szCs w:val="26"/>
          <w:lang w:val="es-ES" w:eastAsia="en-US"/>
        </w:rPr>
      </w:pPr>
      <w:r w:rsidRPr="005B3B73">
        <w:rPr>
          <w:rFonts w:ascii="Arial Narrow" w:eastAsia="Calibri" w:hAnsi="Arial Narrow" w:cs="Arial"/>
          <w:b/>
          <w:noProof/>
          <w:sz w:val="26"/>
          <w:szCs w:val="26"/>
          <w:lang w:val="es-ES"/>
        </w:rPr>
        <w:lastRenderedPageBreak/>
        <w:drawing>
          <wp:inline distT="0" distB="0" distL="0" distR="0" wp14:anchorId="32ADAE90" wp14:editId="4C0E9803">
            <wp:extent cx="871220" cy="88201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5B3B73">
        <w:rPr>
          <w:rFonts w:ascii="Arial Narrow" w:eastAsia="Calibri" w:hAnsi="Arial Narrow" w:cs="Arial"/>
          <w:b/>
          <w:sz w:val="26"/>
          <w:szCs w:val="26"/>
          <w:lang w:val="es-ES" w:eastAsia="en-US"/>
        </w:rPr>
        <w:br w:type="textWrapping" w:clear="all"/>
        <w:t>TRIBUNAL SUPERIOR DE DISTRITO JUDICIAL DE PEREIRA</w:t>
      </w:r>
    </w:p>
    <w:p w:rsidR="005B3B73" w:rsidRPr="005B3B73" w:rsidRDefault="005B3B73" w:rsidP="006E3AD9">
      <w:pPr>
        <w:keepNext/>
        <w:spacing w:line="276" w:lineRule="auto"/>
        <w:jc w:val="center"/>
        <w:outlineLvl w:val="0"/>
        <w:rPr>
          <w:rFonts w:ascii="Arial Narrow" w:eastAsia="Calibri" w:hAnsi="Arial Narrow" w:cs="Arial"/>
          <w:b/>
          <w:bCs/>
          <w:kern w:val="32"/>
          <w:sz w:val="26"/>
          <w:szCs w:val="26"/>
          <w:lang w:val="es-ES" w:eastAsia="en-US"/>
        </w:rPr>
      </w:pPr>
      <w:r w:rsidRPr="005B3B73">
        <w:rPr>
          <w:rFonts w:ascii="Arial Narrow" w:eastAsia="Calibri" w:hAnsi="Arial Narrow" w:cs="Arial"/>
          <w:b/>
          <w:bCs/>
          <w:kern w:val="32"/>
          <w:sz w:val="26"/>
          <w:szCs w:val="26"/>
          <w:lang w:val="es-ES" w:eastAsia="en-US"/>
        </w:rPr>
        <w:t>SALA CUARTA DE DECISIÓN LABORAL</w:t>
      </w:r>
    </w:p>
    <w:p w:rsidR="005B3B73" w:rsidRPr="005B3B73" w:rsidRDefault="005B3B73" w:rsidP="006E3AD9">
      <w:pPr>
        <w:tabs>
          <w:tab w:val="left" w:pos="1560"/>
        </w:tabs>
        <w:spacing w:line="276" w:lineRule="auto"/>
        <w:ind w:left="1560" w:hanging="1560"/>
        <w:jc w:val="both"/>
        <w:rPr>
          <w:rFonts w:ascii="Arial Narrow" w:eastAsia="Calibri" w:hAnsi="Arial Narrow" w:cs="Arial"/>
          <w:sz w:val="26"/>
          <w:szCs w:val="26"/>
          <w:lang w:val="es-ES" w:eastAsia="en-US"/>
        </w:rPr>
      </w:pPr>
    </w:p>
    <w:p w:rsidR="005B3B73" w:rsidRPr="005B3B73" w:rsidRDefault="005B3B73" w:rsidP="006E3AD9">
      <w:pPr>
        <w:spacing w:line="276" w:lineRule="auto"/>
        <w:ind w:left="1440" w:hanging="589"/>
        <w:jc w:val="center"/>
        <w:rPr>
          <w:rFonts w:ascii="Arial Narrow" w:eastAsia="Calibri" w:hAnsi="Arial Narrow" w:cs="Arial"/>
          <w:b/>
          <w:bCs/>
          <w:sz w:val="26"/>
          <w:szCs w:val="26"/>
          <w:u w:val="single"/>
          <w:lang w:val="es-ES" w:eastAsia="en-US"/>
        </w:rPr>
      </w:pPr>
      <w:r w:rsidRPr="005B3B73">
        <w:rPr>
          <w:rFonts w:ascii="Arial Narrow" w:eastAsia="Calibri" w:hAnsi="Arial Narrow" w:cs="Arial"/>
          <w:sz w:val="26"/>
          <w:szCs w:val="26"/>
          <w:lang w:val="es-ES" w:eastAsia="en-US"/>
        </w:rPr>
        <w:t>Magistrado Ponente:</w:t>
      </w:r>
      <w:r w:rsidRPr="005B3B73">
        <w:rPr>
          <w:rFonts w:ascii="Arial Narrow" w:eastAsia="Calibri" w:hAnsi="Arial Narrow" w:cs="Arial"/>
          <w:b/>
          <w:sz w:val="26"/>
          <w:szCs w:val="26"/>
          <w:lang w:val="es-ES" w:eastAsia="en-US"/>
        </w:rPr>
        <w:t xml:space="preserve"> </w:t>
      </w:r>
      <w:r w:rsidRPr="005B3B73">
        <w:rPr>
          <w:rFonts w:ascii="Arial Narrow" w:eastAsia="Calibri" w:hAnsi="Arial Narrow" w:cs="Arial"/>
          <w:b/>
          <w:bCs/>
          <w:sz w:val="26"/>
          <w:szCs w:val="26"/>
          <w:lang w:val="es-ES" w:eastAsia="en-US"/>
        </w:rPr>
        <w:t>FRANCISCO JAVIER TAMAYO TABARES</w:t>
      </w:r>
    </w:p>
    <w:p w:rsidR="005B3B73" w:rsidRPr="009D4797" w:rsidRDefault="005B3B73" w:rsidP="006E3AD9">
      <w:pPr>
        <w:tabs>
          <w:tab w:val="left" w:pos="1560"/>
        </w:tabs>
        <w:spacing w:line="276" w:lineRule="auto"/>
        <w:jc w:val="both"/>
        <w:rPr>
          <w:rFonts w:ascii="Arial Narrow" w:eastAsia="Calibri" w:hAnsi="Arial Narrow" w:cs="Arial"/>
          <w:szCs w:val="26"/>
          <w:lang w:val="es-ES" w:eastAsia="en-US"/>
        </w:rPr>
      </w:pPr>
    </w:p>
    <w:p w:rsidR="00315F11" w:rsidRPr="005B3B73" w:rsidRDefault="003954E9" w:rsidP="006E3AD9">
      <w:pPr>
        <w:spacing w:line="276" w:lineRule="auto"/>
        <w:ind w:firstLine="708"/>
        <w:jc w:val="both"/>
        <w:rPr>
          <w:rFonts w:ascii="Arial Narrow" w:hAnsi="Arial Narrow" w:cs="Arial"/>
          <w:b/>
          <w:bCs/>
          <w:iCs/>
          <w:spacing w:val="-6"/>
          <w:sz w:val="26"/>
          <w:szCs w:val="26"/>
        </w:rPr>
      </w:pPr>
      <w:r w:rsidRPr="005B3B73">
        <w:rPr>
          <w:rFonts w:ascii="Arial Narrow" w:eastAsia="Calibri" w:hAnsi="Arial Narrow" w:cs="Arial"/>
          <w:spacing w:val="-6"/>
          <w:sz w:val="26"/>
          <w:szCs w:val="26"/>
          <w:lang w:val="es-CO" w:eastAsia="en-US"/>
        </w:rPr>
        <w:t xml:space="preserve">En Pereira, a los </w:t>
      </w:r>
      <w:r w:rsidR="007A45BA" w:rsidRPr="005B3B73">
        <w:rPr>
          <w:rFonts w:ascii="Arial Narrow" w:eastAsia="Calibri" w:hAnsi="Arial Narrow" w:cs="Arial"/>
          <w:spacing w:val="-6"/>
          <w:sz w:val="26"/>
          <w:szCs w:val="26"/>
          <w:lang w:val="es-CO" w:eastAsia="en-US"/>
        </w:rPr>
        <w:t>diez</w:t>
      </w:r>
      <w:r w:rsidR="0054661E" w:rsidRPr="005B3B73">
        <w:rPr>
          <w:rFonts w:ascii="Arial Narrow" w:eastAsia="Calibri" w:hAnsi="Arial Narrow" w:cs="Arial"/>
          <w:spacing w:val="-6"/>
          <w:sz w:val="26"/>
          <w:szCs w:val="26"/>
          <w:lang w:val="es-CO" w:eastAsia="en-US"/>
        </w:rPr>
        <w:t xml:space="preserve"> </w:t>
      </w:r>
      <w:r w:rsidRPr="005B3B73">
        <w:rPr>
          <w:rFonts w:ascii="Arial Narrow" w:eastAsia="Calibri" w:hAnsi="Arial Narrow" w:cs="Arial"/>
          <w:spacing w:val="-6"/>
          <w:sz w:val="26"/>
          <w:szCs w:val="26"/>
          <w:lang w:val="es-CO" w:eastAsia="en-US"/>
        </w:rPr>
        <w:t>(</w:t>
      </w:r>
      <w:r w:rsidR="007A45BA" w:rsidRPr="005B3B73">
        <w:rPr>
          <w:rFonts w:ascii="Arial Narrow" w:eastAsia="Calibri" w:hAnsi="Arial Narrow" w:cs="Arial"/>
          <w:spacing w:val="-6"/>
          <w:sz w:val="26"/>
          <w:szCs w:val="26"/>
          <w:lang w:val="es-CO" w:eastAsia="en-US"/>
        </w:rPr>
        <w:t xml:space="preserve">10) días del mes de octubre </w:t>
      </w:r>
      <w:r w:rsidRPr="005B3B73">
        <w:rPr>
          <w:rFonts w:ascii="Arial Narrow" w:eastAsia="Calibri" w:hAnsi="Arial Narrow" w:cs="Arial"/>
          <w:spacing w:val="-6"/>
          <w:sz w:val="26"/>
          <w:szCs w:val="26"/>
          <w:lang w:val="es-CO" w:eastAsia="en-US"/>
        </w:rPr>
        <w:t>de dos mil die</w:t>
      </w:r>
      <w:r w:rsidR="0054661E" w:rsidRPr="005B3B73">
        <w:rPr>
          <w:rFonts w:ascii="Arial Narrow" w:eastAsia="Calibri" w:hAnsi="Arial Narrow" w:cs="Arial"/>
          <w:spacing w:val="-6"/>
          <w:sz w:val="26"/>
          <w:szCs w:val="26"/>
          <w:lang w:val="es-CO" w:eastAsia="en-US"/>
        </w:rPr>
        <w:t>cinueve (2019</w:t>
      </w:r>
      <w:r w:rsidRPr="005B3B73">
        <w:rPr>
          <w:rFonts w:ascii="Arial Narrow" w:eastAsia="Calibri" w:hAnsi="Arial Narrow" w:cs="Arial"/>
          <w:spacing w:val="-6"/>
          <w:sz w:val="26"/>
          <w:szCs w:val="26"/>
          <w:lang w:val="es-CO" w:eastAsia="en-US"/>
        </w:rPr>
        <w:t xml:space="preserve">), siendo las </w:t>
      </w:r>
      <w:r w:rsidR="007A45BA" w:rsidRPr="005B3B73">
        <w:rPr>
          <w:rFonts w:ascii="Arial Narrow" w:eastAsia="Calibri" w:hAnsi="Arial Narrow" w:cs="Arial"/>
          <w:spacing w:val="-6"/>
          <w:sz w:val="26"/>
          <w:szCs w:val="26"/>
          <w:lang w:val="es-CO" w:eastAsia="en-US"/>
        </w:rPr>
        <w:t>siete y treinta de la mañana</w:t>
      </w:r>
      <w:r w:rsidR="0054661E" w:rsidRPr="005B3B73">
        <w:rPr>
          <w:rFonts w:ascii="Arial Narrow" w:eastAsia="Calibri" w:hAnsi="Arial Narrow" w:cs="Arial"/>
          <w:spacing w:val="-6"/>
          <w:sz w:val="26"/>
          <w:szCs w:val="26"/>
          <w:lang w:val="es-CO" w:eastAsia="en-US"/>
        </w:rPr>
        <w:t xml:space="preserve"> </w:t>
      </w:r>
      <w:r w:rsidRPr="005B3B73">
        <w:rPr>
          <w:rFonts w:ascii="Arial Narrow" w:eastAsia="Calibri" w:hAnsi="Arial Narrow" w:cs="Arial"/>
          <w:spacing w:val="-6"/>
          <w:sz w:val="26"/>
          <w:szCs w:val="26"/>
          <w:lang w:val="es-CO" w:eastAsia="en-US"/>
        </w:rPr>
        <w:t>(</w:t>
      </w:r>
      <w:r w:rsidR="007A45BA" w:rsidRPr="005B3B73">
        <w:rPr>
          <w:rFonts w:ascii="Arial Narrow" w:eastAsia="Calibri" w:hAnsi="Arial Narrow" w:cs="Arial"/>
          <w:spacing w:val="-6"/>
          <w:sz w:val="26"/>
          <w:szCs w:val="26"/>
          <w:lang w:val="es-CO" w:eastAsia="en-US"/>
        </w:rPr>
        <w:t xml:space="preserve">07:30 </w:t>
      </w:r>
      <w:r w:rsidRPr="005B3B73">
        <w:rPr>
          <w:rFonts w:ascii="Arial Narrow" w:eastAsia="Calibri" w:hAnsi="Arial Narrow" w:cs="Arial"/>
          <w:spacing w:val="-6"/>
          <w:sz w:val="26"/>
          <w:szCs w:val="26"/>
          <w:lang w:val="es-CO" w:eastAsia="en-US"/>
        </w:rPr>
        <w:t xml:space="preserve">a.m.), </w:t>
      </w:r>
      <w:r w:rsidRPr="005B3B73">
        <w:rPr>
          <w:rFonts w:ascii="Arial Narrow" w:hAnsi="Arial Narrow" w:cs="Tahoma"/>
          <w:bCs/>
          <w:color w:val="000000"/>
          <w:spacing w:val="-6"/>
          <w:sz w:val="26"/>
          <w:szCs w:val="26"/>
          <w:lang w:eastAsia="es-CO"/>
        </w:rPr>
        <w:t xml:space="preserve">reunidos en la Sala de Audiencia las magistradas y el suscrito magistrado de la Sala Cuarta de Decisión Laboral del Tribunal Superior de Pereira, el ponente declara abierto el acto, que tiene por objeto resolver el grado jurisdiccional de consulta contra la sentencia </w:t>
      </w:r>
      <w:r w:rsidRPr="005B3B73">
        <w:rPr>
          <w:rFonts w:ascii="Arial Narrow" w:hAnsi="Arial Narrow" w:cs="Arial"/>
          <w:spacing w:val="-6"/>
          <w:sz w:val="26"/>
          <w:szCs w:val="26"/>
        </w:rPr>
        <w:t xml:space="preserve">proferida el </w:t>
      </w:r>
      <w:r w:rsidR="0054661E" w:rsidRPr="005B3B73">
        <w:rPr>
          <w:rFonts w:ascii="Arial Narrow" w:hAnsi="Arial Narrow" w:cs="Arial"/>
          <w:spacing w:val="-6"/>
          <w:sz w:val="26"/>
          <w:szCs w:val="26"/>
        </w:rPr>
        <w:t>22 de enero de 2019</w:t>
      </w:r>
      <w:r w:rsidRPr="005B3B73">
        <w:rPr>
          <w:rFonts w:ascii="Arial Narrow" w:hAnsi="Arial Narrow" w:cs="Arial"/>
          <w:spacing w:val="-6"/>
          <w:sz w:val="26"/>
          <w:szCs w:val="26"/>
        </w:rPr>
        <w:t xml:space="preserve"> por el Juzgado Segundo Laboral del Circuito de Pereira, dentro del proceso promovido por </w:t>
      </w:r>
      <w:r w:rsidRPr="005B3B73">
        <w:rPr>
          <w:rFonts w:ascii="Arial Narrow" w:hAnsi="Arial Narrow" w:cs="Arial"/>
          <w:b/>
          <w:spacing w:val="-6"/>
          <w:sz w:val="26"/>
          <w:szCs w:val="26"/>
        </w:rPr>
        <w:t>Pedro José Giraldo Salazar</w:t>
      </w:r>
      <w:r w:rsidRPr="005B3B73">
        <w:rPr>
          <w:rFonts w:ascii="Arial Narrow" w:hAnsi="Arial Narrow" w:cs="Arial"/>
          <w:i/>
          <w:spacing w:val="-6"/>
          <w:sz w:val="26"/>
          <w:szCs w:val="26"/>
        </w:rPr>
        <w:t xml:space="preserve"> </w:t>
      </w:r>
      <w:r w:rsidRPr="005B3B73">
        <w:rPr>
          <w:rFonts w:ascii="Arial Narrow" w:hAnsi="Arial Narrow" w:cs="Arial"/>
          <w:spacing w:val="-6"/>
          <w:sz w:val="26"/>
          <w:szCs w:val="26"/>
        </w:rPr>
        <w:t xml:space="preserve">contra la </w:t>
      </w:r>
      <w:r w:rsidRPr="005B3B73">
        <w:rPr>
          <w:rFonts w:ascii="Arial Narrow" w:hAnsi="Arial Narrow" w:cs="Arial"/>
          <w:b/>
          <w:spacing w:val="-6"/>
          <w:sz w:val="26"/>
          <w:szCs w:val="26"/>
        </w:rPr>
        <w:t>Sociedad Administradora de Fondos de Pensiones y Cesantías Porvenir</w:t>
      </w:r>
      <w:r w:rsidRPr="005B3B73">
        <w:rPr>
          <w:rFonts w:ascii="Arial Narrow" w:hAnsi="Arial Narrow" w:cs="Arial"/>
          <w:b/>
          <w:bCs/>
          <w:iCs/>
          <w:spacing w:val="-6"/>
          <w:sz w:val="26"/>
          <w:szCs w:val="26"/>
        </w:rPr>
        <w:t>.</w:t>
      </w:r>
    </w:p>
    <w:p w:rsidR="009F0B16" w:rsidRPr="009D4797" w:rsidRDefault="009F0B16" w:rsidP="009D4797">
      <w:pPr>
        <w:tabs>
          <w:tab w:val="left" w:pos="1560"/>
        </w:tabs>
        <w:spacing w:line="276" w:lineRule="auto"/>
        <w:jc w:val="both"/>
        <w:rPr>
          <w:rFonts w:ascii="Arial Narrow" w:eastAsia="Calibri" w:hAnsi="Arial Narrow" w:cs="Arial"/>
          <w:szCs w:val="26"/>
          <w:lang w:val="es-ES" w:eastAsia="en-US"/>
        </w:rPr>
      </w:pPr>
    </w:p>
    <w:p w:rsidR="009F0B16" w:rsidRPr="005B3B73" w:rsidRDefault="009F0B16" w:rsidP="006E3AD9">
      <w:pPr>
        <w:shd w:val="clear" w:color="auto" w:fill="FFFFFF"/>
        <w:spacing w:line="276" w:lineRule="auto"/>
        <w:ind w:firstLine="708"/>
        <w:jc w:val="both"/>
        <w:rPr>
          <w:rFonts w:ascii="Arial Narrow" w:hAnsi="Arial Narrow" w:cs="Tahoma"/>
          <w:b/>
          <w:bCs/>
          <w:i/>
          <w:color w:val="000000"/>
          <w:spacing w:val="-6"/>
          <w:sz w:val="26"/>
          <w:szCs w:val="26"/>
          <w:lang w:eastAsia="es-CO"/>
        </w:rPr>
      </w:pPr>
      <w:r w:rsidRPr="005B3B73">
        <w:rPr>
          <w:rFonts w:ascii="Arial Narrow" w:hAnsi="Arial Narrow" w:cs="Tahoma"/>
          <w:b/>
          <w:bCs/>
          <w:i/>
          <w:color w:val="000000"/>
          <w:spacing w:val="-6"/>
          <w:sz w:val="26"/>
          <w:szCs w:val="26"/>
          <w:lang w:eastAsia="es-CO"/>
        </w:rPr>
        <w:t>IDENTIFICACIÓN DE LOS PRESENTES</w:t>
      </w:r>
    </w:p>
    <w:p w:rsidR="009F0B16" w:rsidRPr="009D4797" w:rsidRDefault="009F0B16" w:rsidP="009D4797">
      <w:pPr>
        <w:tabs>
          <w:tab w:val="left" w:pos="1560"/>
        </w:tabs>
        <w:spacing w:line="276" w:lineRule="auto"/>
        <w:jc w:val="both"/>
        <w:rPr>
          <w:rFonts w:ascii="Arial Narrow" w:eastAsia="Calibri" w:hAnsi="Arial Narrow" w:cs="Arial"/>
          <w:szCs w:val="26"/>
          <w:lang w:val="es-ES" w:eastAsia="en-US"/>
        </w:rPr>
      </w:pPr>
    </w:p>
    <w:p w:rsidR="009F0B16" w:rsidRPr="005B3B73" w:rsidRDefault="009F0B16" w:rsidP="006E3AD9">
      <w:pPr>
        <w:pStyle w:val="Prrafodelista"/>
        <w:numPr>
          <w:ilvl w:val="0"/>
          <w:numId w:val="1"/>
        </w:numPr>
        <w:shd w:val="clear" w:color="auto" w:fill="FFFFFF"/>
        <w:spacing w:line="276" w:lineRule="auto"/>
        <w:jc w:val="both"/>
        <w:rPr>
          <w:rFonts w:ascii="Arial Narrow" w:hAnsi="Arial Narrow" w:cs="Tahoma"/>
          <w:b/>
          <w:bCs/>
          <w:i/>
          <w:color w:val="000000"/>
          <w:spacing w:val="-6"/>
          <w:sz w:val="26"/>
          <w:szCs w:val="26"/>
          <w:lang w:eastAsia="es-CO"/>
        </w:rPr>
      </w:pPr>
      <w:r w:rsidRPr="005B3B73">
        <w:rPr>
          <w:rFonts w:ascii="Arial Narrow" w:hAnsi="Arial Narrow" w:cs="Tahoma"/>
          <w:b/>
          <w:bCs/>
          <w:i/>
          <w:color w:val="000000"/>
          <w:spacing w:val="-6"/>
          <w:sz w:val="26"/>
          <w:szCs w:val="26"/>
          <w:lang w:eastAsia="es-CO"/>
        </w:rPr>
        <w:t xml:space="preserve">INTRODUCCIÓN </w:t>
      </w:r>
    </w:p>
    <w:p w:rsidR="009F0B16" w:rsidRPr="009D4797" w:rsidRDefault="009F0B16" w:rsidP="009D4797">
      <w:pPr>
        <w:tabs>
          <w:tab w:val="left" w:pos="1560"/>
        </w:tabs>
        <w:spacing w:line="276" w:lineRule="auto"/>
        <w:jc w:val="both"/>
        <w:rPr>
          <w:rFonts w:ascii="Arial Narrow" w:eastAsia="Calibri" w:hAnsi="Arial Narrow" w:cs="Arial"/>
          <w:szCs w:val="26"/>
          <w:lang w:val="es-ES" w:eastAsia="en-US"/>
        </w:rPr>
      </w:pPr>
      <w:r w:rsidRPr="009D4797">
        <w:rPr>
          <w:rFonts w:ascii="Arial Narrow" w:eastAsia="Calibri" w:hAnsi="Arial Narrow" w:cs="Arial"/>
          <w:szCs w:val="26"/>
          <w:lang w:val="es-ES" w:eastAsia="en-US"/>
        </w:rPr>
        <w:tab/>
      </w:r>
    </w:p>
    <w:p w:rsidR="009F0B16" w:rsidRPr="005B3B73" w:rsidRDefault="00D25E3A" w:rsidP="006E3AD9">
      <w:pPr>
        <w:spacing w:line="276" w:lineRule="auto"/>
        <w:ind w:firstLine="900"/>
        <w:jc w:val="both"/>
        <w:rPr>
          <w:rFonts w:ascii="Arial Narrow" w:hAnsi="Arial Narrow" w:cs="Tahoma"/>
          <w:spacing w:val="-6"/>
          <w:sz w:val="26"/>
          <w:szCs w:val="26"/>
        </w:rPr>
      </w:pPr>
      <w:r w:rsidRPr="005B3B73">
        <w:rPr>
          <w:rFonts w:ascii="Arial Narrow" w:hAnsi="Arial Narrow" w:cs="Tahoma"/>
          <w:spacing w:val="-6"/>
          <w:sz w:val="26"/>
          <w:szCs w:val="26"/>
        </w:rPr>
        <w:t xml:space="preserve">El demandante solicita que se le reconozca la pensión de invalidez </w:t>
      </w:r>
      <w:r w:rsidR="009A08E2" w:rsidRPr="005B3B73">
        <w:rPr>
          <w:rFonts w:ascii="Arial Narrow" w:hAnsi="Arial Narrow" w:cs="Tahoma"/>
          <w:spacing w:val="-6"/>
          <w:sz w:val="26"/>
          <w:szCs w:val="26"/>
        </w:rPr>
        <w:t xml:space="preserve">con fundamento en el artículo 39 original de la Ley 100/93, en </w:t>
      </w:r>
      <w:r w:rsidRPr="005B3B73">
        <w:rPr>
          <w:rFonts w:ascii="Arial Narrow" w:hAnsi="Arial Narrow" w:cs="Tahoma"/>
          <w:spacing w:val="-6"/>
          <w:sz w:val="26"/>
          <w:szCs w:val="26"/>
        </w:rPr>
        <w:t>aplicación del principio de la condición más beneficiosa, y en consecuencia</w:t>
      </w:r>
      <w:r w:rsidR="00330600" w:rsidRPr="005B3B73">
        <w:rPr>
          <w:rFonts w:ascii="Arial Narrow" w:hAnsi="Arial Narrow" w:cs="Tahoma"/>
          <w:spacing w:val="-6"/>
          <w:sz w:val="26"/>
          <w:szCs w:val="26"/>
        </w:rPr>
        <w:t>,</w:t>
      </w:r>
      <w:r w:rsidRPr="005B3B73">
        <w:rPr>
          <w:rFonts w:ascii="Arial Narrow" w:hAnsi="Arial Narrow" w:cs="Tahoma"/>
          <w:spacing w:val="-6"/>
          <w:sz w:val="26"/>
          <w:szCs w:val="26"/>
        </w:rPr>
        <w:t xml:space="preserve"> se condene </w:t>
      </w:r>
      <w:r w:rsidR="00330600" w:rsidRPr="005B3B73">
        <w:rPr>
          <w:rFonts w:ascii="Arial Narrow" w:hAnsi="Arial Narrow" w:cs="Tahoma"/>
          <w:spacing w:val="-6"/>
          <w:sz w:val="26"/>
          <w:szCs w:val="26"/>
        </w:rPr>
        <w:t xml:space="preserve">a la entidad demandada al pago de la </w:t>
      </w:r>
      <w:r w:rsidRPr="005B3B73">
        <w:rPr>
          <w:rFonts w:ascii="Arial Narrow" w:hAnsi="Arial Narrow" w:cs="Tahoma"/>
          <w:spacing w:val="-6"/>
          <w:sz w:val="26"/>
          <w:szCs w:val="26"/>
        </w:rPr>
        <w:t xml:space="preserve">prestación </w:t>
      </w:r>
      <w:r w:rsidR="0054661E" w:rsidRPr="005B3B73">
        <w:rPr>
          <w:rFonts w:ascii="Arial Narrow" w:hAnsi="Arial Narrow" w:cs="Tahoma"/>
          <w:spacing w:val="-6"/>
          <w:sz w:val="26"/>
          <w:szCs w:val="26"/>
        </w:rPr>
        <w:t xml:space="preserve">pensional </w:t>
      </w:r>
      <w:r w:rsidRPr="005B3B73">
        <w:rPr>
          <w:rFonts w:ascii="Arial Narrow" w:hAnsi="Arial Narrow" w:cs="Tahoma"/>
          <w:spacing w:val="-6"/>
          <w:sz w:val="26"/>
          <w:szCs w:val="26"/>
        </w:rPr>
        <w:t xml:space="preserve">desde el 4 de diciembre de 2013, junto con los intereses moratorios </w:t>
      </w:r>
      <w:r w:rsidR="00330600" w:rsidRPr="005B3B73">
        <w:rPr>
          <w:rFonts w:ascii="Arial Narrow" w:hAnsi="Arial Narrow" w:cs="Tahoma"/>
          <w:spacing w:val="-6"/>
          <w:sz w:val="26"/>
          <w:szCs w:val="26"/>
        </w:rPr>
        <w:t xml:space="preserve">previstos en el </w:t>
      </w:r>
      <w:r w:rsidRPr="005B3B73">
        <w:rPr>
          <w:rFonts w:ascii="Arial Narrow" w:hAnsi="Arial Narrow" w:cs="Tahoma"/>
          <w:spacing w:val="-6"/>
          <w:sz w:val="26"/>
          <w:szCs w:val="26"/>
        </w:rPr>
        <w:t xml:space="preserve">artículo 141 de la Ley 100 de 1993, </w:t>
      </w:r>
      <w:r w:rsidR="00330600" w:rsidRPr="005B3B73">
        <w:rPr>
          <w:rFonts w:ascii="Arial Narrow" w:hAnsi="Arial Narrow" w:cs="Tahoma"/>
          <w:spacing w:val="-6"/>
          <w:sz w:val="26"/>
          <w:szCs w:val="26"/>
        </w:rPr>
        <w:t>y l</w:t>
      </w:r>
      <w:r w:rsidRPr="005B3B73">
        <w:rPr>
          <w:rFonts w:ascii="Arial Narrow" w:hAnsi="Arial Narrow" w:cs="Tahoma"/>
          <w:spacing w:val="-6"/>
          <w:sz w:val="26"/>
          <w:szCs w:val="26"/>
        </w:rPr>
        <w:t>as costas procesales</w:t>
      </w:r>
      <w:r w:rsidR="00330600" w:rsidRPr="005B3B73">
        <w:rPr>
          <w:rFonts w:ascii="Arial Narrow" w:hAnsi="Arial Narrow" w:cs="Tahoma"/>
          <w:spacing w:val="-6"/>
          <w:sz w:val="26"/>
          <w:szCs w:val="26"/>
        </w:rPr>
        <w:t xml:space="preserve"> a su favor</w:t>
      </w:r>
      <w:r w:rsidRPr="005B3B73">
        <w:rPr>
          <w:rFonts w:ascii="Arial Narrow" w:hAnsi="Arial Narrow" w:cs="Tahoma"/>
          <w:spacing w:val="-6"/>
          <w:sz w:val="26"/>
          <w:szCs w:val="26"/>
        </w:rPr>
        <w:t xml:space="preserve">. </w:t>
      </w:r>
    </w:p>
    <w:p w:rsidR="00330600" w:rsidRPr="009D4797" w:rsidRDefault="00330600" w:rsidP="009D4797">
      <w:pPr>
        <w:tabs>
          <w:tab w:val="left" w:pos="1560"/>
        </w:tabs>
        <w:spacing w:line="276" w:lineRule="auto"/>
        <w:jc w:val="both"/>
        <w:rPr>
          <w:rFonts w:ascii="Arial Narrow" w:eastAsia="Calibri" w:hAnsi="Arial Narrow" w:cs="Arial"/>
          <w:szCs w:val="26"/>
          <w:lang w:val="es-ES" w:eastAsia="en-US"/>
        </w:rPr>
      </w:pPr>
    </w:p>
    <w:p w:rsidR="00303349" w:rsidRPr="005B3B73" w:rsidRDefault="00330600" w:rsidP="006E3AD9">
      <w:pPr>
        <w:spacing w:line="276" w:lineRule="auto"/>
        <w:ind w:firstLine="900"/>
        <w:jc w:val="both"/>
        <w:rPr>
          <w:rFonts w:ascii="Arial Narrow" w:hAnsi="Arial Narrow" w:cs="Tahoma"/>
          <w:spacing w:val="-6"/>
          <w:sz w:val="26"/>
          <w:szCs w:val="26"/>
        </w:rPr>
      </w:pPr>
      <w:r w:rsidRPr="005B3B73">
        <w:rPr>
          <w:rFonts w:ascii="Arial Narrow" w:hAnsi="Arial Narrow" w:cs="Tahoma"/>
          <w:spacing w:val="-6"/>
          <w:sz w:val="26"/>
          <w:szCs w:val="26"/>
        </w:rPr>
        <w:t>Como sustento fá</w:t>
      </w:r>
      <w:r w:rsidR="0054661E" w:rsidRPr="005B3B73">
        <w:rPr>
          <w:rFonts w:ascii="Arial Narrow" w:hAnsi="Arial Narrow" w:cs="Tahoma"/>
          <w:spacing w:val="-6"/>
          <w:sz w:val="26"/>
          <w:szCs w:val="26"/>
        </w:rPr>
        <w:t xml:space="preserve">ctico de </w:t>
      </w:r>
      <w:r w:rsidR="009A08E2" w:rsidRPr="005B3B73">
        <w:rPr>
          <w:rFonts w:ascii="Arial Narrow" w:hAnsi="Arial Narrow" w:cs="Tahoma"/>
          <w:spacing w:val="-6"/>
          <w:sz w:val="26"/>
          <w:szCs w:val="26"/>
        </w:rPr>
        <w:t>tales</w:t>
      </w:r>
      <w:r w:rsidR="0054661E" w:rsidRPr="005B3B73">
        <w:rPr>
          <w:rFonts w:ascii="Arial Narrow" w:hAnsi="Arial Narrow" w:cs="Tahoma"/>
          <w:spacing w:val="-6"/>
          <w:sz w:val="26"/>
          <w:szCs w:val="26"/>
        </w:rPr>
        <w:t xml:space="preserve"> pedimentos, expone que </w:t>
      </w:r>
      <w:r w:rsidR="00D25E3A" w:rsidRPr="005B3B73">
        <w:rPr>
          <w:rFonts w:ascii="Arial Narrow" w:hAnsi="Arial Narrow" w:cs="Tahoma"/>
          <w:spacing w:val="-6"/>
          <w:sz w:val="26"/>
          <w:szCs w:val="26"/>
        </w:rPr>
        <w:t>nació el 11 de marzo de 1959</w:t>
      </w:r>
      <w:r w:rsidR="0054661E" w:rsidRPr="005B3B73">
        <w:rPr>
          <w:rFonts w:ascii="Arial Narrow" w:hAnsi="Arial Narrow" w:cs="Tahoma"/>
          <w:spacing w:val="-6"/>
          <w:sz w:val="26"/>
          <w:szCs w:val="26"/>
        </w:rPr>
        <w:t>;</w:t>
      </w:r>
      <w:r w:rsidR="00D25E3A" w:rsidRPr="005B3B73">
        <w:rPr>
          <w:rFonts w:ascii="Arial Narrow" w:hAnsi="Arial Narrow" w:cs="Tahoma"/>
          <w:spacing w:val="-6"/>
          <w:sz w:val="26"/>
          <w:szCs w:val="26"/>
        </w:rPr>
        <w:t xml:space="preserve"> que cotizó al </w:t>
      </w:r>
      <w:r w:rsidR="0054661E" w:rsidRPr="005B3B73">
        <w:rPr>
          <w:rFonts w:ascii="Arial Narrow" w:hAnsi="Arial Narrow" w:cs="Tahoma"/>
          <w:spacing w:val="-6"/>
          <w:sz w:val="26"/>
          <w:szCs w:val="26"/>
        </w:rPr>
        <w:t>Instituto d</w:t>
      </w:r>
      <w:r w:rsidR="00693EF9" w:rsidRPr="005B3B73">
        <w:rPr>
          <w:rFonts w:ascii="Arial Narrow" w:hAnsi="Arial Narrow" w:cs="Tahoma"/>
          <w:spacing w:val="-6"/>
          <w:sz w:val="26"/>
          <w:szCs w:val="26"/>
        </w:rPr>
        <w:t>e Seguros Sociales</w:t>
      </w:r>
      <w:r w:rsidR="00D25E3A" w:rsidRPr="005B3B73">
        <w:rPr>
          <w:rFonts w:ascii="Arial Narrow" w:hAnsi="Arial Narrow" w:cs="Tahoma"/>
          <w:spacing w:val="-6"/>
          <w:sz w:val="26"/>
          <w:szCs w:val="26"/>
        </w:rPr>
        <w:t>, hoy C</w:t>
      </w:r>
      <w:r w:rsidR="00693EF9" w:rsidRPr="005B3B73">
        <w:rPr>
          <w:rFonts w:ascii="Arial Narrow" w:hAnsi="Arial Narrow" w:cs="Tahoma"/>
          <w:spacing w:val="-6"/>
          <w:sz w:val="26"/>
          <w:szCs w:val="26"/>
        </w:rPr>
        <w:t>olpensiones</w:t>
      </w:r>
      <w:r w:rsidR="0054661E" w:rsidRPr="005B3B73">
        <w:rPr>
          <w:rFonts w:ascii="Arial Narrow" w:hAnsi="Arial Narrow" w:cs="Tahoma"/>
          <w:spacing w:val="-6"/>
          <w:sz w:val="26"/>
          <w:szCs w:val="26"/>
        </w:rPr>
        <w:t xml:space="preserve">, </w:t>
      </w:r>
      <w:r w:rsidR="00D25E3A" w:rsidRPr="005B3B73">
        <w:rPr>
          <w:rFonts w:ascii="Arial Narrow" w:hAnsi="Arial Narrow" w:cs="Tahoma"/>
          <w:spacing w:val="-6"/>
          <w:sz w:val="26"/>
          <w:szCs w:val="26"/>
        </w:rPr>
        <w:t>hasta el año 2001,</w:t>
      </w:r>
      <w:r w:rsidRPr="005B3B73">
        <w:rPr>
          <w:rFonts w:ascii="Arial Narrow" w:hAnsi="Arial Narrow" w:cs="Tahoma"/>
          <w:spacing w:val="-6"/>
          <w:sz w:val="26"/>
          <w:szCs w:val="26"/>
        </w:rPr>
        <w:t xml:space="preserve"> fecha en que </w:t>
      </w:r>
      <w:r w:rsidR="00D25E3A" w:rsidRPr="005B3B73">
        <w:rPr>
          <w:rFonts w:ascii="Arial Narrow" w:hAnsi="Arial Narrow" w:cs="Tahoma"/>
          <w:spacing w:val="-6"/>
          <w:sz w:val="26"/>
          <w:szCs w:val="26"/>
        </w:rPr>
        <w:t xml:space="preserve">decidió </w:t>
      </w:r>
      <w:r w:rsidR="00693EF9" w:rsidRPr="005B3B73">
        <w:rPr>
          <w:rFonts w:ascii="Arial Narrow" w:hAnsi="Arial Narrow" w:cs="Tahoma"/>
          <w:spacing w:val="-6"/>
          <w:sz w:val="26"/>
          <w:szCs w:val="26"/>
        </w:rPr>
        <w:t>trasladarse</w:t>
      </w:r>
      <w:r w:rsidRPr="005B3B73">
        <w:rPr>
          <w:rFonts w:ascii="Arial Narrow" w:hAnsi="Arial Narrow" w:cs="Tahoma"/>
          <w:spacing w:val="-6"/>
          <w:sz w:val="26"/>
          <w:szCs w:val="26"/>
        </w:rPr>
        <w:t xml:space="preserve"> a </w:t>
      </w:r>
      <w:r w:rsidR="0054661E" w:rsidRPr="005B3B73">
        <w:rPr>
          <w:rFonts w:ascii="Arial Narrow" w:hAnsi="Arial Narrow" w:cs="Tahoma"/>
          <w:spacing w:val="-6"/>
          <w:sz w:val="26"/>
          <w:szCs w:val="26"/>
        </w:rPr>
        <w:t xml:space="preserve">la AFP </w:t>
      </w:r>
      <w:r w:rsidR="00693EF9" w:rsidRPr="005B3B73">
        <w:rPr>
          <w:rFonts w:ascii="Arial Narrow" w:hAnsi="Arial Narrow" w:cs="Tahoma"/>
          <w:spacing w:val="-6"/>
          <w:sz w:val="26"/>
          <w:szCs w:val="26"/>
        </w:rPr>
        <w:t xml:space="preserve">Porvenir; que fue dictaminado por </w:t>
      </w:r>
      <w:r w:rsidRPr="005B3B73">
        <w:rPr>
          <w:rFonts w:ascii="Arial Narrow" w:hAnsi="Arial Narrow" w:cs="Tahoma"/>
          <w:spacing w:val="-6"/>
          <w:sz w:val="26"/>
          <w:szCs w:val="26"/>
        </w:rPr>
        <w:t xml:space="preserve">esa entidad </w:t>
      </w:r>
      <w:r w:rsidR="00693EF9" w:rsidRPr="005B3B73">
        <w:rPr>
          <w:rFonts w:ascii="Arial Narrow" w:hAnsi="Arial Narrow" w:cs="Tahoma"/>
          <w:spacing w:val="-6"/>
          <w:sz w:val="26"/>
          <w:szCs w:val="26"/>
        </w:rPr>
        <w:t xml:space="preserve">con una pérdida de capacidad laboral del 53.34% estructurada el 4 de diciembre de 2013, según dictamen </w:t>
      </w:r>
      <w:r w:rsidR="0054661E" w:rsidRPr="005B3B73">
        <w:rPr>
          <w:rFonts w:ascii="Arial Narrow" w:hAnsi="Arial Narrow" w:cs="Tahoma"/>
          <w:spacing w:val="-6"/>
          <w:sz w:val="26"/>
          <w:szCs w:val="26"/>
        </w:rPr>
        <w:t>emitido e</w:t>
      </w:r>
      <w:r w:rsidR="00693EF9" w:rsidRPr="005B3B73">
        <w:rPr>
          <w:rFonts w:ascii="Arial Narrow" w:hAnsi="Arial Narrow" w:cs="Tahoma"/>
          <w:spacing w:val="-6"/>
          <w:sz w:val="26"/>
          <w:szCs w:val="26"/>
        </w:rPr>
        <w:t xml:space="preserve">l 25 de febrero de 2014; que mediante oficio No. 579 del 18 de junio de 2014, la entidad demandada negó el reconocimiento de la pensión por invalidez al </w:t>
      </w:r>
      <w:r w:rsidR="0054661E" w:rsidRPr="005B3B73">
        <w:rPr>
          <w:rFonts w:ascii="Arial Narrow" w:hAnsi="Arial Narrow" w:cs="Tahoma"/>
          <w:spacing w:val="-6"/>
          <w:sz w:val="26"/>
          <w:szCs w:val="26"/>
        </w:rPr>
        <w:t xml:space="preserve">no acreditar </w:t>
      </w:r>
      <w:r w:rsidR="00693EF9" w:rsidRPr="005B3B73">
        <w:rPr>
          <w:rFonts w:ascii="Arial Narrow" w:hAnsi="Arial Narrow" w:cs="Tahoma"/>
          <w:spacing w:val="-6"/>
          <w:sz w:val="26"/>
          <w:szCs w:val="26"/>
        </w:rPr>
        <w:t>el requisito de 50 semanas de cotización al momento de la estructuración de la invalidez</w:t>
      </w:r>
      <w:r w:rsidR="0054661E" w:rsidRPr="005B3B73">
        <w:rPr>
          <w:rFonts w:ascii="Arial Narrow" w:hAnsi="Arial Narrow" w:cs="Tahoma"/>
          <w:spacing w:val="-6"/>
          <w:sz w:val="26"/>
          <w:szCs w:val="26"/>
        </w:rPr>
        <w:t xml:space="preserve">. Refiere que </w:t>
      </w:r>
      <w:r w:rsidR="00693EF9" w:rsidRPr="005B3B73">
        <w:rPr>
          <w:rFonts w:ascii="Arial Narrow" w:hAnsi="Arial Narrow" w:cs="Tahoma"/>
          <w:spacing w:val="-6"/>
          <w:sz w:val="26"/>
          <w:szCs w:val="26"/>
        </w:rPr>
        <w:t>cotizó</w:t>
      </w:r>
      <w:r w:rsidR="009A08E2" w:rsidRPr="005B3B73">
        <w:rPr>
          <w:rFonts w:ascii="Arial Narrow" w:hAnsi="Arial Narrow" w:cs="Tahoma"/>
          <w:spacing w:val="-6"/>
          <w:sz w:val="26"/>
          <w:szCs w:val="26"/>
        </w:rPr>
        <w:t xml:space="preserve"> un total de </w:t>
      </w:r>
      <w:r w:rsidR="00693EF9" w:rsidRPr="005B3B73">
        <w:rPr>
          <w:rFonts w:ascii="Arial Narrow" w:hAnsi="Arial Narrow" w:cs="Tahoma"/>
          <w:spacing w:val="-6"/>
          <w:sz w:val="26"/>
          <w:szCs w:val="26"/>
        </w:rPr>
        <w:t xml:space="preserve">482,85 semanas al ISS y 26 a </w:t>
      </w:r>
      <w:r w:rsidR="00303349" w:rsidRPr="005B3B73">
        <w:rPr>
          <w:rFonts w:ascii="Arial Narrow" w:hAnsi="Arial Narrow" w:cs="Tahoma"/>
          <w:spacing w:val="-6"/>
          <w:sz w:val="26"/>
          <w:szCs w:val="26"/>
        </w:rPr>
        <w:t xml:space="preserve">Porvenir, manteniendo </w:t>
      </w:r>
      <w:r w:rsidRPr="005B3B73">
        <w:rPr>
          <w:rFonts w:ascii="Arial Narrow" w:hAnsi="Arial Narrow" w:cs="Tahoma"/>
          <w:spacing w:val="-6"/>
          <w:sz w:val="26"/>
          <w:szCs w:val="26"/>
        </w:rPr>
        <w:t xml:space="preserve">un estado activo de cotizante entre </w:t>
      </w:r>
      <w:r w:rsidR="00303349" w:rsidRPr="005B3B73">
        <w:rPr>
          <w:rFonts w:ascii="Arial Narrow" w:hAnsi="Arial Narrow" w:cs="Tahoma"/>
          <w:spacing w:val="-6"/>
          <w:sz w:val="26"/>
          <w:szCs w:val="26"/>
        </w:rPr>
        <w:t xml:space="preserve">el 1 de abril de 1994 al 26 de diciembre de 2003; por último, indica que Porvenir, por medio de oficio No. 2410 indicó que no es procedente el reconocimiento de la pensión de invalidez por cuando ya le fue reconocida la devolución de los aportes. </w:t>
      </w:r>
    </w:p>
    <w:p w:rsidR="00330600" w:rsidRPr="009D4797" w:rsidRDefault="00330600" w:rsidP="009D4797">
      <w:pPr>
        <w:tabs>
          <w:tab w:val="left" w:pos="1560"/>
        </w:tabs>
        <w:spacing w:line="276" w:lineRule="auto"/>
        <w:jc w:val="both"/>
        <w:rPr>
          <w:rFonts w:ascii="Arial Narrow" w:eastAsia="Calibri" w:hAnsi="Arial Narrow" w:cs="Arial"/>
          <w:szCs w:val="26"/>
          <w:lang w:val="es-ES" w:eastAsia="en-US"/>
        </w:rPr>
      </w:pPr>
    </w:p>
    <w:p w:rsidR="00330600" w:rsidRPr="005B3B73" w:rsidRDefault="00303349" w:rsidP="006E3AD9">
      <w:pPr>
        <w:spacing w:line="276" w:lineRule="auto"/>
        <w:ind w:firstLine="708"/>
        <w:jc w:val="both"/>
        <w:rPr>
          <w:rFonts w:ascii="Arial Narrow" w:hAnsi="Arial Narrow" w:cs="Tahoma"/>
          <w:spacing w:val="-6"/>
          <w:sz w:val="26"/>
          <w:szCs w:val="26"/>
        </w:rPr>
      </w:pPr>
      <w:r w:rsidRPr="005B3B73">
        <w:rPr>
          <w:rFonts w:ascii="Arial Narrow" w:hAnsi="Arial Narrow" w:cs="Tahoma"/>
          <w:spacing w:val="-6"/>
          <w:sz w:val="26"/>
          <w:szCs w:val="26"/>
        </w:rPr>
        <w:t>Porvenir por intermedio de apoderado judicial allegó contestación de demanda, oponiéndose a l</w:t>
      </w:r>
      <w:r w:rsidR="00330600" w:rsidRPr="005B3B73">
        <w:rPr>
          <w:rFonts w:ascii="Arial Narrow" w:hAnsi="Arial Narrow" w:cs="Tahoma"/>
          <w:spacing w:val="-6"/>
          <w:sz w:val="26"/>
          <w:szCs w:val="26"/>
        </w:rPr>
        <w:t xml:space="preserve">a totalidad de las pretensiones, </w:t>
      </w:r>
      <w:r w:rsidR="009A08E2" w:rsidRPr="005B3B73">
        <w:rPr>
          <w:rFonts w:ascii="Arial Narrow" w:hAnsi="Arial Narrow" w:cs="Tahoma"/>
          <w:spacing w:val="-6"/>
          <w:sz w:val="26"/>
          <w:szCs w:val="26"/>
        </w:rPr>
        <w:t xml:space="preserve">e indicando </w:t>
      </w:r>
      <w:r w:rsidR="0054661E" w:rsidRPr="005B3B73">
        <w:rPr>
          <w:rFonts w:ascii="Arial Narrow" w:hAnsi="Arial Narrow" w:cs="Tahoma"/>
          <w:spacing w:val="-6"/>
          <w:sz w:val="26"/>
          <w:szCs w:val="26"/>
        </w:rPr>
        <w:t xml:space="preserve">que </w:t>
      </w:r>
      <w:r w:rsidR="003C6A14" w:rsidRPr="005B3B73">
        <w:rPr>
          <w:rFonts w:ascii="Arial Narrow" w:hAnsi="Arial Narrow" w:cs="Tahoma"/>
          <w:spacing w:val="-6"/>
          <w:sz w:val="26"/>
          <w:szCs w:val="26"/>
        </w:rPr>
        <w:t>la norma aplicable</w:t>
      </w:r>
      <w:r w:rsidR="0054661E" w:rsidRPr="005B3B73">
        <w:rPr>
          <w:rFonts w:ascii="Arial Narrow" w:hAnsi="Arial Narrow" w:cs="Tahoma"/>
          <w:spacing w:val="-6"/>
          <w:sz w:val="26"/>
          <w:szCs w:val="26"/>
        </w:rPr>
        <w:t xml:space="preserve"> al caso es la Ley 860 de 2003 y, que </w:t>
      </w:r>
      <w:r w:rsidR="003C6A14" w:rsidRPr="005B3B73">
        <w:rPr>
          <w:rFonts w:ascii="Arial Narrow" w:hAnsi="Arial Narrow" w:cs="Tahoma"/>
          <w:spacing w:val="-6"/>
          <w:sz w:val="26"/>
          <w:szCs w:val="26"/>
        </w:rPr>
        <w:t>el demandante no cotizó 50 semanas dentro de los 3 años anteriores a la estructuración de su invalidez</w:t>
      </w:r>
      <w:r w:rsidR="0054661E" w:rsidRPr="005B3B73">
        <w:rPr>
          <w:rFonts w:ascii="Arial Narrow" w:hAnsi="Arial Narrow" w:cs="Tahoma"/>
          <w:spacing w:val="-6"/>
          <w:sz w:val="26"/>
          <w:szCs w:val="26"/>
        </w:rPr>
        <w:t xml:space="preserve">. </w:t>
      </w:r>
      <w:r w:rsidR="00E06E22" w:rsidRPr="005B3B73">
        <w:rPr>
          <w:rFonts w:ascii="Arial Narrow" w:hAnsi="Arial Narrow" w:cs="Tahoma"/>
          <w:spacing w:val="-6"/>
          <w:sz w:val="26"/>
          <w:szCs w:val="26"/>
        </w:rPr>
        <w:t xml:space="preserve">En su defensa formuló las excepciones de fondo de “Inexistencia de la obligación, cobro de lo no debido, ausencia de derecho sustantivo y falta de causa en las pretensiones de la demanda”, “Inaplicabilidad del principio de la condición más beneficiosa”, “Afectación al equilibrio financiero del </w:t>
      </w:r>
      <w:r w:rsidR="00E06E22" w:rsidRPr="005B3B73">
        <w:rPr>
          <w:rFonts w:ascii="Arial Narrow" w:hAnsi="Arial Narrow" w:cs="Tahoma"/>
          <w:spacing w:val="-6"/>
          <w:sz w:val="26"/>
          <w:szCs w:val="26"/>
        </w:rPr>
        <w:lastRenderedPageBreak/>
        <w:t xml:space="preserve">Sistema </w:t>
      </w:r>
      <w:r w:rsidR="0054661E" w:rsidRPr="005B3B73">
        <w:rPr>
          <w:rFonts w:ascii="Arial Narrow" w:hAnsi="Arial Narrow" w:cs="Tahoma"/>
          <w:spacing w:val="-6"/>
          <w:sz w:val="26"/>
          <w:szCs w:val="26"/>
        </w:rPr>
        <w:t>d</w:t>
      </w:r>
      <w:r w:rsidR="00E06E22" w:rsidRPr="005B3B73">
        <w:rPr>
          <w:rFonts w:ascii="Arial Narrow" w:hAnsi="Arial Narrow" w:cs="Tahoma"/>
          <w:spacing w:val="-6"/>
          <w:sz w:val="26"/>
          <w:szCs w:val="26"/>
        </w:rPr>
        <w:t>e Seguridad Social”, “Improcedencia en el pago de intereses moratorios”, “Pa</w:t>
      </w:r>
      <w:r w:rsidR="0054661E" w:rsidRPr="005B3B73">
        <w:rPr>
          <w:rFonts w:ascii="Arial Narrow" w:hAnsi="Arial Narrow" w:cs="Tahoma"/>
          <w:spacing w:val="-6"/>
          <w:sz w:val="26"/>
          <w:szCs w:val="26"/>
        </w:rPr>
        <w:t>go”, “Compensación”, “Buena fe” y</w:t>
      </w:r>
      <w:r w:rsidR="00E06E22" w:rsidRPr="005B3B73">
        <w:rPr>
          <w:rFonts w:ascii="Arial Narrow" w:hAnsi="Arial Narrow" w:cs="Tahoma"/>
          <w:spacing w:val="-6"/>
          <w:sz w:val="26"/>
          <w:szCs w:val="26"/>
        </w:rPr>
        <w:t xml:space="preserve"> “Prescripción”. </w:t>
      </w:r>
    </w:p>
    <w:p w:rsidR="009A08E2" w:rsidRPr="009D4797" w:rsidRDefault="009A08E2" w:rsidP="009D4797">
      <w:pPr>
        <w:tabs>
          <w:tab w:val="left" w:pos="1560"/>
        </w:tabs>
        <w:spacing w:line="276" w:lineRule="auto"/>
        <w:jc w:val="both"/>
        <w:rPr>
          <w:rFonts w:ascii="Arial Narrow" w:eastAsia="Calibri" w:hAnsi="Arial Narrow" w:cs="Arial"/>
          <w:szCs w:val="26"/>
          <w:lang w:val="es-ES" w:eastAsia="en-US"/>
        </w:rPr>
      </w:pPr>
    </w:p>
    <w:p w:rsidR="00330600" w:rsidRPr="005B3B73" w:rsidRDefault="009A08E2" w:rsidP="006E3AD9">
      <w:pPr>
        <w:spacing w:line="276" w:lineRule="auto"/>
        <w:ind w:firstLine="900"/>
        <w:jc w:val="both"/>
        <w:rPr>
          <w:rFonts w:ascii="Arial Narrow" w:hAnsi="Arial Narrow" w:cs="Tahoma"/>
          <w:spacing w:val="-6"/>
          <w:sz w:val="26"/>
          <w:szCs w:val="26"/>
        </w:rPr>
      </w:pPr>
      <w:r w:rsidRPr="005B3B73">
        <w:rPr>
          <w:rFonts w:ascii="Arial Narrow" w:hAnsi="Arial Narrow" w:cs="Tahoma"/>
          <w:spacing w:val="-6"/>
          <w:sz w:val="26"/>
          <w:szCs w:val="26"/>
        </w:rPr>
        <w:t xml:space="preserve">En escrito aparte, </w:t>
      </w:r>
      <w:r w:rsidR="00E06E22" w:rsidRPr="005B3B73">
        <w:rPr>
          <w:rFonts w:ascii="Arial Narrow" w:hAnsi="Arial Narrow" w:cs="Tahoma"/>
          <w:spacing w:val="-6"/>
          <w:sz w:val="26"/>
          <w:szCs w:val="26"/>
        </w:rPr>
        <w:t xml:space="preserve">formuló demanda de reconvención solicitando que el </w:t>
      </w:r>
      <w:r w:rsidR="00330600" w:rsidRPr="005B3B73">
        <w:rPr>
          <w:rFonts w:ascii="Arial Narrow" w:hAnsi="Arial Narrow" w:cs="Tahoma"/>
          <w:spacing w:val="-6"/>
          <w:sz w:val="26"/>
          <w:szCs w:val="26"/>
        </w:rPr>
        <w:t>demandante</w:t>
      </w:r>
      <w:r w:rsidR="00E06E22" w:rsidRPr="005B3B73">
        <w:rPr>
          <w:rFonts w:ascii="Arial Narrow" w:hAnsi="Arial Narrow" w:cs="Tahoma"/>
          <w:spacing w:val="-6"/>
          <w:sz w:val="26"/>
          <w:szCs w:val="26"/>
        </w:rPr>
        <w:t xml:space="preserve"> reembolse las sumas de dinero pagadas a</w:t>
      </w:r>
      <w:r w:rsidR="0054661E" w:rsidRPr="005B3B73">
        <w:rPr>
          <w:rFonts w:ascii="Arial Narrow" w:hAnsi="Arial Narrow" w:cs="Tahoma"/>
          <w:spacing w:val="-6"/>
          <w:sz w:val="26"/>
          <w:szCs w:val="26"/>
        </w:rPr>
        <w:t xml:space="preserve"> título de devolución de saldos, debidamente indexados, más </w:t>
      </w:r>
      <w:r w:rsidR="00E06E22" w:rsidRPr="005B3B73">
        <w:rPr>
          <w:rFonts w:ascii="Arial Narrow" w:hAnsi="Arial Narrow" w:cs="Tahoma"/>
          <w:spacing w:val="-6"/>
          <w:sz w:val="26"/>
          <w:szCs w:val="26"/>
        </w:rPr>
        <w:t>las costas proces</w:t>
      </w:r>
      <w:r w:rsidR="0054661E" w:rsidRPr="005B3B73">
        <w:rPr>
          <w:rFonts w:ascii="Arial Narrow" w:hAnsi="Arial Narrow" w:cs="Tahoma"/>
          <w:spacing w:val="-6"/>
          <w:sz w:val="26"/>
          <w:szCs w:val="26"/>
        </w:rPr>
        <w:t>ales</w:t>
      </w:r>
      <w:r w:rsidRPr="005B3B73">
        <w:rPr>
          <w:rFonts w:ascii="Arial Narrow" w:hAnsi="Arial Narrow" w:cs="Tahoma"/>
          <w:spacing w:val="-6"/>
          <w:sz w:val="26"/>
          <w:szCs w:val="26"/>
        </w:rPr>
        <w:t xml:space="preserve">. Como fundamentos fácticos, </w:t>
      </w:r>
      <w:r w:rsidR="00E06E22" w:rsidRPr="005B3B73">
        <w:rPr>
          <w:rFonts w:ascii="Arial Narrow" w:hAnsi="Arial Narrow" w:cs="Tahoma"/>
          <w:spacing w:val="-6"/>
          <w:sz w:val="26"/>
          <w:szCs w:val="26"/>
        </w:rPr>
        <w:t xml:space="preserve">indicó que en respuesta a la solicitud radicada </w:t>
      </w:r>
      <w:r w:rsidRPr="005B3B73">
        <w:rPr>
          <w:rFonts w:ascii="Arial Narrow" w:hAnsi="Arial Narrow" w:cs="Tahoma"/>
          <w:spacing w:val="-6"/>
          <w:sz w:val="26"/>
          <w:szCs w:val="26"/>
        </w:rPr>
        <w:t xml:space="preserve">por el actor el 2 de mayo de 2014, la entidad </w:t>
      </w:r>
      <w:r w:rsidR="00E06E22" w:rsidRPr="005B3B73">
        <w:rPr>
          <w:rFonts w:ascii="Arial Narrow" w:hAnsi="Arial Narrow" w:cs="Tahoma"/>
          <w:spacing w:val="-6"/>
          <w:sz w:val="26"/>
          <w:szCs w:val="26"/>
        </w:rPr>
        <w:t xml:space="preserve">rechazó la pensión de invalidez </w:t>
      </w:r>
      <w:r w:rsidRPr="005B3B73">
        <w:rPr>
          <w:rFonts w:ascii="Arial Narrow" w:hAnsi="Arial Narrow" w:cs="Tahoma"/>
          <w:spacing w:val="-6"/>
          <w:sz w:val="26"/>
          <w:szCs w:val="26"/>
        </w:rPr>
        <w:t xml:space="preserve">reclamada, </w:t>
      </w:r>
      <w:r w:rsidR="00E06E22" w:rsidRPr="005B3B73">
        <w:rPr>
          <w:rFonts w:ascii="Arial Narrow" w:hAnsi="Arial Narrow" w:cs="Tahoma"/>
          <w:spacing w:val="-6"/>
          <w:sz w:val="26"/>
          <w:szCs w:val="26"/>
        </w:rPr>
        <w:t>y en su lugar, a petición del demandante,</w:t>
      </w:r>
      <w:r w:rsidRPr="005B3B73">
        <w:rPr>
          <w:rFonts w:ascii="Arial Narrow" w:hAnsi="Arial Narrow" w:cs="Tahoma"/>
          <w:spacing w:val="-6"/>
          <w:sz w:val="26"/>
          <w:szCs w:val="26"/>
        </w:rPr>
        <w:t xml:space="preserve"> accedió a la </w:t>
      </w:r>
      <w:r w:rsidR="00377101" w:rsidRPr="005B3B73">
        <w:rPr>
          <w:rFonts w:ascii="Arial Narrow" w:hAnsi="Arial Narrow" w:cs="Tahoma"/>
          <w:spacing w:val="-6"/>
          <w:sz w:val="26"/>
          <w:szCs w:val="26"/>
        </w:rPr>
        <w:t>devolución de saldos y del bono pensional.</w:t>
      </w:r>
    </w:p>
    <w:p w:rsidR="00330600" w:rsidRPr="009D4797" w:rsidRDefault="00330600" w:rsidP="009D4797">
      <w:pPr>
        <w:tabs>
          <w:tab w:val="left" w:pos="1560"/>
        </w:tabs>
        <w:spacing w:line="276" w:lineRule="auto"/>
        <w:jc w:val="both"/>
        <w:rPr>
          <w:rFonts w:ascii="Arial Narrow" w:eastAsia="Calibri" w:hAnsi="Arial Narrow" w:cs="Arial"/>
          <w:szCs w:val="26"/>
          <w:lang w:val="es-ES" w:eastAsia="en-US"/>
        </w:rPr>
      </w:pPr>
    </w:p>
    <w:p w:rsidR="00E06E22" w:rsidRPr="005B3B73" w:rsidRDefault="009A08E2" w:rsidP="006E3AD9">
      <w:pPr>
        <w:spacing w:line="276" w:lineRule="auto"/>
        <w:ind w:firstLine="900"/>
        <w:jc w:val="both"/>
        <w:rPr>
          <w:rFonts w:ascii="Arial Narrow" w:hAnsi="Arial Narrow" w:cs="Tahoma"/>
          <w:spacing w:val="-6"/>
          <w:sz w:val="26"/>
          <w:szCs w:val="26"/>
        </w:rPr>
      </w:pPr>
      <w:r w:rsidRPr="005B3B73">
        <w:rPr>
          <w:rFonts w:ascii="Arial Narrow" w:hAnsi="Arial Narrow" w:cs="Tahoma"/>
          <w:spacing w:val="-6"/>
          <w:sz w:val="26"/>
          <w:szCs w:val="26"/>
        </w:rPr>
        <w:t>A su turno, e</w:t>
      </w:r>
      <w:r w:rsidR="00377101" w:rsidRPr="005B3B73">
        <w:rPr>
          <w:rFonts w:ascii="Arial Narrow" w:hAnsi="Arial Narrow" w:cs="Tahoma"/>
          <w:spacing w:val="-6"/>
          <w:sz w:val="26"/>
          <w:szCs w:val="26"/>
        </w:rPr>
        <w:t>l demandante</w:t>
      </w:r>
      <w:r w:rsidR="0054661E" w:rsidRPr="005B3B73">
        <w:rPr>
          <w:rFonts w:ascii="Arial Narrow" w:hAnsi="Arial Narrow" w:cs="Tahoma"/>
          <w:spacing w:val="-6"/>
          <w:sz w:val="26"/>
          <w:szCs w:val="26"/>
        </w:rPr>
        <w:t xml:space="preserve">, en respuesta, </w:t>
      </w:r>
      <w:r w:rsidR="00377101" w:rsidRPr="005B3B73">
        <w:rPr>
          <w:rFonts w:ascii="Arial Narrow" w:hAnsi="Arial Narrow" w:cs="Tahoma"/>
          <w:spacing w:val="-6"/>
          <w:sz w:val="26"/>
          <w:szCs w:val="26"/>
        </w:rPr>
        <w:t>se opuso a las pretensiones de la demanda de reconvención</w:t>
      </w:r>
      <w:r w:rsidR="0054661E" w:rsidRPr="005B3B73">
        <w:rPr>
          <w:rFonts w:ascii="Arial Narrow" w:hAnsi="Arial Narrow" w:cs="Tahoma"/>
          <w:spacing w:val="-6"/>
          <w:sz w:val="26"/>
          <w:szCs w:val="26"/>
        </w:rPr>
        <w:t xml:space="preserve">, </w:t>
      </w:r>
      <w:r w:rsidR="00891DF8" w:rsidRPr="005B3B73">
        <w:rPr>
          <w:rFonts w:ascii="Arial Narrow" w:hAnsi="Arial Narrow" w:cs="Tahoma"/>
          <w:spacing w:val="-6"/>
          <w:sz w:val="26"/>
          <w:szCs w:val="26"/>
        </w:rPr>
        <w:t xml:space="preserve">indicando que </w:t>
      </w:r>
      <w:r w:rsidR="00D94FC1" w:rsidRPr="005B3B73">
        <w:rPr>
          <w:rFonts w:ascii="Arial Narrow" w:hAnsi="Arial Narrow" w:cs="Tahoma"/>
          <w:spacing w:val="-6"/>
          <w:sz w:val="26"/>
          <w:szCs w:val="26"/>
        </w:rPr>
        <w:t xml:space="preserve">él </w:t>
      </w:r>
      <w:r w:rsidR="00891DF8" w:rsidRPr="005B3B73">
        <w:rPr>
          <w:rFonts w:ascii="Arial Narrow" w:hAnsi="Arial Narrow" w:cs="Tahoma"/>
          <w:spacing w:val="-6"/>
          <w:sz w:val="26"/>
          <w:szCs w:val="26"/>
        </w:rPr>
        <w:t xml:space="preserve">no solicitó la devolución de los aportes, </w:t>
      </w:r>
      <w:r w:rsidR="0054661E" w:rsidRPr="005B3B73">
        <w:rPr>
          <w:rFonts w:ascii="Arial Narrow" w:hAnsi="Arial Narrow" w:cs="Tahoma"/>
          <w:spacing w:val="-6"/>
          <w:sz w:val="26"/>
          <w:szCs w:val="26"/>
        </w:rPr>
        <w:t xml:space="preserve">y que </w:t>
      </w:r>
      <w:r w:rsidR="00891DF8" w:rsidRPr="005B3B73">
        <w:rPr>
          <w:rFonts w:ascii="Arial Narrow" w:hAnsi="Arial Narrow" w:cs="Tahoma"/>
          <w:spacing w:val="-6"/>
          <w:sz w:val="26"/>
          <w:szCs w:val="26"/>
        </w:rPr>
        <w:t xml:space="preserve">Porvenir realizó </w:t>
      </w:r>
      <w:r w:rsidRPr="005B3B73">
        <w:rPr>
          <w:rFonts w:ascii="Arial Narrow" w:hAnsi="Arial Narrow" w:cs="Tahoma"/>
          <w:spacing w:val="-6"/>
          <w:sz w:val="26"/>
          <w:szCs w:val="26"/>
        </w:rPr>
        <w:t xml:space="preserve">el pago de esta </w:t>
      </w:r>
      <w:r w:rsidR="0054661E" w:rsidRPr="005B3B73">
        <w:rPr>
          <w:rFonts w:ascii="Arial Narrow" w:hAnsi="Arial Narrow" w:cs="Tahoma"/>
          <w:spacing w:val="-6"/>
          <w:sz w:val="26"/>
          <w:szCs w:val="26"/>
        </w:rPr>
        <w:t xml:space="preserve">de manera autónoma. Como medios exceptivos de defensa </w:t>
      </w:r>
      <w:r w:rsidR="00377101" w:rsidRPr="005B3B73">
        <w:rPr>
          <w:rFonts w:ascii="Arial Narrow" w:hAnsi="Arial Narrow" w:cs="Tahoma"/>
          <w:spacing w:val="-6"/>
          <w:sz w:val="26"/>
          <w:szCs w:val="26"/>
        </w:rPr>
        <w:t xml:space="preserve">propuso </w:t>
      </w:r>
      <w:r w:rsidRPr="005B3B73">
        <w:rPr>
          <w:rFonts w:ascii="Arial Narrow" w:hAnsi="Arial Narrow" w:cs="Tahoma"/>
          <w:spacing w:val="-6"/>
          <w:sz w:val="26"/>
          <w:szCs w:val="26"/>
        </w:rPr>
        <w:t xml:space="preserve">la </w:t>
      </w:r>
      <w:r w:rsidR="00377101" w:rsidRPr="005B3B73">
        <w:rPr>
          <w:rFonts w:ascii="Arial Narrow" w:hAnsi="Arial Narrow" w:cs="Tahoma"/>
          <w:spacing w:val="-6"/>
          <w:sz w:val="26"/>
          <w:szCs w:val="26"/>
        </w:rPr>
        <w:t xml:space="preserve">“prescripción”. </w:t>
      </w:r>
    </w:p>
    <w:p w:rsidR="00377101" w:rsidRPr="005B3B73" w:rsidRDefault="00377101" w:rsidP="006E3AD9">
      <w:pPr>
        <w:spacing w:line="276" w:lineRule="auto"/>
        <w:ind w:firstLine="900"/>
        <w:jc w:val="both"/>
        <w:rPr>
          <w:rFonts w:ascii="Arial Narrow" w:hAnsi="Arial Narrow" w:cs="Tahoma"/>
          <w:spacing w:val="-6"/>
          <w:sz w:val="26"/>
          <w:szCs w:val="26"/>
        </w:rPr>
      </w:pPr>
    </w:p>
    <w:p w:rsidR="00377101" w:rsidRPr="005B3B73" w:rsidRDefault="00377101" w:rsidP="006E3AD9">
      <w:pPr>
        <w:spacing w:line="276" w:lineRule="auto"/>
        <w:ind w:firstLine="900"/>
        <w:jc w:val="both"/>
        <w:rPr>
          <w:rFonts w:ascii="Arial Narrow" w:hAnsi="Arial Narrow" w:cs="Tahoma"/>
          <w:b/>
          <w:i/>
          <w:spacing w:val="-6"/>
          <w:sz w:val="26"/>
          <w:szCs w:val="26"/>
        </w:rPr>
      </w:pPr>
      <w:r w:rsidRPr="005B3B73">
        <w:rPr>
          <w:rFonts w:ascii="Arial Narrow" w:hAnsi="Arial Narrow" w:cs="Tahoma"/>
          <w:b/>
          <w:i/>
          <w:spacing w:val="-6"/>
          <w:sz w:val="26"/>
          <w:szCs w:val="26"/>
        </w:rPr>
        <w:t xml:space="preserve">II. SENTENCIA DEL JUZGADO </w:t>
      </w:r>
    </w:p>
    <w:p w:rsidR="00377101" w:rsidRPr="005B3B73" w:rsidRDefault="00377101" w:rsidP="006E3AD9">
      <w:pPr>
        <w:pStyle w:val="Sinespaciado"/>
        <w:spacing w:line="276" w:lineRule="auto"/>
        <w:rPr>
          <w:rFonts w:ascii="Arial Narrow" w:hAnsi="Arial Narrow"/>
          <w:spacing w:val="-6"/>
          <w:sz w:val="26"/>
          <w:szCs w:val="26"/>
        </w:rPr>
      </w:pPr>
    </w:p>
    <w:p w:rsidR="009A08E2" w:rsidRDefault="00377101" w:rsidP="006E3AD9">
      <w:pPr>
        <w:spacing w:line="276" w:lineRule="auto"/>
        <w:ind w:firstLine="900"/>
        <w:jc w:val="both"/>
        <w:rPr>
          <w:rFonts w:ascii="Arial Narrow" w:hAnsi="Arial Narrow" w:cs="Tahoma"/>
          <w:spacing w:val="-6"/>
          <w:sz w:val="26"/>
          <w:szCs w:val="26"/>
        </w:rPr>
      </w:pPr>
      <w:r w:rsidRPr="005B3B73">
        <w:rPr>
          <w:rFonts w:ascii="Arial Narrow" w:hAnsi="Arial Narrow" w:cs="Tahoma"/>
          <w:spacing w:val="-6"/>
          <w:sz w:val="26"/>
          <w:szCs w:val="26"/>
        </w:rPr>
        <w:t>El Juzgado de conocimiento mediante fallo del 22 de enero de 2019, absolvió a Porvenir y condenó en costas a la parte demandante en un 100%</w:t>
      </w:r>
      <w:r w:rsidR="00025FA5">
        <w:rPr>
          <w:rFonts w:ascii="Arial Narrow" w:hAnsi="Arial Narrow" w:cs="Tahoma"/>
          <w:spacing w:val="-6"/>
          <w:sz w:val="26"/>
          <w:szCs w:val="26"/>
        </w:rPr>
        <w:t>.</w:t>
      </w:r>
    </w:p>
    <w:p w:rsidR="00025FA5" w:rsidRPr="009D4797" w:rsidRDefault="00025FA5" w:rsidP="009D4797">
      <w:pPr>
        <w:tabs>
          <w:tab w:val="left" w:pos="1560"/>
        </w:tabs>
        <w:spacing w:line="276" w:lineRule="auto"/>
        <w:jc w:val="both"/>
        <w:rPr>
          <w:rFonts w:ascii="Arial Narrow" w:eastAsia="Calibri" w:hAnsi="Arial Narrow" w:cs="Arial"/>
          <w:szCs w:val="26"/>
          <w:lang w:val="es-ES" w:eastAsia="en-US"/>
        </w:rPr>
      </w:pPr>
    </w:p>
    <w:p w:rsidR="00CF4CC2" w:rsidRPr="005B3B73" w:rsidRDefault="00E94FF7" w:rsidP="006E3AD9">
      <w:pPr>
        <w:spacing w:line="276" w:lineRule="auto"/>
        <w:ind w:firstLine="900"/>
        <w:jc w:val="both"/>
        <w:rPr>
          <w:rFonts w:ascii="Arial Narrow" w:hAnsi="Arial Narrow" w:cs="Tahoma"/>
          <w:spacing w:val="-6"/>
          <w:sz w:val="26"/>
          <w:szCs w:val="26"/>
        </w:rPr>
      </w:pPr>
      <w:r w:rsidRPr="005B3B73">
        <w:rPr>
          <w:rFonts w:ascii="Arial Narrow" w:hAnsi="Arial Narrow" w:cs="Tahoma"/>
          <w:spacing w:val="-6"/>
          <w:sz w:val="26"/>
          <w:szCs w:val="26"/>
        </w:rPr>
        <w:t xml:space="preserve">Parra arribar a tal determinación, </w:t>
      </w:r>
      <w:r w:rsidR="0083421B" w:rsidRPr="005B3B73">
        <w:rPr>
          <w:rFonts w:ascii="Arial Narrow" w:hAnsi="Arial Narrow" w:cs="Tahoma"/>
          <w:spacing w:val="-6"/>
          <w:sz w:val="26"/>
          <w:szCs w:val="26"/>
        </w:rPr>
        <w:t>indicó que l</w:t>
      </w:r>
      <w:r w:rsidR="00EF7708" w:rsidRPr="005B3B73">
        <w:rPr>
          <w:rFonts w:ascii="Arial Narrow" w:hAnsi="Arial Narrow" w:cs="Tahoma"/>
          <w:spacing w:val="-6"/>
          <w:sz w:val="26"/>
          <w:szCs w:val="26"/>
        </w:rPr>
        <w:t xml:space="preserve">a </w:t>
      </w:r>
      <w:r w:rsidR="00CF4CC2" w:rsidRPr="005B3B73">
        <w:rPr>
          <w:rFonts w:ascii="Arial Narrow" w:hAnsi="Arial Narrow" w:cs="Tahoma"/>
          <w:spacing w:val="-6"/>
          <w:sz w:val="26"/>
          <w:szCs w:val="26"/>
        </w:rPr>
        <w:t xml:space="preserve">aplicación </w:t>
      </w:r>
      <w:r w:rsidR="00EF7708" w:rsidRPr="005B3B73">
        <w:rPr>
          <w:rFonts w:ascii="Arial Narrow" w:hAnsi="Arial Narrow" w:cs="Tahoma"/>
          <w:spacing w:val="-6"/>
          <w:sz w:val="26"/>
          <w:szCs w:val="26"/>
        </w:rPr>
        <w:t xml:space="preserve">de la condición más beneficiosa </w:t>
      </w:r>
      <w:r w:rsidR="00CF4CC2" w:rsidRPr="005B3B73">
        <w:rPr>
          <w:rFonts w:ascii="Arial Narrow" w:hAnsi="Arial Narrow" w:cs="Tahoma"/>
          <w:spacing w:val="-6"/>
          <w:sz w:val="26"/>
          <w:szCs w:val="26"/>
        </w:rPr>
        <w:t xml:space="preserve">no es ilimitada </w:t>
      </w:r>
      <w:r w:rsidR="002D3E2A" w:rsidRPr="005B3B73">
        <w:rPr>
          <w:rFonts w:ascii="Arial Narrow" w:hAnsi="Arial Narrow" w:cs="Tahoma"/>
          <w:spacing w:val="-6"/>
          <w:sz w:val="26"/>
          <w:szCs w:val="26"/>
        </w:rPr>
        <w:t xml:space="preserve">en el tiempo, </w:t>
      </w:r>
      <w:r w:rsidR="00CF4CC2" w:rsidRPr="005B3B73">
        <w:rPr>
          <w:rFonts w:ascii="Arial Narrow" w:hAnsi="Arial Narrow" w:cs="Tahoma"/>
          <w:spacing w:val="-6"/>
          <w:sz w:val="26"/>
          <w:szCs w:val="26"/>
        </w:rPr>
        <w:t>por cuanto su finalidad es proteger a las personas que tenían una situación jurídica concreta al momento de pres</w:t>
      </w:r>
      <w:r w:rsidR="00F93986" w:rsidRPr="005B3B73">
        <w:rPr>
          <w:rFonts w:ascii="Arial Narrow" w:hAnsi="Arial Narrow" w:cs="Tahoma"/>
          <w:spacing w:val="-6"/>
          <w:sz w:val="26"/>
          <w:szCs w:val="26"/>
        </w:rPr>
        <w:t xml:space="preserve">entarse el cambio legislativo, </w:t>
      </w:r>
      <w:r w:rsidR="00EC5303" w:rsidRPr="005B3B73">
        <w:rPr>
          <w:rFonts w:ascii="Arial Narrow" w:hAnsi="Arial Narrow" w:cs="Tahoma"/>
          <w:spacing w:val="-6"/>
          <w:sz w:val="26"/>
          <w:szCs w:val="26"/>
        </w:rPr>
        <w:t>por ende, en este caso, era necesario que se acreditara que la estructuración de la invalidez se presentó dentro de los tres años siguientes a la entrada en vigencia</w:t>
      </w:r>
      <w:r w:rsidR="008368BD" w:rsidRPr="005B3B73">
        <w:rPr>
          <w:rFonts w:ascii="Arial Narrow" w:hAnsi="Arial Narrow" w:cs="Tahoma"/>
          <w:spacing w:val="-6"/>
          <w:sz w:val="26"/>
          <w:szCs w:val="26"/>
        </w:rPr>
        <w:t xml:space="preserve"> de la Ley 860 de 2003, esto es</w:t>
      </w:r>
      <w:r w:rsidR="00EC5303" w:rsidRPr="005B3B73">
        <w:rPr>
          <w:rFonts w:ascii="Arial Narrow" w:hAnsi="Arial Narrow" w:cs="Tahoma"/>
          <w:spacing w:val="-6"/>
          <w:sz w:val="26"/>
          <w:szCs w:val="26"/>
        </w:rPr>
        <w:t xml:space="preserve">, entre el </w:t>
      </w:r>
      <w:r w:rsidR="00D94FC1" w:rsidRPr="005B3B73">
        <w:rPr>
          <w:rFonts w:ascii="Arial Narrow" w:hAnsi="Arial Narrow" w:cs="Tahoma"/>
          <w:spacing w:val="-6"/>
          <w:sz w:val="26"/>
          <w:szCs w:val="26"/>
        </w:rPr>
        <w:t xml:space="preserve"> 26 de diciembre de 2003 y ese mismo día y mes del </w:t>
      </w:r>
      <w:r w:rsidR="00CF4CC2" w:rsidRPr="005B3B73">
        <w:rPr>
          <w:rFonts w:ascii="Arial Narrow" w:hAnsi="Arial Narrow" w:cs="Tahoma"/>
          <w:spacing w:val="-6"/>
          <w:sz w:val="26"/>
          <w:szCs w:val="26"/>
        </w:rPr>
        <w:t xml:space="preserve"> 2006</w:t>
      </w:r>
      <w:r w:rsidR="00EC5303" w:rsidRPr="005B3B73">
        <w:rPr>
          <w:rFonts w:ascii="Arial Narrow" w:hAnsi="Arial Narrow" w:cs="Tahoma"/>
          <w:spacing w:val="-6"/>
          <w:sz w:val="26"/>
          <w:szCs w:val="26"/>
        </w:rPr>
        <w:t xml:space="preserve">, circunstancia que no se satisfizo, como quiera que </w:t>
      </w:r>
      <w:r w:rsidR="00CF4CC2" w:rsidRPr="005B3B73">
        <w:rPr>
          <w:rFonts w:ascii="Arial Narrow" w:hAnsi="Arial Narrow" w:cs="Tahoma"/>
          <w:spacing w:val="-6"/>
          <w:sz w:val="26"/>
          <w:szCs w:val="26"/>
        </w:rPr>
        <w:t xml:space="preserve">la estructuración </w:t>
      </w:r>
      <w:r w:rsidR="00EC5303" w:rsidRPr="005B3B73">
        <w:rPr>
          <w:rFonts w:ascii="Arial Narrow" w:hAnsi="Arial Narrow" w:cs="Tahoma"/>
          <w:spacing w:val="-6"/>
          <w:sz w:val="26"/>
          <w:szCs w:val="26"/>
        </w:rPr>
        <w:t xml:space="preserve">se dio para </w:t>
      </w:r>
      <w:r w:rsidR="00D94FC1" w:rsidRPr="005B3B73">
        <w:rPr>
          <w:rFonts w:ascii="Arial Narrow" w:hAnsi="Arial Narrow" w:cs="Tahoma"/>
          <w:spacing w:val="-6"/>
          <w:sz w:val="26"/>
          <w:szCs w:val="26"/>
        </w:rPr>
        <w:t>e</w:t>
      </w:r>
      <w:r w:rsidR="00CF4CC2" w:rsidRPr="005B3B73">
        <w:rPr>
          <w:rFonts w:ascii="Arial Narrow" w:hAnsi="Arial Narrow" w:cs="Tahoma"/>
          <w:spacing w:val="-6"/>
          <w:sz w:val="26"/>
          <w:szCs w:val="26"/>
        </w:rPr>
        <w:t xml:space="preserve">l 4 de diciembre de 2013. </w:t>
      </w:r>
      <w:r w:rsidR="00EF7708" w:rsidRPr="005B3B73">
        <w:rPr>
          <w:rFonts w:ascii="Arial Narrow" w:hAnsi="Arial Narrow" w:cs="Tahoma"/>
          <w:spacing w:val="-6"/>
          <w:sz w:val="26"/>
          <w:szCs w:val="26"/>
        </w:rPr>
        <w:t xml:space="preserve">Así mismo, indicó que no se encuentran acreditadas las 50 semanas dentro de los 3 años anteriores a la estructuración de </w:t>
      </w:r>
      <w:r w:rsidR="00D94FC1" w:rsidRPr="005B3B73">
        <w:rPr>
          <w:rFonts w:ascii="Arial Narrow" w:hAnsi="Arial Narrow" w:cs="Tahoma"/>
          <w:spacing w:val="-6"/>
          <w:sz w:val="26"/>
          <w:szCs w:val="26"/>
        </w:rPr>
        <w:t>la</w:t>
      </w:r>
      <w:r w:rsidR="00EF7708" w:rsidRPr="005B3B73">
        <w:rPr>
          <w:rFonts w:ascii="Arial Narrow" w:hAnsi="Arial Narrow" w:cs="Tahoma"/>
          <w:spacing w:val="-6"/>
          <w:sz w:val="26"/>
          <w:szCs w:val="26"/>
        </w:rPr>
        <w:t xml:space="preserve"> invalidez</w:t>
      </w:r>
      <w:r w:rsidR="009A08E2" w:rsidRPr="005B3B73">
        <w:rPr>
          <w:rFonts w:ascii="Arial Narrow" w:hAnsi="Arial Narrow" w:cs="Tahoma"/>
          <w:spacing w:val="-6"/>
          <w:sz w:val="26"/>
          <w:szCs w:val="26"/>
        </w:rPr>
        <w:t xml:space="preserve">, al tenor de lo previsto en la Ley 860 de 2003. </w:t>
      </w:r>
      <w:r w:rsidR="00EF7708" w:rsidRPr="005B3B73">
        <w:rPr>
          <w:rFonts w:ascii="Arial Narrow" w:hAnsi="Arial Narrow" w:cs="Tahoma"/>
          <w:spacing w:val="-6"/>
          <w:sz w:val="26"/>
          <w:szCs w:val="26"/>
        </w:rPr>
        <w:t>Para el efecto, trajo a colación p</w:t>
      </w:r>
      <w:r w:rsidR="00CF4CC2" w:rsidRPr="005B3B73">
        <w:rPr>
          <w:rFonts w:ascii="Arial Narrow" w:hAnsi="Arial Narrow" w:cs="Tahoma"/>
          <w:spacing w:val="-6"/>
          <w:sz w:val="26"/>
          <w:szCs w:val="26"/>
        </w:rPr>
        <w:t>ronunc</w:t>
      </w:r>
      <w:r w:rsidR="00EF7708" w:rsidRPr="005B3B73">
        <w:rPr>
          <w:rFonts w:ascii="Arial Narrow" w:hAnsi="Arial Narrow" w:cs="Tahoma"/>
          <w:spacing w:val="-6"/>
          <w:sz w:val="26"/>
          <w:szCs w:val="26"/>
        </w:rPr>
        <w:t xml:space="preserve">iamiento de esta Sala de Decisión y citó algunos de sus apartes. </w:t>
      </w:r>
    </w:p>
    <w:p w:rsidR="00612DDB" w:rsidRPr="009D4797" w:rsidRDefault="00612DDB" w:rsidP="009D4797">
      <w:pPr>
        <w:tabs>
          <w:tab w:val="left" w:pos="1560"/>
        </w:tabs>
        <w:spacing w:line="276" w:lineRule="auto"/>
        <w:jc w:val="both"/>
        <w:rPr>
          <w:rFonts w:ascii="Arial Narrow" w:eastAsia="Calibri" w:hAnsi="Arial Narrow" w:cs="Arial"/>
          <w:szCs w:val="26"/>
          <w:lang w:val="es-ES" w:eastAsia="en-US"/>
        </w:rPr>
      </w:pPr>
    </w:p>
    <w:p w:rsidR="00353ABC" w:rsidRPr="005B3B73" w:rsidRDefault="00353ABC" w:rsidP="006E3AD9">
      <w:pPr>
        <w:spacing w:line="276" w:lineRule="auto"/>
        <w:ind w:firstLine="900"/>
        <w:jc w:val="both"/>
        <w:rPr>
          <w:rFonts w:ascii="Arial Narrow" w:hAnsi="Arial Narrow" w:cs="Tahoma"/>
          <w:b/>
          <w:i/>
          <w:spacing w:val="-6"/>
          <w:sz w:val="26"/>
          <w:szCs w:val="26"/>
        </w:rPr>
      </w:pPr>
      <w:r w:rsidRPr="005B3B73">
        <w:rPr>
          <w:rFonts w:ascii="Arial Narrow" w:hAnsi="Arial Narrow" w:cs="Tahoma"/>
          <w:b/>
          <w:i/>
          <w:spacing w:val="-6"/>
          <w:sz w:val="26"/>
          <w:szCs w:val="26"/>
        </w:rPr>
        <w:t>III. CONSULTA</w:t>
      </w:r>
    </w:p>
    <w:p w:rsidR="00353ABC" w:rsidRPr="009D4797" w:rsidRDefault="00353ABC" w:rsidP="009D4797">
      <w:pPr>
        <w:tabs>
          <w:tab w:val="left" w:pos="1560"/>
        </w:tabs>
        <w:spacing w:line="276" w:lineRule="auto"/>
        <w:jc w:val="both"/>
        <w:rPr>
          <w:rFonts w:ascii="Arial Narrow" w:eastAsia="Calibri" w:hAnsi="Arial Narrow" w:cs="Arial"/>
          <w:szCs w:val="26"/>
          <w:lang w:val="es-ES" w:eastAsia="en-US"/>
        </w:rPr>
      </w:pPr>
    </w:p>
    <w:p w:rsidR="00353ABC" w:rsidRPr="005B3B73" w:rsidRDefault="00353ABC" w:rsidP="006E3AD9">
      <w:pPr>
        <w:widowControl w:val="0"/>
        <w:autoSpaceDE w:val="0"/>
        <w:autoSpaceDN w:val="0"/>
        <w:adjustRightInd w:val="0"/>
        <w:spacing w:line="276" w:lineRule="auto"/>
        <w:ind w:firstLine="851"/>
        <w:jc w:val="both"/>
        <w:rPr>
          <w:rFonts w:ascii="Arial Narrow" w:hAnsi="Arial Narrow" w:cs="Arial"/>
          <w:iCs/>
          <w:spacing w:val="-6"/>
          <w:sz w:val="26"/>
          <w:szCs w:val="26"/>
          <w:lang w:val="es-MX" w:eastAsia="es-MX"/>
        </w:rPr>
      </w:pPr>
      <w:r w:rsidRPr="005B3B73">
        <w:rPr>
          <w:rFonts w:ascii="Arial Narrow" w:hAnsi="Arial Narrow" w:cs="Arial"/>
          <w:iCs/>
          <w:spacing w:val="-6"/>
          <w:sz w:val="26"/>
          <w:szCs w:val="26"/>
          <w:lang w:val="es-MX" w:eastAsia="es-MX"/>
        </w:rPr>
        <w:t xml:space="preserve">Respecto del proveído se dispuso el grado jurisdiccional de consulta en favor del demandante, por haber sido desfavorable a sus intereses. Y surtido como se encuentra el trámite procesal de la instancia, se procede a desatarlo. </w:t>
      </w:r>
    </w:p>
    <w:p w:rsidR="009A08E2" w:rsidRPr="009D4797" w:rsidRDefault="009A08E2" w:rsidP="009D4797">
      <w:pPr>
        <w:tabs>
          <w:tab w:val="left" w:pos="1560"/>
        </w:tabs>
        <w:spacing w:line="276" w:lineRule="auto"/>
        <w:jc w:val="both"/>
        <w:rPr>
          <w:rFonts w:ascii="Arial Narrow" w:eastAsia="Calibri" w:hAnsi="Arial Narrow" w:cs="Arial"/>
          <w:szCs w:val="26"/>
          <w:lang w:val="es-ES" w:eastAsia="en-US"/>
        </w:rPr>
      </w:pPr>
    </w:p>
    <w:p w:rsidR="00353ABC" w:rsidRPr="005B3B73" w:rsidRDefault="00353ABC" w:rsidP="006E3AD9">
      <w:pPr>
        <w:pStyle w:val="Sinespaciado"/>
        <w:spacing w:line="276" w:lineRule="auto"/>
        <w:ind w:firstLine="708"/>
        <w:rPr>
          <w:rFonts w:ascii="Arial Narrow" w:hAnsi="Arial Narrow"/>
          <w:b/>
          <w:i/>
          <w:spacing w:val="-6"/>
          <w:sz w:val="26"/>
          <w:szCs w:val="26"/>
        </w:rPr>
      </w:pPr>
      <w:r w:rsidRPr="005B3B73">
        <w:rPr>
          <w:rFonts w:ascii="Arial Narrow" w:hAnsi="Arial Narrow"/>
          <w:b/>
          <w:i/>
          <w:spacing w:val="-6"/>
          <w:sz w:val="26"/>
          <w:szCs w:val="26"/>
        </w:rPr>
        <w:t>Del problema jurídico.</w:t>
      </w:r>
    </w:p>
    <w:p w:rsidR="00353ABC" w:rsidRPr="005B3B73" w:rsidRDefault="00353ABC" w:rsidP="006E3AD9">
      <w:pPr>
        <w:pStyle w:val="Sinespaciado"/>
        <w:spacing w:line="276" w:lineRule="auto"/>
        <w:rPr>
          <w:rFonts w:ascii="Arial Narrow" w:hAnsi="Arial Narrow"/>
          <w:i/>
          <w:spacing w:val="-6"/>
          <w:sz w:val="26"/>
          <w:szCs w:val="26"/>
        </w:rPr>
      </w:pPr>
    </w:p>
    <w:p w:rsidR="00353ABC" w:rsidRPr="005B3B73" w:rsidRDefault="00353ABC" w:rsidP="006E3AD9">
      <w:pPr>
        <w:shd w:val="clear" w:color="auto" w:fill="FFFFFF"/>
        <w:tabs>
          <w:tab w:val="left" w:pos="851"/>
        </w:tabs>
        <w:spacing w:line="276" w:lineRule="auto"/>
        <w:jc w:val="both"/>
        <w:rPr>
          <w:rFonts w:ascii="Arial Narrow" w:hAnsi="Arial Narrow" w:cs="Tahoma"/>
          <w:color w:val="000000"/>
          <w:spacing w:val="-6"/>
          <w:sz w:val="26"/>
          <w:szCs w:val="26"/>
          <w:lang w:eastAsia="es-CO"/>
        </w:rPr>
      </w:pPr>
      <w:r w:rsidRPr="005B3B73">
        <w:rPr>
          <w:rFonts w:ascii="Arial Narrow" w:hAnsi="Arial Narrow" w:cs="Tahoma"/>
          <w:i/>
          <w:spacing w:val="-6"/>
          <w:sz w:val="26"/>
          <w:szCs w:val="26"/>
        </w:rPr>
        <w:tab/>
        <w:t>¿En el sub-lite, es de recibo la aplicación del principio de la condición más beneficiosa?</w:t>
      </w:r>
    </w:p>
    <w:p w:rsidR="00353ABC" w:rsidRPr="005B3B73" w:rsidRDefault="00353ABC" w:rsidP="006E3AD9">
      <w:pPr>
        <w:pStyle w:val="Sinespaciado"/>
        <w:spacing w:line="276" w:lineRule="auto"/>
        <w:rPr>
          <w:rFonts w:ascii="Arial Narrow" w:hAnsi="Arial Narrow"/>
          <w:spacing w:val="-6"/>
          <w:sz w:val="26"/>
          <w:szCs w:val="26"/>
        </w:rPr>
      </w:pPr>
    </w:p>
    <w:p w:rsidR="00353ABC" w:rsidRPr="005B3B73" w:rsidRDefault="00353ABC" w:rsidP="006E3AD9">
      <w:pPr>
        <w:tabs>
          <w:tab w:val="left" w:pos="0"/>
          <w:tab w:val="left" w:pos="8647"/>
        </w:tabs>
        <w:suppressAutoHyphens/>
        <w:spacing w:line="276" w:lineRule="auto"/>
        <w:ind w:firstLine="851"/>
        <w:jc w:val="both"/>
        <w:rPr>
          <w:rFonts w:ascii="Arial Narrow" w:hAnsi="Arial Narrow" w:cs="Tahoma"/>
          <w:i/>
          <w:iCs/>
          <w:spacing w:val="-6"/>
          <w:sz w:val="26"/>
          <w:szCs w:val="26"/>
        </w:rPr>
      </w:pPr>
      <w:r w:rsidRPr="005B3B73">
        <w:rPr>
          <w:rFonts w:ascii="Arial Narrow" w:hAnsi="Arial Narrow" w:cs="Tahoma"/>
          <w:i/>
          <w:iCs/>
          <w:spacing w:val="-6"/>
          <w:sz w:val="26"/>
          <w:szCs w:val="26"/>
        </w:rPr>
        <w:t xml:space="preserve">¿Tiene derecho el actor al reconocimiento y pago de la pensión de invalidez? </w:t>
      </w:r>
    </w:p>
    <w:p w:rsidR="00353ABC" w:rsidRPr="009D4797" w:rsidRDefault="00353ABC" w:rsidP="009D4797">
      <w:pPr>
        <w:tabs>
          <w:tab w:val="left" w:pos="1560"/>
        </w:tabs>
        <w:spacing w:line="276" w:lineRule="auto"/>
        <w:jc w:val="both"/>
        <w:rPr>
          <w:rFonts w:ascii="Arial Narrow" w:eastAsia="Calibri" w:hAnsi="Arial Narrow" w:cs="Arial"/>
          <w:szCs w:val="26"/>
          <w:lang w:val="es-ES" w:eastAsia="en-US"/>
        </w:rPr>
      </w:pPr>
    </w:p>
    <w:p w:rsidR="00353ABC" w:rsidRPr="005B3B73" w:rsidRDefault="00353ABC" w:rsidP="006E3AD9">
      <w:pPr>
        <w:spacing w:line="276" w:lineRule="auto"/>
        <w:ind w:firstLine="708"/>
        <w:jc w:val="both"/>
        <w:rPr>
          <w:rFonts w:ascii="Arial Narrow" w:hAnsi="Arial Narrow" w:cs="Tahoma"/>
          <w:b/>
          <w:i/>
          <w:spacing w:val="-6"/>
          <w:sz w:val="26"/>
          <w:szCs w:val="26"/>
        </w:rPr>
      </w:pPr>
      <w:r w:rsidRPr="005B3B73">
        <w:rPr>
          <w:rFonts w:ascii="Arial Narrow" w:hAnsi="Arial Narrow" w:cs="Tahoma"/>
          <w:b/>
          <w:i/>
          <w:spacing w:val="-6"/>
          <w:sz w:val="26"/>
          <w:szCs w:val="26"/>
        </w:rPr>
        <w:t>Desenvolvimiento de la problemática planteada</w:t>
      </w:r>
    </w:p>
    <w:p w:rsidR="00353ABC" w:rsidRPr="009D4797" w:rsidRDefault="00353ABC" w:rsidP="009D4797">
      <w:pPr>
        <w:tabs>
          <w:tab w:val="left" w:pos="1560"/>
        </w:tabs>
        <w:spacing w:line="276" w:lineRule="auto"/>
        <w:jc w:val="both"/>
        <w:rPr>
          <w:rFonts w:ascii="Arial Narrow" w:eastAsia="Calibri" w:hAnsi="Arial Narrow" w:cs="Arial"/>
          <w:szCs w:val="26"/>
          <w:lang w:val="es-ES" w:eastAsia="en-US"/>
        </w:rPr>
      </w:pPr>
    </w:p>
    <w:p w:rsidR="00353ABC" w:rsidRPr="005B3B73" w:rsidRDefault="00353ABC" w:rsidP="006E3AD9">
      <w:pPr>
        <w:pStyle w:val="Textodebloque1"/>
        <w:widowControl w:val="0"/>
        <w:tabs>
          <w:tab w:val="clear" w:pos="-720"/>
          <w:tab w:val="left" w:pos="7938"/>
        </w:tabs>
        <w:suppressAutoHyphens w:val="0"/>
        <w:spacing w:line="276" w:lineRule="auto"/>
        <w:ind w:left="0" w:right="51" w:firstLine="709"/>
        <w:rPr>
          <w:rFonts w:ascii="Arial Narrow" w:hAnsi="Arial Narrow" w:cs="Tahoma"/>
          <w:b w:val="0"/>
          <w:spacing w:val="-6"/>
          <w:sz w:val="26"/>
          <w:szCs w:val="26"/>
        </w:rPr>
      </w:pPr>
      <w:r w:rsidRPr="005B3B73">
        <w:rPr>
          <w:rFonts w:ascii="Arial Narrow" w:hAnsi="Arial Narrow"/>
          <w:b w:val="0"/>
          <w:spacing w:val="-6"/>
          <w:sz w:val="26"/>
          <w:szCs w:val="26"/>
        </w:rPr>
        <w:t>Para resolver tales cuestionamientos, interesa resaltar los supuestos fácticos indiscutidos en el proceso y que sirven de base a la decisión que se adopta. Ellos son: (i) que el demandante nació el</w:t>
      </w:r>
      <w:r w:rsidR="00025C65" w:rsidRPr="005B3B73">
        <w:rPr>
          <w:rFonts w:ascii="Arial Narrow" w:hAnsi="Arial Narrow"/>
          <w:b w:val="0"/>
          <w:spacing w:val="-6"/>
          <w:sz w:val="26"/>
          <w:szCs w:val="26"/>
        </w:rPr>
        <w:t xml:space="preserve"> 6 de marzo de 1959</w:t>
      </w:r>
      <w:r w:rsidRPr="005B3B73">
        <w:rPr>
          <w:rFonts w:ascii="Arial Narrow" w:hAnsi="Arial Narrow"/>
          <w:b w:val="0"/>
          <w:spacing w:val="-6"/>
          <w:sz w:val="26"/>
          <w:szCs w:val="26"/>
        </w:rPr>
        <w:t>, -</w:t>
      </w:r>
      <w:r w:rsidR="00025C65" w:rsidRPr="005B3B73">
        <w:rPr>
          <w:rFonts w:ascii="Arial Narrow" w:hAnsi="Arial Narrow"/>
          <w:b w:val="0"/>
          <w:spacing w:val="-6"/>
          <w:sz w:val="26"/>
          <w:szCs w:val="26"/>
        </w:rPr>
        <w:t xml:space="preserve"> fl.10</w:t>
      </w:r>
      <w:r w:rsidRPr="005B3B73">
        <w:rPr>
          <w:rFonts w:ascii="Arial Narrow" w:hAnsi="Arial Narrow"/>
          <w:b w:val="0"/>
          <w:spacing w:val="-6"/>
          <w:sz w:val="26"/>
          <w:szCs w:val="26"/>
        </w:rPr>
        <w:t>; (ii) que presenta una pérdida de capacidad laboral del 5</w:t>
      </w:r>
      <w:r w:rsidR="00025C65" w:rsidRPr="005B3B73">
        <w:rPr>
          <w:rFonts w:ascii="Arial Narrow" w:hAnsi="Arial Narrow"/>
          <w:b w:val="0"/>
          <w:spacing w:val="-6"/>
          <w:sz w:val="26"/>
          <w:szCs w:val="26"/>
        </w:rPr>
        <w:t xml:space="preserve">3.34% </w:t>
      </w:r>
      <w:r w:rsidRPr="005B3B73">
        <w:rPr>
          <w:rFonts w:ascii="Arial Narrow" w:hAnsi="Arial Narrow"/>
          <w:b w:val="0"/>
          <w:spacing w:val="-6"/>
          <w:sz w:val="26"/>
          <w:szCs w:val="26"/>
        </w:rPr>
        <w:t xml:space="preserve">de origen común, estructurada el </w:t>
      </w:r>
      <w:r w:rsidR="00025C65" w:rsidRPr="005B3B73">
        <w:rPr>
          <w:rFonts w:ascii="Arial Narrow" w:hAnsi="Arial Narrow"/>
          <w:b w:val="0"/>
          <w:spacing w:val="-6"/>
          <w:sz w:val="26"/>
          <w:szCs w:val="26"/>
        </w:rPr>
        <w:t xml:space="preserve">4 de diciembre de 2013, según dictamen emitido </w:t>
      </w:r>
      <w:r w:rsidR="00A902E8" w:rsidRPr="005B3B73">
        <w:rPr>
          <w:rFonts w:ascii="Arial Narrow" w:hAnsi="Arial Narrow"/>
          <w:b w:val="0"/>
          <w:spacing w:val="-6"/>
          <w:sz w:val="26"/>
          <w:szCs w:val="26"/>
        </w:rPr>
        <w:t xml:space="preserve">el 25 de febrero de 2014 </w:t>
      </w:r>
      <w:r w:rsidR="00025C65" w:rsidRPr="005B3B73">
        <w:rPr>
          <w:rFonts w:ascii="Arial Narrow" w:hAnsi="Arial Narrow"/>
          <w:b w:val="0"/>
          <w:spacing w:val="-6"/>
          <w:sz w:val="26"/>
          <w:szCs w:val="26"/>
        </w:rPr>
        <w:t>por</w:t>
      </w:r>
      <w:r w:rsidR="0071487A" w:rsidRPr="005B3B73">
        <w:rPr>
          <w:rFonts w:ascii="Arial Narrow" w:hAnsi="Arial Narrow"/>
          <w:b w:val="0"/>
          <w:spacing w:val="-6"/>
          <w:sz w:val="26"/>
          <w:szCs w:val="26"/>
        </w:rPr>
        <w:t xml:space="preserve"> </w:t>
      </w:r>
      <w:r w:rsidR="0071487A" w:rsidRPr="005B3B73">
        <w:rPr>
          <w:rFonts w:ascii="Arial Narrow" w:hAnsi="Arial Narrow"/>
          <w:b w:val="0"/>
          <w:spacing w:val="-6"/>
          <w:sz w:val="26"/>
          <w:szCs w:val="26"/>
        </w:rPr>
        <w:lastRenderedPageBreak/>
        <w:t xml:space="preserve">el Grupo Interdisciplinario </w:t>
      </w:r>
      <w:r w:rsidR="00025C65" w:rsidRPr="005B3B73">
        <w:rPr>
          <w:rFonts w:ascii="Arial Narrow" w:hAnsi="Arial Narrow"/>
          <w:b w:val="0"/>
          <w:spacing w:val="-6"/>
          <w:sz w:val="26"/>
          <w:szCs w:val="26"/>
        </w:rPr>
        <w:t>de Seguros de Vida Alfa S.A.,</w:t>
      </w:r>
      <w:r w:rsidR="0071487A" w:rsidRPr="005B3B73">
        <w:rPr>
          <w:rFonts w:ascii="Arial Narrow" w:hAnsi="Arial Narrow"/>
          <w:b w:val="0"/>
          <w:spacing w:val="-6"/>
          <w:sz w:val="26"/>
          <w:szCs w:val="26"/>
        </w:rPr>
        <w:t>–fl.</w:t>
      </w:r>
      <w:r w:rsidR="00025C65" w:rsidRPr="005B3B73">
        <w:rPr>
          <w:rFonts w:ascii="Arial Narrow" w:hAnsi="Arial Narrow"/>
          <w:b w:val="0"/>
          <w:spacing w:val="-6"/>
          <w:sz w:val="26"/>
          <w:szCs w:val="26"/>
        </w:rPr>
        <w:t>14</w:t>
      </w:r>
      <w:r w:rsidRPr="005B3B73">
        <w:rPr>
          <w:rFonts w:ascii="Arial Narrow" w:hAnsi="Arial Narrow"/>
          <w:b w:val="0"/>
          <w:spacing w:val="-6"/>
          <w:sz w:val="26"/>
          <w:szCs w:val="26"/>
        </w:rPr>
        <w:t xml:space="preserve">; (iii) que </w:t>
      </w:r>
      <w:r w:rsidR="00662B33" w:rsidRPr="005B3B73">
        <w:rPr>
          <w:rFonts w:ascii="Arial Narrow" w:hAnsi="Arial Narrow"/>
          <w:b w:val="0"/>
          <w:spacing w:val="-6"/>
          <w:sz w:val="26"/>
          <w:szCs w:val="26"/>
        </w:rPr>
        <w:t xml:space="preserve">cotizó 482.85 semanas al ISS y 87.85 semanas a Porvenir </w:t>
      </w:r>
      <w:r w:rsidR="0071487A" w:rsidRPr="005B3B73">
        <w:rPr>
          <w:rFonts w:ascii="Arial Narrow" w:hAnsi="Arial Narrow"/>
          <w:b w:val="0"/>
          <w:spacing w:val="-6"/>
          <w:sz w:val="26"/>
          <w:szCs w:val="26"/>
        </w:rPr>
        <w:t xml:space="preserve">fls.11 y </w:t>
      </w:r>
      <w:r w:rsidR="0034493C" w:rsidRPr="005B3B73">
        <w:rPr>
          <w:rFonts w:ascii="Arial Narrow" w:hAnsi="Arial Narrow"/>
          <w:b w:val="0"/>
          <w:spacing w:val="-6"/>
          <w:sz w:val="26"/>
          <w:szCs w:val="26"/>
        </w:rPr>
        <w:t xml:space="preserve">109 a 113 y, </w:t>
      </w:r>
      <w:r w:rsidR="0071487A" w:rsidRPr="005B3B73">
        <w:rPr>
          <w:rFonts w:ascii="Arial Narrow" w:hAnsi="Arial Narrow"/>
          <w:b w:val="0"/>
          <w:spacing w:val="-6"/>
          <w:sz w:val="26"/>
          <w:szCs w:val="26"/>
        </w:rPr>
        <w:t>(iv) que</w:t>
      </w:r>
      <w:r w:rsidR="00025C65" w:rsidRPr="005B3B73">
        <w:rPr>
          <w:rFonts w:ascii="Arial Narrow" w:hAnsi="Arial Narrow" w:cs="Tahoma"/>
          <w:b w:val="0"/>
          <w:spacing w:val="-6"/>
          <w:sz w:val="26"/>
          <w:szCs w:val="26"/>
        </w:rPr>
        <w:t xml:space="preserve"> le fue otorgada la devolución de saldos de su cuenta de ahorro individual </w:t>
      </w:r>
      <w:r w:rsidR="00A902E8" w:rsidRPr="005B3B73">
        <w:rPr>
          <w:rFonts w:ascii="Arial Narrow" w:hAnsi="Arial Narrow" w:cs="Tahoma"/>
          <w:b w:val="0"/>
          <w:spacing w:val="-6"/>
          <w:sz w:val="26"/>
          <w:szCs w:val="26"/>
        </w:rPr>
        <w:t xml:space="preserve">y el bono pensional </w:t>
      </w:r>
      <w:r w:rsidR="00025C65" w:rsidRPr="005B3B73">
        <w:rPr>
          <w:rFonts w:ascii="Arial Narrow" w:hAnsi="Arial Narrow" w:cs="Tahoma"/>
          <w:b w:val="0"/>
          <w:spacing w:val="-6"/>
          <w:sz w:val="26"/>
          <w:szCs w:val="26"/>
        </w:rPr>
        <w:t>por valor de $2`011.128 y $52`558.060,</w:t>
      </w:r>
      <w:r w:rsidR="00662B33" w:rsidRPr="005B3B73">
        <w:rPr>
          <w:rFonts w:ascii="Arial Narrow" w:hAnsi="Arial Narrow" w:cs="Tahoma"/>
          <w:b w:val="0"/>
          <w:spacing w:val="-6"/>
          <w:sz w:val="26"/>
          <w:szCs w:val="26"/>
        </w:rPr>
        <w:t xml:space="preserve"> en su orden, </w:t>
      </w:r>
      <w:r w:rsidR="00A902E8" w:rsidRPr="005B3B73">
        <w:rPr>
          <w:rFonts w:ascii="Arial Narrow" w:hAnsi="Arial Narrow" w:cs="Tahoma"/>
          <w:b w:val="0"/>
          <w:spacing w:val="-6"/>
          <w:sz w:val="26"/>
          <w:szCs w:val="26"/>
        </w:rPr>
        <w:t>fl.</w:t>
      </w:r>
      <w:r w:rsidR="00025C65" w:rsidRPr="005B3B73">
        <w:rPr>
          <w:rFonts w:ascii="Arial Narrow" w:hAnsi="Arial Narrow" w:cs="Tahoma"/>
          <w:b w:val="0"/>
          <w:spacing w:val="-6"/>
          <w:sz w:val="26"/>
          <w:szCs w:val="26"/>
        </w:rPr>
        <w:t xml:space="preserve">21. </w:t>
      </w:r>
    </w:p>
    <w:p w:rsidR="0071487A" w:rsidRPr="009D4797" w:rsidRDefault="0071487A" w:rsidP="009D4797">
      <w:pPr>
        <w:tabs>
          <w:tab w:val="left" w:pos="1560"/>
        </w:tabs>
        <w:spacing w:line="276" w:lineRule="auto"/>
        <w:jc w:val="both"/>
        <w:rPr>
          <w:rFonts w:ascii="Arial Narrow" w:eastAsia="Calibri" w:hAnsi="Arial Narrow" w:cs="Arial"/>
          <w:szCs w:val="26"/>
          <w:lang w:val="es-ES" w:eastAsia="en-US"/>
        </w:rPr>
      </w:pPr>
    </w:p>
    <w:p w:rsidR="00A360C6" w:rsidRPr="005B3B73" w:rsidRDefault="00A360C6" w:rsidP="006E3AD9">
      <w:pPr>
        <w:spacing w:line="276" w:lineRule="auto"/>
        <w:ind w:firstLine="708"/>
        <w:jc w:val="both"/>
        <w:rPr>
          <w:rFonts w:ascii="Arial Narrow" w:hAnsi="Arial Narrow"/>
          <w:spacing w:val="-6"/>
          <w:sz w:val="26"/>
          <w:szCs w:val="26"/>
          <w:lang w:eastAsia="en-US"/>
        </w:rPr>
      </w:pPr>
      <w:r w:rsidRPr="005B3B73">
        <w:rPr>
          <w:rFonts w:ascii="Arial Narrow" w:hAnsi="Arial Narrow"/>
          <w:spacing w:val="-6"/>
          <w:sz w:val="26"/>
          <w:szCs w:val="26"/>
          <w:lang w:eastAsia="en-US"/>
        </w:rPr>
        <w:t xml:space="preserve">Partiendo de esas bases, se adentrará la Colegiatura a resolver el primero de los dilemas jurídicos planteados, consistente en determinar si el demandante tiene derecho a la pensión de invalidez que reclama. </w:t>
      </w:r>
    </w:p>
    <w:p w:rsidR="00A360C6" w:rsidRPr="009D4797" w:rsidRDefault="00A360C6" w:rsidP="009D4797">
      <w:pPr>
        <w:tabs>
          <w:tab w:val="left" w:pos="1560"/>
        </w:tabs>
        <w:spacing w:line="276" w:lineRule="auto"/>
        <w:jc w:val="both"/>
        <w:rPr>
          <w:rFonts w:ascii="Arial Narrow" w:eastAsia="Calibri" w:hAnsi="Arial Narrow" w:cs="Arial"/>
          <w:szCs w:val="26"/>
          <w:lang w:val="es-ES" w:eastAsia="en-US"/>
        </w:rPr>
      </w:pPr>
    </w:p>
    <w:p w:rsidR="00C03605" w:rsidRPr="005B3B73" w:rsidRDefault="00A360C6" w:rsidP="006E3AD9">
      <w:pPr>
        <w:pStyle w:val="Textoindependiente32"/>
        <w:spacing w:line="276" w:lineRule="auto"/>
        <w:ind w:firstLine="708"/>
        <w:rPr>
          <w:rFonts w:ascii="Arial Narrow" w:hAnsi="Arial Narrow" w:cs="Arial"/>
          <w:spacing w:val="-6"/>
          <w:sz w:val="26"/>
          <w:szCs w:val="26"/>
        </w:rPr>
      </w:pPr>
      <w:r w:rsidRPr="005B3B73">
        <w:rPr>
          <w:rFonts w:ascii="Arial Narrow" w:hAnsi="Arial Narrow" w:cs="Tahoma"/>
          <w:spacing w:val="-6"/>
          <w:sz w:val="26"/>
          <w:szCs w:val="26"/>
        </w:rPr>
        <w:t xml:space="preserve">Para el efecto, </w:t>
      </w:r>
      <w:r w:rsidR="009D7F6E" w:rsidRPr="005B3B73">
        <w:rPr>
          <w:rFonts w:ascii="Arial Narrow" w:hAnsi="Arial Narrow" w:cs="Tahoma"/>
          <w:spacing w:val="-6"/>
          <w:sz w:val="26"/>
          <w:szCs w:val="26"/>
        </w:rPr>
        <w:t xml:space="preserve">se debe partir indefectiblemente por </w:t>
      </w:r>
      <w:r w:rsidR="001E76A4" w:rsidRPr="005B3B73">
        <w:rPr>
          <w:rFonts w:ascii="Arial Narrow" w:hAnsi="Arial Narrow" w:cs="Tahoma"/>
          <w:spacing w:val="-6"/>
          <w:sz w:val="26"/>
          <w:szCs w:val="26"/>
        </w:rPr>
        <w:t>la norma que rige l</w:t>
      </w:r>
      <w:r w:rsidR="009D7F6E" w:rsidRPr="005B3B73">
        <w:rPr>
          <w:rFonts w:ascii="Arial Narrow" w:hAnsi="Arial Narrow" w:cs="Tahoma"/>
          <w:spacing w:val="-6"/>
          <w:sz w:val="26"/>
          <w:szCs w:val="26"/>
        </w:rPr>
        <w:t xml:space="preserve">a situación pensional del actor, esto es, </w:t>
      </w:r>
      <w:r w:rsidR="001E76A4" w:rsidRPr="005B3B73">
        <w:rPr>
          <w:rFonts w:ascii="Arial Narrow" w:hAnsi="Arial Narrow" w:cs="Tahoma"/>
          <w:spacing w:val="-6"/>
          <w:sz w:val="26"/>
          <w:szCs w:val="26"/>
        </w:rPr>
        <w:t xml:space="preserve">el </w:t>
      </w:r>
      <w:r w:rsidR="001E76A4" w:rsidRPr="005B3B73">
        <w:rPr>
          <w:rFonts w:ascii="Arial Narrow" w:hAnsi="Arial Narrow" w:cs="Arial"/>
          <w:spacing w:val="-6"/>
          <w:sz w:val="26"/>
          <w:szCs w:val="26"/>
        </w:rPr>
        <w:t xml:space="preserve">artículo 39 de la Ley 100 de 1993, modificado por el artículo 1º de la Ley 860 de 2003, por ser la vigente al momento de estructurarse su estado invalidante. Dicha disposición exige además de la pérdida de capacidad laboral igual o superior al 50%, una densidad de aportes al sistema pensional de 50 semanas o más en los tres años anteriores a la fecha de estructuración de la invalidez, requisito este que valga </w:t>
      </w:r>
      <w:r w:rsidR="009D7F6E" w:rsidRPr="005B3B73">
        <w:rPr>
          <w:rFonts w:ascii="Arial Narrow" w:hAnsi="Arial Narrow" w:cs="Arial"/>
          <w:spacing w:val="-6"/>
          <w:sz w:val="26"/>
          <w:szCs w:val="26"/>
        </w:rPr>
        <w:t xml:space="preserve">anotar, </w:t>
      </w:r>
      <w:r w:rsidR="001E76A4" w:rsidRPr="005B3B73">
        <w:rPr>
          <w:rFonts w:ascii="Arial Narrow" w:hAnsi="Arial Narrow" w:cs="Arial"/>
          <w:spacing w:val="-6"/>
          <w:sz w:val="26"/>
          <w:szCs w:val="26"/>
        </w:rPr>
        <w:t>no satisfizo el actor, si se tiene en cuenta</w:t>
      </w:r>
      <w:r w:rsidR="00982114" w:rsidRPr="005B3B73">
        <w:rPr>
          <w:rFonts w:ascii="Arial Narrow" w:hAnsi="Arial Narrow" w:cs="Arial"/>
          <w:spacing w:val="-6"/>
          <w:sz w:val="26"/>
          <w:szCs w:val="26"/>
        </w:rPr>
        <w:t xml:space="preserve"> que </w:t>
      </w:r>
      <w:r w:rsidR="00C03605" w:rsidRPr="005B3B73">
        <w:rPr>
          <w:rFonts w:ascii="Arial Narrow" w:hAnsi="Arial Narrow" w:cs="Arial"/>
          <w:spacing w:val="-6"/>
          <w:sz w:val="26"/>
          <w:szCs w:val="26"/>
        </w:rPr>
        <w:t xml:space="preserve">dentro de ese periodo, concretamente, </w:t>
      </w:r>
      <w:r w:rsidR="008368BD" w:rsidRPr="005B3B73">
        <w:rPr>
          <w:rFonts w:ascii="Arial Narrow" w:hAnsi="Arial Narrow" w:cs="Arial"/>
          <w:spacing w:val="-6"/>
          <w:sz w:val="26"/>
          <w:szCs w:val="26"/>
        </w:rPr>
        <w:t xml:space="preserve">entre el </w:t>
      </w:r>
      <w:r w:rsidR="00C03605" w:rsidRPr="005B3B73">
        <w:rPr>
          <w:rFonts w:ascii="Arial Narrow" w:hAnsi="Arial Narrow" w:cs="Arial"/>
          <w:spacing w:val="-6"/>
          <w:sz w:val="26"/>
          <w:szCs w:val="26"/>
        </w:rPr>
        <w:t xml:space="preserve">4 de diciembre de 2013 y ese mismo día y mes del año 2010, sólo </w:t>
      </w:r>
      <w:r w:rsidR="009D7F6E" w:rsidRPr="005B3B73">
        <w:rPr>
          <w:rFonts w:ascii="Arial Narrow" w:hAnsi="Arial Narrow" w:cs="Arial"/>
          <w:spacing w:val="-6"/>
          <w:sz w:val="26"/>
          <w:szCs w:val="26"/>
        </w:rPr>
        <w:t xml:space="preserve">cotizó 8 </w:t>
      </w:r>
      <w:r w:rsidR="00C03605" w:rsidRPr="005B3B73">
        <w:rPr>
          <w:rFonts w:ascii="Arial Narrow" w:hAnsi="Arial Narrow" w:cs="Arial"/>
          <w:spacing w:val="-6"/>
          <w:sz w:val="26"/>
          <w:szCs w:val="26"/>
        </w:rPr>
        <w:t xml:space="preserve">semanas al sistema pensional.  </w:t>
      </w:r>
    </w:p>
    <w:p w:rsidR="00C03605" w:rsidRPr="009D4797" w:rsidRDefault="00C03605" w:rsidP="009D4797">
      <w:pPr>
        <w:tabs>
          <w:tab w:val="left" w:pos="1560"/>
        </w:tabs>
        <w:spacing w:line="276" w:lineRule="auto"/>
        <w:jc w:val="both"/>
        <w:rPr>
          <w:rFonts w:ascii="Arial Narrow" w:eastAsia="Calibri" w:hAnsi="Arial Narrow" w:cs="Arial"/>
          <w:szCs w:val="26"/>
          <w:lang w:val="es-ES" w:eastAsia="en-US"/>
        </w:rPr>
      </w:pPr>
    </w:p>
    <w:p w:rsidR="00B32BC0" w:rsidRPr="005B3B73" w:rsidRDefault="00C03605" w:rsidP="006E3AD9">
      <w:pPr>
        <w:pStyle w:val="Sinespaciado"/>
        <w:spacing w:line="276" w:lineRule="auto"/>
        <w:ind w:firstLine="708"/>
        <w:jc w:val="both"/>
        <w:rPr>
          <w:rFonts w:ascii="Arial Narrow" w:hAnsi="Arial Narrow"/>
          <w:spacing w:val="-6"/>
          <w:sz w:val="26"/>
          <w:szCs w:val="26"/>
          <w:lang w:val="es-ES"/>
        </w:rPr>
      </w:pPr>
      <w:r w:rsidRPr="005B3B73">
        <w:rPr>
          <w:rFonts w:ascii="Arial Narrow" w:hAnsi="Arial Narrow"/>
          <w:spacing w:val="-6"/>
          <w:sz w:val="26"/>
          <w:szCs w:val="26"/>
          <w:lang w:val="es-ES"/>
        </w:rPr>
        <w:t>Ahora bien, el demandante solicit</w:t>
      </w:r>
      <w:r w:rsidR="009D7F6E" w:rsidRPr="005B3B73">
        <w:rPr>
          <w:rFonts w:ascii="Arial Narrow" w:hAnsi="Arial Narrow"/>
          <w:spacing w:val="-6"/>
          <w:sz w:val="26"/>
          <w:szCs w:val="26"/>
          <w:lang w:val="es-ES"/>
        </w:rPr>
        <w:t xml:space="preserve">ó </w:t>
      </w:r>
      <w:r w:rsidR="003B1F84" w:rsidRPr="005B3B73">
        <w:rPr>
          <w:rFonts w:ascii="Arial Narrow" w:hAnsi="Arial Narrow"/>
          <w:spacing w:val="-6"/>
          <w:sz w:val="26"/>
          <w:szCs w:val="26"/>
          <w:lang w:val="es-ES"/>
        </w:rPr>
        <w:t xml:space="preserve">la aplicación del artículo 39 original de la Ley 100 de 1993, </w:t>
      </w:r>
      <w:r w:rsidR="00AB4621" w:rsidRPr="005B3B73">
        <w:rPr>
          <w:rFonts w:ascii="Arial Narrow" w:hAnsi="Arial Narrow"/>
          <w:spacing w:val="-6"/>
          <w:sz w:val="26"/>
          <w:szCs w:val="26"/>
          <w:lang w:val="es-ES"/>
        </w:rPr>
        <w:t xml:space="preserve">con venero en el </w:t>
      </w:r>
      <w:r w:rsidR="003B1F84" w:rsidRPr="005B3B73">
        <w:rPr>
          <w:rFonts w:ascii="Arial Narrow" w:hAnsi="Arial Narrow"/>
          <w:spacing w:val="-6"/>
          <w:sz w:val="26"/>
          <w:szCs w:val="26"/>
          <w:lang w:val="es-ES"/>
        </w:rPr>
        <w:t xml:space="preserve">principio </w:t>
      </w:r>
      <w:r w:rsidR="00B32BC0" w:rsidRPr="005B3B73">
        <w:rPr>
          <w:rFonts w:ascii="Arial Narrow" w:hAnsi="Arial Narrow"/>
          <w:spacing w:val="-6"/>
          <w:sz w:val="26"/>
          <w:szCs w:val="26"/>
          <w:lang w:val="es-ES"/>
        </w:rPr>
        <w:t xml:space="preserve">de la condición más beneficiosa. </w:t>
      </w:r>
    </w:p>
    <w:p w:rsidR="00B32BC0" w:rsidRPr="009D4797" w:rsidRDefault="00B32BC0" w:rsidP="009D4797">
      <w:pPr>
        <w:tabs>
          <w:tab w:val="left" w:pos="1560"/>
        </w:tabs>
        <w:spacing w:line="276" w:lineRule="auto"/>
        <w:jc w:val="both"/>
        <w:rPr>
          <w:rFonts w:ascii="Arial Narrow" w:eastAsia="Calibri" w:hAnsi="Arial Narrow" w:cs="Arial"/>
          <w:szCs w:val="26"/>
          <w:lang w:val="es-ES" w:eastAsia="en-US"/>
        </w:rPr>
      </w:pPr>
    </w:p>
    <w:p w:rsidR="003A46BD" w:rsidRPr="005B3B73" w:rsidRDefault="00B32BC0" w:rsidP="006E3AD9">
      <w:pPr>
        <w:pStyle w:val="Sinespaciado"/>
        <w:spacing w:line="276" w:lineRule="auto"/>
        <w:ind w:firstLine="708"/>
        <w:jc w:val="both"/>
        <w:rPr>
          <w:rFonts w:ascii="Arial Narrow" w:hAnsi="Arial Narrow"/>
          <w:spacing w:val="-6"/>
          <w:sz w:val="26"/>
          <w:szCs w:val="26"/>
          <w:lang w:val="es-ES"/>
        </w:rPr>
      </w:pPr>
      <w:r w:rsidRPr="005B3B73">
        <w:rPr>
          <w:rFonts w:ascii="Arial Narrow" w:hAnsi="Arial Narrow"/>
          <w:spacing w:val="-6"/>
          <w:sz w:val="26"/>
          <w:szCs w:val="26"/>
        </w:rPr>
        <w:t xml:space="preserve">En ese sentido, acorde </w:t>
      </w:r>
      <w:r w:rsidRPr="005B3B73">
        <w:rPr>
          <w:rFonts w:ascii="Arial Narrow" w:hAnsi="Arial Narrow"/>
          <w:spacing w:val="-6"/>
          <w:sz w:val="26"/>
          <w:szCs w:val="26"/>
          <w:lang w:val="es-ES"/>
        </w:rPr>
        <w:t xml:space="preserve">con la </w:t>
      </w:r>
      <w:r w:rsidR="0088072A" w:rsidRPr="005B3B73">
        <w:rPr>
          <w:rFonts w:ascii="Arial Narrow" w:hAnsi="Arial Narrow"/>
          <w:spacing w:val="-6"/>
          <w:sz w:val="26"/>
          <w:szCs w:val="26"/>
          <w:lang w:val="es-ES"/>
        </w:rPr>
        <w:t xml:space="preserve">interpretación de la Sala de Casación Laboral, </w:t>
      </w:r>
      <w:r w:rsidR="004772E0" w:rsidRPr="005B3B73">
        <w:rPr>
          <w:rFonts w:ascii="Arial Narrow" w:hAnsi="Arial Narrow"/>
          <w:spacing w:val="-6"/>
          <w:sz w:val="26"/>
          <w:szCs w:val="26"/>
          <w:lang w:val="es-ES"/>
        </w:rPr>
        <w:t xml:space="preserve">ese precepto normativo </w:t>
      </w:r>
      <w:r w:rsidR="00B879F7">
        <w:rPr>
          <w:rFonts w:ascii="Arial Narrow" w:hAnsi="Arial Narrow"/>
          <w:spacing w:val="-6"/>
          <w:sz w:val="26"/>
          <w:szCs w:val="26"/>
          <w:lang w:val="es-ES"/>
        </w:rPr>
        <w:t>-</w:t>
      </w:r>
      <w:r w:rsidR="004772E0" w:rsidRPr="005B3B73">
        <w:rPr>
          <w:rFonts w:ascii="Arial Narrow" w:hAnsi="Arial Narrow"/>
          <w:spacing w:val="-6"/>
          <w:sz w:val="26"/>
          <w:szCs w:val="26"/>
          <w:lang w:val="es-ES"/>
        </w:rPr>
        <w:t xml:space="preserve"> Art. 39 Ley 100/93 en su versión original - </w:t>
      </w:r>
      <w:r w:rsidRPr="005B3B73">
        <w:rPr>
          <w:rFonts w:ascii="Arial Narrow" w:hAnsi="Arial Narrow"/>
          <w:spacing w:val="-6"/>
          <w:sz w:val="26"/>
          <w:szCs w:val="26"/>
          <w:lang w:val="es-ES"/>
        </w:rPr>
        <w:t xml:space="preserve">continuaría produciendo efectos jurídicos por un </w:t>
      </w:r>
      <w:r w:rsidR="004772E0" w:rsidRPr="005B3B73">
        <w:rPr>
          <w:rFonts w:ascii="Arial Narrow" w:hAnsi="Arial Narrow"/>
          <w:spacing w:val="-6"/>
          <w:sz w:val="26"/>
          <w:szCs w:val="26"/>
          <w:lang w:val="es-ES"/>
        </w:rPr>
        <w:t xml:space="preserve">tiempo </w:t>
      </w:r>
      <w:r w:rsidR="0088072A" w:rsidRPr="005B3B73">
        <w:rPr>
          <w:rFonts w:ascii="Arial Narrow" w:hAnsi="Arial Narrow"/>
          <w:spacing w:val="-6"/>
          <w:sz w:val="26"/>
          <w:szCs w:val="26"/>
          <w:lang w:val="es-ES"/>
        </w:rPr>
        <w:t>determinado de tres años</w:t>
      </w:r>
      <w:r w:rsidR="0064466A" w:rsidRPr="005B3B73">
        <w:rPr>
          <w:rFonts w:ascii="Arial Narrow" w:hAnsi="Arial Narrow"/>
          <w:spacing w:val="-6"/>
          <w:sz w:val="26"/>
          <w:szCs w:val="26"/>
          <w:lang w:val="es-ES"/>
        </w:rPr>
        <w:t xml:space="preserve">, por ser el tiempo que la nueva normativa, la Ley 860 de 2003, dispuso como necesario para que los afiliados cumplieran </w:t>
      </w:r>
      <w:r w:rsidR="0088072A" w:rsidRPr="005B3B73">
        <w:rPr>
          <w:rFonts w:ascii="Arial Narrow" w:hAnsi="Arial Narrow"/>
          <w:spacing w:val="-6"/>
          <w:sz w:val="26"/>
          <w:szCs w:val="26"/>
          <w:lang w:val="es-ES"/>
        </w:rPr>
        <w:t>los requisitos exigidos para la obtención del derecho</w:t>
      </w:r>
      <w:r w:rsidR="0064466A" w:rsidRPr="005B3B73">
        <w:rPr>
          <w:rFonts w:ascii="Arial Narrow" w:hAnsi="Arial Narrow"/>
          <w:spacing w:val="-6"/>
          <w:sz w:val="26"/>
          <w:szCs w:val="26"/>
          <w:lang w:val="es-ES"/>
        </w:rPr>
        <w:t xml:space="preserve"> pensional</w:t>
      </w:r>
      <w:r w:rsidR="004772E0" w:rsidRPr="005B3B73">
        <w:rPr>
          <w:rFonts w:ascii="Arial Narrow" w:hAnsi="Arial Narrow"/>
          <w:spacing w:val="-6"/>
          <w:sz w:val="26"/>
          <w:szCs w:val="26"/>
          <w:lang w:val="es-ES"/>
        </w:rPr>
        <w:t xml:space="preserve">, por ende, su permanencia en el tiempo </w:t>
      </w:r>
      <w:r w:rsidRPr="005B3B73">
        <w:rPr>
          <w:rFonts w:ascii="Arial Narrow" w:hAnsi="Arial Narrow"/>
          <w:spacing w:val="-6"/>
          <w:sz w:val="26"/>
          <w:szCs w:val="26"/>
          <w:lang w:val="es-ES"/>
        </w:rPr>
        <w:t>se extendería</w:t>
      </w:r>
      <w:r w:rsidR="004772E0" w:rsidRPr="005B3B73">
        <w:rPr>
          <w:rFonts w:ascii="Arial Narrow" w:hAnsi="Arial Narrow"/>
          <w:spacing w:val="-6"/>
          <w:sz w:val="26"/>
          <w:szCs w:val="26"/>
          <w:lang w:val="es-ES"/>
        </w:rPr>
        <w:t xml:space="preserve"> únicamente </w:t>
      </w:r>
      <w:r w:rsidRPr="005B3B73">
        <w:rPr>
          <w:rFonts w:ascii="Arial Narrow" w:hAnsi="Arial Narrow"/>
          <w:spacing w:val="-6"/>
          <w:sz w:val="26"/>
          <w:szCs w:val="26"/>
          <w:lang w:val="es-ES"/>
        </w:rPr>
        <w:t>h</w:t>
      </w:r>
      <w:r w:rsidR="0088072A" w:rsidRPr="005B3B73">
        <w:rPr>
          <w:rFonts w:ascii="Arial Narrow" w:hAnsi="Arial Narrow"/>
          <w:spacing w:val="-6"/>
          <w:sz w:val="26"/>
          <w:szCs w:val="26"/>
          <w:lang w:val="es-ES"/>
        </w:rPr>
        <w:t>asta el 26 de diciembre de 2006,</w:t>
      </w:r>
      <w:r w:rsidR="003A46BD" w:rsidRPr="005B3B73">
        <w:rPr>
          <w:rFonts w:ascii="Arial Narrow" w:hAnsi="Arial Narrow"/>
          <w:spacing w:val="-6"/>
          <w:sz w:val="26"/>
          <w:szCs w:val="26"/>
          <w:lang w:val="es-ES"/>
        </w:rPr>
        <w:t xml:space="preserve"> para las personas que poseen una expectativa legítima, sin que </w:t>
      </w:r>
      <w:r w:rsidR="004772E0" w:rsidRPr="005B3B73">
        <w:rPr>
          <w:rFonts w:ascii="Arial Narrow" w:hAnsi="Arial Narrow"/>
          <w:spacing w:val="-6"/>
          <w:sz w:val="26"/>
          <w:szCs w:val="26"/>
          <w:lang w:val="es-ES"/>
        </w:rPr>
        <w:t xml:space="preserve">con posterioridad a esa calenda </w:t>
      </w:r>
      <w:r w:rsidR="003A46BD" w:rsidRPr="005B3B73">
        <w:rPr>
          <w:rFonts w:ascii="Arial Narrow" w:hAnsi="Arial Narrow"/>
          <w:spacing w:val="-6"/>
          <w:sz w:val="26"/>
          <w:szCs w:val="26"/>
          <w:lang w:val="es-ES"/>
        </w:rPr>
        <w:t xml:space="preserve">sea viable su aplicación, </w:t>
      </w:r>
      <w:r w:rsidR="004772E0" w:rsidRPr="005B3B73">
        <w:rPr>
          <w:rFonts w:ascii="Arial Narrow" w:hAnsi="Arial Narrow"/>
          <w:spacing w:val="-6"/>
          <w:sz w:val="26"/>
          <w:szCs w:val="26"/>
          <w:lang w:val="es-ES"/>
        </w:rPr>
        <w:t xml:space="preserve">por cuanto </w:t>
      </w:r>
      <w:r w:rsidR="003A46BD" w:rsidRPr="005B3B73">
        <w:rPr>
          <w:rFonts w:ascii="Arial Narrow" w:hAnsi="Arial Narrow"/>
          <w:spacing w:val="-6"/>
          <w:sz w:val="26"/>
          <w:szCs w:val="26"/>
          <w:lang w:val="es-ES"/>
        </w:rPr>
        <w:t xml:space="preserve">el principio de la </w:t>
      </w:r>
      <w:r w:rsidRPr="005B3B73">
        <w:rPr>
          <w:rFonts w:ascii="Arial Narrow" w:hAnsi="Arial Narrow"/>
          <w:spacing w:val="-6"/>
          <w:sz w:val="26"/>
          <w:szCs w:val="26"/>
          <w:lang w:val="es-ES"/>
        </w:rPr>
        <w:t>condición</w:t>
      </w:r>
      <w:r w:rsidR="003A46BD" w:rsidRPr="005B3B73">
        <w:rPr>
          <w:rFonts w:ascii="Arial Narrow" w:hAnsi="Arial Narrow"/>
          <w:spacing w:val="-6"/>
          <w:sz w:val="26"/>
          <w:szCs w:val="26"/>
          <w:lang w:val="es-ES"/>
        </w:rPr>
        <w:t xml:space="preserve"> más beneficiosa no puede convertirse en obstáculo </w:t>
      </w:r>
      <w:r w:rsidR="004772E0" w:rsidRPr="005B3B73">
        <w:rPr>
          <w:rFonts w:ascii="Arial Narrow" w:hAnsi="Arial Narrow"/>
          <w:spacing w:val="-6"/>
          <w:sz w:val="26"/>
          <w:szCs w:val="26"/>
          <w:lang w:val="es-ES"/>
        </w:rPr>
        <w:t>de los cambios normativos, dada su aplicación excepcional y restrictiva.</w:t>
      </w:r>
    </w:p>
    <w:p w:rsidR="00254A9E" w:rsidRPr="009D4797" w:rsidRDefault="00254A9E" w:rsidP="009D4797">
      <w:pPr>
        <w:tabs>
          <w:tab w:val="left" w:pos="1560"/>
        </w:tabs>
        <w:spacing w:line="276" w:lineRule="auto"/>
        <w:jc w:val="both"/>
        <w:rPr>
          <w:rFonts w:ascii="Arial Narrow" w:eastAsia="Calibri" w:hAnsi="Arial Narrow" w:cs="Arial"/>
          <w:szCs w:val="26"/>
          <w:lang w:val="es-ES" w:eastAsia="en-US"/>
        </w:rPr>
      </w:pPr>
    </w:p>
    <w:p w:rsidR="00D92BB1" w:rsidRPr="005B3B73" w:rsidRDefault="00254A9E" w:rsidP="006E3AD9">
      <w:pPr>
        <w:pStyle w:val="Sinespaciado"/>
        <w:spacing w:line="276" w:lineRule="auto"/>
        <w:ind w:firstLine="708"/>
        <w:jc w:val="both"/>
        <w:rPr>
          <w:rFonts w:ascii="Arial Narrow" w:hAnsi="Arial Narrow" w:cs="Arial"/>
          <w:spacing w:val="-6"/>
          <w:sz w:val="26"/>
          <w:szCs w:val="26"/>
        </w:rPr>
      </w:pPr>
      <w:r w:rsidRPr="005B3B73">
        <w:rPr>
          <w:rFonts w:ascii="Arial Narrow" w:hAnsi="Arial Narrow"/>
          <w:spacing w:val="-6"/>
          <w:sz w:val="26"/>
          <w:szCs w:val="26"/>
          <w:lang w:val="es-ES"/>
        </w:rPr>
        <w:t xml:space="preserve">Así las cosas, </w:t>
      </w:r>
      <w:r w:rsidR="00497A2E" w:rsidRPr="005B3B73">
        <w:rPr>
          <w:rFonts w:ascii="Arial Narrow" w:hAnsi="Arial Narrow"/>
          <w:spacing w:val="-6"/>
          <w:sz w:val="26"/>
          <w:szCs w:val="26"/>
          <w:lang w:val="es-ES"/>
        </w:rPr>
        <w:t xml:space="preserve">la jurisprudencia ha entendido que los dos </w:t>
      </w:r>
      <w:r w:rsidR="00B25BD7" w:rsidRPr="005B3B73">
        <w:rPr>
          <w:rFonts w:ascii="Arial Narrow" w:hAnsi="Arial Narrow"/>
          <w:spacing w:val="-6"/>
          <w:sz w:val="26"/>
          <w:szCs w:val="26"/>
          <w:lang w:val="es-ES"/>
        </w:rPr>
        <w:t xml:space="preserve">requisitos </w:t>
      </w:r>
      <w:r w:rsidR="00497A2E" w:rsidRPr="005B3B73">
        <w:rPr>
          <w:rFonts w:ascii="Arial Narrow" w:hAnsi="Arial Narrow"/>
          <w:spacing w:val="-6"/>
          <w:sz w:val="26"/>
          <w:szCs w:val="26"/>
          <w:lang w:val="es-ES"/>
        </w:rPr>
        <w:t>de acceso al derecho a la pensión de invalidez</w:t>
      </w:r>
      <w:r w:rsidR="00B25BD7" w:rsidRPr="005B3B73">
        <w:rPr>
          <w:rFonts w:ascii="Arial Narrow" w:hAnsi="Arial Narrow"/>
          <w:spacing w:val="-6"/>
          <w:sz w:val="26"/>
          <w:szCs w:val="26"/>
          <w:lang w:val="es-ES"/>
        </w:rPr>
        <w:t xml:space="preserve"> </w:t>
      </w:r>
      <w:r w:rsidR="00B879F7">
        <w:rPr>
          <w:rFonts w:ascii="Arial Narrow" w:hAnsi="Arial Narrow"/>
          <w:spacing w:val="-6"/>
          <w:sz w:val="26"/>
          <w:szCs w:val="26"/>
          <w:lang w:val="es-ES"/>
        </w:rPr>
        <w:t>-</w:t>
      </w:r>
      <w:r w:rsidR="00B25BD7" w:rsidRPr="005B3B73">
        <w:rPr>
          <w:rFonts w:ascii="Arial Narrow" w:hAnsi="Arial Narrow"/>
          <w:spacing w:val="-6"/>
          <w:sz w:val="26"/>
          <w:szCs w:val="26"/>
          <w:lang w:val="es-ES"/>
        </w:rPr>
        <w:t>estructuración del estado invalidante y densidad de cotizaciones-</w:t>
      </w:r>
      <w:r w:rsidR="00497A2E" w:rsidRPr="005B3B73">
        <w:rPr>
          <w:rFonts w:ascii="Arial Narrow" w:hAnsi="Arial Narrow"/>
          <w:spacing w:val="-6"/>
          <w:sz w:val="26"/>
          <w:szCs w:val="26"/>
          <w:lang w:val="es-ES"/>
        </w:rPr>
        <w:t xml:space="preserve">, deben acontecer dentro del ámbito </w:t>
      </w:r>
      <w:r w:rsidR="00D92BB1" w:rsidRPr="005B3B73">
        <w:rPr>
          <w:rFonts w:ascii="Arial Narrow" w:hAnsi="Arial Narrow"/>
          <w:spacing w:val="-6"/>
          <w:sz w:val="26"/>
          <w:szCs w:val="26"/>
          <w:lang w:val="es-ES"/>
        </w:rPr>
        <w:t>temporal establecido (</w:t>
      </w:r>
      <w:r w:rsidR="00D92BB1" w:rsidRPr="005B3B73">
        <w:rPr>
          <w:rFonts w:ascii="Arial Narrow" w:hAnsi="Arial Narrow" w:cs="Arial"/>
          <w:spacing w:val="-6"/>
          <w:sz w:val="26"/>
          <w:szCs w:val="26"/>
        </w:rPr>
        <w:t>ver sentencia CSJ SL 2358 de 2017).</w:t>
      </w:r>
    </w:p>
    <w:p w:rsidR="00763480" w:rsidRPr="009D4797" w:rsidRDefault="00763480" w:rsidP="009D4797">
      <w:pPr>
        <w:tabs>
          <w:tab w:val="left" w:pos="1560"/>
        </w:tabs>
        <w:spacing w:line="276" w:lineRule="auto"/>
        <w:jc w:val="both"/>
        <w:rPr>
          <w:rFonts w:ascii="Arial Narrow" w:eastAsia="Calibri" w:hAnsi="Arial Narrow" w:cs="Arial"/>
          <w:szCs w:val="26"/>
          <w:lang w:val="es-ES" w:eastAsia="en-US"/>
        </w:rPr>
      </w:pPr>
    </w:p>
    <w:p w:rsidR="00510796" w:rsidRPr="005B3B73" w:rsidRDefault="00497A2E" w:rsidP="006E3AD9">
      <w:pPr>
        <w:pStyle w:val="Sinespaciado"/>
        <w:spacing w:line="276" w:lineRule="auto"/>
        <w:ind w:firstLine="708"/>
        <w:jc w:val="both"/>
        <w:rPr>
          <w:rFonts w:ascii="Arial Narrow" w:hAnsi="Arial Narrow" w:cs="Arial"/>
          <w:spacing w:val="-6"/>
          <w:sz w:val="26"/>
          <w:szCs w:val="26"/>
        </w:rPr>
      </w:pPr>
      <w:r w:rsidRPr="005B3B73">
        <w:rPr>
          <w:rFonts w:ascii="Arial Narrow" w:hAnsi="Arial Narrow"/>
          <w:spacing w:val="-6"/>
          <w:sz w:val="26"/>
          <w:szCs w:val="26"/>
          <w:lang w:val="es-ES"/>
        </w:rPr>
        <w:t xml:space="preserve">Luego </w:t>
      </w:r>
      <w:r w:rsidR="00B25BD7" w:rsidRPr="005B3B73">
        <w:rPr>
          <w:rFonts w:ascii="Arial Narrow" w:hAnsi="Arial Narrow"/>
          <w:spacing w:val="-6"/>
          <w:sz w:val="26"/>
          <w:szCs w:val="26"/>
          <w:lang w:val="es-ES"/>
        </w:rPr>
        <w:t>entonces, en punto al criterio de acceso al derecho</w:t>
      </w:r>
      <w:r w:rsidR="00763480" w:rsidRPr="005B3B73">
        <w:rPr>
          <w:rFonts w:ascii="Arial Narrow" w:hAnsi="Arial Narrow"/>
          <w:spacing w:val="-6"/>
          <w:sz w:val="26"/>
          <w:szCs w:val="26"/>
          <w:lang w:val="es-ES"/>
        </w:rPr>
        <w:t xml:space="preserve"> pensional</w:t>
      </w:r>
      <w:r w:rsidR="00B25BD7" w:rsidRPr="005B3B73">
        <w:rPr>
          <w:rFonts w:ascii="Arial Narrow" w:hAnsi="Arial Narrow"/>
          <w:spacing w:val="-6"/>
          <w:sz w:val="26"/>
          <w:szCs w:val="26"/>
          <w:lang w:val="es-ES"/>
        </w:rPr>
        <w:t xml:space="preserve">, </w:t>
      </w:r>
      <w:r w:rsidR="00570127" w:rsidRPr="005B3B73">
        <w:rPr>
          <w:rFonts w:ascii="Arial Narrow" w:hAnsi="Arial Narrow"/>
          <w:spacing w:val="-6"/>
          <w:sz w:val="26"/>
          <w:szCs w:val="26"/>
          <w:lang w:val="es-ES"/>
        </w:rPr>
        <w:t>para aquellos afiliados que no se encontraban cotizando al momento del cambio normativo de las l</w:t>
      </w:r>
      <w:r w:rsidR="00510796" w:rsidRPr="005B3B73">
        <w:rPr>
          <w:rFonts w:ascii="Arial Narrow" w:hAnsi="Arial Narrow"/>
          <w:spacing w:val="-6"/>
          <w:sz w:val="26"/>
          <w:szCs w:val="26"/>
          <w:lang w:val="es-ES"/>
        </w:rPr>
        <w:t xml:space="preserve">eyes 100 de 1993 y 860 de 2003, esto es, al 26 de diciembre de 2003, </w:t>
      </w:r>
      <w:r w:rsidR="00D92BB1" w:rsidRPr="005B3B73">
        <w:rPr>
          <w:rFonts w:ascii="Arial Narrow" w:hAnsi="Arial Narrow"/>
          <w:spacing w:val="-6"/>
          <w:sz w:val="26"/>
          <w:szCs w:val="26"/>
          <w:lang w:val="es-ES"/>
        </w:rPr>
        <w:t xml:space="preserve">caso en el cual se enmarca el demandante, </w:t>
      </w:r>
      <w:r w:rsidR="00570127" w:rsidRPr="005B3B73">
        <w:rPr>
          <w:rFonts w:ascii="Arial Narrow" w:hAnsi="Arial Narrow"/>
          <w:spacing w:val="-6"/>
          <w:sz w:val="26"/>
          <w:szCs w:val="26"/>
          <w:lang w:val="es-ES"/>
        </w:rPr>
        <w:t>se exige</w:t>
      </w:r>
      <w:r w:rsidR="00510796" w:rsidRPr="005B3B73">
        <w:rPr>
          <w:rFonts w:ascii="Arial Narrow" w:hAnsi="Arial Narrow"/>
          <w:spacing w:val="-6"/>
          <w:sz w:val="26"/>
          <w:szCs w:val="26"/>
          <w:lang w:val="es-ES"/>
        </w:rPr>
        <w:t xml:space="preserve"> además de</w:t>
      </w:r>
      <w:r w:rsidR="00D92BB1" w:rsidRPr="005B3B73">
        <w:rPr>
          <w:rFonts w:ascii="Arial Narrow" w:hAnsi="Arial Narrow"/>
          <w:spacing w:val="-6"/>
          <w:sz w:val="26"/>
          <w:szCs w:val="26"/>
          <w:lang w:val="es-ES"/>
        </w:rPr>
        <w:t xml:space="preserve"> tener una </w:t>
      </w:r>
      <w:r w:rsidR="00510796" w:rsidRPr="005B3B73">
        <w:rPr>
          <w:rFonts w:ascii="Arial Narrow" w:hAnsi="Arial Narrow"/>
          <w:spacing w:val="-6"/>
          <w:sz w:val="26"/>
          <w:szCs w:val="26"/>
          <w:lang w:val="es-ES"/>
        </w:rPr>
        <w:t xml:space="preserve">pérdida de capacidad laboral </w:t>
      </w:r>
      <w:r w:rsidR="00D92BB1" w:rsidRPr="005B3B73">
        <w:rPr>
          <w:rFonts w:ascii="Arial Narrow" w:hAnsi="Arial Narrow"/>
          <w:spacing w:val="-6"/>
          <w:sz w:val="26"/>
          <w:szCs w:val="26"/>
          <w:lang w:val="es-ES"/>
        </w:rPr>
        <w:t xml:space="preserve">igual </w:t>
      </w:r>
      <w:r w:rsidR="00510796" w:rsidRPr="005B3B73">
        <w:rPr>
          <w:rFonts w:ascii="Arial Narrow" w:hAnsi="Arial Narrow" w:cs="Arial"/>
          <w:spacing w:val="-6"/>
          <w:sz w:val="26"/>
          <w:szCs w:val="26"/>
        </w:rPr>
        <w:t xml:space="preserve">o superior al 50 %, producida dentro de los tres años siguientes a la vigencia de la nueva norma, esto es, entre el 26 de diciembre de 2003 y ese mismo día y mes del año 2006, una densidad mínima de 26 semanas dentro del año inmediatamente anterior a la fecha del tránsito legislativo, es decir, entre el 26 de diciembre de 2002 y esa misma fecha del año 2003. </w:t>
      </w:r>
    </w:p>
    <w:p w:rsidR="00570127" w:rsidRPr="009D4797" w:rsidRDefault="00570127" w:rsidP="009D4797">
      <w:pPr>
        <w:tabs>
          <w:tab w:val="left" w:pos="1560"/>
        </w:tabs>
        <w:spacing w:line="276" w:lineRule="auto"/>
        <w:jc w:val="both"/>
        <w:rPr>
          <w:rFonts w:ascii="Arial Narrow" w:eastAsia="Calibri" w:hAnsi="Arial Narrow" w:cs="Arial"/>
          <w:szCs w:val="26"/>
          <w:lang w:val="es-ES" w:eastAsia="en-US"/>
        </w:rPr>
      </w:pPr>
    </w:p>
    <w:p w:rsidR="00D92BB1" w:rsidRPr="005B3B73" w:rsidRDefault="00D92BB1" w:rsidP="006E3AD9">
      <w:pPr>
        <w:pStyle w:val="Sinespaciado"/>
        <w:spacing w:line="276" w:lineRule="auto"/>
        <w:ind w:firstLine="708"/>
        <w:jc w:val="both"/>
        <w:rPr>
          <w:rFonts w:ascii="Arial Narrow" w:hAnsi="Arial Narrow" w:cs="Arial"/>
          <w:spacing w:val="-6"/>
          <w:sz w:val="26"/>
          <w:szCs w:val="26"/>
        </w:rPr>
      </w:pPr>
      <w:r w:rsidRPr="005B3B73">
        <w:rPr>
          <w:rFonts w:ascii="Arial Narrow" w:hAnsi="Arial Narrow"/>
          <w:spacing w:val="-6"/>
          <w:sz w:val="26"/>
          <w:szCs w:val="26"/>
        </w:rPr>
        <w:t>En el sub-examine, el promotor de esta litis no demostró  haber aportado 26 semanas o más en el año inmediatamente anterior al cambio legislativo, amén de que la estructuración de</w:t>
      </w:r>
      <w:r w:rsidR="001A1303" w:rsidRPr="005B3B73">
        <w:rPr>
          <w:rFonts w:ascii="Arial Narrow" w:hAnsi="Arial Narrow"/>
          <w:spacing w:val="-6"/>
          <w:sz w:val="26"/>
          <w:szCs w:val="26"/>
        </w:rPr>
        <w:t xml:space="preserve"> su estado </w:t>
      </w:r>
      <w:r w:rsidR="001A1303" w:rsidRPr="005B3B73">
        <w:rPr>
          <w:rFonts w:ascii="Arial Narrow" w:hAnsi="Arial Narrow"/>
          <w:spacing w:val="-6"/>
          <w:sz w:val="26"/>
          <w:szCs w:val="26"/>
        </w:rPr>
        <w:lastRenderedPageBreak/>
        <w:t xml:space="preserve">invalidante tampoco </w:t>
      </w:r>
      <w:r w:rsidRPr="005B3B73">
        <w:rPr>
          <w:rFonts w:ascii="Arial Narrow" w:hAnsi="Arial Narrow"/>
          <w:spacing w:val="-6"/>
          <w:sz w:val="26"/>
          <w:szCs w:val="26"/>
        </w:rPr>
        <w:t xml:space="preserve">ocurrió entre ese límite temporal de tres años, esto es, entre el 26 de diciembre de 2003 y ese mismo día y mes del año 2002, por lo que se concluye que </w:t>
      </w:r>
      <w:r w:rsidRPr="005B3B73">
        <w:rPr>
          <w:rFonts w:ascii="Arial Narrow" w:hAnsi="Arial Narrow" w:cs="Arial"/>
          <w:spacing w:val="-6"/>
          <w:sz w:val="26"/>
          <w:szCs w:val="26"/>
        </w:rPr>
        <w:t xml:space="preserve">no se está amparado por el </w:t>
      </w:r>
      <w:r w:rsidRPr="005B3B73">
        <w:rPr>
          <w:rFonts w:ascii="Arial Narrow" w:hAnsi="Arial Narrow"/>
          <w:spacing w:val="-6"/>
          <w:sz w:val="26"/>
          <w:szCs w:val="26"/>
        </w:rPr>
        <w:t xml:space="preserve">principio de la condición más beneficiosa. </w:t>
      </w:r>
      <w:r w:rsidRPr="005B3B73">
        <w:rPr>
          <w:rFonts w:ascii="Arial Narrow" w:hAnsi="Arial Narrow" w:cs="Arial"/>
          <w:spacing w:val="-6"/>
          <w:sz w:val="26"/>
          <w:szCs w:val="26"/>
        </w:rPr>
        <w:t xml:space="preserve"> </w:t>
      </w:r>
    </w:p>
    <w:p w:rsidR="00D92BB1" w:rsidRPr="009D4797" w:rsidRDefault="00D92BB1" w:rsidP="009D4797">
      <w:pPr>
        <w:tabs>
          <w:tab w:val="left" w:pos="1560"/>
        </w:tabs>
        <w:spacing w:line="276" w:lineRule="auto"/>
        <w:jc w:val="both"/>
        <w:rPr>
          <w:rFonts w:ascii="Arial Narrow" w:eastAsia="Calibri" w:hAnsi="Arial Narrow" w:cs="Arial"/>
          <w:szCs w:val="26"/>
          <w:lang w:val="es-ES" w:eastAsia="en-US"/>
        </w:rPr>
      </w:pPr>
    </w:p>
    <w:p w:rsidR="00D92BB1" w:rsidRPr="005B3B73" w:rsidRDefault="00D92BB1" w:rsidP="006E3AD9">
      <w:pPr>
        <w:pStyle w:val="Sinespaciado"/>
        <w:spacing w:line="276" w:lineRule="auto"/>
        <w:ind w:firstLine="708"/>
        <w:jc w:val="both"/>
        <w:rPr>
          <w:rFonts w:ascii="Arial Narrow" w:hAnsi="Arial Narrow" w:cs="Arial"/>
          <w:spacing w:val="-6"/>
          <w:sz w:val="26"/>
          <w:szCs w:val="26"/>
        </w:rPr>
      </w:pPr>
      <w:r w:rsidRPr="005B3B73">
        <w:rPr>
          <w:rFonts w:ascii="Arial Narrow" w:hAnsi="Arial Narrow" w:cs="Arial"/>
          <w:spacing w:val="-6"/>
          <w:sz w:val="26"/>
          <w:szCs w:val="26"/>
        </w:rPr>
        <w:t xml:space="preserve">Por consiguiente, no se equivocó la sentenciadora de primer grado, cuando concluyó que dicho principio no le era aplicable al actor, para conceder el derecho a la pensión de invalidez con fundamento en el artículo 39 original de la Ley 100/93. </w:t>
      </w:r>
    </w:p>
    <w:p w:rsidR="00D92BB1" w:rsidRPr="009D4797" w:rsidRDefault="006A3B5A" w:rsidP="009D4797">
      <w:pPr>
        <w:tabs>
          <w:tab w:val="left" w:pos="1560"/>
        </w:tabs>
        <w:spacing w:line="276" w:lineRule="auto"/>
        <w:jc w:val="both"/>
        <w:rPr>
          <w:rFonts w:ascii="Arial Narrow" w:eastAsia="Calibri" w:hAnsi="Arial Narrow" w:cs="Arial"/>
          <w:szCs w:val="26"/>
          <w:lang w:val="es-ES" w:eastAsia="en-US"/>
        </w:rPr>
      </w:pPr>
      <w:r w:rsidRPr="009D4797">
        <w:rPr>
          <w:rFonts w:ascii="Arial Narrow" w:eastAsia="Calibri" w:hAnsi="Arial Narrow" w:cs="Arial"/>
          <w:szCs w:val="26"/>
          <w:lang w:val="es-ES" w:eastAsia="en-US"/>
        </w:rPr>
        <w:tab/>
      </w:r>
    </w:p>
    <w:p w:rsidR="00A37F81" w:rsidRPr="005B3B73" w:rsidRDefault="00D92BB1" w:rsidP="006E3AD9">
      <w:pPr>
        <w:pStyle w:val="Sinespaciado"/>
        <w:spacing w:line="276" w:lineRule="auto"/>
        <w:ind w:firstLine="708"/>
        <w:jc w:val="both"/>
        <w:rPr>
          <w:rFonts w:ascii="Arial Narrow" w:hAnsi="Arial Narrow" w:cs="Arial"/>
          <w:spacing w:val="-6"/>
          <w:sz w:val="26"/>
          <w:szCs w:val="26"/>
        </w:rPr>
      </w:pPr>
      <w:r w:rsidRPr="005B3B73">
        <w:rPr>
          <w:rFonts w:ascii="Arial Narrow" w:hAnsi="Arial Narrow" w:cs="Arial"/>
          <w:spacing w:val="-6"/>
          <w:sz w:val="26"/>
          <w:szCs w:val="26"/>
        </w:rPr>
        <w:t xml:space="preserve">Ahora bien, </w:t>
      </w:r>
      <w:r w:rsidR="00DE1A70" w:rsidRPr="005B3B73">
        <w:rPr>
          <w:rFonts w:ascii="Arial Narrow" w:hAnsi="Arial Narrow" w:cs="Arial"/>
          <w:spacing w:val="-6"/>
          <w:sz w:val="26"/>
          <w:szCs w:val="26"/>
        </w:rPr>
        <w:t>como quiera que</w:t>
      </w:r>
      <w:r w:rsidR="00AA57FF" w:rsidRPr="005B3B73">
        <w:rPr>
          <w:rFonts w:ascii="Arial Narrow" w:hAnsi="Arial Narrow" w:cs="Arial"/>
          <w:spacing w:val="-6"/>
          <w:sz w:val="26"/>
          <w:szCs w:val="26"/>
        </w:rPr>
        <w:t xml:space="preserve"> </w:t>
      </w:r>
      <w:r w:rsidR="00A37F81" w:rsidRPr="005B3B73">
        <w:rPr>
          <w:rFonts w:ascii="Arial Narrow" w:hAnsi="Arial Narrow" w:cs="Arial"/>
          <w:spacing w:val="-6"/>
          <w:sz w:val="26"/>
          <w:szCs w:val="26"/>
        </w:rPr>
        <w:t xml:space="preserve">en la demanda no se alegó que el afiliado tuviere derecho a la pensión de invalidez por haber </w:t>
      </w:r>
      <w:r w:rsidR="00DE1A70" w:rsidRPr="005B3B73">
        <w:rPr>
          <w:rFonts w:ascii="Arial Narrow" w:hAnsi="Arial Narrow" w:cs="Arial"/>
          <w:spacing w:val="-6"/>
          <w:sz w:val="26"/>
          <w:szCs w:val="26"/>
        </w:rPr>
        <w:t xml:space="preserve">cotizado más de 300 semanas con antelación </w:t>
      </w:r>
      <w:r w:rsidR="00A37F81" w:rsidRPr="005B3B73">
        <w:rPr>
          <w:rFonts w:ascii="Arial Narrow" w:hAnsi="Arial Narrow" w:cs="Arial"/>
          <w:spacing w:val="-6"/>
          <w:sz w:val="26"/>
          <w:szCs w:val="26"/>
        </w:rPr>
        <w:t xml:space="preserve">a la vigencia de la Ley 100/93, no es posible realizar el análisis respectivo con fundamento en el </w:t>
      </w:r>
      <w:r w:rsidR="00DE1A70" w:rsidRPr="005B3B73">
        <w:rPr>
          <w:rFonts w:ascii="Arial Narrow" w:hAnsi="Arial Narrow" w:cs="Arial"/>
          <w:spacing w:val="-6"/>
          <w:sz w:val="26"/>
          <w:szCs w:val="26"/>
        </w:rPr>
        <w:t xml:space="preserve">Acuerdo 049/90, </w:t>
      </w:r>
      <w:r w:rsidR="00A37F81" w:rsidRPr="005B3B73">
        <w:rPr>
          <w:rFonts w:ascii="Arial Narrow" w:hAnsi="Arial Narrow" w:cs="Arial"/>
          <w:spacing w:val="-6"/>
          <w:sz w:val="26"/>
          <w:szCs w:val="26"/>
        </w:rPr>
        <w:t xml:space="preserve">en aplicación del principio de la condición más beneficiosa, puesto que el operador judicial debe ceñirse a los hechos planteados por las partes, y que fueron objeto de debate y demostración en el juicio.  </w:t>
      </w:r>
      <w:r w:rsidR="001A1303" w:rsidRPr="005B3B73">
        <w:rPr>
          <w:rFonts w:ascii="Arial Narrow" w:hAnsi="Arial Narrow" w:cs="Arial"/>
          <w:spacing w:val="-6"/>
          <w:sz w:val="26"/>
          <w:szCs w:val="26"/>
        </w:rPr>
        <w:t xml:space="preserve">Además, analizar ese punto en segunda instancia, sería absolutamente contrario al debido proceso. </w:t>
      </w:r>
    </w:p>
    <w:p w:rsidR="00A37F81" w:rsidRPr="009D4797" w:rsidRDefault="00A37F81" w:rsidP="009D4797">
      <w:pPr>
        <w:tabs>
          <w:tab w:val="left" w:pos="1560"/>
        </w:tabs>
        <w:spacing w:line="276" w:lineRule="auto"/>
        <w:jc w:val="both"/>
        <w:rPr>
          <w:rFonts w:ascii="Arial Narrow" w:eastAsia="Calibri" w:hAnsi="Arial Narrow" w:cs="Arial"/>
          <w:szCs w:val="26"/>
          <w:lang w:val="es-ES" w:eastAsia="en-US"/>
        </w:rPr>
      </w:pPr>
    </w:p>
    <w:p w:rsidR="00A37F81" w:rsidRPr="005B3B73" w:rsidRDefault="00A37F81" w:rsidP="006E3AD9">
      <w:pPr>
        <w:pStyle w:val="Sinespaciado"/>
        <w:spacing w:line="276" w:lineRule="auto"/>
        <w:ind w:firstLine="708"/>
        <w:jc w:val="both"/>
        <w:rPr>
          <w:rFonts w:ascii="Arial Narrow" w:hAnsi="Arial Narrow" w:cs="Arial"/>
          <w:spacing w:val="-6"/>
          <w:sz w:val="26"/>
          <w:szCs w:val="26"/>
        </w:rPr>
      </w:pPr>
      <w:r w:rsidRPr="005B3B73">
        <w:rPr>
          <w:rFonts w:ascii="Arial Narrow" w:hAnsi="Arial Narrow" w:cs="Arial"/>
          <w:spacing w:val="-6"/>
          <w:sz w:val="26"/>
          <w:szCs w:val="26"/>
        </w:rPr>
        <w:t xml:space="preserve">Por lo expuesto, se confirmará íntegramente la sentencia de primer grado. </w:t>
      </w:r>
    </w:p>
    <w:p w:rsidR="00A37F81" w:rsidRPr="009D4797" w:rsidRDefault="00A37F81" w:rsidP="009D4797">
      <w:pPr>
        <w:tabs>
          <w:tab w:val="left" w:pos="1560"/>
        </w:tabs>
        <w:spacing w:line="276" w:lineRule="auto"/>
        <w:jc w:val="both"/>
        <w:rPr>
          <w:rFonts w:ascii="Arial Narrow" w:eastAsia="Calibri" w:hAnsi="Arial Narrow" w:cs="Arial"/>
          <w:szCs w:val="26"/>
          <w:lang w:val="es-ES" w:eastAsia="en-US"/>
        </w:rPr>
      </w:pPr>
    </w:p>
    <w:p w:rsidR="00A37F81" w:rsidRPr="005B3B73" w:rsidRDefault="00A37F81" w:rsidP="006E3AD9">
      <w:pPr>
        <w:pStyle w:val="Sinespaciado"/>
        <w:spacing w:line="276" w:lineRule="auto"/>
        <w:ind w:firstLine="708"/>
        <w:jc w:val="both"/>
        <w:rPr>
          <w:rFonts w:ascii="Arial Narrow" w:hAnsi="Arial Narrow" w:cs="Arial"/>
          <w:spacing w:val="-6"/>
          <w:sz w:val="26"/>
          <w:szCs w:val="26"/>
        </w:rPr>
      </w:pPr>
      <w:r w:rsidRPr="005B3B73">
        <w:rPr>
          <w:rFonts w:ascii="Arial Narrow" w:hAnsi="Arial Narrow" w:cs="Arial"/>
          <w:spacing w:val="-6"/>
          <w:sz w:val="26"/>
          <w:szCs w:val="26"/>
        </w:rPr>
        <w:t xml:space="preserve">Sin costas en esta instancia, por haberse conocido en </w:t>
      </w:r>
      <w:r w:rsidR="002C6F77" w:rsidRPr="005B3B73">
        <w:rPr>
          <w:rFonts w:ascii="Arial Narrow" w:hAnsi="Arial Narrow" w:cs="Arial"/>
          <w:spacing w:val="-6"/>
          <w:sz w:val="26"/>
          <w:szCs w:val="26"/>
        </w:rPr>
        <w:t xml:space="preserve">grado de </w:t>
      </w:r>
      <w:r w:rsidRPr="005B3B73">
        <w:rPr>
          <w:rFonts w:ascii="Arial Narrow" w:hAnsi="Arial Narrow" w:cs="Arial"/>
          <w:spacing w:val="-6"/>
          <w:sz w:val="26"/>
          <w:szCs w:val="26"/>
        </w:rPr>
        <w:t>consulta.</w:t>
      </w:r>
    </w:p>
    <w:p w:rsidR="00A37F81" w:rsidRPr="009D4797" w:rsidRDefault="00A37F81" w:rsidP="009D4797">
      <w:pPr>
        <w:tabs>
          <w:tab w:val="left" w:pos="1560"/>
        </w:tabs>
        <w:spacing w:line="276" w:lineRule="auto"/>
        <w:jc w:val="both"/>
        <w:rPr>
          <w:rFonts w:ascii="Arial Narrow" w:eastAsia="Calibri" w:hAnsi="Arial Narrow" w:cs="Arial"/>
          <w:szCs w:val="26"/>
          <w:lang w:val="es-ES" w:eastAsia="en-US"/>
        </w:rPr>
      </w:pPr>
    </w:p>
    <w:p w:rsidR="00C74218" w:rsidRPr="005B3B73" w:rsidRDefault="00C74218" w:rsidP="006E3AD9">
      <w:pPr>
        <w:pStyle w:val="Sinespaciado"/>
        <w:spacing w:line="276" w:lineRule="auto"/>
        <w:ind w:firstLine="708"/>
        <w:jc w:val="both"/>
        <w:rPr>
          <w:rFonts w:ascii="Arial Narrow" w:hAnsi="Arial Narrow"/>
          <w:sz w:val="26"/>
          <w:szCs w:val="26"/>
        </w:rPr>
      </w:pPr>
      <w:r w:rsidRPr="005B3B73">
        <w:rPr>
          <w:rFonts w:ascii="Arial Narrow" w:hAnsi="Arial Narrow"/>
          <w:spacing w:val="-6"/>
          <w:sz w:val="26"/>
          <w:szCs w:val="26"/>
        </w:rPr>
        <w:t>En mérito de lo expuesto, el H. Tribunal Superior del Distrito Judicial de Pereira - Risaralda,  Cuarta de Decisión Laboral, administrando justicia en nombre de la República y por autoridad de la ley,</w:t>
      </w:r>
    </w:p>
    <w:p w:rsidR="00F42247" w:rsidRPr="009D4797" w:rsidRDefault="0087587F" w:rsidP="009D4797">
      <w:pPr>
        <w:tabs>
          <w:tab w:val="left" w:pos="1560"/>
        </w:tabs>
        <w:spacing w:line="276" w:lineRule="auto"/>
        <w:jc w:val="both"/>
        <w:rPr>
          <w:rFonts w:ascii="Arial Narrow" w:eastAsia="Calibri" w:hAnsi="Arial Narrow" w:cs="Arial"/>
          <w:szCs w:val="26"/>
          <w:lang w:val="es-ES" w:eastAsia="en-US"/>
        </w:rPr>
      </w:pPr>
      <w:r w:rsidRPr="009D4797">
        <w:rPr>
          <w:rFonts w:ascii="Arial Narrow" w:eastAsia="Calibri" w:hAnsi="Arial Narrow" w:cs="Arial"/>
          <w:szCs w:val="26"/>
          <w:lang w:val="es-ES" w:eastAsia="en-US"/>
        </w:rPr>
        <w:tab/>
      </w:r>
    </w:p>
    <w:p w:rsidR="00C74218" w:rsidRPr="005B3B73" w:rsidRDefault="00C74218" w:rsidP="006E3AD9">
      <w:pPr>
        <w:spacing w:line="276" w:lineRule="auto"/>
        <w:jc w:val="center"/>
        <w:rPr>
          <w:rFonts w:ascii="Arial Narrow" w:hAnsi="Arial Narrow" w:cs="Arial"/>
          <w:b/>
          <w:i/>
          <w:spacing w:val="-6"/>
          <w:sz w:val="26"/>
          <w:szCs w:val="26"/>
        </w:rPr>
      </w:pPr>
      <w:r w:rsidRPr="005B3B73">
        <w:rPr>
          <w:rFonts w:ascii="Arial Narrow" w:hAnsi="Arial Narrow" w:cs="Arial"/>
          <w:b/>
          <w:i/>
          <w:spacing w:val="-6"/>
          <w:sz w:val="26"/>
          <w:szCs w:val="26"/>
        </w:rPr>
        <w:t>FALLA</w:t>
      </w:r>
    </w:p>
    <w:p w:rsidR="00C74218" w:rsidRPr="009D4797" w:rsidRDefault="00C74218" w:rsidP="009D4797">
      <w:pPr>
        <w:tabs>
          <w:tab w:val="left" w:pos="1560"/>
        </w:tabs>
        <w:spacing w:line="276" w:lineRule="auto"/>
        <w:jc w:val="both"/>
        <w:rPr>
          <w:rFonts w:ascii="Arial Narrow" w:eastAsia="Calibri" w:hAnsi="Arial Narrow" w:cs="Arial"/>
          <w:szCs w:val="26"/>
          <w:lang w:val="es-ES" w:eastAsia="en-US"/>
        </w:rPr>
      </w:pPr>
    </w:p>
    <w:p w:rsidR="00C74218" w:rsidRPr="00025FA5" w:rsidRDefault="00A37F81" w:rsidP="00025FA5">
      <w:pPr>
        <w:pStyle w:val="Prrafodelista"/>
        <w:numPr>
          <w:ilvl w:val="0"/>
          <w:numId w:val="4"/>
        </w:numPr>
        <w:spacing w:line="276" w:lineRule="auto"/>
        <w:jc w:val="both"/>
        <w:rPr>
          <w:rFonts w:ascii="Arial Narrow" w:hAnsi="Arial Narrow" w:cs="Arial"/>
          <w:spacing w:val="-6"/>
          <w:sz w:val="26"/>
          <w:szCs w:val="26"/>
        </w:rPr>
      </w:pPr>
      <w:r w:rsidRPr="00025FA5">
        <w:rPr>
          <w:rFonts w:ascii="Arial Narrow" w:hAnsi="Arial Narrow" w:cs="Arial"/>
          <w:b/>
          <w:spacing w:val="-6"/>
          <w:sz w:val="26"/>
          <w:szCs w:val="26"/>
        </w:rPr>
        <w:t>Confirmar</w:t>
      </w:r>
      <w:r w:rsidR="00C74218" w:rsidRPr="00025FA5">
        <w:rPr>
          <w:rFonts w:ascii="Arial Narrow" w:hAnsi="Arial Narrow" w:cs="Arial"/>
          <w:b/>
          <w:i/>
          <w:spacing w:val="-6"/>
          <w:sz w:val="26"/>
          <w:szCs w:val="26"/>
        </w:rPr>
        <w:t xml:space="preserve"> </w:t>
      </w:r>
      <w:r w:rsidR="00C74218" w:rsidRPr="00025FA5">
        <w:rPr>
          <w:rFonts w:ascii="Arial Narrow" w:hAnsi="Arial Narrow" w:cs="Arial"/>
          <w:spacing w:val="-6"/>
          <w:sz w:val="26"/>
          <w:szCs w:val="26"/>
        </w:rPr>
        <w:t>la</w:t>
      </w:r>
      <w:r w:rsidR="00C74218" w:rsidRPr="00025FA5">
        <w:rPr>
          <w:rFonts w:ascii="Arial Narrow" w:hAnsi="Arial Narrow" w:cs="Arial"/>
          <w:b/>
          <w:i/>
          <w:spacing w:val="-6"/>
          <w:sz w:val="26"/>
          <w:szCs w:val="26"/>
        </w:rPr>
        <w:t xml:space="preserve"> </w:t>
      </w:r>
      <w:r w:rsidR="00C74218" w:rsidRPr="00025FA5">
        <w:rPr>
          <w:rFonts w:ascii="Arial Narrow" w:hAnsi="Arial Narrow" w:cs="Arial"/>
          <w:spacing w:val="-6"/>
          <w:sz w:val="26"/>
          <w:szCs w:val="26"/>
        </w:rPr>
        <w:t>sentencia proferida el por el Juzgado Segundo Laboral del Circuito de Pereira, dentro del proceso ord</w:t>
      </w:r>
      <w:r w:rsidRPr="00025FA5">
        <w:rPr>
          <w:rFonts w:ascii="Arial Narrow" w:hAnsi="Arial Narrow" w:cs="Arial"/>
          <w:spacing w:val="-6"/>
          <w:sz w:val="26"/>
          <w:szCs w:val="26"/>
        </w:rPr>
        <w:t>inario laboral de primera instancia de la referencia.</w:t>
      </w:r>
      <w:r w:rsidR="00C74218" w:rsidRPr="00025FA5">
        <w:rPr>
          <w:rFonts w:ascii="Arial Narrow" w:hAnsi="Arial Narrow" w:cs="Arial"/>
          <w:spacing w:val="-6"/>
          <w:sz w:val="26"/>
          <w:szCs w:val="26"/>
        </w:rPr>
        <w:t xml:space="preserve"> </w:t>
      </w:r>
    </w:p>
    <w:p w:rsidR="00025FA5" w:rsidRPr="009D4797" w:rsidRDefault="00025FA5" w:rsidP="009D4797">
      <w:pPr>
        <w:tabs>
          <w:tab w:val="left" w:pos="1560"/>
        </w:tabs>
        <w:spacing w:line="276" w:lineRule="auto"/>
        <w:jc w:val="both"/>
        <w:rPr>
          <w:rFonts w:ascii="Arial Narrow" w:eastAsia="Calibri" w:hAnsi="Arial Narrow" w:cs="Arial"/>
          <w:szCs w:val="26"/>
          <w:lang w:val="es-ES" w:eastAsia="en-US"/>
        </w:rPr>
      </w:pPr>
    </w:p>
    <w:p w:rsidR="00A37F81" w:rsidRPr="00EE03E2" w:rsidRDefault="00A37F81" w:rsidP="00025FA5">
      <w:pPr>
        <w:pStyle w:val="Prrafodelista"/>
        <w:numPr>
          <w:ilvl w:val="0"/>
          <w:numId w:val="4"/>
        </w:numPr>
        <w:spacing w:line="276" w:lineRule="auto"/>
        <w:jc w:val="both"/>
        <w:rPr>
          <w:rFonts w:ascii="Arial Narrow" w:hAnsi="Arial Narrow" w:cs="Arial"/>
          <w:spacing w:val="-6"/>
          <w:sz w:val="26"/>
          <w:szCs w:val="26"/>
        </w:rPr>
      </w:pPr>
      <w:r w:rsidRPr="00025FA5">
        <w:rPr>
          <w:rFonts w:ascii="Arial Narrow" w:hAnsi="Arial Narrow" w:cs="Arial"/>
          <w:b/>
          <w:spacing w:val="-6"/>
          <w:sz w:val="26"/>
          <w:szCs w:val="26"/>
        </w:rPr>
        <w:t xml:space="preserve">Sin costas </w:t>
      </w:r>
      <w:r w:rsidRPr="00EE03E2">
        <w:rPr>
          <w:rFonts w:ascii="Arial Narrow" w:hAnsi="Arial Narrow" w:cs="Arial"/>
          <w:spacing w:val="-6"/>
          <w:sz w:val="26"/>
          <w:szCs w:val="26"/>
        </w:rPr>
        <w:t>en esta instancia.</w:t>
      </w:r>
    </w:p>
    <w:p w:rsidR="00C74218" w:rsidRPr="009D4797" w:rsidRDefault="00C74218" w:rsidP="009D4797">
      <w:pPr>
        <w:tabs>
          <w:tab w:val="left" w:pos="1560"/>
        </w:tabs>
        <w:spacing w:line="276" w:lineRule="auto"/>
        <w:jc w:val="both"/>
        <w:rPr>
          <w:rFonts w:ascii="Arial Narrow" w:eastAsia="Calibri" w:hAnsi="Arial Narrow" w:cs="Arial"/>
          <w:szCs w:val="26"/>
          <w:lang w:val="es-ES" w:eastAsia="en-US"/>
        </w:rPr>
      </w:pPr>
    </w:p>
    <w:p w:rsidR="00C74218" w:rsidRPr="005B3B73" w:rsidRDefault="00C74218" w:rsidP="006E3AD9">
      <w:pPr>
        <w:spacing w:line="276" w:lineRule="auto"/>
        <w:ind w:firstLine="900"/>
        <w:jc w:val="both"/>
        <w:rPr>
          <w:rFonts w:ascii="Arial Narrow" w:hAnsi="Arial Narrow" w:cs="Microsoft Sans Serif"/>
          <w:b/>
          <w:bCs/>
          <w:i/>
          <w:iCs/>
          <w:spacing w:val="-6"/>
          <w:sz w:val="26"/>
          <w:szCs w:val="26"/>
          <w:lang w:val="es-ES"/>
        </w:rPr>
      </w:pPr>
      <w:r w:rsidRPr="005B3B73">
        <w:rPr>
          <w:rFonts w:ascii="Arial Narrow" w:hAnsi="Arial Narrow" w:cs="Microsoft Sans Serif"/>
          <w:b/>
          <w:bCs/>
          <w:i/>
          <w:iCs/>
          <w:spacing w:val="-6"/>
          <w:sz w:val="26"/>
          <w:szCs w:val="26"/>
          <w:lang w:val="es-ES"/>
        </w:rPr>
        <w:t>NOTIFÍQUESE, CÚMPLASE Y DEVUÉLVASE.</w:t>
      </w:r>
    </w:p>
    <w:p w:rsidR="00C74218" w:rsidRPr="009D4797" w:rsidRDefault="00C74218" w:rsidP="009D4797">
      <w:pPr>
        <w:tabs>
          <w:tab w:val="left" w:pos="1560"/>
        </w:tabs>
        <w:spacing w:line="276" w:lineRule="auto"/>
        <w:jc w:val="both"/>
        <w:rPr>
          <w:rFonts w:ascii="Arial Narrow" w:eastAsia="Calibri" w:hAnsi="Arial Narrow" w:cs="Arial"/>
          <w:szCs w:val="26"/>
          <w:lang w:val="es-ES" w:eastAsia="en-US"/>
        </w:rPr>
      </w:pPr>
      <w:bookmarkStart w:id="0" w:name="_GoBack"/>
    </w:p>
    <w:bookmarkEnd w:id="0"/>
    <w:p w:rsidR="00C74218" w:rsidRPr="005B3B73" w:rsidRDefault="00C74218" w:rsidP="006E3AD9">
      <w:pPr>
        <w:spacing w:line="276" w:lineRule="auto"/>
        <w:ind w:firstLine="900"/>
        <w:jc w:val="both"/>
        <w:rPr>
          <w:rFonts w:ascii="Arial Narrow" w:hAnsi="Arial Narrow" w:cs="Microsoft Sans Serif"/>
          <w:bCs/>
          <w:iCs/>
          <w:spacing w:val="-6"/>
          <w:sz w:val="26"/>
          <w:szCs w:val="26"/>
          <w:lang w:val="es-ES"/>
        </w:rPr>
      </w:pPr>
      <w:r w:rsidRPr="005B3B73">
        <w:rPr>
          <w:rFonts w:ascii="Arial Narrow" w:hAnsi="Arial Narrow" w:cs="Microsoft Sans Serif"/>
          <w:bCs/>
          <w:iCs/>
          <w:spacing w:val="-6"/>
          <w:sz w:val="26"/>
          <w:szCs w:val="26"/>
          <w:lang w:val="es-ES"/>
        </w:rPr>
        <w:t>La anterior decisión queda notificada en estrados.</w:t>
      </w:r>
    </w:p>
    <w:p w:rsidR="005B3B73" w:rsidRPr="005B3B73" w:rsidRDefault="005B3B73" w:rsidP="006E3AD9">
      <w:pPr>
        <w:spacing w:line="276" w:lineRule="auto"/>
        <w:rPr>
          <w:rFonts w:ascii="Arial Narrow" w:hAnsi="Arial Narrow"/>
          <w:spacing w:val="-6"/>
          <w:sz w:val="26"/>
          <w:szCs w:val="26"/>
          <w:lang w:val="es-ES"/>
        </w:rPr>
      </w:pPr>
    </w:p>
    <w:p w:rsidR="005B3B73" w:rsidRPr="005B3B73" w:rsidRDefault="005B3B73" w:rsidP="006E3AD9">
      <w:pPr>
        <w:spacing w:line="276" w:lineRule="auto"/>
        <w:rPr>
          <w:rFonts w:ascii="Arial Narrow" w:hAnsi="Arial Narrow"/>
          <w:spacing w:val="-6"/>
          <w:sz w:val="26"/>
          <w:szCs w:val="26"/>
          <w:lang w:val="es-ES"/>
        </w:rPr>
      </w:pPr>
    </w:p>
    <w:p w:rsidR="005B3B73" w:rsidRPr="005B3B73" w:rsidRDefault="005B3B73" w:rsidP="006E3AD9">
      <w:pPr>
        <w:spacing w:line="276" w:lineRule="auto"/>
        <w:rPr>
          <w:rFonts w:ascii="Arial Narrow" w:hAnsi="Arial Narrow" w:cs="Microsoft Sans Serif"/>
          <w:bCs/>
          <w:iCs/>
          <w:color w:val="000000"/>
          <w:spacing w:val="-6"/>
          <w:sz w:val="26"/>
          <w:szCs w:val="26"/>
          <w:lang w:val="es-ES"/>
        </w:rPr>
      </w:pPr>
    </w:p>
    <w:p w:rsidR="005B3B73" w:rsidRPr="005B3B73" w:rsidRDefault="005B3B73" w:rsidP="006E3AD9">
      <w:pPr>
        <w:spacing w:line="276" w:lineRule="auto"/>
        <w:jc w:val="center"/>
        <w:rPr>
          <w:rFonts w:ascii="Arial Narrow" w:hAnsi="Arial Narrow" w:cs="Microsoft Sans Serif"/>
          <w:b/>
          <w:bCs/>
          <w:iCs/>
          <w:color w:val="000000"/>
          <w:spacing w:val="-6"/>
          <w:sz w:val="26"/>
          <w:szCs w:val="26"/>
          <w:lang w:val="es-ES"/>
        </w:rPr>
      </w:pPr>
      <w:r w:rsidRPr="005B3B73">
        <w:rPr>
          <w:rFonts w:ascii="Arial Narrow" w:hAnsi="Arial Narrow" w:cs="Microsoft Sans Serif"/>
          <w:b/>
          <w:bCs/>
          <w:iCs/>
          <w:color w:val="000000"/>
          <w:spacing w:val="-6"/>
          <w:sz w:val="26"/>
          <w:szCs w:val="26"/>
          <w:lang w:val="es-ES"/>
        </w:rPr>
        <w:t>FRANCISCO JAVIER TAMAYO TABARES</w:t>
      </w:r>
    </w:p>
    <w:p w:rsidR="005B3B73" w:rsidRPr="005B3B73" w:rsidRDefault="005B3B73" w:rsidP="006E3AD9">
      <w:pPr>
        <w:spacing w:line="276" w:lineRule="auto"/>
        <w:jc w:val="center"/>
        <w:rPr>
          <w:rFonts w:ascii="Arial Narrow" w:hAnsi="Arial Narrow" w:cs="Microsoft Sans Serif"/>
          <w:color w:val="000000"/>
          <w:spacing w:val="-6"/>
          <w:sz w:val="26"/>
          <w:szCs w:val="26"/>
          <w:lang w:val="es-ES"/>
        </w:rPr>
      </w:pPr>
      <w:r w:rsidRPr="005B3B73">
        <w:rPr>
          <w:rFonts w:ascii="Arial Narrow" w:hAnsi="Arial Narrow" w:cs="Microsoft Sans Serif"/>
          <w:color w:val="000000"/>
          <w:spacing w:val="-6"/>
          <w:sz w:val="26"/>
          <w:szCs w:val="26"/>
          <w:lang w:val="es-ES"/>
        </w:rPr>
        <w:t xml:space="preserve">Magistrado Ponente </w:t>
      </w:r>
    </w:p>
    <w:p w:rsidR="005B3B73" w:rsidRPr="005B3B73" w:rsidRDefault="005B3B73" w:rsidP="006E3AD9">
      <w:pPr>
        <w:spacing w:line="276" w:lineRule="auto"/>
        <w:jc w:val="both"/>
        <w:rPr>
          <w:rFonts w:ascii="Arial Narrow" w:hAnsi="Arial Narrow" w:cs="Microsoft Sans Serif"/>
          <w:color w:val="000000"/>
          <w:spacing w:val="-6"/>
          <w:sz w:val="26"/>
          <w:szCs w:val="26"/>
          <w:lang w:val="es-ES"/>
        </w:rPr>
      </w:pPr>
    </w:p>
    <w:p w:rsidR="005B3B73" w:rsidRPr="005B3B73" w:rsidRDefault="005B3B73" w:rsidP="006E3AD9">
      <w:pPr>
        <w:spacing w:line="276" w:lineRule="auto"/>
        <w:rPr>
          <w:rFonts w:ascii="Arial Narrow" w:hAnsi="Arial Narrow"/>
          <w:spacing w:val="-6"/>
          <w:sz w:val="26"/>
          <w:szCs w:val="26"/>
        </w:rPr>
      </w:pPr>
    </w:p>
    <w:p w:rsidR="005B3B73" w:rsidRPr="005B3B73" w:rsidRDefault="005B3B73" w:rsidP="006E3AD9">
      <w:pPr>
        <w:spacing w:line="276" w:lineRule="auto"/>
        <w:rPr>
          <w:rFonts w:ascii="Arial Narrow" w:hAnsi="Arial Narrow"/>
          <w:spacing w:val="-6"/>
          <w:sz w:val="26"/>
          <w:szCs w:val="26"/>
        </w:rPr>
      </w:pPr>
    </w:p>
    <w:p w:rsidR="005B3B73" w:rsidRPr="005B3B73" w:rsidRDefault="005B3B73" w:rsidP="006E3AD9">
      <w:pPr>
        <w:spacing w:line="276" w:lineRule="auto"/>
        <w:rPr>
          <w:rFonts w:ascii="Arial Narrow" w:hAnsi="Arial Narrow" w:cs="Microsoft Sans Serif"/>
          <w:b/>
          <w:bCs/>
          <w:iCs/>
          <w:color w:val="000000"/>
          <w:spacing w:val="-6"/>
          <w:sz w:val="26"/>
          <w:szCs w:val="26"/>
          <w:lang w:val="es-ES"/>
        </w:rPr>
      </w:pPr>
      <w:r w:rsidRPr="005B3B73">
        <w:rPr>
          <w:rFonts w:ascii="Arial Narrow" w:hAnsi="Arial Narrow" w:cs="Microsoft Sans Serif"/>
          <w:b/>
          <w:bCs/>
          <w:iCs/>
          <w:color w:val="000000"/>
          <w:spacing w:val="-6"/>
          <w:sz w:val="26"/>
          <w:szCs w:val="26"/>
          <w:lang w:val="es-ES"/>
        </w:rPr>
        <w:t>ANA LUCÍA CAICEDO CALDERÓN</w:t>
      </w:r>
      <w:r w:rsidRPr="005B3B73">
        <w:rPr>
          <w:rFonts w:ascii="Arial Narrow" w:hAnsi="Arial Narrow" w:cs="Microsoft Sans Serif"/>
          <w:b/>
          <w:bCs/>
          <w:iCs/>
          <w:color w:val="000000"/>
          <w:spacing w:val="-6"/>
          <w:sz w:val="26"/>
          <w:szCs w:val="26"/>
          <w:lang w:val="es-ES"/>
        </w:rPr>
        <w:tab/>
      </w:r>
      <w:r w:rsidRPr="005B3B73">
        <w:rPr>
          <w:rFonts w:ascii="Arial Narrow" w:hAnsi="Arial Narrow" w:cs="Microsoft Sans Serif"/>
          <w:b/>
          <w:bCs/>
          <w:iCs/>
          <w:color w:val="000000"/>
          <w:spacing w:val="-6"/>
          <w:sz w:val="26"/>
          <w:szCs w:val="26"/>
          <w:lang w:val="es-ES"/>
        </w:rPr>
        <w:tab/>
      </w:r>
      <w:r w:rsidRPr="005B3B73">
        <w:rPr>
          <w:rFonts w:ascii="Arial Narrow" w:hAnsi="Arial Narrow" w:cs="Microsoft Sans Serif"/>
          <w:b/>
          <w:bCs/>
          <w:iCs/>
          <w:color w:val="000000"/>
          <w:spacing w:val="-6"/>
          <w:sz w:val="26"/>
          <w:szCs w:val="26"/>
          <w:lang w:val="es-ES"/>
        </w:rPr>
        <w:tab/>
        <w:t xml:space="preserve">         OLGA LUCÍA HOYOS SEPÚLVEDA </w:t>
      </w:r>
    </w:p>
    <w:p w:rsidR="00C74218" w:rsidRDefault="005B3B73" w:rsidP="006E3AD9">
      <w:pPr>
        <w:spacing w:line="276" w:lineRule="auto"/>
        <w:ind w:firstLine="708"/>
        <w:rPr>
          <w:rFonts w:ascii="Arial Narrow" w:hAnsi="Arial Narrow" w:cs="Microsoft Sans Serif"/>
          <w:color w:val="000000"/>
          <w:spacing w:val="-6"/>
          <w:sz w:val="26"/>
          <w:szCs w:val="26"/>
          <w:lang w:val="es-ES"/>
        </w:rPr>
      </w:pPr>
      <w:r w:rsidRPr="005B3B73">
        <w:rPr>
          <w:rFonts w:ascii="Arial Narrow" w:hAnsi="Arial Narrow" w:cs="Microsoft Sans Serif"/>
          <w:color w:val="000000"/>
          <w:spacing w:val="-6"/>
          <w:sz w:val="26"/>
          <w:szCs w:val="26"/>
          <w:lang w:val="es-ES"/>
        </w:rPr>
        <w:t xml:space="preserve">      Magistrada</w:t>
      </w:r>
      <w:r w:rsidRPr="005B3B73">
        <w:rPr>
          <w:rFonts w:ascii="Arial Narrow" w:hAnsi="Arial Narrow" w:cs="Microsoft Sans Serif"/>
          <w:color w:val="000000"/>
          <w:spacing w:val="-6"/>
          <w:sz w:val="26"/>
          <w:szCs w:val="26"/>
          <w:lang w:val="es-ES"/>
        </w:rPr>
        <w:tab/>
      </w:r>
      <w:r w:rsidRPr="005B3B73">
        <w:rPr>
          <w:rFonts w:ascii="Arial Narrow" w:hAnsi="Arial Narrow" w:cs="Microsoft Sans Serif"/>
          <w:color w:val="000000"/>
          <w:spacing w:val="-6"/>
          <w:sz w:val="26"/>
          <w:szCs w:val="26"/>
          <w:lang w:val="es-ES"/>
        </w:rPr>
        <w:tab/>
      </w:r>
      <w:r w:rsidRPr="005B3B73">
        <w:rPr>
          <w:rFonts w:ascii="Arial Narrow" w:hAnsi="Arial Narrow" w:cs="Microsoft Sans Serif"/>
          <w:color w:val="000000"/>
          <w:spacing w:val="-6"/>
          <w:sz w:val="26"/>
          <w:szCs w:val="26"/>
          <w:lang w:val="es-ES"/>
        </w:rPr>
        <w:tab/>
      </w:r>
      <w:r w:rsidRPr="005B3B73">
        <w:rPr>
          <w:rFonts w:ascii="Arial Narrow" w:hAnsi="Arial Narrow" w:cs="Microsoft Sans Serif"/>
          <w:color w:val="000000"/>
          <w:spacing w:val="-6"/>
          <w:sz w:val="26"/>
          <w:szCs w:val="26"/>
          <w:lang w:val="es-ES"/>
        </w:rPr>
        <w:tab/>
      </w:r>
      <w:r w:rsidRPr="005B3B73">
        <w:rPr>
          <w:rFonts w:ascii="Arial Narrow" w:hAnsi="Arial Narrow" w:cs="Microsoft Sans Serif"/>
          <w:color w:val="000000"/>
          <w:spacing w:val="-6"/>
          <w:sz w:val="26"/>
          <w:szCs w:val="26"/>
          <w:lang w:val="es-ES"/>
        </w:rPr>
        <w:tab/>
      </w:r>
      <w:r w:rsidRPr="005B3B73">
        <w:rPr>
          <w:rFonts w:ascii="Arial Narrow" w:hAnsi="Arial Narrow" w:cs="Microsoft Sans Serif"/>
          <w:color w:val="000000"/>
          <w:spacing w:val="-6"/>
          <w:sz w:val="26"/>
          <w:szCs w:val="26"/>
          <w:lang w:val="es-ES"/>
        </w:rPr>
        <w:tab/>
      </w:r>
      <w:r w:rsidRPr="005B3B73">
        <w:rPr>
          <w:rFonts w:ascii="Arial Narrow" w:hAnsi="Arial Narrow" w:cs="Microsoft Sans Serif"/>
          <w:color w:val="000000"/>
          <w:spacing w:val="-6"/>
          <w:sz w:val="26"/>
          <w:szCs w:val="26"/>
          <w:lang w:val="es-ES"/>
        </w:rPr>
        <w:tab/>
        <w:t xml:space="preserve">   </w:t>
      </w:r>
      <w:proofErr w:type="spellStart"/>
      <w:r w:rsidRPr="005B3B73">
        <w:rPr>
          <w:rFonts w:ascii="Arial Narrow" w:hAnsi="Arial Narrow" w:cs="Microsoft Sans Serif"/>
          <w:color w:val="000000"/>
          <w:spacing w:val="-6"/>
          <w:sz w:val="26"/>
          <w:szCs w:val="26"/>
          <w:lang w:val="es-ES"/>
        </w:rPr>
        <w:t>Magistrada</w:t>
      </w:r>
      <w:proofErr w:type="spellEnd"/>
    </w:p>
    <w:p w:rsidR="004F44A4" w:rsidRDefault="004F44A4" w:rsidP="006E3AD9">
      <w:pPr>
        <w:spacing w:line="276" w:lineRule="auto"/>
        <w:ind w:firstLine="708"/>
        <w:rPr>
          <w:rFonts w:ascii="Arial Narrow" w:hAnsi="Arial Narrow" w:cs="Microsoft Sans Serif"/>
          <w:color w:val="000000"/>
          <w:spacing w:val="-6"/>
          <w:sz w:val="26"/>
          <w:szCs w:val="26"/>
          <w:lang w:val="es-ES"/>
        </w:rPr>
      </w:pPr>
      <w:r w:rsidRPr="005B3B73">
        <w:rPr>
          <w:rFonts w:ascii="Arial Narrow" w:hAnsi="Arial Narrow" w:cs="Microsoft Sans Serif"/>
          <w:color w:val="000000"/>
          <w:spacing w:val="-6"/>
          <w:sz w:val="26"/>
          <w:szCs w:val="26"/>
          <w:lang w:val="es-ES"/>
        </w:rPr>
        <w:t xml:space="preserve">      </w:t>
      </w:r>
      <w:r>
        <w:rPr>
          <w:rFonts w:ascii="Arial Narrow" w:hAnsi="Arial Narrow" w:cs="Microsoft Sans Serif"/>
          <w:color w:val="000000"/>
          <w:spacing w:val="-6"/>
          <w:sz w:val="26"/>
          <w:szCs w:val="26"/>
          <w:lang w:val="es-ES"/>
        </w:rPr>
        <w:t>Salva voto</w:t>
      </w:r>
    </w:p>
    <w:p w:rsidR="004F44A4" w:rsidRDefault="004F44A4" w:rsidP="004F44A4">
      <w:pPr>
        <w:spacing w:line="276" w:lineRule="auto"/>
        <w:rPr>
          <w:rFonts w:ascii="Arial Narrow" w:hAnsi="Arial Narrow" w:cs="Microsoft Sans Serif"/>
          <w:color w:val="000000"/>
          <w:spacing w:val="-6"/>
          <w:sz w:val="26"/>
          <w:szCs w:val="26"/>
          <w:lang w:val="es-ES"/>
        </w:rPr>
      </w:pPr>
    </w:p>
    <w:p w:rsidR="004F44A4" w:rsidRDefault="004F44A4">
      <w:pPr>
        <w:spacing w:after="200" w:line="276" w:lineRule="auto"/>
        <w:rPr>
          <w:rFonts w:ascii="Arial Narrow" w:hAnsi="Arial Narrow" w:cs="Microsoft Sans Serif"/>
          <w:color w:val="000000"/>
          <w:spacing w:val="-6"/>
          <w:sz w:val="26"/>
          <w:szCs w:val="26"/>
          <w:lang w:val="es-ES"/>
        </w:rPr>
      </w:pPr>
      <w:r>
        <w:rPr>
          <w:rFonts w:ascii="Arial Narrow" w:hAnsi="Arial Narrow" w:cs="Microsoft Sans Serif"/>
          <w:color w:val="000000"/>
          <w:spacing w:val="-6"/>
          <w:sz w:val="26"/>
          <w:szCs w:val="26"/>
          <w:lang w:val="es-ES"/>
        </w:rPr>
        <w:br w:type="page"/>
      </w:r>
    </w:p>
    <w:p w:rsidR="004F44A4" w:rsidRPr="004F44A4" w:rsidRDefault="004F44A4" w:rsidP="004F44A4">
      <w:pPr>
        <w:widowControl w:val="0"/>
        <w:autoSpaceDE w:val="0"/>
        <w:autoSpaceDN w:val="0"/>
        <w:adjustRightInd w:val="0"/>
        <w:jc w:val="both"/>
        <w:rPr>
          <w:rFonts w:ascii="Arial" w:hAnsi="Arial" w:cs="Arial"/>
          <w:color w:val="000000"/>
          <w:sz w:val="18"/>
          <w:szCs w:val="18"/>
          <w:lang w:val="es-ES"/>
        </w:rPr>
      </w:pPr>
      <w:r w:rsidRPr="004F44A4">
        <w:rPr>
          <w:rFonts w:ascii="Arial" w:hAnsi="Arial" w:cs="Arial"/>
          <w:color w:val="000000"/>
          <w:sz w:val="18"/>
          <w:szCs w:val="18"/>
          <w:lang w:val="es-ES"/>
        </w:rPr>
        <w:lastRenderedPageBreak/>
        <w:t xml:space="preserve">Providencia: </w:t>
      </w:r>
      <w:r w:rsidRPr="004F44A4">
        <w:rPr>
          <w:rFonts w:ascii="Arial" w:hAnsi="Arial" w:cs="Arial"/>
          <w:color w:val="000000"/>
          <w:sz w:val="18"/>
          <w:szCs w:val="18"/>
          <w:lang w:val="es-ES"/>
        </w:rPr>
        <w:tab/>
      </w:r>
      <w:r w:rsidRPr="004F44A4">
        <w:rPr>
          <w:rFonts w:ascii="Arial" w:hAnsi="Arial" w:cs="Arial"/>
          <w:color w:val="000000"/>
          <w:sz w:val="18"/>
          <w:szCs w:val="18"/>
          <w:lang w:val="es-ES"/>
        </w:rPr>
        <w:tab/>
      </w:r>
      <w:r w:rsidRPr="004F44A4">
        <w:rPr>
          <w:rFonts w:ascii="Arial" w:hAnsi="Arial" w:cs="Arial"/>
          <w:color w:val="000000"/>
          <w:sz w:val="18"/>
          <w:szCs w:val="18"/>
          <w:lang w:val="es-ES"/>
        </w:rPr>
        <w:tab/>
        <w:t>Sentencia del 10 de octubre de 2019</w:t>
      </w:r>
    </w:p>
    <w:p w:rsidR="004F44A4" w:rsidRPr="004F44A4" w:rsidRDefault="004F44A4" w:rsidP="004F44A4">
      <w:pPr>
        <w:widowControl w:val="0"/>
        <w:autoSpaceDE w:val="0"/>
        <w:autoSpaceDN w:val="0"/>
        <w:adjustRightInd w:val="0"/>
        <w:jc w:val="both"/>
        <w:rPr>
          <w:rFonts w:ascii="Arial" w:hAnsi="Arial" w:cs="Arial"/>
          <w:color w:val="000000"/>
          <w:sz w:val="18"/>
          <w:szCs w:val="18"/>
          <w:lang w:val="es-ES"/>
        </w:rPr>
      </w:pPr>
      <w:r w:rsidRPr="004F44A4">
        <w:rPr>
          <w:rFonts w:ascii="Arial" w:hAnsi="Arial" w:cs="Arial"/>
          <w:color w:val="000000"/>
          <w:sz w:val="18"/>
          <w:szCs w:val="18"/>
          <w:lang w:val="es-ES"/>
        </w:rPr>
        <w:t xml:space="preserve">Radicación: </w:t>
      </w:r>
      <w:r w:rsidRPr="004F44A4">
        <w:rPr>
          <w:rFonts w:ascii="Arial" w:hAnsi="Arial" w:cs="Arial"/>
          <w:color w:val="000000"/>
          <w:sz w:val="18"/>
          <w:szCs w:val="18"/>
          <w:lang w:val="es-ES"/>
        </w:rPr>
        <w:tab/>
      </w:r>
      <w:r w:rsidRPr="004F44A4">
        <w:rPr>
          <w:rFonts w:ascii="Arial" w:hAnsi="Arial" w:cs="Arial"/>
          <w:color w:val="000000"/>
          <w:sz w:val="18"/>
          <w:szCs w:val="18"/>
          <w:lang w:val="es-ES"/>
        </w:rPr>
        <w:tab/>
      </w:r>
      <w:r w:rsidRPr="004F44A4">
        <w:rPr>
          <w:rFonts w:ascii="Arial" w:hAnsi="Arial" w:cs="Arial"/>
          <w:color w:val="000000"/>
          <w:sz w:val="18"/>
          <w:szCs w:val="18"/>
          <w:lang w:val="es-ES"/>
        </w:rPr>
        <w:tab/>
        <w:t>66001-31-05-002-2018-00001-01</w:t>
      </w:r>
      <w:r w:rsidRPr="004F44A4">
        <w:rPr>
          <w:rFonts w:ascii="Arial" w:hAnsi="Arial" w:cs="Arial"/>
          <w:color w:val="000000"/>
          <w:sz w:val="18"/>
          <w:szCs w:val="18"/>
          <w:lang w:val="es-ES"/>
        </w:rPr>
        <w:br/>
        <w:t xml:space="preserve">Proceso: </w:t>
      </w:r>
      <w:r w:rsidRPr="004F44A4">
        <w:rPr>
          <w:rFonts w:ascii="Arial" w:hAnsi="Arial" w:cs="Arial"/>
          <w:color w:val="000000"/>
          <w:sz w:val="18"/>
          <w:szCs w:val="18"/>
          <w:lang w:val="es-ES"/>
        </w:rPr>
        <w:tab/>
      </w:r>
      <w:r w:rsidRPr="004F44A4">
        <w:rPr>
          <w:rFonts w:ascii="Arial" w:hAnsi="Arial" w:cs="Arial"/>
          <w:color w:val="000000"/>
          <w:sz w:val="18"/>
          <w:szCs w:val="18"/>
          <w:lang w:val="es-ES"/>
        </w:rPr>
        <w:tab/>
      </w:r>
      <w:r w:rsidRPr="004F44A4">
        <w:rPr>
          <w:rFonts w:ascii="Arial" w:hAnsi="Arial" w:cs="Arial"/>
          <w:color w:val="000000"/>
          <w:sz w:val="18"/>
          <w:szCs w:val="18"/>
          <w:lang w:val="es-ES"/>
        </w:rPr>
        <w:tab/>
        <w:t>Ordinario laboral</w:t>
      </w:r>
    </w:p>
    <w:p w:rsidR="004F44A4" w:rsidRPr="004F44A4" w:rsidRDefault="004F44A4" w:rsidP="004F44A4">
      <w:pPr>
        <w:widowControl w:val="0"/>
        <w:autoSpaceDE w:val="0"/>
        <w:autoSpaceDN w:val="0"/>
        <w:adjustRightInd w:val="0"/>
        <w:jc w:val="both"/>
        <w:rPr>
          <w:rFonts w:ascii="Arial" w:hAnsi="Arial" w:cs="Arial"/>
          <w:color w:val="000000"/>
          <w:sz w:val="18"/>
          <w:szCs w:val="18"/>
          <w:lang w:val="es-ES"/>
        </w:rPr>
      </w:pPr>
      <w:r w:rsidRPr="004F44A4">
        <w:rPr>
          <w:rFonts w:ascii="Arial" w:hAnsi="Arial" w:cs="Arial"/>
          <w:color w:val="000000"/>
          <w:sz w:val="18"/>
          <w:szCs w:val="18"/>
          <w:lang w:val="es-ES"/>
        </w:rPr>
        <w:t xml:space="preserve">Demandante: </w:t>
      </w:r>
      <w:r w:rsidRPr="004F44A4">
        <w:rPr>
          <w:rFonts w:ascii="Arial" w:hAnsi="Arial" w:cs="Arial"/>
          <w:color w:val="000000"/>
          <w:sz w:val="18"/>
          <w:szCs w:val="18"/>
          <w:lang w:val="es-ES"/>
        </w:rPr>
        <w:tab/>
      </w:r>
      <w:r w:rsidRPr="004F44A4">
        <w:rPr>
          <w:rFonts w:ascii="Arial" w:hAnsi="Arial" w:cs="Arial"/>
          <w:color w:val="000000"/>
          <w:sz w:val="18"/>
          <w:szCs w:val="18"/>
          <w:lang w:val="es-ES"/>
        </w:rPr>
        <w:tab/>
      </w:r>
      <w:r w:rsidRPr="004F44A4">
        <w:rPr>
          <w:rFonts w:ascii="Arial" w:hAnsi="Arial" w:cs="Arial"/>
          <w:color w:val="000000"/>
          <w:sz w:val="18"/>
          <w:szCs w:val="18"/>
          <w:lang w:val="es-ES"/>
        </w:rPr>
        <w:tab/>
      </w:r>
      <w:r w:rsidRPr="00C04BDC">
        <w:rPr>
          <w:rFonts w:ascii="Arial" w:hAnsi="Arial" w:cs="Arial"/>
          <w:color w:val="000000"/>
          <w:sz w:val="18"/>
          <w:szCs w:val="18"/>
          <w:lang w:val="es-ES"/>
        </w:rPr>
        <w:t xml:space="preserve">Pedro </w:t>
      </w:r>
      <w:r w:rsidRPr="004F44A4">
        <w:rPr>
          <w:rFonts w:ascii="Arial" w:hAnsi="Arial" w:cs="Arial"/>
          <w:color w:val="000000"/>
          <w:sz w:val="18"/>
          <w:szCs w:val="18"/>
          <w:lang w:val="es-ES"/>
        </w:rPr>
        <w:t xml:space="preserve">José </w:t>
      </w:r>
      <w:r w:rsidRPr="00C04BDC">
        <w:rPr>
          <w:rFonts w:ascii="Arial" w:hAnsi="Arial" w:cs="Arial"/>
          <w:color w:val="000000"/>
          <w:sz w:val="18"/>
          <w:szCs w:val="18"/>
          <w:lang w:val="es-ES"/>
        </w:rPr>
        <w:t>Giraldo Salazar</w:t>
      </w:r>
    </w:p>
    <w:p w:rsidR="004F44A4" w:rsidRPr="004F44A4" w:rsidRDefault="004F44A4" w:rsidP="004F44A4">
      <w:pPr>
        <w:widowControl w:val="0"/>
        <w:autoSpaceDE w:val="0"/>
        <w:autoSpaceDN w:val="0"/>
        <w:adjustRightInd w:val="0"/>
        <w:jc w:val="both"/>
        <w:rPr>
          <w:rFonts w:ascii="Arial" w:hAnsi="Arial" w:cs="Arial"/>
          <w:color w:val="000000"/>
          <w:sz w:val="18"/>
          <w:szCs w:val="18"/>
          <w:lang w:val="es-ES"/>
        </w:rPr>
      </w:pPr>
      <w:r w:rsidRPr="004F44A4">
        <w:rPr>
          <w:rFonts w:ascii="Arial" w:hAnsi="Arial" w:cs="Arial"/>
          <w:color w:val="000000"/>
          <w:sz w:val="18"/>
          <w:szCs w:val="18"/>
          <w:lang w:val="es-ES"/>
        </w:rPr>
        <w:t>Demandado:</w:t>
      </w:r>
      <w:r w:rsidRPr="004F44A4">
        <w:rPr>
          <w:rFonts w:ascii="Arial" w:hAnsi="Arial" w:cs="Arial"/>
          <w:color w:val="000000"/>
          <w:sz w:val="18"/>
          <w:szCs w:val="18"/>
          <w:lang w:val="es-ES"/>
        </w:rPr>
        <w:tab/>
      </w:r>
      <w:r w:rsidRPr="004F44A4">
        <w:rPr>
          <w:rFonts w:ascii="Arial" w:hAnsi="Arial" w:cs="Arial"/>
          <w:color w:val="000000"/>
          <w:sz w:val="18"/>
          <w:szCs w:val="18"/>
          <w:lang w:val="es-ES"/>
        </w:rPr>
        <w:tab/>
      </w:r>
      <w:r w:rsidRPr="004F44A4">
        <w:rPr>
          <w:rFonts w:ascii="Arial" w:hAnsi="Arial" w:cs="Arial"/>
          <w:color w:val="000000"/>
          <w:sz w:val="18"/>
          <w:szCs w:val="18"/>
          <w:lang w:val="es-ES"/>
        </w:rPr>
        <w:tab/>
        <w:t xml:space="preserve">Colpensiones </w:t>
      </w:r>
    </w:p>
    <w:p w:rsidR="004F44A4" w:rsidRPr="004F44A4" w:rsidRDefault="004F44A4" w:rsidP="004F44A4">
      <w:pPr>
        <w:widowControl w:val="0"/>
        <w:autoSpaceDE w:val="0"/>
        <w:autoSpaceDN w:val="0"/>
        <w:adjustRightInd w:val="0"/>
        <w:jc w:val="both"/>
        <w:rPr>
          <w:rFonts w:ascii="Arial" w:hAnsi="Arial" w:cs="Arial"/>
          <w:color w:val="000000"/>
          <w:sz w:val="18"/>
          <w:szCs w:val="18"/>
          <w:lang w:val="es-ES"/>
        </w:rPr>
      </w:pPr>
      <w:r w:rsidRPr="004F44A4">
        <w:rPr>
          <w:rFonts w:ascii="Arial" w:hAnsi="Arial" w:cs="Arial"/>
          <w:color w:val="000000"/>
          <w:sz w:val="18"/>
          <w:szCs w:val="18"/>
          <w:lang w:val="es-ES"/>
        </w:rPr>
        <w:t>Magistrad</w:t>
      </w:r>
      <w:r w:rsidRPr="00C04BDC">
        <w:rPr>
          <w:rFonts w:ascii="Arial" w:hAnsi="Arial" w:cs="Arial"/>
          <w:color w:val="000000"/>
          <w:sz w:val="18"/>
          <w:szCs w:val="18"/>
          <w:lang w:val="es-ES"/>
        </w:rPr>
        <w:t>o</w:t>
      </w:r>
      <w:r w:rsidRPr="004F44A4">
        <w:rPr>
          <w:rFonts w:ascii="Arial" w:hAnsi="Arial" w:cs="Arial"/>
          <w:color w:val="000000"/>
          <w:sz w:val="18"/>
          <w:szCs w:val="18"/>
          <w:lang w:val="es-ES"/>
        </w:rPr>
        <w:t xml:space="preserve"> ponente:</w:t>
      </w:r>
      <w:r w:rsidRPr="004F44A4">
        <w:rPr>
          <w:rFonts w:ascii="Arial" w:hAnsi="Arial" w:cs="Arial"/>
          <w:color w:val="000000"/>
          <w:sz w:val="18"/>
          <w:szCs w:val="18"/>
          <w:lang w:val="es-ES"/>
        </w:rPr>
        <w:tab/>
      </w:r>
      <w:r w:rsidRPr="004F44A4">
        <w:rPr>
          <w:rFonts w:ascii="Arial" w:hAnsi="Arial" w:cs="Arial"/>
          <w:color w:val="000000"/>
          <w:sz w:val="18"/>
          <w:szCs w:val="18"/>
          <w:lang w:val="es-ES"/>
        </w:rPr>
        <w:tab/>
        <w:t xml:space="preserve">Dr. </w:t>
      </w:r>
      <w:r w:rsidRPr="00C04BDC">
        <w:rPr>
          <w:rFonts w:ascii="Arial" w:hAnsi="Arial" w:cs="Arial"/>
          <w:color w:val="000000"/>
          <w:sz w:val="18"/>
          <w:szCs w:val="18"/>
          <w:lang w:val="es-ES"/>
        </w:rPr>
        <w:t>Francisco Javier Tamayo Tabares</w:t>
      </w:r>
    </w:p>
    <w:p w:rsidR="004F44A4" w:rsidRPr="004F44A4" w:rsidRDefault="004F44A4" w:rsidP="004F44A4">
      <w:pPr>
        <w:widowControl w:val="0"/>
        <w:autoSpaceDE w:val="0"/>
        <w:autoSpaceDN w:val="0"/>
        <w:adjustRightInd w:val="0"/>
        <w:jc w:val="both"/>
        <w:rPr>
          <w:rFonts w:ascii="Arial" w:hAnsi="Arial" w:cs="Arial"/>
          <w:color w:val="000000"/>
          <w:sz w:val="18"/>
          <w:szCs w:val="18"/>
          <w:lang w:val="es-ES"/>
        </w:rPr>
      </w:pPr>
      <w:r w:rsidRPr="004F44A4">
        <w:rPr>
          <w:rFonts w:ascii="Arial" w:hAnsi="Arial" w:cs="Arial"/>
          <w:color w:val="000000"/>
          <w:sz w:val="18"/>
          <w:szCs w:val="18"/>
          <w:lang w:val="es-ES"/>
        </w:rPr>
        <w:t>Magistrada que salva voto:</w:t>
      </w:r>
      <w:r w:rsidRPr="004F44A4">
        <w:rPr>
          <w:rFonts w:ascii="Arial" w:hAnsi="Arial" w:cs="Arial"/>
          <w:color w:val="000000"/>
          <w:sz w:val="18"/>
          <w:szCs w:val="18"/>
          <w:lang w:val="es-ES"/>
        </w:rPr>
        <w:tab/>
        <w:t>Dra. Ana Lucia Caicedo Calderón</w:t>
      </w:r>
    </w:p>
    <w:p w:rsidR="004F44A4" w:rsidRPr="004F44A4" w:rsidRDefault="004F44A4" w:rsidP="004F44A4">
      <w:pPr>
        <w:widowControl w:val="0"/>
        <w:autoSpaceDE w:val="0"/>
        <w:autoSpaceDN w:val="0"/>
        <w:adjustRightInd w:val="0"/>
        <w:ind w:left="2805" w:hanging="2805"/>
        <w:jc w:val="both"/>
        <w:rPr>
          <w:rFonts w:ascii="Arial" w:hAnsi="Arial" w:cs="Arial"/>
          <w:color w:val="000000"/>
          <w:sz w:val="18"/>
          <w:szCs w:val="18"/>
          <w:lang w:val="es-ES" w:eastAsia="es-MX"/>
        </w:rPr>
      </w:pPr>
    </w:p>
    <w:p w:rsidR="004F44A4" w:rsidRPr="004F44A4" w:rsidRDefault="004F44A4" w:rsidP="004F44A4">
      <w:pPr>
        <w:rPr>
          <w:rFonts w:ascii="Arial" w:hAnsi="Arial" w:cs="Arial"/>
          <w:color w:val="000000"/>
          <w:szCs w:val="24"/>
          <w:lang w:val="es-CO" w:eastAsia="es-MX"/>
        </w:rPr>
      </w:pPr>
    </w:p>
    <w:p w:rsidR="004F44A4" w:rsidRPr="004F44A4" w:rsidRDefault="004F44A4" w:rsidP="004F44A4">
      <w:pPr>
        <w:rPr>
          <w:rFonts w:ascii="Arial" w:hAnsi="Arial" w:cs="Arial"/>
          <w:color w:val="000000"/>
          <w:szCs w:val="24"/>
          <w:lang w:val="es-CO" w:eastAsia="es-MX"/>
        </w:rPr>
      </w:pPr>
    </w:p>
    <w:p w:rsidR="004F44A4" w:rsidRPr="004F44A4" w:rsidRDefault="004F44A4" w:rsidP="00C04BDC">
      <w:pPr>
        <w:keepNext/>
        <w:spacing w:line="276" w:lineRule="auto"/>
        <w:jc w:val="center"/>
        <w:outlineLvl w:val="0"/>
        <w:rPr>
          <w:rFonts w:ascii="Tahoma" w:hAnsi="Tahoma" w:cs="Tahoma"/>
          <w:b/>
          <w:bCs/>
          <w:color w:val="000000"/>
          <w:szCs w:val="24"/>
          <w:u w:val="single"/>
          <w:lang w:val="es-ES"/>
        </w:rPr>
      </w:pPr>
      <w:r w:rsidRPr="004F44A4">
        <w:rPr>
          <w:rFonts w:ascii="Tahoma" w:hAnsi="Tahoma" w:cs="Tahoma"/>
          <w:b/>
          <w:bCs/>
          <w:color w:val="000000"/>
          <w:szCs w:val="24"/>
          <w:u w:val="single"/>
          <w:lang w:val="es-ES"/>
        </w:rPr>
        <w:t>SALVAMENTO DE VOTO</w:t>
      </w:r>
    </w:p>
    <w:p w:rsidR="004F44A4" w:rsidRPr="004F44A4" w:rsidRDefault="004F44A4" w:rsidP="00C04BDC">
      <w:pPr>
        <w:spacing w:line="276" w:lineRule="auto"/>
        <w:jc w:val="both"/>
        <w:rPr>
          <w:rFonts w:ascii="Tahoma" w:hAnsi="Tahoma" w:cs="Tahoma"/>
          <w:b/>
          <w:bCs/>
          <w:color w:val="000000"/>
          <w:szCs w:val="22"/>
          <w:lang w:val="es-ES"/>
        </w:rPr>
      </w:pPr>
    </w:p>
    <w:p w:rsidR="004F44A4" w:rsidRPr="004F44A4" w:rsidRDefault="004F44A4" w:rsidP="00C04BDC">
      <w:pPr>
        <w:spacing w:line="276" w:lineRule="auto"/>
        <w:ind w:firstLine="709"/>
        <w:jc w:val="both"/>
        <w:rPr>
          <w:rFonts w:ascii="Tahoma" w:hAnsi="Tahoma" w:cs="Tahoma"/>
          <w:color w:val="000000"/>
          <w:szCs w:val="24"/>
          <w:lang w:val="es-ES"/>
        </w:rPr>
      </w:pPr>
      <w:r w:rsidRPr="004F44A4">
        <w:rPr>
          <w:rFonts w:ascii="Tahoma" w:hAnsi="Tahoma" w:cs="Tahoma"/>
          <w:color w:val="000000"/>
          <w:szCs w:val="24"/>
          <w:lang w:val="es-ES"/>
        </w:rPr>
        <w:t>Con mi acostumbrado respeto, manifiesto mi inconformidad frente a la decisión mayoritaria por las siguientes razones:</w:t>
      </w:r>
    </w:p>
    <w:p w:rsidR="004F44A4" w:rsidRPr="004F44A4" w:rsidRDefault="004F44A4" w:rsidP="00C04BDC">
      <w:pPr>
        <w:spacing w:line="276" w:lineRule="auto"/>
        <w:ind w:firstLine="709"/>
        <w:jc w:val="both"/>
        <w:rPr>
          <w:rFonts w:ascii="Tahoma" w:hAnsi="Tahoma" w:cs="Tahoma"/>
          <w:color w:val="000000"/>
          <w:szCs w:val="24"/>
          <w:lang w:val="es-ES"/>
        </w:rPr>
      </w:pPr>
    </w:p>
    <w:p w:rsidR="004F44A4" w:rsidRPr="004F44A4" w:rsidRDefault="004F44A4" w:rsidP="00C04BDC">
      <w:pPr>
        <w:spacing w:line="276" w:lineRule="auto"/>
        <w:ind w:firstLine="709"/>
        <w:jc w:val="both"/>
        <w:rPr>
          <w:rFonts w:ascii="Tahoma" w:hAnsi="Tahoma" w:cs="Tahoma"/>
          <w:color w:val="000000"/>
          <w:szCs w:val="24"/>
          <w:lang w:val="es-ES"/>
        </w:rPr>
      </w:pPr>
      <w:r w:rsidRPr="004F44A4">
        <w:rPr>
          <w:rFonts w:ascii="Tahoma" w:hAnsi="Tahoma" w:cs="Tahoma"/>
          <w:color w:val="000000"/>
          <w:szCs w:val="24"/>
          <w:lang w:val="es-ES"/>
        </w:rPr>
        <w:t>Encuentro demasiado formalista el argumento según el cual, por el hecho de que no se haya solicitado en la demanda la aplicación del Acuerdo 049 de 1990, no era posible acudir en esta instancia al principio de la condición más beneficiosa en aplicación de dicha disposición normativa, pues ello desvirtúa el prevalencia del derecho sustancial sobre el formal y desdice el aforismo de uso común en la administración de justicia que reza “Dame los hechos, yo te daré el derecho” (</w:t>
      </w:r>
      <w:r w:rsidRPr="004F44A4">
        <w:rPr>
          <w:rFonts w:ascii="Tahoma" w:hAnsi="Tahoma" w:cs="Tahoma"/>
          <w:b/>
          <w:bCs/>
          <w:i/>
          <w:iCs/>
          <w:color w:val="222222"/>
          <w:szCs w:val="24"/>
          <w:lang w:val="es-ES"/>
        </w:rPr>
        <w:t xml:space="preserve">Da </w:t>
      </w:r>
      <w:proofErr w:type="spellStart"/>
      <w:r w:rsidRPr="004F44A4">
        <w:rPr>
          <w:rFonts w:ascii="Tahoma" w:hAnsi="Tahoma" w:cs="Tahoma"/>
          <w:b/>
          <w:bCs/>
          <w:i/>
          <w:iCs/>
          <w:color w:val="222222"/>
          <w:szCs w:val="24"/>
          <w:lang w:val="es-ES"/>
        </w:rPr>
        <w:t>mihi</w:t>
      </w:r>
      <w:proofErr w:type="spellEnd"/>
      <w:r w:rsidRPr="004F44A4">
        <w:rPr>
          <w:rFonts w:ascii="Tahoma" w:hAnsi="Tahoma" w:cs="Tahoma"/>
          <w:b/>
          <w:bCs/>
          <w:i/>
          <w:iCs/>
          <w:color w:val="222222"/>
          <w:szCs w:val="24"/>
          <w:lang w:val="es-ES"/>
        </w:rPr>
        <w:t xml:space="preserve"> </w:t>
      </w:r>
      <w:proofErr w:type="spellStart"/>
      <w:r w:rsidRPr="004F44A4">
        <w:rPr>
          <w:rFonts w:ascii="Tahoma" w:hAnsi="Tahoma" w:cs="Tahoma"/>
          <w:b/>
          <w:bCs/>
          <w:i/>
          <w:iCs/>
          <w:color w:val="222222"/>
          <w:szCs w:val="24"/>
          <w:lang w:val="es-ES"/>
        </w:rPr>
        <w:t>factum</w:t>
      </w:r>
      <w:proofErr w:type="spellEnd"/>
      <w:r w:rsidRPr="004F44A4">
        <w:rPr>
          <w:rFonts w:ascii="Tahoma" w:hAnsi="Tahoma" w:cs="Tahoma"/>
          <w:b/>
          <w:bCs/>
          <w:i/>
          <w:iCs/>
          <w:color w:val="222222"/>
          <w:szCs w:val="24"/>
          <w:lang w:val="es-ES"/>
        </w:rPr>
        <w:t xml:space="preserve">, </w:t>
      </w:r>
      <w:proofErr w:type="spellStart"/>
      <w:r w:rsidRPr="004F44A4">
        <w:rPr>
          <w:rFonts w:ascii="Tahoma" w:hAnsi="Tahoma" w:cs="Tahoma"/>
          <w:b/>
          <w:bCs/>
          <w:i/>
          <w:iCs/>
          <w:color w:val="222222"/>
          <w:szCs w:val="24"/>
          <w:lang w:val="es-ES"/>
        </w:rPr>
        <w:t>dabo</w:t>
      </w:r>
      <w:proofErr w:type="spellEnd"/>
      <w:r w:rsidRPr="004F44A4">
        <w:rPr>
          <w:rFonts w:ascii="Tahoma" w:hAnsi="Tahoma" w:cs="Tahoma"/>
          <w:b/>
          <w:bCs/>
          <w:i/>
          <w:iCs/>
          <w:color w:val="222222"/>
          <w:szCs w:val="24"/>
          <w:lang w:val="es-ES"/>
        </w:rPr>
        <w:t xml:space="preserve"> tibi </w:t>
      </w:r>
      <w:proofErr w:type="spellStart"/>
      <w:r w:rsidRPr="004F44A4">
        <w:rPr>
          <w:rFonts w:ascii="Tahoma" w:hAnsi="Tahoma" w:cs="Tahoma"/>
          <w:b/>
          <w:bCs/>
          <w:i/>
          <w:iCs/>
          <w:color w:val="222222"/>
          <w:szCs w:val="24"/>
          <w:lang w:val="es-ES"/>
        </w:rPr>
        <w:t>ius</w:t>
      </w:r>
      <w:proofErr w:type="spellEnd"/>
      <w:r w:rsidRPr="004F44A4">
        <w:rPr>
          <w:rFonts w:ascii="Tahoma" w:hAnsi="Tahoma" w:cs="Tahoma"/>
          <w:b/>
          <w:bCs/>
          <w:i/>
          <w:iCs/>
          <w:color w:val="222222"/>
          <w:szCs w:val="24"/>
          <w:lang w:val="es-ES"/>
        </w:rPr>
        <w:t>).</w:t>
      </w:r>
      <w:r w:rsidRPr="004F44A4">
        <w:rPr>
          <w:rFonts w:ascii="Tahoma" w:hAnsi="Tahoma" w:cs="Tahoma"/>
          <w:color w:val="222222"/>
          <w:szCs w:val="24"/>
          <w:lang w:val="es-ES"/>
        </w:rPr>
        <w:t> </w:t>
      </w:r>
    </w:p>
    <w:p w:rsidR="004F44A4" w:rsidRPr="004F44A4" w:rsidRDefault="004F44A4" w:rsidP="00C04BDC">
      <w:pPr>
        <w:spacing w:line="276" w:lineRule="auto"/>
        <w:ind w:firstLine="709"/>
        <w:jc w:val="both"/>
        <w:rPr>
          <w:rFonts w:ascii="Tahoma" w:hAnsi="Tahoma" w:cs="Tahoma"/>
          <w:color w:val="000000"/>
          <w:szCs w:val="24"/>
          <w:lang w:val="es-ES"/>
        </w:rPr>
      </w:pPr>
    </w:p>
    <w:p w:rsidR="004F44A4" w:rsidRPr="004F44A4" w:rsidRDefault="004F44A4" w:rsidP="00C04BDC">
      <w:pPr>
        <w:spacing w:line="276" w:lineRule="auto"/>
        <w:ind w:firstLine="709"/>
        <w:jc w:val="both"/>
        <w:rPr>
          <w:rFonts w:ascii="Tahoma" w:hAnsi="Tahoma" w:cs="Tahoma"/>
          <w:color w:val="000000"/>
          <w:szCs w:val="24"/>
          <w:lang w:val="es-ES"/>
        </w:rPr>
      </w:pPr>
      <w:r w:rsidRPr="004F44A4">
        <w:rPr>
          <w:rFonts w:ascii="Tahoma" w:hAnsi="Tahoma" w:cs="Tahoma"/>
          <w:color w:val="000000"/>
          <w:szCs w:val="24"/>
          <w:lang w:val="es-ES"/>
        </w:rPr>
        <w:t>Por otra parte, respecto a la aplicación del principio de la condición más beneficiosa cuando se persigue el reconocimiento de una pensión de invalidez, las mayorías de la Sala de Decisión No. 4 de esta Corporación, en sentencia proferida el pasado 5 de septiembre, dentro del proceso radicado con el No. 2017-00172, M.P. Francisco Javier Tamayo Tabares, sostuvieron lo siguiente:</w:t>
      </w:r>
    </w:p>
    <w:p w:rsidR="004F44A4" w:rsidRPr="004F44A4" w:rsidRDefault="004F44A4" w:rsidP="00C04BDC">
      <w:pPr>
        <w:spacing w:line="276" w:lineRule="auto"/>
        <w:ind w:firstLine="708"/>
        <w:jc w:val="both"/>
        <w:rPr>
          <w:rFonts w:ascii="Tahoma" w:hAnsi="Tahoma" w:cs="Tahoma"/>
          <w:color w:val="000000"/>
          <w:szCs w:val="24"/>
          <w:lang w:val="es-ES"/>
        </w:rPr>
      </w:pPr>
    </w:p>
    <w:p w:rsidR="004F44A4" w:rsidRPr="004F44A4" w:rsidRDefault="004F44A4" w:rsidP="000C32AB">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 xml:space="preserve">“Los dos primeros enfoques al tema que se controvierte, atañen con las precisiones plasmadas en la sentencia de Unificación 005 de 2018, proferida por la Corte Constitucional, en torno a la </w:t>
      </w:r>
      <w:proofErr w:type="spellStart"/>
      <w:r w:rsidRPr="004F44A4">
        <w:rPr>
          <w:rFonts w:ascii="Tahoma" w:eastAsia="Calibri" w:hAnsi="Tahoma" w:cs="Tahoma"/>
          <w:i/>
          <w:color w:val="000000"/>
          <w:sz w:val="22"/>
          <w:szCs w:val="22"/>
          <w:lang w:eastAsia="en-US"/>
        </w:rPr>
        <w:t>ultractividad</w:t>
      </w:r>
      <w:proofErr w:type="spellEnd"/>
      <w:r w:rsidRPr="004F44A4">
        <w:rPr>
          <w:rFonts w:ascii="Tahoma" w:eastAsia="Calibri" w:hAnsi="Tahoma" w:cs="Tahoma"/>
          <w:i/>
          <w:color w:val="000000"/>
          <w:sz w:val="22"/>
          <w:szCs w:val="22"/>
          <w:lang w:eastAsia="en-US"/>
        </w:rPr>
        <w:t xml:space="preserve"> del Acuerdo 049 de 1990, aprobado por el Decreto 0758 de igual año, en tanto que los riesgos generados en las órbitas de la pensión de invalidez y de sobrevivientes, acaecieron en vigencias de las Leyes 860 y 797 de 2003, respectivamente: (i) en cuanto a que el principio de la condición más beneficiosa tiene su arraigo o venero en las voces finales del artículo 53 superior, a cuyo tenor: “La ley, los contratos, los acuerdos y convenios de trabajo, no pueden menoscabar la libertad, la dignidad humana ni los derechos de los trabajadores”. De este, la Corte ha derivado, interpretativamente, el principio de la condición más beneficiosa en materia laboral y de la seguridad social, una de cuyas aplicaciones prácticas más relevantes ha sido en materia pensional.</w:t>
      </w:r>
    </w:p>
    <w:p w:rsidR="004F44A4" w:rsidRPr="004F44A4" w:rsidRDefault="004F44A4" w:rsidP="000C32AB">
      <w:pPr>
        <w:ind w:left="426" w:right="418" w:firstLine="707"/>
        <w:jc w:val="both"/>
        <w:rPr>
          <w:rFonts w:ascii="Tahoma" w:eastAsia="Calibri" w:hAnsi="Tahoma" w:cs="Tahoma"/>
          <w:i/>
          <w:color w:val="000000"/>
          <w:sz w:val="22"/>
          <w:szCs w:val="22"/>
          <w:lang w:eastAsia="en-US"/>
        </w:rPr>
      </w:pPr>
    </w:p>
    <w:p w:rsidR="004F44A4" w:rsidRPr="004F44A4" w:rsidRDefault="004F44A4" w:rsidP="000C32AB">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Al efecto recuerda el trozo jurisprudencial anterior, según el cual:</w:t>
      </w:r>
    </w:p>
    <w:p w:rsidR="004F44A4" w:rsidRPr="004F44A4" w:rsidRDefault="004F44A4" w:rsidP="000C32AB">
      <w:pPr>
        <w:ind w:left="426" w:right="418" w:firstLine="707"/>
        <w:jc w:val="both"/>
        <w:rPr>
          <w:rFonts w:ascii="Tahoma" w:eastAsia="Calibri" w:hAnsi="Tahoma" w:cs="Tahoma"/>
          <w:i/>
          <w:color w:val="000000"/>
          <w:sz w:val="22"/>
          <w:szCs w:val="22"/>
          <w:lang w:eastAsia="en-US"/>
        </w:rPr>
      </w:pPr>
    </w:p>
    <w:p w:rsidR="004F44A4" w:rsidRPr="004F44A4" w:rsidRDefault="004F44A4" w:rsidP="000C32AB">
      <w:pPr>
        <w:ind w:left="851" w:right="701"/>
        <w:jc w:val="both"/>
        <w:rPr>
          <w:rFonts w:ascii="Tahoma" w:hAnsi="Tahoma" w:cs="Tahoma"/>
          <w:color w:val="000000"/>
          <w:sz w:val="22"/>
          <w:szCs w:val="22"/>
          <w:lang w:val="es-ES"/>
        </w:rPr>
      </w:pPr>
      <w:r w:rsidRPr="004F44A4">
        <w:rPr>
          <w:rFonts w:ascii="Tahoma" w:hAnsi="Tahoma" w:cs="Tahoma"/>
          <w:color w:val="000000"/>
          <w:sz w:val="22"/>
          <w:szCs w:val="22"/>
          <w:lang w:val="es-ES"/>
        </w:rPr>
        <w:t>“[...]</w:t>
      </w:r>
      <w:r w:rsidRPr="004F44A4">
        <w:rPr>
          <w:rFonts w:ascii="Tahoma" w:hAnsi="Tahoma" w:cs="Tahoma"/>
          <w:i/>
          <w:color w:val="000000"/>
          <w:sz w:val="22"/>
          <w:szCs w:val="22"/>
          <w:lang w:val="es-ES"/>
        </w:rPr>
        <w:t xml:space="preserve"> la ‘condición más beneficiosa’ para el trabajador, se encuentra plenamente garantizada mediante la aplicación del principio de favorabilidad que se consagra en materia laboral, no solo a nivel constitucional sino también legal, y a quien corresponde determinar en cada caso concreto cuál norma es más ventajosa o benéfica para el trabajador es a quien ha de aplicarla o interpretarla”</w:t>
      </w:r>
      <w:r w:rsidR="00F20C50">
        <w:rPr>
          <w:rFonts w:ascii="Tahoma" w:hAnsi="Tahoma" w:cs="Tahoma"/>
          <w:i/>
          <w:color w:val="000000"/>
          <w:sz w:val="22"/>
          <w:szCs w:val="22"/>
          <w:lang w:val="es-ES"/>
        </w:rPr>
        <w:t xml:space="preserve"> </w:t>
      </w:r>
      <w:r w:rsidRPr="004F44A4">
        <w:rPr>
          <w:rFonts w:ascii="Tahoma" w:hAnsi="Tahoma" w:cs="Tahoma"/>
          <w:i/>
          <w:color w:val="000000"/>
          <w:sz w:val="22"/>
          <w:szCs w:val="22"/>
          <w:lang w:val="es-ES"/>
        </w:rPr>
        <w:t>(Sentencia C-168 de 1995)</w:t>
      </w:r>
      <w:r w:rsidRPr="004F44A4">
        <w:rPr>
          <w:rFonts w:ascii="Tahoma" w:hAnsi="Tahoma" w:cs="Tahoma"/>
          <w:color w:val="000000"/>
          <w:sz w:val="22"/>
          <w:szCs w:val="22"/>
          <w:lang w:val="es-ES"/>
        </w:rPr>
        <w:t>.</w:t>
      </w:r>
    </w:p>
    <w:p w:rsidR="004F44A4" w:rsidRPr="004F44A4" w:rsidRDefault="004F44A4" w:rsidP="00C04BDC">
      <w:pPr>
        <w:spacing w:line="276" w:lineRule="auto"/>
        <w:ind w:left="709" w:right="618"/>
        <w:rPr>
          <w:rFonts w:ascii="Tahoma" w:eastAsia="Calibri" w:hAnsi="Tahoma" w:cs="Tahoma"/>
          <w:color w:val="000000"/>
          <w:sz w:val="22"/>
          <w:szCs w:val="22"/>
          <w:lang w:eastAsia="en-US"/>
        </w:rPr>
      </w:pPr>
    </w:p>
    <w:p w:rsidR="004F44A4" w:rsidRPr="004F44A4" w:rsidRDefault="004F44A4" w:rsidP="000C32AB">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 xml:space="preserve">(ii) Advirtió que su Sala Plena no cambia su jurisprudencia acerca de la aplicación </w:t>
      </w:r>
      <w:proofErr w:type="spellStart"/>
      <w:r w:rsidRPr="004F44A4">
        <w:rPr>
          <w:rFonts w:ascii="Tahoma" w:eastAsia="Calibri" w:hAnsi="Tahoma" w:cs="Tahoma"/>
          <w:i/>
          <w:color w:val="000000"/>
          <w:sz w:val="22"/>
          <w:szCs w:val="22"/>
          <w:lang w:eastAsia="en-US"/>
        </w:rPr>
        <w:t>ultractiva</w:t>
      </w:r>
      <w:proofErr w:type="spellEnd"/>
      <w:r w:rsidRPr="004F44A4">
        <w:rPr>
          <w:rFonts w:ascii="Tahoma" w:eastAsia="Calibri" w:hAnsi="Tahoma" w:cs="Tahoma"/>
          <w:i/>
          <w:color w:val="000000"/>
          <w:sz w:val="22"/>
          <w:szCs w:val="22"/>
          <w:lang w:eastAsia="en-US"/>
        </w:rPr>
        <w:t xml:space="preserve"> del Acuerdo 049 de 1990, o anteriores, en cuanto tiene que ver con la pensión de invalidez, la cual ya había tenido su propia sentencia de unificación a través de la SU-442 de 2016, y por tanto, no es posible hacerla extensiva al caso </w:t>
      </w:r>
      <w:r w:rsidRPr="004F44A4">
        <w:rPr>
          <w:rFonts w:ascii="Tahoma" w:eastAsia="Calibri" w:hAnsi="Tahoma" w:cs="Tahoma"/>
          <w:i/>
          <w:color w:val="000000"/>
          <w:sz w:val="22"/>
          <w:szCs w:val="22"/>
          <w:lang w:eastAsia="en-US"/>
        </w:rPr>
        <w:lastRenderedPageBreak/>
        <w:t>de la pensión de sobrevivientes, máxime que no realizó ninguna reflexión en cuanto a ésta última.</w:t>
      </w:r>
    </w:p>
    <w:p w:rsidR="004F44A4" w:rsidRPr="004F44A4" w:rsidRDefault="004F44A4" w:rsidP="000C32AB">
      <w:pPr>
        <w:ind w:left="426" w:right="418" w:firstLine="707"/>
        <w:jc w:val="both"/>
        <w:rPr>
          <w:rFonts w:ascii="Tahoma" w:eastAsia="Calibri" w:hAnsi="Tahoma" w:cs="Tahoma"/>
          <w:i/>
          <w:color w:val="000000"/>
          <w:sz w:val="22"/>
          <w:szCs w:val="22"/>
          <w:lang w:eastAsia="en-US"/>
        </w:rPr>
      </w:pPr>
    </w:p>
    <w:p w:rsidR="004F44A4" w:rsidRPr="004F44A4" w:rsidRDefault="004F44A4" w:rsidP="000C32AB">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De allí, entonces, que como la mayoría de la Sala ha venido acogiendo de antaño la condición más beneficiosa, en materia de pensión de invalidez, con sustento en los lineamientos de la citada sentencia SU-442 de 2016, valga reiterar, ahora, tal postura, ante un cuadro fáctico igual al estudiado en pretéritas ocasiones, puesto que sin abrigo a hesitación alguna en el plenario se observa: (i) que el actor sufragó 509.86 semanas al 1 de abril de 1994, y 431.28 semanas con posterioridad a tal calenda, (ii) su última cotización se produjo en enero de 2012, y (iii) la estructuración de su invalidez se dio el 5 de noviembre de 2014, con arreglo al dictamen de Pérdida de la Capacidad Laboral, practicado el 8 de diciembre de 2014 (fl.10).</w:t>
      </w:r>
    </w:p>
    <w:p w:rsidR="004F44A4" w:rsidRPr="004F44A4" w:rsidRDefault="004F44A4" w:rsidP="000C32AB">
      <w:pPr>
        <w:ind w:left="426" w:right="418" w:firstLine="707"/>
        <w:jc w:val="both"/>
        <w:rPr>
          <w:rFonts w:ascii="Tahoma" w:eastAsia="Calibri" w:hAnsi="Tahoma" w:cs="Tahoma"/>
          <w:i/>
          <w:color w:val="000000"/>
          <w:sz w:val="22"/>
          <w:szCs w:val="22"/>
          <w:lang w:eastAsia="en-US"/>
        </w:rPr>
      </w:pPr>
    </w:p>
    <w:p w:rsidR="004F44A4" w:rsidRPr="004F44A4" w:rsidRDefault="004F44A4" w:rsidP="000C32AB">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 xml:space="preserve">En tales circunstancias, la normativa llamada a gobernar el asunto, que en un comienzo sería la Ley 860 de 2003, habida cuenta de que el riesgo se generó al estructurarse el hecho incapacitante en 2014, no prohijaría el asunto, así como tampoco, el original artículo 39 de la Ley 100 de 1993, que la modificó, en la medida en que, por un lado el asegurado no alcanzó a colmar 50 semanas de aportes, dentro de los tres (3) años que precediera a tal estructuración; y por el otro, tampoco sufragó 26 semanas en último año, amén que su última cotización al sistema data del 31 de enero de 2012, y la estructuración de su estado invalidante no ocurrió entre el 26 de diciembre de 2003 y ese mismo día y mes del 2006. </w:t>
      </w:r>
    </w:p>
    <w:p w:rsidR="004F44A4" w:rsidRPr="004F44A4" w:rsidRDefault="004F44A4" w:rsidP="000C32AB">
      <w:pPr>
        <w:ind w:left="426" w:right="418" w:firstLine="707"/>
        <w:jc w:val="both"/>
        <w:rPr>
          <w:rFonts w:ascii="Tahoma" w:eastAsia="Calibri" w:hAnsi="Tahoma" w:cs="Tahoma"/>
          <w:i/>
          <w:color w:val="000000"/>
          <w:sz w:val="22"/>
          <w:szCs w:val="22"/>
          <w:lang w:eastAsia="en-US"/>
        </w:rPr>
      </w:pPr>
    </w:p>
    <w:p w:rsidR="004F44A4" w:rsidRPr="004F44A4" w:rsidRDefault="004F44A4" w:rsidP="000C32AB">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 xml:space="preserve">No obstante lo dicho, teniendo en cuenta que el asegurado aglutinó más de 300 semanas al 1º de abril de 1994, menester resulta, previamente, convenir por mayoría, que el principio de la condición más beneficiosa que como puente le tendería al asegurado, para que se le aplique con </w:t>
      </w:r>
      <w:proofErr w:type="spellStart"/>
      <w:r w:rsidRPr="004F44A4">
        <w:rPr>
          <w:rFonts w:ascii="Tahoma" w:eastAsia="Calibri" w:hAnsi="Tahoma" w:cs="Tahoma"/>
          <w:i/>
          <w:color w:val="000000"/>
          <w:sz w:val="22"/>
          <w:szCs w:val="22"/>
          <w:lang w:eastAsia="en-US"/>
        </w:rPr>
        <w:t>ultractividad</w:t>
      </w:r>
      <w:proofErr w:type="spellEnd"/>
      <w:r w:rsidRPr="004F44A4">
        <w:rPr>
          <w:rFonts w:ascii="Tahoma" w:eastAsia="Calibri" w:hAnsi="Tahoma" w:cs="Tahoma"/>
          <w:i/>
          <w:color w:val="000000"/>
          <w:sz w:val="22"/>
          <w:szCs w:val="22"/>
          <w:lang w:eastAsia="en-US"/>
        </w:rPr>
        <w:t xml:space="preserve"> el Acuerdo 049 de 1990, aprobado por el Decreto 0758 de igual año, no se opone a las previsiones del artículo 1º del Acto Legislativo 01 de 2005, el cual disciplina: que“[l]os requisitos y beneficios para adquirir el derecho a una pensión de invalidez o sobrevivencia serán los establecidos por las leyes del Sistema General de Pensiones”, ni el mandato dirigido el Legislador relativo a que: “[l]as leyes en materia pensional que se expidan con posterioridad a la entrada en vigencia de este acto legislativo, deberán asegurar la sostenibilidad financiera de los establecido en ellas” </w:t>
      </w:r>
    </w:p>
    <w:p w:rsidR="004F44A4" w:rsidRPr="004F44A4" w:rsidRDefault="004F44A4" w:rsidP="000C32AB">
      <w:pPr>
        <w:ind w:left="426" w:right="418" w:firstLine="707"/>
        <w:jc w:val="both"/>
        <w:rPr>
          <w:rFonts w:ascii="Tahoma" w:eastAsia="Calibri" w:hAnsi="Tahoma" w:cs="Tahoma"/>
          <w:i/>
          <w:color w:val="000000"/>
          <w:sz w:val="22"/>
          <w:szCs w:val="22"/>
          <w:lang w:eastAsia="en-US"/>
        </w:rPr>
      </w:pPr>
    </w:p>
    <w:p w:rsidR="004F44A4" w:rsidRPr="004F44A4" w:rsidRDefault="004F44A4" w:rsidP="000C32AB">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 xml:space="preserve">Ambas disposiciones superiores, se sustentan, por lo tanto, en el principio de la sostenibilidad financiera del sistema pensional, mismo que haya su límite en el parágrafo del artículo 334 de la C.P., modificado por el Acto Legislativo 03 de 2011, artículo 1º, el cual reza: </w:t>
      </w:r>
    </w:p>
    <w:p w:rsidR="004F44A4" w:rsidRPr="004F44A4" w:rsidRDefault="004F44A4" w:rsidP="000C32AB">
      <w:pPr>
        <w:ind w:left="426" w:right="418" w:firstLine="707"/>
        <w:jc w:val="both"/>
        <w:rPr>
          <w:rFonts w:ascii="Tahoma" w:eastAsia="Calibri" w:hAnsi="Tahoma" w:cs="Tahoma"/>
          <w:i/>
          <w:color w:val="000000"/>
          <w:sz w:val="22"/>
          <w:szCs w:val="22"/>
          <w:lang w:eastAsia="en-US"/>
        </w:rPr>
      </w:pPr>
    </w:p>
    <w:p w:rsidR="004F44A4" w:rsidRPr="004F44A4" w:rsidRDefault="004F44A4" w:rsidP="00F20C50">
      <w:pPr>
        <w:ind w:left="851" w:right="701"/>
        <w:jc w:val="both"/>
        <w:rPr>
          <w:rFonts w:ascii="Tahoma" w:hAnsi="Tahoma" w:cs="Tahoma"/>
          <w:color w:val="000000"/>
          <w:sz w:val="22"/>
          <w:szCs w:val="22"/>
          <w:lang w:val="es-ES"/>
        </w:rPr>
      </w:pPr>
      <w:r w:rsidRPr="004F44A4">
        <w:rPr>
          <w:rFonts w:ascii="Tahoma" w:hAnsi="Tahoma" w:cs="Tahoma"/>
          <w:color w:val="000000"/>
          <w:sz w:val="22"/>
          <w:szCs w:val="22"/>
          <w:lang w:val="es-ES"/>
        </w:rPr>
        <w:t>“Parágrafo. Al interpretar el presente artículo, bajo ninguna circunstancia, autoridad alguna de naturaleza administrativa, legislativa o judicial, podrá invocar la sostenibilidad fiscal para menoscabar los derechos fundamentales, restringir su alcance o negar su protección efectiva”.</w:t>
      </w:r>
    </w:p>
    <w:p w:rsidR="004F44A4" w:rsidRPr="004F44A4" w:rsidRDefault="004F44A4" w:rsidP="000C32AB">
      <w:pPr>
        <w:ind w:left="426" w:right="418" w:firstLine="707"/>
        <w:jc w:val="both"/>
        <w:rPr>
          <w:rFonts w:ascii="Tahoma" w:eastAsia="Calibri" w:hAnsi="Tahoma" w:cs="Tahoma"/>
          <w:i/>
          <w:color w:val="000000"/>
          <w:sz w:val="22"/>
          <w:szCs w:val="22"/>
          <w:lang w:eastAsia="en-US"/>
        </w:rPr>
      </w:pPr>
    </w:p>
    <w:p w:rsidR="004F44A4" w:rsidRPr="004F44A4" w:rsidRDefault="004F44A4" w:rsidP="000C32AB">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 xml:space="preserve">Naturalmente, que el demandante dada su edad y discapacidad es un sujeto de especial protección, contra quien no se podría oponer, entonces, el principio de la sostenibilidad fiscal tal cual lo prevé el parágrafo del artículo 334, en mientes, por cuanto, por otro lado, como lo asentó la Corte Constitucional en su sentencia SU-005 de 2018: </w:t>
      </w:r>
    </w:p>
    <w:p w:rsidR="004F44A4" w:rsidRPr="004F44A4" w:rsidRDefault="004F44A4" w:rsidP="000C32AB">
      <w:pPr>
        <w:ind w:left="426" w:right="418" w:firstLine="707"/>
        <w:jc w:val="both"/>
        <w:rPr>
          <w:rFonts w:ascii="Tahoma" w:eastAsia="Calibri" w:hAnsi="Tahoma" w:cs="Tahoma"/>
          <w:i/>
          <w:color w:val="000000"/>
          <w:sz w:val="22"/>
          <w:szCs w:val="22"/>
          <w:lang w:eastAsia="en-US"/>
        </w:rPr>
      </w:pPr>
    </w:p>
    <w:p w:rsidR="004F44A4" w:rsidRPr="004F44A4" w:rsidRDefault="004F44A4" w:rsidP="00F20C50">
      <w:pPr>
        <w:ind w:left="851" w:right="701"/>
        <w:jc w:val="both"/>
        <w:rPr>
          <w:rFonts w:ascii="Tahoma" w:hAnsi="Tahoma" w:cs="Tahoma"/>
          <w:color w:val="000000"/>
          <w:sz w:val="22"/>
          <w:szCs w:val="22"/>
          <w:lang w:val="es-ES"/>
        </w:rPr>
      </w:pPr>
      <w:r w:rsidRPr="004F44A4">
        <w:rPr>
          <w:rFonts w:ascii="Tahoma" w:hAnsi="Tahoma" w:cs="Tahoma"/>
          <w:color w:val="000000"/>
          <w:sz w:val="22"/>
          <w:szCs w:val="22"/>
          <w:lang w:val="es-ES"/>
        </w:rPr>
        <w:t xml:space="preserve">“[e]n estos casos, los fines que persigue el Acto Legislativo 01 de 2005 –hacer viable el Sistema General de Seguridad Social en Pensiones, en condiciones de universalidad y de igualdad para todos los cotizantes- tienen un menor peso en comparación con la muy severa afectación de los derechos fundamentales a la seguridad social, mínimo vital y vida en condiciones dignas de las personas vulnerables. Por tanto, solo respecto de estas personas resulta proporcionado interpretar el principio de la condición más beneficiosa en el </w:t>
      </w:r>
      <w:r w:rsidRPr="004F44A4">
        <w:rPr>
          <w:rFonts w:ascii="Tahoma" w:hAnsi="Tahoma" w:cs="Tahoma"/>
          <w:color w:val="000000"/>
          <w:sz w:val="22"/>
          <w:szCs w:val="22"/>
          <w:lang w:val="es-ES"/>
        </w:rPr>
        <w:lastRenderedPageBreak/>
        <w:t xml:space="preserve">sentido de aplicar, de manera </w:t>
      </w:r>
      <w:proofErr w:type="spellStart"/>
      <w:r w:rsidRPr="004F44A4">
        <w:rPr>
          <w:rFonts w:ascii="Tahoma" w:hAnsi="Tahoma" w:cs="Tahoma"/>
          <w:color w:val="000000"/>
          <w:sz w:val="22"/>
          <w:szCs w:val="22"/>
          <w:lang w:val="es-ES"/>
        </w:rPr>
        <w:t>ultractiva</w:t>
      </w:r>
      <w:proofErr w:type="spellEnd"/>
      <w:r w:rsidRPr="004F44A4">
        <w:rPr>
          <w:rFonts w:ascii="Tahoma" w:hAnsi="Tahoma" w:cs="Tahoma"/>
          <w:color w:val="000000"/>
          <w:sz w:val="22"/>
          <w:szCs w:val="22"/>
          <w:lang w:val="es-ES"/>
        </w:rPr>
        <w:t>, las disposiciones del Acuerdo 049 de 1990 –o regímenes anteriores- en cuanto al primer requisito, semanas de cotización, para efectos de valorar el otorgamiento de dicha prestación económica, aunque el segundo requisito, la condición de la muerte del afiliado hubiese acaecido en vigencia de la Ley 797 de 2003…”</w:t>
      </w:r>
      <w:r w:rsidR="00506708">
        <w:rPr>
          <w:rFonts w:ascii="Tahoma" w:hAnsi="Tahoma" w:cs="Tahoma"/>
          <w:color w:val="000000"/>
          <w:sz w:val="22"/>
          <w:szCs w:val="22"/>
          <w:lang w:val="es-ES"/>
        </w:rPr>
        <w:t xml:space="preserve"> </w:t>
      </w:r>
      <w:r w:rsidRPr="004F44A4">
        <w:rPr>
          <w:rFonts w:ascii="Tahoma" w:hAnsi="Tahoma" w:cs="Tahoma"/>
          <w:color w:val="000000"/>
          <w:sz w:val="22"/>
          <w:szCs w:val="22"/>
          <w:lang w:val="es-ES"/>
        </w:rPr>
        <w:t>(</w:t>
      </w:r>
      <w:proofErr w:type="gramStart"/>
      <w:r w:rsidRPr="004F44A4">
        <w:rPr>
          <w:rFonts w:ascii="Tahoma" w:hAnsi="Tahoma" w:cs="Tahoma"/>
          <w:color w:val="000000"/>
          <w:sz w:val="22"/>
          <w:szCs w:val="22"/>
          <w:lang w:val="es-ES"/>
        </w:rPr>
        <w:t>apartado</w:t>
      </w:r>
      <w:proofErr w:type="gramEnd"/>
      <w:r w:rsidRPr="004F44A4">
        <w:rPr>
          <w:rFonts w:ascii="Tahoma" w:hAnsi="Tahoma" w:cs="Tahoma"/>
          <w:color w:val="000000"/>
          <w:sz w:val="22"/>
          <w:szCs w:val="22"/>
          <w:lang w:val="es-ES"/>
        </w:rPr>
        <w:t xml:space="preserve"> 300).</w:t>
      </w:r>
    </w:p>
    <w:p w:rsidR="004F44A4" w:rsidRPr="004F44A4" w:rsidRDefault="004F44A4" w:rsidP="000C32AB">
      <w:pPr>
        <w:ind w:left="426" w:right="418" w:firstLine="707"/>
        <w:jc w:val="both"/>
        <w:rPr>
          <w:rFonts w:ascii="Tahoma" w:eastAsia="Calibri" w:hAnsi="Tahoma" w:cs="Tahoma"/>
          <w:i/>
          <w:color w:val="000000"/>
          <w:sz w:val="22"/>
          <w:szCs w:val="22"/>
          <w:lang w:eastAsia="en-US"/>
        </w:rPr>
      </w:pPr>
    </w:p>
    <w:p w:rsidR="004F44A4" w:rsidRPr="004F44A4" w:rsidRDefault="004F44A4" w:rsidP="000C32AB">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 xml:space="preserve">Tal reflexión la hizo en el marco de la pensión de sobrevivientes, primero, en el entendido de que el cambio legislativo fuere abrupto, esto es, entre una legislación y la inmediatamente siguiente, y segundo, de que si no fuere abrupto el cambio, la </w:t>
      </w:r>
      <w:proofErr w:type="spellStart"/>
      <w:r w:rsidRPr="004F44A4">
        <w:rPr>
          <w:rFonts w:ascii="Tahoma" w:eastAsia="Calibri" w:hAnsi="Tahoma" w:cs="Tahoma"/>
          <w:i/>
          <w:color w:val="000000"/>
          <w:sz w:val="22"/>
          <w:szCs w:val="22"/>
          <w:lang w:eastAsia="en-US"/>
        </w:rPr>
        <w:t>ultractividad</w:t>
      </w:r>
      <w:proofErr w:type="spellEnd"/>
      <w:r w:rsidRPr="004F44A4">
        <w:rPr>
          <w:rFonts w:ascii="Tahoma" w:eastAsia="Calibri" w:hAnsi="Tahoma" w:cs="Tahoma"/>
          <w:i/>
          <w:color w:val="000000"/>
          <w:sz w:val="22"/>
          <w:szCs w:val="22"/>
          <w:lang w:eastAsia="en-US"/>
        </w:rPr>
        <w:t xml:space="preserve"> del acuerdo 049 o decreto 0758, o norma anterior, sólo era posible si se trata de una persona vulnerable que responda, afirmativamente, a cada una de las cinco (5) condiciones del test de procedencia elaborado por la Corte Constitucional. </w:t>
      </w:r>
    </w:p>
    <w:p w:rsidR="004F44A4" w:rsidRPr="004F44A4" w:rsidRDefault="004F44A4" w:rsidP="000C32AB">
      <w:pPr>
        <w:ind w:left="426" w:right="418" w:firstLine="707"/>
        <w:jc w:val="both"/>
        <w:rPr>
          <w:rFonts w:ascii="Tahoma" w:eastAsia="Calibri" w:hAnsi="Tahoma" w:cs="Tahoma"/>
          <w:i/>
          <w:color w:val="000000"/>
          <w:sz w:val="22"/>
          <w:szCs w:val="22"/>
          <w:lang w:eastAsia="en-US"/>
        </w:rPr>
      </w:pPr>
    </w:p>
    <w:p w:rsidR="004F44A4" w:rsidRPr="004F44A4" w:rsidRDefault="004F44A4" w:rsidP="000C32AB">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Siendo, en cambio, evidente la vulnerabilidad de la persona que se encuentra en estado de discapacidad, cual se trata del reclamante de la pensión de invalidez, las limitaciones que se acaban de referir, no se aplican a éste, puesto que la misma sentencia SU-005 de 2018, dejó claro que el ajuste constitucional implementado en ésta no se extiende a la pensión de invalidez, como quiera que para ésta, cobraba pleno rigor el ajuste efectuado a través de la SU-442 de 2016, que evidentemente no contempla tales limitaciones.</w:t>
      </w:r>
    </w:p>
    <w:p w:rsidR="004F44A4" w:rsidRPr="004F44A4" w:rsidRDefault="004F44A4" w:rsidP="000C32AB">
      <w:pPr>
        <w:ind w:left="426" w:right="418" w:firstLine="707"/>
        <w:jc w:val="both"/>
        <w:rPr>
          <w:rFonts w:ascii="Tahoma" w:eastAsia="Calibri" w:hAnsi="Tahoma" w:cs="Tahoma"/>
          <w:i/>
          <w:color w:val="000000"/>
          <w:sz w:val="22"/>
          <w:szCs w:val="22"/>
          <w:lang w:eastAsia="en-US"/>
        </w:rPr>
      </w:pPr>
    </w:p>
    <w:p w:rsidR="004F44A4" w:rsidRPr="004F44A4" w:rsidRDefault="004F44A4" w:rsidP="000C32AB">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 xml:space="preserve">Así las cosas, al margen, de que la estructuración haya tenido lugar en vigencia de la ley 100 de 1993 o de la Ley 860 de 2003, lo relevante es que de haberse cumplido la densidad de aportes exigida por la norma </w:t>
      </w:r>
      <w:proofErr w:type="spellStart"/>
      <w:r w:rsidRPr="004F44A4">
        <w:rPr>
          <w:rFonts w:ascii="Tahoma" w:eastAsia="Calibri" w:hAnsi="Tahoma" w:cs="Tahoma"/>
          <w:i/>
          <w:color w:val="000000"/>
          <w:sz w:val="22"/>
          <w:szCs w:val="22"/>
          <w:lang w:eastAsia="en-US"/>
        </w:rPr>
        <w:t>ultractiva</w:t>
      </w:r>
      <w:proofErr w:type="spellEnd"/>
      <w:r w:rsidRPr="004F44A4">
        <w:rPr>
          <w:rFonts w:ascii="Tahoma" w:eastAsia="Calibri" w:hAnsi="Tahoma" w:cs="Tahoma"/>
          <w:i/>
          <w:color w:val="000000"/>
          <w:sz w:val="22"/>
          <w:szCs w:val="22"/>
          <w:lang w:eastAsia="en-US"/>
        </w:rPr>
        <w:t xml:space="preserve"> (acuerdo 049), al 1 de abril de 1994, la misma resultaría superior a la exigida por las leyes citadas, esto es, 26 semanas (al momento de producirse la estructuración del estado de invalidez o del año inmediatamente anterior, dependiendo de si se encontraba cotizando o no), o 50 semanas dentro de los 3 años anteriores a la fecha del mismo suceso invalidante, por cuanto en una sana lógica, no tendría explicación que quien apenas haya efectuado aportes por 26 o 50 semanas, cual ocurre en el ámbito de aplicación de las leyes 100 y 860, respectivamente, se causaría el derecho a sus beneficiarios, en cambio, quienes por no haber colmado ese mínimo de cotizaciones, pero sí más de 150 o 300 con anterioridad a la Ley 100, quedarían por fuera de la protección legal.</w:t>
      </w:r>
    </w:p>
    <w:p w:rsidR="004F44A4" w:rsidRPr="004F44A4" w:rsidRDefault="004F44A4" w:rsidP="000C32AB">
      <w:pPr>
        <w:ind w:left="426" w:right="418" w:firstLine="707"/>
        <w:jc w:val="both"/>
        <w:rPr>
          <w:rFonts w:ascii="Tahoma" w:eastAsia="Calibri" w:hAnsi="Tahoma" w:cs="Tahoma"/>
          <w:i/>
          <w:color w:val="000000"/>
          <w:sz w:val="22"/>
          <w:szCs w:val="22"/>
          <w:lang w:eastAsia="en-US"/>
        </w:rPr>
      </w:pPr>
    </w:p>
    <w:p w:rsidR="004F44A4" w:rsidRPr="000C32AB" w:rsidRDefault="004F44A4" w:rsidP="000C32AB">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 xml:space="preserve">Sobre este particular, no obstante, el enfrentamiento de las posturas asumidas por ambas Cortes, en la definición de la condición más beneficiosa, cuando de la </w:t>
      </w:r>
      <w:proofErr w:type="spellStart"/>
      <w:r w:rsidRPr="004F44A4">
        <w:rPr>
          <w:rFonts w:ascii="Tahoma" w:eastAsia="Calibri" w:hAnsi="Tahoma" w:cs="Tahoma"/>
          <w:i/>
          <w:color w:val="000000"/>
          <w:sz w:val="22"/>
          <w:szCs w:val="22"/>
          <w:lang w:eastAsia="en-US"/>
        </w:rPr>
        <w:t>ultractividad</w:t>
      </w:r>
      <w:proofErr w:type="spellEnd"/>
      <w:r w:rsidRPr="004F44A4">
        <w:rPr>
          <w:rFonts w:ascii="Tahoma" w:eastAsia="Calibri" w:hAnsi="Tahoma" w:cs="Tahoma"/>
          <w:i/>
          <w:color w:val="000000"/>
          <w:sz w:val="22"/>
          <w:szCs w:val="22"/>
          <w:lang w:eastAsia="en-US"/>
        </w:rPr>
        <w:t xml:space="preserve"> del Acuerdo 049 de 1990, aprobado por el Decreto 0758 de hogaño, se trata, no queda al margen del resto de los servidores de la especialidad laboral, el ejercicio de su independencia judicial (art. 228 superior) al examinar situaciones análogas, o similares a las estudiadas por las altas Cortes, que fungen como superiores funcionales en el quehacer judicial, tanto en materia constitucional como ordinaria, permitiendo el acogimi</w:t>
      </w:r>
      <w:r w:rsidR="000C32AB" w:rsidRPr="000C32AB">
        <w:rPr>
          <w:rFonts w:ascii="Tahoma" w:eastAsia="Calibri" w:hAnsi="Tahoma" w:cs="Tahoma"/>
          <w:i/>
          <w:color w:val="000000"/>
          <w:sz w:val="22"/>
          <w:szCs w:val="22"/>
          <w:lang w:eastAsia="en-US"/>
        </w:rPr>
        <w:t>ento de una u otra posición.</w:t>
      </w:r>
    </w:p>
    <w:p w:rsidR="000C32AB" w:rsidRPr="004F44A4" w:rsidRDefault="000C32AB" w:rsidP="000C32AB">
      <w:pPr>
        <w:ind w:left="426" w:right="418" w:firstLine="707"/>
        <w:jc w:val="both"/>
        <w:rPr>
          <w:rFonts w:ascii="Tahoma" w:eastAsia="Calibri" w:hAnsi="Tahoma" w:cs="Tahoma"/>
          <w:i/>
          <w:color w:val="000000"/>
          <w:sz w:val="22"/>
          <w:szCs w:val="22"/>
          <w:lang w:eastAsia="en-US"/>
        </w:rPr>
      </w:pPr>
    </w:p>
    <w:p w:rsidR="004F44A4" w:rsidRPr="004F44A4" w:rsidRDefault="004F44A4" w:rsidP="000C32AB">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 xml:space="preserve">Por otro lado, con el pronunciamiento del órgano de cierre de la especialidad laboral, en orden a señalar las pautas que harían posible la aplicación de la condición más beneficiosa –sentencia </w:t>
      </w:r>
      <w:proofErr w:type="spellStart"/>
      <w:r w:rsidRPr="004F44A4">
        <w:rPr>
          <w:rFonts w:ascii="Tahoma" w:eastAsia="Calibri" w:hAnsi="Tahoma" w:cs="Tahoma"/>
          <w:i/>
          <w:color w:val="000000"/>
          <w:sz w:val="22"/>
          <w:szCs w:val="22"/>
          <w:lang w:eastAsia="en-US"/>
        </w:rPr>
        <w:t>SL</w:t>
      </w:r>
      <w:proofErr w:type="spellEnd"/>
      <w:r w:rsidRPr="004F44A4">
        <w:rPr>
          <w:rFonts w:ascii="Tahoma" w:eastAsia="Calibri" w:hAnsi="Tahoma" w:cs="Tahoma"/>
          <w:i/>
          <w:color w:val="000000"/>
          <w:sz w:val="22"/>
          <w:szCs w:val="22"/>
          <w:lang w:eastAsia="en-US"/>
        </w:rPr>
        <w:t xml:space="preserve"> 2358 de 25 de enero de 2017, ciertamente, esa alta Magistratura le puso el límite hasta el 26 de diciembre de 2006, para que con base en la estructuración de la invalidez, fijada hasta ese hito temporal, saliera avante el menado principio, más el cumplimiento de otras variantes. Limite que valga, recordar, también había indicado, en ejercicio del mismo principio, en cuanto a las 150 semanas del acuerdo 049 de 1990, aprobado por el decreto 0758 de hogaño, hasta el 31 de marzo de 2000, en sentencias, entre otras, del 4 de diciembre de 2006, radicación 28893.</w:t>
      </w:r>
    </w:p>
    <w:p w:rsidR="004F44A4" w:rsidRPr="004F44A4" w:rsidRDefault="004F44A4" w:rsidP="000C32AB">
      <w:pPr>
        <w:ind w:left="426" w:right="418" w:firstLine="707"/>
        <w:jc w:val="both"/>
        <w:rPr>
          <w:rFonts w:ascii="Tahoma" w:eastAsia="Calibri" w:hAnsi="Tahoma" w:cs="Tahoma"/>
          <w:i/>
          <w:color w:val="000000"/>
          <w:sz w:val="22"/>
          <w:szCs w:val="22"/>
          <w:lang w:eastAsia="en-US"/>
        </w:rPr>
      </w:pPr>
    </w:p>
    <w:p w:rsidR="004F44A4" w:rsidRPr="004F44A4" w:rsidRDefault="004F44A4" w:rsidP="000C32AB">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 xml:space="preserve">Sin embargo, no ha existido pronunciamiento de ese órgano de cierre de la especialidad laboral, en cuanto a la limitación temporal referente a las 300 semanas del comentado acuerdo 049, aparte de su disenso con el otro órgano de cierre en lo </w:t>
      </w:r>
      <w:r w:rsidRPr="004F44A4">
        <w:rPr>
          <w:rFonts w:ascii="Tahoma" w:eastAsia="Calibri" w:hAnsi="Tahoma" w:cs="Tahoma"/>
          <w:i/>
          <w:color w:val="000000"/>
          <w:sz w:val="22"/>
          <w:szCs w:val="22"/>
          <w:lang w:eastAsia="en-US"/>
        </w:rPr>
        <w:lastRenderedPageBreak/>
        <w:t xml:space="preserve">Constitucional, respecto de la sucesión normativa, entre la Ley 860 de 2003 y el referido cuerpo normativo de 1990. </w:t>
      </w:r>
    </w:p>
    <w:p w:rsidR="004F44A4" w:rsidRPr="004F44A4" w:rsidRDefault="004F44A4" w:rsidP="000C32AB">
      <w:pPr>
        <w:ind w:left="426" w:right="418" w:firstLine="707"/>
        <w:jc w:val="both"/>
        <w:rPr>
          <w:rFonts w:ascii="Tahoma" w:eastAsia="Calibri" w:hAnsi="Tahoma" w:cs="Tahoma"/>
          <w:i/>
          <w:color w:val="000000"/>
          <w:sz w:val="22"/>
          <w:szCs w:val="22"/>
          <w:lang w:eastAsia="en-US"/>
        </w:rPr>
      </w:pPr>
    </w:p>
    <w:p w:rsidR="004F44A4" w:rsidRPr="004F44A4" w:rsidRDefault="004F44A4" w:rsidP="000C32AB">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 xml:space="preserve">En pos de lo anterior, según se adujo precedentemente, teniendo en cuenta que al 1º de abril de 1994 el actor encumbraba un total de 509.86 semanas al sistema pensional, bien puede afirmarse que le asiste el derecho a la pensión de invalidez reclamada. En consecuencia, entonces, sale avante el recurso interpuesto. </w:t>
      </w:r>
    </w:p>
    <w:p w:rsidR="004F44A4" w:rsidRPr="004F44A4" w:rsidRDefault="004F44A4" w:rsidP="000C32AB">
      <w:pPr>
        <w:ind w:left="426" w:right="418" w:firstLine="707"/>
        <w:jc w:val="both"/>
        <w:rPr>
          <w:rFonts w:ascii="Tahoma" w:eastAsia="Calibri" w:hAnsi="Tahoma" w:cs="Tahoma"/>
          <w:i/>
          <w:color w:val="000000"/>
          <w:sz w:val="22"/>
          <w:szCs w:val="22"/>
          <w:lang w:eastAsia="en-US"/>
        </w:rPr>
      </w:pPr>
    </w:p>
    <w:p w:rsidR="004F44A4" w:rsidRPr="004F44A4" w:rsidRDefault="004F44A4" w:rsidP="000C32AB">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 xml:space="preserve">En cuanto a la fecha a partir de la cual procede el reconocimiento de dicha prestación, en un evento con ribetes similares a éste, el máximo órgano de cierre de la especialidad laboral, mediante sentencia de tutela </w:t>
      </w:r>
      <w:proofErr w:type="spellStart"/>
      <w:r w:rsidRPr="004F44A4">
        <w:rPr>
          <w:rFonts w:ascii="Tahoma" w:eastAsia="Calibri" w:hAnsi="Tahoma" w:cs="Tahoma"/>
          <w:i/>
          <w:color w:val="000000"/>
          <w:sz w:val="22"/>
          <w:szCs w:val="22"/>
          <w:lang w:eastAsia="en-US"/>
        </w:rPr>
        <w:t>STL</w:t>
      </w:r>
      <w:proofErr w:type="spellEnd"/>
      <w:r w:rsidRPr="004F44A4">
        <w:rPr>
          <w:rFonts w:ascii="Tahoma" w:eastAsia="Calibri" w:hAnsi="Tahoma" w:cs="Tahoma"/>
          <w:i/>
          <w:color w:val="000000"/>
          <w:sz w:val="22"/>
          <w:szCs w:val="22"/>
          <w:lang w:eastAsia="en-US"/>
        </w:rPr>
        <w:t xml:space="preserve"> 4333 de 2018, dispuso que la condena por retroactivo pensional sigue teniendo como venero la fecha de estructuración de la invalidez, por lo que ordenó el pago del retroactivo a partir de tal calenda y no el de la ejecutoria de la sentencia, como la antigua Sala de decisión N. 3 de esta Corporación lo venía pregonando. </w:t>
      </w:r>
    </w:p>
    <w:p w:rsidR="004F44A4" w:rsidRPr="004F44A4" w:rsidRDefault="004F44A4" w:rsidP="000C32AB">
      <w:pPr>
        <w:ind w:left="426" w:right="418" w:firstLine="707"/>
        <w:jc w:val="both"/>
        <w:rPr>
          <w:rFonts w:ascii="Tahoma" w:eastAsia="Calibri" w:hAnsi="Tahoma" w:cs="Tahoma"/>
          <w:i/>
          <w:color w:val="000000"/>
          <w:sz w:val="22"/>
          <w:szCs w:val="22"/>
          <w:lang w:eastAsia="en-US"/>
        </w:rPr>
      </w:pPr>
    </w:p>
    <w:p w:rsidR="004F44A4" w:rsidRPr="004F44A4" w:rsidRDefault="004F44A4" w:rsidP="000C32AB">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 xml:space="preserve">Al efecto, trajo a colación el precedente sentado en la sentencia SL12753-2014, en uno de cuyos trozos reza: </w:t>
      </w:r>
    </w:p>
    <w:p w:rsidR="004F44A4" w:rsidRPr="004F44A4" w:rsidRDefault="004F44A4" w:rsidP="000C32AB">
      <w:pPr>
        <w:ind w:left="426" w:right="418" w:firstLine="707"/>
        <w:jc w:val="both"/>
        <w:rPr>
          <w:rFonts w:ascii="Tahoma" w:eastAsia="Calibri" w:hAnsi="Tahoma" w:cs="Tahoma"/>
          <w:i/>
          <w:color w:val="000000"/>
          <w:sz w:val="22"/>
          <w:szCs w:val="22"/>
          <w:lang w:eastAsia="en-US"/>
        </w:rPr>
      </w:pPr>
    </w:p>
    <w:p w:rsidR="004F44A4" w:rsidRPr="004F44A4" w:rsidRDefault="004F44A4" w:rsidP="00506708">
      <w:pPr>
        <w:ind w:left="851" w:right="701"/>
        <w:jc w:val="both"/>
        <w:rPr>
          <w:rFonts w:ascii="Tahoma" w:hAnsi="Tahoma" w:cs="Tahoma"/>
          <w:color w:val="000000"/>
          <w:sz w:val="22"/>
          <w:szCs w:val="22"/>
          <w:lang w:val="es-ES"/>
        </w:rPr>
      </w:pPr>
      <w:r w:rsidRPr="004F44A4">
        <w:rPr>
          <w:rFonts w:ascii="Tahoma" w:hAnsi="Tahoma" w:cs="Tahoma"/>
          <w:color w:val="000000"/>
          <w:sz w:val="22"/>
          <w:szCs w:val="22"/>
          <w:lang w:val="es-ES"/>
        </w:rPr>
        <w:t>“Así las cosas, y a la luz del criterio trazado, resulta evidente que, si bien es cierto que, en términos legales la actora, no cumplió los requisitos exigidos por la ley bajo la cual se estructuró el estado de invalidez, y se realizó un análisis interpretativo amplio de la norma, y se aplicó la jurisprudencia pertinente al caso, también lo es que el Tribunal se apartó, sin justificación alguna, del precedente sentado por esta Corporación para estos casos especialísimos, lo que conllevó por demás a que conculcara los derechos fundamentales de la accionante quien atraviesa un grave estado de salud.</w:t>
      </w:r>
    </w:p>
    <w:p w:rsidR="004F44A4" w:rsidRPr="004F44A4" w:rsidRDefault="004F44A4" w:rsidP="00F20C50">
      <w:pPr>
        <w:ind w:left="851" w:right="701"/>
        <w:jc w:val="both"/>
        <w:rPr>
          <w:rFonts w:ascii="Tahoma" w:hAnsi="Tahoma" w:cs="Tahoma"/>
          <w:color w:val="000000"/>
          <w:sz w:val="22"/>
          <w:szCs w:val="22"/>
          <w:lang w:val="es-ES"/>
        </w:rPr>
      </w:pPr>
    </w:p>
    <w:p w:rsidR="004F44A4" w:rsidRPr="004F44A4" w:rsidRDefault="004F44A4" w:rsidP="00F20C50">
      <w:pPr>
        <w:ind w:left="851" w:right="701"/>
        <w:jc w:val="both"/>
        <w:rPr>
          <w:rFonts w:ascii="Tahoma" w:hAnsi="Tahoma" w:cs="Tahoma"/>
          <w:color w:val="000000"/>
          <w:sz w:val="22"/>
          <w:szCs w:val="22"/>
          <w:lang w:val="es-ES"/>
        </w:rPr>
      </w:pPr>
      <w:r w:rsidRPr="004F44A4">
        <w:rPr>
          <w:rFonts w:ascii="Tahoma" w:hAnsi="Tahoma" w:cs="Tahoma"/>
          <w:color w:val="000000"/>
          <w:sz w:val="22"/>
          <w:szCs w:val="22"/>
          <w:lang w:val="es-ES"/>
        </w:rPr>
        <w:t>Advierte esta Sala que la presente situación, no puede pasar inadvertida ante lo extraordinario del asunto y por ello, se concederá la tutela […].”</w:t>
      </w:r>
    </w:p>
    <w:p w:rsidR="004F44A4" w:rsidRPr="004F44A4" w:rsidRDefault="004F44A4" w:rsidP="000C32AB">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 xml:space="preserve">  </w:t>
      </w:r>
    </w:p>
    <w:p w:rsidR="004F44A4" w:rsidRPr="004F44A4" w:rsidRDefault="004F44A4" w:rsidP="000C32AB">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Y si bien con posterioridad ese alto Tribunal, por mayoría sentó un criterio diferente, sin recoger el vertido en su sentencia STL4333-2018, Radicación n°</w:t>
      </w:r>
      <w:r w:rsidR="00813B78">
        <w:rPr>
          <w:rFonts w:ascii="Tahoma" w:eastAsia="Calibri" w:hAnsi="Tahoma" w:cs="Tahoma"/>
          <w:i/>
          <w:color w:val="000000"/>
          <w:sz w:val="22"/>
          <w:szCs w:val="22"/>
          <w:lang w:eastAsia="en-US"/>
        </w:rPr>
        <w:t xml:space="preserve"> </w:t>
      </w:r>
      <w:r w:rsidRPr="004F44A4">
        <w:rPr>
          <w:rFonts w:ascii="Tahoma" w:eastAsia="Calibri" w:hAnsi="Tahoma" w:cs="Tahoma"/>
          <w:i/>
          <w:color w:val="000000"/>
          <w:sz w:val="22"/>
          <w:szCs w:val="22"/>
          <w:lang w:eastAsia="en-US"/>
        </w:rPr>
        <w:t>50468 y otra, esta Sala de decisión por mayoría de sus integrantes, mantendrá la postura que le señaló su superior en la sentencia de Tutela con el radicado acabado de referir.</w:t>
      </w:r>
    </w:p>
    <w:p w:rsidR="004F44A4" w:rsidRPr="004F44A4" w:rsidRDefault="004F44A4" w:rsidP="000C32AB">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 xml:space="preserve"> </w:t>
      </w:r>
    </w:p>
    <w:p w:rsidR="004F44A4" w:rsidRPr="004F44A4" w:rsidRDefault="004F44A4" w:rsidP="000C32AB">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En cambio, el argumento en torno a que la concesión de la prestación se hace no bajo la perspectiva legal, en tanto que el demandante no cumplió los requisitos por la ley bajo la cual se estructuró el estado de invalidez, sino gracias a una interpretación constitucional favorable, es la razón por la cual se negarán los intereses, puesto que en estos mismos eventos de condición más beneficiosa, el órgano de cierre laboral, ha indicado que se está en frente de un evento en que las actuaciones de las administradoras de pensiones, al no reconocer o pagar las prestaciones periódicas a su cargo, “encuentran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 (Sent.02 de octubre de 2013. Rad. 44.454 Cas. Laboral).</w:t>
      </w:r>
    </w:p>
    <w:p w:rsidR="004F44A4" w:rsidRPr="004F44A4" w:rsidRDefault="004F44A4" w:rsidP="000C32AB">
      <w:pPr>
        <w:ind w:left="426" w:right="418" w:firstLine="707"/>
        <w:jc w:val="both"/>
        <w:rPr>
          <w:rFonts w:ascii="Tahoma" w:eastAsia="Calibri" w:hAnsi="Tahoma" w:cs="Tahoma"/>
          <w:i/>
          <w:color w:val="000000"/>
          <w:sz w:val="22"/>
          <w:szCs w:val="22"/>
          <w:lang w:eastAsia="en-US"/>
        </w:rPr>
      </w:pPr>
    </w:p>
    <w:p w:rsidR="004F44A4" w:rsidRPr="004F44A4" w:rsidRDefault="004F44A4" w:rsidP="000C32AB">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Así las cosas, se hará a partir de la fecha de estructuración de la invalidez, es decir, a partir del 5 de noviembre de 2014, equivalente la mesada, al valor del salario mínimo legal mensual, vigente para cada anualidad, por haber cotizado el demandante en toda su vida laboral sobre esa base salarial, y por trece mesadas, por haberse causado el derecho con posterioridad al 31 de julio de 2011, en los términos del Acto Legislativo 01 de 2005.”</w:t>
      </w:r>
    </w:p>
    <w:p w:rsidR="004F44A4" w:rsidRPr="004F44A4" w:rsidRDefault="004F44A4" w:rsidP="00F20C50">
      <w:pPr>
        <w:spacing w:line="276" w:lineRule="auto"/>
        <w:ind w:firstLine="709"/>
        <w:jc w:val="both"/>
        <w:rPr>
          <w:rFonts w:ascii="Tahoma" w:hAnsi="Tahoma" w:cs="Tahoma"/>
          <w:spacing w:val="-2"/>
          <w:szCs w:val="22"/>
          <w:lang w:val="es-ES"/>
        </w:rPr>
      </w:pPr>
    </w:p>
    <w:p w:rsidR="004F44A4" w:rsidRPr="004F44A4" w:rsidRDefault="004F44A4" w:rsidP="00F20C50">
      <w:pPr>
        <w:spacing w:line="276" w:lineRule="auto"/>
        <w:ind w:firstLine="709"/>
        <w:jc w:val="both"/>
        <w:rPr>
          <w:rFonts w:ascii="Tahoma" w:hAnsi="Tahoma" w:cs="Tahoma"/>
          <w:spacing w:val="-2"/>
          <w:szCs w:val="22"/>
          <w:lang w:val="es-ES"/>
        </w:rPr>
      </w:pPr>
      <w:r w:rsidRPr="004F44A4">
        <w:rPr>
          <w:rFonts w:ascii="Tahoma" w:hAnsi="Tahoma" w:cs="Tahoma"/>
          <w:spacing w:val="-2"/>
          <w:szCs w:val="22"/>
          <w:lang w:val="es-ES"/>
        </w:rPr>
        <w:lastRenderedPageBreak/>
        <w:t>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rsidR="004F44A4" w:rsidRPr="004F44A4" w:rsidRDefault="004F44A4" w:rsidP="00F20C50">
      <w:pPr>
        <w:spacing w:line="276" w:lineRule="auto"/>
        <w:ind w:firstLine="709"/>
        <w:jc w:val="both"/>
        <w:rPr>
          <w:rFonts w:ascii="Tahoma" w:hAnsi="Tahoma" w:cs="Tahoma"/>
          <w:spacing w:val="-2"/>
          <w:szCs w:val="22"/>
          <w:lang w:val="es-ES"/>
        </w:rPr>
      </w:pPr>
    </w:p>
    <w:p w:rsidR="004F44A4" w:rsidRPr="004F44A4" w:rsidRDefault="004F44A4" w:rsidP="00F20C50">
      <w:pPr>
        <w:ind w:left="426" w:right="418" w:firstLine="707"/>
        <w:jc w:val="both"/>
        <w:rPr>
          <w:rFonts w:ascii="Tahoma" w:eastAsia="Calibri" w:hAnsi="Tahoma" w:cs="Tahoma"/>
          <w:i/>
          <w:color w:val="000000"/>
          <w:sz w:val="22"/>
          <w:szCs w:val="22"/>
          <w:lang w:eastAsia="en-US"/>
        </w:rPr>
      </w:pPr>
      <w:r w:rsidRPr="004F44A4">
        <w:rPr>
          <w:rFonts w:ascii="Tahoma" w:eastAsia="Calibri" w:hAnsi="Tahoma" w:cs="Tahoma"/>
          <w:i/>
          <w:color w:val="000000"/>
          <w:sz w:val="22"/>
          <w:szCs w:val="22"/>
          <w:lang w:eastAsia="en-US"/>
        </w:rPr>
        <w:t xml:space="preserve">“Por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 </w:t>
      </w:r>
    </w:p>
    <w:p w:rsidR="004F44A4" w:rsidRPr="004F44A4" w:rsidRDefault="004F44A4" w:rsidP="00C04BDC">
      <w:pPr>
        <w:spacing w:line="276" w:lineRule="auto"/>
        <w:ind w:firstLine="709"/>
        <w:jc w:val="both"/>
        <w:rPr>
          <w:rFonts w:ascii="Tahoma" w:hAnsi="Tahoma" w:cs="Tahoma"/>
          <w:color w:val="000000"/>
          <w:spacing w:val="-2"/>
          <w:szCs w:val="22"/>
          <w:lang w:val="es-ES"/>
        </w:rPr>
      </w:pPr>
    </w:p>
    <w:p w:rsidR="004F44A4" w:rsidRPr="004F44A4" w:rsidRDefault="004F44A4" w:rsidP="00C04BDC">
      <w:pPr>
        <w:spacing w:line="276" w:lineRule="auto"/>
        <w:ind w:firstLine="709"/>
        <w:jc w:val="both"/>
        <w:rPr>
          <w:rFonts w:ascii="Tahoma" w:hAnsi="Tahoma" w:cs="Tahoma"/>
          <w:spacing w:val="-2"/>
          <w:szCs w:val="22"/>
          <w:lang w:val="es-ES"/>
        </w:rPr>
      </w:pPr>
      <w:r w:rsidRPr="004F44A4">
        <w:rPr>
          <w:rFonts w:ascii="Tahoma" w:hAnsi="Tahoma" w:cs="Tahoma"/>
          <w:spacing w:val="-2"/>
          <w:szCs w:val="22"/>
          <w:lang w:val="es-ES"/>
        </w:rPr>
        <w:t>En virtud de lo anterior, considero que debió revocarse la sentencia de primera instancia y ordenar el reconocimiento de la pensión de invalidez deprecada, al contar el actor con una pérdida de capacidad laboral superior al 50% y más de 300 semanas cotizadas con antelación a la entrada en vigencia de la Ley 100 de 1993, según da cuenta la historia laboral que milita en el infolio.</w:t>
      </w:r>
    </w:p>
    <w:p w:rsidR="004F44A4" w:rsidRPr="004F44A4" w:rsidRDefault="004F44A4" w:rsidP="00C04BDC">
      <w:pPr>
        <w:spacing w:line="276" w:lineRule="auto"/>
        <w:ind w:firstLine="709"/>
        <w:jc w:val="both"/>
        <w:rPr>
          <w:rFonts w:ascii="Tahoma" w:hAnsi="Tahoma" w:cs="Tahoma"/>
          <w:color w:val="000000"/>
          <w:szCs w:val="22"/>
          <w:lang w:val="es-ES"/>
        </w:rPr>
      </w:pPr>
    </w:p>
    <w:p w:rsidR="004F44A4" w:rsidRPr="004F44A4" w:rsidRDefault="004F44A4" w:rsidP="00C04BDC">
      <w:pPr>
        <w:spacing w:line="276" w:lineRule="auto"/>
        <w:ind w:firstLine="709"/>
        <w:jc w:val="both"/>
        <w:rPr>
          <w:rFonts w:ascii="Tahoma" w:hAnsi="Tahoma" w:cs="Tahoma"/>
          <w:color w:val="000000"/>
          <w:szCs w:val="22"/>
          <w:lang w:val="es-ES"/>
        </w:rPr>
      </w:pPr>
      <w:r w:rsidRPr="004F44A4">
        <w:rPr>
          <w:rFonts w:ascii="Tahoma" w:hAnsi="Tahoma" w:cs="Tahoma"/>
          <w:color w:val="000000"/>
          <w:szCs w:val="22"/>
          <w:lang w:val="es-ES"/>
        </w:rPr>
        <w:t>En estos términos sustento mi salvamento de voto.</w:t>
      </w:r>
    </w:p>
    <w:p w:rsidR="004F44A4" w:rsidRPr="004F44A4" w:rsidRDefault="004F44A4" w:rsidP="00C04BDC">
      <w:pPr>
        <w:spacing w:line="276" w:lineRule="auto"/>
        <w:ind w:firstLine="709"/>
        <w:jc w:val="both"/>
        <w:rPr>
          <w:rFonts w:ascii="Tahoma" w:hAnsi="Tahoma" w:cs="Tahoma"/>
          <w:color w:val="000000"/>
          <w:szCs w:val="22"/>
          <w:lang w:val="es-ES"/>
        </w:rPr>
      </w:pPr>
    </w:p>
    <w:p w:rsidR="004F44A4" w:rsidRPr="004F44A4" w:rsidRDefault="004F44A4" w:rsidP="00C04BDC">
      <w:pPr>
        <w:widowControl w:val="0"/>
        <w:autoSpaceDE w:val="0"/>
        <w:autoSpaceDN w:val="0"/>
        <w:adjustRightInd w:val="0"/>
        <w:spacing w:line="276" w:lineRule="auto"/>
        <w:ind w:firstLine="709"/>
        <w:jc w:val="both"/>
        <w:rPr>
          <w:rFonts w:ascii="Tahoma" w:hAnsi="Tahoma" w:cs="Tahoma"/>
          <w:color w:val="000000"/>
          <w:szCs w:val="22"/>
          <w:lang w:val="es-ES"/>
        </w:rPr>
      </w:pPr>
    </w:p>
    <w:p w:rsidR="004F44A4" w:rsidRPr="004F44A4" w:rsidRDefault="004F44A4" w:rsidP="00C04BDC">
      <w:pPr>
        <w:widowControl w:val="0"/>
        <w:autoSpaceDE w:val="0"/>
        <w:autoSpaceDN w:val="0"/>
        <w:adjustRightInd w:val="0"/>
        <w:spacing w:line="276" w:lineRule="auto"/>
        <w:ind w:firstLine="709"/>
        <w:jc w:val="both"/>
        <w:rPr>
          <w:rFonts w:ascii="Tahoma" w:hAnsi="Tahoma" w:cs="Tahoma"/>
          <w:color w:val="000000"/>
          <w:szCs w:val="22"/>
          <w:lang w:val="es-ES"/>
        </w:rPr>
      </w:pPr>
    </w:p>
    <w:p w:rsidR="004F44A4" w:rsidRPr="004F44A4" w:rsidRDefault="004F44A4" w:rsidP="00C04BDC">
      <w:pPr>
        <w:widowControl w:val="0"/>
        <w:autoSpaceDE w:val="0"/>
        <w:autoSpaceDN w:val="0"/>
        <w:adjustRightInd w:val="0"/>
        <w:spacing w:line="276" w:lineRule="auto"/>
        <w:ind w:firstLine="709"/>
        <w:jc w:val="both"/>
        <w:rPr>
          <w:rFonts w:ascii="Tahoma" w:hAnsi="Tahoma" w:cs="Tahoma"/>
          <w:color w:val="000000"/>
          <w:szCs w:val="22"/>
          <w:lang w:val="es-ES"/>
        </w:rPr>
      </w:pPr>
    </w:p>
    <w:p w:rsidR="004F44A4" w:rsidRPr="004F44A4" w:rsidRDefault="004F44A4" w:rsidP="00C04BDC">
      <w:pPr>
        <w:widowControl w:val="0"/>
        <w:autoSpaceDE w:val="0"/>
        <w:autoSpaceDN w:val="0"/>
        <w:adjustRightInd w:val="0"/>
        <w:spacing w:line="276" w:lineRule="auto"/>
        <w:ind w:firstLine="709"/>
        <w:jc w:val="both"/>
        <w:rPr>
          <w:rFonts w:ascii="Tahoma" w:hAnsi="Tahoma" w:cs="Tahoma"/>
          <w:color w:val="000000"/>
          <w:szCs w:val="22"/>
          <w:lang w:val="es-ES"/>
        </w:rPr>
      </w:pPr>
    </w:p>
    <w:p w:rsidR="004F44A4" w:rsidRPr="004F44A4" w:rsidRDefault="004F44A4" w:rsidP="00C04BDC">
      <w:pPr>
        <w:keepNext/>
        <w:widowControl w:val="0"/>
        <w:autoSpaceDE w:val="0"/>
        <w:autoSpaceDN w:val="0"/>
        <w:adjustRightInd w:val="0"/>
        <w:spacing w:line="276" w:lineRule="auto"/>
        <w:ind w:firstLine="709"/>
        <w:jc w:val="center"/>
        <w:outlineLvl w:val="2"/>
        <w:rPr>
          <w:rFonts w:ascii="Tahoma" w:hAnsi="Tahoma" w:cs="Tahoma"/>
          <w:b/>
          <w:color w:val="000000"/>
          <w:szCs w:val="22"/>
          <w:lang w:val="es-ES"/>
        </w:rPr>
      </w:pPr>
      <w:r w:rsidRPr="004F44A4">
        <w:rPr>
          <w:rFonts w:ascii="Tahoma" w:hAnsi="Tahoma" w:cs="Tahoma"/>
          <w:b/>
          <w:color w:val="000000"/>
          <w:szCs w:val="22"/>
          <w:lang w:val="es-ES"/>
        </w:rPr>
        <w:t>ANA LUCÍA CAICEDO CALDERÓN</w:t>
      </w:r>
    </w:p>
    <w:p w:rsidR="00C04BDC" w:rsidRPr="00F20C50" w:rsidRDefault="004F44A4" w:rsidP="00813B78">
      <w:pPr>
        <w:keepNext/>
        <w:widowControl w:val="0"/>
        <w:autoSpaceDE w:val="0"/>
        <w:autoSpaceDN w:val="0"/>
        <w:adjustRightInd w:val="0"/>
        <w:spacing w:line="276" w:lineRule="auto"/>
        <w:ind w:firstLine="709"/>
        <w:jc w:val="center"/>
        <w:outlineLvl w:val="2"/>
        <w:rPr>
          <w:rFonts w:ascii="Tahoma" w:hAnsi="Tahoma" w:cs="Tahoma"/>
          <w:color w:val="000000"/>
          <w:szCs w:val="22"/>
          <w:lang w:val="es-ES"/>
        </w:rPr>
      </w:pPr>
      <w:r w:rsidRPr="004F44A4">
        <w:rPr>
          <w:rFonts w:ascii="Tahoma" w:hAnsi="Tahoma" w:cs="Tahoma"/>
          <w:color w:val="000000"/>
          <w:szCs w:val="22"/>
          <w:lang w:val="es-ES"/>
        </w:rPr>
        <w:t>Magistrada</w:t>
      </w:r>
    </w:p>
    <w:sectPr w:rsidR="00C04BDC" w:rsidRPr="00F20C50" w:rsidSect="006E3AD9">
      <w:headerReference w:type="default" r:id="rId8"/>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AEF" w:rsidRDefault="00832AEF" w:rsidP="0054661E">
      <w:r>
        <w:separator/>
      </w:r>
    </w:p>
  </w:endnote>
  <w:endnote w:type="continuationSeparator" w:id="0">
    <w:p w:rsidR="00832AEF" w:rsidRDefault="00832AEF" w:rsidP="0054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AEF" w:rsidRDefault="00832AEF" w:rsidP="0054661E">
      <w:r>
        <w:separator/>
      </w:r>
    </w:p>
  </w:footnote>
  <w:footnote w:type="continuationSeparator" w:id="0">
    <w:p w:rsidR="00832AEF" w:rsidRDefault="00832AEF" w:rsidP="00546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1E" w:rsidRPr="006E3AD9" w:rsidRDefault="0054661E" w:rsidP="0054661E">
    <w:pPr>
      <w:jc w:val="both"/>
      <w:rPr>
        <w:rFonts w:ascii="Arial" w:hAnsi="Arial" w:cs="Arial"/>
        <w:bCs/>
        <w:sz w:val="18"/>
        <w:szCs w:val="16"/>
      </w:rPr>
    </w:pPr>
    <w:r w:rsidRPr="006E3AD9">
      <w:rPr>
        <w:rFonts w:ascii="Arial" w:hAnsi="Arial" w:cs="Arial"/>
        <w:bCs/>
        <w:sz w:val="18"/>
        <w:szCs w:val="16"/>
      </w:rPr>
      <w:t>Radicación No: 66001-31-05-</w:t>
    </w:r>
    <w:r w:rsidRPr="006E3AD9">
      <w:rPr>
        <w:rFonts w:ascii="Arial" w:hAnsi="Arial" w:cs="Arial"/>
        <w:sz w:val="28"/>
      </w:rPr>
      <w:t xml:space="preserve"> </w:t>
    </w:r>
    <w:r w:rsidRPr="006E3AD9">
      <w:rPr>
        <w:rFonts w:ascii="Arial" w:hAnsi="Arial" w:cs="Arial"/>
        <w:bCs/>
        <w:sz w:val="18"/>
        <w:szCs w:val="16"/>
      </w:rPr>
      <w:t>002-2018-0001-01</w:t>
    </w:r>
  </w:p>
  <w:p w:rsidR="0054661E" w:rsidRPr="006E3AD9" w:rsidRDefault="0054661E" w:rsidP="0054661E">
    <w:pPr>
      <w:jc w:val="both"/>
      <w:rPr>
        <w:rFonts w:ascii="Arial" w:hAnsi="Arial" w:cs="Arial"/>
        <w:sz w:val="28"/>
      </w:rPr>
    </w:pPr>
    <w:r w:rsidRPr="006E3AD9">
      <w:rPr>
        <w:rFonts w:ascii="Arial" w:hAnsi="Arial" w:cs="Arial"/>
        <w:bCs/>
        <w:sz w:val="18"/>
        <w:szCs w:val="16"/>
      </w:rPr>
      <w:t>Pedro José Giraldo Salazar vs Sociedad Administradora de Fondo de Pens</w:t>
    </w:r>
    <w:r w:rsidR="006E3AD9" w:rsidRPr="006E3AD9">
      <w:rPr>
        <w:rFonts w:ascii="Arial" w:hAnsi="Arial" w:cs="Arial"/>
        <w:bCs/>
        <w:sz w:val="18"/>
        <w:szCs w:val="16"/>
      </w:rPr>
      <w:t>iones y Cesantías Porvenir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E5F"/>
    <w:multiLevelType w:val="hybridMultilevel"/>
    <w:tmpl w:val="B55624E4"/>
    <w:lvl w:ilvl="0" w:tplc="566262F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4B65947"/>
    <w:multiLevelType w:val="hybridMultilevel"/>
    <w:tmpl w:val="328EB900"/>
    <w:lvl w:ilvl="0" w:tplc="DB62D700">
      <w:start w:val="1"/>
      <w:numFmt w:val="decimal"/>
      <w:lvlText w:val="%1."/>
      <w:lvlJc w:val="left"/>
      <w:pPr>
        <w:ind w:left="1068" w:hanging="360"/>
      </w:pPr>
      <w:rPr>
        <w:rFonts w:ascii="Arial Narrow" w:hAnsi="Arial Narrow"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764C065D"/>
    <w:multiLevelType w:val="hybridMultilevel"/>
    <w:tmpl w:val="DC3C9068"/>
    <w:lvl w:ilvl="0" w:tplc="B8669F7C">
      <w:start w:val="1"/>
      <w:numFmt w:val="decimal"/>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79033AEC"/>
    <w:multiLevelType w:val="hybridMultilevel"/>
    <w:tmpl w:val="B1DA7F88"/>
    <w:lvl w:ilvl="0" w:tplc="FCCA965C">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E9"/>
    <w:rsid w:val="00025C65"/>
    <w:rsid w:val="00025FA5"/>
    <w:rsid w:val="00072C05"/>
    <w:rsid w:val="000C32AB"/>
    <w:rsid w:val="00184695"/>
    <w:rsid w:val="001A1303"/>
    <w:rsid w:val="001B4B08"/>
    <w:rsid w:val="001D3D00"/>
    <w:rsid w:val="001D457D"/>
    <w:rsid w:val="001E76A4"/>
    <w:rsid w:val="002208A2"/>
    <w:rsid w:val="00247940"/>
    <w:rsid w:val="00254A9E"/>
    <w:rsid w:val="002C6F77"/>
    <w:rsid w:val="002D3E2A"/>
    <w:rsid w:val="002E5BAF"/>
    <w:rsid w:val="00303349"/>
    <w:rsid w:val="003056DD"/>
    <w:rsid w:val="00307C29"/>
    <w:rsid w:val="00315F11"/>
    <w:rsid w:val="00330600"/>
    <w:rsid w:val="0034493C"/>
    <w:rsid w:val="00345A1D"/>
    <w:rsid w:val="00352EE1"/>
    <w:rsid w:val="00353ABC"/>
    <w:rsid w:val="00377101"/>
    <w:rsid w:val="00393953"/>
    <w:rsid w:val="003954E9"/>
    <w:rsid w:val="003A46BD"/>
    <w:rsid w:val="003B1F84"/>
    <w:rsid w:val="003C3FA5"/>
    <w:rsid w:val="003C6A14"/>
    <w:rsid w:val="003E2BD9"/>
    <w:rsid w:val="004170F1"/>
    <w:rsid w:val="0042045D"/>
    <w:rsid w:val="00471D94"/>
    <w:rsid w:val="004772E0"/>
    <w:rsid w:val="00497A2E"/>
    <w:rsid w:val="004A763B"/>
    <w:rsid w:val="004B41EC"/>
    <w:rsid w:val="004F44A4"/>
    <w:rsid w:val="00506708"/>
    <w:rsid w:val="00510796"/>
    <w:rsid w:val="0053659C"/>
    <w:rsid w:val="0054661E"/>
    <w:rsid w:val="00553E2A"/>
    <w:rsid w:val="00570127"/>
    <w:rsid w:val="00593B8E"/>
    <w:rsid w:val="005A019C"/>
    <w:rsid w:val="005B3B73"/>
    <w:rsid w:val="00602538"/>
    <w:rsid w:val="00612DDB"/>
    <w:rsid w:val="00632CF3"/>
    <w:rsid w:val="00634AA4"/>
    <w:rsid w:val="0064466A"/>
    <w:rsid w:val="00662B33"/>
    <w:rsid w:val="00693EF9"/>
    <w:rsid w:val="006A045F"/>
    <w:rsid w:val="006A3B5A"/>
    <w:rsid w:val="006C0194"/>
    <w:rsid w:val="006E3AD9"/>
    <w:rsid w:val="0071487A"/>
    <w:rsid w:val="00763480"/>
    <w:rsid w:val="00795E61"/>
    <w:rsid w:val="007A45BA"/>
    <w:rsid w:val="007D7C28"/>
    <w:rsid w:val="00813B78"/>
    <w:rsid w:val="00832AEF"/>
    <w:rsid w:val="0083421B"/>
    <w:rsid w:val="008368BD"/>
    <w:rsid w:val="0087587F"/>
    <w:rsid w:val="0088072A"/>
    <w:rsid w:val="00891DF8"/>
    <w:rsid w:val="009624B9"/>
    <w:rsid w:val="00982114"/>
    <w:rsid w:val="009A08E2"/>
    <w:rsid w:val="009C256C"/>
    <w:rsid w:val="009C41B2"/>
    <w:rsid w:val="009D4797"/>
    <w:rsid w:val="009D7F6E"/>
    <w:rsid w:val="009F0B16"/>
    <w:rsid w:val="00A360C6"/>
    <w:rsid w:val="00A37F81"/>
    <w:rsid w:val="00A6148C"/>
    <w:rsid w:val="00A902E8"/>
    <w:rsid w:val="00AA57FF"/>
    <w:rsid w:val="00AB4621"/>
    <w:rsid w:val="00AF78E4"/>
    <w:rsid w:val="00B12779"/>
    <w:rsid w:val="00B25BD7"/>
    <w:rsid w:val="00B32BC0"/>
    <w:rsid w:val="00B657F8"/>
    <w:rsid w:val="00B879F7"/>
    <w:rsid w:val="00BE31A0"/>
    <w:rsid w:val="00BF4177"/>
    <w:rsid w:val="00C03605"/>
    <w:rsid w:val="00C04BDC"/>
    <w:rsid w:val="00C74218"/>
    <w:rsid w:val="00C90DAD"/>
    <w:rsid w:val="00C91863"/>
    <w:rsid w:val="00C95550"/>
    <w:rsid w:val="00CF4CC2"/>
    <w:rsid w:val="00D25E3A"/>
    <w:rsid w:val="00D368AB"/>
    <w:rsid w:val="00D7272D"/>
    <w:rsid w:val="00D83275"/>
    <w:rsid w:val="00D92BB1"/>
    <w:rsid w:val="00D94FC1"/>
    <w:rsid w:val="00DA03DA"/>
    <w:rsid w:val="00DE1A70"/>
    <w:rsid w:val="00E06E22"/>
    <w:rsid w:val="00E5417B"/>
    <w:rsid w:val="00E560D9"/>
    <w:rsid w:val="00E94FF7"/>
    <w:rsid w:val="00EC5303"/>
    <w:rsid w:val="00EE03E2"/>
    <w:rsid w:val="00EF7708"/>
    <w:rsid w:val="00F20C50"/>
    <w:rsid w:val="00F26D8A"/>
    <w:rsid w:val="00F42247"/>
    <w:rsid w:val="00F80945"/>
    <w:rsid w:val="00F8162F"/>
    <w:rsid w:val="00F939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2CB53-7E73-40F3-A8F7-F1E6F189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4E9"/>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31">
    <w:name w:val="Texto independiente 31"/>
    <w:basedOn w:val="Normal"/>
    <w:rsid w:val="003954E9"/>
    <w:pPr>
      <w:spacing w:line="360" w:lineRule="auto"/>
      <w:jc w:val="both"/>
    </w:pPr>
    <w:rPr>
      <w:rFonts w:ascii="Arial" w:hAnsi="Arial"/>
    </w:rPr>
  </w:style>
  <w:style w:type="paragraph" w:styleId="Prrafodelista">
    <w:name w:val="List Paragraph"/>
    <w:basedOn w:val="Normal"/>
    <w:uiPriority w:val="34"/>
    <w:qFormat/>
    <w:rsid w:val="009F0B16"/>
    <w:pPr>
      <w:ind w:left="708"/>
    </w:pPr>
  </w:style>
  <w:style w:type="paragraph" w:styleId="Sinespaciado">
    <w:name w:val="No Spacing"/>
    <w:link w:val="SinespaciadoCar"/>
    <w:uiPriority w:val="1"/>
    <w:qFormat/>
    <w:rsid w:val="009F0B16"/>
    <w:pPr>
      <w:spacing w:after="0" w:line="240" w:lineRule="auto"/>
    </w:pPr>
    <w:rPr>
      <w:lang w:val="es-ES_tradnl"/>
    </w:rPr>
  </w:style>
  <w:style w:type="paragraph" w:styleId="Encabezado">
    <w:name w:val="header"/>
    <w:basedOn w:val="Normal"/>
    <w:link w:val="EncabezadoCar"/>
    <w:uiPriority w:val="99"/>
    <w:unhideWhenUsed/>
    <w:rsid w:val="0054661E"/>
    <w:pPr>
      <w:tabs>
        <w:tab w:val="center" w:pos="4252"/>
        <w:tab w:val="right" w:pos="8504"/>
      </w:tabs>
    </w:pPr>
  </w:style>
  <w:style w:type="character" w:customStyle="1" w:styleId="EncabezadoCar">
    <w:name w:val="Encabezado Car"/>
    <w:basedOn w:val="Fuentedeprrafopredeter"/>
    <w:link w:val="Encabezado"/>
    <w:uiPriority w:val="99"/>
    <w:rsid w:val="0054661E"/>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54661E"/>
    <w:pPr>
      <w:tabs>
        <w:tab w:val="center" w:pos="4252"/>
        <w:tab w:val="right" w:pos="8504"/>
      </w:tabs>
    </w:pPr>
  </w:style>
  <w:style w:type="character" w:customStyle="1" w:styleId="PiedepginaCar">
    <w:name w:val="Pie de página Car"/>
    <w:basedOn w:val="Fuentedeprrafopredeter"/>
    <w:link w:val="Piedepgina"/>
    <w:uiPriority w:val="99"/>
    <w:rsid w:val="0054661E"/>
    <w:rPr>
      <w:rFonts w:ascii="Times New Roman" w:eastAsia="Times New Roman" w:hAnsi="Times New Roman" w:cs="Times New Roman"/>
      <w:sz w:val="24"/>
      <w:szCs w:val="20"/>
      <w:lang w:val="es-ES_tradnl" w:eastAsia="es-ES"/>
    </w:rPr>
  </w:style>
  <w:style w:type="paragraph" w:customStyle="1" w:styleId="Textodebloque1">
    <w:name w:val="Texto de bloque1"/>
    <w:basedOn w:val="Normal"/>
    <w:rsid w:val="00353ABC"/>
    <w:pPr>
      <w:tabs>
        <w:tab w:val="left" w:pos="-720"/>
      </w:tabs>
      <w:suppressAutoHyphens/>
      <w:overflowPunct w:val="0"/>
      <w:autoSpaceDE w:val="0"/>
      <w:autoSpaceDN w:val="0"/>
      <w:adjustRightInd w:val="0"/>
      <w:ind w:left="284" w:right="284"/>
      <w:jc w:val="both"/>
      <w:textAlignment w:val="baseline"/>
    </w:pPr>
    <w:rPr>
      <w:rFonts w:ascii="Arial" w:hAnsi="Arial"/>
      <w:b/>
    </w:rPr>
  </w:style>
  <w:style w:type="paragraph" w:customStyle="1" w:styleId="Textoindependiente32">
    <w:name w:val="Texto independiente 32"/>
    <w:basedOn w:val="Normal"/>
    <w:rsid w:val="001E76A4"/>
    <w:pPr>
      <w:spacing w:line="360" w:lineRule="auto"/>
      <w:jc w:val="both"/>
    </w:pPr>
    <w:rPr>
      <w:rFonts w:ascii="Arial" w:hAnsi="Arial"/>
    </w:rPr>
  </w:style>
  <w:style w:type="paragraph" w:styleId="Textonotapie">
    <w:name w:val="footnote text"/>
    <w:basedOn w:val="Normal"/>
    <w:link w:val="TextonotapieCar"/>
    <w:uiPriority w:val="99"/>
    <w:semiHidden/>
    <w:unhideWhenUsed/>
    <w:rsid w:val="0042045D"/>
    <w:rPr>
      <w:sz w:val="20"/>
    </w:rPr>
  </w:style>
  <w:style w:type="character" w:customStyle="1" w:styleId="TextonotapieCar">
    <w:name w:val="Texto nota pie Car"/>
    <w:basedOn w:val="Fuentedeprrafopredeter"/>
    <w:link w:val="Textonotapie"/>
    <w:uiPriority w:val="99"/>
    <w:semiHidden/>
    <w:rsid w:val="0042045D"/>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42045D"/>
    <w:rPr>
      <w:vertAlign w:val="superscript"/>
    </w:rPr>
  </w:style>
  <w:style w:type="character" w:customStyle="1" w:styleId="apple-converted-space">
    <w:name w:val="apple-converted-space"/>
    <w:basedOn w:val="Fuentedeprrafopredeter"/>
    <w:rsid w:val="0042045D"/>
  </w:style>
  <w:style w:type="character" w:customStyle="1" w:styleId="SinespaciadoCar">
    <w:name w:val="Sin espaciado Car"/>
    <w:link w:val="Sinespaciado"/>
    <w:uiPriority w:val="1"/>
    <w:locked/>
    <w:rsid w:val="00795E61"/>
    <w:rPr>
      <w:lang w:val="es-ES_tradnl"/>
    </w:rPr>
  </w:style>
  <w:style w:type="paragraph" w:customStyle="1" w:styleId="Prrafodelista1">
    <w:name w:val="Párrafo de lista1"/>
    <w:basedOn w:val="Normal"/>
    <w:rsid w:val="00C74218"/>
    <w:pPr>
      <w:spacing w:after="200" w:line="276" w:lineRule="auto"/>
      <w:ind w:left="720"/>
      <w:contextualSpacing/>
    </w:pPr>
    <w:rPr>
      <w:rFonts w:ascii="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2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10</Pages>
  <Words>4958</Words>
  <Characters>27271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Maria Bedoya</dc:creator>
  <cp:lastModifiedBy>Henry Lora Rodriguez</cp:lastModifiedBy>
  <cp:revision>27</cp:revision>
  <cp:lastPrinted>2019-09-04T19:27:00Z</cp:lastPrinted>
  <dcterms:created xsi:type="dcterms:W3CDTF">2019-09-05T12:57:00Z</dcterms:created>
  <dcterms:modified xsi:type="dcterms:W3CDTF">2019-12-04T20:11:00Z</dcterms:modified>
</cp:coreProperties>
</file>