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EF7D" w14:textId="77777777" w:rsidR="009E20E2" w:rsidRPr="009E20E2" w:rsidRDefault="009E20E2" w:rsidP="009E20E2">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4"/>
          <w:sz w:val="18"/>
          <w:szCs w:val="18"/>
          <w:lang w:val="es-419" w:eastAsia="fr-FR"/>
        </w:rPr>
      </w:pPr>
      <w:r w:rsidRPr="009E20E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E219880" w14:textId="77777777" w:rsidR="009E20E2" w:rsidRPr="009E20E2" w:rsidRDefault="009E20E2" w:rsidP="009E20E2">
      <w:pPr>
        <w:spacing w:line="240" w:lineRule="auto"/>
        <w:jc w:val="both"/>
        <w:rPr>
          <w:rFonts w:ascii="Arial" w:eastAsia="Times New Roman" w:hAnsi="Arial" w:cs="Arial"/>
          <w:sz w:val="20"/>
          <w:szCs w:val="20"/>
          <w:lang w:val="es-419" w:eastAsia="es-ES"/>
        </w:rPr>
      </w:pPr>
    </w:p>
    <w:p w14:paraId="6553B9A1" w14:textId="6A940ED1" w:rsidR="009E20E2" w:rsidRPr="009E20E2" w:rsidRDefault="009E20E2" w:rsidP="009E20E2">
      <w:pPr>
        <w:spacing w:line="240" w:lineRule="auto"/>
        <w:jc w:val="both"/>
        <w:rPr>
          <w:rFonts w:ascii="Arial" w:eastAsia="Times New Roman" w:hAnsi="Arial" w:cs="Arial"/>
          <w:sz w:val="20"/>
          <w:szCs w:val="20"/>
          <w:lang w:val="es-419" w:eastAsia="es-ES"/>
        </w:rPr>
      </w:pPr>
      <w:r w:rsidRPr="009E20E2">
        <w:rPr>
          <w:rFonts w:ascii="Arial" w:eastAsia="Times New Roman" w:hAnsi="Arial" w:cs="Arial"/>
          <w:sz w:val="20"/>
          <w:szCs w:val="20"/>
          <w:lang w:val="es-419" w:eastAsia="es-ES"/>
        </w:rPr>
        <w:t>Providencia:</w:t>
      </w:r>
      <w:r w:rsidRPr="009E20E2">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9E20E2">
        <w:rPr>
          <w:rFonts w:ascii="Arial" w:eastAsia="Times New Roman" w:hAnsi="Arial" w:cs="Arial"/>
          <w:sz w:val="20"/>
          <w:szCs w:val="20"/>
          <w:lang w:val="es-419" w:eastAsia="es-ES"/>
        </w:rPr>
        <w:t>Sentencia de Segunda Instancia</w:t>
      </w:r>
    </w:p>
    <w:p w14:paraId="58054F52" w14:textId="4D096967" w:rsidR="009E20E2" w:rsidRPr="009E20E2" w:rsidRDefault="009E20E2" w:rsidP="009E20E2">
      <w:pPr>
        <w:spacing w:line="240" w:lineRule="auto"/>
        <w:jc w:val="both"/>
        <w:rPr>
          <w:rFonts w:ascii="Arial" w:eastAsia="Times New Roman" w:hAnsi="Arial" w:cs="Arial"/>
          <w:sz w:val="20"/>
          <w:szCs w:val="20"/>
          <w:lang w:val="es-419" w:eastAsia="es-ES"/>
        </w:rPr>
      </w:pPr>
      <w:r w:rsidRPr="009E20E2">
        <w:rPr>
          <w:rFonts w:ascii="Arial" w:eastAsia="Times New Roman" w:hAnsi="Arial" w:cs="Arial"/>
          <w:sz w:val="20"/>
          <w:szCs w:val="20"/>
          <w:lang w:val="es-419" w:eastAsia="es-ES"/>
        </w:rPr>
        <w:t>Radicado:</w:t>
      </w:r>
      <w:r>
        <w:rPr>
          <w:rFonts w:ascii="Arial" w:eastAsia="Times New Roman" w:hAnsi="Arial" w:cs="Arial"/>
          <w:sz w:val="20"/>
          <w:szCs w:val="20"/>
          <w:lang w:val="es-419" w:eastAsia="es-ES"/>
        </w:rPr>
        <w:tab/>
      </w:r>
      <w:r w:rsidRPr="009E20E2">
        <w:rPr>
          <w:rFonts w:ascii="Arial" w:eastAsia="Times New Roman" w:hAnsi="Arial" w:cs="Arial"/>
          <w:sz w:val="20"/>
          <w:szCs w:val="20"/>
          <w:lang w:val="es-419" w:eastAsia="es-ES"/>
        </w:rPr>
        <w:tab/>
        <w:t>66001-31-05-003-2018-00369-01</w:t>
      </w:r>
    </w:p>
    <w:p w14:paraId="5EC0E3F7" w14:textId="7D1D6975" w:rsidR="009E20E2" w:rsidRPr="009E20E2" w:rsidRDefault="009E20E2" w:rsidP="009E20E2">
      <w:pPr>
        <w:spacing w:line="240" w:lineRule="auto"/>
        <w:jc w:val="both"/>
        <w:rPr>
          <w:rFonts w:ascii="Arial" w:eastAsia="Times New Roman" w:hAnsi="Arial" w:cs="Arial"/>
          <w:sz w:val="20"/>
          <w:szCs w:val="20"/>
          <w:lang w:val="es-419" w:eastAsia="es-ES"/>
        </w:rPr>
      </w:pPr>
      <w:r w:rsidRPr="009E20E2">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sidRPr="009E20E2">
        <w:rPr>
          <w:rFonts w:ascii="Arial" w:eastAsia="Times New Roman" w:hAnsi="Arial" w:cs="Arial"/>
          <w:sz w:val="20"/>
          <w:szCs w:val="20"/>
          <w:lang w:val="es-419" w:eastAsia="es-ES"/>
        </w:rPr>
        <w:tab/>
        <w:t>Ordinario Laboral</w:t>
      </w:r>
    </w:p>
    <w:p w14:paraId="28F65924" w14:textId="6C63B3EC" w:rsidR="009E20E2" w:rsidRPr="009E20E2" w:rsidRDefault="009E20E2" w:rsidP="009E20E2">
      <w:pPr>
        <w:spacing w:line="240" w:lineRule="auto"/>
        <w:jc w:val="both"/>
        <w:rPr>
          <w:rFonts w:ascii="Arial" w:eastAsia="Times New Roman" w:hAnsi="Arial" w:cs="Arial"/>
          <w:sz w:val="20"/>
          <w:szCs w:val="20"/>
          <w:lang w:val="es-419" w:eastAsia="es-ES"/>
        </w:rPr>
      </w:pPr>
      <w:r w:rsidRPr="009E20E2">
        <w:rPr>
          <w:rFonts w:ascii="Arial" w:eastAsia="Times New Roman" w:hAnsi="Arial" w:cs="Arial"/>
          <w:sz w:val="20"/>
          <w:szCs w:val="20"/>
          <w:lang w:val="es-419" w:eastAsia="es-ES"/>
        </w:rPr>
        <w:t>Demandante:</w:t>
      </w:r>
      <w:r>
        <w:rPr>
          <w:rFonts w:ascii="Arial" w:eastAsia="Times New Roman" w:hAnsi="Arial" w:cs="Arial"/>
          <w:sz w:val="20"/>
          <w:szCs w:val="20"/>
          <w:lang w:val="es-419" w:eastAsia="es-ES"/>
        </w:rPr>
        <w:tab/>
      </w:r>
      <w:r w:rsidRPr="009E20E2">
        <w:rPr>
          <w:rFonts w:ascii="Arial" w:eastAsia="Times New Roman" w:hAnsi="Arial" w:cs="Arial"/>
          <w:sz w:val="20"/>
          <w:szCs w:val="20"/>
          <w:lang w:val="es-419" w:eastAsia="es-ES"/>
        </w:rPr>
        <w:tab/>
        <w:t>Augusto Marco Aurelio Zapata</w:t>
      </w:r>
    </w:p>
    <w:p w14:paraId="0DC68ED3" w14:textId="47FA5FD7" w:rsidR="009E20E2" w:rsidRPr="009E20E2" w:rsidRDefault="009E20E2" w:rsidP="009E20E2">
      <w:pPr>
        <w:spacing w:line="240" w:lineRule="auto"/>
        <w:jc w:val="both"/>
        <w:rPr>
          <w:rFonts w:ascii="Arial" w:eastAsia="Times New Roman" w:hAnsi="Arial" w:cs="Arial"/>
          <w:sz w:val="20"/>
          <w:szCs w:val="20"/>
          <w:lang w:val="es-419" w:eastAsia="es-ES"/>
        </w:rPr>
      </w:pPr>
      <w:r w:rsidRPr="009E20E2">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9E20E2">
        <w:rPr>
          <w:rFonts w:ascii="Arial" w:eastAsia="Times New Roman" w:hAnsi="Arial" w:cs="Arial"/>
          <w:sz w:val="20"/>
          <w:szCs w:val="20"/>
          <w:lang w:val="es-419" w:eastAsia="es-ES"/>
        </w:rPr>
        <w:tab/>
        <w:t>Administradora Colombiana de Pensiones “Colpensiones”</w:t>
      </w:r>
    </w:p>
    <w:p w14:paraId="19E45DB7" w14:textId="1561F8D7" w:rsidR="009E20E2" w:rsidRPr="009E20E2" w:rsidRDefault="009E20E2" w:rsidP="009E20E2">
      <w:pPr>
        <w:spacing w:line="240" w:lineRule="auto"/>
        <w:jc w:val="both"/>
        <w:rPr>
          <w:rFonts w:ascii="Arial" w:eastAsia="Times New Roman" w:hAnsi="Arial" w:cs="Arial"/>
          <w:sz w:val="20"/>
          <w:szCs w:val="20"/>
          <w:lang w:val="es-419" w:eastAsia="es-ES"/>
        </w:rPr>
      </w:pPr>
      <w:r w:rsidRPr="009E20E2">
        <w:rPr>
          <w:rFonts w:ascii="Arial" w:eastAsia="Times New Roman" w:hAnsi="Arial" w:cs="Arial"/>
          <w:sz w:val="20"/>
          <w:szCs w:val="20"/>
          <w:lang w:val="es-419" w:eastAsia="es-ES"/>
        </w:rPr>
        <w:t>Juzgado de Origen:</w:t>
      </w:r>
      <w:r w:rsidRPr="009E20E2">
        <w:rPr>
          <w:rFonts w:ascii="Arial" w:eastAsia="Times New Roman" w:hAnsi="Arial" w:cs="Arial"/>
          <w:sz w:val="20"/>
          <w:szCs w:val="20"/>
          <w:lang w:val="es-419" w:eastAsia="es-ES"/>
        </w:rPr>
        <w:tab/>
        <w:t>Juzgado Tercero Laboral del Circuito de Pereira</w:t>
      </w:r>
    </w:p>
    <w:p w14:paraId="68EBE8A8" w14:textId="77777777" w:rsidR="009E20E2" w:rsidRPr="009E20E2" w:rsidRDefault="009E20E2" w:rsidP="009E20E2">
      <w:pPr>
        <w:spacing w:line="240" w:lineRule="auto"/>
        <w:jc w:val="both"/>
        <w:rPr>
          <w:rFonts w:ascii="Arial" w:eastAsia="Times New Roman" w:hAnsi="Arial" w:cs="Arial"/>
          <w:sz w:val="20"/>
          <w:szCs w:val="20"/>
          <w:lang w:val="es-419" w:eastAsia="es-ES"/>
        </w:rPr>
      </w:pPr>
    </w:p>
    <w:p w14:paraId="3D495132" w14:textId="41653A35" w:rsidR="009E20E2" w:rsidRPr="000E52B5" w:rsidRDefault="009E20E2" w:rsidP="009E20E2">
      <w:pPr>
        <w:spacing w:line="240" w:lineRule="auto"/>
        <w:jc w:val="both"/>
        <w:rPr>
          <w:rFonts w:ascii="Arial" w:eastAsia="Times New Roman" w:hAnsi="Arial" w:cs="Arial"/>
          <w:b/>
          <w:bCs/>
          <w:iCs/>
          <w:sz w:val="20"/>
          <w:szCs w:val="20"/>
          <w:lang w:eastAsia="fr-FR"/>
        </w:rPr>
      </w:pPr>
      <w:r w:rsidRPr="009E20E2">
        <w:rPr>
          <w:rFonts w:ascii="Arial" w:eastAsia="Times New Roman" w:hAnsi="Arial" w:cs="Arial"/>
          <w:b/>
          <w:bCs/>
          <w:iCs/>
          <w:sz w:val="20"/>
          <w:szCs w:val="20"/>
          <w:u w:val="single"/>
          <w:lang w:val="es-419" w:eastAsia="fr-FR"/>
        </w:rPr>
        <w:t>TEMAS:</w:t>
      </w:r>
      <w:r w:rsidRPr="009E20E2">
        <w:rPr>
          <w:rFonts w:ascii="Arial" w:eastAsia="Times New Roman" w:hAnsi="Arial" w:cs="Arial"/>
          <w:b/>
          <w:bCs/>
          <w:iCs/>
          <w:sz w:val="20"/>
          <w:szCs w:val="20"/>
          <w:lang w:val="es-419" w:eastAsia="fr-FR"/>
        </w:rPr>
        <w:tab/>
      </w:r>
      <w:r w:rsidR="008501FF">
        <w:rPr>
          <w:rFonts w:ascii="Arial" w:eastAsia="Times New Roman" w:hAnsi="Arial" w:cs="Arial"/>
          <w:b/>
          <w:bCs/>
          <w:iCs/>
          <w:sz w:val="20"/>
          <w:szCs w:val="20"/>
          <w:lang w:eastAsia="fr-FR"/>
        </w:rPr>
        <w:t xml:space="preserve">PENSIÓN DE VEJEZ / </w:t>
      </w:r>
      <w:r w:rsidRPr="009E20E2">
        <w:rPr>
          <w:rFonts w:ascii="Arial" w:eastAsia="Times New Roman" w:hAnsi="Arial" w:cs="Arial"/>
          <w:b/>
          <w:sz w:val="20"/>
          <w:szCs w:val="20"/>
          <w:lang w:val="es-419" w:eastAsia="es-ES"/>
        </w:rPr>
        <w:t xml:space="preserve">INDEXACIÓN DE LA PRIMERA MESADA </w:t>
      </w:r>
      <w:r w:rsidRPr="009E20E2">
        <w:rPr>
          <w:rFonts w:ascii="Arial" w:eastAsia="Times New Roman" w:hAnsi="Arial" w:cs="Arial"/>
          <w:b/>
          <w:bCs/>
          <w:iCs/>
          <w:sz w:val="20"/>
          <w:szCs w:val="20"/>
          <w:lang w:val="es-419" w:eastAsia="fr-FR"/>
        </w:rPr>
        <w:t xml:space="preserve">/ </w:t>
      </w:r>
      <w:r w:rsidR="000E52B5">
        <w:rPr>
          <w:rFonts w:ascii="Arial" w:eastAsia="Times New Roman" w:hAnsi="Arial" w:cs="Arial"/>
          <w:b/>
          <w:bCs/>
          <w:iCs/>
          <w:sz w:val="20"/>
          <w:szCs w:val="20"/>
          <w:lang w:eastAsia="fr-FR"/>
        </w:rPr>
        <w:t>PROCEDE PARA PENSIONES RECONOCIDAS TANTO ANTES COMO DESPUÉS DE LA CONSTITUCIÓN DE 1991 / EXCEPCIONES: SI LA PENSIÓN SE CONCEDIÓ AL DÍA SIGUIENTE DEL RETIRO DEL SERVICIO / Y SI LA PRESTACIÓN SE RIGE ÍNTEGRAMENTE POR EL ACUERDO 049 DE 1990.</w:t>
      </w:r>
    </w:p>
    <w:p w14:paraId="40BCAEAD" w14:textId="77777777" w:rsidR="009E20E2" w:rsidRDefault="009E20E2" w:rsidP="009E20E2">
      <w:pPr>
        <w:spacing w:line="240" w:lineRule="auto"/>
        <w:jc w:val="both"/>
        <w:rPr>
          <w:rFonts w:ascii="Arial" w:eastAsia="Times New Roman" w:hAnsi="Arial" w:cs="Arial"/>
          <w:sz w:val="20"/>
          <w:szCs w:val="20"/>
          <w:lang w:val="es-419" w:eastAsia="es-ES"/>
        </w:rPr>
      </w:pPr>
    </w:p>
    <w:p w14:paraId="67C12139" w14:textId="7B5D69C8" w:rsidR="003165FB" w:rsidRPr="003165FB" w:rsidRDefault="003165FB" w:rsidP="003165FB">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3165FB">
        <w:rPr>
          <w:rFonts w:ascii="Arial" w:eastAsia="Times New Roman" w:hAnsi="Arial" w:cs="Arial"/>
          <w:sz w:val="20"/>
          <w:szCs w:val="20"/>
          <w:lang w:val="es-419" w:eastAsia="es-ES"/>
        </w:rPr>
        <w:t>pasa la Sala a realizar el análisis sobre la viabilidad de aplicar la indexación de la primera mesada para las pensiones de vejez reconocidas por el extinto I.S.S., según el artículo 20 del Acuerdo 049 de 1990, previo a la promulgación de la Constitución de 1991, para lo cual resulta necesario hacer referencia a que dicho concepto tiene como finalidad la de «obtener un reajuste del valor de la pensión, teniendo en cuenta la devaluación monetaria causada entre el momento en el que se produce el retiro y aquél en el que comenzó a disfrutar de la prestación» .</w:t>
      </w:r>
    </w:p>
    <w:p w14:paraId="77248668" w14:textId="77777777" w:rsidR="003165FB" w:rsidRPr="003165FB" w:rsidRDefault="003165FB" w:rsidP="003165FB">
      <w:pPr>
        <w:spacing w:line="240" w:lineRule="auto"/>
        <w:jc w:val="both"/>
        <w:rPr>
          <w:rFonts w:ascii="Arial" w:eastAsia="Times New Roman" w:hAnsi="Arial" w:cs="Arial"/>
          <w:sz w:val="20"/>
          <w:szCs w:val="20"/>
          <w:lang w:val="es-419" w:eastAsia="es-ES"/>
        </w:rPr>
      </w:pPr>
    </w:p>
    <w:p w14:paraId="2B58E9FC" w14:textId="65F649FD" w:rsidR="003165FB" w:rsidRPr="003165FB" w:rsidRDefault="003165FB" w:rsidP="003165FB">
      <w:pPr>
        <w:spacing w:line="240" w:lineRule="auto"/>
        <w:jc w:val="both"/>
        <w:rPr>
          <w:rFonts w:ascii="Arial" w:eastAsia="Times New Roman" w:hAnsi="Arial" w:cs="Arial"/>
          <w:sz w:val="20"/>
          <w:szCs w:val="20"/>
          <w:lang w:eastAsia="es-ES"/>
        </w:rPr>
      </w:pPr>
      <w:r w:rsidRPr="003165FB">
        <w:rPr>
          <w:rFonts w:ascii="Arial" w:eastAsia="Times New Roman" w:hAnsi="Arial" w:cs="Arial"/>
          <w:sz w:val="20"/>
          <w:szCs w:val="20"/>
          <w:lang w:val="es-419" w:eastAsia="es-ES"/>
        </w:rPr>
        <w:t>En efecto, la Sala de Casación Laboral, a partir de la sentencia del 30 de agosto de 2011, Radicación 41852, consideró que dicho concepto resultaba viable para todas las prestaciones económicas reconocidas antes y después de la Constitución Política de 1991, porque la pérdida del poder adquisitivo de la moneda afectaba a todas por igual</w:t>
      </w:r>
      <w:r>
        <w:rPr>
          <w:rFonts w:ascii="Arial" w:eastAsia="Times New Roman" w:hAnsi="Arial" w:cs="Arial"/>
          <w:sz w:val="20"/>
          <w:szCs w:val="20"/>
          <w:lang w:eastAsia="es-ES"/>
        </w:rPr>
        <w:t>…</w:t>
      </w:r>
    </w:p>
    <w:p w14:paraId="0D153221" w14:textId="77777777" w:rsidR="003165FB" w:rsidRDefault="003165FB" w:rsidP="009E20E2">
      <w:pPr>
        <w:spacing w:line="240" w:lineRule="auto"/>
        <w:jc w:val="both"/>
        <w:rPr>
          <w:rFonts w:ascii="Arial" w:eastAsia="Times New Roman" w:hAnsi="Arial" w:cs="Arial"/>
          <w:sz w:val="20"/>
          <w:szCs w:val="20"/>
          <w:lang w:val="es-419" w:eastAsia="es-ES"/>
        </w:rPr>
      </w:pPr>
    </w:p>
    <w:p w14:paraId="0130DDB4" w14:textId="7F2EE31F" w:rsidR="003165FB" w:rsidRPr="00712CD8" w:rsidRDefault="00712CD8" w:rsidP="009E20E2">
      <w:pPr>
        <w:spacing w:line="240" w:lineRule="auto"/>
        <w:jc w:val="both"/>
        <w:rPr>
          <w:rFonts w:ascii="Arial" w:eastAsia="Times New Roman" w:hAnsi="Arial" w:cs="Arial"/>
          <w:sz w:val="20"/>
          <w:szCs w:val="20"/>
          <w:lang w:eastAsia="es-ES"/>
        </w:rPr>
      </w:pPr>
      <w:r w:rsidRPr="00712CD8">
        <w:rPr>
          <w:rFonts w:ascii="Arial" w:eastAsia="Times New Roman" w:hAnsi="Arial" w:cs="Arial"/>
          <w:sz w:val="20"/>
          <w:szCs w:val="20"/>
          <w:lang w:val="es-419" w:eastAsia="es-ES"/>
        </w:rPr>
        <w:t>De otro lado</w:t>
      </w:r>
      <w:r>
        <w:rPr>
          <w:rFonts w:ascii="Arial" w:eastAsia="Times New Roman" w:hAnsi="Arial" w:cs="Arial"/>
          <w:sz w:val="20"/>
          <w:szCs w:val="20"/>
          <w:lang w:eastAsia="es-ES"/>
        </w:rPr>
        <w:t>…</w:t>
      </w:r>
      <w:r w:rsidRPr="00712CD8">
        <w:rPr>
          <w:rFonts w:ascii="Arial" w:eastAsia="Times New Roman" w:hAnsi="Arial" w:cs="Arial"/>
          <w:sz w:val="20"/>
          <w:szCs w:val="20"/>
          <w:lang w:val="es-419" w:eastAsia="es-ES"/>
        </w:rPr>
        <w:t>, la Corte indicó que es improcedente la indexación de la primera mesada pensional (i) cuando la prestación se comienza a disfrutar al día siguiente del retiro del servicio, bajo el entendido que el ingreso base de liquidación de la pensión no ha sufrido la pérdida del poder adquisitivo y no ha transcurrido tiempo entre la terminación del vínculo y el disfrute de la prestación y, (ii) también es improcedente aplicar la indexación de los salarios base de cotización de las pensiones de vejez regidas íntegramente por el Acuerdo 049 de 1990</w:t>
      </w:r>
      <w:r>
        <w:rPr>
          <w:rFonts w:ascii="Arial" w:eastAsia="Times New Roman" w:hAnsi="Arial" w:cs="Arial"/>
          <w:sz w:val="20"/>
          <w:szCs w:val="20"/>
          <w:lang w:eastAsia="es-ES"/>
        </w:rPr>
        <w:t>…</w:t>
      </w:r>
    </w:p>
    <w:p w14:paraId="60826FA4" w14:textId="77777777" w:rsidR="00712CD8" w:rsidRDefault="00712CD8" w:rsidP="009E20E2">
      <w:pPr>
        <w:spacing w:line="240" w:lineRule="auto"/>
        <w:jc w:val="both"/>
        <w:rPr>
          <w:rFonts w:ascii="Arial" w:eastAsia="Times New Roman" w:hAnsi="Arial" w:cs="Arial"/>
          <w:sz w:val="20"/>
          <w:szCs w:val="20"/>
          <w:lang w:val="es-419" w:eastAsia="es-ES"/>
        </w:rPr>
      </w:pPr>
    </w:p>
    <w:p w14:paraId="0091DB8A" w14:textId="52A7B3F2" w:rsidR="008501FF" w:rsidRPr="008501FF" w:rsidRDefault="008501FF" w:rsidP="008501FF">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8501FF">
        <w:rPr>
          <w:rFonts w:ascii="Arial" w:eastAsia="Times New Roman" w:hAnsi="Arial" w:cs="Arial"/>
          <w:sz w:val="20"/>
          <w:szCs w:val="20"/>
          <w:lang w:val="es-419" w:eastAsia="es-ES"/>
        </w:rPr>
        <w:t>si bien es cierto que la Corte Suprema en varias decisiones ha defendido la aplicación de la indexación de la primera mesada, también lo es que, en dichas decisiones, en su mayoría, se refiere a pensiones de jubilación concedidas con fundamento en el artículo 260 del Código Sustantivo del Trabajo, a cargo del empleador. (CSJ SL2146-2017, CSJ SL4982-2017, CSJ SL14488-2017, CSJ SL2598-2018, CSJ SL466-2019 y CSJ SL2589-2019).</w:t>
      </w:r>
    </w:p>
    <w:p w14:paraId="769FFC4B" w14:textId="77777777" w:rsidR="008501FF" w:rsidRPr="008501FF" w:rsidRDefault="008501FF" w:rsidP="008501FF">
      <w:pPr>
        <w:spacing w:line="240" w:lineRule="auto"/>
        <w:jc w:val="both"/>
        <w:rPr>
          <w:rFonts w:ascii="Arial" w:eastAsia="Times New Roman" w:hAnsi="Arial" w:cs="Arial"/>
          <w:sz w:val="20"/>
          <w:szCs w:val="20"/>
          <w:lang w:val="es-419" w:eastAsia="es-ES"/>
        </w:rPr>
      </w:pPr>
    </w:p>
    <w:p w14:paraId="6F19D78D" w14:textId="729ECE2B" w:rsidR="009E20E2" w:rsidRPr="009E20E2" w:rsidRDefault="008501FF" w:rsidP="008501FF">
      <w:pPr>
        <w:spacing w:line="240" w:lineRule="auto"/>
        <w:jc w:val="both"/>
        <w:rPr>
          <w:rFonts w:ascii="Arial" w:eastAsia="Times New Roman" w:hAnsi="Arial" w:cs="Arial"/>
          <w:sz w:val="20"/>
          <w:szCs w:val="20"/>
          <w:lang w:val="es-ES" w:eastAsia="es-ES"/>
        </w:rPr>
      </w:pPr>
      <w:r w:rsidRPr="008501FF">
        <w:rPr>
          <w:rFonts w:ascii="Arial" w:eastAsia="Times New Roman" w:hAnsi="Arial" w:cs="Arial"/>
          <w:sz w:val="20"/>
          <w:szCs w:val="20"/>
          <w:lang w:val="es-419" w:eastAsia="es-ES"/>
        </w:rPr>
        <w:t>Aclarado lo anterior, como quiera que el demandante pretende la indexación de la primera mesada pensional, conforme a la jurisprudencia aplicable al caso, resulta improcedente la indexación del salario base de cotización de dicha pensión de vejez, la cual está regida íntegramente por el Acuerdo 049 de 1990, toda vez que la misma norma en su artículo 20 regula la forma de obtener el salario mensual de base.</w:t>
      </w:r>
    </w:p>
    <w:p w14:paraId="4D6F30D0" w14:textId="77777777" w:rsidR="009E20E2" w:rsidRPr="009E20E2" w:rsidRDefault="009E20E2" w:rsidP="009E20E2">
      <w:pPr>
        <w:spacing w:line="240" w:lineRule="auto"/>
        <w:jc w:val="both"/>
        <w:rPr>
          <w:rFonts w:ascii="Arial" w:eastAsia="Times New Roman" w:hAnsi="Arial" w:cs="Arial"/>
          <w:sz w:val="20"/>
          <w:szCs w:val="20"/>
          <w:lang w:val="es-ES" w:eastAsia="es-ES"/>
        </w:rPr>
      </w:pPr>
    </w:p>
    <w:p w14:paraId="3DB06751" w14:textId="77777777" w:rsidR="009E20E2" w:rsidRPr="009E20E2" w:rsidRDefault="009E20E2" w:rsidP="009E20E2">
      <w:pPr>
        <w:spacing w:line="240" w:lineRule="auto"/>
        <w:jc w:val="both"/>
        <w:rPr>
          <w:rFonts w:ascii="Arial" w:eastAsia="Times New Roman" w:hAnsi="Arial" w:cs="Arial"/>
          <w:sz w:val="20"/>
          <w:szCs w:val="20"/>
          <w:lang w:val="es-ES" w:eastAsia="es-ES"/>
        </w:rPr>
      </w:pPr>
    </w:p>
    <w:p w14:paraId="29B53DFC" w14:textId="77777777" w:rsidR="00366F37" w:rsidRPr="00366F37" w:rsidRDefault="00366F37" w:rsidP="00366F37">
      <w:pPr>
        <w:keepNext/>
        <w:spacing w:line="288" w:lineRule="auto"/>
        <w:jc w:val="center"/>
        <w:outlineLvl w:val="2"/>
        <w:rPr>
          <w:rFonts w:eastAsia="Times New Roman" w:cs="Arial"/>
          <w:b/>
          <w:szCs w:val="26"/>
          <w:lang w:val="es-ES_tradnl" w:eastAsia="es-ES"/>
        </w:rPr>
      </w:pPr>
      <w:r w:rsidRPr="00366F37">
        <w:rPr>
          <w:rFonts w:eastAsia="Times New Roman" w:cs="Arial"/>
          <w:b/>
          <w:szCs w:val="26"/>
          <w:lang w:val="es-ES_tradnl" w:eastAsia="es-ES"/>
        </w:rPr>
        <w:t>TRIBUNAL SUPERIOR DEL DISTRITO JUDICIAL</w:t>
      </w:r>
    </w:p>
    <w:p w14:paraId="2917B36E" w14:textId="77777777" w:rsidR="00366F37" w:rsidRPr="00366F37" w:rsidRDefault="00366F37" w:rsidP="00366F37">
      <w:pPr>
        <w:spacing w:line="288" w:lineRule="auto"/>
        <w:jc w:val="center"/>
        <w:rPr>
          <w:rFonts w:eastAsia="Times New Roman" w:cs="Arial"/>
          <w:b/>
          <w:szCs w:val="26"/>
          <w:lang w:eastAsia="es-ES"/>
        </w:rPr>
      </w:pPr>
      <w:r w:rsidRPr="00366F37">
        <w:rPr>
          <w:rFonts w:eastAsia="Times New Roman" w:cs="Times New Roman"/>
          <w:b/>
          <w:spacing w:val="-3"/>
          <w:szCs w:val="26"/>
          <w:lang w:eastAsia="es-ES"/>
        </w:rPr>
        <w:object w:dxaOrig="3090" w:dyaOrig="3285" w14:anchorId="218941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54.45pt" o:ole="" fillcolor="window">
            <v:imagedata r:id="rId8" o:title=""/>
          </v:shape>
          <o:OLEObject Type="Embed" ProgID="PBrush" ShapeID="_x0000_i1025" DrawAspect="Content" ObjectID="_1637583735" r:id="rId9"/>
        </w:object>
      </w:r>
    </w:p>
    <w:p w14:paraId="0D4B565C" w14:textId="77777777" w:rsidR="00366F37" w:rsidRPr="00366F37" w:rsidRDefault="00366F37" w:rsidP="00366F37">
      <w:pPr>
        <w:spacing w:line="288" w:lineRule="auto"/>
        <w:jc w:val="center"/>
        <w:rPr>
          <w:rFonts w:eastAsia="Times New Roman" w:cs="Arial"/>
          <w:b/>
          <w:szCs w:val="26"/>
          <w:lang w:eastAsia="es-ES"/>
        </w:rPr>
      </w:pPr>
      <w:r w:rsidRPr="00366F37">
        <w:rPr>
          <w:rFonts w:eastAsia="Times New Roman" w:cs="Arial"/>
          <w:b/>
          <w:szCs w:val="26"/>
          <w:lang w:eastAsia="es-ES"/>
        </w:rPr>
        <w:t>SALA CUARTA DE DECISIÓN LABORAL</w:t>
      </w:r>
    </w:p>
    <w:p w14:paraId="1E3CC145" w14:textId="77777777" w:rsidR="00366F37" w:rsidRPr="00366F37" w:rsidRDefault="00366F37" w:rsidP="00366F37">
      <w:pPr>
        <w:spacing w:line="288" w:lineRule="auto"/>
        <w:jc w:val="center"/>
        <w:rPr>
          <w:rFonts w:eastAsia="Times New Roman" w:cs="Arial"/>
          <w:b/>
          <w:szCs w:val="26"/>
          <w:lang w:eastAsia="es-ES"/>
        </w:rPr>
      </w:pPr>
      <w:r w:rsidRPr="00366F37">
        <w:rPr>
          <w:rFonts w:eastAsia="Times New Roman" w:cs="Arial"/>
          <w:b/>
          <w:szCs w:val="26"/>
          <w:lang w:eastAsia="es-ES"/>
        </w:rPr>
        <w:t>PEREIRA</w:t>
      </w:r>
      <w:r w:rsidRPr="00366F37">
        <w:rPr>
          <w:rFonts w:eastAsia="Times New Roman" w:cs="Arial"/>
          <w:b/>
          <w:szCs w:val="26"/>
          <w:lang w:eastAsia="es-ES"/>
        </w:rPr>
        <w:tab/>
        <w:t>RISARALDA</w:t>
      </w:r>
    </w:p>
    <w:p w14:paraId="1BCF303D" w14:textId="77777777" w:rsidR="00366F37" w:rsidRPr="00366F37" w:rsidRDefault="00366F37" w:rsidP="00366F37">
      <w:pPr>
        <w:spacing w:line="288" w:lineRule="auto"/>
        <w:jc w:val="center"/>
        <w:rPr>
          <w:rFonts w:eastAsia="Times New Roman" w:cs="Arial"/>
          <w:szCs w:val="26"/>
          <w:lang w:val="es-ES_tradnl" w:eastAsia="es-ES"/>
        </w:rPr>
      </w:pPr>
    </w:p>
    <w:p w14:paraId="767A422A" w14:textId="77777777" w:rsidR="00366F37" w:rsidRPr="00366F37" w:rsidRDefault="00366F37" w:rsidP="00366F37">
      <w:pPr>
        <w:spacing w:line="288" w:lineRule="auto"/>
        <w:jc w:val="center"/>
        <w:rPr>
          <w:rFonts w:eastAsia="Times New Roman" w:cs="Arial"/>
          <w:b/>
          <w:szCs w:val="26"/>
          <w:lang w:val="es-ES_tradnl" w:eastAsia="es-ES"/>
        </w:rPr>
      </w:pPr>
      <w:r w:rsidRPr="00366F37">
        <w:rPr>
          <w:rFonts w:eastAsia="Times New Roman" w:cs="Arial"/>
          <w:b/>
          <w:szCs w:val="26"/>
          <w:lang w:val="es-ES_tradnl" w:eastAsia="es-ES"/>
        </w:rPr>
        <w:t>MAGISTRADO PONENTE: FRANCISCO JAVIER TAMAYO TABARES</w:t>
      </w:r>
    </w:p>
    <w:p w14:paraId="4B493354" w14:textId="77777777" w:rsidR="00366F37" w:rsidRPr="00366F37" w:rsidRDefault="00366F37" w:rsidP="00366F37">
      <w:pPr>
        <w:spacing w:line="288" w:lineRule="auto"/>
        <w:rPr>
          <w:rFonts w:eastAsia="Times New Roman" w:cs="Times New Roman"/>
          <w:szCs w:val="26"/>
          <w:lang w:eastAsia="es-ES"/>
        </w:rPr>
      </w:pPr>
    </w:p>
    <w:p w14:paraId="60046E70" w14:textId="7037A2CD" w:rsidR="00597D5B" w:rsidRPr="00366F37" w:rsidRDefault="00597D5B" w:rsidP="00366F37">
      <w:pPr>
        <w:spacing w:line="276" w:lineRule="auto"/>
        <w:jc w:val="both"/>
        <w:rPr>
          <w:rFonts w:cs="Times New Roman"/>
          <w:b/>
          <w:bCs/>
          <w:szCs w:val="26"/>
        </w:rPr>
      </w:pPr>
      <w:r w:rsidRPr="00366F37">
        <w:rPr>
          <w:rFonts w:cs="Times New Roman"/>
          <w:szCs w:val="26"/>
        </w:rPr>
        <w:t xml:space="preserve">En Pereira, hoy </w:t>
      </w:r>
      <w:r w:rsidR="0077008E" w:rsidRPr="00366F37">
        <w:rPr>
          <w:rFonts w:cs="Times New Roman"/>
          <w:szCs w:val="26"/>
        </w:rPr>
        <w:t>veinte</w:t>
      </w:r>
      <w:r w:rsidRPr="00366F37">
        <w:rPr>
          <w:rFonts w:cs="Times New Roman"/>
          <w:szCs w:val="26"/>
        </w:rPr>
        <w:t xml:space="preserve"> (</w:t>
      </w:r>
      <w:r w:rsidR="0077008E" w:rsidRPr="00366F37">
        <w:rPr>
          <w:rFonts w:cs="Times New Roman"/>
          <w:szCs w:val="26"/>
        </w:rPr>
        <w:t>20</w:t>
      </w:r>
      <w:r w:rsidRPr="00366F37">
        <w:rPr>
          <w:rFonts w:cs="Times New Roman"/>
          <w:szCs w:val="26"/>
        </w:rPr>
        <w:t xml:space="preserve">) de noviembre de dos mil diecinueve (2019), siendo las </w:t>
      </w:r>
      <w:r w:rsidR="0077008E" w:rsidRPr="00366F37">
        <w:rPr>
          <w:rFonts w:cs="Times New Roman"/>
          <w:szCs w:val="26"/>
        </w:rPr>
        <w:t>9</w:t>
      </w:r>
      <w:r w:rsidRPr="00366F37">
        <w:rPr>
          <w:rFonts w:cs="Times New Roman"/>
          <w:szCs w:val="26"/>
        </w:rPr>
        <w:t>:</w:t>
      </w:r>
      <w:r w:rsidR="0077008E" w:rsidRPr="00366F37">
        <w:rPr>
          <w:rFonts w:cs="Times New Roman"/>
          <w:szCs w:val="26"/>
        </w:rPr>
        <w:t>30</w:t>
      </w:r>
      <w:r w:rsidRPr="00366F37">
        <w:rPr>
          <w:rFonts w:cs="Times New Roman"/>
          <w:szCs w:val="26"/>
        </w:rPr>
        <w:t xml:space="preserve"> a.m., reunidos en la sala de audiencia los magistrados de la Sala Cuarta de Decisión Laboral del Tribunal de Pereira, presidido por el ponente, declaran formalmente abierto el acto, que tiene por objeto resolver el recurso de apelación presentado por las partes, frente a la sentencia proferida </w:t>
      </w:r>
      <w:r w:rsidRPr="00366F37">
        <w:rPr>
          <w:rFonts w:cs="Times New Roman"/>
          <w:szCs w:val="26"/>
        </w:rPr>
        <w:lastRenderedPageBreak/>
        <w:t>el</w:t>
      </w:r>
      <w:r w:rsidR="00067384" w:rsidRPr="00366F37">
        <w:rPr>
          <w:rFonts w:cs="Times New Roman"/>
          <w:szCs w:val="26"/>
        </w:rPr>
        <w:t xml:space="preserve"> veinte</w:t>
      </w:r>
      <w:r w:rsidRPr="00366F37">
        <w:rPr>
          <w:rFonts w:cs="Times New Roman"/>
          <w:szCs w:val="26"/>
        </w:rPr>
        <w:t xml:space="preserve"> (</w:t>
      </w:r>
      <w:r w:rsidR="00067384" w:rsidRPr="00366F37">
        <w:rPr>
          <w:rFonts w:cs="Times New Roman"/>
          <w:szCs w:val="26"/>
        </w:rPr>
        <w:t>20</w:t>
      </w:r>
      <w:r w:rsidRPr="00366F37">
        <w:rPr>
          <w:rFonts w:cs="Times New Roman"/>
          <w:szCs w:val="26"/>
        </w:rPr>
        <w:t xml:space="preserve">) de marzo de dos mil diecinueve (2019), por el Juzgado </w:t>
      </w:r>
      <w:r w:rsidR="00067384" w:rsidRPr="00366F37">
        <w:rPr>
          <w:rFonts w:cs="Times New Roman"/>
          <w:szCs w:val="26"/>
        </w:rPr>
        <w:t xml:space="preserve">Tercero </w:t>
      </w:r>
      <w:r w:rsidRPr="00366F37">
        <w:rPr>
          <w:rFonts w:cs="Times New Roman"/>
          <w:szCs w:val="26"/>
        </w:rPr>
        <w:t xml:space="preserve">Laboral del Circuito de Pereira, dentro del Proceso Ordinario Laboral de Primera Instancia, promovido por </w:t>
      </w:r>
      <w:r w:rsidR="00067384" w:rsidRPr="00366F37">
        <w:rPr>
          <w:rFonts w:cs="Times New Roman"/>
          <w:b/>
          <w:bCs/>
          <w:szCs w:val="26"/>
        </w:rPr>
        <w:t xml:space="preserve">Augusto Marco Aurelio Zapata </w:t>
      </w:r>
      <w:r w:rsidRPr="00366F37">
        <w:rPr>
          <w:rFonts w:cs="Times New Roman"/>
          <w:szCs w:val="26"/>
        </w:rPr>
        <w:t xml:space="preserve">contra la </w:t>
      </w:r>
      <w:r w:rsidRPr="00366F37">
        <w:rPr>
          <w:rFonts w:cs="Times New Roman"/>
          <w:b/>
          <w:bCs/>
          <w:szCs w:val="26"/>
        </w:rPr>
        <w:t>Administradora Colombiana de Pensiones “Colpensiones”.</w:t>
      </w:r>
    </w:p>
    <w:p w14:paraId="250DB753" w14:textId="455DF6CA" w:rsidR="00597D5B" w:rsidRPr="00366F37" w:rsidRDefault="00597D5B" w:rsidP="00366F37">
      <w:pPr>
        <w:spacing w:line="276" w:lineRule="auto"/>
        <w:jc w:val="both"/>
        <w:rPr>
          <w:rFonts w:cs="Times New Roman"/>
          <w:b/>
          <w:bCs/>
          <w:szCs w:val="26"/>
        </w:rPr>
      </w:pPr>
    </w:p>
    <w:p w14:paraId="1A3EAF91" w14:textId="40C03005" w:rsidR="00597D5B" w:rsidRPr="00366F37" w:rsidRDefault="00366F37" w:rsidP="00366F37">
      <w:pPr>
        <w:tabs>
          <w:tab w:val="left" w:pos="851"/>
        </w:tabs>
        <w:spacing w:line="276" w:lineRule="auto"/>
        <w:jc w:val="both"/>
        <w:rPr>
          <w:rFonts w:cs="Times New Roman"/>
          <w:szCs w:val="26"/>
        </w:rPr>
      </w:pPr>
      <w:r w:rsidRPr="00366F37">
        <w:rPr>
          <w:rFonts w:cs="Times New Roman"/>
          <w:b/>
          <w:bCs/>
          <w:szCs w:val="26"/>
        </w:rPr>
        <w:t>IDENTIFICACIÓN</w:t>
      </w:r>
      <w:r w:rsidR="00597D5B" w:rsidRPr="00366F37">
        <w:rPr>
          <w:rFonts w:cs="Times New Roman"/>
          <w:b/>
          <w:bCs/>
          <w:szCs w:val="26"/>
        </w:rPr>
        <w:t xml:space="preserve"> DE LOS PRESENTES.</w:t>
      </w:r>
    </w:p>
    <w:p w14:paraId="71E1FAEE" w14:textId="28680040" w:rsidR="00597D5B" w:rsidRPr="00366F37" w:rsidRDefault="00597D5B" w:rsidP="00366F37">
      <w:pPr>
        <w:tabs>
          <w:tab w:val="left" w:pos="851"/>
        </w:tabs>
        <w:spacing w:line="276" w:lineRule="auto"/>
        <w:jc w:val="both"/>
        <w:rPr>
          <w:rFonts w:cs="Times New Roman"/>
          <w:szCs w:val="26"/>
        </w:rPr>
      </w:pPr>
    </w:p>
    <w:p w14:paraId="05647194" w14:textId="7F363749" w:rsidR="00597D5B" w:rsidRPr="00366F37" w:rsidRDefault="00366F37" w:rsidP="00366F37">
      <w:pPr>
        <w:pStyle w:val="Prrafodelista"/>
        <w:numPr>
          <w:ilvl w:val="0"/>
          <w:numId w:val="6"/>
        </w:numPr>
        <w:tabs>
          <w:tab w:val="left" w:pos="851"/>
        </w:tabs>
        <w:spacing w:line="276" w:lineRule="auto"/>
        <w:ind w:left="284" w:hanging="284"/>
        <w:jc w:val="both"/>
        <w:rPr>
          <w:rFonts w:cs="Times New Roman"/>
          <w:b/>
          <w:bCs/>
          <w:szCs w:val="26"/>
        </w:rPr>
      </w:pPr>
      <w:r w:rsidRPr="00366F37">
        <w:rPr>
          <w:rFonts w:cs="Times New Roman"/>
          <w:b/>
          <w:bCs/>
          <w:szCs w:val="26"/>
        </w:rPr>
        <w:t>INTRODUCCIÓN</w:t>
      </w:r>
      <w:r w:rsidR="00597D5B" w:rsidRPr="00366F37">
        <w:rPr>
          <w:rFonts w:cs="Times New Roman"/>
          <w:b/>
          <w:bCs/>
          <w:szCs w:val="26"/>
        </w:rPr>
        <w:t>.</w:t>
      </w:r>
    </w:p>
    <w:p w14:paraId="4D21635C" w14:textId="77777777" w:rsidR="00983435" w:rsidRPr="00366F37" w:rsidRDefault="00983435" w:rsidP="00366F37">
      <w:pPr>
        <w:spacing w:line="276" w:lineRule="auto"/>
        <w:jc w:val="both"/>
        <w:rPr>
          <w:rFonts w:cs="Times New Roman"/>
          <w:szCs w:val="26"/>
        </w:rPr>
      </w:pPr>
    </w:p>
    <w:p w14:paraId="4799FD71" w14:textId="32E49AC3" w:rsidR="002841A5" w:rsidRPr="00366F37" w:rsidRDefault="002841A5" w:rsidP="00366F37">
      <w:pPr>
        <w:spacing w:line="276" w:lineRule="auto"/>
        <w:jc w:val="both"/>
        <w:rPr>
          <w:rFonts w:cs="Times New Roman"/>
          <w:szCs w:val="26"/>
        </w:rPr>
      </w:pPr>
      <w:r w:rsidRPr="00366F37">
        <w:rPr>
          <w:rFonts w:cs="Times New Roman"/>
          <w:b/>
          <w:bCs/>
          <w:szCs w:val="26"/>
        </w:rPr>
        <w:t>AUGUSTO MARCO AURELIO ZAPATA</w:t>
      </w:r>
      <w:r w:rsidRPr="00366F37">
        <w:rPr>
          <w:rFonts w:cs="Times New Roman"/>
          <w:szCs w:val="26"/>
        </w:rPr>
        <w:t xml:space="preserve"> persigue que la Administradora Colombiana de Pensiones” Colpensiones” le </w:t>
      </w:r>
      <w:proofErr w:type="spellStart"/>
      <w:r w:rsidRPr="00366F37">
        <w:rPr>
          <w:rFonts w:cs="Times New Roman"/>
          <w:szCs w:val="26"/>
        </w:rPr>
        <w:t>reliquide</w:t>
      </w:r>
      <w:proofErr w:type="spellEnd"/>
      <w:r w:rsidRPr="00366F37">
        <w:rPr>
          <w:rFonts w:cs="Times New Roman"/>
          <w:szCs w:val="26"/>
        </w:rPr>
        <w:t xml:space="preserve"> la pensión de vejez teniendo en cuenta todo el rigor de semanas acreditadas en su historial de aportes, en los términos de los artículos 12 y 20 del Acuerdo 049 de 1990</w:t>
      </w:r>
      <w:r w:rsidR="00067384" w:rsidRPr="00366F37">
        <w:rPr>
          <w:rFonts w:cs="Times New Roman"/>
          <w:szCs w:val="26"/>
        </w:rPr>
        <w:t xml:space="preserve"> y, conforme a ello, se aumente su tasa prestacional</w:t>
      </w:r>
      <w:r w:rsidRPr="00366F37">
        <w:rPr>
          <w:rFonts w:cs="Times New Roman"/>
          <w:szCs w:val="26"/>
        </w:rPr>
        <w:t xml:space="preserve">. Adicionalmente, solicita le sea </w:t>
      </w:r>
      <w:r w:rsidR="00067384" w:rsidRPr="00366F37">
        <w:rPr>
          <w:rFonts w:cs="Times New Roman"/>
          <w:szCs w:val="26"/>
        </w:rPr>
        <w:t xml:space="preserve">indexada </w:t>
      </w:r>
      <w:r w:rsidRPr="00366F37">
        <w:rPr>
          <w:rFonts w:cs="Times New Roman"/>
          <w:szCs w:val="26"/>
        </w:rPr>
        <w:t>la primera mesada, cancelando las diferencias a su favor, además de los intereses moratorios a partir de la ejecutoria y costas.</w:t>
      </w:r>
    </w:p>
    <w:p w14:paraId="799CC31F" w14:textId="77777777" w:rsidR="002841A5" w:rsidRPr="00366F37" w:rsidRDefault="002841A5" w:rsidP="00366F37">
      <w:pPr>
        <w:spacing w:line="276" w:lineRule="auto"/>
        <w:jc w:val="both"/>
        <w:rPr>
          <w:rFonts w:cs="Times New Roman"/>
          <w:szCs w:val="26"/>
        </w:rPr>
      </w:pPr>
    </w:p>
    <w:p w14:paraId="0DF66BC2" w14:textId="6FC9BF6B" w:rsidR="00E15CFC" w:rsidRPr="00366F37" w:rsidRDefault="002841A5" w:rsidP="00366F37">
      <w:pPr>
        <w:spacing w:line="276" w:lineRule="auto"/>
        <w:jc w:val="both"/>
        <w:rPr>
          <w:rFonts w:cs="Times New Roman"/>
          <w:szCs w:val="26"/>
        </w:rPr>
      </w:pPr>
      <w:r w:rsidRPr="00366F37">
        <w:rPr>
          <w:rFonts w:cs="Times New Roman"/>
          <w:szCs w:val="26"/>
        </w:rPr>
        <w:t xml:space="preserve">Fundó sus pretensiones en </w:t>
      </w:r>
      <w:r w:rsidR="00E15CFC" w:rsidRPr="00366F37">
        <w:rPr>
          <w:rFonts w:cs="Times New Roman"/>
          <w:szCs w:val="26"/>
        </w:rPr>
        <w:t>que,</w:t>
      </w:r>
      <w:r w:rsidRPr="00366F37">
        <w:rPr>
          <w:rFonts w:cs="Times New Roman"/>
          <w:szCs w:val="26"/>
        </w:rPr>
        <w:t xml:space="preserve"> </w:t>
      </w:r>
      <w:r w:rsidR="00E15CFC" w:rsidRPr="00366F37">
        <w:rPr>
          <w:rFonts w:cs="Times New Roman"/>
          <w:szCs w:val="26"/>
        </w:rPr>
        <w:t xml:space="preserve">al cumplimiento de la edad mínima de 60 años, el 26 de septiembre de 1990, contaba con más de 1000 semanas cotizadas al sistema; que solicitó la prestación el 3 de agosto de esa anualidad, siendo reconocida por resolución 631 del 19 de marzo de 1991, desde el 27 de septiembre de 1990, en cuantía de $41.025, aplicando como tasa de reemplazo el 66% al </w:t>
      </w:r>
      <w:proofErr w:type="spellStart"/>
      <w:r w:rsidR="00E15CFC" w:rsidRPr="00366F37">
        <w:rPr>
          <w:rFonts w:cs="Times New Roman"/>
          <w:szCs w:val="26"/>
        </w:rPr>
        <w:t>IBL</w:t>
      </w:r>
      <w:proofErr w:type="spellEnd"/>
      <w:r w:rsidR="00E15CFC" w:rsidRPr="00366F37">
        <w:rPr>
          <w:rFonts w:cs="Times New Roman"/>
          <w:szCs w:val="26"/>
        </w:rPr>
        <w:t xml:space="preserve"> de $27.727,89, con base en 849 semanas. Agrega que, revisada la liquidación, su mesada no fue indexada, además que la tasa de reemplazo aplicada no se compadece con el </w:t>
      </w:r>
      <w:r w:rsidR="00366F37" w:rsidRPr="00366F37">
        <w:rPr>
          <w:rFonts w:cs="Times New Roman"/>
          <w:szCs w:val="26"/>
        </w:rPr>
        <w:t>número</w:t>
      </w:r>
      <w:r w:rsidR="00E15CFC" w:rsidRPr="00366F37">
        <w:rPr>
          <w:rFonts w:cs="Times New Roman"/>
          <w:szCs w:val="26"/>
        </w:rPr>
        <w:t xml:space="preserve"> de aportes realizados en total, por lo que reclam</w:t>
      </w:r>
      <w:r w:rsidR="00067384" w:rsidRPr="00366F37">
        <w:rPr>
          <w:rFonts w:cs="Times New Roman"/>
          <w:szCs w:val="26"/>
        </w:rPr>
        <w:t>ó</w:t>
      </w:r>
      <w:r w:rsidR="00E15CFC" w:rsidRPr="00366F37">
        <w:rPr>
          <w:rFonts w:cs="Times New Roman"/>
          <w:szCs w:val="26"/>
        </w:rPr>
        <w:t xml:space="preserve"> la reliquidación e indexación de su primera mesada, lo cual fue negado por la demanda.</w:t>
      </w:r>
    </w:p>
    <w:p w14:paraId="4190AFBE" w14:textId="77777777" w:rsidR="0074516B" w:rsidRPr="00366F37" w:rsidRDefault="0074516B" w:rsidP="00366F37">
      <w:pPr>
        <w:spacing w:line="276" w:lineRule="auto"/>
        <w:jc w:val="both"/>
        <w:rPr>
          <w:rFonts w:cs="Times New Roman"/>
          <w:szCs w:val="26"/>
        </w:rPr>
      </w:pPr>
    </w:p>
    <w:p w14:paraId="66B2E3B0" w14:textId="2805E5BF" w:rsidR="0074516B" w:rsidRPr="00366F37" w:rsidRDefault="0074516B" w:rsidP="00366F37">
      <w:pPr>
        <w:spacing w:line="276" w:lineRule="auto"/>
        <w:jc w:val="both"/>
        <w:rPr>
          <w:rFonts w:cs="Times New Roman"/>
          <w:szCs w:val="26"/>
        </w:rPr>
      </w:pPr>
      <w:r w:rsidRPr="00366F37">
        <w:rPr>
          <w:rFonts w:cs="Times New Roman"/>
          <w:b/>
          <w:bCs/>
          <w:szCs w:val="26"/>
        </w:rPr>
        <w:t>COLPENSIONES</w:t>
      </w:r>
      <w:r w:rsidRPr="00366F37">
        <w:rPr>
          <w:rFonts w:cs="Times New Roman"/>
          <w:szCs w:val="26"/>
        </w:rPr>
        <w:t xml:space="preserve"> al contestar la demanda, se opuso a las pretensiones y excepcionó </w:t>
      </w:r>
      <w:r w:rsidR="00067384" w:rsidRPr="00366F37">
        <w:rPr>
          <w:rFonts w:cs="Times New Roman"/>
          <w:szCs w:val="26"/>
        </w:rPr>
        <w:t xml:space="preserve">la </w:t>
      </w:r>
      <w:r w:rsidRPr="00366F37">
        <w:rPr>
          <w:rFonts w:cs="Times New Roman"/>
          <w:szCs w:val="26"/>
        </w:rPr>
        <w:t>inexistencia de la obligación demandada, estricto cumplimiento a los mandatos legales, buena fe y prescripción.</w:t>
      </w:r>
    </w:p>
    <w:p w14:paraId="7F883BB8" w14:textId="77777777" w:rsidR="002903BD" w:rsidRPr="00366F37" w:rsidRDefault="002903BD" w:rsidP="00366F37">
      <w:pPr>
        <w:spacing w:line="276" w:lineRule="auto"/>
        <w:jc w:val="both"/>
        <w:rPr>
          <w:rFonts w:cs="Times New Roman"/>
          <w:szCs w:val="26"/>
        </w:rPr>
      </w:pPr>
    </w:p>
    <w:p w14:paraId="5EE83190" w14:textId="3E8C15AD" w:rsidR="0074516B" w:rsidRPr="00366F37" w:rsidRDefault="0074516B" w:rsidP="00366F37">
      <w:pPr>
        <w:pStyle w:val="Prrafodelista"/>
        <w:numPr>
          <w:ilvl w:val="0"/>
          <w:numId w:val="6"/>
        </w:numPr>
        <w:tabs>
          <w:tab w:val="left" w:pos="851"/>
        </w:tabs>
        <w:spacing w:line="276" w:lineRule="auto"/>
        <w:ind w:left="284" w:hanging="284"/>
        <w:jc w:val="both"/>
        <w:rPr>
          <w:rFonts w:cs="Times New Roman"/>
          <w:b/>
          <w:bCs/>
          <w:szCs w:val="26"/>
        </w:rPr>
      </w:pPr>
      <w:r w:rsidRPr="00366F37">
        <w:rPr>
          <w:rFonts w:cs="Times New Roman"/>
          <w:b/>
          <w:bCs/>
          <w:szCs w:val="26"/>
        </w:rPr>
        <w:t xml:space="preserve">SENTENCIA </w:t>
      </w:r>
      <w:r w:rsidR="00067384" w:rsidRPr="00366F37">
        <w:rPr>
          <w:rFonts w:cs="Times New Roman"/>
          <w:b/>
          <w:bCs/>
          <w:szCs w:val="26"/>
        </w:rPr>
        <w:t>DE PRIMERA INSTANCIA.</w:t>
      </w:r>
    </w:p>
    <w:p w14:paraId="0CC24B0A" w14:textId="77777777" w:rsidR="0074516B" w:rsidRPr="00366F37" w:rsidRDefault="0074516B" w:rsidP="00366F37">
      <w:pPr>
        <w:spacing w:line="276" w:lineRule="auto"/>
        <w:jc w:val="both"/>
        <w:rPr>
          <w:rFonts w:cs="Times New Roman"/>
          <w:szCs w:val="26"/>
        </w:rPr>
      </w:pPr>
    </w:p>
    <w:p w14:paraId="14C57D6D" w14:textId="7DFA9627" w:rsidR="00E15CFC" w:rsidRPr="00366F37" w:rsidRDefault="000E04CB" w:rsidP="00366F37">
      <w:pPr>
        <w:spacing w:line="276" w:lineRule="auto"/>
        <w:jc w:val="both"/>
        <w:rPr>
          <w:rFonts w:cs="Times New Roman"/>
          <w:szCs w:val="26"/>
        </w:rPr>
      </w:pPr>
      <w:r w:rsidRPr="00366F37">
        <w:rPr>
          <w:rFonts w:cs="Times New Roman"/>
          <w:szCs w:val="26"/>
        </w:rPr>
        <w:t>P</w:t>
      </w:r>
      <w:r w:rsidR="00AA1C67" w:rsidRPr="00366F37">
        <w:rPr>
          <w:rFonts w:cs="Times New Roman"/>
          <w:szCs w:val="26"/>
        </w:rPr>
        <w:t xml:space="preserve">ronunciada </w:t>
      </w:r>
      <w:r w:rsidRPr="00366F37">
        <w:rPr>
          <w:rFonts w:cs="Times New Roman"/>
          <w:szCs w:val="26"/>
        </w:rPr>
        <w:t xml:space="preserve">la decisión </w:t>
      </w:r>
      <w:r w:rsidR="00AA1C67" w:rsidRPr="00366F37">
        <w:rPr>
          <w:rFonts w:cs="Times New Roman"/>
          <w:szCs w:val="26"/>
        </w:rPr>
        <w:t xml:space="preserve">el </w:t>
      </w:r>
      <w:r w:rsidRPr="00366F37">
        <w:rPr>
          <w:rFonts w:cs="Times New Roman"/>
          <w:szCs w:val="26"/>
        </w:rPr>
        <w:t>20 de marzo de 2019</w:t>
      </w:r>
      <w:r w:rsidR="00AA1C67" w:rsidRPr="00366F37">
        <w:rPr>
          <w:rFonts w:cs="Times New Roman"/>
          <w:szCs w:val="26"/>
        </w:rPr>
        <w:t xml:space="preserve">, </w:t>
      </w:r>
      <w:r w:rsidRPr="00366F37">
        <w:rPr>
          <w:rFonts w:cs="Times New Roman"/>
          <w:szCs w:val="26"/>
        </w:rPr>
        <w:t xml:space="preserve">el </w:t>
      </w:r>
      <w:r w:rsidR="00AA1C67" w:rsidRPr="00366F37">
        <w:rPr>
          <w:rFonts w:cs="Times New Roman"/>
          <w:szCs w:val="26"/>
        </w:rPr>
        <w:t xml:space="preserve">Juzgado </w:t>
      </w:r>
      <w:r w:rsidRPr="00366F37">
        <w:rPr>
          <w:rFonts w:cs="Times New Roman"/>
          <w:szCs w:val="26"/>
        </w:rPr>
        <w:t xml:space="preserve">Tercero </w:t>
      </w:r>
      <w:r w:rsidR="00AA1C67" w:rsidRPr="00366F37">
        <w:rPr>
          <w:rFonts w:cs="Times New Roman"/>
          <w:szCs w:val="26"/>
        </w:rPr>
        <w:t xml:space="preserve">Laboral </w:t>
      </w:r>
      <w:r w:rsidRPr="00366F37">
        <w:rPr>
          <w:rFonts w:cs="Times New Roman"/>
          <w:szCs w:val="26"/>
        </w:rPr>
        <w:t>del Circuito de Pereira, encontró viable la reliquidación implorada en la demanda, por lo que ordenó a Colpensiones proceder a modificar la prestación, teniendo en cuenta un total de 1000 semanas, una tasa de reemplazo del 75% y una primera mesada por valor de $42.178,</w:t>
      </w:r>
      <w:r w:rsidRPr="00366F37">
        <w:rPr>
          <w:rFonts w:cs="Times New Roman"/>
          <w:szCs w:val="26"/>
          <w:vertAlign w:val="superscript"/>
        </w:rPr>
        <w:t>85</w:t>
      </w:r>
      <w:r w:rsidRPr="00366F37">
        <w:rPr>
          <w:rFonts w:cs="Times New Roman"/>
          <w:szCs w:val="26"/>
        </w:rPr>
        <w:t>, condenando al pago de unas diferencias a favor del actor por $7.192.094 generados entre julio de 2014 y febrero de 2019, previa declaratoria de</w:t>
      </w:r>
      <w:r w:rsidR="00A72A44" w:rsidRPr="00366F37">
        <w:rPr>
          <w:rFonts w:cs="Times New Roman"/>
          <w:szCs w:val="26"/>
        </w:rPr>
        <w:t xml:space="preserve"> </w:t>
      </w:r>
      <w:r w:rsidRPr="00366F37">
        <w:rPr>
          <w:rFonts w:cs="Times New Roman"/>
          <w:szCs w:val="26"/>
        </w:rPr>
        <w:t xml:space="preserve">la prescripción parcial, además de la indexación y costas. </w:t>
      </w:r>
    </w:p>
    <w:p w14:paraId="115F4A9C" w14:textId="0FBE00A4" w:rsidR="00A72A44" w:rsidRPr="00366F37" w:rsidRDefault="00A72A44" w:rsidP="00366F37">
      <w:pPr>
        <w:spacing w:line="276" w:lineRule="auto"/>
        <w:jc w:val="both"/>
        <w:rPr>
          <w:rFonts w:cs="Times New Roman"/>
          <w:szCs w:val="26"/>
        </w:rPr>
      </w:pPr>
    </w:p>
    <w:p w14:paraId="77697A50" w14:textId="7C5EC671" w:rsidR="00893C23" w:rsidRPr="00366F37" w:rsidRDefault="00A72A44" w:rsidP="00366F37">
      <w:pPr>
        <w:spacing w:line="276" w:lineRule="auto"/>
        <w:jc w:val="both"/>
        <w:rPr>
          <w:rFonts w:cs="Times New Roman"/>
          <w:szCs w:val="26"/>
        </w:rPr>
      </w:pPr>
      <w:r w:rsidRPr="00366F37">
        <w:rPr>
          <w:rFonts w:cs="Times New Roman"/>
          <w:szCs w:val="26"/>
        </w:rPr>
        <w:t xml:space="preserve">En síntesis, la decisión se fundó en que había lugar a </w:t>
      </w:r>
      <w:proofErr w:type="spellStart"/>
      <w:r w:rsidRPr="00366F37">
        <w:rPr>
          <w:rFonts w:cs="Times New Roman"/>
          <w:szCs w:val="26"/>
        </w:rPr>
        <w:t>reliquidar</w:t>
      </w:r>
      <w:proofErr w:type="spellEnd"/>
      <w:r w:rsidRPr="00366F37">
        <w:rPr>
          <w:rFonts w:cs="Times New Roman"/>
          <w:szCs w:val="26"/>
        </w:rPr>
        <w:t xml:space="preserve"> el </w:t>
      </w:r>
      <w:proofErr w:type="spellStart"/>
      <w:r w:rsidRPr="00366F37">
        <w:rPr>
          <w:rFonts w:cs="Times New Roman"/>
          <w:szCs w:val="26"/>
        </w:rPr>
        <w:t>IBL</w:t>
      </w:r>
      <w:proofErr w:type="spellEnd"/>
      <w:r w:rsidRPr="00366F37">
        <w:rPr>
          <w:rFonts w:cs="Times New Roman"/>
          <w:szCs w:val="26"/>
        </w:rPr>
        <w:t xml:space="preserve"> de la pensión reconocida, aplicando lo estatuido en el </w:t>
      </w:r>
      <w:r w:rsidR="00366F37" w:rsidRPr="00366F37">
        <w:rPr>
          <w:rFonts w:cs="Times New Roman"/>
          <w:szCs w:val="26"/>
        </w:rPr>
        <w:t>artículo</w:t>
      </w:r>
      <w:r w:rsidRPr="00366F37">
        <w:rPr>
          <w:rFonts w:cs="Times New Roman"/>
          <w:szCs w:val="26"/>
        </w:rPr>
        <w:t xml:space="preserve"> 20 del Acuerdo 049 de 1990, porque se había demostrado un mayor rigor de semanas a las tenidas en cuenta por la demandada al momento de reconocer la prestación, situación que conllevaba a una elevación de la tasa prestacional.  En cuanto a la indexación de la primera mesada, </w:t>
      </w:r>
      <w:r w:rsidR="00E90ACD" w:rsidRPr="00366F37">
        <w:rPr>
          <w:rFonts w:cs="Times New Roman"/>
          <w:szCs w:val="26"/>
        </w:rPr>
        <w:t xml:space="preserve">la consideró </w:t>
      </w:r>
      <w:r w:rsidRPr="00366F37">
        <w:rPr>
          <w:rFonts w:cs="Times New Roman"/>
          <w:szCs w:val="26"/>
        </w:rPr>
        <w:t xml:space="preserve">viable, a pesar </w:t>
      </w:r>
      <w:r w:rsidR="00E0241D" w:rsidRPr="00366F37">
        <w:rPr>
          <w:rFonts w:cs="Times New Roman"/>
          <w:szCs w:val="26"/>
        </w:rPr>
        <w:t>de tratarse de una pensión reconocida antes de promulgada la Constitución de 1991</w:t>
      </w:r>
      <w:r w:rsidR="00E90ACD" w:rsidRPr="00366F37">
        <w:rPr>
          <w:rFonts w:cs="Times New Roman"/>
          <w:szCs w:val="26"/>
        </w:rPr>
        <w:t>.</w:t>
      </w:r>
    </w:p>
    <w:p w14:paraId="3C1CA773" w14:textId="77777777" w:rsidR="00A72A44" w:rsidRPr="00366F37" w:rsidRDefault="00A72A44" w:rsidP="00366F37">
      <w:pPr>
        <w:spacing w:line="276" w:lineRule="auto"/>
        <w:jc w:val="both"/>
        <w:rPr>
          <w:rFonts w:cs="Times New Roman"/>
          <w:szCs w:val="26"/>
        </w:rPr>
      </w:pPr>
    </w:p>
    <w:p w14:paraId="7F33C3DA" w14:textId="3E588053" w:rsidR="00E0241D" w:rsidRPr="00366F37" w:rsidRDefault="00E0241D" w:rsidP="00366F37">
      <w:pPr>
        <w:pStyle w:val="Prrafodelista"/>
        <w:numPr>
          <w:ilvl w:val="0"/>
          <w:numId w:val="6"/>
        </w:numPr>
        <w:tabs>
          <w:tab w:val="left" w:pos="851"/>
        </w:tabs>
        <w:spacing w:line="276" w:lineRule="auto"/>
        <w:ind w:left="284" w:hanging="284"/>
        <w:jc w:val="both"/>
        <w:rPr>
          <w:rFonts w:cs="Times New Roman"/>
          <w:b/>
          <w:bCs/>
          <w:szCs w:val="26"/>
        </w:rPr>
      </w:pPr>
      <w:r w:rsidRPr="00366F37">
        <w:rPr>
          <w:rFonts w:cs="Times New Roman"/>
          <w:b/>
          <w:bCs/>
          <w:szCs w:val="26"/>
        </w:rPr>
        <w:t xml:space="preserve">RECURSO DE </w:t>
      </w:r>
      <w:r w:rsidR="00366F37" w:rsidRPr="00366F37">
        <w:rPr>
          <w:rFonts w:cs="Times New Roman"/>
          <w:b/>
          <w:bCs/>
          <w:szCs w:val="26"/>
        </w:rPr>
        <w:t>APELACIÓN</w:t>
      </w:r>
      <w:r w:rsidRPr="00366F37">
        <w:rPr>
          <w:rFonts w:cs="Times New Roman"/>
          <w:b/>
          <w:bCs/>
          <w:szCs w:val="26"/>
        </w:rPr>
        <w:t>.</w:t>
      </w:r>
    </w:p>
    <w:p w14:paraId="7FED7EB9" w14:textId="77777777" w:rsidR="00E0241D" w:rsidRPr="00366F37" w:rsidRDefault="00E0241D" w:rsidP="00366F37">
      <w:pPr>
        <w:spacing w:line="276" w:lineRule="auto"/>
        <w:jc w:val="both"/>
        <w:rPr>
          <w:rFonts w:cs="Times New Roman"/>
          <w:szCs w:val="26"/>
        </w:rPr>
      </w:pPr>
    </w:p>
    <w:p w14:paraId="55237B36" w14:textId="6918E886" w:rsidR="00E0241D" w:rsidRPr="00366F37" w:rsidRDefault="00E0241D" w:rsidP="00366F37">
      <w:pPr>
        <w:spacing w:line="276" w:lineRule="auto"/>
        <w:jc w:val="both"/>
        <w:rPr>
          <w:rFonts w:cs="Times New Roman"/>
          <w:szCs w:val="26"/>
        </w:rPr>
      </w:pPr>
      <w:r w:rsidRPr="00366F37">
        <w:rPr>
          <w:rFonts w:cs="Times New Roman"/>
          <w:szCs w:val="26"/>
        </w:rPr>
        <w:t xml:space="preserve">Ambos extremos </w:t>
      </w:r>
      <w:r w:rsidR="00E90ACD" w:rsidRPr="00366F37">
        <w:rPr>
          <w:rFonts w:cs="Times New Roman"/>
          <w:szCs w:val="26"/>
        </w:rPr>
        <w:t xml:space="preserve">se </w:t>
      </w:r>
      <w:r w:rsidRPr="00366F37">
        <w:rPr>
          <w:rFonts w:cs="Times New Roman"/>
          <w:szCs w:val="26"/>
        </w:rPr>
        <w:t>mostraron inconform</w:t>
      </w:r>
      <w:r w:rsidR="00E90ACD" w:rsidRPr="00366F37">
        <w:rPr>
          <w:rFonts w:cs="Times New Roman"/>
          <w:szCs w:val="26"/>
        </w:rPr>
        <w:t xml:space="preserve">es </w:t>
      </w:r>
      <w:r w:rsidRPr="00366F37">
        <w:rPr>
          <w:rFonts w:cs="Times New Roman"/>
          <w:szCs w:val="26"/>
        </w:rPr>
        <w:t xml:space="preserve">con la decisión de primer grado. </w:t>
      </w:r>
      <w:r w:rsidR="00E90ACD" w:rsidRPr="00366F37">
        <w:rPr>
          <w:rFonts w:cs="Times New Roman"/>
          <w:szCs w:val="26"/>
        </w:rPr>
        <w:t>L</w:t>
      </w:r>
      <w:r w:rsidRPr="00366F37">
        <w:rPr>
          <w:rFonts w:cs="Times New Roman"/>
          <w:szCs w:val="26"/>
        </w:rPr>
        <w:t xml:space="preserve">a parte actora sustentó la alzada en que la liquidación a la que se arribó era inferior a la que debía ser aplicada, </w:t>
      </w:r>
      <w:r w:rsidR="00E90ACD" w:rsidRPr="00366F37">
        <w:rPr>
          <w:rFonts w:cs="Times New Roman"/>
          <w:szCs w:val="26"/>
        </w:rPr>
        <w:t xml:space="preserve">por lo que consideraba </w:t>
      </w:r>
      <w:r w:rsidRPr="00366F37">
        <w:rPr>
          <w:rFonts w:cs="Times New Roman"/>
          <w:szCs w:val="26"/>
        </w:rPr>
        <w:t>errados los IPC utilizados</w:t>
      </w:r>
      <w:r w:rsidR="00E90ACD" w:rsidRPr="00366F37">
        <w:rPr>
          <w:rFonts w:cs="Times New Roman"/>
          <w:szCs w:val="26"/>
        </w:rPr>
        <w:t xml:space="preserve"> por el Juzgado al momento de liquidar. </w:t>
      </w:r>
      <w:r w:rsidRPr="00366F37">
        <w:rPr>
          <w:rFonts w:cs="Times New Roman"/>
          <w:szCs w:val="26"/>
        </w:rPr>
        <w:t xml:space="preserve">De otro lado, Colpensiones </w:t>
      </w:r>
      <w:r w:rsidR="00E90ACD" w:rsidRPr="00366F37">
        <w:rPr>
          <w:rFonts w:cs="Times New Roman"/>
          <w:szCs w:val="26"/>
        </w:rPr>
        <w:t xml:space="preserve">sustentó su </w:t>
      </w:r>
      <w:r w:rsidRPr="00366F37">
        <w:rPr>
          <w:rFonts w:cs="Times New Roman"/>
          <w:szCs w:val="26"/>
        </w:rPr>
        <w:t xml:space="preserve">recurso en que no había lugar la reliquidación de la mesada pensional porque Colpensiones </w:t>
      </w:r>
      <w:r w:rsidR="00E90ACD" w:rsidRPr="00366F37">
        <w:rPr>
          <w:rFonts w:cs="Times New Roman"/>
          <w:szCs w:val="26"/>
        </w:rPr>
        <w:t xml:space="preserve">había constatado </w:t>
      </w:r>
      <w:r w:rsidRPr="00366F37">
        <w:rPr>
          <w:rFonts w:cs="Times New Roman"/>
          <w:szCs w:val="26"/>
        </w:rPr>
        <w:t>que el valor de la mesada continuaría siendo la mesada mínima</w:t>
      </w:r>
      <w:r w:rsidR="00F8454F" w:rsidRPr="00366F37">
        <w:rPr>
          <w:rFonts w:cs="Times New Roman"/>
          <w:szCs w:val="26"/>
        </w:rPr>
        <w:t>.</w:t>
      </w:r>
    </w:p>
    <w:p w14:paraId="4D3AB822" w14:textId="77777777" w:rsidR="00E0241D" w:rsidRPr="00366F37" w:rsidRDefault="00E0241D" w:rsidP="00366F37">
      <w:pPr>
        <w:spacing w:line="276" w:lineRule="auto"/>
        <w:jc w:val="both"/>
        <w:rPr>
          <w:rFonts w:cs="Times New Roman"/>
          <w:szCs w:val="26"/>
        </w:rPr>
      </w:pPr>
    </w:p>
    <w:p w14:paraId="7ADB402E" w14:textId="63842163" w:rsidR="008D0513" w:rsidRPr="00366F37" w:rsidRDefault="003165FB" w:rsidP="00366F37">
      <w:pPr>
        <w:pStyle w:val="Prrafodelista"/>
        <w:numPr>
          <w:ilvl w:val="0"/>
          <w:numId w:val="6"/>
        </w:numPr>
        <w:tabs>
          <w:tab w:val="left" w:pos="851"/>
        </w:tabs>
        <w:spacing w:line="276" w:lineRule="auto"/>
        <w:ind w:left="284" w:hanging="284"/>
        <w:jc w:val="both"/>
        <w:rPr>
          <w:rFonts w:cs="Times New Roman"/>
          <w:b/>
          <w:bCs/>
          <w:szCs w:val="26"/>
        </w:rPr>
      </w:pPr>
      <w:r>
        <w:rPr>
          <w:rFonts w:cs="Times New Roman"/>
          <w:b/>
          <w:bCs/>
          <w:szCs w:val="26"/>
        </w:rPr>
        <w:t xml:space="preserve"> </w:t>
      </w:r>
      <w:r w:rsidR="008D0513" w:rsidRPr="00366F37">
        <w:rPr>
          <w:rFonts w:cs="Times New Roman"/>
          <w:b/>
          <w:bCs/>
          <w:szCs w:val="26"/>
        </w:rPr>
        <w:t>ALEGATOS EN ESTA INSTANCIA.</w:t>
      </w:r>
    </w:p>
    <w:p w14:paraId="483A1D0C" w14:textId="77777777" w:rsidR="008D0513" w:rsidRPr="00366F37" w:rsidRDefault="008D0513" w:rsidP="00366F37">
      <w:pPr>
        <w:spacing w:line="276" w:lineRule="auto"/>
        <w:jc w:val="both"/>
        <w:rPr>
          <w:rFonts w:cs="Times New Roman"/>
          <w:szCs w:val="26"/>
        </w:rPr>
      </w:pPr>
    </w:p>
    <w:p w14:paraId="78792468" w14:textId="77777777" w:rsidR="008D0513" w:rsidRPr="00366F37" w:rsidRDefault="008D0513" w:rsidP="00366F37">
      <w:pPr>
        <w:spacing w:line="276" w:lineRule="auto"/>
        <w:jc w:val="both"/>
        <w:rPr>
          <w:rFonts w:cs="Times New Roman"/>
          <w:szCs w:val="26"/>
        </w:rPr>
      </w:pPr>
      <w:r w:rsidRPr="00366F37">
        <w:rPr>
          <w:rFonts w:cs="Times New Roman"/>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366F37">
          <w:rPr>
            <w:rFonts w:cs="Times New Roman"/>
            <w:szCs w:val="26"/>
          </w:rPr>
          <w:t>66 A</w:t>
        </w:r>
      </w:smartTag>
      <w:r w:rsidRPr="00366F37">
        <w:rPr>
          <w:rFonts w:cs="Times New Roman"/>
          <w:szCs w:val="26"/>
        </w:rPr>
        <w:t xml:space="preserve"> </w:t>
      </w:r>
      <w:proofErr w:type="spellStart"/>
      <w:r w:rsidRPr="00366F37">
        <w:rPr>
          <w:rFonts w:cs="Times New Roman"/>
          <w:szCs w:val="26"/>
        </w:rPr>
        <w:t>CPLSS</w:t>
      </w:r>
      <w:proofErr w:type="spellEnd"/>
      <w:r w:rsidRPr="00366F37">
        <w:rPr>
          <w:rFonts w:cs="Times New Roman"/>
          <w:szCs w:val="26"/>
        </w:rPr>
        <w:t>.).</w:t>
      </w:r>
    </w:p>
    <w:p w14:paraId="5A769BD2" w14:textId="77777777" w:rsidR="008D0513" w:rsidRPr="00366F37" w:rsidRDefault="008D0513" w:rsidP="00366F37">
      <w:pPr>
        <w:spacing w:line="276" w:lineRule="auto"/>
        <w:jc w:val="both"/>
        <w:rPr>
          <w:rFonts w:cs="Times New Roman"/>
          <w:szCs w:val="26"/>
        </w:rPr>
      </w:pPr>
    </w:p>
    <w:p w14:paraId="1344B2D0" w14:textId="77777777" w:rsidR="008D0513" w:rsidRPr="00366F37" w:rsidRDefault="008D0513" w:rsidP="00366F37">
      <w:pPr>
        <w:spacing w:line="276" w:lineRule="auto"/>
        <w:jc w:val="both"/>
        <w:rPr>
          <w:rFonts w:cs="Times New Roman"/>
          <w:szCs w:val="26"/>
        </w:rPr>
      </w:pPr>
      <w:r w:rsidRPr="00366F37">
        <w:rPr>
          <w:rFonts w:cs="Times New Roman"/>
          <w:szCs w:val="26"/>
        </w:rPr>
        <w:t>Escuchadas las intervenciones que en síntesis reflejan los puntos debatidos por los integrantes de la Sala, se procede a decidir lo que corresponda, previas las siguientes:</w:t>
      </w:r>
    </w:p>
    <w:p w14:paraId="4D8CA224" w14:textId="77777777" w:rsidR="008D0513" w:rsidRPr="00366F37" w:rsidRDefault="008D0513" w:rsidP="00366F37">
      <w:pPr>
        <w:spacing w:line="276" w:lineRule="auto"/>
        <w:jc w:val="both"/>
        <w:rPr>
          <w:rFonts w:cs="Times New Roman"/>
          <w:szCs w:val="26"/>
        </w:rPr>
      </w:pPr>
      <w:r w:rsidRPr="00366F37">
        <w:rPr>
          <w:rFonts w:cs="Times New Roman"/>
          <w:szCs w:val="26"/>
        </w:rPr>
        <w:tab/>
      </w:r>
    </w:p>
    <w:p w14:paraId="27350AFB" w14:textId="77777777" w:rsidR="008D0513" w:rsidRPr="00366F37" w:rsidRDefault="008D0513" w:rsidP="00366F37">
      <w:pPr>
        <w:pStyle w:val="Prrafodelista"/>
        <w:numPr>
          <w:ilvl w:val="0"/>
          <w:numId w:val="6"/>
        </w:numPr>
        <w:tabs>
          <w:tab w:val="left" w:pos="851"/>
        </w:tabs>
        <w:spacing w:line="276" w:lineRule="auto"/>
        <w:ind w:left="284" w:hanging="284"/>
        <w:jc w:val="both"/>
        <w:rPr>
          <w:rFonts w:cs="Times New Roman"/>
          <w:b/>
          <w:bCs/>
          <w:szCs w:val="26"/>
        </w:rPr>
      </w:pPr>
      <w:r w:rsidRPr="00366F37">
        <w:rPr>
          <w:rFonts w:cs="Times New Roman"/>
          <w:b/>
          <w:bCs/>
          <w:szCs w:val="26"/>
        </w:rPr>
        <w:t>CONSIDERACIONES:</w:t>
      </w:r>
    </w:p>
    <w:p w14:paraId="16835C4F" w14:textId="10B801E7" w:rsidR="002E5712" w:rsidRPr="00366F37" w:rsidRDefault="002E5712" w:rsidP="00366F37">
      <w:pPr>
        <w:spacing w:line="276" w:lineRule="auto"/>
        <w:jc w:val="both"/>
        <w:rPr>
          <w:rFonts w:cs="Times New Roman"/>
          <w:szCs w:val="26"/>
        </w:rPr>
      </w:pPr>
    </w:p>
    <w:p w14:paraId="6FCED612" w14:textId="66E54334" w:rsidR="00766170" w:rsidRPr="00366F37" w:rsidRDefault="00766170" w:rsidP="00366F37">
      <w:pPr>
        <w:pStyle w:val="Prrafodelista"/>
        <w:numPr>
          <w:ilvl w:val="1"/>
          <w:numId w:val="9"/>
        </w:numPr>
        <w:tabs>
          <w:tab w:val="left" w:pos="567"/>
        </w:tabs>
        <w:spacing w:line="276" w:lineRule="auto"/>
        <w:ind w:left="709" w:hanging="709"/>
        <w:jc w:val="both"/>
        <w:rPr>
          <w:b/>
          <w:bCs/>
          <w:szCs w:val="26"/>
        </w:rPr>
      </w:pPr>
      <w:r w:rsidRPr="00366F37">
        <w:rPr>
          <w:b/>
          <w:bCs/>
          <w:szCs w:val="26"/>
        </w:rPr>
        <w:t>Del Problema Jurídico.</w:t>
      </w:r>
    </w:p>
    <w:p w14:paraId="6CF7517E" w14:textId="77777777" w:rsidR="00766170" w:rsidRPr="00366F37" w:rsidRDefault="00766170" w:rsidP="00366F37">
      <w:pPr>
        <w:spacing w:line="276" w:lineRule="auto"/>
        <w:jc w:val="both"/>
        <w:rPr>
          <w:rFonts w:cs="Times New Roman"/>
          <w:szCs w:val="26"/>
        </w:rPr>
      </w:pPr>
    </w:p>
    <w:p w14:paraId="66FE50C6" w14:textId="26CD9E92" w:rsidR="00766170" w:rsidRPr="00366F37" w:rsidRDefault="00766170" w:rsidP="00366F37">
      <w:pPr>
        <w:spacing w:line="276" w:lineRule="auto"/>
        <w:jc w:val="both"/>
        <w:rPr>
          <w:rFonts w:cs="Times New Roman"/>
          <w:szCs w:val="26"/>
        </w:rPr>
      </w:pPr>
      <w:r w:rsidRPr="00366F37">
        <w:rPr>
          <w:rFonts w:cs="Times New Roman"/>
          <w:szCs w:val="26"/>
        </w:rPr>
        <w:t>La alzada propuesta y el grado jurisdiccional de consulta respecto de la Administradora Colombiana de Pensiones “Colpensiones”, impone a la Sala resolver los siguientes problemas jurídicos:</w:t>
      </w:r>
    </w:p>
    <w:p w14:paraId="456D9B77" w14:textId="77777777" w:rsidR="00766170" w:rsidRPr="00366F37" w:rsidRDefault="00766170" w:rsidP="00366F37">
      <w:pPr>
        <w:spacing w:line="276" w:lineRule="auto"/>
        <w:jc w:val="both"/>
        <w:rPr>
          <w:rFonts w:cs="Times New Roman"/>
          <w:szCs w:val="26"/>
        </w:rPr>
      </w:pPr>
    </w:p>
    <w:p w14:paraId="5186720A" w14:textId="53BDAA70" w:rsidR="00C336CF" w:rsidRPr="00366F37" w:rsidRDefault="00C336CF" w:rsidP="00366F37">
      <w:pPr>
        <w:spacing w:line="276" w:lineRule="auto"/>
        <w:ind w:left="708"/>
        <w:jc w:val="both"/>
        <w:rPr>
          <w:rFonts w:cs="Times New Roman"/>
          <w:szCs w:val="26"/>
        </w:rPr>
      </w:pPr>
      <w:r w:rsidRPr="00366F37">
        <w:rPr>
          <w:rFonts w:cs="Times New Roman"/>
          <w:szCs w:val="26"/>
        </w:rPr>
        <w:t xml:space="preserve">¿Es viable la indexación de la primera mesada para las pensiones de vejez reconocidas por el extinto </w:t>
      </w:r>
      <w:proofErr w:type="spellStart"/>
      <w:r w:rsidRPr="00366F37">
        <w:rPr>
          <w:rFonts w:cs="Times New Roman"/>
          <w:szCs w:val="26"/>
        </w:rPr>
        <w:t>I.S.S</w:t>
      </w:r>
      <w:proofErr w:type="spellEnd"/>
      <w:r w:rsidRPr="00366F37">
        <w:rPr>
          <w:rFonts w:cs="Times New Roman"/>
          <w:szCs w:val="26"/>
        </w:rPr>
        <w:t>., antes de la promulgación de la Constitución de 1991</w:t>
      </w:r>
      <w:r w:rsidR="008E10F2" w:rsidRPr="00366F37">
        <w:rPr>
          <w:rFonts w:cs="Times New Roman"/>
          <w:szCs w:val="26"/>
        </w:rPr>
        <w:t xml:space="preserve"> y con aplicación del artículo 20 del acuerdo 049 de 1990</w:t>
      </w:r>
      <w:r w:rsidRPr="00366F37">
        <w:rPr>
          <w:rFonts w:cs="Times New Roman"/>
          <w:szCs w:val="26"/>
        </w:rPr>
        <w:t xml:space="preserve">?. </w:t>
      </w:r>
    </w:p>
    <w:p w14:paraId="65C2EDEB" w14:textId="77777777" w:rsidR="00C336CF" w:rsidRPr="00366F37" w:rsidRDefault="00C336CF" w:rsidP="00366F37">
      <w:pPr>
        <w:spacing w:line="276" w:lineRule="auto"/>
        <w:ind w:left="708"/>
        <w:jc w:val="both"/>
        <w:rPr>
          <w:rFonts w:cs="Times New Roman"/>
          <w:szCs w:val="26"/>
        </w:rPr>
      </w:pPr>
    </w:p>
    <w:p w14:paraId="18F1EE6A" w14:textId="72A270F3" w:rsidR="00766170" w:rsidRPr="00366F37" w:rsidRDefault="00766170" w:rsidP="00366F37">
      <w:pPr>
        <w:spacing w:line="276" w:lineRule="auto"/>
        <w:ind w:left="708"/>
        <w:jc w:val="both"/>
        <w:rPr>
          <w:rFonts w:cs="Times New Roman"/>
          <w:szCs w:val="26"/>
        </w:rPr>
      </w:pPr>
      <w:r w:rsidRPr="00366F37">
        <w:rPr>
          <w:rFonts w:cs="Times New Roman"/>
          <w:szCs w:val="26"/>
        </w:rPr>
        <w:t xml:space="preserve">¿Hay lugar a aumentar la tasa prestacional aplicada al </w:t>
      </w:r>
      <w:proofErr w:type="spellStart"/>
      <w:r w:rsidRPr="00366F37">
        <w:rPr>
          <w:rFonts w:cs="Times New Roman"/>
          <w:szCs w:val="26"/>
        </w:rPr>
        <w:t>IBL</w:t>
      </w:r>
      <w:proofErr w:type="spellEnd"/>
      <w:r w:rsidRPr="00366F37">
        <w:rPr>
          <w:rFonts w:cs="Times New Roman"/>
          <w:szCs w:val="26"/>
        </w:rPr>
        <w:t xml:space="preserve"> de la pensión de vejez reconocida al demandante, de manera que deba </w:t>
      </w:r>
      <w:proofErr w:type="spellStart"/>
      <w:r w:rsidRPr="00366F37">
        <w:rPr>
          <w:rFonts w:cs="Times New Roman"/>
          <w:szCs w:val="26"/>
        </w:rPr>
        <w:t>reliquidarse</w:t>
      </w:r>
      <w:proofErr w:type="spellEnd"/>
      <w:r w:rsidRPr="00366F37">
        <w:rPr>
          <w:rFonts w:cs="Times New Roman"/>
          <w:szCs w:val="26"/>
        </w:rPr>
        <w:t xml:space="preserve"> dicha prestación?</w:t>
      </w:r>
      <w:r w:rsidR="002214F6" w:rsidRPr="00366F37">
        <w:rPr>
          <w:rFonts w:cs="Times New Roman"/>
          <w:szCs w:val="26"/>
        </w:rPr>
        <w:t xml:space="preserve"> De ser así, existen diferencias en favor del actor.</w:t>
      </w:r>
    </w:p>
    <w:p w14:paraId="1454053E" w14:textId="1B8FBF6C" w:rsidR="00766170" w:rsidRPr="00366F37" w:rsidRDefault="00766170" w:rsidP="00366F37">
      <w:pPr>
        <w:spacing w:line="276" w:lineRule="auto"/>
        <w:jc w:val="both"/>
        <w:rPr>
          <w:rFonts w:cs="Times New Roman"/>
          <w:szCs w:val="26"/>
        </w:rPr>
      </w:pPr>
    </w:p>
    <w:p w14:paraId="6D0E2558" w14:textId="77777777" w:rsidR="00766170" w:rsidRPr="00366F37" w:rsidRDefault="00766170" w:rsidP="00366F37">
      <w:pPr>
        <w:pStyle w:val="Prrafodelista"/>
        <w:numPr>
          <w:ilvl w:val="1"/>
          <w:numId w:val="9"/>
        </w:numPr>
        <w:tabs>
          <w:tab w:val="left" w:pos="567"/>
        </w:tabs>
        <w:spacing w:line="276" w:lineRule="auto"/>
        <w:ind w:left="709" w:hanging="709"/>
        <w:jc w:val="both"/>
        <w:rPr>
          <w:b/>
          <w:bCs/>
          <w:szCs w:val="26"/>
        </w:rPr>
      </w:pPr>
      <w:r w:rsidRPr="00366F37">
        <w:rPr>
          <w:b/>
          <w:bCs/>
          <w:szCs w:val="26"/>
        </w:rPr>
        <w:t>Desenvolvimiento del asunto.</w:t>
      </w:r>
    </w:p>
    <w:p w14:paraId="52BBA42B" w14:textId="32E322FA" w:rsidR="00766170" w:rsidRPr="00366F37" w:rsidRDefault="00766170" w:rsidP="00366F37">
      <w:pPr>
        <w:spacing w:line="276" w:lineRule="auto"/>
        <w:jc w:val="both"/>
        <w:rPr>
          <w:rFonts w:cs="Times New Roman"/>
          <w:szCs w:val="26"/>
        </w:rPr>
      </w:pPr>
    </w:p>
    <w:p w14:paraId="2AEA72C9" w14:textId="780F98B2" w:rsidR="0023779E" w:rsidRPr="00366F37" w:rsidRDefault="002214F6" w:rsidP="00366F37">
      <w:pPr>
        <w:spacing w:line="276" w:lineRule="auto"/>
        <w:jc w:val="both"/>
        <w:rPr>
          <w:i/>
          <w:szCs w:val="26"/>
        </w:rPr>
      </w:pPr>
      <w:r w:rsidRPr="00366F37">
        <w:rPr>
          <w:rFonts w:cs="Times New Roman"/>
          <w:szCs w:val="26"/>
        </w:rPr>
        <w:t>P</w:t>
      </w:r>
      <w:r w:rsidR="002E5712" w:rsidRPr="00366F37">
        <w:rPr>
          <w:rFonts w:cs="Times New Roman"/>
          <w:szCs w:val="26"/>
        </w:rPr>
        <w:t xml:space="preserve">ara resolver el objeto de la alzada, </w:t>
      </w:r>
      <w:r w:rsidR="0079249E" w:rsidRPr="00366F37">
        <w:rPr>
          <w:rFonts w:cs="Times New Roman"/>
          <w:szCs w:val="26"/>
        </w:rPr>
        <w:t>s</w:t>
      </w:r>
      <w:r w:rsidR="0023779E" w:rsidRPr="00366F37">
        <w:rPr>
          <w:rFonts w:cs="Times New Roman"/>
          <w:szCs w:val="26"/>
        </w:rPr>
        <w:t>e encuentra por fuera de debate</w:t>
      </w:r>
      <w:r w:rsidR="008E10F2" w:rsidRPr="00366F37">
        <w:rPr>
          <w:rFonts w:cs="Times New Roman"/>
          <w:szCs w:val="26"/>
        </w:rPr>
        <w:t>,</w:t>
      </w:r>
      <w:r w:rsidR="0023779E" w:rsidRPr="00366F37">
        <w:rPr>
          <w:rFonts w:cs="Times New Roman"/>
          <w:szCs w:val="26"/>
        </w:rPr>
        <w:t xml:space="preserve"> los siguientes aspectos fácticos, demostrados en juicio: </w:t>
      </w:r>
      <w:r w:rsidR="0023779E" w:rsidRPr="00366F37">
        <w:rPr>
          <w:rFonts w:cs="Times New Roman"/>
          <w:b/>
          <w:bCs/>
          <w:i/>
          <w:szCs w:val="26"/>
        </w:rPr>
        <w:t>i)</w:t>
      </w:r>
      <w:r w:rsidR="0023779E" w:rsidRPr="00366F37">
        <w:rPr>
          <w:rFonts w:cs="Times New Roman"/>
          <w:i/>
          <w:szCs w:val="26"/>
        </w:rPr>
        <w:t xml:space="preserve"> </w:t>
      </w:r>
      <w:r w:rsidR="00466742" w:rsidRPr="00366F37">
        <w:rPr>
          <w:rFonts w:cs="Times New Roman"/>
          <w:i/>
          <w:szCs w:val="26"/>
        </w:rPr>
        <w:t xml:space="preserve">El Sr. Augusto Marco Aurelio Zapata nació el 26 de septiembre de 1930; </w:t>
      </w:r>
      <w:r w:rsidR="00466742" w:rsidRPr="00366F37">
        <w:rPr>
          <w:rFonts w:cs="Times New Roman"/>
          <w:b/>
          <w:bCs/>
          <w:i/>
          <w:szCs w:val="26"/>
        </w:rPr>
        <w:t>ii)</w:t>
      </w:r>
      <w:r w:rsidR="00466742" w:rsidRPr="00366F37">
        <w:rPr>
          <w:rFonts w:cs="Times New Roman"/>
          <w:i/>
          <w:szCs w:val="26"/>
        </w:rPr>
        <w:t xml:space="preserve"> El </w:t>
      </w:r>
      <w:r w:rsidR="0023779E" w:rsidRPr="00366F37">
        <w:rPr>
          <w:i/>
          <w:szCs w:val="26"/>
        </w:rPr>
        <w:t xml:space="preserve">ISS, </w:t>
      </w:r>
      <w:r w:rsidR="00466742" w:rsidRPr="00366F37">
        <w:rPr>
          <w:i/>
          <w:szCs w:val="26"/>
        </w:rPr>
        <w:t xml:space="preserve">por </w:t>
      </w:r>
      <w:r w:rsidR="0023779E" w:rsidRPr="00366F37">
        <w:rPr>
          <w:i/>
          <w:szCs w:val="26"/>
        </w:rPr>
        <w:t xml:space="preserve">Resolución </w:t>
      </w:r>
      <w:r w:rsidR="00466742" w:rsidRPr="00366F37">
        <w:rPr>
          <w:i/>
          <w:szCs w:val="26"/>
        </w:rPr>
        <w:t>N</w:t>
      </w:r>
      <w:r w:rsidR="0023779E" w:rsidRPr="00366F37">
        <w:rPr>
          <w:i/>
          <w:szCs w:val="26"/>
        </w:rPr>
        <w:t>° 000</w:t>
      </w:r>
      <w:r w:rsidR="00466742" w:rsidRPr="00366F37">
        <w:rPr>
          <w:i/>
          <w:szCs w:val="26"/>
        </w:rPr>
        <w:t>63</w:t>
      </w:r>
      <w:r w:rsidR="0023779E" w:rsidRPr="00366F37">
        <w:rPr>
          <w:i/>
          <w:szCs w:val="26"/>
        </w:rPr>
        <w:t xml:space="preserve">1 del 25 </w:t>
      </w:r>
      <w:r w:rsidR="00466742" w:rsidRPr="00366F37">
        <w:rPr>
          <w:i/>
          <w:szCs w:val="26"/>
        </w:rPr>
        <w:t>del 19 de marzo de 1991</w:t>
      </w:r>
      <w:r w:rsidR="0023779E" w:rsidRPr="00366F37">
        <w:rPr>
          <w:i/>
          <w:szCs w:val="26"/>
        </w:rPr>
        <w:t xml:space="preserve">, le reconoció pensión de vejez </w:t>
      </w:r>
      <w:r w:rsidR="00466742" w:rsidRPr="00366F37">
        <w:rPr>
          <w:i/>
          <w:szCs w:val="26"/>
        </w:rPr>
        <w:t>al actor</w:t>
      </w:r>
      <w:r w:rsidR="0023779E" w:rsidRPr="00366F37">
        <w:rPr>
          <w:i/>
          <w:szCs w:val="26"/>
        </w:rPr>
        <w:t xml:space="preserve">, a partir del </w:t>
      </w:r>
      <w:r w:rsidR="00466742" w:rsidRPr="00366F37">
        <w:rPr>
          <w:i/>
          <w:szCs w:val="26"/>
        </w:rPr>
        <w:t xml:space="preserve">27 de septiembre </w:t>
      </w:r>
      <w:r w:rsidR="0023779E" w:rsidRPr="00366F37">
        <w:rPr>
          <w:i/>
          <w:szCs w:val="26"/>
        </w:rPr>
        <w:t>de 1990, por valor de $</w:t>
      </w:r>
      <w:r w:rsidR="00466742" w:rsidRPr="00366F37">
        <w:rPr>
          <w:i/>
          <w:szCs w:val="26"/>
        </w:rPr>
        <w:t>41.025</w:t>
      </w:r>
      <w:r w:rsidR="0023779E" w:rsidRPr="00366F37">
        <w:rPr>
          <w:i/>
          <w:szCs w:val="26"/>
        </w:rPr>
        <w:t xml:space="preserve">; </w:t>
      </w:r>
      <w:r w:rsidR="0023779E" w:rsidRPr="00366F37">
        <w:rPr>
          <w:b/>
          <w:bCs/>
          <w:i/>
          <w:szCs w:val="26"/>
        </w:rPr>
        <w:t>i</w:t>
      </w:r>
      <w:r w:rsidR="00466742" w:rsidRPr="00366F37">
        <w:rPr>
          <w:b/>
          <w:bCs/>
          <w:i/>
          <w:szCs w:val="26"/>
        </w:rPr>
        <w:t>i</w:t>
      </w:r>
      <w:r w:rsidR="0023779E" w:rsidRPr="00366F37">
        <w:rPr>
          <w:b/>
          <w:bCs/>
          <w:i/>
          <w:szCs w:val="26"/>
        </w:rPr>
        <w:t>i)</w:t>
      </w:r>
      <w:r w:rsidR="0023779E" w:rsidRPr="00366F37">
        <w:rPr>
          <w:i/>
          <w:szCs w:val="26"/>
        </w:rPr>
        <w:t xml:space="preserve"> Que la prestación fue liquidada sobre </w:t>
      </w:r>
      <w:r w:rsidR="00466742" w:rsidRPr="00366F37">
        <w:rPr>
          <w:i/>
          <w:szCs w:val="26"/>
        </w:rPr>
        <w:t xml:space="preserve">849 </w:t>
      </w:r>
      <w:r w:rsidR="0023779E" w:rsidRPr="00366F37">
        <w:rPr>
          <w:i/>
          <w:szCs w:val="26"/>
        </w:rPr>
        <w:t xml:space="preserve">semanas y un salario </w:t>
      </w:r>
      <w:r w:rsidR="00466742" w:rsidRPr="00366F37">
        <w:rPr>
          <w:i/>
          <w:szCs w:val="26"/>
        </w:rPr>
        <w:t xml:space="preserve">base </w:t>
      </w:r>
      <w:r w:rsidR="0023779E" w:rsidRPr="00366F37">
        <w:rPr>
          <w:i/>
          <w:szCs w:val="26"/>
        </w:rPr>
        <w:t>de $</w:t>
      </w:r>
      <w:r w:rsidR="00466742" w:rsidRPr="00366F37">
        <w:rPr>
          <w:i/>
          <w:szCs w:val="26"/>
        </w:rPr>
        <w:t>27.727,</w:t>
      </w:r>
      <w:r w:rsidR="00466742" w:rsidRPr="00366F37">
        <w:rPr>
          <w:i/>
          <w:szCs w:val="26"/>
          <w:vertAlign w:val="superscript"/>
        </w:rPr>
        <w:t>89</w:t>
      </w:r>
      <w:r w:rsidR="0023779E" w:rsidRPr="00366F37">
        <w:rPr>
          <w:i/>
          <w:szCs w:val="26"/>
        </w:rPr>
        <w:t xml:space="preserve"> y al cual se le aplicó </w:t>
      </w:r>
      <w:r w:rsidR="00466742" w:rsidRPr="00366F37">
        <w:rPr>
          <w:i/>
          <w:szCs w:val="26"/>
        </w:rPr>
        <w:t xml:space="preserve">la </w:t>
      </w:r>
      <w:r w:rsidR="0023779E" w:rsidRPr="00366F37">
        <w:rPr>
          <w:i/>
          <w:szCs w:val="26"/>
        </w:rPr>
        <w:t xml:space="preserve">tasa de remplazo del </w:t>
      </w:r>
      <w:r w:rsidR="00466742" w:rsidRPr="00366F37">
        <w:rPr>
          <w:i/>
          <w:szCs w:val="26"/>
        </w:rPr>
        <w:t>63</w:t>
      </w:r>
      <w:r w:rsidR="0023779E" w:rsidRPr="00366F37">
        <w:rPr>
          <w:i/>
          <w:szCs w:val="26"/>
        </w:rPr>
        <w:t xml:space="preserve">%; </w:t>
      </w:r>
      <w:r w:rsidR="0023779E" w:rsidRPr="00366F37">
        <w:rPr>
          <w:b/>
          <w:bCs/>
          <w:i/>
          <w:szCs w:val="26"/>
        </w:rPr>
        <w:t>i</w:t>
      </w:r>
      <w:r w:rsidR="00466742" w:rsidRPr="00366F37">
        <w:rPr>
          <w:b/>
          <w:bCs/>
          <w:i/>
          <w:szCs w:val="26"/>
        </w:rPr>
        <w:t>v</w:t>
      </w:r>
      <w:r w:rsidR="0023779E" w:rsidRPr="00366F37">
        <w:rPr>
          <w:b/>
          <w:bCs/>
          <w:i/>
          <w:szCs w:val="26"/>
        </w:rPr>
        <w:t>)</w:t>
      </w:r>
      <w:r w:rsidR="0023779E" w:rsidRPr="00366F37">
        <w:rPr>
          <w:i/>
          <w:szCs w:val="26"/>
        </w:rPr>
        <w:t xml:space="preserve"> Que dicha </w:t>
      </w:r>
      <w:r w:rsidR="00466742" w:rsidRPr="00366F37">
        <w:rPr>
          <w:i/>
          <w:szCs w:val="26"/>
        </w:rPr>
        <w:t xml:space="preserve">prestación </w:t>
      </w:r>
      <w:r w:rsidR="0023779E" w:rsidRPr="00366F37">
        <w:rPr>
          <w:i/>
          <w:szCs w:val="26"/>
        </w:rPr>
        <w:t xml:space="preserve">se otorgó </w:t>
      </w:r>
      <w:r w:rsidR="00466742" w:rsidRPr="00366F37">
        <w:rPr>
          <w:i/>
          <w:szCs w:val="26"/>
        </w:rPr>
        <w:t xml:space="preserve">según </w:t>
      </w:r>
      <w:r w:rsidR="0023779E" w:rsidRPr="00366F37">
        <w:rPr>
          <w:i/>
          <w:szCs w:val="26"/>
        </w:rPr>
        <w:t>los artículos 12 y 20 del Acuerdo 049 de 1990, aprobado por el Decreto 758 de la misma anualidad</w:t>
      </w:r>
      <w:r w:rsidR="00466742" w:rsidRPr="00366F37">
        <w:rPr>
          <w:i/>
          <w:szCs w:val="26"/>
        </w:rPr>
        <w:t xml:space="preserve">; </w:t>
      </w:r>
      <w:r w:rsidR="00466742" w:rsidRPr="00366F37">
        <w:rPr>
          <w:b/>
          <w:bCs/>
          <w:i/>
          <w:szCs w:val="26"/>
        </w:rPr>
        <w:t>v)</w:t>
      </w:r>
      <w:r w:rsidR="00466742" w:rsidRPr="00366F37">
        <w:rPr>
          <w:i/>
          <w:szCs w:val="26"/>
        </w:rPr>
        <w:t xml:space="preserve"> El 4 de agosto de 2017 se presentó la reclamación </w:t>
      </w:r>
      <w:r w:rsidR="00D516B4" w:rsidRPr="00366F37">
        <w:rPr>
          <w:i/>
          <w:szCs w:val="26"/>
        </w:rPr>
        <w:t xml:space="preserve">de la reliquidación e indexación de la primera mesada; </w:t>
      </w:r>
      <w:r w:rsidR="00D516B4" w:rsidRPr="00366F37">
        <w:rPr>
          <w:b/>
          <w:bCs/>
          <w:i/>
          <w:szCs w:val="26"/>
        </w:rPr>
        <w:t>vi)</w:t>
      </w:r>
      <w:r w:rsidR="00D516B4" w:rsidRPr="00366F37">
        <w:rPr>
          <w:i/>
          <w:szCs w:val="26"/>
        </w:rPr>
        <w:t xml:space="preserve"> Colpensiones por resolución SUB168263 del 22 de agosto de 2017, negó la reliquidación al concluir que con las 1013 semanas acreditadas al 31 de agosto de 1986, no </w:t>
      </w:r>
      <w:r w:rsidR="00D516B4" w:rsidRPr="00366F37">
        <w:rPr>
          <w:i/>
          <w:szCs w:val="26"/>
        </w:rPr>
        <w:lastRenderedPageBreak/>
        <w:t>generaba variación alguna en la mesada pensional, decisión que fue confirmada por resoluciones SUB228993 del 17 de octubre de 2017 y DIR19447 del 1 de noviembre de 2017.</w:t>
      </w:r>
    </w:p>
    <w:p w14:paraId="7B98B68F" w14:textId="6B5BFE7B" w:rsidR="002E5712" w:rsidRPr="00366F37" w:rsidRDefault="002E5712" w:rsidP="00366F37">
      <w:pPr>
        <w:spacing w:line="276" w:lineRule="auto"/>
        <w:jc w:val="both"/>
        <w:rPr>
          <w:rFonts w:cs="Times New Roman"/>
          <w:szCs w:val="26"/>
        </w:rPr>
      </w:pPr>
    </w:p>
    <w:p w14:paraId="4ACD2964" w14:textId="239C390E" w:rsidR="002214F6" w:rsidRPr="00366F37" w:rsidRDefault="002214F6" w:rsidP="00366F37">
      <w:pPr>
        <w:pStyle w:val="Prrafodelista"/>
        <w:numPr>
          <w:ilvl w:val="2"/>
          <w:numId w:val="9"/>
        </w:numPr>
        <w:tabs>
          <w:tab w:val="left" w:pos="567"/>
        </w:tabs>
        <w:spacing w:line="276" w:lineRule="auto"/>
        <w:jc w:val="both"/>
        <w:rPr>
          <w:b/>
          <w:bCs/>
          <w:szCs w:val="26"/>
        </w:rPr>
      </w:pPr>
      <w:r w:rsidRPr="00366F37">
        <w:rPr>
          <w:b/>
          <w:bCs/>
          <w:szCs w:val="26"/>
        </w:rPr>
        <w:t>De la indexación a la primera mesada.</w:t>
      </w:r>
    </w:p>
    <w:p w14:paraId="0B76B68D" w14:textId="77777777" w:rsidR="002214F6" w:rsidRPr="00366F37" w:rsidRDefault="002214F6" w:rsidP="00366F37">
      <w:pPr>
        <w:spacing w:line="276" w:lineRule="auto"/>
        <w:jc w:val="both"/>
        <w:rPr>
          <w:rFonts w:cs="Times New Roman"/>
          <w:szCs w:val="26"/>
        </w:rPr>
      </w:pPr>
    </w:p>
    <w:p w14:paraId="342968A2" w14:textId="7064CBE5" w:rsidR="00965DDD" w:rsidRPr="00366F37" w:rsidRDefault="008E10F2" w:rsidP="00366F37">
      <w:pPr>
        <w:spacing w:line="276" w:lineRule="auto"/>
        <w:jc w:val="both"/>
        <w:rPr>
          <w:rFonts w:cs="Times New Roman"/>
          <w:szCs w:val="26"/>
        </w:rPr>
      </w:pPr>
      <w:r w:rsidRPr="00366F37">
        <w:rPr>
          <w:szCs w:val="26"/>
        </w:rPr>
        <w:t>Conforme lo anterior, pasa la Sala a realizar e</w:t>
      </w:r>
      <w:r w:rsidR="002214F6" w:rsidRPr="00366F37">
        <w:rPr>
          <w:szCs w:val="26"/>
        </w:rPr>
        <w:t xml:space="preserve">l análisis sobre la viabilidad de aplicar la indexación de la primera mesada para las pensiones de vejez reconocidas por el extinto </w:t>
      </w:r>
      <w:proofErr w:type="spellStart"/>
      <w:r w:rsidR="002214F6" w:rsidRPr="00366F37">
        <w:rPr>
          <w:szCs w:val="26"/>
        </w:rPr>
        <w:t>I.S.S</w:t>
      </w:r>
      <w:proofErr w:type="spellEnd"/>
      <w:r w:rsidR="002214F6" w:rsidRPr="00366F37">
        <w:rPr>
          <w:szCs w:val="26"/>
        </w:rPr>
        <w:t xml:space="preserve">., </w:t>
      </w:r>
      <w:r w:rsidRPr="00366F37">
        <w:rPr>
          <w:szCs w:val="26"/>
        </w:rPr>
        <w:t xml:space="preserve">según el artículo 20 del Acuerdo 049 de 1990, previo a </w:t>
      </w:r>
      <w:r w:rsidR="002214F6" w:rsidRPr="00366F37">
        <w:rPr>
          <w:szCs w:val="26"/>
        </w:rPr>
        <w:t xml:space="preserve">la promulgación de la Constitución de 1991, </w:t>
      </w:r>
      <w:r w:rsidRPr="00366F37">
        <w:rPr>
          <w:szCs w:val="26"/>
        </w:rPr>
        <w:t xml:space="preserve">para lo cual resulta </w:t>
      </w:r>
      <w:r w:rsidR="002214F6" w:rsidRPr="00366F37">
        <w:rPr>
          <w:szCs w:val="26"/>
        </w:rPr>
        <w:t xml:space="preserve">necesario hacer </w:t>
      </w:r>
      <w:r w:rsidR="00965DDD" w:rsidRPr="00366F37">
        <w:rPr>
          <w:szCs w:val="26"/>
        </w:rPr>
        <w:t>referencia a que</w:t>
      </w:r>
      <w:r w:rsidR="00965DDD" w:rsidRPr="00366F37">
        <w:rPr>
          <w:rFonts w:cs="Times New Roman"/>
          <w:szCs w:val="26"/>
        </w:rPr>
        <w:t xml:space="preserve"> dicho concepto tiene como finalidad la de </w:t>
      </w:r>
      <w:r w:rsidR="00965DDD" w:rsidRPr="00366F37">
        <w:rPr>
          <w:rFonts w:cs="Times New Roman"/>
          <w:i/>
          <w:szCs w:val="26"/>
        </w:rPr>
        <w:t>«</w:t>
      </w:r>
      <w:r w:rsidR="00965DDD" w:rsidRPr="00A84EBA">
        <w:rPr>
          <w:rFonts w:cs="Times New Roman"/>
          <w:i/>
          <w:sz w:val="24"/>
          <w:szCs w:val="26"/>
        </w:rPr>
        <w:t>obtener un reajuste del valor de la pensión, teniendo en cuenta la devaluación monetaria causada entre el momento en el que se produce el retiro y aquél en el que comenzó a disfrutar de la prestación</w:t>
      </w:r>
      <w:r w:rsidR="00965DDD" w:rsidRPr="00366F37">
        <w:rPr>
          <w:rFonts w:cs="Times New Roman"/>
          <w:i/>
          <w:szCs w:val="26"/>
        </w:rPr>
        <w:t>»</w:t>
      </w:r>
      <w:r w:rsidR="00965DDD" w:rsidRPr="00366F37">
        <w:rPr>
          <w:rStyle w:val="Refdenotaalpie"/>
          <w:rFonts w:cs="Times New Roman"/>
          <w:szCs w:val="26"/>
        </w:rPr>
        <w:footnoteReference w:id="1"/>
      </w:r>
      <w:r w:rsidR="00CC002A" w:rsidRPr="00366F37">
        <w:rPr>
          <w:rFonts w:cs="Times New Roman"/>
          <w:szCs w:val="26"/>
        </w:rPr>
        <w:t>.</w:t>
      </w:r>
    </w:p>
    <w:p w14:paraId="0078C1C3" w14:textId="33AE02DF" w:rsidR="002214F6" w:rsidRPr="00366F37" w:rsidRDefault="002214F6" w:rsidP="00366F37">
      <w:pPr>
        <w:spacing w:line="276" w:lineRule="auto"/>
        <w:jc w:val="both"/>
        <w:rPr>
          <w:rFonts w:cs="Times New Roman"/>
          <w:szCs w:val="26"/>
        </w:rPr>
      </w:pPr>
    </w:p>
    <w:p w14:paraId="67EBC4AD" w14:textId="63B00E8F" w:rsidR="0052382C" w:rsidRPr="00366F37" w:rsidRDefault="00F74243" w:rsidP="00366F37">
      <w:pPr>
        <w:spacing w:line="276" w:lineRule="auto"/>
        <w:jc w:val="both"/>
        <w:rPr>
          <w:rFonts w:cs="Times New Roman"/>
          <w:szCs w:val="26"/>
        </w:rPr>
      </w:pPr>
      <w:r w:rsidRPr="00366F37">
        <w:rPr>
          <w:rFonts w:cs="Times New Roman"/>
          <w:szCs w:val="26"/>
        </w:rPr>
        <w:t xml:space="preserve">En efecto, </w:t>
      </w:r>
      <w:r w:rsidR="003806AA" w:rsidRPr="00366F37">
        <w:rPr>
          <w:rFonts w:cs="Times New Roman"/>
          <w:szCs w:val="26"/>
        </w:rPr>
        <w:t>la Sala de Casación Laboral, a partir de la sentencia del 30 de agosto de 2011, Radicación 41852, consideró que dicho concepto resultaba viable para todas las prestaciones económicas reconocidas antes y después de la Constitución Política de 1991, por</w:t>
      </w:r>
      <w:r w:rsidR="009768D4" w:rsidRPr="00366F37">
        <w:rPr>
          <w:rFonts w:cs="Times New Roman"/>
          <w:szCs w:val="26"/>
        </w:rPr>
        <w:t>que</w:t>
      </w:r>
      <w:r w:rsidR="003806AA" w:rsidRPr="00366F37">
        <w:rPr>
          <w:rFonts w:cs="Times New Roman"/>
          <w:szCs w:val="26"/>
        </w:rPr>
        <w:t xml:space="preserve"> la pérdida </w:t>
      </w:r>
      <w:proofErr w:type="gramStart"/>
      <w:r w:rsidR="003806AA" w:rsidRPr="00366F37">
        <w:rPr>
          <w:rFonts w:cs="Times New Roman"/>
          <w:szCs w:val="26"/>
        </w:rPr>
        <w:t>del</w:t>
      </w:r>
      <w:proofErr w:type="gramEnd"/>
      <w:r w:rsidR="003806AA" w:rsidRPr="00366F37">
        <w:rPr>
          <w:rFonts w:cs="Times New Roman"/>
          <w:szCs w:val="26"/>
        </w:rPr>
        <w:t xml:space="preserve"> poder adquisitivo de la moneda afectaba </w:t>
      </w:r>
      <w:r w:rsidR="009768D4" w:rsidRPr="00366F37">
        <w:rPr>
          <w:rFonts w:cs="Times New Roman"/>
          <w:szCs w:val="26"/>
        </w:rPr>
        <w:t xml:space="preserve">a todas </w:t>
      </w:r>
      <w:r w:rsidR="003806AA" w:rsidRPr="00366F37">
        <w:rPr>
          <w:rFonts w:cs="Times New Roman"/>
          <w:szCs w:val="26"/>
        </w:rPr>
        <w:t>por igual</w:t>
      </w:r>
      <w:r w:rsidRPr="00366F37">
        <w:rPr>
          <w:rFonts w:cs="Times New Roman"/>
          <w:szCs w:val="26"/>
        </w:rPr>
        <w:t xml:space="preserve"> y </w:t>
      </w:r>
      <w:r w:rsidR="00CC002A" w:rsidRPr="00366F37">
        <w:rPr>
          <w:rFonts w:cs="Times New Roman"/>
          <w:szCs w:val="26"/>
        </w:rPr>
        <w:t xml:space="preserve">al referirse </w:t>
      </w:r>
      <w:r w:rsidRPr="00366F37">
        <w:rPr>
          <w:rFonts w:cs="Times New Roman"/>
          <w:szCs w:val="26"/>
        </w:rPr>
        <w:t xml:space="preserve">respecto de lo indicado por su homóloga Constitucional, en </w:t>
      </w:r>
      <w:r w:rsidR="0052382C" w:rsidRPr="00366F37">
        <w:rPr>
          <w:rFonts w:cs="Times New Roman"/>
          <w:szCs w:val="26"/>
        </w:rPr>
        <w:t xml:space="preserve">sentencia </w:t>
      </w:r>
      <w:r w:rsidR="0052382C" w:rsidRPr="00366F37">
        <w:rPr>
          <w:rFonts w:cs="Times New Roman"/>
          <w:b/>
          <w:bCs/>
          <w:szCs w:val="26"/>
        </w:rPr>
        <w:t>SL5152-2018</w:t>
      </w:r>
      <w:r w:rsidR="0052382C" w:rsidRPr="00366F37">
        <w:rPr>
          <w:szCs w:val="26"/>
          <w:vertAlign w:val="superscript"/>
        </w:rPr>
        <w:footnoteReference w:id="2"/>
      </w:r>
      <w:r w:rsidR="0052382C" w:rsidRPr="00366F37">
        <w:rPr>
          <w:rFonts w:cs="Times New Roman"/>
          <w:szCs w:val="26"/>
        </w:rPr>
        <w:t>, indicó:</w:t>
      </w:r>
    </w:p>
    <w:p w14:paraId="5F6856FC" w14:textId="2300E398" w:rsidR="0052382C" w:rsidRPr="00366F37" w:rsidRDefault="0052382C" w:rsidP="00366F37">
      <w:pPr>
        <w:spacing w:line="276" w:lineRule="auto"/>
        <w:jc w:val="both"/>
        <w:rPr>
          <w:rFonts w:cs="Times New Roman"/>
          <w:szCs w:val="26"/>
        </w:rPr>
      </w:pPr>
    </w:p>
    <w:p w14:paraId="40DDE1FB" w14:textId="7C5A61B3" w:rsidR="0052382C" w:rsidRPr="00A84EBA" w:rsidRDefault="0052382C" w:rsidP="00A84EBA">
      <w:pPr>
        <w:spacing w:line="240" w:lineRule="auto"/>
        <w:ind w:left="426" w:right="418"/>
        <w:jc w:val="both"/>
        <w:rPr>
          <w:rFonts w:cs="Times New Roman"/>
          <w:sz w:val="24"/>
          <w:szCs w:val="26"/>
          <w:u w:val="single"/>
        </w:rPr>
      </w:pPr>
      <w:r w:rsidRPr="00A84EBA">
        <w:rPr>
          <w:rFonts w:cs="Times New Roman"/>
          <w:sz w:val="24"/>
          <w:szCs w:val="26"/>
        </w:rPr>
        <w:t>«[L]a indexación ha sido considerada por la Corte Constitucional como un derecho constitucional de los pensionados para que su mesada no pierda poder adquisitivo, además de ser una garantía al mínimo vital y móvil, ya que evita el detrimento del patrimonio de personas de tercera edad (SU-120</w:t>
      </w:r>
      <w:r w:rsidR="009768D4" w:rsidRPr="00A84EBA">
        <w:rPr>
          <w:rFonts w:cs="Times New Roman"/>
          <w:sz w:val="24"/>
          <w:szCs w:val="26"/>
        </w:rPr>
        <w:t>/20</w:t>
      </w:r>
      <w:r w:rsidRPr="00A84EBA">
        <w:rPr>
          <w:rFonts w:cs="Times New Roman"/>
          <w:sz w:val="24"/>
          <w:szCs w:val="26"/>
        </w:rPr>
        <w:t>03), la cual señala que</w:t>
      </w:r>
      <w:r w:rsidR="00CC002A" w:rsidRPr="00A84EBA">
        <w:rPr>
          <w:rFonts w:cs="Times New Roman"/>
          <w:sz w:val="24"/>
          <w:szCs w:val="26"/>
        </w:rPr>
        <w:t>:</w:t>
      </w:r>
      <w:r w:rsidRPr="00A84EBA">
        <w:rPr>
          <w:rFonts w:cs="Times New Roman"/>
          <w:sz w:val="24"/>
          <w:szCs w:val="26"/>
        </w:rPr>
        <w:t xml:space="preserve"> </w:t>
      </w:r>
      <w:r w:rsidRPr="00A84EBA">
        <w:rPr>
          <w:rFonts w:cs="Times New Roman"/>
          <w:sz w:val="24"/>
          <w:szCs w:val="26"/>
          <w:u w:val="single"/>
        </w:rPr>
        <w:t>calcular el monto de la mesada pensional con base en un ingreso que el trabajador percibió años antes del momento en que le fue reconocida la pensión, contraría el mandato superior de equidad, el derecho de percibir una pensión mínima vital calculada teniendo en cuenta los fenómenos inflacionarios y la consecuente pérdida de poder adquisitivo del dinero, así como también, compromete los derechos fundamentales al debido proceso y a la igualdad del pensionado».</w:t>
      </w:r>
    </w:p>
    <w:p w14:paraId="0ACAA4A7" w14:textId="77777777" w:rsidR="00FB7506" w:rsidRPr="00366F37" w:rsidRDefault="00FB7506" w:rsidP="00366F37">
      <w:pPr>
        <w:spacing w:line="276" w:lineRule="auto"/>
        <w:jc w:val="both"/>
        <w:rPr>
          <w:rFonts w:cs="Times New Roman"/>
          <w:szCs w:val="26"/>
          <w:u w:val="single"/>
        </w:rPr>
      </w:pPr>
    </w:p>
    <w:p w14:paraId="365ACC13" w14:textId="72C143A5" w:rsidR="001352D2" w:rsidRPr="00366F37" w:rsidRDefault="001352D2" w:rsidP="00366F37">
      <w:pPr>
        <w:spacing w:line="276" w:lineRule="auto"/>
        <w:jc w:val="both"/>
        <w:rPr>
          <w:rFonts w:cs="Times New Roman"/>
          <w:szCs w:val="26"/>
        </w:rPr>
      </w:pPr>
      <w:r w:rsidRPr="00366F37">
        <w:rPr>
          <w:rFonts w:cs="Times New Roman"/>
          <w:szCs w:val="26"/>
        </w:rPr>
        <w:t>De otro lado, en sentencia</w:t>
      </w:r>
      <w:r w:rsidR="00FB7506" w:rsidRPr="00366F37">
        <w:rPr>
          <w:rFonts w:cs="Times New Roman"/>
          <w:szCs w:val="26"/>
        </w:rPr>
        <w:t>s</w:t>
      </w:r>
      <w:r w:rsidRPr="00366F37">
        <w:rPr>
          <w:rFonts w:cs="Times New Roman"/>
          <w:szCs w:val="26"/>
        </w:rPr>
        <w:t xml:space="preserve"> SL4462-2019</w:t>
      </w:r>
      <w:r w:rsidRPr="00366F37">
        <w:rPr>
          <w:szCs w:val="26"/>
          <w:vertAlign w:val="superscript"/>
        </w:rPr>
        <w:footnoteReference w:id="3"/>
      </w:r>
      <w:r w:rsidR="00FB7506" w:rsidRPr="00366F37">
        <w:rPr>
          <w:rFonts w:cs="Times New Roman"/>
          <w:szCs w:val="26"/>
        </w:rPr>
        <w:t xml:space="preserve"> y </w:t>
      </w:r>
      <w:r w:rsidRPr="00366F37">
        <w:rPr>
          <w:rFonts w:cs="Times New Roman"/>
          <w:szCs w:val="26"/>
        </w:rPr>
        <w:t xml:space="preserve">SL3283-2019, la Corte indicó que es improcedente la indexación de la primera mesada pensional </w:t>
      </w:r>
      <w:r w:rsidR="003A7553" w:rsidRPr="00366F37">
        <w:rPr>
          <w:rFonts w:cs="Times New Roman"/>
          <w:i/>
          <w:szCs w:val="26"/>
        </w:rPr>
        <w:t>(i)</w:t>
      </w:r>
      <w:r w:rsidR="003A7553" w:rsidRPr="00366F37">
        <w:rPr>
          <w:rFonts w:cs="Times New Roman"/>
          <w:szCs w:val="26"/>
        </w:rPr>
        <w:t xml:space="preserve"> </w:t>
      </w:r>
      <w:r w:rsidRPr="00366F37">
        <w:rPr>
          <w:rFonts w:cs="Times New Roman"/>
          <w:szCs w:val="26"/>
        </w:rPr>
        <w:t xml:space="preserve">cuando la </w:t>
      </w:r>
      <w:r w:rsidRPr="00366F37">
        <w:rPr>
          <w:rFonts w:cs="Times New Roman"/>
          <w:b/>
          <w:bCs/>
          <w:szCs w:val="26"/>
          <w:u w:val="single"/>
        </w:rPr>
        <w:t>prestación se comienza a disfrutar al día siguiente del retiro del servicio</w:t>
      </w:r>
      <w:r w:rsidRPr="00366F37">
        <w:rPr>
          <w:rFonts w:cs="Times New Roman"/>
          <w:szCs w:val="26"/>
        </w:rPr>
        <w:t>, bajo el entendido que el ingreso base de liquidación de la pensión no ha sufrido la pérdida del poder adquisitivo</w:t>
      </w:r>
      <w:r w:rsidR="003A7553" w:rsidRPr="00366F37">
        <w:rPr>
          <w:rFonts w:cs="Times New Roman"/>
          <w:szCs w:val="26"/>
        </w:rPr>
        <w:t xml:space="preserve"> y </w:t>
      </w:r>
      <w:r w:rsidRPr="00366F37">
        <w:rPr>
          <w:rFonts w:cs="Times New Roman"/>
          <w:szCs w:val="26"/>
        </w:rPr>
        <w:t>no ha transcurrido tiempo entre la terminación del vínculo y el disfrute de la prestación</w:t>
      </w:r>
      <w:r w:rsidR="003A7553" w:rsidRPr="00366F37">
        <w:rPr>
          <w:rFonts w:cs="Times New Roman"/>
          <w:szCs w:val="26"/>
        </w:rPr>
        <w:t xml:space="preserve"> y</w:t>
      </w:r>
      <w:r w:rsidRPr="00366F37">
        <w:rPr>
          <w:rFonts w:cs="Times New Roman"/>
          <w:szCs w:val="26"/>
        </w:rPr>
        <w:t xml:space="preserve">, </w:t>
      </w:r>
      <w:r w:rsidR="003A7553" w:rsidRPr="00366F37">
        <w:rPr>
          <w:rFonts w:cs="Times New Roman"/>
          <w:i/>
          <w:szCs w:val="26"/>
        </w:rPr>
        <w:t xml:space="preserve">(ii) </w:t>
      </w:r>
      <w:r w:rsidRPr="00366F37">
        <w:rPr>
          <w:rFonts w:cs="Times New Roman"/>
          <w:szCs w:val="26"/>
        </w:rPr>
        <w:t xml:space="preserve">también </w:t>
      </w:r>
      <w:r w:rsidR="003A7553" w:rsidRPr="00366F37">
        <w:rPr>
          <w:rFonts w:cs="Times New Roman"/>
          <w:szCs w:val="26"/>
        </w:rPr>
        <w:t xml:space="preserve">es </w:t>
      </w:r>
      <w:r w:rsidRPr="00366F37">
        <w:rPr>
          <w:rFonts w:cs="Times New Roman"/>
          <w:szCs w:val="26"/>
        </w:rPr>
        <w:t xml:space="preserve">improcedente aplicar la </w:t>
      </w:r>
      <w:r w:rsidR="00FB7506" w:rsidRPr="00366F37">
        <w:rPr>
          <w:rFonts w:cs="Times New Roman"/>
          <w:szCs w:val="26"/>
        </w:rPr>
        <w:t xml:space="preserve">indexación de los salarios base de cotización de las pensiones de vejez regidas íntegramente por el Acuerdo 049 de 1990, </w:t>
      </w:r>
      <w:r w:rsidR="003A7553" w:rsidRPr="00366F37">
        <w:rPr>
          <w:rFonts w:cs="Times New Roman"/>
          <w:szCs w:val="26"/>
        </w:rPr>
        <w:t xml:space="preserve">lo cual fue orientado en </w:t>
      </w:r>
      <w:r w:rsidR="00FB7506" w:rsidRPr="00366F37">
        <w:rPr>
          <w:rFonts w:cs="Times New Roman"/>
          <w:szCs w:val="26"/>
        </w:rPr>
        <w:t xml:space="preserve">sentencias </w:t>
      </w:r>
      <w:r w:rsidRPr="00366F37">
        <w:rPr>
          <w:rFonts w:cs="Times New Roman"/>
          <w:szCs w:val="26"/>
        </w:rPr>
        <w:t>SL6613-2017</w:t>
      </w:r>
      <w:r w:rsidR="003A7553" w:rsidRPr="00366F37">
        <w:rPr>
          <w:rFonts w:cs="Times New Roman"/>
          <w:szCs w:val="26"/>
        </w:rPr>
        <w:t>,</w:t>
      </w:r>
      <w:r w:rsidR="00FB7506" w:rsidRPr="00366F37">
        <w:rPr>
          <w:rFonts w:cs="Times New Roman"/>
          <w:szCs w:val="26"/>
        </w:rPr>
        <w:t xml:space="preserve"> </w:t>
      </w:r>
      <w:proofErr w:type="spellStart"/>
      <w:r w:rsidRPr="00366F37">
        <w:rPr>
          <w:rFonts w:cs="Times New Roman"/>
          <w:szCs w:val="26"/>
        </w:rPr>
        <w:t>SL</w:t>
      </w:r>
      <w:proofErr w:type="spellEnd"/>
      <w:r w:rsidRPr="00366F37">
        <w:rPr>
          <w:rFonts w:cs="Times New Roman"/>
          <w:szCs w:val="26"/>
        </w:rPr>
        <w:t xml:space="preserve"> 41852, 30 ago. 2011, </w:t>
      </w:r>
      <w:proofErr w:type="spellStart"/>
      <w:r w:rsidRPr="00366F37">
        <w:rPr>
          <w:rFonts w:cs="Times New Roman"/>
          <w:szCs w:val="26"/>
        </w:rPr>
        <w:t>SL</w:t>
      </w:r>
      <w:proofErr w:type="spellEnd"/>
      <w:r w:rsidRPr="00366F37">
        <w:rPr>
          <w:rFonts w:cs="Times New Roman"/>
          <w:szCs w:val="26"/>
        </w:rPr>
        <w:t xml:space="preserve"> 629-2013, SL13183-2</w:t>
      </w:r>
      <w:r w:rsidR="003A7553" w:rsidRPr="00366F37">
        <w:rPr>
          <w:rFonts w:cs="Times New Roman"/>
          <w:szCs w:val="26"/>
        </w:rPr>
        <w:t>015 y SL15680-2015, entre otras más.</w:t>
      </w:r>
    </w:p>
    <w:p w14:paraId="1B332B42" w14:textId="2B702892" w:rsidR="0052382C" w:rsidRPr="00366F37" w:rsidRDefault="0052382C" w:rsidP="00366F37">
      <w:pPr>
        <w:spacing w:line="276" w:lineRule="auto"/>
        <w:jc w:val="both"/>
        <w:rPr>
          <w:rFonts w:cs="Times New Roman"/>
          <w:szCs w:val="26"/>
        </w:rPr>
      </w:pPr>
    </w:p>
    <w:p w14:paraId="7721DA73" w14:textId="6CA35712" w:rsidR="006D7966" w:rsidRPr="00366F37" w:rsidRDefault="00AA1043" w:rsidP="00366F37">
      <w:pPr>
        <w:spacing w:line="276" w:lineRule="auto"/>
        <w:jc w:val="both"/>
        <w:rPr>
          <w:rFonts w:cs="Times New Roman"/>
          <w:szCs w:val="26"/>
        </w:rPr>
      </w:pPr>
      <w:r w:rsidRPr="00366F37">
        <w:rPr>
          <w:rFonts w:cs="Times New Roman"/>
          <w:szCs w:val="26"/>
        </w:rPr>
        <w:t xml:space="preserve">Concentrándonos en este último aspecto, </w:t>
      </w:r>
      <w:r w:rsidR="0052382C" w:rsidRPr="00366F37">
        <w:rPr>
          <w:rFonts w:cs="Times New Roman"/>
          <w:szCs w:val="26"/>
        </w:rPr>
        <w:t xml:space="preserve">en un principio </w:t>
      </w:r>
      <w:r w:rsidRPr="00366F37">
        <w:rPr>
          <w:rFonts w:cs="Times New Roman"/>
          <w:szCs w:val="26"/>
        </w:rPr>
        <w:t xml:space="preserve">la Corte </w:t>
      </w:r>
      <w:r w:rsidR="009768D4" w:rsidRPr="00366F37">
        <w:rPr>
          <w:rFonts w:cs="Times New Roman"/>
          <w:szCs w:val="26"/>
        </w:rPr>
        <w:t xml:space="preserve">dejó </w:t>
      </w:r>
      <w:r w:rsidR="0052382C" w:rsidRPr="00366F37">
        <w:rPr>
          <w:rFonts w:cs="Times New Roman"/>
          <w:szCs w:val="26"/>
        </w:rPr>
        <w:t xml:space="preserve">estatuido que la indexación de la primera mesada </w:t>
      </w:r>
      <w:r w:rsidR="009768D4" w:rsidRPr="00366F37">
        <w:rPr>
          <w:rFonts w:cs="Times New Roman"/>
          <w:szCs w:val="26"/>
        </w:rPr>
        <w:t xml:space="preserve">si bien era </w:t>
      </w:r>
      <w:r w:rsidR="00BE360F" w:rsidRPr="00366F37">
        <w:rPr>
          <w:rFonts w:cs="Times New Roman"/>
          <w:szCs w:val="26"/>
        </w:rPr>
        <w:t xml:space="preserve">aplicable </w:t>
      </w:r>
      <w:r w:rsidR="009768D4" w:rsidRPr="00366F37">
        <w:rPr>
          <w:rFonts w:cs="Times New Roman"/>
          <w:szCs w:val="26"/>
        </w:rPr>
        <w:t xml:space="preserve">para las </w:t>
      </w:r>
      <w:r w:rsidR="0052382C" w:rsidRPr="00366F37">
        <w:rPr>
          <w:rFonts w:cs="Times New Roman"/>
          <w:szCs w:val="26"/>
        </w:rPr>
        <w:t xml:space="preserve">pensiones reconocidas a partir de la Constitución Política del 1991, </w:t>
      </w:r>
      <w:r w:rsidRPr="00366F37">
        <w:rPr>
          <w:rFonts w:cs="Times New Roman"/>
          <w:szCs w:val="26"/>
        </w:rPr>
        <w:t xml:space="preserve">porque </w:t>
      </w:r>
      <w:r w:rsidR="009768D4" w:rsidRPr="00366F37">
        <w:rPr>
          <w:rFonts w:cs="Times New Roman"/>
          <w:szCs w:val="26"/>
        </w:rPr>
        <w:t xml:space="preserve">se </w:t>
      </w:r>
      <w:r w:rsidR="0052382C" w:rsidRPr="00366F37">
        <w:rPr>
          <w:rFonts w:cs="Times New Roman"/>
          <w:szCs w:val="26"/>
        </w:rPr>
        <w:t xml:space="preserve">había extendido </w:t>
      </w:r>
      <w:r w:rsidR="009768D4" w:rsidRPr="00366F37">
        <w:rPr>
          <w:rFonts w:cs="Times New Roman"/>
          <w:szCs w:val="26"/>
        </w:rPr>
        <w:t xml:space="preserve">dicho </w:t>
      </w:r>
      <w:r w:rsidR="0052382C" w:rsidRPr="00366F37">
        <w:rPr>
          <w:rFonts w:cs="Times New Roman"/>
          <w:szCs w:val="26"/>
        </w:rPr>
        <w:t xml:space="preserve">privilegio </w:t>
      </w:r>
      <w:r w:rsidR="009768D4" w:rsidRPr="00366F37">
        <w:rPr>
          <w:rFonts w:cs="Times New Roman"/>
          <w:szCs w:val="26"/>
        </w:rPr>
        <w:t xml:space="preserve">frente </w:t>
      </w:r>
      <w:r w:rsidR="0052382C" w:rsidRPr="00366F37">
        <w:rPr>
          <w:rFonts w:cs="Times New Roman"/>
          <w:szCs w:val="26"/>
        </w:rPr>
        <w:t>a aqu</w:t>
      </w:r>
      <w:r w:rsidR="009768D4" w:rsidRPr="00366F37">
        <w:rPr>
          <w:rFonts w:cs="Times New Roman"/>
          <w:szCs w:val="26"/>
        </w:rPr>
        <w:t>é</w:t>
      </w:r>
      <w:r w:rsidR="0052382C" w:rsidRPr="00366F37">
        <w:rPr>
          <w:rFonts w:cs="Times New Roman"/>
          <w:szCs w:val="26"/>
        </w:rPr>
        <w:t xml:space="preserve">llas de origen extralegal, </w:t>
      </w:r>
      <w:r w:rsidRPr="00366F37">
        <w:rPr>
          <w:rFonts w:cs="Times New Roman"/>
          <w:szCs w:val="26"/>
        </w:rPr>
        <w:t xml:space="preserve">lo cierto es que se hacía </w:t>
      </w:r>
      <w:r w:rsidR="009768D4" w:rsidRPr="00366F37">
        <w:rPr>
          <w:rFonts w:cs="Times New Roman"/>
          <w:szCs w:val="26"/>
        </w:rPr>
        <w:t xml:space="preserve">palmario </w:t>
      </w:r>
      <w:r w:rsidR="0052382C" w:rsidRPr="00366F37">
        <w:rPr>
          <w:rFonts w:cs="Times New Roman"/>
          <w:szCs w:val="26"/>
        </w:rPr>
        <w:t xml:space="preserve">que la discusión ahora se </w:t>
      </w:r>
      <w:r w:rsidR="00BE360F" w:rsidRPr="00366F37">
        <w:rPr>
          <w:rFonts w:cs="Times New Roman"/>
          <w:szCs w:val="26"/>
        </w:rPr>
        <w:t xml:space="preserve">dirigía </w:t>
      </w:r>
      <w:r w:rsidR="0052382C" w:rsidRPr="00366F37">
        <w:rPr>
          <w:rFonts w:cs="Times New Roman"/>
          <w:szCs w:val="26"/>
        </w:rPr>
        <w:t xml:space="preserve">en </w:t>
      </w:r>
      <w:r w:rsidR="009768D4" w:rsidRPr="00366F37">
        <w:rPr>
          <w:rFonts w:cs="Times New Roman"/>
          <w:szCs w:val="26"/>
        </w:rPr>
        <w:t xml:space="preserve">determinar </w:t>
      </w:r>
      <w:r w:rsidR="00BE360F" w:rsidRPr="00366F37">
        <w:rPr>
          <w:rFonts w:cs="Times New Roman"/>
          <w:szCs w:val="26"/>
        </w:rPr>
        <w:t xml:space="preserve">si era aplicable la actualización de los salarios que sirvieron de base para la liquidación de las pensiones </w:t>
      </w:r>
      <w:r w:rsidR="009768D4" w:rsidRPr="00366F37">
        <w:rPr>
          <w:rFonts w:cs="Times New Roman"/>
          <w:szCs w:val="26"/>
        </w:rPr>
        <w:t xml:space="preserve">de origen legal </w:t>
      </w:r>
      <w:r w:rsidR="0052382C" w:rsidRPr="00366F37">
        <w:rPr>
          <w:rFonts w:cs="Times New Roman"/>
          <w:szCs w:val="26"/>
        </w:rPr>
        <w:t xml:space="preserve">reconocidas por </w:t>
      </w:r>
      <w:r w:rsidR="009768D4" w:rsidRPr="00366F37">
        <w:rPr>
          <w:rFonts w:cs="Times New Roman"/>
          <w:szCs w:val="26"/>
        </w:rPr>
        <w:t xml:space="preserve">el extinto </w:t>
      </w:r>
      <w:proofErr w:type="spellStart"/>
      <w:r w:rsidR="0052382C" w:rsidRPr="00366F37">
        <w:rPr>
          <w:rFonts w:cs="Times New Roman"/>
          <w:szCs w:val="26"/>
        </w:rPr>
        <w:t>I.S.S</w:t>
      </w:r>
      <w:proofErr w:type="spellEnd"/>
      <w:r w:rsidR="0052382C" w:rsidRPr="00366F37">
        <w:rPr>
          <w:rFonts w:cs="Times New Roman"/>
          <w:szCs w:val="26"/>
        </w:rPr>
        <w:t>.</w:t>
      </w:r>
      <w:r w:rsidR="006D7966" w:rsidRPr="00366F37">
        <w:rPr>
          <w:rFonts w:cs="Times New Roman"/>
          <w:szCs w:val="26"/>
        </w:rPr>
        <w:t xml:space="preserve"> </w:t>
      </w:r>
    </w:p>
    <w:p w14:paraId="1EEC0E24" w14:textId="77777777" w:rsidR="006D7966" w:rsidRPr="00366F37" w:rsidRDefault="006D7966" w:rsidP="00366F37">
      <w:pPr>
        <w:spacing w:line="276" w:lineRule="auto"/>
        <w:jc w:val="both"/>
        <w:rPr>
          <w:rFonts w:cs="Times New Roman"/>
          <w:szCs w:val="26"/>
        </w:rPr>
      </w:pPr>
    </w:p>
    <w:p w14:paraId="4A93B6E4" w14:textId="1158BD0C" w:rsidR="0064756A" w:rsidRPr="00366F37" w:rsidRDefault="00D8508A" w:rsidP="00366F37">
      <w:pPr>
        <w:spacing w:line="276" w:lineRule="auto"/>
        <w:jc w:val="both"/>
        <w:rPr>
          <w:rFonts w:cs="Times New Roman"/>
          <w:szCs w:val="26"/>
        </w:rPr>
      </w:pPr>
      <w:r w:rsidRPr="00366F37">
        <w:rPr>
          <w:rFonts w:cs="Times New Roman"/>
          <w:szCs w:val="26"/>
        </w:rPr>
        <w:lastRenderedPageBreak/>
        <w:t>De hecho</w:t>
      </w:r>
      <w:r w:rsidR="0064756A" w:rsidRPr="00366F37">
        <w:rPr>
          <w:rFonts w:cs="Times New Roman"/>
          <w:szCs w:val="26"/>
        </w:rPr>
        <w:t xml:space="preserve">, </w:t>
      </w:r>
      <w:r w:rsidR="00AA1043" w:rsidRPr="00366F37">
        <w:rPr>
          <w:rFonts w:cs="Times New Roman"/>
          <w:szCs w:val="26"/>
        </w:rPr>
        <w:t xml:space="preserve">la Corte </w:t>
      </w:r>
      <w:r w:rsidR="0064756A" w:rsidRPr="00366F37">
        <w:rPr>
          <w:rFonts w:cs="Times New Roman"/>
          <w:szCs w:val="26"/>
        </w:rPr>
        <w:t xml:space="preserve">en </w:t>
      </w:r>
      <w:r w:rsidR="00BE360F" w:rsidRPr="00366F37">
        <w:rPr>
          <w:rFonts w:cs="Times New Roman"/>
          <w:szCs w:val="26"/>
        </w:rPr>
        <w:t xml:space="preserve">la sentencia ya citada, </w:t>
      </w:r>
      <w:r w:rsidR="0064756A" w:rsidRPr="00366F37">
        <w:rPr>
          <w:rFonts w:cs="Times New Roman"/>
          <w:szCs w:val="26"/>
        </w:rPr>
        <w:t xml:space="preserve">al </w:t>
      </w:r>
      <w:r w:rsidR="0052382C" w:rsidRPr="00366F37">
        <w:rPr>
          <w:rFonts w:cs="Times New Roman"/>
          <w:szCs w:val="26"/>
        </w:rPr>
        <w:t xml:space="preserve">resolver </w:t>
      </w:r>
      <w:r w:rsidR="006D7966" w:rsidRPr="00366F37">
        <w:rPr>
          <w:rFonts w:cs="Times New Roman"/>
          <w:szCs w:val="26"/>
        </w:rPr>
        <w:t>tal interrogante</w:t>
      </w:r>
      <w:r w:rsidR="0052382C" w:rsidRPr="00366F37">
        <w:rPr>
          <w:rFonts w:cs="Times New Roman"/>
          <w:szCs w:val="26"/>
        </w:rPr>
        <w:t xml:space="preserve">, </w:t>
      </w:r>
      <w:r w:rsidR="0064756A" w:rsidRPr="00366F37">
        <w:rPr>
          <w:rFonts w:cs="Times New Roman"/>
          <w:szCs w:val="26"/>
        </w:rPr>
        <w:t xml:space="preserve">señaló </w:t>
      </w:r>
      <w:r w:rsidR="0052382C" w:rsidRPr="00366F37">
        <w:rPr>
          <w:rFonts w:cs="Times New Roman"/>
          <w:szCs w:val="26"/>
        </w:rPr>
        <w:t xml:space="preserve">que la referida </w:t>
      </w:r>
      <w:r w:rsidR="0064756A" w:rsidRPr="00366F37">
        <w:rPr>
          <w:rFonts w:cs="Times New Roman"/>
          <w:szCs w:val="26"/>
          <w:u w:val="single"/>
        </w:rPr>
        <w:t xml:space="preserve">indexación </w:t>
      </w:r>
      <w:r w:rsidR="0052382C" w:rsidRPr="00366F37">
        <w:rPr>
          <w:rFonts w:cs="Times New Roman"/>
          <w:szCs w:val="26"/>
          <w:u w:val="single"/>
        </w:rPr>
        <w:t xml:space="preserve">de la primera mesada no </w:t>
      </w:r>
      <w:r w:rsidR="0064756A" w:rsidRPr="00366F37">
        <w:rPr>
          <w:rFonts w:cs="Times New Roman"/>
          <w:szCs w:val="26"/>
          <w:u w:val="single"/>
        </w:rPr>
        <w:t xml:space="preserve">era aplicable </w:t>
      </w:r>
      <w:r w:rsidR="0052382C" w:rsidRPr="00366F37">
        <w:rPr>
          <w:rFonts w:cs="Times New Roman"/>
          <w:szCs w:val="26"/>
          <w:u w:val="single"/>
        </w:rPr>
        <w:t xml:space="preserve">frente a las pensiones de vejez concedidas por el </w:t>
      </w:r>
      <w:proofErr w:type="spellStart"/>
      <w:r w:rsidR="0064756A" w:rsidRPr="00366F37">
        <w:rPr>
          <w:rFonts w:cs="Times New Roman"/>
          <w:szCs w:val="26"/>
          <w:u w:val="single"/>
        </w:rPr>
        <w:t>I.S.S</w:t>
      </w:r>
      <w:proofErr w:type="spellEnd"/>
      <w:r w:rsidR="0064756A" w:rsidRPr="00366F37">
        <w:rPr>
          <w:rFonts w:cs="Times New Roman"/>
          <w:szCs w:val="26"/>
          <w:u w:val="single"/>
        </w:rPr>
        <w:t xml:space="preserve">. </w:t>
      </w:r>
      <w:r w:rsidR="0052382C" w:rsidRPr="00366F37">
        <w:rPr>
          <w:rFonts w:cs="Times New Roman"/>
          <w:szCs w:val="26"/>
          <w:u w:val="single"/>
        </w:rPr>
        <w:t>bajo el amparo del Acuerdo 049 de 1990</w:t>
      </w:r>
      <w:r w:rsidR="0052382C" w:rsidRPr="00366F37">
        <w:rPr>
          <w:rFonts w:cs="Times New Roman"/>
          <w:szCs w:val="26"/>
        </w:rPr>
        <w:t xml:space="preserve">, </w:t>
      </w:r>
      <w:r w:rsidR="00AA1043" w:rsidRPr="00366F37">
        <w:rPr>
          <w:rFonts w:cs="Times New Roman"/>
          <w:szCs w:val="26"/>
        </w:rPr>
        <w:t>y resalta</w:t>
      </w:r>
      <w:r w:rsidR="006D7966" w:rsidRPr="00366F37">
        <w:rPr>
          <w:rFonts w:cs="Times New Roman"/>
          <w:szCs w:val="26"/>
        </w:rPr>
        <w:t>:</w:t>
      </w:r>
    </w:p>
    <w:p w14:paraId="5BF122DE" w14:textId="77777777" w:rsidR="0064756A" w:rsidRPr="00366F37" w:rsidRDefault="0064756A" w:rsidP="00366F37">
      <w:pPr>
        <w:spacing w:line="276" w:lineRule="auto"/>
        <w:ind w:left="708"/>
        <w:jc w:val="both"/>
        <w:rPr>
          <w:rFonts w:cs="Times New Roman"/>
          <w:szCs w:val="26"/>
        </w:rPr>
      </w:pPr>
    </w:p>
    <w:p w14:paraId="714EF281" w14:textId="468719D7" w:rsidR="0052382C" w:rsidRPr="00A84EBA" w:rsidRDefault="00B816CA" w:rsidP="00A84EBA">
      <w:pPr>
        <w:spacing w:line="240" w:lineRule="auto"/>
        <w:ind w:left="426" w:right="418"/>
        <w:jc w:val="both"/>
        <w:rPr>
          <w:rFonts w:cs="Times New Roman"/>
          <w:sz w:val="24"/>
          <w:szCs w:val="26"/>
        </w:rPr>
      </w:pPr>
      <w:r w:rsidRPr="00A84EBA">
        <w:rPr>
          <w:rFonts w:cs="Times New Roman"/>
          <w:sz w:val="24"/>
          <w:szCs w:val="26"/>
        </w:rPr>
        <w:t>«</w:t>
      </w:r>
      <w:r w:rsidR="0064756A" w:rsidRPr="00A84EBA">
        <w:rPr>
          <w:rFonts w:cs="Times New Roman"/>
          <w:sz w:val="24"/>
          <w:szCs w:val="26"/>
        </w:rPr>
        <w:t>E</w:t>
      </w:r>
      <w:r w:rsidR="0052382C" w:rsidRPr="00A84EBA">
        <w:rPr>
          <w:rFonts w:cs="Times New Roman"/>
          <w:sz w:val="24"/>
          <w:szCs w:val="26"/>
        </w:rPr>
        <w:t>l artículo 20 de la misma norma regula la forma de obtener el salario mensual de base multiplicando por el factor 4.33, la centésima parte de la suma de los salarios semanales sobre los cuales cotizó el trabajador en las últimas cien (100) semanas».</w:t>
      </w:r>
    </w:p>
    <w:p w14:paraId="7CBA2AD5" w14:textId="77777777" w:rsidR="0052382C" w:rsidRPr="00A84EBA" w:rsidRDefault="0052382C" w:rsidP="00A84EBA">
      <w:pPr>
        <w:spacing w:line="240" w:lineRule="auto"/>
        <w:ind w:left="426" w:right="418"/>
        <w:jc w:val="both"/>
        <w:rPr>
          <w:rFonts w:cs="Times New Roman"/>
          <w:sz w:val="24"/>
          <w:szCs w:val="26"/>
        </w:rPr>
      </w:pPr>
    </w:p>
    <w:p w14:paraId="0D0A23D8" w14:textId="77777777" w:rsidR="0052382C" w:rsidRPr="00A84EBA" w:rsidRDefault="0052382C" w:rsidP="00A84EBA">
      <w:pPr>
        <w:spacing w:line="240" w:lineRule="auto"/>
        <w:ind w:left="426" w:right="418"/>
        <w:jc w:val="both"/>
        <w:rPr>
          <w:rFonts w:cs="Times New Roman"/>
          <w:sz w:val="24"/>
          <w:szCs w:val="26"/>
        </w:rPr>
      </w:pPr>
      <w:r w:rsidRPr="00A84EBA">
        <w:rPr>
          <w:rFonts w:cs="Times New Roman"/>
          <w:sz w:val="24"/>
          <w:szCs w:val="26"/>
        </w:rPr>
        <w:t xml:space="preserve">Al punto, esta Corte en sentencia CSJ </w:t>
      </w:r>
      <w:proofErr w:type="spellStart"/>
      <w:r w:rsidRPr="00A84EBA">
        <w:rPr>
          <w:rFonts w:cs="Times New Roman"/>
          <w:sz w:val="24"/>
          <w:szCs w:val="26"/>
        </w:rPr>
        <w:t>SL</w:t>
      </w:r>
      <w:proofErr w:type="spellEnd"/>
      <w:r w:rsidRPr="00A84EBA">
        <w:rPr>
          <w:rFonts w:cs="Times New Roman"/>
          <w:sz w:val="24"/>
          <w:szCs w:val="26"/>
        </w:rPr>
        <w:t>, del 6 de jul. 2011, rad. 39542, asentó:</w:t>
      </w:r>
    </w:p>
    <w:p w14:paraId="590DCFB0" w14:textId="77777777" w:rsidR="0052382C" w:rsidRPr="00A84EBA" w:rsidRDefault="0052382C" w:rsidP="00A84EBA">
      <w:pPr>
        <w:spacing w:line="240" w:lineRule="auto"/>
        <w:ind w:left="426" w:right="418"/>
        <w:jc w:val="both"/>
        <w:rPr>
          <w:rFonts w:cs="Times New Roman"/>
          <w:sz w:val="24"/>
          <w:szCs w:val="26"/>
        </w:rPr>
      </w:pPr>
    </w:p>
    <w:p w14:paraId="01E571F3" w14:textId="09688648" w:rsidR="0052382C" w:rsidRPr="00A84EBA" w:rsidRDefault="00B816CA" w:rsidP="00A84EBA">
      <w:pPr>
        <w:spacing w:line="240" w:lineRule="auto"/>
        <w:ind w:left="851" w:right="843"/>
        <w:jc w:val="both"/>
        <w:rPr>
          <w:rFonts w:cs="Times New Roman"/>
          <w:sz w:val="24"/>
          <w:szCs w:val="26"/>
        </w:rPr>
      </w:pPr>
      <w:r w:rsidRPr="00A84EBA">
        <w:rPr>
          <w:rFonts w:cs="Times New Roman"/>
          <w:sz w:val="24"/>
          <w:szCs w:val="26"/>
        </w:rPr>
        <w:t>“</w:t>
      </w:r>
      <w:r w:rsidR="0052382C" w:rsidRPr="00A84EBA">
        <w:rPr>
          <w:rFonts w:cs="Times New Roman"/>
          <w:sz w:val="24"/>
          <w:szCs w:val="26"/>
        </w:rPr>
        <w:t>La discusión se contrae a determinar si es viable la actualización de las cotizaciones efectuadas al Instituto de Seguros Sociales, de la manera como lo hizo el Tribunal, esto es, en aplicación de la sentencia 29022 de 2007.</w:t>
      </w:r>
    </w:p>
    <w:p w14:paraId="0C617F7A" w14:textId="77777777" w:rsidR="002E7422" w:rsidRPr="00A84EBA" w:rsidRDefault="002E7422" w:rsidP="00A84EBA">
      <w:pPr>
        <w:spacing w:line="240" w:lineRule="auto"/>
        <w:ind w:left="851" w:right="843"/>
        <w:jc w:val="both"/>
        <w:rPr>
          <w:rFonts w:cs="Times New Roman"/>
          <w:sz w:val="24"/>
          <w:szCs w:val="26"/>
        </w:rPr>
      </w:pPr>
    </w:p>
    <w:p w14:paraId="5A51370A" w14:textId="77777777" w:rsidR="0052382C" w:rsidRPr="00A84EBA" w:rsidRDefault="0052382C" w:rsidP="00A84EBA">
      <w:pPr>
        <w:spacing w:line="240" w:lineRule="auto"/>
        <w:ind w:left="851" w:right="843"/>
        <w:jc w:val="both"/>
        <w:rPr>
          <w:rFonts w:cs="Times New Roman"/>
          <w:sz w:val="24"/>
          <w:szCs w:val="26"/>
        </w:rPr>
      </w:pPr>
      <w:r w:rsidRPr="00A84EBA">
        <w:rPr>
          <w:rFonts w:cs="Times New Roman"/>
          <w:sz w:val="24"/>
          <w:szCs w:val="26"/>
        </w:rPr>
        <w:t>El artículo 20 del Acuerdo 049 de 1990, aplicable al sub lite dispone su fijación (…)</w:t>
      </w:r>
    </w:p>
    <w:p w14:paraId="78B96A93" w14:textId="77777777" w:rsidR="0052382C" w:rsidRPr="00A84EBA" w:rsidRDefault="0052382C" w:rsidP="00A84EBA">
      <w:pPr>
        <w:spacing w:line="240" w:lineRule="auto"/>
        <w:ind w:left="851" w:right="843"/>
        <w:jc w:val="both"/>
        <w:rPr>
          <w:rFonts w:cs="Times New Roman"/>
          <w:sz w:val="24"/>
          <w:szCs w:val="26"/>
        </w:rPr>
      </w:pPr>
      <w:r w:rsidRPr="00A84EBA">
        <w:rPr>
          <w:rFonts w:cs="Times New Roman"/>
          <w:sz w:val="24"/>
          <w:szCs w:val="26"/>
        </w:rPr>
        <w:t>En ese orden, la Corte encuentra equivocado el alcance que dio el ad quem a la jurisprudencia que aplicó para resolver el asunto debatido, toda vez que en este caso la prestación está a cargo del ISS, con sustento en lo dispuesto en el citado artículo 20 del Acuerdo 049 de 1990, esto es, teniendo en cuenta el número de semanas que logró cotizar, distinto del caso al que se refirió el juzgador y a los demás que ha juzgado la Sala, en los que se ha analizado es el salario devengado por el trabajador.</w:t>
      </w:r>
    </w:p>
    <w:p w14:paraId="5260FC48" w14:textId="77777777" w:rsidR="002E7422" w:rsidRPr="00A84EBA" w:rsidRDefault="002E7422" w:rsidP="00A84EBA">
      <w:pPr>
        <w:spacing w:line="240" w:lineRule="auto"/>
        <w:ind w:left="851" w:right="843"/>
        <w:jc w:val="both"/>
        <w:rPr>
          <w:rFonts w:cs="Times New Roman"/>
          <w:sz w:val="24"/>
          <w:szCs w:val="26"/>
        </w:rPr>
      </w:pPr>
    </w:p>
    <w:p w14:paraId="7C3A887A" w14:textId="1B922F33" w:rsidR="0052382C" w:rsidRPr="00A84EBA" w:rsidRDefault="0052382C" w:rsidP="00A84EBA">
      <w:pPr>
        <w:spacing w:line="240" w:lineRule="auto"/>
        <w:ind w:left="851" w:right="843"/>
        <w:jc w:val="both"/>
        <w:rPr>
          <w:rFonts w:cs="Times New Roman"/>
          <w:sz w:val="24"/>
          <w:szCs w:val="26"/>
        </w:rPr>
      </w:pPr>
      <w:r w:rsidRPr="00A84EBA">
        <w:rPr>
          <w:rFonts w:cs="Times New Roman"/>
          <w:sz w:val="24"/>
          <w:szCs w:val="26"/>
        </w:rPr>
        <w:t>Así las cosas no era posible imponer al ISS la obligación de actualizar las cotizaciones entre la fecha en que cesó el actor sus aportes y la del cumplimiento de la edad para acceder a la pensión, pues el afiliado podía seguir aportando para elevar la tasa de reemplazo, de conformidad con lo dispuesto en la normativa a la que se hizo referencia”.</w:t>
      </w:r>
      <w:r w:rsidR="002E7422" w:rsidRPr="00A84EBA">
        <w:rPr>
          <w:rFonts w:cs="Times New Roman"/>
          <w:sz w:val="24"/>
          <w:szCs w:val="26"/>
        </w:rPr>
        <w:t xml:space="preserve"> (…)</w:t>
      </w:r>
    </w:p>
    <w:p w14:paraId="40FC3D82" w14:textId="77777777" w:rsidR="002E7422" w:rsidRPr="00A84EBA" w:rsidRDefault="002E7422" w:rsidP="00A84EBA">
      <w:pPr>
        <w:spacing w:line="240" w:lineRule="auto"/>
        <w:ind w:left="426" w:right="418"/>
        <w:jc w:val="both"/>
        <w:rPr>
          <w:rFonts w:cs="Times New Roman"/>
          <w:sz w:val="24"/>
          <w:szCs w:val="26"/>
        </w:rPr>
      </w:pPr>
    </w:p>
    <w:p w14:paraId="015D187C" w14:textId="0AA790CB" w:rsidR="0052382C" w:rsidRPr="00A84EBA" w:rsidRDefault="00B816CA" w:rsidP="00A84EBA">
      <w:pPr>
        <w:spacing w:line="240" w:lineRule="auto"/>
        <w:ind w:left="426" w:right="418"/>
        <w:jc w:val="both"/>
        <w:rPr>
          <w:rFonts w:cs="Times New Roman"/>
          <w:sz w:val="24"/>
          <w:szCs w:val="26"/>
        </w:rPr>
      </w:pPr>
      <w:r w:rsidRPr="00A84EBA">
        <w:rPr>
          <w:rFonts w:cs="Times New Roman"/>
          <w:sz w:val="24"/>
          <w:szCs w:val="26"/>
        </w:rPr>
        <w:t xml:space="preserve">(…) </w:t>
      </w:r>
      <w:r w:rsidR="0052382C" w:rsidRPr="00A84EBA">
        <w:rPr>
          <w:rFonts w:cs="Times New Roman"/>
          <w:sz w:val="24"/>
          <w:szCs w:val="26"/>
        </w:rPr>
        <w:t xml:space="preserve">Por último, debe dejarse por sentado que el Juez de alzada no incurrió en violación alguna de los artículos 21 y 36 de la Ley 100 de 1993, norma posterior que no regían la situación deprecada, y que en las voces del artículo 16 del </w:t>
      </w:r>
      <w:proofErr w:type="spellStart"/>
      <w:r w:rsidR="0052382C" w:rsidRPr="00A84EBA">
        <w:rPr>
          <w:rFonts w:cs="Times New Roman"/>
          <w:sz w:val="24"/>
          <w:szCs w:val="26"/>
        </w:rPr>
        <w:t>CST</w:t>
      </w:r>
      <w:proofErr w:type="spellEnd"/>
      <w:r w:rsidR="0052382C" w:rsidRPr="00A84EBA">
        <w:rPr>
          <w:rFonts w:cs="Times New Roman"/>
          <w:sz w:val="24"/>
          <w:szCs w:val="26"/>
        </w:rPr>
        <w:t xml:space="preserve"> el efecto de la ley en el tiempo prohíbe la retroactividad de las leyes laborales y sociales que además son de orden público</w:t>
      </w:r>
      <w:r w:rsidR="00F80E87" w:rsidRPr="00A84EBA">
        <w:rPr>
          <w:rFonts w:cs="Times New Roman"/>
          <w:sz w:val="24"/>
          <w:szCs w:val="26"/>
        </w:rPr>
        <w:t>»</w:t>
      </w:r>
      <w:r w:rsidR="0052382C" w:rsidRPr="00A84EBA">
        <w:rPr>
          <w:rFonts w:cs="Times New Roman"/>
          <w:sz w:val="24"/>
          <w:szCs w:val="26"/>
        </w:rPr>
        <w:t>.</w:t>
      </w:r>
    </w:p>
    <w:p w14:paraId="1451D5C1" w14:textId="77777777" w:rsidR="00284BC3" w:rsidRPr="00366F37" w:rsidRDefault="00284BC3" w:rsidP="00366F37">
      <w:pPr>
        <w:spacing w:line="276" w:lineRule="auto"/>
        <w:jc w:val="both"/>
        <w:rPr>
          <w:rFonts w:cs="Times New Roman"/>
          <w:szCs w:val="26"/>
        </w:rPr>
      </w:pPr>
    </w:p>
    <w:p w14:paraId="77755B78" w14:textId="5E0594B2" w:rsidR="00B704CE" w:rsidRPr="00366F37" w:rsidRDefault="00D8508A" w:rsidP="00366F37">
      <w:pPr>
        <w:spacing w:line="276" w:lineRule="auto"/>
        <w:jc w:val="both"/>
        <w:rPr>
          <w:rFonts w:cs="Times New Roman"/>
          <w:szCs w:val="26"/>
        </w:rPr>
      </w:pPr>
      <w:r w:rsidRPr="00366F37">
        <w:rPr>
          <w:rFonts w:cs="Times New Roman"/>
          <w:szCs w:val="26"/>
        </w:rPr>
        <w:t xml:space="preserve">Como allí se indica, </w:t>
      </w:r>
      <w:r w:rsidR="00B816CA" w:rsidRPr="00366F37">
        <w:rPr>
          <w:rFonts w:cs="Times New Roman"/>
          <w:szCs w:val="26"/>
        </w:rPr>
        <w:t xml:space="preserve">la </w:t>
      </w:r>
      <w:r w:rsidR="003820A6" w:rsidRPr="00366F37">
        <w:rPr>
          <w:rFonts w:cs="Times New Roman"/>
          <w:szCs w:val="26"/>
        </w:rPr>
        <w:t>línea jurisprudencial</w:t>
      </w:r>
      <w:r w:rsidR="003820A6" w:rsidRPr="00366F37">
        <w:rPr>
          <w:rStyle w:val="Refdenotaalpie"/>
          <w:rFonts w:cs="Times New Roman"/>
          <w:szCs w:val="26"/>
        </w:rPr>
        <w:footnoteReference w:id="4"/>
      </w:r>
      <w:r w:rsidR="00B816CA" w:rsidRPr="00366F37">
        <w:rPr>
          <w:rFonts w:cs="Times New Roman"/>
          <w:szCs w:val="26"/>
        </w:rPr>
        <w:t xml:space="preserve"> citada</w:t>
      </w:r>
      <w:r w:rsidR="003820A6" w:rsidRPr="00366F37">
        <w:rPr>
          <w:rFonts w:cs="Times New Roman"/>
          <w:szCs w:val="26"/>
        </w:rPr>
        <w:t xml:space="preserve">, </w:t>
      </w:r>
      <w:r w:rsidR="00EA0042" w:rsidRPr="00366F37">
        <w:rPr>
          <w:rFonts w:cs="Times New Roman"/>
          <w:szCs w:val="26"/>
        </w:rPr>
        <w:t>se ha mantenido</w:t>
      </w:r>
      <w:r w:rsidR="00B816CA" w:rsidRPr="00366F37">
        <w:rPr>
          <w:rFonts w:cs="Times New Roman"/>
          <w:szCs w:val="26"/>
        </w:rPr>
        <w:t xml:space="preserve"> en la actualidad</w:t>
      </w:r>
      <w:r w:rsidR="003820A6" w:rsidRPr="00366F37">
        <w:rPr>
          <w:rFonts w:cs="Times New Roman"/>
          <w:szCs w:val="26"/>
        </w:rPr>
        <w:t xml:space="preserve">, entre otras, en </w:t>
      </w:r>
      <w:r w:rsidR="00B816CA" w:rsidRPr="00366F37">
        <w:rPr>
          <w:rFonts w:cs="Times New Roman"/>
          <w:szCs w:val="26"/>
        </w:rPr>
        <w:t>las sentencias recientes</w:t>
      </w:r>
      <w:r w:rsidR="003820A6" w:rsidRPr="00366F37">
        <w:rPr>
          <w:rFonts w:cs="Times New Roman"/>
          <w:szCs w:val="26"/>
        </w:rPr>
        <w:t xml:space="preserve"> </w:t>
      </w:r>
      <w:r w:rsidR="00ED0BC1" w:rsidRPr="00366F37">
        <w:rPr>
          <w:rFonts w:cs="Times New Roman"/>
          <w:b/>
          <w:bCs/>
          <w:szCs w:val="26"/>
        </w:rPr>
        <w:t>SL945-2019</w:t>
      </w:r>
      <w:r w:rsidR="00ED0BC1" w:rsidRPr="00366F37">
        <w:rPr>
          <w:rFonts w:cs="Times New Roman"/>
          <w:szCs w:val="26"/>
          <w:vertAlign w:val="superscript"/>
        </w:rPr>
        <w:footnoteReference w:id="5"/>
      </w:r>
      <w:r w:rsidR="00ED0BC1" w:rsidRPr="00366F37">
        <w:rPr>
          <w:rFonts w:cs="Times New Roman"/>
          <w:szCs w:val="26"/>
        </w:rPr>
        <w:t xml:space="preserve"> (Reitera SL16727-2015, SL8306-2017, SL1186-2018 y SL5152-2018)</w:t>
      </w:r>
      <w:r w:rsidR="00ED0BC1" w:rsidRPr="00366F37">
        <w:rPr>
          <w:rFonts w:cs="Times New Roman"/>
          <w:i/>
          <w:iCs/>
          <w:szCs w:val="26"/>
        </w:rPr>
        <w:t xml:space="preserve">, </w:t>
      </w:r>
      <w:r w:rsidR="00ED0BC1" w:rsidRPr="00366F37">
        <w:rPr>
          <w:rFonts w:cs="Times New Roman"/>
          <w:b/>
          <w:bCs/>
          <w:szCs w:val="26"/>
        </w:rPr>
        <w:t>SL4016-2019</w:t>
      </w:r>
      <w:r w:rsidR="00ED0BC1" w:rsidRPr="00366F37">
        <w:rPr>
          <w:rFonts w:cs="Times New Roman"/>
          <w:szCs w:val="26"/>
          <w:vertAlign w:val="superscript"/>
        </w:rPr>
        <w:footnoteReference w:id="6"/>
      </w:r>
      <w:r w:rsidR="00ED0BC1" w:rsidRPr="00366F37">
        <w:rPr>
          <w:rFonts w:cs="Times New Roman"/>
          <w:szCs w:val="26"/>
        </w:rPr>
        <w:t>,</w:t>
      </w:r>
      <w:r w:rsidR="00ED0BC1" w:rsidRPr="00366F37">
        <w:rPr>
          <w:rFonts w:cs="Times New Roman"/>
          <w:i/>
          <w:iCs/>
          <w:szCs w:val="26"/>
        </w:rPr>
        <w:t xml:space="preserve"> </w:t>
      </w:r>
      <w:r w:rsidR="003820A6" w:rsidRPr="00366F37">
        <w:rPr>
          <w:rFonts w:cs="Times New Roman"/>
          <w:b/>
          <w:bCs/>
          <w:szCs w:val="26"/>
        </w:rPr>
        <w:t>SL1186/2018</w:t>
      </w:r>
      <w:r w:rsidRPr="00366F37">
        <w:rPr>
          <w:rFonts w:cs="Times New Roman"/>
          <w:szCs w:val="26"/>
        </w:rPr>
        <w:t xml:space="preserve"> y </w:t>
      </w:r>
      <w:r w:rsidR="00B704CE" w:rsidRPr="00366F37">
        <w:rPr>
          <w:rFonts w:cs="Times New Roman"/>
          <w:b/>
          <w:bCs/>
          <w:szCs w:val="26"/>
        </w:rPr>
        <w:t>SL3132-2019</w:t>
      </w:r>
      <w:r w:rsidR="00B704CE" w:rsidRPr="00366F37">
        <w:rPr>
          <w:rFonts w:cs="Times New Roman"/>
          <w:szCs w:val="26"/>
          <w:vertAlign w:val="superscript"/>
        </w:rPr>
        <w:footnoteReference w:id="7"/>
      </w:r>
      <w:r w:rsidR="00B704CE" w:rsidRPr="00366F37">
        <w:rPr>
          <w:rFonts w:cs="Times New Roman"/>
          <w:szCs w:val="26"/>
        </w:rPr>
        <w:t xml:space="preserve">, </w:t>
      </w:r>
      <w:r w:rsidRPr="00366F37">
        <w:rPr>
          <w:rFonts w:cs="Times New Roman"/>
          <w:szCs w:val="26"/>
        </w:rPr>
        <w:t>refiriendo:</w:t>
      </w:r>
    </w:p>
    <w:p w14:paraId="1F38969D" w14:textId="77777777" w:rsidR="00ED0BC1" w:rsidRPr="00366F37" w:rsidRDefault="00ED0BC1" w:rsidP="00366F37">
      <w:pPr>
        <w:spacing w:line="276" w:lineRule="auto"/>
        <w:ind w:left="708"/>
        <w:jc w:val="both"/>
        <w:rPr>
          <w:rFonts w:cs="Times New Roman"/>
          <w:szCs w:val="26"/>
        </w:rPr>
      </w:pPr>
    </w:p>
    <w:p w14:paraId="62E54726" w14:textId="0EA65C88" w:rsidR="00B704CE" w:rsidRPr="00A84EBA" w:rsidRDefault="00B704CE" w:rsidP="00A84EBA">
      <w:pPr>
        <w:spacing w:line="240" w:lineRule="auto"/>
        <w:ind w:left="426" w:right="418"/>
        <w:jc w:val="both"/>
        <w:rPr>
          <w:rFonts w:cs="Times New Roman"/>
          <w:sz w:val="24"/>
          <w:szCs w:val="26"/>
        </w:rPr>
      </w:pPr>
      <w:r w:rsidRPr="00A84EBA">
        <w:rPr>
          <w:rFonts w:cs="Times New Roman"/>
          <w:sz w:val="24"/>
          <w:szCs w:val="26"/>
        </w:rPr>
        <w:t>«Sobre el particular, en sentencia SL736-2013 esta corporación, luego de efectuar un recuento jurisprudencial acerca de la figura de la indexación, concluyó: (i) que la pérdida del poder adquisitivo de la moneda es un fenómeno que puede afectar a todos los tipos de pensiones por igual; (ii) que al no existir prohibición expresa alguna por parte del legislador de indexar la primera mesada causada con anterioridad a la entrada en vigencia de la Constitución Política de 1991, no hay cabida para hacer discriminaciones fundadas en la naturaleza de la prestación o en la fecha de su reconocimiento, y (iii) que cualquier diferencia al respecto resulta injusta y contraria al principio de igualdad.</w:t>
      </w:r>
    </w:p>
    <w:p w14:paraId="10E76016" w14:textId="77777777" w:rsidR="00B704CE" w:rsidRPr="00A84EBA" w:rsidRDefault="00B704CE" w:rsidP="00A84EBA">
      <w:pPr>
        <w:spacing w:line="240" w:lineRule="auto"/>
        <w:ind w:left="426" w:right="418"/>
        <w:jc w:val="both"/>
        <w:rPr>
          <w:rFonts w:cs="Times New Roman"/>
          <w:sz w:val="24"/>
          <w:szCs w:val="26"/>
        </w:rPr>
      </w:pPr>
    </w:p>
    <w:p w14:paraId="175DF952" w14:textId="18B0E6EC" w:rsidR="00B704CE" w:rsidRPr="00A84EBA" w:rsidRDefault="00B704CE" w:rsidP="00A84EBA">
      <w:pPr>
        <w:spacing w:line="240" w:lineRule="auto"/>
        <w:ind w:left="426" w:right="418"/>
        <w:jc w:val="both"/>
        <w:rPr>
          <w:rFonts w:cs="Times New Roman"/>
          <w:sz w:val="24"/>
          <w:szCs w:val="26"/>
        </w:rPr>
      </w:pPr>
      <w:r w:rsidRPr="00A84EBA">
        <w:rPr>
          <w:rFonts w:cs="Times New Roman"/>
          <w:sz w:val="24"/>
          <w:szCs w:val="26"/>
        </w:rPr>
        <w:t>La única excepción que esta sala ha planteado, en cuanto a la indexación de la base pensional, está plasmada, entre muchas otras, en la sentencia SL4731-2018, según la cual:</w:t>
      </w:r>
    </w:p>
    <w:p w14:paraId="0B3283A7" w14:textId="77777777" w:rsidR="00B704CE" w:rsidRPr="00A84EBA" w:rsidRDefault="00B704CE" w:rsidP="00A84EBA">
      <w:pPr>
        <w:spacing w:line="240" w:lineRule="auto"/>
        <w:ind w:left="426" w:right="418"/>
        <w:jc w:val="both"/>
        <w:rPr>
          <w:rFonts w:cs="Times New Roman"/>
          <w:sz w:val="24"/>
          <w:szCs w:val="26"/>
        </w:rPr>
      </w:pPr>
    </w:p>
    <w:p w14:paraId="2BF14E5F" w14:textId="77777777" w:rsidR="00B704CE" w:rsidRPr="009E5040" w:rsidRDefault="00B704CE" w:rsidP="009E5040">
      <w:pPr>
        <w:spacing w:line="240" w:lineRule="auto"/>
        <w:ind w:left="851" w:right="843"/>
        <w:jc w:val="both"/>
        <w:rPr>
          <w:rFonts w:cs="Times New Roman"/>
          <w:sz w:val="24"/>
          <w:szCs w:val="26"/>
        </w:rPr>
      </w:pPr>
      <w:bookmarkStart w:id="0" w:name="_GoBack"/>
      <w:bookmarkEnd w:id="0"/>
      <w:r w:rsidRPr="009E5040">
        <w:rPr>
          <w:rFonts w:cs="Times New Roman"/>
          <w:sz w:val="24"/>
          <w:szCs w:val="26"/>
        </w:rPr>
        <w:lastRenderedPageBreak/>
        <w:t>[…] las pensiones reconocidas por el ISS con base en sus propios reglamentos, no son susceptibles de actualización, por cuanto estos mismos regulan lo concerniente a la determinación del monto pensional a partir de los aportes realizados en el periodo allí señalado, mientras que la indexación se concede a partir de la necesidad de poner en valor presente el monto de los salarios devengados que perdieron poder adquisitivo como consecuencia del transcurso del tiempo entre la fecha en la que fueron pagados y su inclusión como base salarial para determinar el monto de la pensión.</w:t>
      </w:r>
    </w:p>
    <w:p w14:paraId="63586EE5" w14:textId="77777777" w:rsidR="00B704CE" w:rsidRPr="009E5040" w:rsidRDefault="00B704CE" w:rsidP="009E5040">
      <w:pPr>
        <w:spacing w:line="240" w:lineRule="auto"/>
        <w:ind w:left="851" w:right="843"/>
        <w:jc w:val="both"/>
        <w:rPr>
          <w:rFonts w:cs="Times New Roman"/>
          <w:sz w:val="24"/>
          <w:szCs w:val="26"/>
        </w:rPr>
      </w:pPr>
    </w:p>
    <w:p w14:paraId="52A345F8" w14:textId="77777777" w:rsidR="00B704CE" w:rsidRPr="009E5040" w:rsidRDefault="00B704CE" w:rsidP="009E5040">
      <w:pPr>
        <w:spacing w:line="240" w:lineRule="auto"/>
        <w:ind w:left="851" w:right="843"/>
        <w:jc w:val="both"/>
        <w:rPr>
          <w:rFonts w:cs="Times New Roman"/>
          <w:sz w:val="24"/>
          <w:szCs w:val="26"/>
        </w:rPr>
      </w:pPr>
      <w:r w:rsidRPr="009E5040">
        <w:rPr>
          <w:rFonts w:cs="Times New Roman"/>
          <w:sz w:val="24"/>
          <w:szCs w:val="26"/>
        </w:rPr>
        <w:t xml:space="preserve">Así las cosas, y salvo esa puntual salvedad, la tesis de esta corporación sostiene que resulta viable la actualización del salario que sirve de base para calcular el monto inicial de la mesada pensional, incluso respecto de aquellas jubilaciones causadas con anterioridad al 7 de julio de 1991. Su respaldo encuentra soporte en la existencia de otros parámetros, igualmente válidos, como son la equidad, la justicia y los principios generales del derecho, que gozan de fuerza normativa, en los términos de los artículos 8º de la Ley 153 de 1887 y 19 del </w:t>
      </w:r>
      <w:proofErr w:type="spellStart"/>
      <w:r w:rsidRPr="009E5040">
        <w:rPr>
          <w:rFonts w:cs="Times New Roman"/>
          <w:sz w:val="24"/>
          <w:szCs w:val="26"/>
        </w:rPr>
        <w:t>CST</w:t>
      </w:r>
      <w:proofErr w:type="spellEnd"/>
      <w:r w:rsidRPr="009E5040">
        <w:rPr>
          <w:rFonts w:cs="Times New Roman"/>
          <w:sz w:val="24"/>
          <w:szCs w:val="26"/>
        </w:rPr>
        <w:t>.</w:t>
      </w:r>
    </w:p>
    <w:p w14:paraId="7F9ACD09" w14:textId="77777777" w:rsidR="009E5040" w:rsidRDefault="009E5040" w:rsidP="00366F37">
      <w:pPr>
        <w:spacing w:line="276" w:lineRule="auto"/>
        <w:jc w:val="both"/>
        <w:rPr>
          <w:rFonts w:cs="Times New Roman"/>
          <w:szCs w:val="26"/>
        </w:rPr>
      </w:pPr>
    </w:p>
    <w:p w14:paraId="0597459A" w14:textId="09DEBE74" w:rsidR="00EA0042" w:rsidRPr="00366F37" w:rsidRDefault="00573EE9" w:rsidP="00366F37">
      <w:pPr>
        <w:spacing w:line="276" w:lineRule="auto"/>
        <w:jc w:val="both"/>
        <w:rPr>
          <w:rFonts w:cs="Times New Roman"/>
          <w:szCs w:val="26"/>
        </w:rPr>
      </w:pPr>
      <w:r w:rsidRPr="00366F37">
        <w:rPr>
          <w:rFonts w:cs="Times New Roman"/>
          <w:szCs w:val="26"/>
        </w:rPr>
        <w:t xml:space="preserve">Entonces, </w:t>
      </w:r>
      <w:r w:rsidR="00EA0042" w:rsidRPr="00366F37">
        <w:rPr>
          <w:rFonts w:cs="Times New Roman"/>
          <w:szCs w:val="26"/>
        </w:rPr>
        <w:t>si bien es cierto que la Corte Suprema en varias decisiones ha defendido la aplicación de la indexación de la primera mesada, también lo es que, en dichas decisiones, en su mayoría, se refiere a pensiones de jubilación concedidas con fundamento en el artículo 260 del Código Sustantivo del Trabajo, a cargo del empleador. (CSJ SL2146-2017, CSJ SL4982-2017, CSJ SL14488-2017, CSJ SL2598-2018, CSJ SL466-2019 y CSJ SL2589-2019).</w:t>
      </w:r>
    </w:p>
    <w:p w14:paraId="39B1CB85" w14:textId="77777777" w:rsidR="00DE44ED" w:rsidRPr="00366F37" w:rsidRDefault="00DE44ED" w:rsidP="00366F37">
      <w:pPr>
        <w:spacing w:line="276" w:lineRule="auto"/>
        <w:jc w:val="both"/>
        <w:rPr>
          <w:rFonts w:cs="Times New Roman"/>
          <w:szCs w:val="26"/>
        </w:rPr>
      </w:pPr>
    </w:p>
    <w:p w14:paraId="09C58638" w14:textId="60A90CD6" w:rsidR="003A0016" w:rsidRPr="00366F37" w:rsidRDefault="00573EE9" w:rsidP="00366F37">
      <w:pPr>
        <w:spacing w:line="276" w:lineRule="auto"/>
        <w:jc w:val="both"/>
        <w:rPr>
          <w:rFonts w:cs="Times New Roman"/>
          <w:szCs w:val="26"/>
        </w:rPr>
      </w:pPr>
      <w:r w:rsidRPr="00366F37">
        <w:rPr>
          <w:rFonts w:cs="Times New Roman"/>
          <w:szCs w:val="26"/>
        </w:rPr>
        <w:t>Aclarado lo anterior</w:t>
      </w:r>
      <w:r w:rsidR="003A0016" w:rsidRPr="00366F37">
        <w:rPr>
          <w:rFonts w:cs="Times New Roman"/>
          <w:szCs w:val="26"/>
        </w:rPr>
        <w:t xml:space="preserve">, como quiera que </w:t>
      </w:r>
      <w:r w:rsidRPr="00366F37">
        <w:rPr>
          <w:rFonts w:cs="Times New Roman"/>
          <w:szCs w:val="26"/>
        </w:rPr>
        <w:t xml:space="preserve">el </w:t>
      </w:r>
      <w:r w:rsidR="003A0016" w:rsidRPr="00366F37">
        <w:rPr>
          <w:rFonts w:cs="Times New Roman"/>
          <w:szCs w:val="26"/>
        </w:rPr>
        <w:t>demandante pretende la indexación de la primera mesada pensional,</w:t>
      </w:r>
      <w:r w:rsidRPr="00366F37">
        <w:rPr>
          <w:rFonts w:cs="Times New Roman"/>
          <w:szCs w:val="26"/>
        </w:rPr>
        <w:t xml:space="preserve"> </w:t>
      </w:r>
      <w:r w:rsidR="003A0016" w:rsidRPr="00366F37">
        <w:rPr>
          <w:rFonts w:cs="Times New Roman"/>
          <w:szCs w:val="26"/>
        </w:rPr>
        <w:t xml:space="preserve">conforme a la jurisprudencia </w:t>
      </w:r>
      <w:r w:rsidRPr="00366F37">
        <w:rPr>
          <w:rFonts w:cs="Times New Roman"/>
          <w:szCs w:val="26"/>
        </w:rPr>
        <w:t>aplicable al caso</w:t>
      </w:r>
      <w:r w:rsidR="003A0016" w:rsidRPr="00366F37">
        <w:rPr>
          <w:rFonts w:cs="Times New Roman"/>
          <w:szCs w:val="26"/>
        </w:rPr>
        <w:t xml:space="preserve">, </w:t>
      </w:r>
      <w:r w:rsidRPr="00366F37">
        <w:rPr>
          <w:rFonts w:cs="Times New Roman"/>
          <w:szCs w:val="26"/>
        </w:rPr>
        <w:t xml:space="preserve">resulta </w:t>
      </w:r>
      <w:r w:rsidR="003A0016" w:rsidRPr="00366F37">
        <w:rPr>
          <w:rFonts w:cs="Times New Roman"/>
          <w:szCs w:val="26"/>
        </w:rPr>
        <w:t xml:space="preserve">improcedente la indexación </w:t>
      </w:r>
      <w:r w:rsidRPr="00366F37">
        <w:rPr>
          <w:rFonts w:cs="Times New Roman"/>
          <w:szCs w:val="26"/>
        </w:rPr>
        <w:t xml:space="preserve">del </w:t>
      </w:r>
      <w:r w:rsidR="003A0016" w:rsidRPr="00366F37">
        <w:rPr>
          <w:rFonts w:cs="Times New Roman"/>
          <w:szCs w:val="26"/>
        </w:rPr>
        <w:t xml:space="preserve">salario base de cotización de </w:t>
      </w:r>
      <w:r w:rsidR="00472211" w:rsidRPr="00366F37">
        <w:rPr>
          <w:rFonts w:cs="Times New Roman"/>
          <w:szCs w:val="26"/>
        </w:rPr>
        <w:t xml:space="preserve">dicha pensión </w:t>
      </w:r>
      <w:r w:rsidR="003A0016" w:rsidRPr="00366F37">
        <w:rPr>
          <w:rFonts w:cs="Times New Roman"/>
          <w:szCs w:val="26"/>
        </w:rPr>
        <w:t>de vejez</w:t>
      </w:r>
      <w:r w:rsidR="00472211" w:rsidRPr="00366F37">
        <w:rPr>
          <w:rFonts w:cs="Times New Roman"/>
          <w:szCs w:val="26"/>
        </w:rPr>
        <w:t xml:space="preserve">, la cual </w:t>
      </w:r>
      <w:r w:rsidR="008501FF" w:rsidRPr="00366F37">
        <w:rPr>
          <w:rFonts w:cs="Times New Roman"/>
          <w:szCs w:val="26"/>
        </w:rPr>
        <w:t>está</w:t>
      </w:r>
      <w:r w:rsidR="00472211" w:rsidRPr="00366F37">
        <w:rPr>
          <w:rFonts w:cs="Times New Roman"/>
          <w:szCs w:val="26"/>
        </w:rPr>
        <w:t xml:space="preserve"> </w:t>
      </w:r>
      <w:r w:rsidR="003A0016" w:rsidRPr="00366F37">
        <w:rPr>
          <w:rFonts w:cs="Times New Roman"/>
          <w:szCs w:val="26"/>
        </w:rPr>
        <w:t>regida íntegramente por el Acuerdo 049 de 1990, toda vez que la misma norma en su artículo 20 regula la forma de obtener el salario mensual de base</w:t>
      </w:r>
      <w:r w:rsidR="00472211" w:rsidRPr="00366F37">
        <w:rPr>
          <w:rFonts w:cs="Times New Roman"/>
          <w:szCs w:val="26"/>
        </w:rPr>
        <w:t>.</w:t>
      </w:r>
      <w:r w:rsidR="003A0016" w:rsidRPr="00366F37">
        <w:rPr>
          <w:rFonts w:cs="Times New Roman"/>
          <w:szCs w:val="26"/>
        </w:rPr>
        <w:t xml:space="preserve"> </w:t>
      </w:r>
    </w:p>
    <w:p w14:paraId="615A5345" w14:textId="77777777" w:rsidR="00B704CE" w:rsidRPr="00366F37" w:rsidRDefault="00B704CE" w:rsidP="00366F37">
      <w:pPr>
        <w:spacing w:line="276" w:lineRule="auto"/>
        <w:jc w:val="both"/>
        <w:rPr>
          <w:rFonts w:cs="Times New Roman"/>
          <w:szCs w:val="26"/>
        </w:rPr>
      </w:pPr>
    </w:p>
    <w:p w14:paraId="72CE0FD8" w14:textId="3DED0195" w:rsidR="00B704CE" w:rsidRPr="00366F37" w:rsidRDefault="00472211" w:rsidP="00366F37">
      <w:pPr>
        <w:spacing w:line="276" w:lineRule="auto"/>
        <w:jc w:val="both"/>
        <w:rPr>
          <w:rFonts w:cs="Times New Roman"/>
          <w:szCs w:val="26"/>
        </w:rPr>
      </w:pPr>
      <w:r w:rsidRPr="00366F37">
        <w:rPr>
          <w:rFonts w:cs="Times New Roman"/>
          <w:szCs w:val="26"/>
        </w:rPr>
        <w:t>Así las cosas, la pretensión enmarcada en dicho fundamento no podrá ser aplicable en este caso y, por ello mismo, se negará tal pretensión, tal y como lo ha hecho esta Corporación en casos</w:t>
      </w:r>
      <w:r w:rsidR="00234177" w:rsidRPr="00366F37">
        <w:rPr>
          <w:rFonts w:cs="Times New Roman"/>
          <w:szCs w:val="26"/>
        </w:rPr>
        <w:t xml:space="preserve"> de similares connotaciones</w:t>
      </w:r>
      <w:r w:rsidR="00234177" w:rsidRPr="00366F37">
        <w:rPr>
          <w:rStyle w:val="Refdenotaalpie"/>
          <w:rFonts w:cs="Times New Roman"/>
          <w:szCs w:val="26"/>
        </w:rPr>
        <w:footnoteReference w:id="8"/>
      </w:r>
      <w:r w:rsidR="00234177" w:rsidRPr="00366F37">
        <w:rPr>
          <w:rFonts w:cs="Times New Roman"/>
          <w:szCs w:val="26"/>
        </w:rPr>
        <w:t>.</w:t>
      </w:r>
    </w:p>
    <w:p w14:paraId="35B10539" w14:textId="77777777" w:rsidR="002214F6" w:rsidRPr="00366F37" w:rsidRDefault="002214F6" w:rsidP="00366F37">
      <w:pPr>
        <w:spacing w:line="276" w:lineRule="auto"/>
        <w:jc w:val="both"/>
        <w:rPr>
          <w:rFonts w:cs="Times New Roman"/>
          <w:szCs w:val="26"/>
        </w:rPr>
      </w:pPr>
    </w:p>
    <w:p w14:paraId="00B4F0F5" w14:textId="09BF0E76" w:rsidR="00FA3327" w:rsidRPr="00366F37" w:rsidRDefault="00FA3327" w:rsidP="00366F37">
      <w:pPr>
        <w:pStyle w:val="Prrafodelista"/>
        <w:numPr>
          <w:ilvl w:val="2"/>
          <w:numId w:val="9"/>
        </w:numPr>
        <w:tabs>
          <w:tab w:val="left" w:pos="567"/>
        </w:tabs>
        <w:spacing w:line="276" w:lineRule="auto"/>
        <w:jc w:val="both"/>
        <w:rPr>
          <w:b/>
          <w:bCs/>
          <w:szCs w:val="26"/>
        </w:rPr>
      </w:pPr>
      <w:r w:rsidRPr="00366F37">
        <w:rPr>
          <w:b/>
          <w:bCs/>
          <w:szCs w:val="26"/>
        </w:rPr>
        <w:t xml:space="preserve">Reliquidación del salario mensual base de </w:t>
      </w:r>
      <w:r w:rsidR="00D367A3" w:rsidRPr="00366F37">
        <w:rPr>
          <w:b/>
          <w:bCs/>
          <w:szCs w:val="26"/>
        </w:rPr>
        <w:t>liquidación</w:t>
      </w:r>
      <w:r w:rsidRPr="00366F37">
        <w:rPr>
          <w:b/>
          <w:bCs/>
          <w:szCs w:val="26"/>
        </w:rPr>
        <w:t>.</w:t>
      </w:r>
    </w:p>
    <w:p w14:paraId="388C97C8" w14:textId="77777777" w:rsidR="00FA3327" w:rsidRPr="00366F37" w:rsidRDefault="00FA3327" w:rsidP="00366F37">
      <w:pPr>
        <w:spacing w:line="276" w:lineRule="auto"/>
        <w:jc w:val="both"/>
        <w:rPr>
          <w:rFonts w:cs="Times New Roman"/>
          <w:szCs w:val="26"/>
        </w:rPr>
      </w:pPr>
    </w:p>
    <w:p w14:paraId="51051F97" w14:textId="64BF8A49" w:rsidR="00E93879" w:rsidRPr="00366F37" w:rsidRDefault="00E93879" w:rsidP="00366F37">
      <w:pPr>
        <w:spacing w:line="276" w:lineRule="auto"/>
        <w:jc w:val="both"/>
        <w:rPr>
          <w:rFonts w:cs="Times New Roman"/>
          <w:szCs w:val="26"/>
        </w:rPr>
      </w:pPr>
      <w:r w:rsidRPr="00366F37">
        <w:rPr>
          <w:rFonts w:cs="Times New Roman"/>
          <w:szCs w:val="26"/>
        </w:rPr>
        <w:t>Superado el anterior escollo, pasa la Sala a analizar el segundo problema jurídico consistente en establecer si hay lugar a la reliquidación del salario mensual base y al aumento de la tasa de reemplazo, según el rigor de semanas acreditadas.</w:t>
      </w:r>
    </w:p>
    <w:p w14:paraId="4C99BC32" w14:textId="77777777" w:rsidR="00E93879" w:rsidRPr="00366F37" w:rsidRDefault="00E93879" w:rsidP="00366F37">
      <w:pPr>
        <w:spacing w:line="276" w:lineRule="auto"/>
        <w:jc w:val="both"/>
        <w:rPr>
          <w:szCs w:val="26"/>
        </w:rPr>
      </w:pPr>
    </w:p>
    <w:p w14:paraId="05C70BFF" w14:textId="77777777" w:rsidR="00304D28" w:rsidRPr="00366F37" w:rsidRDefault="00E93879" w:rsidP="00366F37">
      <w:pPr>
        <w:spacing w:line="276" w:lineRule="auto"/>
        <w:jc w:val="both"/>
        <w:rPr>
          <w:szCs w:val="26"/>
        </w:rPr>
      </w:pPr>
      <w:r w:rsidRPr="00366F37">
        <w:rPr>
          <w:szCs w:val="26"/>
        </w:rPr>
        <w:t>Pues bien, p</w:t>
      </w:r>
      <w:r w:rsidR="00E353E8" w:rsidRPr="00366F37">
        <w:rPr>
          <w:szCs w:val="26"/>
        </w:rPr>
        <w:t xml:space="preserve">ara iniciar </w:t>
      </w:r>
      <w:r w:rsidRPr="00366F37">
        <w:rPr>
          <w:szCs w:val="26"/>
        </w:rPr>
        <w:t xml:space="preserve">dicho </w:t>
      </w:r>
      <w:r w:rsidR="006F0610" w:rsidRPr="00366F37">
        <w:rPr>
          <w:szCs w:val="26"/>
        </w:rPr>
        <w:t xml:space="preserve">análisis, </w:t>
      </w:r>
      <w:r w:rsidR="00E353E8" w:rsidRPr="00366F37">
        <w:rPr>
          <w:szCs w:val="26"/>
        </w:rPr>
        <w:t>debe decirse que al ser evidente que el actor, según los referidos actos administrativos visibles a folios 27-30, 45-50 y 65-69</w:t>
      </w:r>
      <w:r w:rsidR="006E5D18" w:rsidRPr="00366F37">
        <w:rPr>
          <w:szCs w:val="26"/>
        </w:rPr>
        <w:t xml:space="preserve"> y en la historia laboral válida para prestaciones, visible a folio 95-101,</w:t>
      </w:r>
      <w:r w:rsidR="00E353E8" w:rsidRPr="00366F37">
        <w:rPr>
          <w:szCs w:val="26"/>
        </w:rPr>
        <w:t xml:space="preserve"> realizó un total de </w:t>
      </w:r>
      <w:r w:rsidR="00E353E8" w:rsidRPr="00366F37">
        <w:rPr>
          <w:b/>
          <w:szCs w:val="26"/>
        </w:rPr>
        <w:t>1013,</w:t>
      </w:r>
      <w:r w:rsidR="00E353E8" w:rsidRPr="00366F37">
        <w:rPr>
          <w:b/>
          <w:szCs w:val="26"/>
          <w:vertAlign w:val="superscript"/>
        </w:rPr>
        <w:t>71</w:t>
      </w:r>
      <w:r w:rsidR="00E353E8" w:rsidRPr="00366F37">
        <w:rPr>
          <w:szCs w:val="26"/>
        </w:rPr>
        <w:t xml:space="preserve"> semanas cotizadas en total, entre el 29 de marzo de 1967 y el 31 de agosto de 1986</w:t>
      </w:r>
      <w:r w:rsidRPr="00366F37">
        <w:rPr>
          <w:szCs w:val="26"/>
        </w:rPr>
        <w:t xml:space="preserve"> y no, el rigor de 849 </w:t>
      </w:r>
      <w:r w:rsidR="006E5D18" w:rsidRPr="00366F37">
        <w:rPr>
          <w:szCs w:val="26"/>
        </w:rPr>
        <w:t>con que fue reconocida</w:t>
      </w:r>
      <w:r w:rsidR="00304D28" w:rsidRPr="00366F37">
        <w:rPr>
          <w:szCs w:val="26"/>
        </w:rPr>
        <w:t xml:space="preserve"> y liquidada la prestación, conlleva a </w:t>
      </w:r>
      <w:r w:rsidR="00E353E8" w:rsidRPr="00366F37">
        <w:rPr>
          <w:szCs w:val="26"/>
        </w:rPr>
        <w:t xml:space="preserve">la viabilidad de entrar a </w:t>
      </w:r>
      <w:proofErr w:type="spellStart"/>
      <w:r w:rsidR="00E353E8" w:rsidRPr="00366F37">
        <w:rPr>
          <w:szCs w:val="26"/>
        </w:rPr>
        <w:t>reliquidar</w:t>
      </w:r>
      <w:proofErr w:type="spellEnd"/>
      <w:r w:rsidR="00E353E8" w:rsidRPr="00366F37">
        <w:rPr>
          <w:szCs w:val="26"/>
        </w:rPr>
        <w:t xml:space="preserve"> el salario </w:t>
      </w:r>
      <w:r w:rsidR="00E353E8" w:rsidRPr="00366F37">
        <w:rPr>
          <w:szCs w:val="26"/>
        </w:rPr>
        <w:lastRenderedPageBreak/>
        <w:t xml:space="preserve">mensual de base, conforme al </w:t>
      </w:r>
      <w:r w:rsidR="006F0610" w:rsidRPr="00366F37">
        <w:rPr>
          <w:szCs w:val="26"/>
        </w:rPr>
        <w:t xml:space="preserve">parágrafo 1 del </w:t>
      </w:r>
      <w:r w:rsidR="00E353E8" w:rsidRPr="00366F37">
        <w:rPr>
          <w:szCs w:val="26"/>
        </w:rPr>
        <w:t>artículo</w:t>
      </w:r>
      <w:r w:rsidR="006F0610" w:rsidRPr="00366F37">
        <w:rPr>
          <w:szCs w:val="26"/>
        </w:rPr>
        <w:t xml:space="preserve"> 20 </w:t>
      </w:r>
      <w:r w:rsidR="002E5712" w:rsidRPr="00366F37">
        <w:rPr>
          <w:szCs w:val="26"/>
        </w:rPr>
        <w:t>del Acuerdo 049 de 1990</w:t>
      </w:r>
      <w:r w:rsidR="00E353E8" w:rsidRPr="00366F37">
        <w:rPr>
          <w:rStyle w:val="Refdenotaalpie"/>
          <w:szCs w:val="26"/>
        </w:rPr>
        <w:footnoteReference w:id="9"/>
      </w:r>
      <w:r w:rsidR="006E5D18" w:rsidRPr="00366F37">
        <w:rPr>
          <w:szCs w:val="26"/>
        </w:rPr>
        <w:t xml:space="preserve">, </w:t>
      </w:r>
      <w:r w:rsidR="00304D28" w:rsidRPr="00366F37">
        <w:rPr>
          <w:szCs w:val="26"/>
        </w:rPr>
        <w:t xml:space="preserve">y al ascenso de </w:t>
      </w:r>
      <w:r w:rsidR="006E5D18" w:rsidRPr="00366F37">
        <w:rPr>
          <w:szCs w:val="26"/>
        </w:rPr>
        <w:t>su tasa prestacional al 75%</w:t>
      </w:r>
      <w:r w:rsidR="00E353E8" w:rsidRPr="00366F37">
        <w:rPr>
          <w:szCs w:val="26"/>
        </w:rPr>
        <w:t>.</w:t>
      </w:r>
      <w:r w:rsidR="00F773B4" w:rsidRPr="00366F37">
        <w:rPr>
          <w:szCs w:val="26"/>
        </w:rPr>
        <w:t xml:space="preserve"> </w:t>
      </w:r>
    </w:p>
    <w:p w14:paraId="3C179631" w14:textId="77777777" w:rsidR="00304D28" w:rsidRPr="00366F37" w:rsidRDefault="00304D28" w:rsidP="00366F37">
      <w:pPr>
        <w:spacing w:line="276" w:lineRule="auto"/>
        <w:jc w:val="both"/>
        <w:rPr>
          <w:szCs w:val="26"/>
        </w:rPr>
      </w:pPr>
    </w:p>
    <w:p w14:paraId="7DCDD344" w14:textId="3AFC8777" w:rsidR="002841A5" w:rsidRPr="00366F37" w:rsidRDefault="00E957FE" w:rsidP="00366F37">
      <w:pPr>
        <w:spacing w:line="276" w:lineRule="auto"/>
        <w:jc w:val="both"/>
        <w:rPr>
          <w:szCs w:val="26"/>
        </w:rPr>
      </w:pPr>
      <w:r w:rsidRPr="00366F37">
        <w:rPr>
          <w:szCs w:val="26"/>
        </w:rPr>
        <w:t xml:space="preserve">Para </w:t>
      </w:r>
      <w:r w:rsidR="00304D28" w:rsidRPr="00366F37">
        <w:rPr>
          <w:szCs w:val="26"/>
        </w:rPr>
        <w:t xml:space="preserve">efectos del </w:t>
      </w:r>
      <w:r w:rsidRPr="00366F37">
        <w:rPr>
          <w:szCs w:val="26"/>
        </w:rPr>
        <w:t>cálculo</w:t>
      </w:r>
      <w:r w:rsidR="00304D28" w:rsidRPr="00366F37">
        <w:rPr>
          <w:szCs w:val="26"/>
        </w:rPr>
        <w:t xml:space="preserve"> a realizar</w:t>
      </w:r>
      <w:r w:rsidR="006F0610" w:rsidRPr="00366F37">
        <w:rPr>
          <w:szCs w:val="26"/>
        </w:rPr>
        <w:t xml:space="preserve">, </w:t>
      </w:r>
      <w:r w:rsidRPr="00366F37">
        <w:rPr>
          <w:szCs w:val="26"/>
        </w:rPr>
        <w:t xml:space="preserve">la Corte </w:t>
      </w:r>
      <w:r w:rsidR="006F0610" w:rsidRPr="00366F37">
        <w:rPr>
          <w:szCs w:val="26"/>
        </w:rPr>
        <w:t xml:space="preserve">en sentencia </w:t>
      </w:r>
      <w:r w:rsidRPr="00366F37">
        <w:rPr>
          <w:szCs w:val="26"/>
        </w:rPr>
        <w:t>SL-11162-2017</w:t>
      </w:r>
      <w:r w:rsidR="006F0610" w:rsidRPr="00366F37">
        <w:rPr>
          <w:szCs w:val="26"/>
        </w:rPr>
        <w:t xml:space="preserve">, </w:t>
      </w:r>
      <w:r w:rsidR="00F773B4" w:rsidRPr="00366F37">
        <w:rPr>
          <w:szCs w:val="26"/>
        </w:rPr>
        <w:t>hizo la siguiente acotación</w:t>
      </w:r>
      <w:r w:rsidR="006F0610" w:rsidRPr="00366F37">
        <w:rPr>
          <w:szCs w:val="26"/>
        </w:rPr>
        <w:t>:</w:t>
      </w:r>
      <w:r w:rsidR="006F0610" w:rsidRPr="00366F37">
        <w:rPr>
          <w:szCs w:val="26"/>
          <w:vertAlign w:val="superscript"/>
        </w:rPr>
        <w:footnoteReference w:id="10"/>
      </w:r>
    </w:p>
    <w:p w14:paraId="5C2EC03A" w14:textId="77777777" w:rsidR="006F0610" w:rsidRPr="00366F37" w:rsidRDefault="006F0610" w:rsidP="00366F37">
      <w:pPr>
        <w:spacing w:line="276" w:lineRule="auto"/>
        <w:ind w:left="1134" w:right="618"/>
        <w:jc w:val="both"/>
        <w:rPr>
          <w:rFonts w:cs="Times New Roman"/>
          <w:szCs w:val="26"/>
        </w:rPr>
      </w:pPr>
    </w:p>
    <w:p w14:paraId="35F32642" w14:textId="77777777" w:rsidR="00F773B4" w:rsidRPr="009E5040" w:rsidRDefault="00E957FE" w:rsidP="009E5040">
      <w:pPr>
        <w:spacing w:line="240" w:lineRule="auto"/>
        <w:ind w:left="426" w:right="418"/>
        <w:jc w:val="both"/>
        <w:rPr>
          <w:rFonts w:cs="Times New Roman"/>
          <w:sz w:val="24"/>
          <w:szCs w:val="26"/>
        </w:rPr>
      </w:pPr>
      <w:r w:rsidRPr="009E5040">
        <w:rPr>
          <w:rFonts w:cs="Times New Roman"/>
          <w:sz w:val="24"/>
          <w:szCs w:val="26"/>
        </w:rPr>
        <w:t>«</w:t>
      </w:r>
      <w:r w:rsidR="00F773B4" w:rsidRPr="009E5040">
        <w:rPr>
          <w:rFonts w:cs="Times New Roman"/>
          <w:sz w:val="24"/>
          <w:szCs w:val="26"/>
        </w:rPr>
        <w:t xml:space="preserve">… El </w:t>
      </w:r>
      <w:r w:rsidR="006F0610" w:rsidRPr="009E5040">
        <w:rPr>
          <w:rFonts w:cs="Times New Roman"/>
          <w:sz w:val="24"/>
          <w:szCs w:val="26"/>
        </w:rPr>
        <w:t>salario mensual de base</w:t>
      </w:r>
      <w:r w:rsidR="00F773B4" w:rsidRPr="009E5040">
        <w:rPr>
          <w:rFonts w:cs="Times New Roman"/>
          <w:sz w:val="24"/>
          <w:szCs w:val="26"/>
        </w:rPr>
        <w:t xml:space="preserve"> </w:t>
      </w:r>
      <w:r w:rsidR="006F0610" w:rsidRPr="009E5040">
        <w:rPr>
          <w:rFonts w:cs="Times New Roman"/>
          <w:sz w:val="24"/>
          <w:szCs w:val="26"/>
        </w:rPr>
        <w:t xml:space="preserve">se obtiene aplicando dos premisas: </w:t>
      </w:r>
    </w:p>
    <w:p w14:paraId="0B56FAE6" w14:textId="77777777" w:rsidR="00F773B4" w:rsidRPr="009E5040" w:rsidRDefault="00F773B4" w:rsidP="009E5040">
      <w:pPr>
        <w:spacing w:line="240" w:lineRule="auto"/>
        <w:ind w:left="426" w:right="418"/>
        <w:jc w:val="both"/>
        <w:rPr>
          <w:rFonts w:cs="Times New Roman"/>
          <w:sz w:val="24"/>
          <w:szCs w:val="26"/>
        </w:rPr>
      </w:pPr>
    </w:p>
    <w:p w14:paraId="089159E6" w14:textId="3FEC0A65" w:rsidR="006F0610" w:rsidRPr="009E5040" w:rsidRDefault="006F0610" w:rsidP="009E5040">
      <w:pPr>
        <w:spacing w:line="240" w:lineRule="auto"/>
        <w:ind w:left="426" w:right="418"/>
        <w:jc w:val="both"/>
        <w:rPr>
          <w:rFonts w:cs="Times New Roman"/>
          <w:sz w:val="24"/>
          <w:szCs w:val="26"/>
        </w:rPr>
      </w:pPr>
      <w:r w:rsidRPr="009E5040">
        <w:rPr>
          <w:rFonts w:cs="Times New Roman"/>
          <w:sz w:val="24"/>
          <w:szCs w:val="26"/>
        </w:rPr>
        <w:t>1ª) la centésima parte de la suma de los salarios semanales sobre los cuales cotizó el trabajador en las últimas cien semanas; y 2ª) el producto obtenido de multiplicar ese resultado por el factor 4.33. El factor 4.33 es igualmente otro concepto: la consecuencia de dividir el número de semanas de un año por el número de meses (52/12 = 4.33333333)</w:t>
      </w:r>
    </w:p>
    <w:p w14:paraId="4B328473" w14:textId="77777777" w:rsidR="006F0610" w:rsidRPr="009E5040" w:rsidRDefault="006F0610" w:rsidP="009E5040">
      <w:pPr>
        <w:spacing w:line="240" w:lineRule="auto"/>
        <w:ind w:left="426" w:right="418"/>
        <w:jc w:val="both"/>
        <w:rPr>
          <w:rFonts w:cs="Times New Roman"/>
          <w:sz w:val="24"/>
          <w:szCs w:val="26"/>
        </w:rPr>
      </w:pPr>
    </w:p>
    <w:p w14:paraId="6C101CF2" w14:textId="2000EBD1" w:rsidR="006F0610" w:rsidRPr="009E5040" w:rsidRDefault="006F0610" w:rsidP="009E5040">
      <w:pPr>
        <w:spacing w:line="240" w:lineRule="auto"/>
        <w:ind w:left="426" w:right="418"/>
        <w:jc w:val="both"/>
        <w:rPr>
          <w:rFonts w:cs="Times New Roman"/>
          <w:sz w:val="24"/>
          <w:szCs w:val="26"/>
        </w:rPr>
      </w:pPr>
      <w:r w:rsidRPr="009E5040">
        <w:rPr>
          <w:rFonts w:cs="Times New Roman"/>
          <w:sz w:val="24"/>
          <w:szCs w:val="26"/>
        </w:rPr>
        <w:t>Así se obtiene el primer concepto --el salario mensual de base de liquidación de la pensión-, simplemente, multiplicando los valores de las anotadas premisas. Y al salario mensual de base que allí resulta se le aplica el porcentaje deducido de la cuantía básica, adicionado con los aumentos pertinentes al monto de las cotizaciones sufragadas (3% por cada 50 semanas de cotización cuando se superen las primeras 500) -tasa de reemplazo-, para obtener finalmente el valor mensual de la pensión</w:t>
      </w:r>
      <w:r w:rsidR="00E957FE" w:rsidRPr="009E5040">
        <w:rPr>
          <w:rFonts w:cs="Times New Roman"/>
          <w:sz w:val="24"/>
          <w:szCs w:val="26"/>
        </w:rPr>
        <w:t>»</w:t>
      </w:r>
      <w:r w:rsidRPr="009E5040">
        <w:rPr>
          <w:rFonts w:cs="Times New Roman"/>
          <w:sz w:val="24"/>
          <w:szCs w:val="26"/>
        </w:rPr>
        <w:t>.</w:t>
      </w:r>
    </w:p>
    <w:p w14:paraId="413362B4" w14:textId="77777777" w:rsidR="006F0610" w:rsidRPr="009E5040" w:rsidRDefault="006F0610" w:rsidP="009E5040">
      <w:pPr>
        <w:spacing w:line="240" w:lineRule="auto"/>
        <w:ind w:left="426" w:right="418"/>
        <w:jc w:val="both"/>
        <w:rPr>
          <w:rFonts w:cs="Times New Roman"/>
          <w:sz w:val="24"/>
          <w:szCs w:val="26"/>
        </w:rPr>
      </w:pPr>
    </w:p>
    <w:p w14:paraId="6B5E77B8" w14:textId="66B39B13" w:rsidR="006F0610" w:rsidRPr="009E5040" w:rsidRDefault="00E353E8" w:rsidP="009E5040">
      <w:pPr>
        <w:spacing w:line="240" w:lineRule="auto"/>
        <w:ind w:left="426" w:right="418"/>
        <w:jc w:val="both"/>
        <w:rPr>
          <w:rFonts w:cs="Times New Roman"/>
          <w:sz w:val="24"/>
          <w:szCs w:val="26"/>
        </w:rPr>
      </w:pPr>
      <w:r w:rsidRPr="009E5040">
        <w:rPr>
          <w:rFonts w:cs="Times New Roman"/>
          <w:sz w:val="24"/>
          <w:szCs w:val="26"/>
        </w:rPr>
        <w:t>… L</w:t>
      </w:r>
      <w:r w:rsidR="006F0610" w:rsidRPr="009E5040">
        <w:rPr>
          <w:rFonts w:cs="Times New Roman"/>
          <w:sz w:val="24"/>
          <w:szCs w:val="26"/>
        </w:rPr>
        <w:t>o perseguido por el legislador fue, llanamente, establecer el salario mensual de base del cual deduciría la tasa de reemplazo, multiplicando el promedio semanal del salario sobre el cual se cotizó durante las últimas cien semanas --que es tanto como decir la centésima parte de los salarios sobre los cuales se cotizó durante esas últimas cien semanas--, por el factor 4.33 - que no es más que el promedio de semanas del mes (52/12 = 4.33)-, por ser totalmente lógico que un promedio semanal no puede dar lugar a una mesada pensional sino previa traducción a su valor promedio mensual.</w:t>
      </w:r>
    </w:p>
    <w:p w14:paraId="2223B001" w14:textId="77777777" w:rsidR="006F0610" w:rsidRPr="00366F37" w:rsidRDefault="006F0610" w:rsidP="00366F37">
      <w:pPr>
        <w:spacing w:line="276" w:lineRule="auto"/>
        <w:jc w:val="both"/>
        <w:rPr>
          <w:szCs w:val="26"/>
        </w:rPr>
      </w:pPr>
    </w:p>
    <w:p w14:paraId="35EA8DC7" w14:textId="0D8296A3" w:rsidR="00DF2A98" w:rsidRPr="00366F37" w:rsidRDefault="00F773B4" w:rsidP="00366F37">
      <w:pPr>
        <w:spacing w:line="276" w:lineRule="auto"/>
        <w:jc w:val="both"/>
        <w:rPr>
          <w:szCs w:val="26"/>
        </w:rPr>
      </w:pPr>
      <w:r w:rsidRPr="00366F37">
        <w:rPr>
          <w:szCs w:val="26"/>
        </w:rPr>
        <w:t xml:space="preserve">Conforme lo anotado, </w:t>
      </w:r>
      <w:r w:rsidR="00304D28" w:rsidRPr="00366F37">
        <w:rPr>
          <w:szCs w:val="26"/>
        </w:rPr>
        <w:t xml:space="preserve">fueron </w:t>
      </w:r>
      <w:r w:rsidR="006F0610" w:rsidRPr="00366F37">
        <w:rPr>
          <w:szCs w:val="26"/>
        </w:rPr>
        <w:t>realizados los cálculos aritméticos de rigor, aplicando la norma contentiva de la fórmula citada, se tienen los siguientes resultados</w:t>
      </w:r>
      <w:r w:rsidR="00483E9D" w:rsidRPr="00366F37">
        <w:rPr>
          <w:rStyle w:val="Refdenotaalfinal"/>
          <w:szCs w:val="26"/>
        </w:rPr>
        <w:endnoteReference w:id="1"/>
      </w:r>
      <w:r w:rsidR="006F0610" w:rsidRPr="00366F37">
        <w:rPr>
          <w:szCs w:val="26"/>
        </w:rPr>
        <w:t xml:space="preserve">: </w:t>
      </w:r>
      <w:r w:rsidR="00483E9D" w:rsidRPr="00366F37">
        <w:rPr>
          <w:b/>
          <w:bCs/>
          <w:szCs w:val="26"/>
        </w:rPr>
        <w:t xml:space="preserve">(1) </w:t>
      </w:r>
      <w:r w:rsidR="006F0610" w:rsidRPr="00366F37">
        <w:rPr>
          <w:szCs w:val="26"/>
        </w:rPr>
        <w:t xml:space="preserve">La centésima parte de la suma de los salarios semanales </w:t>
      </w:r>
      <w:r w:rsidR="00483E9D" w:rsidRPr="00366F37">
        <w:rPr>
          <w:szCs w:val="26"/>
        </w:rPr>
        <w:t xml:space="preserve">se estableció en </w:t>
      </w:r>
      <w:r w:rsidR="006F0610" w:rsidRPr="00366F37">
        <w:rPr>
          <w:b/>
          <w:bCs/>
          <w:szCs w:val="26"/>
        </w:rPr>
        <w:t>$</w:t>
      </w:r>
      <w:r w:rsidR="00DF2A98" w:rsidRPr="00366F37">
        <w:rPr>
          <w:b/>
          <w:bCs/>
          <w:szCs w:val="26"/>
        </w:rPr>
        <w:t>55,875.</w:t>
      </w:r>
      <w:r w:rsidR="00DF2A98" w:rsidRPr="00366F37">
        <w:rPr>
          <w:b/>
          <w:bCs/>
          <w:szCs w:val="26"/>
          <w:vertAlign w:val="superscript"/>
        </w:rPr>
        <w:t>94</w:t>
      </w:r>
      <w:r w:rsidR="008B4C1B" w:rsidRPr="00366F37">
        <w:rPr>
          <w:b/>
          <w:bCs/>
          <w:szCs w:val="26"/>
          <w:vertAlign w:val="superscript"/>
        </w:rPr>
        <w:t>;</w:t>
      </w:r>
      <w:r w:rsidR="00483E9D" w:rsidRPr="00366F37">
        <w:rPr>
          <w:szCs w:val="26"/>
        </w:rPr>
        <w:t xml:space="preserve"> </w:t>
      </w:r>
      <w:r w:rsidR="008B4C1B" w:rsidRPr="00366F37">
        <w:rPr>
          <w:b/>
          <w:bCs/>
          <w:szCs w:val="26"/>
        </w:rPr>
        <w:t>(2)</w:t>
      </w:r>
      <w:r w:rsidR="008B4C1B" w:rsidRPr="00366F37">
        <w:rPr>
          <w:szCs w:val="26"/>
        </w:rPr>
        <w:t xml:space="preserve"> El total de salarios que correspondió a la sumatoria de las 100 semanas de cotización arrojó como valor </w:t>
      </w:r>
      <w:r w:rsidR="008B4C1B" w:rsidRPr="00366F37">
        <w:rPr>
          <w:b/>
          <w:bCs/>
          <w:szCs w:val="26"/>
        </w:rPr>
        <w:t>$</w:t>
      </w:r>
      <w:r w:rsidR="00DF2A98" w:rsidRPr="00366F37">
        <w:rPr>
          <w:b/>
          <w:bCs/>
          <w:szCs w:val="26"/>
        </w:rPr>
        <w:t>1,290,437.</w:t>
      </w:r>
      <w:r w:rsidR="00DF2A98" w:rsidRPr="00366F37">
        <w:rPr>
          <w:b/>
          <w:bCs/>
          <w:szCs w:val="26"/>
          <w:vertAlign w:val="superscript"/>
        </w:rPr>
        <w:t>33</w:t>
      </w:r>
      <w:r w:rsidR="00DF2A98" w:rsidRPr="00366F37">
        <w:rPr>
          <w:szCs w:val="26"/>
        </w:rPr>
        <w:t>;</w:t>
      </w:r>
      <w:r w:rsidR="008B4C1B" w:rsidRPr="00366F37">
        <w:rPr>
          <w:szCs w:val="26"/>
        </w:rPr>
        <w:t xml:space="preserve"> </w:t>
      </w:r>
      <w:r w:rsidR="008B4C1B" w:rsidRPr="00366F37">
        <w:rPr>
          <w:b/>
          <w:bCs/>
          <w:szCs w:val="26"/>
        </w:rPr>
        <w:t xml:space="preserve">(3) </w:t>
      </w:r>
      <w:r w:rsidR="008B4C1B" w:rsidRPr="00366F37">
        <w:rPr>
          <w:szCs w:val="26"/>
        </w:rPr>
        <w:t xml:space="preserve">Dicho total de salarios mensuales base de cotización, al dividirse por el número de semanas tenidos en cuenta (100) que corresponde a la </w:t>
      </w:r>
      <w:r w:rsidR="00DF2A98" w:rsidRPr="00366F37">
        <w:rPr>
          <w:szCs w:val="26"/>
        </w:rPr>
        <w:t xml:space="preserve">centésima parte de esa </w:t>
      </w:r>
      <w:r w:rsidR="00FA3327" w:rsidRPr="00366F37">
        <w:rPr>
          <w:szCs w:val="26"/>
        </w:rPr>
        <w:t>sumatoria</w:t>
      </w:r>
      <w:r w:rsidR="00DF2A98" w:rsidRPr="00366F37">
        <w:rPr>
          <w:szCs w:val="26"/>
        </w:rPr>
        <w:t xml:space="preserve"> </w:t>
      </w:r>
      <w:r w:rsidR="008B4C1B" w:rsidRPr="00366F37">
        <w:rPr>
          <w:szCs w:val="26"/>
        </w:rPr>
        <w:t>($</w:t>
      </w:r>
      <w:r w:rsidR="00DF2A98" w:rsidRPr="00366F37">
        <w:rPr>
          <w:szCs w:val="26"/>
        </w:rPr>
        <w:t>12,904.</w:t>
      </w:r>
      <w:r w:rsidR="00DF2A98" w:rsidRPr="00366F37">
        <w:rPr>
          <w:szCs w:val="26"/>
          <w:vertAlign w:val="superscript"/>
        </w:rPr>
        <w:t>37</w:t>
      </w:r>
      <w:r w:rsidR="008B4C1B" w:rsidRPr="00366F37">
        <w:rPr>
          <w:szCs w:val="26"/>
        </w:rPr>
        <w:t>)</w:t>
      </w:r>
      <w:r w:rsidR="00DF2A98" w:rsidRPr="00366F37">
        <w:rPr>
          <w:szCs w:val="26"/>
        </w:rPr>
        <w:t xml:space="preserve"> </w:t>
      </w:r>
      <w:r w:rsidR="008B4C1B" w:rsidRPr="00366F37">
        <w:rPr>
          <w:szCs w:val="26"/>
        </w:rPr>
        <w:t xml:space="preserve">se multiplicó </w:t>
      </w:r>
      <w:r w:rsidR="00DF2A98" w:rsidRPr="00366F37">
        <w:rPr>
          <w:szCs w:val="26"/>
        </w:rPr>
        <w:t>por el factor 4.33</w:t>
      </w:r>
      <w:r w:rsidR="008B4C1B" w:rsidRPr="00366F37">
        <w:rPr>
          <w:szCs w:val="26"/>
        </w:rPr>
        <w:t xml:space="preserve">, obteniéndose con ello </w:t>
      </w:r>
      <w:r w:rsidR="00DF2A98" w:rsidRPr="00366F37">
        <w:rPr>
          <w:szCs w:val="26"/>
        </w:rPr>
        <w:t>el salario mensual de base de la pensión</w:t>
      </w:r>
      <w:r w:rsidR="008B4C1B" w:rsidRPr="00366F37">
        <w:rPr>
          <w:szCs w:val="26"/>
        </w:rPr>
        <w:t xml:space="preserve">; </w:t>
      </w:r>
      <w:r w:rsidR="008B4C1B" w:rsidRPr="00366F37">
        <w:rPr>
          <w:b/>
          <w:bCs/>
          <w:szCs w:val="26"/>
        </w:rPr>
        <w:t xml:space="preserve">(4) </w:t>
      </w:r>
      <w:r w:rsidR="008B4C1B" w:rsidRPr="00366F37">
        <w:rPr>
          <w:szCs w:val="26"/>
        </w:rPr>
        <w:t>Aplicada la tasa prestacional del 75% que corresponde a las 1.013,71 semanas</w:t>
      </w:r>
      <w:r w:rsidR="00DF2A98" w:rsidRPr="00366F37">
        <w:rPr>
          <w:szCs w:val="26"/>
        </w:rPr>
        <w:t xml:space="preserve">, arrojaría un valor de la pensión de </w:t>
      </w:r>
      <w:r w:rsidR="00DF2A98" w:rsidRPr="00366F37">
        <w:rPr>
          <w:b/>
          <w:bCs/>
          <w:szCs w:val="26"/>
        </w:rPr>
        <w:t>$41.906,</w:t>
      </w:r>
      <w:r w:rsidR="00DF2A98" w:rsidRPr="00366F37">
        <w:rPr>
          <w:b/>
          <w:bCs/>
          <w:szCs w:val="26"/>
          <w:vertAlign w:val="superscript"/>
        </w:rPr>
        <w:t>95</w:t>
      </w:r>
      <w:r w:rsidR="008B4C1B" w:rsidRPr="00366F37">
        <w:rPr>
          <w:szCs w:val="26"/>
        </w:rPr>
        <w:t>.</w:t>
      </w:r>
    </w:p>
    <w:p w14:paraId="6A934843" w14:textId="5C8D2054" w:rsidR="002841A5" w:rsidRPr="00366F37" w:rsidRDefault="002841A5" w:rsidP="00366F37">
      <w:pPr>
        <w:spacing w:line="276" w:lineRule="auto"/>
        <w:jc w:val="both"/>
        <w:rPr>
          <w:rFonts w:cs="Times New Roman"/>
          <w:szCs w:val="26"/>
        </w:rPr>
      </w:pPr>
    </w:p>
    <w:p w14:paraId="7DAB0C77" w14:textId="30E4DC4C" w:rsidR="00FA3327" w:rsidRPr="00366F37" w:rsidRDefault="00FA3327" w:rsidP="00366F37">
      <w:pPr>
        <w:spacing w:line="276" w:lineRule="auto"/>
        <w:jc w:val="both"/>
        <w:rPr>
          <w:rFonts w:cs="Times New Roman"/>
          <w:szCs w:val="26"/>
        </w:rPr>
      </w:pPr>
      <w:r w:rsidRPr="00366F37">
        <w:rPr>
          <w:rFonts w:cs="Times New Roman"/>
          <w:szCs w:val="26"/>
        </w:rPr>
        <w:t xml:space="preserve">En </w:t>
      </w:r>
      <w:r w:rsidR="00DA30CE" w:rsidRPr="00366F37">
        <w:rPr>
          <w:rFonts w:cs="Times New Roman"/>
          <w:szCs w:val="26"/>
        </w:rPr>
        <w:t>síntesis</w:t>
      </w:r>
      <w:r w:rsidRPr="00366F37">
        <w:rPr>
          <w:rFonts w:cs="Times New Roman"/>
          <w:szCs w:val="26"/>
        </w:rPr>
        <w:t>,</w:t>
      </w:r>
      <w:r w:rsidR="00870410" w:rsidRPr="00366F37">
        <w:rPr>
          <w:rFonts w:cs="Times New Roman"/>
          <w:szCs w:val="26"/>
        </w:rPr>
        <w:t xml:space="preserve"> la demandada efectivamente dejó</w:t>
      </w:r>
      <w:r w:rsidRPr="00366F37">
        <w:rPr>
          <w:rFonts w:cs="Times New Roman"/>
          <w:szCs w:val="26"/>
        </w:rPr>
        <w:t xml:space="preserve"> de incluir tiempos de cotización que se encontraban en el rango de las 100 últimas semanas, lo cual explica la leve diferencia en la definición del salario mensual base</w:t>
      </w:r>
      <w:r w:rsidR="00DA30CE" w:rsidRPr="00366F37">
        <w:rPr>
          <w:rFonts w:cs="Times New Roman"/>
          <w:szCs w:val="26"/>
        </w:rPr>
        <w:t xml:space="preserve">, la cual arroja un valor de </w:t>
      </w:r>
      <w:r w:rsidR="00DA30CE" w:rsidRPr="00366F37">
        <w:rPr>
          <w:rFonts w:cs="Times New Roman"/>
          <w:b/>
          <w:szCs w:val="26"/>
        </w:rPr>
        <w:t>$882</w:t>
      </w:r>
      <w:r w:rsidR="00DA30CE" w:rsidRPr="00366F37">
        <w:rPr>
          <w:rFonts w:cs="Times New Roman"/>
          <w:szCs w:val="26"/>
        </w:rPr>
        <w:t xml:space="preserve"> de diferencia, en el valor de la primera mesada para 1990,</w:t>
      </w:r>
      <w:r w:rsidRPr="00366F37">
        <w:rPr>
          <w:rFonts w:cs="Times New Roman"/>
          <w:szCs w:val="26"/>
        </w:rPr>
        <w:t xml:space="preserve"> </w:t>
      </w:r>
      <w:r w:rsidR="00DA30CE" w:rsidRPr="00366F37">
        <w:rPr>
          <w:rFonts w:cs="Times New Roman"/>
          <w:szCs w:val="26"/>
        </w:rPr>
        <w:t xml:space="preserve">la cual se </w:t>
      </w:r>
      <w:r w:rsidR="008501FF" w:rsidRPr="00366F37">
        <w:rPr>
          <w:rFonts w:cs="Times New Roman"/>
          <w:szCs w:val="26"/>
        </w:rPr>
        <w:t>fijó</w:t>
      </w:r>
      <w:r w:rsidR="00DA30CE" w:rsidRPr="00366F37">
        <w:rPr>
          <w:rFonts w:cs="Times New Roman"/>
          <w:szCs w:val="26"/>
        </w:rPr>
        <w:t xml:space="preserve"> en el salario mínimo que estaba en valor de $</w:t>
      </w:r>
      <w:r w:rsidR="00DA30CE" w:rsidRPr="00366F37">
        <w:rPr>
          <w:rFonts w:cs="Times New Roman"/>
          <w:b/>
          <w:bCs/>
          <w:szCs w:val="26"/>
        </w:rPr>
        <w:t>41.025.</w:t>
      </w:r>
    </w:p>
    <w:p w14:paraId="57DC71BA" w14:textId="3F03D133" w:rsidR="00DA30CE" w:rsidRPr="00366F37" w:rsidRDefault="00DA30CE" w:rsidP="00366F37">
      <w:pPr>
        <w:spacing w:line="276" w:lineRule="auto"/>
        <w:jc w:val="both"/>
        <w:rPr>
          <w:rFonts w:cs="Times New Roman"/>
          <w:szCs w:val="26"/>
        </w:rPr>
      </w:pPr>
    </w:p>
    <w:p w14:paraId="7BB13300" w14:textId="33AE52E1" w:rsidR="00866A61" w:rsidRPr="00366F37" w:rsidRDefault="00DA30CE" w:rsidP="00366F37">
      <w:pPr>
        <w:spacing w:line="276" w:lineRule="auto"/>
        <w:jc w:val="both"/>
        <w:rPr>
          <w:rFonts w:cs="Times New Roman"/>
          <w:szCs w:val="26"/>
        </w:rPr>
      </w:pPr>
      <w:r w:rsidRPr="00366F37">
        <w:rPr>
          <w:rFonts w:cs="Times New Roman"/>
          <w:szCs w:val="26"/>
        </w:rPr>
        <w:t>No obstante, realizados los ajustes mensuales de rigor</w:t>
      </w:r>
      <w:r w:rsidRPr="00366F37">
        <w:rPr>
          <w:rStyle w:val="Refdenotaalfinal"/>
          <w:rFonts w:cs="Times New Roman"/>
          <w:szCs w:val="26"/>
        </w:rPr>
        <w:endnoteReference w:id="2"/>
      </w:r>
      <w:r w:rsidRPr="00366F37">
        <w:rPr>
          <w:rFonts w:cs="Times New Roman"/>
          <w:szCs w:val="26"/>
        </w:rPr>
        <w:t xml:space="preserve">, dicha diferencia se fue reduciendo en razón a que el salario mínimo, año a año, ha tenido aumentos </w:t>
      </w:r>
      <w:r w:rsidR="0045137E" w:rsidRPr="00366F37">
        <w:rPr>
          <w:rFonts w:cs="Times New Roman"/>
          <w:szCs w:val="26"/>
        </w:rPr>
        <w:t xml:space="preserve">porcentuales </w:t>
      </w:r>
      <w:r w:rsidRPr="00366F37">
        <w:rPr>
          <w:rFonts w:cs="Times New Roman"/>
          <w:szCs w:val="26"/>
        </w:rPr>
        <w:t xml:space="preserve">superiores al IPC, lo que conlleva a </w:t>
      </w:r>
      <w:r w:rsidR="00621878" w:rsidRPr="00366F37">
        <w:rPr>
          <w:rFonts w:cs="Times New Roman"/>
          <w:szCs w:val="26"/>
        </w:rPr>
        <w:t>que,</w:t>
      </w:r>
      <w:r w:rsidRPr="00366F37">
        <w:rPr>
          <w:rFonts w:cs="Times New Roman"/>
          <w:szCs w:val="26"/>
        </w:rPr>
        <w:t xml:space="preserve"> a partir del año 2011, </w:t>
      </w:r>
      <w:r w:rsidR="0045137E" w:rsidRPr="00366F37">
        <w:rPr>
          <w:rFonts w:cs="Times New Roman"/>
          <w:szCs w:val="26"/>
        </w:rPr>
        <w:t xml:space="preserve">en éste caso, se hiciera mayor el valor del salario </w:t>
      </w:r>
      <w:r w:rsidR="0045137E" w:rsidRPr="00366F37">
        <w:rPr>
          <w:rFonts w:cs="Times New Roman"/>
          <w:szCs w:val="26"/>
        </w:rPr>
        <w:lastRenderedPageBreak/>
        <w:t xml:space="preserve">mínimo </w:t>
      </w:r>
      <w:r w:rsidRPr="00366F37">
        <w:rPr>
          <w:rFonts w:cs="Times New Roman"/>
          <w:szCs w:val="26"/>
        </w:rPr>
        <w:t>que aqu</w:t>
      </w:r>
      <w:r w:rsidR="0045137E" w:rsidRPr="00366F37">
        <w:rPr>
          <w:rFonts w:cs="Times New Roman"/>
          <w:szCs w:val="26"/>
        </w:rPr>
        <w:t>é</w:t>
      </w:r>
      <w:r w:rsidRPr="00366F37">
        <w:rPr>
          <w:rFonts w:cs="Times New Roman"/>
          <w:szCs w:val="26"/>
        </w:rPr>
        <w:t>lla que se obtendría</w:t>
      </w:r>
      <w:r w:rsidR="00866A61" w:rsidRPr="00366F37">
        <w:rPr>
          <w:rFonts w:cs="Times New Roman"/>
          <w:szCs w:val="26"/>
        </w:rPr>
        <w:t xml:space="preserve"> de reajustar el valor inicial de la mesada re liquidada </w:t>
      </w:r>
      <w:r w:rsidR="0045137E" w:rsidRPr="00366F37">
        <w:rPr>
          <w:rFonts w:cs="Times New Roman"/>
          <w:szCs w:val="26"/>
        </w:rPr>
        <w:t>con el IPC</w:t>
      </w:r>
      <w:r w:rsidR="0040166C" w:rsidRPr="00366F37">
        <w:rPr>
          <w:rFonts w:cs="Times New Roman"/>
          <w:szCs w:val="26"/>
        </w:rPr>
        <w:t xml:space="preserve">, lo que implica que </w:t>
      </w:r>
      <w:r w:rsidR="00961A28" w:rsidRPr="00366F37">
        <w:rPr>
          <w:rFonts w:cs="Times New Roman"/>
          <w:szCs w:val="26"/>
        </w:rPr>
        <w:t>no sería favorable aplicarlo al demandante.</w:t>
      </w:r>
    </w:p>
    <w:p w14:paraId="5BC379FB" w14:textId="77777777" w:rsidR="00866A61" w:rsidRPr="00366F37" w:rsidRDefault="00866A61" w:rsidP="00366F37">
      <w:pPr>
        <w:spacing w:line="276" w:lineRule="auto"/>
        <w:jc w:val="both"/>
        <w:rPr>
          <w:rFonts w:cs="Times New Roman"/>
          <w:szCs w:val="26"/>
        </w:rPr>
      </w:pPr>
    </w:p>
    <w:p w14:paraId="0B259024" w14:textId="49C87D88" w:rsidR="00DA30CE" w:rsidRPr="00366F37" w:rsidRDefault="00961A28" w:rsidP="00366F37">
      <w:pPr>
        <w:spacing w:line="276" w:lineRule="auto"/>
        <w:jc w:val="both"/>
        <w:rPr>
          <w:rFonts w:cs="Times New Roman"/>
          <w:szCs w:val="26"/>
        </w:rPr>
      </w:pPr>
      <w:r w:rsidRPr="00366F37">
        <w:rPr>
          <w:rFonts w:cs="Times New Roman"/>
          <w:szCs w:val="26"/>
        </w:rPr>
        <w:t xml:space="preserve">Además, si en gracia de discusión se dispusiera ordenar la modificación en el valor de la mesada, lo cierto es que </w:t>
      </w:r>
      <w:r w:rsidR="00BF1C81" w:rsidRPr="00366F37">
        <w:rPr>
          <w:rFonts w:cs="Times New Roman"/>
          <w:szCs w:val="26"/>
        </w:rPr>
        <w:t xml:space="preserve">cualquier diferencia </w:t>
      </w:r>
      <w:r w:rsidRPr="00366F37">
        <w:rPr>
          <w:rFonts w:cs="Times New Roman"/>
          <w:szCs w:val="26"/>
        </w:rPr>
        <w:t xml:space="preserve">que pudiera resultar </w:t>
      </w:r>
      <w:r w:rsidR="00BF1C81" w:rsidRPr="00366F37">
        <w:rPr>
          <w:rFonts w:cs="Times New Roman"/>
          <w:szCs w:val="26"/>
        </w:rPr>
        <w:t xml:space="preserve">a favor del actor </w:t>
      </w:r>
      <w:r w:rsidR="00866A61" w:rsidRPr="00366F37">
        <w:rPr>
          <w:rFonts w:cs="Times New Roman"/>
          <w:szCs w:val="26"/>
        </w:rPr>
        <w:t xml:space="preserve">entre el 27 de septiembre de 1990 y el 31 de diciembre de 2010, </w:t>
      </w:r>
      <w:r w:rsidRPr="00366F37">
        <w:rPr>
          <w:rFonts w:cs="Times New Roman"/>
          <w:szCs w:val="26"/>
        </w:rPr>
        <w:t xml:space="preserve">estaría prescrita porque </w:t>
      </w:r>
      <w:r w:rsidR="00BF1C81" w:rsidRPr="00366F37">
        <w:rPr>
          <w:rFonts w:cs="Times New Roman"/>
          <w:szCs w:val="26"/>
        </w:rPr>
        <w:t>para cualquier mesada causa</w:t>
      </w:r>
      <w:r w:rsidR="00422037" w:rsidRPr="00366F37">
        <w:rPr>
          <w:rFonts w:cs="Times New Roman"/>
          <w:szCs w:val="26"/>
        </w:rPr>
        <w:t>da</w:t>
      </w:r>
      <w:r w:rsidR="00BF1C81" w:rsidRPr="00366F37">
        <w:rPr>
          <w:rFonts w:cs="Times New Roman"/>
          <w:szCs w:val="26"/>
        </w:rPr>
        <w:t xml:space="preserve"> con anterioridad al 4 de agosto de 2014</w:t>
      </w:r>
      <w:r w:rsidRPr="00366F37">
        <w:rPr>
          <w:rFonts w:cs="Times New Roman"/>
          <w:szCs w:val="26"/>
        </w:rPr>
        <w:t xml:space="preserve"> se afecta</w:t>
      </w:r>
      <w:r w:rsidR="00422037" w:rsidRPr="00366F37">
        <w:rPr>
          <w:rFonts w:cs="Times New Roman"/>
          <w:szCs w:val="26"/>
        </w:rPr>
        <w:t>, en atención a que la reclamación se surtió en igual calenda del año 2017.</w:t>
      </w:r>
    </w:p>
    <w:p w14:paraId="54593BBA" w14:textId="77777777" w:rsidR="00DA30CE" w:rsidRPr="00366F37" w:rsidRDefault="00DA30CE" w:rsidP="00366F37">
      <w:pPr>
        <w:spacing w:line="276" w:lineRule="auto"/>
        <w:jc w:val="both"/>
        <w:rPr>
          <w:rFonts w:cs="Times New Roman"/>
          <w:szCs w:val="26"/>
        </w:rPr>
      </w:pPr>
    </w:p>
    <w:p w14:paraId="354F7CAE" w14:textId="5F4B4EEE" w:rsidR="00FA3327" w:rsidRPr="00366F37" w:rsidRDefault="00866A61" w:rsidP="00366F37">
      <w:pPr>
        <w:spacing w:line="276" w:lineRule="auto"/>
        <w:jc w:val="both"/>
        <w:rPr>
          <w:rFonts w:cs="Times New Roman"/>
          <w:szCs w:val="26"/>
        </w:rPr>
      </w:pPr>
      <w:r w:rsidRPr="00366F37">
        <w:rPr>
          <w:rFonts w:cs="Times New Roman"/>
          <w:szCs w:val="26"/>
        </w:rPr>
        <w:t xml:space="preserve">Así las cosas, </w:t>
      </w:r>
      <w:r w:rsidR="0040166C" w:rsidRPr="00366F37">
        <w:rPr>
          <w:rFonts w:cs="Times New Roman"/>
          <w:szCs w:val="26"/>
        </w:rPr>
        <w:t>impera revocar en su integridad la sentencia objeto de recursos y en su lugar negar las pretensiones de la demanda.</w:t>
      </w:r>
    </w:p>
    <w:p w14:paraId="671FEE3B" w14:textId="77777777" w:rsidR="0040166C" w:rsidRPr="00366F37" w:rsidRDefault="0040166C" w:rsidP="00366F37">
      <w:pPr>
        <w:spacing w:line="276" w:lineRule="auto"/>
        <w:jc w:val="both"/>
        <w:rPr>
          <w:rFonts w:cs="Times New Roman"/>
          <w:szCs w:val="26"/>
        </w:rPr>
      </w:pPr>
    </w:p>
    <w:p w14:paraId="4F032B3E" w14:textId="318FCD13" w:rsidR="0040166C" w:rsidRPr="00366F37" w:rsidRDefault="0040166C" w:rsidP="00366F37">
      <w:pPr>
        <w:spacing w:line="276" w:lineRule="auto"/>
        <w:jc w:val="both"/>
        <w:rPr>
          <w:rFonts w:cs="Times New Roman"/>
          <w:szCs w:val="26"/>
        </w:rPr>
      </w:pPr>
      <w:r w:rsidRPr="00366F37">
        <w:rPr>
          <w:rFonts w:cs="Times New Roman"/>
          <w:szCs w:val="26"/>
        </w:rPr>
        <w:t>Por lo anterior, se impondrán costas en primera y segunda instancia a cargo de la parte demandante en un 100%.</w:t>
      </w:r>
    </w:p>
    <w:p w14:paraId="260041FE" w14:textId="77777777" w:rsidR="00850AD6" w:rsidRPr="00366F37" w:rsidRDefault="00850AD6" w:rsidP="00366F37">
      <w:pPr>
        <w:spacing w:line="276" w:lineRule="auto"/>
        <w:jc w:val="both"/>
        <w:rPr>
          <w:rFonts w:cs="Times New Roman"/>
          <w:szCs w:val="26"/>
          <w:lang w:val="es-419"/>
        </w:rPr>
      </w:pPr>
    </w:p>
    <w:p w14:paraId="332D0C15" w14:textId="77777777" w:rsidR="005518CC" w:rsidRPr="00366F37" w:rsidRDefault="005518CC" w:rsidP="00366F37">
      <w:pPr>
        <w:pStyle w:val="Sinespaciado"/>
        <w:spacing w:line="276" w:lineRule="auto"/>
        <w:jc w:val="both"/>
        <w:rPr>
          <w:rFonts w:ascii="Arial Narrow" w:hAnsi="Arial Narrow"/>
          <w:sz w:val="26"/>
          <w:szCs w:val="26"/>
        </w:rPr>
      </w:pPr>
      <w:r w:rsidRPr="00366F37">
        <w:rPr>
          <w:rFonts w:ascii="Arial Narrow" w:hAnsi="Arial Narrow"/>
          <w:sz w:val="26"/>
          <w:szCs w:val="26"/>
        </w:rPr>
        <w:t xml:space="preserve">En mérito de lo expuesto, </w:t>
      </w:r>
      <w:r w:rsidRPr="00366F37">
        <w:rPr>
          <w:rFonts w:ascii="Arial Narrow" w:hAnsi="Arial Narrow"/>
          <w:b/>
          <w:sz w:val="26"/>
          <w:szCs w:val="26"/>
        </w:rPr>
        <w:t xml:space="preserve">la Sala Laboral del Tribunal Superior del Distrito de Pereira, </w:t>
      </w:r>
      <w:r w:rsidRPr="00366F37">
        <w:rPr>
          <w:rFonts w:ascii="Arial Narrow" w:hAnsi="Arial Narrow"/>
          <w:sz w:val="26"/>
          <w:szCs w:val="26"/>
        </w:rPr>
        <w:t xml:space="preserve">administrando justicia en nombre de la República y por autoridad de la Ley, </w:t>
      </w:r>
    </w:p>
    <w:p w14:paraId="623562CF" w14:textId="77777777" w:rsidR="005518CC" w:rsidRPr="00366F37" w:rsidRDefault="005518CC" w:rsidP="00366F37">
      <w:pPr>
        <w:pStyle w:val="Sinespaciado"/>
        <w:spacing w:line="276" w:lineRule="auto"/>
        <w:jc w:val="both"/>
        <w:rPr>
          <w:rFonts w:ascii="Arial Narrow" w:hAnsi="Arial Narrow"/>
          <w:sz w:val="26"/>
          <w:szCs w:val="26"/>
        </w:rPr>
      </w:pPr>
    </w:p>
    <w:p w14:paraId="31207C84" w14:textId="77777777" w:rsidR="00850AD6" w:rsidRPr="00366F37" w:rsidRDefault="00850AD6" w:rsidP="00366F37">
      <w:pPr>
        <w:pStyle w:val="Sinespaciado"/>
        <w:spacing w:line="276" w:lineRule="auto"/>
        <w:jc w:val="center"/>
        <w:rPr>
          <w:rFonts w:ascii="Arial Narrow" w:hAnsi="Arial Narrow"/>
          <w:b/>
          <w:sz w:val="26"/>
          <w:szCs w:val="26"/>
        </w:rPr>
      </w:pPr>
      <w:r w:rsidRPr="00366F37">
        <w:rPr>
          <w:rFonts w:ascii="Arial Narrow" w:hAnsi="Arial Narrow"/>
          <w:b/>
          <w:sz w:val="26"/>
          <w:szCs w:val="26"/>
        </w:rPr>
        <w:t>FALLA:</w:t>
      </w:r>
    </w:p>
    <w:p w14:paraId="3C6745F3" w14:textId="77777777" w:rsidR="0040166C" w:rsidRPr="00366F37" w:rsidRDefault="0040166C" w:rsidP="00366F37">
      <w:pPr>
        <w:pStyle w:val="Sinespaciado"/>
        <w:spacing w:line="276" w:lineRule="auto"/>
        <w:jc w:val="both"/>
        <w:rPr>
          <w:rFonts w:ascii="Arial Narrow" w:hAnsi="Arial Narrow"/>
          <w:sz w:val="26"/>
          <w:szCs w:val="26"/>
        </w:rPr>
      </w:pPr>
    </w:p>
    <w:p w14:paraId="3EDE6100" w14:textId="53085D35" w:rsidR="00753621" w:rsidRPr="00366F37" w:rsidRDefault="0040166C" w:rsidP="00366F37">
      <w:pPr>
        <w:pStyle w:val="Sinespaciado"/>
        <w:spacing w:line="276" w:lineRule="auto"/>
        <w:jc w:val="both"/>
        <w:rPr>
          <w:rFonts w:ascii="Arial Narrow" w:hAnsi="Arial Narrow"/>
          <w:sz w:val="26"/>
          <w:szCs w:val="26"/>
        </w:rPr>
      </w:pPr>
      <w:r w:rsidRPr="00366F37">
        <w:rPr>
          <w:rFonts w:ascii="Arial Narrow" w:hAnsi="Arial Narrow"/>
          <w:b/>
          <w:sz w:val="26"/>
          <w:szCs w:val="26"/>
        </w:rPr>
        <w:t xml:space="preserve">Primero. </w:t>
      </w:r>
      <w:r w:rsidR="00753621" w:rsidRPr="00366F37">
        <w:rPr>
          <w:rFonts w:ascii="Arial Narrow" w:hAnsi="Arial Narrow"/>
          <w:b/>
          <w:sz w:val="26"/>
          <w:szCs w:val="26"/>
        </w:rPr>
        <w:t>Revocar</w:t>
      </w:r>
      <w:r w:rsidR="00753621" w:rsidRPr="00366F37">
        <w:rPr>
          <w:rFonts w:ascii="Arial Narrow" w:hAnsi="Arial Narrow"/>
          <w:sz w:val="26"/>
          <w:szCs w:val="26"/>
        </w:rPr>
        <w:t xml:space="preserve"> la sentencia proferida el </w:t>
      </w:r>
      <w:r w:rsidRPr="00366F37">
        <w:rPr>
          <w:rFonts w:ascii="Arial Narrow" w:hAnsi="Arial Narrow"/>
          <w:sz w:val="26"/>
          <w:szCs w:val="26"/>
        </w:rPr>
        <w:t xml:space="preserve">20 </w:t>
      </w:r>
      <w:r w:rsidR="00753621" w:rsidRPr="00366F37">
        <w:rPr>
          <w:rFonts w:ascii="Arial Narrow" w:hAnsi="Arial Narrow"/>
          <w:sz w:val="26"/>
          <w:szCs w:val="26"/>
        </w:rPr>
        <w:t xml:space="preserve">de </w:t>
      </w:r>
      <w:r w:rsidRPr="00366F37">
        <w:rPr>
          <w:rFonts w:ascii="Arial Narrow" w:hAnsi="Arial Narrow"/>
          <w:sz w:val="26"/>
          <w:szCs w:val="26"/>
        </w:rPr>
        <w:t xml:space="preserve">marzo </w:t>
      </w:r>
      <w:r w:rsidR="00753621" w:rsidRPr="00366F37">
        <w:rPr>
          <w:rFonts w:ascii="Arial Narrow" w:hAnsi="Arial Narrow"/>
          <w:sz w:val="26"/>
          <w:szCs w:val="26"/>
        </w:rPr>
        <w:t>de 201</w:t>
      </w:r>
      <w:r w:rsidRPr="00366F37">
        <w:rPr>
          <w:rFonts w:ascii="Arial Narrow" w:hAnsi="Arial Narrow"/>
          <w:sz w:val="26"/>
          <w:szCs w:val="26"/>
        </w:rPr>
        <w:t>9</w:t>
      </w:r>
      <w:r w:rsidR="00753621" w:rsidRPr="00366F37">
        <w:rPr>
          <w:rFonts w:ascii="Arial Narrow" w:hAnsi="Arial Narrow"/>
          <w:sz w:val="26"/>
          <w:szCs w:val="26"/>
        </w:rPr>
        <w:t xml:space="preserve"> por el Juzgado </w:t>
      </w:r>
      <w:r w:rsidRPr="00366F37">
        <w:rPr>
          <w:rFonts w:ascii="Arial Narrow" w:hAnsi="Arial Narrow"/>
          <w:sz w:val="26"/>
          <w:szCs w:val="26"/>
        </w:rPr>
        <w:t xml:space="preserve">Tercero </w:t>
      </w:r>
      <w:r w:rsidR="00753621" w:rsidRPr="00366F37">
        <w:rPr>
          <w:rFonts w:ascii="Arial Narrow" w:hAnsi="Arial Narrow"/>
          <w:sz w:val="26"/>
          <w:szCs w:val="26"/>
        </w:rPr>
        <w:t xml:space="preserve">Laboral del Circuito de Pereira, dentro del proceso que promueve </w:t>
      </w:r>
      <w:r w:rsidRPr="00366F37">
        <w:rPr>
          <w:rFonts w:ascii="Arial Narrow" w:hAnsi="Arial Narrow"/>
          <w:b/>
          <w:sz w:val="26"/>
          <w:szCs w:val="26"/>
        </w:rPr>
        <w:t xml:space="preserve">Augusto Marco Aurelio Zapata </w:t>
      </w:r>
      <w:r w:rsidR="00753621" w:rsidRPr="00366F37">
        <w:rPr>
          <w:rFonts w:ascii="Arial Narrow" w:hAnsi="Arial Narrow"/>
          <w:sz w:val="26"/>
          <w:szCs w:val="26"/>
        </w:rPr>
        <w:t xml:space="preserve">contra la </w:t>
      </w:r>
      <w:r w:rsidR="00753621" w:rsidRPr="00366F37">
        <w:rPr>
          <w:rFonts w:ascii="Arial Narrow" w:hAnsi="Arial Narrow"/>
          <w:b/>
          <w:sz w:val="26"/>
          <w:szCs w:val="26"/>
        </w:rPr>
        <w:t>Administradora Colombiana de Pensiones – Colpensiones</w:t>
      </w:r>
      <w:r w:rsidR="00753621" w:rsidRPr="00366F37">
        <w:rPr>
          <w:rFonts w:ascii="Arial Narrow" w:hAnsi="Arial Narrow"/>
          <w:sz w:val="26"/>
          <w:szCs w:val="26"/>
        </w:rPr>
        <w:t xml:space="preserve">, para en su lugar, absolverla de las pretensiones invocadas por </w:t>
      </w:r>
      <w:r w:rsidRPr="00366F37">
        <w:rPr>
          <w:rFonts w:ascii="Arial Narrow" w:hAnsi="Arial Narrow"/>
          <w:sz w:val="26"/>
          <w:szCs w:val="26"/>
        </w:rPr>
        <w:t xml:space="preserve">el </w:t>
      </w:r>
      <w:r w:rsidR="00753621" w:rsidRPr="00366F37">
        <w:rPr>
          <w:rFonts w:ascii="Arial Narrow" w:hAnsi="Arial Narrow"/>
          <w:sz w:val="26"/>
          <w:szCs w:val="26"/>
        </w:rPr>
        <w:t>demandante</w:t>
      </w:r>
      <w:r w:rsidRPr="00366F37">
        <w:rPr>
          <w:rFonts w:ascii="Arial Narrow" w:hAnsi="Arial Narrow"/>
          <w:sz w:val="26"/>
          <w:szCs w:val="26"/>
        </w:rPr>
        <w:t>.</w:t>
      </w:r>
    </w:p>
    <w:p w14:paraId="02ECAEB2" w14:textId="77777777" w:rsidR="0040166C" w:rsidRPr="00366F37" w:rsidRDefault="0040166C" w:rsidP="00366F37">
      <w:pPr>
        <w:pStyle w:val="Sinespaciado"/>
        <w:spacing w:line="276" w:lineRule="auto"/>
        <w:jc w:val="both"/>
        <w:rPr>
          <w:rFonts w:ascii="Arial Narrow" w:hAnsi="Arial Narrow"/>
          <w:sz w:val="26"/>
          <w:szCs w:val="26"/>
        </w:rPr>
      </w:pPr>
    </w:p>
    <w:p w14:paraId="743C206D" w14:textId="2C7762E8" w:rsidR="00753621" w:rsidRPr="00366F37" w:rsidRDefault="0040166C" w:rsidP="00366F37">
      <w:pPr>
        <w:pStyle w:val="Sinespaciado"/>
        <w:spacing w:line="276" w:lineRule="auto"/>
        <w:jc w:val="both"/>
        <w:rPr>
          <w:rFonts w:ascii="Arial Narrow" w:hAnsi="Arial Narrow"/>
          <w:sz w:val="26"/>
          <w:szCs w:val="26"/>
        </w:rPr>
      </w:pPr>
      <w:r w:rsidRPr="00366F37">
        <w:rPr>
          <w:rFonts w:ascii="Arial Narrow" w:hAnsi="Arial Narrow"/>
          <w:b/>
          <w:sz w:val="26"/>
          <w:szCs w:val="26"/>
        </w:rPr>
        <w:t>Segundo</w:t>
      </w:r>
      <w:r w:rsidR="00753621" w:rsidRPr="00366F37">
        <w:rPr>
          <w:rFonts w:ascii="Arial Narrow" w:hAnsi="Arial Narrow"/>
          <w:sz w:val="26"/>
          <w:szCs w:val="26"/>
        </w:rPr>
        <w:t xml:space="preserve">: </w:t>
      </w:r>
      <w:r w:rsidR="00753621" w:rsidRPr="00366F37">
        <w:rPr>
          <w:rFonts w:ascii="Arial Narrow" w:hAnsi="Arial Narrow"/>
          <w:b/>
          <w:sz w:val="26"/>
          <w:szCs w:val="26"/>
        </w:rPr>
        <w:t>Condenar</w:t>
      </w:r>
      <w:r w:rsidR="00753621" w:rsidRPr="00366F37">
        <w:rPr>
          <w:rFonts w:ascii="Arial Narrow" w:hAnsi="Arial Narrow"/>
          <w:sz w:val="26"/>
          <w:szCs w:val="26"/>
        </w:rPr>
        <w:t xml:space="preserve"> en costas en ambas instancias a la parte demandante, en favor de Colpensiones.</w:t>
      </w:r>
    </w:p>
    <w:p w14:paraId="5ECB43FF" w14:textId="77777777" w:rsidR="00850AD6" w:rsidRPr="00366F37" w:rsidRDefault="00850AD6" w:rsidP="00366F37">
      <w:pPr>
        <w:pStyle w:val="Sinespaciado"/>
        <w:spacing w:line="276" w:lineRule="auto"/>
        <w:jc w:val="both"/>
        <w:rPr>
          <w:rFonts w:ascii="Arial Narrow" w:hAnsi="Arial Narrow"/>
          <w:sz w:val="26"/>
          <w:szCs w:val="26"/>
        </w:rPr>
      </w:pPr>
    </w:p>
    <w:p w14:paraId="5E413B7E" w14:textId="77777777" w:rsidR="005518CC" w:rsidRPr="00366F37" w:rsidRDefault="005518CC" w:rsidP="00366F37">
      <w:pPr>
        <w:pStyle w:val="Sinespaciado"/>
        <w:spacing w:line="276" w:lineRule="auto"/>
        <w:jc w:val="both"/>
        <w:rPr>
          <w:rFonts w:ascii="Arial Narrow" w:hAnsi="Arial Narrow"/>
          <w:sz w:val="26"/>
          <w:szCs w:val="26"/>
        </w:rPr>
      </w:pPr>
      <w:r w:rsidRPr="00366F37">
        <w:rPr>
          <w:rFonts w:ascii="Arial Narrow" w:hAnsi="Arial Narrow"/>
          <w:sz w:val="26"/>
          <w:szCs w:val="26"/>
        </w:rPr>
        <w:t>Notificación surtida en estrados.</w:t>
      </w:r>
    </w:p>
    <w:p w14:paraId="7FC6949B" w14:textId="77777777" w:rsidR="00366F37" w:rsidRPr="00A74E18" w:rsidRDefault="00366F37" w:rsidP="00366F37">
      <w:pPr>
        <w:spacing w:line="288" w:lineRule="auto"/>
        <w:rPr>
          <w:rFonts w:eastAsia="Times New Roman" w:cs="Times New Roman"/>
          <w:spacing w:val="-4"/>
          <w:szCs w:val="26"/>
          <w:lang w:val="es-ES" w:eastAsia="es-ES"/>
        </w:rPr>
      </w:pPr>
    </w:p>
    <w:p w14:paraId="003FF526" w14:textId="77777777" w:rsidR="00366F37" w:rsidRPr="00A74E18" w:rsidRDefault="00366F37" w:rsidP="00366F37">
      <w:pPr>
        <w:spacing w:line="288" w:lineRule="auto"/>
        <w:rPr>
          <w:rFonts w:eastAsia="Times New Roman" w:cs="Times New Roman"/>
          <w:spacing w:val="-4"/>
          <w:szCs w:val="26"/>
          <w:lang w:val="es-ES" w:eastAsia="es-ES"/>
        </w:rPr>
      </w:pPr>
    </w:p>
    <w:p w14:paraId="30AC6994" w14:textId="77777777" w:rsidR="00366F37" w:rsidRPr="00A74E18" w:rsidRDefault="00366F37" w:rsidP="00366F37">
      <w:pPr>
        <w:spacing w:line="288" w:lineRule="auto"/>
        <w:rPr>
          <w:rFonts w:eastAsia="Times New Roman" w:cs="Microsoft Sans Serif"/>
          <w:bCs/>
          <w:iCs/>
          <w:color w:val="000000"/>
          <w:spacing w:val="-4"/>
          <w:szCs w:val="26"/>
          <w:lang w:val="es-ES" w:eastAsia="es-ES"/>
        </w:rPr>
      </w:pPr>
    </w:p>
    <w:p w14:paraId="615B2423" w14:textId="77777777" w:rsidR="00366F37" w:rsidRPr="00A74E18" w:rsidRDefault="00366F37" w:rsidP="00366F37">
      <w:pPr>
        <w:spacing w:line="288" w:lineRule="auto"/>
        <w:jc w:val="center"/>
        <w:rPr>
          <w:rFonts w:eastAsia="Times New Roman" w:cs="Microsoft Sans Serif"/>
          <w:b/>
          <w:bCs/>
          <w:iCs/>
          <w:color w:val="000000"/>
          <w:spacing w:val="-4"/>
          <w:szCs w:val="26"/>
          <w:lang w:val="es-ES" w:eastAsia="es-ES"/>
        </w:rPr>
      </w:pPr>
      <w:r w:rsidRPr="00A74E18">
        <w:rPr>
          <w:rFonts w:eastAsia="Times New Roman" w:cs="Microsoft Sans Serif"/>
          <w:b/>
          <w:bCs/>
          <w:iCs/>
          <w:color w:val="000000"/>
          <w:spacing w:val="-4"/>
          <w:szCs w:val="26"/>
          <w:lang w:val="es-ES" w:eastAsia="es-ES"/>
        </w:rPr>
        <w:t>FRANCISCO JAVIER TAMAYO TABARES</w:t>
      </w:r>
    </w:p>
    <w:p w14:paraId="008644FC" w14:textId="77777777" w:rsidR="00366F37" w:rsidRPr="00A74E18" w:rsidRDefault="00366F37" w:rsidP="00366F37">
      <w:pPr>
        <w:spacing w:line="288" w:lineRule="auto"/>
        <w:jc w:val="center"/>
        <w:rPr>
          <w:rFonts w:eastAsia="Times New Roman" w:cs="Microsoft Sans Serif"/>
          <w:color w:val="000000"/>
          <w:spacing w:val="-4"/>
          <w:szCs w:val="26"/>
          <w:lang w:val="es-ES" w:eastAsia="es-ES"/>
        </w:rPr>
      </w:pPr>
      <w:r w:rsidRPr="00A74E18">
        <w:rPr>
          <w:rFonts w:eastAsia="Times New Roman" w:cs="Microsoft Sans Serif"/>
          <w:color w:val="000000"/>
          <w:spacing w:val="-4"/>
          <w:szCs w:val="26"/>
          <w:lang w:val="es-ES" w:eastAsia="es-ES"/>
        </w:rPr>
        <w:t xml:space="preserve">Magistrado Ponente </w:t>
      </w:r>
    </w:p>
    <w:p w14:paraId="3A112B19" w14:textId="77777777" w:rsidR="00366F37" w:rsidRPr="00A74E18" w:rsidRDefault="00366F37" w:rsidP="00366F37">
      <w:pPr>
        <w:spacing w:line="288" w:lineRule="auto"/>
        <w:jc w:val="both"/>
        <w:rPr>
          <w:rFonts w:eastAsia="Times New Roman" w:cs="Microsoft Sans Serif"/>
          <w:color w:val="000000"/>
          <w:spacing w:val="-4"/>
          <w:szCs w:val="26"/>
          <w:lang w:val="es-ES" w:eastAsia="es-ES"/>
        </w:rPr>
      </w:pPr>
    </w:p>
    <w:p w14:paraId="3FAF36B9" w14:textId="77777777" w:rsidR="00366F37" w:rsidRPr="00A74E18" w:rsidRDefault="00366F37" w:rsidP="00366F37">
      <w:pPr>
        <w:spacing w:line="288" w:lineRule="auto"/>
        <w:rPr>
          <w:rFonts w:eastAsia="Times New Roman" w:cs="Times New Roman"/>
          <w:spacing w:val="-4"/>
          <w:szCs w:val="26"/>
          <w:lang w:val="es-ES_tradnl" w:eastAsia="es-ES"/>
        </w:rPr>
      </w:pPr>
    </w:p>
    <w:p w14:paraId="3FD337F1" w14:textId="77777777" w:rsidR="00366F37" w:rsidRPr="00A74E18" w:rsidRDefault="00366F37" w:rsidP="00366F37">
      <w:pPr>
        <w:spacing w:line="288" w:lineRule="auto"/>
        <w:rPr>
          <w:rFonts w:eastAsia="Times New Roman" w:cs="Times New Roman"/>
          <w:spacing w:val="-4"/>
          <w:szCs w:val="26"/>
          <w:lang w:val="es-ES_tradnl" w:eastAsia="es-ES"/>
        </w:rPr>
      </w:pPr>
    </w:p>
    <w:p w14:paraId="2515DF23" w14:textId="77777777" w:rsidR="00366F37" w:rsidRPr="00A74E18" w:rsidRDefault="00366F37" w:rsidP="00366F37">
      <w:pPr>
        <w:spacing w:line="288" w:lineRule="auto"/>
        <w:rPr>
          <w:rFonts w:eastAsia="Times New Roman" w:cs="Microsoft Sans Serif"/>
          <w:b/>
          <w:bCs/>
          <w:iCs/>
          <w:color w:val="000000"/>
          <w:spacing w:val="-4"/>
          <w:szCs w:val="26"/>
          <w:lang w:val="es-ES" w:eastAsia="es-ES"/>
        </w:rPr>
      </w:pPr>
      <w:r w:rsidRPr="00A74E18">
        <w:rPr>
          <w:rFonts w:eastAsia="Times New Roman" w:cs="Microsoft Sans Serif"/>
          <w:b/>
          <w:bCs/>
          <w:iCs/>
          <w:color w:val="000000"/>
          <w:spacing w:val="-4"/>
          <w:szCs w:val="26"/>
          <w:lang w:val="es-ES" w:eastAsia="es-ES"/>
        </w:rPr>
        <w:t>ANA LUCÍA CAICEDO CALDERÓN</w:t>
      </w:r>
      <w:r w:rsidRPr="00A74E18">
        <w:rPr>
          <w:rFonts w:eastAsia="Times New Roman" w:cs="Microsoft Sans Serif"/>
          <w:b/>
          <w:bCs/>
          <w:iCs/>
          <w:color w:val="000000"/>
          <w:spacing w:val="-4"/>
          <w:szCs w:val="26"/>
          <w:lang w:val="es-ES" w:eastAsia="es-ES"/>
        </w:rPr>
        <w:tab/>
      </w:r>
      <w:r w:rsidRPr="00A74E18">
        <w:rPr>
          <w:rFonts w:eastAsia="Times New Roman" w:cs="Microsoft Sans Serif"/>
          <w:b/>
          <w:bCs/>
          <w:iCs/>
          <w:color w:val="000000"/>
          <w:spacing w:val="-4"/>
          <w:szCs w:val="26"/>
          <w:lang w:val="es-ES" w:eastAsia="es-ES"/>
        </w:rPr>
        <w:tab/>
      </w:r>
      <w:r w:rsidRPr="00A74E18">
        <w:rPr>
          <w:rFonts w:eastAsia="Times New Roman" w:cs="Microsoft Sans Serif"/>
          <w:b/>
          <w:bCs/>
          <w:iCs/>
          <w:color w:val="000000"/>
          <w:spacing w:val="-4"/>
          <w:szCs w:val="26"/>
          <w:lang w:val="es-ES" w:eastAsia="es-ES"/>
        </w:rPr>
        <w:tab/>
        <w:t xml:space="preserve">           OLGA LUCÍA HOYOS SEPÚLVEDA </w:t>
      </w:r>
    </w:p>
    <w:p w14:paraId="531DF93C" w14:textId="77777777" w:rsidR="00366F37" w:rsidRPr="00A74E18" w:rsidRDefault="00366F37" w:rsidP="00366F37">
      <w:pPr>
        <w:spacing w:line="288" w:lineRule="auto"/>
        <w:ind w:left="708"/>
        <w:rPr>
          <w:rFonts w:eastAsia="Times New Roman" w:cs="Microsoft Sans Serif"/>
          <w:color w:val="000000"/>
          <w:spacing w:val="-4"/>
          <w:szCs w:val="26"/>
          <w:lang w:val="es-ES" w:eastAsia="es-ES"/>
        </w:rPr>
      </w:pPr>
      <w:r w:rsidRPr="00A74E18">
        <w:rPr>
          <w:rFonts w:eastAsia="Times New Roman" w:cs="Microsoft Sans Serif"/>
          <w:color w:val="000000"/>
          <w:spacing w:val="-4"/>
          <w:szCs w:val="26"/>
          <w:lang w:val="es-ES" w:eastAsia="es-ES"/>
        </w:rPr>
        <w:t xml:space="preserve">       Magistrada</w:t>
      </w:r>
      <w:r w:rsidRPr="00A74E18">
        <w:rPr>
          <w:rFonts w:eastAsia="Times New Roman" w:cs="Microsoft Sans Serif"/>
          <w:color w:val="000000"/>
          <w:spacing w:val="-4"/>
          <w:szCs w:val="26"/>
          <w:lang w:val="es-ES" w:eastAsia="es-ES"/>
        </w:rPr>
        <w:tab/>
      </w:r>
      <w:r w:rsidRPr="00A74E18">
        <w:rPr>
          <w:rFonts w:eastAsia="Times New Roman" w:cs="Microsoft Sans Serif"/>
          <w:color w:val="000000"/>
          <w:spacing w:val="-4"/>
          <w:szCs w:val="26"/>
          <w:lang w:val="es-ES" w:eastAsia="es-ES"/>
        </w:rPr>
        <w:tab/>
      </w:r>
      <w:r w:rsidRPr="00A74E18">
        <w:rPr>
          <w:rFonts w:eastAsia="Times New Roman" w:cs="Microsoft Sans Serif"/>
          <w:color w:val="000000"/>
          <w:spacing w:val="-4"/>
          <w:szCs w:val="26"/>
          <w:lang w:val="es-ES" w:eastAsia="es-ES"/>
        </w:rPr>
        <w:tab/>
      </w:r>
      <w:r w:rsidRPr="00A74E18">
        <w:rPr>
          <w:rFonts w:eastAsia="Times New Roman" w:cs="Microsoft Sans Serif"/>
          <w:color w:val="000000"/>
          <w:spacing w:val="-4"/>
          <w:szCs w:val="26"/>
          <w:lang w:val="es-ES" w:eastAsia="es-ES"/>
        </w:rPr>
        <w:tab/>
      </w:r>
      <w:r w:rsidRPr="00A74E18">
        <w:rPr>
          <w:rFonts w:eastAsia="Times New Roman" w:cs="Microsoft Sans Serif"/>
          <w:color w:val="000000"/>
          <w:spacing w:val="-4"/>
          <w:szCs w:val="26"/>
          <w:lang w:val="es-ES" w:eastAsia="es-ES"/>
        </w:rPr>
        <w:tab/>
      </w:r>
      <w:r w:rsidRPr="00A74E18">
        <w:rPr>
          <w:rFonts w:eastAsia="Times New Roman" w:cs="Microsoft Sans Serif"/>
          <w:color w:val="000000"/>
          <w:spacing w:val="-4"/>
          <w:szCs w:val="26"/>
          <w:lang w:val="es-ES" w:eastAsia="es-ES"/>
        </w:rPr>
        <w:tab/>
      </w:r>
      <w:r w:rsidRPr="00A74E18">
        <w:rPr>
          <w:rFonts w:eastAsia="Times New Roman" w:cs="Microsoft Sans Serif"/>
          <w:color w:val="000000"/>
          <w:spacing w:val="-4"/>
          <w:szCs w:val="26"/>
          <w:lang w:val="es-ES" w:eastAsia="es-ES"/>
        </w:rPr>
        <w:tab/>
        <w:t xml:space="preserve">        </w:t>
      </w:r>
      <w:proofErr w:type="spellStart"/>
      <w:r w:rsidRPr="00A74E18">
        <w:rPr>
          <w:rFonts w:eastAsia="Times New Roman" w:cs="Microsoft Sans Serif"/>
          <w:color w:val="000000"/>
          <w:spacing w:val="-4"/>
          <w:szCs w:val="26"/>
          <w:lang w:val="es-ES" w:eastAsia="es-ES"/>
        </w:rPr>
        <w:t>Magistrada</w:t>
      </w:r>
      <w:proofErr w:type="spellEnd"/>
    </w:p>
    <w:p w14:paraId="0436DAF3" w14:textId="78272530" w:rsidR="004E297C" w:rsidRDefault="004E297C">
      <w:pPr>
        <w:rPr>
          <w:rFonts w:eastAsia="Times New Roman" w:cs="Times New Roman"/>
          <w:szCs w:val="26"/>
          <w:lang w:val="es-ES" w:eastAsia="es-ES"/>
        </w:rPr>
      </w:pPr>
      <w:r>
        <w:rPr>
          <w:szCs w:val="26"/>
        </w:rPr>
        <w:br w:type="page"/>
      </w:r>
    </w:p>
    <w:sectPr w:rsidR="004E297C" w:rsidSect="00366F37">
      <w:head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8B35F" w14:textId="77777777" w:rsidR="00805DFD" w:rsidRDefault="00805DFD" w:rsidP="006F0610">
      <w:pPr>
        <w:spacing w:line="240" w:lineRule="auto"/>
      </w:pPr>
      <w:r>
        <w:separator/>
      </w:r>
    </w:p>
  </w:endnote>
  <w:endnote w:type="continuationSeparator" w:id="0">
    <w:p w14:paraId="7D6C464B" w14:textId="77777777" w:rsidR="00805DFD" w:rsidRDefault="00805DFD" w:rsidP="006F0610">
      <w:pPr>
        <w:spacing w:line="240" w:lineRule="auto"/>
      </w:pPr>
      <w:r>
        <w:continuationSeparator/>
      </w:r>
    </w:p>
  </w:endnote>
  <w:endnote w:id="1">
    <w:p w14:paraId="174066E3" w14:textId="34A856A4" w:rsidR="00483E9D" w:rsidRDefault="00483E9D" w:rsidP="00483E9D">
      <w:pPr>
        <w:pStyle w:val="Textonotaalfinal"/>
        <w:jc w:val="center"/>
      </w:pPr>
      <w:r>
        <w:rPr>
          <w:rStyle w:val="Refdenotaalfinal"/>
        </w:rPr>
        <w:endnoteRef/>
      </w:r>
      <w:r>
        <w:t xml:space="preserve"> </w:t>
      </w:r>
      <w:r w:rsidR="00894B95">
        <w:rPr>
          <w:noProof/>
          <w:lang w:val="es-ES" w:eastAsia="es-ES"/>
        </w:rPr>
        <w:t>LIQUIDACION DEL SALARIO MENSUAL BASE (ARTICULO 20 – ACUERDO 049-90)</w:t>
      </w:r>
    </w:p>
    <w:p w14:paraId="02C2A1C1" w14:textId="77777777" w:rsidR="00894B95" w:rsidRDefault="00894B95" w:rsidP="00483E9D">
      <w:pPr>
        <w:pStyle w:val="Textonotaalfinal"/>
        <w:jc w:val="center"/>
      </w:pPr>
    </w:p>
    <w:p w14:paraId="21A37D5E" w14:textId="3910AFB0" w:rsidR="00894B95" w:rsidRPr="00483E9D" w:rsidRDefault="00894B95" w:rsidP="00894B95">
      <w:pPr>
        <w:pStyle w:val="Textonotaalfinal"/>
        <w:jc w:val="center"/>
        <w:rPr>
          <w:lang w:val="es-419"/>
        </w:rPr>
      </w:pPr>
      <w:r w:rsidRPr="00483E9D">
        <w:rPr>
          <w:noProof/>
          <w:lang w:val="es-ES" w:eastAsia="es-ES"/>
        </w:rPr>
        <w:drawing>
          <wp:inline distT="0" distB="0" distL="0" distR="0" wp14:anchorId="5030D22C" wp14:editId="58240BFF">
            <wp:extent cx="3975735" cy="415733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80283" cy="4162086"/>
                    </a:xfrm>
                    <a:prstGeom prst="rect">
                      <a:avLst/>
                    </a:prstGeom>
                    <a:noFill/>
                    <a:ln>
                      <a:noFill/>
                    </a:ln>
                  </pic:spPr>
                </pic:pic>
              </a:graphicData>
            </a:graphic>
          </wp:inline>
        </w:drawing>
      </w:r>
    </w:p>
  </w:endnote>
  <w:endnote w:id="2">
    <w:p w14:paraId="029B0840" w14:textId="77777777" w:rsidR="00894B95" w:rsidRDefault="00894B95">
      <w:pPr>
        <w:pStyle w:val="Textonotaalfinal"/>
      </w:pPr>
    </w:p>
    <w:p w14:paraId="1B32DBCF" w14:textId="4C6D80FF" w:rsidR="00DA30CE" w:rsidRDefault="00DA30CE">
      <w:pPr>
        <w:pStyle w:val="Textonotaalfinal"/>
        <w:rPr>
          <w:lang w:val="es-419"/>
        </w:rPr>
      </w:pPr>
      <w:r>
        <w:rPr>
          <w:rStyle w:val="Refdenotaalfinal"/>
        </w:rPr>
        <w:endnoteRef/>
      </w:r>
      <w:r>
        <w:t xml:space="preserve"> </w:t>
      </w:r>
    </w:p>
    <w:p w14:paraId="1FFAA4C9" w14:textId="53935834" w:rsidR="00DA30CE" w:rsidRPr="00894B95" w:rsidRDefault="00894B95" w:rsidP="00894B95">
      <w:pPr>
        <w:pStyle w:val="Textonotaalfinal"/>
        <w:jc w:val="center"/>
        <w:rPr>
          <w:b/>
        </w:rPr>
      </w:pPr>
      <w:r>
        <w:rPr>
          <w:b/>
        </w:rPr>
        <w:t>DIFERENCIAS DE SALARIOS DE REALIZAR REAJUSTE</w:t>
      </w:r>
    </w:p>
    <w:p w14:paraId="4C89554C" w14:textId="4B9A2199" w:rsidR="00DA30CE" w:rsidRPr="00DA30CE" w:rsidRDefault="00DA30CE" w:rsidP="00DA30CE">
      <w:pPr>
        <w:pStyle w:val="Textonotaalfinal"/>
        <w:jc w:val="center"/>
        <w:rPr>
          <w:lang w:val="es-419"/>
        </w:rPr>
      </w:pPr>
      <w:r w:rsidRPr="00DA30CE">
        <w:rPr>
          <w:noProof/>
          <w:lang w:val="es-ES" w:eastAsia="es-ES"/>
        </w:rPr>
        <w:drawing>
          <wp:inline distT="0" distB="0" distL="0" distR="0" wp14:anchorId="7307B97B" wp14:editId="561C30EE">
            <wp:extent cx="2712060" cy="329501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0065" cy="3353338"/>
                    </a:xfrm>
                    <a:prstGeom prst="rect">
                      <a:avLst/>
                    </a:prstGeom>
                    <a:noFill/>
                    <a:ln>
                      <a:noFill/>
                    </a:ln>
                  </pic:spPr>
                </pic:pic>
              </a:graphicData>
            </a:graphic>
          </wp:inline>
        </w:drawing>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63EB2" w14:textId="77777777" w:rsidR="00805DFD" w:rsidRDefault="00805DFD" w:rsidP="006F0610">
      <w:pPr>
        <w:spacing w:line="240" w:lineRule="auto"/>
      </w:pPr>
      <w:r>
        <w:separator/>
      </w:r>
    </w:p>
  </w:footnote>
  <w:footnote w:type="continuationSeparator" w:id="0">
    <w:p w14:paraId="4664DD95" w14:textId="77777777" w:rsidR="00805DFD" w:rsidRDefault="00805DFD" w:rsidP="006F0610">
      <w:pPr>
        <w:spacing w:line="240" w:lineRule="auto"/>
      </w:pPr>
      <w:r>
        <w:continuationSeparator/>
      </w:r>
    </w:p>
  </w:footnote>
  <w:footnote w:id="1">
    <w:p w14:paraId="339FDD27" w14:textId="4EB130F1" w:rsidR="00965DDD" w:rsidRPr="009E5040" w:rsidRDefault="00965DDD" w:rsidP="009E5040">
      <w:pPr>
        <w:pStyle w:val="Textonotapie"/>
        <w:ind w:left="284" w:hanging="284"/>
        <w:jc w:val="both"/>
        <w:rPr>
          <w:rFonts w:ascii="Arial" w:hAnsi="Arial" w:cs="Arial"/>
          <w:sz w:val="18"/>
          <w:szCs w:val="18"/>
          <w:lang w:val="es-419"/>
        </w:rPr>
      </w:pPr>
      <w:r w:rsidRPr="009E5040">
        <w:rPr>
          <w:rStyle w:val="Refdenotaalpie"/>
          <w:rFonts w:ascii="Arial" w:hAnsi="Arial" w:cs="Arial"/>
          <w:sz w:val="18"/>
          <w:szCs w:val="18"/>
        </w:rPr>
        <w:footnoteRef/>
      </w:r>
      <w:r w:rsidRPr="009E5040">
        <w:rPr>
          <w:rFonts w:ascii="Arial" w:hAnsi="Arial" w:cs="Arial"/>
          <w:sz w:val="18"/>
          <w:szCs w:val="18"/>
        </w:rPr>
        <w:t xml:space="preserve"> CSJ. Rigoberto Echeverri Bueno, SL736-2013, Rad. N.º 47709 (16-Oct, 2013)</w:t>
      </w:r>
    </w:p>
  </w:footnote>
  <w:footnote w:id="2">
    <w:p w14:paraId="4F6281D3" w14:textId="7EAF637D" w:rsidR="0052382C" w:rsidRPr="009E5040" w:rsidRDefault="0052382C" w:rsidP="009E5040">
      <w:pPr>
        <w:spacing w:line="240" w:lineRule="auto"/>
        <w:jc w:val="both"/>
        <w:rPr>
          <w:rFonts w:ascii="Arial" w:hAnsi="Arial" w:cs="Arial"/>
          <w:sz w:val="18"/>
          <w:szCs w:val="18"/>
          <w:shd w:val="clear" w:color="auto" w:fill="FFFFFF"/>
        </w:rPr>
      </w:pPr>
      <w:r w:rsidRPr="009E5040">
        <w:rPr>
          <w:rStyle w:val="Refdenotaalpie"/>
          <w:rFonts w:ascii="Arial" w:hAnsi="Arial" w:cs="Arial"/>
          <w:sz w:val="18"/>
          <w:szCs w:val="18"/>
        </w:rPr>
        <w:footnoteRef/>
      </w:r>
      <w:r w:rsidRPr="009E5040">
        <w:rPr>
          <w:rFonts w:ascii="Arial" w:hAnsi="Arial" w:cs="Arial"/>
          <w:sz w:val="18"/>
          <w:szCs w:val="18"/>
        </w:rPr>
        <w:t xml:space="preserve"> </w:t>
      </w:r>
      <w:r w:rsidR="00284BC3" w:rsidRPr="009E5040">
        <w:rPr>
          <w:rFonts w:ascii="Arial" w:hAnsi="Arial" w:cs="Arial"/>
          <w:sz w:val="18"/>
          <w:szCs w:val="18"/>
        </w:rPr>
        <w:t xml:space="preserve">CSJ. </w:t>
      </w:r>
      <w:r w:rsidRPr="009E5040">
        <w:rPr>
          <w:rFonts w:ascii="Arial" w:hAnsi="Arial" w:cs="Arial"/>
          <w:sz w:val="18"/>
          <w:szCs w:val="18"/>
        </w:rPr>
        <w:t>Fernando Castillo Cadena. (Rad. 59363), 21-Nov, 2018</w:t>
      </w:r>
    </w:p>
  </w:footnote>
  <w:footnote w:id="3">
    <w:p w14:paraId="5453D6D5" w14:textId="2988BFBA" w:rsidR="001352D2" w:rsidRPr="009E5040" w:rsidRDefault="001352D2" w:rsidP="009E5040">
      <w:pPr>
        <w:pStyle w:val="Textonotapie"/>
        <w:jc w:val="both"/>
        <w:rPr>
          <w:rFonts w:ascii="Arial" w:hAnsi="Arial" w:cs="Arial"/>
          <w:sz w:val="18"/>
          <w:szCs w:val="18"/>
        </w:rPr>
      </w:pPr>
      <w:r w:rsidRPr="009E5040">
        <w:rPr>
          <w:rStyle w:val="Refdenotaalpie"/>
          <w:rFonts w:ascii="Arial" w:hAnsi="Arial" w:cs="Arial"/>
          <w:sz w:val="18"/>
          <w:szCs w:val="18"/>
        </w:rPr>
        <w:footnoteRef/>
      </w:r>
      <w:r w:rsidRPr="009E5040">
        <w:rPr>
          <w:rFonts w:ascii="Arial" w:hAnsi="Arial" w:cs="Arial"/>
          <w:sz w:val="18"/>
          <w:szCs w:val="18"/>
        </w:rPr>
        <w:t xml:space="preserve"> CSJ. Carlos Arturo Guarín Jurado (Rad. 68165), octubre 1 de 2019</w:t>
      </w:r>
    </w:p>
  </w:footnote>
  <w:footnote w:id="4">
    <w:p w14:paraId="1E49CADD" w14:textId="7BA6C883" w:rsidR="003820A6" w:rsidRPr="009E5040" w:rsidRDefault="003820A6" w:rsidP="009E5040">
      <w:pPr>
        <w:pStyle w:val="Textonotapie"/>
        <w:jc w:val="both"/>
        <w:rPr>
          <w:rFonts w:ascii="Arial" w:hAnsi="Arial" w:cs="Arial"/>
          <w:sz w:val="18"/>
          <w:szCs w:val="18"/>
          <w:lang w:val="es-419"/>
        </w:rPr>
      </w:pPr>
      <w:r w:rsidRPr="009E5040">
        <w:rPr>
          <w:rStyle w:val="Refdenotaalpie"/>
          <w:rFonts w:ascii="Arial" w:hAnsi="Arial" w:cs="Arial"/>
          <w:sz w:val="18"/>
          <w:szCs w:val="18"/>
        </w:rPr>
        <w:footnoteRef/>
      </w:r>
      <w:r w:rsidRPr="009E5040">
        <w:rPr>
          <w:rFonts w:ascii="Arial" w:hAnsi="Arial" w:cs="Arial"/>
          <w:sz w:val="18"/>
          <w:szCs w:val="18"/>
        </w:rPr>
        <w:t xml:space="preserve"> Jorge Mauricio Burgos Ruíz (Rad. 50.748)</w:t>
      </w:r>
    </w:p>
  </w:footnote>
  <w:footnote w:id="5">
    <w:p w14:paraId="0ACCA469" w14:textId="77777777" w:rsidR="00ED0BC1" w:rsidRPr="009E5040" w:rsidRDefault="00ED0BC1" w:rsidP="009E5040">
      <w:pPr>
        <w:pStyle w:val="Textonotapie"/>
        <w:jc w:val="both"/>
        <w:rPr>
          <w:rFonts w:ascii="Arial" w:hAnsi="Arial" w:cs="Arial"/>
          <w:sz w:val="18"/>
          <w:szCs w:val="18"/>
          <w:lang w:val="es-419"/>
        </w:rPr>
      </w:pPr>
      <w:r w:rsidRPr="009E5040">
        <w:rPr>
          <w:rStyle w:val="Refdenotaalpie"/>
          <w:rFonts w:ascii="Arial" w:hAnsi="Arial" w:cs="Arial"/>
          <w:sz w:val="18"/>
          <w:szCs w:val="18"/>
        </w:rPr>
        <w:footnoteRef/>
      </w:r>
      <w:r w:rsidRPr="009E5040">
        <w:rPr>
          <w:rFonts w:ascii="Arial" w:hAnsi="Arial" w:cs="Arial"/>
          <w:sz w:val="18"/>
          <w:szCs w:val="18"/>
        </w:rPr>
        <w:t xml:space="preserve"> </w:t>
      </w:r>
      <w:proofErr w:type="spellStart"/>
      <w:r w:rsidRPr="009E5040">
        <w:rPr>
          <w:rStyle w:val="FontStyle39"/>
          <w:rFonts w:ascii="Arial" w:hAnsi="Arial" w:cs="Arial"/>
          <w:sz w:val="18"/>
          <w:szCs w:val="18"/>
        </w:rPr>
        <w:t>SCL</w:t>
      </w:r>
      <w:proofErr w:type="spellEnd"/>
      <w:r w:rsidRPr="009E5040">
        <w:rPr>
          <w:rStyle w:val="FontStyle39"/>
          <w:rFonts w:ascii="Arial" w:hAnsi="Arial" w:cs="Arial"/>
          <w:sz w:val="18"/>
          <w:szCs w:val="18"/>
        </w:rPr>
        <w:t xml:space="preserve"> – </w:t>
      </w:r>
      <w:r w:rsidRPr="009E5040">
        <w:rPr>
          <w:rFonts w:ascii="Arial" w:hAnsi="Arial" w:cs="Arial"/>
          <w:sz w:val="18"/>
          <w:szCs w:val="18"/>
          <w:shd w:val="clear" w:color="auto" w:fill="FFFFFF"/>
        </w:rPr>
        <w:t xml:space="preserve">M.P. Jorge Luis Quiroz Alemán. </w:t>
      </w:r>
      <w:r w:rsidRPr="009E5040">
        <w:rPr>
          <w:rStyle w:val="FontStyle39"/>
          <w:rFonts w:ascii="Arial" w:hAnsi="Arial" w:cs="Arial"/>
          <w:sz w:val="18"/>
          <w:szCs w:val="18"/>
        </w:rPr>
        <w:t xml:space="preserve"> (</w:t>
      </w:r>
      <w:r w:rsidRPr="009E5040">
        <w:rPr>
          <w:rFonts w:ascii="Arial" w:hAnsi="Arial" w:cs="Arial"/>
          <w:sz w:val="18"/>
          <w:szCs w:val="18"/>
          <w:shd w:val="clear" w:color="auto" w:fill="FFFFFF"/>
        </w:rPr>
        <w:t>Rad 68290), 6-feb, 2019</w:t>
      </w:r>
    </w:p>
  </w:footnote>
  <w:footnote w:id="6">
    <w:p w14:paraId="67CC1095" w14:textId="77777777" w:rsidR="00ED0BC1" w:rsidRPr="009E5040" w:rsidRDefault="00ED0BC1" w:rsidP="009E5040">
      <w:pPr>
        <w:pStyle w:val="Textonotapie"/>
        <w:jc w:val="both"/>
        <w:rPr>
          <w:rFonts w:ascii="Arial" w:hAnsi="Arial" w:cs="Arial"/>
          <w:sz w:val="18"/>
          <w:szCs w:val="18"/>
        </w:rPr>
      </w:pPr>
      <w:r w:rsidRPr="009E5040">
        <w:rPr>
          <w:rStyle w:val="Refdenotaalpie"/>
          <w:rFonts w:ascii="Arial" w:hAnsi="Arial" w:cs="Arial"/>
          <w:sz w:val="18"/>
          <w:szCs w:val="18"/>
        </w:rPr>
        <w:footnoteRef/>
      </w:r>
      <w:r w:rsidRPr="009E5040">
        <w:rPr>
          <w:rFonts w:ascii="Arial" w:hAnsi="Arial" w:cs="Arial"/>
          <w:sz w:val="18"/>
          <w:szCs w:val="18"/>
        </w:rPr>
        <w:t xml:space="preserve"> CSJ – M.P. Gerardo Botero Zuluaga (Rad. 80389), 25-sept-2019</w:t>
      </w:r>
    </w:p>
  </w:footnote>
  <w:footnote w:id="7">
    <w:p w14:paraId="51B35E27" w14:textId="77777777" w:rsidR="00B704CE" w:rsidRPr="009E5040" w:rsidRDefault="00B704CE" w:rsidP="009E5040">
      <w:pPr>
        <w:pStyle w:val="Textonotapie"/>
        <w:jc w:val="both"/>
        <w:rPr>
          <w:rFonts w:ascii="Arial" w:hAnsi="Arial" w:cs="Arial"/>
          <w:sz w:val="18"/>
          <w:szCs w:val="18"/>
          <w:lang w:val="es-419"/>
        </w:rPr>
      </w:pPr>
      <w:r w:rsidRPr="009E5040">
        <w:rPr>
          <w:rStyle w:val="Refdenotaalpie"/>
          <w:rFonts w:ascii="Arial" w:hAnsi="Arial" w:cs="Arial"/>
          <w:sz w:val="18"/>
          <w:szCs w:val="18"/>
        </w:rPr>
        <w:footnoteRef/>
      </w:r>
      <w:r w:rsidRPr="009E5040">
        <w:rPr>
          <w:rFonts w:ascii="Arial" w:hAnsi="Arial" w:cs="Arial"/>
          <w:sz w:val="18"/>
          <w:szCs w:val="18"/>
        </w:rPr>
        <w:t xml:space="preserve"> M.P. Omar De Jesús Restrepo Ochoa, (Rad. 65166), 30-Jul, 2019</w:t>
      </w:r>
    </w:p>
  </w:footnote>
  <w:footnote w:id="8">
    <w:p w14:paraId="48628366" w14:textId="22C2A9EF" w:rsidR="00234177" w:rsidRPr="009E5040" w:rsidRDefault="00234177" w:rsidP="009E5040">
      <w:pPr>
        <w:pStyle w:val="Textonotapie"/>
        <w:ind w:left="284" w:hanging="284"/>
        <w:jc w:val="both"/>
        <w:rPr>
          <w:rFonts w:ascii="Arial" w:hAnsi="Arial" w:cs="Arial"/>
          <w:sz w:val="18"/>
          <w:szCs w:val="18"/>
        </w:rPr>
      </w:pPr>
      <w:r w:rsidRPr="009E5040">
        <w:rPr>
          <w:rStyle w:val="Refdenotaalpie"/>
          <w:rFonts w:ascii="Arial" w:hAnsi="Arial" w:cs="Arial"/>
          <w:sz w:val="18"/>
          <w:szCs w:val="18"/>
        </w:rPr>
        <w:footnoteRef/>
      </w:r>
      <w:r w:rsidRPr="009E5040">
        <w:rPr>
          <w:rFonts w:ascii="Arial" w:hAnsi="Arial" w:cs="Arial"/>
          <w:sz w:val="18"/>
          <w:szCs w:val="18"/>
        </w:rPr>
        <w:t xml:space="preserve"> </w:t>
      </w:r>
      <w:r w:rsidR="004A5D71" w:rsidRPr="009E5040">
        <w:rPr>
          <w:rFonts w:ascii="Arial" w:hAnsi="Arial" w:cs="Arial"/>
          <w:sz w:val="18"/>
          <w:szCs w:val="18"/>
        </w:rPr>
        <w:tab/>
        <w:t>Sentencia 24-octubre de 2018. Rad. 2017-00269-01</w:t>
      </w:r>
      <w:r w:rsidR="00753621" w:rsidRPr="009E5040">
        <w:rPr>
          <w:rFonts w:ascii="Arial" w:hAnsi="Arial" w:cs="Arial"/>
          <w:sz w:val="18"/>
          <w:szCs w:val="18"/>
        </w:rPr>
        <w:t>; Sentencia del 4-julio de 2018. Rad. 2016-00424</w:t>
      </w:r>
    </w:p>
  </w:footnote>
  <w:footnote w:id="9">
    <w:p w14:paraId="46BFCE68" w14:textId="4F2552C9" w:rsidR="00E353E8" w:rsidRPr="009E5040" w:rsidRDefault="00E353E8" w:rsidP="009E5040">
      <w:pPr>
        <w:pStyle w:val="Textonotapie"/>
        <w:ind w:left="284" w:hanging="284"/>
        <w:jc w:val="both"/>
        <w:rPr>
          <w:rFonts w:ascii="Arial" w:hAnsi="Arial" w:cs="Arial"/>
          <w:sz w:val="18"/>
          <w:szCs w:val="18"/>
          <w:lang w:val="es-419"/>
        </w:rPr>
      </w:pPr>
      <w:r w:rsidRPr="009E5040">
        <w:rPr>
          <w:rStyle w:val="Refdenotaalpie"/>
          <w:rFonts w:ascii="Arial" w:hAnsi="Arial" w:cs="Arial"/>
          <w:sz w:val="18"/>
          <w:szCs w:val="18"/>
        </w:rPr>
        <w:footnoteRef/>
      </w:r>
      <w:r w:rsidRPr="009E5040">
        <w:rPr>
          <w:rFonts w:ascii="Arial" w:hAnsi="Arial" w:cs="Arial"/>
          <w:sz w:val="18"/>
          <w:szCs w:val="18"/>
        </w:rPr>
        <w:t xml:space="preserve"> </w:t>
      </w:r>
      <w:r w:rsidRPr="009E5040">
        <w:rPr>
          <w:rFonts w:ascii="Arial" w:hAnsi="Arial" w:cs="Arial"/>
          <w:sz w:val="18"/>
          <w:szCs w:val="18"/>
        </w:rPr>
        <w:tab/>
        <w:t>«El salario mensual de base se obtiene multiplicando por el factor 4.33, la centésima parte de la suma de los salarios semanales sobre los cuales cotizó el trabajador en las últimas cien (100) semanas. El factor 4.33 resulta de dividir el número de semanas de un año por el número de meses»</w:t>
      </w:r>
    </w:p>
  </w:footnote>
  <w:footnote w:id="10">
    <w:p w14:paraId="0BF9FD1D" w14:textId="79419A6F" w:rsidR="00D367A3" w:rsidRPr="00284BC3" w:rsidRDefault="00D367A3" w:rsidP="009E5040">
      <w:pPr>
        <w:pStyle w:val="Textonotapie"/>
        <w:ind w:left="284" w:hanging="284"/>
        <w:jc w:val="both"/>
        <w:rPr>
          <w:rFonts w:ascii="Times New Roman" w:hAnsi="Times New Roman" w:cs="Times New Roman"/>
          <w:sz w:val="16"/>
          <w:szCs w:val="16"/>
          <w:lang w:val="es-419"/>
        </w:rPr>
      </w:pPr>
      <w:r w:rsidRPr="009E5040">
        <w:rPr>
          <w:rStyle w:val="Refdenotaalpie"/>
          <w:rFonts w:ascii="Arial" w:hAnsi="Arial" w:cs="Arial"/>
          <w:sz w:val="18"/>
          <w:szCs w:val="18"/>
        </w:rPr>
        <w:footnoteRef/>
      </w:r>
      <w:r w:rsidRPr="009E5040">
        <w:rPr>
          <w:rFonts w:ascii="Arial" w:hAnsi="Arial" w:cs="Arial"/>
          <w:sz w:val="18"/>
          <w:szCs w:val="18"/>
        </w:rPr>
        <w:t xml:space="preserve"> </w:t>
      </w:r>
      <w:r w:rsidR="00E353E8" w:rsidRPr="009E5040">
        <w:rPr>
          <w:rFonts w:ascii="Arial" w:hAnsi="Arial" w:cs="Arial"/>
          <w:sz w:val="18"/>
          <w:szCs w:val="18"/>
        </w:rPr>
        <w:tab/>
      </w:r>
      <w:r w:rsidR="00E957FE" w:rsidRPr="009E5040">
        <w:rPr>
          <w:rFonts w:ascii="Arial" w:hAnsi="Arial" w:cs="Arial"/>
          <w:sz w:val="18"/>
          <w:szCs w:val="18"/>
        </w:rPr>
        <w:t xml:space="preserve">CSJ. M.P. </w:t>
      </w:r>
      <w:r w:rsidR="00587B56" w:rsidRPr="009E5040">
        <w:rPr>
          <w:rFonts w:ascii="Arial" w:hAnsi="Arial" w:cs="Arial"/>
          <w:sz w:val="18"/>
          <w:szCs w:val="18"/>
        </w:rPr>
        <w:t xml:space="preserve">Luis Gabriel Miranda </w:t>
      </w:r>
      <w:proofErr w:type="spellStart"/>
      <w:r w:rsidR="00587B56" w:rsidRPr="009E5040">
        <w:rPr>
          <w:rFonts w:ascii="Arial" w:hAnsi="Arial" w:cs="Arial"/>
          <w:sz w:val="18"/>
          <w:szCs w:val="18"/>
        </w:rPr>
        <w:t>Buelvas</w:t>
      </w:r>
      <w:proofErr w:type="spellEnd"/>
      <w:r w:rsidR="00E957FE" w:rsidRPr="009E5040">
        <w:rPr>
          <w:rFonts w:ascii="Arial" w:hAnsi="Arial" w:cs="Arial"/>
          <w:sz w:val="18"/>
          <w:szCs w:val="18"/>
        </w:rPr>
        <w:t xml:space="preserve">, </w:t>
      </w:r>
      <w:r w:rsidRPr="009E5040">
        <w:rPr>
          <w:rFonts w:ascii="Arial" w:hAnsi="Arial" w:cs="Arial"/>
          <w:sz w:val="18"/>
          <w:szCs w:val="18"/>
        </w:rPr>
        <w:t>Rad</w:t>
      </w:r>
      <w:r w:rsidR="00E957FE" w:rsidRPr="009E5040">
        <w:rPr>
          <w:rFonts w:ascii="Arial" w:hAnsi="Arial" w:cs="Arial"/>
          <w:sz w:val="18"/>
          <w:szCs w:val="18"/>
        </w:rPr>
        <w:t>. N</w:t>
      </w:r>
      <w:r w:rsidRPr="009E5040">
        <w:rPr>
          <w:rFonts w:ascii="Arial" w:hAnsi="Arial" w:cs="Arial"/>
          <w:sz w:val="18"/>
          <w:szCs w:val="18"/>
        </w:rPr>
        <w:t xml:space="preserve">.º 54408 </w:t>
      </w:r>
      <w:r w:rsidR="00E957FE" w:rsidRPr="009E5040">
        <w:rPr>
          <w:rFonts w:ascii="Arial" w:hAnsi="Arial" w:cs="Arial"/>
          <w:sz w:val="18"/>
          <w:szCs w:val="18"/>
        </w:rPr>
        <w:t xml:space="preserve">(12-Julio,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94460" w14:textId="77777777" w:rsidR="004E297C" w:rsidRPr="00366F37" w:rsidRDefault="004E297C" w:rsidP="00597D5B">
    <w:pPr>
      <w:pStyle w:val="Encabezado"/>
      <w:rPr>
        <w:rFonts w:ascii="Arial" w:hAnsi="Arial" w:cs="Arial"/>
        <w:sz w:val="18"/>
        <w:szCs w:val="16"/>
        <w:lang w:val="es-ES"/>
      </w:rPr>
    </w:pPr>
    <w:r w:rsidRPr="00366F37">
      <w:rPr>
        <w:rFonts w:ascii="Arial" w:hAnsi="Arial" w:cs="Arial"/>
        <w:bCs/>
        <w:sz w:val="18"/>
        <w:szCs w:val="16"/>
        <w:lang w:val="es-ES"/>
      </w:rPr>
      <w:t xml:space="preserve">Radicado: </w:t>
    </w:r>
    <w:r w:rsidRPr="00366F37">
      <w:rPr>
        <w:rFonts w:ascii="Arial" w:hAnsi="Arial" w:cs="Arial"/>
        <w:sz w:val="18"/>
        <w:szCs w:val="16"/>
        <w:lang w:val="es-ES"/>
      </w:rPr>
      <w:t>66001-31-05-003-2018-00369-00</w:t>
    </w:r>
  </w:p>
  <w:p w14:paraId="1DA2586E" w14:textId="75DED822" w:rsidR="004E297C" w:rsidRPr="00366F37" w:rsidRDefault="004E297C">
    <w:pPr>
      <w:pStyle w:val="Encabezado"/>
      <w:rPr>
        <w:rFonts w:ascii="Arial" w:hAnsi="Arial" w:cs="Arial"/>
        <w:sz w:val="18"/>
        <w:szCs w:val="16"/>
        <w:lang w:val="es-ES"/>
      </w:rPr>
    </w:pPr>
    <w:r w:rsidRPr="00366F37">
      <w:rPr>
        <w:rFonts w:ascii="Arial" w:hAnsi="Arial" w:cs="Arial"/>
        <w:sz w:val="18"/>
        <w:szCs w:val="16"/>
        <w:lang w:val="es-ES"/>
      </w:rPr>
      <w:t>Augusto Marco Aurelio Zapata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00E8C"/>
    <w:multiLevelType w:val="multilevel"/>
    <w:tmpl w:val="88B85E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416B81"/>
    <w:multiLevelType w:val="hybridMultilevel"/>
    <w:tmpl w:val="69EAB60C"/>
    <w:lvl w:ilvl="0" w:tplc="8D9AF624">
      <w:start w:val="1"/>
      <w:numFmt w:val="upperRoman"/>
      <w:lvlText w:val="%1."/>
      <w:lvlJc w:val="left"/>
      <w:pPr>
        <w:ind w:left="1572" w:hanging="720"/>
      </w:pPr>
    </w:lvl>
    <w:lvl w:ilvl="1" w:tplc="240A0019">
      <w:start w:val="1"/>
      <w:numFmt w:val="lowerLetter"/>
      <w:lvlText w:val="%2."/>
      <w:lvlJc w:val="left"/>
      <w:pPr>
        <w:ind w:left="1932" w:hanging="360"/>
      </w:pPr>
    </w:lvl>
    <w:lvl w:ilvl="2" w:tplc="240A001B">
      <w:start w:val="1"/>
      <w:numFmt w:val="lowerRoman"/>
      <w:lvlText w:val="%3."/>
      <w:lvlJc w:val="right"/>
      <w:pPr>
        <w:ind w:left="2652" w:hanging="180"/>
      </w:pPr>
    </w:lvl>
    <w:lvl w:ilvl="3" w:tplc="240A000F">
      <w:start w:val="1"/>
      <w:numFmt w:val="decimal"/>
      <w:lvlText w:val="%4."/>
      <w:lvlJc w:val="left"/>
      <w:pPr>
        <w:ind w:left="3372" w:hanging="360"/>
      </w:pPr>
    </w:lvl>
    <w:lvl w:ilvl="4" w:tplc="240A0019">
      <w:start w:val="1"/>
      <w:numFmt w:val="lowerLetter"/>
      <w:lvlText w:val="%5."/>
      <w:lvlJc w:val="left"/>
      <w:pPr>
        <w:ind w:left="4092" w:hanging="360"/>
      </w:pPr>
    </w:lvl>
    <w:lvl w:ilvl="5" w:tplc="240A001B">
      <w:start w:val="1"/>
      <w:numFmt w:val="lowerRoman"/>
      <w:lvlText w:val="%6."/>
      <w:lvlJc w:val="right"/>
      <w:pPr>
        <w:ind w:left="4812" w:hanging="180"/>
      </w:pPr>
    </w:lvl>
    <w:lvl w:ilvl="6" w:tplc="240A000F">
      <w:start w:val="1"/>
      <w:numFmt w:val="decimal"/>
      <w:lvlText w:val="%7."/>
      <w:lvlJc w:val="left"/>
      <w:pPr>
        <w:ind w:left="5532" w:hanging="360"/>
      </w:pPr>
    </w:lvl>
    <w:lvl w:ilvl="7" w:tplc="240A0019">
      <w:start w:val="1"/>
      <w:numFmt w:val="lowerLetter"/>
      <w:lvlText w:val="%8."/>
      <w:lvlJc w:val="left"/>
      <w:pPr>
        <w:ind w:left="6252" w:hanging="360"/>
      </w:pPr>
    </w:lvl>
    <w:lvl w:ilvl="8" w:tplc="240A001B">
      <w:start w:val="1"/>
      <w:numFmt w:val="lowerRoman"/>
      <w:lvlText w:val="%9."/>
      <w:lvlJc w:val="right"/>
      <w:pPr>
        <w:ind w:left="6972" w:hanging="180"/>
      </w:pPr>
    </w:lvl>
  </w:abstractNum>
  <w:abstractNum w:abstractNumId="2">
    <w:nsid w:val="0A7D1480"/>
    <w:multiLevelType w:val="hybridMultilevel"/>
    <w:tmpl w:val="74F8F102"/>
    <w:lvl w:ilvl="0" w:tplc="1F30CC4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B912DC3"/>
    <w:multiLevelType w:val="multilevel"/>
    <w:tmpl w:val="D946161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6C047DF"/>
    <w:multiLevelType w:val="hybridMultilevel"/>
    <w:tmpl w:val="F56CEAC2"/>
    <w:lvl w:ilvl="0" w:tplc="629A45B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2725C29"/>
    <w:multiLevelType w:val="hybridMultilevel"/>
    <w:tmpl w:val="F56CEAC2"/>
    <w:lvl w:ilvl="0" w:tplc="629A45B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39C7997"/>
    <w:multiLevelType w:val="hybridMultilevel"/>
    <w:tmpl w:val="F56CEAC2"/>
    <w:lvl w:ilvl="0" w:tplc="629A45B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CAE65B9"/>
    <w:multiLevelType w:val="multilevel"/>
    <w:tmpl w:val="D946161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5"/>
  </w:num>
  <w:num w:numId="3">
    <w:abstractNumId w:val="4"/>
  </w:num>
  <w:num w:numId="4">
    <w:abstractNumId w:val="6"/>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A5"/>
    <w:rsid w:val="00030299"/>
    <w:rsid w:val="00067384"/>
    <w:rsid w:val="000E04CB"/>
    <w:rsid w:val="000E52B5"/>
    <w:rsid w:val="001352D2"/>
    <w:rsid w:val="00142790"/>
    <w:rsid w:val="001B4448"/>
    <w:rsid w:val="001F6A87"/>
    <w:rsid w:val="002214F6"/>
    <w:rsid w:val="00234177"/>
    <w:rsid w:val="0023779E"/>
    <w:rsid w:val="002841A5"/>
    <w:rsid w:val="00284BC3"/>
    <w:rsid w:val="002903BD"/>
    <w:rsid w:val="002E4A3A"/>
    <w:rsid w:val="002E5712"/>
    <w:rsid w:val="002E7422"/>
    <w:rsid w:val="00304D28"/>
    <w:rsid w:val="003165FB"/>
    <w:rsid w:val="00366F37"/>
    <w:rsid w:val="0038001D"/>
    <w:rsid w:val="003806AA"/>
    <w:rsid w:val="003820A6"/>
    <w:rsid w:val="003A0016"/>
    <w:rsid w:val="003A7553"/>
    <w:rsid w:val="0040166C"/>
    <w:rsid w:val="00417E6D"/>
    <w:rsid w:val="00422037"/>
    <w:rsid w:val="0045137E"/>
    <w:rsid w:val="00466742"/>
    <w:rsid w:val="00472211"/>
    <w:rsid w:val="00483E9D"/>
    <w:rsid w:val="00487FC7"/>
    <w:rsid w:val="004A5D71"/>
    <w:rsid w:val="004E297C"/>
    <w:rsid w:val="004F1CB5"/>
    <w:rsid w:val="0052382C"/>
    <w:rsid w:val="00546B6E"/>
    <w:rsid w:val="005518CC"/>
    <w:rsid w:val="00556FE6"/>
    <w:rsid w:val="00573EE9"/>
    <w:rsid w:val="00587B56"/>
    <w:rsid w:val="00597D5B"/>
    <w:rsid w:val="00621878"/>
    <w:rsid w:val="0064756A"/>
    <w:rsid w:val="00651E2F"/>
    <w:rsid w:val="006A17EA"/>
    <w:rsid w:val="006C165B"/>
    <w:rsid w:val="006D7966"/>
    <w:rsid w:val="006E5D18"/>
    <w:rsid w:val="006F0610"/>
    <w:rsid w:val="00712CD8"/>
    <w:rsid w:val="0074516B"/>
    <w:rsid w:val="00753621"/>
    <w:rsid w:val="00766170"/>
    <w:rsid w:val="0077008E"/>
    <w:rsid w:val="0079249E"/>
    <w:rsid w:val="007A242C"/>
    <w:rsid w:val="00805DFD"/>
    <w:rsid w:val="00847F36"/>
    <w:rsid w:val="008501FF"/>
    <w:rsid w:val="00850AD6"/>
    <w:rsid w:val="00866A61"/>
    <w:rsid w:val="00870410"/>
    <w:rsid w:val="00893C23"/>
    <w:rsid w:val="00894B95"/>
    <w:rsid w:val="008B4C1B"/>
    <w:rsid w:val="008D0513"/>
    <w:rsid w:val="008E10F2"/>
    <w:rsid w:val="00961A28"/>
    <w:rsid w:val="00965DDD"/>
    <w:rsid w:val="009768D4"/>
    <w:rsid w:val="00983435"/>
    <w:rsid w:val="009E20E2"/>
    <w:rsid w:val="009E5040"/>
    <w:rsid w:val="00A72A44"/>
    <w:rsid w:val="00A84EBA"/>
    <w:rsid w:val="00A94F55"/>
    <w:rsid w:val="00AA1043"/>
    <w:rsid w:val="00AA1C67"/>
    <w:rsid w:val="00B66F72"/>
    <w:rsid w:val="00B704CE"/>
    <w:rsid w:val="00B723F4"/>
    <w:rsid w:val="00B816CA"/>
    <w:rsid w:val="00B87CDB"/>
    <w:rsid w:val="00B91DF6"/>
    <w:rsid w:val="00B938D0"/>
    <w:rsid w:val="00BE360F"/>
    <w:rsid w:val="00BF1C81"/>
    <w:rsid w:val="00C336CF"/>
    <w:rsid w:val="00C5309C"/>
    <w:rsid w:val="00C97F25"/>
    <w:rsid w:val="00CC002A"/>
    <w:rsid w:val="00D02EB8"/>
    <w:rsid w:val="00D367A3"/>
    <w:rsid w:val="00D516B4"/>
    <w:rsid w:val="00D8508A"/>
    <w:rsid w:val="00DA30CE"/>
    <w:rsid w:val="00DE44ED"/>
    <w:rsid w:val="00DF2A98"/>
    <w:rsid w:val="00E0241D"/>
    <w:rsid w:val="00E15CFC"/>
    <w:rsid w:val="00E353E8"/>
    <w:rsid w:val="00E90ACD"/>
    <w:rsid w:val="00E92064"/>
    <w:rsid w:val="00E93879"/>
    <w:rsid w:val="00E957FE"/>
    <w:rsid w:val="00EA0042"/>
    <w:rsid w:val="00ED0BC1"/>
    <w:rsid w:val="00F137C1"/>
    <w:rsid w:val="00F467F2"/>
    <w:rsid w:val="00F74243"/>
    <w:rsid w:val="00F773B4"/>
    <w:rsid w:val="00F80E87"/>
    <w:rsid w:val="00F8454F"/>
    <w:rsid w:val="00F87926"/>
    <w:rsid w:val="00FA3327"/>
    <w:rsid w:val="00FB7506"/>
    <w:rsid w:val="00FB751A"/>
    <w:rsid w:val="00FC2632"/>
    <w:rsid w:val="00FC70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3E6330"/>
  <w15:chartTrackingRefBased/>
  <w15:docId w15:val="{5BD20F5F-EB38-4AF9-A51E-3C79443A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heme="minorBidi"/>
        <w:sz w:val="26"/>
        <w:szCs w:val="22"/>
        <w:lang w:val="es-CO" w:eastAsia="en-US" w:bidi="ar-SA"/>
      </w:rPr>
    </w:rPrDefault>
    <w:pPrDefault>
      <w:pPr>
        <w:spacing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841A5"/>
    <w:pPr>
      <w:ind w:left="720"/>
      <w:contextualSpacing/>
    </w:pPr>
  </w:style>
  <w:style w:type="paragraph" w:styleId="Textonotapie">
    <w:name w:val="footnote text"/>
    <w:basedOn w:val="Normal"/>
    <w:link w:val="TextonotapieCar"/>
    <w:uiPriority w:val="99"/>
    <w:unhideWhenUsed/>
    <w:rsid w:val="006F0610"/>
    <w:pPr>
      <w:spacing w:line="240" w:lineRule="auto"/>
    </w:pPr>
    <w:rPr>
      <w:sz w:val="20"/>
      <w:szCs w:val="20"/>
    </w:rPr>
  </w:style>
  <w:style w:type="character" w:customStyle="1" w:styleId="TextonotapieCar">
    <w:name w:val="Texto nota pie Car"/>
    <w:basedOn w:val="Fuentedeprrafopredeter"/>
    <w:link w:val="Textonotapie"/>
    <w:uiPriority w:val="99"/>
    <w:rsid w:val="006F0610"/>
    <w:rPr>
      <w:sz w:val="20"/>
      <w:szCs w:val="20"/>
    </w:rPr>
  </w:style>
  <w:style w:type="character" w:styleId="Refdenotaalpie">
    <w:name w:val="footnote reference"/>
    <w:basedOn w:val="Fuentedeprrafopredeter"/>
    <w:uiPriority w:val="99"/>
    <w:semiHidden/>
    <w:unhideWhenUsed/>
    <w:rsid w:val="006F0610"/>
    <w:rPr>
      <w:vertAlign w:val="superscript"/>
    </w:rPr>
  </w:style>
  <w:style w:type="paragraph" w:styleId="Encabezado">
    <w:name w:val="header"/>
    <w:basedOn w:val="Normal"/>
    <w:link w:val="EncabezadoCar"/>
    <w:uiPriority w:val="99"/>
    <w:unhideWhenUsed/>
    <w:rsid w:val="00597D5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97D5B"/>
  </w:style>
  <w:style w:type="paragraph" w:styleId="Piedepgina">
    <w:name w:val="footer"/>
    <w:basedOn w:val="Normal"/>
    <w:link w:val="PiedepginaCar"/>
    <w:uiPriority w:val="99"/>
    <w:unhideWhenUsed/>
    <w:rsid w:val="00597D5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97D5B"/>
  </w:style>
  <w:style w:type="paragraph" w:styleId="Textoindependiente">
    <w:name w:val="Body Text"/>
    <w:basedOn w:val="Normal"/>
    <w:link w:val="TextoindependienteCar"/>
    <w:rsid w:val="0023779E"/>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23779E"/>
    <w:rPr>
      <w:rFonts w:ascii="Times New Roman" w:eastAsia="Times New Roman" w:hAnsi="Times New Roman" w:cs="Times New Roman"/>
      <w:sz w:val="24"/>
      <w:szCs w:val="24"/>
      <w:lang w:val="es-ES" w:eastAsia="es-ES"/>
    </w:rPr>
  </w:style>
  <w:style w:type="character" w:customStyle="1" w:styleId="FontStyle39">
    <w:name w:val="Font Style39"/>
    <w:basedOn w:val="Fuentedeprrafopredeter"/>
    <w:uiPriority w:val="99"/>
    <w:rsid w:val="0023779E"/>
    <w:rPr>
      <w:rFonts w:ascii="Calibri" w:hAnsi="Calibri" w:cs="Calibri"/>
      <w:i/>
      <w:iCs/>
      <w:sz w:val="22"/>
      <w:szCs w:val="22"/>
    </w:rPr>
  </w:style>
  <w:style w:type="paragraph" w:styleId="Textonotaalfinal">
    <w:name w:val="endnote text"/>
    <w:basedOn w:val="Normal"/>
    <w:link w:val="TextonotaalfinalCar"/>
    <w:uiPriority w:val="99"/>
    <w:semiHidden/>
    <w:unhideWhenUsed/>
    <w:rsid w:val="00483E9D"/>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483E9D"/>
    <w:rPr>
      <w:sz w:val="20"/>
      <w:szCs w:val="20"/>
    </w:rPr>
  </w:style>
  <w:style w:type="character" w:styleId="Refdenotaalfinal">
    <w:name w:val="endnote reference"/>
    <w:basedOn w:val="Fuentedeprrafopredeter"/>
    <w:uiPriority w:val="99"/>
    <w:semiHidden/>
    <w:unhideWhenUsed/>
    <w:rsid w:val="00483E9D"/>
    <w:rPr>
      <w:vertAlign w:val="superscript"/>
    </w:rPr>
  </w:style>
  <w:style w:type="paragraph" w:customStyle="1" w:styleId="Style4">
    <w:name w:val="Style4"/>
    <w:basedOn w:val="Normal"/>
    <w:uiPriority w:val="99"/>
    <w:rsid w:val="002903BD"/>
    <w:pPr>
      <w:widowControl w:val="0"/>
      <w:autoSpaceDE w:val="0"/>
      <w:autoSpaceDN w:val="0"/>
      <w:adjustRightInd w:val="0"/>
      <w:spacing w:line="441" w:lineRule="exact"/>
      <w:jc w:val="both"/>
    </w:pPr>
    <w:rPr>
      <w:rFonts w:ascii="Angsana New" w:eastAsia="Times New Roman" w:hAnsi="Angsana New" w:cs="Times New Roman"/>
      <w:sz w:val="24"/>
      <w:szCs w:val="24"/>
      <w:lang w:eastAsia="es-CO"/>
    </w:rPr>
  </w:style>
  <w:style w:type="paragraph" w:styleId="Sinespaciado">
    <w:name w:val="No Spacing"/>
    <w:uiPriority w:val="1"/>
    <w:qFormat/>
    <w:rsid w:val="005518CC"/>
    <w:pPr>
      <w:spacing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F1CB5"/>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1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0360">
      <w:bodyDiv w:val="1"/>
      <w:marLeft w:val="0"/>
      <w:marRight w:val="0"/>
      <w:marTop w:val="0"/>
      <w:marBottom w:val="0"/>
      <w:divBdr>
        <w:top w:val="none" w:sz="0" w:space="0" w:color="auto"/>
        <w:left w:val="none" w:sz="0" w:space="0" w:color="auto"/>
        <w:bottom w:val="none" w:sz="0" w:space="0" w:color="auto"/>
        <w:right w:val="none" w:sz="0" w:space="0" w:color="auto"/>
      </w:divBdr>
    </w:div>
    <w:div w:id="84036194">
      <w:bodyDiv w:val="1"/>
      <w:marLeft w:val="0"/>
      <w:marRight w:val="0"/>
      <w:marTop w:val="0"/>
      <w:marBottom w:val="0"/>
      <w:divBdr>
        <w:top w:val="none" w:sz="0" w:space="0" w:color="auto"/>
        <w:left w:val="none" w:sz="0" w:space="0" w:color="auto"/>
        <w:bottom w:val="none" w:sz="0" w:space="0" w:color="auto"/>
        <w:right w:val="none" w:sz="0" w:space="0" w:color="auto"/>
      </w:divBdr>
    </w:div>
    <w:div w:id="156457672">
      <w:bodyDiv w:val="1"/>
      <w:marLeft w:val="0"/>
      <w:marRight w:val="0"/>
      <w:marTop w:val="0"/>
      <w:marBottom w:val="0"/>
      <w:divBdr>
        <w:top w:val="none" w:sz="0" w:space="0" w:color="auto"/>
        <w:left w:val="none" w:sz="0" w:space="0" w:color="auto"/>
        <w:bottom w:val="none" w:sz="0" w:space="0" w:color="auto"/>
        <w:right w:val="none" w:sz="0" w:space="0" w:color="auto"/>
      </w:divBdr>
    </w:div>
    <w:div w:id="295795439">
      <w:bodyDiv w:val="1"/>
      <w:marLeft w:val="0"/>
      <w:marRight w:val="0"/>
      <w:marTop w:val="0"/>
      <w:marBottom w:val="0"/>
      <w:divBdr>
        <w:top w:val="none" w:sz="0" w:space="0" w:color="auto"/>
        <w:left w:val="none" w:sz="0" w:space="0" w:color="auto"/>
        <w:bottom w:val="none" w:sz="0" w:space="0" w:color="auto"/>
        <w:right w:val="none" w:sz="0" w:space="0" w:color="auto"/>
      </w:divBdr>
    </w:div>
    <w:div w:id="419104712">
      <w:bodyDiv w:val="1"/>
      <w:marLeft w:val="0"/>
      <w:marRight w:val="0"/>
      <w:marTop w:val="0"/>
      <w:marBottom w:val="0"/>
      <w:divBdr>
        <w:top w:val="none" w:sz="0" w:space="0" w:color="auto"/>
        <w:left w:val="none" w:sz="0" w:space="0" w:color="auto"/>
        <w:bottom w:val="none" w:sz="0" w:space="0" w:color="auto"/>
        <w:right w:val="none" w:sz="0" w:space="0" w:color="auto"/>
      </w:divBdr>
    </w:div>
    <w:div w:id="425274817">
      <w:bodyDiv w:val="1"/>
      <w:marLeft w:val="0"/>
      <w:marRight w:val="0"/>
      <w:marTop w:val="0"/>
      <w:marBottom w:val="0"/>
      <w:divBdr>
        <w:top w:val="none" w:sz="0" w:space="0" w:color="auto"/>
        <w:left w:val="none" w:sz="0" w:space="0" w:color="auto"/>
        <w:bottom w:val="none" w:sz="0" w:space="0" w:color="auto"/>
        <w:right w:val="none" w:sz="0" w:space="0" w:color="auto"/>
      </w:divBdr>
    </w:div>
    <w:div w:id="456031196">
      <w:bodyDiv w:val="1"/>
      <w:marLeft w:val="0"/>
      <w:marRight w:val="0"/>
      <w:marTop w:val="0"/>
      <w:marBottom w:val="0"/>
      <w:divBdr>
        <w:top w:val="none" w:sz="0" w:space="0" w:color="auto"/>
        <w:left w:val="none" w:sz="0" w:space="0" w:color="auto"/>
        <w:bottom w:val="none" w:sz="0" w:space="0" w:color="auto"/>
        <w:right w:val="none" w:sz="0" w:space="0" w:color="auto"/>
      </w:divBdr>
    </w:div>
    <w:div w:id="696392643">
      <w:bodyDiv w:val="1"/>
      <w:marLeft w:val="0"/>
      <w:marRight w:val="0"/>
      <w:marTop w:val="0"/>
      <w:marBottom w:val="0"/>
      <w:divBdr>
        <w:top w:val="none" w:sz="0" w:space="0" w:color="auto"/>
        <w:left w:val="none" w:sz="0" w:space="0" w:color="auto"/>
        <w:bottom w:val="none" w:sz="0" w:space="0" w:color="auto"/>
        <w:right w:val="none" w:sz="0" w:space="0" w:color="auto"/>
      </w:divBdr>
    </w:div>
    <w:div w:id="715354075">
      <w:bodyDiv w:val="1"/>
      <w:marLeft w:val="0"/>
      <w:marRight w:val="0"/>
      <w:marTop w:val="0"/>
      <w:marBottom w:val="0"/>
      <w:divBdr>
        <w:top w:val="none" w:sz="0" w:space="0" w:color="auto"/>
        <w:left w:val="none" w:sz="0" w:space="0" w:color="auto"/>
        <w:bottom w:val="none" w:sz="0" w:space="0" w:color="auto"/>
        <w:right w:val="none" w:sz="0" w:space="0" w:color="auto"/>
      </w:divBdr>
    </w:div>
    <w:div w:id="1084377889">
      <w:bodyDiv w:val="1"/>
      <w:marLeft w:val="0"/>
      <w:marRight w:val="0"/>
      <w:marTop w:val="0"/>
      <w:marBottom w:val="0"/>
      <w:divBdr>
        <w:top w:val="none" w:sz="0" w:space="0" w:color="auto"/>
        <w:left w:val="none" w:sz="0" w:space="0" w:color="auto"/>
        <w:bottom w:val="none" w:sz="0" w:space="0" w:color="auto"/>
        <w:right w:val="none" w:sz="0" w:space="0" w:color="auto"/>
      </w:divBdr>
    </w:div>
    <w:div w:id="1238632637">
      <w:bodyDiv w:val="1"/>
      <w:marLeft w:val="0"/>
      <w:marRight w:val="0"/>
      <w:marTop w:val="0"/>
      <w:marBottom w:val="0"/>
      <w:divBdr>
        <w:top w:val="none" w:sz="0" w:space="0" w:color="auto"/>
        <w:left w:val="none" w:sz="0" w:space="0" w:color="auto"/>
        <w:bottom w:val="none" w:sz="0" w:space="0" w:color="auto"/>
        <w:right w:val="none" w:sz="0" w:space="0" w:color="auto"/>
      </w:divBdr>
    </w:div>
    <w:div w:id="1470973483">
      <w:bodyDiv w:val="1"/>
      <w:marLeft w:val="0"/>
      <w:marRight w:val="0"/>
      <w:marTop w:val="0"/>
      <w:marBottom w:val="0"/>
      <w:divBdr>
        <w:top w:val="none" w:sz="0" w:space="0" w:color="auto"/>
        <w:left w:val="none" w:sz="0" w:space="0" w:color="auto"/>
        <w:bottom w:val="none" w:sz="0" w:space="0" w:color="auto"/>
        <w:right w:val="none" w:sz="0" w:space="0" w:color="auto"/>
      </w:divBdr>
    </w:div>
    <w:div w:id="1588727549">
      <w:bodyDiv w:val="1"/>
      <w:marLeft w:val="0"/>
      <w:marRight w:val="0"/>
      <w:marTop w:val="0"/>
      <w:marBottom w:val="0"/>
      <w:divBdr>
        <w:top w:val="none" w:sz="0" w:space="0" w:color="auto"/>
        <w:left w:val="none" w:sz="0" w:space="0" w:color="auto"/>
        <w:bottom w:val="none" w:sz="0" w:space="0" w:color="auto"/>
        <w:right w:val="none" w:sz="0" w:space="0" w:color="auto"/>
      </w:divBdr>
    </w:div>
    <w:div w:id="1855341294">
      <w:bodyDiv w:val="1"/>
      <w:marLeft w:val="0"/>
      <w:marRight w:val="0"/>
      <w:marTop w:val="0"/>
      <w:marBottom w:val="0"/>
      <w:divBdr>
        <w:top w:val="none" w:sz="0" w:space="0" w:color="auto"/>
        <w:left w:val="none" w:sz="0" w:space="0" w:color="auto"/>
        <w:bottom w:val="none" w:sz="0" w:space="0" w:color="auto"/>
        <w:right w:val="none" w:sz="0" w:space="0" w:color="auto"/>
      </w:divBdr>
    </w:div>
    <w:div w:id="1891064718">
      <w:bodyDiv w:val="1"/>
      <w:marLeft w:val="0"/>
      <w:marRight w:val="0"/>
      <w:marTop w:val="0"/>
      <w:marBottom w:val="0"/>
      <w:divBdr>
        <w:top w:val="none" w:sz="0" w:space="0" w:color="auto"/>
        <w:left w:val="none" w:sz="0" w:space="0" w:color="auto"/>
        <w:bottom w:val="none" w:sz="0" w:space="0" w:color="auto"/>
        <w:right w:val="none" w:sz="0" w:space="0" w:color="auto"/>
      </w:divBdr>
    </w:div>
    <w:div w:id="193902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endnotes.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F66E-A8FC-4B95-A2AE-CD724C6CB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3621</Words>
  <Characters>19917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L.Patty Ech.Granada</dc:creator>
  <cp:keywords/>
  <dc:description/>
  <cp:lastModifiedBy>Henry Lora Rodriguez</cp:lastModifiedBy>
  <cp:revision>6</cp:revision>
  <cp:lastPrinted>2019-11-08T16:16:00Z</cp:lastPrinted>
  <dcterms:created xsi:type="dcterms:W3CDTF">2019-11-08T16:30:00Z</dcterms:created>
  <dcterms:modified xsi:type="dcterms:W3CDTF">2019-12-11T20:36:00Z</dcterms:modified>
</cp:coreProperties>
</file>