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9C" w:rsidRPr="00DD459C" w:rsidRDefault="00DD459C" w:rsidP="00DD4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pacing w:val="-8"/>
          <w:sz w:val="18"/>
          <w:szCs w:val="18"/>
          <w:lang w:val="es-419" w:eastAsia="fr-FR"/>
        </w:rPr>
      </w:pPr>
      <w:r w:rsidRPr="00DD459C">
        <w:rPr>
          <w:rFonts w:ascii="Arial" w:eastAsia="Times New Roman" w:hAnsi="Arial" w:cs="Arial"/>
          <w:color w:val="FF0000"/>
          <w:spacing w:val="-8"/>
          <w:sz w:val="18"/>
          <w:szCs w:val="18"/>
          <w:lang w:val="es-419" w:eastAsia="fr-FR"/>
        </w:rPr>
        <w:t>El siguiente es el documento presentado por el Magistrado Ponente que sirvió de base para proferir la providencia dentro del presente proceso.  El contenido total y fiel de la decisión debe ser verificado en la respectiva Secretaría.</w:t>
      </w:r>
    </w:p>
    <w:p w:rsidR="00DD459C" w:rsidRPr="00DD459C" w:rsidRDefault="00DD459C" w:rsidP="00DD459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DD459C" w:rsidRPr="00DD459C" w:rsidRDefault="00DD459C" w:rsidP="00DD459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DD459C">
        <w:rPr>
          <w:rFonts w:ascii="Arial" w:eastAsia="Times New Roman" w:hAnsi="Arial" w:cs="Arial"/>
          <w:sz w:val="20"/>
          <w:szCs w:val="20"/>
          <w:lang w:val="es-419" w:eastAsia="es-ES"/>
        </w:rPr>
        <w:t>Providencia</w:t>
      </w:r>
      <w:r w:rsidRPr="00DD459C">
        <w:rPr>
          <w:rFonts w:ascii="Arial" w:eastAsia="Times New Roman" w:hAnsi="Arial" w:cs="Arial"/>
          <w:sz w:val="20"/>
          <w:szCs w:val="20"/>
          <w:lang w:val="es-419" w:eastAsia="es-ES"/>
        </w:rPr>
        <w:tab/>
        <w:t>: Auto del 10 de mayo de 2019</w:t>
      </w:r>
    </w:p>
    <w:p w:rsidR="00DD459C" w:rsidRPr="00DD459C" w:rsidRDefault="00DD459C" w:rsidP="00DD459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DD459C">
        <w:rPr>
          <w:rFonts w:ascii="Arial" w:eastAsia="Times New Roman" w:hAnsi="Arial" w:cs="Arial"/>
          <w:sz w:val="20"/>
          <w:szCs w:val="20"/>
          <w:lang w:val="es-419" w:eastAsia="es-ES"/>
        </w:rPr>
        <w:t xml:space="preserve">Radicación No. </w:t>
      </w:r>
      <w:r w:rsidRPr="00DD459C">
        <w:rPr>
          <w:rFonts w:ascii="Arial" w:eastAsia="Times New Roman" w:hAnsi="Arial" w:cs="Arial"/>
          <w:sz w:val="20"/>
          <w:szCs w:val="20"/>
          <w:lang w:val="es-419" w:eastAsia="es-ES"/>
        </w:rPr>
        <w:tab/>
        <w:t>: 66001-31-05-003-2006-00827-01</w:t>
      </w:r>
    </w:p>
    <w:p w:rsidR="00DD459C" w:rsidRPr="00DD459C" w:rsidRDefault="00DD459C" w:rsidP="00DD459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>
        <w:rPr>
          <w:rFonts w:ascii="Arial" w:eastAsia="Times New Roman" w:hAnsi="Arial" w:cs="Arial"/>
          <w:sz w:val="20"/>
          <w:szCs w:val="20"/>
          <w:lang w:val="es-419" w:eastAsia="es-ES"/>
        </w:rPr>
        <w:t>Proceso</w:t>
      </w:r>
      <w:r>
        <w:rPr>
          <w:rFonts w:ascii="Arial" w:eastAsia="Times New Roman" w:hAnsi="Arial" w:cs="Arial"/>
          <w:sz w:val="20"/>
          <w:szCs w:val="20"/>
          <w:lang w:val="es-419" w:eastAsia="es-ES"/>
        </w:rPr>
        <w:tab/>
      </w:r>
      <w:r w:rsidRPr="00DD459C">
        <w:rPr>
          <w:rFonts w:ascii="Arial" w:eastAsia="Times New Roman" w:hAnsi="Arial" w:cs="Arial"/>
          <w:sz w:val="20"/>
          <w:szCs w:val="20"/>
          <w:lang w:val="es-419" w:eastAsia="es-ES"/>
        </w:rPr>
        <w:t>: Ordinario Laboral</w:t>
      </w:r>
    </w:p>
    <w:p w:rsidR="00DD459C" w:rsidRPr="00DD459C" w:rsidRDefault="00DD459C" w:rsidP="00DD459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DD459C">
        <w:rPr>
          <w:rFonts w:ascii="Arial" w:eastAsia="Times New Roman" w:hAnsi="Arial" w:cs="Arial"/>
          <w:sz w:val="20"/>
          <w:szCs w:val="20"/>
          <w:lang w:val="es-419" w:eastAsia="es-ES"/>
        </w:rPr>
        <w:t>Demandante</w:t>
      </w:r>
      <w:r w:rsidRPr="00DD459C">
        <w:rPr>
          <w:rFonts w:ascii="Arial" w:eastAsia="Times New Roman" w:hAnsi="Arial" w:cs="Arial"/>
          <w:sz w:val="20"/>
          <w:szCs w:val="20"/>
          <w:lang w:val="es-419" w:eastAsia="es-ES"/>
        </w:rPr>
        <w:tab/>
        <w:t xml:space="preserve">: Hermel Antonio Herrera   </w:t>
      </w:r>
    </w:p>
    <w:p w:rsidR="00DD459C" w:rsidRPr="00DD459C" w:rsidRDefault="00DD459C" w:rsidP="00DD459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DD459C">
        <w:rPr>
          <w:rFonts w:ascii="Arial" w:eastAsia="Times New Roman" w:hAnsi="Arial" w:cs="Arial"/>
          <w:sz w:val="20"/>
          <w:szCs w:val="20"/>
          <w:lang w:val="es-419" w:eastAsia="es-ES"/>
        </w:rPr>
        <w:t>Demandado</w:t>
      </w:r>
      <w:r w:rsidRPr="00DD459C">
        <w:rPr>
          <w:rFonts w:ascii="Arial" w:eastAsia="Times New Roman" w:hAnsi="Arial" w:cs="Arial"/>
          <w:sz w:val="20"/>
          <w:szCs w:val="20"/>
          <w:lang w:val="es-419" w:eastAsia="es-ES"/>
        </w:rPr>
        <w:tab/>
        <w:t>: Hernando Granada Gómez y Cival Constructores Ltda.</w:t>
      </w:r>
    </w:p>
    <w:p w:rsidR="00DD459C" w:rsidRPr="00DD459C" w:rsidRDefault="00DD459C" w:rsidP="00DD459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DD459C">
        <w:rPr>
          <w:rFonts w:ascii="Arial" w:eastAsia="Times New Roman" w:hAnsi="Arial" w:cs="Arial"/>
          <w:sz w:val="20"/>
          <w:szCs w:val="20"/>
          <w:lang w:val="es-419" w:eastAsia="es-ES"/>
        </w:rPr>
        <w:t>Juzgado</w:t>
      </w:r>
      <w:r w:rsidRPr="00DD459C">
        <w:rPr>
          <w:rFonts w:ascii="Arial" w:eastAsia="Times New Roman" w:hAnsi="Arial" w:cs="Arial"/>
          <w:sz w:val="20"/>
          <w:szCs w:val="20"/>
          <w:lang w:val="es-419" w:eastAsia="es-ES"/>
        </w:rPr>
        <w:tab/>
        <w:t>: Juzgado Tercero Laboral del Circuito de Pereira</w:t>
      </w:r>
    </w:p>
    <w:p w:rsidR="00DD459C" w:rsidRPr="00DD459C" w:rsidRDefault="00DD459C" w:rsidP="00DD459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DD459C" w:rsidRPr="00DD459C" w:rsidRDefault="00DD459C" w:rsidP="00DD459C">
      <w:pPr>
        <w:spacing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</w:pPr>
      <w:r w:rsidRPr="00DD459C"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  <w:t>TEMAS:</w:t>
      </w:r>
      <w:r w:rsidRPr="00DD459C">
        <w:rPr>
          <w:rFonts w:ascii="Arial" w:eastAsia="Times New Roman" w:hAnsi="Arial" w:cs="Arial"/>
          <w:b/>
          <w:bCs/>
          <w:iCs/>
          <w:sz w:val="20"/>
          <w:szCs w:val="20"/>
          <w:lang w:val="es-419" w:eastAsia="fr-FR"/>
        </w:rPr>
        <w:tab/>
      </w:r>
      <w:r w:rsidR="00B701A5">
        <w:rPr>
          <w:rFonts w:ascii="Arial" w:eastAsia="Times New Roman" w:hAnsi="Arial" w:cs="Arial"/>
          <w:b/>
          <w:bCs/>
          <w:iCs/>
          <w:sz w:val="20"/>
          <w:szCs w:val="20"/>
          <w:lang w:val="es-CO" w:eastAsia="fr-FR"/>
        </w:rPr>
        <w:t>AGENCIAS EN DERECHO / CRITERIOS PARA FIJARLAS / ACUERDO 1887 DE 2033 EXPEDIDO POR EL CONSEJO SUPERIOR DE LA JUDICATURA.</w:t>
      </w:r>
    </w:p>
    <w:p w:rsidR="00DD459C" w:rsidRPr="00DD459C" w:rsidRDefault="00DD459C" w:rsidP="00DD459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B701A5" w:rsidRPr="00B701A5" w:rsidRDefault="00B701A5" w:rsidP="00B701A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>
        <w:rPr>
          <w:rFonts w:ascii="Arial" w:eastAsia="Times New Roman" w:hAnsi="Arial" w:cs="Arial"/>
          <w:sz w:val="20"/>
          <w:szCs w:val="20"/>
          <w:lang w:val="es-CO" w:eastAsia="es-ES"/>
        </w:rPr>
        <w:t xml:space="preserve">… de </w:t>
      </w:r>
      <w:r w:rsidRPr="00B701A5">
        <w:rPr>
          <w:rFonts w:ascii="Arial" w:eastAsia="Times New Roman" w:hAnsi="Arial" w:cs="Arial"/>
          <w:sz w:val="20"/>
          <w:szCs w:val="20"/>
          <w:lang w:val="es-419" w:eastAsia="es-ES"/>
        </w:rPr>
        <w:t>conformidad con la descripción legal y la jurisprudencia, las agencias en derecho corresponden a una contraprestación por los gastos en que se incurre para ejercer la defensa legal de los intereses dentro de un trámite judicial, en atención a la gestión realizada por el apoderado o la parte que litigó personalmente.</w:t>
      </w:r>
    </w:p>
    <w:p w:rsidR="00B701A5" w:rsidRPr="00B701A5" w:rsidRDefault="00B701A5" w:rsidP="00B701A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DD459C" w:rsidRPr="00DD459C" w:rsidRDefault="00B701A5" w:rsidP="00B701A5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  <w:r w:rsidRPr="00B701A5">
        <w:rPr>
          <w:rFonts w:ascii="Arial" w:eastAsia="Times New Roman" w:hAnsi="Arial" w:cs="Arial"/>
          <w:sz w:val="20"/>
          <w:szCs w:val="20"/>
          <w:lang w:val="es-419" w:eastAsia="es-ES"/>
        </w:rPr>
        <w:t>Asimismo, es necesario recordar que en el Acuerdo 1887 de 2003 “por el cual se establecen las tarifas de agencias en derecho”, expedido por el Consejo Superior de la Judicatura y aplicable en este asunto por la fecha de inicio del proceso (radicado antes de la expedición del Acuerdo No. PSAA16-10554 de 2016), se establece que para la fijación de agencias “se aplicarán gradualmente las tarifas establecidas hasta los máximos previstos en el acuerdo y se tendrá en cuenta la naturaleza, calidad y duración útil de la gestión ejecutada por el apoderado o la parte que litigó personalmente, autorizada por la ley, la cuantía de la pretensión y las demás circunstancias relevantes, de modo que sean equitativas y razonables</w:t>
      </w:r>
      <w:r>
        <w:rPr>
          <w:rFonts w:ascii="Arial" w:eastAsia="Times New Roman" w:hAnsi="Arial" w:cs="Arial"/>
          <w:sz w:val="20"/>
          <w:szCs w:val="20"/>
          <w:lang w:val="es-CO" w:eastAsia="es-ES"/>
        </w:rPr>
        <w:t>”.</w:t>
      </w:r>
    </w:p>
    <w:p w:rsidR="00DD459C" w:rsidRPr="00DD459C" w:rsidRDefault="00DD459C" w:rsidP="00DD459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DD459C" w:rsidRPr="00DD459C" w:rsidRDefault="00DD459C" w:rsidP="00DD459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es-419" w:eastAsia="es-ES"/>
        </w:rPr>
      </w:pPr>
    </w:p>
    <w:p w:rsidR="00DD459C" w:rsidRPr="00DD459C" w:rsidRDefault="00DD459C" w:rsidP="00DD459C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45794D" w:rsidRPr="00D16DE7" w:rsidRDefault="0045794D" w:rsidP="00D16DE7">
      <w:pPr>
        <w:pStyle w:val="Ttulo4"/>
        <w:widowControl w:val="0"/>
        <w:tabs>
          <w:tab w:val="left" w:pos="708"/>
        </w:tabs>
        <w:spacing w:before="0" w:line="288" w:lineRule="auto"/>
        <w:jc w:val="center"/>
        <w:rPr>
          <w:rFonts w:ascii="Tahoma" w:hAnsi="Tahoma" w:cs="Tahoma"/>
          <w:b/>
          <w:bCs/>
          <w:i w:val="0"/>
          <w:color w:val="auto"/>
          <w:sz w:val="24"/>
          <w:szCs w:val="24"/>
          <w:lang w:eastAsia="es-MX"/>
        </w:rPr>
      </w:pPr>
      <w:r w:rsidRPr="00D16DE7">
        <w:rPr>
          <w:rFonts w:ascii="Tahoma" w:hAnsi="Tahoma" w:cs="Tahoma"/>
          <w:b/>
          <w:bCs/>
          <w:i w:val="0"/>
          <w:color w:val="auto"/>
          <w:sz w:val="24"/>
          <w:szCs w:val="24"/>
          <w:lang w:eastAsia="es-MX"/>
        </w:rPr>
        <w:t>TRIBUNAL SUPERIOR DEL DISTRITO JUDICIAL DE PEREIRA</w:t>
      </w:r>
    </w:p>
    <w:p w:rsidR="0045794D" w:rsidRPr="00D16DE7" w:rsidRDefault="0045794D" w:rsidP="00D16DE7">
      <w:pPr>
        <w:pStyle w:val="Ttulo4"/>
        <w:widowControl w:val="0"/>
        <w:tabs>
          <w:tab w:val="left" w:pos="708"/>
        </w:tabs>
        <w:spacing w:before="0" w:line="288" w:lineRule="auto"/>
        <w:jc w:val="center"/>
        <w:rPr>
          <w:rFonts w:ascii="Tahoma" w:hAnsi="Tahoma" w:cs="Tahoma"/>
          <w:b/>
          <w:bCs/>
          <w:i w:val="0"/>
          <w:color w:val="auto"/>
          <w:sz w:val="24"/>
          <w:szCs w:val="24"/>
          <w:lang w:eastAsia="es-MX"/>
        </w:rPr>
      </w:pPr>
      <w:r w:rsidRPr="00D16DE7">
        <w:rPr>
          <w:rFonts w:ascii="Tahoma" w:hAnsi="Tahoma" w:cs="Tahoma"/>
          <w:b/>
          <w:bCs/>
          <w:i w:val="0"/>
          <w:color w:val="auto"/>
          <w:sz w:val="24"/>
          <w:szCs w:val="24"/>
          <w:lang w:eastAsia="es-MX"/>
        </w:rPr>
        <w:t>SALA LABORAL</w:t>
      </w:r>
    </w:p>
    <w:p w:rsidR="0045794D" w:rsidRPr="00D16DE7" w:rsidRDefault="0045794D" w:rsidP="00D16DE7">
      <w:pPr>
        <w:spacing w:line="288" w:lineRule="auto"/>
        <w:rPr>
          <w:sz w:val="24"/>
          <w:szCs w:val="24"/>
          <w:lang w:eastAsia="es-MX"/>
        </w:rPr>
      </w:pPr>
    </w:p>
    <w:p w:rsidR="0045794D" w:rsidRPr="00D16DE7" w:rsidRDefault="0045794D" w:rsidP="00D16DE7">
      <w:pPr>
        <w:spacing w:line="288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16DE7">
        <w:rPr>
          <w:rFonts w:ascii="Tahoma" w:hAnsi="Tahoma" w:cs="Tahoma"/>
          <w:bCs/>
          <w:sz w:val="24"/>
          <w:szCs w:val="24"/>
        </w:rPr>
        <w:t>Magistrada Ponente:</w:t>
      </w:r>
      <w:r w:rsidRPr="00D16DE7">
        <w:rPr>
          <w:rFonts w:ascii="Tahoma" w:hAnsi="Tahoma" w:cs="Tahoma"/>
          <w:b/>
          <w:bCs/>
          <w:sz w:val="24"/>
          <w:szCs w:val="24"/>
        </w:rPr>
        <w:t xml:space="preserve"> ANA LUCÍA CAICEDO CALDERÓN</w:t>
      </w:r>
    </w:p>
    <w:p w:rsidR="0045794D" w:rsidRPr="00D16DE7" w:rsidRDefault="0045794D" w:rsidP="00D16DE7">
      <w:pPr>
        <w:spacing w:line="288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5794D" w:rsidRPr="00D16DE7" w:rsidRDefault="0045794D" w:rsidP="00D16DE7">
      <w:pPr>
        <w:spacing w:line="288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16DE7">
        <w:rPr>
          <w:rFonts w:ascii="Tahoma" w:hAnsi="Tahoma" w:cs="Tahoma"/>
          <w:b/>
          <w:sz w:val="24"/>
          <w:szCs w:val="24"/>
        </w:rPr>
        <w:t>ACTA No. __</w:t>
      </w:r>
    </w:p>
    <w:p w:rsidR="0045794D" w:rsidRPr="00D16DE7" w:rsidRDefault="0045794D" w:rsidP="00D16DE7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  <w:r w:rsidRPr="00D16DE7">
        <w:rPr>
          <w:rFonts w:ascii="Tahoma" w:hAnsi="Tahoma" w:cs="Tahoma"/>
          <w:b/>
          <w:sz w:val="24"/>
          <w:szCs w:val="24"/>
        </w:rPr>
        <w:t>(Mayo 10 de 2019)</w:t>
      </w:r>
    </w:p>
    <w:p w:rsidR="0045794D" w:rsidRPr="00D16DE7" w:rsidRDefault="0045794D" w:rsidP="00D16DE7">
      <w:pPr>
        <w:spacing w:line="288" w:lineRule="auto"/>
        <w:jc w:val="both"/>
        <w:rPr>
          <w:rFonts w:ascii="Tahoma" w:hAnsi="Tahoma" w:cs="Tahoma"/>
          <w:b/>
          <w:sz w:val="24"/>
          <w:szCs w:val="24"/>
        </w:rPr>
      </w:pPr>
      <w:r w:rsidRPr="00D16DE7">
        <w:rPr>
          <w:rFonts w:ascii="Tahoma" w:hAnsi="Tahoma" w:cs="Tahoma"/>
          <w:b/>
          <w:sz w:val="24"/>
          <w:szCs w:val="24"/>
        </w:rPr>
        <w:tab/>
      </w:r>
    </w:p>
    <w:p w:rsidR="00BA5C4D" w:rsidRPr="00D16DE7" w:rsidRDefault="0045794D" w:rsidP="00D16DE7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ahoma" w:hAnsi="Tahoma" w:cs="Tahoma"/>
          <w:spacing w:val="-2"/>
          <w:sz w:val="24"/>
          <w:szCs w:val="24"/>
        </w:rPr>
      </w:pPr>
      <w:r w:rsidRPr="00D16DE7">
        <w:rPr>
          <w:rFonts w:ascii="Tahoma" w:hAnsi="Tahoma" w:cs="Tahoma"/>
          <w:sz w:val="24"/>
          <w:szCs w:val="24"/>
        </w:rPr>
        <w:t xml:space="preserve">En la fecha, </w:t>
      </w:r>
      <w:r w:rsidRPr="00D16DE7">
        <w:rPr>
          <w:rFonts w:ascii="Tahoma" w:hAnsi="Tahoma" w:cs="Tahoma"/>
          <w:spacing w:val="-2"/>
          <w:sz w:val="24"/>
          <w:szCs w:val="24"/>
        </w:rPr>
        <w:t xml:space="preserve">la Sala No. 1 de Decisión Laboral del Tribunal Superior de Pereira, procede a </w:t>
      </w:r>
      <w:r w:rsidRPr="00D16DE7">
        <w:rPr>
          <w:rFonts w:ascii="Tahoma" w:hAnsi="Tahoma" w:cs="Tahoma"/>
          <w:sz w:val="24"/>
          <w:szCs w:val="24"/>
        </w:rPr>
        <w:t xml:space="preserve">decidir el recurso de </w:t>
      </w:r>
      <w:r w:rsidRPr="00D16DE7">
        <w:rPr>
          <w:rFonts w:ascii="Tahoma" w:hAnsi="Tahoma" w:cs="Tahoma"/>
          <w:spacing w:val="-2"/>
          <w:sz w:val="24"/>
          <w:szCs w:val="24"/>
        </w:rPr>
        <w:t xml:space="preserve">apelación presentado </w:t>
      </w:r>
      <w:r w:rsidR="00BA5C4D" w:rsidRPr="00D16DE7">
        <w:rPr>
          <w:rFonts w:ascii="Tahoma" w:hAnsi="Tahoma" w:cs="Tahoma"/>
          <w:spacing w:val="-2"/>
          <w:sz w:val="24"/>
          <w:szCs w:val="24"/>
        </w:rPr>
        <w:t>por el demandante en contra del auto del 14 de diciembre de 2018 (</w:t>
      </w:r>
      <w:proofErr w:type="spellStart"/>
      <w:r w:rsidR="00BA5C4D" w:rsidRPr="00D16DE7">
        <w:rPr>
          <w:rFonts w:ascii="Tahoma" w:hAnsi="Tahoma" w:cs="Tahoma"/>
          <w:spacing w:val="-2"/>
          <w:sz w:val="24"/>
          <w:szCs w:val="24"/>
        </w:rPr>
        <w:t>F</w:t>
      </w:r>
      <w:r w:rsidR="00195A80" w:rsidRPr="00D16DE7">
        <w:rPr>
          <w:rFonts w:ascii="Tahoma" w:hAnsi="Tahoma" w:cs="Tahoma"/>
          <w:spacing w:val="-2"/>
          <w:sz w:val="24"/>
          <w:szCs w:val="24"/>
        </w:rPr>
        <w:t>l</w:t>
      </w:r>
      <w:proofErr w:type="spellEnd"/>
      <w:r w:rsidR="00195A80" w:rsidRPr="00D16DE7">
        <w:rPr>
          <w:rFonts w:ascii="Tahoma" w:hAnsi="Tahoma" w:cs="Tahoma"/>
          <w:spacing w:val="-2"/>
          <w:sz w:val="24"/>
          <w:szCs w:val="24"/>
        </w:rPr>
        <w:t>. 723), por medio del cual el Juzgado Tercero Laboral del C</w:t>
      </w:r>
      <w:r w:rsidR="00BA5C4D" w:rsidRPr="00D16DE7">
        <w:rPr>
          <w:rFonts w:ascii="Tahoma" w:hAnsi="Tahoma" w:cs="Tahoma"/>
          <w:spacing w:val="-2"/>
          <w:sz w:val="24"/>
          <w:szCs w:val="24"/>
        </w:rPr>
        <w:t>ircuito de Pereira aprobó la liquidación de costas efectuada en el proceso de la referencia.</w:t>
      </w:r>
    </w:p>
    <w:p w:rsidR="00BA5C4D" w:rsidRPr="00D16DE7" w:rsidRDefault="00BA5C4D" w:rsidP="00D16DE7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ES_tradnl"/>
        </w:rPr>
      </w:pPr>
    </w:p>
    <w:p w:rsidR="0045794D" w:rsidRPr="00D16DE7" w:rsidRDefault="0045794D" w:rsidP="00D16DE7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ES_tradnl"/>
        </w:rPr>
      </w:pPr>
      <w:r w:rsidRPr="00D16DE7">
        <w:rPr>
          <w:rFonts w:ascii="Tahoma" w:hAnsi="Tahoma" w:cs="Tahoma"/>
          <w:sz w:val="24"/>
          <w:szCs w:val="24"/>
          <w:lang w:val="es-ES_tradnl"/>
        </w:rPr>
        <w:t xml:space="preserve">En sesión previa que se hizo constar en la mencionada acta, la Sala discutió y aprobó el proyecto que presentó la Magistrada Ponente, el cual alude al siguiente </w:t>
      </w:r>
      <w:r w:rsidRPr="00D16DE7">
        <w:rPr>
          <w:rFonts w:ascii="Tahoma" w:hAnsi="Tahoma" w:cs="Tahoma"/>
          <w:b/>
          <w:sz w:val="24"/>
          <w:szCs w:val="24"/>
          <w:lang w:val="es-ES_tradnl"/>
        </w:rPr>
        <w:t>auto interlocutorio</w:t>
      </w:r>
      <w:r w:rsidRPr="00D16DE7">
        <w:rPr>
          <w:rFonts w:ascii="Tahoma" w:hAnsi="Tahoma" w:cs="Tahoma"/>
          <w:sz w:val="24"/>
          <w:szCs w:val="24"/>
        </w:rPr>
        <w:t>:</w:t>
      </w:r>
    </w:p>
    <w:p w:rsidR="0045794D" w:rsidRPr="00D16DE7" w:rsidRDefault="0045794D" w:rsidP="00D16DE7">
      <w:pPr>
        <w:tabs>
          <w:tab w:val="left" w:pos="1590"/>
        </w:tabs>
        <w:spacing w:line="288" w:lineRule="auto"/>
        <w:rPr>
          <w:rFonts w:ascii="Tahoma" w:hAnsi="Tahoma" w:cs="Tahoma"/>
          <w:b/>
          <w:sz w:val="24"/>
          <w:szCs w:val="24"/>
          <w:lang w:val="es-CO"/>
        </w:rPr>
      </w:pPr>
      <w:r w:rsidRPr="00D16DE7">
        <w:rPr>
          <w:rFonts w:ascii="Tahoma" w:hAnsi="Tahoma" w:cs="Tahoma"/>
          <w:b/>
          <w:sz w:val="24"/>
          <w:szCs w:val="24"/>
          <w:lang w:val="es-CO"/>
        </w:rPr>
        <w:tab/>
      </w:r>
    </w:p>
    <w:p w:rsidR="0045794D" w:rsidRPr="00D16DE7" w:rsidRDefault="0045794D" w:rsidP="00D16DE7">
      <w:pPr>
        <w:pStyle w:val="Prrafodelista"/>
        <w:spacing w:line="288" w:lineRule="auto"/>
        <w:ind w:left="0"/>
        <w:jc w:val="center"/>
        <w:rPr>
          <w:rFonts w:ascii="Tahoma" w:hAnsi="Tahoma" w:cs="Tahoma"/>
          <w:b/>
          <w:sz w:val="24"/>
          <w:szCs w:val="24"/>
          <w:lang w:val="es-CO"/>
        </w:rPr>
      </w:pPr>
      <w:r w:rsidRPr="00D16DE7">
        <w:rPr>
          <w:rFonts w:ascii="Tahoma" w:hAnsi="Tahoma" w:cs="Tahoma"/>
          <w:b/>
          <w:sz w:val="24"/>
          <w:szCs w:val="24"/>
          <w:lang w:val="es-CO"/>
        </w:rPr>
        <w:t>I - ANTECEDENTES PROCESALES</w:t>
      </w:r>
    </w:p>
    <w:p w:rsidR="0045794D" w:rsidRPr="00D16DE7" w:rsidRDefault="0045794D" w:rsidP="00D16DE7">
      <w:pPr>
        <w:spacing w:line="288" w:lineRule="auto"/>
        <w:jc w:val="both"/>
        <w:rPr>
          <w:sz w:val="24"/>
          <w:szCs w:val="24"/>
          <w:lang w:val="es-CO"/>
        </w:rPr>
      </w:pPr>
      <w:r w:rsidRPr="00D16DE7">
        <w:rPr>
          <w:sz w:val="24"/>
          <w:szCs w:val="24"/>
          <w:lang w:val="es-CO"/>
        </w:rPr>
        <w:tab/>
      </w:r>
    </w:p>
    <w:p w:rsidR="00BA5C4D" w:rsidRPr="00D16DE7" w:rsidRDefault="00BA5C4D" w:rsidP="00D16DE7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D16DE7">
        <w:rPr>
          <w:rFonts w:ascii="Tahoma" w:hAnsi="Tahoma" w:cs="Tahoma"/>
          <w:sz w:val="24"/>
          <w:szCs w:val="24"/>
          <w:lang w:val="es-CO"/>
        </w:rPr>
        <w:tab/>
        <w:t>Mediante sentencia del 11 de diciembre de 2017 (</w:t>
      </w:r>
      <w:proofErr w:type="spellStart"/>
      <w:r w:rsidRPr="00D16DE7">
        <w:rPr>
          <w:rFonts w:ascii="Tahoma" w:hAnsi="Tahoma" w:cs="Tahoma"/>
          <w:sz w:val="24"/>
          <w:szCs w:val="24"/>
          <w:lang w:val="es-CO"/>
        </w:rPr>
        <w:t>Fl</w:t>
      </w:r>
      <w:proofErr w:type="spellEnd"/>
      <w:r w:rsidRPr="00D16DE7">
        <w:rPr>
          <w:rFonts w:ascii="Tahoma" w:hAnsi="Tahoma" w:cs="Tahoma"/>
          <w:sz w:val="24"/>
          <w:szCs w:val="24"/>
          <w:lang w:val="es-CO"/>
        </w:rPr>
        <w:t>. 640)</w:t>
      </w:r>
      <w:r w:rsidR="00195A80" w:rsidRPr="00D16DE7">
        <w:rPr>
          <w:rFonts w:ascii="Tahoma" w:hAnsi="Tahoma" w:cs="Tahoma"/>
          <w:sz w:val="24"/>
          <w:szCs w:val="24"/>
          <w:lang w:val="es-CO"/>
        </w:rPr>
        <w:t>,</w:t>
      </w:r>
      <w:r w:rsidRPr="00D16DE7">
        <w:rPr>
          <w:rFonts w:ascii="Tahoma" w:hAnsi="Tahoma" w:cs="Tahoma"/>
          <w:sz w:val="24"/>
          <w:szCs w:val="24"/>
          <w:lang w:val="es-CO"/>
        </w:rPr>
        <w:t xml:space="preserve"> el Juzgado Tercero Laboral de Pereira negó todos los pedidos económicos de la demanda promovida por el señor </w:t>
      </w:r>
      <w:proofErr w:type="spellStart"/>
      <w:r w:rsidRPr="00D16DE7">
        <w:rPr>
          <w:rFonts w:ascii="Tahoma" w:hAnsi="Tahoma" w:cs="Tahoma"/>
          <w:sz w:val="24"/>
          <w:szCs w:val="24"/>
          <w:lang w:val="es-CO"/>
        </w:rPr>
        <w:t>HERMEL</w:t>
      </w:r>
      <w:proofErr w:type="spellEnd"/>
      <w:r w:rsidRPr="00D16DE7">
        <w:rPr>
          <w:rFonts w:ascii="Tahoma" w:hAnsi="Tahoma" w:cs="Tahoma"/>
          <w:sz w:val="24"/>
          <w:szCs w:val="24"/>
          <w:lang w:val="es-CO"/>
        </w:rPr>
        <w:t xml:space="preserve"> ANTONIO HERRERA en contra de HERNANDO GRANADA GÓMEZ y </w:t>
      </w:r>
      <w:proofErr w:type="spellStart"/>
      <w:r w:rsidRPr="00D16DE7">
        <w:rPr>
          <w:rFonts w:ascii="Tahoma" w:hAnsi="Tahoma" w:cs="Tahoma"/>
          <w:sz w:val="24"/>
          <w:szCs w:val="24"/>
          <w:lang w:val="es-CO"/>
        </w:rPr>
        <w:t>CIVAL</w:t>
      </w:r>
      <w:proofErr w:type="spellEnd"/>
      <w:r w:rsidRPr="00D16DE7">
        <w:rPr>
          <w:rFonts w:ascii="Tahoma" w:hAnsi="Tahoma" w:cs="Tahoma"/>
          <w:sz w:val="24"/>
          <w:szCs w:val="24"/>
          <w:lang w:val="es-CO"/>
        </w:rPr>
        <w:t xml:space="preserve"> CONSTRUCTORES LTDA.</w:t>
      </w:r>
    </w:p>
    <w:p w:rsidR="00BA5C4D" w:rsidRPr="00D16DE7" w:rsidRDefault="00BA5C4D" w:rsidP="00D16DE7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</w:p>
    <w:p w:rsidR="00EC171D" w:rsidRPr="00D16DE7" w:rsidRDefault="00EC171D" w:rsidP="00D16DE7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D16DE7">
        <w:rPr>
          <w:rFonts w:ascii="Tahoma" w:hAnsi="Tahoma" w:cs="Tahoma"/>
          <w:sz w:val="24"/>
          <w:szCs w:val="24"/>
          <w:lang w:val="es-CO"/>
        </w:rPr>
        <w:lastRenderedPageBreak/>
        <w:tab/>
        <w:t>La decisión fue apelada por e</w:t>
      </w:r>
      <w:r w:rsidR="00195A80" w:rsidRPr="00D16DE7">
        <w:rPr>
          <w:rFonts w:ascii="Tahoma" w:hAnsi="Tahoma" w:cs="Tahoma"/>
          <w:sz w:val="24"/>
          <w:szCs w:val="24"/>
          <w:lang w:val="es-CO"/>
        </w:rPr>
        <w:t>l demandante y se decidió</w:t>
      </w:r>
      <w:r w:rsidRPr="00D16DE7">
        <w:rPr>
          <w:rFonts w:ascii="Tahoma" w:hAnsi="Tahoma" w:cs="Tahoma"/>
          <w:sz w:val="24"/>
          <w:szCs w:val="24"/>
          <w:lang w:val="es-CO"/>
        </w:rPr>
        <w:t xml:space="preserve"> mediante fallo de segunda instancia, dictado el 26 d</w:t>
      </w:r>
      <w:r w:rsidR="00195A80" w:rsidRPr="00D16DE7">
        <w:rPr>
          <w:rFonts w:ascii="Tahoma" w:hAnsi="Tahoma" w:cs="Tahoma"/>
          <w:sz w:val="24"/>
          <w:szCs w:val="24"/>
          <w:lang w:val="es-CO"/>
        </w:rPr>
        <w:t>e octubre de 2018 (</w:t>
      </w:r>
      <w:proofErr w:type="spellStart"/>
      <w:r w:rsidR="00195A80" w:rsidRPr="00D16DE7">
        <w:rPr>
          <w:rFonts w:ascii="Tahoma" w:hAnsi="Tahoma" w:cs="Tahoma"/>
          <w:sz w:val="24"/>
          <w:szCs w:val="24"/>
          <w:lang w:val="es-CO"/>
        </w:rPr>
        <w:t>Fl</w:t>
      </w:r>
      <w:proofErr w:type="spellEnd"/>
      <w:r w:rsidR="00195A80" w:rsidRPr="00D16DE7">
        <w:rPr>
          <w:rFonts w:ascii="Tahoma" w:hAnsi="Tahoma" w:cs="Tahoma"/>
          <w:sz w:val="24"/>
          <w:szCs w:val="24"/>
          <w:lang w:val="es-CO"/>
        </w:rPr>
        <w:t>. 715), revocar</w:t>
      </w:r>
      <w:r w:rsidRPr="00D16DE7">
        <w:rPr>
          <w:rFonts w:ascii="Tahoma" w:hAnsi="Tahoma" w:cs="Tahoma"/>
          <w:sz w:val="24"/>
          <w:szCs w:val="24"/>
          <w:lang w:val="es-CO"/>
        </w:rPr>
        <w:t xml:space="preserve"> la sentencia ap</w:t>
      </w:r>
      <w:r w:rsidR="00195A80" w:rsidRPr="00D16DE7">
        <w:rPr>
          <w:rFonts w:ascii="Tahoma" w:hAnsi="Tahoma" w:cs="Tahoma"/>
          <w:sz w:val="24"/>
          <w:szCs w:val="24"/>
          <w:lang w:val="es-CO"/>
        </w:rPr>
        <w:t>elada y en su defecto se condenar</w:t>
      </w:r>
      <w:r w:rsidRPr="00D16DE7">
        <w:rPr>
          <w:rFonts w:ascii="Tahoma" w:hAnsi="Tahoma" w:cs="Tahoma"/>
          <w:sz w:val="24"/>
          <w:szCs w:val="24"/>
          <w:lang w:val="es-CO"/>
        </w:rPr>
        <w:t xml:space="preserve"> a la empresa </w:t>
      </w:r>
      <w:proofErr w:type="spellStart"/>
      <w:r w:rsidRPr="00D16DE7">
        <w:rPr>
          <w:rFonts w:ascii="Tahoma" w:hAnsi="Tahoma" w:cs="Tahoma"/>
          <w:sz w:val="24"/>
          <w:szCs w:val="24"/>
          <w:lang w:val="es-CO"/>
        </w:rPr>
        <w:t>CIVAL</w:t>
      </w:r>
      <w:proofErr w:type="spellEnd"/>
      <w:r w:rsidRPr="00D16DE7">
        <w:rPr>
          <w:rFonts w:ascii="Tahoma" w:hAnsi="Tahoma" w:cs="Tahoma"/>
          <w:sz w:val="24"/>
          <w:szCs w:val="24"/>
          <w:lang w:val="es-CO"/>
        </w:rPr>
        <w:t xml:space="preserve"> CONSTRUCTORES </w:t>
      </w:r>
      <w:proofErr w:type="spellStart"/>
      <w:r w:rsidRPr="00D16DE7">
        <w:rPr>
          <w:rFonts w:ascii="Tahoma" w:hAnsi="Tahoma" w:cs="Tahoma"/>
          <w:sz w:val="24"/>
          <w:szCs w:val="24"/>
          <w:lang w:val="es-CO"/>
        </w:rPr>
        <w:t>LTDA</w:t>
      </w:r>
      <w:proofErr w:type="spellEnd"/>
      <w:r w:rsidRPr="00D16DE7">
        <w:rPr>
          <w:rFonts w:ascii="Tahoma" w:hAnsi="Tahoma" w:cs="Tahoma"/>
          <w:sz w:val="24"/>
          <w:szCs w:val="24"/>
          <w:lang w:val="es-CO"/>
        </w:rPr>
        <w:t xml:space="preserve"> y al señor HERNANDO GRANADA GÓMEZ a pagar al actor la suma de $172.444 por concepto de prestaciones sociales, $62.523 por vacaciones, $190.750 como indemnización por despido injusto y $8.592.000 por concepto de la sanción moratoria prevista en el artículo 65 del </w:t>
      </w:r>
      <w:proofErr w:type="spellStart"/>
      <w:r w:rsidRPr="00D16DE7">
        <w:rPr>
          <w:rFonts w:ascii="Tahoma" w:hAnsi="Tahoma" w:cs="Tahoma"/>
          <w:sz w:val="24"/>
          <w:szCs w:val="24"/>
          <w:lang w:val="es-CO"/>
        </w:rPr>
        <w:t>C.S.T</w:t>
      </w:r>
      <w:proofErr w:type="spellEnd"/>
      <w:r w:rsidRPr="00D16DE7">
        <w:rPr>
          <w:rFonts w:ascii="Tahoma" w:hAnsi="Tahoma" w:cs="Tahoma"/>
          <w:sz w:val="24"/>
          <w:szCs w:val="24"/>
          <w:lang w:val="es-CO"/>
        </w:rPr>
        <w:t>.</w:t>
      </w:r>
      <w:r w:rsidR="004427F1" w:rsidRPr="00D16DE7">
        <w:rPr>
          <w:rFonts w:ascii="Tahoma" w:hAnsi="Tahoma" w:cs="Tahoma"/>
          <w:sz w:val="24"/>
          <w:szCs w:val="24"/>
          <w:lang w:val="es-CO"/>
        </w:rPr>
        <w:t>, e igualmente se les condenó al pago de las costas procesales de ambas, disponiéndose su liquidación por el juzgado de primera instancia.</w:t>
      </w:r>
    </w:p>
    <w:p w:rsidR="00EC171D" w:rsidRPr="00D16DE7" w:rsidRDefault="00EC171D" w:rsidP="00D16DE7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</w:p>
    <w:p w:rsidR="004427F1" w:rsidRPr="00D16DE7" w:rsidRDefault="004427F1" w:rsidP="00D16DE7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D16DE7">
        <w:rPr>
          <w:rFonts w:ascii="Tahoma" w:hAnsi="Tahoma" w:cs="Tahoma"/>
          <w:sz w:val="24"/>
          <w:szCs w:val="24"/>
          <w:lang w:val="es-CO"/>
        </w:rPr>
        <w:tab/>
        <w:t xml:space="preserve">De vuelta </w:t>
      </w:r>
      <w:r w:rsidR="00A30B67" w:rsidRPr="00D16DE7">
        <w:rPr>
          <w:rFonts w:ascii="Tahoma" w:hAnsi="Tahoma" w:cs="Tahoma"/>
          <w:sz w:val="24"/>
          <w:szCs w:val="24"/>
          <w:lang w:val="es-CO"/>
        </w:rPr>
        <w:t xml:space="preserve">el expediente </w:t>
      </w:r>
      <w:r w:rsidR="00EC171D" w:rsidRPr="00D16DE7">
        <w:rPr>
          <w:rFonts w:ascii="Tahoma" w:hAnsi="Tahoma" w:cs="Tahoma"/>
          <w:sz w:val="24"/>
          <w:szCs w:val="24"/>
          <w:lang w:val="es-CO"/>
        </w:rPr>
        <w:t xml:space="preserve">al juzgado de origen, la </w:t>
      </w:r>
      <w:r w:rsidR="00EC171D" w:rsidRPr="00D16DE7">
        <w:rPr>
          <w:rFonts w:ascii="Arial Narrow" w:hAnsi="Arial Narrow" w:cs="Tahoma"/>
          <w:i/>
          <w:sz w:val="24"/>
          <w:szCs w:val="24"/>
          <w:lang w:val="es-CO"/>
        </w:rPr>
        <w:t>a-quo</w:t>
      </w:r>
      <w:r w:rsidR="00EC171D" w:rsidRPr="00D16DE7">
        <w:rPr>
          <w:rFonts w:ascii="Tahoma" w:hAnsi="Tahoma" w:cs="Tahoma"/>
          <w:sz w:val="24"/>
          <w:szCs w:val="24"/>
          <w:lang w:val="es-CO"/>
        </w:rPr>
        <w:t xml:space="preserve"> </w:t>
      </w:r>
      <w:r w:rsidRPr="00D16DE7">
        <w:rPr>
          <w:rFonts w:ascii="Tahoma" w:hAnsi="Tahoma" w:cs="Tahoma"/>
          <w:sz w:val="24"/>
          <w:szCs w:val="24"/>
          <w:lang w:val="es-CO"/>
        </w:rPr>
        <w:t>fijó las agencias en derecho de segunda instancia en la suma de $1.000.000 de pesos y aprobó la liquidación de costas en la suma de $1.077.000, adicionando a las agencias la suma de $77.000 por concepto de expensas o gastos del proceso (</w:t>
      </w:r>
      <w:proofErr w:type="spellStart"/>
      <w:r w:rsidRPr="00D16DE7">
        <w:rPr>
          <w:rFonts w:ascii="Tahoma" w:hAnsi="Tahoma" w:cs="Tahoma"/>
          <w:sz w:val="24"/>
          <w:szCs w:val="24"/>
          <w:lang w:val="es-CO"/>
        </w:rPr>
        <w:t>Fl</w:t>
      </w:r>
      <w:proofErr w:type="spellEnd"/>
      <w:r w:rsidRPr="00D16DE7">
        <w:rPr>
          <w:rFonts w:ascii="Tahoma" w:hAnsi="Tahoma" w:cs="Tahoma"/>
          <w:sz w:val="24"/>
          <w:szCs w:val="24"/>
          <w:lang w:val="es-CO"/>
        </w:rPr>
        <w:t>. 723).</w:t>
      </w:r>
    </w:p>
    <w:p w:rsidR="004427F1" w:rsidRPr="00D16DE7" w:rsidRDefault="004427F1" w:rsidP="00D16DE7">
      <w:pPr>
        <w:spacing w:line="288" w:lineRule="auto"/>
        <w:jc w:val="both"/>
        <w:rPr>
          <w:rFonts w:ascii="Tahoma" w:hAnsi="Tahoma" w:cs="Tahoma"/>
          <w:sz w:val="24"/>
          <w:szCs w:val="24"/>
          <w:lang w:val="es-CO"/>
        </w:rPr>
      </w:pPr>
    </w:p>
    <w:p w:rsidR="004427F1" w:rsidRPr="00D16DE7" w:rsidRDefault="004427F1" w:rsidP="00D16DE7">
      <w:pPr>
        <w:spacing w:line="288" w:lineRule="auto"/>
        <w:jc w:val="center"/>
        <w:rPr>
          <w:rFonts w:ascii="Tahoma" w:hAnsi="Tahoma" w:cs="Tahoma"/>
          <w:b/>
          <w:sz w:val="24"/>
          <w:szCs w:val="24"/>
          <w:lang w:val="es-CO"/>
        </w:rPr>
      </w:pPr>
      <w:r w:rsidRPr="00D16DE7">
        <w:rPr>
          <w:rFonts w:ascii="Tahoma" w:hAnsi="Tahoma" w:cs="Tahoma"/>
          <w:b/>
          <w:sz w:val="24"/>
          <w:szCs w:val="24"/>
          <w:lang w:val="es-CO"/>
        </w:rPr>
        <w:t>II - RECURSO DE APELACIÓN</w:t>
      </w:r>
    </w:p>
    <w:p w:rsidR="004427F1" w:rsidRPr="00D16DE7" w:rsidRDefault="004427F1" w:rsidP="00D16DE7">
      <w:pPr>
        <w:spacing w:line="288" w:lineRule="auto"/>
        <w:jc w:val="center"/>
        <w:rPr>
          <w:rFonts w:ascii="Tahoma" w:hAnsi="Tahoma" w:cs="Tahoma"/>
          <w:b/>
          <w:sz w:val="24"/>
          <w:szCs w:val="24"/>
          <w:lang w:val="es-CO"/>
        </w:rPr>
      </w:pPr>
    </w:p>
    <w:p w:rsidR="00990CE4" w:rsidRPr="00D16DE7" w:rsidRDefault="004E6192" w:rsidP="00D16DE7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  <w:r w:rsidRPr="00D16DE7">
        <w:rPr>
          <w:rFonts w:ascii="Tahoma" w:hAnsi="Tahoma" w:cs="Tahoma"/>
          <w:sz w:val="24"/>
          <w:szCs w:val="24"/>
          <w:lang w:val="es-CO"/>
        </w:rPr>
        <w:t>Contra la anterior decisión interpuso recurso de reposición y en subsidio apelación el apoderado judicial de la parte actora, manifestando, en síntesis,</w:t>
      </w:r>
      <w:r w:rsidR="00990CE4" w:rsidRPr="00D16DE7">
        <w:rPr>
          <w:rFonts w:ascii="Tahoma" w:hAnsi="Tahoma" w:cs="Tahoma"/>
          <w:sz w:val="24"/>
          <w:szCs w:val="24"/>
          <w:lang w:val="es-CO"/>
        </w:rPr>
        <w:t xml:space="preserve"> que la jueza de primera instancia no presentó justificación alguna para fijar las agencias en derecho en la suma de $1.000.000, y ante tal falta de motivación</w:t>
      </w:r>
      <w:r w:rsidR="00755104" w:rsidRPr="00D16DE7">
        <w:rPr>
          <w:rFonts w:ascii="Tahoma" w:hAnsi="Tahoma" w:cs="Tahoma"/>
          <w:sz w:val="24"/>
          <w:szCs w:val="24"/>
          <w:lang w:val="es-CO"/>
        </w:rPr>
        <w:t xml:space="preserve"> de la decisión</w:t>
      </w:r>
      <w:r w:rsidR="00B8267C" w:rsidRPr="00D16DE7">
        <w:rPr>
          <w:rFonts w:ascii="Tahoma" w:hAnsi="Tahoma" w:cs="Tahoma"/>
          <w:sz w:val="24"/>
          <w:szCs w:val="24"/>
          <w:lang w:val="es-CO"/>
        </w:rPr>
        <w:t>,</w:t>
      </w:r>
      <w:r w:rsidR="00755104" w:rsidRPr="00D16DE7">
        <w:rPr>
          <w:rFonts w:ascii="Tahoma" w:hAnsi="Tahoma" w:cs="Tahoma"/>
          <w:sz w:val="24"/>
          <w:szCs w:val="24"/>
          <w:lang w:val="es-CO"/>
        </w:rPr>
        <w:t xml:space="preserve"> se configura una arbitrariedad</w:t>
      </w:r>
      <w:r w:rsidR="00990CE4" w:rsidRPr="00D16DE7">
        <w:rPr>
          <w:rFonts w:ascii="Tahoma" w:hAnsi="Tahoma" w:cs="Tahoma"/>
          <w:sz w:val="24"/>
          <w:szCs w:val="24"/>
          <w:lang w:val="es-CO"/>
        </w:rPr>
        <w:t xml:space="preserve"> que debe ser corregida</w:t>
      </w:r>
      <w:r w:rsidR="00B8267C" w:rsidRPr="00D16DE7">
        <w:rPr>
          <w:rFonts w:ascii="Tahoma" w:hAnsi="Tahoma" w:cs="Tahoma"/>
          <w:sz w:val="24"/>
          <w:szCs w:val="24"/>
          <w:lang w:val="es-CO"/>
        </w:rPr>
        <w:t xml:space="preserve"> en derecho</w:t>
      </w:r>
      <w:r w:rsidR="00990CE4" w:rsidRPr="00D16DE7">
        <w:rPr>
          <w:rFonts w:ascii="Tahoma" w:hAnsi="Tahoma" w:cs="Tahoma"/>
          <w:sz w:val="24"/>
          <w:szCs w:val="24"/>
          <w:lang w:val="es-CO"/>
        </w:rPr>
        <w:t xml:space="preserve"> por el juzgador de segunda instancia. </w:t>
      </w:r>
    </w:p>
    <w:p w:rsidR="00DD459C" w:rsidRPr="00D16DE7" w:rsidRDefault="00DD459C" w:rsidP="00D16DE7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  <w:lang w:val="es-CO"/>
        </w:rPr>
      </w:pPr>
    </w:p>
    <w:p w:rsidR="00B8267C" w:rsidRPr="00D16DE7" w:rsidRDefault="00990CE4" w:rsidP="00D16DE7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16DE7">
        <w:rPr>
          <w:rFonts w:ascii="Tahoma" w:hAnsi="Tahoma" w:cs="Tahoma"/>
          <w:sz w:val="24"/>
          <w:szCs w:val="24"/>
          <w:lang w:val="es-CO"/>
        </w:rPr>
        <w:t>Indica, además, que la cuantía fijada en segunda instancia por concepto de costas procesales es mucho menor a la merecida, de conformidad con la norma que rige la fijación de las agencias en derecho, como quiera que en el Acuerdo 1887</w:t>
      </w:r>
      <w:r w:rsidR="00B8267C" w:rsidRPr="00D16DE7">
        <w:rPr>
          <w:rFonts w:ascii="Tahoma" w:hAnsi="Tahoma" w:cs="Tahoma"/>
          <w:sz w:val="24"/>
          <w:szCs w:val="24"/>
          <w:lang w:val="es-CO"/>
        </w:rPr>
        <w:t xml:space="preserve"> de 2003</w:t>
      </w:r>
      <w:r w:rsidRPr="00D16DE7">
        <w:rPr>
          <w:rFonts w:ascii="Tahoma" w:hAnsi="Tahoma" w:cs="Tahoma"/>
          <w:sz w:val="24"/>
          <w:szCs w:val="24"/>
        </w:rPr>
        <w:t xml:space="preserve"> </w:t>
      </w:r>
      <w:r w:rsidRPr="00D16DE7">
        <w:rPr>
          <w:rFonts w:ascii="Arial Narrow" w:hAnsi="Arial Narrow" w:cs="Tahoma"/>
          <w:i/>
          <w:sz w:val="24"/>
          <w:szCs w:val="24"/>
        </w:rPr>
        <w:t>“por el cual la Sala Administrativa del Consejo Superior de la Judicatura establece las</w:t>
      </w:r>
      <w:r w:rsidR="00B8267C" w:rsidRPr="00D16DE7">
        <w:rPr>
          <w:rFonts w:ascii="Arial Narrow" w:hAnsi="Arial Narrow" w:cs="Tahoma"/>
          <w:i/>
          <w:sz w:val="24"/>
          <w:szCs w:val="24"/>
        </w:rPr>
        <w:t xml:space="preserve"> tarifas de agencias en derecho”</w:t>
      </w:r>
      <w:r w:rsidR="00B8267C" w:rsidRPr="00D16DE7">
        <w:rPr>
          <w:rFonts w:ascii="Tahoma" w:hAnsi="Tahoma" w:cs="Tahoma"/>
          <w:sz w:val="24"/>
          <w:szCs w:val="24"/>
        </w:rPr>
        <w:t xml:space="preserve"> </w:t>
      </w:r>
      <w:r w:rsidRPr="00D16DE7">
        <w:rPr>
          <w:rFonts w:ascii="Tahoma" w:hAnsi="Tahoma" w:cs="Tahoma"/>
          <w:sz w:val="24"/>
          <w:szCs w:val="24"/>
        </w:rPr>
        <w:t>en su numeral 2.1.1.,</w:t>
      </w:r>
      <w:r w:rsidR="00755104" w:rsidRPr="00D16DE7">
        <w:rPr>
          <w:rFonts w:ascii="Tahoma" w:hAnsi="Tahoma" w:cs="Tahoma"/>
          <w:sz w:val="24"/>
          <w:szCs w:val="24"/>
        </w:rPr>
        <w:t xml:space="preserve"> </w:t>
      </w:r>
      <w:r w:rsidR="00B8267C" w:rsidRPr="00D16DE7">
        <w:rPr>
          <w:rFonts w:ascii="Tahoma" w:hAnsi="Tahoma" w:cs="Tahoma"/>
          <w:sz w:val="24"/>
          <w:szCs w:val="24"/>
        </w:rPr>
        <w:t>establece</w:t>
      </w:r>
      <w:r w:rsidRPr="00D16DE7">
        <w:rPr>
          <w:rFonts w:ascii="Tahoma" w:hAnsi="Tahoma" w:cs="Tahoma"/>
          <w:sz w:val="24"/>
          <w:szCs w:val="24"/>
        </w:rPr>
        <w:t xml:space="preserve"> a favor del trabajador</w:t>
      </w:r>
      <w:r w:rsidR="00B8267C" w:rsidRPr="00D16DE7">
        <w:rPr>
          <w:rFonts w:ascii="Tahoma" w:hAnsi="Tahoma" w:cs="Tahoma"/>
          <w:sz w:val="24"/>
          <w:szCs w:val="24"/>
        </w:rPr>
        <w:t xml:space="preserve">, en procesos </w:t>
      </w:r>
      <w:r w:rsidRPr="00D16DE7">
        <w:rPr>
          <w:rFonts w:ascii="Tahoma" w:hAnsi="Tahoma" w:cs="Tahoma"/>
          <w:sz w:val="24"/>
          <w:szCs w:val="24"/>
        </w:rPr>
        <w:t>laboral</w:t>
      </w:r>
      <w:r w:rsidR="00B8267C" w:rsidRPr="00D16DE7">
        <w:rPr>
          <w:rFonts w:ascii="Tahoma" w:hAnsi="Tahoma" w:cs="Tahoma"/>
          <w:sz w:val="24"/>
          <w:szCs w:val="24"/>
        </w:rPr>
        <w:t>es,</w:t>
      </w:r>
      <w:r w:rsidRPr="00D16DE7">
        <w:rPr>
          <w:rFonts w:ascii="Tahoma" w:hAnsi="Tahoma" w:cs="Tahoma"/>
          <w:sz w:val="24"/>
          <w:szCs w:val="24"/>
        </w:rPr>
        <w:t xml:space="preserve"> </w:t>
      </w:r>
      <w:r w:rsidRPr="00D16DE7">
        <w:rPr>
          <w:rFonts w:ascii="Arial Narrow" w:hAnsi="Arial Narrow" w:cs="Tahoma"/>
          <w:i/>
          <w:sz w:val="24"/>
          <w:szCs w:val="24"/>
        </w:rPr>
        <w:t>“hasta</w:t>
      </w:r>
      <w:r w:rsidR="00B8267C" w:rsidRPr="00D16DE7">
        <w:rPr>
          <w:rFonts w:ascii="Arial Narrow" w:hAnsi="Arial Narrow" w:cs="Tahoma"/>
          <w:i/>
          <w:sz w:val="24"/>
          <w:szCs w:val="24"/>
        </w:rPr>
        <w:t xml:space="preserve"> el</w:t>
      </w:r>
      <w:r w:rsidRPr="00D16DE7">
        <w:rPr>
          <w:rFonts w:ascii="Arial Narrow" w:hAnsi="Arial Narrow" w:cs="Tahoma"/>
          <w:i/>
          <w:sz w:val="24"/>
          <w:szCs w:val="24"/>
        </w:rPr>
        <w:t xml:space="preserve"> 25% del valor de las pretensiones r</w:t>
      </w:r>
      <w:r w:rsidR="00B8267C" w:rsidRPr="00D16DE7">
        <w:rPr>
          <w:rFonts w:ascii="Arial Narrow" w:hAnsi="Arial Narrow" w:cs="Tahoma"/>
          <w:i/>
          <w:sz w:val="24"/>
          <w:szCs w:val="24"/>
        </w:rPr>
        <w:t>econocidas en la sentencia...”</w:t>
      </w:r>
      <w:r w:rsidR="00B8267C" w:rsidRPr="00D16DE7">
        <w:rPr>
          <w:rFonts w:ascii="Tahoma" w:hAnsi="Tahoma" w:cs="Tahoma"/>
          <w:sz w:val="24"/>
          <w:szCs w:val="24"/>
        </w:rPr>
        <w:t xml:space="preserve"> y</w:t>
      </w:r>
      <w:r w:rsidR="00C73CE2" w:rsidRPr="00D16DE7">
        <w:rPr>
          <w:rFonts w:ascii="Tahoma" w:hAnsi="Tahoma" w:cs="Tahoma"/>
          <w:sz w:val="24"/>
          <w:szCs w:val="24"/>
        </w:rPr>
        <w:t xml:space="preserve"> en 2º</w:t>
      </w:r>
      <w:r w:rsidRPr="00D16DE7">
        <w:rPr>
          <w:rFonts w:ascii="Tahoma" w:hAnsi="Tahoma" w:cs="Tahoma"/>
          <w:sz w:val="24"/>
          <w:szCs w:val="24"/>
        </w:rPr>
        <w:t xml:space="preserve"> instancia </w:t>
      </w:r>
      <w:r w:rsidRPr="00D16DE7">
        <w:rPr>
          <w:rFonts w:ascii="Arial Narrow" w:hAnsi="Arial Narrow" w:cs="Tahoma"/>
          <w:i/>
          <w:sz w:val="24"/>
          <w:szCs w:val="24"/>
        </w:rPr>
        <w:t>“hasta el 5% del valor de las pretensiones confirmadas o revocadas total o parcialmente”</w:t>
      </w:r>
      <w:r w:rsidR="00B8267C" w:rsidRPr="00D16DE7">
        <w:rPr>
          <w:rFonts w:ascii="Arial Narrow" w:hAnsi="Arial Narrow" w:cs="Tahoma"/>
          <w:i/>
          <w:sz w:val="24"/>
          <w:szCs w:val="24"/>
        </w:rPr>
        <w:t xml:space="preserve"> </w:t>
      </w:r>
      <w:r w:rsidR="00B8267C" w:rsidRPr="00D16DE7">
        <w:rPr>
          <w:rFonts w:ascii="Tahoma" w:hAnsi="Tahoma" w:cs="Tahoma"/>
          <w:sz w:val="24"/>
          <w:szCs w:val="24"/>
        </w:rPr>
        <w:t>y la jueza</w:t>
      </w:r>
      <w:r w:rsidR="00755104" w:rsidRPr="00D16DE7">
        <w:rPr>
          <w:rFonts w:ascii="Tahoma" w:hAnsi="Tahoma" w:cs="Tahoma"/>
          <w:sz w:val="24"/>
          <w:szCs w:val="24"/>
        </w:rPr>
        <w:t xml:space="preserve"> en este caso</w:t>
      </w:r>
      <w:r w:rsidR="00B8267C" w:rsidRPr="00D16DE7">
        <w:rPr>
          <w:rFonts w:ascii="Tahoma" w:hAnsi="Tahoma" w:cs="Tahoma"/>
          <w:sz w:val="24"/>
          <w:szCs w:val="24"/>
        </w:rPr>
        <w:t xml:space="preserve"> se limitó a fijar el </w:t>
      </w:r>
      <w:r w:rsidR="00C73CE2" w:rsidRPr="00D16DE7">
        <w:rPr>
          <w:rFonts w:ascii="Tahoma" w:hAnsi="Tahoma" w:cs="Tahoma"/>
          <w:sz w:val="24"/>
          <w:szCs w:val="24"/>
        </w:rPr>
        <w:t>valor de las agencias de 2º</w:t>
      </w:r>
      <w:r w:rsidR="00B8267C" w:rsidRPr="00D16DE7">
        <w:rPr>
          <w:rFonts w:ascii="Tahoma" w:hAnsi="Tahoma" w:cs="Tahoma"/>
          <w:sz w:val="24"/>
          <w:szCs w:val="24"/>
        </w:rPr>
        <w:t xml:space="preserve"> instancia, sin hacer pronunciamiento alguno frente a las</w:t>
      </w:r>
      <w:r w:rsidR="00755104" w:rsidRPr="00D16DE7">
        <w:rPr>
          <w:rFonts w:ascii="Tahoma" w:hAnsi="Tahoma" w:cs="Tahoma"/>
          <w:sz w:val="24"/>
          <w:szCs w:val="24"/>
        </w:rPr>
        <w:t xml:space="preserve"> agencias</w:t>
      </w:r>
      <w:r w:rsidR="00B8267C" w:rsidRPr="00D16DE7">
        <w:rPr>
          <w:rFonts w:ascii="Tahoma" w:hAnsi="Tahoma" w:cs="Tahoma"/>
          <w:sz w:val="24"/>
          <w:szCs w:val="24"/>
        </w:rPr>
        <w:t xml:space="preserve"> obtenidas en primera instancia.</w:t>
      </w:r>
    </w:p>
    <w:p w:rsidR="00B8267C" w:rsidRPr="00D16DE7" w:rsidRDefault="00B8267C" w:rsidP="00D16DE7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990CE4" w:rsidRPr="00D16DE7" w:rsidRDefault="005C63DA" w:rsidP="00D16DE7">
      <w:pPr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  <w:r w:rsidRPr="00D16DE7">
        <w:rPr>
          <w:rFonts w:ascii="Tahoma" w:hAnsi="Tahoma" w:cs="Tahoma"/>
          <w:b/>
          <w:sz w:val="24"/>
          <w:szCs w:val="24"/>
        </w:rPr>
        <w:t xml:space="preserve">III - </w:t>
      </w:r>
      <w:r w:rsidR="00B8267C" w:rsidRPr="00D16DE7">
        <w:rPr>
          <w:rFonts w:ascii="Tahoma" w:hAnsi="Tahoma" w:cs="Tahoma"/>
          <w:b/>
          <w:sz w:val="24"/>
          <w:szCs w:val="24"/>
        </w:rPr>
        <w:t>CONSIDERACIONES</w:t>
      </w:r>
    </w:p>
    <w:p w:rsidR="00990CE4" w:rsidRPr="00D16DE7" w:rsidRDefault="00990CE4" w:rsidP="00D16DE7">
      <w:pPr>
        <w:spacing w:line="288" w:lineRule="auto"/>
        <w:rPr>
          <w:rFonts w:ascii="Tahoma" w:hAnsi="Tahoma" w:cs="Tahoma"/>
          <w:sz w:val="24"/>
          <w:szCs w:val="24"/>
        </w:rPr>
      </w:pPr>
    </w:p>
    <w:p w:rsidR="00755104" w:rsidRPr="00D16DE7" w:rsidRDefault="00755104" w:rsidP="00D16DE7">
      <w:pPr>
        <w:spacing w:line="288" w:lineRule="auto"/>
        <w:jc w:val="both"/>
        <w:rPr>
          <w:rFonts w:ascii="Tahoma" w:hAnsi="Tahoma" w:cs="Tahoma"/>
          <w:sz w:val="24"/>
          <w:szCs w:val="24"/>
        </w:rPr>
      </w:pPr>
      <w:r w:rsidRPr="00D16DE7">
        <w:rPr>
          <w:rFonts w:ascii="Tahoma" w:hAnsi="Tahoma" w:cs="Tahoma"/>
          <w:sz w:val="24"/>
          <w:szCs w:val="24"/>
        </w:rPr>
        <w:tab/>
        <w:t xml:space="preserve">Sea lo primero advertir que la decisión cuestionada por el actor es </w:t>
      </w:r>
      <w:r w:rsidR="002E7E50" w:rsidRPr="00D16DE7">
        <w:rPr>
          <w:rFonts w:ascii="Tahoma" w:hAnsi="Tahoma" w:cs="Tahoma"/>
          <w:sz w:val="24"/>
          <w:szCs w:val="24"/>
        </w:rPr>
        <w:t>susceptible</w:t>
      </w:r>
      <w:r w:rsidRPr="00D16DE7">
        <w:rPr>
          <w:rFonts w:ascii="Tahoma" w:hAnsi="Tahoma" w:cs="Tahoma"/>
          <w:sz w:val="24"/>
          <w:szCs w:val="24"/>
        </w:rPr>
        <w:t xml:space="preserve"> de</w:t>
      </w:r>
      <w:r w:rsidR="002E7E50" w:rsidRPr="00D16DE7">
        <w:rPr>
          <w:rFonts w:ascii="Tahoma" w:hAnsi="Tahoma" w:cs="Tahoma"/>
          <w:sz w:val="24"/>
          <w:szCs w:val="24"/>
        </w:rPr>
        <w:t>l</w:t>
      </w:r>
      <w:r w:rsidRPr="00D16DE7">
        <w:rPr>
          <w:rFonts w:ascii="Tahoma" w:hAnsi="Tahoma" w:cs="Tahoma"/>
          <w:sz w:val="24"/>
          <w:szCs w:val="24"/>
        </w:rPr>
        <w:t xml:space="preserve"> recurso </w:t>
      </w:r>
      <w:r w:rsidR="005C63DA" w:rsidRPr="00D16DE7">
        <w:rPr>
          <w:rFonts w:ascii="Tahoma" w:hAnsi="Tahoma" w:cs="Tahoma"/>
          <w:sz w:val="24"/>
          <w:szCs w:val="24"/>
        </w:rPr>
        <w:t>impetrado</w:t>
      </w:r>
      <w:r w:rsidR="002E7E50" w:rsidRPr="00D16DE7">
        <w:rPr>
          <w:rFonts w:ascii="Tahoma" w:hAnsi="Tahoma" w:cs="Tahoma"/>
          <w:sz w:val="24"/>
          <w:szCs w:val="24"/>
        </w:rPr>
        <w:t>,</w:t>
      </w:r>
      <w:r w:rsidRPr="00D16DE7">
        <w:rPr>
          <w:rFonts w:ascii="Tahoma" w:hAnsi="Tahoma" w:cs="Tahoma"/>
          <w:sz w:val="24"/>
          <w:szCs w:val="24"/>
        </w:rPr>
        <w:t xml:space="preserve"> por así </w:t>
      </w:r>
      <w:r w:rsidR="00195A80" w:rsidRPr="00D16DE7">
        <w:rPr>
          <w:rFonts w:ascii="Tahoma" w:hAnsi="Tahoma" w:cs="Tahoma"/>
          <w:sz w:val="24"/>
          <w:szCs w:val="24"/>
        </w:rPr>
        <w:t>disponerse en el</w:t>
      </w:r>
      <w:r w:rsidRPr="00D16DE7">
        <w:rPr>
          <w:rFonts w:ascii="Tahoma" w:hAnsi="Tahoma" w:cs="Tahoma"/>
          <w:sz w:val="24"/>
          <w:szCs w:val="24"/>
        </w:rPr>
        <w:t xml:space="preserve"> numeral</w:t>
      </w:r>
      <w:r w:rsidR="00C73CE2" w:rsidRPr="00D16DE7">
        <w:rPr>
          <w:rFonts w:ascii="Tahoma" w:hAnsi="Tahoma" w:cs="Tahoma"/>
          <w:sz w:val="24"/>
          <w:szCs w:val="24"/>
        </w:rPr>
        <w:t xml:space="preserve"> 5º art.</w:t>
      </w:r>
      <w:r w:rsidR="002E7E50" w:rsidRPr="00D16DE7">
        <w:rPr>
          <w:rFonts w:ascii="Tahoma" w:hAnsi="Tahoma" w:cs="Tahoma"/>
          <w:sz w:val="24"/>
          <w:szCs w:val="24"/>
        </w:rPr>
        <w:t xml:space="preserve"> 366 del C.G.P.;</w:t>
      </w:r>
      <w:r w:rsidRPr="00D16DE7">
        <w:rPr>
          <w:rFonts w:ascii="Tahoma" w:hAnsi="Tahoma" w:cs="Tahoma"/>
          <w:sz w:val="24"/>
          <w:szCs w:val="24"/>
        </w:rPr>
        <w:t xml:space="preserve"> norma</w:t>
      </w:r>
      <w:r w:rsidR="00306B88" w:rsidRPr="00D16DE7">
        <w:rPr>
          <w:rFonts w:ascii="Tahoma" w:hAnsi="Tahoma" w:cs="Tahoma"/>
          <w:sz w:val="24"/>
          <w:szCs w:val="24"/>
        </w:rPr>
        <w:t xml:space="preserve"> que</w:t>
      </w:r>
      <w:r w:rsidRPr="00D16DE7">
        <w:rPr>
          <w:rFonts w:ascii="Tahoma" w:hAnsi="Tahoma" w:cs="Tahoma"/>
          <w:sz w:val="24"/>
          <w:szCs w:val="24"/>
        </w:rPr>
        <w:t xml:space="preserve"> </w:t>
      </w:r>
      <w:r w:rsidR="005C63DA" w:rsidRPr="00D16DE7">
        <w:rPr>
          <w:rFonts w:ascii="Tahoma" w:hAnsi="Tahoma" w:cs="Tahoma"/>
          <w:sz w:val="24"/>
          <w:szCs w:val="24"/>
        </w:rPr>
        <w:t xml:space="preserve">al tenor </w:t>
      </w:r>
      <w:r w:rsidR="002E7E50" w:rsidRPr="00D16DE7">
        <w:rPr>
          <w:rFonts w:ascii="Tahoma" w:hAnsi="Tahoma" w:cs="Tahoma"/>
          <w:sz w:val="24"/>
          <w:szCs w:val="24"/>
        </w:rPr>
        <w:t>dispone</w:t>
      </w:r>
      <w:r w:rsidRPr="00D16DE7">
        <w:rPr>
          <w:rFonts w:ascii="Tahoma" w:hAnsi="Tahoma" w:cs="Tahoma"/>
          <w:sz w:val="24"/>
          <w:szCs w:val="24"/>
        </w:rPr>
        <w:t xml:space="preserve">: </w:t>
      </w:r>
      <w:r w:rsidRPr="00D16DE7">
        <w:rPr>
          <w:rFonts w:ascii="Arial Narrow" w:hAnsi="Arial Narrow" w:cs="Tahoma"/>
          <w:i/>
          <w:sz w:val="24"/>
          <w:szCs w:val="24"/>
        </w:rPr>
        <w:t>“la liquidación de las expensas y el monto de las agencias en derecho sólo podrán controvertirse mediante los recursos de reposición y apelación contra el auto que apruebe la liquidación de costas”</w:t>
      </w:r>
      <w:r w:rsidR="005C63DA" w:rsidRPr="00D16DE7">
        <w:rPr>
          <w:rFonts w:ascii="Arial Narrow" w:hAnsi="Arial Narrow" w:cs="Tahoma"/>
          <w:i/>
          <w:sz w:val="24"/>
          <w:szCs w:val="24"/>
        </w:rPr>
        <w:t xml:space="preserve">; </w:t>
      </w:r>
      <w:r w:rsidR="005C63DA" w:rsidRPr="00D16DE7">
        <w:rPr>
          <w:rFonts w:ascii="Tahoma" w:hAnsi="Tahoma" w:cs="Tahoma"/>
          <w:sz w:val="24"/>
          <w:szCs w:val="24"/>
        </w:rPr>
        <w:t>Ello así,</w:t>
      </w:r>
      <w:r w:rsidRPr="00D16DE7">
        <w:rPr>
          <w:rFonts w:ascii="Tahoma" w:hAnsi="Tahoma" w:cs="Tahoma"/>
          <w:sz w:val="24"/>
          <w:szCs w:val="24"/>
        </w:rPr>
        <w:t xml:space="preserve"> </w:t>
      </w:r>
      <w:r w:rsidR="00F9468B" w:rsidRPr="00D16DE7">
        <w:rPr>
          <w:rFonts w:ascii="Tahoma" w:hAnsi="Tahoma" w:cs="Tahoma"/>
          <w:sz w:val="24"/>
          <w:szCs w:val="24"/>
        </w:rPr>
        <w:t>es viable avocar</w:t>
      </w:r>
      <w:r w:rsidRPr="00D16DE7">
        <w:rPr>
          <w:rFonts w:ascii="Tahoma" w:hAnsi="Tahoma" w:cs="Tahoma"/>
          <w:sz w:val="24"/>
          <w:szCs w:val="24"/>
        </w:rPr>
        <w:t xml:space="preserve"> en sede de</w:t>
      </w:r>
      <w:r w:rsidR="00C73CE2" w:rsidRPr="00D16DE7">
        <w:rPr>
          <w:rFonts w:ascii="Tahoma" w:hAnsi="Tahoma" w:cs="Tahoma"/>
          <w:sz w:val="24"/>
          <w:szCs w:val="24"/>
        </w:rPr>
        <w:t xml:space="preserve"> 2º</w:t>
      </w:r>
      <w:r w:rsidR="00F9468B" w:rsidRPr="00D16DE7">
        <w:rPr>
          <w:rFonts w:ascii="Tahoma" w:hAnsi="Tahoma" w:cs="Tahoma"/>
          <w:sz w:val="24"/>
          <w:szCs w:val="24"/>
        </w:rPr>
        <w:t xml:space="preserve"> grado </w:t>
      </w:r>
      <w:r w:rsidRPr="00D16DE7">
        <w:rPr>
          <w:rFonts w:ascii="Tahoma" w:hAnsi="Tahoma" w:cs="Tahoma"/>
          <w:sz w:val="24"/>
          <w:szCs w:val="24"/>
        </w:rPr>
        <w:t xml:space="preserve">el recurso </w:t>
      </w:r>
      <w:r w:rsidR="005C63DA" w:rsidRPr="00D16DE7">
        <w:rPr>
          <w:rFonts w:ascii="Tahoma" w:hAnsi="Tahoma" w:cs="Tahoma"/>
          <w:sz w:val="24"/>
          <w:szCs w:val="24"/>
        </w:rPr>
        <w:t>de apelación propuesto</w:t>
      </w:r>
      <w:r w:rsidRPr="00D16DE7">
        <w:rPr>
          <w:rFonts w:ascii="Tahoma" w:hAnsi="Tahoma" w:cs="Tahoma"/>
          <w:sz w:val="24"/>
          <w:szCs w:val="24"/>
        </w:rPr>
        <w:t xml:space="preserve"> por el actor</w:t>
      </w:r>
      <w:r w:rsidR="005C63DA" w:rsidRPr="00D16DE7">
        <w:rPr>
          <w:rFonts w:ascii="Tahoma" w:hAnsi="Tahoma" w:cs="Tahoma"/>
          <w:sz w:val="24"/>
          <w:szCs w:val="24"/>
        </w:rPr>
        <w:t xml:space="preserve"> contra el auto </w:t>
      </w:r>
      <w:r w:rsidR="00195A80" w:rsidRPr="00D16DE7">
        <w:rPr>
          <w:rFonts w:ascii="Tahoma" w:hAnsi="Tahoma" w:cs="Tahoma"/>
          <w:sz w:val="24"/>
          <w:szCs w:val="24"/>
        </w:rPr>
        <w:t xml:space="preserve">que </w:t>
      </w:r>
      <w:r w:rsidR="005C63DA" w:rsidRPr="00D16DE7">
        <w:rPr>
          <w:rFonts w:ascii="Tahoma" w:hAnsi="Tahoma" w:cs="Tahoma"/>
          <w:sz w:val="24"/>
          <w:szCs w:val="24"/>
        </w:rPr>
        <w:t>aprobó la liquidación de costas en primera instancia</w:t>
      </w:r>
      <w:r w:rsidRPr="00D16DE7">
        <w:rPr>
          <w:rFonts w:ascii="Tahoma" w:hAnsi="Tahoma" w:cs="Tahoma"/>
          <w:sz w:val="24"/>
          <w:szCs w:val="24"/>
        </w:rPr>
        <w:t>.</w:t>
      </w:r>
    </w:p>
    <w:p w:rsidR="005C63DA" w:rsidRPr="00D16DE7" w:rsidRDefault="005C63DA" w:rsidP="00D16DE7">
      <w:pPr>
        <w:spacing w:line="288" w:lineRule="auto"/>
        <w:jc w:val="both"/>
        <w:rPr>
          <w:rFonts w:ascii="Tahoma" w:hAnsi="Tahoma" w:cs="Tahoma"/>
          <w:sz w:val="24"/>
          <w:szCs w:val="24"/>
        </w:rPr>
      </w:pPr>
    </w:p>
    <w:p w:rsidR="002045B0" w:rsidRPr="00D16DE7" w:rsidRDefault="007A4CEC" w:rsidP="00D16DE7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16DE7">
        <w:rPr>
          <w:rFonts w:ascii="Tahoma" w:hAnsi="Tahoma" w:cs="Tahoma"/>
          <w:sz w:val="24"/>
          <w:szCs w:val="24"/>
        </w:rPr>
        <w:lastRenderedPageBreak/>
        <w:t xml:space="preserve">Resuelto lo anterior, </w:t>
      </w:r>
      <w:r w:rsidR="002045B0" w:rsidRPr="00D16DE7">
        <w:rPr>
          <w:rFonts w:ascii="Tahoma" w:hAnsi="Tahoma" w:cs="Tahoma"/>
          <w:sz w:val="24"/>
          <w:szCs w:val="24"/>
        </w:rPr>
        <w:t>se tiene</w:t>
      </w:r>
      <w:r w:rsidR="00195A80" w:rsidRPr="00D16DE7">
        <w:rPr>
          <w:rFonts w:ascii="Tahoma" w:hAnsi="Tahoma" w:cs="Tahoma"/>
          <w:sz w:val="24"/>
          <w:szCs w:val="24"/>
        </w:rPr>
        <w:t>,</w:t>
      </w:r>
      <w:r w:rsidR="002045B0" w:rsidRPr="00D16DE7">
        <w:rPr>
          <w:rFonts w:ascii="Tahoma" w:hAnsi="Tahoma" w:cs="Tahoma"/>
          <w:sz w:val="24"/>
          <w:szCs w:val="24"/>
        </w:rPr>
        <w:t xml:space="preserve"> como segunda medida, que en efecto la </w:t>
      </w:r>
      <w:r w:rsidR="002045B0" w:rsidRPr="00D16DE7">
        <w:rPr>
          <w:rFonts w:ascii="Arial Narrow" w:hAnsi="Arial Narrow" w:cs="Tahoma"/>
          <w:i/>
          <w:sz w:val="24"/>
          <w:szCs w:val="24"/>
        </w:rPr>
        <w:t>a-quo</w:t>
      </w:r>
      <w:r w:rsidR="002045B0" w:rsidRPr="00D16DE7">
        <w:rPr>
          <w:rFonts w:ascii="Tahoma" w:hAnsi="Tahoma" w:cs="Tahoma"/>
          <w:sz w:val="24"/>
          <w:szCs w:val="24"/>
        </w:rPr>
        <w:t xml:space="preserve"> omitió fijar y sumar a la liquidación de costas el valor de </w:t>
      </w:r>
      <w:r w:rsidR="00C73CE2" w:rsidRPr="00D16DE7">
        <w:rPr>
          <w:rFonts w:ascii="Tahoma" w:hAnsi="Tahoma" w:cs="Tahoma"/>
          <w:sz w:val="24"/>
          <w:szCs w:val="24"/>
        </w:rPr>
        <w:t>las agencias en derecho de 1º</w:t>
      </w:r>
      <w:r w:rsidR="002045B0" w:rsidRPr="00D16DE7">
        <w:rPr>
          <w:rFonts w:ascii="Tahoma" w:hAnsi="Tahoma" w:cs="Tahoma"/>
          <w:sz w:val="24"/>
          <w:szCs w:val="24"/>
        </w:rPr>
        <w:t xml:space="preserve"> instancia, pues se limitó a fijar un monto, por demás alto, para las agencias en derecho de segunda instancia, que al final fue el único valor sumado a las expensas cuantificadas en la suma de $77.000, para un monto global de $1.077.000 por concepto del total de las costas.</w:t>
      </w:r>
    </w:p>
    <w:p w:rsidR="002045B0" w:rsidRPr="00D16DE7" w:rsidRDefault="002045B0" w:rsidP="00D16DE7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2045B0" w:rsidRPr="00D16DE7" w:rsidRDefault="002045B0" w:rsidP="00D16DE7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16DE7">
        <w:rPr>
          <w:rFonts w:ascii="Tahoma" w:hAnsi="Tahoma" w:cs="Tahoma"/>
          <w:sz w:val="24"/>
          <w:szCs w:val="24"/>
        </w:rPr>
        <w:t>Ante tal omisión, de acuerdo a lo señalado en el artículo 28</w:t>
      </w:r>
      <w:r w:rsidR="00E10E5F" w:rsidRPr="00D16DE7">
        <w:rPr>
          <w:rFonts w:ascii="Tahoma" w:hAnsi="Tahoma" w:cs="Tahoma"/>
          <w:sz w:val="24"/>
          <w:szCs w:val="24"/>
        </w:rPr>
        <w:t>7 del C.G.P., esta Sala procede</w:t>
      </w:r>
      <w:r w:rsidRPr="00D16DE7">
        <w:rPr>
          <w:rFonts w:ascii="Tahoma" w:hAnsi="Tahoma" w:cs="Tahoma"/>
          <w:sz w:val="24"/>
          <w:szCs w:val="24"/>
        </w:rPr>
        <w:t xml:space="preserve"> a complementar la decisión apelada, fijando las agencias en derecho de pri</w:t>
      </w:r>
      <w:r w:rsidR="00195A80" w:rsidRPr="00D16DE7">
        <w:rPr>
          <w:rFonts w:ascii="Tahoma" w:hAnsi="Tahoma" w:cs="Tahoma"/>
          <w:sz w:val="24"/>
          <w:szCs w:val="24"/>
        </w:rPr>
        <w:t>mera instancia en la suma $1.803.543</w:t>
      </w:r>
      <w:r w:rsidRPr="00D16DE7">
        <w:rPr>
          <w:rFonts w:ascii="Tahoma" w:hAnsi="Tahoma" w:cs="Tahoma"/>
          <w:sz w:val="24"/>
          <w:szCs w:val="24"/>
        </w:rPr>
        <w:t xml:space="preserve"> pesos, correspondientes al 20% de lo obtenido en el proceso, conforme al porcentaje ordenado en el Acuerdo 1887 de 2003</w:t>
      </w:r>
      <w:r w:rsidRPr="00D16DE7">
        <w:rPr>
          <w:rFonts w:ascii="Tahoma" w:eastAsia="Times New Roman" w:hAnsi="Tahoma" w:cs="Tahoma"/>
          <w:sz w:val="24"/>
          <w:szCs w:val="24"/>
          <w:shd w:val="clear" w:color="auto" w:fill="FFFFFF"/>
          <w:lang w:eastAsia="es-ES_tradnl"/>
        </w:rPr>
        <w:t>.</w:t>
      </w:r>
    </w:p>
    <w:p w:rsidR="002045B0" w:rsidRPr="00D16DE7" w:rsidRDefault="002045B0" w:rsidP="00D16DE7">
      <w:pPr>
        <w:pStyle w:val="NormalWeb"/>
        <w:spacing w:before="0" w:beforeAutospacing="0" w:after="0" w:afterAutospacing="0" w:line="288" w:lineRule="auto"/>
        <w:jc w:val="both"/>
        <w:rPr>
          <w:rFonts w:ascii="Tahoma" w:hAnsi="Tahoma" w:cs="Tahoma"/>
        </w:rPr>
      </w:pPr>
    </w:p>
    <w:p w:rsidR="005C63DA" w:rsidRPr="00D16DE7" w:rsidRDefault="002045B0" w:rsidP="00D16DE7">
      <w:pPr>
        <w:pStyle w:val="NormalWeb"/>
        <w:spacing w:before="0" w:beforeAutospacing="0" w:after="0" w:afterAutospacing="0" w:line="288" w:lineRule="auto"/>
        <w:ind w:firstLine="708"/>
        <w:jc w:val="both"/>
        <w:rPr>
          <w:rFonts w:ascii="Tahoma" w:hAnsi="Tahoma" w:cs="Tahoma"/>
        </w:rPr>
      </w:pPr>
      <w:r w:rsidRPr="00D16DE7">
        <w:rPr>
          <w:rFonts w:ascii="Tahoma" w:hAnsi="Tahoma" w:cs="Tahoma"/>
        </w:rPr>
        <w:t xml:space="preserve">Cabe resaltar </w:t>
      </w:r>
      <w:r w:rsidR="007A4CEC" w:rsidRPr="00D16DE7">
        <w:rPr>
          <w:rFonts w:ascii="Tahoma" w:hAnsi="Tahoma" w:cs="Tahoma"/>
        </w:rPr>
        <w:t>que</w:t>
      </w:r>
      <w:r w:rsidR="00A30B67" w:rsidRPr="00D16DE7">
        <w:rPr>
          <w:rFonts w:ascii="Tahoma" w:hAnsi="Tahoma" w:cs="Tahoma"/>
        </w:rPr>
        <w:t xml:space="preserve"> de conformidad con la descripción legal y la jurisprudencia, las agencias en derecho corresponden a una contraprestación por los gastos en que se incurre para ejercer la defensa legal de los intereses dentro de un trámite judicial, en atención a la gestión realizada por el apoderado o la parte que litigó personalmente.</w:t>
      </w:r>
    </w:p>
    <w:p w:rsidR="00F47F0E" w:rsidRPr="00D16DE7" w:rsidRDefault="00F47F0E" w:rsidP="00D16DE7">
      <w:pPr>
        <w:pStyle w:val="NormalWeb"/>
        <w:spacing w:before="0" w:beforeAutospacing="0" w:after="0" w:afterAutospacing="0" w:line="288" w:lineRule="auto"/>
        <w:ind w:firstLine="709"/>
        <w:jc w:val="both"/>
        <w:rPr>
          <w:rFonts w:ascii="Tahoma" w:hAnsi="Tahoma" w:cs="Tahoma"/>
        </w:rPr>
      </w:pPr>
    </w:p>
    <w:p w:rsidR="007A4CEC" w:rsidRPr="00D16DE7" w:rsidRDefault="007A4CEC" w:rsidP="00D16DE7">
      <w:pPr>
        <w:pStyle w:val="NormalWeb"/>
        <w:spacing w:before="0" w:beforeAutospacing="0" w:after="0" w:afterAutospacing="0" w:line="288" w:lineRule="auto"/>
        <w:ind w:firstLine="708"/>
        <w:jc w:val="both"/>
        <w:rPr>
          <w:rFonts w:ascii="Arial Narrow" w:hAnsi="Arial Narrow" w:cs="Tahoma"/>
          <w:i/>
          <w:color w:val="000000"/>
        </w:rPr>
      </w:pPr>
      <w:r w:rsidRPr="00D16DE7">
        <w:rPr>
          <w:rFonts w:ascii="Tahoma" w:hAnsi="Tahoma" w:cs="Tahoma"/>
        </w:rPr>
        <w:t>Asimismo</w:t>
      </w:r>
      <w:r w:rsidR="00195A80" w:rsidRPr="00D16DE7">
        <w:rPr>
          <w:rFonts w:ascii="Tahoma" w:hAnsi="Tahoma" w:cs="Tahoma"/>
        </w:rPr>
        <w:t>,</w:t>
      </w:r>
      <w:r w:rsidR="002045B0" w:rsidRPr="00D16DE7">
        <w:rPr>
          <w:rFonts w:ascii="Tahoma" w:hAnsi="Tahoma" w:cs="Tahoma"/>
        </w:rPr>
        <w:t xml:space="preserve"> es necesario recordar que</w:t>
      </w:r>
      <w:r w:rsidR="00A30B67" w:rsidRPr="00D16DE7">
        <w:rPr>
          <w:rFonts w:ascii="Tahoma" w:hAnsi="Tahoma" w:cs="Tahoma"/>
        </w:rPr>
        <w:t xml:space="preserve"> </w:t>
      </w:r>
      <w:r w:rsidRPr="00D16DE7">
        <w:rPr>
          <w:rFonts w:ascii="Tahoma" w:hAnsi="Tahoma" w:cs="Tahoma"/>
        </w:rPr>
        <w:t xml:space="preserve">en el Acuerdo 1887 de 2003 </w:t>
      </w:r>
      <w:r w:rsidRPr="00D16DE7">
        <w:rPr>
          <w:rFonts w:ascii="Arial Narrow" w:hAnsi="Arial Narrow" w:cs="Tahoma"/>
          <w:i/>
        </w:rPr>
        <w:t>“</w:t>
      </w:r>
      <w:r w:rsidRPr="00D16DE7">
        <w:rPr>
          <w:rFonts w:ascii="Arial Narrow" w:hAnsi="Arial Narrow" w:cs="Arial"/>
          <w:i/>
          <w:color w:val="000000"/>
        </w:rPr>
        <w:t>por el cual se establecen las tarifas de agencias en derecho”</w:t>
      </w:r>
      <w:r w:rsidRPr="00D16DE7">
        <w:rPr>
          <w:rFonts w:ascii="Arial Narrow" w:hAnsi="Arial Narrow" w:cs="Tahoma"/>
          <w:i/>
        </w:rPr>
        <w:t>,</w:t>
      </w:r>
      <w:r w:rsidRPr="00D16DE7">
        <w:rPr>
          <w:rFonts w:ascii="Tahoma" w:hAnsi="Tahoma" w:cs="Tahoma"/>
        </w:rPr>
        <w:t xml:space="preserve"> expedido por el Consejo Superior de la Judicatura y aplicable en este asunto por la fecha de inicio del proceso (</w:t>
      </w:r>
      <w:r w:rsidR="00195A80" w:rsidRPr="00D16DE7">
        <w:rPr>
          <w:rFonts w:ascii="Tahoma" w:hAnsi="Tahoma" w:cs="Tahoma"/>
        </w:rPr>
        <w:t>radicado antes de la expedición del</w:t>
      </w:r>
      <w:r w:rsidRPr="00D16DE7">
        <w:rPr>
          <w:rFonts w:ascii="Tahoma" w:hAnsi="Tahoma" w:cs="Tahoma"/>
        </w:rPr>
        <w:t xml:space="preserve"> Acuerdo No. PSAA16-10554 de 2016), se establece que para</w:t>
      </w:r>
      <w:r w:rsidR="00A30B67" w:rsidRPr="00D16DE7">
        <w:rPr>
          <w:rFonts w:ascii="Tahoma" w:hAnsi="Tahoma" w:cs="Tahoma"/>
        </w:rPr>
        <w:t xml:space="preserve"> la fijación de agencias</w:t>
      </w:r>
      <w:r w:rsidRPr="00D16DE7">
        <w:rPr>
          <w:rFonts w:ascii="Tahoma" w:hAnsi="Tahoma" w:cs="Tahoma"/>
        </w:rPr>
        <w:t xml:space="preserve"> </w:t>
      </w:r>
      <w:r w:rsidR="00C73CE2" w:rsidRPr="00D16DE7">
        <w:rPr>
          <w:rFonts w:ascii="Arial Narrow" w:hAnsi="Arial Narrow" w:cs="Tahoma"/>
          <w:i/>
        </w:rPr>
        <w:t>“</w:t>
      </w:r>
      <w:r w:rsidRPr="00D16DE7">
        <w:rPr>
          <w:rFonts w:ascii="Arial Narrow" w:hAnsi="Arial Narrow" w:cs="Tahoma"/>
          <w:i/>
        </w:rPr>
        <w:t>se</w:t>
      </w:r>
      <w:r w:rsidR="00A30B67" w:rsidRPr="00D16DE7">
        <w:rPr>
          <w:rFonts w:ascii="Arial Narrow" w:hAnsi="Arial Narrow" w:cs="Tahoma"/>
          <w:i/>
        </w:rPr>
        <w:t xml:space="preserve"> </w:t>
      </w:r>
      <w:r w:rsidRPr="00D16DE7">
        <w:rPr>
          <w:rFonts w:ascii="Arial Narrow" w:hAnsi="Arial Narrow" w:cs="Tahoma"/>
          <w:i/>
        </w:rPr>
        <w:t xml:space="preserve">aplicarán </w:t>
      </w:r>
      <w:r w:rsidRPr="00D16DE7">
        <w:rPr>
          <w:rFonts w:ascii="Arial Narrow" w:hAnsi="Arial Narrow" w:cs="Tahoma"/>
          <w:i/>
          <w:color w:val="000000"/>
        </w:rPr>
        <w:t xml:space="preserve">gradualmente las tarifas establecidas hasta los máximos previstos en el acuerdo y se tendrá en cuenta la </w:t>
      </w:r>
      <w:r w:rsidRPr="00D16DE7">
        <w:rPr>
          <w:rFonts w:ascii="Arial Narrow" w:hAnsi="Arial Narrow" w:cs="Tahoma"/>
          <w:i/>
          <w:color w:val="000000"/>
          <w:u w:val="single"/>
        </w:rPr>
        <w:t>naturaleza</w:t>
      </w:r>
      <w:r w:rsidRPr="00D16DE7">
        <w:rPr>
          <w:rFonts w:ascii="Arial Narrow" w:hAnsi="Arial Narrow" w:cs="Tahoma"/>
          <w:i/>
          <w:color w:val="000000"/>
        </w:rPr>
        <w:t xml:space="preserve">, </w:t>
      </w:r>
      <w:r w:rsidRPr="00D16DE7">
        <w:rPr>
          <w:rFonts w:ascii="Arial Narrow" w:hAnsi="Arial Narrow" w:cs="Tahoma"/>
          <w:i/>
          <w:color w:val="000000"/>
          <w:u w:val="single"/>
        </w:rPr>
        <w:t>calidad</w:t>
      </w:r>
      <w:r w:rsidRPr="00D16DE7">
        <w:rPr>
          <w:rFonts w:ascii="Arial Narrow" w:hAnsi="Arial Narrow" w:cs="Tahoma"/>
          <w:i/>
          <w:color w:val="000000"/>
        </w:rPr>
        <w:t xml:space="preserve"> y </w:t>
      </w:r>
      <w:r w:rsidRPr="00D16DE7">
        <w:rPr>
          <w:rFonts w:ascii="Arial Narrow" w:hAnsi="Arial Narrow" w:cs="Tahoma"/>
          <w:i/>
          <w:color w:val="000000"/>
          <w:u w:val="single"/>
        </w:rPr>
        <w:t>duración útil de la gestión ejecutada por el apoderado o la parte que litigó personalmente</w:t>
      </w:r>
      <w:r w:rsidRPr="00D16DE7">
        <w:rPr>
          <w:rFonts w:ascii="Arial Narrow" w:hAnsi="Arial Narrow" w:cs="Tahoma"/>
          <w:i/>
          <w:color w:val="000000"/>
        </w:rPr>
        <w:t xml:space="preserve">, autorizada por la ley, </w:t>
      </w:r>
      <w:r w:rsidRPr="00D16DE7">
        <w:rPr>
          <w:rFonts w:ascii="Arial Narrow" w:hAnsi="Arial Narrow" w:cs="Tahoma"/>
          <w:i/>
          <w:color w:val="000000"/>
          <w:u w:val="single"/>
        </w:rPr>
        <w:t>la cuantía de la pretensión y las demás circunstancias relevantes</w:t>
      </w:r>
      <w:r w:rsidRPr="00D16DE7">
        <w:rPr>
          <w:rFonts w:ascii="Arial Narrow" w:hAnsi="Arial Narrow" w:cs="Tahoma"/>
          <w:i/>
          <w:color w:val="000000"/>
        </w:rPr>
        <w:t>, de modo que sean equitativas y razonables</w:t>
      </w:r>
      <w:r w:rsidR="00B701A5">
        <w:rPr>
          <w:rFonts w:ascii="Arial Narrow" w:hAnsi="Arial Narrow" w:cs="Tahoma"/>
          <w:i/>
          <w:color w:val="000000"/>
        </w:rPr>
        <w:t>”.</w:t>
      </w:r>
    </w:p>
    <w:p w:rsidR="00F278A6" w:rsidRPr="00D16DE7" w:rsidRDefault="00F278A6" w:rsidP="00D16DE7">
      <w:pPr>
        <w:pStyle w:val="NormalWeb"/>
        <w:spacing w:before="0" w:beforeAutospacing="0" w:after="0" w:afterAutospacing="0" w:line="288" w:lineRule="auto"/>
        <w:ind w:firstLine="708"/>
        <w:jc w:val="both"/>
        <w:rPr>
          <w:rFonts w:ascii="Tahoma" w:hAnsi="Tahoma" w:cs="Tahoma"/>
        </w:rPr>
      </w:pPr>
    </w:p>
    <w:p w:rsidR="00A24D68" w:rsidRPr="00D16DE7" w:rsidRDefault="00067214" w:rsidP="00D16DE7">
      <w:pPr>
        <w:pStyle w:val="NormalWeb"/>
        <w:spacing w:before="0" w:beforeAutospacing="0" w:after="0" w:afterAutospacing="0" w:line="288" w:lineRule="auto"/>
        <w:jc w:val="both"/>
        <w:rPr>
          <w:rFonts w:ascii="Tahoma" w:hAnsi="Tahoma" w:cs="Tahoma"/>
        </w:rPr>
      </w:pPr>
      <w:r w:rsidRPr="00D16DE7">
        <w:rPr>
          <w:rFonts w:ascii="Tahoma" w:hAnsi="Tahoma" w:cs="Tahoma"/>
        </w:rPr>
        <w:tab/>
        <w:t>Pues bien</w:t>
      </w:r>
      <w:r w:rsidR="00C269DE" w:rsidRPr="00D16DE7">
        <w:rPr>
          <w:rFonts w:ascii="Tahoma" w:hAnsi="Tahoma" w:cs="Tahoma"/>
        </w:rPr>
        <w:t>, atendiendo a dicho</w:t>
      </w:r>
      <w:r w:rsidR="00506E91" w:rsidRPr="00D16DE7">
        <w:rPr>
          <w:rFonts w:ascii="Tahoma" w:hAnsi="Tahoma" w:cs="Tahoma"/>
        </w:rPr>
        <w:t>s</w:t>
      </w:r>
      <w:r w:rsidR="00C269DE" w:rsidRPr="00D16DE7">
        <w:rPr>
          <w:rFonts w:ascii="Tahoma" w:hAnsi="Tahoma" w:cs="Tahoma"/>
        </w:rPr>
        <w:t xml:space="preserve"> criterios, encuentra esta Sala que el proceso tenía como propósito obtener el pago de las acreencias de un contrato de trabajo de muy corta duración, </w:t>
      </w:r>
      <w:r w:rsidR="00A24D68" w:rsidRPr="00D16DE7">
        <w:rPr>
          <w:rFonts w:ascii="Tahoma" w:hAnsi="Tahoma" w:cs="Tahoma"/>
        </w:rPr>
        <w:t xml:space="preserve">de </w:t>
      </w:r>
      <w:r w:rsidR="00C269DE" w:rsidRPr="00D16DE7">
        <w:rPr>
          <w:rFonts w:ascii="Tahoma" w:hAnsi="Tahoma" w:cs="Tahoma"/>
        </w:rPr>
        <w:t>no más de 5 meses, sin embargo</w:t>
      </w:r>
      <w:r w:rsidR="00A24D68" w:rsidRPr="00D16DE7">
        <w:rPr>
          <w:rFonts w:ascii="Tahoma" w:hAnsi="Tahoma" w:cs="Tahoma"/>
        </w:rPr>
        <w:t>, tras un largo proceso se pudo establecer</w:t>
      </w:r>
      <w:r w:rsidR="00C269DE" w:rsidRPr="00D16DE7">
        <w:rPr>
          <w:rFonts w:ascii="Tahoma" w:hAnsi="Tahoma" w:cs="Tahoma"/>
        </w:rPr>
        <w:t xml:space="preserve"> que el empleador finalizó la obra estatal para la que había sido contratado</w:t>
      </w:r>
      <w:r w:rsidR="007019D9" w:rsidRPr="00D16DE7">
        <w:rPr>
          <w:rFonts w:ascii="Tahoma" w:hAnsi="Tahoma" w:cs="Tahoma"/>
        </w:rPr>
        <w:t xml:space="preserve"> por </w:t>
      </w:r>
      <w:proofErr w:type="spellStart"/>
      <w:r w:rsidR="007019D9" w:rsidRPr="00D16DE7">
        <w:rPr>
          <w:rFonts w:ascii="Tahoma" w:hAnsi="Tahoma" w:cs="Tahoma"/>
        </w:rPr>
        <w:t>MEGABUS</w:t>
      </w:r>
      <w:proofErr w:type="spellEnd"/>
      <w:r w:rsidR="00A24D68" w:rsidRPr="00D16DE7">
        <w:rPr>
          <w:rFonts w:ascii="Tahoma" w:hAnsi="Tahoma" w:cs="Tahoma"/>
        </w:rPr>
        <w:t xml:space="preserve"> S.A.</w:t>
      </w:r>
      <w:r w:rsidR="00C269DE" w:rsidRPr="00D16DE7">
        <w:rPr>
          <w:rFonts w:ascii="Tahoma" w:hAnsi="Tahoma" w:cs="Tahoma"/>
        </w:rPr>
        <w:t xml:space="preserve"> y dejó sin</w:t>
      </w:r>
      <w:r w:rsidR="007019D9" w:rsidRPr="00D16DE7">
        <w:rPr>
          <w:rFonts w:ascii="Tahoma" w:hAnsi="Tahoma" w:cs="Tahoma"/>
        </w:rPr>
        <w:t xml:space="preserve"> el</w:t>
      </w:r>
      <w:r w:rsidR="00C269DE" w:rsidRPr="00D16DE7">
        <w:rPr>
          <w:rFonts w:ascii="Tahoma" w:hAnsi="Tahoma" w:cs="Tahoma"/>
        </w:rPr>
        <w:t xml:space="preserve"> pago de las prestaciones sociales</w:t>
      </w:r>
      <w:r w:rsidR="007019D9" w:rsidRPr="00D16DE7">
        <w:rPr>
          <w:rFonts w:ascii="Tahoma" w:hAnsi="Tahoma" w:cs="Tahoma"/>
        </w:rPr>
        <w:t xml:space="preserve"> (prima, vacaciones y cesantías)</w:t>
      </w:r>
      <w:r w:rsidR="00C269DE" w:rsidRPr="00D16DE7">
        <w:rPr>
          <w:rFonts w:ascii="Tahoma" w:hAnsi="Tahoma" w:cs="Tahoma"/>
        </w:rPr>
        <w:t xml:space="preserve"> no solo al señor </w:t>
      </w:r>
      <w:proofErr w:type="spellStart"/>
      <w:r w:rsidR="00C269DE" w:rsidRPr="00D16DE7">
        <w:rPr>
          <w:rFonts w:ascii="Tahoma" w:hAnsi="Tahoma" w:cs="Tahoma"/>
        </w:rPr>
        <w:t>HERMEL</w:t>
      </w:r>
      <w:proofErr w:type="spellEnd"/>
      <w:r w:rsidR="00C269DE" w:rsidRPr="00D16DE7">
        <w:rPr>
          <w:rFonts w:ascii="Tahoma" w:hAnsi="Tahoma" w:cs="Tahoma"/>
        </w:rPr>
        <w:t xml:space="preserve"> ANTONIO HERRERA, sino a cientos de trabajadores que promovieron ante esta jurisdicción procesos cuyas pretensiones son idénticas </w:t>
      </w:r>
      <w:r w:rsidR="007019D9" w:rsidRPr="00D16DE7">
        <w:rPr>
          <w:rFonts w:ascii="Tahoma" w:hAnsi="Tahoma" w:cs="Tahoma"/>
        </w:rPr>
        <w:t>a las</w:t>
      </w:r>
      <w:r w:rsidR="00C269DE" w:rsidRPr="00D16DE7">
        <w:rPr>
          <w:rFonts w:ascii="Tahoma" w:hAnsi="Tahoma" w:cs="Tahoma"/>
        </w:rPr>
        <w:t xml:space="preserve"> que aquí se debatieron</w:t>
      </w:r>
      <w:r w:rsidR="00A24D68" w:rsidRPr="00D16DE7">
        <w:rPr>
          <w:rFonts w:ascii="Tahoma" w:hAnsi="Tahoma" w:cs="Tahoma"/>
        </w:rPr>
        <w:t>, como es de público conocimiento</w:t>
      </w:r>
      <w:r w:rsidR="00C269DE" w:rsidRPr="00D16DE7">
        <w:rPr>
          <w:rFonts w:ascii="Tahoma" w:hAnsi="Tahoma" w:cs="Tahoma"/>
        </w:rPr>
        <w:t xml:space="preserve">. </w:t>
      </w:r>
    </w:p>
    <w:p w:rsidR="00A24D68" w:rsidRPr="00D16DE7" w:rsidRDefault="00A24D68" w:rsidP="00D16DE7">
      <w:pPr>
        <w:pStyle w:val="NormalWeb"/>
        <w:spacing w:before="0" w:beforeAutospacing="0" w:after="0" w:afterAutospacing="0" w:line="288" w:lineRule="auto"/>
        <w:jc w:val="both"/>
        <w:rPr>
          <w:rFonts w:ascii="Tahoma" w:hAnsi="Tahoma" w:cs="Tahoma"/>
        </w:rPr>
      </w:pPr>
    </w:p>
    <w:p w:rsidR="005C63DA" w:rsidRPr="00D16DE7" w:rsidRDefault="00C269DE" w:rsidP="00D16DE7">
      <w:pPr>
        <w:pStyle w:val="NormalWeb"/>
        <w:spacing w:before="0" w:beforeAutospacing="0" w:after="0" w:afterAutospacing="0" w:line="288" w:lineRule="auto"/>
        <w:ind w:firstLine="708"/>
        <w:jc w:val="both"/>
        <w:rPr>
          <w:rFonts w:ascii="Tahoma" w:hAnsi="Tahoma" w:cs="Tahoma"/>
        </w:rPr>
      </w:pPr>
      <w:r w:rsidRPr="00D16DE7">
        <w:rPr>
          <w:rFonts w:ascii="Tahoma" w:hAnsi="Tahoma" w:cs="Tahoma"/>
        </w:rPr>
        <w:t xml:space="preserve">Aparte </w:t>
      </w:r>
      <w:r w:rsidR="00A24D68" w:rsidRPr="00D16DE7">
        <w:rPr>
          <w:rFonts w:ascii="Tahoma" w:hAnsi="Tahoma" w:cs="Tahoma"/>
        </w:rPr>
        <w:t>de lo anterior</w:t>
      </w:r>
      <w:r w:rsidRPr="00D16DE7">
        <w:rPr>
          <w:rFonts w:ascii="Tahoma" w:hAnsi="Tahoma" w:cs="Tahoma"/>
        </w:rPr>
        <w:t>, teniendo en cuenta que el consorcio demandado</w:t>
      </w:r>
      <w:r w:rsidR="00A24D68" w:rsidRPr="00D16DE7">
        <w:rPr>
          <w:rFonts w:ascii="Tahoma" w:hAnsi="Tahoma" w:cs="Tahoma"/>
        </w:rPr>
        <w:t xml:space="preserve"> (que ganó la licitación para la obra estatal antes</w:t>
      </w:r>
      <w:r w:rsidR="007019D9" w:rsidRPr="00D16DE7">
        <w:rPr>
          <w:rFonts w:ascii="Tahoma" w:hAnsi="Tahoma" w:cs="Tahoma"/>
        </w:rPr>
        <w:t xml:space="preserve"> señalada</w:t>
      </w:r>
      <w:r w:rsidR="00A24D68" w:rsidRPr="00D16DE7">
        <w:rPr>
          <w:rFonts w:ascii="Tahoma" w:hAnsi="Tahoma" w:cs="Tahoma"/>
        </w:rPr>
        <w:t>) se conformaba</w:t>
      </w:r>
      <w:r w:rsidRPr="00D16DE7">
        <w:rPr>
          <w:rFonts w:ascii="Tahoma" w:hAnsi="Tahoma" w:cs="Tahoma"/>
        </w:rPr>
        <w:t xml:space="preserve"> por tres personas distintas </w:t>
      </w:r>
      <w:r w:rsidR="00A24D68" w:rsidRPr="00D16DE7">
        <w:rPr>
          <w:rFonts w:ascii="Tahoma" w:hAnsi="Tahoma" w:cs="Tahoma"/>
        </w:rPr>
        <w:t xml:space="preserve">que no </w:t>
      </w:r>
      <w:r w:rsidR="00F278A6" w:rsidRPr="00D16DE7">
        <w:rPr>
          <w:rFonts w:ascii="Tahoma" w:hAnsi="Tahoma" w:cs="Tahoma"/>
        </w:rPr>
        <w:t xml:space="preserve">quisieron presentarse </w:t>
      </w:r>
      <w:r w:rsidRPr="00D16DE7">
        <w:rPr>
          <w:rFonts w:ascii="Tahoma" w:hAnsi="Tahoma" w:cs="Tahoma"/>
        </w:rPr>
        <w:t>voluntariamente</w:t>
      </w:r>
      <w:r w:rsidR="00A24D68" w:rsidRPr="00D16DE7">
        <w:rPr>
          <w:rFonts w:ascii="Tahoma" w:hAnsi="Tahoma" w:cs="Tahoma"/>
        </w:rPr>
        <w:t xml:space="preserve"> al proceso</w:t>
      </w:r>
      <w:r w:rsidRPr="00D16DE7">
        <w:rPr>
          <w:rFonts w:ascii="Tahoma" w:hAnsi="Tahoma" w:cs="Tahoma"/>
        </w:rPr>
        <w:t xml:space="preserve"> a notificarse del auto</w:t>
      </w:r>
      <w:r w:rsidR="00A24D68" w:rsidRPr="00D16DE7">
        <w:rPr>
          <w:rFonts w:ascii="Tahoma" w:hAnsi="Tahoma" w:cs="Tahoma"/>
        </w:rPr>
        <w:t xml:space="preserve"> de admisión de la demanda</w:t>
      </w:r>
      <w:r w:rsidR="00710120" w:rsidRPr="00D16DE7">
        <w:rPr>
          <w:rFonts w:ascii="Tahoma" w:hAnsi="Tahoma" w:cs="Tahoma"/>
        </w:rPr>
        <w:t>, el demandante</w:t>
      </w:r>
      <w:r w:rsidR="007019D9" w:rsidRPr="00D16DE7">
        <w:rPr>
          <w:rFonts w:ascii="Tahoma" w:hAnsi="Tahoma" w:cs="Tahoma"/>
        </w:rPr>
        <w:t xml:space="preserve"> se vio precisado al pago de las expensas correspondientes a los edictos </w:t>
      </w:r>
      <w:proofErr w:type="spellStart"/>
      <w:r w:rsidR="007019D9" w:rsidRPr="00D16DE7">
        <w:rPr>
          <w:rFonts w:ascii="Tahoma" w:hAnsi="Tahoma" w:cs="Tahoma"/>
        </w:rPr>
        <w:t>emplazatorios</w:t>
      </w:r>
      <w:proofErr w:type="spellEnd"/>
      <w:r w:rsidR="007019D9" w:rsidRPr="00D16DE7">
        <w:rPr>
          <w:rFonts w:ascii="Tahoma" w:hAnsi="Tahoma" w:cs="Tahoma"/>
        </w:rPr>
        <w:t>, que dicho sea de paso,</w:t>
      </w:r>
      <w:r w:rsidR="00F278A6" w:rsidRPr="00D16DE7">
        <w:rPr>
          <w:rFonts w:ascii="Tahoma" w:hAnsi="Tahoma" w:cs="Tahoma"/>
        </w:rPr>
        <w:t xml:space="preserve"> fue necesario que se repitieran</w:t>
      </w:r>
      <w:r w:rsidR="007019D9" w:rsidRPr="00D16DE7">
        <w:rPr>
          <w:rFonts w:ascii="Tahoma" w:hAnsi="Tahoma" w:cs="Tahoma"/>
        </w:rPr>
        <w:t xml:space="preserve"> </w:t>
      </w:r>
      <w:r w:rsidR="00F278A6" w:rsidRPr="00D16DE7">
        <w:rPr>
          <w:rFonts w:ascii="Tahoma" w:hAnsi="Tahoma" w:cs="Tahoma"/>
        </w:rPr>
        <w:t>2 veces por</w:t>
      </w:r>
      <w:r w:rsidR="007019D9" w:rsidRPr="00D16DE7">
        <w:rPr>
          <w:rFonts w:ascii="Tahoma" w:hAnsi="Tahoma" w:cs="Tahoma"/>
        </w:rPr>
        <w:t xml:space="preserve"> errores en su informaci</w:t>
      </w:r>
      <w:r w:rsidR="00A24D68" w:rsidRPr="00D16DE7">
        <w:rPr>
          <w:rFonts w:ascii="Tahoma" w:hAnsi="Tahoma" w:cs="Tahoma"/>
        </w:rPr>
        <w:t>ón que derivaron en la declaraci</w:t>
      </w:r>
      <w:r w:rsidR="00F278A6" w:rsidRPr="00D16DE7">
        <w:rPr>
          <w:rFonts w:ascii="Tahoma" w:hAnsi="Tahoma" w:cs="Tahoma"/>
        </w:rPr>
        <w:t>ón de igual número de nulidades por indebida notificación</w:t>
      </w:r>
      <w:r w:rsidR="00A24D68" w:rsidRPr="00D16DE7">
        <w:rPr>
          <w:rFonts w:ascii="Tahoma" w:hAnsi="Tahoma" w:cs="Tahoma"/>
        </w:rPr>
        <w:t>. Y</w:t>
      </w:r>
      <w:r w:rsidR="007019D9" w:rsidRPr="00D16DE7">
        <w:rPr>
          <w:rFonts w:ascii="Tahoma" w:hAnsi="Tahoma" w:cs="Tahoma"/>
        </w:rPr>
        <w:t xml:space="preserve"> si lo anterior fuera poco, el proceso subió </w:t>
      </w:r>
      <w:r w:rsidR="00A24D68" w:rsidRPr="00D16DE7">
        <w:rPr>
          <w:rFonts w:ascii="Tahoma" w:hAnsi="Tahoma" w:cs="Tahoma"/>
        </w:rPr>
        <w:t>en 4</w:t>
      </w:r>
      <w:r w:rsidR="007019D9" w:rsidRPr="00D16DE7">
        <w:rPr>
          <w:rFonts w:ascii="Tahoma" w:hAnsi="Tahoma" w:cs="Tahoma"/>
        </w:rPr>
        <w:t xml:space="preserve"> oportunidades a esta instancia en apelación de decisiones que al final implicaron la exoneración de las pre</w:t>
      </w:r>
      <w:r w:rsidR="00A24D68" w:rsidRPr="00D16DE7">
        <w:rPr>
          <w:rFonts w:ascii="Tahoma" w:hAnsi="Tahoma" w:cs="Tahoma"/>
        </w:rPr>
        <w:t xml:space="preserve">tensiones a </w:t>
      </w:r>
      <w:proofErr w:type="spellStart"/>
      <w:r w:rsidR="00A24D68" w:rsidRPr="00D16DE7">
        <w:rPr>
          <w:rFonts w:ascii="Tahoma" w:hAnsi="Tahoma" w:cs="Tahoma"/>
        </w:rPr>
        <w:t>MEGABUS</w:t>
      </w:r>
      <w:proofErr w:type="spellEnd"/>
      <w:r w:rsidR="00A24D68" w:rsidRPr="00D16DE7">
        <w:rPr>
          <w:rFonts w:ascii="Tahoma" w:hAnsi="Tahoma" w:cs="Tahoma"/>
        </w:rPr>
        <w:t xml:space="preserve"> S.A.</w:t>
      </w:r>
      <w:r w:rsidR="00F278A6" w:rsidRPr="00D16DE7">
        <w:rPr>
          <w:rFonts w:ascii="Tahoma" w:hAnsi="Tahoma" w:cs="Tahoma"/>
        </w:rPr>
        <w:t xml:space="preserve">, la primera vez por un discusión relacionada con el agotamiento de la reclamación </w:t>
      </w:r>
      <w:r w:rsidR="00F278A6" w:rsidRPr="00D16DE7">
        <w:rPr>
          <w:rFonts w:ascii="Tahoma" w:hAnsi="Tahoma" w:cs="Tahoma"/>
        </w:rPr>
        <w:lastRenderedPageBreak/>
        <w:t xml:space="preserve">administrativa ante tal entidad y la segunda por </w:t>
      </w:r>
      <w:r w:rsidR="00531662" w:rsidRPr="00D16DE7">
        <w:rPr>
          <w:rFonts w:ascii="Tahoma" w:hAnsi="Tahoma" w:cs="Tahoma"/>
        </w:rPr>
        <w:t xml:space="preserve">la </w:t>
      </w:r>
      <w:r w:rsidR="00F278A6" w:rsidRPr="00D16DE7">
        <w:rPr>
          <w:rFonts w:ascii="Tahoma" w:hAnsi="Tahoma" w:cs="Tahoma"/>
        </w:rPr>
        <w:t>negativa de una prueba oportunamente solicitada por el demandante.</w:t>
      </w:r>
      <w:r w:rsidR="00A24D68" w:rsidRPr="00D16DE7">
        <w:rPr>
          <w:rFonts w:ascii="Tahoma" w:hAnsi="Tahoma" w:cs="Tahoma"/>
        </w:rPr>
        <w:t xml:space="preserve"> </w:t>
      </w:r>
      <w:r w:rsidR="007019D9" w:rsidRPr="00D16DE7">
        <w:rPr>
          <w:rFonts w:ascii="Tahoma" w:hAnsi="Tahoma" w:cs="Tahoma"/>
        </w:rPr>
        <w:t xml:space="preserve">   </w:t>
      </w:r>
      <w:r w:rsidRPr="00D16DE7">
        <w:rPr>
          <w:rFonts w:ascii="Tahoma" w:hAnsi="Tahoma" w:cs="Tahoma"/>
        </w:rPr>
        <w:t xml:space="preserve">  </w:t>
      </w:r>
    </w:p>
    <w:p w:rsidR="00067214" w:rsidRPr="00D16DE7" w:rsidRDefault="00067214" w:rsidP="00D16DE7">
      <w:pPr>
        <w:pStyle w:val="NormalWeb"/>
        <w:spacing w:before="0" w:beforeAutospacing="0" w:after="0" w:afterAutospacing="0" w:line="288" w:lineRule="auto"/>
        <w:jc w:val="both"/>
        <w:rPr>
          <w:rFonts w:ascii="Tahoma" w:hAnsi="Tahoma" w:cs="Tahoma"/>
        </w:rPr>
      </w:pPr>
    </w:p>
    <w:p w:rsidR="00C33678" w:rsidRPr="00D16DE7" w:rsidRDefault="005C63DA" w:rsidP="00D16DE7">
      <w:pPr>
        <w:pStyle w:val="NormalWeb"/>
        <w:spacing w:before="0" w:beforeAutospacing="0" w:after="0" w:afterAutospacing="0" w:line="288" w:lineRule="auto"/>
        <w:jc w:val="both"/>
        <w:rPr>
          <w:rFonts w:ascii="Tahoma" w:hAnsi="Tahoma" w:cs="Tahoma"/>
        </w:rPr>
      </w:pPr>
      <w:r w:rsidRPr="00D16DE7">
        <w:rPr>
          <w:rFonts w:ascii="Tahoma" w:hAnsi="Tahoma" w:cs="Tahoma"/>
        </w:rPr>
        <w:tab/>
        <w:t>Es por lo anterior, que ante la complejidad y la larguísima duración de este proceso</w:t>
      </w:r>
      <w:r w:rsidR="00F47F0E" w:rsidRPr="00D16DE7">
        <w:rPr>
          <w:rFonts w:ascii="Tahoma" w:hAnsi="Tahoma" w:cs="Tahoma"/>
        </w:rPr>
        <w:t>, cuyo inició data del año</w:t>
      </w:r>
      <w:r w:rsidRPr="00D16DE7">
        <w:rPr>
          <w:rFonts w:ascii="Tahoma" w:hAnsi="Tahoma" w:cs="Tahoma"/>
        </w:rPr>
        <w:t xml:space="preserve"> 2006, la Sala fija</w:t>
      </w:r>
      <w:r w:rsidR="002045B0" w:rsidRPr="00D16DE7">
        <w:rPr>
          <w:rFonts w:ascii="Tahoma" w:hAnsi="Tahoma" w:cs="Tahoma"/>
        </w:rPr>
        <w:t xml:space="preserve"> un porcentaje cercano al máximo</w:t>
      </w:r>
      <w:r w:rsidR="00F47F0E" w:rsidRPr="00D16DE7">
        <w:rPr>
          <w:rFonts w:ascii="Tahoma" w:hAnsi="Tahoma" w:cs="Tahoma"/>
        </w:rPr>
        <w:t xml:space="preserve"> posible</w:t>
      </w:r>
      <w:r w:rsidRPr="00D16DE7">
        <w:rPr>
          <w:rFonts w:ascii="Tahoma" w:hAnsi="Tahoma" w:cs="Tahoma"/>
        </w:rPr>
        <w:t xml:space="preserve"> de agencias en derecho, que en este caso corresponde al </w:t>
      </w:r>
      <w:r w:rsidR="002045B0" w:rsidRPr="00D16DE7">
        <w:rPr>
          <w:rFonts w:ascii="Tahoma" w:hAnsi="Tahoma" w:cs="Tahoma"/>
        </w:rPr>
        <w:t>20</w:t>
      </w:r>
      <w:r w:rsidRPr="00D16DE7">
        <w:rPr>
          <w:rFonts w:ascii="Tahoma" w:hAnsi="Tahoma" w:cs="Tahoma"/>
        </w:rPr>
        <w:t>% del valor de las pretensiones</w:t>
      </w:r>
      <w:r w:rsidR="00F47F0E" w:rsidRPr="00D16DE7">
        <w:rPr>
          <w:rFonts w:ascii="Tahoma" w:hAnsi="Tahoma" w:cs="Tahoma"/>
        </w:rPr>
        <w:t>,</w:t>
      </w:r>
      <w:r w:rsidRPr="00D16DE7">
        <w:rPr>
          <w:rFonts w:ascii="Tahoma" w:hAnsi="Tahoma" w:cs="Tahoma"/>
        </w:rPr>
        <w:t xml:space="preserve"> y que</w:t>
      </w:r>
      <w:r w:rsidR="00506E91" w:rsidRPr="00D16DE7">
        <w:rPr>
          <w:rFonts w:ascii="Tahoma" w:hAnsi="Tahoma" w:cs="Tahoma"/>
        </w:rPr>
        <w:t>,</w:t>
      </w:r>
      <w:r w:rsidRPr="00D16DE7">
        <w:rPr>
          <w:rFonts w:ascii="Tahoma" w:hAnsi="Tahoma" w:cs="Tahoma"/>
        </w:rPr>
        <w:t xml:space="preserve"> sumado a los gastos y al monto de las agencias de primera instancia, arroja una cifra definitiva de </w:t>
      </w:r>
      <w:r w:rsidRPr="00D16DE7">
        <w:rPr>
          <w:rFonts w:ascii="Tahoma" w:hAnsi="Tahoma" w:cs="Tahoma"/>
          <w:b/>
        </w:rPr>
        <w:t>$</w:t>
      </w:r>
      <w:r w:rsidR="00F278A6" w:rsidRPr="00D16DE7">
        <w:rPr>
          <w:rFonts w:ascii="Tahoma" w:hAnsi="Tahoma" w:cs="Tahoma"/>
          <w:b/>
        </w:rPr>
        <w:t>2.880.543</w:t>
      </w:r>
      <w:r w:rsidRPr="00D16DE7">
        <w:rPr>
          <w:rFonts w:ascii="Tahoma" w:hAnsi="Tahoma" w:cs="Tahoma"/>
        </w:rPr>
        <w:t xml:space="preserve"> pesos por concepto de las costas del proceso.</w:t>
      </w:r>
    </w:p>
    <w:p w:rsidR="00F47F0E" w:rsidRPr="00D16DE7" w:rsidRDefault="00F47F0E" w:rsidP="00D16DE7">
      <w:pPr>
        <w:pStyle w:val="NormalWeb"/>
        <w:spacing w:before="0" w:beforeAutospacing="0" w:after="0" w:afterAutospacing="0" w:line="288" w:lineRule="auto"/>
        <w:jc w:val="both"/>
        <w:rPr>
          <w:rFonts w:ascii="Tahoma" w:hAnsi="Tahoma" w:cs="Tahoma"/>
        </w:rPr>
      </w:pPr>
    </w:p>
    <w:p w:rsidR="00F47F0E" w:rsidRPr="00D16DE7" w:rsidRDefault="00F47F0E" w:rsidP="00D16DE7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16DE7">
        <w:rPr>
          <w:rFonts w:ascii="Tahoma" w:hAnsi="Tahoma" w:cs="Tahoma"/>
          <w:sz w:val="24"/>
          <w:szCs w:val="24"/>
        </w:rPr>
        <w:t xml:space="preserve">En mérito de lo expuesto, la </w:t>
      </w:r>
      <w:r w:rsidRPr="00D16DE7">
        <w:rPr>
          <w:rFonts w:ascii="Tahoma" w:hAnsi="Tahoma" w:cs="Tahoma"/>
          <w:b/>
          <w:sz w:val="24"/>
          <w:szCs w:val="24"/>
        </w:rPr>
        <w:t>Sala No. 1 de Decisión Laboral del Tribunal Superior de Pereira</w:t>
      </w:r>
      <w:r w:rsidRPr="00D16DE7">
        <w:rPr>
          <w:rFonts w:ascii="Tahoma" w:hAnsi="Tahoma" w:cs="Tahoma"/>
          <w:sz w:val="24"/>
          <w:szCs w:val="24"/>
        </w:rPr>
        <w:t xml:space="preserve">, </w:t>
      </w:r>
    </w:p>
    <w:p w:rsidR="00F47F0E" w:rsidRPr="00D16DE7" w:rsidRDefault="00F47F0E" w:rsidP="00D16DE7">
      <w:pPr>
        <w:spacing w:line="288" w:lineRule="auto"/>
        <w:jc w:val="both"/>
        <w:rPr>
          <w:rFonts w:ascii="Tahoma" w:hAnsi="Tahoma" w:cs="Tahoma"/>
          <w:sz w:val="24"/>
          <w:szCs w:val="24"/>
        </w:rPr>
      </w:pPr>
    </w:p>
    <w:p w:rsidR="00F47F0E" w:rsidRPr="00D16DE7" w:rsidRDefault="00F47F0E" w:rsidP="00D16DE7">
      <w:pPr>
        <w:pStyle w:val="Textoindependiente"/>
        <w:spacing w:line="288" w:lineRule="auto"/>
        <w:jc w:val="center"/>
        <w:rPr>
          <w:rFonts w:ascii="Tahoma" w:hAnsi="Tahoma" w:cs="Tahoma"/>
          <w:b/>
          <w:sz w:val="24"/>
          <w:szCs w:val="24"/>
        </w:rPr>
      </w:pPr>
      <w:r w:rsidRPr="00D16DE7">
        <w:rPr>
          <w:rFonts w:ascii="Tahoma" w:hAnsi="Tahoma" w:cs="Tahoma"/>
          <w:b/>
          <w:sz w:val="24"/>
          <w:szCs w:val="24"/>
        </w:rPr>
        <w:t>RESUELVE</w:t>
      </w:r>
    </w:p>
    <w:p w:rsidR="00F47F0E" w:rsidRPr="00D16DE7" w:rsidRDefault="00F47F0E" w:rsidP="00D16DE7">
      <w:pPr>
        <w:pStyle w:val="Textoindependiente"/>
        <w:spacing w:line="288" w:lineRule="auto"/>
        <w:rPr>
          <w:rFonts w:ascii="Tahoma" w:hAnsi="Tahoma" w:cs="Tahoma"/>
          <w:sz w:val="24"/>
          <w:szCs w:val="24"/>
        </w:rPr>
      </w:pPr>
    </w:p>
    <w:p w:rsidR="00F47F0E" w:rsidRPr="00D16DE7" w:rsidRDefault="00F47F0E" w:rsidP="00D16DE7">
      <w:pPr>
        <w:spacing w:line="288" w:lineRule="auto"/>
        <w:ind w:right="20" w:firstLine="708"/>
        <w:jc w:val="both"/>
        <w:rPr>
          <w:rFonts w:ascii="Tahoma" w:hAnsi="Tahoma" w:cs="Tahoma"/>
          <w:sz w:val="24"/>
          <w:szCs w:val="24"/>
        </w:rPr>
      </w:pPr>
      <w:r w:rsidRPr="00D16DE7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PRIMERO: COMPLEMENTAR </w:t>
      </w:r>
      <w:r w:rsidRPr="00D16DE7">
        <w:rPr>
          <w:rFonts w:ascii="Tahoma" w:eastAsia="Times New Roman" w:hAnsi="Tahoma" w:cs="Tahoma"/>
          <w:sz w:val="24"/>
          <w:szCs w:val="24"/>
          <w:lang w:val="es-ES_tradnl" w:eastAsia="es-ES"/>
        </w:rPr>
        <w:t xml:space="preserve">en sede de apelaciones el auto del 14 de diciembre de 2014, mediante el cual se aprobó la liquidación de costas en la suma de $1.077.000, en el sentido de adicionar a dicho monto la suma correspondiente a las agencias en derecho de primera instancia, las cuales se fijan en la suma de </w:t>
      </w:r>
      <w:r w:rsidRPr="00D16DE7">
        <w:rPr>
          <w:rFonts w:ascii="Tahoma" w:hAnsi="Tahoma" w:cs="Tahoma"/>
          <w:sz w:val="24"/>
          <w:szCs w:val="24"/>
        </w:rPr>
        <w:t>$</w:t>
      </w:r>
      <w:r w:rsidR="00F278A6" w:rsidRPr="00D16DE7">
        <w:rPr>
          <w:rFonts w:ascii="Tahoma" w:hAnsi="Tahoma" w:cs="Tahoma"/>
          <w:sz w:val="24"/>
          <w:szCs w:val="24"/>
        </w:rPr>
        <w:t>1.803.543</w:t>
      </w:r>
      <w:r w:rsidRPr="00D16DE7">
        <w:rPr>
          <w:rFonts w:ascii="Tahoma" w:hAnsi="Tahoma" w:cs="Tahoma"/>
          <w:sz w:val="24"/>
          <w:szCs w:val="24"/>
        </w:rPr>
        <w:t>.</w:t>
      </w:r>
    </w:p>
    <w:p w:rsidR="00F47F0E" w:rsidRPr="00D16DE7" w:rsidRDefault="00F47F0E" w:rsidP="00D16DE7">
      <w:pPr>
        <w:spacing w:line="288" w:lineRule="auto"/>
        <w:ind w:right="20" w:firstLine="708"/>
        <w:jc w:val="both"/>
        <w:rPr>
          <w:rFonts w:ascii="Tahoma" w:hAnsi="Tahoma" w:cs="Tahoma"/>
          <w:sz w:val="24"/>
          <w:szCs w:val="24"/>
        </w:rPr>
      </w:pPr>
    </w:p>
    <w:p w:rsidR="00F47F0E" w:rsidRPr="00D16DE7" w:rsidRDefault="00F47F0E" w:rsidP="00D16DE7">
      <w:pPr>
        <w:spacing w:line="288" w:lineRule="auto"/>
        <w:ind w:right="20" w:firstLine="708"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D16DE7">
        <w:rPr>
          <w:rFonts w:ascii="Tahoma" w:hAnsi="Tahoma" w:cs="Tahoma"/>
          <w:b/>
          <w:sz w:val="24"/>
          <w:szCs w:val="24"/>
        </w:rPr>
        <w:t>SEGUNDO: APROBAR</w:t>
      </w:r>
      <w:r w:rsidRPr="00D16DE7">
        <w:rPr>
          <w:rFonts w:ascii="Tahoma" w:hAnsi="Tahoma" w:cs="Tahoma"/>
          <w:sz w:val="24"/>
          <w:szCs w:val="24"/>
        </w:rPr>
        <w:t xml:space="preserve"> las costas del </w:t>
      </w:r>
      <w:r w:rsidR="00E57722" w:rsidRPr="00D16DE7">
        <w:rPr>
          <w:rFonts w:ascii="Tahoma" w:hAnsi="Tahoma" w:cs="Tahoma"/>
          <w:sz w:val="24"/>
          <w:szCs w:val="24"/>
        </w:rPr>
        <w:t xml:space="preserve">presente </w:t>
      </w:r>
      <w:r w:rsidRPr="00D16DE7">
        <w:rPr>
          <w:rFonts w:ascii="Tahoma" w:hAnsi="Tahoma" w:cs="Tahoma"/>
          <w:sz w:val="24"/>
          <w:szCs w:val="24"/>
        </w:rPr>
        <w:t xml:space="preserve">proceso en la suma definitiva de </w:t>
      </w:r>
      <w:r w:rsidR="00C33678" w:rsidRPr="00D16DE7">
        <w:rPr>
          <w:rFonts w:ascii="Tahoma" w:hAnsi="Tahoma" w:cs="Tahoma"/>
          <w:b/>
          <w:color w:val="333333"/>
          <w:sz w:val="24"/>
          <w:szCs w:val="24"/>
        </w:rPr>
        <w:t>$</w:t>
      </w:r>
      <w:r w:rsidR="00F278A6" w:rsidRPr="00D16DE7">
        <w:rPr>
          <w:rFonts w:ascii="Tahoma" w:hAnsi="Tahoma" w:cs="Tahoma"/>
          <w:b/>
          <w:sz w:val="24"/>
          <w:szCs w:val="24"/>
        </w:rPr>
        <w:t>2.880.543</w:t>
      </w:r>
      <w:r w:rsidR="00C33678" w:rsidRPr="00D16DE7">
        <w:rPr>
          <w:rFonts w:ascii="Tahoma" w:hAnsi="Tahoma" w:cs="Tahoma"/>
          <w:sz w:val="24"/>
          <w:szCs w:val="24"/>
        </w:rPr>
        <w:t xml:space="preserve"> </w:t>
      </w:r>
      <w:r w:rsidRPr="00D16DE7">
        <w:rPr>
          <w:rFonts w:ascii="Tahoma" w:hAnsi="Tahoma" w:cs="Tahoma"/>
          <w:color w:val="333333"/>
          <w:sz w:val="24"/>
          <w:szCs w:val="24"/>
        </w:rPr>
        <w:t xml:space="preserve">pesos. </w:t>
      </w:r>
      <w:r w:rsidRPr="00D16DE7">
        <w:rPr>
          <w:rFonts w:ascii="Tahoma" w:hAnsi="Tahoma" w:cs="Tahoma"/>
          <w:sz w:val="24"/>
          <w:szCs w:val="24"/>
        </w:rPr>
        <w:t xml:space="preserve"> </w:t>
      </w:r>
      <w:r w:rsidRPr="00D16DE7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 </w:t>
      </w:r>
    </w:p>
    <w:p w:rsidR="00F47F0E" w:rsidRPr="00D16DE7" w:rsidRDefault="00F47F0E" w:rsidP="00D16DE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F47F0E" w:rsidRPr="00D16DE7" w:rsidRDefault="00D16DE7" w:rsidP="00D16DE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Tahoma" w:cs="Tahoma"/>
          <w:b/>
          <w:sz w:val="24"/>
          <w:szCs w:val="24"/>
          <w:lang w:val="es-ES_tradnl" w:eastAsia="es-ES"/>
        </w:rPr>
      </w:pPr>
      <w:r w:rsidRPr="00D16DE7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NOTIFÍQUESE</w:t>
      </w:r>
      <w:r w:rsidR="00F47F0E" w:rsidRPr="00D16DE7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 Y </w:t>
      </w:r>
      <w:r w:rsidRPr="00D16DE7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>CÚMPLASE</w:t>
      </w:r>
      <w:r w:rsidR="00F47F0E" w:rsidRPr="00D16DE7">
        <w:rPr>
          <w:rFonts w:ascii="Tahoma" w:eastAsia="Times New Roman" w:hAnsi="Tahoma" w:cs="Tahoma"/>
          <w:b/>
          <w:sz w:val="24"/>
          <w:szCs w:val="24"/>
          <w:lang w:val="es-ES_tradnl" w:eastAsia="es-ES"/>
        </w:rPr>
        <w:t xml:space="preserve"> </w:t>
      </w:r>
    </w:p>
    <w:p w:rsidR="00F47F0E" w:rsidRPr="00D16DE7" w:rsidRDefault="00F47F0E" w:rsidP="00D16DE7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Tahoma" w:eastAsia="Times New Roman" w:hAnsi="Tahoma" w:cs="Tahoma"/>
          <w:sz w:val="24"/>
          <w:szCs w:val="24"/>
          <w:lang w:val="es-ES_tradnl" w:eastAsia="es-ES"/>
        </w:rPr>
      </w:pPr>
    </w:p>
    <w:p w:rsidR="00F47F0E" w:rsidRPr="00D16DE7" w:rsidRDefault="00F47F0E" w:rsidP="00D16DE7">
      <w:pPr>
        <w:spacing w:line="288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16DE7">
        <w:rPr>
          <w:rFonts w:ascii="Tahoma" w:hAnsi="Tahoma" w:cs="Tahoma"/>
          <w:sz w:val="24"/>
          <w:szCs w:val="24"/>
        </w:rPr>
        <w:t>La Magistrada ponente,</w:t>
      </w:r>
    </w:p>
    <w:p w:rsidR="00F278A6" w:rsidRDefault="00F278A6" w:rsidP="00D16DE7">
      <w:pPr>
        <w:spacing w:line="288" w:lineRule="auto"/>
        <w:rPr>
          <w:rFonts w:ascii="Tahoma" w:hAnsi="Tahoma" w:cs="Tahoma"/>
          <w:sz w:val="24"/>
          <w:szCs w:val="24"/>
        </w:rPr>
      </w:pPr>
    </w:p>
    <w:p w:rsidR="00D16DE7" w:rsidRDefault="00D16DE7" w:rsidP="00D16DE7">
      <w:pPr>
        <w:spacing w:line="288" w:lineRule="auto"/>
        <w:rPr>
          <w:rFonts w:ascii="Tahoma" w:hAnsi="Tahoma" w:cs="Tahoma"/>
          <w:sz w:val="24"/>
          <w:szCs w:val="24"/>
        </w:rPr>
      </w:pPr>
    </w:p>
    <w:p w:rsidR="00D16DE7" w:rsidRPr="00D16DE7" w:rsidRDefault="00D16DE7" w:rsidP="00D16DE7">
      <w:pPr>
        <w:spacing w:line="288" w:lineRule="auto"/>
        <w:rPr>
          <w:rFonts w:ascii="Tahoma" w:hAnsi="Tahoma" w:cs="Tahoma"/>
          <w:sz w:val="24"/>
          <w:szCs w:val="24"/>
        </w:rPr>
      </w:pPr>
    </w:p>
    <w:p w:rsidR="00F47F0E" w:rsidRPr="00D16DE7" w:rsidRDefault="00F47F0E" w:rsidP="00D16DE7">
      <w:pPr>
        <w:pStyle w:val="Ttulo3"/>
        <w:spacing w:before="0" w:line="288" w:lineRule="auto"/>
        <w:jc w:val="center"/>
        <w:rPr>
          <w:rFonts w:ascii="Tahoma" w:hAnsi="Tahoma" w:cs="Tahoma"/>
          <w:b/>
          <w:bCs/>
        </w:rPr>
      </w:pPr>
      <w:r w:rsidRPr="00D16DE7">
        <w:rPr>
          <w:rFonts w:ascii="Tahoma" w:hAnsi="Tahoma" w:cs="Tahoma"/>
          <w:b/>
          <w:color w:val="auto"/>
        </w:rPr>
        <w:t>ANA LUCÍA CAICEDO CALDERÓN</w:t>
      </w:r>
    </w:p>
    <w:p w:rsidR="00F47F0E" w:rsidRDefault="00F47F0E" w:rsidP="00D16DE7">
      <w:pPr>
        <w:spacing w:line="288" w:lineRule="auto"/>
        <w:rPr>
          <w:rFonts w:ascii="Tahoma" w:hAnsi="Tahoma" w:cs="Tahoma"/>
          <w:b/>
          <w:sz w:val="24"/>
          <w:szCs w:val="24"/>
        </w:rPr>
      </w:pPr>
    </w:p>
    <w:p w:rsidR="00D16DE7" w:rsidRPr="00D16DE7" w:rsidRDefault="00D16DE7" w:rsidP="00D16DE7">
      <w:pPr>
        <w:spacing w:line="288" w:lineRule="auto"/>
        <w:rPr>
          <w:rFonts w:ascii="Tahoma" w:hAnsi="Tahoma" w:cs="Tahoma"/>
          <w:b/>
          <w:sz w:val="24"/>
          <w:szCs w:val="24"/>
        </w:rPr>
      </w:pPr>
    </w:p>
    <w:p w:rsidR="00F278A6" w:rsidRPr="00D16DE7" w:rsidRDefault="00F278A6" w:rsidP="00D16DE7">
      <w:pPr>
        <w:spacing w:line="288" w:lineRule="auto"/>
        <w:rPr>
          <w:rFonts w:ascii="Tahoma" w:hAnsi="Tahoma" w:cs="Tahoma"/>
          <w:b/>
          <w:sz w:val="24"/>
          <w:szCs w:val="24"/>
        </w:rPr>
      </w:pPr>
    </w:p>
    <w:p w:rsidR="00F47F0E" w:rsidRPr="00D16DE7" w:rsidRDefault="00F47F0E" w:rsidP="00D16DE7">
      <w:pPr>
        <w:spacing w:line="288" w:lineRule="auto"/>
        <w:rPr>
          <w:rFonts w:ascii="Tahoma" w:hAnsi="Tahoma" w:cs="Tahoma"/>
          <w:b/>
          <w:sz w:val="24"/>
          <w:szCs w:val="24"/>
        </w:rPr>
      </w:pPr>
      <w:r w:rsidRPr="00D16DE7">
        <w:rPr>
          <w:rFonts w:ascii="Tahoma" w:hAnsi="Tahoma" w:cs="Tahoma"/>
          <w:b/>
          <w:sz w:val="24"/>
          <w:szCs w:val="24"/>
        </w:rPr>
        <w:t xml:space="preserve">OLGA LUCÍA HOYOS </w:t>
      </w:r>
      <w:r w:rsidR="00D16DE7" w:rsidRPr="00D16DE7">
        <w:rPr>
          <w:rFonts w:ascii="Tahoma" w:hAnsi="Tahoma" w:cs="Tahoma"/>
          <w:b/>
          <w:sz w:val="24"/>
          <w:szCs w:val="24"/>
        </w:rPr>
        <w:t>SEPÚLVEDA</w:t>
      </w:r>
      <w:r w:rsidRPr="00D16DE7">
        <w:rPr>
          <w:rFonts w:ascii="Tahoma" w:hAnsi="Tahoma" w:cs="Tahoma"/>
          <w:b/>
          <w:sz w:val="24"/>
          <w:szCs w:val="24"/>
        </w:rPr>
        <w:t xml:space="preserve">                  JULIO CÉSAR SALAZAR MUÑOZ                                  </w:t>
      </w:r>
    </w:p>
    <w:p w:rsidR="00A7383E" w:rsidRPr="00D16DE7" w:rsidRDefault="00F47F0E" w:rsidP="00D16DE7">
      <w:pPr>
        <w:spacing w:line="288" w:lineRule="auto"/>
        <w:ind w:firstLine="708"/>
        <w:rPr>
          <w:rFonts w:ascii="Tahoma" w:hAnsi="Tahoma" w:cs="Tahoma"/>
          <w:sz w:val="24"/>
          <w:szCs w:val="24"/>
        </w:rPr>
      </w:pPr>
      <w:r w:rsidRPr="00D16DE7">
        <w:rPr>
          <w:rFonts w:ascii="Tahoma" w:hAnsi="Tahoma" w:cs="Tahoma"/>
          <w:sz w:val="24"/>
          <w:szCs w:val="24"/>
        </w:rPr>
        <w:t xml:space="preserve">   Magistrada                                     </w:t>
      </w:r>
      <w:r w:rsidR="00D16DE7">
        <w:rPr>
          <w:rFonts w:ascii="Tahoma" w:hAnsi="Tahoma" w:cs="Tahoma"/>
          <w:sz w:val="24"/>
          <w:szCs w:val="24"/>
        </w:rPr>
        <w:t xml:space="preserve">            </w:t>
      </w:r>
      <w:r w:rsidR="00F278A6" w:rsidRPr="00D16DE7">
        <w:rPr>
          <w:rFonts w:ascii="Tahoma" w:hAnsi="Tahoma" w:cs="Tahoma"/>
          <w:sz w:val="24"/>
          <w:szCs w:val="24"/>
        </w:rPr>
        <w:t xml:space="preserve"> </w:t>
      </w:r>
      <w:r w:rsidRPr="00D16DE7">
        <w:rPr>
          <w:rFonts w:ascii="Tahoma" w:hAnsi="Tahoma" w:cs="Tahoma"/>
          <w:sz w:val="24"/>
          <w:szCs w:val="24"/>
        </w:rPr>
        <w:t>Magistrado</w:t>
      </w:r>
      <w:r w:rsidR="00F278A6" w:rsidRPr="00D16DE7">
        <w:rPr>
          <w:rFonts w:ascii="Tahoma" w:hAnsi="Tahoma" w:cs="Tahoma"/>
          <w:sz w:val="24"/>
          <w:szCs w:val="24"/>
        </w:rPr>
        <w:t xml:space="preserve"> (en permiso)</w:t>
      </w:r>
      <w:bookmarkStart w:id="0" w:name="_GoBack"/>
      <w:bookmarkEnd w:id="0"/>
    </w:p>
    <w:sectPr w:rsidR="00A7383E" w:rsidRPr="00D16DE7" w:rsidSect="00DD459C">
      <w:headerReference w:type="default" r:id="rId7"/>
      <w:footerReference w:type="default" r:id="rId8"/>
      <w:pgSz w:w="12242" w:h="18722" w:code="14"/>
      <w:pgMar w:top="1871" w:right="1304" w:bottom="130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E9" w:rsidRDefault="000252E9" w:rsidP="0045794D">
      <w:pPr>
        <w:spacing w:line="240" w:lineRule="auto"/>
      </w:pPr>
      <w:r>
        <w:separator/>
      </w:r>
    </w:p>
  </w:endnote>
  <w:endnote w:type="continuationSeparator" w:id="0">
    <w:p w:rsidR="000252E9" w:rsidRDefault="000252E9" w:rsidP="00457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29468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E57722" w:rsidRPr="00DD459C" w:rsidRDefault="00E57722">
        <w:pPr>
          <w:pStyle w:val="Piedepgina"/>
          <w:jc w:val="right"/>
          <w:rPr>
            <w:rFonts w:ascii="Arial" w:hAnsi="Arial" w:cs="Arial"/>
            <w:sz w:val="18"/>
          </w:rPr>
        </w:pPr>
        <w:r w:rsidRPr="00DD459C">
          <w:rPr>
            <w:rFonts w:ascii="Arial" w:hAnsi="Arial" w:cs="Arial"/>
            <w:sz w:val="18"/>
          </w:rPr>
          <w:fldChar w:fldCharType="begin"/>
        </w:r>
        <w:r w:rsidRPr="00DD459C">
          <w:rPr>
            <w:rFonts w:ascii="Arial" w:hAnsi="Arial" w:cs="Arial"/>
            <w:sz w:val="18"/>
          </w:rPr>
          <w:instrText>PAGE   \* MERGEFORMAT</w:instrText>
        </w:r>
        <w:r w:rsidRPr="00DD459C">
          <w:rPr>
            <w:rFonts w:ascii="Arial" w:hAnsi="Arial" w:cs="Arial"/>
            <w:sz w:val="18"/>
          </w:rPr>
          <w:fldChar w:fldCharType="separate"/>
        </w:r>
        <w:r w:rsidR="00B701A5">
          <w:rPr>
            <w:rFonts w:ascii="Arial" w:hAnsi="Arial" w:cs="Arial"/>
            <w:noProof/>
            <w:sz w:val="18"/>
          </w:rPr>
          <w:t>4</w:t>
        </w:r>
        <w:r w:rsidRPr="00DD459C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E9" w:rsidRDefault="000252E9" w:rsidP="0045794D">
      <w:pPr>
        <w:spacing w:line="240" w:lineRule="auto"/>
      </w:pPr>
      <w:r>
        <w:separator/>
      </w:r>
    </w:p>
  </w:footnote>
  <w:footnote w:type="continuationSeparator" w:id="0">
    <w:p w:rsidR="000252E9" w:rsidRDefault="000252E9" w:rsidP="00457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22" w:rsidRPr="00DD459C" w:rsidRDefault="00E57722">
    <w:pPr>
      <w:pStyle w:val="Encabezado"/>
      <w:rPr>
        <w:rFonts w:ascii="Arial" w:hAnsi="Arial" w:cs="Arial"/>
        <w:sz w:val="18"/>
        <w:szCs w:val="16"/>
        <w:lang w:val="es-CO"/>
      </w:rPr>
    </w:pPr>
    <w:r w:rsidRPr="00DD459C">
      <w:rPr>
        <w:rFonts w:ascii="Arial" w:hAnsi="Arial" w:cs="Arial"/>
        <w:sz w:val="18"/>
        <w:szCs w:val="16"/>
        <w:lang w:val="es-CO"/>
      </w:rPr>
      <w:t xml:space="preserve">Demandante: </w:t>
    </w:r>
    <w:proofErr w:type="spellStart"/>
    <w:r w:rsidRPr="00DD459C">
      <w:rPr>
        <w:rFonts w:ascii="Arial" w:hAnsi="Arial" w:cs="Arial"/>
        <w:sz w:val="18"/>
        <w:szCs w:val="16"/>
        <w:lang w:val="es-CO"/>
      </w:rPr>
      <w:t>Hermel</w:t>
    </w:r>
    <w:proofErr w:type="spellEnd"/>
    <w:r w:rsidRPr="00DD459C">
      <w:rPr>
        <w:rFonts w:ascii="Arial" w:hAnsi="Arial" w:cs="Arial"/>
        <w:sz w:val="18"/>
        <w:szCs w:val="16"/>
        <w:lang w:val="es-CO"/>
      </w:rPr>
      <w:t xml:space="preserve"> Antonio Herrera</w:t>
    </w:r>
  </w:p>
  <w:p w:rsidR="00E57722" w:rsidRPr="00DD459C" w:rsidRDefault="00E57722">
    <w:pPr>
      <w:pStyle w:val="Encabezado"/>
      <w:rPr>
        <w:rFonts w:ascii="Arial" w:hAnsi="Arial" w:cs="Arial"/>
        <w:sz w:val="18"/>
        <w:szCs w:val="16"/>
        <w:lang w:val="es-CO"/>
      </w:rPr>
    </w:pPr>
    <w:r w:rsidRPr="00DD459C">
      <w:rPr>
        <w:rFonts w:ascii="Arial" w:hAnsi="Arial" w:cs="Arial"/>
        <w:sz w:val="18"/>
        <w:szCs w:val="16"/>
        <w:lang w:val="es-CO"/>
      </w:rPr>
      <w:t xml:space="preserve">Demandado: </w:t>
    </w:r>
    <w:proofErr w:type="spellStart"/>
    <w:r w:rsidRPr="00DD459C">
      <w:rPr>
        <w:rFonts w:ascii="Arial" w:hAnsi="Arial" w:cs="Arial"/>
        <w:sz w:val="18"/>
        <w:szCs w:val="16"/>
        <w:lang w:val="es-CO"/>
      </w:rPr>
      <w:t>Cival</w:t>
    </w:r>
    <w:proofErr w:type="spellEnd"/>
    <w:r w:rsidRPr="00DD459C">
      <w:rPr>
        <w:rFonts w:ascii="Arial" w:hAnsi="Arial" w:cs="Arial"/>
        <w:sz w:val="18"/>
        <w:szCs w:val="16"/>
        <w:lang w:val="es-CO"/>
      </w:rPr>
      <w:t xml:space="preserve"> Constructores y otros</w:t>
    </w:r>
  </w:p>
  <w:p w:rsidR="00E57722" w:rsidRPr="00DD459C" w:rsidRDefault="00E57722">
    <w:pPr>
      <w:pStyle w:val="Encabezado"/>
      <w:rPr>
        <w:rFonts w:ascii="Arial" w:hAnsi="Arial" w:cs="Arial"/>
        <w:sz w:val="18"/>
        <w:szCs w:val="16"/>
        <w:lang w:val="es-CO"/>
      </w:rPr>
    </w:pPr>
    <w:r w:rsidRPr="00DD459C">
      <w:rPr>
        <w:rFonts w:ascii="Arial" w:hAnsi="Arial" w:cs="Arial"/>
        <w:sz w:val="18"/>
        <w:szCs w:val="16"/>
        <w:lang w:val="es-CO"/>
      </w:rPr>
      <w:t>Rad.: 2006-00827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93"/>
    <w:rsid w:val="00012217"/>
    <w:rsid w:val="000252E9"/>
    <w:rsid w:val="00067214"/>
    <w:rsid w:val="00195A80"/>
    <w:rsid w:val="002045B0"/>
    <w:rsid w:val="002D17D2"/>
    <w:rsid w:val="002E7E50"/>
    <w:rsid w:val="00306B88"/>
    <w:rsid w:val="004427F1"/>
    <w:rsid w:val="0045794D"/>
    <w:rsid w:val="004E6192"/>
    <w:rsid w:val="00506E91"/>
    <w:rsid w:val="00531662"/>
    <w:rsid w:val="005A25AD"/>
    <w:rsid w:val="005C63DA"/>
    <w:rsid w:val="006768B0"/>
    <w:rsid w:val="007019D9"/>
    <w:rsid w:val="00710120"/>
    <w:rsid w:val="00726638"/>
    <w:rsid w:val="0075048B"/>
    <w:rsid w:val="00755104"/>
    <w:rsid w:val="007A4CEC"/>
    <w:rsid w:val="00933D99"/>
    <w:rsid w:val="00990CE4"/>
    <w:rsid w:val="009B1793"/>
    <w:rsid w:val="00A24D68"/>
    <w:rsid w:val="00A30B67"/>
    <w:rsid w:val="00A31B28"/>
    <w:rsid w:val="00A7383E"/>
    <w:rsid w:val="00B701A5"/>
    <w:rsid w:val="00B8267C"/>
    <w:rsid w:val="00BA5C4D"/>
    <w:rsid w:val="00C269DE"/>
    <w:rsid w:val="00C33678"/>
    <w:rsid w:val="00C476FB"/>
    <w:rsid w:val="00C73CE2"/>
    <w:rsid w:val="00D16DE7"/>
    <w:rsid w:val="00DD459C"/>
    <w:rsid w:val="00E10E0C"/>
    <w:rsid w:val="00E10E5F"/>
    <w:rsid w:val="00E57722"/>
    <w:rsid w:val="00EC171D"/>
    <w:rsid w:val="00F278A6"/>
    <w:rsid w:val="00F47F0E"/>
    <w:rsid w:val="00F9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97BB51-9C35-4B48-AFD3-AF58D206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94D"/>
    <w:pPr>
      <w:spacing w:line="360" w:lineRule="auto"/>
      <w:ind w:firstLine="0"/>
      <w:jc w:val="left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579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794D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579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794D"/>
    <w:rPr>
      <w:rFonts w:asciiTheme="majorHAnsi" w:eastAsiaTheme="majorEastAsia" w:hAnsiTheme="majorHAnsi" w:cstheme="majorBidi"/>
      <w:i/>
      <w:iCs/>
      <w:color w:val="2E74B5" w:themeColor="accent1" w:themeShade="BF"/>
      <w:lang w:val="es-CO"/>
    </w:rPr>
  </w:style>
  <w:style w:type="paragraph" w:styleId="NormalWeb">
    <w:name w:val="Normal (Web)"/>
    <w:basedOn w:val="Normal"/>
    <w:uiPriority w:val="99"/>
    <w:unhideWhenUsed/>
    <w:rsid w:val="0045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794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94D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5794D"/>
    <w:pPr>
      <w:jc w:val="both"/>
    </w:pPr>
    <w:rPr>
      <w:rFonts w:ascii="Arial" w:eastAsia="Times New Roman" w:hAnsi="Arial" w:cs="Times New Roman"/>
      <w:sz w:val="26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5794D"/>
    <w:rPr>
      <w:rFonts w:ascii="Arial" w:eastAsia="Times New Roman" w:hAnsi="Arial" w:cs="Times New Roman"/>
      <w:sz w:val="26"/>
      <w:szCs w:val="20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45794D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45794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5772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722"/>
  </w:style>
  <w:style w:type="paragraph" w:styleId="Piedepgina">
    <w:name w:val="footer"/>
    <w:basedOn w:val="Normal"/>
    <w:link w:val="PiedepginaCar"/>
    <w:uiPriority w:val="99"/>
    <w:unhideWhenUsed/>
    <w:rsid w:val="00E5772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722"/>
  </w:style>
  <w:style w:type="paragraph" w:styleId="Textodeglobo">
    <w:name w:val="Balloon Text"/>
    <w:basedOn w:val="Normal"/>
    <w:link w:val="TextodegloboCar"/>
    <w:uiPriority w:val="99"/>
    <w:semiHidden/>
    <w:unhideWhenUsed/>
    <w:rsid w:val="00E5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CBD3-3F49-48C1-952E-24E445D2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1553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Garces Moncada</dc:creator>
  <cp:keywords/>
  <dc:description/>
  <cp:lastModifiedBy>Henry Lora Rodriguez</cp:lastModifiedBy>
  <cp:revision>5</cp:revision>
  <cp:lastPrinted>2019-05-10T19:08:00Z</cp:lastPrinted>
  <dcterms:created xsi:type="dcterms:W3CDTF">2019-06-11T13:38:00Z</dcterms:created>
  <dcterms:modified xsi:type="dcterms:W3CDTF">2019-06-20T14:34:00Z</dcterms:modified>
</cp:coreProperties>
</file>