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3C" w:rsidRPr="0091443C" w:rsidRDefault="0091443C" w:rsidP="0091443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91443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1443C" w:rsidRPr="0091443C" w:rsidRDefault="0091443C" w:rsidP="0091443C">
      <w:pPr>
        <w:jc w:val="both"/>
        <w:rPr>
          <w:rFonts w:ascii="Arial" w:hAnsi="Arial" w:cs="Arial"/>
          <w:lang w:val="es-419"/>
        </w:rPr>
      </w:pPr>
    </w:p>
    <w:p w:rsidR="0091443C" w:rsidRDefault="0091443C" w:rsidP="0091443C">
      <w:pPr>
        <w:jc w:val="both"/>
        <w:rPr>
          <w:rFonts w:ascii="Arial" w:hAnsi="Arial" w:cs="Arial"/>
          <w:lang w:val="es-419"/>
        </w:rPr>
      </w:pPr>
      <w:r w:rsidRPr="0091443C">
        <w:rPr>
          <w:rFonts w:ascii="Arial" w:hAnsi="Arial" w:cs="Arial"/>
          <w:lang w:val="es-419"/>
        </w:rPr>
        <w:t>Radicado:</w:t>
      </w:r>
      <w:r>
        <w:rPr>
          <w:rFonts w:ascii="Arial" w:hAnsi="Arial" w:cs="Arial"/>
          <w:lang w:val="es-419"/>
        </w:rPr>
        <w:tab/>
      </w:r>
      <w:r w:rsidRPr="0091443C">
        <w:rPr>
          <w:rFonts w:ascii="Arial" w:hAnsi="Arial" w:cs="Arial"/>
          <w:lang w:val="es-419"/>
        </w:rPr>
        <w:t>66001-31-05-002-2013-00202-01</w:t>
      </w:r>
    </w:p>
    <w:p w:rsidR="0091443C" w:rsidRPr="0091443C" w:rsidRDefault="0091443C" w:rsidP="0091443C">
      <w:pPr>
        <w:jc w:val="both"/>
        <w:rPr>
          <w:rFonts w:ascii="Arial" w:hAnsi="Arial" w:cs="Arial"/>
          <w:lang w:val="es-CO"/>
        </w:rPr>
      </w:pPr>
      <w:r>
        <w:rPr>
          <w:rFonts w:ascii="Arial" w:hAnsi="Arial" w:cs="Arial"/>
          <w:lang w:val="es-CO"/>
        </w:rPr>
        <w:t>Proceso:</w:t>
      </w:r>
      <w:r>
        <w:rPr>
          <w:rFonts w:ascii="Arial" w:hAnsi="Arial" w:cs="Arial"/>
          <w:lang w:val="es-CO"/>
        </w:rPr>
        <w:tab/>
        <w:t>Ejecutivo laboral</w:t>
      </w:r>
    </w:p>
    <w:p w:rsidR="0091443C" w:rsidRPr="0091443C" w:rsidRDefault="0091443C" w:rsidP="0091443C">
      <w:pPr>
        <w:jc w:val="both"/>
        <w:rPr>
          <w:rFonts w:ascii="Arial" w:hAnsi="Arial" w:cs="Arial"/>
          <w:lang w:val="es-419"/>
        </w:rPr>
      </w:pPr>
      <w:r w:rsidRPr="0091443C">
        <w:rPr>
          <w:rFonts w:ascii="Arial" w:hAnsi="Arial" w:cs="Arial"/>
          <w:lang w:val="es-419"/>
        </w:rPr>
        <w:t>Demandante:</w:t>
      </w:r>
      <w:r>
        <w:rPr>
          <w:rFonts w:ascii="Arial" w:hAnsi="Arial" w:cs="Arial"/>
          <w:lang w:val="es-419"/>
        </w:rPr>
        <w:tab/>
      </w:r>
      <w:r w:rsidRPr="0091443C">
        <w:rPr>
          <w:rFonts w:ascii="Arial" w:hAnsi="Arial" w:cs="Arial"/>
          <w:lang w:val="es-419"/>
        </w:rPr>
        <w:t>María del Socorro Giraldo López</w:t>
      </w:r>
    </w:p>
    <w:p w:rsidR="0091443C" w:rsidRPr="0091443C" w:rsidRDefault="0091443C" w:rsidP="0091443C">
      <w:pPr>
        <w:jc w:val="both"/>
        <w:rPr>
          <w:rFonts w:ascii="Arial" w:hAnsi="Arial" w:cs="Arial"/>
          <w:lang w:val="es-419"/>
        </w:rPr>
      </w:pPr>
      <w:r w:rsidRPr="0091443C">
        <w:rPr>
          <w:rFonts w:ascii="Arial" w:hAnsi="Arial" w:cs="Arial"/>
          <w:lang w:val="es-419"/>
        </w:rPr>
        <w:t>Demandado:</w:t>
      </w:r>
      <w:r>
        <w:rPr>
          <w:rFonts w:ascii="Arial" w:hAnsi="Arial" w:cs="Arial"/>
          <w:lang w:val="es-419"/>
        </w:rPr>
        <w:tab/>
      </w:r>
      <w:r w:rsidRPr="0091443C">
        <w:rPr>
          <w:rFonts w:ascii="Arial" w:hAnsi="Arial" w:cs="Arial"/>
          <w:lang w:val="es-419"/>
        </w:rPr>
        <w:t>Administradora Colombiana de Pensiones – Colpensiones</w:t>
      </w:r>
    </w:p>
    <w:p w:rsidR="0091443C" w:rsidRPr="0091443C" w:rsidRDefault="0091443C" w:rsidP="0091443C">
      <w:pPr>
        <w:jc w:val="both"/>
        <w:rPr>
          <w:rFonts w:ascii="Arial" w:hAnsi="Arial" w:cs="Arial"/>
          <w:lang w:val="es-419"/>
        </w:rPr>
      </w:pPr>
    </w:p>
    <w:p w:rsidR="0091443C" w:rsidRPr="0091443C" w:rsidRDefault="0091443C" w:rsidP="0091443C">
      <w:pPr>
        <w:jc w:val="both"/>
        <w:rPr>
          <w:rFonts w:ascii="Arial" w:hAnsi="Arial" w:cs="Arial"/>
          <w:b/>
          <w:bCs/>
          <w:iCs/>
          <w:lang w:val="es-419" w:eastAsia="fr-FR"/>
        </w:rPr>
      </w:pPr>
      <w:r w:rsidRPr="0091443C">
        <w:rPr>
          <w:rFonts w:ascii="Arial" w:hAnsi="Arial" w:cs="Arial"/>
          <w:b/>
          <w:bCs/>
          <w:iCs/>
          <w:lang w:val="es-419" w:eastAsia="fr-FR"/>
        </w:rPr>
        <w:t>TEMAS:</w:t>
      </w:r>
      <w:r w:rsidRPr="0091443C">
        <w:rPr>
          <w:rFonts w:ascii="Arial" w:hAnsi="Arial" w:cs="Arial"/>
          <w:b/>
          <w:bCs/>
          <w:iCs/>
          <w:lang w:val="es-419" w:eastAsia="fr-FR"/>
        </w:rPr>
        <w:tab/>
      </w:r>
      <w:r w:rsidR="00C906C3">
        <w:rPr>
          <w:rFonts w:ascii="Arial" w:hAnsi="Arial" w:cs="Arial"/>
          <w:b/>
          <w:bCs/>
          <w:iCs/>
          <w:lang w:val="es-CO" w:eastAsia="fr-FR"/>
        </w:rPr>
        <w:t xml:space="preserve">NULIDAD PROCESAL / CONSULTA DE SENTENCIAS ADVERSAS A ENTIDADES DESCENTRALIZADAS RESPECTO DE LAS QUE LA NACIÓN SEA GARANTE / EVOLUCIÓN JURISPRUDENCIAL / OBLIGACIÓN DE SURTIR EL GRADO JURISDICCIONAL DESPUÉS DE LA SENTENCIA DE TUTELA DE </w:t>
      </w:r>
      <w:r w:rsidR="00B85D1F">
        <w:rPr>
          <w:rFonts w:ascii="Arial" w:hAnsi="Arial" w:cs="Arial"/>
          <w:b/>
          <w:bCs/>
          <w:iCs/>
          <w:lang w:val="es-CO" w:eastAsia="fr-FR"/>
        </w:rPr>
        <w:t>NOVIEMBRE 26 DE 2013.</w:t>
      </w:r>
    </w:p>
    <w:p w:rsidR="0091443C" w:rsidRPr="0091443C" w:rsidRDefault="0091443C" w:rsidP="0091443C">
      <w:pPr>
        <w:jc w:val="both"/>
        <w:rPr>
          <w:rFonts w:ascii="Arial" w:hAnsi="Arial" w:cs="Arial"/>
          <w:lang w:val="es-419"/>
        </w:rPr>
      </w:pPr>
    </w:p>
    <w:p w:rsidR="002E0876" w:rsidRPr="002E0876" w:rsidRDefault="002E0876" w:rsidP="002E0876">
      <w:pPr>
        <w:jc w:val="both"/>
        <w:rPr>
          <w:rFonts w:ascii="Arial" w:hAnsi="Arial" w:cs="Arial"/>
          <w:lang w:val="es-CO"/>
        </w:rPr>
      </w:pPr>
      <w:r w:rsidRPr="002E0876">
        <w:rPr>
          <w:rFonts w:ascii="Arial" w:hAnsi="Arial" w:cs="Arial"/>
          <w:lang w:val="es-419"/>
        </w:rPr>
        <w:t>La ejecución promovida por la señora María del Socorro Giraldo López el 15 de diciembre de 2017 tuvo como fuente o título ejecutivo la sentencia dictada el 28 de marzo de 2014 en el proceso ordinario que previamente había promovido en contra de la Administradora Colombiana de Pensiones – Colpensiones</w:t>
      </w:r>
      <w:r>
        <w:rPr>
          <w:rFonts w:ascii="Arial" w:hAnsi="Arial" w:cs="Arial"/>
          <w:lang w:val="es-CO"/>
        </w:rPr>
        <w:t>…</w:t>
      </w:r>
    </w:p>
    <w:p w:rsidR="002E0876" w:rsidRPr="002E0876" w:rsidRDefault="002E0876" w:rsidP="002E0876">
      <w:pPr>
        <w:jc w:val="both"/>
        <w:rPr>
          <w:rFonts w:ascii="Arial" w:hAnsi="Arial" w:cs="Arial"/>
          <w:lang w:val="es-419"/>
        </w:rPr>
      </w:pPr>
    </w:p>
    <w:p w:rsidR="0091443C" w:rsidRPr="0091443C" w:rsidRDefault="002E0876" w:rsidP="002E0876">
      <w:pPr>
        <w:jc w:val="both"/>
        <w:rPr>
          <w:rFonts w:ascii="Arial" w:hAnsi="Arial" w:cs="Arial"/>
          <w:lang w:val="es-CO"/>
        </w:rPr>
      </w:pPr>
      <w:r w:rsidRPr="002E0876">
        <w:rPr>
          <w:rFonts w:ascii="Arial" w:hAnsi="Arial" w:cs="Arial"/>
          <w:lang w:val="es-419"/>
        </w:rPr>
        <w:t>La irregularidad advertida, que afecta la validez de la actuación, surge de la omisión en que incurrió el Juzgado de primera instancia al no someter la resolución de fondo del litigio, en cuanto contraria a los intereses de una entidad descentralizada respecto de la que la Nación es garante, a la consulta ordenada por el artículo 69 del Código Procesal del Trabajo y de la Seguridad Social.</w:t>
      </w:r>
      <w:r w:rsidR="0003497A">
        <w:rPr>
          <w:rFonts w:ascii="Arial" w:hAnsi="Arial" w:cs="Arial"/>
          <w:lang w:val="es-CO"/>
        </w:rPr>
        <w:t xml:space="preserve"> (…)</w:t>
      </w:r>
    </w:p>
    <w:p w:rsidR="0091443C" w:rsidRDefault="0091443C" w:rsidP="0091443C">
      <w:pPr>
        <w:jc w:val="both"/>
        <w:rPr>
          <w:rFonts w:ascii="Arial" w:hAnsi="Arial" w:cs="Arial"/>
          <w:lang w:val="es-419"/>
        </w:rPr>
      </w:pPr>
    </w:p>
    <w:p w:rsidR="0003497A" w:rsidRPr="0003497A" w:rsidRDefault="0003497A" w:rsidP="0003497A">
      <w:pPr>
        <w:jc w:val="both"/>
        <w:rPr>
          <w:rFonts w:ascii="Arial" w:hAnsi="Arial" w:cs="Arial"/>
          <w:lang w:val="es-419"/>
        </w:rPr>
      </w:pPr>
      <w:r w:rsidRPr="0003497A">
        <w:rPr>
          <w:rFonts w:ascii="Arial" w:hAnsi="Arial" w:cs="Arial"/>
          <w:lang w:val="es-419"/>
        </w:rPr>
        <w:t>El artículo 69 del estatuto procesal laboral, con la modificación que le introdujo el artículo 14 de la Ley 1149 de 2007, estableció el grado jurisdiccional de consulta para las sentencias de primera instancia cuando fueren adversas a la Nación, al Departamento o al Municipio o a aquellas entidades descentralizadas en las que la Nación sea garante (negrilla fuera del texto).</w:t>
      </w:r>
    </w:p>
    <w:p w:rsidR="0003497A" w:rsidRPr="0003497A" w:rsidRDefault="0003497A" w:rsidP="0003497A">
      <w:pPr>
        <w:jc w:val="both"/>
        <w:rPr>
          <w:rFonts w:ascii="Arial" w:hAnsi="Arial" w:cs="Arial"/>
          <w:lang w:val="es-419"/>
        </w:rPr>
      </w:pPr>
    </w:p>
    <w:p w:rsidR="002E0876" w:rsidRPr="0003497A" w:rsidRDefault="0003497A" w:rsidP="0003497A">
      <w:pPr>
        <w:jc w:val="both"/>
        <w:rPr>
          <w:rFonts w:ascii="Arial" w:hAnsi="Arial" w:cs="Arial"/>
          <w:lang w:val="es-CO"/>
        </w:rPr>
      </w:pPr>
      <w:r w:rsidRPr="0003497A">
        <w:rPr>
          <w:rFonts w:ascii="Arial" w:hAnsi="Arial" w:cs="Arial"/>
          <w:lang w:val="es-419"/>
        </w:rPr>
        <w:t>En contravía de lo que venía sosteniendo la Sala de Casación Laboral de la Corte Suprema de Justicia respecto a la improcedencia del g</w:t>
      </w:r>
      <w:r w:rsidR="00C906C3">
        <w:rPr>
          <w:rFonts w:ascii="Arial" w:hAnsi="Arial" w:cs="Arial"/>
          <w:lang w:val="es-419"/>
        </w:rPr>
        <w:t>rado jurisdiccional de consulta</w:t>
      </w:r>
      <w:r w:rsidRPr="0003497A">
        <w:rPr>
          <w:rFonts w:ascii="Arial" w:hAnsi="Arial" w:cs="Arial"/>
          <w:lang w:val="es-419"/>
        </w:rPr>
        <w:t xml:space="preserve"> a favor del Instituto de Seguros Sociales (hoy Colpensiones), mediante providencia de tutela de fecha 26 de noviembre de 2013, con ponencia de la Magistrada Elsy del Pilar Cuello Calderón, se revaluó dicho precedente y luego de un nuevo análisis concluyó que el contenido actual del artículo 69 del estatuto procesal laboral, después de la modificación que le hizo la Ley 1149 de 2007, da lugar a la consulta de los fallos en que se impongan condenas a la Administradora Colombiana de Pensiones – Colpensiones para proteger “el interés público, que está implícito en las eventuales condenas por</w:t>
      </w:r>
      <w:r>
        <w:rPr>
          <w:rFonts w:ascii="Arial" w:hAnsi="Arial" w:cs="Arial"/>
          <w:lang w:val="es-419"/>
        </w:rPr>
        <w:t xml:space="preserve"> las que el Estado respondería”…</w:t>
      </w:r>
    </w:p>
    <w:p w:rsidR="002E0876" w:rsidRPr="0091443C" w:rsidRDefault="002E0876" w:rsidP="0091443C">
      <w:pPr>
        <w:jc w:val="both"/>
        <w:rPr>
          <w:rFonts w:ascii="Arial" w:hAnsi="Arial" w:cs="Arial"/>
          <w:lang w:val="es-419"/>
        </w:rPr>
      </w:pPr>
    </w:p>
    <w:p w:rsidR="0091443C" w:rsidRPr="0091443C" w:rsidRDefault="0003497A" w:rsidP="0091443C">
      <w:pPr>
        <w:jc w:val="both"/>
        <w:rPr>
          <w:rFonts w:ascii="Arial" w:hAnsi="Arial" w:cs="Arial"/>
          <w:lang w:val="es-419"/>
        </w:rPr>
      </w:pPr>
      <w:r w:rsidRPr="0003497A">
        <w:rPr>
          <w:rFonts w:ascii="Arial" w:hAnsi="Arial" w:cs="Arial"/>
          <w:lang w:val="es-419"/>
        </w:rPr>
        <w:t>Como se mencionó al inicio de este proveído, la sentencia en el proceso ordinario se dictó el 28 de marzo de 2014, circunstancia que determina que era imperativo haber dispuesto su consulta, pues tal como se advirtiera previamente, tal garantía nació con ocasión de la expedición del fallo de tutela emitido por la Sala de Casación Laboral de la Corte Suprema el 26 de noviembre de 2013.</w:t>
      </w:r>
    </w:p>
    <w:p w:rsidR="0091443C" w:rsidRPr="0091443C" w:rsidRDefault="0091443C" w:rsidP="0091443C">
      <w:pPr>
        <w:jc w:val="both"/>
        <w:rPr>
          <w:rFonts w:ascii="Arial" w:hAnsi="Arial" w:cs="Arial"/>
        </w:rPr>
      </w:pPr>
    </w:p>
    <w:p w:rsidR="0091443C" w:rsidRPr="0091443C" w:rsidRDefault="0091443C" w:rsidP="0091443C">
      <w:pPr>
        <w:jc w:val="both"/>
        <w:rPr>
          <w:rFonts w:ascii="Arial" w:hAnsi="Arial" w:cs="Arial"/>
        </w:rPr>
      </w:pPr>
    </w:p>
    <w:p w:rsidR="0091443C" w:rsidRPr="0091443C" w:rsidRDefault="0091443C" w:rsidP="0091443C">
      <w:pPr>
        <w:jc w:val="both"/>
        <w:rPr>
          <w:rFonts w:ascii="Arial" w:hAnsi="Arial" w:cs="Arial"/>
        </w:rPr>
      </w:pPr>
    </w:p>
    <w:p w:rsidR="0091443C" w:rsidRDefault="0091443C" w:rsidP="00DA417C">
      <w:pPr>
        <w:spacing w:line="276" w:lineRule="auto"/>
        <w:jc w:val="both"/>
        <w:rPr>
          <w:rFonts w:ascii="Tahoma" w:hAnsi="Tahoma" w:cs="Tahoma"/>
          <w:b/>
          <w:sz w:val="24"/>
          <w:szCs w:val="22"/>
        </w:rPr>
      </w:pPr>
      <w:r w:rsidRPr="0091443C">
        <w:rPr>
          <w:rFonts w:ascii="Tahoma" w:hAnsi="Tahoma" w:cs="Tahoma"/>
          <w:b/>
          <w:sz w:val="24"/>
          <w:szCs w:val="22"/>
        </w:rPr>
        <w:tab/>
        <w:t>TRIBUNAL SUPERIOR DEL DISTRITO JUDICIAL</w:t>
      </w:r>
    </w:p>
    <w:p w:rsidR="00794ADA" w:rsidRPr="0091443C" w:rsidRDefault="00794ADA" w:rsidP="00DA417C">
      <w:pPr>
        <w:spacing w:line="276" w:lineRule="auto"/>
        <w:jc w:val="both"/>
        <w:rPr>
          <w:rFonts w:ascii="Tahoma" w:hAnsi="Tahoma" w:cs="Tahoma"/>
          <w:b/>
          <w:sz w:val="24"/>
          <w:szCs w:val="22"/>
        </w:rPr>
      </w:pPr>
      <w:r>
        <w:rPr>
          <w:rFonts w:ascii="Tahoma" w:hAnsi="Tahoma" w:cs="Tahoma"/>
          <w:b/>
          <w:sz w:val="24"/>
          <w:szCs w:val="22"/>
        </w:rPr>
        <w:tab/>
        <w:t>SALA LABORAL</w:t>
      </w:r>
    </w:p>
    <w:p w:rsidR="00F34A07" w:rsidRPr="0091443C" w:rsidRDefault="00F34A07" w:rsidP="00DA417C">
      <w:pPr>
        <w:spacing w:line="276" w:lineRule="auto"/>
        <w:jc w:val="both"/>
        <w:rPr>
          <w:rFonts w:ascii="Tahoma" w:hAnsi="Tahoma" w:cs="Tahoma"/>
          <w:b/>
          <w:sz w:val="24"/>
          <w:szCs w:val="22"/>
        </w:rPr>
      </w:pPr>
      <w:r w:rsidRPr="00DA417C">
        <w:rPr>
          <w:rFonts w:ascii="Tahoma" w:hAnsi="Tahoma" w:cs="Tahoma"/>
          <w:sz w:val="22"/>
          <w:szCs w:val="22"/>
        </w:rPr>
        <w:tab/>
      </w:r>
      <w:r w:rsidRPr="0091443C">
        <w:rPr>
          <w:rFonts w:ascii="Tahoma" w:hAnsi="Tahoma" w:cs="Tahoma"/>
          <w:sz w:val="24"/>
          <w:szCs w:val="22"/>
        </w:rPr>
        <w:t>MAGISTRAD</w:t>
      </w:r>
      <w:r w:rsidR="00292A3A" w:rsidRPr="0091443C">
        <w:rPr>
          <w:rFonts w:ascii="Tahoma" w:hAnsi="Tahoma" w:cs="Tahoma"/>
          <w:sz w:val="24"/>
          <w:szCs w:val="22"/>
        </w:rPr>
        <w:t>A</w:t>
      </w:r>
      <w:r w:rsidRPr="0091443C">
        <w:rPr>
          <w:rFonts w:ascii="Tahoma" w:hAnsi="Tahoma" w:cs="Tahoma"/>
          <w:sz w:val="24"/>
          <w:szCs w:val="22"/>
        </w:rPr>
        <w:t xml:space="preserve">: </w:t>
      </w:r>
      <w:r w:rsidR="00292A3A" w:rsidRPr="0091443C">
        <w:rPr>
          <w:rFonts w:ascii="Tahoma" w:hAnsi="Tahoma" w:cs="Tahoma"/>
          <w:b/>
          <w:sz w:val="24"/>
          <w:szCs w:val="22"/>
        </w:rPr>
        <w:t>ANA LUCÍA CAICEDO CALDERÓN</w:t>
      </w:r>
    </w:p>
    <w:p w:rsidR="00F34A07" w:rsidRPr="0091443C" w:rsidRDefault="00F34A07" w:rsidP="00DA417C">
      <w:pPr>
        <w:spacing w:line="276" w:lineRule="auto"/>
        <w:ind w:firstLine="708"/>
        <w:jc w:val="both"/>
        <w:rPr>
          <w:rFonts w:ascii="Tahoma" w:hAnsi="Tahoma" w:cs="Tahoma"/>
          <w:sz w:val="24"/>
          <w:szCs w:val="22"/>
        </w:rPr>
      </w:pPr>
      <w:r w:rsidRPr="0091443C">
        <w:rPr>
          <w:rFonts w:ascii="Tahoma" w:hAnsi="Tahoma" w:cs="Tahoma"/>
          <w:sz w:val="24"/>
          <w:szCs w:val="22"/>
        </w:rPr>
        <w:t xml:space="preserve">Pereira, </w:t>
      </w:r>
      <w:r w:rsidR="00292A3A" w:rsidRPr="0091443C">
        <w:rPr>
          <w:rFonts w:ascii="Tahoma" w:hAnsi="Tahoma" w:cs="Tahoma"/>
          <w:sz w:val="24"/>
          <w:szCs w:val="22"/>
        </w:rPr>
        <w:t>dieciséis</w:t>
      </w:r>
      <w:r w:rsidR="00580536" w:rsidRPr="0091443C">
        <w:rPr>
          <w:rFonts w:ascii="Tahoma" w:hAnsi="Tahoma" w:cs="Tahoma"/>
          <w:sz w:val="24"/>
          <w:szCs w:val="22"/>
        </w:rPr>
        <w:t xml:space="preserve"> </w:t>
      </w:r>
      <w:r w:rsidRPr="0091443C">
        <w:rPr>
          <w:rFonts w:ascii="Tahoma" w:hAnsi="Tahoma" w:cs="Tahoma"/>
          <w:sz w:val="24"/>
          <w:szCs w:val="22"/>
        </w:rPr>
        <w:t>[</w:t>
      </w:r>
      <w:r w:rsidR="00292A3A" w:rsidRPr="0091443C">
        <w:rPr>
          <w:rFonts w:ascii="Tahoma" w:hAnsi="Tahoma" w:cs="Tahoma"/>
          <w:sz w:val="24"/>
          <w:szCs w:val="22"/>
        </w:rPr>
        <w:t>16</w:t>
      </w:r>
      <w:r w:rsidRPr="0091443C">
        <w:rPr>
          <w:rFonts w:ascii="Tahoma" w:hAnsi="Tahoma" w:cs="Tahoma"/>
          <w:sz w:val="24"/>
          <w:szCs w:val="22"/>
        </w:rPr>
        <w:t xml:space="preserve">] de </w:t>
      </w:r>
      <w:r w:rsidR="002154CF" w:rsidRPr="0091443C">
        <w:rPr>
          <w:rFonts w:ascii="Tahoma" w:hAnsi="Tahoma" w:cs="Tahoma"/>
          <w:sz w:val="24"/>
          <w:szCs w:val="22"/>
        </w:rPr>
        <w:t>agosto de d</w:t>
      </w:r>
      <w:r w:rsidRPr="0091443C">
        <w:rPr>
          <w:rFonts w:ascii="Tahoma" w:hAnsi="Tahoma" w:cs="Tahoma"/>
          <w:sz w:val="24"/>
          <w:szCs w:val="22"/>
        </w:rPr>
        <w:t>os mil dieci</w:t>
      </w:r>
      <w:r w:rsidR="004A2C1A" w:rsidRPr="0091443C">
        <w:rPr>
          <w:rFonts w:ascii="Tahoma" w:hAnsi="Tahoma" w:cs="Tahoma"/>
          <w:sz w:val="24"/>
          <w:szCs w:val="22"/>
        </w:rPr>
        <w:t>nueve</w:t>
      </w:r>
      <w:r w:rsidRPr="0091443C">
        <w:rPr>
          <w:rFonts w:ascii="Tahoma" w:hAnsi="Tahoma" w:cs="Tahoma"/>
          <w:sz w:val="24"/>
          <w:szCs w:val="22"/>
        </w:rPr>
        <w:t xml:space="preserve"> [201</w:t>
      </w:r>
      <w:r w:rsidR="004A2C1A" w:rsidRPr="0091443C">
        <w:rPr>
          <w:rFonts w:ascii="Tahoma" w:hAnsi="Tahoma" w:cs="Tahoma"/>
          <w:sz w:val="24"/>
          <w:szCs w:val="22"/>
        </w:rPr>
        <w:t>9</w:t>
      </w:r>
      <w:r w:rsidRPr="0091443C">
        <w:rPr>
          <w:rFonts w:ascii="Tahoma" w:hAnsi="Tahoma" w:cs="Tahoma"/>
          <w:sz w:val="24"/>
          <w:szCs w:val="22"/>
        </w:rPr>
        <w:t>]</w:t>
      </w:r>
    </w:p>
    <w:p w:rsidR="00815389" w:rsidRPr="0091443C" w:rsidRDefault="00815389" w:rsidP="00DA417C">
      <w:pPr>
        <w:spacing w:line="276" w:lineRule="auto"/>
        <w:jc w:val="both"/>
        <w:rPr>
          <w:rFonts w:ascii="Tahoma" w:hAnsi="Tahoma" w:cs="Tahoma"/>
          <w:sz w:val="24"/>
          <w:szCs w:val="22"/>
        </w:rPr>
      </w:pPr>
    </w:p>
    <w:p w:rsidR="00815389" w:rsidRPr="0091443C" w:rsidRDefault="00580536" w:rsidP="00DA417C">
      <w:pPr>
        <w:spacing w:line="276" w:lineRule="auto"/>
        <w:ind w:firstLine="708"/>
        <w:jc w:val="both"/>
        <w:rPr>
          <w:rFonts w:ascii="Tahoma" w:hAnsi="Tahoma" w:cs="Tahoma"/>
          <w:sz w:val="24"/>
          <w:szCs w:val="22"/>
        </w:rPr>
      </w:pPr>
      <w:r w:rsidRPr="0091443C">
        <w:rPr>
          <w:rFonts w:ascii="Tahoma" w:hAnsi="Tahoma" w:cs="Tahoma"/>
          <w:bCs/>
          <w:sz w:val="24"/>
          <w:szCs w:val="22"/>
        </w:rPr>
        <w:t xml:space="preserve">Correspondería decidir en este momento el recurso de apelación que el Juzgado </w:t>
      </w:r>
      <w:r w:rsidR="00DA417C" w:rsidRPr="0091443C">
        <w:rPr>
          <w:rFonts w:ascii="Tahoma" w:hAnsi="Tahoma" w:cs="Tahoma"/>
          <w:bCs/>
          <w:sz w:val="24"/>
          <w:szCs w:val="22"/>
        </w:rPr>
        <w:t>Segundo</w:t>
      </w:r>
      <w:r w:rsidRPr="0091443C">
        <w:rPr>
          <w:rFonts w:ascii="Tahoma" w:hAnsi="Tahoma" w:cs="Tahoma"/>
          <w:bCs/>
          <w:sz w:val="24"/>
          <w:szCs w:val="22"/>
        </w:rPr>
        <w:t xml:space="preserve"> Laboral del Circuito de la ciudad concedió a la parte ejecuta</w:t>
      </w:r>
      <w:r w:rsidR="00DA417C" w:rsidRPr="0091443C">
        <w:rPr>
          <w:rFonts w:ascii="Tahoma" w:hAnsi="Tahoma" w:cs="Tahoma"/>
          <w:bCs/>
          <w:sz w:val="24"/>
          <w:szCs w:val="22"/>
        </w:rPr>
        <w:t>nte</w:t>
      </w:r>
      <w:r w:rsidRPr="0091443C">
        <w:rPr>
          <w:rFonts w:ascii="Tahoma" w:hAnsi="Tahoma" w:cs="Tahoma"/>
          <w:bCs/>
          <w:sz w:val="24"/>
          <w:szCs w:val="22"/>
        </w:rPr>
        <w:t xml:space="preserve"> frente a la decisión que </w:t>
      </w:r>
      <w:r w:rsidR="00DA417C" w:rsidRPr="0091443C">
        <w:rPr>
          <w:rFonts w:ascii="Tahoma" w:hAnsi="Tahoma" w:cs="Tahoma"/>
          <w:bCs/>
          <w:sz w:val="24"/>
          <w:szCs w:val="22"/>
        </w:rPr>
        <w:t>declaró probada la excepción de prescripción</w:t>
      </w:r>
      <w:r w:rsidR="00815389" w:rsidRPr="0091443C">
        <w:rPr>
          <w:rFonts w:ascii="Tahoma" w:hAnsi="Tahoma" w:cs="Tahoma"/>
          <w:bCs/>
          <w:sz w:val="24"/>
          <w:szCs w:val="22"/>
        </w:rPr>
        <w:t xml:space="preserve">, si no fuera porque </w:t>
      </w:r>
      <w:r w:rsidR="00815389" w:rsidRPr="0091443C">
        <w:rPr>
          <w:rFonts w:ascii="Tahoma" w:hAnsi="Tahoma" w:cs="Tahoma"/>
          <w:sz w:val="24"/>
          <w:szCs w:val="22"/>
        </w:rPr>
        <w:t xml:space="preserve">se </w:t>
      </w:r>
      <w:r w:rsidR="0024307A" w:rsidRPr="0091443C">
        <w:rPr>
          <w:rFonts w:ascii="Tahoma" w:hAnsi="Tahoma" w:cs="Tahoma"/>
          <w:sz w:val="24"/>
          <w:szCs w:val="22"/>
        </w:rPr>
        <w:t xml:space="preserve">advierte </w:t>
      </w:r>
      <w:r w:rsidR="00815389" w:rsidRPr="0091443C">
        <w:rPr>
          <w:rFonts w:ascii="Tahoma" w:hAnsi="Tahoma" w:cs="Tahoma"/>
          <w:sz w:val="24"/>
          <w:szCs w:val="22"/>
        </w:rPr>
        <w:t xml:space="preserve">una situación irregular que vicia de nulidad la actuación surtida tanto en la presente acción ejecutiva, como en el trámite ordinario luego de proferida la sentencia que puso fin a la instancia anterior, por las razones que </w:t>
      </w:r>
      <w:r w:rsidR="0024307A" w:rsidRPr="0091443C">
        <w:rPr>
          <w:rFonts w:ascii="Tahoma" w:hAnsi="Tahoma" w:cs="Tahoma"/>
          <w:sz w:val="24"/>
          <w:szCs w:val="22"/>
        </w:rPr>
        <w:t>pasan a explicarse.</w:t>
      </w:r>
    </w:p>
    <w:p w:rsidR="00815389" w:rsidRPr="0091443C" w:rsidRDefault="00815389" w:rsidP="00DA417C">
      <w:pPr>
        <w:spacing w:line="276" w:lineRule="auto"/>
        <w:rPr>
          <w:rFonts w:ascii="Tahoma" w:hAnsi="Tahoma" w:cs="Tahoma"/>
          <w:sz w:val="24"/>
          <w:szCs w:val="22"/>
        </w:rPr>
      </w:pPr>
    </w:p>
    <w:p w:rsidR="00815389" w:rsidRPr="0091443C" w:rsidRDefault="00815389" w:rsidP="00DA417C">
      <w:pPr>
        <w:spacing w:line="276" w:lineRule="auto"/>
        <w:ind w:right="51" w:firstLine="708"/>
        <w:jc w:val="both"/>
        <w:rPr>
          <w:rFonts w:ascii="Tahoma" w:hAnsi="Tahoma" w:cs="Tahoma"/>
          <w:sz w:val="24"/>
          <w:szCs w:val="22"/>
        </w:rPr>
      </w:pPr>
      <w:r w:rsidRPr="0091443C">
        <w:rPr>
          <w:rFonts w:ascii="Tahoma" w:hAnsi="Tahoma" w:cs="Tahoma"/>
          <w:sz w:val="24"/>
          <w:szCs w:val="22"/>
        </w:rPr>
        <w:t>L</w:t>
      </w:r>
      <w:r w:rsidR="0024307A" w:rsidRPr="0091443C">
        <w:rPr>
          <w:rFonts w:ascii="Tahoma" w:hAnsi="Tahoma" w:cs="Tahoma"/>
          <w:sz w:val="24"/>
          <w:szCs w:val="22"/>
        </w:rPr>
        <w:t xml:space="preserve">a ejecución promovida por </w:t>
      </w:r>
      <w:r w:rsidR="00DA417C" w:rsidRPr="0091443C">
        <w:rPr>
          <w:rFonts w:ascii="Tahoma" w:hAnsi="Tahoma" w:cs="Tahoma"/>
          <w:sz w:val="24"/>
          <w:szCs w:val="22"/>
        </w:rPr>
        <w:t>la</w:t>
      </w:r>
      <w:r w:rsidR="0024307A" w:rsidRPr="0091443C">
        <w:rPr>
          <w:rFonts w:ascii="Tahoma" w:hAnsi="Tahoma" w:cs="Tahoma"/>
          <w:sz w:val="24"/>
          <w:szCs w:val="22"/>
        </w:rPr>
        <w:t xml:space="preserve"> señor</w:t>
      </w:r>
      <w:r w:rsidR="00DA417C" w:rsidRPr="0091443C">
        <w:rPr>
          <w:rFonts w:ascii="Tahoma" w:hAnsi="Tahoma" w:cs="Tahoma"/>
          <w:sz w:val="24"/>
          <w:szCs w:val="22"/>
        </w:rPr>
        <w:t>a</w:t>
      </w:r>
      <w:r w:rsidR="0024307A" w:rsidRPr="0091443C">
        <w:rPr>
          <w:rFonts w:ascii="Tahoma" w:hAnsi="Tahoma" w:cs="Tahoma"/>
          <w:sz w:val="24"/>
          <w:szCs w:val="22"/>
        </w:rPr>
        <w:t xml:space="preserve"> </w:t>
      </w:r>
      <w:r w:rsidR="00DA417C" w:rsidRPr="0091443C">
        <w:rPr>
          <w:rFonts w:ascii="Tahoma" w:hAnsi="Tahoma" w:cs="Tahoma"/>
          <w:sz w:val="24"/>
          <w:szCs w:val="22"/>
        </w:rPr>
        <w:t xml:space="preserve">María del Socorro Giraldo López </w:t>
      </w:r>
      <w:r w:rsidR="0024307A" w:rsidRPr="0091443C">
        <w:rPr>
          <w:rFonts w:ascii="Tahoma" w:hAnsi="Tahoma" w:cs="Tahoma"/>
          <w:sz w:val="24"/>
          <w:szCs w:val="22"/>
        </w:rPr>
        <w:t xml:space="preserve">el </w:t>
      </w:r>
      <w:r w:rsidR="00DA417C" w:rsidRPr="0091443C">
        <w:rPr>
          <w:rFonts w:ascii="Tahoma" w:hAnsi="Tahoma" w:cs="Tahoma"/>
          <w:sz w:val="24"/>
          <w:szCs w:val="22"/>
        </w:rPr>
        <w:t xml:space="preserve">15 de diciembre </w:t>
      </w:r>
      <w:r w:rsidR="0024307A" w:rsidRPr="0091443C">
        <w:rPr>
          <w:rFonts w:ascii="Tahoma" w:hAnsi="Tahoma" w:cs="Tahoma"/>
          <w:sz w:val="24"/>
          <w:szCs w:val="22"/>
        </w:rPr>
        <w:t>de 201</w:t>
      </w:r>
      <w:r w:rsidR="00DA417C" w:rsidRPr="0091443C">
        <w:rPr>
          <w:rFonts w:ascii="Tahoma" w:hAnsi="Tahoma" w:cs="Tahoma"/>
          <w:sz w:val="24"/>
          <w:szCs w:val="22"/>
        </w:rPr>
        <w:t>7</w:t>
      </w:r>
      <w:r w:rsidR="0024307A" w:rsidRPr="0091443C">
        <w:rPr>
          <w:rFonts w:ascii="Tahoma" w:hAnsi="Tahoma" w:cs="Tahoma"/>
          <w:sz w:val="24"/>
          <w:szCs w:val="22"/>
        </w:rPr>
        <w:t xml:space="preserve"> tuvo como fuente o título ejecutivo la sentencia dictada el </w:t>
      </w:r>
      <w:r w:rsidR="00DA417C" w:rsidRPr="0091443C">
        <w:rPr>
          <w:rFonts w:ascii="Tahoma" w:hAnsi="Tahoma" w:cs="Tahoma"/>
          <w:sz w:val="24"/>
          <w:szCs w:val="22"/>
        </w:rPr>
        <w:t>28</w:t>
      </w:r>
      <w:r w:rsidR="0024307A" w:rsidRPr="0091443C">
        <w:rPr>
          <w:rFonts w:ascii="Tahoma" w:hAnsi="Tahoma" w:cs="Tahoma"/>
          <w:sz w:val="24"/>
          <w:szCs w:val="22"/>
        </w:rPr>
        <w:t xml:space="preserve"> de </w:t>
      </w:r>
      <w:r w:rsidR="00DA417C" w:rsidRPr="0091443C">
        <w:rPr>
          <w:rFonts w:ascii="Tahoma" w:hAnsi="Tahoma" w:cs="Tahoma"/>
          <w:sz w:val="24"/>
          <w:szCs w:val="22"/>
        </w:rPr>
        <w:lastRenderedPageBreak/>
        <w:t>marzo</w:t>
      </w:r>
      <w:r w:rsidR="0024307A" w:rsidRPr="0091443C">
        <w:rPr>
          <w:rFonts w:ascii="Tahoma" w:hAnsi="Tahoma" w:cs="Tahoma"/>
          <w:sz w:val="24"/>
          <w:szCs w:val="22"/>
        </w:rPr>
        <w:t xml:space="preserve"> de 2014 en el proceso ordinario que previamente había promovido en contra de la Administradora Colombiana de Pensiones – Colpensiones, en la que se condenó a esta entidad a pagarle al actor un retroactivo pensional más los intereses de mora causados desde el 1</w:t>
      </w:r>
      <w:r w:rsidR="00DA417C" w:rsidRPr="0091443C">
        <w:rPr>
          <w:rFonts w:ascii="Tahoma" w:hAnsi="Tahoma" w:cs="Tahoma"/>
          <w:sz w:val="24"/>
          <w:szCs w:val="22"/>
        </w:rPr>
        <w:t xml:space="preserve">º de noviembre </w:t>
      </w:r>
      <w:r w:rsidR="0024307A" w:rsidRPr="0091443C">
        <w:rPr>
          <w:rFonts w:ascii="Tahoma" w:hAnsi="Tahoma" w:cs="Tahoma"/>
          <w:sz w:val="24"/>
          <w:szCs w:val="22"/>
        </w:rPr>
        <w:t>de 2012.</w:t>
      </w:r>
    </w:p>
    <w:p w:rsidR="00815389" w:rsidRPr="0091443C" w:rsidRDefault="00815389" w:rsidP="00DA417C">
      <w:pPr>
        <w:spacing w:line="276" w:lineRule="auto"/>
        <w:ind w:right="51"/>
        <w:jc w:val="both"/>
        <w:rPr>
          <w:rFonts w:ascii="Tahoma" w:hAnsi="Tahoma" w:cs="Tahoma"/>
          <w:sz w:val="24"/>
          <w:szCs w:val="22"/>
        </w:rPr>
      </w:pPr>
    </w:p>
    <w:p w:rsidR="00815389" w:rsidRPr="0091443C" w:rsidRDefault="0024307A" w:rsidP="00DA417C">
      <w:pPr>
        <w:spacing w:line="276" w:lineRule="auto"/>
        <w:ind w:right="51" w:firstLine="708"/>
        <w:jc w:val="both"/>
        <w:rPr>
          <w:rFonts w:ascii="Tahoma" w:hAnsi="Tahoma" w:cs="Tahoma"/>
          <w:sz w:val="24"/>
          <w:szCs w:val="22"/>
        </w:rPr>
      </w:pPr>
      <w:r w:rsidRPr="0091443C">
        <w:rPr>
          <w:rFonts w:ascii="Tahoma" w:hAnsi="Tahoma" w:cs="Tahoma"/>
          <w:sz w:val="24"/>
          <w:szCs w:val="22"/>
        </w:rPr>
        <w:t>Respecto de dicha providencia no se interpusieron recursos, por lo que el Despacho a quo procedió a liquidar las costas pertinentes y, aprobadas éstas, dispuso el archivo del expediente.  Presentada la demanda ejecutiva, se le imprimió el trámite de rigor hasta llegar a la decisión ahora impugnada.</w:t>
      </w:r>
    </w:p>
    <w:p w:rsidR="00815389" w:rsidRPr="0091443C" w:rsidRDefault="00815389" w:rsidP="00DA417C">
      <w:pPr>
        <w:spacing w:line="276" w:lineRule="auto"/>
        <w:ind w:right="51"/>
        <w:jc w:val="both"/>
        <w:rPr>
          <w:rFonts w:ascii="Tahoma" w:hAnsi="Tahoma" w:cs="Tahoma"/>
          <w:sz w:val="24"/>
          <w:szCs w:val="22"/>
        </w:rPr>
      </w:pPr>
    </w:p>
    <w:p w:rsidR="00815389" w:rsidRPr="0091443C" w:rsidRDefault="0024307A" w:rsidP="00DA417C">
      <w:pPr>
        <w:spacing w:line="276" w:lineRule="auto"/>
        <w:ind w:firstLine="708"/>
        <w:jc w:val="both"/>
        <w:rPr>
          <w:rFonts w:ascii="Tahoma" w:hAnsi="Tahoma" w:cs="Tahoma"/>
          <w:sz w:val="24"/>
          <w:szCs w:val="22"/>
        </w:rPr>
      </w:pPr>
      <w:r w:rsidRPr="0091443C">
        <w:rPr>
          <w:rFonts w:ascii="Tahoma" w:hAnsi="Tahoma" w:cs="Tahoma"/>
          <w:sz w:val="24"/>
          <w:szCs w:val="22"/>
        </w:rPr>
        <w:t>La irregularidad advertida, que afecta la validez de la actuación,</w:t>
      </w:r>
      <w:r w:rsidR="00F56DDF" w:rsidRPr="0091443C">
        <w:rPr>
          <w:rFonts w:ascii="Tahoma" w:hAnsi="Tahoma" w:cs="Tahoma"/>
          <w:sz w:val="24"/>
          <w:szCs w:val="22"/>
        </w:rPr>
        <w:t xml:space="preserve"> surge de la omisión en que incurrió el Juzgado de primera instancia al no someter la resolución de fondo del litigio, en cuanto contraria a los intereses de una entidad descentralizada respecto de la que la Nación es garante, a la consulta ordenada por el artículo 69 del Código Procesal del Trabajo y de la Seguridad Social.</w:t>
      </w:r>
    </w:p>
    <w:p w:rsidR="00815389" w:rsidRPr="0091443C" w:rsidRDefault="00815389" w:rsidP="00DA417C">
      <w:pPr>
        <w:widowControl w:val="0"/>
        <w:autoSpaceDE w:val="0"/>
        <w:autoSpaceDN w:val="0"/>
        <w:adjustRightInd w:val="0"/>
        <w:spacing w:line="276" w:lineRule="auto"/>
        <w:ind w:left="426"/>
        <w:jc w:val="both"/>
        <w:rPr>
          <w:rFonts w:ascii="Tahoma" w:hAnsi="Tahoma" w:cs="Tahoma"/>
          <w:b/>
          <w:i/>
          <w:spacing w:val="2"/>
          <w:sz w:val="24"/>
          <w:szCs w:val="22"/>
        </w:rPr>
      </w:pPr>
    </w:p>
    <w:p w:rsidR="00815389" w:rsidRPr="0091443C" w:rsidRDefault="00DA417C" w:rsidP="00DA417C">
      <w:pPr>
        <w:widowControl w:val="0"/>
        <w:numPr>
          <w:ilvl w:val="0"/>
          <w:numId w:val="1"/>
        </w:numPr>
        <w:tabs>
          <w:tab w:val="left" w:pos="993"/>
        </w:tabs>
        <w:autoSpaceDE w:val="0"/>
        <w:autoSpaceDN w:val="0"/>
        <w:adjustRightInd w:val="0"/>
        <w:spacing w:line="276" w:lineRule="auto"/>
        <w:ind w:left="709" w:firstLine="0"/>
        <w:jc w:val="both"/>
        <w:rPr>
          <w:rFonts w:ascii="Tahoma" w:hAnsi="Tahoma" w:cs="Tahoma"/>
          <w:b/>
          <w:spacing w:val="2"/>
          <w:sz w:val="24"/>
          <w:szCs w:val="22"/>
        </w:rPr>
      </w:pPr>
      <w:r w:rsidRPr="0091443C">
        <w:rPr>
          <w:rFonts w:ascii="Tahoma" w:hAnsi="Tahoma" w:cs="Tahoma"/>
          <w:b/>
          <w:spacing w:val="2"/>
          <w:sz w:val="24"/>
          <w:szCs w:val="22"/>
        </w:rPr>
        <w:t>De la obligatoriedad de surtir el grado jurisdiccional de consulta de las sentencias en contra de Colpensiones</w:t>
      </w:r>
    </w:p>
    <w:p w:rsidR="00815389" w:rsidRPr="0091443C" w:rsidRDefault="00815389" w:rsidP="00DA417C">
      <w:pPr>
        <w:widowControl w:val="0"/>
        <w:autoSpaceDE w:val="0"/>
        <w:autoSpaceDN w:val="0"/>
        <w:adjustRightInd w:val="0"/>
        <w:spacing w:line="276" w:lineRule="auto"/>
        <w:jc w:val="both"/>
        <w:rPr>
          <w:rFonts w:ascii="Tahoma" w:hAnsi="Tahoma" w:cs="Tahoma"/>
          <w:b/>
          <w:spacing w:val="2"/>
          <w:sz w:val="24"/>
          <w:szCs w:val="22"/>
        </w:rPr>
      </w:pPr>
    </w:p>
    <w:p w:rsidR="00815389" w:rsidRPr="0091443C" w:rsidRDefault="00815389" w:rsidP="00DA417C">
      <w:pPr>
        <w:spacing w:line="276" w:lineRule="auto"/>
        <w:ind w:firstLine="708"/>
        <w:jc w:val="both"/>
        <w:rPr>
          <w:rFonts w:ascii="Tahoma" w:hAnsi="Tahoma" w:cs="Tahoma"/>
          <w:sz w:val="24"/>
          <w:szCs w:val="22"/>
        </w:rPr>
      </w:pPr>
      <w:r w:rsidRPr="0091443C">
        <w:rPr>
          <w:rFonts w:ascii="Tahoma" w:hAnsi="Tahoma" w:cs="Tahoma"/>
          <w:sz w:val="24"/>
          <w:szCs w:val="22"/>
        </w:rPr>
        <w:t xml:space="preserve">El artículo 69 del </w:t>
      </w:r>
      <w:r w:rsidR="00F56DDF" w:rsidRPr="0091443C">
        <w:rPr>
          <w:rFonts w:ascii="Tahoma" w:hAnsi="Tahoma" w:cs="Tahoma"/>
          <w:sz w:val="24"/>
          <w:szCs w:val="22"/>
        </w:rPr>
        <w:t>estatuto procesal laboral</w:t>
      </w:r>
      <w:r w:rsidRPr="0091443C">
        <w:rPr>
          <w:rFonts w:ascii="Tahoma" w:hAnsi="Tahoma" w:cs="Tahoma"/>
          <w:sz w:val="24"/>
          <w:szCs w:val="22"/>
        </w:rPr>
        <w:t xml:space="preserve">, con la modificación que le introdujo el artículo 14 de la Ley 1149 de 2007, estableció el grado jurisdiccional de consulta para las sentencias de primera instancia cuando fueren adversas a la Nación, al Departamento o al Municipio </w:t>
      </w:r>
      <w:r w:rsidRPr="0091443C">
        <w:rPr>
          <w:rFonts w:ascii="Tahoma" w:hAnsi="Tahoma" w:cs="Tahoma"/>
          <w:b/>
          <w:sz w:val="24"/>
          <w:szCs w:val="22"/>
        </w:rPr>
        <w:t xml:space="preserve">o a aquellas entidades descentralizadas en las que </w:t>
      </w:r>
      <w:bookmarkStart w:id="0" w:name="_GoBack"/>
      <w:bookmarkEnd w:id="0"/>
      <w:r w:rsidRPr="0091443C">
        <w:rPr>
          <w:rFonts w:ascii="Tahoma" w:hAnsi="Tahoma" w:cs="Tahoma"/>
          <w:b/>
          <w:sz w:val="24"/>
          <w:szCs w:val="22"/>
        </w:rPr>
        <w:t>la Nación sea garante</w:t>
      </w:r>
      <w:r w:rsidR="00F56DDF" w:rsidRPr="0091443C">
        <w:rPr>
          <w:rFonts w:ascii="Tahoma" w:hAnsi="Tahoma" w:cs="Tahoma"/>
          <w:b/>
          <w:sz w:val="24"/>
          <w:szCs w:val="22"/>
        </w:rPr>
        <w:t xml:space="preserve"> </w:t>
      </w:r>
      <w:r w:rsidR="00F56DDF" w:rsidRPr="0091443C">
        <w:rPr>
          <w:rFonts w:ascii="Tahoma" w:hAnsi="Tahoma" w:cs="Tahoma"/>
          <w:sz w:val="24"/>
          <w:szCs w:val="22"/>
        </w:rPr>
        <w:t>(n</w:t>
      </w:r>
      <w:r w:rsidRPr="0091443C">
        <w:rPr>
          <w:rFonts w:ascii="Tahoma" w:hAnsi="Tahoma" w:cs="Tahoma"/>
          <w:sz w:val="24"/>
          <w:szCs w:val="22"/>
        </w:rPr>
        <w:t>egrilla fuera del texto</w:t>
      </w:r>
      <w:r w:rsidR="00F56DDF" w:rsidRPr="0091443C">
        <w:rPr>
          <w:rFonts w:ascii="Tahoma" w:hAnsi="Tahoma" w:cs="Tahoma"/>
          <w:sz w:val="24"/>
          <w:szCs w:val="22"/>
        </w:rPr>
        <w:t>).</w:t>
      </w:r>
    </w:p>
    <w:p w:rsidR="00815389" w:rsidRPr="0091443C" w:rsidRDefault="00815389" w:rsidP="00DA417C">
      <w:pPr>
        <w:spacing w:line="276" w:lineRule="auto"/>
        <w:jc w:val="both"/>
        <w:rPr>
          <w:rFonts w:ascii="Tahoma" w:hAnsi="Tahoma" w:cs="Tahoma"/>
          <w:sz w:val="24"/>
          <w:szCs w:val="22"/>
        </w:rPr>
      </w:pPr>
    </w:p>
    <w:p w:rsidR="00C57FDD" w:rsidRPr="0091443C" w:rsidRDefault="00C57FDD" w:rsidP="00C57FDD">
      <w:pPr>
        <w:pStyle w:val="Textoindependiente"/>
        <w:spacing w:line="276" w:lineRule="auto"/>
        <w:ind w:firstLine="708"/>
        <w:rPr>
          <w:rFonts w:ascii="Tahoma" w:hAnsi="Tahoma" w:cs="Tahoma"/>
          <w:sz w:val="24"/>
          <w:szCs w:val="22"/>
        </w:rPr>
      </w:pPr>
      <w:r w:rsidRPr="0091443C">
        <w:rPr>
          <w:rFonts w:ascii="Tahoma" w:hAnsi="Tahoma" w:cs="Tahoma"/>
          <w:sz w:val="24"/>
          <w:szCs w:val="22"/>
        </w:rPr>
        <w:t>En contravía de lo que venía sosteniendo la Sala de Casación Laboral de la Corte Suprema de Justicia respecto a la improcedencia del grado jurisdiccional de consulta a favor del Instituto de Seguros Sociales (hoy Colpensiones), mediante providencia de tutela de fecha 26 de noviembre de 2013, con ponencia de la Magistrada Elsy del Pilar Cuello Calderón, se revaluó dicho precedente y luego de un nuevo análisis concluyó que el contenido actual del artículo 69 del estatuto procesal laboral, después de la modificación que le hizo la Ley 1149 de 2007, da lugar a la consulta de los fallos en que se impongan condenas a la Administradora Colombiana de Pensiones – Colpensiones para proteger “</w:t>
      </w:r>
      <w:r w:rsidRPr="0091443C">
        <w:rPr>
          <w:rFonts w:ascii="Tahoma" w:hAnsi="Tahoma" w:cs="Tahoma"/>
          <w:i/>
          <w:sz w:val="24"/>
          <w:szCs w:val="22"/>
        </w:rPr>
        <w:t>el interés público, que está implícito en las eventuales condenas por las que el Estado respondería</w:t>
      </w:r>
      <w:r w:rsidRPr="0091443C">
        <w:rPr>
          <w:rFonts w:ascii="Tahoma" w:hAnsi="Tahoma" w:cs="Tahoma"/>
          <w:sz w:val="24"/>
          <w:szCs w:val="22"/>
        </w:rPr>
        <w:t>”, posición que se reiteró en sentencia del 4 de diciembre siguiente, Magistrado Ponente Carlos Ernesto Molina Monsalve, en la que expresamente se indicó que con ese pronunciamiento se recogía cualquiera otro criterio que se hubiera expuesto, y que se aplicó el 24 de abril de 2014 para declarar la nulidad de lo actuado en casación al advertirse que no se había dado trámite por el ad quem, simultáneamente con la apelación del demandante, la consulta a favor de Colpensiones por haber sido la decisión adversa a sus intereses (proceso 60884).</w:t>
      </w:r>
    </w:p>
    <w:p w:rsidR="00580536" w:rsidRPr="0091443C" w:rsidRDefault="00580536" w:rsidP="00DA417C">
      <w:pPr>
        <w:spacing w:line="276" w:lineRule="auto"/>
        <w:jc w:val="both"/>
        <w:rPr>
          <w:rFonts w:ascii="Tahoma" w:hAnsi="Tahoma" w:cs="Tahoma"/>
          <w:sz w:val="24"/>
          <w:szCs w:val="22"/>
        </w:rPr>
      </w:pPr>
    </w:p>
    <w:p w:rsidR="00815389" w:rsidRPr="0091443C" w:rsidRDefault="00815389" w:rsidP="00DA417C">
      <w:pPr>
        <w:spacing w:line="276" w:lineRule="auto"/>
        <w:ind w:right="51" w:firstLine="708"/>
        <w:jc w:val="both"/>
        <w:rPr>
          <w:rFonts w:ascii="Tahoma" w:hAnsi="Tahoma" w:cs="Tahoma"/>
          <w:sz w:val="24"/>
          <w:szCs w:val="22"/>
        </w:rPr>
      </w:pPr>
      <w:r w:rsidRPr="0091443C">
        <w:rPr>
          <w:rFonts w:ascii="Tahoma" w:hAnsi="Tahoma" w:cs="Tahoma"/>
          <w:sz w:val="24"/>
          <w:szCs w:val="22"/>
        </w:rPr>
        <w:t xml:space="preserve">Es más, tal es la protección al interés público, que la consulta a favor de las entidades descentralizadas en las que la Nación es garante, no se limita a que la </w:t>
      </w:r>
      <w:r w:rsidRPr="0091443C">
        <w:rPr>
          <w:rFonts w:ascii="Tahoma" w:hAnsi="Tahoma" w:cs="Tahoma"/>
          <w:sz w:val="24"/>
          <w:szCs w:val="22"/>
        </w:rPr>
        <w:lastRenderedPageBreak/>
        <w:t xml:space="preserve">decisión le sea totalmente desfavorable a la demandada, pues basta que resulte parcialmente condenada, debiendo incluso surtirse, aun cuando haya sido interpuesto el recurso de apelación, en los puntos que no fueron objeto de la impugnación, tal y como lo consideró la Alta Magistratura en la decisión citada, en la cual ejerció su función unificadora, indicando de manera contundente que las decisiones que por mandato de la </w:t>
      </w:r>
      <w:r w:rsidR="00B41DF9" w:rsidRPr="0091443C">
        <w:rPr>
          <w:rFonts w:ascii="Tahoma" w:hAnsi="Tahoma" w:cs="Tahoma"/>
          <w:sz w:val="24"/>
          <w:szCs w:val="22"/>
        </w:rPr>
        <w:t>l</w:t>
      </w:r>
      <w:r w:rsidRPr="0091443C">
        <w:rPr>
          <w:rFonts w:ascii="Tahoma" w:hAnsi="Tahoma" w:cs="Tahoma"/>
          <w:sz w:val="24"/>
          <w:szCs w:val="22"/>
        </w:rPr>
        <w:t xml:space="preserve">ey deben ser consultadas, no cobraran ejecutoria hasta tanto no se haya surtido dicho trámite, conforme lo consagrado en el artículo 331 del </w:t>
      </w:r>
      <w:r w:rsidR="007A761A" w:rsidRPr="0091443C">
        <w:rPr>
          <w:rFonts w:ascii="Tahoma" w:hAnsi="Tahoma" w:cs="Tahoma"/>
          <w:sz w:val="24"/>
          <w:szCs w:val="22"/>
        </w:rPr>
        <w:t>Código de Procedimiento Civil, vigente para cuando se presentó la situación mencionada.</w:t>
      </w:r>
    </w:p>
    <w:p w:rsidR="00815389" w:rsidRPr="0091443C" w:rsidRDefault="00815389" w:rsidP="00DA417C">
      <w:pPr>
        <w:spacing w:line="276" w:lineRule="auto"/>
        <w:jc w:val="both"/>
        <w:rPr>
          <w:rFonts w:ascii="Tahoma" w:hAnsi="Tahoma" w:cs="Tahoma"/>
          <w:sz w:val="24"/>
          <w:szCs w:val="22"/>
        </w:rPr>
      </w:pPr>
    </w:p>
    <w:p w:rsidR="00815389" w:rsidRPr="0091443C" w:rsidRDefault="00A14499" w:rsidP="00A14499">
      <w:pPr>
        <w:widowControl w:val="0"/>
        <w:numPr>
          <w:ilvl w:val="0"/>
          <w:numId w:val="1"/>
        </w:numPr>
        <w:tabs>
          <w:tab w:val="left" w:pos="993"/>
        </w:tabs>
        <w:autoSpaceDE w:val="0"/>
        <w:autoSpaceDN w:val="0"/>
        <w:adjustRightInd w:val="0"/>
        <w:spacing w:line="276" w:lineRule="auto"/>
        <w:ind w:left="709" w:firstLine="0"/>
        <w:jc w:val="both"/>
        <w:rPr>
          <w:rFonts w:ascii="Tahoma" w:hAnsi="Tahoma" w:cs="Tahoma"/>
          <w:b/>
          <w:spacing w:val="2"/>
          <w:sz w:val="24"/>
          <w:szCs w:val="22"/>
        </w:rPr>
      </w:pPr>
      <w:r w:rsidRPr="0091443C">
        <w:rPr>
          <w:rFonts w:ascii="Tahoma" w:hAnsi="Tahoma" w:cs="Tahoma"/>
          <w:b/>
          <w:spacing w:val="2"/>
          <w:sz w:val="24"/>
          <w:szCs w:val="22"/>
        </w:rPr>
        <w:t xml:space="preserve">Nulidades </w:t>
      </w:r>
      <w:proofErr w:type="spellStart"/>
      <w:r w:rsidRPr="0091443C">
        <w:rPr>
          <w:rFonts w:ascii="Tahoma" w:hAnsi="Tahoma" w:cs="Tahoma"/>
          <w:b/>
          <w:spacing w:val="2"/>
          <w:sz w:val="24"/>
          <w:szCs w:val="22"/>
        </w:rPr>
        <w:t>insaneables</w:t>
      </w:r>
      <w:proofErr w:type="spellEnd"/>
      <w:r w:rsidRPr="0091443C">
        <w:rPr>
          <w:rFonts w:ascii="Tahoma" w:hAnsi="Tahoma" w:cs="Tahoma"/>
          <w:b/>
          <w:spacing w:val="2"/>
          <w:sz w:val="24"/>
          <w:szCs w:val="22"/>
        </w:rPr>
        <w:t xml:space="preserve"> en el trámite procesal</w:t>
      </w:r>
    </w:p>
    <w:p w:rsidR="00815389" w:rsidRPr="0091443C" w:rsidRDefault="00815389" w:rsidP="00DA417C">
      <w:pPr>
        <w:spacing w:line="276" w:lineRule="auto"/>
        <w:jc w:val="both"/>
        <w:rPr>
          <w:rFonts w:ascii="Tahoma" w:hAnsi="Tahoma" w:cs="Tahoma"/>
          <w:sz w:val="24"/>
          <w:szCs w:val="22"/>
        </w:rPr>
      </w:pPr>
    </w:p>
    <w:p w:rsidR="00815389" w:rsidRPr="0091443C" w:rsidRDefault="00815389" w:rsidP="00DA417C">
      <w:pPr>
        <w:spacing w:line="276" w:lineRule="auto"/>
        <w:ind w:right="51" w:firstLine="708"/>
        <w:jc w:val="both"/>
        <w:rPr>
          <w:rFonts w:ascii="Tahoma" w:hAnsi="Tahoma" w:cs="Tahoma"/>
          <w:sz w:val="24"/>
          <w:szCs w:val="22"/>
        </w:rPr>
      </w:pPr>
      <w:r w:rsidRPr="0091443C">
        <w:rPr>
          <w:rFonts w:ascii="Tahoma" w:hAnsi="Tahoma" w:cs="Tahoma"/>
          <w:sz w:val="24"/>
          <w:szCs w:val="22"/>
        </w:rPr>
        <w:t>Son causal</w:t>
      </w:r>
      <w:r w:rsidR="007A761A" w:rsidRPr="0091443C">
        <w:rPr>
          <w:rFonts w:ascii="Tahoma" w:hAnsi="Tahoma" w:cs="Tahoma"/>
          <w:sz w:val="24"/>
          <w:szCs w:val="22"/>
        </w:rPr>
        <w:t>es</w:t>
      </w:r>
      <w:r w:rsidRPr="0091443C">
        <w:rPr>
          <w:rFonts w:ascii="Tahoma" w:hAnsi="Tahoma" w:cs="Tahoma"/>
          <w:sz w:val="24"/>
          <w:szCs w:val="22"/>
        </w:rPr>
        <w:t xml:space="preserve"> de nulidad procesal y como tal tienen la </w:t>
      </w:r>
      <w:r w:rsidR="007A761A" w:rsidRPr="0091443C">
        <w:rPr>
          <w:rFonts w:ascii="Tahoma" w:hAnsi="Tahoma" w:cs="Tahoma"/>
          <w:sz w:val="24"/>
          <w:szCs w:val="22"/>
        </w:rPr>
        <w:t xml:space="preserve">virtud </w:t>
      </w:r>
      <w:r w:rsidRPr="0091443C">
        <w:rPr>
          <w:rFonts w:ascii="Tahoma" w:hAnsi="Tahoma" w:cs="Tahoma"/>
          <w:sz w:val="24"/>
          <w:szCs w:val="22"/>
        </w:rPr>
        <w:t xml:space="preserve">de dejar sin efectos toda o parte de una actuación judicial, las que taxativamente se encuentran previstas en el artículo 140 del Código de Procedimiento Civil, siendo una de ellas la consagrada en el numeral </w:t>
      </w:r>
      <w:r w:rsidR="007A761A" w:rsidRPr="0091443C">
        <w:rPr>
          <w:rFonts w:ascii="Tahoma" w:hAnsi="Tahoma" w:cs="Tahoma"/>
          <w:sz w:val="24"/>
          <w:szCs w:val="22"/>
        </w:rPr>
        <w:t>3</w:t>
      </w:r>
      <w:r w:rsidRPr="0091443C">
        <w:rPr>
          <w:rFonts w:ascii="Tahoma" w:hAnsi="Tahoma" w:cs="Tahoma"/>
          <w:sz w:val="24"/>
          <w:szCs w:val="22"/>
        </w:rPr>
        <w:t>º</w:t>
      </w:r>
      <w:r w:rsidR="007A761A" w:rsidRPr="0091443C">
        <w:rPr>
          <w:rFonts w:ascii="Tahoma" w:hAnsi="Tahoma" w:cs="Tahoma"/>
          <w:sz w:val="24"/>
          <w:szCs w:val="22"/>
        </w:rPr>
        <w:t>:</w:t>
      </w:r>
      <w:r w:rsidRPr="0091443C">
        <w:rPr>
          <w:rFonts w:ascii="Tahoma" w:hAnsi="Tahoma" w:cs="Tahoma"/>
          <w:sz w:val="24"/>
          <w:szCs w:val="22"/>
        </w:rPr>
        <w:t xml:space="preserve"> “</w:t>
      </w:r>
      <w:r w:rsidRPr="0091443C">
        <w:rPr>
          <w:rFonts w:ascii="Tahoma" w:hAnsi="Tahoma" w:cs="Tahoma"/>
          <w:i/>
          <w:sz w:val="24"/>
          <w:szCs w:val="22"/>
        </w:rPr>
        <w:t xml:space="preserve">Cuando el juez procede contra providencia ejecutoriada del superior, revive un proceso legalmente concluido o </w:t>
      </w:r>
      <w:r w:rsidRPr="0091443C">
        <w:rPr>
          <w:rFonts w:ascii="Tahoma" w:hAnsi="Tahoma" w:cs="Tahoma"/>
          <w:b/>
          <w:i/>
          <w:sz w:val="24"/>
          <w:szCs w:val="22"/>
        </w:rPr>
        <w:t>pretermite íntegramente la respectiva instancia</w:t>
      </w:r>
      <w:r w:rsidRPr="0091443C">
        <w:rPr>
          <w:rFonts w:ascii="Tahoma" w:hAnsi="Tahoma" w:cs="Tahoma"/>
          <w:i/>
          <w:sz w:val="24"/>
          <w:szCs w:val="22"/>
        </w:rPr>
        <w:t>”</w:t>
      </w:r>
      <w:r w:rsidRPr="0091443C">
        <w:rPr>
          <w:rFonts w:ascii="Tahoma" w:hAnsi="Tahoma" w:cs="Tahoma"/>
          <w:sz w:val="24"/>
          <w:szCs w:val="22"/>
        </w:rPr>
        <w:t xml:space="preserve">, causal que según las voces del </w:t>
      </w:r>
      <w:r w:rsidR="007A761A" w:rsidRPr="0091443C">
        <w:rPr>
          <w:rFonts w:ascii="Tahoma" w:hAnsi="Tahoma" w:cs="Tahoma"/>
          <w:sz w:val="24"/>
          <w:szCs w:val="22"/>
        </w:rPr>
        <w:t xml:space="preserve">inciso final del </w:t>
      </w:r>
      <w:r w:rsidRPr="0091443C">
        <w:rPr>
          <w:rFonts w:ascii="Tahoma" w:hAnsi="Tahoma" w:cs="Tahoma"/>
          <w:sz w:val="24"/>
          <w:szCs w:val="22"/>
        </w:rPr>
        <w:t xml:space="preserve">artículo 144 </w:t>
      </w:r>
      <w:r w:rsidR="007A761A" w:rsidRPr="0091443C">
        <w:rPr>
          <w:rFonts w:ascii="Tahoma" w:hAnsi="Tahoma" w:cs="Tahoma"/>
          <w:sz w:val="24"/>
          <w:szCs w:val="22"/>
        </w:rPr>
        <w:t>ibídem</w:t>
      </w:r>
      <w:r w:rsidRPr="0091443C">
        <w:rPr>
          <w:rFonts w:ascii="Tahoma" w:hAnsi="Tahoma" w:cs="Tahoma"/>
          <w:sz w:val="24"/>
          <w:szCs w:val="22"/>
        </w:rPr>
        <w:t xml:space="preserve"> es </w:t>
      </w:r>
      <w:proofErr w:type="spellStart"/>
      <w:r w:rsidRPr="0091443C">
        <w:rPr>
          <w:rFonts w:ascii="Tahoma" w:hAnsi="Tahoma" w:cs="Tahoma"/>
          <w:sz w:val="24"/>
          <w:szCs w:val="22"/>
        </w:rPr>
        <w:t>insaneable</w:t>
      </w:r>
      <w:proofErr w:type="spellEnd"/>
      <w:r w:rsidRPr="0091443C">
        <w:rPr>
          <w:rFonts w:ascii="Tahoma" w:hAnsi="Tahoma" w:cs="Tahoma"/>
          <w:sz w:val="24"/>
          <w:szCs w:val="22"/>
        </w:rPr>
        <w:t>.</w:t>
      </w:r>
      <w:r w:rsidR="007A761A" w:rsidRPr="0091443C">
        <w:rPr>
          <w:rFonts w:ascii="Tahoma" w:hAnsi="Tahoma" w:cs="Tahoma"/>
          <w:sz w:val="24"/>
          <w:szCs w:val="22"/>
        </w:rPr>
        <w:t xml:space="preserve">  Es pertinente señalar que bajo las reglas procesales actualmente vigentes (artículo 133, numeral 2, y parágrafo del artículo 136 del Código General del Proceso</w:t>
      </w:r>
      <w:r w:rsidR="00B41DF9" w:rsidRPr="0091443C">
        <w:rPr>
          <w:rFonts w:ascii="Tahoma" w:hAnsi="Tahoma" w:cs="Tahoma"/>
          <w:sz w:val="24"/>
          <w:szCs w:val="22"/>
        </w:rPr>
        <w:t>)</w:t>
      </w:r>
      <w:r w:rsidR="007A761A" w:rsidRPr="0091443C">
        <w:rPr>
          <w:rFonts w:ascii="Tahoma" w:hAnsi="Tahoma" w:cs="Tahoma"/>
          <w:sz w:val="24"/>
          <w:szCs w:val="22"/>
        </w:rPr>
        <w:t xml:space="preserve"> la situación jurídica descrita se conserva igual.</w:t>
      </w:r>
    </w:p>
    <w:p w:rsidR="00815389" w:rsidRPr="0091443C" w:rsidRDefault="00815389" w:rsidP="00DA417C">
      <w:pPr>
        <w:spacing w:line="276" w:lineRule="auto"/>
        <w:jc w:val="both"/>
        <w:rPr>
          <w:rFonts w:ascii="Tahoma" w:hAnsi="Tahoma" w:cs="Tahoma"/>
          <w:sz w:val="24"/>
          <w:szCs w:val="22"/>
        </w:rPr>
      </w:pPr>
    </w:p>
    <w:p w:rsidR="00815389" w:rsidRPr="0091443C" w:rsidRDefault="00A14499" w:rsidP="00A14499">
      <w:pPr>
        <w:widowControl w:val="0"/>
        <w:numPr>
          <w:ilvl w:val="0"/>
          <w:numId w:val="1"/>
        </w:numPr>
        <w:tabs>
          <w:tab w:val="left" w:pos="993"/>
        </w:tabs>
        <w:autoSpaceDE w:val="0"/>
        <w:autoSpaceDN w:val="0"/>
        <w:adjustRightInd w:val="0"/>
        <w:spacing w:line="276" w:lineRule="auto"/>
        <w:ind w:left="709" w:firstLine="0"/>
        <w:jc w:val="both"/>
        <w:rPr>
          <w:rFonts w:ascii="Tahoma" w:hAnsi="Tahoma" w:cs="Tahoma"/>
          <w:b/>
          <w:spacing w:val="2"/>
          <w:sz w:val="24"/>
          <w:szCs w:val="22"/>
        </w:rPr>
      </w:pPr>
      <w:r w:rsidRPr="0091443C">
        <w:rPr>
          <w:rFonts w:ascii="Tahoma" w:hAnsi="Tahoma" w:cs="Tahoma"/>
          <w:b/>
          <w:spacing w:val="2"/>
          <w:sz w:val="24"/>
          <w:szCs w:val="22"/>
        </w:rPr>
        <w:t>Caso concreto</w:t>
      </w:r>
    </w:p>
    <w:p w:rsidR="00815389" w:rsidRPr="0091443C" w:rsidRDefault="00815389" w:rsidP="00DA417C">
      <w:pPr>
        <w:spacing w:line="276" w:lineRule="auto"/>
        <w:jc w:val="both"/>
        <w:rPr>
          <w:rFonts w:ascii="Tahoma" w:hAnsi="Tahoma" w:cs="Tahoma"/>
          <w:b/>
          <w:sz w:val="24"/>
          <w:szCs w:val="22"/>
        </w:rPr>
      </w:pPr>
    </w:p>
    <w:p w:rsidR="00815389" w:rsidRPr="0091443C" w:rsidRDefault="007A761A" w:rsidP="00C57FDD">
      <w:pPr>
        <w:spacing w:line="276" w:lineRule="auto"/>
        <w:ind w:right="51" w:firstLine="708"/>
        <w:jc w:val="both"/>
        <w:rPr>
          <w:rFonts w:ascii="Tahoma" w:hAnsi="Tahoma" w:cs="Tahoma"/>
          <w:sz w:val="24"/>
          <w:szCs w:val="22"/>
        </w:rPr>
      </w:pPr>
      <w:r w:rsidRPr="0091443C">
        <w:rPr>
          <w:rFonts w:ascii="Tahoma" w:hAnsi="Tahoma" w:cs="Tahoma"/>
          <w:sz w:val="24"/>
          <w:szCs w:val="22"/>
        </w:rPr>
        <w:t xml:space="preserve">Como se mencionó al inicio de este proveído, la sentencia en el proceso ordinario se dictó el </w:t>
      </w:r>
      <w:r w:rsidR="00A14499" w:rsidRPr="0091443C">
        <w:rPr>
          <w:rFonts w:ascii="Tahoma" w:hAnsi="Tahoma" w:cs="Tahoma"/>
          <w:sz w:val="24"/>
          <w:szCs w:val="22"/>
        </w:rPr>
        <w:t>28 de marzo</w:t>
      </w:r>
      <w:r w:rsidRPr="0091443C">
        <w:rPr>
          <w:rFonts w:ascii="Tahoma" w:hAnsi="Tahoma" w:cs="Tahoma"/>
          <w:sz w:val="24"/>
          <w:szCs w:val="22"/>
        </w:rPr>
        <w:t xml:space="preserve"> de 2014, circunstancia que</w:t>
      </w:r>
      <w:r w:rsidR="009C2D3B" w:rsidRPr="0091443C">
        <w:rPr>
          <w:rFonts w:ascii="Tahoma" w:hAnsi="Tahoma" w:cs="Tahoma"/>
          <w:sz w:val="24"/>
          <w:szCs w:val="22"/>
        </w:rPr>
        <w:t xml:space="preserve"> determina que era imperativo haber dispuesto </w:t>
      </w:r>
      <w:r w:rsidR="00815389" w:rsidRPr="0091443C">
        <w:rPr>
          <w:rFonts w:ascii="Tahoma" w:hAnsi="Tahoma" w:cs="Tahoma"/>
          <w:sz w:val="24"/>
          <w:szCs w:val="22"/>
        </w:rPr>
        <w:t xml:space="preserve">su consulta, pues tal </w:t>
      </w:r>
      <w:r w:rsidR="00C57FDD" w:rsidRPr="0091443C">
        <w:rPr>
          <w:rFonts w:ascii="Tahoma" w:hAnsi="Tahoma" w:cs="Tahoma"/>
          <w:sz w:val="24"/>
          <w:szCs w:val="22"/>
        </w:rPr>
        <w:t xml:space="preserve">como se advirtiera previamente, tal </w:t>
      </w:r>
      <w:r w:rsidR="00815389" w:rsidRPr="0091443C">
        <w:rPr>
          <w:rFonts w:ascii="Tahoma" w:hAnsi="Tahoma" w:cs="Tahoma"/>
          <w:sz w:val="24"/>
          <w:szCs w:val="22"/>
        </w:rPr>
        <w:t xml:space="preserve">garantía nació </w:t>
      </w:r>
      <w:r w:rsidR="00A14499" w:rsidRPr="0091443C">
        <w:rPr>
          <w:rFonts w:ascii="Tahoma" w:hAnsi="Tahoma" w:cs="Tahoma"/>
          <w:sz w:val="24"/>
          <w:szCs w:val="22"/>
        </w:rPr>
        <w:t>con ocasión de la expedición del fallo de tutela emitido por la Sala de Casación Laboral de la Corte Suprema el 26 de noviembre de 2013</w:t>
      </w:r>
      <w:r w:rsidR="00C57FDD" w:rsidRPr="0091443C">
        <w:rPr>
          <w:rFonts w:ascii="Tahoma" w:hAnsi="Tahoma" w:cs="Tahoma"/>
          <w:sz w:val="24"/>
          <w:szCs w:val="22"/>
        </w:rPr>
        <w:t xml:space="preserve">. </w:t>
      </w:r>
      <w:r w:rsidR="00815389" w:rsidRPr="0091443C">
        <w:rPr>
          <w:rFonts w:ascii="Tahoma" w:hAnsi="Tahoma" w:cs="Tahoma"/>
          <w:sz w:val="24"/>
          <w:szCs w:val="22"/>
        </w:rPr>
        <w:t xml:space="preserve">Por consiguiente, la omisión de dar curso al trámite de consulta </w:t>
      </w:r>
      <w:r w:rsidR="00C57FDD" w:rsidRPr="0091443C">
        <w:rPr>
          <w:rFonts w:ascii="Tahoma" w:hAnsi="Tahoma" w:cs="Tahoma"/>
          <w:sz w:val="24"/>
          <w:szCs w:val="22"/>
        </w:rPr>
        <w:t>inválida</w:t>
      </w:r>
      <w:r w:rsidR="00815389" w:rsidRPr="0091443C">
        <w:rPr>
          <w:rFonts w:ascii="Tahoma" w:hAnsi="Tahoma" w:cs="Tahoma"/>
          <w:sz w:val="24"/>
          <w:szCs w:val="22"/>
        </w:rPr>
        <w:t xml:space="preserve"> la actuación surtida con posterioridad a la sentencia de primer grado, en los términos de</w:t>
      </w:r>
      <w:r w:rsidR="009C2D3B" w:rsidRPr="0091443C">
        <w:rPr>
          <w:rFonts w:ascii="Tahoma" w:hAnsi="Tahoma" w:cs="Tahoma"/>
          <w:sz w:val="24"/>
          <w:szCs w:val="22"/>
        </w:rPr>
        <w:t xml:space="preserve"> </w:t>
      </w:r>
      <w:r w:rsidR="00C57FDD" w:rsidRPr="0091443C">
        <w:rPr>
          <w:rFonts w:ascii="Tahoma" w:hAnsi="Tahoma" w:cs="Tahoma"/>
          <w:sz w:val="24"/>
          <w:szCs w:val="22"/>
        </w:rPr>
        <w:t>dicha jurisprudencia, en la que se señaló</w:t>
      </w:r>
      <w:r w:rsidR="004A2C1A" w:rsidRPr="0091443C">
        <w:rPr>
          <w:rFonts w:ascii="Tahoma" w:hAnsi="Tahoma" w:cs="Tahoma"/>
          <w:sz w:val="24"/>
          <w:szCs w:val="22"/>
        </w:rPr>
        <w:t>,</w:t>
      </w:r>
      <w:r w:rsidR="00C57FDD" w:rsidRPr="0091443C">
        <w:rPr>
          <w:rFonts w:ascii="Tahoma" w:hAnsi="Tahoma" w:cs="Tahoma"/>
          <w:sz w:val="24"/>
          <w:szCs w:val="22"/>
        </w:rPr>
        <w:t xml:space="preserve"> además</w:t>
      </w:r>
      <w:r w:rsidR="004A2C1A" w:rsidRPr="0091443C">
        <w:rPr>
          <w:rFonts w:ascii="Tahoma" w:hAnsi="Tahoma" w:cs="Tahoma"/>
          <w:sz w:val="24"/>
          <w:szCs w:val="22"/>
        </w:rPr>
        <w:t>,</w:t>
      </w:r>
      <w:r w:rsidR="00C57FDD" w:rsidRPr="0091443C">
        <w:rPr>
          <w:rFonts w:ascii="Tahoma" w:hAnsi="Tahoma" w:cs="Tahoma"/>
          <w:sz w:val="24"/>
          <w:szCs w:val="22"/>
        </w:rPr>
        <w:t xml:space="preserve"> que: </w:t>
      </w:r>
    </w:p>
    <w:p w:rsidR="00815389" w:rsidRPr="0091443C" w:rsidRDefault="00815389" w:rsidP="00DA417C">
      <w:pPr>
        <w:spacing w:line="276" w:lineRule="auto"/>
        <w:jc w:val="both"/>
        <w:rPr>
          <w:rFonts w:ascii="Tahoma" w:hAnsi="Tahoma" w:cs="Tahoma"/>
          <w:sz w:val="24"/>
          <w:szCs w:val="22"/>
        </w:rPr>
      </w:pPr>
    </w:p>
    <w:p w:rsidR="00815389" w:rsidRPr="0091443C" w:rsidRDefault="00815389" w:rsidP="0091443C">
      <w:pPr>
        <w:ind w:left="426" w:right="420"/>
        <w:jc w:val="both"/>
        <w:rPr>
          <w:rFonts w:ascii="Arial Narrow" w:hAnsi="Arial Narrow" w:cs="Tahoma"/>
          <w:i/>
          <w:sz w:val="24"/>
          <w:szCs w:val="22"/>
        </w:rPr>
      </w:pPr>
      <w:r w:rsidRPr="0091443C">
        <w:rPr>
          <w:rFonts w:ascii="Arial Narrow" w:hAnsi="Arial Narrow" w:cs="Tahoma"/>
          <w:sz w:val="24"/>
          <w:szCs w:val="22"/>
        </w:rPr>
        <w:t>“</w:t>
      </w:r>
      <w:r w:rsidR="009C2D3B" w:rsidRPr="0091443C">
        <w:rPr>
          <w:rFonts w:ascii="Arial Narrow" w:hAnsi="Arial Narrow" w:cs="Tahoma"/>
          <w:i/>
          <w:sz w:val="24"/>
          <w:szCs w:val="22"/>
        </w:rPr>
        <w:t>E</w:t>
      </w:r>
      <w:r w:rsidR="001906C3" w:rsidRPr="0091443C">
        <w:rPr>
          <w:rFonts w:ascii="Arial Narrow" w:hAnsi="Arial Narrow" w:cs="Tahoma"/>
          <w:i/>
          <w:sz w:val="24"/>
          <w:szCs w:val="22"/>
        </w:rPr>
        <w:t>s</w:t>
      </w:r>
      <w:r w:rsidRPr="0091443C">
        <w:rPr>
          <w:rFonts w:ascii="Arial Narrow" w:hAnsi="Arial Narrow" w:cs="Tahoma"/>
          <w:i/>
          <w:sz w:val="24"/>
          <w:szCs w:val="22"/>
        </w:rPr>
        <w:t xml:space="preserve"> importante resaltar que en este caso el grado jurisdiccional de consulta operó por ministerio de la ley.</w:t>
      </w:r>
      <w:r w:rsidR="009C2D3B" w:rsidRPr="0091443C">
        <w:rPr>
          <w:rFonts w:ascii="Arial Narrow" w:hAnsi="Arial Narrow" w:cs="Tahoma"/>
          <w:i/>
          <w:sz w:val="24"/>
          <w:szCs w:val="22"/>
        </w:rPr>
        <w:t xml:space="preserve">  </w:t>
      </w:r>
      <w:r w:rsidRPr="0091443C">
        <w:rPr>
          <w:rFonts w:ascii="Arial Narrow" w:hAnsi="Arial Narrow" w:cs="Tahoma"/>
          <w:i/>
          <w:sz w:val="24"/>
          <w:szCs w:val="22"/>
        </w:rPr>
        <w:t>Por tanto, la sentencia no cobra ejecutoria hasta tanto se surta el mismo”</w:t>
      </w:r>
      <w:r w:rsidR="00580536" w:rsidRPr="0091443C">
        <w:rPr>
          <w:rFonts w:ascii="Arial Narrow" w:hAnsi="Arial Narrow" w:cs="Tahoma"/>
          <w:i/>
          <w:sz w:val="24"/>
          <w:szCs w:val="22"/>
        </w:rPr>
        <w:t>.</w:t>
      </w:r>
    </w:p>
    <w:p w:rsidR="00580536" w:rsidRPr="0091443C" w:rsidRDefault="00580536" w:rsidP="00DA417C">
      <w:pPr>
        <w:spacing w:line="276" w:lineRule="auto"/>
        <w:ind w:right="51"/>
        <w:jc w:val="both"/>
        <w:rPr>
          <w:rFonts w:ascii="Tahoma" w:hAnsi="Tahoma" w:cs="Tahoma"/>
          <w:sz w:val="24"/>
          <w:szCs w:val="22"/>
        </w:rPr>
      </w:pPr>
    </w:p>
    <w:p w:rsidR="004A2C1A" w:rsidRPr="0091443C" w:rsidRDefault="00815389" w:rsidP="00DA417C">
      <w:pPr>
        <w:spacing w:line="276" w:lineRule="auto"/>
        <w:ind w:right="51" w:firstLine="708"/>
        <w:jc w:val="both"/>
        <w:rPr>
          <w:rFonts w:ascii="Tahoma" w:hAnsi="Tahoma" w:cs="Tahoma"/>
          <w:sz w:val="24"/>
          <w:szCs w:val="22"/>
        </w:rPr>
      </w:pPr>
      <w:r w:rsidRPr="0091443C">
        <w:rPr>
          <w:rFonts w:ascii="Tahoma" w:hAnsi="Tahoma" w:cs="Tahoma"/>
          <w:sz w:val="24"/>
          <w:szCs w:val="22"/>
        </w:rPr>
        <w:t>Más recientemente indicó</w:t>
      </w:r>
      <w:r w:rsidR="004A2C1A" w:rsidRPr="0091443C">
        <w:rPr>
          <w:rFonts w:ascii="Tahoma" w:hAnsi="Tahoma" w:cs="Tahoma"/>
          <w:sz w:val="24"/>
          <w:szCs w:val="22"/>
        </w:rPr>
        <w:t>:</w:t>
      </w:r>
    </w:p>
    <w:p w:rsidR="004A2C1A" w:rsidRPr="0091443C" w:rsidRDefault="004A2C1A" w:rsidP="00DA417C">
      <w:pPr>
        <w:spacing w:line="276" w:lineRule="auto"/>
        <w:ind w:right="51" w:firstLine="708"/>
        <w:jc w:val="both"/>
        <w:rPr>
          <w:rFonts w:ascii="Tahoma" w:hAnsi="Tahoma" w:cs="Tahoma"/>
          <w:sz w:val="24"/>
          <w:szCs w:val="22"/>
        </w:rPr>
      </w:pPr>
    </w:p>
    <w:p w:rsidR="00815389" w:rsidRPr="0091443C" w:rsidRDefault="00815389" w:rsidP="0091443C">
      <w:pPr>
        <w:ind w:left="426" w:right="420"/>
        <w:jc w:val="both"/>
        <w:rPr>
          <w:rFonts w:ascii="Arial Narrow" w:hAnsi="Arial Narrow" w:cs="Tahoma"/>
          <w:sz w:val="24"/>
          <w:szCs w:val="22"/>
        </w:rPr>
      </w:pPr>
      <w:r w:rsidRPr="0091443C">
        <w:rPr>
          <w:rFonts w:ascii="Arial Narrow" w:hAnsi="Arial Narrow" w:cs="Tahoma"/>
          <w:sz w:val="24"/>
          <w:szCs w:val="22"/>
        </w:rPr>
        <w:t xml:space="preserve"> “Así las cosas, la decisión proferida por el juzgador de primer grado, en la que se imponga una condena parcial o total contra la Nación, los entes territoriales o los </w:t>
      </w:r>
      <w:r w:rsidR="009C2D3B" w:rsidRPr="0091443C">
        <w:rPr>
          <w:rFonts w:ascii="Arial Narrow" w:hAnsi="Arial Narrow" w:cs="Tahoma"/>
          <w:sz w:val="24"/>
          <w:szCs w:val="22"/>
        </w:rPr>
        <w:t>descentralizados donde</w:t>
      </w:r>
      <w:r w:rsidRPr="0091443C">
        <w:rPr>
          <w:rFonts w:ascii="Arial Narrow" w:hAnsi="Arial Narrow" w:cs="Tahoma"/>
          <w:sz w:val="24"/>
          <w:szCs w:val="22"/>
        </w:rPr>
        <w:t xml:space="preserve"> aqu</w:t>
      </w:r>
      <w:r w:rsidR="004A2C1A" w:rsidRPr="0091443C">
        <w:rPr>
          <w:rFonts w:ascii="Arial Narrow" w:hAnsi="Arial Narrow" w:cs="Tahoma"/>
          <w:sz w:val="24"/>
          <w:szCs w:val="22"/>
        </w:rPr>
        <w:t>e</w:t>
      </w:r>
      <w:r w:rsidRPr="0091443C">
        <w:rPr>
          <w:rFonts w:ascii="Arial Narrow" w:hAnsi="Arial Narrow" w:cs="Tahoma"/>
          <w:sz w:val="24"/>
          <w:szCs w:val="22"/>
        </w:rPr>
        <w:t xml:space="preserve">lla sea garante, no cobrará ejecutoria hasta tanto se surta el grado jurisdiccional de consulta, conforme a lo dispuesto en el artículo 331 del </w:t>
      </w:r>
      <w:proofErr w:type="spellStart"/>
      <w:r w:rsidRPr="0091443C">
        <w:rPr>
          <w:rFonts w:ascii="Arial Narrow" w:hAnsi="Arial Narrow" w:cs="Tahoma"/>
          <w:sz w:val="24"/>
          <w:szCs w:val="22"/>
        </w:rPr>
        <w:t>C.P.C</w:t>
      </w:r>
      <w:proofErr w:type="spellEnd"/>
      <w:r w:rsidRPr="0091443C">
        <w:rPr>
          <w:rFonts w:ascii="Arial Narrow" w:hAnsi="Arial Narrow" w:cs="Tahoma"/>
          <w:sz w:val="24"/>
          <w:szCs w:val="22"/>
        </w:rPr>
        <w:t>., aplicable a los juicios laborales y de seguridad social por autorizarlo así el artículo 145 del C.P.T y S.S.”</w:t>
      </w:r>
      <w:r w:rsidR="009C2D3B" w:rsidRPr="0091443C">
        <w:rPr>
          <w:rFonts w:ascii="Arial Narrow" w:hAnsi="Arial Narrow" w:cs="Tahoma"/>
          <w:sz w:val="24"/>
          <w:szCs w:val="22"/>
        </w:rPr>
        <w:t>.  (</w:t>
      </w:r>
      <w:proofErr w:type="spellStart"/>
      <w:r w:rsidRPr="0091443C">
        <w:rPr>
          <w:rFonts w:ascii="Arial Narrow" w:hAnsi="Arial Narrow" w:cs="Tahoma"/>
          <w:sz w:val="24"/>
          <w:szCs w:val="22"/>
        </w:rPr>
        <w:t>SLT</w:t>
      </w:r>
      <w:proofErr w:type="spellEnd"/>
      <w:r w:rsidRPr="0091443C">
        <w:rPr>
          <w:rFonts w:ascii="Arial Narrow" w:hAnsi="Arial Narrow" w:cs="Tahoma"/>
          <w:sz w:val="24"/>
          <w:szCs w:val="22"/>
        </w:rPr>
        <w:t xml:space="preserve"> 7382-15 del 9 de junio de 2015</w:t>
      </w:r>
      <w:r w:rsidR="009C2D3B" w:rsidRPr="0091443C">
        <w:rPr>
          <w:rFonts w:ascii="Arial Narrow" w:hAnsi="Arial Narrow" w:cs="Tahoma"/>
          <w:sz w:val="24"/>
          <w:szCs w:val="22"/>
        </w:rPr>
        <w:t>)</w:t>
      </w:r>
      <w:r w:rsidRPr="0091443C">
        <w:rPr>
          <w:rFonts w:ascii="Arial Narrow" w:hAnsi="Arial Narrow" w:cs="Tahoma"/>
          <w:sz w:val="24"/>
          <w:szCs w:val="22"/>
        </w:rPr>
        <w:t>.</w:t>
      </w:r>
    </w:p>
    <w:p w:rsidR="00815389" w:rsidRPr="0091443C" w:rsidRDefault="00815389" w:rsidP="00DA417C">
      <w:pPr>
        <w:spacing w:line="276" w:lineRule="auto"/>
        <w:jc w:val="both"/>
        <w:rPr>
          <w:rFonts w:ascii="Tahoma" w:hAnsi="Tahoma" w:cs="Tahoma"/>
          <w:sz w:val="24"/>
          <w:szCs w:val="22"/>
        </w:rPr>
      </w:pPr>
    </w:p>
    <w:p w:rsidR="00815389" w:rsidRPr="0091443C" w:rsidRDefault="00815389" w:rsidP="00DA417C">
      <w:pPr>
        <w:spacing w:line="276" w:lineRule="auto"/>
        <w:ind w:right="51" w:firstLine="708"/>
        <w:jc w:val="both"/>
        <w:rPr>
          <w:rFonts w:ascii="Tahoma" w:hAnsi="Tahoma" w:cs="Tahoma"/>
          <w:sz w:val="24"/>
          <w:szCs w:val="22"/>
        </w:rPr>
      </w:pPr>
      <w:r w:rsidRPr="0091443C">
        <w:rPr>
          <w:rFonts w:ascii="Tahoma" w:hAnsi="Tahoma" w:cs="Tahoma"/>
          <w:sz w:val="24"/>
          <w:szCs w:val="22"/>
        </w:rPr>
        <w:lastRenderedPageBreak/>
        <w:t xml:space="preserve">En el anterior orden de ideas, se declarará la nulidad de toda la actuación surtida en el presente proceso ejecutivo, así como la adelantada en el proceso ordinario laboral de primera instancia promovido por </w:t>
      </w:r>
      <w:r w:rsidR="004A2C1A" w:rsidRPr="0091443C">
        <w:rPr>
          <w:rFonts w:ascii="Tahoma" w:hAnsi="Tahoma" w:cs="Tahoma"/>
          <w:sz w:val="24"/>
          <w:szCs w:val="22"/>
        </w:rPr>
        <w:t>María del Socorro Giraldo López</w:t>
      </w:r>
      <w:r w:rsidRPr="0091443C">
        <w:rPr>
          <w:rFonts w:ascii="Tahoma" w:hAnsi="Tahoma" w:cs="Tahoma"/>
          <w:sz w:val="24"/>
          <w:szCs w:val="22"/>
        </w:rPr>
        <w:t>.</w:t>
      </w:r>
    </w:p>
    <w:p w:rsidR="00815389" w:rsidRPr="0091443C" w:rsidRDefault="00815389" w:rsidP="00DA417C">
      <w:pPr>
        <w:spacing w:line="276" w:lineRule="auto"/>
        <w:jc w:val="both"/>
        <w:rPr>
          <w:rFonts w:ascii="Tahoma" w:hAnsi="Tahoma" w:cs="Tahoma"/>
          <w:sz w:val="24"/>
          <w:szCs w:val="22"/>
        </w:rPr>
      </w:pPr>
    </w:p>
    <w:p w:rsidR="00815389" w:rsidRPr="0091443C" w:rsidRDefault="00815389" w:rsidP="00DA417C">
      <w:pPr>
        <w:spacing w:line="276" w:lineRule="auto"/>
        <w:ind w:right="51" w:firstLine="708"/>
        <w:jc w:val="both"/>
        <w:rPr>
          <w:rFonts w:ascii="Tahoma" w:hAnsi="Tahoma" w:cs="Tahoma"/>
          <w:sz w:val="24"/>
          <w:szCs w:val="22"/>
        </w:rPr>
      </w:pPr>
      <w:r w:rsidRPr="0091443C">
        <w:rPr>
          <w:rFonts w:ascii="Tahoma" w:hAnsi="Tahoma" w:cs="Tahoma"/>
          <w:sz w:val="24"/>
          <w:szCs w:val="22"/>
        </w:rPr>
        <w:t xml:space="preserve">Consecuente con lo anterior se </w:t>
      </w:r>
      <w:r w:rsidR="009C2D3B" w:rsidRPr="0091443C">
        <w:rPr>
          <w:rFonts w:ascii="Tahoma" w:hAnsi="Tahoma" w:cs="Tahoma"/>
          <w:sz w:val="24"/>
          <w:szCs w:val="22"/>
        </w:rPr>
        <w:t>dispondrá que, ejecutoriada esta decisión, se le dé trámite al citado grado jurisdiccional, previa compensación del proceso en el reparto y comunicación de lo decidido al Juzgado de conocimiento.</w:t>
      </w:r>
    </w:p>
    <w:p w:rsidR="00815389" w:rsidRPr="0091443C" w:rsidRDefault="00815389" w:rsidP="00DA417C">
      <w:pPr>
        <w:spacing w:line="276" w:lineRule="auto"/>
        <w:jc w:val="both"/>
        <w:rPr>
          <w:rFonts w:ascii="Tahoma" w:hAnsi="Tahoma" w:cs="Tahoma"/>
          <w:i/>
          <w:iCs/>
          <w:sz w:val="24"/>
          <w:szCs w:val="22"/>
        </w:rPr>
      </w:pPr>
    </w:p>
    <w:p w:rsidR="00815389" w:rsidRPr="0091443C" w:rsidRDefault="00815389" w:rsidP="00DA417C">
      <w:pPr>
        <w:widowControl w:val="0"/>
        <w:autoSpaceDE w:val="0"/>
        <w:autoSpaceDN w:val="0"/>
        <w:adjustRightInd w:val="0"/>
        <w:spacing w:line="276" w:lineRule="auto"/>
        <w:ind w:firstLine="708"/>
        <w:jc w:val="both"/>
        <w:rPr>
          <w:rFonts w:ascii="Tahoma" w:hAnsi="Tahoma" w:cs="Tahoma"/>
          <w:sz w:val="24"/>
          <w:szCs w:val="22"/>
        </w:rPr>
      </w:pPr>
      <w:r w:rsidRPr="0091443C">
        <w:rPr>
          <w:rFonts w:ascii="Tahoma" w:hAnsi="Tahoma" w:cs="Tahoma"/>
          <w:sz w:val="24"/>
          <w:szCs w:val="22"/>
        </w:rPr>
        <w:t xml:space="preserve">En mérito de lo expuesto, </w:t>
      </w:r>
      <w:r w:rsidR="00914A8E" w:rsidRPr="0091443C">
        <w:rPr>
          <w:rFonts w:ascii="Tahoma" w:hAnsi="Tahoma" w:cs="Tahoma"/>
          <w:sz w:val="24"/>
          <w:szCs w:val="22"/>
        </w:rPr>
        <w:t xml:space="preserve">el </w:t>
      </w:r>
      <w:r w:rsidRPr="0091443C">
        <w:rPr>
          <w:rFonts w:ascii="Tahoma" w:hAnsi="Tahoma" w:cs="Tahoma"/>
          <w:b/>
          <w:sz w:val="24"/>
          <w:szCs w:val="22"/>
        </w:rPr>
        <w:t>Tribunal Superior de Pereira</w:t>
      </w:r>
      <w:r w:rsidR="00914A8E" w:rsidRPr="0091443C">
        <w:rPr>
          <w:rFonts w:ascii="Tahoma" w:hAnsi="Tahoma" w:cs="Tahoma"/>
          <w:b/>
          <w:sz w:val="24"/>
          <w:szCs w:val="22"/>
        </w:rPr>
        <w:t>, en Sala Unitaria Laboral</w:t>
      </w:r>
    </w:p>
    <w:p w:rsidR="00815389" w:rsidRPr="0091443C" w:rsidRDefault="00815389" w:rsidP="00DA417C">
      <w:pPr>
        <w:widowControl w:val="0"/>
        <w:tabs>
          <w:tab w:val="left" w:pos="3843"/>
        </w:tabs>
        <w:autoSpaceDE w:val="0"/>
        <w:autoSpaceDN w:val="0"/>
        <w:adjustRightInd w:val="0"/>
        <w:spacing w:line="276" w:lineRule="auto"/>
        <w:jc w:val="both"/>
        <w:rPr>
          <w:rFonts w:ascii="Tahoma" w:hAnsi="Tahoma" w:cs="Tahoma"/>
          <w:sz w:val="24"/>
          <w:szCs w:val="22"/>
        </w:rPr>
      </w:pPr>
    </w:p>
    <w:p w:rsidR="00815389" w:rsidRPr="0091443C" w:rsidRDefault="00815389" w:rsidP="00DA417C">
      <w:pPr>
        <w:widowControl w:val="0"/>
        <w:autoSpaceDE w:val="0"/>
        <w:autoSpaceDN w:val="0"/>
        <w:adjustRightInd w:val="0"/>
        <w:spacing w:line="276" w:lineRule="auto"/>
        <w:ind w:firstLine="708"/>
        <w:rPr>
          <w:rFonts w:ascii="Tahoma" w:hAnsi="Tahoma" w:cs="Tahoma"/>
          <w:b/>
          <w:sz w:val="24"/>
          <w:szCs w:val="22"/>
        </w:rPr>
      </w:pPr>
      <w:r w:rsidRPr="0091443C">
        <w:rPr>
          <w:rFonts w:ascii="Tahoma" w:hAnsi="Tahoma" w:cs="Tahoma"/>
          <w:b/>
          <w:sz w:val="24"/>
          <w:szCs w:val="22"/>
        </w:rPr>
        <w:t>RESUELVE</w:t>
      </w:r>
    </w:p>
    <w:p w:rsidR="00815389" w:rsidRPr="0091443C" w:rsidRDefault="00815389" w:rsidP="00DA417C">
      <w:pPr>
        <w:widowControl w:val="0"/>
        <w:autoSpaceDE w:val="0"/>
        <w:autoSpaceDN w:val="0"/>
        <w:adjustRightInd w:val="0"/>
        <w:spacing w:line="276" w:lineRule="auto"/>
        <w:rPr>
          <w:rFonts w:ascii="Tahoma" w:hAnsi="Tahoma" w:cs="Tahoma"/>
          <w:b/>
          <w:sz w:val="24"/>
          <w:szCs w:val="22"/>
        </w:rPr>
      </w:pPr>
    </w:p>
    <w:p w:rsidR="00815389" w:rsidRPr="0091443C" w:rsidRDefault="00914A8E" w:rsidP="00DA417C">
      <w:pPr>
        <w:widowControl w:val="0"/>
        <w:autoSpaceDE w:val="0"/>
        <w:autoSpaceDN w:val="0"/>
        <w:adjustRightInd w:val="0"/>
        <w:spacing w:line="276" w:lineRule="auto"/>
        <w:ind w:firstLine="708"/>
        <w:jc w:val="both"/>
        <w:rPr>
          <w:rFonts w:ascii="Tahoma" w:hAnsi="Tahoma" w:cs="Tahoma"/>
          <w:sz w:val="24"/>
          <w:szCs w:val="22"/>
        </w:rPr>
      </w:pPr>
      <w:r w:rsidRPr="0091443C">
        <w:rPr>
          <w:rFonts w:ascii="Tahoma" w:hAnsi="Tahoma" w:cs="Tahoma"/>
          <w:b/>
          <w:sz w:val="24"/>
          <w:szCs w:val="22"/>
        </w:rPr>
        <w:t>Primero:</w:t>
      </w:r>
      <w:r w:rsidR="00815389" w:rsidRPr="0091443C">
        <w:rPr>
          <w:rFonts w:ascii="Tahoma" w:hAnsi="Tahoma" w:cs="Tahoma"/>
          <w:b/>
          <w:sz w:val="24"/>
          <w:szCs w:val="22"/>
        </w:rPr>
        <w:t xml:space="preserve"> DECLARAR LA NULIDAD </w:t>
      </w:r>
      <w:r w:rsidR="00815389" w:rsidRPr="0091443C">
        <w:rPr>
          <w:rFonts w:ascii="Tahoma" w:hAnsi="Tahoma" w:cs="Tahoma"/>
          <w:sz w:val="24"/>
          <w:szCs w:val="22"/>
        </w:rPr>
        <w:t xml:space="preserve">de todo lo actuado en el proceso ejecutivo laboral iniciado por </w:t>
      </w:r>
      <w:r w:rsidR="004A2C1A" w:rsidRPr="0091443C">
        <w:rPr>
          <w:rFonts w:ascii="Tahoma" w:hAnsi="Tahoma" w:cs="Tahoma"/>
          <w:sz w:val="24"/>
          <w:szCs w:val="22"/>
        </w:rPr>
        <w:t>la señora María del Socorro Giraldo López</w:t>
      </w:r>
      <w:r w:rsidRPr="0091443C">
        <w:rPr>
          <w:rFonts w:ascii="Tahoma" w:hAnsi="Tahoma" w:cs="Tahoma"/>
          <w:sz w:val="24"/>
          <w:szCs w:val="22"/>
        </w:rPr>
        <w:t xml:space="preserve"> </w:t>
      </w:r>
      <w:r w:rsidR="00815389" w:rsidRPr="0091443C">
        <w:rPr>
          <w:rFonts w:ascii="Tahoma" w:hAnsi="Tahoma" w:cs="Tahoma"/>
          <w:sz w:val="24"/>
          <w:szCs w:val="22"/>
        </w:rPr>
        <w:t xml:space="preserve">contra </w:t>
      </w:r>
      <w:r w:rsidRPr="0091443C">
        <w:rPr>
          <w:rFonts w:ascii="Tahoma" w:hAnsi="Tahoma" w:cs="Tahoma"/>
          <w:sz w:val="24"/>
          <w:szCs w:val="22"/>
        </w:rPr>
        <w:t>la Administradora Colombiana de Pensiones – Colpensiones.</w:t>
      </w:r>
    </w:p>
    <w:p w:rsidR="00815389" w:rsidRPr="0091443C" w:rsidRDefault="00815389" w:rsidP="00DA417C">
      <w:pPr>
        <w:widowControl w:val="0"/>
        <w:autoSpaceDE w:val="0"/>
        <w:autoSpaceDN w:val="0"/>
        <w:adjustRightInd w:val="0"/>
        <w:spacing w:line="276" w:lineRule="auto"/>
        <w:jc w:val="both"/>
        <w:rPr>
          <w:rFonts w:ascii="Tahoma" w:hAnsi="Tahoma" w:cs="Tahoma"/>
          <w:sz w:val="24"/>
          <w:szCs w:val="22"/>
        </w:rPr>
      </w:pPr>
    </w:p>
    <w:p w:rsidR="00815389" w:rsidRPr="0091443C" w:rsidRDefault="00914A8E" w:rsidP="00DA417C">
      <w:pPr>
        <w:widowControl w:val="0"/>
        <w:autoSpaceDE w:val="0"/>
        <w:autoSpaceDN w:val="0"/>
        <w:adjustRightInd w:val="0"/>
        <w:spacing w:line="276" w:lineRule="auto"/>
        <w:ind w:firstLine="708"/>
        <w:jc w:val="both"/>
        <w:rPr>
          <w:rFonts w:ascii="Tahoma" w:hAnsi="Tahoma" w:cs="Tahoma"/>
          <w:sz w:val="24"/>
          <w:szCs w:val="22"/>
        </w:rPr>
      </w:pPr>
      <w:r w:rsidRPr="0091443C">
        <w:rPr>
          <w:rFonts w:ascii="Tahoma" w:hAnsi="Tahoma" w:cs="Tahoma"/>
          <w:b/>
          <w:sz w:val="24"/>
          <w:szCs w:val="22"/>
        </w:rPr>
        <w:t>Segundo</w:t>
      </w:r>
      <w:r w:rsidR="00815389" w:rsidRPr="0091443C">
        <w:rPr>
          <w:rFonts w:ascii="Tahoma" w:hAnsi="Tahoma" w:cs="Tahoma"/>
          <w:b/>
          <w:sz w:val="24"/>
          <w:szCs w:val="22"/>
        </w:rPr>
        <w:t xml:space="preserve">: DECLARAR </w:t>
      </w:r>
      <w:r w:rsidRPr="0091443C">
        <w:rPr>
          <w:rFonts w:ascii="Tahoma" w:hAnsi="Tahoma" w:cs="Tahoma"/>
          <w:b/>
          <w:sz w:val="24"/>
          <w:szCs w:val="22"/>
        </w:rPr>
        <w:t>LA</w:t>
      </w:r>
      <w:r w:rsidRPr="0091443C">
        <w:rPr>
          <w:rFonts w:ascii="Tahoma" w:hAnsi="Tahoma" w:cs="Tahoma"/>
          <w:sz w:val="24"/>
          <w:szCs w:val="22"/>
        </w:rPr>
        <w:t xml:space="preserve"> </w:t>
      </w:r>
      <w:r w:rsidR="00815389" w:rsidRPr="0091443C">
        <w:rPr>
          <w:rFonts w:ascii="Tahoma" w:hAnsi="Tahoma" w:cs="Tahoma"/>
          <w:b/>
          <w:sz w:val="24"/>
          <w:szCs w:val="22"/>
        </w:rPr>
        <w:t xml:space="preserve">NULIDAD </w:t>
      </w:r>
      <w:r w:rsidR="00815389" w:rsidRPr="0091443C">
        <w:rPr>
          <w:rFonts w:ascii="Tahoma" w:hAnsi="Tahoma" w:cs="Tahoma"/>
          <w:sz w:val="24"/>
          <w:szCs w:val="22"/>
        </w:rPr>
        <w:t>de</w:t>
      </w:r>
      <w:r w:rsidRPr="0091443C">
        <w:rPr>
          <w:rFonts w:ascii="Tahoma" w:hAnsi="Tahoma" w:cs="Tahoma"/>
          <w:sz w:val="24"/>
          <w:szCs w:val="22"/>
        </w:rPr>
        <w:t xml:space="preserve"> lo actuado </w:t>
      </w:r>
      <w:r w:rsidR="00B41DF9" w:rsidRPr="0091443C">
        <w:rPr>
          <w:rFonts w:ascii="Tahoma" w:hAnsi="Tahoma" w:cs="Tahoma"/>
          <w:sz w:val="24"/>
          <w:szCs w:val="22"/>
        </w:rPr>
        <w:t xml:space="preserve">con posterioridad a la sentencia proferida el </w:t>
      </w:r>
      <w:r w:rsidR="004A2C1A" w:rsidRPr="0091443C">
        <w:rPr>
          <w:rFonts w:ascii="Tahoma" w:hAnsi="Tahoma" w:cs="Tahoma"/>
          <w:sz w:val="24"/>
          <w:szCs w:val="22"/>
        </w:rPr>
        <w:t xml:space="preserve">28 de marzo de 2014 </w:t>
      </w:r>
      <w:r w:rsidR="00B41DF9" w:rsidRPr="0091443C">
        <w:rPr>
          <w:rFonts w:ascii="Tahoma" w:hAnsi="Tahoma" w:cs="Tahoma"/>
          <w:sz w:val="24"/>
          <w:szCs w:val="22"/>
        </w:rPr>
        <w:t>e</w:t>
      </w:r>
      <w:r w:rsidR="00815389" w:rsidRPr="0091443C">
        <w:rPr>
          <w:rFonts w:ascii="Tahoma" w:hAnsi="Tahoma" w:cs="Tahoma"/>
          <w:sz w:val="24"/>
          <w:szCs w:val="22"/>
        </w:rPr>
        <w:t xml:space="preserve">n el proceso ordinario laboral </w:t>
      </w:r>
      <w:r w:rsidRPr="0091443C">
        <w:rPr>
          <w:rFonts w:ascii="Tahoma" w:hAnsi="Tahoma" w:cs="Tahoma"/>
          <w:sz w:val="24"/>
          <w:szCs w:val="22"/>
        </w:rPr>
        <w:t>tramitado entre las mismas partes</w:t>
      </w:r>
      <w:r w:rsidR="00815389" w:rsidRPr="0091443C">
        <w:rPr>
          <w:rFonts w:ascii="Tahoma" w:hAnsi="Tahoma" w:cs="Tahoma"/>
          <w:sz w:val="24"/>
          <w:szCs w:val="22"/>
        </w:rPr>
        <w:t xml:space="preserve">, por haberse configurado la causal 3ª del artículo 140 del </w:t>
      </w:r>
      <w:r w:rsidRPr="0091443C">
        <w:rPr>
          <w:rFonts w:ascii="Tahoma" w:hAnsi="Tahoma" w:cs="Tahoma"/>
          <w:sz w:val="24"/>
          <w:szCs w:val="22"/>
        </w:rPr>
        <w:t>Código de Procedimiento Civil.</w:t>
      </w:r>
    </w:p>
    <w:p w:rsidR="00815389" w:rsidRPr="0091443C" w:rsidRDefault="00815389" w:rsidP="00DA417C">
      <w:pPr>
        <w:widowControl w:val="0"/>
        <w:autoSpaceDE w:val="0"/>
        <w:autoSpaceDN w:val="0"/>
        <w:adjustRightInd w:val="0"/>
        <w:spacing w:line="276" w:lineRule="auto"/>
        <w:jc w:val="both"/>
        <w:rPr>
          <w:rFonts w:ascii="Tahoma" w:hAnsi="Tahoma" w:cs="Tahoma"/>
          <w:sz w:val="24"/>
          <w:szCs w:val="22"/>
        </w:rPr>
      </w:pPr>
    </w:p>
    <w:p w:rsidR="00815389" w:rsidRPr="0091443C" w:rsidRDefault="00914A8E" w:rsidP="00DA417C">
      <w:pPr>
        <w:widowControl w:val="0"/>
        <w:autoSpaceDE w:val="0"/>
        <w:autoSpaceDN w:val="0"/>
        <w:adjustRightInd w:val="0"/>
        <w:spacing w:line="276" w:lineRule="auto"/>
        <w:ind w:firstLine="708"/>
        <w:jc w:val="both"/>
        <w:rPr>
          <w:rFonts w:ascii="Tahoma" w:hAnsi="Tahoma" w:cs="Tahoma"/>
          <w:sz w:val="24"/>
          <w:szCs w:val="22"/>
        </w:rPr>
      </w:pPr>
      <w:r w:rsidRPr="0091443C">
        <w:rPr>
          <w:rFonts w:ascii="Tahoma" w:hAnsi="Tahoma" w:cs="Tahoma"/>
          <w:b/>
          <w:sz w:val="24"/>
          <w:szCs w:val="22"/>
        </w:rPr>
        <w:t>Tercero:</w:t>
      </w:r>
      <w:r w:rsidR="00815389" w:rsidRPr="0091443C">
        <w:rPr>
          <w:rFonts w:ascii="Tahoma" w:hAnsi="Tahoma" w:cs="Tahoma"/>
          <w:b/>
          <w:sz w:val="24"/>
          <w:szCs w:val="22"/>
        </w:rPr>
        <w:t xml:space="preserve"> ORDENAR </w:t>
      </w:r>
      <w:r w:rsidRPr="0091443C">
        <w:rPr>
          <w:rFonts w:ascii="Tahoma" w:hAnsi="Tahoma" w:cs="Tahoma"/>
          <w:sz w:val="24"/>
          <w:szCs w:val="22"/>
        </w:rPr>
        <w:t>que, una vez en firme este auto, se le dé curso al grado jurisdiccional de consulta de la sentencia mencionada en el numeral anterior.</w:t>
      </w:r>
    </w:p>
    <w:p w:rsidR="00914A8E" w:rsidRPr="0091443C" w:rsidRDefault="00914A8E" w:rsidP="00DA417C">
      <w:pPr>
        <w:widowControl w:val="0"/>
        <w:autoSpaceDE w:val="0"/>
        <w:autoSpaceDN w:val="0"/>
        <w:adjustRightInd w:val="0"/>
        <w:spacing w:line="276" w:lineRule="auto"/>
        <w:ind w:firstLine="708"/>
        <w:jc w:val="both"/>
        <w:rPr>
          <w:rFonts w:ascii="Tahoma" w:hAnsi="Tahoma" w:cs="Tahoma"/>
          <w:sz w:val="24"/>
          <w:szCs w:val="22"/>
        </w:rPr>
      </w:pPr>
    </w:p>
    <w:p w:rsidR="00914A8E" w:rsidRPr="0091443C" w:rsidRDefault="00914A8E" w:rsidP="00DA417C">
      <w:pPr>
        <w:widowControl w:val="0"/>
        <w:autoSpaceDE w:val="0"/>
        <w:autoSpaceDN w:val="0"/>
        <w:adjustRightInd w:val="0"/>
        <w:spacing w:line="276" w:lineRule="auto"/>
        <w:ind w:firstLine="708"/>
        <w:jc w:val="both"/>
        <w:rPr>
          <w:rFonts w:ascii="Tahoma" w:hAnsi="Tahoma" w:cs="Tahoma"/>
          <w:sz w:val="24"/>
          <w:szCs w:val="22"/>
        </w:rPr>
      </w:pPr>
      <w:r w:rsidRPr="0091443C">
        <w:rPr>
          <w:rFonts w:ascii="Tahoma" w:hAnsi="Tahoma" w:cs="Tahoma"/>
          <w:b/>
          <w:sz w:val="24"/>
          <w:szCs w:val="22"/>
        </w:rPr>
        <w:t xml:space="preserve">Cuarto: DISPONER </w:t>
      </w:r>
      <w:r w:rsidRPr="0091443C">
        <w:rPr>
          <w:rFonts w:ascii="Tahoma" w:hAnsi="Tahoma" w:cs="Tahoma"/>
          <w:sz w:val="24"/>
          <w:szCs w:val="22"/>
        </w:rPr>
        <w:t xml:space="preserve">que, previamente, se efectúe la respectiva compensación del proceso en el reparto y se comunique lo decidido al Juzgado </w:t>
      </w:r>
      <w:r w:rsidR="004A2C1A" w:rsidRPr="0091443C">
        <w:rPr>
          <w:rFonts w:ascii="Tahoma" w:hAnsi="Tahoma" w:cs="Tahoma"/>
          <w:sz w:val="24"/>
          <w:szCs w:val="22"/>
        </w:rPr>
        <w:t xml:space="preserve">Segundo </w:t>
      </w:r>
      <w:r w:rsidRPr="0091443C">
        <w:rPr>
          <w:rFonts w:ascii="Tahoma" w:hAnsi="Tahoma" w:cs="Tahoma"/>
          <w:sz w:val="24"/>
          <w:szCs w:val="22"/>
        </w:rPr>
        <w:t>Laboral del Circuito de Pereira.  Líbrense por Secretaría las comunicaciones pertinentes.</w:t>
      </w:r>
    </w:p>
    <w:p w:rsidR="00815389" w:rsidRPr="0091443C" w:rsidRDefault="00815389" w:rsidP="00DA417C">
      <w:pPr>
        <w:widowControl w:val="0"/>
        <w:autoSpaceDE w:val="0"/>
        <w:autoSpaceDN w:val="0"/>
        <w:adjustRightInd w:val="0"/>
        <w:spacing w:line="276" w:lineRule="auto"/>
        <w:jc w:val="both"/>
        <w:rPr>
          <w:rFonts w:ascii="Tahoma" w:hAnsi="Tahoma" w:cs="Tahoma"/>
          <w:sz w:val="24"/>
          <w:szCs w:val="22"/>
        </w:rPr>
      </w:pPr>
    </w:p>
    <w:p w:rsidR="00815389" w:rsidRPr="0091443C" w:rsidRDefault="00580536" w:rsidP="00DA417C">
      <w:pPr>
        <w:pStyle w:val="Textoindependiente"/>
        <w:spacing w:line="276" w:lineRule="auto"/>
        <w:ind w:firstLine="708"/>
        <w:rPr>
          <w:rFonts w:ascii="Tahoma" w:hAnsi="Tahoma" w:cs="Tahoma"/>
          <w:sz w:val="24"/>
          <w:szCs w:val="22"/>
        </w:rPr>
      </w:pPr>
      <w:r w:rsidRPr="0091443C">
        <w:rPr>
          <w:rFonts w:ascii="Tahoma" w:hAnsi="Tahoma" w:cs="Tahoma"/>
          <w:sz w:val="24"/>
          <w:szCs w:val="22"/>
        </w:rPr>
        <w:t>Notifíquese</w:t>
      </w:r>
    </w:p>
    <w:p w:rsidR="00815389" w:rsidRPr="0091443C" w:rsidRDefault="00815389" w:rsidP="00DA417C">
      <w:pPr>
        <w:widowControl w:val="0"/>
        <w:autoSpaceDE w:val="0"/>
        <w:autoSpaceDN w:val="0"/>
        <w:adjustRightInd w:val="0"/>
        <w:spacing w:line="276" w:lineRule="auto"/>
        <w:jc w:val="both"/>
        <w:rPr>
          <w:rFonts w:ascii="Tahoma" w:hAnsi="Tahoma" w:cs="Tahoma"/>
          <w:sz w:val="24"/>
          <w:szCs w:val="22"/>
        </w:rPr>
      </w:pPr>
    </w:p>
    <w:p w:rsidR="00815389" w:rsidRPr="0091443C" w:rsidRDefault="00815389" w:rsidP="00DA417C">
      <w:pPr>
        <w:widowControl w:val="0"/>
        <w:autoSpaceDE w:val="0"/>
        <w:autoSpaceDN w:val="0"/>
        <w:adjustRightInd w:val="0"/>
        <w:spacing w:line="276" w:lineRule="auto"/>
        <w:jc w:val="both"/>
        <w:rPr>
          <w:rFonts w:ascii="Tahoma" w:hAnsi="Tahoma" w:cs="Tahoma"/>
          <w:sz w:val="24"/>
          <w:szCs w:val="22"/>
        </w:rPr>
      </w:pPr>
    </w:p>
    <w:p w:rsidR="00815389" w:rsidRPr="0091443C" w:rsidRDefault="00815389" w:rsidP="00DA417C">
      <w:pPr>
        <w:widowControl w:val="0"/>
        <w:autoSpaceDE w:val="0"/>
        <w:autoSpaceDN w:val="0"/>
        <w:adjustRightInd w:val="0"/>
        <w:spacing w:line="276" w:lineRule="auto"/>
        <w:jc w:val="both"/>
        <w:rPr>
          <w:rFonts w:ascii="Tahoma" w:hAnsi="Tahoma" w:cs="Tahoma"/>
          <w:sz w:val="24"/>
          <w:szCs w:val="22"/>
        </w:rPr>
      </w:pPr>
    </w:p>
    <w:p w:rsidR="00580536" w:rsidRPr="0091443C" w:rsidRDefault="00580536" w:rsidP="00DA417C">
      <w:pPr>
        <w:widowControl w:val="0"/>
        <w:autoSpaceDE w:val="0"/>
        <w:autoSpaceDN w:val="0"/>
        <w:adjustRightInd w:val="0"/>
        <w:spacing w:line="276" w:lineRule="auto"/>
        <w:jc w:val="both"/>
        <w:rPr>
          <w:rFonts w:ascii="Tahoma" w:hAnsi="Tahoma" w:cs="Tahoma"/>
          <w:sz w:val="24"/>
          <w:szCs w:val="22"/>
        </w:rPr>
      </w:pPr>
    </w:p>
    <w:p w:rsidR="00815389" w:rsidRPr="0091443C" w:rsidRDefault="004A2C1A" w:rsidP="00DA417C">
      <w:pPr>
        <w:widowControl w:val="0"/>
        <w:autoSpaceDE w:val="0"/>
        <w:autoSpaceDN w:val="0"/>
        <w:adjustRightInd w:val="0"/>
        <w:spacing w:line="276" w:lineRule="auto"/>
        <w:jc w:val="center"/>
        <w:rPr>
          <w:rFonts w:ascii="Tahoma" w:hAnsi="Tahoma" w:cs="Tahoma"/>
          <w:b/>
          <w:sz w:val="24"/>
          <w:szCs w:val="22"/>
        </w:rPr>
      </w:pPr>
      <w:r w:rsidRPr="0091443C">
        <w:rPr>
          <w:rFonts w:ascii="Tahoma" w:hAnsi="Tahoma" w:cs="Tahoma"/>
          <w:b/>
          <w:sz w:val="24"/>
          <w:szCs w:val="22"/>
        </w:rPr>
        <w:t>ANA LUCÍA CAICEDO CALDERÓN</w:t>
      </w:r>
    </w:p>
    <w:p w:rsidR="00914A8E" w:rsidRPr="0091443C" w:rsidRDefault="00580536" w:rsidP="001A18DA">
      <w:pPr>
        <w:spacing w:line="276" w:lineRule="auto"/>
        <w:jc w:val="center"/>
        <w:rPr>
          <w:rFonts w:ascii="Tahoma" w:hAnsi="Tahoma" w:cs="Tahoma"/>
          <w:sz w:val="24"/>
          <w:szCs w:val="22"/>
        </w:rPr>
      </w:pPr>
      <w:r w:rsidRPr="0091443C">
        <w:rPr>
          <w:rFonts w:ascii="Tahoma" w:hAnsi="Tahoma" w:cs="Tahoma"/>
          <w:sz w:val="24"/>
          <w:szCs w:val="22"/>
        </w:rPr>
        <w:t>Magistrad</w:t>
      </w:r>
      <w:r w:rsidR="004A2C1A" w:rsidRPr="0091443C">
        <w:rPr>
          <w:rFonts w:ascii="Tahoma" w:hAnsi="Tahoma" w:cs="Tahoma"/>
          <w:sz w:val="24"/>
          <w:szCs w:val="22"/>
        </w:rPr>
        <w:t>a</w:t>
      </w:r>
    </w:p>
    <w:sectPr w:rsidR="00914A8E" w:rsidRPr="0091443C" w:rsidSect="0091443C">
      <w:head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DE" w:rsidRDefault="00BE24DE" w:rsidP="009B592D">
      <w:r>
        <w:separator/>
      </w:r>
    </w:p>
  </w:endnote>
  <w:endnote w:type="continuationSeparator" w:id="0">
    <w:p w:rsidR="00BE24DE" w:rsidRDefault="00BE24DE" w:rsidP="009B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School Book">
    <w:altName w:val="Arial Unicode MS"/>
    <w:panose1 w:val="00000000000000000000"/>
    <w:charset w:val="00"/>
    <w:family w:val="roman"/>
    <w:notTrueType/>
    <w:pitch w:val="default"/>
    <w:sig w:usb0="00000000" w:usb1="0062FE28" w:usb2="7F24142E" w:usb3="0049006E" w:csb0="005600D8" w:csb1="0062EF54"/>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DE" w:rsidRDefault="00BE24DE" w:rsidP="009B592D">
      <w:r>
        <w:separator/>
      </w:r>
    </w:p>
  </w:footnote>
  <w:footnote w:type="continuationSeparator" w:id="0">
    <w:p w:rsidR="00BE24DE" w:rsidRDefault="00BE24DE" w:rsidP="009B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2D" w:rsidRDefault="009B592D" w:rsidP="009B592D">
    <w:pPr>
      <w:tabs>
        <w:tab w:val="left" w:pos="-720"/>
      </w:tabs>
      <w:suppressAutoHyphens/>
      <w:jc w:val="both"/>
      <w:rPr>
        <w:rFonts w:ascii="Arial" w:hAnsi="Arial"/>
        <w:b/>
        <w:spacing w:val="-3"/>
        <w:sz w:val="16"/>
      </w:rPr>
    </w:pPr>
    <w:r>
      <w:rPr>
        <w:rFonts w:ascii="Arial" w:hAnsi="Arial"/>
        <w:b/>
        <w:spacing w:val="-3"/>
        <w:sz w:val="16"/>
      </w:rPr>
      <w:t xml:space="preserve">TRIBUNAL SUPERIOR DEL DISTRITO </w:t>
    </w:r>
    <w:r>
      <w:rPr>
        <w:rFonts w:ascii="Arial" w:hAnsi="Arial"/>
        <w:b/>
        <w:spacing w:val="-3"/>
        <w:sz w:val="16"/>
      </w:rPr>
      <w:tab/>
    </w:r>
  </w:p>
  <w:p w:rsidR="009B592D" w:rsidRDefault="009B592D" w:rsidP="009B592D">
    <w:pPr>
      <w:tabs>
        <w:tab w:val="left" w:pos="-720"/>
      </w:tabs>
      <w:suppressAutoHyphens/>
      <w:jc w:val="both"/>
      <w:rPr>
        <w:rFonts w:ascii="Arial" w:hAnsi="Arial"/>
        <w:sz w:val="16"/>
      </w:rPr>
    </w:pPr>
    <w:r>
      <w:rPr>
        <w:rFonts w:ascii="Arial" w:hAnsi="Arial"/>
        <w:b/>
        <w:spacing w:val="-3"/>
        <w:sz w:val="16"/>
      </w:rPr>
      <w:tab/>
      <w:t xml:space="preserve">   </w:t>
    </w:r>
    <w:r w:rsidRPr="00C066BC">
      <w:rPr>
        <w:rFonts w:ascii="Arial" w:hAnsi="Arial"/>
        <w:b/>
        <w:spacing w:val="-3"/>
        <w:sz w:val="1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63.85pt" o:ole="" fillcolor="window">
          <v:imagedata r:id="rId1" o:title=""/>
        </v:shape>
        <o:OLEObject Type="Embed" ProgID="PBrush" ShapeID="_x0000_i1025" DrawAspect="Content" ObjectID="_1630128883" r:id="rId2"/>
      </w:object>
    </w:r>
    <w:r>
      <w:rPr>
        <w:rFonts w:ascii="Arial" w:hAnsi="Arial"/>
        <w:b/>
        <w:spacing w:val="-3"/>
        <w:sz w:val="16"/>
      </w:rPr>
      <w:tab/>
    </w:r>
  </w:p>
  <w:p w:rsidR="009B592D" w:rsidRDefault="009B592D" w:rsidP="009B592D">
    <w:pPr>
      <w:pStyle w:val="Ttulo3"/>
    </w:pPr>
    <w:r>
      <w:tab/>
      <w:t>SALA LABORAL</w:t>
    </w:r>
  </w:p>
  <w:p w:rsidR="009B592D" w:rsidRDefault="009B592D" w:rsidP="009B592D">
    <w:pPr>
      <w:pStyle w:val="Ttulo1"/>
      <w:ind w:left="0" w:firstLine="0"/>
      <w:rPr>
        <w:rFonts w:ascii="Arial" w:hAnsi="Arial"/>
        <w:i w:val="0"/>
        <w:sz w:val="16"/>
      </w:rPr>
    </w:pPr>
    <w:r>
      <w:rPr>
        <w:rFonts w:ascii="Arial" w:hAnsi="Arial"/>
        <w:sz w:val="16"/>
      </w:rPr>
      <w:t xml:space="preserve">          </w:t>
    </w:r>
    <w:r>
      <w:rPr>
        <w:rFonts w:ascii="Arial" w:hAnsi="Arial"/>
        <w:i w:val="0"/>
        <w:sz w:val="16"/>
      </w:rPr>
      <w:t>PEREIRA – RISARALDA</w:t>
    </w:r>
  </w:p>
  <w:p w:rsidR="00F34A07" w:rsidRPr="00F34A07" w:rsidRDefault="00F34A07" w:rsidP="00F34A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8629F"/>
    <w:multiLevelType w:val="hybridMultilevel"/>
    <w:tmpl w:val="6D780C04"/>
    <w:lvl w:ilvl="0" w:tplc="3BA45A6C">
      <w:start w:val="1"/>
      <w:numFmt w:val="decimal"/>
      <w:lvlText w:val="%1."/>
      <w:lvlJc w:val="left"/>
      <w:pPr>
        <w:ind w:left="2064" w:hanging="360"/>
      </w:pPr>
      <w:rPr>
        <w:rFonts w:hint="default"/>
      </w:rPr>
    </w:lvl>
    <w:lvl w:ilvl="1" w:tplc="0C0A0019" w:tentative="1">
      <w:start w:val="1"/>
      <w:numFmt w:val="lowerLetter"/>
      <w:lvlText w:val="%2."/>
      <w:lvlJc w:val="left"/>
      <w:pPr>
        <w:ind w:left="2784" w:hanging="360"/>
      </w:pPr>
    </w:lvl>
    <w:lvl w:ilvl="2" w:tplc="0C0A001B" w:tentative="1">
      <w:start w:val="1"/>
      <w:numFmt w:val="lowerRoman"/>
      <w:lvlText w:val="%3."/>
      <w:lvlJc w:val="right"/>
      <w:pPr>
        <w:ind w:left="3504" w:hanging="180"/>
      </w:pPr>
    </w:lvl>
    <w:lvl w:ilvl="3" w:tplc="0C0A000F" w:tentative="1">
      <w:start w:val="1"/>
      <w:numFmt w:val="decimal"/>
      <w:lvlText w:val="%4."/>
      <w:lvlJc w:val="left"/>
      <w:pPr>
        <w:ind w:left="4224" w:hanging="360"/>
      </w:pPr>
    </w:lvl>
    <w:lvl w:ilvl="4" w:tplc="0C0A0019" w:tentative="1">
      <w:start w:val="1"/>
      <w:numFmt w:val="lowerLetter"/>
      <w:lvlText w:val="%5."/>
      <w:lvlJc w:val="left"/>
      <w:pPr>
        <w:ind w:left="4944" w:hanging="360"/>
      </w:pPr>
    </w:lvl>
    <w:lvl w:ilvl="5" w:tplc="0C0A001B" w:tentative="1">
      <w:start w:val="1"/>
      <w:numFmt w:val="lowerRoman"/>
      <w:lvlText w:val="%6."/>
      <w:lvlJc w:val="right"/>
      <w:pPr>
        <w:ind w:left="5664" w:hanging="180"/>
      </w:pPr>
    </w:lvl>
    <w:lvl w:ilvl="6" w:tplc="0C0A000F" w:tentative="1">
      <w:start w:val="1"/>
      <w:numFmt w:val="decimal"/>
      <w:lvlText w:val="%7."/>
      <w:lvlJc w:val="left"/>
      <w:pPr>
        <w:ind w:left="6384" w:hanging="360"/>
      </w:pPr>
    </w:lvl>
    <w:lvl w:ilvl="7" w:tplc="0C0A0019" w:tentative="1">
      <w:start w:val="1"/>
      <w:numFmt w:val="lowerLetter"/>
      <w:lvlText w:val="%8."/>
      <w:lvlJc w:val="left"/>
      <w:pPr>
        <w:ind w:left="7104" w:hanging="360"/>
      </w:pPr>
    </w:lvl>
    <w:lvl w:ilvl="8" w:tplc="0C0A001B" w:tentative="1">
      <w:start w:val="1"/>
      <w:numFmt w:val="lowerRoman"/>
      <w:lvlText w:val="%9."/>
      <w:lvlJc w:val="right"/>
      <w:pPr>
        <w:ind w:left="7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2D"/>
    <w:rsid w:val="00012F31"/>
    <w:rsid w:val="0003497A"/>
    <w:rsid w:val="0006727B"/>
    <w:rsid w:val="00085628"/>
    <w:rsid w:val="000B6CF9"/>
    <w:rsid w:val="000C3573"/>
    <w:rsid w:val="000D799D"/>
    <w:rsid w:val="000E29BD"/>
    <w:rsid w:val="000F20FD"/>
    <w:rsid w:val="001527DF"/>
    <w:rsid w:val="001544F0"/>
    <w:rsid w:val="001646E3"/>
    <w:rsid w:val="001906C3"/>
    <w:rsid w:val="001913EB"/>
    <w:rsid w:val="001A00E9"/>
    <w:rsid w:val="001A18DA"/>
    <w:rsid w:val="001D1029"/>
    <w:rsid w:val="001E6509"/>
    <w:rsid w:val="001F257A"/>
    <w:rsid w:val="00212B12"/>
    <w:rsid w:val="002154CF"/>
    <w:rsid w:val="0024038E"/>
    <w:rsid w:val="0024307A"/>
    <w:rsid w:val="0026374E"/>
    <w:rsid w:val="00270E76"/>
    <w:rsid w:val="00292A3A"/>
    <w:rsid w:val="002C0A0B"/>
    <w:rsid w:val="002D61FA"/>
    <w:rsid w:val="002E0876"/>
    <w:rsid w:val="002E5FA9"/>
    <w:rsid w:val="002F16AE"/>
    <w:rsid w:val="00300A3E"/>
    <w:rsid w:val="00304686"/>
    <w:rsid w:val="00315F8C"/>
    <w:rsid w:val="00382E73"/>
    <w:rsid w:val="003D704E"/>
    <w:rsid w:val="003E4AB0"/>
    <w:rsid w:val="003F3E69"/>
    <w:rsid w:val="00401CD3"/>
    <w:rsid w:val="00430430"/>
    <w:rsid w:val="00451319"/>
    <w:rsid w:val="0046339C"/>
    <w:rsid w:val="004800BF"/>
    <w:rsid w:val="0049465D"/>
    <w:rsid w:val="004A2C1A"/>
    <w:rsid w:val="005110B9"/>
    <w:rsid w:val="005626CC"/>
    <w:rsid w:val="00562AB5"/>
    <w:rsid w:val="00580536"/>
    <w:rsid w:val="00581034"/>
    <w:rsid w:val="005815AD"/>
    <w:rsid w:val="005B3A9A"/>
    <w:rsid w:val="005B4E0E"/>
    <w:rsid w:val="005F4D0F"/>
    <w:rsid w:val="005F744E"/>
    <w:rsid w:val="00626838"/>
    <w:rsid w:val="0063139C"/>
    <w:rsid w:val="0063211D"/>
    <w:rsid w:val="00641E7D"/>
    <w:rsid w:val="00657B16"/>
    <w:rsid w:val="0067784B"/>
    <w:rsid w:val="006B75D5"/>
    <w:rsid w:val="006D49A8"/>
    <w:rsid w:val="0072181D"/>
    <w:rsid w:val="00760207"/>
    <w:rsid w:val="007704CC"/>
    <w:rsid w:val="007811E8"/>
    <w:rsid w:val="00794ADA"/>
    <w:rsid w:val="00797DB4"/>
    <w:rsid w:val="007A6457"/>
    <w:rsid w:val="007A761A"/>
    <w:rsid w:val="007E122F"/>
    <w:rsid w:val="00815389"/>
    <w:rsid w:val="00820711"/>
    <w:rsid w:val="00844511"/>
    <w:rsid w:val="0087245F"/>
    <w:rsid w:val="008727CD"/>
    <w:rsid w:val="00873A67"/>
    <w:rsid w:val="00876008"/>
    <w:rsid w:val="008C5606"/>
    <w:rsid w:val="008C6CAE"/>
    <w:rsid w:val="008E026B"/>
    <w:rsid w:val="008E719E"/>
    <w:rsid w:val="00910D0C"/>
    <w:rsid w:val="0091443C"/>
    <w:rsid w:val="00914A8E"/>
    <w:rsid w:val="00923BA8"/>
    <w:rsid w:val="0092794C"/>
    <w:rsid w:val="00951849"/>
    <w:rsid w:val="00954ACE"/>
    <w:rsid w:val="0098752D"/>
    <w:rsid w:val="00993FA8"/>
    <w:rsid w:val="009A2610"/>
    <w:rsid w:val="009A3504"/>
    <w:rsid w:val="009B592D"/>
    <w:rsid w:val="009C1466"/>
    <w:rsid w:val="009C2D3B"/>
    <w:rsid w:val="00A14499"/>
    <w:rsid w:val="00A159EE"/>
    <w:rsid w:val="00A338D9"/>
    <w:rsid w:val="00A342A1"/>
    <w:rsid w:val="00A7613A"/>
    <w:rsid w:val="00A87C56"/>
    <w:rsid w:val="00A902AB"/>
    <w:rsid w:val="00A90CAE"/>
    <w:rsid w:val="00AA7D3F"/>
    <w:rsid w:val="00AF42FC"/>
    <w:rsid w:val="00B01419"/>
    <w:rsid w:val="00B20FF8"/>
    <w:rsid w:val="00B41DF9"/>
    <w:rsid w:val="00B468F8"/>
    <w:rsid w:val="00B47F76"/>
    <w:rsid w:val="00B51F6D"/>
    <w:rsid w:val="00B66396"/>
    <w:rsid w:val="00B758FB"/>
    <w:rsid w:val="00B810CD"/>
    <w:rsid w:val="00B83B5F"/>
    <w:rsid w:val="00B85D1F"/>
    <w:rsid w:val="00BB3BA1"/>
    <w:rsid w:val="00BE24DE"/>
    <w:rsid w:val="00BF1AC8"/>
    <w:rsid w:val="00C02677"/>
    <w:rsid w:val="00C16E41"/>
    <w:rsid w:val="00C2153E"/>
    <w:rsid w:val="00C52A7F"/>
    <w:rsid w:val="00C57FDD"/>
    <w:rsid w:val="00C62446"/>
    <w:rsid w:val="00C906C3"/>
    <w:rsid w:val="00CA25AC"/>
    <w:rsid w:val="00CA44DC"/>
    <w:rsid w:val="00CA4D1B"/>
    <w:rsid w:val="00CB003E"/>
    <w:rsid w:val="00CF5859"/>
    <w:rsid w:val="00D06B9A"/>
    <w:rsid w:val="00D06EA4"/>
    <w:rsid w:val="00D2762D"/>
    <w:rsid w:val="00D44E9B"/>
    <w:rsid w:val="00D53E31"/>
    <w:rsid w:val="00D9797B"/>
    <w:rsid w:val="00DA1CB1"/>
    <w:rsid w:val="00DA3E23"/>
    <w:rsid w:val="00DA417C"/>
    <w:rsid w:val="00E22406"/>
    <w:rsid w:val="00E4025B"/>
    <w:rsid w:val="00E756AC"/>
    <w:rsid w:val="00E77CF2"/>
    <w:rsid w:val="00E97670"/>
    <w:rsid w:val="00EA3F50"/>
    <w:rsid w:val="00EB2F3C"/>
    <w:rsid w:val="00EB7546"/>
    <w:rsid w:val="00ED5343"/>
    <w:rsid w:val="00F07C16"/>
    <w:rsid w:val="00F1492A"/>
    <w:rsid w:val="00F3251C"/>
    <w:rsid w:val="00F34A07"/>
    <w:rsid w:val="00F50F82"/>
    <w:rsid w:val="00F52ECC"/>
    <w:rsid w:val="00F56DDF"/>
    <w:rsid w:val="00F87FD5"/>
    <w:rsid w:val="00FB3DFA"/>
    <w:rsid w:val="00FF7B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9DBEF-446E-4FDF-A6DD-7A84CA4A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2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B592D"/>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link w:val="Ttulo2Car"/>
    <w:uiPriority w:val="9"/>
    <w:semiHidden/>
    <w:unhideWhenUsed/>
    <w:qFormat/>
    <w:rsid w:val="00815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9B592D"/>
    <w:pPr>
      <w:keepNext/>
      <w:tabs>
        <w:tab w:val="left" w:pos="-720"/>
      </w:tabs>
      <w:suppressAutoHyphens/>
      <w:jc w:val="both"/>
      <w:outlineLvl w:val="2"/>
    </w:pPr>
    <w:rPr>
      <w:rFonts w:ascii="Arial" w:hAnsi="Arial"/>
      <w:b/>
      <w:sz w:val="16"/>
    </w:rPr>
  </w:style>
  <w:style w:type="paragraph" w:styleId="Ttulo4">
    <w:name w:val="heading 4"/>
    <w:basedOn w:val="Normal"/>
    <w:next w:val="Normal"/>
    <w:link w:val="Ttulo4Car"/>
    <w:uiPriority w:val="9"/>
    <w:semiHidden/>
    <w:unhideWhenUsed/>
    <w:qFormat/>
    <w:rsid w:val="008153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592D"/>
    <w:pPr>
      <w:spacing w:after="0" w:line="240" w:lineRule="auto"/>
    </w:pPr>
  </w:style>
  <w:style w:type="paragraph" w:styleId="Encabezado">
    <w:name w:val="header"/>
    <w:basedOn w:val="Normal"/>
    <w:link w:val="EncabezadoCar"/>
    <w:uiPriority w:val="99"/>
    <w:unhideWhenUsed/>
    <w:rsid w:val="009B592D"/>
    <w:pPr>
      <w:tabs>
        <w:tab w:val="center" w:pos="4252"/>
        <w:tab w:val="right" w:pos="8504"/>
      </w:tabs>
    </w:pPr>
  </w:style>
  <w:style w:type="character" w:customStyle="1" w:styleId="EncabezadoCar">
    <w:name w:val="Encabezado Car"/>
    <w:basedOn w:val="Fuentedeprrafopredeter"/>
    <w:link w:val="Encabezado"/>
    <w:uiPriority w:val="99"/>
    <w:rsid w:val="009B592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9B592D"/>
    <w:pPr>
      <w:tabs>
        <w:tab w:val="center" w:pos="4252"/>
        <w:tab w:val="right" w:pos="8504"/>
      </w:tabs>
    </w:pPr>
  </w:style>
  <w:style w:type="character" w:customStyle="1" w:styleId="PiedepginaCar">
    <w:name w:val="Pie de página Car"/>
    <w:basedOn w:val="Fuentedeprrafopredeter"/>
    <w:link w:val="Piedepgina"/>
    <w:uiPriority w:val="99"/>
    <w:rsid w:val="009B592D"/>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9B592D"/>
    <w:rPr>
      <w:rFonts w:ascii="Century Gothic School Book" w:eastAsia="Times New Roman" w:hAnsi="Century Gothic School Book" w:cs="Times New Roman"/>
      <w:b/>
      <w:i/>
      <w:snapToGrid w:val="0"/>
      <w:sz w:val="26"/>
      <w:szCs w:val="20"/>
      <w:lang w:eastAsia="es-ES"/>
    </w:rPr>
  </w:style>
  <w:style w:type="character" w:customStyle="1" w:styleId="Ttulo3Car">
    <w:name w:val="Título 3 Car"/>
    <w:basedOn w:val="Fuentedeprrafopredeter"/>
    <w:link w:val="Ttulo3"/>
    <w:rsid w:val="009B592D"/>
    <w:rPr>
      <w:rFonts w:ascii="Arial" w:eastAsia="Times New Roman" w:hAnsi="Arial" w:cs="Times New Roman"/>
      <w:b/>
      <w:sz w:val="16"/>
      <w:szCs w:val="20"/>
      <w:lang w:eastAsia="es-ES"/>
    </w:rPr>
  </w:style>
  <w:style w:type="paragraph" w:styleId="Textodeglobo">
    <w:name w:val="Balloon Text"/>
    <w:basedOn w:val="Normal"/>
    <w:link w:val="TextodegloboCar"/>
    <w:uiPriority w:val="99"/>
    <w:semiHidden/>
    <w:unhideWhenUsed/>
    <w:rsid w:val="00641E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1E7D"/>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semiHidden/>
    <w:rsid w:val="00815389"/>
    <w:rPr>
      <w:rFonts w:asciiTheme="majorHAnsi" w:eastAsiaTheme="majorEastAsia" w:hAnsiTheme="majorHAnsi" w:cstheme="majorBidi"/>
      <w:color w:val="365F91" w:themeColor="accent1" w:themeShade="BF"/>
      <w:sz w:val="26"/>
      <w:szCs w:val="26"/>
      <w:lang w:eastAsia="es-ES"/>
    </w:rPr>
  </w:style>
  <w:style w:type="character" w:customStyle="1" w:styleId="Ttulo4Car">
    <w:name w:val="Título 4 Car"/>
    <w:basedOn w:val="Fuentedeprrafopredeter"/>
    <w:link w:val="Ttulo4"/>
    <w:uiPriority w:val="9"/>
    <w:semiHidden/>
    <w:rsid w:val="00815389"/>
    <w:rPr>
      <w:rFonts w:asciiTheme="majorHAnsi" w:eastAsiaTheme="majorEastAsia" w:hAnsiTheme="majorHAnsi" w:cstheme="majorBidi"/>
      <w:i/>
      <w:iCs/>
      <w:color w:val="365F91" w:themeColor="accent1" w:themeShade="BF"/>
      <w:sz w:val="20"/>
      <w:szCs w:val="20"/>
      <w:lang w:eastAsia="es-ES"/>
    </w:rPr>
  </w:style>
  <w:style w:type="paragraph" w:styleId="Puesto">
    <w:name w:val="Title"/>
    <w:basedOn w:val="Normal"/>
    <w:link w:val="PuestoCar"/>
    <w:qFormat/>
    <w:rsid w:val="00815389"/>
    <w:pPr>
      <w:widowControl w:val="0"/>
      <w:autoSpaceDE w:val="0"/>
      <w:autoSpaceDN w:val="0"/>
      <w:adjustRightInd w:val="0"/>
      <w:jc w:val="center"/>
    </w:pPr>
    <w:rPr>
      <w:rFonts w:ascii="Roman 12cpi" w:hAnsi="Roman 12cpi"/>
      <w:b/>
      <w:bCs/>
    </w:rPr>
  </w:style>
  <w:style w:type="character" w:customStyle="1" w:styleId="PuestoCar">
    <w:name w:val="Puesto Car"/>
    <w:basedOn w:val="Fuentedeprrafopredeter"/>
    <w:link w:val="Puesto"/>
    <w:rsid w:val="00815389"/>
    <w:rPr>
      <w:rFonts w:ascii="Roman 12cpi" w:eastAsia="Times New Roman" w:hAnsi="Roman 12cpi" w:cs="Times New Roman"/>
      <w:b/>
      <w:bCs/>
      <w:sz w:val="20"/>
      <w:szCs w:val="20"/>
      <w:lang w:eastAsia="es-ES"/>
    </w:rPr>
  </w:style>
  <w:style w:type="paragraph" w:styleId="NormalWeb">
    <w:name w:val="Normal (Web)"/>
    <w:basedOn w:val="Normal"/>
    <w:rsid w:val="00815389"/>
    <w:pPr>
      <w:spacing w:before="100" w:beforeAutospacing="1" w:after="100" w:afterAutospacing="1"/>
    </w:pPr>
    <w:rPr>
      <w:sz w:val="24"/>
      <w:szCs w:val="24"/>
    </w:rPr>
  </w:style>
  <w:style w:type="paragraph" w:styleId="Textoindependiente">
    <w:name w:val="Body Text"/>
    <w:basedOn w:val="Normal"/>
    <w:link w:val="TextoindependienteCar"/>
    <w:rsid w:val="00815389"/>
    <w:pPr>
      <w:spacing w:line="360" w:lineRule="auto"/>
      <w:jc w:val="both"/>
    </w:pPr>
    <w:rPr>
      <w:rFonts w:ascii="Arial" w:hAnsi="Arial"/>
      <w:sz w:val="26"/>
      <w:lang w:val="es-ES_tradnl"/>
    </w:rPr>
  </w:style>
  <w:style w:type="character" w:customStyle="1" w:styleId="TextoindependienteCar">
    <w:name w:val="Texto independiente Car"/>
    <w:basedOn w:val="Fuentedeprrafopredeter"/>
    <w:link w:val="Textoindependiente"/>
    <w:rsid w:val="00815389"/>
    <w:rPr>
      <w:rFonts w:ascii="Arial" w:eastAsia="Times New Roman" w:hAnsi="Arial" w:cs="Times New Roman"/>
      <w:sz w:val="26"/>
      <w:szCs w:val="20"/>
      <w:lang w:val="es-ES_tradnl" w:eastAsia="es-ES"/>
    </w:rPr>
  </w:style>
  <w:style w:type="paragraph" w:styleId="Textonotapie">
    <w:name w:val="footnote text"/>
    <w:basedOn w:val="Normal"/>
    <w:link w:val="TextonotapieCar1"/>
    <w:semiHidden/>
    <w:unhideWhenUsed/>
    <w:rsid w:val="00815389"/>
    <w:rPr>
      <w:lang w:val="es-ES_tradnl"/>
    </w:rPr>
  </w:style>
  <w:style w:type="character" w:customStyle="1" w:styleId="TextonotapieCar">
    <w:name w:val="Texto nota pie Car"/>
    <w:basedOn w:val="Fuentedeprrafopredeter"/>
    <w:uiPriority w:val="99"/>
    <w:semiHidden/>
    <w:rsid w:val="00815389"/>
    <w:rPr>
      <w:rFonts w:ascii="Times New Roman" w:eastAsia="Times New Roman" w:hAnsi="Times New Roman" w:cs="Times New Roman"/>
      <w:sz w:val="20"/>
      <w:szCs w:val="20"/>
      <w:lang w:eastAsia="es-ES"/>
    </w:rPr>
  </w:style>
  <w:style w:type="character" w:styleId="Refdenotaalpie">
    <w:name w:val="footnote reference"/>
    <w:semiHidden/>
    <w:unhideWhenUsed/>
    <w:rsid w:val="00815389"/>
    <w:rPr>
      <w:vertAlign w:val="superscript"/>
    </w:rPr>
  </w:style>
  <w:style w:type="character" w:customStyle="1" w:styleId="TextonotapieCar1">
    <w:name w:val="Texto nota pie Car1"/>
    <w:link w:val="Textonotapie"/>
    <w:semiHidden/>
    <w:rsid w:val="0081538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111399">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98720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8B15-110E-445D-B3FA-AF2767B5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1689</Words>
  <Characters>9294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 3</dc:creator>
  <cp:keywords/>
  <dc:description/>
  <cp:lastModifiedBy>Henry Lora Rodriguez</cp:lastModifiedBy>
  <cp:revision>8</cp:revision>
  <cp:lastPrinted>2019-08-16T18:05:00Z</cp:lastPrinted>
  <dcterms:created xsi:type="dcterms:W3CDTF">2019-08-16T13:53:00Z</dcterms:created>
  <dcterms:modified xsi:type="dcterms:W3CDTF">2019-09-16T13:48:00Z</dcterms:modified>
</cp:coreProperties>
</file>