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3DF" w:rsidRPr="001A63DF" w:rsidRDefault="001A63DF" w:rsidP="001A63D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1A63D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A63DF" w:rsidRPr="001A63DF" w:rsidRDefault="001A63DF" w:rsidP="001A63DF">
      <w:pPr>
        <w:jc w:val="both"/>
        <w:rPr>
          <w:rFonts w:ascii="Arial" w:hAnsi="Arial" w:cs="Arial"/>
          <w:sz w:val="20"/>
          <w:szCs w:val="20"/>
          <w:lang w:val="es-419"/>
        </w:rPr>
      </w:pPr>
    </w:p>
    <w:p w:rsidR="001A63DF" w:rsidRPr="00A02850" w:rsidRDefault="001A63DF" w:rsidP="001A63DF">
      <w:pPr>
        <w:jc w:val="both"/>
        <w:rPr>
          <w:rFonts w:ascii="Arial" w:hAnsi="Arial" w:cs="Arial"/>
          <w:sz w:val="20"/>
          <w:szCs w:val="20"/>
          <w:lang w:val="es-419"/>
        </w:rPr>
      </w:pPr>
      <w:r w:rsidRPr="00A02850">
        <w:rPr>
          <w:rFonts w:ascii="Arial" w:hAnsi="Arial" w:cs="Arial"/>
          <w:sz w:val="20"/>
          <w:szCs w:val="20"/>
          <w:lang w:val="es-419"/>
        </w:rPr>
        <w:t xml:space="preserve">Providencia: </w:t>
      </w:r>
      <w:r w:rsidRPr="00A02850">
        <w:rPr>
          <w:rFonts w:ascii="Arial" w:hAnsi="Arial" w:cs="Arial"/>
          <w:sz w:val="20"/>
          <w:szCs w:val="20"/>
          <w:lang w:val="es-419"/>
        </w:rPr>
        <w:tab/>
      </w:r>
      <w:r w:rsidRPr="00A02850">
        <w:rPr>
          <w:rFonts w:ascii="Arial" w:hAnsi="Arial" w:cs="Arial"/>
          <w:sz w:val="20"/>
          <w:szCs w:val="20"/>
          <w:lang w:val="es-419"/>
        </w:rPr>
        <w:tab/>
        <w:t>Sentencia del 2 de agosto de 2019</w:t>
      </w:r>
    </w:p>
    <w:p w:rsidR="001A63DF" w:rsidRPr="00A02850" w:rsidRDefault="001A63DF" w:rsidP="001A63DF">
      <w:pPr>
        <w:jc w:val="both"/>
        <w:rPr>
          <w:rFonts w:ascii="Arial" w:hAnsi="Arial" w:cs="Arial"/>
          <w:sz w:val="20"/>
          <w:szCs w:val="20"/>
          <w:lang w:val="es-419"/>
        </w:rPr>
      </w:pPr>
      <w:r w:rsidRPr="00A02850">
        <w:rPr>
          <w:rFonts w:ascii="Arial" w:hAnsi="Arial" w:cs="Arial"/>
          <w:sz w:val="20"/>
          <w:szCs w:val="20"/>
          <w:lang w:val="es-419"/>
        </w:rPr>
        <w:t>Radicación No.:</w:t>
      </w:r>
      <w:r w:rsidRPr="00A02850">
        <w:rPr>
          <w:rFonts w:ascii="Arial" w:hAnsi="Arial" w:cs="Arial"/>
          <w:sz w:val="20"/>
          <w:szCs w:val="20"/>
          <w:lang w:val="es-419"/>
        </w:rPr>
        <w:tab/>
      </w:r>
      <w:r w:rsidRPr="00A02850">
        <w:rPr>
          <w:rFonts w:ascii="Arial" w:hAnsi="Arial" w:cs="Arial"/>
          <w:sz w:val="20"/>
          <w:szCs w:val="20"/>
          <w:lang w:val="es-419"/>
        </w:rPr>
        <w:tab/>
        <w:t>66001-31-05-005-2017-00320-01</w:t>
      </w:r>
    </w:p>
    <w:p w:rsidR="001A63DF" w:rsidRPr="00A02850" w:rsidRDefault="001A63DF" w:rsidP="001A63DF">
      <w:pPr>
        <w:jc w:val="both"/>
        <w:rPr>
          <w:rFonts w:ascii="Arial" w:hAnsi="Arial" w:cs="Arial"/>
          <w:sz w:val="20"/>
          <w:szCs w:val="20"/>
          <w:lang w:val="es-419"/>
        </w:rPr>
      </w:pPr>
      <w:r w:rsidRPr="00A02850">
        <w:rPr>
          <w:rFonts w:ascii="Arial" w:hAnsi="Arial" w:cs="Arial"/>
          <w:sz w:val="20"/>
          <w:szCs w:val="20"/>
          <w:lang w:val="es-419"/>
        </w:rPr>
        <w:t>Proceso:</w:t>
      </w:r>
      <w:r w:rsidRPr="00A02850">
        <w:rPr>
          <w:rFonts w:ascii="Arial" w:hAnsi="Arial" w:cs="Arial"/>
          <w:sz w:val="20"/>
          <w:szCs w:val="20"/>
          <w:lang w:val="es-419"/>
        </w:rPr>
        <w:tab/>
      </w:r>
      <w:r w:rsidRPr="00A02850">
        <w:rPr>
          <w:rFonts w:ascii="Arial" w:hAnsi="Arial" w:cs="Arial"/>
          <w:sz w:val="20"/>
          <w:szCs w:val="20"/>
          <w:lang w:val="es-419"/>
        </w:rPr>
        <w:tab/>
        <w:t xml:space="preserve">Ordinario laboral </w:t>
      </w:r>
    </w:p>
    <w:p w:rsidR="001A63DF" w:rsidRPr="00A02850" w:rsidRDefault="001A63DF" w:rsidP="001A63DF">
      <w:pPr>
        <w:jc w:val="both"/>
        <w:rPr>
          <w:rFonts w:ascii="Arial" w:hAnsi="Arial" w:cs="Arial"/>
          <w:sz w:val="20"/>
          <w:szCs w:val="20"/>
          <w:lang w:val="es-419"/>
        </w:rPr>
      </w:pPr>
      <w:r w:rsidRPr="00A02850">
        <w:rPr>
          <w:rFonts w:ascii="Arial" w:hAnsi="Arial" w:cs="Arial"/>
          <w:sz w:val="20"/>
          <w:szCs w:val="20"/>
          <w:lang w:val="es-419"/>
        </w:rPr>
        <w:t>Deman</w:t>
      </w:r>
      <w:r w:rsidR="00D25D0E">
        <w:rPr>
          <w:rFonts w:ascii="Arial" w:hAnsi="Arial" w:cs="Arial"/>
          <w:sz w:val="20"/>
          <w:szCs w:val="20"/>
          <w:lang w:val="es-419"/>
        </w:rPr>
        <w:t>dante:</w:t>
      </w:r>
      <w:r w:rsidR="00D25D0E">
        <w:rPr>
          <w:rFonts w:ascii="Arial" w:hAnsi="Arial" w:cs="Arial"/>
          <w:sz w:val="20"/>
          <w:szCs w:val="20"/>
          <w:lang w:val="es-419"/>
        </w:rPr>
        <w:tab/>
      </w:r>
      <w:r w:rsidR="00D25D0E">
        <w:rPr>
          <w:rFonts w:ascii="Arial" w:hAnsi="Arial" w:cs="Arial"/>
          <w:sz w:val="20"/>
          <w:szCs w:val="20"/>
          <w:lang w:val="es-419"/>
        </w:rPr>
        <w:tab/>
        <w:t>Gloria Inés Gómez Gallo</w:t>
      </w:r>
    </w:p>
    <w:p w:rsidR="001A63DF" w:rsidRPr="00A02850" w:rsidRDefault="001A63DF" w:rsidP="001A63DF">
      <w:pPr>
        <w:jc w:val="both"/>
        <w:rPr>
          <w:rFonts w:ascii="Arial" w:hAnsi="Arial" w:cs="Arial"/>
          <w:sz w:val="20"/>
          <w:szCs w:val="20"/>
          <w:lang w:val="es-419"/>
        </w:rPr>
      </w:pPr>
      <w:r w:rsidRPr="00A02850">
        <w:rPr>
          <w:rFonts w:ascii="Arial" w:hAnsi="Arial" w:cs="Arial"/>
          <w:sz w:val="20"/>
          <w:szCs w:val="20"/>
          <w:lang w:val="es-419"/>
        </w:rPr>
        <w:t>Demandado:</w:t>
      </w:r>
      <w:r w:rsidRPr="00A02850">
        <w:rPr>
          <w:rFonts w:ascii="Arial" w:hAnsi="Arial" w:cs="Arial"/>
          <w:sz w:val="20"/>
          <w:szCs w:val="20"/>
          <w:lang w:val="es-419"/>
        </w:rPr>
        <w:tab/>
      </w:r>
      <w:r w:rsidRPr="00A02850">
        <w:rPr>
          <w:rFonts w:ascii="Arial" w:hAnsi="Arial" w:cs="Arial"/>
          <w:sz w:val="20"/>
          <w:szCs w:val="20"/>
          <w:lang w:val="es-419"/>
        </w:rPr>
        <w:tab/>
        <w:t>Colpensiones</w:t>
      </w:r>
    </w:p>
    <w:p w:rsidR="001A63DF" w:rsidRPr="00A02850" w:rsidRDefault="001A63DF" w:rsidP="001A63DF">
      <w:pPr>
        <w:jc w:val="both"/>
        <w:rPr>
          <w:rFonts w:ascii="Arial" w:hAnsi="Arial" w:cs="Arial"/>
          <w:sz w:val="20"/>
          <w:szCs w:val="20"/>
          <w:lang w:val="es-419"/>
        </w:rPr>
      </w:pPr>
      <w:r w:rsidRPr="00A02850">
        <w:rPr>
          <w:rFonts w:ascii="Arial" w:hAnsi="Arial" w:cs="Arial"/>
          <w:sz w:val="20"/>
          <w:szCs w:val="20"/>
          <w:lang w:val="es-419"/>
        </w:rPr>
        <w:t xml:space="preserve">Juzgado de origen: </w:t>
      </w:r>
      <w:r w:rsidRPr="00A02850">
        <w:rPr>
          <w:rFonts w:ascii="Arial" w:hAnsi="Arial" w:cs="Arial"/>
          <w:sz w:val="20"/>
          <w:szCs w:val="20"/>
          <w:lang w:val="es-419"/>
        </w:rPr>
        <w:tab/>
        <w:t>Quinto Laboral del Circuito de Pereira</w:t>
      </w:r>
    </w:p>
    <w:p w:rsidR="001A63DF" w:rsidRPr="00A02850" w:rsidRDefault="001A63DF" w:rsidP="001A63DF">
      <w:pPr>
        <w:jc w:val="both"/>
        <w:rPr>
          <w:rFonts w:ascii="Arial" w:hAnsi="Arial" w:cs="Arial"/>
          <w:sz w:val="20"/>
          <w:szCs w:val="20"/>
          <w:lang w:val="es-419"/>
        </w:rPr>
      </w:pPr>
      <w:r w:rsidRPr="00A02850">
        <w:rPr>
          <w:rFonts w:ascii="Arial" w:hAnsi="Arial" w:cs="Arial"/>
          <w:sz w:val="20"/>
          <w:szCs w:val="20"/>
          <w:lang w:val="es-419"/>
        </w:rPr>
        <w:t>Magistradas ponentes:</w:t>
      </w:r>
      <w:r w:rsidRPr="00A02850">
        <w:rPr>
          <w:rFonts w:ascii="Arial" w:hAnsi="Arial" w:cs="Arial"/>
          <w:sz w:val="20"/>
          <w:szCs w:val="20"/>
          <w:lang w:val="es-419"/>
        </w:rPr>
        <w:tab/>
        <w:t>Dra. Ana Lucía Caicedo Calderón</w:t>
      </w:r>
    </w:p>
    <w:p w:rsidR="001A63DF" w:rsidRPr="001A63DF" w:rsidRDefault="001A63DF" w:rsidP="001A63DF">
      <w:pPr>
        <w:jc w:val="both"/>
        <w:rPr>
          <w:rFonts w:ascii="Arial" w:hAnsi="Arial" w:cs="Arial"/>
          <w:sz w:val="20"/>
          <w:szCs w:val="20"/>
          <w:lang w:val="es-419"/>
        </w:rPr>
      </w:pPr>
      <w:r w:rsidRPr="00A02850">
        <w:rPr>
          <w:rFonts w:ascii="Arial" w:hAnsi="Arial" w:cs="Arial"/>
          <w:sz w:val="20"/>
          <w:szCs w:val="20"/>
          <w:lang w:val="es-419"/>
        </w:rPr>
        <w:tab/>
      </w:r>
      <w:r w:rsidRPr="00A02850">
        <w:rPr>
          <w:rFonts w:ascii="Arial" w:hAnsi="Arial" w:cs="Arial"/>
          <w:sz w:val="20"/>
          <w:szCs w:val="20"/>
          <w:lang w:val="es-419"/>
        </w:rPr>
        <w:tab/>
      </w:r>
      <w:r w:rsidRPr="00A02850">
        <w:rPr>
          <w:rFonts w:ascii="Arial" w:hAnsi="Arial" w:cs="Arial"/>
          <w:sz w:val="20"/>
          <w:szCs w:val="20"/>
          <w:lang w:val="es-419"/>
        </w:rPr>
        <w:tab/>
        <w:t>Dra. Olga Lucía Hoyos Sepúlveda</w:t>
      </w:r>
    </w:p>
    <w:p w:rsidR="001A63DF" w:rsidRPr="001A63DF" w:rsidRDefault="001A63DF" w:rsidP="001A63DF">
      <w:pPr>
        <w:jc w:val="both"/>
        <w:rPr>
          <w:rFonts w:ascii="Arial" w:hAnsi="Arial" w:cs="Arial"/>
          <w:sz w:val="20"/>
          <w:szCs w:val="20"/>
          <w:lang w:val="es-419"/>
        </w:rPr>
      </w:pPr>
    </w:p>
    <w:p w:rsidR="001A63DF" w:rsidRPr="001A63DF" w:rsidRDefault="001A63DF" w:rsidP="001A63DF">
      <w:pPr>
        <w:jc w:val="both"/>
        <w:rPr>
          <w:rFonts w:ascii="Arial" w:hAnsi="Arial" w:cs="Arial"/>
          <w:b/>
          <w:bCs/>
          <w:iCs/>
          <w:sz w:val="20"/>
          <w:szCs w:val="20"/>
          <w:lang w:val="es-419" w:eastAsia="fr-FR"/>
        </w:rPr>
      </w:pPr>
      <w:r w:rsidRPr="001A63DF">
        <w:rPr>
          <w:rFonts w:ascii="Arial" w:hAnsi="Arial" w:cs="Arial"/>
          <w:b/>
          <w:bCs/>
          <w:iCs/>
          <w:sz w:val="20"/>
          <w:szCs w:val="20"/>
          <w:lang w:val="es-419" w:eastAsia="fr-FR"/>
        </w:rPr>
        <w:t>TEMAS:</w:t>
      </w:r>
      <w:r w:rsidRPr="001A63DF">
        <w:rPr>
          <w:rFonts w:ascii="Arial" w:hAnsi="Arial" w:cs="Arial"/>
          <w:b/>
          <w:bCs/>
          <w:iCs/>
          <w:sz w:val="20"/>
          <w:szCs w:val="20"/>
          <w:lang w:val="es-419" w:eastAsia="fr-FR"/>
        </w:rPr>
        <w:tab/>
      </w:r>
      <w:r w:rsidR="007A0291">
        <w:rPr>
          <w:rFonts w:ascii="Arial" w:hAnsi="Arial" w:cs="Arial"/>
          <w:b/>
          <w:bCs/>
          <w:iCs/>
          <w:sz w:val="20"/>
          <w:szCs w:val="20"/>
          <w:lang w:val="es-CO" w:eastAsia="fr-FR"/>
        </w:rPr>
        <w:t xml:space="preserve">PENSIÓN DE VEJEZ / RÉGIMEN DE TRANSICIÓN / </w:t>
      </w:r>
      <w:r w:rsidR="00A05DBC">
        <w:rPr>
          <w:rFonts w:ascii="Arial" w:hAnsi="Arial" w:cs="Arial"/>
          <w:b/>
          <w:bCs/>
          <w:iCs/>
          <w:sz w:val="20"/>
          <w:szCs w:val="20"/>
          <w:lang w:val="es-CO" w:eastAsia="fr-FR"/>
        </w:rPr>
        <w:t xml:space="preserve">ACUMULACIÓN DE APORTES PRIVADOS CON TIEMPOS DE SERVICIO PÚBLICO / NO PROCEDE BAJO RÉGIMEN DEL ACUERDO 049 DE 1990 / </w:t>
      </w:r>
      <w:r w:rsidR="00F04E3B">
        <w:rPr>
          <w:rFonts w:ascii="Arial" w:hAnsi="Arial" w:cs="Arial"/>
          <w:b/>
          <w:bCs/>
          <w:iCs/>
          <w:sz w:val="20"/>
          <w:szCs w:val="20"/>
          <w:lang w:val="es-CO" w:eastAsia="fr-FR"/>
        </w:rPr>
        <w:t xml:space="preserve">OTRO CRITERIO INDICA QUE NO PROCEDE </w:t>
      </w:r>
      <w:r w:rsidR="00F97D2A">
        <w:rPr>
          <w:rFonts w:ascii="Arial" w:hAnsi="Arial" w:cs="Arial"/>
          <w:b/>
          <w:bCs/>
          <w:iCs/>
          <w:sz w:val="20"/>
          <w:szCs w:val="20"/>
          <w:lang w:val="es-CO" w:eastAsia="fr-FR"/>
        </w:rPr>
        <w:t xml:space="preserve">PARA RELIQUIDACIÓN, MAS SÍ PARA </w:t>
      </w:r>
      <w:r w:rsidR="00420773">
        <w:rPr>
          <w:rFonts w:ascii="Arial" w:hAnsi="Arial" w:cs="Arial"/>
          <w:b/>
          <w:bCs/>
          <w:iCs/>
          <w:sz w:val="20"/>
          <w:szCs w:val="20"/>
          <w:lang w:val="es-CO" w:eastAsia="fr-FR"/>
        </w:rPr>
        <w:t>GENERAR EL DERECHO A LA PENSIÓN / SENTENCIA SU-769 DE 2014.</w:t>
      </w:r>
    </w:p>
    <w:p w:rsidR="001A63DF" w:rsidRPr="001A63DF" w:rsidRDefault="001A63DF" w:rsidP="001A63DF">
      <w:pPr>
        <w:jc w:val="both"/>
        <w:rPr>
          <w:rFonts w:ascii="Arial" w:hAnsi="Arial" w:cs="Arial"/>
          <w:sz w:val="20"/>
          <w:szCs w:val="20"/>
          <w:lang w:val="es-419"/>
        </w:rPr>
      </w:pPr>
    </w:p>
    <w:p w:rsidR="00177DF6" w:rsidRPr="00177DF6" w:rsidRDefault="00177DF6" w:rsidP="00177DF6">
      <w:pPr>
        <w:jc w:val="both"/>
        <w:rPr>
          <w:rFonts w:ascii="Arial" w:hAnsi="Arial" w:cs="Arial"/>
          <w:sz w:val="20"/>
          <w:szCs w:val="20"/>
          <w:lang w:val="es-419"/>
        </w:rPr>
      </w:pPr>
      <w:r w:rsidRPr="00177DF6">
        <w:rPr>
          <w:rFonts w:ascii="Arial" w:hAnsi="Arial" w:cs="Arial"/>
          <w:sz w:val="20"/>
          <w:szCs w:val="20"/>
          <w:lang w:val="es-419"/>
        </w:rPr>
        <w:t xml:space="preserve">De conformidad con lo previsto por el artículo 12 del Acuerdo 049 de 1990 y para el caso de las mujeres, para obtener el derecho a la pensión de vejez se requiere acreditar 55 años de edad y haber cotizado 1000 semanas en cualquier tiempo o 500 dentro de los 20 años anteriores al cumplimiento de esa edad. </w:t>
      </w:r>
    </w:p>
    <w:p w:rsidR="00177DF6" w:rsidRPr="00177DF6" w:rsidRDefault="00177DF6" w:rsidP="00177DF6">
      <w:pPr>
        <w:jc w:val="both"/>
        <w:rPr>
          <w:rFonts w:ascii="Arial" w:hAnsi="Arial" w:cs="Arial"/>
          <w:sz w:val="20"/>
          <w:szCs w:val="20"/>
          <w:lang w:val="es-419"/>
        </w:rPr>
      </w:pPr>
    </w:p>
    <w:p w:rsidR="001A63DF" w:rsidRPr="00177DF6" w:rsidRDefault="00177DF6" w:rsidP="00177DF6">
      <w:pPr>
        <w:jc w:val="both"/>
        <w:rPr>
          <w:rFonts w:ascii="Arial" w:hAnsi="Arial" w:cs="Arial"/>
          <w:sz w:val="20"/>
          <w:szCs w:val="20"/>
          <w:lang w:val="es-CO"/>
        </w:rPr>
      </w:pPr>
      <w:r w:rsidRPr="00177DF6">
        <w:rPr>
          <w:rFonts w:ascii="Arial" w:hAnsi="Arial" w:cs="Arial"/>
          <w:sz w:val="20"/>
          <w:szCs w:val="20"/>
          <w:lang w:val="es-419"/>
        </w:rPr>
        <w:t>Ahora bien, en relación con el cómputo del  tiempo cotizado, ha sido clara la jurisprudencia del órgano de cierre de la jurisdicción laboral, que los mismos deben ser cotizados de manera exclusiva al ISS; y que el tiempo público se puede acumular con las cotizaciones efectuadas a la referida entidad de seguridad social solo para efectos de aplicar otras disposiciones, como las leyes 71 de 1988 y 100 de 1993 con sus modificaciones, pero no para el Acuerdo 049 de 1990.</w:t>
      </w:r>
      <w:r>
        <w:rPr>
          <w:rFonts w:ascii="Arial" w:hAnsi="Arial" w:cs="Arial"/>
          <w:sz w:val="20"/>
          <w:szCs w:val="20"/>
          <w:lang w:val="es-CO"/>
        </w:rPr>
        <w:t xml:space="preserve"> (…)</w:t>
      </w:r>
    </w:p>
    <w:p w:rsidR="001A63DF" w:rsidRPr="001A63DF" w:rsidRDefault="001A63DF" w:rsidP="001A63DF">
      <w:pPr>
        <w:jc w:val="both"/>
        <w:rPr>
          <w:rFonts w:ascii="Arial" w:hAnsi="Arial" w:cs="Arial"/>
          <w:sz w:val="20"/>
          <w:szCs w:val="20"/>
          <w:lang w:val="es-419"/>
        </w:rPr>
      </w:pPr>
    </w:p>
    <w:p w:rsidR="001A63DF" w:rsidRDefault="007A0291" w:rsidP="001A63DF">
      <w:pPr>
        <w:jc w:val="both"/>
        <w:rPr>
          <w:rFonts w:ascii="Arial" w:hAnsi="Arial" w:cs="Arial"/>
          <w:sz w:val="20"/>
          <w:szCs w:val="20"/>
          <w:lang w:val="es-CO"/>
        </w:rPr>
      </w:pPr>
      <w:r>
        <w:rPr>
          <w:rFonts w:ascii="Arial" w:hAnsi="Arial" w:cs="Arial"/>
          <w:sz w:val="20"/>
          <w:szCs w:val="20"/>
          <w:lang w:val="es-CO"/>
        </w:rPr>
        <w:t xml:space="preserve">… </w:t>
      </w:r>
      <w:r w:rsidRPr="007A0291">
        <w:rPr>
          <w:rFonts w:ascii="Arial" w:hAnsi="Arial" w:cs="Arial"/>
          <w:sz w:val="20"/>
          <w:szCs w:val="20"/>
          <w:lang w:val="es-CO"/>
        </w:rPr>
        <w:t>la aplicación del precedente establecido en la sentencia SU-769 de 2014 -que avaló la posibilidad de conjugar cotizaciones realizadas en los sectores público y privado para acceder a la pensión de vejez enmarcada en el Acuerdo 049 de 1990- es restrictivo y residual, pues se da cuando un afiliado o afiliada no cuenta con cotizaciones suficientes en el sector privado, o cuando el número de semanas cotizadas en ambos sectores no alcanza el mínimo exigido por las normas que permiten el acopio de aportes, a saber, la Ley 71 de 1988 y la Ley 100 de 1993; lo cual no acontece en el caso de marras, pues la actora actualmente disfruta de la pensión de vejez estipulada en el artículo 9º de la Ley 797 de 2003, modificatorio del artículo 33 de la Ley 100 de 1993.</w:t>
      </w:r>
    </w:p>
    <w:p w:rsidR="00B71635" w:rsidRDefault="00B71635" w:rsidP="001A63DF">
      <w:pPr>
        <w:jc w:val="both"/>
        <w:rPr>
          <w:rFonts w:ascii="Arial" w:hAnsi="Arial" w:cs="Arial"/>
          <w:sz w:val="20"/>
          <w:szCs w:val="20"/>
          <w:lang w:val="es-CO"/>
        </w:rPr>
      </w:pPr>
    </w:p>
    <w:p w:rsidR="00B71635" w:rsidRPr="00B71635" w:rsidRDefault="00B71635" w:rsidP="001A63DF">
      <w:pPr>
        <w:jc w:val="both"/>
        <w:rPr>
          <w:rFonts w:ascii="Arial" w:hAnsi="Arial" w:cs="Arial"/>
          <w:b/>
          <w:color w:val="FF0000"/>
          <w:sz w:val="20"/>
          <w:szCs w:val="20"/>
          <w:lang w:val="es-CO"/>
        </w:rPr>
      </w:pPr>
      <w:r w:rsidRPr="00B71635">
        <w:rPr>
          <w:rFonts w:ascii="Arial" w:hAnsi="Arial" w:cs="Arial"/>
          <w:b/>
          <w:color w:val="FF0000"/>
          <w:sz w:val="20"/>
          <w:szCs w:val="20"/>
          <w:lang w:val="es-CO"/>
        </w:rPr>
        <w:t>ACLARACIÓN DE VOTO: DOCTORA ANA LUCÍA CAICEDO CALDERÓN</w:t>
      </w:r>
    </w:p>
    <w:p w:rsidR="001A63DF" w:rsidRPr="001A63DF" w:rsidRDefault="001A63DF" w:rsidP="001A63DF">
      <w:pPr>
        <w:jc w:val="both"/>
        <w:rPr>
          <w:rFonts w:ascii="Arial" w:hAnsi="Arial" w:cs="Arial"/>
          <w:sz w:val="20"/>
          <w:szCs w:val="20"/>
        </w:rPr>
      </w:pPr>
    </w:p>
    <w:p w:rsidR="001A63DF" w:rsidRDefault="00B71635" w:rsidP="001A63DF">
      <w:pPr>
        <w:jc w:val="both"/>
        <w:rPr>
          <w:rFonts w:ascii="Arial" w:hAnsi="Arial" w:cs="Arial"/>
          <w:sz w:val="20"/>
          <w:szCs w:val="20"/>
        </w:rPr>
      </w:pPr>
      <w:r w:rsidRPr="00B71635">
        <w:rPr>
          <w:rFonts w:ascii="Arial" w:hAnsi="Arial" w:cs="Arial"/>
          <w:sz w:val="20"/>
          <w:szCs w:val="20"/>
        </w:rPr>
        <w:t>A pesar de que considero que es procedente aplicar el precedente sentado por la Corte Constitucional en la Sentencia SU-769 de 2014</w:t>
      </w:r>
      <w:r>
        <w:rPr>
          <w:rFonts w:ascii="Arial" w:hAnsi="Arial" w:cs="Arial"/>
          <w:sz w:val="20"/>
          <w:szCs w:val="20"/>
        </w:rPr>
        <w:t>…</w:t>
      </w:r>
      <w:r w:rsidRPr="00B71635">
        <w:rPr>
          <w:rFonts w:ascii="Arial" w:hAnsi="Arial" w:cs="Arial"/>
          <w:sz w:val="20"/>
          <w:szCs w:val="20"/>
        </w:rPr>
        <w:t xml:space="preserve"> estimo que la remisión a dicha jurisprudencia tiene un carácter restrictivo y residual, pues se da cuando un afiliado o afiliada no cuenta con cotizaciones suficientes en el sector privado, o cuando el número de semanas cotizadas en ambos sectores no alcanza el mínimo exigido por las normas que permiten el acopio de aportes, a saber, la Ley 71 de 1988 y la Ley 100 de 1993</w:t>
      </w:r>
      <w:r>
        <w:rPr>
          <w:rFonts w:ascii="Arial" w:hAnsi="Arial" w:cs="Arial"/>
          <w:sz w:val="20"/>
          <w:szCs w:val="20"/>
        </w:rPr>
        <w:t>…</w:t>
      </w:r>
    </w:p>
    <w:p w:rsidR="00B71635" w:rsidRDefault="00B71635" w:rsidP="001A63DF">
      <w:pPr>
        <w:jc w:val="both"/>
        <w:rPr>
          <w:rFonts w:ascii="Arial" w:hAnsi="Arial" w:cs="Arial"/>
          <w:sz w:val="20"/>
          <w:szCs w:val="20"/>
        </w:rPr>
      </w:pPr>
    </w:p>
    <w:p w:rsidR="00B71635" w:rsidRPr="001A63DF" w:rsidRDefault="00B71635" w:rsidP="001A63DF">
      <w:pPr>
        <w:jc w:val="both"/>
        <w:rPr>
          <w:rFonts w:ascii="Arial" w:hAnsi="Arial" w:cs="Arial"/>
          <w:sz w:val="20"/>
          <w:szCs w:val="20"/>
        </w:rPr>
      </w:pPr>
    </w:p>
    <w:p w:rsidR="001A63DF" w:rsidRPr="001A63DF" w:rsidRDefault="001A63DF" w:rsidP="001A63DF">
      <w:pPr>
        <w:jc w:val="both"/>
        <w:rPr>
          <w:rFonts w:ascii="Arial" w:hAnsi="Arial" w:cs="Arial"/>
          <w:sz w:val="20"/>
          <w:szCs w:val="20"/>
        </w:rPr>
      </w:pPr>
    </w:p>
    <w:p w:rsidR="00D2586A" w:rsidRPr="00B71635" w:rsidRDefault="00D2586A" w:rsidP="00FA1A13">
      <w:pPr>
        <w:pStyle w:val="Ttulo4"/>
        <w:widowControl w:val="0"/>
        <w:tabs>
          <w:tab w:val="clear" w:pos="0"/>
        </w:tabs>
        <w:rPr>
          <w:rFonts w:ascii="Arial" w:hAnsi="Arial" w:cs="Arial"/>
          <w:bCs/>
          <w:szCs w:val="24"/>
          <w:lang w:eastAsia="es-MX"/>
        </w:rPr>
      </w:pPr>
      <w:r w:rsidRPr="00B71635">
        <w:rPr>
          <w:rFonts w:ascii="Arial" w:hAnsi="Arial" w:cs="Arial"/>
          <w:bCs/>
          <w:szCs w:val="24"/>
          <w:lang w:eastAsia="es-MX"/>
        </w:rPr>
        <w:t>TRIBUNAL SUPERIOR DEL DISTRITO JUDICIAL DE PEREIRA</w:t>
      </w:r>
    </w:p>
    <w:p w:rsidR="00D2586A" w:rsidRPr="00B71635" w:rsidRDefault="00D2586A" w:rsidP="00FA1A13">
      <w:pPr>
        <w:pStyle w:val="Ttulo4"/>
        <w:widowControl w:val="0"/>
        <w:tabs>
          <w:tab w:val="clear" w:pos="0"/>
        </w:tabs>
        <w:rPr>
          <w:rFonts w:ascii="Arial" w:hAnsi="Arial" w:cs="Arial"/>
          <w:bCs/>
          <w:szCs w:val="24"/>
          <w:lang w:eastAsia="es-MX"/>
        </w:rPr>
      </w:pPr>
      <w:r w:rsidRPr="00B71635">
        <w:rPr>
          <w:rFonts w:ascii="Arial" w:hAnsi="Arial" w:cs="Arial"/>
          <w:bCs/>
          <w:szCs w:val="24"/>
          <w:lang w:eastAsia="es-MX"/>
        </w:rPr>
        <w:t xml:space="preserve">SALA DE </w:t>
      </w:r>
      <w:r w:rsidR="00B71635" w:rsidRPr="00B71635">
        <w:rPr>
          <w:rFonts w:ascii="Arial" w:hAnsi="Arial" w:cs="Arial"/>
          <w:bCs/>
          <w:szCs w:val="24"/>
          <w:lang w:eastAsia="es-MX"/>
        </w:rPr>
        <w:t>DECISIÓN</w:t>
      </w:r>
      <w:r w:rsidRPr="00B71635">
        <w:rPr>
          <w:rFonts w:ascii="Arial" w:hAnsi="Arial" w:cs="Arial"/>
          <w:bCs/>
          <w:szCs w:val="24"/>
          <w:lang w:eastAsia="es-MX"/>
        </w:rPr>
        <w:t xml:space="preserve"> LABORAL No. 1</w:t>
      </w:r>
    </w:p>
    <w:p w:rsidR="00D2586A" w:rsidRPr="00B71635" w:rsidRDefault="00D2586A" w:rsidP="00FA1A13">
      <w:pPr>
        <w:jc w:val="center"/>
        <w:rPr>
          <w:rFonts w:ascii="Arial" w:hAnsi="Arial" w:cs="Arial"/>
          <w:bCs/>
          <w:sz w:val="22"/>
          <w:szCs w:val="22"/>
        </w:rPr>
      </w:pPr>
    </w:p>
    <w:p w:rsidR="00913FE6" w:rsidRPr="00B71635" w:rsidRDefault="00913FE6" w:rsidP="00913FE6">
      <w:pPr>
        <w:jc w:val="center"/>
        <w:rPr>
          <w:rFonts w:ascii="Arial" w:hAnsi="Arial" w:cs="Arial"/>
          <w:b/>
          <w:bCs/>
          <w:szCs w:val="22"/>
        </w:rPr>
      </w:pPr>
      <w:r w:rsidRPr="00B71635">
        <w:rPr>
          <w:rFonts w:ascii="Arial" w:hAnsi="Arial" w:cs="Arial"/>
          <w:bCs/>
          <w:szCs w:val="22"/>
        </w:rPr>
        <w:t>Magistradas Ponentes:</w:t>
      </w:r>
      <w:r w:rsidRPr="00B71635">
        <w:rPr>
          <w:rFonts w:ascii="Arial" w:hAnsi="Arial" w:cs="Arial"/>
          <w:b/>
          <w:bCs/>
          <w:szCs w:val="22"/>
        </w:rPr>
        <w:t xml:space="preserve"> </w:t>
      </w:r>
    </w:p>
    <w:p w:rsidR="00913FE6" w:rsidRPr="00B71635" w:rsidRDefault="00913FE6" w:rsidP="00913FE6">
      <w:pPr>
        <w:jc w:val="center"/>
        <w:rPr>
          <w:rFonts w:ascii="Arial" w:hAnsi="Arial" w:cs="Arial"/>
          <w:b/>
          <w:bCs/>
          <w:szCs w:val="22"/>
        </w:rPr>
      </w:pPr>
      <w:r w:rsidRPr="00B71635">
        <w:rPr>
          <w:rFonts w:ascii="Arial" w:hAnsi="Arial" w:cs="Arial"/>
          <w:b/>
          <w:bCs/>
          <w:szCs w:val="22"/>
        </w:rPr>
        <w:t>Ana Lucía Caicedo Calderón</w:t>
      </w:r>
    </w:p>
    <w:p w:rsidR="00913FE6" w:rsidRPr="00B71635" w:rsidRDefault="00913FE6" w:rsidP="00913FE6">
      <w:pPr>
        <w:jc w:val="center"/>
        <w:rPr>
          <w:rFonts w:ascii="Arial" w:hAnsi="Arial" w:cs="Arial"/>
          <w:b/>
          <w:bCs/>
          <w:szCs w:val="22"/>
        </w:rPr>
      </w:pPr>
      <w:r w:rsidRPr="00B71635">
        <w:rPr>
          <w:rFonts w:ascii="Arial" w:hAnsi="Arial" w:cs="Arial"/>
          <w:b/>
          <w:bCs/>
          <w:szCs w:val="22"/>
        </w:rPr>
        <w:t>Olga Lucía Hoyos Sepúlveda</w:t>
      </w:r>
    </w:p>
    <w:p w:rsidR="00D2586A" w:rsidRPr="00B71635" w:rsidRDefault="00D2586A" w:rsidP="00FA1A13">
      <w:pPr>
        <w:jc w:val="center"/>
        <w:rPr>
          <w:rFonts w:ascii="Arial" w:hAnsi="Arial" w:cs="Arial"/>
          <w:b/>
          <w:bCs/>
          <w:szCs w:val="22"/>
        </w:rPr>
      </w:pPr>
    </w:p>
    <w:p w:rsidR="00D2586A" w:rsidRPr="00B71635" w:rsidRDefault="00D2586A" w:rsidP="00FA1A13">
      <w:pPr>
        <w:jc w:val="center"/>
        <w:rPr>
          <w:rFonts w:ascii="Arial" w:hAnsi="Arial" w:cs="Arial"/>
          <w:b/>
          <w:szCs w:val="22"/>
        </w:rPr>
      </w:pPr>
      <w:r w:rsidRPr="00B71635">
        <w:rPr>
          <w:rFonts w:ascii="Arial" w:hAnsi="Arial" w:cs="Arial"/>
          <w:b/>
          <w:szCs w:val="22"/>
        </w:rPr>
        <w:t>Acta No. ____</w:t>
      </w:r>
    </w:p>
    <w:p w:rsidR="00D2586A" w:rsidRPr="00B71635" w:rsidRDefault="00D2586A" w:rsidP="00FA1A13">
      <w:pPr>
        <w:jc w:val="center"/>
        <w:rPr>
          <w:rFonts w:ascii="Arial" w:hAnsi="Arial" w:cs="Arial"/>
          <w:b/>
          <w:szCs w:val="22"/>
        </w:rPr>
      </w:pPr>
      <w:r w:rsidRPr="00B71635">
        <w:rPr>
          <w:rFonts w:ascii="Arial" w:hAnsi="Arial" w:cs="Arial"/>
          <w:b/>
          <w:szCs w:val="22"/>
        </w:rPr>
        <w:t>(</w:t>
      </w:r>
      <w:r w:rsidR="0073296D" w:rsidRPr="00B71635">
        <w:rPr>
          <w:rFonts w:ascii="Arial" w:hAnsi="Arial" w:cs="Arial"/>
          <w:b/>
          <w:szCs w:val="22"/>
        </w:rPr>
        <w:t xml:space="preserve">2 de agosto </w:t>
      </w:r>
      <w:r w:rsidR="003221C0" w:rsidRPr="00B71635">
        <w:rPr>
          <w:rFonts w:ascii="Arial" w:hAnsi="Arial" w:cs="Arial"/>
          <w:b/>
          <w:szCs w:val="22"/>
        </w:rPr>
        <w:t>de 2019</w:t>
      </w:r>
      <w:r w:rsidRPr="00B71635">
        <w:rPr>
          <w:rFonts w:ascii="Arial" w:hAnsi="Arial" w:cs="Arial"/>
          <w:b/>
          <w:szCs w:val="22"/>
        </w:rPr>
        <w:t>)</w:t>
      </w:r>
    </w:p>
    <w:p w:rsidR="00D2586A" w:rsidRPr="00B71635" w:rsidRDefault="00D2586A" w:rsidP="00FA1A13">
      <w:pPr>
        <w:jc w:val="center"/>
        <w:rPr>
          <w:rFonts w:ascii="Arial" w:hAnsi="Arial" w:cs="Arial"/>
          <w:b/>
          <w:szCs w:val="22"/>
        </w:rPr>
      </w:pPr>
    </w:p>
    <w:p w:rsidR="00D2586A" w:rsidRPr="00B71635" w:rsidRDefault="00D2586A" w:rsidP="00FA1A13">
      <w:pPr>
        <w:pStyle w:val="Ttulo5"/>
        <w:spacing w:line="240" w:lineRule="auto"/>
        <w:ind w:firstLine="0"/>
        <w:jc w:val="center"/>
        <w:rPr>
          <w:szCs w:val="22"/>
        </w:rPr>
      </w:pPr>
      <w:r w:rsidRPr="00B71635">
        <w:rPr>
          <w:szCs w:val="22"/>
        </w:rPr>
        <w:t>Sistema oral - Audiencia de juzgamiento</w:t>
      </w:r>
    </w:p>
    <w:p w:rsidR="00D2586A" w:rsidRPr="00B71635" w:rsidRDefault="00D2586A" w:rsidP="00FA1A13">
      <w:pPr>
        <w:jc w:val="both"/>
        <w:rPr>
          <w:rFonts w:ascii="Arial" w:hAnsi="Arial" w:cs="Arial"/>
          <w:szCs w:val="22"/>
          <w:lang w:val="es-ES_tradnl"/>
        </w:rPr>
      </w:pPr>
      <w:r w:rsidRPr="00B71635">
        <w:rPr>
          <w:rFonts w:ascii="Arial" w:hAnsi="Arial" w:cs="Arial"/>
          <w:b/>
          <w:szCs w:val="22"/>
        </w:rPr>
        <w:tab/>
      </w:r>
    </w:p>
    <w:p w:rsidR="00D2586A" w:rsidRPr="00B71635" w:rsidRDefault="00D2586A" w:rsidP="00FA1A13">
      <w:pPr>
        <w:spacing w:line="276" w:lineRule="auto"/>
        <w:ind w:firstLine="708"/>
        <w:jc w:val="both"/>
        <w:rPr>
          <w:rFonts w:ascii="Arial" w:hAnsi="Arial" w:cs="Arial"/>
          <w:szCs w:val="22"/>
        </w:rPr>
      </w:pPr>
      <w:r w:rsidRPr="00B71635">
        <w:rPr>
          <w:rFonts w:ascii="Arial" w:hAnsi="Arial" w:cs="Arial"/>
          <w:szCs w:val="22"/>
          <w:lang w:val="es-ES_tradnl"/>
        </w:rPr>
        <w:t xml:space="preserve">Siendo las </w:t>
      </w:r>
      <w:r w:rsidR="0073296D" w:rsidRPr="00B71635">
        <w:rPr>
          <w:rFonts w:ascii="Arial" w:hAnsi="Arial" w:cs="Arial"/>
          <w:szCs w:val="22"/>
          <w:lang w:val="es-ES_tradnl"/>
        </w:rPr>
        <w:t xml:space="preserve">7:30 </w:t>
      </w:r>
      <w:r w:rsidRPr="00B71635">
        <w:rPr>
          <w:rFonts w:ascii="Arial" w:hAnsi="Arial" w:cs="Arial"/>
          <w:szCs w:val="22"/>
          <w:lang w:val="es-ES_tradnl"/>
        </w:rPr>
        <w:t xml:space="preserve">a.m. de hoy, </w:t>
      </w:r>
      <w:r w:rsidR="0073296D" w:rsidRPr="00B71635">
        <w:rPr>
          <w:rFonts w:ascii="Arial" w:hAnsi="Arial" w:cs="Arial"/>
          <w:szCs w:val="22"/>
          <w:lang w:val="es-ES_tradnl"/>
        </w:rPr>
        <w:t xml:space="preserve">2 de agosto </w:t>
      </w:r>
      <w:r w:rsidR="00073121" w:rsidRPr="00B71635">
        <w:rPr>
          <w:rFonts w:ascii="Arial" w:hAnsi="Arial" w:cs="Arial"/>
          <w:szCs w:val="22"/>
          <w:lang w:val="es-ES_tradnl"/>
        </w:rPr>
        <w:t>d</w:t>
      </w:r>
      <w:r w:rsidRPr="00B71635">
        <w:rPr>
          <w:rFonts w:ascii="Arial" w:hAnsi="Arial" w:cs="Arial"/>
          <w:szCs w:val="22"/>
          <w:lang w:val="es-ES_tradnl"/>
        </w:rPr>
        <w:t>e 201</w:t>
      </w:r>
      <w:r w:rsidR="00C84D49" w:rsidRPr="00B71635">
        <w:rPr>
          <w:rFonts w:ascii="Arial" w:hAnsi="Arial" w:cs="Arial"/>
          <w:szCs w:val="22"/>
          <w:lang w:val="es-ES_tradnl"/>
        </w:rPr>
        <w:t>9</w:t>
      </w:r>
      <w:r w:rsidRPr="00B71635">
        <w:rPr>
          <w:rFonts w:ascii="Arial" w:hAnsi="Arial" w:cs="Arial"/>
          <w:szCs w:val="22"/>
          <w:lang w:val="es-ES_tradnl"/>
        </w:rPr>
        <w:t xml:space="preserve">, la Sala de Decisión Laboral No. 1 del Tribunal Superior de Pereira se constituye en audiencia pública de juzgamiento en el proceso ordinario laboral instaurado por </w:t>
      </w:r>
      <w:r w:rsidR="009E24BF" w:rsidRPr="00B71635">
        <w:rPr>
          <w:rFonts w:ascii="Arial" w:hAnsi="Arial" w:cs="Arial"/>
          <w:b/>
          <w:szCs w:val="22"/>
          <w:lang w:val="es-ES_tradnl"/>
        </w:rPr>
        <w:t xml:space="preserve">Gloria Inés Gómez Gallo </w:t>
      </w:r>
      <w:r w:rsidRPr="00B71635">
        <w:rPr>
          <w:rFonts w:ascii="Arial" w:hAnsi="Arial" w:cs="Arial"/>
          <w:szCs w:val="22"/>
          <w:lang w:val="es-ES_tradnl"/>
        </w:rPr>
        <w:t xml:space="preserve">en contra de la </w:t>
      </w:r>
      <w:r w:rsidRPr="00B71635">
        <w:rPr>
          <w:rFonts w:ascii="Arial" w:hAnsi="Arial" w:cs="Arial"/>
          <w:b/>
          <w:szCs w:val="22"/>
          <w:lang w:val="es-ES_tradnl"/>
        </w:rPr>
        <w:t>Administradora Colombiana de Pensiones – Colpensiones</w:t>
      </w:r>
      <w:r w:rsidR="001234CC" w:rsidRPr="00B71635">
        <w:rPr>
          <w:rFonts w:ascii="Arial" w:hAnsi="Arial" w:cs="Arial"/>
          <w:b/>
          <w:szCs w:val="22"/>
          <w:lang w:val="es-ES_tradnl"/>
        </w:rPr>
        <w:t>.</w:t>
      </w:r>
    </w:p>
    <w:p w:rsidR="00D2586A" w:rsidRPr="00B71635" w:rsidRDefault="00D2586A" w:rsidP="00FA1A13">
      <w:pPr>
        <w:ind w:firstLine="708"/>
        <w:jc w:val="both"/>
        <w:rPr>
          <w:rFonts w:ascii="Arial" w:hAnsi="Arial" w:cs="Arial"/>
          <w:szCs w:val="22"/>
        </w:rPr>
      </w:pPr>
    </w:p>
    <w:p w:rsidR="00D2586A" w:rsidRPr="00B71635" w:rsidRDefault="00D2586A" w:rsidP="00FA1A13">
      <w:pPr>
        <w:spacing w:line="276" w:lineRule="auto"/>
        <w:ind w:firstLine="708"/>
        <w:jc w:val="both"/>
        <w:rPr>
          <w:rFonts w:ascii="Arial" w:hAnsi="Arial" w:cs="Arial"/>
          <w:szCs w:val="22"/>
          <w:lang w:val="es-ES_tradnl"/>
        </w:rPr>
      </w:pPr>
      <w:r w:rsidRPr="00B71635">
        <w:rPr>
          <w:rFonts w:ascii="Arial" w:hAnsi="Arial" w:cs="Arial"/>
          <w:szCs w:val="22"/>
          <w:lang w:val="es-ES_tradnl"/>
        </w:rPr>
        <w:t>Para el efecto, se verifica la asistencia de las partes a la presente diligencia: Por la parte demandante… Por la demandada…</w:t>
      </w:r>
    </w:p>
    <w:p w:rsidR="00D2586A" w:rsidRPr="00B71635" w:rsidRDefault="00D2586A" w:rsidP="00FA1A13">
      <w:pPr>
        <w:ind w:firstLine="1122"/>
        <w:jc w:val="both"/>
        <w:rPr>
          <w:rFonts w:ascii="Arial" w:hAnsi="Arial" w:cs="Arial"/>
          <w:caps/>
          <w:szCs w:val="22"/>
          <w:lang w:val="es-ES_tradnl"/>
        </w:rPr>
      </w:pPr>
    </w:p>
    <w:p w:rsidR="00D2586A" w:rsidRPr="00B71635" w:rsidRDefault="00D2586A" w:rsidP="00FA1A13">
      <w:pPr>
        <w:widowControl w:val="0"/>
        <w:autoSpaceDE w:val="0"/>
        <w:autoSpaceDN w:val="0"/>
        <w:adjustRightInd w:val="0"/>
        <w:spacing w:line="276" w:lineRule="auto"/>
        <w:jc w:val="center"/>
        <w:rPr>
          <w:rFonts w:ascii="Arial" w:hAnsi="Arial" w:cs="Arial"/>
          <w:b/>
          <w:caps/>
          <w:szCs w:val="22"/>
        </w:rPr>
      </w:pPr>
      <w:r w:rsidRPr="00B71635">
        <w:rPr>
          <w:rFonts w:ascii="Arial" w:hAnsi="Arial" w:cs="Arial"/>
          <w:b/>
          <w:szCs w:val="22"/>
        </w:rPr>
        <w:t>Alegatos de conclusión</w:t>
      </w:r>
    </w:p>
    <w:p w:rsidR="00D2586A" w:rsidRPr="00B71635" w:rsidRDefault="00D2586A" w:rsidP="00FA1A13">
      <w:pPr>
        <w:widowControl w:val="0"/>
        <w:autoSpaceDE w:val="0"/>
        <w:autoSpaceDN w:val="0"/>
        <w:adjustRightInd w:val="0"/>
        <w:jc w:val="both"/>
        <w:rPr>
          <w:rFonts w:ascii="Arial" w:hAnsi="Arial" w:cs="Arial"/>
          <w:szCs w:val="22"/>
        </w:rPr>
      </w:pPr>
    </w:p>
    <w:p w:rsidR="00D2586A" w:rsidRPr="00B71635" w:rsidRDefault="00D2586A" w:rsidP="00FA1A13">
      <w:pPr>
        <w:spacing w:line="276" w:lineRule="auto"/>
        <w:ind w:firstLine="708"/>
        <w:jc w:val="both"/>
        <w:rPr>
          <w:rFonts w:ascii="Arial" w:hAnsi="Arial" w:cs="Arial"/>
          <w:szCs w:val="22"/>
          <w:lang w:val="es-ES_tradnl"/>
        </w:rPr>
      </w:pPr>
      <w:r w:rsidRPr="00B71635">
        <w:rPr>
          <w:rFonts w:ascii="Arial" w:hAnsi="Arial" w:cs="Arial"/>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B71635" w:rsidRDefault="00D2586A" w:rsidP="00FA1A13">
      <w:pPr>
        <w:ind w:firstLine="708"/>
        <w:jc w:val="both"/>
        <w:rPr>
          <w:rFonts w:ascii="Arial" w:hAnsi="Arial" w:cs="Arial"/>
          <w:szCs w:val="22"/>
          <w:lang w:val="es-ES_tradnl"/>
        </w:rPr>
      </w:pPr>
    </w:p>
    <w:p w:rsidR="00D2586A" w:rsidRPr="00B71635" w:rsidRDefault="00D2586A" w:rsidP="00FA1A13">
      <w:pPr>
        <w:widowControl w:val="0"/>
        <w:autoSpaceDE w:val="0"/>
        <w:autoSpaceDN w:val="0"/>
        <w:adjustRightInd w:val="0"/>
        <w:spacing w:line="276" w:lineRule="auto"/>
        <w:jc w:val="center"/>
        <w:rPr>
          <w:rFonts w:ascii="Arial" w:hAnsi="Arial" w:cs="Arial"/>
          <w:b/>
          <w:szCs w:val="22"/>
        </w:rPr>
      </w:pPr>
      <w:r w:rsidRPr="00B71635">
        <w:rPr>
          <w:rFonts w:ascii="Arial" w:hAnsi="Arial" w:cs="Arial"/>
          <w:b/>
          <w:szCs w:val="22"/>
        </w:rPr>
        <w:t>SENTENCIA</w:t>
      </w:r>
    </w:p>
    <w:p w:rsidR="00D2586A" w:rsidRPr="00B71635" w:rsidRDefault="00D2586A" w:rsidP="00FA1A13">
      <w:pPr>
        <w:widowControl w:val="0"/>
        <w:autoSpaceDE w:val="0"/>
        <w:autoSpaceDN w:val="0"/>
        <w:adjustRightInd w:val="0"/>
        <w:jc w:val="center"/>
        <w:rPr>
          <w:rFonts w:ascii="Arial" w:hAnsi="Arial" w:cs="Arial"/>
          <w:b/>
          <w:szCs w:val="22"/>
        </w:rPr>
      </w:pPr>
    </w:p>
    <w:p w:rsidR="00D2586A" w:rsidRPr="00B71635" w:rsidRDefault="001234CC" w:rsidP="00FA1A13">
      <w:pPr>
        <w:widowControl w:val="0"/>
        <w:autoSpaceDE w:val="0"/>
        <w:autoSpaceDN w:val="0"/>
        <w:adjustRightInd w:val="0"/>
        <w:spacing w:line="276" w:lineRule="auto"/>
        <w:ind w:firstLine="708"/>
        <w:jc w:val="both"/>
        <w:rPr>
          <w:rFonts w:ascii="Arial" w:hAnsi="Arial" w:cs="Arial"/>
          <w:szCs w:val="22"/>
        </w:rPr>
      </w:pPr>
      <w:r w:rsidRPr="00B71635">
        <w:rPr>
          <w:rFonts w:ascii="Arial" w:hAnsi="Arial" w:cs="Arial"/>
          <w:szCs w:val="22"/>
        </w:rPr>
        <w:t xml:space="preserve">Como quiera que los alegatos coinciden a cabalidad con los puntos fácticos y jurídicos objeto de discusión en esta instancia, </w:t>
      </w:r>
      <w:r w:rsidR="00D2586A" w:rsidRPr="00B71635">
        <w:rPr>
          <w:rFonts w:ascii="Arial" w:hAnsi="Arial" w:cs="Arial"/>
          <w:szCs w:val="22"/>
        </w:rPr>
        <w:t>procede la Sala a re</w:t>
      </w:r>
      <w:r w:rsidR="00137711" w:rsidRPr="00B71635">
        <w:rPr>
          <w:rFonts w:ascii="Arial" w:hAnsi="Arial" w:cs="Arial"/>
          <w:szCs w:val="22"/>
        </w:rPr>
        <w:t xml:space="preserve">solver el recurso de apelación interpuesto por la parte demandante en contra de la </w:t>
      </w:r>
      <w:r w:rsidR="00D2586A" w:rsidRPr="00B71635">
        <w:rPr>
          <w:rFonts w:ascii="Arial" w:hAnsi="Arial" w:cs="Arial"/>
          <w:szCs w:val="22"/>
        </w:rPr>
        <w:t xml:space="preserve">sentencia emitida por el Juzgado </w:t>
      </w:r>
      <w:r w:rsidR="00137711" w:rsidRPr="00B71635">
        <w:rPr>
          <w:rFonts w:ascii="Arial" w:hAnsi="Arial" w:cs="Arial"/>
          <w:szCs w:val="22"/>
        </w:rPr>
        <w:t>Quinto</w:t>
      </w:r>
      <w:r w:rsidR="003221C0" w:rsidRPr="00B71635">
        <w:rPr>
          <w:rFonts w:ascii="Arial" w:hAnsi="Arial" w:cs="Arial"/>
          <w:szCs w:val="22"/>
        </w:rPr>
        <w:t xml:space="preserve"> </w:t>
      </w:r>
      <w:r w:rsidR="00D2586A" w:rsidRPr="00B71635">
        <w:rPr>
          <w:rFonts w:ascii="Arial" w:hAnsi="Arial" w:cs="Arial"/>
          <w:szCs w:val="22"/>
        </w:rPr>
        <w:t xml:space="preserve">Laboral del Circuito de Pereira el </w:t>
      </w:r>
      <w:r w:rsidR="003221C0" w:rsidRPr="00B71635">
        <w:rPr>
          <w:rFonts w:ascii="Arial" w:hAnsi="Arial" w:cs="Arial"/>
          <w:szCs w:val="22"/>
        </w:rPr>
        <w:t>1</w:t>
      </w:r>
      <w:r w:rsidR="00137711" w:rsidRPr="00B71635">
        <w:rPr>
          <w:rFonts w:ascii="Arial" w:hAnsi="Arial" w:cs="Arial"/>
          <w:szCs w:val="22"/>
        </w:rPr>
        <w:t>1</w:t>
      </w:r>
      <w:r w:rsidR="003221C0" w:rsidRPr="00B71635">
        <w:rPr>
          <w:rFonts w:ascii="Arial" w:hAnsi="Arial" w:cs="Arial"/>
          <w:szCs w:val="22"/>
        </w:rPr>
        <w:t xml:space="preserve"> de </w:t>
      </w:r>
      <w:r w:rsidR="00137711" w:rsidRPr="00B71635">
        <w:rPr>
          <w:rFonts w:ascii="Arial" w:hAnsi="Arial" w:cs="Arial"/>
          <w:szCs w:val="22"/>
        </w:rPr>
        <w:t xml:space="preserve">septiembre </w:t>
      </w:r>
      <w:r w:rsidRPr="00B71635">
        <w:rPr>
          <w:rFonts w:ascii="Arial" w:hAnsi="Arial" w:cs="Arial"/>
          <w:szCs w:val="22"/>
        </w:rPr>
        <w:t xml:space="preserve">de </w:t>
      </w:r>
      <w:r w:rsidR="00C84D49" w:rsidRPr="00B71635">
        <w:rPr>
          <w:rFonts w:ascii="Arial" w:hAnsi="Arial" w:cs="Arial"/>
          <w:szCs w:val="22"/>
        </w:rPr>
        <w:t>2018</w:t>
      </w:r>
      <w:r w:rsidR="00D2586A" w:rsidRPr="00B71635">
        <w:rPr>
          <w:rFonts w:ascii="Arial" w:hAnsi="Arial" w:cs="Arial"/>
          <w:szCs w:val="22"/>
        </w:rPr>
        <w:t>, dentro del proceso ordinario laboral reseñado con anterioridad.</w:t>
      </w:r>
    </w:p>
    <w:p w:rsidR="00583D81" w:rsidRPr="00B71635" w:rsidRDefault="00583D81" w:rsidP="002033A0">
      <w:pPr>
        <w:widowControl w:val="0"/>
        <w:autoSpaceDE w:val="0"/>
        <w:autoSpaceDN w:val="0"/>
        <w:adjustRightInd w:val="0"/>
        <w:ind w:firstLine="708"/>
        <w:jc w:val="both"/>
        <w:rPr>
          <w:rFonts w:ascii="Arial" w:hAnsi="Arial" w:cs="Arial"/>
          <w:caps/>
          <w:szCs w:val="22"/>
        </w:rPr>
      </w:pPr>
    </w:p>
    <w:p w:rsidR="00D2586A" w:rsidRPr="00B71635" w:rsidRDefault="00D2586A" w:rsidP="00FA1A13">
      <w:pPr>
        <w:widowControl w:val="0"/>
        <w:autoSpaceDE w:val="0"/>
        <w:autoSpaceDN w:val="0"/>
        <w:adjustRightInd w:val="0"/>
        <w:spacing w:line="276" w:lineRule="auto"/>
        <w:jc w:val="center"/>
        <w:rPr>
          <w:rFonts w:ascii="Arial" w:hAnsi="Arial" w:cs="Arial"/>
          <w:b/>
          <w:bCs/>
          <w:szCs w:val="22"/>
        </w:rPr>
      </w:pPr>
      <w:r w:rsidRPr="00B71635">
        <w:rPr>
          <w:rFonts w:ascii="Arial" w:hAnsi="Arial" w:cs="Arial"/>
          <w:b/>
          <w:bCs/>
          <w:szCs w:val="22"/>
        </w:rPr>
        <w:t>Problema jurídico por resolver</w:t>
      </w:r>
    </w:p>
    <w:p w:rsidR="00B712C0" w:rsidRPr="00B71635" w:rsidRDefault="00B712C0" w:rsidP="00FA1A13">
      <w:pPr>
        <w:widowControl w:val="0"/>
        <w:autoSpaceDE w:val="0"/>
        <w:autoSpaceDN w:val="0"/>
        <w:adjustRightInd w:val="0"/>
        <w:spacing w:line="276" w:lineRule="auto"/>
        <w:jc w:val="center"/>
        <w:rPr>
          <w:rFonts w:ascii="Arial" w:hAnsi="Arial" w:cs="Arial"/>
          <w:b/>
          <w:bCs/>
          <w:caps/>
          <w:szCs w:val="22"/>
        </w:rPr>
      </w:pPr>
    </w:p>
    <w:p w:rsidR="00AB4BA1" w:rsidRPr="00B71635" w:rsidRDefault="00D2586A" w:rsidP="00D54BD9">
      <w:pPr>
        <w:tabs>
          <w:tab w:val="left" w:pos="567"/>
        </w:tabs>
        <w:spacing w:line="276" w:lineRule="auto"/>
        <w:jc w:val="both"/>
        <w:rPr>
          <w:rFonts w:ascii="Arial" w:hAnsi="Arial" w:cs="Arial"/>
          <w:szCs w:val="22"/>
        </w:rPr>
      </w:pPr>
      <w:r w:rsidRPr="00B71635">
        <w:rPr>
          <w:rFonts w:ascii="Arial" w:hAnsi="Arial" w:cs="Arial"/>
          <w:szCs w:val="22"/>
        </w:rPr>
        <w:tab/>
      </w:r>
      <w:r w:rsidRPr="00B71635">
        <w:rPr>
          <w:rFonts w:ascii="Arial" w:hAnsi="Arial" w:cs="Arial"/>
          <w:szCs w:val="22"/>
        </w:rPr>
        <w:tab/>
      </w:r>
      <w:r w:rsidR="00D54BD9" w:rsidRPr="00B71635">
        <w:rPr>
          <w:rFonts w:ascii="Arial" w:hAnsi="Arial" w:cs="Arial"/>
          <w:szCs w:val="22"/>
        </w:rPr>
        <w:t>De conformidad con los fundamentos de la</w:t>
      </w:r>
      <w:r w:rsidR="003360DA" w:rsidRPr="00B71635">
        <w:rPr>
          <w:rFonts w:ascii="Arial" w:hAnsi="Arial" w:cs="Arial"/>
          <w:szCs w:val="22"/>
        </w:rPr>
        <w:t xml:space="preserve"> sentencia de primera instancia</w:t>
      </w:r>
      <w:r w:rsidR="00D54BD9" w:rsidRPr="00B71635">
        <w:rPr>
          <w:rFonts w:ascii="Arial" w:hAnsi="Arial" w:cs="Arial"/>
          <w:szCs w:val="22"/>
        </w:rPr>
        <w:t>, le corresponde a la Sala determinar si</w:t>
      </w:r>
      <w:r w:rsidR="00AB4BA1" w:rsidRPr="00B71635">
        <w:rPr>
          <w:rFonts w:ascii="Arial" w:hAnsi="Arial" w:cs="Arial"/>
          <w:szCs w:val="22"/>
        </w:rPr>
        <w:t xml:space="preserve"> a pesar de que a la demandante se le reconoció la pensión de vejez </w:t>
      </w:r>
      <w:r w:rsidR="00D54BD9" w:rsidRPr="00B71635">
        <w:rPr>
          <w:rFonts w:ascii="Arial" w:hAnsi="Arial" w:cs="Arial"/>
          <w:szCs w:val="22"/>
        </w:rPr>
        <w:t xml:space="preserve">con base en </w:t>
      </w:r>
      <w:r w:rsidR="00AB4BA1" w:rsidRPr="00B71635">
        <w:rPr>
          <w:rFonts w:ascii="Arial" w:hAnsi="Arial" w:cs="Arial"/>
          <w:szCs w:val="22"/>
        </w:rPr>
        <w:t>el artículo 9º de l</w:t>
      </w:r>
      <w:r w:rsidR="00D54BD9" w:rsidRPr="00B71635">
        <w:rPr>
          <w:rFonts w:ascii="Arial" w:hAnsi="Arial" w:cs="Arial"/>
          <w:szCs w:val="22"/>
        </w:rPr>
        <w:t xml:space="preserve">a Ley </w:t>
      </w:r>
      <w:r w:rsidR="00AB4BA1" w:rsidRPr="00B71635">
        <w:rPr>
          <w:rFonts w:ascii="Arial" w:hAnsi="Arial" w:cs="Arial"/>
          <w:szCs w:val="22"/>
        </w:rPr>
        <w:t xml:space="preserve">797 </w:t>
      </w:r>
      <w:r w:rsidR="00D54BD9" w:rsidRPr="00B71635">
        <w:rPr>
          <w:rFonts w:ascii="Arial" w:hAnsi="Arial" w:cs="Arial"/>
          <w:szCs w:val="22"/>
        </w:rPr>
        <w:t xml:space="preserve">de </w:t>
      </w:r>
      <w:r w:rsidR="00AB4BA1" w:rsidRPr="00B71635">
        <w:rPr>
          <w:rFonts w:ascii="Arial" w:hAnsi="Arial" w:cs="Arial"/>
          <w:szCs w:val="22"/>
        </w:rPr>
        <w:t xml:space="preserve">2003, es posible </w:t>
      </w:r>
      <w:proofErr w:type="spellStart"/>
      <w:r w:rsidR="00AB4BA1" w:rsidRPr="00B71635">
        <w:rPr>
          <w:rFonts w:ascii="Arial" w:hAnsi="Arial" w:cs="Arial"/>
          <w:szCs w:val="22"/>
        </w:rPr>
        <w:t>reliquidar</w:t>
      </w:r>
      <w:proofErr w:type="spellEnd"/>
      <w:r w:rsidR="00AB4BA1" w:rsidRPr="00B71635">
        <w:rPr>
          <w:rFonts w:ascii="Arial" w:hAnsi="Arial" w:cs="Arial"/>
          <w:szCs w:val="22"/>
        </w:rPr>
        <w:t xml:space="preserve"> esa prestación con fundamento en el Acuerdo 049 de 1990, acumulando para tal efecto las cotizaciones realizadas en los sectores público y privado</w:t>
      </w:r>
      <w:r w:rsidR="00116BC7" w:rsidRPr="00B71635">
        <w:rPr>
          <w:rFonts w:ascii="Arial" w:hAnsi="Arial" w:cs="Arial"/>
          <w:szCs w:val="22"/>
        </w:rPr>
        <w:t>.</w:t>
      </w:r>
      <w:r w:rsidR="00B61870" w:rsidRPr="00B71635">
        <w:rPr>
          <w:rFonts w:ascii="Arial" w:hAnsi="Arial" w:cs="Arial"/>
          <w:szCs w:val="22"/>
        </w:rPr>
        <w:t xml:space="preserve"> Asimismo, se establecerá si </w:t>
      </w:r>
      <w:r w:rsidR="00137711" w:rsidRPr="00B71635">
        <w:rPr>
          <w:rFonts w:ascii="Arial" w:hAnsi="Arial" w:cs="Arial"/>
          <w:szCs w:val="22"/>
        </w:rPr>
        <w:t>es más favorable para la</w:t>
      </w:r>
      <w:r w:rsidR="00B61870" w:rsidRPr="00B71635">
        <w:rPr>
          <w:rFonts w:ascii="Arial" w:hAnsi="Arial" w:cs="Arial"/>
          <w:szCs w:val="22"/>
        </w:rPr>
        <w:t xml:space="preserve"> </w:t>
      </w:r>
      <w:r w:rsidR="007F73C5" w:rsidRPr="00B71635">
        <w:rPr>
          <w:rFonts w:ascii="Arial" w:hAnsi="Arial" w:cs="Arial"/>
          <w:szCs w:val="22"/>
        </w:rPr>
        <w:t>actora</w:t>
      </w:r>
      <w:r w:rsidR="00B61870" w:rsidRPr="00B71635">
        <w:rPr>
          <w:rFonts w:ascii="Arial" w:hAnsi="Arial" w:cs="Arial"/>
          <w:szCs w:val="22"/>
        </w:rPr>
        <w:t xml:space="preserve"> </w:t>
      </w:r>
      <w:r w:rsidR="00137711" w:rsidRPr="00B71635">
        <w:rPr>
          <w:rFonts w:ascii="Arial" w:hAnsi="Arial" w:cs="Arial"/>
          <w:szCs w:val="22"/>
        </w:rPr>
        <w:t xml:space="preserve">que su prestación </w:t>
      </w:r>
      <w:r w:rsidR="00B61870" w:rsidRPr="00B71635">
        <w:rPr>
          <w:rFonts w:ascii="Arial" w:hAnsi="Arial" w:cs="Arial"/>
          <w:szCs w:val="22"/>
        </w:rPr>
        <w:t>sea reconocida con fundamento en la Ley 71 de 1988.</w:t>
      </w:r>
    </w:p>
    <w:p w:rsidR="00137711" w:rsidRPr="00B71635" w:rsidRDefault="00137711" w:rsidP="00D54BD9">
      <w:pPr>
        <w:tabs>
          <w:tab w:val="left" w:pos="567"/>
        </w:tabs>
        <w:spacing w:line="276" w:lineRule="auto"/>
        <w:jc w:val="both"/>
        <w:rPr>
          <w:rFonts w:ascii="Arial" w:hAnsi="Arial" w:cs="Arial"/>
          <w:szCs w:val="22"/>
        </w:rPr>
      </w:pPr>
    </w:p>
    <w:p w:rsidR="00D2586A" w:rsidRPr="00B71635" w:rsidRDefault="00D2586A" w:rsidP="00FA1A13">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Arial" w:hAnsi="Arial" w:cs="Arial"/>
          <w:b/>
          <w:caps/>
          <w:szCs w:val="22"/>
        </w:rPr>
      </w:pPr>
      <w:r w:rsidRPr="00B71635">
        <w:rPr>
          <w:rFonts w:ascii="Arial" w:hAnsi="Arial" w:cs="Arial"/>
          <w:b/>
          <w:szCs w:val="22"/>
        </w:rPr>
        <w:t>La demanda y su contestación</w:t>
      </w:r>
    </w:p>
    <w:p w:rsidR="0052357B" w:rsidRPr="00B71635" w:rsidRDefault="0052357B" w:rsidP="002033A0">
      <w:pPr>
        <w:widowControl w:val="0"/>
        <w:tabs>
          <w:tab w:val="left" w:pos="561"/>
          <w:tab w:val="left" w:pos="935"/>
        </w:tabs>
        <w:autoSpaceDE w:val="0"/>
        <w:autoSpaceDN w:val="0"/>
        <w:adjustRightInd w:val="0"/>
        <w:rPr>
          <w:rFonts w:ascii="Arial" w:hAnsi="Arial" w:cs="Arial"/>
          <w:b/>
          <w:caps/>
          <w:szCs w:val="22"/>
        </w:rPr>
      </w:pPr>
    </w:p>
    <w:p w:rsidR="00FA5206" w:rsidRPr="00B71635" w:rsidRDefault="001D7AE7" w:rsidP="00FA1A13">
      <w:pPr>
        <w:widowControl w:val="0"/>
        <w:tabs>
          <w:tab w:val="left" w:pos="561"/>
          <w:tab w:val="left" w:pos="709"/>
          <w:tab w:val="left" w:pos="1065"/>
        </w:tabs>
        <w:autoSpaceDE w:val="0"/>
        <w:autoSpaceDN w:val="0"/>
        <w:adjustRightInd w:val="0"/>
        <w:spacing w:line="276" w:lineRule="auto"/>
        <w:jc w:val="both"/>
        <w:rPr>
          <w:rFonts w:ascii="Arial" w:hAnsi="Arial" w:cs="Arial"/>
          <w:szCs w:val="22"/>
        </w:rPr>
      </w:pPr>
      <w:r w:rsidRPr="00B71635">
        <w:rPr>
          <w:rFonts w:ascii="Arial" w:hAnsi="Arial" w:cs="Arial"/>
          <w:b/>
          <w:caps/>
          <w:szCs w:val="22"/>
        </w:rPr>
        <w:tab/>
      </w:r>
      <w:r w:rsidRPr="00B71635">
        <w:rPr>
          <w:rFonts w:ascii="Arial" w:hAnsi="Arial" w:cs="Arial"/>
          <w:b/>
          <w:caps/>
          <w:szCs w:val="22"/>
        </w:rPr>
        <w:tab/>
      </w:r>
      <w:r w:rsidR="00FA5206" w:rsidRPr="00B71635">
        <w:rPr>
          <w:rFonts w:ascii="Arial" w:hAnsi="Arial" w:cs="Arial"/>
          <w:szCs w:val="22"/>
        </w:rPr>
        <w:t>La</w:t>
      </w:r>
      <w:r w:rsidR="00FA5206" w:rsidRPr="00B71635">
        <w:rPr>
          <w:rFonts w:ascii="Arial" w:hAnsi="Arial" w:cs="Arial"/>
          <w:b/>
          <w:szCs w:val="22"/>
        </w:rPr>
        <w:t xml:space="preserve"> </w:t>
      </w:r>
      <w:r w:rsidR="00FA5206" w:rsidRPr="00B71635">
        <w:rPr>
          <w:rFonts w:ascii="Arial" w:hAnsi="Arial" w:cs="Arial"/>
          <w:szCs w:val="22"/>
        </w:rPr>
        <w:t xml:space="preserve">citada demandante solicita que se condene a Colpensiones, previa declaración del derecho, a que le </w:t>
      </w:r>
      <w:proofErr w:type="spellStart"/>
      <w:r w:rsidR="00FA5206" w:rsidRPr="00B71635">
        <w:rPr>
          <w:rFonts w:ascii="Arial" w:hAnsi="Arial" w:cs="Arial"/>
          <w:szCs w:val="22"/>
        </w:rPr>
        <w:t>reliquide</w:t>
      </w:r>
      <w:proofErr w:type="spellEnd"/>
      <w:r w:rsidR="00FA5206" w:rsidRPr="00B71635">
        <w:rPr>
          <w:rFonts w:ascii="Arial" w:hAnsi="Arial" w:cs="Arial"/>
          <w:szCs w:val="22"/>
        </w:rPr>
        <w:t xml:space="preserve"> </w:t>
      </w:r>
      <w:r w:rsidR="006F17E9" w:rsidRPr="00B71635">
        <w:rPr>
          <w:rFonts w:ascii="Arial" w:hAnsi="Arial" w:cs="Arial"/>
          <w:szCs w:val="22"/>
        </w:rPr>
        <w:t>su pensión de vejez con</w:t>
      </w:r>
      <w:r w:rsidR="00A4139E" w:rsidRPr="00B71635">
        <w:rPr>
          <w:rFonts w:ascii="Arial" w:hAnsi="Arial" w:cs="Arial"/>
          <w:szCs w:val="22"/>
        </w:rPr>
        <w:t xml:space="preserve"> </w:t>
      </w:r>
      <w:r w:rsidR="007F73C5" w:rsidRPr="00B71635">
        <w:rPr>
          <w:rFonts w:ascii="Arial" w:hAnsi="Arial" w:cs="Arial"/>
          <w:szCs w:val="22"/>
        </w:rPr>
        <w:t>una tasa de reemplazo del 90%, en aplicación de</w:t>
      </w:r>
      <w:r w:rsidR="00A4139E" w:rsidRPr="00B71635">
        <w:rPr>
          <w:rFonts w:ascii="Arial" w:hAnsi="Arial" w:cs="Arial"/>
          <w:szCs w:val="22"/>
        </w:rPr>
        <w:t>l Acuerdo 049 de 1990</w:t>
      </w:r>
      <w:r w:rsidR="007F73C5" w:rsidRPr="00B71635">
        <w:rPr>
          <w:rFonts w:ascii="Arial" w:hAnsi="Arial" w:cs="Arial"/>
          <w:szCs w:val="22"/>
        </w:rPr>
        <w:t>,</w:t>
      </w:r>
      <w:r w:rsidR="00F024AD" w:rsidRPr="00B71635">
        <w:rPr>
          <w:rFonts w:ascii="Arial" w:hAnsi="Arial" w:cs="Arial"/>
          <w:szCs w:val="22"/>
        </w:rPr>
        <w:t xml:space="preserve"> </w:t>
      </w:r>
      <w:r w:rsidR="000105E4" w:rsidRPr="00B71635">
        <w:rPr>
          <w:rFonts w:ascii="Arial" w:hAnsi="Arial" w:cs="Arial"/>
          <w:szCs w:val="22"/>
        </w:rPr>
        <w:t>c</w:t>
      </w:r>
      <w:r w:rsidR="00F024AD" w:rsidRPr="00B71635">
        <w:rPr>
          <w:rFonts w:ascii="Arial" w:hAnsi="Arial" w:cs="Arial"/>
          <w:szCs w:val="22"/>
        </w:rPr>
        <w:t xml:space="preserve">ancelándole las diferencias pensionales causadas desde el </w:t>
      </w:r>
      <w:r w:rsidR="000105E4" w:rsidRPr="00B71635">
        <w:rPr>
          <w:rFonts w:ascii="Arial" w:hAnsi="Arial" w:cs="Arial"/>
          <w:szCs w:val="22"/>
        </w:rPr>
        <w:t>1º de julio de 2013</w:t>
      </w:r>
      <w:r w:rsidR="00F024AD" w:rsidRPr="00B71635">
        <w:rPr>
          <w:rFonts w:ascii="Arial" w:hAnsi="Arial" w:cs="Arial"/>
          <w:szCs w:val="22"/>
        </w:rPr>
        <w:t xml:space="preserve">, debidamente </w:t>
      </w:r>
      <w:r w:rsidR="000105E4" w:rsidRPr="00B71635">
        <w:rPr>
          <w:rFonts w:ascii="Arial" w:hAnsi="Arial" w:cs="Arial"/>
          <w:szCs w:val="22"/>
        </w:rPr>
        <w:t xml:space="preserve">indexadas, más las </w:t>
      </w:r>
      <w:r w:rsidR="00F024AD" w:rsidRPr="00B71635">
        <w:rPr>
          <w:rFonts w:ascii="Arial" w:hAnsi="Arial" w:cs="Arial"/>
          <w:szCs w:val="22"/>
        </w:rPr>
        <w:t>costas procesales</w:t>
      </w:r>
      <w:r w:rsidR="00FA5206" w:rsidRPr="00B71635">
        <w:rPr>
          <w:rFonts w:ascii="Arial" w:hAnsi="Arial" w:cs="Arial"/>
          <w:szCs w:val="22"/>
        </w:rPr>
        <w:t xml:space="preserve">. </w:t>
      </w:r>
    </w:p>
    <w:p w:rsidR="00C47FCC" w:rsidRPr="00B71635" w:rsidRDefault="00C47FCC" w:rsidP="00FA1A13">
      <w:pPr>
        <w:widowControl w:val="0"/>
        <w:tabs>
          <w:tab w:val="left" w:pos="561"/>
          <w:tab w:val="left" w:pos="709"/>
          <w:tab w:val="left" w:pos="1065"/>
        </w:tabs>
        <w:autoSpaceDE w:val="0"/>
        <w:autoSpaceDN w:val="0"/>
        <w:adjustRightInd w:val="0"/>
        <w:spacing w:line="276" w:lineRule="auto"/>
        <w:jc w:val="both"/>
        <w:rPr>
          <w:rFonts w:ascii="Arial" w:hAnsi="Arial" w:cs="Arial"/>
          <w:szCs w:val="22"/>
        </w:rPr>
      </w:pPr>
    </w:p>
    <w:p w:rsidR="000105E4" w:rsidRPr="00B71635" w:rsidRDefault="00C47FCC" w:rsidP="00EB15C2">
      <w:pPr>
        <w:widowControl w:val="0"/>
        <w:tabs>
          <w:tab w:val="left" w:pos="561"/>
          <w:tab w:val="left" w:pos="709"/>
          <w:tab w:val="left" w:pos="1065"/>
        </w:tabs>
        <w:autoSpaceDE w:val="0"/>
        <w:autoSpaceDN w:val="0"/>
        <w:adjustRightInd w:val="0"/>
        <w:spacing w:line="276" w:lineRule="auto"/>
        <w:jc w:val="both"/>
        <w:rPr>
          <w:rFonts w:ascii="Arial" w:hAnsi="Arial" w:cs="Arial"/>
          <w:szCs w:val="22"/>
        </w:rPr>
      </w:pPr>
      <w:r w:rsidRPr="00B71635">
        <w:rPr>
          <w:rFonts w:ascii="Arial" w:hAnsi="Arial" w:cs="Arial"/>
          <w:szCs w:val="22"/>
        </w:rPr>
        <w:tab/>
      </w:r>
      <w:r w:rsidR="00EB15C2" w:rsidRPr="00B71635">
        <w:rPr>
          <w:rFonts w:ascii="Arial" w:hAnsi="Arial" w:cs="Arial"/>
          <w:szCs w:val="22"/>
        </w:rPr>
        <w:tab/>
      </w:r>
      <w:r w:rsidR="000105E4" w:rsidRPr="00B71635">
        <w:rPr>
          <w:rFonts w:ascii="Arial" w:hAnsi="Arial" w:cs="Arial"/>
          <w:szCs w:val="22"/>
        </w:rPr>
        <w:t>Funda dicha</w:t>
      </w:r>
      <w:r w:rsidR="007607C1" w:rsidRPr="00B71635">
        <w:rPr>
          <w:rFonts w:ascii="Arial" w:hAnsi="Arial" w:cs="Arial"/>
          <w:szCs w:val="22"/>
        </w:rPr>
        <w:t>s</w:t>
      </w:r>
      <w:r w:rsidR="000105E4" w:rsidRPr="00B71635">
        <w:rPr>
          <w:rFonts w:ascii="Arial" w:hAnsi="Arial" w:cs="Arial"/>
          <w:szCs w:val="22"/>
        </w:rPr>
        <w:t xml:space="preserve"> pretensiones aduciendo que nació el 2 de junio de 1953 y que mediante</w:t>
      </w:r>
      <w:r w:rsidR="00BA10F6" w:rsidRPr="00B71635">
        <w:rPr>
          <w:rFonts w:ascii="Arial" w:hAnsi="Arial" w:cs="Arial"/>
          <w:szCs w:val="22"/>
        </w:rPr>
        <w:t xml:space="preserve"> la</w:t>
      </w:r>
      <w:r w:rsidR="000105E4" w:rsidRPr="00B71635">
        <w:rPr>
          <w:rFonts w:ascii="Arial" w:hAnsi="Arial" w:cs="Arial"/>
          <w:szCs w:val="22"/>
        </w:rPr>
        <w:t xml:space="preserve"> Resolución </w:t>
      </w:r>
      <w:proofErr w:type="spellStart"/>
      <w:r w:rsidR="000105E4" w:rsidRPr="00B71635">
        <w:rPr>
          <w:rFonts w:ascii="Arial" w:hAnsi="Arial" w:cs="Arial"/>
          <w:szCs w:val="22"/>
        </w:rPr>
        <w:t>GNR</w:t>
      </w:r>
      <w:proofErr w:type="spellEnd"/>
      <w:r w:rsidR="000105E4" w:rsidRPr="00B71635">
        <w:rPr>
          <w:rFonts w:ascii="Arial" w:hAnsi="Arial" w:cs="Arial"/>
          <w:szCs w:val="22"/>
        </w:rPr>
        <w:t xml:space="preserve"> 199376 del 5 de agosto de 2013</w:t>
      </w:r>
      <w:r w:rsidR="009B64F5" w:rsidRPr="00B71635">
        <w:rPr>
          <w:rFonts w:ascii="Arial" w:hAnsi="Arial" w:cs="Arial"/>
          <w:szCs w:val="22"/>
        </w:rPr>
        <w:t xml:space="preserve"> se negó el reconocimiento de su pensión de vejez </w:t>
      </w:r>
      <w:r w:rsidR="007607C1" w:rsidRPr="00B71635">
        <w:rPr>
          <w:rFonts w:ascii="Arial" w:hAnsi="Arial" w:cs="Arial"/>
          <w:szCs w:val="22"/>
        </w:rPr>
        <w:t xml:space="preserve">bajo el argumento de que sólo contaba con </w:t>
      </w:r>
      <w:r w:rsidR="00BA10F6" w:rsidRPr="00B71635">
        <w:rPr>
          <w:rFonts w:ascii="Arial" w:hAnsi="Arial" w:cs="Arial"/>
          <w:szCs w:val="22"/>
        </w:rPr>
        <w:t xml:space="preserve">818 semanas cotizadas. Agrega que a través de la </w:t>
      </w:r>
      <w:r w:rsidR="00EF3DB7" w:rsidRPr="00B71635">
        <w:rPr>
          <w:rFonts w:ascii="Arial" w:hAnsi="Arial" w:cs="Arial"/>
          <w:szCs w:val="22"/>
        </w:rPr>
        <w:t xml:space="preserve">Resolución </w:t>
      </w:r>
      <w:proofErr w:type="spellStart"/>
      <w:r w:rsidR="00BA10F6" w:rsidRPr="00B71635">
        <w:rPr>
          <w:rFonts w:ascii="Arial" w:hAnsi="Arial" w:cs="Arial"/>
          <w:szCs w:val="22"/>
        </w:rPr>
        <w:t>GNR</w:t>
      </w:r>
      <w:proofErr w:type="spellEnd"/>
      <w:r w:rsidR="00BA10F6" w:rsidRPr="00B71635">
        <w:rPr>
          <w:rFonts w:ascii="Arial" w:hAnsi="Arial" w:cs="Arial"/>
          <w:szCs w:val="22"/>
        </w:rPr>
        <w:t xml:space="preserve"> 6843 del 13 de enero de 2014 se revocó el aludido acto para, en su lugar, reconocerle la pensión de vejez con </w:t>
      </w:r>
      <w:r w:rsidR="00DA6615" w:rsidRPr="00B71635">
        <w:rPr>
          <w:rFonts w:ascii="Arial" w:hAnsi="Arial" w:cs="Arial"/>
          <w:szCs w:val="22"/>
        </w:rPr>
        <w:t xml:space="preserve">fundamento </w:t>
      </w:r>
      <w:r w:rsidR="00BA10F6" w:rsidRPr="00B71635">
        <w:rPr>
          <w:rFonts w:ascii="Arial" w:hAnsi="Arial" w:cs="Arial"/>
          <w:szCs w:val="22"/>
        </w:rPr>
        <w:t>en</w:t>
      </w:r>
      <w:r w:rsidR="00DA6615" w:rsidRPr="00B71635">
        <w:rPr>
          <w:rFonts w:ascii="Arial" w:hAnsi="Arial" w:cs="Arial"/>
          <w:szCs w:val="22"/>
        </w:rPr>
        <w:t xml:space="preserve"> la Ley 797 de 2003, por contar con</w:t>
      </w:r>
      <w:r w:rsidR="00BA10F6" w:rsidRPr="00B71635">
        <w:rPr>
          <w:rFonts w:ascii="Arial" w:hAnsi="Arial" w:cs="Arial"/>
          <w:szCs w:val="22"/>
        </w:rPr>
        <w:t xml:space="preserve"> 1639 semanas</w:t>
      </w:r>
      <w:r w:rsidR="00EB15C2" w:rsidRPr="00B71635">
        <w:rPr>
          <w:rFonts w:ascii="Arial" w:hAnsi="Arial" w:cs="Arial"/>
          <w:szCs w:val="22"/>
        </w:rPr>
        <w:t xml:space="preserve">; señalándose que su </w:t>
      </w:r>
      <w:proofErr w:type="spellStart"/>
      <w:r w:rsidR="00BA10F6" w:rsidRPr="00B71635">
        <w:rPr>
          <w:rFonts w:ascii="Arial" w:hAnsi="Arial" w:cs="Arial"/>
          <w:szCs w:val="22"/>
        </w:rPr>
        <w:t>IBL</w:t>
      </w:r>
      <w:proofErr w:type="spellEnd"/>
      <w:r w:rsidR="00BA10F6" w:rsidRPr="00B71635">
        <w:rPr>
          <w:rFonts w:ascii="Arial" w:hAnsi="Arial" w:cs="Arial"/>
          <w:szCs w:val="22"/>
        </w:rPr>
        <w:t xml:space="preserve"> </w:t>
      </w:r>
      <w:r w:rsidR="00EB15C2" w:rsidRPr="00B71635">
        <w:rPr>
          <w:rFonts w:ascii="Arial" w:hAnsi="Arial" w:cs="Arial"/>
          <w:szCs w:val="22"/>
        </w:rPr>
        <w:t xml:space="preserve">era </w:t>
      </w:r>
      <w:r w:rsidR="00BA10F6" w:rsidRPr="00B71635">
        <w:rPr>
          <w:rFonts w:ascii="Arial" w:hAnsi="Arial" w:cs="Arial"/>
          <w:szCs w:val="22"/>
        </w:rPr>
        <w:t>de $2.114.624, al cual se le aplicó una tasa de reemplazo del 74,21%</w:t>
      </w:r>
      <w:r w:rsidR="00DA6615" w:rsidRPr="00B71635">
        <w:rPr>
          <w:rFonts w:ascii="Arial" w:hAnsi="Arial" w:cs="Arial"/>
          <w:szCs w:val="22"/>
        </w:rPr>
        <w:t xml:space="preserve"> para concederle una primera mesada de $1.569.262</w:t>
      </w:r>
      <w:r w:rsidR="00EB15C2" w:rsidRPr="00B71635">
        <w:rPr>
          <w:rFonts w:ascii="Arial" w:hAnsi="Arial" w:cs="Arial"/>
          <w:szCs w:val="22"/>
        </w:rPr>
        <w:t xml:space="preserve"> a partir del 1º de julio de 2013</w:t>
      </w:r>
      <w:r w:rsidR="00DA6615" w:rsidRPr="00B71635">
        <w:rPr>
          <w:rFonts w:ascii="Arial" w:hAnsi="Arial" w:cs="Arial"/>
          <w:szCs w:val="22"/>
        </w:rPr>
        <w:t>.</w:t>
      </w:r>
    </w:p>
    <w:p w:rsidR="00EB15C2" w:rsidRPr="00B71635" w:rsidRDefault="00EB15C2" w:rsidP="00EB15C2">
      <w:pPr>
        <w:widowControl w:val="0"/>
        <w:tabs>
          <w:tab w:val="left" w:pos="561"/>
          <w:tab w:val="left" w:pos="709"/>
          <w:tab w:val="left" w:pos="1065"/>
        </w:tabs>
        <w:autoSpaceDE w:val="0"/>
        <w:autoSpaceDN w:val="0"/>
        <w:adjustRightInd w:val="0"/>
        <w:spacing w:line="276" w:lineRule="auto"/>
        <w:jc w:val="both"/>
        <w:rPr>
          <w:rFonts w:ascii="Arial" w:hAnsi="Arial" w:cs="Arial"/>
          <w:szCs w:val="22"/>
        </w:rPr>
      </w:pPr>
    </w:p>
    <w:p w:rsidR="00EB15C2" w:rsidRPr="00B71635" w:rsidRDefault="00EB15C2" w:rsidP="00EB15C2">
      <w:pPr>
        <w:widowControl w:val="0"/>
        <w:tabs>
          <w:tab w:val="left" w:pos="561"/>
          <w:tab w:val="left" w:pos="709"/>
          <w:tab w:val="left" w:pos="1065"/>
        </w:tabs>
        <w:autoSpaceDE w:val="0"/>
        <w:autoSpaceDN w:val="0"/>
        <w:adjustRightInd w:val="0"/>
        <w:spacing w:line="276" w:lineRule="auto"/>
        <w:jc w:val="both"/>
        <w:rPr>
          <w:rFonts w:ascii="Arial" w:hAnsi="Arial" w:cs="Arial"/>
          <w:szCs w:val="22"/>
        </w:rPr>
      </w:pPr>
      <w:r w:rsidRPr="00B71635">
        <w:rPr>
          <w:rFonts w:ascii="Arial" w:hAnsi="Arial" w:cs="Arial"/>
          <w:szCs w:val="22"/>
        </w:rPr>
        <w:tab/>
      </w:r>
      <w:r w:rsidR="006A4533" w:rsidRPr="00B71635">
        <w:rPr>
          <w:rFonts w:ascii="Arial" w:hAnsi="Arial" w:cs="Arial"/>
          <w:szCs w:val="22"/>
        </w:rPr>
        <w:tab/>
      </w:r>
      <w:r w:rsidRPr="00B71635">
        <w:rPr>
          <w:rFonts w:ascii="Arial" w:hAnsi="Arial" w:cs="Arial"/>
          <w:szCs w:val="22"/>
        </w:rPr>
        <w:t xml:space="preserve">Afirma que con la Resolución </w:t>
      </w:r>
      <w:proofErr w:type="spellStart"/>
      <w:r w:rsidRPr="00B71635">
        <w:rPr>
          <w:rFonts w:ascii="Arial" w:hAnsi="Arial" w:cs="Arial"/>
          <w:szCs w:val="22"/>
        </w:rPr>
        <w:t>VPB</w:t>
      </w:r>
      <w:proofErr w:type="spellEnd"/>
      <w:r w:rsidRPr="00B71635">
        <w:rPr>
          <w:rFonts w:ascii="Arial" w:hAnsi="Arial" w:cs="Arial"/>
          <w:szCs w:val="22"/>
        </w:rPr>
        <w:t xml:space="preserve"> 15559 del 12 de septiembre de 2014 se resolvió el recurso de apelación interpuesto en contra de la Resolución </w:t>
      </w:r>
      <w:proofErr w:type="spellStart"/>
      <w:r w:rsidRPr="00B71635">
        <w:rPr>
          <w:rFonts w:ascii="Arial" w:hAnsi="Arial" w:cs="Arial"/>
          <w:szCs w:val="22"/>
        </w:rPr>
        <w:t>GNR</w:t>
      </w:r>
      <w:proofErr w:type="spellEnd"/>
      <w:r w:rsidRPr="00B71635">
        <w:rPr>
          <w:rFonts w:ascii="Arial" w:hAnsi="Arial" w:cs="Arial"/>
          <w:szCs w:val="22"/>
        </w:rPr>
        <w:t xml:space="preserve"> 199376 del 5 de agosto de 2013, confirmando lo decidido en la Resolución </w:t>
      </w:r>
      <w:proofErr w:type="spellStart"/>
      <w:r w:rsidRPr="00B71635">
        <w:rPr>
          <w:rFonts w:ascii="Arial" w:hAnsi="Arial" w:cs="Arial"/>
          <w:szCs w:val="22"/>
        </w:rPr>
        <w:t>GNR</w:t>
      </w:r>
      <w:proofErr w:type="spellEnd"/>
      <w:r w:rsidRPr="00B71635">
        <w:rPr>
          <w:rFonts w:ascii="Arial" w:hAnsi="Arial" w:cs="Arial"/>
          <w:szCs w:val="22"/>
        </w:rPr>
        <w:t xml:space="preserve"> 6843 del 13 </w:t>
      </w:r>
      <w:r w:rsidRPr="00B71635">
        <w:rPr>
          <w:rFonts w:ascii="Arial" w:hAnsi="Arial" w:cs="Arial"/>
          <w:szCs w:val="22"/>
        </w:rPr>
        <w:lastRenderedPageBreak/>
        <w:t>de enero de 2014.</w:t>
      </w:r>
    </w:p>
    <w:p w:rsidR="00EB15C2" w:rsidRPr="00B71635" w:rsidRDefault="00EB15C2" w:rsidP="00EB15C2">
      <w:pPr>
        <w:widowControl w:val="0"/>
        <w:tabs>
          <w:tab w:val="left" w:pos="561"/>
          <w:tab w:val="left" w:pos="709"/>
          <w:tab w:val="left" w:pos="1065"/>
        </w:tabs>
        <w:autoSpaceDE w:val="0"/>
        <w:autoSpaceDN w:val="0"/>
        <w:adjustRightInd w:val="0"/>
        <w:spacing w:line="276" w:lineRule="auto"/>
        <w:jc w:val="both"/>
        <w:rPr>
          <w:rFonts w:ascii="Arial" w:hAnsi="Arial" w:cs="Arial"/>
          <w:szCs w:val="22"/>
        </w:rPr>
      </w:pPr>
    </w:p>
    <w:p w:rsidR="00EB15C2" w:rsidRPr="00B71635" w:rsidRDefault="00EB15C2" w:rsidP="00EB15C2">
      <w:pPr>
        <w:widowControl w:val="0"/>
        <w:tabs>
          <w:tab w:val="left" w:pos="561"/>
          <w:tab w:val="left" w:pos="709"/>
          <w:tab w:val="left" w:pos="1065"/>
        </w:tabs>
        <w:autoSpaceDE w:val="0"/>
        <w:autoSpaceDN w:val="0"/>
        <w:adjustRightInd w:val="0"/>
        <w:spacing w:line="276" w:lineRule="auto"/>
        <w:jc w:val="both"/>
        <w:rPr>
          <w:rFonts w:ascii="Arial" w:hAnsi="Arial" w:cs="Arial"/>
          <w:szCs w:val="22"/>
        </w:rPr>
      </w:pPr>
      <w:r w:rsidRPr="00B71635">
        <w:rPr>
          <w:rFonts w:ascii="Arial" w:hAnsi="Arial" w:cs="Arial"/>
          <w:szCs w:val="22"/>
        </w:rPr>
        <w:tab/>
      </w:r>
      <w:r w:rsidR="006A4533" w:rsidRPr="00B71635">
        <w:rPr>
          <w:rFonts w:ascii="Arial" w:hAnsi="Arial" w:cs="Arial"/>
          <w:szCs w:val="22"/>
        </w:rPr>
        <w:tab/>
      </w:r>
      <w:r w:rsidRPr="00B71635">
        <w:rPr>
          <w:rFonts w:ascii="Arial" w:hAnsi="Arial" w:cs="Arial"/>
          <w:szCs w:val="22"/>
        </w:rPr>
        <w:t xml:space="preserve">Refiere que cuenta </w:t>
      </w:r>
      <w:r w:rsidR="00C513C3" w:rsidRPr="00B71635">
        <w:rPr>
          <w:rFonts w:ascii="Arial" w:hAnsi="Arial" w:cs="Arial"/>
          <w:szCs w:val="22"/>
        </w:rPr>
        <w:t xml:space="preserve">con 856 semanas cotizadas en Colpensiones, entidad que al momento de concederle la pensión de vejez no tuvo en cuenta el tiempo de servicios </w:t>
      </w:r>
      <w:r w:rsidR="00F1198E" w:rsidRPr="00B71635">
        <w:rPr>
          <w:rFonts w:ascii="Arial" w:hAnsi="Arial" w:cs="Arial"/>
          <w:szCs w:val="22"/>
        </w:rPr>
        <w:t xml:space="preserve">prestado </w:t>
      </w:r>
      <w:r w:rsidR="00C513C3" w:rsidRPr="00B71635">
        <w:rPr>
          <w:rFonts w:ascii="Arial" w:hAnsi="Arial" w:cs="Arial"/>
          <w:szCs w:val="22"/>
        </w:rPr>
        <w:t>a la Notaria Cuarta de Pereira para estudiar su prestación con base en el Acuerdo 049 de 1990.</w:t>
      </w:r>
    </w:p>
    <w:p w:rsidR="006A4533" w:rsidRPr="00B71635" w:rsidRDefault="006A4533" w:rsidP="00EB15C2">
      <w:pPr>
        <w:widowControl w:val="0"/>
        <w:tabs>
          <w:tab w:val="left" w:pos="561"/>
          <w:tab w:val="left" w:pos="709"/>
          <w:tab w:val="left" w:pos="1065"/>
        </w:tabs>
        <w:autoSpaceDE w:val="0"/>
        <w:autoSpaceDN w:val="0"/>
        <w:adjustRightInd w:val="0"/>
        <w:spacing w:line="276" w:lineRule="auto"/>
        <w:jc w:val="both"/>
        <w:rPr>
          <w:rFonts w:ascii="Arial" w:hAnsi="Arial" w:cs="Arial"/>
          <w:szCs w:val="22"/>
        </w:rPr>
      </w:pPr>
    </w:p>
    <w:p w:rsidR="00E53791" w:rsidRPr="00B71635" w:rsidRDefault="006A4533" w:rsidP="00EB15C2">
      <w:pPr>
        <w:widowControl w:val="0"/>
        <w:tabs>
          <w:tab w:val="left" w:pos="561"/>
          <w:tab w:val="left" w:pos="709"/>
          <w:tab w:val="left" w:pos="1065"/>
        </w:tabs>
        <w:autoSpaceDE w:val="0"/>
        <w:autoSpaceDN w:val="0"/>
        <w:adjustRightInd w:val="0"/>
        <w:spacing w:line="276" w:lineRule="auto"/>
        <w:jc w:val="both"/>
        <w:rPr>
          <w:rFonts w:ascii="Arial" w:hAnsi="Arial" w:cs="Arial"/>
          <w:szCs w:val="22"/>
        </w:rPr>
      </w:pPr>
      <w:r w:rsidRPr="00B71635">
        <w:rPr>
          <w:rFonts w:ascii="Arial" w:hAnsi="Arial" w:cs="Arial"/>
          <w:szCs w:val="22"/>
        </w:rPr>
        <w:tab/>
      </w:r>
      <w:r w:rsidRPr="00B71635">
        <w:rPr>
          <w:rFonts w:ascii="Arial" w:hAnsi="Arial" w:cs="Arial"/>
          <w:szCs w:val="22"/>
        </w:rPr>
        <w:tab/>
        <w:t xml:space="preserve">Señala que </w:t>
      </w:r>
      <w:r w:rsidR="00F1198E" w:rsidRPr="00B71635">
        <w:rPr>
          <w:rFonts w:ascii="Arial" w:hAnsi="Arial" w:cs="Arial"/>
          <w:szCs w:val="22"/>
        </w:rPr>
        <w:t xml:space="preserve">el 26 de enero de 2017 solicitó la reliquidación de su gracia pensional, </w:t>
      </w:r>
      <w:r w:rsidR="00F544D4" w:rsidRPr="00B71635">
        <w:rPr>
          <w:rFonts w:ascii="Arial" w:hAnsi="Arial" w:cs="Arial"/>
          <w:szCs w:val="22"/>
        </w:rPr>
        <w:t xml:space="preserve">a </w:t>
      </w:r>
      <w:r w:rsidR="00F1198E" w:rsidRPr="00B71635">
        <w:rPr>
          <w:rFonts w:ascii="Arial" w:hAnsi="Arial" w:cs="Arial"/>
          <w:szCs w:val="22"/>
        </w:rPr>
        <w:t xml:space="preserve">lo cual </w:t>
      </w:r>
      <w:r w:rsidR="00F544D4" w:rsidRPr="00B71635">
        <w:rPr>
          <w:rFonts w:ascii="Arial" w:hAnsi="Arial" w:cs="Arial"/>
          <w:szCs w:val="22"/>
        </w:rPr>
        <w:t xml:space="preserve">se accedió </w:t>
      </w:r>
      <w:r w:rsidR="00F1198E" w:rsidRPr="00B71635">
        <w:rPr>
          <w:rFonts w:ascii="Arial" w:hAnsi="Arial" w:cs="Arial"/>
          <w:szCs w:val="22"/>
        </w:rPr>
        <w:t xml:space="preserve">a través de la Resolución </w:t>
      </w:r>
      <w:proofErr w:type="spellStart"/>
      <w:r w:rsidR="00F1198E" w:rsidRPr="00B71635">
        <w:rPr>
          <w:rFonts w:ascii="Arial" w:hAnsi="Arial" w:cs="Arial"/>
          <w:szCs w:val="22"/>
        </w:rPr>
        <w:t>GNR</w:t>
      </w:r>
      <w:proofErr w:type="spellEnd"/>
      <w:r w:rsidR="00F1198E" w:rsidRPr="00B71635">
        <w:rPr>
          <w:rFonts w:ascii="Arial" w:hAnsi="Arial" w:cs="Arial"/>
          <w:szCs w:val="22"/>
        </w:rPr>
        <w:t xml:space="preserve"> 39782 del 3 de febrero de 2017</w:t>
      </w:r>
      <w:r w:rsidR="00F544D4" w:rsidRPr="00B71635">
        <w:rPr>
          <w:rFonts w:ascii="Arial" w:hAnsi="Arial" w:cs="Arial"/>
          <w:szCs w:val="22"/>
        </w:rPr>
        <w:t>, acto en el que se reconoció su calidad de beneficiaria del régimen de transición y se modific</w:t>
      </w:r>
      <w:r w:rsidR="00E53791" w:rsidRPr="00B71635">
        <w:rPr>
          <w:rFonts w:ascii="Arial" w:hAnsi="Arial" w:cs="Arial"/>
          <w:szCs w:val="22"/>
        </w:rPr>
        <w:t xml:space="preserve">ó </w:t>
      </w:r>
      <w:r w:rsidR="00F544D4" w:rsidRPr="00B71635">
        <w:rPr>
          <w:rFonts w:ascii="Arial" w:hAnsi="Arial" w:cs="Arial"/>
          <w:szCs w:val="22"/>
        </w:rPr>
        <w:t>la tasa del reemplazo al 75,71%</w:t>
      </w:r>
      <w:r w:rsidR="00E53791" w:rsidRPr="00B71635">
        <w:rPr>
          <w:rFonts w:ascii="Arial" w:hAnsi="Arial" w:cs="Arial"/>
          <w:szCs w:val="22"/>
        </w:rPr>
        <w:t xml:space="preserve">, dando como resultado una mesada de $1.600.383. Aclara que en esta resolución también se realizó el estudio de la pensión con base en el Acuerdo 049 de 1990, concluyéndose que no era más beneficiosa para sus intereses porque tendría derecho a una tasa de reemplazo del 66%, pues no tuvo en cuenta los tiempos cotizados a </w:t>
      </w:r>
      <w:proofErr w:type="spellStart"/>
      <w:r w:rsidR="00E53791" w:rsidRPr="00B71635">
        <w:rPr>
          <w:rFonts w:ascii="Arial" w:hAnsi="Arial" w:cs="Arial"/>
          <w:szCs w:val="22"/>
        </w:rPr>
        <w:t>Cajanal</w:t>
      </w:r>
      <w:proofErr w:type="spellEnd"/>
      <w:r w:rsidR="00E53791" w:rsidRPr="00B71635">
        <w:rPr>
          <w:rFonts w:ascii="Arial" w:hAnsi="Arial" w:cs="Arial"/>
          <w:szCs w:val="22"/>
        </w:rPr>
        <w:t xml:space="preserve"> ni a </w:t>
      </w:r>
      <w:proofErr w:type="spellStart"/>
      <w:r w:rsidR="00E53791" w:rsidRPr="00B71635">
        <w:rPr>
          <w:rFonts w:ascii="Arial" w:hAnsi="Arial" w:cs="Arial"/>
          <w:szCs w:val="22"/>
        </w:rPr>
        <w:t>Fonprenor</w:t>
      </w:r>
      <w:proofErr w:type="spellEnd"/>
      <w:r w:rsidR="00E53791" w:rsidRPr="00B71635">
        <w:rPr>
          <w:rFonts w:ascii="Arial" w:hAnsi="Arial" w:cs="Arial"/>
          <w:szCs w:val="22"/>
        </w:rPr>
        <w:t>.</w:t>
      </w:r>
    </w:p>
    <w:p w:rsidR="00E53791" w:rsidRPr="00B71635" w:rsidRDefault="00E53791" w:rsidP="00EB15C2">
      <w:pPr>
        <w:widowControl w:val="0"/>
        <w:tabs>
          <w:tab w:val="left" w:pos="561"/>
          <w:tab w:val="left" w:pos="709"/>
          <w:tab w:val="left" w:pos="1065"/>
        </w:tabs>
        <w:autoSpaceDE w:val="0"/>
        <w:autoSpaceDN w:val="0"/>
        <w:adjustRightInd w:val="0"/>
        <w:spacing w:line="276" w:lineRule="auto"/>
        <w:jc w:val="both"/>
        <w:rPr>
          <w:rFonts w:ascii="Arial" w:hAnsi="Arial" w:cs="Arial"/>
          <w:szCs w:val="22"/>
        </w:rPr>
      </w:pPr>
    </w:p>
    <w:p w:rsidR="00E53791" w:rsidRPr="00B71635" w:rsidRDefault="00E53791" w:rsidP="00EB15C2">
      <w:pPr>
        <w:widowControl w:val="0"/>
        <w:tabs>
          <w:tab w:val="left" w:pos="561"/>
          <w:tab w:val="left" w:pos="709"/>
          <w:tab w:val="left" w:pos="1065"/>
        </w:tabs>
        <w:autoSpaceDE w:val="0"/>
        <w:autoSpaceDN w:val="0"/>
        <w:adjustRightInd w:val="0"/>
        <w:spacing w:line="276" w:lineRule="auto"/>
        <w:jc w:val="both"/>
        <w:rPr>
          <w:rFonts w:ascii="Arial" w:hAnsi="Arial" w:cs="Arial"/>
          <w:szCs w:val="22"/>
        </w:rPr>
      </w:pPr>
      <w:r w:rsidRPr="00B71635">
        <w:rPr>
          <w:rFonts w:ascii="Arial" w:hAnsi="Arial" w:cs="Arial"/>
          <w:szCs w:val="22"/>
        </w:rPr>
        <w:tab/>
      </w:r>
      <w:r w:rsidR="00AF5ED7" w:rsidRPr="00B71635">
        <w:rPr>
          <w:rFonts w:ascii="Arial" w:hAnsi="Arial" w:cs="Arial"/>
          <w:szCs w:val="22"/>
        </w:rPr>
        <w:tab/>
        <w:t xml:space="preserve">Sostiene que mediante la Resolución </w:t>
      </w:r>
      <w:proofErr w:type="spellStart"/>
      <w:r w:rsidR="00AF5ED7" w:rsidRPr="00B71635">
        <w:rPr>
          <w:rFonts w:ascii="Arial" w:hAnsi="Arial" w:cs="Arial"/>
          <w:szCs w:val="22"/>
        </w:rPr>
        <w:t>DIR</w:t>
      </w:r>
      <w:proofErr w:type="spellEnd"/>
      <w:r w:rsidR="00AF5ED7" w:rsidRPr="00B71635">
        <w:rPr>
          <w:rFonts w:ascii="Arial" w:hAnsi="Arial" w:cs="Arial"/>
          <w:szCs w:val="22"/>
        </w:rPr>
        <w:t xml:space="preserve"> 4849 del 4 de mayo de 2017 se resolvió el recurso de reposición presentado en contra de la</w:t>
      </w:r>
      <w:r w:rsidR="00E866EA" w:rsidRPr="00B71635">
        <w:rPr>
          <w:rFonts w:ascii="Arial" w:hAnsi="Arial" w:cs="Arial"/>
          <w:szCs w:val="22"/>
        </w:rPr>
        <w:t xml:space="preserve"> Resolución </w:t>
      </w:r>
      <w:proofErr w:type="spellStart"/>
      <w:r w:rsidR="00AF5ED7" w:rsidRPr="00B71635">
        <w:rPr>
          <w:rFonts w:ascii="Arial" w:hAnsi="Arial" w:cs="Arial"/>
          <w:szCs w:val="22"/>
        </w:rPr>
        <w:t>GNR</w:t>
      </w:r>
      <w:proofErr w:type="spellEnd"/>
      <w:r w:rsidR="00AF5ED7" w:rsidRPr="00B71635">
        <w:rPr>
          <w:rFonts w:ascii="Arial" w:hAnsi="Arial" w:cs="Arial"/>
          <w:szCs w:val="22"/>
        </w:rPr>
        <w:t xml:space="preserve"> 39782 de 2017, negando la aplicación del 90% de tasa de reemplazo solicitado en virtud del Acuerdo 049 de 1990.</w:t>
      </w:r>
    </w:p>
    <w:p w:rsidR="005777A1" w:rsidRPr="00B71635" w:rsidRDefault="005777A1" w:rsidP="00FA1A13">
      <w:pPr>
        <w:widowControl w:val="0"/>
        <w:tabs>
          <w:tab w:val="left" w:pos="561"/>
          <w:tab w:val="left" w:pos="709"/>
          <w:tab w:val="left" w:pos="1065"/>
        </w:tabs>
        <w:autoSpaceDE w:val="0"/>
        <w:autoSpaceDN w:val="0"/>
        <w:adjustRightInd w:val="0"/>
        <w:spacing w:line="276" w:lineRule="auto"/>
        <w:jc w:val="both"/>
        <w:rPr>
          <w:rFonts w:ascii="Arial" w:hAnsi="Arial" w:cs="Arial"/>
          <w:szCs w:val="22"/>
        </w:rPr>
      </w:pPr>
    </w:p>
    <w:p w:rsidR="001D6664" w:rsidRPr="00B71635" w:rsidRDefault="001D6664" w:rsidP="003450D3">
      <w:pPr>
        <w:widowControl w:val="0"/>
        <w:autoSpaceDE w:val="0"/>
        <w:autoSpaceDN w:val="0"/>
        <w:adjustRightInd w:val="0"/>
        <w:spacing w:line="276" w:lineRule="auto"/>
        <w:ind w:firstLine="708"/>
        <w:jc w:val="both"/>
        <w:rPr>
          <w:rFonts w:ascii="Arial" w:hAnsi="Arial" w:cs="Arial"/>
          <w:szCs w:val="22"/>
        </w:rPr>
      </w:pPr>
      <w:r w:rsidRPr="00B71635">
        <w:rPr>
          <w:rFonts w:ascii="Arial" w:hAnsi="Arial" w:cs="Arial"/>
          <w:szCs w:val="22"/>
        </w:rPr>
        <w:t xml:space="preserve">Pese a que </w:t>
      </w:r>
      <w:r w:rsidR="00D2586A" w:rsidRPr="00B71635">
        <w:rPr>
          <w:rFonts w:ascii="Arial" w:hAnsi="Arial" w:cs="Arial"/>
          <w:szCs w:val="22"/>
        </w:rPr>
        <w:t xml:space="preserve">Colpensiones </w:t>
      </w:r>
      <w:r w:rsidR="00232C8C" w:rsidRPr="00B71635">
        <w:rPr>
          <w:rFonts w:ascii="Arial" w:hAnsi="Arial" w:cs="Arial"/>
          <w:szCs w:val="22"/>
        </w:rPr>
        <w:t xml:space="preserve">aceptó los hechos </w:t>
      </w:r>
      <w:r w:rsidR="00B46E26" w:rsidRPr="00B71635">
        <w:rPr>
          <w:rFonts w:ascii="Arial" w:hAnsi="Arial" w:cs="Arial"/>
          <w:szCs w:val="22"/>
        </w:rPr>
        <w:t>de la demanda</w:t>
      </w:r>
      <w:r w:rsidR="00B61870" w:rsidRPr="00B71635">
        <w:rPr>
          <w:rFonts w:ascii="Arial" w:hAnsi="Arial" w:cs="Arial"/>
          <w:szCs w:val="22"/>
        </w:rPr>
        <w:t>,</w:t>
      </w:r>
      <w:r w:rsidR="00B46E26" w:rsidRPr="00B71635">
        <w:rPr>
          <w:rFonts w:ascii="Arial" w:hAnsi="Arial" w:cs="Arial"/>
          <w:szCs w:val="22"/>
        </w:rPr>
        <w:t xml:space="preserve"> </w:t>
      </w:r>
      <w:r w:rsidRPr="00B71635">
        <w:rPr>
          <w:rFonts w:ascii="Arial" w:hAnsi="Arial" w:cs="Arial"/>
          <w:szCs w:val="22"/>
        </w:rPr>
        <w:t>se opuso a las pretensiones de la gestora de la litis aduciendo que</w:t>
      </w:r>
      <w:r w:rsidR="00E866EA" w:rsidRPr="00B71635">
        <w:rPr>
          <w:rFonts w:ascii="Arial" w:hAnsi="Arial" w:cs="Arial"/>
          <w:szCs w:val="22"/>
        </w:rPr>
        <w:t xml:space="preserve"> una vez efectuadas las operaciones aritméticas correspondientes se evidenció que no había lugar a efectuar variaciones en la mesada pensional </w:t>
      </w:r>
      <w:r w:rsidR="00BA14E7" w:rsidRPr="00B71635">
        <w:rPr>
          <w:rFonts w:ascii="Arial" w:hAnsi="Arial" w:cs="Arial"/>
          <w:szCs w:val="22"/>
        </w:rPr>
        <w:t>que percibe aquella</w:t>
      </w:r>
      <w:r w:rsidR="00DE775B" w:rsidRPr="00B71635">
        <w:rPr>
          <w:rFonts w:ascii="Arial" w:hAnsi="Arial" w:cs="Arial"/>
          <w:szCs w:val="22"/>
        </w:rPr>
        <w:t xml:space="preserve">, razón por la cual propuso las excepciones denominadas </w:t>
      </w:r>
      <w:r w:rsidR="00BA14E7" w:rsidRPr="00B71635">
        <w:rPr>
          <w:rFonts w:ascii="Arial" w:hAnsi="Arial" w:cs="Arial"/>
          <w:szCs w:val="22"/>
        </w:rPr>
        <w:t xml:space="preserve">“Inexistencia de la obligación y cobro de lo no debido”; “Buena fe”; “Imposibilidad jurídica para cumplir con las obligaciones pretendidas” y </w:t>
      </w:r>
      <w:r w:rsidR="00DE775B" w:rsidRPr="00B71635">
        <w:rPr>
          <w:rFonts w:ascii="Arial" w:hAnsi="Arial" w:cs="Arial"/>
          <w:szCs w:val="22"/>
        </w:rPr>
        <w:t xml:space="preserve"> “</w:t>
      </w:r>
      <w:r w:rsidR="00A32D81" w:rsidRPr="00B71635">
        <w:rPr>
          <w:rFonts w:ascii="Arial" w:hAnsi="Arial" w:cs="Arial"/>
          <w:szCs w:val="22"/>
        </w:rPr>
        <w:t>Prescripción</w:t>
      </w:r>
      <w:r w:rsidR="00DE775B" w:rsidRPr="00B71635">
        <w:rPr>
          <w:rFonts w:ascii="Arial" w:hAnsi="Arial" w:cs="Arial"/>
          <w:szCs w:val="22"/>
        </w:rPr>
        <w:t>”.</w:t>
      </w:r>
    </w:p>
    <w:p w:rsidR="00232C8C" w:rsidRPr="00B71635" w:rsidRDefault="00232C8C" w:rsidP="003450D3">
      <w:pPr>
        <w:widowControl w:val="0"/>
        <w:autoSpaceDE w:val="0"/>
        <w:autoSpaceDN w:val="0"/>
        <w:adjustRightInd w:val="0"/>
        <w:spacing w:line="276" w:lineRule="auto"/>
        <w:ind w:firstLine="708"/>
        <w:jc w:val="both"/>
        <w:rPr>
          <w:rFonts w:ascii="Arial" w:hAnsi="Arial" w:cs="Arial"/>
          <w:szCs w:val="22"/>
        </w:rPr>
      </w:pPr>
    </w:p>
    <w:p w:rsidR="00D2586A" w:rsidRPr="00B71635" w:rsidRDefault="00D2586A" w:rsidP="00FA1A13">
      <w:pPr>
        <w:widowControl w:val="0"/>
        <w:numPr>
          <w:ilvl w:val="0"/>
          <w:numId w:val="1"/>
        </w:numPr>
        <w:tabs>
          <w:tab w:val="clear" w:pos="1080"/>
          <w:tab w:val="num" w:pos="561"/>
        </w:tabs>
        <w:autoSpaceDE w:val="0"/>
        <w:autoSpaceDN w:val="0"/>
        <w:adjustRightInd w:val="0"/>
        <w:spacing w:line="276" w:lineRule="auto"/>
        <w:ind w:left="0" w:firstLine="0"/>
        <w:jc w:val="center"/>
        <w:rPr>
          <w:rFonts w:ascii="Arial" w:hAnsi="Arial" w:cs="Arial"/>
          <w:b/>
          <w:caps/>
          <w:szCs w:val="22"/>
        </w:rPr>
      </w:pPr>
      <w:r w:rsidRPr="00B71635">
        <w:rPr>
          <w:rFonts w:ascii="Arial" w:hAnsi="Arial" w:cs="Arial"/>
          <w:b/>
          <w:szCs w:val="22"/>
        </w:rPr>
        <w:t>La sentencia de primera instancia</w:t>
      </w:r>
    </w:p>
    <w:p w:rsidR="00D2586A" w:rsidRPr="00B71635" w:rsidRDefault="00D2586A" w:rsidP="00FA1A13">
      <w:pPr>
        <w:widowControl w:val="0"/>
        <w:autoSpaceDE w:val="0"/>
        <w:autoSpaceDN w:val="0"/>
        <w:adjustRightInd w:val="0"/>
        <w:jc w:val="center"/>
        <w:rPr>
          <w:rFonts w:ascii="Arial" w:hAnsi="Arial" w:cs="Arial"/>
          <w:b/>
          <w:szCs w:val="22"/>
        </w:rPr>
      </w:pPr>
    </w:p>
    <w:p w:rsidR="009600B6" w:rsidRPr="00B71635" w:rsidRDefault="00D2586A" w:rsidP="00FA1A13">
      <w:pPr>
        <w:tabs>
          <w:tab w:val="left" w:pos="748"/>
        </w:tabs>
        <w:spacing w:line="276" w:lineRule="auto"/>
        <w:jc w:val="both"/>
        <w:rPr>
          <w:rFonts w:ascii="Arial" w:hAnsi="Arial" w:cs="Arial"/>
          <w:szCs w:val="22"/>
        </w:rPr>
      </w:pPr>
      <w:r w:rsidRPr="00B71635">
        <w:rPr>
          <w:rFonts w:ascii="Arial" w:hAnsi="Arial" w:cs="Arial"/>
          <w:szCs w:val="22"/>
        </w:rPr>
        <w:tab/>
        <w:t xml:space="preserve">La Jueza de conocimiento </w:t>
      </w:r>
      <w:r w:rsidR="009600B6" w:rsidRPr="00B71635">
        <w:rPr>
          <w:rFonts w:ascii="Arial" w:hAnsi="Arial" w:cs="Arial"/>
          <w:szCs w:val="22"/>
        </w:rPr>
        <w:t>negó las pretensiones de la demandante, a quien condenó al pago de las costas procesales.</w:t>
      </w:r>
    </w:p>
    <w:p w:rsidR="009600B6" w:rsidRPr="00B71635" w:rsidRDefault="009600B6" w:rsidP="00FA1A13">
      <w:pPr>
        <w:tabs>
          <w:tab w:val="left" w:pos="748"/>
        </w:tabs>
        <w:spacing w:line="276" w:lineRule="auto"/>
        <w:jc w:val="both"/>
        <w:rPr>
          <w:rFonts w:ascii="Arial" w:hAnsi="Arial" w:cs="Arial"/>
          <w:szCs w:val="22"/>
        </w:rPr>
      </w:pPr>
    </w:p>
    <w:p w:rsidR="00467E30" w:rsidRPr="00B71635" w:rsidRDefault="00FC36AC" w:rsidP="00FA1A13">
      <w:pPr>
        <w:tabs>
          <w:tab w:val="left" w:pos="0"/>
        </w:tabs>
        <w:spacing w:line="276" w:lineRule="auto"/>
        <w:jc w:val="both"/>
        <w:rPr>
          <w:rFonts w:ascii="Arial" w:hAnsi="Arial" w:cs="Arial"/>
          <w:szCs w:val="22"/>
        </w:rPr>
      </w:pPr>
      <w:r w:rsidRPr="00B71635">
        <w:rPr>
          <w:rFonts w:ascii="Arial" w:hAnsi="Arial" w:cs="Arial"/>
          <w:szCs w:val="22"/>
        </w:rPr>
        <w:tab/>
        <w:t>Para llegar a tal determinación la A-quo</w:t>
      </w:r>
      <w:r w:rsidR="00056158" w:rsidRPr="00B71635">
        <w:rPr>
          <w:rFonts w:ascii="Arial" w:hAnsi="Arial" w:cs="Arial"/>
          <w:szCs w:val="22"/>
        </w:rPr>
        <w:t xml:space="preserve"> indicó que a efectos de la reliquidación de la pensión de vejez de la demandante bajo los preceptos del Acuerdo 049 de 1990 sólo era posible tener en cuenta las cotizaciones efectuadas en el </w:t>
      </w:r>
      <w:proofErr w:type="spellStart"/>
      <w:r w:rsidR="00056158" w:rsidRPr="00B71635">
        <w:rPr>
          <w:rFonts w:ascii="Arial" w:hAnsi="Arial" w:cs="Arial"/>
          <w:szCs w:val="22"/>
        </w:rPr>
        <w:t>I.S.S</w:t>
      </w:r>
      <w:proofErr w:type="spellEnd"/>
      <w:r w:rsidR="00056158" w:rsidRPr="00B71635">
        <w:rPr>
          <w:rFonts w:ascii="Arial" w:hAnsi="Arial" w:cs="Arial"/>
          <w:szCs w:val="22"/>
        </w:rPr>
        <w:t>., tal como lo tiene establecido de vieja data la jurisprudencia de la Corte Suprema de Justicia</w:t>
      </w:r>
      <w:r w:rsidR="00B61F4F" w:rsidRPr="00B71635">
        <w:rPr>
          <w:rFonts w:ascii="Arial" w:hAnsi="Arial" w:cs="Arial"/>
          <w:szCs w:val="22"/>
        </w:rPr>
        <w:t xml:space="preserve">. </w:t>
      </w:r>
      <w:r w:rsidR="004F1841" w:rsidRPr="00B71635">
        <w:rPr>
          <w:rFonts w:ascii="Arial" w:hAnsi="Arial" w:cs="Arial"/>
          <w:szCs w:val="22"/>
        </w:rPr>
        <w:t>Por ello</w:t>
      </w:r>
      <w:r w:rsidR="00B61F4F" w:rsidRPr="00B71635">
        <w:rPr>
          <w:rFonts w:ascii="Arial" w:hAnsi="Arial" w:cs="Arial"/>
          <w:szCs w:val="22"/>
        </w:rPr>
        <w:t>,</w:t>
      </w:r>
      <w:r w:rsidR="00056158" w:rsidRPr="00B71635">
        <w:rPr>
          <w:rFonts w:ascii="Arial" w:hAnsi="Arial" w:cs="Arial"/>
          <w:szCs w:val="22"/>
        </w:rPr>
        <w:t xml:space="preserve"> </w:t>
      </w:r>
      <w:r w:rsidR="009C0CA5" w:rsidRPr="00B71635">
        <w:rPr>
          <w:rFonts w:ascii="Arial" w:hAnsi="Arial" w:cs="Arial"/>
          <w:szCs w:val="22"/>
        </w:rPr>
        <w:t xml:space="preserve">refirió que </w:t>
      </w:r>
      <w:r w:rsidR="00B61F4F" w:rsidRPr="00B71635">
        <w:rPr>
          <w:rFonts w:ascii="Arial" w:hAnsi="Arial" w:cs="Arial"/>
          <w:szCs w:val="22"/>
        </w:rPr>
        <w:t xml:space="preserve">al tener en cuenta exclusivamente los aportes efectuados en </w:t>
      </w:r>
      <w:r w:rsidR="00E02794" w:rsidRPr="00B71635">
        <w:rPr>
          <w:rFonts w:ascii="Arial" w:hAnsi="Arial" w:cs="Arial"/>
          <w:szCs w:val="22"/>
        </w:rPr>
        <w:t xml:space="preserve">el sector privado por </w:t>
      </w:r>
      <w:r w:rsidR="00B61F4F" w:rsidRPr="00B71635">
        <w:rPr>
          <w:rFonts w:ascii="Arial" w:hAnsi="Arial" w:cs="Arial"/>
          <w:szCs w:val="22"/>
        </w:rPr>
        <w:t xml:space="preserve">la demandante </w:t>
      </w:r>
      <w:r w:rsidR="009B3570" w:rsidRPr="00B71635">
        <w:rPr>
          <w:rFonts w:ascii="Arial" w:hAnsi="Arial" w:cs="Arial"/>
          <w:i/>
          <w:szCs w:val="22"/>
        </w:rPr>
        <w:t xml:space="preserve">–quien </w:t>
      </w:r>
      <w:r w:rsidR="005F2BE2" w:rsidRPr="00B71635">
        <w:rPr>
          <w:rFonts w:ascii="Arial" w:hAnsi="Arial" w:cs="Arial"/>
          <w:i/>
          <w:szCs w:val="22"/>
        </w:rPr>
        <w:t>e</w:t>
      </w:r>
      <w:r w:rsidR="009B3570" w:rsidRPr="00B71635">
        <w:rPr>
          <w:rFonts w:ascii="Arial" w:hAnsi="Arial" w:cs="Arial"/>
          <w:i/>
          <w:szCs w:val="22"/>
        </w:rPr>
        <w:t>ra beneficiaria del régimen de transición-</w:t>
      </w:r>
      <w:r w:rsidR="00E02794" w:rsidRPr="00B71635">
        <w:rPr>
          <w:rFonts w:ascii="Arial" w:hAnsi="Arial" w:cs="Arial"/>
          <w:szCs w:val="22"/>
        </w:rPr>
        <w:t xml:space="preserve">, era dable concluir que </w:t>
      </w:r>
      <w:r w:rsidR="00467E30" w:rsidRPr="00B71635">
        <w:rPr>
          <w:rFonts w:ascii="Arial" w:hAnsi="Arial" w:cs="Arial"/>
          <w:szCs w:val="22"/>
        </w:rPr>
        <w:t xml:space="preserve">la </w:t>
      </w:r>
      <w:r w:rsidR="004F1841" w:rsidRPr="00B71635">
        <w:rPr>
          <w:rFonts w:ascii="Arial" w:hAnsi="Arial" w:cs="Arial"/>
          <w:szCs w:val="22"/>
        </w:rPr>
        <w:t>pensión reconocida por Colpensiones era más favorable a sus intereses.</w:t>
      </w:r>
    </w:p>
    <w:p w:rsidR="004F1841" w:rsidRPr="00B71635" w:rsidRDefault="004F1841" w:rsidP="00FA1A13">
      <w:pPr>
        <w:tabs>
          <w:tab w:val="left" w:pos="0"/>
        </w:tabs>
        <w:spacing w:line="276" w:lineRule="auto"/>
        <w:jc w:val="both"/>
        <w:rPr>
          <w:rFonts w:ascii="Arial" w:hAnsi="Arial" w:cs="Arial"/>
          <w:szCs w:val="22"/>
        </w:rPr>
      </w:pPr>
    </w:p>
    <w:p w:rsidR="004F1841" w:rsidRPr="00B71635" w:rsidRDefault="004F1841" w:rsidP="00FA1A13">
      <w:pPr>
        <w:tabs>
          <w:tab w:val="left" w:pos="0"/>
        </w:tabs>
        <w:spacing w:line="276" w:lineRule="auto"/>
        <w:jc w:val="both"/>
        <w:rPr>
          <w:rFonts w:ascii="Arial" w:hAnsi="Arial" w:cs="Arial"/>
          <w:szCs w:val="22"/>
        </w:rPr>
      </w:pPr>
      <w:r w:rsidRPr="00B71635">
        <w:rPr>
          <w:rFonts w:ascii="Arial" w:hAnsi="Arial" w:cs="Arial"/>
          <w:szCs w:val="22"/>
        </w:rPr>
        <w:tab/>
        <w:t xml:space="preserve">Por último, señaló que la norma que </w:t>
      </w:r>
      <w:r w:rsidR="00896D14" w:rsidRPr="00B71635">
        <w:rPr>
          <w:rFonts w:ascii="Arial" w:hAnsi="Arial" w:cs="Arial"/>
          <w:szCs w:val="22"/>
        </w:rPr>
        <w:t xml:space="preserve">por transición </w:t>
      </w:r>
      <w:r w:rsidRPr="00B71635">
        <w:rPr>
          <w:rFonts w:ascii="Arial" w:hAnsi="Arial" w:cs="Arial"/>
          <w:szCs w:val="22"/>
        </w:rPr>
        <w:t xml:space="preserve">permite acumular </w:t>
      </w:r>
      <w:r w:rsidR="00896D14" w:rsidRPr="00B71635">
        <w:rPr>
          <w:rFonts w:ascii="Arial" w:hAnsi="Arial" w:cs="Arial"/>
          <w:szCs w:val="22"/>
        </w:rPr>
        <w:t xml:space="preserve">cotizaciones de los sectores público y privado es la Ley 71 de 1988, misma que resultaría desfavorable a la gestora del pleito toda vez que la tasa de reemplazo aplicable a su </w:t>
      </w:r>
      <w:proofErr w:type="spellStart"/>
      <w:r w:rsidR="00896D14" w:rsidRPr="00B71635">
        <w:rPr>
          <w:rFonts w:ascii="Arial" w:hAnsi="Arial" w:cs="Arial"/>
          <w:szCs w:val="22"/>
        </w:rPr>
        <w:t>IBL</w:t>
      </w:r>
      <w:proofErr w:type="spellEnd"/>
      <w:r w:rsidR="00896D14" w:rsidRPr="00B71635">
        <w:rPr>
          <w:rFonts w:ascii="Arial" w:hAnsi="Arial" w:cs="Arial"/>
          <w:szCs w:val="22"/>
        </w:rPr>
        <w:t xml:space="preserve"> disminuir</w:t>
      </w:r>
      <w:r w:rsidR="002C3A90" w:rsidRPr="00B71635">
        <w:rPr>
          <w:rFonts w:ascii="Arial" w:hAnsi="Arial" w:cs="Arial"/>
          <w:szCs w:val="22"/>
        </w:rPr>
        <w:t xml:space="preserve">ía </w:t>
      </w:r>
      <w:r w:rsidR="0089106D" w:rsidRPr="00B71635">
        <w:rPr>
          <w:rFonts w:ascii="Arial" w:hAnsi="Arial" w:cs="Arial"/>
          <w:szCs w:val="22"/>
        </w:rPr>
        <w:t xml:space="preserve">respecto de la </w:t>
      </w:r>
      <w:r w:rsidR="008857B4" w:rsidRPr="00B71635">
        <w:rPr>
          <w:rFonts w:ascii="Arial" w:hAnsi="Arial" w:cs="Arial"/>
          <w:szCs w:val="22"/>
        </w:rPr>
        <w:t xml:space="preserve">tenida en cuenta </w:t>
      </w:r>
      <w:r w:rsidR="0089106D" w:rsidRPr="00B71635">
        <w:rPr>
          <w:rFonts w:ascii="Arial" w:hAnsi="Arial" w:cs="Arial"/>
          <w:szCs w:val="22"/>
        </w:rPr>
        <w:t>por Colpensiones.</w:t>
      </w:r>
    </w:p>
    <w:p w:rsidR="00B971E1" w:rsidRPr="00B71635" w:rsidRDefault="00B971E1" w:rsidP="00FA1A13">
      <w:pPr>
        <w:tabs>
          <w:tab w:val="left" w:pos="0"/>
        </w:tabs>
        <w:spacing w:line="276" w:lineRule="auto"/>
        <w:jc w:val="both"/>
        <w:rPr>
          <w:rFonts w:ascii="Arial" w:hAnsi="Arial" w:cs="Arial"/>
          <w:szCs w:val="22"/>
        </w:rPr>
      </w:pPr>
    </w:p>
    <w:p w:rsidR="00D2586A" w:rsidRPr="00B71635" w:rsidRDefault="002D08E6" w:rsidP="00FA1A13">
      <w:pPr>
        <w:widowControl w:val="0"/>
        <w:numPr>
          <w:ilvl w:val="0"/>
          <w:numId w:val="1"/>
        </w:numPr>
        <w:tabs>
          <w:tab w:val="clear" w:pos="1080"/>
          <w:tab w:val="num" w:pos="374"/>
        </w:tabs>
        <w:autoSpaceDE w:val="0"/>
        <w:autoSpaceDN w:val="0"/>
        <w:adjustRightInd w:val="0"/>
        <w:spacing w:line="276" w:lineRule="auto"/>
        <w:ind w:left="0" w:firstLine="0"/>
        <w:jc w:val="center"/>
        <w:rPr>
          <w:rFonts w:ascii="Arial" w:hAnsi="Arial" w:cs="Arial"/>
          <w:b/>
          <w:szCs w:val="22"/>
        </w:rPr>
      </w:pPr>
      <w:r w:rsidRPr="00B71635">
        <w:rPr>
          <w:rFonts w:ascii="Arial" w:hAnsi="Arial" w:cs="Arial"/>
          <w:b/>
          <w:szCs w:val="22"/>
        </w:rPr>
        <w:t>Recurso de apelación</w:t>
      </w:r>
    </w:p>
    <w:p w:rsidR="00D2586A" w:rsidRPr="00B71635" w:rsidRDefault="00D2586A" w:rsidP="00FA1A13">
      <w:pPr>
        <w:pStyle w:val="Sinespaciado"/>
        <w:spacing w:line="276" w:lineRule="auto"/>
        <w:rPr>
          <w:rFonts w:ascii="Arial" w:hAnsi="Arial" w:cs="Arial"/>
          <w:szCs w:val="22"/>
        </w:rPr>
      </w:pPr>
    </w:p>
    <w:p w:rsidR="002D08E6" w:rsidRPr="00B71635" w:rsidRDefault="002D08E6" w:rsidP="001D1D1D">
      <w:pPr>
        <w:pStyle w:val="Sinespaciado"/>
        <w:spacing w:line="276" w:lineRule="auto"/>
        <w:ind w:firstLine="709"/>
        <w:jc w:val="both"/>
        <w:rPr>
          <w:rFonts w:ascii="Arial" w:hAnsi="Arial" w:cs="Arial"/>
          <w:szCs w:val="22"/>
        </w:rPr>
      </w:pPr>
      <w:r w:rsidRPr="00B71635">
        <w:rPr>
          <w:rFonts w:ascii="Arial" w:hAnsi="Arial" w:cs="Arial"/>
          <w:szCs w:val="22"/>
        </w:rPr>
        <w:t>La apoderada judicial de la señora Gómez Gallo apeló la decisión arguyendo que en el caso de su prohijada era procedente acumular los periodos de cotización efectuados tanto en el sector público como en el privado para conceder la pensión consagrada en el Acuerdo 049 de 1990, pues</w:t>
      </w:r>
      <w:r w:rsidR="00E0485B" w:rsidRPr="00B71635">
        <w:rPr>
          <w:rFonts w:ascii="Arial" w:hAnsi="Arial" w:cs="Arial"/>
          <w:szCs w:val="22"/>
        </w:rPr>
        <w:t xml:space="preserve"> los requisitos para acceder al sistema general de pensiones se acreditan ante el sistema y no ante las entidades que lo conforman, como tampoco se exige la exclusividad de los aportes.</w:t>
      </w:r>
    </w:p>
    <w:p w:rsidR="00F1198E" w:rsidRPr="00B71635" w:rsidRDefault="00F1198E" w:rsidP="001D1D1D">
      <w:pPr>
        <w:pStyle w:val="Sinespaciado"/>
        <w:spacing w:line="276" w:lineRule="auto"/>
        <w:ind w:firstLine="709"/>
        <w:jc w:val="both"/>
        <w:rPr>
          <w:rFonts w:ascii="Arial" w:hAnsi="Arial" w:cs="Arial"/>
          <w:szCs w:val="22"/>
        </w:rPr>
      </w:pPr>
    </w:p>
    <w:p w:rsidR="00D2586A" w:rsidRPr="00B71635" w:rsidRDefault="00D2586A" w:rsidP="00FA1A13">
      <w:pPr>
        <w:widowControl w:val="0"/>
        <w:numPr>
          <w:ilvl w:val="0"/>
          <w:numId w:val="1"/>
        </w:numPr>
        <w:tabs>
          <w:tab w:val="clear" w:pos="1080"/>
          <w:tab w:val="num" w:pos="374"/>
        </w:tabs>
        <w:autoSpaceDE w:val="0"/>
        <w:autoSpaceDN w:val="0"/>
        <w:adjustRightInd w:val="0"/>
        <w:spacing w:line="276" w:lineRule="auto"/>
        <w:ind w:left="0" w:firstLine="0"/>
        <w:jc w:val="center"/>
        <w:rPr>
          <w:rFonts w:ascii="Arial" w:hAnsi="Arial" w:cs="Arial"/>
          <w:b/>
          <w:caps/>
          <w:szCs w:val="22"/>
        </w:rPr>
      </w:pPr>
      <w:r w:rsidRPr="00B71635">
        <w:rPr>
          <w:rFonts w:ascii="Arial" w:hAnsi="Arial" w:cs="Arial"/>
          <w:b/>
          <w:caps/>
          <w:szCs w:val="22"/>
        </w:rPr>
        <w:t xml:space="preserve"> </w:t>
      </w:r>
      <w:r w:rsidRPr="00B71635">
        <w:rPr>
          <w:rFonts w:ascii="Arial" w:hAnsi="Arial" w:cs="Arial"/>
          <w:b/>
          <w:szCs w:val="22"/>
        </w:rPr>
        <w:t>Consideraciones</w:t>
      </w:r>
      <w:r w:rsidRPr="00B71635">
        <w:rPr>
          <w:rFonts w:ascii="Arial" w:hAnsi="Arial" w:cs="Arial"/>
          <w:caps/>
          <w:szCs w:val="22"/>
        </w:rPr>
        <w:tab/>
      </w:r>
    </w:p>
    <w:p w:rsidR="00913FE6" w:rsidRPr="00B71635" w:rsidRDefault="00913FE6" w:rsidP="00913FE6">
      <w:pPr>
        <w:widowControl w:val="0"/>
        <w:autoSpaceDE w:val="0"/>
        <w:autoSpaceDN w:val="0"/>
        <w:adjustRightInd w:val="0"/>
        <w:spacing w:line="276" w:lineRule="auto"/>
        <w:rPr>
          <w:rFonts w:ascii="Arial" w:hAnsi="Arial" w:cs="Arial"/>
          <w:b/>
          <w:szCs w:val="22"/>
        </w:rPr>
      </w:pPr>
    </w:p>
    <w:p w:rsidR="00913FE6" w:rsidRPr="00B71635" w:rsidRDefault="00913FE6" w:rsidP="00913FE6">
      <w:pPr>
        <w:widowControl w:val="0"/>
        <w:autoSpaceDE w:val="0"/>
        <w:autoSpaceDN w:val="0"/>
        <w:adjustRightInd w:val="0"/>
        <w:ind w:left="708"/>
        <w:jc w:val="center"/>
        <w:rPr>
          <w:rFonts w:ascii="Arial" w:hAnsi="Arial" w:cs="Arial"/>
          <w:b/>
          <w:szCs w:val="22"/>
          <w:u w:val="single"/>
        </w:rPr>
      </w:pPr>
      <w:r w:rsidRPr="00B71635">
        <w:rPr>
          <w:rFonts w:ascii="Arial" w:hAnsi="Arial" w:cs="Arial"/>
          <w:b/>
          <w:szCs w:val="22"/>
          <w:u w:val="single"/>
        </w:rPr>
        <w:t>Ponencia Dra. Olga Lucía Hoyos Sepúlveda:</w:t>
      </w:r>
    </w:p>
    <w:p w:rsidR="00913FE6" w:rsidRPr="00B71635" w:rsidRDefault="00913FE6" w:rsidP="00913FE6">
      <w:pPr>
        <w:widowControl w:val="0"/>
        <w:autoSpaceDE w:val="0"/>
        <w:autoSpaceDN w:val="0"/>
        <w:adjustRightInd w:val="0"/>
        <w:ind w:left="708"/>
        <w:rPr>
          <w:rFonts w:ascii="Arial" w:hAnsi="Arial" w:cs="Arial"/>
          <w:szCs w:val="22"/>
        </w:rPr>
      </w:pPr>
    </w:p>
    <w:p w:rsidR="00913FE6" w:rsidRPr="00B71635" w:rsidRDefault="00913FE6" w:rsidP="00913FE6">
      <w:pPr>
        <w:pStyle w:val="Textoindependiente"/>
        <w:spacing w:line="276" w:lineRule="auto"/>
        <w:ind w:right="49" w:firstLine="708"/>
        <w:contextualSpacing/>
        <w:jc w:val="both"/>
        <w:rPr>
          <w:rFonts w:ascii="Arial" w:hAnsi="Arial" w:cs="Arial"/>
          <w:b/>
          <w:bCs/>
          <w:szCs w:val="22"/>
        </w:rPr>
      </w:pPr>
      <w:r w:rsidRPr="00B71635">
        <w:rPr>
          <w:rFonts w:ascii="Arial" w:hAnsi="Arial" w:cs="Arial"/>
          <w:b/>
          <w:bCs/>
          <w:szCs w:val="22"/>
        </w:rPr>
        <w:t>Imposibilidad de acumular tiempos de servicios en el sector público y cotizaciones al ISS para acceder a la pensión de vejez consagrada en el Acuerdo 049 de 1990.</w:t>
      </w:r>
    </w:p>
    <w:p w:rsidR="00913FE6" w:rsidRPr="00B71635" w:rsidRDefault="00913FE6" w:rsidP="00913FE6">
      <w:pPr>
        <w:pStyle w:val="Textoindependiente"/>
        <w:ind w:right="49" w:firstLine="708"/>
        <w:contextualSpacing/>
        <w:jc w:val="both"/>
        <w:rPr>
          <w:rFonts w:ascii="Arial" w:hAnsi="Arial" w:cs="Arial"/>
          <w:szCs w:val="22"/>
        </w:rPr>
      </w:pPr>
    </w:p>
    <w:p w:rsidR="00913FE6" w:rsidRPr="00B71635" w:rsidRDefault="00913FE6" w:rsidP="00913FE6">
      <w:pPr>
        <w:shd w:val="clear" w:color="auto" w:fill="FFFFFF"/>
        <w:tabs>
          <w:tab w:val="left" w:pos="5197"/>
        </w:tabs>
        <w:spacing w:line="276" w:lineRule="auto"/>
        <w:ind w:firstLine="709"/>
        <w:contextualSpacing/>
        <w:jc w:val="both"/>
        <w:rPr>
          <w:rFonts w:ascii="Arial" w:hAnsi="Arial" w:cs="Arial"/>
          <w:szCs w:val="22"/>
        </w:rPr>
      </w:pPr>
      <w:r w:rsidRPr="00B71635">
        <w:rPr>
          <w:rFonts w:ascii="Arial" w:hAnsi="Arial" w:cs="Arial"/>
          <w:szCs w:val="22"/>
        </w:rPr>
        <w:t>De conformidad con lo previsto por el artículo 12 del Acuerdo 049 de 1990 y para el caso de l</w:t>
      </w:r>
      <w:r w:rsidR="00177DF6" w:rsidRPr="00B71635">
        <w:rPr>
          <w:rFonts w:ascii="Arial" w:hAnsi="Arial" w:cs="Arial"/>
          <w:szCs w:val="22"/>
        </w:rPr>
        <w:t>a</w:t>
      </w:r>
      <w:r w:rsidRPr="00B71635">
        <w:rPr>
          <w:rFonts w:ascii="Arial" w:hAnsi="Arial" w:cs="Arial"/>
          <w:szCs w:val="22"/>
        </w:rPr>
        <w:t xml:space="preserve">s mujeres, para obtener el derecho a la pensión de vejez se requiere acreditar 55 años de edad y haber cotizado 1000 semanas en cualquier tiempo o 500 dentro de los 20 años anteriores al cumplimiento de esa edad. </w:t>
      </w:r>
    </w:p>
    <w:p w:rsidR="00913FE6" w:rsidRPr="00B71635" w:rsidRDefault="00913FE6" w:rsidP="00913FE6">
      <w:pPr>
        <w:shd w:val="clear" w:color="auto" w:fill="FFFFFF"/>
        <w:tabs>
          <w:tab w:val="left" w:pos="5197"/>
        </w:tabs>
        <w:spacing w:line="276" w:lineRule="auto"/>
        <w:contextualSpacing/>
        <w:jc w:val="both"/>
        <w:rPr>
          <w:rFonts w:ascii="Arial" w:hAnsi="Arial" w:cs="Arial"/>
          <w:szCs w:val="22"/>
        </w:rPr>
      </w:pPr>
    </w:p>
    <w:p w:rsidR="00913FE6" w:rsidRPr="00B71635" w:rsidRDefault="00913FE6" w:rsidP="00913FE6">
      <w:pPr>
        <w:shd w:val="clear" w:color="auto" w:fill="FFFFFF"/>
        <w:tabs>
          <w:tab w:val="left" w:pos="5197"/>
        </w:tabs>
        <w:spacing w:line="276" w:lineRule="auto"/>
        <w:ind w:firstLine="709"/>
        <w:contextualSpacing/>
        <w:jc w:val="both"/>
        <w:rPr>
          <w:rFonts w:ascii="Arial" w:hAnsi="Arial" w:cs="Arial"/>
          <w:szCs w:val="22"/>
        </w:rPr>
      </w:pPr>
      <w:r w:rsidRPr="00B71635">
        <w:rPr>
          <w:rFonts w:ascii="Arial" w:hAnsi="Arial" w:cs="Arial"/>
          <w:szCs w:val="22"/>
        </w:rPr>
        <w:t>Ahora bien, en relación con el cómputo del  tiempo cotizado, ha sido clara la jurisprudencia del órgano de cierre de la jurisdicción laboral</w:t>
      </w:r>
      <w:r w:rsidRPr="00B71635">
        <w:rPr>
          <w:rStyle w:val="Refdenotaalpie"/>
          <w:rFonts w:ascii="Arial" w:hAnsi="Arial" w:cs="Arial"/>
          <w:szCs w:val="22"/>
        </w:rPr>
        <w:footnoteReference w:id="1"/>
      </w:r>
      <w:r w:rsidRPr="00B71635">
        <w:rPr>
          <w:rFonts w:ascii="Arial" w:hAnsi="Arial" w:cs="Arial"/>
          <w:szCs w:val="22"/>
        </w:rPr>
        <w:t xml:space="preserve">, que los mismos deben ser cotizados de manera </w:t>
      </w:r>
      <w:r w:rsidRPr="00B71635">
        <w:rPr>
          <w:rFonts w:ascii="Arial" w:hAnsi="Arial" w:cs="Arial"/>
          <w:b/>
          <w:szCs w:val="22"/>
        </w:rPr>
        <w:t>exclusiva</w:t>
      </w:r>
      <w:r w:rsidRPr="00B71635">
        <w:rPr>
          <w:rFonts w:ascii="Arial" w:hAnsi="Arial" w:cs="Arial"/>
          <w:szCs w:val="22"/>
        </w:rPr>
        <w:t xml:space="preserve"> al ISS; y que el tiempo público se puede acumular con las cotizaciones efectuadas a la referida entidad de seguridad social solo para efectos de aplicar otras disposiciones, como las leyes 71 de 1988 y 100 de 1993 con sus modificaciones, pero </w:t>
      </w:r>
      <w:r w:rsidRPr="00B71635">
        <w:rPr>
          <w:rFonts w:ascii="Arial" w:hAnsi="Arial" w:cs="Arial"/>
          <w:b/>
          <w:szCs w:val="22"/>
        </w:rPr>
        <w:t xml:space="preserve">no </w:t>
      </w:r>
      <w:r w:rsidRPr="00B71635">
        <w:rPr>
          <w:rFonts w:ascii="Arial" w:hAnsi="Arial" w:cs="Arial"/>
          <w:szCs w:val="22"/>
        </w:rPr>
        <w:t>para el Acuerdo 049 de 1990.</w:t>
      </w:r>
    </w:p>
    <w:p w:rsidR="00913FE6" w:rsidRPr="00B71635" w:rsidRDefault="00913FE6" w:rsidP="00913FE6">
      <w:pPr>
        <w:widowControl w:val="0"/>
        <w:autoSpaceDE w:val="0"/>
        <w:autoSpaceDN w:val="0"/>
        <w:adjustRightInd w:val="0"/>
        <w:ind w:firstLine="708"/>
        <w:jc w:val="center"/>
        <w:rPr>
          <w:rFonts w:ascii="Arial" w:hAnsi="Arial" w:cs="Arial"/>
          <w:b/>
          <w:szCs w:val="22"/>
          <w:u w:val="single"/>
        </w:rPr>
      </w:pPr>
    </w:p>
    <w:p w:rsidR="00913FE6" w:rsidRPr="00B71635" w:rsidRDefault="00913FE6" w:rsidP="00913FE6">
      <w:pPr>
        <w:widowControl w:val="0"/>
        <w:autoSpaceDE w:val="0"/>
        <w:autoSpaceDN w:val="0"/>
        <w:adjustRightInd w:val="0"/>
        <w:ind w:firstLine="708"/>
        <w:jc w:val="center"/>
        <w:rPr>
          <w:rFonts w:ascii="Arial" w:hAnsi="Arial" w:cs="Arial"/>
          <w:b/>
          <w:szCs w:val="22"/>
          <w:u w:val="single"/>
        </w:rPr>
      </w:pPr>
      <w:r w:rsidRPr="00B71635">
        <w:rPr>
          <w:rFonts w:ascii="Arial" w:hAnsi="Arial" w:cs="Arial"/>
          <w:b/>
          <w:szCs w:val="22"/>
          <w:u w:val="single"/>
        </w:rPr>
        <w:t>Ponencia Dra. Ana Lucía Caicedo Calderón</w:t>
      </w:r>
    </w:p>
    <w:p w:rsidR="00913FE6" w:rsidRPr="00B71635" w:rsidRDefault="00913FE6" w:rsidP="00113D90">
      <w:pPr>
        <w:widowControl w:val="0"/>
        <w:autoSpaceDE w:val="0"/>
        <w:autoSpaceDN w:val="0"/>
        <w:adjustRightInd w:val="0"/>
        <w:spacing w:line="276" w:lineRule="auto"/>
        <w:ind w:left="708"/>
        <w:rPr>
          <w:rFonts w:ascii="Arial" w:hAnsi="Arial" w:cs="Arial"/>
          <w:b/>
          <w:szCs w:val="22"/>
        </w:rPr>
      </w:pPr>
    </w:p>
    <w:p w:rsidR="00727497" w:rsidRPr="00B71635" w:rsidRDefault="00DF7772" w:rsidP="00113D90">
      <w:pPr>
        <w:widowControl w:val="0"/>
        <w:autoSpaceDE w:val="0"/>
        <w:autoSpaceDN w:val="0"/>
        <w:adjustRightInd w:val="0"/>
        <w:spacing w:line="276" w:lineRule="auto"/>
        <w:ind w:left="708"/>
        <w:rPr>
          <w:rFonts w:ascii="Arial" w:hAnsi="Arial" w:cs="Arial"/>
          <w:b/>
          <w:szCs w:val="22"/>
        </w:rPr>
      </w:pPr>
      <w:r w:rsidRPr="00B71635">
        <w:rPr>
          <w:rFonts w:ascii="Arial" w:hAnsi="Arial" w:cs="Arial"/>
          <w:b/>
          <w:szCs w:val="22"/>
        </w:rPr>
        <w:t xml:space="preserve">Caso concreto </w:t>
      </w:r>
    </w:p>
    <w:p w:rsidR="00727497" w:rsidRPr="00B71635" w:rsidRDefault="00727497" w:rsidP="002C45AF">
      <w:pPr>
        <w:widowControl w:val="0"/>
        <w:autoSpaceDE w:val="0"/>
        <w:autoSpaceDN w:val="0"/>
        <w:adjustRightInd w:val="0"/>
        <w:ind w:left="708"/>
        <w:rPr>
          <w:rFonts w:ascii="Arial" w:hAnsi="Arial" w:cs="Arial"/>
          <w:szCs w:val="22"/>
        </w:rPr>
      </w:pPr>
    </w:p>
    <w:p w:rsidR="00082097" w:rsidRPr="00B71635" w:rsidRDefault="00583044" w:rsidP="00583044">
      <w:pPr>
        <w:widowControl w:val="0"/>
        <w:autoSpaceDE w:val="0"/>
        <w:autoSpaceDN w:val="0"/>
        <w:adjustRightInd w:val="0"/>
        <w:spacing w:line="276" w:lineRule="auto"/>
        <w:ind w:firstLine="708"/>
        <w:jc w:val="both"/>
        <w:rPr>
          <w:rFonts w:ascii="Arial" w:hAnsi="Arial" w:cs="Arial"/>
          <w:bCs/>
          <w:szCs w:val="22"/>
        </w:rPr>
      </w:pPr>
      <w:r w:rsidRPr="00B71635">
        <w:rPr>
          <w:rFonts w:ascii="Arial" w:hAnsi="Arial" w:cs="Arial"/>
          <w:szCs w:val="22"/>
        </w:rPr>
        <w:t xml:space="preserve">Para resolver el </w:t>
      </w:r>
      <w:r w:rsidR="00B971E1" w:rsidRPr="00B71635">
        <w:rPr>
          <w:rFonts w:ascii="Arial" w:hAnsi="Arial" w:cs="Arial"/>
          <w:szCs w:val="22"/>
        </w:rPr>
        <w:t xml:space="preserve">primer </w:t>
      </w:r>
      <w:r w:rsidRPr="00B71635">
        <w:rPr>
          <w:rFonts w:ascii="Arial" w:hAnsi="Arial" w:cs="Arial"/>
          <w:szCs w:val="22"/>
        </w:rPr>
        <w:t xml:space="preserve">problema jurídico planteado se dirá que </w:t>
      </w:r>
      <w:r w:rsidR="00B971E1" w:rsidRPr="00B71635">
        <w:rPr>
          <w:rFonts w:ascii="Arial" w:hAnsi="Arial" w:cs="Arial"/>
          <w:szCs w:val="22"/>
        </w:rPr>
        <w:t>la Sala mayoritaria comparte las razones de la A-quo para denegar las pretensiones de la demanda</w:t>
      </w:r>
      <w:r w:rsidR="00913FE6" w:rsidRPr="00B71635">
        <w:rPr>
          <w:rFonts w:ascii="Arial" w:hAnsi="Arial" w:cs="Arial"/>
          <w:szCs w:val="22"/>
        </w:rPr>
        <w:t xml:space="preserve">, como se explicó precedentemente, pero además </w:t>
      </w:r>
      <w:r w:rsidR="00B971E1" w:rsidRPr="00B71635">
        <w:rPr>
          <w:rFonts w:ascii="Arial" w:hAnsi="Arial" w:cs="Arial"/>
          <w:szCs w:val="22"/>
        </w:rPr>
        <w:t xml:space="preserve">la ponente llega a la misma conclusión </w:t>
      </w:r>
      <w:r w:rsidR="00A70AEA" w:rsidRPr="00B71635">
        <w:rPr>
          <w:rFonts w:ascii="Arial" w:hAnsi="Arial" w:cs="Arial"/>
          <w:szCs w:val="22"/>
        </w:rPr>
        <w:t>pero po</w:t>
      </w:r>
      <w:r w:rsidR="00B971E1" w:rsidRPr="00B71635">
        <w:rPr>
          <w:rFonts w:ascii="Arial" w:hAnsi="Arial" w:cs="Arial"/>
          <w:szCs w:val="22"/>
        </w:rPr>
        <w:t xml:space="preserve">r un motivo diferente, </w:t>
      </w:r>
      <w:r w:rsidR="00613C21" w:rsidRPr="00B71635">
        <w:rPr>
          <w:rFonts w:ascii="Arial" w:hAnsi="Arial" w:cs="Arial"/>
          <w:szCs w:val="22"/>
        </w:rPr>
        <w:t>cual</w:t>
      </w:r>
      <w:r w:rsidR="00A70AEA" w:rsidRPr="00B71635">
        <w:rPr>
          <w:rFonts w:ascii="Arial" w:hAnsi="Arial" w:cs="Arial"/>
          <w:szCs w:val="22"/>
        </w:rPr>
        <w:t xml:space="preserve"> </w:t>
      </w:r>
      <w:r w:rsidR="00613C21" w:rsidRPr="00B71635">
        <w:rPr>
          <w:rFonts w:ascii="Arial" w:hAnsi="Arial" w:cs="Arial"/>
          <w:szCs w:val="22"/>
        </w:rPr>
        <w:t>es</w:t>
      </w:r>
      <w:r w:rsidR="00A70AEA" w:rsidRPr="00B71635">
        <w:rPr>
          <w:rFonts w:ascii="Arial" w:hAnsi="Arial" w:cs="Arial"/>
          <w:szCs w:val="22"/>
        </w:rPr>
        <w:t xml:space="preserve"> </w:t>
      </w:r>
      <w:r w:rsidR="00B971E1" w:rsidRPr="00B71635">
        <w:rPr>
          <w:rFonts w:ascii="Arial" w:hAnsi="Arial" w:cs="Arial"/>
          <w:szCs w:val="22"/>
        </w:rPr>
        <w:t xml:space="preserve">que </w:t>
      </w:r>
      <w:r w:rsidR="00A70AEA" w:rsidRPr="00B71635">
        <w:rPr>
          <w:rFonts w:ascii="Arial" w:hAnsi="Arial" w:cs="Arial"/>
          <w:szCs w:val="22"/>
        </w:rPr>
        <w:t>la aplicación d</w:t>
      </w:r>
      <w:r w:rsidR="00A00D9B" w:rsidRPr="00B71635">
        <w:rPr>
          <w:rFonts w:ascii="Arial" w:hAnsi="Arial" w:cs="Arial"/>
          <w:bCs/>
          <w:szCs w:val="22"/>
        </w:rPr>
        <w:t xml:space="preserve">el precedente </w:t>
      </w:r>
      <w:r w:rsidR="00A70AEA" w:rsidRPr="00B71635">
        <w:rPr>
          <w:rFonts w:ascii="Arial" w:hAnsi="Arial" w:cs="Arial"/>
          <w:bCs/>
          <w:szCs w:val="22"/>
        </w:rPr>
        <w:t xml:space="preserve">establecido </w:t>
      </w:r>
      <w:r w:rsidR="00A00D9B" w:rsidRPr="00B71635">
        <w:rPr>
          <w:rFonts w:ascii="Arial" w:hAnsi="Arial" w:cs="Arial"/>
          <w:bCs/>
          <w:szCs w:val="22"/>
        </w:rPr>
        <w:t>en la sentencia SU-769 de 2014</w:t>
      </w:r>
      <w:r w:rsidR="002C3A90" w:rsidRPr="00B71635">
        <w:rPr>
          <w:rFonts w:ascii="Arial" w:hAnsi="Arial" w:cs="Arial"/>
          <w:bCs/>
          <w:szCs w:val="22"/>
        </w:rPr>
        <w:t xml:space="preserve"> </w:t>
      </w:r>
      <w:r w:rsidR="00177DF6" w:rsidRPr="00B71635">
        <w:rPr>
          <w:rFonts w:ascii="Arial" w:hAnsi="Arial" w:cs="Arial"/>
          <w:bCs/>
          <w:i/>
          <w:szCs w:val="22"/>
        </w:rPr>
        <w:t>-</w:t>
      </w:r>
      <w:r w:rsidR="002C3A90" w:rsidRPr="00B71635">
        <w:rPr>
          <w:rFonts w:ascii="Arial" w:hAnsi="Arial" w:cs="Arial"/>
          <w:bCs/>
          <w:i/>
          <w:szCs w:val="22"/>
        </w:rPr>
        <w:t>que avaló la posibilidad de conjugar cotizaciones realizadas en los sectores público y privado para acceder a la pensión de vejez enmarcada</w:t>
      </w:r>
      <w:r w:rsidR="00A00D9B" w:rsidRPr="00B71635">
        <w:rPr>
          <w:rFonts w:ascii="Arial" w:hAnsi="Arial" w:cs="Arial"/>
          <w:bCs/>
          <w:i/>
          <w:szCs w:val="22"/>
        </w:rPr>
        <w:t xml:space="preserve"> </w:t>
      </w:r>
      <w:r w:rsidR="002C3A90" w:rsidRPr="00B71635">
        <w:rPr>
          <w:rFonts w:ascii="Arial" w:hAnsi="Arial" w:cs="Arial"/>
          <w:bCs/>
          <w:i/>
          <w:szCs w:val="22"/>
        </w:rPr>
        <w:t>en el Acuerdo 049 de 1990-</w:t>
      </w:r>
      <w:r w:rsidR="002C3A90" w:rsidRPr="00B71635">
        <w:rPr>
          <w:rFonts w:ascii="Arial" w:hAnsi="Arial" w:cs="Arial"/>
          <w:bCs/>
          <w:szCs w:val="22"/>
        </w:rPr>
        <w:t xml:space="preserve"> </w:t>
      </w:r>
      <w:r w:rsidR="00A70AEA" w:rsidRPr="00B71635">
        <w:rPr>
          <w:rFonts w:ascii="Arial" w:hAnsi="Arial" w:cs="Arial"/>
          <w:bCs/>
          <w:szCs w:val="22"/>
        </w:rPr>
        <w:t xml:space="preserve">es </w:t>
      </w:r>
      <w:r w:rsidR="00A00D9B" w:rsidRPr="00B71635">
        <w:rPr>
          <w:rFonts w:ascii="Arial" w:hAnsi="Arial" w:cs="Arial"/>
          <w:bCs/>
          <w:szCs w:val="22"/>
        </w:rPr>
        <w:t>restrictiv</w:t>
      </w:r>
      <w:r w:rsidR="00A70AEA" w:rsidRPr="00B71635">
        <w:rPr>
          <w:rFonts w:ascii="Arial" w:hAnsi="Arial" w:cs="Arial"/>
          <w:bCs/>
          <w:szCs w:val="22"/>
        </w:rPr>
        <w:t>o</w:t>
      </w:r>
      <w:r w:rsidR="00A00D9B" w:rsidRPr="00B71635">
        <w:rPr>
          <w:rFonts w:ascii="Arial" w:hAnsi="Arial" w:cs="Arial"/>
          <w:bCs/>
          <w:szCs w:val="22"/>
        </w:rPr>
        <w:t xml:space="preserve"> y residual, </w:t>
      </w:r>
      <w:r w:rsidR="00A70AEA" w:rsidRPr="00B71635">
        <w:rPr>
          <w:rFonts w:ascii="Arial" w:hAnsi="Arial" w:cs="Arial"/>
          <w:bCs/>
          <w:szCs w:val="22"/>
        </w:rPr>
        <w:t xml:space="preserve">pues </w:t>
      </w:r>
      <w:r w:rsidR="00257688" w:rsidRPr="00B71635">
        <w:rPr>
          <w:rFonts w:ascii="Arial" w:hAnsi="Arial" w:cs="Arial"/>
          <w:bCs/>
          <w:szCs w:val="22"/>
        </w:rPr>
        <w:t xml:space="preserve">se da </w:t>
      </w:r>
      <w:r w:rsidR="00A70AEA" w:rsidRPr="00B71635">
        <w:rPr>
          <w:rFonts w:ascii="Arial" w:hAnsi="Arial" w:cs="Arial"/>
          <w:bCs/>
          <w:szCs w:val="22"/>
        </w:rPr>
        <w:t xml:space="preserve">cuando </w:t>
      </w:r>
      <w:r w:rsidR="00257688" w:rsidRPr="00B71635">
        <w:rPr>
          <w:rFonts w:ascii="Arial" w:hAnsi="Arial" w:cs="Arial"/>
          <w:bCs/>
          <w:szCs w:val="22"/>
        </w:rPr>
        <w:t xml:space="preserve">un afiliado o afiliada </w:t>
      </w:r>
      <w:r w:rsidR="00A70AEA" w:rsidRPr="00B71635">
        <w:rPr>
          <w:rFonts w:ascii="Arial" w:hAnsi="Arial" w:cs="Arial"/>
          <w:bCs/>
          <w:szCs w:val="22"/>
        </w:rPr>
        <w:t xml:space="preserve">no cuenta con cotizaciones suficientes en el sector privado, o cuando el número de semanas cotizadas en ambos sectores no alcanza el mínimo exigido por las normas que permiten el </w:t>
      </w:r>
      <w:r w:rsidR="00E2505B" w:rsidRPr="00B71635">
        <w:rPr>
          <w:rFonts w:ascii="Arial" w:hAnsi="Arial" w:cs="Arial"/>
          <w:bCs/>
          <w:szCs w:val="22"/>
        </w:rPr>
        <w:t>a</w:t>
      </w:r>
      <w:r w:rsidR="00A70AEA" w:rsidRPr="00B71635">
        <w:rPr>
          <w:rFonts w:ascii="Arial" w:hAnsi="Arial" w:cs="Arial"/>
          <w:bCs/>
          <w:szCs w:val="22"/>
        </w:rPr>
        <w:t>copio de aportes, a saber, la Ley 71 de 1988 y la Ley 100 de 1993</w:t>
      </w:r>
      <w:r w:rsidR="00257688" w:rsidRPr="00B71635">
        <w:rPr>
          <w:rFonts w:ascii="Arial" w:hAnsi="Arial" w:cs="Arial"/>
          <w:bCs/>
          <w:szCs w:val="22"/>
        </w:rPr>
        <w:t>;</w:t>
      </w:r>
      <w:r w:rsidR="00E0485B" w:rsidRPr="00B71635">
        <w:rPr>
          <w:rFonts w:ascii="Arial" w:hAnsi="Arial" w:cs="Arial"/>
          <w:bCs/>
          <w:szCs w:val="22"/>
        </w:rPr>
        <w:t xml:space="preserve"> lo cual no acontece en el caso de marras, pues la actora actualmente disfruta de la pensión de vejez estipulada en el artículo 9º de la Ley 797 de 2003, modificatorio del artículo 33 de la Ley 100 de 1993.</w:t>
      </w:r>
      <w:r w:rsidR="002C3A90" w:rsidRPr="00B71635">
        <w:rPr>
          <w:rFonts w:ascii="Arial" w:hAnsi="Arial" w:cs="Arial"/>
          <w:bCs/>
          <w:szCs w:val="22"/>
        </w:rPr>
        <w:t xml:space="preserve"> </w:t>
      </w:r>
      <w:r w:rsidR="00082097" w:rsidRPr="00B71635">
        <w:rPr>
          <w:rFonts w:ascii="Arial" w:hAnsi="Arial" w:cs="Arial"/>
          <w:bCs/>
          <w:szCs w:val="22"/>
        </w:rPr>
        <w:t xml:space="preserve">Por </w:t>
      </w:r>
      <w:r w:rsidR="002C3A90" w:rsidRPr="00B71635">
        <w:rPr>
          <w:rFonts w:ascii="Arial" w:hAnsi="Arial" w:cs="Arial"/>
          <w:bCs/>
          <w:szCs w:val="22"/>
        </w:rPr>
        <w:t>ello</w:t>
      </w:r>
      <w:r w:rsidR="00082097" w:rsidRPr="00B71635">
        <w:rPr>
          <w:rFonts w:ascii="Arial" w:hAnsi="Arial" w:cs="Arial"/>
          <w:bCs/>
          <w:szCs w:val="22"/>
        </w:rPr>
        <w:t>,</w:t>
      </w:r>
      <w:r w:rsidR="00913FE6" w:rsidRPr="00B71635">
        <w:rPr>
          <w:rFonts w:ascii="Arial" w:hAnsi="Arial" w:cs="Arial"/>
          <w:bCs/>
          <w:szCs w:val="22"/>
        </w:rPr>
        <w:t xml:space="preserve"> por esta vía también</w:t>
      </w:r>
      <w:r w:rsidR="00082097" w:rsidRPr="00B71635">
        <w:rPr>
          <w:rFonts w:ascii="Arial" w:hAnsi="Arial" w:cs="Arial"/>
          <w:bCs/>
          <w:szCs w:val="22"/>
        </w:rPr>
        <w:t xml:space="preserve"> se desestiman los fundamentos esbozados en la alzada para atacar el fallo de instancia.</w:t>
      </w:r>
    </w:p>
    <w:p w:rsidR="00E0485B" w:rsidRPr="00B71635" w:rsidRDefault="00E0485B" w:rsidP="00583044">
      <w:pPr>
        <w:widowControl w:val="0"/>
        <w:autoSpaceDE w:val="0"/>
        <w:autoSpaceDN w:val="0"/>
        <w:adjustRightInd w:val="0"/>
        <w:spacing w:line="276" w:lineRule="auto"/>
        <w:ind w:firstLine="708"/>
        <w:jc w:val="both"/>
        <w:rPr>
          <w:rFonts w:ascii="Arial" w:hAnsi="Arial" w:cs="Arial"/>
          <w:bCs/>
          <w:szCs w:val="22"/>
        </w:rPr>
      </w:pPr>
    </w:p>
    <w:p w:rsidR="0077394E" w:rsidRPr="00B71635" w:rsidRDefault="00E0485B" w:rsidP="00583044">
      <w:pPr>
        <w:widowControl w:val="0"/>
        <w:autoSpaceDE w:val="0"/>
        <w:autoSpaceDN w:val="0"/>
        <w:adjustRightInd w:val="0"/>
        <w:spacing w:line="276" w:lineRule="auto"/>
        <w:ind w:firstLine="708"/>
        <w:jc w:val="both"/>
        <w:rPr>
          <w:rFonts w:ascii="Arial" w:hAnsi="Arial" w:cs="Arial"/>
          <w:bCs/>
          <w:szCs w:val="22"/>
        </w:rPr>
      </w:pPr>
      <w:r w:rsidRPr="00B71635">
        <w:rPr>
          <w:rFonts w:ascii="Arial" w:hAnsi="Arial" w:cs="Arial"/>
          <w:bCs/>
          <w:szCs w:val="22"/>
        </w:rPr>
        <w:t xml:space="preserve">Por otra parte, se </w:t>
      </w:r>
      <w:r w:rsidR="008857B4" w:rsidRPr="00B71635">
        <w:rPr>
          <w:rFonts w:ascii="Arial" w:hAnsi="Arial" w:cs="Arial"/>
          <w:bCs/>
          <w:szCs w:val="22"/>
        </w:rPr>
        <w:t>considera</w:t>
      </w:r>
      <w:r w:rsidRPr="00B71635">
        <w:rPr>
          <w:rFonts w:ascii="Arial" w:hAnsi="Arial" w:cs="Arial"/>
          <w:bCs/>
          <w:szCs w:val="22"/>
        </w:rPr>
        <w:t xml:space="preserve"> acertado el discernimien</w:t>
      </w:r>
      <w:r w:rsidR="00257688" w:rsidRPr="00B71635">
        <w:rPr>
          <w:rFonts w:ascii="Arial" w:hAnsi="Arial" w:cs="Arial"/>
          <w:bCs/>
          <w:szCs w:val="22"/>
        </w:rPr>
        <w:t xml:space="preserve">to de la operadora judicial de primer grado </w:t>
      </w:r>
      <w:r w:rsidR="00915697" w:rsidRPr="00B71635">
        <w:rPr>
          <w:rFonts w:ascii="Arial" w:hAnsi="Arial" w:cs="Arial"/>
          <w:bCs/>
          <w:szCs w:val="22"/>
        </w:rPr>
        <w:t xml:space="preserve">frente a la </w:t>
      </w:r>
      <w:r w:rsidR="006D090C" w:rsidRPr="00B71635">
        <w:rPr>
          <w:rFonts w:ascii="Arial" w:hAnsi="Arial" w:cs="Arial"/>
          <w:bCs/>
          <w:szCs w:val="22"/>
        </w:rPr>
        <w:t>no favorabilidad de la aplicación de la Ley 71 de 1988</w:t>
      </w:r>
      <w:r w:rsidR="002C3A90" w:rsidRPr="00B71635">
        <w:rPr>
          <w:rFonts w:ascii="Arial" w:hAnsi="Arial" w:cs="Arial"/>
          <w:bCs/>
          <w:szCs w:val="22"/>
        </w:rPr>
        <w:t xml:space="preserve"> en el caso bajo estudio</w:t>
      </w:r>
      <w:r w:rsidR="006E4C1E" w:rsidRPr="00B71635">
        <w:rPr>
          <w:rFonts w:ascii="Arial" w:hAnsi="Arial" w:cs="Arial"/>
          <w:bCs/>
          <w:szCs w:val="22"/>
        </w:rPr>
        <w:t xml:space="preserve">, pues </w:t>
      </w:r>
      <w:r w:rsidR="00933FCD" w:rsidRPr="00B71635">
        <w:rPr>
          <w:rFonts w:ascii="Arial" w:hAnsi="Arial" w:cs="Arial"/>
          <w:bCs/>
          <w:szCs w:val="22"/>
        </w:rPr>
        <w:t xml:space="preserve">basta remitirse al contenido de la </w:t>
      </w:r>
      <w:r w:rsidR="000A7BB4" w:rsidRPr="00B71635">
        <w:rPr>
          <w:rFonts w:ascii="Arial" w:hAnsi="Arial" w:cs="Arial"/>
          <w:bCs/>
          <w:szCs w:val="22"/>
        </w:rPr>
        <w:t xml:space="preserve">Resolución </w:t>
      </w:r>
      <w:proofErr w:type="spellStart"/>
      <w:r w:rsidR="00933FCD" w:rsidRPr="00B71635">
        <w:rPr>
          <w:rFonts w:ascii="Arial" w:hAnsi="Arial" w:cs="Arial"/>
          <w:bCs/>
          <w:szCs w:val="22"/>
        </w:rPr>
        <w:t>GNR</w:t>
      </w:r>
      <w:proofErr w:type="spellEnd"/>
      <w:r w:rsidR="00933FCD" w:rsidRPr="00B71635">
        <w:rPr>
          <w:rFonts w:ascii="Arial" w:hAnsi="Arial" w:cs="Arial"/>
          <w:bCs/>
          <w:szCs w:val="22"/>
        </w:rPr>
        <w:t xml:space="preserve"> 39782 del 3 de febrero de 2017 para advertir que Colpensiones desplegó </w:t>
      </w:r>
      <w:r w:rsidR="0077394E" w:rsidRPr="00B71635">
        <w:rPr>
          <w:rFonts w:ascii="Arial" w:hAnsi="Arial" w:cs="Arial"/>
          <w:bCs/>
          <w:szCs w:val="22"/>
        </w:rPr>
        <w:t xml:space="preserve">un estudio adecuado cuando concluyó </w:t>
      </w:r>
      <w:r w:rsidR="00933FCD" w:rsidRPr="00B71635">
        <w:rPr>
          <w:rFonts w:ascii="Arial" w:hAnsi="Arial" w:cs="Arial"/>
          <w:bCs/>
          <w:szCs w:val="22"/>
        </w:rPr>
        <w:t xml:space="preserve">que </w:t>
      </w:r>
      <w:r w:rsidR="0077394E" w:rsidRPr="00B71635">
        <w:rPr>
          <w:rFonts w:ascii="Arial" w:hAnsi="Arial" w:cs="Arial"/>
          <w:bCs/>
          <w:szCs w:val="22"/>
        </w:rPr>
        <w:t xml:space="preserve">la tasa de reemplazo a la que tenía derecho la actora era del 75,71% </w:t>
      </w:r>
      <w:r w:rsidR="0077394E" w:rsidRPr="00B71635">
        <w:rPr>
          <w:rFonts w:ascii="Arial" w:hAnsi="Arial" w:cs="Arial"/>
          <w:bCs/>
          <w:i/>
          <w:szCs w:val="22"/>
        </w:rPr>
        <w:t>-</w:t>
      </w:r>
      <w:r w:rsidR="00257688" w:rsidRPr="00B71635">
        <w:rPr>
          <w:rFonts w:ascii="Arial" w:hAnsi="Arial" w:cs="Arial"/>
          <w:bCs/>
          <w:i/>
          <w:szCs w:val="22"/>
        </w:rPr>
        <w:t>derivada de</w:t>
      </w:r>
      <w:r w:rsidR="0077394E" w:rsidRPr="00B71635">
        <w:rPr>
          <w:rFonts w:ascii="Arial" w:hAnsi="Arial" w:cs="Arial"/>
          <w:bCs/>
          <w:i/>
          <w:szCs w:val="22"/>
        </w:rPr>
        <w:t xml:space="preserve"> la formula enmarcada en el artículo 34 de la Ley 100 de 1993-</w:t>
      </w:r>
      <w:r w:rsidR="0077394E" w:rsidRPr="00B71635">
        <w:rPr>
          <w:rFonts w:ascii="Arial" w:hAnsi="Arial" w:cs="Arial"/>
          <w:bCs/>
          <w:szCs w:val="22"/>
        </w:rPr>
        <w:t>; dicho porcentaje, que supera al 75% establecido en la Ley 71 de 1988, hacía improcedente la aplicación de esta última normatividad</w:t>
      </w:r>
      <w:r w:rsidR="002C3A90" w:rsidRPr="00B71635">
        <w:rPr>
          <w:rFonts w:ascii="Arial" w:hAnsi="Arial" w:cs="Arial"/>
          <w:bCs/>
          <w:szCs w:val="22"/>
        </w:rPr>
        <w:t xml:space="preserve"> por ir en detrimento de los intereses de la señora Gómez Gallo</w:t>
      </w:r>
      <w:r w:rsidR="0077394E" w:rsidRPr="00B71635">
        <w:rPr>
          <w:rFonts w:ascii="Arial" w:hAnsi="Arial" w:cs="Arial"/>
          <w:bCs/>
          <w:szCs w:val="22"/>
        </w:rPr>
        <w:t>.</w:t>
      </w:r>
    </w:p>
    <w:p w:rsidR="0077394E" w:rsidRPr="00B71635" w:rsidRDefault="0077394E" w:rsidP="00583044">
      <w:pPr>
        <w:widowControl w:val="0"/>
        <w:autoSpaceDE w:val="0"/>
        <w:autoSpaceDN w:val="0"/>
        <w:adjustRightInd w:val="0"/>
        <w:spacing w:line="276" w:lineRule="auto"/>
        <w:ind w:firstLine="708"/>
        <w:jc w:val="both"/>
        <w:rPr>
          <w:rFonts w:ascii="Arial" w:hAnsi="Arial" w:cs="Arial"/>
          <w:bCs/>
          <w:szCs w:val="22"/>
        </w:rPr>
      </w:pPr>
    </w:p>
    <w:p w:rsidR="00B712C0" w:rsidRPr="00B71635" w:rsidRDefault="00082097" w:rsidP="002C45AF">
      <w:pPr>
        <w:jc w:val="both"/>
        <w:rPr>
          <w:rFonts w:ascii="Arial" w:hAnsi="Arial" w:cs="Arial"/>
          <w:color w:val="000000"/>
          <w:szCs w:val="22"/>
        </w:rPr>
      </w:pPr>
      <w:r w:rsidRPr="00B71635">
        <w:rPr>
          <w:rFonts w:ascii="Arial" w:hAnsi="Arial" w:cs="Arial"/>
          <w:color w:val="000000"/>
          <w:szCs w:val="22"/>
        </w:rPr>
        <w:tab/>
        <w:t>En mérito de lo brevemente discurrido, se confirmará la sentencia objeto de alzada. Las costas de segunda instancia correrán a cargo de la apelante y a favor de Colpensiones en un 100%.</w:t>
      </w:r>
    </w:p>
    <w:p w:rsidR="00160FF3" w:rsidRPr="00B71635" w:rsidRDefault="00160FF3" w:rsidP="002C45AF">
      <w:pPr>
        <w:widowControl w:val="0"/>
        <w:autoSpaceDE w:val="0"/>
        <w:autoSpaceDN w:val="0"/>
        <w:adjustRightInd w:val="0"/>
        <w:ind w:firstLine="708"/>
        <w:jc w:val="both"/>
        <w:rPr>
          <w:rFonts w:ascii="Arial" w:hAnsi="Arial" w:cs="Arial"/>
          <w:szCs w:val="22"/>
        </w:rPr>
      </w:pPr>
    </w:p>
    <w:p w:rsidR="00583044" w:rsidRPr="00B71635" w:rsidRDefault="00583044" w:rsidP="00583044">
      <w:pPr>
        <w:pStyle w:val="Sangradetextonormal"/>
        <w:spacing w:line="276" w:lineRule="auto"/>
        <w:rPr>
          <w:rFonts w:ascii="Arial" w:hAnsi="Arial" w:cs="Arial"/>
          <w:szCs w:val="22"/>
        </w:rPr>
      </w:pPr>
      <w:r w:rsidRPr="00B71635">
        <w:rPr>
          <w:rFonts w:ascii="Arial" w:hAnsi="Arial" w:cs="Arial"/>
          <w:szCs w:val="22"/>
        </w:rPr>
        <w:t xml:space="preserve">En mérito de lo expuesto, el </w:t>
      </w:r>
      <w:r w:rsidRPr="00B71635">
        <w:rPr>
          <w:rFonts w:ascii="Arial" w:hAnsi="Arial" w:cs="Arial"/>
          <w:b/>
          <w:szCs w:val="22"/>
        </w:rPr>
        <w:t>Tribunal Superior del Distrito Judicial de Pereira (Risaralda)</w:t>
      </w:r>
      <w:r w:rsidRPr="00B71635">
        <w:rPr>
          <w:rFonts w:ascii="Arial" w:hAnsi="Arial" w:cs="Arial"/>
          <w:szCs w:val="22"/>
        </w:rPr>
        <w:t xml:space="preserve">, </w:t>
      </w:r>
      <w:r w:rsidRPr="00B71635">
        <w:rPr>
          <w:rFonts w:ascii="Arial" w:hAnsi="Arial" w:cs="Arial"/>
          <w:b/>
          <w:szCs w:val="22"/>
        </w:rPr>
        <w:t xml:space="preserve">Sala </w:t>
      </w:r>
      <w:r w:rsidR="00160FF3" w:rsidRPr="00B71635">
        <w:rPr>
          <w:rFonts w:ascii="Arial" w:hAnsi="Arial" w:cs="Arial"/>
          <w:b/>
          <w:szCs w:val="22"/>
        </w:rPr>
        <w:t>de Decisión Lab</w:t>
      </w:r>
      <w:r w:rsidRPr="00B71635">
        <w:rPr>
          <w:rFonts w:ascii="Arial" w:hAnsi="Arial" w:cs="Arial"/>
          <w:b/>
          <w:szCs w:val="22"/>
        </w:rPr>
        <w:t>oral</w:t>
      </w:r>
      <w:r w:rsidR="00160FF3" w:rsidRPr="00B71635">
        <w:rPr>
          <w:rFonts w:ascii="Arial" w:hAnsi="Arial" w:cs="Arial"/>
          <w:b/>
          <w:szCs w:val="22"/>
        </w:rPr>
        <w:t xml:space="preserve"> No. 1</w:t>
      </w:r>
      <w:r w:rsidRPr="00B71635">
        <w:rPr>
          <w:rFonts w:ascii="Arial" w:hAnsi="Arial" w:cs="Arial"/>
          <w:szCs w:val="22"/>
        </w:rPr>
        <w:t>, administrando justicia en nombre de la República y por autoridad de la Ley,</w:t>
      </w:r>
    </w:p>
    <w:p w:rsidR="00A307F7" w:rsidRPr="00B71635" w:rsidRDefault="00A307F7" w:rsidP="002C45AF">
      <w:pPr>
        <w:pStyle w:val="Sangradetextonormal"/>
        <w:spacing w:line="240" w:lineRule="auto"/>
        <w:rPr>
          <w:rFonts w:ascii="Arial" w:hAnsi="Arial" w:cs="Arial"/>
          <w:szCs w:val="22"/>
        </w:rPr>
      </w:pPr>
    </w:p>
    <w:p w:rsidR="00583044" w:rsidRPr="00B71635" w:rsidRDefault="00583044" w:rsidP="00583044">
      <w:pPr>
        <w:widowControl w:val="0"/>
        <w:autoSpaceDE w:val="0"/>
        <w:autoSpaceDN w:val="0"/>
        <w:adjustRightInd w:val="0"/>
        <w:spacing w:line="276" w:lineRule="auto"/>
        <w:jc w:val="center"/>
        <w:rPr>
          <w:rFonts w:ascii="Arial" w:hAnsi="Arial" w:cs="Arial"/>
          <w:b/>
          <w:szCs w:val="22"/>
        </w:rPr>
      </w:pPr>
      <w:r w:rsidRPr="00B71635">
        <w:rPr>
          <w:rFonts w:ascii="Arial" w:hAnsi="Arial" w:cs="Arial"/>
          <w:b/>
          <w:szCs w:val="22"/>
        </w:rPr>
        <w:t>R E S U E L V E:</w:t>
      </w:r>
    </w:p>
    <w:p w:rsidR="00583044" w:rsidRPr="00B71635" w:rsidRDefault="00583044" w:rsidP="002C45AF">
      <w:pPr>
        <w:widowControl w:val="0"/>
        <w:autoSpaceDE w:val="0"/>
        <w:autoSpaceDN w:val="0"/>
        <w:adjustRightInd w:val="0"/>
        <w:jc w:val="both"/>
        <w:rPr>
          <w:rFonts w:ascii="Arial" w:hAnsi="Arial" w:cs="Arial"/>
          <w:szCs w:val="22"/>
        </w:rPr>
      </w:pPr>
    </w:p>
    <w:p w:rsidR="00160FF3" w:rsidRPr="00B71635" w:rsidRDefault="00583044" w:rsidP="00160FF3">
      <w:pPr>
        <w:spacing w:line="276" w:lineRule="auto"/>
        <w:ind w:firstLine="708"/>
        <w:jc w:val="both"/>
        <w:rPr>
          <w:rFonts w:ascii="Arial" w:hAnsi="Arial" w:cs="Arial"/>
          <w:szCs w:val="22"/>
        </w:rPr>
      </w:pPr>
      <w:r w:rsidRPr="00B71635">
        <w:rPr>
          <w:rFonts w:ascii="Arial" w:hAnsi="Arial" w:cs="Arial"/>
          <w:b/>
          <w:szCs w:val="22"/>
          <w:u w:val="single"/>
        </w:rPr>
        <w:t>PRIMERO</w:t>
      </w:r>
      <w:r w:rsidRPr="00B71635">
        <w:rPr>
          <w:rFonts w:ascii="Arial" w:hAnsi="Arial" w:cs="Arial"/>
          <w:szCs w:val="22"/>
        </w:rPr>
        <w:t xml:space="preserve">.- </w:t>
      </w:r>
      <w:r w:rsidR="008857B4" w:rsidRPr="00B71635">
        <w:rPr>
          <w:rFonts w:ascii="Arial" w:hAnsi="Arial" w:cs="Arial"/>
          <w:b/>
          <w:szCs w:val="22"/>
        </w:rPr>
        <w:t>CONFIRMAR</w:t>
      </w:r>
      <w:r w:rsidR="00160FF3" w:rsidRPr="00B71635">
        <w:rPr>
          <w:rFonts w:ascii="Arial" w:hAnsi="Arial" w:cs="Arial"/>
          <w:szCs w:val="22"/>
        </w:rPr>
        <w:t xml:space="preserve"> la sentencia proferida por el Juzgado </w:t>
      </w:r>
      <w:r w:rsidR="0073296D" w:rsidRPr="00B71635">
        <w:rPr>
          <w:rFonts w:ascii="Arial" w:hAnsi="Arial" w:cs="Arial"/>
          <w:szCs w:val="22"/>
        </w:rPr>
        <w:t xml:space="preserve">Quinto </w:t>
      </w:r>
      <w:r w:rsidR="00160FF3" w:rsidRPr="00B71635">
        <w:rPr>
          <w:rFonts w:ascii="Arial" w:hAnsi="Arial" w:cs="Arial"/>
          <w:szCs w:val="22"/>
        </w:rPr>
        <w:t>Laboral del Circuito de Pereira dentro del proceso laboral</w:t>
      </w:r>
      <w:r w:rsidR="00160FF3" w:rsidRPr="00B71635">
        <w:rPr>
          <w:rFonts w:ascii="Arial" w:hAnsi="Arial" w:cs="Arial"/>
          <w:szCs w:val="22"/>
          <w:lang w:val="es-ES_tradnl"/>
        </w:rPr>
        <w:t xml:space="preserve"> instaurado por </w:t>
      </w:r>
      <w:r w:rsidR="008857B4" w:rsidRPr="00B71635">
        <w:rPr>
          <w:rFonts w:ascii="Arial" w:hAnsi="Arial" w:cs="Arial"/>
          <w:b/>
          <w:szCs w:val="22"/>
          <w:lang w:val="es-ES_tradnl"/>
        </w:rPr>
        <w:t xml:space="preserve">Gloria Inés Gómez Gallo </w:t>
      </w:r>
      <w:r w:rsidR="008857B4" w:rsidRPr="00B71635">
        <w:rPr>
          <w:rFonts w:ascii="Arial" w:hAnsi="Arial" w:cs="Arial"/>
          <w:szCs w:val="22"/>
          <w:lang w:val="es-ES_tradnl"/>
        </w:rPr>
        <w:t xml:space="preserve">en contra de la </w:t>
      </w:r>
      <w:r w:rsidR="008857B4" w:rsidRPr="00B71635">
        <w:rPr>
          <w:rFonts w:ascii="Arial" w:hAnsi="Arial" w:cs="Arial"/>
          <w:b/>
          <w:szCs w:val="22"/>
          <w:lang w:val="es-ES_tradnl"/>
        </w:rPr>
        <w:t>Administradora Colombiana de Pensiones – Colpensiones.</w:t>
      </w:r>
    </w:p>
    <w:p w:rsidR="00160FF3" w:rsidRPr="00B71635" w:rsidRDefault="00160FF3" w:rsidP="002C45AF">
      <w:pPr>
        <w:ind w:firstLine="708"/>
        <w:jc w:val="both"/>
        <w:rPr>
          <w:rFonts w:ascii="Arial" w:hAnsi="Arial" w:cs="Arial"/>
          <w:szCs w:val="22"/>
        </w:rPr>
      </w:pPr>
    </w:p>
    <w:p w:rsidR="00E2505B" w:rsidRPr="00B71635" w:rsidRDefault="00160FF3" w:rsidP="008857B4">
      <w:pPr>
        <w:spacing w:line="276" w:lineRule="auto"/>
        <w:ind w:firstLine="708"/>
        <w:jc w:val="both"/>
        <w:rPr>
          <w:rFonts w:ascii="Arial" w:hAnsi="Arial" w:cs="Arial"/>
          <w:szCs w:val="22"/>
        </w:rPr>
      </w:pPr>
      <w:r w:rsidRPr="00B71635">
        <w:rPr>
          <w:rFonts w:ascii="Arial" w:hAnsi="Arial" w:cs="Arial"/>
          <w:b/>
          <w:szCs w:val="22"/>
          <w:u w:val="single"/>
          <w:lang w:val="es-ES_tradnl"/>
        </w:rPr>
        <w:t>SEGUNDO</w:t>
      </w:r>
      <w:r w:rsidRPr="00B71635">
        <w:rPr>
          <w:rFonts w:ascii="Arial" w:hAnsi="Arial" w:cs="Arial"/>
          <w:b/>
          <w:szCs w:val="22"/>
          <w:lang w:val="es-ES_tradnl"/>
        </w:rPr>
        <w:t xml:space="preserve">.- </w:t>
      </w:r>
      <w:r w:rsidR="00E2505B" w:rsidRPr="00B71635">
        <w:rPr>
          <w:rFonts w:ascii="Arial" w:hAnsi="Arial" w:cs="Arial"/>
          <w:b/>
          <w:szCs w:val="22"/>
          <w:lang w:val="es-ES_tradnl"/>
        </w:rPr>
        <w:t xml:space="preserve">CONDENAR </w:t>
      </w:r>
      <w:r w:rsidR="00E2505B" w:rsidRPr="00B71635">
        <w:rPr>
          <w:rFonts w:ascii="Arial" w:hAnsi="Arial" w:cs="Arial"/>
          <w:szCs w:val="22"/>
          <w:lang w:val="es-ES_tradnl"/>
        </w:rPr>
        <w:t xml:space="preserve">en costas procesales de </w:t>
      </w:r>
      <w:r w:rsidR="008857B4" w:rsidRPr="00B71635">
        <w:rPr>
          <w:rFonts w:ascii="Arial" w:hAnsi="Arial" w:cs="Arial"/>
          <w:szCs w:val="22"/>
          <w:lang w:val="es-ES_tradnl"/>
        </w:rPr>
        <w:t xml:space="preserve">segunda </w:t>
      </w:r>
      <w:r w:rsidR="00E2505B" w:rsidRPr="00B71635">
        <w:rPr>
          <w:rFonts w:ascii="Arial" w:hAnsi="Arial" w:cs="Arial"/>
          <w:szCs w:val="22"/>
          <w:lang w:val="es-ES_tradnl"/>
        </w:rPr>
        <w:t xml:space="preserve">instancia a la </w:t>
      </w:r>
      <w:r w:rsidR="008857B4" w:rsidRPr="00B71635">
        <w:rPr>
          <w:rFonts w:ascii="Arial" w:hAnsi="Arial" w:cs="Arial"/>
          <w:szCs w:val="22"/>
          <w:lang w:val="es-ES_tradnl"/>
        </w:rPr>
        <w:t xml:space="preserve">parte apelante, </w:t>
      </w:r>
      <w:r w:rsidR="00E2505B" w:rsidRPr="00B71635">
        <w:rPr>
          <w:rFonts w:ascii="Arial" w:hAnsi="Arial" w:cs="Arial"/>
          <w:szCs w:val="22"/>
          <w:lang w:val="es-ES_tradnl"/>
        </w:rPr>
        <w:t xml:space="preserve"> a favor de </w:t>
      </w:r>
      <w:r w:rsidR="008857B4" w:rsidRPr="00B71635">
        <w:rPr>
          <w:rFonts w:ascii="Arial" w:hAnsi="Arial" w:cs="Arial"/>
          <w:szCs w:val="22"/>
          <w:lang w:val="es-ES_tradnl"/>
        </w:rPr>
        <w:t xml:space="preserve">Colpensiones </w:t>
      </w:r>
      <w:r w:rsidR="00E2505B" w:rsidRPr="00B71635">
        <w:rPr>
          <w:rFonts w:ascii="Arial" w:hAnsi="Arial" w:cs="Arial"/>
          <w:szCs w:val="22"/>
          <w:lang w:val="es-ES_tradnl"/>
        </w:rPr>
        <w:t xml:space="preserve">en un </w:t>
      </w:r>
      <w:r w:rsidR="008857B4" w:rsidRPr="00B71635">
        <w:rPr>
          <w:rFonts w:ascii="Arial" w:hAnsi="Arial" w:cs="Arial"/>
          <w:szCs w:val="22"/>
          <w:lang w:val="es-ES_tradnl"/>
        </w:rPr>
        <w:t>10</w:t>
      </w:r>
      <w:r w:rsidR="00E2505B" w:rsidRPr="00B71635">
        <w:rPr>
          <w:rFonts w:ascii="Arial" w:hAnsi="Arial" w:cs="Arial"/>
          <w:szCs w:val="22"/>
          <w:lang w:val="es-ES_tradnl"/>
        </w:rPr>
        <w:t>0%. Liquídense por la secretaría del juzgado de origen.</w:t>
      </w:r>
    </w:p>
    <w:p w:rsidR="002B23D9" w:rsidRPr="00B71635" w:rsidRDefault="002B23D9" w:rsidP="00583044">
      <w:pPr>
        <w:spacing w:line="276" w:lineRule="auto"/>
        <w:ind w:firstLine="708"/>
        <w:jc w:val="both"/>
        <w:rPr>
          <w:rFonts w:ascii="Arial" w:hAnsi="Arial" w:cs="Arial"/>
          <w:szCs w:val="22"/>
          <w:lang w:val="es-ES_tradnl"/>
        </w:rPr>
      </w:pPr>
    </w:p>
    <w:p w:rsidR="00583044" w:rsidRPr="00B71635" w:rsidRDefault="00583044" w:rsidP="00583044">
      <w:pPr>
        <w:widowControl w:val="0"/>
        <w:autoSpaceDE w:val="0"/>
        <w:autoSpaceDN w:val="0"/>
        <w:adjustRightInd w:val="0"/>
        <w:spacing w:line="276" w:lineRule="auto"/>
        <w:ind w:firstLine="709"/>
        <w:jc w:val="both"/>
        <w:rPr>
          <w:rFonts w:ascii="Arial" w:hAnsi="Arial" w:cs="Arial"/>
          <w:b/>
          <w:bCs/>
          <w:szCs w:val="22"/>
        </w:rPr>
      </w:pPr>
      <w:r w:rsidRPr="00B71635">
        <w:rPr>
          <w:rFonts w:ascii="Arial" w:hAnsi="Arial" w:cs="Arial"/>
          <w:b/>
          <w:bCs/>
          <w:szCs w:val="22"/>
        </w:rPr>
        <w:t>Notificación surtida en estrados.</w:t>
      </w:r>
    </w:p>
    <w:p w:rsidR="00583044" w:rsidRPr="00B71635" w:rsidRDefault="00583044" w:rsidP="00583044">
      <w:pPr>
        <w:pStyle w:val="Sinespaciado"/>
        <w:spacing w:line="276" w:lineRule="auto"/>
        <w:ind w:firstLine="709"/>
        <w:rPr>
          <w:rFonts w:ascii="Arial" w:hAnsi="Arial" w:cs="Arial"/>
          <w:szCs w:val="22"/>
        </w:rPr>
      </w:pPr>
    </w:p>
    <w:p w:rsidR="00583044" w:rsidRPr="00B71635" w:rsidRDefault="00583044" w:rsidP="00583044">
      <w:pPr>
        <w:widowControl w:val="0"/>
        <w:autoSpaceDE w:val="0"/>
        <w:autoSpaceDN w:val="0"/>
        <w:adjustRightInd w:val="0"/>
        <w:spacing w:line="276" w:lineRule="auto"/>
        <w:ind w:firstLine="709"/>
        <w:jc w:val="both"/>
        <w:rPr>
          <w:rFonts w:ascii="Arial" w:hAnsi="Arial" w:cs="Arial"/>
          <w:szCs w:val="22"/>
        </w:rPr>
      </w:pPr>
      <w:r w:rsidRPr="00B71635">
        <w:rPr>
          <w:rFonts w:ascii="Arial" w:hAnsi="Arial" w:cs="Arial"/>
          <w:b/>
          <w:szCs w:val="22"/>
        </w:rPr>
        <w:t>Cúmplase</w:t>
      </w:r>
      <w:r w:rsidRPr="00B71635">
        <w:rPr>
          <w:rFonts w:ascii="Arial" w:hAnsi="Arial" w:cs="Arial"/>
          <w:szCs w:val="22"/>
        </w:rPr>
        <w:t xml:space="preserve"> y </w:t>
      </w:r>
      <w:r w:rsidRPr="00B71635">
        <w:rPr>
          <w:rFonts w:ascii="Arial" w:hAnsi="Arial" w:cs="Arial"/>
          <w:b/>
          <w:szCs w:val="22"/>
        </w:rPr>
        <w:t>devuélvase</w:t>
      </w:r>
      <w:r w:rsidRPr="00B71635">
        <w:rPr>
          <w:rFonts w:ascii="Arial" w:hAnsi="Arial" w:cs="Arial"/>
          <w:szCs w:val="22"/>
        </w:rPr>
        <w:t xml:space="preserve"> el expediente al Juzgado de origen.</w:t>
      </w:r>
    </w:p>
    <w:p w:rsidR="00ED7D79" w:rsidRPr="00B71635" w:rsidRDefault="00ED7D79" w:rsidP="00583044">
      <w:pPr>
        <w:pStyle w:val="Sinespaciado"/>
        <w:spacing w:line="276" w:lineRule="auto"/>
        <w:ind w:firstLine="709"/>
        <w:rPr>
          <w:rFonts w:ascii="Arial" w:hAnsi="Arial" w:cs="Arial"/>
          <w:szCs w:val="22"/>
        </w:rPr>
      </w:pPr>
    </w:p>
    <w:p w:rsidR="008F70F4" w:rsidRPr="00B71635" w:rsidRDefault="008F70F4" w:rsidP="008F70F4">
      <w:pPr>
        <w:spacing w:line="276" w:lineRule="auto"/>
        <w:ind w:firstLine="709"/>
        <w:jc w:val="both"/>
        <w:rPr>
          <w:rFonts w:ascii="Arial" w:hAnsi="Arial" w:cs="Arial"/>
          <w:szCs w:val="22"/>
        </w:rPr>
      </w:pPr>
      <w:r w:rsidRPr="00B71635">
        <w:rPr>
          <w:rFonts w:ascii="Arial" w:hAnsi="Arial" w:cs="Arial"/>
          <w:szCs w:val="22"/>
        </w:rPr>
        <w:t>La Magistrada ponente,</w:t>
      </w:r>
    </w:p>
    <w:p w:rsidR="008F70F4" w:rsidRPr="00B71635" w:rsidRDefault="008F70F4" w:rsidP="008F70F4">
      <w:pPr>
        <w:pStyle w:val="Sinespaciado"/>
        <w:spacing w:line="276" w:lineRule="auto"/>
        <w:ind w:firstLine="709"/>
        <w:rPr>
          <w:rFonts w:ascii="Arial" w:hAnsi="Arial" w:cs="Arial"/>
          <w:szCs w:val="22"/>
        </w:rPr>
      </w:pPr>
    </w:p>
    <w:p w:rsidR="008F70F4" w:rsidRPr="00B71635" w:rsidRDefault="008F70F4" w:rsidP="008F70F4">
      <w:pPr>
        <w:pStyle w:val="Sinespaciado"/>
        <w:spacing w:line="276" w:lineRule="auto"/>
        <w:ind w:firstLine="709"/>
        <w:rPr>
          <w:rFonts w:ascii="Arial" w:hAnsi="Arial" w:cs="Arial"/>
          <w:szCs w:val="22"/>
        </w:rPr>
      </w:pPr>
    </w:p>
    <w:p w:rsidR="008F70F4" w:rsidRPr="00B71635" w:rsidRDefault="008F70F4" w:rsidP="008F70F4">
      <w:pPr>
        <w:pStyle w:val="Sinespaciado"/>
        <w:spacing w:line="276" w:lineRule="auto"/>
        <w:ind w:firstLine="709"/>
        <w:rPr>
          <w:rFonts w:ascii="Arial" w:hAnsi="Arial" w:cs="Arial"/>
          <w:szCs w:val="22"/>
        </w:rPr>
      </w:pPr>
    </w:p>
    <w:p w:rsidR="008F70F4" w:rsidRPr="00B71635" w:rsidRDefault="008F70F4" w:rsidP="008F70F4">
      <w:pPr>
        <w:pStyle w:val="Ttulo3"/>
        <w:spacing w:before="0" w:after="0" w:line="276" w:lineRule="auto"/>
        <w:ind w:firstLine="709"/>
        <w:jc w:val="center"/>
        <w:rPr>
          <w:b w:val="0"/>
          <w:bCs w:val="0"/>
          <w:sz w:val="24"/>
          <w:szCs w:val="22"/>
        </w:rPr>
      </w:pPr>
      <w:r w:rsidRPr="00B71635">
        <w:rPr>
          <w:sz w:val="24"/>
          <w:szCs w:val="22"/>
        </w:rPr>
        <w:t>ANA LUCÍA CAICEDO CALDERÓN</w:t>
      </w:r>
    </w:p>
    <w:p w:rsidR="008F70F4" w:rsidRPr="00B71635" w:rsidRDefault="008F70F4" w:rsidP="008F70F4">
      <w:pPr>
        <w:pStyle w:val="Sinespaciado"/>
        <w:spacing w:line="276" w:lineRule="auto"/>
        <w:ind w:left="4247" w:firstLine="1"/>
        <w:rPr>
          <w:rFonts w:ascii="Arial" w:hAnsi="Arial" w:cs="Arial"/>
          <w:szCs w:val="22"/>
        </w:rPr>
      </w:pPr>
      <w:r w:rsidRPr="00B71635">
        <w:rPr>
          <w:rFonts w:ascii="Arial" w:hAnsi="Arial" w:cs="Arial"/>
          <w:szCs w:val="22"/>
        </w:rPr>
        <w:t xml:space="preserve"> Aclara voto</w:t>
      </w:r>
    </w:p>
    <w:p w:rsidR="008F70F4" w:rsidRPr="00B71635" w:rsidRDefault="008F70F4" w:rsidP="008F70F4">
      <w:pPr>
        <w:pStyle w:val="Sinespaciado"/>
        <w:spacing w:line="276" w:lineRule="auto"/>
        <w:ind w:firstLine="709"/>
        <w:rPr>
          <w:rFonts w:ascii="Arial" w:hAnsi="Arial" w:cs="Arial"/>
          <w:szCs w:val="22"/>
        </w:rPr>
      </w:pPr>
    </w:p>
    <w:p w:rsidR="008F70F4" w:rsidRPr="00B71635" w:rsidRDefault="008F70F4" w:rsidP="008F70F4">
      <w:pPr>
        <w:spacing w:line="276" w:lineRule="auto"/>
        <w:ind w:firstLine="709"/>
        <w:jc w:val="both"/>
        <w:rPr>
          <w:rFonts w:ascii="Arial" w:hAnsi="Arial" w:cs="Arial"/>
          <w:szCs w:val="22"/>
        </w:rPr>
      </w:pPr>
      <w:r w:rsidRPr="00B71635">
        <w:rPr>
          <w:rFonts w:ascii="Arial" w:hAnsi="Arial" w:cs="Arial"/>
          <w:szCs w:val="22"/>
        </w:rPr>
        <w:t>La Magistrada ponente,</w:t>
      </w:r>
      <w:r w:rsidRPr="00B71635">
        <w:rPr>
          <w:rFonts w:ascii="Arial" w:hAnsi="Arial" w:cs="Arial"/>
          <w:szCs w:val="22"/>
        </w:rPr>
        <w:tab/>
      </w:r>
      <w:r w:rsidRPr="00B71635">
        <w:rPr>
          <w:rFonts w:ascii="Arial" w:hAnsi="Arial" w:cs="Arial"/>
          <w:szCs w:val="22"/>
        </w:rPr>
        <w:tab/>
      </w:r>
      <w:r w:rsidRPr="00B71635">
        <w:rPr>
          <w:rFonts w:ascii="Arial" w:hAnsi="Arial" w:cs="Arial"/>
          <w:szCs w:val="22"/>
        </w:rPr>
        <w:tab/>
      </w:r>
      <w:r w:rsidRPr="00B71635">
        <w:rPr>
          <w:rFonts w:ascii="Arial" w:hAnsi="Arial" w:cs="Arial"/>
          <w:szCs w:val="22"/>
        </w:rPr>
        <w:tab/>
        <w:t>El Magistrado,</w:t>
      </w:r>
    </w:p>
    <w:p w:rsidR="008F70F4" w:rsidRPr="00B71635" w:rsidRDefault="008F70F4" w:rsidP="008F70F4">
      <w:pPr>
        <w:pStyle w:val="Sinespaciado"/>
        <w:spacing w:line="276" w:lineRule="auto"/>
        <w:ind w:firstLine="709"/>
        <w:rPr>
          <w:rFonts w:ascii="Arial" w:hAnsi="Arial" w:cs="Arial"/>
          <w:szCs w:val="22"/>
        </w:rPr>
      </w:pPr>
    </w:p>
    <w:p w:rsidR="008F70F4" w:rsidRPr="00B71635" w:rsidRDefault="008F70F4" w:rsidP="008F70F4">
      <w:pPr>
        <w:pStyle w:val="Sinespaciado"/>
        <w:spacing w:line="276" w:lineRule="auto"/>
        <w:ind w:firstLine="709"/>
        <w:rPr>
          <w:rFonts w:ascii="Arial" w:hAnsi="Arial" w:cs="Arial"/>
          <w:szCs w:val="22"/>
        </w:rPr>
      </w:pPr>
    </w:p>
    <w:p w:rsidR="008F70F4" w:rsidRPr="00B71635" w:rsidRDefault="008F70F4" w:rsidP="008F70F4">
      <w:pPr>
        <w:spacing w:line="276" w:lineRule="auto"/>
        <w:rPr>
          <w:rFonts w:ascii="Arial" w:hAnsi="Arial" w:cs="Arial"/>
          <w:b/>
          <w:szCs w:val="22"/>
        </w:rPr>
      </w:pPr>
    </w:p>
    <w:p w:rsidR="008F70F4" w:rsidRPr="00B71635" w:rsidRDefault="008F70F4" w:rsidP="008F70F4">
      <w:pPr>
        <w:spacing w:line="276" w:lineRule="auto"/>
        <w:rPr>
          <w:rFonts w:ascii="Arial" w:hAnsi="Arial" w:cs="Arial"/>
          <w:b/>
          <w:szCs w:val="22"/>
        </w:rPr>
      </w:pPr>
      <w:r w:rsidRPr="00B71635">
        <w:rPr>
          <w:rFonts w:ascii="Arial" w:hAnsi="Arial" w:cs="Arial"/>
          <w:b/>
          <w:szCs w:val="22"/>
        </w:rPr>
        <w:t>OLGA LUCÍA HOYOS SEPÚLVEDA</w:t>
      </w:r>
      <w:r w:rsidR="008C54EF" w:rsidRPr="00B71635">
        <w:rPr>
          <w:rFonts w:ascii="Arial" w:hAnsi="Arial" w:cs="Arial"/>
          <w:b/>
          <w:szCs w:val="22"/>
        </w:rPr>
        <w:tab/>
      </w:r>
      <w:r w:rsidR="008C54EF" w:rsidRPr="00B71635">
        <w:rPr>
          <w:rFonts w:ascii="Arial" w:hAnsi="Arial" w:cs="Arial"/>
          <w:b/>
          <w:szCs w:val="22"/>
        </w:rPr>
        <w:tab/>
        <w:t xml:space="preserve">   </w:t>
      </w:r>
      <w:r w:rsidRPr="00B71635">
        <w:rPr>
          <w:rFonts w:ascii="Arial" w:hAnsi="Arial" w:cs="Arial"/>
          <w:b/>
          <w:szCs w:val="22"/>
        </w:rPr>
        <w:t>JULIO CÉSAR SALAZAR MUÑOZ</w:t>
      </w:r>
    </w:p>
    <w:p w:rsidR="00DF17AC" w:rsidRPr="00B71635" w:rsidRDefault="00DF17AC" w:rsidP="0057407F">
      <w:pPr>
        <w:spacing w:line="276" w:lineRule="auto"/>
        <w:rPr>
          <w:rFonts w:ascii="Arial" w:hAnsi="Arial" w:cs="Arial"/>
          <w:szCs w:val="22"/>
        </w:rPr>
      </w:pPr>
    </w:p>
    <w:p w:rsidR="003539B5" w:rsidRDefault="003539B5">
      <w:pPr>
        <w:spacing w:after="160" w:line="259" w:lineRule="auto"/>
        <w:rPr>
          <w:rFonts w:ascii="Tahoma" w:hAnsi="Tahoma" w:cs="Tahoma"/>
          <w:szCs w:val="22"/>
        </w:rPr>
      </w:pPr>
      <w:r>
        <w:rPr>
          <w:rFonts w:ascii="Tahoma" w:hAnsi="Tahoma" w:cs="Tahoma"/>
          <w:szCs w:val="22"/>
        </w:rPr>
        <w:br w:type="page"/>
      </w:r>
    </w:p>
    <w:p w:rsidR="003539B5" w:rsidRPr="003539B5" w:rsidRDefault="003539B5" w:rsidP="003539B5">
      <w:pPr>
        <w:widowControl w:val="0"/>
        <w:autoSpaceDE w:val="0"/>
        <w:autoSpaceDN w:val="0"/>
        <w:adjustRightInd w:val="0"/>
        <w:jc w:val="both"/>
        <w:rPr>
          <w:rFonts w:ascii="Tahoma" w:hAnsi="Tahoma" w:cs="Tahoma"/>
          <w:color w:val="000000" w:themeColor="text1"/>
          <w:sz w:val="22"/>
          <w:szCs w:val="22"/>
        </w:rPr>
      </w:pPr>
      <w:r w:rsidRPr="003539B5">
        <w:rPr>
          <w:rFonts w:ascii="Tahoma" w:hAnsi="Tahoma" w:cs="Tahoma"/>
          <w:color w:val="000000" w:themeColor="text1"/>
          <w:sz w:val="22"/>
          <w:szCs w:val="22"/>
        </w:rPr>
        <w:lastRenderedPageBreak/>
        <w:t xml:space="preserve">Providencia: </w:t>
      </w:r>
      <w:r w:rsidRPr="003539B5">
        <w:rPr>
          <w:rFonts w:ascii="Tahoma" w:hAnsi="Tahoma" w:cs="Tahoma"/>
          <w:color w:val="000000" w:themeColor="text1"/>
          <w:sz w:val="22"/>
          <w:szCs w:val="22"/>
        </w:rPr>
        <w:tab/>
      </w:r>
      <w:r w:rsidRPr="003539B5">
        <w:rPr>
          <w:rFonts w:ascii="Tahoma" w:hAnsi="Tahoma" w:cs="Tahoma"/>
          <w:color w:val="000000" w:themeColor="text1"/>
          <w:sz w:val="22"/>
          <w:szCs w:val="22"/>
        </w:rPr>
        <w:tab/>
      </w:r>
      <w:r w:rsidRPr="003539B5">
        <w:rPr>
          <w:rFonts w:ascii="Tahoma" w:hAnsi="Tahoma" w:cs="Tahoma"/>
          <w:color w:val="000000" w:themeColor="text1"/>
          <w:sz w:val="22"/>
          <w:szCs w:val="22"/>
        </w:rPr>
        <w:tab/>
        <w:t>Sentencia del 2 de agosto de 2019</w:t>
      </w:r>
    </w:p>
    <w:p w:rsidR="003539B5" w:rsidRPr="003539B5" w:rsidRDefault="003539B5" w:rsidP="003539B5">
      <w:pPr>
        <w:widowControl w:val="0"/>
        <w:autoSpaceDE w:val="0"/>
        <w:autoSpaceDN w:val="0"/>
        <w:adjustRightInd w:val="0"/>
        <w:jc w:val="both"/>
        <w:rPr>
          <w:rFonts w:ascii="Tahoma" w:hAnsi="Tahoma" w:cs="Tahoma"/>
          <w:color w:val="000000" w:themeColor="text1"/>
          <w:sz w:val="22"/>
          <w:szCs w:val="22"/>
        </w:rPr>
      </w:pPr>
      <w:r w:rsidRPr="003539B5">
        <w:rPr>
          <w:rFonts w:ascii="Tahoma" w:hAnsi="Tahoma" w:cs="Tahoma"/>
          <w:color w:val="000000" w:themeColor="text1"/>
          <w:sz w:val="22"/>
          <w:szCs w:val="22"/>
        </w:rPr>
        <w:t>Radicación No.:</w:t>
      </w:r>
      <w:r w:rsidRPr="003539B5">
        <w:rPr>
          <w:rFonts w:ascii="Tahoma" w:hAnsi="Tahoma" w:cs="Tahoma"/>
          <w:color w:val="000000" w:themeColor="text1"/>
          <w:sz w:val="22"/>
          <w:szCs w:val="22"/>
        </w:rPr>
        <w:tab/>
      </w:r>
      <w:r w:rsidRPr="003539B5">
        <w:rPr>
          <w:rFonts w:ascii="Tahoma" w:hAnsi="Tahoma" w:cs="Tahoma"/>
          <w:color w:val="000000" w:themeColor="text1"/>
          <w:sz w:val="22"/>
          <w:szCs w:val="22"/>
        </w:rPr>
        <w:tab/>
        <w:t>66001-31-05-003-2017-00320-01</w:t>
      </w:r>
    </w:p>
    <w:p w:rsidR="003539B5" w:rsidRPr="003539B5" w:rsidRDefault="003539B5" w:rsidP="003539B5">
      <w:pPr>
        <w:widowControl w:val="0"/>
        <w:autoSpaceDE w:val="0"/>
        <w:autoSpaceDN w:val="0"/>
        <w:adjustRightInd w:val="0"/>
        <w:jc w:val="both"/>
        <w:rPr>
          <w:rFonts w:ascii="Tahoma" w:hAnsi="Tahoma" w:cs="Tahoma"/>
          <w:color w:val="000000" w:themeColor="text1"/>
          <w:sz w:val="22"/>
          <w:szCs w:val="22"/>
        </w:rPr>
      </w:pPr>
      <w:r w:rsidRPr="003539B5">
        <w:rPr>
          <w:rFonts w:ascii="Tahoma" w:hAnsi="Tahoma" w:cs="Tahoma"/>
          <w:color w:val="000000" w:themeColor="text1"/>
          <w:sz w:val="22"/>
          <w:szCs w:val="22"/>
        </w:rPr>
        <w:t>Proceso:</w:t>
      </w:r>
      <w:r w:rsidRPr="003539B5">
        <w:rPr>
          <w:rFonts w:ascii="Tahoma" w:hAnsi="Tahoma" w:cs="Tahoma"/>
          <w:color w:val="000000" w:themeColor="text1"/>
          <w:sz w:val="22"/>
          <w:szCs w:val="22"/>
        </w:rPr>
        <w:tab/>
      </w:r>
      <w:r w:rsidRPr="003539B5">
        <w:rPr>
          <w:rFonts w:ascii="Tahoma" w:hAnsi="Tahoma" w:cs="Tahoma"/>
          <w:color w:val="000000" w:themeColor="text1"/>
          <w:sz w:val="22"/>
          <w:szCs w:val="22"/>
        </w:rPr>
        <w:tab/>
      </w:r>
      <w:r w:rsidRPr="003539B5">
        <w:rPr>
          <w:rFonts w:ascii="Tahoma" w:hAnsi="Tahoma" w:cs="Tahoma"/>
          <w:color w:val="000000" w:themeColor="text1"/>
          <w:sz w:val="22"/>
          <w:szCs w:val="22"/>
        </w:rPr>
        <w:tab/>
        <w:t xml:space="preserve">Ordinario laboral </w:t>
      </w:r>
    </w:p>
    <w:p w:rsidR="003539B5" w:rsidRPr="003539B5" w:rsidRDefault="003539B5" w:rsidP="003539B5">
      <w:pPr>
        <w:widowControl w:val="0"/>
        <w:autoSpaceDE w:val="0"/>
        <w:autoSpaceDN w:val="0"/>
        <w:adjustRightInd w:val="0"/>
        <w:jc w:val="both"/>
        <w:rPr>
          <w:rFonts w:ascii="Tahoma" w:hAnsi="Tahoma" w:cs="Tahoma"/>
          <w:color w:val="000000" w:themeColor="text1"/>
          <w:sz w:val="22"/>
          <w:szCs w:val="22"/>
        </w:rPr>
      </w:pPr>
      <w:r w:rsidRPr="003539B5">
        <w:rPr>
          <w:rFonts w:ascii="Tahoma" w:hAnsi="Tahoma" w:cs="Tahoma"/>
          <w:color w:val="000000" w:themeColor="text1"/>
          <w:sz w:val="22"/>
          <w:szCs w:val="22"/>
        </w:rPr>
        <w:t>Demandante:</w:t>
      </w:r>
      <w:r w:rsidRPr="003539B5">
        <w:rPr>
          <w:rFonts w:ascii="Tahoma" w:hAnsi="Tahoma" w:cs="Tahoma"/>
          <w:color w:val="000000" w:themeColor="text1"/>
          <w:sz w:val="22"/>
          <w:szCs w:val="22"/>
        </w:rPr>
        <w:tab/>
      </w:r>
      <w:r w:rsidRPr="003539B5">
        <w:rPr>
          <w:rFonts w:ascii="Tahoma" w:hAnsi="Tahoma" w:cs="Tahoma"/>
          <w:color w:val="000000" w:themeColor="text1"/>
          <w:sz w:val="22"/>
          <w:szCs w:val="22"/>
        </w:rPr>
        <w:tab/>
      </w:r>
      <w:r w:rsidRPr="003539B5">
        <w:rPr>
          <w:rFonts w:ascii="Tahoma" w:hAnsi="Tahoma" w:cs="Tahoma"/>
          <w:color w:val="000000" w:themeColor="text1"/>
          <w:sz w:val="22"/>
          <w:szCs w:val="22"/>
        </w:rPr>
        <w:tab/>
        <w:t>Gloria Inés Gómez Gallo</w:t>
      </w:r>
    </w:p>
    <w:p w:rsidR="003539B5" w:rsidRPr="003539B5" w:rsidRDefault="003539B5" w:rsidP="003539B5">
      <w:pPr>
        <w:widowControl w:val="0"/>
        <w:autoSpaceDE w:val="0"/>
        <w:autoSpaceDN w:val="0"/>
        <w:adjustRightInd w:val="0"/>
        <w:ind w:left="708" w:hanging="708"/>
        <w:jc w:val="both"/>
        <w:rPr>
          <w:rFonts w:ascii="Tahoma" w:hAnsi="Tahoma" w:cs="Tahoma"/>
          <w:color w:val="000000" w:themeColor="text1"/>
          <w:sz w:val="22"/>
          <w:szCs w:val="22"/>
        </w:rPr>
      </w:pPr>
      <w:r w:rsidRPr="003539B5">
        <w:rPr>
          <w:rFonts w:ascii="Tahoma" w:hAnsi="Tahoma" w:cs="Tahoma"/>
          <w:color w:val="000000" w:themeColor="text1"/>
          <w:sz w:val="22"/>
          <w:szCs w:val="22"/>
        </w:rPr>
        <w:t>Demandado:</w:t>
      </w:r>
      <w:r w:rsidRPr="003539B5">
        <w:rPr>
          <w:rFonts w:ascii="Tahoma" w:hAnsi="Tahoma" w:cs="Tahoma"/>
          <w:color w:val="000000" w:themeColor="text1"/>
          <w:sz w:val="22"/>
          <w:szCs w:val="22"/>
        </w:rPr>
        <w:tab/>
      </w:r>
      <w:r w:rsidRPr="003539B5">
        <w:rPr>
          <w:rFonts w:ascii="Tahoma" w:hAnsi="Tahoma" w:cs="Tahoma"/>
          <w:color w:val="000000" w:themeColor="text1"/>
          <w:sz w:val="22"/>
          <w:szCs w:val="22"/>
        </w:rPr>
        <w:tab/>
      </w:r>
      <w:r w:rsidRPr="003539B5">
        <w:rPr>
          <w:rFonts w:ascii="Tahoma" w:hAnsi="Tahoma" w:cs="Tahoma"/>
          <w:color w:val="000000" w:themeColor="text1"/>
          <w:sz w:val="22"/>
          <w:szCs w:val="22"/>
        </w:rPr>
        <w:tab/>
        <w:t>Colpensiones</w:t>
      </w:r>
    </w:p>
    <w:p w:rsidR="003539B5" w:rsidRPr="003539B5" w:rsidRDefault="003539B5" w:rsidP="003539B5">
      <w:pPr>
        <w:widowControl w:val="0"/>
        <w:autoSpaceDE w:val="0"/>
        <w:autoSpaceDN w:val="0"/>
        <w:adjustRightInd w:val="0"/>
        <w:jc w:val="both"/>
        <w:rPr>
          <w:rFonts w:ascii="Tahoma" w:hAnsi="Tahoma" w:cs="Tahoma"/>
          <w:color w:val="000000" w:themeColor="text1"/>
          <w:sz w:val="22"/>
          <w:szCs w:val="22"/>
        </w:rPr>
      </w:pPr>
      <w:r w:rsidRPr="003539B5">
        <w:rPr>
          <w:rFonts w:ascii="Tahoma" w:hAnsi="Tahoma" w:cs="Tahoma"/>
          <w:color w:val="000000" w:themeColor="text1"/>
          <w:sz w:val="22"/>
          <w:szCs w:val="22"/>
        </w:rPr>
        <w:t>Magistrada ponente:</w:t>
      </w:r>
      <w:r w:rsidRPr="003539B5">
        <w:rPr>
          <w:rFonts w:ascii="Tahoma" w:hAnsi="Tahoma" w:cs="Tahoma"/>
          <w:color w:val="000000" w:themeColor="text1"/>
          <w:sz w:val="22"/>
          <w:szCs w:val="22"/>
        </w:rPr>
        <w:tab/>
      </w:r>
      <w:r w:rsidRPr="003539B5">
        <w:rPr>
          <w:rFonts w:ascii="Tahoma" w:hAnsi="Tahoma" w:cs="Tahoma"/>
          <w:color w:val="000000" w:themeColor="text1"/>
          <w:sz w:val="22"/>
          <w:szCs w:val="22"/>
        </w:rPr>
        <w:tab/>
        <w:t>Dra. Ana Lucía Caicedo Calderón</w:t>
      </w:r>
    </w:p>
    <w:p w:rsidR="003539B5" w:rsidRPr="003539B5" w:rsidRDefault="003539B5" w:rsidP="003539B5">
      <w:pPr>
        <w:widowControl w:val="0"/>
        <w:autoSpaceDE w:val="0"/>
        <w:autoSpaceDN w:val="0"/>
        <w:adjustRightInd w:val="0"/>
        <w:ind w:left="2805" w:hanging="2805"/>
        <w:jc w:val="both"/>
        <w:rPr>
          <w:rFonts w:ascii="Tahoma" w:hAnsi="Tahoma" w:cs="Tahoma"/>
          <w:color w:val="000000" w:themeColor="text1"/>
          <w:sz w:val="22"/>
          <w:szCs w:val="22"/>
        </w:rPr>
      </w:pPr>
      <w:r w:rsidRPr="003539B5">
        <w:rPr>
          <w:rFonts w:ascii="Tahoma" w:hAnsi="Tahoma" w:cs="Tahoma"/>
          <w:color w:val="000000" w:themeColor="text1"/>
          <w:sz w:val="22"/>
          <w:szCs w:val="22"/>
        </w:rPr>
        <w:t>Magistrada que aclara voto:</w:t>
      </w:r>
      <w:r w:rsidRPr="003539B5">
        <w:rPr>
          <w:rFonts w:ascii="Tahoma" w:hAnsi="Tahoma" w:cs="Tahoma"/>
          <w:color w:val="000000" w:themeColor="text1"/>
          <w:sz w:val="22"/>
          <w:szCs w:val="22"/>
        </w:rPr>
        <w:tab/>
        <w:t>Dra. Ana Lucia Caicedo Calderón</w:t>
      </w:r>
    </w:p>
    <w:p w:rsidR="003539B5" w:rsidRPr="003539B5" w:rsidRDefault="003539B5" w:rsidP="003539B5">
      <w:pPr>
        <w:widowControl w:val="0"/>
        <w:autoSpaceDE w:val="0"/>
        <w:autoSpaceDN w:val="0"/>
        <w:adjustRightInd w:val="0"/>
        <w:ind w:left="2805" w:hanging="2805"/>
        <w:jc w:val="both"/>
        <w:rPr>
          <w:rFonts w:ascii="Tahoma" w:hAnsi="Tahoma" w:cs="Tahoma"/>
          <w:color w:val="000000" w:themeColor="text1"/>
          <w:sz w:val="22"/>
          <w:szCs w:val="22"/>
          <w:lang w:eastAsia="es-MX"/>
        </w:rPr>
      </w:pPr>
    </w:p>
    <w:p w:rsidR="003539B5" w:rsidRPr="003539B5" w:rsidRDefault="003539B5" w:rsidP="003539B5">
      <w:pPr>
        <w:rPr>
          <w:rFonts w:ascii="Tahoma" w:hAnsi="Tahoma" w:cs="Tahoma"/>
          <w:color w:val="000000" w:themeColor="text1"/>
          <w:sz w:val="22"/>
          <w:szCs w:val="22"/>
          <w:lang w:val="es-CO" w:eastAsia="es-MX"/>
        </w:rPr>
      </w:pPr>
      <w:r w:rsidRPr="003539B5">
        <w:rPr>
          <w:rFonts w:ascii="Tahoma" w:hAnsi="Tahoma" w:cs="Tahoma"/>
          <w:color w:val="000000" w:themeColor="text1"/>
          <w:sz w:val="22"/>
          <w:szCs w:val="22"/>
          <w:lang w:val="es-CO" w:eastAsia="es-MX"/>
        </w:rPr>
        <w:tab/>
      </w:r>
    </w:p>
    <w:p w:rsidR="003539B5" w:rsidRPr="003539B5" w:rsidRDefault="003539B5" w:rsidP="003539B5">
      <w:pPr>
        <w:rPr>
          <w:rFonts w:ascii="Tahoma" w:hAnsi="Tahoma" w:cs="Tahoma"/>
          <w:color w:val="000000" w:themeColor="text1"/>
          <w:sz w:val="22"/>
          <w:szCs w:val="22"/>
          <w:lang w:val="es-CO" w:eastAsia="es-MX"/>
        </w:rPr>
      </w:pPr>
    </w:p>
    <w:p w:rsidR="003539B5" w:rsidRPr="003539B5" w:rsidRDefault="003539B5" w:rsidP="003539B5">
      <w:pPr>
        <w:rPr>
          <w:rFonts w:ascii="Tahoma" w:hAnsi="Tahoma" w:cs="Tahoma"/>
          <w:color w:val="000000" w:themeColor="text1"/>
          <w:sz w:val="22"/>
          <w:szCs w:val="22"/>
          <w:lang w:val="es-CO" w:eastAsia="es-MX"/>
        </w:rPr>
      </w:pPr>
    </w:p>
    <w:p w:rsidR="003539B5" w:rsidRPr="003539B5" w:rsidRDefault="003539B5" w:rsidP="003539B5">
      <w:pPr>
        <w:keepNext/>
        <w:spacing w:line="312" w:lineRule="auto"/>
        <w:jc w:val="center"/>
        <w:outlineLvl w:val="0"/>
        <w:rPr>
          <w:rFonts w:ascii="Tahoma" w:hAnsi="Tahoma" w:cs="Tahoma"/>
          <w:b/>
          <w:bCs/>
          <w:color w:val="000000" w:themeColor="text1"/>
          <w:u w:val="single"/>
        </w:rPr>
      </w:pPr>
      <w:r w:rsidRPr="003539B5">
        <w:rPr>
          <w:rFonts w:ascii="Tahoma" w:hAnsi="Tahoma" w:cs="Tahoma"/>
          <w:b/>
          <w:bCs/>
          <w:color w:val="000000" w:themeColor="text1"/>
          <w:u w:val="single"/>
        </w:rPr>
        <w:t>ACLARACIÓN DE VOTO</w:t>
      </w:r>
    </w:p>
    <w:p w:rsidR="003539B5" w:rsidRPr="003539B5" w:rsidRDefault="003539B5" w:rsidP="003539B5">
      <w:pPr>
        <w:spacing w:line="312" w:lineRule="auto"/>
        <w:jc w:val="both"/>
        <w:rPr>
          <w:rFonts w:ascii="Tahoma" w:hAnsi="Tahoma" w:cs="Tahoma"/>
          <w:b/>
          <w:bCs/>
          <w:color w:val="000000" w:themeColor="text1"/>
        </w:rPr>
      </w:pPr>
    </w:p>
    <w:p w:rsidR="003539B5" w:rsidRPr="003539B5" w:rsidRDefault="003539B5" w:rsidP="003539B5">
      <w:pPr>
        <w:widowControl w:val="0"/>
        <w:autoSpaceDE w:val="0"/>
        <w:autoSpaceDN w:val="0"/>
        <w:adjustRightInd w:val="0"/>
        <w:spacing w:line="312" w:lineRule="auto"/>
        <w:ind w:firstLine="708"/>
        <w:jc w:val="both"/>
        <w:rPr>
          <w:rFonts w:ascii="Tahoma" w:hAnsi="Tahoma" w:cs="Tahoma"/>
          <w:bCs/>
        </w:rPr>
      </w:pPr>
      <w:r w:rsidRPr="003539B5">
        <w:rPr>
          <w:rFonts w:ascii="Tahoma" w:hAnsi="Tahoma" w:cs="Tahoma"/>
          <w:color w:val="000000" w:themeColor="text1"/>
        </w:rPr>
        <w:t xml:space="preserve">A pesar de que considero que es procedente aplicar </w:t>
      </w:r>
      <w:r w:rsidRPr="003539B5">
        <w:rPr>
          <w:rFonts w:ascii="Tahoma" w:hAnsi="Tahoma" w:cs="Tahoma"/>
        </w:rPr>
        <w:t xml:space="preserve">el precedente sentado por la Corte Constitucional </w:t>
      </w:r>
      <w:r w:rsidRPr="003539B5">
        <w:rPr>
          <w:rFonts w:ascii="Tahoma" w:hAnsi="Tahoma" w:cs="Tahoma"/>
          <w:bCs/>
        </w:rPr>
        <w:t xml:space="preserve">en la Sentencia SU-769 de 2014 </w:t>
      </w:r>
      <w:r w:rsidRPr="003539B5">
        <w:rPr>
          <w:rFonts w:ascii="Tahoma" w:hAnsi="Tahoma" w:cs="Tahoma"/>
          <w:bCs/>
          <w:i/>
        </w:rPr>
        <w:t>–que avaló la posibilidad de conjugar cotizaciones realizadas en los sectores público y privado para acceder a la pensión de vejez enmarcada en el Acuerdo 049 de 1990-</w:t>
      </w:r>
      <w:r w:rsidRPr="003539B5">
        <w:rPr>
          <w:rFonts w:ascii="Tahoma" w:hAnsi="Tahoma" w:cs="Tahoma"/>
          <w:bCs/>
        </w:rPr>
        <w:t xml:space="preserve"> , estimo que la remisión a dicha jurisprudencia tiene un carácter restrictivo y residual, pues se da cuando un afiliado o afiliada no cuenta con cotizaciones suficientes en el sector privado, o cuando el número de semanas cotizadas en ambos sectores no alcanza el mínimo exigido por las normas que permiten el acopio de aportes, a saber, la Ley 71 de 1988 y la Ley 100 de 1993; lo cual no acontece en el caso de marras, pues la actora actualmente disfruta de la pensión de vejez estipulada en el artículo 9º de la Ley 797 de 2003, modificatorio del artículo 33 de la Ley 100 de 1993. </w:t>
      </w:r>
    </w:p>
    <w:p w:rsidR="003539B5" w:rsidRPr="003539B5" w:rsidRDefault="003539B5" w:rsidP="003539B5">
      <w:pPr>
        <w:widowControl w:val="0"/>
        <w:autoSpaceDE w:val="0"/>
        <w:autoSpaceDN w:val="0"/>
        <w:adjustRightInd w:val="0"/>
        <w:spacing w:line="312" w:lineRule="auto"/>
        <w:ind w:firstLine="708"/>
        <w:jc w:val="both"/>
        <w:rPr>
          <w:rFonts w:ascii="Tahoma" w:hAnsi="Tahoma" w:cs="Tahoma"/>
          <w:bCs/>
        </w:rPr>
      </w:pPr>
    </w:p>
    <w:p w:rsidR="003539B5" w:rsidRPr="003539B5" w:rsidRDefault="003539B5" w:rsidP="003539B5">
      <w:pPr>
        <w:widowControl w:val="0"/>
        <w:autoSpaceDE w:val="0"/>
        <w:autoSpaceDN w:val="0"/>
        <w:adjustRightInd w:val="0"/>
        <w:spacing w:line="312" w:lineRule="auto"/>
        <w:ind w:firstLine="708"/>
        <w:jc w:val="both"/>
        <w:rPr>
          <w:rFonts w:ascii="Tahoma" w:hAnsi="Tahoma" w:cs="Tahoma"/>
        </w:rPr>
      </w:pPr>
      <w:r w:rsidRPr="003539B5">
        <w:rPr>
          <w:rFonts w:ascii="Tahoma" w:hAnsi="Tahoma" w:cs="Tahoma"/>
        </w:rPr>
        <w:t>De esta manera queda sustentada mi aclaración de voto.</w:t>
      </w:r>
    </w:p>
    <w:p w:rsidR="003539B5" w:rsidRPr="003539B5" w:rsidRDefault="003539B5" w:rsidP="003539B5">
      <w:pPr>
        <w:widowControl w:val="0"/>
        <w:autoSpaceDE w:val="0"/>
        <w:autoSpaceDN w:val="0"/>
        <w:adjustRightInd w:val="0"/>
        <w:spacing w:line="312" w:lineRule="auto"/>
        <w:ind w:firstLine="709"/>
        <w:jc w:val="both"/>
        <w:rPr>
          <w:rFonts w:ascii="Tahoma" w:hAnsi="Tahoma" w:cs="Tahoma"/>
          <w:color w:val="000000" w:themeColor="text1"/>
        </w:rPr>
      </w:pPr>
    </w:p>
    <w:p w:rsidR="003539B5" w:rsidRPr="003539B5" w:rsidRDefault="003539B5" w:rsidP="003539B5">
      <w:pPr>
        <w:widowControl w:val="0"/>
        <w:autoSpaceDE w:val="0"/>
        <w:autoSpaceDN w:val="0"/>
        <w:adjustRightInd w:val="0"/>
        <w:spacing w:line="312" w:lineRule="auto"/>
        <w:ind w:firstLine="709"/>
        <w:jc w:val="both"/>
        <w:rPr>
          <w:rFonts w:ascii="Tahoma" w:hAnsi="Tahoma" w:cs="Tahoma"/>
          <w:color w:val="000000" w:themeColor="text1"/>
        </w:rPr>
      </w:pPr>
    </w:p>
    <w:p w:rsidR="003539B5" w:rsidRPr="003539B5" w:rsidRDefault="003539B5" w:rsidP="003539B5">
      <w:pPr>
        <w:widowControl w:val="0"/>
        <w:autoSpaceDE w:val="0"/>
        <w:autoSpaceDN w:val="0"/>
        <w:adjustRightInd w:val="0"/>
        <w:spacing w:line="312" w:lineRule="auto"/>
        <w:ind w:firstLine="709"/>
        <w:jc w:val="both"/>
        <w:rPr>
          <w:rFonts w:ascii="Tahoma" w:hAnsi="Tahoma" w:cs="Tahoma"/>
          <w:color w:val="000000" w:themeColor="text1"/>
        </w:rPr>
      </w:pPr>
    </w:p>
    <w:p w:rsidR="003539B5" w:rsidRPr="003539B5" w:rsidRDefault="003539B5" w:rsidP="003539B5">
      <w:pPr>
        <w:widowControl w:val="0"/>
        <w:autoSpaceDE w:val="0"/>
        <w:autoSpaceDN w:val="0"/>
        <w:adjustRightInd w:val="0"/>
        <w:spacing w:line="312" w:lineRule="auto"/>
        <w:ind w:firstLine="709"/>
        <w:jc w:val="both"/>
        <w:rPr>
          <w:rFonts w:ascii="Tahoma" w:hAnsi="Tahoma" w:cs="Tahoma"/>
          <w:color w:val="000000" w:themeColor="text1"/>
        </w:rPr>
      </w:pPr>
    </w:p>
    <w:p w:rsidR="003539B5" w:rsidRPr="003539B5" w:rsidRDefault="003539B5" w:rsidP="003539B5">
      <w:pPr>
        <w:widowControl w:val="0"/>
        <w:autoSpaceDE w:val="0"/>
        <w:autoSpaceDN w:val="0"/>
        <w:adjustRightInd w:val="0"/>
        <w:spacing w:line="312" w:lineRule="auto"/>
        <w:ind w:firstLine="709"/>
        <w:jc w:val="both"/>
        <w:rPr>
          <w:rFonts w:ascii="Tahoma" w:hAnsi="Tahoma" w:cs="Tahoma"/>
          <w:color w:val="000000" w:themeColor="text1"/>
        </w:rPr>
      </w:pPr>
    </w:p>
    <w:p w:rsidR="003539B5" w:rsidRPr="003539B5" w:rsidRDefault="003539B5" w:rsidP="003539B5">
      <w:pPr>
        <w:keepNext/>
        <w:widowControl w:val="0"/>
        <w:autoSpaceDE w:val="0"/>
        <w:autoSpaceDN w:val="0"/>
        <w:adjustRightInd w:val="0"/>
        <w:spacing w:line="312" w:lineRule="auto"/>
        <w:ind w:firstLine="709"/>
        <w:jc w:val="center"/>
        <w:outlineLvl w:val="2"/>
        <w:rPr>
          <w:rFonts w:ascii="Tahoma" w:hAnsi="Tahoma" w:cs="Tahoma"/>
          <w:b/>
          <w:color w:val="000000" w:themeColor="text1"/>
        </w:rPr>
      </w:pPr>
      <w:r w:rsidRPr="003539B5">
        <w:rPr>
          <w:rFonts w:ascii="Tahoma" w:hAnsi="Tahoma" w:cs="Tahoma"/>
          <w:b/>
          <w:color w:val="000000" w:themeColor="text1"/>
        </w:rPr>
        <w:t>ANA LUCÍA CAICEDO CALDERÓN</w:t>
      </w:r>
    </w:p>
    <w:p w:rsidR="003539B5" w:rsidRPr="003539B5" w:rsidRDefault="003539B5" w:rsidP="003539B5">
      <w:pPr>
        <w:keepNext/>
        <w:widowControl w:val="0"/>
        <w:autoSpaceDE w:val="0"/>
        <w:autoSpaceDN w:val="0"/>
        <w:adjustRightInd w:val="0"/>
        <w:spacing w:line="312" w:lineRule="auto"/>
        <w:ind w:firstLine="709"/>
        <w:jc w:val="center"/>
        <w:outlineLvl w:val="2"/>
        <w:rPr>
          <w:rFonts w:ascii="Tahoma" w:hAnsi="Tahoma" w:cs="Tahoma"/>
          <w:color w:val="000000" w:themeColor="text1"/>
        </w:rPr>
      </w:pPr>
      <w:r w:rsidRPr="003539B5">
        <w:rPr>
          <w:rFonts w:ascii="Tahoma" w:hAnsi="Tahoma" w:cs="Tahoma"/>
          <w:color w:val="000000" w:themeColor="text1"/>
        </w:rPr>
        <w:t>Magistrada</w:t>
      </w:r>
    </w:p>
    <w:sectPr w:rsidR="003539B5" w:rsidRPr="003539B5" w:rsidSect="001A63DF">
      <w:headerReference w:type="default" r:id="rId8"/>
      <w:footerReference w:type="default" r:id="rId9"/>
      <w:footerReference w:type="firs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988" w:rsidRDefault="00193988" w:rsidP="00D2586A">
      <w:r>
        <w:separator/>
      </w:r>
    </w:p>
  </w:endnote>
  <w:endnote w:type="continuationSeparator" w:id="0">
    <w:p w:rsidR="00193988" w:rsidRDefault="00193988"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6094"/>
      <w:docPartObj>
        <w:docPartGallery w:val="Page Numbers (Bottom of Page)"/>
        <w:docPartUnique/>
      </w:docPartObj>
    </w:sdtPr>
    <w:sdtEndPr/>
    <w:sdtContent>
      <w:p w:rsidR="00082097" w:rsidRPr="00B413F5" w:rsidRDefault="00082097">
        <w:pPr>
          <w:pStyle w:val="Piedepgina"/>
          <w:jc w:val="right"/>
        </w:pPr>
        <w:r w:rsidRPr="00B413F5">
          <w:fldChar w:fldCharType="begin"/>
        </w:r>
        <w:r w:rsidRPr="00B413F5">
          <w:instrText>PAGE   \* MERGEFORMAT</w:instrText>
        </w:r>
        <w:r w:rsidRPr="00B413F5">
          <w:fldChar w:fldCharType="separate"/>
        </w:r>
        <w:r w:rsidR="0057407F">
          <w:rPr>
            <w:noProof/>
          </w:rPr>
          <w:t>2</w:t>
        </w:r>
        <w:r w:rsidRPr="00B413F5">
          <w:fldChar w:fldCharType="end"/>
        </w:r>
      </w:p>
    </w:sdtContent>
  </w:sdt>
  <w:p w:rsidR="00082097" w:rsidRDefault="000820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92558"/>
      <w:docPartObj>
        <w:docPartGallery w:val="Page Numbers (Bottom of Page)"/>
        <w:docPartUnique/>
      </w:docPartObj>
    </w:sdtPr>
    <w:sdtEndPr/>
    <w:sdtContent>
      <w:p w:rsidR="00082097" w:rsidRDefault="00082097">
        <w:pPr>
          <w:pStyle w:val="Piedepgina"/>
          <w:jc w:val="right"/>
        </w:pPr>
        <w:r>
          <w:fldChar w:fldCharType="begin"/>
        </w:r>
        <w:r>
          <w:instrText>PAGE   \* MERGEFORMAT</w:instrText>
        </w:r>
        <w:r>
          <w:fldChar w:fldCharType="separate"/>
        </w:r>
        <w:r w:rsidR="0057407F">
          <w:rPr>
            <w:noProof/>
          </w:rPr>
          <w:t>1</w:t>
        </w:r>
        <w:r>
          <w:fldChar w:fldCharType="end"/>
        </w:r>
      </w:p>
    </w:sdtContent>
  </w:sdt>
  <w:p w:rsidR="00082097" w:rsidRDefault="000820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988" w:rsidRDefault="00193988" w:rsidP="00D2586A">
      <w:r>
        <w:separator/>
      </w:r>
    </w:p>
  </w:footnote>
  <w:footnote w:type="continuationSeparator" w:id="0">
    <w:p w:rsidR="00193988" w:rsidRDefault="00193988" w:rsidP="00D2586A">
      <w:r>
        <w:continuationSeparator/>
      </w:r>
    </w:p>
  </w:footnote>
  <w:footnote w:id="1">
    <w:p w:rsidR="00913FE6" w:rsidRPr="008C54EF" w:rsidRDefault="00913FE6" w:rsidP="008C54EF">
      <w:pPr>
        <w:pStyle w:val="Textonotapie"/>
        <w:rPr>
          <w:rFonts w:ascii="Arial" w:hAnsi="Arial" w:cs="Arial"/>
          <w:sz w:val="18"/>
          <w:szCs w:val="18"/>
          <w:lang w:val="es-CO"/>
        </w:rPr>
      </w:pPr>
      <w:r w:rsidRPr="008C54EF">
        <w:rPr>
          <w:rStyle w:val="Refdenotaalpie"/>
          <w:rFonts w:ascii="Arial" w:hAnsi="Arial" w:cs="Arial"/>
          <w:sz w:val="18"/>
          <w:szCs w:val="18"/>
        </w:rPr>
        <w:footnoteRef/>
      </w:r>
      <w:r w:rsidRPr="008C54EF">
        <w:rPr>
          <w:rFonts w:ascii="Arial" w:hAnsi="Arial" w:cs="Arial"/>
          <w:sz w:val="18"/>
          <w:szCs w:val="18"/>
        </w:rPr>
        <w:t xml:space="preserve"> CSJ-</w:t>
      </w:r>
      <w:proofErr w:type="spellStart"/>
      <w:r w:rsidRPr="008C54EF">
        <w:rPr>
          <w:rFonts w:ascii="Arial" w:hAnsi="Arial" w:cs="Arial"/>
          <w:sz w:val="18"/>
          <w:szCs w:val="18"/>
        </w:rPr>
        <w:t>SCL</w:t>
      </w:r>
      <w:proofErr w:type="spellEnd"/>
      <w:r w:rsidRPr="008C54EF">
        <w:rPr>
          <w:rFonts w:ascii="Arial" w:hAnsi="Arial" w:cs="Arial"/>
          <w:sz w:val="18"/>
          <w:szCs w:val="18"/>
        </w:rPr>
        <w:t>, S</w:t>
      </w:r>
      <w:r w:rsidRPr="008C54EF">
        <w:rPr>
          <w:rFonts w:ascii="Arial" w:hAnsi="Arial" w:cs="Arial"/>
          <w:bCs/>
          <w:color w:val="000000"/>
          <w:sz w:val="18"/>
          <w:szCs w:val="18"/>
        </w:rPr>
        <w:t>L3089-2018</w:t>
      </w:r>
      <w:r w:rsidRPr="008C54EF">
        <w:rPr>
          <w:rFonts w:ascii="Arial" w:hAnsi="Arial" w:cs="Arial"/>
          <w:sz w:val="18"/>
          <w:szCs w:val="18"/>
        </w:rPr>
        <w:t xml:space="preserve"> Radicación N.° 60782 del 01/08/2018, M.P. Dr. Jorge Prada Sánchez.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97" w:rsidRPr="00137711" w:rsidRDefault="00082097" w:rsidP="00137711">
    <w:pPr>
      <w:pStyle w:val="Puesto"/>
      <w:spacing w:line="240" w:lineRule="auto"/>
      <w:jc w:val="both"/>
      <w:rPr>
        <w:rFonts w:ascii="Times New Roman" w:hAnsi="Times New Roman" w:cs="Times New Roman"/>
        <w:b w:val="0"/>
        <w:sz w:val="16"/>
        <w:szCs w:val="16"/>
      </w:rPr>
    </w:pPr>
    <w:r w:rsidRPr="00137711">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137711">
      <w:rPr>
        <w:rFonts w:ascii="Times New Roman" w:hAnsi="Times New Roman" w:cs="Times New Roman"/>
        <w:b w:val="0"/>
        <w:sz w:val="16"/>
        <w:szCs w:val="16"/>
      </w:rPr>
      <w:t>66001-31-05-005-2017-00320-01</w:t>
    </w:r>
  </w:p>
  <w:p w:rsidR="00082097" w:rsidRPr="00137711" w:rsidRDefault="00082097" w:rsidP="00137711">
    <w:pPr>
      <w:pStyle w:val="Puesto"/>
      <w:spacing w:line="240" w:lineRule="auto"/>
      <w:jc w:val="both"/>
      <w:rPr>
        <w:rFonts w:ascii="Times New Roman" w:hAnsi="Times New Roman" w:cs="Times New Roman"/>
        <w:b w:val="0"/>
        <w:sz w:val="16"/>
        <w:szCs w:val="16"/>
      </w:rPr>
    </w:pPr>
    <w:r w:rsidRPr="00137711">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137711">
      <w:rPr>
        <w:rFonts w:ascii="Times New Roman" w:hAnsi="Times New Roman" w:cs="Times New Roman"/>
        <w:b w:val="0"/>
        <w:sz w:val="16"/>
        <w:szCs w:val="16"/>
      </w:rPr>
      <w:t xml:space="preserve">Gloria Inés Gómez Gallo </w:t>
    </w:r>
  </w:p>
  <w:p w:rsidR="00082097" w:rsidRPr="00137711" w:rsidRDefault="00082097" w:rsidP="00137711">
    <w:pPr>
      <w:pStyle w:val="Puesto"/>
      <w:spacing w:line="240" w:lineRule="auto"/>
      <w:jc w:val="both"/>
      <w:rPr>
        <w:rFonts w:ascii="Times New Roman" w:hAnsi="Times New Roman" w:cs="Times New Roman"/>
        <w:b w:val="0"/>
        <w:sz w:val="16"/>
        <w:szCs w:val="16"/>
      </w:rPr>
    </w:pPr>
    <w:r w:rsidRPr="00137711">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137711">
      <w:rPr>
        <w:rFonts w:ascii="Times New Roman" w:hAnsi="Times New Roman" w:cs="Times New Roman"/>
        <w:b w:val="0"/>
        <w:sz w:val="16"/>
        <w:szCs w:val="16"/>
      </w:rPr>
      <w:t>Colpensiones</w:t>
    </w:r>
  </w:p>
  <w:p w:rsidR="00082097" w:rsidRPr="00D11925" w:rsidRDefault="00082097" w:rsidP="00D11925">
    <w:pPr>
      <w:pStyle w:val="Puesto"/>
      <w:tabs>
        <w:tab w:val="left" w:pos="708"/>
        <w:tab w:val="left" w:pos="1416"/>
        <w:tab w:val="left" w:pos="2124"/>
        <w:tab w:val="left" w:pos="2832"/>
        <w:tab w:val="left" w:pos="3758"/>
      </w:tabs>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3D0A580F"/>
    <w:multiLevelType w:val="hybridMultilevel"/>
    <w:tmpl w:val="BCC419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70B0595B"/>
    <w:multiLevelType w:val="hybridMultilevel"/>
    <w:tmpl w:val="9536B092"/>
    <w:lvl w:ilvl="0" w:tplc="F0A47F7E">
      <w:start w:val="1"/>
      <w:numFmt w:val="decimal"/>
      <w:lvlText w:val="%1."/>
      <w:lvlJc w:val="left"/>
      <w:pPr>
        <w:ind w:left="921" w:hanging="360"/>
      </w:pPr>
      <w:rPr>
        <w:rFonts w:hint="default"/>
      </w:rPr>
    </w:lvl>
    <w:lvl w:ilvl="1" w:tplc="0C0A0019" w:tentative="1">
      <w:start w:val="1"/>
      <w:numFmt w:val="lowerLetter"/>
      <w:lvlText w:val="%2."/>
      <w:lvlJc w:val="left"/>
      <w:pPr>
        <w:ind w:left="1641" w:hanging="360"/>
      </w:pPr>
    </w:lvl>
    <w:lvl w:ilvl="2" w:tplc="0C0A001B" w:tentative="1">
      <w:start w:val="1"/>
      <w:numFmt w:val="lowerRoman"/>
      <w:lvlText w:val="%3."/>
      <w:lvlJc w:val="right"/>
      <w:pPr>
        <w:ind w:left="2361" w:hanging="180"/>
      </w:pPr>
    </w:lvl>
    <w:lvl w:ilvl="3" w:tplc="0C0A000F" w:tentative="1">
      <w:start w:val="1"/>
      <w:numFmt w:val="decimal"/>
      <w:lvlText w:val="%4."/>
      <w:lvlJc w:val="left"/>
      <w:pPr>
        <w:ind w:left="3081" w:hanging="360"/>
      </w:pPr>
    </w:lvl>
    <w:lvl w:ilvl="4" w:tplc="0C0A0019" w:tentative="1">
      <w:start w:val="1"/>
      <w:numFmt w:val="lowerLetter"/>
      <w:lvlText w:val="%5."/>
      <w:lvlJc w:val="left"/>
      <w:pPr>
        <w:ind w:left="3801" w:hanging="360"/>
      </w:pPr>
    </w:lvl>
    <w:lvl w:ilvl="5" w:tplc="0C0A001B" w:tentative="1">
      <w:start w:val="1"/>
      <w:numFmt w:val="lowerRoman"/>
      <w:lvlText w:val="%6."/>
      <w:lvlJc w:val="right"/>
      <w:pPr>
        <w:ind w:left="4521" w:hanging="180"/>
      </w:pPr>
    </w:lvl>
    <w:lvl w:ilvl="6" w:tplc="0C0A000F" w:tentative="1">
      <w:start w:val="1"/>
      <w:numFmt w:val="decimal"/>
      <w:lvlText w:val="%7."/>
      <w:lvlJc w:val="left"/>
      <w:pPr>
        <w:ind w:left="5241" w:hanging="360"/>
      </w:pPr>
    </w:lvl>
    <w:lvl w:ilvl="7" w:tplc="0C0A0019" w:tentative="1">
      <w:start w:val="1"/>
      <w:numFmt w:val="lowerLetter"/>
      <w:lvlText w:val="%8."/>
      <w:lvlJc w:val="left"/>
      <w:pPr>
        <w:ind w:left="5961" w:hanging="360"/>
      </w:pPr>
    </w:lvl>
    <w:lvl w:ilvl="8" w:tplc="0C0A001B" w:tentative="1">
      <w:start w:val="1"/>
      <w:numFmt w:val="lowerRoman"/>
      <w:lvlText w:val="%9."/>
      <w:lvlJc w:val="right"/>
      <w:pPr>
        <w:ind w:left="6681" w:hanging="180"/>
      </w:pPr>
    </w:lvl>
  </w:abstractNum>
  <w:abstractNum w:abstractNumId="6">
    <w:nsid w:val="7B4136A5"/>
    <w:multiLevelType w:val="hybridMultilevel"/>
    <w:tmpl w:val="3048B722"/>
    <w:lvl w:ilvl="0" w:tplc="24F4F3F2">
      <w:start w:val="4"/>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6A"/>
    <w:rsid w:val="000105E4"/>
    <w:rsid w:val="000256C0"/>
    <w:rsid w:val="000362D6"/>
    <w:rsid w:val="0004250F"/>
    <w:rsid w:val="00046E89"/>
    <w:rsid w:val="000472FD"/>
    <w:rsid w:val="00056158"/>
    <w:rsid w:val="000629BF"/>
    <w:rsid w:val="000636A8"/>
    <w:rsid w:val="00064771"/>
    <w:rsid w:val="000666CB"/>
    <w:rsid w:val="000704D3"/>
    <w:rsid w:val="00071A80"/>
    <w:rsid w:val="00073121"/>
    <w:rsid w:val="000751CC"/>
    <w:rsid w:val="00076AC7"/>
    <w:rsid w:val="00082097"/>
    <w:rsid w:val="00085590"/>
    <w:rsid w:val="00091ABA"/>
    <w:rsid w:val="00091C56"/>
    <w:rsid w:val="000947ED"/>
    <w:rsid w:val="0009748B"/>
    <w:rsid w:val="000A0A40"/>
    <w:rsid w:val="000A28BE"/>
    <w:rsid w:val="000A7BB4"/>
    <w:rsid w:val="000B34BC"/>
    <w:rsid w:val="000B4700"/>
    <w:rsid w:val="000B4BE3"/>
    <w:rsid w:val="000B51D9"/>
    <w:rsid w:val="000B695F"/>
    <w:rsid w:val="000B6EFE"/>
    <w:rsid w:val="000C253E"/>
    <w:rsid w:val="000D1C08"/>
    <w:rsid w:val="000D2488"/>
    <w:rsid w:val="000D433B"/>
    <w:rsid w:val="000D519D"/>
    <w:rsid w:val="000D771D"/>
    <w:rsid w:val="000D7C90"/>
    <w:rsid w:val="000E21D3"/>
    <w:rsid w:val="000E3497"/>
    <w:rsid w:val="000E494E"/>
    <w:rsid w:val="000E5DB7"/>
    <w:rsid w:val="000F16FF"/>
    <w:rsid w:val="0010367F"/>
    <w:rsid w:val="00103DB9"/>
    <w:rsid w:val="001049D2"/>
    <w:rsid w:val="00112C85"/>
    <w:rsid w:val="00113D90"/>
    <w:rsid w:val="00114D08"/>
    <w:rsid w:val="00115BE8"/>
    <w:rsid w:val="00116BC7"/>
    <w:rsid w:val="00120826"/>
    <w:rsid w:val="001208CA"/>
    <w:rsid w:val="00120C7E"/>
    <w:rsid w:val="001219DB"/>
    <w:rsid w:val="00122EE4"/>
    <w:rsid w:val="001234CC"/>
    <w:rsid w:val="00123AEB"/>
    <w:rsid w:val="00124FE1"/>
    <w:rsid w:val="00132744"/>
    <w:rsid w:val="00133CA0"/>
    <w:rsid w:val="00137711"/>
    <w:rsid w:val="001408E4"/>
    <w:rsid w:val="00144BED"/>
    <w:rsid w:val="00146B81"/>
    <w:rsid w:val="001509FE"/>
    <w:rsid w:val="00151E5F"/>
    <w:rsid w:val="001603C8"/>
    <w:rsid w:val="00160FF3"/>
    <w:rsid w:val="0016446E"/>
    <w:rsid w:val="001764FA"/>
    <w:rsid w:val="00177DF6"/>
    <w:rsid w:val="0018206C"/>
    <w:rsid w:val="00182381"/>
    <w:rsid w:val="00182A8B"/>
    <w:rsid w:val="00190F18"/>
    <w:rsid w:val="0019259D"/>
    <w:rsid w:val="00193988"/>
    <w:rsid w:val="001942D1"/>
    <w:rsid w:val="001A63DF"/>
    <w:rsid w:val="001B050E"/>
    <w:rsid w:val="001B2090"/>
    <w:rsid w:val="001C1EE7"/>
    <w:rsid w:val="001C7B85"/>
    <w:rsid w:val="001D150C"/>
    <w:rsid w:val="001D1D1D"/>
    <w:rsid w:val="001D6664"/>
    <w:rsid w:val="001D7AE7"/>
    <w:rsid w:val="001E0D4B"/>
    <w:rsid w:val="001E12B9"/>
    <w:rsid w:val="001E4C92"/>
    <w:rsid w:val="001E7EFF"/>
    <w:rsid w:val="001F6C96"/>
    <w:rsid w:val="00200B5A"/>
    <w:rsid w:val="002033A0"/>
    <w:rsid w:val="002040F0"/>
    <w:rsid w:val="00216E65"/>
    <w:rsid w:val="00232C8C"/>
    <w:rsid w:val="00235CEB"/>
    <w:rsid w:val="00237CFB"/>
    <w:rsid w:val="00240661"/>
    <w:rsid w:val="002437B8"/>
    <w:rsid w:val="00244264"/>
    <w:rsid w:val="00250567"/>
    <w:rsid w:val="00252A08"/>
    <w:rsid w:val="00257688"/>
    <w:rsid w:val="002627BC"/>
    <w:rsid w:val="002629E9"/>
    <w:rsid w:val="00265189"/>
    <w:rsid w:val="002844B5"/>
    <w:rsid w:val="0029261F"/>
    <w:rsid w:val="00292C55"/>
    <w:rsid w:val="00296B52"/>
    <w:rsid w:val="002A0DC0"/>
    <w:rsid w:val="002A15ED"/>
    <w:rsid w:val="002A24DA"/>
    <w:rsid w:val="002A4362"/>
    <w:rsid w:val="002A4AE5"/>
    <w:rsid w:val="002B23D9"/>
    <w:rsid w:val="002B2658"/>
    <w:rsid w:val="002B3BEA"/>
    <w:rsid w:val="002B41B3"/>
    <w:rsid w:val="002B55C2"/>
    <w:rsid w:val="002B6860"/>
    <w:rsid w:val="002C3A90"/>
    <w:rsid w:val="002C45AF"/>
    <w:rsid w:val="002C4EE0"/>
    <w:rsid w:val="002C4FD3"/>
    <w:rsid w:val="002C742B"/>
    <w:rsid w:val="002D04B7"/>
    <w:rsid w:val="002D08E6"/>
    <w:rsid w:val="002D59BC"/>
    <w:rsid w:val="002D69DA"/>
    <w:rsid w:val="002D73D0"/>
    <w:rsid w:val="002E4211"/>
    <w:rsid w:val="002F1F83"/>
    <w:rsid w:val="002F5A8F"/>
    <w:rsid w:val="00300AFB"/>
    <w:rsid w:val="00302BE3"/>
    <w:rsid w:val="00304BE0"/>
    <w:rsid w:val="00312CA3"/>
    <w:rsid w:val="00314369"/>
    <w:rsid w:val="00317112"/>
    <w:rsid w:val="00317607"/>
    <w:rsid w:val="00317F73"/>
    <w:rsid w:val="003221C0"/>
    <w:rsid w:val="00322229"/>
    <w:rsid w:val="00322CEF"/>
    <w:rsid w:val="00326AD2"/>
    <w:rsid w:val="0033539F"/>
    <w:rsid w:val="003360DA"/>
    <w:rsid w:val="00341794"/>
    <w:rsid w:val="0034289B"/>
    <w:rsid w:val="00342A86"/>
    <w:rsid w:val="003450D3"/>
    <w:rsid w:val="00346EE7"/>
    <w:rsid w:val="00347267"/>
    <w:rsid w:val="00347C8C"/>
    <w:rsid w:val="003529F4"/>
    <w:rsid w:val="003539B5"/>
    <w:rsid w:val="00362FE8"/>
    <w:rsid w:val="0036356C"/>
    <w:rsid w:val="003671AD"/>
    <w:rsid w:val="00367DC9"/>
    <w:rsid w:val="003701E8"/>
    <w:rsid w:val="00370570"/>
    <w:rsid w:val="003706FC"/>
    <w:rsid w:val="00372D7A"/>
    <w:rsid w:val="00383E02"/>
    <w:rsid w:val="00390198"/>
    <w:rsid w:val="00392E52"/>
    <w:rsid w:val="003A2C38"/>
    <w:rsid w:val="003A489E"/>
    <w:rsid w:val="003A58A7"/>
    <w:rsid w:val="003A6D80"/>
    <w:rsid w:val="003B267E"/>
    <w:rsid w:val="003D3724"/>
    <w:rsid w:val="003D7A55"/>
    <w:rsid w:val="003E0F84"/>
    <w:rsid w:val="003E146B"/>
    <w:rsid w:val="003E1584"/>
    <w:rsid w:val="003E1C74"/>
    <w:rsid w:val="003E30DD"/>
    <w:rsid w:val="003E4DCB"/>
    <w:rsid w:val="003F0A96"/>
    <w:rsid w:val="003F2919"/>
    <w:rsid w:val="003F301A"/>
    <w:rsid w:val="003F312D"/>
    <w:rsid w:val="003F499F"/>
    <w:rsid w:val="00400368"/>
    <w:rsid w:val="0040234F"/>
    <w:rsid w:val="004042BE"/>
    <w:rsid w:val="0040548E"/>
    <w:rsid w:val="0040702D"/>
    <w:rsid w:val="00415094"/>
    <w:rsid w:val="0041584B"/>
    <w:rsid w:val="00415BAF"/>
    <w:rsid w:val="0041614D"/>
    <w:rsid w:val="00420641"/>
    <w:rsid w:val="00420773"/>
    <w:rsid w:val="0042379F"/>
    <w:rsid w:val="00426E6C"/>
    <w:rsid w:val="00427CCE"/>
    <w:rsid w:val="00433399"/>
    <w:rsid w:val="004344EF"/>
    <w:rsid w:val="00434BB2"/>
    <w:rsid w:val="004376EB"/>
    <w:rsid w:val="00446C84"/>
    <w:rsid w:val="004526C1"/>
    <w:rsid w:val="0045368E"/>
    <w:rsid w:val="00460646"/>
    <w:rsid w:val="0046096A"/>
    <w:rsid w:val="00466D60"/>
    <w:rsid w:val="00467E30"/>
    <w:rsid w:val="004709C5"/>
    <w:rsid w:val="004721A6"/>
    <w:rsid w:val="004744CF"/>
    <w:rsid w:val="004759B0"/>
    <w:rsid w:val="004760ED"/>
    <w:rsid w:val="004804D9"/>
    <w:rsid w:val="004813AB"/>
    <w:rsid w:val="004A1EA4"/>
    <w:rsid w:val="004B7539"/>
    <w:rsid w:val="004B7BE8"/>
    <w:rsid w:val="004C2AB0"/>
    <w:rsid w:val="004D06F3"/>
    <w:rsid w:val="004D2D88"/>
    <w:rsid w:val="004E06D9"/>
    <w:rsid w:val="004E1DE7"/>
    <w:rsid w:val="004E34A8"/>
    <w:rsid w:val="004E3F0B"/>
    <w:rsid w:val="004E418E"/>
    <w:rsid w:val="004E7081"/>
    <w:rsid w:val="004E7D7F"/>
    <w:rsid w:val="004F0FAA"/>
    <w:rsid w:val="004F1841"/>
    <w:rsid w:val="004F29DA"/>
    <w:rsid w:val="004F5100"/>
    <w:rsid w:val="004F622B"/>
    <w:rsid w:val="00507CE4"/>
    <w:rsid w:val="00511235"/>
    <w:rsid w:val="00511B63"/>
    <w:rsid w:val="0051611A"/>
    <w:rsid w:val="00516E20"/>
    <w:rsid w:val="00516F6D"/>
    <w:rsid w:val="00517A26"/>
    <w:rsid w:val="0052357B"/>
    <w:rsid w:val="005242CA"/>
    <w:rsid w:val="00525C98"/>
    <w:rsid w:val="005303D4"/>
    <w:rsid w:val="00530D9D"/>
    <w:rsid w:val="005465F5"/>
    <w:rsid w:val="0055496E"/>
    <w:rsid w:val="00556AAD"/>
    <w:rsid w:val="00560E56"/>
    <w:rsid w:val="00562504"/>
    <w:rsid w:val="00564FDC"/>
    <w:rsid w:val="0057407F"/>
    <w:rsid w:val="00575BC3"/>
    <w:rsid w:val="005777A1"/>
    <w:rsid w:val="00581960"/>
    <w:rsid w:val="00582C08"/>
    <w:rsid w:val="00583044"/>
    <w:rsid w:val="00583D81"/>
    <w:rsid w:val="00583F3A"/>
    <w:rsid w:val="00594DC3"/>
    <w:rsid w:val="00595F3F"/>
    <w:rsid w:val="00597389"/>
    <w:rsid w:val="005A029F"/>
    <w:rsid w:val="005A3093"/>
    <w:rsid w:val="005A37EB"/>
    <w:rsid w:val="005C1225"/>
    <w:rsid w:val="005C1B24"/>
    <w:rsid w:val="005C2E22"/>
    <w:rsid w:val="005C46E4"/>
    <w:rsid w:val="005C523A"/>
    <w:rsid w:val="005D419E"/>
    <w:rsid w:val="005D4705"/>
    <w:rsid w:val="005D6051"/>
    <w:rsid w:val="005E0656"/>
    <w:rsid w:val="005E190D"/>
    <w:rsid w:val="005E27B0"/>
    <w:rsid w:val="005E2ABD"/>
    <w:rsid w:val="005E469D"/>
    <w:rsid w:val="005E4C6C"/>
    <w:rsid w:val="005E5157"/>
    <w:rsid w:val="005F03A4"/>
    <w:rsid w:val="005F20B2"/>
    <w:rsid w:val="005F2BE2"/>
    <w:rsid w:val="005F34CF"/>
    <w:rsid w:val="00600633"/>
    <w:rsid w:val="00603328"/>
    <w:rsid w:val="006138C3"/>
    <w:rsid w:val="00613C21"/>
    <w:rsid w:val="006206ED"/>
    <w:rsid w:val="00621B87"/>
    <w:rsid w:val="006411E6"/>
    <w:rsid w:val="00642280"/>
    <w:rsid w:val="0065227C"/>
    <w:rsid w:val="00655CE9"/>
    <w:rsid w:val="00663015"/>
    <w:rsid w:val="006630D7"/>
    <w:rsid w:val="00664908"/>
    <w:rsid w:val="00667264"/>
    <w:rsid w:val="0067330A"/>
    <w:rsid w:val="00673B42"/>
    <w:rsid w:val="00674DE3"/>
    <w:rsid w:val="006752D5"/>
    <w:rsid w:val="006841DA"/>
    <w:rsid w:val="00685C47"/>
    <w:rsid w:val="0069340F"/>
    <w:rsid w:val="00694CC0"/>
    <w:rsid w:val="006A2CFE"/>
    <w:rsid w:val="006A43CC"/>
    <w:rsid w:val="006A4533"/>
    <w:rsid w:val="006A4B4A"/>
    <w:rsid w:val="006A5B16"/>
    <w:rsid w:val="006A789A"/>
    <w:rsid w:val="006B009B"/>
    <w:rsid w:val="006B278C"/>
    <w:rsid w:val="006B5921"/>
    <w:rsid w:val="006C038C"/>
    <w:rsid w:val="006C1313"/>
    <w:rsid w:val="006C688C"/>
    <w:rsid w:val="006C7146"/>
    <w:rsid w:val="006C78C2"/>
    <w:rsid w:val="006D090C"/>
    <w:rsid w:val="006D3E55"/>
    <w:rsid w:val="006D4CA1"/>
    <w:rsid w:val="006E3C2B"/>
    <w:rsid w:val="006E4B4D"/>
    <w:rsid w:val="006E4C1E"/>
    <w:rsid w:val="006F17E9"/>
    <w:rsid w:val="006F2CB5"/>
    <w:rsid w:val="006F37F8"/>
    <w:rsid w:val="006F74C2"/>
    <w:rsid w:val="006F7BDD"/>
    <w:rsid w:val="00700BC6"/>
    <w:rsid w:val="00701A9B"/>
    <w:rsid w:val="00713B03"/>
    <w:rsid w:val="0071632E"/>
    <w:rsid w:val="00717254"/>
    <w:rsid w:val="00727497"/>
    <w:rsid w:val="00731EAF"/>
    <w:rsid w:val="0073296D"/>
    <w:rsid w:val="007367ED"/>
    <w:rsid w:val="00737CE4"/>
    <w:rsid w:val="00745C7B"/>
    <w:rsid w:val="00752E81"/>
    <w:rsid w:val="00755706"/>
    <w:rsid w:val="0075793E"/>
    <w:rsid w:val="007607C1"/>
    <w:rsid w:val="007623D8"/>
    <w:rsid w:val="0076435E"/>
    <w:rsid w:val="00764A23"/>
    <w:rsid w:val="0076561A"/>
    <w:rsid w:val="007662F0"/>
    <w:rsid w:val="007675E9"/>
    <w:rsid w:val="0077394E"/>
    <w:rsid w:val="007743E4"/>
    <w:rsid w:val="00774B94"/>
    <w:rsid w:val="00784BD5"/>
    <w:rsid w:val="007925E7"/>
    <w:rsid w:val="00793BE1"/>
    <w:rsid w:val="007949D1"/>
    <w:rsid w:val="00795852"/>
    <w:rsid w:val="007A0291"/>
    <w:rsid w:val="007A3FC5"/>
    <w:rsid w:val="007A6B25"/>
    <w:rsid w:val="007B24D7"/>
    <w:rsid w:val="007B6C75"/>
    <w:rsid w:val="007C21B5"/>
    <w:rsid w:val="007C5175"/>
    <w:rsid w:val="007C65DD"/>
    <w:rsid w:val="007E29A1"/>
    <w:rsid w:val="007F361A"/>
    <w:rsid w:val="007F6023"/>
    <w:rsid w:val="007F683C"/>
    <w:rsid w:val="007F73C5"/>
    <w:rsid w:val="007F7A15"/>
    <w:rsid w:val="00803311"/>
    <w:rsid w:val="008072B2"/>
    <w:rsid w:val="0081592F"/>
    <w:rsid w:val="00815C10"/>
    <w:rsid w:val="0081696C"/>
    <w:rsid w:val="008169A7"/>
    <w:rsid w:val="00823D00"/>
    <w:rsid w:val="00827750"/>
    <w:rsid w:val="00833ADF"/>
    <w:rsid w:val="00834315"/>
    <w:rsid w:val="008343FF"/>
    <w:rsid w:val="00834E89"/>
    <w:rsid w:val="008422BE"/>
    <w:rsid w:val="00852626"/>
    <w:rsid w:val="0085619C"/>
    <w:rsid w:val="0085772A"/>
    <w:rsid w:val="00857D03"/>
    <w:rsid w:val="0086023E"/>
    <w:rsid w:val="00863C64"/>
    <w:rsid w:val="00864B66"/>
    <w:rsid w:val="00866D72"/>
    <w:rsid w:val="008728DB"/>
    <w:rsid w:val="008857B4"/>
    <w:rsid w:val="0089106D"/>
    <w:rsid w:val="008953DC"/>
    <w:rsid w:val="00896D14"/>
    <w:rsid w:val="00897745"/>
    <w:rsid w:val="008A0899"/>
    <w:rsid w:val="008A170F"/>
    <w:rsid w:val="008A2F9D"/>
    <w:rsid w:val="008A7574"/>
    <w:rsid w:val="008B3088"/>
    <w:rsid w:val="008C103D"/>
    <w:rsid w:val="008C54EF"/>
    <w:rsid w:val="008C64BE"/>
    <w:rsid w:val="008D7273"/>
    <w:rsid w:val="008D7C73"/>
    <w:rsid w:val="008F26A2"/>
    <w:rsid w:val="008F70F4"/>
    <w:rsid w:val="009040B3"/>
    <w:rsid w:val="009041D9"/>
    <w:rsid w:val="0090587C"/>
    <w:rsid w:val="00910A38"/>
    <w:rsid w:val="00912D43"/>
    <w:rsid w:val="00913FE6"/>
    <w:rsid w:val="00915697"/>
    <w:rsid w:val="0092467D"/>
    <w:rsid w:val="00924E15"/>
    <w:rsid w:val="00925EAE"/>
    <w:rsid w:val="00933FCD"/>
    <w:rsid w:val="00943BE4"/>
    <w:rsid w:val="009441A8"/>
    <w:rsid w:val="009450A8"/>
    <w:rsid w:val="009600B6"/>
    <w:rsid w:val="00960ACC"/>
    <w:rsid w:val="00970DF2"/>
    <w:rsid w:val="009734DB"/>
    <w:rsid w:val="00977175"/>
    <w:rsid w:val="0097724E"/>
    <w:rsid w:val="00981832"/>
    <w:rsid w:val="00990B99"/>
    <w:rsid w:val="009914AB"/>
    <w:rsid w:val="00991DE3"/>
    <w:rsid w:val="00992B99"/>
    <w:rsid w:val="00992D74"/>
    <w:rsid w:val="009A0458"/>
    <w:rsid w:val="009A4B1B"/>
    <w:rsid w:val="009B3570"/>
    <w:rsid w:val="009B6435"/>
    <w:rsid w:val="009B64F5"/>
    <w:rsid w:val="009B6741"/>
    <w:rsid w:val="009B6C49"/>
    <w:rsid w:val="009B7238"/>
    <w:rsid w:val="009B7F36"/>
    <w:rsid w:val="009C0CA5"/>
    <w:rsid w:val="009C1642"/>
    <w:rsid w:val="009C1CD0"/>
    <w:rsid w:val="009D628E"/>
    <w:rsid w:val="009D7E4F"/>
    <w:rsid w:val="009E24BF"/>
    <w:rsid w:val="009E37B0"/>
    <w:rsid w:val="009E3D53"/>
    <w:rsid w:val="009E6A93"/>
    <w:rsid w:val="009F299E"/>
    <w:rsid w:val="009F4592"/>
    <w:rsid w:val="009F5CF3"/>
    <w:rsid w:val="00A00079"/>
    <w:rsid w:val="00A006A6"/>
    <w:rsid w:val="00A00D9B"/>
    <w:rsid w:val="00A02850"/>
    <w:rsid w:val="00A05DBC"/>
    <w:rsid w:val="00A1546E"/>
    <w:rsid w:val="00A20F0C"/>
    <w:rsid w:val="00A23E59"/>
    <w:rsid w:val="00A24570"/>
    <w:rsid w:val="00A307F7"/>
    <w:rsid w:val="00A32D81"/>
    <w:rsid w:val="00A334FD"/>
    <w:rsid w:val="00A33A09"/>
    <w:rsid w:val="00A3535A"/>
    <w:rsid w:val="00A4139E"/>
    <w:rsid w:val="00A42FC7"/>
    <w:rsid w:val="00A45517"/>
    <w:rsid w:val="00A5270D"/>
    <w:rsid w:val="00A533CF"/>
    <w:rsid w:val="00A53D75"/>
    <w:rsid w:val="00A565A8"/>
    <w:rsid w:val="00A576D8"/>
    <w:rsid w:val="00A632FC"/>
    <w:rsid w:val="00A64145"/>
    <w:rsid w:val="00A646C4"/>
    <w:rsid w:val="00A65930"/>
    <w:rsid w:val="00A66A08"/>
    <w:rsid w:val="00A70AEA"/>
    <w:rsid w:val="00A717AC"/>
    <w:rsid w:val="00A71FBA"/>
    <w:rsid w:val="00A729F9"/>
    <w:rsid w:val="00A74A19"/>
    <w:rsid w:val="00A7597E"/>
    <w:rsid w:val="00A767E1"/>
    <w:rsid w:val="00A86172"/>
    <w:rsid w:val="00A86D92"/>
    <w:rsid w:val="00A90D88"/>
    <w:rsid w:val="00A9186E"/>
    <w:rsid w:val="00AA036D"/>
    <w:rsid w:val="00AA2110"/>
    <w:rsid w:val="00AA3FE8"/>
    <w:rsid w:val="00AA4583"/>
    <w:rsid w:val="00AB093D"/>
    <w:rsid w:val="00AB4BA1"/>
    <w:rsid w:val="00AB5CBE"/>
    <w:rsid w:val="00AB66C4"/>
    <w:rsid w:val="00AC5DEA"/>
    <w:rsid w:val="00AC6A06"/>
    <w:rsid w:val="00AD0ED9"/>
    <w:rsid w:val="00AD1EC5"/>
    <w:rsid w:val="00AD4D8B"/>
    <w:rsid w:val="00AD66A5"/>
    <w:rsid w:val="00AE3C7E"/>
    <w:rsid w:val="00AF5ED7"/>
    <w:rsid w:val="00AF6289"/>
    <w:rsid w:val="00AF7949"/>
    <w:rsid w:val="00B15402"/>
    <w:rsid w:val="00B1761F"/>
    <w:rsid w:val="00B20BC9"/>
    <w:rsid w:val="00B212D6"/>
    <w:rsid w:val="00B227C7"/>
    <w:rsid w:val="00B23866"/>
    <w:rsid w:val="00B25659"/>
    <w:rsid w:val="00B35A21"/>
    <w:rsid w:val="00B36B7A"/>
    <w:rsid w:val="00B413F5"/>
    <w:rsid w:val="00B46444"/>
    <w:rsid w:val="00B46E26"/>
    <w:rsid w:val="00B57323"/>
    <w:rsid w:val="00B61870"/>
    <w:rsid w:val="00B61F4F"/>
    <w:rsid w:val="00B620E1"/>
    <w:rsid w:val="00B621AD"/>
    <w:rsid w:val="00B65DFD"/>
    <w:rsid w:val="00B712C0"/>
    <w:rsid w:val="00B713AE"/>
    <w:rsid w:val="00B71635"/>
    <w:rsid w:val="00B74410"/>
    <w:rsid w:val="00B82128"/>
    <w:rsid w:val="00B83A7E"/>
    <w:rsid w:val="00B847BB"/>
    <w:rsid w:val="00B85148"/>
    <w:rsid w:val="00B8799B"/>
    <w:rsid w:val="00B933D9"/>
    <w:rsid w:val="00B940A0"/>
    <w:rsid w:val="00B968A9"/>
    <w:rsid w:val="00B971E1"/>
    <w:rsid w:val="00B972B1"/>
    <w:rsid w:val="00B97EB4"/>
    <w:rsid w:val="00BA10F6"/>
    <w:rsid w:val="00BA14E7"/>
    <w:rsid w:val="00BA68A2"/>
    <w:rsid w:val="00BB0648"/>
    <w:rsid w:val="00BB08F1"/>
    <w:rsid w:val="00BC0BB4"/>
    <w:rsid w:val="00BC17DA"/>
    <w:rsid w:val="00BD33A6"/>
    <w:rsid w:val="00BD483F"/>
    <w:rsid w:val="00BE2D74"/>
    <w:rsid w:val="00BE34A3"/>
    <w:rsid w:val="00BE516C"/>
    <w:rsid w:val="00BF6632"/>
    <w:rsid w:val="00C00E2D"/>
    <w:rsid w:val="00C02601"/>
    <w:rsid w:val="00C0324F"/>
    <w:rsid w:val="00C2168B"/>
    <w:rsid w:val="00C21F2B"/>
    <w:rsid w:val="00C228E5"/>
    <w:rsid w:val="00C2584F"/>
    <w:rsid w:val="00C30350"/>
    <w:rsid w:val="00C30E82"/>
    <w:rsid w:val="00C31BB2"/>
    <w:rsid w:val="00C31CC2"/>
    <w:rsid w:val="00C328CD"/>
    <w:rsid w:val="00C404F0"/>
    <w:rsid w:val="00C4201A"/>
    <w:rsid w:val="00C43581"/>
    <w:rsid w:val="00C4685C"/>
    <w:rsid w:val="00C46ACD"/>
    <w:rsid w:val="00C47527"/>
    <w:rsid w:val="00C47FCC"/>
    <w:rsid w:val="00C50853"/>
    <w:rsid w:val="00C513C3"/>
    <w:rsid w:val="00C65397"/>
    <w:rsid w:val="00C700B3"/>
    <w:rsid w:val="00C7363B"/>
    <w:rsid w:val="00C77924"/>
    <w:rsid w:val="00C77E6D"/>
    <w:rsid w:val="00C84D49"/>
    <w:rsid w:val="00C85CDF"/>
    <w:rsid w:val="00C9266D"/>
    <w:rsid w:val="00C9663F"/>
    <w:rsid w:val="00CA5CA1"/>
    <w:rsid w:val="00CB0E5F"/>
    <w:rsid w:val="00CB1FAD"/>
    <w:rsid w:val="00CB735F"/>
    <w:rsid w:val="00CC0CF7"/>
    <w:rsid w:val="00CC2C44"/>
    <w:rsid w:val="00CC39E2"/>
    <w:rsid w:val="00CD3286"/>
    <w:rsid w:val="00CD6E82"/>
    <w:rsid w:val="00CE1499"/>
    <w:rsid w:val="00CE588C"/>
    <w:rsid w:val="00CF03E2"/>
    <w:rsid w:val="00CF6535"/>
    <w:rsid w:val="00CF6BD4"/>
    <w:rsid w:val="00D00F78"/>
    <w:rsid w:val="00D046EA"/>
    <w:rsid w:val="00D05E85"/>
    <w:rsid w:val="00D06B91"/>
    <w:rsid w:val="00D10374"/>
    <w:rsid w:val="00D1121B"/>
    <w:rsid w:val="00D11925"/>
    <w:rsid w:val="00D128FF"/>
    <w:rsid w:val="00D13DD7"/>
    <w:rsid w:val="00D21BB5"/>
    <w:rsid w:val="00D22B0D"/>
    <w:rsid w:val="00D2586A"/>
    <w:rsid w:val="00D25D0E"/>
    <w:rsid w:val="00D2668E"/>
    <w:rsid w:val="00D266F2"/>
    <w:rsid w:val="00D30857"/>
    <w:rsid w:val="00D33DDD"/>
    <w:rsid w:val="00D346E7"/>
    <w:rsid w:val="00D37EE9"/>
    <w:rsid w:val="00D45D92"/>
    <w:rsid w:val="00D46E09"/>
    <w:rsid w:val="00D47DC8"/>
    <w:rsid w:val="00D523BA"/>
    <w:rsid w:val="00D54BD9"/>
    <w:rsid w:val="00D57311"/>
    <w:rsid w:val="00D65016"/>
    <w:rsid w:val="00D67553"/>
    <w:rsid w:val="00D70702"/>
    <w:rsid w:val="00D70DDC"/>
    <w:rsid w:val="00D7178D"/>
    <w:rsid w:val="00D71C3E"/>
    <w:rsid w:val="00D80E73"/>
    <w:rsid w:val="00D85B5F"/>
    <w:rsid w:val="00D91C73"/>
    <w:rsid w:val="00D93EA0"/>
    <w:rsid w:val="00D94881"/>
    <w:rsid w:val="00D950A4"/>
    <w:rsid w:val="00D95EDE"/>
    <w:rsid w:val="00D970EB"/>
    <w:rsid w:val="00DA4338"/>
    <w:rsid w:val="00DA4FDD"/>
    <w:rsid w:val="00DA6615"/>
    <w:rsid w:val="00DA7071"/>
    <w:rsid w:val="00DB26A6"/>
    <w:rsid w:val="00DB2A00"/>
    <w:rsid w:val="00DC08C3"/>
    <w:rsid w:val="00DC1B60"/>
    <w:rsid w:val="00DC3336"/>
    <w:rsid w:val="00DC6669"/>
    <w:rsid w:val="00DD3E1C"/>
    <w:rsid w:val="00DE12C7"/>
    <w:rsid w:val="00DE2DCC"/>
    <w:rsid w:val="00DE490C"/>
    <w:rsid w:val="00DE6C57"/>
    <w:rsid w:val="00DE775B"/>
    <w:rsid w:val="00DF144C"/>
    <w:rsid w:val="00DF17AC"/>
    <w:rsid w:val="00DF3285"/>
    <w:rsid w:val="00DF3BD3"/>
    <w:rsid w:val="00DF3E6F"/>
    <w:rsid w:val="00DF5168"/>
    <w:rsid w:val="00DF5A0E"/>
    <w:rsid w:val="00DF7772"/>
    <w:rsid w:val="00DF7BE7"/>
    <w:rsid w:val="00E0107C"/>
    <w:rsid w:val="00E02644"/>
    <w:rsid w:val="00E02794"/>
    <w:rsid w:val="00E02E65"/>
    <w:rsid w:val="00E04092"/>
    <w:rsid w:val="00E0485B"/>
    <w:rsid w:val="00E11CCE"/>
    <w:rsid w:val="00E17874"/>
    <w:rsid w:val="00E20708"/>
    <w:rsid w:val="00E23145"/>
    <w:rsid w:val="00E231F9"/>
    <w:rsid w:val="00E2505B"/>
    <w:rsid w:val="00E3043C"/>
    <w:rsid w:val="00E3626A"/>
    <w:rsid w:val="00E3720B"/>
    <w:rsid w:val="00E37E79"/>
    <w:rsid w:val="00E42ADB"/>
    <w:rsid w:val="00E43E80"/>
    <w:rsid w:val="00E52ED2"/>
    <w:rsid w:val="00E5305B"/>
    <w:rsid w:val="00E53791"/>
    <w:rsid w:val="00E53DBE"/>
    <w:rsid w:val="00E6504A"/>
    <w:rsid w:val="00E67E6D"/>
    <w:rsid w:val="00E71FC9"/>
    <w:rsid w:val="00E74C11"/>
    <w:rsid w:val="00E76B31"/>
    <w:rsid w:val="00E866EA"/>
    <w:rsid w:val="00E93BA1"/>
    <w:rsid w:val="00EA341A"/>
    <w:rsid w:val="00EA4C3C"/>
    <w:rsid w:val="00EA4CBD"/>
    <w:rsid w:val="00EB0D45"/>
    <w:rsid w:val="00EB15C2"/>
    <w:rsid w:val="00EB373B"/>
    <w:rsid w:val="00EB7EB4"/>
    <w:rsid w:val="00EC3402"/>
    <w:rsid w:val="00ED3665"/>
    <w:rsid w:val="00ED7D79"/>
    <w:rsid w:val="00EE3EEE"/>
    <w:rsid w:val="00EE66EA"/>
    <w:rsid w:val="00EE770E"/>
    <w:rsid w:val="00EF187A"/>
    <w:rsid w:val="00EF1D63"/>
    <w:rsid w:val="00EF271B"/>
    <w:rsid w:val="00EF3D79"/>
    <w:rsid w:val="00EF3DB7"/>
    <w:rsid w:val="00F01B71"/>
    <w:rsid w:val="00F024AD"/>
    <w:rsid w:val="00F02500"/>
    <w:rsid w:val="00F025E3"/>
    <w:rsid w:val="00F04E3B"/>
    <w:rsid w:val="00F05719"/>
    <w:rsid w:val="00F077C4"/>
    <w:rsid w:val="00F10054"/>
    <w:rsid w:val="00F1198E"/>
    <w:rsid w:val="00F13036"/>
    <w:rsid w:val="00F14042"/>
    <w:rsid w:val="00F2139C"/>
    <w:rsid w:val="00F24C24"/>
    <w:rsid w:val="00F3009A"/>
    <w:rsid w:val="00F32E10"/>
    <w:rsid w:val="00F331D9"/>
    <w:rsid w:val="00F36272"/>
    <w:rsid w:val="00F417B5"/>
    <w:rsid w:val="00F445C1"/>
    <w:rsid w:val="00F5145E"/>
    <w:rsid w:val="00F544D4"/>
    <w:rsid w:val="00F66A88"/>
    <w:rsid w:val="00F66AA7"/>
    <w:rsid w:val="00F7303C"/>
    <w:rsid w:val="00F8486A"/>
    <w:rsid w:val="00F9189A"/>
    <w:rsid w:val="00F91A45"/>
    <w:rsid w:val="00F93593"/>
    <w:rsid w:val="00F93726"/>
    <w:rsid w:val="00F97D2A"/>
    <w:rsid w:val="00FA1A13"/>
    <w:rsid w:val="00FA266D"/>
    <w:rsid w:val="00FA4084"/>
    <w:rsid w:val="00FA5206"/>
    <w:rsid w:val="00FA678C"/>
    <w:rsid w:val="00FB1BDC"/>
    <w:rsid w:val="00FB1CB6"/>
    <w:rsid w:val="00FB2C59"/>
    <w:rsid w:val="00FB41AA"/>
    <w:rsid w:val="00FB698A"/>
    <w:rsid w:val="00FC36AC"/>
    <w:rsid w:val="00FC6611"/>
    <w:rsid w:val="00FC68B9"/>
    <w:rsid w:val="00FD2107"/>
    <w:rsid w:val="00FD400F"/>
    <w:rsid w:val="00FD7750"/>
    <w:rsid w:val="00FE2F78"/>
    <w:rsid w:val="00FE6B69"/>
    <w:rsid w:val="00FF0CB2"/>
    <w:rsid w:val="00FF10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A09D4-37C3-4EC2-AA66-02BEF477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3539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99"/>
    <w:locked/>
    <w:rsid w:val="003D3724"/>
    <w:rPr>
      <w:rFonts w:ascii="Times New Roman" w:eastAsia="Times New Roman" w:hAnsi="Times New Roman" w:cs="Times New Roman"/>
      <w:sz w:val="24"/>
      <w:szCs w:val="24"/>
      <w:lang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uiPriority w:val="99"/>
    <w:rsid w:val="00D2586A"/>
    <w:rPr>
      <w:vertAlign w:val="superscript"/>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rsid w:val="00D2586A"/>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paragraph" w:customStyle="1" w:styleId="Textoindependiente31">
    <w:name w:val="Texto independiente 31"/>
    <w:basedOn w:val="Normal"/>
    <w:rsid w:val="003D3724"/>
    <w:pPr>
      <w:spacing w:line="360" w:lineRule="auto"/>
      <w:jc w:val="both"/>
    </w:pPr>
    <w:rPr>
      <w:rFonts w:ascii="Arial" w:hAnsi="Arial"/>
      <w:szCs w:val="20"/>
      <w:lang w:val="es-ES_tradnl"/>
    </w:rPr>
  </w:style>
  <w:style w:type="paragraph" w:customStyle="1" w:styleId="Textoindependiente32">
    <w:name w:val="Texto independiente 32"/>
    <w:basedOn w:val="Normal"/>
    <w:rsid w:val="004042BE"/>
    <w:pPr>
      <w:spacing w:line="360" w:lineRule="auto"/>
      <w:jc w:val="both"/>
    </w:pPr>
    <w:rPr>
      <w:rFonts w:ascii="Arial" w:hAnsi="Arial"/>
      <w:sz w:val="28"/>
      <w:szCs w:val="20"/>
      <w:lang w:val="es-ES_tradnl"/>
    </w:rPr>
  </w:style>
  <w:style w:type="character" w:styleId="Hipervnculo">
    <w:name w:val="Hyperlink"/>
    <w:basedOn w:val="Fuentedeprrafopredeter"/>
    <w:uiPriority w:val="99"/>
    <w:semiHidden/>
    <w:unhideWhenUsed/>
    <w:rsid w:val="000A0A40"/>
    <w:rPr>
      <w:color w:val="0000FF"/>
      <w:u w:val="single"/>
    </w:rPr>
  </w:style>
  <w:style w:type="character" w:customStyle="1" w:styleId="Ttulo1Car">
    <w:name w:val="Título 1 Car"/>
    <w:basedOn w:val="Fuentedeprrafopredeter"/>
    <w:link w:val="Ttulo1"/>
    <w:uiPriority w:val="9"/>
    <w:rsid w:val="003539B5"/>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50001">
      <w:bodyDiv w:val="1"/>
      <w:marLeft w:val="0"/>
      <w:marRight w:val="0"/>
      <w:marTop w:val="0"/>
      <w:marBottom w:val="0"/>
      <w:divBdr>
        <w:top w:val="none" w:sz="0" w:space="0" w:color="auto"/>
        <w:left w:val="none" w:sz="0" w:space="0" w:color="auto"/>
        <w:bottom w:val="none" w:sz="0" w:space="0" w:color="auto"/>
        <w:right w:val="none" w:sz="0" w:space="0" w:color="auto"/>
      </w:divBdr>
    </w:div>
    <w:div w:id="532571163">
      <w:bodyDiv w:val="1"/>
      <w:marLeft w:val="0"/>
      <w:marRight w:val="0"/>
      <w:marTop w:val="0"/>
      <w:marBottom w:val="0"/>
      <w:divBdr>
        <w:top w:val="none" w:sz="0" w:space="0" w:color="auto"/>
        <w:left w:val="none" w:sz="0" w:space="0" w:color="auto"/>
        <w:bottom w:val="none" w:sz="0" w:space="0" w:color="auto"/>
        <w:right w:val="none" w:sz="0" w:space="0" w:color="auto"/>
      </w:divBdr>
    </w:div>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883250784">
      <w:bodyDiv w:val="1"/>
      <w:marLeft w:val="0"/>
      <w:marRight w:val="0"/>
      <w:marTop w:val="0"/>
      <w:marBottom w:val="0"/>
      <w:divBdr>
        <w:top w:val="none" w:sz="0" w:space="0" w:color="auto"/>
        <w:left w:val="none" w:sz="0" w:space="0" w:color="auto"/>
        <w:bottom w:val="none" w:sz="0" w:space="0" w:color="auto"/>
        <w:right w:val="none" w:sz="0" w:space="0" w:color="auto"/>
      </w:divBdr>
    </w:div>
    <w:div w:id="989678238">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 w:id="21147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FB44-E0E3-4C37-9B19-B690C9C9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2266</Words>
  <Characters>12465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9</cp:revision>
  <cp:lastPrinted>2019-07-16T14:09:00Z</cp:lastPrinted>
  <dcterms:created xsi:type="dcterms:W3CDTF">2019-07-16T14:09:00Z</dcterms:created>
  <dcterms:modified xsi:type="dcterms:W3CDTF">2019-09-30T18:23:00Z</dcterms:modified>
</cp:coreProperties>
</file>