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F2316" w14:textId="77777777" w:rsidR="00691861" w:rsidRPr="000B29C4" w:rsidRDefault="00691861" w:rsidP="0069186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8"/>
          <w:sz w:val="18"/>
          <w:szCs w:val="18"/>
          <w:lang w:val="es-419" w:eastAsia="fr-FR"/>
        </w:rPr>
      </w:pPr>
      <w:bookmarkStart w:id="0" w:name="_GoBack"/>
      <w:r w:rsidRPr="000B29C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E1FBB4" w14:textId="77777777" w:rsidR="00691861" w:rsidRPr="000B29C4" w:rsidRDefault="00691861" w:rsidP="00691861">
      <w:pPr>
        <w:overflowPunct/>
        <w:autoSpaceDE/>
        <w:autoSpaceDN/>
        <w:adjustRightInd/>
        <w:jc w:val="both"/>
        <w:rPr>
          <w:rFonts w:ascii="Arial" w:hAnsi="Arial" w:cs="Arial"/>
          <w:lang w:val="es-419"/>
        </w:rPr>
      </w:pPr>
    </w:p>
    <w:p w14:paraId="4E3BBE68" w14:textId="77777777" w:rsidR="00691861" w:rsidRPr="000B29C4" w:rsidRDefault="00691861" w:rsidP="00691861">
      <w:pPr>
        <w:overflowPunct/>
        <w:autoSpaceDE/>
        <w:autoSpaceDN/>
        <w:adjustRightInd/>
        <w:jc w:val="both"/>
        <w:rPr>
          <w:rFonts w:ascii="Arial" w:hAnsi="Arial" w:cs="Arial"/>
          <w:lang w:val="es-419"/>
        </w:rPr>
      </w:pPr>
      <w:r w:rsidRPr="000B29C4">
        <w:rPr>
          <w:rFonts w:ascii="Arial" w:hAnsi="Arial" w:cs="Arial"/>
          <w:lang w:val="es-419"/>
        </w:rPr>
        <w:t>Providencia</w:t>
      </w:r>
      <w:r w:rsidRPr="000B29C4">
        <w:rPr>
          <w:rFonts w:ascii="Arial" w:hAnsi="Arial" w:cs="Arial"/>
          <w:lang w:val="es-419"/>
        </w:rPr>
        <w:tab/>
        <w:t>: Auto del 20 de septiembre de 2019</w:t>
      </w:r>
    </w:p>
    <w:p w14:paraId="650474B8" w14:textId="77777777" w:rsidR="00691861" w:rsidRPr="000B29C4" w:rsidRDefault="00691861" w:rsidP="00691861">
      <w:pPr>
        <w:overflowPunct/>
        <w:autoSpaceDE/>
        <w:autoSpaceDN/>
        <w:adjustRightInd/>
        <w:jc w:val="both"/>
        <w:rPr>
          <w:rFonts w:ascii="Arial" w:hAnsi="Arial" w:cs="Arial"/>
          <w:lang w:val="es-419"/>
        </w:rPr>
      </w:pPr>
      <w:r w:rsidRPr="000B29C4">
        <w:rPr>
          <w:rFonts w:ascii="Arial" w:hAnsi="Arial" w:cs="Arial"/>
          <w:lang w:val="es-419"/>
        </w:rPr>
        <w:t xml:space="preserve">Radicación No. </w:t>
      </w:r>
      <w:r w:rsidRPr="000B29C4">
        <w:rPr>
          <w:rFonts w:ascii="Arial" w:hAnsi="Arial" w:cs="Arial"/>
          <w:lang w:val="es-419"/>
        </w:rPr>
        <w:tab/>
        <w:t>: 66001-31-05-004-2018-00360-01</w:t>
      </w:r>
    </w:p>
    <w:p w14:paraId="76FEA7FC" w14:textId="036AE439" w:rsidR="00691861" w:rsidRPr="000B29C4" w:rsidRDefault="00691861" w:rsidP="00691861">
      <w:pPr>
        <w:overflowPunct/>
        <w:autoSpaceDE/>
        <w:autoSpaceDN/>
        <w:adjustRightInd/>
        <w:jc w:val="both"/>
        <w:rPr>
          <w:rFonts w:ascii="Arial" w:hAnsi="Arial" w:cs="Arial"/>
          <w:lang w:val="es-419"/>
        </w:rPr>
      </w:pPr>
      <w:r w:rsidRPr="000B29C4">
        <w:rPr>
          <w:rFonts w:ascii="Arial" w:hAnsi="Arial" w:cs="Arial"/>
          <w:lang w:val="es-419"/>
        </w:rPr>
        <w:t>Proceso</w:t>
      </w:r>
      <w:r w:rsidRPr="000B29C4">
        <w:rPr>
          <w:rFonts w:ascii="Arial" w:hAnsi="Arial" w:cs="Arial"/>
          <w:lang w:val="es-419"/>
        </w:rPr>
        <w:tab/>
        <w:t>: Ordinario Laboral</w:t>
      </w:r>
    </w:p>
    <w:p w14:paraId="227F5307" w14:textId="77777777" w:rsidR="00691861" w:rsidRPr="000B29C4" w:rsidRDefault="00691861" w:rsidP="00691861">
      <w:pPr>
        <w:overflowPunct/>
        <w:autoSpaceDE/>
        <w:autoSpaceDN/>
        <w:adjustRightInd/>
        <w:jc w:val="both"/>
        <w:rPr>
          <w:rFonts w:ascii="Arial" w:hAnsi="Arial" w:cs="Arial"/>
          <w:lang w:val="es-419"/>
        </w:rPr>
      </w:pPr>
      <w:r w:rsidRPr="000B29C4">
        <w:rPr>
          <w:rFonts w:ascii="Arial" w:hAnsi="Arial" w:cs="Arial"/>
          <w:lang w:val="es-419"/>
        </w:rPr>
        <w:t>Demandante</w:t>
      </w:r>
      <w:r w:rsidRPr="000B29C4">
        <w:rPr>
          <w:rFonts w:ascii="Arial" w:hAnsi="Arial" w:cs="Arial"/>
          <w:lang w:val="es-419"/>
        </w:rPr>
        <w:tab/>
        <w:t xml:space="preserve">: Guillermo Salazar Arcila   </w:t>
      </w:r>
    </w:p>
    <w:p w14:paraId="09A0FD5A" w14:textId="77777777" w:rsidR="00691861" w:rsidRPr="000B29C4" w:rsidRDefault="00691861" w:rsidP="00691861">
      <w:pPr>
        <w:overflowPunct/>
        <w:autoSpaceDE/>
        <w:autoSpaceDN/>
        <w:adjustRightInd/>
        <w:jc w:val="both"/>
        <w:rPr>
          <w:rFonts w:ascii="Arial" w:hAnsi="Arial" w:cs="Arial"/>
          <w:lang w:val="es-419"/>
        </w:rPr>
      </w:pPr>
      <w:r w:rsidRPr="000B29C4">
        <w:rPr>
          <w:rFonts w:ascii="Arial" w:hAnsi="Arial" w:cs="Arial"/>
          <w:lang w:val="es-419"/>
        </w:rPr>
        <w:t>Demandado</w:t>
      </w:r>
      <w:r w:rsidRPr="000B29C4">
        <w:rPr>
          <w:rFonts w:ascii="Arial" w:hAnsi="Arial" w:cs="Arial"/>
          <w:lang w:val="es-419"/>
        </w:rPr>
        <w:tab/>
        <w:t>: Municipio de Pereira y otros</w:t>
      </w:r>
    </w:p>
    <w:p w14:paraId="3B81F3D8" w14:textId="36C20320" w:rsidR="00691861" w:rsidRPr="000B29C4" w:rsidRDefault="00691861" w:rsidP="00691861">
      <w:pPr>
        <w:overflowPunct/>
        <w:autoSpaceDE/>
        <w:autoSpaceDN/>
        <w:adjustRightInd/>
        <w:jc w:val="both"/>
        <w:rPr>
          <w:rFonts w:ascii="Arial" w:hAnsi="Arial" w:cs="Arial"/>
          <w:lang w:val="es-419"/>
        </w:rPr>
      </w:pPr>
      <w:r w:rsidRPr="000B29C4">
        <w:rPr>
          <w:rFonts w:ascii="Arial" w:hAnsi="Arial" w:cs="Arial"/>
          <w:lang w:val="es-419"/>
        </w:rPr>
        <w:t>Juzgado</w:t>
      </w:r>
      <w:r w:rsidRPr="000B29C4">
        <w:rPr>
          <w:rFonts w:ascii="Arial" w:hAnsi="Arial" w:cs="Arial"/>
          <w:lang w:val="es-419"/>
        </w:rPr>
        <w:tab/>
        <w:t>: Juzgado Cuarto Laboral del Circuito</w:t>
      </w:r>
    </w:p>
    <w:p w14:paraId="03747BF1" w14:textId="77777777" w:rsidR="00691861" w:rsidRPr="000B29C4" w:rsidRDefault="00691861" w:rsidP="00691861">
      <w:pPr>
        <w:overflowPunct/>
        <w:autoSpaceDE/>
        <w:autoSpaceDN/>
        <w:adjustRightInd/>
        <w:jc w:val="both"/>
        <w:rPr>
          <w:rFonts w:ascii="Arial" w:hAnsi="Arial" w:cs="Arial"/>
          <w:lang w:val="es-419"/>
        </w:rPr>
      </w:pPr>
    </w:p>
    <w:p w14:paraId="26C37131" w14:textId="7902A281" w:rsidR="00691861" w:rsidRPr="000B29C4" w:rsidRDefault="00691861" w:rsidP="00691861">
      <w:pPr>
        <w:overflowPunct/>
        <w:autoSpaceDE/>
        <w:autoSpaceDN/>
        <w:adjustRightInd/>
        <w:jc w:val="both"/>
        <w:rPr>
          <w:rFonts w:ascii="Arial" w:hAnsi="Arial" w:cs="Arial"/>
          <w:b/>
          <w:bCs/>
          <w:iCs/>
          <w:lang w:val="es-419" w:eastAsia="fr-FR"/>
        </w:rPr>
      </w:pPr>
      <w:r w:rsidRPr="000B29C4">
        <w:rPr>
          <w:rFonts w:ascii="Arial" w:hAnsi="Arial" w:cs="Arial"/>
          <w:b/>
          <w:bCs/>
          <w:iCs/>
          <w:lang w:val="es-419" w:eastAsia="fr-FR"/>
        </w:rPr>
        <w:t>TEMAS:</w:t>
      </w:r>
      <w:r w:rsidRPr="000B29C4">
        <w:rPr>
          <w:rFonts w:ascii="Arial" w:hAnsi="Arial" w:cs="Arial"/>
          <w:b/>
          <w:bCs/>
          <w:iCs/>
          <w:lang w:val="es-419" w:eastAsia="fr-FR"/>
        </w:rPr>
        <w:tab/>
      </w:r>
      <w:r w:rsidR="000464EB" w:rsidRPr="000B29C4">
        <w:rPr>
          <w:rFonts w:ascii="Arial" w:hAnsi="Arial" w:cs="Arial"/>
          <w:b/>
          <w:bCs/>
          <w:iCs/>
          <w:lang w:val="es-419" w:eastAsia="fr-FR"/>
        </w:rPr>
        <w:t>NOTIFICACIÓN AUTO ADMISORIO DE LA DEMANDA / ENTI</w:t>
      </w:r>
      <w:r w:rsidR="001F13E9" w:rsidRPr="000B29C4">
        <w:rPr>
          <w:rFonts w:ascii="Arial" w:hAnsi="Arial" w:cs="Arial"/>
          <w:b/>
          <w:bCs/>
          <w:iCs/>
          <w:lang w:val="es-419" w:eastAsia="fr-FR"/>
        </w:rPr>
        <w:t xml:space="preserve">DADES TERRITORIALES / ES PROCEDENTE EFECTUARLA POR CONDUCTA CONCLUYENTE / NO ES IMPERATIVO HACERLO DE MANERA PERSONAL / AGENCIA NACIONAL DE DEFENSA JURÍDICA DEL ESTADO / </w:t>
      </w:r>
      <w:r w:rsidR="00E56EE7" w:rsidRPr="000B29C4">
        <w:rPr>
          <w:rFonts w:ascii="Arial" w:hAnsi="Arial" w:cs="Arial"/>
          <w:b/>
          <w:bCs/>
          <w:iCs/>
          <w:lang w:val="es-419" w:eastAsia="fr-FR"/>
        </w:rPr>
        <w:t xml:space="preserve">DEBE VINCULARSE SOLO </w:t>
      </w:r>
      <w:r w:rsidR="001F13E9" w:rsidRPr="000B29C4">
        <w:rPr>
          <w:rFonts w:ascii="Arial" w:hAnsi="Arial" w:cs="Arial"/>
          <w:b/>
          <w:bCs/>
          <w:iCs/>
          <w:lang w:val="es-419" w:eastAsia="fr-FR"/>
        </w:rPr>
        <w:t xml:space="preserve">EN PROCESOS CONTRA </w:t>
      </w:r>
      <w:r w:rsidR="00E56EE7" w:rsidRPr="000B29C4">
        <w:rPr>
          <w:rFonts w:ascii="Arial" w:hAnsi="Arial" w:cs="Arial"/>
          <w:b/>
          <w:bCs/>
          <w:iCs/>
          <w:lang w:val="es-419" w:eastAsia="fr-FR"/>
        </w:rPr>
        <w:t>ENTIDADES PÚBLICAS DEL ORDEN NACIONAL / MINISTERIO PÚBLICO / DEBE VINCULARSE TAMBIÉN N PROCESOS CONTRA ENTIDADES TERRITORIALES.</w:t>
      </w:r>
    </w:p>
    <w:p w14:paraId="32DA37D3" w14:textId="77777777" w:rsidR="00691861" w:rsidRPr="000B29C4" w:rsidRDefault="00691861" w:rsidP="00691861">
      <w:pPr>
        <w:overflowPunct/>
        <w:autoSpaceDE/>
        <w:autoSpaceDN/>
        <w:adjustRightInd/>
        <w:jc w:val="both"/>
        <w:rPr>
          <w:rFonts w:ascii="Arial" w:hAnsi="Arial" w:cs="Arial"/>
          <w:lang w:val="es-419"/>
        </w:rPr>
      </w:pPr>
    </w:p>
    <w:p w14:paraId="789C5704" w14:textId="5884262E" w:rsidR="00691861" w:rsidRPr="000B29C4" w:rsidRDefault="007C235B" w:rsidP="00691861">
      <w:pPr>
        <w:overflowPunct/>
        <w:autoSpaceDE/>
        <w:autoSpaceDN/>
        <w:adjustRightInd/>
        <w:jc w:val="both"/>
        <w:rPr>
          <w:rFonts w:ascii="Arial" w:hAnsi="Arial" w:cs="Arial"/>
          <w:lang w:val="es-419"/>
        </w:rPr>
      </w:pPr>
      <w:r w:rsidRPr="000B29C4">
        <w:rPr>
          <w:rFonts w:ascii="Arial" w:hAnsi="Arial" w:cs="Arial"/>
          <w:lang w:val="es-419"/>
        </w:rPr>
        <w:t>Se estable en el numeral 8º del artículo 133 del CGP, que el proceso es nulo en todo o en parte, cuando no se practica en legal forma la notificación del auto admisorio de la demanda, o el emplazamiento de las demás personas aunque sean indeterminadas, deban ser citadas como partes, o de aquellas que deban suceder en el proceso a cualquiera de las partes, cuando la ley así́ lo ordena, o cuando no se cita en debida forma al Ministerio Público o a cualquier otra persona o entidad que de acuerdo con la ley debió́ ser citado. (…)</w:t>
      </w:r>
    </w:p>
    <w:p w14:paraId="20C32B97" w14:textId="77777777" w:rsidR="00691861" w:rsidRPr="000B29C4" w:rsidRDefault="00691861" w:rsidP="00691861">
      <w:pPr>
        <w:overflowPunct/>
        <w:autoSpaceDE/>
        <w:autoSpaceDN/>
        <w:adjustRightInd/>
        <w:jc w:val="both"/>
        <w:rPr>
          <w:rFonts w:ascii="Arial" w:hAnsi="Arial" w:cs="Arial"/>
          <w:lang w:val="es-419"/>
        </w:rPr>
      </w:pPr>
    </w:p>
    <w:p w14:paraId="7A6C1280" w14:textId="084DCBCA" w:rsidR="00691861" w:rsidRPr="000B29C4" w:rsidRDefault="007C235B" w:rsidP="00691861">
      <w:pPr>
        <w:overflowPunct/>
        <w:autoSpaceDE/>
        <w:autoSpaceDN/>
        <w:adjustRightInd/>
        <w:jc w:val="both"/>
        <w:rPr>
          <w:rFonts w:ascii="Arial" w:hAnsi="Arial" w:cs="Arial"/>
          <w:lang w:val="es-419"/>
        </w:rPr>
      </w:pPr>
      <w:r w:rsidRPr="000B29C4">
        <w:rPr>
          <w:rFonts w:ascii="Arial" w:hAnsi="Arial" w:cs="Arial"/>
          <w:lang w:val="es-419"/>
        </w:rPr>
        <w:t>La notificación por conducta concluyente, regulada por los artículos 91 y 301 del CGP, surte los mismos efectos de la notificación personal, de acuerdo a lo señalado en el último de los mencionados artículos, pues con ambas formas de notificación se garantiza el principio de publicidad de la actuación procesal, toda vez expresan un acto inequívoco de conocimiento del proceso por parte de quien debe ser notificado. (…)</w:t>
      </w:r>
    </w:p>
    <w:p w14:paraId="0B9FB0C9" w14:textId="77777777" w:rsidR="007C235B" w:rsidRPr="000B29C4" w:rsidRDefault="007C235B" w:rsidP="00691861">
      <w:pPr>
        <w:overflowPunct/>
        <w:autoSpaceDE/>
        <w:autoSpaceDN/>
        <w:adjustRightInd/>
        <w:jc w:val="both"/>
        <w:rPr>
          <w:rFonts w:ascii="Arial" w:hAnsi="Arial" w:cs="Arial"/>
          <w:lang w:val="es-419"/>
        </w:rPr>
      </w:pPr>
    </w:p>
    <w:p w14:paraId="2B8FC3C6" w14:textId="3D639F2F" w:rsidR="007C235B" w:rsidRPr="000B29C4" w:rsidRDefault="005D44C7" w:rsidP="00691861">
      <w:pPr>
        <w:overflowPunct/>
        <w:autoSpaceDE/>
        <w:autoSpaceDN/>
        <w:adjustRightInd/>
        <w:jc w:val="both"/>
        <w:rPr>
          <w:rFonts w:ascii="Arial" w:hAnsi="Arial" w:cs="Arial"/>
          <w:lang w:val="es-419"/>
        </w:rPr>
      </w:pPr>
      <w:r w:rsidRPr="000B29C4">
        <w:rPr>
          <w:rFonts w:ascii="Arial" w:hAnsi="Arial" w:cs="Arial"/>
          <w:lang w:val="es-419"/>
        </w:rPr>
        <w:t>Cabe agregar que aunque si bien se establece en los artículos 41 del CPT y de la SS y 612 del CGP, que el auto admisorio y el mandamiento de pago contra entidades públicas se deben notificar personalmente a sus representantes legales o a quienes estos hayan delegado la facultad de recibir notificaciones, mediante mensaje dirigido al buzón electrónico para notificaciones judiciales, esto no excluye la posibilidad de que la entidad se entienda notificada por conducta concluyente si constituye apoderado cuyo poder de representación se radique en la secretaría del despacho, pues es evidente que lo que se busca evitar con las normas en comento, es que las entidades públicas terminen siendo emplazadas y representadas por curador ad-litem, lo cual no ocurre en aquellos eventos en que opera la notificación por conducta concluyente, que como se explicó en precedencia, surte los mismos efectos de la notificación personal. (…)</w:t>
      </w:r>
    </w:p>
    <w:p w14:paraId="342E1F02" w14:textId="77777777" w:rsidR="00323C1F" w:rsidRPr="000B29C4" w:rsidRDefault="00323C1F" w:rsidP="00691861">
      <w:pPr>
        <w:overflowPunct/>
        <w:autoSpaceDE/>
        <w:autoSpaceDN/>
        <w:adjustRightInd/>
        <w:jc w:val="both"/>
        <w:rPr>
          <w:rFonts w:ascii="Arial" w:hAnsi="Arial" w:cs="Arial"/>
          <w:lang w:val="es-419"/>
        </w:rPr>
      </w:pPr>
    </w:p>
    <w:p w14:paraId="68685F60" w14:textId="53329787" w:rsidR="00323C1F" w:rsidRPr="000B29C4" w:rsidRDefault="00323C1F" w:rsidP="00691861">
      <w:pPr>
        <w:overflowPunct/>
        <w:autoSpaceDE/>
        <w:autoSpaceDN/>
        <w:adjustRightInd/>
        <w:jc w:val="both"/>
        <w:rPr>
          <w:rFonts w:ascii="Arial" w:hAnsi="Arial" w:cs="Arial"/>
          <w:lang w:val="es-419"/>
        </w:rPr>
      </w:pPr>
      <w:r w:rsidRPr="000B29C4">
        <w:rPr>
          <w:rFonts w:ascii="Arial" w:hAnsi="Arial" w:cs="Arial"/>
          <w:lang w:val="es-419"/>
        </w:rPr>
        <w:t>… si nos atenemos al tenor literal de los anteriores preceptos normativos, se tendría que concluir, sin matices, que la Agencia Nacional de Defensa Jurídica del Estado (ANDJ</w:t>
      </w:r>
      <w:r w:rsidR="000B29C4" w:rsidRPr="000B29C4">
        <w:rPr>
          <w:rFonts w:ascii="Arial" w:hAnsi="Arial" w:cs="Arial"/>
          <w:lang w:val="es-419"/>
        </w:rPr>
        <w:t>E</w:t>
      </w:r>
      <w:r w:rsidRPr="000B29C4">
        <w:rPr>
          <w:rFonts w:ascii="Arial" w:hAnsi="Arial" w:cs="Arial"/>
          <w:lang w:val="es-419"/>
        </w:rPr>
        <w:t>) debe ser forzosamente notificada de cualquier asunto en donde sea demandada una entidad pública, lo cual obviamente no excluiría a las entidades del orden territorial ni local. Sin embargo, aplicado en este caso el criterio hermenéutico de especialidad (Art. 5 de la Ley 57 de 1887), según el cual la norma especial prima sobre la general (lex specialis derogat generali), ha de entenderse que dicha facultad de intervención y la necesidad de notificar la demanda a la citada entidad, se limita y se exige únicamente en aquellos eventos donde la demandada sea una entidad pública del orden nacional…</w:t>
      </w:r>
    </w:p>
    <w:p w14:paraId="1F0E9FC1" w14:textId="77777777" w:rsidR="00691861" w:rsidRPr="000B29C4" w:rsidRDefault="00691861" w:rsidP="00691861">
      <w:pPr>
        <w:overflowPunct/>
        <w:autoSpaceDE/>
        <w:autoSpaceDN/>
        <w:adjustRightInd/>
        <w:jc w:val="both"/>
        <w:rPr>
          <w:rFonts w:ascii="Arial" w:hAnsi="Arial" w:cs="Arial"/>
          <w:lang w:val="es-419"/>
        </w:rPr>
      </w:pPr>
    </w:p>
    <w:p w14:paraId="0F136E48" w14:textId="703187C4" w:rsidR="00691861" w:rsidRPr="000B29C4" w:rsidRDefault="00323C1F" w:rsidP="00691861">
      <w:pPr>
        <w:overflowPunct/>
        <w:autoSpaceDE/>
        <w:autoSpaceDN/>
        <w:adjustRightInd/>
        <w:jc w:val="both"/>
        <w:rPr>
          <w:rFonts w:ascii="Arial" w:hAnsi="Arial" w:cs="Arial"/>
          <w:lang w:val="es-419"/>
        </w:rPr>
      </w:pPr>
      <w:r w:rsidRPr="000B29C4">
        <w:rPr>
          <w:rFonts w:ascii="Arial" w:hAnsi="Arial" w:cs="Arial"/>
          <w:lang w:val="es-419"/>
        </w:rPr>
        <w:t>… en cualquier asunto tramitado ante la especialidad laboral, donde sea demandada la Nación o una entidad territorial, el juez deberá ordenar que se dé traslado de la demanda al Ministerio Público, a través de los procuradores delegados, quienes en virtud del artículo 45 del CGP, tienen la facultad de intervenir ante los jueces de circuito, municipales y de familia, sin perjuicio de que la intervención la ejerza el personero del respectivo municipio, como delegado y bajo la dirección del procurador delegado.</w:t>
      </w:r>
    </w:p>
    <w:p w14:paraId="771C47EC" w14:textId="77777777" w:rsidR="00323C1F" w:rsidRPr="000B29C4" w:rsidRDefault="00323C1F" w:rsidP="00691861">
      <w:pPr>
        <w:overflowPunct/>
        <w:autoSpaceDE/>
        <w:autoSpaceDN/>
        <w:adjustRightInd/>
        <w:jc w:val="both"/>
        <w:rPr>
          <w:rFonts w:ascii="Arial" w:hAnsi="Arial" w:cs="Arial"/>
          <w:lang w:val="es-419"/>
        </w:rPr>
      </w:pPr>
    </w:p>
    <w:p w14:paraId="13001CE0" w14:textId="77777777" w:rsidR="00323C1F" w:rsidRPr="000B29C4" w:rsidRDefault="00323C1F" w:rsidP="00691861">
      <w:pPr>
        <w:overflowPunct/>
        <w:autoSpaceDE/>
        <w:autoSpaceDN/>
        <w:adjustRightInd/>
        <w:jc w:val="both"/>
        <w:rPr>
          <w:rFonts w:ascii="Arial" w:hAnsi="Arial" w:cs="Arial"/>
          <w:lang w:val="es-419"/>
        </w:rPr>
      </w:pPr>
    </w:p>
    <w:p w14:paraId="777A7859" w14:textId="77777777" w:rsidR="00691861" w:rsidRPr="000B29C4" w:rsidRDefault="00691861" w:rsidP="00691861">
      <w:pPr>
        <w:overflowPunct/>
        <w:autoSpaceDE/>
        <w:autoSpaceDN/>
        <w:adjustRightInd/>
        <w:jc w:val="both"/>
        <w:rPr>
          <w:rFonts w:ascii="Arial" w:hAnsi="Arial" w:cs="Arial"/>
          <w:lang w:val="es-419"/>
        </w:rPr>
      </w:pPr>
    </w:p>
    <w:p w14:paraId="496C0BFB" w14:textId="77777777" w:rsidR="003179B6" w:rsidRPr="000B29C4" w:rsidRDefault="003179B6" w:rsidP="003179B6">
      <w:pPr>
        <w:pStyle w:val="Ttulo4"/>
        <w:widowControl w:val="0"/>
        <w:tabs>
          <w:tab w:val="left" w:pos="708"/>
        </w:tabs>
        <w:spacing w:before="0"/>
        <w:jc w:val="center"/>
        <w:rPr>
          <w:rFonts w:ascii="Tahoma" w:hAnsi="Tahoma" w:cs="Tahoma"/>
          <w:b/>
          <w:bCs/>
          <w:i w:val="0"/>
          <w:color w:val="auto"/>
          <w:sz w:val="23"/>
          <w:szCs w:val="23"/>
          <w:lang w:val="es-419" w:eastAsia="es-MX"/>
        </w:rPr>
      </w:pPr>
      <w:r w:rsidRPr="000B29C4">
        <w:rPr>
          <w:rFonts w:ascii="Tahoma" w:hAnsi="Tahoma" w:cs="Tahoma"/>
          <w:b/>
          <w:bCs/>
          <w:i w:val="0"/>
          <w:color w:val="auto"/>
          <w:sz w:val="23"/>
          <w:szCs w:val="23"/>
          <w:lang w:val="es-419" w:eastAsia="es-MX"/>
        </w:rPr>
        <w:t>TRIBUNAL SUPERIOR DEL DISTRITO JUDICIAL DE PEREIRA</w:t>
      </w:r>
    </w:p>
    <w:p w14:paraId="51146B75" w14:textId="77777777" w:rsidR="003179B6" w:rsidRPr="000B29C4" w:rsidRDefault="003179B6" w:rsidP="003179B6">
      <w:pPr>
        <w:pStyle w:val="Ttulo4"/>
        <w:widowControl w:val="0"/>
        <w:tabs>
          <w:tab w:val="left" w:pos="708"/>
        </w:tabs>
        <w:spacing w:before="0"/>
        <w:jc w:val="center"/>
        <w:rPr>
          <w:rFonts w:ascii="Tahoma" w:hAnsi="Tahoma" w:cs="Tahoma"/>
          <w:b/>
          <w:bCs/>
          <w:i w:val="0"/>
          <w:color w:val="auto"/>
          <w:sz w:val="23"/>
          <w:szCs w:val="23"/>
          <w:lang w:val="es-419" w:eastAsia="es-MX"/>
        </w:rPr>
      </w:pPr>
      <w:r w:rsidRPr="000B29C4">
        <w:rPr>
          <w:rFonts w:ascii="Tahoma" w:hAnsi="Tahoma" w:cs="Tahoma"/>
          <w:b/>
          <w:bCs/>
          <w:i w:val="0"/>
          <w:color w:val="auto"/>
          <w:sz w:val="23"/>
          <w:szCs w:val="23"/>
          <w:lang w:val="es-419" w:eastAsia="es-MX"/>
        </w:rPr>
        <w:t>SALA LABORAL</w:t>
      </w:r>
    </w:p>
    <w:p w14:paraId="176B4817" w14:textId="77777777" w:rsidR="003179B6" w:rsidRPr="000B29C4" w:rsidRDefault="003179B6" w:rsidP="003179B6">
      <w:pPr>
        <w:rPr>
          <w:sz w:val="23"/>
          <w:szCs w:val="23"/>
          <w:lang w:val="es-419" w:eastAsia="es-MX"/>
        </w:rPr>
      </w:pPr>
    </w:p>
    <w:p w14:paraId="09B95301" w14:textId="77777777" w:rsidR="003179B6" w:rsidRPr="000B29C4" w:rsidRDefault="003179B6" w:rsidP="003179B6">
      <w:pPr>
        <w:spacing w:line="276" w:lineRule="auto"/>
        <w:jc w:val="center"/>
        <w:rPr>
          <w:rFonts w:ascii="Tahoma" w:hAnsi="Tahoma" w:cs="Tahoma"/>
          <w:b/>
          <w:bCs/>
          <w:sz w:val="23"/>
          <w:szCs w:val="23"/>
          <w:lang w:val="es-419"/>
        </w:rPr>
      </w:pPr>
      <w:r w:rsidRPr="000B29C4">
        <w:rPr>
          <w:rFonts w:ascii="Tahoma" w:hAnsi="Tahoma" w:cs="Tahoma"/>
          <w:bCs/>
          <w:sz w:val="23"/>
          <w:szCs w:val="23"/>
          <w:lang w:val="es-419"/>
        </w:rPr>
        <w:t>Magistrada Ponente:</w:t>
      </w:r>
      <w:r w:rsidRPr="000B29C4">
        <w:rPr>
          <w:rFonts w:ascii="Tahoma" w:hAnsi="Tahoma" w:cs="Tahoma"/>
          <w:b/>
          <w:bCs/>
          <w:sz w:val="23"/>
          <w:szCs w:val="23"/>
          <w:lang w:val="es-419"/>
        </w:rPr>
        <w:t xml:space="preserve"> ANA LUCÍA CAICEDO CALDERÓN</w:t>
      </w:r>
    </w:p>
    <w:p w14:paraId="25B20D21" w14:textId="77777777" w:rsidR="003179B6" w:rsidRPr="000B29C4" w:rsidRDefault="003179B6" w:rsidP="003179B6">
      <w:pPr>
        <w:jc w:val="center"/>
        <w:rPr>
          <w:rFonts w:ascii="Tahoma" w:hAnsi="Tahoma" w:cs="Tahoma"/>
          <w:b/>
          <w:bCs/>
          <w:sz w:val="23"/>
          <w:szCs w:val="23"/>
          <w:lang w:val="es-419"/>
        </w:rPr>
      </w:pPr>
    </w:p>
    <w:p w14:paraId="3AAE7492" w14:textId="77777777" w:rsidR="003179B6" w:rsidRPr="000B29C4" w:rsidRDefault="003179B6" w:rsidP="003179B6">
      <w:pPr>
        <w:spacing w:line="276" w:lineRule="auto"/>
        <w:jc w:val="center"/>
        <w:rPr>
          <w:rFonts w:ascii="Tahoma" w:hAnsi="Tahoma" w:cs="Tahoma"/>
          <w:b/>
          <w:bCs/>
          <w:sz w:val="23"/>
          <w:szCs w:val="23"/>
          <w:lang w:val="es-419"/>
        </w:rPr>
      </w:pPr>
      <w:r w:rsidRPr="000B29C4">
        <w:rPr>
          <w:rFonts w:ascii="Tahoma" w:hAnsi="Tahoma" w:cs="Tahoma"/>
          <w:b/>
          <w:sz w:val="23"/>
          <w:szCs w:val="23"/>
          <w:lang w:val="es-419"/>
        </w:rPr>
        <w:t>ACTA No. __</w:t>
      </w:r>
    </w:p>
    <w:p w14:paraId="51BAC6C0" w14:textId="27119EFF" w:rsidR="003179B6" w:rsidRPr="000B29C4" w:rsidRDefault="003179B6" w:rsidP="003179B6">
      <w:pPr>
        <w:spacing w:line="276" w:lineRule="auto"/>
        <w:jc w:val="center"/>
        <w:rPr>
          <w:rFonts w:ascii="Tahoma" w:hAnsi="Tahoma" w:cs="Tahoma"/>
          <w:b/>
          <w:sz w:val="23"/>
          <w:szCs w:val="23"/>
          <w:lang w:val="es-419"/>
        </w:rPr>
      </w:pPr>
      <w:r w:rsidRPr="000B29C4">
        <w:rPr>
          <w:rFonts w:ascii="Tahoma" w:hAnsi="Tahoma" w:cs="Tahoma"/>
          <w:b/>
          <w:sz w:val="23"/>
          <w:szCs w:val="23"/>
          <w:lang w:val="es-419"/>
        </w:rPr>
        <w:lastRenderedPageBreak/>
        <w:t>(</w:t>
      </w:r>
      <w:r w:rsidR="008C7011" w:rsidRPr="000B29C4">
        <w:rPr>
          <w:rFonts w:ascii="Tahoma" w:hAnsi="Tahoma" w:cs="Tahoma"/>
          <w:b/>
          <w:sz w:val="23"/>
          <w:szCs w:val="23"/>
          <w:lang w:val="es-419"/>
        </w:rPr>
        <w:t>Septiembre 20 de 2019</w:t>
      </w:r>
      <w:r w:rsidRPr="000B29C4">
        <w:rPr>
          <w:rFonts w:ascii="Tahoma" w:hAnsi="Tahoma" w:cs="Tahoma"/>
          <w:b/>
          <w:sz w:val="23"/>
          <w:szCs w:val="23"/>
          <w:lang w:val="es-419"/>
        </w:rPr>
        <w:t>)</w:t>
      </w:r>
    </w:p>
    <w:p w14:paraId="0567990F" w14:textId="77777777" w:rsidR="003179B6" w:rsidRPr="000B29C4" w:rsidRDefault="003179B6" w:rsidP="003179B6">
      <w:pPr>
        <w:rPr>
          <w:rFonts w:ascii="Tahoma" w:hAnsi="Tahoma" w:cs="Tahoma"/>
          <w:b/>
          <w:sz w:val="23"/>
          <w:szCs w:val="23"/>
          <w:lang w:val="es-419"/>
        </w:rPr>
      </w:pPr>
      <w:r w:rsidRPr="000B29C4">
        <w:rPr>
          <w:rFonts w:ascii="Tahoma" w:hAnsi="Tahoma" w:cs="Tahoma"/>
          <w:b/>
          <w:sz w:val="23"/>
          <w:szCs w:val="23"/>
          <w:lang w:val="es-419"/>
        </w:rPr>
        <w:tab/>
      </w:r>
    </w:p>
    <w:p w14:paraId="726777BD" w14:textId="2102BDF1" w:rsidR="003179B6" w:rsidRPr="000B29C4" w:rsidRDefault="003179B6" w:rsidP="00865655">
      <w:pPr>
        <w:widowControl w:val="0"/>
        <w:spacing w:line="276" w:lineRule="auto"/>
        <w:ind w:firstLine="708"/>
        <w:jc w:val="both"/>
        <w:rPr>
          <w:rFonts w:ascii="Tahoma" w:hAnsi="Tahoma" w:cs="Tahoma"/>
          <w:sz w:val="23"/>
          <w:szCs w:val="23"/>
          <w:lang w:val="es-419"/>
        </w:rPr>
      </w:pPr>
      <w:r w:rsidRPr="000B29C4">
        <w:rPr>
          <w:rFonts w:ascii="Tahoma" w:hAnsi="Tahoma" w:cs="Tahoma"/>
          <w:sz w:val="23"/>
          <w:szCs w:val="23"/>
          <w:lang w:val="es-419"/>
        </w:rPr>
        <w:t xml:space="preserve">En la fecha, </w:t>
      </w:r>
      <w:r w:rsidRPr="000B29C4">
        <w:rPr>
          <w:rFonts w:ascii="Tahoma" w:hAnsi="Tahoma" w:cs="Tahoma"/>
          <w:spacing w:val="-2"/>
          <w:sz w:val="23"/>
          <w:szCs w:val="23"/>
          <w:lang w:val="es-419"/>
        </w:rPr>
        <w:t xml:space="preserve">la Sala No. 1 de Decisión Laboral del Tribunal Superior de Pereira, procede a </w:t>
      </w:r>
      <w:r w:rsidRPr="000B29C4">
        <w:rPr>
          <w:rFonts w:ascii="Tahoma" w:hAnsi="Tahoma" w:cs="Tahoma"/>
          <w:sz w:val="23"/>
          <w:szCs w:val="23"/>
          <w:lang w:val="es-419"/>
        </w:rPr>
        <w:t xml:space="preserve">decidir el recurso de </w:t>
      </w:r>
      <w:r w:rsidRPr="000B29C4">
        <w:rPr>
          <w:rFonts w:ascii="Tahoma" w:hAnsi="Tahoma" w:cs="Tahoma"/>
          <w:spacing w:val="-2"/>
          <w:sz w:val="23"/>
          <w:szCs w:val="23"/>
          <w:lang w:val="es-419"/>
        </w:rPr>
        <w:t>apelación propuesto por la</w:t>
      </w:r>
      <w:r w:rsidR="008C7011" w:rsidRPr="000B29C4">
        <w:rPr>
          <w:rFonts w:ascii="Tahoma" w:hAnsi="Tahoma" w:cs="Tahoma"/>
          <w:spacing w:val="-2"/>
          <w:sz w:val="23"/>
          <w:szCs w:val="23"/>
          <w:lang w:val="es-419"/>
        </w:rPr>
        <w:t xml:space="preserve"> apoderada del Municipio de Pereira</w:t>
      </w:r>
      <w:r w:rsidRPr="000B29C4">
        <w:rPr>
          <w:rFonts w:ascii="Tahoma" w:hAnsi="Tahoma" w:cs="Tahoma"/>
          <w:spacing w:val="-2"/>
          <w:sz w:val="23"/>
          <w:szCs w:val="23"/>
          <w:lang w:val="es-419"/>
        </w:rPr>
        <w:t xml:space="preserve"> dentro del proceso </w:t>
      </w:r>
      <w:r w:rsidRPr="000B29C4">
        <w:rPr>
          <w:rFonts w:ascii="Tahoma" w:hAnsi="Tahoma" w:cs="Tahoma"/>
          <w:sz w:val="23"/>
          <w:szCs w:val="23"/>
          <w:lang w:val="es-419"/>
        </w:rPr>
        <w:t xml:space="preserve">Ordinario Laboral de la referencia. En sesión previa que se hizo constar en la mencionada acta, la Sala discutió y aprobó el proyecto que presentó la Magistrada Ponente, el cual alude al siguiente </w:t>
      </w:r>
      <w:r w:rsidRPr="000B29C4">
        <w:rPr>
          <w:rFonts w:ascii="Tahoma" w:hAnsi="Tahoma" w:cs="Tahoma"/>
          <w:b/>
          <w:sz w:val="23"/>
          <w:szCs w:val="23"/>
          <w:lang w:val="es-419"/>
        </w:rPr>
        <w:t>auto interlocutorio</w:t>
      </w:r>
      <w:r w:rsidRPr="000B29C4">
        <w:rPr>
          <w:rFonts w:ascii="Tahoma" w:hAnsi="Tahoma" w:cs="Tahoma"/>
          <w:sz w:val="23"/>
          <w:szCs w:val="23"/>
          <w:lang w:val="es-419"/>
        </w:rPr>
        <w:t>:</w:t>
      </w:r>
    </w:p>
    <w:p w14:paraId="06697CB5" w14:textId="77777777" w:rsidR="003179B6" w:rsidRPr="000B29C4" w:rsidRDefault="003179B6" w:rsidP="004B3E7B">
      <w:pPr>
        <w:spacing w:line="276" w:lineRule="auto"/>
        <w:jc w:val="center"/>
        <w:rPr>
          <w:rFonts w:ascii="Tahoma" w:hAnsi="Tahoma" w:cs="Tahoma"/>
          <w:b/>
          <w:bCs/>
          <w:sz w:val="23"/>
          <w:szCs w:val="23"/>
          <w:lang w:val="es-419"/>
        </w:rPr>
      </w:pPr>
    </w:p>
    <w:p w14:paraId="17E1E6BA" w14:textId="77777777" w:rsidR="004B3E7B" w:rsidRPr="000B29C4" w:rsidRDefault="004B3E7B" w:rsidP="004B3E7B">
      <w:pPr>
        <w:spacing w:line="276" w:lineRule="auto"/>
        <w:jc w:val="center"/>
        <w:rPr>
          <w:rFonts w:ascii="Tahoma" w:hAnsi="Tahoma" w:cs="Tahoma"/>
          <w:b/>
          <w:bCs/>
          <w:sz w:val="23"/>
          <w:szCs w:val="23"/>
          <w:lang w:val="es-419"/>
        </w:rPr>
      </w:pPr>
      <w:r w:rsidRPr="000B29C4">
        <w:rPr>
          <w:rFonts w:ascii="Tahoma" w:hAnsi="Tahoma" w:cs="Tahoma"/>
          <w:b/>
          <w:bCs/>
          <w:sz w:val="23"/>
          <w:szCs w:val="23"/>
          <w:lang w:val="es-419"/>
        </w:rPr>
        <w:t xml:space="preserve">I </w:t>
      </w:r>
      <w:r w:rsidR="00157C6F" w:rsidRPr="000B29C4">
        <w:rPr>
          <w:rFonts w:ascii="Tahoma" w:hAnsi="Tahoma" w:cs="Tahoma"/>
          <w:b/>
          <w:bCs/>
          <w:sz w:val="23"/>
          <w:szCs w:val="23"/>
          <w:lang w:val="es-419"/>
        </w:rPr>
        <w:t>–</w:t>
      </w:r>
      <w:r w:rsidRPr="000B29C4">
        <w:rPr>
          <w:rFonts w:ascii="Tahoma" w:hAnsi="Tahoma" w:cs="Tahoma"/>
          <w:b/>
          <w:bCs/>
          <w:sz w:val="23"/>
          <w:szCs w:val="23"/>
          <w:lang w:val="es-419"/>
        </w:rPr>
        <w:t xml:space="preserve"> ANTECEDENTES</w:t>
      </w:r>
    </w:p>
    <w:p w14:paraId="505D1F2C" w14:textId="77777777" w:rsidR="00157C6F" w:rsidRPr="000B29C4" w:rsidRDefault="00157C6F" w:rsidP="004B3E7B">
      <w:pPr>
        <w:spacing w:line="276" w:lineRule="auto"/>
        <w:jc w:val="center"/>
        <w:rPr>
          <w:rFonts w:ascii="Tahoma" w:hAnsi="Tahoma" w:cs="Tahoma"/>
          <w:b/>
          <w:bCs/>
          <w:sz w:val="23"/>
          <w:szCs w:val="23"/>
          <w:lang w:val="es-419"/>
        </w:rPr>
      </w:pPr>
    </w:p>
    <w:p w14:paraId="1F81BE44" w14:textId="77777777" w:rsidR="00157C6F" w:rsidRPr="000B29C4" w:rsidRDefault="00157C6F" w:rsidP="00157C6F">
      <w:pPr>
        <w:spacing w:line="276" w:lineRule="auto"/>
        <w:jc w:val="center"/>
        <w:rPr>
          <w:rFonts w:ascii="Tahoma" w:hAnsi="Tahoma" w:cs="Tahoma"/>
          <w:b/>
          <w:bCs/>
          <w:sz w:val="23"/>
          <w:szCs w:val="23"/>
          <w:lang w:val="es-419"/>
        </w:rPr>
      </w:pPr>
      <w:r w:rsidRPr="000B29C4">
        <w:rPr>
          <w:rFonts w:ascii="Tahoma" w:hAnsi="Tahoma" w:cs="Tahoma"/>
          <w:b/>
          <w:bCs/>
          <w:sz w:val="23"/>
          <w:szCs w:val="23"/>
          <w:lang w:val="es-419"/>
        </w:rPr>
        <w:t>1.1. DEMANDA Y NOTIFICACIÓN DEL AUTO ADMISORIO AL MUNICIPIO</w:t>
      </w:r>
    </w:p>
    <w:p w14:paraId="4F6D0407" w14:textId="77777777" w:rsidR="004B3E7B" w:rsidRPr="000B29C4" w:rsidRDefault="004B3E7B" w:rsidP="00BC4846">
      <w:pPr>
        <w:ind w:firstLine="709"/>
        <w:jc w:val="both"/>
        <w:rPr>
          <w:rFonts w:ascii="Tahoma" w:hAnsi="Tahoma" w:cs="Tahoma"/>
          <w:bCs/>
          <w:sz w:val="23"/>
          <w:szCs w:val="23"/>
          <w:lang w:val="es-419"/>
        </w:rPr>
      </w:pPr>
    </w:p>
    <w:p w14:paraId="24406BC4" w14:textId="2B7892E2" w:rsidR="0026385A" w:rsidRPr="000B29C4" w:rsidRDefault="004B1C27" w:rsidP="0026385A">
      <w:pPr>
        <w:spacing w:line="276" w:lineRule="auto"/>
        <w:ind w:firstLine="709"/>
        <w:jc w:val="both"/>
        <w:rPr>
          <w:rFonts w:ascii="Tahoma" w:hAnsi="Tahoma" w:cs="Tahoma"/>
          <w:bCs/>
          <w:sz w:val="23"/>
          <w:szCs w:val="23"/>
          <w:lang w:val="es-419"/>
        </w:rPr>
      </w:pPr>
      <w:r w:rsidRPr="000B29C4">
        <w:rPr>
          <w:rFonts w:ascii="Tahoma" w:hAnsi="Tahoma" w:cs="Tahoma"/>
          <w:bCs/>
          <w:sz w:val="23"/>
          <w:szCs w:val="23"/>
          <w:lang w:val="es-419"/>
        </w:rPr>
        <w:t>El</w:t>
      </w:r>
      <w:r w:rsidR="0086618E" w:rsidRPr="000B29C4">
        <w:rPr>
          <w:rFonts w:ascii="Tahoma" w:hAnsi="Tahoma" w:cs="Tahoma"/>
          <w:bCs/>
          <w:sz w:val="23"/>
          <w:szCs w:val="23"/>
          <w:lang w:val="es-419"/>
        </w:rPr>
        <w:t xml:space="preserve"> señor </w:t>
      </w:r>
      <w:r w:rsidR="0086618E" w:rsidRPr="000B29C4">
        <w:rPr>
          <w:rFonts w:ascii="Tahoma" w:hAnsi="Tahoma" w:cs="Tahoma"/>
          <w:b/>
          <w:bCs/>
          <w:sz w:val="23"/>
          <w:szCs w:val="23"/>
          <w:lang w:val="es-419"/>
        </w:rPr>
        <w:t>GUILLERMO SALAZAR ARCILA</w:t>
      </w:r>
      <w:r w:rsidR="0086618E" w:rsidRPr="000B29C4">
        <w:rPr>
          <w:rFonts w:ascii="Tahoma" w:hAnsi="Tahoma" w:cs="Tahoma"/>
          <w:bCs/>
          <w:sz w:val="23"/>
          <w:szCs w:val="23"/>
          <w:lang w:val="es-419"/>
        </w:rPr>
        <w:t xml:space="preserve">, actuando en calidad de cónyuge supérstite de la señora </w:t>
      </w:r>
      <w:r w:rsidR="000B29C4" w:rsidRPr="000B29C4">
        <w:rPr>
          <w:rFonts w:ascii="Tahoma" w:hAnsi="Tahoma" w:cs="Tahoma"/>
          <w:b/>
          <w:bCs/>
          <w:sz w:val="23"/>
          <w:szCs w:val="23"/>
          <w:lang w:val="es-419"/>
        </w:rPr>
        <w:t>MARÍA</w:t>
      </w:r>
      <w:r w:rsidR="0086618E" w:rsidRPr="000B29C4">
        <w:rPr>
          <w:rFonts w:ascii="Tahoma" w:hAnsi="Tahoma" w:cs="Tahoma"/>
          <w:b/>
          <w:bCs/>
          <w:sz w:val="23"/>
          <w:szCs w:val="23"/>
          <w:lang w:val="es-419"/>
        </w:rPr>
        <w:t xml:space="preserve"> LUCENIT OSORIO DE SALAZAR</w:t>
      </w:r>
      <w:r w:rsidR="0086618E" w:rsidRPr="000B29C4">
        <w:rPr>
          <w:rFonts w:ascii="Tahoma" w:hAnsi="Tahoma" w:cs="Tahoma"/>
          <w:bCs/>
          <w:sz w:val="23"/>
          <w:szCs w:val="23"/>
          <w:lang w:val="es-419"/>
        </w:rPr>
        <w:t xml:space="preserve">, fallecida el 2 de febrero de 2015, persigue, </w:t>
      </w:r>
      <w:r w:rsidR="0026385A" w:rsidRPr="000B29C4">
        <w:rPr>
          <w:rFonts w:ascii="Tahoma" w:hAnsi="Tahoma" w:cs="Tahoma"/>
          <w:bCs/>
          <w:sz w:val="23"/>
          <w:szCs w:val="23"/>
          <w:lang w:val="es-419"/>
        </w:rPr>
        <w:t xml:space="preserve">básicamente: </w:t>
      </w:r>
      <w:r w:rsidR="0026385A" w:rsidRPr="000B29C4">
        <w:rPr>
          <w:rFonts w:ascii="Tahoma" w:hAnsi="Tahoma" w:cs="Tahoma"/>
          <w:b/>
          <w:bCs/>
          <w:sz w:val="23"/>
          <w:szCs w:val="23"/>
          <w:lang w:val="es-419"/>
        </w:rPr>
        <w:t>1)</w:t>
      </w:r>
      <w:r w:rsidR="0026385A" w:rsidRPr="000B29C4">
        <w:rPr>
          <w:rFonts w:ascii="Tahoma" w:hAnsi="Tahoma" w:cs="Tahoma"/>
          <w:bCs/>
          <w:sz w:val="23"/>
          <w:szCs w:val="23"/>
          <w:lang w:val="es-419"/>
        </w:rPr>
        <w:t xml:space="preserve"> q</w:t>
      </w:r>
      <w:r w:rsidR="0086618E" w:rsidRPr="000B29C4">
        <w:rPr>
          <w:rFonts w:ascii="Tahoma" w:hAnsi="Tahoma" w:cs="Tahoma"/>
          <w:bCs/>
          <w:sz w:val="23"/>
          <w:szCs w:val="23"/>
          <w:lang w:val="es-419"/>
        </w:rPr>
        <w:t>ue se declare que</w:t>
      </w:r>
      <w:r w:rsidR="0026385A" w:rsidRPr="000B29C4">
        <w:rPr>
          <w:rFonts w:ascii="Tahoma" w:hAnsi="Tahoma" w:cs="Tahoma"/>
          <w:bCs/>
          <w:sz w:val="23"/>
          <w:szCs w:val="23"/>
          <w:lang w:val="es-419"/>
        </w:rPr>
        <w:t xml:space="preserve"> desde el 15 de enero de 2016 </w:t>
      </w:r>
      <w:r w:rsidR="004E4178" w:rsidRPr="000B29C4">
        <w:rPr>
          <w:rFonts w:ascii="Tahoma" w:hAnsi="Tahoma" w:cs="Tahoma"/>
          <w:bCs/>
          <w:sz w:val="23"/>
          <w:szCs w:val="23"/>
          <w:lang w:val="es-419"/>
        </w:rPr>
        <w:t>y hasta el 2 de febrero de 2015,</w:t>
      </w:r>
      <w:r w:rsidR="0086618E" w:rsidRPr="000B29C4">
        <w:rPr>
          <w:rFonts w:ascii="Tahoma" w:hAnsi="Tahoma" w:cs="Tahoma"/>
          <w:bCs/>
          <w:sz w:val="23"/>
          <w:szCs w:val="23"/>
          <w:lang w:val="es-419"/>
        </w:rPr>
        <w:t xml:space="preserve"> existió contrato verbal de trabajo a término indefinido entre su esposa y el </w:t>
      </w:r>
      <w:r w:rsidR="0086618E" w:rsidRPr="000B29C4">
        <w:rPr>
          <w:rFonts w:ascii="Tahoma" w:hAnsi="Tahoma" w:cs="Tahoma"/>
          <w:b/>
          <w:bCs/>
          <w:sz w:val="23"/>
          <w:szCs w:val="23"/>
          <w:lang w:val="es-419"/>
        </w:rPr>
        <w:t>CLUB</w:t>
      </w:r>
      <w:r w:rsidR="0086618E" w:rsidRPr="000B29C4">
        <w:rPr>
          <w:rFonts w:ascii="Tahoma" w:hAnsi="Tahoma" w:cs="Tahoma"/>
          <w:bCs/>
          <w:sz w:val="23"/>
          <w:szCs w:val="23"/>
          <w:lang w:val="es-419"/>
        </w:rPr>
        <w:t xml:space="preserve"> </w:t>
      </w:r>
      <w:r w:rsidR="0086618E" w:rsidRPr="000B29C4">
        <w:rPr>
          <w:rFonts w:ascii="Tahoma" w:hAnsi="Tahoma" w:cs="Tahoma"/>
          <w:b/>
          <w:bCs/>
          <w:sz w:val="23"/>
          <w:szCs w:val="23"/>
          <w:lang w:val="es-419"/>
        </w:rPr>
        <w:t>DE NATACIÓN TIBURONES DEL RISARALDA</w:t>
      </w:r>
      <w:r w:rsidR="0026385A" w:rsidRPr="000B29C4">
        <w:rPr>
          <w:rFonts w:ascii="Tahoma" w:hAnsi="Tahoma" w:cs="Tahoma"/>
          <w:bCs/>
          <w:sz w:val="23"/>
          <w:szCs w:val="23"/>
          <w:lang w:val="es-419"/>
        </w:rPr>
        <w:t xml:space="preserve">; </w:t>
      </w:r>
      <w:r w:rsidR="0026385A" w:rsidRPr="000B29C4">
        <w:rPr>
          <w:rFonts w:ascii="Tahoma" w:hAnsi="Tahoma" w:cs="Tahoma"/>
          <w:b/>
          <w:bCs/>
          <w:sz w:val="23"/>
          <w:szCs w:val="23"/>
          <w:lang w:val="es-419"/>
        </w:rPr>
        <w:t>2)</w:t>
      </w:r>
      <w:r w:rsidR="0026385A" w:rsidRPr="000B29C4">
        <w:rPr>
          <w:rFonts w:ascii="Tahoma" w:hAnsi="Tahoma" w:cs="Tahoma"/>
          <w:bCs/>
          <w:sz w:val="23"/>
          <w:szCs w:val="23"/>
          <w:lang w:val="es-419"/>
        </w:rPr>
        <w:t xml:space="preserve"> que se declare igualmente que el </w:t>
      </w:r>
      <w:r w:rsidR="0026385A" w:rsidRPr="000B29C4">
        <w:rPr>
          <w:rFonts w:ascii="Tahoma" w:hAnsi="Tahoma" w:cs="Tahoma"/>
          <w:b/>
          <w:bCs/>
          <w:sz w:val="23"/>
          <w:szCs w:val="23"/>
          <w:lang w:val="es-419"/>
        </w:rPr>
        <w:t>CLUB DE</w:t>
      </w:r>
      <w:r w:rsidR="0026385A" w:rsidRPr="000B29C4">
        <w:rPr>
          <w:rFonts w:ascii="Tahoma" w:hAnsi="Tahoma" w:cs="Tahoma"/>
          <w:bCs/>
          <w:sz w:val="23"/>
          <w:szCs w:val="23"/>
          <w:lang w:val="es-419"/>
        </w:rPr>
        <w:t xml:space="preserve"> </w:t>
      </w:r>
      <w:r w:rsidR="0026385A" w:rsidRPr="000B29C4">
        <w:rPr>
          <w:rFonts w:ascii="Tahoma" w:hAnsi="Tahoma" w:cs="Tahoma"/>
          <w:b/>
          <w:bCs/>
          <w:sz w:val="23"/>
          <w:szCs w:val="23"/>
          <w:lang w:val="es-419"/>
        </w:rPr>
        <w:t xml:space="preserve">NATACIÓN TIBURONES DEL RISARALDA, </w:t>
      </w:r>
      <w:r w:rsidR="0026385A" w:rsidRPr="000B29C4">
        <w:rPr>
          <w:rFonts w:ascii="Tahoma" w:hAnsi="Tahoma" w:cs="Tahoma"/>
          <w:bCs/>
          <w:sz w:val="23"/>
          <w:szCs w:val="23"/>
          <w:lang w:val="es-419"/>
        </w:rPr>
        <w:t xml:space="preserve">el </w:t>
      </w:r>
      <w:r w:rsidR="0026385A" w:rsidRPr="000B29C4">
        <w:rPr>
          <w:rFonts w:ascii="Tahoma" w:hAnsi="Tahoma" w:cs="Tahoma"/>
          <w:b/>
          <w:bCs/>
          <w:sz w:val="23"/>
          <w:szCs w:val="23"/>
          <w:lang w:val="es-419"/>
        </w:rPr>
        <w:t xml:space="preserve">MUNICIPIO DE PEREIRA </w:t>
      </w:r>
      <w:r w:rsidR="0026385A" w:rsidRPr="000B29C4">
        <w:rPr>
          <w:rFonts w:ascii="Tahoma" w:hAnsi="Tahoma" w:cs="Tahoma"/>
          <w:bCs/>
          <w:sz w:val="23"/>
          <w:szCs w:val="23"/>
          <w:lang w:val="es-419"/>
        </w:rPr>
        <w:t>y la</w:t>
      </w:r>
      <w:r w:rsidR="0026385A" w:rsidRPr="000B29C4">
        <w:rPr>
          <w:rFonts w:ascii="Tahoma" w:hAnsi="Tahoma" w:cs="Tahoma"/>
          <w:b/>
          <w:bCs/>
          <w:sz w:val="23"/>
          <w:szCs w:val="23"/>
          <w:lang w:val="es-419"/>
        </w:rPr>
        <w:t xml:space="preserve"> LIGA RISARALDENSE DE NATACIÓN</w:t>
      </w:r>
      <w:r w:rsidR="0026385A" w:rsidRPr="000B29C4">
        <w:rPr>
          <w:rFonts w:ascii="Tahoma" w:hAnsi="Tahoma" w:cs="Tahoma"/>
          <w:bCs/>
          <w:sz w:val="23"/>
          <w:szCs w:val="23"/>
          <w:lang w:val="es-419"/>
        </w:rPr>
        <w:t>, son solidaria, administrativa y patrimonialmente responsables de los derechos laborales y pensionales reclamados en la demanda.</w:t>
      </w:r>
    </w:p>
    <w:p w14:paraId="56731545" w14:textId="77777777" w:rsidR="0026385A" w:rsidRPr="000B29C4" w:rsidRDefault="0026385A" w:rsidP="00BC4846">
      <w:pPr>
        <w:ind w:firstLine="709"/>
        <w:jc w:val="both"/>
        <w:rPr>
          <w:rFonts w:ascii="Tahoma" w:hAnsi="Tahoma" w:cs="Tahoma"/>
          <w:bCs/>
          <w:sz w:val="23"/>
          <w:szCs w:val="23"/>
          <w:lang w:val="es-419"/>
        </w:rPr>
      </w:pPr>
    </w:p>
    <w:p w14:paraId="1803D475" w14:textId="77777777" w:rsidR="0026385A" w:rsidRPr="000B29C4" w:rsidRDefault="0026385A" w:rsidP="0026385A">
      <w:pPr>
        <w:spacing w:line="276" w:lineRule="auto"/>
        <w:ind w:firstLine="709"/>
        <w:jc w:val="both"/>
        <w:rPr>
          <w:rFonts w:ascii="Tahoma" w:hAnsi="Tahoma" w:cs="Tahoma"/>
          <w:bCs/>
          <w:sz w:val="23"/>
          <w:szCs w:val="23"/>
          <w:lang w:val="es-419"/>
        </w:rPr>
      </w:pPr>
      <w:r w:rsidRPr="000B29C4">
        <w:rPr>
          <w:rFonts w:ascii="Tahoma" w:hAnsi="Tahoma" w:cs="Tahoma"/>
          <w:bCs/>
          <w:sz w:val="23"/>
          <w:szCs w:val="23"/>
          <w:lang w:val="es-419"/>
        </w:rPr>
        <w:t>La demanda fue admitida mediante auto del 29 de agosto de 2018</w:t>
      </w:r>
      <w:r w:rsidR="004B3E7B" w:rsidRPr="000B29C4">
        <w:rPr>
          <w:rFonts w:ascii="Tahoma" w:hAnsi="Tahoma" w:cs="Tahoma"/>
          <w:bCs/>
          <w:sz w:val="23"/>
          <w:szCs w:val="23"/>
          <w:lang w:val="es-419"/>
        </w:rPr>
        <w:t xml:space="preserve"> (Fl. 16)</w:t>
      </w:r>
      <w:r w:rsidR="004E4178" w:rsidRPr="000B29C4">
        <w:rPr>
          <w:rFonts w:ascii="Tahoma" w:hAnsi="Tahoma" w:cs="Tahoma"/>
          <w:bCs/>
          <w:sz w:val="23"/>
          <w:szCs w:val="23"/>
          <w:lang w:val="es-419"/>
        </w:rPr>
        <w:t xml:space="preserve"> y </w:t>
      </w:r>
      <w:r w:rsidRPr="000B29C4">
        <w:rPr>
          <w:rFonts w:ascii="Tahoma" w:hAnsi="Tahoma" w:cs="Tahoma"/>
          <w:bCs/>
          <w:sz w:val="23"/>
          <w:szCs w:val="23"/>
          <w:lang w:val="es-419"/>
        </w:rPr>
        <w:t xml:space="preserve">se dispuso correr traslado de la misma a los accionados, mediante notificación personal del </w:t>
      </w:r>
      <w:r w:rsidR="004B3E7B" w:rsidRPr="000B29C4">
        <w:rPr>
          <w:rFonts w:ascii="Tahoma" w:hAnsi="Tahoma" w:cs="Tahoma"/>
          <w:bCs/>
          <w:sz w:val="23"/>
          <w:szCs w:val="23"/>
          <w:lang w:val="es-419"/>
        </w:rPr>
        <w:t xml:space="preserve">auto admisorio, en la forma indicada en el artículo 41 del C.P.T. y de la S.S., con la advertencia de que </w:t>
      </w:r>
      <w:r w:rsidR="004B3E7B" w:rsidRPr="000B29C4">
        <w:rPr>
          <w:rFonts w:ascii="Arial Narrow" w:hAnsi="Arial Narrow" w:cs="Tahoma"/>
          <w:bCs/>
          <w:i/>
          <w:sz w:val="23"/>
          <w:szCs w:val="23"/>
          <w:lang w:val="es-419"/>
        </w:rPr>
        <w:t>“para dar respuesta por medio de apoderado judicial y presentar las pruebas en defensa de sus intereses, contaban con el término de diez (10) días hábiles siguientes a ese acto”.</w:t>
      </w:r>
    </w:p>
    <w:p w14:paraId="65FA3E8E" w14:textId="77777777" w:rsidR="004B3E7B" w:rsidRPr="000B29C4" w:rsidRDefault="004B3E7B" w:rsidP="00BC4846">
      <w:pPr>
        <w:ind w:firstLine="709"/>
        <w:jc w:val="both"/>
        <w:rPr>
          <w:rFonts w:ascii="Tahoma" w:hAnsi="Tahoma" w:cs="Tahoma"/>
          <w:bCs/>
          <w:sz w:val="23"/>
          <w:szCs w:val="23"/>
          <w:lang w:val="es-419"/>
        </w:rPr>
      </w:pPr>
    </w:p>
    <w:p w14:paraId="17439FA7" w14:textId="0750433D" w:rsidR="00C55B5E" w:rsidRPr="000B29C4" w:rsidRDefault="00C55B5E" w:rsidP="00345C4F">
      <w:pPr>
        <w:spacing w:line="276" w:lineRule="auto"/>
        <w:ind w:firstLine="709"/>
        <w:jc w:val="both"/>
        <w:rPr>
          <w:rFonts w:ascii="Tahoma" w:hAnsi="Tahoma" w:cs="Tahoma"/>
          <w:bCs/>
          <w:sz w:val="23"/>
          <w:szCs w:val="23"/>
          <w:lang w:val="es-419"/>
        </w:rPr>
      </w:pPr>
      <w:r w:rsidRPr="000B29C4">
        <w:rPr>
          <w:rFonts w:ascii="Tahoma" w:hAnsi="Tahoma" w:cs="Tahoma"/>
          <w:bCs/>
          <w:sz w:val="23"/>
          <w:szCs w:val="23"/>
          <w:lang w:val="es-419"/>
        </w:rPr>
        <w:t xml:space="preserve">Según </w:t>
      </w:r>
      <w:r w:rsidR="00422492" w:rsidRPr="000B29C4">
        <w:rPr>
          <w:rFonts w:ascii="Tahoma" w:hAnsi="Tahoma" w:cs="Tahoma"/>
          <w:bCs/>
          <w:sz w:val="23"/>
          <w:szCs w:val="23"/>
          <w:lang w:val="es-419"/>
        </w:rPr>
        <w:t xml:space="preserve">se </w:t>
      </w:r>
      <w:r w:rsidRPr="000B29C4">
        <w:rPr>
          <w:rFonts w:ascii="Tahoma" w:hAnsi="Tahoma" w:cs="Tahoma"/>
          <w:bCs/>
          <w:sz w:val="23"/>
          <w:szCs w:val="23"/>
          <w:lang w:val="es-419"/>
        </w:rPr>
        <w:t xml:space="preserve">puede observar en los folios 18 y 19 del expediente, el 5 de septiembre de 2018 y el </w:t>
      </w:r>
      <w:r w:rsidRPr="000B29C4">
        <w:rPr>
          <w:rFonts w:ascii="Tahoma" w:hAnsi="Tahoma" w:cs="Tahoma"/>
          <w:bCs/>
          <w:sz w:val="23"/>
          <w:szCs w:val="23"/>
          <w:u w:val="single"/>
          <w:lang w:val="es-419"/>
        </w:rPr>
        <w:t>17 de octubre de 2018</w:t>
      </w:r>
      <w:r w:rsidRPr="000B29C4">
        <w:rPr>
          <w:rFonts w:ascii="Tahoma" w:hAnsi="Tahoma" w:cs="Tahoma"/>
          <w:bCs/>
          <w:sz w:val="23"/>
          <w:szCs w:val="23"/>
          <w:lang w:val="es-419"/>
        </w:rPr>
        <w:t xml:space="preserve">, respectivamente, se remitió citación y aviso para notificación personal al </w:t>
      </w:r>
      <w:r w:rsidR="004E4178" w:rsidRPr="000B29C4">
        <w:rPr>
          <w:rFonts w:ascii="Tahoma" w:hAnsi="Tahoma" w:cs="Tahoma"/>
          <w:bCs/>
          <w:caps/>
          <w:sz w:val="23"/>
          <w:szCs w:val="23"/>
          <w:lang w:val="es-419"/>
        </w:rPr>
        <w:t>M</w:t>
      </w:r>
      <w:r w:rsidR="004E4178" w:rsidRPr="000B29C4">
        <w:rPr>
          <w:rFonts w:ascii="Tahoma" w:hAnsi="Tahoma" w:cs="Tahoma"/>
          <w:bCs/>
          <w:sz w:val="23"/>
          <w:szCs w:val="23"/>
          <w:lang w:val="es-419"/>
        </w:rPr>
        <w:t>unicipio de Pereira</w:t>
      </w:r>
      <w:r w:rsidR="00422492" w:rsidRPr="000B29C4">
        <w:rPr>
          <w:rFonts w:ascii="Tahoma" w:hAnsi="Tahoma" w:cs="Tahoma"/>
          <w:bCs/>
          <w:sz w:val="23"/>
          <w:szCs w:val="23"/>
          <w:lang w:val="es-419"/>
        </w:rPr>
        <w:t xml:space="preserve">. </w:t>
      </w:r>
      <w:r w:rsidR="004E4178" w:rsidRPr="000B29C4">
        <w:rPr>
          <w:rFonts w:ascii="Tahoma" w:hAnsi="Tahoma" w:cs="Tahoma"/>
          <w:bCs/>
          <w:sz w:val="23"/>
          <w:szCs w:val="23"/>
          <w:lang w:val="es-419"/>
        </w:rPr>
        <w:t>Cabe anotar al respecto, que a</w:t>
      </w:r>
      <w:r w:rsidR="00422492" w:rsidRPr="000B29C4">
        <w:rPr>
          <w:rFonts w:ascii="Tahoma" w:hAnsi="Tahoma" w:cs="Tahoma"/>
          <w:bCs/>
          <w:sz w:val="23"/>
          <w:szCs w:val="23"/>
          <w:lang w:val="es-419"/>
        </w:rPr>
        <w:t xml:space="preserve">mbos documentos </w:t>
      </w:r>
      <w:r w:rsidRPr="000B29C4">
        <w:rPr>
          <w:rFonts w:ascii="Tahoma" w:hAnsi="Tahoma" w:cs="Tahoma"/>
          <w:bCs/>
          <w:sz w:val="23"/>
          <w:szCs w:val="23"/>
          <w:lang w:val="es-419"/>
        </w:rPr>
        <w:t>exhiben constancia de recibido</w:t>
      </w:r>
      <w:r w:rsidR="008E3415" w:rsidRPr="000B29C4">
        <w:rPr>
          <w:rFonts w:ascii="Tahoma" w:hAnsi="Tahoma" w:cs="Tahoma"/>
          <w:bCs/>
          <w:sz w:val="23"/>
          <w:szCs w:val="23"/>
          <w:lang w:val="es-419"/>
        </w:rPr>
        <w:t>,</w:t>
      </w:r>
      <w:r w:rsidR="00422492" w:rsidRPr="000B29C4">
        <w:rPr>
          <w:rFonts w:ascii="Tahoma" w:hAnsi="Tahoma" w:cs="Tahoma"/>
          <w:bCs/>
          <w:sz w:val="23"/>
          <w:szCs w:val="23"/>
          <w:lang w:val="es-419"/>
        </w:rPr>
        <w:t xml:space="preserve"> </w:t>
      </w:r>
      <w:r w:rsidR="004E4178" w:rsidRPr="000B29C4">
        <w:rPr>
          <w:rFonts w:ascii="Tahoma" w:hAnsi="Tahoma" w:cs="Tahoma"/>
          <w:bCs/>
          <w:sz w:val="23"/>
          <w:szCs w:val="23"/>
          <w:lang w:val="es-419"/>
        </w:rPr>
        <w:t>en la que se consigna</w:t>
      </w:r>
      <w:r w:rsidRPr="000B29C4">
        <w:rPr>
          <w:rFonts w:ascii="Tahoma" w:hAnsi="Tahoma" w:cs="Tahoma"/>
          <w:bCs/>
          <w:sz w:val="23"/>
          <w:szCs w:val="23"/>
          <w:lang w:val="es-419"/>
        </w:rPr>
        <w:t xml:space="preserve"> el nombre d</w:t>
      </w:r>
      <w:r w:rsidR="00422492" w:rsidRPr="000B29C4">
        <w:rPr>
          <w:rFonts w:ascii="Tahoma" w:hAnsi="Tahoma" w:cs="Tahoma"/>
          <w:bCs/>
          <w:sz w:val="23"/>
          <w:szCs w:val="23"/>
          <w:lang w:val="es-419"/>
        </w:rPr>
        <w:t xml:space="preserve">e la entidad, el radicado de </w:t>
      </w:r>
      <w:r w:rsidRPr="000B29C4">
        <w:rPr>
          <w:rFonts w:ascii="Tahoma" w:hAnsi="Tahoma" w:cs="Tahoma"/>
          <w:bCs/>
          <w:sz w:val="23"/>
          <w:szCs w:val="23"/>
          <w:lang w:val="es-419"/>
        </w:rPr>
        <w:t xml:space="preserve">correspondencia, el nombre de quien recibe, la fecha y hora de entrega, el destino y los anexos. </w:t>
      </w:r>
      <w:r w:rsidR="004E4178" w:rsidRPr="000B29C4">
        <w:rPr>
          <w:rFonts w:ascii="Tahoma" w:hAnsi="Tahoma" w:cs="Tahoma"/>
          <w:bCs/>
          <w:sz w:val="23"/>
          <w:szCs w:val="23"/>
          <w:lang w:val="es-419"/>
        </w:rPr>
        <w:t>Igualmente</w:t>
      </w:r>
      <w:r w:rsidR="008E3415" w:rsidRPr="000B29C4">
        <w:rPr>
          <w:rFonts w:ascii="Tahoma" w:hAnsi="Tahoma" w:cs="Tahoma"/>
          <w:bCs/>
          <w:sz w:val="23"/>
          <w:szCs w:val="23"/>
          <w:lang w:val="es-419"/>
        </w:rPr>
        <w:t xml:space="preserve"> obra en el plenario el poder otorgado por la Secretaria Jurídica de la entidad codemandada</w:t>
      </w:r>
      <w:r w:rsidR="00422492" w:rsidRPr="000B29C4">
        <w:rPr>
          <w:rFonts w:ascii="Tahoma" w:hAnsi="Tahoma" w:cs="Tahoma"/>
          <w:bCs/>
          <w:sz w:val="23"/>
          <w:szCs w:val="23"/>
          <w:lang w:val="es-419"/>
        </w:rPr>
        <w:t xml:space="preserve"> a la abogada que representa los intereses jurídicos del</w:t>
      </w:r>
      <w:r w:rsidR="008E3415" w:rsidRPr="000B29C4">
        <w:rPr>
          <w:rFonts w:ascii="Tahoma" w:hAnsi="Tahoma" w:cs="Tahoma"/>
          <w:bCs/>
          <w:sz w:val="23"/>
          <w:szCs w:val="23"/>
          <w:lang w:val="es-419"/>
        </w:rPr>
        <w:t xml:space="preserve"> ente territorial</w:t>
      </w:r>
      <w:r w:rsidR="00422492" w:rsidRPr="000B29C4">
        <w:rPr>
          <w:rFonts w:ascii="Tahoma" w:hAnsi="Tahoma" w:cs="Tahoma"/>
          <w:bCs/>
          <w:sz w:val="23"/>
          <w:szCs w:val="23"/>
          <w:lang w:val="es-419"/>
        </w:rPr>
        <w:t>, el cual fue</w:t>
      </w:r>
      <w:r w:rsidR="008E3415" w:rsidRPr="000B29C4">
        <w:rPr>
          <w:rFonts w:ascii="Tahoma" w:hAnsi="Tahoma" w:cs="Tahoma"/>
          <w:bCs/>
          <w:sz w:val="23"/>
          <w:szCs w:val="23"/>
          <w:lang w:val="es-419"/>
        </w:rPr>
        <w:t xml:space="preserve"> radicado el 18 de enero de 2019</w:t>
      </w:r>
      <w:r w:rsidR="004E4178" w:rsidRPr="000B29C4">
        <w:rPr>
          <w:rFonts w:ascii="Tahoma" w:hAnsi="Tahoma" w:cs="Tahoma"/>
          <w:bCs/>
          <w:sz w:val="23"/>
          <w:szCs w:val="23"/>
          <w:lang w:val="es-419"/>
        </w:rPr>
        <w:t xml:space="preserve"> </w:t>
      </w:r>
      <w:r w:rsidR="00422492" w:rsidRPr="000B29C4">
        <w:rPr>
          <w:rFonts w:ascii="Tahoma" w:hAnsi="Tahoma" w:cs="Tahoma"/>
          <w:bCs/>
          <w:sz w:val="23"/>
          <w:szCs w:val="23"/>
          <w:lang w:val="es-419"/>
        </w:rPr>
        <w:t xml:space="preserve">(Fl. 20). </w:t>
      </w:r>
      <w:r w:rsidR="008E3415" w:rsidRPr="000B29C4">
        <w:rPr>
          <w:rFonts w:ascii="Tahoma" w:hAnsi="Tahoma" w:cs="Tahoma"/>
          <w:bCs/>
          <w:sz w:val="23"/>
          <w:szCs w:val="23"/>
          <w:lang w:val="es-419"/>
        </w:rPr>
        <w:t xml:space="preserve">  </w:t>
      </w:r>
    </w:p>
    <w:p w14:paraId="18508B9C" w14:textId="77777777" w:rsidR="0026385A" w:rsidRPr="000B29C4" w:rsidRDefault="0026385A" w:rsidP="00BC4846">
      <w:pPr>
        <w:ind w:firstLine="709"/>
        <w:jc w:val="both"/>
        <w:rPr>
          <w:rFonts w:ascii="Tahoma" w:hAnsi="Tahoma" w:cs="Tahoma"/>
          <w:bCs/>
          <w:sz w:val="23"/>
          <w:szCs w:val="23"/>
          <w:lang w:val="es-419"/>
        </w:rPr>
      </w:pPr>
    </w:p>
    <w:p w14:paraId="65088D27" w14:textId="77777777" w:rsidR="005E0546" w:rsidRPr="000B29C4" w:rsidRDefault="00422492" w:rsidP="0026385A">
      <w:pPr>
        <w:spacing w:line="276" w:lineRule="auto"/>
        <w:ind w:firstLine="709"/>
        <w:jc w:val="both"/>
        <w:rPr>
          <w:rFonts w:ascii="Tahoma" w:hAnsi="Tahoma" w:cs="Tahoma"/>
          <w:bCs/>
          <w:sz w:val="23"/>
          <w:szCs w:val="23"/>
          <w:lang w:val="es-419"/>
        </w:rPr>
      </w:pPr>
      <w:r w:rsidRPr="000B29C4">
        <w:rPr>
          <w:rFonts w:ascii="Tahoma" w:hAnsi="Tahoma" w:cs="Tahoma"/>
          <w:bCs/>
          <w:sz w:val="23"/>
          <w:szCs w:val="23"/>
          <w:lang w:val="es-419"/>
        </w:rPr>
        <w:t>Mediante auto del 25 de enero de 2019 (Fl. 31),</w:t>
      </w:r>
      <w:r w:rsidR="00E142C1" w:rsidRPr="000B29C4">
        <w:rPr>
          <w:rFonts w:ascii="Tahoma" w:hAnsi="Tahoma" w:cs="Tahoma"/>
          <w:bCs/>
          <w:sz w:val="23"/>
          <w:szCs w:val="23"/>
          <w:lang w:val="es-419"/>
        </w:rPr>
        <w:t xml:space="preserve"> el juzgado de conocimiento</w:t>
      </w:r>
      <w:r w:rsidRPr="000B29C4">
        <w:rPr>
          <w:rFonts w:ascii="Tahoma" w:hAnsi="Tahoma" w:cs="Tahoma"/>
          <w:bCs/>
          <w:sz w:val="23"/>
          <w:szCs w:val="23"/>
          <w:lang w:val="es-419"/>
        </w:rPr>
        <w:t xml:space="preserve"> reconoció personería jurídica a la abogada del Municipio</w:t>
      </w:r>
      <w:r w:rsidR="00E142C1" w:rsidRPr="000B29C4">
        <w:rPr>
          <w:rFonts w:ascii="Tahoma" w:hAnsi="Tahoma" w:cs="Tahoma"/>
          <w:bCs/>
          <w:sz w:val="23"/>
          <w:szCs w:val="23"/>
          <w:lang w:val="es-419"/>
        </w:rPr>
        <w:t xml:space="preserve"> y </w:t>
      </w:r>
      <w:r w:rsidR="005E0546" w:rsidRPr="000B29C4">
        <w:rPr>
          <w:rFonts w:ascii="Tahoma" w:hAnsi="Tahoma" w:cs="Tahoma"/>
          <w:bCs/>
          <w:sz w:val="23"/>
          <w:szCs w:val="23"/>
          <w:lang w:val="es-419"/>
        </w:rPr>
        <w:t xml:space="preserve">le advirtió, </w:t>
      </w:r>
      <w:r w:rsidRPr="000B29C4">
        <w:rPr>
          <w:rFonts w:ascii="Tahoma" w:hAnsi="Tahoma" w:cs="Tahoma"/>
          <w:bCs/>
          <w:sz w:val="23"/>
          <w:szCs w:val="23"/>
          <w:lang w:val="es-419"/>
        </w:rPr>
        <w:t xml:space="preserve">de conformidad con el artículo 301 del C.G.P., </w:t>
      </w:r>
      <w:r w:rsidR="005E0546" w:rsidRPr="000B29C4">
        <w:rPr>
          <w:rFonts w:ascii="Tahoma" w:hAnsi="Tahoma" w:cs="Tahoma"/>
          <w:bCs/>
          <w:sz w:val="23"/>
          <w:szCs w:val="23"/>
          <w:lang w:val="es-419"/>
        </w:rPr>
        <w:t xml:space="preserve">que </w:t>
      </w:r>
      <w:r w:rsidRPr="000B29C4">
        <w:rPr>
          <w:rFonts w:ascii="Tahoma" w:hAnsi="Tahoma" w:cs="Tahoma"/>
          <w:bCs/>
          <w:sz w:val="23"/>
          <w:szCs w:val="23"/>
          <w:lang w:val="es-419"/>
        </w:rPr>
        <w:t>con la constitución de apoderado judicial se entendería notificada por conducta concluyente de todas las providencias que</w:t>
      </w:r>
      <w:r w:rsidR="005E0546" w:rsidRPr="000B29C4">
        <w:rPr>
          <w:rFonts w:ascii="Tahoma" w:hAnsi="Tahoma" w:cs="Tahoma"/>
          <w:bCs/>
          <w:sz w:val="23"/>
          <w:szCs w:val="23"/>
          <w:lang w:val="es-419"/>
        </w:rPr>
        <w:t xml:space="preserve"> se</w:t>
      </w:r>
      <w:r w:rsidRPr="000B29C4">
        <w:rPr>
          <w:rFonts w:ascii="Tahoma" w:hAnsi="Tahoma" w:cs="Tahoma"/>
          <w:bCs/>
          <w:sz w:val="23"/>
          <w:szCs w:val="23"/>
          <w:lang w:val="es-419"/>
        </w:rPr>
        <w:t xml:space="preserve"> hubieren dictado en el proceso</w:t>
      </w:r>
      <w:r w:rsidR="005E0546" w:rsidRPr="000B29C4">
        <w:rPr>
          <w:rFonts w:ascii="Tahoma" w:hAnsi="Tahoma" w:cs="Tahoma"/>
          <w:bCs/>
          <w:sz w:val="23"/>
          <w:szCs w:val="23"/>
          <w:lang w:val="es-419"/>
        </w:rPr>
        <w:t xml:space="preserve"> hasta esa fecha</w:t>
      </w:r>
      <w:r w:rsidRPr="000B29C4">
        <w:rPr>
          <w:rFonts w:ascii="Tahoma" w:hAnsi="Tahoma" w:cs="Tahoma"/>
          <w:bCs/>
          <w:sz w:val="23"/>
          <w:szCs w:val="23"/>
          <w:lang w:val="es-419"/>
        </w:rPr>
        <w:t>, incluido el auto admisorio</w:t>
      </w:r>
      <w:r w:rsidR="005E0546" w:rsidRPr="000B29C4">
        <w:rPr>
          <w:rFonts w:ascii="Tahoma" w:hAnsi="Tahoma" w:cs="Tahoma"/>
          <w:bCs/>
          <w:sz w:val="23"/>
          <w:szCs w:val="23"/>
          <w:lang w:val="es-419"/>
        </w:rPr>
        <w:t xml:space="preserve"> de la demanda, en razón de lo cual, se le otorgó el término de tres (3) días para retirar de secretaría copia de la demanda y sus anexos, vencidos los cuales comenzaría a correr el término de ejecutoria y de traslado de la demanda</w:t>
      </w:r>
      <w:r w:rsidR="00E142C1" w:rsidRPr="000B29C4">
        <w:rPr>
          <w:rFonts w:ascii="Tahoma" w:hAnsi="Tahoma" w:cs="Tahoma"/>
          <w:bCs/>
          <w:sz w:val="23"/>
          <w:szCs w:val="23"/>
          <w:lang w:val="es-419"/>
        </w:rPr>
        <w:t>, tal como lo previene el artículo 91 del C.G.P.</w:t>
      </w:r>
    </w:p>
    <w:p w14:paraId="141BF4D3" w14:textId="77777777" w:rsidR="005E0546" w:rsidRPr="000B29C4" w:rsidRDefault="005E0546" w:rsidP="00BC4846">
      <w:pPr>
        <w:ind w:firstLine="709"/>
        <w:jc w:val="both"/>
        <w:rPr>
          <w:rFonts w:ascii="Tahoma" w:hAnsi="Tahoma" w:cs="Tahoma"/>
          <w:bCs/>
          <w:sz w:val="23"/>
          <w:szCs w:val="23"/>
          <w:lang w:val="es-419"/>
        </w:rPr>
      </w:pPr>
    </w:p>
    <w:p w14:paraId="0F8C0C76" w14:textId="77777777" w:rsidR="00422492" w:rsidRPr="000B29C4" w:rsidRDefault="00157C6F" w:rsidP="00157C6F">
      <w:pPr>
        <w:spacing w:line="276" w:lineRule="auto"/>
        <w:jc w:val="center"/>
        <w:rPr>
          <w:rFonts w:ascii="Tahoma" w:hAnsi="Tahoma" w:cs="Tahoma"/>
          <w:b/>
          <w:bCs/>
          <w:sz w:val="23"/>
          <w:szCs w:val="23"/>
          <w:lang w:val="es-419"/>
        </w:rPr>
      </w:pPr>
      <w:r w:rsidRPr="000B29C4">
        <w:rPr>
          <w:rFonts w:ascii="Tahoma" w:hAnsi="Tahoma" w:cs="Tahoma"/>
          <w:b/>
          <w:bCs/>
          <w:sz w:val="23"/>
          <w:szCs w:val="23"/>
          <w:lang w:val="es-419"/>
        </w:rPr>
        <w:t>1.2.</w:t>
      </w:r>
      <w:r w:rsidR="005E0546" w:rsidRPr="000B29C4">
        <w:rPr>
          <w:rFonts w:ascii="Tahoma" w:hAnsi="Tahoma" w:cs="Tahoma"/>
          <w:b/>
          <w:bCs/>
          <w:sz w:val="23"/>
          <w:szCs w:val="23"/>
          <w:lang w:val="es-419"/>
        </w:rPr>
        <w:t xml:space="preserve"> FUNDAMENTO DE LA NULIDAD ALEGADA</w:t>
      </w:r>
      <w:r w:rsidRPr="000B29C4">
        <w:rPr>
          <w:rFonts w:ascii="Tahoma" w:hAnsi="Tahoma" w:cs="Tahoma"/>
          <w:b/>
          <w:bCs/>
          <w:sz w:val="23"/>
          <w:szCs w:val="23"/>
          <w:lang w:val="es-419"/>
        </w:rPr>
        <w:t xml:space="preserve"> POR LA DEMANDADA</w:t>
      </w:r>
    </w:p>
    <w:p w14:paraId="0AC6BB20" w14:textId="77777777" w:rsidR="00E142C1" w:rsidRPr="000B29C4" w:rsidRDefault="00E142C1" w:rsidP="00157C6F">
      <w:pPr>
        <w:jc w:val="center"/>
        <w:rPr>
          <w:rFonts w:ascii="Tahoma" w:hAnsi="Tahoma" w:cs="Tahoma"/>
          <w:b/>
          <w:bCs/>
          <w:sz w:val="23"/>
          <w:szCs w:val="23"/>
          <w:lang w:val="es-419"/>
        </w:rPr>
      </w:pPr>
    </w:p>
    <w:p w14:paraId="05056D35" w14:textId="77777777" w:rsidR="00E142C1" w:rsidRPr="000B29C4" w:rsidRDefault="00E142C1" w:rsidP="00E142C1">
      <w:pPr>
        <w:spacing w:line="276" w:lineRule="auto"/>
        <w:ind w:firstLine="708"/>
        <w:jc w:val="both"/>
        <w:rPr>
          <w:rFonts w:ascii="Tahoma" w:hAnsi="Tahoma" w:cs="Tahoma"/>
          <w:bCs/>
          <w:sz w:val="23"/>
          <w:szCs w:val="23"/>
          <w:lang w:val="es-419"/>
        </w:rPr>
      </w:pPr>
      <w:r w:rsidRPr="000B29C4">
        <w:rPr>
          <w:rFonts w:ascii="Tahoma" w:hAnsi="Tahoma" w:cs="Tahoma"/>
          <w:bCs/>
          <w:sz w:val="23"/>
          <w:szCs w:val="23"/>
          <w:lang w:val="es-419"/>
        </w:rPr>
        <w:lastRenderedPageBreak/>
        <w:t>El 25 de febrero de 2019 (un mes después de la emisión del citado auto, Fl. 32), la apoderada judicial del Municipio de Pereira elevó solicitud de nulidad de la notificación</w:t>
      </w:r>
      <w:r w:rsidR="002C0F9D" w:rsidRPr="000B29C4">
        <w:rPr>
          <w:rFonts w:ascii="Tahoma" w:hAnsi="Tahoma" w:cs="Tahoma"/>
          <w:bCs/>
          <w:sz w:val="23"/>
          <w:szCs w:val="23"/>
          <w:lang w:val="es-419"/>
        </w:rPr>
        <w:t xml:space="preserve"> que se efectuó en su caso por conducta concluyente, dado</w:t>
      </w:r>
      <w:r w:rsidR="002C0F9D" w:rsidRPr="000B29C4">
        <w:rPr>
          <w:rFonts w:ascii="Arial Narrow" w:hAnsi="Arial Narrow" w:cs="Tahoma"/>
          <w:bCs/>
          <w:i/>
          <w:sz w:val="23"/>
          <w:szCs w:val="23"/>
          <w:lang w:val="es-419"/>
        </w:rPr>
        <w:t xml:space="preserve"> “que no se vislumbra que se haya efectuado conforme los preceptos normativos para la diligencia, ni menos que se haya efectuado a las personas que la ley ordena notificar”</w:t>
      </w:r>
      <w:r w:rsidR="00BC4846" w:rsidRPr="000B29C4">
        <w:rPr>
          <w:rFonts w:ascii="Arial Narrow" w:hAnsi="Arial Narrow" w:cs="Tahoma"/>
          <w:bCs/>
          <w:i/>
          <w:sz w:val="23"/>
          <w:szCs w:val="23"/>
          <w:lang w:val="es-419"/>
        </w:rPr>
        <w:t xml:space="preserve">, </w:t>
      </w:r>
      <w:r w:rsidR="00BC4846" w:rsidRPr="000B29C4">
        <w:rPr>
          <w:rFonts w:ascii="Tahoma" w:hAnsi="Tahoma" w:cs="Tahoma"/>
          <w:bCs/>
          <w:sz w:val="23"/>
          <w:szCs w:val="23"/>
          <w:lang w:val="es-419"/>
        </w:rPr>
        <w:t>argumentó con ese propósito:</w:t>
      </w:r>
    </w:p>
    <w:p w14:paraId="3C3B2EAB" w14:textId="77777777" w:rsidR="00BC4846" w:rsidRPr="000B29C4" w:rsidRDefault="00BC4846" w:rsidP="00157C6F">
      <w:pPr>
        <w:ind w:firstLine="708"/>
        <w:jc w:val="both"/>
        <w:rPr>
          <w:rFonts w:ascii="Tahoma" w:hAnsi="Tahoma" w:cs="Tahoma"/>
          <w:bCs/>
          <w:sz w:val="23"/>
          <w:szCs w:val="23"/>
          <w:lang w:val="es-419"/>
        </w:rPr>
      </w:pPr>
    </w:p>
    <w:p w14:paraId="457A3A9A" w14:textId="77777777" w:rsidR="00BC4846" w:rsidRPr="000B29C4" w:rsidRDefault="00BC4846" w:rsidP="00E142C1">
      <w:pPr>
        <w:spacing w:line="276" w:lineRule="auto"/>
        <w:ind w:firstLine="708"/>
        <w:jc w:val="both"/>
        <w:rPr>
          <w:rFonts w:ascii="Arial Narrow" w:hAnsi="Arial Narrow" w:cs="Tahoma"/>
          <w:bCs/>
          <w:i/>
          <w:sz w:val="23"/>
          <w:szCs w:val="23"/>
          <w:lang w:val="es-419"/>
        </w:rPr>
      </w:pPr>
      <w:r w:rsidRPr="000B29C4">
        <w:rPr>
          <w:rFonts w:ascii="Tahoma" w:hAnsi="Tahoma" w:cs="Tahoma"/>
          <w:b/>
          <w:bCs/>
          <w:sz w:val="23"/>
          <w:szCs w:val="23"/>
          <w:lang w:val="es-419"/>
        </w:rPr>
        <w:t>1)</w:t>
      </w:r>
      <w:r w:rsidRPr="000B29C4">
        <w:rPr>
          <w:rFonts w:ascii="Tahoma" w:hAnsi="Tahoma" w:cs="Tahoma"/>
          <w:bCs/>
          <w:sz w:val="23"/>
          <w:szCs w:val="23"/>
          <w:lang w:val="es-419"/>
        </w:rPr>
        <w:t xml:space="preserve"> Que las normas adjetivas o procesales son de orden público, de modo que en ningún caso podrán ser derogadas, modificadas o sustituidas por los jueces y las partes, salvo que la ley lo autorice, en otras palabras: </w:t>
      </w:r>
      <w:r w:rsidRPr="000B29C4">
        <w:rPr>
          <w:rFonts w:ascii="Arial Narrow" w:hAnsi="Arial Narrow" w:cs="Tahoma"/>
          <w:bCs/>
          <w:i/>
          <w:sz w:val="23"/>
          <w:szCs w:val="23"/>
          <w:lang w:val="es-419"/>
        </w:rPr>
        <w:t>“su observancia vincula independientemente de la voluntad de los sujetos respecto de los cuales esta va a producir efectos (Sentencia No. T-213/2008).</w:t>
      </w:r>
    </w:p>
    <w:p w14:paraId="7D26EFAC" w14:textId="77777777" w:rsidR="00157C6F" w:rsidRPr="000B29C4" w:rsidRDefault="00157C6F" w:rsidP="00E142C1">
      <w:pPr>
        <w:spacing w:line="276" w:lineRule="auto"/>
        <w:ind w:firstLine="708"/>
        <w:jc w:val="both"/>
        <w:rPr>
          <w:rFonts w:ascii="Arial Narrow" w:hAnsi="Arial Narrow" w:cs="Tahoma"/>
          <w:bCs/>
          <w:i/>
          <w:sz w:val="23"/>
          <w:szCs w:val="23"/>
          <w:lang w:val="es-419"/>
        </w:rPr>
      </w:pPr>
    </w:p>
    <w:p w14:paraId="59C58F7F" w14:textId="77777777" w:rsidR="00C64872" w:rsidRPr="000B29C4" w:rsidRDefault="00BC4846" w:rsidP="009E08B2">
      <w:pPr>
        <w:spacing w:line="276" w:lineRule="auto"/>
        <w:ind w:firstLine="708"/>
        <w:jc w:val="both"/>
        <w:rPr>
          <w:rFonts w:ascii="Arial Narrow" w:hAnsi="Arial Narrow" w:cs="Bookman Old Style"/>
          <w:bCs/>
          <w:i/>
          <w:sz w:val="23"/>
          <w:szCs w:val="23"/>
          <w:lang w:val="es-419"/>
        </w:rPr>
      </w:pPr>
      <w:r w:rsidRPr="000B29C4">
        <w:rPr>
          <w:rFonts w:ascii="Tahoma" w:hAnsi="Tahoma" w:cs="Tahoma"/>
          <w:b/>
          <w:bCs/>
          <w:sz w:val="23"/>
          <w:szCs w:val="23"/>
          <w:lang w:val="es-419"/>
        </w:rPr>
        <w:t xml:space="preserve">2) </w:t>
      </w:r>
      <w:r w:rsidRPr="000B29C4">
        <w:rPr>
          <w:rFonts w:ascii="Tahoma" w:hAnsi="Tahoma" w:cs="Tahoma"/>
          <w:bCs/>
          <w:sz w:val="23"/>
          <w:szCs w:val="23"/>
          <w:lang w:val="es-419"/>
        </w:rPr>
        <w:t xml:space="preserve">Cuando el demandado es una entidad pública, </w:t>
      </w:r>
      <w:r w:rsidR="009E08B2" w:rsidRPr="000B29C4">
        <w:rPr>
          <w:rFonts w:ascii="Tahoma" w:hAnsi="Tahoma" w:cs="Tahoma"/>
          <w:bCs/>
          <w:sz w:val="23"/>
          <w:szCs w:val="23"/>
          <w:lang w:val="es-419"/>
        </w:rPr>
        <w:t xml:space="preserve">manda el parágrafo del artículo 41 del C.P.T. y de la S.S., que se aplica preferentemente a otras normas, que </w:t>
      </w:r>
      <w:r w:rsidR="009E08B2" w:rsidRPr="000B29C4">
        <w:rPr>
          <w:rFonts w:ascii="Arial Narrow" w:hAnsi="Arial Narrow" w:cs="Tahoma"/>
          <w:bCs/>
          <w:i/>
          <w:sz w:val="23"/>
          <w:szCs w:val="23"/>
          <w:lang w:val="es-419"/>
        </w:rPr>
        <w:t xml:space="preserve">“el auto admisorio de la demanda se debe notificar personalmente a sus representantes legales o a quien estos hayan delegado para recibir notificaciones” </w:t>
      </w:r>
      <w:r w:rsidR="009E08B2" w:rsidRPr="000B29C4">
        <w:rPr>
          <w:rFonts w:ascii="Tahoma" w:hAnsi="Tahoma" w:cs="Tahoma"/>
          <w:bCs/>
          <w:sz w:val="23"/>
          <w:szCs w:val="23"/>
          <w:lang w:val="es-419"/>
        </w:rPr>
        <w:t>y se previene, que</w:t>
      </w:r>
      <w:r w:rsidR="009E08B2" w:rsidRPr="000B29C4">
        <w:rPr>
          <w:rFonts w:ascii="Bookman Old Style" w:hAnsi="Bookman Old Style" w:cs="Bookman Old Style"/>
          <w:bCs/>
          <w:sz w:val="23"/>
          <w:szCs w:val="23"/>
          <w:lang w:val="es-419"/>
        </w:rPr>
        <w:t xml:space="preserve"> </w:t>
      </w:r>
      <w:r w:rsidR="009E08B2" w:rsidRPr="000B29C4">
        <w:rPr>
          <w:rFonts w:ascii="Arial Narrow" w:hAnsi="Arial Narrow" w:cs="Bookman Old Style"/>
          <w:bCs/>
          <w:i/>
          <w:sz w:val="23"/>
          <w:szCs w:val="23"/>
          <w:lang w:val="es-419"/>
        </w:rPr>
        <w:t>“si la persona a quien deba hacerse la notificación o su delegado, no se encontrare o no pudiere, por cualquier motivo recibir la notificación, esta se practicará mediante entrega que el notificador haga al secretario general de la entidad o en la oficina receptora de correspondencia, de la copia auténtica de la demanda, del auto admisorio y del aviso”.</w:t>
      </w:r>
    </w:p>
    <w:p w14:paraId="0B1ED847" w14:textId="77777777" w:rsidR="00C64872" w:rsidRPr="000B29C4" w:rsidRDefault="00C64872" w:rsidP="007B2526">
      <w:pPr>
        <w:ind w:firstLine="708"/>
        <w:jc w:val="both"/>
        <w:rPr>
          <w:rFonts w:ascii="Arial Narrow" w:hAnsi="Arial Narrow" w:cs="Bookman Old Style"/>
          <w:bCs/>
          <w:i/>
          <w:sz w:val="23"/>
          <w:szCs w:val="23"/>
          <w:lang w:val="es-419"/>
        </w:rPr>
      </w:pPr>
    </w:p>
    <w:p w14:paraId="10E68A5B" w14:textId="0C7867F0" w:rsidR="00976EE7" w:rsidRPr="000B29C4" w:rsidRDefault="00C64872" w:rsidP="008C7011">
      <w:pPr>
        <w:spacing w:line="276" w:lineRule="auto"/>
        <w:ind w:firstLine="708"/>
        <w:jc w:val="both"/>
        <w:rPr>
          <w:rFonts w:ascii="Arial Narrow" w:hAnsi="Arial Narrow" w:cs="Arial"/>
          <w:i/>
          <w:sz w:val="23"/>
          <w:szCs w:val="23"/>
          <w:lang w:val="es-419"/>
        </w:rPr>
      </w:pPr>
      <w:r w:rsidRPr="000B29C4">
        <w:rPr>
          <w:rFonts w:ascii="Tahoma" w:hAnsi="Tahoma" w:cs="Tahoma"/>
          <w:b/>
          <w:bCs/>
          <w:sz w:val="23"/>
          <w:szCs w:val="23"/>
          <w:lang w:val="es-419"/>
        </w:rPr>
        <w:t xml:space="preserve">3) </w:t>
      </w:r>
      <w:r w:rsidR="004768D6" w:rsidRPr="000B29C4">
        <w:rPr>
          <w:rFonts w:ascii="Tahoma" w:hAnsi="Tahoma" w:cs="Tahoma"/>
          <w:bCs/>
          <w:sz w:val="23"/>
          <w:szCs w:val="23"/>
          <w:lang w:val="es-419"/>
        </w:rPr>
        <w:t>Como quiera que la práctica de</w:t>
      </w:r>
      <w:r w:rsidRPr="000B29C4">
        <w:rPr>
          <w:rFonts w:ascii="Tahoma" w:hAnsi="Tahoma" w:cs="Tahoma"/>
          <w:bCs/>
          <w:sz w:val="23"/>
          <w:szCs w:val="23"/>
          <w:lang w:val="es-419"/>
        </w:rPr>
        <w:t xml:space="preserve"> notificación personal</w:t>
      </w:r>
      <w:r w:rsidR="004768D6" w:rsidRPr="000B29C4">
        <w:rPr>
          <w:rFonts w:ascii="Tahoma" w:hAnsi="Tahoma" w:cs="Tahoma"/>
          <w:bCs/>
          <w:sz w:val="23"/>
          <w:szCs w:val="23"/>
          <w:lang w:val="es-419"/>
        </w:rPr>
        <w:t xml:space="preserve"> no tiene regulación propia en el C.P.T. y de la S.S., resulta necesario remitirse al artículo 291 del C.G.P., que establece, en su numeral 1), que </w:t>
      </w:r>
      <w:r w:rsidR="004768D6" w:rsidRPr="000B29C4">
        <w:rPr>
          <w:rFonts w:ascii="Arial Narrow" w:hAnsi="Arial Narrow" w:cs="Tahoma"/>
          <w:bCs/>
          <w:i/>
          <w:sz w:val="23"/>
          <w:szCs w:val="23"/>
          <w:lang w:val="es-419"/>
        </w:rPr>
        <w:t>“las entidades públicas se notificaran personalmente en la forma prevista en el artículo 612”</w:t>
      </w:r>
      <w:r w:rsidR="004768D6" w:rsidRPr="000B29C4">
        <w:rPr>
          <w:rFonts w:ascii="Tahoma" w:hAnsi="Tahoma" w:cs="Tahoma"/>
          <w:bCs/>
          <w:sz w:val="23"/>
          <w:szCs w:val="23"/>
          <w:lang w:val="es-419"/>
        </w:rPr>
        <w:t>, norma que</w:t>
      </w:r>
      <w:r w:rsidR="00413EA5" w:rsidRPr="000B29C4">
        <w:rPr>
          <w:rFonts w:ascii="Tahoma" w:hAnsi="Tahoma" w:cs="Tahoma"/>
          <w:bCs/>
          <w:sz w:val="23"/>
          <w:szCs w:val="23"/>
          <w:lang w:val="es-419"/>
        </w:rPr>
        <w:t xml:space="preserve"> a su vez</w:t>
      </w:r>
      <w:r w:rsidR="004768D6" w:rsidRPr="000B29C4">
        <w:rPr>
          <w:rFonts w:ascii="Tahoma" w:hAnsi="Tahoma" w:cs="Tahoma"/>
          <w:bCs/>
          <w:sz w:val="23"/>
          <w:szCs w:val="23"/>
          <w:lang w:val="es-419"/>
        </w:rPr>
        <w:t xml:space="preserve"> preceptúa, al tenor: </w:t>
      </w:r>
      <w:r w:rsidR="004768D6" w:rsidRPr="000B29C4">
        <w:rPr>
          <w:rFonts w:ascii="Arial Narrow" w:hAnsi="Arial Narrow" w:cs="Tahoma"/>
          <w:bCs/>
          <w:i/>
          <w:sz w:val="23"/>
          <w:szCs w:val="23"/>
          <w:lang w:val="es-419"/>
        </w:rPr>
        <w:t>“</w:t>
      </w:r>
      <w:r w:rsidR="004768D6" w:rsidRPr="000B29C4">
        <w:rPr>
          <w:rStyle w:val="iaj"/>
          <w:rFonts w:ascii="Arial Narrow" w:hAnsi="Arial Narrow" w:cs="Arial"/>
          <w:b/>
          <w:i/>
          <w:iCs/>
          <w:sz w:val="23"/>
          <w:szCs w:val="23"/>
          <w:lang w:val="es-419"/>
        </w:rPr>
        <w:t>Notificación personal del auto admisorio y del mandamiento de pago a entidades públicas, al Ministerio Público, a personas privadas que ejerzan funciones públicas y a particulares que deban estar inscritos en el registro mercantil</w:t>
      </w:r>
      <w:r w:rsidR="004768D6" w:rsidRPr="000B29C4">
        <w:rPr>
          <w:rFonts w:ascii="Arial Narrow" w:hAnsi="Arial Narrow" w:cs="Arial"/>
          <w:b/>
          <w:i/>
          <w:sz w:val="23"/>
          <w:szCs w:val="23"/>
          <w:lang w:val="es-419"/>
        </w:rPr>
        <w:t>.</w:t>
      </w:r>
      <w:r w:rsidR="004768D6" w:rsidRPr="000B29C4">
        <w:rPr>
          <w:rFonts w:ascii="Arial Narrow" w:hAnsi="Arial Narrow" w:cs="Arial"/>
          <w:i/>
          <w:sz w:val="23"/>
          <w:szCs w:val="23"/>
          <w:lang w:val="es-419"/>
        </w:rPr>
        <w:t xml:space="preserve"> El auto admisorio de la demanda y el mandamiento de pago contra las entidades públicas y las personas privadas que ejerzan funciones propias del Estado se deben notificar personalmente a sus representantes legales o a quienes estos hayan delegado la facultad de recibir notificaciones, o directamente a las personas naturales, según el caso, y al Ministerio Público, mediante mensaje dirigido al buzón electrónico para notificaciones judiciales a que se refiere el artículo </w:t>
      </w:r>
      <w:hyperlink r:id="rId7" w:anchor="197" w:history="1">
        <w:r w:rsidR="004768D6" w:rsidRPr="000B29C4">
          <w:rPr>
            <w:rStyle w:val="Hipervnculo"/>
            <w:rFonts w:ascii="Arial Narrow" w:hAnsi="Arial Narrow" w:cs="Arial"/>
            <w:i/>
            <w:color w:val="auto"/>
            <w:sz w:val="23"/>
            <w:szCs w:val="23"/>
            <w:u w:val="none"/>
            <w:lang w:val="es-419"/>
          </w:rPr>
          <w:t>197</w:t>
        </w:r>
      </w:hyperlink>
      <w:r w:rsidR="004768D6" w:rsidRPr="000B29C4">
        <w:rPr>
          <w:rFonts w:ascii="Arial Narrow" w:hAnsi="Arial Narrow" w:cs="Arial"/>
          <w:i/>
          <w:sz w:val="23"/>
          <w:szCs w:val="23"/>
          <w:lang w:val="es-419"/>
        </w:rPr>
        <w:t> de este código”</w:t>
      </w:r>
      <w:r w:rsidR="00413EA5" w:rsidRPr="000B29C4">
        <w:rPr>
          <w:rFonts w:ascii="Arial Narrow" w:hAnsi="Arial Narrow" w:cs="Arial"/>
          <w:i/>
          <w:sz w:val="23"/>
          <w:szCs w:val="23"/>
          <w:lang w:val="es-419"/>
        </w:rPr>
        <w:t xml:space="preserve"> </w:t>
      </w:r>
      <w:r w:rsidR="004768D6" w:rsidRPr="000B29C4">
        <w:rPr>
          <w:rFonts w:ascii="Arial" w:hAnsi="Arial" w:cs="Arial"/>
          <w:i/>
          <w:sz w:val="23"/>
          <w:szCs w:val="23"/>
          <w:lang w:val="es-419"/>
        </w:rPr>
        <w:t>(…)</w:t>
      </w:r>
      <w:r w:rsidR="00413EA5" w:rsidRPr="000B29C4">
        <w:rPr>
          <w:rFonts w:ascii="Arial" w:hAnsi="Arial" w:cs="Arial"/>
          <w:i/>
          <w:sz w:val="23"/>
          <w:szCs w:val="23"/>
          <w:lang w:val="es-419"/>
        </w:rPr>
        <w:t xml:space="preserve"> </w:t>
      </w:r>
      <w:r w:rsidR="004768D6" w:rsidRPr="000B29C4">
        <w:rPr>
          <w:rFonts w:ascii="Arial Narrow" w:hAnsi="Arial Narrow" w:cs="Arial"/>
          <w:i/>
          <w:sz w:val="23"/>
          <w:szCs w:val="23"/>
          <w:lang w:val="es-419"/>
        </w:rPr>
        <w:t>El mensaje deberá identificar la notificación que se realiza y contener copia de la providencia a notificar y de la demanda.</w:t>
      </w:r>
      <w:r w:rsidR="00413EA5" w:rsidRPr="000B29C4">
        <w:rPr>
          <w:rFonts w:ascii="Arial Narrow" w:hAnsi="Arial Narrow" w:cs="Arial"/>
          <w:i/>
          <w:sz w:val="23"/>
          <w:szCs w:val="23"/>
          <w:lang w:val="es-419"/>
        </w:rPr>
        <w:t xml:space="preserve"> </w:t>
      </w:r>
      <w:r w:rsidR="004768D6" w:rsidRPr="000B29C4">
        <w:rPr>
          <w:rFonts w:ascii="Arial Narrow" w:hAnsi="Arial Narrow" w:cs="Arial"/>
          <w:i/>
          <w:sz w:val="23"/>
          <w:szCs w:val="23"/>
          <w:lang w:val="es-419"/>
        </w:rPr>
        <w:t>Se presumirá que el destinatario ha recibido la notificación cuando el iniciador recepcione acuse de recibo o se pueda por otro medio constatar el acceso del destinatario al mensaje. El secretario hará constar este hecho en el expediente.</w:t>
      </w:r>
      <w:r w:rsidR="00413EA5" w:rsidRPr="000B29C4">
        <w:rPr>
          <w:rFonts w:ascii="Arial Narrow" w:hAnsi="Arial Narrow" w:cs="Arial"/>
          <w:i/>
          <w:sz w:val="23"/>
          <w:szCs w:val="23"/>
          <w:lang w:val="es-419"/>
        </w:rPr>
        <w:t xml:space="preserve"> </w:t>
      </w:r>
      <w:r w:rsidR="004768D6" w:rsidRPr="000B29C4">
        <w:rPr>
          <w:rFonts w:ascii="Arial Narrow" w:hAnsi="Arial Narrow" w:cs="Arial"/>
          <w:i/>
          <w:sz w:val="23"/>
          <w:szCs w:val="23"/>
          <w:lang w:val="es-419"/>
        </w:rPr>
        <w:t>En este evento, las copias de la demanda y de sus anexos quedarán en la secretaría a disposición del notificado y el traslado o los términos que conceda el auto notificado, sólo comenzarán a correr al vencimiento del término común de veinticinco (25) días después de surtida la última notificación. Deberá remitirse de manera inmediata y a través del servicio postal autorizado, copia de la demanda, de sus anexos y del auto admisorio, sin perjuicio de las copias que deban quedar en el expediente a su disposición de conformidad con lo establecido en este inciso.</w:t>
      </w:r>
    </w:p>
    <w:p w14:paraId="2D302832" w14:textId="77777777" w:rsidR="00345C4F" w:rsidRPr="000B29C4" w:rsidRDefault="00345C4F" w:rsidP="008C7011">
      <w:pPr>
        <w:spacing w:line="276" w:lineRule="auto"/>
        <w:ind w:firstLine="708"/>
        <w:jc w:val="both"/>
        <w:rPr>
          <w:rFonts w:ascii="Arial Narrow" w:hAnsi="Arial Narrow" w:cs="Arial"/>
          <w:i/>
          <w:sz w:val="23"/>
          <w:szCs w:val="23"/>
          <w:lang w:val="es-419"/>
        </w:rPr>
      </w:pPr>
    </w:p>
    <w:p w14:paraId="77567D67" w14:textId="77777777" w:rsidR="00C22162" w:rsidRPr="000B29C4" w:rsidRDefault="00976EE7" w:rsidP="00A3209E">
      <w:pPr>
        <w:spacing w:line="276" w:lineRule="auto"/>
        <w:ind w:right="-91" w:firstLine="708"/>
        <w:jc w:val="both"/>
        <w:rPr>
          <w:rFonts w:ascii="Tahoma" w:hAnsi="Tahoma" w:cs="Tahoma"/>
          <w:bCs/>
          <w:sz w:val="23"/>
          <w:szCs w:val="23"/>
          <w:lang w:val="es-419"/>
        </w:rPr>
      </w:pPr>
      <w:r w:rsidRPr="000B29C4">
        <w:rPr>
          <w:rFonts w:ascii="Tahoma" w:hAnsi="Tahoma" w:cs="Tahoma"/>
          <w:b/>
          <w:sz w:val="23"/>
          <w:szCs w:val="23"/>
          <w:lang w:val="es-419"/>
        </w:rPr>
        <w:t xml:space="preserve">4) </w:t>
      </w:r>
      <w:r w:rsidRPr="000B29C4">
        <w:rPr>
          <w:rFonts w:ascii="Tahoma" w:hAnsi="Tahoma" w:cs="Tahoma"/>
          <w:sz w:val="23"/>
          <w:szCs w:val="23"/>
          <w:lang w:val="es-419"/>
        </w:rPr>
        <w:t>Con su</w:t>
      </w:r>
      <w:r w:rsidR="00413EA5" w:rsidRPr="000B29C4">
        <w:rPr>
          <w:rFonts w:ascii="Tahoma" w:hAnsi="Tahoma" w:cs="Tahoma"/>
          <w:sz w:val="23"/>
          <w:szCs w:val="23"/>
          <w:lang w:val="es-419"/>
        </w:rPr>
        <w:t xml:space="preserve">stento en lo anterior, </w:t>
      </w:r>
      <w:r w:rsidR="00A3209E" w:rsidRPr="000B29C4">
        <w:rPr>
          <w:rFonts w:ascii="Tahoma" w:hAnsi="Tahoma" w:cs="Tahoma"/>
          <w:sz w:val="23"/>
          <w:szCs w:val="23"/>
          <w:lang w:val="es-419"/>
        </w:rPr>
        <w:t xml:space="preserve">la apelante </w:t>
      </w:r>
      <w:r w:rsidR="00413EA5" w:rsidRPr="000B29C4">
        <w:rPr>
          <w:rFonts w:ascii="Tahoma" w:hAnsi="Tahoma" w:cs="Tahoma"/>
          <w:sz w:val="23"/>
          <w:szCs w:val="23"/>
          <w:lang w:val="es-419"/>
        </w:rPr>
        <w:t xml:space="preserve">concluyó que es indebido e ilegal que con la sola presentación del poder se tenga por notificado al ente territorial, cuando era evidente que nunca se surtió la notificación en debida forma, pues </w:t>
      </w:r>
      <w:r w:rsidR="00A3209E" w:rsidRPr="000B29C4">
        <w:rPr>
          <w:rFonts w:ascii="Tahoma" w:hAnsi="Tahoma" w:cs="Tahoma"/>
          <w:b/>
          <w:sz w:val="23"/>
          <w:szCs w:val="23"/>
          <w:lang w:val="es-419"/>
        </w:rPr>
        <w:t>a)</w:t>
      </w:r>
      <w:r w:rsidR="00A3209E" w:rsidRPr="000B29C4">
        <w:rPr>
          <w:rFonts w:ascii="Tahoma" w:hAnsi="Tahoma" w:cs="Tahoma"/>
          <w:sz w:val="23"/>
          <w:szCs w:val="23"/>
          <w:lang w:val="es-419"/>
        </w:rPr>
        <w:t xml:space="preserve"> </w:t>
      </w:r>
      <w:r w:rsidR="00413EA5" w:rsidRPr="000B29C4">
        <w:rPr>
          <w:rFonts w:ascii="Tahoma" w:hAnsi="Tahoma" w:cs="Tahoma"/>
          <w:sz w:val="23"/>
          <w:szCs w:val="23"/>
          <w:lang w:val="es-419"/>
        </w:rPr>
        <w:t>la citación y el aviso fue</w:t>
      </w:r>
      <w:r w:rsidR="00A3209E" w:rsidRPr="000B29C4">
        <w:rPr>
          <w:rFonts w:ascii="Tahoma" w:hAnsi="Tahoma" w:cs="Tahoma"/>
          <w:sz w:val="23"/>
          <w:szCs w:val="23"/>
          <w:lang w:val="es-419"/>
        </w:rPr>
        <w:t>ron</w:t>
      </w:r>
      <w:r w:rsidR="00413EA5" w:rsidRPr="000B29C4">
        <w:rPr>
          <w:rFonts w:ascii="Tahoma" w:hAnsi="Tahoma" w:cs="Tahoma"/>
          <w:sz w:val="23"/>
          <w:szCs w:val="23"/>
          <w:lang w:val="es-419"/>
        </w:rPr>
        <w:t xml:space="preserve"> entregada</w:t>
      </w:r>
      <w:r w:rsidR="00A3209E" w:rsidRPr="000B29C4">
        <w:rPr>
          <w:rFonts w:ascii="Tahoma" w:hAnsi="Tahoma" w:cs="Tahoma"/>
          <w:sz w:val="23"/>
          <w:szCs w:val="23"/>
          <w:lang w:val="es-419"/>
        </w:rPr>
        <w:t>s</w:t>
      </w:r>
      <w:r w:rsidR="00413EA5" w:rsidRPr="000B29C4">
        <w:rPr>
          <w:rFonts w:ascii="Tahoma" w:hAnsi="Tahoma" w:cs="Tahoma"/>
          <w:sz w:val="23"/>
          <w:szCs w:val="23"/>
          <w:lang w:val="es-419"/>
        </w:rPr>
        <w:t xml:space="preserve"> en la oficina de correspondencia de la entidad, por lo que, de conformidad con los cánones normativos antes relacionados, debió haberse surtido la entrega correspondiente de </w:t>
      </w:r>
      <w:r w:rsidR="00413EA5" w:rsidRPr="000B29C4">
        <w:rPr>
          <w:rFonts w:ascii="Arial Narrow" w:hAnsi="Arial Narrow" w:cs="Tahoma"/>
          <w:i/>
          <w:sz w:val="23"/>
          <w:szCs w:val="23"/>
          <w:lang w:val="es-419"/>
        </w:rPr>
        <w:t>“copia auténtica de la demanda, del auto admisorio y del aviso”</w:t>
      </w:r>
      <w:r w:rsidR="00A3209E" w:rsidRPr="000B29C4">
        <w:rPr>
          <w:rFonts w:ascii="Arial Narrow" w:hAnsi="Arial Narrow" w:cs="Tahoma"/>
          <w:sz w:val="23"/>
          <w:szCs w:val="23"/>
          <w:lang w:val="es-419"/>
        </w:rPr>
        <w:t xml:space="preserve"> </w:t>
      </w:r>
      <w:r w:rsidR="00A3209E" w:rsidRPr="000B29C4">
        <w:rPr>
          <w:rFonts w:ascii="Tahoma" w:hAnsi="Tahoma" w:cs="Tahoma"/>
          <w:sz w:val="23"/>
          <w:szCs w:val="23"/>
          <w:lang w:val="es-419"/>
        </w:rPr>
        <w:t xml:space="preserve">y </w:t>
      </w:r>
      <w:r w:rsidR="00A3209E" w:rsidRPr="000B29C4">
        <w:rPr>
          <w:rFonts w:ascii="Tahoma" w:hAnsi="Tahoma" w:cs="Tahoma"/>
          <w:b/>
          <w:sz w:val="23"/>
          <w:szCs w:val="23"/>
          <w:lang w:val="es-419"/>
        </w:rPr>
        <w:t xml:space="preserve">b) </w:t>
      </w:r>
      <w:r w:rsidR="00A3209E" w:rsidRPr="000B29C4">
        <w:rPr>
          <w:rFonts w:ascii="Tahoma" w:hAnsi="Tahoma" w:cs="Tahoma"/>
          <w:sz w:val="23"/>
          <w:szCs w:val="23"/>
          <w:lang w:val="es-419"/>
        </w:rPr>
        <w:t>n</w:t>
      </w:r>
      <w:r w:rsidR="00A3209E" w:rsidRPr="000B29C4">
        <w:rPr>
          <w:rFonts w:ascii="Tahoma" w:hAnsi="Tahoma" w:cs="Tahoma"/>
          <w:bCs/>
          <w:sz w:val="23"/>
          <w:szCs w:val="23"/>
          <w:lang w:val="es-419"/>
        </w:rPr>
        <w:t>o se remitió mensaje dirigido al buzón electrónico para notificaciones judiciales de la entidad, tal como lo ordena el artículo 612 del C.G.P., norma que ha de aplicarse en cualquier especialidad de no encontrarse alguna que regule de manera distinta el asunto.</w:t>
      </w:r>
    </w:p>
    <w:p w14:paraId="4C15C909" w14:textId="77777777" w:rsidR="00A3209E" w:rsidRPr="000B29C4" w:rsidRDefault="00A3209E" w:rsidP="007B2526">
      <w:pPr>
        <w:ind w:right="-91" w:firstLine="708"/>
        <w:jc w:val="both"/>
        <w:rPr>
          <w:rFonts w:ascii="Tahoma" w:hAnsi="Tahoma" w:cs="Tahoma"/>
          <w:bCs/>
          <w:sz w:val="23"/>
          <w:szCs w:val="23"/>
          <w:lang w:val="es-419"/>
        </w:rPr>
      </w:pPr>
    </w:p>
    <w:p w14:paraId="7ACE3868" w14:textId="417F31F2" w:rsidR="00A3209E" w:rsidRPr="000B29C4" w:rsidRDefault="00A3209E" w:rsidP="00A3209E">
      <w:pPr>
        <w:spacing w:line="276" w:lineRule="auto"/>
        <w:ind w:right="-91" w:firstLine="708"/>
        <w:jc w:val="both"/>
        <w:rPr>
          <w:rFonts w:ascii="Tahoma" w:hAnsi="Tahoma" w:cs="Tahoma"/>
          <w:b/>
          <w:sz w:val="23"/>
          <w:szCs w:val="23"/>
          <w:lang w:val="es-419"/>
        </w:rPr>
      </w:pPr>
      <w:r w:rsidRPr="000B29C4">
        <w:rPr>
          <w:rFonts w:ascii="Tahoma" w:hAnsi="Tahoma" w:cs="Tahoma"/>
          <w:b/>
          <w:bCs/>
          <w:sz w:val="23"/>
          <w:szCs w:val="23"/>
          <w:lang w:val="es-419"/>
        </w:rPr>
        <w:lastRenderedPageBreak/>
        <w:t>5)</w:t>
      </w:r>
      <w:r w:rsidRPr="000B29C4">
        <w:rPr>
          <w:rFonts w:ascii="Tahoma" w:hAnsi="Tahoma" w:cs="Tahoma"/>
          <w:bCs/>
          <w:sz w:val="23"/>
          <w:szCs w:val="23"/>
          <w:lang w:val="es-419"/>
        </w:rPr>
        <w:t xml:space="preserve"> Aparte de lo anterior, indicó que resulta obligatorio que en procesos donde se demanda a una entidad pública, se notifique personalmente el auto admisorio de la misma al </w:t>
      </w:r>
      <w:r w:rsidRPr="000B29C4">
        <w:rPr>
          <w:rFonts w:ascii="Tahoma" w:hAnsi="Tahoma" w:cs="Tahoma"/>
          <w:b/>
          <w:bCs/>
          <w:sz w:val="23"/>
          <w:szCs w:val="23"/>
          <w:lang w:val="es-419"/>
        </w:rPr>
        <w:t>MINISTERIO PÚBLICO</w:t>
      </w:r>
      <w:r w:rsidRPr="000B29C4">
        <w:rPr>
          <w:rFonts w:ascii="Tahoma" w:hAnsi="Tahoma" w:cs="Tahoma"/>
          <w:bCs/>
          <w:sz w:val="23"/>
          <w:szCs w:val="23"/>
          <w:lang w:val="es-419"/>
        </w:rPr>
        <w:t xml:space="preserve"> y a la </w:t>
      </w:r>
      <w:r w:rsidRPr="000B29C4">
        <w:rPr>
          <w:rFonts w:ascii="Tahoma" w:hAnsi="Tahoma" w:cs="Tahoma"/>
          <w:b/>
          <w:bCs/>
          <w:sz w:val="23"/>
          <w:szCs w:val="23"/>
          <w:lang w:val="es-419"/>
        </w:rPr>
        <w:t xml:space="preserve">AGENCIA NACIONAL DE DEFENSA </w:t>
      </w:r>
      <w:r w:rsidR="000B29C4" w:rsidRPr="000B29C4">
        <w:rPr>
          <w:rFonts w:ascii="Tahoma" w:hAnsi="Tahoma" w:cs="Tahoma"/>
          <w:b/>
          <w:bCs/>
          <w:sz w:val="23"/>
          <w:szCs w:val="23"/>
          <w:lang w:val="es-419"/>
        </w:rPr>
        <w:t>JURÍDICA</w:t>
      </w:r>
      <w:r w:rsidRPr="000B29C4">
        <w:rPr>
          <w:rFonts w:ascii="Tahoma" w:hAnsi="Tahoma" w:cs="Tahoma"/>
          <w:b/>
          <w:bCs/>
          <w:sz w:val="23"/>
          <w:szCs w:val="23"/>
          <w:lang w:val="es-419"/>
        </w:rPr>
        <w:t xml:space="preserve"> DEL ESTADO</w:t>
      </w:r>
      <w:r w:rsidRPr="000B29C4">
        <w:rPr>
          <w:rFonts w:ascii="Tahoma" w:hAnsi="Tahoma" w:cs="Tahoma"/>
          <w:bCs/>
          <w:sz w:val="23"/>
          <w:szCs w:val="23"/>
          <w:lang w:val="es-419"/>
        </w:rPr>
        <w:t xml:space="preserve">, situación que se echa de menos en el infolio, </w:t>
      </w:r>
      <w:r w:rsidR="003A6C20" w:rsidRPr="000B29C4">
        <w:rPr>
          <w:rFonts w:ascii="Arial Narrow" w:hAnsi="Arial Narrow" w:cs="Tahoma"/>
          <w:bCs/>
          <w:i/>
          <w:sz w:val="23"/>
          <w:szCs w:val="23"/>
          <w:lang w:val="es-419"/>
        </w:rPr>
        <w:t>“</w:t>
      </w:r>
      <w:r w:rsidRPr="000B29C4">
        <w:rPr>
          <w:rFonts w:ascii="Arial Narrow" w:hAnsi="Arial Narrow" w:cs="Tahoma"/>
          <w:bCs/>
          <w:i/>
          <w:sz w:val="23"/>
          <w:szCs w:val="23"/>
          <w:lang w:val="es-419"/>
        </w:rPr>
        <w:t>pues ninguna constancia se observa al respecto y tampoco fue ordenado para su práctica en el auto admisorio de la demanda, situaciones que conllevan de manera irrestricta y legal a la nulidad advertida”.</w:t>
      </w:r>
    </w:p>
    <w:p w14:paraId="5456DB53" w14:textId="77777777" w:rsidR="00C22162" w:rsidRPr="000B29C4" w:rsidRDefault="00C22162" w:rsidP="007B2526">
      <w:pPr>
        <w:ind w:firstLine="709"/>
        <w:jc w:val="both"/>
        <w:rPr>
          <w:rFonts w:ascii="Bookman Old Style" w:hAnsi="Bookman Old Style" w:cs="Bookman Old Style"/>
          <w:bCs/>
          <w:sz w:val="23"/>
          <w:szCs w:val="23"/>
          <w:lang w:val="es-419"/>
        </w:rPr>
      </w:pPr>
    </w:p>
    <w:p w14:paraId="2328EE93" w14:textId="77777777" w:rsidR="003A6C20" w:rsidRPr="000B29C4" w:rsidRDefault="00157C6F" w:rsidP="00157C6F">
      <w:pPr>
        <w:spacing w:line="276" w:lineRule="auto"/>
        <w:jc w:val="center"/>
        <w:rPr>
          <w:rFonts w:ascii="Tahoma" w:hAnsi="Tahoma" w:cs="Tahoma"/>
          <w:b/>
          <w:bCs/>
          <w:sz w:val="23"/>
          <w:szCs w:val="23"/>
          <w:lang w:val="es-419"/>
        </w:rPr>
      </w:pPr>
      <w:r w:rsidRPr="000B29C4">
        <w:rPr>
          <w:rFonts w:ascii="Tahoma" w:hAnsi="Tahoma" w:cs="Tahoma"/>
          <w:b/>
          <w:bCs/>
          <w:sz w:val="23"/>
          <w:szCs w:val="23"/>
          <w:lang w:val="es-419"/>
        </w:rPr>
        <w:t xml:space="preserve">1.3. </w:t>
      </w:r>
      <w:r w:rsidR="003A6C20" w:rsidRPr="000B29C4">
        <w:rPr>
          <w:rFonts w:ascii="Tahoma" w:hAnsi="Tahoma" w:cs="Tahoma"/>
          <w:b/>
          <w:bCs/>
          <w:sz w:val="23"/>
          <w:szCs w:val="23"/>
          <w:lang w:val="es-419"/>
        </w:rPr>
        <w:t>TRASLADO DE LA NULIDAD</w:t>
      </w:r>
    </w:p>
    <w:p w14:paraId="745534B2" w14:textId="77777777" w:rsidR="003A6C20" w:rsidRPr="000B29C4" w:rsidRDefault="003A6C20" w:rsidP="007B2526">
      <w:pPr>
        <w:ind w:firstLine="709"/>
        <w:jc w:val="both"/>
        <w:rPr>
          <w:rFonts w:ascii="Bookman Old Style" w:hAnsi="Bookman Old Style" w:cs="Bookman Old Style"/>
          <w:bCs/>
          <w:sz w:val="23"/>
          <w:szCs w:val="23"/>
          <w:lang w:val="es-419"/>
        </w:rPr>
      </w:pPr>
    </w:p>
    <w:p w14:paraId="03D392D2" w14:textId="77777777" w:rsidR="00295B94" w:rsidRPr="000B29C4" w:rsidRDefault="003A6C20" w:rsidP="003A6C20">
      <w:pPr>
        <w:spacing w:line="276" w:lineRule="auto"/>
        <w:ind w:firstLine="709"/>
        <w:jc w:val="both"/>
        <w:rPr>
          <w:rFonts w:ascii="Tahoma" w:hAnsi="Tahoma" w:cs="Tahoma"/>
          <w:bCs/>
          <w:sz w:val="23"/>
          <w:szCs w:val="23"/>
          <w:lang w:val="es-419"/>
        </w:rPr>
      </w:pPr>
      <w:r w:rsidRPr="000B29C4">
        <w:rPr>
          <w:rFonts w:ascii="Tahoma" w:hAnsi="Tahoma" w:cs="Tahoma"/>
          <w:bCs/>
          <w:sz w:val="23"/>
          <w:szCs w:val="23"/>
          <w:lang w:val="es-419"/>
        </w:rPr>
        <w:t>De la nulidad alegada se corrió traslado al demandante por tres (3) días (Fl. 37), término dentro del cual se opuso a su declaración, puesto que, en síntesis, la apoderada judicial de la entidad demandada tuvo a su disposición la copia de la demanda y sus anexos desde el mismo momento en que se le reconoció personería jurídica y se la tuvo</w:t>
      </w:r>
      <w:r w:rsidR="00295B94" w:rsidRPr="000B29C4">
        <w:rPr>
          <w:rFonts w:ascii="Tahoma" w:hAnsi="Tahoma" w:cs="Tahoma"/>
          <w:bCs/>
          <w:sz w:val="23"/>
          <w:szCs w:val="23"/>
          <w:lang w:val="es-419"/>
        </w:rPr>
        <w:t xml:space="preserve"> como</w:t>
      </w:r>
      <w:r w:rsidRPr="000B29C4">
        <w:rPr>
          <w:rFonts w:ascii="Tahoma" w:hAnsi="Tahoma" w:cs="Tahoma"/>
          <w:bCs/>
          <w:sz w:val="23"/>
          <w:szCs w:val="23"/>
          <w:lang w:val="es-419"/>
        </w:rPr>
        <w:t xml:space="preserve"> notificada por conducta concluyente. Además, la nulidad se radicó el 26 de febrero de 2019, es decir, aproximadamente 13 días después del vencimiento del término que tenía el municipio para contestar la demanda, po</w:t>
      </w:r>
      <w:r w:rsidR="00295B94" w:rsidRPr="000B29C4">
        <w:rPr>
          <w:rFonts w:ascii="Tahoma" w:hAnsi="Tahoma" w:cs="Tahoma"/>
          <w:bCs/>
          <w:sz w:val="23"/>
          <w:szCs w:val="23"/>
          <w:lang w:val="es-419"/>
        </w:rPr>
        <w:t>r lo que es evidente que la finalidad del incidente es revivir un término ya fenecido, y, por último, la vinculación al proceso de la Agencia Nacional de Defensa Jurídica del Estado y del Ministerio Público, solo es obligatoria en aquellos procesos en los que la entidad demandada sea del orden nacional.</w:t>
      </w:r>
    </w:p>
    <w:p w14:paraId="66B42308" w14:textId="77777777" w:rsidR="00295B94" w:rsidRPr="000B29C4" w:rsidRDefault="00295B94" w:rsidP="007B2526">
      <w:pPr>
        <w:ind w:firstLine="709"/>
        <w:jc w:val="both"/>
        <w:rPr>
          <w:rFonts w:ascii="Tahoma" w:hAnsi="Tahoma" w:cs="Tahoma"/>
          <w:bCs/>
          <w:sz w:val="23"/>
          <w:szCs w:val="23"/>
          <w:lang w:val="es-419"/>
        </w:rPr>
      </w:pPr>
    </w:p>
    <w:p w14:paraId="27B0D235" w14:textId="77777777" w:rsidR="00295B94" w:rsidRPr="000B29C4" w:rsidRDefault="00157C6F" w:rsidP="00157C6F">
      <w:pPr>
        <w:spacing w:line="276" w:lineRule="auto"/>
        <w:jc w:val="center"/>
        <w:rPr>
          <w:rFonts w:ascii="Tahoma" w:hAnsi="Tahoma" w:cs="Tahoma"/>
          <w:b/>
          <w:bCs/>
          <w:sz w:val="23"/>
          <w:szCs w:val="23"/>
          <w:lang w:val="es-419"/>
        </w:rPr>
      </w:pPr>
      <w:r w:rsidRPr="000B29C4">
        <w:rPr>
          <w:rFonts w:ascii="Tahoma" w:hAnsi="Tahoma" w:cs="Tahoma"/>
          <w:b/>
          <w:bCs/>
          <w:sz w:val="23"/>
          <w:szCs w:val="23"/>
          <w:lang w:val="es-419"/>
        </w:rPr>
        <w:t xml:space="preserve">II - </w:t>
      </w:r>
      <w:r w:rsidR="00295B94" w:rsidRPr="000B29C4">
        <w:rPr>
          <w:rFonts w:ascii="Tahoma" w:hAnsi="Tahoma" w:cs="Tahoma"/>
          <w:b/>
          <w:bCs/>
          <w:sz w:val="23"/>
          <w:szCs w:val="23"/>
          <w:lang w:val="es-419"/>
        </w:rPr>
        <w:t>DECISIÓN DE LA NULIDAD EN PRIMERA INSTANCIA</w:t>
      </w:r>
    </w:p>
    <w:p w14:paraId="457D0F19" w14:textId="77777777" w:rsidR="00295B94" w:rsidRPr="000B29C4" w:rsidRDefault="00295B94" w:rsidP="007B2526">
      <w:pPr>
        <w:ind w:firstLine="709"/>
        <w:jc w:val="both"/>
        <w:rPr>
          <w:rFonts w:ascii="Tahoma" w:hAnsi="Tahoma" w:cs="Tahoma"/>
          <w:bCs/>
          <w:sz w:val="23"/>
          <w:szCs w:val="23"/>
          <w:lang w:val="es-419"/>
        </w:rPr>
      </w:pPr>
    </w:p>
    <w:p w14:paraId="69B915BC" w14:textId="77777777" w:rsidR="00F9518A" w:rsidRPr="000B29C4" w:rsidRDefault="000A61D1" w:rsidP="003A6C20">
      <w:pPr>
        <w:spacing w:line="276" w:lineRule="auto"/>
        <w:ind w:firstLine="709"/>
        <w:jc w:val="both"/>
        <w:rPr>
          <w:rFonts w:ascii="Tahoma" w:hAnsi="Tahoma" w:cs="Tahoma"/>
          <w:bCs/>
          <w:sz w:val="23"/>
          <w:szCs w:val="23"/>
          <w:lang w:val="es-419"/>
        </w:rPr>
      </w:pPr>
      <w:r w:rsidRPr="000B29C4">
        <w:rPr>
          <w:rFonts w:ascii="Tahoma" w:hAnsi="Tahoma" w:cs="Tahoma"/>
          <w:bCs/>
          <w:sz w:val="23"/>
          <w:szCs w:val="23"/>
          <w:lang w:val="es-419"/>
        </w:rPr>
        <w:t xml:space="preserve">La </w:t>
      </w:r>
      <w:r w:rsidRPr="000B29C4">
        <w:rPr>
          <w:rFonts w:ascii="Arial Narrow" w:hAnsi="Arial Narrow" w:cs="Tahoma"/>
          <w:bCs/>
          <w:i/>
          <w:sz w:val="23"/>
          <w:szCs w:val="23"/>
          <w:lang w:val="es-419"/>
        </w:rPr>
        <w:t>a-quo</w:t>
      </w:r>
      <w:r w:rsidR="00F9518A" w:rsidRPr="000B29C4">
        <w:rPr>
          <w:rFonts w:ascii="Tahoma" w:hAnsi="Tahoma" w:cs="Tahoma"/>
          <w:bCs/>
          <w:sz w:val="23"/>
          <w:szCs w:val="23"/>
          <w:lang w:val="es-419"/>
        </w:rPr>
        <w:t xml:space="preserve"> reconoció que</w:t>
      </w:r>
      <w:r w:rsidR="00456D72" w:rsidRPr="000B29C4">
        <w:rPr>
          <w:rFonts w:ascii="Tahoma" w:hAnsi="Tahoma" w:cs="Tahoma"/>
          <w:bCs/>
          <w:sz w:val="23"/>
          <w:szCs w:val="23"/>
          <w:lang w:val="es-419"/>
        </w:rPr>
        <w:t>, a falta de regulación propia en el estatuto procesal laboral, debió</w:t>
      </w:r>
      <w:r w:rsidR="00F9518A" w:rsidRPr="000B29C4">
        <w:rPr>
          <w:rFonts w:ascii="Tahoma" w:hAnsi="Tahoma" w:cs="Tahoma"/>
          <w:bCs/>
          <w:sz w:val="23"/>
          <w:szCs w:val="23"/>
          <w:lang w:val="es-419"/>
        </w:rPr>
        <w:t xml:space="preserve"> </w:t>
      </w:r>
      <w:r w:rsidRPr="000B29C4">
        <w:rPr>
          <w:rFonts w:ascii="Tahoma" w:hAnsi="Tahoma" w:cs="Tahoma"/>
          <w:bCs/>
          <w:sz w:val="23"/>
          <w:szCs w:val="23"/>
          <w:lang w:val="es-419"/>
        </w:rPr>
        <w:t>aplicarse en este asunto</w:t>
      </w:r>
      <w:r w:rsidR="00456D72" w:rsidRPr="000B29C4">
        <w:rPr>
          <w:rFonts w:ascii="Tahoma" w:hAnsi="Tahoma" w:cs="Tahoma"/>
          <w:bCs/>
          <w:sz w:val="23"/>
          <w:szCs w:val="23"/>
          <w:lang w:val="es-419"/>
        </w:rPr>
        <w:t xml:space="preserve"> el artículo 612 del CGP, que establece</w:t>
      </w:r>
      <w:r w:rsidRPr="000B29C4">
        <w:rPr>
          <w:rFonts w:ascii="Tahoma" w:hAnsi="Tahoma" w:cs="Tahoma"/>
          <w:bCs/>
          <w:sz w:val="23"/>
          <w:szCs w:val="23"/>
          <w:lang w:val="es-419"/>
        </w:rPr>
        <w:t xml:space="preserve"> las pautas</w:t>
      </w:r>
      <w:r w:rsidR="00456D72" w:rsidRPr="000B29C4">
        <w:rPr>
          <w:rFonts w:ascii="Tahoma" w:hAnsi="Tahoma" w:cs="Tahoma"/>
          <w:bCs/>
          <w:sz w:val="23"/>
          <w:szCs w:val="23"/>
          <w:lang w:val="es-419"/>
        </w:rPr>
        <w:t xml:space="preserve"> que deben observarse</w:t>
      </w:r>
      <w:r w:rsidRPr="000B29C4">
        <w:rPr>
          <w:rFonts w:ascii="Tahoma" w:hAnsi="Tahoma" w:cs="Tahoma"/>
          <w:bCs/>
          <w:sz w:val="23"/>
          <w:szCs w:val="23"/>
          <w:lang w:val="es-419"/>
        </w:rPr>
        <w:t xml:space="preserve"> para la notificación</w:t>
      </w:r>
      <w:r w:rsidR="00456D72" w:rsidRPr="000B29C4">
        <w:rPr>
          <w:rFonts w:ascii="Tahoma" w:hAnsi="Tahoma" w:cs="Tahoma"/>
          <w:bCs/>
          <w:sz w:val="23"/>
          <w:szCs w:val="23"/>
          <w:lang w:val="es-419"/>
        </w:rPr>
        <w:t xml:space="preserve"> personal</w:t>
      </w:r>
      <w:r w:rsidRPr="000B29C4">
        <w:rPr>
          <w:rFonts w:ascii="Tahoma" w:hAnsi="Tahoma" w:cs="Tahoma"/>
          <w:bCs/>
          <w:sz w:val="23"/>
          <w:szCs w:val="23"/>
          <w:lang w:val="es-419"/>
        </w:rPr>
        <w:t xml:space="preserve"> de entidades públicas</w:t>
      </w:r>
      <w:r w:rsidR="00456D72" w:rsidRPr="000B29C4">
        <w:rPr>
          <w:rFonts w:ascii="Tahoma" w:hAnsi="Tahoma" w:cs="Tahoma"/>
          <w:bCs/>
          <w:sz w:val="23"/>
          <w:szCs w:val="23"/>
          <w:lang w:val="es-419"/>
        </w:rPr>
        <w:t>.</w:t>
      </w:r>
    </w:p>
    <w:p w14:paraId="7C83BD76" w14:textId="77777777" w:rsidR="00456D72" w:rsidRPr="000B29C4" w:rsidRDefault="00456D72" w:rsidP="007B2526">
      <w:pPr>
        <w:ind w:firstLine="709"/>
        <w:jc w:val="both"/>
        <w:rPr>
          <w:rFonts w:ascii="Tahoma" w:hAnsi="Tahoma" w:cs="Tahoma"/>
          <w:bCs/>
          <w:sz w:val="23"/>
          <w:szCs w:val="23"/>
          <w:lang w:val="es-419"/>
        </w:rPr>
      </w:pPr>
    </w:p>
    <w:p w14:paraId="0BABE1C7" w14:textId="5E864D23" w:rsidR="00F9518A" w:rsidRPr="000B29C4" w:rsidRDefault="00F9518A" w:rsidP="008C7011">
      <w:pPr>
        <w:spacing w:line="276" w:lineRule="auto"/>
        <w:ind w:firstLine="709"/>
        <w:jc w:val="both"/>
        <w:rPr>
          <w:rFonts w:ascii="Tahoma" w:hAnsi="Tahoma" w:cs="Tahoma"/>
          <w:bCs/>
          <w:sz w:val="23"/>
          <w:szCs w:val="23"/>
          <w:lang w:val="es-419"/>
        </w:rPr>
      </w:pPr>
      <w:r w:rsidRPr="000B29C4">
        <w:rPr>
          <w:rFonts w:ascii="Tahoma" w:hAnsi="Tahoma" w:cs="Tahoma"/>
          <w:bCs/>
          <w:sz w:val="23"/>
          <w:szCs w:val="23"/>
          <w:lang w:val="es-419"/>
        </w:rPr>
        <w:t xml:space="preserve">Pese a lo anterior, advirtió que la entidad pública demandada conoció de la instauración de la demanda en </w:t>
      </w:r>
      <w:r w:rsidR="00311DAB" w:rsidRPr="000B29C4">
        <w:rPr>
          <w:rFonts w:ascii="Tahoma" w:hAnsi="Tahoma" w:cs="Tahoma"/>
          <w:bCs/>
          <w:sz w:val="23"/>
          <w:szCs w:val="23"/>
          <w:lang w:val="es-419"/>
        </w:rPr>
        <w:t>su contra y constituyó apoderado</w:t>
      </w:r>
      <w:r w:rsidRPr="000B29C4">
        <w:rPr>
          <w:rFonts w:ascii="Tahoma" w:hAnsi="Tahoma" w:cs="Tahoma"/>
          <w:bCs/>
          <w:sz w:val="23"/>
          <w:szCs w:val="23"/>
          <w:lang w:val="es-419"/>
        </w:rPr>
        <w:t xml:space="preserve"> judicial que radicó el respectivo poder especial en la secretaría del despacho, en razón de lo cual debe darse aplicación al artículo 301 del CGP, el cual dispone </w:t>
      </w:r>
      <w:bookmarkStart w:id="1" w:name="OLE_LINK8"/>
      <w:r w:rsidRPr="000B29C4">
        <w:rPr>
          <w:rFonts w:ascii="Arial Narrow" w:hAnsi="Arial Narrow" w:cs="Tahoma"/>
          <w:bCs/>
          <w:i/>
          <w:sz w:val="23"/>
          <w:szCs w:val="23"/>
          <w:lang w:val="es-419"/>
        </w:rPr>
        <w:t xml:space="preserve">“quien constituya apoderado judicial se entenderá notificado por conducta concluyente de todas las providencias que se hayan dictado en el respectivo proceso, inclusive del auto admisorio de la demanda o mandamiento ejecutivo, el día en que se notifique el auto que le reconoce personería, a menos que la notificación se haya surtido con anterioridad; </w:t>
      </w:r>
      <w:r w:rsidRPr="000B29C4">
        <w:rPr>
          <w:rFonts w:ascii="Tahoma" w:hAnsi="Tahoma" w:cs="Tahoma"/>
          <w:bCs/>
          <w:sz w:val="23"/>
          <w:szCs w:val="23"/>
          <w:lang w:val="es-419"/>
        </w:rPr>
        <w:t>norma que debe armonizarse con lo señalado en el artículo 91 de ídem</w:t>
      </w:r>
      <w:r w:rsidR="00456D72" w:rsidRPr="000B29C4">
        <w:rPr>
          <w:rFonts w:ascii="Tahoma" w:hAnsi="Tahoma" w:cs="Tahoma"/>
          <w:bCs/>
          <w:sz w:val="23"/>
          <w:szCs w:val="23"/>
          <w:lang w:val="es-419"/>
        </w:rPr>
        <w:t xml:space="preserve">, que al respecto dispone que “cuando la notificación del auto admisorio de la demanda o del mandamiento de pago se surta por conducta concluyente, por aviso o mediante comisionado, el demandado podrá solicitar en la secretaría que se le suministre la reproducción de la demanda y de sus anexos dentro de los tres (3) días siguientes, vencidos los cuales comenzará a correr el término de ejecutoria y de traslado de la demanda. </w:t>
      </w:r>
      <w:bookmarkEnd w:id="1"/>
    </w:p>
    <w:p w14:paraId="790CE11F" w14:textId="77777777" w:rsidR="00345C4F" w:rsidRPr="000B29C4" w:rsidRDefault="00345C4F" w:rsidP="008C7011">
      <w:pPr>
        <w:spacing w:line="276" w:lineRule="auto"/>
        <w:ind w:firstLine="709"/>
        <w:jc w:val="both"/>
        <w:rPr>
          <w:rFonts w:ascii="Arial Narrow" w:hAnsi="Arial Narrow" w:cs="Tahoma"/>
          <w:bCs/>
          <w:i/>
          <w:sz w:val="23"/>
          <w:szCs w:val="23"/>
          <w:lang w:val="es-419"/>
        </w:rPr>
      </w:pPr>
    </w:p>
    <w:p w14:paraId="5C0133B5" w14:textId="77777777" w:rsidR="00311DAB" w:rsidRPr="000B29C4" w:rsidRDefault="00311DAB" w:rsidP="00F9518A">
      <w:pPr>
        <w:spacing w:line="276" w:lineRule="auto"/>
        <w:ind w:firstLine="709"/>
        <w:jc w:val="both"/>
        <w:rPr>
          <w:rFonts w:ascii="Tahoma" w:hAnsi="Tahoma" w:cs="Tahoma"/>
          <w:bCs/>
          <w:sz w:val="23"/>
          <w:szCs w:val="23"/>
          <w:lang w:val="es-419"/>
        </w:rPr>
      </w:pPr>
      <w:r w:rsidRPr="000B29C4">
        <w:rPr>
          <w:rFonts w:ascii="Tahoma" w:hAnsi="Tahoma" w:cs="Tahoma"/>
          <w:bCs/>
          <w:sz w:val="23"/>
          <w:szCs w:val="23"/>
          <w:lang w:val="es-419"/>
        </w:rPr>
        <w:t>Ello así, teniendo en cuenta que la notificación por conducta concluyente surte los mismos efectos de la notificación personal, conforme al citado artículo, y habiéndosele otorgado a la entidad</w:t>
      </w:r>
      <w:r w:rsidR="007B2526" w:rsidRPr="000B29C4">
        <w:rPr>
          <w:rFonts w:ascii="Tahoma" w:hAnsi="Tahoma" w:cs="Tahoma"/>
          <w:bCs/>
          <w:sz w:val="23"/>
          <w:szCs w:val="23"/>
          <w:lang w:val="es-419"/>
        </w:rPr>
        <w:t xml:space="preserve"> pública</w:t>
      </w:r>
      <w:r w:rsidRPr="000B29C4">
        <w:rPr>
          <w:rFonts w:ascii="Tahoma" w:hAnsi="Tahoma" w:cs="Tahoma"/>
          <w:bCs/>
          <w:sz w:val="23"/>
          <w:szCs w:val="23"/>
          <w:lang w:val="es-419"/>
        </w:rPr>
        <w:t xml:space="preserve"> notificada el término legal para retirar copias, es evidente que dejó pretermitir el término de traslado sin hacer pronunciamiento alguno frente a la demanda, término que no puede</w:t>
      </w:r>
      <w:r w:rsidR="00C85535" w:rsidRPr="000B29C4">
        <w:rPr>
          <w:rFonts w:ascii="Tahoma" w:hAnsi="Tahoma" w:cs="Tahoma"/>
          <w:bCs/>
          <w:sz w:val="23"/>
          <w:szCs w:val="23"/>
          <w:lang w:val="es-419"/>
        </w:rPr>
        <w:t xml:space="preserve"> pretender</w:t>
      </w:r>
      <w:r w:rsidRPr="000B29C4">
        <w:rPr>
          <w:rFonts w:ascii="Tahoma" w:hAnsi="Tahoma" w:cs="Tahoma"/>
          <w:bCs/>
          <w:sz w:val="23"/>
          <w:szCs w:val="23"/>
          <w:lang w:val="es-419"/>
        </w:rPr>
        <w:t xml:space="preserve"> revivir ahora alegando una nulidad que no tiene asidero alguno.</w:t>
      </w:r>
    </w:p>
    <w:p w14:paraId="35298B3C" w14:textId="77777777" w:rsidR="00311DAB" w:rsidRPr="000B29C4" w:rsidRDefault="00311DAB" w:rsidP="008C7011">
      <w:pPr>
        <w:ind w:firstLine="709"/>
        <w:jc w:val="both"/>
        <w:rPr>
          <w:rFonts w:ascii="Tahoma" w:hAnsi="Tahoma" w:cs="Tahoma"/>
          <w:bCs/>
          <w:sz w:val="23"/>
          <w:szCs w:val="23"/>
          <w:lang w:val="es-419"/>
        </w:rPr>
      </w:pPr>
    </w:p>
    <w:p w14:paraId="15CF4687" w14:textId="77777777" w:rsidR="00311DAB" w:rsidRPr="000B29C4" w:rsidRDefault="00311DAB" w:rsidP="00F9518A">
      <w:pPr>
        <w:spacing w:line="276" w:lineRule="auto"/>
        <w:ind w:firstLine="709"/>
        <w:jc w:val="both"/>
        <w:rPr>
          <w:rFonts w:ascii="Tahoma" w:hAnsi="Tahoma" w:cs="Tahoma"/>
          <w:bCs/>
          <w:sz w:val="23"/>
          <w:szCs w:val="23"/>
          <w:lang w:val="es-419"/>
        </w:rPr>
      </w:pPr>
      <w:r w:rsidRPr="000B29C4">
        <w:rPr>
          <w:rFonts w:ascii="Tahoma" w:hAnsi="Tahoma" w:cs="Tahoma"/>
          <w:bCs/>
          <w:sz w:val="23"/>
          <w:szCs w:val="23"/>
          <w:lang w:val="es-419"/>
        </w:rPr>
        <w:t xml:space="preserve">Frente al segundo argumento, manifestó que </w:t>
      </w:r>
      <w:r w:rsidR="00633D28" w:rsidRPr="000B29C4">
        <w:rPr>
          <w:rFonts w:ascii="Tahoma" w:hAnsi="Tahoma" w:cs="Tahoma"/>
          <w:bCs/>
          <w:sz w:val="23"/>
          <w:szCs w:val="23"/>
          <w:lang w:val="es-419"/>
        </w:rPr>
        <w:t xml:space="preserve">de acuerdo al </w:t>
      </w:r>
      <w:bookmarkStart w:id="2" w:name="OLE_LINK11"/>
      <w:r w:rsidR="00633D28" w:rsidRPr="000B29C4">
        <w:rPr>
          <w:rFonts w:ascii="Tahoma" w:hAnsi="Tahoma" w:cs="Tahoma"/>
          <w:bCs/>
          <w:sz w:val="23"/>
          <w:szCs w:val="23"/>
          <w:lang w:val="es-419"/>
        </w:rPr>
        <w:t xml:space="preserve">Decreto 4085 de 2011, expedido por el Gobierno Nacional en ejercicio de las facultades extraordinarias que le </w:t>
      </w:r>
      <w:r w:rsidR="00633D28" w:rsidRPr="000B29C4">
        <w:rPr>
          <w:rFonts w:ascii="Tahoma" w:hAnsi="Tahoma" w:cs="Tahoma"/>
          <w:bCs/>
          <w:sz w:val="23"/>
          <w:szCs w:val="23"/>
          <w:lang w:val="es-419"/>
        </w:rPr>
        <w:lastRenderedPageBreak/>
        <w:t>confirió el literal f) del art. 18 de la Ley 1444 de 2011</w:t>
      </w:r>
      <w:bookmarkEnd w:id="2"/>
      <w:r w:rsidR="00633D28" w:rsidRPr="000B29C4">
        <w:rPr>
          <w:rFonts w:ascii="Tahoma" w:hAnsi="Tahoma" w:cs="Tahoma"/>
          <w:bCs/>
          <w:sz w:val="23"/>
          <w:szCs w:val="23"/>
          <w:lang w:val="es-419"/>
        </w:rPr>
        <w:t>, la Agencia Nacional para la Defensa Jurídica del Estado, solo está facultada para participar e intervenir en procesos judiciales o administrativos en los que la Nación o las entidades públicas del orden nacional sean parte demandante o demandada, lo cual no ocurre en este caso, como quiera que la demandada, aunque tiene la calidad de entidad pública, lo es del orden local.</w:t>
      </w:r>
    </w:p>
    <w:p w14:paraId="4BD178B1" w14:textId="77777777" w:rsidR="00633D28" w:rsidRPr="000B29C4" w:rsidRDefault="00633D28" w:rsidP="007B2526">
      <w:pPr>
        <w:ind w:firstLine="709"/>
        <w:jc w:val="both"/>
        <w:rPr>
          <w:rFonts w:ascii="Tahoma" w:hAnsi="Tahoma" w:cs="Tahoma"/>
          <w:bCs/>
          <w:sz w:val="23"/>
          <w:szCs w:val="23"/>
          <w:lang w:val="es-419"/>
        </w:rPr>
      </w:pPr>
    </w:p>
    <w:p w14:paraId="3E0FFB5D" w14:textId="77777777" w:rsidR="00633D28" w:rsidRPr="000B29C4" w:rsidRDefault="00157C6F" w:rsidP="00157C6F">
      <w:pPr>
        <w:spacing w:line="276" w:lineRule="auto"/>
        <w:jc w:val="center"/>
        <w:rPr>
          <w:rFonts w:ascii="Tahoma" w:hAnsi="Tahoma" w:cs="Tahoma"/>
          <w:b/>
          <w:bCs/>
          <w:sz w:val="23"/>
          <w:szCs w:val="23"/>
          <w:lang w:val="es-419"/>
        </w:rPr>
      </w:pPr>
      <w:r w:rsidRPr="000B29C4">
        <w:rPr>
          <w:rFonts w:ascii="Tahoma" w:hAnsi="Tahoma" w:cs="Tahoma"/>
          <w:b/>
          <w:bCs/>
          <w:sz w:val="23"/>
          <w:szCs w:val="23"/>
          <w:lang w:val="es-419"/>
        </w:rPr>
        <w:t xml:space="preserve">IV - </w:t>
      </w:r>
      <w:r w:rsidR="00633D28" w:rsidRPr="000B29C4">
        <w:rPr>
          <w:rFonts w:ascii="Tahoma" w:hAnsi="Tahoma" w:cs="Tahoma"/>
          <w:b/>
          <w:bCs/>
          <w:sz w:val="23"/>
          <w:szCs w:val="23"/>
          <w:lang w:val="es-419"/>
        </w:rPr>
        <w:t>RECURSO DE REPOSICIÓN Y EN SUBSIDIO APELACIÓN</w:t>
      </w:r>
    </w:p>
    <w:p w14:paraId="062AE931" w14:textId="77777777" w:rsidR="00633D28" w:rsidRPr="000B29C4" w:rsidRDefault="00633D28" w:rsidP="007B2526">
      <w:pPr>
        <w:jc w:val="center"/>
        <w:rPr>
          <w:rFonts w:ascii="Tahoma" w:hAnsi="Tahoma" w:cs="Tahoma"/>
          <w:b/>
          <w:bCs/>
          <w:sz w:val="23"/>
          <w:szCs w:val="23"/>
          <w:lang w:val="es-419"/>
        </w:rPr>
      </w:pPr>
    </w:p>
    <w:p w14:paraId="3740BE70" w14:textId="77777777" w:rsidR="00F9518A" w:rsidRPr="000B29C4" w:rsidRDefault="00C85535" w:rsidP="007B2526">
      <w:pPr>
        <w:spacing w:line="276" w:lineRule="auto"/>
        <w:ind w:firstLine="708"/>
        <w:jc w:val="both"/>
        <w:rPr>
          <w:rFonts w:ascii="Tahoma" w:hAnsi="Tahoma" w:cs="Tahoma"/>
          <w:bCs/>
          <w:sz w:val="23"/>
          <w:szCs w:val="23"/>
          <w:lang w:val="es-419"/>
        </w:rPr>
      </w:pPr>
      <w:r w:rsidRPr="000B29C4">
        <w:rPr>
          <w:rFonts w:ascii="Tahoma" w:hAnsi="Tahoma" w:cs="Tahoma"/>
          <w:bCs/>
          <w:sz w:val="23"/>
          <w:szCs w:val="23"/>
          <w:lang w:val="es-419"/>
        </w:rPr>
        <w:t xml:space="preserve">El ente local se opone a la anterior decisión, señalando que la </w:t>
      </w:r>
      <w:r w:rsidRPr="000B29C4">
        <w:rPr>
          <w:rFonts w:ascii="Tahoma" w:hAnsi="Tahoma" w:cs="Tahoma"/>
          <w:bCs/>
          <w:i/>
          <w:sz w:val="23"/>
          <w:szCs w:val="23"/>
          <w:lang w:val="es-419"/>
        </w:rPr>
        <w:t>a-quo</w:t>
      </w:r>
      <w:r w:rsidRPr="000B29C4">
        <w:rPr>
          <w:rFonts w:ascii="Tahoma" w:hAnsi="Tahoma" w:cs="Tahoma"/>
          <w:bCs/>
          <w:sz w:val="23"/>
          <w:szCs w:val="23"/>
          <w:lang w:val="es-419"/>
        </w:rPr>
        <w:t xml:space="preserve"> confunde la facultad de intervención </w:t>
      </w:r>
      <w:r w:rsidR="002A3845" w:rsidRPr="000B29C4">
        <w:rPr>
          <w:rFonts w:ascii="Tahoma" w:hAnsi="Tahoma" w:cs="Tahoma"/>
          <w:bCs/>
          <w:sz w:val="23"/>
          <w:szCs w:val="23"/>
          <w:lang w:val="es-419"/>
        </w:rPr>
        <w:t>que tiene la ANDJE, con la obligación de notificarle la existencia del proceso, la cual se deriva de los artículos 610, 611 y 612 del CGP, como quiera que el artículo 610 del citado código se ocupa de establecer que la Agencia podrá actuar en cualquier estado del proceso sea cual fuere la jurisdicción.</w:t>
      </w:r>
      <w:r w:rsidR="007B2526" w:rsidRPr="000B29C4">
        <w:rPr>
          <w:rFonts w:ascii="Tahoma" w:hAnsi="Tahoma" w:cs="Tahoma"/>
          <w:bCs/>
          <w:sz w:val="23"/>
          <w:szCs w:val="23"/>
          <w:lang w:val="es-419"/>
        </w:rPr>
        <w:t xml:space="preserve"> Además insiste en que se dejó de notificar al Ministerio Público, pese a que la ley lo ordena en asuntos en los que la demandada sea una entidad pública. </w:t>
      </w:r>
      <w:r w:rsidR="002A3845" w:rsidRPr="000B29C4">
        <w:rPr>
          <w:rFonts w:ascii="Tahoma" w:hAnsi="Tahoma" w:cs="Tahoma"/>
          <w:bCs/>
          <w:sz w:val="23"/>
          <w:szCs w:val="23"/>
          <w:lang w:val="es-419"/>
        </w:rPr>
        <w:t xml:space="preserve"> </w:t>
      </w:r>
    </w:p>
    <w:p w14:paraId="49D6AD06" w14:textId="77777777" w:rsidR="00157C6F" w:rsidRPr="000B29C4" w:rsidRDefault="00157C6F" w:rsidP="008C7011">
      <w:pPr>
        <w:ind w:firstLine="708"/>
        <w:jc w:val="both"/>
        <w:rPr>
          <w:rFonts w:ascii="Tahoma" w:hAnsi="Tahoma" w:cs="Tahoma"/>
          <w:bCs/>
          <w:sz w:val="23"/>
          <w:szCs w:val="23"/>
          <w:lang w:val="es-419"/>
        </w:rPr>
      </w:pPr>
    </w:p>
    <w:p w14:paraId="4BB88CF4" w14:textId="77777777" w:rsidR="004D5FB6" w:rsidRPr="000B29C4" w:rsidRDefault="004D5FB6" w:rsidP="00F9518A">
      <w:pPr>
        <w:spacing w:line="276" w:lineRule="auto"/>
        <w:ind w:firstLine="709"/>
        <w:jc w:val="both"/>
        <w:rPr>
          <w:rFonts w:ascii="Tahoma" w:hAnsi="Tahoma" w:cs="Tahoma"/>
          <w:bCs/>
          <w:sz w:val="23"/>
          <w:szCs w:val="23"/>
          <w:lang w:val="es-419"/>
        </w:rPr>
      </w:pPr>
      <w:r w:rsidRPr="000B29C4">
        <w:rPr>
          <w:rFonts w:ascii="Tahoma" w:hAnsi="Tahoma" w:cs="Tahoma"/>
          <w:bCs/>
          <w:sz w:val="23"/>
          <w:szCs w:val="23"/>
          <w:lang w:val="es-419"/>
        </w:rPr>
        <w:t xml:space="preserve">Aparte de lo anterior, hace énfasis </w:t>
      </w:r>
      <w:r w:rsidR="007B2526" w:rsidRPr="000B29C4">
        <w:rPr>
          <w:rFonts w:ascii="Tahoma" w:hAnsi="Tahoma" w:cs="Tahoma"/>
          <w:bCs/>
          <w:sz w:val="23"/>
          <w:szCs w:val="23"/>
          <w:lang w:val="es-419"/>
        </w:rPr>
        <w:t>en el argumento central de la nulidad alegada, ya que a su juicio se surtió de forma indebida la notificación correspondiente a la entidad territ</w:t>
      </w:r>
      <w:r w:rsidRPr="000B29C4">
        <w:rPr>
          <w:rFonts w:ascii="Tahoma" w:hAnsi="Tahoma" w:cs="Tahoma"/>
          <w:bCs/>
          <w:sz w:val="23"/>
          <w:szCs w:val="23"/>
          <w:lang w:val="es-419"/>
        </w:rPr>
        <w:t>orial, pues a pesar de que se la</w:t>
      </w:r>
      <w:r w:rsidR="007B2526" w:rsidRPr="000B29C4">
        <w:rPr>
          <w:rFonts w:ascii="Tahoma" w:hAnsi="Tahoma" w:cs="Tahoma"/>
          <w:bCs/>
          <w:sz w:val="23"/>
          <w:szCs w:val="23"/>
          <w:lang w:val="es-419"/>
        </w:rPr>
        <w:t xml:space="preserve"> tuvo por notificada por conducta concluyente, ello no soslaya el mal procedimiento dado a la citación realizada a la entidad, situación que no puede dejarse de lado si se tiene en cuenta que fue presentada la nulidad como primera actuación.</w:t>
      </w:r>
    </w:p>
    <w:p w14:paraId="02045B50" w14:textId="77777777" w:rsidR="004D5FB6" w:rsidRPr="000B29C4" w:rsidRDefault="004D5FB6" w:rsidP="008C7011">
      <w:pPr>
        <w:ind w:firstLine="709"/>
        <w:jc w:val="both"/>
        <w:rPr>
          <w:rFonts w:ascii="Tahoma" w:hAnsi="Tahoma" w:cs="Tahoma"/>
          <w:bCs/>
          <w:sz w:val="23"/>
          <w:szCs w:val="23"/>
          <w:lang w:val="es-419"/>
        </w:rPr>
      </w:pPr>
    </w:p>
    <w:p w14:paraId="7C2FCA66" w14:textId="77777777" w:rsidR="007B2526" w:rsidRPr="000B29C4" w:rsidRDefault="00157C6F" w:rsidP="004D5FB6">
      <w:pPr>
        <w:spacing w:line="276" w:lineRule="auto"/>
        <w:ind w:firstLine="709"/>
        <w:jc w:val="center"/>
        <w:rPr>
          <w:rFonts w:ascii="Tahoma" w:hAnsi="Tahoma" w:cs="Tahoma"/>
          <w:b/>
          <w:bCs/>
          <w:sz w:val="23"/>
          <w:szCs w:val="23"/>
          <w:lang w:val="es-419"/>
        </w:rPr>
      </w:pPr>
      <w:r w:rsidRPr="000B29C4">
        <w:rPr>
          <w:rFonts w:ascii="Tahoma" w:hAnsi="Tahoma" w:cs="Tahoma"/>
          <w:b/>
          <w:bCs/>
          <w:sz w:val="23"/>
          <w:szCs w:val="23"/>
          <w:lang w:val="es-419"/>
        </w:rPr>
        <w:t>V</w:t>
      </w:r>
      <w:r w:rsidR="004D5FB6" w:rsidRPr="000B29C4">
        <w:rPr>
          <w:rFonts w:ascii="Tahoma" w:hAnsi="Tahoma" w:cs="Tahoma"/>
          <w:b/>
          <w:bCs/>
          <w:sz w:val="23"/>
          <w:szCs w:val="23"/>
          <w:lang w:val="es-419"/>
        </w:rPr>
        <w:t xml:space="preserve"> - DECISIÓN DEL RECURSO DE REPOSICIÓN</w:t>
      </w:r>
    </w:p>
    <w:p w14:paraId="5074B00E" w14:textId="77777777" w:rsidR="00311DAB" w:rsidRPr="000B29C4" w:rsidRDefault="00311DAB" w:rsidP="008C7011">
      <w:pPr>
        <w:ind w:firstLine="709"/>
        <w:jc w:val="both"/>
        <w:rPr>
          <w:rFonts w:ascii="Tahoma" w:hAnsi="Tahoma" w:cs="Tahoma"/>
          <w:bCs/>
          <w:sz w:val="23"/>
          <w:szCs w:val="23"/>
          <w:lang w:val="es-419"/>
        </w:rPr>
      </w:pPr>
    </w:p>
    <w:p w14:paraId="2792E360" w14:textId="77777777" w:rsidR="004D5FB6" w:rsidRPr="000B29C4" w:rsidRDefault="004D5FB6" w:rsidP="00F9518A">
      <w:pPr>
        <w:spacing w:line="276" w:lineRule="auto"/>
        <w:ind w:firstLine="709"/>
        <w:jc w:val="both"/>
        <w:rPr>
          <w:rFonts w:ascii="Tahoma" w:hAnsi="Tahoma" w:cs="Tahoma"/>
          <w:bCs/>
          <w:sz w:val="23"/>
          <w:szCs w:val="23"/>
          <w:lang w:val="es-419"/>
        </w:rPr>
      </w:pPr>
      <w:r w:rsidRPr="000B29C4">
        <w:rPr>
          <w:rFonts w:ascii="Tahoma" w:hAnsi="Tahoma" w:cs="Tahoma"/>
          <w:bCs/>
          <w:sz w:val="23"/>
          <w:szCs w:val="23"/>
          <w:lang w:val="es-419"/>
        </w:rPr>
        <w:t xml:space="preserve">Luego de hacer un breve recuento de los argumentos que sirvieron de base para negar la nulidad planteada por el Municipio, concluyó que no era obligación del Despacho proceder con la notificación del auto admisorio de la demanda a la ANDJE, en estricta aplicación de las leyes que limitan las facultades de intervención de dicha entidad y en especial del Acuerdo 006 de 2012, por ella expedido, en el </w:t>
      </w:r>
      <w:r w:rsidR="00157C6F" w:rsidRPr="000B29C4">
        <w:rPr>
          <w:rFonts w:ascii="Tahoma" w:hAnsi="Tahoma" w:cs="Tahoma"/>
          <w:bCs/>
          <w:sz w:val="23"/>
          <w:szCs w:val="23"/>
          <w:lang w:val="es-419"/>
        </w:rPr>
        <w:t>que se excluye de su conocimiento no solo a las entidades territoriales sino también a la Nación</w:t>
      </w:r>
      <w:r w:rsidR="00601794" w:rsidRPr="000B29C4">
        <w:rPr>
          <w:rFonts w:ascii="Tahoma" w:hAnsi="Tahoma" w:cs="Tahoma"/>
          <w:bCs/>
          <w:sz w:val="23"/>
          <w:szCs w:val="23"/>
          <w:lang w:val="es-419"/>
        </w:rPr>
        <w:t>,</w:t>
      </w:r>
      <w:r w:rsidR="00157C6F" w:rsidRPr="000B29C4">
        <w:rPr>
          <w:rFonts w:ascii="Tahoma" w:hAnsi="Tahoma" w:cs="Tahoma"/>
          <w:bCs/>
          <w:sz w:val="23"/>
          <w:szCs w:val="23"/>
          <w:lang w:val="es-419"/>
        </w:rPr>
        <w:t xml:space="preserve"> cuando la misma sea demandada en procesos de orden regional.</w:t>
      </w:r>
      <w:r w:rsidR="00951148" w:rsidRPr="000B29C4">
        <w:rPr>
          <w:rFonts w:ascii="Tahoma" w:hAnsi="Tahoma" w:cs="Tahoma"/>
          <w:bCs/>
          <w:sz w:val="23"/>
          <w:szCs w:val="23"/>
          <w:lang w:val="es-419"/>
        </w:rPr>
        <w:t xml:space="preserve"> Nada dijo </w:t>
      </w:r>
      <w:r w:rsidR="003179B6" w:rsidRPr="000B29C4">
        <w:rPr>
          <w:rFonts w:ascii="Tahoma" w:hAnsi="Tahoma" w:cs="Tahoma"/>
          <w:bCs/>
          <w:sz w:val="23"/>
          <w:szCs w:val="23"/>
          <w:lang w:val="es-419"/>
        </w:rPr>
        <w:t>respecto a la vinculación del Ministerio Público.</w:t>
      </w:r>
    </w:p>
    <w:p w14:paraId="4929AEFE" w14:textId="77777777" w:rsidR="00295B94" w:rsidRPr="000B29C4" w:rsidRDefault="00295B94" w:rsidP="008C7011">
      <w:pPr>
        <w:ind w:firstLine="709"/>
        <w:jc w:val="both"/>
        <w:rPr>
          <w:rFonts w:ascii="Tahoma" w:hAnsi="Tahoma" w:cs="Tahoma"/>
          <w:bCs/>
          <w:sz w:val="23"/>
          <w:szCs w:val="23"/>
          <w:lang w:val="es-419"/>
        </w:rPr>
      </w:pPr>
    </w:p>
    <w:p w14:paraId="5F2B2D4C" w14:textId="77777777" w:rsidR="003179B6" w:rsidRPr="000B29C4" w:rsidRDefault="00157C6F" w:rsidP="003A6C20">
      <w:pPr>
        <w:spacing w:line="276" w:lineRule="auto"/>
        <w:ind w:firstLine="709"/>
        <w:jc w:val="both"/>
        <w:rPr>
          <w:rFonts w:ascii="Tahoma" w:hAnsi="Tahoma" w:cs="Tahoma"/>
          <w:bCs/>
          <w:sz w:val="23"/>
          <w:szCs w:val="23"/>
          <w:lang w:val="es-419"/>
        </w:rPr>
      </w:pPr>
      <w:r w:rsidRPr="000B29C4">
        <w:rPr>
          <w:rFonts w:ascii="Tahoma" w:hAnsi="Tahoma" w:cs="Tahoma"/>
          <w:bCs/>
          <w:sz w:val="23"/>
          <w:szCs w:val="23"/>
          <w:lang w:val="es-419"/>
        </w:rPr>
        <w:t xml:space="preserve">Y en lo que atañe </w:t>
      </w:r>
      <w:r w:rsidR="00601794" w:rsidRPr="000B29C4">
        <w:rPr>
          <w:rFonts w:ascii="Tahoma" w:hAnsi="Tahoma" w:cs="Tahoma"/>
          <w:bCs/>
          <w:sz w:val="23"/>
          <w:szCs w:val="23"/>
          <w:lang w:val="es-419"/>
        </w:rPr>
        <w:t xml:space="preserve">al </w:t>
      </w:r>
      <w:r w:rsidR="00601794" w:rsidRPr="000B29C4">
        <w:rPr>
          <w:rFonts w:ascii="Arial Narrow" w:hAnsi="Arial Narrow" w:cs="Tahoma"/>
          <w:bCs/>
          <w:i/>
          <w:sz w:val="23"/>
          <w:szCs w:val="23"/>
          <w:lang w:val="es-419"/>
        </w:rPr>
        <w:t>“irregular procedimiento de notificación”</w:t>
      </w:r>
      <w:r w:rsidR="00114E95" w:rsidRPr="000B29C4">
        <w:rPr>
          <w:rFonts w:ascii="Tahoma" w:hAnsi="Tahoma" w:cs="Tahoma"/>
          <w:bCs/>
          <w:sz w:val="23"/>
          <w:szCs w:val="23"/>
          <w:lang w:val="es-419"/>
        </w:rPr>
        <w:t xml:space="preserve"> en el que supuestamente incurrió el despacho de primera instancia al dar aplicación al artículo 301 del CGP, señaló que no es de recibo el malestar de la quejosa, habida cuenta que, tal como se consignara en la providencia objeto de ataque, ella conoció de las actuaciones de “citación” y “notificación”, a tal punto que le fue otorgado poder con las facultades consagradas en el “libro Primero Sección Segunda Capítulos IV y V, artículos 73 a 81 del nuevo Código General del Proceso, y además, tal como se corrobora a folio 377 del expediente, y como quiera que dentro de las facultades a ella otorgadas, la ley consagra la de “recibir notificaciones de la demanda o del mandamiento de pago (inciso</w:t>
      </w:r>
      <w:r w:rsidR="00951148" w:rsidRPr="000B29C4">
        <w:rPr>
          <w:rFonts w:ascii="Tahoma" w:hAnsi="Tahoma" w:cs="Tahoma"/>
          <w:bCs/>
          <w:sz w:val="23"/>
          <w:szCs w:val="23"/>
          <w:lang w:val="es-419"/>
        </w:rPr>
        <w:t xml:space="preserve"> 3º del artículo 77 ídem)</w:t>
      </w:r>
      <w:r w:rsidR="00114E95" w:rsidRPr="000B29C4">
        <w:rPr>
          <w:rFonts w:ascii="Tahoma" w:hAnsi="Tahoma" w:cs="Tahoma"/>
          <w:bCs/>
          <w:sz w:val="23"/>
          <w:szCs w:val="23"/>
          <w:lang w:val="es-419"/>
        </w:rPr>
        <w:t>”</w:t>
      </w:r>
      <w:r w:rsidR="00951148" w:rsidRPr="000B29C4">
        <w:rPr>
          <w:rFonts w:ascii="Tahoma" w:hAnsi="Tahoma" w:cs="Tahoma"/>
          <w:bCs/>
          <w:sz w:val="23"/>
          <w:szCs w:val="23"/>
          <w:lang w:val="es-419"/>
        </w:rPr>
        <w:t xml:space="preserve">, procedió el despacho a dicha actuación advirtiéndole acerca del término para retirar las copias, término que fuera omitido por la recurrente tal como se corrobora con la firma de su dependiente al retirar el último día las respectivas copias del traslado de la demanda (Fl. 388 vto.), no solo ello, sino, además, tardíamente, a través de correo institucional el 25 de febrero de 2019, procede a remitir extemporáneamente el pronunciamiento frente </w:t>
      </w:r>
      <w:r w:rsidR="00951148" w:rsidRPr="000B29C4">
        <w:rPr>
          <w:rFonts w:ascii="Tahoma" w:hAnsi="Tahoma" w:cs="Tahoma"/>
          <w:bCs/>
          <w:sz w:val="23"/>
          <w:szCs w:val="23"/>
          <w:lang w:val="es-419"/>
        </w:rPr>
        <w:lastRenderedPageBreak/>
        <w:t>a la demanda, negligencia que la litigante pretende soslayar enrostrándosela a una presunta ir</w:t>
      </w:r>
      <w:r w:rsidR="003179B6" w:rsidRPr="000B29C4">
        <w:rPr>
          <w:rFonts w:ascii="Tahoma" w:hAnsi="Tahoma" w:cs="Tahoma"/>
          <w:bCs/>
          <w:sz w:val="23"/>
          <w:szCs w:val="23"/>
          <w:lang w:val="es-419"/>
        </w:rPr>
        <w:t>regular actuación del despacho.</w:t>
      </w:r>
    </w:p>
    <w:p w14:paraId="1675B373" w14:textId="77777777" w:rsidR="003179B6" w:rsidRPr="000B29C4" w:rsidRDefault="003179B6" w:rsidP="008C7011">
      <w:pPr>
        <w:ind w:firstLine="709"/>
        <w:jc w:val="both"/>
        <w:rPr>
          <w:rFonts w:ascii="Tahoma" w:hAnsi="Tahoma" w:cs="Tahoma"/>
          <w:bCs/>
          <w:sz w:val="23"/>
          <w:szCs w:val="23"/>
          <w:lang w:val="es-419"/>
        </w:rPr>
      </w:pPr>
    </w:p>
    <w:p w14:paraId="2B82C003" w14:textId="77777777" w:rsidR="00345C4F" w:rsidRPr="000B29C4" w:rsidRDefault="00345C4F" w:rsidP="008C7011">
      <w:pPr>
        <w:ind w:firstLine="709"/>
        <w:jc w:val="both"/>
        <w:rPr>
          <w:rFonts w:ascii="Tahoma" w:hAnsi="Tahoma" w:cs="Tahoma"/>
          <w:bCs/>
          <w:sz w:val="23"/>
          <w:szCs w:val="23"/>
          <w:lang w:val="es-419"/>
        </w:rPr>
      </w:pPr>
    </w:p>
    <w:p w14:paraId="3C71F967" w14:textId="77777777" w:rsidR="00157C6F" w:rsidRPr="000B29C4" w:rsidRDefault="003179B6" w:rsidP="008C7011">
      <w:pPr>
        <w:spacing w:line="276" w:lineRule="auto"/>
        <w:jc w:val="center"/>
        <w:rPr>
          <w:rFonts w:ascii="Tahoma" w:hAnsi="Tahoma" w:cs="Tahoma"/>
          <w:b/>
          <w:bCs/>
          <w:sz w:val="23"/>
          <w:szCs w:val="23"/>
          <w:lang w:val="es-419"/>
        </w:rPr>
      </w:pPr>
      <w:r w:rsidRPr="000B29C4">
        <w:rPr>
          <w:rFonts w:ascii="Tahoma" w:hAnsi="Tahoma" w:cs="Tahoma"/>
          <w:b/>
          <w:bCs/>
          <w:sz w:val="23"/>
          <w:szCs w:val="23"/>
          <w:lang w:val="es-419"/>
        </w:rPr>
        <w:t>VI - CONSIDERACIONES</w:t>
      </w:r>
    </w:p>
    <w:p w14:paraId="7B79A7DA" w14:textId="77777777" w:rsidR="00295B94" w:rsidRPr="000B29C4" w:rsidRDefault="00295B94" w:rsidP="008C7011">
      <w:pPr>
        <w:ind w:firstLine="709"/>
        <w:jc w:val="both"/>
        <w:rPr>
          <w:rFonts w:ascii="Tahoma" w:hAnsi="Tahoma" w:cs="Tahoma"/>
          <w:bCs/>
          <w:sz w:val="23"/>
          <w:szCs w:val="23"/>
          <w:lang w:val="es-419"/>
        </w:rPr>
      </w:pPr>
    </w:p>
    <w:p w14:paraId="05294252" w14:textId="77777777" w:rsidR="00A85273" w:rsidRPr="000B29C4" w:rsidRDefault="00A85273" w:rsidP="00D91CC4">
      <w:pPr>
        <w:widowControl w:val="0"/>
        <w:jc w:val="center"/>
        <w:rPr>
          <w:rFonts w:ascii="Tahoma" w:hAnsi="Tahoma" w:cs="Tahoma"/>
          <w:b/>
          <w:sz w:val="23"/>
          <w:szCs w:val="23"/>
          <w:lang w:val="es-419"/>
        </w:rPr>
      </w:pPr>
      <w:r w:rsidRPr="000B29C4">
        <w:rPr>
          <w:rFonts w:ascii="Tahoma" w:hAnsi="Tahoma" w:cs="Tahoma"/>
          <w:b/>
          <w:sz w:val="23"/>
          <w:szCs w:val="23"/>
          <w:lang w:val="es-419"/>
        </w:rPr>
        <w:t xml:space="preserve">6.1. </w:t>
      </w:r>
      <w:r w:rsidR="00D91CC4" w:rsidRPr="000B29C4">
        <w:rPr>
          <w:rFonts w:ascii="Tahoma" w:hAnsi="Tahoma" w:cs="Tahoma"/>
          <w:b/>
          <w:sz w:val="23"/>
          <w:szCs w:val="23"/>
          <w:lang w:val="es-419"/>
        </w:rPr>
        <w:t xml:space="preserve">RÉGIMEN DE </w:t>
      </w:r>
      <w:r w:rsidRPr="000B29C4">
        <w:rPr>
          <w:rFonts w:ascii="Tahoma" w:hAnsi="Tahoma" w:cs="Tahoma"/>
          <w:b/>
          <w:sz w:val="23"/>
          <w:szCs w:val="23"/>
          <w:lang w:val="es-419"/>
        </w:rPr>
        <w:t>NULIDAD</w:t>
      </w:r>
      <w:r w:rsidR="00D91CC4" w:rsidRPr="000B29C4">
        <w:rPr>
          <w:rFonts w:ascii="Tahoma" w:hAnsi="Tahoma" w:cs="Tahoma"/>
          <w:b/>
          <w:sz w:val="23"/>
          <w:szCs w:val="23"/>
          <w:lang w:val="es-419"/>
        </w:rPr>
        <w:t xml:space="preserve">ES PROCESALES EN MATERIA LABORAL </w:t>
      </w:r>
    </w:p>
    <w:p w14:paraId="1AE1FB77" w14:textId="77777777" w:rsidR="00D91CC4" w:rsidRPr="000B29C4" w:rsidRDefault="00D91CC4" w:rsidP="00D91CC4">
      <w:pPr>
        <w:widowControl w:val="0"/>
        <w:jc w:val="center"/>
        <w:rPr>
          <w:rFonts w:ascii="Arial Narrow" w:hAnsi="Arial Narrow" w:cs="Tahoma"/>
          <w:sz w:val="23"/>
          <w:szCs w:val="23"/>
          <w:lang w:val="es-419"/>
        </w:rPr>
      </w:pPr>
    </w:p>
    <w:p w14:paraId="6A78B621" w14:textId="434B4FBB" w:rsidR="007E763A" w:rsidRPr="000B29C4" w:rsidRDefault="00CB33B1" w:rsidP="007E763A">
      <w:pPr>
        <w:widowControl w:val="0"/>
        <w:spacing w:line="276" w:lineRule="auto"/>
        <w:ind w:firstLine="708"/>
        <w:jc w:val="both"/>
        <w:rPr>
          <w:rFonts w:ascii="Tahoma" w:hAnsi="Tahoma" w:cs="Tahoma"/>
          <w:sz w:val="23"/>
          <w:szCs w:val="23"/>
          <w:lang w:val="es-419"/>
        </w:rPr>
      </w:pPr>
      <w:r w:rsidRPr="000B29C4">
        <w:rPr>
          <w:rFonts w:ascii="Tahoma" w:hAnsi="Tahoma" w:cs="Tahoma"/>
          <w:sz w:val="23"/>
          <w:szCs w:val="23"/>
          <w:lang w:val="es-419"/>
        </w:rPr>
        <w:t>Es bien sabido que el Código de Procedimiento Laboral y de la Seguridad So</w:t>
      </w:r>
      <w:r w:rsidR="00323FC3" w:rsidRPr="000B29C4">
        <w:rPr>
          <w:rFonts w:ascii="Tahoma" w:hAnsi="Tahoma" w:cs="Tahoma"/>
          <w:sz w:val="23"/>
          <w:szCs w:val="23"/>
          <w:lang w:val="es-419"/>
        </w:rPr>
        <w:t>cial no establece de manera exp</w:t>
      </w:r>
      <w:r w:rsidR="008D6044" w:rsidRPr="000B29C4">
        <w:rPr>
          <w:rFonts w:ascii="Tahoma" w:hAnsi="Tahoma" w:cs="Tahoma"/>
          <w:sz w:val="23"/>
          <w:szCs w:val="23"/>
          <w:lang w:val="es-419"/>
        </w:rPr>
        <w:t>resa las causales configurativas de</w:t>
      </w:r>
      <w:r w:rsidR="00714ED8" w:rsidRPr="000B29C4">
        <w:rPr>
          <w:rFonts w:ascii="Tahoma" w:hAnsi="Tahoma" w:cs="Tahoma"/>
          <w:sz w:val="23"/>
          <w:szCs w:val="23"/>
          <w:lang w:val="es-419"/>
        </w:rPr>
        <w:t xml:space="preserve"> nulidad</w:t>
      </w:r>
      <w:r w:rsidR="00323FC3" w:rsidRPr="000B29C4">
        <w:rPr>
          <w:rFonts w:ascii="Tahoma" w:hAnsi="Tahoma" w:cs="Tahoma"/>
          <w:sz w:val="23"/>
          <w:szCs w:val="23"/>
          <w:lang w:val="es-419"/>
        </w:rPr>
        <w:t xml:space="preserve"> en el trámite de</w:t>
      </w:r>
      <w:r w:rsidR="008D6044" w:rsidRPr="000B29C4">
        <w:rPr>
          <w:rFonts w:ascii="Tahoma" w:hAnsi="Tahoma" w:cs="Tahoma"/>
          <w:sz w:val="23"/>
          <w:szCs w:val="23"/>
          <w:lang w:val="es-419"/>
        </w:rPr>
        <w:t xml:space="preserve"> </w:t>
      </w:r>
      <w:r w:rsidR="00323FC3" w:rsidRPr="000B29C4">
        <w:rPr>
          <w:rFonts w:ascii="Tahoma" w:hAnsi="Tahoma" w:cs="Tahoma"/>
          <w:sz w:val="23"/>
          <w:szCs w:val="23"/>
          <w:lang w:val="es-419"/>
        </w:rPr>
        <w:t>procesos</w:t>
      </w:r>
      <w:r w:rsidR="008D6044" w:rsidRPr="000B29C4">
        <w:rPr>
          <w:rFonts w:ascii="Tahoma" w:hAnsi="Tahoma" w:cs="Tahoma"/>
          <w:sz w:val="23"/>
          <w:szCs w:val="23"/>
          <w:lang w:val="es-419"/>
        </w:rPr>
        <w:t xml:space="preserve"> y demandas adelantada</w:t>
      </w:r>
      <w:r w:rsidR="00323FC3" w:rsidRPr="000B29C4">
        <w:rPr>
          <w:rFonts w:ascii="Tahoma" w:hAnsi="Tahoma" w:cs="Tahoma"/>
          <w:sz w:val="23"/>
          <w:szCs w:val="23"/>
          <w:lang w:val="es-419"/>
        </w:rPr>
        <w:t>s ante la espe</w:t>
      </w:r>
      <w:r w:rsidR="008D6044" w:rsidRPr="000B29C4">
        <w:rPr>
          <w:rFonts w:ascii="Tahoma" w:hAnsi="Tahoma" w:cs="Tahoma"/>
          <w:sz w:val="23"/>
          <w:szCs w:val="23"/>
          <w:lang w:val="es-419"/>
        </w:rPr>
        <w:t>cialidad laboral. T</w:t>
      </w:r>
      <w:r w:rsidR="00323FC3" w:rsidRPr="000B29C4">
        <w:rPr>
          <w:rFonts w:ascii="Tahoma" w:hAnsi="Tahoma" w:cs="Tahoma"/>
          <w:sz w:val="23"/>
          <w:szCs w:val="23"/>
          <w:lang w:val="es-419"/>
        </w:rPr>
        <w:t>ampoco existe en la</w:t>
      </w:r>
      <w:r w:rsidR="007C645E" w:rsidRPr="000B29C4">
        <w:rPr>
          <w:rFonts w:ascii="Tahoma" w:hAnsi="Tahoma" w:cs="Tahoma"/>
          <w:sz w:val="23"/>
          <w:szCs w:val="23"/>
          <w:lang w:val="es-419"/>
        </w:rPr>
        <w:t>s</w:t>
      </w:r>
      <w:r w:rsidR="00323FC3" w:rsidRPr="000B29C4">
        <w:rPr>
          <w:rFonts w:ascii="Tahoma" w:hAnsi="Tahoma" w:cs="Tahoma"/>
          <w:sz w:val="23"/>
          <w:szCs w:val="23"/>
          <w:lang w:val="es-419"/>
        </w:rPr>
        <w:t xml:space="preserve"> ley</w:t>
      </w:r>
      <w:r w:rsidR="007C645E" w:rsidRPr="000B29C4">
        <w:rPr>
          <w:rFonts w:ascii="Tahoma" w:hAnsi="Tahoma" w:cs="Tahoma"/>
          <w:sz w:val="23"/>
          <w:szCs w:val="23"/>
          <w:lang w:val="es-419"/>
        </w:rPr>
        <w:t>es</w:t>
      </w:r>
      <w:r w:rsidR="00323FC3" w:rsidRPr="000B29C4">
        <w:rPr>
          <w:rFonts w:ascii="Tahoma" w:hAnsi="Tahoma" w:cs="Tahoma"/>
          <w:sz w:val="23"/>
          <w:szCs w:val="23"/>
          <w:lang w:val="es-419"/>
        </w:rPr>
        <w:t xml:space="preserve"> adjetiva</w:t>
      </w:r>
      <w:r w:rsidR="007C645E" w:rsidRPr="000B29C4">
        <w:rPr>
          <w:rFonts w:ascii="Tahoma" w:hAnsi="Tahoma" w:cs="Tahoma"/>
          <w:sz w:val="23"/>
          <w:szCs w:val="23"/>
          <w:lang w:val="es-419"/>
        </w:rPr>
        <w:t>s</w:t>
      </w:r>
      <w:r w:rsidR="00323FC3" w:rsidRPr="000B29C4">
        <w:rPr>
          <w:rFonts w:ascii="Tahoma" w:hAnsi="Tahoma" w:cs="Tahoma"/>
          <w:sz w:val="23"/>
          <w:szCs w:val="23"/>
          <w:lang w:val="es-419"/>
        </w:rPr>
        <w:t xml:space="preserve"> laboral</w:t>
      </w:r>
      <w:r w:rsidR="007C645E" w:rsidRPr="000B29C4">
        <w:rPr>
          <w:rFonts w:ascii="Tahoma" w:hAnsi="Tahoma" w:cs="Tahoma"/>
          <w:sz w:val="23"/>
          <w:szCs w:val="23"/>
          <w:lang w:val="es-419"/>
        </w:rPr>
        <w:t>es</w:t>
      </w:r>
      <w:r w:rsidR="00323FC3" w:rsidRPr="000B29C4">
        <w:rPr>
          <w:rFonts w:ascii="Tahoma" w:hAnsi="Tahoma" w:cs="Tahoma"/>
          <w:sz w:val="23"/>
          <w:szCs w:val="23"/>
          <w:lang w:val="es-419"/>
        </w:rPr>
        <w:t xml:space="preserve"> precepto alguno que regule de manera puntual la oportunidad</w:t>
      </w:r>
      <w:r w:rsidR="008D6044" w:rsidRPr="000B29C4">
        <w:rPr>
          <w:rFonts w:ascii="Tahoma" w:hAnsi="Tahoma" w:cs="Tahoma"/>
          <w:sz w:val="23"/>
          <w:szCs w:val="23"/>
          <w:lang w:val="es-419"/>
        </w:rPr>
        <w:t xml:space="preserve"> </w:t>
      </w:r>
      <w:r w:rsidR="00323FC3" w:rsidRPr="000B29C4">
        <w:rPr>
          <w:rFonts w:ascii="Tahoma" w:hAnsi="Tahoma" w:cs="Tahoma"/>
          <w:sz w:val="23"/>
          <w:szCs w:val="23"/>
          <w:lang w:val="es-419"/>
        </w:rPr>
        <w:t>para proponer nulidades</w:t>
      </w:r>
      <w:r w:rsidR="007C645E" w:rsidRPr="000B29C4">
        <w:rPr>
          <w:rFonts w:ascii="Tahoma" w:hAnsi="Tahoma" w:cs="Tahoma"/>
          <w:sz w:val="23"/>
          <w:szCs w:val="23"/>
          <w:lang w:val="es-419"/>
        </w:rPr>
        <w:t xml:space="preserve"> procesales</w:t>
      </w:r>
      <w:r w:rsidR="00323FC3" w:rsidRPr="000B29C4">
        <w:rPr>
          <w:rFonts w:ascii="Tahoma" w:hAnsi="Tahoma" w:cs="Tahoma"/>
          <w:sz w:val="23"/>
          <w:szCs w:val="23"/>
          <w:lang w:val="es-419"/>
        </w:rPr>
        <w:t xml:space="preserve">, ni los efectos que su declaratoria tiene sobre los procesos en trámite. </w:t>
      </w:r>
    </w:p>
    <w:p w14:paraId="33F00F25" w14:textId="77777777" w:rsidR="007E763A" w:rsidRPr="000B29C4" w:rsidRDefault="007E763A" w:rsidP="008C7011">
      <w:pPr>
        <w:widowControl w:val="0"/>
        <w:ind w:firstLine="708"/>
        <w:jc w:val="both"/>
        <w:rPr>
          <w:rFonts w:ascii="Tahoma" w:hAnsi="Tahoma" w:cs="Tahoma"/>
          <w:sz w:val="23"/>
          <w:szCs w:val="23"/>
          <w:lang w:val="es-419"/>
        </w:rPr>
      </w:pPr>
    </w:p>
    <w:p w14:paraId="1B81BB49" w14:textId="49168B02" w:rsidR="008D6044" w:rsidRPr="000B29C4" w:rsidRDefault="007E763A" w:rsidP="008D6044">
      <w:pPr>
        <w:widowControl w:val="0"/>
        <w:spacing w:line="276" w:lineRule="auto"/>
        <w:ind w:firstLine="708"/>
        <w:jc w:val="both"/>
        <w:rPr>
          <w:rFonts w:ascii="Tahoma" w:hAnsi="Tahoma" w:cs="Tahoma"/>
          <w:sz w:val="23"/>
          <w:szCs w:val="23"/>
          <w:lang w:val="es-419"/>
        </w:rPr>
      </w:pPr>
      <w:r w:rsidRPr="000B29C4">
        <w:rPr>
          <w:rFonts w:ascii="Tahoma" w:hAnsi="Tahoma" w:cs="Tahoma"/>
          <w:sz w:val="23"/>
          <w:szCs w:val="23"/>
          <w:lang w:val="es-419"/>
        </w:rPr>
        <w:t>No obstante lo anterior</w:t>
      </w:r>
      <w:r w:rsidR="00323FC3" w:rsidRPr="000B29C4">
        <w:rPr>
          <w:rFonts w:ascii="Tahoma" w:hAnsi="Tahoma" w:cs="Tahoma"/>
          <w:sz w:val="23"/>
          <w:szCs w:val="23"/>
          <w:lang w:val="es-419"/>
        </w:rPr>
        <w:t xml:space="preserve">, </w:t>
      </w:r>
      <w:r w:rsidRPr="000B29C4">
        <w:rPr>
          <w:rFonts w:ascii="Tahoma" w:hAnsi="Tahoma" w:cs="Tahoma"/>
          <w:sz w:val="23"/>
          <w:szCs w:val="23"/>
          <w:lang w:val="es-419"/>
        </w:rPr>
        <w:t xml:space="preserve">con la entrada en </w:t>
      </w:r>
      <w:r w:rsidR="00A85273" w:rsidRPr="000B29C4">
        <w:rPr>
          <w:rFonts w:ascii="Tahoma" w:hAnsi="Tahoma" w:cs="Tahoma"/>
          <w:sz w:val="23"/>
          <w:szCs w:val="23"/>
          <w:lang w:val="es-419"/>
        </w:rPr>
        <w:t xml:space="preserve">vigencia de la Ley </w:t>
      </w:r>
      <w:r w:rsidR="00A85273" w:rsidRPr="000B29C4">
        <w:rPr>
          <w:rFonts w:ascii="Tahoma" w:hAnsi="Tahoma" w:cs="Tahoma"/>
          <w:sz w:val="23"/>
          <w:szCs w:val="23"/>
          <w:u w:val="single"/>
          <w:lang w:val="es-419"/>
        </w:rPr>
        <w:t>1564 de 2012</w:t>
      </w:r>
      <w:r w:rsidR="00073D48" w:rsidRPr="000B29C4">
        <w:rPr>
          <w:rFonts w:ascii="Tahoma" w:hAnsi="Tahoma" w:cs="Tahoma"/>
          <w:sz w:val="23"/>
          <w:szCs w:val="23"/>
          <w:lang w:val="es-419"/>
        </w:rPr>
        <w:t xml:space="preserve">, </w:t>
      </w:r>
      <w:r w:rsidR="00A85273" w:rsidRPr="000B29C4">
        <w:rPr>
          <w:rFonts w:ascii="Arial Narrow" w:hAnsi="Arial Narrow" w:cs="Arial Hebrew"/>
          <w:i/>
          <w:sz w:val="23"/>
          <w:szCs w:val="23"/>
          <w:lang w:val="es-419"/>
        </w:rPr>
        <w:t>“</w:t>
      </w:r>
      <w:r w:rsidR="00A85273" w:rsidRPr="000B29C4">
        <w:rPr>
          <w:rFonts w:ascii="Arial Narrow" w:eastAsia="Calibri" w:hAnsi="Arial Narrow" w:cs="Calibri"/>
          <w:i/>
          <w:sz w:val="23"/>
          <w:szCs w:val="23"/>
          <w:lang w:val="es-419"/>
        </w:rPr>
        <w:t>por</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medio</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de</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la</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cual</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se</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expide</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el</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Código</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General</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del</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Proceso</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y</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se</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dictan</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otras</w:t>
      </w:r>
      <w:r w:rsidR="00A85273" w:rsidRPr="000B29C4">
        <w:rPr>
          <w:rFonts w:ascii="Arial Narrow" w:hAnsi="Arial Narrow" w:cs="Arial Hebrew"/>
          <w:i/>
          <w:sz w:val="23"/>
          <w:szCs w:val="23"/>
          <w:lang w:val="es-419"/>
        </w:rPr>
        <w:t xml:space="preserve"> </w:t>
      </w:r>
      <w:r w:rsidR="00A85273" w:rsidRPr="000B29C4">
        <w:rPr>
          <w:rFonts w:ascii="Arial Narrow" w:eastAsia="Calibri" w:hAnsi="Arial Narrow" w:cs="Calibri"/>
          <w:i/>
          <w:sz w:val="23"/>
          <w:szCs w:val="23"/>
          <w:lang w:val="es-419"/>
        </w:rPr>
        <w:t>disposiciones</w:t>
      </w:r>
      <w:r w:rsidR="00A85273" w:rsidRPr="000B29C4">
        <w:rPr>
          <w:rFonts w:ascii="Arial Narrow" w:hAnsi="Arial Narrow" w:cs="Arial Hebrew"/>
          <w:i/>
          <w:sz w:val="23"/>
          <w:szCs w:val="23"/>
          <w:lang w:val="es-419"/>
        </w:rPr>
        <w:t>”</w:t>
      </w:r>
      <w:r w:rsidR="00A85273" w:rsidRPr="000B29C4">
        <w:rPr>
          <w:rFonts w:ascii="Tahoma" w:hAnsi="Tahoma" w:cs="Tahoma"/>
          <w:sz w:val="23"/>
          <w:szCs w:val="23"/>
          <w:lang w:val="es-419"/>
        </w:rPr>
        <w:t xml:space="preserve">, </w:t>
      </w:r>
      <w:r w:rsidRPr="000B29C4">
        <w:rPr>
          <w:rFonts w:ascii="Tahoma" w:hAnsi="Tahoma" w:cs="Tahoma"/>
          <w:sz w:val="23"/>
          <w:szCs w:val="23"/>
          <w:lang w:val="es-419"/>
        </w:rPr>
        <w:t xml:space="preserve">se estableció </w:t>
      </w:r>
      <w:r w:rsidR="008D6044" w:rsidRPr="000B29C4">
        <w:rPr>
          <w:rFonts w:ascii="Tahoma" w:hAnsi="Tahoma" w:cs="Tahoma"/>
          <w:sz w:val="23"/>
          <w:szCs w:val="23"/>
          <w:lang w:val="es-419"/>
        </w:rPr>
        <w:t>que dicho código</w:t>
      </w:r>
      <w:r w:rsidRPr="000B29C4">
        <w:rPr>
          <w:rFonts w:ascii="Tahoma" w:hAnsi="Tahoma" w:cs="Tahoma"/>
          <w:sz w:val="23"/>
          <w:szCs w:val="23"/>
          <w:lang w:val="es-419"/>
        </w:rPr>
        <w:t xml:space="preserve"> debe aplicarse </w:t>
      </w:r>
      <w:r w:rsidR="00CB33B1" w:rsidRPr="000B29C4">
        <w:rPr>
          <w:rFonts w:ascii="Tahoma" w:hAnsi="Tahoma" w:cs="Tahoma"/>
          <w:sz w:val="23"/>
          <w:szCs w:val="23"/>
          <w:lang w:val="es-419"/>
        </w:rPr>
        <w:t>al</w:t>
      </w:r>
      <w:r w:rsidR="00A85273" w:rsidRPr="000B29C4">
        <w:rPr>
          <w:rFonts w:ascii="Tahoma" w:hAnsi="Tahoma" w:cs="Tahoma"/>
          <w:sz w:val="23"/>
          <w:szCs w:val="23"/>
          <w:lang w:val="es-419"/>
        </w:rPr>
        <w:t xml:space="preserve"> proceso laboral en todo aquello que no esté expresamente regulado por </w:t>
      </w:r>
      <w:r w:rsidRPr="000B29C4">
        <w:rPr>
          <w:rFonts w:ascii="Tahoma" w:hAnsi="Tahoma" w:cs="Tahoma"/>
          <w:sz w:val="23"/>
          <w:szCs w:val="23"/>
          <w:lang w:val="es-419"/>
        </w:rPr>
        <w:t>otra</w:t>
      </w:r>
      <w:r w:rsidR="00073D48" w:rsidRPr="000B29C4">
        <w:rPr>
          <w:rFonts w:ascii="Tahoma" w:hAnsi="Tahoma" w:cs="Tahoma"/>
          <w:sz w:val="23"/>
          <w:szCs w:val="23"/>
          <w:lang w:val="es-419"/>
        </w:rPr>
        <w:t>s</w:t>
      </w:r>
      <w:r w:rsidRPr="000B29C4">
        <w:rPr>
          <w:rFonts w:ascii="Tahoma" w:hAnsi="Tahoma" w:cs="Tahoma"/>
          <w:sz w:val="23"/>
          <w:szCs w:val="23"/>
          <w:lang w:val="es-419"/>
        </w:rPr>
        <w:t xml:space="preserve"> norma</w:t>
      </w:r>
      <w:r w:rsidR="00073D48" w:rsidRPr="000B29C4">
        <w:rPr>
          <w:rFonts w:ascii="Tahoma" w:hAnsi="Tahoma" w:cs="Tahoma"/>
          <w:sz w:val="23"/>
          <w:szCs w:val="23"/>
          <w:lang w:val="es-419"/>
        </w:rPr>
        <w:t>s</w:t>
      </w:r>
      <w:r w:rsidRPr="000B29C4">
        <w:rPr>
          <w:rFonts w:ascii="Tahoma" w:hAnsi="Tahoma" w:cs="Tahoma"/>
          <w:sz w:val="23"/>
          <w:szCs w:val="23"/>
          <w:lang w:val="es-419"/>
        </w:rPr>
        <w:t xml:space="preserve"> de carácter especial</w:t>
      </w:r>
      <w:r w:rsidR="00A85273" w:rsidRPr="000B29C4">
        <w:rPr>
          <w:rFonts w:ascii="Tahoma" w:hAnsi="Tahoma" w:cs="Tahoma"/>
          <w:sz w:val="23"/>
          <w:szCs w:val="23"/>
          <w:lang w:val="es-419"/>
        </w:rPr>
        <w:t>,</w:t>
      </w:r>
      <w:r w:rsidRPr="000B29C4">
        <w:rPr>
          <w:rFonts w:ascii="Tahoma" w:hAnsi="Tahoma" w:cs="Tahoma"/>
          <w:sz w:val="23"/>
          <w:szCs w:val="23"/>
          <w:lang w:val="es-419"/>
        </w:rPr>
        <w:t xml:space="preserve"> </w:t>
      </w:r>
      <w:r w:rsidR="008D6044" w:rsidRPr="000B29C4">
        <w:rPr>
          <w:rFonts w:ascii="Tahoma" w:hAnsi="Tahoma" w:cs="Tahoma"/>
          <w:sz w:val="23"/>
          <w:szCs w:val="23"/>
          <w:lang w:val="es-419"/>
        </w:rPr>
        <w:t>tal como se</w:t>
      </w:r>
      <w:r w:rsidR="00A85273" w:rsidRPr="000B29C4">
        <w:rPr>
          <w:rFonts w:ascii="Tahoma" w:hAnsi="Tahoma" w:cs="Tahoma"/>
          <w:sz w:val="23"/>
          <w:szCs w:val="23"/>
          <w:lang w:val="es-419"/>
        </w:rPr>
        <w:t xml:space="preserve"> desprende del ar</w:t>
      </w:r>
      <w:r w:rsidR="00CB33B1" w:rsidRPr="000B29C4">
        <w:rPr>
          <w:rFonts w:ascii="Tahoma" w:hAnsi="Tahoma" w:cs="Tahoma"/>
          <w:sz w:val="23"/>
          <w:szCs w:val="23"/>
          <w:lang w:val="es-419"/>
        </w:rPr>
        <w:t>tículo 1º de la citada ley</w:t>
      </w:r>
      <w:r w:rsidRPr="000B29C4">
        <w:rPr>
          <w:rFonts w:ascii="Tahoma" w:hAnsi="Tahoma" w:cs="Tahoma"/>
          <w:sz w:val="23"/>
          <w:szCs w:val="23"/>
          <w:lang w:val="es-419"/>
        </w:rPr>
        <w:t xml:space="preserve">, </w:t>
      </w:r>
      <w:r w:rsidR="00073D48" w:rsidRPr="000B29C4">
        <w:rPr>
          <w:rFonts w:ascii="Tahoma" w:hAnsi="Tahoma" w:cs="Tahoma"/>
          <w:sz w:val="23"/>
          <w:szCs w:val="23"/>
          <w:lang w:val="es-419"/>
        </w:rPr>
        <w:t xml:space="preserve">aunado a que, </w:t>
      </w:r>
      <w:r w:rsidR="008D6044" w:rsidRPr="000B29C4">
        <w:rPr>
          <w:rFonts w:ascii="Tahoma" w:hAnsi="Tahoma" w:cs="Tahoma"/>
          <w:sz w:val="23"/>
          <w:szCs w:val="23"/>
          <w:lang w:val="es-419"/>
        </w:rPr>
        <w:t xml:space="preserve">a falta de disposiciones especiales en el procedimiento del trabajo, el juez laboral debe acudir a la </w:t>
      </w:r>
      <w:r w:rsidR="00CB33B1" w:rsidRPr="000B29C4">
        <w:rPr>
          <w:rFonts w:ascii="Tahoma" w:hAnsi="Tahoma" w:cs="Tahoma"/>
          <w:sz w:val="23"/>
          <w:szCs w:val="23"/>
          <w:lang w:val="es-419"/>
        </w:rPr>
        <w:t>integración analógica ordenada por el</w:t>
      </w:r>
      <w:r w:rsidR="00073D48" w:rsidRPr="000B29C4">
        <w:rPr>
          <w:rFonts w:ascii="Tahoma" w:hAnsi="Tahoma" w:cs="Tahoma"/>
          <w:sz w:val="23"/>
          <w:szCs w:val="23"/>
          <w:lang w:val="es-419"/>
        </w:rPr>
        <w:t xml:space="preserve"> artículo 145 del CPT y de la SS,</w:t>
      </w:r>
      <w:r w:rsidR="008D6044" w:rsidRPr="000B29C4">
        <w:rPr>
          <w:rFonts w:ascii="Tahoma" w:hAnsi="Tahoma" w:cs="Tahoma"/>
          <w:sz w:val="23"/>
          <w:szCs w:val="23"/>
          <w:lang w:val="es-419"/>
        </w:rPr>
        <w:t xml:space="preserve"> y por tanto suplir el </w:t>
      </w:r>
      <w:r w:rsidR="00345C4F" w:rsidRPr="000B29C4">
        <w:rPr>
          <w:rFonts w:ascii="Tahoma" w:hAnsi="Tahoma" w:cs="Tahoma"/>
          <w:sz w:val="23"/>
          <w:szCs w:val="23"/>
          <w:lang w:val="es-419"/>
        </w:rPr>
        <w:t>vacío</w:t>
      </w:r>
      <w:r w:rsidR="008D6044" w:rsidRPr="000B29C4">
        <w:rPr>
          <w:rFonts w:ascii="Tahoma" w:hAnsi="Tahoma" w:cs="Tahoma"/>
          <w:sz w:val="23"/>
          <w:szCs w:val="23"/>
          <w:lang w:val="es-419"/>
        </w:rPr>
        <w:t xml:space="preserve"> normativo con las normas del CGP.</w:t>
      </w:r>
    </w:p>
    <w:p w14:paraId="5AFAA5E0" w14:textId="77777777" w:rsidR="008D6044" w:rsidRPr="000B29C4" w:rsidRDefault="008D6044" w:rsidP="008C7011">
      <w:pPr>
        <w:widowControl w:val="0"/>
        <w:ind w:firstLine="708"/>
        <w:jc w:val="both"/>
        <w:rPr>
          <w:rFonts w:ascii="Tahoma" w:hAnsi="Tahoma" w:cs="Tahoma"/>
          <w:sz w:val="23"/>
          <w:szCs w:val="23"/>
          <w:lang w:val="es-419"/>
        </w:rPr>
      </w:pPr>
    </w:p>
    <w:p w14:paraId="5CBA71B8" w14:textId="2CB3759F" w:rsidR="00D91CC4" w:rsidRPr="000B29C4" w:rsidRDefault="007C645E" w:rsidP="00D91CC4">
      <w:pPr>
        <w:widowControl w:val="0"/>
        <w:spacing w:line="276" w:lineRule="auto"/>
        <w:ind w:firstLine="708"/>
        <w:jc w:val="both"/>
        <w:rPr>
          <w:rFonts w:ascii="Tahoma" w:eastAsiaTheme="minorHAnsi" w:hAnsi="Tahoma" w:cs="Tahoma"/>
          <w:sz w:val="23"/>
          <w:szCs w:val="23"/>
          <w:lang w:val="es-419" w:eastAsia="es-ES_tradnl"/>
        </w:rPr>
      </w:pPr>
      <w:r w:rsidRPr="000B29C4">
        <w:rPr>
          <w:rFonts w:ascii="Tahoma" w:hAnsi="Tahoma" w:cs="Tahoma"/>
          <w:sz w:val="23"/>
          <w:szCs w:val="23"/>
          <w:lang w:val="es-419"/>
        </w:rPr>
        <w:t>Aclarado lo anterior, cabe advertir que el régimen de nulidades</w:t>
      </w:r>
      <w:r w:rsidR="00256E0C" w:rsidRPr="000B29C4">
        <w:rPr>
          <w:rFonts w:ascii="Tahoma" w:hAnsi="Tahoma" w:cs="Tahoma"/>
          <w:sz w:val="23"/>
          <w:szCs w:val="23"/>
          <w:lang w:val="es-419"/>
        </w:rPr>
        <w:t xml:space="preserve"> procesales dispuesto en el CGP, tiene un carácter excepcional y taxativo, al punto que las </w:t>
      </w:r>
      <w:r w:rsidR="00345C4F" w:rsidRPr="000B29C4">
        <w:rPr>
          <w:rFonts w:ascii="Tahoma" w:hAnsi="Tahoma" w:cs="Tahoma"/>
          <w:sz w:val="23"/>
          <w:szCs w:val="23"/>
          <w:lang w:val="es-419"/>
        </w:rPr>
        <w:t>únicas</w:t>
      </w:r>
      <w:r w:rsidR="00256E0C" w:rsidRPr="000B29C4">
        <w:rPr>
          <w:rFonts w:ascii="Tahoma" w:hAnsi="Tahoma" w:cs="Tahoma"/>
          <w:sz w:val="23"/>
          <w:szCs w:val="23"/>
          <w:lang w:val="es-419"/>
        </w:rPr>
        <w:t xml:space="preserve"> nulidades insaneables, </w:t>
      </w:r>
      <w:r w:rsidR="00FE4AF4" w:rsidRPr="000B29C4">
        <w:rPr>
          <w:rFonts w:ascii="Tahoma" w:hAnsi="Tahoma" w:cs="Tahoma"/>
          <w:sz w:val="23"/>
          <w:szCs w:val="23"/>
          <w:lang w:val="es-419"/>
        </w:rPr>
        <w:t xml:space="preserve">según lo dispuesto por el parágrafo del artículo 136 ídem, son aquellas que se configuran </w:t>
      </w:r>
      <w:r w:rsidR="00FE4AF4" w:rsidRPr="000B29C4">
        <w:rPr>
          <w:rFonts w:ascii="Tahoma" w:eastAsiaTheme="minorHAnsi" w:hAnsi="Tahoma" w:cs="Tahoma"/>
          <w:sz w:val="23"/>
          <w:szCs w:val="23"/>
          <w:lang w:val="es-419" w:eastAsia="es-ES_tradnl"/>
        </w:rPr>
        <w:t xml:space="preserve">por el juez proceder contra providencia ejecutoriada del superior, revivir un proceso legalmente concluido o pretermitir íntegramente la respectiva instancia. Las demás nulidades, conforme al mismo artículo, se sanean </w:t>
      </w:r>
      <w:r w:rsidR="00FE4AF4" w:rsidRPr="000B29C4">
        <w:rPr>
          <w:rFonts w:ascii="Tahoma" w:eastAsiaTheme="minorHAnsi" w:hAnsi="Tahoma" w:cs="Tahoma"/>
          <w:b/>
          <w:sz w:val="23"/>
          <w:szCs w:val="23"/>
          <w:lang w:val="es-419" w:eastAsia="es-ES_tradnl"/>
        </w:rPr>
        <w:t>1)</w:t>
      </w:r>
      <w:r w:rsidR="00FE4AF4" w:rsidRPr="000B29C4">
        <w:rPr>
          <w:rFonts w:ascii="Tahoma" w:eastAsiaTheme="minorHAnsi" w:hAnsi="Tahoma" w:cs="Tahoma"/>
          <w:sz w:val="23"/>
          <w:szCs w:val="23"/>
          <w:lang w:val="es-419" w:eastAsia="es-ES_tradnl"/>
        </w:rPr>
        <w:t xml:space="preserve"> cuando la parte que podía alegarla no lo hizo oportunamente o actuó sin proponerla, </w:t>
      </w:r>
      <w:r w:rsidR="00FE4AF4" w:rsidRPr="000B29C4">
        <w:rPr>
          <w:rFonts w:ascii="Tahoma" w:eastAsiaTheme="minorHAnsi" w:hAnsi="Tahoma" w:cs="Tahoma"/>
          <w:b/>
          <w:sz w:val="23"/>
          <w:szCs w:val="23"/>
          <w:lang w:val="es-419" w:eastAsia="es-ES_tradnl"/>
        </w:rPr>
        <w:t xml:space="preserve">2) </w:t>
      </w:r>
      <w:r w:rsidR="00FE4AF4" w:rsidRPr="000B29C4">
        <w:rPr>
          <w:rFonts w:ascii="Tahoma" w:eastAsiaTheme="minorHAnsi" w:hAnsi="Tahoma" w:cs="Tahoma"/>
          <w:sz w:val="23"/>
          <w:szCs w:val="23"/>
          <w:lang w:val="es-419" w:eastAsia="es-ES_tradnl"/>
        </w:rPr>
        <w:t xml:space="preserve">cuando la parte que podía alegarla la convalidó en forma expresa antes de haber sido renovada la actuación anulada. </w:t>
      </w:r>
      <w:r w:rsidR="00FE4AF4" w:rsidRPr="000B29C4">
        <w:rPr>
          <w:rFonts w:ascii="Tahoma" w:eastAsiaTheme="minorHAnsi" w:hAnsi="Tahoma" w:cs="Tahoma"/>
          <w:b/>
          <w:sz w:val="23"/>
          <w:szCs w:val="23"/>
          <w:lang w:val="es-419" w:eastAsia="es-ES_tradnl"/>
        </w:rPr>
        <w:t xml:space="preserve">3) </w:t>
      </w:r>
      <w:r w:rsidR="00FE4AF4" w:rsidRPr="000B29C4">
        <w:rPr>
          <w:rFonts w:ascii="Tahoma" w:eastAsiaTheme="minorHAnsi" w:hAnsi="Tahoma" w:cs="Tahoma"/>
          <w:sz w:val="23"/>
          <w:szCs w:val="23"/>
          <w:lang w:val="es-419" w:eastAsia="es-ES_tradnl"/>
        </w:rPr>
        <w:t xml:space="preserve">cuando se origine en la </w:t>
      </w:r>
      <w:r w:rsidR="00D91CC4" w:rsidRPr="000B29C4">
        <w:rPr>
          <w:rFonts w:ascii="Tahoma" w:eastAsiaTheme="minorHAnsi" w:hAnsi="Tahoma" w:cs="Tahoma"/>
          <w:sz w:val="23"/>
          <w:szCs w:val="23"/>
          <w:lang w:val="es-419" w:eastAsia="es-ES_tradnl"/>
        </w:rPr>
        <w:t>interrupción</w:t>
      </w:r>
      <w:r w:rsidR="00FE4AF4" w:rsidRPr="000B29C4">
        <w:rPr>
          <w:rFonts w:ascii="Tahoma" w:eastAsiaTheme="minorHAnsi" w:hAnsi="Tahoma" w:cs="Tahoma"/>
          <w:sz w:val="23"/>
          <w:szCs w:val="23"/>
          <w:lang w:val="es-419" w:eastAsia="es-ES_tradnl"/>
        </w:rPr>
        <w:t xml:space="preserve"> o </w:t>
      </w:r>
      <w:r w:rsidR="00D91CC4" w:rsidRPr="000B29C4">
        <w:rPr>
          <w:rFonts w:ascii="Tahoma" w:eastAsiaTheme="minorHAnsi" w:hAnsi="Tahoma" w:cs="Tahoma"/>
          <w:sz w:val="23"/>
          <w:szCs w:val="23"/>
          <w:lang w:val="es-419" w:eastAsia="es-ES_tradnl"/>
        </w:rPr>
        <w:t>suspensión</w:t>
      </w:r>
      <w:r w:rsidR="00FE4AF4" w:rsidRPr="000B29C4">
        <w:rPr>
          <w:rFonts w:ascii="Tahoma" w:eastAsiaTheme="minorHAnsi" w:hAnsi="Tahoma" w:cs="Tahoma"/>
          <w:sz w:val="23"/>
          <w:szCs w:val="23"/>
          <w:lang w:val="es-419" w:eastAsia="es-ES_tradnl"/>
        </w:rPr>
        <w:t xml:space="preserve"> del proceso y no se alegue dentro de los cinco (5) </w:t>
      </w:r>
      <w:r w:rsidR="00D91CC4" w:rsidRPr="000B29C4">
        <w:rPr>
          <w:rFonts w:ascii="Tahoma" w:eastAsiaTheme="minorHAnsi" w:hAnsi="Tahoma" w:cs="Tahoma"/>
          <w:sz w:val="23"/>
          <w:szCs w:val="23"/>
          <w:lang w:val="es-419" w:eastAsia="es-ES_tradnl"/>
        </w:rPr>
        <w:t>días</w:t>
      </w:r>
      <w:r w:rsidR="00FE4AF4" w:rsidRPr="000B29C4">
        <w:rPr>
          <w:rFonts w:ascii="Tahoma" w:eastAsiaTheme="minorHAnsi" w:hAnsi="Tahoma" w:cs="Tahoma"/>
          <w:sz w:val="23"/>
          <w:szCs w:val="23"/>
          <w:lang w:val="es-419" w:eastAsia="es-ES_tradnl"/>
        </w:rPr>
        <w:t xml:space="preserve"> siguientes a la fecha en que haya cesado la causa</w:t>
      </w:r>
      <w:r w:rsidR="00D91CC4" w:rsidRPr="000B29C4">
        <w:rPr>
          <w:rFonts w:ascii="Tahoma" w:eastAsiaTheme="minorHAnsi" w:hAnsi="Tahoma" w:cs="Tahoma"/>
          <w:sz w:val="23"/>
          <w:szCs w:val="23"/>
          <w:lang w:val="es-419" w:eastAsia="es-ES_tradnl"/>
        </w:rPr>
        <w:t xml:space="preserve"> y,</w:t>
      </w:r>
      <w:r w:rsidR="00D91CC4" w:rsidRPr="000B29C4">
        <w:rPr>
          <w:rFonts w:ascii="Tahoma" w:eastAsiaTheme="minorHAnsi" w:hAnsi="Tahoma" w:cs="Tahoma"/>
          <w:b/>
          <w:sz w:val="23"/>
          <w:szCs w:val="23"/>
          <w:lang w:val="es-419" w:eastAsia="es-ES_tradnl"/>
        </w:rPr>
        <w:t xml:space="preserve"> 4) </w:t>
      </w:r>
      <w:r w:rsidR="00D91CC4" w:rsidRPr="000B29C4">
        <w:rPr>
          <w:rFonts w:ascii="Tahoma" w:eastAsiaTheme="minorHAnsi" w:hAnsi="Tahoma" w:cs="Tahoma"/>
          <w:sz w:val="23"/>
          <w:szCs w:val="23"/>
          <w:lang w:val="es-419" w:eastAsia="es-ES_tradnl"/>
        </w:rPr>
        <w:t>c</w:t>
      </w:r>
      <w:r w:rsidR="00FE4AF4" w:rsidRPr="000B29C4">
        <w:rPr>
          <w:rFonts w:ascii="Tahoma" w:eastAsiaTheme="minorHAnsi" w:hAnsi="Tahoma" w:cs="Tahoma"/>
          <w:sz w:val="23"/>
          <w:szCs w:val="23"/>
          <w:lang w:val="es-419" w:eastAsia="es-ES_tradnl"/>
        </w:rPr>
        <w:t xml:space="preserve">uando a pesar del vicio el acto procesal </w:t>
      </w:r>
      <w:r w:rsidR="00D91CC4" w:rsidRPr="000B29C4">
        <w:rPr>
          <w:rFonts w:ascii="Tahoma" w:eastAsiaTheme="minorHAnsi" w:hAnsi="Tahoma" w:cs="Tahoma"/>
          <w:sz w:val="23"/>
          <w:szCs w:val="23"/>
          <w:lang w:val="es-419" w:eastAsia="es-ES_tradnl"/>
        </w:rPr>
        <w:t>cumplió́ su finalidad y no se violó</w:t>
      </w:r>
      <w:r w:rsidR="00FE4AF4" w:rsidRPr="000B29C4">
        <w:rPr>
          <w:rFonts w:ascii="Tahoma" w:eastAsiaTheme="minorHAnsi" w:hAnsi="Tahoma" w:cs="Tahoma"/>
          <w:sz w:val="23"/>
          <w:szCs w:val="23"/>
          <w:lang w:val="es-419" w:eastAsia="es-ES_tradnl"/>
        </w:rPr>
        <w:t xml:space="preserve"> el derecho de defensa.</w:t>
      </w:r>
    </w:p>
    <w:p w14:paraId="77A97688" w14:textId="77777777" w:rsidR="00D91CC4" w:rsidRPr="000B29C4" w:rsidRDefault="00D91CC4" w:rsidP="008C7011">
      <w:pPr>
        <w:widowControl w:val="0"/>
        <w:ind w:firstLine="708"/>
        <w:jc w:val="both"/>
        <w:rPr>
          <w:rFonts w:ascii="Tahoma" w:eastAsiaTheme="minorHAnsi" w:hAnsi="Tahoma" w:cs="Tahoma"/>
          <w:sz w:val="23"/>
          <w:szCs w:val="23"/>
          <w:lang w:val="es-419" w:eastAsia="es-ES_tradnl"/>
        </w:rPr>
      </w:pPr>
    </w:p>
    <w:p w14:paraId="3B3545AE" w14:textId="77777777" w:rsidR="00D91CC4" w:rsidRPr="000B29C4" w:rsidRDefault="00D91CC4" w:rsidP="00D91CC4">
      <w:pPr>
        <w:widowControl w:val="0"/>
        <w:spacing w:line="276" w:lineRule="auto"/>
        <w:ind w:firstLine="708"/>
        <w:jc w:val="center"/>
        <w:rPr>
          <w:rFonts w:ascii="Tahoma" w:eastAsiaTheme="minorHAnsi" w:hAnsi="Tahoma" w:cs="Tahoma"/>
          <w:b/>
          <w:sz w:val="23"/>
          <w:szCs w:val="23"/>
          <w:lang w:val="es-419" w:eastAsia="es-ES_tradnl"/>
        </w:rPr>
      </w:pPr>
      <w:r w:rsidRPr="000B29C4">
        <w:rPr>
          <w:rFonts w:ascii="Tahoma" w:eastAsiaTheme="minorHAnsi" w:hAnsi="Tahoma" w:cs="Tahoma"/>
          <w:b/>
          <w:sz w:val="23"/>
          <w:szCs w:val="23"/>
          <w:lang w:val="es-419" w:eastAsia="es-ES_tradnl"/>
        </w:rPr>
        <w:t>6.2. NULIDAD POR INDEBIDA NOTIFICACIÓN</w:t>
      </w:r>
      <w:r w:rsidR="00EC583D" w:rsidRPr="000B29C4">
        <w:rPr>
          <w:rFonts w:ascii="Tahoma" w:eastAsiaTheme="minorHAnsi" w:hAnsi="Tahoma" w:cs="Tahoma"/>
          <w:b/>
          <w:sz w:val="23"/>
          <w:szCs w:val="23"/>
          <w:lang w:val="es-419" w:eastAsia="es-ES_tradnl"/>
        </w:rPr>
        <w:t xml:space="preserve"> Y POR FALTA DE CITACIÓN DEL MINISTERIO PÚBLICO O DE CUALQUIER OTRA PERSONA O ENTIDAD QUE DE ACUERDO CON LA LEY DEBIÓ SER CITADA</w:t>
      </w:r>
    </w:p>
    <w:p w14:paraId="05BEEADF" w14:textId="77777777" w:rsidR="00EC583D" w:rsidRPr="000B29C4" w:rsidRDefault="00EC583D" w:rsidP="008C7011">
      <w:pPr>
        <w:widowControl w:val="0"/>
        <w:ind w:firstLine="708"/>
        <w:jc w:val="center"/>
        <w:rPr>
          <w:rFonts w:ascii="Tahoma" w:eastAsiaTheme="minorHAnsi" w:hAnsi="Tahoma" w:cs="Tahoma"/>
          <w:b/>
          <w:sz w:val="23"/>
          <w:szCs w:val="23"/>
          <w:lang w:val="es-419" w:eastAsia="es-ES_tradnl"/>
        </w:rPr>
      </w:pPr>
    </w:p>
    <w:p w14:paraId="08452B81" w14:textId="7B4FA8AC" w:rsidR="00EC583D" w:rsidRPr="000B29C4" w:rsidRDefault="00EC583D" w:rsidP="00EC583D">
      <w:pPr>
        <w:widowControl w:val="0"/>
        <w:spacing w:line="276" w:lineRule="auto"/>
        <w:ind w:firstLine="708"/>
        <w:jc w:val="both"/>
        <w:rPr>
          <w:rFonts w:ascii="Tahoma" w:eastAsiaTheme="minorHAnsi" w:hAnsi="Tahoma" w:cs="Tahoma"/>
          <w:sz w:val="23"/>
          <w:szCs w:val="23"/>
          <w:lang w:val="es-419" w:eastAsia="es-ES_tradnl"/>
        </w:rPr>
      </w:pPr>
      <w:r w:rsidRPr="000B29C4">
        <w:rPr>
          <w:rFonts w:ascii="Tahoma" w:eastAsiaTheme="minorHAnsi" w:hAnsi="Tahoma" w:cs="Tahoma"/>
          <w:sz w:val="23"/>
          <w:szCs w:val="23"/>
          <w:lang w:val="es-419" w:eastAsia="es-ES_tradnl"/>
        </w:rPr>
        <w:t xml:space="preserve">Se estable en el numeral 8º del artículo 133 del CGP, que el proceso es nulo en todo o en parte, cuando no se practica en legal forma la notificación del auto admisorio de la demanda, o el emplazamiento de las </w:t>
      </w:r>
      <w:r w:rsidR="00345C4F" w:rsidRPr="000B29C4">
        <w:rPr>
          <w:rFonts w:ascii="Tahoma" w:eastAsiaTheme="minorHAnsi" w:hAnsi="Tahoma" w:cs="Tahoma"/>
          <w:sz w:val="23"/>
          <w:szCs w:val="23"/>
          <w:lang w:val="es-419" w:eastAsia="es-ES_tradnl"/>
        </w:rPr>
        <w:t>demás</w:t>
      </w:r>
      <w:r w:rsidRPr="000B29C4">
        <w:rPr>
          <w:rFonts w:ascii="Tahoma" w:eastAsiaTheme="minorHAnsi" w:hAnsi="Tahoma" w:cs="Tahoma"/>
          <w:sz w:val="23"/>
          <w:szCs w:val="23"/>
          <w:lang w:val="es-419" w:eastAsia="es-ES_tradnl"/>
        </w:rPr>
        <w:t xml:space="preserve"> personas aunque sean indeterminadas, deban ser citadas como partes, o de aquellas que deban suceder en el proceso a cualquiera de las partes, cuando la ley así́ lo ordena, o cuando no se cita en debida forma al Ministerio </w:t>
      </w:r>
      <w:r w:rsidR="000B29C4" w:rsidRPr="000B29C4">
        <w:rPr>
          <w:rFonts w:ascii="Tahoma" w:eastAsiaTheme="minorHAnsi" w:hAnsi="Tahoma" w:cs="Tahoma"/>
          <w:sz w:val="23"/>
          <w:szCs w:val="23"/>
          <w:lang w:val="es-419" w:eastAsia="es-ES_tradnl"/>
        </w:rPr>
        <w:t>Público</w:t>
      </w:r>
      <w:r w:rsidRPr="000B29C4">
        <w:rPr>
          <w:rFonts w:ascii="Tahoma" w:eastAsiaTheme="minorHAnsi" w:hAnsi="Tahoma" w:cs="Tahoma"/>
          <w:sz w:val="23"/>
          <w:szCs w:val="23"/>
          <w:lang w:val="es-419" w:eastAsia="es-ES_tradnl"/>
        </w:rPr>
        <w:t xml:space="preserve"> o a cualquier otra persona o entidad que de acuerdo con la ley debió́ ser citado.</w:t>
      </w:r>
    </w:p>
    <w:p w14:paraId="60A2BA12" w14:textId="77777777" w:rsidR="00EC583D" w:rsidRPr="000B29C4" w:rsidRDefault="00EC583D" w:rsidP="008C7011">
      <w:pPr>
        <w:widowControl w:val="0"/>
        <w:ind w:firstLine="708"/>
        <w:jc w:val="both"/>
        <w:rPr>
          <w:rFonts w:ascii="Tahoma" w:eastAsiaTheme="minorHAnsi" w:hAnsi="Tahoma" w:cs="Tahoma"/>
          <w:sz w:val="23"/>
          <w:szCs w:val="23"/>
          <w:lang w:val="es-419" w:eastAsia="es-ES_tradnl"/>
        </w:rPr>
      </w:pPr>
    </w:p>
    <w:p w14:paraId="5DC925F2" w14:textId="77777777" w:rsidR="004F5ADF" w:rsidRPr="000B29C4" w:rsidRDefault="00C013DC" w:rsidP="00C013DC">
      <w:pPr>
        <w:widowControl w:val="0"/>
        <w:spacing w:line="276" w:lineRule="auto"/>
        <w:ind w:firstLine="708"/>
        <w:jc w:val="both"/>
        <w:rPr>
          <w:rFonts w:ascii="Tahoma" w:eastAsiaTheme="minorHAnsi" w:hAnsi="Tahoma" w:cs="Tahoma"/>
          <w:sz w:val="23"/>
          <w:szCs w:val="23"/>
          <w:lang w:val="es-419" w:eastAsia="es-ES_tradnl"/>
        </w:rPr>
      </w:pPr>
      <w:r w:rsidRPr="000B29C4">
        <w:rPr>
          <w:rFonts w:ascii="Tahoma" w:eastAsiaTheme="minorHAnsi" w:hAnsi="Tahoma" w:cs="Tahoma"/>
          <w:sz w:val="23"/>
          <w:szCs w:val="23"/>
          <w:lang w:val="es-419" w:eastAsia="es-ES_tradnl"/>
        </w:rPr>
        <w:t>Al respecto cabe advertir que el auto admisorio de la demanda es la</w:t>
      </w:r>
      <w:r w:rsidR="00EC583D" w:rsidRPr="000B29C4">
        <w:rPr>
          <w:rFonts w:ascii="Tahoma" w:eastAsiaTheme="minorHAnsi" w:hAnsi="Tahoma" w:cs="Tahoma"/>
          <w:sz w:val="23"/>
          <w:szCs w:val="23"/>
          <w:lang w:val="es-419" w:eastAsia="es-ES_tradnl"/>
        </w:rPr>
        <w:t xml:space="preserve"> única providencia</w:t>
      </w:r>
      <w:r w:rsidRPr="000B29C4">
        <w:rPr>
          <w:rFonts w:ascii="Tahoma" w:eastAsiaTheme="minorHAnsi" w:hAnsi="Tahoma" w:cs="Tahoma"/>
          <w:sz w:val="23"/>
          <w:szCs w:val="23"/>
          <w:lang w:val="es-419" w:eastAsia="es-ES_tradnl"/>
        </w:rPr>
        <w:t xml:space="preserve"> que se debe notificar personalmente al demandado en el trámite del proceso </w:t>
      </w:r>
      <w:r w:rsidRPr="000B29C4">
        <w:rPr>
          <w:rFonts w:ascii="Tahoma" w:eastAsiaTheme="minorHAnsi" w:hAnsi="Tahoma" w:cs="Tahoma"/>
          <w:sz w:val="23"/>
          <w:szCs w:val="23"/>
          <w:lang w:val="es-419" w:eastAsia="es-ES_tradnl"/>
        </w:rPr>
        <w:lastRenderedPageBreak/>
        <w:t>laboral, según lo dispuesto en el artículo 41 del CPT y de la SS, modificado por el artículo 20 de la Ley 712</w:t>
      </w:r>
      <w:r w:rsidR="00B76228" w:rsidRPr="000B29C4">
        <w:rPr>
          <w:rFonts w:ascii="Tahoma" w:eastAsiaTheme="minorHAnsi" w:hAnsi="Tahoma" w:cs="Tahoma"/>
          <w:sz w:val="23"/>
          <w:szCs w:val="23"/>
          <w:lang w:val="es-419" w:eastAsia="es-ES_tradnl"/>
        </w:rPr>
        <w:t xml:space="preserve"> de 2001</w:t>
      </w:r>
      <w:r w:rsidR="004F5ADF" w:rsidRPr="000B29C4">
        <w:rPr>
          <w:rFonts w:ascii="Tahoma" w:eastAsiaTheme="minorHAnsi" w:hAnsi="Tahoma" w:cs="Tahoma"/>
          <w:sz w:val="23"/>
          <w:szCs w:val="23"/>
          <w:lang w:val="es-419" w:eastAsia="es-ES_tradnl"/>
        </w:rPr>
        <w:t>.</w:t>
      </w:r>
    </w:p>
    <w:p w14:paraId="08C193DA" w14:textId="77777777" w:rsidR="004F5ADF" w:rsidRPr="000B29C4" w:rsidRDefault="004F5ADF" w:rsidP="008C7011">
      <w:pPr>
        <w:widowControl w:val="0"/>
        <w:ind w:firstLine="708"/>
        <w:jc w:val="both"/>
        <w:rPr>
          <w:rFonts w:ascii="Tahoma" w:eastAsiaTheme="minorHAnsi" w:hAnsi="Tahoma" w:cs="Tahoma"/>
          <w:sz w:val="23"/>
          <w:szCs w:val="23"/>
          <w:lang w:val="es-419" w:eastAsia="es-ES_tradnl"/>
        </w:rPr>
      </w:pPr>
    </w:p>
    <w:p w14:paraId="0551CAFF" w14:textId="2FB7F534" w:rsidR="007048AC" w:rsidRPr="000B29C4" w:rsidRDefault="008C7011" w:rsidP="008C7011">
      <w:pPr>
        <w:widowControl w:val="0"/>
        <w:spacing w:line="276" w:lineRule="auto"/>
        <w:jc w:val="center"/>
        <w:rPr>
          <w:rFonts w:ascii="Tahoma" w:eastAsiaTheme="minorHAnsi" w:hAnsi="Tahoma" w:cs="Tahoma"/>
          <w:b/>
          <w:sz w:val="23"/>
          <w:szCs w:val="23"/>
          <w:lang w:val="es-419" w:eastAsia="es-ES_tradnl"/>
        </w:rPr>
      </w:pPr>
      <w:r w:rsidRPr="000B29C4">
        <w:rPr>
          <w:rFonts w:ascii="Tahoma" w:eastAsiaTheme="minorHAnsi" w:hAnsi="Tahoma" w:cs="Tahoma"/>
          <w:b/>
          <w:sz w:val="23"/>
          <w:szCs w:val="23"/>
          <w:lang w:val="es-419" w:eastAsia="es-ES_tradnl"/>
        </w:rPr>
        <w:t xml:space="preserve">   </w:t>
      </w:r>
      <w:r w:rsidR="007048AC" w:rsidRPr="000B29C4">
        <w:rPr>
          <w:rFonts w:ascii="Tahoma" w:eastAsiaTheme="minorHAnsi" w:hAnsi="Tahoma" w:cs="Tahoma"/>
          <w:b/>
          <w:sz w:val="23"/>
          <w:szCs w:val="23"/>
          <w:lang w:val="es-419" w:eastAsia="es-ES_tradnl"/>
        </w:rPr>
        <w:t>6.3. EFECTOS DE LA NOTIFICACIÓN POR CONDUCTA CONCLUYENTE</w:t>
      </w:r>
    </w:p>
    <w:p w14:paraId="2DE53FFA" w14:textId="77777777" w:rsidR="007048AC" w:rsidRPr="000B29C4" w:rsidRDefault="007048AC" w:rsidP="00C013DC">
      <w:pPr>
        <w:widowControl w:val="0"/>
        <w:spacing w:line="276" w:lineRule="auto"/>
        <w:ind w:firstLine="708"/>
        <w:jc w:val="both"/>
        <w:rPr>
          <w:rFonts w:ascii="Tahoma" w:eastAsiaTheme="minorHAnsi" w:hAnsi="Tahoma" w:cs="Tahoma"/>
          <w:sz w:val="23"/>
          <w:szCs w:val="23"/>
          <w:lang w:val="es-419" w:eastAsia="es-ES_tradnl"/>
        </w:rPr>
      </w:pPr>
    </w:p>
    <w:p w14:paraId="41683315" w14:textId="27DAF411" w:rsidR="009335FB" w:rsidRPr="000B29C4" w:rsidRDefault="007048AC" w:rsidP="007048AC">
      <w:pPr>
        <w:widowControl w:val="0"/>
        <w:spacing w:line="276" w:lineRule="auto"/>
        <w:ind w:firstLine="708"/>
        <w:jc w:val="both"/>
        <w:rPr>
          <w:rFonts w:ascii="Tahoma" w:eastAsiaTheme="minorHAnsi" w:hAnsi="Tahoma" w:cs="Tahoma"/>
          <w:sz w:val="23"/>
          <w:szCs w:val="23"/>
          <w:lang w:val="es-419" w:eastAsia="es-ES_tradnl"/>
        </w:rPr>
      </w:pPr>
      <w:r w:rsidRPr="000B29C4">
        <w:rPr>
          <w:rFonts w:ascii="Tahoma" w:eastAsiaTheme="minorHAnsi" w:hAnsi="Tahoma" w:cs="Tahoma"/>
          <w:sz w:val="23"/>
          <w:szCs w:val="23"/>
          <w:lang w:val="es-419" w:eastAsia="es-ES_tradnl"/>
        </w:rPr>
        <w:t xml:space="preserve">La </w:t>
      </w:r>
      <w:r w:rsidR="00373B72" w:rsidRPr="000B29C4">
        <w:rPr>
          <w:rFonts w:ascii="Tahoma" w:eastAsiaTheme="minorHAnsi" w:hAnsi="Tahoma" w:cs="Tahoma"/>
          <w:sz w:val="23"/>
          <w:szCs w:val="23"/>
          <w:lang w:val="es-419" w:eastAsia="es-ES_tradnl"/>
        </w:rPr>
        <w:t>notificación por c</w:t>
      </w:r>
      <w:r w:rsidR="004F5ADF" w:rsidRPr="000B29C4">
        <w:rPr>
          <w:rFonts w:ascii="Tahoma" w:eastAsiaTheme="minorHAnsi" w:hAnsi="Tahoma" w:cs="Tahoma"/>
          <w:sz w:val="23"/>
          <w:szCs w:val="23"/>
          <w:lang w:val="es-419" w:eastAsia="es-ES_tradnl"/>
        </w:rPr>
        <w:t>onducta concluyente, regulada por</w:t>
      </w:r>
      <w:r w:rsidR="00373B72" w:rsidRPr="000B29C4">
        <w:rPr>
          <w:rFonts w:ascii="Tahoma" w:eastAsiaTheme="minorHAnsi" w:hAnsi="Tahoma" w:cs="Tahoma"/>
          <w:sz w:val="23"/>
          <w:szCs w:val="23"/>
          <w:lang w:val="es-419" w:eastAsia="es-ES_tradnl"/>
        </w:rPr>
        <w:t xml:space="preserve"> los artículos 91 y 301 del CGP, surte los mismos efectos de la notificació</w:t>
      </w:r>
      <w:r w:rsidR="004F5ADF" w:rsidRPr="000B29C4">
        <w:rPr>
          <w:rFonts w:ascii="Tahoma" w:eastAsiaTheme="minorHAnsi" w:hAnsi="Tahoma" w:cs="Tahoma"/>
          <w:sz w:val="23"/>
          <w:szCs w:val="23"/>
          <w:lang w:val="es-419" w:eastAsia="es-ES_tradnl"/>
        </w:rPr>
        <w:t>n personal,</w:t>
      </w:r>
      <w:r w:rsidR="009335FB" w:rsidRPr="000B29C4">
        <w:rPr>
          <w:rFonts w:ascii="Tahoma" w:eastAsiaTheme="minorHAnsi" w:hAnsi="Tahoma" w:cs="Tahoma"/>
          <w:sz w:val="23"/>
          <w:szCs w:val="23"/>
          <w:lang w:val="es-419" w:eastAsia="es-ES_tradnl"/>
        </w:rPr>
        <w:t xml:space="preserve"> de acuerdo a lo señalado en el último de los mencionados artículos,</w:t>
      </w:r>
      <w:r w:rsidR="004F5ADF" w:rsidRPr="000B29C4">
        <w:rPr>
          <w:rFonts w:ascii="Tahoma" w:eastAsiaTheme="minorHAnsi" w:hAnsi="Tahoma" w:cs="Tahoma"/>
          <w:sz w:val="23"/>
          <w:szCs w:val="23"/>
          <w:lang w:val="es-419" w:eastAsia="es-ES_tradnl"/>
        </w:rPr>
        <w:t xml:space="preserve"> </w:t>
      </w:r>
      <w:r w:rsidR="009335FB" w:rsidRPr="000B29C4">
        <w:rPr>
          <w:rFonts w:ascii="Tahoma" w:eastAsiaTheme="minorHAnsi" w:hAnsi="Tahoma" w:cs="Tahoma"/>
          <w:sz w:val="23"/>
          <w:szCs w:val="23"/>
          <w:lang w:val="es-419" w:eastAsia="es-ES_tradnl"/>
        </w:rPr>
        <w:t xml:space="preserve">pues con ambas </w:t>
      </w:r>
      <w:r w:rsidR="00D943C4" w:rsidRPr="000B29C4">
        <w:rPr>
          <w:rFonts w:ascii="Tahoma" w:eastAsiaTheme="minorHAnsi" w:hAnsi="Tahoma" w:cs="Tahoma"/>
          <w:sz w:val="23"/>
          <w:szCs w:val="23"/>
          <w:lang w:val="es-419" w:eastAsia="es-ES_tradnl"/>
        </w:rPr>
        <w:t xml:space="preserve">formas de notificación </w:t>
      </w:r>
      <w:r w:rsidR="009335FB" w:rsidRPr="000B29C4">
        <w:rPr>
          <w:rFonts w:ascii="Tahoma" w:eastAsiaTheme="minorHAnsi" w:hAnsi="Tahoma" w:cs="Tahoma"/>
          <w:sz w:val="23"/>
          <w:szCs w:val="23"/>
          <w:lang w:val="es-419" w:eastAsia="es-ES_tradnl"/>
        </w:rPr>
        <w:t>se garantiza el principio de publicidad de la actuación procesal, toda vez expresan un acto inequívoco de conocimiento del proceso</w:t>
      </w:r>
      <w:r w:rsidR="00A65DA4" w:rsidRPr="000B29C4">
        <w:rPr>
          <w:rFonts w:ascii="Tahoma" w:eastAsiaTheme="minorHAnsi" w:hAnsi="Tahoma" w:cs="Tahoma"/>
          <w:sz w:val="23"/>
          <w:szCs w:val="23"/>
          <w:lang w:val="es-419" w:eastAsia="es-ES_tradnl"/>
        </w:rPr>
        <w:t xml:space="preserve"> por part</w:t>
      </w:r>
      <w:r w:rsidR="007C235B" w:rsidRPr="000B29C4">
        <w:rPr>
          <w:rFonts w:ascii="Tahoma" w:eastAsiaTheme="minorHAnsi" w:hAnsi="Tahoma" w:cs="Tahoma"/>
          <w:sz w:val="23"/>
          <w:szCs w:val="23"/>
          <w:lang w:val="es-419" w:eastAsia="es-ES_tradnl"/>
        </w:rPr>
        <w:t>e de quien debe ser notificado.</w:t>
      </w:r>
    </w:p>
    <w:p w14:paraId="557C89D7" w14:textId="77777777" w:rsidR="009335FB" w:rsidRPr="000B29C4" w:rsidRDefault="009335FB" w:rsidP="007048AC">
      <w:pPr>
        <w:widowControl w:val="0"/>
        <w:spacing w:line="276" w:lineRule="auto"/>
        <w:ind w:firstLine="708"/>
        <w:jc w:val="both"/>
        <w:rPr>
          <w:rFonts w:ascii="Tahoma" w:eastAsiaTheme="minorHAnsi" w:hAnsi="Tahoma" w:cs="Tahoma"/>
          <w:sz w:val="23"/>
          <w:szCs w:val="23"/>
          <w:lang w:val="es-419" w:eastAsia="es-ES_tradnl"/>
        </w:rPr>
      </w:pPr>
    </w:p>
    <w:p w14:paraId="4ED41B28" w14:textId="48419275" w:rsidR="007048AC" w:rsidRPr="000B29C4" w:rsidRDefault="00A65DA4" w:rsidP="007048AC">
      <w:pPr>
        <w:widowControl w:val="0"/>
        <w:spacing w:line="276" w:lineRule="auto"/>
        <w:ind w:firstLine="708"/>
        <w:jc w:val="both"/>
        <w:rPr>
          <w:rFonts w:ascii="Arial Narrow" w:eastAsiaTheme="minorHAnsi" w:hAnsi="Arial Narrow" w:cs="Arial Hebrew"/>
          <w:i/>
          <w:sz w:val="23"/>
          <w:szCs w:val="23"/>
          <w:lang w:val="es-419" w:eastAsia="es-ES_tradnl"/>
        </w:rPr>
      </w:pPr>
      <w:r w:rsidRPr="000B29C4">
        <w:rPr>
          <w:rFonts w:ascii="Tahoma" w:eastAsiaTheme="minorHAnsi" w:hAnsi="Tahoma" w:cs="Tahoma"/>
          <w:sz w:val="23"/>
          <w:szCs w:val="23"/>
          <w:lang w:val="es-419" w:eastAsia="es-ES_tradnl"/>
        </w:rPr>
        <w:t xml:space="preserve">En los eventos en que opera la notificación por conducta concluyente, el acto procesal se considera notificado </w:t>
      </w:r>
      <w:r w:rsidR="004F5ADF" w:rsidRPr="000B29C4">
        <w:rPr>
          <w:rFonts w:ascii="Tahoma" w:eastAsiaTheme="minorHAnsi" w:hAnsi="Tahoma" w:cs="Tahoma"/>
          <w:sz w:val="23"/>
          <w:szCs w:val="23"/>
          <w:lang w:val="es-419" w:eastAsia="es-ES_tradnl"/>
        </w:rPr>
        <w:t>a partir del vencimiento de los tres (3) días siguientes a la notificación el auto por medio del cual se le reconoce personería jurídica al abogado cuyo poder haya sido otorgado por la demandada</w:t>
      </w:r>
      <w:r w:rsidR="007048AC" w:rsidRPr="000B29C4">
        <w:rPr>
          <w:rFonts w:ascii="Tahoma" w:eastAsiaTheme="minorHAnsi" w:hAnsi="Tahoma" w:cs="Tahoma"/>
          <w:sz w:val="23"/>
          <w:szCs w:val="23"/>
          <w:lang w:val="es-419" w:eastAsia="es-ES_tradnl"/>
        </w:rPr>
        <w:t xml:space="preserve">, tal como lo dispone el citado artículo 91 del CGP, que el respecto estable: </w:t>
      </w:r>
      <w:r w:rsidR="007048AC" w:rsidRPr="000B29C4">
        <w:rPr>
          <w:rFonts w:ascii="Arial Narrow" w:hAnsi="Arial Narrow" w:cs="Arial Hebrew"/>
          <w:bCs/>
          <w:i/>
          <w:sz w:val="23"/>
          <w:szCs w:val="23"/>
          <w:lang w:val="es-419"/>
        </w:rPr>
        <w:t>“</w:t>
      </w:r>
      <w:r w:rsidR="007048AC" w:rsidRPr="000B29C4">
        <w:rPr>
          <w:rFonts w:ascii="Arial Narrow" w:eastAsia="Calibri" w:hAnsi="Arial Narrow" w:cs="Calibri"/>
          <w:bCs/>
          <w:i/>
          <w:sz w:val="23"/>
          <w:szCs w:val="23"/>
          <w:lang w:val="es-419"/>
        </w:rPr>
        <w:t>cuando</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la</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notificación</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del</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auto</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admisorio</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la</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demanda</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o</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del</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mandamiento</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pago</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se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surta</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por</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conducta</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concluyente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por</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aviso</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o</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mediante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comisionado</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el</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demandado</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podrá</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solicitar</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en</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la</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secretaría</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que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se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le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suministre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la</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reproducción</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la</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demanda</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y</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sus</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anexos</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dentro</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los</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tres</w:t>
      </w:r>
      <w:r w:rsidR="007048AC" w:rsidRPr="000B29C4">
        <w:rPr>
          <w:rFonts w:ascii="Arial Narrow" w:hAnsi="Arial Narrow" w:cs="Arial Hebrew"/>
          <w:bCs/>
          <w:i/>
          <w:sz w:val="23"/>
          <w:szCs w:val="23"/>
          <w:lang w:val="es-419"/>
        </w:rPr>
        <w:t xml:space="preserve"> (3) </w:t>
      </w:r>
      <w:r w:rsidR="007048AC" w:rsidRPr="000B29C4">
        <w:rPr>
          <w:rFonts w:ascii="Arial Narrow" w:eastAsia="Calibri" w:hAnsi="Arial Narrow" w:cs="Calibri"/>
          <w:bCs/>
          <w:i/>
          <w:sz w:val="23"/>
          <w:szCs w:val="23"/>
          <w:lang w:val="es-419"/>
        </w:rPr>
        <w:t>días</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siguientes</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vencidos</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los</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cuales</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comenzará</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a</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correr</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el</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término</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ejecutoria</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y</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traslado</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la</w:t>
      </w:r>
      <w:r w:rsidR="007048AC" w:rsidRPr="000B29C4">
        <w:rPr>
          <w:rFonts w:ascii="Arial Narrow" w:hAnsi="Arial Narrow" w:cs="Arial Hebrew"/>
          <w:bCs/>
          <w:i/>
          <w:sz w:val="23"/>
          <w:szCs w:val="23"/>
          <w:lang w:val="es-419"/>
        </w:rPr>
        <w:t xml:space="preserve"> </w:t>
      </w:r>
      <w:r w:rsidR="007048AC" w:rsidRPr="000B29C4">
        <w:rPr>
          <w:rFonts w:ascii="Arial Narrow" w:eastAsia="Calibri" w:hAnsi="Arial Narrow" w:cs="Calibri"/>
          <w:bCs/>
          <w:i/>
          <w:sz w:val="23"/>
          <w:szCs w:val="23"/>
          <w:lang w:val="es-419"/>
        </w:rPr>
        <w:t>demanda</w:t>
      </w:r>
      <w:r w:rsidR="007048AC" w:rsidRPr="000B29C4">
        <w:rPr>
          <w:rFonts w:ascii="Arial Narrow" w:hAnsi="Arial Narrow" w:cs="Arial Hebrew"/>
          <w:bCs/>
          <w:i/>
          <w:sz w:val="23"/>
          <w:szCs w:val="23"/>
          <w:lang w:val="es-419"/>
        </w:rPr>
        <w:t>.</w:t>
      </w:r>
    </w:p>
    <w:p w14:paraId="3A22B65B" w14:textId="77777777" w:rsidR="004F5ADF" w:rsidRPr="000B29C4" w:rsidRDefault="004F5ADF" w:rsidP="007048AC">
      <w:pPr>
        <w:widowControl w:val="0"/>
        <w:spacing w:line="276" w:lineRule="auto"/>
        <w:jc w:val="both"/>
        <w:rPr>
          <w:rFonts w:ascii="Tahoma" w:eastAsiaTheme="minorHAnsi" w:hAnsi="Tahoma" w:cs="Tahoma"/>
          <w:sz w:val="23"/>
          <w:szCs w:val="23"/>
          <w:lang w:val="es-419" w:eastAsia="es-ES_tradnl"/>
        </w:rPr>
      </w:pPr>
    </w:p>
    <w:p w14:paraId="169C6873" w14:textId="1DCE352E" w:rsidR="00A65DA4" w:rsidRPr="000B29C4" w:rsidRDefault="00A65DA4" w:rsidP="007048AC">
      <w:pPr>
        <w:widowControl w:val="0"/>
        <w:spacing w:line="276" w:lineRule="auto"/>
        <w:jc w:val="both"/>
        <w:rPr>
          <w:rFonts w:ascii="Tahoma" w:eastAsiaTheme="minorHAnsi" w:hAnsi="Tahoma" w:cs="Tahoma"/>
          <w:sz w:val="23"/>
          <w:szCs w:val="23"/>
          <w:lang w:val="es-419" w:eastAsia="es-ES_tradnl"/>
        </w:rPr>
      </w:pPr>
      <w:r w:rsidRPr="000B29C4">
        <w:rPr>
          <w:rFonts w:ascii="Tahoma" w:eastAsiaTheme="minorHAnsi" w:hAnsi="Tahoma" w:cs="Tahoma"/>
          <w:sz w:val="23"/>
          <w:szCs w:val="23"/>
          <w:lang w:val="es-419" w:eastAsia="es-ES_tradnl"/>
        </w:rPr>
        <w:tab/>
        <w:t xml:space="preserve">Cabe agregar que aunque si bien </w:t>
      </w:r>
      <w:r w:rsidR="0000526C" w:rsidRPr="000B29C4">
        <w:rPr>
          <w:rFonts w:ascii="Tahoma" w:eastAsiaTheme="minorHAnsi" w:hAnsi="Tahoma" w:cs="Tahoma"/>
          <w:sz w:val="23"/>
          <w:szCs w:val="23"/>
          <w:lang w:val="es-419" w:eastAsia="es-ES_tradnl"/>
        </w:rPr>
        <w:t>se establece en</w:t>
      </w:r>
      <w:r w:rsidRPr="000B29C4">
        <w:rPr>
          <w:rFonts w:ascii="Tahoma" w:eastAsiaTheme="minorHAnsi" w:hAnsi="Tahoma" w:cs="Tahoma"/>
          <w:sz w:val="23"/>
          <w:szCs w:val="23"/>
          <w:lang w:val="es-419" w:eastAsia="es-ES_tradnl"/>
        </w:rPr>
        <w:t xml:space="preserve"> los artículos 41 del CPT y de la SS y 612 del CGP, que</w:t>
      </w:r>
      <w:r w:rsidR="0000526C" w:rsidRPr="000B29C4">
        <w:rPr>
          <w:rFonts w:ascii="Tahoma" w:eastAsiaTheme="minorHAnsi" w:hAnsi="Tahoma" w:cs="Tahoma"/>
          <w:sz w:val="23"/>
          <w:szCs w:val="23"/>
          <w:lang w:val="es-419" w:eastAsia="es-ES_tradnl"/>
        </w:rPr>
        <w:t xml:space="preserve"> el</w:t>
      </w:r>
      <w:r w:rsidRPr="000B29C4">
        <w:rPr>
          <w:rFonts w:ascii="Tahoma" w:eastAsiaTheme="minorHAnsi" w:hAnsi="Tahoma" w:cs="Tahoma"/>
          <w:sz w:val="23"/>
          <w:szCs w:val="23"/>
          <w:lang w:val="es-419" w:eastAsia="es-ES_tradnl"/>
        </w:rPr>
        <w:t xml:space="preserve"> auto admisorio y el mandamiento de pago contra entidades públicas se deben notificar personalmente a sus representantes legales o a quienes estos hayan delegado la facultad de recibir notificaciones, mediante mensaje dirigido al buzón electrónico para notificaciones judiciales, esto no excluye la posibilidad de que la entidad se entienda notificada por conducta concluy</w:t>
      </w:r>
      <w:r w:rsidR="0000526C" w:rsidRPr="000B29C4">
        <w:rPr>
          <w:rFonts w:ascii="Tahoma" w:eastAsiaTheme="minorHAnsi" w:hAnsi="Tahoma" w:cs="Tahoma"/>
          <w:sz w:val="23"/>
          <w:szCs w:val="23"/>
          <w:lang w:val="es-419" w:eastAsia="es-ES_tradnl"/>
        </w:rPr>
        <w:t>ente si constituye apoderado cuyo</w:t>
      </w:r>
      <w:r w:rsidRPr="000B29C4">
        <w:rPr>
          <w:rFonts w:ascii="Tahoma" w:eastAsiaTheme="minorHAnsi" w:hAnsi="Tahoma" w:cs="Tahoma"/>
          <w:sz w:val="23"/>
          <w:szCs w:val="23"/>
          <w:lang w:val="es-419" w:eastAsia="es-ES_tradnl"/>
        </w:rPr>
        <w:t xml:space="preserve"> poder</w:t>
      </w:r>
      <w:r w:rsidR="0000526C" w:rsidRPr="000B29C4">
        <w:rPr>
          <w:rFonts w:ascii="Tahoma" w:eastAsiaTheme="minorHAnsi" w:hAnsi="Tahoma" w:cs="Tahoma"/>
          <w:sz w:val="23"/>
          <w:szCs w:val="23"/>
          <w:lang w:val="es-419" w:eastAsia="es-ES_tradnl"/>
        </w:rPr>
        <w:t xml:space="preserve"> de representación se radique</w:t>
      </w:r>
      <w:r w:rsidRPr="000B29C4">
        <w:rPr>
          <w:rFonts w:ascii="Tahoma" w:eastAsiaTheme="minorHAnsi" w:hAnsi="Tahoma" w:cs="Tahoma"/>
          <w:sz w:val="23"/>
          <w:szCs w:val="23"/>
          <w:lang w:val="es-419" w:eastAsia="es-ES_tradnl"/>
        </w:rPr>
        <w:t xml:space="preserve"> en la secretaría del despacho, pues es evidente que lo que </w:t>
      </w:r>
      <w:r w:rsidR="0000526C" w:rsidRPr="000B29C4">
        <w:rPr>
          <w:rFonts w:ascii="Tahoma" w:eastAsiaTheme="minorHAnsi" w:hAnsi="Tahoma" w:cs="Tahoma"/>
          <w:sz w:val="23"/>
          <w:szCs w:val="23"/>
          <w:lang w:val="es-419" w:eastAsia="es-ES_tradnl"/>
        </w:rPr>
        <w:t xml:space="preserve">se </w:t>
      </w:r>
      <w:r w:rsidRPr="000B29C4">
        <w:rPr>
          <w:rFonts w:ascii="Tahoma" w:eastAsiaTheme="minorHAnsi" w:hAnsi="Tahoma" w:cs="Tahoma"/>
          <w:sz w:val="23"/>
          <w:szCs w:val="23"/>
          <w:lang w:val="es-419" w:eastAsia="es-ES_tradnl"/>
        </w:rPr>
        <w:t>busca evitar</w:t>
      </w:r>
      <w:r w:rsidR="0000526C" w:rsidRPr="000B29C4">
        <w:rPr>
          <w:rFonts w:ascii="Tahoma" w:eastAsiaTheme="minorHAnsi" w:hAnsi="Tahoma" w:cs="Tahoma"/>
          <w:sz w:val="23"/>
          <w:szCs w:val="23"/>
          <w:lang w:val="es-419" w:eastAsia="es-ES_tradnl"/>
        </w:rPr>
        <w:t xml:space="preserve"> con</w:t>
      </w:r>
      <w:r w:rsidRPr="000B29C4">
        <w:rPr>
          <w:rFonts w:ascii="Tahoma" w:eastAsiaTheme="minorHAnsi" w:hAnsi="Tahoma" w:cs="Tahoma"/>
          <w:sz w:val="23"/>
          <w:szCs w:val="23"/>
          <w:lang w:val="es-419" w:eastAsia="es-ES_tradnl"/>
        </w:rPr>
        <w:t xml:space="preserve"> la</w:t>
      </w:r>
      <w:r w:rsidR="0000526C" w:rsidRPr="000B29C4">
        <w:rPr>
          <w:rFonts w:ascii="Tahoma" w:eastAsiaTheme="minorHAnsi" w:hAnsi="Tahoma" w:cs="Tahoma"/>
          <w:sz w:val="23"/>
          <w:szCs w:val="23"/>
          <w:lang w:val="es-419" w:eastAsia="es-ES_tradnl"/>
        </w:rPr>
        <w:t>s</w:t>
      </w:r>
      <w:r w:rsidRPr="000B29C4">
        <w:rPr>
          <w:rFonts w:ascii="Tahoma" w:eastAsiaTheme="minorHAnsi" w:hAnsi="Tahoma" w:cs="Tahoma"/>
          <w:sz w:val="23"/>
          <w:szCs w:val="23"/>
          <w:lang w:val="es-419" w:eastAsia="es-ES_tradnl"/>
        </w:rPr>
        <w:t xml:space="preserve"> norma</w:t>
      </w:r>
      <w:r w:rsidR="0000526C" w:rsidRPr="000B29C4">
        <w:rPr>
          <w:rFonts w:ascii="Tahoma" w:eastAsiaTheme="minorHAnsi" w:hAnsi="Tahoma" w:cs="Tahoma"/>
          <w:sz w:val="23"/>
          <w:szCs w:val="23"/>
          <w:lang w:val="es-419" w:eastAsia="es-ES_tradnl"/>
        </w:rPr>
        <w:t>s</w:t>
      </w:r>
      <w:r w:rsidRPr="000B29C4">
        <w:rPr>
          <w:rFonts w:ascii="Tahoma" w:eastAsiaTheme="minorHAnsi" w:hAnsi="Tahoma" w:cs="Tahoma"/>
          <w:sz w:val="23"/>
          <w:szCs w:val="23"/>
          <w:lang w:val="es-419" w:eastAsia="es-ES_tradnl"/>
        </w:rPr>
        <w:t xml:space="preserve"> en comento</w:t>
      </w:r>
      <w:r w:rsidR="0000526C" w:rsidRPr="000B29C4">
        <w:rPr>
          <w:rFonts w:ascii="Tahoma" w:eastAsiaTheme="minorHAnsi" w:hAnsi="Tahoma" w:cs="Tahoma"/>
          <w:sz w:val="23"/>
          <w:szCs w:val="23"/>
          <w:lang w:val="es-419" w:eastAsia="es-ES_tradnl"/>
        </w:rPr>
        <w:t>,</w:t>
      </w:r>
      <w:r w:rsidRPr="000B29C4">
        <w:rPr>
          <w:rFonts w:ascii="Tahoma" w:eastAsiaTheme="minorHAnsi" w:hAnsi="Tahoma" w:cs="Tahoma"/>
          <w:sz w:val="23"/>
          <w:szCs w:val="23"/>
          <w:lang w:val="es-419" w:eastAsia="es-ES_tradnl"/>
        </w:rPr>
        <w:t xml:space="preserve"> es que las entidades públicas terminen siendo emplazadas y representadas por curador ad-litem</w:t>
      </w:r>
      <w:r w:rsidR="0000526C" w:rsidRPr="000B29C4">
        <w:rPr>
          <w:rFonts w:ascii="Tahoma" w:eastAsiaTheme="minorHAnsi" w:hAnsi="Tahoma" w:cs="Tahoma"/>
          <w:sz w:val="23"/>
          <w:szCs w:val="23"/>
          <w:lang w:val="es-419" w:eastAsia="es-ES_tradnl"/>
        </w:rPr>
        <w:t xml:space="preserve">, lo cual no ocurre en aquellos eventos en que opera la notificación por conducta concluyente, que como se explicó en precedencia, surte los mismos efectos de la notificación personal. </w:t>
      </w:r>
      <w:r w:rsidRPr="000B29C4">
        <w:rPr>
          <w:rFonts w:ascii="Tahoma" w:eastAsiaTheme="minorHAnsi" w:hAnsi="Tahoma" w:cs="Tahoma"/>
          <w:sz w:val="23"/>
          <w:szCs w:val="23"/>
          <w:lang w:val="es-419" w:eastAsia="es-ES_tradnl"/>
        </w:rPr>
        <w:t xml:space="preserve">  </w:t>
      </w:r>
    </w:p>
    <w:p w14:paraId="520CEF42" w14:textId="77777777" w:rsidR="00345C4F" w:rsidRPr="000B29C4" w:rsidRDefault="00345C4F" w:rsidP="007048AC">
      <w:pPr>
        <w:widowControl w:val="0"/>
        <w:spacing w:line="276" w:lineRule="auto"/>
        <w:jc w:val="both"/>
        <w:rPr>
          <w:rFonts w:ascii="Tahoma" w:eastAsiaTheme="minorHAnsi" w:hAnsi="Tahoma" w:cs="Tahoma"/>
          <w:sz w:val="23"/>
          <w:szCs w:val="23"/>
          <w:lang w:val="es-419" w:eastAsia="es-ES_tradnl"/>
        </w:rPr>
      </w:pPr>
    </w:p>
    <w:p w14:paraId="60BA9F51" w14:textId="28FDC3ED" w:rsidR="004F5ADF" w:rsidRPr="000B29C4" w:rsidRDefault="007048AC" w:rsidP="00CD70A8">
      <w:pPr>
        <w:widowControl w:val="0"/>
        <w:spacing w:line="276" w:lineRule="auto"/>
        <w:ind w:firstLine="709"/>
        <w:jc w:val="center"/>
        <w:rPr>
          <w:rFonts w:ascii="Tahoma" w:eastAsiaTheme="minorHAnsi" w:hAnsi="Tahoma" w:cs="Tahoma"/>
          <w:b/>
          <w:sz w:val="23"/>
          <w:szCs w:val="23"/>
          <w:lang w:val="es-419" w:eastAsia="es-ES_tradnl"/>
        </w:rPr>
      </w:pPr>
      <w:r w:rsidRPr="000B29C4">
        <w:rPr>
          <w:rFonts w:ascii="Tahoma" w:eastAsiaTheme="minorHAnsi" w:hAnsi="Tahoma" w:cs="Tahoma"/>
          <w:b/>
          <w:sz w:val="23"/>
          <w:szCs w:val="23"/>
          <w:lang w:val="es-419" w:eastAsia="es-ES_tradnl"/>
        </w:rPr>
        <w:t>6.4</w:t>
      </w:r>
      <w:r w:rsidR="004F5ADF" w:rsidRPr="000B29C4">
        <w:rPr>
          <w:rFonts w:ascii="Tahoma" w:eastAsiaTheme="minorHAnsi" w:hAnsi="Tahoma" w:cs="Tahoma"/>
          <w:b/>
          <w:sz w:val="23"/>
          <w:szCs w:val="23"/>
          <w:lang w:val="es-419" w:eastAsia="es-ES_tradnl"/>
        </w:rPr>
        <w:t>. NOTIFICACIÓN DEL</w:t>
      </w:r>
      <w:r w:rsidR="00AB4893" w:rsidRPr="000B29C4">
        <w:rPr>
          <w:rFonts w:ascii="Tahoma" w:eastAsiaTheme="minorHAnsi" w:hAnsi="Tahoma" w:cs="Tahoma"/>
          <w:b/>
          <w:sz w:val="23"/>
          <w:szCs w:val="23"/>
          <w:lang w:val="es-419" w:eastAsia="es-ES_tradnl"/>
        </w:rPr>
        <w:t xml:space="preserve"> AUTO ADMISORIO DE LA DEMANDA </w:t>
      </w:r>
      <w:r w:rsidR="004F5ADF" w:rsidRPr="000B29C4">
        <w:rPr>
          <w:rFonts w:ascii="Tahoma" w:eastAsiaTheme="minorHAnsi" w:hAnsi="Tahoma" w:cs="Tahoma"/>
          <w:b/>
          <w:sz w:val="23"/>
          <w:szCs w:val="23"/>
          <w:lang w:val="es-419" w:eastAsia="es-ES_tradnl"/>
        </w:rPr>
        <w:t xml:space="preserve">A LA AGENCIA NACIONAL DE DEFENSA </w:t>
      </w:r>
      <w:r w:rsidR="000B29C4" w:rsidRPr="000B29C4">
        <w:rPr>
          <w:rFonts w:ascii="Tahoma" w:eastAsiaTheme="minorHAnsi" w:hAnsi="Tahoma" w:cs="Tahoma"/>
          <w:b/>
          <w:sz w:val="23"/>
          <w:szCs w:val="23"/>
          <w:lang w:val="es-419" w:eastAsia="es-ES_tradnl"/>
        </w:rPr>
        <w:t>JURÍDICA</w:t>
      </w:r>
      <w:r w:rsidR="004F5ADF" w:rsidRPr="000B29C4">
        <w:rPr>
          <w:rFonts w:ascii="Tahoma" w:eastAsiaTheme="minorHAnsi" w:hAnsi="Tahoma" w:cs="Tahoma"/>
          <w:b/>
          <w:sz w:val="23"/>
          <w:szCs w:val="23"/>
          <w:lang w:val="es-419" w:eastAsia="es-ES_tradnl"/>
        </w:rPr>
        <w:t xml:space="preserve"> DEL ESTADO</w:t>
      </w:r>
      <w:r w:rsidR="003912DF" w:rsidRPr="000B29C4">
        <w:rPr>
          <w:rFonts w:ascii="Tahoma" w:eastAsiaTheme="minorHAnsi" w:hAnsi="Tahoma" w:cs="Tahoma"/>
          <w:b/>
          <w:sz w:val="23"/>
          <w:szCs w:val="23"/>
          <w:lang w:val="es-419" w:eastAsia="es-ES_tradnl"/>
        </w:rPr>
        <w:t xml:space="preserve"> EN ASUNTOS DONDE LA DEMANDADA SEA UNA ENTIDAD DEL ORDEN TERRITORIAL</w:t>
      </w:r>
    </w:p>
    <w:p w14:paraId="55438B58" w14:textId="77777777" w:rsidR="00345C4F" w:rsidRPr="000B29C4" w:rsidRDefault="00345C4F" w:rsidP="0000526C">
      <w:pPr>
        <w:overflowPunct/>
        <w:autoSpaceDE/>
        <w:autoSpaceDN/>
        <w:adjustRightInd/>
        <w:jc w:val="both"/>
        <w:rPr>
          <w:rFonts w:ascii="Tahoma" w:hAnsi="Tahoma" w:cs="Tahoma"/>
          <w:sz w:val="23"/>
          <w:szCs w:val="23"/>
          <w:lang w:val="es-419"/>
        </w:rPr>
      </w:pPr>
    </w:p>
    <w:p w14:paraId="737F1B39" w14:textId="77777777" w:rsidR="008C7011" w:rsidRPr="000B29C4" w:rsidRDefault="00AB4893" w:rsidP="00CD70A8">
      <w:pPr>
        <w:overflowPunct/>
        <w:autoSpaceDE/>
        <w:autoSpaceDN/>
        <w:adjustRightInd/>
        <w:spacing w:line="276" w:lineRule="auto"/>
        <w:ind w:firstLine="709"/>
        <w:jc w:val="both"/>
        <w:rPr>
          <w:rFonts w:ascii="Tahoma" w:eastAsiaTheme="minorHAnsi" w:hAnsi="Tahoma" w:cs="Tahoma"/>
          <w:sz w:val="23"/>
          <w:szCs w:val="23"/>
          <w:lang w:val="es-419" w:eastAsia="es-ES_tradnl"/>
        </w:rPr>
      </w:pPr>
      <w:r w:rsidRPr="000B29C4">
        <w:rPr>
          <w:rFonts w:ascii="Tahoma" w:hAnsi="Tahoma" w:cs="Tahoma"/>
          <w:sz w:val="23"/>
          <w:szCs w:val="23"/>
          <w:lang w:val="es-419"/>
        </w:rPr>
        <w:t xml:space="preserve">De acuerdo a lo dispuesto en el artículo 610 de la Ley 1564 de 2012, la </w:t>
      </w:r>
      <w:bookmarkStart w:id="3" w:name="OLE_LINK12"/>
      <w:r w:rsidRPr="000B29C4">
        <w:rPr>
          <w:rFonts w:ascii="Tahoma" w:eastAsiaTheme="minorHAnsi" w:hAnsi="Tahoma" w:cs="Tahoma"/>
          <w:sz w:val="23"/>
          <w:szCs w:val="23"/>
          <w:lang w:val="es-419" w:eastAsia="es-ES_tradnl"/>
        </w:rPr>
        <w:t>Agencia Nacional de Defensa Jurídica del Estado</w:t>
      </w:r>
      <w:bookmarkEnd w:id="3"/>
      <w:r w:rsidRPr="000B29C4">
        <w:rPr>
          <w:rFonts w:ascii="Tahoma" w:hAnsi="Tahoma" w:cs="Tahoma"/>
          <w:sz w:val="23"/>
          <w:szCs w:val="23"/>
          <w:lang w:val="es-419"/>
        </w:rPr>
        <w:t>, podrá actuar en cualquier estado</w:t>
      </w:r>
      <w:r w:rsidR="00AB1CE4" w:rsidRPr="000B29C4">
        <w:rPr>
          <w:rFonts w:ascii="Tahoma" w:hAnsi="Tahoma" w:cs="Tahoma"/>
          <w:sz w:val="23"/>
          <w:szCs w:val="23"/>
          <w:lang w:val="es-419"/>
        </w:rPr>
        <w:t xml:space="preserve"> del</w:t>
      </w:r>
      <w:r w:rsidRPr="000B29C4">
        <w:rPr>
          <w:rFonts w:ascii="Tahoma" w:hAnsi="Tahoma" w:cs="Tahoma"/>
          <w:sz w:val="23"/>
          <w:szCs w:val="23"/>
          <w:lang w:val="es-419"/>
        </w:rPr>
        <w:t xml:space="preserve"> proceso, entre otros eventos, </w:t>
      </w:r>
      <w:r w:rsidRPr="000B29C4">
        <w:rPr>
          <w:rFonts w:ascii="Tahoma" w:eastAsiaTheme="minorHAnsi" w:hAnsi="Tahoma" w:cs="Tahoma"/>
          <w:sz w:val="23"/>
          <w:szCs w:val="23"/>
          <w:lang w:val="es-419" w:eastAsia="es-ES_tradnl"/>
        </w:rPr>
        <w:t>en los asuntos donde sea parte una entidad pública o donde se considere necesario defender los inte</w:t>
      </w:r>
      <w:r w:rsidR="008C7011" w:rsidRPr="000B29C4">
        <w:rPr>
          <w:rFonts w:ascii="Tahoma" w:eastAsiaTheme="minorHAnsi" w:hAnsi="Tahoma" w:cs="Tahoma"/>
          <w:sz w:val="23"/>
          <w:szCs w:val="23"/>
          <w:lang w:val="es-419" w:eastAsia="es-ES_tradnl"/>
        </w:rPr>
        <w:t>reses patrimoniales del Estado.</w:t>
      </w:r>
    </w:p>
    <w:p w14:paraId="45561850" w14:textId="77777777" w:rsidR="00CD70A8" w:rsidRPr="000B29C4" w:rsidRDefault="00CD70A8" w:rsidP="00CD70A8">
      <w:pPr>
        <w:overflowPunct/>
        <w:autoSpaceDE/>
        <w:autoSpaceDN/>
        <w:adjustRightInd/>
        <w:ind w:firstLine="709"/>
        <w:jc w:val="both"/>
        <w:rPr>
          <w:rFonts w:ascii="Tahoma" w:hAnsi="Tahoma" w:cs="Tahoma"/>
          <w:sz w:val="23"/>
          <w:szCs w:val="23"/>
          <w:lang w:val="es-419"/>
        </w:rPr>
      </w:pPr>
    </w:p>
    <w:p w14:paraId="38FE6E0E" w14:textId="4DE6E0A7" w:rsidR="00AB1CE4" w:rsidRPr="000B29C4" w:rsidRDefault="00AB4893" w:rsidP="00CD70A8">
      <w:pPr>
        <w:overflowPunct/>
        <w:autoSpaceDE/>
        <w:autoSpaceDN/>
        <w:adjustRightInd/>
        <w:spacing w:line="276" w:lineRule="auto"/>
        <w:ind w:firstLine="709"/>
        <w:jc w:val="both"/>
        <w:rPr>
          <w:rFonts w:ascii="Tahoma" w:eastAsiaTheme="minorHAnsi" w:hAnsi="Tahoma" w:cs="Tahoma"/>
          <w:sz w:val="23"/>
          <w:szCs w:val="23"/>
          <w:lang w:val="es-419" w:eastAsia="es-ES_tradnl"/>
        </w:rPr>
      </w:pPr>
      <w:r w:rsidRPr="000B29C4">
        <w:rPr>
          <w:rFonts w:ascii="Tahoma" w:hAnsi="Tahoma" w:cs="Tahoma"/>
          <w:sz w:val="23"/>
          <w:szCs w:val="23"/>
          <w:lang w:val="es-419"/>
        </w:rPr>
        <w:t>Con la finalidad de hacer efectiva dicha intervención, se tiene previsto en el artículo 612 de la misma obra procesal, que en</w:t>
      </w:r>
      <w:r w:rsidRPr="000B29C4">
        <w:rPr>
          <w:rFonts w:ascii="Tahoma" w:eastAsiaTheme="minorHAnsi" w:hAnsi="Tahoma" w:cs="Tahoma"/>
          <w:sz w:val="23"/>
          <w:szCs w:val="23"/>
          <w:lang w:val="es-419" w:eastAsia="es-ES_tradnl"/>
        </w:rPr>
        <w:t xml:space="preserve"> los procesos que se tramiten ante cualquier jurisdicción en donde sea demandada una entidad pública, </w:t>
      </w:r>
      <w:r w:rsidR="00AB1CE4" w:rsidRPr="000B29C4">
        <w:rPr>
          <w:rFonts w:ascii="Tahoma" w:eastAsiaTheme="minorHAnsi" w:hAnsi="Tahoma" w:cs="Tahoma"/>
          <w:sz w:val="23"/>
          <w:szCs w:val="23"/>
          <w:lang w:val="es-419" w:eastAsia="es-ES_tradnl"/>
        </w:rPr>
        <w:t>deberá</w:t>
      </w:r>
      <w:r w:rsidRPr="000B29C4">
        <w:rPr>
          <w:rFonts w:ascii="Tahoma" w:eastAsiaTheme="minorHAnsi" w:hAnsi="Tahoma" w:cs="Tahoma"/>
          <w:sz w:val="23"/>
          <w:szCs w:val="23"/>
          <w:lang w:val="es-419" w:eastAsia="es-ES_tradnl"/>
        </w:rPr>
        <w:t xml:space="preserve"> notificarse también a la Agencia Nacional de Defensa Jurídica del Estado, en los mismos términos </w:t>
      </w:r>
      <w:r w:rsidR="00AB1CE4" w:rsidRPr="000B29C4">
        <w:rPr>
          <w:rFonts w:ascii="Tahoma" w:eastAsiaTheme="minorHAnsi" w:hAnsi="Tahoma" w:cs="Tahoma"/>
          <w:sz w:val="23"/>
          <w:szCs w:val="23"/>
          <w:lang w:val="es-419" w:eastAsia="es-ES_tradnl"/>
        </w:rPr>
        <w:t>y para los mismos efectos previstos en dicho artículo.</w:t>
      </w:r>
    </w:p>
    <w:p w14:paraId="12EF7D26" w14:textId="77777777" w:rsidR="00CD70A8" w:rsidRPr="000B29C4" w:rsidRDefault="00CD70A8" w:rsidP="00CD70A8">
      <w:pPr>
        <w:widowControl w:val="0"/>
        <w:ind w:firstLine="709"/>
        <w:jc w:val="both"/>
        <w:rPr>
          <w:rFonts w:ascii="Tahoma" w:eastAsiaTheme="minorHAnsi" w:hAnsi="Tahoma" w:cs="Tahoma"/>
          <w:sz w:val="23"/>
          <w:szCs w:val="23"/>
          <w:lang w:val="es-419" w:eastAsia="es-ES_tradnl"/>
        </w:rPr>
      </w:pPr>
    </w:p>
    <w:p w14:paraId="13D0F13F" w14:textId="1CAF5910" w:rsidR="009551AB" w:rsidRPr="000B29C4" w:rsidRDefault="00A61560" w:rsidP="00CD70A8">
      <w:pPr>
        <w:widowControl w:val="0"/>
        <w:spacing w:line="276" w:lineRule="auto"/>
        <w:ind w:firstLine="709"/>
        <w:jc w:val="both"/>
        <w:rPr>
          <w:rFonts w:ascii="Tahoma" w:eastAsiaTheme="minorHAnsi" w:hAnsi="Tahoma" w:cs="Tahoma"/>
          <w:sz w:val="23"/>
          <w:szCs w:val="23"/>
          <w:lang w:val="es-419" w:eastAsia="es-ES_tradnl"/>
        </w:rPr>
      </w:pPr>
      <w:r w:rsidRPr="000B29C4">
        <w:rPr>
          <w:rFonts w:ascii="Tahoma" w:eastAsiaTheme="minorHAnsi" w:hAnsi="Tahoma" w:cs="Tahoma"/>
          <w:sz w:val="23"/>
          <w:szCs w:val="23"/>
          <w:lang w:val="es-419" w:eastAsia="es-ES_tradnl"/>
        </w:rPr>
        <w:t xml:space="preserve">Pues bien, si nos atenemos al tenor literal de los anteriores preceptos normativos, </w:t>
      </w:r>
      <w:r w:rsidRPr="000B29C4">
        <w:rPr>
          <w:rFonts w:ascii="Tahoma" w:eastAsiaTheme="minorHAnsi" w:hAnsi="Tahoma" w:cs="Tahoma"/>
          <w:sz w:val="23"/>
          <w:szCs w:val="23"/>
          <w:lang w:val="es-419" w:eastAsia="es-ES_tradnl"/>
        </w:rPr>
        <w:lastRenderedPageBreak/>
        <w:t>se tendría que concluir</w:t>
      </w:r>
      <w:r w:rsidR="002D3989" w:rsidRPr="000B29C4">
        <w:rPr>
          <w:rFonts w:ascii="Tahoma" w:eastAsiaTheme="minorHAnsi" w:hAnsi="Tahoma" w:cs="Tahoma"/>
          <w:sz w:val="23"/>
          <w:szCs w:val="23"/>
          <w:lang w:val="es-419" w:eastAsia="es-ES_tradnl"/>
        </w:rPr>
        <w:t>, sin matices,</w:t>
      </w:r>
      <w:r w:rsidRPr="000B29C4">
        <w:rPr>
          <w:rFonts w:ascii="Tahoma" w:eastAsiaTheme="minorHAnsi" w:hAnsi="Tahoma" w:cs="Tahoma"/>
          <w:sz w:val="23"/>
          <w:szCs w:val="23"/>
          <w:lang w:val="es-419" w:eastAsia="es-ES_tradnl"/>
        </w:rPr>
        <w:t xml:space="preserve"> que la Agencia Nacional de Defensa Jurídica del Estado</w:t>
      </w:r>
      <w:r w:rsidR="00A1557E" w:rsidRPr="000B29C4">
        <w:rPr>
          <w:rFonts w:ascii="Tahoma" w:eastAsiaTheme="minorHAnsi" w:hAnsi="Tahoma" w:cs="Tahoma"/>
          <w:sz w:val="23"/>
          <w:szCs w:val="23"/>
          <w:lang w:val="es-419" w:eastAsia="es-ES_tradnl"/>
        </w:rPr>
        <w:t xml:space="preserve"> (</w:t>
      </w:r>
      <w:bookmarkStart w:id="4" w:name="OLE_LINK13"/>
      <w:r w:rsidR="00A1557E" w:rsidRPr="000B29C4">
        <w:rPr>
          <w:rFonts w:ascii="Tahoma" w:eastAsiaTheme="minorHAnsi" w:hAnsi="Tahoma" w:cs="Tahoma"/>
          <w:sz w:val="23"/>
          <w:szCs w:val="23"/>
          <w:lang w:val="es-419" w:eastAsia="es-ES_tradnl"/>
        </w:rPr>
        <w:t>ANDJ</w:t>
      </w:r>
      <w:r w:rsidR="000B29C4" w:rsidRPr="000B29C4">
        <w:rPr>
          <w:rFonts w:ascii="Tahoma" w:eastAsiaTheme="minorHAnsi" w:hAnsi="Tahoma" w:cs="Tahoma"/>
          <w:sz w:val="23"/>
          <w:szCs w:val="23"/>
          <w:lang w:val="es-419" w:eastAsia="es-ES_tradnl"/>
        </w:rPr>
        <w:t>E</w:t>
      </w:r>
      <w:bookmarkEnd w:id="4"/>
      <w:r w:rsidR="00A1557E" w:rsidRPr="000B29C4">
        <w:rPr>
          <w:rFonts w:ascii="Tahoma" w:eastAsiaTheme="minorHAnsi" w:hAnsi="Tahoma" w:cs="Tahoma"/>
          <w:sz w:val="23"/>
          <w:szCs w:val="23"/>
          <w:lang w:val="es-419" w:eastAsia="es-ES_tradnl"/>
        </w:rPr>
        <w:t>)</w:t>
      </w:r>
      <w:r w:rsidRPr="000B29C4">
        <w:rPr>
          <w:rFonts w:ascii="Tahoma" w:eastAsiaTheme="minorHAnsi" w:hAnsi="Tahoma" w:cs="Tahoma"/>
          <w:sz w:val="23"/>
          <w:szCs w:val="23"/>
          <w:lang w:val="es-419" w:eastAsia="es-ES_tradnl"/>
        </w:rPr>
        <w:t xml:space="preserve"> </w:t>
      </w:r>
      <w:r w:rsidR="002F74E0" w:rsidRPr="000B29C4">
        <w:rPr>
          <w:rFonts w:ascii="Tahoma" w:eastAsiaTheme="minorHAnsi" w:hAnsi="Tahoma" w:cs="Tahoma"/>
          <w:sz w:val="23"/>
          <w:szCs w:val="23"/>
          <w:lang w:val="es-419" w:eastAsia="es-ES_tradnl"/>
        </w:rPr>
        <w:t>debe</w:t>
      </w:r>
      <w:r w:rsidR="002D3989" w:rsidRPr="000B29C4">
        <w:rPr>
          <w:rFonts w:ascii="Tahoma" w:eastAsiaTheme="minorHAnsi" w:hAnsi="Tahoma" w:cs="Tahoma"/>
          <w:sz w:val="23"/>
          <w:szCs w:val="23"/>
          <w:lang w:val="es-419" w:eastAsia="es-ES_tradnl"/>
        </w:rPr>
        <w:t xml:space="preserve"> ser forzosamente</w:t>
      </w:r>
      <w:r w:rsidR="002F74E0" w:rsidRPr="000B29C4">
        <w:rPr>
          <w:rFonts w:ascii="Tahoma" w:eastAsiaTheme="minorHAnsi" w:hAnsi="Tahoma" w:cs="Tahoma"/>
          <w:sz w:val="23"/>
          <w:szCs w:val="23"/>
          <w:lang w:val="es-419" w:eastAsia="es-ES_tradnl"/>
        </w:rPr>
        <w:t xml:space="preserve"> </w:t>
      </w:r>
      <w:r w:rsidR="002D3989" w:rsidRPr="000B29C4">
        <w:rPr>
          <w:rFonts w:ascii="Tahoma" w:eastAsiaTheme="minorHAnsi" w:hAnsi="Tahoma" w:cs="Tahoma"/>
          <w:sz w:val="23"/>
          <w:szCs w:val="23"/>
          <w:lang w:val="es-419" w:eastAsia="es-ES_tradnl"/>
        </w:rPr>
        <w:t>notificada</w:t>
      </w:r>
      <w:r w:rsidR="00AB7018" w:rsidRPr="000B29C4">
        <w:rPr>
          <w:rFonts w:ascii="Tahoma" w:eastAsiaTheme="minorHAnsi" w:hAnsi="Tahoma" w:cs="Tahoma"/>
          <w:sz w:val="23"/>
          <w:szCs w:val="23"/>
          <w:lang w:val="es-419" w:eastAsia="es-ES_tradnl"/>
        </w:rPr>
        <w:t xml:space="preserve"> de </w:t>
      </w:r>
      <w:r w:rsidR="002D3989" w:rsidRPr="000B29C4">
        <w:rPr>
          <w:rFonts w:ascii="Tahoma" w:eastAsiaTheme="minorHAnsi" w:hAnsi="Tahoma" w:cs="Tahoma"/>
          <w:sz w:val="23"/>
          <w:szCs w:val="23"/>
          <w:lang w:val="es-419" w:eastAsia="es-ES_tradnl"/>
        </w:rPr>
        <w:t>cualquier</w:t>
      </w:r>
      <w:r w:rsidRPr="000B29C4">
        <w:rPr>
          <w:rFonts w:ascii="Tahoma" w:eastAsiaTheme="minorHAnsi" w:hAnsi="Tahoma" w:cs="Tahoma"/>
          <w:sz w:val="23"/>
          <w:szCs w:val="23"/>
          <w:lang w:val="es-419" w:eastAsia="es-ES_tradnl"/>
        </w:rPr>
        <w:t xml:space="preserve"> asunto en donde sea demandada una entidad pública, lo cual</w:t>
      </w:r>
      <w:r w:rsidR="002D3989" w:rsidRPr="000B29C4">
        <w:rPr>
          <w:rFonts w:ascii="Tahoma" w:eastAsiaTheme="minorHAnsi" w:hAnsi="Tahoma" w:cs="Tahoma"/>
          <w:sz w:val="23"/>
          <w:szCs w:val="23"/>
          <w:lang w:val="es-419" w:eastAsia="es-ES_tradnl"/>
        </w:rPr>
        <w:t xml:space="preserve"> obviamente no excluiría</w:t>
      </w:r>
      <w:r w:rsidR="009551AB" w:rsidRPr="000B29C4">
        <w:rPr>
          <w:rFonts w:ascii="Tahoma" w:eastAsiaTheme="minorHAnsi" w:hAnsi="Tahoma" w:cs="Tahoma"/>
          <w:sz w:val="23"/>
          <w:szCs w:val="23"/>
          <w:lang w:val="es-419" w:eastAsia="es-ES_tradnl"/>
        </w:rPr>
        <w:t xml:space="preserve"> a las</w:t>
      </w:r>
      <w:r w:rsidR="00A1557E" w:rsidRPr="000B29C4">
        <w:rPr>
          <w:rFonts w:ascii="Tahoma" w:eastAsiaTheme="minorHAnsi" w:hAnsi="Tahoma" w:cs="Tahoma"/>
          <w:sz w:val="23"/>
          <w:szCs w:val="23"/>
          <w:lang w:val="es-419" w:eastAsia="es-ES_tradnl"/>
        </w:rPr>
        <w:t xml:space="preserve"> entidades del orden </w:t>
      </w:r>
      <w:r w:rsidRPr="000B29C4">
        <w:rPr>
          <w:rFonts w:ascii="Tahoma" w:eastAsiaTheme="minorHAnsi" w:hAnsi="Tahoma" w:cs="Tahoma"/>
          <w:sz w:val="23"/>
          <w:szCs w:val="23"/>
          <w:lang w:val="es-419" w:eastAsia="es-ES_tradnl"/>
        </w:rPr>
        <w:t>territorial</w:t>
      </w:r>
      <w:r w:rsidR="009551AB" w:rsidRPr="000B29C4">
        <w:rPr>
          <w:rFonts w:ascii="Tahoma" w:eastAsiaTheme="minorHAnsi" w:hAnsi="Tahoma" w:cs="Tahoma"/>
          <w:sz w:val="23"/>
          <w:szCs w:val="23"/>
          <w:lang w:val="es-419" w:eastAsia="es-ES_tradnl"/>
        </w:rPr>
        <w:t xml:space="preserve"> </w:t>
      </w:r>
      <w:r w:rsidR="00A1557E" w:rsidRPr="000B29C4">
        <w:rPr>
          <w:rFonts w:ascii="Tahoma" w:eastAsiaTheme="minorHAnsi" w:hAnsi="Tahoma" w:cs="Tahoma"/>
          <w:sz w:val="23"/>
          <w:szCs w:val="23"/>
          <w:lang w:val="es-419" w:eastAsia="es-ES_tradnl"/>
        </w:rPr>
        <w:t>ni local. Sin embargo,</w:t>
      </w:r>
      <w:r w:rsidR="002D3989" w:rsidRPr="000B29C4">
        <w:rPr>
          <w:rFonts w:ascii="Tahoma" w:eastAsiaTheme="minorHAnsi" w:hAnsi="Tahoma" w:cs="Tahoma"/>
          <w:sz w:val="23"/>
          <w:szCs w:val="23"/>
          <w:lang w:val="es-419" w:eastAsia="es-ES_tradnl"/>
        </w:rPr>
        <w:t xml:space="preserve"> aplicado en este caso </w:t>
      </w:r>
      <w:r w:rsidR="004726F9" w:rsidRPr="000B29C4">
        <w:rPr>
          <w:rFonts w:ascii="Tahoma" w:eastAsiaTheme="minorHAnsi" w:hAnsi="Tahoma" w:cs="Tahoma"/>
          <w:sz w:val="23"/>
          <w:szCs w:val="23"/>
          <w:lang w:val="es-419" w:eastAsia="es-ES_tradnl"/>
        </w:rPr>
        <w:t>el criterio hermenéutico de especialidad</w:t>
      </w:r>
      <w:r w:rsidR="002D3989" w:rsidRPr="000B29C4">
        <w:rPr>
          <w:rFonts w:ascii="Tahoma" w:eastAsiaTheme="minorHAnsi" w:hAnsi="Tahoma" w:cs="Tahoma"/>
          <w:sz w:val="23"/>
          <w:szCs w:val="23"/>
          <w:lang w:val="es-419" w:eastAsia="es-ES_tradnl"/>
        </w:rPr>
        <w:t xml:space="preserve"> (Art. 5 de la Ley 57 de 1887)</w:t>
      </w:r>
      <w:r w:rsidR="004726F9" w:rsidRPr="000B29C4">
        <w:rPr>
          <w:rFonts w:ascii="Tahoma" w:eastAsiaTheme="minorHAnsi" w:hAnsi="Tahoma" w:cs="Tahoma"/>
          <w:sz w:val="23"/>
          <w:szCs w:val="23"/>
          <w:lang w:val="es-419" w:eastAsia="es-ES_tradnl"/>
        </w:rPr>
        <w:t xml:space="preserve">, </w:t>
      </w:r>
      <w:r w:rsidR="007C2154" w:rsidRPr="000B29C4">
        <w:rPr>
          <w:rFonts w:ascii="Tahoma" w:hAnsi="Tahoma" w:cs="Tahoma"/>
          <w:sz w:val="23"/>
          <w:szCs w:val="23"/>
          <w:bdr w:val="none" w:sz="0" w:space="0" w:color="auto" w:frame="1"/>
          <w:lang w:val="es-419" w:eastAsia="es-ES_tradnl"/>
        </w:rPr>
        <w:t>según el cual la norma especial prima sobre la general</w:t>
      </w:r>
      <w:r w:rsidR="007C2154" w:rsidRPr="000B29C4">
        <w:rPr>
          <w:rFonts w:ascii="Tahoma" w:hAnsi="Tahoma" w:cs="Tahoma"/>
          <w:sz w:val="23"/>
          <w:szCs w:val="23"/>
          <w:bdr w:val="none" w:sz="0" w:space="0" w:color="auto" w:frame="1"/>
          <w:shd w:val="clear" w:color="auto" w:fill="FFFFFF"/>
          <w:lang w:val="es-419" w:eastAsia="es-ES_tradnl"/>
        </w:rPr>
        <w:t> </w:t>
      </w:r>
      <w:r w:rsidR="007C2154" w:rsidRPr="000B29C4">
        <w:rPr>
          <w:rFonts w:ascii="Arial Narrow" w:hAnsi="Arial Narrow" w:cs="Tahoma"/>
          <w:sz w:val="23"/>
          <w:szCs w:val="23"/>
          <w:bdr w:val="none" w:sz="0" w:space="0" w:color="auto" w:frame="1"/>
          <w:shd w:val="clear" w:color="auto" w:fill="FFFFFF"/>
          <w:lang w:val="es-419" w:eastAsia="es-ES_tradnl"/>
        </w:rPr>
        <w:t>(</w:t>
      </w:r>
      <w:r w:rsidR="007C2154" w:rsidRPr="000B29C4">
        <w:rPr>
          <w:rFonts w:ascii="Arial Narrow" w:hAnsi="Arial Narrow" w:cs="Tahoma"/>
          <w:i/>
          <w:iCs/>
          <w:sz w:val="23"/>
          <w:szCs w:val="23"/>
          <w:bdr w:val="none" w:sz="0" w:space="0" w:color="auto" w:frame="1"/>
          <w:lang w:val="es-419" w:eastAsia="es-ES_tradnl"/>
        </w:rPr>
        <w:t>lex specialis derogat generali</w:t>
      </w:r>
      <w:r w:rsidR="007C2154" w:rsidRPr="000B29C4">
        <w:rPr>
          <w:rFonts w:ascii="Arial Narrow" w:hAnsi="Arial Narrow" w:cs="Tahoma"/>
          <w:sz w:val="23"/>
          <w:szCs w:val="23"/>
          <w:bdr w:val="none" w:sz="0" w:space="0" w:color="auto" w:frame="1"/>
          <w:shd w:val="clear" w:color="auto" w:fill="FFFFFF"/>
          <w:lang w:val="es-419" w:eastAsia="es-ES_tradnl"/>
        </w:rPr>
        <w:t>)</w:t>
      </w:r>
      <w:r w:rsidR="00AB7018" w:rsidRPr="000B29C4">
        <w:rPr>
          <w:rFonts w:ascii="Arial Narrow" w:hAnsi="Arial Narrow" w:cs="Tahoma"/>
          <w:sz w:val="23"/>
          <w:szCs w:val="23"/>
          <w:bdr w:val="none" w:sz="0" w:space="0" w:color="auto" w:frame="1"/>
          <w:lang w:val="es-419" w:eastAsia="es-ES_tradnl"/>
        </w:rPr>
        <w:t>,</w:t>
      </w:r>
      <w:r w:rsidR="00AB7018" w:rsidRPr="000B29C4">
        <w:rPr>
          <w:rFonts w:ascii="Tahoma" w:hAnsi="Tahoma" w:cs="Tahoma"/>
          <w:sz w:val="23"/>
          <w:szCs w:val="23"/>
          <w:bdr w:val="none" w:sz="0" w:space="0" w:color="auto" w:frame="1"/>
          <w:lang w:val="es-419" w:eastAsia="es-ES_tradnl"/>
        </w:rPr>
        <w:t xml:space="preserve"> ha de entenderse </w:t>
      </w:r>
      <w:r w:rsidR="004726F9" w:rsidRPr="000B29C4">
        <w:rPr>
          <w:rFonts w:ascii="Tahoma" w:hAnsi="Tahoma" w:cs="Tahoma"/>
          <w:sz w:val="23"/>
          <w:szCs w:val="23"/>
          <w:bdr w:val="none" w:sz="0" w:space="0" w:color="auto" w:frame="1"/>
          <w:lang w:val="es-419" w:eastAsia="es-ES_tradnl"/>
        </w:rPr>
        <w:t>que dicha facultad de intervención</w:t>
      </w:r>
      <w:r w:rsidR="002D3989" w:rsidRPr="000B29C4">
        <w:rPr>
          <w:rFonts w:ascii="Tahoma" w:hAnsi="Tahoma" w:cs="Tahoma"/>
          <w:sz w:val="23"/>
          <w:szCs w:val="23"/>
          <w:bdr w:val="none" w:sz="0" w:space="0" w:color="auto" w:frame="1"/>
          <w:lang w:val="es-419" w:eastAsia="es-ES_tradnl"/>
        </w:rPr>
        <w:t xml:space="preserve"> y la necesidad de notificar la demanda a la citada entidad, </w:t>
      </w:r>
      <w:r w:rsidR="004726F9" w:rsidRPr="000B29C4">
        <w:rPr>
          <w:rFonts w:ascii="Tahoma" w:hAnsi="Tahoma" w:cs="Tahoma"/>
          <w:sz w:val="23"/>
          <w:szCs w:val="23"/>
          <w:bdr w:val="none" w:sz="0" w:space="0" w:color="auto" w:frame="1"/>
          <w:lang w:val="es-419" w:eastAsia="es-ES_tradnl"/>
        </w:rPr>
        <w:t>se limita</w:t>
      </w:r>
      <w:r w:rsidR="00A254CE" w:rsidRPr="000B29C4">
        <w:rPr>
          <w:rFonts w:ascii="Tahoma" w:hAnsi="Tahoma" w:cs="Tahoma"/>
          <w:sz w:val="23"/>
          <w:szCs w:val="23"/>
          <w:bdr w:val="none" w:sz="0" w:space="0" w:color="auto" w:frame="1"/>
          <w:lang w:val="es-419" w:eastAsia="es-ES_tradnl"/>
        </w:rPr>
        <w:t xml:space="preserve"> y se exige</w:t>
      </w:r>
      <w:r w:rsidR="004726F9" w:rsidRPr="000B29C4">
        <w:rPr>
          <w:rFonts w:ascii="Tahoma" w:hAnsi="Tahoma" w:cs="Tahoma"/>
          <w:sz w:val="23"/>
          <w:szCs w:val="23"/>
          <w:bdr w:val="none" w:sz="0" w:space="0" w:color="auto" w:frame="1"/>
          <w:lang w:val="es-419" w:eastAsia="es-ES_tradnl"/>
        </w:rPr>
        <w:t xml:space="preserve"> </w:t>
      </w:r>
      <w:r w:rsidR="00345C4F" w:rsidRPr="000B29C4">
        <w:rPr>
          <w:rFonts w:ascii="Tahoma" w:hAnsi="Tahoma" w:cs="Tahoma"/>
          <w:sz w:val="23"/>
          <w:szCs w:val="23"/>
          <w:bdr w:val="none" w:sz="0" w:space="0" w:color="auto" w:frame="1"/>
          <w:lang w:val="es-419" w:eastAsia="es-ES_tradnl"/>
        </w:rPr>
        <w:t>únicamente</w:t>
      </w:r>
      <w:r w:rsidR="00AB7018" w:rsidRPr="000B29C4">
        <w:rPr>
          <w:rFonts w:ascii="Tahoma" w:hAnsi="Tahoma" w:cs="Tahoma"/>
          <w:sz w:val="23"/>
          <w:szCs w:val="23"/>
          <w:bdr w:val="none" w:sz="0" w:space="0" w:color="auto" w:frame="1"/>
          <w:lang w:val="es-419" w:eastAsia="es-ES_tradnl"/>
        </w:rPr>
        <w:t xml:space="preserve"> </w:t>
      </w:r>
      <w:r w:rsidR="00A254CE" w:rsidRPr="000B29C4">
        <w:rPr>
          <w:rFonts w:ascii="Tahoma" w:hAnsi="Tahoma" w:cs="Tahoma"/>
          <w:sz w:val="23"/>
          <w:szCs w:val="23"/>
          <w:bdr w:val="none" w:sz="0" w:space="0" w:color="auto" w:frame="1"/>
          <w:lang w:val="es-419" w:eastAsia="es-ES_tradnl"/>
        </w:rPr>
        <w:t>en</w:t>
      </w:r>
      <w:r w:rsidR="00541C12" w:rsidRPr="000B29C4">
        <w:rPr>
          <w:rFonts w:ascii="Tahoma" w:hAnsi="Tahoma" w:cs="Tahoma"/>
          <w:sz w:val="23"/>
          <w:szCs w:val="23"/>
          <w:bdr w:val="none" w:sz="0" w:space="0" w:color="auto" w:frame="1"/>
          <w:lang w:val="es-419" w:eastAsia="es-ES_tradnl"/>
        </w:rPr>
        <w:t xml:space="preserve"> aquellos eventos</w:t>
      </w:r>
      <w:r w:rsidR="004726F9" w:rsidRPr="000B29C4">
        <w:rPr>
          <w:rFonts w:ascii="Tahoma" w:hAnsi="Tahoma" w:cs="Tahoma"/>
          <w:sz w:val="23"/>
          <w:szCs w:val="23"/>
          <w:bdr w:val="none" w:sz="0" w:space="0" w:color="auto" w:frame="1"/>
          <w:lang w:val="es-419" w:eastAsia="es-ES_tradnl"/>
        </w:rPr>
        <w:t xml:space="preserve"> </w:t>
      </w:r>
      <w:r w:rsidR="002D3989" w:rsidRPr="000B29C4">
        <w:rPr>
          <w:rFonts w:ascii="Tahoma" w:hAnsi="Tahoma" w:cs="Tahoma"/>
          <w:sz w:val="23"/>
          <w:szCs w:val="23"/>
          <w:bdr w:val="none" w:sz="0" w:space="0" w:color="auto" w:frame="1"/>
          <w:lang w:val="es-419" w:eastAsia="es-ES_tradnl"/>
        </w:rPr>
        <w:t>donde</w:t>
      </w:r>
      <w:r w:rsidR="00AB7018" w:rsidRPr="000B29C4">
        <w:rPr>
          <w:rFonts w:ascii="Tahoma" w:hAnsi="Tahoma" w:cs="Tahoma"/>
          <w:sz w:val="23"/>
          <w:szCs w:val="23"/>
          <w:bdr w:val="none" w:sz="0" w:space="0" w:color="auto" w:frame="1"/>
          <w:lang w:val="es-419" w:eastAsia="es-ES_tradnl"/>
        </w:rPr>
        <w:t xml:space="preserve"> la demandada sea una entidad pública del orden nacional</w:t>
      </w:r>
      <w:r w:rsidR="002D3989" w:rsidRPr="000B29C4">
        <w:rPr>
          <w:rFonts w:ascii="Tahoma" w:hAnsi="Tahoma" w:cs="Tahoma"/>
          <w:sz w:val="23"/>
          <w:szCs w:val="23"/>
          <w:bdr w:val="none" w:sz="0" w:space="0" w:color="auto" w:frame="1"/>
          <w:lang w:val="es-419" w:eastAsia="es-ES_tradnl"/>
        </w:rPr>
        <w:t xml:space="preserve">, toda vez que la norma especial que establece los </w:t>
      </w:r>
      <w:r w:rsidR="002D3989" w:rsidRPr="000B29C4">
        <w:rPr>
          <w:rFonts w:ascii="Tahoma" w:hAnsi="Tahoma" w:cs="Tahoma"/>
          <w:sz w:val="23"/>
          <w:szCs w:val="23"/>
          <w:u w:val="single"/>
          <w:bdr w:val="none" w:sz="0" w:space="0" w:color="auto" w:frame="1"/>
          <w:lang w:val="es-419" w:eastAsia="es-ES_tradnl"/>
        </w:rPr>
        <w:t>objetivos</w:t>
      </w:r>
      <w:r w:rsidR="00DA4A99" w:rsidRPr="000B29C4">
        <w:rPr>
          <w:rFonts w:ascii="Tahoma" w:hAnsi="Tahoma" w:cs="Tahoma"/>
          <w:sz w:val="23"/>
          <w:szCs w:val="23"/>
          <w:bdr w:val="none" w:sz="0" w:space="0" w:color="auto" w:frame="1"/>
          <w:lang w:val="es-419" w:eastAsia="es-ES_tradnl"/>
        </w:rPr>
        <w:t xml:space="preserve">, </w:t>
      </w:r>
      <w:r w:rsidR="002D3989" w:rsidRPr="000B29C4">
        <w:rPr>
          <w:rFonts w:ascii="Tahoma" w:hAnsi="Tahoma" w:cs="Tahoma"/>
          <w:sz w:val="23"/>
          <w:szCs w:val="23"/>
          <w:bdr w:val="none" w:sz="0" w:space="0" w:color="auto" w:frame="1"/>
          <w:lang w:val="es-419" w:eastAsia="es-ES_tradnl"/>
        </w:rPr>
        <w:t xml:space="preserve">la estructura </w:t>
      </w:r>
      <w:r w:rsidR="00DA4A99" w:rsidRPr="000B29C4">
        <w:rPr>
          <w:rFonts w:ascii="Tahoma" w:hAnsi="Tahoma" w:cs="Tahoma"/>
          <w:sz w:val="23"/>
          <w:szCs w:val="23"/>
          <w:bdr w:val="none" w:sz="0" w:space="0" w:color="auto" w:frame="1"/>
          <w:lang w:val="es-419" w:eastAsia="es-ES_tradnl"/>
        </w:rPr>
        <w:t xml:space="preserve">y el ámbito de competencia </w:t>
      </w:r>
      <w:r w:rsidR="002D3989" w:rsidRPr="000B29C4">
        <w:rPr>
          <w:rFonts w:ascii="Tahoma" w:hAnsi="Tahoma" w:cs="Tahoma"/>
          <w:sz w:val="23"/>
          <w:szCs w:val="23"/>
          <w:bdr w:val="none" w:sz="0" w:space="0" w:color="auto" w:frame="1"/>
          <w:lang w:val="es-419" w:eastAsia="es-ES_tradnl"/>
        </w:rPr>
        <w:t>de</w:t>
      </w:r>
      <w:r w:rsidR="007C2154" w:rsidRPr="000B29C4">
        <w:rPr>
          <w:rFonts w:ascii="Tahoma" w:hAnsi="Tahoma" w:cs="Tahoma"/>
          <w:sz w:val="23"/>
          <w:szCs w:val="23"/>
          <w:bdr w:val="none" w:sz="0" w:space="0" w:color="auto" w:frame="1"/>
          <w:lang w:val="es-419" w:eastAsia="es-ES_tradnl"/>
        </w:rPr>
        <w:t xml:space="preserve"> </w:t>
      </w:r>
      <w:r w:rsidR="002D3989" w:rsidRPr="000B29C4">
        <w:rPr>
          <w:rFonts w:ascii="Tahoma" w:hAnsi="Tahoma" w:cs="Tahoma"/>
          <w:sz w:val="23"/>
          <w:szCs w:val="23"/>
          <w:bdr w:val="none" w:sz="0" w:space="0" w:color="auto" w:frame="1"/>
          <w:lang w:val="es-419" w:eastAsia="es-ES_tradnl"/>
        </w:rPr>
        <w:t xml:space="preserve">la </w:t>
      </w:r>
      <w:r w:rsidR="002D3989" w:rsidRPr="000B29C4">
        <w:rPr>
          <w:rFonts w:ascii="Tahoma" w:eastAsiaTheme="minorHAnsi" w:hAnsi="Tahoma" w:cs="Tahoma"/>
          <w:sz w:val="23"/>
          <w:szCs w:val="23"/>
          <w:lang w:val="es-419" w:eastAsia="es-ES_tradnl"/>
        </w:rPr>
        <w:t>ANDJ</w:t>
      </w:r>
      <w:r w:rsidR="000B29C4" w:rsidRPr="000B29C4">
        <w:rPr>
          <w:rFonts w:ascii="Tahoma" w:eastAsiaTheme="minorHAnsi" w:hAnsi="Tahoma" w:cs="Tahoma"/>
          <w:sz w:val="23"/>
          <w:szCs w:val="23"/>
          <w:lang w:val="es-419" w:eastAsia="es-ES_tradnl"/>
        </w:rPr>
        <w:t>E</w:t>
      </w:r>
      <w:r w:rsidR="002D3989" w:rsidRPr="000B29C4">
        <w:rPr>
          <w:rFonts w:ascii="Tahoma" w:eastAsiaTheme="minorHAnsi" w:hAnsi="Tahoma" w:cs="Tahoma"/>
          <w:sz w:val="23"/>
          <w:szCs w:val="23"/>
          <w:lang w:val="es-419" w:eastAsia="es-ES_tradnl"/>
        </w:rPr>
        <w:t>, esto es, el Decreto 4085 de 2011, expedido en ejercicio de las facultades extraordinarias que el literal f) del artículo 18 de la Ley 1444 de 2011</w:t>
      </w:r>
      <w:r w:rsidR="009551AB" w:rsidRPr="000B29C4">
        <w:rPr>
          <w:rStyle w:val="Refdenotaalpie"/>
          <w:rFonts w:ascii="Tahoma" w:eastAsiaTheme="minorHAnsi" w:hAnsi="Tahoma" w:cs="Tahoma"/>
          <w:sz w:val="23"/>
          <w:szCs w:val="23"/>
          <w:lang w:val="es-419" w:eastAsia="es-ES_tradnl"/>
        </w:rPr>
        <w:footnoteReference w:id="1"/>
      </w:r>
      <w:r w:rsidR="002D3989" w:rsidRPr="000B29C4">
        <w:rPr>
          <w:rFonts w:ascii="Tahoma" w:eastAsiaTheme="minorHAnsi" w:hAnsi="Tahoma" w:cs="Tahoma"/>
          <w:sz w:val="23"/>
          <w:szCs w:val="23"/>
          <w:lang w:val="es-419" w:eastAsia="es-ES_tradnl"/>
        </w:rPr>
        <w:t xml:space="preserve"> le otorgó al Presidente de la República, </w:t>
      </w:r>
      <w:r w:rsidR="00175FD9" w:rsidRPr="000B29C4">
        <w:rPr>
          <w:rFonts w:ascii="Tahoma" w:eastAsiaTheme="minorHAnsi" w:hAnsi="Tahoma" w:cs="Tahoma"/>
          <w:sz w:val="23"/>
          <w:szCs w:val="23"/>
          <w:lang w:val="es-419" w:eastAsia="es-ES_tradnl"/>
        </w:rPr>
        <w:t>define que dicha entidad</w:t>
      </w:r>
      <w:r w:rsidR="009551AB" w:rsidRPr="000B29C4">
        <w:rPr>
          <w:rFonts w:ascii="Tahoma" w:eastAsiaTheme="minorHAnsi" w:hAnsi="Tahoma" w:cs="Tahoma"/>
          <w:sz w:val="23"/>
          <w:szCs w:val="23"/>
          <w:lang w:val="es-419" w:eastAsia="es-ES_tradnl"/>
        </w:rPr>
        <w:t xml:space="preserve"> fue creada para garantizar la eficiencia en la función de defensa jurídica de la Nación y del Estado y de sus organismos y dependencia</w:t>
      </w:r>
      <w:r w:rsidR="00541C12" w:rsidRPr="000B29C4">
        <w:rPr>
          <w:rFonts w:ascii="Tahoma" w:eastAsiaTheme="minorHAnsi" w:hAnsi="Tahoma" w:cs="Tahoma"/>
          <w:sz w:val="23"/>
          <w:szCs w:val="23"/>
          <w:lang w:val="es-419" w:eastAsia="es-ES_tradnl"/>
        </w:rPr>
        <w:t>s</w:t>
      </w:r>
      <w:r w:rsidR="009551AB" w:rsidRPr="000B29C4">
        <w:rPr>
          <w:rFonts w:ascii="Tahoma" w:eastAsiaTheme="minorHAnsi" w:hAnsi="Tahoma" w:cs="Tahoma"/>
          <w:sz w:val="23"/>
          <w:szCs w:val="23"/>
          <w:lang w:val="es-419" w:eastAsia="es-ES_tradnl"/>
        </w:rPr>
        <w:t>, entendiendo como intereses litigiosos de la Nación,</w:t>
      </w:r>
      <w:r w:rsidR="00DA4A99" w:rsidRPr="000B29C4">
        <w:rPr>
          <w:rFonts w:ascii="Tahoma" w:eastAsiaTheme="minorHAnsi" w:hAnsi="Tahoma" w:cs="Tahoma"/>
          <w:sz w:val="23"/>
          <w:szCs w:val="23"/>
          <w:lang w:val="es-419" w:eastAsia="es-ES_tradnl"/>
        </w:rPr>
        <w:t xml:space="preserve"> conforme a lo establecido en el literal a), artículo 2 del citado Decreto, </w:t>
      </w:r>
      <w:r w:rsidR="009551AB" w:rsidRPr="000B29C4">
        <w:rPr>
          <w:rFonts w:ascii="Tahoma" w:eastAsiaTheme="minorHAnsi" w:hAnsi="Tahoma" w:cs="Tahoma"/>
          <w:sz w:val="23"/>
          <w:szCs w:val="23"/>
          <w:lang w:val="es-419" w:eastAsia="es-ES_tradnl"/>
        </w:rPr>
        <w:t>aquellos en los cuales esté comprometida una entidad de la Administración Pública del orden nacional por ser</w:t>
      </w:r>
      <w:r w:rsidR="00541C12" w:rsidRPr="000B29C4">
        <w:rPr>
          <w:rFonts w:ascii="Tahoma" w:eastAsiaTheme="minorHAnsi" w:hAnsi="Tahoma" w:cs="Tahoma"/>
          <w:sz w:val="23"/>
          <w:szCs w:val="23"/>
          <w:lang w:val="es-419" w:eastAsia="es-ES_tradnl"/>
        </w:rPr>
        <w:t xml:space="preserve"> parte en un proceso</w:t>
      </w:r>
      <w:r w:rsidR="003912DF" w:rsidRPr="000B29C4">
        <w:rPr>
          <w:rFonts w:ascii="Tahoma" w:eastAsiaTheme="minorHAnsi" w:hAnsi="Tahoma" w:cs="Tahoma"/>
          <w:sz w:val="23"/>
          <w:szCs w:val="23"/>
          <w:lang w:val="es-419" w:eastAsia="es-ES_tradnl"/>
        </w:rPr>
        <w:t>, de lo que se concluye que la Agencia no tiene facultades de intervención en proceso</w:t>
      </w:r>
      <w:r w:rsidR="000443FE" w:rsidRPr="000B29C4">
        <w:rPr>
          <w:rFonts w:ascii="Tahoma" w:eastAsiaTheme="minorHAnsi" w:hAnsi="Tahoma" w:cs="Tahoma"/>
          <w:sz w:val="23"/>
          <w:szCs w:val="23"/>
          <w:lang w:val="es-419" w:eastAsia="es-ES_tradnl"/>
        </w:rPr>
        <w:t>s</w:t>
      </w:r>
      <w:r w:rsidR="003912DF" w:rsidRPr="000B29C4">
        <w:rPr>
          <w:rFonts w:ascii="Tahoma" w:eastAsiaTheme="minorHAnsi" w:hAnsi="Tahoma" w:cs="Tahoma"/>
          <w:sz w:val="23"/>
          <w:szCs w:val="23"/>
          <w:lang w:val="es-419" w:eastAsia="es-ES_tradnl"/>
        </w:rPr>
        <w:t xml:space="preserve"> donde la demandada sea una entidad territorial, como en este caso ocurre.</w:t>
      </w:r>
    </w:p>
    <w:p w14:paraId="58A65BF4" w14:textId="77777777" w:rsidR="00345C4F" w:rsidRPr="000B29C4" w:rsidRDefault="00345C4F" w:rsidP="00352DB5">
      <w:pPr>
        <w:widowControl w:val="0"/>
        <w:jc w:val="both"/>
        <w:rPr>
          <w:rFonts w:ascii="Tahoma" w:eastAsiaTheme="minorHAnsi" w:hAnsi="Tahoma" w:cs="Tahoma"/>
          <w:lang w:val="es-419" w:eastAsia="es-ES_tradnl"/>
        </w:rPr>
      </w:pPr>
    </w:p>
    <w:p w14:paraId="5B2D51D1" w14:textId="4AE64B6C" w:rsidR="003912DF" w:rsidRPr="000B29C4" w:rsidRDefault="003912DF" w:rsidP="00CD70A8">
      <w:pPr>
        <w:widowControl w:val="0"/>
        <w:spacing w:line="276" w:lineRule="auto"/>
        <w:ind w:firstLine="709"/>
        <w:jc w:val="center"/>
        <w:rPr>
          <w:rFonts w:ascii="Tahoma" w:eastAsiaTheme="minorHAnsi" w:hAnsi="Tahoma" w:cs="Tahoma"/>
          <w:b/>
          <w:sz w:val="23"/>
          <w:szCs w:val="23"/>
          <w:lang w:val="es-419" w:eastAsia="es-ES_tradnl"/>
        </w:rPr>
      </w:pPr>
      <w:r w:rsidRPr="000B29C4">
        <w:rPr>
          <w:rFonts w:ascii="Tahoma" w:eastAsiaTheme="minorHAnsi" w:hAnsi="Tahoma" w:cs="Tahoma"/>
          <w:b/>
          <w:sz w:val="23"/>
          <w:szCs w:val="23"/>
          <w:lang w:val="es-419" w:eastAsia="es-ES_tradnl"/>
        </w:rPr>
        <w:t>6.5. NOTIFICACIÓN DEL AUTO ADMISORIO DE LA DEMANDA</w:t>
      </w:r>
      <w:r w:rsidR="00345C4F" w:rsidRPr="000B29C4">
        <w:rPr>
          <w:rFonts w:ascii="Tahoma" w:eastAsiaTheme="minorHAnsi" w:hAnsi="Tahoma" w:cs="Tahoma"/>
          <w:b/>
          <w:sz w:val="23"/>
          <w:szCs w:val="23"/>
          <w:lang w:val="es-419" w:eastAsia="es-ES_tradnl"/>
        </w:rPr>
        <w:t xml:space="preserve"> AL MINISTERIO PÚBLICO</w:t>
      </w:r>
      <w:r w:rsidRPr="000B29C4">
        <w:rPr>
          <w:rFonts w:ascii="Tahoma" w:eastAsiaTheme="minorHAnsi" w:hAnsi="Tahoma" w:cs="Tahoma"/>
          <w:b/>
          <w:sz w:val="23"/>
          <w:szCs w:val="23"/>
          <w:lang w:val="es-419" w:eastAsia="es-ES_tradnl"/>
        </w:rPr>
        <w:t xml:space="preserve"> EN ASUNTOS DONDE LA ENTIDAD DEMANDADA SEA UNA ENTIDAD DEL ORDEN TERRITORIAL</w:t>
      </w:r>
    </w:p>
    <w:p w14:paraId="74A8B6BC" w14:textId="77777777" w:rsidR="00FE112D" w:rsidRPr="000B29C4" w:rsidRDefault="00FE112D" w:rsidP="00352DB5">
      <w:pPr>
        <w:widowControl w:val="0"/>
        <w:ind w:firstLine="708"/>
        <w:jc w:val="center"/>
        <w:rPr>
          <w:rFonts w:ascii="Tahoma" w:eastAsiaTheme="minorHAnsi" w:hAnsi="Tahoma" w:cs="Tahoma"/>
          <w:b/>
          <w:lang w:val="es-419" w:eastAsia="es-ES_tradnl"/>
        </w:rPr>
      </w:pPr>
    </w:p>
    <w:p w14:paraId="07773526" w14:textId="77777777" w:rsidR="001E1CE5" w:rsidRPr="000B29C4" w:rsidRDefault="00B96891" w:rsidP="00FE112D">
      <w:pPr>
        <w:widowControl w:val="0"/>
        <w:spacing w:line="276" w:lineRule="auto"/>
        <w:ind w:firstLine="708"/>
        <w:jc w:val="both"/>
        <w:rPr>
          <w:rFonts w:ascii="Tahoma" w:eastAsiaTheme="minorHAnsi" w:hAnsi="Tahoma" w:cs="Tahoma"/>
          <w:sz w:val="23"/>
          <w:szCs w:val="23"/>
          <w:lang w:val="es-419" w:eastAsia="es-ES_tradnl"/>
        </w:rPr>
      </w:pPr>
      <w:r w:rsidRPr="000B29C4">
        <w:rPr>
          <w:rFonts w:ascii="Tahoma" w:eastAsiaTheme="minorHAnsi" w:hAnsi="Tahoma" w:cs="Tahoma"/>
          <w:sz w:val="23"/>
          <w:szCs w:val="23"/>
          <w:lang w:val="es-419" w:eastAsia="es-ES_tradnl"/>
        </w:rPr>
        <w:t>El artículo 277 de la Constitución Polí</w:t>
      </w:r>
      <w:r w:rsidR="00CB3B2C" w:rsidRPr="000B29C4">
        <w:rPr>
          <w:rFonts w:ascii="Tahoma" w:eastAsiaTheme="minorHAnsi" w:hAnsi="Tahoma" w:cs="Tahoma"/>
          <w:sz w:val="23"/>
          <w:szCs w:val="23"/>
          <w:lang w:val="es-419" w:eastAsia="es-ES_tradnl"/>
        </w:rPr>
        <w:t xml:space="preserve">tica de 1991, le asigna al Ministerio Público, entre otras funciones, la de intervenir en los procesos y ante las autoridades judiciales o administrativas, cuando sea necesario en defensa del orden jurídico, del patrimonio público, o de los derechos y garantías fundamentales. </w:t>
      </w:r>
    </w:p>
    <w:p w14:paraId="033EA72F" w14:textId="77777777" w:rsidR="001E1CE5" w:rsidRPr="000B29C4" w:rsidRDefault="001E1CE5" w:rsidP="00352DB5">
      <w:pPr>
        <w:widowControl w:val="0"/>
        <w:ind w:firstLine="708"/>
        <w:jc w:val="both"/>
        <w:rPr>
          <w:rFonts w:ascii="Tahoma" w:eastAsiaTheme="minorHAnsi" w:hAnsi="Tahoma" w:cs="Tahoma"/>
          <w:lang w:val="es-419" w:eastAsia="es-ES_tradnl"/>
        </w:rPr>
      </w:pPr>
    </w:p>
    <w:p w14:paraId="15A06847" w14:textId="77777777" w:rsidR="00FE112D" w:rsidRPr="000B29C4" w:rsidRDefault="00CB3B2C" w:rsidP="00FE112D">
      <w:pPr>
        <w:widowControl w:val="0"/>
        <w:spacing w:line="276" w:lineRule="auto"/>
        <w:ind w:firstLine="708"/>
        <w:jc w:val="both"/>
        <w:rPr>
          <w:rFonts w:ascii="Tahoma" w:eastAsiaTheme="minorHAnsi" w:hAnsi="Tahoma" w:cs="Tahoma"/>
          <w:sz w:val="23"/>
          <w:szCs w:val="23"/>
          <w:lang w:val="es-419" w:eastAsia="es-ES_tradnl"/>
        </w:rPr>
      </w:pPr>
      <w:r w:rsidRPr="000B29C4">
        <w:rPr>
          <w:rFonts w:ascii="Tahoma" w:eastAsiaTheme="minorHAnsi" w:hAnsi="Tahoma" w:cs="Tahoma"/>
          <w:sz w:val="23"/>
          <w:szCs w:val="23"/>
          <w:lang w:val="es-419" w:eastAsia="es-ES_tradnl"/>
        </w:rPr>
        <w:t xml:space="preserve">A su vez, </w:t>
      </w:r>
      <w:r w:rsidR="001E1CE5" w:rsidRPr="000B29C4">
        <w:rPr>
          <w:rFonts w:ascii="Tahoma" w:eastAsiaTheme="minorHAnsi" w:hAnsi="Tahoma" w:cs="Tahoma"/>
          <w:sz w:val="23"/>
          <w:szCs w:val="23"/>
          <w:lang w:val="es-419" w:eastAsia="es-ES_tradnl"/>
        </w:rPr>
        <w:t>el artículo 16 del CPT y de la SS, establece que el Ministerio Público podrá intervenir en los procesos laborales de conformidad con lo señalado en la ley</w:t>
      </w:r>
      <w:r w:rsidR="00397939" w:rsidRPr="000B29C4">
        <w:rPr>
          <w:rFonts w:ascii="Tahoma" w:eastAsiaTheme="minorHAnsi" w:hAnsi="Tahoma" w:cs="Tahoma"/>
          <w:sz w:val="23"/>
          <w:szCs w:val="23"/>
          <w:lang w:val="es-419" w:eastAsia="es-ES_tradnl"/>
        </w:rPr>
        <w:t xml:space="preserve"> y el artículo 74 de la misma obra, dispone que de la demanda se correrá traslado al agente del Ministerio Público si fuere el caso, por un término común de diez (10) días, traslado que se hará entregándole copia del respectivo libelo.</w:t>
      </w:r>
    </w:p>
    <w:p w14:paraId="45CD3A18" w14:textId="77777777" w:rsidR="00397939" w:rsidRPr="000B29C4" w:rsidRDefault="00397939" w:rsidP="00352DB5">
      <w:pPr>
        <w:widowControl w:val="0"/>
        <w:ind w:firstLine="708"/>
        <w:jc w:val="both"/>
        <w:rPr>
          <w:rFonts w:ascii="Tahoma" w:eastAsiaTheme="minorHAnsi" w:hAnsi="Tahoma" w:cs="Tahoma"/>
          <w:lang w:val="es-419" w:eastAsia="es-ES_tradnl"/>
        </w:rPr>
      </w:pPr>
    </w:p>
    <w:p w14:paraId="3CEB02D4" w14:textId="5589B4A1" w:rsidR="0000526C" w:rsidRPr="000B29C4" w:rsidRDefault="0000526C" w:rsidP="0000526C">
      <w:pPr>
        <w:widowControl w:val="0"/>
        <w:spacing w:line="276" w:lineRule="auto"/>
        <w:ind w:firstLine="708"/>
        <w:jc w:val="both"/>
        <w:rPr>
          <w:rFonts w:ascii="Tahoma" w:eastAsiaTheme="minorHAnsi" w:hAnsi="Tahoma" w:cs="Tahoma"/>
          <w:sz w:val="23"/>
          <w:szCs w:val="23"/>
          <w:lang w:val="es-419" w:eastAsia="es-ES_tradnl"/>
        </w:rPr>
      </w:pPr>
      <w:r w:rsidRPr="000B29C4">
        <w:rPr>
          <w:rFonts w:ascii="Tahoma" w:eastAsiaTheme="minorHAnsi" w:hAnsi="Tahoma" w:cs="Tahoma"/>
          <w:sz w:val="23"/>
          <w:szCs w:val="23"/>
          <w:lang w:val="es-419" w:eastAsia="es-ES_tradnl"/>
        </w:rPr>
        <w:t>Adicionalmente, en el ya citado art</w:t>
      </w:r>
      <w:r w:rsidR="00352DB5" w:rsidRPr="000B29C4">
        <w:rPr>
          <w:rFonts w:ascii="Tahoma" w:eastAsiaTheme="minorHAnsi" w:hAnsi="Tahoma" w:cs="Tahoma"/>
          <w:sz w:val="23"/>
          <w:szCs w:val="23"/>
          <w:lang w:val="es-419" w:eastAsia="es-ES_tradnl"/>
        </w:rPr>
        <w:t>.</w:t>
      </w:r>
      <w:r w:rsidRPr="000B29C4">
        <w:rPr>
          <w:rFonts w:ascii="Tahoma" w:eastAsiaTheme="minorHAnsi" w:hAnsi="Tahoma" w:cs="Tahoma"/>
          <w:sz w:val="23"/>
          <w:szCs w:val="23"/>
          <w:lang w:val="es-419" w:eastAsia="es-ES_tradnl"/>
        </w:rPr>
        <w:t xml:space="preserve"> 612 del CGP, aplicable por analogía al proceso laboral, se tiene previsto que el auto admisorio de la demanda y el mandamiento de pago contra entidades públicas, se debe notificar personalmente a </w:t>
      </w:r>
      <w:r w:rsidR="00352DB5" w:rsidRPr="000B29C4">
        <w:rPr>
          <w:rFonts w:ascii="Tahoma" w:eastAsiaTheme="minorHAnsi" w:hAnsi="Tahoma" w:cs="Tahoma"/>
          <w:sz w:val="23"/>
          <w:szCs w:val="23"/>
          <w:lang w:val="es-419" w:eastAsia="es-ES_tradnl"/>
        </w:rPr>
        <w:t xml:space="preserve">dichas entidades y al </w:t>
      </w:r>
      <w:r w:rsidR="00323C1F" w:rsidRPr="000B29C4">
        <w:rPr>
          <w:rFonts w:ascii="Tahoma" w:eastAsiaTheme="minorHAnsi" w:hAnsi="Tahoma" w:cs="Tahoma"/>
          <w:sz w:val="23"/>
          <w:szCs w:val="23"/>
          <w:lang w:val="es-419" w:eastAsia="es-ES_tradnl"/>
        </w:rPr>
        <w:t>Ministerio</w:t>
      </w:r>
      <w:r w:rsidRPr="000B29C4">
        <w:rPr>
          <w:rFonts w:ascii="Tahoma" w:eastAsiaTheme="minorHAnsi" w:hAnsi="Tahoma" w:cs="Tahoma"/>
          <w:sz w:val="23"/>
          <w:szCs w:val="23"/>
          <w:lang w:val="es-419" w:eastAsia="es-ES_tradnl"/>
        </w:rPr>
        <w:t xml:space="preserve"> Público. </w:t>
      </w:r>
    </w:p>
    <w:p w14:paraId="094F292B" w14:textId="77777777" w:rsidR="0000526C" w:rsidRPr="000B29C4" w:rsidRDefault="0000526C" w:rsidP="00352DB5">
      <w:pPr>
        <w:widowControl w:val="0"/>
        <w:jc w:val="both"/>
        <w:rPr>
          <w:rFonts w:ascii="Tahoma" w:eastAsiaTheme="minorHAnsi" w:hAnsi="Tahoma" w:cs="Tahoma"/>
          <w:lang w:val="es-419" w:eastAsia="es-ES_tradnl"/>
        </w:rPr>
      </w:pPr>
    </w:p>
    <w:p w14:paraId="6D3A9471" w14:textId="172D6E06" w:rsidR="00397939" w:rsidRPr="000B29C4" w:rsidRDefault="00397939" w:rsidP="00FE112D">
      <w:pPr>
        <w:widowControl w:val="0"/>
        <w:spacing w:line="276" w:lineRule="auto"/>
        <w:ind w:firstLine="708"/>
        <w:jc w:val="both"/>
        <w:rPr>
          <w:rFonts w:ascii="Tahoma" w:eastAsiaTheme="minorHAnsi" w:hAnsi="Tahoma" w:cs="Tahoma"/>
          <w:sz w:val="23"/>
          <w:szCs w:val="23"/>
          <w:lang w:val="es-419" w:eastAsia="es-ES_tradnl"/>
        </w:rPr>
      </w:pPr>
      <w:r w:rsidRPr="000B29C4">
        <w:rPr>
          <w:rFonts w:ascii="Tahoma" w:eastAsiaTheme="minorHAnsi" w:hAnsi="Tahoma" w:cs="Tahoma"/>
          <w:sz w:val="23"/>
          <w:szCs w:val="23"/>
          <w:lang w:val="es-419" w:eastAsia="es-ES_tradnl"/>
        </w:rPr>
        <w:t xml:space="preserve">Ahora bien, en algunos casos la intervención del Ministerio Público es potestativa y en otras, en las que </w:t>
      </w:r>
      <w:r w:rsidR="00552143" w:rsidRPr="000B29C4">
        <w:rPr>
          <w:rFonts w:ascii="Tahoma" w:eastAsiaTheme="minorHAnsi" w:hAnsi="Tahoma" w:cs="Tahoma"/>
          <w:sz w:val="23"/>
          <w:szCs w:val="23"/>
          <w:lang w:val="es-419" w:eastAsia="es-ES_tradnl"/>
        </w:rPr>
        <w:t xml:space="preserve">actúa como sujeto procesal especial, </w:t>
      </w:r>
      <w:r w:rsidR="00B12394" w:rsidRPr="000B29C4">
        <w:rPr>
          <w:rFonts w:ascii="Tahoma" w:eastAsiaTheme="minorHAnsi" w:hAnsi="Tahoma" w:cs="Tahoma"/>
          <w:sz w:val="23"/>
          <w:szCs w:val="23"/>
          <w:lang w:val="es-419" w:eastAsia="es-ES_tradnl"/>
        </w:rPr>
        <w:t>es obligatoria. Al respecto se</w:t>
      </w:r>
      <w:r w:rsidR="00CD70A8" w:rsidRPr="000B29C4">
        <w:rPr>
          <w:rFonts w:ascii="Tahoma" w:eastAsiaTheme="minorHAnsi" w:hAnsi="Tahoma" w:cs="Tahoma"/>
          <w:sz w:val="23"/>
          <w:szCs w:val="23"/>
          <w:lang w:val="es-419" w:eastAsia="es-ES_tradnl"/>
        </w:rPr>
        <w:t xml:space="preserve"> previene en el artículo 46 del </w:t>
      </w:r>
      <w:r w:rsidR="00B12394" w:rsidRPr="000B29C4">
        <w:rPr>
          <w:rFonts w:ascii="Tahoma" w:eastAsiaTheme="minorHAnsi" w:hAnsi="Tahoma" w:cs="Tahoma"/>
          <w:sz w:val="23"/>
          <w:szCs w:val="23"/>
          <w:lang w:val="es-419" w:eastAsia="es-ES_tradnl"/>
        </w:rPr>
        <w:t>CGP, que el Ministerio Público ejercerá en la jurisdicción ordinaria, de manera obligatoria, en aquellos procesos en que sea parte la Nación o una entidad territorial, y se aclara</w:t>
      </w:r>
      <w:r w:rsidR="00767D1D" w:rsidRPr="000B29C4">
        <w:rPr>
          <w:rFonts w:ascii="Tahoma" w:eastAsiaTheme="minorHAnsi" w:hAnsi="Tahoma" w:cs="Tahoma"/>
          <w:sz w:val="23"/>
          <w:szCs w:val="23"/>
          <w:lang w:val="es-419" w:eastAsia="es-ES_tradnl"/>
        </w:rPr>
        <w:t>, en el parágrafo de la norma,</w:t>
      </w:r>
      <w:r w:rsidR="00B12394" w:rsidRPr="000B29C4">
        <w:rPr>
          <w:rFonts w:ascii="Tahoma" w:eastAsiaTheme="minorHAnsi" w:hAnsi="Tahoma" w:cs="Tahoma"/>
          <w:sz w:val="23"/>
          <w:szCs w:val="23"/>
          <w:lang w:val="es-419" w:eastAsia="es-ES_tradnl"/>
        </w:rPr>
        <w:t xml:space="preserve"> </w:t>
      </w:r>
      <w:r w:rsidR="00767D1D" w:rsidRPr="000B29C4">
        <w:rPr>
          <w:rFonts w:ascii="Tahoma" w:eastAsiaTheme="minorHAnsi" w:hAnsi="Tahoma" w:cs="Tahoma"/>
          <w:sz w:val="23"/>
          <w:szCs w:val="23"/>
          <w:lang w:val="es-419" w:eastAsia="es-ES_tradnl"/>
        </w:rPr>
        <w:t>que en estos casos la entidad intervendrá como sujeto procesal especial con amplias facultades, entre ellas la de interponer recursos, emitir conceptos, solicitar nulidades, pedir, aportar y controvertir pruebas.</w:t>
      </w:r>
    </w:p>
    <w:p w14:paraId="7B5D9833" w14:textId="77777777" w:rsidR="00767D1D" w:rsidRPr="000B29C4" w:rsidRDefault="00767D1D" w:rsidP="00352DB5">
      <w:pPr>
        <w:widowControl w:val="0"/>
        <w:ind w:firstLine="708"/>
        <w:jc w:val="both"/>
        <w:rPr>
          <w:rFonts w:ascii="Tahoma" w:eastAsiaTheme="minorHAnsi" w:hAnsi="Tahoma" w:cs="Tahoma"/>
          <w:lang w:val="es-419" w:eastAsia="es-ES_tradnl"/>
        </w:rPr>
      </w:pPr>
    </w:p>
    <w:p w14:paraId="50A4E51F" w14:textId="51A802A4" w:rsidR="008F1387" w:rsidRPr="000B29C4" w:rsidRDefault="0059544A" w:rsidP="008F1387">
      <w:pPr>
        <w:widowControl w:val="0"/>
        <w:spacing w:line="276" w:lineRule="auto"/>
        <w:ind w:firstLine="708"/>
        <w:jc w:val="both"/>
        <w:rPr>
          <w:rFonts w:ascii="Tahoma" w:eastAsiaTheme="minorHAnsi" w:hAnsi="Tahoma" w:cs="Tahoma"/>
          <w:sz w:val="23"/>
          <w:szCs w:val="23"/>
          <w:lang w:val="es-419" w:eastAsia="es-ES_tradnl"/>
        </w:rPr>
      </w:pPr>
      <w:r w:rsidRPr="000B29C4">
        <w:rPr>
          <w:rFonts w:ascii="Tahoma" w:eastAsiaTheme="minorHAnsi" w:hAnsi="Tahoma" w:cs="Tahoma"/>
          <w:sz w:val="23"/>
          <w:szCs w:val="23"/>
          <w:lang w:val="es-419" w:eastAsia="es-ES_tradnl"/>
        </w:rPr>
        <w:t xml:space="preserve">De acuerdo a lo anterior, </w:t>
      </w:r>
      <w:r w:rsidR="00767D1D" w:rsidRPr="000B29C4">
        <w:rPr>
          <w:rFonts w:ascii="Tahoma" w:eastAsiaTheme="minorHAnsi" w:hAnsi="Tahoma" w:cs="Tahoma"/>
          <w:sz w:val="23"/>
          <w:szCs w:val="23"/>
          <w:lang w:val="es-419" w:eastAsia="es-ES_tradnl"/>
        </w:rPr>
        <w:t>en cualquier asunto tramitado ante la especialidad laboral,</w:t>
      </w:r>
      <w:r w:rsidRPr="000B29C4">
        <w:rPr>
          <w:rFonts w:ascii="Tahoma" w:eastAsiaTheme="minorHAnsi" w:hAnsi="Tahoma" w:cs="Tahoma"/>
          <w:sz w:val="23"/>
          <w:szCs w:val="23"/>
          <w:lang w:val="es-419" w:eastAsia="es-ES_tradnl"/>
        </w:rPr>
        <w:t xml:space="preserve"> donde </w:t>
      </w:r>
      <w:r w:rsidR="008F1387" w:rsidRPr="000B29C4">
        <w:rPr>
          <w:rFonts w:ascii="Tahoma" w:eastAsiaTheme="minorHAnsi" w:hAnsi="Tahoma" w:cs="Tahoma"/>
          <w:sz w:val="23"/>
          <w:szCs w:val="23"/>
          <w:lang w:val="es-419" w:eastAsia="es-ES_tradnl"/>
        </w:rPr>
        <w:t>sea demandada</w:t>
      </w:r>
      <w:r w:rsidR="00352DB5" w:rsidRPr="000B29C4">
        <w:rPr>
          <w:rFonts w:ascii="Tahoma" w:eastAsiaTheme="minorHAnsi" w:hAnsi="Tahoma" w:cs="Tahoma"/>
          <w:sz w:val="23"/>
          <w:szCs w:val="23"/>
          <w:lang w:val="es-419" w:eastAsia="es-ES_tradnl"/>
        </w:rPr>
        <w:t xml:space="preserve"> la Nación o</w:t>
      </w:r>
      <w:r w:rsidR="008F1387" w:rsidRPr="000B29C4">
        <w:rPr>
          <w:rFonts w:ascii="Tahoma" w:eastAsiaTheme="minorHAnsi" w:hAnsi="Tahoma" w:cs="Tahoma"/>
          <w:sz w:val="23"/>
          <w:szCs w:val="23"/>
          <w:lang w:val="es-419" w:eastAsia="es-ES_tradnl"/>
        </w:rPr>
        <w:t xml:space="preserve"> una entidad territorial, el juez deberá ordenar que se dé traslado de la demanda al Ministerio Público, a través de los procuradores delegados, quienes en virtud del artículo 45 del CGP, tienen la facultad de intervenir ante los jueces de circuito, municipales y de familia, sin perjuicio de que la intervención la ejerza el personero del respectivo municipio, como delegado y bajo la dirección del procurador delegado.</w:t>
      </w:r>
    </w:p>
    <w:p w14:paraId="60F6B532" w14:textId="77777777" w:rsidR="008F1387" w:rsidRPr="000B29C4" w:rsidRDefault="008F1387" w:rsidP="00352DB5">
      <w:pPr>
        <w:widowControl w:val="0"/>
        <w:ind w:firstLine="708"/>
        <w:jc w:val="both"/>
        <w:rPr>
          <w:rFonts w:ascii="Tahoma" w:eastAsiaTheme="minorHAnsi" w:hAnsi="Tahoma" w:cs="Tahoma"/>
          <w:lang w:val="es-419" w:eastAsia="es-ES_tradnl"/>
        </w:rPr>
      </w:pPr>
    </w:p>
    <w:p w14:paraId="73921E52" w14:textId="77777777" w:rsidR="00767D1D" w:rsidRPr="000B29C4" w:rsidRDefault="008F1387" w:rsidP="006D42FC">
      <w:pPr>
        <w:widowControl w:val="0"/>
        <w:spacing w:line="276" w:lineRule="auto"/>
        <w:jc w:val="center"/>
        <w:rPr>
          <w:rFonts w:ascii="Tahoma" w:eastAsiaTheme="minorHAnsi" w:hAnsi="Tahoma" w:cs="Tahoma"/>
          <w:b/>
          <w:sz w:val="23"/>
          <w:szCs w:val="23"/>
          <w:lang w:val="es-419" w:eastAsia="es-ES_tradnl"/>
        </w:rPr>
      </w:pPr>
      <w:r w:rsidRPr="000B29C4">
        <w:rPr>
          <w:rFonts w:ascii="Tahoma" w:eastAsiaTheme="minorHAnsi" w:hAnsi="Tahoma" w:cs="Tahoma"/>
          <w:b/>
          <w:sz w:val="23"/>
          <w:szCs w:val="23"/>
          <w:lang w:val="es-419" w:eastAsia="es-ES_tradnl"/>
        </w:rPr>
        <w:t>6.6. CASO CONCRETO</w:t>
      </w:r>
    </w:p>
    <w:p w14:paraId="023816DE" w14:textId="77777777" w:rsidR="008C7011" w:rsidRPr="000B29C4" w:rsidRDefault="008C7011" w:rsidP="008F567F">
      <w:pPr>
        <w:widowControl w:val="0"/>
        <w:ind w:firstLine="708"/>
        <w:jc w:val="center"/>
        <w:rPr>
          <w:rFonts w:ascii="Tahoma" w:eastAsiaTheme="minorHAnsi" w:hAnsi="Tahoma" w:cs="Tahoma"/>
          <w:b/>
          <w:lang w:val="es-419" w:eastAsia="es-ES_tradnl"/>
        </w:rPr>
      </w:pPr>
    </w:p>
    <w:p w14:paraId="0F7D5E57" w14:textId="2E1299D5" w:rsidR="006D42FC" w:rsidRPr="000B29C4" w:rsidRDefault="006D42FC" w:rsidP="006D42FC">
      <w:pPr>
        <w:widowControl w:val="0"/>
        <w:spacing w:line="276" w:lineRule="auto"/>
        <w:ind w:firstLine="708"/>
        <w:jc w:val="both"/>
        <w:rPr>
          <w:rFonts w:ascii="Tahoma" w:eastAsiaTheme="minorHAnsi" w:hAnsi="Tahoma" w:cs="Tahoma"/>
          <w:sz w:val="22"/>
          <w:szCs w:val="22"/>
          <w:lang w:val="es-419" w:eastAsia="es-ES_tradnl"/>
        </w:rPr>
      </w:pPr>
      <w:r w:rsidRPr="000B29C4">
        <w:rPr>
          <w:rFonts w:ascii="Tahoma" w:eastAsiaTheme="minorHAnsi" w:hAnsi="Tahoma" w:cs="Tahoma"/>
          <w:sz w:val="22"/>
          <w:szCs w:val="22"/>
          <w:lang w:val="es-419" w:eastAsia="es-ES_tradnl"/>
        </w:rPr>
        <w:t>Lo primero que se observa en este asunto es que con la constitución de apoderado judicial y con la radicación del respectivo poder en la secretaría del despacho de 1º instancia, el Municipio de Pereira dio muestra inequívoca del conocimiento del proceso laboral que en su contra adelanta ante dicho juzgado el señor GUILLERMO SALAZAR ARCILA, de modo que se hacía innecesario notificarle personalmente el auto admisorio de la demanda, pues en este caso, esto es, cuando antes de la notificación personal se radica poder otorgado por la demanda</w:t>
      </w:r>
      <w:r w:rsidR="00F01914" w:rsidRPr="000B29C4">
        <w:rPr>
          <w:rFonts w:ascii="Tahoma" w:eastAsiaTheme="minorHAnsi" w:hAnsi="Tahoma" w:cs="Tahoma"/>
          <w:sz w:val="22"/>
          <w:szCs w:val="22"/>
          <w:lang w:val="es-419" w:eastAsia="es-ES_tradnl"/>
        </w:rPr>
        <w:t>da</w:t>
      </w:r>
      <w:r w:rsidRPr="000B29C4">
        <w:rPr>
          <w:rFonts w:ascii="Tahoma" w:eastAsiaTheme="minorHAnsi" w:hAnsi="Tahoma" w:cs="Tahoma"/>
          <w:sz w:val="22"/>
          <w:szCs w:val="22"/>
          <w:lang w:val="es-419" w:eastAsia="es-ES_tradnl"/>
        </w:rPr>
        <w:t>, debe operar automáticamente la notificación por conducta concluyente, la cual surte los mismos efectos de la notificación personal, conf</w:t>
      </w:r>
      <w:r w:rsidR="00352DB5" w:rsidRPr="000B29C4">
        <w:rPr>
          <w:rFonts w:ascii="Tahoma" w:eastAsiaTheme="minorHAnsi" w:hAnsi="Tahoma" w:cs="Tahoma"/>
          <w:sz w:val="22"/>
          <w:szCs w:val="22"/>
          <w:lang w:val="es-419" w:eastAsia="es-ES_tradnl"/>
        </w:rPr>
        <w:t>orme se establece en el art.</w:t>
      </w:r>
      <w:r w:rsidRPr="000B29C4">
        <w:rPr>
          <w:rFonts w:ascii="Tahoma" w:eastAsiaTheme="minorHAnsi" w:hAnsi="Tahoma" w:cs="Tahoma"/>
          <w:sz w:val="22"/>
          <w:szCs w:val="22"/>
          <w:lang w:val="es-419" w:eastAsia="es-ES_tradnl"/>
        </w:rPr>
        <w:t xml:space="preserve"> 301 del CGP.</w:t>
      </w:r>
    </w:p>
    <w:p w14:paraId="7D1AFA0B" w14:textId="77777777" w:rsidR="00CD70A8" w:rsidRPr="000B29C4" w:rsidRDefault="00CD70A8" w:rsidP="007C3B90">
      <w:pPr>
        <w:widowControl w:val="0"/>
        <w:ind w:firstLine="708"/>
        <w:jc w:val="both"/>
        <w:rPr>
          <w:rFonts w:ascii="Tahoma" w:eastAsiaTheme="minorHAnsi" w:hAnsi="Tahoma" w:cs="Tahoma"/>
          <w:lang w:val="es-419" w:eastAsia="es-ES_tradnl"/>
        </w:rPr>
      </w:pPr>
    </w:p>
    <w:p w14:paraId="5D6BE2EE" w14:textId="11D0BA59" w:rsidR="00714ED8" w:rsidRPr="000B29C4" w:rsidRDefault="00CD70A8" w:rsidP="00CD70A8">
      <w:pPr>
        <w:widowControl w:val="0"/>
        <w:spacing w:line="276" w:lineRule="auto"/>
        <w:ind w:firstLine="708"/>
        <w:jc w:val="both"/>
        <w:rPr>
          <w:rFonts w:ascii="Tahoma" w:eastAsiaTheme="minorHAnsi" w:hAnsi="Tahoma" w:cs="Tahoma"/>
          <w:sz w:val="23"/>
          <w:szCs w:val="23"/>
          <w:lang w:val="es-419" w:eastAsia="es-ES_tradnl"/>
        </w:rPr>
      </w:pPr>
      <w:r w:rsidRPr="000B29C4">
        <w:rPr>
          <w:rFonts w:ascii="Tahoma" w:eastAsiaTheme="minorHAnsi" w:hAnsi="Tahoma" w:cs="Tahoma"/>
          <w:sz w:val="23"/>
          <w:szCs w:val="23"/>
          <w:lang w:val="es-419" w:eastAsia="es-ES_tradnl"/>
        </w:rPr>
        <w:t xml:space="preserve">En segundo lugar, como se acaba de explicar, en este asunto no era obligatoria la notificación personal del auto admisorio de la demanda a la AGENCIA NACIONAL DE DEFENSA </w:t>
      </w:r>
      <w:r w:rsidR="000B29C4" w:rsidRPr="000B29C4">
        <w:rPr>
          <w:rFonts w:ascii="Tahoma" w:eastAsiaTheme="minorHAnsi" w:hAnsi="Tahoma" w:cs="Tahoma"/>
          <w:sz w:val="23"/>
          <w:szCs w:val="23"/>
          <w:lang w:val="es-419" w:eastAsia="es-ES_tradnl"/>
        </w:rPr>
        <w:t>JURÍDICA</w:t>
      </w:r>
      <w:r w:rsidRPr="000B29C4">
        <w:rPr>
          <w:rFonts w:ascii="Tahoma" w:eastAsiaTheme="minorHAnsi" w:hAnsi="Tahoma" w:cs="Tahoma"/>
          <w:sz w:val="23"/>
          <w:szCs w:val="23"/>
          <w:lang w:val="es-419" w:eastAsia="es-ES_tradnl"/>
        </w:rPr>
        <w:t xml:space="preserve"> DEL ESTADO, como quiera que ninguna de las demandadas ostenta la calidad de entidad pública del orden nacional y, de acuerdo a lo previsto en el literal a), artículo 2, del Decreto 4085 de 2011, dicha entidad solo ejerce funciones de intervención en asuntos judiciales cuyas pretensiones comprometan patrimonialmente a la Nación, y en este caso, las pretensiones están dirigidas en contra de una entidad territorial, como lo es el municipio</w:t>
      </w:r>
      <w:r w:rsidR="00352DB5" w:rsidRPr="000B29C4">
        <w:rPr>
          <w:rFonts w:ascii="Tahoma" w:eastAsiaTheme="minorHAnsi" w:hAnsi="Tahoma" w:cs="Tahoma"/>
          <w:sz w:val="23"/>
          <w:szCs w:val="23"/>
          <w:lang w:val="es-419" w:eastAsia="es-ES_tradnl"/>
        </w:rPr>
        <w:t xml:space="preserve"> de Pereira</w:t>
      </w:r>
      <w:r w:rsidRPr="000B29C4">
        <w:rPr>
          <w:rFonts w:ascii="Tahoma" w:eastAsiaTheme="minorHAnsi" w:hAnsi="Tahoma" w:cs="Tahoma"/>
          <w:sz w:val="23"/>
          <w:szCs w:val="23"/>
          <w:lang w:val="es-419" w:eastAsia="es-ES_tradnl"/>
        </w:rPr>
        <w:t xml:space="preserve">, de acuerdo a la estructura </w:t>
      </w:r>
      <w:r w:rsidR="00714ED8" w:rsidRPr="000B29C4">
        <w:rPr>
          <w:rFonts w:ascii="Tahoma" w:eastAsiaTheme="minorHAnsi" w:hAnsi="Tahoma" w:cs="Tahoma"/>
          <w:sz w:val="23"/>
          <w:szCs w:val="23"/>
          <w:lang w:val="es-419" w:eastAsia="es-ES_tradnl"/>
        </w:rPr>
        <w:t>orgánica de la administración pública fijada en el artículo 286 de la Constitución Política de Colombia.</w:t>
      </w:r>
    </w:p>
    <w:p w14:paraId="509916B5" w14:textId="77777777" w:rsidR="00714ED8" w:rsidRPr="000B29C4" w:rsidRDefault="00714ED8" w:rsidP="007C3B90">
      <w:pPr>
        <w:widowControl w:val="0"/>
        <w:ind w:firstLine="708"/>
        <w:jc w:val="both"/>
        <w:rPr>
          <w:rFonts w:ascii="Tahoma" w:eastAsiaTheme="minorHAnsi" w:hAnsi="Tahoma" w:cs="Tahoma"/>
          <w:lang w:val="es-419" w:eastAsia="es-ES_tradnl"/>
        </w:rPr>
      </w:pPr>
    </w:p>
    <w:p w14:paraId="2C4E7D3A" w14:textId="48863A8C" w:rsidR="00352DB5" w:rsidRPr="000B29C4" w:rsidRDefault="00714ED8" w:rsidP="00CD70A8">
      <w:pPr>
        <w:widowControl w:val="0"/>
        <w:spacing w:line="276" w:lineRule="auto"/>
        <w:ind w:firstLine="708"/>
        <w:jc w:val="both"/>
        <w:rPr>
          <w:rFonts w:ascii="Tahoma" w:eastAsiaTheme="minorHAnsi" w:hAnsi="Tahoma" w:cs="Tahoma"/>
          <w:sz w:val="23"/>
          <w:szCs w:val="23"/>
          <w:lang w:val="es-419" w:eastAsia="es-ES_tradnl"/>
        </w:rPr>
      </w:pPr>
      <w:r w:rsidRPr="000B29C4">
        <w:rPr>
          <w:rFonts w:ascii="Tahoma" w:eastAsiaTheme="minorHAnsi" w:hAnsi="Tahoma" w:cs="Tahoma"/>
          <w:sz w:val="23"/>
          <w:szCs w:val="23"/>
          <w:lang w:val="es-419" w:eastAsia="es-ES_tradnl"/>
        </w:rPr>
        <w:t xml:space="preserve">Finalmente, pese a que la nulidad por falta de notificación o emplazamiento solo puede ser alegada por la persona afectada (Art. 135 del CGP), es claro que el juez debe decretarla de oficio cuando se advierta que se dejó de citar en debida forma al Ministerio Público o a cualquier otra persona o entidad que de acuerdo con la ley debió ser citada. </w:t>
      </w:r>
      <w:r w:rsidR="00352DB5" w:rsidRPr="000B29C4">
        <w:rPr>
          <w:rFonts w:ascii="Tahoma" w:eastAsiaTheme="minorHAnsi" w:hAnsi="Tahoma" w:cs="Tahoma"/>
          <w:sz w:val="23"/>
          <w:szCs w:val="23"/>
          <w:lang w:val="es-419" w:eastAsia="es-ES_tradnl"/>
        </w:rPr>
        <w:t>Sin embargo, teniendo en cuenta que el contradictorio puede ser integrado</w:t>
      </w:r>
      <w:r w:rsidR="002904AF" w:rsidRPr="000B29C4">
        <w:rPr>
          <w:rFonts w:ascii="Tahoma" w:eastAsiaTheme="minorHAnsi" w:hAnsi="Tahoma" w:cs="Tahoma"/>
          <w:sz w:val="23"/>
          <w:szCs w:val="23"/>
          <w:lang w:val="es-419" w:eastAsia="es-ES_tradnl"/>
        </w:rPr>
        <w:t xml:space="preserve"> en cualquier etapa del proceso mientras no se haya dictado sentencia en primera instancia (Art. 61 del CGP), no resulta necesario en este caso decretar la nulidad por la falta de notificación, sino simplemente ordenar la citación del Ministerio Público, en los términos y para los efectos del artículo 612 del CGP.</w:t>
      </w:r>
    </w:p>
    <w:p w14:paraId="64081919" w14:textId="77777777" w:rsidR="00665487" w:rsidRPr="000B29C4" w:rsidRDefault="00665487" w:rsidP="002904AF">
      <w:pPr>
        <w:widowControl w:val="0"/>
        <w:jc w:val="both"/>
        <w:rPr>
          <w:rFonts w:ascii="Tahoma" w:eastAsiaTheme="minorHAnsi" w:hAnsi="Tahoma" w:cs="Tahoma"/>
          <w:sz w:val="23"/>
          <w:szCs w:val="23"/>
          <w:lang w:val="es-419" w:eastAsia="es-ES_tradnl"/>
        </w:rPr>
      </w:pPr>
    </w:p>
    <w:p w14:paraId="470C9D28" w14:textId="2904FD19" w:rsidR="00665487" w:rsidRPr="000B29C4" w:rsidRDefault="00910603" w:rsidP="00910603">
      <w:pPr>
        <w:widowControl w:val="0"/>
        <w:spacing w:line="276" w:lineRule="auto"/>
        <w:ind w:firstLine="708"/>
        <w:jc w:val="both"/>
        <w:rPr>
          <w:rFonts w:ascii="Tahoma" w:eastAsiaTheme="minorHAnsi" w:hAnsi="Tahoma" w:cs="Tahoma"/>
          <w:sz w:val="23"/>
          <w:szCs w:val="23"/>
          <w:lang w:val="es-419" w:eastAsia="es-ES_tradnl"/>
        </w:rPr>
      </w:pPr>
      <w:r w:rsidRPr="000B29C4">
        <w:rPr>
          <w:rFonts w:ascii="Tahoma" w:eastAsiaTheme="minorHAnsi" w:hAnsi="Tahoma" w:cs="Tahoma"/>
          <w:sz w:val="23"/>
          <w:szCs w:val="23"/>
          <w:lang w:val="es-419" w:eastAsia="es-ES_tradnl"/>
        </w:rPr>
        <w:t xml:space="preserve">Cabe </w:t>
      </w:r>
      <w:r w:rsidR="00665487" w:rsidRPr="000B29C4">
        <w:rPr>
          <w:rFonts w:ascii="Tahoma" w:eastAsiaTheme="minorHAnsi" w:hAnsi="Tahoma" w:cs="Tahoma"/>
          <w:sz w:val="23"/>
          <w:szCs w:val="23"/>
          <w:lang w:val="es-419" w:eastAsia="es-ES_tradnl"/>
        </w:rPr>
        <w:t>aclarar, en consecuencia, que se mantiene en firme el traslado de la demanda que ya se surtió frente a los</w:t>
      </w:r>
      <w:r w:rsidR="00224341" w:rsidRPr="000B29C4">
        <w:rPr>
          <w:rFonts w:ascii="Tahoma" w:eastAsiaTheme="minorHAnsi" w:hAnsi="Tahoma" w:cs="Tahoma"/>
          <w:sz w:val="23"/>
          <w:szCs w:val="23"/>
          <w:lang w:val="es-419" w:eastAsia="es-ES_tradnl"/>
        </w:rPr>
        <w:t xml:space="preserve"> </w:t>
      </w:r>
      <w:r w:rsidR="00665487" w:rsidRPr="000B29C4">
        <w:rPr>
          <w:rFonts w:ascii="Tahoma" w:eastAsiaTheme="minorHAnsi" w:hAnsi="Tahoma" w:cs="Tahoma"/>
          <w:sz w:val="23"/>
          <w:szCs w:val="23"/>
          <w:lang w:val="es-419" w:eastAsia="es-ES_tradnl"/>
        </w:rPr>
        <w:t xml:space="preserve">demás sujetos procesales, pues aunque en materia </w:t>
      </w:r>
      <w:r w:rsidRPr="000B29C4">
        <w:rPr>
          <w:rFonts w:ascii="Tahoma" w:eastAsiaTheme="minorHAnsi" w:hAnsi="Tahoma" w:cs="Tahoma"/>
          <w:sz w:val="23"/>
          <w:szCs w:val="23"/>
          <w:lang w:val="es-419" w:eastAsia="es-ES_tradnl"/>
        </w:rPr>
        <w:t xml:space="preserve">laboral dicho </w:t>
      </w:r>
      <w:r w:rsidR="00665487" w:rsidRPr="000B29C4">
        <w:rPr>
          <w:rFonts w:ascii="Tahoma" w:eastAsiaTheme="minorHAnsi" w:hAnsi="Tahoma" w:cs="Tahoma"/>
          <w:sz w:val="23"/>
          <w:szCs w:val="23"/>
          <w:lang w:val="es-419" w:eastAsia="es-ES_tradnl"/>
        </w:rPr>
        <w:t>término es común,</w:t>
      </w:r>
      <w:r w:rsidRPr="000B29C4">
        <w:rPr>
          <w:rFonts w:ascii="Tahoma" w:eastAsiaTheme="minorHAnsi" w:hAnsi="Tahoma" w:cs="Tahoma"/>
          <w:sz w:val="23"/>
          <w:szCs w:val="23"/>
          <w:lang w:val="es-419" w:eastAsia="es-ES_tradnl"/>
        </w:rPr>
        <w:t xml:space="preserve"> y empieza a correr a partir de la última notificación,</w:t>
      </w:r>
      <w:r w:rsidR="00665487" w:rsidRPr="000B29C4">
        <w:rPr>
          <w:rFonts w:ascii="Tahoma" w:eastAsiaTheme="minorHAnsi" w:hAnsi="Tahoma" w:cs="Tahoma"/>
          <w:sz w:val="23"/>
          <w:szCs w:val="23"/>
          <w:lang w:val="es-419" w:eastAsia="es-ES_tradnl"/>
        </w:rPr>
        <w:t xml:space="preserve"> tal como se explicó en precedencia, </w:t>
      </w:r>
      <w:r w:rsidRPr="000B29C4">
        <w:rPr>
          <w:rFonts w:ascii="Tahoma" w:eastAsiaTheme="minorHAnsi" w:hAnsi="Tahoma" w:cs="Tahoma"/>
          <w:sz w:val="23"/>
          <w:szCs w:val="23"/>
          <w:lang w:val="es-419" w:eastAsia="es-ES_tradnl"/>
        </w:rPr>
        <w:t>la vinculación tardía del Ministerio Público o de cualquier otra persona</w:t>
      </w:r>
      <w:r w:rsidR="00C342C6" w:rsidRPr="000B29C4">
        <w:rPr>
          <w:rFonts w:ascii="Tahoma" w:eastAsiaTheme="minorHAnsi" w:hAnsi="Tahoma" w:cs="Tahoma"/>
          <w:sz w:val="23"/>
          <w:szCs w:val="23"/>
          <w:lang w:val="es-419" w:eastAsia="es-ES_tradnl"/>
        </w:rPr>
        <w:t xml:space="preserve"> en</w:t>
      </w:r>
      <w:r w:rsidRPr="000B29C4">
        <w:rPr>
          <w:rFonts w:ascii="Tahoma" w:eastAsiaTheme="minorHAnsi" w:hAnsi="Tahoma" w:cs="Tahoma"/>
          <w:sz w:val="23"/>
          <w:szCs w:val="23"/>
          <w:lang w:val="es-419" w:eastAsia="es-ES_tradnl"/>
        </w:rPr>
        <w:t xml:space="preserve"> cuya</w:t>
      </w:r>
      <w:r w:rsidR="000464EB" w:rsidRPr="000B29C4">
        <w:rPr>
          <w:rFonts w:ascii="Tahoma" w:eastAsiaTheme="minorHAnsi" w:hAnsi="Tahoma" w:cs="Tahoma"/>
          <w:sz w:val="23"/>
          <w:szCs w:val="23"/>
          <w:lang w:val="es-419" w:eastAsia="es-ES_tradnl"/>
        </w:rPr>
        <w:t xml:space="preserve"> ausencia </w:t>
      </w:r>
      <w:r w:rsidR="00C342C6" w:rsidRPr="000B29C4">
        <w:rPr>
          <w:rFonts w:ascii="Tahoma" w:eastAsiaTheme="minorHAnsi" w:hAnsi="Tahoma" w:cs="Tahoma"/>
          <w:sz w:val="23"/>
          <w:szCs w:val="23"/>
          <w:lang w:val="es-419" w:eastAsia="es-ES_tradnl"/>
        </w:rPr>
        <w:t>no pueda</w:t>
      </w:r>
      <w:r w:rsidRPr="000B29C4">
        <w:rPr>
          <w:rFonts w:ascii="Tahoma" w:eastAsiaTheme="minorHAnsi" w:hAnsi="Tahoma" w:cs="Tahoma"/>
          <w:sz w:val="23"/>
          <w:szCs w:val="23"/>
          <w:lang w:val="es-419" w:eastAsia="es-ES_tradnl"/>
        </w:rPr>
        <w:t xml:space="preserve"> decidir</w:t>
      </w:r>
      <w:r w:rsidR="00C342C6" w:rsidRPr="000B29C4">
        <w:rPr>
          <w:rFonts w:ascii="Tahoma" w:eastAsiaTheme="minorHAnsi" w:hAnsi="Tahoma" w:cs="Tahoma"/>
          <w:sz w:val="23"/>
          <w:szCs w:val="23"/>
          <w:lang w:val="es-419" w:eastAsia="es-ES_tradnl"/>
        </w:rPr>
        <w:t>se</w:t>
      </w:r>
      <w:r w:rsidRPr="000B29C4">
        <w:rPr>
          <w:rFonts w:ascii="Tahoma" w:eastAsiaTheme="minorHAnsi" w:hAnsi="Tahoma" w:cs="Tahoma"/>
          <w:sz w:val="23"/>
          <w:szCs w:val="23"/>
          <w:lang w:val="es-419" w:eastAsia="es-ES_tradnl"/>
        </w:rPr>
        <w:t xml:space="preserve"> de fondo </w:t>
      </w:r>
      <w:r w:rsidR="00C342C6" w:rsidRPr="000B29C4">
        <w:rPr>
          <w:rFonts w:ascii="Tahoma" w:eastAsiaTheme="minorHAnsi" w:hAnsi="Tahoma" w:cs="Tahoma"/>
          <w:sz w:val="23"/>
          <w:szCs w:val="23"/>
          <w:lang w:val="es-419" w:eastAsia="es-ES_tradnl"/>
        </w:rPr>
        <w:t>el asunto</w:t>
      </w:r>
      <w:r w:rsidRPr="000B29C4">
        <w:rPr>
          <w:rFonts w:ascii="Tahoma" w:eastAsiaTheme="minorHAnsi" w:hAnsi="Tahoma" w:cs="Tahoma"/>
          <w:sz w:val="23"/>
          <w:szCs w:val="23"/>
          <w:lang w:val="es-419" w:eastAsia="es-ES_tradnl"/>
        </w:rPr>
        <w:t xml:space="preserve">, no reabre en ningún caso el término de traslado de aquellos sujetos procesales a quienes ya se les hubiere vencido. </w:t>
      </w:r>
    </w:p>
    <w:p w14:paraId="06F09D69" w14:textId="77777777" w:rsidR="00345C4F" w:rsidRPr="000B29C4" w:rsidRDefault="00345C4F" w:rsidP="007C3B90">
      <w:pPr>
        <w:widowControl w:val="0"/>
        <w:ind w:firstLine="708"/>
        <w:jc w:val="both"/>
        <w:rPr>
          <w:rFonts w:ascii="Tahoma" w:eastAsiaTheme="minorHAnsi" w:hAnsi="Tahoma" w:cs="Tahoma"/>
          <w:sz w:val="23"/>
          <w:szCs w:val="23"/>
          <w:lang w:val="es-419" w:eastAsia="es-ES_tradnl"/>
        </w:rPr>
      </w:pPr>
    </w:p>
    <w:p w14:paraId="441E6CB3" w14:textId="77777777" w:rsidR="007C3B90" w:rsidRPr="000B29C4" w:rsidRDefault="007C3B90" w:rsidP="00910603">
      <w:pPr>
        <w:spacing w:line="276" w:lineRule="auto"/>
        <w:ind w:firstLine="708"/>
        <w:jc w:val="both"/>
        <w:rPr>
          <w:rFonts w:ascii="Tahoma" w:hAnsi="Tahoma" w:cs="Tahoma"/>
          <w:sz w:val="23"/>
          <w:szCs w:val="23"/>
          <w:lang w:val="es-419"/>
        </w:rPr>
      </w:pPr>
      <w:r w:rsidRPr="000B29C4">
        <w:rPr>
          <w:rFonts w:ascii="Tahoma" w:hAnsi="Tahoma" w:cs="Tahoma"/>
          <w:sz w:val="23"/>
          <w:szCs w:val="23"/>
          <w:lang w:val="es-419"/>
        </w:rPr>
        <w:lastRenderedPageBreak/>
        <w:t xml:space="preserve">En mérito de lo expuesto, la </w:t>
      </w:r>
      <w:r w:rsidRPr="000B29C4">
        <w:rPr>
          <w:rFonts w:ascii="Tahoma" w:hAnsi="Tahoma" w:cs="Tahoma"/>
          <w:b/>
          <w:sz w:val="23"/>
          <w:szCs w:val="23"/>
          <w:lang w:val="es-419"/>
        </w:rPr>
        <w:t>Sala No. 1 de Decisión Laboral del Tribunal Superior de Pereira</w:t>
      </w:r>
      <w:r w:rsidRPr="000B29C4">
        <w:rPr>
          <w:rFonts w:ascii="Tahoma" w:hAnsi="Tahoma" w:cs="Tahoma"/>
          <w:sz w:val="23"/>
          <w:szCs w:val="23"/>
          <w:lang w:val="es-419"/>
        </w:rPr>
        <w:t xml:space="preserve">, </w:t>
      </w:r>
    </w:p>
    <w:p w14:paraId="57D37369" w14:textId="77777777" w:rsidR="00345C4F" w:rsidRPr="000B29C4" w:rsidRDefault="00345C4F" w:rsidP="009D2A90">
      <w:pPr>
        <w:rPr>
          <w:rFonts w:ascii="Tahoma" w:hAnsi="Tahoma" w:cs="Tahoma"/>
          <w:sz w:val="23"/>
          <w:szCs w:val="23"/>
          <w:lang w:val="es-419"/>
        </w:rPr>
      </w:pPr>
    </w:p>
    <w:p w14:paraId="0BA03B77" w14:textId="65FF766B" w:rsidR="009D2A90" w:rsidRPr="000B29C4" w:rsidRDefault="007C3B90" w:rsidP="00345C4F">
      <w:pPr>
        <w:pStyle w:val="Textoindependiente"/>
        <w:spacing w:line="276" w:lineRule="auto"/>
        <w:jc w:val="center"/>
        <w:rPr>
          <w:rFonts w:ascii="Tahoma" w:hAnsi="Tahoma" w:cs="Tahoma"/>
          <w:b/>
          <w:sz w:val="23"/>
          <w:szCs w:val="23"/>
          <w:lang w:val="es-419"/>
        </w:rPr>
      </w:pPr>
      <w:r w:rsidRPr="000B29C4">
        <w:rPr>
          <w:rFonts w:ascii="Tahoma" w:hAnsi="Tahoma" w:cs="Tahoma"/>
          <w:b/>
          <w:sz w:val="23"/>
          <w:szCs w:val="23"/>
          <w:lang w:val="es-419"/>
        </w:rPr>
        <w:t>RESUELVE</w:t>
      </w:r>
    </w:p>
    <w:p w14:paraId="146EE55A" w14:textId="77777777" w:rsidR="00345C4F" w:rsidRPr="000B29C4" w:rsidRDefault="00345C4F" w:rsidP="00345C4F">
      <w:pPr>
        <w:pStyle w:val="Textoindependiente"/>
        <w:spacing w:line="276" w:lineRule="auto"/>
        <w:jc w:val="center"/>
        <w:rPr>
          <w:rFonts w:ascii="Tahoma" w:hAnsi="Tahoma" w:cs="Tahoma"/>
          <w:b/>
          <w:sz w:val="23"/>
          <w:szCs w:val="23"/>
          <w:lang w:val="es-419"/>
        </w:rPr>
      </w:pPr>
    </w:p>
    <w:p w14:paraId="1B601AAC" w14:textId="2C5EF214" w:rsidR="009D2A90" w:rsidRPr="000B29C4" w:rsidRDefault="009D2A90" w:rsidP="009D2A90">
      <w:pPr>
        <w:pStyle w:val="Textoindependiente"/>
        <w:spacing w:line="276" w:lineRule="auto"/>
        <w:ind w:firstLine="708"/>
        <w:rPr>
          <w:rFonts w:ascii="Tahoma" w:hAnsi="Tahoma" w:cs="Tahoma"/>
          <w:sz w:val="23"/>
          <w:szCs w:val="23"/>
          <w:lang w:val="es-419"/>
        </w:rPr>
      </w:pPr>
      <w:r w:rsidRPr="000B29C4">
        <w:rPr>
          <w:rFonts w:ascii="Tahoma" w:hAnsi="Tahoma" w:cs="Tahoma"/>
          <w:b/>
          <w:sz w:val="23"/>
          <w:szCs w:val="23"/>
          <w:lang w:val="es-419"/>
        </w:rPr>
        <w:t xml:space="preserve">PRIMERO: </w:t>
      </w:r>
      <w:r w:rsidR="00910603" w:rsidRPr="000B29C4">
        <w:rPr>
          <w:rFonts w:ascii="Tahoma" w:hAnsi="Tahoma" w:cs="Tahoma"/>
          <w:b/>
          <w:sz w:val="23"/>
          <w:szCs w:val="23"/>
          <w:lang w:val="es-419"/>
        </w:rPr>
        <w:t xml:space="preserve">CONFIRMAR </w:t>
      </w:r>
      <w:r w:rsidR="00910603" w:rsidRPr="000B29C4">
        <w:rPr>
          <w:rFonts w:ascii="Tahoma" w:hAnsi="Tahoma" w:cs="Tahoma"/>
          <w:sz w:val="23"/>
          <w:szCs w:val="23"/>
          <w:lang w:val="es-419"/>
        </w:rPr>
        <w:t>los autos</w:t>
      </w:r>
      <w:r w:rsidR="00910603" w:rsidRPr="000B29C4">
        <w:rPr>
          <w:rFonts w:ascii="Tahoma" w:hAnsi="Tahoma" w:cs="Tahoma"/>
          <w:b/>
          <w:sz w:val="23"/>
          <w:szCs w:val="23"/>
          <w:lang w:val="es-419"/>
        </w:rPr>
        <w:t xml:space="preserve"> </w:t>
      </w:r>
      <w:r w:rsidRPr="000B29C4">
        <w:rPr>
          <w:rFonts w:ascii="Tahoma" w:hAnsi="Tahoma" w:cs="Tahoma"/>
          <w:sz w:val="23"/>
          <w:szCs w:val="23"/>
          <w:lang w:val="es-419"/>
        </w:rPr>
        <w:t xml:space="preserve">del 29 de marzo y del 4 de junio de 2019, </w:t>
      </w:r>
      <w:r w:rsidR="00910603" w:rsidRPr="000B29C4">
        <w:rPr>
          <w:rFonts w:ascii="Tahoma" w:hAnsi="Tahoma" w:cs="Tahoma"/>
          <w:sz w:val="23"/>
          <w:szCs w:val="23"/>
          <w:lang w:val="es-419"/>
        </w:rPr>
        <w:t>por medio de los cuales se denegó la nulidad procesal alegada por el Municipio de Pereira.</w:t>
      </w:r>
    </w:p>
    <w:p w14:paraId="5FB13584" w14:textId="77777777" w:rsidR="00910603" w:rsidRPr="000B29C4" w:rsidRDefault="00910603" w:rsidP="009D2A90">
      <w:pPr>
        <w:pStyle w:val="Textoindependiente"/>
        <w:spacing w:line="276" w:lineRule="auto"/>
        <w:ind w:firstLine="708"/>
        <w:rPr>
          <w:rFonts w:ascii="Tahoma" w:hAnsi="Tahoma" w:cs="Tahoma"/>
          <w:sz w:val="23"/>
          <w:szCs w:val="23"/>
          <w:lang w:val="es-419"/>
        </w:rPr>
      </w:pPr>
    </w:p>
    <w:p w14:paraId="5179BD09" w14:textId="61BEAA86" w:rsidR="00910603" w:rsidRPr="000B29C4" w:rsidRDefault="00910603" w:rsidP="009D2A90">
      <w:pPr>
        <w:pStyle w:val="Textoindependiente"/>
        <w:spacing w:line="276" w:lineRule="auto"/>
        <w:ind w:firstLine="708"/>
        <w:rPr>
          <w:rFonts w:ascii="Tahoma" w:hAnsi="Tahoma" w:cs="Tahoma"/>
          <w:sz w:val="23"/>
          <w:szCs w:val="23"/>
          <w:lang w:val="es-419"/>
        </w:rPr>
      </w:pPr>
      <w:r w:rsidRPr="000B29C4">
        <w:rPr>
          <w:rFonts w:ascii="Tahoma" w:hAnsi="Tahoma" w:cs="Tahoma"/>
          <w:b/>
          <w:sz w:val="23"/>
          <w:szCs w:val="23"/>
          <w:lang w:val="es-419"/>
        </w:rPr>
        <w:t>SEGUNDO: DISPONER</w:t>
      </w:r>
      <w:r w:rsidRPr="000B29C4">
        <w:rPr>
          <w:rFonts w:ascii="Tahoma" w:hAnsi="Tahoma" w:cs="Tahoma"/>
          <w:sz w:val="23"/>
          <w:szCs w:val="23"/>
          <w:lang w:val="es-419"/>
        </w:rPr>
        <w:t xml:space="preserve"> la citación del </w:t>
      </w:r>
      <w:r w:rsidRPr="000B29C4">
        <w:rPr>
          <w:rFonts w:ascii="Tahoma" w:hAnsi="Tahoma" w:cs="Tahoma"/>
          <w:b/>
          <w:sz w:val="23"/>
          <w:szCs w:val="23"/>
          <w:lang w:val="es-419"/>
        </w:rPr>
        <w:t>MINISTERIO PÚBLICO</w:t>
      </w:r>
      <w:r w:rsidRPr="000B29C4">
        <w:rPr>
          <w:rFonts w:ascii="Tahoma" w:hAnsi="Tahoma" w:cs="Tahoma"/>
          <w:sz w:val="23"/>
          <w:szCs w:val="23"/>
          <w:lang w:val="es-419"/>
        </w:rPr>
        <w:t>, en los términos y para los efectos señalados en la parte considerativa del presente proveído.</w:t>
      </w:r>
    </w:p>
    <w:p w14:paraId="22843664" w14:textId="77777777" w:rsidR="00345C4F" w:rsidRPr="000B29C4" w:rsidRDefault="00345C4F" w:rsidP="00910603">
      <w:pPr>
        <w:pStyle w:val="Textoindependiente"/>
        <w:spacing w:line="276" w:lineRule="auto"/>
        <w:rPr>
          <w:rFonts w:ascii="Tahoma" w:hAnsi="Tahoma" w:cs="Tahoma"/>
          <w:bCs/>
          <w:sz w:val="23"/>
          <w:szCs w:val="23"/>
          <w:lang w:val="es-419"/>
        </w:rPr>
      </w:pPr>
    </w:p>
    <w:p w14:paraId="2217043F" w14:textId="2D7D9551" w:rsidR="009D2A90" w:rsidRPr="000B29C4" w:rsidRDefault="000B29C4" w:rsidP="009D2A90">
      <w:pPr>
        <w:widowControl w:val="0"/>
        <w:spacing w:line="276" w:lineRule="auto"/>
        <w:ind w:firstLine="708"/>
        <w:rPr>
          <w:rFonts w:ascii="Tahoma" w:hAnsi="Tahoma" w:cs="Tahoma"/>
          <w:b/>
          <w:sz w:val="23"/>
          <w:szCs w:val="23"/>
          <w:lang w:val="es-419"/>
        </w:rPr>
      </w:pPr>
      <w:r w:rsidRPr="000B29C4">
        <w:rPr>
          <w:rFonts w:ascii="Tahoma" w:hAnsi="Tahoma" w:cs="Tahoma"/>
          <w:b/>
          <w:sz w:val="23"/>
          <w:szCs w:val="23"/>
          <w:lang w:val="es-419"/>
        </w:rPr>
        <w:t>NOTIFÍQUESE</w:t>
      </w:r>
      <w:r w:rsidR="000464EB" w:rsidRPr="000B29C4">
        <w:rPr>
          <w:rFonts w:ascii="Tahoma" w:hAnsi="Tahoma" w:cs="Tahoma"/>
          <w:b/>
          <w:sz w:val="23"/>
          <w:szCs w:val="23"/>
          <w:lang w:val="es-419"/>
        </w:rPr>
        <w:t xml:space="preserve"> Y </w:t>
      </w:r>
      <w:r w:rsidRPr="000B29C4">
        <w:rPr>
          <w:rFonts w:ascii="Tahoma" w:hAnsi="Tahoma" w:cs="Tahoma"/>
          <w:b/>
          <w:sz w:val="23"/>
          <w:szCs w:val="23"/>
          <w:lang w:val="es-419"/>
        </w:rPr>
        <w:t>CÚMPLASE</w:t>
      </w:r>
    </w:p>
    <w:p w14:paraId="012278E2" w14:textId="77777777" w:rsidR="00345C4F" w:rsidRPr="000B29C4" w:rsidRDefault="00345C4F" w:rsidP="009D2A90">
      <w:pPr>
        <w:widowControl w:val="0"/>
        <w:spacing w:line="276" w:lineRule="auto"/>
        <w:rPr>
          <w:rFonts w:ascii="Tahoma" w:hAnsi="Tahoma" w:cs="Tahoma"/>
          <w:sz w:val="23"/>
          <w:szCs w:val="23"/>
          <w:lang w:val="es-419"/>
        </w:rPr>
      </w:pPr>
    </w:p>
    <w:p w14:paraId="7C163BD7" w14:textId="77777777" w:rsidR="009D2A90" w:rsidRPr="000B29C4" w:rsidRDefault="009D2A90" w:rsidP="009D2A90">
      <w:pPr>
        <w:spacing w:line="276" w:lineRule="auto"/>
        <w:ind w:firstLine="708"/>
        <w:rPr>
          <w:rFonts w:ascii="Tahoma" w:hAnsi="Tahoma" w:cs="Tahoma"/>
          <w:sz w:val="23"/>
          <w:szCs w:val="23"/>
          <w:lang w:val="es-419"/>
        </w:rPr>
      </w:pPr>
      <w:r w:rsidRPr="000B29C4">
        <w:rPr>
          <w:rFonts w:ascii="Tahoma" w:hAnsi="Tahoma" w:cs="Tahoma"/>
          <w:sz w:val="23"/>
          <w:szCs w:val="23"/>
          <w:lang w:val="es-419"/>
        </w:rPr>
        <w:t>La Magistrada ponente,</w:t>
      </w:r>
    </w:p>
    <w:p w14:paraId="45276E53" w14:textId="77777777" w:rsidR="00345C4F" w:rsidRPr="000B29C4" w:rsidRDefault="00345C4F" w:rsidP="00910603">
      <w:pPr>
        <w:pStyle w:val="Ttulo3"/>
        <w:spacing w:before="0" w:line="276" w:lineRule="auto"/>
        <w:rPr>
          <w:rFonts w:ascii="Tahoma" w:hAnsi="Tahoma" w:cs="Tahoma"/>
          <w:b/>
          <w:color w:val="auto"/>
          <w:sz w:val="23"/>
          <w:szCs w:val="23"/>
          <w:lang w:val="es-419"/>
        </w:rPr>
      </w:pPr>
    </w:p>
    <w:p w14:paraId="043C50B2" w14:textId="77777777" w:rsidR="00546606" w:rsidRPr="000B29C4" w:rsidRDefault="00546606" w:rsidP="00546606">
      <w:pPr>
        <w:rPr>
          <w:lang w:val="es-419"/>
        </w:rPr>
      </w:pPr>
    </w:p>
    <w:p w14:paraId="3F6E678C" w14:textId="77777777" w:rsidR="000464EB" w:rsidRPr="000B29C4" w:rsidRDefault="000464EB" w:rsidP="00546606">
      <w:pPr>
        <w:rPr>
          <w:lang w:val="es-419"/>
        </w:rPr>
      </w:pPr>
    </w:p>
    <w:p w14:paraId="18F06AAC" w14:textId="77777777" w:rsidR="00546606" w:rsidRPr="000B29C4" w:rsidRDefault="00546606" w:rsidP="00546606">
      <w:pPr>
        <w:rPr>
          <w:lang w:val="es-419"/>
        </w:rPr>
      </w:pPr>
    </w:p>
    <w:p w14:paraId="344E84F1" w14:textId="77777777" w:rsidR="009D2A90" w:rsidRPr="000B29C4" w:rsidRDefault="009D2A90" w:rsidP="009D2A90">
      <w:pPr>
        <w:pStyle w:val="Ttulo3"/>
        <w:spacing w:before="0" w:line="276" w:lineRule="auto"/>
        <w:jc w:val="center"/>
        <w:rPr>
          <w:rFonts w:ascii="Tahoma" w:hAnsi="Tahoma" w:cs="Tahoma"/>
          <w:b/>
          <w:bCs/>
          <w:sz w:val="23"/>
          <w:szCs w:val="23"/>
          <w:lang w:val="es-419"/>
        </w:rPr>
      </w:pPr>
      <w:r w:rsidRPr="000B29C4">
        <w:rPr>
          <w:rFonts w:ascii="Tahoma" w:hAnsi="Tahoma" w:cs="Tahoma"/>
          <w:b/>
          <w:color w:val="auto"/>
          <w:sz w:val="23"/>
          <w:szCs w:val="23"/>
          <w:lang w:val="es-419"/>
        </w:rPr>
        <w:t>ANA LUCÍA CAICEDO CALDERÓN</w:t>
      </w:r>
    </w:p>
    <w:p w14:paraId="434EDC54" w14:textId="77777777" w:rsidR="009D2A90" w:rsidRPr="000B29C4" w:rsidRDefault="009D2A90" w:rsidP="009D2A90">
      <w:pPr>
        <w:rPr>
          <w:rFonts w:ascii="Tahoma" w:hAnsi="Tahoma" w:cs="Tahoma"/>
          <w:b/>
          <w:sz w:val="23"/>
          <w:szCs w:val="23"/>
          <w:lang w:val="es-419"/>
        </w:rPr>
      </w:pPr>
    </w:p>
    <w:p w14:paraId="5A391031" w14:textId="77777777" w:rsidR="00546606" w:rsidRPr="000B29C4" w:rsidRDefault="00546606" w:rsidP="009D2A90">
      <w:pPr>
        <w:rPr>
          <w:rFonts w:ascii="Tahoma" w:hAnsi="Tahoma" w:cs="Tahoma"/>
          <w:b/>
          <w:sz w:val="23"/>
          <w:szCs w:val="23"/>
          <w:lang w:val="es-419"/>
        </w:rPr>
      </w:pPr>
    </w:p>
    <w:p w14:paraId="098739EF" w14:textId="77777777" w:rsidR="000464EB" w:rsidRPr="000B29C4" w:rsidRDefault="000464EB" w:rsidP="009D2A90">
      <w:pPr>
        <w:rPr>
          <w:rFonts w:ascii="Tahoma" w:hAnsi="Tahoma" w:cs="Tahoma"/>
          <w:b/>
          <w:sz w:val="23"/>
          <w:szCs w:val="23"/>
          <w:lang w:val="es-419"/>
        </w:rPr>
      </w:pPr>
    </w:p>
    <w:p w14:paraId="436766FF" w14:textId="77777777" w:rsidR="009D2A90" w:rsidRPr="000B29C4" w:rsidRDefault="009D2A90" w:rsidP="009D2A90">
      <w:pPr>
        <w:rPr>
          <w:rFonts w:ascii="Tahoma" w:hAnsi="Tahoma" w:cs="Tahoma"/>
          <w:b/>
          <w:sz w:val="23"/>
          <w:szCs w:val="23"/>
          <w:lang w:val="es-419"/>
        </w:rPr>
      </w:pPr>
    </w:p>
    <w:p w14:paraId="70E70E5D" w14:textId="60C0E196" w:rsidR="009D2A90" w:rsidRPr="000B29C4" w:rsidRDefault="009D2A90" w:rsidP="009D2A90">
      <w:pPr>
        <w:rPr>
          <w:rFonts w:ascii="Tahoma" w:hAnsi="Tahoma" w:cs="Tahoma"/>
          <w:b/>
          <w:sz w:val="23"/>
          <w:szCs w:val="23"/>
          <w:lang w:val="es-419"/>
        </w:rPr>
      </w:pPr>
      <w:r w:rsidRPr="000B29C4">
        <w:rPr>
          <w:rFonts w:ascii="Tahoma" w:hAnsi="Tahoma" w:cs="Tahoma"/>
          <w:b/>
          <w:sz w:val="23"/>
          <w:szCs w:val="23"/>
          <w:lang w:val="es-419"/>
        </w:rPr>
        <w:t xml:space="preserve">OLGA LUCÍA HOYOS </w:t>
      </w:r>
      <w:r w:rsidR="00546606" w:rsidRPr="000B29C4">
        <w:rPr>
          <w:rFonts w:ascii="Tahoma" w:hAnsi="Tahoma" w:cs="Tahoma"/>
          <w:b/>
          <w:sz w:val="23"/>
          <w:szCs w:val="23"/>
          <w:lang w:val="es-419"/>
        </w:rPr>
        <w:t>SEPÚLVEDA</w:t>
      </w:r>
      <w:r w:rsidR="00546606" w:rsidRPr="000B29C4">
        <w:rPr>
          <w:rFonts w:ascii="Tahoma" w:hAnsi="Tahoma" w:cs="Tahoma"/>
          <w:b/>
          <w:sz w:val="23"/>
          <w:szCs w:val="23"/>
          <w:lang w:val="es-419"/>
        </w:rPr>
        <w:tab/>
      </w:r>
      <w:r w:rsidR="00546606" w:rsidRPr="000B29C4">
        <w:rPr>
          <w:rFonts w:ascii="Tahoma" w:hAnsi="Tahoma" w:cs="Tahoma"/>
          <w:b/>
          <w:sz w:val="23"/>
          <w:szCs w:val="23"/>
          <w:lang w:val="es-419"/>
        </w:rPr>
        <w:tab/>
      </w:r>
      <w:r w:rsidRPr="000B29C4">
        <w:rPr>
          <w:rFonts w:ascii="Tahoma" w:hAnsi="Tahoma" w:cs="Tahoma"/>
          <w:b/>
          <w:sz w:val="23"/>
          <w:szCs w:val="23"/>
          <w:lang w:val="es-419"/>
        </w:rPr>
        <w:t xml:space="preserve">JULIO CÉSAR SALAZAR MUÑOZ                                  </w:t>
      </w:r>
    </w:p>
    <w:p w14:paraId="1C076096" w14:textId="172C4945" w:rsidR="00A97D14" w:rsidRPr="000B29C4" w:rsidRDefault="009D2A90" w:rsidP="00546606">
      <w:pPr>
        <w:ind w:firstLine="708"/>
        <w:rPr>
          <w:lang w:val="es-419"/>
        </w:rPr>
      </w:pPr>
      <w:r w:rsidRPr="000B29C4">
        <w:rPr>
          <w:rFonts w:ascii="Tahoma" w:hAnsi="Tahoma" w:cs="Tahoma"/>
          <w:sz w:val="23"/>
          <w:szCs w:val="23"/>
          <w:lang w:val="es-419"/>
        </w:rPr>
        <w:t xml:space="preserve"> </w:t>
      </w:r>
      <w:r w:rsidR="00546606" w:rsidRPr="000B29C4">
        <w:rPr>
          <w:rFonts w:ascii="Tahoma" w:hAnsi="Tahoma" w:cs="Tahoma"/>
          <w:sz w:val="23"/>
          <w:szCs w:val="23"/>
          <w:lang w:val="es-419"/>
        </w:rPr>
        <w:t xml:space="preserve"> </w:t>
      </w:r>
      <w:r w:rsidRPr="000B29C4">
        <w:rPr>
          <w:rFonts w:ascii="Tahoma" w:hAnsi="Tahoma" w:cs="Tahoma"/>
          <w:sz w:val="23"/>
          <w:szCs w:val="23"/>
          <w:lang w:val="es-419"/>
        </w:rPr>
        <w:t xml:space="preserve">     Magistrada</w:t>
      </w:r>
      <w:r w:rsidR="00546606" w:rsidRPr="000B29C4">
        <w:rPr>
          <w:rFonts w:ascii="Tahoma" w:hAnsi="Tahoma" w:cs="Tahoma"/>
          <w:sz w:val="23"/>
          <w:szCs w:val="23"/>
          <w:lang w:val="es-419"/>
        </w:rPr>
        <w:tab/>
      </w:r>
      <w:r w:rsidR="00546606" w:rsidRPr="000B29C4">
        <w:rPr>
          <w:rFonts w:ascii="Tahoma" w:hAnsi="Tahoma" w:cs="Tahoma"/>
          <w:sz w:val="23"/>
          <w:szCs w:val="23"/>
          <w:lang w:val="es-419"/>
        </w:rPr>
        <w:tab/>
      </w:r>
      <w:r w:rsidR="00546606" w:rsidRPr="000B29C4">
        <w:rPr>
          <w:rFonts w:ascii="Tahoma" w:hAnsi="Tahoma" w:cs="Tahoma"/>
          <w:sz w:val="23"/>
          <w:szCs w:val="23"/>
          <w:lang w:val="es-419"/>
        </w:rPr>
        <w:tab/>
      </w:r>
      <w:r w:rsidR="00546606" w:rsidRPr="000B29C4">
        <w:rPr>
          <w:rFonts w:ascii="Tahoma" w:hAnsi="Tahoma" w:cs="Tahoma"/>
          <w:sz w:val="23"/>
          <w:szCs w:val="23"/>
          <w:lang w:val="es-419"/>
        </w:rPr>
        <w:tab/>
      </w:r>
      <w:r w:rsidR="00546606" w:rsidRPr="000B29C4">
        <w:rPr>
          <w:rFonts w:ascii="Tahoma" w:hAnsi="Tahoma" w:cs="Tahoma"/>
          <w:sz w:val="23"/>
          <w:szCs w:val="23"/>
          <w:lang w:val="es-419"/>
        </w:rPr>
        <w:tab/>
      </w:r>
      <w:r w:rsidRPr="000B29C4">
        <w:rPr>
          <w:rFonts w:ascii="Tahoma" w:hAnsi="Tahoma" w:cs="Tahoma"/>
          <w:sz w:val="23"/>
          <w:szCs w:val="23"/>
          <w:lang w:val="es-419"/>
        </w:rPr>
        <w:t>Magistrado</w:t>
      </w:r>
      <w:r w:rsidR="00910603" w:rsidRPr="000B29C4">
        <w:rPr>
          <w:rFonts w:ascii="Tahoma" w:hAnsi="Tahoma" w:cs="Tahoma"/>
          <w:sz w:val="23"/>
          <w:szCs w:val="23"/>
          <w:lang w:val="es-419"/>
        </w:rPr>
        <w:t xml:space="preserve"> (impedido)</w:t>
      </w:r>
      <w:bookmarkEnd w:id="0"/>
    </w:p>
    <w:sectPr w:rsidR="00A97D14" w:rsidRPr="000B29C4" w:rsidSect="00691861">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3AA1E" w14:textId="77777777" w:rsidR="00663865" w:rsidRDefault="00663865" w:rsidP="009551AB">
      <w:r>
        <w:separator/>
      </w:r>
    </w:p>
  </w:endnote>
  <w:endnote w:type="continuationSeparator" w:id="0">
    <w:p w14:paraId="193F446E" w14:textId="77777777" w:rsidR="00663865" w:rsidRDefault="00663865" w:rsidP="0095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Hebrew">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057717"/>
      <w:docPartObj>
        <w:docPartGallery w:val="Page Numbers (Bottom of Page)"/>
        <w:docPartUnique/>
      </w:docPartObj>
    </w:sdtPr>
    <w:sdtEndPr>
      <w:rPr>
        <w:rFonts w:ascii="Arial" w:hAnsi="Arial" w:cs="Arial"/>
        <w:sz w:val="18"/>
        <w:szCs w:val="16"/>
        <w:lang w:val="es-CO"/>
      </w:rPr>
    </w:sdtEndPr>
    <w:sdtContent>
      <w:p w14:paraId="1F9933CD" w14:textId="672D1361" w:rsidR="008C7011" w:rsidRPr="00546606" w:rsidRDefault="008C7011">
        <w:pPr>
          <w:pStyle w:val="Piedepgina"/>
          <w:jc w:val="right"/>
          <w:rPr>
            <w:rFonts w:ascii="Arial" w:hAnsi="Arial" w:cs="Arial"/>
            <w:sz w:val="18"/>
            <w:szCs w:val="16"/>
            <w:lang w:val="es-CO"/>
          </w:rPr>
        </w:pPr>
        <w:r w:rsidRPr="00546606">
          <w:rPr>
            <w:rFonts w:ascii="Arial" w:hAnsi="Arial" w:cs="Arial"/>
            <w:sz w:val="18"/>
            <w:szCs w:val="16"/>
            <w:lang w:val="es-CO"/>
          </w:rPr>
          <w:fldChar w:fldCharType="begin"/>
        </w:r>
        <w:r w:rsidRPr="00546606">
          <w:rPr>
            <w:rFonts w:ascii="Arial" w:hAnsi="Arial" w:cs="Arial"/>
            <w:sz w:val="18"/>
            <w:szCs w:val="16"/>
            <w:lang w:val="es-CO"/>
          </w:rPr>
          <w:instrText>PAGE   \* MERGEFORMAT</w:instrText>
        </w:r>
        <w:r w:rsidRPr="00546606">
          <w:rPr>
            <w:rFonts w:ascii="Arial" w:hAnsi="Arial" w:cs="Arial"/>
            <w:sz w:val="18"/>
            <w:szCs w:val="16"/>
            <w:lang w:val="es-CO"/>
          </w:rPr>
          <w:fldChar w:fldCharType="separate"/>
        </w:r>
        <w:r w:rsidR="000B29C4">
          <w:rPr>
            <w:rFonts w:ascii="Arial" w:hAnsi="Arial" w:cs="Arial"/>
            <w:noProof/>
            <w:sz w:val="18"/>
            <w:szCs w:val="16"/>
            <w:lang w:val="es-CO"/>
          </w:rPr>
          <w:t>6</w:t>
        </w:r>
        <w:r w:rsidRPr="00546606">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4D888" w14:textId="77777777" w:rsidR="00663865" w:rsidRDefault="00663865" w:rsidP="009551AB">
      <w:r>
        <w:separator/>
      </w:r>
    </w:p>
  </w:footnote>
  <w:footnote w:type="continuationSeparator" w:id="0">
    <w:p w14:paraId="4FF9658C" w14:textId="77777777" w:rsidR="00663865" w:rsidRDefault="00663865" w:rsidP="009551AB">
      <w:r>
        <w:continuationSeparator/>
      </w:r>
    </w:p>
  </w:footnote>
  <w:footnote w:id="1">
    <w:p w14:paraId="6BB4B596" w14:textId="0E3AE3A8" w:rsidR="009551AB" w:rsidRPr="00546606" w:rsidRDefault="009551AB" w:rsidP="00546606">
      <w:pPr>
        <w:overflowPunct/>
        <w:autoSpaceDE/>
        <w:autoSpaceDN/>
        <w:adjustRightInd/>
        <w:jc w:val="both"/>
        <w:rPr>
          <w:rFonts w:ascii="Arial" w:hAnsi="Arial" w:cs="Arial"/>
          <w:sz w:val="18"/>
          <w:szCs w:val="18"/>
          <w:lang w:eastAsia="es-ES_tradnl"/>
        </w:rPr>
      </w:pPr>
      <w:r w:rsidRPr="00546606">
        <w:rPr>
          <w:rStyle w:val="Refdenotaalpie"/>
          <w:rFonts w:ascii="Arial" w:hAnsi="Arial" w:cs="Arial"/>
          <w:sz w:val="18"/>
          <w:szCs w:val="18"/>
        </w:rPr>
        <w:footnoteRef/>
      </w:r>
      <w:r w:rsidRPr="00546606">
        <w:rPr>
          <w:rFonts w:ascii="Arial" w:hAnsi="Arial" w:cs="Arial"/>
          <w:sz w:val="18"/>
          <w:szCs w:val="18"/>
        </w:rPr>
        <w:t xml:space="preserve"> </w:t>
      </w:r>
      <w:r w:rsidRPr="00546606">
        <w:rPr>
          <w:rFonts w:ascii="Arial" w:eastAsiaTheme="minorHAnsi" w:hAnsi="Arial" w:cs="Arial"/>
          <w:sz w:val="18"/>
          <w:szCs w:val="18"/>
          <w:lang w:eastAsia="es-ES_tradnl"/>
        </w:rPr>
        <w:t>“</w:t>
      </w:r>
      <w:r w:rsidR="00541C12" w:rsidRPr="00546606">
        <w:rPr>
          <w:rFonts w:ascii="Arial" w:hAnsi="Arial" w:cs="Arial"/>
          <w:color w:val="1B1B1B"/>
          <w:sz w:val="18"/>
          <w:szCs w:val="18"/>
          <w:shd w:val="clear" w:color="auto" w:fill="FFFFFF"/>
          <w:lang w:eastAsia="es-ES_tradnl"/>
        </w:rPr>
        <w:t>Por medio de la cual se escinden unos Ministerios, se otorgan precisas facultades extraordinarias al presidente de la República para modificar la estructura de la Administración Pública y la planta de personal de la Fiscalía General de la Nación y se dictan otras disposiciones”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041C1" w14:textId="6EE26994" w:rsidR="008C7011" w:rsidRPr="00546606" w:rsidRDefault="008C7011">
    <w:pPr>
      <w:pStyle w:val="Encabezado"/>
      <w:rPr>
        <w:rFonts w:ascii="Arial" w:hAnsi="Arial" w:cs="Arial"/>
        <w:sz w:val="18"/>
        <w:szCs w:val="16"/>
        <w:lang w:val="es-CO"/>
      </w:rPr>
    </w:pPr>
    <w:r w:rsidRPr="00546606">
      <w:rPr>
        <w:rFonts w:ascii="Arial" w:hAnsi="Arial" w:cs="Arial"/>
        <w:sz w:val="18"/>
        <w:szCs w:val="16"/>
        <w:lang w:val="es-CO"/>
      </w:rPr>
      <w:t>Demandante: Guillermo Salazar Arcila</w:t>
    </w:r>
  </w:p>
  <w:p w14:paraId="2054C3A6" w14:textId="15CE8BF5" w:rsidR="008C7011" w:rsidRPr="00546606" w:rsidRDefault="008C7011">
    <w:pPr>
      <w:pStyle w:val="Encabezado"/>
      <w:rPr>
        <w:rFonts w:ascii="Arial" w:hAnsi="Arial" w:cs="Arial"/>
        <w:sz w:val="18"/>
        <w:szCs w:val="16"/>
        <w:lang w:val="es-CO"/>
      </w:rPr>
    </w:pPr>
    <w:r w:rsidRPr="00546606">
      <w:rPr>
        <w:rFonts w:ascii="Arial" w:hAnsi="Arial" w:cs="Arial"/>
        <w:sz w:val="18"/>
        <w:szCs w:val="16"/>
        <w:lang w:val="es-CO"/>
      </w:rPr>
      <w:t>Demandado: Municipio de Pereira y otros</w:t>
    </w:r>
  </w:p>
  <w:p w14:paraId="2FA631BA" w14:textId="23E9363A" w:rsidR="008C7011" w:rsidRPr="00546606" w:rsidRDefault="008C7011">
    <w:pPr>
      <w:pStyle w:val="Encabezado"/>
      <w:rPr>
        <w:rFonts w:ascii="Arial" w:hAnsi="Arial" w:cs="Arial"/>
        <w:sz w:val="18"/>
        <w:szCs w:val="16"/>
        <w:lang w:val="es-CO"/>
      </w:rPr>
    </w:pPr>
    <w:r w:rsidRPr="00546606">
      <w:rPr>
        <w:rFonts w:ascii="Arial" w:hAnsi="Arial" w:cs="Arial"/>
        <w:sz w:val="18"/>
        <w:szCs w:val="16"/>
        <w:lang w:val="es-CO"/>
      </w:rPr>
      <w:t>Rad.: 2018-00360</w:t>
    </w:r>
  </w:p>
  <w:p w14:paraId="2FDBF23F" w14:textId="77777777" w:rsidR="008C7011" w:rsidRPr="00CD70A8" w:rsidRDefault="008C7011" w:rsidP="008C7011">
    <w:pPr>
      <w:pStyle w:val="Encabezado"/>
      <w:rPr>
        <w:sz w:val="12"/>
        <w:szCs w:val="12"/>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66"/>
    <w:rsid w:val="0000526C"/>
    <w:rsid w:val="00012217"/>
    <w:rsid w:val="000443FE"/>
    <w:rsid w:val="000464EB"/>
    <w:rsid w:val="00073D48"/>
    <w:rsid w:val="0007648A"/>
    <w:rsid w:val="000A61D1"/>
    <w:rsid w:val="000B29C4"/>
    <w:rsid w:val="000D32D3"/>
    <w:rsid w:val="001014F9"/>
    <w:rsid w:val="00114E95"/>
    <w:rsid w:val="001519D4"/>
    <w:rsid w:val="00157C6F"/>
    <w:rsid w:val="00175FD9"/>
    <w:rsid w:val="001C2F8F"/>
    <w:rsid w:val="001C5681"/>
    <w:rsid w:val="001E1CE5"/>
    <w:rsid w:val="001F13E9"/>
    <w:rsid w:val="00224341"/>
    <w:rsid w:val="00256E0C"/>
    <w:rsid w:val="0026385A"/>
    <w:rsid w:val="002904AF"/>
    <w:rsid w:val="00295B94"/>
    <w:rsid w:val="002A3845"/>
    <w:rsid w:val="002C0F9D"/>
    <w:rsid w:val="002D3989"/>
    <w:rsid w:val="002F74E0"/>
    <w:rsid w:val="00311DAB"/>
    <w:rsid w:val="003179B6"/>
    <w:rsid w:val="00323C1F"/>
    <w:rsid w:val="00323FC3"/>
    <w:rsid w:val="00345C4F"/>
    <w:rsid w:val="00352DB5"/>
    <w:rsid w:val="0035379E"/>
    <w:rsid w:val="00373B72"/>
    <w:rsid w:val="003912DF"/>
    <w:rsid w:val="00397939"/>
    <w:rsid w:val="003A6C20"/>
    <w:rsid w:val="003E390C"/>
    <w:rsid w:val="00413EA5"/>
    <w:rsid w:val="00422492"/>
    <w:rsid w:val="00456D72"/>
    <w:rsid w:val="004726F9"/>
    <w:rsid w:val="004768D6"/>
    <w:rsid w:val="004915B0"/>
    <w:rsid w:val="004B1C27"/>
    <w:rsid w:val="004B3E7B"/>
    <w:rsid w:val="004D5FB6"/>
    <w:rsid w:val="004E4178"/>
    <w:rsid w:val="004F0CBC"/>
    <w:rsid w:val="004F5ADF"/>
    <w:rsid w:val="00541C12"/>
    <w:rsid w:val="00546606"/>
    <w:rsid w:val="00552143"/>
    <w:rsid w:val="0059544A"/>
    <w:rsid w:val="005D44C7"/>
    <w:rsid w:val="005E0546"/>
    <w:rsid w:val="00601794"/>
    <w:rsid w:val="006252A2"/>
    <w:rsid w:val="00633D28"/>
    <w:rsid w:val="00663865"/>
    <w:rsid w:val="00665487"/>
    <w:rsid w:val="00691861"/>
    <w:rsid w:val="006A11C8"/>
    <w:rsid w:val="006D42FC"/>
    <w:rsid w:val="006F6C58"/>
    <w:rsid w:val="007048AC"/>
    <w:rsid w:val="00714ED8"/>
    <w:rsid w:val="00767D1D"/>
    <w:rsid w:val="007B2526"/>
    <w:rsid w:val="007B47D1"/>
    <w:rsid w:val="007C17F1"/>
    <w:rsid w:val="007C2154"/>
    <w:rsid w:val="007C235B"/>
    <w:rsid w:val="007C3B90"/>
    <w:rsid w:val="007C645E"/>
    <w:rsid w:val="007C70D2"/>
    <w:rsid w:val="007E763A"/>
    <w:rsid w:val="00865655"/>
    <w:rsid w:val="0086618E"/>
    <w:rsid w:val="00883D5F"/>
    <w:rsid w:val="008C7011"/>
    <w:rsid w:val="008D6044"/>
    <w:rsid w:val="008E3415"/>
    <w:rsid w:val="008E4EB0"/>
    <w:rsid w:val="008F1387"/>
    <w:rsid w:val="008F567F"/>
    <w:rsid w:val="00910603"/>
    <w:rsid w:val="009335FB"/>
    <w:rsid w:val="00933D99"/>
    <w:rsid w:val="00951148"/>
    <w:rsid w:val="009551AB"/>
    <w:rsid w:val="00976EE7"/>
    <w:rsid w:val="009D2A90"/>
    <w:rsid w:val="009E08B2"/>
    <w:rsid w:val="00A05B18"/>
    <w:rsid w:val="00A1557E"/>
    <w:rsid w:val="00A254CE"/>
    <w:rsid w:val="00A3209E"/>
    <w:rsid w:val="00A61560"/>
    <w:rsid w:val="00A65DA4"/>
    <w:rsid w:val="00A7383E"/>
    <w:rsid w:val="00A85273"/>
    <w:rsid w:val="00A97D14"/>
    <w:rsid w:val="00AB1CE4"/>
    <w:rsid w:val="00AB4893"/>
    <w:rsid w:val="00AB7018"/>
    <w:rsid w:val="00B12394"/>
    <w:rsid w:val="00B76228"/>
    <w:rsid w:val="00B96891"/>
    <w:rsid w:val="00BC4846"/>
    <w:rsid w:val="00C013DC"/>
    <w:rsid w:val="00C14BE4"/>
    <w:rsid w:val="00C22162"/>
    <w:rsid w:val="00C342C6"/>
    <w:rsid w:val="00C55B5E"/>
    <w:rsid w:val="00C64872"/>
    <w:rsid w:val="00C85535"/>
    <w:rsid w:val="00CB33B1"/>
    <w:rsid w:val="00CB3B2C"/>
    <w:rsid w:val="00CD70A8"/>
    <w:rsid w:val="00CF0766"/>
    <w:rsid w:val="00CF5B0F"/>
    <w:rsid w:val="00D33586"/>
    <w:rsid w:val="00D52A64"/>
    <w:rsid w:val="00D62866"/>
    <w:rsid w:val="00D91CC4"/>
    <w:rsid w:val="00D943C4"/>
    <w:rsid w:val="00DA4A99"/>
    <w:rsid w:val="00E142C1"/>
    <w:rsid w:val="00E21C5E"/>
    <w:rsid w:val="00E54601"/>
    <w:rsid w:val="00E56EE7"/>
    <w:rsid w:val="00EA5568"/>
    <w:rsid w:val="00EC583D"/>
    <w:rsid w:val="00F01914"/>
    <w:rsid w:val="00F6074F"/>
    <w:rsid w:val="00F9518A"/>
    <w:rsid w:val="00FE112D"/>
    <w:rsid w:val="00FE4AF4"/>
    <w:rsid w:val="00FF19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0DFE"/>
  <w15:chartTrackingRefBased/>
  <w15:docId w15:val="{B3695F16-F6EA-457B-A978-59A1F8B2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93"/>
    <w:pPr>
      <w:overflowPunct w:val="0"/>
      <w:autoSpaceDE w:val="0"/>
      <w:autoSpaceDN w:val="0"/>
      <w:adjustRightInd w:val="0"/>
      <w:spacing w:line="240" w:lineRule="auto"/>
      <w:ind w:firstLine="0"/>
      <w:jc w:val="left"/>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iPriority w:val="9"/>
    <w:semiHidden/>
    <w:unhideWhenUsed/>
    <w:qFormat/>
    <w:rsid w:val="009D2A9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3179B6"/>
    <w:pPr>
      <w:keepNext/>
      <w:keepLines/>
      <w:overflowPunct/>
      <w:autoSpaceDE/>
      <w:autoSpaceDN/>
      <w:adjustRightInd/>
      <w:spacing w:before="40" w:line="276" w:lineRule="auto"/>
      <w:outlineLvl w:val="3"/>
    </w:pPr>
    <w:rPr>
      <w:rFonts w:asciiTheme="majorHAnsi" w:eastAsiaTheme="majorEastAsia" w:hAnsiTheme="majorHAnsi" w:cstheme="majorBidi"/>
      <w:i/>
      <w:iCs/>
      <w:color w:val="2E74B5" w:themeColor="accent1" w:themeShade="BF"/>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aj">
    <w:name w:val="i_aj"/>
    <w:basedOn w:val="Fuentedeprrafopredeter"/>
    <w:rsid w:val="004768D6"/>
  </w:style>
  <w:style w:type="character" w:styleId="Hipervnculo">
    <w:name w:val="Hyperlink"/>
    <w:basedOn w:val="Fuentedeprrafopredeter"/>
    <w:uiPriority w:val="99"/>
    <w:semiHidden/>
    <w:unhideWhenUsed/>
    <w:rsid w:val="004768D6"/>
    <w:rPr>
      <w:color w:val="0000FF"/>
      <w:u w:val="single"/>
    </w:rPr>
  </w:style>
  <w:style w:type="paragraph" w:styleId="NormalWeb">
    <w:name w:val="Normal (Web)"/>
    <w:basedOn w:val="Normal"/>
    <w:uiPriority w:val="99"/>
    <w:unhideWhenUsed/>
    <w:rsid w:val="004768D6"/>
    <w:pPr>
      <w:overflowPunct/>
      <w:autoSpaceDE/>
      <w:autoSpaceDN/>
      <w:adjustRightInd/>
      <w:spacing w:before="100" w:beforeAutospacing="1" w:after="100" w:afterAutospacing="1"/>
    </w:pPr>
    <w:rPr>
      <w:sz w:val="24"/>
      <w:szCs w:val="24"/>
      <w:lang w:val="es-ES"/>
    </w:rPr>
  </w:style>
  <w:style w:type="character" w:customStyle="1" w:styleId="Ttulo4Car">
    <w:name w:val="Título 4 Car"/>
    <w:basedOn w:val="Fuentedeprrafopredeter"/>
    <w:link w:val="Ttulo4"/>
    <w:uiPriority w:val="9"/>
    <w:rsid w:val="003179B6"/>
    <w:rPr>
      <w:rFonts w:asciiTheme="majorHAnsi" w:eastAsiaTheme="majorEastAsia" w:hAnsiTheme="majorHAnsi" w:cstheme="majorBidi"/>
      <w:i/>
      <w:iCs/>
      <w:color w:val="2E74B5" w:themeColor="accent1" w:themeShade="BF"/>
      <w:lang w:val="es-CO"/>
    </w:rPr>
  </w:style>
  <w:style w:type="paragraph" w:styleId="Prrafodelista">
    <w:name w:val="List Paragraph"/>
    <w:basedOn w:val="Normal"/>
    <w:uiPriority w:val="34"/>
    <w:qFormat/>
    <w:rsid w:val="00A85273"/>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paragraph" w:styleId="Sinespaciado">
    <w:name w:val="No Spacing"/>
    <w:uiPriority w:val="1"/>
    <w:qFormat/>
    <w:rsid w:val="00A85273"/>
    <w:pPr>
      <w:spacing w:line="240" w:lineRule="auto"/>
      <w:ind w:firstLine="0"/>
      <w:jc w:val="left"/>
    </w:pPr>
    <w:rPr>
      <w:lang w:val="es-CO"/>
    </w:rPr>
  </w:style>
  <w:style w:type="character" w:customStyle="1" w:styleId="apple-converted-space">
    <w:name w:val="apple-converted-space"/>
    <w:basedOn w:val="Fuentedeprrafopredeter"/>
    <w:rsid w:val="007C2154"/>
  </w:style>
  <w:style w:type="paragraph" w:styleId="Textonotapie">
    <w:name w:val="footnote text"/>
    <w:basedOn w:val="Normal"/>
    <w:link w:val="TextonotapieCar"/>
    <w:uiPriority w:val="99"/>
    <w:unhideWhenUsed/>
    <w:rsid w:val="009551AB"/>
    <w:rPr>
      <w:sz w:val="24"/>
      <w:szCs w:val="24"/>
    </w:rPr>
  </w:style>
  <w:style w:type="character" w:customStyle="1" w:styleId="TextonotapieCar">
    <w:name w:val="Texto nota pie Car"/>
    <w:basedOn w:val="Fuentedeprrafopredeter"/>
    <w:link w:val="Textonotapie"/>
    <w:uiPriority w:val="99"/>
    <w:rsid w:val="009551AB"/>
    <w:rPr>
      <w:rFonts w:ascii="Times New Roman" w:eastAsia="Times New Roman" w:hAnsi="Times New Roman" w:cs="Times New Roman"/>
      <w:sz w:val="24"/>
      <w:szCs w:val="24"/>
      <w:lang w:val="es-ES_tradnl" w:eastAsia="es-ES"/>
    </w:rPr>
  </w:style>
  <w:style w:type="character" w:styleId="Refdenotaalpie">
    <w:name w:val="footnote reference"/>
    <w:basedOn w:val="Fuentedeprrafopredeter"/>
    <w:uiPriority w:val="99"/>
    <w:unhideWhenUsed/>
    <w:rsid w:val="009551AB"/>
    <w:rPr>
      <w:vertAlign w:val="superscript"/>
    </w:rPr>
  </w:style>
  <w:style w:type="paragraph" w:styleId="Encabezado">
    <w:name w:val="header"/>
    <w:basedOn w:val="Normal"/>
    <w:link w:val="EncabezadoCar"/>
    <w:uiPriority w:val="99"/>
    <w:unhideWhenUsed/>
    <w:rsid w:val="008C7011"/>
    <w:pPr>
      <w:tabs>
        <w:tab w:val="center" w:pos="4252"/>
        <w:tab w:val="right" w:pos="8504"/>
      </w:tabs>
    </w:pPr>
  </w:style>
  <w:style w:type="character" w:customStyle="1" w:styleId="EncabezadoCar">
    <w:name w:val="Encabezado Car"/>
    <w:basedOn w:val="Fuentedeprrafopredeter"/>
    <w:link w:val="Encabezado"/>
    <w:uiPriority w:val="99"/>
    <w:rsid w:val="008C701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C7011"/>
    <w:pPr>
      <w:tabs>
        <w:tab w:val="center" w:pos="4252"/>
        <w:tab w:val="right" w:pos="8504"/>
      </w:tabs>
    </w:pPr>
  </w:style>
  <w:style w:type="character" w:customStyle="1" w:styleId="PiedepginaCar">
    <w:name w:val="Pie de página Car"/>
    <w:basedOn w:val="Fuentedeprrafopredeter"/>
    <w:link w:val="Piedepgina"/>
    <w:uiPriority w:val="99"/>
    <w:rsid w:val="008C701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7C3B90"/>
    <w:pPr>
      <w:overflowPunct/>
      <w:autoSpaceDE/>
      <w:autoSpaceDN/>
      <w:adjustRightInd/>
      <w:spacing w:line="360" w:lineRule="auto"/>
      <w:jc w:val="both"/>
    </w:pPr>
    <w:rPr>
      <w:rFonts w:ascii="Arial" w:hAnsi="Arial"/>
      <w:sz w:val="26"/>
      <w:lang w:eastAsia="x-none"/>
    </w:rPr>
  </w:style>
  <w:style w:type="character" w:customStyle="1" w:styleId="TextoindependienteCar">
    <w:name w:val="Texto independiente Car"/>
    <w:basedOn w:val="Fuentedeprrafopredeter"/>
    <w:link w:val="Textoindependiente"/>
    <w:rsid w:val="007C3B90"/>
    <w:rPr>
      <w:rFonts w:ascii="Arial" w:eastAsia="Times New Roman" w:hAnsi="Arial" w:cs="Times New Roman"/>
      <w:sz w:val="26"/>
      <w:szCs w:val="20"/>
      <w:lang w:val="es-ES_tradnl" w:eastAsia="x-none"/>
    </w:rPr>
  </w:style>
  <w:style w:type="character" w:customStyle="1" w:styleId="Ttulo3Car">
    <w:name w:val="Título 3 Car"/>
    <w:basedOn w:val="Fuentedeprrafopredeter"/>
    <w:link w:val="Ttulo3"/>
    <w:uiPriority w:val="9"/>
    <w:semiHidden/>
    <w:rsid w:val="009D2A90"/>
    <w:rPr>
      <w:rFonts w:asciiTheme="majorHAnsi" w:eastAsiaTheme="majorEastAsia" w:hAnsiTheme="majorHAnsi" w:cstheme="majorBidi"/>
      <w:color w:val="1F4D78" w:themeColor="accent1" w:themeShade="7F"/>
      <w:sz w:val="24"/>
      <w:szCs w:val="24"/>
      <w:lang w:val="es-ES_tradnl" w:eastAsia="es-ES"/>
    </w:rPr>
  </w:style>
  <w:style w:type="paragraph" w:styleId="Textodeglobo">
    <w:name w:val="Balloon Text"/>
    <w:basedOn w:val="Normal"/>
    <w:link w:val="TextodegloboCar"/>
    <w:uiPriority w:val="99"/>
    <w:semiHidden/>
    <w:unhideWhenUsed/>
    <w:rsid w:val="00C342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2C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9930">
      <w:bodyDiv w:val="1"/>
      <w:marLeft w:val="0"/>
      <w:marRight w:val="0"/>
      <w:marTop w:val="0"/>
      <w:marBottom w:val="0"/>
      <w:divBdr>
        <w:top w:val="none" w:sz="0" w:space="0" w:color="auto"/>
        <w:left w:val="none" w:sz="0" w:space="0" w:color="auto"/>
        <w:bottom w:val="none" w:sz="0" w:space="0" w:color="auto"/>
        <w:right w:val="none" w:sz="0" w:space="0" w:color="auto"/>
      </w:divBdr>
    </w:div>
    <w:div w:id="984432662">
      <w:bodyDiv w:val="1"/>
      <w:marLeft w:val="0"/>
      <w:marRight w:val="0"/>
      <w:marTop w:val="0"/>
      <w:marBottom w:val="0"/>
      <w:divBdr>
        <w:top w:val="none" w:sz="0" w:space="0" w:color="auto"/>
        <w:left w:val="none" w:sz="0" w:space="0" w:color="auto"/>
        <w:bottom w:val="none" w:sz="0" w:space="0" w:color="auto"/>
        <w:right w:val="none" w:sz="0" w:space="0" w:color="auto"/>
      </w:divBdr>
    </w:div>
    <w:div w:id="1076630180">
      <w:bodyDiv w:val="1"/>
      <w:marLeft w:val="0"/>
      <w:marRight w:val="0"/>
      <w:marTop w:val="0"/>
      <w:marBottom w:val="0"/>
      <w:divBdr>
        <w:top w:val="none" w:sz="0" w:space="0" w:color="auto"/>
        <w:left w:val="none" w:sz="0" w:space="0" w:color="auto"/>
        <w:bottom w:val="none" w:sz="0" w:space="0" w:color="auto"/>
        <w:right w:val="none" w:sz="0" w:space="0" w:color="auto"/>
      </w:divBdr>
    </w:div>
    <w:div w:id="1221329062">
      <w:bodyDiv w:val="1"/>
      <w:marLeft w:val="0"/>
      <w:marRight w:val="0"/>
      <w:marTop w:val="0"/>
      <w:marBottom w:val="0"/>
      <w:divBdr>
        <w:top w:val="none" w:sz="0" w:space="0" w:color="auto"/>
        <w:left w:val="none" w:sz="0" w:space="0" w:color="auto"/>
        <w:bottom w:val="none" w:sz="0" w:space="0" w:color="auto"/>
        <w:right w:val="none" w:sz="0" w:space="0" w:color="auto"/>
      </w:divBdr>
    </w:div>
    <w:div w:id="1363164172">
      <w:bodyDiv w:val="1"/>
      <w:marLeft w:val="0"/>
      <w:marRight w:val="0"/>
      <w:marTop w:val="0"/>
      <w:marBottom w:val="0"/>
      <w:divBdr>
        <w:top w:val="none" w:sz="0" w:space="0" w:color="auto"/>
        <w:left w:val="none" w:sz="0" w:space="0" w:color="auto"/>
        <w:bottom w:val="none" w:sz="0" w:space="0" w:color="auto"/>
        <w:right w:val="none" w:sz="0" w:space="0" w:color="auto"/>
      </w:divBdr>
      <w:divsChild>
        <w:div w:id="224804954">
          <w:marLeft w:val="0"/>
          <w:marRight w:val="0"/>
          <w:marTop w:val="0"/>
          <w:marBottom w:val="0"/>
          <w:divBdr>
            <w:top w:val="none" w:sz="0" w:space="0" w:color="auto"/>
            <w:left w:val="none" w:sz="0" w:space="0" w:color="auto"/>
            <w:bottom w:val="none" w:sz="0" w:space="0" w:color="auto"/>
            <w:right w:val="none" w:sz="0" w:space="0" w:color="auto"/>
          </w:divBdr>
          <w:divsChild>
            <w:div w:id="62607589">
              <w:marLeft w:val="0"/>
              <w:marRight w:val="0"/>
              <w:marTop w:val="0"/>
              <w:marBottom w:val="0"/>
              <w:divBdr>
                <w:top w:val="none" w:sz="0" w:space="0" w:color="auto"/>
                <w:left w:val="none" w:sz="0" w:space="0" w:color="auto"/>
                <w:bottom w:val="none" w:sz="0" w:space="0" w:color="auto"/>
                <w:right w:val="none" w:sz="0" w:space="0" w:color="auto"/>
              </w:divBdr>
              <w:divsChild>
                <w:div w:id="14799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7129">
      <w:bodyDiv w:val="1"/>
      <w:marLeft w:val="0"/>
      <w:marRight w:val="0"/>
      <w:marTop w:val="0"/>
      <w:marBottom w:val="0"/>
      <w:divBdr>
        <w:top w:val="none" w:sz="0" w:space="0" w:color="auto"/>
        <w:left w:val="none" w:sz="0" w:space="0" w:color="auto"/>
        <w:bottom w:val="none" w:sz="0" w:space="0" w:color="auto"/>
        <w:right w:val="none" w:sz="0" w:space="0" w:color="auto"/>
      </w:divBdr>
    </w:div>
    <w:div w:id="1386223208">
      <w:bodyDiv w:val="1"/>
      <w:marLeft w:val="0"/>
      <w:marRight w:val="0"/>
      <w:marTop w:val="0"/>
      <w:marBottom w:val="0"/>
      <w:divBdr>
        <w:top w:val="none" w:sz="0" w:space="0" w:color="auto"/>
        <w:left w:val="none" w:sz="0" w:space="0" w:color="auto"/>
        <w:bottom w:val="none" w:sz="0" w:space="0" w:color="auto"/>
        <w:right w:val="none" w:sz="0" w:space="0" w:color="auto"/>
      </w:divBdr>
      <w:divsChild>
        <w:div w:id="1553274697">
          <w:marLeft w:val="0"/>
          <w:marRight w:val="0"/>
          <w:marTop w:val="0"/>
          <w:marBottom w:val="0"/>
          <w:divBdr>
            <w:top w:val="none" w:sz="0" w:space="0" w:color="auto"/>
            <w:left w:val="none" w:sz="0" w:space="0" w:color="auto"/>
            <w:bottom w:val="none" w:sz="0" w:space="0" w:color="auto"/>
            <w:right w:val="none" w:sz="0" w:space="0" w:color="auto"/>
          </w:divBdr>
          <w:divsChild>
            <w:div w:id="69427282">
              <w:marLeft w:val="0"/>
              <w:marRight w:val="0"/>
              <w:marTop w:val="0"/>
              <w:marBottom w:val="0"/>
              <w:divBdr>
                <w:top w:val="none" w:sz="0" w:space="0" w:color="auto"/>
                <w:left w:val="none" w:sz="0" w:space="0" w:color="auto"/>
                <w:bottom w:val="none" w:sz="0" w:space="0" w:color="auto"/>
                <w:right w:val="none" w:sz="0" w:space="0" w:color="auto"/>
              </w:divBdr>
              <w:divsChild>
                <w:div w:id="15951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8228">
          <w:marLeft w:val="0"/>
          <w:marRight w:val="0"/>
          <w:marTop w:val="0"/>
          <w:marBottom w:val="0"/>
          <w:divBdr>
            <w:top w:val="none" w:sz="0" w:space="0" w:color="auto"/>
            <w:left w:val="none" w:sz="0" w:space="0" w:color="auto"/>
            <w:bottom w:val="none" w:sz="0" w:space="0" w:color="auto"/>
            <w:right w:val="none" w:sz="0" w:space="0" w:color="auto"/>
          </w:divBdr>
          <w:divsChild>
            <w:div w:id="1315257629">
              <w:marLeft w:val="0"/>
              <w:marRight w:val="0"/>
              <w:marTop w:val="0"/>
              <w:marBottom w:val="0"/>
              <w:divBdr>
                <w:top w:val="none" w:sz="0" w:space="0" w:color="auto"/>
                <w:left w:val="none" w:sz="0" w:space="0" w:color="auto"/>
                <w:bottom w:val="none" w:sz="0" w:space="0" w:color="auto"/>
                <w:right w:val="none" w:sz="0" w:space="0" w:color="auto"/>
              </w:divBdr>
              <w:divsChild>
                <w:div w:id="13566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6281">
      <w:bodyDiv w:val="1"/>
      <w:marLeft w:val="0"/>
      <w:marRight w:val="0"/>
      <w:marTop w:val="0"/>
      <w:marBottom w:val="0"/>
      <w:divBdr>
        <w:top w:val="none" w:sz="0" w:space="0" w:color="auto"/>
        <w:left w:val="none" w:sz="0" w:space="0" w:color="auto"/>
        <w:bottom w:val="none" w:sz="0" w:space="0" w:color="auto"/>
        <w:right w:val="none" w:sz="0" w:space="0" w:color="auto"/>
      </w:divBdr>
      <w:divsChild>
        <w:div w:id="2104448462">
          <w:marLeft w:val="0"/>
          <w:marRight w:val="0"/>
          <w:marTop w:val="0"/>
          <w:marBottom w:val="0"/>
          <w:divBdr>
            <w:top w:val="none" w:sz="0" w:space="0" w:color="auto"/>
            <w:left w:val="none" w:sz="0" w:space="0" w:color="auto"/>
            <w:bottom w:val="none" w:sz="0" w:space="0" w:color="auto"/>
            <w:right w:val="none" w:sz="0" w:space="0" w:color="auto"/>
          </w:divBdr>
          <w:divsChild>
            <w:div w:id="933127125">
              <w:marLeft w:val="0"/>
              <w:marRight w:val="0"/>
              <w:marTop w:val="0"/>
              <w:marBottom w:val="0"/>
              <w:divBdr>
                <w:top w:val="none" w:sz="0" w:space="0" w:color="auto"/>
                <w:left w:val="none" w:sz="0" w:space="0" w:color="auto"/>
                <w:bottom w:val="none" w:sz="0" w:space="0" w:color="auto"/>
                <w:right w:val="none" w:sz="0" w:space="0" w:color="auto"/>
              </w:divBdr>
              <w:divsChild>
                <w:div w:id="21059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6028">
      <w:bodyDiv w:val="1"/>
      <w:marLeft w:val="0"/>
      <w:marRight w:val="0"/>
      <w:marTop w:val="0"/>
      <w:marBottom w:val="0"/>
      <w:divBdr>
        <w:top w:val="none" w:sz="0" w:space="0" w:color="auto"/>
        <w:left w:val="none" w:sz="0" w:space="0" w:color="auto"/>
        <w:bottom w:val="none" w:sz="0" w:space="0" w:color="auto"/>
        <w:right w:val="none" w:sz="0" w:space="0" w:color="auto"/>
      </w:divBdr>
      <w:divsChild>
        <w:div w:id="975376558">
          <w:marLeft w:val="0"/>
          <w:marRight w:val="0"/>
          <w:marTop w:val="0"/>
          <w:marBottom w:val="0"/>
          <w:divBdr>
            <w:top w:val="none" w:sz="0" w:space="0" w:color="auto"/>
            <w:left w:val="none" w:sz="0" w:space="0" w:color="auto"/>
            <w:bottom w:val="none" w:sz="0" w:space="0" w:color="auto"/>
            <w:right w:val="none" w:sz="0" w:space="0" w:color="auto"/>
          </w:divBdr>
          <w:divsChild>
            <w:div w:id="1266427541">
              <w:marLeft w:val="0"/>
              <w:marRight w:val="0"/>
              <w:marTop w:val="0"/>
              <w:marBottom w:val="0"/>
              <w:divBdr>
                <w:top w:val="none" w:sz="0" w:space="0" w:color="auto"/>
                <w:left w:val="none" w:sz="0" w:space="0" w:color="auto"/>
                <w:bottom w:val="none" w:sz="0" w:space="0" w:color="auto"/>
                <w:right w:val="none" w:sz="0" w:space="0" w:color="auto"/>
              </w:divBdr>
              <w:divsChild>
                <w:div w:id="6482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9928">
      <w:bodyDiv w:val="1"/>
      <w:marLeft w:val="0"/>
      <w:marRight w:val="0"/>
      <w:marTop w:val="0"/>
      <w:marBottom w:val="0"/>
      <w:divBdr>
        <w:top w:val="none" w:sz="0" w:space="0" w:color="auto"/>
        <w:left w:val="none" w:sz="0" w:space="0" w:color="auto"/>
        <w:bottom w:val="none" w:sz="0" w:space="0" w:color="auto"/>
        <w:right w:val="none" w:sz="0" w:space="0" w:color="auto"/>
      </w:divBdr>
    </w:div>
    <w:div w:id="2103641214">
      <w:bodyDiv w:val="1"/>
      <w:marLeft w:val="0"/>
      <w:marRight w:val="0"/>
      <w:marTop w:val="0"/>
      <w:marBottom w:val="0"/>
      <w:divBdr>
        <w:top w:val="none" w:sz="0" w:space="0" w:color="auto"/>
        <w:left w:val="none" w:sz="0" w:space="0" w:color="auto"/>
        <w:bottom w:val="none" w:sz="0" w:space="0" w:color="auto"/>
        <w:right w:val="none" w:sz="0" w:space="0" w:color="auto"/>
      </w:divBdr>
      <w:divsChild>
        <w:div w:id="1060863141">
          <w:marLeft w:val="0"/>
          <w:marRight w:val="0"/>
          <w:marTop w:val="0"/>
          <w:marBottom w:val="0"/>
          <w:divBdr>
            <w:top w:val="none" w:sz="0" w:space="0" w:color="auto"/>
            <w:left w:val="none" w:sz="0" w:space="0" w:color="auto"/>
            <w:bottom w:val="none" w:sz="0" w:space="0" w:color="auto"/>
            <w:right w:val="none" w:sz="0" w:space="0" w:color="auto"/>
          </w:divBdr>
          <w:divsChild>
            <w:div w:id="1029647585">
              <w:marLeft w:val="0"/>
              <w:marRight w:val="0"/>
              <w:marTop w:val="0"/>
              <w:marBottom w:val="0"/>
              <w:divBdr>
                <w:top w:val="none" w:sz="0" w:space="0" w:color="auto"/>
                <w:left w:val="none" w:sz="0" w:space="0" w:color="auto"/>
                <w:bottom w:val="none" w:sz="0" w:space="0" w:color="auto"/>
                <w:right w:val="none" w:sz="0" w:space="0" w:color="auto"/>
              </w:divBdr>
              <w:divsChild>
                <w:div w:id="8835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ley_1437_2011_pr00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179F-5A76-4991-A791-5DA691CA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4863</TotalTime>
  <Pages>10</Pages>
  <Words>4950</Words>
  <Characters>27229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10</cp:revision>
  <cp:lastPrinted>2019-09-19T22:00:00Z</cp:lastPrinted>
  <dcterms:created xsi:type="dcterms:W3CDTF">2019-09-13T20:50:00Z</dcterms:created>
  <dcterms:modified xsi:type="dcterms:W3CDTF">2019-10-11T13:01:00Z</dcterms:modified>
</cp:coreProperties>
</file>