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4F" w:rsidRPr="00D3284F" w:rsidRDefault="000C68C6" w:rsidP="00D3284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Pr>
          <w:rFonts w:ascii="Arial" w:hAnsi="Arial" w:cs="Arial"/>
          <w:color w:val="FF0000"/>
          <w:spacing w:val="-4"/>
          <w:sz w:val="18"/>
          <w:szCs w:val="18"/>
          <w:lang w:val="es-CO" w:eastAsia="fr-FR"/>
        </w:rPr>
        <w:t>&lt;</w:t>
      </w:r>
      <w:r w:rsidR="00D3284F" w:rsidRPr="00D3284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3284F" w:rsidRPr="00D3284F" w:rsidRDefault="00D3284F" w:rsidP="00D3284F">
      <w:pPr>
        <w:jc w:val="both"/>
        <w:rPr>
          <w:rFonts w:ascii="Arial" w:hAnsi="Arial" w:cs="Arial"/>
          <w:sz w:val="20"/>
          <w:szCs w:val="20"/>
          <w:lang w:val="es-419"/>
        </w:rPr>
      </w:pPr>
    </w:p>
    <w:p w:rsidR="00D3284F" w:rsidRPr="00D3284F" w:rsidRDefault="00D3284F" w:rsidP="00D3284F">
      <w:pPr>
        <w:jc w:val="both"/>
        <w:rPr>
          <w:rFonts w:ascii="Arial" w:hAnsi="Arial" w:cs="Arial"/>
          <w:sz w:val="20"/>
          <w:szCs w:val="20"/>
          <w:lang w:val="es-419"/>
        </w:rPr>
      </w:pPr>
      <w:r w:rsidRPr="00D3284F">
        <w:rPr>
          <w:rFonts w:ascii="Arial" w:hAnsi="Arial" w:cs="Arial"/>
          <w:sz w:val="20"/>
          <w:szCs w:val="20"/>
          <w:lang w:val="es-419"/>
        </w:rPr>
        <w:t xml:space="preserve">Providencia: </w:t>
      </w:r>
      <w:r w:rsidRPr="00D3284F">
        <w:rPr>
          <w:rFonts w:ascii="Arial" w:hAnsi="Arial" w:cs="Arial"/>
          <w:sz w:val="20"/>
          <w:szCs w:val="20"/>
          <w:lang w:val="es-419"/>
        </w:rPr>
        <w:tab/>
      </w:r>
      <w:r w:rsidRPr="00D3284F">
        <w:rPr>
          <w:rFonts w:ascii="Arial" w:hAnsi="Arial" w:cs="Arial"/>
          <w:sz w:val="20"/>
          <w:szCs w:val="20"/>
          <w:lang w:val="es-419"/>
        </w:rPr>
        <w:tab/>
        <w:t xml:space="preserve">Sentencia del 4 de octubre de 2019 </w:t>
      </w:r>
    </w:p>
    <w:p w:rsidR="00D3284F" w:rsidRPr="00D3284F" w:rsidRDefault="00D3284F" w:rsidP="00D3284F">
      <w:pPr>
        <w:jc w:val="both"/>
        <w:rPr>
          <w:rFonts w:ascii="Arial" w:hAnsi="Arial" w:cs="Arial"/>
          <w:sz w:val="20"/>
          <w:szCs w:val="20"/>
          <w:lang w:val="es-419"/>
        </w:rPr>
      </w:pPr>
      <w:r w:rsidRPr="00D3284F">
        <w:rPr>
          <w:rFonts w:ascii="Arial" w:hAnsi="Arial" w:cs="Arial"/>
          <w:sz w:val="20"/>
          <w:szCs w:val="20"/>
          <w:lang w:val="es-419"/>
        </w:rPr>
        <w:t>Radicación No.:</w:t>
      </w:r>
      <w:r w:rsidRPr="00D3284F">
        <w:rPr>
          <w:rFonts w:ascii="Arial" w:hAnsi="Arial" w:cs="Arial"/>
          <w:sz w:val="20"/>
          <w:szCs w:val="20"/>
          <w:lang w:val="es-419"/>
        </w:rPr>
        <w:tab/>
      </w:r>
      <w:r w:rsidRPr="00D3284F">
        <w:rPr>
          <w:rFonts w:ascii="Arial" w:hAnsi="Arial" w:cs="Arial"/>
          <w:sz w:val="20"/>
          <w:szCs w:val="20"/>
          <w:lang w:val="es-419"/>
        </w:rPr>
        <w:tab/>
        <w:t>66001-31-05-005-2017-00278-01</w:t>
      </w:r>
    </w:p>
    <w:p w:rsidR="00D3284F" w:rsidRPr="00D3284F" w:rsidRDefault="00D3284F" w:rsidP="00D3284F">
      <w:pPr>
        <w:jc w:val="both"/>
        <w:rPr>
          <w:rFonts w:ascii="Arial" w:hAnsi="Arial" w:cs="Arial"/>
          <w:sz w:val="20"/>
          <w:szCs w:val="20"/>
          <w:lang w:val="es-419"/>
        </w:rPr>
      </w:pPr>
      <w:r w:rsidRPr="00D3284F">
        <w:rPr>
          <w:rFonts w:ascii="Arial" w:hAnsi="Arial" w:cs="Arial"/>
          <w:sz w:val="20"/>
          <w:szCs w:val="20"/>
          <w:lang w:val="es-419"/>
        </w:rPr>
        <w:t>Proceso:</w:t>
      </w:r>
      <w:r w:rsidRPr="00D3284F">
        <w:rPr>
          <w:rFonts w:ascii="Arial" w:hAnsi="Arial" w:cs="Arial"/>
          <w:sz w:val="20"/>
          <w:szCs w:val="20"/>
          <w:lang w:val="es-419"/>
        </w:rPr>
        <w:tab/>
      </w:r>
      <w:r w:rsidRPr="00D3284F">
        <w:rPr>
          <w:rFonts w:ascii="Arial" w:hAnsi="Arial" w:cs="Arial"/>
          <w:sz w:val="20"/>
          <w:szCs w:val="20"/>
          <w:lang w:val="es-419"/>
        </w:rPr>
        <w:tab/>
        <w:t xml:space="preserve">Ordinario laboral </w:t>
      </w:r>
    </w:p>
    <w:p w:rsidR="00D3284F" w:rsidRPr="00D3284F" w:rsidRDefault="00D3284F" w:rsidP="00D3284F">
      <w:pPr>
        <w:jc w:val="both"/>
        <w:rPr>
          <w:rFonts w:ascii="Arial" w:hAnsi="Arial" w:cs="Arial"/>
          <w:sz w:val="20"/>
          <w:szCs w:val="20"/>
          <w:lang w:val="es-419"/>
        </w:rPr>
      </w:pPr>
      <w:r w:rsidRPr="00D3284F">
        <w:rPr>
          <w:rFonts w:ascii="Arial" w:hAnsi="Arial" w:cs="Arial"/>
          <w:sz w:val="20"/>
          <w:szCs w:val="20"/>
          <w:lang w:val="es-419"/>
        </w:rPr>
        <w:t>Demandantes:</w:t>
      </w:r>
      <w:r w:rsidRPr="00D3284F">
        <w:rPr>
          <w:rFonts w:ascii="Arial" w:hAnsi="Arial" w:cs="Arial"/>
          <w:sz w:val="20"/>
          <w:szCs w:val="20"/>
          <w:lang w:val="es-419"/>
        </w:rPr>
        <w:tab/>
      </w:r>
      <w:r w:rsidRPr="00D3284F">
        <w:rPr>
          <w:rFonts w:ascii="Arial" w:hAnsi="Arial" w:cs="Arial"/>
          <w:sz w:val="20"/>
          <w:szCs w:val="20"/>
          <w:lang w:val="es-419"/>
        </w:rPr>
        <w:tab/>
        <w:t xml:space="preserve">Jeny Fernanda Ángel Loaiza  </w:t>
      </w:r>
    </w:p>
    <w:p w:rsidR="00D3284F" w:rsidRPr="00D3284F" w:rsidRDefault="00D3284F" w:rsidP="00D3284F">
      <w:pPr>
        <w:jc w:val="both"/>
        <w:rPr>
          <w:rFonts w:ascii="Arial" w:hAnsi="Arial" w:cs="Arial"/>
          <w:sz w:val="20"/>
          <w:szCs w:val="20"/>
          <w:lang w:val="es-419"/>
        </w:rPr>
      </w:pPr>
      <w:r w:rsidRPr="00D3284F">
        <w:rPr>
          <w:rFonts w:ascii="Arial" w:hAnsi="Arial" w:cs="Arial"/>
          <w:sz w:val="20"/>
          <w:szCs w:val="20"/>
          <w:lang w:val="es-419"/>
        </w:rPr>
        <w:t>Demandado:</w:t>
      </w:r>
      <w:r w:rsidRPr="00D3284F">
        <w:rPr>
          <w:rFonts w:ascii="Arial" w:hAnsi="Arial" w:cs="Arial"/>
          <w:sz w:val="20"/>
          <w:szCs w:val="20"/>
          <w:lang w:val="es-419"/>
        </w:rPr>
        <w:tab/>
      </w:r>
      <w:r w:rsidRPr="00D3284F">
        <w:rPr>
          <w:rFonts w:ascii="Arial" w:hAnsi="Arial" w:cs="Arial"/>
          <w:sz w:val="20"/>
          <w:szCs w:val="20"/>
          <w:lang w:val="es-419"/>
        </w:rPr>
        <w:tab/>
        <w:t xml:space="preserve">Colpensiones </w:t>
      </w:r>
    </w:p>
    <w:p w:rsidR="00D3284F" w:rsidRPr="00D3284F" w:rsidRDefault="00D3284F" w:rsidP="00D3284F">
      <w:pPr>
        <w:jc w:val="both"/>
        <w:rPr>
          <w:rFonts w:ascii="Arial" w:hAnsi="Arial" w:cs="Arial"/>
          <w:sz w:val="20"/>
          <w:szCs w:val="20"/>
          <w:lang w:val="es-419"/>
        </w:rPr>
      </w:pPr>
      <w:r w:rsidRPr="00D3284F">
        <w:rPr>
          <w:rFonts w:ascii="Arial" w:hAnsi="Arial" w:cs="Arial"/>
          <w:sz w:val="20"/>
          <w:szCs w:val="20"/>
          <w:lang w:val="es-419"/>
        </w:rPr>
        <w:t xml:space="preserve">Juzgado de origen: </w:t>
      </w:r>
      <w:r w:rsidRPr="00D3284F">
        <w:rPr>
          <w:rFonts w:ascii="Arial" w:hAnsi="Arial" w:cs="Arial"/>
          <w:sz w:val="20"/>
          <w:szCs w:val="20"/>
          <w:lang w:val="es-419"/>
        </w:rPr>
        <w:tab/>
        <w:t>Quinto Laboral del Circuito de Pereira</w:t>
      </w:r>
    </w:p>
    <w:p w:rsidR="00D3284F" w:rsidRPr="00D3284F" w:rsidRDefault="00D3284F" w:rsidP="00D3284F">
      <w:pPr>
        <w:jc w:val="both"/>
        <w:rPr>
          <w:rFonts w:ascii="Arial" w:hAnsi="Arial" w:cs="Arial"/>
          <w:sz w:val="20"/>
          <w:szCs w:val="20"/>
          <w:lang w:val="es-419"/>
        </w:rPr>
      </w:pPr>
      <w:r w:rsidRPr="00D3284F">
        <w:rPr>
          <w:rFonts w:ascii="Arial" w:hAnsi="Arial" w:cs="Arial"/>
          <w:sz w:val="20"/>
          <w:szCs w:val="20"/>
          <w:lang w:val="es-419"/>
        </w:rPr>
        <w:t>Magistrada ponente:</w:t>
      </w:r>
      <w:r w:rsidRPr="00D3284F">
        <w:rPr>
          <w:rFonts w:ascii="Arial" w:hAnsi="Arial" w:cs="Arial"/>
          <w:sz w:val="20"/>
          <w:szCs w:val="20"/>
          <w:lang w:val="es-419"/>
        </w:rPr>
        <w:tab/>
        <w:t>Dra. Ana Lucía Caicedo Calderón</w:t>
      </w:r>
    </w:p>
    <w:p w:rsidR="00D3284F" w:rsidRPr="00D3284F" w:rsidRDefault="00D3284F" w:rsidP="00D3284F">
      <w:pPr>
        <w:jc w:val="both"/>
        <w:rPr>
          <w:rFonts w:ascii="Arial" w:hAnsi="Arial" w:cs="Arial"/>
          <w:sz w:val="20"/>
          <w:szCs w:val="20"/>
          <w:lang w:val="es-419"/>
        </w:rPr>
      </w:pPr>
    </w:p>
    <w:p w:rsidR="00D3284F" w:rsidRPr="00D3284F" w:rsidRDefault="00D3284F" w:rsidP="00D3284F">
      <w:pPr>
        <w:jc w:val="both"/>
        <w:rPr>
          <w:rFonts w:ascii="Arial" w:hAnsi="Arial" w:cs="Arial"/>
          <w:b/>
          <w:bCs/>
          <w:iCs/>
          <w:sz w:val="20"/>
          <w:szCs w:val="20"/>
          <w:lang w:val="es-419" w:eastAsia="fr-FR"/>
        </w:rPr>
      </w:pPr>
      <w:r w:rsidRPr="00D3284F">
        <w:rPr>
          <w:rFonts w:ascii="Arial" w:hAnsi="Arial" w:cs="Arial"/>
          <w:b/>
          <w:bCs/>
          <w:iCs/>
          <w:sz w:val="20"/>
          <w:szCs w:val="20"/>
          <w:u w:val="single"/>
          <w:lang w:val="es-419" w:eastAsia="fr-FR"/>
        </w:rPr>
        <w:t>TEMAS:</w:t>
      </w:r>
      <w:r w:rsidRPr="00D3284F">
        <w:rPr>
          <w:rFonts w:ascii="Arial" w:hAnsi="Arial" w:cs="Arial"/>
          <w:b/>
          <w:bCs/>
          <w:iCs/>
          <w:sz w:val="20"/>
          <w:szCs w:val="20"/>
          <w:lang w:val="es-419" w:eastAsia="fr-FR"/>
        </w:rPr>
        <w:tab/>
      </w:r>
      <w:r w:rsidR="00877507" w:rsidRPr="00877507">
        <w:rPr>
          <w:rFonts w:ascii="Arial" w:hAnsi="Arial" w:cs="Arial"/>
          <w:b/>
          <w:sz w:val="20"/>
          <w:szCs w:val="20"/>
          <w:lang w:val="es-419"/>
        </w:rPr>
        <w:t>PENSIÓN DE</w:t>
      </w:r>
      <w:r w:rsidR="00877507">
        <w:rPr>
          <w:rFonts w:ascii="Arial" w:hAnsi="Arial" w:cs="Arial"/>
          <w:b/>
          <w:sz w:val="20"/>
          <w:szCs w:val="20"/>
          <w:lang w:val="es-CO"/>
        </w:rPr>
        <w:t xml:space="preserve"> SOBREVIVIENTES </w:t>
      </w:r>
      <w:r w:rsidR="00877507" w:rsidRPr="00877507">
        <w:rPr>
          <w:rFonts w:ascii="Arial" w:hAnsi="Arial" w:cs="Arial"/>
          <w:b/>
          <w:sz w:val="20"/>
          <w:szCs w:val="20"/>
          <w:lang w:val="es-419"/>
        </w:rPr>
        <w:t xml:space="preserve">/ ESTRUCTURADA BAJO LEY </w:t>
      </w:r>
      <w:r w:rsidR="00877507">
        <w:rPr>
          <w:rFonts w:ascii="Arial" w:hAnsi="Arial" w:cs="Arial"/>
          <w:b/>
          <w:sz w:val="20"/>
          <w:szCs w:val="20"/>
          <w:lang w:val="es-CO"/>
        </w:rPr>
        <w:t>797</w:t>
      </w:r>
      <w:r w:rsidR="00877507" w:rsidRPr="00877507">
        <w:rPr>
          <w:rFonts w:ascii="Arial" w:hAnsi="Arial" w:cs="Arial"/>
          <w:b/>
          <w:sz w:val="20"/>
          <w:szCs w:val="20"/>
          <w:lang w:val="es-419"/>
        </w:rPr>
        <w:t xml:space="preserve"> DE 2003 / CONDICIÓN MÁS BENEFICIOSA / APLICA  SÓLO PARA ACUDIR A NORMA ANTERIOR / EN ESTE CASO, LEY 100 DE 1993 / PERO NO CUMPLE REQUISITO DE TEMPORALIDAD FIJADO POR LA CORTE SUPREMA DE JUSTICIA.</w:t>
      </w:r>
      <w:r w:rsidRPr="00D3284F">
        <w:rPr>
          <w:rFonts w:ascii="Arial" w:hAnsi="Arial" w:cs="Arial"/>
          <w:b/>
          <w:bCs/>
          <w:iCs/>
          <w:sz w:val="20"/>
          <w:szCs w:val="20"/>
          <w:lang w:val="es-419" w:eastAsia="fr-FR"/>
        </w:rPr>
        <w:t xml:space="preserve"> </w:t>
      </w:r>
    </w:p>
    <w:p w:rsidR="00D3284F" w:rsidRPr="00D3284F" w:rsidRDefault="00D3284F" w:rsidP="00D3284F">
      <w:pPr>
        <w:jc w:val="both"/>
        <w:rPr>
          <w:rFonts w:ascii="Arial" w:hAnsi="Arial" w:cs="Arial"/>
          <w:sz w:val="20"/>
          <w:szCs w:val="20"/>
          <w:lang w:val="es-419"/>
        </w:rPr>
      </w:pPr>
    </w:p>
    <w:p w:rsidR="004D08D9" w:rsidRPr="004D08D9" w:rsidRDefault="004D08D9" w:rsidP="004D08D9">
      <w:pPr>
        <w:jc w:val="both"/>
        <w:rPr>
          <w:rFonts w:ascii="Arial" w:hAnsi="Arial" w:cs="Arial"/>
          <w:sz w:val="20"/>
          <w:szCs w:val="20"/>
          <w:lang w:val="es-419"/>
        </w:rPr>
      </w:pPr>
      <w:r w:rsidRPr="004D08D9">
        <w:rPr>
          <w:rFonts w:ascii="Arial" w:hAnsi="Arial" w:cs="Arial"/>
          <w:sz w:val="20"/>
          <w:szCs w:val="20"/>
          <w:lang w:val="es-419"/>
        </w:rPr>
        <w:t>Se encuentra acreditado con el registro civil de defunción que el señor Carlos Alberto Toro Amariles falleció el día 30-11-2015</w:t>
      </w:r>
      <w:r w:rsidR="006D457A">
        <w:rPr>
          <w:rFonts w:ascii="Arial" w:hAnsi="Arial" w:cs="Arial"/>
          <w:sz w:val="20"/>
          <w:szCs w:val="20"/>
          <w:lang w:val="es-CO"/>
        </w:rPr>
        <w:t>…</w:t>
      </w:r>
      <w:r w:rsidRPr="004D08D9">
        <w:rPr>
          <w:rFonts w:ascii="Arial" w:hAnsi="Arial" w:cs="Arial"/>
          <w:sz w:val="20"/>
          <w:szCs w:val="20"/>
          <w:lang w:val="es-419"/>
        </w:rPr>
        <w:t>, por lo tanto, la normativa aplicable en esta actuación es el artículo 12 de la Ley 797 de 2003, que es la vigente para el momento de acontecer tal situación. Disposición que exige haber cotizado 50 semanas dentro de los 3 años anteriores al deceso</w:t>
      </w:r>
      <w:r w:rsidR="006D457A">
        <w:rPr>
          <w:rFonts w:ascii="Arial" w:hAnsi="Arial" w:cs="Arial"/>
          <w:sz w:val="20"/>
          <w:szCs w:val="20"/>
          <w:lang w:val="es-CO"/>
        </w:rPr>
        <w:t>…</w:t>
      </w:r>
      <w:r w:rsidRPr="004D08D9">
        <w:rPr>
          <w:rFonts w:ascii="Arial" w:hAnsi="Arial" w:cs="Arial"/>
          <w:sz w:val="20"/>
          <w:szCs w:val="20"/>
          <w:lang w:val="es-419"/>
        </w:rPr>
        <w:t xml:space="preserve"> </w:t>
      </w:r>
    </w:p>
    <w:p w:rsidR="004D08D9" w:rsidRPr="004D08D9" w:rsidRDefault="004D08D9" w:rsidP="004D08D9">
      <w:pPr>
        <w:jc w:val="both"/>
        <w:rPr>
          <w:rFonts w:ascii="Arial" w:hAnsi="Arial" w:cs="Arial"/>
          <w:sz w:val="20"/>
          <w:szCs w:val="20"/>
          <w:lang w:val="es-419"/>
        </w:rPr>
      </w:pPr>
    </w:p>
    <w:p w:rsidR="004D08D9" w:rsidRPr="004D08D9" w:rsidRDefault="004D08D9" w:rsidP="004D08D9">
      <w:pPr>
        <w:jc w:val="both"/>
        <w:rPr>
          <w:rFonts w:ascii="Arial" w:hAnsi="Arial" w:cs="Arial"/>
          <w:sz w:val="20"/>
          <w:szCs w:val="20"/>
          <w:lang w:val="es-419"/>
        </w:rPr>
      </w:pPr>
      <w:r w:rsidRPr="004D08D9">
        <w:rPr>
          <w:rFonts w:ascii="Arial" w:hAnsi="Arial" w:cs="Arial"/>
          <w:sz w:val="20"/>
          <w:szCs w:val="20"/>
          <w:lang w:val="es-419"/>
        </w:rPr>
        <w:t>Al revisar la historia laboral del afiliado</w:t>
      </w:r>
      <w:r w:rsidR="006D457A">
        <w:rPr>
          <w:rFonts w:ascii="Arial" w:hAnsi="Arial" w:cs="Arial"/>
          <w:sz w:val="20"/>
          <w:szCs w:val="20"/>
          <w:lang w:val="es-CO"/>
        </w:rPr>
        <w:t>…</w:t>
      </w:r>
      <w:r w:rsidRPr="004D08D9">
        <w:rPr>
          <w:rFonts w:ascii="Arial" w:hAnsi="Arial" w:cs="Arial"/>
          <w:sz w:val="20"/>
          <w:szCs w:val="20"/>
          <w:lang w:val="es-419"/>
        </w:rPr>
        <w:t xml:space="preserve"> se tiene que entre la fecha de la muerte 30-11-2015 y la misma data de 2012 (3 años) cotizó 38,58 semanas; con lo cual resulta fácil colegir que no satisfizo la primera de las exigencias del artículo 12 de la Ley 797 de 2003, 50 semanas.</w:t>
      </w:r>
    </w:p>
    <w:p w:rsidR="004D08D9" w:rsidRPr="004D08D9" w:rsidRDefault="004D08D9" w:rsidP="004D08D9">
      <w:pPr>
        <w:jc w:val="both"/>
        <w:rPr>
          <w:rFonts w:ascii="Arial" w:hAnsi="Arial" w:cs="Arial"/>
          <w:sz w:val="20"/>
          <w:szCs w:val="20"/>
          <w:lang w:val="es-419"/>
        </w:rPr>
      </w:pPr>
    </w:p>
    <w:p w:rsidR="004D08D9" w:rsidRPr="004D08D9" w:rsidRDefault="004D08D9" w:rsidP="004D08D9">
      <w:pPr>
        <w:jc w:val="both"/>
        <w:rPr>
          <w:rFonts w:ascii="Arial" w:hAnsi="Arial" w:cs="Arial"/>
          <w:sz w:val="20"/>
          <w:szCs w:val="20"/>
          <w:lang w:val="es-419"/>
        </w:rPr>
      </w:pPr>
      <w:r w:rsidRPr="004D08D9">
        <w:rPr>
          <w:rFonts w:ascii="Arial" w:hAnsi="Arial" w:cs="Arial"/>
          <w:sz w:val="20"/>
          <w:szCs w:val="20"/>
          <w:lang w:val="es-419"/>
        </w:rPr>
        <w:t>Sin embargo, atendiendo lo solicitado en libelo introductorio y en el recurso de apelación, consistente en la aplicación del principio de la condición más beneficiosa, se analizará su procedencia.</w:t>
      </w:r>
    </w:p>
    <w:p w:rsidR="004D08D9" w:rsidRPr="004D08D9" w:rsidRDefault="004D08D9" w:rsidP="004D08D9">
      <w:pPr>
        <w:jc w:val="both"/>
        <w:rPr>
          <w:rFonts w:ascii="Arial" w:hAnsi="Arial" w:cs="Arial"/>
          <w:sz w:val="20"/>
          <w:szCs w:val="20"/>
          <w:lang w:val="es-419"/>
        </w:rPr>
      </w:pPr>
    </w:p>
    <w:p w:rsidR="00D3284F" w:rsidRDefault="004D08D9" w:rsidP="004D08D9">
      <w:pPr>
        <w:jc w:val="both"/>
        <w:rPr>
          <w:rFonts w:ascii="Arial" w:hAnsi="Arial" w:cs="Arial"/>
          <w:sz w:val="20"/>
          <w:szCs w:val="20"/>
          <w:lang w:val="es-CO"/>
        </w:rPr>
      </w:pPr>
      <w:r w:rsidRPr="004D08D9">
        <w:rPr>
          <w:rFonts w:ascii="Arial" w:hAnsi="Arial" w:cs="Arial"/>
          <w:sz w:val="20"/>
          <w:szCs w:val="20"/>
          <w:lang w:val="es-419"/>
        </w:rPr>
        <w:t>Frente al referido principio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w:t>
      </w:r>
      <w:r w:rsidR="00066667">
        <w:rPr>
          <w:rFonts w:ascii="Arial" w:hAnsi="Arial" w:cs="Arial"/>
          <w:sz w:val="20"/>
          <w:szCs w:val="20"/>
          <w:lang w:val="es-CO"/>
        </w:rPr>
        <w:t xml:space="preserve"> (…)</w:t>
      </w:r>
    </w:p>
    <w:p w:rsidR="00066667" w:rsidRDefault="00066667" w:rsidP="004D08D9">
      <w:pPr>
        <w:jc w:val="both"/>
        <w:rPr>
          <w:rFonts w:ascii="Arial" w:hAnsi="Arial" w:cs="Arial"/>
          <w:sz w:val="20"/>
          <w:szCs w:val="20"/>
          <w:lang w:val="es-CO"/>
        </w:rPr>
      </w:pPr>
    </w:p>
    <w:p w:rsidR="00066667" w:rsidRPr="00066667" w:rsidRDefault="00066667" w:rsidP="00066667">
      <w:pPr>
        <w:jc w:val="both"/>
        <w:rPr>
          <w:rFonts w:ascii="Arial" w:hAnsi="Arial" w:cs="Arial"/>
          <w:sz w:val="20"/>
          <w:szCs w:val="20"/>
          <w:lang w:val="es-CO"/>
        </w:rPr>
      </w:pPr>
      <w:r w:rsidRPr="00066667">
        <w:rPr>
          <w:rFonts w:ascii="Arial" w:hAnsi="Arial" w:cs="Arial"/>
          <w:sz w:val="20"/>
          <w:szCs w:val="20"/>
          <w:lang w:val="es-CO"/>
        </w:rPr>
        <w:t xml:space="preserve">En ese orden de ideas, como el señor Carlos Alberto Toro </w:t>
      </w:r>
      <w:proofErr w:type="spellStart"/>
      <w:r w:rsidRPr="00066667">
        <w:rPr>
          <w:rFonts w:ascii="Arial" w:hAnsi="Arial" w:cs="Arial"/>
          <w:sz w:val="20"/>
          <w:szCs w:val="20"/>
          <w:lang w:val="es-CO"/>
        </w:rPr>
        <w:t>Amariles</w:t>
      </w:r>
      <w:proofErr w:type="spellEnd"/>
      <w:r w:rsidRPr="00066667">
        <w:rPr>
          <w:rFonts w:ascii="Arial" w:hAnsi="Arial" w:cs="Arial"/>
          <w:sz w:val="20"/>
          <w:szCs w:val="20"/>
          <w:lang w:val="es-CO"/>
        </w:rPr>
        <w:t xml:space="preserve"> falleció en el 2015, momento para el cual regía la Ley 797 de 2003, en aplicación de la condición más beneficiosa y al tenor de la tesis acogida por la Sala Mayoritaria, el Acuerdo 049 de 1990 no es la norma que puede escrutarse para verificar si el dejó causada la pensión de sobrevivientes por no ser la que le antecedía, que sí lo es la Ley 100 de 1993 original; por lo que no sale avante la apelación.</w:t>
      </w:r>
    </w:p>
    <w:p w:rsidR="00066667" w:rsidRPr="00066667" w:rsidRDefault="00066667" w:rsidP="00066667">
      <w:pPr>
        <w:jc w:val="both"/>
        <w:rPr>
          <w:rFonts w:ascii="Arial" w:hAnsi="Arial" w:cs="Arial"/>
          <w:sz w:val="20"/>
          <w:szCs w:val="20"/>
          <w:lang w:val="es-CO"/>
        </w:rPr>
      </w:pPr>
    </w:p>
    <w:p w:rsidR="00066667" w:rsidRPr="00066667" w:rsidRDefault="00066667" w:rsidP="00066667">
      <w:pPr>
        <w:jc w:val="both"/>
        <w:rPr>
          <w:rFonts w:ascii="Arial" w:hAnsi="Arial" w:cs="Arial"/>
          <w:sz w:val="20"/>
          <w:szCs w:val="20"/>
          <w:lang w:val="es-CO"/>
        </w:rPr>
      </w:pPr>
      <w:r w:rsidRPr="00066667">
        <w:rPr>
          <w:rFonts w:ascii="Arial" w:hAnsi="Arial" w:cs="Arial"/>
          <w:sz w:val="20"/>
          <w:szCs w:val="20"/>
          <w:lang w:val="es-CO"/>
        </w:rPr>
        <w:t>Pero esta última tampoco puede gobernar la prestación pretendida, en tanto el órgano de cierre de esta especialidad a partir del año 2017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w:t>
      </w:r>
      <w:r>
        <w:rPr>
          <w:rFonts w:ascii="Arial" w:hAnsi="Arial" w:cs="Arial"/>
          <w:sz w:val="20"/>
          <w:szCs w:val="20"/>
          <w:lang w:val="es-CO"/>
        </w:rPr>
        <w:t>…</w:t>
      </w:r>
    </w:p>
    <w:p w:rsidR="00D3284F" w:rsidRPr="00D3284F" w:rsidRDefault="00D3284F" w:rsidP="00D3284F">
      <w:pPr>
        <w:jc w:val="both"/>
        <w:rPr>
          <w:rFonts w:ascii="Arial" w:hAnsi="Arial" w:cs="Arial"/>
          <w:sz w:val="20"/>
          <w:szCs w:val="20"/>
          <w:lang w:val="es-419"/>
        </w:rPr>
      </w:pPr>
    </w:p>
    <w:p w:rsidR="00D3284F" w:rsidRPr="009E3E34" w:rsidRDefault="009E3E34" w:rsidP="00D3284F">
      <w:pPr>
        <w:jc w:val="both"/>
        <w:rPr>
          <w:rFonts w:ascii="Arial" w:hAnsi="Arial" w:cs="Arial"/>
          <w:b/>
          <w:color w:val="FF0000"/>
          <w:sz w:val="20"/>
          <w:szCs w:val="20"/>
          <w:lang w:val="es-CO"/>
        </w:rPr>
      </w:pPr>
      <w:r w:rsidRPr="009E3E34">
        <w:rPr>
          <w:rFonts w:ascii="Arial" w:hAnsi="Arial" w:cs="Arial"/>
          <w:b/>
          <w:color w:val="FF0000"/>
          <w:sz w:val="20"/>
          <w:szCs w:val="20"/>
          <w:lang w:val="es-CO"/>
        </w:rPr>
        <w:t>SALVAMENTO DE</w:t>
      </w:r>
      <w:r w:rsidR="000831DE">
        <w:rPr>
          <w:rFonts w:ascii="Arial" w:hAnsi="Arial" w:cs="Arial"/>
          <w:b/>
          <w:color w:val="FF0000"/>
          <w:sz w:val="20"/>
          <w:szCs w:val="20"/>
          <w:lang w:val="es-CO"/>
        </w:rPr>
        <w:t xml:space="preserve"> </w:t>
      </w:r>
      <w:r w:rsidRPr="009E3E34">
        <w:rPr>
          <w:rFonts w:ascii="Arial" w:hAnsi="Arial" w:cs="Arial"/>
          <w:b/>
          <w:color w:val="FF0000"/>
          <w:sz w:val="20"/>
          <w:szCs w:val="20"/>
          <w:lang w:val="es-CO"/>
        </w:rPr>
        <w:t xml:space="preserve">VOTO: DOCTORA ANA LUCÍA CAICEDO CALDERÓN </w:t>
      </w:r>
    </w:p>
    <w:p w:rsidR="00D3284F" w:rsidRPr="00D3284F" w:rsidRDefault="00D3284F" w:rsidP="00D3284F">
      <w:pPr>
        <w:jc w:val="both"/>
        <w:rPr>
          <w:rFonts w:ascii="Arial" w:hAnsi="Arial" w:cs="Arial"/>
          <w:sz w:val="20"/>
          <w:szCs w:val="20"/>
        </w:rPr>
      </w:pPr>
    </w:p>
    <w:p w:rsidR="00D3284F" w:rsidRDefault="009E3E34" w:rsidP="00D3284F">
      <w:pPr>
        <w:jc w:val="both"/>
        <w:rPr>
          <w:rFonts w:ascii="Arial" w:hAnsi="Arial" w:cs="Arial"/>
          <w:sz w:val="20"/>
          <w:szCs w:val="20"/>
        </w:rPr>
      </w:pPr>
      <w:r w:rsidRPr="009E3E34">
        <w:rPr>
          <w:rFonts w:ascii="Arial" w:hAnsi="Arial" w:cs="Arial"/>
          <w:sz w:val="20"/>
          <w:szCs w:val="20"/>
        </w:rPr>
        <w:t>La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de la Corte Suprema de Justicia, pero además, la Sala Mayoritaria –que no la suscrita Magistrada- ha aceptado la incorporación del nuevo requisito señalado en la sentencia SL4650 -radicado No. 45262 del 25 de enero de 2017- para la aplicación de la condición más beneficiosa en el tránsito legislativo de la Ley 100 de 1993 (original) a la Ley 797 de 2003, en la que se impuso una limitación temporal a la aplicación del referido principio</w:t>
      </w:r>
      <w:r>
        <w:rPr>
          <w:rFonts w:ascii="Arial" w:hAnsi="Arial" w:cs="Arial"/>
          <w:sz w:val="20"/>
          <w:szCs w:val="20"/>
        </w:rPr>
        <w:t>…</w:t>
      </w:r>
    </w:p>
    <w:p w:rsidR="00877507" w:rsidRDefault="00877507" w:rsidP="00D3284F">
      <w:pPr>
        <w:jc w:val="both"/>
        <w:rPr>
          <w:rFonts w:ascii="Arial" w:hAnsi="Arial" w:cs="Arial"/>
          <w:sz w:val="20"/>
          <w:szCs w:val="20"/>
        </w:rPr>
      </w:pPr>
    </w:p>
    <w:p w:rsidR="00877507" w:rsidRDefault="00877507" w:rsidP="00D3284F">
      <w:pPr>
        <w:jc w:val="both"/>
        <w:rPr>
          <w:rFonts w:ascii="Arial" w:hAnsi="Arial" w:cs="Arial"/>
          <w:sz w:val="20"/>
          <w:szCs w:val="20"/>
        </w:rPr>
      </w:pPr>
      <w:r w:rsidRPr="00877507">
        <w:rPr>
          <w:rFonts w:ascii="Arial" w:hAnsi="Arial" w:cs="Arial"/>
          <w:sz w:val="20"/>
          <w:szCs w:val="20"/>
        </w:rPr>
        <w:t>No obstante, atendiendo la interpretación que tuvo la Corte Constitucional sobre la materia, la cual resulta más favorable para la beneficiaria, es posible el salto de la Ley 797 de 2003 a los antiguos reglamentos del ISS (hoy Colpensiones), en la medida en que el artículo 53 de la Constitución no restringe la aplicación de la condición más beneficiosa a sólo dos normas aplicables al caso. En ese sentido, el presente asunto podía analizarse a la luz del Acuerdo 049 de 1990, que si bien no es la norma inmediatamente anterior, se acompasa al precedente del Tribunal Constitucional, quien a través de la sentencia SU-442 del 18 de agosto de 2016 –en la que se analizó una pensión de invalidez-, unificó los criterios en relación con la aplicación de principio en comento, reiterando los precedentes anteriores</w:t>
      </w:r>
      <w:r>
        <w:rPr>
          <w:rFonts w:ascii="Arial" w:hAnsi="Arial" w:cs="Arial"/>
          <w:sz w:val="20"/>
          <w:szCs w:val="20"/>
        </w:rPr>
        <w:t>…</w:t>
      </w:r>
    </w:p>
    <w:p w:rsidR="009E3E34" w:rsidRDefault="009E3E34" w:rsidP="00D3284F">
      <w:pPr>
        <w:jc w:val="both"/>
        <w:rPr>
          <w:rFonts w:ascii="Arial" w:hAnsi="Arial" w:cs="Arial"/>
          <w:sz w:val="20"/>
          <w:szCs w:val="20"/>
        </w:rPr>
      </w:pPr>
    </w:p>
    <w:p w:rsidR="009E3E34" w:rsidRPr="00D3284F" w:rsidRDefault="009E3E34" w:rsidP="00D3284F">
      <w:pPr>
        <w:jc w:val="both"/>
        <w:rPr>
          <w:rFonts w:ascii="Arial" w:hAnsi="Arial" w:cs="Arial"/>
          <w:sz w:val="20"/>
          <w:szCs w:val="20"/>
        </w:rPr>
      </w:pPr>
    </w:p>
    <w:p w:rsidR="00D3284F" w:rsidRPr="00D3284F" w:rsidRDefault="00D3284F" w:rsidP="00D3284F">
      <w:pPr>
        <w:jc w:val="both"/>
        <w:rPr>
          <w:rFonts w:ascii="Arial" w:hAnsi="Arial" w:cs="Arial"/>
          <w:sz w:val="20"/>
          <w:szCs w:val="20"/>
        </w:rPr>
      </w:pPr>
    </w:p>
    <w:p w:rsidR="00DE2563" w:rsidRPr="00D3284F" w:rsidRDefault="00DE2563" w:rsidP="000170C8">
      <w:pPr>
        <w:pStyle w:val="Ttulo4"/>
        <w:widowControl w:val="0"/>
        <w:tabs>
          <w:tab w:val="clear" w:pos="0"/>
        </w:tabs>
        <w:spacing w:line="288" w:lineRule="auto"/>
        <w:rPr>
          <w:rFonts w:ascii="Tahoma" w:hAnsi="Tahoma" w:cs="Tahoma"/>
          <w:bCs/>
          <w:szCs w:val="24"/>
          <w:lang w:eastAsia="es-MX"/>
        </w:rPr>
      </w:pPr>
      <w:r w:rsidRPr="00D3284F">
        <w:rPr>
          <w:rFonts w:ascii="Tahoma" w:hAnsi="Tahoma" w:cs="Tahoma"/>
          <w:bCs/>
          <w:szCs w:val="24"/>
          <w:lang w:eastAsia="es-MX"/>
        </w:rPr>
        <w:t>TRIBUNAL SUPERIOR DEL DISTRITO JUDICIAL DE PEREIRA</w:t>
      </w:r>
    </w:p>
    <w:p w:rsidR="00DE2563" w:rsidRPr="00D3284F" w:rsidRDefault="00DE2563" w:rsidP="000170C8">
      <w:pPr>
        <w:pStyle w:val="Ttulo4"/>
        <w:widowControl w:val="0"/>
        <w:tabs>
          <w:tab w:val="clear" w:pos="0"/>
        </w:tabs>
        <w:spacing w:line="288" w:lineRule="auto"/>
        <w:rPr>
          <w:rFonts w:ascii="Tahoma" w:hAnsi="Tahoma" w:cs="Tahoma"/>
          <w:bCs/>
          <w:szCs w:val="24"/>
          <w:lang w:eastAsia="es-MX"/>
        </w:rPr>
      </w:pPr>
      <w:r w:rsidRPr="00D3284F">
        <w:rPr>
          <w:rFonts w:ascii="Tahoma" w:hAnsi="Tahoma" w:cs="Tahoma"/>
          <w:bCs/>
          <w:szCs w:val="24"/>
          <w:lang w:eastAsia="es-MX"/>
        </w:rPr>
        <w:t xml:space="preserve">SALA DE </w:t>
      </w:r>
      <w:r w:rsidR="005F378C" w:rsidRPr="00D3284F">
        <w:rPr>
          <w:rFonts w:ascii="Tahoma" w:hAnsi="Tahoma" w:cs="Tahoma"/>
          <w:bCs/>
          <w:szCs w:val="24"/>
          <w:lang w:eastAsia="es-MX"/>
        </w:rPr>
        <w:t>DECISIÓN</w:t>
      </w:r>
      <w:r w:rsidRPr="00D3284F">
        <w:rPr>
          <w:rFonts w:ascii="Tahoma" w:hAnsi="Tahoma" w:cs="Tahoma"/>
          <w:bCs/>
          <w:szCs w:val="24"/>
          <w:lang w:eastAsia="es-MX"/>
        </w:rPr>
        <w:t xml:space="preserve"> LABORAL No. 1</w:t>
      </w:r>
    </w:p>
    <w:p w:rsidR="00DE2563" w:rsidRPr="00D3284F" w:rsidRDefault="00DE2563" w:rsidP="000170C8">
      <w:pPr>
        <w:spacing w:line="288" w:lineRule="auto"/>
        <w:jc w:val="center"/>
        <w:rPr>
          <w:rFonts w:ascii="Tahoma" w:hAnsi="Tahoma" w:cs="Tahoma"/>
          <w:bCs/>
        </w:rPr>
      </w:pPr>
    </w:p>
    <w:p w:rsidR="00DE2563" w:rsidRPr="00D3284F" w:rsidRDefault="00DE2563" w:rsidP="000170C8">
      <w:pPr>
        <w:spacing w:line="288" w:lineRule="auto"/>
        <w:jc w:val="center"/>
        <w:rPr>
          <w:rFonts w:ascii="Tahoma" w:hAnsi="Tahoma" w:cs="Tahoma"/>
          <w:b/>
          <w:bCs/>
        </w:rPr>
      </w:pPr>
      <w:r w:rsidRPr="00D3284F">
        <w:rPr>
          <w:rFonts w:ascii="Tahoma" w:hAnsi="Tahoma" w:cs="Tahoma"/>
          <w:bCs/>
        </w:rPr>
        <w:t>Magistrada Ponente:</w:t>
      </w:r>
      <w:r w:rsidRPr="00D3284F">
        <w:rPr>
          <w:rFonts w:ascii="Tahoma" w:hAnsi="Tahoma" w:cs="Tahoma"/>
          <w:b/>
          <w:bCs/>
        </w:rPr>
        <w:t xml:space="preserve"> Ana Lucía Caicedo Calderón</w:t>
      </w:r>
    </w:p>
    <w:p w:rsidR="00DE2563" w:rsidRPr="00D3284F" w:rsidRDefault="00DE2563" w:rsidP="000170C8">
      <w:pPr>
        <w:spacing w:line="288" w:lineRule="auto"/>
        <w:jc w:val="center"/>
        <w:rPr>
          <w:rFonts w:ascii="Tahoma" w:hAnsi="Tahoma" w:cs="Tahoma"/>
          <w:b/>
          <w:bCs/>
        </w:rPr>
      </w:pPr>
    </w:p>
    <w:p w:rsidR="00DE2563" w:rsidRPr="00D3284F" w:rsidRDefault="00DE2563" w:rsidP="000170C8">
      <w:pPr>
        <w:spacing w:line="288" w:lineRule="auto"/>
        <w:jc w:val="center"/>
        <w:rPr>
          <w:rFonts w:ascii="Tahoma" w:hAnsi="Tahoma" w:cs="Tahoma"/>
          <w:b/>
        </w:rPr>
      </w:pPr>
      <w:r w:rsidRPr="00D3284F">
        <w:rPr>
          <w:rFonts w:ascii="Tahoma" w:hAnsi="Tahoma" w:cs="Tahoma"/>
          <w:b/>
        </w:rPr>
        <w:t>Acta No. ____</w:t>
      </w:r>
    </w:p>
    <w:p w:rsidR="00DE2563" w:rsidRPr="00D3284F" w:rsidRDefault="00DE2563" w:rsidP="000170C8">
      <w:pPr>
        <w:spacing w:line="288" w:lineRule="auto"/>
        <w:jc w:val="center"/>
        <w:rPr>
          <w:rFonts w:ascii="Tahoma" w:hAnsi="Tahoma" w:cs="Tahoma"/>
          <w:b/>
        </w:rPr>
      </w:pPr>
      <w:r w:rsidRPr="00D3284F">
        <w:rPr>
          <w:rFonts w:ascii="Tahoma" w:hAnsi="Tahoma" w:cs="Tahoma"/>
          <w:b/>
        </w:rPr>
        <w:t>(</w:t>
      </w:r>
      <w:r w:rsidR="004E7D22" w:rsidRPr="00D3284F">
        <w:rPr>
          <w:rFonts w:ascii="Tahoma" w:hAnsi="Tahoma" w:cs="Tahoma"/>
          <w:b/>
        </w:rPr>
        <w:t xml:space="preserve">Octubre </w:t>
      </w:r>
      <w:r w:rsidR="00F9700B" w:rsidRPr="00D3284F">
        <w:rPr>
          <w:rFonts w:ascii="Tahoma" w:hAnsi="Tahoma" w:cs="Tahoma"/>
          <w:b/>
        </w:rPr>
        <w:t>4</w:t>
      </w:r>
      <w:r w:rsidRPr="00D3284F">
        <w:rPr>
          <w:rFonts w:ascii="Tahoma" w:hAnsi="Tahoma" w:cs="Tahoma"/>
          <w:b/>
        </w:rPr>
        <w:t xml:space="preserve"> de 201</w:t>
      </w:r>
      <w:r w:rsidR="00F9700B" w:rsidRPr="00D3284F">
        <w:rPr>
          <w:rFonts w:ascii="Tahoma" w:hAnsi="Tahoma" w:cs="Tahoma"/>
          <w:b/>
        </w:rPr>
        <w:t>9</w:t>
      </w:r>
      <w:r w:rsidRPr="00D3284F">
        <w:rPr>
          <w:rFonts w:ascii="Tahoma" w:hAnsi="Tahoma" w:cs="Tahoma"/>
          <w:b/>
        </w:rPr>
        <w:t>)</w:t>
      </w:r>
    </w:p>
    <w:p w:rsidR="00DE2563" w:rsidRPr="00D3284F" w:rsidRDefault="00DE2563" w:rsidP="000170C8">
      <w:pPr>
        <w:spacing w:line="288" w:lineRule="auto"/>
        <w:jc w:val="center"/>
        <w:rPr>
          <w:rFonts w:ascii="Tahoma" w:hAnsi="Tahoma" w:cs="Tahoma"/>
          <w:b/>
        </w:rPr>
      </w:pPr>
    </w:p>
    <w:p w:rsidR="00DE2563" w:rsidRPr="00D3284F" w:rsidRDefault="00DE2563" w:rsidP="000170C8">
      <w:pPr>
        <w:pStyle w:val="Ttulo5"/>
        <w:spacing w:line="288" w:lineRule="auto"/>
        <w:ind w:firstLine="0"/>
        <w:jc w:val="center"/>
        <w:rPr>
          <w:rFonts w:ascii="Tahoma" w:hAnsi="Tahoma" w:cs="Tahoma"/>
        </w:rPr>
      </w:pPr>
      <w:r w:rsidRPr="00D3284F">
        <w:rPr>
          <w:rFonts w:ascii="Tahoma" w:hAnsi="Tahoma" w:cs="Tahoma"/>
        </w:rPr>
        <w:t>Sistema oral - Audiencia de juzgamiento</w:t>
      </w:r>
    </w:p>
    <w:p w:rsidR="00DE2563" w:rsidRPr="00D3284F" w:rsidRDefault="00DE2563" w:rsidP="000170C8">
      <w:pPr>
        <w:spacing w:line="288" w:lineRule="auto"/>
        <w:jc w:val="both"/>
        <w:rPr>
          <w:rFonts w:ascii="Tahoma" w:hAnsi="Tahoma" w:cs="Tahoma"/>
          <w:lang w:val="es-ES_tradnl"/>
        </w:rPr>
      </w:pPr>
      <w:r w:rsidRPr="00D3284F">
        <w:rPr>
          <w:rFonts w:ascii="Tahoma" w:hAnsi="Tahoma" w:cs="Tahoma"/>
          <w:b/>
        </w:rPr>
        <w:tab/>
      </w:r>
    </w:p>
    <w:p w:rsidR="00DE2563" w:rsidRPr="00D3284F" w:rsidRDefault="00DE2563" w:rsidP="000170C8">
      <w:pPr>
        <w:spacing w:line="288" w:lineRule="auto"/>
        <w:ind w:firstLine="708"/>
        <w:jc w:val="both"/>
        <w:rPr>
          <w:rFonts w:ascii="Tahoma" w:hAnsi="Tahoma" w:cs="Tahoma"/>
          <w:lang w:val="es-ES_tradnl"/>
        </w:rPr>
      </w:pPr>
      <w:r w:rsidRPr="00D3284F">
        <w:rPr>
          <w:rFonts w:ascii="Tahoma" w:hAnsi="Tahoma" w:cs="Tahoma"/>
          <w:lang w:val="es-ES_tradnl"/>
        </w:rPr>
        <w:t xml:space="preserve">Siendo las </w:t>
      </w:r>
      <w:r w:rsidR="004E7D22" w:rsidRPr="00D3284F">
        <w:rPr>
          <w:rFonts w:ascii="Tahoma" w:hAnsi="Tahoma" w:cs="Tahoma"/>
          <w:lang w:val="es-ES_tradnl"/>
        </w:rPr>
        <w:t>8</w:t>
      </w:r>
      <w:r w:rsidRPr="00D3284F">
        <w:rPr>
          <w:rFonts w:ascii="Tahoma" w:hAnsi="Tahoma" w:cs="Tahoma"/>
          <w:lang w:val="es-ES_tradnl"/>
        </w:rPr>
        <w:t>:</w:t>
      </w:r>
      <w:r w:rsidR="00F9700B" w:rsidRPr="00D3284F">
        <w:rPr>
          <w:rFonts w:ascii="Tahoma" w:hAnsi="Tahoma" w:cs="Tahoma"/>
          <w:lang w:val="es-ES_tradnl"/>
        </w:rPr>
        <w:t>00</w:t>
      </w:r>
      <w:r w:rsidRPr="00D3284F">
        <w:rPr>
          <w:rFonts w:ascii="Tahoma" w:hAnsi="Tahoma" w:cs="Tahoma"/>
          <w:lang w:val="es-ES_tradnl"/>
        </w:rPr>
        <w:t xml:space="preserve"> a.m. de hoy, </w:t>
      </w:r>
      <w:r w:rsidR="00F9700B" w:rsidRPr="00D3284F">
        <w:rPr>
          <w:rFonts w:ascii="Tahoma" w:hAnsi="Tahoma" w:cs="Tahoma"/>
          <w:lang w:val="es-ES_tradnl"/>
        </w:rPr>
        <w:t xml:space="preserve">4 de </w:t>
      </w:r>
      <w:r w:rsidR="004E7D22" w:rsidRPr="00D3284F">
        <w:rPr>
          <w:rFonts w:ascii="Tahoma" w:hAnsi="Tahoma" w:cs="Tahoma"/>
          <w:lang w:val="es-ES_tradnl"/>
        </w:rPr>
        <w:t xml:space="preserve">octubre </w:t>
      </w:r>
      <w:r w:rsidR="00F9700B" w:rsidRPr="00D3284F">
        <w:rPr>
          <w:rFonts w:ascii="Tahoma" w:hAnsi="Tahoma" w:cs="Tahoma"/>
          <w:lang w:val="es-ES_tradnl"/>
        </w:rPr>
        <w:t>de 2019</w:t>
      </w:r>
      <w:r w:rsidRPr="00D3284F">
        <w:rPr>
          <w:rFonts w:ascii="Tahoma" w:hAnsi="Tahoma" w:cs="Tahoma"/>
          <w:lang w:val="es-ES_tradnl"/>
        </w:rPr>
        <w:t xml:space="preserve">, la Sala de Decisión Laboral No. 1 del Tribunal Superior de Pereira se constituye en audiencia pública de juzgamiento en el proceso ordinario laboral instaurado por </w:t>
      </w:r>
      <w:proofErr w:type="spellStart"/>
      <w:r w:rsidR="00F9700B" w:rsidRPr="00D3284F">
        <w:rPr>
          <w:rFonts w:ascii="Tahoma" w:hAnsi="Tahoma" w:cs="Tahoma"/>
          <w:b/>
          <w:lang w:val="es-ES_tradnl"/>
        </w:rPr>
        <w:t>Jeny</w:t>
      </w:r>
      <w:proofErr w:type="spellEnd"/>
      <w:r w:rsidR="00F9700B" w:rsidRPr="00D3284F">
        <w:rPr>
          <w:rFonts w:ascii="Tahoma" w:hAnsi="Tahoma" w:cs="Tahoma"/>
          <w:b/>
          <w:lang w:val="es-ES_tradnl"/>
        </w:rPr>
        <w:t xml:space="preserve"> Fernanda Ángel Loaiza</w:t>
      </w:r>
      <w:r w:rsidR="00337375" w:rsidRPr="00D3284F">
        <w:rPr>
          <w:rFonts w:ascii="Tahoma" w:hAnsi="Tahoma" w:cs="Tahoma"/>
          <w:b/>
          <w:lang w:val="es-ES_tradnl"/>
        </w:rPr>
        <w:t xml:space="preserve"> </w:t>
      </w:r>
      <w:r w:rsidRPr="00D3284F">
        <w:rPr>
          <w:rFonts w:ascii="Tahoma" w:hAnsi="Tahoma" w:cs="Tahoma"/>
          <w:lang w:val="es-ES_tradnl"/>
        </w:rPr>
        <w:t xml:space="preserve">en contra de la </w:t>
      </w:r>
      <w:r w:rsidRPr="00D3284F">
        <w:rPr>
          <w:rFonts w:ascii="Tahoma" w:hAnsi="Tahoma" w:cs="Tahoma"/>
          <w:b/>
          <w:lang w:val="es-ES_tradnl"/>
        </w:rPr>
        <w:t>Administradora Colombiana de Pensiones – Colpensiones.</w:t>
      </w:r>
      <w:r w:rsidR="00E14A2F" w:rsidRPr="00D3284F">
        <w:rPr>
          <w:rFonts w:ascii="Tahoma" w:hAnsi="Tahoma" w:cs="Tahoma"/>
          <w:b/>
          <w:lang w:val="es-ES_tradnl"/>
        </w:rPr>
        <w:t xml:space="preserve"> </w:t>
      </w:r>
      <w:r w:rsidRPr="00D3284F">
        <w:rPr>
          <w:rFonts w:ascii="Tahoma" w:hAnsi="Tahoma" w:cs="Tahoma"/>
          <w:lang w:val="es-ES_tradnl"/>
        </w:rPr>
        <w:t>Para el efecto, se verifica la asistencia de las partes a la presente diligencia: Por la parte demandante… Por la demandada…</w:t>
      </w:r>
    </w:p>
    <w:p w:rsidR="006A27AE" w:rsidRPr="00D3284F" w:rsidRDefault="006A27AE" w:rsidP="000170C8">
      <w:pPr>
        <w:spacing w:line="288" w:lineRule="auto"/>
        <w:ind w:firstLine="708"/>
        <w:jc w:val="both"/>
        <w:rPr>
          <w:rFonts w:ascii="Tahoma" w:hAnsi="Tahoma" w:cs="Tahoma"/>
          <w:lang w:val="es-ES_tradnl"/>
        </w:rPr>
      </w:pPr>
    </w:p>
    <w:p w:rsidR="00DE2563" w:rsidRPr="00D3284F" w:rsidRDefault="00DE2563" w:rsidP="000170C8">
      <w:pPr>
        <w:widowControl w:val="0"/>
        <w:autoSpaceDE w:val="0"/>
        <w:autoSpaceDN w:val="0"/>
        <w:adjustRightInd w:val="0"/>
        <w:spacing w:line="288" w:lineRule="auto"/>
        <w:jc w:val="center"/>
        <w:rPr>
          <w:rFonts w:ascii="Tahoma" w:hAnsi="Tahoma" w:cs="Tahoma"/>
          <w:b/>
        </w:rPr>
      </w:pPr>
      <w:r w:rsidRPr="00D3284F">
        <w:rPr>
          <w:rFonts w:ascii="Tahoma" w:hAnsi="Tahoma" w:cs="Tahoma"/>
          <w:b/>
        </w:rPr>
        <w:t>SENTENCIA</w:t>
      </w:r>
    </w:p>
    <w:p w:rsidR="00DE2563" w:rsidRPr="00D3284F" w:rsidRDefault="00DE2563" w:rsidP="000170C8">
      <w:pPr>
        <w:widowControl w:val="0"/>
        <w:autoSpaceDE w:val="0"/>
        <w:autoSpaceDN w:val="0"/>
        <w:adjustRightInd w:val="0"/>
        <w:spacing w:line="288" w:lineRule="auto"/>
        <w:jc w:val="center"/>
        <w:rPr>
          <w:rFonts w:ascii="Tahoma" w:hAnsi="Tahoma" w:cs="Tahoma"/>
          <w:b/>
        </w:rPr>
      </w:pPr>
    </w:p>
    <w:p w:rsidR="00DE2563" w:rsidRPr="00D3284F" w:rsidRDefault="00F9700B" w:rsidP="000170C8">
      <w:pPr>
        <w:widowControl w:val="0"/>
        <w:autoSpaceDE w:val="0"/>
        <w:autoSpaceDN w:val="0"/>
        <w:adjustRightInd w:val="0"/>
        <w:spacing w:line="288" w:lineRule="auto"/>
        <w:ind w:firstLine="708"/>
        <w:jc w:val="both"/>
        <w:rPr>
          <w:rFonts w:ascii="Tahoma" w:hAnsi="Tahoma" w:cs="Tahoma"/>
        </w:rPr>
      </w:pPr>
      <w:r w:rsidRPr="00D3284F">
        <w:rPr>
          <w:rFonts w:ascii="Tahoma" w:hAnsi="Tahoma" w:cs="Tahoma"/>
        </w:rPr>
        <w:t xml:space="preserve">Procede </w:t>
      </w:r>
      <w:r w:rsidR="00DE2563" w:rsidRPr="00D3284F">
        <w:rPr>
          <w:rFonts w:ascii="Tahoma" w:hAnsi="Tahoma" w:cs="Tahoma"/>
        </w:rPr>
        <w:t xml:space="preserve">la Sala a resolver el </w:t>
      </w:r>
      <w:r w:rsidR="00E05827" w:rsidRPr="00D3284F">
        <w:rPr>
          <w:rFonts w:ascii="Tahoma" w:hAnsi="Tahoma" w:cs="Tahoma"/>
        </w:rPr>
        <w:t xml:space="preserve">recurso de apelación propuesto </w:t>
      </w:r>
      <w:r w:rsidR="00F828CD" w:rsidRPr="00D3284F">
        <w:rPr>
          <w:rFonts w:ascii="Tahoma" w:hAnsi="Tahoma" w:cs="Tahoma"/>
        </w:rPr>
        <w:t xml:space="preserve">por la parte demandante </w:t>
      </w:r>
      <w:r w:rsidR="00E05827" w:rsidRPr="00D3284F">
        <w:rPr>
          <w:rFonts w:ascii="Tahoma" w:hAnsi="Tahoma" w:cs="Tahoma"/>
        </w:rPr>
        <w:t xml:space="preserve">en contra de la </w:t>
      </w:r>
      <w:r w:rsidR="00DE2563" w:rsidRPr="00D3284F">
        <w:rPr>
          <w:rFonts w:ascii="Tahoma" w:hAnsi="Tahoma" w:cs="Tahoma"/>
        </w:rPr>
        <w:t xml:space="preserve">sentencia emitida por el Juzgado </w:t>
      </w:r>
      <w:r w:rsidR="00E05827" w:rsidRPr="00D3284F">
        <w:rPr>
          <w:rFonts w:ascii="Tahoma" w:hAnsi="Tahoma" w:cs="Tahoma"/>
        </w:rPr>
        <w:t xml:space="preserve">Quinto </w:t>
      </w:r>
      <w:r w:rsidR="00DE2563" w:rsidRPr="00D3284F">
        <w:rPr>
          <w:rFonts w:ascii="Tahoma" w:hAnsi="Tahoma" w:cs="Tahoma"/>
        </w:rPr>
        <w:t xml:space="preserve">Laboral del Circuito de Pereira el </w:t>
      </w:r>
      <w:r w:rsidR="00F828CD" w:rsidRPr="00D3284F">
        <w:rPr>
          <w:rFonts w:ascii="Tahoma" w:hAnsi="Tahoma" w:cs="Tahoma"/>
        </w:rPr>
        <w:t>11 de octubre de 2018</w:t>
      </w:r>
      <w:r w:rsidR="00DE2563" w:rsidRPr="00D3284F">
        <w:rPr>
          <w:rFonts w:ascii="Tahoma" w:hAnsi="Tahoma" w:cs="Tahoma"/>
        </w:rPr>
        <w:t>, dentro del proceso ordinario laboral reseñado con a</w:t>
      </w:r>
      <w:r w:rsidR="00E05827" w:rsidRPr="00D3284F">
        <w:rPr>
          <w:rFonts w:ascii="Tahoma" w:hAnsi="Tahoma" w:cs="Tahoma"/>
        </w:rPr>
        <w:t>nterioridad</w:t>
      </w:r>
      <w:r w:rsidR="00F828CD" w:rsidRPr="00D3284F">
        <w:rPr>
          <w:rFonts w:ascii="Tahoma" w:hAnsi="Tahoma" w:cs="Tahoma"/>
        </w:rPr>
        <w:t>.</w:t>
      </w:r>
    </w:p>
    <w:p w:rsidR="00DE2563" w:rsidRPr="00D3284F" w:rsidRDefault="00DE2563" w:rsidP="000170C8">
      <w:pPr>
        <w:tabs>
          <w:tab w:val="left" w:pos="567"/>
        </w:tabs>
        <w:spacing w:line="288" w:lineRule="auto"/>
        <w:jc w:val="both"/>
        <w:rPr>
          <w:rFonts w:ascii="Tahoma" w:hAnsi="Tahoma" w:cs="Tahoma"/>
        </w:rPr>
      </w:pPr>
    </w:p>
    <w:p w:rsidR="00DE2563" w:rsidRPr="00D3284F" w:rsidRDefault="00DE2563" w:rsidP="000170C8">
      <w:pPr>
        <w:widowControl w:val="0"/>
        <w:numPr>
          <w:ilvl w:val="0"/>
          <w:numId w:val="1"/>
        </w:numPr>
        <w:tabs>
          <w:tab w:val="clear" w:pos="1080"/>
          <w:tab w:val="num" w:pos="374"/>
          <w:tab w:val="left" w:pos="561"/>
          <w:tab w:val="left" w:pos="935"/>
        </w:tabs>
        <w:autoSpaceDE w:val="0"/>
        <w:autoSpaceDN w:val="0"/>
        <w:adjustRightInd w:val="0"/>
        <w:spacing w:line="288" w:lineRule="auto"/>
        <w:ind w:left="0" w:firstLine="0"/>
        <w:jc w:val="center"/>
        <w:rPr>
          <w:rFonts w:ascii="Tahoma" w:hAnsi="Tahoma" w:cs="Tahoma"/>
          <w:b/>
          <w:caps/>
        </w:rPr>
      </w:pPr>
      <w:r w:rsidRPr="00D3284F">
        <w:rPr>
          <w:rFonts w:ascii="Tahoma" w:hAnsi="Tahoma" w:cs="Tahoma"/>
          <w:b/>
        </w:rPr>
        <w:t>La demanda y su contestación</w:t>
      </w:r>
    </w:p>
    <w:p w:rsidR="00DE2563" w:rsidRPr="00D3284F" w:rsidRDefault="00DE2563" w:rsidP="000170C8">
      <w:pPr>
        <w:widowControl w:val="0"/>
        <w:tabs>
          <w:tab w:val="left" w:pos="561"/>
          <w:tab w:val="left" w:pos="935"/>
        </w:tabs>
        <w:autoSpaceDE w:val="0"/>
        <w:autoSpaceDN w:val="0"/>
        <w:adjustRightInd w:val="0"/>
        <w:spacing w:line="288" w:lineRule="auto"/>
        <w:rPr>
          <w:rFonts w:ascii="Tahoma" w:hAnsi="Tahoma" w:cs="Tahoma"/>
          <w:b/>
          <w:caps/>
        </w:rPr>
      </w:pPr>
    </w:p>
    <w:p w:rsidR="00881A2E" w:rsidRPr="00D3284F" w:rsidRDefault="00DE2563" w:rsidP="000170C8">
      <w:pPr>
        <w:widowControl w:val="0"/>
        <w:tabs>
          <w:tab w:val="left" w:pos="561"/>
          <w:tab w:val="left" w:pos="709"/>
          <w:tab w:val="left" w:pos="1065"/>
        </w:tabs>
        <w:autoSpaceDE w:val="0"/>
        <w:autoSpaceDN w:val="0"/>
        <w:adjustRightInd w:val="0"/>
        <w:spacing w:line="288" w:lineRule="auto"/>
        <w:jc w:val="both"/>
        <w:rPr>
          <w:rFonts w:ascii="Tahoma" w:hAnsi="Tahoma" w:cs="Tahoma"/>
        </w:rPr>
      </w:pPr>
      <w:r w:rsidRPr="00D3284F">
        <w:rPr>
          <w:rFonts w:ascii="Tahoma" w:hAnsi="Tahoma" w:cs="Tahoma"/>
          <w:b/>
          <w:caps/>
        </w:rPr>
        <w:tab/>
      </w:r>
      <w:r w:rsidRPr="00D3284F">
        <w:rPr>
          <w:rFonts w:ascii="Tahoma" w:hAnsi="Tahoma" w:cs="Tahoma"/>
          <w:b/>
          <w:caps/>
        </w:rPr>
        <w:tab/>
      </w:r>
      <w:r w:rsidRPr="00D3284F">
        <w:rPr>
          <w:rFonts w:ascii="Tahoma" w:hAnsi="Tahoma" w:cs="Tahoma"/>
        </w:rPr>
        <w:t>La</w:t>
      </w:r>
      <w:r w:rsidRPr="00D3284F">
        <w:rPr>
          <w:rFonts w:ascii="Tahoma" w:hAnsi="Tahoma" w:cs="Tahoma"/>
          <w:b/>
        </w:rPr>
        <w:t xml:space="preserve"> </w:t>
      </w:r>
      <w:r w:rsidRPr="00D3284F">
        <w:rPr>
          <w:rFonts w:ascii="Tahoma" w:hAnsi="Tahoma" w:cs="Tahoma"/>
        </w:rPr>
        <w:t>citada demandante solicita que se declare que</w:t>
      </w:r>
      <w:r w:rsidR="0063126A" w:rsidRPr="00D3284F">
        <w:rPr>
          <w:rFonts w:ascii="Tahoma" w:hAnsi="Tahoma" w:cs="Tahoma"/>
        </w:rPr>
        <w:t xml:space="preserve"> </w:t>
      </w:r>
      <w:r w:rsidR="00881A2E" w:rsidRPr="00D3284F">
        <w:rPr>
          <w:rFonts w:ascii="Tahoma" w:hAnsi="Tahoma" w:cs="Tahoma"/>
        </w:rPr>
        <w:t>le asiste derecho a que Colpensiones le reconozca la pensión de sobrevivientes</w:t>
      </w:r>
      <w:r w:rsidR="0008140C" w:rsidRPr="00D3284F">
        <w:rPr>
          <w:rFonts w:ascii="Tahoma" w:hAnsi="Tahoma" w:cs="Tahoma"/>
        </w:rPr>
        <w:t xml:space="preserve"> causada por el deceso</w:t>
      </w:r>
      <w:r w:rsidR="00881A2E" w:rsidRPr="00D3284F">
        <w:rPr>
          <w:rFonts w:ascii="Tahoma" w:hAnsi="Tahoma" w:cs="Tahoma"/>
        </w:rPr>
        <w:t xml:space="preserve"> del señor</w:t>
      </w:r>
      <w:r w:rsidR="00F828CD" w:rsidRPr="00D3284F">
        <w:rPr>
          <w:rFonts w:ascii="Tahoma" w:hAnsi="Tahoma" w:cs="Tahoma"/>
        </w:rPr>
        <w:t xml:space="preserve"> Carlos Alberto Toro </w:t>
      </w:r>
      <w:proofErr w:type="spellStart"/>
      <w:r w:rsidR="00F828CD" w:rsidRPr="00D3284F">
        <w:rPr>
          <w:rFonts w:ascii="Tahoma" w:hAnsi="Tahoma" w:cs="Tahoma"/>
        </w:rPr>
        <w:t>Amariles</w:t>
      </w:r>
      <w:proofErr w:type="spellEnd"/>
      <w:r w:rsidR="00881A2E" w:rsidRPr="00D3284F">
        <w:rPr>
          <w:rFonts w:ascii="Tahoma" w:hAnsi="Tahoma" w:cs="Tahoma"/>
        </w:rPr>
        <w:t>, en aplicación del principio de la condición más beneficiosa</w:t>
      </w:r>
      <w:r w:rsidR="00326228" w:rsidRPr="00D3284F">
        <w:rPr>
          <w:rFonts w:ascii="Tahoma" w:hAnsi="Tahoma" w:cs="Tahoma"/>
        </w:rPr>
        <w:t xml:space="preserve">. En consecuencia, procura que se ordene a dicha entidad que </w:t>
      </w:r>
      <w:r w:rsidR="005367FF" w:rsidRPr="00D3284F">
        <w:rPr>
          <w:rFonts w:ascii="Tahoma" w:hAnsi="Tahoma" w:cs="Tahoma"/>
        </w:rPr>
        <w:t>le ca</w:t>
      </w:r>
      <w:r w:rsidR="00326228" w:rsidRPr="00D3284F">
        <w:rPr>
          <w:rFonts w:ascii="Tahoma" w:hAnsi="Tahoma" w:cs="Tahoma"/>
        </w:rPr>
        <w:t xml:space="preserve">ncele la aludida prestación desde el </w:t>
      </w:r>
      <w:r w:rsidR="00F828CD" w:rsidRPr="00D3284F">
        <w:rPr>
          <w:rFonts w:ascii="Tahoma" w:hAnsi="Tahoma" w:cs="Tahoma"/>
        </w:rPr>
        <w:t>30 de noviembre de 2015</w:t>
      </w:r>
      <w:r w:rsidR="00974809" w:rsidRPr="00D3284F">
        <w:rPr>
          <w:rFonts w:ascii="Tahoma" w:hAnsi="Tahoma" w:cs="Tahoma"/>
        </w:rPr>
        <w:t xml:space="preserve">; </w:t>
      </w:r>
      <w:r w:rsidR="005367FF" w:rsidRPr="00D3284F">
        <w:rPr>
          <w:rFonts w:ascii="Tahoma" w:hAnsi="Tahoma" w:cs="Tahoma"/>
        </w:rPr>
        <w:t xml:space="preserve">más </w:t>
      </w:r>
      <w:r w:rsidR="00974809" w:rsidRPr="00D3284F">
        <w:rPr>
          <w:rFonts w:ascii="Tahoma" w:hAnsi="Tahoma" w:cs="Tahoma"/>
        </w:rPr>
        <w:t>los intereses de mora establecidos en el artículo 141 de la Ley 100 de 1993</w:t>
      </w:r>
      <w:r w:rsidR="00E1429F" w:rsidRPr="00D3284F">
        <w:rPr>
          <w:rFonts w:ascii="Tahoma" w:hAnsi="Tahoma" w:cs="Tahoma"/>
        </w:rPr>
        <w:t>, o la indexación</w:t>
      </w:r>
      <w:r w:rsidR="005367FF" w:rsidRPr="00D3284F">
        <w:rPr>
          <w:rFonts w:ascii="Tahoma" w:hAnsi="Tahoma" w:cs="Tahoma"/>
        </w:rPr>
        <w:t>;</w:t>
      </w:r>
      <w:r w:rsidR="00E1429F" w:rsidRPr="00D3284F">
        <w:rPr>
          <w:rFonts w:ascii="Tahoma" w:hAnsi="Tahoma" w:cs="Tahoma"/>
        </w:rPr>
        <w:t xml:space="preserve"> l</w:t>
      </w:r>
      <w:r w:rsidR="0008140C" w:rsidRPr="00D3284F">
        <w:rPr>
          <w:rFonts w:ascii="Tahoma" w:hAnsi="Tahoma" w:cs="Tahoma"/>
        </w:rPr>
        <w:t xml:space="preserve">os derechos </w:t>
      </w:r>
      <w:r w:rsidR="00E1429F" w:rsidRPr="00D3284F">
        <w:rPr>
          <w:rFonts w:ascii="Tahoma" w:hAnsi="Tahoma" w:cs="Tahoma"/>
        </w:rPr>
        <w:t xml:space="preserve">que resulten </w:t>
      </w:r>
      <w:r w:rsidR="004C34E6" w:rsidRPr="00D3284F">
        <w:rPr>
          <w:rFonts w:ascii="Tahoma" w:hAnsi="Tahoma" w:cs="Tahoma"/>
        </w:rPr>
        <w:t>probad</w:t>
      </w:r>
      <w:r w:rsidR="0008140C" w:rsidRPr="00D3284F">
        <w:rPr>
          <w:rFonts w:ascii="Tahoma" w:hAnsi="Tahoma" w:cs="Tahoma"/>
        </w:rPr>
        <w:t>o</w:t>
      </w:r>
      <w:r w:rsidR="004C34E6" w:rsidRPr="00D3284F">
        <w:rPr>
          <w:rFonts w:ascii="Tahoma" w:hAnsi="Tahoma" w:cs="Tahoma"/>
        </w:rPr>
        <w:t>s ultra y extra petita y</w:t>
      </w:r>
      <w:r w:rsidR="005367FF" w:rsidRPr="00D3284F">
        <w:rPr>
          <w:rFonts w:ascii="Tahoma" w:hAnsi="Tahoma" w:cs="Tahoma"/>
        </w:rPr>
        <w:t>,</w:t>
      </w:r>
      <w:r w:rsidR="004C34E6" w:rsidRPr="00D3284F">
        <w:rPr>
          <w:rFonts w:ascii="Tahoma" w:hAnsi="Tahoma" w:cs="Tahoma"/>
        </w:rPr>
        <w:t xml:space="preserve"> las costas procesales.</w:t>
      </w:r>
    </w:p>
    <w:p w:rsidR="00881A2E" w:rsidRPr="00D3284F" w:rsidRDefault="00881A2E" w:rsidP="000170C8">
      <w:pPr>
        <w:widowControl w:val="0"/>
        <w:tabs>
          <w:tab w:val="left" w:pos="561"/>
          <w:tab w:val="left" w:pos="709"/>
          <w:tab w:val="left" w:pos="1065"/>
        </w:tabs>
        <w:autoSpaceDE w:val="0"/>
        <w:autoSpaceDN w:val="0"/>
        <w:adjustRightInd w:val="0"/>
        <w:spacing w:line="288" w:lineRule="auto"/>
        <w:jc w:val="both"/>
        <w:rPr>
          <w:rFonts w:ascii="Tahoma" w:hAnsi="Tahoma" w:cs="Tahoma"/>
        </w:rPr>
      </w:pPr>
    </w:p>
    <w:p w:rsidR="0008140C" w:rsidRPr="00D3284F" w:rsidRDefault="00DE2563" w:rsidP="000170C8">
      <w:pPr>
        <w:widowControl w:val="0"/>
        <w:tabs>
          <w:tab w:val="left" w:pos="561"/>
          <w:tab w:val="left" w:pos="709"/>
          <w:tab w:val="left" w:pos="1065"/>
        </w:tabs>
        <w:autoSpaceDE w:val="0"/>
        <w:autoSpaceDN w:val="0"/>
        <w:adjustRightInd w:val="0"/>
        <w:spacing w:line="288" w:lineRule="auto"/>
        <w:jc w:val="both"/>
        <w:rPr>
          <w:rFonts w:ascii="Tahoma" w:hAnsi="Tahoma" w:cs="Tahoma"/>
        </w:rPr>
      </w:pPr>
      <w:r w:rsidRPr="00D3284F">
        <w:rPr>
          <w:rFonts w:ascii="Tahoma" w:hAnsi="Tahoma" w:cs="Tahoma"/>
        </w:rPr>
        <w:tab/>
        <w:t>Para fundar dichas pretensiones</w:t>
      </w:r>
      <w:r w:rsidR="00B818C7" w:rsidRPr="00D3284F">
        <w:rPr>
          <w:rFonts w:ascii="Tahoma" w:hAnsi="Tahoma" w:cs="Tahoma"/>
        </w:rPr>
        <w:t xml:space="preserve"> </w:t>
      </w:r>
      <w:r w:rsidRPr="00D3284F">
        <w:rPr>
          <w:rFonts w:ascii="Tahoma" w:hAnsi="Tahoma" w:cs="Tahoma"/>
        </w:rPr>
        <w:t>manifiesta que</w:t>
      </w:r>
      <w:r w:rsidR="0008140C" w:rsidRPr="00D3284F">
        <w:rPr>
          <w:rFonts w:ascii="Tahoma" w:hAnsi="Tahoma" w:cs="Tahoma"/>
        </w:rPr>
        <w:t xml:space="preserve"> mantuvo una relación amorosa</w:t>
      </w:r>
      <w:r w:rsidR="008B2AC6" w:rsidRPr="00D3284F">
        <w:rPr>
          <w:rFonts w:ascii="Tahoma" w:hAnsi="Tahoma" w:cs="Tahoma"/>
        </w:rPr>
        <w:t>, compartiendo hogar y cumpliendo funciones maritales con el señor Carlos Alberto Toro, por más de cinco años anteriores al fallecimiento de aquel, ocurrido el 30 de noviembre de 2015.</w:t>
      </w:r>
    </w:p>
    <w:p w:rsidR="008B2AC6" w:rsidRPr="00D3284F" w:rsidRDefault="008B2AC6" w:rsidP="000170C8">
      <w:pPr>
        <w:widowControl w:val="0"/>
        <w:tabs>
          <w:tab w:val="left" w:pos="561"/>
          <w:tab w:val="left" w:pos="709"/>
          <w:tab w:val="left" w:pos="1065"/>
        </w:tabs>
        <w:autoSpaceDE w:val="0"/>
        <w:autoSpaceDN w:val="0"/>
        <w:adjustRightInd w:val="0"/>
        <w:spacing w:line="288" w:lineRule="auto"/>
        <w:jc w:val="both"/>
        <w:rPr>
          <w:rFonts w:ascii="Tahoma" w:hAnsi="Tahoma" w:cs="Tahoma"/>
        </w:rPr>
      </w:pPr>
    </w:p>
    <w:p w:rsidR="008B2AC6" w:rsidRPr="00D3284F" w:rsidRDefault="008B2AC6" w:rsidP="000170C8">
      <w:pPr>
        <w:widowControl w:val="0"/>
        <w:tabs>
          <w:tab w:val="left" w:pos="561"/>
          <w:tab w:val="left" w:pos="709"/>
          <w:tab w:val="left" w:pos="1065"/>
        </w:tabs>
        <w:autoSpaceDE w:val="0"/>
        <w:autoSpaceDN w:val="0"/>
        <w:adjustRightInd w:val="0"/>
        <w:spacing w:line="288" w:lineRule="auto"/>
        <w:jc w:val="both"/>
        <w:rPr>
          <w:rFonts w:ascii="Tahoma" w:hAnsi="Tahoma" w:cs="Tahoma"/>
        </w:rPr>
      </w:pPr>
      <w:r w:rsidRPr="00D3284F">
        <w:rPr>
          <w:rFonts w:ascii="Tahoma" w:hAnsi="Tahoma" w:cs="Tahoma"/>
        </w:rPr>
        <w:tab/>
        <w:t>Afirma que</w:t>
      </w:r>
      <w:r w:rsidR="0085020E" w:rsidRPr="00D3284F">
        <w:rPr>
          <w:rFonts w:ascii="Tahoma" w:hAnsi="Tahoma" w:cs="Tahoma"/>
        </w:rPr>
        <w:t xml:space="preserve"> el 16 de diciembre de </w:t>
      </w:r>
      <w:r w:rsidR="00932EBE" w:rsidRPr="00D3284F">
        <w:rPr>
          <w:rFonts w:ascii="Tahoma" w:hAnsi="Tahoma" w:cs="Tahoma"/>
        </w:rPr>
        <w:t>la misma anualidad</w:t>
      </w:r>
      <w:r w:rsidR="0085020E" w:rsidRPr="00D3284F">
        <w:rPr>
          <w:rFonts w:ascii="Tahoma" w:hAnsi="Tahoma" w:cs="Tahoma"/>
        </w:rPr>
        <w:t xml:space="preserve"> solicitó ante Colpensiones la pensión de sobrevivientes, la cual le fue denegada a través de la Resolución </w:t>
      </w:r>
      <w:proofErr w:type="spellStart"/>
      <w:r w:rsidR="0085020E" w:rsidRPr="00D3284F">
        <w:rPr>
          <w:rFonts w:ascii="Tahoma" w:hAnsi="Tahoma" w:cs="Tahoma"/>
        </w:rPr>
        <w:t>GNR</w:t>
      </w:r>
      <w:proofErr w:type="spellEnd"/>
      <w:r w:rsidR="0085020E" w:rsidRPr="00D3284F">
        <w:rPr>
          <w:rFonts w:ascii="Tahoma" w:hAnsi="Tahoma" w:cs="Tahoma"/>
        </w:rPr>
        <w:t xml:space="preserve"> 72858 del 8 de marzo de 2016</w:t>
      </w:r>
      <w:r w:rsidR="00932EBE" w:rsidRPr="00D3284F">
        <w:rPr>
          <w:rFonts w:ascii="Tahoma" w:hAnsi="Tahoma" w:cs="Tahoma"/>
        </w:rPr>
        <w:t xml:space="preserve">, bajo el argumento de que el causante no contaba con 50 semanas en los </w:t>
      </w:r>
      <w:r w:rsidR="00332D8C" w:rsidRPr="00D3284F">
        <w:rPr>
          <w:rFonts w:ascii="Tahoma" w:hAnsi="Tahoma" w:cs="Tahoma"/>
        </w:rPr>
        <w:t xml:space="preserve">tres </w:t>
      </w:r>
      <w:r w:rsidR="00932EBE" w:rsidRPr="00D3284F">
        <w:rPr>
          <w:rFonts w:ascii="Tahoma" w:hAnsi="Tahoma" w:cs="Tahoma"/>
        </w:rPr>
        <w:t>años anteriores a su fallecimiento.</w:t>
      </w:r>
    </w:p>
    <w:p w:rsidR="0008140C" w:rsidRPr="00D3284F" w:rsidRDefault="0008140C" w:rsidP="000170C8">
      <w:pPr>
        <w:widowControl w:val="0"/>
        <w:tabs>
          <w:tab w:val="left" w:pos="561"/>
          <w:tab w:val="left" w:pos="709"/>
          <w:tab w:val="left" w:pos="1065"/>
        </w:tabs>
        <w:autoSpaceDE w:val="0"/>
        <w:autoSpaceDN w:val="0"/>
        <w:adjustRightInd w:val="0"/>
        <w:spacing w:line="288" w:lineRule="auto"/>
        <w:jc w:val="both"/>
        <w:rPr>
          <w:rFonts w:ascii="Tahoma" w:hAnsi="Tahoma" w:cs="Tahoma"/>
        </w:rPr>
      </w:pPr>
    </w:p>
    <w:p w:rsidR="00D04731" w:rsidRPr="00D3284F" w:rsidRDefault="00D04731" w:rsidP="000170C8">
      <w:pPr>
        <w:widowControl w:val="0"/>
        <w:tabs>
          <w:tab w:val="left" w:pos="561"/>
          <w:tab w:val="left" w:pos="709"/>
          <w:tab w:val="left" w:pos="1065"/>
        </w:tabs>
        <w:autoSpaceDE w:val="0"/>
        <w:autoSpaceDN w:val="0"/>
        <w:adjustRightInd w:val="0"/>
        <w:spacing w:line="288" w:lineRule="auto"/>
        <w:jc w:val="both"/>
        <w:rPr>
          <w:rFonts w:ascii="Tahoma" w:hAnsi="Tahoma" w:cs="Tahoma"/>
        </w:rPr>
      </w:pPr>
      <w:r w:rsidRPr="00D3284F">
        <w:rPr>
          <w:rFonts w:ascii="Tahoma" w:hAnsi="Tahoma" w:cs="Tahoma"/>
        </w:rPr>
        <w:tab/>
        <w:t>Refiere que su compañero tenía 38,58 semanas cotizadas en los 3 años anteriores a su óbito y que en el año anterior a la entrada en vigencia</w:t>
      </w:r>
      <w:r w:rsidR="00204FBC" w:rsidRPr="00D3284F">
        <w:rPr>
          <w:rFonts w:ascii="Tahoma" w:hAnsi="Tahoma" w:cs="Tahoma"/>
        </w:rPr>
        <w:t xml:space="preserve"> la Ley 797 de 2003 tenía 51,43 semanas</w:t>
      </w:r>
      <w:r w:rsidR="00F82617" w:rsidRPr="00D3284F">
        <w:rPr>
          <w:rFonts w:ascii="Tahoma" w:hAnsi="Tahoma" w:cs="Tahoma"/>
        </w:rPr>
        <w:t>; además, en toda su vida laboral cotizó más de 300 semanas al régimen de prima media.</w:t>
      </w:r>
    </w:p>
    <w:p w:rsidR="00DE2563" w:rsidRPr="00D3284F" w:rsidRDefault="00DE2563" w:rsidP="000170C8">
      <w:pPr>
        <w:widowControl w:val="0"/>
        <w:autoSpaceDE w:val="0"/>
        <w:autoSpaceDN w:val="0"/>
        <w:adjustRightInd w:val="0"/>
        <w:spacing w:line="288" w:lineRule="auto"/>
        <w:ind w:firstLine="708"/>
        <w:jc w:val="both"/>
        <w:rPr>
          <w:rFonts w:ascii="Tahoma" w:hAnsi="Tahoma" w:cs="Tahoma"/>
        </w:rPr>
      </w:pPr>
    </w:p>
    <w:p w:rsidR="00747851" w:rsidRPr="00D3284F" w:rsidRDefault="00DE2563" w:rsidP="000170C8">
      <w:pPr>
        <w:widowControl w:val="0"/>
        <w:autoSpaceDE w:val="0"/>
        <w:autoSpaceDN w:val="0"/>
        <w:adjustRightInd w:val="0"/>
        <w:spacing w:line="288" w:lineRule="auto"/>
        <w:ind w:firstLine="708"/>
        <w:jc w:val="both"/>
        <w:rPr>
          <w:rFonts w:ascii="Tahoma" w:hAnsi="Tahoma" w:cs="Tahoma"/>
        </w:rPr>
      </w:pPr>
      <w:r w:rsidRPr="00D3284F">
        <w:rPr>
          <w:rFonts w:ascii="Tahoma" w:hAnsi="Tahoma" w:cs="Tahoma"/>
        </w:rPr>
        <w:t>Colpensiones aceptó los hechos de la demanda</w:t>
      </w:r>
      <w:r w:rsidR="00CC7352" w:rsidRPr="00D3284F">
        <w:rPr>
          <w:rFonts w:ascii="Tahoma" w:hAnsi="Tahoma" w:cs="Tahoma"/>
        </w:rPr>
        <w:t xml:space="preserve"> relacionados con la fecha de la muerte del señor </w:t>
      </w:r>
      <w:r w:rsidR="00747851" w:rsidRPr="00D3284F">
        <w:rPr>
          <w:rFonts w:ascii="Tahoma" w:hAnsi="Tahoma" w:cs="Tahoma"/>
        </w:rPr>
        <w:t xml:space="preserve">Toro </w:t>
      </w:r>
      <w:proofErr w:type="spellStart"/>
      <w:r w:rsidR="00747851" w:rsidRPr="00D3284F">
        <w:rPr>
          <w:rFonts w:ascii="Tahoma" w:hAnsi="Tahoma" w:cs="Tahoma"/>
        </w:rPr>
        <w:t>Amariles</w:t>
      </w:r>
      <w:proofErr w:type="spellEnd"/>
      <w:r w:rsidR="00CC7352" w:rsidRPr="00D3284F">
        <w:rPr>
          <w:rFonts w:ascii="Tahoma" w:hAnsi="Tahoma" w:cs="Tahoma"/>
        </w:rPr>
        <w:t>; l</w:t>
      </w:r>
      <w:r w:rsidR="00747851" w:rsidRPr="00D3284F">
        <w:rPr>
          <w:rFonts w:ascii="Tahoma" w:hAnsi="Tahoma" w:cs="Tahoma"/>
        </w:rPr>
        <w:t xml:space="preserve">a solicitud pensional presentada por la demandante el día 16 de diciembre de 2015 y la negativa contenida en la Resolución </w:t>
      </w:r>
      <w:proofErr w:type="spellStart"/>
      <w:r w:rsidR="00747851" w:rsidRPr="00D3284F">
        <w:rPr>
          <w:rFonts w:ascii="Tahoma" w:hAnsi="Tahoma" w:cs="Tahoma"/>
        </w:rPr>
        <w:t>GNR</w:t>
      </w:r>
      <w:proofErr w:type="spellEnd"/>
      <w:r w:rsidR="00747851" w:rsidRPr="00D3284F">
        <w:rPr>
          <w:rFonts w:ascii="Tahoma" w:hAnsi="Tahoma" w:cs="Tahoma"/>
        </w:rPr>
        <w:t xml:space="preserve"> 72858 de 2016; frente a los demás hechos manifestó que no le constaban.</w:t>
      </w:r>
    </w:p>
    <w:p w:rsidR="00747851" w:rsidRPr="00D3284F" w:rsidRDefault="00747851" w:rsidP="000170C8">
      <w:pPr>
        <w:widowControl w:val="0"/>
        <w:autoSpaceDE w:val="0"/>
        <w:autoSpaceDN w:val="0"/>
        <w:adjustRightInd w:val="0"/>
        <w:spacing w:line="288" w:lineRule="auto"/>
        <w:ind w:firstLine="708"/>
        <w:jc w:val="both"/>
        <w:rPr>
          <w:rFonts w:ascii="Tahoma" w:hAnsi="Tahoma" w:cs="Tahoma"/>
        </w:rPr>
      </w:pPr>
    </w:p>
    <w:p w:rsidR="00747851" w:rsidRPr="00D3284F" w:rsidRDefault="00747851" w:rsidP="000170C8">
      <w:pPr>
        <w:widowControl w:val="0"/>
        <w:autoSpaceDE w:val="0"/>
        <w:autoSpaceDN w:val="0"/>
        <w:adjustRightInd w:val="0"/>
        <w:spacing w:line="288" w:lineRule="auto"/>
        <w:ind w:firstLine="708"/>
        <w:jc w:val="both"/>
        <w:rPr>
          <w:rFonts w:ascii="Tahoma" w:hAnsi="Tahoma" w:cs="Tahoma"/>
        </w:rPr>
      </w:pPr>
      <w:r w:rsidRPr="00D3284F">
        <w:rPr>
          <w:rFonts w:ascii="Tahoma" w:hAnsi="Tahoma" w:cs="Tahoma"/>
        </w:rPr>
        <w:t>Se opuso seguidamente a las pretensiones de la demanda proponiendo las excepciones de mérito que denominó “Inexistencia de la obligación y cobro de lo no debido”; “Buena fe”; “Imposibilidad jurídica para cumplir con las obligaciones pretendidas”; “Prescripción” y la “Innominada”.</w:t>
      </w:r>
    </w:p>
    <w:p w:rsidR="00747851" w:rsidRPr="00D3284F" w:rsidRDefault="00747851" w:rsidP="000170C8">
      <w:pPr>
        <w:widowControl w:val="0"/>
        <w:autoSpaceDE w:val="0"/>
        <w:autoSpaceDN w:val="0"/>
        <w:adjustRightInd w:val="0"/>
        <w:spacing w:line="288" w:lineRule="auto"/>
        <w:ind w:firstLine="708"/>
        <w:jc w:val="both"/>
        <w:rPr>
          <w:rFonts w:ascii="Tahoma" w:hAnsi="Tahoma" w:cs="Tahoma"/>
        </w:rPr>
      </w:pPr>
    </w:p>
    <w:p w:rsidR="00DE2563" w:rsidRPr="00D3284F" w:rsidRDefault="00DE2563" w:rsidP="000170C8">
      <w:pPr>
        <w:widowControl w:val="0"/>
        <w:numPr>
          <w:ilvl w:val="0"/>
          <w:numId w:val="1"/>
        </w:numPr>
        <w:tabs>
          <w:tab w:val="clear" w:pos="1080"/>
          <w:tab w:val="num" w:pos="561"/>
        </w:tabs>
        <w:autoSpaceDE w:val="0"/>
        <w:autoSpaceDN w:val="0"/>
        <w:adjustRightInd w:val="0"/>
        <w:spacing w:line="288" w:lineRule="auto"/>
        <w:ind w:left="0" w:firstLine="0"/>
        <w:jc w:val="center"/>
        <w:rPr>
          <w:rFonts w:ascii="Tahoma" w:hAnsi="Tahoma" w:cs="Tahoma"/>
          <w:b/>
          <w:caps/>
        </w:rPr>
      </w:pPr>
      <w:r w:rsidRPr="00D3284F">
        <w:rPr>
          <w:rFonts w:ascii="Tahoma" w:hAnsi="Tahoma" w:cs="Tahoma"/>
          <w:b/>
        </w:rPr>
        <w:t>La sentencia de primera instancia</w:t>
      </w:r>
    </w:p>
    <w:p w:rsidR="00DE2563" w:rsidRPr="00D3284F" w:rsidRDefault="00DE2563" w:rsidP="000170C8">
      <w:pPr>
        <w:widowControl w:val="0"/>
        <w:autoSpaceDE w:val="0"/>
        <w:autoSpaceDN w:val="0"/>
        <w:adjustRightInd w:val="0"/>
        <w:spacing w:line="288" w:lineRule="auto"/>
        <w:jc w:val="center"/>
        <w:rPr>
          <w:rFonts w:ascii="Tahoma" w:hAnsi="Tahoma" w:cs="Tahoma"/>
          <w:b/>
        </w:rPr>
      </w:pPr>
    </w:p>
    <w:p w:rsidR="0025244C" w:rsidRPr="00D3284F" w:rsidRDefault="00DE2563" w:rsidP="000170C8">
      <w:pPr>
        <w:tabs>
          <w:tab w:val="left" w:pos="748"/>
        </w:tabs>
        <w:spacing w:line="288" w:lineRule="auto"/>
        <w:jc w:val="both"/>
        <w:rPr>
          <w:rFonts w:ascii="Tahoma" w:hAnsi="Tahoma" w:cs="Tahoma"/>
        </w:rPr>
      </w:pPr>
      <w:r w:rsidRPr="00D3284F">
        <w:rPr>
          <w:rFonts w:ascii="Tahoma" w:hAnsi="Tahoma" w:cs="Tahoma"/>
        </w:rPr>
        <w:tab/>
        <w:t xml:space="preserve">La Jueza de conocimiento </w:t>
      </w:r>
      <w:r w:rsidR="0025244C" w:rsidRPr="00D3284F">
        <w:rPr>
          <w:rFonts w:ascii="Tahoma" w:hAnsi="Tahoma" w:cs="Tahoma"/>
        </w:rPr>
        <w:t xml:space="preserve">absolvió a Colpensiones de la totalidad de las pretensiones incoadas en su contra por la señora </w:t>
      </w:r>
      <w:proofErr w:type="spellStart"/>
      <w:r w:rsidR="0025244C" w:rsidRPr="00D3284F">
        <w:rPr>
          <w:rFonts w:ascii="Tahoma" w:hAnsi="Tahoma" w:cs="Tahoma"/>
        </w:rPr>
        <w:t>Jeny</w:t>
      </w:r>
      <w:proofErr w:type="spellEnd"/>
      <w:r w:rsidR="0025244C" w:rsidRPr="00D3284F">
        <w:rPr>
          <w:rFonts w:ascii="Tahoma" w:hAnsi="Tahoma" w:cs="Tahoma"/>
        </w:rPr>
        <w:t xml:space="preserve"> Ángel </w:t>
      </w:r>
      <w:proofErr w:type="spellStart"/>
      <w:r w:rsidR="0025244C" w:rsidRPr="00D3284F">
        <w:rPr>
          <w:rFonts w:ascii="Tahoma" w:hAnsi="Tahoma" w:cs="Tahoma"/>
        </w:rPr>
        <w:t>Loiza</w:t>
      </w:r>
      <w:proofErr w:type="spellEnd"/>
      <w:r w:rsidR="0025244C" w:rsidRPr="00D3284F">
        <w:rPr>
          <w:rFonts w:ascii="Tahoma" w:hAnsi="Tahoma" w:cs="Tahoma"/>
        </w:rPr>
        <w:t>, a quien condenó a</w:t>
      </w:r>
      <w:r w:rsidR="007577BC" w:rsidRPr="00D3284F">
        <w:rPr>
          <w:rFonts w:ascii="Tahoma" w:hAnsi="Tahoma" w:cs="Tahoma"/>
        </w:rPr>
        <w:t>l pago de las costas procesales.</w:t>
      </w:r>
    </w:p>
    <w:p w:rsidR="0025244C" w:rsidRPr="00D3284F" w:rsidRDefault="0025244C" w:rsidP="000170C8">
      <w:pPr>
        <w:tabs>
          <w:tab w:val="left" w:pos="748"/>
        </w:tabs>
        <w:spacing w:line="288" w:lineRule="auto"/>
        <w:jc w:val="both"/>
        <w:rPr>
          <w:rFonts w:ascii="Tahoma" w:hAnsi="Tahoma" w:cs="Tahoma"/>
        </w:rPr>
      </w:pPr>
    </w:p>
    <w:p w:rsidR="0025244C" w:rsidRPr="00D3284F" w:rsidRDefault="0025244C" w:rsidP="000170C8">
      <w:pPr>
        <w:tabs>
          <w:tab w:val="left" w:pos="748"/>
        </w:tabs>
        <w:spacing w:line="288" w:lineRule="auto"/>
        <w:jc w:val="both"/>
        <w:rPr>
          <w:rFonts w:ascii="Tahoma" w:hAnsi="Tahoma" w:cs="Tahoma"/>
        </w:rPr>
      </w:pPr>
      <w:r w:rsidRPr="00D3284F">
        <w:rPr>
          <w:rFonts w:ascii="Tahoma" w:hAnsi="Tahoma" w:cs="Tahoma"/>
        </w:rPr>
        <w:tab/>
        <w:t xml:space="preserve">Para llegar a tal determinación la A-quo consideró, en síntesis, que a pesar de que se encontraba demostrado que la demandante convivió con el señor Carlos Toro </w:t>
      </w:r>
      <w:proofErr w:type="spellStart"/>
      <w:r w:rsidRPr="00D3284F">
        <w:rPr>
          <w:rFonts w:ascii="Tahoma" w:hAnsi="Tahoma" w:cs="Tahoma"/>
        </w:rPr>
        <w:t>Amariles</w:t>
      </w:r>
      <w:proofErr w:type="spellEnd"/>
      <w:r w:rsidRPr="00D3284F">
        <w:rPr>
          <w:rFonts w:ascii="Tahoma" w:hAnsi="Tahoma" w:cs="Tahoma"/>
        </w:rPr>
        <w:t xml:space="preserve"> en los cinco años anteriores al fallecimiento de este, en calidad de compañera permanente, </w:t>
      </w:r>
      <w:r w:rsidR="0040487E" w:rsidRPr="00D3284F">
        <w:rPr>
          <w:rFonts w:ascii="Tahoma" w:hAnsi="Tahoma" w:cs="Tahoma"/>
        </w:rPr>
        <w:t xml:space="preserve">no era posible concederle la pensión de sobrevivientes en razón a que él no dejó causada dicha prestación, pues carecía de las 50 semanas exigidas en la Ley 797 de 2003 en </w:t>
      </w:r>
      <w:r w:rsidR="007577BC" w:rsidRPr="00D3284F">
        <w:rPr>
          <w:rFonts w:ascii="Tahoma" w:hAnsi="Tahoma" w:cs="Tahoma"/>
        </w:rPr>
        <w:t xml:space="preserve">los tres </w:t>
      </w:r>
      <w:r w:rsidR="0040487E" w:rsidRPr="00D3284F">
        <w:rPr>
          <w:rFonts w:ascii="Tahoma" w:hAnsi="Tahoma" w:cs="Tahoma"/>
        </w:rPr>
        <w:t>año</w:t>
      </w:r>
      <w:r w:rsidR="007577BC" w:rsidRPr="00D3284F">
        <w:rPr>
          <w:rFonts w:ascii="Tahoma" w:hAnsi="Tahoma" w:cs="Tahoma"/>
        </w:rPr>
        <w:t>s</w:t>
      </w:r>
      <w:r w:rsidR="0040487E" w:rsidRPr="00D3284F">
        <w:rPr>
          <w:rFonts w:ascii="Tahoma" w:hAnsi="Tahoma" w:cs="Tahoma"/>
        </w:rPr>
        <w:t xml:space="preserve"> anterior</w:t>
      </w:r>
      <w:r w:rsidR="007577BC" w:rsidRPr="00D3284F">
        <w:rPr>
          <w:rFonts w:ascii="Tahoma" w:hAnsi="Tahoma" w:cs="Tahoma"/>
        </w:rPr>
        <w:t>es</w:t>
      </w:r>
      <w:r w:rsidR="0040487E" w:rsidRPr="00D3284F">
        <w:rPr>
          <w:rFonts w:ascii="Tahoma" w:hAnsi="Tahoma" w:cs="Tahoma"/>
        </w:rPr>
        <w:t xml:space="preserve"> a su deceso y, además, al no haber fallecido en los tres años siguientes a la entrada </w:t>
      </w:r>
      <w:r w:rsidR="00A16C0B" w:rsidRPr="00D3284F">
        <w:rPr>
          <w:rFonts w:ascii="Tahoma" w:hAnsi="Tahoma" w:cs="Tahoma"/>
        </w:rPr>
        <w:t xml:space="preserve">en vigencia de dicha normativa no era posible remitirse al contenido de la Ley 100 de 1993, en su redacción original, en virtud del principio de la condición más beneficiosa, </w:t>
      </w:r>
      <w:r w:rsidR="007577BC" w:rsidRPr="00D3284F">
        <w:rPr>
          <w:rFonts w:ascii="Tahoma" w:hAnsi="Tahoma" w:cs="Tahoma"/>
        </w:rPr>
        <w:t xml:space="preserve">de </w:t>
      </w:r>
      <w:r w:rsidR="00A16C0B" w:rsidRPr="00D3284F">
        <w:rPr>
          <w:rFonts w:ascii="Tahoma" w:hAnsi="Tahoma" w:cs="Tahoma"/>
        </w:rPr>
        <w:t>acuerdo con la jurisprudencia de la Sala de Casación Laboral de la Corte Suprema de Justicia, entidad que además ha indicado que no es dable realizar una búsqueda histórica de normas hasta encontrar una que se ajuste a los presupuestos de cada caso concreto.</w:t>
      </w:r>
    </w:p>
    <w:p w:rsidR="002C2D6E" w:rsidRPr="00D3284F" w:rsidRDefault="002C2D6E" w:rsidP="000170C8">
      <w:pPr>
        <w:tabs>
          <w:tab w:val="left" w:pos="748"/>
        </w:tabs>
        <w:spacing w:line="288" w:lineRule="auto"/>
        <w:jc w:val="both"/>
        <w:rPr>
          <w:rFonts w:ascii="Tahoma" w:hAnsi="Tahoma" w:cs="Tahoma"/>
        </w:rPr>
      </w:pPr>
    </w:p>
    <w:p w:rsidR="00DE2563" w:rsidRPr="00D3284F" w:rsidRDefault="00512171" w:rsidP="000170C8">
      <w:pPr>
        <w:widowControl w:val="0"/>
        <w:numPr>
          <w:ilvl w:val="0"/>
          <w:numId w:val="1"/>
        </w:numPr>
        <w:tabs>
          <w:tab w:val="clear" w:pos="1080"/>
          <w:tab w:val="num" w:pos="374"/>
        </w:tabs>
        <w:autoSpaceDE w:val="0"/>
        <w:autoSpaceDN w:val="0"/>
        <w:adjustRightInd w:val="0"/>
        <w:spacing w:line="288" w:lineRule="auto"/>
        <w:ind w:left="0" w:firstLine="0"/>
        <w:jc w:val="center"/>
        <w:rPr>
          <w:rFonts w:ascii="Tahoma" w:hAnsi="Tahoma" w:cs="Tahoma"/>
          <w:b/>
        </w:rPr>
      </w:pPr>
      <w:r w:rsidRPr="00D3284F">
        <w:rPr>
          <w:rFonts w:ascii="Tahoma" w:hAnsi="Tahoma" w:cs="Tahoma"/>
          <w:b/>
        </w:rPr>
        <w:t>Recurso de apelación</w:t>
      </w:r>
    </w:p>
    <w:p w:rsidR="00DE2563" w:rsidRPr="00D3284F" w:rsidRDefault="00DE2563" w:rsidP="000170C8">
      <w:pPr>
        <w:pStyle w:val="Sinespaciado"/>
        <w:spacing w:line="288" w:lineRule="auto"/>
        <w:rPr>
          <w:rFonts w:ascii="Tahoma" w:hAnsi="Tahoma" w:cs="Tahoma"/>
        </w:rPr>
      </w:pPr>
    </w:p>
    <w:p w:rsidR="00512171" w:rsidRPr="00D3284F" w:rsidRDefault="00512171" w:rsidP="000170C8">
      <w:pPr>
        <w:pStyle w:val="Sangradetextonormal"/>
        <w:spacing w:line="288" w:lineRule="auto"/>
        <w:ind w:firstLine="561"/>
      </w:pPr>
      <w:r w:rsidRPr="00D3284F">
        <w:t xml:space="preserve">La apoderada judicial de la demandante apeló la decisión alegando que debía concederse la pensión de sobrevivientes a su prohijada en virtud del principio de la condición más beneficiosa, pues de conformidad con el precedente </w:t>
      </w:r>
      <w:r w:rsidR="007577BC" w:rsidRPr="00D3284F">
        <w:t>sentado por</w:t>
      </w:r>
      <w:r w:rsidRPr="00D3284F">
        <w:t xml:space="preserve"> </w:t>
      </w:r>
      <w:r w:rsidR="00FD65FF" w:rsidRPr="00D3284F">
        <w:t>la Corte Constitucional en la sentencia SU-005 de 2018, la regla de temporalidad establecida por la Corte Suprema de Justicia resulta desproporcionada y contraria a los derechos a la seguridad social, al mínimo vital y a la vida en condiciones dignas.</w:t>
      </w:r>
    </w:p>
    <w:p w:rsidR="00F828CD" w:rsidRPr="00D3284F" w:rsidRDefault="00F828CD" w:rsidP="000170C8">
      <w:pPr>
        <w:widowControl w:val="0"/>
        <w:autoSpaceDE w:val="0"/>
        <w:autoSpaceDN w:val="0"/>
        <w:adjustRightInd w:val="0"/>
        <w:spacing w:line="288" w:lineRule="auto"/>
        <w:ind w:firstLine="708"/>
        <w:jc w:val="both"/>
        <w:rPr>
          <w:rFonts w:ascii="Tahoma" w:hAnsi="Tahoma" w:cs="Tahoma"/>
          <w:caps/>
        </w:rPr>
      </w:pPr>
    </w:p>
    <w:p w:rsidR="00794C40" w:rsidRPr="00D3284F" w:rsidRDefault="00794C40" w:rsidP="000170C8">
      <w:pPr>
        <w:widowControl w:val="0"/>
        <w:autoSpaceDE w:val="0"/>
        <w:autoSpaceDN w:val="0"/>
        <w:adjustRightInd w:val="0"/>
        <w:spacing w:line="288" w:lineRule="auto"/>
        <w:jc w:val="center"/>
        <w:rPr>
          <w:rFonts w:ascii="Tahoma" w:hAnsi="Tahoma" w:cs="Tahoma"/>
          <w:b/>
          <w:caps/>
        </w:rPr>
      </w:pPr>
      <w:r w:rsidRPr="00D3284F">
        <w:rPr>
          <w:rFonts w:ascii="Tahoma" w:hAnsi="Tahoma" w:cs="Tahoma"/>
          <w:b/>
        </w:rPr>
        <w:lastRenderedPageBreak/>
        <w:t>Alegatos de conclusión</w:t>
      </w:r>
    </w:p>
    <w:p w:rsidR="00794C40" w:rsidRPr="00D3284F" w:rsidRDefault="00794C40" w:rsidP="000170C8">
      <w:pPr>
        <w:widowControl w:val="0"/>
        <w:autoSpaceDE w:val="0"/>
        <w:autoSpaceDN w:val="0"/>
        <w:adjustRightInd w:val="0"/>
        <w:spacing w:line="288" w:lineRule="auto"/>
        <w:jc w:val="both"/>
        <w:rPr>
          <w:rFonts w:ascii="Tahoma" w:hAnsi="Tahoma" w:cs="Tahoma"/>
        </w:rPr>
      </w:pPr>
    </w:p>
    <w:p w:rsidR="00794C40" w:rsidRPr="00D3284F" w:rsidRDefault="00794C40" w:rsidP="000170C8">
      <w:pPr>
        <w:spacing w:line="288" w:lineRule="auto"/>
        <w:ind w:firstLine="708"/>
        <w:jc w:val="both"/>
        <w:rPr>
          <w:rFonts w:ascii="Tahoma" w:hAnsi="Tahoma" w:cs="Tahoma"/>
          <w:lang w:val="es-ES_tradnl"/>
        </w:rPr>
      </w:pPr>
      <w:r w:rsidRPr="00D3284F">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794C40" w:rsidRPr="00D3284F" w:rsidRDefault="00794C40" w:rsidP="000170C8">
      <w:pPr>
        <w:widowControl w:val="0"/>
        <w:autoSpaceDE w:val="0"/>
        <w:autoSpaceDN w:val="0"/>
        <w:adjustRightInd w:val="0"/>
        <w:spacing w:line="288" w:lineRule="auto"/>
        <w:ind w:firstLine="708"/>
        <w:jc w:val="both"/>
        <w:rPr>
          <w:rFonts w:ascii="Tahoma" w:hAnsi="Tahoma" w:cs="Tahoma"/>
          <w:caps/>
        </w:rPr>
      </w:pPr>
    </w:p>
    <w:p w:rsidR="00F828CD" w:rsidRPr="00D3284F" w:rsidRDefault="00F828CD" w:rsidP="000170C8">
      <w:pPr>
        <w:widowControl w:val="0"/>
        <w:autoSpaceDE w:val="0"/>
        <w:autoSpaceDN w:val="0"/>
        <w:adjustRightInd w:val="0"/>
        <w:spacing w:line="288" w:lineRule="auto"/>
        <w:jc w:val="center"/>
        <w:rPr>
          <w:rFonts w:ascii="Tahoma" w:hAnsi="Tahoma" w:cs="Tahoma"/>
          <w:b/>
          <w:caps/>
        </w:rPr>
      </w:pPr>
      <w:r w:rsidRPr="00D3284F">
        <w:rPr>
          <w:rFonts w:ascii="Tahoma" w:hAnsi="Tahoma" w:cs="Tahoma"/>
          <w:b/>
          <w:caps/>
        </w:rPr>
        <w:t>RECESO</w:t>
      </w:r>
    </w:p>
    <w:p w:rsidR="00F828CD" w:rsidRPr="00D3284F" w:rsidRDefault="00F828CD" w:rsidP="000170C8">
      <w:pPr>
        <w:widowControl w:val="0"/>
        <w:autoSpaceDE w:val="0"/>
        <w:autoSpaceDN w:val="0"/>
        <w:adjustRightInd w:val="0"/>
        <w:spacing w:line="288" w:lineRule="auto"/>
        <w:ind w:firstLine="708"/>
        <w:jc w:val="center"/>
        <w:rPr>
          <w:rFonts w:ascii="Tahoma" w:hAnsi="Tahoma" w:cs="Tahoma"/>
          <w:b/>
          <w:caps/>
        </w:rPr>
      </w:pPr>
    </w:p>
    <w:p w:rsidR="00F828CD" w:rsidRPr="00D3284F" w:rsidRDefault="00F828CD" w:rsidP="000170C8">
      <w:pPr>
        <w:widowControl w:val="0"/>
        <w:autoSpaceDE w:val="0"/>
        <w:autoSpaceDN w:val="0"/>
        <w:adjustRightInd w:val="0"/>
        <w:spacing w:line="288" w:lineRule="auto"/>
        <w:jc w:val="both"/>
        <w:rPr>
          <w:rFonts w:ascii="Tahoma" w:hAnsi="Tahoma" w:cs="Tahoma"/>
          <w:b/>
          <w:caps/>
        </w:rPr>
      </w:pPr>
      <w:r w:rsidRPr="00D3284F">
        <w:rPr>
          <w:rFonts w:ascii="Tahoma" w:hAnsi="Tahoma" w:cs="Tahoma"/>
          <w:b/>
          <w:caps/>
        </w:rPr>
        <w:t xml:space="preserve">se deja CONSTANCIA DE QUE NO SE AVALÓ EL PROYECTO Y se CEDE USO DE PALABRA A LA DRA. OLGA LUCIA HOYOS, </w:t>
      </w:r>
      <w:r w:rsidR="00001C4E" w:rsidRPr="00D3284F">
        <w:rPr>
          <w:rFonts w:ascii="Tahoma" w:hAnsi="Tahoma" w:cs="Tahoma"/>
          <w:b/>
          <w:caps/>
        </w:rPr>
        <w:t xml:space="preserve">A </w:t>
      </w:r>
      <w:r w:rsidRPr="00D3284F">
        <w:rPr>
          <w:rFonts w:ascii="Tahoma" w:hAnsi="Tahoma" w:cs="Tahoma"/>
          <w:b/>
          <w:caps/>
        </w:rPr>
        <w:t>QUIEN</w:t>
      </w:r>
      <w:r w:rsidR="00001C4E" w:rsidRPr="00D3284F">
        <w:rPr>
          <w:rFonts w:ascii="Tahoma" w:hAnsi="Tahoma" w:cs="Tahoma"/>
          <w:b/>
          <w:caps/>
        </w:rPr>
        <w:t>,</w:t>
      </w:r>
      <w:r w:rsidRPr="00D3284F">
        <w:rPr>
          <w:rFonts w:ascii="Tahoma" w:hAnsi="Tahoma" w:cs="Tahoma"/>
          <w:b/>
          <w:caps/>
        </w:rPr>
        <w:t xml:space="preserve"> POR SEGUIR EN TURNO</w:t>
      </w:r>
      <w:r w:rsidR="00001C4E" w:rsidRPr="00D3284F">
        <w:rPr>
          <w:rFonts w:ascii="Tahoma" w:hAnsi="Tahoma" w:cs="Tahoma"/>
          <w:b/>
          <w:caps/>
        </w:rPr>
        <w:t>,</w:t>
      </w:r>
      <w:r w:rsidRPr="00D3284F">
        <w:rPr>
          <w:rFonts w:ascii="Tahoma" w:hAnsi="Tahoma" w:cs="Tahoma"/>
          <w:b/>
          <w:caps/>
        </w:rPr>
        <w:t xml:space="preserve"> LE CORRESPONDE EMITIR LA SENTENCIA CON LA TESIS MAYORITARIA</w:t>
      </w:r>
    </w:p>
    <w:p w:rsidR="008A3148" w:rsidRPr="00D3284F" w:rsidRDefault="008A3148" w:rsidP="000170C8">
      <w:pPr>
        <w:shd w:val="clear" w:color="auto" w:fill="FFFFFF"/>
        <w:spacing w:line="288" w:lineRule="auto"/>
        <w:rPr>
          <w:rFonts w:ascii="Tahoma" w:hAnsi="Tahoma" w:cs="Tahoma"/>
          <w:b/>
        </w:rPr>
      </w:pPr>
    </w:p>
    <w:p w:rsidR="008A3148" w:rsidRPr="00D3284F" w:rsidRDefault="008A3148" w:rsidP="000170C8">
      <w:pPr>
        <w:shd w:val="clear" w:color="auto" w:fill="FFFFFF"/>
        <w:spacing w:line="288" w:lineRule="auto"/>
        <w:jc w:val="center"/>
        <w:rPr>
          <w:rFonts w:ascii="Tahoma" w:hAnsi="Tahoma" w:cs="Tahoma"/>
          <w:b/>
        </w:rPr>
      </w:pPr>
      <w:r w:rsidRPr="00D3284F">
        <w:rPr>
          <w:rFonts w:ascii="Tahoma" w:hAnsi="Tahoma" w:cs="Tahoma"/>
          <w:b/>
        </w:rPr>
        <w:t>CONSIDERACIONES</w:t>
      </w:r>
    </w:p>
    <w:p w:rsidR="008A3148" w:rsidRPr="00D3284F" w:rsidRDefault="008A3148" w:rsidP="000170C8">
      <w:pPr>
        <w:shd w:val="clear" w:color="auto" w:fill="FFFFFF"/>
        <w:tabs>
          <w:tab w:val="left" w:pos="5197"/>
        </w:tabs>
        <w:spacing w:line="288" w:lineRule="auto"/>
        <w:jc w:val="both"/>
        <w:rPr>
          <w:rFonts w:ascii="Tahoma" w:hAnsi="Tahoma" w:cs="Tahoma"/>
          <w:b/>
        </w:rPr>
      </w:pPr>
    </w:p>
    <w:p w:rsidR="008A3148" w:rsidRPr="00D3284F" w:rsidRDefault="008A3148" w:rsidP="000170C8">
      <w:pPr>
        <w:pStyle w:val="Textoindependiente"/>
        <w:spacing w:after="0" w:line="288" w:lineRule="auto"/>
        <w:contextualSpacing/>
        <w:jc w:val="both"/>
        <w:rPr>
          <w:rFonts w:ascii="Tahoma" w:hAnsi="Tahoma" w:cs="Tahoma"/>
        </w:rPr>
      </w:pPr>
      <w:r w:rsidRPr="00D3284F">
        <w:rPr>
          <w:rFonts w:ascii="Tahoma" w:hAnsi="Tahoma" w:cs="Tahoma"/>
        </w:rPr>
        <w:t xml:space="preserve">2.1. Se encuentra acreditado con el registro civil de defunción que el señor Carlos Alberto Toro </w:t>
      </w:r>
      <w:proofErr w:type="spellStart"/>
      <w:r w:rsidRPr="00D3284F">
        <w:rPr>
          <w:rFonts w:ascii="Tahoma" w:hAnsi="Tahoma" w:cs="Tahoma"/>
        </w:rPr>
        <w:t>Amariles</w:t>
      </w:r>
      <w:proofErr w:type="spellEnd"/>
      <w:r w:rsidRPr="00D3284F">
        <w:rPr>
          <w:rFonts w:ascii="Tahoma" w:hAnsi="Tahoma" w:cs="Tahoma"/>
        </w:rPr>
        <w:t xml:space="preserve"> falleció el día 30-11-2015 (</w:t>
      </w:r>
      <w:proofErr w:type="spellStart"/>
      <w:r w:rsidRPr="00D3284F">
        <w:rPr>
          <w:rFonts w:ascii="Tahoma" w:hAnsi="Tahoma" w:cs="Tahoma"/>
        </w:rPr>
        <w:t>fl</w:t>
      </w:r>
      <w:proofErr w:type="spellEnd"/>
      <w:r w:rsidRPr="00D3284F">
        <w:rPr>
          <w:rFonts w:ascii="Tahoma" w:hAnsi="Tahoma" w:cs="Tahoma"/>
        </w:rPr>
        <w:t xml:space="preserve">. 26 c.1), por lo tanto, la normativa aplicable en esta actuación es el artículo 12 de la Ley 797 de 2003, que es la vigente para el momento de acontecer tal situación. Disposición que exige haber cotizado 50 semanas dentro de los 3 años anteriores al deceso, y para quien reclame la prestación en calidad de cónyuge o compañera supérstite una convivencia con el causante por espacio no inferior a los 5 años anteriores al fallecimiento. </w:t>
      </w:r>
    </w:p>
    <w:p w:rsidR="008A3148" w:rsidRPr="00D3284F" w:rsidRDefault="008A3148" w:rsidP="000170C8">
      <w:pPr>
        <w:pStyle w:val="Textoindependiente"/>
        <w:spacing w:after="0" w:line="288" w:lineRule="auto"/>
        <w:contextualSpacing/>
        <w:rPr>
          <w:rFonts w:ascii="Tahoma" w:hAnsi="Tahoma" w:cs="Tahoma"/>
        </w:rPr>
      </w:pPr>
    </w:p>
    <w:p w:rsidR="008A3148" w:rsidRPr="00D3284F" w:rsidRDefault="008A3148" w:rsidP="000170C8">
      <w:pPr>
        <w:autoSpaceDE w:val="0"/>
        <w:autoSpaceDN w:val="0"/>
        <w:adjustRightInd w:val="0"/>
        <w:spacing w:line="288" w:lineRule="auto"/>
        <w:contextualSpacing/>
        <w:jc w:val="both"/>
        <w:rPr>
          <w:rFonts w:ascii="Tahoma" w:hAnsi="Tahoma" w:cs="Tahoma"/>
        </w:rPr>
      </w:pPr>
      <w:r w:rsidRPr="00D3284F">
        <w:rPr>
          <w:rFonts w:ascii="Tahoma" w:hAnsi="Tahoma" w:cs="Tahoma"/>
        </w:rPr>
        <w:t>Al revisar la historia laboral del afiliado (</w:t>
      </w:r>
      <w:proofErr w:type="spellStart"/>
      <w:r w:rsidRPr="00D3284F">
        <w:rPr>
          <w:rFonts w:ascii="Tahoma" w:hAnsi="Tahoma" w:cs="Tahoma"/>
        </w:rPr>
        <w:t>fl</w:t>
      </w:r>
      <w:proofErr w:type="spellEnd"/>
      <w:r w:rsidRPr="00D3284F">
        <w:rPr>
          <w:rFonts w:ascii="Tahoma" w:hAnsi="Tahoma" w:cs="Tahoma"/>
        </w:rPr>
        <w:t>. 23 c. 1) se tiene que entre la fecha de la muerte 30-11-2015 y la misma data de 2012 (3 años) cotizó 38,58 semanas; con lo cual resulta fácil colegir que no satisfizo la primera de las exigencias del artículo 12 de la Ley 797 de 2003,  50 semanas.</w:t>
      </w:r>
    </w:p>
    <w:p w:rsidR="008A3148" w:rsidRPr="00D3284F" w:rsidRDefault="008A3148" w:rsidP="000170C8">
      <w:pPr>
        <w:pStyle w:val="Textoindependiente"/>
        <w:spacing w:after="0" w:line="288" w:lineRule="auto"/>
        <w:contextualSpacing/>
        <w:rPr>
          <w:rFonts w:ascii="Tahoma" w:hAnsi="Tahoma" w:cs="Tahoma"/>
          <w:color w:val="000000" w:themeColor="text1"/>
        </w:rPr>
      </w:pPr>
      <w:bookmarkStart w:id="0" w:name="_GoBack"/>
      <w:bookmarkEnd w:id="0"/>
    </w:p>
    <w:p w:rsidR="008A3148" w:rsidRPr="00D3284F" w:rsidRDefault="008A3148" w:rsidP="000170C8">
      <w:pPr>
        <w:autoSpaceDE w:val="0"/>
        <w:autoSpaceDN w:val="0"/>
        <w:adjustRightInd w:val="0"/>
        <w:spacing w:line="288" w:lineRule="auto"/>
        <w:contextualSpacing/>
        <w:jc w:val="both"/>
        <w:rPr>
          <w:rFonts w:ascii="Tahoma" w:hAnsi="Tahoma" w:cs="Tahoma"/>
          <w:color w:val="000000"/>
          <w:shd w:val="clear" w:color="auto" w:fill="FFFFFF"/>
        </w:rPr>
      </w:pPr>
      <w:r w:rsidRPr="00D3284F">
        <w:rPr>
          <w:rFonts w:ascii="Tahoma" w:hAnsi="Tahoma" w:cs="Tahoma"/>
          <w:color w:val="000000" w:themeColor="text1"/>
          <w:lang w:val="es-CO"/>
        </w:rPr>
        <w:t>2.2. Sin embargo, a</w:t>
      </w:r>
      <w:r w:rsidRPr="00D3284F">
        <w:rPr>
          <w:rFonts w:ascii="Tahoma" w:hAnsi="Tahoma" w:cs="Tahoma"/>
        </w:rPr>
        <w:t xml:space="preserve">tendiendo lo solicitado en libelo introductorio y en el recurso de apelación, consistente en la aplicación del principio de la condición más beneficiosa, se analizará su </w:t>
      </w:r>
      <w:r w:rsidRPr="00D3284F">
        <w:rPr>
          <w:rFonts w:ascii="Tahoma" w:hAnsi="Tahoma" w:cs="Tahoma"/>
          <w:color w:val="000000"/>
          <w:shd w:val="clear" w:color="auto" w:fill="FFFFFF"/>
        </w:rPr>
        <w:t>procedencia.</w:t>
      </w:r>
    </w:p>
    <w:p w:rsidR="008A3148" w:rsidRPr="00D3284F" w:rsidRDefault="008A3148" w:rsidP="000170C8">
      <w:pPr>
        <w:autoSpaceDE w:val="0"/>
        <w:autoSpaceDN w:val="0"/>
        <w:adjustRightInd w:val="0"/>
        <w:spacing w:line="288" w:lineRule="auto"/>
        <w:contextualSpacing/>
        <w:jc w:val="both"/>
        <w:rPr>
          <w:rFonts w:ascii="Tahoma" w:hAnsi="Tahoma" w:cs="Tahoma"/>
          <w:color w:val="000000"/>
          <w:shd w:val="clear" w:color="auto" w:fill="FFFFFF"/>
        </w:rPr>
      </w:pPr>
    </w:p>
    <w:p w:rsidR="008A3148" w:rsidRPr="00D3284F" w:rsidRDefault="008A3148" w:rsidP="000170C8">
      <w:pPr>
        <w:pStyle w:val="Textoindependiente"/>
        <w:spacing w:after="0" w:line="288" w:lineRule="auto"/>
        <w:jc w:val="both"/>
        <w:rPr>
          <w:rFonts w:ascii="Tahoma" w:hAnsi="Tahoma" w:cs="Tahoma"/>
          <w:color w:val="000000"/>
          <w:shd w:val="clear" w:color="auto" w:fill="FFFFFF"/>
        </w:rPr>
      </w:pPr>
      <w:r w:rsidRPr="00D3284F">
        <w:rPr>
          <w:rFonts w:ascii="Tahoma" w:hAnsi="Tahoma" w:cs="Tahoma"/>
          <w:color w:val="000000"/>
          <w:shd w:val="clear" w:color="auto" w:fill="FFFFFF"/>
        </w:rPr>
        <w:t>Frente al referido principio ha sostenido reiteradamente la Sala de Casación Laboral de Corte Suprema de Justicia</w:t>
      </w:r>
      <w:r w:rsidRPr="004D08D9">
        <w:rPr>
          <w:rFonts w:ascii="Tahoma" w:hAnsi="Tahoma" w:cs="Tahoma"/>
          <w:color w:val="000000"/>
          <w:shd w:val="clear" w:color="auto" w:fill="FFFFFF"/>
          <w:vertAlign w:val="superscript"/>
        </w:rPr>
        <w:footnoteReference w:id="1"/>
      </w:r>
      <w:r w:rsidRPr="00D3284F">
        <w:rPr>
          <w:rFonts w:ascii="Tahoma" w:hAnsi="Tahoma" w:cs="Tahoma"/>
          <w:color w:val="000000"/>
          <w:shd w:val="clear" w:color="auto" w:fill="FFFFFF"/>
        </w:rPr>
        <w:t xml:space="preserve">,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 Tesis que comparte la Sala Mayoritaria. </w:t>
      </w:r>
    </w:p>
    <w:p w:rsidR="008A3148" w:rsidRPr="00D3284F" w:rsidRDefault="008A3148" w:rsidP="000170C8">
      <w:pPr>
        <w:tabs>
          <w:tab w:val="left" w:pos="1230"/>
        </w:tabs>
        <w:autoSpaceDE w:val="0"/>
        <w:autoSpaceDN w:val="0"/>
        <w:adjustRightInd w:val="0"/>
        <w:spacing w:line="288" w:lineRule="auto"/>
        <w:contextualSpacing/>
        <w:jc w:val="both"/>
        <w:rPr>
          <w:rFonts w:ascii="Tahoma" w:hAnsi="Tahoma" w:cs="Tahoma"/>
          <w:color w:val="000000"/>
        </w:rPr>
      </w:pPr>
    </w:p>
    <w:p w:rsidR="008A3148" w:rsidRPr="00D3284F" w:rsidRDefault="008A3148" w:rsidP="000170C8">
      <w:pPr>
        <w:autoSpaceDE w:val="0"/>
        <w:autoSpaceDN w:val="0"/>
        <w:adjustRightInd w:val="0"/>
        <w:spacing w:line="288" w:lineRule="auto"/>
        <w:contextualSpacing/>
        <w:jc w:val="both"/>
        <w:rPr>
          <w:rFonts w:ascii="Tahoma" w:hAnsi="Tahoma" w:cs="Tahoma"/>
          <w:color w:val="000000"/>
          <w:shd w:val="clear" w:color="auto" w:fill="FFFFFF"/>
        </w:rPr>
      </w:pPr>
      <w:r w:rsidRPr="00D3284F">
        <w:rPr>
          <w:rFonts w:ascii="Tahoma" w:hAnsi="Tahoma" w:cs="Tahoma"/>
          <w:color w:val="000000"/>
        </w:rPr>
        <w:t>Línea que se apoya entre otros en el Acto Legislativo 01 de 2005, que dispone en la parte final del inciso 4° que “</w:t>
      </w:r>
      <w:r w:rsidRPr="00D3284F">
        <w:rPr>
          <w:rFonts w:ascii="Tahoma" w:hAnsi="Tahoma" w:cs="Tahoma"/>
          <w:i/>
          <w:color w:val="000000"/>
          <w:shd w:val="clear" w:color="auto" w:fill="FFFFFF"/>
        </w:rPr>
        <w:t xml:space="preserve">los requisitos y beneficios para adquirir el derecho a una pensión de invalidez o de sobrevivencia serán los establecidos por las leyes del Sistema </w:t>
      </w:r>
      <w:r w:rsidRPr="00D3284F">
        <w:rPr>
          <w:rFonts w:ascii="Tahoma" w:hAnsi="Tahoma" w:cs="Tahoma"/>
          <w:i/>
          <w:color w:val="000000"/>
          <w:shd w:val="clear" w:color="auto" w:fill="FFFFFF"/>
        </w:rPr>
        <w:lastRenderedPageBreak/>
        <w:t>General de Pensiones",</w:t>
      </w:r>
      <w:r w:rsidRPr="00D3284F">
        <w:rPr>
          <w:rFonts w:ascii="Tahoma" w:hAnsi="Tahoma" w:cs="Tahoma"/>
        </w:rPr>
        <w:t xml:space="preserve"> </w:t>
      </w:r>
      <w:r w:rsidRPr="00D3284F">
        <w:rPr>
          <w:rFonts w:ascii="Tahoma" w:hAnsi="Tahoma" w:cs="Tahoma"/>
          <w:lang w:val="es-AR"/>
        </w:rPr>
        <w:t>que no es otro que el introducido con la expedición de la Ley 100 de 1993</w:t>
      </w:r>
      <w:r w:rsidRPr="00D3284F">
        <w:rPr>
          <w:rFonts w:ascii="Tahoma" w:hAnsi="Tahoma" w:cs="Tahoma"/>
          <w:i/>
          <w:color w:val="000000"/>
          <w:shd w:val="clear" w:color="auto" w:fill="FFFFFF"/>
        </w:rPr>
        <w:t xml:space="preserve"> </w:t>
      </w:r>
      <w:r w:rsidRPr="00D3284F">
        <w:rPr>
          <w:rFonts w:ascii="Tahoma" w:hAnsi="Tahoma" w:cs="Tahoma"/>
          <w:color w:val="000000"/>
          <w:shd w:val="clear" w:color="auto" w:fill="FFFFFF"/>
        </w:rPr>
        <w:t xml:space="preserve">y desarrollado a partir del artículo 10 </w:t>
      </w:r>
      <w:r w:rsidRPr="00D3284F">
        <w:rPr>
          <w:rFonts w:ascii="Tahoma" w:hAnsi="Tahoma" w:cs="Tahoma"/>
          <w:i/>
          <w:color w:val="000000"/>
          <w:shd w:val="clear" w:color="auto" w:fill="FFFFFF"/>
        </w:rPr>
        <w:t>ibídem</w:t>
      </w:r>
      <w:r w:rsidRPr="00D3284F">
        <w:rPr>
          <w:rFonts w:ascii="Tahoma" w:hAnsi="Tahoma" w:cs="Tahoma"/>
          <w:color w:val="000000"/>
          <w:shd w:val="clear" w:color="auto" w:fill="FFFFFF"/>
        </w:rPr>
        <w:t>; lo que significa que él se encuentra constituido por esa normativa y las modificaciones de la Ley 797 de 2003, de donde debe entenderse excluido el Acuerdo 049 de 1990 en lo que respecta a este tópico por ser anterior a estas.</w:t>
      </w:r>
    </w:p>
    <w:p w:rsidR="008A3148" w:rsidRPr="00D3284F" w:rsidRDefault="008A3148" w:rsidP="000170C8">
      <w:pPr>
        <w:autoSpaceDE w:val="0"/>
        <w:autoSpaceDN w:val="0"/>
        <w:adjustRightInd w:val="0"/>
        <w:spacing w:line="288" w:lineRule="auto"/>
        <w:contextualSpacing/>
        <w:jc w:val="both"/>
        <w:rPr>
          <w:rFonts w:ascii="Tahoma" w:hAnsi="Tahoma" w:cs="Tahoma"/>
          <w:color w:val="000000"/>
          <w:shd w:val="clear" w:color="auto" w:fill="FFFFFF"/>
        </w:rPr>
      </w:pPr>
    </w:p>
    <w:p w:rsidR="008A3148" w:rsidRPr="00D3284F" w:rsidRDefault="008A3148" w:rsidP="000170C8">
      <w:pPr>
        <w:autoSpaceDE w:val="0"/>
        <w:autoSpaceDN w:val="0"/>
        <w:adjustRightInd w:val="0"/>
        <w:spacing w:line="288" w:lineRule="auto"/>
        <w:contextualSpacing/>
        <w:jc w:val="both"/>
        <w:rPr>
          <w:rFonts w:ascii="Tahoma" w:hAnsi="Tahoma" w:cs="Tahoma"/>
          <w:color w:val="000000"/>
          <w:shd w:val="clear" w:color="auto" w:fill="FFFFFF"/>
        </w:rPr>
      </w:pPr>
      <w:r w:rsidRPr="00D3284F">
        <w:rPr>
          <w:rFonts w:ascii="Tahoma" w:hAnsi="Tahoma" w:cs="Tahoma"/>
          <w:color w:val="000000"/>
          <w:shd w:val="clear" w:color="auto" w:fill="FFFFFF"/>
        </w:rPr>
        <w:t xml:space="preserve">Criterio que se trajo a colación la Corte Constitucional en la sentencia SU 005 de 13-02-2018 y agregó que para acudir al Acuerdo 049 de 1990 o a cualquier norma anterior a ella, a pesar de no ser la anterior a la vigente a la muerte del afiliado, debe verificarse un test de procedencia que lo conforman 5 condiciones todas indispensables, sobre las que ninguna exposición se hizo en la demanda y menos se realizó esfuerzo por acreditarlas, pues tan solo se introdujo prueba documental que no apunta a demostrar ninguna de ellas, y sobre las que se releva la Sala Mayoritaria a analizar en tanto no se comparte la línea de pensamiento trazada por la Corte Constitucional. Lo dicho, solo para resaltar que la aplicación del A 049 de la manera simplista, como lo sugiere el recurrente, no es el criterio actual de tal corporación. </w:t>
      </w:r>
    </w:p>
    <w:p w:rsidR="008A3148" w:rsidRPr="00D3284F" w:rsidRDefault="008A3148" w:rsidP="000170C8">
      <w:pPr>
        <w:tabs>
          <w:tab w:val="left" w:pos="1230"/>
        </w:tabs>
        <w:autoSpaceDE w:val="0"/>
        <w:autoSpaceDN w:val="0"/>
        <w:adjustRightInd w:val="0"/>
        <w:spacing w:line="288" w:lineRule="auto"/>
        <w:contextualSpacing/>
        <w:jc w:val="both"/>
        <w:rPr>
          <w:rFonts w:ascii="Tahoma" w:hAnsi="Tahoma" w:cs="Tahoma"/>
          <w:color w:val="000000"/>
        </w:rPr>
      </w:pPr>
      <w:r w:rsidRPr="00D3284F">
        <w:rPr>
          <w:rFonts w:ascii="Tahoma" w:hAnsi="Tahoma" w:cs="Tahoma"/>
          <w:color w:val="000000"/>
        </w:rPr>
        <w:t xml:space="preserve"> </w:t>
      </w:r>
    </w:p>
    <w:p w:rsidR="008A3148" w:rsidRPr="00D3284F" w:rsidRDefault="008A3148" w:rsidP="000170C8">
      <w:pPr>
        <w:tabs>
          <w:tab w:val="left" w:pos="1230"/>
        </w:tabs>
        <w:autoSpaceDE w:val="0"/>
        <w:autoSpaceDN w:val="0"/>
        <w:adjustRightInd w:val="0"/>
        <w:spacing w:line="288" w:lineRule="auto"/>
        <w:contextualSpacing/>
        <w:jc w:val="both"/>
        <w:rPr>
          <w:rFonts w:ascii="Tahoma" w:hAnsi="Tahoma" w:cs="Tahoma"/>
          <w:color w:val="000000"/>
        </w:rPr>
      </w:pPr>
      <w:r w:rsidRPr="00D3284F">
        <w:rPr>
          <w:rFonts w:ascii="Tahoma" w:hAnsi="Tahoma" w:cs="Tahoma"/>
          <w:color w:val="000000"/>
        </w:rPr>
        <w:t>Entonces, la l</w:t>
      </w:r>
      <w:r w:rsidRPr="00D3284F">
        <w:rPr>
          <w:rFonts w:ascii="Tahoma" w:hAnsi="Tahoma" w:cs="Tahoma"/>
        </w:rPr>
        <w:t>ínea que acata la Sala Mayoritaria es la de nuestr</w:t>
      </w:r>
      <w:r w:rsidR="004D08D9">
        <w:rPr>
          <w:rFonts w:ascii="Tahoma" w:hAnsi="Tahoma" w:cs="Tahoma"/>
        </w:rPr>
        <w:t>a</w:t>
      </w:r>
      <w:r w:rsidRPr="00D3284F">
        <w:rPr>
          <w:rFonts w:ascii="Tahoma" w:hAnsi="Tahoma" w:cs="Tahoma"/>
        </w:rPr>
        <w:t xml:space="preserve"> superioridad al ser el órgano de cierre de esta especialidad, dado su valor</w:t>
      </w:r>
      <w:r w:rsidRPr="00D3284F">
        <w:rPr>
          <w:rFonts w:ascii="Tahoma" w:hAnsi="Tahoma" w:cs="Tahoma"/>
          <w:color w:val="000000"/>
        </w:rPr>
        <w:t xml:space="preserve"> normativo, que inclusive ha reconocido su homóloga constitucional en la sentencia C-836-01.</w:t>
      </w:r>
    </w:p>
    <w:p w:rsidR="008A3148" w:rsidRPr="00D3284F" w:rsidRDefault="008A3148" w:rsidP="000170C8">
      <w:pPr>
        <w:tabs>
          <w:tab w:val="left" w:pos="1230"/>
        </w:tabs>
        <w:autoSpaceDE w:val="0"/>
        <w:autoSpaceDN w:val="0"/>
        <w:adjustRightInd w:val="0"/>
        <w:spacing w:line="288" w:lineRule="auto"/>
        <w:ind w:left="1230" w:hanging="1230"/>
        <w:contextualSpacing/>
        <w:jc w:val="both"/>
        <w:rPr>
          <w:rFonts w:ascii="Tahoma" w:hAnsi="Tahoma" w:cs="Tahoma"/>
          <w:color w:val="000000"/>
        </w:rPr>
      </w:pPr>
    </w:p>
    <w:p w:rsidR="008A3148" w:rsidRPr="00D3284F" w:rsidRDefault="008A3148" w:rsidP="000170C8">
      <w:pPr>
        <w:autoSpaceDE w:val="0"/>
        <w:autoSpaceDN w:val="0"/>
        <w:adjustRightInd w:val="0"/>
        <w:spacing w:line="288" w:lineRule="auto"/>
        <w:contextualSpacing/>
        <w:jc w:val="both"/>
        <w:rPr>
          <w:rFonts w:ascii="Tahoma" w:hAnsi="Tahoma" w:cs="Tahoma"/>
          <w:color w:val="000000" w:themeColor="text1"/>
        </w:rPr>
      </w:pPr>
      <w:r w:rsidRPr="00D3284F">
        <w:rPr>
          <w:rFonts w:ascii="Tahoma" w:hAnsi="Tahoma" w:cs="Tahoma"/>
          <w:color w:val="000000" w:themeColor="text1"/>
          <w:shd w:val="clear" w:color="auto" w:fill="FFFFFF"/>
        </w:rPr>
        <w:t xml:space="preserve">2.3 En ese orden de ideas, como el señor Carlos Alberto Toro </w:t>
      </w:r>
      <w:proofErr w:type="spellStart"/>
      <w:r w:rsidRPr="00D3284F">
        <w:rPr>
          <w:rFonts w:ascii="Tahoma" w:hAnsi="Tahoma" w:cs="Tahoma"/>
          <w:color w:val="000000" w:themeColor="text1"/>
          <w:shd w:val="clear" w:color="auto" w:fill="FFFFFF"/>
        </w:rPr>
        <w:t>Amariles</w:t>
      </w:r>
      <w:proofErr w:type="spellEnd"/>
      <w:r w:rsidRPr="00D3284F">
        <w:rPr>
          <w:rFonts w:ascii="Tahoma" w:hAnsi="Tahoma" w:cs="Tahoma"/>
          <w:color w:val="000000" w:themeColor="text1"/>
          <w:shd w:val="clear" w:color="auto" w:fill="FFFFFF"/>
        </w:rPr>
        <w:t xml:space="preserve"> falleció en el 2015, momento para el cual regía la Ley 797 de 2003, en aplicación de la condición más beneficiosa y al tenor de la tesis acogida por la Sala Mayoritaria, el Acuerdo 049 de 1990 no es la norma que puede escrutarse para verificar si el dejó causada la pensión de sobrevivientes por no ser la que le antecedía, que sí lo es la Ley 100 de 1993 original; por lo que no sale avante la apelación.</w:t>
      </w:r>
    </w:p>
    <w:p w:rsidR="008A3148" w:rsidRPr="00D3284F" w:rsidRDefault="008A3148" w:rsidP="000170C8">
      <w:pPr>
        <w:tabs>
          <w:tab w:val="left" w:pos="1230"/>
        </w:tabs>
        <w:autoSpaceDE w:val="0"/>
        <w:autoSpaceDN w:val="0"/>
        <w:adjustRightInd w:val="0"/>
        <w:spacing w:line="288" w:lineRule="auto"/>
        <w:contextualSpacing/>
        <w:jc w:val="both"/>
        <w:rPr>
          <w:rFonts w:ascii="Tahoma" w:hAnsi="Tahoma" w:cs="Tahoma"/>
          <w:color w:val="000000" w:themeColor="text1"/>
        </w:rPr>
      </w:pPr>
    </w:p>
    <w:p w:rsidR="008A3148" w:rsidRPr="00D3284F" w:rsidRDefault="008A3148" w:rsidP="000170C8">
      <w:pPr>
        <w:shd w:val="clear" w:color="auto" w:fill="FFFFFF"/>
        <w:tabs>
          <w:tab w:val="left" w:pos="5197"/>
        </w:tabs>
        <w:spacing w:line="288" w:lineRule="auto"/>
        <w:contextualSpacing/>
        <w:jc w:val="both"/>
        <w:rPr>
          <w:rFonts w:ascii="Tahoma" w:hAnsi="Tahoma" w:cs="Tahoma"/>
          <w:color w:val="000000" w:themeColor="text1"/>
          <w:lang w:eastAsia="es-CO"/>
        </w:rPr>
      </w:pPr>
      <w:r w:rsidRPr="00D3284F">
        <w:rPr>
          <w:rFonts w:ascii="Tahoma" w:hAnsi="Tahoma" w:cs="Tahoma"/>
          <w:color w:val="000000" w:themeColor="text1"/>
          <w:lang w:eastAsia="es-CO"/>
        </w:rPr>
        <w:t>2.4 Pero esta última tampoco puede gobernar la prestación pretendida, en tanto el órgano de cierre de esta especialidad a partir del año 2017</w:t>
      </w:r>
      <w:r w:rsidRPr="00D3284F">
        <w:rPr>
          <w:rStyle w:val="Refdenotaalpie"/>
          <w:rFonts w:ascii="Tahoma" w:hAnsi="Tahoma" w:cs="Tahoma"/>
          <w:color w:val="000000" w:themeColor="text1"/>
          <w:lang w:eastAsia="es-CO"/>
        </w:rPr>
        <w:footnoteReference w:id="2"/>
      </w:r>
      <w:r w:rsidRPr="00D3284F">
        <w:rPr>
          <w:rFonts w:ascii="Tahoma" w:hAnsi="Tahoma" w:cs="Tahoma"/>
          <w:color w:val="000000" w:themeColor="text1"/>
          <w:lang w:eastAsia="es-CO"/>
        </w:rPr>
        <w:t xml:space="preserve">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797 de 2003 acrediten los requisitos de la Ley 100 de 1993 original, siempre y cuando la contingencia –muerte-, se presente dentro de los 3 años siguientes a la entrada en vigencia de aquella ley, esto es, del 29-01-2003 y el 29-01-2006, y tuviere el afiliado una expectativa legítima, para lo cual apuntó distintas situaciones en las que puede estar el fallecido para el momento del cambio legislativo y de la muerte en relación con las semanas cotizadas. Tesis que hasta el momento continúa vigente</w:t>
      </w:r>
      <w:r w:rsidRPr="00D3284F">
        <w:rPr>
          <w:rStyle w:val="Refdenotaalpie"/>
          <w:rFonts w:ascii="Tahoma" w:hAnsi="Tahoma" w:cs="Tahoma"/>
          <w:color w:val="000000" w:themeColor="text1"/>
          <w:lang w:eastAsia="es-CO"/>
        </w:rPr>
        <w:footnoteReference w:id="3"/>
      </w:r>
      <w:r w:rsidRPr="00D3284F">
        <w:rPr>
          <w:rFonts w:ascii="Tahoma" w:hAnsi="Tahoma" w:cs="Tahoma"/>
          <w:color w:val="000000" w:themeColor="text1"/>
          <w:lang w:eastAsia="es-CO"/>
        </w:rPr>
        <w:t xml:space="preserve">. </w:t>
      </w:r>
    </w:p>
    <w:p w:rsidR="008A3148" w:rsidRPr="00D3284F" w:rsidRDefault="008A3148" w:rsidP="000170C8">
      <w:pPr>
        <w:shd w:val="clear" w:color="auto" w:fill="FFFFFF"/>
        <w:tabs>
          <w:tab w:val="left" w:pos="5197"/>
        </w:tabs>
        <w:spacing w:line="288" w:lineRule="auto"/>
        <w:contextualSpacing/>
        <w:jc w:val="both"/>
        <w:rPr>
          <w:rFonts w:ascii="Tahoma" w:hAnsi="Tahoma" w:cs="Tahoma"/>
          <w:color w:val="000000" w:themeColor="text1"/>
          <w:lang w:eastAsia="es-CO"/>
        </w:rPr>
      </w:pPr>
    </w:p>
    <w:p w:rsidR="008A3148" w:rsidRPr="00D3284F" w:rsidRDefault="008A3148" w:rsidP="000170C8">
      <w:pPr>
        <w:shd w:val="clear" w:color="auto" w:fill="FFFFFF"/>
        <w:tabs>
          <w:tab w:val="left" w:pos="5197"/>
        </w:tabs>
        <w:spacing w:line="288" w:lineRule="auto"/>
        <w:contextualSpacing/>
        <w:jc w:val="both"/>
        <w:rPr>
          <w:rFonts w:ascii="Tahoma" w:hAnsi="Tahoma" w:cs="Tahoma"/>
          <w:color w:val="000000" w:themeColor="text1"/>
          <w:lang w:eastAsia="es-CO"/>
        </w:rPr>
      </w:pPr>
      <w:r w:rsidRPr="00D3284F">
        <w:rPr>
          <w:rFonts w:ascii="Tahoma" w:hAnsi="Tahoma" w:cs="Tahoma"/>
          <w:color w:val="000000" w:themeColor="text1"/>
          <w:lang w:eastAsia="es-CO"/>
        </w:rPr>
        <w:lastRenderedPageBreak/>
        <w:t xml:space="preserve">Entonces, respecto de la primera condición no la satisface el señor Toro </w:t>
      </w:r>
      <w:proofErr w:type="spellStart"/>
      <w:r w:rsidRPr="00D3284F">
        <w:rPr>
          <w:rFonts w:ascii="Tahoma" w:hAnsi="Tahoma" w:cs="Tahoma"/>
          <w:color w:val="000000" w:themeColor="text1"/>
          <w:lang w:eastAsia="es-CO"/>
        </w:rPr>
        <w:t>Amariles</w:t>
      </w:r>
      <w:proofErr w:type="spellEnd"/>
      <w:r w:rsidRPr="00D3284F">
        <w:rPr>
          <w:rFonts w:ascii="Tahoma" w:hAnsi="Tahoma" w:cs="Tahoma"/>
          <w:color w:val="000000" w:themeColor="text1"/>
          <w:lang w:eastAsia="es-CO"/>
        </w:rPr>
        <w:t xml:space="preserve"> al fallecer por fuera del lapso atrás anotado, lo que releva del estudio de las  restantes condiciones, al ser concurrentes, por lo que al faltar una impide aplicar la ley 100 de 1993 bajo el amparo del principio de la condición más beneficiosa. </w:t>
      </w:r>
    </w:p>
    <w:p w:rsidR="008A3148" w:rsidRPr="00D3284F" w:rsidRDefault="008A3148" w:rsidP="000170C8">
      <w:pPr>
        <w:shd w:val="clear" w:color="auto" w:fill="FFFFFF"/>
        <w:tabs>
          <w:tab w:val="left" w:pos="5197"/>
        </w:tabs>
        <w:spacing w:line="288" w:lineRule="auto"/>
        <w:contextualSpacing/>
        <w:jc w:val="both"/>
        <w:rPr>
          <w:rFonts w:ascii="Tahoma" w:hAnsi="Tahoma" w:cs="Tahoma"/>
          <w:color w:val="000000" w:themeColor="text1"/>
          <w:lang w:eastAsia="es-CO"/>
        </w:rPr>
      </w:pPr>
      <w:r w:rsidRPr="00D3284F">
        <w:rPr>
          <w:rFonts w:ascii="Tahoma" w:hAnsi="Tahoma" w:cs="Tahoma"/>
          <w:color w:val="000000" w:themeColor="text1"/>
          <w:lang w:eastAsia="es-CO"/>
        </w:rPr>
        <w:t xml:space="preserve"> </w:t>
      </w:r>
    </w:p>
    <w:p w:rsidR="008A3148" w:rsidRPr="00D3284F" w:rsidRDefault="008A3148" w:rsidP="000170C8">
      <w:pPr>
        <w:shd w:val="clear" w:color="auto" w:fill="FFFFFF"/>
        <w:tabs>
          <w:tab w:val="left" w:pos="5197"/>
        </w:tabs>
        <w:spacing w:line="288" w:lineRule="auto"/>
        <w:jc w:val="center"/>
        <w:rPr>
          <w:rFonts w:ascii="Tahoma" w:hAnsi="Tahoma" w:cs="Tahoma"/>
          <w:b/>
          <w:color w:val="000000" w:themeColor="text1"/>
          <w:lang w:eastAsia="es-CO"/>
        </w:rPr>
      </w:pPr>
      <w:r w:rsidRPr="00D3284F">
        <w:rPr>
          <w:rFonts w:ascii="Tahoma" w:hAnsi="Tahoma" w:cs="Tahoma"/>
          <w:b/>
          <w:color w:val="000000" w:themeColor="text1"/>
          <w:lang w:eastAsia="es-CO"/>
        </w:rPr>
        <w:t>CONCLUSIÓN</w:t>
      </w:r>
    </w:p>
    <w:p w:rsidR="008A3148" w:rsidRPr="00D3284F" w:rsidRDefault="008A3148" w:rsidP="000170C8">
      <w:pPr>
        <w:spacing w:line="288" w:lineRule="auto"/>
        <w:jc w:val="both"/>
        <w:rPr>
          <w:rFonts w:ascii="Tahoma" w:hAnsi="Tahoma" w:cs="Tahoma"/>
          <w:color w:val="000000" w:themeColor="text1"/>
          <w:lang w:eastAsia="es-CO"/>
        </w:rPr>
      </w:pPr>
    </w:p>
    <w:p w:rsidR="008A3148" w:rsidRPr="00D3284F" w:rsidRDefault="008A3148" w:rsidP="000170C8">
      <w:pPr>
        <w:spacing w:line="288" w:lineRule="auto"/>
        <w:jc w:val="both"/>
        <w:rPr>
          <w:rFonts w:ascii="Tahoma" w:hAnsi="Tahoma" w:cs="Tahoma"/>
          <w:color w:val="000000" w:themeColor="text1"/>
        </w:rPr>
      </w:pPr>
      <w:r w:rsidRPr="00D3284F">
        <w:rPr>
          <w:rFonts w:ascii="Tahoma" w:hAnsi="Tahoma" w:cs="Tahoma"/>
          <w:color w:val="000000" w:themeColor="text1"/>
          <w:lang w:eastAsia="es-CO"/>
        </w:rPr>
        <w:t xml:space="preserve">Conforme lo expuesto, la decisión revisada será confirmada y se condenará en costas en esta instancia a </w:t>
      </w:r>
      <w:r w:rsidRPr="00D3284F">
        <w:rPr>
          <w:rFonts w:ascii="Tahoma" w:hAnsi="Tahoma" w:cs="Tahoma"/>
        </w:rPr>
        <w:t>la parte actora a favor de la demandada al fracasar la alzada.</w:t>
      </w:r>
    </w:p>
    <w:p w:rsidR="008A3148" w:rsidRPr="00D3284F" w:rsidRDefault="008A3148" w:rsidP="000170C8">
      <w:pPr>
        <w:spacing w:line="288" w:lineRule="auto"/>
        <w:jc w:val="center"/>
        <w:rPr>
          <w:rFonts w:ascii="Tahoma" w:hAnsi="Tahoma" w:cs="Tahoma"/>
          <w:b/>
          <w:color w:val="000000" w:themeColor="text1"/>
        </w:rPr>
      </w:pPr>
    </w:p>
    <w:p w:rsidR="008A3148" w:rsidRPr="00D3284F" w:rsidRDefault="008A3148" w:rsidP="000170C8">
      <w:pPr>
        <w:spacing w:line="288" w:lineRule="auto"/>
        <w:jc w:val="center"/>
        <w:rPr>
          <w:rFonts w:ascii="Tahoma" w:hAnsi="Tahoma" w:cs="Tahoma"/>
          <w:b/>
          <w:color w:val="000000" w:themeColor="text1"/>
        </w:rPr>
      </w:pPr>
      <w:r w:rsidRPr="00D3284F">
        <w:rPr>
          <w:rFonts w:ascii="Tahoma" w:hAnsi="Tahoma" w:cs="Tahoma"/>
          <w:b/>
          <w:color w:val="000000" w:themeColor="text1"/>
        </w:rPr>
        <w:t>DECISIÓN</w:t>
      </w:r>
    </w:p>
    <w:p w:rsidR="008A3148" w:rsidRPr="00D3284F" w:rsidRDefault="008A3148" w:rsidP="000170C8">
      <w:pPr>
        <w:pStyle w:val="Sinespaciado"/>
        <w:spacing w:line="288" w:lineRule="auto"/>
        <w:rPr>
          <w:rFonts w:ascii="Tahoma" w:hAnsi="Tahoma" w:cs="Tahoma"/>
          <w:color w:val="000000" w:themeColor="text1"/>
        </w:rPr>
      </w:pPr>
    </w:p>
    <w:p w:rsidR="008A3148" w:rsidRPr="00D3284F" w:rsidRDefault="008A3148" w:rsidP="000170C8">
      <w:pPr>
        <w:pStyle w:val="Prrafodelista2"/>
        <w:spacing w:after="0" w:line="288" w:lineRule="auto"/>
        <w:ind w:left="0"/>
        <w:jc w:val="both"/>
        <w:rPr>
          <w:rFonts w:ascii="Tahoma" w:hAnsi="Tahoma" w:cs="Tahoma"/>
          <w:color w:val="000000" w:themeColor="text1"/>
          <w:sz w:val="24"/>
          <w:szCs w:val="24"/>
        </w:rPr>
      </w:pPr>
      <w:r w:rsidRPr="00D3284F">
        <w:rPr>
          <w:rFonts w:ascii="Tahoma" w:hAnsi="Tahoma" w:cs="Tahoma"/>
          <w:color w:val="000000" w:themeColor="text1"/>
          <w:sz w:val="24"/>
          <w:szCs w:val="24"/>
        </w:rPr>
        <w:t xml:space="preserve">En mérito de lo expuesto, el </w:t>
      </w:r>
      <w:r w:rsidRPr="00D3284F">
        <w:rPr>
          <w:rFonts w:ascii="Tahoma" w:hAnsi="Tahoma" w:cs="Tahoma"/>
          <w:b/>
          <w:color w:val="000000" w:themeColor="text1"/>
          <w:sz w:val="24"/>
          <w:szCs w:val="24"/>
        </w:rPr>
        <w:t>Tribunal Superior del Distrito Judicial de Pereira - Risaralda, Sala Primera de Decisión Laboral,</w:t>
      </w:r>
      <w:r w:rsidRPr="00D3284F">
        <w:rPr>
          <w:rFonts w:ascii="Tahoma" w:hAnsi="Tahoma" w:cs="Tahoma"/>
          <w:color w:val="000000" w:themeColor="text1"/>
          <w:sz w:val="24"/>
          <w:szCs w:val="24"/>
        </w:rPr>
        <w:t xml:space="preserve"> administrando justicia en nombre de la República y por autoridad de la ley,</w:t>
      </w:r>
    </w:p>
    <w:p w:rsidR="008A3148" w:rsidRPr="00D3284F" w:rsidRDefault="008A3148" w:rsidP="000170C8">
      <w:pPr>
        <w:pStyle w:val="Prrafodelista2"/>
        <w:spacing w:after="0" w:line="288" w:lineRule="auto"/>
        <w:ind w:left="0"/>
        <w:jc w:val="both"/>
        <w:rPr>
          <w:rFonts w:ascii="Tahoma" w:hAnsi="Tahoma" w:cs="Tahoma"/>
          <w:color w:val="000000" w:themeColor="text1"/>
          <w:sz w:val="24"/>
          <w:szCs w:val="24"/>
        </w:rPr>
      </w:pPr>
    </w:p>
    <w:p w:rsidR="008A3148" w:rsidRPr="00D3284F" w:rsidRDefault="008A3148" w:rsidP="000170C8">
      <w:pPr>
        <w:spacing w:line="288" w:lineRule="auto"/>
        <w:jc w:val="center"/>
        <w:rPr>
          <w:rFonts w:ascii="Tahoma" w:hAnsi="Tahoma" w:cs="Tahoma"/>
          <w:b/>
          <w:color w:val="000000" w:themeColor="text1"/>
        </w:rPr>
      </w:pPr>
      <w:r w:rsidRPr="00D3284F">
        <w:rPr>
          <w:rFonts w:ascii="Tahoma" w:hAnsi="Tahoma" w:cs="Tahoma"/>
          <w:b/>
          <w:color w:val="000000" w:themeColor="text1"/>
        </w:rPr>
        <w:t>RESUELVE</w:t>
      </w:r>
    </w:p>
    <w:p w:rsidR="008A3148" w:rsidRPr="00D3284F" w:rsidRDefault="008A3148" w:rsidP="000170C8">
      <w:pPr>
        <w:pStyle w:val="Sinespaciado"/>
        <w:tabs>
          <w:tab w:val="left" w:pos="3387"/>
        </w:tabs>
        <w:spacing w:line="288" w:lineRule="auto"/>
        <w:rPr>
          <w:rFonts w:ascii="Tahoma" w:hAnsi="Tahoma" w:cs="Tahoma"/>
          <w:color w:val="000000" w:themeColor="text1"/>
        </w:rPr>
      </w:pPr>
      <w:r w:rsidRPr="00D3284F">
        <w:rPr>
          <w:rFonts w:ascii="Tahoma" w:hAnsi="Tahoma" w:cs="Tahoma"/>
          <w:color w:val="000000" w:themeColor="text1"/>
        </w:rPr>
        <w:tab/>
      </w:r>
    </w:p>
    <w:p w:rsidR="008A3148" w:rsidRPr="00D3284F" w:rsidRDefault="008A3148" w:rsidP="000170C8">
      <w:pPr>
        <w:widowControl w:val="0"/>
        <w:autoSpaceDE w:val="0"/>
        <w:autoSpaceDN w:val="0"/>
        <w:adjustRightInd w:val="0"/>
        <w:spacing w:line="288" w:lineRule="auto"/>
        <w:jc w:val="both"/>
        <w:rPr>
          <w:rFonts w:ascii="Tahoma" w:hAnsi="Tahoma" w:cs="Tahoma"/>
          <w:b/>
          <w:color w:val="000000" w:themeColor="text1"/>
        </w:rPr>
      </w:pPr>
      <w:r w:rsidRPr="00D3284F">
        <w:rPr>
          <w:rFonts w:ascii="Tahoma" w:hAnsi="Tahoma" w:cs="Tahoma"/>
          <w:b/>
          <w:color w:val="000000" w:themeColor="text1"/>
          <w:u w:val="single"/>
        </w:rPr>
        <w:t>PRIMERO</w:t>
      </w:r>
      <w:r w:rsidRPr="00D3284F">
        <w:rPr>
          <w:rFonts w:ascii="Tahoma" w:hAnsi="Tahoma" w:cs="Tahoma"/>
          <w:b/>
          <w:color w:val="000000" w:themeColor="text1"/>
        </w:rPr>
        <w:t xml:space="preserve">: CONFIRMAR </w:t>
      </w:r>
      <w:r w:rsidRPr="00D3284F">
        <w:rPr>
          <w:rFonts w:ascii="Tahoma" w:hAnsi="Tahoma" w:cs="Tahoma"/>
          <w:color w:val="000000" w:themeColor="text1"/>
        </w:rPr>
        <w:t xml:space="preserve">la sentencia proferida el 11 de octubre de 2018 por el Juzgado Quinto Laboral del Circuito de Pereira, dentro del proceso que promueve la señora </w:t>
      </w:r>
      <w:proofErr w:type="spellStart"/>
      <w:r w:rsidRPr="00D3284F">
        <w:rPr>
          <w:rFonts w:ascii="Tahoma" w:hAnsi="Tahoma" w:cs="Tahoma"/>
          <w:color w:val="000000" w:themeColor="text1"/>
        </w:rPr>
        <w:t>Jeny</w:t>
      </w:r>
      <w:proofErr w:type="spellEnd"/>
      <w:r w:rsidRPr="00D3284F">
        <w:rPr>
          <w:rFonts w:ascii="Tahoma" w:hAnsi="Tahoma" w:cs="Tahoma"/>
          <w:color w:val="000000" w:themeColor="text1"/>
        </w:rPr>
        <w:t xml:space="preserve"> Fernanda Ángel Loaiza</w:t>
      </w:r>
      <w:r w:rsidRPr="00D3284F">
        <w:rPr>
          <w:rFonts w:ascii="Tahoma" w:hAnsi="Tahoma" w:cs="Tahoma"/>
          <w:b/>
          <w:color w:val="000000" w:themeColor="text1"/>
        </w:rPr>
        <w:t xml:space="preserve"> </w:t>
      </w:r>
      <w:r w:rsidRPr="00D3284F">
        <w:rPr>
          <w:rFonts w:ascii="Tahoma" w:hAnsi="Tahoma" w:cs="Tahoma"/>
          <w:color w:val="000000" w:themeColor="text1"/>
        </w:rPr>
        <w:t xml:space="preserve">en contra de la </w:t>
      </w:r>
      <w:r w:rsidRPr="00D3284F">
        <w:rPr>
          <w:rFonts w:ascii="Tahoma" w:hAnsi="Tahoma" w:cs="Tahoma"/>
          <w:b/>
          <w:color w:val="000000" w:themeColor="text1"/>
        </w:rPr>
        <w:t>Administradora Colombiana de Pensiones – Colpensiones.</w:t>
      </w:r>
    </w:p>
    <w:p w:rsidR="008A3148" w:rsidRPr="00D3284F" w:rsidRDefault="008A3148" w:rsidP="000170C8">
      <w:pPr>
        <w:widowControl w:val="0"/>
        <w:autoSpaceDE w:val="0"/>
        <w:autoSpaceDN w:val="0"/>
        <w:adjustRightInd w:val="0"/>
        <w:spacing w:line="288" w:lineRule="auto"/>
        <w:jc w:val="both"/>
        <w:rPr>
          <w:rFonts w:ascii="Tahoma" w:hAnsi="Tahoma" w:cs="Tahoma"/>
          <w:bCs/>
          <w:i/>
          <w:iCs/>
          <w:color w:val="000000" w:themeColor="text1"/>
        </w:rPr>
      </w:pPr>
    </w:p>
    <w:p w:rsidR="008A3148" w:rsidRPr="00D3284F" w:rsidRDefault="008A3148" w:rsidP="000170C8">
      <w:pPr>
        <w:spacing w:line="288" w:lineRule="auto"/>
        <w:jc w:val="both"/>
        <w:rPr>
          <w:rFonts w:ascii="Tahoma" w:hAnsi="Tahoma" w:cs="Tahoma"/>
        </w:rPr>
      </w:pPr>
      <w:r w:rsidRPr="00D3284F">
        <w:rPr>
          <w:rFonts w:ascii="Tahoma" w:hAnsi="Tahoma" w:cs="Tahoma"/>
          <w:b/>
          <w:bCs/>
          <w:iCs/>
          <w:color w:val="000000" w:themeColor="text1"/>
          <w:u w:val="single"/>
        </w:rPr>
        <w:t>SEGUNDO</w:t>
      </w:r>
      <w:r w:rsidRPr="00D3284F">
        <w:rPr>
          <w:rFonts w:ascii="Tahoma" w:hAnsi="Tahoma" w:cs="Tahoma"/>
          <w:b/>
          <w:bCs/>
          <w:iCs/>
          <w:color w:val="000000" w:themeColor="text1"/>
        </w:rPr>
        <w:t xml:space="preserve">: CONDENAR </w:t>
      </w:r>
      <w:r w:rsidRPr="00D3284F">
        <w:rPr>
          <w:rFonts w:ascii="Tahoma" w:hAnsi="Tahoma" w:cs="Tahoma"/>
          <w:bCs/>
          <w:iCs/>
          <w:color w:val="000000" w:themeColor="text1"/>
        </w:rPr>
        <w:t>en c</w:t>
      </w:r>
      <w:r w:rsidRPr="00D3284F">
        <w:rPr>
          <w:rFonts w:ascii="Tahoma" w:hAnsi="Tahoma" w:cs="Tahoma"/>
        </w:rPr>
        <w:t>ostas en esta instancia a la parte actora en favor de Colpensiones por lo mencionado.</w:t>
      </w:r>
    </w:p>
    <w:p w:rsidR="008A3148" w:rsidRPr="00D3284F" w:rsidRDefault="008A3148" w:rsidP="000170C8">
      <w:pPr>
        <w:spacing w:line="288" w:lineRule="auto"/>
        <w:jc w:val="both"/>
        <w:rPr>
          <w:rFonts w:ascii="Tahoma" w:hAnsi="Tahoma" w:cs="Tahoma"/>
          <w:color w:val="000000" w:themeColor="text1"/>
        </w:rPr>
      </w:pPr>
    </w:p>
    <w:p w:rsidR="008A3148" w:rsidRPr="00D3284F" w:rsidRDefault="008A3148" w:rsidP="000170C8">
      <w:pPr>
        <w:spacing w:line="288" w:lineRule="auto"/>
        <w:contextualSpacing/>
        <w:jc w:val="both"/>
        <w:rPr>
          <w:rFonts w:ascii="Tahoma" w:hAnsi="Tahoma" w:cs="Tahoma"/>
          <w:color w:val="000000" w:themeColor="text1"/>
        </w:rPr>
      </w:pPr>
      <w:r w:rsidRPr="00D3284F">
        <w:rPr>
          <w:rFonts w:ascii="Tahoma" w:hAnsi="Tahoma" w:cs="Tahoma"/>
          <w:color w:val="000000" w:themeColor="text1"/>
        </w:rPr>
        <w:t>Notificación surtida en estrados.</w:t>
      </w:r>
    </w:p>
    <w:p w:rsidR="008A3148" w:rsidRPr="00D3284F" w:rsidRDefault="008A3148" w:rsidP="000170C8">
      <w:pPr>
        <w:spacing w:line="288" w:lineRule="auto"/>
        <w:contextualSpacing/>
        <w:jc w:val="both"/>
        <w:rPr>
          <w:rFonts w:ascii="Tahoma" w:hAnsi="Tahoma" w:cs="Tahoma"/>
          <w:color w:val="000000" w:themeColor="text1"/>
        </w:rPr>
      </w:pPr>
    </w:p>
    <w:p w:rsidR="008A3148" w:rsidRPr="00D3284F" w:rsidRDefault="008A3148" w:rsidP="000170C8">
      <w:pPr>
        <w:pStyle w:val="Textoindependiente"/>
        <w:spacing w:after="0" w:line="288" w:lineRule="auto"/>
        <w:contextualSpacing/>
        <w:rPr>
          <w:rFonts w:ascii="Tahoma" w:hAnsi="Tahoma" w:cs="Tahoma"/>
          <w:color w:val="000000" w:themeColor="text1"/>
        </w:rPr>
      </w:pPr>
      <w:r w:rsidRPr="00D3284F">
        <w:rPr>
          <w:rFonts w:ascii="Tahoma" w:hAnsi="Tahoma" w:cs="Tahoma"/>
          <w:color w:val="000000" w:themeColor="text1"/>
        </w:rPr>
        <w:t>No siendo otro el objeto de la presente audiencia, se eleva y firma esta acta por las personas que han intervenido.</w:t>
      </w:r>
    </w:p>
    <w:p w:rsidR="008A3148" w:rsidRPr="00D3284F" w:rsidRDefault="008A3148" w:rsidP="000170C8">
      <w:pPr>
        <w:widowControl w:val="0"/>
        <w:autoSpaceDE w:val="0"/>
        <w:autoSpaceDN w:val="0"/>
        <w:adjustRightInd w:val="0"/>
        <w:spacing w:line="288" w:lineRule="auto"/>
        <w:contextualSpacing/>
        <w:jc w:val="both"/>
        <w:rPr>
          <w:rFonts w:ascii="Tahoma" w:hAnsi="Tahoma" w:cs="Tahoma"/>
          <w:color w:val="000000" w:themeColor="text1"/>
        </w:rPr>
      </w:pPr>
    </w:p>
    <w:p w:rsidR="008A3148" w:rsidRPr="00D3284F" w:rsidRDefault="008A3148" w:rsidP="000170C8">
      <w:pPr>
        <w:widowControl w:val="0"/>
        <w:autoSpaceDE w:val="0"/>
        <w:autoSpaceDN w:val="0"/>
        <w:adjustRightInd w:val="0"/>
        <w:spacing w:line="288" w:lineRule="auto"/>
        <w:contextualSpacing/>
        <w:jc w:val="both"/>
        <w:rPr>
          <w:rFonts w:ascii="Tahoma" w:hAnsi="Tahoma" w:cs="Tahoma"/>
          <w:color w:val="000000" w:themeColor="text1"/>
        </w:rPr>
      </w:pPr>
      <w:r w:rsidRPr="00D3284F">
        <w:rPr>
          <w:rFonts w:ascii="Tahoma" w:hAnsi="Tahoma" w:cs="Tahoma"/>
          <w:color w:val="000000" w:themeColor="text1"/>
        </w:rPr>
        <w:t>Quienes integran la Sala,</w:t>
      </w:r>
    </w:p>
    <w:p w:rsidR="00D3284F" w:rsidRDefault="00D3284F" w:rsidP="000170C8">
      <w:pPr>
        <w:spacing w:line="288" w:lineRule="auto"/>
        <w:jc w:val="both"/>
        <w:rPr>
          <w:rFonts w:ascii="Tahoma" w:eastAsiaTheme="minorHAnsi" w:hAnsi="Tahoma" w:cs="Tahoma"/>
          <w:lang w:eastAsia="en-US"/>
        </w:rPr>
      </w:pPr>
    </w:p>
    <w:p w:rsidR="00D3284F" w:rsidRPr="00D3284F" w:rsidRDefault="00D3284F" w:rsidP="000170C8">
      <w:pPr>
        <w:spacing w:line="288" w:lineRule="auto"/>
        <w:jc w:val="both"/>
        <w:rPr>
          <w:rFonts w:ascii="Tahoma" w:eastAsiaTheme="minorHAnsi" w:hAnsi="Tahoma" w:cs="Tahoma"/>
          <w:lang w:eastAsia="en-US"/>
        </w:rPr>
      </w:pPr>
    </w:p>
    <w:p w:rsidR="00D3284F" w:rsidRPr="00D3284F" w:rsidRDefault="00D3284F" w:rsidP="000170C8">
      <w:pPr>
        <w:spacing w:line="288" w:lineRule="auto"/>
        <w:jc w:val="both"/>
        <w:rPr>
          <w:rFonts w:ascii="Tahoma" w:eastAsiaTheme="minorHAnsi" w:hAnsi="Tahoma" w:cs="Tahoma"/>
          <w:lang w:eastAsia="en-US"/>
        </w:rPr>
      </w:pPr>
    </w:p>
    <w:p w:rsidR="00D3284F" w:rsidRPr="00D3284F" w:rsidRDefault="00D3284F" w:rsidP="000170C8">
      <w:pPr>
        <w:keepNext/>
        <w:keepLines/>
        <w:spacing w:line="288" w:lineRule="auto"/>
        <w:ind w:firstLine="709"/>
        <w:jc w:val="center"/>
        <w:outlineLvl w:val="2"/>
        <w:rPr>
          <w:rFonts w:ascii="Tahoma" w:eastAsiaTheme="majorEastAsia" w:hAnsi="Tahoma" w:cs="Tahoma"/>
          <w:b/>
          <w:bCs/>
          <w:lang w:eastAsia="en-US"/>
        </w:rPr>
      </w:pPr>
      <w:r w:rsidRPr="00D3284F">
        <w:rPr>
          <w:rFonts w:ascii="Tahoma" w:eastAsiaTheme="majorEastAsia" w:hAnsi="Tahoma" w:cs="Tahoma"/>
          <w:b/>
          <w:lang w:eastAsia="en-US"/>
        </w:rPr>
        <w:t>ANA LUCÍA CAICEDO CALDERÓN</w:t>
      </w:r>
    </w:p>
    <w:p w:rsidR="00D3284F" w:rsidRPr="009A0685" w:rsidRDefault="009A0685" w:rsidP="009A0685">
      <w:pPr>
        <w:spacing w:line="288" w:lineRule="auto"/>
        <w:jc w:val="center"/>
        <w:rPr>
          <w:rFonts w:ascii="Tahoma" w:eastAsiaTheme="minorHAnsi" w:hAnsi="Tahoma" w:cs="Tahoma"/>
          <w:lang w:eastAsia="en-US"/>
        </w:rPr>
      </w:pPr>
      <w:r>
        <w:rPr>
          <w:rFonts w:ascii="Tahoma" w:eastAsiaTheme="minorHAnsi" w:hAnsi="Tahoma" w:cs="Tahoma"/>
          <w:lang w:eastAsia="en-US"/>
        </w:rPr>
        <w:t>Salva voto</w:t>
      </w:r>
    </w:p>
    <w:p w:rsidR="00D3284F" w:rsidRDefault="00D3284F" w:rsidP="000170C8">
      <w:pPr>
        <w:spacing w:line="288" w:lineRule="auto"/>
        <w:jc w:val="both"/>
        <w:rPr>
          <w:rFonts w:ascii="Tahoma" w:eastAsiaTheme="minorHAnsi" w:hAnsi="Tahoma" w:cs="Tahoma"/>
          <w:b/>
          <w:lang w:eastAsia="en-US"/>
        </w:rPr>
      </w:pPr>
    </w:p>
    <w:p w:rsidR="000170C8" w:rsidRPr="00D3284F" w:rsidRDefault="000170C8" w:rsidP="000170C8">
      <w:pPr>
        <w:spacing w:line="288" w:lineRule="auto"/>
        <w:jc w:val="both"/>
        <w:rPr>
          <w:rFonts w:ascii="Tahoma" w:eastAsiaTheme="minorHAnsi" w:hAnsi="Tahoma" w:cs="Tahoma"/>
          <w:b/>
          <w:lang w:eastAsia="en-US"/>
        </w:rPr>
      </w:pPr>
    </w:p>
    <w:p w:rsidR="00D3284F" w:rsidRPr="00D3284F" w:rsidRDefault="00D3284F" w:rsidP="000170C8">
      <w:pPr>
        <w:spacing w:line="288" w:lineRule="auto"/>
        <w:jc w:val="both"/>
        <w:rPr>
          <w:rFonts w:ascii="Tahoma" w:eastAsiaTheme="minorHAnsi" w:hAnsi="Tahoma" w:cs="Tahoma"/>
          <w:b/>
          <w:lang w:eastAsia="en-US"/>
        </w:rPr>
      </w:pPr>
      <w:r w:rsidRPr="00D3284F">
        <w:rPr>
          <w:rFonts w:ascii="Tahoma" w:eastAsiaTheme="minorHAnsi" w:hAnsi="Tahoma" w:cs="Tahoma"/>
          <w:b/>
          <w:lang w:eastAsia="en-US"/>
        </w:rPr>
        <w:t>OLGA LUCÍA HOYOS SEPÚLVEDA</w:t>
      </w:r>
      <w:r w:rsidRPr="00D3284F">
        <w:rPr>
          <w:rFonts w:ascii="Tahoma" w:eastAsiaTheme="minorHAnsi" w:hAnsi="Tahoma" w:cs="Tahoma"/>
          <w:b/>
          <w:lang w:eastAsia="en-US"/>
        </w:rPr>
        <w:tab/>
      </w:r>
      <w:r w:rsidRPr="00D3284F">
        <w:rPr>
          <w:rFonts w:ascii="Tahoma" w:eastAsiaTheme="minorHAnsi" w:hAnsi="Tahoma" w:cs="Tahoma"/>
          <w:b/>
          <w:lang w:eastAsia="en-US"/>
        </w:rPr>
        <w:tab/>
        <w:t xml:space="preserve">    JULIO CÉSAR SALAZAR MUÑOZ</w:t>
      </w:r>
    </w:p>
    <w:p w:rsidR="00DF3564" w:rsidRDefault="00D3284F" w:rsidP="000170C8">
      <w:pPr>
        <w:widowControl w:val="0"/>
        <w:autoSpaceDE w:val="0"/>
        <w:autoSpaceDN w:val="0"/>
        <w:adjustRightInd w:val="0"/>
        <w:spacing w:line="288" w:lineRule="auto"/>
        <w:contextualSpacing/>
        <w:jc w:val="both"/>
        <w:rPr>
          <w:rFonts w:ascii="Tahoma" w:eastAsiaTheme="minorHAnsi" w:hAnsi="Tahoma" w:cs="Tahoma"/>
          <w:lang w:eastAsia="en-US"/>
        </w:rPr>
      </w:pPr>
      <w:r w:rsidRPr="00D3284F">
        <w:rPr>
          <w:rFonts w:ascii="Tahoma" w:eastAsiaTheme="minorHAnsi" w:hAnsi="Tahoma" w:cs="Tahoma"/>
          <w:lang w:eastAsia="en-US"/>
        </w:rPr>
        <w:t>Magistrada</w:t>
      </w:r>
      <w:r w:rsidRPr="00D3284F">
        <w:rPr>
          <w:rFonts w:ascii="Tahoma" w:eastAsiaTheme="minorHAnsi" w:hAnsi="Tahoma" w:cs="Tahoma"/>
          <w:lang w:eastAsia="en-US"/>
        </w:rPr>
        <w:tab/>
      </w:r>
      <w:r w:rsidRPr="00D3284F">
        <w:rPr>
          <w:rFonts w:ascii="Tahoma" w:eastAsiaTheme="minorHAnsi" w:hAnsi="Tahoma" w:cs="Tahoma"/>
          <w:lang w:eastAsia="en-US"/>
        </w:rPr>
        <w:tab/>
      </w:r>
      <w:r w:rsidRPr="00D3284F">
        <w:rPr>
          <w:rFonts w:ascii="Tahoma" w:eastAsiaTheme="minorHAnsi" w:hAnsi="Tahoma" w:cs="Tahoma"/>
          <w:lang w:eastAsia="en-US"/>
        </w:rPr>
        <w:tab/>
      </w:r>
      <w:r w:rsidRPr="00D3284F">
        <w:rPr>
          <w:rFonts w:ascii="Tahoma" w:eastAsiaTheme="minorHAnsi" w:hAnsi="Tahoma" w:cs="Tahoma"/>
          <w:lang w:eastAsia="en-US"/>
        </w:rPr>
        <w:tab/>
      </w:r>
      <w:r w:rsidRPr="00D3284F">
        <w:rPr>
          <w:rFonts w:ascii="Tahoma" w:eastAsiaTheme="minorHAnsi" w:hAnsi="Tahoma" w:cs="Tahoma"/>
          <w:lang w:eastAsia="en-US"/>
        </w:rPr>
        <w:tab/>
      </w:r>
      <w:r w:rsidRPr="00D3284F">
        <w:rPr>
          <w:rFonts w:ascii="Tahoma" w:eastAsiaTheme="minorHAnsi" w:hAnsi="Tahoma" w:cs="Tahoma"/>
          <w:lang w:eastAsia="en-US"/>
        </w:rPr>
        <w:tab/>
      </w:r>
      <w:r w:rsidRPr="00D3284F">
        <w:rPr>
          <w:rFonts w:ascii="Tahoma" w:eastAsiaTheme="minorHAnsi" w:hAnsi="Tahoma" w:cs="Tahoma"/>
          <w:b/>
          <w:lang w:eastAsia="en-US"/>
        </w:rPr>
        <w:t xml:space="preserve">    </w:t>
      </w:r>
      <w:r w:rsidRPr="00D3284F">
        <w:rPr>
          <w:rFonts w:ascii="Tahoma" w:eastAsiaTheme="minorHAnsi" w:hAnsi="Tahoma" w:cs="Tahoma"/>
          <w:lang w:eastAsia="en-US"/>
        </w:rPr>
        <w:t>Magistrado</w:t>
      </w:r>
    </w:p>
    <w:p w:rsidR="00066667" w:rsidRDefault="00066667" w:rsidP="00D3284F">
      <w:pPr>
        <w:widowControl w:val="0"/>
        <w:autoSpaceDE w:val="0"/>
        <w:autoSpaceDN w:val="0"/>
        <w:adjustRightInd w:val="0"/>
        <w:spacing w:line="276" w:lineRule="auto"/>
        <w:contextualSpacing/>
        <w:jc w:val="both"/>
        <w:rPr>
          <w:rFonts w:ascii="Tahoma" w:eastAsiaTheme="minorHAnsi" w:hAnsi="Tahoma" w:cs="Tahoma"/>
          <w:lang w:eastAsia="en-US"/>
        </w:rPr>
      </w:pPr>
    </w:p>
    <w:p w:rsidR="00066667" w:rsidRDefault="00066667">
      <w:pPr>
        <w:spacing w:after="160" w:line="259" w:lineRule="auto"/>
        <w:rPr>
          <w:rFonts w:ascii="Tahoma" w:eastAsiaTheme="minorHAnsi" w:hAnsi="Tahoma" w:cs="Tahoma"/>
          <w:lang w:eastAsia="en-US"/>
        </w:rPr>
      </w:pPr>
      <w:r>
        <w:rPr>
          <w:rFonts w:ascii="Tahoma" w:eastAsiaTheme="minorHAnsi" w:hAnsi="Tahoma" w:cs="Tahoma"/>
          <w:lang w:eastAsia="en-US"/>
        </w:rPr>
        <w:br w:type="page"/>
      </w:r>
    </w:p>
    <w:p w:rsidR="00066667" w:rsidRPr="00066667" w:rsidRDefault="00066667" w:rsidP="000170C8">
      <w:pPr>
        <w:widowControl w:val="0"/>
        <w:autoSpaceDE w:val="0"/>
        <w:autoSpaceDN w:val="0"/>
        <w:adjustRightInd w:val="0"/>
        <w:jc w:val="both"/>
        <w:rPr>
          <w:rFonts w:ascii="Arial" w:hAnsi="Arial" w:cs="Arial"/>
          <w:color w:val="000000" w:themeColor="text1"/>
          <w:sz w:val="20"/>
        </w:rPr>
      </w:pPr>
      <w:r w:rsidRPr="00066667">
        <w:rPr>
          <w:rFonts w:ascii="Arial" w:hAnsi="Arial" w:cs="Arial"/>
          <w:color w:val="000000" w:themeColor="text1"/>
          <w:sz w:val="20"/>
        </w:rPr>
        <w:lastRenderedPageBreak/>
        <w:t xml:space="preserve">Providencia: </w:t>
      </w:r>
      <w:r w:rsidRPr="00066667">
        <w:rPr>
          <w:rFonts w:ascii="Arial" w:hAnsi="Arial" w:cs="Arial"/>
          <w:color w:val="000000" w:themeColor="text1"/>
          <w:sz w:val="20"/>
        </w:rPr>
        <w:tab/>
      </w:r>
      <w:r w:rsidRPr="00066667">
        <w:rPr>
          <w:rFonts w:ascii="Arial" w:hAnsi="Arial" w:cs="Arial"/>
          <w:color w:val="000000" w:themeColor="text1"/>
          <w:sz w:val="20"/>
        </w:rPr>
        <w:tab/>
      </w:r>
      <w:r w:rsidRPr="00066667">
        <w:rPr>
          <w:rFonts w:ascii="Arial" w:hAnsi="Arial" w:cs="Arial"/>
          <w:color w:val="000000" w:themeColor="text1"/>
          <w:sz w:val="20"/>
        </w:rPr>
        <w:tab/>
        <w:t>Sentencia del 4 de octubre de 2019</w:t>
      </w:r>
    </w:p>
    <w:p w:rsidR="00066667" w:rsidRPr="00066667" w:rsidRDefault="00066667" w:rsidP="000170C8">
      <w:pPr>
        <w:widowControl w:val="0"/>
        <w:autoSpaceDE w:val="0"/>
        <w:autoSpaceDN w:val="0"/>
        <w:adjustRightInd w:val="0"/>
        <w:jc w:val="both"/>
        <w:rPr>
          <w:rFonts w:ascii="Arial" w:hAnsi="Arial" w:cs="Arial"/>
          <w:color w:val="000000" w:themeColor="text1"/>
          <w:sz w:val="20"/>
        </w:rPr>
      </w:pPr>
      <w:r w:rsidRPr="00066667">
        <w:rPr>
          <w:rFonts w:ascii="Arial" w:hAnsi="Arial" w:cs="Arial"/>
          <w:color w:val="000000" w:themeColor="text1"/>
          <w:sz w:val="20"/>
        </w:rPr>
        <w:t xml:space="preserve">Radicación: </w:t>
      </w:r>
      <w:r w:rsidRPr="00066667">
        <w:rPr>
          <w:rFonts w:ascii="Arial" w:hAnsi="Arial" w:cs="Arial"/>
          <w:color w:val="000000" w:themeColor="text1"/>
          <w:sz w:val="20"/>
        </w:rPr>
        <w:tab/>
      </w:r>
      <w:r w:rsidRPr="00066667">
        <w:rPr>
          <w:rFonts w:ascii="Arial" w:hAnsi="Arial" w:cs="Arial"/>
          <w:color w:val="000000" w:themeColor="text1"/>
          <w:sz w:val="20"/>
        </w:rPr>
        <w:tab/>
      </w:r>
      <w:r w:rsidRPr="00066667">
        <w:rPr>
          <w:rFonts w:ascii="Arial" w:hAnsi="Arial" w:cs="Arial"/>
          <w:color w:val="000000" w:themeColor="text1"/>
          <w:sz w:val="20"/>
        </w:rPr>
        <w:tab/>
        <w:t>66001-31-05-005-2017-00278-01</w:t>
      </w:r>
      <w:r w:rsidRPr="00066667">
        <w:rPr>
          <w:rFonts w:ascii="Arial" w:hAnsi="Arial" w:cs="Arial"/>
          <w:color w:val="000000" w:themeColor="text1"/>
          <w:sz w:val="20"/>
        </w:rPr>
        <w:br/>
        <w:t xml:space="preserve">Proceso: </w:t>
      </w:r>
      <w:r w:rsidRPr="00066667">
        <w:rPr>
          <w:rFonts w:ascii="Arial" w:hAnsi="Arial" w:cs="Arial"/>
          <w:color w:val="000000" w:themeColor="text1"/>
          <w:sz w:val="20"/>
        </w:rPr>
        <w:tab/>
      </w:r>
      <w:r w:rsidRPr="00066667">
        <w:rPr>
          <w:rFonts w:ascii="Arial" w:hAnsi="Arial" w:cs="Arial"/>
          <w:color w:val="000000" w:themeColor="text1"/>
          <w:sz w:val="20"/>
        </w:rPr>
        <w:tab/>
      </w:r>
      <w:r w:rsidRPr="00066667">
        <w:rPr>
          <w:rFonts w:ascii="Arial" w:hAnsi="Arial" w:cs="Arial"/>
          <w:color w:val="000000" w:themeColor="text1"/>
          <w:sz w:val="20"/>
        </w:rPr>
        <w:tab/>
        <w:t>Ordinario laboral</w:t>
      </w:r>
    </w:p>
    <w:p w:rsidR="00066667" w:rsidRPr="00066667" w:rsidRDefault="00066667" w:rsidP="000170C8">
      <w:pPr>
        <w:widowControl w:val="0"/>
        <w:autoSpaceDE w:val="0"/>
        <w:autoSpaceDN w:val="0"/>
        <w:adjustRightInd w:val="0"/>
        <w:jc w:val="both"/>
        <w:rPr>
          <w:rFonts w:ascii="Arial" w:hAnsi="Arial" w:cs="Arial"/>
          <w:color w:val="000000" w:themeColor="text1"/>
          <w:sz w:val="20"/>
        </w:rPr>
      </w:pPr>
      <w:r w:rsidRPr="00066667">
        <w:rPr>
          <w:rFonts w:ascii="Arial" w:hAnsi="Arial" w:cs="Arial"/>
          <w:color w:val="000000" w:themeColor="text1"/>
          <w:sz w:val="20"/>
        </w:rPr>
        <w:t xml:space="preserve">Demandante: </w:t>
      </w:r>
      <w:r w:rsidRPr="00066667">
        <w:rPr>
          <w:rFonts w:ascii="Arial" w:hAnsi="Arial" w:cs="Arial"/>
          <w:color w:val="000000" w:themeColor="text1"/>
          <w:sz w:val="20"/>
        </w:rPr>
        <w:tab/>
      </w:r>
      <w:r w:rsidRPr="00066667">
        <w:rPr>
          <w:rFonts w:ascii="Arial" w:hAnsi="Arial" w:cs="Arial"/>
          <w:color w:val="000000" w:themeColor="text1"/>
          <w:sz w:val="20"/>
        </w:rPr>
        <w:tab/>
      </w:r>
      <w:r w:rsidRPr="00066667">
        <w:rPr>
          <w:rFonts w:ascii="Arial" w:hAnsi="Arial" w:cs="Arial"/>
          <w:color w:val="000000" w:themeColor="text1"/>
          <w:sz w:val="20"/>
        </w:rPr>
        <w:tab/>
      </w:r>
      <w:proofErr w:type="spellStart"/>
      <w:r w:rsidRPr="00066667">
        <w:rPr>
          <w:rFonts w:ascii="Arial" w:hAnsi="Arial" w:cs="Arial"/>
          <w:color w:val="000000" w:themeColor="text1"/>
          <w:sz w:val="20"/>
        </w:rPr>
        <w:t>Jeny</w:t>
      </w:r>
      <w:proofErr w:type="spellEnd"/>
      <w:r w:rsidRPr="00066667">
        <w:rPr>
          <w:rFonts w:ascii="Arial" w:hAnsi="Arial" w:cs="Arial"/>
          <w:color w:val="000000" w:themeColor="text1"/>
          <w:sz w:val="20"/>
        </w:rPr>
        <w:t xml:space="preserve"> Fernanda Ángel Loaiza</w:t>
      </w:r>
    </w:p>
    <w:p w:rsidR="00066667" w:rsidRPr="00066667" w:rsidRDefault="00066667" w:rsidP="000170C8">
      <w:pPr>
        <w:widowControl w:val="0"/>
        <w:autoSpaceDE w:val="0"/>
        <w:autoSpaceDN w:val="0"/>
        <w:adjustRightInd w:val="0"/>
        <w:jc w:val="both"/>
        <w:rPr>
          <w:rFonts w:ascii="Arial" w:hAnsi="Arial" w:cs="Arial"/>
          <w:color w:val="000000" w:themeColor="text1"/>
          <w:sz w:val="20"/>
        </w:rPr>
      </w:pPr>
      <w:r w:rsidRPr="00066667">
        <w:rPr>
          <w:rFonts w:ascii="Arial" w:hAnsi="Arial" w:cs="Arial"/>
          <w:color w:val="000000" w:themeColor="text1"/>
          <w:sz w:val="20"/>
        </w:rPr>
        <w:t>Demandado:</w:t>
      </w:r>
      <w:r w:rsidRPr="00066667">
        <w:rPr>
          <w:rFonts w:ascii="Arial" w:hAnsi="Arial" w:cs="Arial"/>
          <w:color w:val="000000" w:themeColor="text1"/>
          <w:sz w:val="20"/>
        </w:rPr>
        <w:tab/>
      </w:r>
      <w:r w:rsidRPr="00066667">
        <w:rPr>
          <w:rFonts w:ascii="Arial" w:hAnsi="Arial" w:cs="Arial"/>
          <w:color w:val="000000" w:themeColor="text1"/>
          <w:sz w:val="20"/>
        </w:rPr>
        <w:tab/>
      </w:r>
      <w:r w:rsidRPr="00066667">
        <w:rPr>
          <w:rFonts w:ascii="Arial" w:hAnsi="Arial" w:cs="Arial"/>
          <w:color w:val="000000" w:themeColor="text1"/>
          <w:sz w:val="20"/>
        </w:rPr>
        <w:tab/>
        <w:t xml:space="preserve">Colpensiones </w:t>
      </w:r>
    </w:p>
    <w:p w:rsidR="00066667" w:rsidRPr="00066667" w:rsidRDefault="00066667" w:rsidP="000170C8">
      <w:pPr>
        <w:widowControl w:val="0"/>
        <w:autoSpaceDE w:val="0"/>
        <w:autoSpaceDN w:val="0"/>
        <w:adjustRightInd w:val="0"/>
        <w:jc w:val="both"/>
        <w:rPr>
          <w:rFonts w:ascii="Arial" w:hAnsi="Arial" w:cs="Arial"/>
          <w:color w:val="000000" w:themeColor="text1"/>
          <w:sz w:val="20"/>
        </w:rPr>
      </w:pPr>
      <w:r w:rsidRPr="00066667">
        <w:rPr>
          <w:rFonts w:ascii="Arial" w:hAnsi="Arial" w:cs="Arial"/>
          <w:color w:val="000000" w:themeColor="text1"/>
          <w:sz w:val="20"/>
        </w:rPr>
        <w:t>Magistradas ponentes:</w:t>
      </w:r>
      <w:r w:rsidRPr="00066667">
        <w:rPr>
          <w:rFonts w:ascii="Arial" w:hAnsi="Arial" w:cs="Arial"/>
          <w:color w:val="000000" w:themeColor="text1"/>
          <w:sz w:val="20"/>
        </w:rPr>
        <w:tab/>
      </w:r>
      <w:r w:rsidRPr="00066667">
        <w:rPr>
          <w:rFonts w:ascii="Arial" w:hAnsi="Arial" w:cs="Arial"/>
          <w:color w:val="000000" w:themeColor="text1"/>
          <w:sz w:val="20"/>
        </w:rPr>
        <w:tab/>
        <w:t xml:space="preserve">Dras. Ana Lucia Caicedo Calderón y Olga Lucía Hoyos Sepúlveda </w:t>
      </w:r>
    </w:p>
    <w:p w:rsidR="00066667" w:rsidRPr="00066667" w:rsidRDefault="00066667" w:rsidP="000170C8">
      <w:pPr>
        <w:widowControl w:val="0"/>
        <w:autoSpaceDE w:val="0"/>
        <w:autoSpaceDN w:val="0"/>
        <w:adjustRightInd w:val="0"/>
        <w:jc w:val="both"/>
        <w:rPr>
          <w:rFonts w:ascii="Arial" w:hAnsi="Arial" w:cs="Arial"/>
          <w:color w:val="000000" w:themeColor="text1"/>
          <w:sz w:val="20"/>
        </w:rPr>
      </w:pPr>
      <w:r w:rsidRPr="00066667">
        <w:rPr>
          <w:rFonts w:ascii="Arial" w:hAnsi="Arial" w:cs="Arial"/>
          <w:color w:val="000000" w:themeColor="text1"/>
          <w:sz w:val="20"/>
        </w:rPr>
        <w:t>Magistrada que salva voto:</w:t>
      </w:r>
      <w:r w:rsidRPr="00066667">
        <w:rPr>
          <w:rFonts w:ascii="Arial" w:hAnsi="Arial" w:cs="Arial"/>
          <w:color w:val="000000" w:themeColor="text1"/>
          <w:sz w:val="20"/>
        </w:rPr>
        <w:tab/>
        <w:t>Dra. Ana Lucia Caicedo Calderón</w:t>
      </w:r>
    </w:p>
    <w:p w:rsidR="00066667" w:rsidRPr="00066667" w:rsidRDefault="00066667" w:rsidP="00066667">
      <w:pPr>
        <w:widowControl w:val="0"/>
        <w:autoSpaceDE w:val="0"/>
        <w:autoSpaceDN w:val="0"/>
        <w:adjustRightInd w:val="0"/>
        <w:spacing w:line="276" w:lineRule="auto"/>
        <w:ind w:left="2805" w:hanging="2805"/>
        <w:jc w:val="both"/>
        <w:rPr>
          <w:rFonts w:ascii="Arial" w:hAnsi="Arial" w:cs="Arial"/>
          <w:color w:val="000000" w:themeColor="text1"/>
          <w:sz w:val="20"/>
          <w:lang w:eastAsia="es-MX"/>
        </w:rPr>
      </w:pPr>
    </w:p>
    <w:p w:rsidR="00066667" w:rsidRPr="00066667" w:rsidRDefault="00066667" w:rsidP="00066667">
      <w:pPr>
        <w:spacing w:line="276" w:lineRule="auto"/>
        <w:rPr>
          <w:rFonts w:ascii="Arial" w:hAnsi="Arial" w:cs="Arial"/>
          <w:color w:val="000000" w:themeColor="text1"/>
          <w:sz w:val="20"/>
          <w:lang w:val="es-CO" w:eastAsia="es-MX"/>
        </w:rPr>
      </w:pPr>
    </w:p>
    <w:p w:rsidR="00066667" w:rsidRPr="00066667" w:rsidRDefault="00066667" w:rsidP="00066667">
      <w:pPr>
        <w:spacing w:line="276" w:lineRule="auto"/>
        <w:rPr>
          <w:rFonts w:ascii="Arial" w:hAnsi="Arial" w:cs="Arial"/>
          <w:color w:val="000000" w:themeColor="text1"/>
          <w:sz w:val="20"/>
          <w:lang w:val="es-CO" w:eastAsia="es-MX"/>
        </w:rPr>
      </w:pPr>
    </w:p>
    <w:p w:rsidR="00066667" w:rsidRPr="00066667" w:rsidRDefault="00066667" w:rsidP="00066667">
      <w:pPr>
        <w:keepNext/>
        <w:spacing w:line="276" w:lineRule="auto"/>
        <w:jc w:val="center"/>
        <w:outlineLvl w:val="0"/>
        <w:rPr>
          <w:rFonts w:ascii="Arial" w:hAnsi="Arial" w:cs="Arial"/>
          <w:b/>
          <w:bCs/>
          <w:color w:val="000000" w:themeColor="text1"/>
          <w:u w:val="single"/>
        </w:rPr>
      </w:pPr>
      <w:r w:rsidRPr="00066667">
        <w:rPr>
          <w:rFonts w:ascii="Arial" w:hAnsi="Arial" w:cs="Arial"/>
          <w:b/>
          <w:bCs/>
          <w:color w:val="000000" w:themeColor="text1"/>
          <w:u w:val="single"/>
        </w:rPr>
        <w:t>SALVAMENTO DE VOTO</w:t>
      </w:r>
    </w:p>
    <w:p w:rsidR="00066667" w:rsidRPr="00066667" w:rsidRDefault="00066667" w:rsidP="00066667">
      <w:pPr>
        <w:spacing w:line="276" w:lineRule="auto"/>
        <w:jc w:val="both"/>
        <w:rPr>
          <w:rFonts w:ascii="Arial" w:hAnsi="Arial" w:cs="Arial"/>
          <w:b/>
          <w:bCs/>
          <w:color w:val="000000" w:themeColor="text1"/>
        </w:rPr>
      </w:pPr>
    </w:p>
    <w:p w:rsidR="00066667" w:rsidRPr="00066667" w:rsidRDefault="00066667" w:rsidP="00066667">
      <w:pPr>
        <w:spacing w:line="276" w:lineRule="auto"/>
        <w:ind w:firstLine="709"/>
        <w:jc w:val="both"/>
        <w:rPr>
          <w:rFonts w:ascii="Arial" w:hAnsi="Arial" w:cs="Arial"/>
          <w:color w:val="000000" w:themeColor="text1"/>
        </w:rPr>
      </w:pPr>
      <w:r w:rsidRPr="00066667">
        <w:rPr>
          <w:rFonts w:ascii="Arial" w:hAnsi="Arial" w:cs="Arial"/>
          <w:color w:val="000000" w:themeColor="text1"/>
        </w:rPr>
        <w:t>Con mi acostumbrado respeto, manifiesto mi inconformidad frente a la decisión mayoritaria por las razones que expuse cuando presenté el proyecto en mi calidad de ponente original, las cuales fueron las siguientes:</w:t>
      </w:r>
    </w:p>
    <w:p w:rsidR="00066667" w:rsidRPr="00066667" w:rsidRDefault="00066667" w:rsidP="00066667">
      <w:pPr>
        <w:spacing w:line="276" w:lineRule="auto"/>
        <w:ind w:firstLine="709"/>
        <w:jc w:val="both"/>
        <w:rPr>
          <w:rFonts w:ascii="Arial" w:hAnsi="Arial" w:cs="Arial"/>
          <w:color w:val="000000" w:themeColor="text1"/>
        </w:rPr>
      </w:pPr>
    </w:p>
    <w:p w:rsidR="00066667" w:rsidRPr="00066667" w:rsidRDefault="00066667" w:rsidP="00066667">
      <w:pPr>
        <w:widowControl w:val="0"/>
        <w:autoSpaceDE w:val="0"/>
        <w:autoSpaceDN w:val="0"/>
        <w:adjustRightInd w:val="0"/>
        <w:spacing w:line="276" w:lineRule="auto"/>
        <w:ind w:firstLine="708"/>
        <w:jc w:val="both"/>
        <w:rPr>
          <w:rFonts w:ascii="Arial" w:hAnsi="Arial" w:cs="Arial"/>
        </w:rPr>
      </w:pPr>
      <w:r w:rsidRPr="00066667">
        <w:rPr>
          <w:rFonts w:ascii="Arial" w:hAnsi="Arial" w:cs="Arial"/>
        </w:rPr>
        <w:t xml:space="preserve">No existe discusión alguna en el presente asunto respecto a los siguientes supuestos fácticos: </w:t>
      </w:r>
      <w:r w:rsidRPr="00066667">
        <w:rPr>
          <w:rFonts w:ascii="Arial" w:hAnsi="Arial" w:cs="Arial"/>
          <w:i/>
        </w:rPr>
        <w:t>i)</w:t>
      </w:r>
      <w:r w:rsidRPr="00066667">
        <w:rPr>
          <w:rFonts w:ascii="Arial" w:hAnsi="Arial" w:cs="Arial"/>
        </w:rPr>
        <w:t xml:space="preserve"> que la demandante contrajo matrimonio con el señor Carlos Alberto Toro; ii) que este cotizó un total de 775,29 semanas hasta el año 2015; iii) que el señor Toro falleció el 30 de noviembre de 2015 (</w:t>
      </w:r>
      <w:proofErr w:type="spellStart"/>
      <w:r w:rsidRPr="00066667">
        <w:rPr>
          <w:rFonts w:ascii="Arial" w:hAnsi="Arial" w:cs="Arial"/>
        </w:rPr>
        <w:t>fl</w:t>
      </w:r>
      <w:proofErr w:type="spellEnd"/>
      <w:r w:rsidRPr="00066667">
        <w:rPr>
          <w:rFonts w:ascii="Arial" w:hAnsi="Arial" w:cs="Arial"/>
        </w:rPr>
        <w:t xml:space="preserve">. 26) y iv) que la demandante solicitó el reconocimiento de la pensión de sobrevivientes el 16 de diciembre de dicha anualidad, la cual fue negada a través de la Resolución </w:t>
      </w:r>
      <w:proofErr w:type="spellStart"/>
      <w:r w:rsidRPr="00066667">
        <w:rPr>
          <w:rFonts w:ascii="Arial" w:hAnsi="Arial" w:cs="Arial"/>
        </w:rPr>
        <w:t>GNR</w:t>
      </w:r>
      <w:proofErr w:type="spellEnd"/>
      <w:r w:rsidRPr="00066667">
        <w:rPr>
          <w:rFonts w:ascii="Arial" w:hAnsi="Arial" w:cs="Arial"/>
        </w:rPr>
        <w:t xml:space="preserve"> 72858 del 8 de marzo de 2016, bajo el argumento de que su compañero no dejó causado el derecho.</w:t>
      </w:r>
    </w:p>
    <w:p w:rsidR="00066667" w:rsidRPr="00066667" w:rsidRDefault="00066667" w:rsidP="00066667">
      <w:pPr>
        <w:widowControl w:val="0"/>
        <w:autoSpaceDE w:val="0"/>
        <w:autoSpaceDN w:val="0"/>
        <w:adjustRightInd w:val="0"/>
        <w:spacing w:line="276" w:lineRule="auto"/>
        <w:ind w:firstLine="708"/>
        <w:jc w:val="both"/>
        <w:rPr>
          <w:rFonts w:ascii="Arial" w:hAnsi="Arial" w:cs="Arial"/>
        </w:rPr>
      </w:pPr>
    </w:p>
    <w:p w:rsidR="00066667" w:rsidRPr="00066667" w:rsidRDefault="00066667" w:rsidP="00066667">
      <w:pPr>
        <w:widowControl w:val="0"/>
        <w:autoSpaceDE w:val="0"/>
        <w:autoSpaceDN w:val="0"/>
        <w:adjustRightInd w:val="0"/>
        <w:spacing w:line="276" w:lineRule="auto"/>
        <w:ind w:firstLine="708"/>
        <w:jc w:val="both"/>
        <w:rPr>
          <w:rFonts w:ascii="Arial" w:hAnsi="Arial" w:cs="Arial"/>
        </w:rPr>
      </w:pPr>
      <w:r w:rsidRPr="00066667">
        <w:rPr>
          <w:rFonts w:ascii="Arial" w:hAnsi="Arial" w:cs="Arial"/>
        </w:rPr>
        <w:t xml:space="preserve">Hasta aquí debe decirse que, en principio, la norma aplicable es la vigente para el momento del óbito del señor Toro </w:t>
      </w:r>
      <w:proofErr w:type="spellStart"/>
      <w:r w:rsidRPr="00066667">
        <w:rPr>
          <w:rFonts w:ascii="Arial" w:hAnsi="Arial" w:cs="Arial"/>
        </w:rPr>
        <w:t>Amariles</w:t>
      </w:r>
      <w:proofErr w:type="spellEnd"/>
      <w:r w:rsidRPr="00066667">
        <w:rPr>
          <w:rFonts w:ascii="Arial" w:hAnsi="Arial" w:cs="Arial"/>
        </w:rPr>
        <w:t>, que no es otra que la Ley 100 de 1993 con las modificaciones establecidas en el artículo 12 de la Ley 797 de 2003, la cual exige que él hubiera cotizado 50 semanas en los 3 años anteriores a su fallecimiento, requisito que no se cumplió según quedó demostrado y aceptado, reclamándose entonces que la pensión se reconozca en aplicación del principio de la condición más beneficiosa.</w:t>
      </w:r>
    </w:p>
    <w:p w:rsidR="00066667" w:rsidRPr="00066667" w:rsidRDefault="00066667" w:rsidP="00066667">
      <w:pPr>
        <w:widowControl w:val="0"/>
        <w:autoSpaceDE w:val="0"/>
        <w:autoSpaceDN w:val="0"/>
        <w:adjustRightInd w:val="0"/>
        <w:spacing w:line="276" w:lineRule="auto"/>
        <w:ind w:firstLine="708"/>
        <w:jc w:val="both"/>
        <w:rPr>
          <w:rFonts w:ascii="Arial" w:hAnsi="Arial" w:cs="Arial"/>
        </w:rPr>
      </w:pPr>
    </w:p>
    <w:p w:rsidR="00066667" w:rsidRPr="00066667" w:rsidRDefault="00066667" w:rsidP="00066667">
      <w:pPr>
        <w:numPr>
          <w:ilvl w:val="0"/>
          <w:numId w:val="4"/>
        </w:numPr>
        <w:spacing w:line="276" w:lineRule="auto"/>
        <w:ind w:right="51"/>
        <w:jc w:val="both"/>
        <w:rPr>
          <w:rFonts w:ascii="Arial" w:hAnsi="Arial" w:cs="Arial"/>
          <w:b/>
          <w:lang w:val="es-CO"/>
        </w:rPr>
      </w:pPr>
      <w:r w:rsidRPr="00066667">
        <w:rPr>
          <w:rFonts w:ascii="Arial" w:hAnsi="Arial" w:cs="Arial"/>
          <w:b/>
          <w:lang w:val="es-CO"/>
        </w:rPr>
        <w:t>Del principio de la condición más beneficiosa</w:t>
      </w:r>
      <w:r w:rsidRPr="00066667">
        <w:rPr>
          <w:rFonts w:ascii="Arial" w:hAnsi="Arial" w:cs="Arial"/>
          <w:b/>
          <w:vertAlign w:val="superscript"/>
          <w:lang w:val="es-CO"/>
        </w:rPr>
        <w:footnoteReference w:id="4"/>
      </w:r>
    </w:p>
    <w:p w:rsidR="00066667" w:rsidRPr="00066667" w:rsidRDefault="00066667" w:rsidP="00066667">
      <w:pPr>
        <w:spacing w:line="276" w:lineRule="auto"/>
        <w:rPr>
          <w:rFonts w:ascii="Arial" w:eastAsiaTheme="minorHAnsi" w:hAnsi="Arial" w:cs="Arial"/>
          <w:lang w:val="es-ES_tradnl" w:eastAsia="en-US"/>
        </w:rPr>
      </w:pPr>
    </w:p>
    <w:p w:rsidR="00066667" w:rsidRPr="00066667" w:rsidRDefault="00066667" w:rsidP="00066667">
      <w:pPr>
        <w:widowControl w:val="0"/>
        <w:autoSpaceDE w:val="0"/>
        <w:autoSpaceDN w:val="0"/>
        <w:adjustRightInd w:val="0"/>
        <w:spacing w:line="276" w:lineRule="auto"/>
        <w:ind w:firstLine="708"/>
        <w:jc w:val="both"/>
        <w:rPr>
          <w:rFonts w:ascii="Arial" w:hAnsi="Arial" w:cs="Arial"/>
        </w:rPr>
      </w:pPr>
      <w:r w:rsidRPr="00066667">
        <w:rPr>
          <w:rFonts w:ascii="Arial" w:hAnsi="Arial" w:cs="Arial"/>
        </w:rPr>
        <w:t xml:space="preserve">Como se dijo precedentemente, la normatividad aplicable a la pensión de sobrevivientes es la legislación vigente al momento del fallecimiento del afiliado, no obstante, por excepción es posible acudir a la normatividad anterior con el fin de determinar la concesión o no de la gracia pensional en aplicación del </w:t>
      </w:r>
      <w:r w:rsidRPr="00066667">
        <w:rPr>
          <w:rFonts w:ascii="Arial" w:hAnsi="Arial" w:cs="Arial"/>
          <w:i/>
        </w:rPr>
        <w:t>“Principio de la condición más beneficiosa</w:t>
      </w:r>
      <w:r w:rsidRPr="00066667">
        <w:rPr>
          <w:rFonts w:ascii="Arial" w:hAnsi="Arial" w:cs="Arial"/>
        </w:rPr>
        <w:t xml:space="preserve">”, siempre y cuando el causante o el afiliado, según se trate de pensión de sobrevivencia o pensión de invalidez, haya acumulado el número </w:t>
      </w:r>
      <w:r w:rsidRPr="00066667">
        <w:rPr>
          <w:rFonts w:ascii="Arial" w:hAnsi="Arial" w:cs="Arial"/>
        </w:rPr>
        <w:lastRenderedPageBreak/>
        <w:t xml:space="preserve">mínimo de semanas para causar el derecho conforme a las regulaciones previas a la norma vigente a la fecha del fallecimiento o la estructuración de la invalidez, según el caso.  </w:t>
      </w:r>
    </w:p>
    <w:p w:rsidR="00066667" w:rsidRPr="00066667" w:rsidRDefault="00066667" w:rsidP="00066667">
      <w:pPr>
        <w:widowControl w:val="0"/>
        <w:autoSpaceDE w:val="0"/>
        <w:autoSpaceDN w:val="0"/>
        <w:adjustRightInd w:val="0"/>
        <w:spacing w:line="276" w:lineRule="auto"/>
        <w:ind w:firstLine="708"/>
        <w:jc w:val="both"/>
        <w:rPr>
          <w:rFonts w:ascii="Arial" w:hAnsi="Arial" w:cs="Arial"/>
        </w:rPr>
      </w:pPr>
    </w:p>
    <w:p w:rsidR="00066667" w:rsidRPr="00066667" w:rsidRDefault="00066667" w:rsidP="00066667">
      <w:pPr>
        <w:widowControl w:val="0"/>
        <w:autoSpaceDE w:val="0"/>
        <w:autoSpaceDN w:val="0"/>
        <w:adjustRightInd w:val="0"/>
        <w:spacing w:line="276" w:lineRule="auto"/>
        <w:ind w:firstLine="708"/>
        <w:jc w:val="both"/>
        <w:rPr>
          <w:rFonts w:ascii="Arial" w:hAnsi="Arial" w:cs="Arial"/>
        </w:rPr>
      </w:pPr>
      <w:r w:rsidRPr="00066667">
        <w:rPr>
          <w:rFonts w:ascii="Arial" w:hAnsi="Arial" w:cs="Arial"/>
        </w:rPr>
        <w:t xml:space="preserve">La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de la Corte Suprema de Justicia, pero además, la Sala Mayoritaria –que no la suscrita Magistrada- ha aceptado la incorporación del nuevo requisito señalado en la sentencia SL4650 -radicado No. 45262 del 25 de enero de 2017- para la aplicación de la condición más beneficiosa en el tránsito legislativo de la Ley 100 de 1993 (original) a la Ley 797 de 2003, en la que se impuso una limitación temporal a la aplicación del referido principio, en el sentido de que la muerte debió ocurrir en los tres (3) años siguientes a la entrada en vigencia de dicha norma, esto es, entre el 29 de enero de 2003 y el 29 de enero de 2006. </w:t>
      </w:r>
    </w:p>
    <w:p w:rsidR="00066667" w:rsidRPr="00066667" w:rsidRDefault="00066667" w:rsidP="00066667">
      <w:pPr>
        <w:spacing w:line="276" w:lineRule="auto"/>
        <w:ind w:firstLine="709"/>
        <w:jc w:val="both"/>
        <w:rPr>
          <w:rFonts w:ascii="Arial" w:hAnsi="Arial" w:cs="Arial"/>
          <w:spacing w:val="-2"/>
        </w:rPr>
      </w:pPr>
      <w:r w:rsidRPr="00066667">
        <w:rPr>
          <w:rFonts w:ascii="Arial" w:hAnsi="Arial" w:cs="Arial"/>
        </w:rPr>
        <w:t xml:space="preserve">  </w:t>
      </w:r>
    </w:p>
    <w:p w:rsidR="00066667" w:rsidRPr="00066667" w:rsidRDefault="00066667" w:rsidP="00066667">
      <w:pPr>
        <w:widowControl w:val="0"/>
        <w:autoSpaceDE w:val="0"/>
        <w:autoSpaceDN w:val="0"/>
        <w:adjustRightInd w:val="0"/>
        <w:spacing w:line="276" w:lineRule="auto"/>
        <w:ind w:firstLine="708"/>
        <w:jc w:val="both"/>
        <w:rPr>
          <w:rFonts w:ascii="Arial" w:hAnsi="Arial" w:cs="Arial"/>
          <w:spacing w:val="-2"/>
        </w:rPr>
      </w:pPr>
      <w:r w:rsidRPr="00066667">
        <w:rPr>
          <w:rFonts w:ascii="Arial" w:hAnsi="Arial" w:cs="Arial"/>
        </w:rPr>
        <w:t xml:space="preserve">No obstante, atendiendo la interpretación que tuvo la Corte Constitucional sobre la materia, la cual resulta más favorable para la beneficiaria, es posible el salto de la Ley 797 de 2003 a los antiguos reglamentos del ISS (hoy Colpensiones), en la medida en que </w:t>
      </w:r>
      <w:r w:rsidRPr="00066667">
        <w:rPr>
          <w:rFonts w:ascii="Arial" w:hAnsi="Arial" w:cs="Arial"/>
          <w:spacing w:val="-2"/>
        </w:rPr>
        <w:t xml:space="preserve">el artículo 53 de la Constitución no restringe la aplicación de la condición más beneficiosa a sólo dos normas aplicables al caso. En ese sentido, el presente asunto podía analizarse a la luz del Acuerdo 049 de 1990, que si bien no es la norma inmediatamente anterior, se acompasa al precedente del Tribunal Constitucional, quien a través de la sentencia SU-442 del 18 de agosto de 2016 </w:t>
      </w:r>
      <w:r w:rsidRPr="00066667">
        <w:rPr>
          <w:rFonts w:ascii="Arial" w:hAnsi="Arial" w:cs="Arial"/>
          <w:i/>
          <w:spacing w:val="-2"/>
        </w:rPr>
        <w:t>–en la que se analizó una pensión de invalidez-</w:t>
      </w:r>
      <w:r w:rsidRPr="00066667">
        <w:rPr>
          <w:rFonts w:ascii="Arial" w:hAnsi="Arial" w:cs="Arial"/>
          <w:spacing w:val="-2"/>
        </w:rPr>
        <w:t>, unificó los criterios en relación con la aplicación de principio en comento, reiterando los precedentes anteriores y precisando que “</w:t>
      </w:r>
      <w:r w:rsidRPr="00066667">
        <w:rPr>
          <w:rFonts w:ascii="Arial" w:hAnsi="Arial" w:cs="Arial"/>
          <w:spacing w:val="-2"/>
          <w:sz w:val="22"/>
        </w:rPr>
        <w:t>Si bien el legislador podía introducir ajustes o incluso reformas estructurales al sistema pensional, debía hacerlo en un marco de respeto por los derechos adquiridos y las expectativas legítimas</w:t>
      </w:r>
      <w:r w:rsidRPr="00066667">
        <w:rPr>
          <w:rFonts w:ascii="Arial" w:hAnsi="Arial" w:cs="Arial"/>
          <w:spacing w:val="-2"/>
        </w:rPr>
        <w:t>”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“no puede hablarse de un detrimento para la sostenibilidad financiera del sistema pensional”.</w:t>
      </w:r>
    </w:p>
    <w:p w:rsidR="00066667" w:rsidRPr="00066667" w:rsidRDefault="00066667" w:rsidP="00066667">
      <w:pPr>
        <w:spacing w:line="276" w:lineRule="auto"/>
        <w:ind w:firstLine="708"/>
        <w:jc w:val="both"/>
        <w:rPr>
          <w:rFonts w:ascii="Arial" w:hAnsi="Arial" w:cs="Arial"/>
        </w:rPr>
      </w:pPr>
    </w:p>
    <w:p w:rsidR="00066667" w:rsidRPr="00066667" w:rsidRDefault="00066667" w:rsidP="00066667">
      <w:pPr>
        <w:spacing w:line="276" w:lineRule="auto"/>
        <w:jc w:val="both"/>
        <w:rPr>
          <w:rFonts w:ascii="Arial" w:hAnsi="Arial" w:cs="Arial"/>
          <w:spacing w:val="-2"/>
        </w:rPr>
      </w:pPr>
      <w:r w:rsidRPr="00066667">
        <w:rPr>
          <w:rFonts w:ascii="Arial" w:hAnsi="Arial" w:cs="Arial"/>
          <w:spacing w:val="-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w:t>
      </w:r>
      <w:r w:rsidRPr="00066667">
        <w:rPr>
          <w:rFonts w:ascii="Arial" w:hAnsi="Arial" w:cs="Arial"/>
          <w:spacing w:val="-2"/>
        </w:rPr>
        <w:lastRenderedPageBreak/>
        <w:t xml:space="preserve">ordinaria y la constitucional tiene una interpretación diferente frente a la aplicación del principio de la condición más beneficiosa cuya razón de ser es el derecho fundamental a la pensión de sobrevivientes o a la pensión de invalidez, según el caso.  </w:t>
      </w:r>
    </w:p>
    <w:p w:rsidR="00066667" w:rsidRPr="00066667" w:rsidRDefault="00066667" w:rsidP="00066667">
      <w:pPr>
        <w:spacing w:line="276" w:lineRule="auto"/>
        <w:jc w:val="both"/>
        <w:rPr>
          <w:rFonts w:ascii="Arial" w:hAnsi="Arial" w:cs="Arial"/>
          <w:spacing w:val="-2"/>
        </w:rPr>
      </w:pPr>
    </w:p>
    <w:p w:rsidR="00066667" w:rsidRPr="00066667" w:rsidRDefault="00066667" w:rsidP="00066667">
      <w:pPr>
        <w:spacing w:line="276" w:lineRule="auto"/>
        <w:ind w:firstLine="851"/>
        <w:jc w:val="both"/>
        <w:rPr>
          <w:rFonts w:ascii="Arial" w:hAnsi="Arial" w:cs="Arial"/>
          <w:lang w:val="es-ES_tradnl"/>
        </w:rPr>
      </w:pPr>
      <w:r w:rsidRPr="00066667">
        <w:rPr>
          <w:rFonts w:ascii="Arial" w:hAnsi="Arial" w:cs="Arial"/>
          <w:lang w:val="es-ES_tradnl"/>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066667" w:rsidRPr="00066667" w:rsidRDefault="00066667" w:rsidP="00066667">
      <w:pPr>
        <w:spacing w:line="276" w:lineRule="auto"/>
        <w:rPr>
          <w:rFonts w:ascii="Arial" w:eastAsiaTheme="minorHAnsi" w:hAnsi="Arial" w:cs="Arial"/>
          <w:lang w:val="es-ES_tradnl" w:eastAsia="en-US"/>
        </w:rPr>
      </w:pPr>
    </w:p>
    <w:p w:rsidR="00066667" w:rsidRPr="00066667" w:rsidRDefault="00066667" w:rsidP="009E3E34">
      <w:pPr>
        <w:overflowPunct w:val="0"/>
        <w:autoSpaceDE w:val="0"/>
        <w:autoSpaceDN w:val="0"/>
        <w:adjustRightInd w:val="0"/>
        <w:ind w:left="426" w:right="420"/>
        <w:jc w:val="both"/>
        <w:textAlignment w:val="baseline"/>
        <w:rPr>
          <w:rFonts w:ascii="Arial" w:hAnsi="Arial" w:cs="Arial"/>
          <w:i/>
          <w:sz w:val="22"/>
        </w:rPr>
      </w:pPr>
      <w:r w:rsidRPr="00066667">
        <w:rPr>
          <w:rFonts w:ascii="Arial" w:hAnsi="Arial" w:cs="Arial"/>
          <w:i/>
          <w:sz w:val="22"/>
        </w:rPr>
        <w:t>“</w:t>
      </w:r>
      <w:r w:rsidRPr="00066667">
        <w:rPr>
          <w:rFonts w:ascii="Arial" w:hAnsi="Arial" w:cs="Arial"/>
          <w:sz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066667">
        <w:rPr>
          <w:rFonts w:ascii="Arial" w:hAnsi="Arial" w:cs="Arial"/>
          <w:i/>
          <w:sz w:val="22"/>
        </w:rPr>
        <w:t xml:space="preserve">”. </w:t>
      </w:r>
    </w:p>
    <w:p w:rsidR="00066667" w:rsidRPr="00066667" w:rsidRDefault="00066667" w:rsidP="00066667">
      <w:pPr>
        <w:overflowPunct w:val="0"/>
        <w:autoSpaceDE w:val="0"/>
        <w:autoSpaceDN w:val="0"/>
        <w:adjustRightInd w:val="0"/>
        <w:spacing w:line="276" w:lineRule="auto"/>
        <w:ind w:left="709" w:right="193"/>
        <w:jc w:val="both"/>
        <w:textAlignment w:val="baseline"/>
        <w:rPr>
          <w:rFonts w:ascii="Arial" w:hAnsi="Arial" w:cs="Arial"/>
          <w:i/>
        </w:rPr>
      </w:pPr>
    </w:p>
    <w:p w:rsidR="00066667" w:rsidRPr="00066667" w:rsidRDefault="00066667" w:rsidP="00066667">
      <w:pPr>
        <w:spacing w:line="276" w:lineRule="auto"/>
        <w:ind w:firstLine="708"/>
        <w:jc w:val="both"/>
        <w:rPr>
          <w:rFonts w:ascii="Arial" w:hAnsi="Arial" w:cs="Arial"/>
          <w:spacing w:val="-2"/>
          <w:lang w:val="es-ES_tradnl"/>
        </w:rPr>
      </w:pPr>
      <w:r w:rsidRPr="00066667">
        <w:rPr>
          <w:rFonts w:ascii="Arial" w:hAnsi="Arial" w:cs="Arial"/>
          <w:spacing w:val="-2"/>
        </w:rPr>
        <w:t xml:space="preserve">En este punto es necesario aclarar que cuando la Sala de Casación Laboral de la Corte Suprema de Justicia acogió este principio en el tránsito del Acuerdo 049 de 1990 a la Ley 100 de 1993, estableciendo que cuando el trabajador afiliado no cotizó las 26 semanas dentro del año inmediatamente anterior a la muerte o la invalidez, causaba el derecho cuando, en cambio, había cotizado 300 semanas en toda su vida laboral o 150 semanas en los 6 años anteriores al 1° de abril de 1994 y 150 semanas dentro de los 6 años anteriores al óbito. Lo anterior encuentra sustento, entre otras, en la sentencia </w:t>
      </w:r>
      <w:r w:rsidRPr="00066667">
        <w:rPr>
          <w:rFonts w:ascii="Arial" w:hAnsi="Arial" w:cs="Arial"/>
          <w:spacing w:val="-2"/>
          <w:lang w:val="es-ES_tradnl"/>
        </w:rPr>
        <w:t>emitida el 26 de diciembre de 2006, rad. 29042, M.P. Carlos Isaac Nader</w:t>
      </w:r>
      <w:r w:rsidRPr="00066667">
        <w:rPr>
          <w:rFonts w:ascii="Arial" w:hAnsi="Arial" w:cs="Arial"/>
          <w:spacing w:val="-2"/>
        </w:rPr>
        <w:t xml:space="preserve"> y en </w:t>
      </w:r>
      <w:r w:rsidRPr="00066667">
        <w:rPr>
          <w:rFonts w:ascii="Arial" w:hAnsi="Arial" w:cs="Arial"/>
          <w:spacing w:val="-2"/>
          <w:lang w:val="es-ES_tradnl"/>
        </w:rPr>
        <w:t xml:space="preserve">la sentencia </w:t>
      </w:r>
      <w:r w:rsidRPr="00066667">
        <w:rPr>
          <w:rFonts w:ascii="Arial" w:hAnsi="Arial" w:cs="Arial"/>
          <w:spacing w:val="-2"/>
        </w:rPr>
        <w:t xml:space="preserve">proferida el 5 de agosto de 2015, rad. 53438, M.P. Luis Gabriel Miranda </w:t>
      </w:r>
      <w:proofErr w:type="spellStart"/>
      <w:r w:rsidRPr="00066667">
        <w:rPr>
          <w:rFonts w:ascii="Arial" w:hAnsi="Arial" w:cs="Arial"/>
          <w:spacing w:val="-2"/>
        </w:rPr>
        <w:t>Buelvas</w:t>
      </w:r>
      <w:proofErr w:type="spellEnd"/>
      <w:r w:rsidRPr="00066667">
        <w:rPr>
          <w:rFonts w:ascii="Arial" w:hAnsi="Arial" w:cs="Arial"/>
          <w:spacing w:val="-2"/>
        </w:rPr>
        <w:t xml:space="preserve">. </w:t>
      </w:r>
    </w:p>
    <w:p w:rsidR="00066667" w:rsidRPr="00066667" w:rsidRDefault="00066667" w:rsidP="00066667">
      <w:pPr>
        <w:spacing w:line="276" w:lineRule="auto"/>
        <w:ind w:firstLine="708"/>
        <w:jc w:val="both"/>
        <w:rPr>
          <w:rFonts w:ascii="Arial" w:hAnsi="Arial" w:cs="Arial"/>
          <w:spacing w:val="-2"/>
          <w:lang w:val="es-ES_tradnl"/>
        </w:rPr>
      </w:pPr>
    </w:p>
    <w:p w:rsidR="00066667" w:rsidRPr="00066667" w:rsidRDefault="00066667" w:rsidP="00066667">
      <w:pPr>
        <w:spacing w:line="276" w:lineRule="auto"/>
        <w:ind w:firstLine="708"/>
        <w:jc w:val="both"/>
        <w:rPr>
          <w:rFonts w:ascii="Arial" w:hAnsi="Arial" w:cs="Arial"/>
          <w:spacing w:val="-2"/>
        </w:rPr>
      </w:pPr>
      <w:r w:rsidRPr="00066667">
        <w:rPr>
          <w:rFonts w:ascii="Arial" w:hAnsi="Arial" w:cs="Arial"/>
          <w:spacing w:val="-2"/>
        </w:rPr>
        <w:t xml:space="preserve">Ahora bien, es necesario aclarar que cuando la Corte Constitucional avalaba el estudio de una pensión de sobrevivientes con base en el Acuerdo 049 de 1990, </w:t>
      </w:r>
      <w:r w:rsidRPr="00066667">
        <w:rPr>
          <w:rFonts w:ascii="Arial" w:hAnsi="Arial" w:cs="Arial"/>
          <w:i/>
          <w:spacing w:val="-2"/>
        </w:rPr>
        <w:t>respecto de una persona que había fallecido en vigencia de la Ley 797 de 2003</w:t>
      </w:r>
      <w:r w:rsidRPr="00066667">
        <w:rPr>
          <w:rFonts w:ascii="Arial" w:hAnsi="Arial" w:cs="Arial"/>
          <w:spacing w:val="-2"/>
        </w:rPr>
        <w:t>, indicaba que era el 31 de marzo de 2000 la fecha límite en la que se debían cumplir las 150 semanas, esto es, en los 6 años siguientes a la entrada en vigencia de la Ley 100 de 1993, ello con el fin de establecer una temporalidad para la aplicación del aludido principio en esos precisos eventos -que no cuando se acudía a la norma inmediatamente anterior a la Ley 100 de 1993-.</w:t>
      </w:r>
    </w:p>
    <w:p w:rsidR="00066667" w:rsidRPr="00066667" w:rsidRDefault="00066667" w:rsidP="00066667">
      <w:pPr>
        <w:overflowPunct w:val="0"/>
        <w:autoSpaceDE w:val="0"/>
        <w:autoSpaceDN w:val="0"/>
        <w:adjustRightInd w:val="0"/>
        <w:spacing w:line="276" w:lineRule="auto"/>
        <w:ind w:left="709" w:right="193"/>
        <w:jc w:val="both"/>
        <w:textAlignment w:val="baseline"/>
        <w:rPr>
          <w:rFonts w:ascii="Arial" w:hAnsi="Arial" w:cs="Arial"/>
          <w:i/>
        </w:rPr>
      </w:pPr>
    </w:p>
    <w:p w:rsidR="00066667" w:rsidRPr="00066667" w:rsidRDefault="00066667" w:rsidP="00066667">
      <w:pPr>
        <w:numPr>
          <w:ilvl w:val="0"/>
          <w:numId w:val="4"/>
        </w:numPr>
        <w:spacing w:line="276" w:lineRule="auto"/>
        <w:ind w:right="51"/>
        <w:jc w:val="both"/>
        <w:rPr>
          <w:rFonts w:ascii="Arial" w:hAnsi="Arial" w:cs="Arial"/>
          <w:b/>
          <w:lang w:val="es-CO"/>
        </w:rPr>
      </w:pPr>
      <w:r w:rsidRPr="00066667">
        <w:rPr>
          <w:rFonts w:ascii="Arial" w:hAnsi="Arial" w:cs="Arial"/>
          <w:b/>
          <w:lang w:val="es-CO"/>
        </w:rPr>
        <w:t xml:space="preserve">Caso concreto </w:t>
      </w:r>
    </w:p>
    <w:p w:rsidR="00066667" w:rsidRPr="00066667" w:rsidRDefault="00066667" w:rsidP="00066667">
      <w:pPr>
        <w:tabs>
          <w:tab w:val="left" w:pos="0"/>
        </w:tabs>
        <w:spacing w:line="276" w:lineRule="auto"/>
        <w:ind w:left="450"/>
        <w:contextualSpacing/>
        <w:jc w:val="both"/>
        <w:rPr>
          <w:rFonts w:ascii="Arial" w:hAnsi="Arial" w:cs="Arial"/>
          <w:color w:val="FF0000"/>
        </w:rPr>
      </w:pPr>
    </w:p>
    <w:p w:rsidR="00066667" w:rsidRPr="00066667" w:rsidRDefault="00066667" w:rsidP="00066667">
      <w:pPr>
        <w:autoSpaceDE w:val="0"/>
        <w:autoSpaceDN w:val="0"/>
        <w:adjustRightInd w:val="0"/>
        <w:spacing w:line="276" w:lineRule="auto"/>
        <w:ind w:firstLine="709"/>
        <w:contextualSpacing/>
        <w:jc w:val="both"/>
        <w:rPr>
          <w:rFonts w:ascii="Arial" w:hAnsi="Arial" w:cs="Arial"/>
        </w:rPr>
      </w:pPr>
      <w:r w:rsidRPr="00066667">
        <w:rPr>
          <w:rFonts w:ascii="Arial" w:hAnsi="Arial" w:cs="Arial"/>
        </w:rPr>
        <w:t xml:space="preserve">Acorde con la interpretación de la Corte Constitucional, en el presente asunto es procedente aplicar el Acuerdo 049 de 1990, pues como se vio, el principio de la condición más beneficiosa opera cuando en el tránsito de un sistema a otro en materia de seguridad social en pensiones, no se establece un régimen de transición, como sucedió con la sucesión que se dio del sistema establecido en el Acuerdo 049 de 1990 </w:t>
      </w:r>
      <w:r w:rsidRPr="00066667">
        <w:rPr>
          <w:rFonts w:ascii="Arial" w:hAnsi="Arial" w:cs="Arial"/>
        </w:rPr>
        <w:lastRenderedPageBreak/>
        <w:t>al adoptado por la Ley 100 de 1993 respecto a las pensiones de invalidez y sobrevivencia. En tal caso puede válidamente acudirse a una norma anterior, independientemente  de si es inmediata o no, siempre y cuando bajo dicha norma el afiliado dejó causado el derecho. De esta manera, en el presente caso, habiendo cotizado el causante 180,68 semanas en los 6 años anteriores al 1º de abril de 1994 y 283,2 en los 6 años posteriores a dicha calenda, es evidente que dejó causado el derecho para que sus beneficiarios accedieran a dicha prestación en virtud del aludido principio.</w:t>
      </w:r>
    </w:p>
    <w:p w:rsidR="00066667" w:rsidRPr="00066667" w:rsidRDefault="00066667" w:rsidP="00066667">
      <w:pPr>
        <w:autoSpaceDE w:val="0"/>
        <w:autoSpaceDN w:val="0"/>
        <w:adjustRightInd w:val="0"/>
        <w:spacing w:line="276" w:lineRule="auto"/>
        <w:ind w:firstLine="709"/>
        <w:contextualSpacing/>
        <w:jc w:val="both"/>
        <w:rPr>
          <w:rFonts w:ascii="Arial" w:hAnsi="Arial" w:cs="Arial"/>
        </w:rPr>
      </w:pPr>
    </w:p>
    <w:p w:rsidR="00066667" w:rsidRPr="00066667" w:rsidRDefault="00066667" w:rsidP="00066667">
      <w:pPr>
        <w:tabs>
          <w:tab w:val="left" w:pos="748"/>
        </w:tabs>
        <w:spacing w:line="276" w:lineRule="auto"/>
        <w:ind w:firstLine="709"/>
        <w:contextualSpacing/>
        <w:jc w:val="both"/>
        <w:rPr>
          <w:rFonts w:ascii="Arial" w:hAnsi="Arial" w:cs="Arial"/>
        </w:rPr>
      </w:pPr>
      <w:r w:rsidRPr="00066667">
        <w:rPr>
          <w:rFonts w:ascii="Arial" w:hAnsi="Arial" w:cs="Arial"/>
        </w:rPr>
        <w:t xml:space="preserve">Respecto a la calidad de beneficiaria de la demandante, debe decirse que se comparte el análisis que hizo la Jueza de instancia frente a los testimonios rendidos por Germán Eduardo Toro Pérez, Luz Adriana Bedoya Castaño, </w:t>
      </w:r>
      <w:proofErr w:type="spellStart"/>
      <w:r w:rsidRPr="00066667">
        <w:rPr>
          <w:rFonts w:ascii="Arial" w:hAnsi="Arial" w:cs="Arial"/>
        </w:rPr>
        <w:t>Yein</w:t>
      </w:r>
      <w:proofErr w:type="spellEnd"/>
      <w:r w:rsidRPr="00066667">
        <w:rPr>
          <w:rFonts w:ascii="Arial" w:hAnsi="Arial" w:cs="Arial"/>
        </w:rPr>
        <w:t xml:space="preserve"> Alonso Rodríguez Pérez e </w:t>
      </w:r>
      <w:proofErr w:type="spellStart"/>
      <w:r w:rsidRPr="00066667">
        <w:rPr>
          <w:rFonts w:ascii="Arial" w:hAnsi="Arial" w:cs="Arial"/>
        </w:rPr>
        <w:t>Iber</w:t>
      </w:r>
      <w:proofErr w:type="spellEnd"/>
      <w:r w:rsidRPr="00066667">
        <w:rPr>
          <w:rFonts w:ascii="Arial" w:hAnsi="Arial" w:cs="Arial"/>
        </w:rPr>
        <w:t xml:space="preserve"> Castañeda, quienes de manera coherente informaron desde su perspectiva y experiencia por qué les constaba que la actora y el </w:t>
      </w:r>
      <w:r w:rsidRPr="00066667">
        <w:rPr>
          <w:rFonts w:ascii="Arial" w:hAnsi="Arial" w:cs="Arial"/>
          <w:i/>
        </w:rPr>
        <w:t>de cujus</w:t>
      </w:r>
      <w:r w:rsidRPr="00066667">
        <w:rPr>
          <w:rFonts w:ascii="Arial" w:hAnsi="Arial" w:cs="Arial"/>
        </w:rPr>
        <w:t xml:space="preserve"> convivieron en los cinco años anteriores al deceso de aquel.</w:t>
      </w:r>
    </w:p>
    <w:p w:rsidR="00066667" w:rsidRPr="00066667" w:rsidRDefault="00066667" w:rsidP="00066667">
      <w:pPr>
        <w:tabs>
          <w:tab w:val="left" w:pos="748"/>
        </w:tabs>
        <w:spacing w:line="276" w:lineRule="auto"/>
        <w:ind w:firstLine="709"/>
        <w:contextualSpacing/>
        <w:jc w:val="both"/>
        <w:rPr>
          <w:rFonts w:ascii="Arial" w:hAnsi="Arial" w:cs="Arial"/>
        </w:rPr>
      </w:pPr>
    </w:p>
    <w:p w:rsidR="00066667" w:rsidRPr="00066667" w:rsidRDefault="00066667" w:rsidP="00066667">
      <w:pPr>
        <w:spacing w:line="276" w:lineRule="auto"/>
        <w:ind w:firstLine="708"/>
        <w:jc w:val="both"/>
        <w:rPr>
          <w:rFonts w:ascii="Arial" w:hAnsi="Arial" w:cs="Arial"/>
        </w:rPr>
      </w:pPr>
      <w:r w:rsidRPr="00066667">
        <w:rPr>
          <w:rFonts w:ascii="Arial" w:hAnsi="Arial" w:cs="Arial"/>
          <w:spacing w:val="-2"/>
        </w:rPr>
        <w:t xml:space="preserve">En virtud de lo anterior, considero que debió revocarse la sentencia de primera instancia para, en su lugar, </w:t>
      </w:r>
      <w:r w:rsidRPr="00066667">
        <w:rPr>
          <w:rFonts w:ascii="Arial" w:hAnsi="Arial" w:cs="Arial"/>
        </w:rPr>
        <w:t xml:space="preserve">declarar que a la señora </w:t>
      </w:r>
      <w:proofErr w:type="spellStart"/>
      <w:r w:rsidRPr="00066667">
        <w:rPr>
          <w:rFonts w:ascii="Arial" w:hAnsi="Arial" w:cs="Arial"/>
        </w:rPr>
        <w:t>Jeny</w:t>
      </w:r>
      <w:proofErr w:type="spellEnd"/>
      <w:r w:rsidRPr="00066667">
        <w:rPr>
          <w:rFonts w:ascii="Arial" w:hAnsi="Arial" w:cs="Arial"/>
        </w:rPr>
        <w:t xml:space="preserve"> Fernanda Ángel le asiste derecho al reconocimiento a la pensión de sobrevivientes que dejó causada su compañero permanente, Carlos Alberto Toro </w:t>
      </w:r>
      <w:proofErr w:type="spellStart"/>
      <w:r w:rsidRPr="00066667">
        <w:rPr>
          <w:rFonts w:ascii="Arial" w:hAnsi="Arial" w:cs="Arial"/>
        </w:rPr>
        <w:t>Amariles</w:t>
      </w:r>
      <w:proofErr w:type="spellEnd"/>
      <w:r w:rsidRPr="00066667">
        <w:rPr>
          <w:rFonts w:ascii="Arial" w:hAnsi="Arial" w:cs="Arial"/>
        </w:rPr>
        <w:t>, en virtud del principio de la condición más beneficiosa, en cuantía del salario mínimo legal y por trece mesadas anuales.</w:t>
      </w:r>
    </w:p>
    <w:p w:rsidR="00066667" w:rsidRPr="00066667" w:rsidRDefault="00066667" w:rsidP="00066667">
      <w:pPr>
        <w:spacing w:line="276" w:lineRule="auto"/>
        <w:ind w:firstLine="709"/>
        <w:jc w:val="both"/>
        <w:rPr>
          <w:rFonts w:ascii="Arial" w:hAnsi="Arial" w:cs="Arial"/>
          <w:color w:val="000000" w:themeColor="text1"/>
        </w:rPr>
      </w:pPr>
    </w:p>
    <w:p w:rsidR="00066667" w:rsidRPr="00066667" w:rsidRDefault="00066667" w:rsidP="00066667">
      <w:pPr>
        <w:spacing w:line="276" w:lineRule="auto"/>
        <w:ind w:firstLine="709"/>
        <w:jc w:val="both"/>
        <w:rPr>
          <w:rFonts w:ascii="Arial" w:hAnsi="Arial" w:cs="Arial"/>
          <w:color w:val="000000" w:themeColor="text1"/>
        </w:rPr>
      </w:pPr>
      <w:r w:rsidRPr="00066667">
        <w:rPr>
          <w:rFonts w:ascii="Arial" w:hAnsi="Arial" w:cs="Arial"/>
          <w:color w:val="000000" w:themeColor="text1"/>
        </w:rPr>
        <w:t>En estos términos sustento mi salvamento de voto.</w:t>
      </w:r>
    </w:p>
    <w:p w:rsidR="00066667" w:rsidRPr="00066667" w:rsidRDefault="00066667" w:rsidP="00066667">
      <w:pPr>
        <w:spacing w:line="276" w:lineRule="auto"/>
        <w:ind w:firstLine="709"/>
        <w:jc w:val="both"/>
        <w:rPr>
          <w:rFonts w:ascii="Arial" w:hAnsi="Arial" w:cs="Arial"/>
          <w:color w:val="000000" w:themeColor="text1"/>
        </w:rPr>
      </w:pPr>
    </w:p>
    <w:p w:rsidR="00066667" w:rsidRPr="00066667" w:rsidRDefault="00066667" w:rsidP="00066667">
      <w:pPr>
        <w:widowControl w:val="0"/>
        <w:autoSpaceDE w:val="0"/>
        <w:autoSpaceDN w:val="0"/>
        <w:adjustRightInd w:val="0"/>
        <w:spacing w:line="276" w:lineRule="auto"/>
        <w:ind w:firstLine="709"/>
        <w:jc w:val="both"/>
        <w:rPr>
          <w:rFonts w:ascii="Arial" w:hAnsi="Arial" w:cs="Arial"/>
          <w:color w:val="000000" w:themeColor="text1"/>
        </w:rPr>
      </w:pPr>
    </w:p>
    <w:p w:rsidR="00066667" w:rsidRPr="00066667" w:rsidRDefault="00066667" w:rsidP="00066667">
      <w:pPr>
        <w:widowControl w:val="0"/>
        <w:autoSpaceDE w:val="0"/>
        <w:autoSpaceDN w:val="0"/>
        <w:adjustRightInd w:val="0"/>
        <w:spacing w:line="276" w:lineRule="auto"/>
        <w:ind w:firstLine="709"/>
        <w:jc w:val="both"/>
        <w:rPr>
          <w:rFonts w:ascii="Arial" w:hAnsi="Arial" w:cs="Arial"/>
          <w:color w:val="000000" w:themeColor="text1"/>
        </w:rPr>
      </w:pPr>
    </w:p>
    <w:p w:rsidR="00066667" w:rsidRPr="00066667" w:rsidRDefault="00066667" w:rsidP="00066667">
      <w:pPr>
        <w:widowControl w:val="0"/>
        <w:autoSpaceDE w:val="0"/>
        <w:autoSpaceDN w:val="0"/>
        <w:adjustRightInd w:val="0"/>
        <w:spacing w:line="276" w:lineRule="auto"/>
        <w:ind w:firstLine="709"/>
        <w:jc w:val="both"/>
        <w:rPr>
          <w:rFonts w:ascii="Arial" w:hAnsi="Arial" w:cs="Arial"/>
          <w:color w:val="000000" w:themeColor="text1"/>
        </w:rPr>
      </w:pPr>
    </w:p>
    <w:p w:rsidR="00066667" w:rsidRPr="00066667" w:rsidRDefault="00066667" w:rsidP="00066667">
      <w:pPr>
        <w:widowControl w:val="0"/>
        <w:autoSpaceDE w:val="0"/>
        <w:autoSpaceDN w:val="0"/>
        <w:adjustRightInd w:val="0"/>
        <w:spacing w:line="276" w:lineRule="auto"/>
        <w:ind w:firstLine="709"/>
        <w:jc w:val="both"/>
        <w:rPr>
          <w:rFonts w:ascii="Arial" w:hAnsi="Arial" w:cs="Arial"/>
          <w:color w:val="000000" w:themeColor="text1"/>
        </w:rPr>
      </w:pPr>
    </w:p>
    <w:p w:rsidR="00066667" w:rsidRPr="00066667" w:rsidRDefault="00066667" w:rsidP="00066667">
      <w:pPr>
        <w:keepNext/>
        <w:widowControl w:val="0"/>
        <w:autoSpaceDE w:val="0"/>
        <w:autoSpaceDN w:val="0"/>
        <w:adjustRightInd w:val="0"/>
        <w:spacing w:line="276" w:lineRule="auto"/>
        <w:ind w:firstLine="709"/>
        <w:jc w:val="center"/>
        <w:outlineLvl w:val="2"/>
        <w:rPr>
          <w:rFonts w:ascii="Arial" w:hAnsi="Arial" w:cs="Arial"/>
          <w:b/>
          <w:color w:val="000000" w:themeColor="text1"/>
        </w:rPr>
      </w:pPr>
      <w:r w:rsidRPr="00066667">
        <w:rPr>
          <w:rFonts w:ascii="Arial" w:hAnsi="Arial" w:cs="Arial"/>
          <w:b/>
          <w:color w:val="000000" w:themeColor="text1"/>
        </w:rPr>
        <w:t>ANA LUCÍA CAICEDO CALDERÓN</w:t>
      </w:r>
    </w:p>
    <w:p w:rsidR="00066667" w:rsidRPr="00066667" w:rsidRDefault="00066667" w:rsidP="00066667">
      <w:pPr>
        <w:keepNext/>
        <w:widowControl w:val="0"/>
        <w:autoSpaceDE w:val="0"/>
        <w:autoSpaceDN w:val="0"/>
        <w:adjustRightInd w:val="0"/>
        <w:spacing w:line="276" w:lineRule="auto"/>
        <w:ind w:firstLine="709"/>
        <w:jc w:val="center"/>
        <w:outlineLvl w:val="2"/>
        <w:rPr>
          <w:rFonts w:ascii="Arial" w:hAnsi="Arial" w:cs="Arial"/>
          <w:color w:val="000000" w:themeColor="text1"/>
        </w:rPr>
      </w:pPr>
      <w:r w:rsidRPr="00066667">
        <w:rPr>
          <w:rFonts w:ascii="Arial" w:hAnsi="Arial" w:cs="Arial"/>
          <w:color w:val="000000" w:themeColor="text1"/>
        </w:rPr>
        <w:t>Magistrada</w:t>
      </w:r>
    </w:p>
    <w:sectPr w:rsidR="00066667" w:rsidRPr="00066667" w:rsidSect="00D3284F">
      <w:headerReference w:type="default" r:id="rId7"/>
      <w:footerReference w:type="default" r:id="rId8"/>
      <w:footerReference w:type="firs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55E" w:rsidRDefault="0026055E" w:rsidP="00DE2563">
      <w:r>
        <w:separator/>
      </w:r>
    </w:p>
  </w:endnote>
  <w:endnote w:type="continuationSeparator" w:id="0">
    <w:p w:rsidR="0026055E" w:rsidRDefault="0026055E" w:rsidP="00DE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rPr>
        <w:rFonts w:ascii="Arial" w:hAnsi="Arial" w:cs="Arial"/>
        <w:sz w:val="18"/>
        <w:szCs w:val="14"/>
      </w:rPr>
    </w:sdtEndPr>
    <w:sdtContent>
      <w:p w:rsidR="00C424B7" w:rsidRPr="00D3284F" w:rsidRDefault="00C424B7">
        <w:pPr>
          <w:pStyle w:val="Piedepgina"/>
          <w:jc w:val="right"/>
          <w:rPr>
            <w:rFonts w:ascii="Arial" w:hAnsi="Arial" w:cs="Arial"/>
            <w:sz w:val="18"/>
            <w:szCs w:val="14"/>
          </w:rPr>
        </w:pPr>
        <w:r w:rsidRPr="00D3284F">
          <w:rPr>
            <w:rFonts w:ascii="Arial" w:hAnsi="Arial" w:cs="Arial"/>
            <w:sz w:val="18"/>
            <w:szCs w:val="14"/>
          </w:rPr>
          <w:fldChar w:fldCharType="begin"/>
        </w:r>
        <w:r w:rsidRPr="00D3284F">
          <w:rPr>
            <w:rFonts w:ascii="Arial" w:hAnsi="Arial" w:cs="Arial"/>
            <w:sz w:val="18"/>
            <w:szCs w:val="14"/>
          </w:rPr>
          <w:instrText>PAGE   \* MERGEFORMAT</w:instrText>
        </w:r>
        <w:r w:rsidRPr="00D3284F">
          <w:rPr>
            <w:rFonts w:ascii="Arial" w:hAnsi="Arial" w:cs="Arial"/>
            <w:sz w:val="18"/>
            <w:szCs w:val="14"/>
          </w:rPr>
          <w:fldChar w:fldCharType="separate"/>
        </w:r>
        <w:r w:rsidR="005F378C">
          <w:rPr>
            <w:rFonts w:ascii="Arial" w:hAnsi="Arial" w:cs="Arial"/>
            <w:noProof/>
            <w:sz w:val="18"/>
            <w:szCs w:val="14"/>
          </w:rPr>
          <w:t>10</w:t>
        </w:r>
        <w:r w:rsidRPr="00D3284F">
          <w:rPr>
            <w:rFonts w:ascii="Arial" w:hAnsi="Arial" w:cs="Arial"/>
            <w:sz w:val="18"/>
            <w:szCs w:val="1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B7" w:rsidRPr="00D3284F" w:rsidRDefault="00C424B7">
    <w:pPr>
      <w:pStyle w:val="Piedepgina"/>
      <w:jc w:val="right"/>
      <w:rPr>
        <w:rFonts w:ascii="Arial" w:hAnsi="Arial" w:cs="Arial"/>
        <w:sz w:val="18"/>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55E" w:rsidRDefault="0026055E" w:rsidP="00DE2563">
      <w:r>
        <w:separator/>
      </w:r>
    </w:p>
  </w:footnote>
  <w:footnote w:type="continuationSeparator" w:id="0">
    <w:p w:rsidR="0026055E" w:rsidRDefault="0026055E" w:rsidP="00DE2563">
      <w:r>
        <w:continuationSeparator/>
      </w:r>
    </w:p>
  </w:footnote>
  <w:footnote w:id="1">
    <w:p w:rsidR="008A3148" w:rsidRPr="00D3284F" w:rsidRDefault="008A3148" w:rsidP="008A3148">
      <w:pPr>
        <w:jc w:val="both"/>
        <w:rPr>
          <w:rFonts w:ascii="Arial" w:eastAsia="Calibri" w:hAnsi="Arial" w:cs="Arial"/>
          <w:sz w:val="18"/>
          <w:szCs w:val="18"/>
        </w:rPr>
      </w:pPr>
      <w:r w:rsidRPr="00D3284F">
        <w:rPr>
          <w:rStyle w:val="Refdenotaalpie"/>
          <w:rFonts w:ascii="Arial" w:hAnsi="Arial" w:cs="Arial"/>
          <w:sz w:val="18"/>
          <w:szCs w:val="18"/>
        </w:rPr>
        <w:footnoteRef/>
      </w:r>
      <w:r w:rsidRPr="00D3284F">
        <w:rPr>
          <w:rFonts w:ascii="Arial" w:hAnsi="Arial" w:cs="Arial"/>
          <w:color w:val="000000"/>
          <w:sz w:val="18"/>
          <w:szCs w:val="18"/>
        </w:rPr>
        <w:t xml:space="preserve"> Sentencia </w:t>
      </w:r>
      <w:r w:rsidRPr="00D3284F">
        <w:rPr>
          <w:rFonts w:ascii="Arial" w:eastAsia="Calibri" w:hAnsi="Arial" w:cs="Arial"/>
          <w:sz w:val="18"/>
          <w:szCs w:val="18"/>
        </w:rPr>
        <w:t>de 24 de enero de 2018. Radicado No. 58298.</w:t>
      </w:r>
      <w:r w:rsidRPr="00D3284F">
        <w:rPr>
          <w:rFonts w:ascii="Arial" w:hAnsi="Arial" w:cs="Arial"/>
          <w:color w:val="000000"/>
          <w:sz w:val="18"/>
          <w:szCs w:val="18"/>
        </w:rPr>
        <w:t xml:space="preserve"> M.P. </w:t>
      </w:r>
      <w:r w:rsidRPr="00D3284F">
        <w:rPr>
          <w:rFonts w:ascii="Arial" w:eastAsia="Calibri" w:hAnsi="Arial" w:cs="Arial"/>
          <w:sz w:val="18"/>
          <w:szCs w:val="18"/>
        </w:rPr>
        <w:t>Fernando Castillo Cadena.</w:t>
      </w:r>
    </w:p>
  </w:footnote>
  <w:footnote w:id="2">
    <w:p w:rsidR="008A3148" w:rsidRPr="00D3284F" w:rsidRDefault="008A3148" w:rsidP="008A3148">
      <w:pPr>
        <w:pStyle w:val="Textonotapie"/>
        <w:rPr>
          <w:rFonts w:ascii="Arial" w:hAnsi="Arial" w:cs="Arial"/>
          <w:i/>
          <w:sz w:val="18"/>
          <w:szCs w:val="18"/>
          <w:lang w:val="es-CO"/>
        </w:rPr>
      </w:pPr>
      <w:r w:rsidRPr="00D3284F">
        <w:rPr>
          <w:rStyle w:val="Refdenotaalpie"/>
          <w:rFonts w:ascii="Arial" w:hAnsi="Arial" w:cs="Arial"/>
          <w:sz w:val="18"/>
          <w:szCs w:val="18"/>
        </w:rPr>
        <w:footnoteRef/>
      </w:r>
      <w:r w:rsidRPr="00D3284F">
        <w:rPr>
          <w:rFonts w:ascii="Arial" w:hAnsi="Arial" w:cs="Arial"/>
          <w:sz w:val="18"/>
          <w:szCs w:val="18"/>
        </w:rPr>
        <w:t xml:space="preserve"> </w:t>
      </w:r>
      <w:r w:rsidRPr="00D3284F">
        <w:rPr>
          <w:rFonts w:ascii="Arial" w:hAnsi="Arial" w:cs="Arial"/>
          <w:sz w:val="18"/>
          <w:szCs w:val="18"/>
          <w:lang w:val="es-CO"/>
        </w:rPr>
        <w:t>SL4650-2017.</w:t>
      </w:r>
    </w:p>
  </w:footnote>
  <w:footnote w:id="3">
    <w:p w:rsidR="008A3148" w:rsidRPr="00444C90" w:rsidRDefault="008A3148" w:rsidP="008A3148">
      <w:pPr>
        <w:pStyle w:val="Textonotapie"/>
        <w:rPr>
          <w:lang w:val="es-CO"/>
        </w:rPr>
      </w:pPr>
      <w:r w:rsidRPr="00D3284F">
        <w:rPr>
          <w:rStyle w:val="Refdenotaalpie"/>
          <w:rFonts w:ascii="Arial" w:hAnsi="Arial" w:cs="Arial"/>
          <w:sz w:val="18"/>
          <w:szCs w:val="18"/>
        </w:rPr>
        <w:footnoteRef/>
      </w:r>
      <w:r w:rsidRPr="00D3284F">
        <w:rPr>
          <w:rFonts w:ascii="Arial" w:hAnsi="Arial" w:cs="Arial"/>
          <w:sz w:val="18"/>
          <w:szCs w:val="18"/>
        </w:rPr>
        <w:t xml:space="preserve"> </w:t>
      </w:r>
      <w:r w:rsidRPr="00D3284F">
        <w:rPr>
          <w:rFonts w:ascii="Arial" w:hAnsi="Arial" w:cs="Arial"/>
          <w:sz w:val="18"/>
          <w:szCs w:val="18"/>
          <w:lang w:val="es-CO"/>
        </w:rPr>
        <w:t>SL1505-2019, SL1334-2019 y SL1341-2019.</w:t>
      </w:r>
    </w:p>
  </w:footnote>
  <w:footnote w:id="4">
    <w:p w:rsidR="00066667" w:rsidRPr="00D93D22" w:rsidRDefault="00066667" w:rsidP="00D93D22">
      <w:pPr>
        <w:jc w:val="both"/>
        <w:rPr>
          <w:rFonts w:ascii="Arial" w:hAnsi="Arial" w:cs="Arial"/>
          <w:sz w:val="18"/>
          <w:szCs w:val="16"/>
        </w:rPr>
      </w:pPr>
      <w:r w:rsidRPr="00D93D22">
        <w:rPr>
          <w:rStyle w:val="Refdenotaalpie"/>
          <w:rFonts w:ascii="Arial" w:hAnsi="Arial" w:cs="Arial"/>
          <w:sz w:val="18"/>
          <w:szCs w:val="16"/>
        </w:rPr>
        <w:footnoteRef/>
      </w:r>
      <w:r w:rsidRPr="00D93D22">
        <w:rPr>
          <w:rFonts w:ascii="Arial" w:hAnsi="Arial" w:cs="Arial"/>
          <w:sz w:val="18"/>
          <w:szCs w:val="16"/>
        </w:rPr>
        <w:t xml:space="preserve">  Tal como lo he expuesto en distintos salvamentos de voto, no comparto la exigencia de los cinco requisitos establecidos en la sentencia SU-005 de 2018, que componen el “test de procedencia” para la aplicación del principio de la condición más beneficiosa</w:t>
      </w:r>
      <w:r w:rsidRPr="00D93D22">
        <w:rPr>
          <w:rStyle w:val="Refdenotaalpie"/>
          <w:rFonts w:ascii="Arial" w:hAnsi="Arial" w:cs="Arial"/>
          <w:sz w:val="18"/>
          <w:szCs w:val="16"/>
        </w:rPr>
        <w:footnoteRef/>
      </w:r>
      <w:r w:rsidRPr="00D93D22">
        <w:rPr>
          <w:rFonts w:ascii="Arial" w:hAnsi="Arial" w:cs="Arial"/>
          <w:sz w:val="18"/>
          <w:szCs w:val="16"/>
        </w:rPr>
        <w:t>, y para fundar mi discrepancia me remito a la sinopsis que hizo la Corte Constitucional, en el comunicado No. 6 del 13 de febrero de los cursantes, de los salvamentos de voto de la magistrada Diana Fajardo Rivera y de los magistrados José Fernando Reyes Cuartas y Alberto Rojas Ríos, quienes, constituyendo la tercera parte de la actual conformación de dicha alta corporación, ponen de relieve que le nueva postura implica un cambio de tal magnitud que limita e, incluso, contradice la postura pacífica que se venía sosteniendo de tiempo atrás.</w:t>
      </w:r>
    </w:p>
    <w:p w:rsidR="00066667" w:rsidRPr="00D93D22" w:rsidRDefault="00066667" w:rsidP="00D93D22">
      <w:pPr>
        <w:jc w:val="both"/>
        <w:rPr>
          <w:rFonts w:ascii="Arial" w:hAnsi="Arial" w:cs="Arial"/>
          <w:sz w:val="18"/>
          <w:szCs w:val="16"/>
        </w:rPr>
      </w:pPr>
      <w:r w:rsidRPr="00D93D22">
        <w:rPr>
          <w:rFonts w:ascii="Arial" w:hAnsi="Arial" w:cs="Arial"/>
          <w:sz w:val="18"/>
          <w:szCs w:val="16"/>
        </w:rPr>
        <w:t>Así las cosas, al compartir los fundamentos planteados en los aludidos salvamentos de voto, me acojo a los mismos para apartarme de la sentencia de primer grado, pues si bien el causante no tenía 50 semanas cotizadas en los 3 años anteriores a su fallecimiento, esto es, no cumplía los requisitos de la Ley 797 de 2003, cotizó más de 300 semanas antes de la entrada en vigencia de la Ley 100 de 1993; ello aunado al hecho de que la calidad de beneficiaria de la pensión de sobrevivientes de la demandante quedó demostrada con la declaración de Wilson Antonio Patiño y Amparo Vera, quienes coincidieron en afirmar que la demandante –como cónyuge- convivió ininterrumpidamente con el causante en los 5 años anteriores al deceso de este.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B7" w:rsidRPr="00D3284F" w:rsidRDefault="00C424B7" w:rsidP="00F9700B">
    <w:pPr>
      <w:pStyle w:val="Puesto"/>
      <w:spacing w:line="240" w:lineRule="auto"/>
      <w:jc w:val="both"/>
      <w:rPr>
        <w:b w:val="0"/>
        <w:sz w:val="18"/>
        <w:szCs w:val="14"/>
      </w:rPr>
    </w:pPr>
    <w:r w:rsidRPr="00D3284F">
      <w:rPr>
        <w:b w:val="0"/>
        <w:sz w:val="18"/>
        <w:szCs w:val="14"/>
      </w:rPr>
      <w:t>Radicación No.: 66001-31-05-005-2017-00278-01</w:t>
    </w:r>
  </w:p>
  <w:p w:rsidR="00C424B7" w:rsidRPr="00D3284F" w:rsidRDefault="00C424B7" w:rsidP="00F9700B">
    <w:pPr>
      <w:pStyle w:val="Puesto"/>
      <w:spacing w:line="240" w:lineRule="auto"/>
      <w:jc w:val="both"/>
      <w:rPr>
        <w:b w:val="0"/>
        <w:sz w:val="18"/>
        <w:szCs w:val="14"/>
      </w:rPr>
    </w:pPr>
    <w:r w:rsidRPr="00D3284F">
      <w:rPr>
        <w:b w:val="0"/>
        <w:sz w:val="18"/>
        <w:szCs w:val="14"/>
      </w:rPr>
      <w:t xml:space="preserve">Demandantes: </w:t>
    </w:r>
    <w:proofErr w:type="spellStart"/>
    <w:r w:rsidRPr="00D3284F">
      <w:rPr>
        <w:b w:val="0"/>
        <w:sz w:val="18"/>
        <w:szCs w:val="14"/>
      </w:rPr>
      <w:t>Jeny</w:t>
    </w:r>
    <w:proofErr w:type="spellEnd"/>
    <w:r w:rsidRPr="00D3284F">
      <w:rPr>
        <w:b w:val="0"/>
        <w:sz w:val="18"/>
        <w:szCs w:val="14"/>
      </w:rPr>
      <w:t xml:space="preserve"> Fernanda Ángel Loaiza  </w:t>
    </w:r>
  </w:p>
  <w:p w:rsidR="00C424B7" w:rsidRPr="00D3284F" w:rsidRDefault="00C424B7" w:rsidP="00A15059">
    <w:pPr>
      <w:pStyle w:val="Puesto"/>
      <w:spacing w:line="240" w:lineRule="auto"/>
      <w:jc w:val="both"/>
      <w:rPr>
        <w:b w:val="0"/>
        <w:sz w:val="18"/>
        <w:szCs w:val="14"/>
      </w:rPr>
    </w:pPr>
    <w:r w:rsidRPr="00D3284F">
      <w:rPr>
        <w:b w:val="0"/>
        <w:sz w:val="18"/>
        <w:szCs w:val="14"/>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7D017BC"/>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
    <w:nsid w:val="57830F6A"/>
    <w:multiLevelType w:val="hybridMultilevel"/>
    <w:tmpl w:val="385CAABA"/>
    <w:lvl w:ilvl="0" w:tplc="9294A16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63"/>
    <w:rsid w:val="00001C4E"/>
    <w:rsid w:val="0000213F"/>
    <w:rsid w:val="000170C8"/>
    <w:rsid w:val="00056FC6"/>
    <w:rsid w:val="00066667"/>
    <w:rsid w:val="00080E29"/>
    <w:rsid w:val="0008140C"/>
    <w:rsid w:val="000831DE"/>
    <w:rsid w:val="000C68C6"/>
    <w:rsid w:val="000E06B4"/>
    <w:rsid w:val="000E5E49"/>
    <w:rsid w:val="00113823"/>
    <w:rsid w:val="001200A3"/>
    <w:rsid w:val="00135567"/>
    <w:rsid w:val="00142CD7"/>
    <w:rsid w:val="00167673"/>
    <w:rsid w:val="00181326"/>
    <w:rsid w:val="001B3297"/>
    <w:rsid w:val="001C226A"/>
    <w:rsid w:val="001C28D0"/>
    <w:rsid w:val="001C6101"/>
    <w:rsid w:val="001D66B9"/>
    <w:rsid w:val="00200FBF"/>
    <w:rsid w:val="00204FBC"/>
    <w:rsid w:val="0022603C"/>
    <w:rsid w:val="0023474C"/>
    <w:rsid w:val="0025244C"/>
    <w:rsid w:val="0026055E"/>
    <w:rsid w:val="00262A89"/>
    <w:rsid w:val="00265942"/>
    <w:rsid w:val="00267029"/>
    <w:rsid w:val="0028149D"/>
    <w:rsid w:val="002A565E"/>
    <w:rsid w:val="002B1222"/>
    <w:rsid w:val="002C2D6E"/>
    <w:rsid w:val="002C45E6"/>
    <w:rsid w:val="002D7922"/>
    <w:rsid w:val="00313849"/>
    <w:rsid w:val="003208B8"/>
    <w:rsid w:val="00320AD9"/>
    <w:rsid w:val="00324481"/>
    <w:rsid w:val="00326228"/>
    <w:rsid w:val="00332D8C"/>
    <w:rsid w:val="0033645D"/>
    <w:rsid w:val="00337375"/>
    <w:rsid w:val="003451D2"/>
    <w:rsid w:val="00347565"/>
    <w:rsid w:val="003A3BFC"/>
    <w:rsid w:val="0040487E"/>
    <w:rsid w:val="00447027"/>
    <w:rsid w:val="004C34E6"/>
    <w:rsid w:val="004D08D9"/>
    <w:rsid w:val="004E7D22"/>
    <w:rsid w:val="005009FE"/>
    <w:rsid w:val="00512171"/>
    <w:rsid w:val="005144B2"/>
    <w:rsid w:val="005367FF"/>
    <w:rsid w:val="00540943"/>
    <w:rsid w:val="00553B89"/>
    <w:rsid w:val="005825F1"/>
    <w:rsid w:val="005851B1"/>
    <w:rsid w:val="005E254F"/>
    <w:rsid w:val="005F378C"/>
    <w:rsid w:val="006010E9"/>
    <w:rsid w:val="0063126A"/>
    <w:rsid w:val="006349BE"/>
    <w:rsid w:val="0068273C"/>
    <w:rsid w:val="006A27AE"/>
    <w:rsid w:val="006A51E1"/>
    <w:rsid w:val="006B03B1"/>
    <w:rsid w:val="006D457A"/>
    <w:rsid w:val="006E7AEE"/>
    <w:rsid w:val="006E7EAD"/>
    <w:rsid w:val="00701291"/>
    <w:rsid w:val="00713083"/>
    <w:rsid w:val="00741B35"/>
    <w:rsid w:val="00747851"/>
    <w:rsid w:val="007577BC"/>
    <w:rsid w:val="007915BA"/>
    <w:rsid w:val="00794C40"/>
    <w:rsid w:val="007B1846"/>
    <w:rsid w:val="007C085A"/>
    <w:rsid w:val="007D68A4"/>
    <w:rsid w:val="00827D57"/>
    <w:rsid w:val="0084420D"/>
    <w:rsid w:val="0085020E"/>
    <w:rsid w:val="008579C3"/>
    <w:rsid w:val="00873FA0"/>
    <w:rsid w:val="00877507"/>
    <w:rsid w:val="00881A2E"/>
    <w:rsid w:val="008A178F"/>
    <w:rsid w:val="008A3148"/>
    <w:rsid w:val="008B2AC6"/>
    <w:rsid w:val="00932EBE"/>
    <w:rsid w:val="0093404D"/>
    <w:rsid w:val="00974809"/>
    <w:rsid w:val="009A0685"/>
    <w:rsid w:val="009D55EA"/>
    <w:rsid w:val="009E3E34"/>
    <w:rsid w:val="009F69A2"/>
    <w:rsid w:val="00A15059"/>
    <w:rsid w:val="00A16C0B"/>
    <w:rsid w:val="00AD179F"/>
    <w:rsid w:val="00AD2427"/>
    <w:rsid w:val="00AF533B"/>
    <w:rsid w:val="00B079DD"/>
    <w:rsid w:val="00B47BF1"/>
    <w:rsid w:val="00B818C7"/>
    <w:rsid w:val="00BA349F"/>
    <w:rsid w:val="00C05EBA"/>
    <w:rsid w:val="00C424B7"/>
    <w:rsid w:val="00C5131E"/>
    <w:rsid w:val="00CB3BFA"/>
    <w:rsid w:val="00CC7352"/>
    <w:rsid w:val="00CF343F"/>
    <w:rsid w:val="00D04731"/>
    <w:rsid w:val="00D3284F"/>
    <w:rsid w:val="00D36EDF"/>
    <w:rsid w:val="00D93D22"/>
    <w:rsid w:val="00DD3C06"/>
    <w:rsid w:val="00DD6828"/>
    <w:rsid w:val="00DE2563"/>
    <w:rsid w:val="00DF3564"/>
    <w:rsid w:val="00E05827"/>
    <w:rsid w:val="00E1429F"/>
    <w:rsid w:val="00E14A2F"/>
    <w:rsid w:val="00E25F15"/>
    <w:rsid w:val="00E762CC"/>
    <w:rsid w:val="00EE3A1D"/>
    <w:rsid w:val="00F01086"/>
    <w:rsid w:val="00F1236D"/>
    <w:rsid w:val="00F42610"/>
    <w:rsid w:val="00F52853"/>
    <w:rsid w:val="00F630DD"/>
    <w:rsid w:val="00F82617"/>
    <w:rsid w:val="00F828CD"/>
    <w:rsid w:val="00F9700B"/>
    <w:rsid w:val="00FD65FF"/>
    <w:rsid w:val="00FD78F7"/>
    <w:rsid w:val="00FE0B8E"/>
    <w:rsid w:val="00FE6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F98C0-C03A-4A40-A38B-79AA837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6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0666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DE256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E2563"/>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E2563"/>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E2563"/>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E2563"/>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E2563"/>
    <w:rPr>
      <w:rFonts w:ascii="Arial" w:eastAsia="Times New Roman" w:hAnsi="Arial" w:cs="Arial"/>
      <w:b/>
      <w:bCs/>
      <w:sz w:val="24"/>
      <w:szCs w:val="24"/>
      <w:lang w:eastAsia="es-ES"/>
    </w:rPr>
  </w:style>
  <w:style w:type="paragraph" w:styleId="Puesto">
    <w:name w:val="Title"/>
    <w:basedOn w:val="Normal"/>
    <w:link w:val="PuestoCar"/>
    <w:qFormat/>
    <w:rsid w:val="00DE2563"/>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E2563"/>
    <w:rPr>
      <w:rFonts w:ascii="Arial" w:eastAsia="Times New Roman" w:hAnsi="Arial" w:cs="Arial"/>
      <w:b/>
      <w:sz w:val="24"/>
      <w:szCs w:val="24"/>
      <w:lang w:eastAsia="es-ES"/>
    </w:rPr>
  </w:style>
  <w:style w:type="paragraph" w:styleId="Sangradetextonormal">
    <w:name w:val="Body Text Indent"/>
    <w:basedOn w:val="Normal"/>
    <w:link w:val="SangradetextonormalCar"/>
    <w:rsid w:val="00DE2563"/>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E2563"/>
    <w:rPr>
      <w:rFonts w:ascii="Tahoma" w:eastAsia="Times New Roman" w:hAnsi="Tahoma" w:cs="Tahoma"/>
      <w:sz w:val="24"/>
      <w:szCs w:val="24"/>
      <w:lang w:eastAsia="es-ES"/>
    </w:rPr>
  </w:style>
  <w:style w:type="paragraph" w:styleId="Prrafodelista">
    <w:name w:val="List Paragraph"/>
    <w:basedOn w:val="Normal"/>
    <w:uiPriority w:val="34"/>
    <w:qFormat/>
    <w:rsid w:val="00DE2563"/>
    <w:pPr>
      <w:ind w:left="720"/>
      <w:contextualSpacing/>
    </w:pPr>
  </w:style>
  <w:style w:type="paragraph" w:customStyle="1" w:styleId="Textoindependiente21">
    <w:name w:val="Texto independiente 21"/>
    <w:basedOn w:val="Normal"/>
    <w:link w:val="BodyText2Car1"/>
    <w:uiPriority w:val="99"/>
    <w:rsid w:val="00DE25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E2563"/>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E2563"/>
    <w:pPr>
      <w:tabs>
        <w:tab w:val="center" w:pos="4252"/>
        <w:tab w:val="right" w:pos="8504"/>
      </w:tabs>
    </w:pPr>
  </w:style>
  <w:style w:type="character" w:customStyle="1" w:styleId="PiedepginaCar">
    <w:name w:val="Pie de página Car"/>
    <w:basedOn w:val="Fuentedeprrafopredeter"/>
    <w:link w:val="Piedepgina"/>
    <w:uiPriority w:val="99"/>
    <w:rsid w:val="00DE2563"/>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E2563"/>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E2563"/>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rsid w:val="00DE2563"/>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DE2563"/>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E2563"/>
    <w:pPr>
      <w:spacing w:after="120"/>
    </w:pPr>
  </w:style>
  <w:style w:type="character" w:customStyle="1" w:styleId="TextoindependienteCar">
    <w:name w:val="Texto independiente Car"/>
    <w:basedOn w:val="Fuentedeprrafopredeter"/>
    <w:link w:val="Textoindependiente"/>
    <w:rsid w:val="00DE2563"/>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DE2563"/>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DE2563"/>
    <w:pPr>
      <w:spacing w:line="360" w:lineRule="auto"/>
      <w:jc w:val="both"/>
    </w:pPr>
    <w:rPr>
      <w:rFonts w:ascii="Arial" w:hAnsi="Arial"/>
      <w:szCs w:val="20"/>
      <w:lang w:val="es-ES_tradnl"/>
    </w:rPr>
  </w:style>
  <w:style w:type="paragraph" w:styleId="Encabezado">
    <w:name w:val="header"/>
    <w:basedOn w:val="Normal"/>
    <w:link w:val="EncabezadoCar"/>
    <w:uiPriority w:val="99"/>
    <w:unhideWhenUsed/>
    <w:rsid w:val="009D55EA"/>
    <w:pPr>
      <w:tabs>
        <w:tab w:val="center" w:pos="4252"/>
        <w:tab w:val="right" w:pos="8504"/>
      </w:tabs>
    </w:pPr>
  </w:style>
  <w:style w:type="character" w:customStyle="1" w:styleId="EncabezadoCar">
    <w:name w:val="Encabezado Car"/>
    <w:basedOn w:val="Fuentedeprrafopredeter"/>
    <w:link w:val="Encabezado"/>
    <w:uiPriority w:val="99"/>
    <w:rsid w:val="009D55E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18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846"/>
    <w:rPr>
      <w:rFonts w:ascii="Segoe UI" w:eastAsia="Times New Roman" w:hAnsi="Segoe UI" w:cs="Segoe UI"/>
      <w:sz w:val="18"/>
      <w:szCs w:val="18"/>
      <w:lang w:eastAsia="es-ES"/>
    </w:rPr>
  </w:style>
  <w:style w:type="paragraph" w:customStyle="1" w:styleId="Prrafodelista2">
    <w:name w:val="Párrafo de lista2"/>
    <w:basedOn w:val="Normal"/>
    <w:rsid w:val="00324481"/>
    <w:pPr>
      <w:spacing w:after="200" w:line="276" w:lineRule="auto"/>
      <w:ind w:left="720"/>
      <w:contextualSpacing/>
    </w:pPr>
    <w:rPr>
      <w:rFonts w:ascii="Calibri" w:hAnsi="Calibri"/>
      <w:sz w:val="22"/>
      <w:szCs w:val="22"/>
      <w:lang w:val="es-CO" w:eastAsia="en-US"/>
    </w:rPr>
  </w:style>
  <w:style w:type="character" w:customStyle="1" w:styleId="Ttulo1Car">
    <w:name w:val="Título 1 Car"/>
    <w:basedOn w:val="Fuentedeprrafopredeter"/>
    <w:link w:val="Ttulo1"/>
    <w:uiPriority w:val="9"/>
    <w:rsid w:val="00066667"/>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10</Pages>
  <Words>4483</Words>
  <Characters>22460</Characters>
  <Application>Microsoft Office Word</Application>
  <DocSecurity>0</DocSecurity>
  <Lines>449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57</cp:revision>
  <cp:lastPrinted>2019-10-04T12:24:00Z</cp:lastPrinted>
  <dcterms:created xsi:type="dcterms:W3CDTF">2017-09-20T16:51:00Z</dcterms:created>
  <dcterms:modified xsi:type="dcterms:W3CDTF">2019-12-05T13:51:00Z</dcterms:modified>
</cp:coreProperties>
</file>