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951" w:rsidRPr="00B30EFC" w:rsidRDefault="00B52951" w:rsidP="00B5295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52951" w:rsidRDefault="00B52951" w:rsidP="00B52951">
      <w:pPr>
        <w:jc w:val="both"/>
        <w:rPr>
          <w:rFonts w:ascii="Arial" w:hAnsi="Arial" w:cs="Arial"/>
          <w:sz w:val="20"/>
          <w:lang w:val="es-419"/>
        </w:rPr>
      </w:pPr>
    </w:p>
    <w:p w:rsidR="00B52951" w:rsidRPr="00B52951" w:rsidRDefault="00B52951" w:rsidP="00B52951">
      <w:pPr>
        <w:jc w:val="both"/>
        <w:rPr>
          <w:rFonts w:ascii="Arial" w:hAnsi="Arial" w:cs="Arial"/>
          <w:sz w:val="20"/>
          <w:lang w:val="es-419"/>
        </w:rPr>
      </w:pPr>
      <w:r w:rsidRPr="00B52951">
        <w:rPr>
          <w:rFonts w:ascii="Arial" w:hAnsi="Arial" w:cs="Arial"/>
          <w:sz w:val="20"/>
          <w:lang w:val="es-419"/>
        </w:rPr>
        <w:t>Providencia:</w:t>
      </w:r>
      <w:r w:rsidRPr="00B52951">
        <w:rPr>
          <w:rFonts w:ascii="Arial" w:hAnsi="Arial" w:cs="Arial"/>
          <w:sz w:val="20"/>
          <w:lang w:val="es-419"/>
        </w:rPr>
        <w:tab/>
      </w:r>
      <w:r w:rsidRPr="00B52951">
        <w:rPr>
          <w:rFonts w:ascii="Arial" w:hAnsi="Arial" w:cs="Arial"/>
          <w:sz w:val="20"/>
          <w:lang w:val="es-419"/>
        </w:rPr>
        <w:tab/>
        <w:t>Sentencia de Segunda Instancia</w:t>
      </w:r>
    </w:p>
    <w:p w:rsidR="00B52951" w:rsidRPr="00B52951" w:rsidRDefault="00B52951" w:rsidP="00B52951">
      <w:pPr>
        <w:jc w:val="both"/>
        <w:rPr>
          <w:rFonts w:ascii="Arial" w:hAnsi="Arial" w:cs="Arial"/>
          <w:sz w:val="20"/>
          <w:lang w:val="es-419"/>
        </w:rPr>
      </w:pPr>
      <w:r w:rsidRPr="00B52951">
        <w:rPr>
          <w:rFonts w:ascii="Arial" w:hAnsi="Arial" w:cs="Arial"/>
          <w:sz w:val="20"/>
          <w:lang w:val="es-419"/>
        </w:rPr>
        <w:t>Radicación No:</w:t>
      </w:r>
      <w:r w:rsidRPr="00B52951">
        <w:rPr>
          <w:rFonts w:ascii="Arial" w:hAnsi="Arial" w:cs="Arial"/>
          <w:sz w:val="20"/>
          <w:lang w:val="es-419"/>
        </w:rPr>
        <w:tab/>
      </w:r>
      <w:r w:rsidRPr="00B52951">
        <w:rPr>
          <w:rFonts w:ascii="Arial" w:hAnsi="Arial" w:cs="Arial"/>
          <w:sz w:val="20"/>
          <w:lang w:val="es-419"/>
        </w:rPr>
        <w:tab/>
        <w:t>66001-31-05-004-2017-00305-01</w:t>
      </w:r>
    </w:p>
    <w:p w:rsidR="00B52951" w:rsidRPr="00B52951" w:rsidRDefault="00B52951" w:rsidP="00B52951">
      <w:pPr>
        <w:jc w:val="both"/>
        <w:rPr>
          <w:rFonts w:ascii="Arial" w:hAnsi="Arial" w:cs="Arial"/>
          <w:sz w:val="20"/>
          <w:lang w:val="es-419"/>
        </w:rPr>
      </w:pPr>
      <w:r w:rsidRPr="00B52951">
        <w:rPr>
          <w:rFonts w:ascii="Arial" w:hAnsi="Arial" w:cs="Arial"/>
          <w:sz w:val="20"/>
          <w:lang w:val="es-419"/>
        </w:rPr>
        <w:t>Proceso:</w:t>
      </w:r>
      <w:r w:rsidRPr="00B52951">
        <w:rPr>
          <w:rFonts w:ascii="Arial" w:hAnsi="Arial" w:cs="Arial"/>
          <w:sz w:val="20"/>
          <w:lang w:val="es-419"/>
        </w:rPr>
        <w:tab/>
      </w:r>
      <w:r w:rsidRPr="00B52951">
        <w:rPr>
          <w:rFonts w:ascii="Arial" w:hAnsi="Arial" w:cs="Arial"/>
          <w:sz w:val="20"/>
          <w:lang w:val="es-419"/>
        </w:rPr>
        <w:tab/>
        <w:t>Ordinario Laboral</w:t>
      </w:r>
    </w:p>
    <w:p w:rsidR="00B52951" w:rsidRPr="00B52951" w:rsidRDefault="00B52951" w:rsidP="00B52951">
      <w:pPr>
        <w:jc w:val="both"/>
        <w:rPr>
          <w:rFonts w:ascii="Arial" w:hAnsi="Arial" w:cs="Arial"/>
          <w:sz w:val="20"/>
          <w:lang w:val="es-419"/>
        </w:rPr>
      </w:pPr>
      <w:r w:rsidRPr="00B52951">
        <w:rPr>
          <w:rFonts w:ascii="Arial" w:hAnsi="Arial" w:cs="Arial"/>
          <w:sz w:val="20"/>
          <w:lang w:val="es-419"/>
        </w:rPr>
        <w:t>Demandante:</w:t>
      </w:r>
      <w:r w:rsidRPr="00B52951">
        <w:rPr>
          <w:rFonts w:ascii="Arial" w:hAnsi="Arial" w:cs="Arial"/>
          <w:sz w:val="20"/>
          <w:lang w:val="es-419"/>
        </w:rPr>
        <w:tab/>
      </w:r>
      <w:r w:rsidRPr="00B52951">
        <w:rPr>
          <w:rFonts w:ascii="Arial" w:hAnsi="Arial" w:cs="Arial"/>
          <w:sz w:val="20"/>
          <w:lang w:val="es-419"/>
        </w:rPr>
        <w:tab/>
        <w:t xml:space="preserve">Clara Rosa Ramírez Mosquera  </w:t>
      </w:r>
    </w:p>
    <w:p w:rsidR="00B52951" w:rsidRPr="00B52951" w:rsidRDefault="00B52951" w:rsidP="00B52951">
      <w:pPr>
        <w:jc w:val="both"/>
        <w:rPr>
          <w:rFonts w:ascii="Arial" w:hAnsi="Arial" w:cs="Arial"/>
          <w:sz w:val="20"/>
          <w:lang w:val="es-419"/>
        </w:rPr>
      </w:pPr>
      <w:r w:rsidRPr="00B52951">
        <w:rPr>
          <w:rFonts w:ascii="Arial" w:hAnsi="Arial" w:cs="Arial"/>
          <w:sz w:val="20"/>
          <w:lang w:val="es-419"/>
        </w:rPr>
        <w:t>Demandado:</w:t>
      </w:r>
      <w:r w:rsidRPr="00B52951">
        <w:rPr>
          <w:rFonts w:ascii="Arial" w:hAnsi="Arial" w:cs="Arial"/>
          <w:sz w:val="20"/>
          <w:lang w:val="es-419"/>
        </w:rPr>
        <w:tab/>
      </w:r>
      <w:r w:rsidRPr="00B52951">
        <w:rPr>
          <w:rFonts w:ascii="Arial" w:hAnsi="Arial" w:cs="Arial"/>
          <w:sz w:val="20"/>
          <w:lang w:val="es-419"/>
        </w:rPr>
        <w:tab/>
        <w:t>Colpensiones</w:t>
      </w:r>
      <w:r>
        <w:rPr>
          <w:rFonts w:ascii="Arial" w:hAnsi="Arial" w:cs="Arial"/>
          <w:sz w:val="20"/>
          <w:lang w:val="es-CO"/>
        </w:rPr>
        <w:t xml:space="preserve"> y </w:t>
      </w:r>
      <w:r w:rsidRPr="00B52951">
        <w:rPr>
          <w:rFonts w:ascii="Arial" w:hAnsi="Arial" w:cs="Arial"/>
          <w:sz w:val="20"/>
          <w:lang w:val="es-419"/>
        </w:rPr>
        <w:t>Porvenir S.A.</w:t>
      </w:r>
    </w:p>
    <w:p w:rsidR="00B52951" w:rsidRPr="00B52951" w:rsidRDefault="00B52951" w:rsidP="00B52951">
      <w:pPr>
        <w:jc w:val="both"/>
        <w:rPr>
          <w:rFonts w:ascii="Arial" w:hAnsi="Arial" w:cs="Arial"/>
          <w:sz w:val="20"/>
          <w:lang w:val="es-419"/>
        </w:rPr>
      </w:pPr>
      <w:r w:rsidRPr="00B52951">
        <w:rPr>
          <w:rFonts w:ascii="Arial" w:hAnsi="Arial" w:cs="Arial"/>
          <w:sz w:val="20"/>
          <w:lang w:val="es-419"/>
        </w:rPr>
        <w:t>Juzgado de origen:</w:t>
      </w:r>
      <w:r w:rsidRPr="00B52951">
        <w:rPr>
          <w:rFonts w:ascii="Arial" w:hAnsi="Arial" w:cs="Arial"/>
          <w:sz w:val="20"/>
          <w:lang w:val="es-419"/>
        </w:rPr>
        <w:tab/>
        <w:t>Cuarto Laboral del Circuito de Pereira.</w:t>
      </w:r>
    </w:p>
    <w:p w:rsidR="00B52951" w:rsidRPr="00B30EFC" w:rsidRDefault="00B52951" w:rsidP="00B52951">
      <w:pPr>
        <w:jc w:val="both"/>
        <w:rPr>
          <w:rFonts w:ascii="Arial" w:hAnsi="Arial" w:cs="Arial"/>
          <w:sz w:val="20"/>
          <w:lang w:val="es-419"/>
        </w:rPr>
      </w:pPr>
    </w:p>
    <w:p w:rsidR="00BF472F" w:rsidRPr="00202520" w:rsidRDefault="00B52951" w:rsidP="00BF472F">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BF472F" w:rsidRPr="00202520">
        <w:rPr>
          <w:rFonts w:ascii="Arial" w:hAnsi="Arial" w:cs="Arial"/>
          <w:b/>
          <w:bCs/>
          <w:sz w:val="20"/>
          <w:szCs w:val="20"/>
        </w:rPr>
        <w:t xml:space="preserve">INEFICACIA DEL TRASLADO DE RÉGIMEN PENSIONAL / </w:t>
      </w:r>
      <w:r w:rsidR="00192B82">
        <w:rPr>
          <w:rFonts w:ascii="Arial" w:hAnsi="Arial" w:cs="Arial"/>
          <w:b/>
          <w:bCs/>
          <w:sz w:val="20"/>
          <w:szCs w:val="20"/>
        </w:rPr>
        <w:t xml:space="preserve">APLICA PARA </w:t>
      </w:r>
      <w:r w:rsidR="00BF472F" w:rsidRPr="00202520">
        <w:rPr>
          <w:rFonts w:ascii="Arial" w:hAnsi="Arial" w:cs="Arial"/>
          <w:b/>
          <w:bCs/>
          <w:sz w:val="20"/>
          <w:szCs w:val="20"/>
        </w:rPr>
        <w:t xml:space="preserve">BENEFICIARIOS DEL RÉGIMEN DE TRANSICIÓN </w:t>
      </w:r>
      <w:r w:rsidR="00192B82">
        <w:rPr>
          <w:rFonts w:ascii="Arial" w:hAnsi="Arial" w:cs="Arial"/>
          <w:b/>
          <w:bCs/>
          <w:sz w:val="20"/>
          <w:szCs w:val="20"/>
        </w:rPr>
        <w:t xml:space="preserve">Y LA </w:t>
      </w:r>
      <w:r w:rsidR="00BF472F" w:rsidRPr="00202520">
        <w:rPr>
          <w:rFonts w:ascii="Arial" w:hAnsi="Arial" w:cs="Arial"/>
          <w:b/>
          <w:bCs/>
          <w:sz w:val="20"/>
          <w:szCs w:val="20"/>
        </w:rPr>
        <w:t>CARGA PROBATORIA RADICA EN LA AFP</w:t>
      </w:r>
      <w:r w:rsidR="00192B82">
        <w:rPr>
          <w:rFonts w:ascii="Arial" w:hAnsi="Arial" w:cs="Arial"/>
          <w:b/>
          <w:bCs/>
          <w:iCs/>
          <w:sz w:val="20"/>
          <w:szCs w:val="20"/>
          <w:lang w:val="es-CO" w:eastAsia="fr-FR"/>
        </w:rPr>
        <w:t xml:space="preserve"> / PARA NO BENEFICIARIOS LA FIGURA A ESTUDIAR ES LA NULIDAD DEL ACTO JURÍDICO</w:t>
      </w:r>
      <w:r w:rsidR="00A618CD">
        <w:rPr>
          <w:rFonts w:ascii="Arial" w:hAnsi="Arial" w:cs="Arial"/>
          <w:b/>
          <w:bCs/>
          <w:iCs/>
          <w:sz w:val="20"/>
          <w:szCs w:val="20"/>
          <w:lang w:val="es-CO" w:eastAsia="fr-FR"/>
        </w:rPr>
        <w:t>,</w:t>
      </w:r>
      <w:r w:rsidR="00192B82">
        <w:rPr>
          <w:rFonts w:ascii="Arial" w:hAnsi="Arial" w:cs="Arial"/>
          <w:b/>
          <w:bCs/>
          <w:iCs/>
          <w:sz w:val="20"/>
          <w:szCs w:val="20"/>
          <w:lang w:val="es-CO" w:eastAsia="fr-FR"/>
        </w:rPr>
        <w:t xml:space="preserve"> LA CARGA PROBATORIA INCUMBE AL DEMANDANTE </w:t>
      </w:r>
      <w:r w:rsidR="00A618CD">
        <w:rPr>
          <w:rFonts w:ascii="Arial" w:hAnsi="Arial" w:cs="Arial"/>
          <w:b/>
          <w:bCs/>
          <w:iCs/>
          <w:sz w:val="20"/>
          <w:szCs w:val="20"/>
          <w:lang w:val="es-CO" w:eastAsia="fr-FR"/>
        </w:rPr>
        <w:t xml:space="preserve">Y DEBE PEDIRSE DENTRO DE LOS CUATRO AÑOS SIGUIENTES </w:t>
      </w:r>
      <w:r w:rsidR="00192B82">
        <w:rPr>
          <w:rFonts w:ascii="Arial" w:hAnsi="Arial" w:cs="Arial"/>
          <w:b/>
          <w:bCs/>
          <w:iCs/>
          <w:sz w:val="20"/>
          <w:szCs w:val="20"/>
          <w:lang w:val="es-CO" w:eastAsia="fr-FR"/>
        </w:rPr>
        <w:t xml:space="preserve">/ </w:t>
      </w:r>
      <w:r w:rsidR="00A618CD">
        <w:rPr>
          <w:rFonts w:ascii="Arial" w:hAnsi="Arial" w:cs="Arial"/>
          <w:b/>
          <w:bCs/>
          <w:iCs/>
          <w:sz w:val="20"/>
          <w:szCs w:val="20"/>
          <w:lang w:val="es-CO" w:eastAsia="fr-FR"/>
        </w:rPr>
        <w:t>RÉGIMEN DE TRANSICIÓN: EXIGE HABER ESTADO AFILIADO A ALGÚN RÉGIMEN ANTES DEL 1º DE ABRIL DE 1994.</w:t>
      </w:r>
    </w:p>
    <w:p w:rsidR="00B52951" w:rsidRDefault="00B52951" w:rsidP="00B52951">
      <w:pPr>
        <w:jc w:val="both"/>
        <w:rPr>
          <w:rFonts w:ascii="Arial" w:hAnsi="Arial" w:cs="Arial"/>
          <w:sz w:val="20"/>
          <w:lang w:val="es-419"/>
        </w:rPr>
      </w:pPr>
    </w:p>
    <w:p w:rsidR="00A32613" w:rsidRPr="0028661D" w:rsidRDefault="00A32613" w:rsidP="0028661D">
      <w:pPr>
        <w:jc w:val="both"/>
        <w:rPr>
          <w:rFonts w:ascii="Arial" w:hAnsi="Arial" w:cs="Arial"/>
          <w:sz w:val="20"/>
          <w:lang w:val="es-419"/>
        </w:rPr>
      </w:pPr>
      <w:r w:rsidRPr="0028661D">
        <w:rPr>
          <w:rFonts w:ascii="Arial" w:hAnsi="Arial" w:cs="Arial"/>
          <w:sz w:val="20"/>
          <w:lang w:val="es-419"/>
        </w:rPr>
        <w:t xml:space="preserve">… </w:t>
      </w:r>
      <w:r w:rsidRPr="0028661D">
        <w:rPr>
          <w:rFonts w:ascii="Arial" w:hAnsi="Arial" w:cs="Arial"/>
          <w:sz w:val="20"/>
          <w:lang w:val="es-419"/>
        </w:rPr>
        <w:t xml:space="preserve">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A32613" w:rsidRPr="0028661D" w:rsidRDefault="00A32613" w:rsidP="0028661D">
      <w:pPr>
        <w:jc w:val="both"/>
        <w:rPr>
          <w:rFonts w:ascii="Arial" w:hAnsi="Arial" w:cs="Arial"/>
          <w:sz w:val="20"/>
          <w:lang w:val="es-419"/>
        </w:rPr>
      </w:pPr>
    </w:p>
    <w:p w:rsidR="00A32613" w:rsidRPr="0028661D" w:rsidRDefault="00A32613" w:rsidP="0028661D">
      <w:pPr>
        <w:jc w:val="both"/>
        <w:rPr>
          <w:rFonts w:ascii="Arial" w:hAnsi="Arial" w:cs="Arial"/>
          <w:sz w:val="20"/>
          <w:lang w:val="es-419"/>
        </w:rPr>
      </w:pPr>
      <w:r w:rsidRPr="0028661D">
        <w:rPr>
          <w:rFonts w:ascii="Arial" w:hAnsi="Arial" w:cs="Arial"/>
          <w:sz w:val="20"/>
          <w:lang w:val="es-419"/>
        </w:rPr>
        <w:t xml:space="preserve">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w:t>
      </w:r>
      <w:proofErr w:type="spellStart"/>
      <w:r w:rsidRPr="0028661D">
        <w:rPr>
          <w:rFonts w:ascii="Arial" w:hAnsi="Arial" w:cs="Arial"/>
          <w:sz w:val="20"/>
          <w:lang w:val="es-419"/>
        </w:rPr>
        <w:t>Onus</w:t>
      </w:r>
      <w:proofErr w:type="spellEnd"/>
      <w:r w:rsidRPr="0028661D">
        <w:rPr>
          <w:rFonts w:ascii="Arial" w:hAnsi="Arial" w:cs="Arial"/>
          <w:sz w:val="20"/>
          <w:lang w:val="es-419"/>
        </w:rPr>
        <w:t xml:space="preserve"> </w:t>
      </w:r>
      <w:proofErr w:type="spellStart"/>
      <w:r w:rsidRPr="0028661D">
        <w:rPr>
          <w:rFonts w:ascii="Arial" w:hAnsi="Arial" w:cs="Arial"/>
          <w:sz w:val="20"/>
          <w:lang w:val="es-419"/>
        </w:rPr>
        <w:t>Probandi</w:t>
      </w:r>
      <w:proofErr w:type="spellEnd"/>
      <w:r w:rsidRPr="0028661D">
        <w:rPr>
          <w:rFonts w:ascii="Arial" w:hAnsi="Arial" w:cs="Arial"/>
          <w:sz w:val="20"/>
          <w:lang w:val="es-419"/>
        </w:rPr>
        <w:t xml:space="preserve">, de conformidad con el artículo 167 del C.G.P., so pena de la </w:t>
      </w:r>
      <w:proofErr w:type="spellStart"/>
      <w:r w:rsidRPr="0028661D">
        <w:rPr>
          <w:rFonts w:ascii="Arial" w:hAnsi="Arial" w:cs="Arial"/>
          <w:sz w:val="20"/>
          <w:lang w:val="es-419"/>
        </w:rPr>
        <w:t>improsperidad</w:t>
      </w:r>
      <w:proofErr w:type="spellEnd"/>
      <w:r w:rsidRPr="0028661D">
        <w:rPr>
          <w:rFonts w:ascii="Arial" w:hAnsi="Arial" w:cs="Arial"/>
          <w:sz w:val="20"/>
          <w:lang w:val="es-419"/>
        </w:rPr>
        <w:t xml:space="preserve"> de sus pretensiones.</w:t>
      </w:r>
      <w:r w:rsidRPr="0028661D">
        <w:rPr>
          <w:rFonts w:ascii="Arial" w:hAnsi="Arial" w:cs="Arial"/>
          <w:sz w:val="20"/>
          <w:lang w:val="es-419"/>
        </w:rPr>
        <w:t xml:space="preserve"> (…)</w:t>
      </w:r>
    </w:p>
    <w:p w:rsidR="00A32613" w:rsidRDefault="00A32613" w:rsidP="00B52951">
      <w:pPr>
        <w:jc w:val="both"/>
        <w:rPr>
          <w:rFonts w:ascii="Arial" w:hAnsi="Arial" w:cs="Arial"/>
          <w:sz w:val="20"/>
          <w:lang w:val="es-419"/>
        </w:rPr>
      </w:pPr>
    </w:p>
    <w:p w:rsidR="00A32613" w:rsidRPr="00B30EFC" w:rsidRDefault="00A32613" w:rsidP="00B52951">
      <w:pPr>
        <w:jc w:val="both"/>
        <w:rPr>
          <w:rFonts w:ascii="Arial" w:hAnsi="Arial" w:cs="Arial"/>
          <w:sz w:val="20"/>
          <w:lang w:val="es-419"/>
        </w:rPr>
      </w:pPr>
      <w:r w:rsidRPr="0028661D">
        <w:rPr>
          <w:rFonts w:ascii="Arial" w:hAnsi="Arial" w:cs="Arial"/>
          <w:sz w:val="20"/>
          <w:lang w:val="es-419"/>
        </w:rPr>
        <w:t xml:space="preserve">… </w:t>
      </w:r>
      <w:r w:rsidRPr="0028661D">
        <w:rPr>
          <w:rFonts w:ascii="Arial" w:hAnsi="Arial" w:cs="Arial"/>
          <w:sz w:val="20"/>
          <w:lang w:val="es-419"/>
        </w:rPr>
        <w:t xml:space="preserve">la jurisprudencia de la </w:t>
      </w:r>
      <w:proofErr w:type="spellStart"/>
      <w:r w:rsidRPr="0028661D">
        <w:rPr>
          <w:rFonts w:ascii="Arial" w:hAnsi="Arial" w:cs="Arial"/>
          <w:sz w:val="20"/>
          <w:lang w:val="es-419"/>
        </w:rPr>
        <w:t>SCL</w:t>
      </w:r>
      <w:proofErr w:type="spellEnd"/>
      <w:r w:rsidRPr="0028661D">
        <w:rPr>
          <w:rFonts w:ascii="Arial" w:hAnsi="Arial" w:cs="Arial"/>
          <w:sz w:val="20"/>
          <w:lang w:val="es-419"/>
        </w:rPr>
        <w:t xml:space="preserve"> de la CSJ y que ha sido acogida por esta Corporación sostiene que para la aplicación de una norma anterior a la 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 para poder determinar cuáles son los requisitos que deben resguardarse por el cambio de legislación.</w:t>
      </w:r>
      <w:r w:rsidRPr="0028661D">
        <w:rPr>
          <w:rFonts w:ascii="Arial" w:hAnsi="Arial" w:cs="Arial"/>
          <w:sz w:val="20"/>
          <w:lang w:val="es-419"/>
        </w:rPr>
        <w:t xml:space="preserve"> (…)</w:t>
      </w:r>
    </w:p>
    <w:p w:rsidR="0028661D" w:rsidRDefault="0028661D" w:rsidP="00B52951">
      <w:pPr>
        <w:jc w:val="both"/>
        <w:rPr>
          <w:rFonts w:ascii="Arial" w:hAnsi="Arial" w:cs="Arial"/>
          <w:sz w:val="20"/>
          <w:lang w:val="es-419"/>
        </w:rPr>
      </w:pPr>
    </w:p>
    <w:p w:rsidR="0028661D" w:rsidRPr="0028661D" w:rsidRDefault="0028661D" w:rsidP="0028661D">
      <w:pPr>
        <w:jc w:val="both"/>
        <w:rPr>
          <w:rFonts w:ascii="Arial" w:hAnsi="Arial" w:cs="Arial"/>
          <w:sz w:val="20"/>
          <w:lang w:val="es-419"/>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28661D" w:rsidRPr="0028661D" w:rsidRDefault="0028661D" w:rsidP="0028661D">
      <w:pPr>
        <w:jc w:val="both"/>
        <w:rPr>
          <w:rFonts w:ascii="Arial" w:hAnsi="Arial" w:cs="Arial"/>
          <w:sz w:val="20"/>
          <w:lang w:val="es-419"/>
        </w:rPr>
      </w:pPr>
    </w:p>
    <w:p w:rsidR="0028661D" w:rsidRPr="0028661D" w:rsidRDefault="0028661D" w:rsidP="0028661D">
      <w:pPr>
        <w:jc w:val="both"/>
        <w:rPr>
          <w:rFonts w:ascii="Arial" w:hAnsi="Arial" w:cs="Arial"/>
          <w:sz w:val="20"/>
          <w:lang w:val="es-419"/>
        </w:rPr>
      </w:pPr>
      <w:r w:rsidRPr="0028661D">
        <w:rPr>
          <w:rFonts w:ascii="Arial" w:hAnsi="Arial" w:cs="Arial"/>
          <w:sz w:val="20"/>
          <w:lang w:val="es-419"/>
        </w:rPr>
        <w:t>A su vez, el artículo 1750 del Código Civil prevé que para alegar la rescisión en los eventos en que se alegue la ocurrencia de error o dolo, se cuenta con un plazo de cuatro años contados desde el día de la celebración del acto o contrato.</w:t>
      </w:r>
    </w:p>
    <w:p w:rsidR="0028661D" w:rsidRPr="0028661D" w:rsidRDefault="0028661D" w:rsidP="0028661D">
      <w:pPr>
        <w:jc w:val="both"/>
        <w:rPr>
          <w:rFonts w:ascii="Arial" w:hAnsi="Arial" w:cs="Arial"/>
          <w:sz w:val="20"/>
          <w:lang w:val="es-419"/>
        </w:rPr>
      </w:pPr>
    </w:p>
    <w:p w:rsidR="0028661D" w:rsidRPr="0028661D" w:rsidRDefault="0028661D" w:rsidP="0028661D">
      <w:pPr>
        <w:jc w:val="both"/>
        <w:rPr>
          <w:rFonts w:ascii="Arial" w:hAnsi="Arial" w:cs="Arial"/>
          <w:sz w:val="20"/>
          <w:lang w:val="es-419"/>
        </w:rPr>
      </w:pPr>
      <w:r w:rsidRPr="0028661D">
        <w:rPr>
          <w:rFonts w:ascii="Arial" w:hAnsi="Arial" w:cs="Arial"/>
          <w:sz w:val="20"/>
          <w:lang w:val="es-419"/>
        </w:rPr>
        <w:t>De otro lado el artículo 1743 ibídem dispone que la nulidad relativa se sanea por el paso del tiempo o por ratificación de las partes.</w:t>
      </w:r>
    </w:p>
    <w:p w:rsidR="00B52951" w:rsidRDefault="00B52951" w:rsidP="00B52951">
      <w:pPr>
        <w:jc w:val="both"/>
        <w:rPr>
          <w:rFonts w:ascii="Arial" w:hAnsi="Arial" w:cs="Arial"/>
          <w:sz w:val="20"/>
          <w:lang w:val="es-419"/>
        </w:rPr>
      </w:pPr>
    </w:p>
    <w:p w:rsidR="00B52951" w:rsidRDefault="00B52951" w:rsidP="00B52951">
      <w:pPr>
        <w:jc w:val="both"/>
        <w:rPr>
          <w:rFonts w:ascii="Arial" w:hAnsi="Arial" w:cs="Arial"/>
          <w:sz w:val="20"/>
          <w:lang w:val="es-419"/>
        </w:rPr>
      </w:pPr>
    </w:p>
    <w:p w:rsidR="00B52951" w:rsidRDefault="00B52951" w:rsidP="00B52951">
      <w:pPr>
        <w:jc w:val="both"/>
        <w:rPr>
          <w:rFonts w:ascii="Arial" w:hAnsi="Arial" w:cs="Arial"/>
          <w:sz w:val="20"/>
          <w:lang w:val="es-419"/>
        </w:rPr>
      </w:pPr>
    </w:p>
    <w:p w:rsidR="00D636F8" w:rsidRDefault="00D636F8" w:rsidP="005920A9">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SALA LABORAL</w:t>
      </w:r>
    </w:p>
    <w:p w:rsidR="00D636F8" w:rsidRDefault="00D636F8" w:rsidP="005920A9">
      <w:pPr>
        <w:spacing w:line="276" w:lineRule="auto"/>
        <w:ind w:left="2127" w:hanging="1276"/>
        <w:contextualSpacing/>
        <w:jc w:val="center"/>
        <w:rPr>
          <w:rFonts w:ascii="Arial" w:hAnsi="Arial" w:cs="Arial"/>
          <w:b/>
          <w:szCs w:val="24"/>
        </w:rPr>
      </w:pPr>
    </w:p>
    <w:p w:rsidR="00D636F8" w:rsidRPr="003440CA"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Pr="00AC486E" w:rsidRDefault="00D636F8" w:rsidP="005920A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3A4CF9">
        <w:rPr>
          <w:rFonts w:ascii="Arial" w:eastAsia="Calibri" w:hAnsi="Arial" w:cs="Arial"/>
          <w:szCs w:val="24"/>
          <w:lang w:val="es-CO" w:eastAsia="en-US"/>
        </w:rPr>
        <w:t>veinti</w:t>
      </w:r>
      <w:r w:rsidR="001976D0">
        <w:rPr>
          <w:rFonts w:ascii="Arial" w:eastAsia="Calibri" w:hAnsi="Arial" w:cs="Arial"/>
          <w:szCs w:val="24"/>
          <w:lang w:val="es-CO" w:eastAsia="en-US"/>
        </w:rPr>
        <w:t xml:space="preserve">dós </w:t>
      </w:r>
      <w:r w:rsidR="00AD05E0">
        <w:rPr>
          <w:rFonts w:ascii="Arial" w:eastAsia="Calibri" w:hAnsi="Arial" w:cs="Arial"/>
          <w:szCs w:val="24"/>
          <w:lang w:val="es-CO" w:eastAsia="en-US"/>
        </w:rPr>
        <w:t>(</w:t>
      </w:r>
      <w:r w:rsidR="003A4CF9">
        <w:rPr>
          <w:rFonts w:ascii="Arial" w:eastAsia="Calibri" w:hAnsi="Arial" w:cs="Arial"/>
          <w:szCs w:val="24"/>
          <w:lang w:val="es-CO" w:eastAsia="en-US"/>
        </w:rPr>
        <w:t>2</w:t>
      </w:r>
      <w:r w:rsidR="001976D0">
        <w:rPr>
          <w:rFonts w:ascii="Arial" w:eastAsia="Calibri" w:hAnsi="Arial" w:cs="Arial"/>
          <w:szCs w:val="24"/>
          <w:lang w:val="es-CO" w:eastAsia="en-US"/>
        </w:rPr>
        <w:t>2</w:t>
      </w:r>
      <w:r w:rsidRPr="00AC486E">
        <w:rPr>
          <w:rFonts w:ascii="Arial" w:eastAsia="Calibri" w:hAnsi="Arial" w:cs="Arial"/>
          <w:szCs w:val="24"/>
          <w:lang w:val="es-CO" w:eastAsia="en-US"/>
        </w:rPr>
        <w:t xml:space="preserve">) días del mes de </w:t>
      </w:r>
      <w:r w:rsidR="001976D0">
        <w:rPr>
          <w:rFonts w:ascii="Arial" w:eastAsia="Calibri" w:hAnsi="Arial" w:cs="Arial"/>
          <w:szCs w:val="24"/>
          <w:lang w:val="es-CO" w:eastAsia="en-US"/>
        </w:rPr>
        <w:t xml:space="preserve">enero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mil dieci</w:t>
      </w:r>
      <w:r w:rsidR="001976D0">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1976D0">
        <w:rPr>
          <w:rFonts w:ascii="Arial" w:eastAsia="Calibri" w:hAnsi="Arial" w:cs="Arial"/>
          <w:szCs w:val="24"/>
          <w:lang w:val="es-CO" w:eastAsia="en-US"/>
        </w:rPr>
        <w:t>9</w:t>
      </w:r>
      <w:r>
        <w:rPr>
          <w:rFonts w:ascii="Arial" w:eastAsia="Calibri" w:hAnsi="Arial" w:cs="Arial"/>
          <w:szCs w:val="24"/>
          <w:lang w:val="es-CO" w:eastAsia="en-US"/>
        </w:rPr>
        <w:t xml:space="preserve">), siendo las </w:t>
      </w:r>
      <w:r w:rsidR="0083638D">
        <w:rPr>
          <w:rFonts w:ascii="Arial" w:eastAsia="Calibri" w:hAnsi="Arial" w:cs="Arial"/>
          <w:szCs w:val="24"/>
          <w:lang w:val="es-CO" w:eastAsia="en-US"/>
        </w:rPr>
        <w:t xml:space="preserve">diez </w:t>
      </w:r>
      <w:r w:rsidR="00B24407">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83638D">
        <w:rPr>
          <w:rFonts w:ascii="Arial" w:eastAsia="Calibri" w:hAnsi="Arial" w:cs="Arial"/>
          <w:szCs w:val="24"/>
          <w:lang w:val="es-CO" w:eastAsia="en-US"/>
        </w:rPr>
        <w:t>1</w:t>
      </w:r>
      <w:r w:rsidR="00AD05E0">
        <w:rPr>
          <w:rFonts w:ascii="Arial" w:eastAsia="Calibri" w:hAnsi="Arial" w:cs="Arial"/>
          <w:szCs w:val="24"/>
          <w:lang w:val="es-CO" w:eastAsia="en-US"/>
        </w:rPr>
        <w:t>0:</w:t>
      </w:r>
      <w:r w:rsidR="0083638D">
        <w:rPr>
          <w:rFonts w:ascii="Arial" w:eastAsia="Calibri" w:hAnsi="Arial" w:cs="Arial"/>
          <w:szCs w:val="24"/>
          <w:lang w:val="es-CO" w:eastAsia="en-US"/>
        </w:rPr>
        <w:t>0</w:t>
      </w:r>
      <w:r w:rsidR="008908CC">
        <w:rPr>
          <w:rFonts w:ascii="Arial" w:eastAsia="Calibri" w:hAnsi="Arial" w:cs="Arial"/>
          <w:szCs w:val="24"/>
          <w:lang w:val="es-CO" w:eastAsia="en-US"/>
        </w:rPr>
        <w:t>0</w:t>
      </w:r>
      <w:r w:rsidR="00B24407">
        <w:rPr>
          <w:rFonts w:ascii="Arial" w:eastAsia="Calibri" w:hAnsi="Arial" w:cs="Arial"/>
          <w:szCs w:val="24"/>
          <w:lang w:val="es-CO" w:eastAsia="en-US"/>
        </w:rPr>
        <w:t xml:space="preserve">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3A4CF9">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recur</w:t>
      </w:r>
      <w:r w:rsidR="00013A49">
        <w:rPr>
          <w:rFonts w:ascii="Arial" w:hAnsi="Arial" w:cs="Arial"/>
          <w:bCs/>
          <w:color w:val="000000"/>
          <w:szCs w:val="24"/>
          <w:lang w:eastAsia="es-CO"/>
        </w:rPr>
        <w:t xml:space="preserve">so de apelación interpuesto </w:t>
      </w:r>
      <w:r w:rsidR="0083638D">
        <w:rPr>
          <w:rFonts w:ascii="Arial" w:hAnsi="Arial" w:cs="Arial"/>
          <w:bCs/>
          <w:color w:val="000000"/>
          <w:szCs w:val="24"/>
          <w:lang w:eastAsia="es-CO"/>
        </w:rPr>
        <w:t xml:space="preserve">por la parte actora </w:t>
      </w:r>
      <w:r>
        <w:rPr>
          <w:rFonts w:ascii="Arial" w:hAnsi="Arial" w:cs="Arial"/>
          <w:bCs/>
          <w:color w:val="000000"/>
          <w:szCs w:val="24"/>
          <w:lang w:eastAsia="es-CO"/>
        </w:rPr>
        <w:lastRenderedPageBreak/>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3638D">
        <w:rPr>
          <w:rFonts w:ascii="Arial" w:hAnsi="Arial" w:cs="Arial"/>
          <w:szCs w:val="24"/>
        </w:rPr>
        <w:t>09</w:t>
      </w:r>
      <w:r w:rsidR="00013A49">
        <w:rPr>
          <w:rFonts w:ascii="Arial" w:hAnsi="Arial" w:cs="Arial"/>
          <w:szCs w:val="24"/>
        </w:rPr>
        <w:t xml:space="preserve"> </w:t>
      </w:r>
      <w:r w:rsidRPr="00AC486E">
        <w:rPr>
          <w:rFonts w:ascii="Arial" w:hAnsi="Arial" w:cs="Arial"/>
          <w:szCs w:val="24"/>
        </w:rPr>
        <w:t xml:space="preserve">de </w:t>
      </w:r>
      <w:r w:rsidR="00013A49">
        <w:rPr>
          <w:rFonts w:ascii="Arial" w:hAnsi="Arial" w:cs="Arial"/>
          <w:szCs w:val="24"/>
        </w:rPr>
        <w:t xml:space="preserve">abril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83638D">
        <w:rPr>
          <w:rFonts w:ascii="Arial" w:hAnsi="Arial" w:cs="Arial"/>
          <w:szCs w:val="24"/>
        </w:rPr>
        <w:t xml:space="preserve">Cuarto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A4CF9">
        <w:rPr>
          <w:rFonts w:ascii="Arial" w:hAnsi="Arial" w:cs="Arial"/>
          <w:szCs w:val="24"/>
        </w:rPr>
        <w:t xml:space="preserve">la </w:t>
      </w:r>
      <w:r>
        <w:rPr>
          <w:rFonts w:ascii="Arial" w:hAnsi="Arial" w:cs="Arial"/>
          <w:szCs w:val="24"/>
        </w:rPr>
        <w:t>señor</w:t>
      </w:r>
      <w:r w:rsidR="003A4CF9">
        <w:rPr>
          <w:rFonts w:ascii="Arial" w:hAnsi="Arial" w:cs="Arial"/>
          <w:szCs w:val="24"/>
        </w:rPr>
        <w:t>a</w:t>
      </w:r>
      <w:r>
        <w:rPr>
          <w:rFonts w:ascii="Arial" w:hAnsi="Arial" w:cs="Arial"/>
          <w:szCs w:val="24"/>
        </w:rPr>
        <w:t xml:space="preserve"> </w:t>
      </w:r>
      <w:r w:rsidR="0083638D">
        <w:rPr>
          <w:rFonts w:ascii="Arial" w:hAnsi="Arial" w:cs="Arial"/>
          <w:b/>
          <w:szCs w:val="24"/>
        </w:rPr>
        <w:t>Clara Rosa Ramírez Mosquera</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8908CC">
        <w:rPr>
          <w:rFonts w:ascii="Arial" w:hAnsi="Arial" w:cs="Arial"/>
          <w:b/>
          <w:bCs/>
          <w:szCs w:val="24"/>
        </w:rPr>
        <w:t xml:space="preserve"> </w:t>
      </w:r>
      <w:r w:rsidR="008908CC" w:rsidRPr="008908CC">
        <w:rPr>
          <w:rFonts w:ascii="Arial" w:hAnsi="Arial" w:cs="Arial"/>
          <w:bCs/>
          <w:szCs w:val="24"/>
        </w:rPr>
        <w:t>y</w:t>
      </w:r>
      <w:r w:rsidR="008908CC">
        <w:rPr>
          <w:rFonts w:ascii="Arial" w:hAnsi="Arial" w:cs="Arial"/>
          <w:b/>
          <w:bCs/>
          <w:szCs w:val="24"/>
        </w:rPr>
        <w:t xml:space="preserve"> </w:t>
      </w:r>
      <w:r w:rsidR="0083638D">
        <w:rPr>
          <w:rFonts w:ascii="Arial" w:hAnsi="Arial" w:cs="Arial"/>
          <w:b/>
          <w:bCs/>
          <w:szCs w:val="24"/>
        </w:rPr>
        <w:t xml:space="preserve">Porvenir </w:t>
      </w:r>
      <w:r w:rsidR="00013A49">
        <w:rPr>
          <w:rFonts w:ascii="Arial" w:hAnsi="Arial" w:cs="Arial"/>
          <w:b/>
          <w:bCs/>
          <w:szCs w:val="24"/>
        </w:rPr>
        <w:t>S.A.</w:t>
      </w:r>
      <w:r w:rsidR="008908CC">
        <w:rPr>
          <w:rFonts w:ascii="Arial" w:hAnsi="Arial" w:cs="Arial"/>
          <w:b/>
          <w:bCs/>
          <w:szCs w:val="24"/>
        </w:rPr>
        <w:t xml:space="preserve">, </w:t>
      </w:r>
      <w:r>
        <w:rPr>
          <w:rFonts w:ascii="Arial" w:hAnsi="Arial" w:cs="Arial"/>
          <w:bCs/>
          <w:szCs w:val="24"/>
        </w:rPr>
        <w:t>radicado</w:t>
      </w:r>
      <w:r w:rsidR="008908CC">
        <w:rPr>
          <w:rFonts w:ascii="Arial" w:hAnsi="Arial" w:cs="Arial"/>
          <w:bCs/>
          <w:szCs w:val="24"/>
        </w:rPr>
        <w:t xml:space="preserve"> al N° 66001-31-05-00</w:t>
      </w:r>
      <w:r w:rsidR="0083638D">
        <w:rPr>
          <w:rFonts w:ascii="Arial" w:hAnsi="Arial" w:cs="Arial"/>
          <w:bCs/>
          <w:szCs w:val="24"/>
        </w:rPr>
        <w:t>4-2017</w:t>
      </w:r>
      <w:r>
        <w:rPr>
          <w:rFonts w:ascii="Arial" w:hAnsi="Arial" w:cs="Arial"/>
          <w:bCs/>
          <w:szCs w:val="24"/>
        </w:rPr>
        <w:t>-00</w:t>
      </w:r>
      <w:r w:rsidR="0083638D">
        <w:rPr>
          <w:rFonts w:ascii="Arial" w:hAnsi="Arial" w:cs="Arial"/>
          <w:bCs/>
          <w:szCs w:val="24"/>
        </w:rPr>
        <w:t>305</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637118" w:rsidRDefault="00D636F8" w:rsidP="005920A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83638D" w:rsidRDefault="00380184" w:rsidP="005920A9">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r w:rsidR="0083638D">
        <w:rPr>
          <w:rFonts w:ascii="Arial" w:hAnsi="Arial" w:cs="Arial"/>
          <w:szCs w:val="24"/>
        </w:rPr>
        <w:t>Clara Rosa Ramírez Mosquera</w:t>
      </w:r>
      <w:r w:rsidR="003A4CF9">
        <w:rPr>
          <w:rFonts w:ascii="Arial" w:hAnsi="Arial" w:cs="Arial"/>
          <w:szCs w:val="24"/>
        </w:rPr>
        <w:t xml:space="preserve"> </w:t>
      </w:r>
      <w:r w:rsidR="00110327">
        <w:rPr>
          <w:rFonts w:ascii="Arial" w:hAnsi="Arial" w:cs="Arial"/>
          <w:szCs w:val="24"/>
        </w:rPr>
        <w:t xml:space="preserve">solicita </w:t>
      </w:r>
      <w:r w:rsidR="00AD05E0">
        <w:rPr>
          <w:rFonts w:ascii="Arial" w:hAnsi="Arial" w:cs="Arial"/>
          <w:szCs w:val="24"/>
        </w:rPr>
        <w:t>que se declare</w:t>
      </w:r>
      <w:r w:rsidR="00D20F9A">
        <w:rPr>
          <w:rFonts w:ascii="Arial" w:hAnsi="Arial" w:cs="Arial"/>
          <w:szCs w:val="24"/>
        </w:rPr>
        <w:t>: (i)</w:t>
      </w:r>
      <w:r w:rsidR="00AD05E0">
        <w:rPr>
          <w:rFonts w:ascii="Arial" w:hAnsi="Arial" w:cs="Arial"/>
          <w:szCs w:val="24"/>
        </w:rPr>
        <w:t xml:space="preserve"> </w:t>
      </w:r>
      <w:r w:rsidR="00110327">
        <w:rPr>
          <w:rFonts w:ascii="Arial" w:hAnsi="Arial" w:cs="Arial"/>
          <w:szCs w:val="24"/>
          <w:lang w:val="es-CO"/>
        </w:rPr>
        <w:t>la</w:t>
      </w:r>
      <w:r w:rsidR="0083638D">
        <w:rPr>
          <w:rFonts w:ascii="Arial" w:hAnsi="Arial" w:cs="Arial"/>
          <w:szCs w:val="24"/>
          <w:lang w:val="es-CO"/>
        </w:rPr>
        <w:t xml:space="preserve"> ineficacia y/o </w:t>
      </w:r>
      <w:r w:rsidR="00110327">
        <w:rPr>
          <w:rFonts w:ascii="Arial" w:hAnsi="Arial" w:cs="Arial"/>
          <w:szCs w:val="24"/>
          <w:lang w:val="es-CO"/>
        </w:rPr>
        <w:t xml:space="preserve"> </w:t>
      </w:r>
      <w:r w:rsidR="00013A49">
        <w:rPr>
          <w:rFonts w:ascii="Arial" w:hAnsi="Arial" w:cs="Arial"/>
          <w:szCs w:val="24"/>
          <w:lang w:val="es-CO"/>
        </w:rPr>
        <w:t xml:space="preserve">nulidad </w:t>
      </w:r>
      <w:r w:rsidR="00110327">
        <w:rPr>
          <w:rFonts w:ascii="Arial" w:hAnsi="Arial" w:cs="Arial"/>
          <w:szCs w:val="24"/>
        </w:rPr>
        <w:t>d</w:t>
      </w:r>
      <w:r w:rsidR="00D222DD">
        <w:rPr>
          <w:rFonts w:ascii="Arial" w:hAnsi="Arial" w:cs="Arial"/>
          <w:szCs w:val="24"/>
        </w:rPr>
        <w:t xml:space="preserve">el </w:t>
      </w:r>
      <w:r w:rsidR="00AD05E0">
        <w:rPr>
          <w:rFonts w:ascii="Arial" w:hAnsi="Arial" w:cs="Arial"/>
          <w:szCs w:val="24"/>
        </w:rPr>
        <w:t xml:space="preserve">traslado </w:t>
      </w:r>
      <w:r w:rsidR="00D222DD">
        <w:rPr>
          <w:rFonts w:ascii="Arial" w:hAnsi="Arial" w:cs="Arial"/>
          <w:szCs w:val="24"/>
        </w:rPr>
        <w:t xml:space="preserve">que efectuó </w:t>
      </w:r>
      <w:r w:rsidR="00CB08DC">
        <w:rPr>
          <w:rFonts w:ascii="Arial" w:hAnsi="Arial" w:cs="Arial"/>
          <w:szCs w:val="24"/>
        </w:rPr>
        <w:t xml:space="preserve">del régimen de prima media al </w:t>
      </w:r>
      <w:r w:rsidR="00D222DD">
        <w:rPr>
          <w:rFonts w:ascii="Arial" w:hAnsi="Arial" w:cs="Arial"/>
          <w:szCs w:val="24"/>
        </w:rPr>
        <w:t xml:space="preserve">RAIS, </w:t>
      </w:r>
      <w:r w:rsidR="00D30546">
        <w:rPr>
          <w:rFonts w:ascii="Arial" w:hAnsi="Arial" w:cs="Arial"/>
          <w:szCs w:val="24"/>
        </w:rPr>
        <w:t xml:space="preserve">por intermedio de </w:t>
      </w:r>
      <w:r w:rsidR="00D20F9A">
        <w:rPr>
          <w:rFonts w:ascii="Arial" w:hAnsi="Arial" w:cs="Arial"/>
          <w:szCs w:val="24"/>
        </w:rPr>
        <w:t>Col</w:t>
      </w:r>
      <w:r w:rsidR="0083638D">
        <w:rPr>
          <w:rFonts w:ascii="Arial" w:hAnsi="Arial" w:cs="Arial"/>
          <w:szCs w:val="24"/>
        </w:rPr>
        <w:t>patria S.A.</w:t>
      </w:r>
      <w:r w:rsidR="00D636F8">
        <w:rPr>
          <w:rFonts w:ascii="Arial" w:hAnsi="Arial" w:cs="Arial"/>
          <w:szCs w:val="24"/>
        </w:rPr>
        <w:t xml:space="preserve">; </w:t>
      </w:r>
      <w:r w:rsidR="00D20F9A">
        <w:rPr>
          <w:rFonts w:ascii="Arial" w:hAnsi="Arial" w:cs="Arial"/>
          <w:szCs w:val="24"/>
        </w:rPr>
        <w:t>(ii)</w:t>
      </w:r>
      <w:r w:rsidR="0083638D">
        <w:rPr>
          <w:rFonts w:ascii="Arial" w:hAnsi="Arial" w:cs="Arial"/>
          <w:szCs w:val="24"/>
        </w:rPr>
        <w:t xml:space="preserve"> consecuente con lo anterior, se le ordene a la AFP remitir a Colpensiones todos los</w:t>
      </w:r>
      <w:r w:rsidR="00C92658">
        <w:rPr>
          <w:rFonts w:ascii="Arial" w:hAnsi="Arial" w:cs="Arial"/>
          <w:szCs w:val="24"/>
        </w:rPr>
        <w:t xml:space="preserve"> saldos de su cuenta individual y; (iii) a esta última aceptar el traslado manteniendo los efectos del régimen de transición previsto en el artículo 36 de la Ley 100 de 1993, si los tuviere.</w:t>
      </w:r>
    </w:p>
    <w:p w:rsidR="00D20F9A" w:rsidRDefault="0083638D" w:rsidP="005920A9">
      <w:pPr>
        <w:spacing w:line="276" w:lineRule="auto"/>
        <w:contextualSpacing/>
        <w:jc w:val="both"/>
        <w:rPr>
          <w:rFonts w:ascii="Arial" w:hAnsi="Arial" w:cs="Arial"/>
          <w:szCs w:val="24"/>
        </w:rPr>
      </w:pPr>
      <w:r>
        <w:rPr>
          <w:rFonts w:ascii="Arial" w:hAnsi="Arial" w:cs="Arial"/>
          <w:szCs w:val="24"/>
        </w:rPr>
        <w:t xml:space="preserve"> </w:t>
      </w:r>
    </w:p>
    <w:p w:rsidR="00C92658"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C92658">
        <w:rPr>
          <w:rFonts w:ascii="Arial" w:hAnsi="Arial" w:cs="Arial"/>
          <w:szCs w:val="24"/>
        </w:rPr>
        <w:t>el 08/11/1994 se vinculó al ISS y el 24/04/1996, se trasladó al RAIS a través de la AFP Colpatria</w:t>
      </w:r>
      <w:r w:rsidR="00137303">
        <w:rPr>
          <w:rFonts w:ascii="Arial" w:hAnsi="Arial" w:cs="Arial"/>
          <w:szCs w:val="24"/>
        </w:rPr>
        <w:t xml:space="preserve"> –hoy Porvenir-</w:t>
      </w:r>
      <w:r w:rsidR="00C92658">
        <w:rPr>
          <w:rFonts w:ascii="Arial" w:hAnsi="Arial" w:cs="Arial"/>
          <w:szCs w:val="24"/>
        </w:rPr>
        <w:t>, (ii) el asesor de la AFP no le brindó la asesoría legal requerida o información plena, cierta, sería y oportuna, pues no ofreció las proyecciones de su expectativa pensional en ambos regímenes, ni le reclamó información sobre su situación familiar y b</w:t>
      </w:r>
      <w:r w:rsidR="00137303">
        <w:rPr>
          <w:rFonts w:ascii="Arial" w:hAnsi="Arial" w:cs="Arial"/>
          <w:szCs w:val="24"/>
        </w:rPr>
        <w:t xml:space="preserve">eneficiarios para poder hacerlo; </w:t>
      </w:r>
      <w:r w:rsidR="00C92658">
        <w:rPr>
          <w:rFonts w:ascii="Arial" w:hAnsi="Arial" w:cs="Arial"/>
          <w:szCs w:val="24"/>
        </w:rPr>
        <w:t xml:space="preserve">(iii) </w:t>
      </w:r>
      <w:r w:rsidR="00137303">
        <w:rPr>
          <w:rFonts w:ascii="Arial" w:hAnsi="Arial" w:cs="Arial"/>
          <w:szCs w:val="24"/>
        </w:rPr>
        <w:t>e</w:t>
      </w:r>
      <w:r w:rsidR="00C92658">
        <w:rPr>
          <w:rFonts w:ascii="Arial" w:hAnsi="Arial" w:cs="Arial"/>
          <w:szCs w:val="24"/>
        </w:rPr>
        <w:t xml:space="preserve">sa omisión la indujo a error, pues lleva consigo un menor valor en </w:t>
      </w:r>
      <w:r w:rsidR="00137303">
        <w:rPr>
          <w:rFonts w:ascii="Arial" w:hAnsi="Arial" w:cs="Arial"/>
          <w:szCs w:val="24"/>
        </w:rPr>
        <w:t>el monto de la mesada pensional.</w:t>
      </w:r>
    </w:p>
    <w:p w:rsidR="00137303" w:rsidRDefault="00137303" w:rsidP="005920A9">
      <w:pPr>
        <w:spacing w:line="276" w:lineRule="auto"/>
        <w:contextualSpacing/>
        <w:jc w:val="both"/>
        <w:rPr>
          <w:rFonts w:ascii="Arial" w:hAnsi="Arial" w:cs="Arial"/>
          <w:szCs w:val="24"/>
        </w:rPr>
      </w:pPr>
    </w:p>
    <w:p w:rsidR="00137303" w:rsidRDefault="00137303" w:rsidP="005920A9">
      <w:pPr>
        <w:spacing w:line="276" w:lineRule="auto"/>
        <w:contextualSpacing/>
        <w:jc w:val="both"/>
        <w:rPr>
          <w:rFonts w:ascii="Arial" w:hAnsi="Arial" w:cs="Arial"/>
          <w:szCs w:val="24"/>
        </w:rPr>
      </w:pPr>
      <w:r>
        <w:rPr>
          <w:rFonts w:ascii="Arial" w:hAnsi="Arial" w:cs="Arial"/>
          <w:szCs w:val="24"/>
        </w:rPr>
        <w:t xml:space="preserve">(iv) Al momento del traslado, la AFP no le informó que debía allegar comunicación escrita en la que hiciera constar que lo hacía de manera libre, espontánea y sin precisiones; (v) el 02/02/1997 suscribió formulario de afiliación a Porvenir S.A. </w:t>
      </w:r>
    </w:p>
    <w:p w:rsidR="00137303" w:rsidRDefault="00137303" w:rsidP="005920A9">
      <w:pPr>
        <w:spacing w:line="276" w:lineRule="auto"/>
        <w:contextualSpacing/>
        <w:jc w:val="both"/>
        <w:rPr>
          <w:rFonts w:ascii="Arial" w:hAnsi="Arial" w:cs="Arial"/>
          <w:szCs w:val="24"/>
        </w:rPr>
      </w:pPr>
    </w:p>
    <w:p w:rsidR="00C92658" w:rsidRDefault="00137303" w:rsidP="005920A9">
      <w:pPr>
        <w:spacing w:line="276" w:lineRule="auto"/>
        <w:contextualSpacing/>
        <w:jc w:val="both"/>
        <w:rPr>
          <w:rFonts w:ascii="Arial" w:hAnsi="Arial" w:cs="Arial"/>
          <w:szCs w:val="24"/>
        </w:rPr>
      </w:pPr>
      <w:r>
        <w:rPr>
          <w:rFonts w:ascii="Arial" w:hAnsi="Arial" w:cs="Arial"/>
          <w:szCs w:val="24"/>
        </w:rPr>
        <w:t>(</w:t>
      </w:r>
      <w:proofErr w:type="gramStart"/>
      <w:r>
        <w:rPr>
          <w:rFonts w:ascii="Arial" w:hAnsi="Arial" w:cs="Arial"/>
          <w:szCs w:val="24"/>
        </w:rPr>
        <w:t>vi</w:t>
      </w:r>
      <w:proofErr w:type="gramEnd"/>
      <w:r>
        <w:rPr>
          <w:rFonts w:ascii="Arial" w:hAnsi="Arial" w:cs="Arial"/>
          <w:szCs w:val="24"/>
        </w:rPr>
        <w:t>) El 24/11/2016 comunicó a Porvenir S.A. su interés de trasladarse a Colpensiones, pero se le suministró respuesta negativa; (vii) en la misma calenda le solicitó proyec</w:t>
      </w:r>
      <w:r w:rsidR="00652E3E">
        <w:rPr>
          <w:rFonts w:ascii="Arial" w:hAnsi="Arial" w:cs="Arial"/>
          <w:szCs w:val="24"/>
        </w:rPr>
        <w:t xml:space="preserve">ción </w:t>
      </w:r>
      <w:r>
        <w:rPr>
          <w:rFonts w:ascii="Arial" w:hAnsi="Arial" w:cs="Arial"/>
          <w:szCs w:val="24"/>
        </w:rPr>
        <w:t>pensional</w:t>
      </w:r>
      <w:r w:rsidR="00652E3E">
        <w:rPr>
          <w:rFonts w:ascii="Arial" w:hAnsi="Arial" w:cs="Arial"/>
          <w:szCs w:val="24"/>
        </w:rPr>
        <w:t xml:space="preserve"> y al respecto se le informó que sería equivalente a una pensión por garantía mínima; (viii) el 06/02/2017 diligenció formulario de afiliación a Colpensiones, pero esa administradora le negó el traslado por faltarle menos de 10 años para cumplir la edad de pensión.</w:t>
      </w:r>
    </w:p>
    <w:p w:rsidR="00652E3E" w:rsidRDefault="00652E3E" w:rsidP="005920A9">
      <w:pPr>
        <w:spacing w:line="276" w:lineRule="auto"/>
        <w:contextualSpacing/>
        <w:jc w:val="both"/>
        <w:rPr>
          <w:rFonts w:ascii="Arial" w:hAnsi="Arial" w:cs="Arial"/>
          <w:szCs w:val="24"/>
        </w:rPr>
      </w:pPr>
    </w:p>
    <w:p w:rsidR="00652E3E" w:rsidRDefault="00652E3E" w:rsidP="005920A9">
      <w:pPr>
        <w:spacing w:line="276" w:lineRule="auto"/>
        <w:contextualSpacing/>
        <w:jc w:val="both"/>
        <w:rPr>
          <w:rFonts w:ascii="Arial" w:hAnsi="Arial" w:cs="Arial"/>
          <w:szCs w:val="24"/>
        </w:rPr>
      </w:pPr>
      <w:r>
        <w:rPr>
          <w:rFonts w:ascii="Arial" w:hAnsi="Arial" w:cs="Arial"/>
          <w:szCs w:val="24"/>
        </w:rPr>
        <w:t>(ix) De haber permanecido en el RPM su pensión para el año 2021 sería de $1´436.453.</w:t>
      </w:r>
    </w:p>
    <w:p w:rsidR="00CB146A" w:rsidRDefault="00CB146A" w:rsidP="005920A9">
      <w:pPr>
        <w:spacing w:line="276" w:lineRule="auto"/>
        <w:contextualSpacing/>
        <w:jc w:val="both"/>
        <w:rPr>
          <w:rFonts w:ascii="Arial" w:hAnsi="Arial" w:cs="Arial"/>
          <w:szCs w:val="24"/>
        </w:rPr>
      </w:pPr>
    </w:p>
    <w:p w:rsidR="00D636F8" w:rsidRDefault="00616117" w:rsidP="005920A9">
      <w:pPr>
        <w:spacing w:line="276" w:lineRule="auto"/>
        <w:contextualSpacing/>
        <w:jc w:val="both"/>
        <w:rPr>
          <w:rFonts w:ascii="Arial" w:hAnsi="Arial" w:cs="Arial"/>
          <w:szCs w:val="24"/>
        </w:rPr>
      </w:pPr>
      <w:r>
        <w:rPr>
          <w:rFonts w:ascii="Arial" w:hAnsi="Arial" w:cs="Arial"/>
          <w:szCs w:val="24"/>
        </w:rPr>
        <w:t>L</w:t>
      </w:r>
      <w:r w:rsidR="00D636F8" w:rsidRPr="008E0CBF">
        <w:rPr>
          <w:rFonts w:ascii="Arial" w:hAnsi="Arial" w:cs="Arial"/>
          <w:szCs w:val="24"/>
        </w:rPr>
        <w:t xml:space="preserve">a </w:t>
      </w:r>
      <w:r w:rsidR="00D636F8" w:rsidRPr="008E0CBF">
        <w:rPr>
          <w:rFonts w:ascii="Arial" w:hAnsi="Arial" w:cs="Arial"/>
          <w:b/>
          <w:szCs w:val="24"/>
        </w:rPr>
        <w:t>Administradora Colombiana de Pensiones –COLPENSIONES-,</w:t>
      </w:r>
      <w:r w:rsidR="00D636F8">
        <w:rPr>
          <w:rFonts w:ascii="Arial" w:hAnsi="Arial" w:cs="Arial"/>
          <w:b/>
          <w:szCs w:val="24"/>
        </w:rPr>
        <w:t xml:space="preserve"> </w:t>
      </w:r>
      <w:r w:rsidR="0005728F">
        <w:rPr>
          <w:rFonts w:ascii="Arial" w:hAnsi="Arial" w:cs="Arial"/>
          <w:szCs w:val="24"/>
        </w:rPr>
        <w:t>se opuso a la</w:t>
      </w:r>
      <w:r w:rsidR="00D636F8">
        <w:rPr>
          <w:rFonts w:ascii="Arial" w:hAnsi="Arial" w:cs="Arial"/>
          <w:szCs w:val="24"/>
        </w:rPr>
        <w:t xml:space="preserve"> pretensi</w:t>
      </w:r>
      <w:r w:rsidR="0005728F">
        <w:rPr>
          <w:rFonts w:ascii="Arial" w:hAnsi="Arial" w:cs="Arial"/>
          <w:szCs w:val="24"/>
        </w:rPr>
        <w:t xml:space="preserve">ón </w:t>
      </w:r>
      <w:r w:rsidR="00445BE4">
        <w:rPr>
          <w:rFonts w:ascii="Arial" w:hAnsi="Arial" w:cs="Arial"/>
          <w:szCs w:val="24"/>
        </w:rPr>
        <w:t xml:space="preserve">de nulidad o ineficacia del traslado, puesto que la selección de régimen es </w:t>
      </w:r>
      <w:r w:rsidR="00445BE4">
        <w:rPr>
          <w:rFonts w:ascii="Arial" w:hAnsi="Arial" w:cs="Arial"/>
          <w:szCs w:val="24"/>
        </w:rPr>
        <w:lastRenderedPageBreak/>
        <w:t>una decisión una y exclusiva del afiliado, quien lo hace de manera libre y voluntaria, razón por la cual las AFP  no pueden direccionar la voluntad del afiliado</w:t>
      </w:r>
      <w:r w:rsidR="00081A2D">
        <w:rPr>
          <w:rFonts w:ascii="Arial" w:hAnsi="Arial" w:cs="Arial"/>
          <w:szCs w:val="24"/>
        </w:rPr>
        <w:t xml:space="preserve">. </w:t>
      </w:r>
      <w:r w:rsidR="00D636F8" w:rsidRPr="00641218">
        <w:rPr>
          <w:rFonts w:ascii="Arial" w:hAnsi="Arial" w:cs="Arial"/>
          <w:szCs w:val="24"/>
        </w:rPr>
        <w:t xml:space="preserve">Interpuso las excepciones de mérito que denominó </w:t>
      </w:r>
      <w:r w:rsidR="0005728F">
        <w:rPr>
          <w:rFonts w:ascii="Arial" w:hAnsi="Arial" w:cs="Arial"/>
          <w:szCs w:val="24"/>
        </w:rPr>
        <w:t>“Inexistencia de la obligación”</w:t>
      </w:r>
      <w:r w:rsidR="00445BE4">
        <w:rPr>
          <w:rFonts w:ascii="Arial" w:hAnsi="Arial" w:cs="Arial"/>
          <w:szCs w:val="24"/>
        </w:rPr>
        <w:t>, “Excepción de buena fe”, “Imposibilidad jurídica para cumplir con las obligaciones pretendidas”, “Excepción de innominada” –sic-,</w:t>
      </w:r>
      <w:r w:rsidR="00081A2D">
        <w:rPr>
          <w:rFonts w:ascii="Arial" w:hAnsi="Arial" w:cs="Arial"/>
          <w:szCs w:val="24"/>
        </w:rPr>
        <w:t xml:space="preserve"> </w:t>
      </w:r>
      <w:r w:rsidR="00211DFE">
        <w:rPr>
          <w:rFonts w:ascii="Arial" w:hAnsi="Arial" w:cs="Arial"/>
          <w:szCs w:val="24"/>
        </w:rPr>
        <w:t>y “</w:t>
      </w:r>
      <w:r w:rsidR="00590F19">
        <w:rPr>
          <w:rFonts w:ascii="Arial" w:hAnsi="Arial" w:cs="Arial"/>
          <w:szCs w:val="24"/>
        </w:rPr>
        <w:t>Prescripción</w:t>
      </w:r>
      <w:r w:rsidR="00211DFE">
        <w:rPr>
          <w:rFonts w:ascii="Arial" w:hAnsi="Arial" w:cs="Arial"/>
          <w:szCs w:val="24"/>
        </w:rPr>
        <w:t>”.</w:t>
      </w:r>
    </w:p>
    <w:p w:rsidR="00D636F8" w:rsidRDefault="00D636F8" w:rsidP="005920A9">
      <w:pPr>
        <w:spacing w:line="276" w:lineRule="auto"/>
        <w:contextualSpacing/>
        <w:jc w:val="both"/>
        <w:rPr>
          <w:rFonts w:ascii="Arial" w:hAnsi="Arial" w:cs="Arial"/>
          <w:szCs w:val="24"/>
        </w:rPr>
      </w:pPr>
    </w:p>
    <w:p w:rsidR="008D711D" w:rsidRDefault="00D636F8" w:rsidP="00414CA5">
      <w:pPr>
        <w:spacing w:line="276" w:lineRule="auto"/>
        <w:contextualSpacing/>
        <w:jc w:val="both"/>
        <w:rPr>
          <w:rFonts w:ascii="Arial" w:hAnsi="Arial" w:cs="Arial"/>
          <w:szCs w:val="24"/>
        </w:rPr>
      </w:pPr>
      <w:r>
        <w:rPr>
          <w:rFonts w:ascii="Arial" w:hAnsi="Arial" w:cs="Arial"/>
          <w:szCs w:val="24"/>
        </w:rPr>
        <w:t>Por su parte</w:t>
      </w:r>
      <w:r w:rsidR="00081A2D">
        <w:rPr>
          <w:rFonts w:ascii="Arial" w:hAnsi="Arial" w:cs="Arial"/>
          <w:szCs w:val="24"/>
        </w:rPr>
        <w:t>,</w:t>
      </w:r>
      <w:r>
        <w:rPr>
          <w:rFonts w:ascii="Arial" w:hAnsi="Arial" w:cs="Arial"/>
          <w:szCs w:val="24"/>
        </w:rPr>
        <w:t xml:space="preserve"> </w:t>
      </w:r>
      <w:r w:rsidR="00AE137A">
        <w:rPr>
          <w:rFonts w:ascii="Arial" w:hAnsi="Arial" w:cs="Arial"/>
          <w:szCs w:val="24"/>
        </w:rPr>
        <w:t xml:space="preserve">la </w:t>
      </w:r>
      <w:r w:rsidR="00AE137A" w:rsidRPr="00AE137A">
        <w:rPr>
          <w:rFonts w:ascii="Arial" w:hAnsi="Arial" w:cs="Arial"/>
          <w:b/>
          <w:szCs w:val="24"/>
        </w:rPr>
        <w:t>Sociedad Administradora de Fondos de Pensiones y Cesantías</w:t>
      </w:r>
      <w:r w:rsidR="00AE137A">
        <w:rPr>
          <w:rFonts w:ascii="Arial" w:hAnsi="Arial" w:cs="Arial"/>
          <w:szCs w:val="24"/>
        </w:rPr>
        <w:t xml:space="preserve"> </w:t>
      </w:r>
      <w:r w:rsidR="00AE137A">
        <w:rPr>
          <w:rFonts w:ascii="Arial" w:hAnsi="Arial" w:cs="Arial"/>
          <w:b/>
          <w:szCs w:val="24"/>
        </w:rPr>
        <w:t xml:space="preserve">Porvenir </w:t>
      </w:r>
      <w:proofErr w:type="spellStart"/>
      <w:r w:rsidRPr="00532914">
        <w:rPr>
          <w:rFonts w:ascii="Arial" w:hAnsi="Arial" w:cs="Arial"/>
          <w:b/>
          <w:szCs w:val="24"/>
        </w:rPr>
        <w:t>S.A</w:t>
      </w:r>
      <w:proofErr w:type="spellEnd"/>
      <w:r>
        <w:rPr>
          <w:rFonts w:ascii="Arial" w:hAnsi="Arial" w:cs="Arial"/>
          <w:szCs w:val="24"/>
        </w:rPr>
        <w:t>, se opuso</w:t>
      </w:r>
      <w:r w:rsidR="00081A2D">
        <w:rPr>
          <w:rFonts w:ascii="Arial" w:hAnsi="Arial" w:cs="Arial"/>
          <w:szCs w:val="24"/>
        </w:rPr>
        <w:t xml:space="preserve"> a los pedimentos de la demanda </w:t>
      </w:r>
      <w:r w:rsidR="00FF1239">
        <w:rPr>
          <w:rFonts w:ascii="Arial" w:hAnsi="Arial" w:cs="Arial"/>
          <w:szCs w:val="24"/>
        </w:rPr>
        <w:t>al considerar que</w:t>
      </w:r>
      <w:r w:rsidR="00F708E2">
        <w:rPr>
          <w:rFonts w:ascii="Arial" w:hAnsi="Arial" w:cs="Arial"/>
          <w:szCs w:val="24"/>
        </w:rPr>
        <w:t xml:space="preserve"> </w:t>
      </w:r>
      <w:r w:rsidR="00746921">
        <w:rPr>
          <w:rFonts w:ascii="Arial" w:hAnsi="Arial" w:cs="Arial"/>
          <w:szCs w:val="24"/>
        </w:rPr>
        <w:t xml:space="preserve">el acto de </w:t>
      </w:r>
      <w:r w:rsidR="00F708E2">
        <w:rPr>
          <w:rFonts w:ascii="Arial" w:hAnsi="Arial" w:cs="Arial"/>
          <w:szCs w:val="24"/>
        </w:rPr>
        <w:t>afiliación de</w:t>
      </w:r>
      <w:r w:rsidR="00746921">
        <w:rPr>
          <w:rFonts w:ascii="Arial" w:hAnsi="Arial" w:cs="Arial"/>
          <w:szCs w:val="24"/>
        </w:rPr>
        <w:t xml:space="preserve"> </w:t>
      </w:r>
      <w:r w:rsidR="00F708E2">
        <w:rPr>
          <w:rFonts w:ascii="Arial" w:hAnsi="Arial" w:cs="Arial"/>
          <w:szCs w:val="24"/>
        </w:rPr>
        <w:t>l</w:t>
      </w:r>
      <w:r w:rsidR="00746921">
        <w:rPr>
          <w:rFonts w:ascii="Arial" w:hAnsi="Arial" w:cs="Arial"/>
          <w:szCs w:val="24"/>
        </w:rPr>
        <w:t>a</w:t>
      </w:r>
      <w:r w:rsidR="00F708E2">
        <w:rPr>
          <w:rFonts w:ascii="Arial" w:hAnsi="Arial" w:cs="Arial"/>
          <w:szCs w:val="24"/>
        </w:rPr>
        <w:t xml:space="preserve"> actor</w:t>
      </w:r>
      <w:r w:rsidR="00C43420">
        <w:rPr>
          <w:rFonts w:ascii="Arial" w:hAnsi="Arial" w:cs="Arial"/>
          <w:szCs w:val="24"/>
        </w:rPr>
        <w:t>a</w:t>
      </w:r>
      <w:r w:rsidR="00F708E2">
        <w:rPr>
          <w:rFonts w:ascii="Arial" w:hAnsi="Arial" w:cs="Arial"/>
          <w:szCs w:val="24"/>
        </w:rPr>
        <w:t xml:space="preserve"> </w:t>
      </w:r>
      <w:r w:rsidR="0005728F">
        <w:rPr>
          <w:rFonts w:ascii="Arial" w:hAnsi="Arial" w:cs="Arial"/>
          <w:szCs w:val="24"/>
        </w:rPr>
        <w:t>al RAIS</w:t>
      </w:r>
      <w:r w:rsidR="008D711D">
        <w:rPr>
          <w:rFonts w:ascii="Arial" w:hAnsi="Arial" w:cs="Arial"/>
          <w:szCs w:val="24"/>
        </w:rPr>
        <w:t xml:space="preserve"> no adolece de vicios en el consentimiento, bajo inducción a error por cuanto el traslado de régimen fue un acto voluntario y totalmente libre de apremio</w:t>
      </w:r>
      <w:r w:rsidR="0005728F">
        <w:rPr>
          <w:rFonts w:ascii="Arial" w:hAnsi="Arial" w:cs="Arial"/>
          <w:szCs w:val="24"/>
        </w:rPr>
        <w:t xml:space="preserve"> </w:t>
      </w:r>
      <w:r w:rsidR="008D711D">
        <w:rPr>
          <w:rFonts w:ascii="Arial" w:hAnsi="Arial" w:cs="Arial"/>
          <w:szCs w:val="24"/>
        </w:rPr>
        <w:t xml:space="preserve">y eso se demuestra con su permanencia en él por más de 20 años, haber operado traslado entre AFP y no haber hecho uso del derecho de retracto. Precisó que en el caso concreto es improcedente el traslado a Colpensiones por estar a menos de 10 años para cumplir la edad para pensionarse  y que la acción se encuentra prescrita, bien en los términos del artículo 151 del </w:t>
      </w:r>
      <w:proofErr w:type="spellStart"/>
      <w:r w:rsidR="008D711D">
        <w:rPr>
          <w:rFonts w:ascii="Arial" w:hAnsi="Arial" w:cs="Arial"/>
          <w:szCs w:val="24"/>
        </w:rPr>
        <w:t>CPL</w:t>
      </w:r>
      <w:proofErr w:type="spellEnd"/>
      <w:r w:rsidR="008D711D">
        <w:rPr>
          <w:rFonts w:ascii="Arial" w:hAnsi="Arial" w:cs="Arial"/>
          <w:szCs w:val="24"/>
        </w:rPr>
        <w:t xml:space="preserve"> o 1750 del C.C.</w:t>
      </w:r>
    </w:p>
    <w:p w:rsidR="008D711D" w:rsidRDefault="008D711D" w:rsidP="00414CA5">
      <w:pPr>
        <w:spacing w:line="276" w:lineRule="auto"/>
        <w:contextualSpacing/>
        <w:jc w:val="both"/>
        <w:rPr>
          <w:rFonts w:ascii="Arial" w:hAnsi="Arial" w:cs="Arial"/>
          <w:szCs w:val="24"/>
        </w:rPr>
      </w:pPr>
    </w:p>
    <w:p w:rsidR="003E3709" w:rsidRDefault="00282D5F" w:rsidP="003E3709">
      <w:pPr>
        <w:spacing w:line="276" w:lineRule="auto"/>
        <w:contextualSpacing/>
        <w:jc w:val="both"/>
        <w:rPr>
          <w:rFonts w:ascii="Arial" w:hAnsi="Arial" w:cs="Arial"/>
          <w:szCs w:val="24"/>
        </w:rPr>
      </w:pPr>
      <w:r>
        <w:rPr>
          <w:rFonts w:ascii="Arial" w:hAnsi="Arial" w:cs="Arial"/>
          <w:szCs w:val="24"/>
        </w:rPr>
        <w:t>Interpuso como excepciones de mérito las que denominó</w:t>
      </w:r>
      <w:r w:rsidR="003E3709">
        <w:rPr>
          <w:rFonts w:ascii="Arial" w:hAnsi="Arial" w:cs="Arial"/>
          <w:szCs w:val="24"/>
        </w:rPr>
        <w:t xml:space="preserve"> “Genérica o Innominada”, “Prescripción”, “Buena fe”, “Compensación”, “Exoneración de condena en costas”, “Inexistencia de la obligación”, “Falta de causa para pedir”, “Falta de legitimación en la causa y/o ausencia de personería sustantiva por pasiva de Porvenir S.A.”, “Inexistencia de la fuente de la obligación”, “Inexistencia de la causa por inexistencia de la oportunidad”, “Ausencia de perjuicios morales y materiales irrogados a la actora por parte de la entidad llamada a juicio”, “Afectación de la estabilidad financiera del sistema en caso de acceder al traslado” </w:t>
      </w:r>
    </w:p>
    <w:p w:rsidR="003E3709" w:rsidRDefault="003E3709" w:rsidP="003E3709">
      <w:pPr>
        <w:spacing w:line="276" w:lineRule="auto"/>
        <w:contextualSpacing/>
        <w:jc w:val="both"/>
        <w:rPr>
          <w:rFonts w:ascii="Arial" w:hAnsi="Arial" w:cs="Arial"/>
          <w:szCs w:val="24"/>
        </w:rPr>
      </w:pPr>
    </w:p>
    <w:p w:rsidR="00D636F8" w:rsidRDefault="00B15207" w:rsidP="003E3709">
      <w:pPr>
        <w:spacing w:line="276" w:lineRule="auto"/>
        <w:contextualSpacing/>
        <w:jc w:val="both"/>
        <w:rPr>
          <w:rFonts w:ascii="Arial" w:hAnsi="Arial" w:cs="Arial"/>
          <w:b/>
          <w:szCs w:val="24"/>
        </w:rPr>
      </w:pPr>
      <w:r>
        <w:rPr>
          <w:rFonts w:ascii="Arial" w:hAnsi="Arial" w:cs="Arial"/>
          <w:b/>
          <w:szCs w:val="24"/>
        </w:rPr>
        <w:t xml:space="preserve">2. </w:t>
      </w:r>
      <w:r w:rsidR="00646A53">
        <w:rPr>
          <w:rFonts w:ascii="Arial" w:hAnsi="Arial" w:cs="Arial"/>
          <w:b/>
          <w:szCs w:val="24"/>
        </w:rPr>
        <w:t>Síntesis de la sentencia</w:t>
      </w:r>
      <w:r w:rsidR="00D95701">
        <w:rPr>
          <w:rFonts w:ascii="Arial" w:hAnsi="Arial" w:cs="Arial"/>
          <w:b/>
          <w:szCs w:val="24"/>
        </w:rPr>
        <w:t xml:space="preserve"> apelada</w:t>
      </w:r>
    </w:p>
    <w:p w:rsidR="00B15207" w:rsidRPr="00CB08DC" w:rsidRDefault="00B15207" w:rsidP="003E370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B15207">
        <w:rPr>
          <w:rFonts w:ascii="Arial" w:hAnsi="Arial" w:cs="Arial"/>
          <w:color w:val="000000"/>
          <w:szCs w:val="24"/>
          <w:lang w:eastAsia="es-CO"/>
        </w:rPr>
        <w:t xml:space="preserve">Cuarto </w:t>
      </w:r>
      <w:r w:rsidRPr="008E0CBF">
        <w:rPr>
          <w:rFonts w:ascii="Arial" w:hAnsi="Arial" w:cs="Arial"/>
          <w:color w:val="000000"/>
          <w:szCs w:val="24"/>
          <w:lang w:eastAsia="es-CO"/>
        </w:rPr>
        <w:t xml:space="preserve">Laboral del Circuito de Pereira, </w:t>
      </w:r>
      <w:r w:rsidR="00B15207">
        <w:rPr>
          <w:rFonts w:ascii="Arial" w:hAnsi="Arial" w:cs="Arial"/>
          <w:color w:val="000000"/>
          <w:szCs w:val="24"/>
          <w:lang w:eastAsia="es-CO"/>
        </w:rPr>
        <w:t>negó las pretensiones de la demanda y condenó en costas a la parte actora.</w:t>
      </w:r>
    </w:p>
    <w:p w:rsidR="00D636F8" w:rsidRDefault="00D636F8" w:rsidP="005920A9">
      <w:pPr>
        <w:spacing w:line="276" w:lineRule="auto"/>
        <w:contextualSpacing/>
        <w:jc w:val="both"/>
        <w:rPr>
          <w:rFonts w:ascii="Arial" w:hAnsi="Arial" w:cs="Arial"/>
          <w:color w:val="000000"/>
          <w:szCs w:val="24"/>
          <w:lang w:eastAsia="es-CO"/>
        </w:rPr>
      </w:pPr>
    </w:p>
    <w:p w:rsidR="009D2D3E" w:rsidRPr="009D2D3E" w:rsidRDefault="0094350D" w:rsidP="009D2D3E">
      <w:pPr>
        <w:spacing w:line="276" w:lineRule="auto"/>
        <w:jc w:val="both"/>
        <w:rPr>
          <w:rFonts w:ascii="Arial" w:hAnsi="Arial" w:cs="Arial"/>
          <w:iCs/>
          <w:szCs w:val="24"/>
        </w:rPr>
      </w:pPr>
      <w:r w:rsidRPr="00725C2C">
        <w:rPr>
          <w:rFonts w:ascii="Arial" w:hAnsi="Arial" w:cs="Arial"/>
          <w:szCs w:val="24"/>
          <w:lang w:eastAsia="es-CO"/>
        </w:rPr>
        <w:t xml:space="preserve">Para arribar a la anterior </w:t>
      </w:r>
      <w:r w:rsidR="00B15207" w:rsidRPr="00725C2C">
        <w:rPr>
          <w:rFonts w:ascii="Arial" w:hAnsi="Arial" w:cs="Arial"/>
          <w:szCs w:val="24"/>
          <w:lang w:eastAsia="es-CO"/>
        </w:rPr>
        <w:t>conclusi</w:t>
      </w:r>
      <w:r w:rsidR="00B15207">
        <w:rPr>
          <w:rFonts w:ascii="Arial" w:hAnsi="Arial" w:cs="Arial"/>
          <w:szCs w:val="24"/>
          <w:lang w:eastAsia="es-CO"/>
        </w:rPr>
        <w:t xml:space="preserve">ón, </w:t>
      </w:r>
      <w:r w:rsidR="006C049E">
        <w:rPr>
          <w:rFonts w:ascii="Arial" w:hAnsi="Arial" w:cs="Arial"/>
          <w:szCs w:val="24"/>
          <w:lang w:eastAsia="es-CO"/>
        </w:rPr>
        <w:t xml:space="preserve">indicó </w:t>
      </w:r>
      <w:r w:rsidR="009D2D3E">
        <w:rPr>
          <w:rFonts w:ascii="Arial" w:hAnsi="Arial" w:cs="Arial"/>
          <w:szCs w:val="24"/>
          <w:lang w:eastAsia="es-CO"/>
        </w:rPr>
        <w:t>que l</w:t>
      </w:r>
      <w:r w:rsidR="009D2D3E" w:rsidRPr="009D2D3E">
        <w:rPr>
          <w:rFonts w:ascii="Arial" w:hAnsi="Arial" w:cs="Arial"/>
          <w:iCs/>
          <w:szCs w:val="24"/>
        </w:rPr>
        <w:t>a  demandante no es beneficiaria de transición entonces, a pesar de que contara con más de 35 años, porque nunca cotizó en vigencia de régimen diferente al contenido en la ley 100 de 1993</w:t>
      </w:r>
      <w:r w:rsidR="009D2D3E">
        <w:rPr>
          <w:rFonts w:ascii="Arial" w:hAnsi="Arial" w:cs="Arial"/>
          <w:iCs/>
          <w:szCs w:val="24"/>
        </w:rPr>
        <w:t>, pues su afiliación se presentó en noviembre de 1994</w:t>
      </w:r>
      <w:r w:rsidR="009D2D3E" w:rsidRPr="009D2D3E">
        <w:rPr>
          <w:rFonts w:ascii="Arial" w:hAnsi="Arial" w:cs="Arial"/>
          <w:iCs/>
          <w:szCs w:val="24"/>
        </w:rPr>
        <w:t xml:space="preserve">; por manera que, de cara a la jurisprudencia le correspondía acreditar que la </w:t>
      </w:r>
      <w:r w:rsidR="009D2D3E">
        <w:rPr>
          <w:rFonts w:ascii="Arial" w:hAnsi="Arial" w:cs="Arial"/>
          <w:iCs/>
          <w:szCs w:val="24"/>
        </w:rPr>
        <w:t>AFP</w:t>
      </w:r>
      <w:r w:rsidR="009D2D3E" w:rsidRPr="009D2D3E">
        <w:rPr>
          <w:rFonts w:ascii="Arial" w:hAnsi="Arial" w:cs="Arial"/>
          <w:iCs/>
          <w:szCs w:val="24"/>
        </w:rPr>
        <w:t xml:space="preserve"> no le brindó suficiente información o la que le dio fue falaz, respecto a las consecuencias de su decisión de trasladarse de régimen pensional y que por tanto su decisión no fue consciente,</w:t>
      </w:r>
      <w:r w:rsidR="009D2D3E">
        <w:rPr>
          <w:rFonts w:ascii="Arial" w:hAnsi="Arial" w:cs="Arial"/>
          <w:iCs/>
          <w:szCs w:val="24"/>
        </w:rPr>
        <w:t xml:space="preserve"> libre y voluntaria, carga que incumplió.</w:t>
      </w:r>
    </w:p>
    <w:p w:rsidR="009D2D3E" w:rsidRDefault="009D2D3E" w:rsidP="009D2D3E">
      <w:pPr>
        <w:spacing w:line="276" w:lineRule="auto"/>
        <w:jc w:val="both"/>
        <w:rPr>
          <w:rFonts w:ascii="Arial" w:hAnsi="Arial" w:cs="Arial"/>
          <w:i/>
          <w:iCs/>
          <w:sz w:val="22"/>
        </w:rPr>
      </w:pPr>
    </w:p>
    <w:p w:rsidR="009D2D3E" w:rsidRPr="009D2D3E" w:rsidRDefault="009D2D3E" w:rsidP="009D2D3E">
      <w:pPr>
        <w:spacing w:line="276" w:lineRule="auto"/>
        <w:jc w:val="both"/>
        <w:rPr>
          <w:rFonts w:ascii="Arial" w:hAnsi="Arial" w:cs="Arial"/>
          <w:szCs w:val="24"/>
        </w:rPr>
      </w:pPr>
      <w:r w:rsidRPr="009D2D3E">
        <w:rPr>
          <w:rFonts w:ascii="Arial" w:hAnsi="Arial" w:cs="Arial"/>
          <w:szCs w:val="24"/>
        </w:rPr>
        <w:t>Ahora, el hecho de que hace unos pocos años se haya enterado de la diferencia en el valor de la mesada no es un hecho que pueda tomarse como engaño, porque independientemente de que como lo haya mencionado su apoderado, haya sido posible realizar alguna clase de proyección con valores hipotéticos, la</w:t>
      </w:r>
      <w:r w:rsidR="00590F19">
        <w:rPr>
          <w:rFonts w:ascii="Arial" w:hAnsi="Arial" w:cs="Arial"/>
          <w:szCs w:val="24"/>
        </w:rPr>
        <w:t xml:space="preserve"> misma ni era totalmente real como</w:t>
      </w:r>
      <w:r w:rsidRPr="009D2D3E">
        <w:rPr>
          <w:rFonts w:ascii="Arial" w:hAnsi="Arial" w:cs="Arial"/>
          <w:szCs w:val="24"/>
        </w:rPr>
        <w:t xml:space="preserve"> tampoco obligatoria, </w:t>
      </w:r>
      <w:r>
        <w:rPr>
          <w:rFonts w:ascii="Arial" w:hAnsi="Arial" w:cs="Arial"/>
          <w:szCs w:val="24"/>
        </w:rPr>
        <w:t>pues solo hasta el año 2014 con el D</w:t>
      </w:r>
      <w:r w:rsidRPr="009D2D3E">
        <w:rPr>
          <w:rFonts w:ascii="Arial" w:hAnsi="Arial" w:cs="Arial"/>
          <w:szCs w:val="24"/>
        </w:rPr>
        <w:t xml:space="preserve">ecreto 1748 surgió tal obligación. </w:t>
      </w:r>
    </w:p>
    <w:p w:rsidR="009D2D3E" w:rsidRDefault="009D2D3E" w:rsidP="009D2D3E">
      <w:pPr>
        <w:spacing w:line="276" w:lineRule="auto"/>
        <w:contextualSpacing/>
        <w:jc w:val="both"/>
        <w:rPr>
          <w:rFonts w:ascii="Arial" w:hAnsi="Arial" w:cs="Arial"/>
          <w:i/>
          <w:sz w:val="22"/>
          <w:szCs w:val="24"/>
        </w:rPr>
      </w:pPr>
    </w:p>
    <w:p w:rsidR="00D636F8" w:rsidRPr="00CB08DC" w:rsidRDefault="00D00083" w:rsidP="005920A9">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Recurso de Apelación</w:t>
      </w:r>
    </w:p>
    <w:p w:rsidR="006F454B" w:rsidRDefault="006F454B" w:rsidP="005920A9">
      <w:pPr>
        <w:pStyle w:val="Prrafodelista"/>
        <w:spacing w:line="276" w:lineRule="auto"/>
        <w:ind w:left="0"/>
        <w:jc w:val="both"/>
        <w:rPr>
          <w:rFonts w:ascii="Arial" w:eastAsia="Times New Roman" w:hAnsi="Arial" w:cs="Arial"/>
          <w:color w:val="000000"/>
          <w:sz w:val="24"/>
          <w:szCs w:val="24"/>
          <w:lang w:eastAsia="es-CO"/>
        </w:rPr>
      </w:pPr>
    </w:p>
    <w:p w:rsidR="00A634BD" w:rsidRDefault="0096499E" w:rsidP="00A634BD">
      <w:pPr>
        <w:pStyle w:val="Prrafodelista"/>
        <w:spacing w:line="276" w:lineRule="auto"/>
        <w:ind w:left="0"/>
        <w:jc w:val="both"/>
        <w:rPr>
          <w:rFonts w:ascii="Arial" w:eastAsia="Times New Roman" w:hAnsi="Arial" w:cs="Arial"/>
          <w:color w:val="000000"/>
          <w:sz w:val="24"/>
          <w:szCs w:val="24"/>
          <w:lang w:eastAsia="es-CO"/>
        </w:rPr>
      </w:pPr>
      <w:r w:rsidRPr="00A634BD">
        <w:rPr>
          <w:rFonts w:ascii="Arial" w:eastAsia="Times New Roman" w:hAnsi="Arial" w:cs="Arial"/>
          <w:color w:val="000000"/>
          <w:sz w:val="24"/>
          <w:szCs w:val="24"/>
          <w:lang w:eastAsia="es-CO"/>
        </w:rPr>
        <w:lastRenderedPageBreak/>
        <w:t>Inconforme con</w:t>
      </w:r>
      <w:r w:rsidR="00F51E1F" w:rsidRPr="00A634BD">
        <w:rPr>
          <w:rFonts w:ascii="Arial" w:eastAsia="Times New Roman" w:hAnsi="Arial" w:cs="Arial"/>
          <w:color w:val="000000"/>
          <w:sz w:val="24"/>
          <w:szCs w:val="24"/>
          <w:lang w:eastAsia="es-CO"/>
        </w:rPr>
        <w:t xml:space="preserve"> la anterior decisión, </w:t>
      </w:r>
      <w:r w:rsidR="009D2D3E">
        <w:rPr>
          <w:rFonts w:ascii="Arial" w:eastAsia="Times New Roman" w:hAnsi="Arial" w:cs="Arial"/>
          <w:color w:val="000000"/>
          <w:sz w:val="24"/>
          <w:szCs w:val="24"/>
          <w:lang w:eastAsia="es-CO"/>
        </w:rPr>
        <w:t xml:space="preserve">la parte actora la recurrió </w:t>
      </w:r>
      <w:r w:rsidR="00FF1239" w:rsidRPr="00A634BD">
        <w:rPr>
          <w:rFonts w:ascii="Arial" w:eastAsia="Times New Roman" w:hAnsi="Arial" w:cs="Arial"/>
          <w:color w:val="000000"/>
          <w:sz w:val="24"/>
          <w:szCs w:val="24"/>
          <w:lang w:eastAsia="es-CO"/>
        </w:rPr>
        <w:t xml:space="preserve">y </w:t>
      </w:r>
      <w:r w:rsidR="00F51E1F" w:rsidRPr="00A634BD">
        <w:rPr>
          <w:rFonts w:ascii="Arial" w:eastAsia="Times New Roman" w:hAnsi="Arial" w:cs="Arial"/>
          <w:color w:val="000000"/>
          <w:sz w:val="24"/>
          <w:szCs w:val="24"/>
          <w:lang w:eastAsia="es-CO"/>
        </w:rPr>
        <w:t>argument</w:t>
      </w:r>
      <w:r w:rsidR="00C86EC4" w:rsidRPr="00A634BD">
        <w:rPr>
          <w:rFonts w:ascii="Arial" w:eastAsia="Times New Roman" w:hAnsi="Arial" w:cs="Arial"/>
          <w:color w:val="000000"/>
          <w:sz w:val="24"/>
          <w:szCs w:val="24"/>
          <w:lang w:eastAsia="es-CO"/>
        </w:rPr>
        <w:t xml:space="preserve">ó </w:t>
      </w:r>
      <w:r w:rsidR="00246047">
        <w:rPr>
          <w:rFonts w:ascii="Arial" w:eastAsia="Times New Roman" w:hAnsi="Arial" w:cs="Arial"/>
          <w:color w:val="000000"/>
          <w:sz w:val="24"/>
          <w:szCs w:val="24"/>
          <w:lang w:eastAsia="es-CO"/>
        </w:rPr>
        <w:t>que existe jurisprudencia de hace 10 o 15 años que indica que no es necesario estar afiliado al sistema pensional antes del 01/04/1994 para gozar del régimen de transición, de tal manera que solo es necesario demostrar el cumplimiento de alguno de los requisitos previstos en el artículo 36 de la Ley 100 de 1993.</w:t>
      </w:r>
    </w:p>
    <w:p w:rsidR="00246047" w:rsidRDefault="00246047" w:rsidP="00A634BD">
      <w:pPr>
        <w:pStyle w:val="Prrafodelista"/>
        <w:spacing w:line="276" w:lineRule="auto"/>
        <w:ind w:left="0"/>
        <w:jc w:val="both"/>
        <w:rPr>
          <w:rFonts w:ascii="Arial" w:eastAsia="Times New Roman" w:hAnsi="Arial" w:cs="Arial"/>
          <w:color w:val="000000"/>
          <w:sz w:val="24"/>
          <w:szCs w:val="24"/>
          <w:lang w:eastAsia="es-CO"/>
        </w:rPr>
      </w:pPr>
    </w:p>
    <w:p w:rsidR="00246047" w:rsidRDefault="00352CAD" w:rsidP="00A634BD">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De tal manera que la actora al ser beneficiaria del mismo en razón de la edad y al hacerse alusión a unas negaciones indefinidas desde la demanda, se invirtió la carga de la prueba y le correspondía a la AFP demanda probar que sí le suministró la información necesaria y que obró con diligencia y cuidado, acorde con la sentencia SL12136 de 2014, lo que no hizo.</w:t>
      </w:r>
    </w:p>
    <w:p w:rsidR="008375A1" w:rsidRDefault="008375A1" w:rsidP="00A634BD">
      <w:pPr>
        <w:pStyle w:val="Prrafodelista"/>
        <w:spacing w:line="276" w:lineRule="auto"/>
        <w:ind w:left="0"/>
        <w:jc w:val="both"/>
        <w:rPr>
          <w:rFonts w:ascii="Arial" w:eastAsia="Times New Roman" w:hAnsi="Arial" w:cs="Arial"/>
          <w:color w:val="000000"/>
          <w:sz w:val="24"/>
          <w:szCs w:val="24"/>
          <w:lang w:eastAsia="es-CO"/>
        </w:rPr>
      </w:pPr>
    </w:p>
    <w:p w:rsidR="008375A1" w:rsidRDefault="008375A1" w:rsidP="00A634BD">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De otro lado, considera que de su parte cumplió de todas maneras con acreditar </w:t>
      </w:r>
      <w:r w:rsidR="000F6C16">
        <w:rPr>
          <w:rFonts w:ascii="Arial" w:eastAsia="Times New Roman" w:hAnsi="Arial" w:cs="Arial"/>
          <w:color w:val="000000"/>
          <w:sz w:val="24"/>
          <w:szCs w:val="24"/>
          <w:lang w:eastAsia="es-CO"/>
        </w:rPr>
        <w:t xml:space="preserve">que </w:t>
      </w:r>
      <w:r>
        <w:rPr>
          <w:rFonts w:ascii="Arial" w:eastAsia="Times New Roman" w:hAnsi="Arial" w:cs="Arial"/>
          <w:color w:val="000000"/>
          <w:sz w:val="24"/>
          <w:szCs w:val="24"/>
          <w:lang w:eastAsia="es-CO"/>
        </w:rPr>
        <w:t xml:space="preserve">la información </w:t>
      </w:r>
      <w:r w:rsidR="000F6C16">
        <w:rPr>
          <w:rFonts w:ascii="Arial" w:eastAsia="Times New Roman" w:hAnsi="Arial" w:cs="Arial"/>
          <w:color w:val="000000"/>
          <w:sz w:val="24"/>
          <w:szCs w:val="24"/>
          <w:lang w:eastAsia="es-CO"/>
        </w:rPr>
        <w:t>suministrada no fue la debida y adecuada para trasladarse</w:t>
      </w:r>
      <w:r>
        <w:rPr>
          <w:rFonts w:ascii="Arial" w:eastAsia="Times New Roman" w:hAnsi="Arial" w:cs="Arial"/>
          <w:color w:val="000000"/>
          <w:sz w:val="24"/>
          <w:szCs w:val="24"/>
          <w:lang w:eastAsia="es-CO"/>
        </w:rPr>
        <w:t>, pues el interrogatorio de parte fue preciso y contundente, sin que sea necesario contar con u</w:t>
      </w:r>
      <w:r w:rsidR="000F6C16">
        <w:rPr>
          <w:rFonts w:ascii="Arial" w:eastAsia="Times New Roman" w:hAnsi="Arial" w:cs="Arial"/>
          <w:color w:val="000000"/>
          <w:sz w:val="24"/>
          <w:szCs w:val="24"/>
          <w:lang w:eastAsia="es-CO"/>
        </w:rPr>
        <w:t>na abundante prueba testimonial para demostrarlo.</w:t>
      </w:r>
    </w:p>
    <w:p w:rsidR="000F6C16" w:rsidRDefault="000F6C16" w:rsidP="00A634BD">
      <w:pPr>
        <w:pStyle w:val="Prrafodelista"/>
        <w:spacing w:line="276" w:lineRule="auto"/>
        <w:ind w:left="0"/>
        <w:jc w:val="both"/>
        <w:rPr>
          <w:rFonts w:ascii="Arial" w:eastAsia="Times New Roman" w:hAnsi="Arial" w:cs="Arial"/>
          <w:color w:val="000000"/>
          <w:sz w:val="24"/>
          <w:szCs w:val="24"/>
          <w:lang w:eastAsia="es-CO"/>
        </w:rPr>
      </w:pPr>
    </w:p>
    <w:p w:rsidR="00C64A1B"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rsidR="00FE421E" w:rsidRDefault="00FE421E" w:rsidP="00FE421E">
      <w:pPr>
        <w:shd w:val="clear" w:color="auto" w:fill="FFFFFF"/>
        <w:tabs>
          <w:tab w:val="left" w:pos="5197"/>
        </w:tabs>
        <w:spacing w:line="276" w:lineRule="auto"/>
        <w:rPr>
          <w:rFonts w:ascii="Arial" w:hAnsi="Arial" w:cs="Arial"/>
          <w:b/>
          <w:color w:val="000000" w:themeColor="text1"/>
          <w:szCs w:val="24"/>
        </w:rPr>
      </w:pPr>
      <w:r>
        <w:rPr>
          <w:rFonts w:ascii="Arial" w:hAnsi="Arial" w:cs="Arial"/>
          <w:b/>
          <w:color w:val="000000" w:themeColor="text1"/>
          <w:szCs w:val="24"/>
        </w:rPr>
        <w:t>Cuestión Previa</w:t>
      </w:r>
    </w:p>
    <w:p w:rsidR="008C2705" w:rsidRDefault="008C2705" w:rsidP="00FE421E">
      <w:pPr>
        <w:shd w:val="clear" w:color="auto" w:fill="FFFFFF"/>
        <w:tabs>
          <w:tab w:val="left" w:pos="5197"/>
        </w:tabs>
        <w:spacing w:line="276" w:lineRule="auto"/>
        <w:rPr>
          <w:rFonts w:ascii="Arial" w:hAnsi="Arial" w:cs="Arial"/>
          <w:b/>
          <w:color w:val="000000" w:themeColor="text1"/>
          <w:szCs w:val="24"/>
        </w:rPr>
      </w:pPr>
    </w:p>
    <w:p w:rsidR="008C2705" w:rsidRDefault="00F654C2" w:rsidP="00091E3C">
      <w:pPr>
        <w:shd w:val="clear" w:color="auto" w:fill="FFFFFF"/>
        <w:tabs>
          <w:tab w:val="left" w:pos="5197"/>
        </w:tabs>
        <w:spacing w:line="276" w:lineRule="auto"/>
        <w:jc w:val="both"/>
        <w:rPr>
          <w:rFonts w:ascii="Arial" w:hAnsi="Arial" w:cs="Arial"/>
          <w:b/>
          <w:color w:val="000000" w:themeColor="text1"/>
          <w:szCs w:val="24"/>
        </w:rPr>
      </w:pPr>
      <w:r>
        <w:rPr>
          <w:rFonts w:ascii="Arial" w:hAnsi="Arial" w:cs="Arial"/>
          <w:b/>
          <w:color w:val="000000" w:themeColor="text1"/>
          <w:szCs w:val="24"/>
        </w:rPr>
        <w:t>Del valor normativo de las decisiones emitidas por la Corte Suprema de Justicia</w:t>
      </w:r>
    </w:p>
    <w:p w:rsidR="008C2705" w:rsidRDefault="008C2705" w:rsidP="00604FAE">
      <w:pPr>
        <w:shd w:val="clear" w:color="auto" w:fill="FFFFFF"/>
        <w:tabs>
          <w:tab w:val="left" w:pos="5197"/>
        </w:tabs>
        <w:spacing w:line="276" w:lineRule="auto"/>
        <w:jc w:val="both"/>
        <w:rPr>
          <w:rFonts w:ascii="Arial" w:hAnsi="Arial" w:cs="Arial"/>
          <w:b/>
          <w:color w:val="000000" w:themeColor="text1"/>
          <w:szCs w:val="24"/>
        </w:rPr>
      </w:pPr>
    </w:p>
    <w:p w:rsidR="008C2705" w:rsidRDefault="00F654C2"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Las </w:t>
      </w:r>
      <w:r w:rsidR="008C2705">
        <w:rPr>
          <w:rFonts w:ascii="Arial" w:hAnsi="Arial" w:cs="Arial"/>
          <w:color w:val="000000" w:themeColor="text1"/>
          <w:szCs w:val="24"/>
        </w:rPr>
        <w:t>decisiones adoptadas por el superior jerárquico, en nuestro caso por la Corte Suprema de Justicia, encargada de unificar la jurisprudencia, resulta ser como regla general de obligatorio acatamiento, lo que se traduce en una limitación de la autonomía judicial.</w:t>
      </w:r>
    </w:p>
    <w:p w:rsidR="008C2705" w:rsidRDefault="008C2705" w:rsidP="00604FAE">
      <w:pPr>
        <w:shd w:val="clear" w:color="auto" w:fill="FFFFFF"/>
        <w:tabs>
          <w:tab w:val="left" w:pos="5197"/>
        </w:tabs>
        <w:spacing w:line="276" w:lineRule="auto"/>
        <w:jc w:val="both"/>
        <w:rPr>
          <w:rFonts w:ascii="Arial" w:hAnsi="Arial" w:cs="Arial"/>
          <w:color w:val="000000" w:themeColor="text1"/>
          <w:szCs w:val="24"/>
        </w:rPr>
      </w:pPr>
    </w:p>
    <w:p w:rsidR="008C2705" w:rsidRDefault="008C2705"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Sin embargo y a modo de excepción, el funcionario judicial puede apartarse de</w:t>
      </w:r>
      <w:r w:rsidR="00927A3B">
        <w:rPr>
          <w:rFonts w:ascii="Arial" w:hAnsi="Arial" w:cs="Arial"/>
          <w:color w:val="000000" w:themeColor="text1"/>
          <w:szCs w:val="24"/>
        </w:rPr>
        <w:t xml:space="preserve"> </w:t>
      </w:r>
      <w:r w:rsidR="007A771C">
        <w:rPr>
          <w:rFonts w:ascii="Arial" w:hAnsi="Arial" w:cs="Arial"/>
          <w:color w:val="000000" w:themeColor="text1"/>
          <w:szCs w:val="24"/>
        </w:rPr>
        <w:t>ellas, esgrimiendo</w:t>
      </w:r>
      <w:r>
        <w:rPr>
          <w:rFonts w:ascii="Arial" w:hAnsi="Arial" w:cs="Arial"/>
          <w:color w:val="000000" w:themeColor="text1"/>
          <w:szCs w:val="24"/>
        </w:rPr>
        <w:t xml:space="preserve"> </w:t>
      </w:r>
      <w:r w:rsidR="00A52365">
        <w:rPr>
          <w:rFonts w:ascii="Arial" w:hAnsi="Arial" w:cs="Arial"/>
          <w:color w:val="000000" w:themeColor="text1"/>
          <w:szCs w:val="24"/>
        </w:rPr>
        <w:t xml:space="preserve">las </w:t>
      </w:r>
      <w:r>
        <w:rPr>
          <w:rFonts w:ascii="Arial" w:hAnsi="Arial" w:cs="Arial"/>
          <w:color w:val="000000" w:themeColor="text1"/>
          <w:szCs w:val="24"/>
        </w:rPr>
        <w:t>razones suficiente</w:t>
      </w:r>
      <w:r w:rsidR="00A52365">
        <w:rPr>
          <w:rFonts w:ascii="Arial" w:hAnsi="Arial" w:cs="Arial"/>
          <w:color w:val="000000" w:themeColor="text1"/>
          <w:szCs w:val="24"/>
        </w:rPr>
        <w:t xml:space="preserve">mente fundadas que lo llevan a tomar esa determinación. </w:t>
      </w:r>
    </w:p>
    <w:p w:rsidR="00A52365" w:rsidRDefault="00A52365" w:rsidP="00604FAE">
      <w:pPr>
        <w:shd w:val="clear" w:color="auto" w:fill="FFFFFF"/>
        <w:tabs>
          <w:tab w:val="left" w:pos="5197"/>
        </w:tabs>
        <w:spacing w:line="276" w:lineRule="auto"/>
        <w:jc w:val="both"/>
        <w:rPr>
          <w:rFonts w:ascii="Arial" w:hAnsi="Arial" w:cs="Arial"/>
          <w:color w:val="000000" w:themeColor="text1"/>
          <w:szCs w:val="24"/>
        </w:rPr>
      </w:pPr>
    </w:p>
    <w:p w:rsidR="009522C6" w:rsidRDefault="007A771C"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F</w:t>
      </w:r>
      <w:r w:rsidRPr="00DE3138">
        <w:rPr>
          <w:rFonts w:ascii="Arial" w:hAnsi="Arial" w:cs="Arial"/>
          <w:color w:val="000000" w:themeColor="text1"/>
          <w:szCs w:val="24"/>
        </w:rPr>
        <w:t>rente al tema de la ineficacia del traslado sustentado en los a</w:t>
      </w:r>
      <w:r w:rsidRPr="00DE3138">
        <w:rPr>
          <w:rFonts w:ascii="Arial" w:hAnsi="Arial" w:cs="Arial"/>
          <w:iCs/>
          <w:szCs w:val="24"/>
        </w:rPr>
        <w:t>rtículos 13</w:t>
      </w:r>
      <w:r>
        <w:rPr>
          <w:rFonts w:ascii="Arial" w:hAnsi="Arial" w:cs="Arial"/>
          <w:iCs/>
          <w:szCs w:val="24"/>
        </w:rPr>
        <w:t xml:space="preserve"> literal b) y </w:t>
      </w:r>
      <w:r w:rsidRPr="00DE3138">
        <w:rPr>
          <w:rFonts w:ascii="Arial" w:hAnsi="Arial" w:cs="Arial"/>
          <w:iCs/>
          <w:szCs w:val="24"/>
        </w:rPr>
        <w:t xml:space="preserve"> 271 </w:t>
      </w:r>
      <w:r>
        <w:rPr>
          <w:rFonts w:ascii="Arial" w:hAnsi="Arial" w:cs="Arial"/>
          <w:iCs/>
          <w:szCs w:val="24"/>
        </w:rPr>
        <w:t>inciso 1º</w:t>
      </w:r>
      <w:r w:rsidRPr="00DE3138">
        <w:rPr>
          <w:rFonts w:ascii="Arial" w:hAnsi="Arial" w:cs="Arial"/>
          <w:iCs/>
          <w:szCs w:val="24"/>
        </w:rPr>
        <w:t xml:space="preserve"> de la Ley 100 d</w:t>
      </w:r>
      <w:r>
        <w:rPr>
          <w:rFonts w:ascii="Arial" w:hAnsi="Arial" w:cs="Arial"/>
          <w:iCs/>
          <w:szCs w:val="24"/>
        </w:rPr>
        <w:t xml:space="preserve">e 1993, recientemente </w:t>
      </w:r>
      <w:r w:rsidR="00A52365" w:rsidRPr="00DE3138">
        <w:rPr>
          <w:rFonts w:ascii="Arial" w:hAnsi="Arial" w:cs="Arial"/>
          <w:color w:val="000000" w:themeColor="text1"/>
          <w:szCs w:val="24"/>
        </w:rPr>
        <w:t xml:space="preserve">la </w:t>
      </w:r>
      <w:proofErr w:type="spellStart"/>
      <w:r w:rsidR="00A52365" w:rsidRPr="00DE3138">
        <w:rPr>
          <w:rFonts w:ascii="Arial" w:hAnsi="Arial" w:cs="Arial"/>
          <w:color w:val="000000" w:themeColor="text1"/>
          <w:szCs w:val="24"/>
        </w:rPr>
        <w:t>S</w:t>
      </w:r>
      <w:r w:rsidR="004C7B48" w:rsidRPr="00DE3138">
        <w:rPr>
          <w:rFonts w:ascii="Arial" w:hAnsi="Arial" w:cs="Arial"/>
          <w:color w:val="000000" w:themeColor="text1"/>
          <w:szCs w:val="24"/>
        </w:rPr>
        <w:t>CL</w:t>
      </w:r>
      <w:proofErr w:type="spellEnd"/>
      <w:r w:rsidR="004C7B48" w:rsidRPr="00DE3138">
        <w:rPr>
          <w:rFonts w:ascii="Arial" w:hAnsi="Arial" w:cs="Arial"/>
          <w:color w:val="000000" w:themeColor="text1"/>
          <w:szCs w:val="24"/>
        </w:rPr>
        <w:t xml:space="preserve"> </w:t>
      </w:r>
      <w:r w:rsidR="00A52365" w:rsidRPr="00DE3138">
        <w:rPr>
          <w:rFonts w:ascii="Arial" w:hAnsi="Arial" w:cs="Arial"/>
          <w:color w:val="000000" w:themeColor="text1"/>
          <w:szCs w:val="24"/>
        </w:rPr>
        <w:t>de la C</w:t>
      </w:r>
      <w:r w:rsidR="004C7B48" w:rsidRPr="00DE3138">
        <w:rPr>
          <w:rFonts w:ascii="Arial" w:hAnsi="Arial" w:cs="Arial"/>
          <w:color w:val="000000" w:themeColor="text1"/>
          <w:szCs w:val="24"/>
        </w:rPr>
        <w:t>SJ</w:t>
      </w:r>
      <w:r w:rsidR="006C6C83" w:rsidRPr="00DE3138">
        <w:rPr>
          <w:rStyle w:val="Refdenotaalpie"/>
          <w:rFonts w:ascii="Arial" w:hAnsi="Arial" w:cs="Arial"/>
          <w:color w:val="000000" w:themeColor="text1"/>
          <w:szCs w:val="24"/>
        </w:rPr>
        <w:footnoteReference w:id="1"/>
      </w:r>
      <w:r w:rsidR="00A52365" w:rsidRPr="00DE3138">
        <w:rPr>
          <w:rFonts w:ascii="Arial" w:hAnsi="Arial" w:cs="Arial"/>
          <w:color w:val="000000" w:themeColor="text1"/>
          <w:szCs w:val="24"/>
        </w:rPr>
        <w:t xml:space="preserve">, </w:t>
      </w:r>
      <w:r>
        <w:rPr>
          <w:rFonts w:ascii="Arial" w:hAnsi="Arial" w:cs="Arial"/>
          <w:color w:val="000000" w:themeColor="text1"/>
          <w:szCs w:val="24"/>
        </w:rPr>
        <w:t xml:space="preserve">indicó </w:t>
      </w:r>
      <w:r w:rsidR="00A52365" w:rsidRPr="00DE3138">
        <w:rPr>
          <w:rFonts w:ascii="Arial" w:hAnsi="Arial" w:cs="Arial"/>
          <w:color w:val="000000" w:themeColor="text1"/>
          <w:szCs w:val="24"/>
        </w:rPr>
        <w:t xml:space="preserve">que la misma procede para todos los afiliados al sistema pensional sin distingo a su pertenencia o no al régimen de </w:t>
      </w:r>
      <w:r w:rsidR="00604FAE" w:rsidRPr="00DE3138">
        <w:rPr>
          <w:rFonts w:ascii="Arial" w:hAnsi="Arial" w:cs="Arial"/>
          <w:color w:val="000000" w:themeColor="text1"/>
          <w:szCs w:val="24"/>
        </w:rPr>
        <w:t>transición previsto en el ar</w:t>
      </w:r>
      <w:r w:rsidR="004C7B48" w:rsidRPr="00DE3138">
        <w:rPr>
          <w:rFonts w:ascii="Arial" w:hAnsi="Arial" w:cs="Arial"/>
          <w:color w:val="000000" w:themeColor="text1"/>
          <w:szCs w:val="24"/>
        </w:rPr>
        <w:t>tículo 36 de la Ley 100 de 1993</w:t>
      </w:r>
      <w:r w:rsidR="006C6C83" w:rsidRPr="00DE3138">
        <w:rPr>
          <w:rFonts w:ascii="Arial" w:hAnsi="Arial" w:cs="Arial"/>
          <w:color w:val="000000" w:themeColor="text1"/>
          <w:szCs w:val="24"/>
        </w:rPr>
        <w:t>, cuya carga probatoria recae en la AFP, quien deberá acreditar que informó las consecuencias del traslado</w:t>
      </w:r>
      <w:r w:rsidR="000C1E6F" w:rsidRPr="00DE3138">
        <w:rPr>
          <w:rFonts w:ascii="Arial" w:hAnsi="Arial" w:cs="Arial"/>
          <w:color w:val="000000" w:themeColor="text1"/>
          <w:szCs w:val="24"/>
        </w:rPr>
        <w:t>; tesis que no se com</w:t>
      </w:r>
      <w:r w:rsidR="004C7B48" w:rsidRPr="00DE3138">
        <w:rPr>
          <w:rFonts w:ascii="Arial" w:hAnsi="Arial" w:cs="Arial"/>
          <w:color w:val="000000" w:themeColor="text1"/>
          <w:szCs w:val="24"/>
        </w:rPr>
        <w:t xml:space="preserve">parte por </w:t>
      </w:r>
      <w:r w:rsidR="006C6C83" w:rsidRPr="00DE3138">
        <w:rPr>
          <w:rFonts w:ascii="Arial" w:hAnsi="Arial" w:cs="Arial"/>
          <w:color w:val="000000" w:themeColor="text1"/>
          <w:szCs w:val="24"/>
        </w:rPr>
        <w:t>la Sala Mayoritaria</w:t>
      </w:r>
      <w:r w:rsidR="009522C6">
        <w:rPr>
          <w:rFonts w:ascii="Arial" w:hAnsi="Arial" w:cs="Arial"/>
          <w:color w:val="000000" w:themeColor="text1"/>
          <w:szCs w:val="24"/>
        </w:rPr>
        <w:t>.</w:t>
      </w: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Por lo tanto, la intelección que se continuará efectuando por esta Sala Mayoritaria es que si el afiliado es beneficiario del régimen de transición previsto en la Ley 100 de 1993 hay lugar analizar la ineficacia del traslado conforme a la tesis expuesta inicialmente por la CSJ</w:t>
      </w:r>
      <w:r>
        <w:rPr>
          <w:rStyle w:val="Refdenotaalpie"/>
          <w:rFonts w:ascii="Arial" w:hAnsi="Arial" w:cs="Arial"/>
          <w:color w:val="000000" w:themeColor="text1"/>
          <w:szCs w:val="24"/>
        </w:rPr>
        <w:footnoteReference w:id="2"/>
      </w:r>
      <w:r>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p>
    <w:p w:rsidR="009522C6" w:rsidRPr="008C2705" w:rsidRDefault="009522C6"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lastRenderedPageBreak/>
        <w:t>Pero, en caso contrario, de no ser beneficiario</w:t>
      </w:r>
      <w:r w:rsidR="006E2D14">
        <w:rPr>
          <w:rFonts w:ascii="Arial" w:hAnsi="Arial" w:cs="Arial"/>
          <w:color w:val="000000" w:themeColor="text1"/>
          <w:szCs w:val="24"/>
        </w:rPr>
        <w:t xml:space="preserve"> actual</w:t>
      </w:r>
      <w:r>
        <w:rPr>
          <w:rFonts w:ascii="Arial" w:hAnsi="Arial" w:cs="Arial"/>
          <w:color w:val="000000" w:themeColor="text1"/>
          <w:szCs w:val="24"/>
        </w:rPr>
        <w:t xml:space="preserve"> de dicho régimen, debe estudiarse bajo la óptica de la nulidad</w:t>
      </w:r>
      <w:r w:rsidR="006E2D14">
        <w:rPr>
          <w:rFonts w:ascii="Arial" w:hAnsi="Arial" w:cs="Arial"/>
          <w:color w:val="000000" w:themeColor="text1"/>
          <w:szCs w:val="24"/>
        </w:rPr>
        <w:t xml:space="preserve"> del acto jurídico del traslado</w:t>
      </w:r>
      <w:r>
        <w:rPr>
          <w:rFonts w:ascii="Arial" w:hAnsi="Arial" w:cs="Arial"/>
          <w:color w:val="000000" w:themeColor="text1"/>
          <w:szCs w:val="24"/>
        </w:rPr>
        <w:t xml:space="preserve"> por vicios en el consentimiento, evento en el cual, le corresponde al afiliado acreditar los respectivos hechos</w:t>
      </w:r>
      <w:r w:rsidR="006E2D14">
        <w:rPr>
          <w:rFonts w:ascii="Arial" w:hAnsi="Arial" w:cs="Arial"/>
          <w:color w:val="000000" w:themeColor="text1"/>
          <w:szCs w:val="24"/>
        </w:rPr>
        <w:t xml:space="preserve"> de acuerdo con los Principios del </w:t>
      </w:r>
      <w:proofErr w:type="spellStart"/>
      <w:r w:rsidR="006E2D14" w:rsidRPr="006E2D14">
        <w:rPr>
          <w:rFonts w:ascii="Arial" w:hAnsi="Arial" w:cs="Arial"/>
          <w:i/>
          <w:color w:val="000000" w:themeColor="text1"/>
          <w:szCs w:val="24"/>
        </w:rPr>
        <w:t>Onus</w:t>
      </w:r>
      <w:proofErr w:type="spellEnd"/>
      <w:r w:rsidR="006E2D14" w:rsidRPr="006E2D14">
        <w:rPr>
          <w:rFonts w:ascii="Arial" w:hAnsi="Arial" w:cs="Arial"/>
          <w:i/>
          <w:color w:val="000000" w:themeColor="text1"/>
          <w:szCs w:val="24"/>
        </w:rPr>
        <w:t xml:space="preserve"> </w:t>
      </w:r>
      <w:proofErr w:type="spellStart"/>
      <w:r w:rsidR="006E2D14" w:rsidRPr="006E2D14">
        <w:rPr>
          <w:rFonts w:ascii="Arial" w:hAnsi="Arial" w:cs="Arial"/>
          <w:i/>
          <w:color w:val="000000" w:themeColor="text1"/>
          <w:szCs w:val="24"/>
        </w:rPr>
        <w:t>Probandi</w:t>
      </w:r>
      <w:proofErr w:type="spellEnd"/>
      <w:r w:rsidR="006E2D14">
        <w:rPr>
          <w:rFonts w:ascii="Arial" w:hAnsi="Arial" w:cs="Arial"/>
          <w:color w:val="000000" w:themeColor="text1"/>
          <w:szCs w:val="24"/>
        </w:rPr>
        <w:t xml:space="preserve">, de conformidad con el artículo 167 del C.G.P., so pena de la </w:t>
      </w:r>
      <w:proofErr w:type="spellStart"/>
      <w:r w:rsidR="006E2D14">
        <w:rPr>
          <w:rFonts w:ascii="Arial" w:hAnsi="Arial" w:cs="Arial"/>
          <w:color w:val="000000" w:themeColor="text1"/>
          <w:szCs w:val="24"/>
        </w:rPr>
        <w:t>improsperidad</w:t>
      </w:r>
      <w:proofErr w:type="spellEnd"/>
      <w:r w:rsidR="006E2D14">
        <w:rPr>
          <w:rFonts w:ascii="Arial" w:hAnsi="Arial" w:cs="Arial"/>
          <w:color w:val="000000" w:themeColor="text1"/>
          <w:szCs w:val="24"/>
        </w:rPr>
        <w:t xml:space="preserve"> de sus pretensiones.</w:t>
      </w:r>
    </w:p>
    <w:p w:rsidR="009522C6" w:rsidRDefault="009522C6" w:rsidP="009522C6">
      <w:pPr>
        <w:shd w:val="clear" w:color="auto" w:fill="FFFFFF"/>
        <w:tabs>
          <w:tab w:val="left" w:pos="5197"/>
        </w:tabs>
        <w:spacing w:line="276" w:lineRule="auto"/>
        <w:rPr>
          <w:rFonts w:ascii="Arial" w:hAnsi="Arial" w:cs="Arial"/>
          <w:b/>
          <w:color w:val="000000" w:themeColor="text1"/>
          <w:szCs w:val="24"/>
        </w:rPr>
      </w:pP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De este modo, se re</w:t>
      </w:r>
      <w:r w:rsidR="000679C6">
        <w:rPr>
          <w:rFonts w:ascii="Arial" w:hAnsi="Arial" w:cs="Arial"/>
          <w:color w:val="000000" w:themeColor="text1"/>
          <w:szCs w:val="24"/>
        </w:rPr>
        <w:t xml:space="preserve">coge cualquier </w:t>
      </w:r>
      <w:r w:rsidR="00B57CE6">
        <w:rPr>
          <w:rFonts w:ascii="Arial" w:hAnsi="Arial" w:cs="Arial"/>
          <w:color w:val="000000" w:themeColor="text1"/>
          <w:szCs w:val="24"/>
        </w:rPr>
        <w:t xml:space="preserve">argumentación </w:t>
      </w:r>
      <w:r w:rsidR="000679C6">
        <w:rPr>
          <w:rFonts w:ascii="Arial" w:hAnsi="Arial" w:cs="Arial"/>
          <w:color w:val="000000" w:themeColor="text1"/>
          <w:szCs w:val="24"/>
        </w:rPr>
        <w:t>que haya sido e</w:t>
      </w:r>
      <w:r w:rsidR="00B57CE6">
        <w:rPr>
          <w:rFonts w:ascii="Arial" w:hAnsi="Arial" w:cs="Arial"/>
          <w:color w:val="000000" w:themeColor="text1"/>
          <w:szCs w:val="24"/>
        </w:rPr>
        <w:t xml:space="preserve">sgrimida </w:t>
      </w:r>
      <w:r w:rsidR="00F4050C">
        <w:rPr>
          <w:rFonts w:ascii="Arial" w:hAnsi="Arial" w:cs="Arial"/>
          <w:color w:val="000000" w:themeColor="text1"/>
          <w:szCs w:val="24"/>
        </w:rPr>
        <w:t>con anterioridad y que difiera</w:t>
      </w:r>
      <w:r w:rsidR="000679C6">
        <w:rPr>
          <w:rFonts w:ascii="Arial" w:hAnsi="Arial" w:cs="Arial"/>
          <w:color w:val="000000" w:themeColor="text1"/>
          <w:szCs w:val="24"/>
        </w:rPr>
        <w:t xml:space="preserve"> del inmediatamente expuesto.</w:t>
      </w:r>
    </w:p>
    <w:p w:rsidR="000679C6" w:rsidRDefault="000679C6" w:rsidP="00604FAE">
      <w:pPr>
        <w:shd w:val="clear" w:color="auto" w:fill="FFFFFF"/>
        <w:tabs>
          <w:tab w:val="left" w:pos="5197"/>
        </w:tabs>
        <w:spacing w:line="276" w:lineRule="auto"/>
        <w:jc w:val="both"/>
        <w:rPr>
          <w:rFonts w:ascii="Arial" w:hAnsi="Arial" w:cs="Arial"/>
          <w:color w:val="000000" w:themeColor="text1"/>
          <w:szCs w:val="24"/>
        </w:rPr>
      </w:pPr>
    </w:p>
    <w:p w:rsidR="00074F93" w:rsidRDefault="00F4050C" w:rsidP="00074F93">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Ahora, </w:t>
      </w:r>
      <w:r w:rsidR="000679C6">
        <w:rPr>
          <w:rFonts w:ascii="Arial" w:hAnsi="Arial" w:cs="Arial"/>
          <w:color w:val="000000" w:themeColor="text1"/>
          <w:szCs w:val="24"/>
        </w:rPr>
        <w:t xml:space="preserve">las </w:t>
      </w:r>
      <w:r w:rsidR="004C7B48">
        <w:rPr>
          <w:rFonts w:ascii="Arial" w:hAnsi="Arial" w:cs="Arial"/>
          <w:color w:val="000000" w:themeColor="text1"/>
          <w:szCs w:val="24"/>
        </w:rPr>
        <w:t xml:space="preserve">razones que justifican </w:t>
      </w:r>
      <w:r w:rsidR="0054308F">
        <w:rPr>
          <w:rFonts w:ascii="Arial" w:hAnsi="Arial" w:cs="Arial"/>
          <w:color w:val="000000" w:themeColor="text1"/>
          <w:szCs w:val="24"/>
        </w:rPr>
        <w:t xml:space="preserve">la </w:t>
      </w:r>
      <w:r w:rsidR="004C7B48">
        <w:rPr>
          <w:rFonts w:ascii="Arial" w:hAnsi="Arial" w:cs="Arial"/>
          <w:color w:val="000000" w:themeColor="text1"/>
          <w:szCs w:val="24"/>
        </w:rPr>
        <w:t>dimisión</w:t>
      </w:r>
      <w:r>
        <w:rPr>
          <w:rFonts w:ascii="Arial" w:hAnsi="Arial" w:cs="Arial"/>
          <w:color w:val="000000" w:themeColor="text1"/>
          <w:szCs w:val="24"/>
        </w:rPr>
        <w:t xml:space="preserve"> de la </w:t>
      </w:r>
      <w:r w:rsidR="0054308F">
        <w:rPr>
          <w:rFonts w:ascii="Arial" w:hAnsi="Arial" w:cs="Arial"/>
          <w:color w:val="000000" w:themeColor="text1"/>
          <w:szCs w:val="24"/>
        </w:rPr>
        <w:t xml:space="preserve">Sala Mayoritaria de la </w:t>
      </w:r>
      <w:r>
        <w:rPr>
          <w:rFonts w:ascii="Arial" w:hAnsi="Arial" w:cs="Arial"/>
          <w:color w:val="000000" w:themeColor="text1"/>
          <w:szCs w:val="24"/>
        </w:rPr>
        <w:t xml:space="preserve">tesis actual de la </w:t>
      </w:r>
      <w:proofErr w:type="spellStart"/>
      <w:r>
        <w:rPr>
          <w:rFonts w:ascii="Arial" w:hAnsi="Arial" w:cs="Arial"/>
          <w:color w:val="000000" w:themeColor="text1"/>
          <w:szCs w:val="24"/>
        </w:rPr>
        <w:t>SCL</w:t>
      </w:r>
      <w:proofErr w:type="spellEnd"/>
      <w:r>
        <w:rPr>
          <w:rFonts w:ascii="Arial" w:hAnsi="Arial" w:cs="Arial"/>
          <w:color w:val="000000" w:themeColor="text1"/>
          <w:szCs w:val="24"/>
        </w:rPr>
        <w:t xml:space="preserve"> de la CSJ</w:t>
      </w:r>
      <w:r w:rsidR="004C7B48">
        <w:rPr>
          <w:rFonts w:ascii="Arial" w:hAnsi="Arial" w:cs="Arial"/>
          <w:color w:val="000000" w:themeColor="text1"/>
          <w:szCs w:val="24"/>
        </w:rPr>
        <w:t>,</w:t>
      </w:r>
      <w:r w:rsidR="000679C6">
        <w:rPr>
          <w:rFonts w:ascii="Arial" w:hAnsi="Arial" w:cs="Arial"/>
          <w:color w:val="000000" w:themeColor="text1"/>
          <w:szCs w:val="24"/>
        </w:rPr>
        <w:t xml:space="preserve"> son</w:t>
      </w:r>
      <w:r w:rsidR="004C7B48">
        <w:rPr>
          <w:rFonts w:ascii="Arial" w:hAnsi="Arial" w:cs="Arial"/>
          <w:color w:val="000000" w:themeColor="text1"/>
          <w:szCs w:val="24"/>
        </w:rPr>
        <w:t xml:space="preserve"> las mismas que fueron expuestas por el </w:t>
      </w:r>
      <w:proofErr w:type="spellStart"/>
      <w:r w:rsidR="004C7B48">
        <w:rPr>
          <w:rFonts w:ascii="Arial" w:hAnsi="Arial" w:cs="Arial"/>
          <w:color w:val="000000" w:themeColor="text1"/>
          <w:szCs w:val="24"/>
        </w:rPr>
        <w:t>Mag</w:t>
      </w:r>
      <w:proofErr w:type="spellEnd"/>
      <w:r w:rsidR="004C7B48">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sidR="004C7B48">
        <w:rPr>
          <w:rFonts w:ascii="Arial" w:hAnsi="Arial" w:cs="Arial"/>
          <w:color w:val="000000" w:themeColor="text1"/>
          <w:szCs w:val="24"/>
        </w:rPr>
        <w:t>Sarrazola</w:t>
      </w:r>
      <w:proofErr w:type="spellEnd"/>
      <w:r w:rsidR="004C7B48">
        <w:rPr>
          <w:rFonts w:ascii="Arial" w:hAnsi="Arial" w:cs="Arial"/>
          <w:color w:val="000000" w:themeColor="text1"/>
          <w:szCs w:val="24"/>
        </w:rPr>
        <w:t xml:space="preserve">, y que </w:t>
      </w:r>
      <w:r w:rsidR="00074F93">
        <w:rPr>
          <w:rFonts w:ascii="Arial" w:hAnsi="Arial" w:cs="Arial"/>
          <w:color w:val="000000" w:themeColor="text1"/>
          <w:szCs w:val="24"/>
        </w:rPr>
        <w:t>son las siguientes:</w:t>
      </w:r>
    </w:p>
    <w:p w:rsidR="00074F93" w:rsidRDefault="00074F93" w:rsidP="00074F93">
      <w:pPr>
        <w:shd w:val="clear" w:color="auto" w:fill="FFFFFF"/>
        <w:tabs>
          <w:tab w:val="left" w:pos="5197"/>
        </w:tabs>
        <w:spacing w:line="276" w:lineRule="auto"/>
        <w:jc w:val="both"/>
        <w:rPr>
          <w:rFonts w:ascii="Arial" w:hAnsi="Arial" w:cs="Arial"/>
          <w:color w:val="000000" w:themeColor="text1"/>
          <w:szCs w:val="24"/>
        </w:rPr>
      </w:pPr>
    </w:p>
    <w:p w:rsidR="00074F93" w:rsidRPr="00C31E27" w:rsidRDefault="00074F93" w:rsidP="00074F93">
      <w:pPr>
        <w:ind w:right="51"/>
        <w:jc w:val="both"/>
        <w:rPr>
          <w:rFonts w:ascii="Arial" w:hAnsi="Arial"/>
          <w:b/>
          <w:i/>
          <w:iCs/>
          <w:sz w:val="22"/>
          <w:szCs w:val="22"/>
        </w:rPr>
      </w:pPr>
      <w:r w:rsidRPr="00C31E27">
        <w:rPr>
          <w:rFonts w:ascii="Arial" w:hAnsi="Arial" w:cs="Arial"/>
          <w:b/>
          <w:i/>
          <w:color w:val="000000" w:themeColor="text1"/>
          <w:sz w:val="22"/>
          <w:szCs w:val="22"/>
        </w:rPr>
        <w:t>“</w:t>
      </w:r>
      <w:r w:rsidRPr="00C31E27">
        <w:rPr>
          <w:rFonts w:ascii="Arial" w:hAnsi="Arial" w:cs="Arial"/>
          <w:b/>
          <w:bCs/>
          <w:i/>
          <w:iCs/>
          <w:sz w:val="22"/>
          <w:szCs w:val="22"/>
          <w:lang w:val="es-ES"/>
        </w:rPr>
        <w:t>PRIMERA</w:t>
      </w:r>
      <w:r w:rsidRPr="00C31E27">
        <w:rPr>
          <w:b/>
          <w:bCs/>
          <w:i/>
          <w:iCs/>
          <w:sz w:val="22"/>
          <w:szCs w:val="22"/>
          <w:lang w:val="es-ES"/>
        </w:rPr>
        <w:t xml:space="preserve">: </w:t>
      </w:r>
      <w:bookmarkStart w:id="1" w:name="13"/>
      <w:bookmarkEnd w:id="1"/>
      <w:r w:rsidR="00091E3C" w:rsidRPr="00C31E27">
        <w:rPr>
          <w:rFonts w:ascii="Arial" w:hAnsi="Arial"/>
          <w:b/>
          <w:i/>
          <w:iCs/>
          <w:sz w:val="22"/>
          <w:szCs w:val="22"/>
        </w:rPr>
        <w:t>REGÍMENES</w:t>
      </w:r>
      <w:r w:rsidRPr="00C31E27">
        <w:rPr>
          <w:rFonts w:ascii="Arial" w:hAnsi="Arial"/>
          <w:b/>
          <w:i/>
          <w:iCs/>
          <w:sz w:val="22"/>
          <w:szCs w:val="22"/>
        </w:rPr>
        <w:t xml:space="preserve"> PENSIONALES COEXISTENTES</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C31E27">
        <w:rPr>
          <w:rFonts w:ascii="Arial" w:hAnsi="Arial"/>
          <w:b/>
          <w:i/>
          <w:iCs/>
          <w:sz w:val="22"/>
          <w:szCs w:val="22"/>
        </w:rPr>
        <w:t>con prestación definida”.</w:t>
      </w:r>
      <w:r w:rsidRPr="00C31E27">
        <w:rPr>
          <w:rFonts w:ascii="Arial" w:hAnsi="Arial"/>
          <w:i/>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31E27">
        <w:rPr>
          <w:rFonts w:ascii="Arial" w:hAnsi="Arial"/>
          <w:b/>
          <w:i/>
          <w:iCs/>
          <w:sz w:val="22"/>
          <w:szCs w:val="22"/>
        </w:rPr>
        <w:t xml:space="preserve">ahorro individual, </w:t>
      </w:r>
      <w:r w:rsidRPr="00C31E27">
        <w:rPr>
          <w:rFonts w:ascii="Arial" w:hAnsi="Arial"/>
          <w:i/>
          <w:iCs/>
          <w:sz w:val="22"/>
          <w:szCs w:val="22"/>
        </w:rPr>
        <w:t xml:space="preserve">dando cuenta desde su denominación de la afectación de la prestación al esfuerzo personal que haga el afiliado. </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1E27">
        <w:rPr>
          <w:rFonts w:ascii="Arial" w:hAnsi="Arial"/>
          <w:i/>
          <w:iCs/>
          <w:sz w:val="22"/>
          <w:szCs w:val="22"/>
        </w:rPr>
        <w:t>sucesoral</w:t>
      </w:r>
      <w:proofErr w:type="spellEnd"/>
      <w:r w:rsidRPr="00C31E27">
        <w:rPr>
          <w:rFonts w:ascii="Arial" w:hAnsi="Arial"/>
          <w:i/>
          <w:iCs/>
          <w:sz w:val="22"/>
          <w:szCs w:val="22"/>
        </w:rPr>
        <w:t>.</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C31E27">
        <w:rPr>
          <w:rFonts w:ascii="Arial" w:hAnsi="Arial"/>
          <w:b/>
          <w:i/>
          <w:iCs/>
          <w:sz w:val="22"/>
          <w:szCs w:val="22"/>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C31E27">
        <w:rPr>
          <w:rFonts w:ascii="Arial" w:hAnsi="Arial"/>
          <w:i/>
          <w:iCs/>
          <w:sz w:val="22"/>
          <w:szCs w:val="22"/>
        </w:rPr>
        <w:t xml:space="preserve">, entre otras cosas porque la nueva legislación parte de la base de que existe una abierta y libre competencia entre Administradoras públicas y privadas por el mercado de la administración de los riesgos de </w:t>
      </w:r>
      <w:proofErr w:type="spellStart"/>
      <w:r w:rsidRPr="00C31E27">
        <w:rPr>
          <w:rFonts w:ascii="Arial" w:hAnsi="Arial"/>
          <w:i/>
          <w:iCs/>
          <w:sz w:val="22"/>
          <w:szCs w:val="22"/>
        </w:rPr>
        <w:t>IVM</w:t>
      </w:r>
      <w:proofErr w:type="spellEnd"/>
      <w:r w:rsidRPr="00C31E27">
        <w:rPr>
          <w:rFonts w:ascii="Arial" w:hAnsi="Arial"/>
          <w:i/>
          <w:iCs/>
          <w:sz w:val="22"/>
          <w:szCs w:val="22"/>
        </w:rPr>
        <w:t>.</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lastRenderedPageBreak/>
        <w:t xml:space="preserve">SEGUNDO: </w:t>
      </w:r>
      <w:r w:rsidR="00091E3C" w:rsidRPr="00C31E27">
        <w:rPr>
          <w:rFonts w:ascii="Arial" w:hAnsi="Arial"/>
          <w:b/>
          <w:i/>
          <w:iCs/>
          <w:sz w:val="22"/>
          <w:szCs w:val="22"/>
        </w:rPr>
        <w:t>RAZÓN</w:t>
      </w:r>
      <w:r w:rsidRPr="00C31E27">
        <w:rPr>
          <w:rFonts w:ascii="Arial" w:hAnsi="Arial"/>
          <w:b/>
          <w:i/>
          <w:iCs/>
          <w:sz w:val="22"/>
          <w:szCs w:val="22"/>
        </w:rPr>
        <w:t xml:space="preserve"> DE SER DE LA LIMITACIÓN DE TRASLADO CUANDO FALTEN MENOS DE 10 AÑOS. SENTENCIA C-1024 DE 2004</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La Corte Constitucional fue clara en explicar que </w:t>
      </w:r>
      <w:r w:rsidRPr="00C31E27">
        <w:rPr>
          <w:rFonts w:ascii="Arial" w:hAnsi="Arial"/>
          <w:b/>
          <w:i/>
          <w:iCs/>
          <w:sz w:val="22"/>
          <w:szCs w:val="22"/>
        </w:rPr>
        <w:t>para garantizar la sostenibilidad financiera del sistema de prima media</w:t>
      </w:r>
      <w:r w:rsidRPr="00C31E27">
        <w:rPr>
          <w:rFonts w:ascii="Arial" w:hAnsi="Arial"/>
          <w:i/>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074F93" w:rsidRPr="00C31E27" w:rsidRDefault="00074F93" w:rsidP="00074F93">
      <w:pPr>
        <w:ind w:right="51"/>
        <w:jc w:val="both"/>
        <w:rPr>
          <w:rFonts w:ascii="Arial" w:hAnsi="Arial"/>
          <w:b/>
          <w:i/>
          <w:iCs/>
          <w:sz w:val="22"/>
          <w:szCs w:val="22"/>
        </w:rPr>
      </w:pPr>
    </w:p>
    <w:p w:rsidR="00074F93" w:rsidRPr="0078460D" w:rsidRDefault="00074F93" w:rsidP="00117E91">
      <w:pPr>
        <w:ind w:left="426" w:right="418"/>
        <w:jc w:val="both"/>
        <w:rPr>
          <w:rFonts w:ascii="Arial" w:hAnsi="Arial"/>
          <w:i/>
          <w:iCs/>
          <w:sz w:val="20"/>
          <w:szCs w:val="22"/>
          <w:lang w:val="es-ES"/>
        </w:rPr>
      </w:pPr>
      <w:r w:rsidRPr="0078460D">
        <w:rPr>
          <w:rFonts w:ascii="Arial" w:hAnsi="Arial"/>
          <w:i/>
          <w:iCs/>
          <w:sz w:val="20"/>
          <w:szCs w:val="22"/>
        </w:rPr>
        <w:t xml:space="preserve">“Desde esta perspectiva, el objetivo perseguido con el señalamiento del  período de carencia en la norma acusada, </w:t>
      </w:r>
      <w:r w:rsidRPr="0078460D">
        <w:rPr>
          <w:rFonts w:ascii="Arial" w:hAnsi="Arial"/>
          <w:b/>
          <w:i/>
          <w:iCs/>
          <w:sz w:val="20"/>
          <w:szCs w:val="22"/>
        </w:rPr>
        <w:t>consiste en evitar la descapitalización del fondo común del Régimen Solidario de Prima Media con Prestación Definida</w:t>
      </w:r>
      <w:r w:rsidRPr="0078460D">
        <w:rPr>
          <w:rFonts w:ascii="Arial" w:hAnsi="Arial"/>
          <w:i/>
          <w:iCs/>
          <w:sz w:val="20"/>
          <w:szCs w:val="22"/>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8460D">
        <w:rPr>
          <w:rFonts w:ascii="Arial" w:hAnsi="Arial"/>
          <w:b/>
          <w:i/>
          <w:iCs/>
          <w:sz w:val="20"/>
          <w:szCs w:val="22"/>
        </w:rPr>
        <w:t>a poner en riesgo la garantía del derecho irrenunciable a la pensión del resto de cotizantes</w:t>
      </w:r>
      <w:r w:rsidRPr="0078460D">
        <w:rPr>
          <w:rFonts w:ascii="Arial" w:hAnsi="Arial"/>
          <w:i/>
          <w:iCs/>
          <w:sz w:val="20"/>
          <w:szCs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8460D">
        <w:rPr>
          <w:rFonts w:ascii="Arial" w:hAnsi="Arial"/>
          <w:b/>
          <w:i/>
          <w:iCs/>
          <w:sz w:val="20"/>
          <w:szCs w:val="22"/>
        </w:rPr>
        <w:t>podría llegar a poner en riesgo la garantía del derecho pensional para los actuales y futuros pensionados</w:t>
      </w:r>
      <w:r w:rsidRPr="0078460D">
        <w:rPr>
          <w:rFonts w:ascii="Arial" w:hAnsi="Arial"/>
          <w:i/>
          <w:iCs/>
          <w:sz w:val="20"/>
          <w:szCs w:val="22"/>
        </w:rPr>
        <w:t>.</w:t>
      </w:r>
    </w:p>
    <w:p w:rsidR="00074F93" w:rsidRPr="0078460D" w:rsidRDefault="00074F93" w:rsidP="00117E91">
      <w:pPr>
        <w:ind w:left="426" w:right="418"/>
        <w:jc w:val="both"/>
        <w:rPr>
          <w:rFonts w:ascii="Arial" w:hAnsi="Arial"/>
          <w:i/>
          <w:iCs/>
          <w:sz w:val="20"/>
          <w:szCs w:val="22"/>
          <w:lang w:val="es-ES"/>
        </w:rPr>
      </w:pPr>
      <w:r w:rsidRPr="0078460D">
        <w:rPr>
          <w:rFonts w:ascii="Arial" w:hAnsi="Arial"/>
          <w:i/>
          <w:iCs/>
          <w:sz w:val="20"/>
          <w:szCs w:val="22"/>
        </w:rPr>
        <w:t> </w:t>
      </w:r>
    </w:p>
    <w:p w:rsidR="00074F93" w:rsidRPr="0078460D" w:rsidRDefault="00074F93" w:rsidP="00117E91">
      <w:pPr>
        <w:ind w:left="426" w:right="418"/>
        <w:jc w:val="both"/>
        <w:rPr>
          <w:rFonts w:ascii="Arial" w:hAnsi="Arial"/>
          <w:i/>
          <w:iCs/>
          <w:sz w:val="20"/>
          <w:szCs w:val="22"/>
        </w:rPr>
      </w:pPr>
      <w:r w:rsidRPr="0078460D">
        <w:rPr>
          <w:rFonts w:ascii="Arial" w:hAnsi="Arial"/>
          <w:i/>
          <w:iCs/>
          <w:sz w:val="20"/>
          <w:szCs w:val="22"/>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117E91" w:rsidRPr="0078460D" w:rsidRDefault="00117E91" w:rsidP="00117E91">
      <w:pPr>
        <w:ind w:left="426" w:right="418"/>
        <w:jc w:val="both"/>
        <w:rPr>
          <w:rFonts w:ascii="Arial" w:hAnsi="Arial"/>
          <w:i/>
          <w:iCs/>
          <w:sz w:val="20"/>
          <w:szCs w:val="22"/>
          <w:lang w:val="es-ES"/>
        </w:rPr>
      </w:pPr>
    </w:p>
    <w:p w:rsidR="00074F93" w:rsidRPr="0078460D" w:rsidRDefault="00074F93" w:rsidP="00117E91">
      <w:pPr>
        <w:ind w:left="426" w:right="418"/>
        <w:jc w:val="both"/>
        <w:rPr>
          <w:rFonts w:ascii="Arial" w:hAnsi="Arial"/>
          <w:b/>
          <w:i/>
          <w:iCs/>
          <w:sz w:val="20"/>
          <w:szCs w:val="22"/>
          <w:lang w:val="es-ES"/>
        </w:rPr>
      </w:pPr>
      <w:r w:rsidRPr="0078460D">
        <w:rPr>
          <w:rFonts w:ascii="Arial" w:hAnsi="Arial"/>
          <w:i/>
          <w:iCs/>
          <w:sz w:val="20"/>
          <w:szCs w:val="22"/>
        </w:rPr>
        <w:t xml:space="preserve"> 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8460D">
        <w:rPr>
          <w:rFonts w:ascii="Arial" w:hAnsi="Arial"/>
          <w:b/>
          <w:i/>
          <w:iCs/>
          <w:sz w:val="20"/>
          <w:szCs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8460D">
        <w:rPr>
          <w:rFonts w:ascii="Arial" w:hAnsi="Arial"/>
          <w:i/>
          <w:iCs/>
          <w:sz w:val="20"/>
          <w:szCs w:val="22"/>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8460D">
        <w:rPr>
          <w:rFonts w:ascii="Arial" w:hAnsi="Arial"/>
          <w:b/>
          <w:i/>
          <w:iCs/>
          <w:sz w:val="20"/>
          <w:szCs w:val="22"/>
        </w:rPr>
        <w:t> </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i/>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C31E27">
        <w:rPr>
          <w:rFonts w:ascii="Arial" w:hAnsi="Arial"/>
          <w:b/>
          <w:i/>
          <w:iCs/>
          <w:sz w:val="22"/>
          <w:szCs w:val="22"/>
        </w:rPr>
        <w:t xml:space="preserve">puede llegar a poner en riesgo la garantía del derecho pensional para los actuales y futuros pensionados que </w:t>
      </w:r>
      <w:proofErr w:type="spellStart"/>
      <w:r w:rsidRPr="00C31E27">
        <w:rPr>
          <w:rFonts w:ascii="Arial" w:hAnsi="Arial"/>
          <w:b/>
          <w:i/>
          <w:iCs/>
          <w:sz w:val="22"/>
          <w:szCs w:val="22"/>
        </w:rPr>
        <w:t>si</w:t>
      </w:r>
      <w:proofErr w:type="spellEnd"/>
      <w:r w:rsidRPr="00C31E27">
        <w:rPr>
          <w:rFonts w:ascii="Arial" w:hAnsi="Arial"/>
          <w:b/>
          <w:i/>
          <w:iCs/>
          <w:sz w:val="22"/>
          <w:szCs w:val="22"/>
        </w:rPr>
        <w:t xml:space="preserve"> lo hicieron.</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t xml:space="preserve">TERCERO: REALIDAD NORMATIVA SOBRE LA SUPUESTA FALTA DE INFORMACIÓN QUE GENERA LA INEFICACIA DE LOS TRASLADOS (ARTÍCULO 11 DEL DECRETO 692 DE 1994 HOY 2.2.2.1.8 DEL </w:t>
      </w:r>
      <w:proofErr w:type="spellStart"/>
      <w:r w:rsidRPr="00C31E27">
        <w:rPr>
          <w:rFonts w:ascii="Arial" w:hAnsi="Arial"/>
          <w:b/>
          <w:i/>
          <w:iCs/>
          <w:sz w:val="22"/>
          <w:szCs w:val="22"/>
        </w:rPr>
        <w:t>D.U.R</w:t>
      </w:r>
      <w:proofErr w:type="spellEnd"/>
      <w:r w:rsidRPr="00C31E27">
        <w:rPr>
          <w:rFonts w:ascii="Arial" w:hAnsi="Arial"/>
          <w:b/>
          <w:i/>
          <w:iCs/>
          <w:sz w:val="22"/>
          <w:szCs w:val="22"/>
        </w:rPr>
        <w:t xml:space="preserve"> 1833/2016)</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Se viene insistiendo reiteradamente en que la ineficacia del traslado se genera porque los Fondos Privados no dieron la suficiente y clara información a las personas que les permitiera tomar una libre decisión informada.</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lastRenderedPageBreak/>
        <w:t xml:space="preserve">Tal afirmación, no responde a la realidad. La reglamentación que dio desarrollo a la ley 100 de 1993 fue específica sobre el contenido de los formularios de afiliación y los traslados, de manera tal que </w:t>
      </w:r>
      <w:r w:rsidRPr="00C31E27">
        <w:rPr>
          <w:rFonts w:ascii="Arial" w:hAnsi="Arial"/>
          <w:b/>
          <w:i/>
          <w:iCs/>
          <w:sz w:val="22"/>
          <w:szCs w:val="22"/>
        </w:rPr>
        <w:t>las AFP –que también son sujetos con derechos y a quienes también debe respetárseles el principio de confianza legítima</w:t>
      </w:r>
      <w:r w:rsidRPr="00C31E27">
        <w:rPr>
          <w:rFonts w:ascii="Arial" w:hAnsi="Arial"/>
          <w:i/>
          <w:iCs/>
          <w:sz w:val="22"/>
          <w:szCs w:val="22"/>
        </w:rPr>
        <w:t xml:space="preserve">-, simplemente siguieron las indicaciones que sobre estos temas fueron señaladas en el decreto 692 de 1994, así:   </w:t>
      </w:r>
    </w:p>
    <w:p w:rsidR="00074F93" w:rsidRPr="00C31E27" w:rsidRDefault="00074F93" w:rsidP="00074F93">
      <w:pPr>
        <w:ind w:right="51"/>
        <w:jc w:val="both"/>
        <w:rPr>
          <w:rFonts w:ascii="Arial" w:hAnsi="Arial"/>
          <w:i/>
          <w:iCs/>
          <w:sz w:val="22"/>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bCs/>
          <w:i/>
          <w:sz w:val="20"/>
          <w:szCs w:val="22"/>
          <w:lang w:val="es-ES"/>
        </w:rPr>
        <w:t xml:space="preserve">ARTICULO 11. DILIGENCIAMIENTO DE LA </w:t>
      </w:r>
      <w:r w:rsidR="00091E3C" w:rsidRPr="0078460D">
        <w:rPr>
          <w:rFonts w:ascii="Arial" w:hAnsi="Arial" w:cs="Arial"/>
          <w:bCs/>
          <w:i/>
          <w:sz w:val="20"/>
          <w:szCs w:val="22"/>
          <w:lang w:val="es-ES"/>
        </w:rPr>
        <w:t>SELECCIÓN</w:t>
      </w:r>
      <w:r w:rsidRPr="0078460D">
        <w:rPr>
          <w:rFonts w:ascii="Arial" w:hAnsi="Arial" w:cs="Arial"/>
          <w:bCs/>
          <w:i/>
          <w:sz w:val="20"/>
          <w:szCs w:val="22"/>
          <w:lang w:val="es-ES"/>
        </w:rPr>
        <w:t xml:space="preserve"> Y </w:t>
      </w:r>
      <w:r w:rsidR="00091E3C" w:rsidRPr="0078460D">
        <w:rPr>
          <w:rFonts w:ascii="Arial" w:hAnsi="Arial" w:cs="Arial"/>
          <w:bCs/>
          <w:i/>
          <w:sz w:val="20"/>
          <w:szCs w:val="22"/>
          <w:lang w:val="es-ES"/>
        </w:rPr>
        <w:t>VINCULACIÓN</w:t>
      </w:r>
      <w:r w:rsidRPr="0078460D">
        <w:rPr>
          <w:rFonts w:ascii="Arial" w:hAnsi="Arial" w:cs="Arial"/>
          <w:bCs/>
          <w:i/>
          <w:sz w:val="20"/>
          <w:szCs w:val="22"/>
          <w:lang w:val="es-ES"/>
        </w:rPr>
        <w:t>.</w:t>
      </w:r>
      <w:bookmarkStart w:id="2" w:name="11"/>
      <w:bookmarkEnd w:id="2"/>
      <w:r w:rsidRPr="0078460D">
        <w:rPr>
          <w:rFonts w:ascii="Arial" w:hAnsi="Arial" w:cs="Arial"/>
          <w:i/>
          <w:sz w:val="20"/>
          <w:szCs w:val="22"/>
          <w:lang w:val="es-ES"/>
        </w:rPr>
        <w:t> </w:t>
      </w:r>
      <w:r w:rsidRPr="0078460D">
        <w:rPr>
          <w:rFonts w:ascii="Arial" w:hAnsi="Arial" w:cs="Arial"/>
          <w:bCs/>
          <w:i/>
          <w:sz w:val="20"/>
          <w:szCs w:val="22"/>
          <w:lang w:val="es-ES"/>
        </w:rPr>
        <w:t>&lt;Artículo compilado en el artículo </w:t>
      </w:r>
      <w:hyperlink r:id="rId8" w:anchor="2.2.2.1.8" w:history="1">
        <w:r w:rsidRPr="0078460D">
          <w:rPr>
            <w:rStyle w:val="Hipervnculo"/>
            <w:rFonts w:ascii="Arial" w:hAnsi="Arial" w:cs="Arial"/>
            <w:bCs/>
            <w:i/>
            <w:color w:val="auto"/>
            <w:sz w:val="20"/>
            <w:szCs w:val="22"/>
            <w:lang w:val="es-ES"/>
          </w:rPr>
          <w:t>2.2.2.1.8</w:t>
        </w:r>
      </w:hyperlink>
      <w:r w:rsidRPr="0078460D">
        <w:rPr>
          <w:rFonts w:ascii="Arial" w:hAnsi="Arial" w:cs="Arial"/>
          <w:bCs/>
          <w:i/>
          <w:sz w:val="20"/>
          <w:szCs w:val="22"/>
          <w:lang w:val="es-ES"/>
        </w:rPr>
        <w:t> del Decreto Único Reglamentario 1833 de 2016.</w:t>
      </w:r>
      <w:r w:rsidRPr="0078460D">
        <w:rPr>
          <w:rFonts w:ascii="Arial" w:hAnsi="Arial" w:cs="Arial"/>
          <w:b/>
          <w:bCs/>
          <w:i/>
          <w:sz w:val="20"/>
          <w:szCs w:val="22"/>
          <w:lang w:val="es-ES"/>
        </w:rPr>
        <w:t> </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La selección del régimen implica la aceptación de las condiciones propias de éste, para acceder a las pensiones de vejez, invalidez y sobrevivientes, y demás prestaciones económicas a que haya lugar.</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Quienes decidan afiliarse voluntariamente al sistema, manifestarán su decisión al momento de vincularse a una determinada administradora.</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a) Lugar y fecha;</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 xml:space="preserve">b) Nombre o razón social y </w:t>
      </w:r>
      <w:proofErr w:type="spellStart"/>
      <w:r w:rsidRPr="0078460D">
        <w:rPr>
          <w:rFonts w:ascii="Arial" w:hAnsi="Arial" w:cs="Arial"/>
          <w:i/>
          <w:sz w:val="20"/>
          <w:szCs w:val="22"/>
          <w:lang w:val="es-ES"/>
        </w:rPr>
        <w:t>NIT</w:t>
      </w:r>
      <w:proofErr w:type="spellEnd"/>
      <w:r w:rsidRPr="0078460D">
        <w:rPr>
          <w:rFonts w:ascii="Arial" w:hAnsi="Arial" w:cs="Arial"/>
          <w:i/>
          <w:sz w:val="20"/>
          <w:szCs w:val="22"/>
          <w:lang w:val="es-ES"/>
        </w:rPr>
        <w:t xml:space="preserve"> del empleador;</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c) Nombre y apellidos del afiliado;</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 xml:space="preserve">d) Número de cédula o </w:t>
      </w:r>
      <w:proofErr w:type="spellStart"/>
      <w:r w:rsidRPr="0078460D">
        <w:rPr>
          <w:rFonts w:ascii="Arial" w:hAnsi="Arial" w:cs="Arial"/>
          <w:i/>
          <w:sz w:val="20"/>
          <w:szCs w:val="22"/>
          <w:lang w:val="es-ES"/>
        </w:rPr>
        <w:t>NIT</w:t>
      </w:r>
      <w:proofErr w:type="spellEnd"/>
      <w:r w:rsidRPr="0078460D">
        <w:rPr>
          <w:rFonts w:ascii="Arial" w:hAnsi="Arial" w:cs="Arial"/>
          <w:i/>
          <w:sz w:val="20"/>
          <w:szCs w:val="22"/>
          <w:lang w:val="es-ES"/>
        </w:rPr>
        <w:t xml:space="preserve"> del afiliado;</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 xml:space="preserve">e) Entidad administradora del régimen de pensiones a la cual desea afiliarse, la cual podrá estar </w:t>
      </w:r>
      <w:proofErr w:type="spellStart"/>
      <w:r w:rsidRPr="0078460D">
        <w:rPr>
          <w:rFonts w:ascii="Arial" w:hAnsi="Arial" w:cs="Arial"/>
          <w:i/>
          <w:sz w:val="20"/>
          <w:szCs w:val="22"/>
          <w:lang w:val="es-ES"/>
        </w:rPr>
        <w:t>preimpresa</w:t>
      </w:r>
      <w:proofErr w:type="spellEnd"/>
      <w:r w:rsidRPr="0078460D">
        <w:rPr>
          <w:rFonts w:ascii="Arial" w:hAnsi="Arial" w:cs="Arial"/>
          <w:i/>
          <w:sz w:val="20"/>
          <w:szCs w:val="22"/>
          <w:lang w:val="es-ES"/>
        </w:rPr>
        <w:t>;</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f) Datos del cónyuge, compañero o compañera permanente, hijos o beneficiarios del afiliado.</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El formulario deberá diligenciarse en original y dos copias, cuya distribución será la siguiente: el original para la administradora, una copia para el empleador y otra para el afiliado.</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i/>
          <w:iCs/>
          <w:sz w:val="20"/>
          <w:szCs w:val="22"/>
        </w:rPr>
      </w:pPr>
      <w:r w:rsidRPr="0078460D">
        <w:rPr>
          <w:rFonts w:ascii="Arial" w:hAnsi="Arial" w:cs="Arial"/>
          <w:i/>
          <w:sz w:val="20"/>
          <w:szCs w:val="22"/>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074F93" w:rsidRPr="0078460D" w:rsidRDefault="00074F93" w:rsidP="00074F93">
      <w:pPr>
        <w:ind w:left="426" w:right="335"/>
        <w:jc w:val="both"/>
        <w:rPr>
          <w:rFonts w:ascii="Arial" w:hAnsi="Arial" w:cs="Arial"/>
          <w:i/>
          <w:iCs/>
          <w:sz w:val="20"/>
          <w:szCs w:val="22"/>
        </w:rPr>
      </w:pPr>
    </w:p>
    <w:p w:rsidR="00074F93" w:rsidRPr="0078460D" w:rsidRDefault="00074F93" w:rsidP="00074F93">
      <w:pPr>
        <w:ind w:left="426" w:right="335"/>
        <w:jc w:val="both"/>
        <w:rPr>
          <w:rFonts w:ascii="Arial" w:hAnsi="Arial" w:cs="Arial"/>
          <w:b/>
          <w:i/>
          <w:sz w:val="20"/>
          <w:szCs w:val="22"/>
          <w:lang w:val="es-ES"/>
        </w:rPr>
      </w:pPr>
      <w:r w:rsidRPr="0078460D">
        <w:rPr>
          <w:rFonts w:ascii="Arial" w:hAnsi="Arial" w:cs="Arial"/>
          <w:b/>
          <w:i/>
          <w:sz w:val="20"/>
          <w:szCs w:val="22"/>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78460D">
        <w:rPr>
          <w:rFonts w:ascii="Arial" w:hAnsi="Arial" w:cs="Arial"/>
          <w:b/>
          <w:i/>
          <w:sz w:val="20"/>
          <w:szCs w:val="22"/>
          <w:lang w:val="es-ES"/>
        </w:rPr>
        <w:t>preimpresa</w:t>
      </w:r>
      <w:proofErr w:type="spellEnd"/>
      <w:r w:rsidRPr="0078460D">
        <w:rPr>
          <w:rFonts w:ascii="Arial" w:hAnsi="Arial" w:cs="Arial"/>
          <w:b/>
          <w:i/>
          <w:sz w:val="20"/>
          <w:szCs w:val="22"/>
          <w:lang w:val="es-ES"/>
        </w:rPr>
        <w:t xml:space="preserve"> en este sentido.</w:t>
      </w:r>
    </w:p>
    <w:p w:rsidR="00074F93" w:rsidRPr="00C31E27" w:rsidRDefault="00074F93" w:rsidP="00074F93">
      <w:pPr>
        <w:ind w:left="426" w:right="335"/>
        <w:jc w:val="both"/>
        <w:rPr>
          <w:rFonts w:ascii="Arial" w:hAnsi="Arial"/>
          <w:i/>
          <w:iCs/>
          <w:sz w:val="20"/>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Nótese como, no solo la norma dispuso la información que debía contener el formulario sino que, tratándose de traslados, advirtió que debería haber una leyenda expresa –</w:t>
      </w:r>
      <w:r w:rsidRPr="00C31E27">
        <w:rPr>
          <w:rFonts w:ascii="Arial" w:hAnsi="Arial"/>
          <w:b/>
          <w:i/>
          <w:iCs/>
          <w:sz w:val="22"/>
          <w:szCs w:val="22"/>
        </w:rPr>
        <w:t xml:space="preserve">que podía estar </w:t>
      </w:r>
      <w:proofErr w:type="spellStart"/>
      <w:r w:rsidRPr="00C31E27">
        <w:rPr>
          <w:rFonts w:ascii="Arial" w:hAnsi="Arial"/>
          <w:b/>
          <w:i/>
          <w:iCs/>
          <w:sz w:val="22"/>
          <w:szCs w:val="22"/>
        </w:rPr>
        <w:t>preimpresa</w:t>
      </w:r>
      <w:proofErr w:type="spellEnd"/>
      <w:r w:rsidRPr="00C31E27">
        <w:rPr>
          <w:rFonts w:ascii="Arial" w:hAnsi="Arial"/>
          <w:i/>
          <w:iCs/>
          <w:sz w:val="22"/>
          <w:szCs w:val="22"/>
        </w:rPr>
        <w:t>- en la cual constara que la decisión de traslado se tomó de manera libre, espontánea y sin presiones.</w:t>
      </w:r>
    </w:p>
    <w:p w:rsidR="00074F93" w:rsidRPr="00C31E27" w:rsidRDefault="00074F93" w:rsidP="00074F93">
      <w:pPr>
        <w:ind w:right="51"/>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t xml:space="preserve">Las respuestas son necesarias y resultan contundentes para entender la insostenibilidad de la exigencia de la tesis de falta de información, así: Las proyecciones sobre los montos pensionales en cada régimen, no pueden ser la información que se echa de menos, porque </w:t>
      </w:r>
      <w:r w:rsidRPr="00C31E27">
        <w:rPr>
          <w:rFonts w:ascii="Arial" w:hAnsi="Arial"/>
          <w:i/>
          <w:iCs/>
          <w:sz w:val="22"/>
          <w:szCs w:val="22"/>
        </w:rPr>
        <w:lastRenderedPageBreak/>
        <w:t>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cs="Arial"/>
          <w:i/>
          <w:sz w:val="22"/>
          <w:szCs w:val="22"/>
        </w:rPr>
      </w:pPr>
      <w:r w:rsidRPr="00C31E27">
        <w:rPr>
          <w:rFonts w:ascii="Arial" w:hAnsi="Arial"/>
          <w:i/>
          <w:iCs/>
          <w:sz w:val="22"/>
          <w:szCs w:val="22"/>
        </w:rPr>
        <w:t xml:space="preserve">En efecto, </w:t>
      </w:r>
      <w:r w:rsidRPr="00C31E27">
        <w:rPr>
          <w:rFonts w:ascii="Arial" w:hAnsi="Arial" w:cs="Arial"/>
          <w:i/>
          <w:sz w:val="22"/>
          <w:szCs w:val="22"/>
        </w:rPr>
        <w:t>resulta claro que la obligación de hacer proyecciones, apenas vino a imponerse a las administradoras con la ley 1748 de 2014, en cuyo parágrafo 1º del artículo 2º se destaca:</w:t>
      </w:r>
    </w:p>
    <w:p w:rsidR="00074F93" w:rsidRPr="00C31E27" w:rsidRDefault="00074F93" w:rsidP="00074F93">
      <w:pPr>
        <w:jc w:val="both"/>
        <w:rPr>
          <w:rFonts w:ascii="Arial" w:hAnsi="Arial" w:cs="Arial"/>
          <w:i/>
          <w:sz w:val="22"/>
          <w:szCs w:val="22"/>
        </w:rPr>
      </w:pPr>
    </w:p>
    <w:p w:rsidR="00074F93" w:rsidRPr="0078460D" w:rsidRDefault="00074F93" w:rsidP="0078460D">
      <w:pPr>
        <w:ind w:left="426" w:right="418"/>
        <w:jc w:val="both"/>
        <w:rPr>
          <w:rFonts w:ascii="Arial" w:hAnsi="Arial" w:cs="Arial"/>
          <w:i/>
          <w:sz w:val="20"/>
          <w:lang w:val="es-ES"/>
        </w:rPr>
      </w:pPr>
      <w:r w:rsidRPr="0078460D">
        <w:rPr>
          <w:rFonts w:ascii="Arial" w:hAnsi="Arial" w:cs="Arial"/>
          <w:b/>
          <w:bCs/>
          <w:i/>
          <w:sz w:val="20"/>
          <w:lang w:val="es-ES"/>
        </w:rPr>
        <w:t>“PARÁGRAFO 1o.</w:t>
      </w:r>
      <w:r w:rsidRPr="0078460D">
        <w:rPr>
          <w:rFonts w:ascii="Arial" w:hAnsi="Arial" w:cs="Arial"/>
          <w:i/>
          <w:sz w:val="20"/>
          <w:lang w:val="es-ES"/>
        </w:rPr>
        <w:t> Adicionar un inciso 2o al artículo </w:t>
      </w:r>
      <w:hyperlink r:id="rId9" w:anchor="9" w:history="1">
        <w:r w:rsidRPr="0078460D">
          <w:rPr>
            <w:rStyle w:val="Hipervnculo"/>
            <w:rFonts w:ascii="Arial" w:hAnsi="Arial" w:cs="Arial"/>
            <w:i/>
            <w:sz w:val="20"/>
            <w:lang w:val="es-ES"/>
          </w:rPr>
          <w:t>9</w:t>
        </w:r>
      </w:hyperlink>
      <w:r w:rsidRPr="0078460D">
        <w:rPr>
          <w:rFonts w:ascii="Arial" w:hAnsi="Arial" w:cs="Arial"/>
          <w:i/>
          <w:sz w:val="20"/>
          <w:lang w:val="es-ES"/>
        </w:rPr>
        <w:t>o de la Ley 1328 de 2009, que regula el contenido mínimo de la información al consumidor financiero, cuyo texto es el siguiente:</w:t>
      </w:r>
    </w:p>
    <w:p w:rsidR="00074F93" w:rsidRPr="0078460D" w:rsidRDefault="00074F93" w:rsidP="0078460D">
      <w:pPr>
        <w:ind w:left="426" w:right="418"/>
        <w:jc w:val="both"/>
        <w:rPr>
          <w:rFonts w:ascii="Arial" w:hAnsi="Arial" w:cs="Arial"/>
          <w:i/>
          <w:sz w:val="20"/>
          <w:lang w:val="es-ES"/>
        </w:rPr>
      </w:pPr>
    </w:p>
    <w:p w:rsidR="00074F93" w:rsidRPr="0078460D" w:rsidRDefault="00074F93" w:rsidP="0078460D">
      <w:pPr>
        <w:ind w:left="426" w:right="418"/>
        <w:jc w:val="both"/>
        <w:rPr>
          <w:rFonts w:ascii="Arial" w:hAnsi="Arial" w:cs="Arial"/>
          <w:i/>
          <w:sz w:val="20"/>
          <w:lang w:val="es-ES"/>
        </w:rPr>
      </w:pPr>
      <w:r w:rsidRPr="0078460D">
        <w:rPr>
          <w:rFonts w:ascii="Arial" w:hAnsi="Arial" w:cs="Arial"/>
          <w:i/>
          <w:sz w:val="20"/>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78460D">
        <w:rPr>
          <w:rFonts w:ascii="Arial" w:hAnsi="Arial" w:cs="Arial"/>
          <w:b/>
          <w:i/>
          <w:sz w:val="20"/>
          <w:lang w:val="es-ES"/>
        </w:rPr>
        <w:t>Lo anterior de conformidad con las instrucciones que para el efecto imparta la Superintendencia Financiera de Colombia</w:t>
      </w:r>
      <w:r w:rsidRPr="0078460D">
        <w:rPr>
          <w:rFonts w:ascii="Arial" w:hAnsi="Arial" w:cs="Arial"/>
          <w:i/>
          <w:sz w:val="20"/>
          <w:lang w:val="es-ES"/>
        </w:rPr>
        <w:t>.”</w:t>
      </w:r>
    </w:p>
    <w:p w:rsidR="00074F93" w:rsidRPr="00C31E27" w:rsidRDefault="00074F93" w:rsidP="00074F93">
      <w:pPr>
        <w:jc w:val="both"/>
        <w:rPr>
          <w:rFonts w:ascii="Arial" w:hAnsi="Arial" w:cs="Arial"/>
          <w:i/>
          <w:sz w:val="22"/>
          <w:szCs w:val="22"/>
        </w:rPr>
      </w:pPr>
    </w:p>
    <w:p w:rsidR="00074F93" w:rsidRPr="00C31E27" w:rsidRDefault="00074F93" w:rsidP="00074F93">
      <w:pPr>
        <w:jc w:val="both"/>
        <w:rPr>
          <w:rFonts w:ascii="Arial" w:hAnsi="Arial" w:cs="Arial"/>
          <w:i/>
          <w:sz w:val="22"/>
          <w:szCs w:val="22"/>
        </w:rPr>
      </w:pPr>
      <w:r w:rsidRPr="00C31E27">
        <w:rPr>
          <w:rFonts w:ascii="Arial" w:hAnsi="Arial" w:cs="Arial"/>
          <w:i/>
          <w:sz w:val="22"/>
          <w:szCs w:val="22"/>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074F93" w:rsidRPr="00C31E27" w:rsidRDefault="00074F93" w:rsidP="00074F93">
      <w:pPr>
        <w:jc w:val="both"/>
        <w:rPr>
          <w:rFonts w:ascii="Arial" w:hAnsi="Arial" w:cs="Arial"/>
          <w:i/>
          <w:sz w:val="22"/>
          <w:szCs w:val="22"/>
        </w:rPr>
      </w:pP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074F93" w:rsidRPr="00C31E27" w:rsidRDefault="00074F93" w:rsidP="0078460D">
      <w:pPr>
        <w:ind w:left="426" w:right="418"/>
        <w:jc w:val="both"/>
        <w:rPr>
          <w:rFonts w:ascii="Arial" w:hAnsi="Arial" w:cs="Arial"/>
          <w:i/>
          <w:sz w:val="20"/>
          <w:lang w:val="es-ES"/>
        </w:rPr>
      </w:pP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074F93" w:rsidRPr="00C31E27" w:rsidRDefault="00074F93" w:rsidP="0078460D">
      <w:pPr>
        <w:ind w:left="426" w:right="418"/>
        <w:jc w:val="both"/>
        <w:rPr>
          <w:rFonts w:ascii="Arial" w:hAnsi="Arial" w:cs="Arial"/>
          <w:i/>
          <w:sz w:val="20"/>
          <w:lang w:val="es-ES"/>
        </w:rPr>
      </w:pP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rsidR="00074F93" w:rsidRPr="00C31E27" w:rsidRDefault="00074F93" w:rsidP="00074F93">
      <w:pPr>
        <w:ind w:left="708"/>
        <w:jc w:val="both"/>
        <w:rPr>
          <w:rFonts w:ascii="Arial" w:hAnsi="Arial" w:cs="Arial"/>
          <w:i/>
          <w:sz w:val="22"/>
          <w:szCs w:val="22"/>
          <w:lang w:val="es-ES"/>
        </w:rPr>
      </w:pPr>
    </w:p>
    <w:p w:rsidR="00074F93" w:rsidRPr="00C31E27" w:rsidRDefault="00074F93" w:rsidP="00074F93">
      <w:pPr>
        <w:jc w:val="both"/>
        <w:rPr>
          <w:rFonts w:ascii="Arial" w:hAnsi="Arial" w:cs="Arial"/>
          <w:i/>
          <w:sz w:val="22"/>
          <w:szCs w:val="22"/>
          <w:lang w:val="es-ES"/>
        </w:rPr>
      </w:pPr>
      <w:r w:rsidRPr="00C31E27">
        <w:rPr>
          <w:rFonts w:ascii="Arial" w:hAnsi="Arial" w:cs="Arial"/>
          <w:i/>
          <w:sz w:val="22"/>
          <w:szCs w:val="22"/>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C31E27">
        <w:rPr>
          <w:rFonts w:ascii="Arial" w:hAnsi="Arial" w:cs="Arial"/>
          <w:i/>
          <w:sz w:val="22"/>
          <w:szCs w:val="22"/>
          <w:lang w:val="es-ES"/>
        </w:rPr>
        <w:t>ara el caso de la proyección del beneficio pensional en el Régimen de Ahorro Individual con Solidaridad, la Administradora deberá realizar una asesoría en los términos descritos en el artículo 2.6.10.4.3 del presente decreto”; aspecto que pone de manifiesto que antes del decreto en comento, las Administradoras no tenían mecanismo para dar tal información pues es, este artículo 2.6.10.4.3., el que establece los parámetros técnicos para poder cumplir tal cometido, al disponer:</w:t>
      </w:r>
    </w:p>
    <w:p w:rsidR="00074F93" w:rsidRPr="00C31E27" w:rsidRDefault="00074F93" w:rsidP="00074F93">
      <w:pPr>
        <w:jc w:val="both"/>
        <w:rPr>
          <w:rFonts w:ascii="Arial" w:hAnsi="Arial" w:cs="Arial"/>
          <w:i/>
          <w:sz w:val="22"/>
          <w:szCs w:val="22"/>
          <w:lang w:val="es-ES"/>
        </w:rPr>
      </w:pP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t>“</w:t>
      </w:r>
      <w:r w:rsidRPr="00C31E27">
        <w:rPr>
          <w:rFonts w:ascii="Arial" w:hAnsi="Arial" w:cs="Arial"/>
          <w:b/>
          <w:bCs/>
          <w:i/>
          <w:sz w:val="20"/>
          <w:lang w:val="es-ES"/>
        </w:rPr>
        <w:t>Artículo 2.6.10.4.3. </w:t>
      </w:r>
      <w:r w:rsidRPr="00C31E27">
        <w:rPr>
          <w:rFonts w:ascii="Arial" w:hAnsi="Arial" w:cs="Arial"/>
          <w:b/>
          <w:bCs/>
          <w:i/>
          <w:iCs/>
          <w:sz w:val="20"/>
          <w:lang w:val="es-ES"/>
        </w:rPr>
        <w:t>Proyección del beneficio pensional en el Régimen de Ahorro Individual con Solidaridad. </w:t>
      </w:r>
      <w:r w:rsidRPr="00C31E27">
        <w:rPr>
          <w:rFonts w:ascii="Arial" w:hAnsi="Arial" w:cs="Arial"/>
          <w:i/>
          <w:sz w:val="20"/>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074F93" w:rsidRPr="00C31E27" w:rsidRDefault="00074F93" w:rsidP="0078460D">
      <w:pPr>
        <w:ind w:left="426" w:right="418"/>
        <w:jc w:val="both"/>
        <w:rPr>
          <w:rFonts w:ascii="Arial" w:hAnsi="Arial" w:cs="Arial"/>
          <w:i/>
          <w:sz w:val="20"/>
          <w:lang w:val="es-ES"/>
        </w:rPr>
      </w:pP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lastRenderedPageBreak/>
        <w:t>Las administradoras deberán indicar de manera expresa al afiliado que la simulación corresponde a la modalidad de pensión de retiro programado, calculada con base en las cotizaciones obligatorias y no incluye aportes voluntarios.</w:t>
      </w:r>
    </w:p>
    <w:p w:rsidR="00074F93" w:rsidRPr="00C31E27" w:rsidRDefault="00074F93" w:rsidP="0078460D">
      <w:pPr>
        <w:ind w:left="426" w:right="418"/>
        <w:jc w:val="both"/>
        <w:rPr>
          <w:rFonts w:ascii="Arial" w:hAnsi="Arial" w:cs="Arial"/>
          <w:i/>
          <w:sz w:val="20"/>
          <w:lang w:val="es-ES"/>
        </w:rPr>
      </w:pP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t>Para el cálculo de la proyección antes mencionada se deberán tener en cuenta los siguientes parámetros técnicos:</w:t>
      </w:r>
    </w:p>
    <w:p w:rsidR="00074F93" w:rsidRPr="00C31E27" w:rsidRDefault="00074F93" w:rsidP="0078460D">
      <w:pPr>
        <w:ind w:left="426" w:right="418"/>
        <w:jc w:val="both"/>
        <w:rPr>
          <w:rFonts w:ascii="Arial" w:hAnsi="Arial" w:cs="Arial"/>
          <w:i/>
          <w:sz w:val="20"/>
          <w:lang w:val="es-ES"/>
        </w:rPr>
      </w:pP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t>a) La tasa de interés técnico que se encuentra establecida por la Superintendencia Financiera de Colombia o la que la modifique o sustituya;</w:t>
      </w: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t>b) Las tablas de mortalidad de rentistas y de inválidos expedidas por la Superintendencia Financiera de Colombia;</w:t>
      </w: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t>c) Las tasas de inflación y crecimiento de los beneficios pensionales;</w:t>
      </w:r>
    </w:p>
    <w:p w:rsidR="00074F93" w:rsidRPr="00C31E27" w:rsidRDefault="00074F93" w:rsidP="0078460D">
      <w:pPr>
        <w:ind w:left="426" w:right="418"/>
        <w:jc w:val="both"/>
        <w:rPr>
          <w:rFonts w:ascii="Arial" w:hAnsi="Arial" w:cs="Arial"/>
          <w:i/>
          <w:sz w:val="20"/>
          <w:lang w:val="es-ES"/>
        </w:rPr>
      </w:pPr>
      <w:r w:rsidRPr="00C31E27">
        <w:rPr>
          <w:rFonts w:ascii="Arial" w:hAnsi="Arial" w:cs="Arial"/>
          <w:i/>
          <w:sz w:val="20"/>
          <w:lang w:val="es-ES"/>
        </w:rPr>
        <w:t>d) Demás parámetros y supuestos que imparta sobre el particular la Superintendencia Financiera de Colombia.</w:t>
      </w:r>
    </w:p>
    <w:p w:rsidR="00074F93" w:rsidRPr="00C31E27" w:rsidRDefault="00074F93" w:rsidP="00074F93">
      <w:pPr>
        <w:ind w:left="708"/>
        <w:jc w:val="both"/>
        <w:rPr>
          <w:rFonts w:ascii="Arial" w:hAnsi="Arial" w:cs="Arial"/>
          <w:i/>
          <w:sz w:val="20"/>
          <w:lang w:val="es-ES"/>
        </w:rPr>
      </w:pPr>
    </w:p>
    <w:p w:rsidR="00074F93" w:rsidRPr="0078460D" w:rsidRDefault="00074F93" w:rsidP="00074F93">
      <w:pPr>
        <w:jc w:val="both"/>
        <w:rPr>
          <w:rFonts w:ascii="Arial" w:hAnsi="Arial" w:cs="Arial"/>
          <w:i/>
          <w:sz w:val="22"/>
        </w:rPr>
      </w:pPr>
      <w:r w:rsidRPr="0078460D">
        <w:rPr>
          <w:rFonts w:ascii="Arial" w:hAnsi="Arial" w:cs="Arial"/>
          <w:i/>
          <w:sz w:val="22"/>
        </w:rPr>
        <w:t>Para finalmente concluirse en el parágrafo 2º que:</w:t>
      </w:r>
    </w:p>
    <w:p w:rsidR="00074F93" w:rsidRPr="00C31E27" w:rsidRDefault="00074F93" w:rsidP="00074F93">
      <w:pPr>
        <w:jc w:val="both"/>
        <w:rPr>
          <w:rFonts w:ascii="Arial" w:hAnsi="Arial" w:cs="Arial"/>
          <w:i/>
          <w:sz w:val="20"/>
        </w:rPr>
      </w:pPr>
    </w:p>
    <w:p w:rsidR="00074F93" w:rsidRPr="00C31E27" w:rsidRDefault="00074F93" w:rsidP="0078460D">
      <w:pPr>
        <w:ind w:left="426" w:right="418"/>
        <w:jc w:val="both"/>
        <w:rPr>
          <w:rFonts w:ascii="Arial" w:hAnsi="Arial" w:cs="Arial"/>
          <w:i/>
          <w:sz w:val="20"/>
        </w:rPr>
      </w:pPr>
      <w:r w:rsidRPr="00C31E27">
        <w:rPr>
          <w:rFonts w:ascii="Arial" w:hAnsi="Arial" w:cs="Arial"/>
          <w:b/>
          <w:bCs/>
          <w:i/>
          <w:sz w:val="20"/>
        </w:rPr>
        <w:t>“Parágrafo 2°. </w:t>
      </w:r>
      <w:r w:rsidRPr="00C31E27">
        <w:rPr>
          <w:rFonts w:ascii="Arial" w:hAnsi="Arial" w:cs="Arial"/>
          <w:i/>
          <w:sz w:val="20"/>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rsidR="00074F93" w:rsidRPr="00C31E27" w:rsidRDefault="00074F93" w:rsidP="00074F93">
      <w:pPr>
        <w:jc w:val="both"/>
        <w:rPr>
          <w:rFonts w:ascii="Arial" w:hAnsi="Arial" w:cs="Arial"/>
          <w:i/>
          <w:sz w:val="22"/>
          <w:szCs w:val="22"/>
        </w:rPr>
      </w:pPr>
    </w:p>
    <w:p w:rsidR="00074F93" w:rsidRPr="00C31E27" w:rsidRDefault="00074F93" w:rsidP="00074F93">
      <w:pPr>
        <w:ind w:right="51"/>
        <w:jc w:val="both"/>
        <w:rPr>
          <w:rFonts w:ascii="Arial" w:hAnsi="Arial" w:cs="Arial"/>
          <w:i/>
          <w:sz w:val="22"/>
          <w:szCs w:val="22"/>
        </w:rPr>
      </w:pPr>
      <w:r w:rsidRPr="00C31E27">
        <w:rPr>
          <w:rFonts w:ascii="Arial" w:hAnsi="Arial" w:cs="Arial"/>
          <w:i/>
          <w:sz w:val="22"/>
          <w:szCs w:val="22"/>
        </w:rPr>
        <w:t>Salta a la vista entonces, que con anterioridad a estas normas, no estaban establecidos los parámetros que permitieran dar una información técnica a título de proyección y por ello tal obligación no puede exigirse en estos asuntos.</w:t>
      </w:r>
    </w:p>
    <w:p w:rsidR="00074F93" w:rsidRPr="00C31E27" w:rsidRDefault="00074F93" w:rsidP="00074F93">
      <w:pPr>
        <w:ind w:right="51"/>
        <w:jc w:val="both"/>
        <w:rPr>
          <w:rFonts w:ascii="Arial" w:hAnsi="Arial" w:cs="Arial"/>
          <w:i/>
          <w:sz w:val="22"/>
          <w:szCs w:val="22"/>
        </w:rPr>
      </w:pPr>
    </w:p>
    <w:p w:rsidR="00074F93" w:rsidRDefault="00074F93" w:rsidP="00074F93">
      <w:pPr>
        <w:ind w:right="51"/>
        <w:jc w:val="both"/>
        <w:rPr>
          <w:rFonts w:ascii="Arial" w:hAnsi="Arial" w:cs="Arial"/>
          <w:i/>
          <w:sz w:val="22"/>
          <w:szCs w:val="22"/>
        </w:rPr>
      </w:pPr>
      <w:r w:rsidRPr="00C31E27">
        <w:rPr>
          <w:rFonts w:ascii="Arial" w:hAnsi="Arial" w:cs="Arial"/>
          <w:i/>
          <w:sz w:val="22"/>
          <w:szCs w:val="22"/>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F654C2" w:rsidRDefault="00F654C2" w:rsidP="00074F93">
      <w:pPr>
        <w:ind w:right="51"/>
        <w:jc w:val="both"/>
        <w:rPr>
          <w:rFonts w:ascii="Arial" w:hAnsi="Arial" w:cs="Arial"/>
          <w:i/>
          <w:sz w:val="22"/>
          <w:szCs w:val="22"/>
        </w:rPr>
      </w:pPr>
    </w:p>
    <w:p w:rsidR="00F654C2" w:rsidRDefault="00F654C2" w:rsidP="00074F93">
      <w:pPr>
        <w:ind w:right="51"/>
        <w:jc w:val="both"/>
        <w:rPr>
          <w:rFonts w:ascii="Arial" w:hAnsi="Arial" w:cs="Arial"/>
          <w:szCs w:val="24"/>
        </w:rPr>
      </w:pPr>
      <w:r w:rsidRPr="00F654C2">
        <w:rPr>
          <w:rFonts w:ascii="Arial" w:hAnsi="Arial" w:cs="Arial"/>
          <w:szCs w:val="24"/>
        </w:rPr>
        <w:t xml:space="preserve">Y, más adelante se refirió a la diferencia que existe entre los eventos de ineficacia y nulidad de los traslados de régimen, así: </w:t>
      </w:r>
    </w:p>
    <w:p w:rsidR="00F654C2" w:rsidRDefault="00F654C2" w:rsidP="00074F93">
      <w:pPr>
        <w:ind w:right="51"/>
        <w:jc w:val="both"/>
        <w:rPr>
          <w:rFonts w:ascii="Arial" w:hAnsi="Arial" w:cs="Arial"/>
          <w:szCs w:val="24"/>
        </w:rPr>
      </w:pPr>
    </w:p>
    <w:p w:rsidR="00F654C2" w:rsidRPr="00F654C2" w:rsidRDefault="00927A3B" w:rsidP="00F654C2">
      <w:pPr>
        <w:ind w:right="284"/>
        <w:jc w:val="both"/>
        <w:rPr>
          <w:rFonts w:ascii="Arial" w:hAnsi="Arial" w:cs="Arial"/>
          <w:i/>
          <w:sz w:val="22"/>
          <w:szCs w:val="22"/>
        </w:rPr>
      </w:pPr>
      <w:r>
        <w:rPr>
          <w:rFonts w:ascii="Arial" w:hAnsi="Arial" w:cs="Arial"/>
          <w:b/>
          <w:i/>
          <w:sz w:val="22"/>
          <w:szCs w:val="22"/>
        </w:rPr>
        <w:t>“</w:t>
      </w:r>
      <w:r w:rsidR="00F654C2" w:rsidRPr="00F654C2">
        <w:rPr>
          <w:rFonts w:ascii="Arial" w:hAnsi="Arial" w:cs="Arial"/>
          <w:b/>
          <w:i/>
          <w:sz w:val="22"/>
          <w:szCs w:val="22"/>
        </w:rPr>
        <w:t>IMPORTANCIA DE LA DIFERENCIACIÓN ENTRE LOS CASOS DE INEFICACIA Y LOS CASOS DE NULIDAD</w:t>
      </w:r>
    </w:p>
    <w:p w:rsidR="00F654C2" w:rsidRPr="00F654C2" w:rsidRDefault="00F654C2" w:rsidP="00F654C2">
      <w:pPr>
        <w:ind w:right="284"/>
        <w:jc w:val="both"/>
        <w:rPr>
          <w:rFonts w:ascii="Arial" w:hAnsi="Arial" w:cs="Arial"/>
          <w:i/>
          <w:sz w:val="22"/>
          <w:szCs w:val="22"/>
        </w:rPr>
      </w:pPr>
    </w:p>
    <w:p w:rsidR="00F654C2" w:rsidRPr="00F654C2" w:rsidRDefault="00F654C2" w:rsidP="00F654C2">
      <w:pPr>
        <w:ind w:right="284"/>
        <w:jc w:val="both"/>
        <w:rPr>
          <w:rFonts w:ascii="Arial" w:hAnsi="Arial" w:cs="Arial"/>
          <w:i/>
          <w:sz w:val="22"/>
          <w:szCs w:val="22"/>
        </w:rPr>
      </w:pPr>
      <w:r w:rsidRPr="00F654C2">
        <w:rPr>
          <w:rFonts w:ascii="Arial" w:hAnsi="Arial" w:cs="Arial"/>
          <w:i/>
          <w:sz w:val="22"/>
          <w:szCs w:val="22"/>
        </w:rPr>
        <w:t>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r w:rsidR="00927A3B">
        <w:rPr>
          <w:rFonts w:ascii="Arial" w:hAnsi="Arial" w:cs="Arial"/>
          <w:i/>
          <w:sz w:val="22"/>
          <w:szCs w:val="22"/>
        </w:rPr>
        <w:t>”</w:t>
      </w:r>
      <w:r w:rsidRPr="00F654C2">
        <w:rPr>
          <w:rFonts w:ascii="Arial" w:hAnsi="Arial" w:cs="Arial"/>
          <w:i/>
          <w:sz w:val="22"/>
          <w:szCs w:val="22"/>
        </w:rPr>
        <w:t>.</w:t>
      </w:r>
    </w:p>
    <w:p w:rsidR="00F654C2" w:rsidRPr="00F654C2" w:rsidRDefault="00F654C2" w:rsidP="00074F93">
      <w:pPr>
        <w:ind w:right="51"/>
        <w:jc w:val="both"/>
        <w:rPr>
          <w:rFonts w:ascii="Arial" w:hAnsi="Arial" w:cs="Arial"/>
          <w:szCs w:val="24"/>
        </w:rPr>
      </w:pPr>
    </w:p>
    <w:p w:rsidR="00C64A1B" w:rsidRPr="007F2FCF"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w:t>
      </w:r>
      <w:r w:rsidR="0030678C">
        <w:rPr>
          <w:rFonts w:ascii="Arial" w:hAnsi="Arial" w:cs="Arial"/>
          <w:b/>
          <w:color w:val="000000" w:themeColor="text1"/>
          <w:szCs w:val="24"/>
        </w:rPr>
        <w:t xml:space="preserve"> </w:t>
      </w:r>
      <w:r>
        <w:rPr>
          <w:rFonts w:ascii="Arial" w:hAnsi="Arial" w:cs="Arial"/>
          <w:b/>
          <w:color w:val="000000" w:themeColor="text1"/>
          <w:szCs w:val="24"/>
        </w:rPr>
        <w:t>l</w:t>
      </w:r>
      <w:r w:rsidR="0030678C">
        <w:rPr>
          <w:rFonts w:ascii="Arial" w:hAnsi="Arial" w:cs="Arial"/>
          <w:b/>
          <w:color w:val="000000" w:themeColor="text1"/>
          <w:szCs w:val="24"/>
        </w:rPr>
        <w:t>os</w:t>
      </w:r>
      <w:r>
        <w:rPr>
          <w:rFonts w:ascii="Arial" w:hAnsi="Arial" w:cs="Arial"/>
          <w:b/>
          <w:color w:val="000000" w:themeColor="text1"/>
          <w:szCs w:val="24"/>
        </w:rPr>
        <w:t xml:space="preserve"> problema</w:t>
      </w:r>
      <w:r w:rsidR="0030678C">
        <w:rPr>
          <w:rFonts w:ascii="Arial" w:hAnsi="Arial" w:cs="Arial"/>
          <w:b/>
          <w:color w:val="000000" w:themeColor="text1"/>
          <w:szCs w:val="24"/>
        </w:rPr>
        <w:t>s</w:t>
      </w:r>
      <w:r>
        <w:rPr>
          <w:rFonts w:ascii="Arial" w:hAnsi="Arial" w:cs="Arial"/>
          <w:b/>
          <w:color w:val="000000" w:themeColor="text1"/>
          <w:szCs w:val="24"/>
        </w:rPr>
        <w:t xml:space="preserve"> jurídico</w:t>
      </w:r>
      <w:r w:rsidR="0030678C">
        <w:rPr>
          <w:rFonts w:ascii="Arial" w:hAnsi="Arial" w:cs="Arial"/>
          <w:b/>
          <w:color w:val="000000" w:themeColor="text1"/>
          <w:szCs w:val="24"/>
        </w:rPr>
        <w:t>s</w:t>
      </w:r>
    </w:p>
    <w:p w:rsidR="00C64A1B" w:rsidRPr="007F2FCF" w:rsidRDefault="00C64A1B" w:rsidP="00C64A1B">
      <w:pPr>
        <w:pStyle w:val="Sinespaciado"/>
        <w:spacing w:line="276" w:lineRule="auto"/>
        <w:rPr>
          <w:rFonts w:ascii="Arial" w:hAnsi="Arial" w:cs="Arial"/>
          <w:color w:val="000000" w:themeColor="text1"/>
          <w:sz w:val="24"/>
          <w:szCs w:val="24"/>
        </w:rPr>
      </w:pP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sidR="0030678C">
        <w:rPr>
          <w:rFonts w:ascii="Arial" w:hAnsi="Arial" w:cs="Arial"/>
          <w:color w:val="000000" w:themeColor="text1"/>
          <w:szCs w:val="24"/>
          <w:lang w:eastAsia="es-CO"/>
        </w:rPr>
        <w:t xml:space="preserve"> la Sala formula </w:t>
      </w:r>
      <w:r>
        <w:rPr>
          <w:rFonts w:ascii="Arial" w:hAnsi="Arial" w:cs="Arial"/>
          <w:color w:val="000000" w:themeColor="text1"/>
          <w:szCs w:val="24"/>
          <w:lang w:eastAsia="es-CO"/>
        </w:rPr>
        <w:t>l</w:t>
      </w:r>
      <w:r w:rsidR="0030678C">
        <w:rPr>
          <w:rFonts w:ascii="Arial" w:hAnsi="Arial" w:cs="Arial"/>
          <w:color w:val="000000" w:themeColor="text1"/>
          <w:szCs w:val="24"/>
          <w:lang w:eastAsia="es-CO"/>
        </w:rPr>
        <w:t>os</w:t>
      </w:r>
      <w:r>
        <w:rPr>
          <w:rFonts w:ascii="Arial" w:hAnsi="Arial" w:cs="Arial"/>
          <w:color w:val="000000" w:themeColor="text1"/>
          <w:szCs w:val="24"/>
          <w:lang w:eastAsia="es-CO"/>
        </w:rPr>
        <w:t xml:space="preserve"> siguiente</w:t>
      </w:r>
      <w:r w:rsidR="0030678C">
        <w:rPr>
          <w:rFonts w:ascii="Arial" w:hAnsi="Arial" w:cs="Arial"/>
          <w:color w:val="000000" w:themeColor="text1"/>
          <w:szCs w:val="24"/>
          <w:lang w:eastAsia="es-CO"/>
        </w:rPr>
        <w:t>s</w:t>
      </w:r>
      <w:r w:rsidRPr="007F2FCF">
        <w:rPr>
          <w:rFonts w:ascii="Arial" w:hAnsi="Arial" w:cs="Arial"/>
          <w:color w:val="000000" w:themeColor="text1"/>
          <w:szCs w:val="24"/>
          <w:lang w:eastAsia="es-CO"/>
        </w:rPr>
        <w:t>:</w:t>
      </w: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p>
    <w:p w:rsidR="005E411D" w:rsidRDefault="005E411D" w:rsidP="005E411D">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lastRenderedPageBreak/>
        <w:t>¿</w:t>
      </w:r>
      <w:r w:rsidR="00EA7C52">
        <w:rPr>
          <w:iCs/>
          <w:color w:val="000000" w:themeColor="text1"/>
          <w:szCs w:val="24"/>
        </w:rPr>
        <w:t xml:space="preserve">La señora </w:t>
      </w:r>
      <w:r w:rsidR="0083638D">
        <w:rPr>
          <w:iCs/>
          <w:color w:val="000000" w:themeColor="text1"/>
          <w:szCs w:val="24"/>
        </w:rPr>
        <w:t>Clara Rosa Ramírez Mosquera</w:t>
      </w:r>
      <w:r w:rsidR="003A4CF9">
        <w:rPr>
          <w:iCs/>
          <w:color w:val="000000" w:themeColor="text1"/>
          <w:szCs w:val="24"/>
        </w:rPr>
        <w:t xml:space="preserve"> </w:t>
      </w:r>
      <w:r w:rsidR="00EA7C52">
        <w:rPr>
          <w:iCs/>
          <w:color w:val="000000" w:themeColor="text1"/>
          <w:szCs w:val="24"/>
        </w:rPr>
        <w:t xml:space="preserve">es beneficiaria del régimen de transición previsto en la Ley 100  de 1993 y por tanto, se encuentra </w:t>
      </w:r>
      <w:r w:rsidR="00EA7C52">
        <w:rPr>
          <w:iCs/>
          <w:color w:val="000000" w:themeColor="text1"/>
          <w:szCs w:val="24"/>
          <w:lang w:val="es-CO"/>
        </w:rPr>
        <w:t xml:space="preserve">legitimada para solicitar </w:t>
      </w:r>
      <w:r w:rsidR="00EA7C52">
        <w:rPr>
          <w:iCs/>
          <w:color w:val="000000" w:themeColor="text1"/>
          <w:szCs w:val="24"/>
        </w:rPr>
        <w:t xml:space="preserve">la ineficacia de su afiliación </w:t>
      </w:r>
      <w:r w:rsidRPr="007F2FCF">
        <w:rPr>
          <w:iCs/>
          <w:color w:val="000000" w:themeColor="text1"/>
          <w:szCs w:val="24"/>
        </w:rPr>
        <w:t>al Régimen de Ahorro Individual con Solidaridad?</w:t>
      </w:r>
    </w:p>
    <w:p w:rsidR="00FF1239" w:rsidRDefault="00FF1239" w:rsidP="00FF1239">
      <w:pPr>
        <w:pStyle w:val="Textoindependiente"/>
        <w:spacing w:line="276" w:lineRule="auto"/>
        <w:ind w:left="720" w:right="-93"/>
        <w:contextualSpacing/>
        <w:rPr>
          <w:iCs/>
          <w:color w:val="000000" w:themeColor="text1"/>
          <w:szCs w:val="24"/>
        </w:rPr>
      </w:pPr>
    </w:p>
    <w:p w:rsidR="00FF1239" w:rsidRDefault="00EA7C52" w:rsidP="005E411D">
      <w:pPr>
        <w:pStyle w:val="Textoindependiente"/>
        <w:numPr>
          <w:ilvl w:val="1"/>
          <w:numId w:val="2"/>
        </w:numPr>
        <w:spacing w:line="276" w:lineRule="auto"/>
        <w:ind w:right="-93"/>
        <w:contextualSpacing/>
        <w:rPr>
          <w:iCs/>
          <w:color w:val="000000" w:themeColor="text1"/>
          <w:szCs w:val="24"/>
        </w:rPr>
      </w:pPr>
      <w:r>
        <w:rPr>
          <w:iCs/>
          <w:color w:val="000000" w:themeColor="text1"/>
          <w:szCs w:val="24"/>
        </w:rPr>
        <w:t xml:space="preserve">Si la respuesta al anterior interrogante fuere negativa </w:t>
      </w:r>
      <w:r w:rsidR="00FF1239">
        <w:rPr>
          <w:iCs/>
          <w:color w:val="000000" w:themeColor="text1"/>
          <w:szCs w:val="24"/>
        </w:rPr>
        <w:t>¿E</w:t>
      </w:r>
      <w:r>
        <w:rPr>
          <w:iCs/>
          <w:color w:val="000000" w:themeColor="text1"/>
          <w:szCs w:val="24"/>
        </w:rPr>
        <w:t xml:space="preserve">s </w:t>
      </w:r>
      <w:r w:rsidR="00FF1239">
        <w:rPr>
          <w:iCs/>
          <w:color w:val="000000" w:themeColor="text1"/>
          <w:szCs w:val="24"/>
        </w:rPr>
        <w:t>viable declar</w:t>
      </w:r>
      <w:r w:rsidR="00AF7835">
        <w:rPr>
          <w:iCs/>
          <w:color w:val="000000" w:themeColor="text1"/>
          <w:szCs w:val="24"/>
        </w:rPr>
        <w:t xml:space="preserve">ar la nulidad de la afiliación por </w:t>
      </w:r>
      <w:r w:rsidR="00FF1239">
        <w:rPr>
          <w:iCs/>
          <w:color w:val="000000" w:themeColor="text1"/>
          <w:szCs w:val="24"/>
        </w:rPr>
        <w:t xml:space="preserve">vicios </w:t>
      </w:r>
      <w:r w:rsidR="00AF7835">
        <w:rPr>
          <w:iCs/>
          <w:color w:val="000000" w:themeColor="text1"/>
          <w:szCs w:val="24"/>
        </w:rPr>
        <w:t xml:space="preserve">en el </w:t>
      </w:r>
      <w:r w:rsidR="00FF1239">
        <w:rPr>
          <w:iCs/>
          <w:color w:val="000000" w:themeColor="text1"/>
          <w:szCs w:val="24"/>
        </w:rPr>
        <w:t>consentimiento?</w:t>
      </w:r>
    </w:p>
    <w:p w:rsidR="00C64A1B" w:rsidRPr="007F2FCF" w:rsidRDefault="00C64A1B" w:rsidP="00C64A1B">
      <w:pPr>
        <w:pStyle w:val="Textoindependiente"/>
        <w:ind w:right="51"/>
        <w:rPr>
          <w:b/>
          <w:iCs/>
          <w:color w:val="000000" w:themeColor="text1"/>
          <w:szCs w:val="24"/>
        </w:rPr>
      </w:pPr>
    </w:p>
    <w:p w:rsidR="00C64A1B" w:rsidRDefault="00C64A1B" w:rsidP="007F72CB">
      <w:pPr>
        <w:pStyle w:val="Textoindependiente"/>
        <w:numPr>
          <w:ilvl w:val="0"/>
          <w:numId w:val="2"/>
        </w:numPr>
        <w:spacing w:line="276" w:lineRule="auto"/>
        <w:contextualSpacing/>
        <w:rPr>
          <w:b/>
          <w:iCs/>
          <w:color w:val="000000" w:themeColor="text1"/>
          <w:szCs w:val="24"/>
        </w:rPr>
      </w:pPr>
      <w:r>
        <w:rPr>
          <w:b/>
          <w:iCs/>
          <w:color w:val="000000" w:themeColor="text1"/>
          <w:szCs w:val="24"/>
        </w:rPr>
        <w:t>Solución a</w:t>
      </w:r>
      <w:r w:rsidR="00C43420">
        <w:rPr>
          <w:b/>
          <w:iCs/>
          <w:color w:val="000000" w:themeColor="text1"/>
          <w:szCs w:val="24"/>
        </w:rPr>
        <w:t xml:space="preserve"> </w:t>
      </w:r>
      <w:r>
        <w:rPr>
          <w:b/>
          <w:iCs/>
          <w:color w:val="000000" w:themeColor="text1"/>
          <w:szCs w:val="24"/>
        </w:rPr>
        <w:t>l</w:t>
      </w:r>
      <w:r w:rsidR="00C43420">
        <w:rPr>
          <w:b/>
          <w:iCs/>
          <w:color w:val="000000" w:themeColor="text1"/>
          <w:szCs w:val="24"/>
        </w:rPr>
        <w:t>os</w:t>
      </w:r>
      <w:r>
        <w:rPr>
          <w:b/>
          <w:iCs/>
          <w:color w:val="000000" w:themeColor="text1"/>
          <w:szCs w:val="24"/>
        </w:rPr>
        <w:t xml:space="preserve"> problema</w:t>
      </w:r>
      <w:r w:rsidR="00C43420">
        <w:rPr>
          <w:b/>
          <w:iCs/>
          <w:color w:val="000000" w:themeColor="text1"/>
          <w:szCs w:val="24"/>
        </w:rPr>
        <w:t>s</w:t>
      </w:r>
      <w:r>
        <w:rPr>
          <w:b/>
          <w:iCs/>
          <w:color w:val="000000" w:themeColor="text1"/>
          <w:szCs w:val="24"/>
        </w:rPr>
        <w:t xml:space="preserve"> jurídico</w:t>
      </w:r>
      <w:r w:rsidR="00C43420">
        <w:rPr>
          <w:b/>
          <w:iCs/>
          <w:color w:val="000000" w:themeColor="text1"/>
          <w:szCs w:val="24"/>
        </w:rPr>
        <w:t>s</w:t>
      </w:r>
      <w:r w:rsidRPr="007F2FCF">
        <w:rPr>
          <w:b/>
          <w:iCs/>
          <w:color w:val="000000" w:themeColor="text1"/>
          <w:szCs w:val="24"/>
        </w:rPr>
        <w:t xml:space="preserve"> </w:t>
      </w:r>
    </w:p>
    <w:p w:rsidR="00F17796" w:rsidRDefault="00F17796" w:rsidP="00F17796">
      <w:pPr>
        <w:pStyle w:val="Textoindependiente"/>
        <w:spacing w:line="276" w:lineRule="auto"/>
        <w:ind w:left="510"/>
        <w:contextualSpacing/>
        <w:rPr>
          <w:b/>
          <w:iCs/>
          <w:color w:val="000000" w:themeColor="text1"/>
          <w:szCs w:val="24"/>
        </w:rPr>
      </w:pPr>
    </w:p>
    <w:p w:rsidR="007F72CB" w:rsidRDefault="00B11EBB" w:rsidP="008167A7">
      <w:pPr>
        <w:pStyle w:val="Textoindependiente"/>
        <w:numPr>
          <w:ilvl w:val="1"/>
          <w:numId w:val="2"/>
        </w:numPr>
        <w:spacing w:line="276" w:lineRule="auto"/>
        <w:contextualSpacing/>
        <w:rPr>
          <w:b/>
          <w:iCs/>
          <w:color w:val="000000" w:themeColor="text1"/>
          <w:szCs w:val="24"/>
        </w:rPr>
      </w:pPr>
      <w:r>
        <w:rPr>
          <w:b/>
          <w:iCs/>
          <w:color w:val="000000" w:themeColor="text1"/>
          <w:szCs w:val="24"/>
        </w:rPr>
        <w:t xml:space="preserve">Del régimen de transición </w:t>
      </w:r>
    </w:p>
    <w:p w:rsidR="008167A7" w:rsidRDefault="008167A7" w:rsidP="00C64A1B">
      <w:pPr>
        <w:pStyle w:val="Textoindependiente"/>
        <w:ind w:right="51"/>
        <w:rPr>
          <w:b/>
          <w:iCs/>
          <w:color w:val="000000" w:themeColor="text1"/>
          <w:szCs w:val="24"/>
        </w:rPr>
      </w:pPr>
    </w:p>
    <w:p w:rsidR="00C64A1B" w:rsidRPr="007F2FCF" w:rsidRDefault="003B6C32" w:rsidP="00C64A1B">
      <w:pPr>
        <w:pStyle w:val="Textoindependiente"/>
        <w:ind w:right="51"/>
        <w:rPr>
          <w:b/>
          <w:iCs/>
          <w:color w:val="000000" w:themeColor="text1"/>
          <w:szCs w:val="24"/>
        </w:rPr>
      </w:pPr>
      <w:r>
        <w:rPr>
          <w:b/>
          <w:iCs/>
          <w:color w:val="000000" w:themeColor="text1"/>
          <w:szCs w:val="24"/>
        </w:rPr>
        <w:t>2.</w:t>
      </w:r>
      <w:r w:rsidR="008167A7">
        <w:rPr>
          <w:b/>
          <w:iCs/>
          <w:color w:val="000000" w:themeColor="text1"/>
          <w:szCs w:val="24"/>
        </w:rPr>
        <w:t>1</w:t>
      </w:r>
      <w:r w:rsidR="00C64A1B" w:rsidRPr="007F2FCF">
        <w:rPr>
          <w:b/>
          <w:iCs/>
          <w:color w:val="000000" w:themeColor="text1"/>
          <w:szCs w:val="24"/>
        </w:rPr>
        <w:t>.1. Fundamento jurídico</w:t>
      </w:r>
    </w:p>
    <w:p w:rsidR="00C64A1B" w:rsidRDefault="00C64A1B" w:rsidP="00C64A1B">
      <w:pPr>
        <w:pStyle w:val="Textoindependiente"/>
        <w:ind w:right="51"/>
        <w:rPr>
          <w:b/>
          <w:iCs/>
          <w:color w:val="000000" w:themeColor="text1"/>
          <w:szCs w:val="24"/>
        </w:rPr>
      </w:pPr>
    </w:p>
    <w:p w:rsidR="00B11EBB" w:rsidRP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r w:rsidRPr="00B11EBB">
        <w:rPr>
          <w:rFonts w:ascii="Arial" w:hAnsi="Arial" w:cs="Arial"/>
          <w:iCs/>
          <w:color w:val="000000" w:themeColor="text1"/>
          <w:szCs w:val="24"/>
        </w:rPr>
        <w:t xml:space="preserve">El artículo 36 de la Ley 100 de 1993, dispone que para ser beneficiario del régimen de transición allí previsto se requiere </w:t>
      </w:r>
      <w:r w:rsidRPr="00B11EBB">
        <w:rPr>
          <w:rFonts w:ascii="Arial" w:hAnsi="Arial" w:cs="Arial"/>
          <w:color w:val="000000"/>
          <w:szCs w:val="24"/>
          <w:lang w:eastAsia="es-CO"/>
        </w:rPr>
        <w:t>que en el caso de las mujeres al 1° de abril de 1994 tuvieran 35 o más años de edad o 15 o más años de servicios cotizados.</w:t>
      </w: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su parte, el Acto Legislativo 01 de 2005, exige acreditar 750 semanas de cotización al 29 de julio de 2005, salvo para aquellas personas que eran beneficiarias de dicho régimen por cumplir la densidad de semanas cotizadas, de que trata la Ley 100/93.</w:t>
      </w: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p>
    <w:p w:rsidR="0046517A" w:rsidRDefault="00B11EBB" w:rsidP="00B11EBB">
      <w:pPr>
        <w:shd w:val="clear" w:color="auto" w:fill="FFFFFF"/>
        <w:tabs>
          <w:tab w:val="left" w:pos="5197"/>
        </w:tabs>
        <w:spacing w:line="276" w:lineRule="auto"/>
        <w:contextualSpacing/>
        <w:jc w:val="both"/>
        <w:rPr>
          <w:rFonts w:ascii="Arial" w:eastAsiaTheme="minorHAnsi" w:hAnsi="Arial" w:cs="Arial"/>
          <w:iCs/>
          <w:szCs w:val="24"/>
        </w:rPr>
      </w:pPr>
      <w:r>
        <w:rPr>
          <w:rFonts w:ascii="Arial" w:hAnsi="Arial" w:cs="Arial"/>
          <w:color w:val="000000"/>
          <w:szCs w:val="24"/>
          <w:lang w:eastAsia="es-CO"/>
        </w:rPr>
        <w:t xml:space="preserve">Finalmente, la jurisprudencia </w:t>
      </w:r>
      <w:r w:rsidRPr="004440AE">
        <w:rPr>
          <w:rFonts w:ascii="Arial" w:hAnsi="Arial" w:cs="Arial"/>
          <w:shd w:val="clear" w:color="auto" w:fill="FFFFFF"/>
        </w:rPr>
        <w:t xml:space="preserve">de la </w:t>
      </w:r>
      <w:proofErr w:type="spellStart"/>
      <w:r w:rsidRPr="004440AE">
        <w:rPr>
          <w:rFonts w:ascii="Arial" w:hAnsi="Arial" w:cs="Arial"/>
          <w:shd w:val="clear" w:color="auto" w:fill="FFFFFF"/>
        </w:rPr>
        <w:t>S</w:t>
      </w:r>
      <w:r>
        <w:rPr>
          <w:rFonts w:ascii="Arial" w:hAnsi="Arial" w:cs="Arial"/>
          <w:shd w:val="clear" w:color="auto" w:fill="FFFFFF"/>
        </w:rPr>
        <w:t>CL</w:t>
      </w:r>
      <w:proofErr w:type="spellEnd"/>
      <w:r>
        <w:rPr>
          <w:rFonts w:ascii="Arial" w:hAnsi="Arial" w:cs="Arial"/>
          <w:shd w:val="clear" w:color="auto" w:fill="FFFFFF"/>
        </w:rPr>
        <w:t xml:space="preserve"> </w:t>
      </w:r>
      <w:r w:rsidRPr="004440AE">
        <w:rPr>
          <w:rFonts w:ascii="Arial" w:hAnsi="Arial" w:cs="Arial"/>
          <w:shd w:val="clear" w:color="auto" w:fill="FFFFFF"/>
        </w:rPr>
        <w:t>de la C</w:t>
      </w:r>
      <w:r>
        <w:rPr>
          <w:rFonts w:ascii="Arial" w:hAnsi="Arial" w:cs="Arial"/>
          <w:shd w:val="clear" w:color="auto" w:fill="FFFFFF"/>
        </w:rPr>
        <w:t xml:space="preserve">SJ </w:t>
      </w:r>
      <w:r w:rsidRPr="004440AE">
        <w:rPr>
          <w:rStyle w:val="Refdenotaalpie"/>
          <w:rFonts w:ascii="Arial" w:hAnsi="Arial" w:cs="Arial"/>
          <w:shd w:val="clear" w:color="auto" w:fill="FFFFFF"/>
        </w:rPr>
        <w:footnoteReference w:id="3"/>
      </w:r>
      <w:r w:rsidRPr="004440AE">
        <w:rPr>
          <w:rFonts w:ascii="Arial" w:hAnsi="Arial" w:cs="Arial"/>
          <w:shd w:val="clear" w:color="auto" w:fill="FFFFFF"/>
        </w:rPr>
        <w:t xml:space="preserve"> y </w:t>
      </w:r>
      <w:r>
        <w:rPr>
          <w:rFonts w:ascii="Arial" w:hAnsi="Arial" w:cs="Arial"/>
          <w:shd w:val="clear" w:color="auto" w:fill="FFFFFF"/>
        </w:rPr>
        <w:t xml:space="preserve">que ha sido acogida por </w:t>
      </w:r>
      <w:r w:rsidRPr="004440AE">
        <w:rPr>
          <w:rFonts w:ascii="Arial" w:hAnsi="Arial" w:cs="Arial"/>
          <w:shd w:val="clear" w:color="auto" w:fill="FFFFFF"/>
        </w:rPr>
        <w:t>esta Corporación</w:t>
      </w:r>
      <w:r w:rsidRPr="004440AE">
        <w:rPr>
          <w:rStyle w:val="Refdenotaalpie"/>
          <w:rFonts w:ascii="Arial" w:hAnsi="Arial" w:cs="Arial"/>
          <w:shd w:val="clear" w:color="auto" w:fill="FFFFFF"/>
        </w:rPr>
        <w:footnoteReference w:id="4"/>
      </w:r>
      <w:r w:rsidRPr="006E1A18">
        <w:rPr>
          <w:rFonts w:ascii="Arial" w:hAnsi="Arial" w:cs="Arial"/>
          <w:shd w:val="clear" w:color="auto" w:fill="FFFFFF"/>
        </w:rPr>
        <w:t xml:space="preserve"> </w:t>
      </w:r>
      <w:r>
        <w:rPr>
          <w:rFonts w:ascii="Arial" w:hAnsi="Arial" w:cs="Arial"/>
          <w:shd w:val="clear" w:color="auto" w:fill="FFFFFF"/>
        </w:rPr>
        <w:t xml:space="preserve">sostiene que </w:t>
      </w:r>
      <w:r w:rsidRPr="004440AE">
        <w:rPr>
          <w:rFonts w:ascii="Arial" w:hAnsi="Arial" w:cs="Arial"/>
          <w:shd w:val="clear" w:color="auto" w:fill="FFFFFF"/>
        </w:rPr>
        <w:t>para la aplicación de una norma anterior a la Ley 100 de 1993, el afiliado además de cumplir con las exigencias del referido artículo 36 y hoy en día del Acto Legislativo 01 de 2005, debe encontrarse afiliado con anterioridad al 1° de abril de 1994 a alguno de los regímenes vigentes para ese momento, circunstancia que es apenas obvia para poder determinar cuáles son los requisitos que deben resguardar</w:t>
      </w:r>
      <w:r>
        <w:rPr>
          <w:rFonts w:ascii="Arial" w:hAnsi="Arial" w:cs="Arial"/>
          <w:shd w:val="clear" w:color="auto" w:fill="FFFFFF"/>
        </w:rPr>
        <w:t xml:space="preserve">se por el cambio de legislación. </w:t>
      </w:r>
    </w:p>
    <w:p w:rsidR="00B11EBB" w:rsidRDefault="00B11EBB" w:rsidP="00C64A1B">
      <w:pPr>
        <w:spacing w:line="276" w:lineRule="auto"/>
        <w:ind w:right="-1"/>
        <w:jc w:val="both"/>
        <w:rPr>
          <w:rFonts w:ascii="Arial" w:eastAsiaTheme="minorHAnsi" w:hAnsi="Arial" w:cs="Arial"/>
          <w:iCs/>
          <w:szCs w:val="24"/>
        </w:rPr>
      </w:pPr>
    </w:p>
    <w:p w:rsidR="00C64A1B" w:rsidRDefault="00C64A1B" w:rsidP="00C64A1B">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5B3447" w:rsidRDefault="005B3447" w:rsidP="00C64A1B">
      <w:pPr>
        <w:pStyle w:val="Textoindependiente"/>
        <w:tabs>
          <w:tab w:val="left" w:pos="2930"/>
        </w:tabs>
        <w:spacing w:line="276" w:lineRule="auto"/>
        <w:rPr>
          <w:b/>
          <w:color w:val="000000"/>
          <w:szCs w:val="24"/>
          <w:shd w:val="clear" w:color="auto" w:fill="FFFFFF"/>
          <w:lang w:val="es-ES"/>
        </w:rPr>
      </w:pPr>
    </w:p>
    <w:p w:rsidR="001147F4" w:rsidRDefault="001147F4" w:rsidP="001147F4">
      <w:pPr>
        <w:shd w:val="clear" w:color="auto" w:fill="FFFFFF"/>
        <w:tabs>
          <w:tab w:val="left" w:pos="5197"/>
        </w:tabs>
        <w:spacing w:line="276" w:lineRule="auto"/>
        <w:contextualSpacing/>
        <w:jc w:val="both"/>
        <w:rPr>
          <w:rFonts w:ascii="Arial" w:hAnsi="Arial"/>
          <w:szCs w:val="24"/>
        </w:rPr>
      </w:pPr>
      <w:r>
        <w:rPr>
          <w:rFonts w:ascii="Arial" w:hAnsi="Arial"/>
          <w:szCs w:val="24"/>
        </w:rPr>
        <w:t>De conformidad con el registro civil de nacimiento se observa que la demandante nació el 12/08/1958 –</w:t>
      </w:r>
      <w:proofErr w:type="spellStart"/>
      <w:r>
        <w:rPr>
          <w:rFonts w:ascii="Arial" w:hAnsi="Arial"/>
          <w:szCs w:val="24"/>
        </w:rPr>
        <w:t>fl</w:t>
      </w:r>
      <w:proofErr w:type="spellEnd"/>
      <w:r>
        <w:rPr>
          <w:rFonts w:ascii="Arial" w:hAnsi="Arial"/>
          <w:szCs w:val="24"/>
        </w:rPr>
        <w:t>. 19 del cd. 1-, por lo que para el 1º de abril de 1994 tenía cumplidos 35 años de edad, lo que en principio la haría beneficiaria del régimen de transición previsto en el artículo 36 de la ley 100 de 1993.</w:t>
      </w:r>
    </w:p>
    <w:p w:rsidR="0078460D" w:rsidRDefault="0078460D" w:rsidP="001147F4">
      <w:pPr>
        <w:shd w:val="clear" w:color="auto" w:fill="FFFFFF"/>
        <w:tabs>
          <w:tab w:val="left" w:pos="5197"/>
        </w:tabs>
        <w:spacing w:line="276" w:lineRule="auto"/>
        <w:contextualSpacing/>
        <w:jc w:val="both"/>
        <w:rPr>
          <w:rFonts w:ascii="Arial" w:hAnsi="Arial"/>
          <w:szCs w:val="24"/>
        </w:rPr>
      </w:pPr>
    </w:p>
    <w:p w:rsidR="006E1A18" w:rsidRDefault="001147F4" w:rsidP="0078460D">
      <w:pPr>
        <w:pStyle w:val="Textoindependiente"/>
        <w:spacing w:line="276" w:lineRule="auto"/>
        <w:contextualSpacing/>
        <w:rPr>
          <w:bCs/>
          <w:color w:val="000000"/>
          <w:szCs w:val="24"/>
          <w:lang w:eastAsia="es-CO"/>
        </w:rPr>
      </w:pPr>
      <w:r w:rsidRPr="0078460D">
        <w:rPr>
          <w:bCs/>
          <w:color w:val="000000"/>
          <w:szCs w:val="24"/>
          <w:lang w:eastAsia="es-CO"/>
        </w:rPr>
        <w:t>No obstante lo anterior, se advierte conforme con la historia laboral expedida por Colpensiones –</w:t>
      </w:r>
      <w:proofErr w:type="spellStart"/>
      <w:r w:rsidRPr="0078460D">
        <w:rPr>
          <w:bCs/>
          <w:color w:val="000000"/>
          <w:szCs w:val="24"/>
          <w:lang w:eastAsia="es-CO"/>
        </w:rPr>
        <w:t>fl</w:t>
      </w:r>
      <w:proofErr w:type="spellEnd"/>
      <w:r w:rsidRPr="0078460D">
        <w:rPr>
          <w:bCs/>
          <w:color w:val="000000"/>
          <w:szCs w:val="24"/>
          <w:lang w:eastAsia="es-CO"/>
        </w:rPr>
        <w:t>. 35 del cd. 1-, que la actora se afilió por primera vez al régimen de seguridad social en pensiones a través del otrora ISS el 08/11/1994,  por lo que es evidente que incumple el requisito tácito indicado por la jurisprudencia</w:t>
      </w:r>
      <w:r w:rsidR="006D18BC" w:rsidRPr="0078460D">
        <w:rPr>
          <w:bCs/>
          <w:color w:val="000000"/>
          <w:szCs w:val="24"/>
          <w:lang w:eastAsia="es-CO"/>
        </w:rPr>
        <w:t xml:space="preserve"> y que goza de plena vigencia en la actualidad a diferencia de lo sostenido por el recurrente en ese sentido.</w:t>
      </w:r>
    </w:p>
    <w:p w:rsidR="0078460D" w:rsidRPr="0078460D" w:rsidRDefault="0078460D" w:rsidP="0078460D">
      <w:pPr>
        <w:pStyle w:val="Textoindependiente"/>
        <w:spacing w:line="276" w:lineRule="auto"/>
        <w:contextualSpacing/>
        <w:rPr>
          <w:bCs/>
          <w:color w:val="000000"/>
          <w:szCs w:val="24"/>
          <w:lang w:eastAsia="es-CO"/>
        </w:rPr>
      </w:pPr>
    </w:p>
    <w:p w:rsidR="00351FC5" w:rsidRDefault="001147F4" w:rsidP="000363A7">
      <w:pPr>
        <w:pStyle w:val="Textoindependiente"/>
        <w:spacing w:line="276" w:lineRule="auto"/>
        <w:contextualSpacing/>
        <w:rPr>
          <w:szCs w:val="24"/>
        </w:rPr>
      </w:pPr>
      <w:r w:rsidRPr="00F26C18">
        <w:rPr>
          <w:bCs/>
          <w:color w:val="000000"/>
          <w:szCs w:val="24"/>
          <w:lang w:eastAsia="es-CO"/>
        </w:rPr>
        <w:t xml:space="preserve">En este orden de ideas, </w:t>
      </w:r>
      <w:r w:rsidR="00756C7F">
        <w:rPr>
          <w:bCs/>
          <w:color w:val="000000"/>
          <w:szCs w:val="24"/>
          <w:lang w:eastAsia="es-CO"/>
        </w:rPr>
        <w:t>al no</w:t>
      </w:r>
      <w:r w:rsidR="00756C7F">
        <w:rPr>
          <w:szCs w:val="24"/>
        </w:rPr>
        <w:t xml:space="preserve"> haber efectuado aportes a un sistema anterior, mal podría</w:t>
      </w:r>
      <w:r w:rsidR="008167A7" w:rsidRPr="004440AE">
        <w:rPr>
          <w:szCs w:val="24"/>
        </w:rPr>
        <w:t xml:space="preserve"> </w:t>
      </w:r>
      <w:r w:rsidR="00D167A3">
        <w:rPr>
          <w:szCs w:val="24"/>
        </w:rPr>
        <w:t xml:space="preserve">afirmar que es beneficiaria del </w:t>
      </w:r>
      <w:r w:rsidR="008167A7" w:rsidRPr="004440AE">
        <w:rPr>
          <w:szCs w:val="24"/>
        </w:rPr>
        <w:t xml:space="preserve">régimen </w:t>
      </w:r>
      <w:r w:rsidR="00D167A3">
        <w:rPr>
          <w:szCs w:val="24"/>
        </w:rPr>
        <w:t xml:space="preserve">de transición por la imposibilidad de acudir a una norma antecesora </w:t>
      </w:r>
      <w:r w:rsidR="00756C7F">
        <w:rPr>
          <w:szCs w:val="24"/>
        </w:rPr>
        <w:t>y consecuente</w:t>
      </w:r>
      <w:r w:rsidR="000363A7">
        <w:rPr>
          <w:szCs w:val="24"/>
        </w:rPr>
        <w:t xml:space="preserve"> con ello, no es posible orientar sus pedimentos bajo el análisis de ineficacia del traslado y por ende, solo se dará el alcance a la nulidad del mismo como a continuación se procederá.</w:t>
      </w:r>
    </w:p>
    <w:p w:rsidR="005B3447" w:rsidRDefault="005B3447" w:rsidP="000363A7">
      <w:pPr>
        <w:pStyle w:val="Textoindependiente"/>
        <w:spacing w:line="276" w:lineRule="auto"/>
        <w:contextualSpacing/>
        <w:rPr>
          <w:szCs w:val="24"/>
        </w:rPr>
      </w:pPr>
    </w:p>
    <w:p w:rsidR="000363A7" w:rsidRDefault="000363A7" w:rsidP="000363A7">
      <w:pPr>
        <w:pStyle w:val="Textoindependiente"/>
        <w:spacing w:line="276" w:lineRule="auto"/>
        <w:contextualSpacing/>
        <w:rPr>
          <w:szCs w:val="24"/>
        </w:rPr>
      </w:pPr>
      <w:r>
        <w:rPr>
          <w:szCs w:val="24"/>
        </w:rPr>
        <w:t>En este orden de ideas, se recoge en su totalidad el criterio que se venía aplicado para resolver asuntos similares al presente y la Sala</w:t>
      </w:r>
      <w:r w:rsidR="0054308F">
        <w:rPr>
          <w:szCs w:val="24"/>
        </w:rPr>
        <w:t xml:space="preserve"> Mayoritaria</w:t>
      </w:r>
      <w:r>
        <w:rPr>
          <w:szCs w:val="24"/>
        </w:rPr>
        <w:t xml:space="preserve"> retornará a la tesis primigenia, relacionada con la nulidad relativa del acto de traslado por vicio del consentimiento.</w:t>
      </w:r>
    </w:p>
    <w:p w:rsidR="009454D8" w:rsidRDefault="009454D8" w:rsidP="000363A7">
      <w:pPr>
        <w:pStyle w:val="Textoindependiente"/>
        <w:spacing w:line="276" w:lineRule="auto"/>
        <w:contextualSpacing/>
        <w:rPr>
          <w:szCs w:val="24"/>
        </w:rPr>
      </w:pPr>
    </w:p>
    <w:p w:rsidR="00771EEF" w:rsidRDefault="00771EEF" w:rsidP="00771EEF">
      <w:pPr>
        <w:pStyle w:val="Textoindependiente"/>
        <w:numPr>
          <w:ilvl w:val="0"/>
          <w:numId w:val="2"/>
        </w:numPr>
        <w:ind w:right="51"/>
        <w:rPr>
          <w:b/>
          <w:iCs/>
          <w:szCs w:val="24"/>
        </w:rPr>
      </w:pPr>
      <w:r>
        <w:rPr>
          <w:b/>
          <w:iCs/>
          <w:szCs w:val="24"/>
        </w:rPr>
        <w:t>Nulidad de los actos jurídicos y oportunidad para alegarla.</w:t>
      </w:r>
    </w:p>
    <w:p w:rsidR="00771EEF" w:rsidRDefault="00771EEF" w:rsidP="00771EEF">
      <w:pPr>
        <w:pStyle w:val="Textoindependiente"/>
        <w:ind w:right="51"/>
        <w:rPr>
          <w:b/>
          <w:iCs/>
          <w:szCs w:val="24"/>
        </w:rPr>
      </w:pPr>
    </w:p>
    <w:p w:rsidR="00771EEF" w:rsidRDefault="00771EEF" w:rsidP="00771EEF">
      <w:pPr>
        <w:pStyle w:val="Textoindependiente"/>
        <w:numPr>
          <w:ilvl w:val="1"/>
          <w:numId w:val="2"/>
        </w:numPr>
        <w:ind w:right="51"/>
        <w:rPr>
          <w:b/>
          <w:iCs/>
          <w:szCs w:val="24"/>
        </w:rPr>
      </w:pPr>
      <w:r>
        <w:rPr>
          <w:b/>
          <w:iCs/>
          <w:szCs w:val="24"/>
        </w:rPr>
        <w:t xml:space="preserve">Fundamento jurídico </w:t>
      </w:r>
    </w:p>
    <w:p w:rsidR="00771EEF" w:rsidRDefault="00771EEF" w:rsidP="00771EEF">
      <w:pPr>
        <w:pStyle w:val="Textoindependiente"/>
        <w:spacing w:line="276" w:lineRule="auto"/>
        <w:ind w:right="51"/>
        <w:rPr>
          <w:b/>
          <w:iCs/>
          <w:szCs w:val="24"/>
        </w:rPr>
      </w:pPr>
    </w:p>
    <w:p w:rsidR="00771EEF" w:rsidRDefault="00771EEF" w:rsidP="00771EEF">
      <w:pPr>
        <w:pStyle w:val="Textoindependiente"/>
        <w:spacing w:line="276" w:lineRule="auto"/>
        <w:rPr>
          <w:bCs/>
          <w:iCs/>
          <w:szCs w:val="24"/>
        </w:rPr>
      </w:pPr>
      <w:r>
        <w:rPr>
          <w:bCs/>
          <w:iCs/>
          <w:szCs w:val="24"/>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771EEF" w:rsidRDefault="00771EEF" w:rsidP="00771EEF">
      <w:pPr>
        <w:pStyle w:val="Textoindependiente"/>
        <w:spacing w:line="276" w:lineRule="auto"/>
        <w:rPr>
          <w:bCs/>
          <w:iCs/>
          <w:szCs w:val="24"/>
        </w:rPr>
      </w:pPr>
    </w:p>
    <w:p w:rsidR="00771EEF" w:rsidRDefault="00771EEF" w:rsidP="00771EEF">
      <w:pPr>
        <w:pStyle w:val="Textoindependiente"/>
        <w:spacing w:line="276" w:lineRule="auto"/>
        <w:rPr>
          <w:bCs/>
          <w:iCs/>
          <w:szCs w:val="24"/>
        </w:rPr>
      </w:pPr>
      <w:r>
        <w:rPr>
          <w:bCs/>
          <w:iCs/>
          <w:szCs w:val="24"/>
        </w:rPr>
        <w:t>A su vez, el artículo 1750 del Código Civil prevé que para alegar la rescisión en los eventos en que se alegue la ocurrencia de error o dolo, se cuenta con un plazo de cuatro años contados desde el día de la celebración del acto o contrato.</w:t>
      </w:r>
    </w:p>
    <w:p w:rsidR="00771EEF" w:rsidRDefault="00771EEF" w:rsidP="00771EEF">
      <w:pPr>
        <w:pStyle w:val="Textoindependiente"/>
        <w:spacing w:line="276" w:lineRule="auto"/>
        <w:rPr>
          <w:bCs/>
          <w:iCs/>
          <w:szCs w:val="24"/>
        </w:rPr>
      </w:pPr>
    </w:p>
    <w:p w:rsidR="00771EEF" w:rsidRDefault="00771EEF" w:rsidP="00771EEF">
      <w:pPr>
        <w:pStyle w:val="Textoindependiente"/>
        <w:spacing w:line="276" w:lineRule="auto"/>
        <w:rPr>
          <w:bCs/>
          <w:szCs w:val="24"/>
        </w:rPr>
      </w:pPr>
      <w:r>
        <w:rPr>
          <w:bCs/>
          <w:szCs w:val="24"/>
        </w:rPr>
        <w:t xml:space="preserve">De otro lado el artículo 1743 </w:t>
      </w:r>
      <w:r>
        <w:rPr>
          <w:bCs/>
          <w:i/>
          <w:iCs/>
          <w:szCs w:val="24"/>
        </w:rPr>
        <w:t xml:space="preserve">ibídem </w:t>
      </w:r>
      <w:r>
        <w:rPr>
          <w:bCs/>
          <w:szCs w:val="24"/>
        </w:rPr>
        <w:t>dispone que la nulidad relativa se sanea por el paso del tiempo o por ratificación de las partes.</w:t>
      </w:r>
    </w:p>
    <w:p w:rsidR="00433A40" w:rsidRDefault="00433A40" w:rsidP="00771EEF">
      <w:pPr>
        <w:pStyle w:val="Textoindependiente"/>
        <w:spacing w:line="276" w:lineRule="auto"/>
        <w:rPr>
          <w:bCs/>
          <w:szCs w:val="24"/>
        </w:rPr>
      </w:pPr>
    </w:p>
    <w:p w:rsidR="00771EEF" w:rsidRPr="009F7670" w:rsidRDefault="009F7670" w:rsidP="002D10FB">
      <w:pPr>
        <w:pStyle w:val="Prrafodelista"/>
        <w:numPr>
          <w:ilvl w:val="1"/>
          <w:numId w:val="2"/>
        </w:numPr>
        <w:spacing w:line="276" w:lineRule="auto"/>
        <w:ind w:right="284"/>
        <w:jc w:val="both"/>
        <w:rPr>
          <w:rFonts w:ascii="Arial" w:eastAsia="Times New Roman" w:hAnsi="Arial"/>
          <w:b/>
          <w:sz w:val="24"/>
          <w:szCs w:val="24"/>
          <w:lang w:eastAsia="es-ES"/>
        </w:rPr>
      </w:pPr>
      <w:r w:rsidRPr="009F7670">
        <w:rPr>
          <w:rFonts w:ascii="Arial" w:hAnsi="Arial" w:cs="Arial"/>
          <w:b/>
          <w:sz w:val="24"/>
          <w:szCs w:val="24"/>
        </w:rPr>
        <w:t xml:space="preserve">Fundamento fáctico </w:t>
      </w:r>
    </w:p>
    <w:p w:rsidR="00771EEF" w:rsidRDefault="005757FB" w:rsidP="0056020D">
      <w:pPr>
        <w:spacing w:line="276" w:lineRule="auto"/>
        <w:jc w:val="both"/>
        <w:rPr>
          <w:rFonts w:ascii="Arial" w:hAnsi="Arial" w:cs="Arial"/>
          <w:szCs w:val="24"/>
        </w:rPr>
      </w:pPr>
      <w:r>
        <w:rPr>
          <w:rFonts w:ascii="Arial" w:hAnsi="Arial" w:cs="Arial"/>
          <w:szCs w:val="24"/>
        </w:rPr>
        <w:t>La señora Clara Rosa Ram</w:t>
      </w:r>
      <w:r w:rsidR="0056020D">
        <w:rPr>
          <w:rFonts w:ascii="Arial" w:hAnsi="Arial" w:cs="Arial"/>
          <w:szCs w:val="24"/>
        </w:rPr>
        <w:t>írez Mosquera</w:t>
      </w:r>
      <w:r w:rsidR="00771EEF">
        <w:rPr>
          <w:rFonts w:ascii="Arial" w:hAnsi="Arial" w:cs="Arial"/>
          <w:szCs w:val="24"/>
        </w:rPr>
        <w:t>,</w:t>
      </w:r>
      <w:r w:rsidR="0056020D">
        <w:rPr>
          <w:rFonts w:ascii="Arial" w:hAnsi="Arial" w:cs="Arial"/>
          <w:szCs w:val="24"/>
        </w:rPr>
        <w:t xml:space="preserve"> en su demanda plantea la posibilidad de que se declare la nulidad del acto de traslado al RAIS a través de la AFP Colpatria</w:t>
      </w:r>
      <w:r w:rsidR="00771EEF" w:rsidRPr="00D32024">
        <w:rPr>
          <w:rFonts w:ascii="Arial" w:hAnsi="Arial" w:cs="Arial"/>
          <w:szCs w:val="24"/>
        </w:rPr>
        <w:t>,</w:t>
      </w:r>
      <w:r w:rsidR="0056020D">
        <w:rPr>
          <w:rFonts w:ascii="Arial" w:hAnsi="Arial" w:cs="Arial"/>
          <w:szCs w:val="24"/>
        </w:rPr>
        <w:t xml:space="preserve"> que se hizo constar en el formulario suscrito el </w:t>
      </w:r>
      <w:r w:rsidR="00771EEF">
        <w:rPr>
          <w:rFonts w:ascii="Arial" w:hAnsi="Arial" w:cs="Arial"/>
          <w:szCs w:val="24"/>
        </w:rPr>
        <w:t>2</w:t>
      </w:r>
      <w:r w:rsidR="0056020D">
        <w:rPr>
          <w:rFonts w:ascii="Arial" w:hAnsi="Arial" w:cs="Arial"/>
          <w:szCs w:val="24"/>
        </w:rPr>
        <w:t xml:space="preserve">4/04/1996  </w:t>
      </w:r>
      <w:r w:rsidR="00771EEF">
        <w:rPr>
          <w:rFonts w:ascii="Arial" w:hAnsi="Arial" w:cs="Arial"/>
          <w:szCs w:val="24"/>
        </w:rPr>
        <w:t>–</w:t>
      </w:r>
      <w:proofErr w:type="spellStart"/>
      <w:r w:rsidR="00771EEF">
        <w:rPr>
          <w:rFonts w:ascii="Arial" w:hAnsi="Arial" w:cs="Arial"/>
          <w:szCs w:val="24"/>
        </w:rPr>
        <w:t>fl</w:t>
      </w:r>
      <w:proofErr w:type="spellEnd"/>
      <w:r w:rsidR="00771EEF">
        <w:rPr>
          <w:rFonts w:ascii="Arial" w:hAnsi="Arial" w:cs="Arial"/>
          <w:szCs w:val="24"/>
        </w:rPr>
        <w:t>.</w:t>
      </w:r>
      <w:r w:rsidR="0056020D">
        <w:rPr>
          <w:rFonts w:ascii="Arial" w:hAnsi="Arial" w:cs="Arial"/>
          <w:szCs w:val="24"/>
        </w:rPr>
        <w:t xml:space="preserve"> </w:t>
      </w:r>
      <w:r w:rsidR="00771EEF">
        <w:rPr>
          <w:rFonts w:ascii="Arial" w:hAnsi="Arial" w:cs="Arial"/>
          <w:szCs w:val="24"/>
        </w:rPr>
        <w:t>20-.</w:t>
      </w:r>
    </w:p>
    <w:p w:rsidR="00771EEF" w:rsidRPr="00D32024" w:rsidRDefault="00771EEF" w:rsidP="00771EEF">
      <w:pPr>
        <w:spacing w:line="276" w:lineRule="auto"/>
        <w:jc w:val="both"/>
        <w:rPr>
          <w:rFonts w:ascii="Arial" w:hAnsi="Arial" w:cs="Arial"/>
          <w:szCs w:val="24"/>
        </w:rPr>
      </w:pPr>
    </w:p>
    <w:p w:rsidR="00433A40" w:rsidRDefault="00433A40" w:rsidP="00771EEF">
      <w:pPr>
        <w:spacing w:line="276" w:lineRule="auto"/>
        <w:jc w:val="both"/>
        <w:rPr>
          <w:rFonts w:ascii="Arial" w:hAnsi="Arial"/>
          <w:szCs w:val="24"/>
        </w:rPr>
      </w:pPr>
      <w:r>
        <w:rPr>
          <w:rFonts w:ascii="Arial" w:hAnsi="Arial"/>
          <w:szCs w:val="24"/>
        </w:rPr>
        <w:t xml:space="preserve">Revisado el expediente, se advierte la inexistencia de petición formulada a las accionadas pretendiendo la aludida </w:t>
      </w:r>
      <w:r w:rsidR="00771EEF" w:rsidRPr="00D32024">
        <w:rPr>
          <w:rFonts w:ascii="Arial" w:hAnsi="Arial"/>
          <w:szCs w:val="24"/>
        </w:rPr>
        <w:t>nulidad</w:t>
      </w:r>
      <w:r>
        <w:rPr>
          <w:rFonts w:ascii="Arial" w:hAnsi="Arial"/>
          <w:szCs w:val="24"/>
        </w:rPr>
        <w:t>, por lo que la única inconformidad que plantea la demandante en ese sentido lo constituye la demanda que</w:t>
      </w:r>
      <w:r w:rsidR="00691AC6">
        <w:rPr>
          <w:rFonts w:ascii="Arial" w:hAnsi="Arial"/>
          <w:szCs w:val="24"/>
        </w:rPr>
        <w:t xml:space="preserve"> dio origen a este proceso que fue el 10 de julio de 2017 –</w:t>
      </w:r>
      <w:proofErr w:type="spellStart"/>
      <w:r w:rsidR="00691AC6">
        <w:rPr>
          <w:rFonts w:ascii="Arial" w:hAnsi="Arial"/>
          <w:szCs w:val="24"/>
        </w:rPr>
        <w:t>fl</w:t>
      </w:r>
      <w:proofErr w:type="spellEnd"/>
      <w:r w:rsidR="00691AC6">
        <w:rPr>
          <w:rFonts w:ascii="Arial" w:hAnsi="Arial"/>
          <w:szCs w:val="24"/>
        </w:rPr>
        <w:t>. 43-</w:t>
      </w:r>
    </w:p>
    <w:p w:rsidR="00433A40" w:rsidRDefault="00433A40" w:rsidP="00771EEF">
      <w:pPr>
        <w:spacing w:line="276" w:lineRule="auto"/>
        <w:jc w:val="both"/>
        <w:rPr>
          <w:rFonts w:ascii="Arial" w:hAnsi="Arial"/>
          <w:szCs w:val="24"/>
        </w:rPr>
      </w:pPr>
    </w:p>
    <w:p w:rsidR="00771EEF" w:rsidRDefault="00433A40" w:rsidP="00771EEF">
      <w:pPr>
        <w:spacing w:line="276" w:lineRule="auto"/>
        <w:jc w:val="both"/>
        <w:rPr>
          <w:rFonts w:ascii="Arial" w:hAnsi="Arial"/>
          <w:szCs w:val="24"/>
        </w:rPr>
      </w:pPr>
      <w:r>
        <w:rPr>
          <w:rFonts w:ascii="Arial" w:hAnsi="Arial"/>
          <w:szCs w:val="24"/>
        </w:rPr>
        <w:t>En ese entendido, resulta fácil colegir que para ese momento transcurrieron 21 años, 2 meses y 16 días contabilizados a partir de la fecha en que se suscribió el formulario de afiliación al RAIS -24/04/1996-, lo que implica que el acto jurídico del que se pretende la nulidad adquiri</w:t>
      </w:r>
      <w:r w:rsidR="00B57CE6">
        <w:rPr>
          <w:rFonts w:ascii="Arial" w:hAnsi="Arial"/>
          <w:szCs w:val="24"/>
        </w:rPr>
        <w:t xml:space="preserve">ó </w:t>
      </w:r>
      <w:r>
        <w:rPr>
          <w:rFonts w:ascii="Arial" w:hAnsi="Arial"/>
          <w:szCs w:val="24"/>
        </w:rPr>
        <w:t xml:space="preserve">firmeza y legalidad, al sobrepasar los 4 </w:t>
      </w:r>
      <w:r w:rsidR="00771EEF" w:rsidRPr="00D32024">
        <w:rPr>
          <w:rFonts w:ascii="Arial" w:hAnsi="Arial"/>
          <w:szCs w:val="24"/>
        </w:rPr>
        <w:t xml:space="preserve">años </w:t>
      </w:r>
      <w:r>
        <w:rPr>
          <w:rFonts w:ascii="Arial" w:hAnsi="Arial"/>
          <w:szCs w:val="24"/>
        </w:rPr>
        <w:t xml:space="preserve">a </w:t>
      </w:r>
      <w:r w:rsidR="00771EEF" w:rsidRPr="00D32024">
        <w:rPr>
          <w:rFonts w:ascii="Arial" w:hAnsi="Arial"/>
          <w:szCs w:val="24"/>
        </w:rPr>
        <w:t>su realización</w:t>
      </w:r>
      <w:r>
        <w:rPr>
          <w:rFonts w:ascii="Arial" w:hAnsi="Arial"/>
          <w:szCs w:val="24"/>
        </w:rPr>
        <w:t xml:space="preserve"> y por lo tanto, la </w:t>
      </w:r>
      <w:r w:rsidR="00771EEF" w:rsidRPr="00D32024">
        <w:rPr>
          <w:rFonts w:ascii="Arial" w:hAnsi="Arial"/>
          <w:szCs w:val="24"/>
        </w:rPr>
        <w:t>nulidad relativa</w:t>
      </w:r>
      <w:r>
        <w:rPr>
          <w:rFonts w:ascii="Arial" w:hAnsi="Arial"/>
          <w:szCs w:val="24"/>
        </w:rPr>
        <w:t xml:space="preserve"> que se </w:t>
      </w:r>
      <w:r w:rsidR="00B57CE6">
        <w:rPr>
          <w:rFonts w:ascii="Arial" w:hAnsi="Arial"/>
          <w:szCs w:val="24"/>
        </w:rPr>
        <w:t xml:space="preserve">pide como </w:t>
      </w:r>
      <w:r>
        <w:rPr>
          <w:rFonts w:ascii="Arial" w:hAnsi="Arial"/>
          <w:szCs w:val="24"/>
        </w:rPr>
        <w:t>consecuencia del v</w:t>
      </w:r>
      <w:r w:rsidR="009454D8">
        <w:rPr>
          <w:rFonts w:ascii="Arial" w:hAnsi="Arial"/>
          <w:szCs w:val="24"/>
        </w:rPr>
        <w:t>icio del consentimiento alegado</w:t>
      </w:r>
      <w:r w:rsidR="00B57CE6">
        <w:rPr>
          <w:rFonts w:ascii="Arial" w:hAnsi="Arial"/>
          <w:szCs w:val="24"/>
        </w:rPr>
        <w:t>,</w:t>
      </w:r>
      <w:r w:rsidR="00F4050C">
        <w:rPr>
          <w:rFonts w:ascii="Arial" w:hAnsi="Arial"/>
          <w:szCs w:val="24"/>
        </w:rPr>
        <w:t xml:space="preserve"> de haber existido</w:t>
      </w:r>
      <w:r w:rsidR="00771EEF" w:rsidRPr="00D32024">
        <w:rPr>
          <w:rFonts w:ascii="Arial" w:hAnsi="Arial"/>
          <w:szCs w:val="24"/>
        </w:rPr>
        <w:t>, ha quedado sanea</w:t>
      </w:r>
      <w:r>
        <w:rPr>
          <w:rFonts w:ascii="Arial" w:hAnsi="Arial"/>
          <w:szCs w:val="24"/>
        </w:rPr>
        <w:t xml:space="preserve">da por el transcurso del tiempo, lo que de suyo genera la </w:t>
      </w:r>
      <w:proofErr w:type="spellStart"/>
      <w:r>
        <w:rPr>
          <w:rFonts w:ascii="Arial" w:hAnsi="Arial"/>
          <w:szCs w:val="24"/>
        </w:rPr>
        <w:t>improsperidad</w:t>
      </w:r>
      <w:proofErr w:type="spellEnd"/>
      <w:r>
        <w:rPr>
          <w:rFonts w:ascii="Arial" w:hAnsi="Arial"/>
          <w:szCs w:val="24"/>
        </w:rPr>
        <w:t xml:space="preserve"> de la pretensión de nulidad.</w:t>
      </w:r>
    </w:p>
    <w:p w:rsidR="009454D8" w:rsidRDefault="009454D8" w:rsidP="00771EEF">
      <w:pPr>
        <w:spacing w:line="276" w:lineRule="auto"/>
        <w:jc w:val="both"/>
        <w:rPr>
          <w:rFonts w:ascii="Arial" w:hAnsi="Arial"/>
          <w:szCs w:val="24"/>
        </w:rPr>
      </w:pPr>
    </w:p>
    <w:p w:rsidR="00437340" w:rsidRDefault="009454D8" w:rsidP="00437340">
      <w:pPr>
        <w:spacing w:line="276" w:lineRule="auto"/>
        <w:jc w:val="both"/>
        <w:rPr>
          <w:rFonts w:ascii="Arial" w:hAnsi="Arial" w:cs="Arial"/>
          <w:szCs w:val="24"/>
        </w:rPr>
      </w:pPr>
      <w:r>
        <w:rPr>
          <w:rFonts w:ascii="Arial" w:hAnsi="Arial"/>
          <w:szCs w:val="24"/>
        </w:rPr>
        <w:lastRenderedPageBreak/>
        <w:t xml:space="preserve">Al </w:t>
      </w:r>
      <w:r w:rsidR="005A0D0C">
        <w:rPr>
          <w:rFonts w:ascii="Arial" w:hAnsi="Arial"/>
          <w:szCs w:val="24"/>
        </w:rPr>
        <w:t xml:space="preserve">margen de lo anterior, se considera necesario precisar que de todas maneras las pretensiones estarían llamadas al fracaso dado que </w:t>
      </w:r>
      <w:r w:rsidR="00437340" w:rsidRPr="00725C2C">
        <w:rPr>
          <w:rFonts w:ascii="Arial" w:hAnsi="Arial" w:cs="Arial"/>
          <w:szCs w:val="24"/>
        </w:rPr>
        <w:t xml:space="preserve">la parte demandante </w:t>
      </w:r>
      <w:r w:rsidR="00437340">
        <w:rPr>
          <w:rFonts w:ascii="Arial" w:hAnsi="Arial" w:cs="Arial"/>
          <w:szCs w:val="24"/>
        </w:rPr>
        <w:t xml:space="preserve">omitió allegar algún medio de convicción para probar </w:t>
      </w:r>
      <w:r w:rsidR="00F4050C">
        <w:rPr>
          <w:rFonts w:ascii="Arial" w:hAnsi="Arial" w:cs="Arial"/>
          <w:szCs w:val="24"/>
        </w:rPr>
        <w:t>el vicio del consentimiento</w:t>
      </w:r>
      <w:r w:rsidR="00437340">
        <w:rPr>
          <w:rFonts w:ascii="Arial" w:hAnsi="Arial" w:cs="Arial"/>
          <w:szCs w:val="24"/>
        </w:rPr>
        <w:t>; pues si bien solicitó la práctica de una prueba testimonial</w:t>
      </w:r>
      <w:r w:rsidR="00437340">
        <w:rPr>
          <w:rStyle w:val="Refdenotaalpie"/>
          <w:rFonts w:ascii="Arial" w:hAnsi="Arial" w:cs="Arial"/>
          <w:szCs w:val="24"/>
        </w:rPr>
        <w:footnoteReference w:id="5"/>
      </w:r>
      <w:r w:rsidR="00437340">
        <w:rPr>
          <w:rFonts w:ascii="Arial" w:hAnsi="Arial" w:cs="Arial"/>
          <w:szCs w:val="24"/>
        </w:rPr>
        <w:t xml:space="preserve"> desistió de la misma en la audiencia de trámite y juzgamiento.</w:t>
      </w:r>
    </w:p>
    <w:p w:rsidR="00437340" w:rsidRDefault="00437340" w:rsidP="00437340">
      <w:pPr>
        <w:spacing w:line="276" w:lineRule="auto"/>
        <w:jc w:val="both"/>
        <w:rPr>
          <w:rFonts w:ascii="Arial" w:hAnsi="Arial" w:cs="Arial"/>
          <w:szCs w:val="24"/>
        </w:rPr>
      </w:pPr>
    </w:p>
    <w:p w:rsidR="00437340" w:rsidRDefault="00824764" w:rsidP="00437340">
      <w:pPr>
        <w:spacing w:line="276" w:lineRule="auto"/>
        <w:jc w:val="both"/>
        <w:rPr>
          <w:rFonts w:ascii="Arial" w:eastAsiaTheme="minorHAnsi" w:hAnsi="Arial" w:cs="Arial"/>
          <w:iCs/>
          <w:szCs w:val="24"/>
        </w:rPr>
      </w:pPr>
      <w:r>
        <w:rPr>
          <w:rFonts w:ascii="Arial" w:hAnsi="Arial" w:cs="Arial"/>
          <w:szCs w:val="24"/>
        </w:rPr>
        <w:t>Y, si bien allegó algunos documentos</w:t>
      </w:r>
      <w:r w:rsidR="00437340">
        <w:rPr>
          <w:rFonts w:ascii="Arial" w:eastAsiaTheme="minorHAnsi" w:hAnsi="Arial" w:cs="Arial"/>
          <w:iCs/>
          <w:szCs w:val="24"/>
        </w:rPr>
        <w:t xml:space="preserve">, </w:t>
      </w:r>
      <w:r>
        <w:rPr>
          <w:rFonts w:ascii="Arial" w:eastAsiaTheme="minorHAnsi" w:hAnsi="Arial" w:cs="Arial"/>
          <w:iCs/>
          <w:szCs w:val="24"/>
        </w:rPr>
        <w:t xml:space="preserve">nada refieren respecto a la indebida asesoría o falta de información como generadores del vicio del consentimiento alegado, pues solo se refieren a </w:t>
      </w:r>
      <w:r w:rsidR="00437340">
        <w:rPr>
          <w:rFonts w:ascii="Arial" w:eastAsiaTheme="minorHAnsi" w:hAnsi="Arial" w:cs="Arial"/>
          <w:iCs/>
          <w:szCs w:val="24"/>
        </w:rPr>
        <w:t xml:space="preserve">peticiones de traslado con sus correspondientes respuestas, historia laboral expedida por Colpensiones, registro de cotizaciones al fondo privado y proyecciones, todas ellas realizadas o expedidas entre los años 2016 y 2017, ninguna relación tienen </w:t>
      </w:r>
      <w:r>
        <w:rPr>
          <w:rFonts w:ascii="Arial" w:eastAsiaTheme="minorHAnsi" w:hAnsi="Arial" w:cs="Arial"/>
          <w:iCs/>
          <w:szCs w:val="24"/>
        </w:rPr>
        <w:t xml:space="preserve">con </w:t>
      </w:r>
      <w:r w:rsidR="00437340">
        <w:rPr>
          <w:rFonts w:ascii="Arial" w:eastAsiaTheme="minorHAnsi" w:hAnsi="Arial" w:cs="Arial"/>
          <w:iCs/>
          <w:szCs w:val="24"/>
        </w:rPr>
        <w:t>los pormenores que suscitaron el cambio de régimen del que ahora se duele.</w:t>
      </w:r>
    </w:p>
    <w:p w:rsidR="00824764" w:rsidRDefault="00824764" w:rsidP="00437340">
      <w:pPr>
        <w:spacing w:line="276" w:lineRule="auto"/>
        <w:jc w:val="both"/>
        <w:rPr>
          <w:rFonts w:ascii="Arial" w:eastAsiaTheme="minorHAnsi" w:hAnsi="Arial" w:cs="Arial"/>
          <w:iCs/>
          <w:szCs w:val="24"/>
        </w:rPr>
      </w:pPr>
    </w:p>
    <w:p w:rsidR="00824764" w:rsidRDefault="00824764" w:rsidP="00437340">
      <w:pPr>
        <w:spacing w:line="276" w:lineRule="auto"/>
        <w:jc w:val="both"/>
        <w:rPr>
          <w:rFonts w:ascii="Arial" w:eastAsiaTheme="minorHAnsi" w:hAnsi="Arial" w:cs="Arial"/>
          <w:iCs/>
          <w:szCs w:val="24"/>
        </w:rPr>
      </w:pPr>
      <w:r>
        <w:rPr>
          <w:rFonts w:ascii="Arial" w:eastAsiaTheme="minorHAnsi" w:hAnsi="Arial" w:cs="Arial"/>
          <w:iCs/>
          <w:szCs w:val="24"/>
        </w:rPr>
        <w:t xml:space="preserve">Ahora, lo que se demostró es que el </w:t>
      </w:r>
      <w:r w:rsidR="003B1DFF">
        <w:rPr>
          <w:rFonts w:ascii="Arial" w:eastAsiaTheme="minorHAnsi" w:hAnsi="Arial" w:cs="Arial"/>
          <w:iCs/>
          <w:szCs w:val="24"/>
        </w:rPr>
        <w:t xml:space="preserve">traslado efectuado por la actora al RAIS en el año 1996 </w:t>
      </w:r>
      <w:r>
        <w:rPr>
          <w:rFonts w:ascii="Arial" w:eastAsiaTheme="minorHAnsi" w:hAnsi="Arial" w:cs="Arial"/>
          <w:iCs/>
          <w:szCs w:val="24"/>
        </w:rPr>
        <w:t xml:space="preserve">estuvo precedido de la debida información, pues </w:t>
      </w:r>
      <w:r w:rsidR="003B1DFF">
        <w:rPr>
          <w:rFonts w:ascii="Arial" w:eastAsiaTheme="minorHAnsi" w:hAnsi="Arial" w:cs="Arial"/>
          <w:iCs/>
          <w:szCs w:val="24"/>
        </w:rPr>
        <w:t>ello se desprende de la firma que estampó en el respectivo formulario –</w:t>
      </w:r>
      <w:proofErr w:type="spellStart"/>
      <w:r w:rsidR="003B1DFF">
        <w:rPr>
          <w:rFonts w:ascii="Arial" w:eastAsiaTheme="minorHAnsi" w:hAnsi="Arial" w:cs="Arial"/>
          <w:iCs/>
          <w:szCs w:val="24"/>
        </w:rPr>
        <w:t>fl</w:t>
      </w:r>
      <w:proofErr w:type="spellEnd"/>
      <w:r w:rsidR="003B1DFF">
        <w:rPr>
          <w:rFonts w:ascii="Arial" w:eastAsiaTheme="minorHAnsi" w:hAnsi="Arial" w:cs="Arial"/>
          <w:iCs/>
          <w:szCs w:val="24"/>
        </w:rPr>
        <w:t>. 20-, el que una vez revisado, cuenta con la información que para esa época era la exigida por la Ley, conforme a las directrices previstas en el Decreto 692 de 1994 a través del cual se reglamentó en lo pertinente la Ley 100/93.</w:t>
      </w:r>
      <w:r w:rsidR="00643D57">
        <w:rPr>
          <w:rFonts w:ascii="Arial" w:eastAsiaTheme="minorHAnsi" w:hAnsi="Arial" w:cs="Arial"/>
          <w:iCs/>
          <w:szCs w:val="24"/>
        </w:rPr>
        <w:t xml:space="preserve"> </w:t>
      </w:r>
      <w:r w:rsidR="00643D57" w:rsidRPr="00643D57">
        <w:rPr>
          <w:rFonts w:ascii="Arial" w:eastAsiaTheme="minorHAnsi" w:hAnsi="Arial" w:cs="Arial"/>
          <w:i/>
          <w:iCs/>
          <w:szCs w:val="24"/>
        </w:rPr>
        <w:t>–Principio de confianza legítima.</w:t>
      </w:r>
    </w:p>
    <w:p w:rsidR="00437340" w:rsidRDefault="00437340" w:rsidP="00437340">
      <w:pPr>
        <w:spacing w:line="276" w:lineRule="auto"/>
        <w:jc w:val="both"/>
        <w:rPr>
          <w:rFonts w:ascii="Arial" w:eastAsiaTheme="minorHAnsi" w:hAnsi="Arial" w:cs="Arial"/>
          <w:iCs/>
          <w:szCs w:val="24"/>
        </w:rPr>
      </w:pPr>
    </w:p>
    <w:p w:rsidR="00643D57" w:rsidRDefault="00643D57" w:rsidP="00437340">
      <w:pPr>
        <w:spacing w:line="276" w:lineRule="auto"/>
        <w:jc w:val="both"/>
        <w:rPr>
          <w:rFonts w:ascii="Arial" w:hAnsi="Arial" w:cs="Arial"/>
          <w:color w:val="000000" w:themeColor="text1"/>
          <w:szCs w:val="24"/>
          <w:lang w:val="es-ES"/>
        </w:rPr>
      </w:pPr>
      <w:r>
        <w:rPr>
          <w:rFonts w:ascii="Arial" w:hAnsi="Arial" w:cs="Arial"/>
          <w:szCs w:val="24"/>
        </w:rPr>
        <w:t xml:space="preserve">Sumado a lo anterior, </w:t>
      </w:r>
      <w:r w:rsidR="00437340">
        <w:rPr>
          <w:rFonts w:ascii="Arial" w:hAnsi="Arial" w:cs="Arial"/>
          <w:szCs w:val="24"/>
        </w:rPr>
        <w:t xml:space="preserve">en su interrogatorio </w:t>
      </w:r>
      <w:r>
        <w:rPr>
          <w:rFonts w:ascii="Arial" w:hAnsi="Arial" w:cs="Arial"/>
          <w:szCs w:val="24"/>
        </w:rPr>
        <w:t>la demandante</w:t>
      </w:r>
      <w:r w:rsidR="00437340">
        <w:rPr>
          <w:rFonts w:ascii="Arial" w:hAnsi="Arial" w:cs="Arial"/>
          <w:szCs w:val="24"/>
        </w:rPr>
        <w:t>, señaló que se trasladó porque un asesor de Colpatria le dijo que en el fondo privado a diferencia d</w:t>
      </w:r>
      <w:r>
        <w:rPr>
          <w:rFonts w:ascii="Arial" w:hAnsi="Arial" w:cs="Arial"/>
          <w:szCs w:val="24"/>
        </w:rPr>
        <w:t xml:space="preserve">el ISS la pensión era más alta y que en caso de fallecer </w:t>
      </w:r>
      <w:r w:rsidRPr="00705E44">
        <w:rPr>
          <w:rFonts w:ascii="Arial" w:hAnsi="Arial" w:cs="Arial"/>
          <w:color w:val="000000" w:themeColor="text1"/>
          <w:szCs w:val="24"/>
          <w:lang w:val="es-ES"/>
        </w:rPr>
        <w:t>la podía cobrar un hijo o el esposo y en el</w:t>
      </w:r>
      <w:r>
        <w:rPr>
          <w:rFonts w:ascii="Arial" w:hAnsi="Arial" w:cs="Arial"/>
          <w:color w:val="000000" w:themeColor="text1"/>
          <w:szCs w:val="24"/>
          <w:lang w:val="es-ES"/>
        </w:rPr>
        <w:t xml:space="preserve"> </w:t>
      </w:r>
      <w:r w:rsidRPr="00705E44">
        <w:rPr>
          <w:rFonts w:ascii="Arial" w:hAnsi="Arial" w:cs="Arial"/>
          <w:color w:val="000000" w:themeColor="text1"/>
          <w:szCs w:val="24"/>
          <w:lang w:val="es-ES"/>
        </w:rPr>
        <w:t>ISS solo ella y el esposo y que lo demás todo se perdía</w:t>
      </w:r>
      <w:r w:rsidR="00074F93">
        <w:rPr>
          <w:rFonts w:ascii="Arial" w:hAnsi="Arial" w:cs="Arial"/>
          <w:color w:val="000000" w:themeColor="text1"/>
          <w:szCs w:val="24"/>
          <w:lang w:val="es-ES"/>
        </w:rPr>
        <w:t>, información que resulta veraz,</w:t>
      </w:r>
      <w:r>
        <w:rPr>
          <w:rFonts w:ascii="Arial" w:hAnsi="Arial" w:cs="Arial"/>
          <w:color w:val="000000" w:themeColor="text1"/>
          <w:szCs w:val="24"/>
          <w:lang w:val="es-ES"/>
        </w:rPr>
        <w:t xml:space="preserve"> </w:t>
      </w:r>
      <w:r w:rsidR="00074F93" w:rsidRPr="00725C2C">
        <w:rPr>
          <w:rFonts w:ascii="Arial" w:hAnsi="Arial" w:cs="Arial"/>
          <w:szCs w:val="24"/>
        </w:rPr>
        <w:t>dado que es totalmente acorde con la ley la posibilidad de devol</w:t>
      </w:r>
      <w:r w:rsidR="00074F93">
        <w:rPr>
          <w:rFonts w:ascii="Arial" w:hAnsi="Arial" w:cs="Arial"/>
          <w:szCs w:val="24"/>
        </w:rPr>
        <w:t xml:space="preserve">ución de </w:t>
      </w:r>
      <w:r w:rsidR="00074F93" w:rsidRPr="00725C2C">
        <w:rPr>
          <w:rFonts w:ascii="Arial" w:hAnsi="Arial" w:cs="Arial"/>
          <w:szCs w:val="24"/>
        </w:rPr>
        <w:t xml:space="preserve">saldos en el evento de no ser posible otorgarse una pensión mínima (artículos 66,72 y 78 de la Ley citada) o hacer parte de la masa </w:t>
      </w:r>
      <w:proofErr w:type="spellStart"/>
      <w:r w:rsidR="00074F93" w:rsidRPr="00725C2C">
        <w:rPr>
          <w:rFonts w:ascii="Arial" w:hAnsi="Arial" w:cs="Arial"/>
          <w:szCs w:val="24"/>
        </w:rPr>
        <w:t>sucesoral</w:t>
      </w:r>
      <w:proofErr w:type="spellEnd"/>
      <w:r w:rsidR="00074F93" w:rsidRPr="00725C2C">
        <w:rPr>
          <w:rFonts w:ascii="Arial" w:hAnsi="Arial" w:cs="Arial"/>
          <w:szCs w:val="24"/>
        </w:rPr>
        <w:t xml:space="preserve"> los aportes ante la no existencia de beneficiarios</w:t>
      </w:r>
      <w:r w:rsidR="00074F93">
        <w:rPr>
          <w:rFonts w:ascii="Arial" w:hAnsi="Arial" w:cs="Arial"/>
          <w:szCs w:val="24"/>
        </w:rPr>
        <w:t xml:space="preserve"> en caso de fallecimiento del afiliado</w:t>
      </w:r>
      <w:r w:rsidR="00074F93" w:rsidRPr="00725C2C">
        <w:rPr>
          <w:rFonts w:ascii="Arial" w:hAnsi="Arial" w:cs="Arial"/>
          <w:szCs w:val="24"/>
        </w:rPr>
        <w:t xml:space="preserve"> (art. 76 ibídem).</w:t>
      </w:r>
    </w:p>
    <w:p w:rsidR="00643D57" w:rsidRDefault="00643D57" w:rsidP="00437340">
      <w:pPr>
        <w:spacing w:line="276" w:lineRule="auto"/>
        <w:jc w:val="both"/>
        <w:rPr>
          <w:rFonts w:ascii="Arial" w:hAnsi="Arial" w:cs="Arial"/>
          <w:color w:val="000000" w:themeColor="text1"/>
          <w:szCs w:val="24"/>
          <w:lang w:val="es-ES"/>
        </w:rPr>
      </w:pPr>
    </w:p>
    <w:p w:rsidR="00437340" w:rsidRDefault="00643D57" w:rsidP="00437340">
      <w:pPr>
        <w:spacing w:line="276" w:lineRule="auto"/>
        <w:jc w:val="both"/>
        <w:rPr>
          <w:rFonts w:ascii="Arial" w:hAnsi="Arial" w:cs="Arial"/>
          <w:szCs w:val="24"/>
          <w:lang w:eastAsia="es-CO"/>
        </w:rPr>
      </w:pPr>
      <w:r>
        <w:rPr>
          <w:rFonts w:ascii="Arial" w:hAnsi="Arial" w:cs="Arial"/>
          <w:color w:val="000000" w:themeColor="text1"/>
          <w:szCs w:val="24"/>
          <w:lang w:val="es-ES"/>
        </w:rPr>
        <w:t>S</w:t>
      </w:r>
      <w:r w:rsidR="00437340">
        <w:rPr>
          <w:rFonts w:ascii="Arial" w:hAnsi="Arial" w:cs="Arial"/>
          <w:color w:val="000000" w:themeColor="text1"/>
          <w:szCs w:val="24"/>
          <w:lang w:val="es-ES"/>
        </w:rPr>
        <w:t xml:space="preserve">in </w:t>
      </w:r>
      <w:r w:rsidR="00074F93">
        <w:rPr>
          <w:rFonts w:ascii="Arial" w:hAnsi="Arial" w:cs="Arial"/>
          <w:color w:val="000000" w:themeColor="text1"/>
          <w:szCs w:val="24"/>
          <w:lang w:val="es-ES"/>
        </w:rPr>
        <w:t xml:space="preserve">que la </w:t>
      </w:r>
      <w:r w:rsidR="00B57CE6">
        <w:rPr>
          <w:rFonts w:ascii="Arial" w:hAnsi="Arial" w:cs="Arial"/>
          <w:color w:val="000000" w:themeColor="text1"/>
          <w:szCs w:val="24"/>
          <w:lang w:val="es-ES"/>
        </w:rPr>
        <w:t>inexistencia de las proyecciones de la</w:t>
      </w:r>
      <w:r w:rsidR="00074F93">
        <w:rPr>
          <w:rFonts w:ascii="Arial" w:hAnsi="Arial" w:cs="Arial"/>
          <w:color w:val="000000" w:themeColor="text1"/>
          <w:szCs w:val="24"/>
          <w:lang w:val="es-ES"/>
        </w:rPr>
        <w:t xml:space="preserve"> expectativa pensional resulte s</w:t>
      </w:r>
      <w:r w:rsidR="00437340">
        <w:rPr>
          <w:rFonts w:ascii="Arial" w:hAnsi="Arial" w:cs="Arial"/>
          <w:color w:val="000000" w:themeColor="text1"/>
          <w:szCs w:val="24"/>
          <w:lang w:val="es-ES"/>
        </w:rPr>
        <w:t>uficiente para</w:t>
      </w:r>
      <w:r w:rsidR="00074F93">
        <w:rPr>
          <w:rFonts w:ascii="Arial" w:hAnsi="Arial" w:cs="Arial"/>
          <w:color w:val="000000" w:themeColor="text1"/>
          <w:szCs w:val="24"/>
          <w:lang w:val="es-ES"/>
        </w:rPr>
        <w:t xml:space="preserve"> el éxito de las </w:t>
      </w:r>
      <w:r w:rsidR="00437340">
        <w:rPr>
          <w:rFonts w:ascii="Arial" w:hAnsi="Arial" w:cs="Arial"/>
          <w:color w:val="000000" w:themeColor="text1"/>
          <w:szCs w:val="24"/>
          <w:lang w:val="es-ES"/>
        </w:rPr>
        <w:t>pretensiones</w:t>
      </w:r>
      <w:r w:rsidR="00074F93">
        <w:rPr>
          <w:rFonts w:ascii="Arial" w:hAnsi="Arial" w:cs="Arial"/>
          <w:color w:val="000000" w:themeColor="text1"/>
          <w:szCs w:val="24"/>
          <w:lang w:val="es-ES"/>
        </w:rPr>
        <w:t xml:space="preserve"> de la demanda</w:t>
      </w:r>
      <w:r w:rsidR="00437340">
        <w:rPr>
          <w:rFonts w:ascii="Arial" w:hAnsi="Arial" w:cs="Arial"/>
          <w:color w:val="000000" w:themeColor="text1"/>
          <w:szCs w:val="24"/>
          <w:lang w:val="es-ES"/>
        </w:rPr>
        <w:t xml:space="preserve">, </w:t>
      </w:r>
      <w:r w:rsidR="00074F93">
        <w:rPr>
          <w:rFonts w:ascii="Arial" w:hAnsi="Arial" w:cs="Arial"/>
          <w:color w:val="000000" w:themeColor="text1"/>
          <w:szCs w:val="24"/>
          <w:lang w:val="es-ES"/>
        </w:rPr>
        <w:t xml:space="preserve">porque </w:t>
      </w:r>
      <w:r w:rsidR="00437340">
        <w:rPr>
          <w:rFonts w:ascii="Arial" w:hAnsi="Arial" w:cs="Arial"/>
          <w:szCs w:val="24"/>
        </w:rPr>
        <w:t xml:space="preserve">para la época en que se dio el traslado de régimen, a las administradoras no les asistía la obligación de realizar un cálculo o proyección para determinar el valor de la mesada pensional que pudiese recibir en ese régimen, pues esta solo surgió con la expedición de la Ley </w:t>
      </w:r>
      <w:r w:rsidR="00437340">
        <w:rPr>
          <w:rFonts w:ascii="Arial" w:hAnsi="Arial" w:cs="Arial"/>
          <w:szCs w:val="24"/>
          <w:lang w:eastAsia="es-CO"/>
        </w:rPr>
        <w:t>1748 de 2014</w:t>
      </w:r>
      <w:r w:rsidR="00437340">
        <w:rPr>
          <w:rStyle w:val="Refdenotaalpie"/>
          <w:rFonts w:ascii="Arial" w:hAnsi="Arial" w:cs="Arial"/>
          <w:szCs w:val="24"/>
          <w:lang w:eastAsia="es-CO"/>
        </w:rPr>
        <w:footnoteReference w:id="6"/>
      </w:r>
      <w:r w:rsidR="00437340">
        <w:rPr>
          <w:rFonts w:ascii="Arial" w:hAnsi="Arial" w:cs="Arial"/>
          <w:szCs w:val="24"/>
          <w:lang w:eastAsia="es-CO"/>
        </w:rPr>
        <w:t xml:space="preserve"> y el Decreto 2071 de 2015</w:t>
      </w:r>
      <w:r w:rsidR="00437340">
        <w:rPr>
          <w:rStyle w:val="Refdenotaalpie"/>
          <w:rFonts w:ascii="Arial" w:hAnsi="Arial" w:cs="Arial"/>
          <w:szCs w:val="24"/>
          <w:lang w:eastAsia="es-CO"/>
        </w:rPr>
        <w:footnoteReference w:id="7"/>
      </w:r>
      <w:r w:rsidR="00074F93">
        <w:rPr>
          <w:rFonts w:ascii="Arial" w:hAnsi="Arial" w:cs="Arial"/>
          <w:szCs w:val="24"/>
          <w:lang w:eastAsia="es-CO"/>
        </w:rPr>
        <w:t>.</w:t>
      </w:r>
      <w:r w:rsidRPr="00725C2C">
        <w:rPr>
          <w:rFonts w:ascii="Arial" w:hAnsi="Arial" w:cs="Arial"/>
          <w:szCs w:val="24"/>
        </w:rPr>
        <w:t xml:space="preserve"> </w:t>
      </w:r>
    </w:p>
    <w:p w:rsidR="00437340" w:rsidRDefault="00437340" w:rsidP="00437340">
      <w:pPr>
        <w:spacing w:line="276" w:lineRule="auto"/>
        <w:jc w:val="both"/>
        <w:rPr>
          <w:rFonts w:ascii="Arial" w:hAnsi="Arial" w:cs="Arial"/>
          <w:szCs w:val="24"/>
          <w:lang w:eastAsia="es-CO"/>
        </w:rPr>
      </w:pP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C64A1B"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lang w:eastAsia="es-CO"/>
        </w:rPr>
        <w:t xml:space="preserve">Conforme lo expuesto, la decisión revisada será </w:t>
      </w:r>
      <w:r w:rsidR="000363A7">
        <w:rPr>
          <w:rFonts w:ascii="Arial" w:hAnsi="Arial" w:cs="Arial"/>
          <w:color w:val="000000" w:themeColor="text1"/>
          <w:szCs w:val="24"/>
          <w:lang w:eastAsia="es-CO"/>
        </w:rPr>
        <w:t>confirmada pero por las razones expuestas en esta providencia</w:t>
      </w:r>
      <w:r>
        <w:rPr>
          <w:rFonts w:ascii="Arial" w:hAnsi="Arial" w:cs="Arial"/>
          <w:color w:val="000000" w:themeColor="text1"/>
          <w:szCs w:val="24"/>
          <w:lang w:eastAsia="es-CO"/>
        </w:rPr>
        <w:t>.</w:t>
      </w:r>
      <w:r w:rsidR="00691AC6">
        <w:rPr>
          <w:rFonts w:ascii="Arial" w:hAnsi="Arial" w:cs="Arial"/>
          <w:color w:val="000000" w:themeColor="text1"/>
          <w:szCs w:val="24"/>
          <w:lang w:eastAsia="es-CO"/>
        </w:rPr>
        <w:t xml:space="preserve">  </w:t>
      </w:r>
      <w:r w:rsidRPr="00BF2D49">
        <w:rPr>
          <w:rFonts w:ascii="Arial" w:hAnsi="Arial" w:cs="Arial"/>
          <w:color w:val="000000" w:themeColor="text1"/>
          <w:szCs w:val="24"/>
        </w:rPr>
        <w:t>Cost</w:t>
      </w:r>
      <w:r>
        <w:rPr>
          <w:rFonts w:ascii="Arial" w:hAnsi="Arial" w:cs="Arial"/>
          <w:color w:val="000000" w:themeColor="text1"/>
          <w:szCs w:val="24"/>
        </w:rPr>
        <w:t xml:space="preserve">as en </w:t>
      </w:r>
      <w:r w:rsidR="000363A7">
        <w:rPr>
          <w:rFonts w:ascii="Arial" w:hAnsi="Arial" w:cs="Arial"/>
          <w:color w:val="000000" w:themeColor="text1"/>
          <w:szCs w:val="24"/>
        </w:rPr>
        <w:t>esta instancia</w:t>
      </w:r>
      <w:r w:rsidR="00B21B4F">
        <w:rPr>
          <w:rFonts w:ascii="Arial" w:hAnsi="Arial" w:cs="Arial"/>
          <w:color w:val="000000" w:themeColor="text1"/>
          <w:szCs w:val="24"/>
        </w:rPr>
        <w:t xml:space="preserve"> a cargo de la parte actora  y a favor de la</w:t>
      </w:r>
      <w:r w:rsidR="0058174E">
        <w:rPr>
          <w:rFonts w:ascii="Arial" w:hAnsi="Arial" w:cs="Arial"/>
          <w:color w:val="000000" w:themeColor="text1"/>
          <w:szCs w:val="24"/>
        </w:rPr>
        <w:t>s demandadas por partes iguales, conforme lo dispone el numeral 4º del artículo 365 del C.G.P.</w:t>
      </w: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lastRenderedPageBreak/>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0363A7">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Pr="00BF2D49" w:rsidRDefault="00FE35C9" w:rsidP="005920A9">
      <w:pPr>
        <w:pStyle w:val="Prrafodelista2"/>
        <w:spacing w:after="0"/>
        <w:ind w:left="0"/>
        <w:jc w:val="both"/>
        <w:rPr>
          <w:rFonts w:ascii="Arial" w:hAnsi="Arial" w:cs="Arial"/>
          <w:color w:val="000000" w:themeColor="text1"/>
          <w:sz w:val="24"/>
          <w:szCs w:val="24"/>
        </w:rPr>
      </w:pPr>
    </w:p>
    <w:p w:rsidR="0063603E"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RESUELVE</w:t>
      </w:r>
    </w:p>
    <w:p w:rsidR="00691AC6" w:rsidRPr="00BF2D49" w:rsidRDefault="00691AC6" w:rsidP="005920A9">
      <w:pPr>
        <w:spacing w:line="276" w:lineRule="auto"/>
        <w:contextualSpacing/>
        <w:jc w:val="center"/>
        <w:rPr>
          <w:rFonts w:ascii="Arial" w:hAnsi="Arial" w:cs="Arial"/>
          <w:b/>
          <w:color w:val="000000" w:themeColor="text1"/>
          <w:szCs w:val="24"/>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0363A7">
        <w:rPr>
          <w:rFonts w:ascii="Arial" w:hAnsi="Arial" w:cs="Arial"/>
          <w:b/>
          <w:color w:val="000000" w:themeColor="text1"/>
          <w:sz w:val="24"/>
          <w:szCs w:val="24"/>
        </w:rPr>
        <w:t>CONFI</w:t>
      </w:r>
      <w:r w:rsidR="007213C7">
        <w:rPr>
          <w:rFonts w:ascii="Arial" w:hAnsi="Arial" w:cs="Arial"/>
          <w:b/>
          <w:color w:val="000000" w:themeColor="text1"/>
          <w:sz w:val="24"/>
          <w:szCs w:val="24"/>
        </w:rPr>
        <w:t>R</w:t>
      </w:r>
      <w:r w:rsidR="000363A7">
        <w:rPr>
          <w:rFonts w:ascii="Arial" w:hAnsi="Arial" w:cs="Arial"/>
          <w:b/>
          <w:color w:val="000000" w:themeColor="text1"/>
          <w:sz w:val="24"/>
          <w:szCs w:val="24"/>
        </w:rPr>
        <w:t xml:space="preserve">MAR </w:t>
      </w:r>
      <w:r w:rsidR="000363A7" w:rsidRPr="000363A7">
        <w:rPr>
          <w:rFonts w:ascii="Arial" w:hAnsi="Arial" w:cs="Arial"/>
          <w:color w:val="000000" w:themeColor="text1"/>
          <w:sz w:val="24"/>
          <w:szCs w:val="24"/>
        </w:rPr>
        <w:t>por razones diferentes</w:t>
      </w:r>
      <w:r w:rsidR="000363A7">
        <w:rPr>
          <w:rFonts w:ascii="Arial" w:hAnsi="Arial" w:cs="Arial"/>
          <w:color w:val="000000" w:themeColor="text1"/>
          <w:sz w:val="24"/>
          <w:szCs w:val="24"/>
        </w:rPr>
        <w:t>,</w:t>
      </w:r>
      <w:r w:rsidR="000363A7">
        <w:rPr>
          <w:rFonts w:ascii="Arial" w:hAnsi="Arial" w:cs="Arial"/>
          <w:b/>
          <w:color w:val="000000" w:themeColor="text1"/>
          <w:sz w:val="24"/>
          <w:szCs w:val="24"/>
        </w:rPr>
        <w:t xml:space="preserve"> </w:t>
      </w:r>
      <w:r w:rsidR="00646BE7">
        <w:rPr>
          <w:rFonts w:ascii="Arial" w:hAnsi="Arial" w:cs="Arial"/>
          <w:color w:val="000000" w:themeColor="text1"/>
          <w:sz w:val="24"/>
          <w:szCs w:val="24"/>
        </w:rPr>
        <w:t xml:space="preserve">la sentencia proferida el </w:t>
      </w:r>
      <w:r w:rsidR="000363A7">
        <w:rPr>
          <w:rFonts w:ascii="Arial" w:hAnsi="Arial" w:cs="Arial"/>
          <w:color w:val="000000" w:themeColor="text1"/>
          <w:sz w:val="24"/>
          <w:szCs w:val="24"/>
        </w:rPr>
        <w:t>09</w:t>
      </w:r>
      <w:r w:rsidR="00AB5AE6">
        <w:rPr>
          <w:rFonts w:ascii="Arial" w:hAnsi="Arial" w:cs="Arial"/>
          <w:color w:val="000000" w:themeColor="text1"/>
          <w:sz w:val="24"/>
          <w:szCs w:val="24"/>
        </w:rPr>
        <w:t xml:space="preserve"> </w:t>
      </w:r>
      <w:r w:rsidRPr="00BF2D49">
        <w:rPr>
          <w:rFonts w:ascii="Arial" w:hAnsi="Arial" w:cs="Arial"/>
          <w:color w:val="000000" w:themeColor="text1"/>
          <w:sz w:val="24"/>
          <w:szCs w:val="24"/>
        </w:rPr>
        <w:t xml:space="preserve">de </w:t>
      </w:r>
      <w:r w:rsidR="000363A7">
        <w:rPr>
          <w:rFonts w:ascii="Arial" w:hAnsi="Arial" w:cs="Arial"/>
          <w:color w:val="000000" w:themeColor="text1"/>
          <w:sz w:val="24"/>
          <w:szCs w:val="24"/>
        </w:rPr>
        <w:t xml:space="preserve">abril </w:t>
      </w:r>
      <w:r>
        <w:rPr>
          <w:rFonts w:ascii="Arial" w:hAnsi="Arial" w:cs="Arial"/>
          <w:color w:val="000000" w:themeColor="text1"/>
          <w:sz w:val="24"/>
          <w:szCs w:val="24"/>
        </w:rPr>
        <w:t>de 201</w:t>
      </w:r>
      <w:r w:rsidR="00D20F9A">
        <w:rPr>
          <w:rFonts w:ascii="Arial" w:hAnsi="Arial" w:cs="Arial"/>
          <w:color w:val="000000" w:themeColor="text1"/>
          <w:sz w:val="24"/>
          <w:szCs w:val="24"/>
        </w:rPr>
        <w:t>8</w:t>
      </w:r>
      <w:r w:rsidRPr="00BF2D49">
        <w:rPr>
          <w:rFonts w:ascii="Arial" w:hAnsi="Arial" w:cs="Arial"/>
          <w:color w:val="000000" w:themeColor="text1"/>
          <w:sz w:val="24"/>
          <w:szCs w:val="24"/>
        </w:rPr>
        <w:t xml:space="preserve"> por el Juzgado </w:t>
      </w:r>
      <w:r w:rsidR="00D20F9A">
        <w:rPr>
          <w:rFonts w:ascii="Arial" w:hAnsi="Arial" w:cs="Arial"/>
          <w:color w:val="000000" w:themeColor="text1"/>
          <w:sz w:val="24"/>
          <w:szCs w:val="24"/>
        </w:rPr>
        <w:t xml:space="preserve">Cuarto </w:t>
      </w:r>
      <w:r w:rsidRPr="00BF2D49">
        <w:rPr>
          <w:rFonts w:ascii="Arial" w:hAnsi="Arial" w:cs="Arial"/>
          <w:color w:val="000000" w:themeColor="text1"/>
          <w:sz w:val="24"/>
          <w:szCs w:val="24"/>
        </w:rPr>
        <w:t xml:space="preserve">Laboral del Circuito de Pereira, dentro del proceso ordinario laboral propuesto por </w:t>
      </w:r>
      <w:r w:rsidR="00AB5AE6">
        <w:rPr>
          <w:rFonts w:ascii="Arial" w:hAnsi="Arial" w:cs="Arial"/>
          <w:color w:val="000000" w:themeColor="text1"/>
          <w:sz w:val="24"/>
          <w:szCs w:val="24"/>
        </w:rPr>
        <w:t>la</w:t>
      </w:r>
      <w:r>
        <w:rPr>
          <w:rFonts w:ascii="Arial" w:hAnsi="Arial" w:cs="Arial"/>
          <w:color w:val="000000" w:themeColor="text1"/>
          <w:sz w:val="24"/>
          <w:szCs w:val="24"/>
        </w:rPr>
        <w:t xml:space="preserve"> señor</w:t>
      </w:r>
      <w:r w:rsidR="00AB5AE6">
        <w:rPr>
          <w:rFonts w:ascii="Arial" w:hAnsi="Arial" w:cs="Arial"/>
          <w:color w:val="000000" w:themeColor="text1"/>
          <w:sz w:val="24"/>
          <w:szCs w:val="24"/>
        </w:rPr>
        <w:t>a</w:t>
      </w:r>
      <w:r>
        <w:rPr>
          <w:rFonts w:ascii="Arial" w:hAnsi="Arial" w:cs="Arial"/>
          <w:color w:val="000000" w:themeColor="text1"/>
          <w:sz w:val="24"/>
          <w:szCs w:val="24"/>
        </w:rPr>
        <w:t xml:space="preserve"> </w:t>
      </w:r>
      <w:r w:rsidR="0083638D">
        <w:rPr>
          <w:rFonts w:ascii="Arial" w:hAnsi="Arial" w:cs="Arial"/>
          <w:b/>
          <w:color w:val="000000" w:themeColor="text1"/>
          <w:sz w:val="24"/>
          <w:szCs w:val="24"/>
        </w:rPr>
        <w:t>Clara Rosa Ramírez Mosquera</w:t>
      </w:r>
      <w:r w:rsidR="003A4CF9">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sidR="008908CC">
        <w:rPr>
          <w:rFonts w:ascii="Arial" w:hAnsi="Arial" w:cs="Arial"/>
          <w:b/>
          <w:color w:val="000000" w:themeColor="text1"/>
          <w:sz w:val="24"/>
          <w:szCs w:val="24"/>
        </w:rPr>
        <w:t xml:space="preserve"> </w:t>
      </w:r>
      <w:r w:rsidR="008908CC" w:rsidRPr="00646BE7">
        <w:rPr>
          <w:rFonts w:ascii="Arial" w:hAnsi="Arial" w:cs="Arial"/>
          <w:color w:val="000000" w:themeColor="text1"/>
          <w:sz w:val="24"/>
          <w:szCs w:val="24"/>
        </w:rPr>
        <w:t>y</w:t>
      </w:r>
      <w:r w:rsidR="008908CC">
        <w:rPr>
          <w:rFonts w:ascii="Arial" w:hAnsi="Arial" w:cs="Arial"/>
          <w:b/>
          <w:color w:val="000000" w:themeColor="text1"/>
          <w:sz w:val="24"/>
          <w:szCs w:val="24"/>
        </w:rPr>
        <w:t xml:space="preserve"> Porvenir S.A.</w:t>
      </w:r>
      <w:r w:rsidR="0058174E">
        <w:rPr>
          <w:rFonts w:ascii="Arial" w:hAnsi="Arial" w:cs="Arial"/>
          <w:color w:val="000000" w:themeColor="text1"/>
          <w:sz w:val="24"/>
          <w:szCs w:val="24"/>
        </w:rPr>
        <w:t>, según lo dicho en precedencia.</w:t>
      </w:r>
    </w:p>
    <w:p w:rsidR="004400E5"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Costas en </w:t>
      </w:r>
      <w:r w:rsidR="000363A7">
        <w:rPr>
          <w:rFonts w:ascii="Arial" w:hAnsi="Arial" w:cs="Arial"/>
          <w:color w:val="000000" w:themeColor="text1"/>
          <w:szCs w:val="24"/>
        </w:rPr>
        <w:t>esta instancia</w:t>
      </w:r>
      <w:r w:rsidR="0058174E">
        <w:rPr>
          <w:rFonts w:ascii="Arial" w:hAnsi="Arial" w:cs="Arial"/>
          <w:color w:val="000000" w:themeColor="text1"/>
          <w:szCs w:val="24"/>
        </w:rPr>
        <w:t xml:space="preserve"> a cargo de la parte actora y a favor de las demandadas por partes iguales</w:t>
      </w:r>
      <w:r w:rsidR="00D54708">
        <w:rPr>
          <w:rFonts w:ascii="Arial" w:hAnsi="Arial" w:cs="Arial"/>
          <w:color w:val="000000" w:themeColor="text1"/>
          <w:szCs w:val="24"/>
        </w:rPr>
        <w:t xml:space="preserve">, </w:t>
      </w:r>
      <w:r w:rsidR="003E2C45">
        <w:rPr>
          <w:rFonts w:ascii="Arial" w:hAnsi="Arial" w:cs="Arial"/>
          <w:color w:val="000000" w:themeColor="text1"/>
          <w:szCs w:val="24"/>
        </w:rPr>
        <w:t xml:space="preserve">por lo </w:t>
      </w:r>
      <w:r w:rsidR="000363A7">
        <w:rPr>
          <w:rFonts w:ascii="Arial" w:hAnsi="Arial" w:cs="Arial"/>
          <w:color w:val="000000" w:themeColor="text1"/>
          <w:szCs w:val="24"/>
        </w:rPr>
        <w:t>mencionado</w:t>
      </w:r>
      <w:r w:rsidR="003E2C45">
        <w:rPr>
          <w:rFonts w:ascii="Arial" w:hAnsi="Arial" w:cs="Arial"/>
          <w:color w:val="000000" w:themeColor="text1"/>
          <w:szCs w:val="24"/>
        </w:rPr>
        <w:t>.</w:t>
      </w: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63603E" w:rsidRPr="00BF2D49"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Pr="0063603E" w:rsidRDefault="0063603E" w:rsidP="005920A9">
      <w:pPr>
        <w:ind w:right="333"/>
        <w:contextualSpacing/>
        <w:jc w:val="both"/>
        <w:rPr>
          <w:rFonts w:ascii="Arial" w:eastAsiaTheme="minorHAnsi" w:hAnsi="Arial" w:cs="Arial"/>
          <w:iCs/>
          <w:szCs w:val="24"/>
        </w:rPr>
      </w:pPr>
    </w:p>
    <w:p w:rsidR="00996002" w:rsidRDefault="00996002" w:rsidP="005920A9">
      <w:pPr>
        <w:contextualSpacing/>
      </w:pPr>
    </w:p>
    <w:p w:rsidR="001B2227" w:rsidRDefault="001B2227" w:rsidP="005920A9">
      <w:pPr>
        <w:contextualSpacing/>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5D0298" w:rsidRDefault="001B2227" w:rsidP="005D0298">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r>
      <w:r w:rsidR="005D0298" w:rsidRPr="005D0298">
        <w:rPr>
          <w:rFonts w:ascii="Arial" w:hAnsi="Arial" w:cs="Arial"/>
          <w:b/>
          <w:color w:val="000000" w:themeColor="text1"/>
          <w:sz w:val="23"/>
          <w:szCs w:val="23"/>
          <w:lang w:val="es-ES"/>
        </w:rPr>
        <w:t>FRANCISCO JAVIER TAMAYO TABARES</w:t>
      </w:r>
    </w:p>
    <w:p w:rsidR="00A92D55" w:rsidRPr="00091E3C" w:rsidRDefault="005D0298" w:rsidP="005D0298">
      <w:pPr>
        <w:spacing w:line="276" w:lineRule="auto"/>
        <w:contextualSpacing/>
        <w:jc w:val="both"/>
        <w:rPr>
          <w:rFonts w:ascii="Arial" w:hAnsi="Arial" w:cs="Arial"/>
          <w:color w:val="000000" w:themeColor="text1"/>
          <w:sz w:val="23"/>
          <w:szCs w:val="23"/>
          <w:lang w:val="es-ES"/>
        </w:rPr>
      </w:pP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t>Magistrado</w:t>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00091E3C">
        <w:rPr>
          <w:rFonts w:ascii="Arial" w:hAnsi="Arial" w:cs="Arial"/>
          <w:color w:val="000000" w:themeColor="text1"/>
          <w:sz w:val="23"/>
          <w:szCs w:val="23"/>
          <w:lang w:val="es-ES"/>
        </w:rPr>
        <w:t xml:space="preserve">    </w:t>
      </w:r>
      <w:r w:rsidRPr="00091E3C">
        <w:rPr>
          <w:rFonts w:ascii="Arial" w:hAnsi="Arial" w:cs="Arial"/>
          <w:color w:val="000000" w:themeColor="text1"/>
          <w:sz w:val="23"/>
          <w:szCs w:val="23"/>
          <w:lang w:val="es-ES"/>
        </w:rPr>
        <w:t>Magistrado</w:t>
      </w:r>
      <w:r w:rsidRPr="00091E3C">
        <w:rPr>
          <w:rFonts w:ascii="Arial" w:hAnsi="Arial" w:cs="Arial"/>
          <w:color w:val="000000" w:themeColor="text1"/>
          <w:sz w:val="23"/>
          <w:szCs w:val="23"/>
          <w:lang w:val="es-ES"/>
        </w:rPr>
        <w:tab/>
      </w:r>
    </w:p>
    <w:p w:rsidR="00A92D55" w:rsidRPr="00091E3C" w:rsidRDefault="00F122F2" w:rsidP="005D0298">
      <w:pPr>
        <w:spacing w:line="276" w:lineRule="auto"/>
        <w:contextualSpacing/>
        <w:jc w:val="both"/>
        <w:rPr>
          <w:rFonts w:ascii="Arial" w:hAnsi="Arial" w:cs="Arial"/>
          <w:color w:val="000000" w:themeColor="text1"/>
          <w:sz w:val="23"/>
          <w:szCs w:val="23"/>
          <w:lang w:val="es-ES"/>
        </w:rPr>
      </w:pP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Pr="00091E3C">
        <w:rPr>
          <w:rFonts w:ascii="Arial" w:hAnsi="Arial" w:cs="Arial"/>
          <w:color w:val="000000" w:themeColor="text1"/>
          <w:sz w:val="23"/>
          <w:szCs w:val="23"/>
          <w:lang w:val="es-ES"/>
        </w:rPr>
        <w:tab/>
      </w:r>
      <w:r w:rsidR="00091E3C">
        <w:rPr>
          <w:rFonts w:ascii="Arial" w:hAnsi="Arial" w:cs="Arial"/>
          <w:color w:val="000000" w:themeColor="text1"/>
          <w:sz w:val="23"/>
          <w:szCs w:val="23"/>
          <w:lang w:val="es-ES"/>
        </w:rPr>
        <w:t xml:space="preserve">    </w:t>
      </w:r>
      <w:r w:rsidR="00091E3C" w:rsidRPr="00091E3C">
        <w:rPr>
          <w:rFonts w:ascii="Arial" w:hAnsi="Arial" w:cs="Arial"/>
          <w:color w:val="000000" w:themeColor="text1"/>
          <w:sz w:val="23"/>
          <w:szCs w:val="23"/>
          <w:lang w:val="es-ES"/>
        </w:rPr>
        <w:t>Salva voto</w:t>
      </w:r>
    </w:p>
    <w:sectPr w:rsidR="00A92D55" w:rsidRPr="00091E3C" w:rsidSect="00B52951">
      <w:headerReference w:type="default"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05" w:rsidRDefault="00D55705" w:rsidP="00AD05E0">
      <w:r>
        <w:separator/>
      </w:r>
    </w:p>
  </w:endnote>
  <w:endnote w:type="continuationSeparator" w:id="0">
    <w:p w:rsidR="00D55705" w:rsidRDefault="00D55705"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rsidR="00211DFE" w:rsidRPr="00B52951" w:rsidRDefault="00211DFE" w:rsidP="00B52951">
        <w:pPr>
          <w:pStyle w:val="Piedepgina"/>
          <w:jc w:val="right"/>
          <w:rPr>
            <w:rFonts w:ascii="Arial" w:hAnsi="Arial" w:cs="Arial"/>
            <w:sz w:val="20"/>
          </w:rPr>
        </w:pPr>
        <w:r w:rsidRPr="00B52951">
          <w:rPr>
            <w:rFonts w:ascii="Arial" w:hAnsi="Arial" w:cs="Arial"/>
            <w:sz w:val="20"/>
          </w:rPr>
          <w:fldChar w:fldCharType="begin"/>
        </w:r>
        <w:r w:rsidRPr="00B52951">
          <w:rPr>
            <w:rFonts w:ascii="Arial" w:hAnsi="Arial" w:cs="Arial"/>
            <w:sz w:val="20"/>
          </w:rPr>
          <w:instrText>PAGE   \* MERGEFORMAT</w:instrText>
        </w:r>
        <w:r w:rsidRPr="00B52951">
          <w:rPr>
            <w:rFonts w:ascii="Arial" w:hAnsi="Arial" w:cs="Arial"/>
            <w:sz w:val="20"/>
          </w:rPr>
          <w:fldChar w:fldCharType="separate"/>
        </w:r>
        <w:r w:rsidR="00151E4D" w:rsidRPr="00151E4D">
          <w:rPr>
            <w:rFonts w:ascii="Arial" w:hAnsi="Arial" w:cs="Arial"/>
            <w:noProof/>
            <w:sz w:val="20"/>
            <w:lang w:val="es-ES"/>
          </w:rPr>
          <w:t>2</w:t>
        </w:r>
        <w:r w:rsidRPr="00B52951">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05" w:rsidRDefault="00D55705" w:rsidP="00AD05E0">
      <w:r>
        <w:separator/>
      </w:r>
    </w:p>
  </w:footnote>
  <w:footnote w:type="continuationSeparator" w:id="0">
    <w:p w:rsidR="00D55705" w:rsidRDefault="00D55705" w:rsidP="00AD05E0">
      <w:r>
        <w:continuationSeparator/>
      </w:r>
    </w:p>
  </w:footnote>
  <w:footnote w:id="1">
    <w:p w:rsidR="006C6C83" w:rsidRPr="00652094" w:rsidRDefault="006C6C83">
      <w:pPr>
        <w:pStyle w:val="Textonotapie"/>
        <w:rPr>
          <w:rFonts w:ascii="Arial" w:hAnsi="Arial" w:cs="Arial"/>
          <w:sz w:val="18"/>
          <w:szCs w:val="18"/>
          <w:lang w:val="es-CO"/>
        </w:rPr>
      </w:pPr>
      <w:r w:rsidRPr="00652094">
        <w:rPr>
          <w:rStyle w:val="Refdenotaalpie"/>
          <w:rFonts w:ascii="Arial" w:hAnsi="Arial" w:cs="Arial"/>
          <w:sz w:val="18"/>
          <w:szCs w:val="18"/>
        </w:rPr>
        <w:footnoteRef/>
      </w:r>
      <w:r w:rsidRPr="00652094">
        <w:rPr>
          <w:rFonts w:ascii="Arial" w:hAnsi="Arial" w:cs="Arial"/>
          <w:sz w:val="18"/>
          <w:szCs w:val="18"/>
        </w:rPr>
        <w:t xml:space="preserve"> M.P. Gerardo Botero Zuluaga </w:t>
      </w:r>
      <w:r w:rsidRPr="00652094">
        <w:rPr>
          <w:rFonts w:ascii="Arial" w:hAnsi="Arial" w:cs="Arial"/>
          <w:sz w:val="18"/>
          <w:szCs w:val="18"/>
          <w:lang w:val="es-CO"/>
        </w:rPr>
        <w:t>SL4964 del 14/11/2018. Radicado 54814.</w:t>
      </w:r>
    </w:p>
  </w:footnote>
  <w:footnote w:id="2">
    <w:p w:rsidR="009522C6" w:rsidRPr="00652094" w:rsidRDefault="009522C6">
      <w:pPr>
        <w:pStyle w:val="Textonotapie"/>
        <w:rPr>
          <w:rFonts w:ascii="Arial" w:hAnsi="Arial" w:cs="Arial"/>
          <w:sz w:val="18"/>
          <w:szCs w:val="18"/>
          <w:lang w:val="es-CO"/>
        </w:rPr>
      </w:pPr>
      <w:r w:rsidRPr="00652094">
        <w:rPr>
          <w:rStyle w:val="Refdenotaalpie"/>
          <w:rFonts w:ascii="Arial" w:hAnsi="Arial" w:cs="Arial"/>
          <w:sz w:val="18"/>
          <w:szCs w:val="18"/>
        </w:rPr>
        <w:footnoteRef/>
      </w:r>
      <w:r w:rsidRPr="00652094">
        <w:rPr>
          <w:rFonts w:ascii="Arial" w:hAnsi="Arial" w:cs="Arial"/>
          <w:sz w:val="18"/>
          <w:szCs w:val="18"/>
        </w:rPr>
        <w:t xml:space="preserve"> </w:t>
      </w:r>
      <w:r w:rsidRPr="00652094">
        <w:rPr>
          <w:rFonts w:ascii="Arial" w:hAnsi="Arial" w:cs="Arial"/>
          <w:sz w:val="18"/>
          <w:szCs w:val="18"/>
          <w:lang w:val="es-CO"/>
        </w:rPr>
        <w:t xml:space="preserve">M.P. Clara Cecilia Dueñas, </w:t>
      </w:r>
      <w:proofErr w:type="spellStart"/>
      <w:r w:rsidRPr="00652094">
        <w:rPr>
          <w:rFonts w:ascii="Arial" w:hAnsi="Arial" w:cs="Arial"/>
          <w:sz w:val="18"/>
          <w:szCs w:val="18"/>
          <w:lang w:val="es-CO"/>
        </w:rPr>
        <w:t>SL</w:t>
      </w:r>
      <w:proofErr w:type="spellEnd"/>
      <w:r w:rsidRPr="00652094">
        <w:rPr>
          <w:rFonts w:ascii="Arial" w:hAnsi="Arial" w:cs="Arial"/>
          <w:sz w:val="18"/>
          <w:szCs w:val="18"/>
          <w:lang w:val="es-CO"/>
        </w:rPr>
        <w:t xml:space="preserve"> 12136 de 2014.</w:t>
      </w:r>
    </w:p>
  </w:footnote>
  <w:footnote w:id="3">
    <w:p w:rsidR="00B11EBB" w:rsidRPr="00652094" w:rsidRDefault="00B11EBB" w:rsidP="00B11EBB">
      <w:pPr>
        <w:pStyle w:val="Textonotapie"/>
        <w:jc w:val="both"/>
        <w:rPr>
          <w:rFonts w:ascii="Arial" w:hAnsi="Arial" w:cs="Arial"/>
          <w:sz w:val="18"/>
          <w:szCs w:val="18"/>
          <w:lang w:val="es-AR"/>
        </w:rPr>
      </w:pPr>
      <w:r w:rsidRPr="00652094">
        <w:rPr>
          <w:rStyle w:val="Refdenotaalpie"/>
          <w:rFonts w:ascii="Arial" w:hAnsi="Arial" w:cs="Arial"/>
          <w:sz w:val="18"/>
          <w:szCs w:val="18"/>
        </w:rPr>
        <w:footnoteRef/>
      </w:r>
      <w:r w:rsidRPr="00652094">
        <w:rPr>
          <w:rFonts w:ascii="Arial" w:hAnsi="Arial" w:cs="Arial"/>
          <w:sz w:val="18"/>
          <w:szCs w:val="18"/>
        </w:rPr>
        <w:t xml:space="preserve"> CSJ, </w:t>
      </w:r>
      <w:proofErr w:type="spellStart"/>
      <w:r w:rsidRPr="00652094">
        <w:rPr>
          <w:rFonts w:ascii="Arial" w:hAnsi="Arial" w:cs="Arial"/>
          <w:sz w:val="18"/>
          <w:szCs w:val="18"/>
        </w:rPr>
        <w:t>SCL</w:t>
      </w:r>
      <w:proofErr w:type="spellEnd"/>
      <w:r w:rsidRPr="00652094">
        <w:rPr>
          <w:rFonts w:ascii="Arial" w:hAnsi="Arial" w:cs="Arial"/>
          <w:sz w:val="18"/>
          <w:szCs w:val="18"/>
        </w:rPr>
        <w:t xml:space="preserve">, SL622-2013 M.P. Dra. Elsy del Pilar Cuello Calderón y más recientemente sentencia 28/11/2018 SL5179 de 2018, </w:t>
      </w:r>
      <w:proofErr w:type="spellStart"/>
      <w:r w:rsidRPr="00652094">
        <w:rPr>
          <w:rFonts w:ascii="Arial" w:hAnsi="Arial" w:cs="Arial"/>
          <w:sz w:val="18"/>
          <w:szCs w:val="18"/>
        </w:rPr>
        <w:t>MP</w:t>
      </w:r>
      <w:proofErr w:type="spellEnd"/>
      <w:r w:rsidRPr="00652094">
        <w:rPr>
          <w:rFonts w:ascii="Arial" w:hAnsi="Arial" w:cs="Arial"/>
          <w:sz w:val="18"/>
          <w:szCs w:val="18"/>
        </w:rPr>
        <w:t xml:space="preserve"> Jorge Prada Sánchez. </w:t>
      </w:r>
    </w:p>
  </w:footnote>
  <w:footnote w:id="4">
    <w:p w:rsidR="00B11EBB" w:rsidRPr="00652094" w:rsidRDefault="00B11EBB" w:rsidP="00B11EBB">
      <w:pPr>
        <w:pStyle w:val="Textonotapie"/>
        <w:jc w:val="both"/>
        <w:rPr>
          <w:rFonts w:ascii="Arial" w:hAnsi="Arial" w:cs="Arial"/>
          <w:sz w:val="18"/>
          <w:szCs w:val="18"/>
          <w:lang w:val="es-AR"/>
        </w:rPr>
      </w:pPr>
      <w:r w:rsidRPr="00652094">
        <w:rPr>
          <w:rStyle w:val="Refdenotaalpie"/>
          <w:rFonts w:ascii="Arial" w:hAnsi="Arial" w:cs="Arial"/>
          <w:sz w:val="18"/>
          <w:szCs w:val="18"/>
        </w:rPr>
        <w:footnoteRef/>
      </w:r>
      <w:r w:rsidRPr="00652094">
        <w:rPr>
          <w:rFonts w:ascii="Arial" w:hAnsi="Arial" w:cs="Arial"/>
          <w:sz w:val="18"/>
          <w:szCs w:val="18"/>
        </w:rPr>
        <w:t xml:space="preserve"> </w:t>
      </w:r>
      <w:r w:rsidRPr="00652094">
        <w:rPr>
          <w:rFonts w:ascii="Arial" w:hAnsi="Arial" w:cs="Arial"/>
          <w:sz w:val="18"/>
          <w:szCs w:val="18"/>
          <w:lang w:val="es-AR"/>
        </w:rPr>
        <w:t xml:space="preserve">M.P. Julio César Salazar Muñoz, radicado 2014-00183 del 12 de agosto de 2015. </w:t>
      </w:r>
      <w:proofErr w:type="spellStart"/>
      <w:r w:rsidRPr="00652094">
        <w:rPr>
          <w:rFonts w:ascii="Arial" w:hAnsi="Arial" w:cs="Arial"/>
          <w:sz w:val="18"/>
          <w:szCs w:val="18"/>
          <w:lang w:val="es-AR"/>
        </w:rPr>
        <w:t>Dte</w:t>
      </w:r>
      <w:proofErr w:type="spellEnd"/>
      <w:r w:rsidRPr="00652094">
        <w:rPr>
          <w:rFonts w:ascii="Arial" w:hAnsi="Arial" w:cs="Arial"/>
          <w:sz w:val="18"/>
          <w:szCs w:val="18"/>
          <w:lang w:val="es-AR"/>
        </w:rPr>
        <w:t>: Higinio de Jesús Foronda vs Colpensiones.</w:t>
      </w:r>
    </w:p>
    <w:p w:rsidR="00B11EBB" w:rsidRPr="00652094" w:rsidRDefault="00B11EBB" w:rsidP="00B11EBB">
      <w:pPr>
        <w:pStyle w:val="Textonotapie"/>
        <w:jc w:val="both"/>
        <w:rPr>
          <w:rFonts w:ascii="Arial" w:hAnsi="Arial" w:cs="Arial"/>
          <w:sz w:val="18"/>
          <w:szCs w:val="18"/>
          <w:lang w:val="es-AR"/>
        </w:rPr>
      </w:pPr>
      <w:r w:rsidRPr="00652094">
        <w:rPr>
          <w:rFonts w:ascii="Arial" w:hAnsi="Arial" w:cs="Arial"/>
          <w:sz w:val="18"/>
          <w:szCs w:val="18"/>
          <w:lang w:val="es-AR"/>
        </w:rPr>
        <w:t xml:space="preserve">M.P. Francisco Javier Tamayo Tabares, radicado 2013-00325 del 17 de febrero de 2015. </w:t>
      </w:r>
      <w:proofErr w:type="spellStart"/>
      <w:r w:rsidRPr="00652094">
        <w:rPr>
          <w:rFonts w:ascii="Arial" w:hAnsi="Arial" w:cs="Arial"/>
          <w:sz w:val="18"/>
          <w:szCs w:val="18"/>
          <w:lang w:val="es-AR"/>
        </w:rPr>
        <w:t>Dte</w:t>
      </w:r>
      <w:proofErr w:type="spellEnd"/>
      <w:r w:rsidRPr="00652094">
        <w:rPr>
          <w:rFonts w:ascii="Arial" w:hAnsi="Arial" w:cs="Arial"/>
          <w:sz w:val="18"/>
          <w:szCs w:val="18"/>
          <w:lang w:val="es-AR"/>
        </w:rPr>
        <w:t>: María Gladis López González vs Colpensiones.</w:t>
      </w:r>
    </w:p>
  </w:footnote>
  <w:footnote w:id="5">
    <w:p w:rsidR="00437340" w:rsidRPr="00652094" w:rsidRDefault="00437340" w:rsidP="00437340">
      <w:pPr>
        <w:pStyle w:val="Textonotapie"/>
        <w:rPr>
          <w:rFonts w:ascii="Arial" w:hAnsi="Arial" w:cs="Arial"/>
          <w:sz w:val="18"/>
          <w:szCs w:val="18"/>
          <w:lang w:val="es-CO"/>
        </w:rPr>
      </w:pPr>
      <w:r w:rsidRPr="00652094">
        <w:rPr>
          <w:rStyle w:val="Refdenotaalpie"/>
          <w:rFonts w:ascii="Arial" w:hAnsi="Arial" w:cs="Arial"/>
          <w:sz w:val="18"/>
          <w:szCs w:val="18"/>
        </w:rPr>
        <w:footnoteRef/>
      </w:r>
      <w:r w:rsidRPr="00652094">
        <w:rPr>
          <w:rFonts w:ascii="Arial" w:hAnsi="Arial" w:cs="Arial"/>
          <w:sz w:val="18"/>
          <w:szCs w:val="18"/>
        </w:rPr>
        <w:t xml:space="preserve"> </w:t>
      </w:r>
      <w:r w:rsidRPr="00652094">
        <w:rPr>
          <w:rFonts w:ascii="Arial" w:hAnsi="Arial" w:cs="Arial"/>
          <w:sz w:val="18"/>
          <w:szCs w:val="18"/>
          <w:lang w:val="es-CO"/>
        </w:rPr>
        <w:t xml:space="preserve">Señores Carlos Olimpo Bedoya Serna, Luz </w:t>
      </w:r>
      <w:proofErr w:type="spellStart"/>
      <w:r w:rsidRPr="00652094">
        <w:rPr>
          <w:rFonts w:ascii="Arial" w:hAnsi="Arial" w:cs="Arial"/>
          <w:sz w:val="18"/>
          <w:szCs w:val="18"/>
          <w:lang w:val="es-CO"/>
        </w:rPr>
        <w:t>Emilce</w:t>
      </w:r>
      <w:proofErr w:type="spellEnd"/>
      <w:r w:rsidRPr="00652094">
        <w:rPr>
          <w:rFonts w:ascii="Arial" w:hAnsi="Arial" w:cs="Arial"/>
          <w:sz w:val="18"/>
          <w:szCs w:val="18"/>
          <w:lang w:val="es-CO"/>
        </w:rPr>
        <w:t xml:space="preserve"> Aragón Melchor y Manuel Salvador </w:t>
      </w:r>
      <w:proofErr w:type="spellStart"/>
      <w:r w:rsidRPr="00652094">
        <w:rPr>
          <w:rFonts w:ascii="Arial" w:hAnsi="Arial" w:cs="Arial"/>
          <w:sz w:val="18"/>
          <w:szCs w:val="18"/>
          <w:lang w:val="es-CO"/>
        </w:rPr>
        <w:t>Taborda</w:t>
      </w:r>
      <w:proofErr w:type="spellEnd"/>
      <w:r w:rsidRPr="00652094">
        <w:rPr>
          <w:rFonts w:ascii="Arial" w:hAnsi="Arial" w:cs="Arial"/>
          <w:sz w:val="18"/>
          <w:szCs w:val="18"/>
          <w:lang w:val="es-CO"/>
        </w:rPr>
        <w:t xml:space="preserve"> </w:t>
      </w:r>
      <w:proofErr w:type="spellStart"/>
      <w:r w:rsidRPr="00652094">
        <w:rPr>
          <w:rFonts w:ascii="Arial" w:hAnsi="Arial" w:cs="Arial"/>
          <w:sz w:val="18"/>
          <w:szCs w:val="18"/>
          <w:lang w:val="es-CO"/>
        </w:rPr>
        <w:t>Alayón</w:t>
      </w:r>
      <w:proofErr w:type="spellEnd"/>
      <w:r w:rsidRPr="00652094">
        <w:rPr>
          <w:rFonts w:ascii="Arial" w:hAnsi="Arial" w:cs="Arial"/>
          <w:sz w:val="18"/>
          <w:szCs w:val="18"/>
          <w:lang w:val="es-CO"/>
        </w:rPr>
        <w:t xml:space="preserve"> </w:t>
      </w:r>
    </w:p>
  </w:footnote>
  <w:footnote w:id="6">
    <w:p w:rsidR="00437340" w:rsidRPr="00652094" w:rsidRDefault="00437340" w:rsidP="00437340">
      <w:pPr>
        <w:pStyle w:val="Textonotapie"/>
        <w:rPr>
          <w:rFonts w:ascii="Arial" w:hAnsi="Arial" w:cs="Arial"/>
          <w:sz w:val="18"/>
          <w:szCs w:val="18"/>
          <w:lang w:val="es-CO"/>
        </w:rPr>
      </w:pPr>
      <w:r w:rsidRPr="00652094">
        <w:rPr>
          <w:rStyle w:val="Refdenotaalpie"/>
          <w:rFonts w:ascii="Arial" w:hAnsi="Arial" w:cs="Arial"/>
          <w:sz w:val="18"/>
          <w:szCs w:val="18"/>
        </w:rPr>
        <w:footnoteRef/>
      </w:r>
      <w:r w:rsidRPr="00652094">
        <w:rPr>
          <w:rFonts w:ascii="Arial" w:hAnsi="Arial" w:cs="Arial"/>
          <w:sz w:val="18"/>
          <w:szCs w:val="18"/>
        </w:rPr>
        <w:t xml:space="preserve"> </w:t>
      </w:r>
      <w:r w:rsidRPr="00652094">
        <w:rPr>
          <w:rFonts w:ascii="Arial" w:hAnsi="Arial" w:cs="Arial"/>
          <w:sz w:val="18"/>
          <w:szCs w:val="18"/>
          <w:lang w:val="es-CO"/>
        </w:rPr>
        <w:t>Artículo 2, parágrafo 2º</w:t>
      </w:r>
    </w:p>
  </w:footnote>
  <w:footnote w:id="7">
    <w:p w:rsidR="00437340" w:rsidRPr="00652094" w:rsidRDefault="00437340" w:rsidP="00437340">
      <w:pPr>
        <w:pStyle w:val="Textonotapie"/>
        <w:rPr>
          <w:rFonts w:ascii="Arial" w:hAnsi="Arial" w:cs="Arial"/>
          <w:sz w:val="18"/>
          <w:szCs w:val="18"/>
          <w:lang w:val="es-CO"/>
        </w:rPr>
      </w:pPr>
      <w:r w:rsidRPr="00652094">
        <w:rPr>
          <w:rStyle w:val="Refdenotaalpie"/>
          <w:rFonts w:ascii="Arial" w:hAnsi="Arial" w:cs="Arial"/>
          <w:sz w:val="18"/>
          <w:szCs w:val="18"/>
        </w:rPr>
        <w:footnoteRef/>
      </w:r>
      <w:r w:rsidRPr="00652094">
        <w:rPr>
          <w:rFonts w:ascii="Arial" w:hAnsi="Arial" w:cs="Arial"/>
          <w:sz w:val="18"/>
          <w:szCs w:val="18"/>
        </w:rPr>
        <w:t xml:space="preserve"> </w:t>
      </w:r>
      <w:r w:rsidRPr="00652094">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AD05E0" w:rsidRPr="00BB3FED" w:rsidRDefault="00AD05E0" w:rsidP="00AD05E0">
    <w:pPr>
      <w:pStyle w:val="Encabezado"/>
      <w:jc w:val="center"/>
      <w:rPr>
        <w:rFonts w:ascii="Arial" w:hAnsi="Arial" w:cs="Arial"/>
        <w:sz w:val="18"/>
        <w:szCs w:val="18"/>
      </w:rPr>
    </w:pPr>
    <w:r w:rsidRPr="00BB3FED">
      <w:rPr>
        <w:rFonts w:ascii="Arial" w:hAnsi="Arial" w:cs="Arial"/>
        <w:sz w:val="18"/>
        <w:szCs w:val="18"/>
      </w:rPr>
      <w:t xml:space="preserve">Radicado: </w:t>
    </w:r>
    <w:r w:rsidR="003A4CF9">
      <w:rPr>
        <w:rFonts w:ascii="Arial" w:hAnsi="Arial" w:cs="Arial"/>
        <w:sz w:val="18"/>
        <w:szCs w:val="18"/>
      </w:rPr>
      <w:t>66001-31-05-004</w:t>
    </w:r>
    <w:r>
      <w:rPr>
        <w:rFonts w:ascii="Arial" w:hAnsi="Arial" w:cs="Arial"/>
        <w:sz w:val="18"/>
        <w:szCs w:val="18"/>
      </w:rPr>
      <w:t>-201</w:t>
    </w:r>
    <w:r w:rsidR="003A4CF9">
      <w:rPr>
        <w:rFonts w:ascii="Arial" w:hAnsi="Arial" w:cs="Arial"/>
        <w:sz w:val="18"/>
        <w:szCs w:val="18"/>
      </w:rPr>
      <w:t>7</w:t>
    </w:r>
    <w:r>
      <w:rPr>
        <w:rFonts w:ascii="Arial" w:hAnsi="Arial" w:cs="Arial"/>
        <w:sz w:val="18"/>
        <w:szCs w:val="18"/>
      </w:rPr>
      <w:t>-00</w:t>
    </w:r>
    <w:r w:rsidR="0083638D">
      <w:rPr>
        <w:rFonts w:ascii="Arial" w:hAnsi="Arial" w:cs="Arial"/>
        <w:sz w:val="18"/>
        <w:szCs w:val="18"/>
      </w:rPr>
      <w:t>3</w:t>
    </w:r>
    <w:r w:rsidR="003A4CF9">
      <w:rPr>
        <w:rFonts w:ascii="Arial" w:hAnsi="Arial" w:cs="Arial"/>
        <w:sz w:val="18"/>
        <w:szCs w:val="18"/>
      </w:rPr>
      <w:t>05</w:t>
    </w:r>
    <w:r>
      <w:rPr>
        <w:rFonts w:ascii="Arial" w:hAnsi="Arial" w:cs="Arial"/>
        <w:sz w:val="18"/>
        <w:szCs w:val="18"/>
      </w:rPr>
      <w:t>-01</w:t>
    </w:r>
  </w:p>
  <w:p w:rsidR="00AD05E0" w:rsidRPr="00B52951" w:rsidRDefault="0083638D" w:rsidP="00B52951">
    <w:pPr>
      <w:pStyle w:val="Encabezado"/>
      <w:jc w:val="center"/>
      <w:rPr>
        <w:rFonts w:ascii="Arial" w:hAnsi="Arial" w:cs="Arial"/>
        <w:sz w:val="18"/>
        <w:szCs w:val="18"/>
      </w:rPr>
    </w:pPr>
    <w:r>
      <w:rPr>
        <w:rFonts w:ascii="Arial" w:hAnsi="Arial" w:cs="Arial"/>
        <w:sz w:val="18"/>
        <w:szCs w:val="18"/>
      </w:rPr>
      <w:t xml:space="preserve">Clara Rosa Ramírez Mosquera </w:t>
    </w:r>
    <w:r w:rsidR="00AD05E0" w:rsidRPr="00BB3FED">
      <w:rPr>
        <w:rFonts w:ascii="Arial" w:hAnsi="Arial" w:cs="Arial"/>
        <w:sz w:val="18"/>
        <w:szCs w:val="18"/>
      </w:rPr>
      <w:t xml:space="preserve">vs </w:t>
    </w:r>
    <w:r w:rsidR="00646BE7">
      <w:rPr>
        <w:rFonts w:ascii="Arial" w:hAnsi="Arial" w:cs="Arial"/>
        <w:sz w:val="18"/>
        <w:szCs w:val="18"/>
      </w:rPr>
      <w:t xml:space="preserve">Colpensiones </w:t>
    </w:r>
    <w:r w:rsidR="008908CC">
      <w:rPr>
        <w:rFonts w:ascii="Arial" w:hAnsi="Arial" w:cs="Arial"/>
        <w:sz w:val="18"/>
        <w:szCs w:val="18"/>
      </w:rPr>
      <w:t>–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4">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3A49"/>
    <w:rsid w:val="00013E64"/>
    <w:rsid w:val="0002018D"/>
    <w:rsid w:val="00024061"/>
    <w:rsid w:val="00031373"/>
    <w:rsid w:val="000363A7"/>
    <w:rsid w:val="0004459B"/>
    <w:rsid w:val="00050104"/>
    <w:rsid w:val="000503EF"/>
    <w:rsid w:val="0005728F"/>
    <w:rsid w:val="00061B8E"/>
    <w:rsid w:val="000679C6"/>
    <w:rsid w:val="00067DDB"/>
    <w:rsid w:val="00074F93"/>
    <w:rsid w:val="000766DA"/>
    <w:rsid w:val="00081A2D"/>
    <w:rsid w:val="00084E89"/>
    <w:rsid w:val="00085E2B"/>
    <w:rsid w:val="00087B8A"/>
    <w:rsid w:val="00091E3C"/>
    <w:rsid w:val="00093D99"/>
    <w:rsid w:val="000947FC"/>
    <w:rsid w:val="000A541E"/>
    <w:rsid w:val="000B315B"/>
    <w:rsid w:val="000C1E6F"/>
    <w:rsid w:val="000C706D"/>
    <w:rsid w:val="000C7588"/>
    <w:rsid w:val="000D5ABE"/>
    <w:rsid w:val="000E10C4"/>
    <w:rsid w:val="000E2F8A"/>
    <w:rsid w:val="000F469A"/>
    <w:rsid w:val="000F683C"/>
    <w:rsid w:val="000F6C16"/>
    <w:rsid w:val="001045F7"/>
    <w:rsid w:val="00110327"/>
    <w:rsid w:val="00114128"/>
    <w:rsid w:val="001147F4"/>
    <w:rsid w:val="001178F8"/>
    <w:rsid w:val="00117D61"/>
    <w:rsid w:val="00117E91"/>
    <w:rsid w:val="00132B25"/>
    <w:rsid w:val="00134816"/>
    <w:rsid w:val="00135E06"/>
    <w:rsid w:val="00137303"/>
    <w:rsid w:val="00137A88"/>
    <w:rsid w:val="0014035A"/>
    <w:rsid w:val="001414A4"/>
    <w:rsid w:val="00142B40"/>
    <w:rsid w:val="00144DE7"/>
    <w:rsid w:val="0014698C"/>
    <w:rsid w:val="00151E4D"/>
    <w:rsid w:val="00152759"/>
    <w:rsid w:val="00152966"/>
    <w:rsid w:val="001601F4"/>
    <w:rsid w:val="00163DC6"/>
    <w:rsid w:val="00164161"/>
    <w:rsid w:val="00164FFA"/>
    <w:rsid w:val="00174D44"/>
    <w:rsid w:val="001776D0"/>
    <w:rsid w:val="00182E71"/>
    <w:rsid w:val="001838B2"/>
    <w:rsid w:val="00192B82"/>
    <w:rsid w:val="001976D0"/>
    <w:rsid w:val="00197B6B"/>
    <w:rsid w:val="001A74F6"/>
    <w:rsid w:val="001B1B97"/>
    <w:rsid w:val="001B2227"/>
    <w:rsid w:val="001B5268"/>
    <w:rsid w:val="001C0881"/>
    <w:rsid w:val="001D3166"/>
    <w:rsid w:val="001D3F07"/>
    <w:rsid w:val="001D7FBD"/>
    <w:rsid w:val="001E326A"/>
    <w:rsid w:val="001E5CD8"/>
    <w:rsid w:val="001E617C"/>
    <w:rsid w:val="001E7996"/>
    <w:rsid w:val="001F7003"/>
    <w:rsid w:val="00200ECE"/>
    <w:rsid w:val="00203A41"/>
    <w:rsid w:val="00205F81"/>
    <w:rsid w:val="00211DFE"/>
    <w:rsid w:val="00217998"/>
    <w:rsid w:val="00231F1D"/>
    <w:rsid w:val="002357E5"/>
    <w:rsid w:val="00237DF3"/>
    <w:rsid w:val="00241391"/>
    <w:rsid w:val="00246047"/>
    <w:rsid w:val="00252894"/>
    <w:rsid w:val="00282D5F"/>
    <w:rsid w:val="0028661D"/>
    <w:rsid w:val="002903E7"/>
    <w:rsid w:val="002A1F83"/>
    <w:rsid w:val="002A25CB"/>
    <w:rsid w:val="002A350B"/>
    <w:rsid w:val="002A696B"/>
    <w:rsid w:val="002B4646"/>
    <w:rsid w:val="002B51B8"/>
    <w:rsid w:val="002C1B27"/>
    <w:rsid w:val="002C495E"/>
    <w:rsid w:val="002C5740"/>
    <w:rsid w:val="002C73A3"/>
    <w:rsid w:val="002C74F9"/>
    <w:rsid w:val="002D18C5"/>
    <w:rsid w:val="002D3995"/>
    <w:rsid w:val="002D3A5F"/>
    <w:rsid w:val="002E6062"/>
    <w:rsid w:val="002F4F0F"/>
    <w:rsid w:val="002F6BF4"/>
    <w:rsid w:val="00300367"/>
    <w:rsid w:val="003013F3"/>
    <w:rsid w:val="0030678C"/>
    <w:rsid w:val="003074D7"/>
    <w:rsid w:val="003107AC"/>
    <w:rsid w:val="003110B5"/>
    <w:rsid w:val="003269AF"/>
    <w:rsid w:val="00333F2A"/>
    <w:rsid w:val="00334628"/>
    <w:rsid w:val="00344DB9"/>
    <w:rsid w:val="00346681"/>
    <w:rsid w:val="003504F3"/>
    <w:rsid w:val="00351FC5"/>
    <w:rsid w:val="00352CAD"/>
    <w:rsid w:val="00355585"/>
    <w:rsid w:val="00360EB6"/>
    <w:rsid w:val="00373BF7"/>
    <w:rsid w:val="0037407A"/>
    <w:rsid w:val="00374CD6"/>
    <w:rsid w:val="00380184"/>
    <w:rsid w:val="003863AA"/>
    <w:rsid w:val="003922E2"/>
    <w:rsid w:val="0039451A"/>
    <w:rsid w:val="0039489B"/>
    <w:rsid w:val="003A3CF3"/>
    <w:rsid w:val="003A4CF9"/>
    <w:rsid w:val="003B1DFF"/>
    <w:rsid w:val="003B38FB"/>
    <w:rsid w:val="003B3E2B"/>
    <w:rsid w:val="003B6C32"/>
    <w:rsid w:val="003C3F94"/>
    <w:rsid w:val="003D08A9"/>
    <w:rsid w:val="003D53B8"/>
    <w:rsid w:val="003E2C45"/>
    <w:rsid w:val="003E3709"/>
    <w:rsid w:val="003F10A6"/>
    <w:rsid w:val="003F1BDF"/>
    <w:rsid w:val="003F5CB5"/>
    <w:rsid w:val="004075F5"/>
    <w:rsid w:val="00411A56"/>
    <w:rsid w:val="00414678"/>
    <w:rsid w:val="00414BB5"/>
    <w:rsid w:val="00414CA5"/>
    <w:rsid w:val="00433A40"/>
    <w:rsid w:val="00435959"/>
    <w:rsid w:val="00435C7C"/>
    <w:rsid w:val="0043724B"/>
    <w:rsid w:val="00437340"/>
    <w:rsid w:val="004400E5"/>
    <w:rsid w:val="0044083A"/>
    <w:rsid w:val="00445BE4"/>
    <w:rsid w:val="004617FD"/>
    <w:rsid w:val="0046517A"/>
    <w:rsid w:val="00477D71"/>
    <w:rsid w:val="00482F8C"/>
    <w:rsid w:val="00484BBB"/>
    <w:rsid w:val="00493622"/>
    <w:rsid w:val="00493BD9"/>
    <w:rsid w:val="004A3462"/>
    <w:rsid w:val="004A3E65"/>
    <w:rsid w:val="004B0270"/>
    <w:rsid w:val="004B41BC"/>
    <w:rsid w:val="004B4408"/>
    <w:rsid w:val="004B7182"/>
    <w:rsid w:val="004C49D1"/>
    <w:rsid w:val="004C7B48"/>
    <w:rsid w:val="004D128B"/>
    <w:rsid w:val="004D5321"/>
    <w:rsid w:val="004D6206"/>
    <w:rsid w:val="004E28C9"/>
    <w:rsid w:val="004F65AF"/>
    <w:rsid w:val="004F741B"/>
    <w:rsid w:val="00500565"/>
    <w:rsid w:val="0052140A"/>
    <w:rsid w:val="005330F5"/>
    <w:rsid w:val="00533B7B"/>
    <w:rsid w:val="00536744"/>
    <w:rsid w:val="005426B2"/>
    <w:rsid w:val="0054308F"/>
    <w:rsid w:val="0054738A"/>
    <w:rsid w:val="00552EBC"/>
    <w:rsid w:val="0055305B"/>
    <w:rsid w:val="00557133"/>
    <w:rsid w:val="0056020D"/>
    <w:rsid w:val="00572CB6"/>
    <w:rsid w:val="00572F46"/>
    <w:rsid w:val="005757FB"/>
    <w:rsid w:val="0058174E"/>
    <w:rsid w:val="00584040"/>
    <w:rsid w:val="00590F19"/>
    <w:rsid w:val="005920A9"/>
    <w:rsid w:val="005A0D0C"/>
    <w:rsid w:val="005A1F09"/>
    <w:rsid w:val="005A5643"/>
    <w:rsid w:val="005B3447"/>
    <w:rsid w:val="005B5D81"/>
    <w:rsid w:val="005C2028"/>
    <w:rsid w:val="005C30F7"/>
    <w:rsid w:val="005D0298"/>
    <w:rsid w:val="005D02D4"/>
    <w:rsid w:val="005D624B"/>
    <w:rsid w:val="005E2672"/>
    <w:rsid w:val="005E35FE"/>
    <w:rsid w:val="005E411D"/>
    <w:rsid w:val="005F2671"/>
    <w:rsid w:val="005F33D2"/>
    <w:rsid w:val="005F66C7"/>
    <w:rsid w:val="00604FAE"/>
    <w:rsid w:val="00610CC9"/>
    <w:rsid w:val="006121E1"/>
    <w:rsid w:val="00616117"/>
    <w:rsid w:val="00620025"/>
    <w:rsid w:val="00621049"/>
    <w:rsid w:val="00621925"/>
    <w:rsid w:val="00632AB1"/>
    <w:rsid w:val="00632D88"/>
    <w:rsid w:val="0063603E"/>
    <w:rsid w:val="006375B7"/>
    <w:rsid w:val="00643988"/>
    <w:rsid w:val="00643D57"/>
    <w:rsid w:val="00646A53"/>
    <w:rsid w:val="00646BE7"/>
    <w:rsid w:val="00652094"/>
    <w:rsid w:val="00652E3E"/>
    <w:rsid w:val="00654A86"/>
    <w:rsid w:val="006561F1"/>
    <w:rsid w:val="00663480"/>
    <w:rsid w:val="0066459D"/>
    <w:rsid w:val="00691AC6"/>
    <w:rsid w:val="00697207"/>
    <w:rsid w:val="006A687B"/>
    <w:rsid w:val="006A7958"/>
    <w:rsid w:val="006B2236"/>
    <w:rsid w:val="006B30AC"/>
    <w:rsid w:val="006B5D48"/>
    <w:rsid w:val="006C049E"/>
    <w:rsid w:val="006C3FC9"/>
    <w:rsid w:val="006C6C83"/>
    <w:rsid w:val="006D0102"/>
    <w:rsid w:val="006D18BC"/>
    <w:rsid w:val="006D2429"/>
    <w:rsid w:val="006D656F"/>
    <w:rsid w:val="006E074F"/>
    <w:rsid w:val="006E1A18"/>
    <w:rsid w:val="006E2D14"/>
    <w:rsid w:val="006F155B"/>
    <w:rsid w:val="006F1DCF"/>
    <w:rsid w:val="006F26D5"/>
    <w:rsid w:val="006F454B"/>
    <w:rsid w:val="00701464"/>
    <w:rsid w:val="00705E44"/>
    <w:rsid w:val="00706D1D"/>
    <w:rsid w:val="007113B2"/>
    <w:rsid w:val="0071177A"/>
    <w:rsid w:val="0071730D"/>
    <w:rsid w:val="007213C7"/>
    <w:rsid w:val="007311ED"/>
    <w:rsid w:val="007318F3"/>
    <w:rsid w:val="0073571A"/>
    <w:rsid w:val="00746921"/>
    <w:rsid w:val="00756C7F"/>
    <w:rsid w:val="00762804"/>
    <w:rsid w:val="00766CBC"/>
    <w:rsid w:val="007718FF"/>
    <w:rsid w:val="00771EEF"/>
    <w:rsid w:val="00776E9C"/>
    <w:rsid w:val="00782A12"/>
    <w:rsid w:val="0078460D"/>
    <w:rsid w:val="007846BF"/>
    <w:rsid w:val="0078502F"/>
    <w:rsid w:val="007917AA"/>
    <w:rsid w:val="007938ED"/>
    <w:rsid w:val="007A771C"/>
    <w:rsid w:val="007B4962"/>
    <w:rsid w:val="007B5EAD"/>
    <w:rsid w:val="007C3872"/>
    <w:rsid w:val="007C3CBB"/>
    <w:rsid w:val="007C51D9"/>
    <w:rsid w:val="007D1C98"/>
    <w:rsid w:val="007D2ADD"/>
    <w:rsid w:val="007E1394"/>
    <w:rsid w:val="007E30F5"/>
    <w:rsid w:val="007F2FCF"/>
    <w:rsid w:val="007F343B"/>
    <w:rsid w:val="007F6AA7"/>
    <w:rsid w:val="007F72CB"/>
    <w:rsid w:val="0080251F"/>
    <w:rsid w:val="0080527D"/>
    <w:rsid w:val="008167A7"/>
    <w:rsid w:val="00816B3A"/>
    <w:rsid w:val="00817F7F"/>
    <w:rsid w:val="00824764"/>
    <w:rsid w:val="0083638D"/>
    <w:rsid w:val="008375A1"/>
    <w:rsid w:val="00844F7F"/>
    <w:rsid w:val="00846624"/>
    <w:rsid w:val="008505D9"/>
    <w:rsid w:val="008523EB"/>
    <w:rsid w:val="00853044"/>
    <w:rsid w:val="00856878"/>
    <w:rsid w:val="00863E5E"/>
    <w:rsid w:val="00865DB7"/>
    <w:rsid w:val="008709F0"/>
    <w:rsid w:val="0087332F"/>
    <w:rsid w:val="00875EE5"/>
    <w:rsid w:val="00881DD4"/>
    <w:rsid w:val="00886685"/>
    <w:rsid w:val="008908CC"/>
    <w:rsid w:val="008951E7"/>
    <w:rsid w:val="008A4170"/>
    <w:rsid w:val="008A4E98"/>
    <w:rsid w:val="008A72B2"/>
    <w:rsid w:val="008A7722"/>
    <w:rsid w:val="008A7C40"/>
    <w:rsid w:val="008B26C2"/>
    <w:rsid w:val="008B2BDF"/>
    <w:rsid w:val="008B3066"/>
    <w:rsid w:val="008B33A1"/>
    <w:rsid w:val="008C2705"/>
    <w:rsid w:val="008C625B"/>
    <w:rsid w:val="008D0E1D"/>
    <w:rsid w:val="008D3527"/>
    <w:rsid w:val="008D3E59"/>
    <w:rsid w:val="008D6F2D"/>
    <w:rsid w:val="008D711D"/>
    <w:rsid w:val="008E03C0"/>
    <w:rsid w:val="008E2B2E"/>
    <w:rsid w:val="008E539E"/>
    <w:rsid w:val="008F3478"/>
    <w:rsid w:val="008F59A7"/>
    <w:rsid w:val="008F74C8"/>
    <w:rsid w:val="009019D5"/>
    <w:rsid w:val="009047E5"/>
    <w:rsid w:val="0092039A"/>
    <w:rsid w:val="009241B4"/>
    <w:rsid w:val="00927649"/>
    <w:rsid w:val="00927A3B"/>
    <w:rsid w:val="00927D8F"/>
    <w:rsid w:val="00935BF8"/>
    <w:rsid w:val="00935EE0"/>
    <w:rsid w:val="00936B16"/>
    <w:rsid w:val="00936CAD"/>
    <w:rsid w:val="00942299"/>
    <w:rsid w:val="0094350D"/>
    <w:rsid w:val="009454D8"/>
    <w:rsid w:val="009502D6"/>
    <w:rsid w:val="0095209D"/>
    <w:rsid w:val="009522C6"/>
    <w:rsid w:val="009543C5"/>
    <w:rsid w:val="00956BB7"/>
    <w:rsid w:val="00956EAB"/>
    <w:rsid w:val="00961DEF"/>
    <w:rsid w:val="0096499E"/>
    <w:rsid w:val="00974729"/>
    <w:rsid w:val="00980CF9"/>
    <w:rsid w:val="00981C17"/>
    <w:rsid w:val="00983A11"/>
    <w:rsid w:val="00990FE9"/>
    <w:rsid w:val="00992815"/>
    <w:rsid w:val="00996002"/>
    <w:rsid w:val="0099624F"/>
    <w:rsid w:val="009A0F9A"/>
    <w:rsid w:val="009A4C68"/>
    <w:rsid w:val="009A642E"/>
    <w:rsid w:val="009B241C"/>
    <w:rsid w:val="009B7261"/>
    <w:rsid w:val="009D2D3E"/>
    <w:rsid w:val="009E08EB"/>
    <w:rsid w:val="009F7670"/>
    <w:rsid w:val="00A00A78"/>
    <w:rsid w:val="00A01123"/>
    <w:rsid w:val="00A125DA"/>
    <w:rsid w:val="00A15605"/>
    <w:rsid w:val="00A263B8"/>
    <w:rsid w:val="00A305FA"/>
    <w:rsid w:val="00A32613"/>
    <w:rsid w:val="00A32683"/>
    <w:rsid w:val="00A34053"/>
    <w:rsid w:val="00A44931"/>
    <w:rsid w:val="00A52365"/>
    <w:rsid w:val="00A52C67"/>
    <w:rsid w:val="00A618CD"/>
    <w:rsid w:val="00A634BD"/>
    <w:rsid w:val="00A74790"/>
    <w:rsid w:val="00A80425"/>
    <w:rsid w:val="00A81222"/>
    <w:rsid w:val="00A85F23"/>
    <w:rsid w:val="00A92D55"/>
    <w:rsid w:val="00AA089E"/>
    <w:rsid w:val="00AA2ACA"/>
    <w:rsid w:val="00AA4F75"/>
    <w:rsid w:val="00AA7F13"/>
    <w:rsid w:val="00AB1944"/>
    <w:rsid w:val="00AB2C5F"/>
    <w:rsid w:val="00AB2F1A"/>
    <w:rsid w:val="00AB34B0"/>
    <w:rsid w:val="00AB357E"/>
    <w:rsid w:val="00AB5AE6"/>
    <w:rsid w:val="00AC2D1B"/>
    <w:rsid w:val="00AC6A9D"/>
    <w:rsid w:val="00AC7509"/>
    <w:rsid w:val="00AD05E0"/>
    <w:rsid w:val="00AD1103"/>
    <w:rsid w:val="00AD2C6D"/>
    <w:rsid w:val="00AD3B0F"/>
    <w:rsid w:val="00AD3FEB"/>
    <w:rsid w:val="00AD7400"/>
    <w:rsid w:val="00AE137A"/>
    <w:rsid w:val="00AE7588"/>
    <w:rsid w:val="00AF03D0"/>
    <w:rsid w:val="00AF1E39"/>
    <w:rsid w:val="00AF7835"/>
    <w:rsid w:val="00B04F95"/>
    <w:rsid w:val="00B05045"/>
    <w:rsid w:val="00B07787"/>
    <w:rsid w:val="00B11EBB"/>
    <w:rsid w:val="00B1345D"/>
    <w:rsid w:val="00B1454A"/>
    <w:rsid w:val="00B15207"/>
    <w:rsid w:val="00B200F0"/>
    <w:rsid w:val="00B21B4F"/>
    <w:rsid w:val="00B2394B"/>
    <w:rsid w:val="00B24407"/>
    <w:rsid w:val="00B24FBB"/>
    <w:rsid w:val="00B311A0"/>
    <w:rsid w:val="00B316D3"/>
    <w:rsid w:val="00B33A78"/>
    <w:rsid w:val="00B377CF"/>
    <w:rsid w:val="00B426FB"/>
    <w:rsid w:val="00B506AF"/>
    <w:rsid w:val="00B52951"/>
    <w:rsid w:val="00B52A9C"/>
    <w:rsid w:val="00B53580"/>
    <w:rsid w:val="00B5485C"/>
    <w:rsid w:val="00B562AD"/>
    <w:rsid w:val="00B57CE6"/>
    <w:rsid w:val="00B6339B"/>
    <w:rsid w:val="00B639B3"/>
    <w:rsid w:val="00B66500"/>
    <w:rsid w:val="00B83F34"/>
    <w:rsid w:val="00B90506"/>
    <w:rsid w:val="00B93D8B"/>
    <w:rsid w:val="00BA4C95"/>
    <w:rsid w:val="00BA5DA8"/>
    <w:rsid w:val="00BD1D48"/>
    <w:rsid w:val="00BD390A"/>
    <w:rsid w:val="00BD76AD"/>
    <w:rsid w:val="00BE07C9"/>
    <w:rsid w:val="00BE0BFC"/>
    <w:rsid w:val="00BE0D32"/>
    <w:rsid w:val="00BE2032"/>
    <w:rsid w:val="00BE31F3"/>
    <w:rsid w:val="00BE612F"/>
    <w:rsid w:val="00BF1E6A"/>
    <w:rsid w:val="00BF472F"/>
    <w:rsid w:val="00C07A6E"/>
    <w:rsid w:val="00C07C09"/>
    <w:rsid w:val="00C16D5E"/>
    <w:rsid w:val="00C1758F"/>
    <w:rsid w:val="00C261A5"/>
    <w:rsid w:val="00C27581"/>
    <w:rsid w:val="00C33656"/>
    <w:rsid w:val="00C35BAC"/>
    <w:rsid w:val="00C43420"/>
    <w:rsid w:val="00C4432E"/>
    <w:rsid w:val="00C47BBF"/>
    <w:rsid w:val="00C535FA"/>
    <w:rsid w:val="00C57679"/>
    <w:rsid w:val="00C64A1B"/>
    <w:rsid w:val="00C67422"/>
    <w:rsid w:val="00C7450F"/>
    <w:rsid w:val="00C746B5"/>
    <w:rsid w:val="00C7628B"/>
    <w:rsid w:val="00C807C4"/>
    <w:rsid w:val="00C85C2F"/>
    <w:rsid w:val="00C86EC4"/>
    <w:rsid w:val="00C92658"/>
    <w:rsid w:val="00CA1AB8"/>
    <w:rsid w:val="00CA6AD9"/>
    <w:rsid w:val="00CA6B91"/>
    <w:rsid w:val="00CB08DC"/>
    <w:rsid w:val="00CB146A"/>
    <w:rsid w:val="00CB30DF"/>
    <w:rsid w:val="00CB4D1D"/>
    <w:rsid w:val="00CB5EDD"/>
    <w:rsid w:val="00CC1844"/>
    <w:rsid w:val="00CC3198"/>
    <w:rsid w:val="00CC4CCA"/>
    <w:rsid w:val="00CC4E75"/>
    <w:rsid w:val="00CC74FA"/>
    <w:rsid w:val="00CC7BCB"/>
    <w:rsid w:val="00CD4839"/>
    <w:rsid w:val="00CD7077"/>
    <w:rsid w:val="00CF1946"/>
    <w:rsid w:val="00CF2FE1"/>
    <w:rsid w:val="00CF4100"/>
    <w:rsid w:val="00CF555F"/>
    <w:rsid w:val="00CF7322"/>
    <w:rsid w:val="00D00083"/>
    <w:rsid w:val="00D01DC2"/>
    <w:rsid w:val="00D0698E"/>
    <w:rsid w:val="00D07C19"/>
    <w:rsid w:val="00D167A3"/>
    <w:rsid w:val="00D20F9A"/>
    <w:rsid w:val="00D222DD"/>
    <w:rsid w:val="00D26219"/>
    <w:rsid w:val="00D30546"/>
    <w:rsid w:val="00D43DA5"/>
    <w:rsid w:val="00D43DC9"/>
    <w:rsid w:val="00D47105"/>
    <w:rsid w:val="00D51E28"/>
    <w:rsid w:val="00D53ADE"/>
    <w:rsid w:val="00D54708"/>
    <w:rsid w:val="00D55705"/>
    <w:rsid w:val="00D636F8"/>
    <w:rsid w:val="00D65A2C"/>
    <w:rsid w:val="00D727AE"/>
    <w:rsid w:val="00D82F44"/>
    <w:rsid w:val="00D85C6E"/>
    <w:rsid w:val="00D90A43"/>
    <w:rsid w:val="00D95701"/>
    <w:rsid w:val="00D9577D"/>
    <w:rsid w:val="00D95B3C"/>
    <w:rsid w:val="00DA2467"/>
    <w:rsid w:val="00DB1F33"/>
    <w:rsid w:val="00DB32DE"/>
    <w:rsid w:val="00DC0FA2"/>
    <w:rsid w:val="00DC1894"/>
    <w:rsid w:val="00DC774C"/>
    <w:rsid w:val="00DD4FE6"/>
    <w:rsid w:val="00DE3138"/>
    <w:rsid w:val="00DE4ABA"/>
    <w:rsid w:val="00DE746C"/>
    <w:rsid w:val="00DF0D8F"/>
    <w:rsid w:val="00DF2F91"/>
    <w:rsid w:val="00DF34A2"/>
    <w:rsid w:val="00DF3E0F"/>
    <w:rsid w:val="00DF6C62"/>
    <w:rsid w:val="00DF7042"/>
    <w:rsid w:val="00E07657"/>
    <w:rsid w:val="00E15503"/>
    <w:rsid w:val="00E21315"/>
    <w:rsid w:val="00E23AE9"/>
    <w:rsid w:val="00E267AB"/>
    <w:rsid w:val="00E36490"/>
    <w:rsid w:val="00E40269"/>
    <w:rsid w:val="00E47733"/>
    <w:rsid w:val="00E52A94"/>
    <w:rsid w:val="00E64E03"/>
    <w:rsid w:val="00E71B68"/>
    <w:rsid w:val="00E72F2D"/>
    <w:rsid w:val="00E8671C"/>
    <w:rsid w:val="00E92E5D"/>
    <w:rsid w:val="00E954FC"/>
    <w:rsid w:val="00EA0D21"/>
    <w:rsid w:val="00EA7AA9"/>
    <w:rsid w:val="00EA7C52"/>
    <w:rsid w:val="00EB1085"/>
    <w:rsid w:val="00EB4394"/>
    <w:rsid w:val="00EC6C43"/>
    <w:rsid w:val="00EC7B1D"/>
    <w:rsid w:val="00ED2BE3"/>
    <w:rsid w:val="00ED3B28"/>
    <w:rsid w:val="00ED503B"/>
    <w:rsid w:val="00EE10A7"/>
    <w:rsid w:val="00EE241E"/>
    <w:rsid w:val="00EE2EF8"/>
    <w:rsid w:val="00EF4708"/>
    <w:rsid w:val="00EF7932"/>
    <w:rsid w:val="00F00AA0"/>
    <w:rsid w:val="00F01624"/>
    <w:rsid w:val="00F122F2"/>
    <w:rsid w:val="00F17796"/>
    <w:rsid w:val="00F17C22"/>
    <w:rsid w:val="00F21F68"/>
    <w:rsid w:val="00F26A69"/>
    <w:rsid w:val="00F31DD9"/>
    <w:rsid w:val="00F369D3"/>
    <w:rsid w:val="00F4050C"/>
    <w:rsid w:val="00F43256"/>
    <w:rsid w:val="00F43B0C"/>
    <w:rsid w:val="00F51E1F"/>
    <w:rsid w:val="00F536E3"/>
    <w:rsid w:val="00F55401"/>
    <w:rsid w:val="00F55EC7"/>
    <w:rsid w:val="00F55FCC"/>
    <w:rsid w:val="00F63501"/>
    <w:rsid w:val="00F63F00"/>
    <w:rsid w:val="00F640A3"/>
    <w:rsid w:val="00F654C2"/>
    <w:rsid w:val="00F708E2"/>
    <w:rsid w:val="00F742C1"/>
    <w:rsid w:val="00F7635B"/>
    <w:rsid w:val="00F77FF0"/>
    <w:rsid w:val="00F80E53"/>
    <w:rsid w:val="00F82528"/>
    <w:rsid w:val="00F83A89"/>
    <w:rsid w:val="00F86EDD"/>
    <w:rsid w:val="00F87DB8"/>
    <w:rsid w:val="00FA096B"/>
    <w:rsid w:val="00FA0D8D"/>
    <w:rsid w:val="00FB5D12"/>
    <w:rsid w:val="00FC1A7F"/>
    <w:rsid w:val="00FC2B0D"/>
    <w:rsid w:val="00FC4A09"/>
    <w:rsid w:val="00FC74B4"/>
    <w:rsid w:val="00FE35C9"/>
    <w:rsid w:val="00FE421E"/>
    <w:rsid w:val="00FE55B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 w:type="character" w:customStyle="1" w:styleId="SinespaciadoCar">
    <w:name w:val="Sin espaciado Car"/>
    <w:link w:val="Sinespaciado"/>
    <w:uiPriority w:val="1"/>
    <w:locked/>
    <w:rsid w:val="00B5295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4A23-B8F3-4CE2-8E47-E3957820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6329</Words>
  <Characters>34814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12</cp:revision>
  <cp:lastPrinted>2019-01-22T20:15:00Z</cp:lastPrinted>
  <dcterms:created xsi:type="dcterms:W3CDTF">2019-01-18T12:29:00Z</dcterms:created>
  <dcterms:modified xsi:type="dcterms:W3CDTF">2019-02-15T12:42:00Z</dcterms:modified>
</cp:coreProperties>
</file>