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3A" w:rsidRPr="00B30EFC" w:rsidRDefault="00D55E3A" w:rsidP="00D55E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5E3A" w:rsidRDefault="00D55E3A" w:rsidP="00D55E3A">
      <w:pPr>
        <w:jc w:val="both"/>
        <w:rPr>
          <w:rFonts w:ascii="Arial" w:hAnsi="Arial" w:cs="Arial"/>
          <w:sz w:val="20"/>
          <w:lang w:val="es-419"/>
        </w:rPr>
      </w:pPr>
    </w:p>
    <w:p w:rsidR="00D55E3A" w:rsidRPr="00D55E3A" w:rsidRDefault="00D55E3A" w:rsidP="00D55E3A">
      <w:pPr>
        <w:jc w:val="both"/>
        <w:rPr>
          <w:rFonts w:ascii="Arial" w:hAnsi="Arial" w:cs="Arial"/>
          <w:sz w:val="20"/>
          <w:lang w:val="es-419"/>
        </w:rPr>
      </w:pPr>
      <w:r w:rsidRPr="00D55E3A">
        <w:rPr>
          <w:rFonts w:ascii="Arial" w:hAnsi="Arial" w:cs="Arial"/>
          <w:sz w:val="20"/>
          <w:lang w:val="es-419"/>
        </w:rPr>
        <w:t>Providencia:</w:t>
      </w:r>
      <w:r w:rsidRPr="00D55E3A">
        <w:rPr>
          <w:rFonts w:ascii="Arial" w:hAnsi="Arial" w:cs="Arial"/>
          <w:sz w:val="20"/>
          <w:lang w:val="es-419"/>
        </w:rPr>
        <w:tab/>
      </w:r>
      <w:r w:rsidRPr="00D55E3A">
        <w:rPr>
          <w:rFonts w:ascii="Arial" w:hAnsi="Arial" w:cs="Arial"/>
          <w:sz w:val="20"/>
          <w:lang w:val="es-419"/>
        </w:rPr>
        <w:tab/>
        <w:t>S</w:t>
      </w:r>
      <w:r w:rsidR="000D1C2C">
        <w:rPr>
          <w:rFonts w:ascii="Arial" w:hAnsi="Arial" w:cs="Arial"/>
          <w:sz w:val="20"/>
          <w:lang w:val="es-419"/>
        </w:rPr>
        <w:t>entencia de Segunda Instancia</w:t>
      </w:r>
    </w:p>
    <w:p w:rsidR="00D55E3A" w:rsidRPr="00D55E3A" w:rsidRDefault="00D55E3A" w:rsidP="00D55E3A">
      <w:pPr>
        <w:jc w:val="both"/>
        <w:rPr>
          <w:rFonts w:ascii="Arial" w:hAnsi="Arial" w:cs="Arial"/>
          <w:sz w:val="20"/>
          <w:lang w:val="es-419"/>
        </w:rPr>
      </w:pPr>
      <w:r w:rsidRPr="00D55E3A">
        <w:rPr>
          <w:rFonts w:ascii="Arial" w:hAnsi="Arial" w:cs="Arial"/>
          <w:sz w:val="20"/>
          <w:lang w:val="es-419"/>
        </w:rPr>
        <w:t>Radicación No:</w:t>
      </w:r>
      <w:r w:rsidRPr="00D55E3A">
        <w:rPr>
          <w:rFonts w:ascii="Arial" w:hAnsi="Arial" w:cs="Arial"/>
          <w:sz w:val="20"/>
          <w:lang w:val="es-419"/>
        </w:rPr>
        <w:tab/>
      </w:r>
      <w:r w:rsidRPr="00D55E3A">
        <w:rPr>
          <w:rFonts w:ascii="Arial" w:hAnsi="Arial" w:cs="Arial"/>
          <w:sz w:val="20"/>
          <w:lang w:val="es-419"/>
        </w:rPr>
        <w:tab/>
        <w:t>66001-31-05-003-2017-00322-01</w:t>
      </w:r>
    </w:p>
    <w:p w:rsidR="00D55E3A" w:rsidRPr="00D55E3A" w:rsidRDefault="00D55E3A" w:rsidP="00D55E3A">
      <w:pPr>
        <w:jc w:val="both"/>
        <w:rPr>
          <w:rFonts w:ascii="Arial" w:hAnsi="Arial" w:cs="Arial"/>
          <w:sz w:val="20"/>
          <w:lang w:val="es-419"/>
        </w:rPr>
      </w:pPr>
      <w:r w:rsidRPr="00D55E3A">
        <w:rPr>
          <w:rFonts w:ascii="Arial" w:hAnsi="Arial" w:cs="Arial"/>
          <w:sz w:val="20"/>
          <w:lang w:val="es-419"/>
        </w:rPr>
        <w:t>Proceso:</w:t>
      </w:r>
      <w:r w:rsidRPr="00D55E3A">
        <w:rPr>
          <w:rFonts w:ascii="Arial" w:hAnsi="Arial" w:cs="Arial"/>
          <w:sz w:val="20"/>
          <w:lang w:val="es-419"/>
        </w:rPr>
        <w:tab/>
      </w:r>
      <w:r w:rsidRPr="00D55E3A">
        <w:rPr>
          <w:rFonts w:ascii="Arial" w:hAnsi="Arial" w:cs="Arial"/>
          <w:sz w:val="20"/>
          <w:lang w:val="es-419"/>
        </w:rPr>
        <w:tab/>
        <w:t xml:space="preserve">Ordinario Laboral.   </w:t>
      </w:r>
    </w:p>
    <w:p w:rsidR="00D55E3A" w:rsidRPr="00D55E3A" w:rsidRDefault="00D55E3A" w:rsidP="00D55E3A">
      <w:pPr>
        <w:jc w:val="both"/>
        <w:rPr>
          <w:rFonts w:ascii="Arial" w:hAnsi="Arial" w:cs="Arial"/>
          <w:sz w:val="20"/>
          <w:lang w:val="es-419"/>
        </w:rPr>
      </w:pPr>
      <w:r w:rsidRPr="00D55E3A">
        <w:rPr>
          <w:rFonts w:ascii="Arial" w:hAnsi="Arial" w:cs="Arial"/>
          <w:sz w:val="20"/>
          <w:lang w:val="es-419"/>
        </w:rPr>
        <w:t>Demandante:</w:t>
      </w:r>
      <w:r w:rsidRPr="00D55E3A">
        <w:rPr>
          <w:rFonts w:ascii="Arial" w:hAnsi="Arial" w:cs="Arial"/>
          <w:sz w:val="20"/>
          <w:lang w:val="es-419"/>
        </w:rPr>
        <w:tab/>
      </w:r>
      <w:r w:rsidRPr="00D55E3A">
        <w:rPr>
          <w:rFonts w:ascii="Arial" w:hAnsi="Arial" w:cs="Arial"/>
          <w:sz w:val="20"/>
          <w:lang w:val="es-419"/>
        </w:rPr>
        <w:tab/>
        <w:t xml:space="preserve">Elizabeth Reina Castaño </w:t>
      </w:r>
    </w:p>
    <w:p w:rsidR="00D55E3A" w:rsidRPr="00D55E3A" w:rsidRDefault="00D55E3A" w:rsidP="00D55E3A">
      <w:pPr>
        <w:jc w:val="both"/>
        <w:rPr>
          <w:rFonts w:ascii="Arial" w:hAnsi="Arial" w:cs="Arial"/>
          <w:sz w:val="20"/>
          <w:lang w:val="es-419"/>
        </w:rPr>
      </w:pPr>
      <w:r w:rsidRPr="00D55E3A">
        <w:rPr>
          <w:rFonts w:ascii="Arial" w:hAnsi="Arial" w:cs="Arial"/>
          <w:sz w:val="20"/>
          <w:lang w:val="es-419"/>
        </w:rPr>
        <w:t>Demandado:</w:t>
      </w:r>
      <w:r w:rsidRPr="00D55E3A">
        <w:rPr>
          <w:rFonts w:ascii="Arial" w:hAnsi="Arial" w:cs="Arial"/>
          <w:sz w:val="20"/>
          <w:lang w:val="es-419"/>
        </w:rPr>
        <w:tab/>
      </w:r>
      <w:r w:rsidRPr="00D55E3A">
        <w:rPr>
          <w:rFonts w:ascii="Arial" w:hAnsi="Arial" w:cs="Arial"/>
          <w:sz w:val="20"/>
          <w:lang w:val="es-419"/>
        </w:rPr>
        <w:tab/>
        <w:t xml:space="preserve">Colpensiones </w:t>
      </w:r>
      <w:r>
        <w:rPr>
          <w:rFonts w:ascii="Arial" w:hAnsi="Arial" w:cs="Arial"/>
          <w:sz w:val="20"/>
          <w:lang w:val="es-CO"/>
        </w:rPr>
        <w:t xml:space="preserve">y </w:t>
      </w:r>
      <w:r w:rsidRPr="00D55E3A">
        <w:rPr>
          <w:rFonts w:ascii="Arial" w:hAnsi="Arial" w:cs="Arial"/>
          <w:sz w:val="20"/>
          <w:lang w:val="es-419"/>
        </w:rPr>
        <w:t xml:space="preserve">Porvenir </w:t>
      </w:r>
      <w:r>
        <w:rPr>
          <w:rFonts w:ascii="Arial" w:hAnsi="Arial" w:cs="Arial"/>
          <w:sz w:val="20"/>
          <w:lang w:val="es-419"/>
        </w:rPr>
        <w:t>S.A.</w:t>
      </w:r>
    </w:p>
    <w:p w:rsidR="00D55E3A" w:rsidRPr="00D55E3A" w:rsidRDefault="00D55E3A" w:rsidP="00D55E3A">
      <w:pPr>
        <w:jc w:val="both"/>
        <w:rPr>
          <w:rFonts w:ascii="Arial" w:hAnsi="Arial" w:cs="Arial"/>
          <w:sz w:val="20"/>
          <w:lang w:val="es-419"/>
        </w:rPr>
      </w:pPr>
      <w:r w:rsidRPr="00D55E3A">
        <w:rPr>
          <w:rFonts w:ascii="Arial" w:hAnsi="Arial" w:cs="Arial"/>
          <w:sz w:val="20"/>
          <w:lang w:val="es-419"/>
        </w:rPr>
        <w:t>Juzgado de origen:</w:t>
      </w:r>
      <w:r w:rsidRPr="00D55E3A">
        <w:rPr>
          <w:rFonts w:ascii="Arial" w:hAnsi="Arial" w:cs="Arial"/>
          <w:sz w:val="20"/>
          <w:lang w:val="es-419"/>
        </w:rPr>
        <w:tab/>
        <w:t>Tercero Laboral del Circuito de Pereira</w:t>
      </w:r>
    </w:p>
    <w:p w:rsidR="00D55E3A" w:rsidRPr="00B30EFC" w:rsidRDefault="00D55E3A" w:rsidP="00D55E3A">
      <w:pPr>
        <w:jc w:val="both"/>
        <w:rPr>
          <w:rFonts w:ascii="Arial" w:hAnsi="Arial" w:cs="Arial"/>
          <w:sz w:val="20"/>
          <w:lang w:val="es-419"/>
        </w:rPr>
      </w:pPr>
    </w:p>
    <w:p w:rsidR="00D55E3A" w:rsidRPr="00B30EFC" w:rsidRDefault="00D55E3A" w:rsidP="00D55E3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0B75F8" w:rsidRPr="001F68F6">
        <w:rPr>
          <w:rFonts w:ascii="Arial" w:hAnsi="Arial" w:cs="Arial"/>
          <w:b/>
          <w:bCs/>
          <w:iCs/>
          <w:sz w:val="20"/>
          <w:szCs w:val="20"/>
          <w:lang w:val="es-419" w:eastAsia="fr-FR"/>
        </w:rPr>
        <w:t>INEFICACIA DEL TRASLADO AL RAIS</w:t>
      </w:r>
      <w:r w:rsidR="000B75F8">
        <w:rPr>
          <w:rFonts w:ascii="Arial" w:hAnsi="Arial" w:cs="Arial"/>
          <w:b/>
          <w:bCs/>
          <w:iCs/>
          <w:sz w:val="20"/>
          <w:szCs w:val="20"/>
          <w:lang w:val="es-CO" w:eastAsia="fr-FR"/>
        </w:rPr>
        <w:t xml:space="preserve"> / LEGITIMACIÓN EN LA CAUSA / LA TIENE EL AFILIADO AL SISTEMA, NO EL YA PENSIONADO</w:t>
      </w:r>
      <w:r w:rsidR="000B75F8">
        <w:rPr>
          <w:rFonts w:ascii="Arial" w:hAnsi="Arial" w:cs="Arial"/>
          <w:b/>
          <w:bCs/>
          <w:iCs/>
          <w:sz w:val="20"/>
          <w:szCs w:val="20"/>
          <w:lang w:val="es-419" w:eastAsia="fr-FR"/>
        </w:rPr>
        <w:t>.</w:t>
      </w:r>
    </w:p>
    <w:p w:rsidR="00D55E3A" w:rsidRDefault="00D55E3A" w:rsidP="00D55E3A">
      <w:pPr>
        <w:jc w:val="both"/>
        <w:rPr>
          <w:rFonts w:ascii="Arial" w:hAnsi="Arial" w:cs="Arial"/>
          <w:sz w:val="20"/>
          <w:lang w:val="es-419"/>
        </w:rPr>
      </w:pPr>
    </w:p>
    <w:p w:rsidR="004073AD" w:rsidRDefault="004073AD" w:rsidP="00D55E3A">
      <w:pPr>
        <w:jc w:val="both"/>
        <w:rPr>
          <w:rFonts w:ascii="Arial" w:hAnsi="Arial" w:cs="Arial"/>
          <w:sz w:val="20"/>
          <w:lang w:val="es-CO"/>
        </w:rPr>
      </w:pPr>
      <w:r w:rsidRPr="004073AD">
        <w:rPr>
          <w:rFonts w:ascii="Arial" w:hAnsi="Arial" w:cs="Arial"/>
          <w:sz w:val="20"/>
          <w:lang w:val="es-419"/>
        </w:rPr>
        <w:t xml:space="preserve">El  artículo 13 de la Ley 100 de 1993, en su literal b) señala que la escogencia de cualquiera de los regímenes contemplados es libre y voluntaria por parte del </w:t>
      </w:r>
      <w:r w:rsidRPr="004073AD">
        <w:rPr>
          <w:rFonts w:ascii="Arial" w:hAnsi="Arial" w:cs="Arial"/>
          <w:b/>
          <w:sz w:val="20"/>
          <w:lang w:val="es-419"/>
        </w:rPr>
        <w:t>afiliado</w:t>
      </w:r>
      <w:r w:rsidRPr="004073AD">
        <w:rPr>
          <w:rFonts w:ascii="Arial" w:hAnsi="Arial" w:cs="Arial"/>
          <w:sz w:val="20"/>
          <w:lang w:val="es-419"/>
        </w:rPr>
        <w:t>; consentimiento que se manifiesta por escrito al momento del diligenciamiento de la vinculación o traslado, situación que de desconocerse acarrea las sanciones previstas en el inciso 1º del artículo 271 ibídem</w:t>
      </w:r>
      <w:r>
        <w:rPr>
          <w:rFonts w:ascii="Arial" w:hAnsi="Arial" w:cs="Arial"/>
          <w:sz w:val="20"/>
          <w:lang w:val="es-CO"/>
        </w:rPr>
        <w:t>…</w:t>
      </w:r>
    </w:p>
    <w:p w:rsidR="004073AD" w:rsidRDefault="004073AD" w:rsidP="00D55E3A">
      <w:pPr>
        <w:jc w:val="both"/>
        <w:rPr>
          <w:rFonts w:ascii="Arial" w:hAnsi="Arial" w:cs="Arial"/>
          <w:sz w:val="20"/>
          <w:lang w:val="es-CO"/>
        </w:rPr>
      </w:pPr>
    </w:p>
    <w:p w:rsidR="004073AD" w:rsidRPr="004073AD" w:rsidRDefault="009B14BB" w:rsidP="00D55E3A">
      <w:pPr>
        <w:jc w:val="both"/>
        <w:rPr>
          <w:rFonts w:ascii="Arial" w:hAnsi="Arial" w:cs="Arial"/>
          <w:sz w:val="20"/>
          <w:lang w:val="es-CO"/>
        </w:rPr>
      </w:pPr>
      <w:r w:rsidRPr="009B14BB">
        <w:rPr>
          <w:rFonts w:ascii="Arial" w:hAnsi="Arial" w:cs="Arial"/>
          <w:sz w:val="20"/>
          <w:lang w:val="es-CO"/>
        </w:rPr>
        <w:t xml:space="preserve">Dicho en otros términos, de prosperar la declaratoria de ineficacia del acto jurídico de afiliación al RAIS, implicaría que esta no produjo ningún efecto y/o se torna inexistente y que el </w:t>
      </w:r>
      <w:r w:rsidRPr="009B14BB">
        <w:rPr>
          <w:rFonts w:ascii="Arial" w:hAnsi="Arial" w:cs="Arial"/>
          <w:b/>
          <w:sz w:val="20"/>
          <w:lang w:val="es-CO"/>
        </w:rPr>
        <w:t>afiliado</w:t>
      </w:r>
      <w:r w:rsidRPr="009B14BB">
        <w:rPr>
          <w:rFonts w:ascii="Arial" w:hAnsi="Arial" w:cs="Arial"/>
          <w:sz w:val="20"/>
          <w:lang w:val="es-CO"/>
        </w:rPr>
        <w:t>, en consecuencia, puede ejercer, sin ninguna restricción, su derecho a la libre escogencia, bien para continuar en el RPM o seleccionar nuevamente al RAIS</w:t>
      </w:r>
      <w:r>
        <w:rPr>
          <w:rFonts w:ascii="Arial" w:hAnsi="Arial" w:cs="Arial"/>
          <w:sz w:val="20"/>
          <w:lang w:val="es-CO"/>
        </w:rPr>
        <w:t>…</w:t>
      </w:r>
    </w:p>
    <w:p w:rsidR="00D55E3A" w:rsidRDefault="00D55E3A" w:rsidP="00D55E3A">
      <w:pPr>
        <w:jc w:val="both"/>
        <w:rPr>
          <w:rFonts w:ascii="Arial" w:hAnsi="Arial" w:cs="Arial"/>
          <w:sz w:val="20"/>
          <w:lang w:val="es-419"/>
        </w:rPr>
      </w:pPr>
    </w:p>
    <w:p w:rsidR="009B14BB" w:rsidRPr="00751953" w:rsidRDefault="009B14BB" w:rsidP="009B14BB">
      <w:pPr>
        <w:jc w:val="both"/>
        <w:rPr>
          <w:rFonts w:ascii="Arial" w:hAnsi="Arial" w:cs="Arial"/>
          <w:sz w:val="20"/>
          <w:lang w:val="es-419"/>
        </w:rPr>
      </w:pPr>
      <w:r w:rsidRPr="00751953">
        <w:rPr>
          <w:rFonts w:ascii="Arial" w:hAnsi="Arial" w:cs="Arial"/>
          <w:sz w:val="20"/>
          <w:lang w:val="es-419"/>
        </w:rPr>
        <w:t>La legitimación en la causa por activa, es entendida como aquella facultad que tiene una persona conforme a la ley sustancial para formular ante un juez el reconocimiento de unas pretensiones, independientemente de que ellas estén llamadas a prosperar.</w:t>
      </w:r>
    </w:p>
    <w:p w:rsidR="009B14BB" w:rsidRPr="00751953" w:rsidRDefault="009B14BB" w:rsidP="009B14BB">
      <w:pPr>
        <w:jc w:val="both"/>
        <w:rPr>
          <w:rFonts w:ascii="Arial" w:hAnsi="Arial" w:cs="Arial"/>
          <w:sz w:val="20"/>
          <w:lang w:val="es-419"/>
        </w:rPr>
      </w:pPr>
    </w:p>
    <w:p w:rsidR="009B14BB" w:rsidRPr="00751953" w:rsidRDefault="009B14BB" w:rsidP="009B14BB">
      <w:pPr>
        <w:jc w:val="both"/>
        <w:rPr>
          <w:rFonts w:ascii="Arial" w:hAnsi="Arial" w:cs="Arial"/>
          <w:sz w:val="20"/>
          <w:lang w:val="es-419"/>
        </w:rPr>
      </w:pPr>
      <w:r w:rsidRPr="00751953">
        <w:rPr>
          <w:rFonts w:ascii="Arial" w:hAnsi="Arial" w:cs="Arial"/>
          <w:sz w:val="20"/>
          <w:lang w:val="es-419"/>
        </w:rPr>
        <w:t xml:space="preserve">Al respecto, la Corte Suprema de Justicia – Sala Civil, ha indicado: </w:t>
      </w:r>
    </w:p>
    <w:p w:rsidR="009B14BB" w:rsidRPr="00751953" w:rsidRDefault="009B14BB" w:rsidP="009B14BB">
      <w:pPr>
        <w:jc w:val="both"/>
        <w:rPr>
          <w:rFonts w:ascii="Arial" w:hAnsi="Arial" w:cs="Arial"/>
          <w:sz w:val="20"/>
          <w:lang w:val="es-419"/>
        </w:rPr>
      </w:pPr>
    </w:p>
    <w:p w:rsidR="009B14BB" w:rsidRPr="00751953" w:rsidRDefault="009B14BB" w:rsidP="009B14BB">
      <w:pPr>
        <w:jc w:val="both"/>
        <w:rPr>
          <w:rFonts w:ascii="Arial" w:hAnsi="Arial" w:cs="Arial"/>
          <w:sz w:val="20"/>
          <w:lang w:val="es-CO"/>
        </w:rPr>
      </w:pPr>
      <w:r w:rsidRPr="00751953">
        <w:rPr>
          <w:rFonts w:ascii="Arial" w:hAnsi="Arial" w:cs="Arial"/>
          <w:sz w:val="20"/>
          <w:lang w:val="es-419"/>
        </w:rPr>
        <w:t>“…la legitimación en la causa es cuestión propia del derecho sustancial y no del procesal, en cuanto concierne con una de las condiciones de prosperidad 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Pr>
          <w:rFonts w:ascii="Arial" w:hAnsi="Arial" w:cs="Arial"/>
          <w:sz w:val="20"/>
          <w:lang w:val="es-CO"/>
        </w:rPr>
        <w:t xml:space="preserve"> (…)</w:t>
      </w:r>
    </w:p>
    <w:p w:rsidR="009B14BB" w:rsidRDefault="009B14BB" w:rsidP="00D55E3A">
      <w:pPr>
        <w:jc w:val="both"/>
        <w:rPr>
          <w:rFonts w:ascii="Arial" w:hAnsi="Arial" w:cs="Arial"/>
          <w:sz w:val="20"/>
          <w:lang w:val="es-419"/>
        </w:rPr>
      </w:pPr>
    </w:p>
    <w:p w:rsidR="003453C1" w:rsidRPr="003453C1" w:rsidRDefault="003453C1" w:rsidP="003453C1">
      <w:pPr>
        <w:jc w:val="both"/>
        <w:rPr>
          <w:rFonts w:ascii="Arial" w:hAnsi="Arial" w:cs="Arial"/>
          <w:sz w:val="20"/>
          <w:lang w:val="es-419"/>
        </w:rPr>
      </w:pPr>
      <w:r w:rsidRPr="003453C1">
        <w:rPr>
          <w:rFonts w:ascii="Arial" w:hAnsi="Arial" w:cs="Arial"/>
          <w:sz w:val="20"/>
          <w:lang w:val="es-419"/>
        </w:rPr>
        <w:t>Conforme se manifestó en el libelo –hecho 27-, a la señora Elizabeth Reina Castaño le fue reconocida la pensión de vejez por parte de Colpensiones y a través de la Resolución Nº GNR 333845 del 24/09/2012</w:t>
      </w:r>
      <w:r>
        <w:rPr>
          <w:rFonts w:ascii="Arial" w:hAnsi="Arial" w:cs="Arial"/>
          <w:sz w:val="20"/>
          <w:lang w:val="es-CO"/>
        </w:rPr>
        <w:t>…</w:t>
      </w:r>
    </w:p>
    <w:p w:rsidR="003453C1" w:rsidRPr="003453C1" w:rsidRDefault="003453C1" w:rsidP="003453C1">
      <w:pPr>
        <w:jc w:val="both"/>
        <w:rPr>
          <w:rFonts w:ascii="Arial" w:hAnsi="Arial" w:cs="Arial"/>
          <w:sz w:val="20"/>
          <w:lang w:val="es-419"/>
        </w:rPr>
      </w:pPr>
    </w:p>
    <w:p w:rsidR="003453C1" w:rsidRPr="003453C1" w:rsidRDefault="003453C1" w:rsidP="003453C1">
      <w:pPr>
        <w:jc w:val="both"/>
        <w:rPr>
          <w:rFonts w:ascii="Arial" w:hAnsi="Arial" w:cs="Arial"/>
          <w:sz w:val="20"/>
          <w:lang w:val="es-419"/>
        </w:rPr>
      </w:pPr>
      <w:r w:rsidRPr="003453C1">
        <w:rPr>
          <w:rFonts w:ascii="Arial" w:hAnsi="Arial" w:cs="Arial"/>
          <w:sz w:val="20"/>
          <w:lang w:val="es-419"/>
        </w:rPr>
        <w:t>En este orden de ideas, no queda duda de la consolidación del riesgo pensional por vejez en la actora, es decir, de su calidad de pensionada la que excluye de entrada la condición de afiliada al Sistema General de Pensiones que la faculte para ejercer su derecho de libre escogencia de régimen pensional</w:t>
      </w:r>
      <w:r>
        <w:rPr>
          <w:rFonts w:ascii="Arial" w:hAnsi="Arial" w:cs="Arial"/>
          <w:sz w:val="20"/>
          <w:lang w:val="es-CO"/>
        </w:rPr>
        <w:t>…</w:t>
      </w:r>
      <w:r w:rsidRPr="003453C1">
        <w:rPr>
          <w:rFonts w:ascii="Arial" w:hAnsi="Arial" w:cs="Arial"/>
          <w:sz w:val="20"/>
          <w:lang w:val="es-419"/>
        </w:rPr>
        <w:t xml:space="preserve"> </w:t>
      </w:r>
    </w:p>
    <w:p w:rsidR="003453C1" w:rsidRPr="003453C1" w:rsidRDefault="003453C1" w:rsidP="003453C1">
      <w:pPr>
        <w:jc w:val="both"/>
        <w:rPr>
          <w:rFonts w:ascii="Arial" w:hAnsi="Arial" w:cs="Arial"/>
          <w:sz w:val="20"/>
          <w:lang w:val="es-419"/>
        </w:rPr>
      </w:pPr>
    </w:p>
    <w:p w:rsidR="009B14BB" w:rsidRDefault="003453C1" w:rsidP="003453C1">
      <w:pPr>
        <w:jc w:val="both"/>
        <w:rPr>
          <w:rFonts w:ascii="Arial" w:hAnsi="Arial" w:cs="Arial"/>
          <w:sz w:val="20"/>
          <w:lang w:val="es-419"/>
        </w:rPr>
      </w:pPr>
      <w:r w:rsidRPr="003453C1">
        <w:rPr>
          <w:rFonts w:ascii="Arial" w:hAnsi="Arial" w:cs="Arial"/>
          <w:sz w:val="20"/>
          <w:lang w:val="es-419"/>
        </w:rPr>
        <w:t>Por lo tanto, se evidencia la ausencia de legitimación en la causa de la señora Elizabeth Reina Castaño, de tal manera que la decisión de la funcionaria de primer grado no podía ser otra a la de denegar las pretensiones que le fueran solicitadas, como en efecto lo hizo, pero no por los razones que allí aduce.</w:t>
      </w:r>
    </w:p>
    <w:p w:rsidR="00463033" w:rsidRDefault="00463033" w:rsidP="003453C1">
      <w:pPr>
        <w:jc w:val="both"/>
        <w:rPr>
          <w:rFonts w:ascii="Arial" w:hAnsi="Arial" w:cs="Arial"/>
          <w:sz w:val="20"/>
          <w:lang w:val="es-419"/>
        </w:rPr>
      </w:pPr>
    </w:p>
    <w:p w:rsidR="00463033" w:rsidRPr="003E194C" w:rsidRDefault="00463033" w:rsidP="00463033">
      <w:pPr>
        <w:pStyle w:val="Sinespaciado"/>
        <w:jc w:val="both"/>
        <w:rPr>
          <w:rFonts w:ascii="Arial" w:hAnsi="Arial" w:cs="Arial"/>
          <w:b/>
          <w:color w:val="FF0000"/>
          <w:sz w:val="20"/>
          <w:lang w:val="es-CO"/>
        </w:rPr>
      </w:pPr>
      <w:r w:rsidRPr="003E194C">
        <w:rPr>
          <w:rFonts w:ascii="Arial" w:hAnsi="Arial" w:cs="Arial"/>
          <w:b/>
          <w:color w:val="FF0000"/>
          <w:sz w:val="20"/>
          <w:lang w:val="es-CO"/>
        </w:rPr>
        <w:t>SALVAMENTO DE VOTO: DOCTORA ANA LUCÍA CAICEDO CALDERÓN</w:t>
      </w:r>
    </w:p>
    <w:p w:rsidR="00463033" w:rsidRDefault="00463033" w:rsidP="00463033">
      <w:pPr>
        <w:jc w:val="both"/>
        <w:rPr>
          <w:rFonts w:ascii="Arial" w:hAnsi="Arial" w:cs="Arial"/>
          <w:sz w:val="20"/>
          <w:lang w:val="es-419"/>
        </w:rPr>
      </w:pPr>
    </w:p>
    <w:p w:rsidR="00DE60A2" w:rsidRDefault="00DE60A2" w:rsidP="003453C1">
      <w:pPr>
        <w:jc w:val="both"/>
        <w:rPr>
          <w:rFonts w:ascii="Arial" w:hAnsi="Arial" w:cs="Arial"/>
          <w:sz w:val="20"/>
          <w:lang w:val="es-419"/>
        </w:rPr>
      </w:pPr>
      <w:r>
        <w:rPr>
          <w:rFonts w:ascii="Arial" w:hAnsi="Arial" w:cs="Arial"/>
          <w:sz w:val="20"/>
          <w:lang w:val="es-CO"/>
        </w:rPr>
        <w:t xml:space="preserve">… </w:t>
      </w:r>
      <w:r w:rsidRPr="00DE60A2">
        <w:rPr>
          <w:rFonts w:ascii="Arial" w:hAnsi="Arial" w:cs="Arial"/>
          <w:sz w:val="20"/>
          <w:lang w:val="es-419"/>
        </w:rPr>
        <w:t xml:space="preserve">tampoco acompaño a mis compañeros de Sala en la tesis según la cual los demandantes que ostenten la calidad de pensionados no pueden demandar la ineficacia del traslado por haber perdido la calidad de afiliados con el reconocimiento de tal prestación. </w:t>
      </w:r>
    </w:p>
    <w:p w:rsidR="00DE60A2" w:rsidRDefault="00DE60A2" w:rsidP="003453C1">
      <w:pPr>
        <w:jc w:val="both"/>
        <w:rPr>
          <w:rFonts w:ascii="Arial" w:hAnsi="Arial" w:cs="Arial"/>
          <w:sz w:val="20"/>
          <w:lang w:val="es-419"/>
        </w:rPr>
      </w:pPr>
    </w:p>
    <w:p w:rsidR="00463033" w:rsidRDefault="00DE60A2" w:rsidP="003453C1">
      <w:pPr>
        <w:jc w:val="both"/>
        <w:rPr>
          <w:rFonts w:ascii="Arial" w:hAnsi="Arial" w:cs="Arial"/>
          <w:sz w:val="20"/>
          <w:lang w:val="es-419"/>
        </w:rPr>
      </w:pPr>
      <w:r w:rsidRPr="00DE60A2">
        <w:rPr>
          <w:rFonts w:ascii="Arial" w:hAnsi="Arial" w:cs="Arial"/>
          <w:sz w:val="20"/>
          <w:lang w:val="es-419"/>
        </w:rPr>
        <w:t xml:space="preserve">A mi modo de ver es equivocada la conclusión de que la pretensora no estaba legitimada para demandar la ineficacia del traslado al RAIS, toda vez que el reconocimiento de la pensión de vejez al demandante nunca ha sido un obstáculo para que la Sala de Casación Laboral de la Corte Suprema de Justicia declare la nulidad de la vinculación del pensionado al RAIS, cuando hay lugar a la misma. En varias oportunidades, dicha Corporación se ha ocupado de aclarar que las consecuencias de la nulidad o ineficacia de la vinculación a la Administradora de Pensiones del Régimen Individual, por un acto indebido de ésta, como lo es la omisión de información o la inducción a error del afiliado, tiene la consecuencia de no producir sus efectos propios, sino los que en su lugar establece la ley, para concluir que la anulación de la vinculación a partir de cuando esta se declara la priva hacia futuro de todo efecto, esto es, de ella no se puede derivar ningún derecho u obligación entre la parte actora y la entidad demandada, por mesadas pensionales o gastos de administración a partir de la fecha de notificación de la sentencia que declara ineficaz el traslado. En conclusión, la ineficacia de la vinculación acarrea </w:t>
      </w:r>
      <w:r w:rsidRPr="00DE60A2">
        <w:rPr>
          <w:rFonts w:ascii="Arial" w:hAnsi="Arial" w:cs="Arial"/>
          <w:sz w:val="20"/>
          <w:lang w:val="es-419"/>
        </w:rPr>
        <w:lastRenderedPageBreak/>
        <w:t>la del acto de reconocimiento del derecho pensional, y así, por tanto, la AFP queda relevada en estos casos de toda obligación de pago futuro por mesadas pensionales, pero pierde las que haya pagado.</w:t>
      </w:r>
    </w:p>
    <w:p w:rsidR="00D55E3A" w:rsidRDefault="00D55E3A" w:rsidP="00D55E3A">
      <w:pPr>
        <w:jc w:val="both"/>
        <w:rPr>
          <w:rFonts w:ascii="Arial" w:hAnsi="Arial" w:cs="Arial"/>
          <w:sz w:val="20"/>
          <w:lang w:val="es-419"/>
        </w:rPr>
      </w:pPr>
    </w:p>
    <w:p w:rsidR="003453C1" w:rsidRDefault="003453C1" w:rsidP="00D55E3A">
      <w:pPr>
        <w:jc w:val="both"/>
        <w:rPr>
          <w:rFonts w:ascii="Arial" w:hAnsi="Arial" w:cs="Arial"/>
          <w:sz w:val="20"/>
          <w:lang w:val="es-419"/>
        </w:rPr>
      </w:pPr>
    </w:p>
    <w:p w:rsidR="00D55E3A" w:rsidRDefault="00D55E3A" w:rsidP="00D55E3A">
      <w:pPr>
        <w:jc w:val="both"/>
        <w:rPr>
          <w:rFonts w:ascii="Arial" w:hAnsi="Arial" w:cs="Arial"/>
          <w:sz w:val="20"/>
          <w:lang w:val="es-419"/>
        </w:rPr>
      </w:pPr>
    </w:p>
    <w:p w:rsidR="0056245D" w:rsidRDefault="0056245D" w:rsidP="00D55E3A">
      <w:pPr>
        <w:spacing w:line="276" w:lineRule="auto"/>
        <w:contextualSpacing/>
        <w:jc w:val="center"/>
        <w:rPr>
          <w:rFonts w:ascii="Arial" w:hAnsi="Arial" w:cs="Arial"/>
          <w:b/>
          <w:szCs w:val="24"/>
        </w:rPr>
      </w:pPr>
      <w:r>
        <w:rPr>
          <w:rFonts w:ascii="Arial" w:hAnsi="Arial" w:cs="Arial"/>
          <w:b/>
          <w:szCs w:val="24"/>
        </w:rPr>
        <w:t xml:space="preserve">RAMA JUDICIAL </w:t>
      </w:r>
    </w:p>
    <w:p w:rsidR="0056245D" w:rsidRDefault="0056245D" w:rsidP="00D55E3A">
      <w:pPr>
        <w:spacing w:line="276" w:lineRule="auto"/>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D55E3A">
      <w:pPr>
        <w:spacing w:line="276" w:lineRule="auto"/>
        <w:contextualSpacing/>
        <w:jc w:val="center"/>
        <w:rPr>
          <w:rFonts w:ascii="Arial" w:hAnsi="Arial" w:cs="Arial"/>
          <w:b/>
          <w:szCs w:val="24"/>
        </w:rPr>
      </w:pPr>
      <w:r>
        <w:rPr>
          <w:rFonts w:ascii="Arial" w:hAnsi="Arial" w:cs="Arial"/>
          <w:b/>
          <w:szCs w:val="24"/>
        </w:rPr>
        <w:t>SALA LABORAL</w:t>
      </w:r>
    </w:p>
    <w:p w:rsidR="0056245D" w:rsidRDefault="0056245D" w:rsidP="00D55E3A">
      <w:pPr>
        <w:spacing w:line="276" w:lineRule="auto"/>
        <w:contextualSpacing/>
        <w:jc w:val="center"/>
        <w:rPr>
          <w:rFonts w:ascii="Arial" w:hAnsi="Arial" w:cs="Arial"/>
          <w:b/>
          <w:szCs w:val="24"/>
        </w:rPr>
      </w:pPr>
    </w:p>
    <w:p w:rsidR="006B4BB4" w:rsidRPr="006B4BB4" w:rsidRDefault="006B4BB4" w:rsidP="00D55E3A">
      <w:pPr>
        <w:spacing w:line="276" w:lineRule="auto"/>
        <w:contextualSpacing/>
        <w:jc w:val="center"/>
        <w:rPr>
          <w:rFonts w:ascii="Arial" w:hAnsi="Arial" w:cs="Arial"/>
          <w:szCs w:val="24"/>
        </w:rPr>
      </w:pPr>
      <w:r w:rsidRPr="006B4BB4">
        <w:rPr>
          <w:rFonts w:ascii="Arial" w:hAnsi="Arial" w:cs="Arial"/>
          <w:szCs w:val="24"/>
        </w:rPr>
        <w:t>Magistrada Ponente</w:t>
      </w:r>
    </w:p>
    <w:p w:rsidR="0056245D" w:rsidRPr="003440CA" w:rsidRDefault="0056245D" w:rsidP="00D55E3A">
      <w:pPr>
        <w:spacing w:line="276" w:lineRule="auto"/>
        <w:contextualSpacing/>
        <w:jc w:val="center"/>
        <w:rPr>
          <w:rFonts w:ascii="Arial" w:hAnsi="Arial" w:cs="Arial"/>
          <w:b/>
          <w:szCs w:val="24"/>
        </w:rPr>
      </w:pPr>
      <w:r>
        <w:rPr>
          <w:rFonts w:ascii="Arial" w:hAnsi="Arial" w:cs="Arial"/>
          <w:b/>
          <w:szCs w:val="24"/>
        </w:rPr>
        <w:t xml:space="preserve">OLGA LUCÍA HOYOS SEPÚLVEDA </w:t>
      </w:r>
    </w:p>
    <w:p w:rsidR="0056245D" w:rsidRDefault="0056245D" w:rsidP="0056245D">
      <w:pPr>
        <w:spacing w:line="276" w:lineRule="auto"/>
        <w:ind w:left="2127" w:hanging="1276"/>
        <w:contextualSpacing/>
        <w:jc w:val="center"/>
        <w:rPr>
          <w:rFonts w:ascii="Arial" w:hAnsi="Arial" w:cs="Arial"/>
          <w:b/>
          <w:szCs w:val="24"/>
          <w:u w:val="single"/>
        </w:rPr>
      </w:pP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w:t>
      </w:r>
      <w:r w:rsidR="00091A06">
        <w:rPr>
          <w:rFonts w:ascii="Arial" w:eastAsia="Calibri" w:hAnsi="Arial" w:cs="Arial"/>
          <w:szCs w:val="24"/>
          <w:lang w:val="es-CO" w:eastAsia="en-US"/>
        </w:rPr>
        <w:t xml:space="preserve">los </w:t>
      </w:r>
      <w:r w:rsidR="002653C4">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091A06">
        <w:rPr>
          <w:rFonts w:ascii="Arial" w:eastAsia="Calibri" w:hAnsi="Arial" w:cs="Arial"/>
          <w:szCs w:val="24"/>
          <w:lang w:val="es-CO" w:eastAsia="en-US"/>
        </w:rPr>
        <w:t>1</w:t>
      </w:r>
      <w:r w:rsidR="002653C4">
        <w:rPr>
          <w:rFonts w:ascii="Arial" w:eastAsia="Calibri" w:hAnsi="Arial" w:cs="Arial"/>
          <w:szCs w:val="24"/>
          <w:lang w:val="es-CO" w:eastAsia="en-US"/>
        </w:rPr>
        <w:t>8</w:t>
      </w:r>
      <w:r w:rsidRPr="00AC486E">
        <w:rPr>
          <w:rFonts w:ascii="Arial" w:eastAsia="Calibri" w:hAnsi="Arial" w:cs="Arial"/>
          <w:szCs w:val="24"/>
          <w:lang w:val="es-CO" w:eastAsia="en-US"/>
        </w:rPr>
        <w:t xml:space="preserve">) </w:t>
      </w:r>
      <w:r w:rsidR="00091A06">
        <w:rPr>
          <w:rFonts w:ascii="Arial" w:eastAsia="Calibri" w:hAnsi="Arial" w:cs="Arial"/>
          <w:szCs w:val="24"/>
          <w:lang w:val="es-CO" w:eastAsia="en-US"/>
        </w:rPr>
        <w:t xml:space="preserve">días </w:t>
      </w:r>
      <w:r w:rsidRPr="00AC486E">
        <w:rPr>
          <w:rFonts w:ascii="Arial" w:eastAsia="Calibri" w:hAnsi="Arial" w:cs="Arial"/>
          <w:szCs w:val="24"/>
          <w:lang w:val="es-CO" w:eastAsia="en-US"/>
        </w:rPr>
        <w:t>de</w:t>
      </w:r>
      <w:r w:rsidR="00091A06">
        <w:rPr>
          <w:rFonts w:ascii="Arial" w:eastAsia="Calibri" w:hAnsi="Arial" w:cs="Arial"/>
          <w:szCs w:val="24"/>
          <w:lang w:val="es-CO" w:eastAsia="en-US"/>
        </w:rPr>
        <w:t>l mes de</w:t>
      </w:r>
      <w:r w:rsidRPr="00AC486E">
        <w:rPr>
          <w:rFonts w:ascii="Arial" w:eastAsia="Calibri" w:hAnsi="Arial" w:cs="Arial"/>
          <w:szCs w:val="24"/>
          <w:lang w:val="es-CO" w:eastAsia="en-US"/>
        </w:rPr>
        <w:t xml:space="preserve"> </w:t>
      </w:r>
      <w:r w:rsidR="00C2188B">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dieci</w:t>
      </w:r>
      <w:r w:rsidR="00C2188B">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C2188B">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2653C4">
        <w:rPr>
          <w:rFonts w:ascii="Arial" w:eastAsia="Calibri" w:hAnsi="Arial" w:cs="Arial"/>
          <w:szCs w:val="24"/>
          <w:lang w:val="es-CO" w:eastAsia="en-US"/>
        </w:rPr>
        <w:t xml:space="preserve">ocho y treinta minutos </w:t>
      </w:r>
      <w:r w:rsidR="002653C4" w:rsidRPr="00847ECD">
        <w:rPr>
          <w:rFonts w:ascii="Arial" w:eastAsia="Calibri" w:hAnsi="Arial" w:cs="Arial"/>
          <w:szCs w:val="24"/>
          <w:lang w:val="es-CO" w:eastAsia="en-US"/>
        </w:rPr>
        <w:t xml:space="preserve">de la </w:t>
      </w:r>
      <w:r w:rsidR="002653C4">
        <w:rPr>
          <w:rFonts w:ascii="Arial" w:eastAsia="Calibri" w:hAnsi="Arial" w:cs="Arial"/>
          <w:szCs w:val="24"/>
          <w:lang w:val="es-CO" w:eastAsia="en-US"/>
        </w:rPr>
        <w:t xml:space="preserve">mañana </w:t>
      </w:r>
      <w:r w:rsidR="00091A06">
        <w:rPr>
          <w:rFonts w:ascii="Arial" w:eastAsia="Calibri" w:hAnsi="Arial" w:cs="Arial"/>
          <w:szCs w:val="24"/>
          <w:lang w:val="es-CO" w:eastAsia="en-US"/>
        </w:rPr>
        <w:t>(0</w:t>
      </w:r>
      <w:r w:rsidR="002653C4">
        <w:rPr>
          <w:rFonts w:ascii="Arial" w:eastAsia="Calibri" w:hAnsi="Arial" w:cs="Arial"/>
          <w:szCs w:val="24"/>
          <w:lang w:val="es-CO" w:eastAsia="en-US"/>
        </w:rPr>
        <w:t>8:30</w:t>
      </w:r>
      <w:r w:rsidR="00091A06">
        <w:rPr>
          <w:rFonts w:ascii="Arial" w:eastAsia="Calibri" w:hAnsi="Arial" w:cs="Arial"/>
          <w:szCs w:val="24"/>
          <w:lang w:val="es-CO" w:eastAsia="en-US"/>
        </w:rPr>
        <w:t xml:space="preserve"> a.m.)</w:t>
      </w:r>
      <w:r w:rsidR="00C1062A" w:rsidRPr="00847ECD">
        <w:rPr>
          <w:rFonts w:ascii="Arial" w:eastAsia="Calibri" w:hAnsi="Arial" w:cs="Arial"/>
          <w:szCs w:val="24"/>
          <w:lang w:val="es-CO" w:eastAsia="en-US"/>
        </w:rPr>
        <w:t>,</w:t>
      </w:r>
      <w:r w:rsidRPr="00847ECD">
        <w:rPr>
          <w:rFonts w:ascii="Arial" w:eastAsia="Calibri" w:hAnsi="Arial" w:cs="Arial"/>
          <w:szCs w:val="24"/>
          <w:lang w:val="es-CO" w:eastAsia="en-US"/>
        </w:rPr>
        <w:t xml:space="preserve"> </w:t>
      </w:r>
      <w:r w:rsidRPr="00847ECD">
        <w:rPr>
          <w:rFonts w:ascii="Arial" w:hAnsi="Arial" w:cs="Arial"/>
          <w:bCs/>
          <w:color w:val="000000"/>
          <w:szCs w:val="24"/>
          <w:lang w:eastAsia="es-CO"/>
        </w:rPr>
        <w:t>la Sala</w:t>
      </w:r>
      <w:r w:rsidR="00773560" w:rsidRPr="00847ECD">
        <w:rPr>
          <w:rFonts w:ascii="Arial" w:hAnsi="Arial" w:cs="Arial"/>
          <w:bCs/>
          <w:color w:val="000000"/>
          <w:szCs w:val="24"/>
          <w:lang w:eastAsia="es-CO"/>
        </w:rPr>
        <w:t xml:space="preserve"> </w:t>
      </w:r>
      <w:r w:rsidR="00EA5EFB" w:rsidRPr="00847ECD">
        <w:rPr>
          <w:rFonts w:ascii="Arial" w:hAnsi="Arial" w:cs="Arial"/>
          <w:bCs/>
          <w:color w:val="000000"/>
          <w:szCs w:val="24"/>
          <w:lang w:eastAsia="es-CO"/>
        </w:rPr>
        <w:t xml:space="preserve">Primera </w:t>
      </w:r>
      <w:r w:rsidR="007C5A02" w:rsidRPr="00847ECD">
        <w:rPr>
          <w:rFonts w:ascii="Arial" w:hAnsi="Arial" w:cs="Arial"/>
          <w:bCs/>
          <w:color w:val="000000"/>
          <w:szCs w:val="24"/>
          <w:lang w:eastAsia="es-CO"/>
        </w:rPr>
        <w:t>de Dec</w:t>
      </w:r>
      <w:r w:rsidR="007C5A02">
        <w:rPr>
          <w:rFonts w:ascii="Arial" w:hAnsi="Arial" w:cs="Arial"/>
          <w:bCs/>
          <w:color w:val="000000"/>
          <w:szCs w:val="24"/>
          <w:lang w:eastAsia="es-CO"/>
        </w:rPr>
        <w:t xml:space="preserve">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C2188B">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2F3808">
        <w:rPr>
          <w:rFonts w:ascii="Arial" w:hAnsi="Arial" w:cs="Arial"/>
          <w:szCs w:val="24"/>
        </w:rPr>
        <w:t>3</w:t>
      </w:r>
      <w:r w:rsidR="00773560">
        <w:rPr>
          <w:rFonts w:ascii="Arial" w:hAnsi="Arial" w:cs="Arial"/>
          <w:szCs w:val="24"/>
        </w:rPr>
        <w:t xml:space="preserve"> de </w:t>
      </w:r>
      <w:r w:rsidR="002F3808">
        <w:rPr>
          <w:rFonts w:ascii="Arial" w:hAnsi="Arial" w:cs="Arial"/>
          <w:szCs w:val="24"/>
        </w:rPr>
        <w:t xml:space="preserve">mayo </w:t>
      </w:r>
      <w:r w:rsidR="00C2188B">
        <w:rPr>
          <w:rFonts w:ascii="Arial" w:hAnsi="Arial" w:cs="Arial"/>
          <w:szCs w:val="24"/>
        </w:rPr>
        <w:t>de 2018</w:t>
      </w:r>
      <w:r w:rsidRPr="00AC486E">
        <w:rPr>
          <w:rFonts w:ascii="Arial" w:hAnsi="Arial" w:cs="Arial"/>
          <w:szCs w:val="24"/>
        </w:rPr>
        <w:t xml:space="preserve"> por el Juzgado </w:t>
      </w:r>
      <w:r w:rsidR="00C2188B">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A5EFB">
        <w:rPr>
          <w:rFonts w:ascii="Arial" w:hAnsi="Arial" w:cs="Arial"/>
          <w:szCs w:val="24"/>
        </w:rPr>
        <w:t xml:space="preserve">la </w:t>
      </w:r>
      <w:r w:rsidR="003440CA">
        <w:rPr>
          <w:rFonts w:ascii="Arial" w:hAnsi="Arial" w:cs="Arial"/>
          <w:szCs w:val="24"/>
        </w:rPr>
        <w:t>señor</w:t>
      </w:r>
      <w:r w:rsidR="00EA5EFB">
        <w:rPr>
          <w:rFonts w:ascii="Arial" w:hAnsi="Arial" w:cs="Arial"/>
          <w:szCs w:val="24"/>
        </w:rPr>
        <w:t>a</w:t>
      </w:r>
      <w:r w:rsidR="003440CA">
        <w:rPr>
          <w:rFonts w:ascii="Arial" w:hAnsi="Arial" w:cs="Arial"/>
          <w:szCs w:val="24"/>
        </w:rPr>
        <w:t xml:space="preserve"> </w:t>
      </w:r>
      <w:r w:rsidR="00C2188B">
        <w:rPr>
          <w:rFonts w:ascii="Arial" w:hAnsi="Arial" w:cs="Arial"/>
          <w:b/>
          <w:szCs w:val="24"/>
        </w:rPr>
        <w:t>Elizabeth Reina Castaño</w:t>
      </w:r>
      <w:r w:rsidR="00332C8A">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2F3808">
        <w:rPr>
          <w:rFonts w:ascii="Arial" w:hAnsi="Arial" w:cs="Arial"/>
          <w:b/>
          <w:bCs/>
          <w:szCs w:val="24"/>
        </w:rPr>
        <w:t xml:space="preserve"> </w:t>
      </w:r>
      <w:r w:rsidR="002F3808" w:rsidRPr="002F3808">
        <w:rPr>
          <w:rFonts w:ascii="Arial" w:hAnsi="Arial" w:cs="Arial"/>
          <w:bCs/>
          <w:szCs w:val="24"/>
        </w:rPr>
        <w:t>y</w:t>
      </w:r>
      <w:r w:rsidR="002F3808">
        <w:rPr>
          <w:rFonts w:ascii="Arial" w:hAnsi="Arial" w:cs="Arial"/>
          <w:b/>
          <w:bCs/>
          <w:szCs w:val="24"/>
        </w:rPr>
        <w:t xml:space="preserve"> </w:t>
      </w:r>
      <w:r w:rsidR="00C2188B">
        <w:rPr>
          <w:rFonts w:ascii="Arial" w:hAnsi="Arial" w:cs="Arial"/>
          <w:b/>
          <w:bCs/>
          <w:szCs w:val="24"/>
        </w:rPr>
        <w:t xml:space="preserve">la Sociedad Administradora de Fondos de </w:t>
      </w:r>
      <w:r w:rsidR="00C2188B">
        <w:rPr>
          <w:rFonts w:ascii="Arial" w:hAnsi="Arial" w:cs="Arial"/>
          <w:b/>
          <w:bCs/>
          <w:iCs/>
          <w:szCs w:val="24"/>
        </w:rPr>
        <w:t xml:space="preserve">Pensiones y Cesantías Porvenir </w:t>
      </w:r>
      <w:proofErr w:type="spellStart"/>
      <w:r w:rsidR="00C2188B">
        <w:rPr>
          <w:rFonts w:ascii="Arial" w:hAnsi="Arial" w:cs="Arial"/>
          <w:b/>
          <w:bCs/>
          <w:iCs/>
          <w:szCs w:val="24"/>
        </w:rPr>
        <w:t>S.A</w:t>
      </w:r>
      <w:proofErr w:type="spellEnd"/>
      <w:r w:rsidR="00EA5EFB">
        <w:rPr>
          <w:rFonts w:ascii="Arial" w:hAnsi="Arial" w:cs="Arial"/>
          <w:bCs/>
          <w:iCs/>
          <w:szCs w:val="24"/>
        </w:rPr>
        <w:t>, radicado al Nº 66001-31-05-00</w:t>
      </w:r>
      <w:r w:rsidR="00C2188B">
        <w:rPr>
          <w:rFonts w:ascii="Arial" w:hAnsi="Arial" w:cs="Arial"/>
          <w:bCs/>
          <w:iCs/>
          <w:szCs w:val="24"/>
        </w:rPr>
        <w:t>3</w:t>
      </w:r>
      <w:r w:rsidR="00EA5EFB">
        <w:rPr>
          <w:rFonts w:ascii="Arial" w:hAnsi="Arial" w:cs="Arial"/>
          <w:bCs/>
          <w:iCs/>
          <w:szCs w:val="24"/>
        </w:rPr>
        <w:t>-201</w:t>
      </w:r>
      <w:r w:rsidR="00C2188B">
        <w:rPr>
          <w:rFonts w:ascii="Arial" w:hAnsi="Arial" w:cs="Arial"/>
          <w:bCs/>
          <w:iCs/>
          <w:szCs w:val="24"/>
        </w:rPr>
        <w:t>7</w:t>
      </w:r>
      <w:r w:rsidR="00332C8A">
        <w:rPr>
          <w:rFonts w:ascii="Arial" w:hAnsi="Arial" w:cs="Arial"/>
          <w:bCs/>
          <w:iCs/>
          <w:szCs w:val="24"/>
        </w:rPr>
        <w:t>-00</w:t>
      </w:r>
      <w:r w:rsidR="00C2188B">
        <w:rPr>
          <w:rFonts w:ascii="Arial" w:hAnsi="Arial" w:cs="Arial"/>
          <w:bCs/>
          <w:iCs/>
          <w:szCs w:val="24"/>
        </w:rPr>
        <w:t>322</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C65FCA" w:rsidRDefault="00502691" w:rsidP="00091124">
      <w:pPr>
        <w:spacing w:line="276" w:lineRule="auto"/>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C2188B" w:rsidP="00091124">
      <w:pPr>
        <w:spacing w:line="276" w:lineRule="auto"/>
        <w:rPr>
          <w:rFonts w:ascii="Arial" w:hAnsi="Arial" w:cs="Arial"/>
          <w:szCs w:val="24"/>
        </w:rPr>
      </w:pPr>
      <w:r>
        <w:rPr>
          <w:rFonts w:ascii="Arial" w:hAnsi="Arial" w:cs="Arial"/>
          <w:szCs w:val="24"/>
        </w:rPr>
        <w:t xml:space="preserve">Demandadas </w:t>
      </w:r>
      <w:r w:rsidR="005E0ED1">
        <w:rPr>
          <w:rFonts w:ascii="Arial" w:hAnsi="Arial" w:cs="Arial"/>
          <w:szCs w:val="24"/>
        </w:rPr>
        <w:t>y su</w:t>
      </w:r>
      <w:r>
        <w:rPr>
          <w:rFonts w:ascii="Arial" w:hAnsi="Arial" w:cs="Arial"/>
          <w:szCs w:val="24"/>
        </w:rPr>
        <w:t>s</w:t>
      </w:r>
      <w:r w:rsidR="005E0ED1">
        <w:rPr>
          <w:rFonts w:ascii="Arial" w:hAnsi="Arial" w:cs="Arial"/>
          <w:szCs w:val="24"/>
        </w:rPr>
        <w:t xml:space="preserve"> apoderado</w:t>
      </w:r>
      <w:r>
        <w:rPr>
          <w:rFonts w:ascii="Arial" w:hAnsi="Arial" w:cs="Arial"/>
          <w:szCs w:val="24"/>
        </w:rPr>
        <w:t>s</w:t>
      </w:r>
      <w:r w:rsidR="005E0ED1">
        <w:rPr>
          <w:rFonts w:ascii="Arial" w:hAnsi="Arial" w:cs="Arial"/>
          <w:szCs w:val="24"/>
        </w:rPr>
        <w:t>:</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Default="00272C8B" w:rsidP="00DE60A2">
      <w:pPr>
        <w:spacing w:line="276" w:lineRule="auto"/>
        <w:rPr>
          <w:rFonts w:ascii="Arial" w:hAnsi="Arial" w:cs="Arial"/>
          <w:szCs w:val="24"/>
        </w:rPr>
      </w:pPr>
    </w:p>
    <w:p w:rsidR="00DE60A2" w:rsidRPr="00502691" w:rsidRDefault="00DE60A2" w:rsidP="00DE60A2">
      <w:pPr>
        <w:spacing w:line="276" w:lineRule="auto"/>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27675D" w:rsidRDefault="0027675D" w:rsidP="00091124">
      <w:pPr>
        <w:spacing w:line="276" w:lineRule="auto"/>
        <w:jc w:val="center"/>
        <w:rPr>
          <w:rFonts w:ascii="Arial" w:hAnsi="Arial" w:cs="Arial"/>
          <w:b/>
          <w:szCs w:val="24"/>
        </w:rPr>
      </w:pPr>
    </w:p>
    <w:p w:rsidR="0027675D" w:rsidRPr="0027675D" w:rsidRDefault="0027675D" w:rsidP="0027675D">
      <w:pPr>
        <w:pStyle w:val="Prrafodelista"/>
        <w:numPr>
          <w:ilvl w:val="0"/>
          <w:numId w:val="14"/>
        </w:numPr>
        <w:spacing w:line="276" w:lineRule="auto"/>
        <w:jc w:val="both"/>
        <w:rPr>
          <w:rFonts w:ascii="Arial" w:hAnsi="Arial" w:cs="Arial"/>
          <w:b/>
          <w:sz w:val="24"/>
          <w:szCs w:val="24"/>
        </w:rPr>
      </w:pPr>
      <w:r w:rsidRPr="0027675D">
        <w:rPr>
          <w:rFonts w:ascii="Arial" w:hAnsi="Arial" w:cs="Arial"/>
          <w:b/>
          <w:sz w:val="24"/>
          <w:szCs w:val="24"/>
        </w:rPr>
        <w:t>Síntesis de la demanda y su contestación</w:t>
      </w:r>
    </w:p>
    <w:p w:rsidR="00E55102" w:rsidRPr="00637118" w:rsidRDefault="00E55102" w:rsidP="00091124">
      <w:pPr>
        <w:spacing w:line="276" w:lineRule="auto"/>
        <w:jc w:val="center"/>
        <w:rPr>
          <w:rFonts w:ascii="Arial" w:hAnsi="Arial" w:cs="Arial"/>
          <w:b/>
          <w:szCs w:val="24"/>
        </w:rPr>
      </w:pPr>
    </w:p>
    <w:p w:rsidR="004972EC" w:rsidRDefault="00215A3D" w:rsidP="004972EC">
      <w:pPr>
        <w:spacing w:line="276" w:lineRule="auto"/>
        <w:contextualSpacing/>
        <w:jc w:val="both"/>
        <w:rPr>
          <w:rFonts w:ascii="Arial" w:hAnsi="Arial" w:cs="Arial"/>
          <w:szCs w:val="24"/>
        </w:rPr>
      </w:pPr>
      <w:r>
        <w:rPr>
          <w:rFonts w:ascii="Arial" w:hAnsi="Arial" w:cs="Arial"/>
          <w:szCs w:val="24"/>
        </w:rPr>
        <w:t xml:space="preserve">La </w:t>
      </w:r>
      <w:r w:rsidR="004972EC">
        <w:rPr>
          <w:rFonts w:ascii="Arial" w:hAnsi="Arial" w:cs="Arial"/>
          <w:szCs w:val="24"/>
        </w:rPr>
        <w:t>señor</w:t>
      </w:r>
      <w:r>
        <w:rPr>
          <w:rFonts w:ascii="Arial" w:hAnsi="Arial" w:cs="Arial"/>
          <w:szCs w:val="24"/>
        </w:rPr>
        <w:t>a</w:t>
      </w:r>
      <w:r w:rsidR="004972EC">
        <w:rPr>
          <w:rFonts w:ascii="Arial" w:hAnsi="Arial" w:cs="Arial"/>
          <w:szCs w:val="24"/>
        </w:rPr>
        <w:t xml:space="preserve"> </w:t>
      </w:r>
      <w:r w:rsidR="00C2188B">
        <w:rPr>
          <w:rFonts w:ascii="Arial" w:hAnsi="Arial" w:cs="Arial"/>
          <w:szCs w:val="24"/>
        </w:rPr>
        <w:t>Elizabeth Reina Castaño</w:t>
      </w:r>
      <w:r>
        <w:rPr>
          <w:rFonts w:ascii="Arial" w:hAnsi="Arial" w:cs="Arial"/>
          <w:szCs w:val="24"/>
        </w:rPr>
        <w:t xml:space="preserve"> </w:t>
      </w:r>
      <w:r w:rsidR="004972EC">
        <w:rPr>
          <w:rFonts w:ascii="Arial" w:hAnsi="Arial" w:cs="Arial"/>
          <w:szCs w:val="24"/>
        </w:rPr>
        <w:t xml:space="preserve">solicita </w:t>
      </w:r>
      <w:r w:rsidR="00680478">
        <w:rPr>
          <w:rFonts w:ascii="Arial" w:hAnsi="Arial" w:cs="Arial"/>
          <w:szCs w:val="24"/>
        </w:rPr>
        <w:t>que se declare: (i) la ineficacia o en su defecto, la nulidad del traslado que realizó a la AFP Horizonte Pensiones y Cesantías S.A. –hoy Porvenir; (ii) válida, vigente y sin solución de continuidad la afiliación a Colpensiones; (iii) beneficiaria del régimen de transición y tiene derecho a la aplicación del Acuerdo 049/90  para adquirir la pensión de vejez.</w:t>
      </w:r>
    </w:p>
    <w:p w:rsidR="00680478" w:rsidRDefault="00680478" w:rsidP="004972EC">
      <w:pPr>
        <w:spacing w:line="276" w:lineRule="auto"/>
        <w:contextualSpacing/>
        <w:jc w:val="both"/>
        <w:rPr>
          <w:rFonts w:ascii="Arial" w:hAnsi="Arial" w:cs="Arial"/>
          <w:szCs w:val="24"/>
        </w:rPr>
      </w:pPr>
    </w:p>
    <w:p w:rsidR="00680478" w:rsidRDefault="00680478" w:rsidP="004972EC">
      <w:pPr>
        <w:spacing w:line="276" w:lineRule="auto"/>
        <w:contextualSpacing/>
        <w:jc w:val="both"/>
        <w:rPr>
          <w:rFonts w:ascii="Arial" w:hAnsi="Arial" w:cs="Arial"/>
          <w:szCs w:val="24"/>
        </w:rPr>
      </w:pPr>
      <w:r>
        <w:rPr>
          <w:rFonts w:ascii="Arial" w:hAnsi="Arial" w:cs="Arial"/>
          <w:szCs w:val="24"/>
        </w:rPr>
        <w:t xml:space="preserve">En consecuencia, se condene a Colpensiones a reconocerle esa prestación con base en la citada normativa desde el 01/01/2015 y aplicando una tasa de reemplazo del 90%. </w:t>
      </w:r>
    </w:p>
    <w:p w:rsidR="00680478" w:rsidRDefault="00680478" w:rsidP="004972EC">
      <w:pPr>
        <w:spacing w:line="276" w:lineRule="auto"/>
        <w:contextualSpacing/>
        <w:jc w:val="both"/>
        <w:rPr>
          <w:rFonts w:ascii="Arial" w:hAnsi="Arial" w:cs="Arial"/>
          <w:szCs w:val="24"/>
        </w:rPr>
      </w:pPr>
    </w:p>
    <w:p w:rsidR="00680478" w:rsidRDefault="004972EC" w:rsidP="004972EC">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nació el </w:t>
      </w:r>
      <w:r w:rsidR="000B31AD">
        <w:rPr>
          <w:rFonts w:ascii="Arial" w:hAnsi="Arial" w:cs="Arial"/>
          <w:szCs w:val="24"/>
        </w:rPr>
        <w:t>09/</w:t>
      </w:r>
      <w:r w:rsidR="00680478">
        <w:rPr>
          <w:rFonts w:ascii="Arial" w:hAnsi="Arial" w:cs="Arial"/>
          <w:szCs w:val="24"/>
        </w:rPr>
        <w:t>11</w:t>
      </w:r>
      <w:r w:rsidR="000B31AD">
        <w:rPr>
          <w:rFonts w:ascii="Arial" w:hAnsi="Arial" w:cs="Arial"/>
          <w:szCs w:val="24"/>
        </w:rPr>
        <w:t>/195</w:t>
      </w:r>
      <w:r w:rsidR="00680478">
        <w:rPr>
          <w:rFonts w:ascii="Arial" w:hAnsi="Arial" w:cs="Arial"/>
          <w:szCs w:val="24"/>
        </w:rPr>
        <w:t xml:space="preserve">7 por lo que al 01/04/1994 contaba con más de 35 años de edad; (ii) laboró para el Hospital Departamental de </w:t>
      </w:r>
      <w:r w:rsidR="00680478">
        <w:rPr>
          <w:rFonts w:ascii="Arial" w:hAnsi="Arial" w:cs="Arial"/>
          <w:szCs w:val="24"/>
        </w:rPr>
        <w:lastRenderedPageBreak/>
        <w:t xml:space="preserve">Cartago entre </w:t>
      </w:r>
      <w:r w:rsidR="002653C4">
        <w:rPr>
          <w:rFonts w:ascii="Arial" w:hAnsi="Arial" w:cs="Arial"/>
          <w:szCs w:val="24"/>
        </w:rPr>
        <w:t>e</w:t>
      </w:r>
      <w:r w:rsidR="00680478">
        <w:rPr>
          <w:rFonts w:ascii="Arial" w:hAnsi="Arial" w:cs="Arial"/>
          <w:szCs w:val="24"/>
        </w:rPr>
        <w:t xml:space="preserve">l 25/02/1982 y el 13/11/1989; (iii) el 14/11/1989 se afilió a Colpensiones y el 22/10/1997 suscribió formulario de afiliación </w:t>
      </w:r>
      <w:r w:rsidR="00EC2649">
        <w:rPr>
          <w:rFonts w:ascii="Arial" w:hAnsi="Arial" w:cs="Arial"/>
          <w:szCs w:val="24"/>
        </w:rPr>
        <w:t>a la AFP Horizonte Pensiones y Cesantías S.A. –hoy Porvenir-.</w:t>
      </w:r>
    </w:p>
    <w:p w:rsidR="00EC2649" w:rsidRDefault="00EC2649" w:rsidP="004972EC">
      <w:pPr>
        <w:spacing w:line="276" w:lineRule="auto"/>
        <w:contextualSpacing/>
        <w:jc w:val="both"/>
        <w:rPr>
          <w:rFonts w:ascii="Arial" w:hAnsi="Arial" w:cs="Arial"/>
          <w:szCs w:val="24"/>
        </w:rPr>
      </w:pPr>
    </w:p>
    <w:p w:rsidR="00EC2649" w:rsidRDefault="00EC2649" w:rsidP="004972EC">
      <w:pPr>
        <w:spacing w:line="276" w:lineRule="auto"/>
        <w:contextualSpacing/>
        <w:jc w:val="both"/>
        <w:rPr>
          <w:rFonts w:ascii="Arial" w:hAnsi="Arial" w:cs="Arial"/>
          <w:szCs w:val="24"/>
        </w:rPr>
      </w:pPr>
      <w:r>
        <w:rPr>
          <w:rFonts w:ascii="Arial" w:hAnsi="Arial" w:cs="Arial"/>
          <w:szCs w:val="24"/>
        </w:rPr>
        <w:t xml:space="preserve">(iv) </w:t>
      </w:r>
      <w:r w:rsidR="0017471F">
        <w:rPr>
          <w:rFonts w:ascii="Arial" w:hAnsi="Arial" w:cs="Arial"/>
          <w:szCs w:val="24"/>
        </w:rPr>
        <w:t xml:space="preserve">Motivó su traslado de régimen que la asesora del fondo le informó que la pensión podría quedarle a la familia en caso de fallecimiento y en el ISS no; (v) </w:t>
      </w:r>
      <w:r w:rsidR="00E4672B">
        <w:rPr>
          <w:rFonts w:ascii="Arial" w:hAnsi="Arial" w:cs="Arial"/>
          <w:szCs w:val="24"/>
        </w:rPr>
        <w:t xml:space="preserve">pero que </w:t>
      </w:r>
      <w:r w:rsidR="0017471F">
        <w:rPr>
          <w:rFonts w:ascii="Arial" w:hAnsi="Arial" w:cs="Arial"/>
          <w:szCs w:val="24"/>
        </w:rPr>
        <w:t xml:space="preserve">omitió indicarle las ventajas y desventajas que ello le representaría, que perdería el régimen de transición y </w:t>
      </w:r>
      <w:r w:rsidR="00E4672B">
        <w:rPr>
          <w:rFonts w:ascii="Arial" w:hAnsi="Arial" w:cs="Arial"/>
          <w:szCs w:val="24"/>
        </w:rPr>
        <w:t xml:space="preserve">que para pensionarse anticipadamente debía tener un </w:t>
      </w:r>
      <w:proofErr w:type="spellStart"/>
      <w:r w:rsidR="00E4672B">
        <w:rPr>
          <w:rFonts w:ascii="Arial" w:hAnsi="Arial" w:cs="Arial"/>
          <w:szCs w:val="24"/>
        </w:rPr>
        <w:t>IBC</w:t>
      </w:r>
      <w:proofErr w:type="spellEnd"/>
      <w:r w:rsidR="00E4672B">
        <w:rPr>
          <w:rFonts w:ascii="Arial" w:hAnsi="Arial" w:cs="Arial"/>
          <w:szCs w:val="24"/>
        </w:rPr>
        <w:t xml:space="preserve"> determinado, entre otros aspectos, por lo que se le indujo a error.</w:t>
      </w:r>
    </w:p>
    <w:p w:rsidR="00E4672B" w:rsidRDefault="00E4672B" w:rsidP="004972EC">
      <w:pPr>
        <w:spacing w:line="276" w:lineRule="auto"/>
        <w:contextualSpacing/>
        <w:jc w:val="both"/>
        <w:rPr>
          <w:rFonts w:ascii="Arial" w:hAnsi="Arial" w:cs="Arial"/>
          <w:szCs w:val="24"/>
        </w:rPr>
      </w:pPr>
    </w:p>
    <w:p w:rsidR="00E4672B" w:rsidRDefault="00E4672B" w:rsidP="004972EC">
      <w:pPr>
        <w:spacing w:line="276" w:lineRule="auto"/>
        <w:contextualSpacing/>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xml:space="preserve">) En el año 2002 retornó Colpensiones y mediante Resolución </w:t>
      </w:r>
      <w:proofErr w:type="spellStart"/>
      <w:r>
        <w:rPr>
          <w:rFonts w:ascii="Arial" w:hAnsi="Arial" w:cs="Arial"/>
          <w:szCs w:val="24"/>
        </w:rPr>
        <w:t>GNR</w:t>
      </w:r>
      <w:proofErr w:type="spellEnd"/>
      <w:r>
        <w:rPr>
          <w:rFonts w:ascii="Arial" w:hAnsi="Arial" w:cs="Arial"/>
          <w:szCs w:val="24"/>
        </w:rPr>
        <w:t xml:space="preserve"> 333845 de 2014 le reconoció la pensión de vejez pero sin aplicar el régimen de transición al considerar que no e</w:t>
      </w:r>
      <w:r w:rsidR="006A0C72">
        <w:rPr>
          <w:rFonts w:ascii="Arial" w:hAnsi="Arial" w:cs="Arial"/>
          <w:szCs w:val="24"/>
        </w:rPr>
        <w:t>ra</w:t>
      </w:r>
      <w:r>
        <w:rPr>
          <w:rFonts w:ascii="Arial" w:hAnsi="Arial" w:cs="Arial"/>
          <w:szCs w:val="24"/>
        </w:rPr>
        <w:t xml:space="preserve"> beneficiaria de</w:t>
      </w:r>
      <w:r w:rsidR="002653C4">
        <w:rPr>
          <w:rFonts w:ascii="Arial" w:hAnsi="Arial" w:cs="Arial"/>
          <w:szCs w:val="24"/>
        </w:rPr>
        <w:t xml:space="preserve"> </w:t>
      </w:r>
      <w:r w:rsidR="00C21DA2">
        <w:rPr>
          <w:rFonts w:ascii="Arial" w:hAnsi="Arial" w:cs="Arial"/>
          <w:szCs w:val="24"/>
        </w:rPr>
        <w:t>él</w:t>
      </w:r>
      <w:r w:rsidR="006A0C72">
        <w:rPr>
          <w:rFonts w:ascii="Arial" w:hAnsi="Arial" w:cs="Arial"/>
          <w:szCs w:val="24"/>
        </w:rPr>
        <w:t>.</w:t>
      </w:r>
    </w:p>
    <w:p w:rsidR="006A0C72" w:rsidRDefault="006A0C72" w:rsidP="004972EC">
      <w:pPr>
        <w:spacing w:line="276" w:lineRule="auto"/>
        <w:contextualSpacing/>
        <w:jc w:val="both"/>
        <w:rPr>
          <w:rFonts w:ascii="Arial" w:hAnsi="Arial" w:cs="Arial"/>
          <w:szCs w:val="24"/>
        </w:rPr>
      </w:pPr>
    </w:p>
    <w:p w:rsidR="006A0C72" w:rsidRPr="00680478" w:rsidRDefault="006A0C72" w:rsidP="004972EC">
      <w:pPr>
        <w:spacing w:line="276" w:lineRule="auto"/>
        <w:contextualSpacing/>
        <w:jc w:val="both"/>
        <w:rPr>
          <w:rFonts w:ascii="Arial" w:hAnsi="Arial" w:cs="Arial"/>
          <w:szCs w:val="24"/>
        </w:rPr>
      </w:pPr>
      <w:r>
        <w:rPr>
          <w:rFonts w:ascii="Arial" w:hAnsi="Arial" w:cs="Arial"/>
          <w:szCs w:val="24"/>
        </w:rPr>
        <w:t>(vii) La sentencia SU-769/14 permite la acumulación de tiempos públicos y privados, por lo que de declararse la nulidad de la afiliación tendría derecho a la aplicación del Acuerdo 049/90.</w:t>
      </w:r>
    </w:p>
    <w:p w:rsidR="00680478" w:rsidRDefault="00680478" w:rsidP="004972EC">
      <w:pPr>
        <w:spacing w:line="276" w:lineRule="auto"/>
        <w:contextualSpacing/>
        <w:jc w:val="both"/>
        <w:rPr>
          <w:rFonts w:ascii="Arial" w:hAnsi="Arial" w:cs="Arial"/>
          <w:szCs w:val="24"/>
          <w:lang w:val="es-CO"/>
        </w:rPr>
      </w:pPr>
    </w:p>
    <w:p w:rsidR="004972EC" w:rsidRDefault="00526771" w:rsidP="004972EC">
      <w:pPr>
        <w:spacing w:line="276" w:lineRule="auto"/>
        <w:contextualSpacing/>
        <w:jc w:val="both"/>
        <w:rPr>
          <w:rFonts w:ascii="Arial" w:hAnsi="Arial" w:cs="Arial"/>
          <w:szCs w:val="24"/>
        </w:rPr>
      </w:pPr>
      <w:r>
        <w:rPr>
          <w:rFonts w:ascii="Arial" w:hAnsi="Arial" w:cs="Arial"/>
          <w:szCs w:val="24"/>
        </w:rPr>
        <w:t>L</w:t>
      </w:r>
      <w:r w:rsidR="004972EC" w:rsidRPr="008E0CBF">
        <w:rPr>
          <w:rFonts w:ascii="Arial" w:hAnsi="Arial" w:cs="Arial"/>
          <w:szCs w:val="24"/>
        </w:rPr>
        <w:t xml:space="preserve">a </w:t>
      </w:r>
      <w:r w:rsidR="004972EC" w:rsidRPr="008E0CBF">
        <w:rPr>
          <w:rFonts w:ascii="Arial" w:hAnsi="Arial" w:cs="Arial"/>
          <w:b/>
          <w:szCs w:val="24"/>
        </w:rPr>
        <w:t>Administradora Colombiana de Pensiones –</w:t>
      </w:r>
      <w:r w:rsidR="004073AD">
        <w:rPr>
          <w:rFonts w:ascii="Arial" w:hAnsi="Arial" w:cs="Arial"/>
          <w:b/>
          <w:szCs w:val="24"/>
        </w:rPr>
        <w:t xml:space="preserve"> </w:t>
      </w:r>
      <w:r w:rsidR="004972EC" w:rsidRPr="008E0CBF">
        <w:rPr>
          <w:rFonts w:ascii="Arial" w:hAnsi="Arial" w:cs="Arial"/>
          <w:b/>
          <w:szCs w:val="24"/>
        </w:rPr>
        <w:t>COLPENSIONES,</w:t>
      </w:r>
      <w:r w:rsidR="004972EC">
        <w:rPr>
          <w:rFonts w:ascii="Arial" w:hAnsi="Arial" w:cs="Arial"/>
          <w:b/>
          <w:szCs w:val="24"/>
        </w:rPr>
        <w:t xml:space="preserve"> </w:t>
      </w:r>
      <w:r w:rsidR="004972EC">
        <w:rPr>
          <w:rFonts w:ascii="Arial" w:hAnsi="Arial" w:cs="Arial"/>
          <w:szCs w:val="24"/>
        </w:rPr>
        <w:t xml:space="preserve">se opuso a las pretensiones de la demanda formuladas en su contra y como razones de defensa </w:t>
      </w:r>
      <w:r w:rsidR="004972EC" w:rsidRPr="004D220C">
        <w:rPr>
          <w:rFonts w:ascii="Arial" w:hAnsi="Arial" w:cs="Arial"/>
          <w:szCs w:val="24"/>
        </w:rPr>
        <w:t>indicó que</w:t>
      </w:r>
      <w:r w:rsidR="004972EC">
        <w:rPr>
          <w:rFonts w:ascii="Arial" w:hAnsi="Arial" w:cs="Arial"/>
          <w:szCs w:val="24"/>
        </w:rPr>
        <w:t xml:space="preserve"> </w:t>
      </w:r>
      <w:r w:rsidR="006A0C72">
        <w:rPr>
          <w:rFonts w:ascii="Arial" w:hAnsi="Arial" w:cs="Arial"/>
          <w:szCs w:val="24"/>
        </w:rPr>
        <w:t xml:space="preserve">el traslado al RAIS tiene plena validez y que las razones que expuso para negarle el amparo del régimen de transición tienen sustento legal. </w:t>
      </w:r>
      <w:r w:rsidR="002E6475">
        <w:rPr>
          <w:rFonts w:ascii="Arial" w:hAnsi="Arial" w:cs="Arial"/>
          <w:szCs w:val="24"/>
        </w:rPr>
        <w:t xml:space="preserve"> </w:t>
      </w:r>
      <w:r w:rsidR="004972EC" w:rsidRPr="00641218">
        <w:rPr>
          <w:rFonts w:ascii="Arial" w:hAnsi="Arial" w:cs="Arial"/>
          <w:szCs w:val="24"/>
        </w:rPr>
        <w:t>Interpuso las excepciones de mérito que denominó</w:t>
      </w:r>
      <w:r w:rsidR="006A0C72">
        <w:rPr>
          <w:rFonts w:ascii="Arial" w:hAnsi="Arial" w:cs="Arial"/>
          <w:szCs w:val="24"/>
        </w:rPr>
        <w:t xml:space="preserve"> “Inexistencia de la obligación demandada”</w:t>
      </w:r>
      <w:r w:rsidR="002E6475">
        <w:rPr>
          <w:rFonts w:ascii="Arial" w:hAnsi="Arial" w:cs="Arial"/>
          <w:szCs w:val="24"/>
        </w:rPr>
        <w:t xml:space="preserve"> </w:t>
      </w:r>
      <w:r w:rsidR="004972EC">
        <w:rPr>
          <w:rFonts w:ascii="Arial" w:hAnsi="Arial" w:cs="Arial"/>
          <w:szCs w:val="24"/>
        </w:rPr>
        <w:t>y “Prescripción”.</w:t>
      </w:r>
    </w:p>
    <w:p w:rsidR="004972EC" w:rsidRDefault="004972EC" w:rsidP="004972EC">
      <w:pPr>
        <w:spacing w:line="276" w:lineRule="auto"/>
        <w:contextualSpacing/>
        <w:jc w:val="both"/>
        <w:rPr>
          <w:rFonts w:ascii="Arial" w:hAnsi="Arial" w:cs="Arial"/>
          <w:szCs w:val="24"/>
        </w:rPr>
      </w:pPr>
    </w:p>
    <w:p w:rsidR="004972EC" w:rsidRDefault="004972EC" w:rsidP="004972EC">
      <w:pPr>
        <w:spacing w:line="276" w:lineRule="auto"/>
        <w:contextualSpacing/>
        <w:jc w:val="both"/>
        <w:rPr>
          <w:rFonts w:ascii="Arial" w:hAnsi="Arial" w:cs="Arial"/>
          <w:szCs w:val="24"/>
        </w:rPr>
      </w:pPr>
      <w:r>
        <w:rPr>
          <w:rFonts w:ascii="Arial" w:hAnsi="Arial" w:cs="Arial"/>
          <w:szCs w:val="24"/>
        </w:rPr>
        <w:t>Por su parte,</w:t>
      </w:r>
      <w:r w:rsidR="001313BB">
        <w:rPr>
          <w:rFonts w:ascii="Arial" w:hAnsi="Arial" w:cs="Arial"/>
          <w:szCs w:val="24"/>
        </w:rPr>
        <w:t xml:space="preserve"> la </w:t>
      </w:r>
      <w:r w:rsidR="001313BB">
        <w:rPr>
          <w:rFonts w:ascii="Arial" w:hAnsi="Arial" w:cs="Arial"/>
          <w:b/>
          <w:bCs/>
          <w:szCs w:val="24"/>
        </w:rPr>
        <w:t xml:space="preserve">Sociedad Administradora de Fondos de </w:t>
      </w:r>
      <w:r w:rsidR="001313BB">
        <w:rPr>
          <w:rFonts w:ascii="Arial" w:hAnsi="Arial" w:cs="Arial"/>
          <w:b/>
          <w:bCs/>
          <w:iCs/>
          <w:szCs w:val="24"/>
        </w:rPr>
        <w:t xml:space="preserve">Pensiones y Cesantías Porvenir </w:t>
      </w:r>
      <w:proofErr w:type="spellStart"/>
      <w:r w:rsidR="001313BB">
        <w:rPr>
          <w:rFonts w:ascii="Arial" w:hAnsi="Arial" w:cs="Arial"/>
          <w:b/>
          <w:bCs/>
          <w:iCs/>
          <w:szCs w:val="24"/>
        </w:rPr>
        <w:t>S.A</w:t>
      </w:r>
      <w:proofErr w:type="spellEnd"/>
      <w:r w:rsidR="001313BB">
        <w:rPr>
          <w:rFonts w:ascii="Arial" w:hAnsi="Arial" w:cs="Arial"/>
          <w:bCs/>
          <w:iCs/>
          <w:szCs w:val="24"/>
        </w:rPr>
        <w:t xml:space="preserve">, </w:t>
      </w:r>
      <w:r>
        <w:rPr>
          <w:rFonts w:ascii="Arial" w:hAnsi="Arial" w:cs="Arial"/>
          <w:szCs w:val="24"/>
        </w:rPr>
        <w:t xml:space="preserve">se opuso a los pedimentos de la demanda al considerar que </w:t>
      </w:r>
      <w:r w:rsidR="002E6475">
        <w:rPr>
          <w:rFonts w:ascii="Arial" w:hAnsi="Arial" w:cs="Arial"/>
          <w:szCs w:val="24"/>
        </w:rPr>
        <w:t xml:space="preserve">la </w:t>
      </w:r>
      <w:r w:rsidR="001313BB">
        <w:rPr>
          <w:rFonts w:ascii="Arial" w:hAnsi="Arial" w:cs="Arial"/>
          <w:szCs w:val="24"/>
        </w:rPr>
        <w:t>vinculación de la actora a la otrora Horizonte fue completamente válida desde el punto de vista legal, no confluyeron vicios del consentimiento y fue realizada de manera libre y voluntaria.</w:t>
      </w:r>
      <w:r w:rsidR="00F97AB1">
        <w:rPr>
          <w:rFonts w:ascii="Arial" w:hAnsi="Arial" w:cs="Arial"/>
          <w:szCs w:val="24"/>
        </w:rPr>
        <w:t xml:space="preserve"> </w:t>
      </w:r>
      <w:r>
        <w:rPr>
          <w:rFonts w:ascii="Arial" w:hAnsi="Arial" w:cs="Arial"/>
          <w:szCs w:val="24"/>
        </w:rPr>
        <w:t xml:space="preserve">Interpuso las excepciones de </w:t>
      </w:r>
      <w:r w:rsidRPr="00641218">
        <w:rPr>
          <w:rFonts w:ascii="Arial" w:hAnsi="Arial" w:cs="Arial"/>
          <w:szCs w:val="24"/>
        </w:rPr>
        <w:t>“</w:t>
      </w:r>
      <w:r>
        <w:rPr>
          <w:rFonts w:ascii="Arial" w:hAnsi="Arial" w:cs="Arial"/>
          <w:szCs w:val="24"/>
        </w:rPr>
        <w:t xml:space="preserve">Validez de la afiliación </w:t>
      </w:r>
      <w:r w:rsidR="001313BB">
        <w:rPr>
          <w:rFonts w:ascii="Arial" w:hAnsi="Arial" w:cs="Arial"/>
          <w:szCs w:val="24"/>
        </w:rPr>
        <w:t>a Horizonte e Inexistencia de vicios del consentimiento</w:t>
      </w:r>
      <w:r w:rsidR="00F97AB1">
        <w:rPr>
          <w:rFonts w:ascii="Arial" w:hAnsi="Arial" w:cs="Arial"/>
          <w:szCs w:val="24"/>
        </w:rPr>
        <w:t xml:space="preserve">”, </w:t>
      </w:r>
      <w:r w:rsidR="001313BB">
        <w:rPr>
          <w:rFonts w:ascii="Arial" w:hAnsi="Arial" w:cs="Arial"/>
          <w:szCs w:val="24"/>
        </w:rPr>
        <w:t>“Saneamiento de la supuesta nulidad relativa”, “Pago”, “</w:t>
      </w:r>
      <w:r w:rsidR="00F97AB1">
        <w:rPr>
          <w:rFonts w:ascii="Arial" w:hAnsi="Arial" w:cs="Arial"/>
          <w:szCs w:val="24"/>
        </w:rPr>
        <w:t xml:space="preserve">Compensación”, </w:t>
      </w:r>
      <w:r>
        <w:rPr>
          <w:rFonts w:ascii="Arial" w:hAnsi="Arial" w:cs="Arial"/>
          <w:szCs w:val="24"/>
        </w:rPr>
        <w:t>“Prescripción”, “Buena fe” y la “Innominada o Genérica”.</w:t>
      </w:r>
    </w:p>
    <w:p w:rsidR="004972EC" w:rsidRPr="000B75F8" w:rsidRDefault="004972EC" w:rsidP="000B75F8">
      <w:pPr>
        <w:shd w:val="clear" w:color="auto" w:fill="FFFFFF"/>
        <w:tabs>
          <w:tab w:val="left" w:pos="5197"/>
        </w:tabs>
        <w:spacing w:line="276" w:lineRule="auto"/>
        <w:jc w:val="both"/>
        <w:rPr>
          <w:rFonts w:ascii="Arial" w:hAnsi="Arial" w:cs="Arial"/>
          <w:color w:val="000000" w:themeColor="text1"/>
          <w:szCs w:val="24"/>
          <w:lang w:eastAsia="es-CO"/>
        </w:rPr>
      </w:pPr>
    </w:p>
    <w:p w:rsidR="004972EC" w:rsidRPr="006B4BB4" w:rsidRDefault="006B4BB4" w:rsidP="006B4BB4">
      <w:pPr>
        <w:pStyle w:val="Prrafodelista"/>
        <w:numPr>
          <w:ilvl w:val="0"/>
          <w:numId w:val="14"/>
        </w:numPr>
        <w:spacing w:line="276" w:lineRule="auto"/>
        <w:jc w:val="both"/>
        <w:rPr>
          <w:rFonts w:ascii="Arial" w:hAnsi="Arial" w:cs="Arial"/>
          <w:b/>
          <w:sz w:val="24"/>
          <w:szCs w:val="24"/>
        </w:rPr>
      </w:pPr>
      <w:r w:rsidRPr="006B4BB4">
        <w:rPr>
          <w:rFonts w:ascii="Arial" w:hAnsi="Arial" w:cs="Arial"/>
          <w:b/>
          <w:sz w:val="24"/>
          <w:szCs w:val="24"/>
        </w:rPr>
        <w:t>S</w:t>
      </w:r>
      <w:r w:rsidR="004972EC" w:rsidRPr="006B4BB4">
        <w:rPr>
          <w:rFonts w:ascii="Arial" w:hAnsi="Arial" w:cs="Arial"/>
          <w:b/>
          <w:sz w:val="24"/>
          <w:szCs w:val="24"/>
        </w:rPr>
        <w:t>íntesis de la sentencia</w:t>
      </w:r>
    </w:p>
    <w:p w:rsidR="004972EC" w:rsidRPr="000B75F8" w:rsidRDefault="004972EC" w:rsidP="000B75F8">
      <w:pPr>
        <w:shd w:val="clear" w:color="auto" w:fill="FFFFFF"/>
        <w:tabs>
          <w:tab w:val="left" w:pos="5197"/>
        </w:tabs>
        <w:spacing w:line="276" w:lineRule="auto"/>
        <w:jc w:val="both"/>
        <w:rPr>
          <w:rFonts w:ascii="Arial" w:hAnsi="Arial" w:cs="Arial"/>
          <w:color w:val="000000" w:themeColor="text1"/>
          <w:szCs w:val="24"/>
          <w:lang w:eastAsia="es-CO"/>
        </w:rPr>
      </w:pPr>
    </w:p>
    <w:p w:rsidR="004972EC" w:rsidRDefault="004972EC" w:rsidP="004972EC">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1313BB">
        <w:rPr>
          <w:rFonts w:ascii="Arial" w:hAnsi="Arial" w:cs="Arial"/>
          <w:color w:val="000000"/>
          <w:szCs w:val="24"/>
          <w:lang w:eastAsia="es-CO"/>
        </w:rPr>
        <w:t xml:space="preserve">Tercero </w:t>
      </w:r>
      <w:r w:rsidRPr="008E0CBF">
        <w:rPr>
          <w:rFonts w:ascii="Arial" w:hAnsi="Arial" w:cs="Arial"/>
          <w:color w:val="000000"/>
          <w:szCs w:val="24"/>
          <w:lang w:eastAsia="es-CO"/>
        </w:rPr>
        <w:t xml:space="preserve">Laboral del Circuito de Pereira, </w:t>
      </w:r>
      <w:r w:rsidR="00F97AB1">
        <w:rPr>
          <w:rFonts w:ascii="Arial" w:hAnsi="Arial" w:cs="Arial"/>
          <w:color w:val="000000"/>
          <w:szCs w:val="24"/>
          <w:lang w:eastAsia="es-CO"/>
        </w:rPr>
        <w:t>negó las pretensiones de la demanda y condenó en costas a la parte actora.</w:t>
      </w:r>
    </w:p>
    <w:p w:rsidR="004972EC" w:rsidRDefault="004972EC" w:rsidP="004972EC">
      <w:pPr>
        <w:spacing w:line="276" w:lineRule="auto"/>
        <w:contextualSpacing/>
        <w:jc w:val="both"/>
        <w:rPr>
          <w:rFonts w:ascii="Arial" w:hAnsi="Arial" w:cs="Arial"/>
          <w:color w:val="000000"/>
          <w:szCs w:val="24"/>
          <w:lang w:eastAsia="es-CO"/>
        </w:rPr>
      </w:pPr>
    </w:p>
    <w:p w:rsidR="00CC00C7" w:rsidRPr="00E646A0" w:rsidRDefault="004972EC" w:rsidP="004972EC">
      <w:pPr>
        <w:spacing w:line="276" w:lineRule="auto"/>
        <w:contextualSpacing/>
        <w:jc w:val="both"/>
        <w:rPr>
          <w:rFonts w:ascii="Arial" w:hAnsi="Arial" w:cs="Arial"/>
          <w:color w:val="000000"/>
          <w:szCs w:val="24"/>
          <w:lang w:val="es-CO" w:eastAsia="es-CO"/>
        </w:rPr>
      </w:pPr>
      <w:r w:rsidRPr="00DD4FE6">
        <w:rPr>
          <w:rFonts w:ascii="Arial" w:hAnsi="Arial" w:cs="Arial"/>
          <w:color w:val="000000"/>
          <w:szCs w:val="24"/>
          <w:lang w:eastAsia="es-CO"/>
        </w:rPr>
        <w:t>Para arribar a la anterior conclusi</w:t>
      </w:r>
      <w:r w:rsidR="00F97AB1">
        <w:rPr>
          <w:rFonts w:ascii="Arial" w:hAnsi="Arial" w:cs="Arial"/>
          <w:color w:val="000000"/>
          <w:szCs w:val="24"/>
          <w:lang w:eastAsia="es-CO"/>
        </w:rPr>
        <w:t>ón indicó</w:t>
      </w:r>
      <w:r w:rsidR="00CC00C7">
        <w:rPr>
          <w:rFonts w:ascii="Arial" w:hAnsi="Arial" w:cs="Arial"/>
          <w:color w:val="000000"/>
          <w:szCs w:val="24"/>
          <w:lang w:eastAsia="es-CO"/>
        </w:rPr>
        <w:t xml:space="preserve"> </w:t>
      </w:r>
      <w:r w:rsidR="00C21DA2">
        <w:rPr>
          <w:rFonts w:ascii="Arial" w:hAnsi="Arial" w:cs="Arial"/>
          <w:color w:val="000000"/>
          <w:szCs w:val="24"/>
          <w:lang w:eastAsia="es-CO"/>
        </w:rPr>
        <w:t xml:space="preserve">que </w:t>
      </w:r>
      <w:r w:rsidR="00CC00C7">
        <w:rPr>
          <w:rFonts w:ascii="Arial" w:hAnsi="Arial" w:cs="Arial"/>
          <w:color w:val="000000"/>
          <w:szCs w:val="24"/>
          <w:lang w:eastAsia="es-CO"/>
        </w:rPr>
        <w:t xml:space="preserve">el acto de traslado de la </w:t>
      </w:r>
      <w:r w:rsidR="00C21DA2">
        <w:rPr>
          <w:rFonts w:ascii="Arial" w:hAnsi="Arial" w:cs="Arial"/>
          <w:color w:val="000000"/>
          <w:szCs w:val="24"/>
          <w:lang w:eastAsia="es-CO"/>
        </w:rPr>
        <w:t xml:space="preserve">demandante </w:t>
      </w:r>
      <w:r w:rsidR="00CC00C7">
        <w:rPr>
          <w:rFonts w:ascii="Arial" w:hAnsi="Arial" w:cs="Arial"/>
          <w:color w:val="000000"/>
          <w:szCs w:val="24"/>
          <w:lang w:eastAsia="es-CO"/>
        </w:rPr>
        <w:t xml:space="preserve">al RAIS fue libre y voluntario según da cuenta la suscripción del formulario de afiliación </w:t>
      </w:r>
      <w:r w:rsidR="00E646A0">
        <w:rPr>
          <w:rFonts w:ascii="Arial" w:hAnsi="Arial" w:cs="Arial"/>
          <w:color w:val="000000"/>
          <w:szCs w:val="24"/>
          <w:lang w:eastAsia="es-CO"/>
        </w:rPr>
        <w:t xml:space="preserve">a la AFP Horizonte, sin que se advierta alguna irregularidad y sin que sea suficiente para pretender la ineficacia o nulidad que se haya omitido indicarle </w:t>
      </w:r>
      <w:r w:rsidR="00E646A0">
        <w:rPr>
          <w:rFonts w:ascii="Arial" w:hAnsi="Arial" w:cs="Arial"/>
          <w:color w:val="000000"/>
          <w:szCs w:val="24"/>
          <w:lang w:val="es-CO" w:eastAsia="es-CO"/>
        </w:rPr>
        <w:t>los pormenores de los q</w:t>
      </w:r>
      <w:r w:rsidR="00AA621B">
        <w:rPr>
          <w:rFonts w:ascii="Arial" w:hAnsi="Arial" w:cs="Arial"/>
          <w:color w:val="000000"/>
          <w:szCs w:val="24"/>
          <w:lang w:val="es-CO" w:eastAsia="es-CO"/>
        </w:rPr>
        <w:t xml:space="preserve">ue se duele en la demanda, pues si bien una de las declarantes hizo referencia a posibilidad de que los ahorros de la cuenta individual pasaran a la masa </w:t>
      </w:r>
      <w:proofErr w:type="spellStart"/>
      <w:r w:rsidR="00AA621B">
        <w:rPr>
          <w:rFonts w:ascii="Arial" w:hAnsi="Arial" w:cs="Arial"/>
          <w:color w:val="000000"/>
          <w:szCs w:val="24"/>
          <w:lang w:val="es-CO" w:eastAsia="es-CO"/>
        </w:rPr>
        <w:t>sucesoral</w:t>
      </w:r>
      <w:proofErr w:type="spellEnd"/>
      <w:r w:rsidR="00AA621B">
        <w:rPr>
          <w:rFonts w:ascii="Arial" w:hAnsi="Arial" w:cs="Arial"/>
          <w:color w:val="000000"/>
          <w:szCs w:val="24"/>
          <w:lang w:val="es-CO" w:eastAsia="es-CO"/>
        </w:rPr>
        <w:t>, precisamente esta se encuentra prevista en l</w:t>
      </w:r>
      <w:r w:rsidR="00C465E0">
        <w:rPr>
          <w:rFonts w:ascii="Arial" w:hAnsi="Arial" w:cs="Arial"/>
          <w:color w:val="000000"/>
          <w:szCs w:val="24"/>
          <w:lang w:val="es-CO" w:eastAsia="es-CO"/>
        </w:rPr>
        <w:t xml:space="preserve">a Ley, de ahí que no se halla probado una mala </w:t>
      </w:r>
      <w:r w:rsidR="00C32DD1">
        <w:rPr>
          <w:rFonts w:ascii="Arial" w:hAnsi="Arial" w:cs="Arial"/>
          <w:color w:val="000000"/>
          <w:szCs w:val="24"/>
          <w:lang w:val="es-CO" w:eastAsia="es-CO"/>
        </w:rPr>
        <w:t xml:space="preserve">asesoría. </w:t>
      </w:r>
    </w:p>
    <w:p w:rsidR="00CC00C7" w:rsidRDefault="00CC00C7" w:rsidP="004972EC">
      <w:pPr>
        <w:spacing w:line="276" w:lineRule="auto"/>
        <w:contextualSpacing/>
        <w:jc w:val="both"/>
        <w:rPr>
          <w:rFonts w:ascii="Arial" w:hAnsi="Arial" w:cs="Arial"/>
          <w:color w:val="000000"/>
          <w:szCs w:val="24"/>
          <w:lang w:eastAsia="es-CO"/>
        </w:rPr>
      </w:pPr>
    </w:p>
    <w:p w:rsidR="00CC00C7" w:rsidRDefault="00E646A0" w:rsidP="004972E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Ahora, </w:t>
      </w:r>
      <w:r w:rsidR="002F558D">
        <w:rPr>
          <w:rFonts w:ascii="Arial" w:hAnsi="Arial" w:cs="Arial"/>
          <w:color w:val="000000"/>
          <w:szCs w:val="24"/>
          <w:lang w:eastAsia="es-CO"/>
        </w:rPr>
        <w:t>aunque en el año 2002 retornó al RPM, dicha situación no le basta para recuperar el régimen de transición, toda vez que este lo adquirió por edad y no por tiempo de servicios.</w:t>
      </w:r>
    </w:p>
    <w:p w:rsidR="00CC00C7" w:rsidRDefault="00CC00C7" w:rsidP="004972EC">
      <w:pPr>
        <w:spacing w:line="276" w:lineRule="auto"/>
        <w:contextualSpacing/>
        <w:jc w:val="both"/>
        <w:rPr>
          <w:rFonts w:ascii="Arial" w:hAnsi="Arial" w:cs="Arial"/>
          <w:color w:val="000000"/>
          <w:szCs w:val="24"/>
          <w:lang w:eastAsia="es-CO"/>
        </w:rPr>
      </w:pPr>
    </w:p>
    <w:p w:rsidR="00CC00C7" w:rsidRDefault="00C32DD1" w:rsidP="004972E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Precisó que en su caso dado el reconocimiento pensional del que goza desde el año 2014, no se advierte ninguna afectación o p</w:t>
      </w:r>
      <w:r w:rsidR="00FA4C46">
        <w:rPr>
          <w:rFonts w:ascii="Arial" w:hAnsi="Arial" w:cs="Arial"/>
          <w:color w:val="000000"/>
          <w:szCs w:val="24"/>
          <w:lang w:eastAsia="es-CO"/>
        </w:rPr>
        <w:t xml:space="preserve">érdida, porque con ello se alcanzó  el objetivo del sistema general de pensiones. </w:t>
      </w:r>
    </w:p>
    <w:p w:rsidR="00CC00C7" w:rsidRPr="000B75F8" w:rsidRDefault="00CC00C7" w:rsidP="000B75F8">
      <w:pPr>
        <w:shd w:val="clear" w:color="auto" w:fill="FFFFFF"/>
        <w:tabs>
          <w:tab w:val="left" w:pos="5197"/>
        </w:tabs>
        <w:spacing w:line="276" w:lineRule="auto"/>
        <w:jc w:val="both"/>
        <w:rPr>
          <w:rFonts w:ascii="Arial" w:hAnsi="Arial" w:cs="Arial"/>
          <w:color w:val="000000" w:themeColor="text1"/>
          <w:szCs w:val="24"/>
          <w:lang w:eastAsia="es-CO"/>
        </w:rPr>
      </w:pPr>
    </w:p>
    <w:p w:rsidR="004972EC" w:rsidRDefault="001313BB" w:rsidP="0027675D">
      <w:pPr>
        <w:pStyle w:val="Prrafodelista"/>
        <w:numPr>
          <w:ilvl w:val="0"/>
          <w:numId w:val="14"/>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1313BB" w:rsidRPr="00CB08DC" w:rsidRDefault="001313BB" w:rsidP="001313BB">
      <w:pPr>
        <w:pStyle w:val="Prrafodelista"/>
        <w:spacing w:line="276" w:lineRule="auto"/>
        <w:jc w:val="both"/>
        <w:rPr>
          <w:rFonts w:ascii="Arial" w:hAnsi="Arial" w:cs="Arial"/>
          <w:b/>
          <w:sz w:val="24"/>
          <w:szCs w:val="24"/>
        </w:rPr>
      </w:pPr>
    </w:p>
    <w:p w:rsidR="00F21F3C" w:rsidRPr="000B75F8" w:rsidRDefault="001313BB" w:rsidP="000B75F8">
      <w:pPr>
        <w:shd w:val="clear" w:color="auto" w:fill="FFFFFF"/>
        <w:tabs>
          <w:tab w:val="left" w:pos="5197"/>
        </w:tabs>
        <w:spacing w:line="276" w:lineRule="auto"/>
        <w:jc w:val="both"/>
        <w:rPr>
          <w:rFonts w:ascii="Arial" w:hAnsi="Arial" w:cs="Arial"/>
          <w:color w:val="000000" w:themeColor="text1"/>
          <w:szCs w:val="24"/>
          <w:lang w:eastAsia="es-CO"/>
        </w:rPr>
      </w:pPr>
      <w:r w:rsidRPr="000B75F8">
        <w:rPr>
          <w:rFonts w:ascii="Arial" w:hAnsi="Arial" w:cs="Arial"/>
          <w:color w:val="000000" w:themeColor="text1"/>
          <w:szCs w:val="24"/>
          <w:lang w:eastAsia="es-CO"/>
        </w:rPr>
        <w:t xml:space="preserve">Inconforme con la anterior decisión la parte actora se alzó e indicó que </w:t>
      </w:r>
      <w:r w:rsidR="00F21F3C" w:rsidRPr="000B75F8">
        <w:rPr>
          <w:rFonts w:ascii="Arial" w:hAnsi="Arial" w:cs="Arial"/>
          <w:color w:val="000000" w:themeColor="text1"/>
          <w:szCs w:val="24"/>
          <w:lang w:eastAsia="es-CO"/>
        </w:rPr>
        <w:t xml:space="preserve">aunque la </w:t>
      </w:r>
      <w:r w:rsidR="009E585E" w:rsidRPr="000B75F8">
        <w:rPr>
          <w:rFonts w:ascii="Arial" w:hAnsi="Arial" w:cs="Arial"/>
          <w:color w:val="000000" w:themeColor="text1"/>
          <w:szCs w:val="24"/>
          <w:lang w:eastAsia="es-CO"/>
        </w:rPr>
        <w:t xml:space="preserve">actora </w:t>
      </w:r>
      <w:r w:rsidR="00F21F3C" w:rsidRPr="000B75F8">
        <w:rPr>
          <w:rFonts w:ascii="Arial" w:hAnsi="Arial" w:cs="Arial"/>
          <w:color w:val="000000" w:themeColor="text1"/>
          <w:szCs w:val="24"/>
          <w:lang w:eastAsia="es-CO"/>
        </w:rPr>
        <w:t xml:space="preserve">logró </w:t>
      </w:r>
      <w:r w:rsidR="009E585E" w:rsidRPr="000B75F8">
        <w:rPr>
          <w:rFonts w:ascii="Arial" w:hAnsi="Arial" w:cs="Arial"/>
          <w:color w:val="000000" w:themeColor="text1"/>
          <w:szCs w:val="24"/>
          <w:lang w:eastAsia="es-CO"/>
        </w:rPr>
        <w:t>retornar al RPM</w:t>
      </w:r>
      <w:r w:rsidR="00F21F3C" w:rsidRPr="000B75F8">
        <w:rPr>
          <w:rFonts w:ascii="Arial" w:hAnsi="Arial" w:cs="Arial"/>
          <w:color w:val="000000" w:themeColor="text1"/>
          <w:szCs w:val="24"/>
          <w:lang w:eastAsia="es-CO"/>
        </w:rPr>
        <w:t>,</w:t>
      </w:r>
      <w:r w:rsidR="009E585E" w:rsidRPr="000B75F8">
        <w:rPr>
          <w:rFonts w:ascii="Arial" w:hAnsi="Arial" w:cs="Arial"/>
          <w:color w:val="000000" w:themeColor="text1"/>
          <w:szCs w:val="24"/>
          <w:lang w:eastAsia="es-CO"/>
        </w:rPr>
        <w:t xml:space="preserve"> perdió los beneficios de la transición en razón del traslado al RAI</w:t>
      </w:r>
      <w:r w:rsidR="00A5112A" w:rsidRPr="000B75F8">
        <w:rPr>
          <w:rFonts w:ascii="Arial" w:hAnsi="Arial" w:cs="Arial"/>
          <w:color w:val="000000" w:themeColor="text1"/>
          <w:szCs w:val="24"/>
          <w:lang w:eastAsia="es-CO"/>
        </w:rPr>
        <w:t xml:space="preserve">S. </w:t>
      </w:r>
    </w:p>
    <w:p w:rsidR="00F21F3C" w:rsidRPr="000B75F8" w:rsidRDefault="00F21F3C" w:rsidP="000B75F8">
      <w:pPr>
        <w:shd w:val="clear" w:color="auto" w:fill="FFFFFF"/>
        <w:tabs>
          <w:tab w:val="left" w:pos="5197"/>
        </w:tabs>
        <w:spacing w:line="276" w:lineRule="auto"/>
        <w:jc w:val="both"/>
        <w:rPr>
          <w:rFonts w:ascii="Arial" w:hAnsi="Arial" w:cs="Arial"/>
          <w:color w:val="000000" w:themeColor="text1"/>
          <w:szCs w:val="24"/>
          <w:lang w:eastAsia="es-CO"/>
        </w:rPr>
      </w:pPr>
    </w:p>
    <w:p w:rsidR="00A5112A" w:rsidRPr="003453C1" w:rsidRDefault="00F21F3C" w:rsidP="003453C1">
      <w:pPr>
        <w:shd w:val="clear" w:color="auto" w:fill="FFFFFF"/>
        <w:tabs>
          <w:tab w:val="left" w:pos="5197"/>
        </w:tabs>
        <w:spacing w:line="276" w:lineRule="auto"/>
        <w:jc w:val="both"/>
        <w:rPr>
          <w:rFonts w:ascii="Arial" w:hAnsi="Arial" w:cs="Arial"/>
          <w:color w:val="000000" w:themeColor="text1"/>
          <w:szCs w:val="24"/>
          <w:lang w:eastAsia="es-CO"/>
        </w:rPr>
      </w:pPr>
      <w:r w:rsidRPr="003453C1">
        <w:rPr>
          <w:rFonts w:ascii="Arial" w:hAnsi="Arial" w:cs="Arial"/>
          <w:color w:val="000000" w:themeColor="text1"/>
          <w:szCs w:val="24"/>
          <w:lang w:eastAsia="es-CO"/>
        </w:rPr>
        <w:t>Insiste que H</w:t>
      </w:r>
      <w:r w:rsidR="00A5112A" w:rsidRPr="003453C1">
        <w:rPr>
          <w:rFonts w:ascii="Arial" w:hAnsi="Arial" w:cs="Arial"/>
          <w:color w:val="000000" w:themeColor="text1"/>
          <w:szCs w:val="24"/>
          <w:lang w:eastAsia="es-CO"/>
        </w:rPr>
        <w:t xml:space="preserve">orizonte </w:t>
      </w:r>
      <w:r w:rsidRPr="003453C1">
        <w:rPr>
          <w:rFonts w:ascii="Arial" w:hAnsi="Arial" w:cs="Arial"/>
          <w:color w:val="000000" w:themeColor="text1"/>
          <w:szCs w:val="24"/>
          <w:lang w:eastAsia="es-CO"/>
        </w:rPr>
        <w:t>-hoy Porve</w:t>
      </w:r>
      <w:r w:rsidR="00A5112A" w:rsidRPr="003453C1">
        <w:rPr>
          <w:rFonts w:ascii="Arial" w:hAnsi="Arial" w:cs="Arial"/>
          <w:color w:val="000000" w:themeColor="text1"/>
          <w:szCs w:val="24"/>
          <w:lang w:eastAsia="es-CO"/>
        </w:rPr>
        <w:t>nir</w:t>
      </w:r>
      <w:r w:rsidRPr="003453C1">
        <w:rPr>
          <w:rFonts w:ascii="Arial" w:hAnsi="Arial" w:cs="Arial"/>
          <w:color w:val="000000" w:themeColor="text1"/>
          <w:szCs w:val="24"/>
          <w:lang w:eastAsia="es-CO"/>
        </w:rPr>
        <w:t xml:space="preserve"> S.A.</w:t>
      </w:r>
      <w:r w:rsidR="00A5112A" w:rsidRPr="003453C1">
        <w:rPr>
          <w:rFonts w:ascii="Arial" w:hAnsi="Arial" w:cs="Arial"/>
          <w:color w:val="000000" w:themeColor="text1"/>
          <w:szCs w:val="24"/>
          <w:lang w:eastAsia="es-CO"/>
        </w:rPr>
        <w:t xml:space="preserve"> </w:t>
      </w:r>
      <w:r w:rsidRPr="003453C1">
        <w:rPr>
          <w:rFonts w:ascii="Arial" w:hAnsi="Arial" w:cs="Arial"/>
          <w:color w:val="000000" w:themeColor="text1"/>
          <w:szCs w:val="24"/>
          <w:lang w:eastAsia="es-CO"/>
        </w:rPr>
        <w:t xml:space="preserve">la indujo en </w:t>
      </w:r>
      <w:r w:rsidR="00A5112A" w:rsidRPr="003453C1">
        <w:rPr>
          <w:rFonts w:ascii="Arial" w:hAnsi="Arial" w:cs="Arial"/>
          <w:color w:val="000000" w:themeColor="text1"/>
          <w:szCs w:val="24"/>
          <w:lang w:eastAsia="es-CO"/>
        </w:rPr>
        <w:t>error por lo que es ineficaz y por ende nulo</w:t>
      </w:r>
      <w:r w:rsidRPr="003453C1">
        <w:rPr>
          <w:rFonts w:ascii="Arial" w:hAnsi="Arial" w:cs="Arial"/>
          <w:color w:val="000000" w:themeColor="text1"/>
          <w:szCs w:val="24"/>
          <w:lang w:eastAsia="es-CO"/>
        </w:rPr>
        <w:t xml:space="preserve"> el traslado, de ahí que pueda recuperar el régimen de transición y por lo tanto, le sea aplicable el A</w:t>
      </w:r>
      <w:r w:rsidR="00A5112A" w:rsidRPr="003453C1">
        <w:rPr>
          <w:rFonts w:ascii="Arial" w:hAnsi="Arial" w:cs="Arial"/>
          <w:color w:val="000000" w:themeColor="text1"/>
          <w:szCs w:val="24"/>
          <w:lang w:eastAsia="es-CO"/>
        </w:rPr>
        <w:t xml:space="preserve">cuerdo 049/90, que le permiten tener una mesada pensional </w:t>
      </w:r>
      <w:r w:rsidRPr="003453C1">
        <w:rPr>
          <w:rFonts w:ascii="Arial" w:hAnsi="Arial" w:cs="Arial"/>
          <w:color w:val="000000" w:themeColor="text1"/>
          <w:szCs w:val="24"/>
          <w:lang w:eastAsia="es-CO"/>
        </w:rPr>
        <w:t xml:space="preserve">superior al ser procedente su liquidación con base en los tiempos públicos y privados, conforme la tesis expuesta por la Corte Constitucional en la sentencia SU-769/14 </w:t>
      </w:r>
      <w:r w:rsidR="00A5112A" w:rsidRPr="003453C1">
        <w:rPr>
          <w:rFonts w:ascii="Arial" w:hAnsi="Arial" w:cs="Arial"/>
          <w:color w:val="000000" w:themeColor="text1"/>
          <w:szCs w:val="24"/>
          <w:lang w:eastAsia="es-CO"/>
        </w:rPr>
        <w:t>que tiene fuerza vinculante.</w:t>
      </w:r>
    </w:p>
    <w:p w:rsidR="00A5112A" w:rsidRDefault="00A5112A" w:rsidP="003453C1">
      <w:pPr>
        <w:pStyle w:val="Sinespaciado"/>
        <w:spacing w:line="276" w:lineRule="auto"/>
        <w:rPr>
          <w:rFonts w:ascii="Arial" w:hAnsi="Arial" w:cs="Arial"/>
          <w:color w:val="000000" w:themeColor="text1"/>
          <w:sz w:val="24"/>
          <w:szCs w:val="24"/>
        </w:rPr>
      </w:pPr>
    </w:p>
    <w:p w:rsidR="00DE60A2" w:rsidRPr="003453C1" w:rsidRDefault="00DE60A2" w:rsidP="003453C1">
      <w:pPr>
        <w:pStyle w:val="Sinespaciado"/>
        <w:spacing w:line="276" w:lineRule="auto"/>
        <w:rPr>
          <w:rFonts w:ascii="Arial" w:hAnsi="Arial" w:cs="Arial"/>
          <w:color w:val="000000" w:themeColor="text1"/>
          <w:sz w:val="24"/>
          <w:szCs w:val="24"/>
        </w:rPr>
      </w:pPr>
    </w:p>
    <w:p w:rsidR="004972EC" w:rsidRPr="003453C1" w:rsidRDefault="004972EC" w:rsidP="003453C1">
      <w:pPr>
        <w:pStyle w:val="Sinespaciado"/>
        <w:spacing w:line="276" w:lineRule="auto"/>
        <w:jc w:val="center"/>
        <w:rPr>
          <w:rFonts w:ascii="Arial" w:hAnsi="Arial" w:cs="Arial"/>
          <w:b/>
          <w:color w:val="000000" w:themeColor="text1"/>
          <w:sz w:val="24"/>
          <w:szCs w:val="24"/>
        </w:rPr>
      </w:pPr>
      <w:r w:rsidRPr="003453C1">
        <w:rPr>
          <w:rFonts w:ascii="Arial" w:hAnsi="Arial" w:cs="Arial"/>
          <w:b/>
          <w:color w:val="000000" w:themeColor="text1"/>
          <w:sz w:val="24"/>
          <w:szCs w:val="24"/>
        </w:rPr>
        <w:t>CONSIDERACIONES</w:t>
      </w:r>
    </w:p>
    <w:p w:rsidR="004972EC" w:rsidRPr="003453C1" w:rsidRDefault="004972EC" w:rsidP="003453C1">
      <w:pPr>
        <w:pStyle w:val="Sinespaciado"/>
        <w:spacing w:line="276" w:lineRule="auto"/>
        <w:rPr>
          <w:rFonts w:ascii="Arial" w:hAnsi="Arial" w:cs="Arial"/>
          <w:color w:val="000000" w:themeColor="text1"/>
          <w:sz w:val="24"/>
          <w:szCs w:val="24"/>
        </w:rPr>
      </w:pPr>
    </w:p>
    <w:p w:rsidR="004972EC" w:rsidRPr="007F2FCF" w:rsidRDefault="004972EC" w:rsidP="004972EC">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Del problema jurídico</w:t>
      </w:r>
    </w:p>
    <w:p w:rsidR="004972EC" w:rsidRPr="007F2FCF" w:rsidRDefault="004972EC" w:rsidP="004972EC">
      <w:pPr>
        <w:pStyle w:val="Sinespaciado"/>
        <w:spacing w:line="276" w:lineRule="auto"/>
        <w:rPr>
          <w:rFonts w:ascii="Arial" w:hAnsi="Arial" w:cs="Arial"/>
          <w:color w:val="000000" w:themeColor="text1"/>
          <w:sz w:val="24"/>
          <w:szCs w:val="24"/>
        </w:rPr>
      </w:pPr>
    </w:p>
    <w:p w:rsidR="004972EC" w:rsidRPr="007F2FCF" w:rsidRDefault="004972EC" w:rsidP="004972EC">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el siguiente</w:t>
      </w:r>
      <w:r w:rsidRPr="007F2FCF">
        <w:rPr>
          <w:rFonts w:ascii="Arial" w:hAnsi="Arial" w:cs="Arial"/>
          <w:color w:val="000000" w:themeColor="text1"/>
          <w:szCs w:val="24"/>
          <w:lang w:eastAsia="es-CO"/>
        </w:rPr>
        <w:t>:</w:t>
      </w:r>
    </w:p>
    <w:p w:rsidR="004972EC" w:rsidRPr="007F2FCF" w:rsidRDefault="004972EC" w:rsidP="004972EC">
      <w:pPr>
        <w:shd w:val="clear" w:color="auto" w:fill="FFFFFF"/>
        <w:tabs>
          <w:tab w:val="left" w:pos="5197"/>
        </w:tabs>
        <w:spacing w:line="276" w:lineRule="auto"/>
        <w:jc w:val="both"/>
        <w:rPr>
          <w:rFonts w:ascii="Arial" w:hAnsi="Arial" w:cs="Arial"/>
          <w:color w:val="000000" w:themeColor="text1"/>
          <w:szCs w:val="24"/>
          <w:lang w:eastAsia="es-CO"/>
        </w:rPr>
      </w:pPr>
    </w:p>
    <w:p w:rsidR="004972EC" w:rsidRDefault="00BD47D3" w:rsidP="00BD47D3">
      <w:pPr>
        <w:pStyle w:val="Textoindependiente"/>
        <w:numPr>
          <w:ilvl w:val="1"/>
          <w:numId w:val="13"/>
        </w:numPr>
        <w:spacing w:line="276" w:lineRule="auto"/>
        <w:ind w:right="-93"/>
        <w:contextualSpacing/>
        <w:rPr>
          <w:iCs/>
          <w:color w:val="000000" w:themeColor="text1"/>
          <w:szCs w:val="24"/>
        </w:rPr>
      </w:pPr>
      <w:r>
        <w:rPr>
          <w:iCs/>
          <w:color w:val="000000" w:themeColor="text1"/>
          <w:szCs w:val="24"/>
        </w:rPr>
        <w:t xml:space="preserve">De acreditarse los supuestos fácticos para declarar la ineficacia o nulidad del acto de traslado al RAIS, habría lugar a efectuar la declaración correspondiente a pesar de que COLPENSIONES </w:t>
      </w:r>
      <w:r w:rsidR="009B2293">
        <w:rPr>
          <w:iCs/>
          <w:color w:val="000000" w:themeColor="text1"/>
          <w:szCs w:val="24"/>
        </w:rPr>
        <w:t xml:space="preserve">le reconoció </w:t>
      </w:r>
      <w:r>
        <w:rPr>
          <w:iCs/>
          <w:color w:val="000000" w:themeColor="text1"/>
          <w:szCs w:val="24"/>
        </w:rPr>
        <w:t xml:space="preserve">a la actora </w:t>
      </w:r>
      <w:r w:rsidR="009B2293">
        <w:rPr>
          <w:iCs/>
          <w:color w:val="000000" w:themeColor="text1"/>
          <w:szCs w:val="24"/>
        </w:rPr>
        <w:t>la pensión de vejez de</w:t>
      </w:r>
      <w:r>
        <w:rPr>
          <w:iCs/>
          <w:color w:val="000000" w:themeColor="text1"/>
          <w:szCs w:val="24"/>
        </w:rPr>
        <w:t>sde el año 2014</w:t>
      </w:r>
      <w:proofErr w:type="gramStart"/>
      <w:r w:rsidR="009B2293" w:rsidRPr="009B2293">
        <w:rPr>
          <w:iCs/>
          <w:color w:val="000000" w:themeColor="text1"/>
          <w:szCs w:val="24"/>
        </w:rPr>
        <w:t>?</w:t>
      </w:r>
      <w:proofErr w:type="gramEnd"/>
    </w:p>
    <w:p w:rsidR="002D297D" w:rsidRDefault="002D297D" w:rsidP="002D297D">
      <w:pPr>
        <w:pStyle w:val="Textoindependiente"/>
        <w:spacing w:line="276" w:lineRule="auto"/>
        <w:ind w:left="720" w:right="-93"/>
        <w:contextualSpacing/>
        <w:rPr>
          <w:iCs/>
          <w:color w:val="000000" w:themeColor="text1"/>
          <w:szCs w:val="24"/>
        </w:rPr>
      </w:pPr>
    </w:p>
    <w:p w:rsidR="002D297D" w:rsidRPr="009B2293" w:rsidRDefault="002D297D" w:rsidP="002D297D">
      <w:pPr>
        <w:pStyle w:val="Textoindependiente"/>
        <w:spacing w:line="276" w:lineRule="auto"/>
        <w:ind w:left="720" w:right="-93"/>
        <w:contextualSpacing/>
        <w:rPr>
          <w:iCs/>
          <w:color w:val="000000" w:themeColor="text1"/>
          <w:szCs w:val="24"/>
        </w:rPr>
      </w:pPr>
      <w:r>
        <w:rPr>
          <w:iCs/>
          <w:color w:val="000000" w:themeColor="text1"/>
          <w:szCs w:val="24"/>
        </w:rPr>
        <w:t xml:space="preserve">Dicho en otros términos, ¿se encuentra legitimada por activa la señora </w:t>
      </w:r>
      <w:r w:rsidR="00C2188B">
        <w:rPr>
          <w:iCs/>
          <w:color w:val="000000" w:themeColor="text1"/>
          <w:szCs w:val="24"/>
        </w:rPr>
        <w:t>Elizabeth Reina Castaño</w:t>
      </w:r>
      <w:r>
        <w:rPr>
          <w:iCs/>
          <w:color w:val="000000" w:themeColor="text1"/>
          <w:szCs w:val="24"/>
        </w:rPr>
        <w:t xml:space="preserve"> en su condición de pensionada para solicitar </w:t>
      </w:r>
      <w:r w:rsidR="00BD47D3">
        <w:rPr>
          <w:iCs/>
          <w:color w:val="000000" w:themeColor="text1"/>
          <w:szCs w:val="24"/>
        </w:rPr>
        <w:t>la ineficacia o nulidad del traslado al RAIS</w:t>
      </w:r>
      <w:r>
        <w:rPr>
          <w:iCs/>
          <w:color w:val="000000" w:themeColor="text1"/>
          <w:szCs w:val="24"/>
        </w:rPr>
        <w:t>?</w:t>
      </w:r>
    </w:p>
    <w:p w:rsidR="004972EC" w:rsidRPr="007F2FCF" w:rsidRDefault="004972EC" w:rsidP="004972EC">
      <w:pPr>
        <w:pStyle w:val="Textoindependiente"/>
        <w:ind w:right="51"/>
        <w:rPr>
          <w:b/>
          <w:iCs/>
          <w:color w:val="000000" w:themeColor="text1"/>
          <w:szCs w:val="24"/>
        </w:rPr>
      </w:pPr>
    </w:p>
    <w:p w:rsidR="004972EC" w:rsidRPr="007F2FCF" w:rsidRDefault="004972EC" w:rsidP="004972EC">
      <w:pPr>
        <w:pStyle w:val="Textoindependiente"/>
        <w:spacing w:line="276" w:lineRule="auto"/>
        <w:contextualSpacing/>
        <w:rPr>
          <w:b/>
          <w:iCs/>
          <w:color w:val="000000" w:themeColor="text1"/>
          <w:szCs w:val="24"/>
        </w:rPr>
      </w:pPr>
      <w:r>
        <w:rPr>
          <w:b/>
          <w:iCs/>
          <w:color w:val="000000" w:themeColor="text1"/>
          <w:szCs w:val="24"/>
        </w:rPr>
        <w:t>2. Solución al problema jurídico</w:t>
      </w:r>
      <w:r w:rsidRPr="007F2FCF">
        <w:rPr>
          <w:b/>
          <w:iCs/>
          <w:color w:val="000000" w:themeColor="text1"/>
          <w:szCs w:val="24"/>
        </w:rPr>
        <w:t xml:space="preserve"> </w:t>
      </w:r>
    </w:p>
    <w:p w:rsidR="004972EC" w:rsidRPr="007F2FCF" w:rsidRDefault="004972EC" w:rsidP="004972EC">
      <w:pPr>
        <w:pStyle w:val="Textoindependiente"/>
        <w:spacing w:line="276" w:lineRule="auto"/>
        <w:ind w:left="390"/>
        <w:contextualSpacing/>
        <w:rPr>
          <w:b/>
          <w:iCs/>
          <w:color w:val="000000" w:themeColor="text1"/>
          <w:szCs w:val="24"/>
        </w:rPr>
      </w:pPr>
    </w:p>
    <w:p w:rsidR="004972EC" w:rsidRDefault="004972EC" w:rsidP="004972EC">
      <w:pPr>
        <w:pStyle w:val="Textoindependiente"/>
        <w:ind w:right="51"/>
        <w:rPr>
          <w:b/>
          <w:iCs/>
          <w:color w:val="000000" w:themeColor="text1"/>
          <w:szCs w:val="24"/>
        </w:rPr>
      </w:pPr>
      <w:r w:rsidRPr="007F2FCF">
        <w:rPr>
          <w:b/>
          <w:iCs/>
          <w:color w:val="000000" w:themeColor="text1"/>
          <w:szCs w:val="24"/>
        </w:rPr>
        <w:t xml:space="preserve">2.1. </w:t>
      </w:r>
      <w:r w:rsidR="00707BED">
        <w:rPr>
          <w:b/>
          <w:iCs/>
          <w:color w:val="000000" w:themeColor="text1"/>
          <w:szCs w:val="24"/>
        </w:rPr>
        <w:t>Ineficacia del t</w:t>
      </w:r>
      <w:r w:rsidR="009B2293">
        <w:rPr>
          <w:b/>
          <w:iCs/>
          <w:color w:val="000000" w:themeColor="text1"/>
          <w:szCs w:val="24"/>
        </w:rPr>
        <w:t xml:space="preserve">raslado </w:t>
      </w:r>
      <w:r w:rsidR="00707BED">
        <w:rPr>
          <w:b/>
          <w:iCs/>
          <w:color w:val="000000" w:themeColor="text1"/>
          <w:szCs w:val="24"/>
        </w:rPr>
        <w:t>y sus efectos</w:t>
      </w:r>
      <w:r w:rsidRPr="007F2FCF">
        <w:rPr>
          <w:b/>
          <w:iCs/>
          <w:color w:val="000000" w:themeColor="text1"/>
          <w:szCs w:val="24"/>
        </w:rPr>
        <w:t>.</w:t>
      </w:r>
    </w:p>
    <w:p w:rsidR="004972EC" w:rsidRDefault="004972EC" w:rsidP="004972EC">
      <w:pPr>
        <w:pStyle w:val="Textoindependiente"/>
        <w:ind w:right="51"/>
        <w:rPr>
          <w:b/>
          <w:iCs/>
          <w:color w:val="000000" w:themeColor="text1"/>
          <w:szCs w:val="24"/>
        </w:rPr>
      </w:pPr>
    </w:p>
    <w:p w:rsidR="004972EC" w:rsidRPr="007F2FCF" w:rsidRDefault="004972EC" w:rsidP="004972EC">
      <w:pPr>
        <w:pStyle w:val="Textoindependiente"/>
        <w:ind w:right="51"/>
        <w:rPr>
          <w:b/>
          <w:iCs/>
          <w:color w:val="000000" w:themeColor="text1"/>
          <w:szCs w:val="24"/>
        </w:rPr>
      </w:pPr>
      <w:r w:rsidRPr="007F2FCF">
        <w:rPr>
          <w:b/>
          <w:iCs/>
          <w:color w:val="000000" w:themeColor="text1"/>
          <w:szCs w:val="24"/>
        </w:rPr>
        <w:t>2.1.1. Fundamento jurídico</w:t>
      </w:r>
    </w:p>
    <w:p w:rsidR="008D6CEB" w:rsidRDefault="008D6CEB" w:rsidP="00707BED">
      <w:pPr>
        <w:pStyle w:val="Textoindependiente"/>
        <w:spacing w:line="276" w:lineRule="auto"/>
        <w:ind w:right="51"/>
        <w:contextualSpacing/>
        <w:rPr>
          <w:iCs/>
          <w:szCs w:val="24"/>
        </w:rPr>
      </w:pPr>
    </w:p>
    <w:p w:rsidR="00707BED" w:rsidRDefault="00707BED" w:rsidP="00707BED">
      <w:pPr>
        <w:pStyle w:val="Textoindependiente"/>
        <w:spacing w:line="276" w:lineRule="auto"/>
        <w:ind w:right="51"/>
        <w:contextualSpacing/>
        <w:rPr>
          <w:iCs/>
          <w:szCs w:val="24"/>
        </w:rPr>
      </w:pPr>
      <w:r>
        <w:rPr>
          <w:iCs/>
          <w:szCs w:val="24"/>
        </w:rPr>
        <w:t xml:space="preserve">El  artículo 13 de la Ley 100 de 1993, en su literal b) señala que la escogencia de cualquiera de los regímenes contemplados es libre y voluntaria por parte del </w:t>
      </w:r>
      <w:r w:rsidRPr="00707BED">
        <w:rPr>
          <w:b/>
          <w:iCs/>
          <w:szCs w:val="24"/>
        </w:rPr>
        <w:t>afiliado;</w:t>
      </w:r>
      <w:r>
        <w:rPr>
          <w:iCs/>
          <w:szCs w:val="24"/>
        </w:rPr>
        <w:t xml:space="preserve"> consentimiento que se manifiesta por escrito al momento del diligenciamiento de la vinculación o traslado, situación que de desconocerse acarrea las sanciones previstas en el inciso 1º del artículo 271 </w:t>
      </w:r>
      <w:r w:rsidRPr="00197E94">
        <w:rPr>
          <w:i/>
          <w:iCs/>
          <w:szCs w:val="24"/>
        </w:rPr>
        <w:t>ibídem</w:t>
      </w:r>
      <w:r>
        <w:rPr>
          <w:iCs/>
          <w:szCs w:val="24"/>
        </w:rPr>
        <w:t xml:space="preserve">, consistentes en multas </w:t>
      </w:r>
      <w:r w:rsidRPr="009B1BC7">
        <w:rPr>
          <w:iCs/>
          <w:szCs w:val="24"/>
        </w:rPr>
        <w:t xml:space="preserve">pecuniarias y dejar sin </w:t>
      </w:r>
      <w:r w:rsidRPr="009B1BC7">
        <w:rPr>
          <w:iCs/>
          <w:szCs w:val="24"/>
        </w:rPr>
        <w:lastRenderedPageBreak/>
        <w:t>efecto la afiliación, la</w:t>
      </w:r>
      <w:r>
        <w:rPr>
          <w:iCs/>
          <w:szCs w:val="24"/>
        </w:rPr>
        <w:t xml:space="preserve"> que </w:t>
      </w:r>
      <w:r w:rsidRPr="000766DA">
        <w:rPr>
          <w:iCs/>
          <w:szCs w:val="24"/>
        </w:rPr>
        <w:t>podrá realizarse nuevamente en forma libre y espontánea</w:t>
      </w:r>
      <w:r>
        <w:rPr>
          <w:iCs/>
          <w:szCs w:val="24"/>
        </w:rPr>
        <w:t xml:space="preserve"> por</w:t>
      </w:r>
      <w:r w:rsidRPr="000766DA">
        <w:rPr>
          <w:iCs/>
          <w:szCs w:val="24"/>
        </w:rPr>
        <w:t xml:space="preserve"> el trabajador.</w:t>
      </w:r>
    </w:p>
    <w:p w:rsidR="00707BED" w:rsidRDefault="00707BED" w:rsidP="004972EC">
      <w:pPr>
        <w:pStyle w:val="Textoindependiente"/>
        <w:spacing w:line="276" w:lineRule="auto"/>
        <w:ind w:right="51"/>
        <w:contextualSpacing/>
        <w:rPr>
          <w:iCs/>
          <w:szCs w:val="24"/>
        </w:rPr>
      </w:pPr>
    </w:p>
    <w:p w:rsidR="00707BED" w:rsidRDefault="00707BED" w:rsidP="00707BED">
      <w:pPr>
        <w:pStyle w:val="Textoindependiente"/>
        <w:spacing w:line="276" w:lineRule="auto"/>
        <w:contextualSpacing/>
        <w:rPr>
          <w:iCs/>
          <w:szCs w:val="24"/>
        </w:rPr>
      </w:pPr>
      <w:r>
        <w:rPr>
          <w:iCs/>
          <w:color w:val="000000" w:themeColor="text1"/>
          <w:szCs w:val="24"/>
        </w:rPr>
        <w:t xml:space="preserve">Dicho en otros términos, de prosperar la declaratoria de ineficacia del acto jurídico de afiliación al RAIS, </w:t>
      </w:r>
      <w:r w:rsidRPr="00E74327">
        <w:rPr>
          <w:szCs w:val="24"/>
          <w:lang w:eastAsia="es-CO"/>
        </w:rPr>
        <w:t>implica</w:t>
      </w:r>
      <w:r>
        <w:rPr>
          <w:szCs w:val="24"/>
          <w:lang w:eastAsia="es-CO"/>
        </w:rPr>
        <w:t>ría</w:t>
      </w:r>
      <w:r w:rsidRPr="00E74327">
        <w:rPr>
          <w:szCs w:val="24"/>
          <w:lang w:eastAsia="es-CO"/>
        </w:rPr>
        <w:t xml:space="preserve"> que</w:t>
      </w:r>
      <w:r w:rsidRPr="00E74327">
        <w:rPr>
          <w:iCs/>
          <w:szCs w:val="24"/>
        </w:rPr>
        <w:t xml:space="preserve"> </w:t>
      </w:r>
      <w:r w:rsidR="00A27753">
        <w:rPr>
          <w:iCs/>
          <w:szCs w:val="24"/>
        </w:rPr>
        <w:t xml:space="preserve">esta </w:t>
      </w:r>
      <w:r w:rsidRPr="00E74327">
        <w:rPr>
          <w:iCs/>
          <w:szCs w:val="24"/>
        </w:rPr>
        <w:t xml:space="preserve">no </w:t>
      </w:r>
      <w:r>
        <w:rPr>
          <w:iCs/>
          <w:szCs w:val="24"/>
        </w:rPr>
        <w:t xml:space="preserve">produjo </w:t>
      </w:r>
      <w:r w:rsidRPr="00E74327">
        <w:rPr>
          <w:iCs/>
          <w:szCs w:val="24"/>
        </w:rPr>
        <w:t xml:space="preserve">ningún efecto </w:t>
      </w:r>
      <w:r>
        <w:rPr>
          <w:iCs/>
          <w:szCs w:val="24"/>
        </w:rPr>
        <w:t>y/</w:t>
      </w:r>
      <w:r w:rsidR="00A27753">
        <w:rPr>
          <w:iCs/>
          <w:szCs w:val="24"/>
        </w:rPr>
        <w:t>o se torna</w:t>
      </w:r>
      <w:r w:rsidRPr="00E74327">
        <w:rPr>
          <w:iCs/>
          <w:szCs w:val="24"/>
        </w:rPr>
        <w:t xml:space="preserve"> inexistente y que</w:t>
      </w:r>
      <w:r w:rsidRPr="00E74327">
        <w:rPr>
          <w:szCs w:val="24"/>
          <w:lang w:eastAsia="es-CO"/>
        </w:rPr>
        <w:t xml:space="preserve"> el </w:t>
      </w:r>
      <w:r w:rsidRPr="00707BED">
        <w:rPr>
          <w:b/>
          <w:szCs w:val="24"/>
          <w:lang w:eastAsia="es-CO"/>
        </w:rPr>
        <w:t>afiliado</w:t>
      </w:r>
      <w:r>
        <w:rPr>
          <w:szCs w:val="24"/>
          <w:lang w:eastAsia="es-CO"/>
        </w:rPr>
        <w:t>,</w:t>
      </w:r>
      <w:r w:rsidRPr="00E74327">
        <w:rPr>
          <w:szCs w:val="24"/>
          <w:lang w:eastAsia="es-CO"/>
        </w:rPr>
        <w:t xml:space="preserve"> en consecuencia</w:t>
      </w:r>
      <w:r>
        <w:rPr>
          <w:szCs w:val="24"/>
          <w:lang w:eastAsia="es-CO"/>
        </w:rPr>
        <w:t>,</w:t>
      </w:r>
      <w:r w:rsidRPr="00E74327">
        <w:rPr>
          <w:szCs w:val="24"/>
          <w:lang w:eastAsia="es-CO"/>
        </w:rPr>
        <w:t xml:space="preserve"> </w:t>
      </w:r>
      <w:r>
        <w:rPr>
          <w:iCs/>
          <w:szCs w:val="24"/>
        </w:rPr>
        <w:t xml:space="preserve">puede </w:t>
      </w:r>
      <w:r w:rsidRPr="00E74327">
        <w:rPr>
          <w:iCs/>
          <w:szCs w:val="24"/>
        </w:rPr>
        <w:t xml:space="preserve">ejercer, sin ninguna restricción, su derecho a la libre escogencia, bien para continuar en el RPM o seleccionar </w:t>
      </w:r>
      <w:r>
        <w:rPr>
          <w:iCs/>
          <w:szCs w:val="24"/>
        </w:rPr>
        <w:t xml:space="preserve">nuevamente </w:t>
      </w:r>
      <w:r w:rsidRPr="00E74327">
        <w:rPr>
          <w:iCs/>
          <w:szCs w:val="24"/>
        </w:rPr>
        <w:t>al RAIS</w:t>
      </w:r>
      <w:r w:rsidR="00A27753">
        <w:rPr>
          <w:iCs/>
          <w:szCs w:val="24"/>
        </w:rPr>
        <w:t xml:space="preserve"> para continuar estructurando, a través del pago de las cotizaciones respectivas, su derecho pensional.</w:t>
      </w:r>
    </w:p>
    <w:p w:rsidR="00707BED" w:rsidRDefault="00707BED" w:rsidP="00707BED">
      <w:pPr>
        <w:pStyle w:val="Textoindependiente"/>
        <w:spacing w:line="276" w:lineRule="auto"/>
        <w:contextualSpacing/>
        <w:rPr>
          <w:iCs/>
          <w:szCs w:val="24"/>
        </w:rPr>
      </w:pPr>
    </w:p>
    <w:p w:rsidR="003C4BAB" w:rsidRDefault="003C4BAB" w:rsidP="004972EC">
      <w:pPr>
        <w:pStyle w:val="Textoindependiente"/>
        <w:spacing w:line="276" w:lineRule="auto"/>
        <w:contextualSpacing/>
        <w:rPr>
          <w:b/>
          <w:iCs/>
          <w:color w:val="000000" w:themeColor="text1"/>
          <w:szCs w:val="24"/>
        </w:rPr>
      </w:pPr>
      <w:r>
        <w:rPr>
          <w:b/>
          <w:iCs/>
          <w:color w:val="000000" w:themeColor="text1"/>
          <w:szCs w:val="24"/>
        </w:rPr>
        <w:t>2.2. De la legitimación en la causa</w:t>
      </w:r>
      <w:r w:rsidR="00F9297B">
        <w:rPr>
          <w:b/>
          <w:iCs/>
          <w:color w:val="000000" w:themeColor="text1"/>
          <w:szCs w:val="24"/>
        </w:rPr>
        <w:t xml:space="preserve"> por activa </w:t>
      </w:r>
    </w:p>
    <w:p w:rsidR="003C4BAB" w:rsidRDefault="003C4BAB" w:rsidP="004972EC">
      <w:pPr>
        <w:pStyle w:val="Textoindependiente"/>
        <w:spacing w:line="276" w:lineRule="auto"/>
        <w:contextualSpacing/>
        <w:rPr>
          <w:b/>
          <w:iCs/>
          <w:color w:val="000000" w:themeColor="text1"/>
          <w:szCs w:val="24"/>
        </w:rPr>
      </w:pPr>
    </w:p>
    <w:p w:rsidR="003C4BAB" w:rsidRDefault="00F9297B" w:rsidP="004972EC">
      <w:pPr>
        <w:pStyle w:val="Textoindependiente"/>
        <w:spacing w:line="276" w:lineRule="auto"/>
        <w:contextualSpacing/>
        <w:rPr>
          <w:iCs/>
          <w:color w:val="000000" w:themeColor="text1"/>
          <w:szCs w:val="24"/>
        </w:rPr>
      </w:pPr>
      <w:r>
        <w:rPr>
          <w:iCs/>
          <w:color w:val="000000" w:themeColor="text1"/>
          <w:szCs w:val="24"/>
        </w:rPr>
        <w:t xml:space="preserve">La legitimación en la causa por activa, es entendida como aquella facultad que tiene una persona conforme a la ley sustancial para formular ante un juez </w:t>
      </w:r>
      <w:r w:rsidR="001C2AC2">
        <w:rPr>
          <w:iCs/>
          <w:color w:val="000000" w:themeColor="text1"/>
          <w:szCs w:val="24"/>
        </w:rPr>
        <w:t>el reconocimiento de unas pretensiones, independientemente de que ellas estén lla</w:t>
      </w:r>
      <w:r w:rsidR="009720D5">
        <w:rPr>
          <w:iCs/>
          <w:color w:val="000000" w:themeColor="text1"/>
          <w:szCs w:val="24"/>
        </w:rPr>
        <w:t>madas a prosperar.</w:t>
      </w:r>
    </w:p>
    <w:p w:rsidR="009720D5" w:rsidRDefault="009720D5" w:rsidP="004972EC">
      <w:pPr>
        <w:pStyle w:val="Textoindependiente"/>
        <w:spacing w:line="276" w:lineRule="auto"/>
        <w:contextualSpacing/>
        <w:rPr>
          <w:iCs/>
          <w:color w:val="000000" w:themeColor="text1"/>
          <w:szCs w:val="24"/>
        </w:rPr>
      </w:pPr>
    </w:p>
    <w:p w:rsidR="009720D5" w:rsidRDefault="009720D5" w:rsidP="004972EC">
      <w:pPr>
        <w:pStyle w:val="Textoindependiente"/>
        <w:spacing w:line="276" w:lineRule="auto"/>
        <w:contextualSpacing/>
        <w:rPr>
          <w:iCs/>
          <w:color w:val="000000" w:themeColor="text1"/>
          <w:szCs w:val="24"/>
        </w:rPr>
      </w:pPr>
      <w:r>
        <w:rPr>
          <w:iCs/>
          <w:color w:val="000000" w:themeColor="text1"/>
          <w:szCs w:val="24"/>
        </w:rPr>
        <w:t>Al respecto, la Corte Suprema de Justicia – Sala Civil, ha indicado</w:t>
      </w:r>
      <w:r w:rsidR="005B3027">
        <w:rPr>
          <w:rStyle w:val="Refdenotaalpie"/>
          <w:iCs/>
          <w:color w:val="000000" w:themeColor="text1"/>
          <w:szCs w:val="24"/>
        </w:rPr>
        <w:footnoteReference w:id="1"/>
      </w:r>
      <w:r>
        <w:rPr>
          <w:iCs/>
          <w:color w:val="000000" w:themeColor="text1"/>
          <w:szCs w:val="24"/>
        </w:rPr>
        <w:t xml:space="preserve">: </w:t>
      </w:r>
    </w:p>
    <w:p w:rsidR="009720D5" w:rsidRDefault="009720D5" w:rsidP="004972EC">
      <w:pPr>
        <w:pStyle w:val="Textoindependiente"/>
        <w:spacing w:line="276" w:lineRule="auto"/>
        <w:contextualSpacing/>
        <w:rPr>
          <w:iCs/>
          <w:color w:val="000000" w:themeColor="text1"/>
          <w:szCs w:val="24"/>
        </w:rPr>
      </w:pPr>
    </w:p>
    <w:p w:rsidR="009720D5" w:rsidRPr="008D6CEB" w:rsidRDefault="00D606E2" w:rsidP="008D6CEB">
      <w:pPr>
        <w:tabs>
          <w:tab w:val="left" w:pos="1418"/>
        </w:tabs>
        <w:ind w:left="426" w:right="420"/>
        <w:jc w:val="both"/>
        <w:rPr>
          <w:rFonts w:ascii="Arial" w:hAnsi="Arial" w:cs="Arial"/>
          <w:spacing w:val="-3"/>
          <w:sz w:val="22"/>
          <w:szCs w:val="22"/>
        </w:rPr>
      </w:pPr>
      <w:r w:rsidRPr="008D6CEB">
        <w:rPr>
          <w:rFonts w:ascii="Arial" w:hAnsi="Arial" w:cs="Arial"/>
          <w:i/>
          <w:spacing w:val="-3"/>
          <w:sz w:val="22"/>
          <w:szCs w:val="22"/>
        </w:rPr>
        <w:t>“…</w:t>
      </w:r>
      <w:r w:rsidR="009720D5" w:rsidRPr="008D6CEB">
        <w:rPr>
          <w:rFonts w:ascii="Arial" w:hAnsi="Arial" w:cs="Arial"/>
          <w:i/>
          <w:spacing w:val="-3"/>
          <w:sz w:val="22"/>
          <w:szCs w:val="22"/>
        </w:rPr>
        <w:t xml:space="preserve">la legitimación en la causa es cuestión propia del derecho sustancial y no del procesal, </w:t>
      </w:r>
      <w:r w:rsidR="009720D5" w:rsidRPr="008D6CEB">
        <w:rPr>
          <w:rFonts w:ascii="Arial" w:hAnsi="Arial" w:cs="Arial"/>
          <w:i/>
          <w:spacing w:val="-3"/>
          <w:sz w:val="22"/>
          <w:szCs w:val="22"/>
          <w:u w:val="single"/>
        </w:rPr>
        <w:t>en cuanto concierne con una de las condiciones de prosperidad de la pretensión debatida en el litigio</w:t>
      </w:r>
      <w:r w:rsidR="009720D5" w:rsidRPr="008D6CEB">
        <w:rPr>
          <w:rFonts w:ascii="Arial" w:hAnsi="Arial" w:cs="Arial"/>
          <w:i/>
          <w:spacing w:val="-3"/>
          <w:sz w:val="22"/>
          <w:szCs w:val="22"/>
        </w:rPr>
        <w:t xml:space="preserve">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8D6CEB">
        <w:rPr>
          <w:rFonts w:ascii="Arial" w:hAnsi="Arial" w:cs="Arial"/>
          <w:spacing w:val="-3"/>
          <w:sz w:val="22"/>
          <w:szCs w:val="22"/>
        </w:rPr>
        <w:t>.</w:t>
      </w:r>
    </w:p>
    <w:p w:rsidR="00D606E2" w:rsidRDefault="00D606E2" w:rsidP="00D606E2">
      <w:pPr>
        <w:tabs>
          <w:tab w:val="left" w:pos="1418"/>
        </w:tabs>
        <w:jc w:val="both"/>
        <w:rPr>
          <w:iCs/>
          <w:color w:val="000000" w:themeColor="text1"/>
          <w:szCs w:val="24"/>
        </w:rPr>
      </w:pPr>
    </w:p>
    <w:p w:rsidR="00D606E2" w:rsidRPr="00D606E2" w:rsidRDefault="00D606E2" w:rsidP="00D606E2">
      <w:pPr>
        <w:tabs>
          <w:tab w:val="left" w:pos="1418"/>
        </w:tabs>
        <w:jc w:val="both"/>
        <w:rPr>
          <w:rFonts w:ascii="Arial" w:hAnsi="Arial" w:cs="Arial"/>
          <w:iCs/>
          <w:color w:val="000000" w:themeColor="text1"/>
          <w:szCs w:val="24"/>
        </w:rPr>
      </w:pPr>
      <w:r w:rsidRPr="00D606E2">
        <w:rPr>
          <w:rFonts w:ascii="Arial" w:hAnsi="Arial" w:cs="Arial"/>
          <w:iCs/>
          <w:color w:val="000000" w:themeColor="text1"/>
          <w:szCs w:val="24"/>
        </w:rPr>
        <w:t xml:space="preserve">Y </w:t>
      </w:r>
      <w:r>
        <w:rPr>
          <w:rFonts w:ascii="Arial" w:hAnsi="Arial" w:cs="Arial"/>
          <w:iCs/>
          <w:color w:val="000000" w:themeColor="text1"/>
          <w:szCs w:val="24"/>
        </w:rPr>
        <w:t>en otra oportunidad, expresó</w:t>
      </w:r>
      <w:r>
        <w:rPr>
          <w:rStyle w:val="Refdenotaalpie"/>
          <w:rFonts w:ascii="Arial" w:hAnsi="Arial" w:cs="Arial"/>
          <w:iCs/>
          <w:color w:val="000000" w:themeColor="text1"/>
          <w:szCs w:val="24"/>
        </w:rPr>
        <w:footnoteReference w:id="2"/>
      </w:r>
      <w:r w:rsidRPr="00D606E2">
        <w:rPr>
          <w:rFonts w:ascii="Arial" w:hAnsi="Arial" w:cs="Arial"/>
          <w:iCs/>
          <w:color w:val="000000" w:themeColor="text1"/>
          <w:szCs w:val="24"/>
        </w:rPr>
        <w:t xml:space="preserve">: </w:t>
      </w:r>
    </w:p>
    <w:p w:rsidR="00D606E2" w:rsidRDefault="00D606E2" w:rsidP="00D606E2">
      <w:pPr>
        <w:tabs>
          <w:tab w:val="left" w:pos="1418"/>
        </w:tabs>
        <w:jc w:val="both"/>
        <w:rPr>
          <w:iCs/>
          <w:color w:val="000000" w:themeColor="text1"/>
          <w:szCs w:val="24"/>
        </w:rPr>
      </w:pPr>
    </w:p>
    <w:p w:rsidR="00D606E2" w:rsidRPr="00D606E2" w:rsidRDefault="00D606E2" w:rsidP="008D6CEB">
      <w:pPr>
        <w:tabs>
          <w:tab w:val="left" w:pos="1418"/>
        </w:tabs>
        <w:ind w:left="426" w:right="420"/>
        <w:jc w:val="both"/>
        <w:rPr>
          <w:rFonts w:ascii="Arial" w:hAnsi="Arial" w:cs="Arial"/>
          <w:i/>
          <w:sz w:val="22"/>
          <w:szCs w:val="22"/>
        </w:rPr>
      </w:pPr>
      <w:r w:rsidRPr="00D606E2">
        <w:rPr>
          <w:rFonts w:ascii="Arial" w:hAnsi="Arial" w:cs="Arial"/>
          <w:i/>
          <w:sz w:val="22"/>
          <w:szCs w:val="22"/>
        </w:rPr>
        <w:t>“</w:t>
      </w:r>
      <w:r w:rsidRPr="00D606E2">
        <w:rPr>
          <w:rFonts w:ascii="Arial" w:hAnsi="Arial" w:cs="Arial"/>
          <w:i/>
          <w:iCs/>
          <w:sz w:val="22"/>
          <w:szCs w:val="22"/>
        </w:rPr>
        <w:t xml:space="preserve">la legitimación en la causa, bien por activa o por pasiva, </w:t>
      </w:r>
      <w:r w:rsidRPr="00D606E2">
        <w:rPr>
          <w:rFonts w:ascii="Arial" w:hAnsi="Arial" w:cs="Arial"/>
          <w:i/>
          <w:iCs/>
          <w:sz w:val="22"/>
          <w:szCs w:val="22"/>
          <w:u w:val="single"/>
        </w:rPr>
        <w:t>no es una excepción</w:t>
      </w:r>
      <w:r w:rsidRPr="00D606E2">
        <w:rPr>
          <w:rFonts w:ascii="Arial" w:hAnsi="Arial" w:cs="Arial"/>
          <w:i/>
          <w:iCs/>
          <w:sz w:val="22"/>
          <w:szCs w:val="22"/>
        </w:rPr>
        <w:t xml:space="preserve"> sino que es </w:t>
      </w:r>
      <w:r w:rsidRPr="00D606E2">
        <w:rPr>
          <w:rFonts w:ascii="Arial" w:hAnsi="Arial" w:cs="Arial"/>
          <w:i/>
          <w:iCs/>
          <w:sz w:val="22"/>
          <w:szCs w:val="22"/>
          <w:u w:val="single"/>
        </w:rPr>
        <w:t>uno de los requisitos necesarios e imprescindibles para que se pueda dictar providencia de mérito, ora favorable al actor o bien desechando sus pedimentos</w:t>
      </w:r>
      <w:r w:rsidRPr="00D606E2">
        <w:rPr>
          <w:rFonts w:ascii="Arial" w:hAnsi="Arial" w:cs="Arial"/>
          <w:i/>
          <w:iCs/>
          <w:sz w:val="22"/>
          <w:szCs w:val="22"/>
        </w:rPr>
        <w:t>, porque entendida ésta ‘</w:t>
      </w:r>
      <w:r w:rsidRPr="00D606E2">
        <w:rPr>
          <w:rFonts w:ascii="Arial" w:hAnsi="Arial" w:cs="Arial"/>
          <w:i/>
          <w:sz w:val="22"/>
          <w:szCs w:val="22"/>
        </w:rPr>
        <w:t xml:space="preserve">como la designación legal de los sujetos del proceso para disputar el derecho debatido ante la jurisdicción, constituye uno de los presupuestos requeridos para dictar sentencia de fondo, sea estimatoria o desestimatoria. Y en caso de no advertirla el juez en la parte activa, en la pasiva o en ambas, deviene ineluctablemente, sin necesidad de mediar ningún otro análisis, la expedición de un fallo absolutorio; </w:t>
      </w:r>
      <w:r w:rsidRPr="00D606E2">
        <w:rPr>
          <w:rFonts w:ascii="Arial" w:hAnsi="Arial" w:cs="Arial"/>
          <w:i/>
          <w:sz w:val="22"/>
          <w:szCs w:val="22"/>
          <w:u w:val="single"/>
        </w:rPr>
        <w:t>de allí que se imponga examinar de entrada la legitimación que le asiste a la parte demandante para formular la pretensión’</w:t>
      </w:r>
      <w:r w:rsidRPr="00D606E2">
        <w:rPr>
          <w:rFonts w:ascii="Arial" w:hAnsi="Arial" w:cs="Arial"/>
          <w:i/>
          <w:sz w:val="22"/>
          <w:szCs w:val="22"/>
        </w:rPr>
        <w:t>.</w:t>
      </w:r>
    </w:p>
    <w:p w:rsidR="001529DF" w:rsidRDefault="001529DF" w:rsidP="004972EC">
      <w:pPr>
        <w:ind w:right="333"/>
        <w:jc w:val="both"/>
        <w:rPr>
          <w:rFonts w:ascii="Arial" w:eastAsiaTheme="minorHAnsi" w:hAnsi="Arial" w:cs="Arial"/>
          <w:iCs/>
          <w:szCs w:val="24"/>
        </w:rPr>
      </w:pPr>
    </w:p>
    <w:p w:rsidR="004972EC" w:rsidRDefault="004972EC" w:rsidP="004972EC">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F327D1" w:rsidRDefault="00F327D1" w:rsidP="004972EC">
      <w:pPr>
        <w:pStyle w:val="Textoindependiente"/>
        <w:tabs>
          <w:tab w:val="left" w:pos="2930"/>
        </w:tabs>
        <w:spacing w:line="276" w:lineRule="auto"/>
        <w:rPr>
          <w:b/>
          <w:color w:val="000000"/>
          <w:szCs w:val="24"/>
          <w:shd w:val="clear" w:color="auto" w:fill="FFFFFF"/>
          <w:lang w:val="es-ES"/>
        </w:rPr>
      </w:pPr>
    </w:p>
    <w:p w:rsidR="000D290D" w:rsidRDefault="00F327D1" w:rsidP="004972EC">
      <w:pPr>
        <w:pStyle w:val="Textoindependiente"/>
        <w:tabs>
          <w:tab w:val="left" w:pos="2930"/>
        </w:tabs>
        <w:spacing w:line="276" w:lineRule="auto"/>
        <w:rPr>
          <w:color w:val="000000"/>
          <w:szCs w:val="24"/>
          <w:shd w:val="clear" w:color="auto" w:fill="FFFFFF"/>
          <w:lang w:val="es-ES"/>
        </w:rPr>
      </w:pPr>
      <w:r>
        <w:rPr>
          <w:color w:val="000000"/>
          <w:szCs w:val="24"/>
          <w:shd w:val="clear" w:color="auto" w:fill="FFFFFF"/>
          <w:lang w:val="es-ES"/>
        </w:rPr>
        <w:t xml:space="preserve">Conforme se manifestó en el libelo </w:t>
      </w:r>
      <w:r w:rsidR="00BD47D3">
        <w:rPr>
          <w:i/>
          <w:color w:val="000000"/>
          <w:szCs w:val="24"/>
          <w:shd w:val="clear" w:color="auto" w:fill="FFFFFF"/>
          <w:lang w:val="es-ES"/>
        </w:rPr>
        <w:t>–hecho 27</w:t>
      </w:r>
      <w:r w:rsidRPr="00F327D1">
        <w:rPr>
          <w:i/>
          <w:color w:val="000000"/>
          <w:szCs w:val="24"/>
          <w:shd w:val="clear" w:color="auto" w:fill="FFFFFF"/>
          <w:lang w:val="es-ES"/>
        </w:rPr>
        <w:t>-</w:t>
      </w:r>
      <w:r>
        <w:rPr>
          <w:color w:val="000000"/>
          <w:szCs w:val="24"/>
          <w:shd w:val="clear" w:color="auto" w:fill="FFFFFF"/>
          <w:lang w:val="es-ES"/>
        </w:rPr>
        <w:t xml:space="preserve">, a la señora </w:t>
      </w:r>
      <w:r w:rsidR="00C2188B">
        <w:rPr>
          <w:color w:val="000000"/>
          <w:szCs w:val="24"/>
          <w:shd w:val="clear" w:color="auto" w:fill="FFFFFF"/>
          <w:lang w:val="es-ES"/>
        </w:rPr>
        <w:t>Elizabeth Reina Castaño</w:t>
      </w:r>
      <w:r w:rsidR="00BD47D3">
        <w:rPr>
          <w:color w:val="000000"/>
          <w:szCs w:val="24"/>
          <w:shd w:val="clear" w:color="auto" w:fill="FFFFFF"/>
          <w:lang w:val="es-ES"/>
        </w:rPr>
        <w:t xml:space="preserve"> le fue reconocida la pensión de vejez por parte de Colpensiones y a través de la Resolución Nº </w:t>
      </w:r>
      <w:proofErr w:type="spellStart"/>
      <w:r w:rsidR="00BD47D3">
        <w:rPr>
          <w:color w:val="000000"/>
          <w:szCs w:val="24"/>
          <w:shd w:val="clear" w:color="auto" w:fill="FFFFFF"/>
          <w:lang w:val="es-ES"/>
        </w:rPr>
        <w:t>GNR</w:t>
      </w:r>
      <w:proofErr w:type="spellEnd"/>
      <w:r w:rsidR="00BD47D3">
        <w:rPr>
          <w:color w:val="000000"/>
          <w:szCs w:val="24"/>
          <w:shd w:val="clear" w:color="auto" w:fill="FFFFFF"/>
          <w:lang w:val="es-ES"/>
        </w:rPr>
        <w:t xml:space="preserve"> 333845</w:t>
      </w:r>
      <w:r>
        <w:rPr>
          <w:color w:val="000000"/>
          <w:szCs w:val="24"/>
          <w:shd w:val="clear" w:color="auto" w:fill="FFFFFF"/>
          <w:lang w:val="es-ES"/>
        </w:rPr>
        <w:t xml:space="preserve"> </w:t>
      </w:r>
      <w:r w:rsidR="00BD47D3">
        <w:rPr>
          <w:color w:val="000000"/>
          <w:szCs w:val="24"/>
          <w:shd w:val="clear" w:color="auto" w:fill="FFFFFF"/>
          <w:lang w:val="es-ES"/>
        </w:rPr>
        <w:t>del 24/09/2012</w:t>
      </w:r>
      <w:r>
        <w:rPr>
          <w:color w:val="000000"/>
          <w:szCs w:val="24"/>
          <w:shd w:val="clear" w:color="auto" w:fill="FFFFFF"/>
          <w:lang w:val="es-ES"/>
        </w:rPr>
        <w:t xml:space="preserve">, supuesto que fue </w:t>
      </w:r>
      <w:r w:rsidR="00863C99">
        <w:rPr>
          <w:color w:val="000000"/>
          <w:szCs w:val="24"/>
          <w:shd w:val="clear" w:color="auto" w:fill="FFFFFF"/>
          <w:lang w:val="es-ES"/>
        </w:rPr>
        <w:t>admitido por esa administradora al momento de contestar la demanda –</w:t>
      </w:r>
      <w:proofErr w:type="spellStart"/>
      <w:r w:rsidR="00863C99">
        <w:rPr>
          <w:color w:val="000000"/>
          <w:szCs w:val="24"/>
          <w:shd w:val="clear" w:color="auto" w:fill="FFFFFF"/>
          <w:lang w:val="es-ES"/>
        </w:rPr>
        <w:t>fl</w:t>
      </w:r>
      <w:proofErr w:type="spellEnd"/>
      <w:r w:rsidR="00863C99">
        <w:rPr>
          <w:color w:val="000000"/>
          <w:szCs w:val="24"/>
          <w:shd w:val="clear" w:color="auto" w:fill="FFFFFF"/>
          <w:lang w:val="es-ES"/>
        </w:rPr>
        <w:t xml:space="preserve">. </w:t>
      </w:r>
      <w:r w:rsidR="00BD47D3">
        <w:rPr>
          <w:color w:val="000000"/>
          <w:szCs w:val="24"/>
          <w:shd w:val="clear" w:color="auto" w:fill="FFFFFF"/>
          <w:lang w:val="es-ES"/>
        </w:rPr>
        <w:t>92</w:t>
      </w:r>
      <w:r w:rsidR="00863C99">
        <w:rPr>
          <w:color w:val="000000"/>
          <w:szCs w:val="24"/>
          <w:shd w:val="clear" w:color="auto" w:fill="FFFFFF"/>
          <w:lang w:val="es-ES"/>
        </w:rPr>
        <w:t xml:space="preserve">-, amén de que así se logró acreditar documentalmente con </w:t>
      </w:r>
      <w:r w:rsidR="00580299">
        <w:rPr>
          <w:color w:val="000000"/>
          <w:szCs w:val="24"/>
          <w:shd w:val="clear" w:color="auto" w:fill="FFFFFF"/>
          <w:lang w:val="es-ES"/>
        </w:rPr>
        <w:t xml:space="preserve">la copia </w:t>
      </w:r>
      <w:r w:rsidR="00BD47D3">
        <w:rPr>
          <w:color w:val="000000"/>
          <w:szCs w:val="24"/>
          <w:shd w:val="clear" w:color="auto" w:fill="FFFFFF"/>
          <w:lang w:val="es-ES"/>
        </w:rPr>
        <w:t>de dicho acto administrativo obra a folios 54 y s.s.</w:t>
      </w:r>
    </w:p>
    <w:p w:rsidR="000D290D" w:rsidRDefault="000D290D" w:rsidP="004972EC">
      <w:pPr>
        <w:pStyle w:val="Textoindependiente"/>
        <w:tabs>
          <w:tab w:val="left" w:pos="2930"/>
        </w:tabs>
        <w:spacing w:line="276" w:lineRule="auto"/>
        <w:rPr>
          <w:color w:val="000000"/>
          <w:szCs w:val="24"/>
          <w:shd w:val="clear" w:color="auto" w:fill="FFFFFF"/>
          <w:lang w:val="es-ES"/>
        </w:rPr>
      </w:pPr>
    </w:p>
    <w:p w:rsidR="0072470E" w:rsidRDefault="00CC7519" w:rsidP="00D11004">
      <w:pPr>
        <w:pStyle w:val="Textoindependiente"/>
        <w:tabs>
          <w:tab w:val="left" w:pos="2930"/>
        </w:tabs>
        <w:spacing w:line="276" w:lineRule="auto"/>
        <w:rPr>
          <w:szCs w:val="24"/>
        </w:rPr>
      </w:pPr>
      <w:r>
        <w:rPr>
          <w:szCs w:val="24"/>
        </w:rPr>
        <w:t xml:space="preserve">En este orden de ideas, no queda duda de la </w:t>
      </w:r>
      <w:r w:rsidR="000D290D">
        <w:rPr>
          <w:szCs w:val="24"/>
        </w:rPr>
        <w:t xml:space="preserve">consolidación del riesgo pensional por vejez en la actora, es decir, de su </w:t>
      </w:r>
      <w:r>
        <w:rPr>
          <w:szCs w:val="24"/>
        </w:rPr>
        <w:t>calidad de</w:t>
      </w:r>
      <w:r w:rsidR="00D665B9">
        <w:rPr>
          <w:szCs w:val="24"/>
        </w:rPr>
        <w:t xml:space="preserve"> pensionada la</w:t>
      </w:r>
      <w:r>
        <w:rPr>
          <w:szCs w:val="24"/>
        </w:rPr>
        <w:t xml:space="preserve"> que excluye de entrada la </w:t>
      </w:r>
      <w:r>
        <w:rPr>
          <w:szCs w:val="24"/>
        </w:rPr>
        <w:lastRenderedPageBreak/>
        <w:t xml:space="preserve">condición de afiliada al </w:t>
      </w:r>
      <w:r w:rsidR="00915104">
        <w:rPr>
          <w:szCs w:val="24"/>
        </w:rPr>
        <w:t xml:space="preserve">Sistema General de Pensiones </w:t>
      </w:r>
      <w:r>
        <w:rPr>
          <w:szCs w:val="24"/>
        </w:rPr>
        <w:t xml:space="preserve">que la faculte para </w:t>
      </w:r>
      <w:r w:rsidR="00A27753">
        <w:rPr>
          <w:szCs w:val="24"/>
        </w:rPr>
        <w:t>ejercer su derecho de libre escogencia de régimen pensional</w:t>
      </w:r>
      <w:r w:rsidR="0072470E">
        <w:rPr>
          <w:szCs w:val="24"/>
        </w:rPr>
        <w:t xml:space="preserve">, el que se garantiza con el fin de dotar al afiliado de la posibilidad de determinar las características particulares de cada uno de ellos, cuál le resulta más favorable para su expectativa pensional. </w:t>
      </w:r>
    </w:p>
    <w:p w:rsidR="0072470E" w:rsidRDefault="0072470E" w:rsidP="00D11004">
      <w:pPr>
        <w:pStyle w:val="Textoindependiente"/>
        <w:tabs>
          <w:tab w:val="left" w:pos="2930"/>
        </w:tabs>
        <w:spacing w:line="276" w:lineRule="auto"/>
        <w:rPr>
          <w:szCs w:val="24"/>
        </w:rPr>
      </w:pPr>
    </w:p>
    <w:p w:rsidR="00111BE3" w:rsidRDefault="00FE7E1D" w:rsidP="004972EC">
      <w:pPr>
        <w:pStyle w:val="Textoindependiente"/>
        <w:tabs>
          <w:tab w:val="left" w:pos="2930"/>
        </w:tabs>
        <w:spacing w:line="276" w:lineRule="auto"/>
        <w:rPr>
          <w:szCs w:val="24"/>
        </w:rPr>
      </w:pPr>
      <w:r>
        <w:rPr>
          <w:szCs w:val="24"/>
        </w:rPr>
        <w:t xml:space="preserve">Por lo tanto, se evidencia la ausencia de legitimación en la causa de la señora </w:t>
      </w:r>
      <w:r w:rsidR="00C2188B">
        <w:rPr>
          <w:szCs w:val="24"/>
        </w:rPr>
        <w:t>Elizabeth Reina Castaño</w:t>
      </w:r>
      <w:r>
        <w:rPr>
          <w:szCs w:val="24"/>
        </w:rPr>
        <w:t>, de tal manera que la decisión de la funcionaria de primer grado no podía ser otra a la de denegar las pretensiones que le fueran solicitadas, como en efecto lo hizo</w:t>
      </w:r>
      <w:r w:rsidR="00C21DA2">
        <w:rPr>
          <w:szCs w:val="24"/>
        </w:rPr>
        <w:t xml:space="preserve">, </w:t>
      </w:r>
      <w:r w:rsidR="00580299" w:rsidRPr="00580299">
        <w:rPr>
          <w:szCs w:val="24"/>
        </w:rPr>
        <w:t>pero no por los razones que allí aduce.</w:t>
      </w:r>
    </w:p>
    <w:p w:rsidR="00111BE3" w:rsidRDefault="00111BE3" w:rsidP="004972EC">
      <w:pPr>
        <w:pStyle w:val="Textoindependiente"/>
        <w:tabs>
          <w:tab w:val="left" w:pos="2930"/>
        </w:tabs>
        <w:spacing w:line="276" w:lineRule="auto"/>
        <w:rPr>
          <w:szCs w:val="24"/>
        </w:rPr>
      </w:pPr>
    </w:p>
    <w:p w:rsidR="00111BE3" w:rsidRDefault="00111BE3" w:rsidP="00111BE3">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r>
        <w:rPr>
          <w:rFonts w:ascii="Arial" w:hAnsi="Arial" w:cs="Arial"/>
          <w:bCs/>
          <w:iCs/>
        </w:rPr>
        <w:t xml:space="preserve">Conforme lo anterior, se torna estéril cualquier análisis </w:t>
      </w:r>
      <w:r w:rsidR="00BC4CF3">
        <w:rPr>
          <w:rFonts w:ascii="Arial" w:hAnsi="Arial" w:cs="Arial"/>
          <w:bCs/>
          <w:iCs/>
        </w:rPr>
        <w:t>d</w:t>
      </w:r>
      <w:r>
        <w:rPr>
          <w:rFonts w:ascii="Arial" w:hAnsi="Arial" w:cs="Arial"/>
          <w:bCs/>
          <w:iCs/>
        </w:rPr>
        <w:t>el cumplimiento</w:t>
      </w:r>
      <w:r w:rsidR="00BC4CF3">
        <w:rPr>
          <w:rFonts w:ascii="Arial" w:hAnsi="Arial" w:cs="Arial"/>
          <w:bCs/>
          <w:iCs/>
        </w:rPr>
        <w:t xml:space="preserve"> </w:t>
      </w:r>
      <w:r w:rsidR="00A27753">
        <w:rPr>
          <w:rFonts w:ascii="Arial" w:hAnsi="Arial" w:cs="Arial"/>
          <w:bCs/>
          <w:iCs/>
        </w:rPr>
        <w:t xml:space="preserve">por parte de la actora de la carga de probar los supuestos de hecho en que basa sus pretensiones de ineficacia o nulidad e incluso, de la posibilidad de recuperar el régimen de transición y la procedencia de acumular los tiempos públicos y privados para efectos de aplicarle el Acuerdo 049/90 para estudiar su derecho pensional; </w:t>
      </w:r>
      <w:r>
        <w:rPr>
          <w:rFonts w:ascii="Arial" w:hAnsi="Arial" w:cs="Arial"/>
          <w:bCs/>
          <w:iCs/>
        </w:rPr>
        <w:t xml:space="preserve">puesto que se está en presencia de la falta de legitimación en la causa por activa, lo que de suyo impone la denegatoria de lo pretendido. </w:t>
      </w:r>
    </w:p>
    <w:p w:rsidR="00B32CB1" w:rsidRDefault="00B32CB1" w:rsidP="00111BE3">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p>
    <w:p w:rsidR="00B32CB1" w:rsidRDefault="00B32CB1" w:rsidP="00B32CB1">
      <w:pPr>
        <w:pStyle w:val="Textoindependiente"/>
        <w:tabs>
          <w:tab w:val="left" w:pos="2930"/>
        </w:tabs>
        <w:spacing w:line="276" w:lineRule="auto"/>
        <w:rPr>
          <w:szCs w:val="24"/>
        </w:rPr>
      </w:pPr>
      <w:r w:rsidRPr="00363507">
        <w:rPr>
          <w:szCs w:val="24"/>
        </w:rPr>
        <w:t>No sobra decir, que</w:t>
      </w:r>
      <w:r>
        <w:rPr>
          <w:szCs w:val="24"/>
        </w:rPr>
        <w:t xml:space="preserve"> la intelección contenida en la sentencia de la CSJ </w:t>
      </w:r>
      <w:proofErr w:type="spellStart"/>
      <w:r>
        <w:rPr>
          <w:szCs w:val="24"/>
        </w:rPr>
        <w:t>SCL</w:t>
      </w:r>
      <w:proofErr w:type="spellEnd"/>
      <w:r>
        <w:rPr>
          <w:szCs w:val="24"/>
        </w:rPr>
        <w:t xml:space="preserve"> con </w:t>
      </w:r>
      <w:r w:rsidRPr="00363507">
        <w:rPr>
          <w:szCs w:val="24"/>
        </w:rPr>
        <w:t xml:space="preserve">radicado </w:t>
      </w:r>
      <w:r>
        <w:rPr>
          <w:szCs w:val="24"/>
        </w:rPr>
        <w:t xml:space="preserve">Nº </w:t>
      </w:r>
      <w:r w:rsidRPr="00363507">
        <w:rPr>
          <w:szCs w:val="24"/>
        </w:rPr>
        <w:t xml:space="preserve">31.989 de 2008, </w:t>
      </w:r>
      <w:r>
        <w:rPr>
          <w:szCs w:val="24"/>
        </w:rPr>
        <w:t xml:space="preserve">constituye </w:t>
      </w:r>
      <w:r w:rsidRPr="00363507">
        <w:rPr>
          <w:szCs w:val="24"/>
        </w:rPr>
        <w:t xml:space="preserve">un caso excepcionalísimo, al ser </w:t>
      </w:r>
      <w:r w:rsidR="00580299">
        <w:rPr>
          <w:szCs w:val="24"/>
        </w:rPr>
        <w:t>el</w:t>
      </w:r>
      <w:r w:rsidRPr="00363507">
        <w:rPr>
          <w:szCs w:val="24"/>
        </w:rPr>
        <w:t xml:space="preserve"> actor una persona que para el momento de la suscripción del formulario</w:t>
      </w:r>
      <w:r w:rsidR="00580299">
        <w:rPr>
          <w:szCs w:val="24"/>
        </w:rPr>
        <w:t xml:space="preserve"> </w:t>
      </w:r>
      <w:r w:rsidR="00C21DA2">
        <w:rPr>
          <w:szCs w:val="24"/>
        </w:rPr>
        <w:t xml:space="preserve">de </w:t>
      </w:r>
      <w:r w:rsidRPr="00363507">
        <w:rPr>
          <w:szCs w:val="24"/>
        </w:rPr>
        <w:t xml:space="preserve">vinculación al  RAIS había cumplido con los requisitos para adquirir su pensión de vejez, bajo el régimen de transición, situación aberrante que no podía mantenerse a pesar de ostentar la condición pensionado, cosa que aquí no sucede; por lo mismo no </w:t>
      </w:r>
      <w:r>
        <w:rPr>
          <w:szCs w:val="24"/>
        </w:rPr>
        <w:t>puede ser considerada para la resolución de</w:t>
      </w:r>
      <w:r w:rsidRPr="00363507">
        <w:rPr>
          <w:szCs w:val="24"/>
        </w:rPr>
        <w:t xml:space="preserve">l presente asunto. </w:t>
      </w:r>
    </w:p>
    <w:p w:rsidR="00362A62" w:rsidRDefault="00362A62" w:rsidP="00B32CB1">
      <w:pPr>
        <w:pStyle w:val="Textoindependiente"/>
        <w:tabs>
          <w:tab w:val="left" w:pos="2930"/>
        </w:tabs>
        <w:spacing w:line="276" w:lineRule="auto"/>
        <w:rPr>
          <w:szCs w:val="24"/>
        </w:rPr>
      </w:pPr>
    </w:p>
    <w:p w:rsidR="00111BE3" w:rsidRDefault="005249FA" w:rsidP="00111BE3">
      <w:pPr>
        <w:pStyle w:val="Textoindependiente"/>
        <w:tabs>
          <w:tab w:val="left" w:pos="2930"/>
        </w:tabs>
        <w:spacing w:line="276" w:lineRule="auto"/>
        <w:rPr>
          <w:szCs w:val="24"/>
        </w:rPr>
      </w:pPr>
      <w:r w:rsidRPr="003A1F9D">
        <w:rPr>
          <w:szCs w:val="24"/>
        </w:rPr>
        <w:t xml:space="preserve">En armonía con lo </w:t>
      </w:r>
      <w:r>
        <w:rPr>
          <w:szCs w:val="24"/>
        </w:rPr>
        <w:t>mencionado</w:t>
      </w:r>
      <w:r w:rsidRPr="003A1F9D">
        <w:rPr>
          <w:szCs w:val="24"/>
        </w:rPr>
        <w:t xml:space="preserve"> </w:t>
      </w:r>
      <w:r w:rsidRPr="00885487">
        <w:rPr>
          <w:szCs w:val="24"/>
        </w:rPr>
        <w:t xml:space="preserve">en precedencia, se </w:t>
      </w:r>
      <w:r w:rsidR="00B54531">
        <w:rPr>
          <w:szCs w:val="24"/>
        </w:rPr>
        <w:t>confirmará en su integridad</w:t>
      </w:r>
      <w:r w:rsidR="005C0019">
        <w:rPr>
          <w:szCs w:val="24"/>
        </w:rPr>
        <w:t xml:space="preserve"> la sentencia revisada</w:t>
      </w:r>
      <w:r w:rsidR="00111BE3">
        <w:rPr>
          <w:szCs w:val="24"/>
        </w:rPr>
        <w:t xml:space="preserve"> </w:t>
      </w:r>
      <w:r w:rsidR="00D665B9">
        <w:rPr>
          <w:szCs w:val="24"/>
        </w:rPr>
        <w:t>pero por razones diferentes</w:t>
      </w:r>
      <w:r w:rsidR="00111BE3">
        <w:rPr>
          <w:szCs w:val="24"/>
        </w:rPr>
        <w:t xml:space="preserve">. </w:t>
      </w:r>
    </w:p>
    <w:p w:rsidR="00111BE3" w:rsidRDefault="00111BE3" w:rsidP="00111BE3">
      <w:pPr>
        <w:pStyle w:val="Textoindependiente"/>
        <w:tabs>
          <w:tab w:val="left" w:pos="2930"/>
        </w:tabs>
        <w:spacing w:line="276" w:lineRule="auto"/>
        <w:rPr>
          <w:szCs w:val="24"/>
        </w:rPr>
      </w:pPr>
    </w:p>
    <w:p w:rsidR="005249FA" w:rsidRDefault="00C90E65" w:rsidP="00C90E65">
      <w:pPr>
        <w:spacing w:line="276" w:lineRule="auto"/>
        <w:jc w:val="both"/>
        <w:rPr>
          <w:rFonts w:ascii="Arial" w:hAnsi="Arial" w:cs="Arial"/>
          <w:szCs w:val="24"/>
        </w:rPr>
      </w:pPr>
      <w:r>
        <w:rPr>
          <w:rFonts w:ascii="Arial" w:hAnsi="Arial" w:cs="Arial"/>
          <w:szCs w:val="24"/>
        </w:rPr>
        <w:t xml:space="preserve">Costas </w:t>
      </w:r>
      <w:r w:rsidR="0007040D">
        <w:rPr>
          <w:rFonts w:ascii="Arial" w:hAnsi="Arial" w:cs="Arial"/>
          <w:szCs w:val="24"/>
        </w:rPr>
        <w:t xml:space="preserve">en esta instancia estarán a cargo de la parte actora y a favor de las accionadas en proporciones iguales, dado el fracaso de su recurso de apelación, conforme los lineamientos del artículo 365 numerales 1 y 3 del C.G.P. </w:t>
      </w:r>
    </w:p>
    <w:p w:rsidR="00C90E65" w:rsidRDefault="00C90E65" w:rsidP="00C90E65">
      <w:pPr>
        <w:spacing w:line="276" w:lineRule="auto"/>
        <w:jc w:val="both"/>
        <w:rPr>
          <w:rFonts w:ascii="Arial" w:hAnsi="Arial" w:cs="Arial"/>
          <w:szCs w:val="24"/>
        </w:rPr>
      </w:pPr>
    </w:p>
    <w:p w:rsidR="00DE60A2" w:rsidRDefault="00DE60A2"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EA5EFB">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421E5A" w:rsidRPr="00D578CB" w:rsidRDefault="00421E5A" w:rsidP="00091124">
      <w:pPr>
        <w:spacing w:line="276" w:lineRule="auto"/>
        <w:jc w:val="center"/>
        <w:rPr>
          <w:rFonts w:ascii="Arial" w:hAnsi="Arial" w:cs="Arial"/>
          <w:b/>
          <w:szCs w:val="24"/>
        </w:rPr>
      </w:pP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B54531">
        <w:rPr>
          <w:rFonts w:ascii="Arial" w:hAnsi="Arial" w:cs="Arial"/>
          <w:b/>
          <w:spacing w:val="-2"/>
          <w:szCs w:val="24"/>
        </w:rPr>
        <w:t xml:space="preserve">CONFIRMAR </w:t>
      </w:r>
      <w:r w:rsidR="0007040D">
        <w:rPr>
          <w:rFonts w:ascii="Arial" w:hAnsi="Arial" w:cs="Arial"/>
          <w:spacing w:val="-2"/>
          <w:szCs w:val="24"/>
          <w:lang w:val="es-CO"/>
        </w:rPr>
        <w:t xml:space="preserve">por las razones manifestadas en esta providencia,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1529DF">
        <w:rPr>
          <w:rFonts w:ascii="Arial" w:hAnsi="Arial" w:cs="Arial"/>
          <w:szCs w:val="24"/>
        </w:rPr>
        <w:t xml:space="preserve">3 </w:t>
      </w:r>
      <w:r w:rsidR="00134C86" w:rsidRPr="00D578CB">
        <w:rPr>
          <w:rFonts w:ascii="Arial" w:hAnsi="Arial" w:cs="Arial"/>
          <w:szCs w:val="24"/>
        </w:rPr>
        <w:t xml:space="preserve">de </w:t>
      </w:r>
      <w:r w:rsidR="001529DF">
        <w:rPr>
          <w:rFonts w:ascii="Arial" w:hAnsi="Arial" w:cs="Arial"/>
          <w:szCs w:val="24"/>
        </w:rPr>
        <w:t xml:space="preserve">mayo </w:t>
      </w:r>
      <w:r w:rsidR="00134C86" w:rsidRPr="00D578CB">
        <w:rPr>
          <w:rFonts w:ascii="Arial" w:hAnsi="Arial" w:cs="Arial"/>
          <w:szCs w:val="24"/>
        </w:rPr>
        <w:t>de 201</w:t>
      </w:r>
      <w:r w:rsidR="0007040D">
        <w:rPr>
          <w:rFonts w:ascii="Arial" w:hAnsi="Arial" w:cs="Arial"/>
          <w:szCs w:val="24"/>
        </w:rPr>
        <w:t>8</w:t>
      </w:r>
      <w:r w:rsidR="00565E83" w:rsidRPr="00D578CB">
        <w:rPr>
          <w:rFonts w:ascii="Arial" w:hAnsi="Arial" w:cs="Arial"/>
          <w:szCs w:val="24"/>
        </w:rPr>
        <w:t xml:space="preserve"> </w:t>
      </w:r>
      <w:r w:rsidR="009D1C5C">
        <w:rPr>
          <w:rFonts w:ascii="Arial" w:hAnsi="Arial" w:cs="Arial"/>
          <w:szCs w:val="24"/>
        </w:rPr>
        <w:t xml:space="preserve">por el Juzgado </w:t>
      </w:r>
      <w:r w:rsidR="0007040D">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EA5EFB">
        <w:rPr>
          <w:rFonts w:ascii="Arial" w:hAnsi="Arial" w:cs="Arial"/>
          <w:szCs w:val="24"/>
        </w:rPr>
        <w:t>a</w:t>
      </w:r>
      <w:r w:rsidR="00750744">
        <w:rPr>
          <w:rFonts w:ascii="Arial" w:hAnsi="Arial" w:cs="Arial"/>
          <w:szCs w:val="24"/>
        </w:rPr>
        <w:t xml:space="preserve"> señor</w:t>
      </w:r>
      <w:r w:rsidR="00EA5EFB">
        <w:rPr>
          <w:rFonts w:ascii="Arial" w:hAnsi="Arial" w:cs="Arial"/>
          <w:szCs w:val="24"/>
        </w:rPr>
        <w:t>a</w:t>
      </w:r>
      <w:r w:rsidR="00750744">
        <w:rPr>
          <w:rFonts w:ascii="Arial" w:hAnsi="Arial" w:cs="Arial"/>
          <w:szCs w:val="24"/>
        </w:rPr>
        <w:t xml:space="preserve"> </w:t>
      </w:r>
      <w:r w:rsidR="00C2188B">
        <w:rPr>
          <w:rFonts w:ascii="Arial" w:hAnsi="Arial" w:cs="Arial"/>
          <w:b/>
          <w:szCs w:val="24"/>
        </w:rPr>
        <w:t>Elizabeth Reina Castaño</w:t>
      </w:r>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1529DF">
        <w:rPr>
          <w:rFonts w:ascii="Arial" w:hAnsi="Arial" w:cs="Arial"/>
          <w:b/>
          <w:bCs/>
          <w:szCs w:val="24"/>
        </w:rPr>
        <w:t xml:space="preserve"> y </w:t>
      </w:r>
      <w:r w:rsidR="0007040D">
        <w:rPr>
          <w:rFonts w:ascii="Arial" w:hAnsi="Arial" w:cs="Arial"/>
          <w:b/>
          <w:bCs/>
          <w:szCs w:val="24"/>
        </w:rPr>
        <w:t xml:space="preserve">la Sociedad Administradora de Fondos de </w:t>
      </w:r>
      <w:r w:rsidR="0007040D">
        <w:rPr>
          <w:rFonts w:ascii="Arial" w:hAnsi="Arial" w:cs="Arial"/>
          <w:b/>
          <w:bCs/>
          <w:iCs/>
          <w:szCs w:val="24"/>
        </w:rPr>
        <w:t xml:space="preserve">Pensiones y Cesantías </w:t>
      </w:r>
      <w:r w:rsidR="0007040D">
        <w:rPr>
          <w:rFonts w:ascii="Arial" w:hAnsi="Arial" w:cs="Arial"/>
          <w:b/>
          <w:bCs/>
          <w:szCs w:val="24"/>
        </w:rPr>
        <w:t>Porvenir S.A</w:t>
      </w:r>
      <w:r w:rsidR="00B54531">
        <w:rPr>
          <w:rFonts w:ascii="Arial" w:hAnsi="Arial" w:cs="Arial"/>
          <w:bCs/>
          <w:szCs w:val="24"/>
        </w:rPr>
        <w:t>.</w:t>
      </w:r>
    </w:p>
    <w:p w:rsidR="0030070A" w:rsidRDefault="0030070A" w:rsidP="00091124">
      <w:pPr>
        <w:spacing w:line="276" w:lineRule="auto"/>
        <w:jc w:val="both"/>
        <w:rPr>
          <w:rFonts w:ascii="Arial" w:hAnsi="Arial" w:cs="Arial"/>
          <w:b/>
          <w:bCs/>
          <w:szCs w:val="24"/>
        </w:rPr>
      </w:pPr>
    </w:p>
    <w:p w:rsidR="009F24B8" w:rsidRDefault="00CE3562" w:rsidP="001529DF">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lastRenderedPageBreak/>
        <w:t xml:space="preserve">SEGUNDO: </w:t>
      </w:r>
      <w:r w:rsidR="00D023DA">
        <w:rPr>
          <w:rFonts w:ascii="Arial" w:hAnsi="Arial" w:cs="Arial"/>
          <w:b/>
          <w:szCs w:val="24"/>
          <w:lang w:val="es-ES"/>
        </w:rPr>
        <w:t>C</w:t>
      </w:r>
      <w:r w:rsidR="0007040D">
        <w:rPr>
          <w:rFonts w:ascii="Arial" w:hAnsi="Arial" w:cs="Arial"/>
          <w:b/>
          <w:szCs w:val="24"/>
          <w:lang w:val="es-ES"/>
        </w:rPr>
        <w:t xml:space="preserve">ONDENAR </w:t>
      </w:r>
      <w:r w:rsidR="0007040D" w:rsidRPr="0007040D">
        <w:rPr>
          <w:rFonts w:ascii="Arial" w:hAnsi="Arial" w:cs="Arial"/>
          <w:szCs w:val="24"/>
          <w:lang w:val="es-ES"/>
        </w:rPr>
        <w:t>en costas</w:t>
      </w:r>
      <w:r w:rsidR="0007040D">
        <w:rPr>
          <w:rFonts w:ascii="Arial" w:hAnsi="Arial" w:cs="Arial"/>
          <w:b/>
          <w:szCs w:val="24"/>
          <w:lang w:val="es-ES"/>
        </w:rPr>
        <w:t xml:space="preserve"> </w:t>
      </w:r>
      <w:r w:rsidR="00C90E65">
        <w:rPr>
          <w:rFonts w:ascii="Arial" w:hAnsi="Arial" w:cs="Arial"/>
          <w:szCs w:val="24"/>
        </w:rPr>
        <w:t xml:space="preserve">en </w:t>
      </w:r>
      <w:r w:rsidR="00B54531">
        <w:rPr>
          <w:rFonts w:ascii="Arial" w:hAnsi="Arial" w:cs="Arial"/>
          <w:szCs w:val="24"/>
        </w:rPr>
        <w:t>esta instancia</w:t>
      </w:r>
      <w:r w:rsidR="00EA5EFB">
        <w:rPr>
          <w:rFonts w:ascii="Arial" w:hAnsi="Arial" w:cs="Arial"/>
          <w:szCs w:val="24"/>
        </w:rPr>
        <w:t xml:space="preserve"> </w:t>
      </w:r>
      <w:r w:rsidR="0007040D">
        <w:rPr>
          <w:rFonts w:ascii="Arial" w:hAnsi="Arial" w:cs="Arial"/>
          <w:szCs w:val="24"/>
        </w:rPr>
        <w:t>a la parte actora y a favor de las accionadas por parte iguales por lo dicho.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Default="005249FA" w:rsidP="005249FA">
      <w:pPr>
        <w:contextualSpacing/>
        <w:jc w:val="both"/>
        <w:rPr>
          <w:rFonts w:ascii="Arial" w:hAnsi="Arial" w:cs="Arial"/>
          <w:szCs w:val="24"/>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886E0E" w:rsidRPr="00BB5297" w:rsidRDefault="00886E0E" w:rsidP="005249FA">
      <w:pPr>
        <w:widowControl w:val="0"/>
        <w:autoSpaceDE w:val="0"/>
        <w:autoSpaceDN w:val="0"/>
        <w:adjustRightInd w:val="0"/>
        <w:contextualSpacing/>
        <w:jc w:val="both"/>
        <w:rPr>
          <w:rFonts w:ascii="Arial" w:hAnsi="Arial" w:cs="Arial"/>
          <w:szCs w:val="24"/>
        </w:rPr>
      </w:pPr>
    </w:p>
    <w:p w:rsidR="005249FA" w:rsidRDefault="005249FA" w:rsidP="005249FA">
      <w:pPr>
        <w:spacing w:line="276" w:lineRule="auto"/>
        <w:jc w:val="both"/>
        <w:rPr>
          <w:rFonts w:ascii="Arial" w:hAnsi="Arial" w:cs="Arial"/>
          <w:bCs/>
          <w:iCs/>
          <w:szCs w:val="24"/>
          <w:lang w:val="es-ES"/>
        </w:rPr>
      </w:pPr>
    </w:p>
    <w:p w:rsidR="00DE60A2" w:rsidRPr="00D578CB" w:rsidRDefault="00DE60A2" w:rsidP="005249FA">
      <w:pPr>
        <w:spacing w:line="276" w:lineRule="auto"/>
        <w:jc w:val="both"/>
        <w:rPr>
          <w:rFonts w:ascii="Arial" w:hAnsi="Arial" w:cs="Arial"/>
          <w:bCs/>
          <w:iCs/>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886E0E" w:rsidRDefault="00886E0E" w:rsidP="00091124">
      <w:pPr>
        <w:pStyle w:val="Sinespaciado"/>
        <w:spacing w:line="276" w:lineRule="auto"/>
        <w:jc w:val="center"/>
        <w:rPr>
          <w:rFonts w:ascii="Arial" w:hAnsi="Arial" w:cs="Arial"/>
          <w:sz w:val="24"/>
          <w:szCs w:val="24"/>
          <w:lang w:val="es-ES"/>
        </w:rPr>
      </w:pPr>
    </w:p>
    <w:p w:rsidR="00D30CEE" w:rsidRDefault="00D30CEE" w:rsidP="00091124">
      <w:pPr>
        <w:pStyle w:val="Sinespaciado"/>
        <w:spacing w:line="276" w:lineRule="auto"/>
        <w:jc w:val="center"/>
        <w:rPr>
          <w:rFonts w:ascii="Arial" w:hAnsi="Arial" w:cs="Arial"/>
          <w:sz w:val="24"/>
          <w:szCs w:val="24"/>
          <w:lang w:val="es-ES"/>
        </w:rPr>
      </w:pPr>
    </w:p>
    <w:p w:rsidR="00DE60A2" w:rsidRDefault="00DE60A2" w:rsidP="00091124">
      <w:pPr>
        <w:pStyle w:val="Sinespaciado"/>
        <w:spacing w:line="276" w:lineRule="auto"/>
        <w:jc w:val="center"/>
        <w:rPr>
          <w:rFonts w:ascii="Arial" w:hAnsi="Arial" w:cs="Arial"/>
          <w:sz w:val="24"/>
          <w:szCs w:val="24"/>
          <w:lang w:val="es-ES"/>
        </w:rPr>
      </w:pPr>
      <w:bookmarkStart w:id="0" w:name="_GoBack"/>
      <w:bookmarkEnd w:id="0"/>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886E0E">
        <w:rPr>
          <w:rFonts w:ascii="Arial" w:hAnsi="Arial" w:cs="Arial"/>
          <w:b/>
          <w:bCs/>
          <w:iCs/>
          <w:sz w:val="23"/>
          <w:szCs w:val="23"/>
          <w:lang w:val="es-ES"/>
        </w:rPr>
        <w:tab/>
      </w:r>
      <w:r w:rsidR="00EA5EFB">
        <w:rPr>
          <w:rFonts w:ascii="Arial" w:hAnsi="Arial" w:cs="Arial"/>
          <w:b/>
          <w:bCs/>
          <w:iCs/>
          <w:sz w:val="23"/>
          <w:szCs w:val="23"/>
          <w:lang w:val="es-ES"/>
        </w:rPr>
        <w:t>ANA LUCÍA CAICEDO CALDERÓN</w:t>
      </w:r>
    </w:p>
    <w:p w:rsidR="00E611DD"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EA5EFB">
        <w:rPr>
          <w:rFonts w:ascii="Arial" w:hAnsi="Arial" w:cs="Arial"/>
          <w:sz w:val="23"/>
          <w:szCs w:val="23"/>
          <w:lang w:val="es-ES"/>
        </w:rPr>
        <w:t>Magistrada</w:t>
      </w:r>
    </w:p>
    <w:p w:rsidR="0072470E" w:rsidRDefault="00134C86" w:rsidP="00F21F3C">
      <w:pPr>
        <w:pStyle w:val="Prrafodelista"/>
        <w:spacing w:line="276" w:lineRule="auto"/>
        <w:ind w:left="0"/>
        <w:jc w:val="both"/>
        <w:rPr>
          <w:rFonts w:ascii="Arial" w:hAnsi="Arial" w:cs="Arial"/>
          <w:bCs/>
          <w:iCs/>
          <w:sz w:val="23"/>
          <w:szCs w:val="23"/>
          <w:lang w:val="es-ES"/>
        </w:rPr>
      </w:pPr>
      <w:r w:rsidRPr="0045273B">
        <w:rPr>
          <w:rFonts w:ascii="Arial" w:hAnsi="Arial" w:cs="Arial"/>
          <w:bCs/>
          <w:iCs/>
          <w:sz w:val="23"/>
          <w:szCs w:val="23"/>
          <w:lang w:val="es-ES"/>
        </w:rPr>
        <w:t xml:space="preserve"> </w:t>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ab/>
        <w:t xml:space="preserve">         </w:t>
      </w:r>
      <w:r w:rsidR="00E611DD">
        <w:rPr>
          <w:rFonts w:ascii="Arial" w:hAnsi="Arial" w:cs="Arial"/>
          <w:bCs/>
          <w:iCs/>
          <w:sz w:val="23"/>
          <w:szCs w:val="23"/>
          <w:lang w:val="es-ES"/>
        </w:rPr>
        <w:t>(</w:t>
      </w:r>
      <w:r w:rsidR="008D6CEB">
        <w:rPr>
          <w:rFonts w:ascii="Arial" w:hAnsi="Arial" w:cs="Arial"/>
          <w:bCs/>
          <w:iCs/>
          <w:sz w:val="23"/>
          <w:szCs w:val="23"/>
          <w:lang w:val="es-ES"/>
        </w:rPr>
        <w:t>S</w:t>
      </w:r>
      <w:r w:rsidR="000B75F8">
        <w:rPr>
          <w:rFonts w:ascii="Arial" w:hAnsi="Arial" w:cs="Arial"/>
          <w:bCs/>
          <w:iCs/>
          <w:sz w:val="23"/>
          <w:szCs w:val="23"/>
          <w:lang w:val="es-ES"/>
        </w:rPr>
        <w:t>alva voto)</w:t>
      </w:r>
    </w:p>
    <w:p w:rsidR="003552B5" w:rsidRDefault="003552B5">
      <w:pPr>
        <w:spacing w:after="160" w:line="259" w:lineRule="auto"/>
        <w:rPr>
          <w:rFonts w:ascii="Arial" w:eastAsiaTheme="minorHAnsi" w:hAnsi="Arial" w:cs="Arial"/>
          <w:bCs/>
          <w:iCs/>
          <w:sz w:val="23"/>
          <w:szCs w:val="23"/>
          <w:lang w:val="es-ES" w:eastAsia="en-US"/>
        </w:rPr>
      </w:pPr>
      <w:r>
        <w:rPr>
          <w:rFonts w:ascii="Arial" w:hAnsi="Arial" w:cs="Arial"/>
          <w:bCs/>
          <w:iCs/>
          <w:sz w:val="23"/>
          <w:szCs w:val="23"/>
          <w:lang w:val="es-ES"/>
        </w:rPr>
        <w:br w:type="page"/>
      </w:r>
    </w:p>
    <w:p w:rsidR="003552B5" w:rsidRPr="003552B5" w:rsidRDefault="003552B5" w:rsidP="003552B5">
      <w:pPr>
        <w:pStyle w:val="Puesto"/>
        <w:spacing w:line="240" w:lineRule="auto"/>
        <w:jc w:val="both"/>
        <w:rPr>
          <w:rFonts w:ascii="Tahoma" w:hAnsi="Tahoma" w:cs="Tahoma"/>
          <w:b w:val="0"/>
          <w:sz w:val="18"/>
          <w:szCs w:val="18"/>
        </w:rPr>
      </w:pPr>
      <w:r w:rsidRPr="003552B5">
        <w:rPr>
          <w:rFonts w:ascii="Tahoma" w:hAnsi="Tahoma" w:cs="Tahoma"/>
          <w:b w:val="0"/>
          <w:sz w:val="18"/>
          <w:szCs w:val="18"/>
        </w:rPr>
        <w:lastRenderedPageBreak/>
        <w:t xml:space="preserve">Providencia: </w:t>
      </w:r>
      <w:r w:rsidRPr="003552B5">
        <w:rPr>
          <w:rFonts w:ascii="Tahoma" w:hAnsi="Tahoma" w:cs="Tahoma"/>
          <w:b w:val="0"/>
          <w:sz w:val="18"/>
          <w:szCs w:val="18"/>
        </w:rPr>
        <w:tab/>
      </w:r>
      <w:r w:rsidRPr="003552B5">
        <w:rPr>
          <w:rFonts w:ascii="Tahoma" w:hAnsi="Tahoma" w:cs="Tahoma"/>
          <w:b w:val="0"/>
          <w:sz w:val="18"/>
          <w:szCs w:val="18"/>
        </w:rPr>
        <w:tab/>
      </w:r>
      <w:r w:rsidRPr="003552B5">
        <w:rPr>
          <w:rFonts w:ascii="Tahoma" w:hAnsi="Tahoma" w:cs="Tahoma"/>
          <w:b w:val="0"/>
          <w:sz w:val="18"/>
          <w:szCs w:val="18"/>
        </w:rPr>
        <w:tab/>
        <w:t>Sentencia del 18 de marzo de 2019</w:t>
      </w:r>
    </w:p>
    <w:p w:rsidR="003552B5" w:rsidRPr="003552B5" w:rsidRDefault="003552B5" w:rsidP="003552B5">
      <w:pPr>
        <w:pStyle w:val="Puesto"/>
        <w:spacing w:line="240" w:lineRule="auto"/>
        <w:jc w:val="both"/>
        <w:rPr>
          <w:rFonts w:ascii="Tahoma" w:hAnsi="Tahoma" w:cs="Tahoma"/>
          <w:b w:val="0"/>
          <w:sz w:val="18"/>
          <w:szCs w:val="18"/>
        </w:rPr>
      </w:pPr>
      <w:r w:rsidRPr="003552B5">
        <w:rPr>
          <w:rFonts w:ascii="Tahoma" w:hAnsi="Tahoma" w:cs="Tahoma"/>
          <w:b w:val="0"/>
          <w:sz w:val="18"/>
          <w:szCs w:val="18"/>
        </w:rPr>
        <w:t>Radicación No.:</w:t>
      </w:r>
      <w:r w:rsidRPr="003552B5">
        <w:rPr>
          <w:rFonts w:ascii="Tahoma" w:hAnsi="Tahoma" w:cs="Tahoma"/>
          <w:b w:val="0"/>
          <w:sz w:val="18"/>
          <w:szCs w:val="18"/>
        </w:rPr>
        <w:tab/>
      </w:r>
      <w:r w:rsidRPr="003552B5">
        <w:rPr>
          <w:rFonts w:ascii="Tahoma" w:hAnsi="Tahoma" w:cs="Tahoma"/>
          <w:b w:val="0"/>
          <w:sz w:val="18"/>
          <w:szCs w:val="18"/>
        </w:rPr>
        <w:tab/>
      </w:r>
      <w:r w:rsidRPr="003552B5">
        <w:rPr>
          <w:rFonts w:ascii="Tahoma" w:hAnsi="Tahoma" w:cs="Tahoma"/>
          <w:b w:val="0"/>
          <w:sz w:val="18"/>
          <w:szCs w:val="18"/>
        </w:rPr>
        <w:tab/>
        <w:t>66001-31-05-004-2017-00322-02</w:t>
      </w:r>
    </w:p>
    <w:p w:rsidR="003552B5" w:rsidRPr="003552B5" w:rsidRDefault="003552B5" w:rsidP="003552B5">
      <w:pPr>
        <w:pStyle w:val="Puesto"/>
        <w:spacing w:line="240" w:lineRule="auto"/>
        <w:jc w:val="both"/>
        <w:rPr>
          <w:rFonts w:ascii="Tahoma" w:hAnsi="Tahoma" w:cs="Tahoma"/>
          <w:b w:val="0"/>
          <w:sz w:val="18"/>
          <w:szCs w:val="18"/>
        </w:rPr>
      </w:pPr>
      <w:r w:rsidRPr="003552B5">
        <w:rPr>
          <w:rFonts w:ascii="Tahoma" w:hAnsi="Tahoma" w:cs="Tahoma"/>
          <w:b w:val="0"/>
          <w:sz w:val="18"/>
          <w:szCs w:val="18"/>
        </w:rPr>
        <w:t>Proceso:</w:t>
      </w:r>
      <w:r w:rsidRPr="003552B5">
        <w:rPr>
          <w:rFonts w:ascii="Tahoma" w:hAnsi="Tahoma" w:cs="Tahoma"/>
          <w:b w:val="0"/>
          <w:sz w:val="18"/>
          <w:szCs w:val="18"/>
        </w:rPr>
        <w:tab/>
      </w:r>
      <w:r w:rsidRPr="003552B5">
        <w:rPr>
          <w:rFonts w:ascii="Tahoma" w:hAnsi="Tahoma" w:cs="Tahoma"/>
          <w:b w:val="0"/>
          <w:sz w:val="18"/>
          <w:szCs w:val="18"/>
        </w:rPr>
        <w:tab/>
      </w:r>
      <w:r>
        <w:rPr>
          <w:rFonts w:ascii="Tahoma" w:hAnsi="Tahoma" w:cs="Tahoma"/>
          <w:b w:val="0"/>
          <w:sz w:val="18"/>
          <w:szCs w:val="18"/>
        </w:rPr>
        <w:tab/>
      </w:r>
      <w:r w:rsidRPr="003552B5">
        <w:rPr>
          <w:rFonts w:ascii="Tahoma" w:hAnsi="Tahoma" w:cs="Tahoma"/>
          <w:b w:val="0"/>
          <w:sz w:val="18"/>
          <w:szCs w:val="18"/>
        </w:rPr>
        <w:tab/>
      </w:r>
      <w:r>
        <w:rPr>
          <w:rFonts w:ascii="Tahoma" w:hAnsi="Tahoma" w:cs="Tahoma"/>
          <w:b w:val="0"/>
          <w:sz w:val="18"/>
          <w:szCs w:val="18"/>
        </w:rPr>
        <w:t xml:space="preserve">Ordinario </w:t>
      </w:r>
      <w:r w:rsidRPr="003552B5">
        <w:rPr>
          <w:rFonts w:ascii="Tahoma" w:hAnsi="Tahoma" w:cs="Tahoma"/>
          <w:b w:val="0"/>
          <w:sz w:val="18"/>
          <w:szCs w:val="18"/>
        </w:rPr>
        <w:t xml:space="preserve">laboral </w:t>
      </w:r>
    </w:p>
    <w:p w:rsidR="003552B5" w:rsidRPr="003552B5" w:rsidRDefault="003552B5" w:rsidP="003552B5">
      <w:pPr>
        <w:pStyle w:val="Puesto"/>
        <w:spacing w:line="240" w:lineRule="auto"/>
        <w:jc w:val="both"/>
        <w:rPr>
          <w:rFonts w:ascii="Tahoma" w:hAnsi="Tahoma" w:cs="Tahoma"/>
          <w:b w:val="0"/>
          <w:sz w:val="18"/>
          <w:szCs w:val="18"/>
        </w:rPr>
      </w:pPr>
      <w:r w:rsidRPr="003552B5">
        <w:rPr>
          <w:rFonts w:ascii="Tahoma" w:hAnsi="Tahoma" w:cs="Tahoma"/>
          <w:b w:val="0"/>
          <w:sz w:val="18"/>
          <w:szCs w:val="18"/>
        </w:rPr>
        <w:t>Demandante:</w:t>
      </w:r>
      <w:r w:rsidRPr="003552B5">
        <w:rPr>
          <w:rFonts w:ascii="Tahoma" w:hAnsi="Tahoma" w:cs="Tahoma"/>
          <w:b w:val="0"/>
          <w:sz w:val="18"/>
          <w:szCs w:val="18"/>
        </w:rPr>
        <w:tab/>
      </w:r>
      <w:r w:rsidRPr="003552B5">
        <w:rPr>
          <w:rFonts w:ascii="Tahoma" w:hAnsi="Tahoma" w:cs="Tahoma"/>
          <w:b w:val="0"/>
          <w:sz w:val="18"/>
          <w:szCs w:val="18"/>
        </w:rPr>
        <w:tab/>
      </w:r>
      <w:r w:rsidRPr="003552B5">
        <w:rPr>
          <w:rFonts w:ascii="Tahoma" w:hAnsi="Tahoma" w:cs="Tahoma"/>
          <w:b w:val="0"/>
          <w:sz w:val="18"/>
          <w:szCs w:val="18"/>
        </w:rPr>
        <w:tab/>
        <w:t xml:space="preserve">Elizabeth Reina Castaño </w:t>
      </w:r>
    </w:p>
    <w:p w:rsidR="003552B5" w:rsidRPr="003552B5" w:rsidRDefault="003552B5" w:rsidP="003552B5">
      <w:pPr>
        <w:pStyle w:val="Puesto"/>
        <w:spacing w:line="240" w:lineRule="auto"/>
        <w:ind w:left="708" w:hanging="708"/>
        <w:jc w:val="both"/>
        <w:rPr>
          <w:rFonts w:ascii="Tahoma" w:hAnsi="Tahoma" w:cs="Tahoma"/>
          <w:b w:val="0"/>
          <w:sz w:val="18"/>
          <w:szCs w:val="18"/>
        </w:rPr>
      </w:pPr>
      <w:r w:rsidRPr="003552B5">
        <w:rPr>
          <w:rFonts w:ascii="Tahoma" w:hAnsi="Tahoma" w:cs="Tahoma"/>
          <w:b w:val="0"/>
          <w:sz w:val="18"/>
          <w:szCs w:val="18"/>
        </w:rPr>
        <w:t>Demandado:</w:t>
      </w:r>
      <w:r w:rsidRPr="003552B5">
        <w:rPr>
          <w:rFonts w:ascii="Tahoma" w:hAnsi="Tahoma" w:cs="Tahoma"/>
          <w:b w:val="0"/>
          <w:sz w:val="18"/>
          <w:szCs w:val="18"/>
        </w:rPr>
        <w:tab/>
      </w:r>
      <w:r w:rsidRPr="003552B5">
        <w:rPr>
          <w:rFonts w:ascii="Tahoma" w:hAnsi="Tahoma" w:cs="Tahoma"/>
          <w:b w:val="0"/>
          <w:sz w:val="18"/>
          <w:szCs w:val="18"/>
        </w:rPr>
        <w:tab/>
      </w:r>
      <w:r w:rsidRPr="003552B5">
        <w:rPr>
          <w:rFonts w:ascii="Tahoma" w:hAnsi="Tahoma" w:cs="Tahoma"/>
          <w:b w:val="0"/>
          <w:sz w:val="18"/>
          <w:szCs w:val="18"/>
        </w:rPr>
        <w:tab/>
        <w:t>Colpensiones – Porvenir S.A.</w:t>
      </w:r>
    </w:p>
    <w:p w:rsidR="003552B5" w:rsidRPr="003552B5" w:rsidRDefault="003552B5" w:rsidP="003552B5">
      <w:pPr>
        <w:pStyle w:val="Puesto"/>
        <w:spacing w:line="240" w:lineRule="auto"/>
        <w:jc w:val="both"/>
        <w:rPr>
          <w:rFonts w:ascii="Tahoma" w:hAnsi="Tahoma" w:cs="Tahoma"/>
          <w:b w:val="0"/>
          <w:sz w:val="18"/>
          <w:szCs w:val="18"/>
        </w:rPr>
      </w:pPr>
      <w:r w:rsidRPr="003552B5">
        <w:rPr>
          <w:rFonts w:ascii="Tahoma" w:hAnsi="Tahoma" w:cs="Tahoma"/>
          <w:b w:val="0"/>
          <w:sz w:val="18"/>
          <w:szCs w:val="18"/>
        </w:rPr>
        <w:t>Magistrada ponente:</w:t>
      </w:r>
      <w:r w:rsidRPr="003552B5">
        <w:rPr>
          <w:rFonts w:ascii="Tahoma" w:hAnsi="Tahoma" w:cs="Tahoma"/>
          <w:b w:val="0"/>
          <w:sz w:val="18"/>
          <w:szCs w:val="18"/>
        </w:rPr>
        <w:tab/>
      </w:r>
      <w:r w:rsidRPr="003552B5">
        <w:rPr>
          <w:rFonts w:ascii="Tahoma" w:hAnsi="Tahoma" w:cs="Tahoma"/>
          <w:b w:val="0"/>
          <w:sz w:val="18"/>
          <w:szCs w:val="18"/>
        </w:rPr>
        <w:tab/>
        <w:t xml:space="preserve">Dra. Olga Lucía Hoyos Sepúlveda </w:t>
      </w:r>
    </w:p>
    <w:p w:rsidR="003552B5" w:rsidRPr="003552B5" w:rsidRDefault="003552B5" w:rsidP="003552B5">
      <w:pPr>
        <w:pStyle w:val="Puesto"/>
        <w:spacing w:line="240" w:lineRule="auto"/>
        <w:ind w:left="2805" w:hanging="2805"/>
        <w:jc w:val="both"/>
        <w:rPr>
          <w:rFonts w:ascii="Tahoma" w:hAnsi="Tahoma" w:cs="Tahoma"/>
          <w:b w:val="0"/>
          <w:sz w:val="18"/>
          <w:szCs w:val="18"/>
        </w:rPr>
      </w:pPr>
      <w:r w:rsidRPr="003552B5">
        <w:rPr>
          <w:rFonts w:ascii="Tahoma" w:hAnsi="Tahoma" w:cs="Tahoma"/>
          <w:b w:val="0"/>
          <w:sz w:val="18"/>
          <w:szCs w:val="18"/>
        </w:rPr>
        <w:t>Magistrada que salva voto:</w:t>
      </w:r>
      <w:r w:rsidRPr="003552B5">
        <w:rPr>
          <w:rFonts w:ascii="Tahoma" w:hAnsi="Tahoma" w:cs="Tahoma"/>
          <w:b w:val="0"/>
          <w:sz w:val="18"/>
          <w:szCs w:val="18"/>
        </w:rPr>
        <w:tab/>
        <w:t>Dra. Ana Lucia Caicedo Calderón</w:t>
      </w:r>
    </w:p>
    <w:p w:rsidR="003552B5" w:rsidRDefault="003552B5" w:rsidP="003552B5">
      <w:pPr>
        <w:rPr>
          <w:rFonts w:ascii="Tahoma" w:hAnsi="Tahoma" w:cs="Tahoma"/>
          <w:lang w:val="es-CO" w:eastAsia="es-MX"/>
        </w:rPr>
      </w:pPr>
    </w:p>
    <w:p w:rsidR="003552B5" w:rsidRPr="007F452D" w:rsidRDefault="003552B5" w:rsidP="003552B5">
      <w:pPr>
        <w:rPr>
          <w:rFonts w:ascii="Tahoma" w:hAnsi="Tahoma" w:cs="Tahoma"/>
          <w:lang w:val="es-CO" w:eastAsia="es-MX"/>
        </w:rPr>
      </w:pPr>
    </w:p>
    <w:p w:rsidR="003552B5" w:rsidRPr="007F452D" w:rsidRDefault="003552B5" w:rsidP="003552B5">
      <w:pPr>
        <w:pStyle w:val="Ttulo1"/>
        <w:autoSpaceDE/>
        <w:autoSpaceDN/>
        <w:adjustRightInd/>
        <w:ind w:left="0" w:firstLine="0"/>
        <w:jc w:val="center"/>
        <w:rPr>
          <w:rFonts w:ascii="Tahoma" w:hAnsi="Tahoma" w:cs="Tahoma"/>
          <w:bCs/>
          <w:u w:val="single"/>
        </w:rPr>
      </w:pPr>
      <w:r w:rsidRPr="007F452D">
        <w:rPr>
          <w:rFonts w:ascii="Tahoma" w:hAnsi="Tahoma" w:cs="Tahoma"/>
          <w:bCs/>
          <w:u w:val="single"/>
        </w:rPr>
        <w:t>SALVAMENTO DE VOTO</w:t>
      </w:r>
    </w:p>
    <w:p w:rsidR="003552B5" w:rsidRPr="007F452D" w:rsidRDefault="003552B5" w:rsidP="003552B5">
      <w:pPr>
        <w:jc w:val="both"/>
        <w:rPr>
          <w:rFonts w:ascii="Tahoma" w:hAnsi="Tahoma" w:cs="Tahoma"/>
          <w:b/>
          <w:bCs/>
        </w:rPr>
      </w:pPr>
    </w:p>
    <w:p w:rsidR="003552B5" w:rsidRPr="00F3747E" w:rsidRDefault="003552B5" w:rsidP="003552B5">
      <w:pPr>
        <w:spacing w:line="276" w:lineRule="auto"/>
        <w:ind w:firstLine="851"/>
        <w:jc w:val="both"/>
        <w:rPr>
          <w:rFonts w:ascii="Tahoma" w:hAnsi="Tahoma" w:cs="Tahoma"/>
          <w:szCs w:val="24"/>
        </w:rPr>
      </w:pPr>
      <w:r w:rsidRPr="007F452D">
        <w:rPr>
          <w:rFonts w:ascii="Tahoma" w:hAnsi="Tahoma" w:cs="Tahoma"/>
          <w:szCs w:val="24"/>
        </w:rPr>
        <w:t>Con mi acostumbrado respeto, me permito dejar constancia escrita de las razones jurídicas de</w:t>
      </w:r>
      <w:r>
        <w:rPr>
          <w:rFonts w:ascii="Tahoma" w:hAnsi="Tahoma" w:cs="Tahoma"/>
          <w:szCs w:val="24"/>
        </w:rPr>
        <w:t xml:space="preserve">l </w:t>
      </w:r>
      <w:r w:rsidRPr="007F452D">
        <w:rPr>
          <w:rFonts w:ascii="Tahoma" w:hAnsi="Tahoma" w:cs="Tahoma"/>
          <w:szCs w:val="24"/>
        </w:rPr>
        <w:t>disenso con la decisión mayoritaria adoptada en este pro</w:t>
      </w:r>
      <w:r>
        <w:rPr>
          <w:rFonts w:ascii="Tahoma" w:hAnsi="Tahoma" w:cs="Tahoma"/>
          <w:szCs w:val="24"/>
        </w:rPr>
        <w:t>ceso, con fundamento en las siguientes consideraciones</w:t>
      </w:r>
      <w:r w:rsidRPr="007F452D">
        <w:rPr>
          <w:rFonts w:ascii="Tahoma" w:hAnsi="Tahoma" w:cs="Tahoma"/>
          <w:szCs w:val="24"/>
        </w:rPr>
        <w:t>:</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La actora persigue en este asunto que se declare la ineficacia de su traslado al RAIS y, en su defecto, se declare igualmente que no perdió los beneficios del régimen de transición previsto en el Régimen de Prima Media con Prestación Definida, y, por ende, tendría derecho a que su pensión de vejez se reconozca bajo los requisitos dispuestos en el acuerdo 049 de 1990. Aduce para el efecto, que registra aportes pensionales en el ISS desde el 14 de noviembre de 1989 y que laboró ininterrumpidamente al servicio del Hospital Departamental de Cartago en el periodo comprendido entre el 25 de febrero de 1982 y el 31 de diciembre de 2014. Afirma igualmente que nació el 9 de noviembre de 1957, por lo que tenía más de 35 años de edad a la fecha de entrada en vigencia de la Ley 100 de 1993; que el 22 de octubre de 1997 suscribió formulario de afiliación a pensiones y cesantías HORIZONTE S.A. (HOY PORVENIR), y que en virtud de tal afiliación se consumó su traslado del régimen de prima media al RAIS, donde alcanzó a cotizar un total de 235,71 semanas hasta el 1º de junio de 2002, fecha en que retornó voluntariamente al ISS, donde continuó efectuando aportes hasta alcanzar un total de 1685,43 semanas cotizadas. Seguidamente informa que COLPENSIONES le reconoció pensión vejez a partir del 1º de enero de 2015 en cuantía de $1.030.092 y se negó a reconocerle la calidad de beneficiaria del régimen de transición, liquidando la prestación reclamada con apoyo en los requisitos y la tasa de reemplazo contenida en la ley 100 de 1993, con el argumento de que había perdido el derecho a la aplicación del régimen de transición por haberse trasladado al RAIS, de acuerdo a lo previsto en el artículo 36 de la Ley 100 de 1993.</w:t>
      </w:r>
    </w:p>
    <w:p w:rsidR="003552B5" w:rsidRPr="00160E91" w:rsidRDefault="003552B5" w:rsidP="003552B5">
      <w:pPr>
        <w:tabs>
          <w:tab w:val="left" w:pos="-720"/>
        </w:tabs>
        <w:suppressAutoHyphens/>
        <w:jc w:val="both"/>
        <w:rPr>
          <w:rFonts w:ascii="Tahoma" w:hAnsi="Tahoma" w:cs="Tahoma"/>
          <w:spacing w:val="-3"/>
          <w:kern w:val="2"/>
          <w:szCs w:val="24"/>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 xml:space="preserve">Aparte de lo anterior, asegura que el asesor comercial que la convenció de afiliarse a PROTECCIÓN S.A., no cumplió con el deber de brindarle información cierta, completa y comprensible de los efectos de dicho traslado pues </w:t>
      </w:r>
      <w:r>
        <w:rPr>
          <w:rFonts w:ascii="Tahoma" w:hAnsi="Tahoma" w:cs="Tahoma"/>
          <w:b/>
          <w:spacing w:val="-3"/>
          <w:kern w:val="2"/>
        </w:rPr>
        <w:t xml:space="preserve">1) </w:t>
      </w:r>
      <w:r>
        <w:rPr>
          <w:rFonts w:ascii="Tahoma" w:hAnsi="Tahoma" w:cs="Tahoma"/>
          <w:spacing w:val="-3"/>
          <w:kern w:val="2"/>
        </w:rPr>
        <w:t xml:space="preserve">le dio información falsa, como que era inminente la desaparición del ISS y con ello de los aportes que había efectuado hasta esa fecha, </w:t>
      </w:r>
      <w:r>
        <w:rPr>
          <w:rFonts w:ascii="Tahoma" w:hAnsi="Tahoma" w:cs="Tahoma"/>
          <w:b/>
          <w:spacing w:val="-3"/>
          <w:kern w:val="2"/>
        </w:rPr>
        <w:t>2)</w:t>
      </w:r>
      <w:r>
        <w:rPr>
          <w:rFonts w:ascii="Tahoma" w:hAnsi="Tahoma" w:cs="Tahoma"/>
          <w:spacing w:val="-3"/>
          <w:kern w:val="2"/>
        </w:rPr>
        <w:t xml:space="preserve"> le dio información incompleta, al indicarle que en el RAIS podría pensionarse a cualquier edad, sin advertirle que ello dependía del saldo en su cuenta de ahorro individual, </w:t>
      </w:r>
      <w:r>
        <w:rPr>
          <w:rFonts w:ascii="Tahoma" w:hAnsi="Tahoma" w:cs="Tahoma"/>
          <w:b/>
          <w:spacing w:val="-3"/>
          <w:kern w:val="2"/>
        </w:rPr>
        <w:t xml:space="preserve">3) </w:t>
      </w:r>
      <w:r>
        <w:rPr>
          <w:rFonts w:ascii="Tahoma" w:hAnsi="Tahoma" w:cs="Tahoma"/>
          <w:spacing w:val="-3"/>
          <w:kern w:val="2"/>
        </w:rPr>
        <w:t xml:space="preserve">no se realizó en su caso un estudio escrito previo, individual y concreto sobre las ventajas y desventajas que le traería trasladarse de régimen, por lo cual su consentimiento no fue informado ni documentado, </w:t>
      </w:r>
      <w:r w:rsidRPr="00E6243B">
        <w:rPr>
          <w:rFonts w:ascii="Tahoma" w:hAnsi="Tahoma" w:cs="Tahoma"/>
          <w:b/>
          <w:spacing w:val="-3"/>
          <w:kern w:val="2"/>
        </w:rPr>
        <w:t>4)</w:t>
      </w:r>
      <w:r>
        <w:rPr>
          <w:rFonts w:ascii="Tahoma" w:hAnsi="Tahoma" w:cs="Tahoma"/>
          <w:spacing w:val="-3"/>
          <w:kern w:val="2"/>
        </w:rPr>
        <w:t xml:space="preserve"> le aseguró que en caso de muerte, la pensión podría quedarle a sus familiares, no solo al cónyuge y al hijos, como supuestamente ocurría en el ISS y </w:t>
      </w:r>
      <w:r w:rsidRPr="00E6243B">
        <w:rPr>
          <w:rFonts w:ascii="Tahoma" w:hAnsi="Tahoma" w:cs="Tahoma"/>
          <w:b/>
          <w:spacing w:val="-3"/>
          <w:kern w:val="2"/>
        </w:rPr>
        <w:t>5)</w:t>
      </w:r>
      <w:r>
        <w:rPr>
          <w:rFonts w:ascii="Tahoma" w:hAnsi="Tahoma" w:cs="Tahoma"/>
          <w:spacing w:val="-3"/>
          <w:kern w:val="2"/>
        </w:rPr>
        <w:t xml:space="preserve"> no le advirtió las implicaciones de perder el régimen </w:t>
      </w:r>
      <w:r>
        <w:rPr>
          <w:rFonts w:ascii="Tahoma" w:hAnsi="Tahoma" w:cs="Tahoma"/>
          <w:spacing w:val="-3"/>
          <w:kern w:val="2"/>
        </w:rPr>
        <w:lastRenderedPageBreak/>
        <w:t>de transición por su traslado al RAIS. Señala finalmente, que de haber conservado el régimen de transición, su pensión hubiese ascendido a la suma de $1.192.621,72.</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center"/>
        <w:rPr>
          <w:rFonts w:ascii="Tahoma" w:hAnsi="Tahoma" w:cs="Tahoma"/>
          <w:b/>
          <w:spacing w:val="-3"/>
          <w:kern w:val="2"/>
        </w:rPr>
      </w:pPr>
      <w:r>
        <w:rPr>
          <w:rFonts w:ascii="Tahoma" w:hAnsi="Tahoma" w:cs="Tahoma"/>
          <w:b/>
          <w:spacing w:val="-3"/>
          <w:kern w:val="2"/>
        </w:rPr>
        <w:t>SENTENCIA DE PRIMERA INSTANCIA</w:t>
      </w:r>
    </w:p>
    <w:p w:rsidR="003552B5" w:rsidRDefault="003552B5" w:rsidP="003552B5">
      <w:pPr>
        <w:tabs>
          <w:tab w:val="left" w:pos="-720"/>
        </w:tabs>
        <w:suppressAutoHyphens/>
        <w:jc w:val="both"/>
        <w:rPr>
          <w:rFonts w:ascii="Tahoma" w:hAnsi="Tahoma" w:cs="Tahoma"/>
          <w:b/>
          <w:spacing w:val="-3"/>
          <w:kern w:val="2"/>
        </w:rPr>
      </w:pPr>
    </w:p>
    <w:p w:rsidR="003552B5" w:rsidRDefault="003552B5" w:rsidP="003552B5">
      <w:pPr>
        <w:spacing w:line="276" w:lineRule="auto"/>
        <w:ind w:firstLine="708"/>
        <w:jc w:val="both"/>
        <w:rPr>
          <w:rFonts w:ascii="Tahoma" w:hAnsi="Tahoma" w:cs="Tahoma"/>
          <w:lang w:val="es-CO"/>
        </w:rPr>
      </w:pPr>
      <w:r>
        <w:rPr>
          <w:rFonts w:ascii="Tahoma" w:hAnsi="Tahoma" w:cs="Tahoma"/>
          <w:lang w:val="es-CO"/>
        </w:rPr>
        <w:t xml:space="preserve">La jueza de primera instancia negó las pretensiones de la demandada con el argumento de que la actora no reunía más de 750 semanas cotizadas al 1º de abril de 1994, de modo que no podía moverse libremente entre regímenes sin perder los beneficios transicionales, pues esta posibilidad solo la tienen quienes alcanzan el beneficio por semanas cotizadas y no por edad. Asimismo descartó la ineficacia del traslado por vicios de consentimiento, pues una de las dos testigos que declararon en primera instancia aseguró que había estado en la misma reunión en la que la actora fue persuadida de trasladarse de régimen y al contrario de esta, ella no quiso abandonar el ISS.    </w:t>
      </w:r>
    </w:p>
    <w:p w:rsidR="003552B5" w:rsidRP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center"/>
        <w:rPr>
          <w:rFonts w:ascii="Tahoma" w:hAnsi="Tahoma" w:cs="Tahoma"/>
          <w:b/>
          <w:spacing w:val="-3"/>
          <w:kern w:val="2"/>
        </w:rPr>
      </w:pPr>
      <w:r>
        <w:rPr>
          <w:rFonts w:ascii="Tahoma" w:hAnsi="Tahoma" w:cs="Tahoma"/>
          <w:b/>
          <w:spacing w:val="-3"/>
          <w:kern w:val="2"/>
        </w:rPr>
        <w:t>CONSIDERACIONES</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center"/>
        <w:rPr>
          <w:rFonts w:ascii="Tahoma" w:hAnsi="Tahoma" w:cs="Tahoma"/>
          <w:b/>
          <w:caps/>
        </w:rPr>
      </w:pPr>
      <w:r>
        <w:rPr>
          <w:rFonts w:ascii="Tahoma" w:hAnsi="Tahoma" w:cs="Tahoma"/>
          <w:b/>
          <w:caps/>
        </w:rPr>
        <w:t>ineficacia del traslado</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ab/>
        <w:t xml:space="preserve">Dado que las Administradoras de Fondos de Pensiones son organismos profesionales, como pasa a explicarse, considero aplicable en estos casos el artículo 1604 del Código Civil, según el cual la prueba de la </w:t>
      </w:r>
      <w:r>
        <w:rPr>
          <w:rFonts w:ascii="Tahoma" w:hAnsi="Tahoma" w:cs="Tahoma"/>
          <w:spacing w:val="-3"/>
          <w:kern w:val="2"/>
          <w:u w:val="single"/>
        </w:rPr>
        <w:t>debida diligencia y cuidado</w:t>
      </w:r>
      <w:r>
        <w:rPr>
          <w:rFonts w:ascii="Tahoma" w:hAnsi="Tahoma" w:cs="Tahoma"/>
          <w:spacing w:val="-3"/>
          <w:kern w:val="2"/>
        </w:rPr>
        <w:t xml:space="preserve"> incumbe a quien ha debido emplearla, dadas las siguientes razones:</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ab/>
      </w:r>
      <w:r>
        <w:rPr>
          <w:rFonts w:ascii="Tahoma" w:hAnsi="Tahoma" w:cs="Tahoma"/>
          <w:b/>
          <w:spacing w:val="-3"/>
          <w:kern w:val="2"/>
        </w:rPr>
        <w:t>1)</w:t>
      </w:r>
      <w:r>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Pr>
          <w:rFonts w:ascii="Tahoma" w:hAnsi="Tahoma" w:cs="Tahoma"/>
          <w:spacing w:val="-3"/>
          <w:kern w:val="2"/>
          <w:u w:val="single"/>
        </w:rPr>
        <w:t>Decreto 663 de 1993</w:t>
      </w:r>
      <w:r>
        <w:rPr>
          <w:rStyle w:val="Refdenotaalpie"/>
          <w:rFonts w:ascii="Tahoma" w:hAnsi="Tahoma" w:cs="Tahoma"/>
          <w:spacing w:val="-3"/>
          <w:kern w:val="2"/>
          <w:u w:val="single"/>
        </w:rPr>
        <w:footnoteReference w:id="3"/>
      </w:r>
      <w:r>
        <w:rPr>
          <w:rFonts w:ascii="Tahoma" w:hAnsi="Tahoma" w:cs="Tahoma"/>
          <w:spacing w:val="-3"/>
          <w:kern w:val="2"/>
        </w:rPr>
        <w:t>, norma en la que se destaca la importancia de los principios de debida diligencia, transparencia e información cierta, suficiente y oportuna.</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ab/>
      </w:r>
      <w:r w:rsidRPr="00160E91">
        <w:rPr>
          <w:rFonts w:ascii="Tahoma" w:hAnsi="Tahoma" w:cs="Tahoma"/>
          <w:b/>
          <w:spacing w:val="-3"/>
          <w:kern w:val="2"/>
        </w:rPr>
        <w:t>3)</w:t>
      </w:r>
      <w:r>
        <w:rPr>
          <w:rFonts w:ascii="Tahoma" w:hAnsi="Tahoma" w:cs="Tahoma"/>
          <w:spacing w:val="-3"/>
          <w:kern w:val="2"/>
        </w:rPr>
        <w:t xml:space="preserve"> </w:t>
      </w:r>
      <w:r w:rsidRPr="00160E91">
        <w:rPr>
          <w:rFonts w:ascii="Tahoma" w:hAnsi="Tahoma" w:cs="Tahoma"/>
          <w:spacing w:val="-3"/>
          <w:kern w:val="2"/>
        </w:rPr>
        <w:t>Se tiene</w:t>
      </w:r>
      <w:r>
        <w:rPr>
          <w:rFonts w:ascii="Tahoma" w:hAnsi="Tahoma" w:cs="Tahoma"/>
          <w:spacing w:val="-3"/>
          <w:kern w:val="2"/>
        </w:rPr>
        <w:t xml:space="preserve"> igualmente</w:t>
      </w:r>
      <w:r w:rsidRPr="00160E91">
        <w:rPr>
          <w:rFonts w:ascii="Tahoma" w:hAnsi="Tahoma" w:cs="Tahoma"/>
          <w:spacing w:val="-3"/>
          <w:kern w:val="2"/>
        </w:rPr>
        <w:t xml:space="preserve"> previsto en el artículo 12 del Decreto 720 de 1994, que lo</w:t>
      </w:r>
      <w:r w:rsidRPr="00160E91">
        <w:rPr>
          <w:rFonts w:ascii="Tahoma" w:hAnsi="Tahoma" w:cs="Tahoma"/>
          <w:color w:val="000000"/>
        </w:rPr>
        <w:t>s promotores que empleen las sociedades administradoras del sistema general de pensiones deberá</w:t>
      </w:r>
      <w:r>
        <w:rPr>
          <w:rFonts w:ascii="Tahoma" w:hAnsi="Tahoma" w:cs="Tahoma"/>
          <w:color w:val="000000"/>
        </w:rPr>
        <w:t>n</w:t>
      </w:r>
      <w:r w:rsidRPr="00160E91">
        <w:rPr>
          <w:rFonts w:ascii="Tahoma" w:hAnsi="Tahoma" w:cs="Tahoma"/>
          <w:color w:val="000000"/>
        </w:rPr>
        <w:t xml:space="preserve"> suministrar suficiente, amplia y oportuna información a los posibles afiliados al momento d</w:t>
      </w:r>
      <w:r>
        <w:rPr>
          <w:rFonts w:ascii="Tahoma" w:hAnsi="Tahoma" w:cs="Tahoma"/>
          <w:color w:val="000000"/>
        </w:rPr>
        <w:t>e la promoción de la afiliación y</w:t>
      </w:r>
      <w:r w:rsidRPr="00160E91">
        <w:rPr>
          <w:rFonts w:ascii="Tahoma" w:hAnsi="Tahoma" w:cs="Tahoma"/>
          <w:color w:val="000000"/>
        </w:rPr>
        <w:t xml:space="preserve"> durante toda la vinculación con ocasión de las prestaciones a las cuales tenga derecho el afiliado.</w:t>
      </w:r>
      <w:r>
        <w:rPr>
          <w:rFonts w:ascii="Arial" w:hAnsi="Arial" w:cs="Arial"/>
          <w:color w:val="000000"/>
          <w:sz w:val="20"/>
        </w:rPr>
        <w:t> </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ab/>
      </w:r>
      <w:r>
        <w:rPr>
          <w:rFonts w:ascii="Tahoma" w:hAnsi="Tahoma" w:cs="Tahoma"/>
          <w:b/>
          <w:spacing w:val="-3"/>
          <w:kern w:val="2"/>
        </w:rPr>
        <w:t>4)</w:t>
      </w:r>
      <w:r>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3552B5" w:rsidRDefault="003552B5" w:rsidP="003552B5">
      <w:pPr>
        <w:tabs>
          <w:tab w:val="left" w:pos="-720"/>
        </w:tabs>
        <w:suppressAutoHyphens/>
        <w:spacing w:line="276" w:lineRule="auto"/>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iCs/>
          <w:u w:val="single"/>
        </w:rPr>
      </w:pPr>
      <w:r>
        <w:rPr>
          <w:rFonts w:ascii="Tahoma" w:hAnsi="Tahoma" w:cs="Tahoma"/>
          <w:spacing w:val="-3"/>
          <w:kern w:val="2"/>
        </w:rPr>
        <w:tab/>
      </w:r>
      <w:r>
        <w:rPr>
          <w:rFonts w:ascii="Tahoma" w:hAnsi="Tahoma" w:cs="Tahoma"/>
          <w:b/>
          <w:spacing w:val="-3"/>
          <w:kern w:val="2"/>
        </w:rPr>
        <w:t>5)</w:t>
      </w:r>
      <w:r>
        <w:rPr>
          <w:rFonts w:ascii="Tahoma" w:hAnsi="Tahoma" w:cs="Tahoma"/>
          <w:spacing w:val="-3"/>
          <w:kern w:val="2"/>
        </w:rPr>
        <w:t xml:space="preserve"> En numerosas sentencias del órgano de cierre de la jurisdicción ordinaria laboral, se ha establecido que no puede argüirse que </w:t>
      </w:r>
      <w:r>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w:t>
      </w:r>
      <w:r>
        <w:rPr>
          <w:rFonts w:ascii="Tahoma" w:hAnsi="Tahoma" w:cs="Tahoma"/>
          <w:iCs/>
        </w:rPr>
        <w:lastRenderedPageBreak/>
        <w:t xml:space="preserve">que desde el inicio haya correspondido a las Administradoras de Fondos de Pensiones </w:t>
      </w:r>
      <w:r>
        <w:rPr>
          <w:rFonts w:ascii="Arial Narrow" w:hAnsi="Arial Narrow" w:cs="Tahoma"/>
          <w:i/>
          <w:iCs/>
        </w:rPr>
        <w:t>“</w:t>
      </w:r>
      <w:r>
        <w:rPr>
          <w:rFonts w:ascii="Arial Narrow" w:hAnsi="Arial Narrow" w:cs="Tahoma"/>
          <w:i/>
          <w:iCs/>
          <w:u w:val="single"/>
        </w:rPr>
        <w:t>dar cuenta de que documentaron clara y suficientemente los efectos que acarrea el cambio de régimen, so pena de declarar ineficaz ese tránsito.”</w:t>
      </w:r>
      <w:r>
        <w:rPr>
          <w:rFonts w:ascii="Arial Narrow" w:hAnsi="Arial Narrow" w:cs="Tahoma"/>
          <w:iCs/>
          <w:u w:val="single"/>
        </w:rPr>
        <w:t>.</w:t>
      </w:r>
    </w:p>
    <w:p w:rsidR="003552B5" w:rsidRDefault="003552B5" w:rsidP="003552B5">
      <w:pPr>
        <w:tabs>
          <w:tab w:val="left" w:pos="-720"/>
        </w:tabs>
        <w:suppressAutoHyphens/>
        <w:spacing w:line="276" w:lineRule="auto"/>
        <w:jc w:val="both"/>
        <w:rPr>
          <w:rFonts w:ascii="Tahoma" w:hAnsi="Tahoma" w:cs="Tahoma"/>
          <w:iCs/>
        </w:rPr>
      </w:pPr>
    </w:p>
    <w:p w:rsidR="003552B5" w:rsidRDefault="003552B5" w:rsidP="003552B5">
      <w:pPr>
        <w:tabs>
          <w:tab w:val="left" w:pos="-720"/>
        </w:tabs>
        <w:suppressAutoHyphens/>
        <w:spacing w:line="276" w:lineRule="auto"/>
        <w:jc w:val="both"/>
        <w:rPr>
          <w:rFonts w:ascii="Tahoma" w:hAnsi="Tahoma" w:cs="Tahoma"/>
          <w:iCs/>
        </w:rPr>
      </w:pPr>
      <w:r>
        <w:rPr>
          <w:rFonts w:ascii="Tahoma" w:hAnsi="Tahoma" w:cs="Tahoma"/>
          <w:iCs/>
        </w:rPr>
        <w:tab/>
        <w:t>Con sustento en lo anterior, considero que en todos los casos en que un afiliado ponga en cuestión la falta de información veraz, oportuna y completa de las incidencias del cambio del régimen,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esa trascendencia. Dicho deber es exigible desde las etapas previas y preparatorias a la formalización de la afiliación a la administradora, pues el sistema pensional, del que obviamente hacen parte las Administradoras de Fondos de Pensiones, se supone que actúa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0255C4" w:rsidRDefault="000255C4" w:rsidP="003552B5">
      <w:pPr>
        <w:tabs>
          <w:tab w:val="left" w:pos="-720"/>
        </w:tabs>
        <w:suppressAutoHyphens/>
        <w:spacing w:line="276" w:lineRule="auto"/>
        <w:jc w:val="both"/>
        <w:rPr>
          <w:i/>
          <w:iCs/>
        </w:rPr>
      </w:pPr>
    </w:p>
    <w:p w:rsidR="003552B5" w:rsidRDefault="003552B5" w:rsidP="003552B5">
      <w:pPr>
        <w:tabs>
          <w:tab w:val="left" w:pos="-720"/>
        </w:tabs>
        <w:suppressAutoHyphens/>
        <w:spacing w:line="276" w:lineRule="auto"/>
        <w:jc w:val="both"/>
        <w:rPr>
          <w:rFonts w:ascii="Tahoma" w:hAnsi="Tahoma" w:cs="Tahoma"/>
          <w:iCs/>
          <w:szCs w:val="24"/>
        </w:rPr>
      </w:pPr>
      <w:r>
        <w:rPr>
          <w:rFonts w:ascii="Tahoma" w:hAnsi="Tahoma" w:cs="Tahoma"/>
        </w:rPr>
        <w:tab/>
        <w:t xml:space="preserve">Por último, en mis salvamentos de voto he expresado la tesis según la cual, en términos generales, en los procesos en los que se busca la ineficacia del traslado al RAIS, es comprensible que la AFP demandada se encuentra en una situación de ventaja que les permite aportar las evidencias respecto a si se le brindó al afiliado la información cierta, suficiente, comprensible y oportuna a la hora de convencerlo de trasladarse de régimen, pues el Decreto </w:t>
      </w:r>
      <w:r w:rsidRPr="00160E91">
        <w:rPr>
          <w:rFonts w:ascii="Tahoma" w:hAnsi="Tahoma" w:cs="Tahoma"/>
          <w:spacing w:val="-3"/>
          <w:kern w:val="2"/>
        </w:rPr>
        <w:t>720 de 1994</w:t>
      </w:r>
      <w:r>
        <w:rPr>
          <w:rFonts w:ascii="Tahoma" w:hAnsi="Tahoma" w:cs="Tahoma"/>
          <w:spacing w:val="-3"/>
          <w:kern w:val="2"/>
        </w:rPr>
        <w:t>, como atrás se indicó, les impone tal deber</w:t>
      </w:r>
      <w:r>
        <w:rPr>
          <w:rFonts w:ascii="Tahoma" w:hAnsi="Tahoma" w:cs="Tahoma"/>
        </w:rPr>
        <w:t>.</w:t>
      </w:r>
    </w:p>
    <w:p w:rsidR="003552B5" w:rsidRDefault="003552B5" w:rsidP="003552B5">
      <w:pPr>
        <w:tabs>
          <w:tab w:val="left" w:pos="-720"/>
        </w:tabs>
        <w:suppressAutoHyphens/>
        <w:spacing w:line="276" w:lineRule="auto"/>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szCs w:val="24"/>
        </w:rPr>
      </w:pPr>
      <w:r>
        <w:rPr>
          <w:rFonts w:ascii="Tahoma" w:hAnsi="Tahoma" w:cs="Tahoma"/>
          <w:spacing w:val="-3"/>
          <w:kern w:val="2"/>
        </w:rPr>
        <w:t xml:space="preserve">En conclusión, he sostenido y sigo sosteniendo que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Considero con todo respeto, que la tesis mayoritaria de la Sala se muestra contraria al significado de un deber profesional, con lo cual se desconoce el principio que desde el antiguo derecho romano enseña que </w:t>
      </w:r>
      <w:r>
        <w:rPr>
          <w:rFonts w:ascii="Arial Narrow" w:hAnsi="Arial Narrow" w:cs="Tahoma"/>
          <w:i/>
          <w:spacing w:val="-3"/>
          <w:kern w:val="2"/>
        </w:rPr>
        <w:t xml:space="preserve">la “prueba de la diligencia o cuidado incumbe al que ha debido emplearlo (Art. 1604 C.C.)”, </w:t>
      </w:r>
      <w:r>
        <w:rPr>
          <w:rFonts w:ascii="Tahoma" w:hAnsi="Tahoma" w:cs="Tahoma"/>
          <w:spacing w:val="-3"/>
          <w:kern w:val="2"/>
          <w:szCs w:val="24"/>
        </w:rPr>
        <w:t>como lo expresé en precedencia.</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center"/>
        <w:rPr>
          <w:rFonts w:ascii="Tahoma" w:hAnsi="Tahoma" w:cs="Tahoma"/>
          <w:b/>
          <w:spacing w:val="-3"/>
          <w:kern w:val="2"/>
        </w:rPr>
      </w:pPr>
      <w:r>
        <w:rPr>
          <w:rFonts w:ascii="Tahoma" w:hAnsi="Tahoma" w:cs="Tahoma"/>
          <w:b/>
          <w:spacing w:val="-3"/>
          <w:kern w:val="2"/>
        </w:rPr>
        <w:t>CASO CONCRETO</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 xml:space="preserve">De los testimonios practicados en primera instancia y del contenido de la declaración de parte rendida por la demandante, no puede desprenderse el cumplimiento de los deberes profesionales de la AFP demandada, como quiera que apenas si tienen vagos recuerdos de la manera cómo se gestionó el traslado de la actora al RAIS, de modo que de sus dichos no se puede colegir que esta recibió información </w:t>
      </w:r>
      <w:r w:rsidRPr="00160E91">
        <w:rPr>
          <w:rFonts w:ascii="Tahoma" w:hAnsi="Tahoma" w:cs="Tahoma"/>
          <w:color w:val="000000"/>
        </w:rPr>
        <w:t>suficiente, amplia y oportuna</w:t>
      </w:r>
      <w:r>
        <w:rPr>
          <w:rFonts w:ascii="Tahoma" w:hAnsi="Tahoma" w:cs="Tahoma"/>
          <w:color w:val="000000"/>
        </w:rPr>
        <w:t xml:space="preserve"> acerca de las implicaciones de dicho traslado.</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 xml:space="preserve">Es claro entonces que las pruebas recaudadas en primera instancia no son suficientes para concluir que la AFP demandada cumplió con su deber de proporcionar a la demandante información clara, precisa, oportuna y comprensible de las implicaciones del </w:t>
      </w:r>
      <w:r>
        <w:rPr>
          <w:rFonts w:ascii="Tahoma" w:hAnsi="Tahoma" w:cs="Tahoma"/>
          <w:spacing w:val="-3"/>
          <w:kern w:val="2"/>
        </w:rPr>
        <w:lastRenderedPageBreak/>
        <w:t>cambio de régimen. Y aunque en efecto el RAIS, como lo mencionó el asesor de la AFP demandada en las reuniones que sostuvo con la demandante y sus compañeros de trabajo, tiene la ventaja de ofrecer una pensión anticipada (es decir antes de la edad mínima de pensión), ello y el monto de la prestación por vejez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spacing w:val="-3"/>
          <w:kern w:val="2"/>
        </w:rPr>
      </w:pPr>
      <w:r>
        <w:rPr>
          <w:rFonts w:ascii="Tahoma" w:hAnsi="Tahoma" w:cs="Tahoma"/>
          <w:spacing w:val="-3"/>
          <w:kern w:val="2"/>
        </w:rPr>
        <w:t xml:space="preserve">Aparte de lo anterior, tampoco acompaño a mis compañeros de Sala en la tesis según la cual los demandantes que ostenten la calidad de pensionados no pueden demandar la ineficacia del traslado por haber perdido la calidad de afiliados con el reconocimiento de tal prestación. </w:t>
      </w:r>
    </w:p>
    <w:p w:rsidR="003552B5" w:rsidRDefault="003552B5" w:rsidP="003552B5">
      <w:pPr>
        <w:tabs>
          <w:tab w:val="left" w:pos="-720"/>
        </w:tabs>
        <w:suppressAutoHyphens/>
        <w:jc w:val="both"/>
        <w:rPr>
          <w:rFonts w:ascii="Tahoma" w:hAnsi="Tahoma" w:cs="Tahoma"/>
          <w:spacing w:val="-3"/>
          <w:kern w:val="2"/>
        </w:rPr>
      </w:pPr>
    </w:p>
    <w:p w:rsidR="003552B5" w:rsidRDefault="003552B5" w:rsidP="003552B5">
      <w:pPr>
        <w:tabs>
          <w:tab w:val="left" w:pos="-720"/>
        </w:tabs>
        <w:suppressAutoHyphens/>
        <w:spacing w:line="276" w:lineRule="auto"/>
        <w:jc w:val="both"/>
        <w:rPr>
          <w:rFonts w:ascii="Tahoma" w:hAnsi="Tahoma" w:cs="Tahoma"/>
          <w:lang w:val="es-MX"/>
        </w:rPr>
      </w:pPr>
      <w:r w:rsidRPr="00CF4C46">
        <w:rPr>
          <w:rFonts w:ascii="Tahoma" w:hAnsi="Tahoma" w:cs="Tahoma"/>
          <w:spacing w:val="-3"/>
          <w:kern w:val="2"/>
        </w:rPr>
        <w:t xml:space="preserve">A mi modo de ver es equivocada la conclusión de </w:t>
      </w:r>
      <w:r>
        <w:rPr>
          <w:rFonts w:ascii="Tahoma" w:hAnsi="Tahoma" w:cs="Tahoma"/>
          <w:spacing w:val="-3"/>
          <w:kern w:val="2"/>
        </w:rPr>
        <w:t>que la pretensora</w:t>
      </w:r>
      <w:r w:rsidRPr="00CF4C46">
        <w:rPr>
          <w:rFonts w:ascii="Tahoma" w:hAnsi="Tahoma" w:cs="Tahoma"/>
          <w:spacing w:val="-3"/>
          <w:kern w:val="2"/>
        </w:rPr>
        <w:t xml:space="preserve"> no estaba legitimada para demandar la ineficacia del traslado al RAIS,</w:t>
      </w:r>
      <w:r>
        <w:rPr>
          <w:rFonts w:ascii="Tahoma" w:hAnsi="Tahoma" w:cs="Tahoma"/>
          <w:spacing w:val="-3"/>
          <w:kern w:val="2"/>
        </w:rPr>
        <w:t xml:space="preserve"> toda vez que</w:t>
      </w:r>
      <w:r w:rsidRPr="00CF4C46">
        <w:rPr>
          <w:rFonts w:ascii="Tahoma" w:hAnsi="Tahoma" w:cs="Tahoma"/>
          <w:spacing w:val="-3"/>
          <w:kern w:val="2"/>
        </w:rPr>
        <w:t xml:space="preserve"> el </w:t>
      </w:r>
      <w:r w:rsidRPr="00CF4C46">
        <w:rPr>
          <w:rFonts w:ascii="Tahoma" w:hAnsi="Tahoma" w:cs="Tahoma"/>
          <w:iCs/>
        </w:rPr>
        <w:t>reconocimiento de la pensión de vejez al demandante nunca ha sido un obstáculo para que la Sala de Casación Laboral de la Corte Suprema de Justicia declare la nulidad de la vinculación del pensionado al RAIS, cuando hay lugar a la misma. En varias oportunidades, dicha Corporación se ha ocupado de aclarar que l</w:t>
      </w:r>
      <w:r w:rsidRPr="00CF4C46">
        <w:rPr>
          <w:rFonts w:ascii="Tahoma" w:hAnsi="Tahoma" w:cs="Tahoma"/>
        </w:rPr>
        <w:t>as consecuencias de la nulidad o ineficacia de la vinculación a la Administradora de Pensiones del Régimen Individual, por un acto indebido de ésta, como lo es la omisión de información o la inducción a error del afiliado, tiene la consecuencia de no producir sus efectos propios, sino los que en su lugar establece la ley, para concluir que la</w:t>
      </w:r>
      <w:r w:rsidRPr="00CF4C46">
        <w:rPr>
          <w:rFonts w:ascii="Tahoma" w:hAnsi="Tahoma" w:cs="Tahoma"/>
          <w:lang w:val="es-MX"/>
        </w:rPr>
        <w:t xml:space="preserve"> anulación de la vinculación a partir de cuando esta se declara la priva hacia futuro de todo efecto, esto es, de ella no se puede derivar ningún derecho u obligación entre la parte actora y la entidad demandada, por mesadas pensionales o gastos de administración a partir de la fecha de notificación de la sentencia que declara ineficaz el traslado. En conclusión, la ineficacia de la vinculación acarrea la del acto de reconocimiento del derecho pensional, y así, por tanto, la AFP queda relevada en estos casos de toda obligación de pago futuro por mesadas pensionales, pero pierde las que haya pagado.</w:t>
      </w:r>
    </w:p>
    <w:p w:rsidR="003552B5" w:rsidRDefault="003552B5" w:rsidP="003552B5">
      <w:pPr>
        <w:tabs>
          <w:tab w:val="left" w:pos="-720"/>
        </w:tabs>
        <w:suppressAutoHyphens/>
        <w:jc w:val="both"/>
        <w:rPr>
          <w:rFonts w:ascii="Tahoma" w:hAnsi="Tahoma" w:cs="Tahoma"/>
          <w:lang w:val="es-MX"/>
        </w:rPr>
      </w:pPr>
    </w:p>
    <w:p w:rsidR="003552B5" w:rsidRDefault="003552B5" w:rsidP="003552B5">
      <w:pPr>
        <w:tabs>
          <w:tab w:val="left" w:pos="-720"/>
        </w:tabs>
        <w:suppressAutoHyphens/>
        <w:spacing w:line="276" w:lineRule="auto"/>
        <w:jc w:val="both"/>
        <w:rPr>
          <w:rFonts w:ascii="Tahoma" w:hAnsi="Tahoma" w:cs="Tahoma"/>
          <w:lang w:val="es-MX"/>
        </w:rPr>
      </w:pPr>
      <w:r>
        <w:rPr>
          <w:rFonts w:ascii="Tahoma" w:hAnsi="Tahoma" w:cs="Tahoma"/>
          <w:lang w:val="es-MX"/>
        </w:rPr>
        <w:t>De esta manera dejo planteados los argumentos en virtud de los cuales me aparto de la decisión mayoritaria en este caso.</w:t>
      </w:r>
    </w:p>
    <w:p w:rsidR="003552B5" w:rsidRDefault="003552B5" w:rsidP="003552B5">
      <w:pPr>
        <w:tabs>
          <w:tab w:val="left" w:pos="-720"/>
        </w:tabs>
        <w:suppressAutoHyphens/>
        <w:spacing w:line="276" w:lineRule="auto"/>
        <w:jc w:val="both"/>
        <w:rPr>
          <w:rFonts w:ascii="Tahoma" w:hAnsi="Tahoma" w:cs="Tahoma"/>
          <w:lang w:val="es-MX"/>
        </w:rPr>
      </w:pPr>
    </w:p>
    <w:p w:rsidR="003552B5" w:rsidRDefault="003552B5" w:rsidP="003552B5">
      <w:pPr>
        <w:tabs>
          <w:tab w:val="left" w:pos="-720"/>
        </w:tabs>
        <w:suppressAutoHyphens/>
        <w:spacing w:line="276" w:lineRule="auto"/>
        <w:jc w:val="both"/>
        <w:rPr>
          <w:rFonts w:ascii="Tahoma" w:hAnsi="Tahoma" w:cs="Tahoma"/>
          <w:lang w:val="es-MX"/>
        </w:rPr>
      </w:pPr>
    </w:p>
    <w:p w:rsidR="003552B5" w:rsidRDefault="003552B5" w:rsidP="003552B5">
      <w:pPr>
        <w:tabs>
          <w:tab w:val="left" w:pos="-720"/>
        </w:tabs>
        <w:suppressAutoHyphens/>
        <w:spacing w:line="276" w:lineRule="auto"/>
        <w:jc w:val="both"/>
        <w:rPr>
          <w:rFonts w:ascii="Tahoma" w:hAnsi="Tahoma" w:cs="Tahoma"/>
          <w:lang w:val="es-MX"/>
        </w:rPr>
      </w:pPr>
    </w:p>
    <w:p w:rsidR="003552B5" w:rsidRDefault="003552B5" w:rsidP="003552B5">
      <w:pPr>
        <w:tabs>
          <w:tab w:val="left" w:pos="-720"/>
        </w:tabs>
        <w:suppressAutoHyphens/>
        <w:spacing w:line="276" w:lineRule="auto"/>
        <w:jc w:val="both"/>
        <w:rPr>
          <w:rFonts w:ascii="Tahoma" w:hAnsi="Tahoma" w:cs="Tahoma"/>
          <w:spacing w:val="-3"/>
          <w:kern w:val="2"/>
        </w:rPr>
      </w:pPr>
    </w:p>
    <w:p w:rsidR="003552B5" w:rsidRDefault="003552B5" w:rsidP="003552B5">
      <w:pPr>
        <w:spacing w:line="276" w:lineRule="auto"/>
        <w:jc w:val="center"/>
        <w:rPr>
          <w:rFonts w:ascii="Tahoma" w:hAnsi="Tahoma" w:cs="Tahoma"/>
          <w:b/>
          <w:bCs/>
          <w:iCs/>
        </w:rPr>
      </w:pPr>
      <w:r>
        <w:rPr>
          <w:rFonts w:ascii="Tahoma" w:hAnsi="Tahoma" w:cs="Tahoma"/>
          <w:b/>
          <w:bCs/>
          <w:iCs/>
        </w:rPr>
        <w:t>ANA LUCÍA CAICEDO CALDERÓN</w:t>
      </w:r>
    </w:p>
    <w:p w:rsidR="003552B5" w:rsidRPr="003552B5" w:rsidRDefault="003552B5" w:rsidP="003552B5">
      <w:pPr>
        <w:spacing w:line="276" w:lineRule="auto"/>
        <w:jc w:val="center"/>
        <w:rPr>
          <w:rFonts w:ascii="Tahoma" w:hAnsi="Tahoma" w:cs="Tahoma"/>
          <w:spacing w:val="-3"/>
          <w:kern w:val="2"/>
        </w:rPr>
      </w:pPr>
      <w:r>
        <w:rPr>
          <w:rFonts w:ascii="Tahoma" w:hAnsi="Tahoma" w:cs="Tahoma"/>
        </w:rPr>
        <w:t>Magistrada</w:t>
      </w:r>
    </w:p>
    <w:sectPr w:rsidR="003552B5" w:rsidRPr="003552B5" w:rsidSect="00D55E3A">
      <w:headerReference w:type="default" r:id="rId8"/>
      <w:footerReference w:type="even"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E4" w:rsidRDefault="00DA46E4" w:rsidP="00226D5F">
      <w:r>
        <w:separator/>
      </w:r>
    </w:p>
  </w:endnote>
  <w:endnote w:type="continuationSeparator" w:id="0">
    <w:p w:rsidR="00DA46E4" w:rsidRDefault="00DA46E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DA46E4"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6B4BB4" w:rsidRDefault="002C2FDF" w:rsidP="00A15930">
    <w:pPr>
      <w:pStyle w:val="Piedepgina"/>
      <w:framePr w:wrap="around" w:vAnchor="text" w:hAnchor="margin" w:xAlign="right" w:y="1"/>
      <w:rPr>
        <w:rStyle w:val="Nmerodepgina"/>
        <w:rFonts w:ascii="Arial" w:hAnsi="Arial" w:cs="Arial"/>
        <w:sz w:val="20"/>
      </w:rPr>
    </w:pPr>
    <w:r w:rsidRPr="006B4BB4">
      <w:rPr>
        <w:rStyle w:val="Nmerodepgina"/>
        <w:rFonts w:ascii="Arial" w:hAnsi="Arial" w:cs="Arial"/>
        <w:sz w:val="20"/>
      </w:rPr>
      <w:fldChar w:fldCharType="begin"/>
    </w:r>
    <w:r w:rsidR="0083155E" w:rsidRPr="006B4BB4">
      <w:rPr>
        <w:rStyle w:val="Nmerodepgina"/>
        <w:rFonts w:ascii="Arial" w:hAnsi="Arial" w:cs="Arial"/>
        <w:sz w:val="20"/>
      </w:rPr>
      <w:instrText xml:space="preserve">PAGE  </w:instrText>
    </w:r>
    <w:r w:rsidRPr="006B4BB4">
      <w:rPr>
        <w:rStyle w:val="Nmerodepgina"/>
        <w:rFonts w:ascii="Arial" w:hAnsi="Arial" w:cs="Arial"/>
        <w:sz w:val="20"/>
      </w:rPr>
      <w:fldChar w:fldCharType="separate"/>
    </w:r>
    <w:r w:rsidR="00DE60A2">
      <w:rPr>
        <w:rStyle w:val="Nmerodepgina"/>
        <w:rFonts w:ascii="Arial" w:hAnsi="Arial" w:cs="Arial"/>
        <w:noProof/>
        <w:sz w:val="20"/>
      </w:rPr>
      <w:t>8</w:t>
    </w:r>
    <w:r w:rsidRPr="006B4BB4">
      <w:rPr>
        <w:rStyle w:val="Nmerodepgina"/>
        <w:rFonts w:ascii="Arial" w:hAnsi="Arial" w:cs="Arial"/>
        <w:sz w:val="20"/>
      </w:rPr>
      <w:fldChar w:fldCharType="end"/>
    </w:r>
  </w:p>
  <w:p w:rsidR="009B4A56" w:rsidRDefault="00DA46E4"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E4" w:rsidRDefault="00DA46E4" w:rsidP="00226D5F">
      <w:r>
        <w:separator/>
      </w:r>
    </w:p>
  </w:footnote>
  <w:footnote w:type="continuationSeparator" w:id="0">
    <w:p w:rsidR="00DA46E4" w:rsidRDefault="00DA46E4" w:rsidP="00226D5F">
      <w:r>
        <w:continuationSeparator/>
      </w:r>
    </w:p>
  </w:footnote>
  <w:footnote w:id="1">
    <w:p w:rsidR="005B3027" w:rsidRPr="005B3027" w:rsidRDefault="005B3027" w:rsidP="00A02FAF">
      <w:pPr>
        <w:pStyle w:val="Ttulo1"/>
        <w:tabs>
          <w:tab w:val="left" w:pos="1418"/>
        </w:tabs>
        <w:spacing w:line="276" w:lineRule="auto"/>
        <w:ind w:left="0" w:firstLine="0"/>
        <w:rPr>
          <w:lang w:val="es-CO"/>
        </w:rPr>
      </w:pPr>
      <w:r w:rsidRPr="0062560F">
        <w:rPr>
          <w:rStyle w:val="Refdenotaalpie"/>
          <w:b w:val="0"/>
          <w:sz w:val="18"/>
          <w:szCs w:val="18"/>
        </w:rPr>
        <w:footnoteRef/>
      </w:r>
      <w:r w:rsidRPr="0062560F">
        <w:rPr>
          <w:b w:val="0"/>
          <w:sz w:val="18"/>
          <w:szCs w:val="18"/>
        </w:rPr>
        <w:t xml:space="preserve"> </w:t>
      </w:r>
      <w:r w:rsidRPr="0062560F">
        <w:rPr>
          <w:rFonts w:cs="Arial"/>
          <w:b w:val="0"/>
          <w:spacing w:val="-3"/>
          <w:sz w:val="18"/>
          <w:szCs w:val="18"/>
        </w:rPr>
        <w:t xml:space="preserve">CSJ SC de 14 de marzo de 2002, Rad. </w:t>
      </w:r>
      <w:r w:rsidRPr="0062560F">
        <w:rPr>
          <w:rFonts w:cs="Arial"/>
          <w:b w:val="0"/>
          <w:sz w:val="18"/>
          <w:szCs w:val="18"/>
        </w:rPr>
        <w:t>6139</w:t>
      </w:r>
      <w:r w:rsidR="0062560F" w:rsidRPr="0062560F">
        <w:rPr>
          <w:rFonts w:cs="Arial"/>
          <w:b w:val="0"/>
          <w:sz w:val="18"/>
          <w:szCs w:val="18"/>
        </w:rPr>
        <w:t>, reiterada en la SC2642-2015, Radicación n° 11</w:t>
      </w:r>
      <w:r w:rsidR="0062560F" w:rsidRPr="0062560F">
        <w:rPr>
          <w:rFonts w:cs="Arial"/>
          <w:b w:val="0"/>
          <w:sz w:val="18"/>
          <w:szCs w:val="18"/>
          <w:lang w:val="es-CO"/>
        </w:rPr>
        <w:t>001-31-03-030-1993-05281-01 del 10/03/2015.</w:t>
      </w:r>
    </w:p>
  </w:footnote>
  <w:footnote w:id="2">
    <w:p w:rsidR="00D606E2" w:rsidRPr="000255C4" w:rsidRDefault="00D606E2">
      <w:pPr>
        <w:pStyle w:val="Textonotapie"/>
        <w:rPr>
          <w:rFonts w:ascii="Arial" w:hAnsi="Arial" w:cs="Arial"/>
          <w:sz w:val="18"/>
          <w:szCs w:val="18"/>
          <w:lang w:val="es-CO"/>
        </w:rPr>
      </w:pPr>
      <w:r w:rsidRPr="000255C4">
        <w:rPr>
          <w:rStyle w:val="Refdenotaalpie"/>
          <w:rFonts w:ascii="Arial" w:hAnsi="Arial" w:cs="Arial"/>
          <w:sz w:val="18"/>
          <w:szCs w:val="18"/>
        </w:rPr>
        <w:footnoteRef/>
      </w:r>
      <w:r w:rsidRPr="000255C4">
        <w:rPr>
          <w:rFonts w:ascii="Arial" w:hAnsi="Arial" w:cs="Arial"/>
          <w:sz w:val="18"/>
          <w:szCs w:val="18"/>
        </w:rPr>
        <w:t xml:space="preserve"> CSJ SC de 23 de abril de 2007, Rad. 1999-00125-01.</w:t>
      </w:r>
    </w:p>
  </w:footnote>
  <w:footnote w:id="3">
    <w:p w:rsidR="003552B5" w:rsidRDefault="003552B5" w:rsidP="003552B5">
      <w:pPr>
        <w:pStyle w:val="Textonotapie"/>
        <w:rPr>
          <w:lang w:val="es-CO"/>
        </w:rPr>
      </w:pPr>
      <w:r w:rsidRPr="000255C4">
        <w:rPr>
          <w:rStyle w:val="Refdenotaalpie"/>
          <w:rFonts w:ascii="Arial" w:hAnsi="Arial" w:cs="Arial"/>
          <w:sz w:val="18"/>
          <w:szCs w:val="18"/>
        </w:rPr>
        <w:footnoteRef/>
      </w:r>
      <w:r w:rsidRPr="000255C4">
        <w:rPr>
          <w:rFonts w:ascii="Arial" w:hAnsi="Arial" w:cs="Arial"/>
          <w:sz w:val="18"/>
          <w:szCs w:val="18"/>
        </w:rPr>
        <w:t xml:space="preserve"> </w:t>
      </w:r>
      <w:r w:rsidRPr="000255C4">
        <w:rPr>
          <w:rFonts w:ascii="Arial" w:hAnsi="Arial" w:cs="Arial"/>
          <w:sz w:val="18"/>
          <w:szCs w:val="18"/>
          <w:lang w:val="es-CO"/>
        </w:rPr>
        <w:t xml:space="preserve">Estatuto Orgánico del Sistema Financiero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EA5EFB" w:rsidP="005B2698">
    <w:pPr>
      <w:pStyle w:val="Encabezado"/>
      <w:jc w:val="center"/>
      <w:rPr>
        <w:rFonts w:ascii="Arial" w:hAnsi="Arial" w:cs="Arial"/>
        <w:sz w:val="18"/>
        <w:szCs w:val="18"/>
      </w:rPr>
    </w:pPr>
    <w:r>
      <w:rPr>
        <w:rFonts w:ascii="Arial" w:hAnsi="Arial" w:cs="Arial"/>
        <w:bCs/>
        <w:sz w:val="18"/>
        <w:szCs w:val="18"/>
      </w:rPr>
      <w:t>66001-31-05-00</w:t>
    </w:r>
    <w:r w:rsidR="0007040D">
      <w:rPr>
        <w:rFonts w:ascii="Arial" w:hAnsi="Arial" w:cs="Arial"/>
        <w:bCs/>
        <w:sz w:val="18"/>
        <w:szCs w:val="18"/>
      </w:rPr>
      <w:t>3</w:t>
    </w:r>
    <w:r w:rsidR="005B2698">
      <w:rPr>
        <w:rFonts w:ascii="Arial" w:hAnsi="Arial" w:cs="Arial"/>
        <w:bCs/>
        <w:sz w:val="18"/>
        <w:szCs w:val="18"/>
      </w:rPr>
      <w:t>-201</w:t>
    </w:r>
    <w:r w:rsidR="0007040D">
      <w:rPr>
        <w:rFonts w:ascii="Arial" w:hAnsi="Arial" w:cs="Arial"/>
        <w:bCs/>
        <w:sz w:val="18"/>
        <w:szCs w:val="18"/>
      </w:rPr>
      <w:t>7</w:t>
    </w:r>
    <w:r w:rsidR="005B2698" w:rsidRPr="007C5A02">
      <w:rPr>
        <w:rFonts w:ascii="Arial" w:hAnsi="Arial" w:cs="Arial"/>
        <w:bCs/>
        <w:sz w:val="18"/>
        <w:szCs w:val="18"/>
      </w:rPr>
      <w:t>-00</w:t>
    </w:r>
    <w:r w:rsidR="0007040D">
      <w:rPr>
        <w:rFonts w:ascii="Arial" w:hAnsi="Arial" w:cs="Arial"/>
        <w:bCs/>
        <w:sz w:val="18"/>
        <w:szCs w:val="18"/>
      </w:rPr>
      <w:t>322</w:t>
    </w:r>
    <w:r w:rsidR="005B2698" w:rsidRPr="007C5A02">
      <w:rPr>
        <w:rFonts w:ascii="Arial" w:hAnsi="Arial" w:cs="Arial"/>
        <w:bCs/>
        <w:sz w:val="18"/>
        <w:szCs w:val="18"/>
      </w:rPr>
      <w:t>-01</w:t>
    </w:r>
  </w:p>
  <w:p w:rsidR="005B2698" w:rsidRDefault="0007040D" w:rsidP="00346FD3">
    <w:pPr>
      <w:pStyle w:val="Encabezado"/>
      <w:jc w:val="center"/>
    </w:pPr>
    <w:r>
      <w:rPr>
        <w:rFonts w:ascii="Arial" w:hAnsi="Arial" w:cs="Arial"/>
        <w:sz w:val="18"/>
        <w:szCs w:val="18"/>
      </w:rPr>
      <w:t xml:space="preserve">Elizabeth Reina Castaño </w:t>
    </w:r>
    <w:r w:rsidR="005B2698">
      <w:rPr>
        <w:rFonts w:ascii="Arial" w:hAnsi="Arial" w:cs="Arial"/>
        <w:sz w:val="18"/>
        <w:szCs w:val="18"/>
      </w:rPr>
      <w:t>vs Colpensiones</w:t>
    </w:r>
    <w:r w:rsidR="002F3808">
      <w:rPr>
        <w:rFonts w:ascii="Arial" w:hAnsi="Arial" w:cs="Arial"/>
        <w:sz w:val="18"/>
        <w:szCs w:val="18"/>
      </w:rPr>
      <w:t xml:space="preserve"> – </w:t>
    </w:r>
    <w:r>
      <w:rPr>
        <w:rFonts w:ascii="Arial" w:hAnsi="Arial" w:cs="Arial"/>
        <w:sz w:val="18"/>
        <w:szCs w:val="18"/>
      </w:rPr>
      <w:t xml:space="preserve">Porvenir </w:t>
    </w:r>
    <w:r w:rsidR="002F3808">
      <w:rPr>
        <w:rFonts w:ascii="Arial" w:hAnsi="Arial" w:cs="Arial"/>
        <w:sz w:val="18"/>
        <w:szCs w:val="18"/>
      </w:rPr>
      <w:t xml:space="preserve">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6ED7108"/>
    <w:multiLevelType w:val="hybridMultilevel"/>
    <w:tmpl w:val="EF287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13"/>
  </w:num>
  <w:num w:numId="5">
    <w:abstractNumId w:val="0"/>
  </w:num>
  <w:num w:numId="6">
    <w:abstractNumId w:val="11"/>
  </w:num>
  <w:num w:numId="7">
    <w:abstractNumId w:val="5"/>
  </w:num>
  <w:num w:numId="8">
    <w:abstractNumId w:val="9"/>
  </w:num>
  <w:num w:numId="9">
    <w:abstractNumId w:val="10"/>
  </w:num>
  <w:num w:numId="10">
    <w:abstractNumId w:val="4"/>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924"/>
    <w:rsid w:val="00001FEB"/>
    <w:rsid w:val="0000581C"/>
    <w:rsid w:val="00007B72"/>
    <w:rsid w:val="00021BF4"/>
    <w:rsid w:val="000255C4"/>
    <w:rsid w:val="00027FF3"/>
    <w:rsid w:val="00032A81"/>
    <w:rsid w:val="00037207"/>
    <w:rsid w:val="00040E9A"/>
    <w:rsid w:val="000429E7"/>
    <w:rsid w:val="0004350E"/>
    <w:rsid w:val="000452F4"/>
    <w:rsid w:val="0007040D"/>
    <w:rsid w:val="00082B30"/>
    <w:rsid w:val="00084002"/>
    <w:rsid w:val="00091124"/>
    <w:rsid w:val="00091A06"/>
    <w:rsid w:val="000A0B14"/>
    <w:rsid w:val="000A397D"/>
    <w:rsid w:val="000B31AD"/>
    <w:rsid w:val="000B75F8"/>
    <w:rsid w:val="000C08B1"/>
    <w:rsid w:val="000C0A51"/>
    <w:rsid w:val="000C1F87"/>
    <w:rsid w:val="000D0444"/>
    <w:rsid w:val="000D1C2C"/>
    <w:rsid w:val="000D290D"/>
    <w:rsid w:val="000D29C3"/>
    <w:rsid w:val="000D6AE3"/>
    <w:rsid w:val="000E1962"/>
    <w:rsid w:val="000E70EB"/>
    <w:rsid w:val="000E7F42"/>
    <w:rsid w:val="000F08C1"/>
    <w:rsid w:val="000F38F8"/>
    <w:rsid w:val="000F5775"/>
    <w:rsid w:val="000F6FF9"/>
    <w:rsid w:val="00101DEB"/>
    <w:rsid w:val="00106A7E"/>
    <w:rsid w:val="001110EC"/>
    <w:rsid w:val="00111BE3"/>
    <w:rsid w:val="00114A55"/>
    <w:rsid w:val="00117283"/>
    <w:rsid w:val="00122A57"/>
    <w:rsid w:val="001264F3"/>
    <w:rsid w:val="00127390"/>
    <w:rsid w:val="00127D59"/>
    <w:rsid w:val="001300FF"/>
    <w:rsid w:val="001313BB"/>
    <w:rsid w:val="00132136"/>
    <w:rsid w:val="00133274"/>
    <w:rsid w:val="00134C86"/>
    <w:rsid w:val="00136DC9"/>
    <w:rsid w:val="0014290C"/>
    <w:rsid w:val="00145D45"/>
    <w:rsid w:val="00146784"/>
    <w:rsid w:val="00146F86"/>
    <w:rsid w:val="00151019"/>
    <w:rsid w:val="001529DF"/>
    <w:rsid w:val="001625EE"/>
    <w:rsid w:val="001667FB"/>
    <w:rsid w:val="00171C56"/>
    <w:rsid w:val="00172834"/>
    <w:rsid w:val="0017471F"/>
    <w:rsid w:val="00183477"/>
    <w:rsid w:val="00183D6B"/>
    <w:rsid w:val="00192855"/>
    <w:rsid w:val="001A1067"/>
    <w:rsid w:val="001A2492"/>
    <w:rsid w:val="001A4D21"/>
    <w:rsid w:val="001B03FA"/>
    <w:rsid w:val="001C2AC2"/>
    <w:rsid w:val="001C46FA"/>
    <w:rsid w:val="001C4D7F"/>
    <w:rsid w:val="001D05B9"/>
    <w:rsid w:val="001D1600"/>
    <w:rsid w:val="001D17B0"/>
    <w:rsid w:val="001D6B97"/>
    <w:rsid w:val="001E0313"/>
    <w:rsid w:val="001E0350"/>
    <w:rsid w:val="001E1F6B"/>
    <w:rsid w:val="001E3462"/>
    <w:rsid w:val="001E5783"/>
    <w:rsid w:val="00215A3D"/>
    <w:rsid w:val="002162EA"/>
    <w:rsid w:val="00226D5F"/>
    <w:rsid w:val="0022785B"/>
    <w:rsid w:val="0023095E"/>
    <w:rsid w:val="00230AFD"/>
    <w:rsid w:val="00231C21"/>
    <w:rsid w:val="002320EB"/>
    <w:rsid w:val="00242152"/>
    <w:rsid w:val="002433A6"/>
    <w:rsid w:val="00245E32"/>
    <w:rsid w:val="002465A0"/>
    <w:rsid w:val="00247BBE"/>
    <w:rsid w:val="00251CC1"/>
    <w:rsid w:val="00264477"/>
    <w:rsid w:val="002653C4"/>
    <w:rsid w:val="00265520"/>
    <w:rsid w:val="00272C8B"/>
    <w:rsid w:val="00273805"/>
    <w:rsid w:val="0027675D"/>
    <w:rsid w:val="00287CC2"/>
    <w:rsid w:val="00290C0B"/>
    <w:rsid w:val="002A02BA"/>
    <w:rsid w:val="002A1785"/>
    <w:rsid w:val="002B556B"/>
    <w:rsid w:val="002C07C8"/>
    <w:rsid w:val="002C15F7"/>
    <w:rsid w:val="002C2FDF"/>
    <w:rsid w:val="002C313D"/>
    <w:rsid w:val="002C34AB"/>
    <w:rsid w:val="002D297D"/>
    <w:rsid w:val="002D6807"/>
    <w:rsid w:val="002D7EB7"/>
    <w:rsid w:val="002E36F9"/>
    <w:rsid w:val="002E4E5A"/>
    <w:rsid w:val="002E4F47"/>
    <w:rsid w:val="002E5A74"/>
    <w:rsid w:val="002E5D7E"/>
    <w:rsid w:val="002E6475"/>
    <w:rsid w:val="002F10BC"/>
    <w:rsid w:val="002F2DF0"/>
    <w:rsid w:val="002F3808"/>
    <w:rsid w:val="002F558D"/>
    <w:rsid w:val="0030070A"/>
    <w:rsid w:val="003008EA"/>
    <w:rsid w:val="00306036"/>
    <w:rsid w:val="00307D6D"/>
    <w:rsid w:val="00321FC2"/>
    <w:rsid w:val="00323104"/>
    <w:rsid w:val="00324AD2"/>
    <w:rsid w:val="00331551"/>
    <w:rsid w:val="003328AD"/>
    <w:rsid w:val="00332C8A"/>
    <w:rsid w:val="003360D0"/>
    <w:rsid w:val="003440CA"/>
    <w:rsid w:val="003453C1"/>
    <w:rsid w:val="003463CD"/>
    <w:rsid w:val="003465C4"/>
    <w:rsid w:val="00346FD3"/>
    <w:rsid w:val="0035111E"/>
    <w:rsid w:val="00352DFD"/>
    <w:rsid w:val="003552B5"/>
    <w:rsid w:val="003578D3"/>
    <w:rsid w:val="00362A62"/>
    <w:rsid w:val="0037009F"/>
    <w:rsid w:val="00371B8E"/>
    <w:rsid w:val="00373E11"/>
    <w:rsid w:val="0037721C"/>
    <w:rsid w:val="00377573"/>
    <w:rsid w:val="00382C70"/>
    <w:rsid w:val="00385687"/>
    <w:rsid w:val="00390B71"/>
    <w:rsid w:val="003922FA"/>
    <w:rsid w:val="003932CB"/>
    <w:rsid w:val="00394E7B"/>
    <w:rsid w:val="003B4EA7"/>
    <w:rsid w:val="003C4BAB"/>
    <w:rsid w:val="003D26E0"/>
    <w:rsid w:val="003D4BCF"/>
    <w:rsid w:val="003F39CE"/>
    <w:rsid w:val="004073AD"/>
    <w:rsid w:val="00416A8D"/>
    <w:rsid w:val="00421E5A"/>
    <w:rsid w:val="004348AB"/>
    <w:rsid w:val="00440EFC"/>
    <w:rsid w:val="00450598"/>
    <w:rsid w:val="00450903"/>
    <w:rsid w:val="004519EB"/>
    <w:rsid w:val="0045273B"/>
    <w:rsid w:val="004539A2"/>
    <w:rsid w:val="00453DC3"/>
    <w:rsid w:val="00460E6E"/>
    <w:rsid w:val="00463033"/>
    <w:rsid w:val="004654DA"/>
    <w:rsid w:val="004670DA"/>
    <w:rsid w:val="00470873"/>
    <w:rsid w:val="00483775"/>
    <w:rsid w:val="00486A7E"/>
    <w:rsid w:val="004972EC"/>
    <w:rsid w:val="004A2468"/>
    <w:rsid w:val="004A62C3"/>
    <w:rsid w:val="004A7AB4"/>
    <w:rsid w:val="004B4EE3"/>
    <w:rsid w:val="004B74F6"/>
    <w:rsid w:val="004C2E37"/>
    <w:rsid w:val="004C644F"/>
    <w:rsid w:val="004D018B"/>
    <w:rsid w:val="004D01C5"/>
    <w:rsid w:val="004E4CC6"/>
    <w:rsid w:val="004E6D18"/>
    <w:rsid w:val="004F724D"/>
    <w:rsid w:val="00501034"/>
    <w:rsid w:val="0050197F"/>
    <w:rsid w:val="00502691"/>
    <w:rsid w:val="00515BDC"/>
    <w:rsid w:val="00517BA9"/>
    <w:rsid w:val="0052051D"/>
    <w:rsid w:val="005249FA"/>
    <w:rsid w:val="00526771"/>
    <w:rsid w:val="00526FAE"/>
    <w:rsid w:val="00530FDF"/>
    <w:rsid w:val="0053562A"/>
    <w:rsid w:val="005443F3"/>
    <w:rsid w:val="0055465D"/>
    <w:rsid w:val="0056183E"/>
    <w:rsid w:val="0056245D"/>
    <w:rsid w:val="00563496"/>
    <w:rsid w:val="00565E83"/>
    <w:rsid w:val="00566A83"/>
    <w:rsid w:val="00567B33"/>
    <w:rsid w:val="00567C97"/>
    <w:rsid w:val="00572BE9"/>
    <w:rsid w:val="005753A3"/>
    <w:rsid w:val="00580299"/>
    <w:rsid w:val="005832B0"/>
    <w:rsid w:val="00586CB3"/>
    <w:rsid w:val="00587102"/>
    <w:rsid w:val="005878E1"/>
    <w:rsid w:val="00591F75"/>
    <w:rsid w:val="00594723"/>
    <w:rsid w:val="005A0233"/>
    <w:rsid w:val="005A7629"/>
    <w:rsid w:val="005B2698"/>
    <w:rsid w:val="005B3027"/>
    <w:rsid w:val="005B6398"/>
    <w:rsid w:val="005B7D0B"/>
    <w:rsid w:val="005C0019"/>
    <w:rsid w:val="005C0EEA"/>
    <w:rsid w:val="005C3E71"/>
    <w:rsid w:val="005C4852"/>
    <w:rsid w:val="005C6C02"/>
    <w:rsid w:val="005D1C5A"/>
    <w:rsid w:val="005E0ED1"/>
    <w:rsid w:val="005E5180"/>
    <w:rsid w:val="005E7DA5"/>
    <w:rsid w:val="005F1504"/>
    <w:rsid w:val="005F5DE3"/>
    <w:rsid w:val="005F5E82"/>
    <w:rsid w:val="006135E9"/>
    <w:rsid w:val="0061484D"/>
    <w:rsid w:val="006159DE"/>
    <w:rsid w:val="0062213D"/>
    <w:rsid w:val="0062560F"/>
    <w:rsid w:val="00626482"/>
    <w:rsid w:val="00627014"/>
    <w:rsid w:val="00631734"/>
    <w:rsid w:val="00631D50"/>
    <w:rsid w:val="00637118"/>
    <w:rsid w:val="0064158C"/>
    <w:rsid w:val="006416F7"/>
    <w:rsid w:val="006441E7"/>
    <w:rsid w:val="006516CA"/>
    <w:rsid w:val="006568FF"/>
    <w:rsid w:val="00662013"/>
    <w:rsid w:val="00662287"/>
    <w:rsid w:val="00675E25"/>
    <w:rsid w:val="00680478"/>
    <w:rsid w:val="00682BA8"/>
    <w:rsid w:val="006A0A58"/>
    <w:rsid w:val="006A0C72"/>
    <w:rsid w:val="006A0D48"/>
    <w:rsid w:val="006A327E"/>
    <w:rsid w:val="006A3D88"/>
    <w:rsid w:val="006A6417"/>
    <w:rsid w:val="006B1DE0"/>
    <w:rsid w:val="006B292C"/>
    <w:rsid w:val="006B4BB4"/>
    <w:rsid w:val="006B603C"/>
    <w:rsid w:val="006D0816"/>
    <w:rsid w:val="006D510A"/>
    <w:rsid w:val="006E11A2"/>
    <w:rsid w:val="006E2F01"/>
    <w:rsid w:val="006E3949"/>
    <w:rsid w:val="006F2FF3"/>
    <w:rsid w:val="006F3D12"/>
    <w:rsid w:val="006F49D0"/>
    <w:rsid w:val="006F68BC"/>
    <w:rsid w:val="00701D28"/>
    <w:rsid w:val="00707BED"/>
    <w:rsid w:val="00712CFC"/>
    <w:rsid w:val="00713558"/>
    <w:rsid w:val="007148E6"/>
    <w:rsid w:val="00716474"/>
    <w:rsid w:val="007220D1"/>
    <w:rsid w:val="0072470E"/>
    <w:rsid w:val="007258A6"/>
    <w:rsid w:val="00726322"/>
    <w:rsid w:val="00726CC1"/>
    <w:rsid w:val="007308D1"/>
    <w:rsid w:val="0073432C"/>
    <w:rsid w:val="007364DD"/>
    <w:rsid w:val="007465BA"/>
    <w:rsid w:val="00750744"/>
    <w:rsid w:val="0075168E"/>
    <w:rsid w:val="00756796"/>
    <w:rsid w:val="007619BE"/>
    <w:rsid w:val="00762A2D"/>
    <w:rsid w:val="007632AA"/>
    <w:rsid w:val="00764C9B"/>
    <w:rsid w:val="00773560"/>
    <w:rsid w:val="007752E8"/>
    <w:rsid w:val="00776EC7"/>
    <w:rsid w:val="00777D9C"/>
    <w:rsid w:val="00782DBB"/>
    <w:rsid w:val="0079339E"/>
    <w:rsid w:val="00795237"/>
    <w:rsid w:val="007A2D40"/>
    <w:rsid w:val="007A7E72"/>
    <w:rsid w:val="007B1977"/>
    <w:rsid w:val="007B5499"/>
    <w:rsid w:val="007B6F39"/>
    <w:rsid w:val="007C5A02"/>
    <w:rsid w:val="007C7B26"/>
    <w:rsid w:val="007D2FA6"/>
    <w:rsid w:val="007D40B8"/>
    <w:rsid w:val="007E399F"/>
    <w:rsid w:val="007E3F4A"/>
    <w:rsid w:val="007E5F18"/>
    <w:rsid w:val="007F111B"/>
    <w:rsid w:val="007F7476"/>
    <w:rsid w:val="007F7CE7"/>
    <w:rsid w:val="00802BE0"/>
    <w:rsid w:val="008031E8"/>
    <w:rsid w:val="00810397"/>
    <w:rsid w:val="00816880"/>
    <w:rsid w:val="00822615"/>
    <w:rsid w:val="00823AB2"/>
    <w:rsid w:val="008261E9"/>
    <w:rsid w:val="0083050B"/>
    <w:rsid w:val="0083061B"/>
    <w:rsid w:val="0083155E"/>
    <w:rsid w:val="008326DC"/>
    <w:rsid w:val="00844314"/>
    <w:rsid w:val="008460CC"/>
    <w:rsid w:val="008472E5"/>
    <w:rsid w:val="0084744F"/>
    <w:rsid w:val="00847ECD"/>
    <w:rsid w:val="00862EBC"/>
    <w:rsid w:val="00863C99"/>
    <w:rsid w:val="00867537"/>
    <w:rsid w:val="0087156D"/>
    <w:rsid w:val="008746EF"/>
    <w:rsid w:val="008751D8"/>
    <w:rsid w:val="008778BA"/>
    <w:rsid w:val="00881830"/>
    <w:rsid w:val="00886E0E"/>
    <w:rsid w:val="00891545"/>
    <w:rsid w:val="00895036"/>
    <w:rsid w:val="008A04F6"/>
    <w:rsid w:val="008B48B8"/>
    <w:rsid w:val="008B4C7F"/>
    <w:rsid w:val="008D0040"/>
    <w:rsid w:val="008D27EF"/>
    <w:rsid w:val="008D28C1"/>
    <w:rsid w:val="008D6CEB"/>
    <w:rsid w:val="008E0EF1"/>
    <w:rsid w:val="008E2244"/>
    <w:rsid w:val="008E2859"/>
    <w:rsid w:val="008E4150"/>
    <w:rsid w:val="008F003B"/>
    <w:rsid w:val="008F31EB"/>
    <w:rsid w:val="008F4895"/>
    <w:rsid w:val="009000D4"/>
    <w:rsid w:val="009071F5"/>
    <w:rsid w:val="00907A5F"/>
    <w:rsid w:val="009137A5"/>
    <w:rsid w:val="00915104"/>
    <w:rsid w:val="00915EE3"/>
    <w:rsid w:val="00916A3E"/>
    <w:rsid w:val="0096279F"/>
    <w:rsid w:val="009660D4"/>
    <w:rsid w:val="00966F23"/>
    <w:rsid w:val="009720D5"/>
    <w:rsid w:val="009740CF"/>
    <w:rsid w:val="00975DEE"/>
    <w:rsid w:val="00976605"/>
    <w:rsid w:val="009827E2"/>
    <w:rsid w:val="009849BE"/>
    <w:rsid w:val="0098620C"/>
    <w:rsid w:val="00991E33"/>
    <w:rsid w:val="00995393"/>
    <w:rsid w:val="009A78AA"/>
    <w:rsid w:val="009B14BB"/>
    <w:rsid w:val="009B2293"/>
    <w:rsid w:val="009C1D0E"/>
    <w:rsid w:val="009D008A"/>
    <w:rsid w:val="009D1438"/>
    <w:rsid w:val="009D1C5C"/>
    <w:rsid w:val="009D6F42"/>
    <w:rsid w:val="009D7B62"/>
    <w:rsid w:val="009E585E"/>
    <w:rsid w:val="009E5A8E"/>
    <w:rsid w:val="009F1835"/>
    <w:rsid w:val="009F24B8"/>
    <w:rsid w:val="009F2BAA"/>
    <w:rsid w:val="00A00BDA"/>
    <w:rsid w:val="00A01D27"/>
    <w:rsid w:val="00A02F74"/>
    <w:rsid w:val="00A02FAF"/>
    <w:rsid w:val="00A06A3C"/>
    <w:rsid w:val="00A20579"/>
    <w:rsid w:val="00A227F4"/>
    <w:rsid w:val="00A23CFA"/>
    <w:rsid w:val="00A27137"/>
    <w:rsid w:val="00A27753"/>
    <w:rsid w:val="00A27BBF"/>
    <w:rsid w:val="00A32B05"/>
    <w:rsid w:val="00A36479"/>
    <w:rsid w:val="00A36956"/>
    <w:rsid w:val="00A420D4"/>
    <w:rsid w:val="00A42244"/>
    <w:rsid w:val="00A47025"/>
    <w:rsid w:val="00A5024C"/>
    <w:rsid w:val="00A5112A"/>
    <w:rsid w:val="00A625FD"/>
    <w:rsid w:val="00A64882"/>
    <w:rsid w:val="00A65ED6"/>
    <w:rsid w:val="00A75F1F"/>
    <w:rsid w:val="00A86236"/>
    <w:rsid w:val="00A90A70"/>
    <w:rsid w:val="00A928D2"/>
    <w:rsid w:val="00A93DCA"/>
    <w:rsid w:val="00A957FB"/>
    <w:rsid w:val="00A97BFB"/>
    <w:rsid w:val="00AA41F8"/>
    <w:rsid w:val="00AA621B"/>
    <w:rsid w:val="00AB2427"/>
    <w:rsid w:val="00AC486E"/>
    <w:rsid w:val="00AD2915"/>
    <w:rsid w:val="00AD3851"/>
    <w:rsid w:val="00AD7EF8"/>
    <w:rsid w:val="00AE005C"/>
    <w:rsid w:val="00AE118E"/>
    <w:rsid w:val="00AE62E4"/>
    <w:rsid w:val="00AF127E"/>
    <w:rsid w:val="00AF5C75"/>
    <w:rsid w:val="00AF6E3F"/>
    <w:rsid w:val="00B01AA4"/>
    <w:rsid w:val="00B04151"/>
    <w:rsid w:val="00B0466B"/>
    <w:rsid w:val="00B220D2"/>
    <w:rsid w:val="00B22E56"/>
    <w:rsid w:val="00B278C2"/>
    <w:rsid w:val="00B30CFB"/>
    <w:rsid w:val="00B310BD"/>
    <w:rsid w:val="00B32CB1"/>
    <w:rsid w:val="00B3615A"/>
    <w:rsid w:val="00B364A1"/>
    <w:rsid w:val="00B51D73"/>
    <w:rsid w:val="00B54531"/>
    <w:rsid w:val="00B56E76"/>
    <w:rsid w:val="00B63804"/>
    <w:rsid w:val="00B65F9A"/>
    <w:rsid w:val="00B67118"/>
    <w:rsid w:val="00B86AC5"/>
    <w:rsid w:val="00B92076"/>
    <w:rsid w:val="00B9600C"/>
    <w:rsid w:val="00BA0C20"/>
    <w:rsid w:val="00BA1DBD"/>
    <w:rsid w:val="00BA2246"/>
    <w:rsid w:val="00BB1F45"/>
    <w:rsid w:val="00BC31C8"/>
    <w:rsid w:val="00BC4CF3"/>
    <w:rsid w:val="00BC5795"/>
    <w:rsid w:val="00BC70D9"/>
    <w:rsid w:val="00BD47D3"/>
    <w:rsid w:val="00BE0373"/>
    <w:rsid w:val="00BE5210"/>
    <w:rsid w:val="00BF2489"/>
    <w:rsid w:val="00BF6AFC"/>
    <w:rsid w:val="00C051EA"/>
    <w:rsid w:val="00C1062A"/>
    <w:rsid w:val="00C1591F"/>
    <w:rsid w:val="00C2188B"/>
    <w:rsid w:val="00C21DA2"/>
    <w:rsid w:val="00C32D2B"/>
    <w:rsid w:val="00C32DD1"/>
    <w:rsid w:val="00C3702E"/>
    <w:rsid w:val="00C465E0"/>
    <w:rsid w:val="00C53F0C"/>
    <w:rsid w:val="00C630BB"/>
    <w:rsid w:val="00C65FCA"/>
    <w:rsid w:val="00C81FE6"/>
    <w:rsid w:val="00C90E65"/>
    <w:rsid w:val="00C91182"/>
    <w:rsid w:val="00CA3CC7"/>
    <w:rsid w:val="00CA555A"/>
    <w:rsid w:val="00CA784B"/>
    <w:rsid w:val="00CB17D9"/>
    <w:rsid w:val="00CB25BE"/>
    <w:rsid w:val="00CC00C7"/>
    <w:rsid w:val="00CC19C8"/>
    <w:rsid w:val="00CC3422"/>
    <w:rsid w:val="00CC7431"/>
    <w:rsid w:val="00CC7519"/>
    <w:rsid w:val="00CD751B"/>
    <w:rsid w:val="00CD79DF"/>
    <w:rsid w:val="00CE3562"/>
    <w:rsid w:val="00CE714F"/>
    <w:rsid w:val="00CF562D"/>
    <w:rsid w:val="00CF576A"/>
    <w:rsid w:val="00D023DA"/>
    <w:rsid w:val="00D11004"/>
    <w:rsid w:val="00D13723"/>
    <w:rsid w:val="00D30BDA"/>
    <w:rsid w:val="00D30CEE"/>
    <w:rsid w:val="00D320B2"/>
    <w:rsid w:val="00D33344"/>
    <w:rsid w:val="00D47302"/>
    <w:rsid w:val="00D50A1D"/>
    <w:rsid w:val="00D51CB6"/>
    <w:rsid w:val="00D55E3A"/>
    <w:rsid w:val="00D578CB"/>
    <w:rsid w:val="00D6006C"/>
    <w:rsid w:val="00D606E2"/>
    <w:rsid w:val="00D665B9"/>
    <w:rsid w:val="00D703B6"/>
    <w:rsid w:val="00D736BD"/>
    <w:rsid w:val="00D747E2"/>
    <w:rsid w:val="00D8397D"/>
    <w:rsid w:val="00D91996"/>
    <w:rsid w:val="00DA3E57"/>
    <w:rsid w:val="00DA46E4"/>
    <w:rsid w:val="00DA4B0A"/>
    <w:rsid w:val="00DC004C"/>
    <w:rsid w:val="00DC299C"/>
    <w:rsid w:val="00DC3D92"/>
    <w:rsid w:val="00DD440F"/>
    <w:rsid w:val="00DD6BF4"/>
    <w:rsid w:val="00DE60A2"/>
    <w:rsid w:val="00DE66E2"/>
    <w:rsid w:val="00DF30A5"/>
    <w:rsid w:val="00E05455"/>
    <w:rsid w:val="00E062F9"/>
    <w:rsid w:val="00E101CA"/>
    <w:rsid w:val="00E21A7D"/>
    <w:rsid w:val="00E272FA"/>
    <w:rsid w:val="00E27B52"/>
    <w:rsid w:val="00E31103"/>
    <w:rsid w:val="00E323D4"/>
    <w:rsid w:val="00E368B2"/>
    <w:rsid w:val="00E4672B"/>
    <w:rsid w:val="00E523D6"/>
    <w:rsid w:val="00E52A56"/>
    <w:rsid w:val="00E55102"/>
    <w:rsid w:val="00E611DD"/>
    <w:rsid w:val="00E646A0"/>
    <w:rsid w:val="00E665CA"/>
    <w:rsid w:val="00E70A48"/>
    <w:rsid w:val="00E72202"/>
    <w:rsid w:val="00E8726D"/>
    <w:rsid w:val="00E91109"/>
    <w:rsid w:val="00EA20A8"/>
    <w:rsid w:val="00EA4765"/>
    <w:rsid w:val="00EA4D81"/>
    <w:rsid w:val="00EA5B96"/>
    <w:rsid w:val="00EA5EFB"/>
    <w:rsid w:val="00EC2649"/>
    <w:rsid w:val="00EC3C6F"/>
    <w:rsid w:val="00ED07CC"/>
    <w:rsid w:val="00ED29F1"/>
    <w:rsid w:val="00EE09FC"/>
    <w:rsid w:val="00EE1887"/>
    <w:rsid w:val="00EF1695"/>
    <w:rsid w:val="00EF1EF1"/>
    <w:rsid w:val="00EF2074"/>
    <w:rsid w:val="00F017BF"/>
    <w:rsid w:val="00F11410"/>
    <w:rsid w:val="00F172EB"/>
    <w:rsid w:val="00F203CA"/>
    <w:rsid w:val="00F21F3C"/>
    <w:rsid w:val="00F26C6E"/>
    <w:rsid w:val="00F30672"/>
    <w:rsid w:val="00F327D1"/>
    <w:rsid w:val="00F36D5C"/>
    <w:rsid w:val="00F37981"/>
    <w:rsid w:val="00F500A7"/>
    <w:rsid w:val="00F543A0"/>
    <w:rsid w:val="00F65645"/>
    <w:rsid w:val="00F7229A"/>
    <w:rsid w:val="00F823B2"/>
    <w:rsid w:val="00F919EA"/>
    <w:rsid w:val="00F9297B"/>
    <w:rsid w:val="00F9550A"/>
    <w:rsid w:val="00F97AB1"/>
    <w:rsid w:val="00FA3594"/>
    <w:rsid w:val="00FA4C46"/>
    <w:rsid w:val="00FA6675"/>
    <w:rsid w:val="00FB2E91"/>
    <w:rsid w:val="00FC5198"/>
    <w:rsid w:val="00FD2C4D"/>
    <w:rsid w:val="00FD4557"/>
    <w:rsid w:val="00FD6247"/>
    <w:rsid w:val="00FE059A"/>
    <w:rsid w:val="00FE311C"/>
    <w:rsid w:val="00FE52E6"/>
    <w:rsid w:val="00FE7E1D"/>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62560F"/>
    <w:pPr>
      <w:keepNext/>
      <w:overflowPunct w:val="0"/>
      <w:autoSpaceDE w:val="0"/>
      <w:autoSpaceDN w:val="0"/>
      <w:adjustRightInd w:val="0"/>
      <w:spacing w:line="360" w:lineRule="auto"/>
      <w:ind w:left="708" w:firstLine="392"/>
      <w:jc w:val="both"/>
      <w:outlineLvl w:val="0"/>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 w:type="character" w:customStyle="1" w:styleId="Ttulo1Car">
    <w:name w:val="Título 1 Car"/>
    <w:basedOn w:val="Fuentedeprrafopredeter"/>
    <w:link w:val="Ttulo1"/>
    <w:rsid w:val="0062560F"/>
    <w:rPr>
      <w:rFonts w:ascii="Arial" w:eastAsia="Times New Roman" w:hAnsi="Arial" w:cs="Times New Roman"/>
      <w:b/>
      <w:sz w:val="24"/>
      <w:szCs w:val="20"/>
      <w:lang w:val="es-ES" w:eastAsia="es-ES"/>
    </w:rPr>
  </w:style>
  <w:style w:type="character" w:customStyle="1" w:styleId="SinespaciadoCar">
    <w:name w:val="Sin espaciado Car"/>
    <w:link w:val="Sinespaciado"/>
    <w:uiPriority w:val="1"/>
    <w:locked/>
    <w:rsid w:val="00D55E3A"/>
    <w:rPr>
      <w:lang w:val="es-ES_tradnl"/>
    </w:rPr>
  </w:style>
  <w:style w:type="paragraph" w:styleId="Puesto">
    <w:name w:val="Title"/>
    <w:basedOn w:val="Normal"/>
    <w:link w:val="PuestoCar"/>
    <w:qFormat/>
    <w:rsid w:val="003552B5"/>
    <w:pPr>
      <w:spacing w:line="360" w:lineRule="auto"/>
      <w:jc w:val="center"/>
    </w:pPr>
    <w:rPr>
      <w:rFonts w:ascii="Arial Narrow" w:eastAsia="Calibri" w:hAnsi="Arial Narrow" w:cs="Arial"/>
      <w:b/>
      <w:szCs w:val="24"/>
      <w:lang w:val="es-ES"/>
    </w:rPr>
  </w:style>
  <w:style w:type="character" w:customStyle="1" w:styleId="PuestoCar">
    <w:name w:val="Puesto Car"/>
    <w:basedOn w:val="Fuentedeprrafopredeter"/>
    <w:link w:val="Puesto"/>
    <w:rsid w:val="003552B5"/>
    <w:rPr>
      <w:rFonts w:ascii="Arial Narrow" w:eastAsia="Calibri" w:hAnsi="Arial Narrow"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EBB4-4CCC-4CF0-BAEB-90277D01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4532</Words>
  <Characters>24929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80</cp:revision>
  <cp:lastPrinted>2019-03-06T14:24:00Z</cp:lastPrinted>
  <dcterms:created xsi:type="dcterms:W3CDTF">2018-06-15T15:38:00Z</dcterms:created>
  <dcterms:modified xsi:type="dcterms:W3CDTF">2019-04-03T14:00:00Z</dcterms:modified>
</cp:coreProperties>
</file>