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B4" w:rsidRPr="00B30EFC" w:rsidRDefault="000E22B4" w:rsidP="000E22B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E22B4" w:rsidRDefault="000E22B4" w:rsidP="000E22B4">
      <w:pPr>
        <w:jc w:val="both"/>
        <w:rPr>
          <w:rFonts w:ascii="Arial" w:hAnsi="Arial" w:cs="Arial"/>
          <w:sz w:val="20"/>
          <w:lang w:val="es-419"/>
        </w:rPr>
      </w:pPr>
    </w:p>
    <w:p w:rsidR="000E22B4" w:rsidRPr="000E22B4" w:rsidRDefault="000E22B4" w:rsidP="000E22B4">
      <w:pPr>
        <w:jc w:val="both"/>
        <w:rPr>
          <w:rFonts w:ascii="Arial" w:hAnsi="Arial" w:cs="Arial"/>
          <w:sz w:val="20"/>
          <w:lang w:val="es-419"/>
        </w:rPr>
      </w:pPr>
      <w:r w:rsidRPr="000E22B4">
        <w:rPr>
          <w:rFonts w:ascii="Arial" w:hAnsi="Arial" w:cs="Arial"/>
          <w:sz w:val="20"/>
          <w:lang w:val="es-419"/>
        </w:rPr>
        <w:t>Providencia:</w:t>
      </w:r>
      <w:r w:rsidRPr="000E22B4">
        <w:rPr>
          <w:rFonts w:ascii="Arial" w:hAnsi="Arial" w:cs="Arial"/>
          <w:sz w:val="20"/>
          <w:lang w:val="es-419"/>
        </w:rPr>
        <w:tab/>
      </w:r>
      <w:r w:rsidRPr="000E22B4">
        <w:rPr>
          <w:rFonts w:ascii="Arial" w:hAnsi="Arial" w:cs="Arial"/>
          <w:sz w:val="20"/>
          <w:lang w:val="es-419"/>
        </w:rPr>
        <w:tab/>
        <w:t>Apelación.</w:t>
      </w:r>
    </w:p>
    <w:p w:rsidR="000E22B4" w:rsidRPr="000E22B4" w:rsidRDefault="000E22B4" w:rsidP="000E22B4">
      <w:pPr>
        <w:jc w:val="both"/>
        <w:rPr>
          <w:rFonts w:ascii="Arial" w:hAnsi="Arial" w:cs="Arial"/>
          <w:sz w:val="20"/>
          <w:lang w:val="es-419"/>
        </w:rPr>
      </w:pPr>
      <w:r w:rsidRPr="000E22B4">
        <w:rPr>
          <w:rFonts w:ascii="Arial" w:hAnsi="Arial" w:cs="Arial"/>
          <w:sz w:val="20"/>
          <w:lang w:val="es-419"/>
        </w:rPr>
        <w:t>Proceso:</w:t>
      </w:r>
      <w:r w:rsidRPr="000E22B4">
        <w:rPr>
          <w:rFonts w:ascii="Arial" w:hAnsi="Arial" w:cs="Arial"/>
          <w:sz w:val="20"/>
          <w:lang w:val="es-419"/>
        </w:rPr>
        <w:tab/>
      </w:r>
      <w:r w:rsidRPr="000E22B4">
        <w:rPr>
          <w:rFonts w:ascii="Arial" w:hAnsi="Arial" w:cs="Arial"/>
          <w:sz w:val="20"/>
          <w:lang w:val="es-419"/>
        </w:rPr>
        <w:tab/>
        <w:t>Ordinario Laboral.</w:t>
      </w:r>
    </w:p>
    <w:p w:rsidR="000E22B4" w:rsidRPr="000E22B4" w:rsidRDefault="000E22B4" w:rsidP="000E22B4">
      <w:pPr>
        <w:jc w:val="both"/>
        <w:rPr>
          <w:rFonts w:ascii="Arial" w:hAnsi="Arial" w:cs="Arial"/>
          <w:sz w:val="20"/>
          <w:lang w:val="es-419"/>
        </w:rPr>
      </w:pPr>
      <w:r w:rsidRPr="000E22B4">
        <w:rPr>
          <w:rFonts w:ascii="Arial" w:hAnsi="Arial" w:cs="Arial"/>
          <w:sz w:val="20"/>
          <w:lang w:val="es-419"/>
        </w:rPr>
        <w:t>Demandante</w:t>
      </w:r>
      <w:r>
        <w:rPr>
          <w:rFonts w:ascii="Arial" w:hAnsi="Arial" w:cs="Arial"/>
          <w:sz w:val="20"/>
          <w:lang w:val="es-419"/>
        </w:rPr>
        <w:t xml:space="preserve">:     </w:t>
      </w:r>
      <w:r>
        <w:rPr>
          <w:rFonts w:ascii="Arial" w:hAnsi="Arial" w:cs="Arial"/>
          <w:sz w:val="20"/>
          <w:lang w:val="es-419"/>
        </w:rPr>
        <w:tab/>
      </w:r>
      <w:r w:rsidRPr="000E22B4">
        <w:rPr>
          <w:rFonts w:ascii="Arial" w:hAnsi="Arial" w:cs="Arial"/>
          <w:sz w:val="20"/>
          <w:lang w:val="es-419"/>
        </w:rPr>
        <w:t>Marina Granada.</w:t>
      </w:r>
    </w:p>
    <w:p w:rsidR="000E22B4" w:rsidRPr="000E22B4" w:rsidRDefault="000E22B4" w:rsidP="000E22B4">
      <w:pPr>
        <w:jc w:val="both"/>
        <w:rPr>
          <w:rFonts w:ascii="Arial" w:hAnsi="Arial" w:cs="Arial"/>
          <w:sz w:val="20"/>
          <w:lang w:val="es-419"/>
        </w:rPr>
      </w:pPr>
      <w:r w:rsidRPr="000E22B4">
        <w:rPr>
          <w:rFonts w:ascii="Arial" w:hAnsi="Arial" w:cs="Arial"/>
          <w:sz w:val="20"/>
          <w:lang w:val="es-419"/>
        </w:rPr>
        <w:t>Demandado:</w:t>
      </w:r>
      <w:r w:rsidRPr="000E22B4">
        <w:rPr>
          <w:rFonts w:ascii="Arial" w:hAnsi="Arial" w:cs="Arial"/>
          <w:sz w:val="20"/>
          <w:lang w:val="es-419"/>
        </w:rPr>
        <w:tab/>
      </w:r>
      <w:r w:rsidRPr="000E22B4">
        <w:rPr>
          <w:rFonts w:ascii="Arial" w:hAnsi="Arial" w:cs="Arial"/>
          <w:sz w:val="20"/>
          <w:lang w:val="es-419"/>
        </w:rPr>
        <w:tab/>
        <w:t>Colpensiones.</w:t>
      </w:r>
    </w:p>
    <w:p w:rsidR="000E22B4" w:rsidRPr="000E22B4" w:rsidRDefault="000E22B4" w:rsidP="000E22B4">
      <w:pPr>
        <w:jc w:val="both"/>
        <w:rPr>
          <w:rFonts w:ascii="Arial" w:hAnsi="Arial" w:cs="Arial"/>
          <w:sz w:val="20"/>
          <w:lang w:val="es-419"/>
        </w:rPr>
      </w:pPr>
      <w:r w:rsidRPr="000E22B4">
        <w:rPr>
          <w:rFonts w:ascii="Arial" w:hAnsi="Arial" w:cs="Arial"/>
          <w:sz w:val="20"/>
          <w:lang w:val="es-419"/>
        </w:rPr>
        <w:t>Vinculada:</w:t>
      </w:r>
      <w:r>
        <w:rPr>
          <w:rFonts w:ascii="Arial" w:hAnsi="Arial" w:cs="Arial"/>
          <w:sz w:val="20"/>
          <w:lang w:val="es-419"/>
        </w:rPr>
        <w:tab/>
      </w:r>
      <w:r>
        <w:rPr>
          <w:rFonts w:ascii="Arial" w:hAnsi="Arial" w:cs="Arial"/>
          <w:sz w:val="20"/>
          <w:lang w:val="es-419"/>
        </w:rPr>
        <w:tab/>
        <w:t>Gloria Liliana Gómez Ríos</w:t>
      </w:r>
    </w:p>
    <w:p w:rsidR="000E22B4" w:rsidRPr="000E22B4" w:rsidRDefault="000E22B4" w:rsidP="000E22B4">
      <w:pPr>
        <w:jc w:val="both"/>
        <w:rPr>
          <w:rFonts w:ascii="Arial" w:hAnsi="Arial" w:cs="Arial"/>
          <w:sz w:val="20"/>
          <w:lang w:val="es-419"/>
        </w:rPr>
      </w:pPr>
      <w:r w:rsidRPr="000E22B4">
        <w:rPr>
          <w:rFonts w:ascii="Arial" w:hAnsi="Arial" w:cs="Arial"/>
          <w:sz w:val="20"/>
          <w:lang w:val="es-419"/>
        </w:rPr>
        <w:t>Radicación No:</w:t>
      </w:r>
      <w:r w:rsidRPr="000E22B4">
        <w:rPr>
          <w:rFonts w:ascii="Arial" w:hAnsi="Arial" w:cs="Arial"/>
          <w:sz w:val="20"/>
          <w:lang w:val="es-419"/>
        </w:rPr>
        <w:tab/>
      </w:r>
      <w:r w:rsidRPr="000E22B4">
        <w:rPr>
          <w:rFonts w:ascii="Arial" w:hAnsi="Arial" w:cs="Arial"/>
          <w:sz w:val="20"/>
          <w:lang w:val="es-419"/>
        </w:rPr>
        <w:tab/>
        <w:t>66001-31-05-002-2014-00490-01</w:t>
      </w:r>
    </w:p>
    <w:p w:rsidR="000E22B4" w:rsidRPr="00B30EFC" w:rsidRDefault="000E22B4" w:rsidP="000E22B4">
      <w:pPr>
        <w:jc w:val="both"/>
        <w:rPr>
          <w:rFonts w:ascii="Arial" w:hAnsi="Arial" w:cs="Arial"/>
          <w:sz w:val="20"/>
          <w:lang w:val="es-419"/>
        </w:rPr>
      </w:pPr>
    </w:p>
    <w:p w:rsidR="000E22B4" w:rsidRPr="00295377" w:rsidRDefault="000E22B4" w:rsidP="000E22B4">
      <w:pPr>
        <w:pStyle w:val="Sinespaciado"/>
        <w:jc w:val="both"/>
        <w:rPr>
          <w:rFonts w:ascii="Arial" w:hAnsi="Arial" w:cs="Arial"/>
          <w:b/>
          <w:bCs/>
          <w:iCs/>
          <w:sz w:val="20"/>
          <w:szCs w:val="20"/>
          <w:lang w:val="es-CO" w:eastAsia="fr-FR"/>
        </w:rPr>
      </w:pPr>
      <w:r w:rsidRPr="000E22B4">
        <w:rPr>
          <w:rFonts w:ascii="Arial" w:hAnsi="Arial" w:cs="Arial"/>
          <w:b/>
          <w:bCs/>
          <w:iCs/>
          <w:sz w:val="20"/>
          <w:szCs w:val="20"/>
          <w:lang w:val="es-419" w:eastAsia="fr-FR"/>
        </w:rPr>
        <w:t>TEMAS:</w:t>
      </w:r>
      <w:r w:rsidRPr="000E22B4">
        <w:rPr>
          <w:rFonts w:ascii="Arial" w:hAnsi="Arial" w:cs="Arial"/>
          <w:b/>
          <w:bCs/>
          <w:iCs/>
          <w:sz w:val="20"/>
          <w:szCs w:val="20"/>
          <w:lang w:val="es-419" w:eastAsia="fr-FR"/>
        </w:rPr>
        <w:tab/>
      </w:r>
      <w:r w:rsidRPr="000E22B4">
        <w:rPr>
          <w:rFonts w:ascii="Arial" w:hAnsi="Arial" w:cs="Arial"/>
          <w:b/>
          <w:bCs/>
          <w:sz w:val="20"/>
          <w:szCs w:val="20"/>
        </w:rPr>
        <w:t>PENSIÓN SOBREVIVIENTE</w:t>
      </w:r>
      <w:r>
        <w:rPr>
          <w:rFonts w:ascii="Arial" w:hAnsi="Arial" w:cs="Arial"/>
          <w:b/>
          <w:bCs/>
          <w:sz w:val="20"/>
          <w:szCs w:val="20"/>
        </w:rPr>
        <w:t xml:space="preserve"> /</w:t>
      </w:r>
      <w:r w:rsidRPr="000E22B4">
        <w:rPr>
          <w:rFonts w:ascii="Arial" w:hAnsi="Arial" w:cs="Arial"/>
          <w:b/>
          <w:bCs/>
          <w:sz w:val="20"/>
          <w:szCs w:val="20"/>
        </w:rPr>
        <w:t xml:space="preserve"> COMPAÑERA PERMANENTE </w:t>
      </w:r>
      <w:r>
        <w:rPr>
          <w:rFonts w:ascii="Arial" w:hAnsi="Arial" w:cs="Arial"/>
          <w:b/>
          <w:bCs/>
          <w:sz w:val="20"/>
          <w:szCs w:val="20"/>
        </w:rPr>
        <w:t>/</w:t>
      </w:r>
      <w:r w:rsidRPr="000E22B4">
        <w:rPr>
          <w:rFonts w:ascii="Arial" w:hAnsi="Arial" w:cs="Arial"/>
          <w:b/>
          <w:bCs/>
          <w:sz w:val="20"/>
          <w:szCs w:val="20"/>
        </w:rPr>
        <w:t xml:space="preserve"> CONVIVENCIA EN LOS 5 AÑOS PREVIOS A LA MUERTE DEL PENSIONADO</w:t>
      </w:r>
      <w:r w:rsidRPr="000E22B4">
        <w:rPr>
          <w:rFonts w:ascii="Arial" w:hAnsi="Arial" w:cs="Arial"/>
          <w:b/>
          <w:bCs/>
          <w:iCs/>
          <w:sz w:val="20"/>
          <w:szCs w:val="20"/>
          <w:lang w:val="es-419" w:eastAsia="fr-FR"/>
        </w:rPr>
        <w:t xml:space="preserve"> / </w:t>
      </w:r>
      <w:r w:rsidR="00295377">
        <w:rPr>
          <w:rFonts w:ascii="Arial" w:hAnsi="Arial" w:cs="Arial"/>
          <w:b/>
          <w:bCs/>
          <w:iCs/>
          <w:sz w:val="20"/>
          <w:szCs w:val="20"/>
          <w:lang w:val="es-CO" w:eastAsia="fr-FR"/>
        </w:rPr>
        <w:t>CARGA PROBATORIA DE LA DEMANDANTE</w:t>
      </w:r>
      <w:r w:rsidR="00B802EA">
        <w:rPr>
          <w:rFonts w:ascii="Arial" w:hAnsi="Arial" w:cs="Arial"/>
          <w:b/>
          <w:bCs/>
          <w:iCs/>
          <w:sz w:val="20"/>
          <w:szCs w:val="20"/>
          <w:lang w:val="es-CO" w:eastAsia="fr-FR"/>
        </w:rPr>
        <w:t>.</w:t>
      </w:r>
    </w:p>
    <w:p w:rsidR="000E22B4" w:rsidRPr="00B30EFC" w:rsidRDefault="000E22B4" w:rsidP="000E22B4">
      <w:pPr>
        <w:jc w:val="both"/>
        <w:rPr>
          <w:rFonts w:ascii="Arial" w:hAnsi="Arial" w:cs="Arial"/>
          <w:sz w:val="20"/>
          <w:lang w:val="es-419"/>
        </w:rPr>
      </w:pPr>
    </w:p>
    <w:p w:rsidR="00295377" w:rsidRPr="00295377" w:rsidRDefault="00295377" w:rsidP="00295377">
      <w:pPr>
        <w:jc w:val="both"/>
        <w:rPr>
          <w:rFonts w:ascii="Arial" w:hAnsi="Arial" w:cs="Arial"/>
          <w:sz w:val="20"/>
          <w:lang w:val="es-419"/>
        </w:rPr>
      </w:pPr>
      <w:r>
        <w:rPr>
          <w:rFonts w:ascii="Arial" w:hAnsi="Arial" w:cs="Arial"/>
          <w:sz w:val="20"/>
          <w:lang w:val="es-CO"/>
        </w:rPr>
        <w:t xml:space="preserve">… </w:t>
      </w:r>
      <w:r w:rsidRPr="00295377">
        <w:rPr>
          <w:rFonts w:ascii="Arial" w:hAnsi="Arial" w:cs="Arial"/>
          <w:sz w:val="20"/>
          <w:lang w:val="es-419"/>
        </w:rPr>
        <w:t>frente al tema de la convivencia entre cónyuge o compañero permanente, el literal a) del artículo 47 de la Ley 100/93, modificado por el art. 13 de la Ley 797/03 dispuso que será beneficiaria de la pensión de sobrevivientes la compañera permanente que acredite una convivencia con el causante durante por lo menos 5 años continuos previos a su muerte. Pensión que se reconocerá en forma vitalicia si la beneficiaria tenía 30 o más años para la fecha del óbito.</w:t>
      </w:r>
    </w:p>
    <w:p w:rsidR="00295377" w:rsidRPr="00295377" w:rsidRDefault="00295377" w:rsidP="00295377">
      <w:pPr>
        <w:jc w:val="both"/>
        <w:rPr>
          <w:rFonts w:ascii="Arial" w:hAnsi="Arial" w:cs="Arial"/>
          <w:sz w:val="20"/>
          <w:lang w:val="es-419"/>
        </w:rPr>
      </w:pPr>
    </w:p>
    <w:p w:rsidR="00295377" w:rsidRPr="00295377" w:rsidRDefault="00295377" w:rsidP="00295377">
      <w:pPr>
        <w:jc w:val="both"/>
        <w:rPr>
          <w:rFonts w:ascii="Arial" w:hAnsi="Arial" w:cs="Arial"/>
          <w:sz w:val="20"/>
          <w:lang w:val="es-419"/>
        </w:rPr>
      </w:pPr>
      <w:r w:rsidRPr="00295377">
        <w:rPr>
          <w:rFonts w:ascii="Arial" w:hAnsi="Arial" w:cs="Arial"/>
          <w:sz w:val="20"/>
          <w:lang w:val="es-419"/>
        </w:rPr>
        <w:t>Por otro lado, en torno a la acreditación de la convivencia, el órgano de cierre de esta especialidad en sente</w:t>
      </w:r>
      <w:r>
        <w:rPr>
          <w:rFonts w:ascii="Arial" w:hAnsi="Arial" w:cs="Arial"/>
          <w:sz w:val="20"/>
          <w:lang w:val="es-419"/>
        </w:rPr>
        <w:t>ncia SL1399-2018 del 25-04-2018</w:t>
      </w:r>
      <w:r w:rsidRPr="00295377">
        <w:rPr>
          <w:rFonts w:ascii="Arial" w:hAnsi="Arial" w:cs="Arial"/>
          <w:sz w:val="20"/>
          <w:lang w:val="es-419"/>
        </w:rPr>
        <w:t>, con ponencia de la magistrada Clara Cecilia Dueñas Quevedo, enseñó que:</w:t>
      </w:r>
    </w:p>
    <w:p w:rsidR="00295377" w:rsidRPr="00295377" w:rsidRDefault="00295377" w:rsidP="00295377">
      <w:pPr>
        <w:jc w:val="both"/>
        <w:rPr>
          <w:rFonts w:ascii="Arial" w:hAnsi="Arial" w:cs="Arial"/>
          <w:sz w:val="20"/>
          <w:lang w:val="es-419"/>
        </w:rPr>
      </w:pPr>
    </w:p>
    <w:p w:rsidR="000E22B4" w:rsidRPr="00B802EA" w:rsidRDefault="00295377" w:rsidP="00295377">
      <w:pPr>
        <w:jc w:val="both"/>
        <w:rPr>
          <w:rFonts w:ascii="Arial" w:hAnsi="Arial" w:cs="Arial"/>
          <w:sz w:val="20"/>
          <w:lang w:val="es-CO"/>
        </w:rPr>
      </w:pPr>
      <w:r w:rsidRPr="00295377">
        <w:rPr>
          <w:rFonts w:ascii="Arial" w:hAnsi="Arial" w:cs="Arial"/>
          <w:sz w:val="20"/>
          <w:lang w:val="es-419"/>
        </w:rPr>
        <w:t>“(…) la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r w:rsidR="00B802EA">
        <w:rPr>
          <w:rFonts w:ascii="Arial" w:hAnsi="Arial" w:cs="Arial"/>
          <w:sz w:val="20"/>
          <w:lang w:val="es-CO"/>
        </w:rPr>
        <w:t xml:space="preserve"> (…)</w:t>
      </w:r>
    </w:p>
    <w:p w:rsidR="00295377" w:rsidRDefault="00295377" w:rsidP="00295377">
      <w:pPr>
        <w:jc w:val="both"/>
        <w:rPr>
          <w:rFonts w:ascii="Arial" w:hAnsi="Arial" w:cs="Arial"/>
          <w:sz w:val="20"/>
          <w:lang w:val="es-419"/>
        </w:rPr>
      </w:pPr>
    </w:p>
    <w:p w:rsidR="00B802EA" w:rsidRDefault="00B802EA" w:rsidP="00295377">
      <w:pPr>
        <w:jc w:val="both"/>
        <w:rPr>
          <w:rFonts w:ascii="Arial" w:hAnsi="Arial" w:cs="Arial"/>
          <w:sz w:val="20"/>
          <w:lang w:val="es-419"/>
        </w:rPr>
      </w:pPr>
      <w:r w:rsidRPr="00B802EA">
        <w:rPr>
          <w:rFonts w:ascii="Arial" w:hAnsi="Arial" w:cs="Arial"/>
          <w:sz w:val="20"/>
          <w:lang w:val="es-419"/>
        </w:rPr>
        <w:t>Auscultado el material probatorio acopiado se desprende que Marina Granada omitió acreditar la convivencia con el causante Evelio Ríos Muñoz durante los 5 años previos a su fallecimiento, puesto que aun cuando demostró que convivió con el causante, de ninguna manera pudo determinar con certeza los extremos de la relación sentimental que permita a esta Sala colegir que ocurrieron durante los últimos 5 años de vida del obitado.</w:t>
      </w:r>
    </w:p>
    <w:p w:rsidR="000E22B4" w:rsidRDefault="000E22B4" w:rsidP="000E22B4">
      <w:pPr>
        <w:jc w:val="both"/>
        <w:rPr>
          <w:rFonts w:ascii="Arial" w:hAnsi="Arial" w:cs="Arial"/>
          <w:sz w:val="20"/>
          <w:lang w:val="es-419"/>
        </w:rPr>
      </w:pPr>
    </w:p>
    <w:p w:rsidR="000E22B4" w:rsidRDefault="000E22B4" w:rsidP="000E22B4">
      <w:pPr>
        <w:jc w:val="both"/>
        <w:rPr>
          <w:rFonts w:ascii="Arial" w:hAnsi="Arial" w:cs="Arial"/>
          <w:sz w:val="20"/>
          <w:lang w:val="es-419"/>
        </w:rPr>
      </w:pPr>
    </w:p>
    <w:p w:rsidR="00213C70" w:rsidRPr="000E22B4" w:rsidRDefault="00213C70" w:rsidP="000E22B4">
      <w:pPr>
        <w:widowControl w:val="0"/>
        <w:jc w:val="center"/>
        <w:rPr>
          <w:rFonts w:ascii="Arial" w:hAnsi="Arial" w:cs="Arial"/>
          <w:bCs/>
          <w:color w:val="000000"/>
          <w:kern w:val="28"/>
          <w:sz w:val="22"/>
          <w:szCs w:val="22"/>
          <w:lang w:val="es-ES"/>
        </w:rPr>
      </w:pPr>
      <w:r w:rsidRPr="000E22B4">
        <w:rPr>
          <w:rFonts w:ascii="Arial" w:hAnsi="Arial" w:cs="Arial"/>
          <w:bCs/>
          <w:color w:val="000000"/>
          <w:kern w:val="28"/>
          <w:sz w:val="22"/>
          <w:szCs w:val="22"/>
          <w:lang w:val="es-ES"/>
        </w:rPr>
        <w:drawing>
          <wp:inline distT="0" distB="0" distL="0" distR="0">
            <wp:extent cx="803424" cy="780792"/>
            <wp:effectExtent l="0" t="0" r="0" b="63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555" cy="787722"/>
                    </a:xfrm>
                    <a:prstGeom prst="rect">
                      <a:avLst/>
                    </a:prstGeom>
                    <a:noFill/>
                    <a:ln>
                      <a:noFill/>
                    </a:ln>
                  </pic:spPr>
                </pic:pic>
              </a:graphicData>
            </a:graphic>
          </wp:inline>
        </w:drawing>
      </w:r>
    </w:p>
    <w:p w:rsidR="00DB2DD8" w:rsidRPr="000E22B4" w:rsidRDefault="00DB2DD8" w:rsidP="000E22B4">
      <w:pPr>
        <w:widowControl w:val="0"/>
        <w:jc w:val="center"/>
        <w:rPr>
          <w:rFonts w:ascii="Arial" w:hAnsi="Arial" w:cs="Arial"/>
          <w:bCs/>
          <w:color w:val="000000"/>
          <w:kern w:val="28"/>
          <w:sz w:val="22"/>
          <w:szCs w:val="22"/>
          <w:lang w:val="es-ES"/>
        </w:rPr>
      </w:pPr>
    </w:p>
    <w:p w:rsidR="00213C70" w:rsidRPr="000E22B4" w:rsidRDefault="00213C70" w:rsidP="000E22B4">
      <w:pPr>
        <w:widowControl w:val="0"/>
        <w:jc w:val="center"/>
        <w:rPr>
          <w:rFonts w:ascii="Arial" w:hAnsi="Arial" w:cs="Arial"/>
          <w:b/>
          <w:bCs/>
          <w:color w:val="000000"/>
          <w:kern w:val="28"/>
          <w:sz w:val="28"/>
          <w:szCs w:val="22"/>
          <w:lang w:val="es-ES"/>
        </w:rPr>
      </w:pPr>
      <w:r w:rsidRPr="000E22B4">
        <w:rPr>
          <w:rFonts w:ascii="Arial" w:hAnsi="Arial" w:cs="Arial"/>
          <w:b/>
          <w:bCs/>
          <w:color w:val="000000"/>
          <w:kern w:val="28"/>
          <w:sz w:val="28"/>
          <w:szCs w:val="22"/>
          <w:lang w:val="es-ES"/>
        </w:rPr>
        <w:t>RAMA JUDICIAL DEL PODER PÚBLICO</w:t>
      </w:r>
    </w:p>
    <w:p w:rsidR="00213C70" w:rsidRPr="000E22B4" w:rsidRDefault="00213C70" w:rsidP="000E22B4">
      <w:pPr>
        <w:widowControl w:val="0"/>
        <w:jc w:val="center"/>
        <w:rPr>
          <w:rFonts w:ascii="Arial" w:hAnsi="Arial" w:cs="Arial"/>
          <w:b/>
          <w:bCs/>
          <w:color w:val="000000"/>
          <w:kern w:val="28"/>
          <w:sz w:val="28"/>
          <w:szCs w:val="22"/>
          <w:lang w:val="es-ES"/>
        </w:rPr>
      </w:pPr>
      <w:r w:rsidRPr="000E22B4">
        <w:rPr>
          <w:rFonts w:ascii="Arial" w:hAnsi="Arial" w:cs="Arial"/>
          <w:b/>
          <w:bCs/>
          <w:color w:val="000000"/>
          <w:kern w:val="28"/>
          <w:sz w:val="28"/>
          <w:szCs w:val="22"/>
          <w:lang w:val="es-ES"/>
        </w:rPr>
        <w:t>TRIBUNAL SUPERIOR DEL DISTRITO JUDICIAL DE PEREIRA</w:t>
      </w:r>
    </w:p>
    <w:p w:rsidR="00213C70" w:rsidRPr="000E22B4" w:rsidRDefault="00213C70" w:rsidP="000E22B4">
      <w:pPr>
        <w:widowControl w:val="0"/>
        <w:jc w:val="center"/>
        <w:rPr>
          <w:rFonts w:ascii="Arial" w:hAnsi="Arial" w:cs="Arial"/>
          <w:b/>
          <w:bCs/>
          <w:color w:val="000000"/>
          <w:kern w:val="28"/>
          <w:sz w:val="22"/>
          <w:szCs w:val="22"/>
          <w:lang w:val="es-ES"/>
        </w:rPr>
      </w:pPr>
      <w:r w:rsidRPr="000E22B4">
        <w:rPr>
          <w:rFonts w:ascii="Arial" w:hAnsi="Arial" w:cs="Arial"/>
          <w:b/>
          <w:bCs/>
          <w:color w:val="000000"/>
          <w:kern w:val="28"/>
          <w:sz w:val="28"/>
          <w:szCs w:val="22"/>
          <w:lang w:val="es-ES"/>
        </w:rPr>
        <w:t xml:space="preserve">SALA </w:t>
      </w:r>
      <w:r w:rsidR="00ED3E15" w:rsidRPr="000E22B4">
        <w:rPr>
          <w:rFonts w:ascii="Arial" w:hAnsi="Arial" w:cs="Arial"/>
          <w:b/>
          <w:bCs/>
          <w:color w:val="000000"/>
          <w:kern w:val="28"/>
          <w:sz w:val="28"/>
          <w:szCs w:val="22"/>
          <w:lang w:val="es-ES"/>
        </w:rPr>
        <w:t xml:space="preserve">SEGUNDA </w:t>
      </w:r>
      <w:r w:rsidRPr="000E22B4">
        <w:rPr>
          <w:rFonts w:ascii="Arial" w:hAnsi="Arial" w:cs="Arial"/>
          <w:b/>
          <w:bCs/>
          <w:color w:val="000000"/>
          <w:kern w:val="28"/>
          <w:sz w:val="28"/>
          <w:szCs w:val="22"/>
          <w:lang w:val="es-ES"/>
        </w:rPr>
        <w:t>DE DECISIÓN LABORAL</w:t>
      </w:r>
    </w:p>
    <w:p w:rsidR="00213C70" w:rsidRPr="000E22B4" w:rsidRDefault="00213C70" w:rsidP="000E22B4">
      <w:pPr>
        <w:widowControl w:val="0"/>
        <w:jc w:val="center"/>
        <w:rPr>
          <w:rFonts w:ascii="Arial" w:hAnsi="Arial" w:cs="Arial"/>
          <w:bCs/>
          <w:color w:val="000000"/>
          <w:kern w:val="28"/>
          <w:sz w:val="28"/>
          <w:szCs w:val="22"/>
          <w:lang w:val="es-ES"/>
        </w:rPr>
      </w:pPr>
    </w:p>
    <w:p w:rsidR="00213C70" w:rsidRPr="000E22B4" w:rsidRDefault="00213C70" w:rsidP="000E22B4">
      <w:pPr>
        <w:widowControl w:val="0"/>
        <w:jc w:val="center"/>
        <w:rPr>
          <w:rFonts w:ascii="Arial" w:hAnsi="Arial" w:cs="Arial"/>
          <w:bCs/>
          <w:color w:val="000000"/>
          <w:kern w:val="28"/>
          <w:sz w:val="28"/>
          <w:szCs w:val="22"/>
          <w:lang w:val="es-ES"/>
        </w:rPr>
      </w:pPr>
      <w:r w:rsidRPr="000E22B4">
        <w:rPr>
          <w:rFonts w:ascii="Arial" w:hAnsi="Arial" w:cs="Arial"/>
          <w:bCs/>
          <w:color w:val="000000"/>
          <w:kern w:val="28"/>
          <w:sz w:val="28"/>
          <w:szCs w:val="22"/>
          <w:lang w:val="es-ES"/>
        </w:rPr>
        <w:t>Magistrada Ponente</w:t>
      </w:r>
    </w:p>
    <w:p w:rsidR="00213C70" w:rsidRPr="000E22B4" w:rsidRDefault="00213C70" w:rsidP="000E22B4">
      <w:pPr>
        <w:widowControl w:val="0"/>
        <w:jc w:val="center"/>
        <w:rPr>
          <w:rFonts w:ascii="Arial" w:hAnsi="Arial" w:cs="Arial"/>
          <w:b/>
          <w:bCs/>
          <w:color w:val="000000"/>
          <w:kern w:val="28"/>
          <w:sz w:val="28"/>
          <w:szCs w:val="22"/>
          <w:lang w:val="es-ES"/>
        </w:rPr>
      </w:pPr>
      <w:r w:rsidRPr="000E22B4">
        <w:rPr>
          <w:rFonts w:ascii="Arial" w:hAnsi="Arial" w:cs="Arial"/>
          <w:b/>
          <w:bCs/>
          <w:color w:val="000000"/>
          <w:kern w:val="28"/>
          <w:sz w:val="28"/>
          <w:szCs w:val="22"/>
          <w:lang w:val="es-ES"/>
        </w:rPr>
        <w:t>OLGA LUCÍA HOYOS SEPÚLVEDA</w:t>
      </w:r>
    </w:p>
    <w:p w:rsidR="00164682" w:rsidRPr="00344EB5" w:rsidRDefault="00164682" w:rsidP="00164682">
      <w:pPr>
        <w:rPr>
          <w:rFonts w:ascii="Tahoma" w:hAnsi="Tahoma" w:cs="Tahoma"/>
          <w:b/>
          <w:sz w:val="18"/>
          <w:szCs w:val="18"/>
          <w:lang w:val="es-CO"/>
        </w:rPr>
      </w:pPr>
    </w:p>
    <w:p w:rsidR="00164682" w:rsidRPr="00344EB5" w:rsidRDefault="00164682" w:rsidP="00164682">
      <w:pPr>
        <w:pStyle w:val="Sinespaciado"/>
        <w:spacing w:line="276" w:lineRule="auto"/>
        <w:contextualSpacing/>
        <w:rPr>
          <w:rFonts w:ascii="Arial" w:hAnsi="Arial" w:cs="Arial"/>
          <w:sz w:val="24"/>
          <w:szCs w:val="24"/>
        </w:rPr>
      </w:pPr>
    </w:p>
    <w:p w:rsidR="00164682" w:rsidRPr="00344EB5" w:rsidRDefault="00246F05" w:rsidP="00164682">
      <w:pPr>
        <w:spacing w:line="276" w:lineRule="auto"/>
        <w:contextualSpacing/>
        <w:jc w:val="both"/>
        <w:rPr>
          <w:rFonts w:ascii="Arial" w:hAnsi="Arial" w:cs="Arial"/>
          <w:bCs/>
          <w:iCs/>
          <w:szCs w:val="24"/>
        </w:rPr>
      </w:pPr>
      <w:r w:rsidRPr="00344EB5">
        <w:rPr>
          <w:rFonts w:ascii="Arial" w:eastAsia="Calibri" w:hAnsi="Arial" w:cs="Arial"/>
          <w:szCs w:val="24"/>
          <w:lang w:val="es-CO" w:eastAsia="en-US"/>
        </w:rPr>
        <w:t xml:space="preserve">En Pereira, a los </w:t>
      </w:r>
      <w:r w:rsidR="00076B8F">
        <w:rPr>
          <w:rFonts w:ascii="Arial" w:eastAsia="Calibri" w:hAnsi="Arial" w:cs="Arial"/>
          <w:szCs w:val="24"/>
          <w:lang w:val="es-CO" w:eastAsia="en-US"/>
        </w:rPr>
        <w:t>cinco</w:t>
      </w:r>
      <w:r w:rsidR="0034151D" w:rsidRPr="00344EB5">
        <w:rPr>
          <w:rFonts w:ascii="Arial" w:eastAsia="Calibri" w:hAnsi="Arial" w:cs="Arial"/>
          <w:szCs w:val="24"/>
          <w:lang w:val="es-CO" w:eastAsia="en-US"/>
        </w:rPr>
        <w:t xml:space="preserve"> </w:t>
      </w:r>
      <w:r w:rsidR="00A07EF9" w:rsidRPr="00344EB5">
        <w:rPr>
          <w:rFonts w:ascii="Arial" w:eastAsia="Calibri" w:hAnsi="Arial" w:cs="Arial"/>
          <w:szCs w:val="24"/>
          <w:lang w:val="es-CO" w:eastAsia="en-US"/>
        </w:rPr>
        <w:t>(</w:t>
      </w:r>
      <w:r w:rsidR="00076B8F">
        <w:rPr>
          <w:rFonts w:ascii="Arial" w:eastAsia="Calibri" w:hAnsi="Arial" w:cs="Arial"/>
          <w:szCs w:val="24"/>
          <w:lang w:val="es-CO" w:eastAsia="en-US"/>
        </w:rPr>
        <w:t>05</w:t>
      </w:r>
      <w:r w:rsidR="00A07EF9" w:rsidRPr="00344EB5">
        <w:rPr>
          <w:rFonts w:ascii="Arial" w:eastAsia="Calibri" w:hAnsi="Arial" w:cs="Arial"/>
          <w:szCs w:val="24"/>
          <w:lang w:val="es-CO" w:eastAsia="en-US"/>
        </w:rPr>
        <w:t xml:space="preserve">) días del mes de </w:t>
      </w:r>
      <w:r w:rsidR="00076B8F">
        <w:rPr>
          <w:rFonts w:ascii="Arial" w:eastAsia="Calibri" w:hAnsi="Arial" w:cs="Arial"/>
          <w:szCs w:val="24"/>
          <w:lang w:val="es-CO" w:eastAsia="en-US"/>
        </w:rPr>
        <w:t>marzo</w:t>
      </w:r>
      <w:r w:rsidR="00242971" w:rsidRPr="00344EB5">
        <w:rPr>
          <w:rFonts w:ascii="Arial" w:eastAsia="Calibri" w:hAnsi="Arial" w:cs="Arial"/>
          <w:szCs w:val="24"/>
          <w:lang w:val="es-CO" w:eastAsia="en-US"/>
        </w:rPr>
        <w:t xml:space="preserve"> </w:t>
      </w:r>
      <w:r w:rsidR="00164682" w:rsidRPr="00344EB5">
        <w:rPr>
          <w:rFonts w:ascii="Arial" w:eastAsia="Calibri" w:hAnsi="Arial" w:cs="Arial"/>
          <w:szCs w:val="24"/>
          <w:lang w:val="es-CO" w:eastAsia="en-US"/>
        </w:rPr>
        <w:t>de dos mil dieci</w:t>
      </w:r>
      <w:r w:rsidR="0034151D" w:rsidRPr="00344EB5">
        <w:rPr>
          <w:rFonts w:ascii="Arial" w:eastAsia="Calibri" w:hAnsi="Arial" w:cs="Arial"/>
          <w:szCs w:val="24"/>
          <w:lang w:val="es-CO" w:eastAsia="en-US"/>
        </w:rPr>
        <w:t>nueve</w:t>
      </w:r>
      <w:r w:rsidR="00164682" w:rsidRPr="00344EB5">
        <w:rPr>
          <w:rFonts w:ascii="Arial" w:eastAsia="Calibri" w:hAnsi="Arial" w:cs="Arial"/>
          <w:szCs w:val="24"/>
          <w:lang w:val="es-CO" w:eastAsia="en-US"/>
        </w:rPr>
        <w:t xml:space="preserve"> (201</w:t>
      </w:r>
      <w:r w:rsidR="0034151D" w:rsidRPr="00344EB5">
        <w:rPr>
          <w:rFonts w:ascii="Arial" w:eastAsia="Calibri" w:hAnsi="Arial" w:cs="Arial"/>
          <w:szCs w:val="24"/>
          <w:lang w:val="es-CO" w:eastAsia="en-US"/>
        </w:rPr>
        <w:t>9</w:t>
      </w:r>
      <w:r w:rsidR="00164682" w:rsidRPr="00344EB5">
        <w:rPr>
          <w:rFonts w:ascii="Arial" w:eastAsia="Calibri" w:hAnsi="Arial" w:cs="Arial"/>
          <w:szCs w:val="24"/>
          <w:lang w:val="es-CO" w:eastAsia="en-US"/>
        </w:rPr>
        <w:t xml:space="preserve">), siendo las </w:t>
      </w:r>
      <w:r w:rsidR="00076B8F">
        <w:rPr>
          <w:rFonts w:ascii="Arial" w:eastAsia="Calibri" w:hAnsi="Arial" w:cs="Arial"/>
          <w:szCs w:val="24"/>
          <w:lang w:val="es-CO" w:eastAsia="en-US"/>
        </w:rPr>
        <w:t>ocho de la mañana</w:t>
      </w:r>
      <w:r w:rsidR="0034151D" w:rsidRPr="00344EB5">
        <w:rPr>
          <w:rFonts w:ascii="Arial" w:eastAsia="Calibri" w:hAnsi="Arial" w:cs="Arial"/>
          <w:szCs w:val="24"/>
          <w:lang w:val="es-CO" w:eastAsia="en-US"/>
        </w:rPr>
        <w:t xml:space="preserve"> </w:t>
      </w:r>
      <w:r w:rsidR="00164682" w:rsidRPr="00344EB5">
        <w:rPr>
          <w:rFonts w:ascii="Arial" w:eastAsia="Calibri" w:hAnsi="Arial" w:cs="Arial"/>
          <w:szCs w:val="24"/>
          <w:lang w:val="es-CO" w:eastAsia="en-US"/>
        </w:rPr>
        <w:t>(</w:t>
      </w:r>
      <w:r w:rsidR="00076B8F">
        <w:rPr>
          <w:rFonts w:ascii="Arial" w:eastAsia="Calibri" w:hAnsi="Arial" w:cs="Arial"/>
          <w:szCs w:val="24"/>
          <w:lang w:val="es-CO" w:eastAsia="en-US"/>
        </w:rPr>
        <w:t>08</w:t>
      </w:r>
      <w:r w:rsidR="00242971" w:rsidRPr="00344EB5">
        <w:rPr>
          <w:rFonts w:ascii="Arial" w:eastAsia="Calibri" w:hAnsi="Arial" w:cs="Arial"/>
          <w:szCs w:val="24"/>
          <w:lang w:val="es-CO" w:eastAsia="en-US"/>
        </w:rPr>
        <w:t>:</w:t>
      </w:r>
      <w:r w:rsidR="00076B8F">
        <w:rPr>
          <w:rFonts w:ascii="Arial" w:eastAsia="Calibri" w:hAnsi="Arial" w:cs="Arial"/>
          <w:szCs w:val="24"/>
          <w:lang w:val="es-CO" w:eastAsia="en-US"/>
        </w:rPr>
        <w:t>00</w:t>
      </w:r>
      <w:r w:rsidR="00242971" w:rsidRPr="00344EB5">
        <w:rPr>
          <w:rFonts w:ascii="Arial" w:eastAsia="Calibri" w:hAnsi="Arial" w:cs="Arial"/>
          <w:szCs w:val="24"/>
          <w:lang w:val="es-CO" w:eastAsia="en-US"/>
        </w:rPr>
        <w:t xml:space="preserve"> </w:t>
      </w:r>
      <w:r w:rsidR="00076B8F">
        <w:rPr>
          <w:rFonts w:ascii="Arial" w:eastAsia="Calibri" w:hAnsi="Arial" w:cs="Arial"/>
          <w:szCs w:val="24"/>
          <w:lang w:val="es-CO" w:eastAsia="en-US"/>
        </w:rPr>
        <w:t>a</w:t>
      </w:r>
      <w:r w:rsidR="00164682" w:rsidRPr="00344EB5">
        <w:rPr>
          <w:rFonts w:ascii="Arial" w:eastAsia="Calibri" w:hAnsi="Arial" w:cs="Arial"/>
          <w:szCs w:val="24"/>
          <w:lang w:val="es-CO" w:eastAsia="en-US"/>
        </w:rPr>
        <w:t xml:space="preserve">.m.), </w:t>
      </w:r>
      <w:r w:rsidR="00164682" w:rsidRPr="00344EB5">
        <w:rPr>
          <w:rFonts w:ascii="Arial" w:hAnsi="Arial" w:cs="Arial"/>
          <w:bCs/>
          <w:szCs w:val="24"/>
          <w:lang w:eastAsia="es-CO"/>
        </w:rPr>
        <w:t xml:space="preserve">la Sala </w:t>
      </w:r>
      <w:r w:rsidR="000D65B7">
        <w:rPr>
          <w:rFonts w:ascii="Arial" w:hAnsi="Arial" w:cs="Arial"/>
          <w:bCs/>
          <w:szCs w:val="24"/>
          <w:lang w:eastAsia="es-CO"/>
        </w:rPr>
        <w:t>Segunda</w:t>
      </w:r>
      <w:r w:rsidR="00242971" w:rsidRPr="00344EB5">
        <w:rPr>
          <w:rFonts w:ascii="Arial" w:hAnsi="Arial" w:cs="Arial"/>
          <w:bCs/>
          <w:szCs w:val="24"/>
          <w:lang w:eastAsia="es-CO"/>
        </w:rPr>
        <w:t xml:space="preserve"> </w:t>
      </w:r>
      <w:r w:rsidR="00164682" w:rsidRPr="00344EB5">
        <w:rPr>
          <w:rFonts w:ascii="Arial" w:hAnsi="Arial" w:cs="Arial"/>
          <w:bCs/>
          <w:szCs w:val="24"/>
          <w:lang w:eastAsia="es-CO"/>
        </w:rPr>
        <w:t xml:space="preserve">de Decisión Laboral del Tribunal </w:t>
      </w:r>
      <w:r w:rsidR="00164682" w:rsidRPr="00344EB5">
        <w:rPr>
          <w:rFonts w:ascii="Arial" w:hAnsi="Arial" w:cs="Arial"/>
          <w:bCs/>
          <w:color w:val="000000"/>
          <w:szCs w:val="24"/>
          <w:lang w:eastAsia="es-CO"/>
        </w:rPr>
        <w:t>Superior del Distrito Judicial de Pereira, se declara en audiencia pública con el propósito de resolver</w:t>
      </w:r>
      <w:r w:rsidR="00A07EF9" w:rsidRPr="00344EB5">
        <w:rPr>
          <w:rFonts w:ascii="Arial" w:hAnsi="Arial" w:cs="Arial"/>
          <w:bCs/>
          <w:color w:val="000000"/>
          <w:szCs w:val="24"/>
          <w:lang w:eastAsia="es-CO"/>
        </w:rPr>
        <w:t xml:space="preserve"> la apelación interpuesta por la demandante</w:t>
      </w:r>
      <w:r w:rsidR="00164682" w:rsidRPr="00344EB5">
        <w:rPr>
          <w:rFonts w:ascii="Arial" w:hAnsi="Arial" w:cs="Arial"/>
          <w:bCs/>
          <w:color w:val="000000"/>
          <w:szCs w:val="24"/>
          <w:lang w:eastAsia="es-CO"/>
        </w:rPr>
        <w:t xml:space="preserve"> respecto a la sentencia p</w:t>
      </w:r>
      <w:r w:rsidR="000D65B7">
        <w:rPr>
          <w:rFonts w:ascii="Arial" w:hAnsi="Arial" w:cs="Arial"/>
          <w:szCs w:val="24"/>
        </w:rPr>
        <w:t>roferida el 23</w:t>
      </w:r>
      <w:r w:rsidR="00A07EF9" w:rsidRPr="00344EB5">
        <w:rPr>
          <w:rFonts w:ascii="Arial" w:hAnsi="Arial" w:cs="Arial"/>
          <w:szCs w:val="24"/>
        </w:rPr>
        <w:t xml:space="preserve"> de </w:t>
      </w:r>
      <w:r w:rsidR="000D65B7">
        <w:rPr>
          <w:rFonts w:ascii="Arial" w:hAnsi="Arial" w:cs="Arial"/>
          <w:szCs w:val="24"/>
        </w:rPr>
        <w:t xml:space="preserve">mayo </w:t>
      </w:r>
      <w:r w:rsidR="00A07EF9" w:rsidRPr="00344EB5">
        <w:rPr>
          <w:rFonts w:ascii="Arial" w:hAnsi="Arial" w:cs="Arial"/>
          <w:szCs w:val="24"/>
        </w:rPr>
        <w:t>de 201</w:t>
      </w:r>
      <w:r w:rsidR="000D65B7">
        <w:rPr>
          <w:rFonts w:ascii="Arial" w:hAnsi="Arial" w:cs="Arial"/>
          <w:szCs w:val="24"/>
        </w:rPr>
        <w:t>8</w:t>
      </w:r>
      <w:r w:rsidR="001A7BA7" w:rsidRPr="00344EB5">
        <w:rPr>
          <w:rFonts w:ascii="Arial" w:hAnsi="Arial" w:cs="Arial"/>
          <w:szCs w:val="24"/>
        </w:rPr>
        <w:t>,</w:t>
      </w:r>
      <w:r w:rsidR="00164682" w:rsidRPr="00344EB5">
        <w:rPr>
          <w:rFonts w:ascii="Arial" w:hAnsi="Arial" w:cs="Arial"/>
          <w:szCs w:val="24"/>
        </w:rPr>
        <w:t xml:space="preserve"> por el Juzgado </w:t>
      </w:r>
      <w:r w:rsidR="009C1371" w:rsidRPr="00344EB5">
        <w:rPr>
          <w:rFonts w:ascii="Arial" w:hAnsi="Arial" w:cs="Arial"/>
          <w:szCs w:val="24"/>
        </w:rPr>
        <w:t>Segundo</w:t>
      </w:r>
      <w:r w:rsidR="0025298C" w:rsidRPr="00344EB5">
        <w:rPr>
          <w:rFonts w:ascii="Arial" w:hAnsi="Arial" w:cs="Arial"/>
          <w:szCs w:val="24"/>
        </w:rPr>
        <w:t xml:space="preserve"> </w:t>
      </w:r>
      <w:r w:rsidR="00164682" w:rsidRPr="00344EB5">
        <w:rPr>
          <w:rFonts w:ascii="Arial" w:hAnsi="Arial" w:cs="Arial"/>
          <w:szCs w:val="24"/>
        </w:rPr>
        <w:t>Laboral del Circuito de Pereira, dentro del proceso que prom</w:t>
      </w:r>
      <w:r w:rsidR="001A7BA7" w:rsidRPr="00344EB5">
        <w:rPr>
          <w:rFonts w:ascii="Arial" w:hAnsi="Arial" w:cs="Arial"/>
          <w:szCs w:val="24"/>
        </w:rPr>
        <w:t>ueve la</w:t>
      </w:r>
      <w:r w:rsidR="00164682" w:rsidRPr="00344EB5">
        <w:rPr>
          <w:rFonts w:ascii="Arial" w:hAnsi="Arial" w:cs="Arial"/>
          <w:szCs w:val="24"/>
        </w:rPr>
        <w:t xml:space="preserve"> señor</w:t>
      </w:r>
      <w:r w:rsidR="001A7BA7" w:rsidRPr="00344EB5">
        <w:rPr>
          <w:rFonts w:ascii="Arial" w:hAnsi="Arial" w:cs="Arial"/>
          <w:szCs w:val="24"/>
        </w:rPr>
        <w:t>a</w:t>
      </w:r>
      <w:r w:rsidR="00164682" w:rsidRPr="00344EB5">
        <w:rPr>
          <w:rFonts w:ascii="Arial" w:hAnsi="Arial" w:cs="Arial"/>
          <w:szCs w:val="24"/>
        </w:rPr>
        <w:t xml:space="preserve"> </w:t>
      </w:r>
      <w:r w:rsidR="000D65B7">
        <w:rPr>
          <w:rFonts w:ascii="Arial" w:hAnsi="Arial" w:cs="Arial"/>
          <w:b/>
          <w:szCs w:val="24"/>
        </w:rPr>
        <w:t xml:space="preserve">Marina Granada </w:t>
      </w:r>
      <w:r w:rsidR="00164682" w:rsidRPr="00344EB5">
        <w:rPr>
          <w:rFonts w:ascii="Arial" w:hAnsi="Arial" w:cs="Arial"/>
          <w:szCs w:val="24"/>
        </w:rPr>
        <w:t xml:space="preserve">contra la </w:t>
      </w:r>
      <w:r w:rsidR="00164682" w:rsidRPr="00344EB5">
        <w:rPr>
          <w:rFonts w:ascii="Arial" w:hAnsi="Arial" w:cs="Arial"/>
          <w:b/>
          <w:szCs w:val="24"/>
        </w:rPr>
        <w:t xml:space="preserve">Administradora Colombiana de Pensiones </w:t>
      </w:r>
      <w:r w:rsidR="00164682" w:rsidRPr="00344EB5">
        <w:rPr>
          <w:rFonts w:ascii="Arial" w:hAnsi="Arial" w:cs="Arial"/>
          <w:b/>
          <w:bCs/>
          <w:szCs w:val="24"/>
        </w:rPr>
        <w:t>COLPENSIONES</w:t>
      </w:r>
      <w:r w:rsidR="00076B8F">
        <w:rPr>
          <w:rFonts w:ascii="Arial" w:hAnsi="Arial" w:cs="Arial"/>
          <w:b/>
          <w:bCs/>
          <w:szCs w:val="24"/>
        </w:rPr>
        <w:t>,</w:t>
      </w:r>
      <w:r w:rsidR="000D65B7">
        <w:rPr>
          <w:rFonts w:ascii="Arial" w:hAnsi="Arial" w:cs="Arial"/>
          <w:bCs/>
          <w:iCs/>
          <w:szCs w:val="24"/>
        </w:rPr>
        <w:t xml:space="preserve"> </w:t>
      </w:r>
      <w:r w:rsidR="00076B8F">
        <w:rPr>
          <w:rFonts w:ascii="Arial" w:hAnsi="Arial" w:cs="Arial"/>
          <w:bCs/>
          <w:iCs/>
          <w:szCs w:val="24"/>
        </w:rPr>
        <w:t xml:space="preserve">trámite al que se vinculó </w:t>
      </w:r>
      <w:r w:rsidR="000D65B7">
        <w:rPr>
          <w:rFonts w:ascii="Arial" w:hAnsi="Arial" w:cs="Arial"/>
          <w:bCs/>
          <w:iCs/>
          <w:szCs w:val="24"/>
        </w:rPr>
        <w:t xml:space="preserve">a la señora </w:t>
      </w:r>
      <w:r w:rsidR="000D65B7">
        <w:rPr>
          <w:rFonts w:ascii="Arial" w:hAnsi="Arial" w:cs="Arial"/>
          <w:b/>
          <w:bCs/>
          <w:iCs/>
          <w:szCs w:val="24"/>
        </w:rPr>
        <w:t xml:space="preserve">Gloria Liliana Gómez Ríos, </w:t>
      </w:r>
      <w:r w:rsidR="000D65B7">
        <w:rPr>
          <w:rFonts w:ascii="Arial" w:hAnsi="Arial" w:cs="Arial"/>
          <w:bCs/>
          <w:iCs/>
          <w:szCs w:val="24"/>
        </w:rPr>
        <w:t>proceso</w:t>
      </w:r>
      <w:r w:rsidR="00164682" w:rsidRPr="00344EB5">
        <w:rPr>
          <w:rFonts w:ascii="Arial" w:hAnsi="Arial" w:cs="Arial"/>
          <w:bCs/>
          <w:iCs/>
          <w:szCs w:val="24"/>
        </w:rPr>
        <w:t xml:space="preserve"> radicado bajo el N° 66001-31-05-00</w:t>
      </w:r>
      <w:r w:rsidR="00FA06E1" w:rsidRPr="00344EB5">
        <w:rPr>
          <w:rFonts w:ascii="Arial" w:hAnsi="Arial" w:cs="Arial"/>
          <w:bCs/>
          <w:iCs/>
          <w:szCs w:val="24"/>
        </w:rPr>
        <w:t>2</w:t>
      </w:r>
      <w:r w:rsidR="00164682" w:rsidRPr="00344EB5">
        <w:rPr>
          <w:rFonts w:ascii="Arial" w:hAnsi="Arial" w:cs="Arial"/>
          <w:bCs/>
          <w:iCs/>
          <w:szCs w:val="24"/>
        </w:rPr>
        <w:t>-201</w:t>
      </w:r>
      <w:r w:rsidR="000D65B7">
        <w:rPr>
          <w:rFonts w:ascii="Arial" w:hAnsi="Arial" w:cs="Arial"/>
          <w:bCs/>
          <w:iCs/>
          <w:szCs w:val="24"/>
        </w:rPr>
        <w:t>4</w:t>
      </w:r>
      <w:r w:rsidR="00164682" w:rsidRPr="00344EB5">
        <w:rPr>
          <w:rFonts w:ascii="Arial" w:hAnsi="Arial" w:cs="Arial"/>
          <w:bCs/>
          <w:iCs/>
          <w:szCs w:val="24"/>
        </w:rPr>
        <w:t>-00</w:t>
      </w:r>
      <w:r w:rsidR="000D65B7">
        <w:rPr>
          <w:rFonts w:ascii="Arial" w:hAnsi="Arial" w:cs="Arial"/>
          <w:bCs/>
          <w:iCs/>
          <w:szCs w:val="24"/>
        </w:rPr>
        <w:t>490</w:t>
      </w:r>
      <w:r w:rsidR="00164682" w:rsidRPr="00344EB5">
        <w:rPr>
          <w:rFonts w:ascii="Arial" w:hAnsi="Arial" w:cs="Arial"/>
          <w:bCs/>
          <w:iCs/>
          <w:szCs w:val="24"/>
        </w:rPr>
        <w:t>-01.</w:t>
      </w:r>
    </w:p>
    <w:p w:rsidR="00164682" w:rsidRPr="00344EB5" w:rsidRDefault="00164682" w:rsidP="00164682">
      <w:pPr>
        <w:spacing w:line="276" w:lineRule="auto"/>
        <w:ind w:firstLine="851"/>
        <w:contextualSpacing/>
        <w:jc w:val="both"/>
        <w:rPr>
          <w:rFonts w:ascii="Arial" w:hAnsi="Arial" w:cs="Arial"/>
          <w:bCs/>
          <w:iCs/>
          <w:szCs w:val="24"/>
        </w:rPr>
      </w:pPr>
    </w:p>
    <w:p w:rsidR="00164682" w:rsidRPr="00502691" w:rsidRDefault="00164682" w:rsidP="00164682">
      <w:pPr>
        <w:spacing w:line="276" w:lineRule="auto"/>
        <w:contextualSpacing/>
        <w:rPr>
          <w:rFonts w:ascii="Arial" w:hAnsi="Arial" w:cs="Arial"/>
          <w:b/>
          <w:szCs w:val="24"/>
        </w:rPr>
      </w:pPr>
      <w:r w:rsidRPr="00344EB5">
        <w:rPr>
          <w:rFonts w:ascii="Arial" w:hAnsi="Arial" w:cs="Arial"/>
          <w:b/>
          <w:szCs w:val="24"/>
        </w:rPr>
        <w:t>Registro de asistencia:</w:t>
      </w:r>
    </w:p>
    <w:p w:rsidR="00164682" w:rsidRDefault="00164682" w:rsidP="00164682">
      <w:pPr>
        <w:spacing w:line="276" w:lineRule="auto"/>
        <w:ind w:firstLine="851"/>
        <w:contextualSpacing/>
        <w:rPr>
          <w:rFonts w:ascii="Arial" w:hAnsi="Arial" w:cs="Arial"/>
          <w:szCs w:val="24"/>
        </w:rPr>
      </w:pPr>
    </w:p>
    <w:p w:rsidR="00164682" w:rsidRDefault="000D65B7" w:rsidP="00164682">
      <w:pPr>
        <w:spacing w:line="276" w:lineRule="auto"/>
        <w:contextualSpacing/>
        <w:rPr>
          <w:rFonts w:ascii="Arial" w:hAnsi="Arial" w:cs="Arial"/>
          <w:szCs w:val="24"/>
        </w:rPr>
      </w:pPr>
      <w:r>
        <w:rPr>
          <w:rFonts w:ascii="Arial" w:hAnsi="Arial" w:cs="Arial"/>
          <w:szCs w:val="24"/>
        </w:rPr>
        <w:t>Demandante y su apoderada.</w:t>
      </w:r>
      <w:r w:rsidR="00164682">
        <w:rPr>
          <w:rFonts w:ascii="Arial" w:hAnsi="Arial" w:cs="Arial"/>
          <w:szCs w:val="24"/>
        </w:rPr>
        <w:tab/>
      </w:r>
      <w:r w:rsidR="00164682">
        <w:rPr>
          <w:rFonts w:ascii="Arial" w:hAnsi="Arial" w:cs="Arial"/>
          <w:szCs w:val="24"/>
        </w:rPr>
        <w:tab/>
      </w:r>
    </w:p>
    <w:p w:rsidR="00164682" w:rsidRDefault="00164682" w:rsidP="00164682">
      <w:pPr>
        <w:spacing w:line="276" w:lineRule="auto"/>
        <w:contextualSpacing/>
        <w:rPr>
          <w:rFonts w:ascii="Arial" w:hAnsi="Arial" w:cs="Arial"/>
          <w:szCs w:val="24"/>
        </w:rPr>
      </w:pPr>
      <w:r>
        <w:rPr>
          <w:rFonts w:ascii="Arial" w:hAnsi="Arial" w:cs="Arial"/>
          <w:szCs w:val="24"/>
        </w:rPr>
        <w:t>Colpensiones y su apoderado</w:t>
      </w:r>
      <w:r w:rsidR="000D65B7">
        <w:rPr>
          <w:rFonts w:ascii="Arial" w:hAnsi="Arial" w:cs="Arial"/>
          <w:szCs w:val="24"/>
        </w:rPr>
        <w:t>.</w:t>
      </w:r>
    </w:p>
    <w:p w:rsidR="000D65B7" w:rsidRDefault="000D65B7" w:rsidP="00164682">
      <w:pPr>
        <w:spacing w:line="276" w:lineRule="auto"/>
        <w:contextualSpacing/>
        <w:rPr>
          <w:rFonts w:ascii="Arial" w:hAnsi="Arial" w:cs="Arial"/>
          <w:szCs w:val="24"/>
        </w:rPr>
      </w:pPr>
      <w:r>
        <w:rPr>
          <w:rFonts w:ascii="Arial" w:hAnsi="Arial" w:cs="Arial"/>
          <w:szCs w:val="24"/>
        </w:rPr>
        <w:t>Vinculada y su apoderada.</w:t>
      </w:r>
    </w:p>
    <w:p w:rsidR="00164682" w:rsidRDefault="00164682" w:rsidP="00164682">
      <w:pPr>
        <w:spacing w:line="276" w:lineRule="auto"/>
        <w:ind w:firstLine="851"/>
        <w:contextualSpacing/>
        <w:rPr>
          <w:rFonts w:ascii="Arial" w:hAnsi="Arial" w:cs="Arial"/>
          <w:szCs w:val="24"/>
        </w:rPr>
      </w:pPr>
    </w:p>
    <w:p w:rsidR="00164682" w:rsidRDefault="00164682" w:rsidP="00164682">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164682" w:rsidRDefault="00164682" w:rsidP="00164682">
      <w:pPr>
        <w:spacing w:line="276" w:lineRule="auto"/>
        <w:contextualSpacing/>
        <w:jc w:val="both"/>
        <w:rPr>
          <w:rFonts w:ascii="Arial" w:hAnsi="Arial" w:cs="Arial"/>
          <w:b/>
          <w:szCs w:val="24"/>
        </w:rPr>
      </w:pPr>
    </w:p>
    <w:p w:rsidR="00164682" w:rsidRDefault="00164682" w:rsidP="00164682">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164682" w:rsidRDefault="00164682" w:rsidP="00164682">
      <w:pPr>
        <w:spacing w:line="276" w:lineRule="auto"/>
        <w:contextualSpacing/>
        <w:jc w:val="both"/>
        <w:rPr>
          <w:rFonts w:ascii="Arial" w:hAnsi="Arial" w:cs="Arial"/>
          <w:szCs w:val="24"/>
        </w:rPr>
      </w:pPr>
    </w:p>
    <w:p w:rsidR="00164682" w:rsidRPr="00312238" w:rsidRDefault="00164682" w:rsidP="00164682">
      <w:pPr>
        <w:spacing w:line="276" w:lineRule="auto"/>
        <w:contextualSpacing/>
        <w:jc w:val="center"/>
        <w:rPr>
          <w:rFonts w:ascii="Arial" w:hAnsi="Arial" w:cs="Arial"/>
          <w:b/>
          <w:szCs w:val="24"/>
        </w:rPr>
      </w:pPr>
      <w:r>
        <w:rPr>
          <w:rFonts w:ascii="Arial" w:hAnsi="Arial" w:cs="Arial"/>
          <w:b/>
          <w:szCs w:val="24"/>
        </w:rPr>
        <w:t>ANTECEDENTES</w:t>
      </w:r>
    </w:p>
    <w:p w:rsidR="00164682" w:rsidRDefault="00164682" w:rsidP="00164682">
      <w:pPr>
        <w:spacing w:line="276" w:lineRule="auto"/>
        <w:contextualSpacing/>
        <w:rPr>
          <w:rFonts w:ascii="Arial" w:hAnsi="Arial" w:cs="Arial"/>
          <w:b/>
          <w:szCs w:val="24"/>
        </w:rPr>
      </w:pPr>
    </w:p>
    <w:p w:rsidR="000D65B7" w:rsidRPr="000D65B7" w:rsidRDefault="00164682" w:rsidP="00C34AC2">
      <w:pPr>
        <w:pStyle w:val="Prrafodelista"/>
        <w:numPr>
          <w:ilvl w:val="0"/>
          <w:numId w:val="5"/>
        </w:numPr>
        <w:spacing w:line="276" w:lineRule="auto"/>
        <w:rPr>
          <w:rFonts w:ascii="Arial" w:hAnsi="Arial" w:cs="Arial"/>
          <w:sz w:val="24"/>
          <w:szCs w:val="24"/>
        </w:rPr>
      </w:pPr>
      <w:r w:rsidRPr="000D65B7">
        <w:rPr>
          <w:rFonts w:ascii="Arial" w:hAnsi="Arial" w:cs="Arial"/>
          <w:b/>
          <w:sz w:val="24"/>
          <w:szCs w:val="24"/>
        </w:rPr>
        <w:t>Síntesis de la demanda y su contestación</w:t>
      </w:r>
    </w:p>
    <w:p w:rsidR="00D47A5D" w:rsidRDefault="00D301D2" w:rsidP="00164682">
      <w:pPr>
        <w:spacing w:line="276" w:lineRule="auto"/>
        <w:contextualSpacing/>
        <w:jc w:val="both"/>
        <w:rPr>
          <w:rFonts w:ascii="Arial" w:hAnsi="Arial" w:cs="Arial"/>
          <w:szCs w:val="24"/>
        </w:rPr>
      </w:pPr>
      <w:r>
        <w:rPr>
          <w:rFonts w:ascii="Arial" w:hAnsi="Arial" w:cs="Arial"/>
          <w:szCs w:val="24"/>
        </w:rPr>
        <w:t xml:space="preserve">Pretende la señora </w:t>
      </w:r>
      <w:r w:rsidR="000D65B7">
        <w:rPr>
          <w:rFonts w:ascii="Arial" w:hAnsi="Arial" w:cs="Arial"/>
          <w:szCs w:val="24"/>
        </w:rPr>
        <w:t>Marina Granada que se le reconoz</w:t>
      </w:r>
      <w:r w:rsidR="006F7933">
        <w:rPr>
          <w:rFonts w:ascii="Arial" w:hAnsi="Arial" w:cs="Arial"/>
          <w:szCs w:val="24"/>
        </w:rPr>
        <w:t>ca la pensión de sobrevivientes</w:t>
      </w:r>
      <w:r w:rsidR="000D65B7">
        <w:rPr>
          <w:rFonts w:ascii="Arial" w:hAnsi="Arial" w:cs="Arial"/>
          <w:szCs w:val="24"/>
        </w:rPr>
        <w:t xml:space="preserve"> con ocasión del fallecimiento de su c</w:t>
      </w:r>
      <w:r w:rsidR="00076B8F">
        <w:rPr>
          <w:rFonts w:ascii="Arial" w:hAnsi="Arial" w:cs="Arial"/>
          <w:szCs w:val="24"/>
        </w:rPr>
        <w:t>ompañero permanente</w:t>
      </w:r>
      <w:r w:rsidR="006F7933">
        <w:rPr>
          <w:rFonts w:ascii="Arial" w:hAnsi="Arial" w:cs="Arial"/>
          <w:szCs w:val="24"/>
        </w:rPr>
        <w:t>,</w:t>
      </w:r>
      <w:r w:rsidR="00076B8F">
        <w:rPr>
          <w:rFonts w:ascii="Arial" w:hAnsi="Arial" w:cs="Arial"/>
          <w:szCs w:val="24"/>
        </w:rPr>
        <w:t xml:space="preserve"> desde el 13/02/</w:t>
      </w:r>
      <w:r w:rsidR="000D65B7">
        <w:rPr>
          <w:rFonts w:ascii="Arial" w:hAnsi="Arial" w:cs="Arial"/>
          <w:szCs w:val="24"/>
        </w:rPr>
        <w:t>2010 y se condene al pago de intereses moratorios</w:t>
      </w:r>
      <w:r w:rsidR="002D665C">
        <w:rPr>
          <w:rFonts w:ascii="Arial" w:hAnsi="Arial" w:cs="Arial"/>
          <w:szCs w:val="24"/>
        </w:rPr>
        <w:t xml:space="preserve">. </w:t>
      </w:r>
    </w:p>
    <w:p w:rsidR="00390F38" w:rsidRDefault="00390F38" w:rsidP="00164682">
      <w:pPr>
        <w:spacing w:line="276" w:lineRule="auto"/>
        <w:contextualSpacing/>
        <w:jc w:val="both"/>
        <w:rPr>
          <w:rFonts w:ascii="Arial" w:hAnsi="Arial" w:cs="Arial"/>
          <w:szCs w:val="24"/>
        </w:rPr>
      </w:pPr>
    </w:p>
    <w:p w:rsidR="00E21A0A" w:rsidRDefault="00164682" w:rsidP="00A0676A">
      <w:pPr>
        <w:spacing w:line="276" w:lineRule="auto"/>
        <w:contextualSpacing/>
        <w:jc w:val="both"/>
        <w:rPr>
          <w:rFonts w:ascii="Arial" w:hAnsi="Arial" w:cs="Arial"/>
          <w:szCs w:val="24"/>
        </w:rPr>
      </w:pPr>
      <w:r>
        <w:rPr>
          <w:rFonts w:ascii="Arial" w:hAnsi="Arial" w:cs="Arial"/>
          <w:szCs w:val="24"/>
        </w:rPr>
        <w:t>Fundamenta</w:t>
      </w:r>
      <w:r w:rsidR="0058526A">
        <w:rPr>
          <w:rFonts w:ascii="Arial" w:hAnsi="Arial" w:cs="Arial"/>
          <w:szCs w:val="24"/>
        </w:rPr>
        <w:t xml:space="preserve"> </w:t>
      </w:r>
      <w:r>
        <w:rPr>
          <w:rFonts w:ascii="Arial" w:hAnsi="Arial" w:cs="Arial"/>
          <w:szCs w:val="24"/>
        </w:rPr>
        <w:t xml:space="preserve">sus aspiraciones </w:t>
      </w:r>
      <w:r w:rsidRPr="00AC486E">
        <w:rPr>
          <w:rFonts w:ascii="Arial" w:hAnsi="Arial" w:cs="Arial"/>
          <w:szCs w:val="24"/>
        </w:rPr>
        <w:t>en que</w:t>
      </w:r>
      <w:r>
        <w:rPr>
          <w:rFonts w:ascii="Arial" w:hAnsi="Arial" w:cs="Arial"/>
          <w:szCs w:val="24"/>
        </w:rPr>
        <w:t>:</w:t>
      </w:r>
      <w:r w:rsidR="00D47A5D">
        <w:rPr>
          <w:rFonts w:ascii="Arial" w:hAnsi="Arial" w:cs="Arial"/>
          <w:szCs w:val="24"/>
        </w:rPr>
        <w:t xml:space="preserve"> </w:t>
      </w:r>
      <w:r w:rsidR="000C6210" w:rsidRPr="00076B8F">
        <w:rPr>
          <w:rFonts w:ascii="Arial" w:hAnsi="Arial" w:cs="Arial"/>
          <w:i/>
          <w:szCs w:val="24"/>
        </w:rPr>
        <w:t>i</w:t>
      </w:r>
      <w:r w:rsidR="00896F6D" w:rsidRPr="00076B8F">
        <w:rPr>
          <w:rFonts w:ascii="Arial" w:hAnsi="Arial" w:cs="Arial"/>
          <w:i/>
          <w:szCs w:val="24"/>
        </w:rPr>
        <w:t>)</w:t>
      </w:r>
      <w:r w:rsidR="00896F6D">
        <w:rPr>
          <w:rFonts w:ascii="Arial" w:hAnsi="Arial" w:cs="Arial"/>
          <w:szCs w:val="24"/>
        </w:rPr>
        <w:t xml:space="preserve"> </w:t>
      </w:r>
      <w:r w:rsidR="000D65B7">
        <w:rPr>
          <w:rFonts w:ascii="Arial" w:hAnsi="Arial" w:cs="Arial"/>
          <w:szCs w:val="24"/>
        </w:rPr>
        <w:t xml:space="preserve">convivió con el señor Evelio Ríos </w:t>
      </w:r>
      <w:r w:rsidR="00076B8F">
        <w:rPr>
          <w:rFonts w:ascii="Arial" w:hAnsi="Arial" w:cs="Arial"/>
          <w:szCs w:val="24"/>
        </w:rPr>
        <w:t>desde enero del 2001 hasta el día del su fallecimiento</w:t>
      </w:r>
      <w:r w:rsidR="000D65B7">
        <w:rPr>
          <w:rFonts w:ascii="Arial" w:hAnsi="Arial" w:cs="Arial"/>
          <w:szCs w:val="24"/>
        </w:rPr>
        <w:t xml:space="preserve">; </w:t>
      </w:r>
      <w:r w:rsidR="000D65B7" w:rsidRPr="00076B8F">
        <w:rPr>
          <w:rFonts w:ascii="Arial" w:hAnsi="Arial" w:cs="Arial"/>
          <w:i/>
          <w:szCs w:val="24"/>
        </w:rPr>
        <w:t>ii)</w:t>
      </w:r>
      <w:r w:rsidR="00076B8F">
        <w:rPr>
          <w:rFonts w:ascii="Arial" w:hAnsi="Arial" w:cs="Arial"/>
          <w:i/>
          <w:szCs w:val="24"/>
        </w:rPr>
        <w:t xml:space="preserve"> </w:t>
      </w:r>
      <w:r w:rsidR="00076B8F">
        <w:rPr>
          <w:rFonts w:ascii="Arial" w:hAnsi="Arial" w:cs="Arial"/>
          <w:szCs w:val="24"/>
        </w:rPr>
        <w:t xml:space="preserve">el causante disfrutaba de una pensión de vejez reconocida a través de la resolución No. </w:t>
      </w:r>
      <w:r w:rsidR="00E21A0A">
        <w:rPr>
          <w:rFonts w:ascii="Arial" w:hAnsi="Arial" w:cs="Arial"/>
          <w:szCs w:val="24"/>
        </w:rPr>
        <w:t>0</w:t>
      </w:r>
      <w:r w:rsidR="00076B8F">
        <w:rPr>
          <w:rFonts w:ascii="Arial" w:hAnsi="Arial" w:cs="Arial"/>
          <w:szCs w:val="24"/>
        </w:rPr>
        <w:t>1938 del 22/</w:t>
      </w:r>
      <w:r w:rsidR="00E21A0A">
        <w:rPr>
          <w:rFonts w:ascii="Arial" w:hAnsi="Arial" w:cs="Arial"/>
          <w:szCs w:val="24"/>
        </w:rPr>
        <w:t>08</w:t>
      </w:r>
      <w:r w:rsidR="00076B8F">
        <w:rPr>
          <w:rFonts w:ascii="Arial" w:hAnsi="Arial" w:cs="Arial"/>
          <w:szCs w:val="24"/>
        </w:rPr>
        <w:t>/</w:t>
      </w:r>
      <w:r w:rsidR="00E21A0A">
        <w:rPr>
          <w:rFonts w:ascii="Arial" w:hAnsi="Arial" w:cs="Arial"/>
          <w:szCs w:val="24"/>
        </w:rPr>
        <w:t xml:space="preserve">1984-; </w:t>
      </w:r>
      <w:r w:rsidR="00E21A0A" w:rsidRPr="00076B8F">
        <w:rPr>
          <w:rFonts w:ascii="Arial" w:hAnsi="Arial" w:cs="Arial"/>
          <w:i/>
          <w:szCs w:val="24"/>
        </w:rPr>
        <w:t>iii)</w:t>
      </w:r>
      <w:r w:rsidR="00E21A0A">
        <w:rPr>
          <w:rFonts w:ascii="Arial" w:hAnsi="Arial" w:cs="Arial"/>
          <w:szCs w:val="24"/>
        </w:rPr>
        <w:t xml:space="preserve"> </w:t>
      </w:r>
      <w:r w:rsidR="00076B8F">
        <w:rPr>
          <w:rFonts w:ascii="Arial" w:hAnsi="Arial" w:cs="Arial"/>
          <w:szCs w:val="24"/>
        </w:rPr>
        <w:t xml:space="preserve">Marina Granada disfruta de una pensión de sobrevivientes reconocida </w:t>
      </w:r>
      <w:r w:rsidR="00E21A0A">
        <w:rPr>
          <w:rFonts w:ascii="Arial" w:hAnsi="Arial" w:cs="Arial"/>
          <w:szCs w:val="24"/>
        </w:rPr>
        <w:t xml:space="preserve">mediante resolución </w:t>
      </w:r>
      <w:r w:rsidR="00076B8F">
        <w:rPr>
          <w:rFonts w:ascii="Arial" w:hAnsi="Arial" w:cs="Arial"/>
          <w:szCs w:val="24"/>
        </w:rPr>
        <w:t xml:space="preserve">No. </w:t>
      </w:r>
      <w:r w:rsidR="00E21A0A">
        <w:rPr>
          <w:rFonts w:ascii="Arial" w:hAnsi="Arial" w:cs="Arial"/>
          <w:szCs w:val="24"/>
        </w:rPr>
        <w:t>666 del 24</w:t>
      </w:r>
      <w:r w:rsidR="00076B8F">
        <w:rPr>
          <w:rFonts w:ascii="Arial" w:hAnsi="Arial" w:cs="Arial"/>
          <w:szCs w:val="24"/>
        </w:rPr>
        <w:t>/</w:t>
      </w:r>
      <w:r w:rsidR="00E21A0A">
        <w:rPr>
          <w:rFonts w:ascii="Arial" w:hAnsi="Arial" w:cs="Arial"/>
          <w:szCs w:val="24"/>
        </w:rPr>
        <w:t>02</w:t>
      </w:r>
      <w:r w:rsidR="00076B8F">
        <w:rPr>
          <w:rFonts w:ascii="Arial" w:hAnsi="Arial" w:cs="Arial"/>
          <w:szCs w:val="24"/>
        </w:rPr>
        <w:t>/2000</w:t>
      </w:r>
      <w:r w:rsidR="00E21A0A">
        <w:rPr>
          <w:rFonts w:ascii="Arial" w:hAnsi="Arial" w:cs="Arial"/>
          <w:szCs w:val="24"/>
        </w:rPr>
        <w:t xml:space="preserve">; </w:t>
      </w:r>
      <w:r w:rsidR="00E21A0A" w:rsidRPr="00A0676A">
        <w:rPr>
          <w:rFonts w:ascii="Arial" w:hAnsi="Arial" w:cs="Arial"/>
          <w:i/>
          <w:szCs w:val="24"/>
        </w:rPr>
        <w:t>iv)</w:t>
      </w:r>
      <w:r w:rsidR="00A0676A">
        <w:rPr>
          <w:rFonts w:ascii="Arial" w:hAnsi="Arial" w:cs="Arial"/>
          <w:i/>
          <w:szCs w:val="24"/>
        </w:rPr>
        <w:t xml:space="preserve"> </w:t>
      </w:r>
      <w:r w:rsidR="00A0676A">
        <w:rPr>
          <w:rFonts w:ascii="Arial" w:hAnsi="Arial" w:cs="Arial"/>
          <w:szCs w:val="24"/>
        </w:rPr>
        <w:t>el 04/</w:t>
      </w:r>
      <w:r w:rsidR="00E21A0A">
        <w:rPr>
          <w:rFonts w:ascii="Arial" w:hAnsi="Arial" w:cs="Arial"/>
          <w:szCs w:val="24"/>
        </w:rPr>
        <w:t>05</w:t>
      </w:r>
      <w:r w:rsidR="00A0676A">
        <w:rPr>
          <w:rFonts w:ascii="Arial" w:hAnsi="Arial" w:cs="Arial"/>
          <w:szCs w:val="24"/>
        </w:rPr>
        <w:t>/</w:t>
      </w:r>
      <w:r w:rsidR="00E21A0A">
        <w:rPr>
          <w:rFonts w:ascii="Arial" w:hAnsi="Arial" w:cs="Arial"/>
          <w:szCs w:val="24"/>
        </w:rPr>
        <w:t xml:space="preserve">2010 solicitó </w:t>
      </w:r>
      <w:r w:rsidR="00A0676A">
        <w:rPr>
          <w:rFonts w:ascii="Arial" w:hAnsi="Arial" w:cs="Arial"/>
          <w:szCs w:val="24"/>
        </w:rPr>
        <w:t xml:space="preserve">infructuosamente </w:t>
      </w:r>
      <w:r w:rsidR="00E21A0A">
        <w:rPr>
          <w:rFonts w:ascii="Arial" w:hAnsi="Arial" w:cs="Arial"/>
          <w:szCs w:val="24"/>
        </w:rPr>
        <w:t xml:space="preserve">al ISS el reconocimiento de la pensión de sobrevivientes, </w:t>
      </w:r>
      <w:r w:rsidR="00A0676A">
        <w:rPr>
          <w:rFonts w:ascii="Arial" w:hAnsi="Arial" w:cs="Arial"/>
          <w:szCs w:val="24"/>
        </w:rPr>
        <w:t xml:space="preserve">que </w:t>
      </w:r>
      <w:r w:rsidR="006F7933">
        <w:rPr>
          <w:rFonts w:ascii="Arial" w:hAnsi="Arial" w:cs="Arial"/>
          <w:szCs w:val="24"/>
        </w:rPr>
        <w:t xml:space="preserve">fue </w:t>
      </w:r>
      <w:r w:rsidR="00A0676A">
        <w:rPr>
          <w:rFonts w:ascii="Arial" w:hAnsi="Arial" w:cs="Arial"/>
          <w:szCs w:val="24"/>
        </w:rPr>
        <w:t xml:space="preserve">negada el </w:t>
      </w:r>
      <w:r w:rsidR="00E21A0A">
        <w:rPr>
          <w:rFonts w:ascii="Arial" w:hAnsi="Arial" w:cs="Arial"/>
          <w:szCs w:val="24"/>
        </w:rPr>
        <w:t>30</w:t>
      </w:r>
      <w:r w:rsidR="00A0676A">
        <w:rPr>
          <w:rFonts w:ascii="Arial" w:hAnsi="Arial" w:cs="Arial"/>
          <w:szCs w:val="24"/>
        </w:rPr>
        <w:t>/</w:t>
      </w:r>
      <w:r w:rsidR="00E21A0A">
        <w:rPr>
          <w:rFonts w:ascii="Arial" w:hAnsi="Arial" w:cs="Arial"/>
          <w:szCs w:val="24"/>
        </w:rPr>
        <w:t>09</w:t>
      </w:r>
      <w:r w:rsidR="00A0676A">
        <w:rPr>
          <w:rFonts w:ascii="Arial" w:hAnsi="Arial" w:cs="Arial"/>
          <w:szCs w:val="24"/>
        </w:rPr>
        <w:t>/</w:t>
      </w:r>
      <w:r w:rsidR="00E21A0A">
        <w:rPr>
          <w:rFonts w:ascii="Arial" w:hAnsi="Arial" w:cs="Arial"/>
          <w:szCs w:val="24"/>
        </w:rPr>
        <w:t>2010</w:t>
      </w:r>
      <w:r w:rsidR="00A0676A">
        <w:rPr>
          <w:rFonts w:ascii="Arial" w:hAnsi="Arial" w:cs="Arial"/>
          <w:szCs w:val="24"/>
        </w:rPr>
        <w:t xml:space="preserve"> y confirmada dicha negativa el 22/11/2013 al encontrar un conflicto entre beneficiarias.</w:t>
      </w:r>
    </w:p>
    <w:p w:rsidR="00E21A0A" w:rsidRDefault="00E21A0A" w:rsidP="00D47A5D">
      <w:pPr>
        <w:spacing w:line="276" w:lineRule="auto"/>
        <w:contextualSpacing/>
        <w:jc w:val="both"/>
        <w:rPr>
          <w:rFonts w:ascii="Arial" w:hAnsi="Arial" w:cs="Arial"/>
          <w:szCs w:val="24"/>
        </w:rPr>
      </w:pPr>
    </w:p>
    <w:p w:rsidR="00164682" w:rsidRDefault="00991B51" w:rsidP="00164682">
      <w:pPr>
        <w:spacing w:line="276" w:lineRule="auto"/>
        <w:contextualSpacing/>
        <w:jc w:val="both"/>
        <w:rPr>
          <w:rFonts w:ascii="Arial" w:hAnsi="Arial" w:cs="Arial"/>
          <w:i/>
          <w:szCs w:val="24"/>
        </w:rPr>
      </w:pPr>
      <w:r>
        <w:rPr>
          <w:rFonts w:ascii="Arial" w:hAnsi="Arial" w:cs="Arial"/>
          <w:szCs w:val="24"/>
        </w:rPr>
        <w:t>L</w:t>
      </w:r>
      <w:r w:rsidR="00164682">
        <w:rPr>
          <w:rFonts w:ascii="Arial" w:hAnsi="Arial" w:cs="Arial"/>
          <w:szCs w:val="24"/>
        </w:rPr>
        <w:t xml:space="preserve">a </w:t>
      </w:r>
      <w:r w:rsidR="00164682" w:rsidRPr="00F00141">
        <w:rPr>
          <w:rFonts w:ascii="Arial" w:hAnsi="Arial" w:cs="Arial"/>
          <w:b/>
          <w:szCs w:val="24"/>
        </w:rPr>
        <w:t>Administradora Colombiana de Pensiones –Colpensiones</w:t>
      </w:r>
      <w:r w:rsidR="00164682">
        <w:rPr>
          <w:rFonts w:ascii="Arial" w:hAnsi="Arial" w:cs="Arial"/>
          <w:szCs w:val="24"/>
        </w:rPr>
        <w:t xml:space="preserve"> </w:t>
      </w:r>
      <w:r w:rsidR="00B24939">
        <w:rPr>
          <w:rFonts w:ascii="Arial" w:hAnsi="Arial" w:cs="Arial"/>
          <w:szCs w:val="24"/>
        </w:rPr>
        <w:t>se opuso a todas las pretensiones</w:t>
      </w:r>
      <w:r w:rsidR="00346E32">
        <w:rPr>
          <w:rFonts w:ascii="Arial" w:hAnsi="Arial" w:cs="Arial"/>
          <w:szCs w:val="24"/>
        </w:rPr>
        <w:t>,</w:t>
      </w:r>
      <w:r w:rsidR="005F050E">
        <w:rPr>
          <w:rFonts w:ascii="Arial" w:hAnsi="Arial" w:cs="Arial"/>
          <w:szCs w:val="24"/>
        </w:rPr>
        <w:t xml:space="preserve"> </w:t>
      </w:r>
      <w:r w:rsidR="003D0321">
        <w:rPr>
          <w:rFonts w:ascii="Arial" w:hAnsi="Arial" w:cs="Arial"/>
          <w:szCs w:val="24"/>
        </w:rPr>
        <w:t xml:space="preserve">como fundamentos de la defensa manifestó que la investigación administrativa </w:t>
      </w:r>
      <w:r w:rsidR="00A0676A">
        <w:rPr>
          <w:rFonts w:ascii="Arial" w:hAnsi="Arial" w:cs="Arial"/>
          <w:szCs w:val="24"/>
        </w:rPr>
        <w:t xml:space="preserve">concluyó que existe </w:t>
      </w:r>
      <w:r w:rsidR="003D0321">
        <w:rPr>
          <w:rFonts w:ascii="Arial" w:hAnsi="Arial" w:cs="Arial"/>
          <w:szCs w:val="24"/>
        </w:rPr>
        <w:t xml:space="preserve">otra persona que alega convivencia con el causante, por lo que </w:t>
      </w:r>
      <w:r w:rsidR="00A0676A">
        <w:rPr>
          <w:rFonts w:ascii="Arial" w:hAnsi="Arial" w:cs="Arial"/>
          <w:szCs w:val="24"/>
        </w:rPr>
        <w:t>el conflicto entre beneficiarias debe dirimirlo la jurisdicción en su especialidad laboral</w:t>
      </w:r>
      <w:r w:rsidR="003D0321">
        <w:rPr>
          <w:rFonts w:ascii="Arial" w:hAnsi="Arial" w:cs="Arial"/>
          <w:szCs w:val="24"/>
        </w:rPr>
        <w:t xml:space="preserve">. </w:t>
      </w:r>
      <w:r w:rsidR="00164682">
        <w:rPr>
          <w:rFonts w:ascii="Arial" w:hAnsi="Arial" w:cs="Arial"/>
          <w:szCs w:val="24"/>
        </w:rPr>
        <w:t>Interpuso las excepciones de méri</w:t>
      </w:r>
      <w:r w:rsidR="003D0321">
        <w:rPr>
          <w:rFonts w:ascii="Arial" w:hAnsi="Arial" w:cs="Arial"/>
          <w:szCs w:val="24"/>
        </w:rPr>
        <w:t xml:space="preserve">to </w:t>
      </w:r>
      <w:r w:rsidR="005C3C81">
        <w:rPr>
          <w:rFonts w:ascii="Arial" w:hAnsi="Arial" w:cs="Arial"/>
          <w:szCs w:val="24"/>
        </w:rPr>
        <w:t>que denominó “</w:t>
      </w:r>
      <w:r w:rsidR="003D0321" w:rsidRPr="00A0676A">
        <w:rPr>
          <w:rFonts w:ascii="Arial" w:hAnsi="Arial" w:cs="Arial"/>
          <w:i/>
          <w:szCs w:val="24"/>
        </w:rPr>
        <w:t>prescripción”</w:t>
      </w:r>
      <w:r w:rsidR="003D0321">
        <w:rPr>
          <w:rFonts w:ascii="Arial" w:hAnsi="Arial" w:cs="Arial"/>
          <w:szCs w:val="24"/>
        </w:rPr>
        <w:t xml:space="preserve"> y “</w:t>
      </w:r>
      <w:r w:rsidR="003D0321" w:rsidRPr="00A0676A">
        <w:rPr>
          <w:rFonts w:ascii="Arial" w:hAnsi="Arial" w:cs="Arial"/>
          <w:i/>
          <w:szCs w:val="24"/>
        </w:rPr>
        <w:t>genéricas”.</w:t>
      </w:r>
    </w:p>
    <w:p w:rsidR="00A0676A" w:rsidRDefault="00A0676A" w:rsidP="00164682">
      <w:pPr>
        <w:spacing w:line="276" w:lineRule="auto"/>
        <w:contextualSpacing/>
        <w:jc w:val="both"/>
        <w:rPr>
          <w:rFonts w:ascii="Arial" w:hAnsi="Arial" w:cs="Arial"/>
          <w:i/>
          <w:szCs w:val="24"/>
        </w:rPr>
      </w:pPr>
    </w:p>
    <w:p w:rsidR="00A0676A" w:rsidRPr="00A0676A" w:rsidRDefault="00A0676A" w:rsidP="00164682">
      <w:pPr>
        <w:spacing w:line="276" w:lineRule="auto"/>
        <w:contextualSpacing/>
        <w:jc w:val="both"/>
        <w:rPr>
          <w:rFonts w:ascii="Arial" w:hAnsi="Arial" w:cs="Arial"/>
          <w:szCs w:val="24"/>
        </w:rPr>
      </w:pPr>
      <w:r>
        <w:rPr>
          <w:rFonts w:ascii="Arial" w:hAnsi="Arial" w:cs="Arial"/>
          <w:szCs w:val="24"/>
        </w:rPr>
        <w:t>Por auto de 25/05/2015 se ordenó vincular a Gloria Liliana Gómez Ríos (fls. 53 a 55 c. 1).</w:t>
      </w:r>
    </w:p>
    <w:p w:rsidR="002B27EF" w:rsidRDefault="002B27EF" w:rsidP="00164682">
      <w:pPr>
        <w:spacing w:line="276" w:lineRule="auto"/>
        <w:contextualSpacing/>
        <w:jc w:val="both"/>
        <w:rPr>
          <w:rFonts w:ascii="Arial" w:hAnsi="Arial" w:cs="Arial"/>
          <w:szCs w:val="24"/>
        </w:rPr>
      </w:pPr>
    </w:p>
    <w:p w:rsidR="002B27EF" w:rsidRPr="002B27EF" w:rsidRDefault="002B27EF" w:rsidP="00164682">
      <w:pPr>
        <w:spacing w:line="276" w:lineRule="auto"/>
        <w:contextualSpacing/>
        <w:jc w:val="both"/>
        <w:rPr>
          <w:rFonts w:ascii="Arial" w:hAnsi="Arial" w:cs="Arial"/>
          <w:szCs w:val="24"/>
        </w:rPr>
      </w:pPr>
      <w:r>
        <w:rPr>
          <w:rFonts w:ascii="Arial" w:hAnsi="Arial" w:cs="Arial"/>
          <w:szCs w:val="24"/>
        </w:rPr>
        <w:t xml:space="preserve">La </w:t>
      </w:r>
      <w:r>
        <w:rPr>
          <w:rFonts w:ascii="Arial" w:hAnsi="Arial" w:cs="Arial"/>
          <w:b/>
          <w:szCs w:val="24"/>
        </w:rPr>
        <w:t xml:space="preserve">Curadora Ad </w:t>
      </w:r>
      <w:proofErr w:type="spellStart"/>
      <w:r>
        <w:rPr>
          <w:rFonts w:ascii="Arial" w:hAnsi="Arial" w:cs="Arial"/>
          <w:b/>
          <w:szCs w:val="24"/>
        </w:rPr>
        <w:t>Lítem</w:t>
      </w:r>
      <w:proofErr w:type="spellEnd"/>
      <w:r>
        <w:rPr>
          <w:rFonts w:ascii="Arial" w:hAnsi="Arial" w:cs="Arial"/>
          <w:b/>
          <w:szCs w:val="24"/>
        </w:rPr>
        <w:t xml:space="preserve"> </w:t>
      </w:r>
      <w:r>
        <w:rPr>
          <w:rFonts w:ascii="Arial" w:hAnsi="Arial" w:cs="Arial"/>
          <w:szCs w:val="24"/>
        </w:rPr>
        <w:t xml:space="preserve">de la señora </w:t>
      </w:r>
      <w:r>
        <w:rPr>
          <w:rFonts w:ascii="Arial" w:hAnsi="Arial" w:cs="Arial"/>
          <w:b/>
          <w:szCs w:val="24"/>
        </w:rPr>
        <w:t>Gloria Liliana Gómez Ríos,</w:t>
      </w:r>
      <w:r>
        <w:rPr>
          <w:rFonts w:ascii="Arial" w:hAnsi="Arial" w:cs="Arial"/>
          <w:szCs w:val="24"/>
        </w:rPr>
        <w:t xml:space="preserve"> vinculada, se opuso a la totalidad de las pretensiones incoadas en la demanda, </w:t>
      </w:r>
      <w:r w:rsidR="008D7459">
        <w:rPr>
          <w:rFonts w:ascii="Arial" w:hAnsi="Arial" w:cs="Arial"/>
          <w:szCs w:val="24"/>
        </w:rPr>
        <w:t>como razones de la defensa expuso que fundamentada en la investigación administra</w:t>
      </w:r>
      <w:r w:rsidR="003635BB">
        <w:rPr>
          <w:rFonts w:ascii="Arial" w:hAnsi="Arial" w:cs="Arial"/>
          <w:szCs w:val="24"/>
        </w:rPr>
        <w:t>tiva realizada por el ISS el 08/06/</w:t>
      </w:r>
      <w:r w:rsidR="008D7459">
        <w:rPr>
          <w:rFonts w:ascii="Arial" w:hAnsi="Arial" w:cs="Arial"/>
          <w:szCs w:val="24"/>
        </w:rPr>
        <w:t>2011, la demandante no convivió los últimos cinco (05) años continuos a la fecha del fallecimiento, por lo que no le asiste el derecho</w:t>
      </w:r>
      <w:r w:rsidR="003635BB">
        <w:rPr>
          <w:rFonts w:ascii="Arial" w:hAnsi="Arial" w:cs="Arial"/>
          <w:szCs w:val="24"/>
        </w:rPr>
        <w:t>. Como medios de defensa presentó</w:t>
      </w:r>
      <w:r w:rsidR="008D7459">
        <w:rPr>
          <w:rFonts w:ascii="Arial" w:hAnsi="Arial" w:cs="Arial"/>
          <w:szCs w:val="24"/>
        </w:rPr>
        <w:t xml:space="preserve"> las excepciones que denominó “</w:t>
      </w:r>
      <w:r w:rsidR="008D7459" w:rsidRPr="003635BB">
        <w:rPr>
          <w:rFonts w:ascii="Arial" w:hAnsi="Arial" w:cs="Arial"/>
          <w:i/>
          <w:szCs w:val="24"/>
        </w:rPr>
        <w:t>no cumplimiento de la convivencia de la demandante”;</w:t>
      </w:r>
      <w:r w:rsidR="008D7459">
        <w:rPr>
          <w:rFonts w:ascii="Arial" w:hAnsi="Arial" w:cs="Arial"/>
          <w:szCs w:val="24"/>
        </w:rPr>
        <w:t xml:space="preserve"> “</w:t>
      </w:r>
      <w:r w:rsidR="008D7459" w:rsidRPr="003635BB">
        <w:rPr>
          <w:rFonts w:ascii="Arial" w:hAnsi="Arial" w:cs="Arial"/>
          <w:i/>
          <w:szCs w:val="24"/>
        </w:rPr>
        <w:t>buena fe”;</w:t>
      </w:r>
      <w:r w:rsidR="008D7459">
        <w:rPr>
          <w:rFonts w:ascii="Arial" w:hAnsi="Arial" w:cs="Arial"/>
          <w:szCs w:val="24"/>
        </w:rPr>
        <w:t xml:space="preserve"> “</w:t>
      </w:r>
      <w:r w:rsidR="008D7459" w:rsidRPr="003635BB">
        <w:rPr>
          <w:rFonts w:ascii="Arial" w:hAnsi="Arial" w:cs="Arial"/>
          <w:i/>
          <w:szCs w:val="24"/>
        </w:rPr>
        <w:t>mala fe”;</w:t>
      </w:r>
      <w:r w:rsidR="008D7459">
        <w:rPr>
          <w:rFonts w:ascii="Arial" w:hAnsi="Arial" w:cs="Arial"/>
          <w:szCs w:val="24"/>
        </w:rPr>
        <w:t xml:space="preserve"> “</w:t>
      </w:r>
      <w:r w:rsidR="008D7459" w:rsidRPr="003635BB">
        <w:rPr>
          <w:rFonts w:ascii="Arial" w:hAnsi="Arial" w:cs="Arial"/>
          <w:i/>
          <w:szCs w:val="24"/>
        </w:rPr>
        <w:t>prescripción”</w:t>
      </w:r>
      <w:r w:rsidR="008D7459">
        <w:rPr>
          <w:rFonts w:ascii="Arial" w:hAnsi="Arial" w:cs="Arial"/>
          <w:szCs w:val="24"/>
        </w:rPr>
        <w:t xml:space="preserve"> e “</w:t>
      </w:r>
      <w:r w:rsidR="008D7459" w:rsidRPr="003635BB">
        <w:rPr>
          <w:rFonts w:ascii="Arial" w:hAnsi="Arial" w:cs="Arial"/>
          <w:i/>
          <w:szCs w:val="24"/>
        </w:rPr>
        <w:t>innominada o genérica”.</w:t>
      </w:r>
    </w:p>
    <w:p w:rsidR="00164682" w:rsidRPr="00E31323" w:rsidRDefault="00164682" w:rsidP="005944F7">
      <w:pPr>
        <w:contextualSpacing/>
        <w:jc w:val="both"/>
        <w:rPr>
          <w:rFonts w:ascii="Arial" w:hAnsi="Arial" w:cs="Arial"/>
          <w:szCs w:val="24"/>
        </w:rPr>
      </w:pPr>
    </w:p>
    <w:p w:rsidR="00164682" w:rsidRPr="00D02FFE" w:rsidRDefault="006F65B3" w:rsidP="00D02FFE">
      <w:pPr>
        <w:pStyle w:val="Prrafodelista"/>
        <w:numPr>
          <w:ilvl w:val="0"/>
          <w:numId w:val="5"/>
        </w:numPr>
        <w:spacing w:line="276" w:lineRule="auto"/>
        <w:rPr>
          <w:rFonts w:ascii="Arial" w:hAnsi="Arial" w:cs="Arial"/>
          <w:b/>
          <w:sz w:val="24"/>
          <w:szCs w:val="24"/>
        </w:rPr>
      </w:pPr>
      <w:r>
        <w:rPr>
          <w:rFonts w:ascii="Arial" w:hAnsi="Arial" w:cs="Arial"/>
          <w:b/>
          <w:sz w:val="24"/>
          <w:szCs w:val="24"/>
        </w:rPr>
        <w:t>Sín</w:t>
      </w:r>
      <w:r w:rsidR="006F7933">
        <w:rPr>
          <w:rFonts w:ascii="Arial" w:hAnsi="Arial" w:cs="Arial"/>
          <w:b/>
          <w:sz w:val="24"/>
          <w:szCs w:val="24"/>
        </w:rPr>
        <w:t>tesis de la sentencia impugnada</w:t>
      </w:r>
    </w:p>
    <w:p w:rsidR="005F050E" w:rsidRDefault="00546808" w:rsidP="004D5B76">
      <w:pPr>
        <w:spacing w:line="276" w:lineRule="auto"/>
        <w:contextualSpacing/>
        <w:jc w:val="both"/>
        <w:rPr>
          <w:rFonts w:ascii="Arial" w:hAnsi="Arial" w:cs="Arial"/>
          <w:szCs w:val="24"/>
        </w:rPr>
      </w:pPr>
      <w:r>
        <w:rPr>
          <w:rFonts w:ascii="Arial" w:hAnsi="Arial" w:cs="Arial"/>
          <w:szCs w:val="24"/>
        </w:rPr>
        <w:lastRenderedPageBreak/>
        <w:t>El Juzgado Segundo</w:t>
      </w:r>
      <w:r w:rsidR="00D02FFE">
        <w:rPr>
          <w:rFonts w:ascii="Arial" w:hAnsi="Arial" w:cs="Arial"/>
          <w:szCs w:val="24"/>
        </w:rPr>
        <w:t xml:space="preserve"> L</w:t>
      </w:r>
      <w:r w:rsidR="004D5B76">
        <w:rPr>
          <w:rFonts w:ascii="Arial" w:hAnsi="Arial" w:cs="Arial"/>
          <w:szCs w:val="24"/>
        </w:rPr>
        <w:t>aboral del Circuito de Pereira</w:t>
      </w:r>
      <w:r w:rsidR="005F050E">
        <w:rPr>
          <w:rFonts w:ascii="Arial" w:hAnsi="Arial" w:cs="Arial"/>
          <w:szCs w:val="24"/>
        </w:rPr>
        <w:t xml:space="preserve"> absolvió a </w:t>
      </w:r>
      <w:r w:rsidR="004D5B76">
        <w:rPr>
          <w:rFonts w:ascii="Arial" w:hAnsi="Arial" w:cs="Arial"/>
          <w:szCs w:val="24"/>
        </w:rPr>
        <w:t>Colpensiones de las pretensiones de la demanda y condenó a la parte demandante en costas procesales</w:t>
      </w:r>
      <w:r w:rsidR="005F050E">
        <w:rPr>
          <w:rFonts w:ascii="Arial" w:hAnsi="Arial" w:cs="Arial"/>
          <w:szCs w:val="24"/>
        </w:rPr>
        <w:t>.</w:t>
      </w:r>
    </w:p>
    <w:p w:rsidR="005F050E" w:rsidRDefault="005F050E" w:rsidP="004D5B76">
      <w:pPr>
        <w:spacing w:line="276" w:lineRule="auto"/>
        <w:contextualSpacing/>
        <w:jc w:val="both"/>
        <w:rPr>
          <w:rFonts w:ascii="Arial" w:hAnsi="Arial" w:cs="Arial"/>
          <w:szCs w:val="24"/>
        </w:rPr>
      </w:pPr>
    </w:p>
    <w:p w:rsidR="004C4C94" w:rsidRDefault="008258CB" w:rsidP="003635BB">
      <w:pPr>
        <w:spacing w:line="276" w:lineRule="auto"/>
        <w:contextualSpacing/>
        <w:jc w:val="both"/>
        <w:rPr>
          <w:rFonts w:ascii="Arial" w:hAnsi="Arial" w:cs="Arial"/>
          <w:szCs w:val="24"/>
        </w:rPr>
      </w:pPr>
      <w:r>
        <w:rPr>
          <w:rFonts w:ascii="Arial" w:hAnsi="Arial" w:cs="Arial"/>
          <w:szCs w:val="24"/>
        </w:rPr>
        <w:t xml:space="preserve">Para arribar a esta conclusión, expresó que </w:t>
      </w:r>
      <w:r w:rsidR="003635BB">
        <w:rPr>
          <w:rFonts w:ascii="Arial" w:hAnsi="Arial" w:cs="Arial"/>
          <w:szCs w:val="24"/>
        </w:rPr>
        <w:t xml:space="preserve">la demandante omitió probar la convivencia ininterrumpida durante al menos los últimos 5 años previos al fallecimiento de Evelio Ríos, de conformidad con la Ley 797/03. Así, adujo que de ninguna de las pruebas allegadas se desprendía que Marina Granada hubiese compartido </w:t>
      </w:r>
      <w:r w:rsidR="004C4C94">
        <w:rPr>
          <w:rFonts w:ascii="Arial" w:hAnsi="Arial" w:cs="Arial"/>
          <w:szCs w:val="24"/>
        </w:rPr>
        <w:t>e</w:t>
      </w:r>
      <w:r w:rsidR="003635BB">
        <w:rPr>
          <w:rFonts w:ascii="Arial" w:hAnsi="Arial" w:cs="Arial"/>
          <w:szCs w:val="24"/>
        </w:rPr>
        <w:t>n comunidad y</w:t>
      </w:r>
      <w:r w:rsidR="004C4C94">
        <w:rPr>
          <w:rFonts w:ascii="Arial" w:hAnsi="Arial" w:cs="Arial"/>
          <w:szCs w:val="24"/>
        </w:rPr>
        <w:t xml:space="preserve"> vocación de permanenc</w:t>
      </w:r>
      <w:r w:rsidR="003635BB">
        <w:rPr>
          <w:rFonts w:ascii="Arial" w:hAnsi="Arial" w:cs="Arial"/>
          <w:szCs w:val="24"/>
        </w:rPr>
        <w:t>ia con el causante, máxime que con la</w:t>
      </w:r>
      <w:r w:rsidR="004C4C94">
        <w:rPr>
          <w:rFonts w:ascii="Arial" w:hAnsi="Arial" w:cs="Arial"/>
          <w:szCs w:val="24"/>
        </w:rPr>
        <w:t xml:space="preserve"> prueba documental </w:t>
      </w:r>
      <w:r w:rsidR="003635BB">
        <w:rPr>
          <w:rFonts w:ascii="Arial" w:hAnsi="Arial" w:cs="Arial"/>
          <w:szCs w:val="24"/>
        </w:rPr>
        <w:t xml:space="preserve">se desvirtuó la credibilidad de los testimonios practicados. </w:t>
      </w:r>
    </w:p>
    <w:p w:rsidR="00AE2711" w:rsidRPr="00EC0ECE" w:rsidRDefault="00C54F78" w:rsidP="00EC0ECE">
      <w:pPr>
        <w:spacing w:line="276" w:lineRule="auto"/>
        <w:contextualSpacing/>
        <w:jc w:val="both"/>
        <w:rPr>
          <w:rFonts w:ascii="Arial" w:hAnsi="Arial" w:cs="Arial"/>
          <w:color w:val="FF0000"/>
          <w:szCs w:val="24"/>
        </w:rPr>
      </w:pPr>
      <w:r>
        <w:rPr>
          <w:rFonts w:ascii="Arial" w:hAnsi="Arial" w:cs="Arial"/>
          <w:szCs w:val="24"/>
        </w:rPr>
        <w:t xml:space="preserve"> </w:t>
      </w:r>
    </w:p>
    <w:p w:rsidR="001065EE" w:rsidRDefault="006F65B3" w:rsidP="00A70C4E">
      <w:pPr>
        <w:spacing w:line="276" w:lineRule="auto"/>
        <w:jc w:val="both"/>
        <w:rPr>
          <w:rFonts w:ascii="Arial" w:hAnsi="Arial" w:cs="Arial"/>
          <w:b/>
          <w:szCs w:val="24"/>
        </w:rPr>
      </w:pPr>
      <w:r>
        <w:rPr>
          <w:rFonts w:ascii="Arial" w:hAnsi="Arial" w:cs="Arial"/>
          <w:b/>
          <w:szCs w:val="24"/>
        </w:rPr>
        <w:t>3</w:t>
      </w:r>
      <w:r w:rsidR="00A70C4E">
        <w:rPr>
          <w:rFonts w:ascii="Arial" w:hAnsi="Arial" w:cs="Arial"/>
          <w:b/>
          <w:szCs w:val="24"/>
        </w:rPr>
        <w:t xml:space="preserve">. </w:t>
      </w:r>
      <w:r w:rsidR="00334E80" w:rsidRPr="00A70C4E">
        <w:rPr>
          <w:rFonts w:ascii="Arial" w:hAnsi="Arial" w:cs="Arial"/>
          <w:b/>
          <w:szCs w:val="24"/>
        </w:rPr>
        <w:t>Síntesis del recurso</w:t>
      </w:r>
    </w:p>
    <w:p w:rsidR="00530BB5" w:rsidRDefault="00530BB5" w:rsidP="005944F7">
      <w:pPr>
        <w:spacing w:line="276" w:lineRule="auto"/>
        <w:jc w:val="both"/>
        <w:rPr>
          <w:rFonts w:ascii="Arial" w:hAnsi="Arial" w:cs="Arial"/>
          <w:b/>
          <w:szCs w:val="24"/>
        </w:rPr>
      </w:pPr>
    </w:p>
    <w:p w:rsidR="002141A8" w:rsidRDefault="00334E80" w:rsidP="003635BB">
      <w:pPr>
        <w:spacing w:line="276" w:lineRule="auto"/>
        <w:jc w:val="both"/>
        <w:rPr>
          <w:rFonts w:ascii="Arial" w:hAnsi="Arial" w:cs="Arial"/>
          <w:szCs w:val="24"/>
        </w:rPr>
      </w:pPr>
      <w:r>
        <w:rPr>
          <w:rFonts w:ascii="Arial" w:hAnsi="Arial" w:cs="Arial"/>
          <w:szCs w:val="24"/>
        </w:rPr>
        <w:t>La parte act</w:t>
      </w:r>
      <w:r w:rsidR="004C4C94">
        <w:rPr>
          <w:rFonts w:ascii="Arial" w:hAnsi="Arial" w:cs="Arial"/>
          <w:szCs w:val="24"/>
        </w:rPr>
        <w:t>ora inconforme con la decisió</w:t>
      </w:r>
      <w:r w:rsidR="003635BB">
        <w:rPr>
          <w:rFonts w:ascii="Arial" w:hAnsi="Arial" w:cs="Arial"/>
          <w:szCs w:val="24"/>
        </w:rPr>
        <w:t>n presentó recurso de apelación, para lo cual argumentó que sí acreditó la convivencia como se desprendía de las pruebas practicadas y aportadas con las que se probó que la pareja convivió durante 9 años, sin que la veracidad de los testimonios pueda derruirse por la exactitud entre lo depuesto con las declaraciones extra juicio allegadas. Además, recriminó que las contradicciones entre los testigos eran apenas naturales debido a la edad de los deponentes. Por último, censuró la declaración rendida por la vinculada, en tanto sus afirmaciones no era</w:t>
      </w:r>
      <w:r w:rsidR="00232C57">
        <w:rPr>
          <w:rFonts w:ascii="Arial" w:hAnsi="Arial" w:cs="Arial"/>
          <w:szCs w:val="24"/>
        </w:rPr>
        <w:t xml:space="preserve">n </w:t>
      </w:r>
      <w:r w:rsidR="003635BB">
        <w:rPr>
          <w:rFonts w:ascii="Arial" w:hAnsi="Arial" w:cs="Arial"/>
          <w:szCs w:val="24"/>
        </w:rPr>
        <w:t xml:space="preserve">valederas. </w:t>
      </w:r>
    </w:p>
    <w:p w:rsidR="002241A8" w:rsidRDefault="002241A8" w:rsidP="00886302">
      <w:pPr>
        <w:shd w:val="clear" w:color="auto" w:fill="FFFFFF"/>
        <w:spacing w:line="276" w:lineRule="auto"/>
        <w:rPr>
          <w:rFonts w:ascii="Arial" w:hAnsi="Arial" w:cs="Arial"/>
          <w:b/>
          <w:szCs w:val="24"/>
        </w:rPr>
      </w:pPr>
    </w:p>
    <w:p w:rsidR="007559F6" w:rsidRDefault="007559F6" w:rsidP="007559F6">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7559F6" w:rsidRDefault="007559F6" w:rsidP="007559F6">
      <w:pPr>
        <w:shd w:val="clear" w:color="auto" w:fill="FFFFFF"/>
        <w:tabs>
          <w:tab w:val="left" w:pos="5197"/>
        </w:tabs>
        <w:spacing w:line="276" w:lineRule="auto"/>
        <w:jc w:val="both"/>
        <w:rPr>
          <w:rFonts w:ascii="Arial" w:hAnsi="Arial" w:cs="Arial"/>
          <w:b/>
          <w:szCs w:val="24"/>
        </w:rPr>
      </w:pPr>
    </w:p>
    <w:p w:rsidR="008C4910" w:rsidRDefault="008C4910" w:rsidP="007559F6">
      <w:pPr>
        <w:shd w:val="clear" w:color="auto" w:fill="FFFFFF"/>
        <w:tabs>
          <w:tab w:val="left" w:pos="5197"/>
        </w:tabs>
        <w:spacing w:line="276" w:lineRule="auto"/>
        <w:jc w:val="both"/>
        <w:rPr>
          <w:rFonts w:ascii="Arial" w:hAnsi="Arial" w:cs="Arial"/>
          <w:b/>
          <w:szCs w:val="24"/>
        </w:rPr>
      </w:pPr>
      <w:r>
        <w:rPr>
          <w:rFonts w:ascii="Arial" w:hAnsi="Arial" w:cs="Arial"/>
          <w:b/>
          <w:szCs w:val="24"/>
        </w:rPr>
        <w:t>Cuestión previa</w:t>
      </w:r>
    </w:p>
    <w:p w:rsidR="008C4910" w:rsidRDefault="008C4910" w:rsidP="007559F6">
      <w:pPr>
        <w:shd w:val="clear" w:color="auto" w:fill="FFFFFF"/>
        <w:tabs>
          <w:tab w:val="left" w:pos="5197"/>
        </w:tabs>
        <w:spacing w:line="276" w:lineRule="auto"/>
        <w:jc w:val="both"/>
        <w:rPr>
          <w:rFonts w:ascii="Arial" w:hAnsi="Arial" w:cs="Arial"/>
          <w:b/>
          <w:szCs w:val="24"/>
        </w:rPr>
      </w:pPr>
    </w:p>
    <w:p w:rsidR="008C4910" w:rsidRPr="008C4910" w:rsidRDefault="008C4910" w:rsidP="007559F6">
      <w:pPr>
        <w:shd w:val="clear" w:color="auto" w:fill="FFFFFF"/>
        <w:tabs>
          <w:tab w:val="left" w:pos="5197"/>
        </w:tabs>
        <w:spacing w:line="276" w:lineRule="auto"/>
        <w:jc w:val="both"/>
        <w:rPr>
          <w:rFonts w:ascii="Arial" w:hAnsi="Arial" w:cs="Arial"/>
          <w:szCs w:val="24"/>
        </w:rPr>
      </w:pPr>
      <w:r>
        <w:rPr>
          <w:rFonts w:ascii="Arial" w:hAnsi="Arial" w:cs="Arial"/>
          <w:szCs w:val="24"/>
        </w:rPr>
        <w:t>Resulta pacífico en esta instancia que Evelio Ríos Muñoz disfrutaba de una pensión de vejez reconocida por el ISS mediante Resolución No. 1938 del 22/08/1984 (fl. 10 c. 1), y que falleció el 13/02/2010, como se desprende del registro civil de defunción (fl. 9 c. 1), en consecuencia dejó causado el derecho de sobrevivencia.</w:t>
      </w:r>
    </w:p>
    <w:p w:rsidR="008C4910" w:rsidRDefault="008C4910" w:rsidP="007559F6">
      <w:pPr>
        <w:shd w:val="clear" w:color="auto" w:fill="FFFFFF"/>
        <w:tabs>
          <w:tab w:val="left" w:pos="5197"/>
        </w:tabs>
        <w:spacing w:line="276" w:lineRule="auto"/>
        <w:jc w:val="both"/>
        <w:rPr>
          <w:rFonts w:ascii="Arial" w:hAnsi="Arial" w:cs="Arial"/>
          <w:b/>
          <w:szCs w:val="24"/>
        </w:rPr>
      </w:pPr>
    </w:p>
    <w:p w:rsidR="00CD1C40" w:rsidRPr="00232C57" w:rsidRDefault="00232C57" w:rsidP="00232C57">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1. </w:t>
      </w:r>
      <w:r w:rsidR="006F7933">
        <w:rPr>
          <w:rFonts w:ascii="Arial" w:hAnsi="Arial" w:cs="Arial"/>
          <w:b/>
          <w:szCs w:val="24"/>
        </w:rPr>
        <w:t>Del</w:t>
      </w:r>
      <w:r w:rsidR="006C7C69">
        <w:rPr>
          <w:rFonts w:ascii="Arial" w:hAnsi="Arial" w:cs="Arial"/>
          <w:b/>
          <w:szCs w:val="24"/>
        </w:rPr>
        <w:t xml:space="preserve"> problema</w:t>
      </w:r>
      <w:r w:rsidR="006F7933">
        <w:rPr>
          <w:rFonts w:ascii="Arial" w:hAnsi="Arial" w:cs="Arial"/>
          <w:b/>
          <w:szCs w:val="24"/>
        </w:rPr>
        <w:t xml:space="preserve"> jurídico</w:t>
      </w:r>
    </w:p>
    <w:p w:rsidR="008C4910" w:rsidRPr="008C4910" w:rsidRDefault="008C4910" w:rsidP="008C4910">
      <w:pPr>
        <w:shd w:val="clear" w:color="auto" w:fill="FFFFFF"/>
        <w:tabs>
          <w:tab w:val="left" w:pos="5197"/>
        </w:tabs>
        <w:jc w:val="both"/>
        <w:rPr>
          <w:rFonts w:ascii="Arial" w:hAnsi="Arial" w:cs="Arial"/>
          <w:szCs w:val="24"/>
        </w:rPr>
      </w:pPr>
    </w:p>
    <w:p w:rsidR="00CD1C40" w:rsidRDefault="00F03952" w:rsidP="00CD1C40">
      <w:pPr>
        <w:shd w:val="clear" w:color="auto" w:fill="FFFFFF"/>
        <w:tabs>
          <w:tab w:val="left" w:pos="5197"/>
        </w:tabs>
        <w:spacing w:line="276" w:lineRule="auto"/>
        <w:jc w:val="both"/>
        <w:rPr>
          <w:rFonts w:ascii="Arial" w:hAnsi="Arial" w:cs="Arial"/>
          <w:szCs w:val="24"/>
        </w:rPr>
      </w:pPr>
      <w:r>
        <w:rPr>
          <w:rFonts w:ascii="Arial" w:hAnsi="Arial" w:cs="Arial"/>
          <w:szCs w:val="24"/>
        </w:rPr>
        <w:t>Atendiendo el recuento anterior la Sala se pregunta:</w:t>
      </w:r>
    </w:p>
    <w:p w:rsidR="006C7C69" w:rsidRDefault="006C7C69" w:rsidP="00CD1C40">
      <w:pPr>
        <w:shd w:val="clear" w:color="auto" w:fill="FFFFFF"/>
        <w:tabs>
          <w:tab w:val="left" w:pos="5197"/>
        </w:tabs>
        <w:spacing w:line="276" w:lineRule="auto"/>
        <w:jc w:val="both"/>
        <w:rPr>
          <w:rFonts w:ascii="Arial" w:hAnsi="Arial" w:cs="Arial"/>
          <w:szCs w:val="24"/>
        </w:rPr>
      </w:pPr>
    </w:p>
    <w:p w:rsidR="006C7C69" w:rsidRPr="00475485" w:rsidRDefault="000878BB" w:rsidP="006C7C69">
      <w:pPr>
        <w:pStyle w:val="Textoindependiente"/>
        <w:spacing w:line="276" w:lineRule="auto"/>
        <w:ind w:right="49"/>
        <w:contextualSpacing/>
        <w:rPr>
          <w:szCs w:val="24"/>
          <w:lang w:val="es-CO"/>
        </w:rPr>
      </w:pPr>
      <w:r>
        <w:rPr>
          <w:szCs w:val="24"/>
        </w:rPr>
        <w:t>¿</w:t>
      </w:r>
      <w:r w:rsidR="00D67628">
        <w:rPr>
          <w:szCs w:val="24"/>
        </w:rPr>
        <w:t>Marina Granada</w:t>
      </w:r>
      <w:r>
        <w:rPr>
          <w:szCs w:val="24"/>
        </w:rPr>
        <w:t xml:space="preserve"> </w:t>
      </w:r>
      <w:r w:rsidR="006C7C69">
        <w:rPr>
          <w:rFonts w:eastAsia="Times New Roman"/>
          <w:color w:val="000000"/>
          <w:szCs w:val="24"/>
          <w:lang w:eastAsia="es-CO"/>
        </w:rPr>
        <w:t xml:space="preserve">demostró </w:t>
      </w:r>
      <w:r w:rsidR="00335A81">
        <w:rPr>
          <w:rFonts w:eastAsia="Times New Roman"/>
          <w:color w:val="000000"/>
          <w:szCs w:val="24"/>
          <w:lang w:eastAsia="es-CO"/>
        </w:rPr>
        <w:t xml:space="preserve">haber sido la compañera permanente del señor </w:t>
      </w:r>
      <w:r w:rsidR="00D67628">
        <w:rPr>
          <w:rFonts w:eastAsia="Times New Roman"/>
          <w:color w:val="000000"/>
          <w:szCs w:val="24"/>
          <w:lang w:eastAsia="es-CO"/>
        </w:rPr>
        <w:t>Evelio Ríos Muñoz</w:t>
      </w:r>
      <w:r w:rsidR="00335A81">
        <w:rPr>
          <w:rFonts w:eastAsia="Times New Roman"/>
          <w:color w:val="000000"/>
          <w:szCs w:val="24"/>
          <w:lang w:eastAsia="es-CO"/>
        </w:rPr>
        <w:t xml:space="preserve"> por lo menos </w:t>
      </w:r>
      <w:r w:rsidR="008C4910">
        <w:rPr>
          <w:rFonts w:eastAsia="Times New Roman"/>
          <w:color w:val="000000"/>
          <w:szCs w:val="24"/>
          <w:lang w:eastAsia="es-CO"/>
        </w:rPr>
        <w:t xml:space="preserve">durante </w:t>
      </w:r>
      <w:r w:rsidR="00335A81">
        <w:rPr>
          <w:rFonts w:eastAsia="Times New Roman"/>
          <w:color w:val="000000"/>
          <w:szCs w:val="24"/>
          <w:lang w:eastAsia="es-CO"/>
        </w:rPr>
        <w:t xml:space="preserve">los últimos 5 años anteriores a </w:t>
      </w:r>
      <w:r w:rsidR="006F7933">
        <w:rPr>
          <w:rFonts w:eastAsia="Times New Roman"/>
          <w:color w:val="000000"/>
          <w:szCs w:val="24"/>
          <w:lang w:eastAsia="es-CO"/>
        </w:rPr>
        <w:t>su muerte</w:t>
      </w:r>
      <w:r w:rsidR="00335A81">
        <w:rPr>
          <w:rFonts w:eastAsia="Times New Roman"/>
          <w:color w:val="000000"/>
          <w:szCs w:val="24"/>
          <w:lang w:eastAsia="es-CO"/>
        </w:rPr>
        <w:t>, para ser considerada beneficiaria de la pensión de sobrevivientes</w:t>
      </w:r>
      <w:r w:rsidR="006C7C69">
        <w:rPr>
          <w:rFonts w:eastAsia="Times New Roman"/>
          <w:color w:val="000000"/>
          <w:szCs w:val="24"/>
          <w:lang w:eastAsia="es-CO"/>
        </w:rPr>
        <w:t>?</w:t>
      </w:r>
    </w:p>
    <w:p w:rsidR="00F03952" w:rsidRPr="00B37383" w:rsidRDefault="006645F0" w:rsidP="00F04BEA">
      <w:pPr>
        <w:pStyle w:val="Textoindependiente"/>
        <w:spacing w:line="360" w:lineRule="auto"/>
        <w:contextualSpacing/>
        <w:rPr>
          <w:iCs/>
          <w:szCs w:val="24"/>
        </w:rPr>
      </w:pPr>
      <w:r>
        <w:rPr>
          <w:b/>
          <w:iCs/>
          <w:szCs w:val="24"/>
        </w:rPr>
        <w:t xml:space="preserve"> </w:t>
      </w:r>
    </w:p>
    <w:p w:rsidR="00164682" w:rsidRPr="0000603E" w:rsidRDefault="00164682" w:rsidP="00164682">
      <w:pPr>
        <w:pStyle w:val="Textoindependiente"/>
        <w:spacing w:line="276" w:lineRule="auto"/>
        <w:contextualSpacing/>
        <w:rPr>
          <w:b/>
          <w:iCs/>
          <w:szCs w:val="24"/>
        </w:rPr>
      </w:pPr>
      <w:r w:rsidRPr="0000603E">
        <w:rPr>
          <w:b/>
          <w:iCs/>
          <w:szCs w:val="24"/>
        </w:rPr>
        <w:t>2. Solución a</w:t>
      </w:r>
      <w:r w:rsidR="006F7933">
        <w:rPr>
          <w:b/>
          <w:iCs/>
          <w:szCs w:val="24"/>
        </w:rPr>
        <w:t>l</w:t>
      </w:r>
      <w:r>
        <w:rPr>
          <w:b/>
          <w:iCs/>
          <w:szCs w:val="24"/>
        </w:rPr>
        <w:t xml:space="preserve"> </w:t>
      </w:r>
      <w:r w:rsidR="006F7933">
        <w:rPr>
          <w:b/>
          <w:iCs/>
          <w:szCs w:val="24"/>
        </w:rPr>
        <w:t>problema</w:t>
      </w:r>
      <w:r w:rsidRPr="0000603E">
        <w:rPr>
          <w:b/>
          <w:iCs/>
          <w:szCs w:val="24"/>
        </w:rPr>
        <w:t xml:space="preserve"> jurídico </w:t>
      </w:r>
    </w:p>
    <w:p w:rsidR="00164682" w:rsidRPr="006C7C69" w:rsidRDefault="00E356CC" w:rsidP="00164682">
      <w:pPr>
        <w:pStyle w:val="Textoindependiente"/>
        <w:contextualSpacing/>
        <w:rPr>
          <w:iCs/>
          <w:szCs w:val="24"/>
        </w:rPr>
      </w:pPr>
      <w:r>
        <w:rPr>
          <w:b/>
          <w:iCs/>
          <w:szCs w:val="24"/>
        </w:rPr>
        <w:t xml:space="preserve"> </w:t>
      </w:r>
    </w:p>
    <w:p w:rsidR="00164682" w:rsidRPr="00232C57" w:rsidRDefault="00232C57" w:rsidP="00232C57">
      <w:pPr>
        <w:pStyle w:val="Textoindependiente"/>
        <w:spacing w:line="276" w:lineRule="auto"/>
        <w:contextualSpacing/>
        <w:rPr>
          <w:b/>
          <w:iCs/>
          <w:szCs w:val="24"/>
        </w:rPr>
      </w:pPr>
      <w:r>
        <w:rPr>
          <w:b/>
          <w:iCs/>
          <w:szCs w:val="24"/>
        </w:rPr>
        <w:t xml:space="preserve">2.1 </w:t>
      </w:r>
      <w:r w:rsidR="00164682" w:rsidRPr="00232C57">
        <w:rPr>
          <w:b/>
          <w:iCs/>
          <w:szCs w:val="24"/>
        </w:rPr>
        <w:t>Fundamento jurídico</w:t>
      </w:r>
    </w:p>
    <w:p w:rsidR="008C4910" w:rsidRPr="008C4910" w:rsidRDefault="008C4910" w:rsidP="008C4910">
      <w:pPr>
        <w:tabs>
          <w:tab w:val="left" w:pos="-720"/>
        </w:tabs>
        <w:suppressAutoHyphens/>
        <w:spacing w:line="440" w:lineRule="atLeast"/>
        <w:jc w:val="both"/>
        <w:rPr>
          <w:rFonts w:ascii="Arial" w:hAnsi="Arial" w:cs="Arial"/>
          <w:b/>
          <w:szCs w:val="24"/>
        </w:rPr>
      </w:pPr>
      <w:r w:rsidRPr="008C4910">
        <w:rPr>
          <w:rFonts w:ascii="Arial" w:hAnsi="Arial" w:cs="Arial"/>
          <w:b/>
          <w:szCs w:val="24"/>
        </w:rPr>
        <w:t>Norma aplicable</w:t>
      </w:r>
    </w:p>
    <w:p w:rsidR="008C4910" w:rsidRDefault="008C4910" w:rsidP="008C4910">
      <w:pPr>
        <w:autoSpaceDE w:val="0"/>
        <w:autoSpaceDN w:val="0"/>
        <w:adjustRightInd w:val="0"/>
        <w:spacing w:line="276" w:lineRule="auto"/>
        <w:jc w:val="both"/>
        <w:rPr>
          <w:rFonts w:ascii="Arial" w:hAnsi="Arial" w:cs="Arial"/>
          <w:b/>
          <w:szCs w:val="24"/>
        </w:rPr>
      </w:pPr>
    </w:p>
    <w:p w:rsidR="008C4910" w:rsidRDefault="008C4910" w:rsidP="008C4910">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La</w:t>
      </w:r>
      <w:r w:rsidRPr="00201A16">
        <w:rPr>
          <w:rFonts w:ascii="Arial" w:hAnsi="Arial" w:cs="Arial"/>
          <w:szCs w:val="24"/>
        </w:rPr>
        <w:t xml:space="preserve"> norma que rige el reconocimiento de la pensión de sobrevivientes es aquella que se encuentre vigente al momento en que se presente el deceso del afiliado o pensionado</w:t>
      </w:r>
      <w:r>
        <w:rPr>
          <w:rFonts w:ascii="Arial" w:hAnsi="Arial" w:cs="Arial"/>
          <w:szCs w:val="24"/>
        </w:rPr>
        <w:t xml:space="preserve"> – art. 16 del C.S.T.-</w:t>
      </w:r>
      <w:r w:rsidRPr="00201A16">
        <w:rPr>
          <w:rFonts w:ascii="Arial" w:hAnsi="Arial" w:cs="Arial"/>
          <w:szCs w:val="24"/>
        </w:rPr>
        <w:t xml:space="preserve">, que para el presente asunto </w:t>
      </w:r>
      <w:r>
        <w:rPr>
          <w:rFonts w:ascii="Arial" w:hAnsi="Arial" w:cs="Arial"/>
          <w:szCs w:val="24"/>
        </w:rPr>
        <w:t xml:space="preserve">fue </w:t>
      </w:r>
      <w:r w:rsidRPr="00201A16">
        <w:rPr>
          <w:rFonts w:ascii="Arial" w:hAnsi="Arial" w:cs="Arial"/>
          <w:szCs w:val="24"/>
        </w:rPr>
        <w:t xml:space="preserve">el </w:t>
      </w:r>
      <w:r>
        <w:rPr>
          <w:rFonts w:ascii="Arial" w:hAnsi="Arial" w:cs="Arial"/>
          <w:szCs w:val="24"/>
        </w:rPr>
        <w:t xml:space="preserve">13/02/2010 (fl. </w:t>
      </w:r>
      <w:r>
        <w:rPr>
          <w:rFonts w:ascii="Arial" w:hAnsi="Arial" w:cs="Arial"/>
          <w:szCs w:val="24"/>
        </w:rPr>
        <w:lastRenderedPageBreak/>
        <w:t>9 c. 1);</w:t>
      </w:r>
      <w:r w:rsidRPr="00201A16">
        <w:rPr>
          <w:rFonts w:ascii="Arial" w:hAnsi="Arial" w:cs="Arial"/>
          <w:szCs w:val="24"/>
        </w:rPr>
        <w:t xml:space="preserve"> por lo tanto, debemos remitirnos al con</w:t>
      </w:r>
      <w:r w:rsidR="006F7933">
        <w:rPr>
          <w:rFonts w:ascii="Arial" w:hAnsi="Arial" w:cs="Arial"/>
          <w:szCs w:val="24"/>
        </w:rPr>
        <w:t>tenido de los artículos 46 y 47</w:t>
      </w:r>
      <w:r w:rsidRPr="00201A16">
        <w:rPr>
          <w:rFonts w:ascii="Arial" w:hAnsi="Arial" w:cs="Arial"/>
          <w:szCs w:val="24"/>
        </w:rPr>
        <w:t xml:space="preserve"> de la Ley </w:t>
      </w:r>
      <w:r w:rsidR="006F7933">
        <w:rPr>
          <w:rFonts w:ascii="Arial" w:hAnsi="Arial" w:cs="Arial"/>
          <w:szCs w:val="24"/>
        </w:rPr>
        <w:t xml:space="preserve">100 de 1993, modificados por los artículos 12 y 13 de la </w:t>
      </w:r>
      <w:r w:rsidRPr="00201A16">
        <w:rPr>
          <w:rFonts w:ascii="Arial" w:hAnsi="Arial" w:cs="Arial"/>
          <w:szCs w:val="24"/>
        </w:rPr>
        <w:t>Ley 797 de 2003.</w:t>
      </w:r>
    </w:p>
    <w:p w:rsidR="008C4910" w:rsidRDefault="008C4910" w:rsidP="008C4910">
      <w:pPr>
        <w:autoSpaceDE w:val="0"/>
        <w:autoSpaceDN w:val="0"/>
        <w:adjustRightInd w:val="0"/>
        <w:spacing w:line="276" w:lineRule="auto"/>
        <w:jc w:val="both"/>
        <w:rPr>
          <w:rFonts w:ascii="Arial" w:hAnsi="Arial" w:cs="Arial"/>
          <w:b/>
          <w:szCs w:val="24"/>
        </w:rPr>
      </w:pPr>
    </w:p>
    <w:p w:rsidR="008C4910" w:rsidRPr="00C721A2" w:rsidRDefault="008C4910" w:rsidP="008C4910">
      <w:pPr>
        <w:tabs>
          <w:tab w:val="left" w:pos="-720"/>
        </w:tabs>
        <w:suppressAutoHyphens/>
        <w:jc w:val="both"/>
        <w:rPr>
          <w:rFonts w:ascii="Arial" w:hAnsi="Arial" w:cs="Arial"/>
          <w:b/>
          <w:szCs w:val="24"/>
        </w:rPr>
      </w:pPr>
      <w:r w:rsidRPr="00C721A2">
        <w:rPr>
          <w:rFonts w:ascii="Arial" w:hAnsi="Arial" w:cs="Arial"/>
          <w:b/>
          <w:szCs w:val="24"/>
        </w:rPr>
        <w:t xml:space="preserve">Pensión </w:t>
      </w:r>
      <w:r>
        <w:rPr>
          <w:rFonts w:ascii="Arial" w:hAnsi="Arial" w:cs="Arial"/>
          <w:b/>
          <w:szCs w:val="24"/>
        </w:rPr>
        <w:t>de sobrevivientes - beneficiarios</w:t>
      </w:r>
    </w:p>
    <w:p w:rsidR="006C7C69" w:rsidRDefault="006C7C69" w:rsidP="006C7C69">
      <w:pPr>
        <w:spacing w:line="276" w:lineRule="auto"/>
        <w:jc w:val="both"/>
        <w:rPr>
          <w:rFonts w:ascii="Arial" w:hAnsi="Arial" w:cs="Arial"/>
          <w:b/>
          <w:iCs/>
          <w:color w:val="000000" w:themeColor="text1"/>
          <w:szCs w:val="24"/>
        </w:rPr>
      </w:pPr>
    </w:p>
    <w:p w:rsidR="008C4910" w:rsidRDefault="00D713B2" w:rsidP="006C7C69">
      <w:pPr>
        <w:widowControl w:val="0"/>
        <w:autoSpaceDE w:val="0"/>
        <w:autoSpaceDN w:val="0"/>
        <w:adjustRightInd w:val="0"/>
        <w:spacing w:line="276" w:lineRule="auto"/>
        <w:contextualSpacing/>
        <w:jc w:val="both"/>
        <w:rPr>
          <w:rFonts w:ascii="Arial" w:hAnsi="Arial" w:cs="Arial"/>
          <w:iCs/>
          <w:color w:val="000000" w:themeColor="text1"/>
          <w:szCs w:val="24"/>
        </w:rPr>
      </w:pPr>
      <w:r>
        <w:rPr>
          <w:rFonts w:ascii="Arial" w:hAnsi="Arial" w:cs="Arial"/>
          <w:iCs/>
          <w:color w:val="000000" w:themeColor="text1"/>
          <w:szCs w:val="24"/>
        </w:rPr>
        <w:t>Ahora bien, f</w:t>
      </w:r>
      <w:r w:rsidR="006C7C69" w:rsidRPr="00635C95">
        <w:rPr>
          <w:rFonts w:ascii="Arial" w:hAnsi="Arial" w:cs="Arial"/>
          <w:iCs/>
          <w:color w:val="000000" w:themeColor="text1"/>
          <w:szCs w:val="24"/>
        </w:rPr>
        <w:t>rente al tema de la convivencia entre cónyuge o compañero permanente,</w:t>
      </w:r>
      <w:r w:rsidR="00683A4E">
        <w:rPr>
          <w:rFonts w:ascii="Arial" w:hAnsi="Arial" w:cs="Arial"/>
          <w:iCs/>
          <w:color w:val="000000" w:themeColor="text1"/>
          <w:szCs w:val="24"/>
        </w:rPr>
        <w:t xml:space="preserve"> </w:t>
      </w:r>
      <w:r w:rsidR="008C4910">
        <w:rPr>
          <w:rFonts w:ascii="Arial" w:hAnsi="Arial" w:cs="Arial"/>
          <w:iCs/>
          <w:color w:val="000000" w:themeColor="text1"/>
          <w:szCs w:val="24"/>
        </w:rPr>
        <w:t>el literal a) del artículo 47 de la Ley 100/93, modificado por el art. 13 de la Ley 797/03 dispuso que será beneficiaria de la pensión de sobrevivientes la compañera permanente que acredite una convivencia con el causante durante por lo menos 5 años continuos previos a su muerte. Pensión que se reconocerá en forma vitalicia si la beneficiaria tenía 30 o más años para la fecha del óbito.</w:t>
      </w:r>
    </w:p>
    <w:p w:rsidR="008C4910" w:rsidRDefault="008C4910" w:rsidP="006C7C69">
      <w:pPr>
        <w:widowControl w:val="0"/>
        <w:autoSpaceDE w:val="0"/>
        <w:autoSpaceDN w:val="0"/>
        <w:adjustRightInd w:val="0"/>
        <w:spacing w:line="276" w:lineRule="auto"/>
        <w:contextualSpacing/>
        <w:jc w:val="both"/>
        <w:rPr>
          <w:rFonts w:ascii="Arial" w:hAnsi="Arial" w:cs="Arial"/>
          <w:iCs/>
          <w:color w:val="000000" w:themeColor="text1"/>
          <w:szCs w:val="24"/>
        </w:rPr>
      </w:pPr>
    </w:p>
    <w:p w:rsidR="006C7C69" w:rsidRPr="00635C95" w:rsidRDefault="008C4910" w:rsidP="006C7C69">
      <w:pPr>
        <w:widowControl w:val="0"/>
        <w:autoSpaceDE w:val="0"/>
        <w:autoSpaceDN w:val="0"/>
        <w:adjustRightInd w:val="0"/>
        <w:spacing w:line="276" w:lineRule="auto"/>
        <w:contextualSpacing/>
        <w:jc w:val="both"/>
        <w:rPr>
          <w:rFonts w:ascii="Arial" w:hAnsi="Arial" w:cs="Arial"/>
          <w:iCs/>
          <w:color w:val="000000" w:themeColor="text1"/>
          <w:szCs w:val="24"/>
        </w:rPr>
      </w:pPr>
      <w:r>
        <w:rPr>
          <w:rFonts w:ascii="Arial" w:hAnsi="Arial" w:cs="Arial"/>
          <w:iCs/>
          <w:color w:val="000000" w:themeColor="text1"/>
          <w:szCs w:val="24"/>
        </w:rPr>
        <w:t xml:space="preserve">Por otro lado, en torno a la acreditación de la convivencia, </w:t>
      </w:r>
      <w:r w:rsidR="00683A4E">
        <w:rPr>
          <w:rFonts w:ascii="Arial" w:hAnsi="Arial" w:cs="Arial"/>
          <w:iCs/>
          <w:color w:val="000000" w:themeColor="text1"/>
          <w:szCs w:val="24"/>
        </w:rPr>
        <w:t>el</w:t>
      </w:r>
      <w:r w:rsidR="006C7C69" w:rsidRPr="00635C95">
        <w:rPr>
          <w:rFonts w:ascii="Arial" w:hAnsi="Arial" w:cs="Arial"/>
          <w:iCs/>
          <w:color w:val="000000" w:themeColor="text1"/>
          <w:szCs w:val="24"/>
        </w:rPr>
        <w:t xml:space="preserve"> órgano de cierre</w:t>
      </w:r>
      <w:r w:rsidR="00683A4E">
        <w:rPr>
          <w:rFonts w:ascii="Arial" w:hAnsi="Arial" w:cs="Arial"/>
          <w:iCs/>
          <w:color w:val="000000" w:themeColor="text1"/>
          <w:szCs w:val="24"/>
        </w:rPr>
        <w:t xml:space="preserve"> de esta especialidad</w:t>
      </w:r>
      <w:r w:rsidR="006C7C69" w:rsidRPr="00635C95">
        <w:rPr>
          <w:rFonts w:ascii="Arial" w:hAnsi="Arial" w:cs="Arial"/>
          <w:iCs/>
          <w:color w:val="000000" w:themeColor="text1"/>
          <w:szCs w:val="24"/>
        </w:rPr>
        <w:t xml:space="preserve"> </w:t>
      </w:r>
      <w:r w:rsidR="00D713B2">
        <w:rPr>
          <w:rFonts w:ascii="Arial" w:hAnsi="Arial" w:cs="Arial"/>
          <w:iCs/>
          <w:color w:val="000000" w:themeColor="text1"/>
          <w:szCs w:val="24"/>
        </w:rPr>
        <w:t xml:space="preserve">en </w:t>
      </w:r>
      <w:r w:rsidR="006C7C69" w:rsidRPr="00635C95">
        <w:rPr>
          <w:rFonts w:ascii="Arial" w:hAnsi="Arial" w:cs="Arial"/>
          <w:iCs/>
          <w:color w:val="000000" w:themeColor="text1"/>
          <w:szCs w:val="24"/>
        </w:rPr>
        <w:t>sentencia SL</w:t>
      </w:r>
      <w:r w:rsidR="006C7C69">
        <w:rPr>
          <w:rFonts w:ascii="Arial" w:hAnsi="Arial" w:cs="Arial"/>
          <w:iCs/>
          <w:color w:val="000000" w:themeColor="text1"/>
          <w:szCs w:val="24"/>
        </w:rPr>
        <w:t>1399</w:t>
      </w:r>
      <w:r w:rsidR="006C7C69" w:rsidRPr="00635C95">
        <w:rPr>
          <w:rFonts w:ascii="Arial" w:hAnsi="Arial" w:cs="Arial"/>
          <w:iCs/>
          <w:color w:val="000000" w:themeColor="text1"/>
          <w:szCs w:val="24"/>
        </w:rPr>
        <w:t>-201</w:t>
      </w:r>
      <w:r w:rsidR="006C7C69">
        <w:rPr>
          <w:rFonts w:ascii="Arial" w:hAnsi="Arial" w:cs="Arial"/>
          <w:iCs/>
          <w:color w:val="000000" w:themeColor="text1"/>
          <w:szCs w:val="24"/>
        </w:rPr>
        <w:t>8</w:t>
      </w:r>
      <w:r w:rsidR="006C7C69" w:rsidRPr="00635C95">
        <w:rPr>
          <w:rFonts w:ascii="Arial" w:hAnsi="Arial" w:cs="Arial"/>
          <w:iCs/>
          <w:color w:val="000000" w:themeColor="text1"/>
          <w:szCs w:val="24"/>
        </w:rPr>
        <w:t xml:space="preserve"> del </w:t>
      </w:r>
      <w:r w:rsidR="006C7C69">
        <w:rPr>
          <w:rFonts w:ascii="Arial" w:hAnsi="Arial" w:cs="Arial"/>
          <w:iCs/>
          <w:color w:val="000000" w:themeColor="text1"/>
          <w:szCs w:val="24"/>
        </w:rPr>
        <w:t>25</w:t>
      </w:r>
      <w:r w:rsidR="006C7C69" w:rsidRPr="00635C95">
        <w:rPr>
          <w:rFonts w:ascii="Arial" w:hAnsi="Arial" w:cs="Arial"/>
          <w:iCs/>
          <w:color w:val="000000" w:themeColor="text1"/>
          <w:szCs w:val="24"/>
        </w:rPr>
        <w:t>-0</w:t>
      </w:r>
      <w:r w:rsidR="006C7C69">
        <w:rPr>
          <w:rFonts w:ascii="Arial" w:hAnsi="Arial" w:cs="Arial"/>
          <w:iCs/>
          <w:color w:val="000000" w:themeColor="text1"/>
          <w:szCs w:val="24"/>
        </w:rPr>
        <w:t>4</w:t>
      </w:r>
      <w:r w:rsidR="006C7C69" w:rsidRPr="00635C95">
        <w:rPr>
          <w:rFonts w:ascii="Arial" w:hAnsi="Arial" w:cs="Arial"/>
          <w:iCs/>
          <w:color w:val="000000" w:themeColor="text1"/>
          <w:szCs w:val="24"/>
        </w:rPr>
        <w:t>-201</w:t>
      </w:r>
      <w:r w:rsidR="006C7C69">
        <w:rPr>
          <w:rFonts w:ascii="Arial" w:hAnsi="Arial" w:cs="Arial"/>
          <w:iCs/>
          <w:color w:val="000000" w:themeColor="text1"/>
          <w:szCs w:val="24"/>
        </w:rPr>
        <w:t>8</w:t>
      </w:r>
      <w:r w:rsidR="006C7C69">
        <w:rPr>
          <w:rStyle w:val="Refdenotaalpie"/>
          <w:rFonts w:ascii="Arial" w:hAnsi="Arial" w:cs="Arial"/>
          <w:iCs/>
          <w:color w:val="000000" w:themeColor="text1"/>
          <w:szCs w:val="24"/>
        </w:rPr>
        <w:footnoteReference w:id="1"/>
      </w:r>
      <w:r w:rsidR="006C7C69" w:rsidRPr="00635C95">
        <w:rPr>
          <w:rFonts w:ascii="Arial" w:hAnsi="Arial" w:cs="Arial"/>
          <w:iCs/>
          <w:color w:val="000000" w:themeColor="text1"/>
          <w:szCs w:val="24"/>
        </w:rPr>
        <w:t>, con ponencia de</w:t>
      </w:r>
      <w:r w:rsidR="006C7C69">
        <w:rPr>
          <w:rFonts w:ascii="Arial" w:hAnsi="Arial" w:cs="Arial"/>
          <w:iCs/>
          <w:color w:val="000000" w:themeColor="text1"/>
          <w:szCs w:val="24"/>
        </w:rPr>
        <w:t xml:space="preserve"> </w:t>
      </w:r>
      <w:r w:rsidR="006C7C69" w:rsidRPr="00635C95">
        <w:rPr>
          <w:rFonts w:ascii="Arial" w:hAnsi="Arial" w:cs="Arial"/>
          <w:iCs/>
          <w:color w:val="000000" w:themeColor="text1"/>
          <w:szCs w:val="24"/>
        </w:rPr>
        <w:t>l</w:t>
      </w:r>
      <w:r w:rsidR="006C7C69">
        <w:rPr>
          <w:rFonts w:ascii="Arial" w:hAnsi="Arial" w:cs="Arial"/>
          <w:iCs/>
          <w:color w:val="000000" w:themeColor="text1"/>
          <w:szCs w:val="24"/>
        </w:rPr>
        <w:t>a magistrada</w:t>
      </w:r>
      <w:r w:rsidR="006C7C69" w:rsidRPr="00635C95">
        <w:rPr>
          <w:rFonts w:ascii="Arial" w:hAnsi="Arial" w:cs="Arial"/>
          <w:iCs/>
          <w:color w:val="000000" w:themeColor="text1"/>
          <w:szCs w:val="24"/>
        </w:rPr>
        <w:t xml:space="preserve"> </w:t>
      </w:r>
      <w:r w:rsidR="006C7C69">
        <w:rPr>
          <w:rFonts w:ascii="Arial" w:hAnsi="Arial" w:cs="Arial"/>
          <w:iCs/>
          <w:color w:val="000000" w:themeColor="text1"/>
          <w:szCs w:val="24"/>
        </w:rPr>
        <w:t>Clara Cecilia Dueñas Quevedo</w:t>
      </w:r>
      <w:r w:rsidR="006C7C69" w:rsidRPr="00635C95">
        <w:rPr>
          <w:rFonts w:ascii="Arial" w:hAnsi="Arial" w:cs="Arial"/>
          <w:iCs/>
          <w:color w:val="000000" w:themeColor="text1"/>
          <w:szCs w:val="24"/>
        </w:rPr>
        <w:t xml:space="preserve">, </w:t>
      </w:r>
      <w:r>
        <w:rPr>
          <w:rFonts w:ascii="Arial" w:hAnsi="Arial" w:cs="Arial"/>
          <w:iCs/>
          <w:color w:val="000000" w:themeColor="text1"/>
          <w:szCs w:val="24"/>
        </w:rPr>
        <w:t>enseñó que</w:t>
      </w:r>
      <w:r w:rsidR="006C7C69" w:rsidRPr="00635C95">
        <w:rPr>
          <w:rFonts w:ascii="Arial" w:hAnsi="Arial" w:cs="Arial"/>
          <w:iCs/>
          <w:color w:val="000000" w:themeColor="text1"/>
          <w:szCs w:val="24"/>
        </w:rPr>
        <w:t>:</w:t>
      </w:r>
    </w:p>
    <w:p w:rsidR="006C7C69" w:rsidRPr="00635C95" w:rsidRDefault="006C7C69" w:rsidP="006C7C69">
      <w:pPr>
        <w:widowControl w:val="0"/>
        <w:autoSpaceDE w:val="0"/>
        <w:autoSpaceDN w:val="0"/>
        <w:adjustRightInd w:val="0"/>
        <w:spacing w:line="276" w:lineRule="auto"/>
        <w:contextualSpacing/>
        <w:jc w:val="both"/>
        <w:rPr>
          <w:rFonts w:ascii="Arial" w:hAnsi="Arial" w:cs="Arial"/>
          <w:szCs w:val="24"/>
        </w:rPr>
      </w:pPr>
    </w:p>
    <w:p w:rsidR="006C7C69" w:rsidRPr="00232C57" w:rsidRDefault="006C7C69" w:rsidP="00232C57">
      <w:pPr>
        <w:ind w:left="426" w:right="420"/>
        <w:jc w:val="both"/>
        <w:rPr>
          <w:rFonts w:ascii="Arial" w:hAnsi="Arial" w:cs="Arial"/>
          <w:i/>
          <w:iCs/>
          <w:color w:val="000000" w:themeColor="text1"/>
          <w:sz w:val="22"/>
          <w:szCs w:val="24"/>
        </w:rPr>
      </w:pPr>
      <w:r w:rsidRPr="00232C57">
        <w:rPr>
          <w:rFonts w:ascii="Arial" w:hAnsi="Arial" w:cs="Arial"/>
          <w:iCs/>
          <w:color w:val="000000" w:themeColor="text1"/>
          <w:sz w:val="22"/>
          <w:szCs w:val="24"/>
        </w:rPr>
        <w:t>“</w:t>
      </w:r>
      <w:r w:rsidR="008C4910" w:rsidRPr="00232C57">
        <w:rPr>
          <w:rFonts w:ascii="Arial" w:hAnsi="Arial" w:cs="Arial"/>
          <w:i/>
          <w:iCs/>
          <w:color w:val="000000" w:themeColor="text1"/>
          <w:sz w:val="22"/>
          <w:szCs w:val="24"/>
        </w:rPr>
        <w:t>(…) l</w:t>
      </w:r>
      <w:r w:rsidRPr="00232C57">
        <w:rPr>
          <w:rFonts w:ascii="Arial" w:hAnsi="Arial" w:cs="Arial"/>
          <w:i/>
          <w:iCs/>
          <w:color w:val="000000" w:themeColor="text1"/>
          <w:sz w:val="22"/>
          <w:szCs w:val="24"/>
        </w:rPr>
        <w:t>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p>
    <w:p w:rsidR="005D039F" w:rsidRDefault="005D039F" w:rsidP="005D039F">
      <w:pPr>
        <w:jc w:val="both"/>
        <w:rPr>
          <w:rFonts w:ascii="Arial" w:hAnsi="Arial" w:cs="Arial"/>
          <w:i/>
          <w:iCs/>
          <w:color w:val="000000" w:themeColor="text1"/>
          <w:szCs w:val="24"/>
        </w:rPr>
      </w:pPr>
    </w:p>
    <w:p w:rsidR="00E2173C" w:rsidRDefault="00E2173C" w:rsidP="00E2173C">
      <w:pPr>
        <w:spacing w:line="276" w:lineRule="auto"/>
        <w:jc w:val="both"/>
        <w:rPr>
          <w:rFonts w:ascii="Arial" w:hAnsi="Arial" w:cs="Arial"/>
          <w:szCs w:val="24"/>
        </w:rPr>
      </w:pPr>
      <w:r w:rsidRPr="00E2173C">
        <w:rPr>
          <w:rFonts w:ascii="Arial" w:hAnsi="Arial" w:cs="Arial"/>
          <w:iCs/>
          <w:color w:val="000000" w:themeColor="text1"/>
          <w:szCs w:val="24"/>
        </w:rPr>
        <w:t>Convivencia que se forja</w:t>
      </w:r>
      <w:r>
        <w:rPr>
          <w:rFonts w:ascii="Arial" w:hAnsi="Arial" w:cs="Arial"/>
          <w:iCs/>
          <w:color w:val="000000" w:themeColor="text1"/>
          <w:szCs w:val="24"/>
        </w:rPr>
        <w:t>,</w:t>
      </w:r>
      <w:r w:rsidRPr="00E2173C">
        <w:rPr>
          <w:rFonts w:ascii="Arial" w:hAnsi="Arial" w:cs="Arial"/>
          <w:iCs/>
          <w:color w:val="000000" w:themeColor="text1"/>
          <w:szCs w:val="24"/>
        </w:rPr>
        <w:t xml:space="preserve"> como se dijo en la sentencia </w:t>
      </w:r>
      <w:r w:rsidR="006F7933">
        <w:rPr>
          <w:rFonts w:ascii="Arial" w:hAnsi="Arial" w:cs="Arial"/>
          <w:iCs/>
          <w:color w:val="000000" w:themeColor="text1"/>
          <w:szCs w:val="24"/>
        </w:rPr>
        <w:t xml:space="preserve">en cita retomando </w:t>
      </w:r>
      <w:r>
        <w:rPr>
          <w:rFonts w:ascii="Arial" w:hAnsi="Arial" w:cs="Arial"/>
          <w:iCs/>
          <w:color w:val="000000" w:themeColor="text1"/>
          <w:szCs w:val="24"/>
        </w:rPr>
        <w:t xml:space="preserve">las sentencias </w:t>
      </w:r>
      <w:r w:rsidRPr="00E2173C">
        <w:rPr>
          <w:rFonts w:ascii="Arial" w:hAnsi="Arial" w:cs="Arial"/>
          <w:iCs/>
          <w:color w:val="000000" w:themeColor="text1"/>
          <w:szCs w:val="24"/>
        </w:rPr>
        <w:t>del</w:t>
      </w:r>
      <w:r w:rsidRPr="00E2173C">
        <w:rPr>
          <w:rFonts w:ascii="Arial" w:hAnsi="Arial" w:cs="Arial"/>
          <w:szCs w:val="24"/>
        </w:rPr>
        <w:t xml:space="preserve"> 2-03-1999 (rad. 11245) y 14-06-2011 (rad. 31605)</w:t>
      </w:r>
      <w:r>
        <w:rPr>
          <w:rFonts w:ascii="Arial" w:hAnsi="Arial" w:cs="Arial"/>
          <w:szCs w:val="24"/>
        </w:rPr>
        <w:t>:</w:t>
      </w:r>
    </w:p>
    <w:p w:rsidR="00E2173C" w:rsidRPr="00E2173C" w:rsidRDefault="000166C5" w:rsidP="00E2173C">
      <w:pPr>
        <w:ind w:left="708"/>
        <w:jc w:val="both"/>
        <w:rPr>
          <w:rFonts w:ascii="Arial" w:hAnsi="Arial" w:cs="Arial"/>
          <w:szCs w:val="24"/>
        </w:rPr>
      </w:pPr>
      <w:r>
        <w:rPr>
          <w:rFonts w:ascii="Arial" w:hAnsi="Arial" w:cs="Arial"/>
          <w:szCs w:val="24"/>
        </w:rPr>
        <w:t xml:space="preserve"> </w:t>
      </w:r>
    </w:p>
    <w:p w:rsidR="00FA494C" w:rsidRPr="00223B9A" w:rsidRDefault="000166C5" w:rsidP="00223B9A">
      <w:pPr>
        <w:ind w:left="426" w:right="420"/>
        <w:jc w:val="both"/>
        <w:rPr>
          <w:rFonts w:ascii="Arial" w:hAnsi="Arial" w:cs="Arial"/>
          <w:iCs/>
          <w:color w:val="000000" w:themeColor="text1"/>
          <w:sz w:val="22"/>
          <w:szCs w:val="24"/>
        </w:rPr>
      </w:pPr>
      <w:r w:rsidRPr="00223B9A">
        <w:rPr>
          <w:rFonts w:ascii="Arial" w:hAnsi="Arial" w:cs="Arial"/>
          <w:iCs/>
          <w:color w:val="000000" w:themeColor="text1"/>
          <w:sz w:val="22"/>
          <w:szCs w:val="24"/>
        </w:rPr>
        <w:t>“</w:t>
      </w:r>
      <w:r w:rsidR="00E2173C" w:rsidRPr="00223B9A">
        <w:rPr>
          <w:rFonts w:ascii="Arial" w:hAnsi="Arial" w:cs="Arial"/>
          <w:iCs/>
          <w:color w:val="000000" w:themeColor="text1"/>
          <w:sz w:val="22"/>
          <w:szCs w:val="24"/>
        </w:rPr>
        <w:t xml:space="preserve"> </w:t>
      </w:r>
      <w:r w:rsidRPr="00223B9A">
        <w:rPr>
          <w:rFonts w:ascii="Arial" w:hAnsi="Arial" w:cs="Arial"/>
          <w:iCs/>
          <w:color w:val="000000" w:themeColor="text1"/>
          <w:sz w:val="22"/>
          <w:szCs w:val="24"/>
        </w:rPr>
        <w:t>(</w:t>
      </w:r>
      <w:r w:rsidR="00E2173C" w:rsidRPr="00223B9A">
        <w:rPr>
          <w:rFonts w:ascii="Arial" w:hAnsi="Arial" w:cs="Arial"/>
          <w:iCs/>
          <w:color w:val="000000" w:themeColor="text1"/>
          <w:sz w:val="22"/>
          <w:szCs w:val="24"/>
        </w:rPr>
        <w:t>…</w:t>
      </w:r>
      <w:r w:rsidRPr="00223B9A">
        <w:rPr>
          <w:rFonts w:ascii="Arial" w:hAnsi="Arial" w:cs="Arial"/>
          <w:iCs/>
          <w:color w:val="000000" w:themeColor="text1"/>
          <w:sz w:val="22"/>
          <w:szCs w:val="24"/>
        </w:rPr>
        <w:t>)</w:t>
      </w:r>
      <w:r w:rsidR="00E2173C" w:rsidRPr="00223B9A">
        <w:rPr>
          <w:rFonts w:ascii="Arial" w:hAnsi="Arial" w:cs="Arial"/>
          <w:iCs/>
          <w:color w:val="000000" w:themeColor="text1"/>
          <w:sz w:val="22"/>
          <w:szCs w:val="24"/>
        </w:rPr>
        <w:t xml:space="preserve"> </w:t>
      </w:r>
      <w:r w:rsidR="00FA494C" w:rsidRPr="00223B9A">
        <w:rPr>
          <w:rFonts w:ascii="Arial" w:hAnsi="Arial" w:cs="Arial"/>
          <w:iCs/>
          <w:color w:val="000000" w:themeColor="text1"/>
          <w:sz w:val="22"/>
          <w:szCs w:val="24"/>
        </w:rPr>
        <w:t>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durante los años anteriores al fallecimient</w:t>
      </w:r>
      <w:r w:rsidRPr="00223B9A">
        <w:rPr>
          <w:rFonts w:ascii="Arial" w:hAnsi="Arial" w:cs="Arial"/>
          <w:iCs/>
          <w:color w:val="000000" w:themeColor="text1"/>
          <w:sz w:val="22"/>
          <w:szCs w:val="24"/>
        </w:rPr>
        <w:t>o del afiliado o del pensionado”.</w:t>
      </w:r>
      <w:r w:rsidR="00FA494C" w:rsidRPr="00223B9A">
        <w:rPr>
          <w:rFonts w:ascii="Arial" w:hAnsi="Arial" w:cs="Arial"/>
          <w:iCs/>
          <w:color w:val="000000" w:themeColor="text1"/>
          <w:sz w:val="22"/>
          <w:szCs w:val="24"/>
        </w:rPr>
        <w:t xml:space="preserve"> </w:t>
      </w:r>
    </w:p>
    <w:p w:rsidR="00FA494C" w:rsidRPr="00AE5768" w:rsidRDefault="00FA494C" w:rsidP="00FA494C">
      <w:pPr>
        <w:spacing w:line="360" w:lineRule="auto"/>
        <w:ind w:firstLine="709"/>
        <w:jc w:val="both"/>
        <w:rPr>
          <w:rFonts w:ascii="Bookman Old Style" w:hAnsi="Bookman Old Style" w:cs="Estrangelo Edessa"/>
          <w:szCs w:val="28"/>
        </w:rPr>
      </w:pPr>
    </w:p>
    <w:p w:rsidR="00164682" w:rsidRPr="00472F35" w:rsidRDefault="007F6BA3" w:rsidP="00E2173C">
      <w:pPr>
        <w:jc w:val="both"/>
        <w:rPr>
          <w:rFonts w:ascii="Arial" w:hAnsi="Arial" w:cs="Arial"/>
          <w:b/>
          <w:szCs w:val="24"/>
        </w:rPr>
      </w:pPr>
      <w:r>
        <w:rPr>
          <w:rFonts w:ascii="Arial" w:hAnsi="Arial" w:cs="Arial"/>
          <w:b/>
          <w:szCs w:val="24"/>
        </w:rPr>
        <w:t>2.</w:t>
      </w:r>
      <w:r w:rsidR="00164682">
        <w:rPr>
          <w:rFonts w:ascii="Arial" w:hAnsi="Arial" w:cs="Arial"/>
          <w:b/>
          <w:szCs w:val="24"/>
        </w:rPr>
        <w:t xml:space="preserve"> Fundamento Fáctico</w:t>
      </w:r>
      <w:r w:rsidR="006D4B1B">
        <w:rPr>
          <w:iCs/>
          <w:color w:val="000000" w:themeColor="text1"/>
          <w:szCs w:val="24"/>
        </w:rPr>
        <w:t xml:space="preserve"> </w:t>
      </w:r>
    </w:p>
    <w:p w:rsidR="00164682" w:rsidRDefault="00164682" w:rsidP="005944F7">
      <w:pPr>
        <w:autoSpaceDE w:val="0"/>
        <w:autoSpaceDN w:val="0"/>
        <w:adjustRightInd w:val="0"/>
        <w:contextualSpacing/>
        <w:jc w:val="both"/>
        <w:rPr>
          <w:rFonts w:ascii="Arial" w:hAnsi="Arial" w:cs="Arial"/>
          <w:szCs w:val="24"/>
        </w:rPr>
      </w:pPr>
    </w:p>
    <w:p w:rsidR="00152696" w:rsidRDefault="00CD74C4" w:rsidP="000166C5">
      <w:pPr>
        <w:pStyle w:val="Textoindependiente"/>
        <w:spacing w:line="276" w:lineRule="auto"/>
        <w:contextualSpacing/>
        <w:rPr>
          <w:iCs/>
          <w:color w:val="000000" w:themeColor="text1"/>
          <w:szCs w:val="24"/>
          <w:lang w:val="es-CO"/>
        </w:rPr>
      </w:pPr>
      <w:r>
        <w:rPr>
          <w:iCs/>
          <w:color w:val="000000" w:themeColor="text1"/>
          <w:szCs w:val="24"/>
        </w:rPr>
        <w:t xml:space="preserve">Auscultado el material probatorio acopiado </w:t>
      </w:r>
      <w:r w:rsidR="000166C5">
        <w:rPr>
          <w:iCs/>
          <w:color w:val="000000" w:themeColor="text1"/>
          <w:szCs w:val="24"/>
        </w:rPr>
        <w:t>se desprende que Mar</w:t>
      </w:r>
      <w:proofErr w:type="spellStart"/>
      <w:r w:rsidR="000166C5">
        <w:rPr>
          <w:iCs/>
          <w:color w:val="000000" w:themeColor="text1"/>
          <w:szCs w:val="24"/>
          <w:lang w:val="es-CO"/>
        </w:rPr>
        <w:t>ina</w:t>
      </w:r>
      <w:proofErr w:type="spellEnd"/>
      <w:r w:rsidR="000166C5">
        <w:rPr>
          <w:iCs/>
          <w:color w:val="000000" w:themeColor="text1"/>
          <w:szCs w:val="24"/>
          <w:lang w:val="es-CO"/>
        </w:rPr>
        <w:t xml:space="preserve"> Granada omitió acreditar la convivencia con el causante Evelio Ríos Muñoz durante los 5 años previos a su fallecimiento</w:t>
      </w:r>
      <w:r w:rsidR="004C0B86">
        <w:rPr>
          <w:iCs/>
          <w:color w:val="000000" w:themeColor="text1"/>
          <w:szCs w:val="24"/>
          <w:lang w:val="es-CO"/>
        </w:rPr>
        <w:t xml:space="preserve">, puesto que aun cuando demostró que convivió con el causante, de ninguna manera pudo determinar con certeza los extremos de la relación sentimental que permita a esta Sala colegir que ocurrieron durante los últimos 5 años de vida del </w:t>
      </w:r>
      <w:proofErr w:type="spellStart"/>
      <w:r w:rsidR="004C0B86">
        <w:rPr>
          <w:iCs/>
          <w:color w:val="000000" w:themeColor="text1"/>
          <w:szCs w:val="24"/>
          <w:lang w:val="es-CO"/>
        </w:rPr>
        <w:t>obitado</w:t>
      </w:r>
      <w:proofErr w:type="spellEnd"/>
      <w:r w:rsidR="000166C5">
        <w:rPr>
          <w:iCs/>
          <w:color w:val="000000" w:themeColor="text1"/>
          <w:szCs w:val="24"/>
          <w:lang w:val="es-CO"/>
        </w:rPr>
        <w:t xml:space="preserve">. </w:t>
      </w:r>
    </w:p>
    <w:p w:rsidR="000166C5" w:rsidRDefault="000166C5" w:rsidP="000166C5">
      <w:pPr>
        <w:pStyle w:val="Textoindependiente"/>
        <w:spacing w:line="276" w:lineRule="auto"/>
        <w:contextualSpacing/>
        <w:rPr>
          <w:iCs/>
          <w:color w:val="000000" w:themeColor="text1"/>
          <w:szCs w:val="24"/>
          <w:lang w:val="es-CO"/>
        </w:rPr>
      </w:pPr>
    </w:p>
    <w:p w:rsidR="00995DEA" w:rsidRDefault="000166C5" w:rsidP="000166C5">
      <w:pPr>
        <w:pStyle w:val="Textoindependiente"/>
        <w:spacing w:line="276" w:lineRule="auto"/>
        <w:contextualSpacing/>
        <w:rPr>
          <w:iCs/>
          <w:color w:val="000000" w:themeColor="text1"/>
          <w:szCs w:val="24"/>
          <w:lang w:val="es-CO"/>
        </w:rPr>
      </w:pPr>
      <w:r>
        <w:rPr>
          <w:iCs/>
          <w:color w:val="000000" w:themeColor="text1"/>
          <w:szCs w:val="24"/>
          <w:lang w:val="es-CO"/>
        </w:rPr>
        <w:t>En efecto, obra el interrogatorio de parte practicado a la demandante quien afirmó que disfrutaba de una pensión de sobrevivencia causada por su cónyuge</w:t>
      </w:r>
      <w:r w:rsidR="0064218E">
        <w:rPr>
          <w:iCs/>
          <w:color w:val="000000" w:themeColor="text1"/>
          <w:szCs w:val="24"/>
          <w:lang w:val="es-CO"/>
        </w:rPr>
        <w:t xml:space="preserve"> Roberto Ríos López</w:t>
      </w:r>
      <w:r>
        <w:rPr>
          <w:iCs/>
          <w:color w:val="000000" w:themeColor="text1"/>
          <w:szCs w:val="24"/>
          <w:lang w:val="es-CO"/>
        </w:rPr>
        <w:t xml:space="preserve"> que falleció el 19/10/1999; pero que a partir del 20/01/2001 inició la convivencia con el causante, que perduró durante 9 años hasta su fallecimiento. </w:t>
      </w:r>
      <w:r w:rsidR="007740D1">
        <w:rPr>
          <w:iCs/>
          <w:color w:val="000000" w:themeColor="text1"/>
          <w:szCs w:val="24"/>
          <w:lang w:val="es-CO"/>
        </w:rPr>
        <w:t>Además, afirmó que tenía afiliado al causante como su b</w:t>
      </w:r>
      <w:r w:rsidR="00A766FB">
        <w:rPr>
          <w:iCs/>
          <w:color w:val="000000" w:themeColor="text1"/>
          <w:szCs w:val="24"/>
          <w:lang w:val="es-CO"/>
        </w:rPr>
        <w:t xml:space="preserve">eneficiario en un plan </w:t>
      </w:r>
      <w:r w:rsidR="00074F74">
        <w:rPr>
          <w:iCs/>
          <w:color w:val="000000" w:themeColor="text1"/>
          <w:szCs w:val="24"/>
          <w:lang w:val="es-CO"/>
        </w:rPr>
        <w:t>de exequias</w:t>
      </w:r>
      <w:r w:rsidR="0064218E">
        <w:rPr>
          <w:iCs/>
          <w:color w:val="000000" w:themeColor="text1"/>
          <w:szCs w:val="24"/>
          <w:lang w:val="es-CO"/>
        </w:rPr>
        <w:t xml:space="preserve">, quien murió de un aneurisma cerebral, </w:t>
      </w:r>
      <w:r w:rsidR="00995DEA">
        <w:rPr>
          <w:iCs/>
          <w:color w:val="000000" w:themeColor="text1"/>
          <w:szCs w:val="24"/>
          <w:lang w:val="es-CO"/>
        </w:rPr>
        <w:t xml:space="preserve">por </w:t>
      </w:r>
      <w:r w:rsidR="0064218E">
        <w:rPr>
          <w:iCs/>
          <w:color w:val="000000" w:themeColor="text1"/>
          <w:szCs w:val="24"/>
          <w:lang w:val="es-CO"/>
        </w:rPr>
        <w:t>el</w:t>
      </w:r>
      <w:r w:rsidR="00995DEA">
        <w:rPr>
          <w:iCs/>
          <w:color w:val="000000" w:themeColor="text1"/>
          <w:szCs w:val="24"/>
          <w:lang w:val="es-CO"/>
        </w:rPr>
        <w:t xml:space="preserve"> que estuvo hospitalizado durante 3 días.</w:t>
      </w:r>
    </w:p>
    <w:p w:rsidR="007740D1" w:rsidRDefault="007740D1" w:rsidP="000166C5">
      <w:pPr>
        <w:pStyle w:val="Textoindependiente"/>
        <w:spacing w:line="276" w:lineRule="auto"/>
        <w:contextualSpacing/>
        <w:rPr>
          <w:iCs/>
          <w:color w:val="000000" w:themeColor="text1"/>
          <w:szCs w:val="24"/>
          <w:lang w:val="es-CO"/>
        </w:rPr>
      </w:pPr>
    </w:p>
    <w:p w:rsidR="0014067A" w:rsidRDefault="001C154A" w:rsidP="0014067A">
      <w:pPr>
        <w:pStyle w:val="Textoindependiente"/>
        <w:spacing w:line="276" w:lineRule="auto"/>
        <w:contextualSpacing/>
        <w:rPr>
          <w:iCs/>
          <w:color w:val="000000" w:themeColor="text1"/>
          <w:szCs w:val="24"/>
          <w:lang w:val="es-CO"/>
        </w:rPr>
      </w:pPr>
      <w:r>
        <w:rPr>
          <w:iCs/>
          <w:color w:val="000000" w:themeColor="text1"/>
          <w:szCs w:val="24"/>
          <w:lang w:val="es-CO"/>
        </w:rPr>
        <w:lastRenderedPageBreak/>
        <w:t>No obstante lo anterior,</w:t>
      </w:r>
      <w:r w:rsidR="0014067A">
        <w:rPr>
          <w:iCs/>
          <w:color w:val="000000" w:themeColor="text1"/>
          <w:szCs w:val="24"/>
          <w:lang w:val="es-CO"/>
        </w:rPr>
        <w:t xml:space="preserve"> dicha declaración aparece a todas luces contradictoria, puesto que también anunció en ella que previo a iniciar la convivencia con el fallecido, éste habitaba una vivienda ubicada en la </w:t>
      </w:r>
      <w:r w:rsidR="0014067A" w:rsidRPr="0064218E">
        <w:rPr>
          <w:i/>
          <w:iCs/>
          <w:color w:val="000000" w:themeColor="text1"/>
          <w:szCs w:val="24"/>
          <w:lang w:val="es-CO"/>
        </w:rPr>
        <w:t>calle 30</w:t>
      </w:r>
      <w:r w:rsidR="0014067A">
        <w:rPr>
          <w:iCs/>
          <w:color w:val="000000" w:themeColor="text1"/>
          <w:szCs w:val="24"/>
          <w:lang w:val="es-CO"/>
        </w:rPr>
        <w:t xml:space="preserve">, para luego expresar que vivía en el </w:t>
      </w:r>
      <w:r w:rsidR="0014067A" w:rsidRPr="0064218E">
        <w:rPr>
          <w:i/>
          <w:iCs/>
          <w:color w:val="000000" w:themeColor="text1"/>
          <w:szCs w:val="24"/>
          <w:lang w:val="es-CO"/>
        </w:rPr>
        <w:t>barrio San José</w:t>
      </w:r>
      <w:r w:rsidR="0014067A">
        <w:rPr>
          <w:iCs/>
          <w:color w:val="000000" w:themeColor="text1"/>
          <w:szCs w:val="24"/>
          <w:lang w:val="es-CO"/>
        </w:rPr>
        <w:t xml:space="preserve">. Además, al expediente se allegó comunicación remitida por la funeraria La Ofrenda, en la que certificaron que Marina Granada de Ríos estuvo afiliada a dicha entidad, pero que nunca ingresó a Evelio Ríos Muñoz como su beneficiario (fls. 145 a 146 c. 1). </w:t>
      </w:r>
    </w:p>
    <w:p w:rsidR="0014067A" w:rsidRDefault="0014067A" w:rsidP="0014067A">
      <w:pPr>
        <w:pStyle w:val="Textoindependiente"/>
        <w:spacing w:line="276" w:lineRule="auto"/>
        <w:contextualSpacing/>
        <w:rPr>
          <w:iCs/>
          <w:color w:val="000000" w:themeColor="text1"/>
          <w:szCs w:val="24"/>
          <w:lang w:val="es-CO"/>
        </w:rPr>
      </w:pPr>
    </w:p>
    <w:p w:rsidR="007740D1" w:rsidRDefault="0014067A" w:rsidP="0014067A">
      <w:pPr>
        <w:pStyle w:val="Textoindependiente"/>
        <w:spacing w:line="276" w:lineRule="auto"/>
        <w:contextualSpacing/>
        <w:rPr>
          <w:iCs/>
          <w:color w:val="000000" w:themeColor="text1"/>
          <w:szCs w:val="24"/>
          <w:lang w:val="es-CO"/>
        </w:rPr>
      </w:pPr>
      <w:r>
        <w:rPr>
          <w:iCs/>
          <w:color w:val="000000" w:themeColor="text1"/>
          <w:szCs w:val="24"/>
          <w:lang w:val="es-CO"/>
        </w:rPr>
        <w:t>Ahora bien, del restante caudal probatorio tampoco se desprende el hecho principal escrutado, puesto que apenas o</w:t>
      </w:r>
      <w:r w:rsidR="001C154A">
        <w:rPr>
          <w:iCs/>
          <w:color w:val="000000" w:themeColor="text1"/>
          <w:szCs w:val="24"/>
          <w:lang w:val="es-CO"/>
        </w:rPr>
        <w:t>bra</w:t>
      </w:r>
      <w:r w:rsidR="00A766FB">
        <w:rPr>
          <w:iCs/>
          <w:color w:val="000000" w:themeColor="text1"/>
          <w:szCs w:val="24"/>
          <w:lang w:val="es-CO"/>
        </w:rPr>
        <w:t xml:space="preserve"> la</w:t>
      </w:r>
      <w:r w:rsidR="007740D1">
        <w:rPr>
          <w:iCs/>
          <w:color w:val="000000" w:themeColor="text1"/>
          <w:szCs w:val="24"/>
          <w:lang w:val="es-CO"/>
        </w:rPr>
        <w:t xml:space="preserve"> declaraci</w:t>
      </w:r>
      <w:r w:rsidR="00A766FB">
        <w:rPr>
          <w:iCs/>
          <w:color w:val="000000" w:themeColor="text1"/>
          <w:szCs w:val="24"/>
          <w:lang w:val="es-CO"/>
        </w:rPr>
        <w:t>ón</w:t>
      </w:r>
      <w:r w:rsidR="007740D1">
        <w:rPr>
          <w:iCs/>
          <w:color w:val="000000" w:themeColor="text1"/>
          <w:szCs w:val="24"/>
          <w:lang w:val="es-CO"/>
        </w:rPr>
        <w:t xml:space="preserve"> de </w:t>
      </w:r>
      <w:r w:rsidR="007740D1" w:rsidRPr="0014067A">
        <w:rPr>
          <w:b/>
          <w:iCs/>
          <w:color w:val="000000" w:themeColor="text1"/>
          <w:szCs w:val="24"/>
          <w:lang w:val="es-CO"/>
        </w:rPr>
        <w:t>Gloria Cecilia Pérez Álvarez</w:t>
      </w:r>
      <w:r w:rsidR="007740D1">
        <w:rPr>
          <w:iCs/>
          <w:color w:val="000000" w:themeColor="text1"/>
          <w:szCs w:val="24"/>
          <w:lang w:val="es-CO"/>
        </w:rPr>
        <w:t xml:space="preserve"> quien afirmó </w:t>
      </w:r>
      <w:r w:rsidR="00995DEA">
        <w:rPr>
          <w:iCs/>
          <w:color w:val="000000" w:themeColor="text1"/>
          <w:szCs w:val="24"/>
          <w:lang w:val="es-CO"/>
        </w:rPr>
        <w:t xml:space="preserve">que </w:t>
      </w:r>
      <w:r w:rsidR="00F44469">
        <w:rPr>
          <w:iCs/>
          <w:color w:val="000000" w:themeColor="text1"/>
          <w:szCs w:val="24"/>
          <w:lang w:val="es-CO"/>
        </w:rPr>
        <w:t xml:space="preserve">había conocido </w:t>
      </w:r>
      <w:r w:rsidR="00995DEA">
        <w:rPr>
          <w:iCs/>
          <w:color w:val="000000" w:themeColor="text1"/>
          <w:szCs w:val="24"/>
          <w:lang w:val="es-CO"/>
        </w:rPr>
        <w:t xml:space="preserve">a la pareja </w:t>
      </w:r>
      <w:r w:rsidR="001C154A">
        <w:rPr>
          <w:iCs/>
          <w:color w:val="000000" w:themeColor="text1"/>
          <w:szCs w:val="24"/>
          <w:lang w:val="es-CO"/>
        </w:rPr>
        <w:t>al mismo tiempo</w:t>
      </w:r>
      <w:r w:rsidR="00995DEA">
        <w:rPr>
          <w:iCs/>
          <w:color w:val="000000" w:themeColor="text1"/>
          <w:szCs w:val="24"/>
          <w:lang w:val="es-CO"/>
        </w:rPr>
        <w:t xml:space="preserve">, hace más de </w:t>
      </w:r>
      <w:r w:rsidR="007740D1">
        <w:rPr>
          <w:iCs/>
          <w:color w:val="000000" w:themeColor="text1"/>
          <w:szCs w:val="24"/>
          <w:lang w:val="es-CO"/>
        </w:rPr>
        <w:t>27 años, porque</w:t>
      </w:r>
      <w:r w:rsidR="00A766FB">
        <w:rPr>
          <w:iCs/>
          <w:color w:val="000000" w:themeColor="text1"/>
          <w:szCs w:val="24"/>
          <w:lang w:val="es-CO"/>
        </w:rPr>
        <w:t xml:space="preserve"> eran muy amigos y dicho hito inicial lo</w:t>
      </w:r>
      <w:r w:rsidR="007740D1">
        <w:rPr>
          <w:iCs/>
          <w:color w:val="000000" w:themeColor="text1"/>
          <w:szCs w:val="24"/>
          <w:lang w:val="es-CO"/>
        </w:rPr>
        <w:t xml:space="preserve"> </w:t>
      </w:r>
      <w:r w:rsidR="00A766FB">
        <w:rPr>
          <w:iCs/>
          <w:color w:val="000000" w:themeColor="text1"/>
          <w:szCs w:val="24"/>
          <w:lang w:val="es-CO"/>
        </w:rPr>
        <w:t>recordaba en tanto</w:t>
      </w:r>
      <w:r w:rsidR="00F44469">
        <w:rPr>
          <w:iCs/>
          <w:color w:val="000000" w:themeColor="text1"/>
          <w:szCs w:val="24"/>
          <w:lang w:val="es-CO"/>
        </w:rPr>
        <w:t xml:space="preserve"> que,</w:t>
      </w:r>
      <w:r w:rsidR="00A766FB">
        <w:rPr>
          <w:iCs/>
          <w:color w:val="000000" w:themeColor="text1"/>
          <w:szCs w:val="24"/>
          <w:lang w:val="es-CO"/>
        </w:rPr>
        <w:t xml:space="preserve"> la testigo estaba en em</w:t>
      </w:r>
      <w:r w:rsidR="007740D1">
        <w:rPr>
          <w:iCs/>
          <w:color w:val="000000" w:themeColor="text1"/>
          <w:szCs w:val="24"/>
          <w:lang w:val="es-CO"/>
        </w:rPr>
        <w:t xml:space="preserve">barazo de su descendiente </w:t>
      </w:r>
      <w:r w:rsidR="00A766FB">
        <w:rPr>
          <w:iCs/>
          <w:color w:val="000000" w:themeColor="text1"/>
          <w:szCs w:val="24"/>
          <w:lang w:val="es-CO"/>
        </w:rPr>
        <w:t>que nació en el año 1990</w:t>
      </w:r>
      <w:r w:rsidR="007740D1">
        <w:rPr>
          <w:iCs/>
          <w:color w:val="000000" w:themeColor="text1"/>
          <w:szCs w:val="24"/>
          <w:lang w:val="es-CO"/>
        </w:rPr>
        <w:t>. Además, afirmó que la pareja vivió en el barrio San José de</w:t>
      </w:r>
      <w:r w:rsidR="00A766FB">
        <w:rPr>
          <w:iCs/>
          <w:color w:val="000000" w:themeColor="text1"/>
          <w:szCs w:val="24"/>
          <w:lang w:val="es-CO"/>
        </w:rPr>
        <w:t xml:space="preserve"> Armenia; sin embargo, desconoció</w:t>
      </w:r>
      <w:r w:rsidR="007740D1">
        <w:rPr>
          <w:iCs/>
          <w:color w:val="000000" w:themeColor="text1"/>
          <w:szCs w:val="24"/>
          <w:lang w:val="es-CO"/>
        </w:rPr>
        <w:t xml:space="preserve"> la dirección de la vivienda</w:t>
      </w:r>
      <w:r w:rsidR="00A766FB">
        <w:rPr>
          <w:iCs/>
          <w:color w:val="000000" w:themeColor="text1"/>
          <w:szCs w:val="24"/>
          <w:lang w:val="es-CO"/>
        </w:rPr>
        <w:t xml:space="preserve">, pero relató que allí solo vivieron durante 5 años, pues se trasladaron a la </w:t>
      </w:r>
      <w:r w:rsidR="00A766FB" w:rsidRPr="00995DEA">
        <w:rPr>
          <w:i/>
          <w:iCs/>
          <w:color w:val="000000" w:themeColor="text1"/>
          <w:szCs w:val="24"/>
          <w:lang w:val="es-CO"/>
        </w:rPr>
        <w:t>19</w:t>
      </w:r>
      <w:r w:rsidR="00995DEA">
        <w:rPr>
          <w:iCs/>
          <w:color w:val="000000" w:themeColor="text1"/>
          <w:szCs w:val="24"/>
          <w:lang w:val="es-CO"/>
        </w:rPr>
        <w:t>, época para la cual la testigo vivía en el barrio el Placer, ubicado a 30 cuadras</w:t>
      </w:r>
      <w:r w:rsidR="00DC7CE4">
        <w:rPr>
          <w:iCs/>
          <w:color w:val="000000" w:themeColor="text1"/>
          <w:szCs w:val="24"/>
          <w:lang w:val="es-CO"/>
        </w:rPr>
        <w:t xml:space="preserve"> de la residencia de la pareja.</w:t>
      </w:r>
      <w:r w:rsidR="000E0EAC">
        <w:rPr>
          <w:iCs/>
          <w:color w:val="000000" w:themeColor="text1"/>
          <w:szCs w:val="24"/>
          <w:lang w:val="es-CO"/>
        </w:rPr>
        <w:t xml:space="preserve"> </w:t>
      </w:r>
    </w:p>
    <w:p w:rsidR="00A766FB" w:rsidRDefault="00A766FB" w:rsidP="000166C5">
      <w:pPr>
        <w:pStyle w:val="Textoindependiente"/>
        <w:spacing w:line="276" w:lineRule="auto"/>
        <w:contextualSpacing/>
        <w:rPr>
          <w:iCs/>
          <w:color w:val="000000" w:themeColor="text1"/>
          <w:szCs w:val="24"/>
          <w:lang w:val="es-CO"/>
        </w:rPr>
      </w:pPr>
    </w:p>
    <w:p w:rsidR="00DC7CE4" w:rsidRDefault="00DC7CE4" w:rsidP="000166C5">
      <w:pPr>
        <w:pStyle w:val="Textoindependiente"/>
        <w:spacing w:line="276" w:lineRule="auto"/>
        <w:contextualSpacing/>
        <w:rPr>
          <w:iCs/>
          <w:color w:val="000000" w:themeColor="text1"/>
          <w:szCs w:val="24"/>
          <w:lang w:val="es-CO"/>
        </w:rPr>
      </w:pPr>
      <w:r>
        <w:rPr>
          <w:iCs/>
          <w:color w:val="000000" w:themeColor="text1"/>
          <w:szCs w:val="24"/>
          <w:lang w:val="es-CO"/>
        </w:rPr>
        <w:t>Además</w:t>
      </w:r>
      <w:r w:rsidR="00A766FB">
        <w:rPr>
          <w:iCs/>
          <w:color w:val="000000" w:themeColor="text1"/>
          <w:szCs w:val="24"/>
          <w:lang w:val="es-CO"/>
        </w:rPr>
        <w:t xml:space="preserve">, relató que desconocía el nombre del primer esposo de la demandante, porque lo </w:t>
      </w:r>
      <w:r w:rsidR="00B802EA">
        <w:rPr>
          <w:iCs/>
          <w:color w:val="000000" w:themeColor="text1"/>
          <w:szCs w:val="24"/>
          <w:lang w:val="es-CO"/>
        </w:rPr>
        <w:t>conoció</w:t>
      </w:r>
      <w:r w:rsidR="00A766FB">
        <w:rPr>
          <w:iCs/>
          <w:color w:val="000000" w:themeColor="text1"/>
          <w:szCs w:val="24"/>
          <w:lang w:val="es-CO"/>
        </w:rPr>
        <w:t xml:space="preserve"> </w:t>
      </w:r>
      <w:r w:rsidR="00A766FB" w:rsidRPr="00A766FB">
        <w:rPr>
          <w:i/>
          <w:iCs/>
          <w:color w:val="000000" w:themeColor="text1"/>
          <w:szCs w:val="24"/>
          <w:lang w:val="es-CO"/>
        </w:rPr>
        <w:t>someramente</w:t>
      </w:r>
      <w:r w:rsidR="00A766FB">
        <w:rPr>
          <w:i/>
          <w:iCs/>
          <w:color w:val="000000" w:themeColor="text1"/>
          <w:szCs w:val="24"/>
          <w:lang w:val="es-CO"/>
        </w:rPr>
        <w:t xml:space="preserve">; </w:t>
      </w:r>
      <w:r w:rsidR="00A766FB">
        <w:rPr>
          <w:iCs/>
          <w:color w:val="000000" w:themeColor="text1"/>
          <w:szCs w:val="24"/>
          <w:lang w:val="es-CO"/>
        </w:rPr>
        <w:t xml:space="preserve">sin embargo, narró que </w:t>
      </w:r>
      <w:r>
        <w:rPr>
          <w:iCs/>
          <w:color w:val="000000" w:themeColor="text1"/>
          <w:szCs w:val="24"/>
          <w:lang w:val="es-CO"/>
        </w:rPr>
        <w:t xml:space="preserve">también </w:t>
      </w:r>
      <w:r w:rsidR="00A766FB">
        <w:rPr>
          <w:iCs/>
          <w:color w:val="000000" w:themeColor="text1"/>
          <w:szCs w:val="24"/>
          <w:lang w:val="es-CO"/>
        </w:rPr>
        <w:t xml:space="preserve">vivieron en el barrio San José, y desconoció el año en que </w:t>
      </w:r>
      <w:r w:rsidR="00995DEA">
        <w:rPr>
          <w:iCs/>
          <w:color w:val="000000" w:themeColor="text1"/>
          <w:szCs w:val="24"/>
          <w:lang w:val="es-CO"/>
        </w:rPr>
        <w:t>dicho cónyuge falleció.</w:t>
      </w:r>
      <w:r w:rsidR="0014067A">
        <w:rPr>
          <w:iCs/>
          <w:color w:val="000000" w:themeColor="text1"/>
          <w:szCs w:val="24"/>
          <w:lang w:val="es-CO"/>
        </w:rPr>
        <w:t xml:space="preserve"> </w:t>
      </w:r>
      <w:r w:rsidR="00995DEA">
        <w:rPr>
          <w:iCs/>
          <w:color w:val="000000" w:themeColor="text1"/>
          <w:szCs w:val="24"/>
          <w:lang w:val="es-CO"/>
        </w:rPr>
        <w:t>Por último, narró que se enteró del fallecimiento de Evelio Ríos Muñoz por los dichos de la demandante, y que el causante padeció la enfermedad que finalizó con su vida durante unos meses, y en razón a ello es</w:t>
      </w:r>
      <w:r w:rsidR="00214E69">
        <w:rPr>
          <w:iCs/>
          <w:color w:val="000000" w:themeColor="text1"/>
          <w:szCs w:val="24"/>
          <w:lang w:val="es-CO"/>
        </w:rPr>
        <w:t xml:space="preserve">tuvo hospitalizado 2 o 3 meses en </w:t>
      </w:r>
      <w:proofErr w:type="spellStart"/>
      <w:r w:rsidR="00214E69">
        <w:rPr>
          <w:iCs/>
          <w:color w:val="000000" w:themeColor="text1"/>
          <w:szCs w:val="24"/>
          <w:lang w:val="es-CO"/>
        </w:rPr>
        <w:t>Cafesalud</w:t>
      </w:r>
      <w:proofErr w:type="spellEnd"/>
      <w:r w:rsidR="00214E69">
        <w:rPr>
          <w:iCs/>
          <w:color w:val="000000" w:themeColor="text1"/>
          <w:szCs w:val="24"/>
          <w:lang w:val="es-CO"/>
        </w:rPr>
        <w:t>.</w:t>
      </w:r>
    </w:p>
    <w:p w:rsidR="004C0B86" w:rsidRDefault="004C0B86" w:rsidP="000166C5">
      <w:pPr>
        <w:pStyle w:val="Textoindependiente"/>
        <w:spacing w:line="276" w:lineRule="auto"/>
        <w:contextualSpacing/>
        <w:rPr>
          <w:iCs/>
          <w:color w:val="000000" w:themeColor="text1"/>
          <w:szCs w:val="24"/>
          <w:lang w:val="es-CO"/>
        </w:rPr>
      </w:pPr>
    </w:p>
    <w:p w:rsidR="004C0B86" w:rsidRDefault="004C0B86" w:rsidP="00F90668">
      <w:pPr>
        <w:pStyle w:val="Textoindependiente"/>
        <w:spacing w:line="276" w:lineRule="auto"/>
        <w:contextualSpacing/>
        <w:rPr>
          <w:iCs/>
          <w:color w:val="000000" w:themeColor="text1"/>
          <w:szCs w:val="24"/>
          <w:lang w:val="es-CO"/>
        </w:rPr>
      </w:pPr>
      <w:r>
        <w:rPr>
          <w:iCs/>
          <w:color w:val="000000" w:themeColor="text1"/>
          <w:szCs w:val="24"/>
          <w:lang w:val="es-CO"/>
        </w:rPr>
        <w:t xml:space="preserve">Declaración que decae en su veracidad, si se tiene en cuenta que Roberto Ríos López, cónyuge de la demandante, falleció en 1999, como ella misma lo adujo, por lo que la testigo de ninguna manera pudo conocer a la pareja </w:t>
      </w:r>
      <w:r w:rsidR="00D4060D">
        <w:rPr>
          <w:iCs/>
          <w:color w:val="000000" w:themeColor="text1"/>
          <w:szCs w:val="24"/>
          <w:lang w:val="es-CO"/>
        </w:rPr>
        <w:t xml:space="preserve">conformada por la demandante con el causante de ahora Evelio Ríos Muñoz, </w:t>
      </w:r>
      <w:r>
        <w:rPr>
          <w:iCs/>
          <w:color w:val="000000" w:themeColor="text1"/>
          <w:szCs w:val="24"/>
          <w:lang w:val="es-CO"/>
        </w:rPr>
        <w:t>conviviendo hace 27 años, pues tal época nos remontaría al año de 1990, fecha para la cual ni siquiera la demandante adujo convivir con el causante Evelio Ríos Mu</w:t>
      </w:r>
      <w:r w:rsidR="00F90668">
        <w:rPr>
          <w:iCs/>
          <w:color w:val="000000" w:themeColor="text1"/>
          <w:szCs w:val="24"/>
          <w:lang w:val="es-CO"/>
        </w:rPr>
        <w:t xml:space="preserve">ñoz, con quien señaló que había iniciado la convivencia en el año 2001. Además, si en gracia de discusión se admitiera que erró al señalar la pareja de la demandante para 1990, tampoco sería admisible que conociera </w:t>
      </w:r>
      <w:r w:rsidR="00F90668" w:rsidRPr="00F90668">
        <w:rPr>
          <w:i/>
          <w:iCs/>
          <w:color w:val="000000" w:themeColor="text1"/>
          <w:szCs w:val="24"/>
          <w:lang w:val="es-CO"/>
        </w:rPr>
        <w:t>someramente</w:t>
      </w:r>
      <w:r w:rsidR="00F90668">
        <w:rPr>
          <w:i/>
          <w:iCs/>
          <w:color w:val="000000" w:themeColor="text1"/>
          <w:szCs w:val="24"/>
          <w:lang w:val="es-CO"/>
        </w:rPr>
        <w:t xml:space="preserve"> </w:t>
      </w:r>
      <w:r w:rsidR="00F90668">
        <w:rPr>
          <w:iCs/>
          <w:color w:val="000000" w:themeColor="text1"/>
          <w:szCs w:val="24"/>
          <w:lang w:val="es-CO"/>
        </w:rPr>
        <w:t xml:space="preserve">al cónyuge de Marina Granada, y más aún que no recordara su nombre. </w:t>
      </w:r>
    </w:p>
    <w:p w:rsidR="007740D1" w:rsidRDefault="007740D1" w:rsidP="000166C5">
      <w:pPr>
        <w:pStyle w:val="Textoindependiente"/>
        <w:spacing w:line="276" w:lineRule="auto"/>
        <w:contextualSpacing/>
        <w:rPr>
          <w:iCs/>
          <w:color w:val="000000" w:themeColor="text1"/>
          <w:szCs w:val="24"/>
          <w:lang w:val="es-CO"/>
        </w:rPr>
      </w:pPr>
    </w:p>
    <w:p w:rsidR="00F90668" w:rsidRDefault="00995DEA" w:rsidP="000166C5">
      <w:pPr>
        <w:pStyle w:val="Textoindependiente"/>
        <w:spacing w:line="276" w:lineRule="auto"/>
        <w:contextualSpacing/>
        <w:rPr>
          <w:iCs/>
          <w:color w:val="000000" w:themeColor="text1"/>
          <w:szCs w:val="24"/>
          <w:lang w:val="es-CO"/>
        </w:rPr>
      </w:pPr>
      <w:r>
        <w:rPr>
          <w:iCs/>
          <w:color w:val="000000" w:themeColor="text1"/>
          <w:szCs w:val="24"/>
          <w:lang w:val="es-CO"/>
        </w:rPr>
        <w:t xml:space="preserve">A su turno, obra la declaración de </w:t>
      </w:r>
      <w:r w:rsidRPr="0014067A">
        <w:rPr>
          <w:b/>
          <w:iCs/>
          <w:color w:val="000000" w:themeColor="text1"/>
          <w:szCs w:val="24"/>
          <w:lang w:val="es-CO"/>
        </w:rPr>
        <w:t>Beatriz Ureña Díaz</w:t>
      </w:r>
      <w:r>
        <w:rPr>
          <w:iCs/>
          <w:color w:val="000000" w:themeColor="text1"/>
          <w:szCs w:val="24"/>
          <w:lang w:val="es-CO"/>
        </w:rPr>
        <w:t xml:space="preserve"> </w:t>
      </w:r>
      <w:r w:rsidR="0069503F">
        <w:rPr>
          <w:iCs/>
          <w:color w:val="000000" w:themeColor="text1"/>
          <w:szCs w:val="24"/>
          <w:lang w:val="es-CO"/>
        </w:rPr>
        <w:t xml:space="preserve">quien relató que conoció a la pareja hace 20 años viviendo en el barrio San José, pero al mismo tiempo relató que convivieron durante 9 años, última declaración que derivó de los comentarios hechos por la demandante, quien le indicó que vivieron 4 años en el barrio San José y 5 años en la 19. Por otro lado, relató que el causante estuvo hospitalizado en el Seguro Social. </w:t>
      </w:r>
      <w:r w:rsidR="00214E69">
        <w:rPr>
          <w:iCs/>
          <w:color w:val="000000" w:themeColor="text1"/>
          <w:szCs w:val="24"/>
          <w:lang w:val="es-CO"/>
        </w:rPr>
        <w:t xml:space="preserve">Además, afirmó que constantemente visitaba a la pareja. </w:t>
      </w:r>
      <w:r w:rsidR="00F90668">
        <w:rPr>
          <w:iCs/>
          <w:color w:val="000000" w:themeColor="text1"/>
          <w:szCs w:val="24"/>
          <w:lang w:val="es-CO"/>
        </w:rPr>
        <w:t>Declaración que tampoco alcanza para acreditar el requisito de convivencia, puesto que el conocimiento de los últimos 5 años, lo ostenta por los comentarios de la demandante y no por su percepción directa.</w:t>
      </w:r>
    </w:p>
    <w:p w:rsidR="00F90668" w:rsidRDefault="00F90668" w:rsidP="000166C5">
      <w:pPr>
        <w:pStyle w:val="Textoindependiente"/>
        <w:spacing w:line="276" w:lineRule="auto"/>
        <w:contextualSpacing/>
        <w:rPr>
          <w:iCs/>
          <w:color w:val="000000" w:themeColor="text1"/>
          <w:szCs w:val="24"/>
          <w:lang w:val="es-CO"/>
        </w:rPr>
      </w:pPr>
    </w:p>
    <w:p w:rsidR="00F90668" w:rsidRDefault="00214E69" w:rsidP="00F110A8">
      <w:pPr>
        <w:pStyle w:val="Textoindependiente"/>
        <w:spacing w:line="276" w:lineRule="auto"/>
        <w:contextualSpacing/>
        <w:rPr>
          <w:iCs/>
          <w:color w:val="000000" w:themeColor="text1"/>
          <w:szCs w:val="24"/>
          <w:lang w:val="es-CO"/>
        </w:rPr>
      </w:pPr>
      <w:r>
        <w:rPr>
          <w:iCs/>
          <w:color w:val="000000" w:themeColor="text1"/>
          <w:szCs w:val="24"/>
          <w:lang w:val="es-CO"/>
        </w:rPr>
        <w:lastRenderedPageBreak/>
        <w:t>Luego</w:t>
      </w:r>
      <w:r w:rsidR="0014067A">
        <w:rPr>
          <w:iCs/>
          <w:color w:val="000000" w:themeColor="text1"/>
          <w:szCs w:val="24"/>
          <w:lang w:val="es-CO"/>
        </w:rPr>
        <w:t>,</w:t>
      </w:r>
      <w:r>
        <w:rPr>
          <w:iCs/>
          <w:color w:val="000000" w:themeColor="text1"/>
          <w:szCs w:val="24"/>
          <w:lang w:val="es-CO"/>
        </w:rPr>
        <w:t xml:space="preserve"> </w:t>
      </w:r>
      <w:r w:rsidR="0014067A">
        <w:rPr>
          <w:iCs/>
          <w:color w:val="000000" w:themeColor="text1"/>
          <w:szCs w:val="24"/>
          <w:lang w:val="es-CO"/>
        </w:rPr>
        <w:t>se practicó</w:t>
      </w:r>
      <w:r>
        <w:rPr>
          <w:iCs/>
          <w:color w:val="000000" w:themeColor="text1"/>
          <w:szCs w:val="24"/>
          <w:lang w:val="es-CO"/>
        </w:rPr>
        <w:t xml:space="preserve"> el testimonio de </w:t>
      </w:r>
      <w:r w:rsidRPr="0014067A">
        <w:rPr>
          <w:b/>
          <w:iCs/>
          <w:color w:val="000000" w:themeColor="text1"/>
          <w:szCs w:val="24"/>
          <w:lang w:val="es-CO"/>
        </w:rPr>
        <w:t>Dolly López</w:t>
      </w:r>
      <w:r>
        <w:rPr>
          <w:iCs/>
          <w:color w:val="000000" w:themeColor="text1"/>
          <w:szCs w:val="24"/>
          <w:lang w:val="es-CO"/>
        </w:rPr>
        <w:t xml:space="preserve"> quien afirmó que conoció a la pareja hac</w:t>
      </w:r>
      <w:r w:rsidR="0064218E">
        <w:rPr>
          <w:iCs/>
          <w:color w:val="000000" w:themeColor="text1"/>
          <w:szCs w:val="24"/>
          <w:lang w:val="es-CO"/>
        </w:rPr>
        <w:t>e 27 años en el barrio San José y luego que</w:t>
      </w:r>
      <w:r>
        <w:rPr>
          <w:iCs/>
          <w:color w:val="000000" w:themeColor="text1"/>
          <w:szCs w:val="24"/>
          <w:lang w:val="es-CO"/>
        </w:rPr>
        <w:t xml:space="preserve"> la dupla convivió por 9 años, </w:t>
      </w:r>
      <w:r w:rsidR="0064218E">
        <w:rPr>
          <w:iCs/>
          <w:color w:val="000000" w:themeColor="text1"/>
          <w:szCs w:val="24"/>
          <w:lang w:val="es-CO"/>
        </w:rPr>
        <w:t xml:space="preserve">y </w:t>
      </w:r>
      <w:r>
        <w:rPr>
          <w:iCs/>
          <w:color w:val="000000" w:themeColor="text1"/>
          <w:szCs w:val="24"/>
          <w:lang w:val="es-CO"/>
        </w:rPr>
        <w:t>aclar</w:t>
      </w:r>
      <w:r w:rsidR="0064218E">
        <w:rPr>
          <w:iCs/>
          <w:color w:val="000000" w:themeColor="text1"/>
          <w:szCs w:val="24"/>
          <w:lang w:val="es-CO"/>
        </w:rPr>
        <w:t>ó</w:t>
      </w:r>
      <w:r>
        <w:rPr>
          <w:iCs/>
          <w:color w:val="000000" w:themeColor="text1"/>
          <w:szCs w:val="24"/>
          <w:lang w:val="es-CO"/>
        </w:rPr>
        <w:t xml:space="preserve"> que cuando conoció a la demandante ella vivía con su cónyuge. En ese sentido, afirmó que la pareja convivió 4 años en el barrio </w:t>
      </w:r>
      <w:r w:rsidRPr="0064218E">
        <w:rPr>
          <w:i/>
          <w:iCs/>
          <w:color w:val="000000" w:themeColor="text1"/>
          <w:szCs w:val="24"/>
          <w:lang w:val="es-CO"/>
        </w:rPr>
        <w:t xml:space="preserve">San </w:t>
      </w:r>
      <w:r w:rsidR="0064218E" w:rsidRPr="0064218E">
        <w:rPr>
          <w:i/>
          <w:iCs/>
          <w:color w:val="000000" w:themeColor="text1"/>
          <w:szCs w:val="24"/>
          <w:lang w:val="es-CO"/>
        </w:rPr>
        <w:t>José</w:t>
      </w:r>
      <w:r>
        <w:rPr>
          <w:iCs/>
          <w:color w:val="000000" w:themeColor="text1"/>
          <w:szCs w:val="24"/>
          <w:lang w:val="es-CO"/>
        </w:rPr>
        <w:t xml:space="preserve"> y 5 años en </w:t>
      </w:r>
      <w:r w:rsidRPr="0064218E">
        <w:rPr>
          <w:i/>
          <w:iCs/>
          <w:color w:val="000000" w:themeColor="text1"/>
          <w:szCs w:val="24"/>
          <w:lang w:val="es-CO"/>
        </w:rPr>
        <w:t>la 19</w:t>
      </w:r>
      <w:r>
        <w:rPr>
          <w:iCs/>
          <w:color w:val="000000" w:themeColor="text1"/>
          <w:szCs w:val="24"/>
          <w:lang w:val="es-CO"/>
        </w:rPr>
        <w:t xml:space="preserve">, sin recordar la dirección exacta o anexa de dichas viviendas. </w:t>
      </w:r>
      <w:r w:rsidR="0064218E">
        <w:rPr>
          <w:iCs/>
          <w:color w:val="000000" w:themeColor="text1"/>
          <w:szCs w:val="24"/>
          <w:lang w:val="es-CO"/>
        </w:rPr>
        <w:t>Agregó</w:t>
      </w:r>
      <w:r>
        <w:rPr>
          <w:iCs/>
          <w:color w:val="000000" w:themeColor="text1"/>
          <w:szCs w:val="24"/>
          <w:lang w:val="es-CO"/>
        </w:rPr>
        <w:t xml:space="preserve"> que entre el fallecimiento del cónyuge de la demandante</w:t>
      </w:r>
      <w:r w:rsidR="000E0EAC">
        <w:rPr>
          <w:iCs/>
          <w:color w:val="000000" w:themeColor="text1"/>
          <w:szCs w:val="24"/>
          <w:lang w:val="es-CO"/>
        </w:rPr>
        <w:t>, dos años después del terremoto</w:t>
      </w:r>
      <w:r w:rsidR="00F90668">
        <w:rPr>
          <w:iCs/>
          <w:color w:val="000000" w:themeColor="text1"/>
          <w:szCs w:val="24"/>
          <w:lang w:val="es-CO"/>
        </w:rPr>
        <w:t>,</w:t>
      </w:r>
      <w:r>
        <w:rPr>
          <w:iCs/>
          <w:color w:val="000000" w:themeColor="text1"/>
          <w:szCs w:val="24"/>
          <w:lang w:val="es-CO"/>
        </w:rPr>
        <w:t xml:space="preserve"> y el hito inicial de convivencia con el causante transcurrieron aproximadamente 6 años. </w:t>
      </w:r>
      <w:r w:rsidR="00F110A8">
        <w:rPr>
          <w:iCs/>
          <w:color w:val="000000" w:themeColor="text1"/>
          <w:szCs w:val="24"/>
          <w:lang w:val="es-CO"/>
        </w:rPr>
        <w:t>Por otro lado, relató que visitaba a la pareja en marras cada 15 días y que Evelio Ríos Muñoz murió en el Seguro Social, después de haber es</w:t>
      </w:r>
      <w:r w:rsidR="00F90668">
        <w:rPr>
          <w:iCs/>
          <w:color w:val="000000" w:themeColor="text1"/>
          <w:szCs w:val="24"/>
          <w:lang w:val="es-CO"/>
        </w:rPr>
        <w:t xml:space="preserve">tado hospitalizado varios días. </w:t>
      </w:r>
    </w:p>
    <w:p w:rsidR="00F90668" w:rsidRDefault="00F90668" w:rsidP="00F110A8">
      <w:pPr>
        <w:pStyle w:val="Textoindependiente"/>
        <w:spacing w:line="276" w:lineRule="auto"/>
        <w:contextualSpacing/>
        <w:rPr>
          <w:iCs/>
          <w:color w:val="000000" w:themeColor="text1"/>
          <w:szCs w:val="24"/>
          <w:lang w:val="es-CO"/>
        </w:rPr>
      </w:pPr>
    </w:p>
    <w:p w:rsidR="00F110A8" w:rsidRDefault="00F90668" w:rsidP="00F90668">
      <w:pPr>
        <w:pStyle w:val="Textoindependiente"/>
        <w:spacing w:line="276" w:lineRule="auto"/>
        <w:contextualSpacing/>
        <w:rPr>
          <w:iCs/>
          <w:color w:val="000000" w:themeColor="text1"/>
          <w:szCs w:val="24"/>
          <w:lang w:val="es-CO"/>
        </w:rPr>
      </w:pPr>
      <w:r>
        <w:rPr>
          <w:iCs/>
          <w:color w:val="000000" w:themeColor="text1"/>
          <w:szCs w:val="24"/>
          <w:lang w:val="es-CO"/>
        </w:rPr>
        <w:t>Esta última declaración también decae en su veracidad pues incurre en la misma contradicción encontrada para el testimonio de Gloria Cecilia Pérez Álvarez, máxime que de ninguna manera pudo precisar fechas concretas, y de hacerlo, ellas no serían coherentes, puesto que el cónyuge Roberto Ríos López falleció en el año 1999, época del terremoto, y no dos años después, y ni siquiera la pareja en marras se conoció 6 años con posterioridad a dicha época, pues desde el fallecimiento del cónyuge – 1999 - hasta que se inició la convivencia con el causante Evelio Ríos Muñoz -2001 -</w:t>
      </w:r>
      <w:r w:rsidR="00D4060D">
        <w:rPr>
          <w:iCs/>
          <w:color w:val="000000" w:themeColor="text1"/>
          <w:szCs w:val="24"/>
          <w:lang w:val="es-CO"/>
        </w:rPr>
        <w:t>, según la demandante</w:t>
      </w:r>
      <w:r>
        <w:rPr>
          <w:iCs/>
          <w:color w:val="000000" w:themeColor="text1"/>
          <w:szCs w:val="24"/>
          <w:lang w:val="es-CO"/>
        </w:rPr>
        <w:t xml:space="preserve">, solo </w:t>
      </w:r>
      <w:r w:rsidR="00D4060D">
        <w:rPr>
          <w:iCs/>
          <w:color w:val="000000" w:themeColor="text1"/>
          <w:szCs w:val="24"/>
          <w:lang w:val="es-CO"/>
        </w:rPr>
        <w:t>transcurrirían</w:t>
      </w:r>
      <w:r>
        <w:rPr>
          <w:iCs/>
          <w:color w:val="000000" w:themeColor="text1"/>
          <w:szCs w:val="24"/>
          <w:lang w:val="es-CO"/>
        </w:rPr>
        <w:t xml:space="preserve"> 2 años. </w:t>
      </w:r>
    </w:p>
    <w:p w:rsidR="00F110A8" w:rsidRDefault="00F110A8" w:rsidP="000166C5">
      <w:pPr>
        <w:pStyle w:val="Textoindependiente"/>
        <w:spacing w:line="276" w:lineRule="auto"/>
        <w:contextualSpacing/>
        <w:rPr>
          <w:iCs/>
          <w:color w:val="000000" w:themeColor="text1"/>
          <w:szCs w:val="24"/>
          <w:lang w:val="es-CO"/>
        </w:rPr>
      </w:pPr>
    </w:p>
    <w:p w:rsidR="00F110A8" w:rsidRDefault="00F90668" w:rsidP="00F110A8">
      <w:pPr>
        <w:pStyle w:val="Textoindependiente"/>
        <w:spacing w:line="276" w:lineRule="auto"/>
        <w:contextualSpacing/>
        <w:rPr>
          <w:iCs/>
          <w:color w:val="000000" w:themeColor="text1"/>
          <w:szCs w:val="24"/>
          <w:lang w:val="es-CO"/>
        </w:rPr>
      </w:pPr>
      <w:r>
        <w:rPr>
          <w:iCs/>
          <w:color w:val="000000" w:themeColor="text1"/>
          <w:szCs w:val="24"/>
          <w:lang w:val="es-CO"/>
        </w:rPr>
        <w:t>Puestas de este modo las cosas l</w:t>
      </w:r>
      <w:r w:rsidR="00F110A8">
        <w:rPr>
          <w:iCs/>
          <w:color w:val="000000" w:themeColor="text1"/>
          <w:szCs w:val="24"/>
          <w:lang w:val="es-CO"/>
        </w:rPr>
        <w:t xml:space="preserve">as anteriores declaraciones de ninguna manera ofrecen certeza a la Sala sobre el </w:t>
      </w:r>
      <w:r w:rsidR="0014067A">
        <w:rPr>
          <w:iCs/>
          <w:color w:val="000000" w:themeColor="text1"/>
          <w:szCs w:val="24"/>
          <w:lang w:val="es-CO"/>
        </w:rPr>
        <w:t>requisito de convivencia</w:t>
      </w:r>
      <w:r w:rsidR="00F110A8">
        <w:rPr>
          <w:iCs/>
          <w:color w:val="000000" w:themeColor="text1"/>
          <w:szCs w:val="24"/>
          <w:lang w:val="es-CO"/>
        </w:rPr>
        <w:t>, pues contienen en ellas más contr</w:t>
      </w:r>
      <w:r w:rsidR="0014067A">
        <w:rPr>
          <w:iCs/>
          <w:color w:val="000000" w:themeColor="text1"/>
          <w:szCs w:val="24"/>
          <w:lang w:val="es-CO"/>
        </w:rPr>
        <w:t xml:space="preserve">adicciones que hechos acertados </w:t>
      </w:r>
      <w:r w:rsidR="00F110A8">
        <w:rPr>
          <w:iCs/>
          <w:color w:val="000000" w:themeColor="text1"/>
          <w:szCs w:val="24"/>
          <w:lang w:val="es-CO"/>
        </w:rPr>
        <w:t xml:space="preserve">en cuanto a los extremos de la relación </w:t>
      </w:r>
      <w:r w:rsidR="006F7933">
        <w:rPr>
          <w:iCs/>
          <w:color w:val="000000" w:themeColor="text1"/>
          <w:szCs w:val="24"/>
          <w:lang w:val="es-CO"/>
        </w:rPr>
        <w:t>sentimental</w:t>
      </w:r>
      <w:r w:rsidR="00F110A8">
        <w:rPr>
          <w:iCs/>
          <w:color w:val="000000" w:themeColor="text1"/>
          <w:szCs w:val="24"/>
          <w:lang w:val="es-CO"/>
        </w:rPr>
        <w:t xml:space="preserve"> y los estertores de la vida del causante, </w:t>
      </w:r>
      <w:r w:rsidR="00765058">
        <w:rPr>
          <w:iCs/>
          <w:color w:val="000000" w:themeColor="text1"/>
          <w:szCs w:val="24"/>
          <w:lang w:val="es-CO"/>
        </w:rPr>
        <w:t>además que todas ellas concluyeron que la pareja convivió durante 9 años antes de la muerte de Evelio Ríos Muñoz, pero osaron en resaltar que los habían conocido como pareja hace 27 años</w:t>
      </w:r>
      <w:r w:rsidR="00D237D8">
        <w:rPr>
          <w:iCs/>
          <w:color w:val="000000" w:themeColor="text1"/>
          <w:szCs w:val="24"/>
          <w:lang w:val="es-CO"/>
        </w:rPr>
        <w:t>.</w:t>
      </w:r>
    </w:p>
    <w:p w:rsidR="00111681" w:rsidRDefault="00111681" w:rsidP="00F110A8">
      <w:pPr>
        <w:pStyle w:val="Textoindependiente"/>
        <w:spacing w:line="276" w:lineRule="auto"/>
        <w:contextualSpacing/>
        <w:rPr>
          <w:iCs/>
          <w:color w:val="000000" w:themeColor="text1"/>
          <w:szCs w:val="24"/>
          <w:lang w:val="es-CO"/>
        </w:rPr>
      </w:pPr>
    </w:p>
    <w:p w:rsidR="00111681" w:rsidRDefault="00111681" w:rsidP="00F110A8">
      <w:pPr>
        <w:pStyle w:val="Textoindependiente"/>
        <w:spacing w:line="276" w:lineRule="auto"/>
        <w:contextualSpacing/>
        <w:rPr>
          <w:iCs/>
          <w:color w:val="000000" w:themeColor="text1"/>
          <w:szCs w:val="24"/>
          <w:lang w:val="es-CO"/>
        </w:rPr>
      </w:pPr>
      <w:r>
        <w:rPr>
          <w:iCs/>
          <w:color w:val="000000" w:themeColor="text1"/>
          <w:szCs w:val="24"/>
          <w:lang w:val="es-CO"/>
        </w:rPr>
        <w:t xml:space="preserve">Testimonios que tampoco </w:t>
      </w:r>
      <w:r w:rsidR="0064218E">
        <w:rPr>
          <w:iCs/>
          <w:color w:val="000000" w:themeColor="text1"/>
          <w:szCs w:val="24"/>
          <w:lang w:val="es-CO"/>
        </w:rPr>
        <w:t>aparecen creíbles para la</w:t>
      </w:r>
      <w:r>
        <w:rPr>
          <w:iCs/>
          <w:color w:val="000000" w:themeColor="text1"/>
          <w:szCs w:val="24"/>
          <w:lang w:val="es-CO"/>
        </w:rPr>
        <w:t xml:space="preserve"> Sala, si se contrastan con la Resolución No. 666 del 24/02/2000 por medio de la cual, se concedió una pensión de sobrevivencia a la demandante con ocasión al fallecimiento del cónyuge Roberto Ríos López el 19/10/1999 (fl. 12 c. 1), en tanto que la pareja no pudo haber iniciado la convivencia hace 27 años, pues el cónyuge de la demandante apenas murió hace 20. </w:t>
      </w:r>
    </w:p>
    <w:p w:rsidR="00F110A8" w:rsidRDefault="00F110A8" w:rsidP="00F110A8">
      <w:pPr>
        <w:pStyle w:val="Textoindependiente"/>
        <w:spacing w:line="276" w:lineRule="auto"/>
        <w:contextualSpacing/>
        <w:rPr>
          <w:iCs/>
          <w:color w:val="000000" w:themeColor="text1"/>
          <w:szCs w:val="24"/>
          <w:lang w:val="es-CO"/>
        </w:rPr>
      </w:pPr>
    </w:p>
    <w:p w:rsidR="00F110A8" w:rsidRDefault="00F110A8" w:rsidP="00F110A8">
      <w:pPr>
        <w:pStyle w:val="Textoindependiente"/>
        <w:spacing w:line="276" w:lineRule="auto"/>
        <w:contextualSpacing/>
        <w:rPr>
          <w:iCs/>
          <w:color w:val="000000" w:themeColor="text1"/>
          <w:szCs w:val="24"/>
          <w:lang w:val="es-CO"/>
        </w:rPr>
      </w:pPr>
      <w:r>
        <w:rPr>
          <w:iCs/>
          <w:color w:val="000000" w:themeColor="text1"/>
          <w:szCs w:val="24"/>
          <w:lang w:val="es-CO"/>
        </w:rPr>
        <w:t xml:space="preserve">Además, de las declaraciones tampoco se desprende conocimiento alguno sobre la pretendida convivencia </w:t>
      </w:r>
      <w:r w:rsidR="00111681">
        <w:rPr>
          <w:iCs/>
          <w:color w:val="000000" w:themeColor="text1"/>
          <w:szCs w:val="24"/>
          <w:lang w:val="es-CO"/>
        </w:rPr>
        <w:t>hasta el óbito</w:t>
      </w:r>
      <w:r>
        <w:rPr>
          <w:iCs/>
          <w:color w:val="000000" w:themeColor="text1"/>
          <w:szCs w:val="24"/>
          <w:lang w:val="es-CO"/>
        </w:rPr>
        <w:t xml:space="preserve">, si en cuenta se tiene que en contraposición con lo narrado por la demandante, algunos </w:t>
      </w:r>
      <w:r w:rsidR="00111681">
        <w:rPr>
          <w:iCs/>
          <w:color w:val="000000" w:themeColor="text1"/>
          <w:szCs w:val="24"/>
          <w:lang w:val="es-CO"/>
        </w:rPr>
        <w:t xml:space="preserve">de los testigos </w:t>
      </w:r>
      <w:r>
        <w:rPr>
          <w:iCs/>
          <w:color w:val="000000" w:themeColor="text1"/>
          <w:szCs w:val="24"/>
          <w:lang w:val="es-CO"/>
        </w:rPr>
        <w:t>adujeron que el causante permaneció hospitalizado por varios meses y en una clínica diferente a la señalada por Marina Granada</w:t>
      </w:r>
      <w:r w:rsidR="00B86252">
        <w:rPr>
          <w:iCs/>
          <w:color w:val="000000" w:themeColor="text1"/>
          <w:szCs w:val="24"/>
          <w:lang w:val="es-CO"/>
        </w:rPr>
        <w:t xml:space="preserve"> al absolver el interrogatorio</w:t>
      </w:r>
      <w:r>
        <w:rPr>
          <w:iCs/>
          <w:color w:val="000000" w:themeColor="text1"/>
          <w:szCs w:val="24"/>
          <w:lang w:val="es-CO"/>
        </w:rPr>
        <w:t xml:space="preserve">. </w:t>
      </w:r>
    </w:p>
    <w:p w:rsidR="00F110A8" w:rsidRDefault="00F110A8" w:rsidP="00F110A8">
      <w:pPr>
        <w:pStyle w:val="Textoindependiente"/>
        <w:spacing w:line="276" w:lineRule="auto"/>
        <w:contextualSpacing/>
        <w:rPr>
          <w:iCs/>
          <w:color w:val="000000" w:themeColor="text1"/>
          <w:szCs w:val="24"/>
          <w:lang w:val="es-CO"/>
        </w:rPr>
      </w:pPr>
    </w:p>
    <w:p w:rsidR="00F110A8" w:rsidRDefault="00F110A8" w:rsidP="00F110A8">
      <w:pPr>
        <w:pStyle w:val="Textoindependiente"/>
        <w:spacing w:line="276" w:lineRule="auto"/>
        <w:contextualSpacing/>
        <w:rPr>
          <w:iCs/>
          <w:color w:val="000000" w:themeColor="text1"/>
          <w:szCs w:val="24"/>
          <w:lang w:val="es-CO"/>
        </w:rPr>
      </w:pPr>
      <w:r>
        <w:rPr>
          <w:iCs/>
          <w:color w:val="000000" w:themeColor="text1"/>
          <w:szCs w:val="24"/>
          <w:lang w:val="es-CO"/>
        </w:rPr>
        <w:t>Ahora, sino fuera suficiente lo anterior para dar al traste con la credibilidad de los anteriores testigos,</w:t>
      </w:r>
      <w:r w:rsidR="00695B70">
        <w:rPr>
          <w:iCs/>
          <w:color w:val="000000" w:themeColor="text1"/>
          <w:szCs w:val="24"/>
          <w:lang w:val="es-CO"/>
        </w:rPr>
        <w:t xml:space="preserve"> al ser comparados sus testimonios con</w:t>
      </w:r>
      <w:r>
        <w:rPr>
          <w:iCs/>
          <w:color w:val="000000" w:themeColor="text1"/>
          <w:szCs w:val="24"/>
          <w:lang w:val="es-CO"/>
        </w:rPr>
        <w:t xml:space="preserve"> las declaraciones </w:t>
      </w:r>
      <w:r w:rsidR="00695B70">
        <w:rPr>
          <w:iCs/>
          <w:color w:val="000000" w:themeColor="text1"/>
          <w:szCs w:val="24"/>
          <w:lang w:val="es-CO"/>
        </w:rPr>
        <w:t>extrajuicio rendidas por las mismas declarantes</w:t>
      </w:r>
      <w:r>
        <w:rPr>
          <w:iCs/>
          <w:color w:val="000000" w:themeColor="text1"/>
          <w:szCs w:val="24"/>
          <w:lang w:val="es-CO"/>
        </w:rPr>
        <w:t xml:space="preserve"> </w:t>
      </w:r>
      <w:r w:rsidRPr="0014067A">
        <w:rPr>
          <w:b/>
          <w:iCs/>
          <w:color w:val="000000" w:themeColor="text1"/>
          <w:szCs w:val="24"/>
          <w:lang w:val="es-CO"/>
        </w:rPr>
        <w:t>Dolly López</w:t>
      </w:r>
      <w:r>
        <w:rPr>
          <w:iCs/>
          <w:color w:val="000000" w:themeColor="text1"/>
          <w:szCs w:val="24"/>
          <w:lang w:val="es-CO"/>
        </w:rPr>
        <w:t xml:space="preserve"> y </w:t>
      </w:r>
      <w:r w:rsidRPr="0014067A">
        <w:rPr>
          <w:b/>
          <w:iCs/>
          <w:color w:val="000000" w:themeColor="text1"/>
          <w:szCs w:val="24"/>
          <w:lang w:val="es-CO"/>
        </w:rPr>
        <w:t>Luz Adriana Gallego Ospina</w:t>
      </w:r>
      <w:r>
        <w:rPr>
          <w:iCs/>
          <w:color w:val="000000" w:themeColor="text1"/>
          <w:szCs w:val="24"/>
          <w:lang w:val="es-CO"/>
        </w:rPr>
        <w:t>,</w:t>
      </w:r>
      <w:r w:rsidR="00695B70">
        <w:rPr>
          <w:iCs/>
          <w:color w:val="000000" w:themeColor="text1"/>
          <w:szCs w:val="24"/>
          <w:lang w:val="es-CO"/>
        </w:rPr>
        <w:t xml:space="preserve"> se desprende con mayor entidad las contradicciones incurridas, puesto que para las declaraciones realizadas el 20/01/2011 y el 26/07/2012 (fls. 22, 23 y 64 cd c. 1), las testigos anunciaron contrariamente</w:t>
      </w:r>
      <w:r w:rsidR="0014067A">
        <w:rPr>
          <w:iCs/>
          <w:color w:val="000000" w:themeColor="text1"/>
          <w:szCs w:val="24"/>
          <w:lang w:val="es-CO"/>
        </w:rPr>
        <w:t>,</w:t>
      </w:r>
      <w:r w:rsidR="00695B70">
        <w:rPr>
          <w:iCs/>
          <w:color w:val="000000" w:themeColor="text1"/>
          <w:szCs w:val="24"/>
          <w:lang w:val="es-CO"/>
        </w:rPr>
        <w:t xml:space="preserve"> </w:t>
      </w:r>
      <w:r w:rsidR="0014067A">
        <w:rPr>
          <w:iCs/>
          <w:color w:val="000000" w:themeColor="text1"/>
          <w:szCs w:val="24"/>
          <w:lang w:val="es-CO"/>
        </w:rPr>
        <w:t xml:space="preserve">en una, </w:t>
      </w:r>
      <w:r w:rsidR="00695B70">
        <w:rPr>
          <w:iCs/>
          <w:color w:val="000000" w:themeColor="text1"/>
          <w:szCs w:val="24"/>
          <w:lang w:val="es-CO"/>
        </w:rPr>
        <w:t xml:space="preserve">que conocían a la pareja desde hace más de 16 y 13 años, </w:t>
      </w:r>
      <w:r w:rsidR="0014067A">
        <w:rPr>
          <w:iCs/>
          <w:color w:val="000000" w:themeColor="text1"/>
          <w:szCs w:val="24"/>
          <w:lang w:val="es-CO"/>
        </w:rPr>
        <w:t>y en la otra,</w:t>
      </w:r>
      <w:r w:rsidR="00695B70">
        <w:rPr>
          <w:iCs/>
          <w:color w:val="000000" w:themeColor="text1"/>
          <w:szCs w:val="24"/>
          <w:lang w:val="es-CO"/>
        </w:rPr>
        <w:t xml:space="preserve"> más de 20 años, existiendo apenas una diferencia de un año entre las declaraciones rendidas</w:t>
      </w:r>
      <w:r w:rsidR="00B86252">
        <w:rPr>
          <w:iCs/>
          <w:color w:val="000000" w:themeColor="text1"/>
          <w:szCs w:val="24"/>
          <w:lang w:val="es-CO"/>
        </w:rPr>
        <w:t xml:space="preserve"> y en e</w:t>
      </w:r>
      <w:r w:rsidR="00695B70">
        <w:rPr>
          <w:iCs/>
          <w:color w:val="000000" w:themeColor="text1"/>
          <w:szCs w:val="24"/>
          <w:lang w:val="es-CO"/>
        </w:rPr>
        <w:t>se sentido</w:t>
      </w:r>
      <w:r w:rsidR="00B86252">
        <w:rPr>
          <w:iCs/>
          <w:color w:val="000000" w:themeColor="text1"/>
          <w:szCs w:val="24"/>
          <w:lang w:val="es-CO"/>
        </w:rPr>
        <w:t xml:space="preserve"> </w:t>
      </w:r>
      <w:r w:rsidR="00B86252">
        <w:rPr>
          <w:iCs/>
          <w:color w:val="000000" w:themeColor="text1"/>
          <w:szCs w:val="24"/>
          <w:lang w:val="es-CO"/>
        </w:rPr>
        <w:lastRenderedPageBreak/>
        <w:t xml:space="preserve">sus dichos aparecen </w:t>
      </w:r>
      <w:r w:rsidR="00695B70">
        <w:rPr>
          <w:iCs/>
          <w:color w:val="000000" w:themeColor="text1"/>
          <w:szCs w:val="24"/>
          <w:lang w:val="es-CO"/>
        </w:rPr>
        <w:t>contradictorios, todo ello al margen de la validez probatoria de dichas declaraciones.</w:t>
      </w:r>
    </w:p>
    <w:p w:rsidR="00B86252" w:rsidRDefault="00B86252" w:rsidP="00F110A8">
      <w:pPr>
        <w:pStyle w:val="Textoindependiente"/>
        <w:spacing w:line="276" w:lineRule="auto"/>
        <w:contextualSpacing/>
        <w:rPr>
          <w:iCs/>
          <w:color w:val="000000" w:themeColor="text1"/>
          <w:szCs w:val="24"/>
          <w:lang w:val="es-CO"/>
        </w:rPr>
      </w:pPr>
    </w:p>
    <w:p w:rsidR="00F110A8" w:rsidRDefault="00B86252" w:rsidP="00F110A8">
      <w:pPr>
        <w:pStyle w:val="Textoindependiente"/>
        <w:spacing w:line="276" w:lineRule="auto"/>
        <w:contextualSpacing/>
        <w:rPr>
          <w:iCs/>
          <w:color w:val="000000" w:themeColor="text1"/>
          <w:szCs w:val="24"/>
        </w:rPr>
      </w:pPr>
      <w:r>
        <w:rPr>
          <w:iCs/>
          <w:color w:val="000000" w:themeColor="text1"/>
          <w:szCs w:val="24"/>
          <w:lang w:val="es-CO"/>
        </w:rPr>
        <w:t xml:space="preserve">Tampoco contribuyen a cambiar el rumbo de la controversia </w:t>
      </w:r>
      <w:r w:rsidR="00F110A8">
        <w:rPr>
          <w:iCs/>
          <w:color w:val="000000" w:themeColor="text1"/>
          <w:szCs w:val="24"/>
          <w:lang w:val="es-CO"/>
        </w:rPr>
        <w:t>las declaraciones</w:t>
      </w:r>
      <w:r w:rsidR="00695B70">
        <w:rPr>
          <w:iCs/>
          <w:color w:val="000000" w:themeColor="text1"/>
          <w:szCs w:val="24"/>
          <w:lang w:val="es-CO"/>
        </w:rPr>
        <w:t xml:space="preserve"> extrajuicio</w:t>
      </w:r>
      <w:r w:rsidR="00F110A8">
        <w:rPr>
          <w:iCs/>
          <w:color w:val="000000" w:themeColor="text1"/>
          <w:szCs w:val="24"/>
          <w:lang w:val="es-CO"/>
        </w:rPr>
        <w:t xml:space="preserve"> de Gloria N</w:t>
      </w:r>
      <w:r w:rsidR="006F7933">
        <w:rPr>
          <w:iCs/>
          <w:color w:val="000000" w:themeColor="text1"/>
          <w:szCs w:val="24"/>
          <w:lang w:val="es-CO"/>
        </w:rPr>
        <w:t>ieto Osorio y José Abraham Corté</w:t>
      </w:r>
      <w:r w:rsidR="00F110A8">
        <w:rPr>
          <w:iCs/>
          <w:color w:val="000000" w:themeColor="text1"/>
          <w:szCs w:val="24"/>
          <w:lang w:val="es-CO"/>
        </w:rPr>
        <w:t xml:space="preserve">s </w:t>
      </w:r>
      <w:proofErr w:type="spellStart"/>
      <w:r w:rsidR="006F7933">
        <w:rPr>
          <w:iCs/>
          <w:color w:val="000000" w:themeColor="text1"/>
          <w:szCs w:val="24"/>
          <w:lang w:val="es-CO"/>
        </w:rPr>
        <w:t>Corté</w:t>
      </w:r>
      <w:r w:rsidR="00695B70">
        <w:rPr>
          <w:iCs/>
          <w:color w:val="000000" w:themeColor="text1"/>
          <w:szCs w:val="24"/>
          <w:lang w:val="es-CO"/>
        </w:rPr>
        <w:t>s</w:t>
      </w:r>
      <w:proofErr w:type="spellEnd"/>
      <w:r w:rsidR="00F110A8">
        <w:rPr>
          <w:iCs/>
          <w:color w:val="000000" w:themeColor="text1"/>
          <w:szCs w:val="24"/>
          <w:lang w:val="es-CO"/>
        </w:rPr>
        <w:t xml:space="preserve"> que anunciaron conocer a la pareja desde hace 6 y 16 años, y que convivieron durante 9 años (fl. 64 cd. C. 1)</w:t>
      </w:r>
      <w:r>
        <w:rPr>
          <w:iCs/>
          <w:color w:val="000000" w:themeColor="text1"/>
          <w:szCs w:val="24"/>
          <w:lang w:val="es-CO"/>
        </w:rPr>
        <w:t xml:space="preserve">, pues </w:t>
      </w:r>
      <w:r w:rsidR="00695B70">
        <w:rPr>
          <w:iCs/>
          <w:color w:val="000000" w:themeColor="text1"/>
          <w:szCs w:val="24"/>
          <w:lang w:val="es-CO"/>
        </w:rPr>
        <w:t>dicha documental c</w:t>
      </w:r>
      <w:r w:rsidR="006F7933">
        <w:rPr>
          <w:iCs/>
          <w:color w:val="000000" w:themeColor="text1"/>
          <w:szCs w:val="24"/>
        </w:rPr>
        <w:t>arece de mérito demostrativo, en tanto que p</w:t>
      </w:r>
      <w:r w:rsidR="00695B70">
        <w:rPr>
          <w:iCs/>
          <w:color w:val="000000" w:themeColor="text1"/>
          <w:szCs w:val="24"/>
        </w:rPr>
        <w:t>ara el momento en que se presentó la demanda el 13/08/2014 – fl. 28 c. 1 – gobernaba en materia probatoria el código de procedimiento civil, que limitaba los testimonios extra proceso con fines judiciales para el evento de estar en peligro de muerte el declarante</w:t>
      </w:r>
      <w:r w:rsidR="00695B70">
        <w:rPr>
          <w:rStyle w:val="Refdenotaalpie"/>
          <w:iCs/>
          <w:color w:val="000000" w:themeColor="text1"/>
          <w:szCs w:val="24"/>
        </w:rPr>
        <w:footnoteReference w:id="2"/>
      </w:r>
      <w:r w:rsidR="00695B70">
        <w:rPr>
          <w:iCs/>
          <w:color w:val="000000" w:themeColor="text1"/>
          <w:szCs w:val="24"/>
        </w:rPr>
        <w:t>; o como prueba sumaria en los casos permitidos en la ley, que no era este.</w:t>
      </w:r>
    </w:p>
    <w:p w:rsidR="00F110A8" w:rsidRDefault="00F110A8" w:rsidP="000166C5">
      <w:pPr>
        <w:pStyle w:val="Textoindependiente"/>
        <w:spacing w:line="276" w:lineRule="auto"/>
        <w:contextualSpacing/>
        <w:rPr>
          <w:iCs/>
          <w:color w:val="000000" w:themeColor="text1"/>
          <w:szCs w:val="24"/>
          <w:lang w:val="es-CO"/>
        </w:rPr>
      </w:pPr>
    </w:p>
    <w:p w:rsidR="0014067A" w:rsidRDefault="00695B70" w:rsidP="001C154A">
      <w:pPr>
        <w:pStyle w:val="Textoindependiente"/>
        <w:spacing w:line="276" w:lineRule="auto"/>
        <w:contextualSpacing/>
        <w:rPr>
          <w:iCs/>
          <w:color w:val="000000" w:themeColor="text1"/>
          <w:szCs w:val="24"/>
          <w:lang w:val="es-CO"/>
        </w:rPr>
      </w:pPr>
      <w:r>
        <w:rPr>
          <w:iCs/>
          <w:color w:val="000000" w:themeColor="text1"/>
          <w:szCs w:val="24"/>
          <w:lang w:val="es-CO"/>
        </w:rPr>
        <w:t>Y e</w:t>
      </w:r>
      <w:r w:rsidR="001C154A">
        <w:rPr>
          <w:iCs/>
          <w:color w:val="000000" w:themeColor="text1"/>
          <w:szCs w:val="24"/>
          <w:lang w:val="es-CO"/>
        </w:rPr>
        <w:t>n esa medida, cobra relevancia el expediente administrativo allegado por Colpensiones en el que se advierte que la vinculada Gloria Liliana Gómez Ríos pretendió la pens</w:t>
      </w:r>
      <w:r w:rsidR="006F7933">
        <w:rPr>
          <w:iCs/>
          <w:color w:val="000000" w:themeColor="text1"/>
          <w:szCs w:val="24"/>
          <w:lang w:val="es-CO"/>
        </w:rPr>
        <w:t>ión de sobrevivencia causada</w:t>
      </w:r>
      <w:r w:rsidR="001C154A">
        <w:rPr>
          <w:iCs/>
          <w:color w:val="000000" w:themeColor="text1"/>
          <w:szCs w:val="24"/>
          <w:lang w:val="es-CO"/>
        </w:rPr>
        <w:t xml:space="preserve"> Evelio Ríos Muñoz (fl. 64 cd c. 1), pero</w:t>
      </w:r>
      <w:r w:rsidR="0014067A">
        <w:rPr>
          <w:iCs/>
          <w:color w:val="000000" w:themeColor="text1"/>
          <w:szCs w:val="24"/>
          <w:lang w:val="es-CO"/>
        </w:rPr>
        <w:t xml:space="preserve"> que</w:t>
      </w:r>
      <w:r w:rsidR="001C154A">
        <w:rPr>
          <w:iCs/>
          <w:color w:val="000000" w:themeColor="text1"/>
          <w:szCs w:val="24"/>
          <w:lang w:val="es-CO"/>
        </w:rPr>
        <w:t xml:space="preserve"> en la investigación </w:t>
      </w:r>
      <w:r w:rsidR="0014067A">
        <w:rPr>
          <w:iCs/>
          <w:color w:val="000000" w:themeColor="text1"/>
          <w:szCs w:val="24"/>
          <w:lang w:val="es-CO"/>
        </w:rPr>
        <w:t xml:space="preserve">realizada </w:t>
      </w:r>
      <w:r w:rsidR="001C154A">
        <w:rPr>
          <w:iCs/>
          <w:color w:val="000000" w:themeColor="text1"/>
          <w:szCs w:val="24"/>
          <w:lang w:val="es-CO"/>
        </w:rPr>
        <w:t>se constató que la vinculada únicamente había presentado la solicitu</w:t>
      </w:r>
      <w:r w:rsidR="006F7933">
        <w:rPr>
          <w:iCs/>
          <w:color w:val="000000" w:themeColor="text1"/>
          <w:szCs w:val="24"/>
          <w:lang w:val="es-CO"/>
        </w:rPr>
        <w:t>d de reconocimiento pensional</w:t>
      </w:r>
      <w:r w:rsidR="001C154A">
        <w:rPr>
          <w:iCs/>
          <w:color w:val="000000" w:themeColor="text1"/>
          <w:szCs w:val="24"/>
          <w:lang w:val="es-CO"/>
        </w:rPr>
        <w:t xml:space="preserve"> causada por su tío, porque se enteró que la empleada doméstica de él – demandante Marina Granada – estaba pretendiendo dicha pensión; además señaló que su tío vivía en una casa hogar en Armenia</w:t>
      </w:r>
      <w:r w:rsidR="0014067A">
        <w:rPr>
          <w:iCs/>
          <w:color w:val="000000" w:themeColor="text1"/>
          <w:szCs w:val="24"/>
          <w:lang w:val="es-CO"/>
        </w:rPr>
        <w:t>, Quindío</w:t>
      </w:r>
      <w:r w:rsidR="001C154A">
        <w:rPr>
          <w:iCs/>
          <w:color w:val="000000" w:themeColor="text1"/>
          <w:szCs w:val="24"/>
          <w:lang w:val="es-CO"/>
        </w:rPr>
        <w:t xml:space="preserve"> (</w:t>
      </w:r>
      <w:r w:rsidR="001C154A" w:rsidRPr="001C154A">
        <w:rPr>
          <w:i/>
          <w:iCs/>
          <w:color w:val="000000" w:themeColor="text1"/>
          <w:szCs w:val="24"/>
          <w:lang w:val="es-CO"/>
        </w:rPr>
        <w:t>ibídem</w:t>
      </w:r>
      <w:r w:rsidR="0064218E">
        <w:rPr>
          <w:iCs/>
          <w:color w:val="000000" w:themeColor="text1"/>
          <w:szCs w:val="24"/>
          <w:lang w:val="es-CO"/>
        </w:rPr>
        <w:t xml:space="preserve">), última prueba que no se pudo recaudar a pesar de los esfuerzo de la juzgadora de instancia. </w:t>
      </w:r>
    </w:p>
    <w:p w:rsidR="0014067A" w:rsidRDefault="0014067A" w:rsidP="001C154A">
      <w:pPr>
        <w:pStyle w:val="Textoindependiente"/>
        <w:spacing w:line="276" w:lineRule="auto"/>
        <w:contextualSpacing/>
        <w:rPr>
          <w:iCs/>
          <w:color w:val="000000" w:themeColor="text1"/>
          <w:szCs w:val="24"/>
          <w:lang w:val="es-CO"/>
        </w:rPr>
      </w:pPr>
    </w:p>
    <w:p w:rsidR="0014067A" w:rsidRDefault="0014067A" w:rsidP="0014067A">
      <w:pPr>
        <w:pStyle w:val="Textoindependiente"/>
        <w:spacing w:line="276" w:lineRule="auto"/>
        <w:contextualSpacing/>
        <w:rPr>
          <w:iCs/>
          <w:color w:val="000000" w:themeColor="text1"/>
          <w:szCs w:val="24"/>
          <w:lang w:val="es-CO"/>
        </w:rPr>
      </w:pPr>
      <w:r>
        <w:rPr>
          <w:iCs/>
          <w:color w:val="000000" w:themeColor="text1"/>
          <w:szCs w:val="24"/>
        </w:rPr>
        <w:t>Puestas de ese modo las cosas, la demandante no acreditó que hubiese convivido con el causante Evelio Ríos Muñoz durante los últimos 5 años previos a su deceso, pues ninguna de las pruebas allegadas da cuenta de la convivencia requerida</w:t>
      </w:r>
      <w:r w:rsidR="006F7933">
        <w:rPr>
          <w:iCs/>
          <w:color w:val="000000" w:themeColor="text1"/>
          <w:szCs w:val="24"/>
        </w:rPr>
        <w:t xml:space="preserve"> por el tiempo exigido en la ley</w:t>
      </w:r>
      <w:r>
        <w:rPr>
          <w:iCs/>
          <w:color w:val="000000" w:themeColor="text1"/>
          <w:szCs w:val="24"/>
        </w:rPr>
        <w:t xml:space="preserve">, que por el contrario estuvo cubierta de contradicciones imposibles de dejar de lado para conceder el derecho pretendido. </w:t>
      </w:r>
    </w:p>
    <w:p w:rsidR="00DF1EB9" w:rsidRDefault="00DF1EB9" w:rsidP="006F68B0">
      <w:pPr>
        <w:pStyle w:val="Textoindependiente"/>
        <w:spacing w:line="276" w:lineRule="auto"/>
        <w:contextualSpacing/>
        <w:rPr>
          <w:iCs/>
          <w:color w:val="000000" w:themeColor="text1"/>
          <w:szCs w:val="24"/>
        </w:rPr>
      </w:pPr>
    </w:p>
    <w:p w:rsidR="00164682" w:rsidRDefault="00164682" w:rsidP="00164682">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164682" w:rsidRPr="00195300" w:rsidRDefault="00164682" w:rsidP="00164682">
      <w:pPr>
        <w:pStyle w:val="Sinespaciado"/>
        <w:spacing w:line="276" w:lineRule="auto"/>
        <w:jc w:val="center"/>
        <w:rPr>
          <w:rFonts w:ascii="Arial" w:hAnsi="Arial" w:cs="Arial"/>
          <w:b/>
          <w:sz w:val="24"/>
          <w:szCs w:val="24"/>
        </w:rPr>
      </w:pPr>
    </w:p>
    <w:p w:rsidR="009762C2" w:rsidRPr="009762C2" w:rsidRDefault="009762C2" w:rsidP="00164682">
      <w:pPr>
        <w:spacing w:line="276" w:lineRule="auto"/>
        <w:jc w:val="both"/>
        <w:rPr>
          <w:rFonts w:ascii="Arial" w:hAnsi="Arial" w:cs="Arial"/>
          <w:szCs w:val="24"/>
        </w:rPr>
      </w:pPr>
      <w:r>
        <w:rPr>
          <w:rFonts w:ascii="Arial" w:hAnsi="Arial" w:cs="Arial"/>
          <w:szCs w:val="24"/>
        </w:rPr>
        <w:t xml:space="preserve">A tono con lo expuesto, se confirmará la decisión </w:t>
      </w:r>
      <w:r w:rsidR="00255B2C">
        <w:rPr>
          <w:rFonts w:ascii="Arial" w:hAnsi="Arial" w:cs="Arial"/>
          <w:szCs w:val="24"/>
        </w:rPr>
        <w:t>apelada</w:t>
      </w:r>
      <w:r w:rsidR="0049737A">
        <w:rPr>
          <w:rFonts w:ascii="Arial" w:hAnsi="Arial" w:cs="Arial"/>
          <w:szCs w:val="24"/>
        </w:rPr>
        <w:t>.</w:t>
      </w:r>
      <w:r w:rsidR="00D44B80">
        <w:rPr>
          <w:rFonts w:ascii="Arial" w:hAnsi="Arial" w:cs="Arial"/>
          <w:szCs w:val="24"/>
        </w:rPr>
        <w:t xml:space="preserve"> </w:t>
      </w:r>
      <w:r w:rsidRPr="009762C2">
        <w:rPr>
          <w:rFonts w:ascii="Arial" w:hAnsi="Arial" w:cs="Arial"/>
          <w:szCs w:val="24"/>
        </w:rPr>
        <w:t>Costas en esta instancia a cargo de la parte actora a favor de la demandada</w:t>
      </w:r>
      <w:r w:rsidR="00B5625E">
        <w:rPr>
          <w:rFonts w:ascii="Arial" w:hAnsi="Arial" w:cs="Arial"/>
          <w:szCs w:val="24"/>
        </w:rPr>
        <w:t xml:space="preserve"> Colpensiones</w:t>
      </w:r>
      <w:r w:rsidR="00707783">
        <w:rPr>
          <w:rFonts w:ascii="Arial" w:hAnsi="Arial" w:cs="Arial"/>
          <w:szCs w:val="24"/>
        </w:rPr>
        <w:t>,</w:t>
      </w:r>
      <w:r w:rsidRPr="009762C2">
        <w:rPr>
          <w:rFonts w:ascii="Arial" w:hAnsi="Arial" w:cs="Arial"/>
          <w:szCs w:val="24"/>
        </w:rPr>
        <w:t xml:space="preserve"> al fracasar la alzada.</w:t>
      </w:r>
    </w:p>
    <w:p w:rsidR="0025740E" w:rsidRPr="00D578CB" w:rsidRDefault="0025740E" w:rsidP="00164682">
      <w:pPr>
        <w:spacing w:line="276" w:lineRule="auto"/>
        <w:jc w:val="both"/>
        <w:rPr>
          <w:rFonts w:ascii="Arial" w:hAnsi="Arial" w:cs="Arial"/>
          <w:szCs w:val="24"/>
        </w:rPr>
      </w:pPr>
    </w:p>
    <w:p w:rsidR="00164682" w:rsidRDefault="00164682" w:rsidP="00D44B80">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D44B80" w:rsidRPr="00D578CB" w:rsidRDefault="00D44B80" w:rsidP="00D44B80">
      <w:pPr>
        <w:pStyle w:val="Sinespaciado"/>
        <w:spacing w:line="276" w:lineRule="auto"/>
        <w:contextualSpacing/>
        <w:jc w:val="center"/>
        <w:rPr>
          <w:rFonts w:ascii="Arial" w:hAnsi="Arial" w:cs="Arial"/>
          <w:sz w:val="24"/>
          <w:szCs w:val="24"/>
        </w:rPr>
      </w:pPr>
    </w:p>
    <w:p w:rsidR="00164682" w:rsidRDefault="00521B34" w:rsidP="0016468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863EC0">
        <w:rPr>
          <w:rFonts w:ascii="Arial" w:hAnsi="Arial" w:cs="Arial"/>
          <w:b/>
          <w:sz w:val="24"/>
          <w:szCs w:val="24"/>
        </w:rPr>
        <w:t xml:space="preserve"> </w:t>
      </w:r>
      <w:r w:rsidR="00ED3E15">
        <w:rPr>
          <w:rFonts w:ascii="Arial" w:hAnsi="Arial" w:cs="Arial"/>
          <w:b/>
          <w:sz w:val="24"/>
          <w:szCs w:val="24"/>
        </w:rPr>
        <w:t>Segunda</w:t>
      </w:r>
      <w:r w:rsidR="00F60241">
        <w:rPr>
          <w:rFonts w:ascii="Arial" w:hAnsi="Arial" w:cs="Arial"/>
          <w:b/>
          <w:sz w:val="24"/>
          <w:szCs w:val="24"/>
        </w:rPr>
        <w:t xml:space="preserve"> </w:t>
      </w:r>
      <w:r>
        <w:rPr>
          <w:rFonts w:ascii="Arial" w:hAnsi="Arial" w:cs="Arial"/>
          <w:b/>
          <w:sz w:val="24"/>
          <w:szCs w:val="24"/>
        </w:rPr>
        <w:t xml:space="preserve">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w:t>
      </w:r>
      <w:r w:rsidR="005944F7">
        <w:rPr>
          <w:rFonts w:ascii="Arial" w:hAnsi="Arial" w:cs="Arial"/>
          <w:sz w:val="24"/>
          <w:szCs w:val="24"/>
        </w:rPr>
        <w:t>blica y por autoridad de la ley.</w:t>
      </w:r>
    </w:p>
    <w:p w:rsidR="005944F7" w:rsidRPr="00D578CB" w:rsidRDefault="005944F7" w:rsidP="00164682">
      <w:pPr>
        <w:pStyle w:val="Prrafodelista2"/>
        <w:spacing w:after="0"/>
        <w:ind w:left="0"/>
        <w:jc w:val="both"/>
        <w:rPr>
          <w:rFonts w:ascii="Arial" w:hAnsi="Arial" w:cs="Arial"/>
          <w:sz w:val="24"/>
          <w:szCs w:val="24"/>
        </w:rPr>
      </w:pPr>
    </w:p>
    <w:p w:rsidR="00164682" w:rsidRDefault="00164682" w:rsidP="00164682">
      <w:pPr>
        <w:spacing w:line="276" w:lineRule="auto"/>
        <w:contextualSpacing/>
        <w:jc w:val="center"/>
        <w:rPr>
          <w:rFonts w:ascii="Arial" w:hAnsi="Arial" w:cs="Arial"/>
          <w:b/>
          <w:szCs w:val="24"/>
        </w:rPr>
      </w:pPr>
      <w:r w:rsidRPr="00D578CB">
        <w:rPr>
          <w:rFonts w:ascii="Arial" w:hAnsi="Arial" w:cs="Arial"/>
          <w:b/>
          <w:szCs w:val="24"/>
        </w:rPr>
        <w:t>RESUELVE</w:t>
      </w:r>
    </w:p>
    <w:p w:rsidR="00633945" w:rsidRDefault="00633945" w:rsidP="00164682">
      <w:pPr>
        <w:spacing w:line="276" w:lineRule="auto"/>
        <w:contextualSpacing/>
        <w:jc w:val="center"/>
        <w:rPr>
          <w:rFonts w:ascii="Arial" w:hAnsi="Arial" w:cs="Arial"/>
          <w:b/>
          <w:szCs w:val="24"/>
        </w:rPr>
      </w:pPr>
    </w:p>
    <w:p w:rsidR="00633945" w:rsidRDefault="00633945" w:rsidP="00633945">
      <w:pPr>
        <w:widowControl w:val="0"/>
        <w:autoSpaceDE w:val="0"/>
        <w:autoSpaceDN w:val="0"/>
        <w:adjustRightInd w:val="0"/>
        <w:spacing w:line="276" w:lineRule="auto"/>
        <w:jc w:val="both"/>
        <w:rPr>
          <w:rFonts w:ascii="Arial" w:hAnsi="Arial" w:cs="Arial"/>
          <w:b/>
          <w:bCs/>
          <w:iCs/>
          <w:szCs w:val="24"/>
        </w:rPr>
      </w:pPr>
      <w:r w:rsidRPr="00402FFF">
        <w:rPr>
          <w:rFonts w:ascii="Arial" w:hAnsi="Arial" w:cs="Arial"/>
          <w:b/>
          <w:szCs w:val="24"/>
          <w:u w:val="single"/>
        </w:rPr>
        <w:t>PRIMERO</w:t>
      </w:r>
      <w:r w:rsidRPr="00402FFF">
        <w:rPr>
          <w:rFonts w:ascii="Arial" w:hAnsi="Arial" w:cs="Arial"/>
          <w:b/>
          <w:szCs w:val="24"/>
        </w:rPr>
        <w:t xml:space="preserve">: CONFIRMAR </w:t>
      </w:r>
      <w:r w:rsidRPr="00402FFF">
        <w:rPr>
          <w:rFonts w:ascii="Arial" w:hAnsi="Arial" w:cs="Arial"/>
          <w:szCs w:val="24"/>
        </w:rPr>
        <w:t xml:space="preserve">la sentencia proferida </w:t>
      </w:r>
      <w:r>
        <w:rPr>
          <w:rFonts w:ascii="Arial" w:hAnsi="Arial" w:cs="Arial"/>
          <w:szCs w:val="24"/>
        </w:rPr>
        <w:t>el 23</w:t>
      </w:r>
      <w:r w:rsidRPr="00344EB5">
        <w:rPr>
          <w:rFonts w:ascii="Arial" w:hAnsi="Arial" w:cs="Arial"/>
          <w:szCs w:val="24"/>
        </w:rPr>
        <w:t xml:space="preserve"> de </w:t>
      </w:r>
      <w:r>
        <w:rPr>
          <w:rFonts w:ascii="Arial" w:hAnsi="Arial" w:cs="Arial"/>
          <w:szCs w:val="24"/>
        </w:rPr>
        <w:t xml:space="preserve">mayo </w:t>
      </w:r>
      <w:r w:rsidRPr="00344EB5">
        <w:rPr>
          <w:rFonts w:ascii="Arial" w:hAnsi="Arial" w:cs="Arial"/>
          <w:szCs w:val="24"/>
        </w:rPr>
        <w:t>de 201</w:t>
      </w:r>
      <w:r>
        <w:rPr>
          <w:rFonts w:ascii="Arial" w:hAnsi="Arial" w:cs="Arial"/>
          <w:szCs w:val="24"/>
        </w:rPr>
        <w:t>8</w:t>
      </w:r>
      <w:r w:rsidRPr="00344EB5">
        <w:rPr>
          <w:rFonts w:ascii="Arial" w:hAnsi="Arial" w:cs="Arial"/>
          <w:szCs w:val="24"/>
        </w:rPr>
        <w:t xml:space="preserve">, por el Juzgado </w:t>
      </w:r>
      <w:r w:rsidRPr="00633945">
        <w:rPr>
          <w:rFonts w:ascii="Arial" w:hAnsi="Arial" w:cs="Arial"/>
          <w:szCs w:val="24"/>
        </w:rPr>
        <w:t>Segundo Laboral del Circuito de Pereira, dentro del proceso que promueve la señora Marina Granada contra la Administradora Colombiana de Pensiones</w:t>
      </w:r>
      <w:r>
        <w:rPr>
          <w:rFonts w:ascii="Arial" w:hAnsi="Arial" w:cs="Arial"/>
          <w:bCs/>
          <w:szCs w:val="24"/>
        </w:rPr>
        <w:t xml:space="preserve"> – </w:t>
      </w:r>
      <w:r>
        <w:rPr>
          <w:rFonts w:ascii="Arial" w:hAnsi="Arial" w:cs="Arial"/>
          <w:bCs/>
          <w:szCs w:val="24"/>
        </w:rPr>
        <w:lastRenderedPageBreak/>
        <w:t>Colpensiones -</w:t>
      </w:r>
      <w:r w:rsidRPr="00633945">
        <w:rPr>
          <w:rFonts w:ascii="Arial" w:hAnsi="Arial" w:cs="Arial"/>
          <w:bCs/>
          <w:szCs w:val="24"/>
        </w:rPr>
        <w:t>,</w:t>
      </w:r>
      <w:r w:rsidRPr="00633945">
        <w:rPr>
          <w:rFonts w:ascii="Arial" w:hAnsi="Arial" w:cs="Arial"/>
          <w:bCs/>
          <w:iCs/>
          <w:szCs w:val="24"/>
        </w:rPr>
        <w:t xml:space="preserve"> trámite al que se vinculó a la señora Gloria Liliana Gómez Ríos.</w:t>
      </w:r>
    </w:p>
    <w:p w:rsidR="00633945" w:rsidRDefault="00633945" w:rsidP="00633945">
      <w:pPr>
        <w:widowControl w:val="0"/>
        <w:autoSpaceDE w:val="0"/>
        <w:autoSpaceDN w:val="0"/>
        <w:adjustRightInd w:val="0"/>
        <w:spacing w:line="276" w:lineRule="auto"/>
        <w:jc w:val="both"/>
        <w:rPr>
          <w:rFonts w:ascii="Arial" w:hAnsi="Arial" w:cs="Arial"/>
          <w:bCs/>
          <w:iCs/>
          <w:szCs w:val="24"/>
        </w:rPr>
      </w:pPr>
    </w:p>
    <w:p w:rsidR="00633945" w:rsidRPr="00F05206" w:rsidRDefault="00633945" w:rsidP="00633945">
      <w:pPr>
        <w:widowControl w:val="0"/>
        <w:autoSpaceDE w:val="0"/>
        <w:autoSpaceDN w:val="0"/>
        <w:adjustRightInd w:val="0"/>
        <w:spacing w:line="276" w:lineRule="auto"/>
        <w:jc w:val="both"/>
        <w:rPr>
          <w:rFonts w:ascii="Arial" w:hAnsi="Arial" w:cs="Arial"/>
          <w:szCs w:val="24"/>
        </w:rPr>
      </w:pPr>
      <w:r w:rsidRPr="00402FFF">
        <w:rPr>
          <w:rFonts w:ascii="Arial" w:hAnsi="Arial" w:cs="Arial"/>
          <w:b/>
          <w:bCs/>
          <w:iCs/>
          <w:szCs w:val="24"/>
          <w:u w:val="single"/>
        </w:rPr>
        <w:t>SEGUNDO</w:t>
      </w:r>
      <w:r w:rsidRPr="00402FFF">
        <w:rPr>
          <w:rFonts w:ascii="Arial" w:hAnsi="Arial" w:cs="Arial"/>
          <w:b/>
          <w:bCs/>
          <w:iCs/>
          <w:szCs w:val="24"/>
        </w:rPr>
        <w:t xml:space="preserve">: </w:t>
      </w:r>
      <w:r w:rsidRPr="00F05206">
        <w:rPr>
          <w:rFonts w:ascii="Arial" w:hAnsi="Arial" w:cs="Arial"/>
          <w:b/>
          <w:szCs w:val="24"/>
        </w:rPr>
        <w:t>CONDENAR</w:t>
      </w:r>
      <w:r w:rsidRPr="00F05206">
        <w:rPr>
          <w:rFonts w:ascii="Arial" w:hAnsi="Arial" w:cs="Arial"/>
          <w:szCs w:val="24"/>
        </w:rPr>
        <w:t xml:space="preserve"> en costas en esta instancia a la parte recurrente en favor </w:t>
      </w:r>
      <w:r>
        <w:rPr>
          <w:rFonts w:ascii="Arial" w:hAnsi="Arial" w:cs="Arial"/>
          <w:szCs w:val="24"/>
        </w:rPr>
        <w:t>de la demandada Colpensiones</w:t>
      </w:r>
      <w:r w:rsidR="00B5625E">
        <w:rPr>
          <w:rFonts w:ascii="Arial" w:hAnsi="Arial" w:cs="Arial"/>
          <w:szCs w:val="24"/>
        </w:rPr>
        <w:t>.</w:t>
      </w:r>
    </w:p>
    <w:p w:rsidR="00164682" w:rsidRPr="00D578CB" w:rsidRDefault="00164682" w:rsidP="00164682">
      <w:pPr>
        <w:spacing w:line="276" w:lineRule="auto"/>
        <w:contextualSpacing/>
        <w:jc w:val="center"/>
        <w:rPr>
          <w:rFonts w:ascii="Arial" w:hAnsi="Arial" w:cs="Arial"/>
          <w:b/>
          <w:szCs w:val="24"/>
        </w:rPr>
      </w:pPr>
    </w:p>
    <w:p w:rsidR="00164682" w:rsidRDefault="00164682" w:rsidP="00164682">
      <w:pPr>
        <w:spacing w:line="276" w:lineRule="auto"/>
        <w:contextualSpacing/>
        <w:jc w:val="both"/>
        <w:rPr>
          <w:rFonts w:ascii="Arial" w:hAnsi="Arial" w:cs="Arial"/>
          <w:szCs w:val="24"/>
        </w:rPr>
      </w:pPr>
      <w:r w:rsidRPr="00A47C8D">
        <w:rPr>
          <w:rFonts w:ascii="Arial" w:hAnsi="Arial" w:cs="Arial"/>
          <w:szCs w:val="24"/>
        </w:rPr>
        <w:t>Notificación surtida en estrados.</w:t>
      </w:r>
    </w:p>
    <w:p w:rsidR="00164682" w:rsidRPr="00A47C8D" w:rsidRDefault="00164682" w:rsidP="00164682">
      <w:pPr>
        <w:spacing w:line="276" w:lineRule="auto"/>
        <w:contextualSpacing/>
        <w:jc w:val="both"/>
        <w:rPr>
          <w:rFonts w:ascii="Arial" w:hAnsi="Arial" w:cs="Arial"/>
          <w:szCs w:val="24"/>
        </w:rPr>
      </w:pPr>
    </w:p>
    <w:p w:rsidR="00164682" w:rsidRDefault="00164682" w:rsidP="00164682">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33945" w:rsidRDefault="00633945" w:rsidP="00164682">
      <w:pPr>
        <w:pStyle w:val="Textoindependiente"/>
        <w:spacing w:line="276" w:lineRule="auto"/>
        <w:contextualSpacing/>
        <w:rPr>
          <w:szCs w:val="24"/>
        </w:rPr>
      </w:pPr>
    </w:p>
    <w:p w:rsidR="00164682" w:rsidRDefault="00164682" w:rsidP="00D44B80">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633945" w:rsidRDefault="00633945" w:rsidP="00D44B80">
      <w:pPr>
        <w:widowControl w:val="0"/>
        <w:autoSpaceDE w:val="0"/>
        <w:autoSpaceDN w:val="0"/>
        <w:adjustRightInd w:val="0"/>
        <w:spacing w:line="276" w:lineRule="auto"/>
        <w:contextualSpacing/>
        <w:jc w:val="both"/>
        <w:rPr>
          <w:rFonts w:ascii="Arial" w:hAnsi="Arial" w:cs="Arial"/>
          <w:szCs w:val="24"/>
        </w:rPr>
      </w:pPr>
    </w:p>
    <w:p w:rsidR="00633945" w:rsidRDefault="00633945" w:rsidP="00D44B80">
      <w:pPr>
        <w:widowControl w:val="0"/>
        <w:autoSpaceDE w:val="0"/>
        <w:autoSpaceDN w:val="0"/>
        <w:adjustRightInd w:val="0"/>
        <w:spacing w:line="276" w:lineRule="auto"/>
        <w:contextualSpacing/>
        <w:jc w:val="both"/>
        <w:rPr>
          <w:rFonts w:ascii="Arial" w:hAnsi="Arial" w:cs="Arial"/>
          <w:szCs w:val="24"/>
        </w:rPr>
      </w:pPr>
    </w:p>
    <w:p w:rsidR="00633945" w:rsidRDefault="00633945" w:rsidP="00D44B80">
      <w:pPr>
        <w:widowControl w:val="0"/>
        <w:autoSpaceDE w:val="0"/>
        <w:autoSpaceDN w:val="0"/>
        <w:adjustRightInd w:val="0"/>
        <w:spacing w:line="276" w:lineRule="auto"/>
        <w:contextualSpacing/>
        <w:jc w:val="both"/>
        <w:rPr>
          <w:rFonts w:ascii="Arial" w:hAnsi="Arial" w:cs="Arial"/>
          <w:szCs w:val="24"/>
        </w:rPr>
      </w:pPr>
    </w:p>
    <w:p w:rsidR="00633945" w:rsidRDefault="00633945" w:rsidP="00D44B80">
      <w:pPr>
        <w:widowControl w:val="0"/>
        <w:autoSpaceDE w:val="0"/>
        <w:autoSpaceDN w:val="0"/>
        <w:adjustRightInd w:val="0"/>
        <w:spacing w:line="276" w:lineRule="auto"/>
        <w:contextualSpacing/>
        <w:jc w:val="both"/>
        <w:rPr>
          <w:rFonts w:ascii="Arial" w:hAnsi="Arial" w:cs="Arial"/>
          <w:szCs w:val="24"/>
        </w:rPr>
      </w:pPr>
    </w:p>
    <w:p w:rsidR="00633945" w:rsidRPr="00D578CB" w:rsidRDefault="00633945" w:rsidP="00D44B80">
      <w:pPr>
        <w:widowControl w:val="0"/>
        <w:autoSpaceDE w:val="0"/>
        <w:autoSpaceDN w:val="0"/>
        <w:adjustRightInd w:val="0"/>
        <w:spacing w:line="276" w:lineRule="auto"/>
        <w:contextualSpacing/>
        <w:jc w:val="both"/>
        <w:rPr>
          <w:rFonts w:ascii="Arial" w:hAnsi="Arial" w:cs="Arial"/>
          <w:szCs w:val="24"/>
          <w:lang w:val="es-ES"/>
        </w:rPr>
      </w:pPr>
    </w:p>
    <w:p w:rsidR="00164682" w:rsidRPr="00D578CB" w:rsidRDefault="00164682" w:rsidP="00164682">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64682" w:rsidRDefault="00164682" w:rsidP="00D44B80">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633945" w:rsidRDefault="00633945" w:rsidP="00D44B80">
      <w:pPr>
        <w:pStyle w:val="Sinespaciado"/>
        <w:spacing w:line="276" w:lineRule="auto"/>
        <w:contextualSpacing/>
        <w:jc w:val="center"/>
        <w:rPr>
          <w:rFonts w:ascii="Arial" w:hAnsi="Arial" w:cs="Arial"/>
          <w:sz w:val="24"/>
          <w:szCs w:val="24"/>
          <w:lang w:val="es-ES"/>
        </w:rPr>
      </w:pPr>
    </w:p>
    <w:p w:rsidR="00633945" w:rsidRDefault="00633945" w:rsidP="00D44B80">
      <w:pPr>
        <w:pStyle w:val="Sinespaciado"/>
        <w:spacing w:line="276" w:lineRule="auto"/>
        <w:contextualSpacing/>
        <w:jc w:val="center"/>
        <w:rPr>
          <w:rFonts w:ascii="Arial" w:hAnsi="Arial" w:cs="Arial"/>
          <w:sz w:val="24"/>
          <w:szCs w:val="24"/>
          <w:lang w:val="es-ES"/>
        </w:rPr>
      </w:pPr>
    </w:p>
    <w:p w:rsidR="00633945" w:rsidRDefault="00633945" w:rsidP="00D44B80">
      <w:pPr>
        <w:pStyle w:val="Sinespaciado"/>
        <w:spacing w:line="276" w:lineRule="auto"/>
        <w:contextualSpacing/>
        <w:jc w:val="center"/>
        <w:rPr>
          <w:rFonts w:ascii="Arial" w:hAnsi="Arial" w:cs="Arial"/>
          <w:sz w:val="24"/>
          <w:szCs w:val="24"/>
          <w:lang w:val="es-ES"/>
        </w:rPr>
      </w:pPr>
    </w:p>
    <w:p w:rsidR="00633945" w:rsidRDefault="00633945" w:rsidP="00D44B80">
      <w:pPr>
        <w:pStyle w:val="Sinespaciado"/>
        <w:spacing w:line="276" w:lineRule="auto"/>
        <w:contextualSpacing/>
        <w:jc w:val="center"/>
        <w:rPr>
          <w:rFonts w:ascii="Arial" w:hAnsi="Arial" w:cs="Arial"/>
          <w:sz w:val="24"/>
          <w:szCs w:val="24"/>
          <w:lang w:val="es-ES"/>
        </w:rPr>
      </w:pPr>
    </w:p>
    <w:p w:rsidR="00633945" w:rsidRDefault="00633945" w:rsidP="00D44B80">
      <w:pPr>
        <w:pStyle w:val="Sinespaciado"/>
        <w:spacing w:line="276" w:lineRule="auto"/>
        <w:contextualSpacing/>
        <w:jc w:val="center"/>
        <w:rPr>
          <w:rFonts w:ascii="Arial" w:hAnsi="Arial" w:cs="Arial"/>
          <w:b/>
          <w:bCs/>
          <w:iCs/>
          <w:sz w:val="23"/>
          <w:szCs w:val="23"/>
          <w:lang w:val="es-ES"/>
        </w:rPr>
      </w:pPr>
    </w:p>
    <w:p w:rsidR="00164682" w:rsidRPr="0045273B" w:rsidRDefault="00164682" w:rsidP="00164682">
      <w:pPr>
        <w:spacing w:line="276" w:lineRule="auto"/>
        <w:contextualSpacing/>
        <w:jc w:val="both"/>
        <w:rPr>
          <w:rFonts w:ascii="Arial" w:hAnsi="Arial" w:cs="Arial"/>
          <w:sz w:val="23"/>
          <w:szCs w:val="23"/>
          <w:lang w:val="es-ES"/>
        </w:rPr>
      </w:pPr>
      <w:r w:rsidRPr="0069334E">
        <w:rPr>
          <w:rFonts w:ascii="Arial" w:eastAsiaTheme="minorHAnsi" w:hAnsi="Arial" w:cs="Arial"/>
          <w:b/>
          <w:szCs w:val="24"/>
          <w:lang w:val="es-ES" w:eastAsia="en-US"/>
        </w:rPr>
        <w:t>JULIO CÉSAR SALAZAR MUÑOZ</w:t>
      </w:r>
      <w:r w:rsidR="0069334E">
        <w:rPr>
          <w:rFonts w:ascii="Arial" w:hAnsi="Arial" w:cs="Arial"/>
          <w:b/>
          <w:bCs/>
          <w:iCs/>
          <w:sz w:val="23"/>
          <w:szCs w:val="23"/>
          <w:lang w:val="es-ES"/>
        </w:rPr>
        <w:t xml:space="preserve">   </w:t>
      </w:r>
      <w:r w:rsidR="00633945">
        <w:rPr>
          <w:rFonts w:ascii="Arial" w:hAnsi="Arial" w:cs="Arial"/>
          <w:b/>
          <w:bCs/>
          <w:iCs/>
          <w:sz w:val="23"/>
          <w:szCs w:val="23"/>
          <w:lang w:val="es-ES"/>
        </w:rPr>
        <w:t xml:space="preserve">      </w:t>
      </w:r>
      <w:r w:rsidR="00633945">
        <w:rPr>
          <w:rFonts w:ascii="Arial" w:eastAsiaTheme="minorHAnsi" w:hAnsi="Arial" w:cs="Arial"/>
          <w:b/>
          <w:szCs w:val="24"/>
          <w:lang w:val="es-ES" w:eastAsia="en-US"/>
        </w:rPr>
        <w:t>FRANCISCO JAVIER TAMAYO TABARES</w:t>
      </w:r>
    </w:p>
    <w:p w:rsidR="00C74B79" w:rsidRDefault="00164682" w:rsidP="00707783">
      <w:pPr>
        <w:spacing w:line="276" w:lineRule="auto"/>
        <w:contextualSpacing/>
        <w:jc w:val="both"/>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ED62A3">
        <w:rPr>
          <w:rFonts w:ascii="Arial" w:hAnsi="Arial" w:cs="Arial"/>
          <w:sz w:val="23"/>
          <w:szCs w:val="23"/>
          <w:lang w:val="es-ES"/>
        </w:rPr>
        <w:tab/>
      </w:r>
      <w:r w:rsidR="00ED62A3">
        <w:rPr>
          <w:rFonts w:ascii="Arial" w:hAnsi="Arial" w:cs="Arial"/>
          <w:sz w:val="23"/>
          <w:szCs w:val="23"/>
          <w:lang w:val="es-ES"/>
        </w:rPr>
        <w:tab/>
      </w:r>
      <w:r w:rsidRPr="0045273B">
        <w:rPr>
          <w:rFonts w:ascii="Arial" w:hAnsi="Arial" w:cs="Arial"/>
          <w:sz w:val="23"/>
          <w:szCs w:val="23"/>
          <w:lang w:val="es-ES"/>
        </w:rPr>
        <w:t xml:space="preserve">             </w:t>
      </w:r>
      <w:r w:rsidR="00633945">
        <w:rPr>
          <w:rFonts w:ascii="Arial" w:hAnsi="Arial" w:cs="Arial"/>
          <w:sz w:val="23"/>
          <w:szCs w:val="23"/>
          <w:lang w:val="es-CO"/>
        </w:rPr>
        <w:t>Magistrado</w:t>
      </w:r>
      <w:r w:rsidR="00083982">
        <w:rPr>
          <w:rFonts w:ascii="Arial" w:hAnsi="Arial" w:cs="Arial"/>
          <w:sz w:val="23"/>
          <w:szCs w:val="23"/>
          <w:lang w:val="es-CO"/>
        </w:rPr>
        <w:tab/>
      </w:r>
      <w:r w:rsidR="00083982">
        <w:rPr>
          <w:rFonts w:ascii="Arial" w:hAnsi="Arial" w:cs="Arial"/>
          <w:sz w:val="23"/>
          <w:szCs w:val="23"/>
          <w:lang w:val="es-CO"/>
        </w:rPr>
        <w:tab/>
      </w:r>
      <w:r w:rsidR="00083982">
        <w:rPr>
          <w:rFonts w:ascii="Arial" w:hAnsi="Arial" w:cs="Arial"/>
          <w:sz w:val="23"/>
          <w:szCs w:val="23"/>
          <w:lang w:val="es-CO"/>
        </w:rPr>
        <w:tab/>
      </w:r>
      <w:bookmarkStart w:id="0" w:name="_GoBack"/>
      <w:bookmarkEnd w:id="0"/>
      <w:r w:rsidR="00083982">
        <w:rPr>
          <w:rFonts w:ascii="Arial" w:hAnsi="Arial" w:cs="Arial"/>
          <w:sz w:val="23"/>
          <w:szCs w:val="23"/>
          <w:lang w:val="es-CO"/>
        </w:rPr>
        <w:tab/>
      </w:r>
      <w:r w:rsidR="00083982">
        <w:rPr>
          <w:rFonts w:ascii="Arial" w:hAnsi="Arial" w:cs="Arial"/>
          <w:sz w:val="23"/>
          <w:szCs w:val="23"/>
          <w:lang w:val="es-CO"/>
        </w:rPr>
        <w:tab/>
      </w:r>
      <w:r w:rsidR="00083982">
        <w:rPr>
          <w:rFonts w:ascii="Arial" w:hAnsi="Arial" w:cs="Arial"/>
          <w:sz w:val="23"/>
          <w:szCs w:val="23"/>
          <w:lang w:val="es-CO"/>
        </w:rPr>
        <w:tab/>
        <w:t xml:space="preserve">          </w:t>
      </w:r>
    </w:p>
    <w:sectPr w:rsidR="00C74B79" w:rsidSect="00B802EA">
      <w:headerReference w:type="default" r:id="rId9"/>
      <w:footerReference w:type="even" r:id="rId10"/>
      <w:footerReference w:type="default" r:id="rId11"/>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A9" w:rsidRDefault="00635FA9" w:rsidP="00164682">
      <w:r>
        <w:separator/>
      </w:r>
    </w:p>
  </w:endnote>
  <w:endnote w:type="continuationSeparator" w:id="0">
    <w:p w:rsidR="00635FA9" w:rsidRDefault="00635FA9" w:rsidP="001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Default="003E0D1E" w:rsidP="00FB6CA2">
    <w:pPr>
      <w:pStyle w:val="Piedepgina"/>
      <w:framePr w:wrap="around" w:vAnchor="text" w:hAnchor="margin" w:xAlign="right" w:y="1"/>
      <w:rPr>
        <w:rStyle w:val="Nmerodepgina"/>
      </w:rPr>
    </w:pPr>
    <w:r>
      <w:rPr>
        <w:rStyle w:val="Nmerodepgina"/>
      </w:rPr>
      <w:fldChar w:fldCharType="begin"/>
    </w:r>
    <w:r w:rsidR="009A3955">
      <w:rPr>
        <w:rStyle w:val="Nmerodepgina"/>
      </w:rPr>
      <w:instrText xml:space="preserve">PAGE  </w:instrText>
    </w:r>
    <w:r>
      <w:rPr>
        <w:rStyle w:val="Nmerodepgina"/>
      </w:rPr>
      <w:fldChar w:fldCharType="end"/>
    </w:r>
  </w:p>
  <w:p w:rsidR="009A3955" w:rsidRDefault="009A3955" w:rsidP="00FB6C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Pr="00232C57" w:rsidRDefault="003E0D1E" w:rsidP="00FB6CA2">
    <w:pPr>
      <w:pStyle w:val="Piedepgina"/>
      <w:framePr w:wrap="around" w:vAnchor="text" w:hAnchor="margin" w:xAlign="right" w:y="1"/>
      <w:rPr>
        <w:rStyle w:val="Nmerodepgina"/>
        <w:rFonts w:ascii="Arial" w:hAnsi="Arial" w:cs="Arial"/>
        <w:sz w:val="20"/>
      </w:rPr>
    </w:pPr>
    <w:r w:rsidRPr="00232C57">
      <w:rPr>
        <w:rStyle w:val="Nmerodepgina"/>
        <w:rFonts w:ascii="Arial" w:hAnsi="Arial" w:cs="Arial"/>
        <w:sz w:val="20"/>
      </w:rPr>
      <w:fldChar w:fldCharType="begin"/>
    </w:r>
    <w:r w:rsidR="009A3955" w:rsidRPr="00232C57">
      <w:rPr>
        <w:rStyle w:val="Nmerodepgina"/>
        <w:rFonts w:ascii="Arial" w:hAnsi="Arial" w:cs="Arial"/>
        <w:sz w:val="20"/>
      </w:rPr>
      <w:instrText xml:space="preserve">PAGE  </w:instrText>
    </w:r>
    <w:r w:rsidRPr="00232C57">
      <w:rPr>
        <w:rStyle w:val="Nmerodepgina"/>
        <w:rFonts w:ascii="Arial" w:hAnsi="Arial" w:cs="Arial"/>
        <w:sz w:val="20"/>
      </w:rPr>
      <w:fldChar w:fldCharType="separate"/>
    </w:r>
    <w:r w:rsidR="00B802EA">
      <w:rPr>
        <w:rStyle w:val="Nmerodepgina"/>
        <w:rFonts w:ascii="Arial" w:hAnsi="Arial" w:cs="Arial"/>
        <w:noProof/>
        <w:sz w:val="20"/>
      </w:rPr>
      <w:t>8</w:t>
    </w:r>
    <w:r w:rsidRPr="00232C57">
      <w:rPr>
        <w:rStyle w:val="Nmerodepgina"/>
        <w:rFonts w:ascii="Arial" w:hAnsi="Arial" w:cs="Arial"/>
        <w:sz w:val="20"/>
      </w:rPr>
      <w:fldChar w:fldCharType="end"/>
    </w:r>
  </w:p>
  <w:p w:rsidR="009A3955" w:rsidRDefault="009A3955" w:rsidP="00FB6C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A9" w:rsidRDefault="00635FA9" w:rsidP="00164682">
      <w:r>
        <w:separator/>
      </w:r>
    </w:p>
  </w:footnote>
  <w:footnote w:type="continuationSeparator" w:id="0">
    <w:p w:rsidR="00635FA9" w:rsidRDefault="00635FA9" w:rsidP="00164682">
      <w:r>
        <w:continuationSeparator/>
      </w:r>
    </w:p>
  </w:footnote>
  <w:footnote w:id="1">
    <w:p w:rsidR="006C7C69" w:rsidRPr="00232C57" w:rsidRDefault="006C7C69" w:rsidP="00344EB5">
      <w:pPr>
        <w:pStyle w:val="Textonotapie"/>
        <w:rPr>
          <w:rFonts w:ascii="Arial" w:hAnsi="Arial" w:cs="Arial"/>
          <w:sz w:val="18"/>
          <w:szCs w:val="18"/>
          <w:lang w:val="es-CO"/>
        </w:rPr>
      </w:pPr>
      <w:r w:rsidRPr="00232C57">
        <w:rPr>
          <w:rStyle w:val="Refdenotaalpie"/>
          <w:rFonts w:ascii="Arial" w:hAnsi="Arial" w:cs="Arial"/>
          <w:sz w:val="18"/>
          <w:szCs w:val="18"/>
        </w:rPr>
        <w:footnoteRef/>
      </w:r>
      <w:r w:rsidRPr="00232C57">
        <w:rPr>
          <w:rFonts w:ascii="Arial" w:hAnsi="Arial" w:cs="Arial"/>
          <w:sz w:val="18"/>
          <w:szCs w:val="18"/>
        </w:rPr>
        <w:t xml:space="preserve"> Decisión reiterada en sentencia SL2653-2018 de 04-07-2018, </w:t>
      </w:r>
      <w:proofErr w:type="spellStart"/>
      <w:r w:rsidRPr="00232C57">
        <w:rPr>
          <w:rFonts w:ascii="Arial" w:hAnsi="Arial" w:cs="Arial"/>
          <w:sz w:val="18"/>
          <w:szCs w:val="18"/>
        </w:rPr>
        <w:t>Mp</w:t>
      </w:r>
      <w:proofErr w:type="spellEnd"/>
      <w:r w:rsidRPr="00232C57">
        <w:rPr>
          <w:rFonts w:ascii="Arial" w:hAnsi="Arial" w:cs="Arial"/>
          <w:sz w:val="18"/>
          <w:szCs w:val="18"/>
        </w:rPr>
        <w:t>. Ernesto Forero Vargas.</w:t>
      </w:r>
    </w:p>
  </w:footnote>
  <w:footnote w:id="2">
    <w:p w:rsidR="00695B70" w:rsidRPr="00232C57" w:rsidRDefault="00695B70" w:rsidP="00695B70">
      <w:pPr>
        <w:pStyle w:val="Textonotapie"/>
        <w:rPr>
          <w:rFonts w:ascii="Arial" w:hAnsi="Arial" w:cs="Arial"/>
          <w:sz w:val="18"/>
          <w:szCs w:val="18"/>
          <w:lang w:val="es-CO"/>
        </w:rPr>
      </w:pPr>
      <w:r w:rsidRPr="00232C57">
        <w:rPr>
          <w:rStyle w:val="Refdenotaalpie"/>
          <w:rFonts w:ascii="Arial" w:hAnsi="Arial" w:cs="Arial"/>
          <w:sz w:val="18"/>
          <w:szCs w:val="18"/>
        </w:rPr>
        <w:footnoteRef/>
      </w:r>
      <w:r w:rsidRPr="00232C57">
        <w:rPr>
          <w:rFonts w:ascii="Arial" w:hAnsi="Arial" w:cs="Arial"/>
          <w:sz w:val="18"/>
          <w:szCs w:val="18"/>
        </w:rPr>
        <w:t xml:space="preserve"> </w:t>
      </w:r>
      <w:r w:rsidRPr="00232C57">
        <w:rPr>
          <w:rFonts w:ascii="Arial" w:hAnsi="Arial" w:cs="Arial"/>
          <w:sz w:val="18"/>
          <w:szCs w:val="18"/>
          <w:lang w:val="es-CO"/>
        </w:rPr>
        <w:t xml:space="preserve">Art. 298 del C.P.C., modificado por el </w:t>
      </w:r>
      <w:proofErr w:type="spellStart"/>
      <w:r w:rsidRPr="00232C57">
        <w:rPr>
          <w:rFonts w:ascii="Arial" w:hAnsi="Arial" w:cs="Arial"/>
          <w:sz w:val="18"/>
          <w:szCs w:val="18"/>
          <w:lang w:val="es-CO"/>
        </w:rPr>
        <w:t>num</w:t>
      </w:r>
      <w:proofErr w:type="spellEnd"/>
      <w:r w:rsidRPr="00232C57">
        <w:rPr>
          <w:rFonts w:ascii="Arial" w:hAnsi="Arial" w:cs="Arial"/>
          <w:sz w:val="18"/>
          <w:szCs w:val="18"/>
          <w:lang w:val="es-CO"/>
        </w:rPr>
        <w:t>. 129 del art. 1º del D. 2282/89.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955" w:rsidRPr="00BB3FED" w:rsidRDefault="009A3955" w:rsidP="00FB6CA2">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A3955" w:rsidRPr="00BB3FED" w:rsidRDefault="009A3955" w:rsidP="00FB6CA2">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832443">
      <w:rPr>
        <w:rFonts w:ascii="Arial" w:hAnsi="Arial" w:cs="Arial"/>
        <w:sz w:val="18"/>
        <w:szCs w:val="18"/>
      </w:rPr>
      <w:t>2</w:t>
    </w:r>
    <w:r>
      <w:rPr>
        <w:rFonts w:ascii="Arial" w:hAnsi="Arial" w:cs="Arial"/>
        <w:sz w:val="18"/>
        <w:szCs w:val="18"/>
      </w:rPr>
      <w:t>-201</w:t>
    </w:r>
    <w:r w:rsidR="00E21A0A">
      <w:rPr>
        <w:rFonts w:ascii="Arial" w:hAnsi="Arial" w:cs="Arial"/>
        <w:sz w:val="18"/>
        <w:szCs w:val="18"/>
      </w:rPr>
      <w:t>4</w:t>
    </w:r>
    <w:r>
      <w:rPr>
        <w:rFonts w:ascii="Arial" w:hAnsi="Arial" w:cs="Arial"/>
        <w:sz w:val="18"/>
        <w:szCs w:val="18"/>
      </w:rPr>
      <w:t>-00</w:t>
    </w:r>
    <w:r w:rsidR="00E21A0A">
      <w:rPr>
        <w:rFonts w:ascii="Arial" w:hAnsi="Arial" w:cs="Arial"/>
        <w:sz w:val="18"/>
        <w:szCs w:val="18"/>
      </w:rPr>
      <w:t>490</w:t>
    </w:r>
    <w:r>
      <w:rPr>
        <w:rFonts w:ascii="Arial" w:hAnsi="Arial" w:cs="Arial"/>
        <w:sz w:val="18"/>
        <w:szCs w:val="18"/>
      </w:rPr>
      <w:t>-01</w:t>
    </w:r>
  </w:p>
  <w:p w:rsidR="00E21A0A" w:rsidRPr="00BB3FED" w:rsidRDefault="00E21A0A" w:rsidP="00832443">
    <w:pPr>
      <w:pStyle w:val="Encabezado"/>
      <w:jc w:val="center"/>
      <w:rPr>
        <w:rFonts w:ascii="Arial" w:hAnsi="Arial" w:cs="Arial"/>
        <w:sz w:val="18"/>
        <w:szCs w:val="18"/>
      </w:rPr>
    </w:pPr>
    <w:r>
      <w:rPr>
        <w:rFonts w:ascii="Arial" w:hAnsi="Arial" w:cs="Arial"/>
        <w:sz w:val="18"/>
        <w:szCs w:val="18"/>
      </w:rPr>
      <w:t>Marina Granada</w:t>
    </w:r>
    <w:r w:rsidR="00832443">
      <w:rPr>
        <w:rFonts w:ascii="Arial" w:hAnsi="Arial" w:cs="Arial"/>
        <w:sz w:val="18"/>
        <w:szCs w:val="18"/>
      </w:rPr>
      <w:t xml:space="preserve"> vs Colpensiones</w:t>
    </w:r>
    <w:r w:rsidR="003635BB">
      <w:rPr>
        <w:rFonts w:ascii="Arial" w:hAnsi="Arial" w:cs="Arial"/>
        <w:sz w:val="18"/>
        <w:szCs w:val="18"/>
      </w:rPr>
      <w:t xml:space="preserve"> y</w:t>
    </w:r>
    <w:r>
      <w:rPr>
        <w:rFonts w:ascii="Arial" w:hAnsi="Arial" w:cs="Arial"/>
        <w:sz w:val="18"/>
        <w:szCs w:val="18"/>
      </w:rPr>
      <w:t xml:space="preserve"> Gloria Liliana Gómez Ríos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201E"/>
    <w:multiLevelType w:val="hybridMultilevel"/>
    <w:tmpl w:val="BA943F4E"/>
    <w:lvl w:ilvl="0" w:tplc="E65CD89E">
      <w:start w:val="1"/>
      <w:numFmt w:val="decimal"/>
      <w:lvlText w:val="%1."/>
      <w:lvlJc w:val="left"/>
      <w:pPr>
        <w:ind w:left="1069"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CBF1C2C"/>
    <w:multiLevelType w:val="hybridMultilevel"/>
    <w:tmpl w:val="28CC84CA"/>
    <w:lvl w:ilvl="0" w:tplc="FF9E17C4">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16D2432"/>
    <w:multiLevelType w:val="multilevel"/>
    <w:tmpl w:val="9482A9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41F28BC"/>
    <w:multiLevelType w:val="hybridMultilevel"/>
    <w:tmpl w:val="56F6A70C"/>
    <w:lvl w:ilvl="0" w:tplc="CEA62B16">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82"/>
    <w:rsid w:val="000166C5"/>
    <w:rsid w:val="00032859"/>
    <w:rsid w:val="0003703B"/>
    <w:rsid w:val="00044010"/>
    <w:rsid w:val="00074F74"/>
    <w:rsid w:val="00076B8F"/>
    <w:rsid w:val="00080928"/>
    <w:rsid w:val="00083982"/>
    <w:rsid w:val="000878BB"/>
    <w:rsid w:val="000902F9"/>
    <w:rsid w:val="000A15A4"/>
    <w:rsid w:val="000A649B"/>
    <w:rsid w:val="000B21D2"/>
    <w:rsid w:val="000B23A2"/>
    <w:rsid w:val="000C4A2A"/>
    <w:rsid w:val="000C4EFC"/>
    <w:rsid w:val="000C6210"/>
    <w:rsid w:val="000C7504"/>
    <w:rsid w:val="000D2915"/>
    <w:rsid w:val="000D65B7"/>
    <w:rsid w:val="000E0EAC"/>
    <w:rsid w:val="000E22B4"/>
    <w:rsid w:val="000E7139"/>
    <w:rsid w:val="000F17E3"/>
    <w:rsid w:val="000F4CCA"/>
    <w:rsid w:val="001025AF"/>
    <w:rsid w:val="001065EE"/>
    <w:rsid w:val="00111681"/>
    <w:rsid w:val="00113383"/>
    <w:rsid w:val="001247D5"/>
    <w:rsid w:val="00131256"/>
    <w:rsid w:val="001352D5"/>
    <w:rsid w:val="0013598A"/>
    <w:rsid w:val="00135A9D"/>
    <w:rsid w:val="0014067A"/>
    <w:rsid w:val="00152696"/>
    <w:rsid w:val="00157F8D"/>
    <w:rsid w:val="001619AC"/>
    <w:rsid w:val="00164682"/>
    <w:rsid w:val="00174439"/>
    <w:rsid w:val="00187581"/>
    <w:rsid w:val="001976B9"/>
    <w:rsid w:val="001A0EB8"/>
    <w:rsid w:val="001A7BA7"/>
    <w:rsid w:val="001C154A"/>
    <w:rsid w:val="001C5ADB"/>
    <w:rsid w:val="001C6072"/>
    <w:rsid w:val="001D10F4"/>
    <w:rsid w:val="001D1727"/>
    <w:rsid w:val="001D5609"/>
    <w:rsid w:val="001D7C94"/>
    <w:rsid w:val="001E0E68"/>
    <w:rsid w:val="001E2999"/>
    <w:rsid w:val="001E3925"/>
    <w:rsid w:val="00202457"/>
    <w:rsid w:val="002027AD"/>
    <w:rsid w:val="00213C70"/>
    <w:rsid w:val="002141A8"/>
    <w:rsid w:val="00214E69"/>
    <w:rsid w:val="0022221C"/>
    <w:rsid w:val="00223B9A"/>
    <w:rsid w:val="002241A8"/>
    <w:rsid w:val="00227D1A"/>
    <w:rsid w:val="00232C57"/>
    <w:rsid w:val="00242971"/>
    <w:rsid w:val="00246F05"/>
    <w:rsid w:val="0025298C"/>
    <w:rsid w:val="00254F42"/>
    <w:rsid w:val="00255B2C"/>
    <w:rsid w:val="0025740E"/>
    <w:rsid w:val="00265003"/>
    <w:rsid w:val="0027078B"/>
    <w:rsid w:val="00271AD1"/>
    <w:rsid w:val="00277EF8"/>
    <w:rsid w:val="00280F72"/>
    <w:rsid w:val="00281E6E"/>
    <w:rsid w:val="0028372E"/>
    <w:rsid w:val="00295377"/>
    <w:rsid w:val="002A0D62"/>
    <w:rsid w:val="002A196B"/>
    <w:rsid w:val="002A2FC2"/>
    <w:rsid w:val="002A314F"/>
    <w:rsid w:val="002B27EF"/>
    <w:rsid w:val="002B2C49"/>
    <w:rsid w:val="002B646B"/>
    <w:rsid w:val="002C5D7A"/>
    <w:rsid w:val="002D665C"/>
    <w:rsid w:val="0030735D"/>
    <w:rsid w:val="00310232"/>
    <w:rsid w:val="00334CBC"/>
    <w:rsid w:val="00334E80"/>
    <w:rsid w:val="00335A81"/>
    <w:rsid w:val="0034151D"/>
    <w:rsid w:val="00344EB5"/>
    <w:rsid w:val="00346E32"/>
    <w:rsid w:val="00362783"/>
    <w:rsid w:val="003635BB"/>
    <w:rsid w:val="003657CB"/>
    <w:rsid w:val="00370CDA"/>
    <w:rsid w:val="00376C7F"/>
    <w:rsid w:val="00390F38"/>
    <w:rsid w:val="00391CFB"/>
    <w:rsid w:val="00395D93"/>
    <w:rsid w:val="003B23E0"/>
    <w:rsid w:val="003B7DF9"/>
    <w:rsid w:val="003C4516"/>
    <w:rsid w:val="003C7F5D"/>
    <w:rsid w:val="003D0321"/>
    <w:rsid w:val="003D2E6C"/>
    <w:rsid w:val="003D43FF"/>
    <w:rsid w:val="003D59FB"/>
    <w:rsid w:val="003E0D1E"/>
    <w:rsid w:val="003E4DA3"/>
    <w:rsid w:val="003F50CC"/>
    <w:rsid w:val="00424CC9"/>
    <w:rsid w:val="00427BC9"/>
    <w:rsid w:val="00435192"/>
    <w:rsid w:val="00442340"/>
    <w:rsid w:val="00450684"/>
    <w:rsid w:val="00450BD9"/>
    <w:rsid w:val="004514CD"/>
    <w:rsid w:val="00460F16"/>
    <w:rsid w:val="00464CE0"/>
    <w:rsid w:val="004675C2"/>
    <w:rsid w:val="004851DC"/>
    <w:rsid w:val="00485B3B"/>
    <w:rsid w:val="00485C05"/>
    <w:rsid w:val="00490AB1"/>
    <w:rsid w:val="0049737A"/>
    <w:rsid w:val="004B6559"/>
    <w:rsid w:val="004C0B86"/>
    <w:rsid w:val="004C282D"/>
    <w:rsid w:val="004C4C94"/>
    <w:rsid w:val="004C5463"/>
    <w:rsid w:val="004D1A5C"/>
    <w:rsid w:val="004D5B76"/>
    <w:rsid w:val="004E14A4"/>
    <w:rsid w:val="004E2182"/>
    <w:rsid w:val="004E5A10"/>
    <w:rsid w:val="004F06EB"/>
    <w:rsid w:val="004F39C7"/>
    <w:rsid w:val="00507DEE"/>
    <w:rsid w:val="00515B3D"/>
    <w:rsid w:val="00521B34"/>
    <w:rsid w:val="00523BBD"/>
    <w:rsid w:val="00524091"/>
    <w:rsid w:val="00525C70"/>
    <w:rsid w:val="00530BB5"/>
    <w:rsid w:val="00530C5E"/>
    <w:rsid w:val="00535B2B"/>
    <w:rsid w:val="00542C53"/>
    <w:rsid w:val="00546808"/>
    <w:rsid w:val="00547893"/>
    <w:rsid w:val="005511A1"/>
    <w:rsid w:val="00566D1E"/>
    <w:rsid w:val="00572255"/>
    <w:rsid w:val="00575751"/>
    <w:rsid w:val="00576043"/>
    <w:rsid w:val="0057671C"/>
    <w:rsid w:val="00582A7A"/>
    <w:rsid w:val="00584890"/>
    <w:rsid w:val="0058526A"/>
    <w:rsid w:val="00592A0B"/>
    <w:rsid w:val="005944F7"/>
    <w:rsid w:val="00596DF9"/>
    <w:rsid w:val="005A6CC5"/>
    <w:rsid w:val="005C3C81"/>
    <w:rsid w:val="005C5CC1"/>
    <w:rsid w:val="005D039F"/>
    <w:rsid w:val="005E75E3"/>
    <w:rsid w:val="005F050E"/>
    <w:rsid w:val="005F0D1C"/>
    <w:rsid w:val="005F18AD"/>
    <w:rsid w:val="005F56D4"/>
    <w:rsid w:val="0060164A"/>
    <w:rsid w:val="006045C4"/>
    <w:rsid w:val="00633945"/>
    <w:rsid w:val="00635FA9"/>
    <w:rsid w:val="0064218E"/>
    <w:rsid w:val="00657C11"/>
    <w:rsid w:val="006645F0"/>
    <w:rsid w:val="00671226"/>
    <w:rsid w:val="00682092"/>
    <w:rsid w:val="00683A4E"/>
    <w:rsid w:val="00683FEE"/>
    <w:rsid w:val="006910A8"/>
    <w:rsid w:val="006914B5"/>
    <w:rsid w:val="0069334E"/>
    <w:rsid w:val="006935E3"/>
    <w:rsid w:val="0069501D"/>
    <w:rsid w:val="0069503F"/>
    <w:rsid w:val="00695B70"/>
    <w:rsid w:val="006A52C9"/>
    <w:rsid w:val="006B1794"/>
    <w:rsid w:val="006B29DB"/>
    <w:rsid w:val="006B3B8D"/>
    <w:rsid w:val="006B45D4"/>
    <w:rsid w:val="006C4875"/>
    <w:rsid w:val="006C7C69"/>
    <w:rsid w:val="006D4B1B"/>
    <w:rsid w:val="006D4D7E"/>
    <w:rsid w:val="006D4F8E"/>
    <w:rsid w:val="006D6803"/>
    <w:rsid w:val="006E15A8"/>
    <w:rsid w:val="006E58F7"/>
    <w:rsid w:val="006E5E02"/>
    <w:rsid w:val="006E7547"/>
    <w:rsid w:val="006F65B3"/>
    <w:rsid w:val="006F68B0"/>
    <w:rsid w:val="006F7933"/>
    <w:rsid w:val="00705705"/>
    <w:rsid w:val="00707783"/>
    <w:rsid w:val="00716D4B"/>
    <w:rsid w:val="00732283"/>
    <w:rsid w:val="00753B19"/>
    <w:rsid w:val="00754E05"/>
    <w:rsid w:val="007559F6"/>
    <w:rsid w:val="00765058"/>
    <w:rsid w:val="007740D1"/>
    <w:rsid w:val="00782F78"/>
    <w:rsid w:val="0079116F"/>
    <w:rsid w:val="007A0D49"/>
    <w:rsid w:val="007B0A46"/>
    <w:rsid w:val="007B4767"/>
    <w:rsid w:val="007B4B77"/>
    <w:rsid w:val="007C45A6"/>
    <w:rsid w:val="007D41BC"/>
    <w:rsid w:val="007E136D"/>
    <w:rsid w:val="007E421D"/>
    <w:rsid w:val="007F6BA3"/>
    <w:rsid w:val="008011A3"/>
    <w:rsid w:val="0082480E"/>
    <w:rsid w:val="008258CB"/>
    <w:rsid w:val="00832443"/>
    <w:rsid w:val="00845AD5"/>
    <w:rsid w:val="00845B3A"/>
    <w:rsid w:val="00851C95"/>
    <w:rsid w:val="00863EC0"/>
    <w:rsid w:val="00874ED3"/>
    <w:rsid w:val="00886302"/>
    <w:rsid w:val="0089505A"/>
    <w:rsid w:val="0089553A"/>
    <w:rsid w:val="00896F6D"/>
    <w:rsid w:val="008A523F"/>
    <w:rsid w:val="008A63B7"/>
    <w:rsid w:val="008B0E3C"/>
    <w:rsid w:val="008B3364"/>
    <w:rsid w:val="008C21FE"/>
    <w:rsid w:val="008C4910"/>
    <w:rsid w:val="008D58F4"/>
    <w:rsid w:val="008D7459"/>
    <w:rsid w:val="008E05C5"/>
    <w:rsid w:val="008F325B"/>
    <w:rsid w:val="00903C8E"/>
    <w:rsid w:val="00905D06"/>
    <w:rsid w:val="00916415"/>
    <w:rsid w:val="00922A5E"/>
    <w:rsid w:val="00924DBD"/>
    <w:rsid w:val="00927C5F"/>
    <w:rsid w:val="00961EF3"/>
    <w:rsid w:val="00962952"/>
    <w:rsid w:val="009762C2"/>
    <w:rsid w:val="00976B3A"/>
    <w:rsid w:val="00991B51"/>
    <w:rsid w:val="00992C1A"/>
    <w:rsid w:val="00994BAA"/>
    <w:rsid w:val="00995DEA"/>
    <w:rsid w:val="00996EE8"/>
    <w:rsid w:val="009A3955"/>
    <w:rsid w:val="009C0535"/>
    <w:rsid w:val="009C0ADE"/>
    <w:rsid w:val="009C1371"/>
    <w:rsid w:val="009F3803"/>
    <w:rsid w:val="00A00D47"/>
    <w:rsid w:val="00A03033"/>
    <w:rsid w:val="00A04456"/>
    <w:rsid w:val="00A0676A"/>
    <w:rsid w:val="00A07EF9"/>
    <w:rsid w:val="00A1550A"/>
    <w:rsid w:val="00A17C41"/>
    <w:rsid w:val="00A31E6B"/>
    <w:rsid w:val="00A42330"/>
    <w:rsid w:val="00A60EA8"/>
    <w:rsid w:val="00A64BFD"/>
    <w:rsid w:val="00A64D84"/>
    <w:rsid w:val="00A67693"/>
    <w:rsid w:val="00A704B9"/>
    <w:rsid w:val="00A70C4E"/>
    <w:rsid w:val="00A7391D"/>
    <w:rsid w:val="00A75423"/>
    <w:rsid w:val="00A766FB"/>
    <w:rsid w:val="00A82577"/>
    <w:rsid w:val="00A90C0A"/>
    <w:rsid w:val="00A93090"/>
    <w:rsid w:val="00AA585C"/>
    <w:rsid w:val="00AC096D"/>
    <w:rsid w:val="00AC6845"/>
    <w:rsid w:val="00AD01B4"/>
    <w:rsid w:val="00AD0D49"/>
    <w:rsid w:val="00AD3823"/>
    <w:rsid w:val="00AD3FD7"/>
    <w:rsid w:val="00AE2711"/>
    <w:rsid w:val="00AE7BC4"/>
    <w:rsid w:val="00AF21F1"/>
    <w:rsid w:val="00B00855"/>
    <w:rsid w:val="00B026A5"/>
    <w:rsid w:val="00B1649D"/>
    <w:rsid w:val="00B20074"/>
    <w:rsid w:val="00B20447"/>
    <w:rsid w:val="00B24939"/>
    <w:rsid w:val="00B3703C"/>
    <w:rsid w:val="00B37383"/>
    <w:rsid w:val="00B516C2"/>
    <w:rsid w:val="00B52AFE"/>
    <w:rsid w:val="00B530AC"/>
    <w:rsid w:val="00B5625E"/>
    <w:rsid w:val="00B6280A"/>
    <w:rsid w:val="00B802EA"/>
    <w:rsid w:val="00B8242D"/>
    <w:rsid w:val="00B832B9"/>
    <w:rsid w:val="00B84C9B"/>
    <w:rsid w:val="00B86252"/>
    <w:rsid w:val="00B936CB"/>
    <w:rsid w:val="00B93C72"/>
    <w:rsid w:val="00BA5CEF"/>
    <w:rsid w:val="00BC09C2"/>
    <w:rsid w:val="00BC31F8"/>
    <w:rsid w:val="00BF2033"/>
    <w:rsid w:val="00C076C0"/>
    <w:rsid w:val="00C11CF7"/>
    <w:rsid w:val="00C15681"/>
    <w:rsid w:val="00C17CBD"/>
    <w:rsid w:val="00C20D78"/>
    <w:rsid w:val="00C22B1D"/>
    <w:rsid w:val="00C251A2"/>
    <w:rsid w:val="00C40A53"/>
    <w:rsid w:val="00C54F78"/>
    <w:rsid w:val="00C57E5A"/>
    <w:rsid w:val="00C60DB3"/>
    <w:rsid w:val="00C65408"/>
    <w:rsid w:val="00C65748"/>
    <w:rsid w:val="00C74B79"/>
    <w:rsid w:val="00C94AB9"/>
    <w:rsid w:val="00CB19CB"/>
    <w:rsid w:val="00CB2CE7"/>
    <w:rsid w:val="00CB73DF"/>
    <w:rsid w:val="00CC119C"/>
    <w:rsid w:val="00CD1C40"/>
    <w:rsid w:val="00CD74C4"/>
    <w:rsid w:val="00CE10BE"/>
    <w:rsid w:val="00CE234F"/>
    <w:rsid w:val="00CF0C88"/>
    <w:rsid w:val="00CF1A30"/>
    <w:rsid w:val="00CF244B"/>
    <w:rsid w:val="00CF5C66"/>
    <w:rsid w:val="00D02FFE"/>
    <w:rsid w:val="00D03137"/>
    <w:rsid w:val="00D11526"/>
    <w:rsid w:val="00D17941"/>
    <w:rsid w:val="00D209D2"/>
    <w:rsid w:val="00D224B1"/>
    <w:rsid w:val="00D237D8"/>
    <w:rsid w:val="00D25A7B"/>
    <w:rsid w:val="00D301D2"/>
    <w:rsid w:val="00D3249F"/>
    <w:rsid w:val="00D34594"/>
    <w:rsid w:val="00D40207"/>
    <w:rsid w:val="00D4060D"/>
    <w:rsid w:val="00D44B80"/>
    <w:rsid w:val="00D46376"/>
    <w:rsid w:val="00D47A5D"/>
    <w:rsid w:val="00D56852"/>
    <w:rsid w:val="00D67628"/>
    <w:rsid w:val="00D713B2"/>
    <w:rsid w:val="00D86C17"/>
    <w:rsid w:val="00D974D9"/>
    <w:rsid w:val="00DB198B"/>
    <w:rsid w:val="00DB2DD8"/>
    <w:rsid w:val="00DB7996"/>
    <w:rsid w:val="00DC109D"/>
    <w:rsid w:val="00DC5E95"/>
    <w:rsid w:val="00DC7CE4"/>
    <w:rsid w:val="00DD7A7B"/>
    <w:rsid w:val="00DE541E"/>
    <w:rsid w:val="00DF1EB9"/>
    <w:rsid w:val="00DF70C7"/>
    <w:rsid w:val="00E00FA9"/>
    <w:rsid w:val="00E11519"/>
    <w:rsid w:val="00E1751F"/>
    <w:rsid w:val="00E2173C"/>
    <w:rsid w:val="00E21A0A"/>
    <w:rsid w:val="00E31F59"/>
    <w:rsid w:val="00E322B5"/>
    <w:rsid w:val="00E32B91"/>
    <w:rsid w:val="00E33A1B"/>
    <w:rsid w:val="00E356CC"/>
    <w:rsid w:val="00E36B3E"/>
    <w:rsid w:val="00E422A8"/>
    <w:rsid w:val="00E43F73"/>
    <w:rsid w:val="00E5771E"/>
    <w:rsid w:val="00E60A78"/>
    <w:rsid w:val="00E77AB5"/>
    <w:rsid w:val="00E827CC"/>
    <w:rsid w:val="00E95496"/>
    <w:rsid w:val="00EB1117"/>
    <w:rsid w:val="00EB21CC"/>
    <w:rsid w:val="00EB231B"/>
    <w:rsid w:val="00EB3B31"/>
    <w:rsid w:val="00EB75A3"/>
    <w:rsid w:val="00EC0ECE"/>
    <w:rsid w:val="00ED3E15"/>
    <w:rsid w:val="00ED581D"/>
    <w:rsid w:val="00ED62A3"/>
    <w:rsid w:val="00EE1F94"/>
    <w:rsid w:val="00F03952"/>
    <w:rsid w:val="00F04BEA"/>
    <w:rsid w:val="00F110A8"/>
    <w:rsid w:val="00F1579C"/>
    <w:rsid w:val="00F25112"/>
    <w:rsid w:val="00F362A8"/>
    <w:rsid w:val="00F4291B"/>
    <w:rsid w:val="00F44469"/>
    <w:rsid w:val="00F541A5"/>
    <w:rsid w:val="00F60241"/>
    <w:rsid w:val="00F6640D"/>
    <w:rsid w:val="00F75906"/>
    <w:rsid w:val="00F8012F"/>
    <w:rsid w:val="00F83C7A"/>
    <w:rsid w:val="00F8429B"/>
    <w:rsid w:val="00F90603"/>
    <w:rsid w:val="00F90668"/>
    <w:rsid w:val="00FA06E1"/>
    <w:rsid w:val="00FA494C"/>
    <w:rsid w:val="00FB6CA2"/>
    <w:rsid w:val="00FC7DD5"/>
    <w:rsid w:val="00FF0D80"/>
    <w:rsid w:val="00FF2855"/>
    <w:rsid w:val="00FF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265CC-BCF9-4F82-8E25-6AF0AE08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link w:val="Ttulo2Car"/>
    <w:uiPriority w:val="9"/>
    <w:qFormat/>
    <w:rsid w:val="008C21FE"/>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64682"/>
    <w:rPr>
      <w:rFonts w:ascii="Arial" w:hAnsi="Arial" w:cs="Arial"/>
      <w:sz w:val="24"/>
      <w:lang w:val="es-ES_tradnl" w:eastAsia="es-ES"/>
    </w:rPr>
  </w:style>
  <w:style w:type="paragraph" w:styleId="Textoindependiente">
    <w:name w:val="Body Text"/>
    <w:basedOn w:val="Normal"/>
    <w:link w:val="TextoindependienteCar"/>
    <w:rsid w:val="0016468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6468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64682"/>
    <w:pPr>
      <w:tabs>
        <w:tab w:val="center" w:pos="4252"/>
        <w:tab w:val="right" w:pos="8504"/>
      </w:tabs>
    </w:pPr>
  </w:style>
  <w:style w:type="character" w:customStyle="1" w:styleId="PiedepginaCar">
    <w:name w:val="Pie de página Car"/>
    <w:basedOn w:val="Fuentedeprrafopredeter"/>
    <w:link w:val="Piedepgina"/>
    <w:rsid w:val="001646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64682"/>
  </w:style>
  <w:style w:type="paragraph" w:customStyle="1" w:styleId="Prrafodelista2">
    <w:name w:val="Párrafo de lista2"/>
    <w:basedOn w:val="Normal"/>
    <w:rsid w:val="00164682"/>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164682"/>
    <w:pPr>
      <w:spacing w:after="0" w:line="240" w:lineRule="auto"/>
    </w:pPr>
    <w:rPr>
      <w:lang w:val="es-ES_tradnl"/>
    </w:rPr>
  </w:style>
  <w:style w:type="paragraph" w:styleId="Encabezado">
    <w:name w:val="header"/>
    <w:basedOn w:val="Normal"/>
    <w:link w:val="EncabezadoCar"/>
    <w:uiPriority w:val="99"/>
    <w:unhideWhenUsed/>
    <w:rsid w:val="00164682"/>
    <w:pPr>
      <w:tabs>
        <w:tab w:val="center" w:pos="4419"/>
        <w:tab w:val="right" w:pos="8838"/>
      </w:tabs>
    </w:pPr>
  </w:style>
  <w:style w:type="character" w:customStyle="1" w:styleId="EncabezadoCar">
    <w:name w:val="Encabezado Car"/>
    <w:basedOn w:val="Fuentedeprrafopredeter"/>
    <w:link w:val="Encabezado"/>
    <w:uiPriority w:val="99"/>
    <w:rsid w:val="0016468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64682"/>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64682"/>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64682"/>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64682"/>
    <w:rPr>
      <w:vertAlign w:val="superscript"/>
    </w:rPr>
  </w:style>
  <w:style w:type="character" w:customStyle="1" w:styleId="Ttulo2Car">
    <w:name w:val="Título 2 Car"/>
    <w:basedOn w:val="Fuentedeprrafopredeter"/>
    <w:link w:val="Ttulo2"/>
    <w:uiPriority w:val="9"/>
    <w:rsid w:val="008C21FE"/>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FF2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855"/>
    <w:rPr>
      <w:rFonts w:ascii="Segoe UI" w:eastAsia="Times New Roman" w:hAnsi="Segoe UI" w:cs="Segoe UI"/>
      <w:sz w:val="18"/>
      <w:szCs w:val="18"/>
      <w:lang w:val="es-ES_tradnl" w:eastAsia="es-ES"/>
    </w:rPr>
  </w:style>
  <w:style w:type="table" w:styleId="Tablaconcuadrcula">
    <w:name w:val="Table Grid"/>
    <w:basedOn w:val="Tablanormal"/>
    <w:uiPriority w:val="39"/>
    <w:rsid w:val="00DF1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0E22B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6029">
      <w:bodyDiv w:val="1"/>
      <w:marLeft w:val="0"/>
      <w:marRight w:val="0"/>
      <w:marTop w:val="0"/>
      <w:marBottom w:val="0"/>
      <w:divBdr>
        <w:top w:val="none" w:sz="0" w:space="0" w:color="auto"/>
        <w:left w:val="none" w:sz="0" w:space="0" w:color="auto"/>
        <w:bottom w:val="none" w:sz="0" w:space="0" w:color="auto"/>
        <w:right w:val="none" w:sz="0" w:space="0" w:color="auto"/>
      </w:divBdr>
    </w:div>
    <w:div w:id="13352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A0E3-785F-40F1-B8F0-FCF3F809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3042</Words>
  <Characters>16734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16</cp:revision>
  <cp:lastPrinted>2019-02-25T16:35:00Z</cp:lastPrinted>
  <dcterms:created xsi:type="dcterms:W3CDTF">2019-02-25T13:48:00Z</dcterms:created>
  <dcterms:modified xsi:type="dcterms:W3CDTF">2019-04-01T19:04:00Z</dcterms:modified>
</cp:coreProperties>
</file>