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7C05A" w14:textId="77777777" w:rsidR="00CE7323" w:rsidRPr="00CE7323" w:rsidRDefault="00CE7323" w:rsidP="00CE7323">
      <w:pPr>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jc w:val="both"/>
        <w:textAlignment w:val="baseline"/>
        <w:rPr>
          <w:rFonts w:ascii="Arial" w:hAnsi="Arial" w:cs="Arial"/>
          <w:color w:val="FF0000"/>
          <w:spacing w:val="-8"/>
          <w:sz w:val="18"/>
          <w:szCs w:val="18"/>
          <w:lang w:val="es-419" w:eastAsia="fr-FR"/>
        </w:rPr>
      </w:pPr>
      <w:bookmarkStart w:id="0" w:name="_GoBack"/>
      <w:bookmarkEnd w:id="0"/>
      <w:r w:rsidRPr="00CE7323">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2CB0048" w14:textId="77777777" w:rsidR="00CE7323" w:rsidRPr="00CE7323" w:rsidRDefault="00CE7323" w:rsidP="00CE7323">
      <w:pPr>
        <w:overflowPunct w:val="0"/>
        <w:autoSpaceDE w:val="0"/>
        <w:autoSpaceDN w:val="0"/>
        <w:adjustRightInd w:val="0"/>
        <w:jc w:val="both"/>
        <w:textAlignment w:val="baseline"/>
        <w:rPr>
          <w:rFonts w:ascii="Arial" w:hAnsi="Arial" w:cs="Arial"/>
          <w:sz w:val="20"/>
          <w:lang w:val="es-419"/>
        </w:rPr>
      </w:pPr>
    </w:p>
    <w:p w14:paraId="7855457C" w14:textId="77777777" w:rsidR="00CE7323" w:rsidRPr="00CE7323" w:rsidRDefault="00CE7323" w:rsidP="00CE7323">
      <w:pPr>
        <w:overflowPunct w:val="0"/>
        <w:autoSpaceDE w:val="0"/>
        <w:autoSpaceDN w:val="0"/>
        <w:adjustRightInd w:val="0"/>
        <w:jc w:val="both"/>
        <w:textAlignment w:val="baseline"/>
        <w:rPr>
          <w:rFonts w:ascii="Arial" w:hAnsi="Arial" w:cs="Arial"/>
          <w:sz w:val="20"/>
          <w:lang w:val="es-419"/>
        </w:rPr>
      </w:pPr>
      <w:r w:rsidRPr="00CE7323">
        <w:rPr>
          <w:rFonts w:ascii="Arial" w:hAnsi="Arial" w:cs="Arial"/>
          <w:sz w:val="20"/>
          <w:lang w:val="es-419"/>
        </w:rPr>
        <w:t>Providencia:</w:t>
      </w:r>
      <w:r w:rsidRPr="00CE7323">
        <w:rPr>
          <w:rFonts w:ascii="Arial" w:hAnsi="Arial" w:cs="Arial"/>
          <w:sz w:val="20"/>
          <w:lang w:val="es-419"/>
        </w:rPr>
        <w:tab/>
      </w:r>
      <w:r w:rsidRPr="00CE7323">
        <w:rPr>
          <w:rFonts w:ascii="Arial" w:hAnsi="Arial" w:cs="Arial"/>
          <w:sz w:val="20"/>
          <w:lang w:val="es-419"/>
        </w:rPr>
        <w:tab/>
        <w:t xml:space="preserve">Consulta y apelación de sentencia </w:t>
      </w:r>
    </w:p>
    <w:p w14:paraId="7A578E0B" w14:textId="77777777" w:rsidR="00CE7323" w:rsidRPr="00CE7323" w:rsidRDefault="00CE7323" w:rsidP="00CE7323">
      <w:pPr>
        <w:overflowPunct w:val="0"/>
        <w:autoSpaceDE w:val="0"/>
        <w:autoSpaceDN w:val="0"/>
        <w:adjustRightInd w:val="0"/>
        <w:jc w:val="both"/>
        <w:textAlignment w:val="baseline"/>
        <w:rPr>
          <w:rFonts w:ascii="Arial" w:hAnsi="Arial" w:cs="Arial"/>
          <w:sz w:val="20"/>
          <w:lang w:val="es-419"/>
        </w:rPr>
      </w:pPr>
      <w:r w:rsidRPr="00CE7323">
        <w:rPr>
          <w:rFonts w:ascii="Arial" w:hAnsi="Arial" w:cs="Arial"/>
          <w:sz w:val="20"/>
          <w:lang w:val="es-419"/>
        </w:rPr>
        <w:t>Proceso:</w:t>
      </w:r>
      <w:r w:rsidRPr="00CE7323">
        <w:rPr>
          <w:rFonts w:ascii="Arial" w:hAnsi="Arial" w:cs="Arial"/>
          <w:sz w:val="20"/>
          <w:lang w:val="es-419"/>
        </w:rPr>
        <w:tab/>
      </w:r>
      <w:r w:rsidRPr="00CE7323">
        <w:rPr>
          <w:rFonts w:ascii="Arial" w:hAnsi="Arial" w:cs="Arial"/>
          <w:sz w:val="20"/>
          <w:lang w:val="es-419"/>
        </w:rPr>
        <w:tab/>
        <w:t xml:space="preserve">Ordinario Laboral </w:t>
      </w:r>
    </w:p>
    <w:p w14:paraId="0BF140B3" w14:textId="77777777" w:rsidR="00CE7323" w:rsidRPr="00CE7323" w:rsidRDefault="00CE7323" w:rsidP="00CE7323">
      <w:pPr>
        <w:overflowPunct w:val="0"/>
        <w:autoSpaceDE w:val="0"/>
        <w:autoSpaceDN w:val="0"/>
        <w:adjustRightInd w:val="0"/>
        <w:jc w:val="both"/>
        <w:textAlignment w:val="baseline"/>
        <w:rPr>
          <w:rFonts w:ascii="Arial" w:hAnsi="Arial" w:cs="Arial"/>
          <w:sz w:val="20"/>
          <w:lang w:val="es-419"/>
        </w:rPr>
      </w:pPr>
      <w:r w:rsidRPr="00CE7323">
        <w:rPr>
          <w:rFonts w:ascii="Arial" w:hAnsi="Arial" w:cs="Arial"/>
          <w:sz w:val="20"/>
          <w:lang w:val="es-419"/>
        </w:rPr>
        <w:t>Radicación No:</w:t>
      </w:r>
      <w:r w:rsidRPr="00CE7323">
        <w:rPr>
          <w:rFonts w:ascii="Arial" w:hAnsi="Arial" w:cs="Arial"/>
          <w:sz w:val="20"/>
          <w:lang w:val="es-419"/>
        </w:rPr>
        <w:tab/>
      </w:r>
      <w:r w:rsidRPr="00CE7323">
        <w:rPr>
          <w:rFonts w:ascii="Arial" w:hAnsi="Arial" w:cs="Arial"/>
          <w:sz w:val="20"/>
          <w:lang w:val="es-419"/>
        </w:rPr>
        <w:tab/>
        <w:t>66001-31-05-005-2016-00218-01</w:t>
      </w:r>
    </w:p>
    <w:p w14:paraId="414BBA84" w14:textId="685DC3AD" w:rsidR="00CE7323" w:rsidRPr="00CE7323" w:rsidRDefault="00CE7323" w:rsidP="00CE7323">
      <w:pPr>
        <w:overflowPunct w:val="0"/>
        <w:autoSpaceDE w:val="0"/>
        <w:autoSpaceDN w:val="0"/>
        <w:adjustRightInd w:val="0"/>
        <w:jc w:val="both"/>
        <w:textAlignment w:val="baseline"/>
        <w:rPr>
          <w:rFonts w:ascii="Arial" w:hAnsi="Arial" w:cs="Arial"/>
          <w:sz w:val="20"/>
          <w:lang w:val="es-419"/>
        </w:rPr>
      </w:pPr>
      <w:r w:rsidRPr="00CE7323">
        <w:rPr>
          <w:rFonts w:ascii="Arial" w:hAnsi="Arial" w:cs="Arial"/>
          <w:sz w:val="20"/>
          <w:lang w:val="es-419"/>
        </w:rPr>
        <w:t xml:space="preserve">Demandante:     </w:t>
      </w:r>
      <w:r w:rsidRPr="00CE7323">
        <w:rPr>
          <w:rFonts w:ascii="Arial" w:hAnsi="Arial" w:cs="Arial"/>
          <w:sz w:val="20"/>
          <w:lang w:val="es-419"/>
        </w:rPr>
        <w:tab/>
        <w:t>María Yorladis Ramírez Agudelo</w:t>
      </w:r>
    </w:p>
    <w:p w14:paraId="113F293B" w14:textId="77777777" w:rsidR="00CE7323" w:rsidRPr="00CE7323" w:rsidRDefault="00CE7323" w:rsidP="00CE7323">
      <w:pPr>
        <w:overflowPunct w:val="0"/>
        <w:autoSpaceDE w:val="0"/>
        <w:autoSpaceDN w:val="0"/>
        <w:adjustRightInd w:val="0"/>
        <w:jc w:val="both"/>
        <w:textAlignment w:val="baseline"/>
        <w:rPr>
          <w:rFonts w:ascii="Arial" w:hAnsi="Arial" w:cs="Arial"/>
          <w:sz w:val="20"/>
          <w:lang w:val="es-419"/>
        </w:rPr>
      </w:pPr>
      <w:r w:rsidRPr="00CE7323">
        <w:rPr>
          <w:rFonts w:ascii="Arial" w:hAnsi="Arial" w:cs="Arial"/>
          <w:sz w:val="20"/>
          <w:lang w:val="es-419"/>
        </w:rPr>
        <w:t>Demandado:</w:t>
      </w:r>
      <w:r w:rsidRPr="00CE7323">
        <w:rPr>
          <w:rFonts w:ascii="Arial" w:hAnsi="Arial" w:cs="Arial"/>
          <w:sz w:val="20"/>
          <w:lang w:val="es-419"/>
        </w:rPr>
        <w:tab/>
      </w:r>
      <w:r w:rsidRPr="00CE7323">
        <w:rPr>
          <w:rFonts w:ascii="Arial" w:hAnsi="Arial" w:cs="Arial"/>
          <w:sz w:val="20"/>
          <w:lang w:val="es-419"/>
        </w:rPr>
        <w:tab/>
        <w:t>Colpensiones, Porvenir S.A. y Colfondos S.A.</w:t>
      </w:r>
    </w:p>
    <w:p w14:paraId="30D69DDB" w14:textId="3F1D76A7" w:rsidR="00CE7323" w:rsidRPr="00CE7323" w:rsidRDefault="00CE7323" w:rsidP="00CE7323">
      <w:pPr>
        <w:overflowPunct w:val="0"/>
        <w:autoSpaceDE w:val="0"/>
        <w:autoSpaceDN w:val="0"/>
        <w:adjustRightInd w:val="0"/>
        <w:jc w:val="both"/>
        <w:textAlignment w:val="baseline"/>
        <w:rPr>
          <w:rFonts w:ascii="Arial" w:hAnsi="Arial" w:cs="Arial"/>
          <w:sz w:val="20"/>
          <w:lang w:val="es-419"/>
        </w:rPr>
      </w:pPr>
      <w:r w:rsidRPr="00CE7323">
        <w:rPr>
          <w:rFonts w:ascii="Arial" w:hAnsi="Arial" w:cs="Arial"/>
          <w:sz w:val="20"/>
          <w:lang w:val="es-419"/>
        </w:rPr>
        <w:t xml:space="preserve">Juzgado de origen:    </w:t>
      </w:r>
      <w:r w:rsidRPr="00CE7323">
        <w:rPr>
          <w:rFonts w:ascii="Arial" w:hAnsi="Arial" w:cs="Arial"/>
          <w:sz w:val="20"/>
          <w:lang w:val="es-419"/>
        </w:rPr>
        <w:tab/>
        <w:t>Quinto Laboral del Circuito de Pereira.</w:t>
      </w:r>
    </w:p>
    <w:p w14:paraId="3472A0EB" w14:textId="77777777" w:rsidR="00CE7323" w:rsidRPr="00CE7323" w:rsidRDefault="00CE7323" w:rsidP="00CE7323">
      <w:pPr>
        <w:overflowPunct w:val="0"/>
        <w:autoSpaceDE w:val="0"/>
        <w:autoSpaceDN w:val="0"/>
        <w:adjustRightInd w:val="0"/>
        <w:jc w:val="both"/>
        <w:textAlignment w:val="baseline"/>
        <w:rPr>
          <w:rFonts w:ascii="Arial" w:hAnsi="Arial" w:cs="Arial"/>
          <w:sz w:val="20"/>
          <w:lang w:val="es-419"/>
        </w:rPr>
      </w:pPr>
    </w:p>
    <w:p w14:paraId="7B90E872" w14:textId="46CCEDAF" w:rsidR="006659B3" w:rsidRPr="00ED5688" w:rsidRDefault="006659B3" w:rsidP="006659B3">
      <w:pPr>
        <w:jc w:val="both"/>
        <w:rPr>
          <w:rFonts w:ascii="Arial" w:hAnsi="Arial" w:cs="Arial"/>
          <w:b/>
          <w:bCs/>
          <w:iCs/>
          <w:sz w:val="20"/>
          <w:lang w:val="es-CO" w:eastAsia="fr-FR"/>
        </w:rPr>
      </w:pPr>
      <w:r w:rsidRPr="00347920">
        <w:rPr>
          <w:rFonts w:ascii="Arial" w:hAnsi="Arial" w:cs="Arial"/>
          <w:b/>
          <w:bCs/>
          <w:iCs/>
          <w:sz w:val="20"/>
          <w:lang w:val="es-419" w:eastAsia="fr-FR"/>
        </w:rPr>
        <w:t>TEMAS:</w:t>
      </w:r>
      <w:r w:rsidRPr="00347920">
        <w:rPr>
          <w:rFonts w:ascii="Arial" w:hAnsi="Arial" w:cs="Arial"/>
          <w:b/>
          <w:bCs/>
          <w:iCs/>
          <w:sz w:val="20"/>
          <w:lang w:val="es-419" w:eastAsia="fr-FR"/>
        </w:rPr>
        <w:tab/>
      </w:r>
      <w:r>
        <w:rPr>
          <w:rFonts w:ascii="Arial" w:hAnsi="Arial" w:cs="Arial"/>
          <w:b/>
          <w:bCs/>
          <w:iCs/>
          <w:sz w:val="20"/>
          <w:lang w:val="es-CO" w:eastAsia="fr-FR"/>
        </w:rPr>
        <w:t xml:space="preserve">INEFICACIA DEL TRASLADO DE RÉGIMEN PENSIONAL / </w:t>
      </w:r>
      <w:r w:rsidRPr="005E48A0">
        <w:rPr>
          <w:rFonts w:ascii="Arial" w:hAnsi="Arial" w:cs="Arial"/>
          <w:b/>
          <w:sz w:val="20"/>
          <w:lang w:val="es-419"/>
        </w:rPr>
        <w:t xml:space="preserve">DERECHO A LA LIBRE ESCOGENCIA </w:t>
      </w:r>
      <w:r>
        <w:rPr>
          <w:rFonts w:ascii="Arial" w:hAnsi="Arial" w:cs="Arial"/>
          <w:b/>
          <w:sz w:val="20"/>
          <w:lang w:val="es-CO"/>
        </w:rPr>
        <w:t>/ VICIOS DEL CONSENTIMIENTO / CARGA PROBATORIA DEL DEMANDANTE / DEMOSTRAR QUE LA AFP INCUMPLIÓ DEBER DE BRINDARLE INFORMACIÓN ADECUADA, COMPLETA Y VERAZ</w:t>
      </w:r>
      <w:r w:rsidR="00ED5688">
        <w:rPr>
          <w:rFonts w:ascii="Arial" w:hAnsi="Arial" w:cs="Arial"/>
          <w:b/>
          <w:sz w:val="20"/>
          <w:lang w:val="es-419"/>
        </w:rPr>
        <w:t xml:space="preserve"> / </w:t>
      </w:r>
      <w:r w:rsidR="00ED5688">
        <w:rPr>
          <w:rFonts w:ascii="Arial" w:hAnsi="Arial" w:cs="Arial"/>
          <w:b/>
          <w:sz w:val="20"/>
          <w:lang w:val="es-CO"/>
        </w:rPr>
        <w:t>REITERACIÓN DE LA VOLUNTAD DE PERMANECER EN EL RAIS.</w:t>
      </w:r>
    </w:p>
    <w:p w14:paraId="01326616" w14:textId="77777777" w:rsidR="006659B3" w:rsidRPr="005E48A0" w:rsidRDefault="006659B3" w:rsidP="006659B3">
      <w:pPr>
        <w:jc w:val="both"/>
        <w:rPr>
          <w:rFonts w:ascii="Arial" w:hAnsi="Arial" w:cs="Arial"/>
          <w:sz w:val="20"/>
          <w:lang w:val="es-419"/>
        </w:rPr>
      </w:pPr>
    </w:p>
    <w:p w14:paraId="05831976" w14:textId="77777777" w:rsidR="006659B3" w:rsidRPr="00773864" w:rsidRDefault="006659B3" w:rsidP="006659B3">
      <w:pPr>
        <w:jc w:val="both"/>
        <w:rPr>
          <w:rFonts w:ascii="Arial" w:hAnsi="Arial" w:cs="Arial"/>
          <w:sz w:val="20"/>
          <w:lang w:val="es-419"/>
        </w:rPr>
      </w:pPr>
      <w:r>
        <w:rPr>
          <w:rFonts w:ascii="Arial" w:hAnsi="Arial" w:cs="Arial"/>
          <w:sz w:val="20"/>
          <w:lang w:val="es-CO"/>
        </w:rPr>
        <w:t xml:space="preserve">… </w:t>
      </w:r>
      <w:r w:rsidRPr="00773864">
        <w:rPr>
          <w:rFonts w:ascii="Arial" w:hAnsi="Arial" w:cs="Arial"/>
          <w:sz w:val="20"/>
          <w:lang w:val="es-419"/>
        </w:rPr>
        <w:t>la intelección que se tiene por la sala, radica en que el literal b) del artículo 13 de la Ley 100/93 establece que la escogencia de cualquiera de los regímenes pensionales contemplados en dicha ley es libre y voluntaria por parte del afiliado; consentimiento que se manifiesta por escrito al momento del diligenciamiento de la vinculación o traslado, situación que de desconocerse acarrea las sanciones previstas en el inciso 1º del artículo 271 ibídem, consistentes en multas pecuniarias, además y de vital importancia, implica dejar sin efecto la afiliación, en cuyo caso el trabajador podrá nuevamente elegir su régimen pensional en forma libre y espontánea, sin que por esto recobre vigencia la afiliación anterior, pues ello no es el efecto jurídico de la ineficacia que trae el canon citado.</w:t>
      </w:r>
    </w:p>
    <w:p w14:paraId="11747194" w14:textId="77777777" w:rsidR="006659B3" w:rsidRPr="00773864" w:rsidRDefault="006659B3" w:rsidP="006659B3">
      <w:pPr>
        <w:jc w:val="both"/>
        <w:rPr>
          <w:rFonts w:ascii="Arial" w:hAnsi="Arial" w:cs="Arial"/>
          <w:sz w:val="20"/>
          <w:lang w:val="es-419"/>
        </w:rPr>
      </w:pPr>
    </w:p>
    <w:p w14:paraId="3B35F219" w14:textId="77777777" w:rsidR="006659B3" w:rsidRDefault="006659B3" w:rsidP="006659B3">
      <w:pPr>
        <w:jc w:val="both"/>
        <w:rPr>
          <w:rFonts w:ascii="Arial" w:hAnsi="Arial" w:cs="Arial"/>
          <w:sz w:val="20"/>
          <w:lang w:val="es-419"/>
        </w:rPr>
      </w:pPr>
      <w:r w:rsidRPr="00773864">
        <w:rPr>
          <w:rFonts w:ascii="Arial" w:hAnsi="Arial" w:cs="Arial"/>
          <w:sz w:val="20"/>
          <w:lang w:val="es-419"/>
        </w:rPr>
        <w:t>Ahora bien, el desconocimiento del derecho de libre y voluntaria elección de régimen se manifiesta cuando existe una disconformidad entre la voluntad interna del trabajador y la declaración o manifestación que de ésta haga a su interlocutor en el momento</w:t>
      </w:r>
      <w:r>
        <w:rPr>
          <w:rFonts w:ascii="Arial" w:hAnsi="Arial" w:cs="Arial"/>
          <w:sz w:val="20"/>
          <w:lang w:val="es-419"/>
        </w:rPr>
        <w:t xml:space="preserve"> de elegir el régimen pensional</w:t>
      </w:r>
    </w:p>
    <w:p w14:paraId="1F956D8D" w14:textId="77777777" w:rsidR="006659B3" w:rsidRPr="00773864" w:rsidRDefault="006659B3" w:rsidP="006659B3">
      <w:pPr>
        <w:jc w:val="both"/>
        <w:rPr>
          <w:rFonts w:ascii="Arial" w:hAnsi="Arial" w:cs="Arial"/>
          <w:sz w:val="20"/>
          <w:lang w:val="es-CO"/>
        </w:rPr>
      </w:pPr>
    </w:p>
    <w:p w14:paraId="42987651" w14:textId="77777777" w:rsidR="006659B3" w:rsidRPr="007B373B" w:rsidRDefault="006659B3" w:rsidP="006659B3">
      <w:pPr>
        <w:jc w:val="both"/>
        <w:rPr>
          <w:rFonts w:ascii="Arial" w:hAnsi="Arial" w:cs="Arial"/>
          <w:sz w:val="20"/>
          <w:lang w:val="es-CO"/>
        </w:rPr>
      </w:pPr>
      <w:r w:rsidRPr="007B373B">
        <w:rPr>
          <w:rFonts w:ascii="Arial" w:hAnsi="Arial" w:cs="Arial"/>
          <w:sz w:val="20"/>
          <w:lang w:val="es-419"/>
        </w:rPr>
        <w:t>Dicha disconformidad se cimienta en el numeral 2º del artículo 1502 del C.C. al prescribir que para que una persona se obligue con otra a través de la declaración de su voluntad deberá consentir en la declaración expresada, consentimiento que será válido siempre que no adolezca de vicio. En esa medida este deberá estar libre de defecto alguno, como son el error, la fuerza y el dolo (art. 1508 del C.C), que podrán aparecer para casos como el de ahora cuando se retiene, omite o deforme la información indispensable para que el trabajador pueda expresar su consentimiento o dicho de otro modo, para que se consolide la expresión de su voluntad.</w:t>
      </w:r>
      <w:r>
        <w:rPr>
          <w:rFonts w:ascii="Arial" w:hAnsi="Arial" w:cs="Arial"/>
          <w:sz w:val="20"/>
          <w:lang w:val="es-CO"/>
        </w:rPr>
        <w:t xml:space="preserve"> (…)</w:t>
      </w:r>
    </w:p>
    <w:p w14:paraId="6DFFCED3" w14:textId="77777777" w:rsidR="006659B3" w:rsidRPr="005E48A0" w:rsidRDefault="006659B3" w:rsidP="006659B3">
      <w:pPr>
        <w:jc w:val="both"/>
        <w:rPr>
          <w:rFonts w:ascii="Arial" w:hAnsi="Arial" w:cs="Arial"/>
          <w:sz w:val="20"/>
          <w:lang w:val="es-419"/>
        </w:rPr>
      </w:pPr>
    </w:p>
    <w:p w14:paraId="09AE66D9" w14:textId="77777777" w:rsidR="006659B3" w:rsidRDefault="006659B3" w:rsidP="006659B3">
      <w:pPr>
        <w:jc w:val="both"/>
        <w:rPr>
          <w:rFonts w:ascii="Arial" w:hAnsi="Arial" w:cs="Arial"/>
          <w:sz w:val="20"/>
          <w:lang w:val="es-CO"/>
        </w:rPr>
      </w:pPr>
      <w:r w:rsidRPr="00992D65">
        <w:rPr>
          <w:rFonts w:ascii="Arial" w:hAnsi="Arial" w:cs="Arial"/>
          <w:sz w:val="20"/>
          <w:lang w:val="es-419"/>
        </w:rPr>
        <w:t>En conclusión, en los procesos tendientes a dejar sin efecto una afiliación hecha a cualquier de los dos regímenes, con el propósito de volver a elegir el que desee, esta vez, en forma libre y espontánea, deberá acreditar imperiosamente que la AFP a la que se afilió incumplió en la etapa precontractual con su obligación principal, esto es, brindarle la información adecuada, completa y veraz para tomar una decisión bajo el principio de la libertad informada</w:t>
      </w:r>
      <w:r>
        <w:rPr>
          <w:rFonts w:ascii="Arial" w:hAnsi="Arial" w:cs="Arial"/>
          <w:sz w:val="20"/>
          <w:lang w:val="es-CO"/>
        </w:rPr>
        <w:t>…</w:t>
      </w:r>
    </w:p>
    <w:p w14:paraId="02AC3F6B" w14:textId="77777777" w:rsidR="006659B3" w:rsidRDefault="006659B3" w:rsidP="006659B3">
      <w:pPr>
        <w:jc w:val="both"/>
        <w:rPr>
          <w:rFonts w:ascii="Arial" w:hAnsi="Arial" w:cs="Arial"/>
          <w:sz w:val="20"/>
          <w:lang w:val="es-CO"/>
        </w:rPr>
      </w:pPr>
    </w:p>
    <w:p w14:paraId="2509A245" w14:textId="77777777" w:rsidR="006659B3" w:rsidRDefault="006659B3" w:rsidP="006659B3">
      <w:pPr>
        <w:jc w:val="both"/>
        <w:rPr>
          <w:rFonts w:ascii="Arial" w:hAnsi="Arial" w:cs="Arial"/>
          <w:sz w:val="20"/>
          <w:lang w:val="es-CO"/>
        </w:rPr>
      </w:pPr>
      <w:r w:rsidRPr="00C77730">
        <w:rPr>
          <w:rFonts w:ascii="Arial" w:hAnsi="Arial" w:cs="Arial"/>
          <w:sz w:val="20"/>
          <w:lang w:val="es-CO"/>
        </w:rPr>
        <w:t>Lo dicho adquiere más significado pues de llegarse a sancionar el negocio jurídico celebrado entre el actor y una AFP (afiliación) con la ineficacia, quien realmente sufriría los efectos sería Colpensiones, un tercero que no participó tan siquiera en la etapa precontractual indispensable para la válida formación del consentimiento que ahora se pretende sea sancionado, y quien además, deberá asumir la carga impositiva que deviene de un nuevo afiliado</w:t>
      </w:r>
      <w:r>
        <w:rPr>
          <w:rFonts w:ascii="Arial" w:hAnsi="Arial" w:cs="Arial"/>
          <w:sz w:val="20"/>
          <w:lang w:val="es-CO"/>
        </w:rPr>
        <w:t>…</w:t>
      </w:r>
    </w:p>
    <w:p w14:paraId="4DF2475C" w14:textId="77777777" w:rsidR="005B541C" w:rsidRDefault="005B541C" w:rsidP="006659B3">
      <w:pPr>
        <w:jc w:val="both"/>
        <w:rPr>
          <w:rFonts w:ascii="Arial" w:hAnsi="Arial" w:cs="Arial"/>
          <w:sz w:val="20"/>
          <w:lang w:val="es-CO"/>
        </w:rPr>
      </w:pPr>
    </w:p>
    <w:p w14:paraId="62A87899" w14:textId="397D3A8D" w:rsidR="005B541C" w:rsidRDefault="005B541C" w:rsidP="006659B3">
      <w:pPr>
        <w:jc w:val="both"/>
        <w:rPr>
          <w:rFonts w:ascii="Arial" w:hAnsi="Arial" w:cs="Arial"/>
          <w:sz w:val="20"/>
          <w:lang w:val="es-CO"/>
        </w:rPr>
      </w:pPr>
      <w:r w:rsidRPr="005B541C">
        <w:rPr>
          <w:rFonts w:ascii="Arial" w:hAnsi="Arial" w:cs="Arial"/>
          <w:sz w:val="20"/>
          <w:lang w:val="es-CO"/>
        </w:rPr>
        <w:t xml:space="preserve">Al punto es preciso advertir que María </w:t>
      </w:r>
      <w:proofErr w:type="spellStart"/>
      <w:r w:rsidRPr="005B541C">
        <w:rPr>
          <w:rFonts w:ascii="Arial" w:hAnsi="Arial" w:cs="Arial"/>
          <w:sz w:val="20"/>
          <w:lang w:val="es-CO"/>
        </w:rPr>
        <w:t>Yorladis</w:t>
      </w:r>
      <w:proofErr w:type="spellEnd"/>
      <w:r w:rsidRPr="005B541C">
        <w:rPr>
          <w:rFonts w:ascii="Arial" w:hAnsi="Arial" w:cs="Arial"/>
          <w:sz w:val="20"/>
          <w:lang w:val="es-CO"/>
        </w:rPr>
        <w:t xml:space="preserve"> Ramírez Agudelo no solo suscribió el formulario de vinculación al RAIS a través de Colfondos S.A. en el año 2000, que cumplió los lineamientos fijados en la ley, sino que reiteró su voluntad de permanencia en dicho régimen, al trasladarse nuevamente a otra AFP del mismo régimen, esta vez a Porvenir S.A. en el año 2002, calenda para la cual contaba con 37 años de edad, es decir, que todavía podía optar por cambiarse para el RPM por no estar afectada por la restricción contenida en el artículo 2º de la Ley 797/2003, pero fue su voluntad continuar en el RAIS, lo que supone que estaba conforme con los beneficios que venía disfrutando desde el año 2000 cuando ingresó a él.</w:t>
      </w:r>
      <w:r>
        <w:rPr>
          <w:rFonts w:ascii="Arial" w:hAnsi="Arial" w:cs="Arial"/>
          <w:sz w:val="20"/>
          <w:lang w:val="es-CO"/>
        </w:rPr>
        <w:t xml:space="preserve"> (…)</w:t>
      </w:r>
    </w:p>
    <w:p w14:paraId="2CF3E409" w14:textId="77777777" w:rsidR="00CE7323" w:rsidRDefault="00CE7323" w:rsidP="00CE7323">
      <w:pPr>
        <w:overflowPunct w:val="0"/>
        <w:autoSpaceDE w:val="0"/>
        <w:autoSpaceDN w:val="0"/>
        <w:adjustRightInd w:val="0"/>
        <w:jc w:val="both"/>
        <w:textAlignment w:val="baseline"/>
        <w:rPr>
          <w:rFonts w:ascii="Arial" w:hAnsi="Arial" w:cs="Arial"/>
          <w:sz w:val="20"/>
          <w:lang w:val="es-419"/>
        </w:rPr>
      </w:pPr>
    </w:p>
    <w:p w14:paraId="7DA305F6" w14:textId="4C176A10" w:rsidR="006659B3" w:rsidRDefault="006659B3" w:rsidP="00CE7323">
      <w:pPr>
        <w:overflowPunct w:val="0"/>
        <w:autoSpaceDE w:val="0"/>
        <w:autoSpaceDN w:val="0"/>
        <w:adjustRightInd w:val="0"/>
        <w:jc w:val="both"/>
        <w:textAlignment w:val="baseline"/>
        <w:rPr>
          <w:rFonts w:ascii="Arial" w:hAnsi="Arial" w:cs="Arial"/>
          <w:sz w:val="20"/>
          <w:lang w:val="es-419"/>
        </w:rPr>
      </w:pPr>
      <w:r w:rsidRPr="006659B3">
        <w:rPr>
          <w:rFonts w:ascii="Arial" w:hAnsi="Arial" w:cs="Arial"/>
          <w:sz w:val="20"/>
          <w:lang w:val="es-419"/>
        </w:rPr>
        <w:t>Puestas de ese modo las cosas, se desprende que la información suministrada a la demandante fue clara, completa y veraz en tanto tenía conocimiento de la posibilidad de pensionarse anticipadamente como en efecto lo reglamenta la Ley 100/93 para el RAIS, entre otros. En estos términos no puede tildarse que el actuar de la AFP estuviere desprovisto de lealtad, diligencia, probidad, sinceridad, pues precisamente aquella es propia del RAIS y que se encuentra consagrada en la Ley 100 de 1993 a partir del artículo 64 y s.s., por lo que María Yorladis Ramírez Agudelo no incurrió en algún error al escoger el RAIS en el año 2000 y permanecer en él.</w:t>
      </w:r>
    </w:p>
    <w:p w14:paraId="10374960" w14:textId="77777777" w:rsidR="008D56E9" w:rsidRDefault="008D56E9" w:rsidP="00CE7323">
      <w:pPr>
        <w:overflowPunct w:val="0"/>
        <w:autoSpaceDE w:val="0"/>
        <w:autoSpaceDN w:val="0"/>
        <w:adjustRightInd w:val="0"/>
        <w:jc w:val="both"/>
        <w:textAlignment w:val="baseline"/>
        <w:rPr>
          <w:rFonts w:ascii="Arial" w:hAnsi="Arial" w:cs="Arial"/>
          <w:sz w:val="20"/>
          <w:lang w:val="es-419"/>
        </w:rPr>
      </w:pPr>
    </w:p>
    <w:p w14:paraId="7C29815F" w14:textId="21B45560" w:rsidR="008D56E9" w:rsidRPr="009F6B6D" w:rsidRDefault="008D56E9" w:rsidP="008D56E9">
      <w:pPr>
        <w:overflowPunct w:val="0"/>
        <w:autoSpaceDE w:val="0"/>
        <w:autoSpaceDN w:val="0"/>
        <w:adjustRightInd w:val="0"/>
        <w:jc w:val="both"/>
        <w:textAlignment w:val="baseline"/>
        <w:rPr>
          <w:rFonts w:ascii="Arial" w:hAnsi="Arial" w:cs="Arial"/>
          <w:b/>
          <w:color w:val="FF0000"/>
          <w:sz w:val="20"/>
          <w:lang w:val="es-CO"/>
        </w:rPr>
      </w:pPr>
      <w:r>
        <w:rPr>
          <w:rFonts w:ascii="Arial" w:hAnsi="Arial" w:cs="Arial"/>
          <w:b/>
          <w:color w:val="FF0000"/>
          <w:sz w:val="20"/>
          <w:lang w:val="es-CO"/>
        </w:rPr>
        <w:lastRenderedPageBreak/>
        <w:t xml:space="preserve">ACLARACIÓN </w:t>
      </w:r>
      <w:r w:rsidRPr="009F6B6D">
        <w:rPr>
          <w:rFonts w:ascii="Arial" w:hAnsi="Arial" w:cs="Arial"/>
          <w:b/>
          <w:color w:val="FF0000"/>
          <w:sz w:val="20"/>
          <w:lang w:val="es-CO"/>
        </w:rPr>
        <w:t>DE VOTO: DOCTOR JULIO CÉSAR SALAZAR MUÑOZ</w:t>
      </w:r>
    </w:p>
    <w:p w14:paraId="34069907" w14:textId="77777777" w:rsidR="008D56E9" w:rsidRDefault="008D56E9" w:rsidP="00CE7323">
      <w:pPr>
        <w:overflowPunct w:val="0"/>
        <w:autoSpaceDE w:val="0"/>
        <w:autoSpaceDN w:val="0"/>
        <w:adjustRightInd w:val="0"/>
        <w:jc w:val="both"/>
        <w:textAlignment w:val="baseline"/>
        <w:rPr>
          <w:rFonts w:ascii="Arial" w:hAnsi="Arial" w:cs="Arial"/>
          <w:sz w:val="20"/>
          <w:lang w:val="es-419"/>
        </w:rPr>
      </w:pPr>
    </w:p>
    <w:p w14:paraId="5F5525ED" w14:textId="43014A44" w:rsidR="008D56E9" w:rsidRDefault="0090319C" w:rsidP="00CE7323">
      <w:pPr>
        <w:overflowPunct w:val="0"/>
        <w:autoSpaceDE w:val="0"/>
        <w:autoSpaceDN w:val="0"/>
        <w:adjustRightInd w:val="0"/>
        <w:jc w:val="both"/>
        <w:textAlignment w:val="baseline"/>
        <w:rPr>
          <w:rFonts w:ascii="Arial" w:hAnsi="Arial" w:cs="Arial"/>
          <w:sz w:val="20"/>
          <w:lang w:val="es-419"/>
        </w:rPr>
      </w:pPr>
      <w:r w:rsidRPr="0090319C">
        <w:rPr>
          <w:rFonts w:ascii="Arial" w:hAnsi="Arial" w:cs="Arial"/>
          <w:sz w:val="20"/>
          <w:lang w:val="es-419"/>
        </w:rPr>
        <w:t>Estoy de acuerdo con la decisión de revocar la sentencia de primera instancia que accedió a la declaración de ineficacia del traslado y aunque coincido con la mayor parte de la argumentación que para llegar a tal solución fue expuesta en la providencia, me parece necesario aclarar las razones que me llevan a tal conclusión.</w:t>
      </w:r>
    </w:p>
    <w:p w14:paraId="05BC90B7" w14:textId="77777777" w:rsidR="006F6038" w:rsidRDefault="006F6038" w:rsidP="00CE7323">
      <w:pPr>
        <w:overflowPunct w:val="0"/>
        <w:autoSpaceDE w:val="0"/>
        <w:autoSpaceDN w:val="0"/>
        <w:adjustRightInd w:val="0"/>
        <w:jc w:val="both"/>
        <w:textAlignment w:val="baseline"/>
        <w:rPr>
          <w:rFonts w:ascii="Arial" w:hAnsi="Arial" w:cs="Arial"/>
          <w:sz w:val="20"/>
          <w:lang w:val="es-419"/>
        </w:rPr>
      </w:pPr>
    </w:p>
    <w:p w14:paraId="4EC715FA" w14:textId="77777777" w:rsidR="006F6038" w:rsidRPr="006F6038" w:rsidRDefault="006F6038" w:rsidP="006F6038">
      <w:pPr>
        <w:overflowPunct w:val="0"/>
        <w:autoSpaceDE w:val="0"/>
        <w:autoSpaceDN w:val="0"/>
        <w:adjustRightInd w:val="0"/>
        <w:jc w:val="both"/>
        <w:textAlignment w:val="baseline"/>
        <w:rPr>
          <w:rFonts w:ascii="Arial" w:hAnsi="Arial" w:cs="Arial"/>
          <w:sz w:val="20"/>
          <w:lang w:val="es-419"/>
        </w:rPr>
      </w:pPr>
      <w:r w:rsidRPr="006F6038">
        <w:rPr>
          <w:rFonts w:ascii="Arial" w:hAnsi="Arial" w:cs="Arial"/>
          <w:sz w:val="20"/>
          <w:lang w:val="es-419"/>
        </w:rPr>
        <w:t xml:space="preserve">Desde ya dejo en evidencia que conozco la jurisprudencia vigente emanada de la  Sala de Casación Laboral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informado y que en este tipo de eventos existe una inversión de la carga de la prueba si los actores alegan no haber recibido la información necesaria para establecerlo;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14:paraId="46A2E54C" w14:textId="77777777" w:rsidR="006F6038" w:rsidRPr="006F6038" w:rsidRDefault="006F6038" w:rsidP="006F6038">
      <w:pPr>
        <w:overflowPunct w:val="0"/>
        <w:autoSpaceDE w:val="0"/>
        <w:autoSpaceDN w:val="0"/>
        <w:adjustRightInd w:val="0"/>
        <w:jc w:val="both"/>
        <w:textAlignment w:val="baseline"/>
        <w:rPr>
          <w:rFonts w:ascii="Arial" w:hAnsi="Arial" w:cs="Arial"/>
          <w:sz w:val="20"/>
          <w:lang w:val="es-419"/>
        </w:rPr>
      </w:pPr>
    </w:p>
    <w:p w14:paraId="72436767" w14:textId="77777777" w:rsidR="006F6038" w:rsidRPr="006F6038" w:rsidRDefault="006F6038" w:rsidP="006F6038">
      <w:pPr>
        <w:overflowPunct w:val="0"/>
        <w:autoSpaceDE w:val="0"/>
        <w:autoSpaceDN w:val="0"/>
        <w:adjustRightInd w:val="0"/>
        <w:jc w:val="both"/>
        <w:textAlignment w:val="baseline"/>
        <w:rPr>
          <w:rFonts w:ascii="Arial" w:hAnsi="Arial" w:cs="Arial"/>
          <w:sz w:val="20"/>
          <w:lang w:val="es-419"/>
        </w:rPr>
      </w:pPr>
      <w:r w:rsidRPr="006F6038">
        <w:rPr>
          <w:rFonts w:ascii="Arial" w:hAnsi="Arial" w:cs="Arial"/>
          <w:sz w:val="20"/>
          <w:lang w:val="es-419"/>
        </w:rPr>
        <w:t>No obstante, tales líneas jurisprudenciales considero del caso, con base en la sentencia C-836 de 2001, apartarme de ellas, para lo cual expongo de manera razonada la argumentación jurídica que me lleva a tal alejamiento.</w:t>
      </w:r>
    </w:p>
    <w:p w14:paraId="1EE2CF9C" w14:textId="77777777" w:rsidR="006F6038" w:rsidRPr="006F6038" w:rsidRDefault="006F6038" w:rsidP="006F6038">
      <w:pPr>
        <w:overflowPunct w:val="0"/>
        <w:autoSpaceDE w:val="0"/>
        <w:autoSpaceDN w:val="0"/>
        <w:adjustRightInd w:val="0"/>
        <w:jc w:val="both"/>
        <w:textAlignment w:val="baseline"/>
        <w:rPr>
          <w:rFonts w:ascii="Arial" w:hAnsi="Arial" w:cs="Arial"/>
          <w:sz w:val="20"/>
          <w:lang w:val="es-419"/>
        </w:rPr>
      </w:pPr>
    </w:p>
    <w:p w14:paraId="7E434A71" w14:textId="77777777" w:rsidR="006F6038" w:rsidRPr="006F6038" w:rsidRDefault="006F6038" w:rsidP="006F6038">
      <w:pPr>
        <w:overflowPunct w:val="0"/>
        <w:autoSpaceDE w:val="0"/>
        <w:autoSpaceDN w:val="0"/>
        <w:adjustRightInd w:val="0"/>
        <w:jc w:val="both"/>
        <w:textAlignment w:val="baseline"/>
        <w:rPr>
          <w:rFonts w:ascii="Arial" w:hAnsi="Arial" w:cs="Arial"/>
          <w:sz w:val="20"/>
          <w:lang w:val="es-419"/>
        </w:rPr>
      </w:pPr>
      <w:r w:rsidRPr="006F6038">
        <w:rPr>
          <w:rFonts w:ascii="Arial" w:hAnsi="Arial" w:cs="Arial"/>
          <w:sz w:val="20"/>
          <w:lang w:val="es-419"/>
        </w:rPr>
        <w:t>Para el efecto, en primer término debo dejar claro que me encuentro absolutamente convencido de que, tras la protección de los intereses particulares de quienes a última hora quieren obtener el mayor beneficio pensional posible, al decretar las ineficacias, en realidad se están desconociendo diferentes pilares de nuestro sistema jurídico en general y del pensional en particular.</w:t>
      </w:r>
    </w:p>
    <w:p w14:paraId="768BC8C8" w14:textId="77777777" w:rsidR="006F6038" w:rsidRPr="006F6038" w:rsidRDefault="006F6038" w:rsidP="006F6038">
      <w:pPr>
        <w:overflowPunct w:val="0"/>
        <w:autoSpaceDE w:val="0"/>
        <w:autoSpaceDN w:val="0"/>
        <w:adjustRightInd w:val="0"/>
        <w:jc w:val="both"/>
        <w:textAlignment w:val="baseline"/>
        <w:rPr>
          <w:rFonts w:ascii="Arial" w:hAnsi="Arial" w:cs="Arial"/>
          <w:sz w:val="20"/>
          <w:lang w:val="es-419"/>
        </w:rPr>
      </w:pPr>
    </w:p>
    <w:p w14:paraId="6BA2AB0C" w14:textId="77777777" w:rsidR="006F6038" w:rsidRPr="006F6038" w:rsidRDefault="006F6038" w:rsidP="006F6038">
      <w:pPr>
        <w:overflowPunct w:val="0"/>
        <w:autoSpaceDE w:val="0"/>
        <w:autoSpaceDN w:val="0"/>
        <w:adjustRightInd w:val="0"/>
        <w:jc w:val="both"/>
        <w:textAlignment w:val="baseline"/>
        <w:rPr>
          <w:rFonts w:ascii="Arial" w:hAnsi="Arial" w:cs="Arial"/>
          <w:sz w:val="20"/>
          <w:lang w:val="es-419"/>
        </w:rPr>
      </w:pPr>
      <w:r w:rsidRPr="006F6038">
        <w:rPr>
          <w:rFonts w:ascii="Arial" w:hAnsi="Arial" w:cs="Arial"/>
          <w:sz w:val="20"/>
          <w:lang w:val="es-419"/>
        </w:rPr>
        <w:t xml:space="preserve">Como quiera que son tantos y tan contundentes los motivos que a mi juicio impiden acceder a las ineficacias solicitadas, a continuación enunciare tres diferentes grupos de razones que considero, cada uno solo o en conjunto con los demás, con peso suficiente para arribar a tal negativa. </w:t>
      </w:r>
    </w:p>
    <w:p w14:paraId="5A88D814" w14:textId="77777777" w:rsidR="006F6038" w:rsidRPr="006F6038" w:rsidRDefault="006F6038" w:rsidP="006F6038">
      <w:pPr>
        <w:overflowPunct w:val="0"/>
        <w:autoSpaceDE w:val="0"/>
        <w:autoSpaceDN w:val="0"/>
        <w:adjustRightInd w:val="0"/>
        <w:jc w:val="both"/>
        <w:textAlignment w:val="baseline"/>
        <w:rPr>
          <w:rFonts w:ascii="Arial" w:hAnsi="Arial" w:cs="Arial"/>
          <w:sz w:val="20"/>
          <w:lang w:val="es-419"/>
        </w:rPr>
      </w:pPr>
    </w:p>
    <w:p w14:paraId="4ED666AF" w14:textId="77777777" w:rsidR="006F6038" w:rsidRPr="006F6038" w:rsidRDefault="006F6038" w:rsidP="006F6038">
      <w:pPr>
        <w:overflowPunct w:val="0"/>
        <w:autoSpaceDE w:val="0"/>
        <w:autoSpaceDN w:val="0"/>
        <w:adjustRightInd w:val="0"/>
        <w:jc w:val="both"/>
        <w:textAlignment w:val="baseline"/>
        <w:rPr>
          <w:rFonts w:ascii="Arial" w:hAnsi="Arial" w:cs="Arial"/>
          <w:sz w:val="20"/>
          <w:lang w:val="es-419"/>
        </w:rPr>
      </w:pPr>
      <w:r w:rsidRPr="006F6038">
        <w:rPr>
          <w:rFonts w:ascii="Arial" w:hAnsi="Arial" w:cs="Arial"/>
          <w:sz w:val="20"/>
          <w:lang w:val="es-419"/>
        </w:rPr>
        <w:t>1.</w:t>
      </w:r>
      <w:r w:rsidRPr="006F6038">
        <w:rPr>
          <w:rFonts w:ascii="Arial" w:hAnsi="Arial" w:cs="Arial"/>
          <w:sz w:val="20"/>
          <w:lang w:val="es-419"/>
        </w:rPr>
        <w:tab/>
        <w:t>CONFIGURACIÓN LEGAL DUAL VIGENTE DEL SISTEMA PENSIONAL</w:t>
      </w:r>
    </w:p>
    <w:p w14:paraId="122E253D" w14:textId="77777777" w:rsidR="006F6038" w:rsidRPr="006F6038" w:rsidRDefault="006F6038" w:rsidP="004A0824">
      <w:pPr>
        <w:overflowPunct w:val="0"/>
        <w:autoSpaceDE w:val="0"/>
        <w:autoSpaceDN w:val="0"/>
        <w:adjustRightInd w:val="0"/>
        <w:ind w:left="705" w:hanging="705"/>
        <w:jc w:val="both"/>
        <w:textAlignment w:val="baseline"/>
        <w:rPr>
          <w:rFonts w:ascii="Arial" w:hAnsi="Arial" w:cs="Arial"/>
          <w:sz w:val="20"/>
          <w:lang w:val="es-419"/>
        </w:rPr>
      </w:pPr>
      <w:r w:rsidRPr="006F6038">
        <w:rPr>
          <w:rFonts w:ascii="Arial" w:hAnsi="Arial" w:cs="Arial"/>
          <w:sz w:val="20"/>
          <w:lang w:val="es-419"/>
        </w:rPr>
        <w:t>2.</w:t>
      </w:r>
      <w:r w:rsidRPr="006F6038">
        <w:rPr>
          <w:rFonts w:ascii="Arial" w:hAnsi="Arial" w:cs="Arial"/>
          <w:sz w:val="20"/>
          <w:lang w:val="es-419"/>
        </w:rPr>
        <w:tab/>
        <w:t>RAZÓN DE SER DE LA LIMITACIÓN DE TRASLADO CUANDO FALTEN MENOS DE 10 AÑOS. SENTENCIA C-1024 DE 2004</w:t>
      </w:r>
    </w:p>
    <w:p w14:paraId="2E085E46" w14:textId="0F574A96" w:rsidR="006F6038" w:rsidRPr="00CE7323" w:rsidRDefault="006F6038" w:rsidP="006F6038">
      <w:pPr>
        <w:overflowPunct w:val="0"/>
        <w:autoSpaceDE w:val="0"/>
        <w:autoSpaceDN w:val="0"/>
        <w:adjustRightInd w:val="0"/>
        <w:jc w:val="both"/>
        <w:textAlignment w:val="baseline"/>
        <w:rPr>
          <w:rFonts w:ascii="Arial" w:hAnsi="Arial" w:cs="Arial"/>
          <w:sz w:val="20"/>
          <w:lang w:val="es-419"/>
        </w:rPr>
      </w:pPr>
      <w:r w:rsidRPr="006F6038">
        <w:rPr>
          <w:rFonts w:ascii="Arial" w:hAnsi="Arial" w:cs="Arial"/>
          <w:sz w:val="20"/>
          <w:lang w:val="es-419"/>
        </w:rPr>
        <w:t>3.</w:t>
      </w:r>
      <w:r w:rsidRPr="006F6038">
        <w:rPr>
          <w:rFonts w:ascii="Arial" w:hAnsi="Arial" w:cs="Arial"/>
          <w:sz w:val="20"/>
          <w:lang w:val="es-419"/>
        </w:rPr>
        <w:tab/>
        <w:t>LOS ACTOS JURÍDICOS Y SU VALIDEZ</w:t>
      </w:r>
    </w:p>
    <w:p w14:paraId="237FEBC3" w14:textId="77777777" w:rsidR="00CE7323" w:rsidRDefault="00CE7323" w:rsidP="00CE7323">
      <w:pPr>
        <w:overflowPunct w:val="0"/>
        <w:autoSpaceDE w:val="0"/>
        <w:autoSpaceDN w:val="0"/>
        <w:adjustRightInd w:val="0"/>
        <w:jc w:val="both"/>
        <w:textAlignment w:val="baseline"/>
        <w:rPr>
          <w:rFonts w:ascii="Arial" w:hAnsi="Arial" w:cs="Arial"/>
          <w:sz w:val="20"/>
          <w:lang w:val="es-419"/>
        </w:rPr>
      </w:pPr>
    </w:p>
    <w:p w14:paraId="470C31EB" w14:textId="59A8EEB4" w:rsidR="00ED5688" w:rsidRDefault="00ED5688" w:rsidP="00CE7323">
      <w:pPr>
        <w:overflowPunct w:val="0"/>
        <w:autoSpaceDE w:val="0"/>
        <w:autoSpaceDN w:val="0"/>
        <w:adjustRightInd w:val="0"/>
        <w:jc w:val="both"/>
        <w:textAlignment w:val="baseline"/>
        <w:rPr>
          <w:rFonts w:ascii="Arial" w:hAnsi="Arial" w:cs="Arial"/>
          <w:sz w:val="20"/>
          <w:lang w:val="es-419"/>
        </w:rPr>
      </w:pPr>
    </w:p>
    <w:p w14:paraId="60DB5748" w14:textId="0A4AB236" w:rsidR="00C350BE" w:rsidRPr="00046D48" w:rsidRDefault="00C350BE" w:rsidP="00C350BE">
      <w:pPr>
        <w:shd w:val="clear" w:color="auto" w:fill="000000"/>
        <w:ind w:right="-60" w:firstLine="6"/>
        <w:jc w:val="both"/>
        <w:rPr>
          <w:rFonts w:ascii="Arial" w:hAnsi="Arial" w:cs="Arial"/>
          <w:b/>
          <w:color w:val="FFFFFF"/>
        </w:rPr>
      </w:pPr>
      <w:bookmarkStart w:id="1" w:name="_Hlk77447900"/>
      <w:r w:rsidRPr="00046D48">
        <w:rPr>
          <w:rFonts w:ascii="Arial" w:hAnsi="Arial" w:cs="Arial"/>
          <w:b/>
          <w:color w:val="FFFFFF"/>
        </w:rPr>
        <w:t>LA SALA DE CASACIÓN LABORAL DE LA CORTE SUPREMA DE JUSTICIA, MEDIANTE SENTENCIA SL</w:t>
      </w:r>
      <w:r>
        <w:rPr>
          <w:rFonts w:ascii="Arial" w:hAnsi="Arial" w:cs="Arial"/>
          <w:b/>
          <w:color w:val="FFFFFF"/>
        </w:rPr>
        <w:t>265</w:t>
      </w:r>
      <w:r w:rsidRPr="00046D48">
        <w:rPr>
          <w:rFonts w:ascii="Arial" w:hAnsi="Arial" w:cs="Arial"/>
          <w:b/>
          <w:color w:val="FFFFFF"/>
        </w:rPr>
        <w:t>-</w:t>
      </w:r>
      <w:r>
        <w:rPr>
          <w:rFonts w:ascii="Arial" w:hAnsi="Arial" w:cs="Arial"/>
          <w:b/>
          <w:color w:val="FFFFFF"/>
        </w:rPr>
        <w:t>202</w:t>
      </w:r>
      <w:r>
        <w:rPr>
          <w:rFonts w:ascii="Arial" w:hAnsi="Arial" w:cs="Arial"/>
          <w:b/>
          <w:color w:val="FFFFFF"/>
        </w:rPr>
        <w:t>2</w:t>
      </w:r>
      <w:r w:rsidRPr="00046D48">
        <w:rPr>
          <w:rFonts w:ascii="Arial" w:hAnsi="Arial" w:cs="Arial"/>
          <w:b/>
          <w:color w:val="FFFFFF"/>
        </w:rPr>
        <w:t xml:space="preserve">, RADICACIÓN Nº </w:t>
      </w:r>
      <w:r>
        <w:rPr>
          <w:rFonts w:ascii="Arial" w:hAnsi="Arial" w:cs="Arial"/>
          <w:b/>
          <w:color w:val="FFFFFF"/>
        </w:rPr>
        <w:t>8</w:t>
      </w:r>
      <w:r>
        <w:rPr>
          <w:rFonts w:ascii="Arial" w:hAnsi="Arial" w:cs="Arial"/>
          <w:b/>
          <w:color w:val="FFFFFF"/>
        </w:rPr>
        <w:t>6311</w:t>
      </w:r>
      <w:r w:rsidRPr="00046D48">
        <w:rPr>
          <w:rFonts w:ascii="Arial" w:hAnsi="Arial" w:cs="Arial"/>
          <w:b/>
          <w:color w:val="FFFFFF"/>
        </w:rPr>
        <w:t xml:space="preserve">, DE FECHA </w:t>
      </w:r>
      <w:r>
        <w:rPr>
          <w:rFonts w:ascii="Arial" w:hAnsi="Arial" w:cs="Arial"/>
          <w:b/>
          <w:color w:val="FFFFFF"/>
        </w:rPr>
        <w:t>24</w:t>
      </w:r>
      <w:r>
        <w:rPr>
          <w:rFonts w:ascii="Arial" w:hAnsi="Arial" w:cs="Arial"/>
          <w:b/>
          <w:color w:val="FFFFFF"/>
        </w:rPr>
        <w:t xml:space="preserve"> DE </w:t>
      </w:r>
      <w:r>
        <w:rPr>
          <w:rFonts w:ascii="Arial" w:hAnsi="Arial" w:cs="Arial"/>
          <w:b/>
          <w:color w:val="FFFFFF"/>
        </w:rPr>
        <w:t xml:space="preserve">ENERO </w:t>
      </w:r>
      <w:r w:rsidRPr="00046D48">
        <w:rPr>
          <w:rFonts w:ascii="Arial" w:hAnsi="Arial" w:cs="Arial"/>
          <w:b/>
          <w:color w:val="FFFFFF"/>
        </w:rPr>
        <w:t xml:space="preserve">DE </w:t>
      </w:r>
      <w:r>
        <w:rPr>
          <w:rFonts w:ascii="Arial" w:hAnsi="Arial" w:cs="Arial"/>
          <w:b/>
          <w:color w:val="FFFFFF"/>
        </w:rPr>
        <w:t>202</w:t>
      </w:r>
      <w:r>
        <w:rPr>
          <w:rFonts w:ascii="Arial" w:hAnsi="Arial" w:cs="Arial"/>
          <w:b/>
          <w:color w:val="FFFFFF"/>
        </w:rPr>
        <w:t>2</w:t>
      </w:r>
      <w:r w:rsidRPr="00046D48">
        <w:rPr>
          <w:rFonts w:ascii="Arial" w:hAnsi="Arial" w:cs="Arial"/>
          <w:b/>
          <w:color w:val="FFFFFF"/>
        </w:rPr>
        <w:t>, QUE PUEDE SER CONSULTADA EN LA PÁGINA WEB DE DICHA CORPORACIÓN</w:t>
      </w:r>
      <w:r>
        <w:rPr>
          <w:rFonts w:ascii="Arial" w:hAnsi="Arial" w:cs="Arial"/>
          <w:b/>
          <w:color w:val="FFFFFF"/>
        </w:rPr>
        <w:t xml:space="preserve"> O EN EL ARCHIVO QUE ESTÁ A CONTINUACIÓN DE ÉSTE</w:t>
      </w:r>
      <w:r w:rsidRPr="00046D48">
        <w:rPr>
          <w:rFonts w:ascii="Arial" w:hAnsi="Arial" w:cs="Arial"/>
          <w:b/>
          <w:color w:val="FFFFFF"/>
        </w:rPr>
        <w:t xml:space="preserve">, CASÓ EL PRESENTE FALLO Y “EN SEDE DE INSTANCIA” </w:t>
      </w:r>
      <w:r>
        <w:rPr>
          <w:rFonts w:ascii="Arial" w:hAnsi="Arial" w:cs="Arial"/>
          <w:b/>
          <w:color w:val="FFFFFF"/>
        </w:rPr>
        <w:t xml:space="preserve">CONFIRMÓ </w:t>
      </w:r>
      <w:r w:rsidRPr="00046D48">
        <w:rPr>
          <w:rFonts w:ascii="Arial" w:hAnsi="Arial" w:cs="Arial"/>
          <w:b/>
          <w:color w:val="FFFFFF"/>
        </w:rPr>
        <w:t xml:space="preserve">LA SENTENCIA PROFERIDA EL </w:t>
      </w:r>
      <w:r w:rsidR="00DF5703">
        <w:rPr>
          <w:rFonts w:ascii="Arial" w:hAnsi="Arial" w:cs="Arial"/>
          <w:b/>
          <w:color w:val="FFFFFF"/>
        </w:rPr>
        <w:t xml:space="preserve">27 DE JUNIO </w:t>
      </w:r>
      <w:r>
        <w:rPr>
          <w:rFonts w:ascii="Arial" w:hAnsi="Arial" w:cs="Arial"/>
          <w:b/>
          <w:color w:val="FFFFFF"/>
        </w:rPr>
        <w:t xml:space="preserve">DE 2018 </w:t>
      </w:r>
      <w:r w:rsidRPr="00046D48">
        <w:rPr>
          <w:rFonts w:ascii="Arial" w:hAnsi="Arial" w:cs="Arial"/>
          <w:b/>
          <w:color w:val="FFFFFF"/>
        </w:rPr>
        <w:t xml:space="preserve">POR EL JUZGADO </w:t>
      </w:r>
      <w:r w:rsidR="00DF5703">
        <w:rPr>
          <w:rFonts w:ascii="Arial" w:hAnsi="Arial" w:cs="Arial"/>
          <w:b/>
          <w:color w:val="FFFFFF"/>
        </w:rPr>
        <w:t>QUINTO</w:t>
      </w:r>
      <w:r>
        <w:rPr>
          <w:rFonts w:ascii="Arial" w:hAnsi="Arial" w:cs="Arial"/>
          <w:b/>
          <w:color w:val="FFFFFF"/>
        </w:rPr>
        <w:t xml:space="preserve"> </w:t>
      </w:r>
      <w:r w:rsidRPr="00046D48">
        <w:rPr>
          <w:rFonts w:ascii="Arial" w:hAnsi="Arial" w:cs="Arial"/>
          <w:b/>
          <w:color w:val="FFFFFF"/>
        </w:rPr>
        <w:t>LABORAL DEL CIRCUITO DE LA CIUDAD</w:t>
      </w:r>
      <w:r>
        <w:rPr>
          <w:rFonts w:ascii="Arial" w:hAnsi="Arial" w:cs="Arial"/>
          <w:b/>
          <w:color w:val="FFFFFF"/>
        </w:rPr>
        <w:t xml:space="preserve"> QUE ACCEDIÓ A LAS </w:t>
      </w:r>
      <w:r w:rsidRPr="00046D48">
        <w:rPr>
          <w:rFonts w:ascii="Arial" w:hAnsi="Arial" w:cs="Arial"/>
          <w:b/>
          <w:color w:val="FFFFFF"/>
        </w:rPr>
        <w:t>PRETENSIONES</w:t>
      </w:r>
      <w:r>
        <w:rPr>
          <w:rFonts w:ascii="Arial" w:hAnsi="Arial" w:cs="Arial"/>
          <w:b/>
          <w:color w:val="FFFFFF"/>
        </w:rPr>
        <w:t xml:space="preserve"> DE LA DEMANDA.</w:t>
      </w:r>
    </w:p>
    <w:bookmarkEnd w:id="1"/>
    <w:p w14:paraId="40DA469C" w14:textId="59B03CF9" w:rsidR="00C350BE" w:rsidRDefault="00C350BE" w:rsidP="00CE7323">
      <w:pPr>
        <w:overflowPunct w:val="0"/>
        <w:autoSpaceDE w:val="0"/>
        <w:autoSpaceDN w:val="0"/>
        <w:adjustRightInd w:val="0"/>
        <w:jc w:val="both"/>
        <w:textAlignment w:val="baseline"/>
        <w:rPr>
          <w:rFonts w:ascii="Arial" w:hAnsi="Arial" w:cs="Arial"/>
          <w:sz w:val="20"/>
          <w:lang w:val="es-419"/>
        </w:rPr>
      </w:pPr>
    </w:p>
    <w:p w14:paraId="591FF1CD" w14:textId="77777777" w:rsidR="00C350BE" w:rsidRDefault="00C350BE" w:rsidP="00CE7323">
      <w:pPr>
        <w:overflowPunct w:val="0"/>
        <w:autoSpaceDE w:val="0"/>
        <w:autoSpaceDN w:val="0"/>
        <w:adjustRightInd w:val="0"/>
        <w:jc w:val="both"/>
        <w:textAlignment w:val="baseline"/>
        <w:rPr>
          <w:rFonts w:ascii="Arial" w:hAnsi="Arial" w:cs="Arial"/>
          <w:sz w:val="20"/>
          <w:lang w:val="es-419"/>
        </w:rPr>
      </w:pPr>
    </w:p>
    <w:p w14:paraId="1FAD2107" w14:textId="77777777" w:rsidR="00C350BE" w:rsidRPr="00CE7323" w:rsidRDefault="00C350BE" w:rsidP="00CE7323">
      <w:pPr>
        <w:overflowPunct w:val="0"/>
        <w:autoSpaceDE w:val="0"/>
        <w:autoSpaceDN w:val="0"/>
        <w:adjustRightInd w:val="0"/>
        <w:jc w:val="both"/>
        <w:textAlignment w:val="baseline"/>
        <w:rPr>
          <w:rFonts w:ascii="Arial" w:hAnsi="Arial" w:cs="Arial"/>
          <w:sz w:val="20"/>
          <w:lang w:val="es-419"/>
        </w:rPr>
      </w:pPr>
    </w:p>
    <w:p w14:paraId="5A18D3C4" w14:textId="77777777" w:rsidR="00CE7323" w:rsidRPr="00CE7323" w:rsidRDefault="00CE7323" w:rsidP="00CE7323">
      <w:pPr>
        <w:overflowPunct w:val="0"/>
        <w:autoSpaceDE w:val="0"/>
        <w:autoSpaceDN w:val="0"/>
        <w:adjustRightInd w:val="0"/>
        <w:jc w:val="both"/>
        <w:textAlignment w:val="baseline"/>
        <w:rPr>
          <w:rFonts w:ascii="Arial" w:hAnsi="Arial" w:cs="Arial"/>
          <w:sz w:val="20"/>
          <w:lang w:val="es-419"/>
        </w:rPr>
      </w:pPr>
    </w:p>
    <w:p w14:paraId="2C420542" w14:textId="77777777" w:rsidR="00A206E1" w:rsidRPr="00BC3C0F" w:rsidRDefault="00A206E1" w:rsidP="00A206E1">
      <w:pPr>
        <w:spacing w:line="240" w:lineRule="atLeast"/>
        <w:jc w:val="center"/>
        <w:rPr>
          <w:rFonts w:ascii="Edwardian Script ITC" w:hAnsi="Edwardian Script ITC" w:cs="Arial"/>
          <w:b/>
          <w:sz w:val="44"/>
          <w:szCs w:val="44"/>
        </w:rPr>
      </w:pPr>
      <w:r w:rsidRPr="00BC3C0F">
        <w:rPr>
          <w:rFonts w:ascii="Edwardian Script ITC" w:hAnsi="Edwardian Script ITC"/>
          <w:noProof/>
          <w:sz w:val="44"/>
          <w:szCs w:val="44"/>
          <w:lang w:val="es-ES"/>
        </w:rPr>
        <w:drawing>
          <wp:inline distT="0" distB="0" distL="0" distR="0" wp14:anchorId="253010C2" wp14:editId="3FFFB07A">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7BD0733D" w14:textId="77777777" w:rsidR="00A206E1" w:rsidRPr="00CE7323" w:rsidRDefault="00A206E1" w:rsidP="006F6038">
      <w:pPr>
        <w:widowControl w:val="0"/>
        <w:spacing w:line="360" w:lineRule="auto"/>
        <w:jc w:val="center"/>
        <w:rPr>
          <w:rFonts w:ascii="Arial" w:hAnsi="Arial" w:cs="Arial"/>
          <w:b/>
          <w:kern w:val="28"/>
          <w:szCs w:val="24"/>
        </w:rPr>
      </w:pPr>
      <w:r w:rsidRPr="00CE7323">
        <w:rPr>
          <w:rFonts w:ascii="Arial" w:hAnsi="Arial" w:cs="Arial"/>
          <w:b/>
          <w:kern w:val="28"/>
          <w:szCs w:val="24"/>
        </w:rPr>
        <w:t>RAMA JUDICIAL DEL PODER PÚBLICO</w:t>
      </w:r>
    </w:p>
    <w:p w14:paraId="06E1E932" w14:textId="77777777" w:rsidR="00A206E1" w:rsidRPr="00CE7323" w:rsidRDefault="00A206E1" w:rsidP="006F6038">
      <w:pPr>
        <w:widowControl w:val="0"/>
        <w:spacing w:line="360" w:lineRule="auto"/>
        <w:jc w:val="center"/>
        <w:rPr>
          <w:rFonts w:ascii="Arial" w:hAnsi="Arial" w:cs="Arial"/>
          <w:b/>
          <w:kern w:val="28"/>
          <w:szCs w:val="24"/>
        </w:rPr>
      </w:pPr>
      <w:r w:rsidRPr="00CE7323">
        <w:rPr>
          <w:rFonts w:ascii="Arial" w:hAnsi="Arial" w:cs="Arial"/>
          <w:b/>
          <w:kern w:val="28"/>
          <w:szCs w:val="24"/>
        </w:rPr>
        <w:t>TRIBUNAL SUPERIOR DEL DISTRITO JUDICIAL DE PEREIRA</w:t>
      </w:r>
    </w:p>
    <w:p w14:paraId="23BBC45C" w14:textId="74D3FD5C" w:rsidR="00A206E1" w:rsidRPr="00CE7323" w:rsidRDefault="00A206E1" w:rsidP="006F6038">
      <w:pPr>
        <w:keepNext/>
        <w:spacing w:line="360" w:lineRule="auto"/>
        <w:jc w:val="center"/>
        <w:rPr>
          <w:rFonts w:ascii="Arial" w:hAnsi="Arial" w:cs="Arial"/>
          <w:b/>
          <w:bCs/>
          <w:szCs w:val="24"/>
        </w:rPr>
      </w:pPr>
      <w:r w:rsidRPr="00CE7323">
        <w:rPr>
          <w:rFonts w:ascii="Arial" w:hAnsi="Arial" w:cs="Arial"/>
          <w:b/>
          <w:bCs/>
          <w:szCs w:val="24"/>
        </w:rPr>
        <w:t>SALA</w:t>
      </w:r>
      <w:r w:rsidR="00CA6CBD" w:rsidRPr="00CE7323">
        <w:rPr>
          <w:rFonts w:ascii="Arial" w:hAnsi="Arial" w:cs="Arial"/>
          <w:b/>
          <w:bCs/>
          <w:szCs w:val="24"/>
        </w:rPr>
        <w:t xml:space="preserve"> SEGUNDA</w:t>
      </w:r>
      <w:r w:rsidRPr="00CE7323">
        <w:rPr>
          <w:rFonts w:ascii="Arial" w:hAnsi="Arial" w:cs="Arial"/>
          <w:b/>
          <w:bCs/>
          <w:szCs w:val="24"/>
        </w:rPr>
        <w:t xml:space="preserve"> LABORAL</w:t>
      </w:r>
    </w:p>
    <w:p w14:paraId="6CFB5A1A" w14:textId="77777777" w:rsidR="002C5C7B" w:rsidRPr="00CE7323" w:rsidRDefault="002C5C7B" w:rsidP="006F6038">
      <w:pPr>
        <w:spacing w:line="360" w:lineRule="auto"/>
        <w:contextualSpacing/>
        <w:rPr>
          <w:rFonts w:ascii="Arial" w:hAnsi="Arial" w:cs="Arial"/>
          <w:szCs w:val="24"/>
        </w:rPr>
      </w:pPr>
    </w:p>
    <w:p w14:paraId="4F063A51" w14:textId="77777777" w:rsidR="00A206E1" w:rsidRPr="00BC3C0F" w:rsidRDefault="00A206E1" w:rsidP="006F6038">
      <w:pPr>
        <w:spacing w:line="360" w:lineRule="auto"/>
        <w:jc w:val="center"/>
        <w:rPr>
          <w:rFonts w:ascii="Arial" w:hAnsi="Arial" w:cs="Arial"/>
          <w:color w:val="000000"/>
          <w:szCs w:val="24"/>
        </w:rPr>
      </w:pPr>
      <w:r w:rsidRPr="00BC3C0F">
        <w:rPr>
          <w:rFonts w:ascii="Arial" w:hAnsi="Arial" w:cs="Arial"/>
          <w:color w:val="000000"/>
          <w:szCs w:val="24"/>
        </w:rPr>
        <w:t>Magistrada Sustanciadora</w:t>
      </w:r>
    </w:p>
    <w:p w14:paraId="3CF81B67" w14:textId="77777777" w:rsidR="00A206E1" w:rsidRPr="00BC3C0F" w:rsidRDefault="00A206E1" w:rsidP="006F6038">
      <w:pPr>
        <w:widowControl w:val="0"/>
        <w:spacing w:line="360" w:lineRule="auto"/>
        <w:jc w:val="center"/>
        <w:rPr>
          <w:rFonts w:ascii="Arial" w:hAnsi="Arial" w:cs="Arial"/>
          <w:b/>
          <w:bCs/>
          <w:color w:val="000000"/>
          <w:kern w:val="28"/>
          <w:szCs w:val="24"/>
        </w:rPr>
      </w:pPr>
      <w:r w:rsidRPr="00BC3C0F">
        <w:rPr>
          <w:rFonts w:ascii="Arial" w:hAnsi="Arial" w:cs="Arial"/>
          <w:b/>
          <w:bCs/>
          <w:color w:val="000000"/>
          <w:kern w:val="28"/>
          <w:szCs w:val="24"/>
        </w:rPr>
        <w:t>OLGA LUCÍA HOYOS SEPÚLVEDA</w:t>
      </w:r>
    </w:p>
    <w:p w14:paraId="1540206D" w14:textId="77777777" w:rsidR="00A206E1" w:rsidRPr="00CE7323" w:rsidRDefault="00A206E1" w:rsidP="006F6038">
      <w:pPr>
        <w:spacing w:line="360" w:lineRule="auto"/>
        <w:contextualSpacing/>
        <w:rPr>
          <w:rFonts w:ascii="Arial" w:hAnsi="Arial" w:cs="Arial"/>
          <w:szCs w:val="24"/>
        </w:rPr>
      </w:pPr>
    </w:p>
    <w:p w14:paraId="5540DDC8" w14:textId="77777777" w:rsidR="00A206E1" w:rsidRPr="00BC3C0F" w:rsidRDefault="00A206E1" w:rsidP="006F6038">
      <w:pPr>
        <w:spacing w:line="360" w:lineRule="auto"/>
        <w:ind w:left="2127" w:hanging="1276"/>
        <w:contextualSpacing/>
        <w:jc w:val="center"/>
        <w:rPr>
          <w:rFonts w:ascii="Arial" w:hAnsi="Arial" w:cs="Arial"/>
          <w:b/>
          <w:szCs w:val="24"/>
        </w:rPr>
      </w:pPr>
      <w:r w:rsidRPr="00BC3C0F">
        <w:rPr>
          <w:rFonts w:ascii="Arial" w:hAnsi="Arial" w:cs="Arial"/>
          <w:b/>
          <w:szCs w:val="24"/>
        </w:rPr>
        <w:lastRenderedPageBreak/>
        <w:t>AUDIENCIA PÚBLICA</w:t>
      </w:r>
    </w:p>
    <w:p w14:paraId="3489362C" w14:textId="77777777" w:rsidR="00D636F8" w:rsidRPr="00BC3C0F" w:rsidRDefault="00D636F8" w:rsidP="00CE7323">
      <w:pPr>
        <w:spacing w:line="276" w:lineRule="auto"/>
        <w:contextualSpacing/>
        <w:rPr>
          <w:rFonts w:ascii="Arial" w:hAnsi="Arial" w:cs="Arial"/>
          <w:szCs w:val="24"/>
        </w:rPr>
      </w:pPr>
    </w:p>
    <w:p w14:paraId="0EEFFAC6" w14:textId="3892A05B" w:rsidR="00D636F8" w:rsidRPr="00BC3C0F" w:rsidRDefault="00D636F8" w:rsidP="005920A9">
      <w:pPr>
        <w:spacing w:line="276" w:lineRule="auto"/>
        <w:contextualSpacing/>
        <w:jc w:val="both"/>
        <w:rPr>
          <w:rFonts w:ascii="Arial" w:hAnsi="Arial" w:cs="Arial"/>
          <w:bCs/>
          <w:szCs w:val="24"/>
        </w:rPr>
      </w:pPr>
      <w:r w:rsidRPr="00BC3C0F">
        <w:rPr>
          <w:rFonts w:ascii="Arial" w:eastAsia="Calibri" w:hAnsi="Arial" w:cs="Arial"/>
          <w:szCs w:val="24"/>
          <w:lang w:eastAsia="en-US"/>
        </w:rPr>
        <w:t xml:space="preserve">En Pereira, </w:t>
      </w:r>
      <w:r w:rsidR="00446B63" w:rsidRPr="00BC3C0F">
        <w:rPr>
          <w:rFonts w:ascii="Arial" w:eastAsia="Calibri" w:hAnsi="Arial" w:cs="Arial"/>
          <w:szCs w:val="24"/>
          <w:lang w:eastAsia="en-US"/>
        </w:rPr>
        <w:t xml:space="preserve">a </w:t>
      </w:r>
      <w:r w:rsidR="00CA6CBD" w:rsidRPr="00BC3C0F">
        <w:rPr>
          <w:rFonts w:ascii="Arial" w:eastAsia="Calibri" w:hAnsi="Arial" w:cs="Arial"/>
          <w:szCs w:val="24"/>
          <w:lang w:eastAsia="en-US"/>
        </w:rPr>
        <w:t>los</w:t>
      </w:r>
      <w:r w:rsidR="0048005C">
        <w:rPr>
          <w:rFonts w:ascii="Arial" w:eastAsia="Calibri" w:hAnsi="Arial" w:cs="Arial"/>
          <w:szCs w:val="24"/>
          <w:lang w:eastAsia="en-US"/>
        </w:rPr>
        <w:t xml:space="preserve"> veintiocho</w:t>
      </w:r>
      <w:r w:rsidR="00446B63" w:rsidRPr="00BC3C0F">
        <w:rPr>
          <w:rFonts w:ascii="Arial" w:eastAsia="Calibri" w:hAnsi="Arial" w:cs="Arial"/>
          <w:szCs w:val="24"/>
          <w:lang w:eastAsia="en-US"/>
        </w:rPr>
        <w:t xml:space="preserve"> </w:t>
      </w:r>
      <w:r w:rsidR="00AD05E0" w:rsidRPr="00BC3C0F">
        <w:rPr>
          <w:rFonts w:ascii="Arial" w:eastAsia="Calibri" w:hAnsi="Arial" w:cs="Arial"/>
          <w:szCs w:val="24"/>
          <w:lang w:eastAsia="en-US"/>
        </w:rPr>
        <w:t>(</w:t>
      </w:r>
      <w:r w:rsidR="0048005C">
        <w:rPr>
          <w:rFonts w:ascii="Arial" w:eastAsia="Calibri" w:hAnsi="Arial" w:cs="Arial"/>
          <w:szCs w:val="24"/>
          <w:lang w:eastAsia="en-US"/>
        </w:rPr>
        <w:t>28</w:t>
      </w:r>
      <w:r w:rsidRPr="00BC3C0F">
        <w:rPr>
          <w:rFonts w:ascii="Arial" w:eastAsia="Calibri" w:hAnsi="Arial" w:cs="Arial"/>
          <w:szCs w:val="24"/>
          <w:lang w:eastAsia="en-US"/>
        </w:rPr>
        <w:t>) día</w:t>
      </w:r>
      <w:r w:rsidR="00446B63" w:rsidRPr="00BC3C0F">
        <w:rPr>
          <w:rFonts w:ascii="Arial" w:eastAsia="Calibri" w:hAnsi="Arial" w:cs="Arial"/>
          <w:szCs w:val="24"/>
          <w:lang w:eastAsia="en-US"/>
        </w:rPr>
        <w:t>s</w:t>
      </w:r>
      <w:r w:rsidRPr="00BC3C0F">
        <w:rPr>
          <w:rFonts w:ascii="Arial" w:eastAsia="Calibri" w:hAnsi="Arial" w:cs="Arial"/>
          <w:szCs w:val="24"/>
          <w:lang w:eastAsia="en-US"/>
        </w:rPr>
        <w:t xml:space="preserve"> del mes de </w:t>
      </w:r>
      <w:r w:rsidR="0048005C">
        <w:rPr>
          <w:rFonts w:ascii="Arial" w:eastAsia="Calibri" w:hAnsi="Arial" w:cs="Arial"/>
          <w:szCs w:val="24"/>
          <w:lang w:eastAsia="en-US"/>
        </w:rPr>
        <w:t xml:space="preserve">mayo </w:t>
      </w:r>
      <w:r w:rsidRPr="00BC3C0F">
        <w:rPr>
          <w:rFonts w:ascii="Arial" w:eastAsia="Calibri" w:hAnsi="Arial" w:cs="Arial"/>
          <w:szCs w:val="24"/>
          <w:lang w:eastAsia="en-US"/>
        </w:rPr>
        <w:t>de dos mil dieci</w:t>
      </w:r>
      <w:r w:rsidR="00774220" w:rsidRPr="00BC3C0F">
        <w:rPr>
          <w:rFonts w:ascii="Arial" w:eastAsia="Calibri" w:hAnsi="Arial" w:cs="Arial"/>
          <w:szCs w:val="24"/>
          <w:lang w:eastAsia="en-US"/>
        </w:rPr>
        <w:t xml:space="preserve">nueve </w:t>
      </w:r>
      <w:r w:rsidRPr="00BC3C0F">
        <w:rPr>
          <w:rFonts w:ascii="Arial" w:eastAsia="Calibri" w:hAnsi="Arial" w:cs="Arial"/>
          <w:szCs w:val="24"/>
          <w:lang w:eastAsia="en-US"/>
        </w:rPr>
        <w:t>(201</w:t>
      </w:r>
      <w:r w:rsidR="00774220" w:rsidRPr="00BC3C0F">
        <w:rPr>
          <w:rFonts w:ascii="Arial" w:eastAsia="Calibri" w:hAnsi="Arial" w:cs="Arial"/>
          <w:szCs w:val="24"/>
          <w:lang w:eastAsia="en-US"/>
        </w:rPr>
        <w:t>9</w:t>
      </w:r>
      <w:r w:rsidRPr="00BC3C0F">
        <w:rPr>
          <w:rFonts w:ascii="Arial" w:eastAsia="Calibri" w:hAnsi="Arial" w:cs="Arial"/>
          <w:szCs w:val="24"/>
          <w:lang w:eastAsia="en-US"/>
        </w:rPr>
        <w:t xml:space="preserve">), siendo las </w:t>
      </w:r>
      <w:r w:rsidR="0048005C">
        <w:rPr>
          <w:rFonts w:ascii="Arial" w:eastAsia="Calibri" w:hAnsi="Arial" w:cs="Arial"/>
          <w:szCs w:val="24"/>
          <w:lang w:eastAsia="en-US"/>
        </w:rPr>
        <w:t>nueve y treinta</w:t>
      </w:r>
      <w:r w:rsidR="00D611D0">
        <w:rPr>
          <w:rFonts w:ascii="Arial" w:eastAsia="Calibri" w:hAnsi="Arial" w:cs="Arial"/>
          <w:szCs w:val="24"/>
          <w:lang w:eastAsia="en-US"/>
        </w:rPr>
        <w:t xml:space="preserve"> </w:t>
      </w:r>
      <w:r w:rsidR="00501B88" w:rsidRPr="00BC3C0F">
        <w:rPr>
          <w:rFonts w:ascii="Arial" w:eastAsia="Calibri" w:hAnsi="Arial" w:cs="Arial"/>
          <w:szCs w:val="24"/>
          <w:lang w:eastAsia="en-US"/>
        </w:rPr>
        <w:t>de la mañana</w:t>
      </w:r>
      <w:r w:rsidR="00B24407" w:rsidRPr="00BC3C0F">
        <w:rPr>
          <w:rFonts w:ascii="Arial" w:eastAsia="Calibri" w:hAnsi="Arial" w:cs="Arial"/>
          <w:szCs w:val="24"/>
          <w:lang w:eastAsia="en-US"/>
        </w:rPr>
        <w:t xml:space="preserve"> </w:t>
      </w:r>
      <w:r w:rsidRPr="00BC3C0F">
        <w:rPr>
          <w:rFonts w:ascii="Arial" w:eastAsia="Calibri" w:hAnsi="Arial" w:cs="Arial"/>
          <w:szCs w:val="24"/>
          <w:lang w:eastAsia="en-US"/>
        </w:rPr>
        <w:t>(</w:t>
      </w:r>
      <w:r w:rsidR="0048005C">
        <w:rPr>
          <w:rFonts w:ascii="Arial" w:eastAsia="Calibri" w:hAnsi="Arial" w:cs="Arial"/>
          <w:szCs w:val="24"/>
          <w:lang w:eastAsia="en-US"/>
        </w:rPr>
        <w:t>09</w:t>
      </w:r>
      <w:r w:rsidR="00C51352" w:rsidRPr="00BC3C0F">
        <w:rPr>
          <w:rFonts w:ascii="Arial" w:eastAsia="Calibri" w:hAnsi="Arial" w:cs="Arial"/>
          <w:szCs w:val="24"/>
          <w:lang w:eastAsia="en-US"/>
        </w:rPr>
        <w:t>:</w:t>
      </w:r>
      <w:r w:rsidR="0048005C">
        <w:rPr>
          <w:rFonts w:ascii="Arial" w:eastAsia="Calibri" w:hAnsi="Arial" w:cs="Arial"/>
          <w:szCs w:val="24"/>
          <w:lang w:eastAsia="en-US"/>
        </w:rPr>
        <w:t>30</w:t>
      </w:r>
      <w:r w:rsidR="0090597F" w:rsidRPr="00BC3C0F">
        <w:rPr>
          <w:rFonts w:ascii="Arial" w:eastAsia="Calibri" w:hAnsi="Arial" w:cs="Arial"/>
          <w:szCs w:val="24"/>
          <w:lang w:eastAsia="en-US"/>
        </w:rPr>
        <w:t xml:space="preserve"> </w:t>
      </w:r>
      <w:r w:rsidR="00B24407" w:rsidRPr="00BC3C0F">
        <w:rPr>
          <w:rFonts w:ascii="Arial" w:eastAsia="Calibri" w:hAnsi="Arial" w:cs="Arial"/>
          <w:szCs w:val="24"/>
          <w:lang w:eastAsia="en-US"/>
        </w:rPr>
        <w:t>a</w:t>
      </w:r>
      <w:r w:rsidR="005B5D81" w:rsidRPr="00BC3C0F">
        <w:rPr>
          <w:rFonts w:ascii="Arial" w:eastAsia="Calibri" w:hAnsi="Arial" w:cs="Arial"/>
          <w:szCs w:val="24"/>
          <w:lang w:eastAsia="en-US"/>
        </w:rPr>
        <w:t>.</w:t>
      </w:r>
      <w:r w:rsidRPr="00BC3C0F">
        <w:rPr>
          <w:rFonts w:ascii="Arial" w:eastAsia="Calibri" w:hAnsi="Arial" w:cs="Arial"/>
          <w:szCs w:val="24"/>
          <w:lang w:eastAsia="en-US"/>
        </w:rPr>
        <w:t>m</w:t>
      </w:r>
      <w:r w:rsidR="005B5D81" w:rsidRPr="00BC3C0F">
        <w:rPr>
          <w:rFonts w:ascii="Arial" w:eastAsia="Calibri" w:hAnsi="Arial" w:cs="Arial"/>
          <w:szCs w:val="24"/>
          <w:lang w:eastAsia="en-US"/>
        </w:rPr>
        <w:t>.</w:t>
      </w:r>
      <w:r w:rsidRPr="00BC3C0F">
        <w:rPr>
          <w:rFonts w:ascii="Arial" w:eastAsia="Calibri" w:hAnsi="Arial" w:cs="Arial"/>
          <w:szCs w:val="24"/>
          <w:lang w:eastAsia="en-US"/>
        </w:rPr>
        <w:t xml:space="preserve">), </w:t>
      </w:r>
      <w:r w:rsidRPr="00BC3C0F">
        <w:rPr>
          <w:rFonts w:ascii="Arial" w:hAnsi="Arial" w:cs="Arial"/>
          <w:bCs/>
          <w:color w:val="000000"/>
          <w:szCs w:val="24"/>
          <w:lang w:eastAsia="es-CO"/>
        </w:rPr>
        <w:t xml:space="preserve">la </w:t>
      </w:r>
      <w:r w:rsidR="00CA6CBD" w:rsidRPr="00BC3C0F">
        <w:rPr>
          <w:rFonts w:ascii="Arial" w:hAnsi="Arial" w:cs="Arial"/>
          <w:bCs/>
          <w:color w:val="000000"/>
          <w:szCs w:val="24"/>
          <w:lang w:eastAsia="es-CO"/>
        </w:rPr>
        <w:t>Sala Segunda</w:t>
      </w:r>
      <w:r w:rsidR="00C51352" w:rsidRPr="00BC3C0F">
        <w:rPr>
          <w:rFonts w:ascii="Arial" w:hAnsi="Arial" w:cs="Arial"/>
          <w:bCs/>
          <w:color w:val="000000"/>
          <w:szCs w:val="24"/>
          <w:lang w:eastAsia="es-CO"/>
        </w:rPr>
        <w:t xml:space="preserve"> </w:t>
      </w:r>
      <w:r w:rsidRPr="00BC3C0F">
        <w:rPr>
          <w:rFonts w:ascii="Arial" w:hAnsi="Arial" w:cs="Arial"/>
          <w:bCs/>
          <w:color w:val="000000"/>
          <w:szCs w:val="24"/>
          <w:lang w:eastAsia="es-CO"/>
        </w:rPr>
        <w:t>de Decisión Laboral del Tribunal Superior del Distrito Judicial de Pereira, se declara en audiencia públi</w:t>
      </w:r>
      <w:r w:rsidR="00B01953" w:rsidRPr="00BC3C0F">
        <w:rPr>
          <w:rFonts w:ascii="Arial" w:hAnsi="Arial" w:cs="Arial"/>
          <w:bCs/>
          <w:color w:val="000000"/>
          <w:szCs w:val="24"/>
          <w:lang w:eastAsia="es-CO"/>
        </w:rPr>
        <w:t xml:space="preserve">ca con el propósito </w:t>
      </w:r>
      <w:r w:rsidR="00CA6CBD" w:rsidRPr="00BC3C0F">
        <w:rPr>
          <w:rFonts w:ascii="Arial" w:hAnsi="Arial" w:cs="Arial"/>
          <w:bCs/>
          <w:color w:val="000000"/>
          <w:szCs w:val="24"/>
          <w:lang w:eastAsia="es-CO"/>
        </w:rPr>
        <w:t xml:space="preserve">de desatar el recurso de apelación </w:t>
      </w:r>
      <w:r w:rsidR="00BE1486">
        <w:rPr>
          <w:rFonts w:ascii="Arial" w:hAnsi="Arial" w:cs="Arial"/>
          <w:bCs/>
          <w:color w:val="000000"/>
          <w:szCs w:val="24"/>
          <w:lang w:eastAsia="es-CO"/>
        </w:rPr>
        <w:t>y el grado jurisdiccional de consulta de</w:t>
      </w:r>
      <w:r w:rsidRPr="00BC3C0F">
        <w:rPr>
          <w:rFonts w:ascii="Arial" w:hAnsi="Arial" w:cs="Arial"/>
          <w:bCs/>
          <w:color w:val="000000"/>
          <w:szCs w:val="24"/>
          <w:lang w:eastAsia="es-CO"/>
        </w:rPr>
        <w:t xml:space="preserve"> la sentencia p</w:t>
      </w:r>
      <w:r w:rsidRPr="00BC3C0F">
        <w:rPr>
          <w:rFonts w:ascii="Arial" w:hAnsi="Arial" w:cs="Arial"/>
          <w:szCs w:val="24"/>
        </w:rPr>
        <w:t xml:space="preserve">roferida el </w:t>
      </w:r>
      <w:r w:rsidR="00BE1486">
        <w:rPr>
          <w:rFonts w:ascii="Arial" w:hAnsi="Arial" w:cs="Arial"/>
          <w:szCs w:val="24"/>
        </w:rPr>
        <w:t>28</w:t>
      </w:r>
      <w:r w:rsidR="00AD33A2">
        <w:rPr>
          <w:rFonts w:ascii="Arial" w:hAnsi="Arial" w:cs="Arial"/>
          <w:szCs w:val="24"/>
        </w:rPr>
        <w:t xml:space="preserve"> de junio de </w:t>
      </w:r>
      <w:r w:rsidR="00CA6CBD" w:rsidRPr="00BC3C0F">
        <w:rPr>
          <w:rFonts w:ascii="Arial" w:hAnsi="Arial" w:cs="Arial"/>
          <w:szCs w:val="24"/>
        </w:rPr>
        <w:t>2018</w:t>
      </w:r>
      <w:r w:rsidRPr="00BC3C0F">
        <w:rPr>
          <w:rFonts w:ascii="Arial" w:hAnsi="Arial" w:cs="Arial"/>
          <w:szCs w:val="24"/>
        </w:rPr>
        <w:t xml:space="preserve"> por el Juzgado </w:t>
      </w:r>
      <w:r w:rsidR="00CA6CBD" w:rsidRPr="00BC3C0F">
        <w:rPr>
          <w:rFonts w:ascii="Arial" w:hAnsi="Arial" w:cs="Arial"/>
          <w:szCs w:val="24"/>
        </w:rPr>
        <w:t>Quinto</w:t>
      </w:r>
      <w:r w:rsidR="00C51352" w:rsidRPr="00BC3C0F">
        <w:rPr>
          <w:rFonts w:ascii="Arial" w:hAnsi="Arial" w:cs="Arial"/>
          <w:szCs w:val="24"/>
        </w:rPr>
        <w:t xml:space="preserve"> </w:t>
      </w:r>
      <w:r w:rsidRPr="00BC3C0F">
        <w:rPr>
          <w:rFonts w:ascii="Arial" w:hAnsi="Arial" w:cs="Arial"/>
          <w:szCs w:val="24"/>
        </w:rPr>
        <w:t xml:space="preserve">Laboral del Circuito de Pereira, dentro del proceso </w:t>
      </w:r>
      <w:r w:rsidR="00B01953" w:rsidRPr="00BC3C0F">
        <w:rPr>
          <w:rFonts w:ascii="Arial" w:hAnsi="Arial" w:cs="Arial"/>
          <w:szCs w:val="24"/>
        </w:rPr>
        <w:t xml:space="preserve">promovido por </w:t>
      </w:r>
      <w:r w:rsidR="00BE1486">
        <w:rPr>
          <w:rFonts w:ascii="Arial" w:hAnsi="Arial" w:cs="Arial"/>
          <w:b/>
          <w:szCs w:val="24"/>
        </w:rPr>
        <w:t xml:space="preserve">María </w:t>
      </w:r>
      <w:proofErr w:type="spellStart"/>
      <w:r w:rsidR="00BE1486">
        <w:rPr>
          <w:rFonts w:ascii="Arial" w:hAnsi="Arial" w:cs="Arial"/>
          <w:b/>
          <w:szCs w:val="24"/>
        </w:rPr>
        <w:t>Yorladis</w:t>
      </w:r>
      <w:proofErr w:type="spellEnd"/>
      <w:r w:rsidR="00BE1486">
        <w:rPr>
          <w:rFonts w:ascii="Arial" w:hAnsi="Arial" w:cs="Arial"/>
          <w:b/>
          <w:szCs w:val="24"/>
        </w:rPr>
        <w:t xml:space="preserve"> Ramírez Agudelo</w:t>
      </w:r>
      <w:r w:rsidR="00AD05E0" w:rsidRPr="00BC3C0F">
        <w:rPr>
          <w:rFonts w:ascii="Arial" w:hAnsi="Arial" w:cs="Arial"/>
          <w:b/>
          <w:szCs w:val="24"/>
        </w:rPr>
        <w:t xml:space="preserve"> </w:t>
      </w:r>
      <w:r w:rsidRPr="00BC3C0F">
        <w:rPr>
          <w:rFonts w:ascii="Arial" w:hAnsi="Arial" w:cs="Arial"/>
          <w:szCs w:val="24"/>
        </w:rPr>
        <w:t xml:space="preserve">en contra de la </w:t>
      </w:r>
      <w:r w:rsidRPr="00BC3C0F">
        <w:rPr>
          <w:rFonts w:ascii="Arial" w:hAnsi="Arial" w:cs="Arial"/>
          <w:b/>
          <w:szCs w:val="24"/>
        </w:rPr>
        <w:t xml:space="preserve">Administradora Colombiana de Pensiones </w:t>
      </w:r>
      <w:r w:rsidRPr="00BC3C0F">
        <w:rPr>
          <w:rFonts w:ascii="Arial" w:hAnsi="Arial" w:cs="Arial"/>
          <w:b/>
          <w:bCs/>
          <w:szCs w:val="24"/>
        </w:rPr>
        <w:t>COLPENSIONES</w:t>
      </w:r>
      <w:r w:rsidR="00BE1486">
        <w:rPr>
          <w:rFonts w:ascii="Arial" w:hAnsi="Arial" w:cs="Arial"/>
          <w:b/>
          <w:bCs/>
          <w:szCs w:val="24"/>
        </w:rPr>
        <w:t>,</w:t>
      </w:r>
      <w:r w:rsidR="003E5A0B" w:rsidRPr="00BC3C0F">
        <w:rPr>
          <w:rFonts w:ascii="Arial" w:hAnsi="Arial" w:cs="Arial"/>
          <w:bCs/>
          <w:szCs w:val="24"/>
        </w:rPr>
        <w:t xml:space="preserve"> </w:t>
      </w:r>
      <w:r w:rsidR="00445E06" w:rsidRPr="00BC3C0F">
        <w:rPr>
          <w:rFonts w:ascii="Arial" w:hAnsi="Arial" w:cs="Arial"/>
          <w:b/>
          <w:bCs/>
          <w:szCs w:val="24"/>
        </w:rPr>
        <w:t>P</w:t>
      </w:r>
      <w:r w:rsidR="00BE1486">
        <w:rPr>
          <w:rFonts w:ascii="Arial" w:hAnsi="Arial" w:cs="Arial"/>
          <w:b/>
          <w:bCs/>
          <w:szCs w:val="24"/>
        </w:rPr>
        <w:t xml:space="preserve">orvenir </w:t>
      </w:r>
      <w:r w:rsidR="00445E06" w:rsidRPr="00BC3C0F">
        <w:rPr>
          <w:rFonts w:ascii="Arial" w:hAnsi="Arial" w:cs="Arial"/>
          <w:b/>
          <w:bCs/>
          <w:szCs w:val="24"/>
        </w:rPr>
        <w:t>S.A.</w:t>
      </w:r>
      <w:r w:rsidR="00BE1486">
        <w:rPr>
          <w:rFonts w:ascii="Arial" w:hAnsi="Arial" w:cs="Arial"/>
          <w:b/>
          <w:bCs/>
          <w:szCs w:val="24"/>
        </w:rPr>
        <w:t xml:space="preserve"> y Colfondos S.A.</w:t>
      </w:r>
      <w:r w:rsidR="008908CC" w:rsidRPr="00BC3C0F">
        <w:rPr>
          <w:rFonts w:ascii="Arial" w:hAnsi="Arial" w:cs="Arial"/>
          <w:b/>
          <w:bCs/>
          <w:szCs w:val="24"/>
        </w:rPr>
        <w:t xml:space="preserve">, </w:t>
      </w:r>
      <w:r w:rsidRPr="00BC3C0F">
        <w:rPr>
          <w:rFonts w:ascii="Arial" w:hAnsi="Arial" w:cs="Arial"/>
          <w:bCs/>
          <w:szCs w:val="24"/>
        </w:rPr>
        <w:t>radicado</w:t>
      </w:r>
      <w:r w:rsidR="008908CC" w:rsidRPr="00BC3C0F">
        <w:rPr>
          <w:rFonts w:ascii="Arial" w:hAnsi="Arial" w:cs="Arial"/>
          <w:bCs/>
          <w:szCs w:val="24"/>
        </w:rPr>
        <w:t xml:space="preserve"> al N° 66001-31-05-00</w:t>
      </w:r>
      <w:r w:rsidR="00CA6CBD" w:rsidRPr="00BC3C0F">
        <w:rPr>
          <w:rFonts w:ascii="Arial" w:hAnsi="Arial" w:cs="Arial"/>
          <w:bCs/>
          <w:szCs w:val="24"/>
        </w:rPr>
        <w:t>5</w:t>
      </w:r>
      <w:r w:rsidR="003E5A0B" w:rsidRPr="00BC3C0F">
        <w:rPr>
          <w:rFonts w:ascii="Arial" w:hAnsi="Arial" w:cs="Arial"/>
          <w:bCs/>
          <w:szCs w:val="24"/>
        </w:rPr>
        <w:t>-201</w:t>
      </w:r>
      <w:r w:rsidR="00BE1486">
        <w:rPr>
          <w:rFonts w:ascii="Arial" w:hAnsi="Arial" w:cs="Arial"/>
          <w:bCs/>
          <w:szCs w:val="24"/>
        </w:rPr>
        <w:t>6</w:t>
      </w:r>
      <w:r w:rsidRPr="00BC3C0F">
        <w:rPr>
          <w:rFonts w:ascii="Arial" w:hAnsi="Arial" w:cs="Arial"/>
          <w:bCs/>
          <w:szCs w:val="24"/>
        </w:rPr>
        <w:t>-00</w:t>
      </w:r>
      <w:r w:rsidR="00BE1486">
        <w:rPr>
          <w:rFonts w:ascii="Arial" w:hAnsi="Arial" w:cs="Arial"/>
          <w:bCs/>
          <w:szCs w:val="24"/>
        </w:rPr>
        <w:t>218</w:t>
      </w:r>
      <w:r w:rsidRPr="00BC3C0F">
        <w:rPr>
          <w:rFonts w:ascii="Arial" w:hAnsi="Arial" w:cs="Arial"/>
          <w:bCs/>
          <w:szCs w:val="24"/>
        </w:rPr>
        <w:t>-01</w:t>
      </w:r>
      <w:r w:rsidRPr="00BC3C0F">
        <w:rPr>
          <w:rFonts w:ascii="Arial" w:hAnsi="Arial" w:cs="Arial"/>
          <w:b/>
          <w:bCs/>
          <w:szCs w:val="24"/>
        </w:rPr>
        <w:t>.</w:t>
      </w:r>
    </w:p>
    <w:p w14:paraId="277427AB" w14:textId="77777777" w:rsidR="00D636F8" w:rsidRPr="00CE7323" w:rsidRDefault="00D636F8" w:rsidP="00CE7323">
      <w:pPr>
        <w:spacing w:line="276" w:lineRule="auto"/>
        <w:contextualSpacing/>
        <w:rPr>
          <w:rFonts w:ascii="Arial" w:hAnsi="Arial" w:cs="Arial"/>
          <w:szCs w:val="24"/>
        </w:rPr>
      </w:pPr>
    </w:p>
    <w:p w14:paraId="2E228544" w14:textId="77777777" w:rsidR="00D636F8" w:rsidRPr="00CE7323" w:rsidRDefault="00D636F8" w:rsidP="005920A9">
      <w:pPr>
        <w:spacing w:line="276" w:lineRule="auto"/>
        <w:contextualSpacing/>
        <w:rPr>
          <w:rFonts w:ascii="Arial" w:hAnsi="Arial" w:cs="Arial"/>
          <w:szCs w:val="24"/>
        </w:rPr>
      </w:pPr>
      <w:r w:rsidRPr="00CE7323">
        <w:rPr>
          <w:rFonts w:ascii="Arial" w:hAnsi="Arial" w:cs="Arial"/>
          <w:szCs w:val="24"/>
        </w:rPr>
        <w:t>Registro de asistencia:</w:t>
      </w:r>
    </w:p>
    <w:p w14:paraId="7D5F59BE" w14:textId="77777777" w:rsidR="00D636F8" w:rsidRPr="00BC3C0F" w:rsidRDefault="00D636F8" w:rsidP="00CE7323">
      <w:pPr>
        <w:spacing w:line="276" w:lineRule="auto"/>
        <w:contextualSpacing/>
        <w:rPr>
          <w:rFonts w:ascii="Arial" w:hAnsi="Arial" w:cs="Arial"/>
          <w:szCs w:val="24"/>
        </w:rPr>
      </w:pPr>
    </w:p>
    <w:p w14:paraId="4E02B845" w14:textId="77777777" w:rsidR="00D636F8" w:rsidRPr="00BC3C0F" w:rsidRDefault="00D636F8" w:rsidP="005920A9">
      <w:pPr>
        <w:spacing w:line="276" w:lineRule="auto"/>
        <w:contextualSpacing/>
        <w:rPr>
          <w:rFonts w:ascii="Arial" w:hAnsi="Arial" w:cs="Arial"/>
          <w:szCs w:val="24"/>
        </w:rPr>
      </w:pPr>
      <w:r w:rsidRPr="00BC3C0F">
        <w:rPr>
          <w:rFonts w:ascii="Arial" w:hAnsi="Arial" w:cs="Arial"/>
          <w:szCs w:val="24"/>
        </w:rPr>
        <w:t xml:space="preserve">Demandante y su apoderado: </w:t>
      </w:r>
      <w:r w:rsidRPr="00BC3C0F">
        <w:rPr>
          <w:rFonts w:ascii="Arial" w:hAnsi="Arial" w:cs="Arial"/>
          <w:szCs w:val="24"/>
        </w:rPr>
        <w:tab/>
      </w:r>
      <w:r w:rsidRPr="00BC3C0F">
        <w:rPr>
          <w:rFonts w:ascii="Arial" w:hAnsi="Arial" w:cs="Arial"/>
          <w:szCs w:val="24"/>
        </w:rPr>
        <w:tab/>
      </w:r>
      <w:r w:rsidRPr="00BC3C0F">
        <w:rPr>
          <w:rFonts w:ascii="Arial" w:hAnsi="Arial" w:cs="Arial"/>
          <w:szCs w:val="24"/>
        </w:rPr>
        <w:tab/>
        <w:t>Demandadas y sus apoderados:</w:t>
      </w:r>
    </w:p>
    <w:p w14:paraId="59641EC9" w14:textId="77777777" w:rsidR="00D636F8" w:rsidRPr="00BC3C0F" w:rsidRDefault="00D636F8" w:rsidP="00CE7323">
      <w:pPr>
        <w:spacing w:line="276" w:lineRule="auto"/>
        <w:contextualSpacing/>
        <w:rPr>
          <w:rFonts w:ascii="Arial" w:hAnsi="Arial" w:cs="Arial"/>
          <w:szCs w:val="24"/>
        </w:rPr>
      </w:pPr>
    </w:p>
    <w:p w14:paraId="70FDD830" w14:textId="77777777" w:rsidR="00D636F8" w:rsidRPr="00BC3C0F" w:rsidRDefault="00D636F8" w:rsidP="005920A9">
      <w:pPr>
        <w:spacing w:line="276" w:lineRule="auto"/>
        <w:contextualSpacing/>
        <w:jc w:val="both"/>
        <w:rPr>
          <w:rFonts w:ascii="Arial" w:hAnsi="Arial" w:cs="Arial"/>
          <w:b/>
          <w:szCs w:val="24"/>
        </w:rPr>
      </w:pPr>
      <w:r w:rsidRPr="00BC3C0F">
        <w:rPr>
          <w:rFonts w:ascii="Arial" w:hAnsi="Arial" w:cs="Arial"/>
          <w:b/>
          <w:szCs w:val="24"/>
        </w:rPr>
        <w:t xml:space="preserve">Traslado a las partes </w:t>
      </w:r>
    </w:p>
    <w:p w14:paraId="555B9B1A" w14:textId="77777777" w:rsidR="00D636F8" w:rsidRPr="00CE7323" w:rsidRDefault="00D636F8" w:rsidP="00CE7323">
      <w:pPr>
        <w:spacing w:line="276" w:lineRule="auto"/>
        <w:contextualSpacing/>
        <w:rPr>
          <w:rFonts w:ascii="Arial" w:hAnsi="Arial" w:cs="Arial"/>
          <w:szCs w:val="24"/>
        </w:rPr>
      </w:pPr>
    </w:p>
    <w:p w14:paraId="365A236A" w14:textId="77777777" w:rsidR="00D636F8" w:rsidRPr="00BC3C0F" w:rsidRDefault="00D636F8" w:rsidP="005920A9">
      <w:pPr>
        <w:spacing w:line="276" w:lineRule="auto"/>
        <w:contextualSpacing/>
        <w:jc w:val="both"/>
        <w:rPr>
          <w:rFonts w:ascii="Arial" w:hAnsi="Arial" w:cs="Arial"/>
          <w:szCs w:val="24"/>
        </w:rPr>
      </w:pPr>
      <w:r w:rsidRPr="00BC3C0F">
        <w:rPr>
          <w:rFonts w:ascii="Arial" w:hAnsi="Arial" w:cs="Arial"/>
          <w:szCs w:val="24"/>
        </w:rPr>
        <w:t>En este estado se corre traslado a los asistentes para que presenten sus alegatos, de conformidad con lo establecido por el artículo 13 de la Ley 1149/07.</w:t>
      </w:r>
    </w:p>
    <w:p w14:paraId="3B0D73B9" w14:textId="77777777" w:rsidR="00D636F8" w:rsidRPr="00BC3C0F" w:rsidRDefault="00D636F8" w:rsidP="00CE7323">
      <w:pPr>
        <w:spacing w:line="276" w:lineRule="auto"/>
        <w:contextualSpacing/>
        <w:rPr>
          <w:rFonts w:ascii="Arial" w:hAnsi="Arial" w:cs="Arial"/>
          <w:szCs w:val="24"/>
        </w:rPr>
      </w:pPr>
    </w:p>
    <w:p w14:paraId="0E1D4E5C" w14:textId="77777777" w:rsidR="00D636F8" w:rsidRPr="00BC3C0F" w:rsidRDefault="00D636F8" w:rsidP="005920A9">
      <w:pPr>
        <w:spacing w:line="276" w:lineRule="auto"/>
        <w:ind w:firstLine="851"/>
        <w:contextualSpacing/>
        <w:jc w:val="center"/>
        <w:rPr>
          <w:rFonts w:ascii="Arial" w:hAnsi="Arial" w:cs="Arial"/>
          <w:b/>
          <w:szCs w:val="24"/>
        </w:rPr>
      </w:pPr>
      <w:r w:rsidRPr="00BC3C0F">
        <w:rPr>
          <w:rFonts w:ascii="Arial" w:hAnsi="Arial" w:cs="Arial"/>
          <w:b/>
          <w:szCs w:val="24"/>
        </w:rPr>
        <w:t>ANTECEDENTES:</w:t>
      </w:r>
    </w:p>
    <w:p w14:paraId="1553E435" w14:textId="77777777" w:rsidR="00D636F8" w:rsidRPr="00BC3C0F" w:rsidRDefault="00D636F8" w:rsidP="00CE7323">
      <w:pPr>
        <w:spacing w:line="276" w:lineRule="auto"/>
        <w:contextualSpacing/>
        <w:rPr>
          <w:rFonts w:ascii="Arial" w:hAnsi="Arial" w:cs="Arial"/>
          <w:szCs w:val="24"/>
        </w:rPr>
      </w:pPr>
    </w:p>
    <w:p w14:paraId="4E66955A" w14:textId="77777777" w:rsidR="00D636F8" w:rsidRDefault="00D636F8" w:rsidP="005920A9">
      <w:pPr>
        <w:pStyle w:val="Prrafodelista"/>
        <w:numPr>
          <w:ilvl w:val="0"/>
          <w:numId w:val="1"/>
        </w:numPr>
        <w:spacing w:line="276" w:lineRule="auto"/>
        <w:jc w:val="both"/>
        <w:rPr>
          <w:rFonts w:ascii="Arial" w:hAnsi="Arial" w:cs="Arial"/>
          <w:b/>
          <w:sz w:val="24"/>
          <w:szCs w:val="24"/>
        </w:rPr>
      </w:pPr>
      <w:r w:rsidRPr="00BC3C0F">
        <w:rPr>
          <w:rFonts w:ascii="Arial" w:hAnsi="Arial" w:cs="Arial"/>
          <w:b/>
          <w:sz w:val="24"/>
          <w:szCs w:val="24"/>
        </w:rPr>
        <w:t>Síntesis de la demanda y su contestación</w:t>
      </w:r>
    </w:p>
    <w:p w14:paraId="5F8306F6" w14:textId="77777777" w:rsidR="00BC122A" w:rsidRPr="00CE7323" w:rsidRDefault="00BC122A" w:rsidP="00CE7323">
      <w:pPr>
        <w:spacing w:line="276" w:lineRule="auto"/>
        <w:contextualSpacing/>
        <w:rPr>
          <w:rFonts w:ascii="Arial" w:hAnsi="Arial" w:cs="Arial"/>
          <w:szCs w:val="24"/>
        </w:rPr>
      </w:pPr>
    </w:p>
    <w:p w14:paraId="507C7E34" w14:textId="21A32FA5" w:rsidR="00DA11B4" w:rsidRPr="00BC3C0F" w:rsidRDefault="00BE1486" w:rsidP="00BE1486">
      <w:pPr>
        <w:spacing w:line="276" w:lineRule="auto"/>
        <w:contextualSpacing/>
        <w:jc w:val="both"/>
        <w:rPr>
          <w:rFonts w:ascii="Arial" w:hAnsi="Arial" w:cs="Arial"/>
          <w:szCs w:val="24"/>
        </w:rPr>
      </w:pPr>
      <w:r>
        <w:rPr>
          <w:rFonts w:ascii="Arial" w:hAnsi="Arial" w:cs="Arial"/>
          <w:szCs w:val="24"/>
        </w:rPr>
        <w:t xml:space="preserve">María </w:t>
      </w:r>
      <w:proofErr w:type="spellStart"/>
      <w:r>
        <w:rPr>
          <w:rFonts w:ascii="Arial" w:hAnsi="Arial" w:cs="Arial"/>
          <w:szCs w:val="24"/>
        </w:rPr>
        <w:t>Yorladis</w:t>
      </w:r>
      <w:proofErr w:type="spellEnd"/>
      <w:r>
        <w:rPr>
          <w:rFonts w:ascii="Arial" w:hAnsi="Arial" w:cs="Arial"/>
          <w:szCs w:val="24"/>
        </w:rPr>
        <w:t xml:space="preserve"> Ramírez Agudelo</w:t>
      </w:r>
      <w:r w:rsidR="00445E06" w:rsidRPr="00BC3C0F">
        <w:rPr>
          <w:rFonts w:ascii="Arial" w:hAnsi="Arial" w:cs="Arial"/>
          <w:szCs w:val="24"/>
        </w:rPr>
        <w:t xml:space="preserve"> </w:t>
      </w:r>
      <w:r w:rsidR="00832A1F" w:rsidRPr="00BC3C0F">
        <w:rPr>
          <w:rFonts w:ascii="Arial" w:hAnsi="Arial" w:cs="Arial"/>
          <w:szCs w:val="24"/>
        </w:rPr>
        <w:t xml:space="preserve">pretende </w:t>
      </w:r>
      <w:r w:rsidR="00CA6CBD" w:rsidRPr="00BC3C0F">
        <w:rPr>
          <w:rFonts w:ascii="Arial" w:hAnsi="Arial" w:cs="Arial"/>
          <w:szCs w:val="24"/>
        </w:rPr>
        <w:t xml:space="preserve">que </w:t>
      </w:r>
      <w:r w:rsidR="00AD05E0" w:rsidRPr="00BC3C0F">
        <w:rPr>
          <w:rFonts w:ascii="Arial" w:hAnsi="Arial" w:cs="Arial"/>
          <w:szCs w:val="24"/>
        </w:rPr>
        <w:t>se declare</w:t>
      </w:r>
      <w:r w:rsidR="00445E06" w:rsidRPr="00BC3C0F">
        <w:rPr>
          <w:rFonts w:ascii="Arial" w:hAnsi="Arial" w:cs="Arial"/>
          <w:szCs w:val="24"/>
        </w:rPr>
        <w:t xml:space="preserve"> la </w:t>
      </w:r>
      <w:r w:rsidR="00CA6CBD" w:rsidRPr="00BC3C0F">
        <w:rPr>
          <w:rFonts w:ascii="Arial" w:hAnsi="Arial" w:cs="Arial"/>
          <w:szCs w:val="24"/>
        </w:rPr>
        <w:t xml:space="preserve">nulidad </w:t>
      </w:r>
      <w:r>
        <w:rPr>
          <w:rFonts w:ascii="Arial" w:hAnsi="Arial" w:cs="Arial"/>
          <w:szCs w:val="24"/>
        </w:rPr>
        <w:t xml:space="preserve"> y</w:t>
      </w:r>
      <w:r w:rsidRPr="00CE7323">
        <w:rPr>
          <w:rFonts w:ascii="Arial" w:hAnsi="Arial" w:cs="Arial"/>
          <w:szCs w:val="24"/>
          <w:lang w:val="es-ES"/>
        </w:rPr>
        <w:t>/o</w:t>
      </w:r>
      <w:r>
        <w:rPr>
          <w:rFonts w:ascii="Arial" w:hAnsi="Arial" w:cs="Arial"/>
          <w:szCs w:val="24"/>
        </w:rPr>
        <w:t xml:space="preserve"> ineficacia d</w:t>
      </w:r>
      <w:r w:rsidR="003C6B12">
        <w:rPr>
          <w:rFonts w:ascii="Arial" w:hAnsi="Arial" w:cs="Arial"/>
          <w:szCs w:val="24"/>
        </w:rPr>
        <w:t>e la afiliación realizada el 07/09/2000 y el 01/02/</w:t>
      </w:r>
      <w:r>
        <w:rPr>
          <w:rFonts w:ascii="Arial" w:hAnsi="Arial" w:cs="Arial"/>
          <w:szCs w:val="24"/>
        </w:rPr>
        <w:t>2002 a Colfondos S.A. y Porvenir S.A., respectivamente, y en consecuencia pretendió que se declare que se encuentra válidamente afiliada</w:t>
      </w:r>
      <w:r w:rsidR="0048005C">
        <w:rPr>
          <w:rFonts w:ascii="Arial" w:hAnsi="Arial" w:cs="Arial"/>
          <w:szCs w:val="24"/>
        </w:rPr>
        <w:t xml:space="preserve"> a</w:t>
      </w:r>
      <w:r>
        <w:rPr>
          <w:rFonts w:ascii="Arial" w:hAnsi="Arial" w:cs="Arial"/>
          <w:szCs w:val="24"/>
        </w:rPr>
        <w:t xml:space="preserve"> Colpensiones, y por ende</w:t>
      </w:r>
      <w:r w:rsidR="00C23B27">
        <w:rPr>
          <w:rFonts w:ascii="Arial" w:hAnsi="Arial" w:cs="Arial"/>
          <w:szCs w:val="24"/>
        </w:rPr>
        <w:t>,</w:t>
      </w:r>
      <w:r>
        <w:rPr>
          <w:rFonts w:ascii="Arial" w:hAnsi="Arial" w:cs="Arial"/>
          <w:szCs w:val="24"/>
        </w:rPr>
        <w:t xml:space="preserve"> se ordene a Porvenir S.A. que traslade a Colpensiones todos sus aportes. </w:t>
      </w:r>
    </w:p>
    <w:p w14:paraId="0C5D761B" w14:textId="77777777" w:rsidR="00370F13" w:rsidRPr="00BC3C0F" w:rsidRDefault="00370F13" w:rsidP="00CE7323">
      <w:pPr>
        <w:spacing w:line="276" w:lineRule="auto"/>
        <w:contextualSpacing/>
        <w:rPr>
          <w:rFonts w:ascii="Arial" w:hAnsi="Arial" w:cs="Arial"/>
          <w:szCs w:val="24"/>
        </w:rPr>
      </w:pPr>
    </w:p>
    <w:p w14:paraId="00AF46A9" w14:textId="01200FE9" w:rsidR="00370F13" w:rsidRPr="00974953" w:rsidRDefault="00D636F8" w:rsidP="00974953">
      <w:pPr>
        <w:spacing w:line="276" w:lineRule="auto"/>
        <w:contextualSpacing/>
        <w:jc w:val="both"/>
        <w:rPr>
          <w:rFonts w:ascii="Arial" w:hAnsi="Arial" w:cs="Arial"/>
          <w:szCs w:val="24"/>
        </w:rPr>
      </w:pPr>
      <w:r w:rsidRPr="00BC3C0F">
        <w:rPr>
          <w:rFonts w:ascii="Arial" w:hAnsi="Arial" w:cs="Arial"/>
          <w:szCs w:val="24"/>
        </w:rPr>
        <w:t xml:space="preserve">Fundamenta sus aspiraciones en </w:t>
      </w:r>
      <w:r w:rsidR="00445E06" w:rsidRPr="00BC3C0F">
        <w:rPr>
          <w:rFonts w:ascii="Arial" w:hAnsi="Arial" w:cs="Arial"/>
          <w:szCs w:val="24"/>
        </w:rPr>
        <w:t>que</w:t>
      </w:r>
      <w:r w:rsidR="00C23B27">
        <w:rPr>
          <w:rFonts w:ascii="Arial" w:hAnsi="Arial" w:cs="Arial"/>
          <w:szCs w:val="24"/>
        </w:rPr>
        <w:t>:</w:t>
      </w:r>
      <w:r w:rsidR="00445E06" w:rsidRPr="00BC3C0F">
        <w:rPr>
          <w:rFonts w:ascii="Arial" w:hAnsi="Arial" w:cs="Arial"/>
          <w:szCs w:val="24"/>
        </w:rPr>
        <w:t xml:space="preserve"> </w:t>
      </w:r>
      <w:r w:rsidR="00445E06" w:rsidRPr="00BC3C0F">
        <w:rPr>
          <w:rFonts w:ascii="Arial" w:hAnsi="Arial" w:cs="Arial"/>
          <w:i/>
          <w:szCs w:val="24"/>
        </w:rPr>
        <w:t>i)</w:t>
      </w:r>
      <w:r w:rsidR="00445E06" w:rsidRPr="00BC3C0F">
        <w:rPr>
          <w:rFonts w:ascii="Arial" w:hAnsi="Arial" w:cs="Arial"/>
          <w:szCs w:val="24"/>
        </w:rPr>
        <w:t xml:space="preserve"> </w:t>
      </w:r>
      <w:r w:rsidR="0048005C">
        <w:rPr>
          <w:rFonts w:ascii="Arial" w:hAnsi="Arial" w:cs="Arial"/>
          <w:szCs w:val="24"/>
        </w:rPr>
        <w:t>el 11/</w:t>
      </w:r>
      <w:r w:rsidR="00BE1486">
        <w:rPr>
          <w:rFonts w:ascii="Arial" w:hAnsi="Arial" w:cs="Arial"/>
          <w:szCs w:val="24"/>
        </w:rPr>
        <w:t>06</w:t>
      </w:r>
      <w:r w:rsidR="0048005C">
        <w:rPr>
          <w:rFonts w:ascii="Arial" w:hAnsi="Arial" w:cs="Arial"/>
          <w:szCs w:val="24"/>
        </w:rPr>
        <w:t>/</w:t>
      </w:r>
      <w:r w:rsidR="00BE1486">
        <w:rPr>
          <w:rFonts w:ascii="Arial" w:hAnsi="Arial" w:cs="Arial"/>
          <w:szCs w:val="24"/>
        </w:rPr>
        <w:t xml:space="preserve">1991 se afilió al ISS; </w:t>
      </w:r>
      <w:r w:rsidR="00BE1486" w:rsidRPr="00BE1486">
        <w:rPr>
          <w:rFonts w:ascii="Arial" w:hAnsi="Arial" w:cs="Arial"/>
          <w:i/>
          <w:szCs w:val="24"/>
        </w:rPr>
        <w:t>ii)</w:t>
      </w:r>
      <w:r w:rsidR="00BE1486">
        <w:rPr>
          <w:rFonts w:ascii="Arial" w:hAnsi="Arial" w:cs="Arial"/>
          <w:i/>
          <w:szCs w:val="24"/>
        </w:rPr>
        <w:t xml:space="preserve"> </w:t>
      </w:r>
      <w:r w:rsidR="00BE1486">
        <w:rPr>
          <w:rFonts w:ascii="Arial" w:hAnsi="Arial" w:cs="Arial"/>
          <w:szCs w:val="24"/>
        </w:rPr>
        <w:t xml:space="preserve">el </w:t>
      </w:r>
      <w:r w:rsidR="0048005C">
        <w:rPr>
          <w:rFonts w:ascii="Arial" w:hAnsi="Arial" w:cs="Arial"/>
          <w:szCs w:val="24"/>
        </w:rPr>
        <w:t>07/</w:t>
      </w:r>
      <w:r w:rsidR="00BE1486">
        <w:rPr>
          <w:rFonts w:ascii="Arial" w:hAnsi="Arial" w:cs="Arial"/>
          <w:szCs w:val="24"/>
        </w:rPr>
        <w:t>09</w:t>
      </w:r>
      <w:r w:rsidR="0048005C">
        <w:rPr>
          <w:rFonts w:ascii="Arial" w:hAnsi="Arial" w:cs="Arial"/>
          <w:szCs w:val="24"/>
        </w:rPr>
        <w:t>/</w:t>
      </w:r>
      <w:r w:rsidR="00BE1486">
        <w:rPr>
          <w:rFonts w:ascii="Arial" w:hAnsi="Arial" w:cs="Arial"/>
          <w:szCs w:val="24"/>
        </w:rPr>
        <w:t>2000 se trasladó</w:t>
      </w:r>
      <w:r w:rsidR="0048005C">
        <w:rPr>
          <w:rFonts w:ascii="Arial" w:hAnsi="Arial" w:cs="Arial"/>
          <w:szCs w:val="24"/>
        </w:rPr>
        <w:t xml:space="preserve"> a Colfondos S.A. y luego el 11/02/</w:t>
      </w:r>
      <w:r w:rsidR="00BE1486">
        <w:rPr>
          <w:rFonts w:ascii="Arial" w:hAnsi="Arial" w:cs="Arial"/>
          <w:szCs w:val="24"/>
        </w:rPr>
        <w:t>2002</w:t>
      </w:r>
      <w:r w:rsidR="00C23B27">
        <w:rPr>
          <w:rFonts w:ascii="Arial" w:hAnsi="Arial" w:cs="Arial"/>
          <w:szCs w:val="24"/>
        </w:rPr>
        <w:t>,</w:t>
      </w:r>
      <w:r w:rsidR="00BE1486">
        <w:rPr>
          <w:rFonts w:ascii="Arial" w:hAnsi="Arial" w:cs="Arial"/>
          <w:szCs w:val="24"/>
        </w:rPr>
        <w:t xml:space="preserve"> a Porvenir S.A. –</w:t>
      </w:r>
      <w:r w:rsidR="00FB5507">
        <w:rPr>
          <w:rFonts w:ascii="Arial" w:hAnsi="Arial" w:cs="Arial"/>
          <w:szCs w:val="24"/>
        </w:rPr>
        <w:t xml:space="preserve"> antes BBVA Horizonte -</w:t>
      </w:r>
      <w:r w:rsidR="00974953">
        <w:rPr>
          <w:rFonts w:ascii="Arial" w:hAnsi="Arial" w:cs="Arial"/>
          <w:szCs w:val="24"/>
        </w:rPr>
        <w:t xml:space="preserve"> sin que trascurrieran los 3 años exigidos en la ley; </w:t>
      </w:r>
      <w:r w:rsidR="00974953" w:rsidRPr="00974953">
        <w:rPr>
          <w:rFonts w:ascii="Arial" w:hAnsi="Arial" w:cs="Arial"/>
          <w:i/>
          <w:szCs w:val="24"/>
        </w:rPr>
        <w:t>iii)</w:t>
      </w:r>
      <w:r w:rsidR="00974953">
        <w:rPr>
          <w:rFonts w:ascii="Arial" w:hAnsi="Arial" w:cs="Arial"/>
          <w:i/>
          <w:szCs w:val="24"/>
        </w:rPr>
        <w:t xml:space="preserve"> </w:t>
      </w:r>
      <w:r w:rsidR="00974953">
        <w:rPr>
          <w:rFonts w:ascii="Arial" w:hAnsi="Arial" w:cs="Arial"/>
          <w:szCs w:val="24"/>
        </w:rPr>
        <w:t xml:space="preserve">durante los </w:t>
      </w:r>
      <w:r w:rsidR="0048005C">
        <w:rPr>
          <w:rFonts w:ascii="Arial" w:hAnsi="Arial" w:cs="Arial"/>
          <w:szCs w:val="24"/>
        </w:rPr>
        <w:t xml:space="preserve">mencionados </w:t>
      </w:r>
      <w:r w:rsidR="00974953">
        <w:rPr>
          <w:rFonts w:ascii="Arial" w:hAnsi="Arial" w:cs="Arial"/>
          <w:szCs w:val="24"/>
        </w:rPr>
        <w:t xml:space="preserve">traslados los asesores de las AFP no le suministraron la información adecuada, suficiente, clara, comprensible y cierta, ni </w:t>
      </w:r>
      <w:r w:rsidR="00FB5507">
        <w:rPr>
          <w:rFonts w:ascii="Arial" w:hAnsi="Arial" w:cs="Arial"/>
          <w:szCs w:val="24"/>
        </w:rPr>
        <w:t>sus</w:t>
      </w:r>
      <w:r w:rsidR="00974953">
        <w:rPr>
          <w:rFonts w:ascii="Arial" w:hAnsi="Arial" w:cs="Arial"/>
          <w:szCs w:val="24"/>
        </w:rPr>
        <w:t xml:space="preserve"> consecuencias</w:t>
      </w:r>
      <w:r w:rsidR="00FB5507">
        <w:rPr>
          <w:rFonts w:ascii="Arial" w:hAnsi="Arial" w:cs="Arial"/>
          <w:szCs w:val="24"/>
        </w:rPr>
        <w:t>,</w:t>
      </w:r>
      <w:r w:rsidR="00974953">
        <w:rPr>
          <w:rFonts w:ascii="Arial" w:hAnsi="Arial" w:cs="Arial"/>
          <w:szCs w:val="24"/>
        </w:rPr>
        <w:t xml:space="preserve"> </w:t>
      </w:r>
      <w:r w:rsidR="00FB5507">
        <w:rPr>
          <w:rFonts w:ascii="Arial" w:hAnsi="Arial" w:cs="Arial"/>
          <w:szCs w:val="24"/>
        </w:rPr>
        <w:t>que le permitiera</w:t>
      </w:r>
      <w:r w:rsidR="00974953">
        <w:rPr>
          <w:rFonts w:ascii="Arial" w:hAnsi="Arial" w:cs="Arial"/>
          <w:szCs w:val="24"/>
        </w:rPr>
        <w:t xml:space="preserve"> tomar una decisión cons</w:t>
      </w:r>
      <w:r w:rsidR="00FB5507">
        <w:rPr>
          <w:rFonts w:ascii="Arial" w:hAnsi="Arial" w:cs="Arial"/>
          <w:szCs w:val="24"/>
        </w:rPr>
        <w:t>c</w:t>
      </w:r>
      <w:r w:rsidR="00974953">
        <w:rPr>
          <w:rFonts w:ascii="Arial" w:hAnsi="Arial" w:cs="Arial"/>
          <w:szCs w:val="24"/>
        </w:rPr>
        <w:t xml:space="preserve">iente; </w:t>
      </w:r>
      <w:r w:rsidR="00974953" w:rsidRPr="00974953">
        <w:rPr>
          <w:rFonts w:ascii="Arial" w:hAnsi="Arial" w:cs="Arial"/>
          <w:i/>
          <w:szCs w:val="24"/>
        </w:rPr>
        <w:t>iv)</w:t>
      </w:r>
      <w:r w:rsidR="00974953">
        <w:rPr>
          <w:rFonts w:ascii="Arial" w:hAnsi="Arial" w:cs="Arial"/>
          <w:szCs w:val="24"/>
        </w:rPr>
        <w:t xml:space="preserve"> para el traslado a Colfondos S.A. el asesor únicamente le manifestó que podía pensionarse a cualquier edad y que el ISS se extinguiría, sin mencionar la edad mínima y el saldo que debía tener en su cuenta de ahorro individual; </w:t>
      </w:r>
      <w:r w:rsidR="00974953" w:rsidRPr="00974953">
        <w:rPr>
          <w:rFonts w:ascii="Arial" w:hAnsi="Arial" w:cs="Arial"/>
          <w:i/>
          <w:szCs w:val="24"/>
        </w:rPr>
        <w:t>v)</w:t>
      </w:r>
      <w:r w:rsidR="0048005C">
        <w:rPr>
          <w:rFonts w:ascii="Arial" w:hAnsi="Arial" w:cs="Arial"/>
          <w:szCs w:val="24"/>
        </w:rPr>
        <w:t xml:space="preserve"> el 13/</w:t>
      </w:r>
      <w:r w:rsidR="00974953">
        <w:rPr>
          <w:rFonts w:ascii="Arial" w:hAnsi="Arial" w:cs="Arial"/>
          <w:szCs w:val="24"/>
        </w:rPr>
        <w:t>01</w:t>
      </w:r>
      <w:r w:rsidR="0048005C">
        <w:rPr>
          <w:rFonts w:ascii="Arial" w:hAnsi="Arial" w:cs="Arial"/>
          <w:szCs w:val="24"/>
        </w:rPr>
        <w:t>/2015 y el 26/</w:t>
      </w:r>
      <w:r w:rsidR="00974953">
        <w:rPr>
          <w:rFonts w:ascii="Arial" w:hAnsi="Arial" w:cs="Arial"/>
          <w:szCs w:val="24"/>
        </w:rPr>
        <w:t>01</w:t>
      </w:r>
      <w:r w:rsidR="0048005C">
        <w:rPr>
          <w:rFonts w:ascii="Arial" w:hAnsi="Arial" w:cs="Arial"/>
          <w:szCs w:val="24"/>
        </w:rPr>
        <w:t>/</w:t>
      </w:r>
      <w:r w:rsidR="00974953">
        <w:rPr>
          <w:rFonts w:ascii="Arial" w:hAnsi="Arial" w:cs="Arial"/>
          <w:szCs w:val="24"/>
        </w:rPr>
        <w:t>2015 solicitó infructuosamente a Colpensiones y a Porvenir S.A. el traslado de régimen.</w:t>
      </w:r>
    </w:p>
    <w:p w14:paraId="3D717B53" w14:textId="77777777" w:rsidR="00642E02" w:rsidRPr="00BC3C0F" w:rsidRDefault="00642E02" w:rsidP="00CE7323">
      <w:pPr>
        <w:spacing w:line="276" w:lineRule="auto"/>
        <w:contextualSpacing/>
        <w:rPr>
          <w:rFonts w:ascii="Arial" w:hAnsi="Arial" w:cs="Arial"/>
          <w:szCs w:val="24"/>
        </w:rPr>
      </w:pPr>
    </w:p>
    <w:p w14:paraId="7207F2F3" w14:textId="4A56AFB5" w:rsidR="00974953" w:rsidRDefault="00D2298A" w:rsidP="00EE6B87">
      <w:pPr>
        <w:spacing w:line="276" w:lineRule="auto"/>
        <w:contextualSpacing/>
        <w:jc w:val="both"/>
        <w:rPr>
          <w:rFonts w:ascii="Arial" w:hAnsi="Arial" w:cs="Arial"/>
          <w:i/>
          <w:szCs w:val="24"/>
        </w:rPr>
      </w:pPr>
      <w:r w:rsidRPr="00BC3C0F">
        <w:rPr>
          <w:rFonts w:ascii="Arial" w:hAnsi="Arial" w:cs="Arial"/>
          <w:b/>
          <w:szCs w:val="24"/>
        </w:rPr>
        <w:t xml:space="preserve">Colpensiones </w:t>
      </w:r>
      <w:r w:rsidR="004E15B8" w:rsidRPr="00BC3C0F">
        <w:rPr>
          <w:rFonts w:ascii="Arial" w:hAnsi="Arial" w:cs="Arial"/>
          <w:szCs w:val="24"/>
        </w:rPr>
        <w:t xml:space="preserve">al contestar la demanda </w:t>
      </w:r>
      <w:r w:rsidR="00EE6B87" w:rsidRPr="00BC3C0F">
        <w:rPr>
          <w:rFonts w:ascii="Arial" w:hAnsi="Arial" w:cs="Arial"/>
          <w:szCs w:val="24"/>
        </w:rPr>
        <w:t>se opuso a las pretensione</w:t>
      </w:r>
      <w:r w:rsidR="00974953">
        <w:rPr>
          <w:rFonts w:ascii="Arial" w:hAnsi="Arial" w:cs="Arial"/>
          <w:szCs w:val="24"/>
        </w:rPr>
        <w:t>s</w:t>
      </w:r>
      <w:r w:rsidR="00FB5507">
        <w:rPr>
          <w:rFonts w:ascii="Arial" w:hAnsi="Arial" w:cs="Arial"/>
          <w:szCs w:val="24"/>
        </w:rPr>
        <w:t>,</w:t>
      </w:r>
      <w:r w:rsidR="00974953">
        <w:rPr>
          <w:rFonts w:ascii="Arial" w:hAnsi="Arial" w:cs="Arial"/>
          <w:szCs w:val="24"/>
        </w:rPr>
        <w:t xml:space="preserve"> en tanto que la afiliación de la demandante al RAIS fue válida </w:t>
      </w:r>
      <w:r w:rsidR="00A72058">
        <w:rPr>
          <w:rFonts w:ascii="Arial" w:hAnsi="Arial" w:cs="Arial"/>
          <w:szCs w:val="24"/>
        </w:rPr>
        <w:t xml:space="preserve">y precedida de una decisión razonada. Además, argumentó que la pretensión de nulidad se encontraba fuera de término </w:t>
      </w:r>
      <w:r w:rsidR="00FB5507">
        <w:rPr>
          <w:rFonts w:ascii="Arial" w:hAnsi="Arial" w:cs="Arial"/>
          <w:szCs w:val="24"/>
        </w:rPr>
        <w:t>señalado en</w:t>
      </w:r>
      <w:r w:rsidR="00A72058">
        <w:rPr>
          <w:rFonts w:ascii="Arial" w:hAnsi="Arial" w:cs="Arial"/>
          <w:szCs w:val="24"/>
        </w:rPr>
        <w:t xml:space="preserve"> el artículo 1741 del Código Civil. Por último, presentó los medios de defensa que denominó “</w:t>
      </w:r>
      <w:r w:rsidR="00A72058" w:rsidRPr="00A72058">
        <w:rPr>
          <w:rFonts w:ascii="Arial" w:hAnsi="Arial" w:cs="Arial"/>
          <w:i/>
          <w:szCs w:val="24"/>
        </w:rPr>
        <w:t>saneamiento de la presunta nulidad</w:t>
      </w:r>
      <w:r w:rsidR="00A72058">
        <w:rPr>
          <w:rFonts w:ascii="Arial" w:hAnsi="Arial" w:cs="Arial"/>
          <w:i/>
          <w:szCs w:val="24"/>
        </w:rPr>
        <w:t>”</w:t>
      </w:r>
      <w:r w:rsidR="00A72058" w:rsidRPr="00A72058">
        <w:rPr>
          <w:rFonts w:ascii="Arial" w:hAnsi="Arial" w:cs="Arial"/>
          <w:i/>
          <w:szCs w:val="24"/>
        </w:rPr>
        <w:t xml:space="preserve">, </w:t>
      </w:r>
      <w:r w:rsidR="00A72058">
        <w:rPr>
          <w:rFonts w:ascii="Arial" w:hAnsi="Arial" w:cs="Arial"/>
          <w:szCs w:val="24"/>
        </w:rPr>
        <w:t>y “</w:t>
      </w:r>
      <w:r w:rsidR="00A72058" w:rsidRPr="00A72058">
        <w:rPr>
          <w:rFonts w:ascii="Arial" w:hAnsi="Arial" w:cs="Arial"/>
          <w:i/>
          <w:szCs w:val="24"/>
        </w:rPr>
        <w:t>validez de la afiliación al RAIS”</w:t>
      </w:r>
      <w:r w:rsidR="00A72058">
        <w:rPr>
          <w:rFonts w:ascii="Arial" w:hAnsi="Arial" w:cs="Arial"/>
          <w:szCs w:val="24"/>
        </w:rPr>
        <w:t xml:space="preserve"> y “</w:t>
      </w:r>
      <w:r w:rsidR="00A72058" w:rsidRPr="00A72058">
        <w:rPr>
          <w:rFonts w:ascii="Arial" w:hAnsi="Arial" w:cs="Arial"/>
          <w:i/>
          <w:szCs w:val="24"/>
        </w:rPr>
        <w:t>prescripción”.</w:t>
      </w:r>
    </w:p>
    <w:p w14:paraId="5B87ADF0" w14:textId="77777777" w:rsidR="00A72058" w:rsidRPr="00CE7323" w:rsidRDefault="00A72058" w:rsidP="00CE7323">
      <w:pPr>
        <w:spacing w:line="276" w:lineRule="auto"/>
        <w:contextualSpacing/>
        <w:rPr>
          <w:rFonts w:ascii="Arial" w:hAnsi="Arial" w:cs="Arial"/>
          <w:szCs w:val="24"/>
        </w:rPr>
      </w:pPr>
    </w:p>
    <w:p w14:paraId="7F28BEDA" w14:textId="0C4E9190" w:rsidR="00A72058" w:rsidRDefault="00A72058" w:rsidP="00EE6B87">
      <w:pPr>
        <w:spacing w:line="276" w:lineRule="auto"/>
        <w:contextualSpacing/>
        <w:jc w:val="both"/>
        <w:rPr>
          <w:rFonts w:ascii="Arial" w:hAnsi="Arial" w:cs="Arial"/>
          <w:szCs w:val="24"/>
        </w:rPr>
      </w:pPr>
      <w:r>
        <w:rPr>
          <w:rFonts w:ascii="Arial" w:hAnsi="Arial" w:cs="Arial"/>
          <w:b/>
          <w:szCs w:val="24"/>
        </w:rPr>
        <w:t xml:space="preserve">Porvenir S.A. </w:t>
      </w:r>
      <w:r>
        <w:rPr>
          <w:rFonts w:ascii="Arial" w:hAnsi="Arial" w:cs="Arial"/>
          <w:szCs w:val="24"/>
        </w:rPr>
        <w:t>también se opuso a los pedimentos y en ese sentido argumentó que el traslado al RAIS a través de Porvenir S.A. fue válida</w:t>
      </w:r>
      <w:r w:rsidR="00FB5507">
        <w:rPr>
          <w:rFonts w:ascii="Arial" w:hAnsi="Arial" w:cs="Arial"/>
          <w:szCs w:val="24"/>
        </w:rPr>
        <w:t xml:space="preserve"> al realizarse de manera libre y voluntaria; además,</w:t>
      </w:r>
      <w:r>
        <w:rPr>
          <w:rFonts w:ascii="Arial" w:hAnsi="Arial" w:cs="Arial"/>
          <w:szCs w:val="24"/>
        </w:rPr>
        <w:t xml:space="preserve"> la demandante aceptó las condiciones establecidas en el formulario, que </w:t>
      </w:r>
      <w:r w:rsidR="00FB5507">
        <w:rPr>
          <w:rFonts w:ascii="Arial" w:hAnsi="Arial" w:cs="Arial"/>
          <w:szCs w:val="24"/>
        </w:rPr>
        <w:t xml:space="preserve">reunía </w:t>
      </w:r>
      <w:r>
        <w:rPr>
          <w:rFonts w:ascii="Arial" w:hAnsi="Arial" w:cs="Arial"/>
          <w:szCs w:val="24"/>
        </w:rPr>
        <w:t xml:space="preserve">los requisitos dispuestos por el artículo 11 del Decreto 692-94, sin que María </w:t>
      </w:r>
      <w:proofErr w:type="spellStart"/>
      <w:r>
        <w:rPr>
          <w:rFonts w:ascii="Arial" w:hAnsi="Arial" w:cs="Arial"/>
          <w:szCs w:val="24"/>
        </w:rPr>
        <w:t>Yorladis</w:t>
      </w:r>
      <w:proofErr w:type="spellEnd"/>
      <w:r>
        <w:rPr>
          <w:rFonts w:ascii="Arial" w:hAnsi="Arial" w:cs="Arial"/>
          <w:szCs w:val="24"/>
        </w:rPr>
        <w:t xml:space="preserve"> Ramírez Agudelo ejerciera el derecho de retracto. Para finalizar </w:t>
      </w:r>
      <w:r w:rsidR="00FB5507">
        <w:rPr>
          <w:rFonts w:ascii="Arial" w:hAnsi="Arial" w:cs="Arial"/>
          <w:szCs w:val="24"/>
        </w:rPr>
        <w:t>formul</w:t>
      </w:r>
      <w:r>
        <w:rPr>
          <w:rFonts w:ascii="Arial" w:hAnsi="Arial" w:cs="Arial"/>
          <w:szCs w:val="24"/>
        </w:rPr>
        <w:t>ó los medios de defensa denominados “</w:t>
      </w:r>
      <w:r w:rsidRPr="00A72058">
        <w:rPr>
          <w:rFonts w:ascii="Arial" w:hAnsi="Arial" w:cs="Arial"/>
          <w:i/>
          <w:szCs w:val="24"/>
        </w:rPr>
        <w:t xml:space="preserve">validez de la afiliación a Porvenir e inexistencia de vicios en el consentimiento”, </w:t>
      </w:r>
      <w:r>
        <w:rPr>
          <w:rFonts w:ascii="Arial" w:hAnsi="Arial" w:cs="Arial"/>
          <w:szCs w:val="24"/>
        </w:rPr>
        <w:t>“</w:t>
      </w:r>
      <w:r w:rsidRPr="00A72058">
        <w:rPr>
          <w:rFonts w:ascii="Arial" w:hAnsi="Arial" w:cs="Arial"/>
          <w:i/>
          <w:szCs w:val="24"/>
        </w:rPr>
        <w:t>inexistencia de la obligación”,</w:t>
      </w:r>
      <w:r>
        <w:rPr>
          <w:rFonts w:ascii="Arial" w:hAnsi="Arial" w:cs="Arial"/>
          <w:szCs w:val="24"/>
        </w:rPr>
        <w:t xml:space="preserve"> “</w:t>
      </w:r>
      <w:r w:rsidRPr="00A72058">
        <w:rPr>
          <w:rFonts w:ascii="Arial" w:hAnsi="Arial" w:cs="Arial"/>
          <w:i/>
          <w:szCs w:val="24"/>
        </w:rPr>
        <w:t>caducidad de la acción”,</w:t>
      </w:r>
      <w:r>
        <w:rPr>
          <w:rFonts w:ascii="Arial" w:hAnsi="Arial" w:cs="Arial"/>
          <w:szCs w:val="24"/>
        </w:rPr>
        <w:t xml:space="preserve"> “</w:t>
      </w:r>
      <w:r w:rsidRPr="00A72058">
        <w:rPr>
          <w:rFonts w:ascii="Arial" w:hAnsi="Arial" w:cs="Arial"/>
          <w:i/>
          <w:szCs w:val="24"/>
        </w:rPr>
        <w:t>prescripción”,</w:t>
      </w:r>
      <w:r>
        <w:rPr>
          <w:rFonts w:ascii="Arial" w:hAnsi="Arial" w:cs="Arial"/>
          <w:szCs w:val="24"/>
        </w:rPr>
        <w:t xml:space="preserve"> entre otras. </w:t>
      </w:r>
    </w:p>
    <w:p w14:paraId="10359FF9" w14:textId="77777777" w:rsidR="00A72058" w:rsidRDefault="00A72058" w:rsidP="00CE7323">
      <w:pPr>
        <w:spacing w:line="276" w:lineRule="auto"/>
        <w:contextualSpacing/>
        <w:rPr>
          <w:rFonts w:ascii="Arial" w:hAnsi="Arial" w:cs="Arial"/>
          <w:szCs w:val="24"/>
        </w:rPr>
      </w:pPr>
    </w:p>
    <w:p w14:paraId="7446C415" w14:textId="7427919E" w:rsidR="00A72058" w:rsidRPr="00A72058" w:rsidRDefault="00A72058" w:rsidP="00EE6B87">
      <w:pPr>
        <w:spacing w:line="276" w:lineRule="auto"/>
        <w:contextualSpacing/>
        <w:jc w:val="both"/>
        <w:rPr>
          <w:rFonts w:ascii="Arial" w:hAnsi="Arial" w:cs="Arial"/>
          <w:szCs w:val="24"/>
        </w:rPr>
      </w:pPr>
      <w:r>
        <w:rPr>
          <w:rFonts w:ascii="Arial" w:hAnsi="Arial" w:cs="Arial"/>
          <w:szCs w:val="24"/>
        </w:rPr>
        <w:t xml:space="preserve">Con la reforma a la demanda, se incluyó como parte pasiva a </w:t>
      </w:r>
      <w:r>
        <w:rPr>
          <w:rFonts w:ascii="Arial" w:hAnsi="Arial" w:cs="Arial"/>
          <w:b/>
          <w:szCs w:val="24"/>
        </w:rPr>
        <w:t>Colfondos S.A.</w:t>
      </w:r>
      <w:r w:rsidR="00FB5507">
        <w:rPr>
          <w:rFonts w:ascii="Arial" w:hAnsi="Arial" w:cs="Arial"/>
          <w:b/>
          <w:szCs w:val="24"/>
        </w:rPr>
        <w:t>,</w:t>
      </w:r>
      <w:r>
        <w:rPr>
          <w:rFonts w:ascii="Arial" w:hAnsi="Arial" w:cs="Arial"/>
          <w:szCs w:val="24"/>
        </w:rPr>
        <w:t xml:space="preserve"> que contestó la demanda en término similares a Porvenir S.A. y </w:t>
      </w:r>
      <w:r w:rsidR="00FB5507">
        <w:rPr>
          <w:rFonts w:ascii="Arial" w:hAnsi="Arial" w:cs="Arial"/>
          <w:szCs w:val="24"/>
        </w:rPr>
        <w:t>elevó las excepciones</w:t>
      </w:r>
      <w:r>
        <w:rPr>
          <w:rFonts w:ascii="Arial" w:hAnsi="Arial" w:cs="Arial"/>
          <w:szCs w:val="24"/>
        </w:rPr>
        <w:t xml:space="preserve"> de “</w:t>
      </w:r>
      <w:r w:rsidRPr="00A72058">
        <w:rPr>
          <w:rFonts w:ascii="Arial" w:hAnsi="Arial" w:cs="Arial"/>
          <w:i/>
          <w:szCs w:val="24"/>
        </w:rPr>
        <w:t>validez de la afiliación a Colfondos e inexistencia de vicios en el consentimiento”,</w:t>
      </w:r>
      <w:r>
        <w:rPr>
          <w:rFonts w:ascii="Arial" w:hAnsi="Arial" w:cs="Arial"/>
          <w:szCs w:val="24"/>
        </w:rPr>
        <w:t xml:space="preserve"> “</w:t>
      </w:r>
      <w:r w:rsidRPr="00A72058">
        <w:rPr>
          <w:rFonts w:ascii="Arial" w:hAnsi="Arial" w:cs="Arial"/>
          <w:i/>
          <w:szCs w:val="24"/>
        </w:rPr>
        <w:t>caducidad de la acción”,</w:t>
      </w:r>
      <w:r>
        <w:rPr>
          <w:rFonts w:ascii="Arial" w:hAnsi="Arial" w:cs="Arial"/>
          <w:szCs w:val="24"/>
        </w:rPr>
        <w:t xml:space="preserve"> “</w:t>
      </w:r>
      <w:r w:rsidRPr="00A72058">
        <w:rPr>
          <w:rFonts w:ascii="Arial" w:hAnsi="Arial" w:cs="Arial"/>
          <w:i/>
          <w:szCs w:val="24"/>
        </w:rPr>
        <w:t>prescripción”</w:t>
      </w:r>
      <w:r>
        <w:rPr>
          <w:rFonts w:ascii="Arial" w:hAnsi="Arial" w:cs="Arial"/>
          <w:szCs w:val="24"/>
        </w:rPr>
        <w:t xml:space="preserve"> y “</w:t>
      </w:r>
      <w:r w:rsidRPr="00A72058">
        <w:rPr>
          <w:rFonts w:ascii="Arial" w:hAnsi="Arial" w:cs="Arial"/>
          <w:i/>
          <w:szCs w:val="24"/>
        </w:rPr>
        <w:t>buena fe”.</w:t>
      </w:r>
    </w:p>
    <w:p w14:paraId="0077F4AB" w14:textId="0F5E0C62" w:rsidR="00106D9C" w:rsidRPr="00BC3C0F" w:rsidRDefault="00106D9C" w:rsidP="00CE7323">
      <w:pPr>
        <w:spacing w:line="276" w:lineRule="auto"/>
        <w:contextualSpacing/>
        <w:rPr>
          <w:rFonts w:ascii="Arial" w:hAnsi="Arial" w:cs="Arial"/>
          <w:szCs w:val="24"/>
        </w:rPr>
      </w:pPr>
    </w:p>
    <w:p w14:paraId="14F1EEFC" w14:textId="0CB788C9" w:rsidR="00D636F8" w:rsidRDefault="002C5C7B" w:rsidP="002C5C7B">
      <w:pPr>
        <w:spacing w:line="276" w:lineRule="auto"/>
        <w:jc w:val="both"/>
        <w:rPr>
          <w:rFonts w:ascii="Arial" w:hAnsi="Arial" w:cs="Arial"/>
          <w:b/>
          <w:szCs w:val="24"/>
        </w:rPr>
      </w:pPr>
      <w:r>
        <w:rPr>
          <w:rFonts w:ascii="Arial" w:hAnsi="Arial" w:cs="Arial"/>
          <w:b/>
          <w:szCs w:val="24"/>
        </w:rPr>
        <w:t xml:space="preserve">2. </w:t>
      </w:r>
      <w:r w:rsidR="00646A53" w:rsidRPr="002C5C7B">
        <w:rPr>
          <w:rFonts w:ascii="Arial" w:hAnsi="Arial" w:cs="Arial"/>
          <w:b/>
          <w:szCs w:val="24"/>
        </w:rPr>
        <w:t>Síntesis de la sentencia</w:t>
      </w:r>
    </w:p>
    <w:p w14:paraId="08CEF426" w14:textId="77777777" w:rsidR="002C5C7B" w:rsidRPr="00CE7323" w:rsidRDefault="002C5C7B" w:rsidP="00CE7323">
      <w:pPr>
        <w:spacing w:line="276" w:lineRule="auto"/>
        <w:contextualSpacing/>
        <w:rPr>
          <w:rFonts w:ascii="Arial" w:hAnsi="Arial" w:cs="Arial"/>
          <w:szCs w:val="24"/>
        </w:rPr>
      </w:pPr>
    </w:p>
    <w:p w14:paraId="260DBE2E" w14:textId="6506F505" w:rsidR="00A72058" w:rsidRDefault="00D636F8" w:rsidP="0079400B">
      <w:pPr>
        <w:spacing w:line="276" w:lineRule="auto"/>
        <w:contextualSpacing/>
        <w:jc w:val="both"/>
        <w:rPr>
          <w:rFonts w:ascii="Arial" w:hAnsi="Arial" w:cs="Arial"/>
          <w:color w:val="000000"/>
          <w:szCs w:val="24"/>
          <w:lang w:eastAsia="es-CO"/>
        </w:rPr>
      </w:pPr>
      <w:r w:rsidRPr="00BC3C0F">
        <w:rPr>
          <w:rFonts w:ascii="Arial" w:hAnsi="Arial" w:cs="Arial"/>
          <w:color w:val="000000"/>
          <w:szCs w:val="24"/>
          <w:lang w:eastAsia="es-CO"/>
        </w:rPr>
        <w:t xml:space="preserve">El Juzgado </w:t>
      </w:r>
      <w:r w:rsidR="00B76954" w:rsidRPr="00BC3C0F">
        <w:rPr>
          <w:rFonts w:ascii="Arial" w:hAnsi="Arial" w:cs="Arial"/>
          <w:color w:val="000000"/>
          <w:szCs w:val="24"/>
          <w:lang w:eastAsia="es-CO"/>
        </w:rPr>
        <w:t>Quinto</w:t>
      </w:r>
      <w:r w:rsidR="009E2AB8" w:rsidRPr="00BC3C0F">
        <w:rPr>
          <w:rFonts w:ascii="Arial" w:hAnsi="Arial" w:cs="Arial"/>
          <w:color w:val="000000"/>
          <w:szCs w:val="24"/>
          <w:lang w:eastAsia="es-CO"/>
        </w:rPr>
        <w:t xml:space="preserve"> </w:t>
      </w:r>
      <w:r w:rsidR="004B7029" w:rsidRPr="00BC3C0F">
        <w:rPr>
          <w:rFonts w:ascii="Arial" w:hAnsi="Arial" w:cs="Arial"/>
          <w:color w:val="000000"/>
          <w:szCs w:val="24"/>
          <w:lang w:eastAsia="es-CO"/>
        </w:rPr>
        <w:t>Laboral del Circuito de Pereira</w:t>
      </w:r>
      <w:r w:rsidR="00D135CB" w:rsidRPr="00BC3C0F">
        <w:rPr>
          <w:rFonts w:ascii="Arial" w:hAnsi="Arial" w:cs="Arial"/>
          <w:color w:val="000000"/>
          <w:szCs w:val="24"/>
          <w:lang w:eastAsia="es-CO"/>
        </w:rPr>
        <w:t xml:space="preserve"> </w:t>
      </w:r>
      <w:r w:rsidR="00A72058">
        <w:rPr>
          <w:rFonts w:ascii="Arial" w:hAnsi="Arial" w:cs="Arial"/>
          <w:color w:val="000000"/>
          <w:szCs w:val="24"/>
          <w:lang w:eastAsia="es-CO"/>
        </w:rPr>
        <w:t>declaró ineficaz el t</w:t>
      </w:r>
      <w:r w:rsidR="0048005C">
        <w:rPr>
          <w:rFonts w:ascii="Arial" w:hAnsi="Arial" w:cs="Arial"/>
          <w:color w:val="000000"/>
          <w:szCs w:val="24"/>
          <w:lang w:eastAsia="es-CO"/>
        </w:rPr>
        <w:t>raslado realizado al RAIS el 07/</w:t>
      </w:r>
      <w:r w:rsidR="00A72058">
        <w:rPr>
          <w:rFonts w:ascii="Arial" w:hAnsi="Arial" w:cs="Arial"/>
          <w:color w:val="000000"/>
          <w:szCs w:val="24"/>
          <w:lang w:eastAsia="es-CO"/>
        </w:rPr>
        <w:t>09</w:t>
      </w:r>
      <w:r w:rsidR="0048005C">
        <w:rPr>
          <w:rFonts w:ascii="Arial" w:hAnsi="Arial" w:cs="Arial"/>
          <w:color w:val="000000"/>
          <w:szCs w:val="24"/>
          <w:lang w:eastAsia="es-CO"/>
        </w:rPr>
        <w:t>/</w:t>
      </w:r>
      <w:r w:rsidR="00A72058">
        <w:rPr>
          <w:rFonts w:ascii="Arial" w:hAnsi="Arial" w:cs="Arial"/>
          <w:color w:val="000000"/>
          <w:szCs w:val="24"/>
          <w:lang w:eastAsia="es-CO"/>
        </w:rPr>
        <w:t>2000, por lo que ordenó a Porvenir S.A. que trasladara los aportes y rendimiento</w:t>
      </w:r>
      <w:r w:rsidR="0048005C">
        <w:rPr>
          <w:rFonts w:ascii="Arial" w:hAnsi="Arial" w:cs="Arial"/>
          <w:color w:val="000000"/>
          <w:szCs w:val="24"/>
          <w:lang w:eastAsia="es-CO"/>
        </w:rPr>
        <w:t>s</w:t>
      </w:r>
      <w:r w:rsidR="00A72058">
        <w:rPr>
          <w:rFonts w:ascii="Arial" w:hAnsi="Arial" w:cs="Arial"/>
          <w:color w:val="000000"/>
          <w:szCs w:val="24"/>
          <w:lang w:eastAsia="es-CO"/>
        </w:rPr>
        <w:t xml:space="preserve"> de la cuenta individual de la demandante a Colpensiones</w:t>
      </w:r>
      <w:r w:rsidR="006A19B1">
        <w:rPr>
          <w:rFonts w:ascii="Arial" w:hAnsi="Arial" w:cs="Arial"/>
          <w:color w:val="000000"/>
          <w:szCs w:val="24"/>
          <w:lang w:eastAsia="es-CO"/>
        </w:rPr>
        <w:t>.</w:t>
      </w:r>
    </w:p>
    <w:p w14:paraId="58D18353" w14:textId="77777777" w:rsidR="006A19B1" w:rsidRPr="00CE7323" w:rsidRDefault="006A19B1" w:rsidP="00CE7323">
      <w:pPr>
        <w:spacing w:line="276" w:lineRule="auto"/>
        <w:contextualSpacing/>
        <w:rPr>
          <w:rFonts w:ascii="Arial" w:hAnsi="Arial" w:cs="Arial"/>
          <w:szCs w:val="24"/>
        </w:rPr>
      </w:pPr>
    </w:p>
    <w:p w14:paraId="70AAC58C" w14:textId="7859E4DD" w:rsidR="00324CE6" w:rsidRDefault="006A19B1" w:rsidP="006A19B1">
      <w:pPr>
        <w:spacing w:line="276" w:lineRule="auto"/>
        <w:contextualSpacing/>
        <w:jc w:val="both"/>
        <w:rPr>
          <w:rFonts w:ascii="Arial" w:hAnsi="Arial" w:cs="Arial"/>
          <w:color w:val="000000"/>
          <w:szCs w:val="24"/>
          <w:lang w:eastAsia="es-CO"/>
        </w:rPr>
      </w:pPr>
      <w:r w:rsidRPr="00CE7323">
        <w:rPr>
          <w:rFonts w:ascii="Arial" w:hAnsi="Arial" w:cs="Arial"/>
          <w:szCs w:val="24"/>
        </w:rPr>
        <w:t>Como fundamento de la decisión, argumentó que correspondía a la administradora</w:t>
      </w:r>
      <w:r>
        <w:rPr>
          <w:rFonts w:ascii="Arial" w:hAnsi="Arial" w:cs="Arial"/>
          <w:color w:val="000000"/>
          <w:szCs w:val="24"/>
          <w:lang w:eastAsia="es-CO"/>
        </w:rPr>
        <w:t xml:space="preserve"> pensional privada acreditar que había brindado la información suficiente a</w:t>
      </w:r>
      <w:r w:rsidR="00FB5507">
        <w:rPr>
          <w:rFonts w:ascii="Arial" w:hAnsi="Arial" w:cs="Arial"/>
          <w:color w:val="000000"/>
          <w:szCs w:val="24"/>
          <w:lang w:eastAsia="es-CO"/>
        </w:rPr>
        <w:t xml:space="preserve"> </w:t>
      </w:r>
      <w:r>
        <w:rPr>
          <w:rFonts w:ascii="Arial" w:hAnsi="Arial" w:cs="Arial"/>
          <w:color w:val="000000"/>
          <w:szCs w:val="24"/>
          <w:lang w:eastAsia="es-CO"/>
        </w:rPr>
        <w:t>l</w:t>
      </w:r>
      <w:r w:rsidR="00FB5507">
        <w:rPr>
          <w:rFonts w:ascii="Arial" w:hAnsi="Arial" w:cs="Arial"/>
          <w:color w:val="000000"/>
          <w:szCs w:val="24"/>
          <w:lang w:eastAsia="es-CO"/>
        </w:rPr>
        <w:t>a</w:t>
      </w:r>
      <w:r>
        <w:rPr>
          <w:rFonts w:ascii="Arial" w:hAnsi="Arial" w:cs="Arial"/>
          <w:color w:val="000000"/>
          <w:szCs w:val="24"/>
          <w:lang w:eastAsia="es-CO"/>
        </w:rPr>
        <w:t xml:space="preserve"> demandante para que este tomara una decisión libre y consciente, sin que las AFP demandadas lograran </w:t>
      </w:r>
      <w:r w:rsidR="00FB5507">
        <w:rPr>
          <w:rFonts w:ascii="Arial" w:hAnsi="Arial" w:cs="Arial"/>
          <w:color w:val="000000"/>
          <w:szCs w:val="24"/>
          <w:lang w:eastAsia="es-CO"/>
        </w:rPr>
        <w:t>cumplir</w:t>
      </w:r>
      <w:r>
        <w:rPr>
          <w:rFonts w:ascii="Arial" w:hAnsi="Arial" w:cs="Arial"/>
          <w:color w:val="000000"/>
          <w:szCs w:val="24"/>
          <w:lang w:eastAsia="es-CO"/>
        </w:rPr>
        <w:t xml:space="preserve"> tal carga, puesto que se limitaron a allegar el formulario de afiliación, en el que si bien se aduce que el traslado se realizó de manera libre y voluntario, ello apenas aparece como una manifestación insuficiente para lograr el cometido principal. </w:t>
      </w:r>
    </w:p>
    <w:p w14:paraId="40AF0401" w14:textId="77777777" w:rsidR="00BC122A" w:rsidRPr="00BC3C0F" w:rsidRDefault="00BC122A" w:rsidP="00CE7323">
      <w:pPr>
        <w:spacing w:line="276" w:lineRule="auto"/>
        <w:contextualSpacing/>
        <w:rPr>
          <w:rFonts w:ascii="Arial" w:hAnsi="Arial" w:cs="Arial"/>
          <w:szCs w:val="24"/>
        </w:rPr>
      </w:pPr>
    </w:p>
    <w:p w14:paraId="62698F82" w14:textId="0D0B940A" w:rsidR="00C353C9" w:rsidRDefault="00AE5E67" w:rsidP="00C353C9">
      <w:pPr>
        <w:spacing w:line="276" w:lineRule="auto"/>
        <w:jc w:val="both"/>
        <w:rPr>
          <w:rFonts w:ascii="Arial" w:hAnsi="Arial" w:cs="Arial"/>
          <w:b/>
          <w:szCs w:val="24"/>
        </w:rPr>
      </w:pPr>
      <w:r w:rsidRPr="00BC3C0F">
        <w:rPr>
          <w:rFonts w:ascii="Arial" w:hAnsi="Arial" w:cs="Arial"/>
          <w:b/>
          <w:szCs w:val="24"/>
        </w:rPr>
        <w:t>3</w:t>
      </w:r>
      <w:r w:rsidR="006A19B1">
        <w:rPr>
          <w:rFonts w:ascii="Arial" w:hAnsi="Arial" w:cs="Arial"/>
          <w:b/>
          <w:szCs w:val="24"/>
        </w:rPr>
        <w:t>. De los</w:t>
      </w:r>
      <w:r w:rsidR="00C353C9" w:rsidRPr="00BC3C0F">
        <w:rPr>
          <w:rFonts w:ascii="Arial" w:hAnsi="Arial" w:cs="Arial"/>
          <w:b/>
          <w:szCs w:val="24"/>
        </w:rPr>
        <w:t xml:space="preserve"> </w:t>
      </w:r>
      <w:r w:rsidR="00DF6B25" w:rsidRPr="00BC3C0F">
        <w:rPr>
          <w:rFonts w:ascii="Arial" w:hAnsi="Arial" w:cs="Arial"/>
          <w:b/>
          <w:szCs w:val="24"/>
        </w:rPr>
        <w:t>recurso</w:t>
      </w:r>
      <w:r w:rsidR="006A19B1">
        <w:rPr>
          <w:rFonts w:ascii="Arial" w:hAnsi="Arial" w:cs="Arial"/>
          <w:b/>
          <w:szCs w:val="24"/>
        </w:rPr>
        <w:t>s</w:t>
      </w:r>
      <w:r w:rsidR="00DF6B25" w:rsidRPr="00BC3C0F">
        <w:rPr>
          <w:rFonts w:ascii="Arial" w:hAnsi="Arial" w:cs="Arial"/>
          <w:b/>
          <w:szCs w:val="24"/>
        </w:rPr>
        <w:t xml:space="preserve"> de apelación</w:t>
      </w:r>
      <w:r w:rsidR="00C353C9" w:rsidRPr="00BC3C0F">
        <w:rPr>
          <w:rFonts w:ascii="Arial" w:hAnsi="Arial" w:cs="Arial"/>
          <w:b/>
          <w:szCs w:val="24"/>
        </w:rPr>
        <w:t xml:space="preserve"> </w:t>
      </w:r>
    </w:p>
    <w:p w14:paraId="340D7D2C" w14:textId="77777777" w:rsidR="002C5C7B" w:rsidRDefault="002C5C7B" w:rsidP="00CE7323">
      <w:pPr>
        <w:spacing w:line="276" w:lineRule="auto"/>
        <w:contextualSpacing/>
        <w:rPr>
          <w:rFonts w:ascii="Arial" w:hAnsi="Arial" w:cs="Arial"/>
          <w:szCs w:val="24"/>
        </w:rPr>
      </w:pPr>
    </w:p>
    <w:p w14:paraId="103AF47D" w14:textId="7A09979A" w:rsidR="006A19B1" w:rsidRDefault="006A19B1" w:rsidP="00C353C9">
      <w:pPr>
        <w:spacing w:line="276" w:lineRule="auto"/>
        <w:jc w:val="both"/>
        <w:rPr>
          <w:rFonts w:ascii="Arial" w:hAnsi="Arial" w:cs="Arial"/>
          <w:szCs w:val="24"/>
        </w:rPr>
      </w:pPr>
      <w:r>
        <w:rPr>
          <w:rFonts w:ascii="Arial" w:hAnsi="Arial" w:cs="Arial"/>
          <w:szCs w:val="24"/>
        </w:rPr>
        <w:t xml:space="preserve">Inconformes con la decisión las codemandadas </w:t>
      </w:r>
      <w:r w:rsidR="00FB5507">
        <w:rPr>
          <w:rFonts w:ascii="Arial" w:hAnsi="Arial" w:cs="Arial"/>
          <w:szCs w:val="24"/>
        </w:rPr>
        <w:t>la recurrieron en</w:t>
      </w:r>
      <w:r>
        <w:rPr>
          <w:rFonts w:ascii="Arial" w:hAnsi="Arial" w:cs="Arial"/>
          <w:szCs w:val="24"/>
        </w:rPr>
        <w:t xml:space="preserve"> apelación para lo cual, </w:t>
      </w:r>
      <w:r w:rsidRPr="006A19B1">
        <w:rPr>
          <w:rFonts w:ascii="Arial" w:hAnsi="Arial" w:cs="Arial"/>
          <w:b/>
          <w:szCs w:val="24"/>
        </w:rPr>
        <w:t>Colfondos S.A.</w:t>
      </w:r>
      <w:r>
        <w:rPr>
          <w:rFonts w:ascii="Arial" w:hAnsi="Arial" w:cs="Arial"/>
          <w:szCs w:val="24"/>
        </w:rPr>
        <w:t xml:space="preserve"> </w:t>
      </w:r>
      <w:r w:rsidR="00FB5507">
        <w:rPr>
          <w:rFonts w:ascii="Arial" w:hAnsi="Arial" w:cs="Arial"/>
          <w:szCs w:val="24"/>
        </w:rPr>
        <w:t>dijo</w:t>
      </w:r>
      <w:r>
        <w:rPr>
          <w:rFonts w:ascii="Arial" w:hAnsi="Arial" w:cs="Arial"/>
          <w:szCs w:val="24"/>
        </w:rPr>
        <w:t xml:space="preserve"> que la carga probatoria impuesta por la </w:t>
      </w:r>
      <w:r w:rsidRPr="006A19B1">
        <w:rPr>
          <w:rFonts w:ascii="Arial" w:hAnsi="Arial" w:cs="Arial"/>
          <w:i/>
          <w:szCs w:val="24"/>
        </w:rPr>
        <w:t>a quo</w:t>
      </w:r>
      <w:r>
        <w:rPr>
          <w:rFonts w:ascii="Arial" w:hAnsi="Arial" w:cs="Arial"/>
          <w:i/>
          <w:szCs w:val="24"/>
        </w:rPr>
        <w:t xml:space="preserve"> </w:t>
      </w:r>
      <w:r>
        <w:rPr>
          <w:rFonts w:ascii="Arial" w:hAnsi="Arial" w:cs="Arial"/>
          <w:szCs w:val="24"/>
        </w:rPr>
        <w:t>no e</w:t>
      </w:r>
      <w:r w:rsidR="00FB5507">
        <w:rPr>
          <w:rFonts w:ascii="Arial" w:hAnsi="Arial" w:cs="Arial"/>
          <w:szCs w:val="24"/>
        </w:rPr>
        <w:t>staba en la ley</w:t>
      </w:r>
      <w:r>
        <w:rPr>
          <w:rFonts w:ascii="Arial" w:hAnsi="Arial" w:cs="Arial"/>
          <w:szCs w:val="24"/>
        </w:rPr>
        <w:t xml:space="preserve">, ni </w:t>
      </w:r>
      <w:r w:rsidR="00FB5507">
        <w:rPr>
          <w:rFonts w:ascii="Arial" w:hAnsi="Arial" w:cs="Arial"/>
          <w:szCs w:val="24"/>
        </w:rPr>
        <w:t xml:space="preserve">en la </w:t>
      </w:r>
      <w:r>
        <w:rPr>
          <w:rFonts w:ascii="Arial" w:hAnsi="Arial" w:cs="Arial"/>
          <w:szCs w:val="24"/>
        </w:rPr>
        <w:t>jurisprudencia</w:t>
      </w:r>
      <w:r w:rsidR="00FB5507">
        <w:rPr>
          <w:rFonts w:ascii="Arial" w:hAnsi="Arial" w:cs="Arial"/>
          <w:szCs w:val="24"/>
        </w:rPr>
        <w:t xml:space="preserve"> </w:t>
      </w:r>
      <w:r>
        <w:rPr>
          <w:rFonts w:ascii="Arial" w:hAnsi="Arial" w:cs="Arial"/>
          <w:szCs w:val="24"/>
        </w:rPr>
        <w:t xml:space="preserve">para la época del traslado, </w:t>
      </w:r>
      <w:r w:rsidR="00FB5507">
        <w:rPr>
          <w:rFonts w:ascii="Arial" w:hAnsi="Arial" w:cs="Arial"/>
          <w:szCs w:val="24"/>
        </w:rPr>
        <w:t>y</w:t>
      </w:r>
      <w:r>
        <w:rPr>
          <w:rFonts w:ascii="Arial" w:hAnsi="Arial" w:cs="Arial"/>
          <w:szCs w:val="24"/>
        </w:rPr>
        <w:t xml:space="preserve"> la Ley 1748 de 2015 carece de efectos retroactivos.</w:t>
      </w:r>
    </w:p>
    <w:p w14:paraId="44EADEC9" w14:textId="77777777" w:rsidR="006A19B1" w:rsidRDefault="006A19B1" w:rsidP="00C353C9">
      <w:pPr>
        <w:spacing w:line="276" w:lineRule="auto"/>
        <w:jc w:val="both"/>
        <w:rPr>
          <w:rFonts w:ascii="Arial" w:hAnsi="Arial" w:cs="Arial"/>
          <w:szCs w:val="24"/>
        </w:rPr>
      </w:pPr>
    </w:p>
    <w:p w14:paraId="17858388" w14:textId="373E114B" w:rsidR="006A19B1" w:rsidRDefault="006A19B1" w:rsidP="00C353C9">
      <w:pPr>
        <w:spacing w:line="276" w:lineRule="auto"/>
        <w:jc w:val="both"/>
        <w:rPr>
          <w:rFonts w:ascii="Arial" w:hAnsi="Arial" w:cs="Arial"/>
          <w:szCs w:val="24"/>
        </w:rPr>
      </w:pPr>
      <w:r>
        <w:rPr>
          <w:rFonts w:ascii="Arial" w:hAnsi="Arial" w:cs="Arial"/>
          <w:szCs w:val="24"/>
        </w:rPr>
        <w:t xml:space="preserve">A su turno, </w:t>
      </w:r>
      <w:r w:rsidRPr="006A19B1">
        <w:rPr>
          <w:rFonts w:ascii="Arial" w:hAnsi="Arial" w:cs="Arial"/>
          <w:b/>
          <w:szCs w:val="24"/>
        </w:rPr>
        <w:t>Porvenir S.A.</w:t>
      </w:r>
      <w:r>
        <w:rPr>
          <w:rFonts w:ascii="Arial" w:hAnsi="Arial" w:cs="Arial"/>
          <w:szCs w:val="24"/>
        </w:rPr>
        <w:t xml:space="preserve"> reprochó que la demandante sí recibió la informaci</w:t>
      </w:r>
      <w:r w:rsidR="00FB5507">
        <w:rPr>
          <w:rFonts w:ascii="Arial" w:hAnsi="Arial" w:cs="Arial"/>
          <w:szCs w:val="24"/>
        </w:rPr>
        <w:t>ón pertinente por los asesores, y al no ser</w:t>
      </w:r>
      <w:r>
        <w:rPr>
          <w:rFonts w:ascii="Arial" w:hAnsi="Arial" w:cs="Arial"/>
          <w:szCs w:val="24"/>
        </w:rPr>
        <w:t xml:space="preserve"> beneficiaria del régimen de transición le correspondía acreditar la ausencia de</w:t>
      </w:r>
      <w:r w:rsidR="00FB5507">
        <w:rPr>
          <w:rFonts w:ascii="Arial" w:hAnsi="Arial" w:cs="Arial"/>
          <w:szCs w:val="24"/>
        </w:rPr>
        <w:t xml:space="preserve"> la</w:t>
      </w:r>
      <w:r>
        <w:rPr>
          <w:rFonts w:ascii="Arial" w:hAnsi="Arial" w:cs="Arial"/>
          <w:szCs w:val="24"/>
        </w:rPr>
        <w:t xml:space="preserve"> información alegada.</w:t>
      </w:r>
    </w:p>
    <w:p w14:paraId="298722CE" w14:textId="77777777" w:rsidR="006A19B1" w:rsidRDefault="006A19B1" w:rsidP="00C353C9">
      <w:pPr>
        <w:spacing w:line="276" w:lineRule="auto"/>
        <w:jc w:val="both"/>
        <w:rPr>
          <w:rFonts w:ascii="Arial" w:hAnsi="Arial" w:cs="Arial"/>
          <w:szCs w:val="24"/>
        </w:rPr>
      </w:pPr>
    </w:p>
    <w:p w14:paraId="464DA6B1" w14:textId="30B830DE" w:rsidR="00782F4D" w:rsidRDefault="006A19B1" w:rsidP="006A19B1">
      <w:pPr>
        <w:spacing w:line="276" w:lineRule="auto"/>
        <w:jc w:val="both"/>
        <w:rPr>
          <w:rFonts w:ascii="Arial" w:hAnsi="Arial" w:cs="Arial"/>
          <w:color w:val="000000"/>
          <w:szCs w:val="24"/>
          <w:lang w:eastAsia="es-CO"/>
        </w:rPr>
      </w:pPr>
      <w:r>
        <w:rPr>
          <w:rFonts w:ascii="Arial" w:hAnsi="Arial" w:cs="Arial"/>
          <w:szCs w:val="24"/>
        </w:rPr>
        <w:t xml:space="preserve">Por último, </w:t>
      </w:r>
      <w:r w:rsidRPr="006A19B1">
        <w:rPr>
          <w:rFonts w:ascii="Arial" w:hAnsi="Arial" w:cs="Arial"/>
          <w:b/>
          <w:szCs w:val="24"/>
        </w:rPr>
        <w:t>Colpensiones</w:t>
      </w:r>
      <w:r>
        <w:rPr>
          <w:rFonts w:ascii="Arial" w:hAnsi="Arial" w:cs="Arial"/>
          <w:szCs w:val="24"/>
        </w:rPr>
        <w:t xml:space="preserve"> recriminó que las afirmaciones de la demanda carecía</w:t>
      </w:r>
      <w:r w:rsidR="00FB5507">
        <w:rPr>
          <w:rFonts w:ascii="Arial" w:hAnsi="Arial" w:cs="Arial"/>
          <w:szCs w:val="24"/>
        </w:rPr>
        <w:t>n de sustento probatorio, más aú</w:t>
      </w:r>
      <w:r>
        <w:rPr>
          <w:rFonts w:ascii="Arial" w:hAnsi="Arial" w:cs="Arial"/>
          <w:szCs w:val="24"/>
        </w:rPr>
        <w:t>n cuando la demandante se trasladó en dos ocasiones dentro del RAIS, aspecto que dem</w:t>
      </w:r>
      <w:r w:rsidR="00140FB2">
        <w:rPr>
          <w:rFonts w:ascii="Arial" w:hAnsi="Arial" w:cs="Arial"/>
          <w:szCs w:val="24"/>
        </w:rPr>
        <w:t>uestra</w:t>
      </w:r>
      <w:r>
        <w:rPr>
          <w:rFonts w:ascii="Arial" w:hAnsi="Arial" w:cs="Arial"/>
          <w:szCs w:val="24"/>
        </w:rPr>
        <w:t xml:space="preserve"> que María </w:t>
      </w:r>
      <w:proofErr w:type="spellStart"/>
      <w:r>
        <w:rPr>
          <w:rFonts w:ascii="Arial" w:hAnsi="Arial" w:cs="Arial"/>
          <w:szCs w:val="24"/>
        </w:rPr>
        <w:t>Yorladis</w:t>
      </w:r>
      <w:proofErr w:type="spellEnd"/>
      <w:r>
        <w:rPr>
          <w:rFonts w:ascii="Arial" w:hAnsi="Arial" w:cs="Arial"/>
          <w:szCs w:val="24"/>
        </w:rPr>
        <w:t xml:space="preserve"> Ramírez Agudelo sí contab</w:t>
      </w:r>
      <w:r w:rsidR="00AE66CC">
        <w:rPr>
          <w:rFonts w:ascii="Arial" w:hAnsi="Arial" w:cs="Arial"/>
          <w:szCs w:val="24"/>
        </w:rPr>
        <w:t>a con la información que aquí echa</w:t>
      </w:r>
      <w:r>
        <w:rPr>
          <w:rFonts w:ascii="Arial" w:hAnsi="Arial" w:cs="Arial"/>
          <w:szCs w:val="24"/>
        </w:rPr>
        <w:t xml:space="preserve"> de menos. </w:t>
      </w:r>
    </w:p>
    <w:p w14:paraId="537222F2" w14:textId="77777777" w:rsidR="006A19B1" w:rsidRPr="00CE7323" w:rsidRDefault="006A19B1" w:rsidP="00CE7323">
      <w:pPr>
        <w:spacing w:line="276" w:lineRule="auto"/>
        <w:contextualSpacing/>
        <w:rPr>
          <w:rFonts w:ascii="Arial" w:hAnsi="Arial" w:cs="Arial"/>
          <w:szCs w:val="24"/>
        </w:rPr>
      </w:pPr>
    </w:p>
    <w:p w14:paraId="5CB3811E" w14:textId="6D6D489E" w:rsidR="006A19B1" w:rsidRDefault="006A19B1" w:rsidP="006A19B1">
      <w:pPr>
        <w:spacing w:line="276" w:lineRule="auto"/>
        <w:jc w:val="both"/>
        <w:rPr>
          <w:rFonts w:ascii="Arial" w:hAnsi="Arial" w:cs="Arial"/>
          <w:b/>
          <w:color w:val="000000"/>
          <w:szCs w:val="24"/>
          <w:lang w:eastAsia="es-CO"/>
        </w:rPr>
      </w:pPr>
      <w:r w:rsidRPr="006A19B1">
        <w:rPr>
          <w:rFonts w:ascii="Arial" w:hAnsi="Arial" w:cs="Arial"/>
          <w:b/>
          <w:color w:val="000000"/>
          <w:szCs w:val="24"/>
          <w:lang w:eastAsia="es-CO"/>
        </w:rPr>
        <w:t>4. Del grado jurisdiccional de consulta</w:t>
      </w:r>
    </w:p>
    <w:p w14:paraId="1487C4BF" w14:textId="77777777" w:rsidR="006A19B1" w:rsidRPr="00CE7323" w:rsidRDefault="006A19B1" w:rsidP="00CE7323">
      <w:pPr>
        <w:spacing w:line="276" w:lineRule="auto"/>
        <w:contextualSpacing/>
        <w:rPr>
          <w:rFonts w:ascii="Arial" w:hAnsi="Arial" w:cs="Arial"/>
          <w:szCs w:val="24"/>
        </w:rPr>
      </w:pPr>
    </w:p>
    <w:p w14:paraId="26C00234" w14:textId="25378739" w:rsidR="006A19B1" w:rsidRPr="006A19B1" w:rsidRDefault="00FB5507" w:rsidP="006A19B1">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En esta instancia, m</w:t>
      </w:r>
      <w:r w:rsidR="006A19B1">
        <w:rPr>
          <w:rFonts w:ascii="Arial" w:hAnsi="Arial" w:cs="Arial"/>
          <w:color w:val="000000"/>
          <w:szCs w:val="24"/>
          <w:lang w:eastAsia="es-CO"/>
        </w:rPr>
        <w:t xml:space="preserve">ediante auto del 14 de marzo de 2019 se ordenó dar curso al grado jurisdiccional de consulta a favor de Colpensiones </w:t>
      </w:r>
      <w:r>
        <w:rPr>
          <w:rFonts w:ascii="Arial" w:hAnsi="Arial" w:cs="Arial"/>
          <w:color w:val="000000"/>
          <w:szCs w:val="24"/>
          <w:lang w:eastAsia="es-CO"/>
        </w:rPr>
        <w:t xml:space="preserve">por ser adversa a ella la sentencia proferida en primera instancia. </w:t>
      </w:r>
    </w:p>
    <w:p w14:paraId="02B73A9C" w14:textId="77777777" w:rsidR="00D709CE" w:rsidRPr="00CE7323" w:rsidRDefault="00D709CE" w:rsidP="00CE7323">
      <w:pPr>
        <w:spacing w:line="276" w:lineRule="auto"/>
        <w:contextualSpacing/>
        <w:rPr>
          <w:rFonts w:ascii="Arial" w:hAnsi="Arial" w:cs="Arial"/>
          <w:szCs w:val="24"/>
        </w:rPr>
      </w:pPr>
    </w:p>
    <w:p w14:paraId="4A50350F" w14:textId="77777777" w:rsidR="00D709CE" w:rsidRPr="00CE7323" w:rsidRDefault="00D709CE" w:rsidP="00CE7323">
      <w:pPr>
        <w:spacing w:line="276" w:lineRule="auto"/>
        <w:jc w:val="center"/>
        <w:rPr>
          <w:rFonts w:ascii="Arial" w:hAnsi="Arial" w:cs="Arial"/>
          <w:b/>
          <w:color w:val="000000"/>
          <w:szCs w:val="24"/>
          <w:lang w:eastAsia="es-CO"/>
        </w:rPr>
      </w:pPr>
      <w:r w:rsidRPr="00CE7323">
        <w:rPr>
          <w:rFonts w:ascii="Arial" w:hAnsi="Arial" w:cs="Arial"/>
          <w:b/>
          <w:color w:val="000000"/>
          <w:szCs w:val="24"/>
          <w:lang w:eastAsia="es-CO"/>
        </w:rPr>
        <w:t>CONSIDERACIONES</w:t>
      </w:r>
    </w:p>
    <w:p w14:paraId="753A3BEA" w14:textId="77777777" w:rsidR="002C5C7B" w:rsidRPr="00CE7323" w:rsidRDefault="002C5C7B" w:rsidP="00CE7323">
      <w:pPr>
        <w:spacing w:line="276" w:lineRule="auto"/>
        <w:contextualSpacing/>
        <w:rPr>
          <w:rFonts w:ascii="Arial" w:hAnsi="Arial" w:cs="Arial"/>
          <w:szCs w:val="24"/>
        </w:rPr>
      </w:pPr>
    </w:p>
    <w:p w14:paraId="3BCA71B3" w14:textId="67E4FAA5" w:rsidR="00D709CE" w:rsidRPr="00CE7323" w:rsidRDefault="00CE7323" w:rsidP="00CE7323">
      <w:pPr>
        <w:pStyle w:val="Textoindependiente"/>
        <w:contextualSpacing/>
        <w:rPr>
          <w:b/>
          <w:iCs/>
          <w:szCs w:val="24"/>
        </w:rPr>
      </w:pPr>
      <w:r>
        <w:rPr>
          <w:b/>
          <w:iCs/>
          <w:szCs w:val="24"/>
        </w:rPr>
        <w:t xml:space="preserve">1. </w:t>
      </w:r>
      <w:r w:rsidR="00D709CE" w:rsidRPr="00CE7323">
        <w:rPr>
          <w:b/>
          <w:iCs/>
          <w:szCs w:val="24"/>
        </w:rPr>
        <w:t>Del problema jurídico</w:t>
      </w:r>
    </w:p>
    <w:p w14:paraId="6078BFEF" w14:textId="77777777" w:rsidR="00D709CE" w:rsidRPr="008C4910" w:rsidRDefault="00D709CE" w:rsidP="00CE7323">
      <w:pPr>
        <w:spacing w:line="276" w:lineRule="auto"/>
        <w:contextualSpacing/>
        <w:rPr>
          <w:rFonts w:ascii="Arial" w:hAnsi="Arial" w:cs="Arial"/>
          <w:szCs w:val="24"/>
        </w:rPr>
      </w:pPr>
    </w:p>
    <w:p w14:paraId="136820D9" w14:textId="77777777" w:rsidR="00D709CE" w:rsidRDefault="00D709CE" w:rsidP="00D709CE">
      <w:pPr>
        <w:shd w:val="clear" w:color="auto" w:fill="FFFFFF"/>
        <w:tabs>
          <w:tab w:val="left" w:pos="5197"/>
        </w:tabs>
        <w:jc w:val="both"/>
        <w:rPr>
          <w:rFonts w:ascii="Arial" w:hAnsi="Arial" w:cs="Arial"/>
          <w:szCs w:val="24"/>
        </w:rPr>
      </w:pPr>
      <w:r>
        <w:rPr>
          <w:rFonts w:ascii="Arial" w:hAnsi="Arial" w:cs="Arial"/>
          <w:szCs w:val="24"/>
        </w:rPr>
        <w:t>Atendiendo el recuento anterior la Sala se pregunta:</w:t>
      </w:r>
    </w:p>
    <w:p w14:paraId="670812E9" w14:textId="77777777" w:rsidR="00D709CE" w:rsidRDefault="00D709CE" w:rsidP="00D709CE">
      <w:pPr>
        <w:shd w:val="clear" w:color="auto" w:fill="FFFFFF"/>
        <w:tabs>
          <w:tab w:val="left" w:pos="5197"/>
        </w:tabs>
        <w:spacing w:line="276" w:lineRule="auto"/>
        <w:contextualSpacing/>
        <w:jc w:val="both"/>
        <w:rPr>
          <w:rFonts w:ascii="Arial" w:hAnsi="Arial" w:cs="Arial"/>
          <w:color w:val="000000" w:themeColor="text1"/>
          <w:szCs w:val="24"/>
        </w:rPr>
      </w:pPr>
    </w:p>
    <w:p w14:paraId="5AA40439" w14:textId="5E4B4FA0" w:rsidR="007B368F" w:rsidRDefault="007B368F" w:rsidP="002C5C7B">
      <w:pPr>
        <w:pStyle w:val="Textoindependiente"/>
        <w:spacing w:line="276" w:lineRule="auto"/>
        <w:ind w:right="-93"/>
        <w:contextualSpacing/>
        <w:rPr>
          <w:iCs/>
          <w:color w:val="000000" w:themeColor="text1"/>
          <w:szCs w:val="24"/>
        </w:rPr>
      </w:pPr>
      <w:r w:rsidRPr="00BC3C0F">
        <w:rPr>
          <w:iCs/>
          <w:color w:val="000000" w:themeColor="text1"/>
          <w:szCs w:val="24"/>
        </w:rPr>
        <w:t>¿</w:t>
      </w:r>
      <w:r>
        <w:rPr>
          <w:iCs/>
          <w:color w:val="000000" w:themeColor="text1"/>
          <w:szCs w:val="24"/>
        </w:rPr>
        <w:t>Las AFP</w:t>
      </w:r>
      <w:r w:rsidR="00AE66CC">
        <w:rPr>
          <w:iCs/>
          <w:color w:val="000000" w:themeColor="text1"/>
          <w:szCs w:val="24"/>
        </w:rPr>
        <w:t xml:space="preserve"> demandadas</w:t>
      </w:r>
      <w:r>
        <w:rPr>
          <w:iCs/>
          <w:color w:val="000000" w:themeColor="text1"/>
          <w:szCs w:val="24"/>
        </w:rPr>
        <w:t xml:space="preserve"> desconocieron el derecho de la demandante a elegir libre y voluntariamente el régimen pensional deseado?</w:t>
      </w:r>
    </w:p>
    <w:p w14:paraId="021057BF" w14:textId="77777777" w:rsidR="00D709CE" w:rsidRPr="00CE7323" w:rsidRDefault="00D709CE" w:rsidP="00CE7323">
      <w:pPr>
        <w:spacing w:line="276" w:lineRule="auto"/>
        <w:contextualSpacing/>
        <w:rPr>
          <w:rFonts w:ascii="Arial" w:hAnsi="Arial" w:cs="Arial"/>
          <w:szCs w:val="24"/>
        </w:rPr>
      </w:pPr>
    </w:p>
    <w:p w14:paraId="303FA1F5" w14:textId="77777777" w:rsidR="00D709CE" w:rsidRPr="0000603E" w:rsidRDefault="00D709CE" w:rsidP="002C5C7B">
      <w:pPr>
        <w:pStyle w:val="Textoindependiente"/>
        <w:contextualSpacing/>
        <w:rPr>
          <w:b/>
          <w:iCs/>
          <w:szCs w:val="24"/>
        </w:rPr>
      </w:pPr>
      <w:r w:rsidRPr="0000603E">
        <w:rPr>
          <w:b/>
          <w:iCs/>
          <w:szCs w:val="24"/>
        </w:rPr>
        <w:t>2. Solución a</w:t>
      </w:r>
      <w:r>
        <w:rPr>
          <w:b/>
          <w:iCs/>
          <w:szCs w:val="24"/>
        </w:rPr>
        <w:t>l problema</w:t>
      </w:r>
      <w:r w:rsidRPr="0000603E">
        <w:rPr>
          <w:b/>
          <w:iCs/>
          <w:szCs w:val="24"/>
        </w:rPr>
        <w:t xml:space="preserve"> jurídico </w:t>
      </w:r>
    </w:p>
    <w:p w14:paraId="128D13B1" w14:textId="77777777" w:rsidR="002C5C7B" w:rsidRPr="00CE7323" w:rsidRDefault="00D709CE" w:rsidP="00CE7323">
      <w:pPr>
        <w:spacing w:line="276" w:lineRule="auto"/>
        <w:contextualSpacing/>
        <w:rPr>
          <w:rFonts w:ascii="Arial" w:hAnsi="Arial" w:cs="Arial"/>
          <w:szCs w:val="24"/>
        </w:rPr>
      </w:pPr>
      <w:r w:rsidRPr="00CE7323">
        <w:rPr>
          <w:rFonts w:ascii="Arial" w:hAnsi="Arial" w:cs="Arial"/>
          <w:szCs w:val="24"/>
        </w:rPr>
        <w:t xml:space="preserve"> </w:t>
      </w:r>
    </w:p>
    <w:p w14:paraId="7D8F6C5C" w14:textId="514A124D" w:rsidR="00D709CE" w:rsidRDefault="00D709CE" w:rsidP="002C5C7B">
      <w:pPr>
        <w:pStyle w:val="Textoindependiente"/>
        <w:spacing w:line="480" w:lineRule="auto"/>
        <w:contextualSpacing/>
        <w:rPr>
          <w:b/>
          <w:szCs w:val="24"/>
        </w:rPr>
      </w:pPr>
      <w:r>
        <w:rPr>
          <w:b/>
          <w:szCs w:val="24"/>
        </w:rPr>
        <w:t>2.1.</w:t>
      </w:r>
      <w:r w:rsidR="006F6038">
        <w:rPr>
          <w:b/>
          <w:szCs w:val="24"/>
        </w:rPr>
        <w:t xml:space="preserve"> </w:t>
      </w:r>
      <w:r w:rsidRPr="00D709CE">
        <w:rPr>
          <w:b/>
          <w:szCs w:val="24"/>
        </w:rPr>
        <w:t>Fundamento jurídico</w:t>
      </w:r>
    </w:p>
    <w:p w14:paraId="36C4729D" w14:textId="77777777" w:rsidR="007B368F" w:rsidRDefault="007B368F" w:rsidP="002C5C7B">
      <w:pPr>
        <w:shd w:val="clear" w:color="auto" w:fill="FFFFFF"/>
        <w:tabs>
          <w:tab w:val="left" w:pos="5197"/>
        </w:tabs>
        <w:spacing w:line="276" w:lineRule="auto"/>
        <w:contextualSpacing/>
        <w:jc w:val="both"/>
        <w:rPr>
          <w:rFonts w:ascii="Arial" w:hAnsi="Arial" w:cs="Arial"/>
          <w:b/>
          <w:color w:val="000000" w:themeColor="text1"/>
          <w:szCs w:val="24"/>
        </w:rPr>
      </w:pPr>
      <w:r w:rsidRPr="00BC3C0F">
        <w:rPr>
          <w:rFonts w:ascii="Arial" w:hAnsi="Arial" w:cs="Arial"/>
          <w:b/>
          <w:color w:val="000000" w:themeColor="text1"/>
          <w:szCs w:val="24"/>
        </w:rPr>
        <w:t>Del valor normativo de las decisiones emitidas por la Corte Suprema de Justicia</w:t>
      </w:r>
    </w:p>
    <w:p w14:paraId="3A2C65AF" w14:textId="77777777" w:rsidR="002C5C7B" w:rsidRPr="00CE7323" w:rsidRDefault="002C5C7B" w:rsidP="00CE7323">
      <w:pPr>
        <w:spacing w:line="276" w:lineRule="auto"/>
        <w:contextualSpacing/>
        <w:rPr>
          <w:rFonts w:ascii="Arial" w:hAnsi="Arial" w:cs="Arial"/>
          <w:szCs w:val="24"/>
        </w:rPr>
      </w:pPr>
    </w:p>
    <w:p w14:paraId="73D347A1" w14:textId="4E49DE5F" w:rsidR="007B368F" w:rsidRDefault="007B368F" w:rsidP="007B368F">
      <w:pPr>
        <w:shd w:val="clear" w:color="auto" w:fill="FFFFFF"/>
        <w:tabs>
          <w:tab w:val="left" w:pos="5197"/>
        </w:tabs>
        <w:spacing w:line="276" w:lineRule="auto"/>
        <w:contextualSpacing/>
        <w:jc w:val="both"/>
        <w:rPr>
          <w:rFonts w:ascii="Arial" w:hAnsi="Arial" w:cs="Arial"/>
          <w:color w:val="000000" w:themeColor="text1"/>
          <w:szCs w:val="24"/>
        </w:rPr>
      </w:pPr>
      <w:r w:rsidRPr="00BC3C0F">
        <w:rPr>
          <w:rFonts w:ascii="Arial" w:hAnsi="Arial" w:cs="Arial"/>
          <w:color w:val="000000" w:themeColor="text1"/>
          <w:szCs w:val="24"/>
        </w:rPr>
        <w:t>Las decisiones adoptadas por el superior jerárquico, en nuestro caso por la Corte Suprema de Justicia en su Sala de Casación Laboral encargada de unificar la jurisprudencia, resulta ser como regla general de obligatorio acatamiento, lo que se traduce en una limi</w:t>
      </w:r>
      <w:r>
        <w:rPr>
          <w:rFonts w:ascii="Arial" w:hAnsi="Arial" w:cs="Arial"/>
          <w:color w:val="000000" w:themeColor="text1"/>
          <w:szCs w:val="24"/>
        </w:rPr>
        <w:t>tación de la autonomía judicial; s</w:t>
      </w:r>
      <w:r w:rsidRPr="00BC3C0F">
        <w:rPr>
          <w:rFonts w:ascii="Arial" w:hAnsi="Arial" w:cs="Arial"/>
          <w:color w:val="000000" w:themeColor="text1"/>
          <w:szCs w:val="24"/>
        </w:rPr>
        <w:t xml:space="preserve">in embargo y a modo de excepción, el funcionario judicial puede apartarse de ellas esgrimiendo las razones suficientemente fundadas que lo llevan a tomar esa determinación. </w:t>
      </w:r>
    </w:p>
    <w:p w14:paraId="0B6FF0F0" w14:textId="77777777" w:rsidR="007B368F" w:rsidRPr="00BC3C0F" w:rsidRDefault="007B368F" w:rsidP="007B368F">
      <w:pPr>
        <w:shd w:val="clear" w:color="auto" w:fill="FFFFFF"/>
        <w:tabs>
          <w:tab w:val="left" w:pos="5197"/>
        </w:tabs>
        <w:spacing w:line="276" w:lineRule="auto"/>
        <w:contextualSpacing/>
        <w:jc w:val="both"/>
        <w:rPr>
          <w:rFonts w:ascii="Arial" w:hAnsi="Arial" w:cs="Arial"/>
          <w:color w:val="000000" w:themeColor="text1"/>
          <w:szCs w:val="24"/>
        </w:rPr>
      </w:pPr>
    </w:p>
    <w:p w14:paraId="607AEDFE" w14:textId="203252F5" w:rsidR="007B368F" w:rsidRPr="00BC3C0F" w:rsidRDefault="007B368F" w:rsidP="007B368F">
      <w:pPr>
        <w:shd w:val="clear" w:color="auto" w:fill="FFFFFF"/>
        <w:tabs>
          <w:tab w:val="left" w:pos="5197"/>
        </w:tabs>
        <w:spacing w:line="276" w:lineRule="auto"/>
        <w:jc w:val="both"/>
        <w:rPr>
          <w:rFonts w:ascii="Arial" w:hAnsi="Arial" w:cs="Arial"/>
          <w:color w:val="000000" w:themeColor="text1"/>
          <w:szCs w:val="24"/>
        </w:rPr>
      </w:pPr>
      <w:r w:rsidRPr="00BC3C0F">
        <w:rPr>
          <w:rFonts w:ascii="Arial" w:hAnsi="Arial" w:cs="Arial"/>
          <w:color w:val="000000" w:themeColor="text1"/>
          <w:szCs w:val="24"/>
        </w:rPr>
        <w:t>Frente al tema de la ineficacia del traslado</w:t>
      </w:r>
      <w:r w:rsidR="00801F9F">
        <w:rPr>
          <w:rFonts w:ascii="Arial" w:hAnsi="Arial" w:cs="Arial"/>
          <w:color w:val="000000" w:themeColor="text1"/>
          <w:szCs w:val="24"/>
        </w:rPr>
        <w:t>,</w:t>
      </w:r>
      <w:r w:rsidRPr="00BC3C0F">
        <w:rPr>
          <w:rFonts w:ascii="Arial" w:hAnsi="Arial" w:cs="Arial"/>
          <w:color w:val="000000" w:themeColor="text1"/>
          <w:szCs w:val="24"/>
        </w:rPr>
        <w:t xml:space="preserve"> sustentado en los a</w:t>
      </w:r>
      <w:r w:rsidRPr="00BC3C0F">
        <w:rPr>
          <w:rFonts w:ascii="Arial" w:hAnsi="Arial" w:cs="Arial"/>
          <w:iCs/>
          <w:szCs w:val="24"/>
        </w:rPr>
        <w:t xml:space="preserve">rtículos 13 literal b) y  271 inciso 1º de la Ley 100 de 1993, recientemente </w:t>
      </w:r>
      <w:r w:rsidRPr="00BC3C0F">
        <w:rPr>
          <w:rFonts w:ascii="Arial" w:hAnsi="Arial" w:cs="Arial"/>
          <w:color w:val="000000" w:themeColor="text1"/>
          <w:szCs w:val="24"/>
        </w:rPr>
        <w:t>la SCL de la CSJ</w:t>
      </w:r>
      <w:r w:rsidRPr="00BC3C0F">
        <w:rPr>
          <w:rStyle w:val="Refdenotaalpie"/>
          <w:rFonts w:ascii="Arial" w:hAnsi="Arial" w:cs="Arial"/>
          <w:color w:val="000000" w:themeColor="text1"/>
          <w:szCs w:val="24"/>
        </w:rPr>
        <w:footnoteReference w:id="1"/>
      </w:r>
      <w:r w:rsidR="00801F9F">
        <w:rPr>
          <w:rFonts w:ascii="Arial" w:hAnsi="Arial" w:cs="Arial"/>
          <w:color w:val="000000" w:themeColor="text1"/>
          <w:szCs w:val="24"/>
        </w:rPr>
        <w:t xml:space="preserve"> </w:t>
      </w:r>
      <w:r w:rsidRPr="00BC3C0F">
        <w:rPr>
          <w:rFonts w:ascii="Arial" w:hAnsi="Arial" w:cs="Arial"/>
          <w:color w:val="000000" w:themeColor="text1"/>
          <w:szCs w:val="24"/>
        </w:rPr>
        <w:t>indicó que procede para todos los afiliados al sistema pensional sin distingo a su pertenencia o no al régimen de transición</w:t>
      </w:r>
      <w:r w:rsidR="00801F9F">
        <w:rPr>
          <w:rFonts w:ascii="Arial" w:hAnsi="Arial" w:cs="Arial"/>
          <w:color w:val="000000" w:themeColor="text1"/>
          <w:szCs w:val="24"/>
        </w:rPr>
        <w:t>,</w:t>
      </w:r>
      <w:r w:rsidRPr="00BC3C0F">
        <w:rPr>
          <w:rFonts w:ascii="Arial" w:hAnsi="Arial" w:cs="Arial"/>
          <w:color w:val="000000" w:themeColor="text1"/>
          <w:szCs w:val="24"/>
        </w:rPr>
        <w:t xml:space="preserve"> previsto en el artículo 36 de la Ley 100 de 1993, cuya c</w:t>
      </w:r>
      <w:r w:rsidR="00801F9F">
        <w:rPr>
          <w:rFonts w:ascii="Arial" w:hAnsi="Arial" w:cs="Arial"/>
          <w:color w:val="000000" w:themeColor="text1"/>
          <w:szCs w:val="24"/>
        </w:rPr>
        <w:t>arga probatoria recae en la AFP</w:t>
      </w:r>
      <w:r w:rsidRPr="00BC3C0F">
        <w:rPr>
          <w:rFonts w:ascii="Arial" w:hAnsi="Arial" w:cs="Arial"/>
          <w:color w:val="000000" w:themeColor="text1"/>
          <w:szCs w:val="24"/>
        </w:rPr>
        <w:t xml:space="preserve"> quien deberá acreditar que informó</w:t>
      </w:r>
      <w:r>
        <w:rPr>
          <w:rFonts w:ascii="Arial" w:hAnsi="Arial" w:cs="Arial"/>
          <w:color w:val="000000" w:themeColor="text1"/>
          <w:szCs w:val="24"/>
        </w:rPr>
        <w:t xml:space="preserve"> las </w:t>
      </w:r>
      <w:r w:rsidR="00801F9F">
        <w:rPr>
          <w:rFonts w:ascii="Arial" w:hAnsi="Arial" w:cs="Arial"/>
          <w:color w:val="000000" w:themeColor="text1"/>
          <w:szCs w:val="24"/>
        </w:rPr>
        <w:t xml:space="preserve">características, condiciones, ventajas, desventajas y consecuencias </w:t>
      </w:r>
      <w:r>
        <w:rPr>
          <w:rFonts w:ascii="Arial" w:hAnsi="Arial" w:cs="Arial"/>
          <w:color w:val="000000" w:themeColor="text1"/>
          <w:szCs w:val="24"/>
        </w:rPr>
        <w:t>del traslado. T</w:t>
      </w:r>
      <w:r w:rsidR="00AE66CC">
        <w:rPr>
          <w:rFonts w:ascii="Arial" w:hAnsi="Arial" w:cs="Arial"/>
          <w:color w:val="000000" w:themeColor="text1"/>
          <w:szCs w:val="24"/>
        </w:rPr>
        <w:t>esis que no se comparte</w:t>
      </w:r>
      <w:r>
        <w:rPr>
          <w:rFonts w:ascii="Arial" w:hAnsi="Arial" w:cs="Arial"/>
          <w:color w:val="000000" w:themeColor="text1"/>
          <w:szCs w:val="24"/>
        </w:rPr>
        <w:t xml:space="preserve"> la Sala Mayoritaria. </w:t>
      </w:r>
    </w:p>
    <w:p w14:paraId="67091C10" w14:textId="77777777" w:rsidR="007B368F" w:rsidRPr="00BC3C0F" w:rsidRDefault="007B368F" w:rsidP="007B368F">
      <w:pPr>
        <w:shd w:val="clear" w:color="auto" w:fill="FFFFFF"/>
        <w:tabs>
          <w:tab w:val="left" w:pos="5197"/>
        </w:tabs>
        <w:spacing w:line="276" w:lineRule="auto"/>
        <w:jc w:val="both"/>
        <w:rPr>
          <w:rFonts w:ascii="Arial" w:hAnsi="Arial" w:cs="Arial"/>
          <w:color w:val="000000" w:themeColor="text1"/>
          <w:szCs w:val="24"/>
        </w:rPr>
      </w:pPr>
    </w:p>
    <w:p w14:paraId="63867624" w14:textId="45A550CD" w:rsidR="007B368F" w:rsidRDefault="007B368F" w:rsidP="007B368F">
      <w:pPr>
        <w:spacing w:line="276" w:lineRule="auto"/>
        <w:ind w:right="-93"/>
        <w:jc w:val="both"/>
        <w:rPr>
          <w:rFonts w:ascii="Arial" w:hAnsi="Arial" w:cs="Arial"/>
          <w:color w:val="000000"/>
          <w:szCs w:val="24"/>
          <w:u w:val="single"/>
          <w:lang w:eastAsia="es-CO"/>
        </w:rPr>
      </w:pPr>
      <w:r w:rsidRPr="00BC3C0F">
        <w:rPr>
          <w:rFonts w:ascii="Arial" w:hAnsi="Arial" w:cs="Arial"/>
          <w:color w:val="000000" w:themeColor="text1"/>
          <w:szCs w:val="24"/>
        </w:rPr>
        <w:t xml:space="preserve">Así, la intelección que </w:t>
      </w:r>
      <w:r>
        <w:rPr>
          <w:rFonts w:ascii="Arial" w:hAnsi="Arial" w:cs="Arial"/>
          <w:color w:val="000000" w:themeColor="text1"/>
          <w:szCs w:val="24"/>
        </w:rPr>
        <w:t>se tiene</w:t>
      </w:r>
      <w:r w:rsidR="00801F9F">
        <w:rPr>
          <w:rFonts w:ascii="Arial" w:hAnsi="Arial" w:cs="Arial"/>
          <w:color w:val="000000" w:themeColor="text1"/>
          <w:szCs w:val="24"/>
        </w:rPr>
        <w:t>,</w:t>
      </w:r>
      <w:r>
        <w:rPr>
          <w:rFonts w:ascii="Arial" w:hAnsi="Arial" w:cs="Arial"/>
          <w:color w:val="000000" w:themeColor="text1"/>
          <w:szCs w:val="24"/>
        </w:rPr>
        <w:t xml:space="preserve"> radica en que e</w:t>
      </w:r>
      <w:r w:rsidRPr="003E29A2">
        <w:rPr>
          <w:rFonts w:ascii="Arial" w:hAnsi="Arial" w:cs="Arial"/>
          <w:color w:val="000000"/>
          <w:szCs w:val="24"/>
          <w:lang w:eastAsia="es-CO"/>
        </w:rPr>
        <w:t>l literal b) del artículo 13 de la Ley 100/93 establece que la escogencia de cualquier</w:t>
      </w:r>
      <w:r>
        <w:rPr>
          <w:rFonts w:ascii="Arial" w:hAnsi="Arial" w:cs="Arial"/>
          <w:color w:val="000000"/>
          <w:szCs w:val="24"/>
          <w:lang w:eastAsia="es-CO"/>
        </w:rPr>
        <w:t>a de los regímenes pensionales contemplados en dicha ley</w:t>
      </w:r>
      <w:r w:rsidRPr="003E29A2">
        <w:rPr>
          <w:rFonts w:ascii="Arial" w:hAnsi="Arial" w:cs="Arial"/>
          <w:color w:val="000000"/>
          <w:szCs w:val="24"/>
          <w:lang w:eastAsia="es-CO"/>
        </w:rPr>
        <w:t xml:space="preserve"> es libre y voluntaria por parte del afiliado; consentimiento que se manifiesta por escrito al momento del diligenciamiento de la vinculación o traslado, situación que de desconocerse acarrea las sanciones previstas en el inciso 1º del artículo 271 </w:t>
      </w:r>
      <w:r w:rsidRPr="003F5039">
        <w:rPr>
          <w:rFonts w:ascii="Arial" w:hAnsi="Arial" w:cs="Arial"/>
          <w:i/>
          <w:color w:val="000000"/>
          <w:szCs w:val="24"/>
          <w:lang w:eastAsia="es-CO"/>
        </w:rPr>
        <w:t>ibídem</w:t>
      </w:r>
      <w:r w:rsidRPr="003E29A2">
        <w:rPr>
          <w:rFonts w:ascii="Arial" w:hAnsi="Arial" w:cs="Arial"/>
          <w:color w:val="000000"/>
          <w:szCs w:val="24"/>
          <w:lang w:eastAsia="es-CO"/>
        </w:rPr>
        <w:t xml:space="preserve">, consistentes </w:t>
      </w:r>
      <w:r>
        <w:rPr>
          <w:rFonts w:ascii="Arial" w:hAnsi="Arial" w:cs="Arial"/>
          <w:color w:val="000000"/>
          <w:szCs w:val="24"/>
          <w:lang w:eastAsia="es-CO"/>
        </w:rPr>
        <w:t xml:space="preserve">de un lado </w:t>
      </w:r>
      <w:r w:rsidRPr="003E29A2">
        <w:rPr>
          <w:rFonts w:ascii="Arial" w:hAnsi="Arial" w:cs="Arial"/>
          <w:color w:val="000000"/>
          <w:szCs w:val="24"/>
          <w:lang w:eastAsia="es-CO"/>
        </w:rPr>
        <w:t xml:space="preserve">en multas </w:t>
      </w:r>
      <w:r>
        <w:rPr>
          <w:rFonts w:ascii="Arial" w:hAnsi="Arial" w:cs="Arial"/>
          <w:color w:val="000000"/>
          <w:szCs w:val="24"/>
          <w:lang w:eastAsia="es-CO"/>
        </w:rPr>
        <w:t>y de otro de vital importancia, d</w:t>
      </w:r>
      <w:r w:rsidRPr="003E29A2">
        <w:rPr>
          <w:rFonts w:ascii="Arial" w:hAnsi="Arial" w:cs="Arial"/>
          <w:color w:val="000000"/>
          <w:szCs w:val="24"/>
          <w:lang w:eastAsia="es-CO"/>
        </w:rPr>
        <w:t>ejar sin efecto la afiliación</w:t>
      </w:r>
      <w:r>
        <w:rPr>
          <w:rFonts w:ascii="Arial" w:hAnsi="Arial" w:cs="Arial"/>
          <w:color w:val="000000"/>
          <w:szCs w:val="24"/>
          <w:lang w:eastAsia="es-CO"/>
        </w:rPr>
        <w:t>;</w:t>
      </w:r>
      <w:r w:rsidRPr="003E29A2">
        <w:rPr>
          <w:rFonts w:ascii="Arial" w:hAnsi="Arial" w:cs="Arial"/>
          <w:color w:val="000000"/>
          <w:szCs w:val="24"/>
          <w:lang w:eastAsia="es-CO"/>
        </w:rPr>
        <w:t xml:space="preserve"> </w:t>
      </w:r>
      <w:r>
        <w:rPr>
          <w:rFonts w:ascii="Arial" w:hAnsi="Arial" w:cs="Arial"/>
          <w:color w:val="000000"/>
          <w:szCs w:val="24"/>
          <w:lang w:eastAsia="es-CO"/>
        </w:rPr>
        <w:t xml:space="preserve">en cuyo caso el </w:t>
      </w:r>
      <w:r w:rsidRPr="003E29A2">
        <w:rPr>
          <w:rFonts w:ascii="Arial" w:hAnsi="Arial" w:cs="Arial"/>
          <w:color w:val="000000"/>
          <w:szCs w:val="24"/>
          <w:lang w:eastAsia="es-CO"/>
        </w:rPr>
        <w:t xml:space="preserve">trabajador podrá nuevamente elegir su régimen </w:t>
      </w:r>
      <w:r>
        <w:rPr>
          <w:rFonts w:ascii="Arial" w:hAnsi="Arial" w:cs="Arial"/>
          <w:color w:val="000000"/>
          <w:szCs w:val="24"/>
          <w:lang w:eastAsia="es-CO"/>
        </w:rPr>
        <w:t xml:space="preserve">pensional en forma libre y </w:t>
      </w:r>
      <w:r w:rsidR="00801F9F">
        <w:rPr>
          <w:rFonts w:ascii="Arial" w:hAnsi="Arial" w:cs="Arial"/>
          <w:color w:val="000000"/>
          <w:szCs w:val="24"/>
          <w:lang w:eastAsia="es-CO"/>
        </w:rPr>
        <w:t>voluntaria</w:t>
      </w:r>
      <w:r>
        <w:rPr>
          <w:rFonts w:ascii="Arial" w:hAnsi="Arial" w:cs="Arial"/>
          <w:color w:val="000000"/>
          <w:szCs w:val="24"/>
          <w:lang w:eastAsia="es-CO"/>
        </w:rPr>
        <w:t xml:space="preserve">, </w:t>
      </w:r>
      <w:r w:rsidRPr="00C10D52">
        <w:rPr>
          <w:rFonts w:ascii="Arial" w:hAnsi="Arial" w:cs="Arial"/>
          <w:color w:val="000000"/>
          <w:szCs w:val="24"/>
          <w:lang w:eastAsia="es-CO"/>
        </w:rPr>
        <w:t>sin que por esto recobre vigencia l</w:t>
      </w:r>
      <w:r>
        <w:rPr>
          <w:rFonts w:ascii="Arial" w:hAnsi="Arial" w:cs="Arial"/>
          <w:color w:val="000000"/>
          <w:szCs w:val="24"/>
          <w:lang w:eastAsia="es-CO"/>
        </w:rPr>
        <w:t>a afiliación anterior, pues ello</w:t>
      </w:r>
      <w:r w:rsidRPr="00C10D52">
        <w:rPr>
          <w:rFonts w:ascii="Arial" w:hAnsi="Arial" w:cs="Arial"/>
          <w:color w:val="000000"/>
          <w:szCs w:val="24"/>
          <w:lang w:eastAsia="es-CO"/>
        </w:rPr>
        <w:t xml:space="preserve"> no es el efecto jurídico de la </w:t>
      </w:r>
      <w:r>
        <w:rPr>
          <w:rFonts w:ascii="Arial" w:hAnsi="Arial" w:cs="Arial"/>
          <w:color w:val="000000"/>
          <w:szCs w:val="24"/>
          <w:lang w:eastAsia="es-CO"/>
        </w:rPr>
        <w:t>ineficacia</w:t>
      </w:r>
      <w:r w:rsidRPr="00C10D52">
        <w:rPr>
          <w:rFonts w:ascii="Arial" w:hAnsi="Arial" w:cs="Arial"/>
          <w:color w:val="000000"/>
          <w:szCs w:val="24"/>
          <w:lang w:eastAsia="es-CO"/>
        </w:rPr>
        <w:t xml:space="preserve"> que trae el canon citado.</w:t>
      </w:r>
      <w:r w:rsidRPr="0050218E">
        <w:rPr>
          <w:rFonts w:ascii="Arial" w:hAnsi="Arial" w:cs="Arial"/>
          <w:color w:val="000000"/>
          <w:szCs w:val="24"/>
          <w:u w:val="single"/>
          <w:lang w:eastAsia="es-CO"/>
        </w:rPr>
        <w:t xml:space="preserve"> </w:t>
      </w:r>
    </w:p>
    <w:p w14:paraId="386F253C" w14:textId="77777777" w:rsidR="007B368F" w:rsidRPr="003E29A2" w:rsidRDefault="007B368F" w:rsidP="007B368F">
      <w:pPr>
        <w:spacing w:line="276" w:lineRule="auto"/>
        <w:ind w:right="-93"/>
        <w:jc w:val="both"/>
        <w:rPr>
          <w:rFonts w:ascii="Arial" w:hAnsi="Arial" w:cs="Arial"/>
          <w:color w:val="000000"/>
          <w:szCs w:val="24"/>
          <w:lang w:eastAsia="es-CO"/>
        </w:rPr>
      </w:pPr>
    </w:p>
    <w:p w14:paraId="1AF446B1" w14:textId="695B5F2C" w:rsidR="007B368F" w:rsidRDefault="007B368F" w:rsidP="007B368F">
      <w:pPr>
        <w:spacing w:line="276" w:lineRule="auto"/>
        <w:ind w:right="-93"/>
        <w:jc w:val="both"/>
        <w:rPr>
          <w:rFonts w:ascii="Arial" w:hAnsi="Arial" w:cs="Arial"/>
          <w:color w:val="000000"/>
          <w:szCs w:val="24"/>
          <w:lang w:eastAsia="es-CO"/>
        </w:rPr>
      </w:pPr>
      <w:r w:rsidRPr="003E29A2">
        <w:rPr>
          <w:rFonts w:ascii="Arial" w:hAnsi="Arial" w:cs="Arial"/>
          <w:color w:val="000000"/>
          <w:szCs w:val="24"/>
          <w:lang w:eastAsia="es-CO"/>
        </w:rPr>
        <w:t xml:space="preserve">Ahora bien, el desconocimiento del derecho de libre y voluntaria elección de régimen </w:t>
      </w:r>
      <w:r>
        <w:rPr>
          <w:rFonts w:ascii="Arial" w:hAnsi="Arial" w:cs="Arial"/>
          <w:color w:val="000000"/>
          <w:szCs w:val="24"/>
          <w:lang w:eastAsia="es-CO"/>
        </w:rPr>
        <w:t xml:space="preserve">se manifiesta cuando existe una disconformidad entre la voluntad interna del </w:t>
      </w:r>
      <w:r>
        <w:rPr>
          <w:rFonts w:ascii="Arial" w:hAnsi="Arial" w:cs="Arial"/>
          <w:color w:val="000000"/>
          <w:szCs w:val="24"/>
          <w:lang w:eastAsia="es-CO"/>
        </w:rPr>
        <w:lastRenderedPageBreak/>
        <w:t>trabajador y la decl</w:t>
      </w:r>
      <w:r w:rsidR="00801F9F">
        <w:rPr>
          <w:rFonts w:ascii="Arial" w:hAnsi="Arial" w:cs="Arial"/>
          <w:color w:val="000000"/>
          <w:szCs w:val="24"/>
          <w:lang w:eastAsia="es-CO"/>
        </w:rPr>
        <w:t>aración o manifestación que de e</w:t>
      </w:r>
      <w:r>
        <w:rPr>
          <w:rFonts w:ascii="Arial" w:hAnsi="Arial" w:cs="Arial"/>
          <w:color w:val="000000"/>
          <w:szCs w:val="24"/>
          <w:lang w:eastAsia="es-CO"/>
        </w:rPr>
        <w:t xml:space="preserve">sta haga a su interlocutor en el momento de elegir el régimen pensional. </w:t>
      </w:r>
    </w:p>
    <w:p w14:paraId="2848AA40" w14:textId="77777777" w:rsidR="007B368F" w:rsidRDefault="007B368F" w:rsidP="007B368F">
      <w:pPr>
        <w:spacing w:line="276" w:lineRule="auto"/>
        <w:ind w:right="-93"/>
        <w:jc w:val="both"/>
        <w:rPr>
          <w:rFonts w:ascii="Arial" w:hAnsi="Arial" w:cs="Arial"/>
          <w:color w:val="000000"/>
          <w:szCs w:val="24"/>
          <w:lang w:eastAsia="es-CO"/>
        </w:rPr>
      </w:pPr>
    </w:p>
    <w:p w14:paraId="06B82AB3" w14:textId="7257AC82" w:rsidR="007B368F" w:rsidRDefault="007B368F" w:rsidP="007B368F">
      <w:pPr>
        <w:spacing w:line="276" w:lineRule="auto"/>
        <w:ind w:right="-93"/>
        <w:jc w:val="both"/>
        <w:rPr>
          <w:rFonts w:ascii="Arial" w:hAnsi="Arial" w:cs="Arial"/>
          <w:color w:val="000000"/>
          <w:szCs w:val="24"/>
          <w:lang w:eastAsia="es-CO"/>
        </w:rPr>
      </w:pPr>
      <w:r>
        <w:rPr>
          <w:rFonts w:ascii="Arial" w:hAnsi="Arial" w:cs="Arial"/>
          <w:color w:val="000000"/>
          <w:szCs w:val="24"/>
          <w:lang w:eastAsia="es-CO"/>
        </w:rPr>
        <w:t xml:space="preserve">Dicha disconformidad se cimienta en el numeral 2º del artículo 1502 del C.C. </w:t>
      </w:r>
      <w:r w:rsidR="00960917">
        <w:rPr>
          <w:rFonts w:ascii="Arial" w:hAnsi="Arial" w:cs="Arial"/>
          <w:color w:val="000000"/>
          <w:szCs w:val="24"/>
          <w:lang w:eastAsia="es-CO"/>
        </w:rPr>
        <w:t>dado que</w:t>
      </w:r>
      <w:r>
        <w:rPr>
          <w:rFonts w:ascii="Arial" w:hAnsi="Arial" w:cs="Arial"/>
          <w:color w:val="000000"/>
          <w:szCs w:val="24"/>
          <w:lang w:eastAsia="es-CO"/>
        </w:rPr>
        <w:t xml:space="preserve"> para que una persona se obligue con otra a través de la declaración de su voluntad debe</w:t>
      </w:r>
      <w:r w:rsidR="00960917">
        <w:rPr>
          <w:rFonts w:ascii="Arial" w:hAnsi="Arial" w:cs="Arial"/>
          <w:color w:val="000000"/>
          <w:szCs w:val="24"/>
          <w:lang w:eastAsia="es-CO"/>
        </w:rPr>
        <w:t xml:space="preserve"> </w:t>
      </w:r>
      <w:r>
        <w:rPr>
          <w:rFonts w:ascii="Arial" w:hAnsi="Arial" w:cs="Arial"/>
          <w:color w:val="000000"/>
          <w:szCs w:val="24"/>
          <w:lang w:eastAsia="es-CO"/>
        </w:rPr>
        <w:t>consentir en la declaración expresada; consentimiento que será válido siempre que no adolezca de vicio. En esa medida este deberá estar libre de defecto alguno, como son el error, la fuerza y el dolo (art. 1508 del C.C), que podrán aparecer para casos como el de ahora cuando se retiene, omite o deforme la información indispensable para que el trabajador pueda expresar su consentimiento, o dicho de otro modo, para que se consolide la expresión de su voluntad.</w:t>
      </w:r>
    </w:p>
    <w:p w14:paraId="373EA04D" w14:textId="77777777" w:rsidR="007B368F" w:rsidRDefault="007B368F" w:rsidP="007B368F">
      <w:pPr>
        <w:spacing w:line="276" w:lineRule="auto"/>
        <w:ind w:right="-93"/>
        <w:jc w:val="both"/>
        <w:rPr>
          <w:rFonts w:ascii="Arial" w:hAnsi="Arial" w:cs="Arial"/>
          <w:color w:val="000000"/>
          <w:szCs w:val="24"/>
          <w:lang w:eastAsia="es-CO"/>
        </w:rPr>
      </w:pPr>
    </w:p>
    <w:p w14:paraId="6C87512D" w14:textId="1CA4ECA5" w:rsidR="007B368F" w:rsidRDefault="007B368F" w:rsidP="007B368F">
      <w:pPr>
        <w:spacing w:line="276" w:lineRule="auto"/>
        <w:ind w:right="-93"/>
        <w:jc w:val="both"/>
        <w:rPr>
          <w:rFonts w:ascii="Arial" w:hAnsi="Arial" w:cs="Arial"/>
          <w:color w:val="000000"/>
          <w:szCs w:val="24"/>
          <w:lang w:eastAsia="es-CO"/>
        </w:rPr>
      </w:pPr>
      <w:r>
        <w:rPr>
          <w:rFonts w:ascii="Arial" w:hAnsi="Arial" w:cs="Arial"/>
          <w:color w:val="000000"/>
          <w:szCs w:val="24"/>
          <w:lang w:eastAsia="es-CO"/>
        </w:rPr>
        <w:t xml:space="preserve">El anterior derrotero cobra relevancia al desentrañar en quién recae la carga de probar el contenido y forma en que se dio el consentimiento por el afiliado, pues tal evidencia demostrará la disconformidad entre lo querido y lo expresado, </w:t>
      </w:r>
      <w:r w:rsidR="00960917">
        <w:rPr>
          <w:rFonts w:ascii="Arial" w:hAnsi="Arial" w:cs="Arial"/>
          <w:color w:val="000000"/>
          <w:szCs w:val="24"/>
          <w:lang w:eastAsia="es-CO"/>
        </w:rPr>
        <w:t>en consecuencia</w:t>
      </w:r>
      <w:r>
        <w:rPr>
          <w:rFonts w:ascii="Arial" w:hAnsi="Arial" w:cs="Arial"/>
          <w:color w:val="000000"/>
          <w:szCs w:val="24"/>
          <w:lang w:eastAsia="es-CO"/>
        </w:rPr>
        <w:t xml:space="preserve"> el desconocimiento del derecho a la libre escogencia del régimen pensional.</w:t>
      </w:r>
    </w:p>
    <w:p w14:paraId="1E421C58" w14:textId="77777777" w:rsidR="007B368F" w:rsidRDefault="007B368F" w:rsidP="007B368F">
      <w:pPr>
        <w:spacing w:line="276" w:lineRule="auto"/>
        <w:ind w:right="-93"/>
        <w:jc w:val="both"/>
        <w:rPr>
          <w:rFonts w:ascii="Arial" w:hAnsi="Arial" w:cs="Arial"/>
          <w:color w:val="000000"/>
          <w:szCs w:val="24"/>
          <w:lang w:eastAsia="es-CO"/>
        </w:rPr>
      </w:pPr>
    </w:p>
    <w:p w14:paraId="69460C25" w14:textId="78B5F679" w:rsidR="007B368F" w:rsidRDefault="007B368F" w:rsidP="007B368F">
      <w:pPr>
        <w:spacing w:line="276" w:lineRule="auto"/>
        <w:ind w:right="-93"/>
        <w:jc w:val="both"/>
        <w:rPr>
          <w:rFonts w:ascii="Arial" w:hAnsi="Arial" w:cs="Arial"/>
          <w:color w:val="000000"/>
          <w:szCs w:val="24"/>
          <w:lang w:eastAsia="es-CO"/>
        </w:rPr>
      </w:pPr>
      <w:r>
        <w:rPr>
          <w:rFonts w:ascii="Arial" w:hAnsi="Arial" w:cs="Arial"/>
          <w:color w:val="000000"/>
          <w:szCs w:val="24"/>
          <w:lang w:eastAsia="es-CO"/>
        </w:rPr>
        <w:t>Puestas de ese modo las cosas, resulta imprescindible mencionar lo dispuesto en el art. 1604 del C.C. que exige que “</w:t>
      </w:r>
      <w:r w:rsidRPr="000337DE">
        <w:rPr>
          <w:rFonts w:ascii="Arial" w:hAnsi="Arial" w:cs="Arial"/>
          <w:i/>
          <w:color w:val="000000"/>
          <w:szCs w:val="24"/>
          <w:lang w:eastAsia="es-CO"/>
        </w:rPr>
        <w:t>la prueba de la diligencia o cuidado incumbe al que ha debido emplearlo; la prueba de</w:t>
      </w:r>
      <w:r>
        <w:rPr>
          <w:rFonts w:ascii="Arial" w:hAnsi="Arial" w:cs="Arial"/>
          <w:i/>
          <w:color w:val="000000"/>
          <w:szCs w:val="24"/>
          <w:lang w:eastAsia="es-CO"/>
        </w:rPr>
        <w:t xml:space="preserve">l caso fortuito al que lo alega”; </w:t>
      </w:r>
      <w:r>
        <w:rPr>
          <w:rFonts w:ascii="Arial" w:hAnsi="Arial" w:cs="Arial"/>
          <w:color w:val="000000"/>
          <w:szCs w:val="24"/>
          <w:lang w:eastAsia="es-CO"/>
        </w:rPr>
        <w:t xml:space="preserve">no obstante lo anterior, dicha obligación probatoria aparece como respuesta inmediata a alguien que previamente ha alegado el incumplimiento de una obligación por parte de su deudor, y en esa medida, quien alega un incumplimiento obligacional deberá probar el supuesto de hecho de la norma que consagra el efecto jurídico perseguido (art. 167 C.G.P.), o en otras palabras, </w:t>
      </w:r>
      <w:r w:rsidR="004B1F81">
        <w:rPr>
          <w:rFonts w:ascii="Arial" w:hAnsi="Arial" w:cs="Arial"/>
          <w:color w:val="000000"/>
          <w:szCs w:val="24"/>
          <w:lang w:eastAsia="es-CO"/>
        </w:rPr>
        <w:t>demostrar</w:t>
      </w:r>
      <w:r>
        <w:rPr>
          <w:rFonts w:ascii="Arial" w:hAnsi="Arial" w:cs="Arial"/>
          <w:color w:val="000000"/>
          <w:szCs w:val="24"/>
          <w:lang w:eastAsia="es-CO"/>
        </w:rPr>
        <w:t xml:space="preserve"> la obligación incumplida para que se presuma que ello se dio por culpa de la contraparte, quien en respuesta de tal cues</w:t>
      </w:r>
      <w:r w:rsidR="004B1F81">
        <w:rPr>
          <w:rFonts w:ascii="Arial" w:hAnsi="Arial" w:cs="Arial"/>
          <w:color w:val="000000"/>
          <w:szCs w:val="24"/>
          <w:lang w:eastAsia="es-CO"/>
        </w:rPr>
        <w:t>tionamiento tendrá la carga de acreditar</w:t>
      </w:r>
      <w:r>
        <w:rPr>
          <w:rFonts w:ascii="Arial" w:hAnsi="Arial" w:cs="Arial"/>
          <w:color w:val="000000"/>
          <w:szCs w:val="24"/>
          <w:lang w:eastAsia="es-CO"/>
        </w:rPr>
        <w:t xml:space="preserve"> la diligencia o cuidado en la obligación pactada. </w:t>
      </w:r>
    </w:p>
    <w:p w14:paraId="3F4CDFC7" w14:textId="77777777" w:rsidR="007B368F" w:rsidRDefault="007B368F" w:rsidP="007B368F">
      <w:pPr>
        <w:spacing w:line="276" w:lineRule="auto"/>
        <w:ind w:right="-93"/>
        <w:jc w:val="both"/>
        <w:rPr>
          <w:rFonts w:ascii="Arial" w:hAnsi="Arial" w:cs="Arial"/>
          <w:color w:val="000000"/>
          <w:szCs w:val="24"/>
          <w:lang w:eastAsia="es-CO"/>
        </w:rPr>
      </w:pPr>
    </w:p>
    <w:p w14:paraId="67355455" w14:textId="2776C6BA" w:rsidR="00BC122A" w:rsidRDefault="004B1F81" w:rsidP="007B368F">
      <w:pPr>
        <w:spacing w:line="276" w:lineRule="auto"/>
        <w:ind w:right="49"/>
        <w:contextualSpacing/>
        <w:jc w:val="both"/>
        <w:rPr>
          <w:rFonts w:ascii="Arial" w:hAnsi="Arial" w:cs="Arial"/>
          <w:color w:val="000000"/>
          <w:szCs w:val="24"/>
          <w:lang w:eastAsia="es-CO"/>
        </w:rPr>
      </w:pPr>
      <w:r>
        <w:rPr>
          <w:rFonts w:ascii="Arial" w:hAnsi="Arial" w:cs="Arial"/>
          <w:color w:val="000000"/>
          <w:szCs w:val="24"/>
          <w:lang w:eastAsia="es-CO"/>
        </w:rPr>
        <w:t>S</w:t>
      </w:r>
      <w:r w:rsidR="007B368F">
        <w:rPr>
          <w:rFonts w:ascii="Arial" w:hAnsi="Arial" w:cs="Arial"/>
          <w:color w:val="000000"/>
          <w:szCs w:val="24"/>
          <w:lang w:eastAsia="es-CO"/>
        </w:rPr>
        <w:t>ituación diferente ocurre cuando las pretensiones del proceso de ineficacia de la afiliación se fundan en una negación indefinida, que se concreta en l</w:t>
      </w:r>
      <w:r>
        <w:rPr>
          <w:rFonts w:ascii="Arial" w:hAnsi="Arial" w:cs="Arial"/>
          <w:color w:val="000000"/>
          <w:szCs w:val="24"/>
          <w:lang w:eastAsia="es-CO"/>
        </w:rPr>
        <w:t xml:space="preserve">a ausencia total de información, </w:t>
      </w:r>
      <w:r w:rsidR="007B368F">
        <w:rPr>
          <w:rFonts w:ascii="Arial" w:hAnsi="Arial" w:cs="Arial"/>
          <w:color w:val="000000"/>
          <w:szCs w:val="24"/>
          <w:lang w:eastAsia="es-CO"/>
        </w:rPr>
        <w:t>sin que l</w:t>
      </w:r>
      <w:r>
        <w:rPr>
          <w:rFonts w:ascii="Arial" w:hAnsi="Arial" w:cs="Arial"/>
          <w:color w:val="000000"/>
          <w:szCs w:val="24"/>
          <w:lang w:eastAsia="es-CO"/>
        </w:rPr>
        <w:t>a</w:t>
      </w:r>
      <w:r w:rsidR="007B368F">
        <w:rPr>
          <w:rFonts w:ascii="Arial" w:hAnsi="Arial" w:cs="Arial"/>
          <w:color w:val="000000"/>
          <w:szCs w:val="24"/>
          <w:lang w:eastAsia="es-CO"/>
        </w:rPr>
        <w:t xml:space="preserve"> configure el que la</w:t>
      </w:r>
      <w:r>
        <w:rPr>
          <w:rFonts w:ascii="Arial" w:hAnsi="Arial" w:cs="Arial"/>
          <w:color w:val="000000"/>
          <w:szCs w:val="24"/>
          <w:lang w:eastAsia="es-CO"/>
        </w:rPr>
        <w:t xml:space="preserve"> </w:t>
      </w:r>
      <w:r w:rsidR="007B368F">
        <w:rPr>
          <w:rFonts w:ascii="Arial" w:hAnsi="Arial" w:cs="Arial"/>
          <w:color w:val="000000"/>
          <w:szCs w:val="24"/>
          <w:lang w:eastAsia="es-CO"/>
        </w:rPr>
        <w:t>parte</w:t>
      </w:r>
      <w:r>
        <w:rPr>
          <w:rFonts w:ascii="Arial" w:hAnsi="Arial" w:cs="Arial"/>
          <w:color w:val="000000"/>
          <w:szCs w:val="24"/>
          <w:lang w:eastAsia="es-CO"/>
        </w:rPr>
        <w:t xml:space="preserve"> actora</w:t>
      </w:r>
      <w:r w:rsidR="007B368F">
        <w:rPr>
          <w:rFonts w:ascii="Arial" w:hAnsi="Arial" w:cs="Arial"/>
          <w:color w:val="000000"/>
          <w:szCs w:val="24"/>
          <w:lang w:eastAsia="es-CO"/>
        </w:rPr>
        <w:t xml:space="preserve"> exprese que “</w:t>
      </w:r>
      <w:r w:rsidR="007B368F" w:rsidRPr="00A708A4">
        <w:rPr>
          <w:rFonts w:ascii="Arial" w:hAnsi="Arial" w:cs="Arial"/>
          <w:i/>
          <w:color w:val="000000"/>
          <w:szCs w:val="24"/>
          <w:lang w:eastAsia="es-CO"/>
        </w:rPr>
        <w:t>la AFP no suministró información veraz y suficiente</w:t>
      </w:r>
      <w:r w:rsidR="007B368F" w:rsidRPr="00AD294E">
        <w:rPr>
          <w:rFonts w:ascii="Arial" w:hAnsi="Arial" w:cs="Arial"/>
          <w:color w:val="000000"/>
          <w:szCs w:val="24"/>
          <w:lang w:eastAsia="es-CO"/>
        </w:rPr>
        <w:t xml:space="preserve">”, </w:t>
      </w:r>
      <w:r>
        <w:rPr>
          <w:rFonts w:ascii="Arial" w:hAnsi="Arial" w:cs="Arial"/>
          <w:color w:val="000000"/>
          <w:szCs w:val="24"/>
          <w:lang w:eastAsia="es-CO"/>
        </w:rPr>
        <w:t>expresión que lleva implícita</w:t>
      </w:r>
      <w:r w:rsidR="00BC122A">
        <w:rPr>
          <w:rFonts w:ascii="Arial" w:hAnsi="Arial" w:cs="Arial"/>
          <w:color w:val="000000"/>
          <w:szCs w:val="24"/>
          <w:lang w:eastAsia="es-CO"/>
        </w:rPr>
        <w:t xml:space="preserve"> que sí se le dio alguna información, por lo que tiene la obligación de </w:t>
      </w:r>
      <w:r w:rsidR="00AE66CC">
        <w:rPr>
          <w:rFonts w:ascii="Arial" w:hAnsi="Arial" w:cs="Arial"/>
          <w:color w:val="000000"/>
          <w:szCs w:val="24"/>
          <w:lang w:eastAsia="es-CO"/>
        </w:rPr>
        <w:t>exponer qué</w:t>
      </w:r>
      <w:r w:rsidR="00110653">
        <w:rPr>
          <w:rFonts w:ascii="Arial" w:hAnsi="Arial" w:cs="Arial"/>
          <w:color w:val="000000"/>
          <w:szCs w:val="24"/>
          <w:lang w:eastAsia="es-CO"/>
        </w:rPr>
        <w:t xml:space="preserve"> fue lo que se le </w:t>
      </w:r>
      <w:r w:rsidR="007B368F" w:rsidRPr="00AD294E">
        <w:rPr>
          <w:rFonts w:ascii="Arial" w:hAnsi="Arial" w:cs="Arial"/>
          <w:color w:val="000000"/>
          <w:szCs w:val="24"/>
          <w:lang w:eastAsia="es-CO"/>
        </w:rPr>
        <w:t>dijo</w:t>
      </w:r>
      <w:r w:rsidR="00BC122A">
        <w:rPr>
          <w:rFonts w:ascii="Arial" w:hAnsi="Arial" w:cs="Arial"/>
          <w:color w:val="000000"/>
          <w:szCs w:val="24"/>
          <w:lang w:eastAsia="es-CO"/>
        </w:rPr>
        <w:t>,</w:t>
      </w:r>
      <w:r w:rsidR="007B368F" w:rsidRPr="00AD294E">
        <w:rPr>
          <w:rFonts w:ascii="Arial" w:hAnsi="Arial" w:cs="Arial"/>
          <w:color w:val="000000"/>
          <w:szCs w:val="24"/>
          <w:lang w:eastAsia="es-CO"/>
        </w:rPr>
        <w:t xml:space="preserve"> o cuál fue la información falsa,</w:t>
      </w:r>
      <w:r w:rsidR="007B368F">
        <w:rPr>
          <w:rFonts w:ascii="Arial" w:hAnsi="Arial" w:cs="Arial"/>
          <w:color w:val="000000"/>
          <w:szCs w:val="24"/>
          <w:lang w:eastAsia="es-CO"/>
        </w:rPr>
        <w:t xml:space="preserve"> para que quede en evidencia qué faltó o dónde radicó el engaño</w:t>
      </w:r>
      <w:r w:rsidR="00BC122A">
        <w:rPr>
          <w:rFonts w:ascii="Arial" w:hAnsi="Arial" w:cs="Arial"/>
          <w:color w:val="000000"/>
          <w:szCs w:val="24"/>
          <w:lang w:eastAsia="es-CO"/>
        </w:rPr>
        <w:t>;</w:t>
      </w:r>
      <w:r w:rsidR="007B368F">
        <w:rPr>
          <w:rFonts w:ascii="Arial" w:hAnsi="Arial" w:cs="Arial"/>
          <w:color w:val="000000"/>
          <w:szCs w:val="24"/>
          <w:lang w:eastAsia="es-CO"/>
        </w:rPr>
        <w:t xml:space="preserve"> solo así se podrá trasladar la carga de probar a la AFP. </w:t>
      </w:r>
    </w:p>
    <w:p w14:paraId="585ABFCF" w14:textId="77777777" w:rsidR="00BC122A" w:rsidRDefault="00BC122A" w:rsidP="007B368F">
      <w:pPr>
        <w:spacing w:line="276" w:lineRule="auto"/>
        <w:ind w:right="49"/>
        <w:contextualSpacing/>
        <w:jc w:val="both"/>
        <w:rPr>
          <w:rFonts w:ascii="Arial" w:hAnsi="Arial" w:cs="Arial"/>
          <w:color w:val="000000"/>
          <w:szCs w:val="24"/>
          <w:lang w:eastAsia="es-CO"/>
        </w:rPr>
      </w:pPr>
    </w:p>
    <w:p w14:paraId="0331A432" w14:textId="03F13A6B" w:rsidR="007B368F" w:rsidRPr="00DE63E4" w:rsidRDefault="007B368F" w:rsidP="007B368F">
      <w:pPr>
        <w:spacing w:line="276" w:lineRule="auto"/>
        <w:ind w:right="49"/>
        <w:contextualSpacing/>
        <w:jc w:val="both"/>
        <w:rPr>
          <w:rFonts w:ascii="Arial" w:hAnsi="Arial" w:cs="Arial"/>
          <w:color w:val="000000"/>
          <w:szCs w:val="24"/>
          <w:highlight w:val="red"/>
          <w:lang w:eastAsia="es-CO"/>
        </w:rPr>
      </w:pPr>
      <w:r>
        <w:rPr>
          <w:rFonts w:ascii="Arial" w:hAnsi="Arial" w:cs="Arial"/>
          <w:color w:val="000000"/>
          <w:szCs w:val="24"/>
          <w:lang w:eastAsia="es-CO"/>
        </w:rPr>
        <w:t xml:space="preserve">Entonces, para los procesos fundados en negaciones indefinidas </w:t>
      </w:r>
      <w:r>
        <w:rPr>
          <w:rFonts w:ascii="Arial" w:hAnsi="Arial"/>
          <w:szCs w:val="24"/>
        </w:rPr>
        <w:t xml:space="preserve">corresponde de manera imperiosa a la AFP desvirtuar la misma, esto es, acreditar que el traslado estuvo precedido de suficiente información y por ende, existió un consentimiento válido. </w:t>
      </w:r>
    </w:p>
    <w:p w14:paraId="2274CFE8" w14:textId="77777777" w:rsidR="007B368F" w:rsidRDefault="007B368F" w:rsidP="007B368F">
      <w:pPr>
        <w:spacing w:line="276" w:lineRule="auto"/>
        <w:ind w:right="-93"/>
        <w:jc w:val="both"/>
        <w:rPr>
          <w:rFonts w:ascii="Arial" w:hAnsi="Arial" w:cs="Arial"/>
          <w:color w:val="000000"/>
          <w:szCs w:val="24"/>
          <w:lang w:eastAsia="es-CO"/>
        </w:rPr>
      </w:pPr>
    </w:p>
    <w:p w14:paraId="7658C488" w14:textId="2C7D5718" w:rsidR="007B368F" w:rsidRDefault="007B368F" w:rsidP="007B368F">
      <w:pPr>
        <w:spacing w:line="276" w:lineRule="auto"/>
        <w:ind w:right="-93"/>
        <w:jc w:val="both"/>
        <w:rPr>
          <w:rFonts w:ascii="Arial" w:hAnsi="Arial" w:cs="Arial"/>
          <w:color w:val="000000"/>
          <w:szCs w:val="24"/>
          <w:lang w:eastAsia="es-CO"/>
        </w:rPr>
      </w:pPr>
      <w:r>
        <w:rPr>
          <w:rFonts w:ascii="Arial" w:hAnsi="Arial" w:cs="Arial"/>
          <w:color w:val="000000"/>
          <w:szCs w:val="24"/>
          <w:lang w:eastAsia="es-CO"/>
        </w:rPr>
        <w:t xml:space="preserve">En conclusión, en los procesos tendientes a dejar sin efecto una afiliación hecha a cualquiera de los dos regímenes con el propósito de volver a elegir el que desee, esta vez, en forma libre y espontánea, deberá el afiliado demostrar imperiosamente que la AFP a la que se afilió incumplió en la etapa precontractual con su obligación principal, consistente en brindarle la información adecuada, completa y veraz para tomar una decisión bajo el principio de la libertad informada, y en esa medida, poder dar rienda suelta al art. 1604 del C.C., pues la presunción allí establecida no es el </w:t>
      </w:r>
      <w:r>
        <w:rPr>
          <w:rFonts w:ascii="Arial" w:hAnsi="Arial" w:cs="Arial"/>
          <w:color w:val="000000"/>
          <w:szCs w:val="24"/>
          <w:lang w:eastAsia="es-CO"/>
        </w:rPr>
        <w:lastRenderedPageBreak/>
        <w:t xml:space="preserve">incumplimiento de la obligación, sino la culpa en tal incumplimiento, iterase, una vez probado este. </w:t>
      </w:r>
    </w:p>
    <w:p w14:paraId="467890AA" w14:textId="77777777" w:rsidR="007B368F" w:rsidRDefault="007B368F" w:rsidP="007B368F">
      <w:pPr>
        <w:spacing w:line="276" w:lineRule="auto"/>
        <w:ind w:right="-93"/>
        <w:jc w:val="both"/>
        <w:rPr>
          <w:rFonts w:ascii="Arial" w:hAnsi="Arial" w:cs="Arial"/>
          <w:color w:val="000000"/>
          <w:szCs w:val="24"/>
          <w:lang w:eastAsia="es-CO"/>
        </w:rPr>
      </w:pPr>
    </w:p>
    <w:p w14:paraId="1A529BF5" w14:textId="77777777" w:rsidR="007B368F" w:rsidRDefault="007B368F" w:rsidP="007B368F">
      <w:pPr>
        <w:spacing w:line="276" w:lineRule="auto"/>
        <w:ind w:right="-93"/>
        <w:jc w:val="both"/>
        <w:rPr>
          <w:rFonts w:ascii="Arial" w:hAnsi="Arial" w:cs="Arial"/>
          <w:i/>
          <w:color w:val="000000"/>
          <w:szCs w:val="24"/>
          <w:lang w:eastAsia="es-CO"/>
        </w:rPr>
      </w:pPr>
      <w:r>
        <w:rPr>
          <w:rFonts w:ascii="Arial" w:hAnsi="Arial" w:cs="Arial"/>
          <w:color w:val="000000"/>
          <w:szCs w:val="24"/>
          <w:lang w:eastAsia="es-CO"/>
        </w:rPr>
        <w:t>Deducción que en nada diciente con la doctrina al enseñar que “</w:t>
      </w:r>
      <w:r w:rsidRPr="00B23B93">
        <w:rPr>
          <w:rFonts w:ascii="Arial" w:hAnsi="Arial" w:cs="Arial"/>
          <w:i/>
          <w:color w:val="000000"/>
          <w:szCs w:val="24"/>
          <w:lang w:eastAsia="es-CO"/>
        </w:rPr>
        <w:t xml:space="preserve">para que esta sanción sea aplicable al deudor </w:t>
      </w:r>
      <w:r w:rsidRPr="00574D01">
        <w:rPr>
          <w:rFonts w:ascii="Arial" w:hAnsi="Arial" w:cs="Arial"/>
          <w:color w:val="000000"/>
          <w:szCs w:val="24"/>
          <w:lang w:eastAsia="es-CO"/>
        </w:rPr>
        <w:t>[pago de perjuicio</w:t>
      </w:r>
      <w:r>
        <w:rPr>
          <w:rFonts w:ascii="Arial" w:hAnsi="Arial" w:cs="Arial"/>
          <w:color w:val="000000"/>
          <w:szCs w:val="24"/>
          <w:lang w:eastAsia="es-CO"/>
        </w:rPr>
        <w:t>s</w:t>
      </w:r>
      <w:r w:rsidRPr="00574D01">
        <w:rPr>
          <w:rFonts w:ascii="Arial" w:hAnsi="Arial" w:cs="Arial"/>
          <w:color w:val="000000"/>
          <w:szCs w:val="24"/>
          <w:lang w:eastAsia="es-CO"/>
        </w:rPr>
        <w:t>]</w:t>
      </w:r>
      <w:r>
        <w:rPr>
          <w:rFonts w:ascii="Arial" w:hAnsi="Arial" w:cs="Arial"/>
          <w:i/>
          <w:color w:val="000000"/>
          <w:szCs w:val="24"/>
          <w:lang w:eastAsia="es-CO"/>
        </w:rPr>
        <w:t xml:space="preserve"> </w:t>
      </w:r>
      <w:r w:rsidRPr="00B23B93">
        <w:rPr>
          <w:rFonts w:ascii="Arial" w:hAnsi="Arial" w:cs="Arial"/>
          <w:i/>
          <w:color w:val="000000"/>
          <w:szCs w:val="24"/>
          <w:lang w:eastAsia="es-CO"/>
        </w:rPr>
        <w:t xml:space="preserve">es necesario que este quebrante los dictados de la buena fe y de la diligencia que rigen su conducta (art. 1603 y 1604); se presume que el incumplimiento de la obligación es culposo (art. 1604), presunción que es </w:t>
      </w:r>
      <w:proofErr w:type="spellStart"/>
      <w:r w:rsidRPr="00B23B93">
        <w:rPr>
          <w:rFonts w:ascii="Arial" w:hAnsi="Arial" w:cs="Arial"/>
          <w:i/>
          <w:color w:val="000000"/>
          <w:szCs w:val="24"/>
          <w:lang w:eastAsia="es-CO"/>
        </w:rPr>
        <w:t>desvirtuable</w:t>
      </w:r>
      <w:proofErr w:type="spellEnd"/>
      <w:r w:rsidRPr="00B23B93">
        <w:rPr>
          <w:rFonts w:ascii="Arial" w:hAnsi="Arial" w:cs="Arial"/>
          <w:i/>
          <w:color w:val="000000"/>
          <w:szCs w:val="24"/>
          <w:lang w:eastAsia="es-CO"/>
        </w:rPr>
        <w:t xml:space="preserve"> por el deudor, mediante la prueba de la diligencia debida o del caso fortuito </w:t>
      </w:r>
      <w:proofErr w:type="spellStart"/>
      <w:r w:rsidRPr="00B23B93">
        <w:rPr>
          <w:rFonts w:ascii="Arial" w:hAnsi="Arial" w:cs="Arial"/>
          <w:i/>
          <w:color w:val="000000"/>
          <w:szCs w:val="24"/>
          <w:lang w:eastAsia="es-CO"/>
        </w:rPr>
        <w:t>exonerante</w:t>
      </w:r>
      <w:proofErr w:type="spellEnd"/>
      <w:r w:rsidRPr="00B23B93">
        <w:rPr>
          <w:rFonts w:ascii="Arial" w:hAnsi="Arial" w:cs="Arial"/>
          <w:i/>
          <w:color w:val="000000"/>
          <w:szCs w:val="24"/>
          <w:lang w:eastAsia="es-CO"/>
        </w:rPr>
        <w:t xml:space="preserve"> de responsabilidad (ibídem)”</w:t>
      </w:r>
      <w:r>
        <w:rPr>
          <w:rStyle w:val="Refdenotaalpie"/>
          <w:rFonts w:ascii="Arial" w:hAnsi="Arial" w:cs="Arial"/>
          <w:i/>
          <w:color w:val="000000"/>
          <w:szCs w:val="24"/>
          <w:lang w:eastAsia="es-CO"/>
        </w:rPr>
        <w:footnoteReference w:id="2"/>
      </w:r>
      <w:r>
        <w:rPr>
          <w:rFonts w:ascii="Arial" w:hAnsi="Arial" w:cs="Arial"/>
          <w:i/>
          <w:color w:val="000000"/>
          <w:szCs w:val="24"/>
          <w:lang w:eastAsia="es-CO"/>
        </w:rPr>
        <w:t>.</w:t>
      </w:r>
    </w:p>
    <w:p w14:paraId="6E35C371" w14:textId="77777777" w:rsidR="007B368F" w:rsidRDefault="007B368F" w:rsidP="007B368F">
      <w:pPr>
        <w:spacing w:line="276" w:lineRule="auto"/>
        <w:ind w:right="-93"/>
        <w:jc w:val="both"/>
        <w:rPr>
          <w:rFonts w:ascii="Arial" w:hAnsi="Arial" w:cs="Arial"/>
          <w:i/>
          <w:color w:val="000000"/>
          <w:szCs w:val="24"/>
          <w:lang w:eastAsia="es-CO"/>
        </w:rPr>
      </w:pPr>
    </w:p>
    <w:p w14:paraId="1F97C428" w14:textId="3B7022D8" w:rsidR="007B368F" w:rsidRDefault="007B368F" w:rsidP="007B368F">
      <w:pPr>
        <w:spacing w:line="276" w:lineRule="auto"/>
        <w:ind w:right="-93"/>
        <w:jc w:val="both"/>
        <w:rPr>
          <w:rFonts w:ascii="Arial" w:hAnsi="Arial" w:cs="Arial"/>
          <w:color w:val="000000"/>
          <w:szCs w:val="24"/>
          <w:lang w:eastAsia="es-CO"/>
        </w:rPr>
      </w:pPr>
      <w:r>
        <w:rPr>
          <w:rFonts w:ascii="Arial" w:hAnsi="Arial" w:cs="Arial"/>
          <w:color w:val="000000"/>
          <w:szCs w:val="24"/>
          <w:lang w:eastAsia="es-CO"/>
        </w:rPr>
        <w:t xml:space="preserve">En ese sentido, probado el incumplimiento de la obligación de la AFP de brindar la información, corresponderá a esta, para efecto de exonerarse de la consecuencia negativa impuesta en el art. 271 de la Ley 100/93, acreditar su diligencia y cuidado en tal suministro de información. Demostración que se circunscribe a un mayor grado de diligencia y sobretodo de profesionalismo, pues la actividad realizada por las AFP se caracteriza por ser habitual, masiva y lucrativa, elementos que en conjunto implican que la AFP ostente un conocimiento experto y singular en la actividad ofertada, y por ello, el </w:t>
      </w:r>
      <w:proofErr w:type="spellStart"/>
      <w:r w:rsidRPr="00320011">
        <w:rPr>
          <w:rFonts w:ascii="Arial" w:hAnsi="Arial" w:cs="Arial"/>
          <w:i/>
          <w:color w:val="000000"/>
          <w:szCs w:val="24"/>
          <w:lang w:eastAsia="es-CO"/>
        </w:rPr>
        <w:t>onus</w:t>
      </w:r>
      <w:proofErr w:type="spellEnd"/>
      <w:r w:rsidRPr="00320011">
        <w:rPr>
          <w:rFonts w:ascii="Arial" w:hAnsi="Arial" w:cs="Arial"/>
          <w:i/>
          <w:color w:val="000000"/>
          <w:szCs w:val="24"/>
          <w:lang w:eastAsia="es-CO"/>
        </w:rPr>
        <w:t xml:space="preserve"> probandi</w:t>
      </w:r>
      <w:r>
        <w:rPr>
          <w:rFonts w:ascii="Arial" w:hAnsi="Arial" w:cs="Arial"/>
          <w:color w:val="000000"/>
          <w:szCs w:val="24"/>
          <w:lang w:eastAsia="es-CO"/>
        </w:rPr>
        <w:t xml:space="preserve"> que recae en ella exige</w:t>
      </w:r>
      <w:r w:rsidR="00AE66CC">
        <w:rPr>
          <w:rFonts w:ascii="Arial" w:hAnsi="Arial" w:cs="Arial"/>
          <w:color w:val="000000"/>
          <w:szCs w:val="24"/>
          <w:lang w:eastAsia="es-CO"/>
        </w:rPr>
        <w:t xml:space="preserve"> mayor rudeza en tal diligencia</w:t>
      </w:r>
      <w:r>
        <w:rPr>
          <w:rStyle w:val="Refdenotaalpie"/>
          <w:rFonts w:ascii="Arial" w:hAnsi="Arial" w:cs="Arial"/>
          <w:color w:val="000000"/>
          <w:szCs w:val="24"/>
          <w:lang w:eastAsia="es-CO"/>
        </w:rPr>
        <w:footnoteReference w:id="3"/>
      </w:r>
      <w:r>
        <w:rPr>
          <w:rFonts w:ascii="Arial" w:hAnsi="Arial" w:cs="Arial"/>
          <w:color w:val="000000"/>
          <w:szCs w:val="24"/>
          <w:lang w:eastAsia="es-CO"/>
        </w:rPr>
        <w:t xml:space="preserve">.  </w:t>
      </w:r>
    </w:p>
    <w:p w14:paraId="1C4D00FC" w14:textId="77777777" w:rsidR="007B368F" w:rsidRDefault="007B368F" w:rsidP="007B368F">
      <w:pPr>
        <w:spacing w:line="276" w:lineRule="auto"/>
        <w:ind w:right="-93"/>
        <w:jc w:val="both"/>
        <w:rPr>
          <w:rFonts w:ascii="Arial" w:hAnsi="Arial" w:cs="Arial"/>
          <w:color w:val="000000"/>
          <w:szCs w:val="24"/>
          <w:lang w:eastAsia="es-CO"/>
        </w:rPr>
      </w:pPr>
    </w:p>
    <w:p w14:paraId="512B7DD7" w14:textId="77777777" w:rsidR="007B368F" w:rsidRPr="00DE63E4" w:rsidRDefault="007B368F" w:rsidP="007B368F">
      <w:pPr>
        <w:spacing w:line="276" w:lineRule="auto"/>
        <w:ind w:right="-93"/>
        <w:jc w:val="both"/>
        <w:rPr>
          <w:rFonts w:ascii="Arial" w:hAnsi="Arial" w:cs="Arial"/>
          <w:color w:val="000000"/>
          <w:szCs w:val="24"/>
          <w:lang w:eastAsia="es-CO"/>
        </w:rPr>
      </w:pPr>
      <w:r w:rsidRPr="00DE63E4">
        <w:rPr>
          <w:rFonts w:ascii="Arial" w:hAnsi="Arial" w:cs="Arial"/>
          <w:color w:val="000000"/>
          <w:szCs w:val="24"/>
          <w:lang w:eastAsia="es-CO"/>
        </w:rPr>
        <w:t>Concretamente, en reciente jurisprudencia la Corte Suprema de Justicia compendió en tres etapas evolutivas el deber de información a cargo de las administradoras de fondos de pensiones</w:t>
      </w:r>
      <w:r w:rsidRPr="00DE63E4">
        <w:rPr>
          <w:rStyle w:val="Refdenotaalpie"/>
          <w:rFonts w:ascii="Arial" w:hAnsi="Arial" w:cs="Arial"/>
          <w:color w:val="000000"/>
          <w:szCs w:val="24"/>
          <w:lang w:eastAsia="es-CO"/>
        </w:rPr>
        <w:footnoteReference w:id="4"/>
      </w:r>
      <w:r w:rsidRPr="00DE63E4">
        <w:rPr>
          <w:rFonts w:ascii="Arial" w:hAnsi="Arial" w:cs="Arial"/>
          <w:color w:val="000000"/>
          <w:szCs w:val="24"/>
          <w:lang w:eastAsia="es-CO"/>
        </w:rPr>
        <w:t>.</w:t>
      </w:r>
    </w:p>
    <w:p w14:paraId="0C878716" w14:textId="77777777" w:rsidR="007B368F" w:rsidRPr="00DE63E4" w:rsidRDefault="007B368F" w:rsidP="007B368F">
      <w:pPr>
        <w:spacing w:line="276" w:lineRule="auto"/>
        <w:ind w:right="-93"/>
        <w:jc w:val="both"/>
        <w:rPr>
          <w:rFonts w:ascii="Arial" w:hAnsi="Arial" w:cs="Arial"/>
          <w:color w:val="000000"/>
          <w:szCs w:val="24"/>
          <w:lang w:eastAsia="es-CO"/>
        </w:rPr>
      </w:pPr>
    </w:p>
    <w:p w14:paraId="465612A3" w14:textId="77777777" w:rsidR="007B368F" w:rsidRPr="00DE63E4" w:rsidRDefault="007B368F" w:rsidP="007B368F">
      <w:pPr>
        <w:spacing w:line="276" w:lineRule="auto"/>
        <w:ind w:right="-93"/>
        <w:jc w:val="both"/>
        <w:rPr>
          <w:rFonts w:ascii="Arial" w:hAnsi="Arial" w:cs="Arial"/>
          <w:i/>
          <w:color w:val="000000"/>
          <w:szCs w:val="24"/>
          <w:lang w:eastAsia="es-CO"/>
        </w:rPr>
      </w:pPr>
      <w:r w:rsidRPr="00DE63E4">
        <w:rPr>
          <w:rFonts w:ascii="Arial" w:hAnsi="Arial" w:cs="Arial"/>
          <w:color w:val="000000"/>
          <w:szCs w:val="24"/>
          <w:lang w:eastAsia="es-CO"/>
        </w:rPr>
        <w:t>Así, una primera etapa que refiere únicamente “deber de información” que inicia con la creación de la Ley 100/1993 en la que la obligación de información se circunscribe a la “</w:t>
      </w:r>
      <w:r w:rsidRPr="00DE63E4">
        <w:rPr>
          <w:rFonts w:ascii="Arial" w:hAnsi="Arial" w:cs="Arial"/>
          <w:i/>
          <w:color w:val="000000"/>
          <w:szCs w:val="24"/>
          <w:lang w:eastAsia="es-CO"/>
        </w:rPr>
        <w:t>ilustración de las características, condiciones, acceso, efectos y riesgos de cada uno de los regímenes pensionales, lo que incluye dar a conocer la existencia de un régimen de transición y la eventual pérdida de beneficios pensionales”.</w:t>
      </w:r>
    </w:p>
    <w:p w14:paraId="6F15C12B" w14:textId="77777777" w:rsidR="007B368F" w:rsidRPr="00DE63E4" w:rsidRDefault="007B368F" w:rsidP="007B368F">
      <w:pPr>
        <w:spacing w:line="276" w:lineRule="auto"/>
        <w:ind w:right="-93"/>
        <w:jc w:val="both"/>
        <w:rPr>
          <w:rFonts w:ascii="Arial" w:hAnsi="Arial" w:cs="Arial"/>
          <w:i/>
          <w:color w:val="000000"/>
          <w:szCs w:val="24"/>
          <w:lang w:eastAsia="es-CO"/>
        </w:rPr>
      </w:pPr>
    </w:p>
    <w:p w14:paraId="30A0732D" w14:textId="6686FAB6" w:rsidR="007B368F" w:rsidRPr="00DE63E4" w:rsidRDefault="007B368F" w:rsidP="007B368F">
      <w:pPr>
        <w:spacing w:line="276" w:lineRule="auto"/>
        <w:ind w:right="-93"/>
        <w:jc w:val="both"/>
        <w:rPr>
          <w:rFonts w:ascii="Arial" w:hAnsi="Arial" w:cs="Arial"/>
          <w:i/>
          <w:color w:val="000000"/>
          <w:szCs w:val="24"/>
          <w:lang w:eastAsia="es-CO"/>
        </w:rPr>
      </w:pPr>
      <w:r w:rsidRPr="00DE63E4">
        <w:rPr>
          <w:rFonts w:ascii="Arial" w:hAnsi="Arial" w:cs="Arial"/>
          <w:color w:val="000000"/>
          <w:szCs w:val="24"/>
          <w:lang w:eastAsia="es-CO"/>
        </w:rPr>
        <w:t xml:space="preserve">Una segunda etapa que inicia con la Ley 1328 de 2009 y Decreto 2241 de 2010, a partir de los cuales el deber de información se acompaña con la asesoría y buen consejo. </w:t>
      </w:r>
      <w:r>
        <w:rPr>
          <w:rFonts w:ascii="Arial" w:hAnsi="Arial" w:cs="Arial"/>
          <w:color w:val="000000"/>
          <w:szCs w:val="24"/>
          <w:lang w:eastAsia="es-CO"/>
        </w:rPr>
        <w:t>Entonces,</w:t>
      </w:r>
      <w:r w:rsidRPr="00DE63E4">
        <w:rPr>
          <w:rFonts w:ascii="Arial" w:hAnsi="Arial" w:cs="Arial"/>
          <w:color w:val="000000"/>
          <w:szCs w:val="24"/>
          <w:lang w:eastAsia="es-CO"/>
        </w:rPr>
        <w:t xml:space="preserve"> el contenido mínimo y alcance de dicho deber se concreta con un “</w:t>
      </w:r>
      <w:r w:rsidRPr="00DE63E4">
        <w:rPr>
          <w:rFonts w:ascii="Arial" w:hAnsi="Arial" w:cs="Arial"/>
          <w:i/>
          <w:color w:val="000000"/>
          <w:szCs w:val="24"/>
          <w:lang w:eastAsia="es-CO"/>
        </w:rPr>
        <w:t>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p>
    <w:p w14:paraId="166F5633" w14:textId="77777777" w:rsidR="007B368F" w:rsidRPr="00DE63E4" w:rsidRDefault="007B368F" w:rsidP="007B368F">
      <w:pPr>
        <w:spacing w:line="276" w:lineRule="auto"/>
        <w:ind w:right="-93"/>
        <w:jc w:val="both"/>
        <w:rPr>
          <w:rFonts w:ascii="Arial" w:hAnsi="Arial" w:cs="Arial"/>
          <w:i/>
          <w:color w:val="000000"/>
          <w:szCs w:val="24"/>
          <w:lang w:eastAsia="es-CO"/>
        </w:rPr>
      </w:pPr>
    </w:p>
    <w:p w14:paraId="484A95A1" w14:textId="77777777" w:rsidR="007B368F" w:rsidRPr="00DF094D" w:rsidRDefault="007B368F" w:rsidP="007B368F">
      <w:pPr>
        <w:spacing w:line="276" w:lineRule="auto"/>
        <w:ind w:right="-93"/>
        <w:jc w:val="both"/>
        <w:rPr>
          <w:rFonts w:ascii="Arial" w:hAnsi="Arial" w:cs="Arial"/>
          <w:color w:val="000000"/>
          <w:szCs w:val="24"/>
          <w:lang w:eastAsia="es-CO"/>
        </w:rPr>
      </w:pPr>
      <w:r w:rsidRPr="00DE63E4">
        <w:rPr>
          <w:rFonts w:ascii="Arial" w:hAnsi="Arial" w:cs="Arial"/>
          <w:color w:val="000000"/>
          <w:szCs w:val="24"/>
          <w:lang w:eastAsia="es-CO"/>
        </w:rPr>
        <w:t>Restando una tercera etapa con ocasión a la Ley 1748 de 2014, Decreto 2071 de 2015 y Circular Externa No. 016 de 2016, en las que se exigió junto a todo lo anterior “</w:t>
      </w:r>
      <w:r w:rsidRPr="00DE63E4">
        <w:rPr>
          <w:rFonts w:ascii="Arial" w:hAnsi="Arial" w:cs="Arial"/>
          <w:i/>
          <w:color w:val="000000"/>
          <w:szCs w:val="24"/>
          <w:lang w:eastAsia="es-CO"/>
        </w:rPr>
        <w:t>el derecho a obtener asesoría de los representantes de ambos regímenes pensionales”.</w:t>
      </w:r>
    </w:p>
    <w:p w14:paraId="705B16AE" w14:textId="77777777" w:rsidR="007B368F" w:rsidRDefault="007B368F" w:rsidP="007B368F">
      <w:pPr>
        <w:spacing w:line="276" w:lineRule="auto"/>
        <w:ind w:right="-93"/>
        <w:jc w:val="both"/>
        <w:rPr>
          <w:rFonts w:ascii="Arial" w:hAnsi="Arial" w:cs="Arial"/>
          <w:color w:val="000000"/>
          <w:szCs w:val="24"/>
          <w:lang w:eastAsia="es-CO"/>
        </w:rPr>
      </w:pPr>
    </w:p>
    <w:p w14:paraId="7181FF34" w14:textId="77777777" w:rsidR="007B368F" w:rsidRDefault="007B368F" w:rsidP="007B368F">
      <w:pPr>
        <w:shd w:val="clear" w:color="auto" w:fill="FFFFFF"/>
        <w:tabs>
          <w:tab w:val="left" w:pos="5197"/>
        </w:tabs>
        <w:spacing w:line="276" w:lineRule="auto"/>
        <w:jc w:val="both"/>
        <w:rPr>
          <w:rFonts w:ascii="Arial" w:hAnsi="Arial"/>
          <w:iCs/>
          <w:szCs w:val="22"/>
        </w:rPr>
      </w:pPr>
      <w:r w:rsidRPr="00C10D52">
        <w:rPr>
          <w:rFonts w:ascii="Arial" w:hAnsi="Arial"/>
          <w:iCs/>
          <w:szCs w:val="22"/>
        </w:rPr>
        <w:t xml:space="preserve">Lo </w:t>
      </w:r>
      <w:r>
        <w:rPr>
          <w:rFonts w:ascii="Arial" w:hAnsi="Arial"/>
          <w:iCs/>
          <w:szCs w:val="22"/>
        </w:rPr>
        <w:t xml:space="preserve">anterior no despoja al trabajador del deber </w:t>
      </w:r>
      <w:r w:rsidRPr="00C10D52">
        <w:rPr>
          <w:rFonts w:ascii="Arial" w:hAnsi="Arial"/>
          <w:iCs/>
          <w:szCs w:val="22"/>
        </w:rPr>
        <w:t>de un mediano empeño en participar en la elección del régimen</w:t>
      </w:r>
      <w:r>
        <w:rPr>
          <w:rFonts w:ascii="Arial" w:hAnsi="Arial"/>
          <w:iCs/>
          <w:szCs w:val="22"/>
        </w:rPr>
        <w:t>, máxime cuando escoge el RAIS; comportamiento que debe también ser valorado,</w:t>
      </w:r>
      <w:r w:rsidRPr="00C10D52">
        <w:rPr>
          <w:rFonts w:ascii="Arial" w:hAnsi="Arial"/>
          <w:iCs/>
          <w:szCs w:val="22"/>
        </w:rPr>
        <w:t xml:space="preserve"> dada la necesidad de garantizar la sostenibilidad </w:t>
      </w:r>
      <w:r w:rsidRPr="00C10D52">
        <w:rPr>
          <w:rFonts w:ascii="Arial" w:hAnsi="Arial"/>
          <w:iCs/>
          <w:szCs w:val="22"/>
        </w:rPr>
        <w:lastRenderedPageBreak/>
        <w:t>financiera del sistema de prima media,</w:t>
      </w:r>
      <w:r>
        <w:rPr>
          <w:rFonts w:ascii="Arial" w:hAnsi="Arial"/>
          <w:iCs/>
          <w:szCs w:val="22"/>
        </w:rPr>
        <w:t xml:space="preserve"> para evitar la descapitalización del fondo común que lo compone, pues permitirle a una persona adoptar el RPM, en razón a la supuesta ineficacia, sin hacerse responsable de sus decisiones, contando con menos de 10 años para alcanzar la edad para pensionarse, por lo mismo que no contribuyó con dicho fondo y por ende, no fue tenida en cuenta para efectos de establecer las sumas de dinero que representarían el pago de su pensión en el futuro, pone en riesgo la garantía del derecho irrenunciable de los demás cotizantes; además de trasgredir la cláusula constitucional contenida en el art. 95  y el principio de eficiencia pensional. E</w:t>
      </w:r>
      <w:r w:rsidRPr="00C10D52">
        <w:rPr>
          <w:rFonts w:ascii="Arial" w:hAnsi="Arial"/>
          <w:iCs/>
          <w:szCs w:val="22"/>
        </w:rPr>
        <w:t xml:space="preserve">n este sentido </w:t>
      </w:r>
      <w:r>
        <w:rPr>
          <w:rFonts w:ascii="Arial" w:hAnsi="Arial"/>
          <w:iCs/>
          <w:szCs w:val="22"/>
        </w:rPr>
        <w:t>se pronunció la Corte Constitucional en la sentencia C-1024/2004, a propósito de la constitucionalidad del artículo 2º de la Ley 797/2003 que limita el traslado entre regímenes.</w:t>
      </w:r>
    </w:p>
    <w:p w14:paraId="2328609C" w14:textId="77777777" w:rsidR="007B368F" w:rsidRDefault="007B368F" w:rsidP="007B368F">
      <w:pPr>
        <w:shd w:val="clear" w:color="auto" w:fill="FFFFFF"/>
        <w:tabs>
          <w:tab w:val="left" w:pos="5197"/>
        </w:tabs>
        <w:spacing w:line="276" w:lineRule="auto"/>
        <w:jc w:val="both"/>
        <w:rPr>
          <w:rFonts w:ascii="Arial" w:hAnsi="Arial"/>
          <w:iCs/>
          <w:szCs w:val="22"/>
        </w:rPr>
      </w:pPr>
    </w:p>
    <w:p w14:paraId="5F0EF7BE" w14:textId="77777777" w:rsidR="007B368F" w:rsidRDefault="007B368F" w:rsidP="007B368F">
      <w:pPr>
        <w:shd w:val="clear" w:color="auto" w:fill="FFFFFF"/>
        <w:tabs>
          <w:tab w:val="left" w:pos="5197"/>
        </w:tabs>
        <w:spacing w:line="276" w:lineRule="auto"/>
        <w:jc w:val="both"/>
        <w:rPr>
          <w:rFonts w:ascii="Arial" w:hAnsi="Arial"/>
          <w:iCs/>
          <w:szCs w:val="22"/>
        </w:rPr>
      </w:pPr>
      <w:r>
        <w:rPr>
          <w:rFonts w:ascii="Arial" w:hAnsi="Arial"/>
          <w:iCs/>
          <w:szCs w:val="22"/>
        </w:rPr>
        <w:t>Lo dicho adquiere más significado, si en cuenta se tiene que, al sancionarse con la ineficacia el negocio jurídico de afiliación celebrado entre el actor y una AFP, quien realmente sufre los efectos es</w:t>
      </w:r>
      <w:r w:rsidRPr="00C10D52">
        <w:rPr>
          <w:rFonts w:ascii="Arial" w:hAnsi="Arial"/>
          <w:iCs/>
          <w:szCs w:val="22"/>
        </w:rPr>
        <w:t xml:space="preserve"> Colpensiones</w:t>
      </w:r>
      <w:r>
        <w:rPr>
          <w:rFonts w:ascii="Arial" w:hAnsi="Arial"/>
          <w:iCs/>
          <w:szCs w:val="22"/>
        </w:rPr>
        <w:t>, tercero</w:t>
      </w:r>
      <w:r w:rsidRPr="00C10D52">
        <w:rPr>
          <w:rFonts w:ascii="Arial" w:hAnsi="Arial"/>
          <w:iCs/>
          <w:szCs w:val="22"/>
        </w:rPr>
        <w:t xml:space="preserve"> que no participó tan siquiera en la etapa precontractual indispensable para la válida formación del consentimiento que ahora </w:t>
      </w:r>
      <w:r>
        <w:rPr>
          <w:rFonts w:ascii="Arial" w:hAnsi="Arial"/>
          <w:iCs/>
          <w:szCs w:val="22"/>
        </w:rPr>
        <w:t>se pretende sea</w:t>
      </w:r>
      <w:r w:rsidRPr="00C10D52">
        <w:rPr>
          <w:rFonts w:ascii="Arial" w:hAnsi="Arial"/>
          <w:iCs/>
          <w:szCs w:val="22"/>
        </w:rPr>
        <w:t xml:space="preserve"> sanciona</w:t>
      </w:r>
      <w:r>
        <w:rPr>
          <w:rFonts w:ascii="Arial" w:hAnsi="Arial"/>
          <w:iCs/>
          <w:szCs w:val="22"/>
        </w:rPr>
        <w:t xml:space="preserve">do, </w:t>
      </w:r>
      <w:r w:rsidRPr="00C10D52">
        <w:rPr>
          <w:rFonts w:ascii="Arial" w:hAnsi="Arial"/>
          <w:iCs/>
          <w:szCs w:val="22"/>
        </w:rPr>
        <w:t xml:space="preserve">y quien además, deberá </w:t>
      </w:r>
      <w:r>
        <w:rPr>
          <w:rFonts w:ascii="Arial" w:hAnsi="Arial"/>
          <w:iCs/>
          <w:szCs w:val="22"/>
        </w:rPr>
        <w:t xml:space="preserve">asumir </w:t>
      </w:r>
      <w:r w:rsidRPr="00C10D52">
        <w:rPr>
          <w:rFonts w:ascii="Arial" w:hAnsi="Arial"/>
          <w:iCs/>
          <w:szCs w:val="22"/>
        </w:rPr>
        <w:t xml:space="preserve">la carga impositiva que deviene de un nuevo afiliado, para lo cual deberá echar mano de los recursos habidos en el fondo común en el que participan todos los afiliados al RPM y que puede llegar a poner en riesgo la garantía del derecho pensional </w:t>
      </w:r>
      <w:r>
        <w:rPr>
          <w:rFonts w:ascii="Arial" w:hAnsi="Arial"/>
          <w:iCs/>
          <w:szCs w:val="22"/>
        </w:rPr>
        <w:t>de</w:t>
      </w:r>
      <w:r w:rsidRPr="00C10D52">
        <w:rPr>
          <w:rFonts w:ascii="Arial" w:hAnsi="Arial"/>
          <w:iCs/>
          <w:szCs w:val="22"/>
        </w:rPr>
        <w:t xml:space="preserve"> los actuales y futuros </w:t>
      </w:r>
      <w:r>
        <w:rPr>
          <w:rFonts w:ascii="Arial" w:hAnsi="Arial"/>
          <w:iCs/>
          <w:szCs w:val="22"/>
        </w:rPr>
        <w:t xml:space="preserve">afiliados </w:t>
      </w:r>
      <w:r w:rsidRPr="00C10D52">
        <w:rPr>
          <w:rFonts w:ascii="Arial" w:hAnsi="Arial"/>
          <w:iCs/>
          <w:szCs w:val="22"/>
        </w:rPr>
        <w:t xml:space="preserve">que sí </w:t>
      </w:r>
      <w:r>
        <w:rPr>
          <w:rFonts w:ascii="Arial" w:hAnsi="Arial"/>
          <w:iCs/>
          <w:szCs w:val="22"/>
        </w:rPr>
        <w:t>han contribuido a formar el fondo común, al permitir que sus aportes por más de 10 años hayan conformado las pensiones de otros afiliados. Todo lo anterior en tanto a nadie le está permitido abusar de sus derechos.</w:t>
      </w:r>
    </w:p>
    <w:p w14:paraId="15AA1990" w14:textId="77777777" w:rsidR="00D709CE" w:rsidRPr="00CE7323" w:rsidRDefault="00D709CE" w:rsidP="00CE7323">
      <w:pPr>
        <w:spacing w:line="276" w:lineRule="auto"/>
        <w:contextualSpacing/>
        <w:rPr>
          <w:rFonts w:ascii="Arial" w:hAnsi="Arial" w:cs="Arial"/>
          <w:szCs w:val="24"/>
        </w:rPr>
      </w:pPr>
    </w:p>
    <w:p w14:paraId="4D2C2D11" w14:textId="545ED79E" w:rsidR="00BF595B" w:rsidRPr="00D709CE" w:rsidRDefault="00D709CE" w:rsidP="00D709CE">
      <w:pPr>
        <w:spacing w:line="276" w:lineRule="auto"/>
        <w:ind w:right="284"/>
        <w:jc w:val="both"/>
        <w:rPr>
          <w:rFonts w:ascii="Arial" w:hAnsi="Arial"/>
          <w:b/>
          <w:szCs w:val="24"/>
        </w:rPr>
      </w:pPr>
      <w:r>
        <w:rPr>
          <w:rFonts w:ascii="Arial" w:hAnsi="Arial" w:cs="Arial"/>
          <w:b/>
          <w:szCs w:val="24"/>
        </w:rPr>
        <w:t xml:space="preserve">2.2. </w:t>
      </w:r>
      <w:r w:rsidR="0090319C">
        <w:rPr>
          <w:rFonts w:ascii="Arial" w:hAnsi="Arial" w:cs="Arial"/>
          <w:b/>
          <w:szCs w:val="24"/>
        </w:rPr>
        <w:t>Fundamento fáctico</w:t>
      </w:r>
    </w:p>
    <w:p w14:paraId="10F5E82C" w14:textId="77777777" w:rsidR="002C5C7B" w:rsidRDefault="002C5C7B" w:rsidP="001E12A5">
      <w:pPr>
        <w:spacing w:line="276" w:lineRule="auto"/>
        <w:contextualSpacing/>
        <w:rPr>
          <w:rFonts w:ascii="Arial" w:hAnsi="Arial" w:cs="Arial"/>
          <w:szCs w:val="24"/>
        </w:rPr>
      </w:pPr>
    </w:p>
    <w:p w14:paraId="05890D06" w14:textId="7ACDF592" w:rsidR="005C1992" w:rsidRDefault="00FF0A8F" w:rsidP="00FF0A8F">
      <w:pPr>
        <w:spacing w:line="276" w:lineRule="auto"/>
        <w:jc w:val="both"/>
        <w:rPr>
          <w:rFonts w:ascii="Arial" w:hAnsi="Arial" w:cs="Arial"/>
          <w:szCs w:val="24"/>
        </w:rPr>
      </w:pPr>
      <w:r w:rsidRPr="00BC3C0F">
        <w:rPr>
          <w:rFonts w:ascii="Arial" w:hAnsi="Arial" w:cs="Arial"/>
          <w:szCs w:val="24"/>
        </w:rPr>
        <w:t xml:space="preserve">Rememórese que </w:t>
      </w:r>
      <w:r w:rsidR="00BD4998">
        <w:rPr>
          <w:rFonts w:ascii="Arial" w:hAnsi="Arial" w:cs="Arial"/>
          <w:szCs w:val="24"/>
        </w:rPr>
        <w:t xml:space="preserve">María </w:t>
      </w:r>
      <w:proofErr w:type="spellStart"/>
      <w:r w:rsidR="00BD4998">
        <w:rPr>
          <w:rFonts w:ascii="Arial" w:hAnsi="Arial" w:cs="Arial"/>
          <w:szCs w:val="24"/>
        </w:rPr>
        <w:t>Yorladis</w:t>
      </w:r>
      <w:proofErr w:type="spellEnd"/>
      <w:r w:rsidR="00BD4998">
        <w:rPr>
          <w:rFonts w:ascii="Arial" w:hAnsi="Arial" w:cs="Arial"/>
          <w:szCs w:val="24"/>
        </w:rPr>
        <w:t xml:space="preserve"> Ramírez Agudelo</w:t>
      </w:r>
      <w:r w:rsidR="001A5AF8" w:rsidRPr="00BC3C0F">
        <w:rPr>
          <w:rFonts w:ascii="Arial" w:hAnsi="Arial" w:cs="Arial"/>
          <w:szCs w:val="24"/>
        </w:rPr>
        <w:t xml:space="preserve"> pretende </w:t>
      </w:r>
      <w:r w:rsidR="00BD4998">
        <w:rPr>
          <w:rFonts w:ascii="Arial" w:hAnsi="Arial" w:cs="Arial"/>
          <w:szCs w:val="24"/>
        </w:rPr>
        <w:t xml:space="preserve">dejar sin efectos el traslado </w:t>
      </w:r>
      <w:r w:rsidR="001A5AF8" w:rsidRPr="00BC3C0F">
        <w:rPr>
          <w:rFonts w:ascii="Arial" w:hAnsi="Arial" w:cs="Arial"/>
          <w:szCs w:val="24"/>
        </w:rPr>
        <w:t xml:space="preserve">ocurrido el </w:t>
      </w:r>
      <w:r w:rsidR="003C6B12">
        <w:rPr>
          <w:rFonts w:ascii="Arial" w:hAnsi="Arial" w:cs="Arial"/>
          <w:szCs w:val="24"/>
        </w:rPr>
        <w:t>07/09/</w:t>
      </w:r>
      <w:r w:rsidR="00BD4998">
        <w:rPr>
          <w:rFonts w:ascii="Arial" w:hAnsi="Arial" w:cs="Arial"/>
          <w:szCs w:val="24"/>
        </w:rPr>
        <w:t xml:space="preserve">2000 del RPM al RAIS, </w:t>
      </w:r>
      <w:r w:rsidR="00DE009E">
        <w:rPr>
          <w:rFonts w:ascii="Arial" w:hAnsi="Arial" w:cs="Arial"/>
          <w:szCs w:val="24"/>
        </w:rPr>
        <w:t xml:space="preserve">del </w:t>
      </w:r>
      <w:r w:rsidR="006A1F86" w:rsidRPr="00BC3C0F">
        <w:rPr>
          <w:rFonts w:ascii="Arial" w:hAnsi="Arial" w:cs="Arial"/>
          <w:szCs w:val="24"/>
        </w:rPr>
        <w:t xml:space="preserve">que da cuenta </w:t>
      </w:r>
      <w:r w:rsidR="001A5AF8" w:rsidRPr="00BC3C0F">
        <w:rPr>
          <w:rFonts w:ascii="Arial" w:hAnsi="Arial" w:cs="Arial"/>
          <w:szCs w:val="24"/>
        </w:rPr>
        <w:t xml:space="preserve">el formulario suscrito ante </w:t>
      </w:r>
      <w:r w:rsidR="00BD4998">
        <w:rPr>
          <w:rFonts w:ascii="Arial" w:hAnsi="Arial" w:cs="Arial"/>
          <w:szCs w:val="24"/>
        </w:rPr>
        <w:t>Colfondos</w:t>
      </w:r>
      <w:r w:rsidRPr="00BC3C0F">
        <w:rPr>
          <w:rFonts w:ascii="Arial" w:hAnsi="Arial" w:cs="Arial"/>
          <w:szCs w:val="24"/>
        </w:rPr>
        <w:t xml:space="preserve"> S.A</w:t>
      </w:r>
      <w:r w:rsidR="006A1F86" w:rsidRPr="00BC3C0F">
        <w:rPr>
          <w:rFonts w:ascii="Arial" w:hAnsi="Arial" w:cs="Arial"/>
          <w:szCs w:val="24"/>
        </w:rPr>
        <w:t xml:space="preserve"> </w:t>
      </w:r>
      <w:r w:rsidRPr="00BC3C0F">
        <w:rPr>
          <w:rFonts w:ascii="Arial" w:hAnsi="Arial" w:cs="Arial"/>
          <w:szCs w:val="24"/>
        </w:rPr>
        <w:t xml:space="preserve">(fl. </w:t>
      </w:r>
      <w:r w:rsidR="00BD4998">
        <w:rPr>
          <w:rFonts w:ascii="Arial" w:hAnsi="Arial" w:cs="Arial"/>
          <w:szCs w:val="24"/>
        </w:rPr>
        <w:t xml:space="preserve">306 cd </w:t>
      </w:r>
      <w:r w:rsidR="001A5AF8" w:rsidRPr="00BC3C0F">
        <w:rPr>
          <w:rFonts w:ascii="Arial" w:hAnsi="Arial" w:cs="Arial"/>
          <w:szCs w:val="24"/>
        </w:rPr>
        <w:t>c. 1</w:t>
      </w:r>
      <w:r w:rsidRPr="00BC3C0F">
        <w:rPr>
          <w:rFonts w:ascii="Arial" w:hAnsi="Arial" w:cs="Arial"/>
          <w:szCs w:val="24"/>
        </w:rPr>
        <w:t xml:space="preserve">), </w:t>
      </w:r>
      <w:r w:rsidR="006A1F86" w:rsidRPr="00BC3C0F">
        <w:rPr>
          <w:rFonts w:ascii="Arial" w:hAnsi="Arial" w:cs="Arial"/>
          <w:szCs w:val="24"/>
        </w:rPr>
        <w:t>po</w:t>
      </w:r>
      <w:r w:rsidR="00BF595B" w:rsidRPr="00BC3C0F">
        <w:rPr>
          <w:rFonts w:ascii="Arial" w:hAnsi="Arial" w:cs="Arial"/>
          <w:szCs w:val="24"/>
        </w:rPr>
        <w:t>r lo que</w:t>
      </w:r>
      <w:r w:rsidR="006A1F86" w:rsidRPr="00BC3C0F">
        <w:rPr>
          <w:rFonts w:ascii="Arial" w:hAnsi="Arial" w:cs="Arial"/>
          <w:szCs w:val="24"/>
        </w:rPr>
        <w:t xml:space="preserve"> </w:t>
      </w:r>
      <w:r w:rsidR="005C1992" w:rsidRPr="00BC3C0F">
        <w:rPr>
          <w:rFonts w:ascii="Arial" w:hAnsi="Arial" w:cs="Arial"/>
          <w:szCs w:val="24"/>
        </w:rPr>
        <w:t xml:space="preserve">se procede a verificar la presencia de algún vicio en el consentimiento que lleve </w:t>
      </w:r>
      <w:r w:rsidR="00D709CE">
        <w:rPr>
          <w:rFonts w:ascii="Arial" w:hAnsi="Arial" w:cs="Arial"/>
          <w:szCs w:val="24"/>
        </w:rPr>
        <w:t xml:space="preserve">consigo a la ineficacia del traslado, ante la disconformidad </w:t>
      </w:r>
      <w:r w:rsidR="00A04DDF">
        <w:rPr>
          <w:rFonts w:ascii="Arial" w:hAnsi="Arial" w:cs="Arial"/>
          <w:szCs w:val="24"/>
        </w:rPr>
        <w:t>entre lo querid</w:t>
      </w:r>
      <w:r w:rsidR="00A04DDF" w:rsidRPr="00C10D52">
        <w:rPr>
          <w:rFonts w:ascii="Arial" w:hAnsi="Arial" w:cs="Arial"/>
          <w:szCs w:val="24"/>
        </w:rPr>
        <w:t>o y lo expresado, que “</w:t>
      </w:r>
      <w:r w:rsidR="00A04DDF" w:rsidRPr="0006500D">
        <w:rPr>
          <w:rFonts w:ascii="Arial" w:hAnsi="Arial" w:cs="Arial"/>
          <w:i/>
          <w:szCs w:val="24"/>
        </w:rPr>
        <w:t>desconozca”</w:t>
      </w:r>
      <w:r w:rsidR="00A04DDF" w:rsidRPr="00C10D52">
        <w:rPr>
          <w:rFonts w:ascii="Arial" w:hAnsi="Arial" w:cs="Arial"/>
          <w:szCs w:val="24"/>
        </w:rPr>
        <w:t xml:space="preserve"> el derecho a la libre escogencia de régimen.</w:t>
      </w:r>
    </w:p>
    <w:p w14:paraId="6DD07BAA" w14:textId="77777777" w:rsidR="00C23B27" w:rsidRPr="00BC3C0F" w:rsidRDefault="00C23B27" w:rsidP="00CE7323">
      <w:pPr>
        <w:spacing w:line="276" w:lineRule="auto"/>
        <w:contextualSpacing/>
        <w:rPr>
          <w:rFonts w:ascii="Arial" w:hAnsi="Arial" w:cs="Arial"/>
          <w:szCs w:val="24"/>
        </w:rPr>
      </w:pPr>
    </w:p>
    <w:p w14:paraId="2E2EC6A3" w14:textId="57F59CCC" w:rsidR="00BF595B" w:rsidRPr="00BC3C0F" w:rsidRDefault="00BF595B" w:rsidP="00BF595B">
      <w:pPr>
        <w:spacing w:line="276" w:lineRule="auto"/>
        <w:ind w:right="49"/>
        <w:contextualSpacing/>
        <w:jc w:val="both"/>
        <w:rPr>
          <w:rFonts w:ascii="Arial" w:hAnsi="Arial"/>
          <w:szCs w:val="24"/>
        </w:rPr>
      </w:pPr>
      <w:r w:rsidRPr="00BC3C0F">
        <w:rPr>
          <w:rFonts w:ascii="Arial" w:hAnsi="Arial"/>
          <w:szCs w:val="24"/>
        </w:rPr>
        <w:t>En cu</w:t>
      </w:r>
      <w:r w:rsidR="002C5C7B">
        <w:rPr>
          <w:rFonts w:ascii="Arial" w:hAnsi="Arial"/>
          <w:szCs w:val="24"/>
        </w:rPr>
        <w:t>a</w:t>
      </w:r>
      <w:r w:rsidRPr="00BC3C0F">
        <w:rPr>
          <w:rFonts w:ascii="Arial" w:hAnsi="Arial"/>
          <w:szCs w:val="24"/>
        </w:rPr>
        <w:t xml:space="preserve">nto a la </w:t>
      </w:r>
      <w:r w:rsidRPr="00BC3C0F">
        <w:rPr>
          <w:rFonts w:ascii="Arial" w:hAnsi="Arial"/>
          <w:b/>
          <w:szCs w:val="24"/>
        </w:rPr>
        <w:t xml:space="preserve">fuerza </w:t>
      </w:r>
      <w:r w:rsidRPr="00BC3C0F">
        <w:rPr>
          <w:rFonts w:ascii="Arial" w:hAnsi="Arial"/>
          <w:szCs w:val="24"/>
        </w:rPr>
        <w:t xml:space="preserve">de entrada se descarta como quiera que en </w:t>
      </w:r>
      <w:r w:rsidR="00FF0A8F" w:rsidRPr="00BC3C0F">
        <w:rPr>
          <w:rFonts w:ascii="Arial" w:hAnsi="Arial"/>
          <w:szCs w:val="24"/>
        </w:rPr>
        <w:t>el formulario</w:t>
      </w:r>
      <w:r w:rsidRPr="00BC3C0F">
        <w:rPr>
          <w:rFonts w:ascii="Arial" w:hAnsi="Arial"/>
          <w:szCs w:val="24"/>
        </w:rPr>
        <w:t xml:space="preserve"> se cuenta con una casilla destinada a dejar constancia que la selección del RAIS se efectúa de manera libre, espontánea y sin precisiones, campo en el cual se encuentra plasmada la firma de la actora</w:t>
      </w:r>
      <w:r w:rsidR="007017D3" w:rsidRPr="00BC3C0F">
        <w:rPr>
          <w:rFonts w:ascii="Arial" w:hAnsi="Arial"/>
          <w:szCs w:val="24"/>
        </w:rPr>
        <w:t xml:space="preserve"> (</w:t>
      </w:r>
      <w:r w:rsidR="00FF0A8F" w:rsidRPr="00BC3C0F">
        <w:rPr>
          <w:rFonts w:ascii="Arial" w:hAnsi="Arial"/>
          <w:szCs w:val="24"/>
        </w:rPr>
        <w:t xml:space="preserve">fl. </w:t>
      </w:r>
      <w:r w:rsidR="0006500D">
        <w:rPr>
          <w:rFonts w:ascii="Arial" w:hAnsi="Arial"/>
          <w:szCs w:val="24"/>
        </w:rPr>
        <w:t xml:space="preserve">306 cd </w:t>
      </w:r>
      <w:r w:rsidR="007017D3" w:rsidRPr="00BC3C0F">
        <w:rPr>
          <w:rFonts w:ascii="Arial" w:hAnsi="Arial"/>
          <w:szCs w:val="24"/>
        </w:rPr>
        <w:t>c. 1)</w:t>
      </w:r>
      <w:r w:rsidR="0071087F" w:rsidRPr="00BC3C0F">
        <w:rPr>
          <w:rFonts w:ascii="Arial" w:hAnsi="Arial"/>
          <w:szCs w:val="24"/>
        </w:rPr>
        <w:t>.</w:t>
      </w:r>
    </w:p>
    <w:p w14:paraId="5387192E" w14:textId="77777777" w:rsidR="00AF5B5B" w:rsidRPr="00BC3C0F" w:rsidRDefault="00AF5B5B" w:rsidP="00BF595B">
      <w:pPr>
        <w:spacing w:line="276" w:lineRule="auto"/>
        <w:ind w:right="49"/>
        <w:contextualSpacing/>
        <w:jc w:val="both"/>
        <w:rPr>
          <w:rFonts w:ascii="Arial" w:hAnsi="Arial"/>
          <w:szCs w:val="24"/>
        </w:rPr>
      </w:pPr>
    </w:p>
    <w:p w14:paraId="00DDDBDF" w14:textId="4FB6E6CD" w:rsidR="0025332E" w:rsidRPr="00BC3C0F" w:rsidRDefault="00FF0A8F" w:rsidP="00BF595B">
      <w:pPr>
        <w:spacing w:line="276" w:lineRule="auto"/>
        <w:ind w:right="49"/>
        <w:contextualSpacing/>
        <w:jc w:val="both"/>
        <w:rPr>
          <w:rFonts w:ascii="Arial" w:hAnsi="Arial"/>
          <w:szCs w:val="24"/>
        </w:rPr>
      </w:pPr>
      <w:r w:rsidRPr="00BC3C0F">
        <w:rPr>
          <w:rFonts w:ascii="Arial" w:hAnsi="Arial"/>
          <w:szCs w:val="24"/>
        </w:rPr>
        <w:t>Documento</w:t>
      </w:r>
      <w:r w:rsidR="00BF595B" w:rsidRPr="00BC3C0F">
        <w:rPr>
          <w:rFonts w:ascii="Arial" w:hAnsi="Arial"/>
          <w:szCs w:val="24"/>
        </w:rPr>
        <w:t xml:space="preserve"> que por demás no</w:t>
      </w:r>
      <w:r w:rsidRPr="00BC3C0F">
        <w:rPr>
          <w:rFonts w:ascii="Arial" w:hAnsi="Arial"/>
          <w:szCs w:val="24"/>
        </w:rPr>
        <w:t xml:space="preserve"> fue desconocido o tachado, máxime que fue allegado</w:t>
      </w:r>
      <w:r w:rsidR="007017D3" w:rsidRPr="00BC3C0F">
        <w:rPr>
          <w:rFonts w:ascii="Arial" w:hAnsi="Arial"/>
          <w:szCs w:val="24"/>
        </w:rPr>
        <w:t xml:space="preserve"> junto con la demanda</w:t>
      </w:r>
      <w:r w:rsidRPr="00BC3C0F">
        <w:rPr>
          <w:rFonts w:ascii="Arial" w:hAnsi="Arial"/>
          <w:szCs w:val="24"/>
        </w:rPr>
        <w:t>, de ahí que se presuma auténtico</w:t>
      </w:r>
      <w:r w:rsidR="0025332E" w:rsidRPr="00BC3C0F">
        <w:rPr>
          <w:rFonts w:ascii="Arial" w:hAnsi="Arial"/>
          <w:szCs w:val="24"/>
        </w:rPr>
        <w:t xml:space="preserve">, </w:t>
      </w:r>
      <w:r w:rsidR="0025332E" w:rsidRPr="00BC3C0F">
        <w:rPr>
          <w:rFonts w:ascii="Arial" w:hAnsi="Arial" w:cs="Arial"/>
          <w:szCs w:val="24"/>
        </w:rPr>
        <w:t xml:space="preserve">según lo dispuesto por el artículo 244 del C.G.P. en concordancia con el 269 </w:t>
      </w:r>
      <w:r w:rsidR="0025332E" w:rsidRPr="00BC3C0F">
        <w:rPr>
          <w:rFonts w:ascii="Arial" w:hAnsi="Arial" w:cs="Arial"/>
          <w:i/>
          <w:szCs w:val="24"/>
        </w:rPr>
        <w:t>ibídem</w:t>
      </w:r>
      <w:r w:rsidR="0025332E" w:rsidRPr="00BC3C0F">
        <w:rPr>
          <w:rFonts w:ascii="Arial" w:hAnsi="Arial" w:cs="Arial"/>
          <w:szCs w:val="24"/>
        </w:rPr>
        <w:t xml:space="preserve"> que se aplican por remisi</w:t>
      </w:r>
      <w:r w:rsidRPr="00BC3C0F">
        <w:rPr>
          <w:rFonts w:ascii="Arial" w:hAnsi="Arial" w:cs="Arial"/>
          <w:szCs w:val="24"/>
        </w:rPr>
        <w:t>ón del artículo 145 del C.P.L.</w:t>
      </w:r>
    </w:p>
    <w:p w14:paraId="0F165754" w14:textId="77777777" w:rsidR="007017D3" w:rsidRPr="00BC3C0F" w:rsidRDefault="007017D3" w:rsidP="00BF595B">
      <w:pPr>
        <w:spacing w:line="276" w:lineRule="auto"/>
        <w:ind w:right="49"/>
        <w:contextualSpacing/>
        <w:jc w:val="both"/>
        <w:rPr>
          <w:rFonts w:ascii="Arial" w:hAnsi="Arial"/>
          <w:szCs w:val="24"/>
        </w:rPr>
      </w:pPr>
    </w:p>
    <w:p w14:paraId="0CA28F65" w14:textId="77777777" w:rsidR="007B368F" w:rsidRDefault="007B368F" w:rsidP="007B368F">
      <w:pPr>
        <w:spacing w:line="276" w:lineRule="auto"/>
        <w:ind w:right="49"/>
        <w:contextualSpacing/>
        <w:jc w:val="both"/>
        <w:rPr>
          <w:rFonts w:ascii="Arial" w:hAnsi="Arial"/>
          <w:szCs w:val="24"/>
        </w:rPr>
      </w:pPr>
      <w:r w:rsidRPr="00BC3C0F">
        <w:rPr>
          <w:rFonts w:ascii="Arial" w:hAnsi="Arial"/>
          <w:szCs w:val="24"/>
        </w:rPr>
        <w:t xml:space="preserve">Respecto al </w:t>
      </w:r>
      <w:r w:rsidRPr="00DE009E">
        <w:rPr>
          <w:rFonts w:ascii="Arial" w:hAnsi="Arial"/>
          <w:b/>
          <w:szCs w:val="24"/>
        </w:rPr>
        <w:t>dolo</w:t>
      </w:r>
      <w:r>
        <w:rPr>
          <w:rFonts w:ascii="Arial" w:hAnsi="Arial"/>
          <w:szCs w:val="24"/>
        </w:rPr>
        <w:t xml:space="preserve"> y el </w:t>
      </w:r>
      <w:r w:rsidRPr="00AD294E">
        <w:rPr>
          <w:rFonts w:ascii="Arial" w:hAnsi="Arial"/>
          <w:b/>
          <w:szCs w:val="24"/>
        </w:rPr>
        <w:t>error,</w:t>
      </w:r>
      <w:r w:rsidRPr="00AD294E">
        <w:rPr>
          <w:rFonts w:ascii="Arial" w:hAnsi="Arial"/>
          <w:szCs w:val="24"/>
        </w:rPr>
        <w:t xml:space="preserve"> éste último en la naturaleza del acto, identidad del objeto o calidad del mismo como consecuencia de la información superficial suministrada, se probó en este proceso que la </w:t>
      </w:r>
      <w:r>
        <w:rPr>
          <w:rFonts w:ascii="Arial" w:hAnsi="Arial"/>
          <w:szCs w:val="24"/>
        </w:rPr>
        <w:t>misma</w:t>
      </w:r>
      <w:r w:rsidRPr="00AD294E">
        <w:rPr>
          <w:rFonts w:ascii="Arial" w:hAnsi="Arial"/>
          <w:szCs w:val="24"/>
        </w:rPr>
        <w:t xml:space="preserve"> se dio de manera completa y veraz. </w:t>
      </w:r>
    </w:p>
    <w:p w14:paraId="7556A66C" w14:textId="77777777" w:rsidR="00BF595B" w:rsidRPr="00BC3C0F" w:rsidRDefault="00BF595B" w:rsidP="00BF595B">
      <w:pPr>
        <w:spacing w:line="276" w:lineRule="auto"/>
        <w:ind w:right="49"/>
        <w:contextualSpacing/>
        <w:jc w:val="both"/>
        <w:rPr>
          <w:rFonts w:ascii="Arial" w:hAnsi="Arial"/>
          <w:szCs w:val="24"/>
        </w:rPr>
      </w:pPr>
    </w:p>
    <w:p w14:paraId="75EB793B" w14:textId="4204D39D" w:rsidR="00FE22FA" w:rsidRDefault="007B368F" w:rsidP="00296A66">
      <w:pPr>
        <w:spacing w:line="276" w:lineRule="auto"/>
        <w:jc w:val="both"/>
        <w:rPr>
          <w:rFonts w:ascii="Arial" w:eastAsiaTheme="minorHAnsi" w:hAnsi="Arial" w:cs="Arial"/>
          <w:i/>
          <w:iCs/>
          <w:szCs w:val="24"/>
        </w:rPr>
      </w:pPr>
      <w:r>
        <w:rPr>
          <w:rFonts w:ascii="Arial" w:eastAsiaTheme="minorHAnsi" w:hAnsi="Arial" w:cs="Arial"/>
          <w:iCs/>
          <w:szCs w:val="24"/>
        </w:rPr>
        <w:lastRenderedPageBreak/>
        <w:t>En efecto,</w:t>
      </w:r>
      <w:r w:rsidR="00BF595B" w:rsidRPr="00BC3C0F">
        <w:rPr>
          <w:rFonts w:ascii="Arial" w:eastAsiaTheme="minorHAnsi" w:hAnsi="Arial" w:cs="Arial"/>
          <w:iCs/>
          <w:szCs w:val="24"/>
        </w:rPr>
        <w:t xml:space="preserve"> lo que se demostró es que el traslado </w:t>
      </w:r>
      <w:r w:rsidR="00FE22FA">
        <w:rPr>
          <w:rFonts w:ascii="Arial" w:eastAsiaTheme="minorHAnsi" w:hAnsi="Arial" w:cs="Arial"/>
          <w:iCs/>
          <w:szCs w:val="24"/>
        </w:rPr>
        <w:t xml:space="preserve">y selección del RAIS </w:t>
      </w:r>
      <w:r w:rsidR="00BF595B" w:rsidRPr="00BC3C0F">
        <w:rPr>
          <w:rFonts w:ascii="Arial" w:eastAsiaTheme="minorHAnsi" w:hAnsi="Arial" w:cs="Arial"/>
          <w:iCs/>
          <w:szCs w:val="24"/>
        </w:rPr>
        <w:t xml:space="preserve">estuvo precedido de la debida asesoría, </w:t>
      </w:r>
      <w:r w:rsidR="00296A66" w:rsidRPr="00BC3C0F">
        <w:rPr>
          <w:rFonts w:ascii="Arial" w:eastAsiaTheme="minorHAnsi" w:hAnsi="Arial" w:cs="Arial"/>
          <w:iCs/>
          <w:szCs w:val="24"/>
        </w:rPr>
        <w:t>pues ello se desprende en primer lugar, de la firma que estampó en el formula</w:t>
      </w:r>
      <w:r w:rsidR="00DE009E">
        <w:rPr>
          <w:rFonts w:ascii="Arial" w:eastAsiaTheme="minorHAnsi" w:hAnsi="Arial" w:cs="Arial"/>
          <w:iCs/>
          <w:szCs w:val="24"/>
        </w:rPr>
        <w:t>rio de traslado entre regímenes. A</w:t>
      </w:r>
      <w:r w:rsidR="00296A66" w:rsidRPr="00BC3C0F">
        <w:rPr>
          <w:rFonts w:ascii="Arial" w:eastAsiaTheme="minorHAnsi" w:hAnsi="Arial" w:cs="Arial"/>
          <w:iCs/>
          <w:szCs w:val="24"/>
        </w:rPr>
        <w:t>sí</w:t>
      </w:r>
      <w:r w:rsidR="00DE009E">
        <w:rPr>
          <w:rFonts w:ascii="Arial" w:eastAsiaTheme="minorHAnsi" w:hAnsi="Arial" w:cs="Arial"/>
          <w:iCs/>
          <w:szCs w:val="24"/>
        </w:rPr>
        <w:t>,</w:t>
      </w:r>
      <w:r w:rsidR="00296A66" w:rsidRPr="00BC3C0F">
        <w:rPr>
          <w:rFonts w:ascii="Arial" w:eastAsiaTheme="minorHAnsi" w:hAnsi="Arial" w:cs="Arial"/>
          <w:iCs/>
          <w:szCs w:val="24"/>
        </w:rPr>
        <w:t xml:space="preserve"> para el </w:t>
      </w:r>
      <w:r w:rsidR="003C6B12">
        <w:rPr>
          <w:rFonts w:ascii="Arial" w:eastAsiaTheme="minorHAnsi" w:hAnsi="Arial" w:cs="Arial"/>
          <w:iCs/>
          <w:szCs w:val="24"/>
        </w:rPr>
        <w:t>07/09/</w:t>
      </w:r>
      <w:r w:rsidR="0006500D">
        <w:rPr>
          <w:rFonts w:ascii="Arial" w:eastAsiaTheme="minorHAnsi" w:hAnsi="Arial" w:cs="Arial"/>
          <w:iCs/>
          <w:szCs w:val="24"/>
        </w:rPr>
        <w:t>2000</w:t>
      </w:r>
      <w:r w:rsidR="00296A66" w:rsidRPr="00BC3C0F">
        <w:rPr>
          <w:rFonts w:ascii="Arial" w:eastAsiaTheme="minorHAnsi" w:hAnsi="Arial" w:cs="Arial"/>
          <w:iCs/>
          <w:szCs w:val="24"/>
        </w:rPr>
        <w:t xml:space="preserve"> se realizó la “</w:t>
      </w:r>
      <w:r w:rsidR="00296A66" w:rsidRPr="00BC3C0F">
        <w:rPr>
          <w:rFonts w:ascii="Arial" w:eastAsiaTheme="minorHAnsi" w:hAnsi="Arial" w:cs="Arial"/>
          <w:i/>
          <w:iCs/>
          <w:szCs w:val="24"/>
        </w:rPr>
        <w:t>solicitud de vinculación”</w:t>
      </w:r>
      <w:r w:rsidR="00FF0A8F" w:rsidRPr="00BC3C0F">
        <w:rPr>
          <w:rFonts w:ascii="Arial" w:eastAsiaTheme="minorHAnsi" w:hAnsi="Arial" w:cs="Arial"/>
          <w:i/>
          <w:iCs/>
          <w:szCs w:val="24"/>
        </w:rPr>
        <w:t xml:space="preserve"> </w:t>
      </w:r>
      <w:r w:rsidR="00FF0A8F" w:rsidRPr="00BC3C0F">
        <w:rPr>
          <w:rFonts w:ascii="Arial" w:eastAsiaTheme="minorHAnsi" w:hAnsi="Arial" w:cs="Arial"/>
          <w:iCs/>
          <w:szCs w:val="24"/>
        </w:rPr>
        <w:t xml:space="preserve">a </w:t>
      </w:r>
      <w:r w:rsidR="0006500D">
        <w:rPr>
          <w:rFonts w:ascii="Arial" w:eastAsiaTheme="minorHAnsi" w:hAnsi="Arial" w:cs="Arial"/>
          <w:iCs/>
          <w:szCs w:val="24"/>
        </w:rPr>
        <w:t>Colfondos S.A</w:t>
      </w:r>
      <w:r w:rsidR="00FF0A8F" w:rsidRPr="00BC3C0F">
        <w:rPr>
          <w:rFonts w:ascii="Arial" w:eastAsiaTheme="minorHAnsi" w:hAnsi="Arial" w:cs="Arial"/>
          <w:iCs/>
          <w:szCs w:val="24"/>
        </w:rPr>
        <w:t xml:space="preserve">. (fl. </w:t>
      </w:r>
      <w:r w:rsidR="0006500D">
        <w:rPr>
          <w:rFonts w:ascii="Arial" w:eastAsiaTheme="minorHAnsi" w:hAnsi="Arial" w:cs="Arial"/>
          <w:iCs/>
          <w:szCs w:val="24"/>
        </w:rPr>
        <w:t>306 cd</w:t>
      </w:r>
      <w:r w:rsidR="00296A66" w:rsidRPr="00BC3C0F">
        <w:rPr>
          <w:rFonts w:ascii="Arial" w:eastAsiaTheme="minorHAnsi" w:hAnsi="Arial" w:cs="Arial"/>
          <w:iCs/>
          <w:szCs w:val="24"/>
        </w:rPr>
        <w:t xml:space="preserve"> c. 1), </w:t>
      </w:r>
      <w:r w:rsidR="00BF595B" w:rsidRPr="00BC3C0F">
        <w:rPr>
          <w:rFonts w:ascii="Arial" w:eastAsiaTheme="minorHAnsi" w:hAnsi="Arial" w:cs="Arial"/>
          <w:iCs/>
          <w:szCs w:val="24"/>
        </w:rPr>
        <w:t>el que una vez revisado, cuenta con la información que para esa época era la exigida por la Ley</w:t>
      </w:r>
      <w:r w:rsidR="001F2CB7">
        <w:rPr>
          <w:rFonts w:ascii="Arial" w:eastAsiaTheme="minorHAnsi" w:hAnsi="Arial" w:cs="Arial"/>
          <w:iCs/>
          <w:szCs w:val="24"/>
        </w:rPr>
        <w:t xml:space="preserve"> dejar en el formulario</w:t>
      </w:r>
      <w:r w:rsidR="00BF595B" w:rsidRPr="00BC3C0F">
        <w:rPr>
          <w:rFonts w:ascii="Arial" w:eastAsiaTheme="minorHAnsi" w:hAnsi="Arial" w:cs="Arial"/>
          <w:iCs/>
          <w:szCs w:val="24"/>
        </w:rPr>
        <w:t xml:space="preserve"> conforme a las directrices previstas en el Decreto 692 de 1994 a través del cual se reglamentó</w:t>
      </w:r>
      <w:r w:rsidR="00A04DDF">
        <w:rPr>
          <w:rFonts w:ascii="Arial" w:eastAsiaTheme="minorHAnsi" w:hAnsi="Arial" w:cs="Arial"/>
          <w:iCs/>
          <w:szCs w:val="24"/>
        </w:rPr>
        <w:t xml:space="preserve"> en lo pertinente la Ley 100/93</w:t>
      </w:r>
      <w:r>
        <w:rPr>
          <w:rFonts w:ascii="Arial" w:eastAsiaTheme="minorHAnsi" w:hAnsi="Arial" w:cs="Arial"/>
          <w:iCs/>
          <w:szCs w:val="24"/>
        </w:rPr>
        <w:t xml:space="preserve"> </w:t>
      </w:r>
      <w:r w:rsidRPr="00AD294E">
        <w:rPr>
          <w:rFonts w:ascii="Arial" w:eastAsiaTheme="minorHAnsi" w:hAnsi="Arial" w:cs="Arial"/>
          <w:iCs/>
          <w:szCs w:val="24"/>
        </w:rPr>
        <w:t>(ignorarlo atentaría con el principio de confianza legítima del fondo de pensiones).</w:t>
      </w:r>
    </w:p>
    <w:p w14:paraId="62809A34" w14:textId="77777777" w:rsidR="00FE22FA" w:rsidRDefault="00FE22FA" w:rsidP="00296A66">
      <w:pPr>
        <w:spacing w:line="276" w:lineRule="auto"/>
        <w:jc w:val="both"/>
        <w:rPr>
          <w:rFonts w:ascii="Arial" w:eastAsiaTheme="minorHAnsi" w:hAnsi="Arial" w:cs="Arial"/>
          <w:i/>
          <w:iCs/>
          <w:szCs w:val="24"/>
        </w:rPr>
      </w:pPr>
    </w:p>
    <w:p w14:paraId="183B8130" w14:textId="5F259D3E" w:rsidR="00BF595B" w:rsidRDefault="00FE22FA" w:rsidP="00296A66">
      <w:pPr>
        <w:spacing w:line="276" w:lineRule="auto"/>
        <w:jc w:val="both"/>
        <w:rPr>
          <w:rFonts w:ascii="Arial" w:eastAsiaTheme="minorHAnsi" w:hAnsi="Arial" w:cs="Arial"/>
          <w:iCs/>
          <w:szCs w:val="24"/>
        </w:rPr>
      </w:pPr>
      <w:r>
        <w:rPr>
          <w:rFonts w:ascii="Arial" w:eastAsiaTheme="minorHAnsi" w:hAnsi="Arial" w:cs="Arial"/>
          <w:iCs/>
          <w:szCs w:val="24"/>
        </w:rPr>
        <w:t>Selección del RAIS que</w:t>
      </w:r>
      <w:r w:rsidR="00BF595B" w:rsidRPr="00BC3C0F">
        <w:rPr>
          <w:rFonts w:ascii="Arial" w:eastAsiaTheme="minorHAnsi" w:hAnsi="Arial" w:cs="Arial"/>
          <w:iCs/>
          <w:szCs w:val="24"/>
        </w:rPr>
        <w:t xml:space="preserve"> lleva</w:t>
      </w:r>
      <w:r w:rsidR="005C1992" w:rsidRPr="00BC3C0F">
        <w:rPr>
          <w:rFonts w:ascii="Arial" w:eastAsiaTheme="minorHAnsi" w:hAnsi="Arial" w:cs="Arial"/>
          <w:iCs/>
          <w:szCs w:val="24"/>
        </w:rPr>
        <w:t xml:space="preserve"> consigo a</w:t>
      </w:r>
      <w:r w:rsidR="00BF595B" w:rsidRPr="00BC3C0F">
        <w:rPr>
          <w:rFonts w:ascii="Arial" w:eastAsiaTheme="minorHAnsi" w:hAnsi="Arial" w:cs="Arial"/>
          <w:iCs/>
          <w:szCs w:val="24"/>
        </w:rPr>
        <w:t xml:space="preserve"> la aceptación de las c</w:t>
      </w:r>
      <w:r w:rsidR="001F2CB7">
        <w:rPr>
          <w:rFonts w:ascii="Arial" w:eastAsiaTheme="minorHAnsi" w:hAnsi="Arial" w:cs="Arial"/>
          <w:iCs/>
          <w:szCs w:val="24"/>
        </w:rPr>
        <w:t xml:space="preserve">ondiciones propias del régimen </w:t>
      </w:r>
      <w:r>
        <w:rPr>
          <w:rFonts w:ascii="Arial" w:eastAsiaTheme="minorHAnsi" w:hAnsi="Arial" w:cs="Arial"/>
          <w:iCs/>
          <w:szCs w:val="24"/>
        </w:rPr>
        <w:t>conforme a lo señalado</w:t>
      </w:r>
      <w:r w:rsidR="00BF595B" w:rsidRPr="00BC3C0F">
        <w:rPr>
          <w:rFonts w:ascii="Arial" w:eastAsiaTheme="minorHAnsi" w:hAnsi="Arial" w:cs="Arial"/>
          <w:iCs/>
          <w:szCs w:val="24"/>
        </w:rPr>
        <w:t xml:space="preserve"> en el artículo 11 Decreto 692/94</w:t>
      </w:r>
      <w:r w:rsidR="005F26C0" w:rsidRPr="00BC3C0F">
        <w:rPr>
          <w:rFonts w:ascii="Arial" w:eastAsiaTheme="minorHAnsi" w:hAnsi="Arial" w:cs="Arial"/>
          <w:iCs/>
          <w:szCs w:val="24"/>
        </w:rPr>
        <w:t xml:space="preserve"> al decir “</w:t>
      </w:r>
      <w:r w:rsidR="005F26C0" w:rsidRPr="00BC3C0F">
        <w:rPr>
          <w:rFonts w:ascii="Arial" w:eastAsiaTheme="minorHAnsi" w:hAnsi="Arial" w:cs="Arial"/>
          <w:i/>
          <w:iCs/>
          <w:szCs w:val="24"/>
        </w:rPr>
        <w:t>la selección del régimen implica la aceptación de las condiciones propias de éste (…)”</w:t>
      </w:r>
      <w:r w:rsidR="00BF595B" w:rsidRPr="00BC3C0F">
        <w:rPr>
          <w:rFonts w:ascii="Arial" w:eastAsiaTheme="minorHAnsi" w:hAnsi="Arial" w:cs="Arial"/>
          <w:i/>
          <w:iCs/>
          <w:szCs w:val="24"/>
        </w:rPr>
        <w:t>,</w:t>
      </w:r>
      <w:r w:rsidR="00BF595B" w:rsidRPr="00BC3C0F">
        <w:rPr>
          <w:rFonts w:ascii="Arial" w:eastAsiaTheme="minorHAnsi" w:hAnsi="Arial" w:cs="Arial"/>
          <w:iCs/>
          <w:szCs w:val="24"/>
        </w:rPr>
        <w:t xml:space="preserve"> lo que necesariamente supone que se le brindó la información necesaria para llegar a adoptar </w:t>
      </w:r>
      <w:r w:rsidR="001F2CB7">
        <w:rPr>
          <w:rFonts w:ascii="Arial" w:eastAsiaTheme="minorHAnsi" w:hAnsi="Arial" w:cs="Arial"/>
          <w:iCs/>
          <w:szCs w:val="24"/>
        </w:rPr>
        <w:t>tal decisión;</w:t>
      </w:r>
      <w:r>
        <w:rPr>
          <w:rFonts w:ascii="Arial" w:eastAsiaTheme="minorHAnsi" w:hAnsi="Arial" w:cs="Arial"/>
          <w:iCs/>
          <w:szCs w:val="24"/>
        </w:rPr>
        <w:t xml:space="preserve"> pues la regla de la experiencia enseña</w:t>
      </w:r>
      <w:r w:rsidR="001F2CB7">
        <w:rPr>
          <w:rFonts w:ascii="Arial" w:eastAsiaTheme="minorHAnsi" w:hAnsi="Arial" w:cs="Arial"/>
          <w:iCs/>
          <w:szCs w:val="24"/>
        </w:rPr>
        <w:t xml:space="preserve"> que se acepta lo que se conoce;</w:t>
      </w:r>
      <w:r>
        <w:rPr>
          <w:rFonts w:ascii="Arial" w:eastAsiaTheme="minorHAnsi" w:hAnsi="Arial" w:cs="Arial"/>
          <w:iCs/>
          <w:szCs w:val="24"/>
        </w:rPr>
        <w:t xml:space="preserve"> de tal manera que esa firma constituye un indicio de que la AFP,  a través de sus asesores</w:t>
      </w:r>
      <w:r w:rsidR="00DE009E">
        <w:rPr>
          <w:rFonts w:ascii="Arial" w:eastAsiaTheme="minorHAnsi" w:hAnsi="Arial" w:cs="Arial"/>
          <w:iCs/>
          <w:szCs w:val="24"/>
        </w:rPr>
        <w:t>,</w:t>
      </w:r>
      <w:r>
        <w:rPr>
          <w:rFonts w:ascii="Arial" w:eastAsiaTheme="minorHAnsi" w:hAnsi="Arial" w:cs="Arial"/>
          <w:iCs/>
          <w:szCs w:val="24"/>
        </w:rPr>
        <w:t xml:space="preserve"> di</w:t>
      </w:r>
      <w:r w:rsidR="00DE009E">
        <w:rPr>
          <w:rFonts w:ascii="Arial" w:eastAsiaTheme="minorHAnsi" w:hAnsi="Arial" w:cs="Arial"/>
          <w:iCs/>
          <w:szCs w:val="24"/>
        </w:rPr>
        <w:t>o</w:t>
      </w:r>
      <w:r>
        <w:rPr>
          <w:rFonts w:ascii="Arial" w:eastAsiaTheme="minorHAnsi" w:hAnsi="Arial" w:cs="Arial"/>
          <w:iCs/>
          <w:szCs w:val="24"/>
        </w:rPr>
        <w:t xml:space="preserve"> cumplimient</w:t>
      </w:r>
      <w:r w:rsidR="001F2CB7">
        <w:rPr>
          <w:rFonts w:ascii="Arial" w:eastAsiaTheme="minorHAnsi" w:hAnsi="Arial" w:cs="Arial"/>
          <w:iCs/>
          <w:szCs w:val="24"/>
        </w:rPr>
        <w:t xml:space="preserve">o a la demandante de </w:t>
      </w:r>
      <w:r w:rsidR="00DE009E">
        <w:rPr>
          <w:rFonts w:ascii="Arial" w:eastAsiaTheme="minorHAnsi" w:hAnsi="Arial" w:cs="Arial"/>
          <w:iCs/>
          <w:szCs w:val="24"/>
        </w:rPr>
        <w:t>informarla.</w:t>
      </w:r>
    </w:p>
    <w:p w14:paraId="4A294CB5" w14:textId="77777777" w:rsidR="007B368F" w:rsidRPr="00BC3C0F" w:rsidRDefault="007B368F" w:rsidP="00296A66">
      <w:pPr>
        <w:spacing w:line="276" w:lineRule="auto"/>
        <w:jc w:val="both"/>
        <w:rPr>
          <w:rFonts w:ascii="Arial" w:eastAsiaTheme="minorHAnsi" w:hAnsi="Arial" w:cs="Arial"/>
          <w:iCs/>
          <w:szCs w:val="24"/>
        </w:rPr>
      </w:pPr>
    </w:p>
    <w:p w14:paraId="1A1C8026" w14:textId="77777777" w:rsidR="007B368F" w:rsidRDefault="007B368F" w:rsidP="007B368F">
      <w:pPr>
        <w:spacing w:line="276" w:lineRule="auto"/>
        <w:jc w:val="both"/>
        <w:rPr>
          <w:rFonts w:ascii="Arial" w:eastAsiaTheme="minorHAnsi" w:hAnsi="Arial" w:cs="Arial"/>
          <w:iCs/>
          <w:szCs w:val="24"/>
        </w:rPr>
      </w:pPr>
      <w:r w:rsidRPr="00BC3C0F">
        <w:rPr>
          <w:rFonts w:ascii="Arial" w:eastAsiaTheme="minorHAnsi" w:hAnsi="Arial" w:cs="Arial"/>
          <w:iCs/>
          <w:szCs w:val="24"/>
        </w:rPr>
        <w:t xml:space="preserve">Por lo mismo, no </w:t>
      </w:r>
      <w:r>
        <w:rPr>
          <w:rFonts w:ascii="Arial" w:eastAsiaTheme="minorHAnsi" w:hAnsi="Arial" w:cs="Arial"/>
          <w:iCs/>
          <w:szCs w:val="24"/>
        </w:rPr>
        <w:t xml:space="preserve">se comparte lo afirmado por </w:t>
      </w:r>
      <w:r w:rsidRPr="00BC3C0F">
        <w:rPr>
          <w:rFonts w:ascii="Arial" w:eastAsiaTheme="minorHAnsi" w:hAnsi="Arial" w:cs="Arial"/>
          <w:iCs/>
          <w:szCs w:val="24"/>
        </w:rPr>
        <w:t xml:space="preserve">la SCL de la CSJ </w:t>
      </w:r>
      <w:r>
        <w:rPr>
          <w:rFonts w:ascii="Arial" w:eastAsiaTheme="minorHAnsi" w:hAnsi="Arial" w:cs="Arial"/>
          <w:iCs/>
          <w:szCs w:val="24"/>
        </w:rPr>
        <w:t xml:space="preserve">de </w:t>
      </w:r>
      <w:r w:rsidRPr="00BC3C0F">
        <w:rPr>
          <w:rFonts w:ascii="Arial" w:eastAsiaTheme="minorHAnsi" w:hAnsi="Arial" w:cs="Arial"/>
          <w:iCs/>
          <w:szCs w:val="24"/>
        </w:rPr>
        <w:t xml:space="preserve">que </w:t>
      </w:r>
      <w:r>
        <w:rPr>
          <w:rFonts w:ascii="Arial" w:eastAsiaTheme="minorHAnsi" w:hAnsi="Arial" w:cs="Arial"/>
          <w:iCs/>
          <w:szCs w:val="24"/>
        </w:rPr>
        <w:t xml:space="preserve">éste </w:t>
      </w:r>
      <w:r w:rsidRPr="00BC3C0F">
        <w:rPr>
          <w:rFonts w:ascii="Arial" w:eastAsiaTheme="minorHAnsi" w:hAnsi="Arial" w:cs="Arial"/>
          <w:iCs/>
          <w:szCs w:val="24"/>
        </w:rPr>
        <w:t xml:space="preserve">solo da cuenta de que fue libre y voluntaria, pues con ello se desconoce el artículo antes referido y las reglas que se fijaron </w:t>
      </w:r>
      <w:r>
        <w:rPr>
          <w:rFonts w:ascii="Arial" w:eastAsiaTheme="minorHAnsi" w:hAnsi="Arial" w:cs="Arial"/>
          <w:iCs/>
          <w:szCs w:val="24"/>
        </w:rPr>
        <w:t>para cumplir tal acto jurídico.</w:t>
      </w:r>
    </w:p>
    <w:p w14:paraId="15395EC7" w14:textId="77777777" w:rsidR="00BC122A" w:rsidRDefault="00BC122A" w:rsidP="007B368F">
      <w:pPr>
        <w:spacing w:line="276" w:lineRule="auto"/>
        <w:jc w:val="both"/>
        <w:rPr>
          <w:rFonts w:ascii="Arial" w:eastAsiaTheme="minorHAnsi" w:hAnsi="Arial" w:cs="Arial"/>
          <w:iCs/>
          <w:szCs w:val="24"/>
        </w:rPr>
      </w:pPr>
    </w:p>
    <w:p w14:paraId="386C2079" w14:textId="370451DB" w:rsidR="00F72BBF" w:rsidRDefault="00F72BBF" w:rsidP="00F72BBF">
      <w:pPr>
        <w:spacing w:line="276" w:lineRule="auto"/>
        <w:jc w:val="both"/>
        <w:rPr>
          <w:rFonts w:ascii="Arial" w:hAnsi="Arial" w:cs="Arial"/>
          <w:szCs w:val="24"/>
        </w:rPr>
      </w:pPr>
      <w:r w:rsidRPr="00BC3C0F">
        <w:rPr>
          <w:rFonts w:ascii="Arial" w:eastAsiaTheme="minorHAnsi" w:hAnsi="Arial" w:cs="Arial"/>
          <w:iCs/>
          <w:szCs w:val="24"/>
        </w:rPr>
        <w:t>Información que se confirma con lo aseverado por la demandante al absolver el interrogatorio de parte, pues allí aceptó que</w:t>
      </w:r>
      <w:r>
        <w:rPr>
          <w:rFonts w:ascii="Arial" w:eastAsiaTheme="minorHAnsi" w:hAnsi="Arial" w:cs="Arial"/>
          <w:iCs/>
          <w:szCs w:val="24"/>
        </w:rPr>
        <w:t xml:space="preserve"> el asesor le informó la posibilidad de pensionarse anticipadamente, que de ninguna manera aparece como engañosa o falaz, pues precisamente es una de las características propias del RAIS y que se enc</w:t>
      </w:r>
      <w:r w:rsidR="00AE66CC">
        <w:rPr>
          <w:rFonts w:ascii="Arial" w:eastAsiaTheme="minorHAnsi" w:hAnsi="Arial" w:cs="Arial"/>
          <w:iCs/>
          <w:szCs w:val="24"/>
        </w:rPr>
        <w:t>uentra consagrada</w:t>
      </w:r>
      <w:r>
        <w:rPr>
          <w:rFonts w:ascii="Arial" w:eastAsiaTheme="minorHAnsi" w:hAnsi="Arial" w:cs="Arial"/>
          <w:iCs/>
          <w:szCs w:val="24"/>
        </w:rPr>
        <w:t xml:space="preserve"> en la ley de seguridad social. </w:t>
      </w:r>
    </w:p>
    <w:p w14:paraId="5CE1F03C" w14:textId="77777777" w:rsidR="0006500D" w:rsidRDefault="0006500D" w:rsidP="00BF595B">
      <w:pPr>
        <w:spacing w:line="276" w:lineRule="auto"/>
        <w:jc w:val="both"/>
        <w:rPr>
          <w:rFonts w:ascii="Arial" w:eastAsiaTheme="minorHAnsi" w:hAnsi="Arial" w:cs="Arial"/>
          <w:iCs/>
          <w:szCs w:val="24"/>
        </w:rPr>
      </w:pPr>
    </w:p>
    <w:p w14:paraId="55F6AB99" w14:textId="3605EC56" w:rsidR="00F72BBF" w:rsidRDefault="00110653" w:rsidP="00FE22FA">
      <w:pPr>
        <w:spacing w:line="276" w:lineRule="auto"/>
        <w:jc w:val="both"/>
        <w:rPr>
          <w:rFonts w:ascii="Arial" w:eastAsiaTheme="minorHAnsi" w:hAnsi="Arial" w:cs="Arial"/>
          <w:iCs/>
          <w:szCs w:val="24"/>
        </w:rPr>
      </w:pPr>
      <w:r>
        <w:rPr>
          <w:rFonts w:ascii="Arial" w:eastAsiaTheme="minorHAnsi" w:hAnsi="Arial" w:cs="Arial"/>
          <w:iCs/>
          <w:szCs w:val="24"/>
        </w:rPr>
        <w:t>T</w:t>
      </w:r>
      <w:r w:rsidR="00F72BBF">
        <w:rPr>
          <w:rFonts w:ascii="Arial" w:eastAsiaTheme="minorHAnsi" w:hAnsi="Arial" w:cs="Arial"/>
          <w:iCs/>
          <w:szCs w:val="24"/>
        </w:rPr>
        <w:t xml:space="preserve">ambién se acreditó que María </w:t>
      </w:r>
      <w:proofErr w:type="spellStart"/>
      <w:r w:rsidR="00F72BBF">
        <w:rPr>
          <w:rFonts w:ascii="Arial" w:eastAsiaTheme="minorHAnsi" w:hAnsi="Arial" w:cs="Arial"/>
          <w:iCs/>
          <w:szCs w:val="24"/>
        </w:rPr>
        <w:t>Yorladis</w:t>
      </w:r>
      <w:proofErr w:type="spellEnd"/>
      <w:r w:rsidR="00F72BBF">
        <w:rPr>
          <w:rFonts w:ascii="Arial" w:eastAsiaTheme="minorHAnsi" w:hAnsi="Arial" w:cs="Arial"/>
          <w:iCs/>
          <w:szCs w:val="24"/>
        </w:rPr>
        <w:t xml:space="preserve"> Ramírez Agudelo se trasla</w:t>
      </w:r>
      <w:r w:rsidR="00D1246D">
        <w:rPr>
          <w:rFonts w:ascii="Arial" w:eastAsiaTheme="minorHAnsi" w:hAnsi="Arial" w:cs="Arial"/>
          <w:iCs/>
          <w:szCs w:val="24"/>
        </w:rPr>
        <w:t xml:space="preserve">dó entre AFP privadas, mediando </w:t>
      </w:r>
      <w:r w:rsidR="00F72BBF">
        <w:rPr>
          <w:rFonts w:ascii="Arial" w:eastAsiaTheme="minorHAnsi" w:hAnsi="Arial" w:cs="Arial"/>
          <w:iCs/>
          <w:szCs w:val="24"/>
        </w:rPr>
        <w:t xml:space="preserve">entre tal cambio apenas 2 años (2000-2002, fls. 29, 120 y 409 c. 1), último traslado en el que se advierte que en </w:t>
      </w:r>
      <w:r w:rsidR="0006500D">
        <w:rPr>
          <w:rFonts w:ascii="Arial" w:eastAsiaTheme="minorHAnsi" w:hAnsi="Arial" w:cs="Arial"/>
          <w:iCs/>
          <w:szCs w:val="24"/>
        </w:rPr>
        <w:t xml:space="preserve">la parte final </w:t>
      </w:r>
      <w:r w:rsidR="00F72BBF">
        <w:rPr>
          <w:rFonts w:ascii="Arial" w:eastAsiaTheme="minorHAnsi" w:hAnsi="Arial" w:cs="Arial"/>
          <w:iCs/>
          <w:szCs w:val="24"/>
        </w:rPr>
        <w:t xml:space="preserve">del formulario </w:t>
      </w:r>
      <w:r w:rsidR="0006500D">
        <w:rPr>
          <w:rFonts w:ascii="Arial" w:eastAsiaTheme="minorHAnsi" w:hAnsi="Arial" w:cs="Arial"/>
          <w:iCs/>
          <w:szCs w:val="24"/>
        </w:rPr>
        <w:t>se registra de manera adicional que “</w:t>
      </w:r>
      <w:r w:rsidR="0006500D" w:rsidRPr="0006500D">
        <w:rPr>
          <w:rFonts w:ascii="Arial" w:eastAsiaTheme="minorHAnsi" w:hAnsi="Arial" w:cs="Arial"/>
          <w:i/>
          <w:iCs/>
          <w:szCs w:val="24"/>
        </w:rPr>
        <w:t xml:space="preserve">He sido asesorado sobre las implicaciones del régimen, especialmente sobre </w:t>
      </w:r>
      <w:r w:rsidR="00AE66CC">
        <w:rPr>
          <w:rFonts w:ascii="Arial" w:eastAsiaTheme="minorHAnsi" w:hAnsi="Arial" w:cs="Arial"/>
          <w:i/>
          <w:iCs/>
          <w:szCs w:val="24"/>
        </w:rPr>
        <w:t>el régimen de transición, en cas</w:t>
      </w:r>
      <w:r w:rsidR="0006500D" w:rsidRPr="0006500D">
        <w:rPr>
          <w:rFonts w:ascii="Arial" w:eastAsiaTheme="minorHAnsi" w:hAnsi="Arial" w:cs="Arial"/>
          <w:i/>
          <w:iCs/>
          <w:szCs w:val="24"/>
        </w:rPr>
        <w:t>o de pertenecer al mismo. (…) conozco que dispongo de cinco (05) días hábiles a partir del diligenciamiento de este formulario para retractarme de la afiliación”</w:t>
      </w:r>
      <w:r w:rsidR="0006500D">
        <w:rPr>
          <w:rFonts w:ascii="Arial" w:eastAsiaTheme="minorHAnsi" w:hAnsi="Arial" w:cs="Arial"/>
          <w:i/>
          <w:iCs/>
          <w:szCs w:val="24"/>
        </w:rPr>
        <w:t xml:space="preserve">, </w:t>
      </w:r>
      <w:r w:rsidR="0006500D">
        <w:rPr>
          <w:rFonts w:ascii="Arial" w:eastAsiaTheme="minorHAnsi" w:hAnsi="Arial" w:cs="Arial"/>
          <w:iCs/>
          <w:szCs w:val="24"/>
        </w:rPr>
        <w:t xml:space="preserve">por lo que para la Sala </w:t>
      </w:r>
      <w:r w:rsidR="00AE66CC">
        <w:rPr>
          <w:rFonts w:ascii="Arial" w:eastAsiaTheme="minorHAnsi" w:hAnsi="Arial" w:cs="Arial"/>
          <w:iCs/>
          <w:szCs w:val="24"/>
        </w:rPr>
        <w:t xml:space="preserve">Mayoritaria </w:t>
      </w:r>
      <w:r w:rsidR="0006500D">
        <w:rPr>
          <w:rFonts w:ascii="Arial" w:eastAsiaTheme="minorHAnsi" w:hAnsi="Arial" w:cs="Arial"/>
          <w:iCs/>
          <w:szCs w:val="24"/>
        </w:rPr>
        <w:t>es indubitable que la actora leyó ese contenido, de ahí que su firma constituya la aceptación de que el asesoramiento</w:t>
      </w:r>
      <w:r w:rsidR="00C23B27">
        <w:rPr>
          <w:rFonts w:ascii="Arial" w:eastAsiaTheme="minorHAnsi" w:hAnsi="Arial" w:cs="Arial"/>
          <w:iCs/>
          <w:szCs w:val="24"/>
        </w:rPr>
        <w:t xml:space="preserve"> se le brindó efectiv</w:t>
      </w:r>
      <w:r w:rsidR="00F72BBF">
        <w:rPr>
          <w:rFonts w:ascii="Arial" w:eastAsiaTheme="minorHAnsi" w:hAnsi="Arial" w:cs="Arial"/>
          <w:iCs/>
          <w:szCs w:val="24"/>
        </w:rPr>
        <w:t>amente</w:t>
      </w:r>
      <w:r w:rsidR="00C23B27">
        <w:rPr>
          <w:rFonts w:ascii="Arial" w:eastAsiaTheme="minorHAnsi" w:hAnsi="Arial" w:cs="Arial"/>
          <w:iCs/>
          <w:szCs w:val="24"/>
        </w:rPr>
        <w:t>.</w:t>
      </w:r>
    </w:p>
    <w:p w14:paraId="78353C06" w14:textId="77777777" w:rsidR="00F72BBF" w:rsidRDefault="00F72BBF" w:rsidP="00FE22FA">
      <w:pPr>
        <w:spacing w:line="276" w:lineRule="auto"/>
        <w:jc w:val="both"/>
        <w:rPr>
          <w:rFonts w:ascii="Arial" w:eastAsiaTheme="minorHAnsi" w:hAnsi="Arial" w:cs="Arial"/>
          <w:iCs/>
          <w:szCs w:val="24"/>
        </w:rPr>
      </w:pPr>
    </w:p>
    <w:p w14:paraId="08FFF2F8" w14:textId="22E302AD" w:rsidR="00D36CF1" w:rsidRDefault="00F72BBF" w:rsidP="00FE22FA">
      <w:pPr>
        <w:spacing w:line="276" w:lineRule="auto"/>
        <w:jc w:val="both"/>
        <w:rPr>
          <w:rFonts w:ascii="Arial" w:eastAsiaTheme="minorHAnsi" w:hAnsi="Arial" w:cs="Arial"/>
          <w:iCs/>
          <w:szCs w:val="24"/>
        </w:rPr>
      </w:pPr>
      <w:r w:rsidRPr="00D1246D">
        <w:rPr>
          <w:rFonts w:ascii="Arial" w:eastAsiaTheme="minorHAnsi" w:hAnsi="Arial" w:cs="Arial"/>
          <w:iCs/>
          <w:szCs w:val="24"/>
        </w:rPr>
        <w:t xml:space="preserve">De lo anterior se infiere </w:t>
      </w:r>
      <w:r w:rsidR="00D36CF1" w:rsidRPr="00D1246D">
        <w:rPr>
          <w:rFonts w:ascii="Arial" w:eastAsiaTheme="minorHAnsi" w:hAnsi="Arial" w:cs="Arial"/>
          <w:iCs/>
          <w:szCs w:val="24"/>
        </w:rPr>
        <w:t>que la demandante</w:t>
      </w:r>
      <w:r w:rsidR="00D1246D" w:rsidRPr="00D1246D">
        <w:rPr>
          <w:rFonts w:ascii="Arial" w:eastAsiaTheme="minorHAnsi" w:hAnsi="Arial" w:cs="Arial"/>
          <w:iCs/>
          <w:szCs w:val="24"/>
        </w:rPr>
        <w:t xml:space="preserve"> </w:t>
      </w:r>
      <w:r w:rsidR="00D36CF1" w:rsidRPr="00D1246D">
        <w:rPr>
          <w:rFonts w:ascii="Arial" w:eastAsiaTheme="minorHAnsi" w:hAnsi="Arial" w:cs="Arial"/>
          <w:iCs/>
          <w:szCs w:val="24"/>
        </w:rPr>
        <w:t xml:space="preserve"> contaba con la información</w:t>
      </w:r>
      <w:r w:rsidR="00C23B27">
        <w:rPr>
          <w:rFonts w:ascii="Arial" w:eastAsiaTheme="minorHAnsi" w:hAnsi="Arial" w:cs="Arial"/>
          <w:iCs/>
          <w:szCs w:val="24"/>
        </w:rPr>
        <w:t xml:space="preserve"> de las caracterí</w:t>
      </w:r>
      <w:r w:rsidR="00AE66CC">
        <w:rPr>
          <w:rFonts w:ascii="Arial" w:eastAsiaTheme="minorHAnsi" w:hAnsi="Arial" w:cs="Arial"/>
          <w:iCs/>
          <w:szCs w:val="24"/>
        </w:rPr>
        <w:t xml:space="preserve">sticas, condiciones, ventajas </w:t>
      </w:r>
      <w:r w:rsidR="00C23B27">
        <w:rPr>
          <w:rFonts w:ascii="Arial" w:eastAsiaTheme="minorHAnsi" w:hAnsi="Arial" w:cs="Arial"/>
          <w:iCs/>
          <w:szCs w:val="24"/>
        </w:rPr>
        <w:t>del RAIS</w:t>
      </w:r>
      <w:r w:rsidRPr="00D1246D">
        <w:rPr>
          <w:rFonts w:ascii="Arial" w:eastAsiaTheme="minorHAnsi" w:hAnsi="Arial" w:cs="Arial"/>
          <w:iCs/>
          <w:szCs w:val="24"/>
        </w:rPr>
        <w:t xml:space="preserve"> </w:t>
      </w:r>
      <w:r w:rsidR="00150CEC" w:rsidRPr="00D1246D">
        <w:rPr>
          <w:rFonts w:ascii="Arial" w:eastAsiaTheme="minorHAnsi" w:hAnsi="Arial" w:cs="Arial"/>
          <w:iCs/>
          <w:szCs w:val="24"/>
        </w:rPr>
        <w:t xml:space="preserve">desde su traslado </w:t>
      </w:r>
      <w:r w:rsidR="00C23B27">
        <w:rPr>
          <w:rFonts w:ascii="Arial" w:eastAsiaTheme="minorHAnsi" w:hAnsi="Arial" w:cs="Arial"/>
          <w:iCs/>
          <w:szCs w:val="24"/>
        </w:rPr>
        <w:t>a este</w:t>
      </w:r>
      <w:r w:rsidR="00150CEC" w:rsidRPr="00D1246D">
        <w:rPr>
          <w:rFonts w:ascii="Arial" w:eastAsiaTheme="minorHAnsi" w:hAnsi="Arial" w:cs="Arial"/>
          <w:iCs/>
          <w:szCs w:val="24"/>
        </w:rPr>
        <w:t xml:space="preserve"> en el año 2000</w:t>
      </w:r>
      <w:r w:rsidR="00C23B27">
        <w:rPr>
          <w:rFonts w:ascii="Arial" w:eastAsiaTheme="minorHAnsi" w:hAnsi="Arial" w:cs="Arial"/>
          <w:iCs/>
          <w:szCs w:val="24"/>
        </w:rPr>
        <w:t>,</w:t>
      </w:r>
      <w:r w:rsidR="00D1246D" w:rsidRPr="00D1246D">
        <w:rPr>
          <w:rFonts w:ascii="Arial" w:eastAsiaTheme="minorHAnsi" w:hAnsi="Arial" w:cs="Arial"/>
          <w:iCs/>
          <w:szCs w:val="24"/>
        </w:rPr>
        <w:t xml:space="preserve"> </w:t>
      </w:r>
      <w:r w:rsidRPr="00D1246D">
        <w:rPr>
          <w:rFonts w:ascii="Arial" w:eastAsiaTheme="minorHAnsi" w:hAnsi="Arial" w:cs="Arial"/>
          <w:iCs/>
          <w:szCs w:val="24"/>
        </w:rPr>
        <w:t xml:space="preserve">pues </w:t>
      </w:r>
      <w:r w:rsidR="00C23B27">
        <w:rPr>
          <w:rFonts w:ascii="Arial" w:eastAsiaTheme="minorHAnsi" w:hAnsi="Arial" w:cs="Arial"/>
          <w:iCs/>
          <w:szCs w:val="24"/>
        </w:rPr>
        <w:t xml:space="preserve">de no ser así </w:t>
      </w:r>
      <w:r w:rsidR="00C23B27" w:rsidRPr="00110653">
        <w:rPr>
          <w:rFonts w:ascii="Arial" w:eastAsiaTheme="minorHAnsi" w:hAnsi="Arial" w:cs="Arial"/>
          <w:iCs/>
          <w:szCs w:val="24"/>
        </w:rPr>
        <w:t>y enterada por primera vez de esto cuando se trasladó entre AFP en el año 2002</w:t>
      </w:r>
      <w:r w:rsidR="0084362D" w:rsidRPr="00110653">
        <w:rPr>
          <w:rFonts w:ascii="Arial" w:eastAsiaTheme="minorHAnsi" w:hAnsi="Arial" w:cs="Arial"/>
          <w:iCs/>
          <w:szCs w:val="24"/>
        </w:rPr>
        <w:t xml:space="preserve">, </w:t>
      </w:r>
      <w:r w:rsidR="00AE66CC">
        <w:rPr>
          <w:rFonts w:ascii="Arial" w:eastAsiaTheme="minorHAnsi" w:hAnsi="Arial" w:cs="Arial"/>
          <w:iCs/>
          <w:szCs w:val="24"/>
        </w:rPr>
        <w:t xml:space="preserve">lo que se espera </w:t>
      </w:r>
      <w:r w:rsidR="0084362D" w:rsidRPr="00110653">
        <w:rPr>
          <w:rFonts w:ascii="Arial" w:eastAsiaTheme="minorHAnsi" w:hAnsi="Arial" w:cs="Arial"/>
          <w:iCs/>
          <w:szCs w:val="24"/>
        </w:rPr>
        <w:t>al haber recibido la información</w:t>
      </w:r>
      <w:r w:rsidR="00AE66CC">
        <w:rPr>
          <w:rFonts w:ascii="Arial" w:eastAsiaTheme="minorHAnsi" w:hAnsi="Arial" w:cs="Arial"/>
          <w:iCs/>
          <w:szCs w:val="24"/>
        </w:rPr>
        <w:t xml:space="preserve"> y estar inconforme con ella,</w:t>
      </w:r>
      <w:r w:rsidR="0084362D" w:rsidRPr="00110653">
        <w:rPr>
          <w:rFonts w:ascii="Arial" w:eastAsiaTheme="minorHAnsi" w:hAnsi="Arial" w:cs="Arial"/>
          <w:iCs/>
          <w:szCs w:val="24"/>
        </w:rPr>
        <w:t xml:space="preserve"> natural era abandonar tal régimen y retornar al RPM</w:t>
      </w:r>
      <w:r w:rsidR="00AE66CC">
        <w:rPr>
          <w:rFonts w:ascii="Arial" w:eastAsiaTheme="minorHAnsi" w:hAnsi="Arial" w:cs="Arial"/>
          <w:iCs/>
          <w:szCs w:val="24"/>
        </w:rPr>
        <w:t>,</w:t>
      </w:r>
      <w:r w:rsidR="0084362D" w:rsidRPr="00110653">
        <w:rPr>
          <w:rFonts w:ascii="Arial" w:eastAsiaTheme="minorHAnsi" w:hAnsi="Arial" w:cs="Arial"/>
          <w:iCs/>
          <w:szCs w:val="24"/>
        </w:rPr>
        <w:t xml:space="preserve"> </w:t>
      </w:r>
      <w:r w:rsidR="00C23B27" w:rsidRPr="00110653">
        <w:rPr>
          <w:rFonts w:ascii="Arial" w:eastAsiaTheme="minorHAnsi" w:hAnsi="Arial" w:cs="Arial"/>
          <w:iCs/>
          <w:szCs w:val="24"/>
        </w:rPr>
        <w:t>pero no</w:t>
      </w:r>
      <w:r w:rsidR="0084362D" w:rsidRPr="00110653">
        <w:rPr>
          <w:rFonts w:ascii="Arial" w:eastAsiaTheme="minorHAnsi" w:hAnsi="Arial" w:cs="Arial"/>
          <w:iCs/>
          <w:szCs w:val="24"/>
        </w:rPr>
        <w:t>, pues</w:t>
      </w:r>
      <w:r w:rsidR="00C23B27" w:rsidRPr="00110653">
        <w:rPr>
          <w:rFonts w:ascii="Arial" w:eastAsiaTheme="minorHAnsi" w:hAnsi="Arial" w:cs="Arial"/>
          <w:iCs/>
          <w:szCs w:val="24"/>
        </w:rPr>
        <w:t xml:space="preserve"> decidió permanecer en el RAIS;</w:t>
      </w:r>
      <w:r w:rsidR="00D36CF1" w:rsidRPr="00110653">
        <w:rPr>
          <w:rFonts w:ascii="Arial" w:eastAsiaTheme="minorHAnsi" w:hAnsi="Arial" w:cs="Arial"/>
          <w:iCs/>
          <w:szCs w:val="24"/>
        </w:rPr>
        <w:t xml:space="preserve"> sin</w:t>
      </w:r>
      <w:r w:rsidR="00D36CF1" w:rsidRPr="00D1246D">
        <w:rPr>
          <w:rFonts w:ascii="Arial" w:eastAsiaTheme="minorHAnsi" w:hAnsi="Arial" w:cs="Arial"/>
          <w:iCs/>
          <w:szCs w:val="24"/>
        </w:rPr>
        <w:t xml:space="preserve"> que la afirmación tendiente a la extinción del ISS como motivo desencadenante del traslado inicial pueda </w:t>
      </w:r>
      <w:r w:rsidR="00D1246D" w:rsidRPr="00D1246D">
        <w:rPr>
          <w:rFonts w:ascii="Arial" w:eastAsiaTheme="minorHAnsi" w:hAnsi="Arial" w:cs="Arial"/>
          <w:iCs/>
          <w:szCs w:val="24"/>
        </w:rPr>
        <w:t>considerarse</w:t>
      </w:r>
      <w:r w:rsidR="00D36CF1" w:rsidRPr="00D1246D">
        <w:rPr>
          <w:rFonts w:ascii="Arial" w:eastAsiaTheme="minorHAnsi" w:hAnsi="Arial" w:cs="Arial"/>
          <w:iCs/>
          <w:szCs w:val="24"/>
        </w:rPr>
        <w:t xml:space="preserve"> engañosa, pues para nadie es</w:t>
      </w:r>
      <w:r w:rsidR="00D865A7" w:rsidRPr="00D1246D">
        <w:rPr>
          <w:rFonts w:ascii="Arial" w:eastAsiaTheme="minorHAnsi" w:hAnsi="Arial" w:cs="Arial"/>
          <w:iCs/>
          <w:szCs w:val="24"/>
        </w:rPr>
        <w:t xml:space="preserve"> un secreto que por la entrada </w:t>
      </w:r>
      <w:r w:rsidR="00D36CF1" w:rsidRPr="00D1246D">
        <w:rPr>
          <w:rFonts w:ascii="Arial" w:eastAsiaTheme="minorHAnsi" w:hAnsi="Arial" w:cs="Arial"/>
          <w:iCs/>
          <w:szCs w:val="24"/>
        </w:rPr>
        <w:t xml:space="preserve">en operación de los fondos privados y la competitividad que se emprendió entre esas entidades, </w:t>
      </w:r>
      <w:r w:rsidR="00D1246D" w:rsidRPr="00D1246D">
        <w:rPr>
          <w:rFonts w:ascii="Arial" w:eastAsiaTheme="minorHAnsi" w:hAnsi="Arial" w:cs="Arial"/>
          <w:iCs/>
          <w:szCs w:val="24"/>
        </w:rPr>
        <w:t xml:space="preserve">el ISS se vio afectado </w:t>
      </w:r>
      <w:r w:rsidR="00D36CF1" w:rsidRPr="00D1246D">
        <w:rPr>
          <w:rFonts w:ascii="Arial" w:eastAsiaTheme="minorHAnsi" w:hAnsi="Arial" w:cs="Arial"/>
          <w:iCs/>
          <w:szCs w:val="24"/>
        </w:rPr>
        <w:t xml:space="preserve">financieramente. Aspecto frente al cual, por estar la demandante </w:t>
      </w:r>
      <w:r w:rsidR="00D1246D" w:rsidRPr="00D1246D">
        <w:rPr>
          <w:rFonts w:ascii="Arial" w:eastAsiaTheme="minorHAnsi" w:hAnsi="Arial" w:cs="Arial"/>
          <w:iCs/>
          <w:szCs w:val="24"/>
        </w:rPr>
        <w:t xml:space="preserve">vinculada </w:t>
      </w:r>
      <w:r w:rsidR="00D36CF1" w:rsidRPr="00D1246D">
        <w:rPr>
          <w:rFonts w:ascii="Arial" w:eastAsiaTheme="minorHAnsi" w:hAnsi="Arial" w:cs="Arial"/>
          <w:iCs/>
          <w:szCs w:val="24"/>
        </w:rPr>
        <w:t xml:space="preserve">a esa entidad, debía </w:t>
      </w:r>
      <w:r w:rsidR="00D1246D" w:rsidRPr="00D1246D">
        <w:rPr>
          <w:rFonts w:ascii="Arial" w:eastAsiaTheme="minorHAnsi" w:hAnsi="Arial" w:cs="Arial"/>
          <w:iCs/>
          <w:szCs w:val="24"/>
        </w:rPr>
        <w:t>generarle</w:t>
      </w:r>
      <w:r w:rsidR="00D36CF1" w:rsidRPr="00D1246D">
        <w:rPr>
          <w:rFonts w:ascii="Arial" w:eastAsiaTheme="minorHAnsi" w:hAnsi="Arial" w:cs="Arial"/>
          <w:iCs/>
          <w:szCs w:val="24"/>
        </w:rPr>
        <w:t xml:space="preserve"> por lo menos la inquietud de averiguar</w:t>
      </w:r>
      <w:r w:rsidR="00C23B27">
        <w:rPr>
          <w:rFonts w:ascii="Arial" w:eastAsiaTheme="minorHAnsi" w:hAnsi="Arial" w:cs="Arial"/>
          <w:iCs/>
          <w:szCs w:val="24"/>
        </w:rPr>
        <w:t xml:space="preserve"> lo </w:t>
      </w:r>
      <w:r w:rsidR="00C23B27">
        <w:rPr>
          <w:rFonts w:ascii="Arial" w:eastAsiaTheme="minorHAnsi" w:hAnsi="Arial" w:cs="Arial"/>
          <w:iCs/>
          <w:szCs w:val="24"/>
        </w:rPr>
        <w:lastRenderedPageBreak/>
        <w:t>que estaba pasando con</w:t>
      </w:r>
      <w:r w:rsidR="00110653">
        <w:rPr>
          <w:rFonts w:ascii="Arial" w:eastAsiaTheme="minorHAnsi" w:hAnsi="Arial" w:cs="Arial"/>
          <w:iCs/>
          <w:szCs w:val="24"/>
        </w:rPr>
        <w:t xml:space="preserve"> ella</w:t>
      </w:r>
      <w:r w:rsidR="00C23B27">
        <w:rPr>
          <w:rFonts w:ascii="Arial" w:eastAsiaTheme="minorHAnsi" w:hAnsi="Arial" w:cs="Arial"/>
          <w:iCs/>
          <w:szCs w:val="24"/>
        </w:rPr>
        <w:t>,</w:t>
      </w:r>
      <w:r w:rsidR="00D36CF1" w:rsidRPr="00D1246D">
        <w:rPr>
          <w:rFonts w:ascii="Arial" w:eastAsiaTheme="minorHAnsi" w:hAnsi="Arial" w:cs="Arial"/>
          <w:iCs/>
          <w:szCs w:val="24"/>
        </w:rPr>
        <w:t xml:space="preserve"> actuación que omitió como lo confesó al absolver el interrogatorio.</w:t>
      </w:r>
      <w:r w:rsidR="00D36CF1">
        <w:rPr>
          <w:rFonts w:ascii="Arial" w:eastAsiaTheme="minorHAnsi" w:hAnsi="Arial" w:cs="Arial"/>
          <w:iCs/>
          <w:szCs w:val="24"/>
        </w:rPr>
        <w:t xml:space="preserve"> </w:t>
      </w:r>
    </w:p>
    <w:p w14:paraId="64879C9C" w14:textId="77777777" w:rsidR="00C23B27" w:rsidRDefault="00C23B27" w:rsidP="00FE22FA">
      <w:pPr>
        <w:spacing w:line="276" w:lineRule="auto"/>
        <w:jc w:val="both"/>
        <w:rPr>
          <w:rFonts w:ascii="Arial" w:eastAsiaTheme="minorHAnsi" w:hAnsi="Arial" w:cs="Arial"/>
          <w:iCs/>
          <w:szCs w:val="24"/>
        </w:rPr>
      </w:pPr>
    </w:p>
    <w:p w14:paraId="38AB0339" w14:textId="79EA7AC4" w:rsidR="00C23B27" w:rsidRDefault="00110653" w:rsidP="00C23B27">
      <w:pPr>
        <w:spacing w:line="276" w:lineRule="auto"/>
        <w:ind w:right="49"/>
        <w:contextualSpacing/>
        <w:jc w:val="both"/>
        <w:rPr>
          <w:rFonts w:ascii="Arial" w:hAnsi="Arial" w:cs="Arial"/>
          <w:szCs w:val="24"/>
        </w:rPr>
      </w:pPr>
      <w:r>
        <w:rPr>
          <w:rFonts w:ascii="Arial" w:hAnsi="Arial" w:cs="Arial"/>
          <w:szCs w:val="24"/>
        </w:rPr>
        <w:t>Ahora</w:t>
      </w:r>
      <w:r w:rsidR="00C23B27" w:rsidRPr="00BC3C0F">
        <w:rPr>
          <w:rFonts w:ascii="Arial" w:hAnsi="Arial" w:cs="Arial"/>
          <w:szCs w:val="24"/>
        </w:rPr>
        <w:t xml:space="preserve"> estándose frente a una persona que no fue beneficiaria del régimen de transición y que estuvo afiliada al ISS</w:t>
      </w:r>
      <w:r>
        <w:rPr>
          <w:rFonts w:ascii="Arial" w:hAnsi="Arial" w:cs="Arial"/>
          <w:szCs w:val="24"/>
        </w:rPr>
        <w:t xml:space="preserve"> por más de 9</w:t>
      </w:r>
      <w:r w:rsidR="00C23B27">
        <w:rPr>
          <w:rFonts w:ascii="Arial" w:hAnsi="Arial" w:cs="Arial"/>
          <w:szCs w:val="24"/>
        </w:rPr>
        <w:t xml:space="preserve"> años (fl. 25</w:t>
      </w:r>
      <w:r w:rsidR="00C23B27" w:rsidRPr="00BC3C0F">
        <w:rPr>
          <w:rFonts w:ascii="Arial" w:hAnsi="Arial" w:cs="Arial"/>
          <w:szCs w:val="24"/>
        </w:rPr>
        <w:t xml:space="preserve"> c. 1), </w:t>
      </w:r>
      <w:r w:rsidR="00C23B27">
        <w:rPr>
          <w:rFonts w:ascii="Arial" w:hAnsi="Arial" w:cs="Arial"/>
          <w:szCs w:val="24"/>
        </w:rPr>
        <w:t>permite a esta Sala</w:t>
      </w:r>
      <w:r w:rsidR="00AE66CC">
        <w:rPr>
          <w:rFonts w:ascii="Arial" w:hAnsi="Arial" w:cs="Arial"/>
          <w:szCs w:val="24"/>
        </w:rPr>
        <w:t xml:space="preserve"> Mayoritaria</w:t>
      </w:r>
      <w:r w:rsidR="00C23B27">
        <w:rPr>
          <w:rFonts w:ascii="Arial" w:hAnsi="Arial" w:cs="Arial"/>
          <w:szCs w:val="24"/>
        </w:rPr>
        <w:t xml:space="preserve"> deducir</w:t>
      </w:r>
      <w:r w:rsidR="00C23B27" w:rsidRPr="00BC3C0F">
        <w:rPr>
          <w:rFonts w:ascii="Arial" w:hAnsi="Arial" w:cs="Arial"/>
          <w:szCs w:val="24"/>
        </w:rPr>
        <w:t xml:space="preserve"> su conocimiento del RPM, </w:t>
      </w:r>
      <w:r>
        <w:rPr>
          <w:rFonts w:ascii="Arial" w:hAnsi="Arial" w:cs="Arial"/>
          <w:szCs w:val="24"/>
        </w:rPr>
        <w:t>por lo que mal podía</w:t>
      </w:r>
      <w:r w:rsidR="00C23B27" w:rsidRPr="00BC3C0F">
        <w:rPr>
          <w:rFonts w:ascii="Arial" w:hAnsi="Arial" w:cs="Arial"/>
          <w:szCs w:val="24"/>
        </w:rPr>
        <w:t xml:space="preserve"> </w:t>
      </w:r>
      <w:proofErr w:type="spellStart"/>
      <w:r w:rsidR="00C23B27" w:rsidRPr="00BC3C0F">
        <w:rPr>
          <w:rFonts w:ascii="Arial" w:hAnsi="Arial" w:cs="Arial"/>
          <w:szCs w:val="24"/>
        </w:rPr>
        <w:t>exigirse</w:t>
      </w:r>
      <w:r>
        <w:rPr>
          <w:rFonts w:ascii="Arial" w:hAnsi="Arial" w:cs="Arial"/>
          <w:szCs w:val="24"/>
        </w:rPr>
        <w:t>le</w:t>
      </w:r>
      <w:proofErr w:type="spellEnd"/>
      <w:r w:rsidR="00C23B27" w:rsidRPr="00BC3C0F">
        <w:rPr>
          <w:rFonts w:ascii="Arial" w:hAnsi="Arial" w:cs="Arial"/>
          <w:szCs w:val="24"/>
        </w:rPr>
        <w:t xml:space="preserve"> a la AFP privada desanimar </w:t>
      </w:r>
      <w:r w:rsidR="00C23B27">
        <w:rPr>
          <w:rFonts w:ascii="Arial" w:hAnsi="Arial" w:cs="Arial"/>
          <w:szCs w:val="24"/>
        </w:rPr>
        <w:t xml:space="preserve">en un primer momento </w:t>
      </w:r>
      <w:r w:rsidR="00C23B27" w:rsidRPr="00BC3C0F">
        <w:rPr>
          <w:rFonts w:ascii="Arial" w:hAnsi="Arial" w:cs="Arial"/>
          <w:szCs w:val="24"/>
        </w:rPr>
        <w:t>a la demandante de su traslado al RAIS</w:t>
      </w:r>
      <w:r w:rsidR="00C23B27">
        <w:rPr>
          <w:rFonts w:ascii="Arial" w:hAnsi="Arial" w:cs="Arial"/>
          <w:szCs w:val="24"/>
        </w:rPr>
        <w:t>, máxime que</w:t>
      </w:r>
      <w:r w:rsidR="00C23B27" w:rsidRPr="00BC3C0F">
        <w:rPr>
          <w:rFonts w:ascii="Arial" w:hAnsi="Arial" w:cs="Arial"/>
          <w:szCs w:val="24"/>
        </w:rPr>
        <w:t xml:space="preserve"> tanto este como el RPM están concebidos en la misma Ley 100/93, sin que uno sea mejor que el otro, sino diferentes</w:t>
      </w:r>
      <w:r w:rsidR="00C23B27">
        <w:rPr>
          <w:rFonts w:ascii="Arial" w:hAnsi="Arial" w:cs="Arial"/>
          <w:szCs w:val="24"/>
        </w:rPr>
        <w:t xml:space="preserve"> </w:t>
      </w:r>
      <w:r w:rsidR="00C23B27" w:rsidRPr="00AD294E">
        <w:rPr>
          <w:rFonts w:ascii="Arial" w:hAnsi="Arial" w:cs="Arial"/>
          <w:szCs w:val="24"/>
        </w:rPr>
        <w:t xml:space="preserve">como pudo </w:t>
      </w:r>
      <w:r w:rsidR="00DE3F35">
        <w:rPr>
          <w:rFonts w:ascii="Arial" w:hAnsi="Arial" w:cs="Arial"/>
          <w:szCs w:val="24"/>
        </w:rPr>
        <w:t>la misma demandante</w:t>
      </w:r>
      <w:r w:rsidR="00C23B27" w:rsidRPr="00AD294E">
        <w:rPr>
          <w:rFonts w:ascii="Arial" w:hAnsi="Arial" w:cs="Arial"/>
          <w:szCs w:val="24"/>
        </w:rPr>
        <w:t xml:space="preserve"> percibir al poder comparar las características, condiciones y ventajas que venía recibiendo en el RPM, donde permaneció durante </w:t>
      </w:r>
      <w:r w:rsidR="00C23B27">
        <w:rPr>
          <w:rFonts w:ascii="Arial" w:hAnsi="Arial" w:cs="Arial"/>
          <w:szCs w:val="24"/>
        </w:rPr>
        <w:t xml:space="preserve">9 </w:t>
      </w:r>
      <w:r w:rsidR="00C23B27" w:rsidRPr="00AD294E">
        <w:rPr>
          <w:rFonts w:ascii="Arial" w:hAnsi="Arial" w:cs="Arial"/>
          <w:szCs w:val="24"/>
        </w:rPr>
        <w:t>años</w:t>
      </w:r>
      <w:r w:rsidR="00C23B27">
        <w:rPr>
          <w:rFonts w:ascii="Arial" w:hAnsi="Arial" w:cs="Arial"/>
          <w:szCs w:val="24"/>
        </w:rPr>
        <w:t xml:space="preserve">, </w:t>
      </w:r>
      <w:r w:rsidR="00C23B27" w:rsidRPr="00AD294E">
        <w:rPr>
          <w:rFonts w:ascii="Arial" w:hAnsi="Arial" w:cs="Arial"/>
          <w:szCs w:val="24"/>
        </w:rPr>
        <w:t>con la recibida en el RAIS</w:t>
      </w:r>
      <w:r w:rsidR="00C23B27">
        <w:rPr>
          <w:rFonts w:ascii="Arial" w:hAnsi="Arial" w:cs="Arial"/>
          <w:szCs w:val="24"/>
        </w:rPr>
        <w:t xml:space="preserve">; pues la certeza del monto pensional que otorga el primero se recompensa en el RAIS con la garantía de pensión mínima, la devolución de saldos, los excedentes de libre disponibilidad y que las sumas acumuladas en la cuenta individual hagan parte de la masa sucesoral. Así, </w:t>
      </w:r>
      <w:r w:rsidR="00C23B27" w:rsidRPr="00BC3C0F">
        <w:rPr>
          <w:rFonts w:ascii="Arial" w:hAnsi="Arial" w:cs="Arial"/>
          <w:szCs w:val="24"/>
        </w:rPr>
        <w:t>dependiendo de las circunstancias particulares del afiliado al final de la vida laboral o de presentarse un siniestro,</w:t>
      </w:r>
      <w:r w:rsidR="00C23B27">
        <w:rPr>
          <w:rFonts w:ascii="Arial" w:hAnsi="Arial" w:cs="Arial"/>
          <w:szCs w:val="24"/>
        </w:rPr>
        <w:t xml:space="preserve"> es que se podrá</w:t>
      </w:r>
      <w:r w:rsidR="00C23B27" w:rsidRPr="00BC3C0F">
        <w:rPr>
          <w:rFonts w:ascii="Arial" w:hAnsi="Arial" w:cs="Arial"/>
          <w:szCs w:val="24"/>
        </w:rPr>
        <w:t xml:space="preserve"> precisar cuál de los dos es más conveniente</w:t>
      </w:r>
      <w:r w:rsidR="00C23B27">
        <w:rPr>
          <w:rFonts w:ascii="Arial" w:hAnsi="Arial" w:cs="Arial"/>
          <w:szCs w:val="24"/>
        </w:rPr>
        <w:t>;</w:t>
      </w:r>
      <w:r w:rsidR="00C23B27" w:rsidRPr="00BC3C0F">
        <w:rPr>
          <w:rFonts w:ascii="Arial" w:hAnsi="Arial" w:cs="Arial"/>
          <w:szCs w:val="24"/>
        </w:rPr>
        <w:t xml:space="preserve"> antes de ello solo es partir de meras conjeturas y, vaticin</w:t>
      </w:r>
      <w:r w:rsidR="00C23B27">
        <w:rPr>
          <w:rFonts w:ascii="Arial" w:hAnsi="Arial" w:cs="Arial"/>
          <w:szCs w:val="24"/>
        </w:rPr>
        <w:t>ar la vida de la afiliada 20 años.</w:t>
      </w:r>
    </w:p>
    <w:p w14:paraId="13A767B1" w14:textId="77777777" w:rsidR="00C23B27" w:rsidRDefault="00C23B27" w:rsidP="00C23B27">
      <w:pPr>
        <w:ind w:right="49"/>
        <w:contextualSpacing/>
        <w:jc w:val="both"/>
        <w:rPr>
          <w:rFonts w:ascii="Arial" w:hAnsi="Arial" w:cs="Arial"/>
          <w:szCs w:val="24"/>
        </w:rPr>
      </w:pPr>
    </w:p>
    <w:p w14:paraId="1841BDCE" w14:textId="5816EE4E" w:rsidR="00C23B27" w:rsidRDefault="00C23B27" w:rsidP="00C23B27">
      <w:pPr>
        <w:spacing w:line="276" w:lineRule="auto"/>
        <w:ind w:right="49"/>
        <w:contextualSpacing/>
        <w:jc w:val="both"/>
        <w:rPr>
          <w:rFonts w:ascii="Arial" w:hAnsi="Arial" w:cs="Arial"/>
          <w:szCs w:val="24"/>
        </w:rPr>
      </w:pPr>
      <w:r w:rsidRPr="001F2CB7">
        <w:rPr>
          <w:rFonts w:ascii="Arial" w:hAnsi="Arial" w:cs="Arial"/>
          <w:szCs w:val="24"/>
        </w:rPr>
        <w:t>Dicho de otra forma, la asesoría brindada por la AFP</w:t>
      </w:r>
      <w:r>
        <w:rPr>
          <w:rFonts w:ascii="Arial" w:hAnsi="Arial" w:cs="Arial"/>
          <w:szCs w:val="24"/>
        </w:rPr>
        <w:t xml:space="preserve"> en el momento de la escogencia del RAIS en el año 2000 se circunscribía</w:t>
      </w:r>
      <w:r w:rsidRPr="001F2CB7">
        <w:rPr>
          <w:rFonts w:ascii="Arial" w:hAnsi="Arial" w:cs="Arial"/>
          <w:szCs w:val="24"/>
        </w:rPr>
        <w:t xml:space="preserve"> a informar al afiliado de las características</w:t>
      </w:r>
      <w:r w:rsidR="00AE66CC">
        <w:rPr>
          <w:rFonts w:ascii="Arial" w:hAnsi="Arial" w:cs="Arial"/>
          <w:szCs w:val="24"/>
        </w:rPr>
        <w:t>,</w:t>
      </w:r>
      <w:r w:rsidRPr="001F2CB7">
        <w:rPr>
          <w:rFonts w:ascii="Arial" w:hAnsi="Arial" w:cs="Arial"/>
          <w:szCs w:val="24"/>
        </w:rPr>
        <w:t xml:space="preserve"> </w:t>
      </w:r>
      <w:r w:rsidR="00AE66CC">
        <w:rPr>
          <w:rFonts w:ascii="Arial" w:hAnsi="Arial" w:cs="Arial"/>
          <w:szCs w:val="24"/>
        </w:rPr>
        <w:t>condiciones y ventajas</w:t>
      </w:r>
      <w:r w:rsidR="00AE66CC" w:rsidRPr="00AE66CC">
        <w:rPr>
          <w:rFonts w:ascii="Arial" w:hAnsi="Arial" w:cs="Arial"/>
          <w:szCs w:val="24"/>
        </w:rPr>
        <w:t xml:space="preserve"> </w:t>
      </w:r>
      <w:r w:rsidR="00AE66CC" w:rsidRPr="001F2CB7">
        <w:rPr>
          <w:rFonts w:ascii="Arial" w:hAnsi="Arial" w:cs="Arial"/>
          <w:szCs w:val="24"/>
        </w:rPr>
        <w:t xml:space="preserve">del </w:t>
      </w:r>
      <w:r w:rsidR="00AE66CC" w:rsidRPr="00AD294E">
        <w:rPr>
          <w:rFonts w:ascii="Arial" w:hAnsi="Arial" w:cs="Arial"/>
          <w:szCs w:val="24"/>
        </w:rPr>
        <w:t>RAIS</w:t>
      </w:r>
      <w:r w:rsidRPr="00AD294E">
        <w:rPr>
          <w:rFonts w:ascii="Arial" w:hAnsi="Arial" w:cs="Arial"/>
          <w:szCs w:val="24"/>
        </w:rPr>
        <w:t xml:space="preserve">, además de su solidez financiera (art. 97 del Decreto 663/1993 y sus modificaciones), sin que dicha información pueda analizarse desde la </w:t>
      </w:r>
      <w:r w:rsidR="00AE66CC">
        <w:rPr>
          <w:rFonts w:ascii="Arial" w:hAnsi="Arial" w:cs="Arial"/>
          <w:szCs w:val="24"/>
        </w:rPr>
        <w:t>óptica de un buen o mal consejo;</w:t>
      </w:r>
      <w:r w:rsidRPr="00AD294E">
        <w:rPr>
          <w:rFonts w:ascii="Arial" w:hAnsi="Arial" w:cs="Arial"/>
          <w:szCs w:val="24"/>
        </w:rPr>
        <w:t xml:space="preserve"> en primer lugar, porque según la jurisprudencia ya citada, dicha obligación solo apareció con la </w:t>
      </w:r>
      <w:r w:rsidRPr="00AD294E">
        <w:rPr>
          <w:rFonts w:ascii="Arial" w:hAnsi="Arial" w:cs="Arial"/>
          <w:color w:val="000000"/>
          <w:szCs w:val="24"/>
          <w:lang w:eastAsia="es-CO"/>
        </w:rPr>
        <w:t>Ley 1328 de 2009 y el Decreto 2241 de 2010, y en segundo lugar</w:t>
      </w:r>
      <w:r w:rsidR="00AE66CC">
        <w:rPr>
          <w:rFonts w:ascii="Arial" w:hAnsi="Arial" w:cs="Arial"/>
          <w:color w:val="000000"/>
          <w:szCs w:val="24"/>
          <w:lang w:eastAsia="es-CO"/>
        </w:rPr>
        <w:t>,</w:t>
      </w:r>
      <w:r w:rsidRPr="00AD294E">
        <w:rPr>
          <w:rFonts w:ascii="Arial" w:hAnsi="Arial" w:cs="Arial"/>
          <w:color w:val="000000"/>
          <w:szCs w:val="24"/>
          <w:lang w:eastAsia="es-CO"/>
        </w:rPr>
        <w:t xml:space="preserve"> </w:t>
      </w:r>
      <w:r w:rsidRPr="00AD294E">
        <w:rPr>
          <w:rFonts w:ascii="Arial" w:hAnsi="Arial" w:cs="Arial"/>
          <w:szCs w:val="24"/>
        </w:rPr>
        <w:t>ello implicaría usurpar la voluntad del afiliado, única persona que después de conocer las características del régimen podrá sopesar si la escogencia del RAIS resulta adecuada o atractiva para el florecimiento de su vida; pues al gozar de capacidad</w:t>
      </w:r>
      <w:r>
        <w:rPr>
          <w:rFonts w:ascii="Arial" w:hAnsi="Arial" w:cs="Arial"/>
          <w:szCs w:val="24"/>
        </w:rPr>
        <w:t xml:space="preserve"> de ejercicio, quien celebra el contrato de afiliación está en condiciones de entender las incidencias de la escogencia a partir de la información que ha recibido. </w:t>
      </w:r>
    </w:p>
    <w:p w14:paraId="2170E369" w14:textId="77777777" w:rsidR="00C23B27" w:rsidRDefault="00C23B27" w:rsidP="00C23B27">
      <w:pPr>
        <w:spacing w:line="276" w:lineRule="auto"/>
        <w:ind w:right="49"/>
        <w:contextualSpacing/>
        <w:jc w:val="both"/>
        <w:rPr>
          <w:rFonts w:ascii="Arial" w:hAnsi="Arial" w:cs="Arial"/>
          <w:szCs w:val="24"/>
        </w:rPr>
      </w:pPr>
    </w:p>
    <w:p w14:paraId="198FE1F2" w14:textId="77777777" w:rsidR="00C23B27" w:rsidRDefault="00C23B27" w:rsidP="00C23B27">
      <w:pPr>
        <w:spacing w:line="276" w:lineRule="auto"/>
        <w:ind w:right="49"/>
        <w:contextualSpacing/>
        <w:jc w:val="both"/>
        <w:rPr>
          <w:rFonts w:ascii="Arial" w:hAnsi="Arial"/>
          <w:szCs w:val="24"/>
        </w:rPr>
      </w:pPr>
      <w:r w:rsidRPr="00395A81">
        <w:rPr>
          <w:rFonts w:ascii="Arial" w:hAnsi="Arial"/>
          <w:szCs w:val="24"/>
        </w:rPr>
        <w:t xml:space="preserve">Al punto es preciso advertir que María </w:t>
      </w:r>
      <w:proofErr w:type="spellStart"/>
      <w:r w:rsidRPr="00395A81">
        <w:rPr>
          <w:rFonts w:ascii="Arial" w:hAnsi="Arial"/>
          <w:szCs w:val="24"/>
        </w:rPr>
        <w:t>Yorladis</w:t>
      </w:r>
      <w:proofErr w:type="spellEnd"/>
      <w:r w:rsidRPr="00395A81">
        <w:rPr>
          <w:rFonts w:ascii="Arial" w:hAnsi="Arial"/>
          <w:szCs w:val="24"/>
        </w:rPr>
        <w:t xml:space="preserve"> Ramírez Agudelo no solo suscribió el formulario de vinculación al RAIS a través de Colfondos S.A. en el año 2000, que cumplió los lineamientos fijados en la ley, sino que reiteró su voluntad de permanencia en dicho régimen, al trasladarse nuevamente a otra AFP del mismo régimen, esta vez a Porvenir S.A. en el año 2002, calenda para la cual contaba con 37 años de edad, es decir, que todavía podía optar por cambiarse para el RPM por no estar afectada por la restricción contenida en el artículo 2º de la Ley 797/2003, pero fue su voluntad continuar en el RAIS, lo que supone que estaba conforme con los beneficios que venía disfrutando desde el año 2000 cuando ingresó a él.</w:t>
      </w:r>
    </w:p>
    <w:p w14:paraId="3FDBBF54" w14:textId="77777777" w:rsidR="00C23B27" w:rsidRDefault="00C23B27" w:rsidP="00C23B27">
      <w:pPr>
        <w:spacing w:line="276" w:lineRule="auto"/>
        <w:ind w:right="49"/>
        <w:contextualSpacing/>
        <w:jc w:val="both"/>
        <w:rPr>
          <w:rFonts w:ascii="Arial" w:hAnsi="Arial"/>
          <w:szCs w:val="24"/>
        </w:rPr>
      </w:pPr>
    </w:p>
    <w:p w14:paraId="3255C4D6" w14:textId="43BD12AA" w:rsidR="00D36CF1" w:rsidRDefault="00D36CF1" w:rsidP="00FE22FA">
      <w:pPr>
        <w:spacing w:line="276" w:lineRule="auto"/>
        <w:jc w:val="both"/>
        <w:rPr>
          <w:rFonts w:ascii="Arial" w:eastAsiaTheme="minorHAnsi" w:hAnsi="Arial" w:cs="Arial"/>
          <w:iCs/>
          <w:szCs w:val="24"/>
        </w:rPr>
      </w:pPr>
      <w:r>
        <w:rPr>
          <w:rFonts w:ascii="Arial" w:eastAsiaTheme="minorHAnsi" w:hAnsi="Arial" w:cs="Arial"/>
          <w:iCs/>
          <w:szCs w:val="24"/>
        </w:rPr>
        <w:t xml:space="preserve">De otro lado, llama la atención de esta Sala </w:t>
      </w:r>
      <w:r w:rsidR="00AE66CC">
        <w:rPr>
          <w:rFonts w:ascii="Arial" w:eastAsiaTheme="minorHAnsi" w:hAnsi="Arial" w:cs="Arial"/>
          <w:iCs/>
          <w:szCs w:val="24"/>
        </w:rPr>
        <w:t xml:space="preserve">Mayoritaria </w:t>
      </w:r>
      <w:r>
        <w:rPr>
          <w:rFonts w:ascii="Arial" w:eastAsiaTheme="minorHAnsi" w:hAnsi="Arial" w:cs="Arial"/>
          <w:iCs/>
          <w:szCs w:val="24"/>
        </w:rPr>
        <w:t>que la actora haya indicado en su interrogatorio de parte que la situación que motivó la solicitud de nulidad del traslado al RAIS fue conocer el detrimento patrimonial que sufriría p</w:t>
      </w:r>
      <w:r w:rsidR="00C23B27">
        <w:rPr>
          <w:rFonts w:ascii="Arial" w:eastAsiaTheme="minorHAnsi" w:hAnsi="Arial" w:cs="Arial"/>
          <w:iCs/>
          <w:szCs w:val="24"/>
        </w:rPr>
        <w:t>orque su mesada pensional no sobrepasaría el SMLMV</w:t>
      </w:r>
      <w:r>
        <w:rPr>
          <w:rFonts w:ascii="Arial" w:eastAsiaTheme="minorHAnsi" w:hAnsi="Arial" w:cs="Arial"/>
          <w:iCs/>
          <w:szCs w:val="24"/>
        </w:rPr>
        <w:t xml:space="preserve"> a pesar de haber cotizado 5 veces dicho monto</w:t>
      </w:r>
      <w:r w:rsidR="00C23B27">
        <w:rPr>
          <w:rFonts w:ascii="Arial" w:eastAsiaTheme="minorHAnsi" w:hAnsi="Arial" w:cs="Arial"/>
          <w:iCs/>
          <w:szCs w:val="24"/>
        </w:rPr>
        <w:t>;</w:t>
      </w:r>
      <w:r>
        <w:rPr>
          <w:rFonts w:ascii="Arial" w:eastAsiaTheme="minorHAnsi" w:hAnsi="Arial" w:cs="Arial"/>
          <w:iCs/>
          <w:szCs w:val="24"/>
        </w:rPr>
        <w:t xml:space="preserve"> argumento que a nuestro juicio es un hecho que no se origina en el momento de la asesoría</w:t>
      </w:r>
      <w:r w:rsidR="00C23B27">
        <w:rPr>
          <w:rFonts w:ascii="Arial" w:eastAsiaTheme="minorHAnsi" w:hAnsi="Arial" w:cs="Arial"/>
          <w:iCs/>
          <w:szCs w:val="24"/>
        </w:rPr>
        <w:t xml:space="preserve">, </w:t>
      </w:r>
      <w:r>
        <w:rPr>
          <w:rFonts w:ascii="Arial" w:eastAsiaTheme="minorHAnsi" w:hAnsi="Arial" w:cs="Arial"/>
          <w:iCs/>
          <w:szCs w:val="24"/>
        </w:rPr>
        <w:t xml:space="preserve">que </w:t>
      </w:r>
      <w:r w:rsidR="00C23B27">
        <w:rPr>
          <w:rFonts w:ascii="Arial" w:eastAsiaTheme="minorHAnsi" w:hAnsi="Arial" w:cs="Arial"/>
          <w:iCs/>
          <w:szCs w:val="24"/>
        </w:rPr>
        <w:t xml:space="preserve">configure una omisión de información, sino </w:t>
      </w:r>
      <w:r>
        <w:rPr>
          <w:rFonts w:ascii="Arial" w:eastAsiaTheme="minorHAnsi" w:hAnsi="Arial" w:cs="Arial"/>
          <w:iCs/>
          <w:szCs w:val="24"/>
        </w:rPr>
        <w:t>una circunstancia actual</w:t>
      </w:r>
      <w:r w:rsidR="00C23B27">
        <w:rPr>
          <w:rFonts w:ascii="Arial" w:eastAsiaTheme="minorHAnsi" w:hAnsi="Arial" w:cs="Arial"/>
          <w:iCs/>
          <w:szCs w:val="24"/>
        </w:rPr>
        <w:t>,</w:t>
      </w:r>
      <w:r>
        <w:rPr>
          <w:rFonts w:ascii="Arial" w:eastAsiaTheme="minorHAnsi" w:hAnsi="Arial" w:cs="Arial"/>
          <w:iCs/>
          <w:szCs w:val="24"/>
        </w:rPr>
        <w:t xml:space="preserve"> que además depende de las particularidades acaecidas a lo </w:t>
      </w:r>
      <w:r>
        <w:rPr>
          <w:rFonts w:ascii="Arial" w:eastAsiaTheme="minorHAnsi" w:hAnsi="Arial" w:cs="Arial"/>
          <w:iCs/>
          <w:szCs w:val="24"/>
        </w:rPr>
        <w:lastRenderedPageBreak/>
        <w:t>largo de su vinculación al RAIS</w:t>
      </w:r>
      <w:r w:rsidR="00AE66CC">
        <w:rPr>
          <w:rFonts w:ascii="Arial" w:eastAsiaTheme="minorHAnsi" w:hAnsi="Arial" w:cs="Arial"/>
          <w:iCs/>
          <w:szCs w:val="24"/>
        </w:rPr>
        <w:t>,</w:t>
      </w:r>
      <w:r>
        <w:rPr>
          <w:rFonts w:ascii="Arial" w:eastAsiaTheme="minorHAnsi" w:hAnsi="Arial" w:cs="Arial"/>
          <w:iCs/>
          <w:szCs w:val="24"/>
        </w:rPr>
        <w:t xml:space="preserve"> como pueden serlo el mo</w:t>
      </w:r>
      <w:r w:rsidR="00C23B27">
        <w:rPr>
          <w:rFonts w:ascii="Arial" w:eastAsiaTheme="minorHAnsi" w:hAnsi="Arial" w:cs="Arial"/>
          <w:iCs/>
          <w:szCs w:val="24"/>
        </w:rPr>
        <w:t>nto</w:t>
      </w:r>
      <w:r>
        <w:rPr>
          <w:rFonts w:ascii="Arial" w:eastAsiaTheme="minorHAnsi" w:hAnsi="Arial" w:cs="Arial"/>
          <w:iCs/>
          <w:szCs w:val="24"/>
        </w:rPr>
        <w:t xml:space="preserve"> de sus cotizaciones, la fluctuación del mercado y las inversiones propias de la AFP.</w:t>
      </w:r>
    </w:p>
    <w:p w14:paraId="6399AB2D" w14:textId="77777777" w:rsidR="00D36CF1" w:rsidRDefault="00D36CF1" w:rsidP="00FE22FA">
      <w:pPr>
        <w:spacing w:line="276" w:lineRule="auto"/>
        <w:jc w:val="both"/>
        <w:rPr>
          <w:rFonts w:ascii="Arial" w:eastAsiaTheme="minorHAnsi" w:hAnsi="Arial" w:cs="Arial"/>
          <w:iCs/>
          <w:szCs w:val="24"/>
        </w:rPr>
      </w:pPr>
    </w:p>
    <w:p w14:paraId="66BCD69B" w14:textId="6B2F8E1B" w:rsidR="00C23B27" w:rsidRDefault="00110653" w:rsidP="00C23B27">
      <w:pPr>
        <w:spacing w:line="276" w:lineRule="auto"/>
        <w:ind w:right="49"/>
        <w:contextualSpacing/>
        <w:jc w:val="both"/>
        <w:rPr>
          <w:rFonts w:ascii="Arial" w:hAnsi="Arial" w:cs="Arial"/>
          <w:szCs w:val="24"/>
          <w:lang w:eastAsia="es-CO"/>
        </w:rPr>
      </w:pPr>
      <w:r>
        <w:rPr>
          <w:rFonts w:ascii="Arial" w:hAnsi="Arial" w:cs="Arial"/>
          <w:szCs w:val="24"/>
        </w:rPr>
        <w:t>Cálculos del valor de la pensión solo aparecieron</w:t>
      </w:r>
      <w:r w:rsidR="00C23B27" w:rsidRPr="00BC3C0F">
        <w:rPr>
          <w:rFonts w:ascii="Arial" w:hAnsi="Arial" w:cs="Arial"/>
          <w:szCs w:val="24"/>
        </w:rPr>
        <w:t xml:space="preserve"> con la Ley </w:t>
      </w:r>
      <w:r w:rsidR="00C23B27" w:rsidRPr="00BC3C0F">
        <w:rPr>
          <w:rFonts w:ascii="Arial" w:hAnsi="Arial" w:cs="Arial"/>
          <w:szCs w:val="24"/>
          <w:lang w:eastAsia="es-CO"/>
        </w:rPr>
        <w:t>1748 de 2014</w:t>
      </w:r>
      <w:r w:rsidR="00C23B27" w:rsidRPr="00BC3C0F">
        <w:rPr>
          <w:rStyle w:val="Refdenotaalpie"/>
          <w:rFonts w:ascii="Arial" w:hAnsi="Arial" w:cs="Arial"/>
          <w:szCs w:val="24"/>
          <w:lang w:eastAsia="es-CO"/>
        </w:rPr>
        <w:footnoteReference w:id="5"/>
      </w:r>
      <w:r w:rsidR="00C23B27" w:rsidRPr="00BC3C0F">
        <w:rPr>
          <w:rFonts w:ascii="Arial" w:hAnsi="Arial" w:cs="Arial"/>
          <w:szCs w:val="24"/>
          <w:lang w:eastAsia="es-CO"/>
        </w:rPr>
        <w:t xml:space="preserve"> y el Decreto 2071 de 2015</w:t>
      </w:r>
      <w:r w:rsidR="00C23B27" w:rsidRPr="00BC3C0F">
        <w:rPr>
          <w:rStyle w:val="Refdenotaalpie"/>
          <w:rFonts w:ascii="Arial" w:hAnsi="Arial" w:cs="Arial"/>
          <w:szCs w:val="24"/>
          <w:lang w:eastAsia="es-CO"/>
        </w:rPr>
        <w:footnoteReference w:id="6"/>
      </w:r>
      <w:r w:rsidR="00C23B27" w:rsidRPr="00BC3C0F">
        <w:rPr>
          <w:rFonts w:ascii="Arial" w:hAnsi="Arial" w:cs="Arial"/>
          <w:szCs w:val="24"/>
          <w:lang w:eastAsia="es-CO"/>
        </w:rPr>
        <w:t xml:space="preserve">, por lo que </w:t>
      </w:r>
      <w:r w:rsidR="00C23B27">
        <w:rPr>
          <w:rFonts w:ascii="Arial" w:hAnsi="Arial" w:cs="Arial"/>
          <w:szCs w:val="24"/>
          <w:lang w:eastAsia="es-CO"/>
        </w:rPr>
        <w:t xml:space="preserve">su ausencia antes de estos años </w:t>
      </w:r>
      <w:r w:rsidR="00C23B27" w:rsidRPr="00BC3C0F">
        <w:rPr>
          <w:rFonts w:ascii="Arial" w:hAnsi="Arial" w:cs="Arial"/>
          <w:szCs w:val="24"/>
          <w:lang w:eastAsia="es-CO"/>
        </w:rPr>
        <w:t>no implica necesariamente</w:t>
      </w:r>
      <w:r w:rsidR="00C23B27">
        <w:rPr>
          <w:rFonts w:ascii="Arial" w:hAnsi="Arial" w:cs="Arial"/>
          <w:szCs w:val="24"/>
          <w:lang w:eastAsia="es-CO"/>
        </w:rPr>
        <w:t xml:space="preserve"> un asesoramiento incompleto; debiéndose recordar en este punto que, de haberse hecho y no corresponder a lo que en el momento actual tiene, tampoco podría configurar un mal asesoramiento configurativo del error en el consentimiento, pues se trataría de una proyección recreada con meras conjeturas. Situación que incluso se reconoce en la normativa en cita, pues </w:t>
      </w:r>
      <w:r w:rsidR="00C23B27" w:rsidRPr="00BC3C0F">
        <w:rPr>
          <w:rFonts w:ascii="Arial" w:hAnsi="Arial" w:cs="Arial"/>
          <w:szCs w:val="24"/>
          <w:lang w:eastAsia="es-CO"/>
        </w:rPr>
        <w:t xml:space="preserve">tal proyección no es un derecho consolidado, al basarse en hechos futuros </w:t>
      </w:r>
      <w:r w:rsidR="00871B98">
        <w:rPr>
          <w:rFonts w:ascii="Arial" w:hAnsi="Arial" w:cs="Arial"/>
          <w:szCs w:val="24"/>
          <w:lang w:eastAsia="es-CO"/>
        </w:rPr>
        <w:t>probables, que pueden no darse.</w:t>
      </w:r>
    </w:p>
    <w:p w14:paraId="0CB424D5" w14:textId="77777777" w:rsidR="00C23B27" w:rsidRDefault="00C23B27" w:rsidP="00FE22FA">
      <w:pPr>
        <w:spacing w:line="276" w:lineRule="auto"/>
        <w:jc w:val="both"/>
        <w:rPr>
          <w:rFonts w:ascii="Arial" w:eastAsiaTheme="minorHAnsi" w:hAnsi="Arial" w:cs="Arial"/>
          <w:iCs/>
          <w:szCs w:val="24"/>
        </w:rPr>
      </w:pPr>
    </w:p>
    <w:p w14:paraId="1948C7D3" w14:textId="1A6BA310" w:rsidR="00D36CF1" w:rsidRDefault="00C23B27" w:rsidP="00FE22FA">
      <w:pPr>
        <w:spacing w:line="276" w:lineRule="auto"/>
        <w:jc w:val="both"/>
        <w:rPr>
          <w:rFonts w:ascii="Arial" w:eastAsiaTheme="minorHAnsi" w:hAnsi="Arial" w:cs="Arial"/>
          <w:iCs/>
          <w:szCs w:val="24"/>
        </w:rPr>
      </w:pPr>
      <w:r>
        <w:rPr>
          <w:rFonts w:ascii="Arial" w:eastAsiaTheme="minorHAnsi" w:hAnsi="Arial" w:cs="Arial"/>
          <w:iCs/>
          <w:szCs w:val="24"/>
        </w:rPr>
        <w:t>Frente al argumento</w:t>
      </w:r>
      <w:r w:rsidR="00D9605A">
        <w:rPr>
          <w:rFonts w:ascii="Arial" w:eastAsiaTheme="minorHAnsi" w:hAnsi="Arial" w:cs="Arial"/>
          <w:iCs/>
          <w:szCs w:val="24"/>
        </w:rPr>
        <w:t xml:space="preserve"> contenido en la demanda en lo atinente al traslado entre AFP sin respetar el límite de la ley como razón para enervar el traslado, </w:t>
      </w:r>
      <w:r>
        <w:rPr>
          <w:rFonts w:ascii="Arial" w:eastAsiaTheme="minorHAnsi" w:hAnsi="Arial" w:cs="Arial"/>
          <w:iCs/>
          <w:szCs w:val="24"/>
        </w:rPr>
        <w:t>r</w:t>
      </w:r>
      <w:r w:rsidR="00D36CF1">
        <w:rPr>
          <w:rFonts w:ascii="Arial" w:eastAsiaTheme="minorHAnsi" w:hAnsi="Arial" w:cs="Arial"/>
          <w:iCs/>
          <w:szCs w:val="24"/>
        </w:rPr>
        <w:t>esulta imperioso precisar que la limitante establecida en el literal e) del artículo 13 de la Ley 100</w:t>
      </w:r>
      <w:r w:rsidR="003C6B12">
        <w:rPr>
          <w:rFonts w:ascii="Arial" w:eastAsiaTheme="minorHAnsi" w:hAnsi="Arial" w:cs="Arial"/>
          <w:iCs/>
          <w:szCs w:val="24"/>
        </w:rPr>
        <w:t>/</w:t>
      </w:r>
      <w:r w:rsidR="00D36CF1">
        <w:rPr>
          <w:rFonts w:ascii="Arial" w:eastAsiaTheme="minorHAnsi" w:hAnsi="Arial" w:cs="Arial"/>
          <w:iCs/>
          <w:szCs w:val="24"/>
        </w:rPr>
        <w:t>9</w:t>
      </w:r>
      <w:r w:rsidR="00D1246D">
        <w:rPr>
          <w:rFonts w:ascii="Arial" w:eastAsiaTheme="minorHAnsi" w:hAnsi="Arial" w:cs="Arial"/>
          <w:iCs/>
          <w:szCs w:val="24"/>
        </w:rPr>
        <w:t>3 original y vigente para el 01/</w:t>
      </w:r>
      <w:r w:rsidR="00D36CF1">
        <w:rPr>
          <w:rFonts w:ascii="Arial" w:eastAsiaTheme="minorHAnsi" w:hAnsi="Arial" w:cs="Arial"/>
          <w:iCs/>
          <w:szCs w:val="24"/>
        </w:rPr>
        <w:t>02</w:t>
      </w:r>
      <w:r w:rsidR="00D1246D">
        <w:rPr>
          <w:rFonts w:ascii="Arial" w:eastAsiaTheme="minorHAnsi" w:hAnsi="Arial" w:cs="Arial"/>
          <w:iCs/>
          <w:szCs w:val="24"/>
        </w:rPr>
        <w:t>/</w:t>
      </w:r>
      <w:r w:rsidR="00D36CF1">
        <w:rPr>
          <w:rFonts w:ascii="Arial" w:eastAsiaTheme="minorHAnsi" w:hAnsi="Arial" w:cs="Arial"/>
          <w:iCs/>
          <w:szCs w:val="24"/>
        </w:rPr>
        <w:t>2002</w:t>
      </w:r>
      <w:r w:rsidR="00110653">
        <w:rPr>
          <w:rFonts w:ascii="Arial" w:eastAsiaTheme="minorHAnsi" w:hAnsi="Arial" w:cs="Arial"/>
          <w:iCs/>
          <w:szCs w:val="24"/>
        </w:rPr>
        <w:t>,</w:t>
      </w:r>
      <w:r w:rsidR="00D36CF1">
        <w:rPr>
          <w:rFonts w:ascii="Arial" w:eastAsiaTheme="minorHAnsi" w:hAnsi="Arial" w:cs="Arial"/>
          <w:iCs/>
          <w:szCs w:val="24"/>
        </w:rPr>
        <w:t xml:space="preserve"> cuando </w:t>
      </w:r>
      <w:r w:rsidR="00953F0F">
        <w:rPr>
          <w:rFonts w:ascii="Arial" w:eastAsiaTheme="minorHAnsi" w:hAnsi="Arial" w:cs="Arial"/>
          <w:iCs/>
          <w:szCs w:val="24"/>
        </w:rPr>
        <w:t xml:space="preserve">la demandante </w:t>
      </w:r>
      <w:r w:rsidR="00D36CF1">
        <w:rPr>
          <w:rFonts w:ascii="Arial" w:eastAsiaTheme="minorHAnsi" w:hAnsi="Arial" w:cs="Arial"/>
          <w:iCs/>
          <w:szCs w:val="24"/>
        </w:rPr>
        <w:t xml:space="preserve">optó por trasladarse </w:t>
      </w:r>
      <w:r w:rsidR="00D1246D">
        <w:rPr>
          <w:rFonts w:ascii="Arial" w:eastAsiaTheme="minorHAnsi" w:hAnsi="Arial" w:cs="Arial"/>
          <w:iCs/>
          <w:szCs w:val="24"/>
        </w:rPr>
        <w:t xml:space="preserve">de Colfondos S.A. a </w:t>
      </w:r>
      <w:r w:rsidR="00953F0F">
        <w:rPr>
          <w:rFonts w:ascii="Arial" w:eastAsiaTheme="minorHAnsi" w:hAnsi="Arial" w:cs="Arial"/>
          <w:iCs/>
          <w:szCs w:val="24"/>
        </w:rPr>
        <w:t xml:space="preserve">BBVA Horizonte Pensiones y Cesantías, se refiere es al traslado entre regímenes pensionales, esto es, entre el RPM y el RAIS y no respecto de diferentes administradoras dentro de este último, de ahí que no le asista razón a la parte actora cuando refiere que dicha </w:t>
      </w:r>
      <w:r w:rsidR="00D1246D">
        <w:rPr>
          <w:rFonts w:ascii="Arial" w:eastAsiaTheme="minorHAnsi" w:hAnsi="Arial" w:cs="Arial"/>
          <w:iCs/>
          <w:szCs w:val="24"/>
        </w:rPr>
        <w:t>vinculación trasgrede ese canon.</w:t>
      </w:r>
    </w:p>
    <w:p w14:paraId="54F5A58C" w14:textId="77777777" w:rsidR="00BC122A" w:rsidRDefault="00BC122A" w:rsidP="00FE22FA">
      <w:pPr>
        <w:spacing w:line="276" w:lineRule="auto"/>
        <w:jc w:val="both"/>
        <w:rPr>
          <w:rFonts w:ascii="Arial" w:eastAsiaTheme="minorHAnsi" w:hAnsi="Arial" w:cs="Arial"/>
          <w:iCs/>
          <w:szCs w:val="24"/>
        </w:rPr>
      </w:pPr>
    </w:p>
    <w:p w14:paraId="7862158F" w14:textId="70A17977" w:rsidR="00D36CF1" w:rsidRDefault="00953F0F" w:rsidP="00FE22FA">
      <w:pPr>
        <w:spacing w:line="276" w:lineRule="auto"/>
        <w:jc w:val="both"/>
        <w:rPr>
          <w:rFonts w:ascii="Arial" w:eastAsiaTheme="minorHAnsi" w:hAnsi="Arial" w:cs="Arial"/>
          <w:iCs/>
          <w:szCs w:val="24"/>
        </w:rPr>
      </w:pPr>
      <w:r>
        <w:rPr>
          <w:rFonts w:ascii="Arial" w:eastAsiaTheme="minorHAnsi" w:hAnsi="Arial" w:cs="Arial"/>
          <w:iCs/>
          <w:szCs w:val="24"/>
        </w:rPr>
        <w:t xml:space="preserve">Es más, son los artículos 107 de la Ley 100-93 y 16 del Decreto 692-94 los que regulan tal situación y disponen que puede realizarse el cambio de administradoras dentro del RAIS después de un término de </w:t>
      </w:r>
      <w:r w:rsidR="00D1246D">
        <w:rPr>
          <w:rFonts w:ascii="Arial" w:eastAsiaTheme="minorHAnsi" w:hAnsi="Arial" w:cs="Arial"/>
          <w:iCs/>
          <w:szCs w:val="24"/>
        </w:rPr>
        <w:t>permanencia mínima de 6 meses, tiempo</w:t>
      </w:r>
      <w:r>
        <w:rPr>
          <w:rFonts w:ascii="Arial" w:eastAsiaTheme="minorHAnsi" w:hAnsi="Arial" w:cs="Arial"/>
          <w:iCs/>
          <w:szCs w:val="24"/>
        </w:rPr>
        <w:t xml:space="preserve"> que en el caso de la actora se superó, de ahí que por esa razón no pueda invocarse vicio del consentimiento alguno en este aspecto. </w:t>
      </w:r>
    </w:p>
    <w:p w14:paraId="6229555E" w14:textId="77777777" w:rsidR="00C23B27" w:rsidRPr="00BC3C0F" w:rsidRDefault="00C23B27" w:rsidP="00BF595B">
      <w:pPr>
        <w:spacing w:line="276" w:lineRule="auto"/>
        <w:ind w:right="49"/>
        <w:contextualSpacing/>
        <w:jc w:val="both"/>
        <w:rPr>
          <w:rFonts w:ascii="Arial" w:hAnsi="Arial" w:cs="Arial"/>
          <w:szCs w:val="24"/>
        </w:rPr>
      </w:pPr>
    </w:p>
    <w:p w14:paraId="2D53DCD2" w14:textId="7228977D" w:rsidR="003C6B12" w:rsidRPr="00BC3C0F" w:rsidRDefault="003C6B12" w:rsidP="003C6B12">
      <w:pPr>
        <w:spacing w:line="276" w:lineRule="auto"/>
        <w:ind w:right="49"/>
        <w:contextualSpacing/>
        <w:jc w:val="both"/>
        <w:rPr>
          <w:rFonts w:ascii="Arial" w:hAnsi="Arial" w:cs="Arial"/>
          <w:szCs w:val="24"/>
        </w:rPr>
      </w:pPr>
      <w:r w:rsidRPr="003C6B12">
        <w:rPr>
          <w:rFonts w:ascii="Arial" w:hAnsi="Arial" w:cs="Arial"/>
          <w:szCs w:val="24"/>
        </w:rPr>
        <w:t xml:space="preserve">Puestas de ese modo las cosas, se desprende que la información suministrada a la demandante fue clara, completa y veraz en tanto tenía conocimiento de la posibilidad de pensionarse anticipadamente como en </w:t>
      </w:r>
      <w:r>
        <w:rPr>
          <w:rFonts w:ascii="Arial" w:hAnsi="Arial" w:cs="Arial"/>
          <w:szCs w:val="24"/>
        </w:rPr>
        <w:t>efecto lo reglamenta la Ley 100/</w:t>
      </w:r>
      <w:r w:rsidRPr="003C6B12">
        <w:rPr>
          <w:rFonts w:ascii="Arial" w:hAnsi="Arial" w:cs="Arial"/>
          <w:szCs w:val="24"/>
        </w:rPr>
        <w:t>93 para el RAIS</w:t>
      </w:r>
      <w:r w:rsidR="00AE66CC">
        <w:rPr>
          <w:rFonts w:ascii="Arial" w:hAnsi="Arial" w:cs="Arial"/>
          <w:szCs w:val="24"/>
        </w:rPr>
        <w:t>, entre otros</w:t>
      </w:r>
      <w:r w:rsidRPr="003C6B12">
        <w:rPr>
          <w:rFonts w:ascii="Arial" w:hAnsi="Arial" w:cs="Arial"/>
          <w:szCs w:val="24"/>
        </w:rPr>
        <w:t xml:space="preserve">. En estos términos no puede tildarse que el actuar de la AFP estuviere desprovisto de lealtad, diligencia, probidad, sinceridad, pues precisamente aquella es propia del RAIS y que se encuentra consagrada en la Ley 100 de 1993 a partir del artículo 64 y s.s., por lo que </w:t>
      </w:r>
      <w:r>
        <w:rPr>
          <w:rFonts w:ascii="Arial" w:hAnsi="Arial" w:cs="Arial"/>
          <w:szCs w:val="24"/>
        </w:rPr>
        <w:t xml:space="preserve">María </w:t>
      </w:r>
      <w:proofErr w:type="spellStart"/>
      <w:r>
        <w:rPr>
          <w:rFonts w:ascii="Arial" w:hAnsi="Arial" w:cs="Arial"/>
          <w:szCs w:val="24"/>
        </w:rPr>
        <w:t>Yorladis</w:t>
      </w:r>
      <w:proofErr w:type="spellEnd"/>
      <w:r>
        <w:rPr>
          <w:rFonts w:ascii="Arial" w:hAnsi="Arial" w:cs="Arial"/>
          <w:szCs w:val="24"/>
        </w:rPr>
        <w:t xml:space="preserve"> Ramírez Agudelo </w:t>
      </w:r>
      <w:r w:rsidRPr="003C6B12">
        <w:rPr>
          <w:rFonts w:ascii="Arial" w:hAnsi="Arial" w:cs="Arial"/>
          <w:szCs w:val="24"/>
        </w:rPr>
        <w:t xml:space="preserve">no incurrió en algún error al escoger el RAIS en </w:t>
      </w:r>
      <w:r>
        <w:rPr>
          <w:rFonts w:ascii="Arial" w:hAnsi="Arial" w:cs="Arial"/>
          <w:szCs w:val="24"/>
        </w:rPr>
        <w:t xml:space="preserve">el año </w:t>
      </w:r>
      <w:r w:rsidRPr="003C6B12">
        <w:rPr>
          <w:rFonts w:ascii="Arial" w:hAnsi="Arial" w:cs="Arial"/>
          <w:szCs w:val="24"/>
        </w:rPr>
        <w:t>2000 y permanecer en él.</w:t>
      </w:r>
      <w:r>
        <w:rPr>
          <w:rFonts w:ascii="Arial" w:hAnsi="Arial" w:cs="Arial"/>
          <w:szCs w:val="24"/>
        </w:rPr>
        <w:t xml:space="preserve"> </w:t>
      </w:r>
    </w:p>
    <w:p w14:paraId="0DA3023C" w14:textId="77777777" w:rsidR="006D5B81" w:rsidRDefault="006D5B81" w:rsidP="00BF595B">
      <w:pPr>
        <w:spacing w:line="276" w:lineRule="auto"/>
        <w:ind w:right="49"/>
        <w:contextualSpacing/>
        <w:jc w:val="both"/>
        <w:rPr>
          <w:rFonts w:ascii="Arial" w:hAnsi="Arial"/>
          <w:szCs w:val="24"/>
        </w:rPr>
      </w:pPr>
    </w:p>
    <w:p w14:paraId="227E0797" w14:textId="5FC48381" w:rsidR="003C6B12" w:rsidRDefault="006D5B81" w:rsidP="003C6B12">
      <w:pPr>
        <w:spacing w:line="276" w:lineRule="auto"/>
        <w:jc w:val="both"/>
        <w:rPr>
          <w:rFonts w:ascii="Arial" w:hAnsi="Arial" w:cs="Arial"/>
          <w:szCs w:val="24"/>
        </w:rPr>
      </w:pPr>
      <w:r>
        <w:rPr>
          <w:rFonts w:ascii="Arial" w:hAnsi="Arial" w:cs="Arial"/>
          <w:szCs w:val="24"/>
        </w:rPr>
        <w:t xml:space="preserve">Con lo anterior, lo que se demuestra es que la parte actora pretendió acondicionar una versión que se ajustara a los presupuestos legales que regulan la ineficacia del traslado entre regímenes, para </w:t>
      </w:r>
      <w:r w:rsidRPr="00725C2C">
        <w:rPr>
          <w:rFonts w:ascii="Arial" w:hAnsi="Arial" w:cs="Arial"/>
          <w:szCs w:val="24"/>
        </w:rPr>
        <w:t xml:space="preserve">corregir su pasividad </w:t>
      </w:r>
      <w:r>
        <w:rPr>
          <w:rFonts w:ascii="Arial" w:hAnsi="Arial" w:cs="Arial"/>
          <w:szCs w:val="24"/>
        </w:rPr>
        <w:t>con el propósito de retornar al RPM, de ahí que lo que lo que se advierte, es que con esta acción lo que in</w:t>
      </w:r>
      <w:r w:rsidR="003C6B12">
        <w:rPr>
          <w:rFonts w:ascii="Arial" w:hAnsi="Arial" w:cs="Arial"/>
          <w:szCs w:val="24"/>
        </w:rPr>
        <w:t>tenta es corregir dicha incuria.</w:t>
      </w:r>
    </w:p>
    <w:p w14:paraId="235704BF" w14:textId="77777777" w:rsidR="002C5C7B" w:rsidRDefault="002C5C7B" w:rsidP="003C6B12">
      <w:pPr>
        <w:spacing w:line="276" w:lineRule="auto"/>
        <w:jc w:val="both"/>
        <w:rPr>
          <w:rFonts w:ascii="Arial" w:hAnsi="Arial" w:cs="Arial"/>
          <w:b/>
          <w:color w:val="000000" w:themeColor="text1"/>
          <w:szCs w:val="24"/>
          <w:lang w:eastAsia="es-CO"/>
        </w:rPr>
      </w:pPr>
    </w:p>
    <w:p w14:paraId="4361218C" w14:textId="77777777" w:rsidR="00BF595B" w:rsidRPr="00BC3C0F" w:rsidRDefault="00BF595B" w:rsidP="00C10D52">
      <w:pPr>
        <w:shd w:val="clear" w:color="auto" w:fill="FFFFFF"/>
        <w:tabs>
          <w:tab w:val="left" w:pos="5197"/>
        </w:tabs>
        <w:jc w:val="center"/>
        <w:rPr>
          <w:rFonts w:ascii="Arial" w:hAnsi="Arial" w:cs="Arial"/>
          <w:b/>
          <w:color w:val="000000" w:themeColor="text1"/>
          <w:szCs w:val="24"/>
          <w:lang w:eastAsia="es-CO"/>
        </w:rPr>
      </w:pPr>
      <w:r w:rsidRPr="00BC3C0F">
        <w:rPr>
          <w:rFonts w:ascii="Arial" w:hAnsi="Arial" w:cs="Arial"/>
          <w:b/>
          <w:color w:val="000000" w:themeColor="text1"/>
          <w:szCs w:val="24"/>
          <w:lang w:eastAsia="es-CO"/>
        </w:rPr>
        <w:t>CONCLUSIÓN</w:t>
      </w:r>
    </w:p>
    <w:p w14:paraId="0050CFAE" w14:textId="77777777" w:rsidR="00394D80" w:rsidRPr="00BC3C0F" w:rsidRDefault="00394D80" w:rsidP="00D865A7">
      <w:pPr>
        <w:shd w:val="clear" w:color="auto" w:fill="FFFFFF"/>
        <w:tabs>
          <w:tab w:val="left" w:pos="5197"/>
        </w:tabs>
        <w:jc w:val="center"/>
        <w:rPr>
          <w:rFonts w:ascii="Arial" w:hAnsi="Arial" w:cs="Arial"/>
          <w:b/>
          <w:color w:val="000000" w:themeColor="text1"/>
          <w:szCs w:val="24"/>
          <w:lang w:eastAsia="es-CO"/>
        </w:rPr>
      </w:pPr>
    </w:p>
    <w:p w14:paraId="0DBFB70B" w14:textId="59D79982" w:rsidR="008A745C" w:rsidRPr="00AD33A2" w:rsidRDefault="00BF595B" w:rsidP="00AD33A2">
      <w:pPr>
        <w:shd w:val="clear" w:color="auto" w:fill="FFFFFF"/>
        <w:tabs>
          <w:tab w:val="left" w:pos="5197"/>
        </w:tabs>
        <w:spacing w:line="276" w:lineRule="auto"/>
        <w:contextualSpacing/>
        <w:jc w:val="both"/>
        <w:rPr>
          <w:rFonts w:ascii="Arial" w:hAnsi="Arial" w:cs="Arial"/>
          <w:color w:val="000000" w:themeColor="text1"/>
          <w:szCs w:val="24"/>
        </w:rPr>
      </w:pPr>
      <w:r w:rsidRPr="00BC3C0F">
        <w:rPr>
          <w:rFonts w:ascii="Arial" w:hAnsi="Arial" w:cs="Arial"/>
          <w:color w:val="000000" w:themeColor="text1"/>
          <w:szCs w:val="24"/>
          <w:lang w:eastAsia="es-CO"/>
        </w:rPr>
        <w:lastRenderedPageBreak/>
        <w:t xml:space="preserve">Conforme lo expuesto, </w:t>
      </w:r>
      <w:r w:rsidR="00540BBF">
        <w:rPr>
          <w:rFonts w:ascii="Arial" w:hAnsi="Arial" w:cs="Arial"/>
          <w:color w:val="000000" w:themeColor="text1"/>
          <w:szCs w:val="24"/>
          <w:lang w:eastAsia="es-CO"/>
        </w:rPr>
        <w:t>la decisión revisada será revocada</w:t>
      </w:r>
      <w:r w:rsidR="00AE66CC">
        <w:rPr>
          <w:rFonts w:ascii="Arial" w:hAnsi="Arial" w:cs="Arial"/>
          <w:color w:val="000000" w:themeColor="text1"/>
          <w:szCs w:val="24"/>
          <w:lang w:eastAsia="es-CO"/>
        </w:rPr>
        <w:t>,</w:t>
      </w:r>
      <w:r w:rsidR="00540BBF">
        <w:rPr>
          <w:rFonts w:ascii="Arial" w:hAnsi="Arial" w:cs="Arial"/>
          <w:color w:val="000000" w:themeColor="text1"/>
          <w:szCs w:val="24"/>
          <w:lang w:eastAsia="es-CO"/>
        </w:rPr>
        <w:t xml:space="preserve"> para en su lugar absolver a las demandadas de todas las pretensiones de la demanda. Se condenará en costas en ambas instancias a la parte actora y a favor de las accionadas por partes iguales, conforme lo dispuesto por el </w:t>
      </w:r>
      <w:proofErr w:type="spellStart"/>
      <w:r w:rsidR="00540BBF">
        <w:rPr>
          <w:rFonts w:ascii="Arial" w:hAnsi="Arial" w:cs="Arial"/>
          <w:color w:val="000000" w:themeColor="text1"/>
          <w:szCs w:val="24"/>
          <w:lang w:eastAsia="es-CO"/>
        </w:rPr>
        <w:t>num</w:t>
      </w:r>
      <w:proofErr w:type="spellEnd"/>
      <w:r w:rsidR="00540BBF">
        <w:rPr>
          <w:rFonts w:ascii="Arial" w:hAnsi="Arial" w:cs="Arial"/>
          <w:color w:val="000000" w:themeColor="text1"/>
          <w:szCs w:val="24"/>
          <w:lang w:eastAsia="es-CO"/>
        </w:rPr>
        <w:t>. 4º del artículo 365 del C.G.P.</w:t>
      </w:r>
    </w:p>
    <w:p w14:paraId="6F8BC2FE" w14:textId="77777777" w:rsidR="002C5C7B" w:rsidRPr="00CE7323" w:rsidRDefault="002C5C7B" w:rsidP="00CE7323">
      <w:pPr>
        <w:spacing w:line="276" w:lineRule="auto"/>
        <w:contextualSpacing/>
        <w:rPr>
          <w:rFonts w:ascii="Arial" w:hAnsi="Arial" w:cs="Arial"/>
          <w:szCs w:val="24"/>
        </w:rPr>
      </w:pPr>
    </w:p>
    <w:p w14:paraId="7223D57C" w14:textId="77777777" w:rsidR="00BF595B" w:rsidRDefault="00BF595B" w:rsidP="00C10D52">
      <w:pPr>
        <w:contextualSpacing/>
        <w:jc w:val="center"/>
        <w:rPr>
          <w:rFonts w:ascii="Arial" w:hAnsi="Arial" w:cs="Arial"/>
          <w:b/>
          <w:color w:val="000000" w:themeColor="text1"/>
          <w:szCs w:val="24"/>
        </w:rPr>
      </w:pPr>
      <w:r w:rsidRPr="00BC3C0F">
        <w:rPr>
          <w:rFonts w:ascii="Arial" w:hAnsi="Arial" w:cs="Arial"/>
          <w:b/>
          <w:color w:val="000000" w:themeColor="text1"/>
          <w:szCs w:val="24"/>
        </w:rPr>
        <w:t>DECISIÓN</w:t>
      </w:r>
    </w:p>
    <w:p w14:paraId="7130BA54" w14:textId="77777777" w:rsidR="00D865A7" w:rsidRPr="00BC3C0F" w:rsidRDefault="00D865A7" w:rsidP="00C10D52">
      <w:pPr>
        <w:contextualSpacing/>
        <w:jc w:val="center"/>
        <w:rPr>
          <w:rFonts w:ascii="Arial" w:hAnsi="Arial" w:cs="Arial"/>
          <w:b/>
          <w:color w:val="000000" w:themeColor="text1"/>
          <w:szCs w:val="24"/>
        </w:rPr>
      </w:pPr>
    </w:p>
    <w:p w14:paraId="20EE9F92" w14:textId="676F1D62" w:rsidR="00BF595B" w:rsidRPr="00BC3C0F" w:rsidRDefault="00BF595B" w:rsidP="00BF595B">
      <w:pPr>
        <w:pStyle w:val="Prrafodelista2"/>
        <w:spacing w:after="0"/>
        <w:ind w:left="0"/>
        <w:jc w:val="both"/>
        <w:rPr>
          <w:rFonts w:ascii="Arial" w:hAnsi="Arial" w:cs="Arial"/>
          <w:color w:val="000000" w:themeColor="text1"/>
          <w:sz w:val="24"/>
          <w:szCs w:val="24"/>
          <w:lang w:val="es-ES_tradnl"/>
        </w:rPr>
      </w:pPr>
      <w:r w:rsidRPr="00BC3C0F">
        <w:rPr>
          <w:rFonts w:ascii="Arial" w:hAnsi="Arial" w:cs="Arial"/>
          <w:color w:val="000000" w:themeColor="text1"/>
          <w:sz w:val="24"/>
          <w:szCs w:val="24"/>
          <w:lang w:val="es-ES_tradnl"/>
        </w:rPr>
        <w:t xml:space="preserve">En mérito de lo expuesto, el </w:t>
      </w:r>
      <w:r w:rsidRPr="00BC3C0F">
        <w:rPr>
          <w:rFonts w:ascii="Arial" w:hAnsi="Arial" w:cs="Arial"/>
          <w:b/>
          <w:color w:val="000000" w:themeColor="text1"/>
          <w:sz w:val="24"/>
          <w:szCs w:val="24"/>
          <w:lang w:val="es-ES_tradnl"/>
        </w:rPr>
        <w:t xml:space="preserve">Tribunal Superior del Distrito Judicial de Pereira - Risaralda, Sala </w:t>
      </w:r>
      <w:r w:rsidR="00AD33A2">
        <w:rPr>
          <w:rFonts w:ascii="Arial" w:hAnsi="Arial" w:cs="Arial"/>
          <w:b/>
          <w:color w:val="000000" w:themeColor="text1"/>
          <w:sz w:val="24"/>
          <w:szCs w:val="24"/>
          <w:lang w:val="es-ES_tradnl"/>
        </w:rPr>
        <w:t>Segunda</w:t>
      </w:r>
      <w:r w:rsidRPr="00BC3C0F">
        <w:rPr>
          <w:rFonts w:ascii="Arial" w:hAnsi="Arial" w:cs="Arial"/>
          <w:b/>
          <w:color w:val="000000" w:themeColor="text1"/>
          <w:sz w:val="24"/>
          <w:szCs w:val="24"/>
          <w:lang w:val="es-ES_tradnl"/>
        </w:rPr>
        <w:t xml:space="preserve"> de Decisión Laboral,</w:t>
      </w:r>
      <w:r w:rsidRPr="00BC3C0F">
        <w:rPr>
          <w:rFonts w:ascii="Arial" w:hAnsi="Arial" w:cs="Arial"/>
          <w:color w:val="000000" w:themeColor="text1"/>
          <w:sz w:val="24"/>
          <w:szCs w:val="24"/>
          <w:lang w:val="es-ES_tradnl"/>
        </w:rPr>
        <w:t xml:space="preserve"> administrando justicia en nombre de la República y por autoridad de la ley,</w:t>
      </w:r>
    </w:p>
    <w:p w14:paraId="7D6C6DC4" w14:textId="77777777" w:rsidR="00BF595B" w:rsidRPr="00CE7323" w:rsidRDefault="00BF595B" w:rsidP="00CE7323">
      <w:pPr>
        <w:spacing w:line="276" w:lineRule="auto"/>
        <w:contextualSpacing/>
        <w:rPr>
          <w:rFonts w:ascii="Arial" w:hAnsi="Arial" w:cs="Arial"/>
          <w:szCs w:val="24"/>
        </w:rPr>
      </w:pPr>
    </w:p>
    <w:p w14:paraId="43BBEE37" w14:textId="77777777" w:rsidR="00BF595B" w:rsidRPr="00BC3C0F" w:rsidRDefault="00BF595B" w:rsidP="00C10D52">
      <w:pPr>
        <w:contextualSpacing/>
        <w:jc w:val="center"/>
        <w:rPr>
          <w:rFonts w:ascii="Arial" w:hAnsi="Arial" w:cs="Arial"/>
          <w:b/>
          <w:color w:val="000000" w:themeColor="text1"/>
          <w:szCs w:val="24"/>
        </w:rPr>
      </w:pPr>
      <w:r w:rsidRPr="00BC3C0F">
        <w:rPr>
          <w:rFonts w:ascii="Arial" w:hAnsi="Arial" w:cs="Arial"/>
          <w:b/>
          <w:color w:val="000000" w:themeColor="text1"/>
          <w:szCs w:val="24"/>
        </w:rPr>
        <w:t>RESUELVE</w:t>
      </w:r>
    </w:p>
    <w:p w14:paraId="0383BA39" w14:textId="77777777" w:rsidR="002C5C7B" w:rsidRDefault="002C5C7B" w:rsidP="00BF595B">
      <w:pPr>
        <w:pStyle w:val="Sinespaciado"/>
        <w:tabs>
          <w:tab w:val="left" w:pos="3387"/>
        </w:tabs>
        <w:spacing w:line="276" w:lineRule="auto"/>
        <w:contextualSpacing/>
        <w:jc w:val="both"/>
        <w:rPr>
          <w:rFonts w:ascii="Arial" w:hAnsi="Arial" w:cs="Arial"/>
          <w:b/>
          <w:color w:val="000000" w:themeColor="text1"/>
          <w:sz w:val="24"/>
          <w:szCs w:val="24"/>
          <w:u w:val="single"/>
        </w:rPr>
      </w:pPr>
    </w:p>
    <w:p w14:paraId="1301FD46" w14:textId="4C1C2DF3" w:rsidR="00BF595B" w:rsidRDefault="00BF595B" w:rsidP="00BF595B">
      <w:pPr>
        <w:pStyle w:val="Sinespaciado"/>
        <w:tabs>
          <w:tab w:val="left" w:pos="3387"/>
        </w:tabs>
        <w:spacing w:line="276" w:lineRule="auto"/>
        <w:contextualSpacing/>
        <w:jc w:val="both"/>
        <w:rPr>
          <w:rFonts w:ascii="Arial" w:hAnsi="Arial" w:cs="Arial"/>
          <w:color w:val="000000" w:themeColor="text1"/>
          <w:sz w:val="24"/>
          <w:szCs w:val="24"/>
        </w:rPr>
      </w:pPr>
      <w:r w:rsidRPr="00BC3C0F">
        <w:rPr>
          <w:rFonts w:ascii="Arial" w:hAnsi="Arial" w:cs="Arial"/>
          <w:b/>
          <w:color w:val="000000" w:themeColor="text1"/>
          <w:sz w:val="24"/>
          <w:szCs w:val="24"/>
          <w:u w:val="single"/>
        </w:rPr>
        <w:t>PRIMERO</w:t>
      </w:r>
      <w:r w:rsidRPr="00BC3C0F">
        <w:rPr>
          <w:rFonts w:ascii="Arial" w:hAnsi="Arial" w:cs="Arial"/>
          <w:b/>
          <w:color w:val="000000" w:themeColor="text1"/>
          <w:sz w:val="24"/>
          <w:szCs w:val="24"/>
        </w:rPr>
        <w:t xml:space="preserve">: </w:t>
      </w:r>
      <w:r w:rsidR="00540BBF">
        <w:rPr>
          <w:rFonts w:ascii="Arial" w:hAnsi="Arial" w:cs="Arial"/>
          <w:b/>
          <w:color w:val="000000" w:themeColor="text1"/>
          <w:sz w:val="24"/>
          <w:szCs w:val="24"/>
        </w:rPr>
        <w:t>REVOCAR</w:t>
      </w:r>
      <w:r w:rsidRPr="00BC3C0F">
        <w:rPr>
          <w:rFonts w:ascii="Arial" w:hAnsi="Arial" w:cs="Arial"/>
          <w:b/>
          <w:color w:val="000000" w:themeColor="text1"/>
          <w:sz w:val="24"/>
          <w:szCs w:val="24"/>
        </w:rPr>
        <w:t xml:space="preserve"> </w:t>
      </w:r>
      <w:r w:rsidR="00CC0F06">
        <w:rPr>
          <w:rFonts w:ascii="Arial" w:hAnsi="Arial" w:cs="Arial"/>
          <w:color w:val="000000" w:themeColor="text1"/>
          <w:sz w:val="24"/>
          <w:szCs w:val="24"/>
        </w:rPr>
        <w:t xml:space="preserve">la sentencia proferida el </w:t>
      </w:r>
      <w:r w:rsidR="00540BBF">
        <w:rPr>
          <w:rFonts w:ascii="Arial" w:hAnsi="Arial" w:cs="Arial"/>
          <w:color w:val="000000" w:themeColor="text1"/>
          <w:sz w:val="24"/>
          <w:szCs w:val="24"/>
        </w:rPr>
        <w:t>28 de junio de 2018</w:t>
      </w:r>
      <w:r w:rsidR="00AD33A2" w:rsidRPr="00AD33A2">
        <w:rPr>
          <w:rFonts w:ascii="Arial" w:hAnsi="Arial" w:cs="Arial"/>
          <w:color w:val="000000" w:themeColor="text1"/>
          <w:sz w:val="24"/>
          <w:szCs w:val="24"/>
        </w:rPr>
        <w:t xml:space="preserve"> por el Juzgado Quinto Laboral del Circuito de Pereira, dentro del proceso promovido por </w:t>
      </w:r>
      <w:r w:rsidR="00540BBF">
        <w:rPr>
          <w:rFonts w:ascii="Arial" w:hAnsi="Arial" w:cs="Arial"/>
          <w:b/>
          <w:color w:val="000000" w:themeColor="text1"/>
          <w:sz w:val="24"/>
          <w:szCs w:val="24"/>
        </w:rPr>
        <w:t xml:space="preserve">María </w:t>
      </w:r>
      <w:proofErr w:type="spellStart"/>
      <w:r w:rsidR="00540BBF">
        <w:rPr>
          <w:rFonts w:ascii="Arial" w:hAnsi="Arial" w:cs="Arial"/>
          <w:b/>
          <w:color w:val="000000" w:themeColor="text1"/>
          <w:sz w:val="24"/>
          <w:szCs w:val="24"/>
        </w:rPr>
        <w:t>Yorladis</w:t>
      </w:r>
      <w:proofErr w:type="spellEnd"/>
      <w:r w:rsidR="00540BBF">
        <w:rPr>
          <w:rFonts w:ascii="Arial" w:hAnsi="Arial" w:cs="Arial"/>
          <w:b/>
          <w:color w:val="000000" w:themeColor="text1"/>
          <w:sz w:val="24"/>
          <w:szCs w:val="24"/>
        </w:rPr>
        <w:t xml:space="preserve"> Ramírez Agudelo</w:t>
      </w:r>
      <w:r w:rsidR="00AD33A2" w:rsidRPr="00AD33A2">
        <w:rPr>
          <w:rFonts w:ascii="Arial" w:hAnsi="Arial" w:cs="Arial"/>
          <w:color w:val="000000" w:themeColor="text1"/>
          <w:sz w:val="24"/>
          <w:szCs w:val="24"/>
        </w:rPr>
        <w:t xml:space="preserve"> en contra de la </w:t>
      </w:r>
      <w:r w:rsidR="00AD33A2" w:rsidRPr="00AD33A2">
        <w:rPr>
          <w:rFonts w:ascii="Arial" w:hAnsi="Arial" w:cs="Arial"/>
          <w:b/>
          <w:color w:val="000000" w:themeColor="text1"/>
          <w:sz w:val="24"/>
          <w:szCs w:val="24"/>
        </w:rPr>
        <w:t>Administradora Colombiana de Pensiones COLPENSIONES</w:t>
      </w:r>
      <w:r w:rsidR="00540BBF">
        <w:rPr>
          <w:rFonts w:ascii="Arial" w:hAnsi="Arial" w:cs="Arial"/>
          <w:color w:val="000000" w:themeColor="text1"/>
          <w:sz w:val="24"/>
          <w:szCs w:val="24"/>
        </w:rPr>
        <w:t>,</w:t>
      </w:r>
      <w:r w:rsidR="00AD33A2" w:rsidRPr="00AD33A2">
        <w:rPr>
          <w:rFonts w:ascii="Arial" w:hAnsi="Arial" w:cs="Arial"/>
          <w:color w:val="000000" w:themeColor="text1"/>
          <w:sz w:val="24"/>
          <w:szCs w:val="24"/>
        </w:rPr>
        <w:t xml:space="preserve"> </w:t>
      </w:r>
      <w:r w:rsidR="00AD33A2" w:rsidRPr="00AD33A2">
        <w:rPr>
          <w:rFonts w:ascii="Arial" w:hAnsi="Arial" w:cs="Arial"/>
          <w:b/>
          <w:color w:val="000000" w:themeColor="text1"/>
          <w:sz w:val="24"/>
          <w:szCs w:val="24"/>
        </w:rPr>
        <w:t>P</w:t>
      </w:r>
      <w:r w:rsidR="00540BBF">
        <w:rPr>
          <w:rFonts w:ascii="Arial" w:hAnsi="Arial" w:cs="Arial"/>
          <w:b/>
          <w:color w:val="000000" w:themeColor="text1"/>
          <w:sz w:val="24"/>
          <w:szCs w:val="24"/>
        </w:rPr>
        <w:t>orvenir</w:t>
      </w:r>
      <w:r w:rsidR="00AD33A2" w:rsidRPr="00AD33A2">
        <w:rPr>
          <w:rFonts w:ascii="Arial" w:hAnsi="Arial" w:cs="Arial"/>
          <w:b/>
          <w:color w:val="000000" w:themeColor="text1"/>
          <w:sz w:val="24"/>
          <w:szCs w:val="24"/>
        </w:rPr>
        <w:t xml:space="preserve"> S.A.</w:t>
      </w:r>
      <w:r w:rsidR="00540BBF">
        <w:rPr>
          <w:rFonts w:ascii="Arial" w:hAnsi="Arial" w:cs="Arial"/>
          <w:b/>
          <w:color w:val="000000" w:themeColor="text1"/>
          <w:sz w:val="24"/>
          <w:szCs w:val="24"/>
        </w:rPr>
        <w:t xml:space="preserve"> y Colfondos S.A.</w:t>
      </w:r>
      <w:r w:rsidR="00AD33A2" w:rsidRPr="00AD33A2">
        <w:rPr>
          <w:rFonts w:ascii="Arial" w:hAnsi="Arial" w:cs="Arial"/>
          <w:b/>
          <w:color w:val="000000" w:themeColor="text1"/>
          <w:sz w:val="24"/>
          <w:szCs w:val="24"/>
        </w:rPr>
        <w:t>,</w:t>
      </w:r>
      <w:r w:rsidR="00AD33A2">
        <w:rPr>
          <w:rFonts w:ascii="Arial" w:hAnsi="Arial" w:cs="Arial"/>
          <w:b/>
          <w:bCs/>
          <w:szCs w:val="24"/>
        </w:rPr>
        <w:t xml:space="preserve"> </w:t>
      </w:r>
      <w:r w:rsidR="00AE66CC">
        <w:rPr>
          <w:rFonts w:ascii="Arial" w:hAnsi="Arial" w:cs="Arial"/>
          <w:color w:val="000000" w:themeColor="text1"/>
          <w:sz w:val="24"/>
          <w:szCs w:val="24"/>
        </w:rPr>
        <w:t>para en su lugar absolverlas de las pretensiones elevadas en su contra.</w:t>
      </w:r>
    </w:p>
    <w:p w14:paraId="154F3822" w14:textId="77777777" w:rsidR="00540BBF" w:rsidRPr="00BC3C0F" w:rsidRDefault="00540BBF" w:rsidP="00BF595B">
      <w:pPr>
        <w:pStyle w:val="Sinespaciado"/>
        <w:tabs>
          <w:tab w:val="left" w:pos="3387"/>
        </w:tabs>
        <w:spacing w:line="276" w:lineRule="auto"/>
        <w:contextualSpacing/>
        <w:jc w:val="both"/>
        <w:rPr>
          <w:rFonts w:ascii="Arial" w:hAnsi="Arial" w:cs="Arial"/>
          <w:color w:val="000000" w:themeColor="text1"/>
          <w:sz w:val="24"/>
          <w:szCs w:val="24"/>
        </w:rPr>
      </w:pPr>
    </w:p>
    <w:p w14:paraId="0C95D9A0" w14:textId="5F4BD652" w:rsidR="00BF595B" w:rsidRPr="00BC3C0F" w:rsidRDefault="00BF595B" w:rsidP="00BF595B">
      <w:pPr>
        <w:shd w:val="clear" w:color="auto" w:fill="FFFFFF"/>
        <w:tabs>
          <w:tab w:val="left" w:pos="5197"/>
        </w:tabs>
        <w:spacing w:line="276" w:lineRule="auto"/>
        <w:contextualSpacing/>
        <w:jc w:val="both"/>
        <w:rPr>
          <w:rFonts w:ascii="Arial" w:hAnsi="Arial" w:cs="Arial"/>
          <w:color w:val="000000" w:themeColor="text1"/>
          <w:szCs w:val="24"/>
        </w:rPr>
      </w:pPr>
      <w:r w:rsidRPr="00BC3C0F">
        <w:rPr>
          <w:rFonts w:ascii="Arial" w:hAnsi="Arial" w:cs="Arial"/>
          <w:b/>
          <w:color w:val="000000" w:themeColor="text1"/>
          <w:szCs w:val="24"/>
          <w:u w:val="single"/>
        </w:rPr>
        <w:t>SEGUNDO:</w:t>
      </w:r>
      <w:r w:rsidRPr="00BC3C0F">
        <w:rPr>
          <w:rFonts w:ascii="Arial" w:hAnsi="Arial" w:cs="Arial"/>
          <w:color w:val="000000" w:themeColor="text1"/>
          <w:szCs w:val="24"/>
        </w:rPr>
        <w:t xml:space="preserve"> </w:t>
      </w:r>
      <w:r w:rsidR="00AD33A2">
        <w:rPr>
          <w:rFonts w:ascii="Arial" w:hAnsi="Arial" w:cs="Arial"/>
          <w:color w:val="000000" w:themeColor="text1"/>
          <w:szCs w:val="24"/>
        </w:rPr>
        <w:t xml:space="preserve">Costas </w:t>
      </w:r>
      <w:r w:rsidR="00540BBF">
        <w:rPr>
          <w:rFonts w:ascii="Arial" w:hAnsi="Arial" w:cs="Arial"/>
          <w:color w:val="000000" w:themeColor="text1"/>
          <w:szCs w:val="24"/>
        </w:rPr>
        <w:t>en ambas instancias</w:t>
      </w:r>
      <w:r w:rsidR="00AD33A2">
        <w:rPr>
          <w:rFonts w:ascii="Arial" w:hAnsi="Arial" w:cs="Arial"/>
          <w:color w:val="000000" w:themeColor="text1"/>
          <w:szCs w:val="24"/>
        </w:rPr>
        <w:t xml:space="preserve"> a cargo de la demandante y a favor de las demandadas</w:t>
      </w:r>
      <w:r w:rsidR="00540BBF">
        <w:rPr>
          <w:rFonts w:ascii="Arial" w:hAnsi="Arial" w:cs="Arial"/>
          <w:color w:val="000000" w:themeColor="text1"/>
          <w:szCs w:val="24"/>
        </w:rPr>
        <w:t xml:space="preserve"> por partes iguales</w:t>
      </w:r>
      <w:r w:rsidRPr="00BC3C0F">
        <w:rPr>
          <w:rFonts w:ascii="Arial" w:hAnsi="Arial" w:cs="Arial"/>
          <w:color w:val="000000" w:themeColor="text1"/>
          <w:szCs w:val="24"/>
        </w:rPr>
        <w:t>.</w:t>
      </w:r>
    </w:p>
    <w:p w14:paraId="0DBF6B4A" w14:textId="77777777" w:rsidR="002C5C7B" w:rsidRDefault="002C5C7B" w:rsidP="00C10D52">
      <w:pPr>
        <w:contextualSpacing/>
        <w:jc w:val="both"/>
        <w:rPr>
          <w:rFonts w:ascii="Arial" w:hAnsi="Arial" w:cs="Arial"/>
          <w:color w:val="000000" w:themeColor="text1"/>
          <w:szCs w:val="24"/>
        </w:rPr>
      </w:pPr>
    </w:p>
    <w:p w14:paraId="566AF84D" w14:textId="77777777" w:rsidR="00BF595B" w:rsidRPr="00BC3C0F" w:rsidRDefault="00BF595B" w:rsidP="00C10D52">
      <w:pPr>
        <w:contextualSpacing/>
        <w:jc w:val="both"/>
        <w:rPr>
          <w:rFonts w:ascii="Arial" w:hAnsi="Arial" w:cs="Arial"/>
          <w:color w:val="000000" w:themeColor="text1"/>
          <w:szCs w:val="24"/>
        </w:rPr>
      </w:pPr>
      <w:r w:rsidRPr="00BC3C0F">
        <w:rPr>
          <w:rFonts w:ascii="Arial" w:hAnsi="Arial" w:cs="Arial"/>
          <w:color w:val="000000" w:themeColor="text1"/>
          <w:szCs w:val="24"/>
        </w:rPr>
        <w:t>Notificación surtida en estrados.</w:t>
      </w:r>
    </w:p>
    <w:p w14:paraId="185EF3E6" w14:textId="77777777" w:rsidR="002C5C7B" w:rsidRDefault="002C5C7B" w:rsidP="00BF595B">
      <w:pPr>
        <w:pStyle w:val="Textoindependiente"/>
        <w:spacing w:line="276" w:lineRule="auto"/>
        <w:contextualSpacing/>
        <w:rPr>
          <w:color w:val="000000" w:themeColor="text1"/>
          <w:szCs w:val="24"/>
        </w:rPr>
      </w:pPr>
    </w:p>
    <w:p w14:paraId="6EBD15FD" w14:textId="77777777" w:rsidR="00BF595B" w:rsidRPr="00BC3C0F" w:rsidRDefault="00BF595B" w:rsidP="00BF595B">
      <w:pPr>
        <w:pStyle w:val="Textoindependiente"/>
        <w:spacing w:line="276" w:lineRule="auto"/>
        <w:contextualSpacing/>
        <w:rPr>
          <w:color w:val="000000" w:themeColor="text1"/>
          <w:szCs w:val="24"/>
        </w:rPr>
      </w:pPr>
      <w:r w:rsidRPr="00BC3C0F">
        <w:rPr>
          <w:color w:val="000000" w:themeColor="text1"/>
          <w:szCs w:val="24"/>
        </w:rPr>
        <w:t>No siendo otro el objeto de la presente audiencia, se eleva y firma esta acta por las personas que han intervenido.</w:t>
      </w:r>
    </w:p>
    <w:p w14:paraId="67017861" w14:textId="77777777" w:rsidR="00BF595B" w:rsidRPr="00BC3C0F" w:rsidRDefault="00BF595B" w:rsidP="00C10D52">
      <w:pPr>
        <w:widowControl w:val="0"/>
        <w:autoSpaceDE w:val="0"/>
        <w:autoSpaceDN w:val="0"/>
        <w:adjustRightInd w:val="0"/>
        <w:contextualSpacing/>
        <w:jc w:val="both"/>
        <w:rPr>
          <w:rFonts w:ascii="Arial" w:hAnsi="Arial" w:cs="Arial"/>
          <w:color w:val="000000" w:themeColor="text1"/>
          <w:szCs w:val="24"/>
        </w:rPr>
      </w:pPr>
    </w:p>
    <w:p w14:paraId="3E74099D" w14:textId="77777777" w:rsidR="00BF595B" w:rsidRPr="00BC3C0F" w:rsidRDefault="00BF595B" w:rsidP="00C10D52">
      <w:pPr>
        <w:widowControl w:val="0"/>
        <w:autoSpaceDE w:val="0"/>
        <w:autoSpaceDN w:val="0"/>
        <w:adjustRightInd w:val="0"/>
        <w:contextualSpacing/>
        <w:jc w:val="both"/>
        <w:rPr>
          <w:rFonts w:ascii="Arial" w:hAnsi="Arial" w:cs="Arial"/>
          <w:color w:val="000000" w:themeColor="text1"/>
          <w:szCs w:val="24"/>
        </w:rPr>
      </w:pPr>
      <w:r w:rsidRPr="00BC3C0F">
        <w:rPr>
          <w:rFonts w:ascii="Arial" w:hAnsi="Arial" w:cs="Arial"/>
          <w:color w:val="000000" w:themeColor="text1"/>
          <w:szCs w:val="24"/>
        </w:rPr>
        <w:t>Quienes integran la Sala,</w:t>
      </w:r>
    </w:p>
    <w:p w14:paraId="04A1A6DA" w14:textId="77777777" w:rsidR="00BF595B" w:rsidRPr="00BC3C0F" w:rsidRDefault="00BF595B" w:rsidP="00BF595B">
      <w:pPr>
        <w:pStyle w:val="Sinespaciado"/>
        <w:tabs>
          <w:tab w:val="left" w:pos="3387"/>
        </w:tabs>
        <w:spacing w:line="276" w:lineRule="auto"/>
        <w:contextualSpacing/>
        <w:jc w:val="both"/>
        <w:rPr>
          <w:rFonts w:ascii="Arial" w:hAnsi="Arial" w:cs="Arial"/>
          <w:color w:val="000000" w:themeColor="text1"/>
          <w:sz w:val="24"/>
          <w:szCs w:val="24"/>
        </w:rPr>
      </w:pPr>
    </w:p>
    <w:p w14:paraId="0BE98A55" w14:textId="77777777" w:rsidR="00BF595B" w:rsidRDefault="00BF595B" w:rsidP="00BF595B">
      <w:pPr>
        <w:ind w:right="333"/>
        <w:contextualSpacing/>
        <w:jc w:val="both"/>
        <w:rPr>
          <w:rFonts w:ascii="Arial" w:eastAsiaTheme="minorHAnsi" w:hAnsi="Arial" w:cs="Arial"/>
          <w:iCs/>
          <w:szCs w:val="24"/>
        </w:rPr>
      </w:pPr>
    </w:p>
    <w:p w14:paraId="4F41740C" w14:textId="77777777" w:rsidR="00574D01" w:rsidRPr="00BC3C0F" w:rsidRDefault="00574D01" w:rsidP="00BF595B">
      <w:pPr>
        <w:ind w:right="333"/>
        <w:contextualSpacing/>
        <w:jc w:val="both"/>
        <w:rPr>
          <w:rFonts w:ascii="Arial" w:eastAsiaTheme="minorHAnsi" w:hAnsi="Arial" w:cs="Arial"/>
          <w:iCs/>
          <w:szCs w:val="24"/>
        </w:rPr>
      </w:pPr>
    </w:p>
    <w:p w14:paraId="196C8B9D" w14:textId="77777777" w:rsidR="00BF595B" w:rsidRPr="00BC3C0F" w:rsidRDefault="00BF595B" w:rsidP="00BF595B">
      <w:pPr>
        <w:pStyle w:val="Sinespaciado"/>
        <w:spacing w:line="276" w:lineRule="auto"/>
        <w:contextualSpacing/>
        <w:jc w:val="center"/>
        <w:rPr>
          <w:rFonts w:ascii="Arial" w:hAnsi="Arial" w:cs="Arial"/>
          <w:b/>
          <w:color w:val="000000" w:themeColor="text1"/>
          <w:sz w:val="24"/>
          <w:szCs w:val="24"/>
        </w:rPr>
      </w:pPr>
      <w:r w:rsidRPr="00BC3C0F">
        <w:rPr>
          <w:rFonts w:ascii="Arial" w:hAnsi="Arial" w:cs="Arial"/>
          <w:b/>
          <w:color w:val="000000" w:themeColor="text1"/>
          <w:sz w:val="24"/>
          <w:szCs w:val="24"/>
        </w:rPr>
        <w:t>OLGA LUCÍA HOYOS SEPÚLVEDA</w:t>
      </w:r>
    </w:p>
    <w:p w14:paraId="63CFFD34" w14:textId="5FE2E5F9" w:rsidR="00BF595B" w:rsidRPr="00BC3C0F" w:rsidRDefault="00BF595B" w:rsidP="00BF595B">
      <w:pPr>
        <w:pStyle w:val="Sinespaciado"/>
        <w:spacing w:line="276" w:lineRule="auto"/>
        <w:contextualSpacing/>
        <w:jc w:val="center"/>
        <w:rPr>
          <w:rFonts w:ascii="Arial" w:hAnsi="Arial" w:cs="Arial"/>
          <w:color w:val="000000" w:themeColor="text1"/>
          <w:sz w:val="24"/>
          <w:szCs w:val="24"/>
        </w:rPr>
      </w:pPr>
      <w:r w:rsidRPr="00BC3C0F">
        <w:rPr>
          <w:rFonts w:ascii="Arial" w:hAnsi="Arial" w:cs="Arial"/>
          <w:color w:val="000000" w:themeColor="text1"/>
          <w:sz w:val="24"/>
          <w:szCs w:val="24"/>
        </w:rPr>
        <w:t>Magistrada Ponente</w:t>
      </w:r>
    </w:p>
    <w:p w14:paraId="3D3190A7" w14:textId="77777777" w:rsidR="00BF595B" w:rsidRDefault="00BF595B" w:rsidP="00BF595B">
      <w:pPr>
        <w:pStyle w:val="Sinespaciado"/>
        <w:spacing w:line="276" w:lineRule="auto"/>
        <w:contextualSpacing/>
        <w:jc w:val="center"/>
        <w:rPr>
          <w:rFonts w:ascii="Arial" w:hAnsi="Arial" w:cs="Arial"/>
          <w:color w:val="000000" w:themeColor="text1"/>
          <w:sz w:val="24"/>
          <w:szCs w:val="24"/>
        </w:rPr>
      </w:pPr>
    </w:p>
    <w:p w14:paraId="4B1DBF51" w14:textId="77777777" w:rsidR="00574D01" w:rsidRDefault="00574D01" w:rsidP="00BF595B">
      <w:pPr>
        <w:pStyle w:val="Sinespaciado"/>
        <w:spacing w:line="276" w:lineRule="auto"/>
        <w:contextualSpacing/>
        <w:jc w:val="center"/>
        <w:rPr>
          <w:rFonts w:ascii="Arial" w:hAnsi="Arial" w:cs="Arial"/>
          <w:color w:val="000000" w:themeColor="text1"/>
          <w:sz w:val="24"/>
          <w:szCs w:val="24"/>
        </w:rPr>
      </w:pPr>
    </w:p>
    <w:p w14:paraId="5F84DE76" w14:textId="5B151852" w:rsidR="00C10D52" w:rsidRDefault="009C75C4" w:rsidP="009C75C4">
      <w:pPr>
        <w:pStyle w:val="Sinespaciado"/>
        <w:tabs>
          <w:tab w:val="left" w:pos="6060"/>
        </w:tabs>
        <w:spacing w:line="276"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00540BBF">
        <w:rPr>
          <w:rFonts w:ascii="Arial" w:hAnsi="Arial" w:cs="Arial"/>
          <w:color w:val="000000" w:themeColor="text1"/>
          <w:sz w:val="24"/>
          <w:szCs w:val="24"/>
        </w:rPr>
        <w:t xml:space="preserve">                               </w:t>
      </w:r>
    </w:p>
    <w:p w14:paraId="31872B90" w14:textId="4E3250CF" w:rsidR="00BF595B" w:rsidRPr="00BC3C0F" w:rsidRDefault="00BF595B" w:rsidP="00BF595B">
      <w:pPr>
        <w:spacing w:line="276" w:lineRule="auto"/>
        <w:contextualSpacing/>
        <w:jc w:val="both"/>
        <w:rPr>
          <w:rFonts w:ascii="Arial" w:hAnsi="Arial" w:cs="Arial"/>
          <w:b/>
          <w:color w:val="000000" w:themeColor="text1"/>
          <w:sz w:val="23"/>
          <w:szCs w:val="23"/>
        </w:rPr>
      </w:pPr>
      <w:r w:rsidRPr="00BC3C0F">
        <w:rPr>
          <w:rFonts w:ascii="Arial" w:hAnsi="Arial" w:cs="Arial"/>
          <w:b/>
          <w:bCs/>
          <w:iCs/>
          <w:color w:val="000000" w:themeColor="text1"/>
          <w:sz w:val="23"/>
          <w:szCs w:val="23"/>
        </w:rPr>
        <w:t>JULIO CÉSAR SALAZAR MUÑOZ</w:t>
      </w:r>
      <w:r w:rsidRPr="00BC3C0F">
        <w:rPr>
          <w:rFonts w:ascii="Arial" w:hAnsi="Arial" w:cs="Arial"/>
          <w:b/>
          <w:bCs/>
          <w:iCs/>
          <w:color w:val="000000" w:themeColor="text1"/>
          <w:sz w:val="23"/>
          <w:szCs w:val="23"/>
        </w:rPr>
        <w:tab/>
      </w:r>
      <w:r w:rsidR="00CE7323">
        <w:rPr>
          <w:rFonts w:ascii="Arial" w:hAnsi="Arial" w:cs="Arial"/>
          <w:b/>
          <w:bCs/>
          <w:iCs/>
          <w:color w:val="000000" w:themeColor="text1"/>
          <w:sz w:val="23"/>
          <w:szCs w:val="23"/>
        </w:rPr>
        <w:t xml:space="preserve">   </w:t>
      </w:r>
      <w:r w:rsidR="00AD33A2">
        <w:rPr>
          <w:rFonts w:ascii="Arial" w:hAnsi="Arial" w:cs="Arial"/>
          <w:b/>
          <w:bCs/>
          <w:iCs/>
          <w:color w:val="000000" w:themeColor="text1"/>
          <w:sz w:val="23"/>
          <w:szCs w:val="23"/>
        </w:rPr>
        <w:t xml:space="preserve"> </w:t>
      </w:r>
      <w:r w:rsidR="00AD33A2">
        <w:rPr>
          <w:rFonts w:ascii="Arial" w:hAnsi="Arial" w:cs="Arial"/>
          <w:b/>
          <w:color w:val="000000" w:themeColor="text1"/>
          <w:sz w:val="23"/>
          <w:szCs w:val="23"/>
        </w:rPr>
        <w:t>FRANCISCO JAVIER TAMAYO TABARES</w:t>
      </w:r>
    </w:p>
    <w:p w14:paraId="54A05029" w14:textId="29D2C292" w:rsidR="00BF595B" w:rsidRDefault="00BF595B" w:rsidP="00394D80">
      <w:pPr>
        <w:spacing w:line="276" w:lineRule="auto"/>
        <w:contextualSpacing/>
        <w:jc w:val="both"/>
        <w:rPr>
          <w:rFonts w:ascii="Arial" w:hAnsi="Arial" w:cs="Arial"/>
          <w:color w:val="000000" w:themeColor="text1"/>
          <w:sz w:val="23"/>
          <w:szCs w:val="23"/>
        </w:rPr>
      </w:pPr>
      <w:r w:rsidRPr="00BC3C0F">
        <w:rPr>
          <w:rFonts w:ascii="Arial" w:hAnsi="Arial" w:cs="Arial"/>
          <w:b/>
          <w:color w:val="000000" w:themeColor="text1"/>
          <w:sz w:val="23"/>
          <w:szCs w:val="23"/>
        </w:rPr>
        <w:tab/>
      </w:r>
      <w:r w:rsidRPr="00BC3C0F">
        <w:rPr>
          <w:rFonts w:ascii="Arial" w:hAnsi="Arial" w:cs="Arial"/>
          <w:color w:val="000000" w:themeColor="text1"/>
          <w:sz w:val="23"/>
          <w:szCs w:val="23"/>
        </w:rPr>
        <w:tab/>
        <w:t>Magistrado</w:t>
      </w:r>
      <w:r w:rsidRPr="00BC3C0F">
        <w:rPr>
          <w:rFonts w:ascii="Arial" w:hAnsi="Arial" w:cs="Arial"/>
          <w:color w:val="000000" w:themeColor="text1"/>
          <w:sz w:val="23"/>
          <w:szCs w:val="23"/>
        </w:rPr>
        <w:tab/>
      </w:r>
      <w:r w:rsidRPr="00BC3C0F">
        <w:rPr>
          <w:rFonts w:ascii="Arial" w:hAnsi="Arial" w:cs="Arial"/>
          <w:b/>
          <w:color w:val="000000" w:themeColor="text1"/>
          <w:sz w:val="23"/>
          <w:szCs w:val="23"/>
        </w:rPr>
        <w:tab/>
      </w:r>
      <w:r w:rsidRPr="00BC3C0F">
        <w:rPr>
          <w:rFonts w:ascii="Arial" w:hAnsi="Arial" w:cs="Arial"/>
          <w:b/>
          <w:color w:val="000000" w:themeColor="text1"/>
          <w:sz w:val="23"/>
          <w:szCs w:val="23"/>
        </w:rPr>
        <w:tab/>
      </w:r>
      <w:r w:rsidRPr="00BC3C0F">
        <w:rPr>
          <w:rFonts w:ascii="Arial" w:hAnsi="Arial" w:cs="Arial"/>
          <w:b/>
          <w:color w:val="000000" w:themeColor="text1"/>
          <w:sz w:val="23"/>
          <w:szCs w:val="23"/>
        </w:rPr>
        <w:tab/>
      </w:r>
      <w:r w:rsidRPr="00BC3C0F">
        <w:rPr>
          <w:rFonts w:ascii="Arial" w:hAnsi="Arial" w:cs="Arial"/>
          <w:b/>
          <w:color w:val="000000" w:themeColor="text1"/>
          <w:sz w:val="23"/>
          <w:szCs w:val="23"/>
        </w:rPr>
        <w:tab/>
      </w:r>
      <w:r w:rsidR="004B0F94" w:rsidRPr="00BC3C0F">
        <w:rPr>
          <w:rFonts w:ascii="Arial" w:hAnsi="Arial" w:cs="Arial"/>
          <w:b/>
          <w:color w:val="000000" w:themeColor="text1"/>
          <w:sz w:val="23"/>
          <w:szCs w:val="23"/>
        </w:rPr>
        <w:t xml:space="preserve">      </w:t>
      </w:r>
      <w:proofErr w:type="spellStart"/>
      <w:r w:rsidR="00AD33A2">
        <w:rPr>
          <w:rFonts w:ascii="Arial" w:hAnsi="Arial" w:cs="Arial"/>
          <w:color w:val="000000" w:themeColor="text1"/>
          <w:sz w:val="23"/>
          <w:szCs w:val="23"/>
        </w:rPr>
        <w:t>Magistrado</w:t>
      </w:r>
      <w:proofErr w:type="spellEnd"/>
    </w:p>
    <w:p w14:paraId="7C133E86" w14:textId="77777777" w:rsidR="009135FC" w:rsidRDefault="009135FC">
      <w:pPr>
        <w:spacing w:after="160" w:line="259" w:lineRule="auto"/>
        <w:rPr>
          <w:rFonts w:ascii="Arial" w:hAnsi="Arial" w:cs="Arial"/>
          <w:color w:val="000000" w:themeColor="text1"/>
          <w:sz w:val="23"/>
          <w:szCs w:val="23"/>
        </w:rPr>
      </w:pPr>
    </w:p>
    <w:p w14:paraId="338D4B23" w14:textId="4E884233" w:rsidR="009135FC" w:rsidRDefault="009135FC">
      <w:pPr>
        <w:spacing w:after="160" w:line="259" w:lineRule="auto"/>
        <w:rPr>
          <w:rFonts w:ascii="Arial" w:hAnsi="Arial" w:cs="Arial"/>
          <w:color w:val="000000" w:themeColor="text1"/>
          <w:sz w:val="23"/>
          <w:szCs w:val="23"/>
        </w:rPr>
      </w:pPr>
      <w:r>
        <w:rPr>
          <w:rFonts w:ascii="Arial" w:hAnsi="Arial" w:cs="Arial"/>
          <w:color w:val="000000" w:themeColor="text1"/>
          <w:sz w:val="23"/>
          <w:szCs w:val="23"/>
        </w:rPr>
        <w:br w:type="page"/>
      </w:r>
    </w:p>
    <w:p w14:paraId="33C6E828" w14:textId="0E5DB587" w:rsidR="009135FC" w:rsidRPr="009135FC" w:rsidRDefault="009135FC" w:rsidP="009135FC">
      <w:pPr>
        <w:contextualSpacing/>
        <w:jc w:val="both"/>
        <w:rPr>
          <w:rFonts w:ascii="Arial" w:hAnsi="Arial" w:cs="Arial"/>
          <w:bCs/>
          <w:color w:val="000000" w:themeColor="text1"/>
          <w:sz w:val="20"/>
          <w:szCs w:val="23"/>
          <w:lang w:val="es-CO"/>
        </w:rPr>
      </w:pPr>
      <w:r w:rsidRPr="009135FC">
        <w:rPr>
          <w:rFonts w:ascii="Arial" w:hAnsi="Arial" w:cs="Arial"/>
          <w:color w:val="000000" w:themeColor="text1"/>
          <w:sz w:val="20"/>
          <w:szCs w:val="23"/>
          <w:lang w:val="es-ES"/>
        </w:rPr>
        <w:lastRenderedPageBreak/>
        <w:t>Radicación Nro.</w:t>
      </w:r>
      <w:r>
        <w:rPr>
          <w:rFonts w:ascii="Arial" w:hAnsi="Arial" w:cs="Arial"/>
          <w:color w:val="000000" w:themeColor="text1"/>
          <w:sz w:val="20"/>
          <w:szCs w:val="23"/>
          <w:lang w:val="es-ES"/>
        </w:rPr>
        <w:t>:</w:t>
      </w:r>
      <w:r w:rsidRPr="009135FC">
        <w:rPr>
          <w:rFonts w:ascii="Arial" w:hAnsi="Arial" w:cs="Arial"/>
          <w:color w:val="000000" w:themeColor="text1"/>
          <w:sz w:val="20"/>
          <w:szCs w:val="23"/>
          <w:lang w:val="es-ES"/>
        </w:rPr>
        <w:tab/>
      </w:r>
      <w:r w:rsidRPr="009135FC">
        <w:rPr>
          <w:rFonts w:ascii="Arial" w:hAnsi="Arial" w:cs="Arial"/>
          <w:bCs/>
          <w:color w:val="000000" w:themeColor="text1"/>
          <w:sz w:val="20"/>
          <w:szCs w:val="23"/>
          <w:lang w:val="es-CO"/>
        </w:rPr>
        <w:t>Rad. 66001-31-05-005-2016-00218-01</w:t>
      </w:r>
    </w:p>
    <w:p w14:paraId="70C51A86" w14:textId="0EFD76A9" w:rsidR="009135FC" w:rsidRPr="009135FC" w:rsidRDefault="009135FC" w:rsidP="009135FC">
      <w:pPr>
        <w:contextualSpacing/>
        <w:jc w:val="both"/>
        <w:rPr>
          <w:rFonts w:ascii="Arial" w:hAnsi="Arial" w:cs="Arial"/>
          <w:color w:val="000000" w:themeColor="text1"/>
          <w:sz w:val="20"/>
          <w:szCs w:val="23"/>
          <w:lang w:val="es-ES"/>
        </w:rPr>
      </w:pPr>
      <w:r w:rsidRPr="009135FC">
        <w:rPr>
          <w:rFonts w:ascii="Arial" w:hAnsi="Arial" w:cs="Arial"/>
          <w:color w:val="000000" w:themeColor="text1"/>
          <w:sz w:val="20"/>
          <w:szCs w:val="23"/>
          <w:lang w:val="es-ES"/>
        </w:rPr>
        <w:t>Proceso</w:t>
      </w:r>
      <w:r>
        <w:rPr>
          <w:rFonts w:ascii="Arial" w:hAnsi="Arial" w:cs="Arial"/>
          <w:color w:val="000000" w:themeColor="text1"/>
          <w:sz w:val="20"/>
          <w:szCs w:val="23"/>
          <w:lang w:val="es-ES"/>
        </w:rPr>
        <w:t>:</w:t>
      </w:r>
      <w:r w:rsidRPr="009135FC">
        <w:rPr>
          <w:rFonts w:ascii="Arial" w:hAnsi="Arial" w:cs="Arial"/>
          <w:color w:val="000000" w:themeColor="text1"/>
          <w:sz w:val="20"/>
          <w:szCs w:val="23"/>
          <w:lang w:val="es-ES"/>
        </w:rPr>
        <w:tab/>
      </w:r>
      <w:r w:rsidRPr="009135FC">
        <w:rPr>
          <w:rFonts w:ascii="Arial" w:hAnsi="Arial" w:cs="Arial"/>
          <w:color w:val="000000" w:themeColor="text1"/>
          <w:sz w:val="20"/>
          <w:szCs w:val="23"/>
          <w:lang w:val="es-ES"/>
        </w:rPr>
        <w:tab/>
        <w:t>Ordinario Laboral</w:t>
      </w:r>
    </w:p>
    <w:p w14:paraId="54977845" w14:textId="2CBDF49B" w:rsidR="009135FC" w:rsidRPr="009135FC" w:rsidRDefault="009135FC" w:rsidP="009135FC">
      <w:pPr>
        <w:contextualSpacing/>
        <w:jc w:val="both"/>
        <w:rPr>
          <w:rFonts w:ascii="Arial" w:hAnsi="Arial" w:cs="Arial"/>
          <w:color w:val="000000" w:themeColor="text1"/>
          <w:sz w:val="20"/>
          <w:szCs w:val="23"/>
          <w:lang w:val="es-ES"/>
        </w:rPr>
      </w:pPr>
      <w:r w:rsidRPr="009135FC">
        <w:rPr>
          <w:rFonts w:ascii="Arial" w:hAnsi="Arial" w:cs="Arial"/>
          <w:color w:val="000000" w:themeColor="text1"/>
          <w:sz w:val="20"/>
          <w:szCs w:val="23"/>
          <w:lang w:val="es-ES"/>
        </w:rPr>
        <w:t>Demandante:</w:t>
      </w:r>
      <w:r w:rsidRPr="009135FC">
        <w:rPr>
          <w:rFonts w:ascii="Arial" w:hAnsi="Arial" w:cs="Arial"/>
          <w:color w:val="000000" w:themeColor="text1"/>
          <w:sz w:val="20"/>
          <w:szCs w:val="23"/>
          <w:lang w:val="es-ES"/>
        </w:rPr>
        <w:tab/>
      </w:r>
      <w:r w:rsidRPr="009135FC">
        <w:rPr>
          <w:rFonts w:ascii="Arial" w:hAnsi="Arial" w:cs="Arial"/>
          <w:color w:val="000000" w:themeColor="text1"/>
          <w:sz w:val="20"/>
          <w:szCs w:val="23"/>
          <w:lang w:val="es-ES"/>
        </w:rPr>
        <w:tab/>
      </w:r>
      <w:r w:rsidRPr="009135FC">
        <w:rPr>
          <w:rFonts w:ascii="Arial" w:hAnsi="Arial" w:cs="Arial"/>
          <w:bCs/>
          <w:color w:val="000000" w:themeColor="text1"/>
          <w:sz w:val="20"/>
          <w:szCs w:val="23"/>
          <w:lang w:val="es-CO"/>
        </w:rPr>
        <w:t xml:space="preserve">María </w:t>
      </w:r>
      <w:proofErr w:type="spellStart"/>
      <w:r w:rsidRPr="009135FC">
        <w:rPr>
          <w:rFonts w:ascii="Arial" w:hAnsi="Arial" w:cs="Arial"/>
          <w:bCs/>
          <w:color w:val="000000" w:themeColor="text1"/>
          <w:sz w:val="20"/>
          <w:szCs w:val="23"/>
          <w:lang w:val="es-CO"/>
        </w:rPr>
        <w:t>Yorladys</w:t>
      </w:r>
      <w:proofErr w:type="spellEnd"/>
      <w:r w:rsidRPr="009135FC">
        <w:rPr>
          <w:rFonts w:ascii="Arial" w:hAnsi="Arial" w:cs="Arial"/>
          <w:bCs/>
          <w:color w:val="000000" w:themeColor="text1"/>
          <w:sz w:val="20"/>
          <w:szCs w:val="23"/>
          <w:lang w:val="es-CO"/>
        </w:rPr>
        <w:t xml:space="preserve"> Ramírez Agudelo </w:t>
      </w:r>
    </w:p>
    <w:p w14:paraId="51EDD6FE" w14:textId="67343275" w:rsidR="009135FC" w:rsidRPr="009135FC" w:rsidRDefault="009135FC" w:rsidP="009135FC">
      <w:pPr>
        <w:contextualSpacing/>
        <w:jc w:val="both"/>
        <w:rPr>
          <w:rFonts w:ascii="Arial" w:hAnsi="Arial" w:cs="Arial"/>
          <w:b/>
          <w:bCs/>
          <w:color w:val="000000" w:themeColor="text1"/>
          <w:sz w:val="20"/>
          <w:szCs w:val="23"/>
          <w:lang w:val="es-ES"/>
        </w:rPr>
      </w:pPr>
      <w:r w:rsidRPr="009135FC">
        <w:rPr>
          <w:rFonts w:ascii="Arial" w:hAnsi="Arial" w:cs="Arial"/>
          <w:color w:val="000000" w:themeColor="text1"/>
          <w:sz w:val="20"/>
          <w:szCs w:val="23"/>
          <w:lang w:val="es-ES"/>
        </w:rPr>
        <w:t>Demandados:</w:t>
      </w:r>
      <w:r w:rsidRPr="009135FC">
        <w:rPr>
          <w:rFonts w:ascii="Arial" w:hAnsi="Arial" w:cs="Arial"/>
          <w:color w:val="000000" w:themeColor="text1"/>
          <w:sz w:val="20"/>
          <w:szCs w:val="23"/>
          <w:lang w:val="es-ES"/>
        </w:rPr>
        <w:tab/>
      </w:r>
      <w:r w:rsidRPr="009135FC">
        <w:rPr>
          <w:rFonts w:ascii="Arial" w:hAnsi="Arial" w:cs="Arial"/>
          <w:color w:val="000000" w:themeColor="text1"/>
          <w:sz w:val="20"/>
          <w:szCs w:val="23"/>
          <w:lang w:val="es-ES"/>
        </w:rPr>
        <w:tab/>
      </w:r>
      <w:r>
        <w:rPr>
          <w:rFonts w:ascii="Arial" w:hAnsi="Arial" w:cs="Arial"/>
          <w:bCs/>
          <w:color w:val="000000" w:themeColor="text1"/>
          <w:sz w:val="20"/>
          <w:szCs w:val="23"/>
          <w:lang w:val="es-CO"/>
        </w:rPr>
        <w:t>AFP Porvenir S.A. y otros</w:t>
      </w:r>
    </w:p>
    <w:p w14:paraId="1FA8567A" w14:textId="77777777" w:rsidR="009135FC" w:rsidRPr="009135FC" w:rsidRDefault="009135FC" w:rsidP="009135FC">
      <w:pPr>
        <w:contextualSpacing/>
        <w:jc w:val="both"/>
        <w:rPr>
          <w:rFonts w:ascii="Arial" w:hAnsi="Arial" w:cs="Arial"/>
          <w:b/>
          <w:color w:val="000000" w:themeColor="text1"/>
          <w:sz w:val="20"/>
          <w:szCs w:val="23"/>
        </w:rPr>
      </w:pPr>
    </w:p>
    <w:p w14:paraId="5C60791D" w14:textId="77777777" w:rsidR="009135FC" w:rsidRPr="009135FC" w:rsidRDefault="009135FC" w:rsidP="009135FC">
      <w:pPr>
        <w:contextualSpacing/>
        <w:jc w:val="both"/>
        <w:rPr>
          <w:rFonts w:ascii="Arial" w:hAnsi="Arial" w:cs="Arial"/>
          <w:color w:val="000000" w:themeColor="text1"/>
          <w:sz w:val="20"/>
          <w:szCs w:val="23"/>
        </w:rPr>
      </w:pPr>
    </w:p>
    <w:p w14:paraId="7F6AC9BD" w14:textId="77777777" w:rsidR="0037589F" w:rsidRPr="00BF0B47" w:rsidRDefault="0037589F" w:rsidP="0090319C">
      <w:pPr>
        <w:keepNext/>
        <w:jc w:val="center"/>
        <w:outlineLvl w:val="2"/>
        <w:rPr>
          <w:rFonts w:ascii="Arial" w:hAnsi="Arial" w:cs="Arial"/>
          <w:b/>
          <w:szCs w:val="24"/>
        </w:rPr>
      </w:pPr>
      <w:r w:rsidRPr="00BF0B47">
        <w:rPr>
          <w:rFonts w:ascii="Arial" w:hAnsi="Arial" w:cs="Arial"/>
          <w:b/>
          <w:szCs w:val="24"/>
        </w:rPr>
        <w:t>TRIBUNAL SUPERIOR DEL DISTRITO JUDICIAL</w:t>
      </w:r>
    </w:p>
    <w:p w14:paraId="3ECA547E" w14:textId="77777777" w:rsidR="0037589F" w:rsidRPr="00BF0B47" w:rsidRDefault="0037589F" w:rsidP="0090319C">
      <w:pPr>
        <w:jc w:val="center"/>
        <w:rPr>
          <w:rFonts w:ascii="Arial" w:eastAsia="Calibri" w:hAnsi="Arial" w:cs="Arial"/>
          <w:b/>
          <w:szCs w:val="24"/>
          <w:lang w:val="es-CO" w:eastAsia="en-US"/>
        </w:rPr>
      </w:pPr>
    </w:p>
    <w:p w14:paraId="731830EC" w14:textId="77777777" w:rsidR="0037589F" w:rsidRPr="00BF0B47" w:rsidRDefault="0037589F" w:rsidP="0090319C">
      <w:pPr>
        <w:jc w:val="center"/>
        <w:rPr>
          <w:rFonts w:ascii="Arial" w:eastAsia="Calibri" w:hAnsi="Arial" w:cs="Arial"/>
          <w:b/>
          <w:szCs w:val="24"/>
          <w:lang w:val="es-CO" w:eastAsia="en-US"/>
        </w:rPr>
      </w:pPr>
      <w:r w:rsidRPr="00BF0B47">
        <w:rPr>
          <w:rFonts w:ascii="Arial" w:eastAsia="Calibri" w:hAnsi="Arial" w:cs="Arial"/>
          <w:b/>
          <w:szCs w:val="24"/>
          <w:lang w:val="es-CO" w:eastAsia="en-US"/>
        </w:rPr>
        <w:t>SALA LABORAL</w:t>
      </w:r>
    </w:p>
    <w:p w14:paraId="0219D50F" w14:textId="77777777" w:rsidR="0037589F" w:rsidRPr="00BF0B47" w:rsidRDefault="0037589F" w:rsidP="0090319C">
      <w:pPr>
        <w:jc w:val="center"/>
        <w:rPr>
          <w:rFonts w:ascii="Arial" w:hAnsi="Arial" w:cs="Arial"/>
          <w:b/>
          <w:szCs w:val="24"/>
        </w:rPr>
      </w:pPr>
    </w:p>
    <w:p w14:paraId="340F55B9" w14:textId="77777777" w:rsidR="0037589F" w:rsidRPr="00BF0B47" w:rsidRDefault="0037589F" w:rsidP="0090319C">
      <w:pPr>
        <w:jc w:val="center"/>
        <w:rPr>
          <w:rFonts w:ascii="Arial" w:hAnsi="Arial" w:cs="Arial"/>
          <w:b/>
          <w:szCs w:val="24"/>
        </w:rPr>
      </w:pPr>
      <w:r w:rsidRPr="00BF0B47">
        <w:rPr>
          <w:rFonts w:ascii="Arial" w:hAnsi="Arial" w:cs="Arial"/>
          <w:b/>
          <w:szCs w:val="24"/>
        </w:rPr>
        <w:t xml:space="preserve">MAGISTRADO: JULIO CÉSAR SALAZAR MUÑOZ </w:t>
      </w:r>
    </w:p>
    <w:p w14:paraId="4B5879AB" w14:textId="77777777" w:rsidR="0037589F" w:rsidRPr="00BF0B47" w:rsidRDefault="0037589F" w:rsidP="0090319C">
      <w:pPr>
        <w:jc w:val="center"/>
        <w:rPr>
          <w:rFonts w:ascii="Arial" w:hAnsi="Arial" w:cs="Arial"/>
          <w:b/>
          <w:szCs w:val="24"/>
        </w:rPr>
      </w:pPr>
    </w:p>
    <w:p w14:paraId="1C406F56" w14:textId="77777777" w:rsidR="0037589F" w:rsidRPr="00BF0B47" w:rsidRDefault="0037589F" w:rsidP="0090319C">
      <w:pPr>
        <w:jc w:val="center"/>
        <w:rPr>
          <w:rFonts w:ascii="Arial" w:hAnsi="Arial" w:cs="Arial"/>
          <w:b/>
          <w:szCs w:val="24"/>
        </w:rPr>
      </w:pPr>
      <w:r w:rsidRPr="00BF0B47">
        <w:rPr>
          <w:rFonts w:ascii="Arial" w:hAnsi="Arial" w:cs="Arial"/>
          <w:b/>
          <w:szCs w:val="24"/>
        </w:rPr>
        <w:t>Mayo 28 de 2019</w:t>
      </w:r>
    </w:p>
    <w:p w14:paraId="6EFC0464" w14:textId="77777777" w:rsidR="0037589F" w:rsidRPr="00BF0B47" w:rsidRDefault="0037589F" w:rsidP="0090319C">
      <w:pPr>
        <w:jc w:val="center"/>
        <w:rPr>
          <w:rFonts w:ascii="Arial" w:hAnsi="Arial" w:cs="Arial"/>
          <w:b/>
          <w:szCs w:val="24"/>
        </w:rPr>
      </w:pPr>
    </w:p>
    <w:p w14:paraId="63067765" w14:textId="77777777" w:rsidR="0037589F" w:rsidRPr="0037589F" w:rsidRDefault="0037589F" w:rsidP="0090319C">
      <w:pPr>
        <w:jc w:val="center"/>
        <w:rPr>
          <w:rFonts w:ascii="Arial" w:hAnsi="Arial" w:cs="Arial"/>
          <w:b/>
          <w:szCs w:val="24"/>
        </w:rPr>
      </w:pPr>
      <w:r w:rsidRPr="0037589F">
        <w:rPr>
          <w:rFonts w:ascii="Arial" w:hAnsi="Arial" w:cs="Arial"/>
          <w:b/>
          <w:szCs w:val="24"/>
        </w:rPr>
        <w:t>ACLARACIÓN DE VOTO</w:t>
      </w:r>
    </w:p>
    <w:p w14:paraId="0A1F5C2D" w14:textId="77777777" w:rsidR="0037589F" w:rsidRPr="0037589F" w:rsidRDefault="0037589F" w:rsidP="0037589F">
      <w:pPr>
        <w:suppressAutoHyphens/>
        <w:spacing w:line="288" w:lineRule="auto"/>
        <w:jc w:val="both"/>
        <w:rPr>
          <w:rFonts w:ascii="Arial" w:hAnsi="Arial" w:cs="Arial"/>
          <w:szCs w:val="24"/>
        </w:rPr>
      </w:pPr>
    </w:p>
    <w:p w14:paraId="0F4ED331" w14:textId="77777777" w:rsidR="0037589F" w:rsidRPr="0037589F" w:rsidRDefault="0037589F" w:rsidP="0037589F">
      <w:pPr>
        <w:suppressAutoHyphens/>
        <w:spacing w:line="288" w:lineRule="auto"/>
        <w:jc w:val="both"/>
        <w:rPr>
          <w:rFonts w:ascii="Arial" w:hAnsi="Arial" w:cs="Arial"/>
          <w:spacing w:val="-2"/>
          <w:szCs w:val="24"/>
        </w:rPr>
      </w:pPr>
      <w:r w:rsidRPr="0037589F">
        <w:rPr>
          <w:rFonts w:ascii="Arial" w:hAnsi="Arial" w:cs="Arial"/>
          <w:spacing w:val="-2"/>
          <w:szCs w:val="24"/>
        </w:rPr>
        <w:t>Estoy de acuerdo con la decisión de revocar la sentencia de primera instancia que accedió a la declaración de ineficacia del traslado y aunque coincido con la mayor parte de la argumentación que para llegar a tal solución fue expuesta en la providencia, me parece necesario aclarar las razones que me llevan a tal conclusión.</w:t>
      </w:r>
    </w:p>
    <w:p w14:paraId="64141F72" w14:textId="77777777" w:rsidR="0037589F" w:rsidRPr="00BF0B47" w:rsidRDefault="0037589F" w:rsidP="0037589F">
      <w:pPr>
        <w:suppressAutoHyphens/>
        <w:spacing w:line="288" w:lineRule="auto"/>
        <w:jc w:val="both"/>
        <w:rPr>
          <w:rFonts w:ascii="Arial" w:hAnsi="Arial" w:cs="Arial"/>
          <w:spacing w:val="-2"/>
          <w:szCs w:val="24"/>
        </w:rPr>
      </w:pPr>
    </w:p>
    <w:p w14:paraId="730740F0" w14:textId="77777777" w:rsidR="0037589F" w:rsidRPr="00BF0B47" w:rsidRDefault="0037589F" w:rsidP="0037589F">
      <w:pPr>
        <w:suppressAutoHyphens/>
        <w:spacing w:line="288" w:lineRule="auto"/>
        <w:jc w:val="both"/>
        <w:rPr>
          <w:rFonts w:ascii="Arial" w:hAnsi="Arial" w:cs="Arial"/>
          <w:iCs/>
          <w:szCs w:val="24"/>
        </w:rPr>
      </w:pPr>
      <w:r w:rsidRPr="00BF0B47">
        <w:rPr>
          <w:rFonts w:ascii="Arial" w:hAnsi="Arial" w:cs="Arial"/>
          <w:spacing w:val="-2"/>
          <w:szCs w:val="24"/>
        </w:rPr>
        <w:t xml:space="preserve">Desde ya dejo en evidencia que conozco la jurisprudencia vigente emanada de la </w:t>
      </w:r>
      <w:r w:rsidRPr="00BF0B47">
        <w:rPr>
          <w:rFonts w:ascii="Arial" w:hAnsi="Arial" w:cs="Arial"/>
          <w:iCs/>
          <w:szCs w:val="24"/>
        </w:rPr>
        <w:t xml:space="preserve"> Sala de Casación Laboral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informado y que en este tipo de eventos existe una inversión de la carga de la prueba si los actores alegan no haber recibido la información necesaria para establecerlo;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14:paraId="78531FEF" w14:textId="77777777" w:rsidR="0037589F" w:rsidRPr="00BF0B47" w:rsidRDefault="0037589F" w:rsidP="0037589F">
      <w:pPr>
        <w:spacing w:line="288" w:lineRule="auto"/>
        <w:ind w:left="426" w:right="51"/>
        <w:jc w:val="both"/>
        <w:rPr>
          <w:rFonts w:ascii="Arial" w:hAnsi="Arial" w:cs="Arial"/>
          <w:iCs/>
          <w:szCs w:val="24"/>
        </w:rPr>
      </w:pPr>
    </w:p>
    <w:p w14:paraId="27FD11A1" w14:textId="77777777" w:rsidR="0037589F" w:rsidRPr="00BF0B47" w:rsidRDefault="0037589F" w:rsidP="0037589F">
      <w:pPr>
        <w:spacing w:line="288" w:lineRule="auto"/>
        <w:ind w:right="51"/>
        <w:jc w:val="both"/>
        <w:rPr>
          <w:rFonts w:ascii="Arial" w:hAnsi="Arial" w:cs="Arial"/>
          <w:szCs w:val="24"/>
          <w:lang w:val="es-CO"/>
        </w:rPr>
      </w:pPr>
      <w:r w:rsidRPr="00BF0B47">
        <w:rPr>
          <w:rFonts w:ascii="Arial" w:hAnsi="Arial" w:cs="Arial"/>
          <w:iCs/>
          <w:szCs w:val="24"/>
        </w:rPr>
        <w:t xml:space="preserve">No obstante, tales líneas jurisprudenciales considero del caso, con base en la sentencia </w:t>
      </w:r>
      <w:r w:rsidRPr="00BF0B47">
        <w:rPr>
          <w:rFonts w:ascii="Arial" w:hAnsi="Arial" w:cs="Arial"/>
          <w:szCs w:val="24"/>
          <w:lang w:val="es-CO"/>
        </w:rPr>
        <w:t>C-836 de 2001, apartarme de ellas, para lo cual expongo de manera razonada la argumentación jurídica que me lleva a tal alejamiento.</w:t>
      </w:r>
    </w:p>
    <w:p w14:paraId="329A266E" w14:textId="77777777" w:rsidR="0037589F" w:rsidRPr="00BF0B47" w:rsidRDefault="0037589F" w:rsidP="0037589F">
      <w:pPr>
        <w:tabs>
          <w:tab w:val="left" w:pos="8222"/>
        </w:tabs>
        <w:spacing w:line="288" w:lineRule="auto"/>
        <w:ind w:left="426" w:right="476"/>
        <w:jc w:val="both"/>
        <w:rPr>
          <w:rFonts w:ascii="Arial" w:hAnsi="Arial" w:cs="Arial"/>
          <w:iCs/>
          <w:szCs w:val="24"/>
        </w:rPr>
      </w:pPr>
    </w:p>
    <w:p w14:paraId="5EC114BD" w14:textId="77777777" w:rsidR="0037589F" w:rsidRPr="00BF0B47" w:rsidRDefault="0037589F" w:rsidP="0037589F">
      <w:pPr>
        <w:suppressAutoHyphens/>
        <w:spacing w:line="288" w:lineRule="auto"/>
        <w:jc w:val="both"/>
        <w:rPr>
          <w:rFonts w:ascii="Arial" w:hAnsi="Arial" w:cs="Arial"/>
          <w:spacing w:val="-2"/>
          <w:szCs w:val="24"/>
        </w:rPr>
      </w:pPr>
      <w:r w:rsidRPr="00BF0B47">
        <w:rPr>
          <w:rFonts w:ascii="Arial" w:hAnsi="Arial" w:cs="Arial"/>
          <w:spacing w:val="-2"/>
          <w:szCs w:val="24"/>
        </w:rPr>
        <w:t>Para el efecto, en primer término debo dejar claro que me encuentro absolutamente convencido de que, tras la protección de los intereses particulares de quienes a última hora quieren obtener el mayor beneficio pensional posible, al decretar las ineficacias, en realidad se están desconociendo diferentes pilares de nuestro sistema jurídico en general y del pensional en particular.</w:t>
      </w:r>
    </w:p>
    <w:p w14:paraId="30457B24" w14:textId="77777777" w:rsidR="0037589F" w:rsidRPr="00BF0B47" w:rsidRDefault="0037589F" w:rsidP="0037589F">
      <w:pPr>
        <w:suppressAutoHyphens/>
        <w:spacing w:line="288" w:lineRule="auto"/>
        <w:jc w:val="both"/>
        <w:rPr>
          <w:rFonts w:ascii="Arial" w:hAnsi="Arial" w:cs="Arial"/>
          <w:spacing w:val="-2"/>
          <w:szCs w:val="24"/>
        </w:rPr>
      </w:pPr>
    </w:p>
    <w:p w14:paraId="7491DDCE" w14:textId="77777777" w:rsidR="0037589F" w:rsidRPr="00BF0B47" w:rsidRDefault="0037589F" w:rsidP="0037589F">
      <w:pPr>
        <w:suppressAutoHyphens/>
        <w:spacing w:line="288" w:lineRule="auto"/>
        <w:jc w:val="both"/>
        <w:rPr>
          <w:rFonts w:ascii="Arial" w:hAnsi="Arial" w:cs="Arial"/>
          <w:spacing w:val="-2"/>
          <w:szCs w:val="24"/>
        </w:rPr>
      </w:pPr>
      <w:r w:rsidRPr="00BF0B47">
        <w:rPr>
          <w:rFonts w:ascii="Arial" w:hAnsi="Arial" w:cs="Arial"/>
          <w:spacing w:val="-2"/>
          <w:szCs w:val="24"/>
        </w:rPr>
        <w:t xml:space="preserve">Como quiera que son tantos y tan contundentes los motivos que a mi juicio impiden acceder a las ineficacias solicitadas, a continuación enunciare tres diferentes grupos de razones que considero, cada uno solo o en conjunto con los demás, con peso suficiente para arribar a tal negativa. </w:t>
      </w:r>
    </w:p>
    <w:p w14:paraId="1540EAF9" w14:textId="4AD5B1B3" w:rsidR="0037589F" w:rsidRPr="00BF0B47" w:rsidRDefault="0037589F" w:rsidP="0037589F">
      <w:pPr>
        <w:suppressAutoHyphens/>
        <w:spacing w:line="288" w:lineRule="auto"/>
        <w:jc w:val="both"/>
        <w:rPr>
          <w:rFonts w:ascii="Arial" w:hAnsi="Arial" w:cs="Arial"/>
          <w:spacing w:val="-2"/>
          <w:szCs w:val="24"/>
        </w:rPr>
      </w:pPr>
    </w:p>
    <w:p w14:paraId="7682FD76" w14:textId="77777777" w:rsidR="0037589F" w:rsidRPr="009F6B6D" w:rsidRDefault="0037589F" w:rsidP="0037589F">
      <w:pPr>
        <w:pStyle w:val="Prrafodelista"/>
        <w:numPr>
          <w:ilvl w:val="0"/>
          <w:numId w:val="12"/>
        </w:numPr>
        <w:spacing w:line="288" w:lineRule="auto"/>
        <w:jc w:val="both"/>
        <w:rPr>
          <w:rFonts w:ascii="Arial" w:hAnsi="Arial" w:cs="Arial"/>
          <w:b/>
          <w:szCs w:val="24"/>
        </w:rPr>
      </w:pPr>
      <w:r w:rsidRPr="009F6B6D">
        <w:rPr>
          <w:rFonts w:ascii="Arial" w:hAnsi="Arial" w:cs="Arial"/>
          <w:b/>
          <w:szCs w:val="24"/>
        </w:rPr>
        <w:t>CONFIGURACIÓN LEGAL DUAL VIGENTE DEL SISTEMA PENSIONAL</w:t>
      </w:r>
    </w:p>
    <w:p w14:paraId="1A42A21D" w14:textId="77777777" w:rsidR="0037589F" w:rsidRPr="00BF0B47" w:rsidRDefault="0037589F" w:rsidP="0037589F">
      <w:pPr>
        <w:suppressAutoHyphens/>
        <w:spacing w:line="288" w:lineRule="auto"/>
        <w:ind w:left="720"/>
        <w:jc w:val="both"/>
        <w:rPr>
          <w:rFonts w:ascii="Arial" w:hAnsi="Arial" w:cs="Arial"/>
          <w:b/>
          <w:spacing w:val="-2"/>
          <w:szCs w:val="24"/>
        </w:rPr>
      </w:pPr>
    </w:p>
    <w:p w14:paraId="0951EAF6" w14:textId="77777777" w:rsidR="0037589F" w:rsidRPr="00BF0B47" w:rsidRDefault="0037589F" w:rsidP="0037589F">
      <w:pPr>
        <w:suppressAutoHyphens/>
        <w:spacing w:line="288" w:lineRule="auto"/>
        <w:jc w:val="both"/>
        <w:rPr>
          <w:rFonts w:ascii="Arial" w:hAnsi="Arial" w:cs="Arial"/>
          <w:b/>
          <w:spacing w:val="-2"/>
          <w:szCs w:val="24"/>
        </w:rPr>
      </w:pPr>
      <w:r w:rsidRPr="00BF0B47">
        <w:rPr>
          <w:rFonts w:ascii="Arial" w:hAnsi="Arial" w:cs="Arial"/>
          <w:spacing w:val="-2"/>
          <w:szCs w:val="24"/>
        </w:rPr>
        <w:t>-</w:t>
      </w:r>
      <w:r>
        <w:rPr>
          <w:rFonts w:ascii="Arial" w:hAnsi="Arial" w:cs="Arial"/>
          <w:spacing w:val="-2"/>
          <w:szCs w:val="24"/>
        </w:rPr>
        <w:t xml:space="preserve"> </w:t>
      </w:r>
      <w:r w:rsidRPr="00BF0B47">
        <w:rPr>
          <w:rFonts w:ascii="Arial" w:hAnsi="Arial" w:cs="Arial"/>
          <w:spacing w:val="-2"/>
          <w:szCs w:val="24"/>
        </w:rPr>
        <w:t>CONTENIDO DEL ARTÍCULO 271 DE LA LEY 100 DE 199</w:t>
      </w:r>
      <w:r w:rsidRPr="00BF0B47">
        <w:rPr>
          <w:rFonts w:ascii="Arial" w:hAnsi="Arial" w:cs="Arial"/>
          <w:b/>
          <w:spacing w:val="-2"/>
          <w:szCs w:val="24"/>
        </w:rPr>
        <w:t>3</w:t>
      </w:r>
    </w:p>
    <w:p w14:paraId="26AF8A3A" w14:textId="77777777" w:rsidR="0037589F" w:rsidRPr="00BF0B47" w:rsidRDefault="0037589F" w:rsidP="0037589F">
      <w:pPr>
        <w:suppressAutoHyphens/>
        <w:spacing w:line="288" w:lineRule="auto"/>
        <w:jc w:val="both"/>
        <w:rPr>
          <w:rFonts w:ascii="Arial" w:hAnsi="Arial" w:cs="Arial"/>
          <w:spacing w:val="-2"/>
          <w:szCs w:val="24"/>
        </w:rPr>
      </w:pPr>
    </w:p>
    <w:p w14:paraId="3756A904" w14:textId="77777777" w:rsidR="0037589F" w:rsidRPr="00BF0B47" w:rsidRDefault="0037589F" w:rsidP="0037589F">
      <w:pPr>
        <w:suppressAutoHyphens/>
        <w:spacing w:line="288" w:lineRule="auto"/>
        <w:jc w:val="both"/>
        <w:rPr>
          <w:rFonts w:ascii="Arial" w:hAnsi="Arial" w:cs="Arial"/>
          <w:spacing w:val="-2"/>
          <w:szCs w:val="24"/>
        </w:rPr>
      </w:pPr>
      <w:r w:rsidRPr="00BF0B47">
        <w:rPr>
          <w:rFonts w:ascii="Arial" w:hAnsi="Arial" w:cs="Arial"/>
          <w:spacing w:val="-2"/>
          <w:szCs w:val="24"/>
        </w:rPr>
        <w:t xml:space="preserve">El título de la norma ya de por si es significativo: “Sanciones al empleador”. Esto es, se trata de conductas sancionables de los empleadores o de “cualquier persona” afín con esa denominación, pero, manifiestamente no está dirigida a las actividades que puedan adelantar las AFP en desarrollo del objeto para el que fueron creadas. Es que como se verá más adelante, el sistema implementado por la ley 100 de 1993 implica la libre competencia entre los dos regímenes, de allí que no puedan ser las Administradoras las destinatarias de lo previsto en este artículo, pues es inherente a su creación el otorgarles la posibilidad de promocionar el sistema que administrarán. </w:t>
      </w:r>
    </w:p>
    <w:p w14:paraId="129EBF0B" w14:textId="77777777" w:rsidR="0037589F" w:rsidRPr="00BF0B47" w:rsidRDefault="0037589F" w:rsidP="0037589F">
      <w:pPr>
        <w:suppressAutoHyphens/>
        <w:spacing w:line="288" w:lineRule="auto"/>
        <w:jc w:val="both"/>
        <w:rPr>
          <w:rFonts w:ascii="Arial" w:hAnsi="Arial" w:cs="Arial"/>
          <w:spacing w:val="-2"/>
          <w:szCs w:val="24"/>
        </w:rPr>
      </w:pPr>
    </w:p>
    <w:p w14:paraId="6F13D280" w14:textId="77777777" w:rsidR="0037589F" w:rsidRPr="00BF0B47" w:rsidRDefault="0037589F" w:rsidP="0037589F">
      <w:pPr>
        <w:suppressAutoHyphens/>
        <w:spacing w:line="288" w:lineRule="auto"/>
        <w:jc w:val="both"/>
        <w:rPr>
          <w:rFonts w:ascii="Arial" w:hAnsi="Arial" w:cs="Arial"/>
          <w:spacing w:val="-2"/>
          <w:szCs w:val="24"/>
        </w:rPr>
      </w:pPr>
      <w:r w:rsidRPr="00BF0B47">
        <w:rPr>
          <w:rFonts w:ascii="Arial" w:hAnsi="Arial" w:cs="Arial"/>
          <w:spacing w:val="-2"/>
          <w:szCs w:val="24"/>
        </w:rPr>
        <w:t>No obstante lo anterior,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que contiene 2 verbos rectores -“impedir o atentar”-, referidos al derecho de los trabajadores de afiliarse y seleccionar libremente los organismos e instituciones del sistema de seguridad social a los que quiere entregar la administración de sus aportes. Ahora bien, en esta clase de asunto obviamente no se está frente al primer verbo rector de la norma “impedir” pues las AFP no han impedido la afiliación del actor al sistema, y respecto al segundo, esto es, “atentar”, tampoco se está frente a tal proceder, porque ni la AFP privada ni la pública realizaron actos tendientes a desconocer, entorpecer o boicotear el derecho del afiliado a la selección del organismo que se encargaría de administrar sus aportes. Lo que hicieron fue buscar que, dentro de las opciones posibles, los participantes del sistema eligieran, ya el sistema de ahorro individual, ya el de prima media. Tal ejercicio, como pasa a verse, se permitió y se reglamentó debidamente.</w:t>
      </w:r>
    </w:p>
    <w:p w14:paraId="667F599B" w14:textId="77777777" w:rsidR="0037589F" w:rsidRPr="00BF0B47" w:rsidRDefault="0037589F" w:rsidP="0037589F">
      <w:pPr>
        <w:spacing w:line="288" w:lineRule="auto"/>
        <w:ind w:right="51"/>
        <w:jc w:val="both"/>
        <w:rPr>
          <w:rFonts w:ascii="Arial" w:hAnsi="Arial" w:cs="Arial"/>
          <w:spacing w:val="-2"/>
          <w:szCs w:val="24"/>
        </w:rPr>
      </w:pPr>
    </w:p>
    <w:p w14:paraId="3E9D78BC" w14:textId="77777777" w:rsidR="0037589F" w:rsidRPr="00BF0B47" w:rsidRDefault="0037589F" w:rsidP="0037589F">
      <w:pPr>
        <w:spacing w:line="288" w:lineRule="auto"/>
        <w:ind w:right="51"/>
        <w:jc w:val="both"/>
        <w:rPr>
          <w:rFonts w:ascii="Arial" w:hAnsi="Arial" w:cs="Arial"/>
          <w:iCs/>
          <w:szCs w:val="24"/>
        </w:rPr>
      </w:pPr>
      <w:r w:rsidRPr="00BF0B47">
        <w:rPr>
          <w:rFonts w:ascii="Arial" w:hAnsi="Arial" w:cs="Arial"/>
          <w:iCs/>
          <w:szCs w:val="24"/>
        </w:rPr>
        <w:t>-</w:t>
      </w:r>
      <w:r>
        <w:rPr>
          <w:rFonts w:ascii="Arial" w:hAnsi="Arial" w:cs="Arial"/>
          <w:iCs/>
          <w:szCs w:val="24"/>
        </w:rPr>
        <w:t xml:space="preserve"> </w:t>
      </w:r>
      <w:r w:rsidRPr="00BF0B47">
        <w:rPr>
          <w:rFonts w:ascii="Arial" w:hAnsi="Arial" w:cs="Arial"/>
          <w:iCs/>
          <w:szCs w:val="24"/>
        </w:rPr>
        <w:t>REGÍMENES PENSIONALES COEXISTENTES</w:t>
      </w:r>
    </w:p>
    <w:p w14:paraId="3A2D8D94" w14:textId="77777777" w:rsidR="0037589F" w:rsidRPr="00BF0B47" w:rsidRDefault="0037589F" w:rsidP="0037589F">
      <w:pPr>
        <w:spacing w:line="288" w:lineRule="auto"/>
        <w:ind w:right="51"/>
        <w:jc w:val="both"/>
        <w:rPr>
          <w:rFonts w:ascii="Arial" w:hAnsi="Arial" w:cs="Arial"/>
          <w:iCs/>
          <w:szCs w:val="24"/>
        </w:rPr>
      </w:pPr>
    </w:p>
    <w:p w14:paraId="009D32F9" w14:textId="77777777" w:rsidR="0037589F" w:rsidRPr="00BF0B47" w:rsidRDefault="0037589F" w:rsidP="0037589F">
      <w:pPr>
        <w:spacing w:line="288" w:lineRule="auto"/>
        <w:ind w:right="51"/>
        <w:jc w:val="both"/>
        <w:rPr>
          <w:rFonts w:ascii="Arial" w:hAnsi="Arial" w:cs="Arial"/>
          <w:iCs/>
          <w:szCs w:val="24"/>
        </w:rPr>
      </w:pPr>
      <w:r w:rsidRPr="00BF0B47">
        <w:rPr>
          <w:rFonts w:ascii="Arial" w:hAnsi="Arial" w:cs="Arial"/>
          <w:iCs/>
          <w:szCs w:val="24"/>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14:paraId="29B92385" w14:textId="77777777" w:rsidR="0037589F" w:rsidRPr="00BF0B47" w:rsidRDefault="0037589F" w:rsidP="0037589F">
      <w:pPr>
        <w:spacing w:line="288" w:lineRule="auto"/>
        <w:ind w:right="51"/>
        <w:jc w:val="both"/>
        <w:rPr>
          <w:rFonts w:ascii="Arial" w:hAnsi="Arial" w:cs="Arial"/>
          <w:iCs/>
          <w:szCs w:val="24"/>
        </w:rPr>
      </w:pPr>
    </w:p>
    <w:p w14:paraId="3E946D79" w14:textId="77777777" w:rsidR="0037589F" w:rsidRPr="00BF0B47" w:rsidRDefault="0037589F" w:rsidP="0037589F">
      <w:pPr>
        <w:spacing w:line="288" w:lineRule="auto"/>
        <w:ind w:right="51"/>
        <w:jc w:val="both"/>
        <w:rPr>
          <w:rFonts w:ascii="Arial" w:hAnsi="Arial" w:cs="Arial"/>
          <w:iCs/>
          <w:szCs w:val="24"/>
        </w:rPr>
      </w:pPr>
      <w:r w:rsidRPr="00BF0B47">
        <w:rPr>
          <w:rFonts w:ascii="Arial" w:hAnsi="Arial" w:cs="Arial"/>
          <w:iCs/>
          <w:szCs w:val="24"/>
        </w:rPr>
        <w:t>Es más, la promoción del nuevo sistema pensional creado por la ley 100 de 1993 se basó en la libre y sana competencia que debía existir entre las administradoras del RAIS y las del RPM. Y basta un momento de reflexión para darse cuenta que, si desde la etapa inicial de realización de aportes resulta posible establecer que uno de los dos sistemas otorgará mejores beneficios que el otro, este último no logrará subsistir. Por eso, tal definición inicial carece de fundamentos como pasa a verse.</w:t>
      </w:r>
    </w:p>
    <w:p w14:paraId="5F389D39" w14:textId="77777777" w:rsidR="0037589F" w:rsidRPr="00BF0B47" w:rsidRDefault="0037589F" w:rsidP="0037589F">
      <w:pPr>
        <w:spacing w:line="288" w:lineRule="auto"/>
        <w:ind w:right="51"/>
        <w:jc w:val="both"/>
        <w:rPr>
          <w:rFonts w:ascii="Arial" w:hAnsi="Arial" w:cs="Arial"/>
          <w:iCs/>
          <w:szCs w:val="24"/>
        </w:rPr>
      </w:pPr>
    </w:p>
    <w:p w14:paraId="19F48932" w14:textId="77777777" w:rsidR="0037589F" w:rsidRPr="00BF0B47" w:rsidRDefault="0037589F" w:rsidP="0037589F">
      <w:pPr>
        <w:spacing w:line="288" w:lineRule="auto"/>
        <w:ind w:right="51"/>
        <w:jc w:val="both"/>
        <w:rPr>
          <w:rFonts w:ascii="Arial" w:hAnsi="Arial" w:cs="Arial"/>
          <w:iCs/>
          <w:szCs w:val="24"/>
        </w:rPr>
      </w:pPr>
      <w:r w:rsidRPr="00BF0B47">
        <w:rPr>
          <w:rFonts w:ascii="Arial" w:hAnsi="Arial" w:cs="Arial"/>
          <w:iCs/>
          <w:szCs w:val="24"/>
        </w:rPr>
        <w:t xml:space="preserve">Nótese que desde la misma denominación de los regímenes los afiliados tienen una primera oportunidad de determinar su contenido. En efecto, si se observa el artículo </w:t>
      </w:r>
      <w:r w:rsidRPr="00BF0B47">
        <w:rPr>
          <w:rFonts w:ascii="Arial" w:hAnsi="Arial" w:cs="Arial"/>
          <w:iCs/>
          <w:szCs w:val="24"/>
        </w:rPr>
        <w:lastRenderedPageBreak/>
        <w:t xml:space="preserve">31 de la ley 100 de 1993 se tiene que en él se desarrolla el concepto de “régimen de prima media </w:t>
      </w:r>
      <w:r w:rsidRPr="00BF0B47">
        <w:rPr>
          <w:rFonts w:ascii="Arial" w:hAnsi="Arial" w:cs="Arial"/>
          <w:b/>
          <w:iCs/>
          <w:szCs w:val="24"/>
        </w:rPr>
        <w:t>con prestación definida”.</w:t>
      </w:r>
      <w:r w:rsidRPr="00BF0B47">
        <w:rPr>
          <w:rFonts w:ascii="Arial" w:hAnsi="Arial" w:cs="Arial"/>
          <w:iCs/>
          <w:szCs w:val="24"/>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BF0B47">
        <w:rPr>
          <w:rFonts w:ascii="Arial" w:hAnsi="Arial" w:cs="Arial"/>
          <w:b/>
          <w:iCs/>
          <w:szCs w:val="24"/>
        </w:rPr>
        <w:t xml:space="preserve">ahorro individual, </w:t>
      </w:r>
      <w:r w:rsidRPr="00BF0B47">
        <w:rPr>
          <w:rFonts w:ascii="Arial" w:hAnsi="Arial" w:cs="Arial"/>
          <w:iCs/>
          <w:szCs w:val="24"/>
        </w:rPr>
        <w:t xml:space="preserve">dando cuenta desde su denominación de la afectación de la prestación al esfuerzo personal que haga el afiliado y que para el momento de la afiliación obviamente resulta incierto, dependiendo, en un todo, su éxito, de la evolución que tengan sus aportes a futuro. </w:t>
      </w:r>
    </w:p>
    <w:p w14:paraId="554015CF" w14:textId="77777777" w:rsidR="0037589F" w:rsidRPr="00BF0B47" w:rsidRDefault="0037589F" w:rsidP="0037589F">
      <w:pPr>
        <w:spacing w:line="288" w:lineRule="auto"/>
        <w:ind w:right="51"/>
        <w:jc w:val="both"/>
        <w:rPr>
          <w:rFonts w:ascii="Arial" w:hAnsi="Arial" w:cs="Arial"/>
          <w:iCs/>
          <w:szCs w:val="24"/>
        </w:rPr>
      </w:pPr>
    </w:p>
    <w:p w14:paraId="16918D74" w14:textId="77777777" w:rsidR="0037589F" w:rsidRPr="00BF0B47" w:rsidRDefault="0037589F" w:rsidP="0037589F">
      <w:pPr>
        <w:spacing w:line="288" w:lineRule="auto"/>
        <w:ind w:right="51"/>
        <w:jc w:val="both"/>
        <w:rPr>
          <w:rFonts w:ascii="Arial" w:hAnsi="Arial" w:cs="Arial"/>
          <w:iCs/>
          <w:szCs w:val="24"/>
        </w:rPr>
      </w:pPr>
      <w:r w:rsidRPr="00BF0B47">
        <w:rPr>
          <w:rFonts w:ascii="Arial" w:hAnsi="Arial" w:cs="Arial"/>
          <w:iCs/>
          <w:szCs w:val="24"/>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BF0B47">
        <w:rPr>
          <w:rFonts w:ascii="Arial" w:hAnsi="Arial" w:cs="Arial"/>
          <w:iCs/>
          <w:szCs w:val="24"/>
        </w:rPr>
        <w:t>sucesoral</w:t>
      </w:r>
      <w:proofErr w:type="spellEnd"/>
      <w:r w:rsidRPr="00BF0B47">
        <w:rPr>
          <w:rFonts w:ascii="Arial" w:hAnsi="Arial" w:cs="Arial"/>
          <w:iCs/>
          <w:szCs w:val="24"/>
        </w:rPr>
        <w:t>.</w:t>
      </w:r>
    </w:p>
    <w:p w14:paraId="68EC5A27" w14:textId="77777777" w:rsidR="0037589F" w:rsidRPr="00BF0B47" w:rsidRDefault="0037589F" w:rsidP="0037589F">
      <w:pPr>
        <w:spacing w:line="288" w:lineRule="auto"/>
        <w:ind w:right="51"/>
        <w:jc w:val="both"/>
        <w:rPr>
          <w:rFonts w:ascii="Arial" w:hAnsi="Arial" w:cs="Arial"/>
          <w:iCs/>
          <w:szCs w:val="24"/>
        </w:rPr>
      </w:pPr>
    </w:p>
    <w:p w14:paraId="4E4B8127" w14:textId="77777777" w:rsidR="0037589F" w:rsidRPr="00BF0B47" w:rsidRDefault="0037589F" w:rsidP="0037589F">
      <w:pPr>
        <w:spacing w:line="288" w:lineRule="auto"/>
        <w:ind w:right="51"/>
        <w:jc w:val="both"/>
        <w:rPr>
          <w:rFonts w:ascii="Arial" w:hAnsi="Arial" w:cs="Arial"/>
          <w:b/>
          <w:iCs/>
          <w:szCs w:val="24"/>
        </w:rPr>
      </w:pPr>
      <w:r w:rsidRPr="00BF0B47">
        <w:rPr>
          <w:rFonts w:ascii="Arial" w:hAnsi="Arial" w:cs="Arial"/>
          <w:b/>
          <w:iCs/>
          <w:szCs w:val="24"/>
        </w:rPr>
        <w:t>Nótese que de todas estas prebendas se goza en el transcurso de la afiliación, como posibilidades aplicables solo a los afiliados al RAIS, mientras que los del RPM, bajo ninguna circunstancia pueden acceder a ellos por cuanto optaron, con su permanencia en este régimen, por privarse de estos beneficios, eso sí, con miras a contar con la garantía de una prestación definida desde el principio, basada en la conformación de un fondo común que manejara recursos que permitieran hacer inversiones cuya rentabilidad sirviera para cubrir las prestaciones ofrecidas por el sistema.</w:t>
      </w:r>
    </w:p>
    <w:p w14:paraId="41A6A017" w14:textId="77777777" w:rsidR="0037589F" w:rsidRPr="00BF0B47" w:rsidRDefault="0037589F" w:rsidP="0037589F">
      <w:pPr>
        <w:spacing w:line="288" w:lineRule="auto"/>
        <w:ind w:right="51"/>
        <w:jc w:val="both"/>
        <w:rPr>
          <w:rFonts w:ascii="Arial" w:hAnsi="Arial" w:cs="Arial"/>
          <w:iCs/>
          <w:szCs w:val="24"/>
        </w:rPr>
      </w:pPr>
    </w:p>
    <w:p w14:paraId="305873EA" w14:textId="77777777" w:rsidR="0037589F" w:rsidRPr="00BF0B47" w:rsidRDefault="0037589F" w:rsidP="0037589F">
      <w:pPr>
        <w:spacing w:line="288" w:lineRule="auto"/>
        <w:ind w:right="51"/>
        <w:jc w:val="both"/>
        <w:rPr>
          <w:rFonts w:ascii="Arial" w:hAnsi="Arial" w:cs="Arial"/>
          <w:iCs/>
          <w:szCs w:val="24"/>
        </w:rPr>
      </w:pPr>
      <w:r w:rsidRPr="00BF0B47">
        <w:rPr>
          <w:rFonts w:ascii="Arial" w:hAnsi="Arial" w:cs="Arial"/>
          <w:iCs/>
          <w:szCs w:val="24"/>
        </w:rPr>
        <w:t xml:space="preserve">Por lo tanto, volviendo al tema central, resulta obvio que la anterior tesis de la Corte que sostenía la ineficacia de los traslados como medio de protección de los derechos a conservar el régimen de transición, encontraba soporte en la diferencia que existe en las condiciones para acceder al derecho pensional (menos exigentes en la legislación anterior –acuerdo 049 de 1990- que en la actual –leyes 100 de 1993 y 797 de 2003-), </w:t>
      </w:r>
      <w:r w:rsidRPr="00BF0B47">
        <w:rPr>
          <w:rFonts w:ascii="Arial" w:hAnsi="Arial" w:cs="Arial"/>
          <w:b/>
          <w:iCs/>
          <w:szCs w:val="24"/>
        </w:rPr>
        <w:t>pero no tiene apoyo alguno en la nueva legislación en la que precisamente coexisten dos regímenes que si bien están diseñados para otorgar pensiones, las ofrecen con el lleno de requisitos  diferentes y beneficios anexos disímiles, que no permiten bajo ninguna circunstancia señalar al uno como mejor o peor que el otro</w:t>
      </w:r>
      <w:r w:rsidRPr="00BF0B47">
        <w:rPr>
          <w:rFonts w:ascii="Arial" w:hAnsi="Arial" w:cs="Arial"/>
          <w:iCs/>
          <w:szCs w:val="24"/>
        </w:rPr>
        <w:t>, entre otras cosas porque la nueva legislación parte de la base de que existe una abierta y libre competencia entre Administradoras públicas y privadas por el mercado de la administración de los riesgos de IVM.</w:t>
      </w:r>
    </w:p>
    <w:p w14:paraId="4C639E84" w14:textId="77777777" w:rsidR="0037589F" w:rsidRPr="00BF0B47" w:rsidRDefault="0037589F" w:rsidP="0037589F">
      <w:pPr>
        <w:suppressAutoHyphens/>
        <w:spacing w:line="288" w:lineRule="auto"/>
        <w:jc w:val="both"/>
        <w:rPr>
          <w:rFonts w:ascii="Arial" w:hAnsi="Arial" w:cs="Arial"/>
          <w:spacing w:val="-2"/>
          <w:szCs w:val="24"/>
        </w:rPr>
      </w:pPr>
    </w:p>
    <w:p w14:paraId="24C504DF" w14:textId="77777777" w:rsidR="0037589F" w:rsidRPr="00BF0B47" w:rsidRDefault="0037589F" w:rsidP="0037589F">
      <w:pPr>
        <w:spacing w:line="288" w:lineRule="auto"/>
        <w:ind w:right="51"/>
        <w:jc w:val="both"/>
        <w:rPr>
          <w:rFonts w:ascii="Arial" w:hAnsi="Arial" w:cs="Arial"/>
          <w:iCs/>
          <w:szCs w:val="24"/>
        </w:rPr>
      </w:pPr>
      <w:r w:rsidRPr="00BF0B47">
        <w:rPr>
          <w:rFonts w:ascii="Arial" w:hAnsi="Arial" w:cs="Arial"/>
          <w:iCs/>
          <w:szCs w:val="24"/>
        </w:rPr>
        <w:lastRenderedPageBreak/>
        <w:t>-</w:t>
      </w:r>
      <w:r>
        <w:rPr>
          <w:rFonts w:ascii="Arial" w:hAnsi="Arial" w:cs="Arial"/>
          <w:iCs/>
          <w:szCs w:val="24"/>
        </w:rPr>
        <w:t xml:space="preserve"> </w:t>
      </w:r>
      <w:r w:rsidRPr="00BF0B47">
        <w:rPr>
          <w:rFonts w:ascii="Arial" w:hAnsi="Arial" w:cs="Arial"/>
          <w:iCs/>
          <w:szCs w:val="24"/>
        </w:rPr>
        <w:t>REALIDAD NORMATIVA SOBRE LA SUPUESTA FALTA DE INFORMACIÓN QUE GENERA LA INEFICACIA DE LOS TRASLADOS (ARTÍCULO 11 DEL DECRETO 692 DE 1994 HOY 2.2.2.1.8 DEL D.U.R 1833/2016)</w:t>
      </w:r>
    </w:p>
    <w:p w14:paraId="3558AD76" w14:textId="77777777" w:rsidR="0037589F" w:rsidRPr="00BF0B47" w:rsidRDefault="0037589F" w:rsidP="0037589F">
      <w:pPr>
        <w:spacing w:line="288" w:lineRule="auto"/>
        <w:ind w:right="51"/>
        <w:jc w:val="both"/>
        <w:rPr>
          <w:rFonts w:ascii="Arial" w:hAnsi="Arial" w:cs="Arial"/>
          <w:b/>
          <w:iCs/>
          <w:szCs w:val="24"/>
        </w:rPr>
      </w:pPr>
    </w:p>
    <w:p w14:paraId="26036887" w14:textId="77777777" w:rsidR="0037589F" w:rsidRPr="00BF0B47" w:rsidRDefault="0037589F" w:rsidP="0037589F">
      <w:pPr>
        <w:spacing w:line="288" w:lineRule="auto"/>
        <w:ind w:right="51"/>
        <w:jc w:val="both"/>
        <w:rPr>
          <w:rFonts w:ascii="Arial" w:hAnsi="Arial" w:cs="Arial"/>
          <w:iCs/>
          <w:szCs w:val="24"/>
        </w:rPr>
      </w:pPr>
      <w:r w:rsidRPr="00BF0B47">
        <w:rPr>
          <w:rFonts w:ascii="Arial" w:hAnsi="Arial" w:cs="Arial"/>
          <w:iCs/>
          <w:szCs w:val="24"/>
        </w:rPr>
        <w:t>Se viene insistiendo reiteradamente en que la ineficacia del traslado se genera porque los Fondos Privados no dieron la suficiente y clara información a las personas que les permitiera tomar una libre decisión informada.</w:t>
      </w:r>
    </w:p>
    <w:p w14:paraId="6BCDC2A8" w14:textId="77777777" w:rsidR="0037589F" w:rsidRPr="00BF0B47" w:rsidRDefault="0037589F" w:rsidP="0037589F">
      <w:pPr>
        <w:spacing w:line="288" w:lineRule="auto"/>
        <w:ind w:right="51"/>
        <w:jc w:val="both"/>
        <w:rPr>
          <w:rFonts w:ascii="Arial" w:hAnsi="Arial" w:cs="Arial"/>
          <w:iCs/>
          <w:szCs w:val="24"/>
        </w:rPr>
      </w:pPr>
    </w:p>
    <w:p w14:paraId="4FB18909" w14:textId="77777777" w:rsidR="0037589F" w:rsidRPr="00BF0B47" w:rsidRDefault="0037589F" w:rsidP="0037589F">
      <w:pPr>
        <w:spacing w:line="288" w:lineRule="auto"/>
        <w:ind w:right="51"/>
        <w:jc w:val="both"/>
        <w:rPr>
          <w:rFonts w:ascii="Arial" w:hAnsi="Arial" w:cs="Arial"/>
          <w:iCs/>
          <w:szCs w:val="24"/>
        </w:rPr>
      </w:pPr>
      <w:r w:rsidRPr="00BF0B47">
        <w:rPr>
          <w:rFonts w:ascii="Arial" w:hAnsi="Arial" w:cs="Arial"/>
          <w:iCs/>
          <w:szCs w:val="24"/>
        </w:rPr>
        <w:t xml:space="preserve">Tal afirmación, no responde a la realidad. La reglamentación que dio desarrollo a la ley 100 de 1993 fue específica sobre el contenido de los formularios de afiliación y los traslados, de manera tal que </w:t>
      </w:r>
      <w:r w:rsidRPr="00BF0B47">
        <w:rPr>
          <w:rFonts w:ascii="Arial" w:hAnsi="Arial" w:cs="Arial"/>
          <w:b/>
          <w:iCs/>
          <w:szCs w:val="24"/>
        </w:rPr>
        <w:t>las AFP –que también son sujetos con derechos y a quienes también debe respetárseles el principio de confianza legítima</w:t>
      </w:r>
      <w:r w:rsidRPr="00BF0B47">
        <w:rPr>
          <w:rFonts w:ascii="Arial" w:hAnsi="Arial" w:cs="Arial"/>
          <w:iCs/>
          <w:szCs w:val="24"/>
        </w:rPr>
        <w:t xml:space="preserve">-, simplemente siguieron las indicaciones que sobre estos temas fueron señaladas en el artículo 114 de la ley 100 de 1993, en cuanto expresamente dispuso que para que las AFP pudieran válidamente aceptar un traslado bastaba </w:t>
      </w:r>
      <w:r w:rsidRPr="00BF0B47">
        <w:rPr>
          <w:rFonts w:ascii="Arial" w:hAnsi="Arial" w:cs="Arial"/>
          <w:b/>
          <w:iCs/>
          <w:szCs w:val="24"/>
        </w:rPr>
        <w:t xml:space="preserve">“la comunicación escrita en la que conste que la selección de dicho régimen se ha tomado de manera libre, espontánea y sin presiones”, </w:t>
      </w:r>
      <w:r w:rsidRPr="00BF0B47">
        <w:rPr>
          <w:rFonts w:ascii="Arial" w:hAnsi="Arial" w:cs="Arial"/>
          <w:iCs/>
          <w:szCs w:val="24"/>
        </w:rPr>
        <w:t xml:space="preserve">comunicación esta que tuvieron el cuidado de hacer constar en los formularios de afiliación y traslado, misma que, contrario al criterio esbozado por la Sala de Casación Laboral de la Corte Suprema de Justicia, da cabal certeza sobre el conocimiento que, de los pormenores del régimen, tiene el afiliado al optar por el traslado.   </w:t>
      </w:r>
      <w:r w:rsidRPr="00BF0B47">
        <w:rPr>
          <w:rFonts w:ascii="Arial" w:hAnsi="Arial" w:cs="Arial"/>
          <w:b/>
          <w:iCs/>
          <w:szCs w:val="24"/>
        </w:rPr>
        <w:t xml:space="preserve"> </w:t>
      </w:r>
      <w:r w:rsidRPr="00BF0B47">
        <w:rPr>
          <w:rFonts w:ascii="Arial" w:hAnsi="Arial" w:cs="Arial"/>
          <w:iCs/>
          <w:szCs w:val="24"/>
        </w:rPr>
        <w:t xml:space="preserve"> Es que sobre el punto no puede obviarse lo previsto en el decreto 692 de 1994 que, en desarrollo de tal precepto dispuso:</w:t>
      </w:r>
    </w:p>
    <w:p w14:paraId="68E30E96" w14:textId="77777777" w:rsidR="0037589F" w:rsidRPr="00BF0B47" w:rsidRDefault="0037589F" w:rsidP="0037589F">
      <w:pPr>
        <w:spacing w:line="288" w:lineRule="auto"/>
        <w:ind w:right="51"/>
        <w:jc w:val="both"/>
        <w:rPr>
          <w:rFonts w:ascii="Arial" w:hAnsi="Arial" w:cs="Arial"/>
          <w:iCs/>
          <w:szCs w:val="24"/>
        </w:rPr>
      </w:pPr>
    </w:p>
    <w:p w14:paraId="69B3750B" w14:textId="77777777" w:rsidR="0037589F" w:rsidRPr="00BF0B47" w:rsidRDefault="0037589F" w:rsidP="0037589F">
      <w:pPr>
        <w:ind w:left="426" w:right="476"/>
        <w:jc w:val="both"/>
        <w:rPr>
          <w:rFonts w:ascii="Arial" w:hAnsi="Arial" w:cs="Arial"/>
          <w:iCs/>
          <w:sz w:val="22"/>
          <w:szCs w:val="24"/>
        </w:rPr>
      </w:pPr>
      <w:r w:rsidRPr="00BF0B47">
        <w:rPr>
          <w:rFonts w:ascii="Arial" w:hAnsi="Arial" w:cs="Arial"/>
          <w:bCs/>
          <w:i/>
          <w:sz w:val="22"/>
          <w:szCs w:val="24"/>
          <w:lang w:val="es-ES"/>
        </w:rPr>
        <w:t xml:space="preserve">ARTICULO 11. DILIGENCIAMIENTO DE LA </w:t>
      </w:r>
      <w:r w:rsidRPr="00802DFB">
        <w:rPr>
          <w:rFonts w:ascii="Arial" w:hAnsi="Arial" w:cs="Arial"/>
          <w:bCs/>
          <w:i/>
          <w:sz w:val="22"/>
          <w:szCs w:val="24"/>
          <w:lang w:val="es-ES"/>
        </w:rPr>
        <w:t>SELECCIÓN</w:t>
      </w:r>
      <w:r w:rsidRPr="00BF0B47">
        <w:rPr>
          <w:rFonts w:ascii="Arial" w:hAnsi="Arial" w:cs="Arial"/>
          <w:bCs/>
          <w:i/>
          <w:sz w:val="22"/>
          <w:szCs w:val="24"/>
          <w:lang w:val="es-ES"/>
        </w:rPr>
        <w:t xml:space="preserve"> Y </w:t>
      </w:r>
      <w:r w:rsidRPr="00802DFB">
        <w:rPr>
          <w:rFonts w:ascii="Arial" w:hAnsi="Arial" w:cs="Arial"/>
          <w:bCs/>
          <w:i/>
          <w:sz w:val="22"/>
          <w:szCs w:val="24"/>
          <w:lang w:val="es-ES"/>
        </w:rPr>
        <w:t>VINCULACIÓN</w:t>
      </w:r>
      <w:r w:rsidRPr="00BF0B47">
        <w:rPr>
          <w:rFonts w:ascii="Arial" w:hAnsi="Arial" w:cs="Arial"/>
          <w:bCs/>
          <w:i/>
          <w:sz w:val="22"/>
          <w:szCs w:val="24"/>
          <w:lang w:val="es-ES"/>
        </w:rPr>
        <w:t>.</w:t>
      </w:r>
      <w:bookmarkStart w:id="2" w:name="11"/>
      <w:bookmarkEnd w:id="2"/>
      <w:r w:rsidRPr="00BF0B47">
        <w:rPr>
          <w:rFonts w:ascii="Arial" w:hAnsi="Arial" w:cs="Arial"/>
          <w:i/>
          <w:sz w:val="22"/>
          <w:szCs w:val="24"/>
          <w:lang w:val="es-ES"/>
        </w:rPr>
        <w:t> </w:t>
      </w:r>
      <w:r w:rsidRPr="00BF0B47">
        <w:rPr>
          <w:rFonts w:ascii="Arial" w:hAnsi="Arial" w:cs="Arial"/>
          <w:bCs/>
          <w:i/>
          <w:sz w:val="22"/>
          <w:szCs w:val="24"/>
          <w:lang w:val="es-ES"/>
        </w:rPr>
        <w:t>&lt;Artículo compilado en el artículo </w:t>
      </w:r>
      <w:hyperlink r:id="rId9" w:anchor="2.2.2.1.8" w:history="1">
        <w:r w:rsidRPr="00802DFB">
          <w:rPr>
            <w:rFonts w:ascii="Arial" w:hAnsi="Arial" w:cs="Arial"/>
            <w:bCs/>
            <w:i/>
            <w:color w:val="0563C1"/>
            <w:sz w:val="22"/>
            <w:szCs w:val="24"/>
            <w:u w:val="single"/>
            <w:lang w:val="es-ES"/>
          </w:rPr>
          <w:t>2.2.2.1.8</w:t>
        </w:r>
      </w:hyperlink>
      <w:r w:rsidRPr="00BF0B47">
        <w:rPr>
          <w:rFonts w:ascii="Arial" w:hAnsi="Arial" w:cs="Arial"/>
          <w:bCs/>
          <w:i/>
          <w:sz w:val="22"/>
          <w:szCs w:val="24"/>
          <w:lang w:val="es-ES"/>
        </w:rPr>
        <w:t> del Decreto Único Reglamentario 1833 de 2016.</w:t>
      </w:r>
      <w:r w:rsidRPr="00BF0B47">
        <w:rPr>
          <w:rFonts w:ascii="Arial" w:hAnsi="Arial" w:cs="Arial"/>
          <w:b/>
          <w:bCs/>
          <w:i/>
          <w:color w:val="004C91"/>
          <w:sz w:val="22"/>
          <w:szCs w:val="24"/>
          <w:lang w:val="es-ES"/>
        </w:rPr>
        <w:t> </w:t>
      </w:r>
    </w:p>
    <w:p w14:paraId="249E1E0F" w14:textId="77777777" w:rsidR="0037589F" w:rsidRPr="00BF0B47" w:rsidRDefault="0037589F" w:rsidP="0037589F">
      <w:pPr>
        <w:ind w:left="426" w:right="476"/>
        <w:jc w:val="both"/>
        <w:rPr>
          <w:rFonts w:ascii="Arial" w:hAnsi="Arial" w:cs="Arial"/>
          <w:iCs/>
          <w:sz w:val="22"/>
          <w:szCs w:val="24"/>
        </w:rPr>
      </w:pPr>
    </w:p>
    <w:p w14:paraId="60F3F0FA" w14:textId="77777777" w:rsidR="0037589F" w:rsidRPr="00BF0B47" w:rsidRDefault="0037589F" w:rsidP="0037589F">
      <w:pPr>
        <w:ind w:left="426" w:right="476"/>
        <w:jc w:val="both"/>
        <w:rPr>
          <w:rFonts w:ascii="Arial" w:hAnsi="Arial" w:cs="Arial"/>
          <w:iCs/>
          <w:sz w:val="22"/>
          <w:szCs w:val="24"/>
        </w:rPr>
      </w:pPr>
      <w:r w:rsidRPr="00BF0B47">
        <w:rPr>
          <w:rFonts w:ascii="Arial" w:hAnsi="Arial" w:cs="Arial"/>
          <w:i/>
          <w:color w:val="000000"/>
          <w:sz w:val="22"/>
          <w:szCs w:val="24"/>
          <w:lang w:val="es-ES"/>
        </w:rPr>
        <w:t>La selección del régimen implica la aceptación de las condiciones propias de éste, para acceder a las pensiones de vejez, invalidez y sobrevivientes, y demás prestaciones económicas a que haya lugar.</w:t>
      </w:r>
    </w:p>
    <w:p w14:paraId="09708442" w14:textId="77777777" w:rsidR="0037589F" w:rsidRPr="00BF0B47" w:rsidRDefault="0037589F" w:rsidP="0037589F">
      <w:pPr>
        <w:ind w:left="426" w:right="476"/>
        <w:jc w:val="both"/>
        <w:rPr>
          <w:rFonts w:ascii="Arial" w:hAnsi="Arial" w:cs="Arial"/>
          <w:iCs/>
          <w:sz w:val="22"/>
          <w:szCs w:val="24"/>
        </w:rPr>
      </w:pPr>
    </w:p>
    <w:p w14:paraId="3C8E9EDC" w14:textId="77777777" w:rsidR="0037589F" w:rsidRPr="00BF0B47" w:rsidRDefault="0037589F" w:rsidP="0037589F">
      <w:pPr>
        <w:ind w:left="426" w:right="476"/>
        <w:jc w:val="both"/>
        <w:rPr>
          <w:rFonts w:ascii="Arial" w:hAnsi="Arial" w:cs="Arial"/>
          <w:iCs/>
          <w:sz w:val="22"/>
          <w:szCs w:val="24"/>
        </w:rPr>
      </w:pPr>
      <w:r w:rsidRPr="00BF0B47">
        <w:rPr>
          <w:rFonts w:ascii="Arial" w:hAnsi="Arial" w:cs="Arial"/>
          <w:i/>
          <w:color w:val="000000"/>
          <w:sz w:val="22"/>
          <w:szCs w:val="24"/>
          <w:lang w:val="es-ES"/>
        </w:rPr>
        <w:t>La selección de uno cualquiera de los regímenes previstos en los artículos anteriores es libre y voluntaria por parte del afiliado. Tratándose de trabajadores con vinculación contractual, legal o reglamentaria, la selección efectuada deberá ser informada por escrito al empleador al momento de la vinculación o cuando se traslade de régimen o de administradora, con el objeto de que éste efectúe las cotizaciones a que haya lugar.</w:t>
      </w:r>
    </w:p>
    <w:p w14:paraId="46713151" w14:textId="77777777" w:rsidR="0037589F" w:rsidRPr="00BF0B47" w:rsidRDefault="0037589F" w:rsidP="0037589F">
      <w:pPr>
        <w:ind w:left="426" w:right="476"/>
        <w:jc w:val="both"/>
        <w:rPr>
          <w:rFonts w:ascii="Arial" w:hAnsi="Arial" w:cs="Arial"/>
          <w:iCs/>
          <w:sz w:val="22"/>
          <w:szCs w:val="24"/>
        </w:rPr>
      </w:pPr>
    </w:p>
    <w:p w14:paraId="7F7DD0A1" w14:textId="77777777" w:rsidR="0037589F" w:rsidRPr="00BF0B47" w:rsidRDefault="0037589F" w:rsidP="0037589F">
      <w:pPr>
        <w:ind w:left="426" w:right="476"/>
        <w:jc w:val="both"/>
        <w:rPr>
          <w:rFonts w:ascii="Arial" w:hAnsi="Arial" w:cs="Arial"/>
          <w:iCs/>
          <w:sz w:val="22"/>
          <w:szCs w:val="24"/>
        </w:rPr>
      </w:pPr>
      <w:r w:rsidRPr="00BF0B47">
        <w:rPr>
          <w:rFonts w:ascii="Arial" w:hAnsi="Arial" w:cs="Arial"/>
          <w:i/>
          <w:color w:val="000000"/>
          <w:sz w:val="22"/>
          <w:szCs w:val="24"/>
          <w:lang w:val="es-ES"/>
        </w:rPr>
        <w:t>Quienes decidan afiliarse voluntariamente al sistema, manifestarán su decisión al momento de vincularse a una determinada administradora.</w:t>
      </w:r>
    </w:p>
    <w:p w14:paraId="18B9B963" w14:textId="77777777" w:rsidR="0037589F" w:rsidRPr="00BF0B47" w:rsidRDefault="0037589F" w:rsidP="0037589F">
      <w:pPr>
        <w:ind w:left="426" w:right="476"/>
        <w:jc w:val="both"/>
        <w:rPr>
          <w:rFonts w:ascii="Arial" w:hAnsi="Arial" w:cs="Arial"/>
          <w:iCs/>
          <w:sz w:val="22"/>
          <w:szCs w:val="24"/>
        </w:rPr>
      </w:pPr>
    </w:p>
    <w:p w14:paraId="2809B90C" w14:textId="77777777" w:rsidR="0037589F" w:rsidRPr="00BF0B47" w:rsidRDefault="0037589F" w:rsidP="0037589F">
      <w:pPr>
        <w:ind w:left="426" w:right="476"/>
        <w:jc w:val="both"/>
        <w:rPr>
          <w:rFonts w:ascii="Arial" w:hAnsi="Arial" w:cs="Arial"/>
          <w:iCs/>
          <w:sz w:val="22"/>
          <w:szCs w:val="24"/>
        </w:rPr>
      </w:pPr>
      <w:r w:rsidRPr="00BF0B47">
        <w:rPr>
          <w:rFonts w:ascii="Arial" w:hAnsi="Arial" w:cs="Arial"/>
          <w:i/>
          <w:color w:val="000000"/>
          <w:sz w:val="22"/>
          <w:szCs w:val="24"/>
          <w:lang w:val="es-ES"/>
        </w:rPr>
        <w:t>Efectuada la selección el empleador deberá adelantar el proceso de vinculación con la respectiva administradora, mediante el diligenciamiento de un formulario previsto para el efecto por la Superintendencia Bancaria, que deberá contener por lo menos los siguientes datos:</w:t>
      </w:r>
    </w:p>
    <w:p w14:paraId="180CD009" w14:textId="77777777" w:rsidR="0037589F" w:rsidRPr="00BF0B47" w:rsidRDefault="0037589F" w:rsidP="0037589F">
      <w:pPr>
        <w:ind w:left="426" w:right="476"/>
        <w:jc w:val="both"/>
        <w:rPr>
          <w:rFonts w:ascii="Arial" w:hAnsi="Arial" w:cs="Arial"/>
          <w:iCs/>
          <w:sz w:val="22"/>
          <w:szCs w:val="24"/>
        </w:rPr>
      </w:pPr>
    </w:p>
    <w:p w14:paraId="3E95B878" w14:textId="77777777" w:rsidR="0037589F" w:rsidRPr="00BF0B47" w:rsidRDefault="0037589F" w:rsidP="0037589F">
      <w:pPr>
        <w:ind w:left="426" w:right="476"/>
        <w:jc w:val="both"/>
        <w:rPr>
          <w:rFonts w:ascii="Arial" w:hAnsi="Arial" w:cs="Arial"/>
          <w:iCs/>
          <w:sz w:val="22"/>
          <w:szCs w:val="24"/>
        </w:rPr>
      </w:pPr>
      <w:r w:rsidRPr="00BF0B47">
        <w:rPr>
          <w:rFonts w:ascii="Arial" w:hAnsi="Arial" w:cs="Arial"/>
          <w:i/>
          <w:color w:val="000000"/>
          <w:sz w:val="22"/>
          <w:szCs w:val="24"/>
          <w:lang w:val="es-ES"/>
        </w:rPr>
        <w:t>a) Lugar y fecha;</w:t>
      </w:r>
    </w:p>
    <w:p w14:paraId="10D2AD36" w14:textId="77777777" w:rsidR="0037589F" w:rsidRPr="00BF0B47" w:rsidRDefault="0037589F" w:rsidP="0037589F">
      <w:pPr>
        <w:ind w:left="426" w:right="476"/>
        <w:jc w:val="both"/>
        <w:rPr>
          <w:rFonts w:ascii="Arial" w:hAnsi="Arial" w:cs="Arial"/>
          <w:iCs/>
          <w:sz w:val="22"/>
          <w:szCs w:val="24"/>
        </w:rPr>
      </w:pPr>
    </w:p>
    <w:p w14:paraId="7D4BAD61" w14:textId="77777777" w:rsidR="0037589F" w:rsidRPr="00BF0B47" w:rsidRDefault="0037589F" w:rsidP="0037589F">
      <w:pPr>
        <w:ind w:left="426" w:right="476"/>
        <w:jc w:val="both"/>
        <w:rPr>
          <w:rFonts w:ascii="Arial" w:hAnsi="Arial" w:cs="Arial"/>
          <w:iCs/>
          <w:sz w:val="22"/>
          <w:szCs w:val="24"/>
        </w:rPr>
      </w:pPr>
      <w:r w:rsidRPr="00BF0B47">
        <w:rPr>
          <w:rFonts w:ascii="Arial" w:hAnsi="Arial" w:cs="Arial"/>
          <w:i/>
          <w:color w:val="000000"/>
          <w:sz w:val="22"/>
          <w:szCs w:val="24"/>
          <w:lang w:val="es-ES"/>
        </w:rPr>
        <w:t>b) Nombre o razón social y NIT del empleador;</w:t>
      </w:r>
    </w:p>
    <w:p w14:paraId="5B476E5A" w14:textId="77777777" w:rsidR="0037589F" w:rsidRPr="00BF0B47" w:rsidRDefault="0037589F" w:rsidP="0037589F">
      <w:pPr>
        <w:ind w:left="426" w:right="476"/>
        <w:jc w:val="both"/>
        <w:rPr>
          <w:rFonts w:ascii="Arial" w:hAnsi="Arial" w:cs="Arial"/>
          <w:iCs/>
          <w:sz w:val="22"/>
          <w:szCs w:val="24"/>
        </w:rPr>
      </w:pPr>
    </w:p>
    <w:p w14:paraId="5E61664F" w14:textId="77777777" w:rsidR="0037589F" w:rsidRPr="00BF0B47" w:rsidRDefault="0037589F" w:rsidP="0037589F">
      <w:pPr>
        <w:ind w:left="426" w:right="476"/>
        <w:jc w:val="both"/>
        <w:rPr>
          <w:rFonts w:ascii="Arial" w:hAnsi="Arial" w:cs="Arial"/>
          <w:iCs/>
          <w:sz w:val="22"/>
          <w:szCs w:val="24"/>
        </w:rPr>
      </w:pPr>
      <w:r w:rsidRPr="00BF0B47">
        <w:rPr>
          <w:rFonts w:ascii="Arial" w:hAnsi="Arial" w:cs="Arial"/>
          <w:i/>
          <w:color w:val="000000"/>
          <w:sz w:val="22"/>
          <w:szCs w:val="24"/>
          <w:lang w:val="es-ES"/>
        </w:rPr>
        <w:t>c) Nombre y apellidos del afiliado;</w:t>
      </w:r>
    </w:p>
    <w:p w14:paraId="599EC8F4" w14:textId="77777777" w:rsidR="0037589F" w:rsidRPr="00BF0B47" w:rsidRDefault="0037589F" w:rsidP="0037589F">
      <w:pPr>
        <w:ind w:left="426" w:right="476"/>
        <w:jc w:val="both"/>
        <w:rPr>
          <w:rFonts w:ascii="Arial" w:hAnsi="Arial" w:cs="Arial"/>
          <w:iCs/>
          <w:sz w:val="22"/>
          <w:szCs w:val="24"/>
        </w:rPr>
      </w:pPr>
    </w:p>
    <w:p w14:paraId="3B9013D4" w14:textId="77777777" w:rsidR="0037589F" w:rsidRPr="00BF0B47" w:rsidRDefault="0037589F" w:rsidP="0037589F">
      <w:pPr>
        <w:ind w:left="426" w:right="476"/>
        <w:jc w:val="both"/>
        <w:rPr>
          <w:rFonts w:ascii="Arial" w:hAnsi="Arial" w:cs="Arial"/>
          <w:iCs/>
          <w:sz w:val="22"/>
          <w:szCs w:val="24"/>
        </w:rPr>
      </w:pPr>
      <w:r w:rsidRPr="00BF0B47">
        <w:rPr>
          <w:rFonts w:ascii="Arial" w:hAnsi="Arial" w:cs="Arial"/>
          <w:i/>
          <w:color w:val="000000"/>
          <w:sz w:val="22"/>
          <w:szCs w:val="24"/>
          <w:lang w:val="es-ES"/>
        </w:rPr>
        <w:t>d) Número de cédula o NIT del afiliado;</w:t>
      </w:r>
    </w:p>
    <w:p w14:paraId="21558808" w14:textId="77777777" w:rsidR="0037589F" w:rsidRPr="00BF0B47" w:rsidRDefault="0037589F" w:rsidP="0037589F">
      <w:pPr>
        <w:ind w:left="426" w:right="476"/>
        <w:jc w:val="both"/>
        <w:rPr>
          <w:rFonts w:ascii="Arial" w:hAnsi="Arial" w:cs="Arial"/>
          <w:iCs/>
          <w:sz w:val="22"/>
          <w:szCs w:val="24"/>
        </w:rPr>
      </w:pPr>
    </w:p>
    <w:p w14:paraId="6950507A" w14:textId="77777777" w:rsidR="0037589F" w:rsidRPr="00BF0B47" w:rsidRDefault="0037589F" w:rsidP="0037589F">
      <w:pPr>
        <w:ind w:left="426" w:right="476"/>
        <w:jc w:val="both"/>
        <w:rPr>
          <w:rFonts w:ascii="Arial" w:hAnsi="Arial" w:cs="Arial"/>
          <w:iCs/>
          <w:sz w:val="22"/>
          <w:szCs w:val="24"/>
        </w:rPr>
      </w:pPr>
      <w:r w:rsidRPr="00BF0B47">
        <w:rPr>
          <w:rFonts w:ascii="Arial" w:hAnsi="Arial" w:cs="Arial"/>
          <w:i/>
          <w:color w:val="000000"/>
          <w:sz w:val="22"/>
          <w:szCs w:val="24"/>
          <w:lang w:val="es-ES"/>
        </w:rPr>
        <w:t>e) Entidad administradora del régimen de pensiones a la cual desea afiliarse, la cual podrá estar preimpresa;</w:t>
      </w:r>
    </w:p>
    <w:p w14:paraId="492C53A7" w14:textId="77777777" w:rsidR="0037589F" w:rsidRPr="00BF0B47" w:rsidRDefault="0037589F" w:rsidP="0037589F">
      <w:pPr>
        <w:ind w:left="426" w:right="476"/>
        <w:jc w:val="both"/>
        <w:rPr>
          <w:rFonts w:ascii="Arial" w:hAnsi="Arial" w:cs="Arial"/>
          <w:iCs/>
          <w:sz w:val="22"/>
          <w:szCs w:val="24"/>
        </w:rPr>
      </w:pPr>
    </w:p>
    <w:p w14:paraId="449206C2" w14:textId="77777777" w:rsidR="0037589F" w:rsidRPr="00BF0B47" w:rsidRDefault="0037589F" w:rsidP="0037589F">
      <w:pPr>
        <w:ind w:left="426" w:right="476"/>
        <w:jc w:val="both"/>
        <w:rPr>
          <w:rFonts w:ascii="Arial" w:hAnsi="Arial" w:cs="Arial"/>
          <w:iCs/>
          <w:sz w:val="22"/>
          <w:szCs w:val="24"/>
        </w:rPr>
      </w:pPr>
      <w:r w:rsidRPr="00BF0B47">
        <w:rPr>
          <w:rFonts w:ascii="Arial" w:hAnsi="Arial" w:cs="Arial"/>
          <w:i/>
          <w:color w:val="000000"/>
          <w:sz w:val="22"/>
          <w:szCs w:val="24"/>
          <w:lang w:val="es-ES"/>
        </w:rPr>
        <w:t>f) Datos del cónyuge, compañero o compañera permanente, hijos o beneficiarios del afiliado.</w:t>
      </w:r>
    </w:p>
    <w:p w14:paraId="311A1931" w14:textId="77777777" w:rsidR="0037589F" w:rsidRPr="00BF0B47" w:rsidRDefault="0037589F" w:rsidP="0037589F">
      <w:pPr>
        <w:ind w:left="426" w:right="476"/>
        <w:jc w:val="both"/>
        <w:rPr>
          <w:rFonts w:ascii="Arial" w:hAnsi="Arial" w:cs="Arial"/>
          <w:iCs/>
          <w:sz w:val="22"/>
          <w:szCs w:val="24"/>
        </w:rPr>
      </w:pPr>
    </w:p>
    <w:p w14:paraId="51454909" w14:textId="77777777" w:rsidR="0037589F" w:rsidRPr="00BF0B47" w:rsidRDefault="0037589F" w:rsidP="0037589F">
      <w:pPr>
        <w:ind w:left="426" w:right="476"/>
        <w:jc w:val="both"/>
        <w:rPr>
          <w:rFonts w:ascii="Arial" w:hAnsi="Arial" w:cs="Arial"/>
          <w:iCs/>
          <w:sz w:val="22"/>
          <w:szCs w:val="24"/>
        </w:rPr>
      </w:pPr>
      <w:r w:rsidRPr="00BF0B47">
        <w:rPr>
          <w:rFonts w:ascii="Arial" w:hAnsi="Arial" w:cs="Arial"/>
          <w:i/>
          <w:color w:val="000000"/>
          <w:sz w:val="22"/>
          <w:szCs w:val="24"/>
          <w:lang w:val="es-ES"/>
        </w:rPr>
        <w:t>El formulario deberá diligenciarse en original y dos copias, cuya distribución será la siguiente: el original para la administradora, una copia para el empleador y otra para el afiliado.</w:t>
      </w:r>
    </w:p>
    <w:p w14:paraId="6A0FCF1C" w14:textId="77777777" w:rsidR="0037589F" w:rsidRPr="00BF0B47" w:rsidRDefault="0037589F" w:rsidP="0037589F">
      <w:pPr>
        <w:ind w:left="426" w:right="476"/>
        <w:jc w:val="both"/>
        <w:rPr>
          <w:rFonts w:ascii="Arial" w:hAnsi="Arial" w:cs="Arial"/>
          <w:iCs/>
          <w:sz w:val="22"/>
          <w:szCs w:val="24"/>
        </w:rPr>
      </w:pPr>
    </w:p>
    <w:p w14:paraId="7B895423" w14:textId="77777777" w:rsidR="0037589F" w:rsidRPr="00BF0B47" w:rsidRDefault="0037589F" w:rsidP="0037589F">
      <w:pPr>
        <w:ind w:left="426" w:right="476"/>
        <w:jc w:val="both"/>
        <w:rPr>
          <w:rFonts w:ascii="Arial" w:hAnsi="Arial" w:cs="Arial"/>
          <w:b/>
          <w:iCs/>
          <w:sz w:val="22"/>
          <w:szCs w:val="24"/>
        </w:rPr>
      </w:pPr>
      <w:r w:rsidRPr="00BF0B47">
        <w:rPr>
          <w:rFonts w:ascii="Arial" w:hAnsi="Arial" w:cs="Arial"/>
          <w:b/>
          <w:i/>
          <w:color w:val="000000"/>
          <w:sz w:val="22"/>
          <w:szCs w:val="24"/>
          <w:lang w:val="es-ES"/>
        </w:rPr>
        <w:t>No se considerará válida la vinculación a la administradora cuando el formulario respectivo no contenga los anteriores datos, en cuyo caso la administradora deberá notificar al afiliado y a su respectivo empleador la información que deba subsanarse.</w:t>
      </w:r>
    </w:p>
    <w:p w14:paraId="5E6DC34A" w14:textId="77777777" w:rsidR="0037589F" w:rsidRPr="00BF0B47" w:rsidRDefault="0037589F" w:rsidP="0037589F">
      <w:pPr>
        <w:ind w:left="426" w:right="476"/>
        <w:jc w:val="both"/>
        <w:rPr>
          <w:rFonts w:ascii="Arial" w:hAnsi="Arial" w:cs="Arial"/>
          <w:iCs/>
          <w:sz w:val="22"/>
          <w:szCs w:val="24"/>
        </w:rPr>
      </w:pPr>
    </w:p>
    <w:p w14:paraId="33E9E266" w14:textId="77777777" w:rsidR="0037589F" w:rsidRPr="00BF0B47" w:rsidRDefault="0037589F" w:rsidP="0037589F">
      <w:pPr>
        <w:ind w:left="426" w:right="476"/>
        <w:jc w:val="both"/>
        <w:rPr>
          <w:rFonts w:ascii="Arial" w:hAnsi="Arial" w:cs="Arial"/>
          <w:iCs/>
          <w:sz w:val="22"/>
          <w:szCs w:val="24"/>
        </w:rPr>
      </w:pPr>
      <w:r w:rsidRPr="00BF0B47">
        <w:rPr>
          <w:rFonts w:ascii="Arial" w:hAnsi="Arial" w:cs="Arial"/>
          <w:b/>
          <w:i/>
          <w:color w:val="000000"/>
          <w:sz w:val="22"/>
          <w:szCs w:val="24"/>
          <w:lang w:val="es-ES"/>
        </w:rPr>
        <w:t>Cuando el afiliado se traslade por primera vez del régimen solidario de prima media con prestación definida al régimen de ahorro individual con solidaridad en el formulario deberá consignarse que la decisión de trasladarse al régimen seleccionado se ha tomado de manera libre, espontánea y sin presiones. El formulario puede contener la leyenda preimpresa en este sentido”.</w:t>
      </w:r>
    </w:p>
    <w:p w14:paraId="2E9F27D7" w14:textId="77777777" w:rsidR="0037589F" w:rsidRPr="00BF0B47" w:rsidRDefault="0037589F" w:rsidP="0037589F">
      <w:pPr>
        <w:spacing w:line="288" w:lineRule="auto"/>
        <w:ind w:right="51"/>
        <w:jc w:val="both"/>
        <w:rPr>
          <w:rFonts w:ascii="Arial" w:hAnsi="Arial" w:cs="Arial"/>
          <w:iCs/>
          <w:szCs w:val="24"/>
        </w:rPr>
      </w:pPr>
      <w:r w:rsidRPr="00BF0B47">
        <w:rPr>
          <w:rFonts w:ascii="Arial" w:hAnsi="Arial" w:cs="Arial"/>
          <w:iCs/>
          <w:szCs w:val="24"/>
        </w:rPr>
        <w:t xml:space="preserve"> </w:t>
      </w:r>
    </w:p>
    <w:p w14:paraId="40AFD5A0" w14:textId="77777777" w:rsidR="003F4F8E" w:rsidRPr="003F4F8E" w:rsidRDefault="003F4F8E" w:rsidP="003F4F8E">
      <w:pPr>
        <w:spacing w:line="288" w:lineRule="auto"/>
        <w:ind w:right="51"/>
        <w:jc w:val="both"/>
        <w:rPr>
          <w:rFonts w:ascii="Arial" w:hAnsi="Arial"/>
          <w:iCs/>
          <w:szCs w:val="24"/>
        </w:rPr>
      </w:pPr>
      <w:r w:rsidRPr="003F4F8E">
        <w:rPr>
          <w:rFonts w:ascii="Arial" w:hAnsi="Arial"/>
          <w:iCs/>
          <w:szCs w:val="24"/>
        </w:rPr>
        <w:t>Véase como, no solo la norma señaló la información que debía contener el formulario sino que, expresamente determinó los casos en que no se consideraría válida y, tratándose de traslados, advirtió que debería haber una leyenda expresa –</w:t>
      </w:r>
      <w:r w:rsidRPr="003F4F8E">
        <w:rPr>
          <w:rFonts w:ascii="Arial" w:hAnsi="Arial"/>
          <w:b/>
          <w:iCs/>
          <w:szCs w:val="24"/>
        </w:rPr>
        <w:t>que podía estar preimpresa</w:t>
      </w:r>
      <w:r w:rsidRPr="003F4F8E">
        <w:rPr>
          <w:rFonts w:ascii="Arial" w:hAnsi="Arial"/>
          <w:iCs/>
          <w:szCs w:val="24"/>
        </w:rPr>
        <w:t>- en la cual constara que la decisión de traslado se tomó de manera libre, espontánea y sin presiones. Entonces, frente a tal direccionamiento e indicación ¿Cómo pretender ahora que las administradoras –a quienes se les ofreció la libre competencia- y que cumplieron a cabalidad con las normas de afiliación dispuestas en la ley especial que las creó, se les reclame que no dieron la información suficiente, a pesar de haber hecho los formularios de afiliación con base en las indicaciones legales? Al respecto no se puede olvidar que el artículo 84 de la Constitución Nacional tiene previsto que:</w:t>
      </w:r>
    </w:p>
    <w:p w14:paraId="34A324EE" w14:textId="77777777" w:rsidR="003F4F8E" w:rsidRPr="003F4F8E" w:rsidRDefault="003F4F8E" w:rsidP="003F4F8E">
      <w:pPr>
        <w:spacing w:line="288" w:lineRule="auto"/>
        <w:ind w:right="51"/>
        <w:jc w:val="both"/>
        <w:rPr>
          <w:rFonts w:ascii="Arial" w:hAnsi="Arial"/>
          <w:iCs/>
          <w:szCs w:val="24"/>
        </w:rPr>
      </w:pPr>
    </w:p>
    <w:p w14:paraId="71CC9513" w14:textId="77777777" w:rsidR="003F4F8E" w:rsidRPr="003F4F8E" w:rsidRDefault="003F4F8E" w:rsidP="003F4F8E">
      <w:pPr>
        <w:ind w:left="426" w:right="418"/>
        <w:jc w:val="both"/>
        <w:rPr>
          <w:rFonts w:ascii="Arial" w:hAnsi="Arial"/>
          <w:iCs/>
          <w:sz w:val="22"/>
          <w:szCs w:val="24"/>
        </w:rPr>
      </w:pPr>
      <w:r w:rsidRPr="003F4F8E">
        <w:rPr>
          <w:rFonts w:ascii="Arial" w:hAnsi="Arial"/>
          <w:iCs/>
          <w:sz w:val="22"/>
          <w:szCs w:val="24"/>
        </w:rPr>
        <w:t xml:space="preserve">“Cuando un derecho o una actividad hayan sido reglamentadas de manera general, las autoridades públicas no podrán establecer ni exigir permisos, licencias o </w:t>
      </w:r>
      <w:r w:rsidRPr="003F4F8E">
        <w:rPr>
          <w:rFonts w:ascii="Arial" w:hAnsi="Arial"/>
          <w:b/>
          <w:iCs/>
          <w:sz w:val="22"/>
          <w:szCs w:val="24"/>
        </w:rPr>
        <w:t>requisitos adicionales para su ejercicio”</w:t>
      </w:r>
      <w:r w:rsidRPr="003F4F8E">
        <w:rPr>
          <w:rFonts w:ascii="Arial" w:hAnsi="Arial"/>
          <w:iCs/>
          <w:sz w:val="22"/>
          <w:szCs w:val="24"/>
        </w:rPr>
        <w:t xml:space="preserve"> </w:t>
      </w:r>
    </w:p>
    <w:p w14:paraId="507FF934" w14:textId="77777777" w:rsidR="003F4F8E" w:rsidRPr="003F4F8E" w:rsidRDefault="003F4F8E" w:rsidP="003F4F8E">
      <w:pPr>
        <w:spacing w:line="288" w:lineRule="auto"/>
        <w:ind w:right="51"/>
        <w:jc w:val="both"/>
        <w:rPr>
          <w:rFonts w:ascii="Arial" w:hAnsi="Arial"/>
          <w:iCs/>
          <w:szCs w:val="24"/>
        </w:rPr>
      </w:pPr>
    </w:p>
    <w:p w14:paraId="5888311B" w14:textId="77777777" w:rsidR="003F4F8E" w:rsidRPr="003F4F8E" w:rsidRDefault="003F4F8E" w:rsidP="003F4F8E">
      <w:pPr>
        <w:spacing w:line="288" w:lineRule="auto"/>
        <w:ind w:right="51"/>
        <w:jc w:val="both"/>
        <w:rPr>
          <w:rFonts w:ascii="Arial" w:hAnsi="Arial"/>
          <w:iCs/>
          <w:szCs w:val="24"/>
        </w:rPr>
      </w:pPr>
      <w:r w:rsidRPr="003F4F8E">
        <w:rPr>
          <w:rFonts w:ascii="Arial" w:hAnsi="Arial"/>
          <w:iCs/>
          <w:szCs w:val="24"/>
        </w:rPr>
        <w:t xml:space="preserve">No cabe duda entonces. Contrario a lo dicho por la jurisprudencia vigente, los formularios son la prueba de que los asesores de las AFP cumplieron las obligaciones consagradas en los artículos 97 y 98 del Estatuto Orgánico del Sistema Financiero. </w:t>
      </w:r>
    </w:p>
    <w:p w14:paraId="7BD0C441" w14:textId="77777777" w:rsidR="003F4F8E" w:rsidRPr="003F4F8E" w:rsidRDefault="003F4F8E" w:rsidP="003F4F8E">
      <w:pPr>
        <w:spacing w:line="288" w:lineRule="auto"/>
        <w:ind w:right="51"/>
        <w:jc w:val="both"/>
        <w:rPr>
          <w:rFonts w:ascii="Arial" w:hAnsi="Arial"/>
          <w:iCs/>
          <w:szCs w:val="24"/>
        </w:rPr>
      </w:pPr>
    </w:p>
    <w:p w14:paraId="1305DD97" w14:textId="77777777" w:rsidR="003F4F8E" w:rsidRPr="003F4F8E" w:rsidRDefault="003F4F8E" w:rsidP="003F4F8E">
      <w:pPr>
        <w:spacing w:line="288" w:lineRule="auto"/>
        <w:ind w:right="51"/>
        <w:jc w:val="both"/>
        <w:rPr>
          <w:rFonts w:ascii="Arial" w:hAnsi="Arial"/>
          <w:iCs/>
          <w:szCs w:val="24"/>
        </w:rPr>
      </w:pPr>
      <w:r w:rsidRPr="003F4F8E">
        <w:rPr>
          <w:rFonts w:ascii="Arial" w:hAnsi="Arial"/>
          <w:iCs/>
          <w:szCs w:val="24"/>
        </w:rPr>
        <w:t>Respecto a estas últimas normas, en concreto el artículo 97, las Salas de decisión laboral No. 1 y 4 de este Tribunal por mayorías, con ponencia de la doctora Olga lucía Hoyos Sepúlveda han dicho:</w:t>
      </w:r>
    </w:p>
    <w:p w14:paraId="63129397" w14:textId="77777777" w:rsidR="003F4F8E" w:rsidRPr="003F4F8E" w:rsidRDefault="003F4F8E" w:rsidP="003F4F8E">
      <w:pPr>
        <w:spacing w:line="288" w:lineRule="auto"/>
        <w:ind w:right="51"/>
        <w:jc w:val="both"/>
        <w:rPr>
          <w:rFonts w:ascii="Arial" w:hAnsi="Arial"/>
          <w:iCs/>
          <w:szCs w:val="24"/>
        </w:rPr>
      </w:pPr>
    </w:p>
    <w:p w14:paraId="5AB4E85D" w14:textId="77777777" w:rsidR="003F4F8E" w:rsidRPr="003F4F8E" w:rsidRDefault="003F4F8E" w:rsidP="003F4F8E">
      <w:pPr>
        <w:ind w:left="426" w:right="560"/>
        <w:jc w:val="both"/>
        <w:rPr>
          <w:rFonts w:ascii="Arial" w:hAnsi="Arial"/>
          <w:iCs/>
          <w:sz w:val="22"/>
          <w:szCs w:val="24"/>
        </w:rPr>
      </w:pPr>
      <w:r w:rsidRPr="003F4F8E">
        <w:rPr>
          <w:rFonts w:ascii="Arial" w:hAnsi="Arial"/>
          <w:iCs/>
          <w:sz w:val="22"/>
          <w:szCs w:val="24"/>
        </w:rPr>
        <w:t xml:space="preserve">“Ahora, Tampoco podría existir desconocimiento por parte de este fondo al efectuar la asesoría mencionada, del artículo 97 numeral 1º del Estatuto Financiero – Decreto 663/93, que exige a las entidades suministrar a sus usuarios la información necesaria para lograr la mayor transparencia en las operaciones que realicen, para que estos a su vez puedan escoger las mejores opciones del mercado y en ese sentido, tomar decisiones informadas; por cuanto nótese que el </w:t>
      </w:r>
      <w:r w:rsidRPr="003F4F8E">
        <w:rPr>
          <w:rFonts w:ascii="Arial" w:hAnsi="Arial"/>
          <w:iCs/>
          <w:sz w:val="22"/>
          <w:szCs w:val="24"/>
        </w:rPr>
        <w:lastRenderedPageBreak/>
        <w:t>artículo está dirigido a los usuarios respecto de quienes se exige la “información necesaria para lograr la mayor trasparencia en las operaciones que realicen”, es decir, la información a que se hace referencia es aquella relativa a las diferentes operaciones que pueden tomar los usuarios sobre las transacciones o elecciones que puede realizar dentro de la entidad, como sería el caso, a manera de ejemplo, de elegir el portafolio con el que se va a manejar su ahorro (conservador, moderado y alto riesgo).</w:t>
      </w:r>
    </w:p>
    <w:p w14:paraId="69430FD3" w14:textId="77777777" w:rsidR="003F4F8E" w:rsidRPr="003F4F8E" w:rsidRDefault="003F4F8E" w:rsidP="003F4F8E">
      <w:pPr>
        <w:ind w:left="426" w:right="560"/>
        <w:jc w:val="both"/>
        <w:rPr>
          <w:rFonts w:ascii="Arial" w:hAnsi="Arial"/>
          <w:iCs/>
          <w:sz w:val="22"/>
          <w:szCs w:val="24"/>
        </w:rPr>
      </w:pPr>
    </w:p>
    <w:p w14:paraId="4CC2FBE6" w14:textId="77777777" w:rsidR="003F4F8E" w:rsidRPr="003F4F8E" w:rsidRDefault="003F4F8E" w:rsidP="003F4F8E">
      <w:pPr>
        <w:ind w:left="426" w:right="560"/>
        <w:jc w:val="both"/>
        <w:rPr>
          <w:rFonts w:ascii="Arial" w:hAnsi="Arial"/>
          <w:iCs/>
          <w:sz w:val="22"/>
          <w:szCs w:val="24"/>
        </w:rPr>
      </w:pPr>
      <w:r w:rsidRPr="003F4F8E">
        <w:rPr>
          <w:rFonts w:ascii="Arial" w:hAnsi="Arial"/>
          <w:iCs/>
          <w:sz w:val="22"/>
          <w:szCs w:val="24"/>
        </w:rPr>
        <w:t xml:space="preserve">Es que, el mencionado canon, de manera evidente se refiere a las “mejores opciones del mercado” respecto a las inversiones del dinero ahorrado. </w:t>
      </w:r>
      <w:r w:rsidRPr="003F4F8E">
        <w:rPr>
          <w:rFonts w:ascii="Arial" w:hAnsi="Arial"/>
          <w:b/>
          <w:iCs/>
          <w:sz w:val="22"/>
          <w:szCs w:val="24"/>
        </w:rPr>
        <w:t>No se trata entonces de una información sobre las características de los regímenes del sistema pensional</w:t>
      </w:r>
      <w:r w:rsidRPr="003F4F8E">
        <w:rPr>
          <w:rFonts w:ascii="Arial" w:hAnsi="Arial"/>
          <w:iCs/>
          <w:sz w:val="22"/>
          <w:szCs w:val="24"/>
        </w:rPr>
        <w:t xml:space="preserve">, sino de la solidez de la AFP y de las operaciones financieras para el manejo del dinero depositado en la cuenta de ahorro individual” </w:t>
      </w:r>
    </w:p>
    <w:p w14:paraId="4E40C7FB" w14:textId="77777777" w:rsidR="0037589F" w:rsidRPr="00BF0B47" w:rsidRDefault="0037589F" w:rsidP="0037589F">
      <w:pPr>
        <w:spacing w:line="288" w:lineRule="auto"/>
        <w:ind w:right="51"/>
        <w:jc w:val="both"/>
        <w:rPr>
          <w:rFonts w:ascii="Arial" w:hAnsi="Arial" w:cs="Arial"/>
          <w:iCs/>
          <w:szCs w:val="24"/>
        </w:rPr>
      </w:pPr>
    </w:p>
    <w:p w14:paraId="2644D0C9" w14:textId="77777777" w:rsidR="0037589F" w:rsidRPr="00BF0B47" w:rsidRDefault="0037589F" w:rsidP="0037589F">
      <w:pPr>
        <w:spacing w:line="288" w:lineRule="auto"/>
        <w:ind w:right="51"/>
        <w:jc w:val="both"/>
        <w:rPr>
          <w:rFonts w:ascii="Arial" w:hAnsi="Arial" w:cs="Arial"/>
          <w:iCs/>
          <w:szCs w:val="24"/>
        </w:rPr>
      </w:pPr>
      <w:r w:rsidRPr="00BF0B47">
        <w:rPr>
          <w:rFonts w:ascii="Arial" w:hAnsi="Arial" w:cs="Arial"/>
          <w:iCs/>
          <w:szCs w:val="24"/>
        </w:rPr>
        <w:t xml:space="preserve">Se resalta el aparte anterior porque, aunque parezca increíble, en este tema se está olvidando que los pormenores de los regímenes -sobre los cuales supuestamente no se dio información-, no son nada distinto que los contenidos de la Ley que regula los dos sistemas, </w:t>
      </w:r>
      <w:r w:rsidRPr="00BF0B47">
        <w:rPr>
          <w:rFonts w:ascii="Arial" w:hAnsi="Arial" w:cs="Arial"/>
          <w:b/>
          <w:iCs/>
          <w:szCs w:val="24"/>
        </w:rPr>
        <w:t>cuyo conocimiento no hay que repetirlo a las partes, puesto que el mismo se presume de derecho conocido por las ellas según el artículo 9 del Código Civil</w:t>
      </w:r>
      <w:r w:rsidRPr="00BF0B47">
        <w:rPr>
          <w:rFonts w:ascii="Arial" w:hAnsi="Arial" w:cs="Arial"/>
          <w:iCs/>
          <w:szCs w:val="24"/>
        </w:rPr>
        <w:t>, toda vez que a nadie le está permitido ignorar las leyes. Norma esta última que, a pesar de su independencia y autonomía, no puede obviarse en materia del trabajo y de la seguridad social.</w:t>
      </w:r>
    </w:p>
    <w:p w14:paraId="390A7860" w14:textId="77777777" w:rsidR="0037589F" w:rsidRPr="00BF0B47" w:rsidRDefault="0037589F" w:rsidP="0037589F">
      <w:pPr>
        <w:spacing w:line="288" w:lineRule="auto"/>
        <w:ind w:right="51"/>
        <w:jc w:val="both"/>
        <w:rPr>
          <w:rFonts w:ascii="Arial" w:hAnsi="Arial" w:cs="Arial"/>
          <w:iCs/>
          <w:szCs w:val="24"/>
        </w:rPr>
      </w:pPr>
    </w:p>
    <w:p w14:paraId="61B8CE0B" w14:textId="77777777" w:rsidR="0037589F" w:rsidRPr="00BF0B47" w:rsidRDefault="0037589F" w:rsidP="0037589F">
      <w:pPr>
        <w:spacing w:line="288" w:lineRule="auto"/>
        <w:jc w:val="both"/>
        <w:rPr>
          <w:rFonts w:ascii="Arial" w:hAnsi="Arial" w:cs="Arial"/>
          <w:iCs/>
          <w:szCs w:val="24"/>
        </w:rPr>
      </w:pPr>
      <w:r w:rsidRPr="00BF0B47">
        <w:rPr>
          <w:rFonts w:ascii="Arial" w:hAnsi="Arial" w:cs="Arial"/>
          <w:iCs/>
          <w:szCs w:val="24"/>
        </w:rPr>
        <w:t>-</w:t>
      </w:r>
      <w:r>
        <w:rPr>
          <w:rFonts w:ascii="Arial" w:hAnsi="Arial" w:cs="Arial"/>
          <w:iCs/>
          <w:szCs w:val="24"/>
        </w:rPr>
        <w:t xml:space="preserve"> </w:t>
      </w:r>
      <w:r w:rsidRPr="00BF0B47">
        <w:rPr>
          <w:rFonts w:ascii="Arial" w:hAnsi="Arial" w:cs="Arial"/>
          <w:iCs/>
          <w:szCs w:val="24"/>
        </w:rPr>
        <w:t>LA SUPUESTA FALTA DE INFORMACIÓN POR NO HABERSE REALIZADO PROYECCIONES SOBRE EL POSIBLE MONTO DE LA PENSIÓN</w:t>
      </w:r>
    </w:p>
    <w:p w14:paraId="09C56DAA" w14:textId="77777777" w:rsidR="0037589F" w:rsidRPr="00BF0B47" w:rsidRDefault="0037589F" w:rsidP="0037589F">
      <w:pPr>
        <w:spacing w:line="288" w:lineRule="auto"/>
        <w:jc w:val="both"/>
        <w:rPr>
          <w:rFonts w:ascii="Arial" w:hAnsi="Arial" w:cs="Arial"/>
          <w:iCs/>
          <w:szCs w:val="24"/>
        </w:rPr>
      </w:pPr>
    </w:p>
    <w:p w14:paraId="760CDB49" w14:textId="77777777" w:rsidR="0037589F" w:rsidRPr="00BF0B47" w:rsidRDefault="0037589F" w:rsidP="0037589F">
      <w:pPr>
        <w:spacing w:line="288" w:lineRule="auto"/>
        <w:jc w:val="both"/>
        <w:rPr>
          <w:rFonts w:ascii="Arial" w:hAnsi="Arial" w:cs="Arial"/>
          <w:szCs w:val="24"/>
          <w:lang w:val="es-CO"/>
        </w:rPr>
      </w:pPr>
      <w:r w:rsidRPr="00BF0B47">
        <w:rPr>
          <w:rFonts w:ascii="Arial" w:hAnsi="Arial" w:cs="Arial"/>
          <w:iCs/>
          <w:szCs w:val="24"/>
        </w:rPr>
        <w:t xml:space="preserve">Igualmente resulta insostenible la tesis de falta de información por no haberse realizado proyecciones respecto al monto de la pensión, en tanto en Colombia las normas rigen y producen efecto a futuro, sin retroactividad y las referidas proyecciones sobre los montos pensionales en cada régimen, solo fueron dispuestas por la Ley 1748 de 2014 desarrollada en lo pertinente por el </w:t>
      </w:r>
      <w:r w:rsidRPr="00BF0B47">
        <w:rPr>
          <w:rFonts w:ascii="Arial" w:hAnsi="Arial" w:cs="Arial"/>
          <w:szCs w:val="24"/>
          <w:lang w:val="es-CO"/>
        </w:rPr>
        <w:t xml:space="preserve">decreto 2071 de 2015 precisándose en el artículo 2.6.10.2.3., que la asesoría que debe brindarse por ambas administradoras debe contener una proyección del valor de la indemnización sustitutiva o devolución de saldos, si a ello hubiere lugar, y del valor de la pensión, haciéndose la precisión </w:t>
      </w:r>
      <w:r w:rsidRPr="00BF0B47">
        <w:rPr>
          <w:rFonts w:ascii="Arial" w:hAnsi="Arial" w:cs="Arial"/>
          <w:i/>
          <w:szCs w:val="24"/>
          <w:lang w:val="es-CO"/>
        </w:rPr>
        <w:t>que “p</w:t>
      </w:r>
      <w:r w:rsidRPr="00BF0B47">
        <w:rPr>
          <w:rFonts w:ascii="Arial" w:hAnsi="Arial" w:cs="Arial"/>
          <w:i/>
          <w:szCs w:val="24"/>
          <w:lang w:val="es-ES"/>
        </w:rPr>
        <w:t>ara el caso de la proyección del beneficio pensional en el Régimen de Ahorro Individual con Solidaridad, la Administradora deberá realizar una asesoría en los términos descritos en el artículo 2.6.10.4.3 del presente decreto”</w:t>
      </w:r>
      <w:r w:rsidRPr="00BF0B47">
        <w:rPr>
          <w:rFonts w:ascii="Arial" w:hAnsi="Arial" w:cs="Arial"/>
          <w:szCs w:val="24"/>
          <w:lang w:val="es-ES"/>
        </w:rPr>
        <w:t xml:space="preserve"> en el que se establecen los parámetros técnicos para poder cumplir tal cometido, mismos que al no estar establecidos con anterioridad no permitían la realización de los cálculos que ahora se echan de menos.</w:t>
      </w:r>
    </w:p>
    <w:p w14:paraId="66457920" w14:textId="77777777" w:rsidR="0037589F" w:rsidRPr="00BF0B47" w:rsidRDefault="0037589F" w:rsidP="0037589F">
      <w:pPr>
        <w:spacing w:line="288" w:lineRule="auto"/>
        <w:ind w:left="426" w:right="476"/>
        <w:jc w:val="both"/>
        <w:rPr>
          <w:rFonts w:ascii="Arial" w:hAnsi="Arial" w:cs="Arial"/>
          <w:szCs w:val="24"/>
          <w:lang w:val="es-CO"/>
        </w:rPr>
      </w:pPr>
      <w:r w:rsidRPr="00BF0B47">
        <w:rPr>
          <w:rFonts w:ascii="Arial" w:hAnsi="Arial" w:cs="Arial"/>
          <w:szCs w:val="24"/>
          <w:lang w:val="es-CO"/>
        </w:rPr>
        <w:t xml:space="preserve"> </w:t>
      </w:r>
    </w:p>
    <w:p w14:paraId="1244B956" w14:textId="77777777" w:rsidR="0037589F" w:rsidRPr="00BF0B47" w:rsidRDefault="0037589F" w:rsidP="0037589F">
      <w:pPr>
        <w:spacing w:line="288" w:lineRule="auto"/>
        <w:ind w:right="51"/>
        <w:jc w:val="both"/>
        <w:rPr>
          <w:rFonts w:ascii="Arial" w:hAnsi="Arial" w:cs="Arial"/>
          <w:b/>
          <w:iCs/>
          <w:szCs w:val="24"/>
        </w:rPr>
      </w:pPr>
      <w:r w:rsidRPr="00BF0B47">
        <w:rPr>
          <w:rFonts w:ascii="Arial" w:hAnsi="Arial" w:cs="Arial"/>
          <w:szCs w:val="24"/>
          <w:lang w:val="es-CO"/>
        </w:rPr>
        <w:t xml:space="preserve">Adicionalmente debe tenerse en cuenta que las personas que procedieron al traslado en la década de los años 90 y principios de la siguiente, </w:t>
      </w:r>
      <w:r w:rsidRPr="00BF0B47">
        <w:rPr>
          <w:rFonts w:ascii="Arial" w:hAnsi="Arial" w:cs="Arial"/>
          <w:b/>
          <w:szCs w:val="24"/>
          <w:lang w:val="es-CO"/>
        </w:rPr>
        <w:t>eran afiliados que apenas estaban empezando su etapa productiva y por ello, en realidad, los aportes realizados hasta el momento del traslado eran tan limitados que no permitían conocer una tendencia que abriera la puerta a valoraciones con significado</w:t>
      </w:r>
      <w:r w:rsidRPr="00BF0B47">
        <w:rPr>
          <w:rFonts w:ascii="Arial" w:hAnsi="Arial" w:cs="Arial"/>
          <w:szCs w:val="24"/>
          <w:lang w:val="es-CO"/>
        </w:rPr>
        <w:t>.</w:t>
      </w:r>
    </w:p>
    <w:p w14:paraId="7186E39E" w14:textId="77777777" w:rsidR="0037589F" w:rsidRPr="00BF0B47" w:rsidRDefault="0037589F" w:rsidP="0037589F">
      <w:pPr>
        <w:spacing w:line="288" w:lineRule="auto"/>
        <w:ind w:right="51"/>
        <w:jc w:val="both"/>
        <w:rPr>
          <w:rFonts w:ascii="Arial" w:hAnsi="Arial" w:cs="Arial"/>
          <w:b/>
          <w:iCs/>
          <w:szCs w:val="24"/>
        </w:rPr>
      </w:pPr>
    </w:p>
    <w:p w14:paraId="5ED71A42" w14:textId="77777777" w:rsidR="0037589F" w:rsidRPr="00BF0B47" w:rsidRDefault="0037589F" w:rsidP="0037589F">
      <w:pPr>
        <w:suppressAutoHyphens/>
        <w:spacing w:line="288" w:lineRule="auto"/>
        <w:jc w:val="both"/>
        <w:rPr>
          <w:rFonts w:ascii="Arial" w:hAnsi="Arial" w:cs="Arial"/>
          <w:spacing w:val="-2"/>
          <w:szCs w:val="24"/>
        </w:rPr>
      </w:pPr>
    </w:p>
    <w:p w14:paraId="7D174B89" w14:textId="77777777" w:rsidR="0037589F" w:rsidRPr="00F346D5" w:rsidRDefault="0037589F" w:rsidP="0037589F">
      <w:pPr>
        <w:pStyle w:val="Prrafodelista"/>
        <w:numPr>
          <w:ilvl w:val="0"/>
          <w:numId w:val="12"/>
        </w:numPr>
        <w:spacing w:line="288" w:lineRule="auto"/>
        <w:jc w:val="both"/>
        <w:rPr>
          <w:rFonts w:ascii="Arial" w:hAnsi="Arial" w:cs="Arial"/>
          <w:b/>
          <w:sz w:val="24"/>
          <w:szCs w:val="24"/>
        </w:rPr>
      </w:pPr>
      <w:r w:rsidRPr="00F346D5">
        <w:rPr>
          <w:rFonts w:ascii="Arial" w:hAnsi="Arial" w:cs="Arial"/>
          <w:b/>
          <w:sz w:val="24"/>
          <w:szCs w:val="24"/>
        </w:rPr>
        <w:lastRenderedPageBreak/>
        <w:t>RAZÓN DE SER DE LA LIMITACIÓN DE TRASLADO CUANDO FALTEN MENOS DE 10 AÑOS. SENTENCIA C-1024 DE 2004</w:t>
      </w:r>
    </w:p>
    <w:p w14:paraId="01B9C6C0" w14:textId="77777777" w:rsidR="0037589F" w:rsidRPr="00BF0B47" w:rsidRDefault="0037589F" w:rsidP="0037589F">
      <w:pPr>
        <w:spacing w:line="288" w:lineRule="auto"/>
        <w:ind w:right="51"/>
        <w:jc w:val="both"/>
        <w:rPr>
          <w:rFonts w:ascii="Arial" w:hAnsi="Arial" w:cs="Arial"/>
          <w:b/>
          <w:iCs/>
          <w:szCs w:val="24"/>
        </w:rPr>
      </w:pPr>
    </w:p>
    <w:p w14:paraId="4F0A7084" w14:textId="77777777" w:rsidR="0037589F" w:rsidRPr="00BF0B47" w:rsidRDefault="0037589F" w:rsidP="0037589F">
      <w:pPr>
        <w:spacing w:line="288" w:lineRule="auto"/>
        <w:ind w:right="51"/>
        <w:jc w:val="both"/>
        <w:rPr>
          <w:rFonts w:ascii="Arial" w:hAnsi="Arial" w:cs="Arial"/>
          <w:iCs/>
          <w:szCs w:val="24"/>
        </w:rPr>
      </w:pPr>
      <w:r w:rsidRPr="00BF0B47">
        <w:rPr>
          <w:rFonts w:ascii="Arial" w:hAnsi="Arial" w:cs="Arial"/>
          <w:iCs/>
          <w:szCs w:val="24"/>
        </w:rPr>
        <w:t xml:space="preserve">Para garantizar la abierta competencia entre regímenes, la ley estableció la posibilidad de trasladarse libremente entre ellos, limitándola en la etapa final de la adquisición del derecho –inicialmente 5 años y posteriormente 10-. </w:t>
      </w:r>
    </w:p>
    <w:p w14:paraId="5E8B5DB5" w14:textId="77777777" w:rsidR="0037589F" w:rsidRPr="00BF0B47" w:rsidRDefault="0037589F" w:rsidP="0037589F">
      <w:pPr>
        <w:spacing w:line="288" w:lineRule="auto"/>
        <w:ind w:right="51"/>
        <w:jc w:val="both"/>
        <w:rPr>
          <w:rFonts w:ascii="Arial" w:hAnsi="Arial" w:cs="Arial"/>
          <w:iCs/>
          <w:szCs w:val="24"/>
        </w:rPr>
      </w:pPr>
    </w:p>
    <w:p w14:paraId="2396CCDC" w14:textId="77777777" w:rsidR="0037589F" w:rsidRPr="00BF0B47" w:rsidRDefault="0037589F" w:rsidP="0037589F">
      <w:pPr>
        <w:spacing w:line="288" w:lineRule="auto"/>
        <w:ind w:right="51"/>
        <w:jc w:val="both"/>
        <w:rPr>
          <w:rFonts w:ascii="Arial" w:hAnsi="Arial" w:cs="Arial"/>
          <w:iCs/>
          <w:szCs w:val="24"/>
        </w:rPr>
      </w:pPr>
      <w:r w:rsidRPr="00BF0B47">
        <w:rPr>
          <w:rFonts w:ascii="Arial" w:hAnsi="Arial" w:cs="Arial"/>
          <w:iCs/>
          <w:szCs w:val="24"/>
        </w:rPr>
        <w:t xml:space="preserve">Al analizar esa limitación la Corte Constitucional fue clara en explicar que </w:t>
      </w:r>
      <w:r w:rsidRPr="00BF0B47">
        <w:rPr>
          <w:rFonts w:ascii="Arial" w:hAnsi="Arial" w:cs="Arial"/>
          <w:b/>
          <w:iCs/>
          <w:szCs w:val="24"/>
        </w:rPr>
        <w:t>para garantizar la sostenibilidad financiera del sistema de prima media</w:t>
      </w:r>
      <w:r w:rsidRPr="00BF0B47">
        <w:rPr>
          <w:rFonts w:ascii="Arial" w:hAnsi="Arial" w:cs="Arial"/>
          <w:iCs/>
          <w:szCs w:val="24"/>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14:paraId="6B3DE12C" w14:textId="77777777" w:rsidR="0037589F" w:rsidRPr="00BF0B47" w:rsidRDefault="0037589F" w:rsidP="0037589F">
      <w:pPr>
        <w:spacing w:line="288" w:lineRule="auto"/>
        <w:ind w:right="51"/>
        <w:jc w:val="both"/>
        <w:rPr>
          <w:rFonts w:ascii="Arial" w:hAnsi="Arial" w:cs="Arial"/>
          <w:b/>
          <w:iCs/>
          <w:szCs w:val="24"/>
        </w:rPr>
      </w:pPr>
    </w:p>
    <w:p w14:paraId="3FF4393D" w14:textId="77777777" w:rsidR="0037589F" w:rsidRPr="00BF0B47" w:rsidRDefault="0037589F" w:rsidP="0037589F">
      <w:pPr>
        <w:ind w:left="426" w:right="418"/>
        <w:jc w:val="both"/>
        <w:rPr>
          <w:rFonts w:ascii="Arial" w:hAnsi="Arial" w:cs="Arial"/>
          <w:iCs/>
          <w:sz w:val="22"/>
          <w:szCs w:val="24"/>
          <w:lang w:val="es-ES"/>
        </w:rPr>
      </w:pPr>
      <w:r w:rsidRPr="00BF0B47">
        <w:rPr>
          <w:rFonts w:ascii="Arial" w:hAnsi="Arial" w:cs="Arial"/>
          <w:iCs/>
          <w:sz w:val="22"/>
          <w:szCs w:val="24"/>
          <w:lang w:val="es-CO"/>
        </w:rPr>
        <w:t>“Desde esta perspectiva, el </w:t>
      </w:r>
      <w:r w:rsidRPr="00BF0B47">
        <w:rPr>
          <w:rFonts w:ascii="Arial" w:hAnsi="Arial" w:cs="Arial"/>
          <w:i/>
          <w:iCs/>
          <w:sz w:val="22"/>
          <w:szCs w:val="24"/>
          <w:lang w:val="es-CO"/>
        </w:rPr>
        <w:t>objetivo </w:t>
      </w:r>
      <w:r w:rsidRPr="00BF0B47">
        <w:rPr>
          <w:rFonts w:ascii="Arial" w:hAnsi="Arial" w:cs="Arial"/>
          <w:iCs/>
          <w:sz w:val="22"/>
          <w:szCs w:val="24"/>
          <w:lang w:val="es-CO"/>
        </w:rPr>
        <w:t xml:space="preserve">perseguido con el señalamiento del  período de carencia en la norma acusada, </w:t>
      </w:r>
      <w:r w:rsidRPr="00BF0B47">
        <w:rPr>
          <w:rFonts w:ascii="Arial" w:hAnsi="Arial" w:cs="Arial"/>
          <w:b/>
          <w:iCs/>
          <w:sz w:val="22"/>
          <w:szCs w:val="24"/>
          <w:lang w:val="es-CO"/>
        </w:rPr>
        <w:t>consiste en evitar la </w:t>
      </w:r>
      <w:r w:rsidRPr="00BF0B47">
        <w:rPr>
          <w:rFonts w:ascii="Arial" w:hAnsi="Arial" w:cs="Arial"/>
          <w:b/>
          <w:i/>
          <w:iCs/>
          <w:sz w:val="22"/>
          <w:szCs w:val="24"/>
          <w:lang w:val="es-CO"/>
        </w:rPr>
        <w:t>descapitalización</w:t>
      </w:r>
      <w:r w:rsidRPr="00BF0B47">
        <w:rPr>
          <w:rFonts w:ascii="Arial" w:hAnsi="Arial" w:cs="Arial"/>
          <w:b/>
          <w:iCs/>
          <w:sz w:val="22"/>
          <w:szCs w:val="24"/>
          <w:lang w:val="es-CO"/>
        </w:rPr>
        <w:t> del fondo común del Régimen Solidario de Prima Media con Prestación Definida</w:t>
      </w:r>
      <w:r w:rsidRPr="00BF0B47">
        <w:rPr>
          <w:rFonts w:ascii="Arial" w:hAnsi="Arial" w:cs="Arial"/>
          <w:iCs/>
          <w:sz w:val="22"/>
          <w:szCs w:val="24"/>
          <w:lang w:val="es-CO"/>
        </w:rPr>
        <w:t>, que se produciría si se permitiera que las personas que no han contribuido al </w:t>
      </w:r>
      <w:r w:rsidRPr="00BF0B47">
        <w:rPr>
          <w:rFonts w:ascii="Arial" w:hAnsi="Arial" w:cs="Arial"/>
          <w:i/>
          <w:iCs/>
          <w:sz w:val="22"/>
          <w:szCs w:val="24"/>
          <w:lang w:val="es-CO"/>
        </w:rPr>
        <w:t>fondo común</w:t>
      </w:r>
      <w:r w:rsidRPr="00BF0B47">
        <w:rPr>
          <w:rFonts w:ascii="Arial" w:hAnsi="Arial" w:cs="Arial"/>
          <w:iCs/>
          <w:sz w:val="22"/>
          <w:szCs w:val="24"/>
          <w:lang w:val="es-CO"/>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BF0B47">
        <w:rPr>
          <w:rFonts w:ascii="Arial" w:hAnsi="Arial" w:cs="Arial"/>
          <w:b/>
          <w:iCs/>
          <w:sz w:val="22"/>
          <w:szCs w:val="24"/>
          <w:lang w:val="es-CO"/>
        </w:rPr>
        <w:t>a poner en riesgo la garantía del derecho irrenunciable a la pensión del resto de cotizantes</w:t>
      </w:r>
      <w:r w:rsidRPr="00BF0B47">
        <w:rPr>
          <w:rFonts w:ascii="Arial" w:hAnsi="Arial" w:cs="Arial"/>
          <w:iCs/>
          <w:sz w:val="22"/>
          <w:szCs w:val="24"/>
          <w:lang w:val="es-CO"/>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BF0B47">
        <w:rPr>
          <w:rFonts w:ascii="Arial" w:hAnsi="Arial" w:cs="Arial"/>
          <w:b/>
          <w:iCs/>
          <w:sz w:val="22"/>
          <w:szCs w:val="24"/>
          <w:lang w:val="es-CO"/>
        </w:rPr>
        <w:t>podría llegar a poner en riesgo la garantía del derecho pensional para los actuales y futuros pensionados</w:t>
      </w:r>
      <w:r w:rsidRPr="00BF0B47">
        <w:rPr>
          <w:rFonts w:ascii="Arial" w:hAnsi="Arial" w:cs="Arial"/>
          <w:iCs/>
          <w:sz w:val="22"/>
          <w:szCs w:val="24"/>
          <w:lang w:val="es-CO"/>
        </w:rPr>
        <w:t>.</w:t>
      </w:r>
    </w:p>
    <w:p w14:paraId="1744B480" w14:textId="77777777" w:rsidR="0037589F" w:rsidRPr="00BF0B47" w:rsidRDefault="0037589F" w:rsidP="0037589F">
      <w:pPr>
        <w:ind w:left="426" w:right="418"/>
        <w:jc w:val="both"/>
        <w:rPr>
          <w:rFonts w:ascii="Arial" w:hAnsi="Arial" w:cs="Arial"/>
          <w:iCs/>
          <w:sz w:val="22"/>
          <w:szCs w:val="24"/>
          <w:lang w:val="es-ES"/>
        </w:rPr>
      </w:pPr>
      <w:r w:rsidRPr="00BF0B47">
        <w:rPr>
          <w:rFonts w:ascii="Arial" w:hAnsi="Arial" w:cs="Arial"/>
          <w:iCs/>
          <w:sz w:val="22"/>
          <w:szCs w:val="24"/>
          <w:lang w:val="es-CO"/>
        </w:rPr>
        <w:t> </w:t>
      </w:r>
    </w:p>
    <w:p w14:paraId="41CD5616" w14:textId="77777777" w:rsidR="0037589F" w:rsidRPr="00BF0B47" w:rsidRDefault="0037589F" w:rsidP="0037589F">
      <w:pPr>
        <w:ind w:left="426" w:right="418"/>
        <w:jc w:val="both"/>
        <w:rPr>
          <w:rFonts w:ascii="Arial" w:hAnsi="Arial" w:cs="Arial"/>
          <w:iCs/>
          <w:sz w:val="22"/>
          <w:szCs w:val="24"/>
          <w:lang w:val="es-ES"/>
        </w:rPr>
      </w:pPr>
      <w:r w:rsidRPr="00BF0B47">
        <w:rPr>
          <w:rFonts w:ascii="Arial" w:hAnsi="Arial" w:cs="Arial"/>
          <w:iCs/>
          <w:sz w:val="22"/>
          <w:szCs w:val="24"/>
          <w:lang w:val="es-CO"/>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7D6C5DAF" w14:textId="77777777" w:rsidR="0037589F" w:rsidRPr="00BF0B47" w:rsidRDefault="0037589F" w:rsidP="0037589F">
      <w:pPr>
        <w:ind w:left="426" w:right="418"/>
        <w:jc w:val="both"/>
        <w:rPr>
          <w:rFonts w:ascii="Arial" w:hAnsi="Arial" w:cs="Arial"/>
          <w:iCs/>
          <w:sz w:val="22"/>
          <w:szCs w:val="24"/>
          <w:lang w:val="es-ES"/>
        </w:rPr>
      </w:pPr>
      <w:r w:rsidRPr="00BF0B47">
        <w:rPr>
          <w:rFonts w:ascii="Arial" w:hAnsi="Arial" w:cs="Arial"/>
          <w:iCs/>
          <w:sz w:val="22"/>
          <w:szCs w:val="24"/>
          <w:lang w:val="es-CO"/>
        </w:rPr>
        <w:t> </w:t>
      </w:r>
    </w:p>
    <w:p w14:paraId="4152FEA8" w14:textId="77777777" w:rsidR="0037589F" w:rsidRPr="00BF0B47" w:rsidRDefault="0037589F" w:rsidP="0037589F">
      <w:pPr>
        <w:ind w:left="426" w:right="418"/>
        <w:jc w:val="both"/>
        <w:rPr>
          <w:rFonts w:ascii="Arial" w:hAnsi="Arial" w:cs="Arial"/>
          <w:b/>
          <w:iCs/>
          <w:sz w:val="22"/>
          <w:szCs w:val="24"/>
          <w:lang w:val="es-CO"/>
        </w:rPr>
      </w:pPr>
      <w:r w:rsidRPr="00BF0B47">
        <w:rPr>
          <w:rFonts w:ascii="Arial" w:hAnsi="Arial" w:cs="Arial"/>
          <w:iCs/>
          <w:sz w:val="22"/>
          <w:szCs w:val="24"/>
          <w:lang w:val="es-CO"/>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BF0B47">
        <w:rPr>
          <w:rFonts w:ascii="Arial" w:hAnsi="Arial" w:cs="Arial"/>
          <w:b/>
          <w:iCs/>
          <w:sz w:val="22"/>
          <w:szCs w:val="24"/>
          <w:lang w:val="es-CO"/>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BF0B47">
        <w:rPr>
          <w:rFonts w:ascii="Arial" w:hAnsi="Arial" w:cs="Arial"/>
          <w:iCs/>
          <w:sz w:val="22"/>
          <w:szCs w:val="24"/>
          <w:lang w:val="es-CO"/>
        </w:rPr>
        <w:t>, cuyo propósito consiste en: </w:t>
      </w:r>
      <w:r w:rsidRPr="00BF0B47">
        <w:rPr>
          <w:rFonts w:ascii="Arial" w:hAnsi="Arial" w:cs="Arial"/>
          <w:i/>
          <w:iCs/>
          <w:sz w:val="22"/>
          <w:szCs w:val="24"/>
          <w:lang w:val="es-CO"/>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BF0B47">
        <w:rPr>
          <w:rFonts w:ascii="Arial" w:hAnsi="Arial" w:cs="Arial"/>
          <w:iCs/>
          <w:sz w:val="22"/>
          <w:szCs w:val="24"/>
          <w:lang w:val="es-CO"/>
        </w:rPr>
        <w:t>.”</w:t>
      </w:r>
      <w:r w:rsidRPr="00BF0B47">
        <w:rPr>
          <w:rFonts w:ascii="Arial" w:hAnsi="Arial" w:cs="Arial"/>
          <w:b/>
          <w:iCs/>
          <w:sz w:val="22"/>
          <w:szCs w:val="24"/>
          <w:lang w:val="es-CO"/>
        </w:rPr>
        <w:t> </w:t>
      </w:r>
    </w:p>
    <w:p w14:paraId="28004514" w14:textId="77777777" w:rsidR="0037589F" w:rsidRPr="00BF0B47" w:rsidRDefault="0037589F" w:rsidP="0037589F">
      <w:pPr>
        <w:ind w:left="426" w:right="418"/>
        <w:jc w:val="both"/>
        <w:rPr>
          <w:rFonts w:ascii="Arial" w:hAnsi="Arial" w:cs="Arial"/>
          <w:b/>
          <w:iCs/>
          <w:sz w:val="22"/>
          <w:szCs w:val="24"/>
          <w:lang w:val="es-CO"/>
        </w:rPr>
      </w:pPr>
    </w:p>
    <w:p w14:paraId="2D66E623" w14:textId="77777777" w:rsidR="0037589F" w:rsidRPr="00BF0B47" w:rsidRDefault="0037589F" w:rsidP="0037589F">
      <w:pPr>
        <w:ind w:left="426" w:right="418"/>
        <w:jc w:val="both"/>
        <w:rPr>
          <w:rFonts w:ascii="Arial" w:hAnsi="Arial" w:cs="Arial"/>
          <w:iCs/>
          <w:sz w:val="22"/>
          <w:szCs w:val="24"/>
          <w:lang w:val="es-ES"/>
        </w:rPr>
      </w:pPr>
      <w:r w:rsidRPr="00BF0B47">
        <w:rPr>
          <w:rFonts w:ascii="Arial" w:hAnsi="Arial" w:cs="Arial"/>
          <w:iCs/>
          <w:sz w:val="22"/>
          <w:szCs w:val="24"/>
        </w:rPr>
        <w:t>Por otra parte, el período de permanencia previsto en la ley, de igual manera permite </w:t>
      </w:r>
      <w:r w:rsidRPr="00BF0B47">
        <w:rPr>
          <w:rFonts w:ascii="Arial" w:hAnsi="Arial" w:cs="Arial"/>
          <w:iCs/>
          <w:sz w:val="22"/>
          <w:szCs w:val="24"/>
          <w:lang w:val="es-ES"/>
        </w:rPr>
        <w:t>defender la </w:t>
      </w:r>
      <w:r w:rsidRPr="00BF0B47">
        <w:rPr>
          <w:rFonts w:ascii="Arial" w:hAnsi="Arial" w:cs="Arial"/>
          <w:i/>
          <w:iCs/>
          <w:sz w:val="22"/>
          <w:szCs w:val="24"/>
          <w:lang w:val="es-ES"/>
        </w:rPr>
        <w:t>equidad</w:t>
      </w:r>
      <w:r w:rsidRPr="00BF0B47">
        <w:rPr>
          <w:rFonts w:ascii="Arial" w:hAnsi="Arial" w:cs="Arial"/>
          <w:iCs/>
          <w:sz w:val="22"/>
          <w:szCs w:val="24"/>
          <w:lang w:val="es-ES"/>
        </w:rPr>
        <w:t xml:space="preserve"> en el reconocimiento de las pensiones del Régimen de </w:t>
      </w:r>
      <w:r w:rsidRPr="00BF0B47">
        <w:rPr>
          <w:rFonts w:ascii="Arial" w:hAnsi="Arial" w:cs="Arial"/>
          <w:iCs/>
          <w:sz w:val="22"/>
          <w:szCs w:val="24"/>
          <w:lang w:val="es-ES"/>
        </w:rPr>
        <w:lastRenderedPageBreak/>
        <w:t>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otros (C.P. preámbulo y art. 1°), o eventualmente, subsidiados a costa de los recursos ahorrados con fundamento en el aporte obligatorio que deben realizar los afiliados al Régimen de Ahorro Individual</w:t>
      </w:r>
      <w:bookmarkStart w:id="3" w:name="_ftnref7"/>
      <w:r w:rsidRPr="00BF0B47">
        <w:rPr>
          <w:rFonts w:ascii="Arial" w:hAnsi="Arial" w:cs="Arial"/>
          <w:iCs/>
          <w:sz w:val="22"/>
          <w:szCs w:val="24"/>
          <w:lang w:val="es-ES"/>
        </w:rPr>
        <w:fldChar w:fldCharType="begin"/>
      </w:r>
      <w:r w:rsidRPr="00BF0B47">
        <w:rPr>
          <w:rFonts w:ascii="Arial" w:hAnsi="Arial" w:cs="Arial"/>
          <w:iCs/>
          <w:sz w:val="22"/>
          <w:szCs w:val="24"/>
          <w:lang w:val="es-ES"/>
        </w:rPr>
        <w:instrText xml:space="preserve"> HYPERLINK "http://www.corteconstitucional.gov.co/RELATORIA/2004/C-1024-04.htm" \l "_ftn7" \o "" </w:instrText>
      </w:r>
      <w:r w:rsidRPr="00BF0B47">
        <w:rPr>
          <w:rFonts w:ascii="Arial" w:hAnsi="Arial" w:cs="Arial"/>
          <w:iCs/>
          <w:sz w:val="22"/>
          <w:szCs w:val="24"/>
          <w:lang w:val="es-ES"/>
        </w:rPr>
        <w:fldChar w:fldCharType="separate"/>
      </w:r>
      <w:r w:rsidRPr="00F346D5">
        <w:rPr>
          <w:rFonts w:ascii="Arial" w:hAnsi="Arial" w:cs="Arial"/>
          <w:iCs/>
          <w:color w:val="0563C1"/>
          <w:sz w:val="22"/>
          <w:szCs w:val="24"/>
          <w:u w:val="single"/>
          <w:lang w:val="es-ES"/>
        </w:rPr>
        <w:t>[7]</w:t>
      </w:r>
      <w:r w:rsidRPr="00BF0B47">
        <w:rPr>
          <w:rFonts w:ascii="Arial" w:hAnsi="Arial" w:cs="Arial"/>
          <w:iCs/>
          <w:sz w:val="22"/>
          <w:szCs w:val="24"/>
          <w:lang w:val="es-ES"/>
        </w:rPr>
        <w:fldChar w:fldCharType="end"/>
      </w:r>
      <w:bookmarkEnd w:id="3"/>
      <w:r w:rsidRPr="00BF0B47">
        <w:rPr>
          <w:rFonts w:ascii="Arial" w:hAnsi="Arial" w:cs="Arial"/>
          <w:iCs/>
          <w:sz w:val="22"/>
          <w:szCs w:val="24"/>
          <w:lang w:val="es-ES"/>
        </w:rPr>
        <w:t>, para garantizar el pago de la garantía de la pensión mínima de vejez cuando no alcanzan el monto de capitalización requerida</w:t>
      </w:r>
      <w:bookmarkStart w:id="4" w:name="_ftnref8"/>
      <w:r w:rsidRPr="00BF0B47">
        <w:rPr>
          <w:rFonts w:ascii="Arial" w:hAnsi="Arial" w:cs="Arial"/>
          <w:iCs/>
          <w:sz w:val="22"/>
          <w:szCs w:val="24"/>
          <w:lang w:val="es-ES"/>
        </w:rPr>
        <w:fldChar w:fldCharType="begin"/>
      </w:r>
      <w:r w:rsidRPr="00BF0B47">
        <w:rPr>
          <w:rFonts w:ascii="Arial" w:hAnsi="Arial" w:cs="Arial"/>
          <w:iCs/>
          <w:sz w:val="22"/>
          <w:szCs w:val="24"/>
          <w:lang w:val="es-ES"/>
        </w:rPr>
        <w:instrText xml:space="preserve"> HYPERLINK "http://www.corteconstitucional.gov.co/RELATORIA/2004/C-1024-04.htm" \l "_ftn8" \o "" </w:instrText>
      </w:r>
      <w:r w:rsidRPr="00BF0B47">
        <w:rPr>
          <w:rFonts w:ascii="Arial" w:hAnsi="Arial" w:cs="Arial"/>
          <w:iCs/>
          <w:sz w:val="22"/>
          <w:szCs w:val="24"/>
          <w:lang w:val="es-ES"/>
        </w:rPr>
        <w:fldChar w:fldCharType="separate"/>
      </w:r>
      <w:r w:rsidRPr="00F346D5">
        <w:rPr>
          <w:rFonts w:ascii="Arial" w:hAnsi="Arial" w:cs="Arial"/>
          <w:iCs/>
          <w:color w:val="0563C1"/>
          <w:sz w:val="22"/>
          <w:szCs w:val="24"/>
          <w:u w:val="single"/>
          <w:lang w:val="es-ES"/>
        </w:rPr>
        <w:t>[8]</w:t>
      </w:r>
      <w:r w:rsidRPr="00BF0B47">
        <w:rPr>
          <w:rFonts w:ascii="Arial" w:hAnsi="Arial" w:cs="Arial"/>
          <w:iCs/>
          <w:sz w:val="22"/>
          <w:szCs w:val="24"/>
          <w:lang w:val="es-ES"/>
        </w:rPr>
        <w:fldChar w:fldCharType="end"/>
      </w:r>
      <w:bookmarkEnd w:id="4"/>
      <w:r w:rsidRPr="00BF0B47">
        <w:rPr>
          <w:rFonts w:ascii="Arial" w:hAnsi="Arial" w:cs="Arial"/>
          <w:iCs/>
          <w:sz w:val="22"/>
          <w:szCs w:val="24"/>
          <w:lang w:val="es-ES"/>
        </w:rPr>
        <w:t>, poniendo en riesgo la cobertura universal del sistema para los ahorradores de cuentas individuales. </w:t>
      </w:r>
    </w:p>
    <w:p w14:paraId="5F978655" w14:textId="77777777" w:rsidR="0037589F" w:rsidRPr="00BF0B47" w:rsidRDefault="0037589F" w:rsidP="0037589F">
      <w:pPr>
        <w:ind w:left="426" w:right="418"/>
        <w:jc w:val="both"/>
        <w:rPr>
          <w:rFonts w:ascii="Arial" w:hAnsi="Arial" w:cs="Arial"/>
          <w:iCs/>
          <w:sz w:val="22"/>
          <w:szCs w:val="24"/>
          <w:lang w:val="es-ES"/>
        </w:rPr>
      </w:pPr>
      <w:r w:rsidRPr="00BF0B47">
        <w:rPr>
          <w:rFonts w:ascii="Arial" w:hAnsi="Arial" w:cs="Arial"/>
          <w:iCs/>
          <w:sz w:val="22"/>
          <w:szCs w:val="24"/>
        </w:rPr>
        <w:t> </w:t>
      </w:r>
    </w:p>
    <w:p w14:paraId="53095EDE" w14:textId="77777777" w:rsidR="0037589F" w:rsidRPr="00BF0B47" w:rsidRDefault="0037589F" w:rsidP="0037589F">
      <w:pPr>
        <w:ind w:left="426" w:right="418"/>
        <w:jc w:val="both"/>
        <w:rPr>
          <w:rFonts w:ascii="Arial" w:hAnsi="Arial" w:cs="Arial"/>
          <w:iCs/>
          <w:sz w:val="22"/>
          <w:szCs w:val="24"/>
          <w:lang w:val="es-ES"/>
        </w:rPr>
      </w:pPr>
      <w:r w:rsidRPr="00BF0B47">
        <w:rPr>
          <w:rFonts w:ascii="Arial" w:hAnsi="Arial" w:cs="Arial"/>
          <w:iCs/>
          <w:sz w:val="22"/>
          <w:szCs w:val="24"/>
        </w:rPr>
        <w:t>La </w:t>
      </w:r>
      <w:r w:rsidRPr="00BF0B47">
        <w:rPr>
          <w:rFonts w:ascii="Arial" w:hAnsi="Arial" w:cs="Arial"/>
          <w:i/>
          <w:iCs/>
          <w:sz w:val="22"/>
          <w:szCs w:val="24"/>
        </w:rPr>
        <w:t>validez</w:t>
      </w:r>
      <w:r w:rsidRPr="00BF0B47">
        <w:rPr>
          <w:rFonts w:ascii="Arial" w:hAnsi="Arial" w:cs="Arial"/>
          <w:iCs/>
          <w:sz w:val="22"/>
          <w:szCs w:val="24"/>
        </w:rPr>
        <w:t>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w:t>
      </w:r>
    </w:p>
    <w:p w14:paraId="29894B62" w14:textId="77777777" w:rsidR="0037589F" w:rsidRPr="00BF0B47" w:rsidRDefault="0037589F" w:rsidP="0037589F">
      <w:pPr>
        <w:spacing w:line="288" w:lineRule="auto"/>
        <w:ind w:right="51"/>
        <w:jc w:val="both"/>
        <w:rPr>
          <w:rFonts w:ascii="Arial" w:hAnsi="Arial" w:cs="Arial"/>
          <w:b/>
          <w:iCs/>
          <w:szCs w:val="24"/>
        </w:rPr>
      </w:pPr>
    </w:p>
    <w:p w14:paraId="131DB530" w14:textId="77777777" w:rsidR="0037589F" w:rsidRPr="00BF0B47" w:rsidRDefault="0037589F" w:rsidP="0037589F">
      <w:pPr>
        <w:spacing w:line="288" w:lineRule="auto"/>
        <w:ind w:right="51"/>
        <w:jc w:val="both"/>
        <w:rPr>
          <w:rFonts w:ascii="Arial" w:hAnsi="Arial" w:cs="Arial"/>
          <w:b/>
          <w:iCs/>
          <w:szCs w:val="24"/>
          <w:lang w:val="es-CO"/>
        </w:rPr>
      </w:pPr>
      <w:r w:rsidRPr="00BF0B47">
        <w:rPr>
          <w:rFonts w:ascii="Arial" w:hAnsi="Arial" w:cs="Arial"/>
          <w:iCs/>
          <w:szCs w:val="24"/>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BF0B47">
        <w:rPr>
          <w:rFonts w:ascii="Arial" w:hAnsi="Arial" w:cs="Arial"/>
          <w:b/>
          <w:iCs/>
          <w:szCs w:val="24"/>
          <w:lang w:val="es-CO"/>
        </w:rPr>
        <w:t>puede llegar a poner en riesgo la garantía del derecho pensional para los actuales y futuros pensionados que si lo hicieron.</w:t>
      </w:r>
    </w:p>
    <w:p w14:paraId="75BCA9F5" w14:textId="77777777" w:rsidR="0037589F" w:rsidRPr="00BF0B47" w:rsidRDefault="0037589F" w:rsidP="0037589F">
      <w:pPr>
        <w:spacing w:line="288" w:lineRule="auto"/>
        <w:ind w:right="51"/>
        <w:jc w:val="both"/>
        <w:rPr>
          <w:rFonts w:ascii="Arial" w:hAnsi="Arial" w:cs="Arial"/>
          <w:b/>
          <w:iCs/>
          <w:szCs w:val="24"/>
          <w:lang w:val="es-CO"/>
        </w:rPr>
      </w:pPr>
    </w:p>
    <w:p w14:paraId="61D10CB2" w14:textId="77777777" w:rsidR="0037589F" w:rsidRPr="00BF0B47" w:rsidRDefault="0037589F" w:rsidP="0037589F">
      <w:pPr>
        <w:spacing w:line="288" w:lineRule="auto"/>
        <w:ind w:right="51"/>
        <w:jc w:val="both"/>
        <w:rPr>
          <w:rFonts w:ascii="Arial" w:hAnsi="Arial" w:cs="Arial"/>
          <w:iCs/>
          <w:szCs w:val="24"/>
          <w:lang w:val="es-CO"/>
        </w:rPr>
      </w:pPr>
      <w:r w:rsidRPr="00BF0B47">
        <w:rPr>
          <w:rFonts w:ascii="Arial" w:hAnsi="Arial" w:cs="Arial"/>
          <w:b/>
          <w:iCs/>
          <w:szCs w:val="24"/>
          <w:lang w:val="es-CO"/>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BF0B47">
        <w:rPr>
          <w:rFonts w:ascii="Arial" w:hAnsi="Arial" w:cs="Arial"/>
          <w:iCs/>
          <w:szCs w:val="24"/>
          <w:lang w:val="es-CO"/>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w:t>
      </w:r>
    </w:p>
    <w:p w14:paraId="2BE0E9B3" w14:textId="77777777" w:rsidR="0037589F" w:rsidRPr="00BF0B47" w:rsidRDefault="0037589F" w:rsidP="0037589F">
      <w:pPr>
        <w:spacing w:line="288" w:lineRule="auto"/>
        <w:ind w:right="51"/>
        <w:jc w:val="both"/>
        <w:rPr>
          <w:rFonts w:ascii="Arial" w:hAnsi="Arial" w:cs="Arial"/>
          <w:iCs/>
          <w:szCs w:val="24"/>
        </w:rPr>
      </w:pPr>
    </w:p>
    <w:p w14:paraId="6E72341E" w14:textId="77777777" w:rsidR="0037589F" w:rsidRPr="00BF0B47" w:rsidRDefault="0037589F" w:rsidP="0037589F">
      <w:pPr>
        <w:spacing w:line="288" w:lineRule="auto"/>
        <w:ind w:right="51"/>
        <w:jc w:val="both"/>
        <w:rPr>
          <w:rFonts w:ascii="Arial" w:hAnsi="Arial" w:cs="Arial"/>
          <w:iCs/>
          <w:szCs w:val="24"/>
        </w:rPr>
      </w:pPr>
      <w:r w:rsidRPr="00BF0B47">
        <w:rPr>
          <w:rFonts w:ascii="Arial" w:hAnsi="Arial" w:cs="Arial"/>
          <w:iCs/>
          <w:szCs w:val="24"/>
        </w:rPr>
        <w:t>La claridad de este crucial punto deja en evidencia la inadmisible carga que representaría para Colpensiones la autorización de traslados de personas que ya para pensionarse buscan beneficiarse de los subsidios que otorga el régimen de prima media, de allí que resulte preciso asegurar lo siguiente:</w:t>
      </w:r>
    </w:p>
    <w:p w14:paraId="2E4656AA" w14:textId="77777777" w:rsidR="0037589F" w:rsidRPr="00BF0B47" w:rsidRDefault="0037589F" w:rsidP="0037589F">
      <w:pPr>
        <w:spacing w:line="288" w:lineRule="auto"/>
        <w:ind w:right="51"/>
        <w:jc w:val="both"/>
        <w:rPr>
          <w:rFonts w:ascii="Arial" w:hAnsi="Arial" w:cs="Arial"/>
          <w:iCs/>
          <w:szCs w:val="24"/>
        </w:rPr>
      </w:pPr>
    </w:p>
    <w:p w14:paraId="5B7783A9" w14:textId="77777777" w:rsidR="0037589F" w:rsidRPr="00BF0B47" w:rsidRDefault="0037589F" w:rsidP="0037589F">
      <w:pPr>
        <w:suppressAutoHyphens/>
        <w:spacing w:line="288" w:lineRule="auto"/>
        <w:jc w:val="both"/>
        <w:rPr>
          <w:rFonts w:ascii="Arial" w:hAnsi="Arial" w:cs="Arial"/>
          <w:spacing w:val="-2"/>
          <w:szCs w:val="24"/>
        </w:rPr>
      </w:pPr>
      <w:r w:rsidRPr="00BF0B47">
        <w:rPr>
          <w:rFonts w:ascii="Arial" w:hAnsi="Arial" w:cs="Arial"/>
          <w:spacing w:val="-2"/>
          <w:szCs w:val="24"/>
        </w:rPr>
        <w:t>-</w:t>
      </w:r>
      <w:r>
        <w:rPr>
          <w:rFonts w:ascii="Arial" w:hAnsi="Arial" w:cs="Arial"/>
          <w:spacing w:val="-2"/>
          <w:szCs w:val="24"/>
        </w:rPr>
        <w:t xml:space="preserve"> </w:t>
      </w:r>
      <w:r w:rsidRPr="00BF0B47">
        <w:rPr>
          <w:rFonts w:ascii="Arial" w:hAnsi="Arial" w:cs="Arial"/>
          <w:spacing w:val="-2"/>
          <w:szCs w:val="24"/>
        </w:rPr>
        <w:t>IMPOSIBILIDAD JURÍDICA DE IMPONER RESPONSABILIDAD A COLPENSIONES.</w:t>
      </w:r>
    </w:p>
    <w:p w14:paraId="1302C450" w14:textId="77777777" w:rsidR="0037589F" w:rsidRPr="00BF0B47" w:rsidRDefault="0037589F" w:rsidP="0037589F">
      <w:pPr>
        <w:suppressAutoHyphens/>
        <w:spacing w:line="288" w:lineRule="auto"/>
        <w:jc w:val="both"/>
        <w:rPr>
          <w:rFonts w:ascii="Arial" w:hAnsi="Arial" w:cs="Arial"/>
          <w:spacing w:val="-2"/>
          <w:szCs w:val="24"/>
        </w:rPr>
      </w:pPr>
    </w:p>
    <w:p w14:paraId="6C31E356" w14:textId="77777777" w:rsidR="0037589F" w:rsidRPr="00BF0B47" w:rsidRDefault="0037589F" w:rsidP="0037589F">
      <w:pPr>
        <w:suppressAutoHyphens/>
        <w:spacing w:line="288" w:lineRule="auto"/>
        <w:jc w:val="both"/>
        <w:rPr>
          <w:rFonts w:ascii="Arial" w:hAnsi="Arial" w:cs="Arial"/>
          <w:spacing w:val="-2"/>
          <w:szCs w:val="24"/>
        </w:rPr>
      </w:pPr>
      <w:r w:rsidRPr="00BF0B47">
        <w:rPr>
          <w:rFonts w:ascii="Arial" w:hAnsi="Arial" w:cs="Arial"/>
          <w:spacing w:val="-2"/>
          <w:szCs w:val="24"/>
        </w:rPr>
        <w:t xml:space="preserve">Se pide en estos asuntos que se declare ineficaz el traslado al RAIS por engaño o falta de información en que incurrió la Administradora de Pensiones Privada. Se </w:t>
      </w:r>
      <w:r w:rsidRPr="00BF0B47">
        <w:rPr>
          <w:rFonts w:ascii="Arial" w:hAnsi="Arial" w:cs="Arial"/>
          <w:spacing w:val="-2"/>
          <w:szCs w:val="24"/>
        </w:rPr>
        <w:lastRenderedPageBreak/>
        <w:t>argumenta para el efecto que el monto de la pensión que se puede otorgar con el dinero que existe en cuenta de ahorro individual es inferior al que reconocería Colpensiones en el RPM y por ello se pide que sea esta última entidad quien asuma el reconocimiento y pago de la pensión.</w:t>
      </w:r>
    </w:p>
    <w:p w14:paraId="50EB55E0" w14:textId="77777777" w:rsidR="0037589F" w:rsidRPr="00BF0B47" w:rsidRDefault="0037589F" w:rsidP="0037589F">
      <w:pPr>
        <w:suppressAutoHyphens/>
        <w:spacing w:line="288" w:lineRule="auto"/>
        <w:jc w:val="both"/>
        <w:rPr>
          <w:rFonts w:ascii="Arial" w:hAnsi="Arial" w:cs="Arial"/>
          <w:spacing w:val="-2"/>
          <w:szCs w:val="24"/>
        </w:rPr>
      </w:pPr>
    </w:p>
    <w:p w14:paraId="6F4A411F" w14:textId="77777777" w:rsidR="0037589F" w:rsidRPr="00BF0B47" w:rsidRDefault="0037589F" w:rsidP="0037589F">
      <w:pPr>
        <w:suppressAutoHyphens/>
        <w:spacing w:line="288" w:lineRule="auto"/>
        <w:jc w:val="both"/>
        <w:rPr>
          <w:rFonts w:ascii="Arial" w:hAnsi="Arial" w:cs="Arial"/>
          <w:spacing w:val="-2"/>
          <w:szCs w:val="24"/>
        </w:rPr>
      </w:pPr>
      <w:r w:rsidRPr="00BF0B47">
        <w:rPr>
          <w:rFonts w:ascii="Arial" w:hAnsi="Arial" w:cs="Arial"/>
          <w:spacing w:val="-2"/>
          <w:szCs w:val="24"/>
        </w:rPr>
        <w:t>La ley 100 de 1993 creó una dualidad de sistemas pensionales y permitió el traslado de los afiliados entre ellos, de allí que COLPENSIONES no tenía dentro de sus posibilidades retener a los afiliados que desearan cambiarse al nuevo régimen creado.</w:t>
      </w:r>
    </w:p>
    <w:p w14:paraId="0EB13ECC" w14:textId="77777777" w:rsidR="0037589F" w:rsidRPr="00BF0B47" w:rsidRDefault="0037589F" w:rsidP="0037589F">
      <w:pPr>
        <w:suppressAutoHyphens/>
        <w:spacing w:line="288" w:lineRule="auto"/>
        <w:jc w:val="both"/>
        <w:rPr>
          <w:rFonts w:ascii="Arial" w:hAnsi="Arial" w:cs="Arial"/>
          <w:spacing w:val="-2"/>
          <w:szCs w:val="24"/>
        </w:rPr>
      </w:pPr>
    </w:p>
    <w:p w14:paraId="40C2C764" w14:textId="77777777" w:rsidR="0037589F" w:rsidRPr="00BF0B47" w:rsidRDefault="0037589F" w:rsidP="0037589F">
      <w:pPr>
        <w:suppressAutoHyphens/>
        <w:spacing w:line="288" w:lineRule="auto"/>
        <w:jc w:val="both"/>
        <w:rPr>
          <w:rFonts w:ascii="Arial" w:hAnsi="Arial" w:cs="Arial"/>
          <w:spacing w:val="-2"/>
          <w:szCs w:val="24"/>
        </w:rPr>
      </w:pPr>
      <w:r w:rsidRPr="00BF0B47">
        <w:rPr>
          <w:rFonts w:ascii="Arial" w:hAnsi="Arial" w:cs="Arial"/>
          <w:spacing w:val="-2"/>
          <w:szCs w:val="24"/>
        </w:rPr>
        <w:t>La pregunta que deben hacerse los administradores de justicia frente a esta situación es:</w:t>
      </w:r>
    </w:p>
    <w:p w14:paraId="0B681269" w14:textId="77777777" w:rsidR="0037589F" w:rsidRPr="00BF0B47" w:rsidRDefault="0037589F" w:rsidP="0037589F">
      <w:pPr>
        <w:suppressAutoHyphens/>
        <w:spacing w:line="288" w:lineRule="auto"/>
        <w:jc w:val="both"/>
        <w:rPr>
          <w:rFonts w:ascii="Arial" w:hAnsi="Arial" w:cs="Arial"/>
          <w:spacing w:val="-2"/>
          <w:szCs w:val="24"/>
        </w:rPr>
      </w:pPr>
    </w:p>
    <w:p w14:paraId="3296F9C5" w14:textId="77777777" w:rsidR="0037589F" w:rsidRPr="00BF0B47" w:rsidRDefault="0037589F" w:rsidP="0037589F">
      <w:pPr>
        <w:suppressAutoHyphens/>
        <w:spacing w:line="288" w:lineRule="auto"/>
        <w:jc w:val="both"/>
        <w:rPr>
          <w:rFonts w:ascii="Arial" w:hAnsi="Arial" w:cs="Arial"/>
          <w:b/>
          <w:spacing w:val="-2"/>
          <w:szCs w:val="24"/>
        </w:rPr>
      </w:pPr>
      <w:r w:rsidRPr="00BF0B47">
        <w:rPr>
          <w:rFonts w:ascii="Arial" w:hAnsi="Arial" w:cs="Arial"/>
          <w:b/>
          <w:spacing w:val="-2"/>
          <w:szCs w:val="24"/>
        </w:rPr>
        <w:t>¿Contempla nuestro sistema legal que se pueda imponer a una persona una carga económica por un daño antijurídico o un perjuicio que otro causó y frente al cual no tuvo ninguna posibilidad de evitarlo?</w:t>
      </w:r>
    </w:p>
    <w:p w14:paraId="64F8DA2C" w14:textId="77777777" w:rsidR="0037589F" w:rsidRPr="00BF0B47" w:rsidRDefault="0037589F" w:rsidP="0037589F">
      <w:pPr>
        <w:suppressAutoHyphens/>
        <w:spacing w:line="288" w:lineRule="auto"/>
        <w:jc w:val="both"/>
        <w:rPr>
          <w:rFonts w:ascii="Arial" w:hAnsi="Arial" w:cs="Arial"/>
          <w:b/>
          <w:spacing w:val="-2"/>
          <w:szCs w:val="24"/>
        </w:rPr>
      </w:pPr>
    </w:p>
    <w:p w14:paraId="39D6C17F" w14:textId="77777777" w:rsidR="0037589F" w:rsidRPr="00BF0B47" w:rsidRDefault="0037589F" w:rsidP="0037589F">
      <w:pPr>
        <w:suppressAutoHyphens/>
        <w:spacing w:line="288" w:lineRule="auto"/>
        <w:jc w:val="both"/>
        <w:rPr>
          <w:rFonts w:ascii="Arial" w:hAnsi="Arial" w:cs="Arial"/>
          <w:b/>
          <w:spacing w:val="-2"/>
          <w:szCs w:val="24"/>
        </w:rPr>
      </w:pPr>
      <w:r w:rsidRPr="00BF0B47">
        <w:rPr>
          <w:rFonts w:ascii="Arial" w:hAnsi="Arial" w:cs="Arial"/>
          <w:spacing w:val="-2"/>
          <w:szCs w:val="24"/>
        </w:rPr>
        <w:t>Creo que la respuesta es obvia: No es posible. No hay ninguna disposición que imponga tal carga. De allí que, no puede pretenderse que COLPENSIONES, sin haber tenido responsabilidad ni incidencia alguna en el traslado, asuma el pago de una pensión superior a la que puede otorgarse con el dinero existente en la cuenta de ahorro individual. Obligar a este Fondo a asumir tal carga es defraudar los intereses de las personas que legítimamente lo han conformado con sus aportes.</w:t>
      </w:r>
      <w:r w:rsidRPr="00BF0B47">
        <w:rPr>
          <w:rFonts w:ascii="Arial" w:hAnsi="Arial" w:cs="Arial"/>
          <w:b/>
          <w:spacing w:val="-2"/>
          <w:szCs w:val="24"/>
        </w:rPr>
        <w:t xml:space="preserve"> </w:t>
      </w:r>
    </w:p>
    <w:p w14:paraId="7EC9F41C" w14:textId="77777777" w:rsidR="0037589F" w:rsidRPr="00BF0B47" w:rsidRDefault="0037589F" w:rsidP="0037589F">
      <w:pPr>
        <w:suppressAutoHyphens/>
        <w:spacing w:line="288" w:lineRule="auto"/>
        <w:jc w:val="both"/>
        <w:rPr>
          <w:rFonts w:ascii="Arial" w:hAnsi="Arial" w:cs="Arial"/>
          <w:b/>
          <w:spacing w:val="-2"/>
          <w:szCs w:val="24"/>
        </w:rPr>
      </w:pPr>
    </w:p>
    <w:p w14:paraId="24A6C13F" w14:textId="77777777" w:rsidR="0037589F" w:rsidRPr="00BF0B47" w:rsidRDefault="0037589F" w:rsidP="0037589F">
      <w:pPr>
        <w:suppressAutoHyphens/>
        <w:spacing w:line="288" w:lineRule="auto"/>
        <w:jc w:val="both"/>
        <w:rPr>
          <w:rFonts w:ascii="Arial" w:hAnsi="Arial" w:cs="Arial"/>
          <w:spacing w:val="-2"/>
          <w:szCs w:val="24"/>
        </w:rPr>
      </w:pPr>
      <w:r w:rsidRPr="00BF0B47">
        <w:rPr>
          <w:rFonts w:ascii="Arial" w:hAnsi="Arial" w:cs="Arial"/>
          <w:spacing w:val="-2"/>
          <w:szCs w:val="24"/>
        </w:rPr>
        <w:t>De allí que, desde el principio esa pretensión esté llamada al fracaso porque se está imponiendo una carga económica a Colpensiones que no debe asumir.</w:t>
      </w:r>
    </w:p>
    <w:p w14:paraId="2C505718" w14:textId="77777777" w:rsidR="0037589F" w:rsidRPr="00BF0B47" w:rsidRDefault="0037589F" w:rsidP="0037589F">
      <w:pPr>
        <w:suppressAutoHyphens/>
        <w:spacing w:line="288" w:lineRule="auto"/>
        <w:jc w:val="both"/>
        <w:rPr>
          <w:rFonts w:ascii="Arial" w:hAnsi="Arial" w:cs="Arial"/>
          <w:spacing w:val="-2"/>
          <w:szCs w:val="24"/>
        </w:rPr>
      </w:pPr>
    </w:p>
    <w:p w14:paraId="2129F8F4" w14:textId="77777777" w:rsidR="0037589F" w:rsidRPr="00BF0B47" w:rsidRDefault="0037589F" w:rsidP="0037589F">
      <w:pPr>
        <w:suppressAutoHyphens/>
        <w:spacing w:line="288" w:lineRule="auto"/>
        <w:jc w:val="both"/>
        <w:rPr>
          <w:rFonts w:ascii="Arial" w:hAnsi="Arial" w:cs="Arial"/>
          <w:spacing w:val="-2"/>
          <w:szCs w:val="24"/>
        </w:rPr>
      </w:pPr>
      <w:r w:rsidRPr="00BF0B47">
        <w:rPr>
          <w:rFonts w:ascii="Arial" w:hAnsi="Arial" w:cs="Arial"/>
          <w:spacing w:val="-2"/>
          <w:szCs w:val="24"/>
        </w:rPr>
        <w:t xml:space="preserve">Otra cosa sería, si se prueba en el proceso el engaño o la responsabilidad de la AFP privada en el traslado del afiliado y, como consecuencia de ello, la causación de un perjuicio a este, él pueda pedir la indemnización de ese perjuicio, </w:t>
      </w:r>
      <w:r w:rsidRPr="00BF0B47">
        <w:rPr>
          <w:rFonts w:ascii="Arial" w:hAnsi="Arial" w:cs="Arial"/>
          <w:b/>
          <w:spacing w:val="-2"/>
          <w:szCs w:val="24"/>
        </w:rPr>
        <w:t>pero a cargo de quien se lo causó</w:t>
      </w:r>
      <w:r w:rsidRPr="00BF0B47">
        <w:rPr>
          <w:rFonts w:ascii="Arial" w:hAnsi="Arial" w:cs="Arial"/>
          <w:spacing w:val="-2"/>
          <w:szCs w:val="24"/>
        </w:rPr>
        <w:t>, esto es la AFP, mas no de COLPENSIONES. Pero este es un debate que debe darse desde la primera instancia, toda vez que de percibirse en este segundo grado, no resulta posible abordarlo dado que se configuraría una violación de los principios de congruencia y consonancia al abordar asuntos diferentes a los propuestos por las partes.</w:t>
      </w:r>
    </w:p>
    <w:p w14:paraId="62407C2F" w14:textId="77777777" w:rsidR="0037589F" w:rsidRPr="00BF0B47" w:rsidRDefault="0037589F" w:rsidP="0037589F">
      <w:pPr>
        <w:suppressAutoHyphens/>
        <w:spacing w:line="288" w:lineRule="auto"/>
        <w:jc w:val="both"/>
        <w:rPr>
          <w:rFonts w:ascii="Arial" w:hAnsi="Arial" w:cs="Arial"/>
          <w:spacing w:val="-2"/>
          <w:szCs w:val="24"/>
        </w:rPr>
      </w:pPr>
    </w:p>
    <w:p w14:paraId="5EE90538" w14:textId="77777777" w:rsidR="0037589F" w:rsidRPr="00BF0B47" w:rsidRDefault="0037589F" w:rsidP="0037589F">
      <w:pPr>
        <w:pStyle w:val="Prrafodelista"/>
        <w:numPr>
          <w:ilvl w:val="0"/>
          <w:numId w:val="12"/>
        </w:numPr>
        <w:spacing w:line="288" w:lineRule="auto"/>
        <w:jc w:val="both"/>
        <w:rPr>
          <w:rFonts w:ascii="Arial" w:hAnsi="Arial" w:cs="Arial"/>
          <w:b/>
          <w:sz w:val="24"/>
          <w:szCs w:val="24"/>
        </w:rPr>
      </w:pPr>
      <w:r w:rsidRPr="00BF0B47">
        <w:rPr>
          <w:rFonts w:ascii="Arial" w:hAnsi="Arial" w:cs="Arial"/>
          <w:b/>
          <w:sz w:val="24"/>
          <w:szCs w:val="24"/>
        </w:rPr>
        <w:t>LOS ACTOS JURÍDICOS Y SU VALIDEZ</w:t>
      </w:r>
    </w:p>
    <w:p w14:paraId="2C7A0FA2" w14:textId="77777777" w:rsidR="0037589F" w:rsidRPr="00BF0B47" w:rsidRDefault="0037589F" w:rsidP="0037589F">
      <w:pPr>
        <w:spacing w:line="288" w:lineRule="auto"/>
        <w:ind w:right="51"/>
        <w:jc w:val="both"/>
        <w:rPr>
          <w:rFonts w:ascii="Arial" w:hAnsi="Arial" w:cs="Arial"/>
          <w:b/>
          <w:iCs/>
          <w:szCs w:val="24"/>
        </w:rPr>
      </w:pPr>
    </w:p>
    <w:p w14:paraId="61B68EF8" w14:textId="77777777" w:rsidR="0037589F" w:rsidRPr="00BF0B47" w:rsidRDefault="0037589F" w:rsidP="0037589F">
      <w:pPr>
        <w:spacing w:line="288" w:lineRule="auto"/>
        <w:ind w:right="51"/>
        <w:jc w:val="both"/>
        <w:rPr>
          <w:rFonts w:ascii="Arial" w:hAnsi="Arial" w:cs="Arial"/>
          <w:iCs/>
          <w:szCs w:val="24"/>
        </w:rPr>
      </w:pPr>
      <w:r w:rsidRPr="00BF0B47">
        <w:rPr>
          <w:rFonts w:ascii="Arial" w:hAnsi="Arial" w:cs="Arial"/>
          <w:iCs/>
          <w:szCs w:val="24"/>
        </w:rPr>
        <w:t xml:space="preserve">Los actos jurídicos, esto es, las manifestaciones de voluntad dirigidas a producir efectos en derecho, no se encuentran regulados por la legislación del trabajo y la seguridad social. En realidad, ellos siguen las añosas directrices del ordenamiento civil. </w:t>
      </w:r>
    </w:p>
    <w:p w14:paraId="3397A71F" w14:textId="77777777" w:rsidR="0037589F" w:rsidRPr="00BF0B47" w:rsidRDefault="0037589F" w:rsidP="0037589F">
      <w:pPr>
        <w:spacing w:line="288" w:lineRule="auto"/>
        <w:ind w:right="51"/>
        <w:jc w:val="both"/>
        <w:rPr>
          <w:rFonts w:ascii="Arial" w:hAnsi="Arial" w:cs="Arial"/>
          <w:iCs/>
          <w:szCs w:val="24"/>
        </w:rPr>
      </w:pPr>
    </w:p>
    <w:p w14:paraId="5BF320BC" w14:textId="77777777" w:rsidR="0037589F" w:rsidRPr="00BF0B47" w:rsidRDefault="0037589F" w:rsidP="0037589F">
      <w:pPr>
        <w:spacing w:line="288" w:lineRule="auto"/>
        <w:ind w:right="51"/>
        <w:jc w:val="both"/>
        <w:rPr>
          <w:rFonts w:ascii="Arial" w:hAnsi="Arial" w:cs="Arial"/>
          <w:iCs/>
          <w:szCs w:val="24"/>
        </w:rPr>
      </w:pPr>
      <w:r w:rsidRPr="00BF0B47">
        <w:rPr>
          <w:rFonts w:ascii="Arial" w:hAnsi="Arial" w:cs="Arial"/>
          <w:iCs/>
          <w:szCs w:val="24"/>
        </w:rPr>
        <w:t xml:space="preserve">No se ha cambiado en nuestro sistema jurídico que para que un acto jurídico sea válido haya de reunir los requisitos de capacidad, consentimiento libre y objeto y causas lícitas, ni que, si falta alguno de estos presupuestos o se deja de cumplir con un formalismo previsto en la ley, el acto puede resultar nulo de manera absoluta o </w:t>
      </w:r>
      <w:r w:rsidRPr="00BF0B47">
        <w:rPr>
          <w:rFonts w:ascii="Arial" w:hAnsi="Arial" w:cs="Arial"/>
          <w:iCs/>
          <w:szCs w:val="24"/>
        </w:rPr>
        <w:lastRenderedPageBreak/>
        <w:t xml:space="preserve">relativa. Tampoco puede mover a discusión que los vicios del consentimiento producen nulidad relativa, saneable de conformidad con la ley. </w:t>
      </w:r>
    </w:p>
    <w:p w14:paraId="193BA949" w14:textId="77777777" w:rsidR="0037589F" w:rsidRPr="00BF0B47" w:rsidRDefault="0037589F" w:rsidP="0037589F">
      <w:pPr>
        <w:spacing w:line="288" w:lineRule="auto"/>
        <w:ind w:right="51"/>
        <w:jc w:val="both"/>
        <w:rPr>
          <w:rFonts w:ascii="Arial" w:hAnsi="Arial" w:cs="Arial"/>
          <w:iCs/>
          <w:szCs w:val="24"/>
        </w:rPr>
      </w:pPr>
    </w:p>
    <w:p w14:paraId="20DA18F5" w14:textId="77777777" w:rsidR="0037589F" w:rsidRPr="00BF0B47" w:rsidRDefault="0037589F" w:rsidP="0037589F">
      <w:pPr>
        <w:spacing w:line="288" w:lineRule="auto"/>
        <w:ind w:right="51"/>
        <w:jc w:val="both"/>
        <w:rPr>
          <w:rFonts w:ascii="Arial" w:hAnsi="Arial" w:cs="Arial"/>
          <w:iCs/>
          <w:szCs w:val="24"/>
        </w:rPr>
      </w:pPr>
      <w:r w:rsidRPr="00BF0B47">
        <w:rPr>
          <w:rFonts w:ascii="Arial" w:hAnsi="Arial" w:cs="Arial"/>
          <w:iCs/>
          <w:szCs w:val="24"/>
        </w:rPr>
        <w:t>Por ello, a pesar de lo afirmado por la Sala de Casación Laboral en las sentencias inicialmente citadas, me es imposible variar mi criterio consistente en que la afiliación y traslado entre regímenes son actos jurídicos, sujetos para su validez a las reglamentaciones del derecho civil.</w:t>
      </w:r>
    </w:p>
    <w:p w14:paraId="69FC34C3" w14:textId="77777777" w:rsidR="0037589F" w:rsidRPr="00BF0B47" w:rsidRDefault="0037589F" w:rsidP="0037589F">
      <w:pPr>
        <w:spacing w:line="288" w:lineRule="auto"/>
        <w:ind w:right="51"/>
        <w:jc w:val="both"/>
        <w:rPr>
          <w:rFonts w:ascii="Arial" w:hAnsi="Arial" w:cs="Arial"/>
          <w:iCs/>
          <w:szCs w:val="24"/>
        </w:rPr>
      </w:pPr>
    </w:p>
    <w:p w14:paraId="0B80FACE" w14:textId="77777777" w:rsidR="0037589F" w:rsidRPr="00BF0B47" w:rsidRDefault="0037589F" w:rsidP="0037589F">
      <w:pPr>
        <w:spacing w:line="288" w:lineRule="auto"/>
        <w:ind w:right="51"/>
        <w:jc w:val="both"/>
        <w:rPr>
          <w:rFonts w:ascii="Arial" w:hAnsi="Arial" w:cs="Arial"/>
          <w:iCs/>
          <w:szCs w:val="24"/>
        </w:rPr>
      </w:pPr>
      <w:r w:rsidRPr="00BF0B47">
        <w:rPr>
          <w:rFonts w:ascii="Arial" w:hAnsi="Arial" w:cs="Arial"/>
          <w:iCs/>
          <w:szCs w:val="24"/>
        </w:rPr>
        <w:t>En este sentido resultan pertinentes los siguientes comentarios:</w:t>
      </w:r>
    </w:p>
    <w:p w14:paraId="6E225BC4" w14:textId="77777777" w:rsidR="0037589F" w:rsidRPr="00BF0B47" w:rsidRDefault="0037589F" w:rsidP="0037589F">
      <w:pPr>
        <w:spacing w:line="288" w:lineRule="auto"/>
        <w:ind w:right="51"/>
        <w:jc w:val="both"/>
        <w:rPr>
          <w:rFonts w:ascii="Arial" w:hAnsi="Arial" w:cs="Arial"/>
          <w:iCs/>
          <w:szCs w:val="24"/>
        </w:rPr>
      </w:pPr>
    </w:p>
    <w:p w14:paraId="3727717A" w14:textId="77777777" w:rsidR="0037589F" w:rsidRPr="00BF0B47" w:rsidRDefault="0037589F" w:rsidP="0037589F">
      <w:pPr>
        <w:spacing w:line="288" w:lineRule="auto"/>
        <w:ind w:right="51"/>
        <w:jc w:val="both"/>
        <w:rPr>
          <w:rFonts w:ascii="Arial" w:hAnsi="Arial" w:cs="Arial"/>
          <w:iCs/>
          <w:szCs w:val="24"/>
        </w:rPr>
      </w:pPr>
      <w:r w:rsidRPr="00BF0B47">
        <w:rPr>
          <w:rFonts w:ascii="Arial" w:hAnsi="Arial" w:cs="Arial"/>
          <w:iCs/>
          <w:szCs w:val="24"/>
        </w:rPr>
        <w:t>-</w:t>
      </w:r>
      <w:r>
        <w:rPr>
          <w:rFonts w:ascii="Arial" w:hAnsi="Arial" w:cs="Arial"/>
          <w:iCs/>
          <w:szCs w:val="24"/>
        </w:rPr>
        <w:t xml:space="preserve"> </w:t>
      </w:r>
      <w:r w:rsidRPr="00BF0B47">
        <w:rPr>
          <w:rFonts w:ascii="Arial" w:hAnsi="Arial" w:cs="Arial"/>
          <w:iCs/>
          <w:szCs w:val="24"/>
        </w:rPr>
        <w:t>NULIDAD DE LOS ACTOS JURÍDICOS Y OPORTUNIDAD PARA ALEGARLA.</w:t>
      </w:r>
    </w:p>
    <w:p w14:paraId="7F393826" w14:textId="77777777" w:rsidR="0037589F" w:rsidRPr="00BF0B47" w:rsidRDefault="0037589F" w:rsidP="0037589F">
      <w:pPr>
        <w:spacing w:line="288" w:lineRule="auto"/>
        <w:ind w:right="51"/>
        <w:jc w:val="both"/>
        <w:rPr>
          <w:rFonts w:ascii="Arial" w:hAnsi="Arial" w:cs="Arial"/>
          <w:b/>
          <w:iCs/>
          <w:szCs w:val="24"/>
        </w:rPr>
      </w:pPr>
    </w:p>
    <w:p w14:paraId="512BFA0C" w14:textId="77777777" w:rsidR="0037589F" w:rsidRPr="00BF0B47" w:rsidRDefault="0037589F" w:rsidP="0037589F">
      <w:pPr>
        <w:spacing w:line="288" w:lineRule="auto"/>
        <w:jc w:val="both"/>
        <w:rPr>
          <w:rFonts w:ascii="Arial" w:hAnsi="Arial" w:cs="Arial"/>
          <w:bCs/>
          <w:iCs/>
          <w:szCs w:val="24"/>
        </w:rPr>
      </w:pPr>
      <w:r w:rsidRPr="00BF0B47">
        <w:rPr>
          <w:rFonts w:ascii="Arial" w:hAnsi="Arial" w:cs="Arial"/>
          <w:bCs/>
          <w:iCs/>
          <w:szCs w:val="24"/>
        </w:rPr>
        <w:t xml:space="preserve">Una lectura juiciosa de la sentencia SL12136-2014, que sentó las bases de la anterior posición de la Sala de Casación Laboral sobre el tema de la nulidad o la ineficacia del traslado, permite notar que la Corporación inicialmente consideró que dados los </w:t>
      </w:r>
      <w:r w:rsidRPr="00BF0B47">
        <w:rPr>
          <w:rFonts w:ascii="Arial" w:hAnsi="Arial" w:cs="Arial"/>
          <w:b/>
          <w:bCs/>
          <w:iCs/>
          <w:szCs w:val="24"/>
        </w:rPr>
        <w:t>beneficios del régimen de transición que se perdían con el traslado de régimen</w:t>
      </w:r>
      <w:r w:rsidRPr="00BF0B47">
        <w:rPr>
          <w:rFonts w:ascii="Arial" w:hAnsi="Arial" w:cs="Arial"/>
          <w:bCs/>
          <w:iCs/>
          <w:szCs w:val="24"/>
        </w:rPr>
        <w:t>, no recibir información al respecto, conllevaba falta de libertad en la decisión del afiliado que lo hacía beneficiario de la protección brindada en el artículo 271 de la ley 100 de 1993, en cuanto el acto así realizado se entendería sin efectos. Vale recordar que en la sentencia en cita se dijo:</w:t>
      </w:r>
    </w:p>
    <w:p w14:paraId="1F247C19" w14:textId="77777777" w:rsidR="0037589F" w:rsidRPr="00BF0B47" w:rsidRDefault="0037589F" w:rsidP="0037589F">
      <w:pPr>
        <w:spacing w:line="288" w:lineRule="auto"/>
        <w:jc w:val="both"/>
        <w:rPr>
          <w:rFonts w:ascii="Arial" w:hAnsi="Arial" w:cs="Arial"/>
          <w:bCs/>
          <w:iCs/>
          <w:szCs w:val="24"/>
        </w:rPr>
      </w:pPr>
    </w:p>
    <w:p w14:paraId="55B98779" w14:textId="77777777" w:rsidR="0037589F" w:rsidRPr="00BF0B47" w:rsidRDefault="0037589F" w:rsidP="0037589F">
      <w:pPr>
        <w:ind w:left="426" w:right="476"/>
        <w:jc w:val="both"/>
        <w:rPr>
          <w:rFonts w:ascii="Arial" w:eastAsia="Calibri" w:hAnsi="Arial" w:cs="Arial"/>
          <w:iCs/>
          <w:sz w:val="22"/>
          <w:szCs w:val="24"/>
          <w:lang w:val="es-CO" w:eastAsia="en-US"/>
        </w:rPr>
      </w:pPr>
      <w:r w:rsidRPr="00BF0B47">
        <w:rPr>
          <w:rFonts w:ascii="Arial" w:eastAsia="Calibri" w:hAnsi="Arial" w:cs="Arial"/>
          <w:iCs/>
          <w:sz w:val="22"/>
          <w:szCs w:val="24"/>
          <w:lang w:val="es-CO" w:eastAsia="en-US"/>
        </w:rPr>
        <w:t>“</w:t>
      </w:r>
      <w:r w:rsidRPr="00BF0B47">
        <w:rPr>
          <w:rFonts w:ascii="Arial" w:eastAsia="Calibri" w:hAnsi="Arial" w:cs="Arial"/>
          <w:b/>
          <w:i/>
          <w:iCs/>
          <w:sz w:val="22"/>
          <w:szCs w:val="24"/>
          <w:lang w:val="es-CO" w:eastAsia="en-US"/>
        </w:rPr>
        <w:t>que aunque es cierto que reglas jurídicas generales aluden a que debe demostrarse la afectación de la voluntad para anular una actuación particular, esto no puede aplicarse de la misma manera en estos particulares eventos en los que se discute la pérdida del régimen pensional</w:t>
      </w:r>
      <w:r w:rsidRPr="00BF0B47">
        <w:rPr>
          <w:rFonts w:ascii="Arial" w:eastAsia="Calibri" w:hAnsi="Arial" w:cs="Arial"/>
          <w:iCs/>
          <w:sz w:val="22"/>
          <w:szCs w:val="24"/>
          <w:lang w:val="es-CO" w:eastAsia="en-US"/>
        </w:rPr>
        <w:t>”.</w:t>
      </w:r>
    </w:p>
    <w:p w14:paraId="498F163B" w14:textId="77777777" w:rsidR="0037589F" w:rsidRPr="00BF0B47" w:rsidRDefault="0037589F" w:rsidP="0037589F">
      <w:pPr>
        <w:spacing w:line="288" w:lineRule="auto"/>
        <w:jc w:val="both"/>
        <w:rPr>
          <w:rFonts w:ascii="Arial" w:eastAsia="Calibri" w:hAnsi="Arial" w:cs="Arial"/>
          <w:iCs/>
          <w:szCs w:val="24"/>
          <w:lang w:val="es-CO" w:eastAsia="en-US"/>
        </w:rPr>
      </w:pPr>
    </w:p>
    <w:p w14:paraId="1154B725" w14:textId="77777777" w:rsidR="0037589F" w:rsidRPr="00BF0B47" w:rsidRDefault="0037589F" w:rsidP="0037589F">
      <w:pPr>
        <w:spacing w:line="288" w:lineRule="auto"/>
        <w:jc w:val="both"/>
        <w:rPr>
          <w:rFonts w:ascii="Arial" w:hAnsi="Arial" w:cs="Arial"/>
          <w:bCs/>
          <w:iCs/>
          <w:szCs w:val="24"/>
        </w:rPr>
      </w:pPr>
      <w:r w:rsidRPr="00BF0B47">
        <w:rPr>
          <w:rFonts w:ascii="Arial" w:hAnsi="Arial" w:cs="Arial"/>
          <w:bCs/>
          <w:iCs/>
          <w:szCs w:val="24"/>
        </w:rPr>
        <w:t>En otras palabras, “</w:t>
      </w:r>
      <w:r w:rsidRPr="00BF0B47">
        <w:rPr>
          <w:rFonts w:ascii="Arial" w:hAnsi="Arial" w:cs="Arial"/>
          <w:b/>
          <w:bCs/>
          <w:i/>
          <w:iCs/>
          <w:szCs w:val="24"/>
        </w:rPr>
        <w:t xml:space="preserve">las reglas jurídicas generales” </w:t>
      </w:r>
      <w:r w:rsidRPr="00BF0B47">
        <w:rPr>
          <w:rFonts w:ascii="Arial" w:hAnsi="Arial" w:cs="Arial"/>
          <w:bCs/>
          <w:iCs/>
          <w:szCs w:val="24"/>
        </w:rPr>
        <w:t xml:space="preserve">a que allí se hace alusión, no son otras que las que regulan entre nosotros la nulidad de los actos jurídicos y que, como lo dice el texto citado, para que pueda proceder la anulación exigen la demostración por parte del interesado de la </w:t>
      </w:r>
      <w:r w:rsidRPr="00BF0B47">
        <w:rPr>
          <w:rFonts w:ascii="Arial" w:hAnsi="Arial" w:cs="Arial"/>
          <w:b/>
          <w:bCs/>
          <w:i/>
          <w:iCs/>
          <w:szCs w:val="24"/>
        </w:rPr>
        <w:t>“afectación de la voluntad”</w:t>
      </w:r>
      <w:r w:rsidRPr="00BF0B47">
        <w:rPr>
          <w:rFonts w:ascii="Arial" w:hAnsi="Arial" w:cs="Arial"/>
          <w:bCs/>
          <w:iCs/>
          <w:szCs w:val="24"/>
        </w:rPr>
        <w:t xml:space="preserve">, mientras que la ineficacia en los eventos de pérdida del régimen de transición encuentra un plus de protección en el entendido que se parte de la base de la existencia de una afectación que genera un indicio de haberse dado una inadecuada información al afiliado por parte de la AFP, quien por lo tanto tendrá que hacer un mayor esfuerzo probatorio respecto a haber suministrado la información relativa a la pérdida de beneficios que el traslado conllevaba.  </w:t>
      </w:r>
    </w:p>
    <w:p w14:paraId="7A02B485" w14:textId="77777777" w:rsidR="0037589F" w:rsidRPr="00BF0B47" w:rsidRDefault="0037589F" w:rsidP="0037589F">
      <w:pPr>
        <w:spacing w:line="288" w:lineRule="auto"/>
        <w:jc w:val="both"/>
        <w:rPr>
          <w:rFonts w:ascii="Arial" w:hAnsi="Arial" w:cs="Arial"/>
          <w:bCs/>
          <w:iCs/>
          <w:szCs w:val="24"/>
        </w:rPr>
      </w:pPr>
    </w:p>
    <w:p w14:paraId="54D4475A" w14:textId="77777777" w:rsidR="0037589F" w:rsidRPr="00BF0B47" w:rsidRDefault="0037589F" w:rsidP="0037589F">
      <w:pPr>
        <w:spacing w:line="288" w:lineRule="auto"/>
        <w:jc w:val="both"/>
        <w:rPr>
          <w:rFonts w:ascii="Arial" w:hAnsi="Arial" w:cs="Arial"/>
          <w:bCs/>
          <w:iCs/>
          <w:szCs w:val="24"/>
        </w:rPr>
      </w:pPr>
      <w:r w:rsidRPr="00BF0B47">
        <w:rPr>
          <w:rFonts w:ascii="Arial" w:hAnsi="Arial" w:cs="Arial"/>
          <w:bCs/>
          <w:iCs/>
          <w:szCs w:val="24"/>
        </w:rPr>
        <w:t>En el primer evento, esto es cuando no está en juego el régimen de transición y corresponde aplicar las “reglas generales”, 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14:paraId="6EC23D68" w14:textId="77777777" w:rsidR="0037589F" w:rsidRPr="00BF0B47" w:rsidRDefault="0037589F" w:rsidP="0037589F">
      <w:pPr>
        <w:spacing w:line="288" w:lineRule="auto"/>
        <w:jc w:val="both"/>
        <w:rPr>
          <w:rFonts w:ascii="Arial" w:hAnsi="Arial" w:cs="Arial"/>
          <w:bCs/>
          <w:iCs/>
          <w:szCs w:val="24"/>
        </w:rPr>
      </w:pPr>
    </w:p>
    <w:p w14:paraId="2CBAA655" w14:textId="77777777" w:rsidR="0037589F" w:rsidRPr="00BF0B47" w:rsidRDefault="0037589F" w:rsidP="0037589F">
      <w:pPr>
        <w:spacing w:line="288" w:lineRule="auto"/>
        <w:jc w:val="both"/>
        <w:rPr>
          <w:rFonts w:ascii="Arial" w:hAnsi="Arial" w:cs="Arial"/>
          <w:bCs/>
          <w:iCs/>
          <w:szCs w:val="24"/>
        </w:rPr>
      </w:pPr>
      <w:r w:rsidRPr="00BF0B47">
        <w:rPr>
          <w:rFonts w:ascii="Arial" w:hAnsi="Arial" w:cs="Arial"/>
          <w:bCs/>
          <w:iCs/>
          <w:szCs w:val="24"/>
        </w:rPr>
        <w:t>A su vez, el artículo 1750 del Código Civil prevé que para solicitar la rescisión en los eventos en que se alegue la ocurrencia de error o dolo, se cuenta con un plazo de cuatro años contados desde el día de la celebración del acto o contrato.</w:t>
      </w:r>
    </w:p>
    <w:p w14:paraId="0F8BE5EC" w14:textId="77777777" w:rsidR="0037589F" w:rsidRPr="00BF0B47" w:rsidRDefault="0037589F" w:rsidP="0037589F">
      <w:pPr>
        <w:spacing w:line="288" w:lineRule="auto"/>
        <w:jc w:val="both"/>
        <w:rPr>
          <w:rFonts w:ascii="Arial" w:hAnsi="Arial" w:cs="Arial"/>
          <w:bCs/>
          <w:iCs/>
          <w:szCs w:val="24"/>
        </w:rPr>
      </w:pPr>
    </w:p>
    <w:p w14:paraId="05003673" w14:textId="77777777" w:rsidR="0037589F" w:rsidRPr="00BF0B47" w:rsidRDefault="0037589F" w:rsidP="0037589F">
      <w:pPr>
        <w:spacing w:line="288" w:lineRule="auto"/>
        <w:jc w:val="both"/>
        <w:rPr>
          <w:rFonts w:ascii="Arial" w:hAnsi="Arial" w:cs="Arial"/>
          <w:bCs/>
          <w:szCs w:val="24"/>
        </w:rPr>
      </w:pPr>
      <w:r w:rsidRPr="00BF0B47">
        <w:rPr>
          <w:rFonts w:ascii="Arial" w:hAnsi="Arial" w:cs="Arial"/>
          <w:bCs/>
          <w:szCs w:val="24"/>
        </w:rPr>
        <w:lastRenderedPageBreak/>
        <w:t xml:space="preserve">De otro lado el artículo 1743 </w:t>
      </w:r>
      <w:r w:rsidRPr="00BF0B47">
        <w:rPr>
          <w:rFonts w:ascii="Arial" w:hAnsi="Arial" w:cs="Arial"/>
          <w:bCs/>
          <w:i/>
          <w:iCs/>
          <w:szCs w:val="24"/>
        </w:rPr>
        <w:t xml:space="preserve">ibídem </w:t>
      </w:r>
      <w:r w:rsidRPr="00BF0B47">
        <w:rPr>
          <w:rFonts w:ascii="Arial" w:hAnsi="Arial" w:cs="Arial"/>
          <w:bCs/>
          <w:szCs w:val="24"/>
        </w:rPr>
        <w:t>dispone que la nulidad relativa se sanea por el paso del tiempo o por ratificación de las partes.</w:t>
      </w:r>
    </w:p>
    <w:p w14:paraId="74359797" w14:textId="77777777" w:rsidR="0037589F" w:rsidRPr="00BF0B47" w:rsidRDefault="0037589F" w:rsidP="0037589F">
      <w:pPr>
        <w:spacing w:line="288" w:lineRule="auto"/>
        <w:jc w:val="both"/>
        <w:rPr>
          <w:rFonts w:ascii="Arial" w:hAnsi="Arial" w:cs="Arial"/>
          <w:bCs/>
          <w:szCs w:val="24"/>
        </w:rPr>
      </w:pPr>
    </w:p>
    <w:p w14:paraId="47057670" w14:textId="77777777" w:rsidR="0037589F" w:rsidRPr="00BF0B47" w:rsidRDefault="0037589F" w:rsidP="0037589F">
      <w:pPr>
        <w:spacing w:line="288" w:lineRule="auto"/>
        <w:jc w:val="both"/>
        <w:rPr>
          <w:rFonts w:ascii="Arial" w:hAnsi="Arial" w:cs="Arial"/>
          <w:bCs/>
          <w:szCs w:val="24"/>
        </w:rPr>
      </w:pPr>
      <w:r w:rsidRPr="00BF0B47">
        <w:rPr>
          <w:rFonts w:ascii="Arial" w:hAnsi="Arial" w:cs="Arial"/>
          <w:bCs/>
          <w:szCs w:val="24"/>
        </w:rPr>
        <w:t>Respecto a este último aspecto debe resaltarse que se conoce pero no se comparte la posición de la Sala de Casación Laboral en una de sus salas de descongestión de fecha 13 de febrero de 2019, magistrado ponente Dr. Jorge Prada Sánchez -y también en su sala principal en sentencia SL1689-2019- en la que respecto a la utilización de las normas precitadas, señaló que no era posible su utilización en los asuntos laborales porque existían disposiciones propias en esta rama sobre el tema y porque que en cualquier caso el derecho pensional es irrenunciable e imprescriptible. Posición que, con todo respeto, en mi criterio incurre en una doble equivocación como pasa a verse:</w:t>
      </w:r>
    </w:p>
    <w:p w14:paraId="379D86D2" w14:textId="77777777" w:rsidR="0037589F" w:rsidRPr="00BF0B47" w:rsidRDefault="0037589F" w:rsidP="0037589F">
      <w:pPr>
        <w:spacing w:line="288" w:lineRule="auto"/>
        <w:jc w:val="both"/>
        <w:rPr>
          <w:rFonts w:ascii="Arial" w:hAnsi="Arial" w:cs="Arial"/>
          <w:bCs/>
          <w:szCs w:val="24"/>
        </w:rPr>
      </w:pPr>
    </w:p>
    <w:p w14:paraId="314A01DA" w14:textId="77777777" w:rsidR="0037589F" w:rsidRPr="00BF0B47" w:rsidRDefault="0037589F" w:rsidP="0037589F">
      <w:pPr>
        <w:numPr>
          <w:ilvl w:val="0"/>
          <w:numId w:val="11"/>
        </w:numPr>
        <w:spacing w:after="200" w:line="288" w:lineRule="auto"/>
        <w:jc w:val="both"/>
        <w:rPr>
          <w:rFonts w:ascii="Arial" w:hAnsi="Arial" w:cs="Arial"/>
          <w:bCs/>
          <w:szCs w:val="24"/>
        </w:rPr>
      </w:pPr>
      <w:r w:rsidRPr="00BF0B47">
        <w:rPr>
          <w:rFonts w:ascii="Arial" w:hAnsi="Arial" w:cs="Arial"/>
          <w:bCs/>
          <w:szCs w:val="24"/>
        </w:rPr>
        <w:t xml:space="preserve">En ningún momento la sentencia del Tribunal, que allí se analizó, dispone un término de prescripción de derechos laborales como lo entendió la Sala de Descongestión. Lo que se explicó es que el acto jurídico de afiliación adquirió firmeza por el transcurso del tiempo según lo dispuesto en el artículo 1750, firmeza que sencillamente valida la afiliación que en principio pudo haber estado revestida de alguna irregularidad, pero no significa la </w:t>
      </w:r>
      <w:r w:rsidRPr="00BF0B47">
        <w:rPr>
          <w:rFonts w:ascii="Arial" w:hAnsi="Arial" w:cs="Arial"/>
          <w:b/>
          <w:bCs/>
          <w:szCs w:val="24"/>
        </w:rPr>
        <w:t xml:space="preserve">extinción de ningún derecho por el transcurso del tiempo (Prescripción). </w:t>
      </w:r>
      <w:r w:rsidRPr="00BF0B47">
        <w:rPr>
          <w:rFonts w:ascii="Arial" w:hAnsi="Arial" w:cs="Arial"/>
          <w:bCs/>
          <w:szCs w:val="24"/>
        </w:rPr>
        <w:t>Porque, entre otras cosas, no existe un supuesto derecho a la indefinición de pertenencia a un determinado régimen, por el contrario existe la limitación legal a no poder proceder al traslado de régimen cuando falten menos de 10 años para concretar el derecho. Y</w:t>
      </w:r>
    </w:p>
    <w:p w14:paraId="7F35E0AF" w14:textId="77777777" w:rsidR="0037589F" w:rsidRPr="00BF0B47" w:rsidRDefault="0037589F" w:rsidP="0037589F">
      <w:pPr>
        <w:numPr>
          <w:ilvl w:val="0"/>
          <w:numId w:val="11"/>
        </w:numPr>
        <w:spacing w:after="200" w:line="288" w:lineRule="auto"/>
        <w:jc w:val="both"/>
        <w:rPr>
          <w:rFonts w:ascii="Arial" w:hAnsi="Arial" w:cs="Arial"/>
          <w:bCs/>
          <w:szCs w:val="24"/>
        </w:rPr>
      </w:pPr>
      <w:r w:rsidRPr="00BF0B47">
        <w:rPr>
          <w:rFonts w:ascii="Arial" w:hAnsi="Arial" w:cs="Arial"/>
          <w:bCs/>
          <w:szCs w:val="24"/>
        </w:rPr>
        <w:t>No se puede pregonar, como parece indicarlo la sentencia de casación, que en realidad en este asunto esté en juego la pérdida de un derecho pensional. Nada más alejado de la realidad. Sencillamente, entre dos opciones válidas (RAIS y RPM) para pensionarse, se concretó la primera, sin que ello implique el desconocimiento del irrenunciable derecho a la seguridad social ni, mucho menos, la prescripción del derecho a adquirir una pensión. Es que, si la ley ofrece dos opciones para acceder a las pensiones de invalidez, vejez  y muerte, el hecho de que un afiliado opte por una u otra, no significa que al final de la maduración de su derecho, la perspectiva consistente en que en la actualidad le sea más favorable pertenecer al otro régimen, signifique que él ha perdido su derecho pensional, sino que simplemente, dada su elección inicial, su derecho se concreta bajo las reglas del régimen escogido.</w:t>
      </w:r>
    </w:p>
    <w:p w14:paraId="50F98745" w14:textId="77777777" w:rsidR="0037589F" w:rsidRPr="00BF0B47" w:rsidRDefault="0037589F" w:rsidP="0037589F">
      <w:pPr>
        <w:spacing w:line="288" w:lineRule="auto"/>
        <w:jc w:val="both"/>
        <w:rPr>
          <w:rFonts w:ascii="Arial" w:hAnsi="Arial" w:cs="Arial"/>
          <w:bCs/>
          <w:szCs w:val="24"/>
        </w:rPr>
      </w:pPr>
    </w:p>
    <w:p w14:paraId="0FC738E9" w14:textId="77777777" w:rsidR="0037589F" w:rsidRPr="00BF0B47" w:rsidRDefault="0037589F" w:rsidP="0037589F">
      <w:pPr>
        <w:spacing w:line="288" w:lineRule="auto"/>
        <w:jc w:val="both"/>
        <w:rPr>
          <w:rFonts w:ascii="Arial" w:hAnsi="Arial" w:cs="Arial"/>
          <w:bCs/>
          <w:szCs w:val="24"/>
        </w:rPr>
      </w:pPr>
      <w:r w:rsidRPr="00BF0B47">
        <w:rPr>
          <w:rFonts w:ascii="Arial" w:hAnsi="Arial" w:cs="Arial"/>
          <w:bCs/>
          <w:szCs w:val="24"/>
        </w:rPr>
        <w:t>Es que un sistema jurídico no puede patrocinar la existencia de obligaciones irredimibles, pues es de significativa importancia para el estado de derecho la certeza jurídica de las diferentes relaciones que realicen los habitantes en su territorio.</w:t>
      </w:r>
    </w:p>
    <w:p w14:paraId="68DF0A20" w14:textId="77777777" w:rsidR="0037589F" w:rsidRPr="00BF0B47" w:rsidRDefault="0037589F" w:rsidP="0037589F">
      <w:pPr>
        <w:spacing w:line="288" w:lineRule="auto"/>
        <w:jc w:val="both"/>
        <w:rPr>
          <w:rFonts w:ascii="Arial" w:hAnsi="Arial" w:cs="Arial"/>
          <w:bCs/>
          <w:szCs w:val="24"/>
        </w:rPr>
      </w:pPr>
    </w:p>
    <w:p w14:paraId="4F945267" w14:textId="77777777" w:rsidR="0037589F" w:rsidRPr="00BF0B47" w:rsidRDefault="0037589F" w:rsidP="0037589F">
      <w:pPr>
        <w:spacing w:line="288" w:lineRule="auto"/>
        <w:jc w:val="both"/>
        <w:rPr>
          <w:rFonts w:ascii="Arial" w:hAnsi="Arial" w:cs="Arial"/>
          <w:b/>
          <w:bCs/>
          <w:szCs w:val="24"/>
        </w:rPr>
      </w:pPr>
      <w:r w:rsidRPr="00BF0B47">
        <w:rPr>
          <w:rFonts w:ascii="Arial" w:hAnsi="Arial" w:cs="Arial"/>
          <w:b/>
          <w:bCs/>
          <w:szCs w:val="24"/>
        </w:rPr>
        <w:t xml:space="preserve">Permitir que la determinación del régimen al que se pertenece se pueda alegar hasta el último momento es patrocinar, no solo el desorden jurídico, sino la inoperancia de los sistemas creados por la ley 100 de 1993 y la restricción de </w:t>
      </w:r>
      <w:r w:rsidRPr="00BF0B47">
        <w:rPr>
          <w:rFonts w:ascii="Arial" w:hAnsi="Arial" w:cs="Arial"/>
          <w:b/>
          <w:bCs/>
          <w:szCs w:val="24"/>
        </w:rPr>
        <w:lastRenderedPageBreak/>
        <w:t>traslado prevista en el literal e) del artículo 13 de la ley 100 de 1993, pues, obviamente, al momento de pensionarse, cada cual, hará sus cuentas, y de acuerdo al resultado, querrá que se lo reconozca como afiliado al régimen que mejores dividendos le arroje en ese momento.</w:t>
      </w:r>
    </w:p>
    <w:p w14:paraId="082A1F06" w14:textId="77777777" w:rsidR="0037589F" w:rsidRPr="00BF0B47" w:rsidRDefault="0037589F" w:rsidP="0037589F">
      <w:pPr>
        <w:spacing w:line="288" w:lineRule="auto"/>
        <w:jc w:val="both"/>
        <w:rPr>
          <w:rFonts w:ascii="Arial" w:hAnsi="Arial" w:cs="Arial"/>
          <w:bCs/>
          <w:szCs w:val="24"/>
        </w:rPr>
      </w:pPr>
    </w:p>
    <w:p w14:paraId="52F4E858" w14:textId="77777777" w:rsidR="0037589F" w:rsidRPr="00BF0B47" w:rsidRDefault="0037589F" w:rsidP="0037589F">
      <w:pPr>
        <w:spacing w:line="288" w:lineRule="auto"/>
        <w:jc w:val="both"/>
        <w:rPr>
          <w:rFonts w:ascii="Arial" w:hAnsi="Arial" w:cs="Arial"/>
          <w:bCs/>
          <w:szCs w:val="24"/>
        </w:rPr>
      </w:pPr>
      <w:r w:rsidRPr="00BF0B47">
        <w:rPr>
          <w:rFonts w:ascii="Arial" w:hAnsi="Arial" w:cs="Arial"/>
          <w:bCs/>
          <w:szCs w:val="24"/>
        </w:rPr>
        <w:t xml:space="preserve">Tratándose de un tema económico tan delicado, en los eventos de estarse frente a un verdadero vicio del consentimiento en el momento de realizar el traslado, si no se acepta la tesis civilista del saneamiento por el silencio del interesado en los cuatro años siguientes al acto jurídico, como mínimo debe tenerse en cuenta,  para buscar el regreso al régimen inicial, la restricción legal prevista en el artículo 2º de la ley 797 de 2003, consistente a la imposibilidad de realizar traslados durante los 10 años anteriores al cumplimiento de la edad mínima para acceder al derecho.   </w:t>
      </w:r>
    </w:p>
    <w:p w14:paraId="18825688" w14:textId="77777777" w:rsidR="0037589F" w:rsidRPr="00BF0B47" w:rsidRDefault="0037589F" w:rsidP="0037589F">
      <w:pPr>
        <w:spacing w:line="288" w:lineRule="auto"/>
        <w:ind w:right="51"/>
        <w:jc w:val="both"/>
        <w:rPr>
          <w:rFonts w:ascii="Arial" w:hAnsi="Arial" w:cs="Arial"/>
          <w:b/>
          <w:iCs/>
          <w:szCs w:val="24"/>
        </w:rPr>
      </w:pPr>
    </w:p>
    <w:p w14:paraId="5B3E5BB9" w14:textId="77777777" w:rsidR="0037589F" w:rsidRPr="00BF0B47" w:rsidRDefault="0037589F" w:rsidP="0037589F">
      <w:pPr>
        <w:spacing w:line="288" w:lineRule="auto"/>
        <w:ind w:right="284"/>
        <w:jc w:val="both"/>
        <w:rPr>
          <w:rFonts w:ascii="Arial" w:hAnsi="Arial" w:cs="Arial"/>
          <w:szCs w:val="24"/>
          <w:lang w:val="es-CO"/>
        </w:rPr>
      </w:pPr>
      <w:r w:rsidRPr="00BF0B47">
        <w:rPr>
          <w:rFonts w:ascii="Arial" w:hAnsi="Arial" w:cs="Arial"/>
          <w:szCs w:val="24"/>
          <w:lang w:val="es-CO"/>
        </w:rPr>
        <w:t>-</w:t>
      </w:r>
      <w:r>
        <w:rPr>
          <w:rFonts w:ascii="Arial" w:hAnsi="Arial" w:cs="Arial"/>
          <w:szCs w:val="24"/>
          <w:lang w:val="es-CO"/>
        </w:rPr>
        <w:t xml:space="preserve"> </w:t>
      </w:r>
      <w:r w:rsidRPr="00BF0B47">
        <w:rPr>
          <w:rFonts w:ascii="Arial" w:hAnsi="Arial" w:cs="Arial"/>
          <w:szCs w:val="24"/>
          <w:lang w:val="es-CO"/>
        </w:rPr>
        <w:t>IMPORTANCIA DE LA DIFERENCIACIÓN ENTRE LOS CASOS DE INEFICACIA Y LOS CASOS DE NULIDAD</w:t>
      </w:r>
    </w:p>
    <w:p w14:paraId="0251AA84" w14:textId="77777777" w:rsidR="0037589F" w:rsidRPr="00BF0B47" w:rsidRDefault="0037589F" w:rsidP="0037589F">
      <w:pPr>
        <w:spacing w:line="288" w:lineRule="auto"/>
        <w:ind w:right="284"/>
        <w:jc w:val="both"/>
        <w:rPr>
          <w:rFonts w:ascii="Arial" w:hAnsi="Arial" w:cs="Arial"/>
          <w:szCs w:val="24"/>
          <w:lang w:val="es-CO"/>
        </w:rPr>
      </w:pPr>
    </w:p>
    <w:p w14:paraId="1207496C" w14:textId="77777777" w:rsidR="0037589F" w:rsidRPr="00BF0B47" w:rsidRDefault="0037589F" w:rsidP="0037589F">
      <w:pPr>
        <w:spacing w:line="288" w:lineRule="auto"/>
        <w:ind w:right="284"/>
        <w:jc w:val="both"/>
        <w:rPr>
          <w:rFonts w:ascii="Arial" w:hAnsi="Arial" w:cs="Arial"/>
          <w:szCs w:val="24"/>
          <w:lang w:val="es-CO"/>
        </w:rPr>
      </w:pPr>
      <w:r w:rsidRPr="00BF0B47">
        <w:rPr>
          <w:rFonts w:ascii="Arial" w:hAnsi="Arial" w:cs="Arial"/>
          <w:szCs w:val="24"/>
          <w:lang w:val="es-CO"/>
        </w:rPr>
        <w:t>Para garantizar la sostenibilidad financiera del sistema resulta vital hacer las claridades que preceden, porque si se persiste en considerar como ineficaces los traslados en que no hay pérdida del régimen de transición, no solo: se atenta contra la dualidad de regímenes pensionales que organizó el legislador en la ley 100 de 1993; se contravienen los derechos de las AFP en cuanto por confianza legítima dieron cumplimiento a las precisas normas de afiliación que se expidieron; se convierte en regla general la incertidumbre de la validez de un acto jurídico que por el fenómeno de la ineficacia no tiene límite para su convalidación; sino que también y sobre todo, se atenta de manera grave contra la sostenibilidad financiera de Colpensiones, en la forma que quedó explicada en la sentencia C- 1024 de 2004, pues permite que todos aquellos que al final de sus cotizaciones no hayan conseguido reunir el capital con el que pretendían obtener altas pensiones, busquen el regreso al RPM y con él obtengan los subsidios que, de haber continuado con sus aportes a ese sistema hubieran podido obtener, pero que, como dejaron de hacerlos por buscar los otros beneficios que ofrece el RAIS, no dieron lugar a que con ellos la Administradora Pública hiciera las inversiones que garantizaran los rendimientos necesarios para otorgar las prestaciones ofrecidas.</w:t>
      </w:r>
    </w:p>
    <w:p w14:paraId="3CF243C0" w14:textId="77777777" w:rsidR="0037589F" w:rsidRPr="00BF0B47" w:rsidRDefault="0037589F" w:rsidP="00110721">
      <w:pPr>
        <w:spacing w:line="288" w:lineRule="auto"/>
        <w:jc w:val="both"/>
        <w:rPr>
          <w:rFonts w:ascii="Arial" w:hAnsi="Arial" w:cs="Arial"/>
          <w:iCs/>
          <w:szCs w:val="24"/>
        </w:rPr>
      </w:pPr>
    </w:p>
    <w:p w14:paraId="4D956EAA" w14:textId="77777777" w:rsidR="00110721" w:rsidRPr="00110721" w:rsidRDefault="00110721" w:rsidP="00110721">
      <w:pPr>
        <w:tabs>
          <w:tab w:val="left" w:pos="7020"/>
        </w:tabs>
        <w:spacing w:line="288" w:lineRule="auto"/>
        <w:jc w:val="both"/>
        <w:rPr>
          <w:rFonts w:ascii="Arial" w:hAnsi="Arial" w:cs="Arial"/>
          <w:szCs w:val="24"/>
          <w:lang w:val="es-CO" w:eastAsia="x-none"/>
        </w:rPr>
      </w:pPr>
      <w:r w:rsidRPr="00110721">
        <w:rPr>
          <w:rFonts w:ascii="Arial" w:hAnsi="Arial" w:cs="Arial"/>
          <w:szCs w:val="24"/>
          <w:lang w:val="es-CO" w:eastAsia="x-none"/>
        </w:rPr>
        <w:t>Como puede verse, con algunas concepciones jurídicas adicionales, coincido con la decisión de revocar la sentencia de primera instancia que accedió las pretensiones de la demanda.</w:t>
      </w:r>
    </w:p>
    <w:p w14:paraId="78C34FE3" w14:textId="77777777" w:rsidR="00110721" w:rsidRPr="00110721" w:rsidRDefault="00110721" w:rsidP="00110721">
      <w:pPr>
        <w:tabs>
          <w:tab w:val="left" w:pos="7020"/>
        </w:tabs>
        <w:spacing w:line="288" w:lineRule="auto"/>
        <w:jc w:val="both"/>
        <w:rPr>
          <w:rFonts w:ascii="Arial" w:hAnsi="Arial" w:cs="Arial"/>
          <w:szCs w:val="24"/>
          <w:lang w:val="es-CO" w:eastAsia="x-none"/>
        </w:rPr>
      </w:pPr>
    </w:p>
    <w:p w14:paraId="77DCB963" w14:textId="77777777" w:rsidR="00110721" w:rsidRPr="00110721" w:rsidRDefault="00110721" w:rsidP="00110721">
      <w:pPr>
        <w:widowControl w:val="0"/>
        <w:autoSpaceDE w:val="0"/>
        <w:autoSpaceDN w:val="0"/>
        <w:adjustRightInd w:val="0"/>
        <w:spacing w:after="200" w:line="288" w:lineRule="auto"/>
        <w:jc w:val="both"/>
        <w:rPr>
          <w:rFonts w:ascii="Arial" w:eastAsia="Calibri" w:hAnsi="Arial" w:cs="Arial"/>
          <w:szCs w:val="24"/>
          <w:lang w:val="es-CO" w:eastAsia="en-US"/>
        </w:rPr>
      </w:pPr>
      <w:r w:rsidRPr="00110721">
        <w:rPr>
          <w:rFonts w:ascii="Arial" w:eastAsia="Calibri" w:hAnsi="Arial" w:cs="Arial"/>
          <w:szCs w:val="24"/>
          <w:lang w:val="es-CO" w:eastAsia="en-US"/>
        </w:rPr>
        <w:t>Dejo así aclarado mi voto,</w:t>
      </w:r>
    </w:p>
    <w:p w14:paraId="425E9B1F" w14:textId="77777777" w:rsidR="0037589F" w:rsidRDefault="0037589F" w:rsidP="00110721">
      <w:pPr>
        <w:widowControl w:val="0"/>
        <w:autoSpaceDE w:val="0"/>
        <w:autoSpaceDN w:val="0"/>
        <w:adjustRightInd w:val="0"/>
        <w:spacing w:after="200" w:line="288" w:lineRule="auto"/>
        <w:jc w:val="both"/>
        <w:rPr>
          <w:rFonts w:ascii="Arial" w:eastAsia="Calibri" w:hAnsi="Arial" w:cs="Arial"/>
          <w:szCs w:val="24"/>
          <w:lang w:val="es-CO" w:eastAsia="en-US"/>
        </w:rPr>
      </w:pPr>
    </w:p>
    <w:p w14:paraId="4271C6FC" w14:textId="77777777" w:rsidR="0037589F" w:rsidRPr="00BF0B47" w:rsidRDefault="0037589F" w:rsidP="00110721">
      <w:pPr>
        <w:widowControl w:val="0"/>
        <w:autoSpaceDE w:val="0"/>
        <w:autoSpaceDN w:val="0"/>
        <w:adjustRightInd w:val="0"/>
        <w:spacing w:after="200" w:line="288" w:lineRule="auto"/>
        <w:jc w:val="both"/>
        <w:rPr>
          <w:rFonts w:ascii="Arial" w:eastAsia="Calibri" w:hAnsi="Arial" w:cs="Arial"/>
          <w:szCs w:val="24"/>
          <w:lang w:val="es-CO" w:eastAsia="en-US"/>
        </w:rPr>
      </w:pPr>
    </w:p>
    <w:p w14:paraId="21EB7968" w14:textId="77777777" w:rsidR="0037589F" w:rsidRPr="00BF0B47" w:rsidRDefault="0037589F" w:rsidP="0037589F">
      <w:pPr>
        <w:widowControl w:val="0"/>
        <w:autoSpaceDE w:val="0"/>
        <w:autoSpaceDN w:val="0"/>
        <w:adjustRightInd w:val="0"/>
        <w:spacing w:line="288" w:lineRule="auto"/>
        <w:jc w:val="center"/>
        <w:rPr>
          <w:rFonts w:ascii="Arial" w:eastAsia="Calibri" w:hAnsi="Arial" w:cs="Arial"/>
          <w:b/>
          <w:szCs w:val="24"/>
          <w:lang w:val="es-CO" w:eastAsia="en-US"/>
        </w:rPr>
      </w:pPr>
      <w:r w:rsidRPr="00BF0B47">
        <w:rPr>
          <w:rFonts w:ascii="Arial" w:eastAsia="Calibri" w:hAnsi="Arial" w:cs="Arial"/>
          <w:b/>
          <w:szCs w:val="24"/>
          <w:lang w:val="es-CO" w:eastAsia="en-US"/>
        </w:rPr>
        <w:t>JULIO CÉSAR SALAZAR MUÑOZ</w:t>
      </w:r>
    </w:p>
    <w:p w14:paraId="1A2BD83B" w14:textId="6986CED8" w:rsidR="009135FC" w:rsidRPr="0037589F" w:rsidRDefault="0037589F" w:rsidP="0037589F">
      <w:pPr>
        <w:widowControl w:val="0"/>
        <w:autoSpaceDE w:val="0"/>
        <w:autoSpaceDN w:val="0"/>
        <w:adjustRightInd w:val="0"/>
        <w:spacing w:line="288" w:lineRule="auto"/>
        <w:jc w:val="center"/>
        <w:rPr>
          <w:rFonts w:ascii="Arial" w:eastAsia="Calibri" w:hAnsi="Arial" w:cs="Arial"/>
          <w:szCs w:val="24"/>
          <w:lang w:val="es-CO" w:eastAsia="en-US"/>
        </w:rPr>
      </w:pPr>
      <w:r w:rsidRPr="00BF0B47">
        <w:rPr>
          <w:rFonts w:ascii="Arial" w:eastAsia="Calibri" w:hAnsi="Arial" w:cs="Arial"/>
          <w:szCs w:val="24"/>
          <w:lang w:val="es-CO" w:eastAsia="en-US"/>
        </w:rPr>
        <w:t>Magistrado</w:t>
      </w:r>
    </w:p>
    <w:sectPr w:rsidR="009135FC" w:rsidRPr="0037589F" w:rsidSect="00CE7323">
      <w:headerReference w:type="default" r:id="rId10"/>
      <w:footerReference w:type="default" r:id="rId11"/>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BE19A" w14:textId="77777777" w:rsidR="00EA56B8" w:rsidRDefault="00EA56B8" w:rsidP="00AD05E0">
      <w:r>
        <w:separator/>
      </w:r>
    </w:p>
  </w:endnote>
  <w:endnote w:type="continuationSeparator" w:id="0">
    <w:p w14:paraId="1FC3B7DE" w14:textId="77777777" w:rsidR="00EA56B8" w:rsidRDefault="00EA56B8"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698505"/>
      <w:docPartObj>
        <w:docPartGallery w:val="Page Numbers (Bottom of Page)"/>
        <w:docPartUnique/>
      </w:docPartObj>
    </w:sdtPr>
    <w:sdtEndPr>
      <w:rPr>
        <w:rFonts w:ascii="Arial" w:hAnsi="Arial" w:cs="Arial"/>
        <w:sz w:val="18"/>
      </w:rPr>
    </w:sdtEndPr>
    <w:sdtContent>
      <w:p w14:paraId="3DA26212" w14:textId="77777777" w:rsidR="00DE3F35" w:rsidRPr="00CE7323" w:rsidRDefault="00DE3F35">
        <w:pPr>
          <w:pStyle w:val="Piedepgina"/>
          <w:jc w:val="right"/>
          <w:rPr>
            <w:rFonts w:ascii="Arial" w:hAnsi="Arial" w:cs="Arial"/>
            <w:sz w:val="18"/>
          </w:rPr>
        </w:pPr>
        <w:r w:rsidRPr="00CE7323">
          <w:rPr>
            <w:rFonts w:ascii="Arial" w:hAnsi="Arial" w:cs="Arial"/>
            <w:sz w:val="18"/>
          </w:rPr>
          <w:fldChar w:fldCharType="begin"/>
        </w:r>
        <w:r w:rsidRPr="00CE7323">
          <w:rPr>
            <w:rFonts w:ascii="Arial" w:hAnsi="Arial" w:cs="Arial"/>
            <w:sz w:val="18"/>
          </w:rPr>
          <w:instrText>PAGE   \* MERGEFORMAT</w:instrText>
        </w:r>
        <w:r w:rsidRPr="00CE7323">
          <w:rPr>
            <w:rFonts w:ascii="Arial" w:hAnsi="Arial" w:cs="Arial"/>
            <w:sz w:val="18"/>
          </w:rPr>
          <w:fldChar w:fldCharType="separate"/>
        </w:r>
        <w:r w:rsidR="00142EA3" w:rsidRPr="00142EA3">
          <w:rPr>
            <w:rFonts w:ascii="Arial" w:hAnsi="Arial" w:cs="Arial"/>
            <w:noProof/>
            <w:sz w:val="18"/>
            <w:lang w:val="es-ES"/>
          </w:rPr>
          <w:t>12</w:t>
        </w:r>
        <w:r w:rsidRPr="00CE7323">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CA5B6" w14:textId="77777777" w:rsidR="00EA56B8" w:rsidRDefault="00EA56B8" w:rsidP="00AD05E0">
      <w:r>
        <w:separator/>
      </w:r>
    </w:p>
  </w:footnote>
  <w:footnote w:type="continuationSeparator" w:id="0">
    <w:p w14:paraId="543F1007" w14:textId="77777777" w:rsidR="00EA56B8" w:rsidRDefault="00EA56B8" w:rsidP="00AD05E0">
      <w:r>
        <w:continuationSeparator/>
      </w:r>
    </w:p>
  </w:footnote>
  <w:footnote w:id="1">
    <w:p w14:paraId="5C432144" w14:textId="77777777" w:rsidR="00DE3F35" w:rsidRPr="00CE7323" w:rsidRDefault="00DE3F35" w:rsidP="007B368F">
      <w:pPr>
        <w:pStyle w:val="Textonotapie"/>
        <w:rPr>
          <w:rFonts w:ascii="Arial" w:hAnsi="Arial" w:cs="Arial"/>
          <w:sz w:val="18"/>
          <w:szCs w:val="18"/>
          <w:lang w:val="es-CO"/>
        </w:rPr>
      </w:pPr>
      <w:r w:rsidRPr="00CE7323">
        <w:rPr>
          <w:rStyle w:val="Refdenotaalpie"/>
          <w:rFonts w:ascii="Arial" w:hAnsi="Arial" w:cs="Arial"/>
          <w:sz w:val="18"/>
          <w:szCs w:val="18"/>
        </w:rPr>
        <w:footnoteRef/>
      </w:r>
      <w:r w:rsidRPr="00CE7323">
        <w:rPr>
          <w:rFonts w:ascii="Arial" w:hAnsi="Arial" w:cs="Arial"/>
          <w:sz w:val="18"/>
          <w:szCs w:val="18"/>
        </w:rPr>
        <w:t xml:space="preserve"> </w:t>
      </w:r>
      <w:r w:rsidRPr="00CE7323">
        <w:rPr>
          <w:rFonts w:ascii="Arial" w:hAnsi="Arial" w:cs="Arial"/>
          <w:sz w:val="18"/>
          <w:szCs w:val="18"/>
          <w:lang w:val="es-CO"/>
        </w:rPr>
        <w:t>SL4964 del 14/11/2018, radicado 54814 y SL1452 del 03/04/2019, radicado 68852.</w:t>
      </w:r>
    </w:p>
  </w:footnote>
  <w:footnote w:id="2">
    <w:p w14:paraId="16602777" w14:textId="77777777" w:rsidR="00DE3F35" w:rsidRPr="00CE7323" w:rsidRDefault="00DE3F35" w:rsidP="007B368F">
      <w:pPr>
        <w:pStyle w:val="Textonotapie"/>
        <w:rPr>
          <w:rFonts w:ascii="Arial" w:hAnsi="Arial" w:cs="Arial"/>
          <w:sz w:val="18"/>
          <w:szCs w:val="18"/>
          <w:lang w:val="en-US"/>
        </w:rPr>
      </w:pPr>
      <w:r w:rsidRPr="00CE7323">
        <w:rPr>
          <w:rStyle w:val="Refdenotaalpie"/>
          <w:rFonts w:ascii="Arial" w:hAnsi="Arial" w:cs="Arial"/>
          <w:sz w:val="18"/>
          <w:szCs w:val="18"/>
        </w:rPr>
        <w:footnoteRef/>
      </w:r>
      <w:r w:rsidRPr="00CE7323">
        <w:rPr>
          <w:rFonts w:ascii="Arial" w:hAnsi="Arial" w:cs="Arial"/>
          <w:sz w:val="18"/>
          <w:szCs w:val="18"/>
        </w:rPr>
        <w:t xml:space="preserve"> </w:t>
      </w:r>
      <w:r w:rsidRPr="00CE7323">
        <w:rPr>
          <w:rFonts w:ascii="Arial" w:hAnsi="Arial" w:cs="Arial"/>
          <w:sz w:val="18"/>
          <w:szCs w:val="18"/>
          <w:lang w:val="es-CO"/>
        </w:rPr>
        <w:t xml:space="preserve">Ospina, Fernández y Ospina Acosta. Teoría General de los Actos o Negocios Jurídicos. </w:t>
      </w:r>
      <w:r w:rsidRPr="00CE7323">
        <w:rPr>
          <w:rFonts w:ascii="Arial" w:hAnsi="Arial" w:cs="Arial"/>
          <w:sz w:val="18"/>
          <w:szCs w:val="18"/>
          <w:lang w:val="en-US"/>
        </w:rPr>
        <w:t xml:space="preserve">Edit: </w:t>
      </w:r>
      <w:r w:rsidRPr="00CE7323">
        <w:rPr>
          <w:rFonts w:ascii="Arial" w:hAnsi="Arial" w:cs="Arial"/>
          <w:sz w:val="18"/>
          <w:szCs w:val="18"/>
          <w:lang w:val="en-US"/>
        </w:rPr>
        <w:t>Temis, 1983. P.p. 585.</w:t>
      </w:r>
    </w:p>
  </w:footnote>
  <w:footnote w:id="3">
    <w:p w14:paraId="01D6BA14" w14:textId="77777777" w:rsidR="00DE3F35" w:rsidRPr="00CE7323" w:rsidRDefault="00DE3F35" w:rsidP="007B368F">
      <w:pPr>
        <w:pStyle w:val="Textonotapie"/>
        <w:rPr>
          <w:rFonts w:ascii="Arial" w:hAnsi="Arial" w:cs="Arial"/>
          <w:sz w:val="18"/>
          <w:szCs w:val="18"/>
          <w:lang w:val="en-US"/>
        </w:rPr>
      </w:pPr>
      <w:r w:rsidRPr="00CE7323">
        <w:rPr>
          <w:rStyle w:val="Refdenotaalpie"/>
          <w:rFonts w:ascii="Arial" w:hAnsi="Arial" w:cs="Arial"/>
          <w:sz w:val="18"/>
          <w:szCs w:val="18"/>
        </w:rPr>
        <w:footnoteRef/>
      </w:r>
      <w:r w:rsidRPr="00CE7323">
        <w:rPr>
          <w:rFonts w:ascii="Arial" w:hAnsi="Arial" w:cs="Arial"/>
          <w:sz w:val="18"/>
          <w:szCs w:val="18"/>
          <w:lang w:val="en-US"/>
        </w:rPr>
        <w:t xml:space="preserve"> Sent. </w:t>
      </w:r>
      <w:r w:rsidRPr="00CE7323">
        <w:rPr>
          <w:rFonts w:ascii="Arial" w:hAnsi="Arial" w:cs="Arial"/>
          <w:sz w:val="18"/>
          <w:szCs w:val="18"/>
          <w:lang w:val="en-US"/>
        </w:rPr>
        <w:t>Cas. Civ. de 15/11/2017, SC18476-2017.</w:t>
      </w:r>
    </w:p>
  </w:footnote>
  <w:footnote w:id="4">
    <w:p w14:paraId="25AD4D6F" w14:textId="77777777" w:rsidR="00DE3F35" w:rsidRPr="00CE7323" w:rsidRDefault="00DE3F35" w:rsidP="007B368F">
      <w:pPr>
        <w:pStyle w:val="Textonotapie"/>
        <w:rPr>
          <w:rFonts w:ascii="Arial" w:hAnsi="Arial" w:cs="Arial"/>
          <w:sz w:val="18"/>
          <w:szCs w:val="18"/>
          <w:lang w:val="en-US"/>
        </w:rPr>
      </w:pPr>
      <w:r w:rsidRPr="00CE7323">
        <w:rPr>
          <w:rStyle w:val="Refdenotaalpie"/>
          <w:rFonts w:ascii="Arial" w:hAnsi="Arial" w:cs="Arial"/>
          <w:sz w:val="18"/>
          <w:szCs w:val="18"/>
        </w:rPr>
        <w:footnoteRef/>
      </w:r>
      <w:r w:rsidRPr="00CE7323">
        <w:rPr>
          <w:rFonts w:ascii="Arial" w:hAnsi="Arial" w:cs="Arial"/>
          <w:sz w:val="18"/>
          <w:szCs w:val="18"/>
          <w:lang w:val="en-US"/>
        </w:rPr>
        <w:t xml:space="preserve"> Sent. </w:t>
      </w:r>
      <w:r w:rsidRPr="00CE7323">
        <w:rPr>
          <w:rFonts w:ascii="Arial" w:hAnsi="Arial" w:cs="Arial"/>
          <w:sz w:val="18"/>
          <w:szCs w:val="18"/>
          <w:lang w:val="en-US"/>
        </w:rPr>
        <w:t xml:space="preserve">Cas. Lab. de 03/04/2019, SL1452-2019. </w:t>
      </w:r>
    </w:p>
  </w:footnote>
  <w:footnote w:id="5">
    <w:p w14:paraId="7581E1E1" w14:textId="77777777" w:rsidR="00DE3F35" w:rsidRPr="00CE7323" w:rsidRDefault="00DE3F35" w:rsidP="00C23B27">
      <w:pPr>
        <w:pStyle w:val="Textonotapie"/>
        <w:rPr>
          <w:rFonts w:ascii="Arial" w:hAnsi="Arial" w:cs="Arial"/>
          <w:sz w:val="18"/>
          <w:szCs w:val="18"/>
          <w:lang w:val="es-CO"/>
        </w:rPr>
      </w:pPr>
      <w:r w:rsidRPr="00CE7323">
        <w:rPr>
          <w:rStyle w:val="Refdenotaalpie"/>
          <w:rFonts w:ascii="Arial" w:hAnsi="Arial" w:cs="Arial"/>
          <w:sz w:val="18"/>
          <w:szCs w:val="18"/>
        </w:rPr>
        <w:footnoteRef/>
      </w:r>
      <w:r w:rsidRPr="00CE7323">
        <w:rPr>
          <w:rFonts w:ascii="Arial" w:hAnsi="Arial" w:cs="Arial"/>
          <w:sz w:val="18"/>
          <w:szCs w:val="18"/>
        </w:rPr>
        <w:t xml:space="preserve"> </w:t>
      </w:r>
      <w:r w:rsidRPr="00CE7323">
        <w:rPr>
          <w:rFonts w:ascii="Arial" w:hAnsi="Arial" w:cs="Arial"/>
          <w:sz w:val="18"/>
          <w:szCs w:val="18"/>
          <w:lang w:val="es-CO"/>
        </w:rPr>
        <w:t>Artículo 2, parágrafo 2º</w:t>
      </w:r>
    </w:p>
  </w:footnote>
  <w:footnote w:id="6">
    <w:p w14:paraId="12C37252" w14:textId="77777777" w:rsidR="00DE3F35" w:rsidRPr="00CE7323" w:rsidRDefault="00DE3F35" w:rsidP="00C23B27">
      <w:pPr>
        <w:pStyle w:val="Textonotapie"/>
        <w:rPr>
          <w:rFonts w:ascii="Arial" w:hAnsi="Arial" w:cs="Arial"/>
          <w:sz w:val="18"/>
          <w:szCs w:val="18"/>
          <w:lang w:val="es-CO"/>
        </w:rPr>
      </w:pPr>
      <w:r w:rsidRPr="00CE7323">
        <w:rPr>
          <w:rStyle w:val="Refdenotaalpie"/>
          <w:rFonts w:ascii="Arial" w:hAnsi="Arial" w:cs="Arial"/>
          <w:sz w:val="18"/>
          <w:szCs w:val="18"/>
        </w:rPr>
        <w:footnoteRef/>
      </w:r>
      <w:r w:rsidRPr="00CE7323">
        <w:rPr>
          <w:rFonts w:ascii="Arial" w:hAnsi="Arial" w:cs="Arial"/>
          <w:sz w:val="18"/>
          <w:szCs w:val="18"/>
        </w:rPr>
        <w:t xml:space="preserve"> </w:t>
      </w:r>
      <w:r w:rsidRPr="00CE7323">
        <w:rPr>
          <w:rFonts w:ascii="Arial" w:hAnsi="Arial" w:cs="Arial"/>
          <w:sz w:val="18"/>
          <w:szCs w:val="18"/>
          <w:lang w:val="es-CO"/>
        </w:rPr>
        <w:t>Artículos 2.6.10.2.3. y 2.6.10.4.3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02D1E" w14:textId="77777777" w:rsidR="00DE3F35" w:rsidRPr="00BB3FED" w:rsidRDefault="00DE3F35"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61AF7C16" w14:textId="736BD0BA" w:rsidR="00DE3F35" w:rsidRPr="00BB3FED" w:rsidRDefault="00DE3F35"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66001-31-05-005-2016-00218-01</w:t>
    </w:r>
  </w:p>
  <w:p w14:paraId="1F128505" w14:textId="57CDF313" w:rsidR="00DE3F35" w:rsidRPr="00CE7323" w:rsidRDefault="00DE3F35" w:rsidP="00CE7323">
    <w:pPr>
      <w:pStyle w:val="Encabezado"/>
      <w:jc w:val="center"/>
      <w:rPr>
        <w:rFonts w:ascii="Arial" w:hAnsi="Arial" w:cs="Arial"/>
        <w:sz w:val="18"/>
        <w:szCs w:val="18"/>
      </w:rPr>
    </w:pPr>
    <w:r>
      <w:rPr>
        <w:rFonts w:ascii="Arial" w:hAnsi="Arial" w:cs="Arial"/>
        <w:sz w:val="18"/>
        <w:szCs w:val="18"/>
      </w:rPr>
      <w:t xml:space="preserve">María </w:t>
    </w:r>
    <w:proofErr w:type="spellStart"/>
    <w:r>
      <w:rPr>
        <w:rFonts w:ascii="Arial" w:hAnsi="Arial" w:cs="Arial"/>
        <w:sz w:val="18"/>
        <w:szCs w:val="18"/>
      </w:rPr>
      <w:t>Yorladis</w:t>
    </w:r>
    <w:proofErr w:type="spellEnd"/>
    <w:r>
      <w:rPr>
        <w:rFonts w:ascii="Arial" w:hAnsi="Arial" w:cs="Arial"/>
        <w:sz w:val="18"/>
        <w:szCs w:val="18"/>
      </w:rPr>
      <w:t xml:space="preserve"> Ramírez Agudelo </w:t>
    </w:r>
    <w:r w:rsidRPr="00BB3FED">
      <w:rPr>
        <w:rFonts w:ascii="Arial" w:hAnsi="Arial" w:cs="Arial"/>
        <w:sz w:val="18"/>
        <w:szCs w:val="18"/>
      </w:rPr>
      <w:t xml:space="preserve">vs </w:t>
    </w:r>
    <w:r>
      <w:rPr>
        <w:rFonts w:ascii="Arial" w:hAnsi="Arial" w:cs="Arial"/>
        <w:sz w:val="18"/>
        <w:szCs w:val="18"/>
      </w:rPr>
      <w:t>Colpensiones, Porvenir S.A. y Colfondos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D51805"/>
    <w:multiLevelType w:val="multilevel"/>
    <w:tmpl w:val="1B78389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17437D1"/>
    <w:multiLevelType w:val="hybridMultilevel"/>
    <w:tmpl w:val="E190FD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8" w15:restartNumberingAfterBreak="0">
    <w:nsid w:val="65D2045A"/>
    <w:multiLevelType w:val="hybridMultilevel"/>
    <w:tmpl w:val="6A00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6"/>
  </w:num>
  <w:num w:numId="3">
    <w:abstractNumId w:val="10"/>
  </w:num>
  <w:num w:numId="4">
    <w:abstractNumId w:val="0"/>
  </w:num>
  <w:num w:numId="5">
    <w:abstractNumId w:val="2"/>
  </w:num>
  <w:num w:numId="6">
    <w:abstractNumId w:val="9"/>
  </w:num>
  <w:num w:numId="7">
    <w:abstractNumId w:val="3"/>
  </w:num>
  <w:num w:numId="8">
    <w:abstractNumId w:val="11"/>
  </w:num>
  <w:num w:numId="9">
    <w:abstractNumId w:val="5"/>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6F8"/>
    <w:rsid w:val="0000104A"/>
    <w:rsid w:val="000010FB"/>
    <w:rsid w:val="00003F90"/>
    <w:rsid w:val="0000478E"/>
    <w:rsid w:val="000058B8"/>
    <w:rsid w:val="00013E64"/>
    <w:rsid w:val="000166F4"/>
    <w:rsid w:val="0002018D"/>
    <w:rsid w:val="00021AEA"/>
    <w:rsid w:val="00024061"/>
    <w:rsid w:val="00024E1C"/>
    <w:rsid w:val="00025FBD"/>
    <w:rsid w:val="00031373"/>
    <w:rsid w:val="00032119"/>
    <w:rsid w:val="00040088"/>
    <w:rsid w:val="000417FE"/>
    <w:rsid w:val="0004459B"/>
    <w:rsid w:val="000503EF"/>
    <w:rsid w:val="00052289"/>
    <w:rsid w:val="00061B8E"/>
    <w:rsid w:val="000644EF"/>
    <w:rsid w:val="0006500D"/>
    <w:rsid w:val="00067DDB"/>
    <w:rsid w:val="000766DA"/>
    <w:rsid w:val="00077EEF"/>
    <w:rsid w:val="00081A2D"/>
    <w:rsid w:val="00081C69"/>
    <w:rsid w:val="00084E89"/>
    <w:rsid w:val="00085E2B"/>
    <w:rsid w:val="00087B8A"/>
    <w:rsid w:val="00093D99"/>
    <w:rsid w:val="000946A5"/>
    <w:rsid w:val="000947FC"/>
    <w:rsid w:val="00094B02"/>
    <w:rsid w:val="000A5527"/>
    <w:rsid w:val="000A6367"/>
    <w:rsid w:val="000A74F6"/>
    <w:rsid w:val="000B315B"/>
    <w:rsid w:val="000C706D"/>
    <w:rsid w:val="000C7588"/>
    <w:rsid w:val="000D11C5"/>
    <w:rsid w:val="000D5ABE"/>
    <w:rsid w:val="000E10C4"/>
    <w:rsid w:val="000E1EC9"/>
    <w:rsid w:val="000E2F8A"/>
    <w:rsid w:val="000F683C"/>
    <w:rsid w:val="0010041E"/>
    <w:rsid w:val="00101201"/>
    <w:rsid w:val="00103281"/>
    <w:rsid w:val="001045F7"/>
    <w:rsid w:val="00106D9C"/>
    <w:rsid w:val="00110327"/>
    <w:rsid w:val="00110653"/>
    <w:rsid w:val="00110721"/>
    <w:rsid w:val="001123ED"/>
    <w:rsid w:val="00115A22"/>
    <w:rsid w:val="001178F8"/>
    <w:rsid w:val="00117D61"/>
    <w:rsid w:val="00120960"/>
    <w:rsid w:val="00122778"/>
    <w:rsid w:val="001250CC"/>
    <w:rsid w:val="00130ACD"/>
    <w:rsid w:val="00131B9A"/>
    <w:rsid w:val="00132B25"/>
    <w:rsid w:val="00134816"/>
    <w:rsid w:val="00135E06"/>
    <w:rsid w:val="00137A88"/>
    <w:rsid w:val="0014035A"/>
    <w:rsid w:val="00140B80"/>
    <w:rsid w:val="00140D7E"/>
    <w:rsid w:val="00140FB2"/>
    <w:rsid w:val="001414A4"/>
    <w:rsid w:val="00142B40"/>
    <w:rsid w:val="00142EA3"/>
    <w:rsid w:val="00144DE7"/>
    <w:rsid w:val="00145F08"/>
    <w:rsid w:val="0014698C"/>
    <w:rsid w:val="001506EE"/>
    <w:rsid w:val="00150CEC"/>
    <w:rsid w:val="001526F5"/>
    <w:rsid w:val="00152759"/>
    <w:rsid w:val="00152966"/>
    <w:rsid w:val="001601F4"/>
    <w:rsid w:val="00160A64"/>
    <w:rsid w:val="001616BE"/>
    <w:rsid w:val="00164161"/>
    <w:rsid w:val="00164FFA"/>
    <w:rsid w:val="001776D0"/>
    <w:rsid w:val="00181651"/>
    <w:rsid w:val="00182E71"/>
    <w:rsid w:val="001838B2"/>
    <w:rsid w:val="00184761"/>
    <w:rsid w:val="00186008"/>
    <w:rsid w:val="001862EE"/>
    <w:rsid w:val="001867FF"/>
    <w:rsid w:val="0018702E"/>
    <w:rsid w:val="0019105C"/>
    <w:rsid w:val="001960F6"/>
    <w:rsid w:val="00196910"/>
    <w:rsid w:val="00197B6B"/>
    <w:rsid w:val="00197E94"/>
    <w:rsid w:val="001A0A75"/>
    <w:rsid w:val="001A5AF8"/>
    <w:rsid w:val="001A74F6"/>
    <w:rsid w:val="001B16BB"/>
    <w:rsid w:val="001B1B97"/>
    <w:rsid w:val="001B1C8A"/>
    <w:rsid w:val="001B2227"/>
    <w:rsid w:val="001B5268"/>
    <w:rsid w:val="001D3166"/>
    <w:rsid w:val="001D3F07"/>
    <w:rsid w:val="001D56B0"/>
    <w:rsid w:val="001D7FBD"/>
    <w:rsid w:val="001E12A5"/>
    <w:rsid w:val="001E326A"/>
    <w:rsid w:val="001E5CD8"/>
    <w:rsid w:val="001E617C"/>
    <w:rsid w:val="001E7996"/>
    <w:rsid w:val="001F2CB7"/>
    <w:rsid w:val="001F6B4F"/>
    <w:rsid w:val="001F7003"/>
    <w:rsid w:val="00200ECE"/>
    <w:rsid w:val="00203A41"/>
    <w:rsid w:val="00205F81"/>
    <w:rsid w:val="0020699E"/>
    <w:rsid w:val="00206A7A"/>
    <w:rsid w:val="00211DFE"/>
    <w:rsid w:val="00215C22"/>
    <w:rsid w:val="00217998"/>
    <w:rsid w:val="00221E37"/>
    <w:rsid w:val="00223A61"/>
    <w:rsid w:val="002271DC"/>
    <w:rsid w:val="00231F1D"/>
    <w:rsid w:val="002357E5"/>
    <w:rsid w:val="00237DF3"/>
    <w:rsid w:val="002408C6"/>
    <w:rsid w:val="002411AE"/>
    <w:rsid w:val="0024795A"/>
    <w:rsid w:val="00252894"/>
    <w:rsid w:val="00252B85"/>
    <w:rsid w:val="0025332E"/>
    <w:rsid w:val="00256A01"/>
    <w:rsid w:val="00263BB0"/>
    <w:rsid w:val="00271C46"/>
    <w:rsid w:val="00275C48"/>
    <w:rsid w:val="002903E7"/>
    <w:rsid w:val="00290424"/>
    <w:rsid w:val="00296A66"/>
    <w:rsid w:val="00297A6E"/>
    <w:rsid w:val="002A25CB"/>
    <w:rsid w:val="002A350B"/>
    <w:rsid w:val="002A7716"/>
    <w:rsid w:val="002B338A"/>
    <w:rsid w:val="002B4646"/>
    <w:rsid w:val="002B51B8"/>
    <w:rsid w:val="002B52AE"/>
    <w:rsid w:val="002C01B8"/>
    <w:rsid w:val="002C1B27"/>
    <w:rsid w:val="002C5740"/>
    <w:rsid w:val="002C5C7B"/>
    <w:rsid w:val="002C74F9"/>
    <w:rsid w:val="002D18C5"/>
    <w:rsid w:val="002D3995"/>
    <w:rsid w:val="002D4514"/>
    <w:rsid w:val="002E0F78"/>
    <w:rsid w:val="002E6062"/>
    <w:rsid w:val="002F0853"/>
    <w:rsid w:val="002F4F0F"/>
    <w:rsid w:val="002F61AF"/>
    <w:rsid w:val="00300367"/>
    <w:rsid w:val="003013F3"/>
    <w:rsid w:val="003074D7"/>
    <w:rsid w:val="003107AC"/>
    <w:rsid w:val="003203F5"/>
    <w:rsid w:val="0032154A"/>
    <w:rsid w:val="00324CE6"/>
    <w:rsid w:val="003269AF"/>
    <w:rsid w:val="003363E6"/>
    <w:rsid w:val="0034108D"/>
    <w:rsid w:val="00341769"/>
    <w:rsid w:val="00344DB9"/>
    <w:rsid w:val="00346681"/>
    <w:rsid w:val="003504F3"/>
    <w:rsid w:val="00351FC5"/>
    <w:rsid w:val="00355585"/>
    <w:rsid w:val="00360EB6"/>
    <w:rsid w:val="0036430B"/>
    <w:rsid w:val="00365E98"/>
    <w:rsid w:val="003674F9"/>
    <w:rsid w:val="00370F13"/>
    <w:rsid w:val="00373BF7"/>
    <w:rsid w:val="0037407A"/>
    <w:rsid w:val="0037589F"/>
    <w:rsid w:val="00380184"/>
    <w:rsid w:val="003803AD"/>
    <w:rsid w:val="00382357"/>
    <w:rsid w:val="003922E2"/>
    <w:rsid w:val="0039451A"/>
    <w:rsid w:val="0039489B"/>
    <w:rsid w:val="00394D80"/>
    <w:rsid w:val="00395A81"/>
    <w:rsid w:val="00395BE9"/>
    <w:rsid w:val="003A295E"/>
    <w:rsid w:val="003A3CF3"/>
    <w:rsid w:val="003A4CF9"/>
    <w:rsid w:val="003A712E"/>
    <w:rsid w:val="003B38FB"/>
    <w:rsid w:val="003B3DC7"/>
    <w:rsid w:val="003B3E2B"/>
    <w:rsid w:val="003B6B97"/>
    <w:rsid w:val="003B6C32"/>
    <w:rsid w:val="003C33F1"/>
    <w:rsid w:val="003C3F94"/>
    <w:rsid w:val="003C4A3E"/>
    <w:rsid w:val="003C6B12"/>
    <w:rsid w:val="003C712F"/>
    <w:rsid w:val="003D08A9"/>
    <w:rsid w:val="003D32BA"/>
    <w:rsid w:val="003D53B8"/>
    <w:rsid w:val="003D62B9"/>
    <w:rsid w:val="003E2C45"/>
    <w:rsid w:val="003E5A0B"/>
    <w:rsid w:val="003E74EF"/>
    <w:rsid w:val="003F10A6"/>
    <w:rsid w:val="003F1BDF"/>
    <w:rsid w:val="003F4F8E"/>
    <w:rsid w:val="003F5CB5"/>
    <w:rsid w:val="00402817"/>
    <w:rsid w:val="00402826"/>
    <w:rsid w:val="004075F5"/>
    <w:rsid w:val="00410BAE"/>
    <w:rsid w:val="00411A56"/>
    <w:rsid w:val="00414678"/>
    <w:rsid w:val="00414BB5"/>
    <w:rsid w:val="00414CA5"/>
    <w:rsid w:val="00417DFD"/>
    <w:rsid w:val="00435C7C"/>
    <w:rsid w:val="00435D2F"/>
    <w:rsid w:val="0043724B"/>
    <w:rsid w:val="004400E5"/>
    <w:rsid w:val="0044083A"/>
    <w:rsid w:val="00445E06"/>
    <w:rsid w:val="00446B63"/>
    <w:rsid w:val="00446F70"/>
    <w:rsid w:val="00450601"/>
    <w:rsid w:val="00452B5E"/>
    <w:rsid w:val="004617FD"/>
    <w:rsid w:val="00463295"/>
    <w:rsid w:val="004648C2"/>
    <w:rsid w:val="0046517A"/>
    <w:rsid w:val="0046664D"/>
    <w:rsid w:val="00467007"/>
    <w:rsid w:val="004704AC"/>
    <w:rsid w:val="00473E53"/>
    <w:rsid w:val="004750D9"/>
    <w:rsid w:val="00477D71"/>
    <w:rsid w:val="0048005C"/>
    <w:rsid w:val="00480FD8"/>
    <w:rsid w:val="00482F8C"/>
    <w:rsid w:val="00485484"/>
    <w:rsid w:val="00486F63"/>
    <w:rsid w:val="00486FE9"/>
    <w:rsid w:val="004921F4"/>
    <w:rsid w:val="00493622"/>
    <w:rsid w:val="00493BD9"/>
    <w:rsid w:val="004958EC"/>
    <w:rsid w:val="004A0824"/>
    <w:rsid w:val="004A23FD"/>
    <w:rsid w:val="004A3462"/>
    <w:rsid w:val="004A3E65"/>
    <w:rsid w:val="004A5684"/>
    <w:rsid w:val="004A61C5"/>
    <w:rsid w:val="004B0270"/>
    <w:rsid w:val="004B0F94"/>
    <w:rsid w:val="004B1F81"/>
    <w:rsid w:val="004B41BC"/>
    <w:rsid w:val="004B435A"/>
    <w:rsid w:val="004B4408"/>
    <w:rsid w:val="004B7029"/>
    <w:rsid w:val="004B7182"/>
    <w:rsid w:val="004B7696"/>
    <w:rsid w:val="004C2C5B"/>
    <w:rsid w:val="004C4286"/>
    <w:rsid w:val="004C4505"/>
    <w:rsid w:val="004C49D1"/>
    <w:rsid w:val="004C4CD4"/>
    <w:rsid w:val="004D128B"/>
    <w:rsid w:val="004D2B89"/>
    <w:rsid w:val="004D3C64"/>
    <w:rsid w:val="004D5321"/>
    <w:rsid w:val="004D6206"/>
    <w:rsid w:val="004D6800"/>
    <w:rsid w:val="004E15B8"/>
    <w:rsid w:val="004E28C9"/>
    <w:rsid w:val="004E37CC"/>
    <w:rsid w:val="004E5AAB"/>
    <w:rsid w:val="004F1353"/>
    <w:rsid w:val="004F214D"/>
    <w:rsid w:val="004F2C2F"/>
    <w:rsid w:val="004F65AF"/>
    <w:rsid w:val="004F741B"/>
    <w:rsid w:val="00500565"/>
    <w:rsid w:val="00501B88"/>
    <w:rsid w:val="0050218E"/>
    <w:rsid w:val="00503C5C"/>
    <w:rsid w:val="005041CF"/>
    <w:rsid w:val="00504D70"/>
    <w:rsid w:val="00510691"/>
    <w:rsid w:val="00511829"/>
    <w:rsid w:val="0052140A"/>
    <w:rsid w:val="0052233E"/>
    <w:rsid w:val="005330F5"/>
    <w:rsid w:val="00533B7B"/>
    <w:rsid w:val="00536744"/>
    <w:rsid w:val="005377EC"/>
    <w:rsid w:val="00540A2F"/>
    <w:rsid w:val="00540BBF"/>
    <w:rsid w:val="005417AA"/>
    <w:rsid w:val="005426B2"/>
    <w:rsid w:val="00546A74"/>
    <w:rsid w:val="0054738A"/>
    <w:rsid w:val="00552CF7"/>
    <w:rsid w:val="00552EBC"/>
    <w:rsid w:val="0055305B"/>
    <w:rsid w:val="00554F23"/>
    <w:rsid w:val="00555FCC"/>
    <w:rsid w:val="00557133"/>
    <w:rsid w:val="00562261"/>
    <w:rsid w:val="005643FF"/>
    <w:rsid w:val="00565CBF"/>
    <w:rsid w:val="00566FA5"/>
    <w:rsid w:val="00572CB6"/>
    <w:rsid w:val="00572F46"/>
    <w:rsid w:val="00574D01"/>
    <w:rsid w:val="005771F8"/>
    <w:rsid w:val="0058174E"/>
    <w:rsid w:val="00583244"/>
    <w:rsid w:val="00585AFC"/>
    <w:rsid w:val="005866AE"/>
    <w:rsid w:val="005920A9"/>
    <w:rsid w:val="00596520"/>
    <w:rsid w:val="005A1CEF"/>
    <w:rsid w:val="005A1F09"/>
    <w:rsid w:val="005B541C"/>
    <w:rsid w:val="005B5D81"/>
    <w:rsid w:val="005C1992"/>
    <w:rsid w:val="005C30F7"/>
    <w:rsid w:val="005C4677"/>
    <w:rsid w:val="005D0298"/>
    <w:rsid w:val="005D02D4"/>
    <w:rsid w:val="005D38CB"/>
    <w:rsid w:val="005D52D2"/>
    <w:rsid w:val="005D624B"/>
    <w:rsid w:val="005E2672"/>
    <w:rsid w:val="005E26D2"/>
    <w:rsid w:val="005E35FE"/>
    <w:rsid w:val="005E411D"/>
    <w:rsid w:val="005E54F4"/>
    <w:rsid w:val="005E5F4F"/>
    <w:rsid w:val="005F1D6E"/>
    <w:rsid w:val="005F2671"/>
    <w:rsid w:val="005F26C0"/>
    <w:rsid w:val="005F33D2"/>
    <w:rsid w:val="005F66C7"/>
    <w:rsid w:val="00605B5E"/>
    <w:rsid w:val="00607EF2"/>
    <w:rsid w:val="006121E1"/>
    <w:rsid w:val="00616117"/>
    <w:rsid w:val="00616E49"/>
    <w:rsid w:val="00617463"/>
    <w:rsid w:val="00620025"/>
    <w:rsid w:val="00621049"/>
    <w:rsid w:val="006212B7"/>
    <w:rsid w:val="00621925"/>
    <w:rsid w:val="006249A2"/>
    <w:rsid w:val="00624AF9"/>
    <w:rsid w:val="006266DC"/>
    <w:rsid w:val="00632AB1"/>
    <w:rsid w:val="00632D88"/>
    <w:rsid w:val="0063603E"/>
    <w:rsid w:val="006375B7"/>
    <w:rsid w:val="00642623"/>
    <w:rsid w:val="00642E02"/>
    <w:rsid w:val="00643988"/>
    <w:rsid w:val="00643B15"/>
    <w:rsid w:val="00646A53"/>
    <w:rsid w:val="00646BE7"/>
    <w:rsid w:val="0064777C"/>
    <w:rsid w:val="0065026B"/>
    <w:rsid w:val="00654530"/>
    <w:rsid w:val="00654A86"/>
    <w:rsid w:val="00655FDB"/>
    <w:rsid w:val="00663480"/>
    <w:rsid w:val="006639EE"/>
    <w:rsid w:val="0066459D"/>
    <w:rsid w:val="006659B3"/>
    <w:rsid w:val="0067209B"/>
    <w:rsid w:val="006755AD"/>
    <w:rsid w:val="00680634"/>
    <w:rsid w:val="00681494"/>
    <w:rsid w:val="006822DF"/>
    <w:rsid w:val="0068494E"/>
    <w:rsid w:val="00692F47"/>
    <w:rsid w:val="00696984"/>
    <w:rsid w:val="00697207"/>
    <w:rsid w:val="006A19B1"/>
    <w:rsid w:val="006A1F86"/>
    <w:rsid w:val="006A268C"/>
    <w:rsid w:val="006A48DC"/>
    <w:rsid w:val="006A56AD"/>
    <w:rsid w:val="006A687B"/>
    <w:rsid w:val="006A7958"/>
    <w:rsid w:val="006B2236"/>
    <w:rsid w:val="006B2F52"/>
    <w:rsid w:val="006B30AC"/>
    <w:rsid w:val="006B5D48"/>
    <w:rsid w:val="006C0BE1"/>
    <w:rsid w:val="006C3FC9"/>
    <w:rsid w:val="006C7579"/>
    <w:rsid w:val="006C7836"/>
    <w:rsid w:val="006D1700"/>
    <w:rsid w:val="006D5B81"/>
    <w:rsid w:val="006D656F"/>
    <w:rsid w:val="006D6EF3"/>
    <w:rsid w:val="006E074F"/>
    <w:rsid w:val="006E184B"/>
    <w:rsid w:val="006E4242"/>
    <w:rsid w:val="006E76D1"/>
    <w:rsid w:val="006F155B"/>
    <w:rsid w:val="006F3D86"/>
    <w:rsid w:val="006F454B"/>
    <w:rsid w:val="006F6038"/>
    <w:rsid w:val="00701464"/>
    <w:rsid w:val="007017D3"/>
    <w:rsid w:val="00706D1D"/>
    <w:rsid w:val="00707C30"/>
    <w:rsid w:val="0071087F"/>
    <w:rsid w:val="007113B2"/>
    <w:rsid w:val="0071177A"/>
    <w:rsid w:val="00716534"/>
    <w:rsid w:val="0071725A"/>
    <w:rsid w:val="0071730D"/>
    <w:rsid w:val="00720047"/>
    <w:rsid w:val="0072136B"/>
    <w:rsid w:val="00726CAD"/>
    <w:rsid w:val="007311ED"/>
    <w:rsid w:val="007318F3"/>
    <w:rsid w:val="007341F9"/>
    <w:rsid w:val="0073571A"/>
    <w:rsid w:val="007370C6"/>
    <w:rsid w:val="00746921"/>
    <w:rsid w:val="007558C9"/>
    <w:rsid w:val="00755C37"/>
    <w:rsid w:val="007568E0"/>
    <w:rsid w:val="00762804"/>
    <w:rsid w:val="00774220"/>
    <w:rsid w:val="00775A71"/>
    <w:rsid w:val="0078296A"/>
    <w:rsid w:val="00782A12"/>
    <w:rsid w:val="00782F4D"/>
    <w:rsid w:val="007846BF"/>
    <w:rsid w:val="0078502F"/>
    <w:rsid w:val="007869F3"/>
    <w:rsid w:val="007917AA"/>
    <w:rsid w:val="007938ED"/>
    <w:rsid w:val="0079400B"/>
    <w:rsid w:val="00796B49"/>
    <w:rsid w:val="007A1113"/>
    <w:rsid w:val="007A14C4"/>
    <w:rsid w:val="007A5AE1"/>
    <w:rsid w:val="007A649D"/>
    <w:rsid w:val="007B3431"/>
    <w:rsid w:val="007B368F"/>
    <w:rsid w:val="007B4962"/>
    <w:rsid w:val="007B5EAD"/>
    <w:rsid w:val="007C0B4D"/>
    <w:rsid w:val="007C0F0F"/>
    <w:rsid w:val="007C285D"/>
    <w:rsid w:val="007C3872"/>
    <w:rsid w:val="007C3CBB"/>
    <w:rsid w:val="007C51D9"/>
    <w:rsid w:val="007C729D"/>
    <w:rsid w:val="007D1C98"/>
    <w:rsid w:val="007D2ADD"/>
    <w:rsid w:val="007E30F5"/>
    <w:rsid w:val="007E53EF"/>
    <w:rsid w:val="007F167A"/>
    <w:rsid w:val="007F2FCF"/>
    <w:rsid w:val="007F343B"/>
    <w:rsid w:val="007F6AA7"/>
    <w:rsid w:val="00801E9E"/>
    <w:rsid w:val="00801F9F"/>
    <w:rsid w:val="0080251F"/>
    <w:rsid w:val="00803D80"/>
    <w:rsid w:val="0080527D"/>
    <w:rsid w:val="00816B3A"/>
    <w:rsid w:val="00816B64"/>
    <w:rsid w:val="00817F7F"/>
    <w:rsid w:val="00822E1C"/>
    <w:rsid w:val="00826323"/>
    <w:rsid w:val="00831CF4"/>
    <w:rsid w:val="00832A1F"/>
    <w:rsid w:val="008339DA"/>
    <w:rsid w:val="0084362D"/>
    <w:rsid w:val="00844F7F"/>
    <w:rsid w:val="00846624"/>
    <w:rsid w:val="0084725D"/>
    <w:rsid w:val="00847D23"/>
    <w:rsid w:val="008505D9"/>
    <w:rsid w:val="00853044"/>
    <w:rsid w:val="00854CA1"/>
    <w:rsid w:val="00856878"/>
    <w:rsid w:val="00860862"/>
    <w:rsid w:val="00863E5E"/>
    <w:rsid w:val="00865DB7"/>
    <w:rsid w:val="00866AAE"/>
    <w:rsid w:val="00867AE8"/>
    <w:rsid w:val="00867C42"/>
    <w:rsid w:val="008709F0"/>
    <w:rsid w:val="00870A59"/>
    <w:rsid w:val="00871127"/>
    <w:rsid w:val="00871B98"/>
    <w:rsid w:val="0087332F"/>
    <w:rsid w:val="00881DD4"/>
    <w:rsid w:val="00886685"/>
    <w:rsid w:val="008908CC"/>
    <w:rsid w:val="008924D9"/>
    <w:rsid w:val="008951E7"/>
    <w:rsid w:val="00896331"/>
    <w:rsid w:val="008A01E4"/>
    <w:rsid w:val="008A4E98"/>
    <w:rsid w:val="008A59A0"/>
    <w:rsid w:val="008A72B2"/>
    <w:rsid w:val="008A745C"/>
    <w:rsid w:val="008A7722"/>
    <w:rsid w:val="008A7C40"/>
    <w:rsid w:val="008B26C2"/>
    <w:rsid w:val="008B2BDF"/>
    <w:rsid w:val="008B3066"/>
    <w:rsid w:val="008B33A1"/>
    <w:rsid w:val="008C067E"/>
    <w:rsid w:val="008C625B"/>
    <w:rsid w:val="008D3527"/>
    <w:rsid w:val="008D3E59"/>
    <w:rsid w:val="008D56E9"/>
    <w:rsid w:val="008D6F2D"/>
    <w:rsid w:val="008D7BFB"/>
    <w:rsid w:val="008E03C0"/>
    <w:rsid w:val="008E2B2E"/>
    <w:rsid w:val="008E4C5A"/>
    <w:rsid w:val="008F3478"/>
    <w:rsid w:val="008F393C"/>
    <w:rsid w:val="008F59A7"/>
    <w:rsid w:val="008F74C8"/>
    <w:rsid w:val="009019D5"/>
    <w:rsid w:val="0090319C"/>
    <w:rsid w:val="009047E5"/>
    <w:rsid w:val="0090597F"/>
    <w:rsid w:val="00907D42"/>
    <w:rsid w:val="0091299E"/>
    <w:rsid w:val="009135FC"/>
    <w:rsid w:val="009165C8"/>
    <w:rsid w:val="00920302"/>
    <w:rsid w:val="0092039A"/>
    <w:rsid w:val="00923AD1"/>
    <w:rsid w:val="00926B2A"/>
    <w:rsid w:val="00927649"/>
    <w:rsid w:val="00927D8F"/>
    <w:rsid w:val="00927E4F"/>
    <w:rsid w:val="009300DF"/>
    <w:rsid w:val="00931422"/>
    <w:rsid w:val="009315B2"/>
    <w:rsid w:val="00935BF8"/>
    <w:rsid w:val="00935EE0"/>
    <w:rsid w:val="00936B16"/>
    <w:rsid w:val="00936CAD"/>
    <w:rsid w:val="00942299"/>
    <w:rsid w:val="0094277D"/>
    <w:rsid w:val="0094350D"/>
    <w:rsid w:val="009457C1"/>
    <w:rsid w:val="0095209D"/>
    <w:rsid w:val="00953F0F"/>
    <w:rsid w:val="00955713"/>
    <w:rsid w:val="009567E6"/>
    <w:rsid w:val="00956BB7"/>
    <w:rsid w:val="0095739A"/>
    <w:rsid w:val="0096020D"/>
    <w:rsid w:val="00960917"/>
    <w:rsid w:val="00961DEF"/>
    <w:rsid w:val="0096499E"/>
    <w:rsid w:val="00974729"/>
    <w:rsid w:val="00974953"/>
    <w:rsid w:val="00980CF9"/>
    <w:rsid w:val="00981C17"/>
    <w:rsid w:val="00983A11"/>
    <w:rsid w:val="00992815"/>
    <w:rsid w:val="00996002"/>
    <w:rsid w:val="0099624F"/>
    <w:rsid w:val="009A0F9A"/>
    <w:rsid w:val="009A4C68"/>
    <w:rsid w:val="009A642E"/>
    <w:rsid w:val="009B1BC7"/>
    <w:rsid w:val="009B241C"/>
    <w:rsid w:val="009B7261"/>
    <w:rsid w:val="009C0B4D"/>
    <w:rsid w:val="009C75C4"/>
    <w:rsid w:val="009D107B"/>
    <w:rsid w:val="009D1DF1"/>
    <w:rsid w:val="009E08EB"/>
    <w:rsid w:val="009E2AB8"/>
    <w:rsid w:val="009F14CC"/>
    <w:rsid w:val="00A00A78"/>
    <w:rsid w:val="00A01123"/>
    <w:rsid w:val="00A02E1C"/>
    <w:rsid w:val="00A04DDF"/>
    <w:rsid w:val="00A0778F"/>
    <w:rsid w:val="00A109AE"/>
    <w:rsid w:val="00A125DA"/>
    <w:rsid w:val="00A14F6A"/>
    <w:rsid w:val="00A15605"/>
    <w:rsid w:val="00A17A04"/>
    <w:rsid w:val="00A206E1"/>
    <w:rsid w:val="00A22506"/>
    <w:rsid w:val="00A23973"/>
    <w:rsid w:val="00A263B8"/>
    <w:rsid w:val="00A305FA"/>
    <w:rsid w:val="00A32683"/>
    <w:rsid w:val="00A34053"/>
    <w:rsid w:val="00A41EA1"/>
    <w:rsid w:val="00A42121"/>
    <w:rsid w:val="00A4270B"/>
    <w:rsid w:val="00A427C1"/>
    <w:rsid w:val="00A44931"/>
    <w:rsid w:val="00A450AB"/>
    <w:rsid w:val="00A52C67"/>
    <w:rsid w:val="00A55784"/>
    <w:rsid w:val="00A56599"/>
    <w:rsid w:val="00A57F8F"/>
    <w:rsid w:val="00A72058"/>
    <w:rsid w:val="00A74790"/>
    <w:rsid w:val="00A763C3"/>
    <w:rsid w:val="00A776A4"/>
    <w:rsid w:val="00A80425"/>
    <w:rsid w:val="00A81222"/>
    <w:rsid w:val="00A83F55"/>
    <w:rsid w:val="00A86BF0"/>
    <w:rsid w:val="00A87E49"/>
    <w:rsid w:val="00A92346"/>
    <w:rsid w:val="00AA089E"/>
    <w:rsid w:val="00AA2ACA"/>
    <w:rsid w:val="00AA5134"/>
    <w:rsid w:val="00AA7F13"/>
    <w:rsid w:val="00AB1A19"/>
    <w:rsid w:val="00AB2F1A"/>
    <w:rsid w:val="00AB357E"/>
    <w:rsid w:val="00AB52AC"/>
    <w:rsid w:val="00AB5AE6"/>
    <w:rsid w:val="00AC0273"/>
    <w:rsid w:val="00AC6A9D"/>
    <w:rsid w:val="00AC7509"/>
    <w:rsid w:val="00AD05E0"/>
    <w:rsid w:val="00AD0944"/>
    <w:rsid w:val="00AD1103"/>
    <w:rsid w:val="00AD2C6D"/>
    <w:rsid w:val="00AD33A2"/>
    <w:rsid w:val="00AD3B0F"/>
    <w:rsid w:val="00AD3FEB"/>
    <w:rsid w:val="00AD4838"/>
    <w:rsid w:val="00AD7400"/>
    <w:rsid w:val="00AE0817"/>
    <w:rsid w:val="00AE1220"/>
    <w:rsid w:val="00AE2C50"/>
    <w:rsid w:val="00AE4DDE"/>
    <w:rsid w:val="00AE5157"/>
    <w:rsid w:val="00AE5E67"/>
    <w:rsid w:val="00AE66CC"/>
    <w:rsid w:val="00AE7588"/>
    <w:rsid w:val="00AF1E39"/>
    <w:rsid w:val="00AF5B5B"/>
    <w:rsid w:val="00AF7520"/>
    <w:rsid w:val="00B00C5B"/>
    <w:rsid w:val="00B01953"/>
    <w:rsid w:val="00B04F95"/>
    <w:rsid w:val="00B05045"/>
    <w:rsid w:val="00B05BA1"/>
    <w:rsid w:val="00B07787"/>
    <w:rsid w:val="00B10928"/>
    <w:rsid w:val="00B131C6"/>
    <w:rsid w:val="00B1345D"/>
    <w:rsid w:val="00B1454A"/>
    <w:rsid w:val="00B200F0"/>
    <w:rsid w:val="00B21B4F"/>
    <w:rsid w:val="00B21E45"/>
    <w:rsid w:val="00B2394B"/>
    <w:rsid w:val="00B24407"/>
    <w:rsid w:val="00B24FBB"/>
    <w:rsid w:val="00B316D3"/>
    <w:rsid w:val="00B33A78"/>
    <w:rsid w:val="00B36412"/>
    <w:rsid w:val="00B377CF"/>
    <w:rsid w:val="00B4223D"/>
    <w:rsid w:val="00B426FB"/>
    <w:rsid w:val="00B47EFE"/>
    <w:rsid w:val="00B506AF"/>
    <w:rsid w:val="00B51E5D"/>
    <w:rsid w:val="00B52687"/>
    <w:rsid w:val="00B52A9C"/>
    <w:rsid w:val="00B53580"/>
    <w:rsid w:val="00B5485C"/>
    <w:rsid w:val="00B562AD"/>
    <w:rsid w:val="00B56EE8"/>
    <w:rsid w:val="00B5772D"/>
    <w:rsid w:val="00B6339B"/>
    <w:rsid w:val="00B639B3"/>
    <w:rsid w:val="00B647B2"/>
    <w:rsid w:val="00B66500"/>
    <w:rsid w:val="00B72BDE"/>
    <w:rsid w:val="00B740A8"/>
    <w:rsid w:val="00B76586"/>
    <w:rsid w:val="00B76954"/>
    <w:rsid w:val="00B76C4B"/>
    <w:rsid w:val="00B83E9C"/>
    <w:rsid w:val="00B83F34"/>
    <w:rsid w:val="00B90506"/>
    <w:rsid w:val="00B91943"/>
    <w:rsid w:val="00B93D8B"/>
    <w:rsid w:val="00B93EBA"/>
    <w:rsid w:val="00BA2FA1"/>
    <w:rsid w:val="00BA4C18"/>
    <w:rsid w:val="00BA4C95"/>
    <w:rsid w:val="00BA5DA8"/>
    <w:rsid w:val="00BB0F33"/>
    <w:rsid w:val="00BB14B7"/>
    <w:rsid w:val="00BB231E"/>
    <w:rsid w:val="00BB2765"/>
    <w:rsid w:val="00BC0673"/>
    <w:rsid w:val="00BC122A"/>
    <w:rsid w:val="00BC3292"/>
    <w:rsid w:val="00BC3C0F"/>
    <w:rsid w:val="00BC3FB2"/>
    <w:rsid w:val="00BC4F40"/>
    <w:rsid w:val="00BD1D48"/>
    <w:rsid w:val="00BD4998"/>
    <w:rsid w:val="00BD76AD"/>
    <w:rsid w:val="00BE07C9"/>
    <w:rsid w:val="00BE1486"/>
    <w:rsid w:val="00BE2032"/>
    <w:rsid w:val="00BE31F3"/>
    <w:rsid w:val="00BE44DA"/>
    <w:rsid w:val="00BE5AF6"/>
    <w:rsid w:val="00BE612F"/>
    <w:rsid w:val="00BE6D8D"/>
    <w:rsid w:val="00BE6E30"/>
    <w:rsid w:val="00BF1924"/>
    <w:rsid w:val="00BF1E6A"/>
    <w:rsid w:val="00BF2C6F"/>
    <w:rsid w:val="00BF3913"/>
    <w:rsid w:val="00BF595B"/>
    <w:rsid w:val="00C01865"/>
    <w:rsid w:val="00C01E85"/>
    <w:rsid w:val="00C0646D"/>
    <w:rsid w:val="00C07A6E"/>
    <w:rsid w:val="00C07C09"/>
    <w:rsid w:val="00C10C59"/>
    <w:rsid w:val="00C10D52"/>
    <w:rsid w:val="00C11CC0"/>
    <w:rsid w:val="00C16D5E"/>
    <w:rsid w:val="00C1758F"/>
    <w:rsid w:val="00C17BDA"/>
    <w:rsid w:val="00C21849"/>
    <w:rsid w:val="00C22B41"/>
    <w:rsid w:val="00C23B27"/>
    <w:rsid w:val="00C261A5"/>
    <w:rsid w:val="00C2675D"/>
    <w:rsid w:val="00C27581"/>
    <w:rsid w:val="00C31837"/>
    <w:rsid w:val="00C33409"/>
    <w:rsid w:val="00C33656"/>
    <w:rsid w:val="00C350BE"/>
    <w:rsid w:val="00C353C9"/>
    <w:rsid w:val="00C35BAC"/>
    <w:rsid w:val="00C407AA"/>
    <w:rsid w:val="00C43420"/>
    <w:rsid w:val="00C47BBF"/>
    <w:rsid w:val="00C51352"/>
    <w:rsid w:val="00C52F26"/>
    <w:rsid w:val="00C535FA"/>
    <w:rsid w:val="00C55417"/>
    <w:rsid w:val="00C57679"/>
    <w:rsid w:val="00C61179"/>
    <w:rsid w:val="00C6248F"/>
    <w:rsid w:val="00C64124"/>
    <w:rsid w:val="00C64A1B"/>
    <w:rsid w:val="00C64E32"/>
    <w:rsid w:val="00C67422"/>
    <w:rsid w:val="00C71395"/>
    <w:rsid w:val="00C7450F"/>
    <w:rsid w:val="00C746B5"/>
    <w:rsid w:val="00C747F0"/>
    <w:rsid w:val="00C7628B"/>
    <w:rsid w:val="00C807C4"/>
    <w:rsid w:val="00C80E30"/>
    <w:rsid w:val="00C84005"/>
    <w:rsid w:val="00C85C2F"/>
    <w:rsid w:val="00C86EC4"/>
    <w:rsid w:val="00C87212"/>
    <w:rsid w:val="00C92E01"/>
    <w:rsid w:val="00C970EA"/>
    <w:rsid w:val="00CA1230"/>
    <w:rsid w:val="00CA1AB8"/>
    <w:rsid w:val="00CA47A1"/>
    <w:rsid w:val="00CA4C88"/>
    <w:rsid w:val="00CA5594"/>
    <w:rsid w:val="00CA5A90"/>
    <w:rsid w:val="00CA6AD9"/>
    <w:rsid w:val="00CA6CBD"/>
    <w:rsid w:val="00CA6F4D"/>
    <w:rsid w:val="00CB08DC"/>
    <w:rsid w:val="00CB146A"/>
    <w:rsid w:val="00CB30DF"/>
    <w:rsid w:val="00CB4D1D"/>
    <w:rsid w:val="00CB5475"/>
    <w:rsid w:val="00CB5EDD"/>
    <w:rsid w:val="00CB65DE"/>
    <w:rsid w:val="00CC0DA5"/>
    <w:rsid w:val="00CC0F06"/>
    <w:rsid w:val="00CC1844"/>
    <w:rsid w:val="00CC3198"/>
    <w:rsid w:val="00CC4CCA"/>
    <w:rsid w:val="00CC4E75"/>
    <w:rsid w:val="00CC7BCB"/>
    <w:rsid w:val="00CD1936"/>
    <w:rsid w:val="00CD4839"/>
    <w:rsid w:val="00CD6637"/>
    <w:rsid w:val="00CD7077"/>
    <w:rsid w:val="00CE1E69"/>
    <w:rsid w:val="00CE39BC"/>
    <w:rsid w:val="00CE3D10"/>
    <w:rsid w:val="00CE3F92"/>
    <w:rsid w:val="00CE4FB1"/>
    <w:rsid w:val="00CE6271"/>
    <w:rsid w:val="00CE7323"/>
    <w:rsid w:val="00CF1946"/>
    <w:rsid w:val="00CF2FE1"/>
    <w:rsid w:val="00CF4100"/>
    <w:rsid w:val="00CF555F"/>
    <w:rsid w:val="00CF5A98"/>
    <w:rsid w:val="00CF6CA7"/>
    <w:rsid w:val="00CF7322"/>
    <w:rsid w:val="00D00083"/>
    <w:rsid w:val="00D01DC2"/>
    <w:rsid w:val="00D0698E"/>
    <w:rsid w:val="00D07C19"/>
    <w:rsid w:val="00D10FF1"/>
    <w:rsid w:val="00D1246D"/>
    <w:rsid w:val="00D135CB"/>
    <w:rsid w:val="00D144E0"/>
    <w:rsid w:val="00D20F9A"/>
    <w:rsid w:val="00D222DD"/>
    <w:rsid w:val="00D22638"/>
    <w:rsid w:val="00D2298A"/>
    <w:rsid w:val="00D24016"/>
    <w:rsid w:val="00D24488"/>
    <w:rsid w:val="00D24856"/>
    <w:rsid w:val="00D26219"/>
    <w:rsid w:val="00D30546"/>
    <w:rsid w:val="00D32522"/>
    <w:rsid w:val="00D36CF1"/>
    <w:rsid w:val="00D43DA5"/>
    <w:rsid w:val="00D43DC9"/>
    <w:rsid w:val="00D47105"/>
    <w:rsid w:val="00D51E28"/>
    <w:rsid w:val="00D527AC"/>
    <w:rsid w:val="00D53ADE"/>
    <w:rsid w:val="00D54708"/>
    <w:rsid w:val="00D5478D"/>
    <w:rsid w:val="00D611D0"/>
    <w:rsid w:val="00D636F8"/>
    <w:rsid w:val="00D65A2C"/>
    <w:rsid w:val="00D709CE"/>
    <w:rsid w:val="00D727AE"/>
    <w:rsid w:val="00D771F9"/>
    <w:rsid w:val="00D82F44"/>
    <w:rsid w:val="00D85C03"/>
    <w:rsid w:val="00D85C6E"/>
    <w:rsid w:val="00D865A7"/>
    <w:rsid w:val="00D90A43"/>
    <w:rsid w:val="00D9577D"/>
    <w:rsid w:val="00D95B3C"/>
    <w:rsid w:val="00D9605A"/>
    <w:rsid w:val="00D96822"/>
    <w:rsid w:val="00DA11B4"/>
    <w:rsid w:val="00DA2467"/>
    <w:rsid w:val="00DB05DB"/>
    <w:rsid w:val="00DB0AF7"/>
    <w:rsid w:val="00DB1DB2"/>
    <w:rsid w:val="00DB1F33"/>
    <w:rsid w:val="00DB32DE"/>
    <w:rsid w:val="00DC0FA2"/>
    <w:rsid w:val="00DC1060"/>
    <w:rsid w:val="00DC1894"/>
    <w:rsid w:val="00DC414C"/>
    <w:rsid w:val="00DC48CC"/>
    <w:rsid w:val="00DC774C"/>
    <w:rsid w:val="00DD4FE6"/>
    <w:rsid w:val="00DE009E"/>
    <w:rsid w:val="00DE0140"/>
    <w:rsid w:val="00DE3F35"/>
    <w:rsid w:val="00DE746C"/>
    <w:rsid w:val="00DF0CBA"/>
    <w:rsid w:val="00DF0D8F"/>
    <w:rsid w:val="00DF1678"/>
    <w:rsid w:val="00DF2030"/>
    <w:rsid w:val="00DF2F91"/>
    <w:rsid w:val="00DF34A2"/>
    <w:rsid w:val="00DF35C4"/>
    <w:rsid w:val="00DF3E0F"/>
    <w:rsid w:val="00DF5703"/>
    <w:rsid w:val="00DF6B25"/>
    <w:rsid w:val="00DF6C62"/>
    <w:rsid w:val="00DF7042"/>
    <w:rsid w:val="00E07657"/>
    <w:rsid w:val="00E07F44"/>
    <w:rsid w:val="00E11322"/>
    <w:rsid w:val="00E15503"/>
    <w:rsid w:val="00E21315"/>
    <w:rsid w:val="00E23AE9"/>
    <w:rsid w:val="00E24CB3"/>
    <w:rsid w:val="00E25C18"/>
    <w:rsid w:val="00E267AB"/>
    <w:rsid w:val="00E33485"/>
    <w:rsid w:val="00E36490"/>
    <w:rsid w:val="00E37F70"/>
    <w:rsid w:val="00E40269"/>
    <w:rsid w:val="00E45CEA"/>
    <w:rsid w:val="00E47733"/>
    <w:rsid w:val="00E52B6C"/>
    <w:rsid w:val="00E55B19"/>
    <w:rsid w:val="00E61F29"/>
    <w:rsid w:val="00E64ADD"/>
    <w:rsid w:val="00E64E03"/>
    <w:rsid w:val="00E71B68"/>
    <w:rsid w:val="00E72F2D"/>
    <w:rsid w:val="00E74327"/>
    <w:rsid w:val="00E8671C"/>
    <w:rsid w:val="00E90D2C"/>
    <w:rsid w:val="00E91249"/>
    <w:rsid w:val="00E92E5D"/>
    <w:rsid w:val="00E954FC"/>
    <w:rsid w:val="00EA0D21"/>
    <w:rsid w:val="00EA0FB3"/>
    <w:rsid w:val="00EA3CCA"/>
    <w:rsid w:val="00EA3F24"/>
    <w:rsid w:val="00EA3F60"/>
    <w:rsid w:val="00EA56B8"/>
    <w:rsid w:val="00EA5EAB"/>
    <w:rsid w:val="00EB1085"/>
    <w:rsid w:val="00EB4F41"/>
    <w:rsid w:val="00EB584D"/>
    <w:rsid w:val="00EC192F"/>
    <w:rsid w:val="00EC34A9"/>
    <w:rsid w:val="00EC6C43"/>
    <w:rsid w:val="00EC7B1D"/>
    <w:rsid w:val="00ED0DAE"/>
    <w:rsid w:val="00ED161F"/>
    <w:rsid w:val="00ED1828"/>
    <w:rsid w:val="00ED2BE3"/>
    <w:rsid w:val="00ED3B28"/>
    <w:rsid w:val="00ED503B"/>
    <w:rsid w:val="00ED5688"/>
    <w:rsid w:val="00EE10A7"/>
    <w:rsid w:val="00EE241E"/>
    <w:rsid w:val="00EE2EF8"/>
    <w:rsid w:val="00EE6B87"/>
    <w:rsid w:val="00EF14B6"/>
    <w:rsid w:val="00EF164F"/>
    <w:rsid w:val="00EF3E01"/>
    <w:rsid w:val="00EF7932"/>
    <w:rsid w:val="00F00AA0"/>
    <w:rsid w:val="00F01624"/>
    <w:rsid w:val="00F01C57"/>
    <w:rsid w:val="00F04BAC"/>
    <w:rsid w:val="00F12245"/>
    <w:rsid w:val="00F17C22"/>
    <w:rsid w:val="00F17EF3"/>
    <w:rsid w:val="00F2002F"/>
    <w:rsid w:val="00F21F68"/>
    <w:rsid w:val="00F23615"/>
    <w:rsid w:val="00F26A69"/>
    <w:rsid w:val="00F31DD9"/>
    <w:rsid w:val="00F324C7"/>
    <w:rsid w:val="00F33B3F"/>
    <w:rsid w:val="00F33CF3"/>
    <w:rsid w:val="00F34463"/>
    <w:rsid w:val="00F369D3"/>
    <w:rsid w:val="00F37D9D"/>
    <w:rsid w:val="00F43256"/>
    <w:rsid w:val="00F4372D"/>
    <w:rsid w:val="00F43B0C"/>
    <w:rsid w:val="00F46D38"/>
    <w:rsid w:val="00F507B4"/>
    <w:rsid w:val="00F51E1F"/>
    <w:rsid w:val="00F536E3"/>
    <w:rsid w:val="00F541B8"/>
    <w:rsid w:val="00F55401"/>
    <w:rsid w:val="00F55EC7"/>
    <w:rsid w:val="00F55FCC"/>
    <w:rsid w:val="00F56987"/>
    <w:rsid w:val="00F5754B"/>
    <w:rsid w:val="00F637F3"/>
    <w:rsid w:val="00F63F00"/>
    <w:rsid w:val="00F640A3"/>
    <w:rsid w:val="00F70195"/>
    <w:rsid w:val="00F708E2"/>
    <w:rsid w:val="00F72BBF"/>
    <w:rsid w:val="00F72D0B"/>
    <w:rsid w:val="00F77FF0"/>
    <w:rsid w:val="00F80E53"/>
    <w:rsid w:val="00F82528"/>
    <w:rsid w:val="00F83A89"/>
    <w:rsid w:val="00F86DCE"/>
    <w:rsid w:val="00F86EDD"/>
    <w:rsid w:val="00F87DB8"/>
    <w:rsid w:val="00F905E1"/>
    <w:rsid w:val="00F9647A"/>
    <w:rsid w:val="00FA096B"/>
    <w:rsid w:val="00FA0D8D"/>
    <w:rsid w:val="00FA20A2"/>
    <w:rsid w:val="00FB5507"/>
    <w:rsid w:val="00FB5D12"/>
    <w:rsid w:val="00FB6C7E"/>
    <w:rsid w:val="00FC04B6"/>
    <w:rsid w:val="00FC177E"/>
    <w:rsid w:val="00FC1A7F"/>
    <w:rsid w:val="00FC2B0D"/>
    <w:rsid w:val="00FC3B60"/>
    <w:rsid w:val="00FC4A09"/>
    <w:rsid w:val="00FC554C"/>
    <w:rsid w:val="00FC74B4"/>
    <w:rsid w:val="00FD01C1"/>
    <w:rsid w:val="00FD7B90"/>
    <w:rsid w:val="00FE1043"/>
    <w:rsid w:val="00FE22FA"/>
    <w:rsid w:val="00FE35C9"/>
    <w:rsid w:val="00FE6025"/>
    <w:rsid w:val="00FF0A8F"/>
    <w:rsid w:val="00FF1239"/>
    <w:rsid w:val="00FF7B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D42B1"/>
  <w15:docId w15:val="{7DEAC5B5-514B-4AD1-8CE8-BA380B3D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semiHidden/>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056250">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 w:id="213466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rmativa.colpensiones.gov.co/colpens/docs/decreto_1833_2016_pr00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E10DD-C7FB-4CB3-8668-61DA52EF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11198</Words>
  <Characters>61595</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Hermides Alonso Gaviria Ocampo</cp:lastModifiedBy>
  <cp:revision>2</cp:revision>
  <cp:lastPrinted>2019-05-27T20:28:00Z</cp:lastPrinted>
  <dcterms:created xsi:type="dcterms:W3CDTF">2022-04-14T16:30:00Z</dcterms:created>
  <dcterms:modified xsi:type="dcterms:W3CDTF">2022-04-14T16:30:00Z</dcterms:modified>
</cp:coreProperties>
</file>