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45D53" w14:textId="77777777" w:rsidR="00361C8C" w:rsidRPr="00361C8C" w:rsidRDefault="00361C8C" w:rsidP="00361C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61C8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8CF4CB" w14:textId="77777777" w:rsidR="00361C8C" w:rsidRPr="00361C8C" w:rsidRDefault="00361C8C" w:rsidP="00361C8C">
      <w:pPr>
        <w:jc w:val="both"/>
        <w:rPr>
          <w:rFonts w:ascii="Arial" w:hAnsi="Arial" w:cs="Arial"/>
          <w:sz w:val="20"/>
          <w:lang w:val="es-419"/>
        </w:rPr>
      </w:pPr>
    </w:p>
    <w:p w14:paraId="7B03DC1A" w14:textId="77777777" w:rsidR="00361C8C" w:rsidRPr="00361C8C" w:rsidRDefault="00361C8C" w:rsidP="00361C8C">
      <w:pPr>
        <w:jc w:val="both"/>
        <w:rPr>
          <w:rFonts w:ascii="Arial" w:hAnsi="Arial" w:cs="Arial"/>
          <w:sz w:val="20"/>
          <w:lang w:val="es-419"/>
        </w:rPr>
      </w:pPr>
      <w:r w:rsidRPr="00361C8C">
        <w:rPr>
          <w:rFonts w:ascii="Arial" w:hAnsi="Arial" w:cs="Arial"/>
          <w:sz w:val="20"/>
          <w:lang w:val="es-419"/>
        </w:rPr>
        <w:t>Providencia:</w:t>
      </w:r>
      <w:r w:rsidRPr="00361C8C">
        <w:rPr>
          <w:rFonts w:ascii="Arial" w:hAnsi="Arial" w:cs="Arial"/>
          <w:sz w:val="20"/>
          <w:lang w:val="es-419"/>
        </w:rPr>
        <w:tab/>
      </w:r>
      <w:r w:rsidRPr="00361C8C">
        <w:rPr>
          <w:rFonts w:ascii="Arial" w:hAnsi="Arial" w:cs="Arial"/>
          <w:sz w:val="20"/>
          <w:lang w:val="es-419"/>
        </w:rPr>
        <w:tab/>
        <w:t xml:space="preserve">Consulta sentencia </w:t>
      </w:r>
    </w:p>
    <w:p w14:paraId="5E1FC1E9" w14:textId="77777777" w:rsidR="00361C8C" w:rsidRPr="00361C8C" w:rsidRDefault="00361C8C" w:rsidP="00361C8C">
      <w:pPr>
        <w:jc w:val="both"/>
        <w:rPr>
          <w:rFonts w:ascii="Arial" w:hAnsi="Arial" w:cs="Arial"/>
          <w:sz w:val="20"/>
          <w:lang w:val="es-419"/>
        </w:rPr>
      </w:pPr>
      <w:r w:rsidRPr="00361C8C">
        <w:rPr>
          <w:rFonts w:ascii="Arial" w:hAnsi="Arial" w:cs="Arial"/>
          <w:sz w:val="20"/>
          <w:lang w:val="es-419"/>
        </w:rPr>
        <w:t>Proceso:</w:t>
      </w:r>
      <w:r w:rsidRPr="00361C8C">
        <w:rPr>
          <w:rFonts w:ascii="Arial" w:hAnsi="Arial" w:cs="Arial"/>
          <w:sz w:val="20"/>
          <w:lang w:val="es-419"/>
        </w:rPr>
        <w:tab/>
      </w:r>
      <w:r w:rsidRPr="00361C8C">
        <w:rPr>
          <w:rFonts w:ascii="Arial" w:hAnsi="Arial" w:cs="Arial"/>
          <w:sz w:val="20"/>
          <w:lang w:val="es-419"/>
        </w:rPr>
        <w:tab/>
        <w:t xml:space="preserve">Ordinario Laboral </w:t>
      </w:r>
    </w:p>
    <w:p w14:paraId="035EFA37" w14:textId="77777777" w:rsidR="00361C8C" w:rsidRPr="00361C8C" w:rsidRDefault="00361C8C" w:rsidP="00361C8C">
      <w:pPr>
        <w:jc w:val="both"/>
        <w:rPr>
          <w:rFonts w:ascii="Arial" w:hAnsi="Arial" w:cs="Arial"/>
          <w:sz w:val="20"/>
          <w:lang w:val="es-419"/>
        </w:rPr>
      </w:pPr>
      <w:r w:rsidRPr="00361C8C">
        <w:rPr>
          <w:rFonts w:ascii="Arial" w:hAnsi="Arial" w:cs="Arial"/>
          <w:sz w:val="20"/>
          <w:lang w:val="es-419"/>
        </w:rPr>
        <w:t>Radicación No:</w:t>
      </w:r>
      <w:r w:rsidRPr="00361C8C">
        <w:rPr>
          <w:rFonts w:ascii="Arial" w:hAnsi="Arial" w:cs="Arial"/>
          <w:sz w:val="20"/>
          <w:lang w:val="es-419"/>
        </w:rPr>
        <w:tab/>
      </w:r>
      <w:r w:rsidRPr="00361C8C">
        <w:rPr>
          <w:rFonts w:ascii="Arial" w:hAnsi="Arial" w:cs="Arial"/>
          <w:sz w:val="20"/>
          <w:lang w:val="es-419"/>
        </w:rPr>
        <w:tab/>
        <w:t>66001-31-05-001-2016-00531-01</w:t>
      </w:r>
    </w:p>
    <w:p w14:paraId="6DB1B90A" w14:textId="39D25001" w:rsidR="00361C8C" w:rsidRPr="00361C8C" w:rsidRDefault="00361C8C" w:rsidP="00361C8C">
      <w:pPr>
        <w:jc w:val="both"/>
        <w:rPr>
          <w:rFonts w:ascii="Arial" w:hAnsi="Arial" w:cs="Arial"/>
          <w:sz w:val="20"/>
          <w:lang w:val="es-419"/>
        </w:rPr>
      </w:pPr>
      <w:r w:rsidRPr="00361C8C">
        <w:rPr>
          <w:rFonts w:ascii="Arial" w:hAnsi="Arial" w:cs="Arial"/>
          <w:sz w:val="20"/>
          <w:lang w:val="es-419"/>
        </w:rPr>
        <w:t>Demandante:</w:t>
      </w:r>
      <w:r>
        <w:rPr>
          <w:rFonts w:ascii="Arial" w:hAnsi="Arial" w:cs="Arial"/>
          <w:sz w:val="20"/>
          <w:lang w:val="es-419"/>
        </w:rPr>
        <w:tab/>
      </w:r>
      <w:r w:rsidRPr="00361C8C">
        <w:rPr>
          <w:rFonts w:ascii="Arial" w:hAnsi="Arial" w:cs="Arial"/>
          <w:sz w:val="20"/>
          <w:lang w:val="es-419"/>
        </w:rPr>
        <w:tab/>
        <w:t>Luis Emilio Soto Ardila</w:t>
      </w:r>
    </w:p>
    <w:p w14:paraId="5614A327" w14:textId="2A2A6DF8" w:rsidR="00361C8C" w:rsidRPr="00361C8C" w:rsidRDefault="00361C8C" w:rsidP="00361C8C">
      <w:pPr>
        <w:jc w:val="both"/>
        <w:rPr>
          <w:rFonts w:ascii="Arial" w:hAnsi="Arial" w:cs="Arial"/>
          <w:sz w:val="20"/>
          <w:lang w:val="es-419"/>
        </w:rPr>
      </w:pPr>
      <w:r w:rsidRPr="00361C8C">
        <w:rPr>
          <w:rFonts w:ascii="Arial" w:hAnsi="Arial" w:cs="Arial"/>
          <w:sz w:val="20"/>
          <w:lang w:val="es-419"/>
        </w:rPr>
        <w:t>Demandado:</w:t>
      </w:r>
      <w:r>
        <w:rPr>
          <w:rFonts w:ascii="Arial" w:hAnsi="Arial" w:cs="Arial"/>
          <w:sz w:val="20"/>
          <w:lang w:val="es-419"/>
        </w:rPr>
        <w:tab/>
      </w:r>
      <w:r w:rsidRPr="00361C8C">
        <w:rPr>
          <w:rFonts w:ascii="Arial" w:hAnsi="Arial" w:cs="Arial"/>
          <w:sz w:val="20"/>
          <w:lang w:val="es-419"/>
        </w:rPr>
        <w:tab/>
        <w:t>Colpensiones, Protección S.A. y Porvenir S.A.</w:t>
      </w:r>
    </w:p>
    <w:p w14:paraId="3B980010" w14:textId="38C99045" w:rsidR="00361C8C" w:rsidRPr="00361C8C" w:rsidRDefault="00361C8C" w:rsidP="00361C8C">
      <w:pPr>
        <w:jc w:val="both"/>
        <w:rPr>
          <w:rFonts w:ascii="Arial" w:hAnsi="Arial" w:cs="Arial"/>
          <w:sz w:val="20"/>
          <w:lang w:val="es-419"/>
        </w:rPr>
      </w:pPr>
      <w:r w:rsidRPr="00361C8C">
        <w:rPr>
          <w:rFonts w:ascii="Arial" w:hAnsi="Arial" w:cs="Arial"/>
          <w:sz w:val="20"/>
          <w:lang w:val="es-419"/>
        </w:rPr>
        <w:t>Juzgado de origen:</w:t>
      </w:r>
      <w:r w:rsidRPr="00361C8C">
        <w:rPr>
          <w:rFonts w:ascii="Arial" w:hAnsi="Arial" w:cs="Arial"/>
          <w:sz w:val="20"/>
          <w:lang w:val="es-419"/>
        </w:rPr>
        <w:tab/>
        <w:t>Primero Laboral del Circuito de Pereira.</w:t>
      </w:r>
    </w:p>
    <w:p w14:paraId="51474A71" w14:textId="77777777" w:rsidR="00361C8C" w:rsidRPr="00361C8C" w:rsidRDefault="00361C8C" w:rsidP="00361C8C">
      <w:pPr>
        <w:jc w:val="both"/>
        <w:rPr>
          <w:rFonts w:ascii="Arial" w:hAnsi="Arial" w:cs="Arial"/>
          <w:sz w:val="20"/>
          <w:lang w:val="es-419"/>
        </w:rPr>
      </w:pPr>
    </w:p>
    <w:p w14:paraId="36FFA8B8" w14:textId="36248A09" w:rsidR="00361C8C" w:rsidRPr="00361C8C" w:rsidRDefault="00361C8C" w:rsidP="00361C8C">
      <w:pPr>
        <w:jc w:val="both"/>
        <w:rPr>
          <w:rFonts w:ascii="Arial" w:hAnsi="Arial" w:cs="Arial"/>
          <w:b/>
          <w:bCs/>
          <w:iCs/>
          <w:sz w:val="20"/>
          <w:lang w:val="es-419" w:eastAsia="fr-FR"/>
        </w:rPr>
      </w:pPr>
      <w:r w:rsidRPr="00361C8C">
        <w:rPr>
          <w:rFonts w:ascii="Arial" w:hAnsi="Arial" w:cs="Arial"/>
          <w:b/>
          <w:bCs/>
          <w:iCs/>
          <w:sz w:val="20"/>
          <w:lang w:val="es-419" w:eastAsia="fr-FR"/>
        </w:rPr>
        <w:t>TEMAS:</w:t>
      </w:r>
      <w:r w:rsidRPr="00361C8C">
        <w:rPr>
          <w:rFonts w:ascii="Arial" w:hAnsi="Arial" w:cs="Arial"/>
          <w:b/>
          <w:bCs/>
          <w:iCs/>
          <w:sz w:val="20"/>
          <w:lang w:val="es-419" w:eastAsia="fr-FR"/>
        </w:rPr>
        <w:tab/>
      </w:r>
      <w:r w:rsidR="009E02E0" w:rsidRPr="009E02E0">
        <w:rPr>
          <w:rFonts w:ascii="Arial" w:hAnsi="Arial" w:cs="Arial"/>
          <w:b/>
          <w:sz w:val="20"/>
          <w:lang w:val="es-419"/>
        </w:rPr>
        <w:t>INEFICACIA DEL TRASLADO DE RÉGIMEN PENSIONAL / DERECHO A LA LIBRE ESCOGENCIA / VICIOS DEL CONSENTIMIENTO / CARGA PROBATORIA DEL DEMANDANTE / DEMOSTRAR QUE LA AFP INCUMPLIÓ DEBER DE BRINDARLE INFORMACIÓN ADECUADA, COMPLETA Y VERAZ / REITERACIÓN DE LA VOLUNTAD DE PERMANECER EN EL RAIS.</w:t>
      </w:r>
      <w:r w:rsidRPr="00361C8C">
        <w:rPr>
          <w:rFonts w:ascii="Arial" w:hAnsi="Arial" w:cs="Arial"/>
          <w:b/>
          <w:bCs/>
          <w:iCs/>
          <w:sz w:val="20"/>
          <w:lang w:val="es-419" w:eastAsia="fr-FR"/>
        </w:rPr>
        <w:t xml:space="preserve"> </w:t>
      </w:r>
    </w:p>
    <w:p w14:paraId="08F86241" w14:textId="77777777" w:rsidR="00361C8C" w:rsidRPr="00361C8C" w:rsidRDefault="00361C8C" w:rsidP="00361C8C">
      <w:pPr>
        <w:jc w:val="both"/>
        <w:rPr>
          <w:rFonts w:ascii="Arial" w:hAnsi="Arial" w:cs="Arial"/>
          <w:sz w:val="20"/>
          <w:lang w:val="es-419"/>
        </w:rPr>
      </w:pPr>
    </w:p>
    <w:p w14:paraId="71C8D281" w14:textId="77777777" w:rsidR="00652AF6" w:rsidRPr="00652AF6" w:rsidRDefault="00652AF6" w:rsidP="00652AF6">
      <w:pPr>
        <w:jc w:val="both"/>
        <w:rPr>
          <w:rFonts w:ascii="Arial" w:hAnsi="Arial" w:cs="Arial"/>
          <w:sz w:val="20"/>
          <w:lang w:val="es-419"/>
        </w:rPr>
      </w:pPr>
      <w:r w:rsidRPr="00652AF6">
        <w:rPr>
          <w:rFonts w:ascii="Arial" w:hAnsi="Arial" w:cs="Arial"/>
          <w:sz w:val="20"/>
          <w:lang w:val="es-419"/>
        </w:rPr>
        <w:t>… la intelección que se tiene por la sala, radica en que el literal b) del artículo 13 de la Ley 100/93 establece que la escogencia de cualquiera de los regímenes pensionales contemplados en dicha ley es libre y voluntaria por parte del afiliado; consentimiento que se manifiesta por escrito al momento del diligenciamiento de la vinculación o traslado, situación que de desconocerse acarrea las sanciones previstas en el inciso 1º del artículo 271 ibídem, consistentes en multas pecuniarias, además y de vital importancia, implica dejar sin efecto la afiliación, en cuyo caso el trabajador podrá nuevamente elegir su régimen pensional en forma libre y espontánea, sin que por esto recobre vigencia la afiliación anterior, pues ello no es el efecto jurídico de la ineficacia que trae el canon citado.</w:t>
      </w:r>
    </w:p>
    <w:p w14:paraId="4040891D" w14:textId="77777777" w:rsidR="00652AF6" w:rsidRPr="00652AF6" w:rsidRDefault="00652AF6" w:rsidP="00652AF6">
      <w:pPr>
        <w:jc w:val="both"/>
        <w:rPr>
          <w:rFonts w:ascii="Arial" w:hAnsi="Arial" w:cs="Arial"/>
          <w:sz w:val="20"/>
          <w:lang w:val="es-419"/>
        </w:rPr>
      </w:pPr>
    </w:p>
    <w:p w14:paraId="06D8F248" w14:textId="77777777" w:rsidR="00652AF6" w:rsidRPr="00652AF6" w:rsidRDefault="00652AF6" w:rsidP="00652AF6">
      <w:pPr>
        <w:jc w:val="both"/>
        <w:rPr>
          <w:rFonts w:ascii="Arial" w:hAnsi="Arial" w:cs="Arial"/>
          <w:sz w:val="20"/>
          <w:lang w:val="es-419"/>
        </w:rPr>
      </w:pPr>
      <w:r w:rsidRPr="00652AF6">
        <w:rPr>
          <w:rFonts w:ascii="Arial" w:hAnsi="Arial" w:cs="Arial"/>
          <w:sz w:val="20"/>
          <w:lang w:val="es-419"/>
        </w:rPr>
        <w:t>Ahora bien, el desconocimiento del derecho de libre y voluntaria elección de régimen se manifiesta cuando existe una disconformidad entre la voluntad interna del trabajador y la declaración o manifestación que de ésta haga a su interlocutor en el momento de elegir el régimen pensional</w:t>
      </w:r>
    </w:p>
    <w:p w14:paraId="4BD37857" w14:textId="77777777" w:rsidR="00652AF6" w:rsidRPr="00652AF6" w:rsidRDefault="00652AF6" w:rsidP="00652AF6">
      <w:pPr>
        <w:jc w:val="both"/>
        <w:rPr>
          <w:rFonts w:ascii="Arial" w:hAnsi="Arial" w:cs="Arial"/>
          <w:sz w:val="20"/>
          <w:lang w:val="es-419"/>
        </w:rPr>
      </w:pPr>
    </w:p>
    <w:p w14:paraId="3BDE0F10" w14:textId="0ABC86B0" w:rsidR="00361C8C" w:rsidRDefault="00652AF6" w:rsidP="00652AF6">
      <w:pPr>
        <w:jc w:val="both"/>
        <w:rPr>
          <w:rFonts w:ascii="Arial" w:hAnsi="Arial" w:cs="Arial"/>
          <w:sz w:val="20"/>
          <w:lang w:val="es-419"/>
        </w:rPr>
      </w:pPr>
      <w:r w:rsidRPr="00652AF6">
        <w:rPr>
          <w:rFonts w:ascii="Arial" w:hAnsi="Arial" w:cs="Arial"/>
          <w:sz w:val="20"/>
          <w:lang w:val="es-419"/>
        </w:rPr>
        <w:t>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 (…)</w:t>
      </w:r>
    </w:p>
    <w:p w14:paraId="48C289B0" w14:textId="77777777" w:rsidR="00652AF6" w:rsidRDefault="00652AF6" w:rsidP="00652AF6">
      <w:pPr>
        <w:jc w:val="both"/>
        <w:rPr>
          <w:rFonts w:ascii="Arial" w:hAnsi="Arial" w:cs="Arial"/>
          <w:sz w:val="20"/>
          <w:lang w:val="es-419"/>
        </w:rPr>
      </w:pPr>
    </w:p>
    <w:p w14:paraId="6A28FB41" w14:textId="20A93CEF" w:rsidR="00652AF6" w:rsidRDefault="00652AF6" w:rsidP="00652AF6">
      <w:pPr>
        <w:jc w:val="both"/>
        <w:rPr>
          <w:rFonts w:ascii="Arial" w:hAnsi="Arial" w:cs="Arial"/>
          <w:sz w:val="20"/>
          <w:lang w:val="es-CO"/>
        </w:rPr>
      </w:pPr>
      <w:r w:rsidRPr="00652AF6">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adecuada, completa y veraz para tomar una decisión bajo el principio de la libertad informada</w:t>
      </w:r>
      <w:r>
        <w:rPr>
          <w:rFonts w:ascii="Arial" w:hAnsi="Arial" w:cs="Arial"/>
          <w:sz w:val="20"/>
          <w:lang w:val="es-CO"/>
        </w:rPr>
        <w:t>…</w:t>
      </w:r>
    </w:p>
    <w:p w14:paraId="1793705F" w14:textId="77777777" w:rsidR="00652AF6" w:rsidRDefault="00652AF6" w:rsidP="00652AF6">
      <w:pPr>
        <w:jc w:val="both"/>
        <w:rPr>
          <w:rFonts w:ascii="Arial" w:hAnsi="Arial" w:cs="Arial"/>
          <w:sz w:val="20"/>
          <w:lang w:val="es-CO"/>
        </w:rPr>
      </w:pPr>
    </w:p>
    <w:p w14:paraId="0E4AB44C" w14:textId="30B4DBFD" w:rsidR="00652AF6" w:rsidRDefault="009E02E0" w:rsidP="00652AF6">
      <w:pPr>
        <w:jc w:val="both"/>
        <w:rPr>
          <w:rFonts w:ascii="Arial" w:hAnsi="Arial" w:cs="Arial"/>
          <w:sz w:val="20"/>
          <w:lang w:val="es-CO"/>
        </w:rPr>
      </w:pPr>
      <w:r>
        <w:rPr>
          <w:rFonts w:ascii="Arial" w:hAnsi="Arial" w:cs="Arial"/>
          <w:sz w:val="20"/>
          <w:lang w:val="es-CO"/>
        </w:rPr>
        <w:t xml:space="preserve">… </w:t>
      </w:r>
      <w:r w:rsidRPr="009E02E0">
        <w:rPr>
          <w:rFonts w:ascii="Arial" w:hAnsi="Arial" w:cs="Arial"/>
          <w:sz w:val="20"/>
          <w:lang w:val="es-CO"/>
        </w:rPr>
        <w:t xml:space="preserve">es preciso advertir que Luis Emilio Soto Ardila no solo suscribió el formulario de vinculación al RAIS a través de </w:t>
      </w:r>
      <w:proofErr w:type="spellStart"/>
      <w:r w:rsidRPr="009E02E0">
        <w:rPr>
          <w:rFonts w:ascii="Arial" w:hAnsi="Arial" w:cs="Arial"/>
          <w:sz w:val="20"/>
          <w:lang w:val="es-CO"/>
        </w:rPr>
        <w:t>Colfondos</w:t>
      </w:r>
      <w:proofErr w:type="spellEnd"/>
      <w:r w:rsidRPr="009E02E0">
        <w:rPr>
          <w:rFonts w:ascii="Arial" w:hAnsi="Arial" w:cs="Arial"/>
          <w:sz w:val="20"/>
          <w:lang w:val="es-CO"/>
        </w:rPr>
        <w:t xml:space="preserve"> S.A. en el año 1995, que cumplió los lineamientos fijados en la ley, sino que reiteró su voluntad de permanencia en dicho régimen, al trasladarse nuevamente a otra AFP del mismo régimen, esta vez a Colpatria – hoy Porvenir S.A. en el año 2000 (</w:t>
      </w:r>
      <w:proofErr w:type="spellStart"/>
      <w:r w:rsidRPr="009E02E0">
        <w:rPr>
          <w:rFonts w:ascii="Arial" w:hAnsi="Arial" w:cs="Arial"/>
          <w:sz w:val="20"/>
          <w:lang w:val="es-CO"/>
        </w:rPr>
        <w:t>fl</w:t>
      </w:r>
      <w:proofErr w:type="spellEnd"/>
      <w:r w:rsidRPr="009E02E0">
        <w:rPr>
          <w:rFonts w:ascii="Arial" w:hAnsi="Arial" w:cs="Arial"/>
          <w:sz w:val="20"/>
          <w:lang w:val="es-CO"/>
        </w:rPr>
        <w:t>. 15 c. 1), calenda para la cual contaba con 40 años de edad, es decir, que todavía podía optar por cambiarse para el RPM por no estar afectado por la restricción contenida en el artículo 2º de la Ley 797/2003, de lo que se infiere que estaba conforme con los beneficios que venía disfrutando desde el año 1995 cuando ingresó a él y que conocía; pues lo que se espera de una persona que recibe la información por primera vez, al efectuar el traslado entre AFP privadas y estar inconforme con ella, es que abandone tal régimen y retorne al RPM</w:t>
      </w:r>
      <w:r>
        <w:rPr>
          <w:rFonts w:ascii="Arial" w:hAnsi="Arial" w:cs="Arial"/>
          <w:sz w:val="20"/>
          <w:lang w:val="es-CO"/>
        </w:rPr>
        <w:t>…</w:t>
      </w:r>
    </w:p>
    <w:p w14:paraId="256843FE" w14:textId="77777777" w:rsidR="009E02E0" w:rsidRDefault="009E02E0" w:rsidP="00652AF6">
      <w:pPr>
        <w:jc w:val="both"/>
        <w:rPr>
          <w:rFonts w:ascii="Arial" w:hAnsi="Arial" w:cs="Arial"/>
          <w:sz w:val="20"/>
          <w:lang w:val="es-CO"/>
        </w:rPr>
      </w:pPr>
    </w:p>
    <w:p w14:paraId="2C051AE7" w14:textId="10130962" w:rsidR="009E02E0" w:rsidRDefault="009E02E0" w:rsidP="00652AF6">
      <w:pPr>
        <w:jc w:val="both"/>
        <w:rPr>
          <w:rFonts w:ascii="Arial" w:hAnsi="Arial" w:cs="Arial"/>
          <w:sz w:val="20"/>
          <w:lang w:val="es-CO"/>
        </w:rPr>
      </w:pPr>
      <w:r w:rsidRPr="009E02E0">
        <w:rPr>
          <w:rFonts w:ascii="Arial" w:hAnsi="Arial" w:cs="Arial"/>
          <w:sz w:val="20"/>
          <w:lang w:val="es-CO"/>
        </w:rPr>
        <w:t>Puestas de ese modo las cosas, se desprende que la información suministrada al demandante fue clara, completa y veraz, por lo que Luis Emilio Soto Ardila no incurrió en algún error al escoger el RAIS en el año 1995 y permanecer en él.</w:t>
      </w:r>
    </w:p>
    <w:p w14:paraId="178A8CA9" w14:textId="77777777" w:rsidR="00913E66" w:rsidRDefault="00913E66" w:rsidP="00652AF6">
      <w:pPr>
        <w:jc w:val="both"/>
        <w:rPr>
          <w:rFonts w:ascii="Arial" w:hAnsi="Arial" w:cs="Arial"/>
          <w:sz w:val="20"/>
          <w:lang w:val="es-CO"/>
        </w:rPr>
      </w:pPr>
    </w:p>
    <w:p w14:paraId="57CF621F" w14:textId="77777777" w:rsidR="00913E66" w:rsidRPr="009F6B6D" w:rsidRDefault="00913E66" w:rsidP="00913E66">
      <w:pPr>
        <w:overflowPunct w:val="0"/>
        <w:autoSpaceDE w:val="0"/>
        <w:autoSpaceDN w:val="0"/>
        <w:adjustRightInd w:val="0"/>
        <w:jc w:val="both"/>
        <w:textAlignment w:val="baseline"/>
        <w:rPr>
          <w:rFonts w:ascii="Arial" w:hAnsi="Arial" w:cs="Arial"/>
          <w:b/>
          <w:color w:val="FF0000"/>
          <w:sz w:val="20"/>
          <w:lang w:val="es-CO"/>
        </w:rPr>
      </w:pPr>
      <w:r>
        <w:rPr>
          <w:rFonts w:ascii="Arial" w:hAnsi="Arial" w:cs="Arial"/>
          <w:b/>
          <w:color w:val="FF0000"/>
          <w:sz w:val="20"/>
          <w:lang w:val="es-CO"/>
        </w:rPr>
        <w:t xml:space="preserve">ACLARACIÓN </w:t>
      </w:r>
      <w:r w:rsidRPr="009F6B6D">
        <w:rPr>
          <w:rFonts w:ascii="Arial" w:hAnsi="Arial" w:cs="Arial"/>
          <w:b/>
          <w:color w:val="FF0000"/>
          <w:sz w:val="20"/>
          <w:lang w:val="es-CO"/>
        </w:rPr>
        <w:t>DE VOTO: DOCTOR JULIO CÉSAR SALAZAR MUÑOZ</w:t>
      </w:r>
    </w:p>
    <w:p w14:paraId="49F41594" w14:textId="77777777" w:rsidR="00913E66" w:rsidRDefault="00913E66" w:rsidP="00913E66">
      <w:pPr>
        <w:overflowPunct w:val="0"/>
        <w:autoSpaceDE w:val="0"/>
        <w:autoSpaceDN w:val="0"/>
        <w:adjustRightInd w:val="0"/>
        <w:jc w:val="both"/>
        <w:textAlignment w:val="baseline"/>
        <w:rPr>
          <w:rFonts w:ascii="Arial" w:hAnsi="Arial" w:cs="Arial"/>
          <w:sz w:val="20"/>
          <w:lang w:val="es-419"/>
        </w:rPr>
      </w:pPr>
    </w:p>
    <w:p w14:paraId="33ECB232" w14:textId="77777777" w:rsidR="00913E66" w:rsidRDefault="00913E66" w:rsidP="00913E66">
      <w:pPr>
        <w:overflowPunct w:val="0"/>
        <w:autoSpaceDE w:val="0"/>
        <w:autoSpaceDN w:val="0"/>
        <w:adjustRightInd w:val="0"/>
        <w:jc w:val="both"/>
        <w:textAlignment w:val="baseline"/>
        <w:rPr>
          <w:rFonts w:ascii="Arial" w:hAnsi="Arial" w:cs="Arial"/>
          <w:sz w:val="20"/>
          <w:lang w:val="es-419"/>
        </w:rPr>
      </w:pPr>
      <w:r w:rsidRPr="0090319C">
        <w:rPr>
          <w:rFonts w:ascii="Arial" w:hAnsi="Arial" w:cs="Arial"/>
          <w:sz w:val="20"/>
          <w:lang w:val="es-419"/>
        </w:rPr>
        <w:t>Estoy de acuerdo con la decisión de revocar la sentencia de primera instancia que accedió a la declaración de ineficacia del traslado y aunque coincido con la mayor parte de la argumentación que para llegar a tal solución fue expuesta en la providencia, me parece necesario aclarar las razones que me llevan a tal conclusión.</w:t>
      </w:r>
    </w:p>
    <w:p w14:paraId="1A7D036E" w14:textId="77777777" w:rsidR="00913E66" w:rsidRDefault="00913E66" w:rsidP="00913E66">
      <w:pPr>
        <w:overflowPunct w:val="0"/>
        <w:autoSpaceDE w:val="0"/>
        <w:autoSpaceDN w:val="0"/>
        <w:adjustRightInd w:val="0"/>
        <w:jc w:val="both"/>
        <w:textAlignment w:val="baseline"/>
        <w:rPr>
          <w:rFonts w:ascii="Arial" w:hAnsi="Arial" w:cs="Arial"/>
          <w:sz w:val="20"/>
          <w:lang w:val="es-419"/>
        </w:rPr>
      </w:pPr>
    </w:p>
    <w:p w14:paraId="48F94F94"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w:t>
      </w:r>
      <w:r w:rsidRPr="006F6038">
        <w:rPr>
          <w:rFonts w:ascii="Arial" w:hAnsi="Arial" w:cs="Arial"/>
          <w:sz w:val="20"/>
          <w:lang w:val="es-419"/>
        </w:rPr>
        <w:lastRenderedPageBreak/>
        <w:t xml:space="preserve">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1F6EB895"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p>
    <w:p w14:paraId="75AC0178"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62C15486"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p>
    <w:p w14:paraId="2DD4834E"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4CBE0D05"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p>
    <w:p w14:paraId="32064FCF"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37308D9E"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p>
    <w:p w14:paraId="5CB5C2EF" w14:textId="77777777" w:rsidR="00913E66" w:rsidRPr="006F6038" w:rsidRDefault="00913E66" w:rsidP="00913E66">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1.</w:t>
      </w:r>
      <w:r w:rsidRPr="006F6038">
        <w:rPr>
          <w:rFonts w:ascii="Arial" w:hAnsi="Arial" w:cs="Arial"/>
          <w:sz w:val="20"/>
          <w:lang w:val="es-419"/>
        </w:rPr>
        <w:tab/>
        <w:t>CONFIGURACIÓN LEGAL DUAL VIGENTE DEL SISTEMA PENSIONAL</w:t>
      </w:r>
    </w:p>
    <w:p w14:paraId="4404312D" w14:textId="77777777" w:rsidR="00913E66" w:rsidRPr="006F6038" w:rsidRDefault="00913E66" w:rsidP="00913E66">
      <w:pPr>
        <w:overflowPunct w:val="0"/>
        <w:autoSpaceDE w:val="0"/>
        <w:autoSpaceDN w:val="0"/>
        <w:adjustRightInd w:val="0"/>
        <w:ind w:left="705" w:hanging="705"/>
        <w:jc w:val="both"/>
        <w:textAlignment w:val="baseline"/>
        <w:rPr>
          <w:rFonts w:ascii="Arial" w:hAnsi="Arial" w:cs="Arial"/>
          <w:sz w:val="20"/>
          <w:lang w:val="es-419"/>
        </w:rPr>
      </w:pPr>
      <w:r w:rsidRPr="006F6038">
        <w:rPr>
          <w:rFonts w:ascii="Arial" w:hAnsi="Arial" w:cs="Arial"/>
          <w:sz w:val="20"/>
          <w:lang w:val="es-419"/>
        </w:rPr>
        <w:t>2.</w:t>
      </w:r>
      <w:r w:rsidRPr="006F6038">
        <w:rPr>
          <w:rFonts w:ascii="Arial" w:hAnsi="Arial" w:cs="Arial"/>
          <w:sz w:val="20"/>
          <w:lang w:val="es-419"/>
        </w:rPr>
        <w:tab/>
        <w:t>RAZÓN DE SER DE LA LIMITACIÓN DE TRASLADO CUANDO FALTEN MENOS DE 10 AÑOS. SENTENCIA C-1024 DE 2004</w:t>
      </w:r>
    </w:p>
    <w:p w14:paraId="6FDF69D4" w14:textId="77777777" w:rsidR="00913E66" w:rsidRPr="00CE7323" w:rsidRDefault="00913E66" w:rsidP="00913E66">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3.</w:t>
      </w:r>
      <w:r w:rsidRPr="006F6038">
        <w:rPr>
          <w:rFonts w:ascii="Arial" w:hAnsi="Arial" w:cs="Arial"/>
          <w:sz w:val="20"/>
          <w:lang w:val="es-419"/>
        </w:rPr>
        <w:tab/>
        <w:t>LOS ACTOS JURÍDICOS Y SU VALIDEZ</w:t>
      </w:r>
    </w:p>
    <w:p w14:paraId="50F49C2C" w14:textId="77777777" w:rsidR="00361C8C" w:rsidRPr="00361C8C" w:rsidRDefault="00361C8C" w:rsidP="00361C8C">
      <w:pPr>
        <w:jc w:val="both"/>
        <w:rPr>
          <w:rFonts w:ascii="Arial" w:hAnsi="Arial" w:cs="Arial"/>
          <w:sz w:val="20"/>
          <w:lang w:val="es-419"/>
        </w:rPr>
      </w:pPr>
    </w:p>
    <w:p w14:paraId="60EF05CB" w14:textId="77777777" w:rsidR="00361C8C" w:rsidRDefault="00361C8C" w:rsidP="00361C8C">
      <w:pPr>
        <w:jc w:val="both"/>
        <w:rPr>
          <w:rFonts w:ascii="Arial" w:hAnsi="Arial" w:cs="Arial"/>
          <w:sz w:val="20"/>
          <w:lang w:val="es-ES"/>
        </w:rPr>
      </w:pPr>
    </w:p>
    <w:p w14:paraId="763C46B5" w14:textId="77777777" w:rsidR="00553C21" w:rsidRPr="00361C8C" w:rsidRDefault="00553C21" w:rsidP="00361C8C">
      <w:pPr>
        <w:jc w:val="both"/>
        <w:rPr>
          <w:rFonts w:ascii="Arial" w:hAnsi="Arial" w:cs="Arial"/>
          <w:sz w:val="20"/>
          <w:lang w:val="es-ES"/>
        </w:rPr>
      </w:pPr>
    </w:p>
    <w:p w14:paraId="2C420542" w14:textId="77777777" w:rsidR="00A206E1" w:rsidRPr="00BC3C0F" w:rsidRDefault="00A206E1" w:rsidP="00A206E1">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253010C2" wp14:editId="3FFFB07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7BD0733D" w14:textId="77777777" w:rsidR="00A206E1" w:rsidRPr="00361C8C" w:rsidRDefault="00A206E1" w:rsidP="008C7C05">
      <w:pPr>
        <w:widowControl w:val="0"/>
        <w:spacing w:line="288" w:lineRule="auto"/>
        <w:jc w:val="center"/>
        <w:rPr>
          <w:rFonts w:ascii="Arial" w:hAnsi="Arial" w:cs="Arial"/>
          <w:b/>
          <w:bCs/>
          <w:color w:val="000000"/>
          <w:kern w:val="28"/>
          <w:szCs w:val="24"/>
        </w:rPr>
      </w:pPr>
      <w:r w:rsidRPr="00361C8C">
        <w:rPr>
          <w:rFonts w:ascii="Arial" w:hAnsi="Arial" w:cs="Arial"/>
          <w:b/>
          <w:bCs/>
          <w:color w:val="000000"/>
          <w:kern w:val="28"/>
          <w:szCs w:val="24"/>
        </w:rPr>
        <w:t>RAMA JUDICIAL DEL PODER PÚBLICO</w:t>
      </w:r>
    </w:p>
    <w:p w14:paraId="06E1E932" w14:textId="77777777" w:rsidR="00A206E1" w:rsidRPr="00361C8C" w:rsidRDefault="00A206E1" w:rsidP="008C7C05">
      <w:pPr>
        <w:widowControl w:val="0"/>
        <w:spacing w:line="288" w:lineRule="auto"/>
        <w:jc w:val="center"/>
        <w:rPr>
          <w:rFonts w:ascii="Arial" w:hAnsi="Arial" w:cs="Arial"/>
          <w:b/>
          <w:bCs/>
          <w:color w:val="000000"/>
          <w:kern w:val="28"/>
          <w:szCs w:val="24"/>
        </w:rPr>
      </w:pPr>
      <w:r w:rsidRPr="00361C8C">
        <w:rPr>
          <w:rFonts w:ascii="Arial" w:hAnsi="Arial" w:cs="Arial"/>
          <w:b/>
          <w:bCs/>
          <w:color w:val="000000"/>
          <w:kern w:val="28"/>
          <w:szCs w:val="24"/>
        </w:rPr>
        <w:t>TRIBUNAL SUPERIOR DEL DISTRITO JUDICIAL DE PEREIRA</w:t>
      </w:r>
    </w:p>
    <w:p w14:paraId="23BBC45C" w14:textId="74D3FD5C" w:rsidR="00A206E1" w:rsidRPr="00361C8C" w:rsidRDefault="00A206E1" w:rsidP="008C7C05">
      <w:pPr>
        <w:widowControl w:val="0"/>
        <w:spacing w:line="288" w:lineRule="auto"/>
        <w:jc w:val="center"/>
        <w:rPr>
          <w:rFonts w:ascii="Arial" w:hAnsi="Arial" w:cs="Arial"/>
          <w:b/>
          <w:bCs/>
          <w:color w:val="000000"/>
          <w:kern w:val="28"/>
          <w:szCs w:val="24"/>
        </w:rPr>
      </w:pPr>
      <w:r w:rsidRPr="00361C8C">
        <w:rPr>
          <w:rFonts w:ascii="Arial" w:hAnsi="Arial" w:cs="Arial"/>
          <w:b/>
          <w:bCs/>
          <w:color w:val="000000"/>
          <w:kern w:val="28"/>
          <w:szCs w:val="24"/>
        </w:rPr>
        <w:t>SALA</w:t>
      </w:r>
      <w:r w:rsidR="00CA6CBD" w:rsidRPr="00361C8C">
        <w:rPr>
          <w:rFonts w:ascii="Arial" w:hAnsi="Arial" w:cs="Arial"/>
          <w:b/>
          <w:bCs/>
          <w:color w:val="000000"/>
          <w:kern w:val="28"/>
          <w:szCs w:val="24"/>
        </w:rPr>
        <w:t xml:space="preserve"> SEGUNDA</w:t>
      </w:r>
      <w:r w:rsidRPr="00361C8C">
        <w:rPr>
          <w:rFonts w:ascii="Arial" w:hAnsi="Arial" w:cs="Arial"/>
          <w:b/>
          <w:bCs/>
          <w:color w:val="000000"/>
          <w:kern w:val="28"/>
          <w:szCs w:val="24"/>
        </w:rPr>
        <w:t xml:space="preserve"> LABORAL</w:t>
      </w:r>
    </w:p>
    <w:p w14:paraId="7568C2CD" w14:textId="77777777" w:rsidR="00A206E1" w:rsidRPr="00361C8C" w:rsidRDefault="00A206E1" w:rsidP="008C7C05">
      <w:pPr>
        <w:widowControl w:val="0"/>
        <w:spacing w:line="288" w:lineRule="auto"/>
        <w:rPr>
          <w:rFonts w:ascii="Arial" w:hAnsi="Arial" w:cs="Arial"/>
          <w:bCs/>
          <w:color w:val="000000"/>
          <w:kern w:val="28"/>
          <w:szCs w:val="24"/>
        </w:rPr>
      </w:pPr>
    </w:p>
    <w:p w14:paraId="4F063A51" w14:textId="77777777" w:rsidR="00A206E1" w:rsidRPr="00BC3C0F" w:rsidRDefault="00A206E1" w:rsidP="008C7C05">
      <w:pPr>
        <w:spacing w:line="288" w:lineRule="auto"/>
        <w:jc w:val="center"/>
        <w:rPr>
          <w:rFonts w:ascii="Arial" w:hAnsi="Arial" w:cs="Arial"/>
          <w:color w:val="000000"/>
          <w:szCs w:val="24"/>
        </w:rPr>
      </w:pPr>
      <w:r w:rsidRPr="00BC3C0F">
        <w:rPr>
          <w:rFonts w:ascii="Arial" w:hAnsi="Arial" w:cs="Arial"/>
          <w:color w:val="000000"/>
          <w:szCs w:val="24"/>
        </w:rPr>
        <w:t>Magistrada Sustanciadora</w:t>
      </w:r>
    </w:p>
    <w:p w14:paraId="3CF81B67" w14:textId="77777777" w:rsidR="00A206E1" w:rsidRPr="00BC3C0F" w:rsidRDefault="00A206E1" w:rsidP="008C7C05">
      <w:pPr>
        <w:widowControl w:val="0"/>
        <w:spacing w:line="288" w:lineRule="auto"/>
        <w:jc w:val="center"/>
        <w:rPr>
          <w:rFonts w:ascii="Arial" w:hAnsi="Arial" w:cs="Arial"/>
          <w:b/>
          <w:bCs/>
          <w:color w:val="000000"/>
          <w:kern w:val="28"/>
          <w:szCs w:val="24"/>
        </w:rPr>
      </w:pPr>
      <w:r w:rsidRPr="00BC3C0F">
        <w:rPr>
          <w:rFonts w:ascii="Arial" w:hAnsi="Arial" w:cs="Arial"/>
          <w:b/>
          <w:bCs/>
          <w:color w:val="000000"/>
          <w:kern w:val="28"/>
          <w:szCs w:val="24"/>
        </w:rPr>
        <w:t>OLGA LUCÍA HOYOS SEPÚLVEDA</w:t>
      </w:r>
    </w:p>
    <w:p w14:paraId="1540206D" w14:textId="77777777" w:rsidR="00A206E1" w:rsidRPr="00361C8C" w:rsidRDefault="00A206E1" w:rsidP="008C7C05">
      <w:pPr>
        <w:widowControl w:val="0"/>
        <w:spacing w:line="288" w:lineRule="auto"/>
        <w:rPr>
          <w:rFonts w:ascii="Arial" w:hAnsi="Arial" w:cs="Arial"/>
          <w:bCs/>
          <w:color w:val="000000"/>
          <w:kern w:val="28"/>
          <w:szCs w:val="24"/>
        </w:rPr>
      </w:pPr>
    </w:p>
    <w:p w14:paraId="0EEFFAC6" w14:textId="6735EFDB" w:rsidR="00D636F8" w:rsidRPr="00BC3C0F" w:rsidRDefault="00D636F8" w:rsidP="008C7C05">
      <w:pPr>
        <w:spacing w:line="288" w:lineRule="auto"/>
        <w:contextualSpacing/>
        <w:jc w:val="both"/>
        <w:rPr>
          <w:rFonts w:ascii="Arial" w:hAnsi="Arial" w:cs="Arial"/>
          <w:bCs/>
          <w:szCs w:val="24"/>
        </w:rPr>
      </w:pPr>
      <w:r w:rsidRPr="00BC3C0F">
        <w:rPr>
          <w:rFonts w:ascii="Arial" w:eastAsia="Calibri" w:hAnsi="Arial" w:cs="Arial"/>
          <w:szCs w:val="24"/>
          <w:lang w:eastAsia="en-US"/>
        </w:rPr>
        <w:t xml:space="preserve">En Pereira, </w:t>
      </w:r>
      <w:r w:rsidR="00446B63" w:rsidRPr="00BC3C0F">
        <w:rPr>
          <w:rFonts w:ascii="Arial" w:eastAsia="Calibri" w:hAnsi="Arial" w:cs="Arial"/>
          <w:szCs w:val="24"/>
          <w:lang w:eastAsia="en-US"/>
        </w:rPr>
        <w:t xml:space="preserve">a </w:t>
      </w:r>
      <w:r w:rsidR="00CA6CBD" w:rsidRPr="00BC3C0F">
        <w:rPr>
          <w:rFonts w:ascii="Arial" w:eastAsia="Calibri" w:hAnsi="Arial" w:cs="Arial"/>
          <w:szCs w:val="24"/>
          <w:lang w:eastAsia="en-US"/>
        </w:rPr>
        <w:t xml:space="preserve">los </w:t>
      </w:r>
      <w:r w:rsidR="00B43299">
        <w:rPr>
          <w:rFonts w:ascii="Arial" w:eastAsia="Calibri" w:hAnsi="Arial" w:cs="Arial"/>
          <w:szCs w:val="24"/>
          <w:lang w:eastAsia="en-US"/>
        </w:rPr>
        <w:t>cuatro</w:t>
      </w:r>
      <w:r w:rsidR="00446B63" w:rsidRPr="00BC3C0F">
        <w:rPr>
          <w:rFonts w:ascii="Arial" w:eastAsia="Calibri" w:hAnsi="Arial" w:cs="Arial"/>
          <w:szCs w:val="24"/>
          <w:lang w:eastAsia="en-US"/>
        </w:rPr>
        <w:t xml:space="preserve"> </w:t>
      </w:r>
      <w:r w:rsidR="00AD05E0" w:rsidRPr="00BC3C0F">
        <w:rPr>
          <w:rFonts w:ascii="Arial" w:eastAsia="Calibri" w:hAnsi="Arial" w:cs="Arial"/>
          <w:szCs w:val="24"/>
          <w:lang w:eastAsia="en-US"/>
        </w:rPr>
        <w:t>(</w:t>
      </w:r>
      <w:r w:rsidR="00B43299">
        <w:rPr>
          <w:rFonts w:ascii="Arial" w:eastAsia="Calibri" w:hAnsi="Arial" w:cs="Arial"/>
          <w:szCs w:val="24"/>
          <w:lang w:eastAsia="en-US"/>
        </w:rPr>
        <w:t>04</w:t>
      </w:r>
      <w:r w:rsidRPr="00BC3C0F">
        <w:rPr>
          <w:rFonts w:ascii="Arial" w:eastAsia="Calibri" w:hAnsi="Arial" w:cs="Arial"/>
          <w:szCs w:val="24"/>
          <w:lang w:eastAsia="en-US"/>
        </w:rPr>
        <w:t>) día</w:t>
      </w:r>
      <w:r w:rsidR="00446B63" w:rsidRPr="00BC3C0F">
        <w:rPr>
          <w:rFonts w:ascii="Arial" w:eastAsia="Calibri" w:hAnsi="Arial" w:cs="Arial"/>
          <w:szCs w:val="24"/>
          <w:lang w:eastAsia="en-US"/>
        </w:rPr>
        <w:t>s</w:t>
      </w:r>
      <w:r w:rsidRPr="00BC3C0F">
        <w:rPr>
          <w:rFonts w:ascii="Arial" w:eastAsia="Calibri" w:hAnsi="Arial" w:cs="Arial"/>
          <w:szCs w:val="24"/>
          <w:lang w:eastAsia="en-US"/>
        </w:rPr>
        <w:t xml:space="preserve"> del mes de </w:t>
      </w:r>
      <w:r w:rsidR="00B43299">
        <w:rPr>
          <w:rFonts w:ascii="Arial" w:eastAsia="Calibri" w:hAnsi="Arial" w:cs="Arial"/>
          <w:szCs w:val="24"/>
          <w:lang w:eastAsia="en-US"/>
        </w:rPr>
        <w:t>junio</w:t>
      </w:r>
      <w:r w:rsidR="00223A61" w:rsidRPr="00BC3C0F">
        <w:rPr>
          <w:rFonts w:ascii="Arial" w:eastAsia="Calibri" w:hAnsi="Arial" w:cs="Arial"/>
          <w:szCs w:val="24"/>
          <w:lang w:eastAsia="en-US"/>
        </w:rPr>
        <w:t xml:space="preserve"> </w:t>
      </w:r>
      <w:r w:rsidRPr="00BC3C0F">
        <w:rPr>
          <w:rFonts w:ascii="Arial" w:eastAsia="Calibri" w:hAnsi="Arial" w:cs="Arial"/>
          <w:szCs w:val="24"/>
          <w:lang w:eastAsia="en-US"/>
        </w:rPr>
        <w:t>de dos mil dieci</w:t>
      </w:r>
      <w:r w:rsidR="00774220" w:rsidRPr="00BC3C0F">
        <w:rPr>
          <w:rFonts w:ascii="Arial" w:eastAsia="Calibri" w:hAnsi="Arial" w:cs="Arial"/>
          <w:szCs w:val="24"/>
          <w:lang w:eastAsia="en-US"/>
        </w:rPr>
        <w:t xml:space="preserve">nueve </w:t>
      </w:r>
      <w:r w:rsidRPr="00BC3C0F">
        <w:rPr>
          <w:rFonts w:ascii="Arial" w:eastAsia="Calibri" w:hAnsi="Arial" w:cs="Arial"/>
          <w:szCs w:val="24"/>
          <w:lang w:eastAsia="en-US"/>
        </w:rPr>
        <w:t>(201</w:t>
      </w:r>
      <w:r w:rsidR="00774220" w:rsidRPr="00BC3C0F">
        <w:rPr>
          <w:rFonts w:ascii="Arial" w:eastAsia="Calibri" w:hAnsi="Arial" w:cs="Arial"/>
          <w:szCs w:val="24"/>
          <w:lang w:eastAsia="en-US"/>
        </w:rPr>
        <w:t>9</w:t>
      </w:r>
      <w:r w:rsidRPr="00BC3C0F">
        <w:rPr>
          <w:rFonts w:ascii="Arial" w:eastAsia="Calibri" w:hAnsi="Arial" w:cs="Arial"/>
          <w:szCs w:val="24"/>
          <w:lang w:eastAsia="en-US"/>
        </w:rPr>
        <w:t xml:space="preserve">), siendo las </w:t>
      </w:r>
      <w:r w:rsidR="001E6A00">
        <w:rPr>
          <w:rFonts w:ascii="Arial" w:eastAsia="Calibri" w:hAnsi="Arial" w:cs="Arial"/>
          <w:szCs w:val="24"/>
          <w:lang w:eastAsia="en-US"/>
        </w:rPr>
        <w:t>nueve de</w:t>
      </w:r>
      <w:r w:rsidR="00501B88" w:rsidRPr="00BC3C0F">
        <w:rPr>
          <w:rFonts w:ascii="Arial" w:eastAsia="Calibri" w:hAnsi="Arial" w:cs="Arial"/>
          <w:szCs w:val="24"/>
          <w:lang w:eastAsia="en-US"/>
        </w:rPr>
        <w:t xml:space="preserve"> la mañana</w:t>
      </w:r>
      <w:r w:rsidR="00B24407" w:rsidRPr="00BC3C0F">
        <w:rPr>
          <w:rFonts w:ascii="Arial" w:eastAsia="Calibri" w:hAnsi="Arial" w:cs="Arial"/>
          <w:szCs w:val="24"/>
          <w:lang w:eastAsia="en-US"/>
        </w:rPr>
        <w:t xml:space="preserve"> </w:t>
      </w:r>
      <w:r w:rsidRPr="00BC3C0F">
        <w:rPr>
          <w:rFonts w:ascii="Arial" w:eastAsia="Calibri" w:hAnsi="Arial" w:cs="Arial"/>
          <w:szCs w:val="24"/>
          <w:lang w:eastAsia="en-US"/>
        </w:rPr>
        <w:t>(</w:t>
      </w:r>
      <w:r w:rsidR="001E6A00">
        <w:rPr>
          <w:rFonts w:ascii="Arial" w:eastAsia="Calibri" w:hAnsi="Arial" w:cs="Arial"/>
          <w:szCs w:val="24"/>
          <w:lang w:eastAsia="en-US"/>
        </w:rPr>
        <w:t>09</w:t>
      </w:r>
      <w:r w:rsidR="00C51352" w:rsidRPr="00BC3C0F">
        <w:rPr>
          <w:rFonts w:ascii="Arial" w:eastAsia="Calibri" w:hAnsi="Arial" w:cs="Arial"/>
          <w:szCs w:val="24"/>
          <w:lang w:eastAsia="en-US"/>
        </w:rPr>
        <w:t>:</w:t>
      </w:r>
      <w:r w:rsidR="001E6A00">
        <w:rPr>
          <w:rFonts w:ascii="Arial" w:eastAsia="Calibri" w:hAnsi="Arial" w:cs="Arial"/>
          <w:szCs w:val="24"/>
          <w:lang w:eastAsia="en-US"/>
        </w:rPr>
        <w:t>00</w:t>
      </w:r>
      <w:r w:rsidR="0090597F" w:rsidRPr="00BC3C0F">
        <w:rPr>
          <w:rFonts w:ascii="Arial" w:eastAsia="Calibri" w:hAnsi="Arial" w:cs="Arial"/>
          <w:szCs w:val="24"/>
          <w:lang w:eastAsia="en-US"/>
        </w:rPr>
        <w:t xml:space="preserve"> </w:t>
      </w:r>
      <w:r w:rsidR="00B24407" w:rsidRPr="00BC3C0F">
        <w:rPr>
          <w:rFonts w:ascii="Arial" w:eastAsia="Calibri" w:hAnsi="Arial" w:cs="Arial"/>
          <w:szCs w:val="24"/>
          <w:lang w:eastAsia="en-US"/>
        </w:rPr>
        <w:t>a</w:t>
      </w:r>
      <w:r w:rsidR="005B5D81" w:rsidRPr="00BC3C0F">
        <w:rPr>
          <w:rFonts w:ascii="Arial" w:eastAsia="Calibri" w:hAnsi="Arial" w:cs="Arial"/>
          <w:szCs w:val="24"/>
          <w:lang w:eastAsia="en-US"/>
        </w:rPr>
        <w:t>.</w:t>
      </w:r>
      <w:r w:rsidRPr="00BC3C0F">
        <w:rPr>
          <w:rFonts w:ascii="Arial" w:eastAsia="Calibri" w:hAnsi="Arial" w:cs="Arial"/>
          <w:szCs w:val="24"/>
          <w:lang w:eastAsia="en-US"/>
        </w:rPr>
        <w:t>m</w:t>
      </w:r>
      <w:r w:rsidR="005B5D81" w:rsidRPr="00BC3C0F">
        <w:rPr>
          <w:rFonts w:ascii="Arial" w:eastAsia="Calibri" w:hAnsi="Arial" w:cs="Arial"/>
          <w:szCs w:val="24"/>
          <w:lang w:eastAsia="en-US"/>
        </w:rPr>
        <w:t>.</w:t>
      </w:r>
      <w:r w:rsidRPr="00BC3C0F">
        <w:rPr>
          <w:rFonts w:ascii="Arial" w:eastAsia="Calibri" w:hAnsi="Arial" w:cs="Arial"/>
          <w:szCs w:val="24"/>
          <w:lang w:eastAsia="en-US"/>
        </w:rPr>
        <w:t xml:space="preserve">), </w:t>
      </w:r>
      <w:r w:rsidRPr="00BC3C0F">
        <w:rPr>
          <w:rFonts w:ascii="Arial" w:hAnsi="Arial" w:cs="Arial"/>
          <w:bCs/>
          <w:color w:val="000000"/>
          <w:szCs w:val="24"/>
          <w:lang w:eastAsia="es-CO"/>
        </w:rPr>
        <w:t xml:space="preserve">la </w:t>
      </w:r>
      <w:r w:rsidR="00CA6CBD" w:rsidRPr="00BC3C0F">
        <w:rPr>
          <w:rFonts w:ascii="Arial" w:hAnsi="Arial" w:cs="Arial"/>
          <w:bCs/>
          <w:color w:val="000000"/>
          <w:szCs w:val="24"/>
          <w:lang w:eastAsia="es-CO"/>
        </w:rPr>
        <w:t>Sala Segunda</w:t>
      </w:r>
      <w:r w:rsidR="00C51352" w:rsidRPr="00BC3C0F">
        <w:rPr>
          <w:rFonts w:ascii="Arial" w:hAnsi="Arial" w:cs="Arial"/>
          <w:bCs/>
          <w:color w:val="000000"/>
          <w:szCs w:val="24"/>
          <w:lang w:eastAsia="es-CO"/>
        </w:rPr>
        <w:t xml:space="preserve"> </w:t>
      </w:r>
      <w:r w:rsidRPr="00BC3C0F">
        <w:rPr>
          <w:rFonts w:ascii="Arial" w:hAnsi="Arial" w:cs="Arial"/>
          <w:bCs/>
          <w:color w:val="000000"/>
          <w:szCs w:val="24"/>
          <w:lang w:eastAsia="es-CO"/>
        </w:rPr>
        <w:t>de Decisión Laboral del Tribunal Superior del Distrito Judicial de Pereira, se declara en audiencia públi</w:t>
      </w:r>
      <w:r w:rsidR="00B01953" w:rsidRPr="00BC3C0F">
        <w:rPr>
          <w:rFonts w:ascii="Arial" w:hAnsi="Arial" w:cs="Arial"/>
          <w:bCs/>
          <w:color w:val="000000"/>
          <w:szCs w:val="24"/>
          <w:lang w:eastAsia="es-CO"/>
        </w:rPr>
        <w:t xml:space="preserve">ca con el propósito </w:t>
      </w:r>
      <w:r w:rsidR="00CA6CBD" w:rsidRPr="00BC3C0F">
        <w:rPr>
          <w:rFonts w:ascii="Arial" w:hAnsi="Arial" w:cs="Arial"/>
          <w:bCs/>
          <w:color w:val="000000"/>
          <w:szCs w:val="24"/>
          <w:lang w:eastAsia="es-CO"/>
        </w:rPr>
        <w:t xml:space="preserve">de </w:t>
      </w:r>
      <w:r w:rsidR="00D541D7">
        <w:rPr>
          <w:rFonts w:ascii="Arial" w:hAnsi="Arial" w:cs="Arial"/>
          <w:bCs/>
          <w:color w:val="000000"/>
          <w:szCs w:val="24"/>
          <w:lang w:eastAsia="es-CO"/>
        </w:rPr>
        <w:t xml:space="preserve">surtir el </w:t>
      </w:r>
      <w:r w:rsidR="00D541D7" w:rsidRPr="00CC311A">
        <w:rPr>
          <w:rFonts w:ascii="Arial" w:hAnsi="Arial" w:cs="Arial"/>
          <w:bCs/>
          <w:color w:val="000000"/>
          <w:szCs w:val="24"/>
          <w:lang w:eastAsia="es-CO"/>
        </w:rPr>
        <w:t>grado jurisdiccional de consulta</w:t>
      </w:r>
      <w:r w:rsidR="00D541D7">
        <w:rPr>
          <w:rFonts w:ascii="Arial" w:hAnsi="Arial" w:cs="Arial"/>
          <w:bCs/>
          <w:color w:val="000000"/>
          <w:szCs w:val="24"/>
          <w:lang w:eastAsia="es-CO"/>
        </w:rPr>
        <w:t xml:space="preserve"> </w:t>
      </w:r>
      <w:r w:rsidR="00EB4630">
        <w:rPr>
          <w:rFonts w:ascii="Arial" w:hAnsi="Arial" w:cs="Arial"/>
          <w:bCs/>
          <w:color w:val="000000"/>
          <w:szCs w:val="24"/>
          <w:lang w:eastAsia="es-CO"/>
        </w:rPr>
        <w:t xml:space="preserve">de </w:t>
      </w:r>
      <w:r w:rsidRPr="00BC3C0F">
        <w:rPr>
          <w:rFonts w:ascii="Arial" w:hAnsi="Arial" w:cs="Arial"/>
          <w:bCs/>
          <w:color w:val="000000"/>
          <w:szCs w:val="24"/>
          <w:lang w:eastAsia="es-CO"/>
        </w:rPr>
        <w:t>la sentencia p</w:t>
      </w:r>
      <w:r w:rsidRPr="00BC3C0F">
        <w:rPr>
          <w:rFonts w:ascii="Arial" w:hAnsi="Arial" w:cs="Arial"/>
          <w:szCs w:val="24"/>
        </w:rPr>
        <w:t xml:space="preserve">roferida </w:t>
      </w:r>
      <w:r w:rsidR="00EB4630">
        <w:rPr>
          <w:rFonts w:ascii="Arial" w:hAnsi="Arial" w:cs="Arial"/>
          <w:szCs w:val="24"/>
        </w:rPr>
        <w:t>27 de agosto de 2018</w:t>
      </w:r>
      <w:r w:rsidRPr="00BC3C0F">
        <w:rPr>
          <w:rFonts w:ascii="Arial" w:hAnsi="Arial" w:cs="Arial"/>
          <w:szCs w:val="24"/>
        </w:rPr>
        <w:t xml:space="preserve"> por el Juzgado </w:t>
      </w:r>
      <w:r w:rsidR="00EB4630">
        <w:rPr>
          <w:rFonts w:ascii="Arial" w:hAnsi="Arial" w:cs="Arial"/>
          <w:szCs w:val="24"/>
        </w:rPr>
        <w:t>Primero</w:t>
      </w:r>
      <w:r w:rsidR="00C51352" w:rsidRPr="00BC3C0F">
        <w:rPr>
          <w:rFonts w:ascii="Arial" w:hAnsi="Arial" w:cs="Arial"/>
          <w:szCs w:val="24"/>
        </w:rPr>
        <w:t xml:space="preserve"> </w:t>
      </w:r>
      <w:r w:rsidRPr="00BC3C0F">
        <w:rPr>
          <w:rFonts w:ascii="Arial" w:hAnsi="Arial" w:cs="Arial"/>
          <w:szCs w:val="24"/>
        </w:rPr>
        <w:t xml:space="preserve">Laboral del Circuito de Pereira, dentro del proceso </w:t>
      </w:r>
      <w:r w:rsidR="00B01953" w:rsidRPr="00BC3C0F">
        <w:rPr>
          <w:rFonts w:ascii="Arial" w:hAnsi="Arial" w:cs="Arial"/>
          <w:szCs w:val="24"/>
        </w:rPr>
        <w:t xml:space="preserve">promovido por </w:t>
      </w:r>
      <w:r w:rsidR="00EB4630">
        <w:rPr>
          <w:rFonts w:ascii="Arial" w:hAnsi="Arial" w:cs="Arial"/>
          <w:b/>
          <w:szCs w:val="24"/>
        </w:rPr>
        <w:t>Luis Emilio Soto Ardila</w:t>
      </w:r>
      <w:r w:rsidR="00AD05E0" w:rsidRPr="00BC3C0F">
        <w:rPr>
          <w:rFonts w:ascii="Arial" w:hAnsi="Arial" w:cs="Arial"/>
          <w:b/>
          <w:szCs w:val="24"/>
        </w:rPr>
        <w:t xml:space="preserve"> </w:t>
      </w:r>
      <w:r w:rsidRPr="00BC3C0F">
        <w:rPr>
          <w:rFonts w:ascii="Arial" w:hAnsi="Arial" w:cs="Arial"/>
          <w:szCs w:val="24"/>
        </w:rPr>
        <w:t xml:space="preserve">en contra de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EB4630">
        <w:rPr>
          <w:rFonts w:ascii="Arial" w:hAnsi="Arial" w:cs="Arial"/>
          <w:b/>
          <w:bCs/>
          <w:szCs w:val="24"/>
        </w:rPr>
        <w:t>, Protección S.A. y</w:t>
      </w:r>
      <w:r w:rsidR="003E5A0B" w:rsidRPr="00BC3C0F">
        <w:rPr>
          <w:rFonts w:ascii="Arial" w:hAnsi="Arial" w:cs="Arial"/>
          <w:bCs/>
          <w:szCs w:val="24"/>
        </w:rPr>
        <w:t xml:space="preserve"> </w:t>
      </w:r>
      <w:r w:rsidR="00D541D7">
        <w:rPr>
          <w:rFonts w:ascii="Arial" w:hAnsi="Arial" w:cs="Arial"/>
          <w:b/>
          <w:bCs/>
          <w:szCs w:val="24"/>
        </w:rPr>
        <w:t>Porvenir</w:t>
      </w:r>
      <w:r w:rsidR="00445E06" w:rsidRPr="00BC3C0F">
        <w:rPr>
          <w:rFonts w:ascii="Arial" w:hAnsi="Arial" w:cs="Arial"/>
          <w:b/>
          <w:bCs/>
          <w:szCs w:val="24"/>
        </w:rPr>
        <w:t xml:space="preserve"> S.A.</w:t>
      </w:r>
      <w:r w:rsidR="008908CC" w:rsidRPr="00BC3C0F">
        <w:rPr>
          <w:rFonts w:ascii="Arial" w:hAnsi="Arial" w:cs="Arial"/>
          <w:b/>
          <w:bCs/>
          <w:szCs w:val="24"/>
        </w:rPr>
        <w:t xml:space="preserve">, </w:t>
      </w:r>
      <w:r w:rsidRPr="00BC3C0F">
        <w:rPr>
          <w:rFonts w:ascii="Arial" w:hAnsi="Arial" w:cs="Arial"/>
          <w:bCs/>
          <w:szCs w:val="24"/>
        </w:rPr>
        <w:t>radicado</w:t>
      </w:r>
      <w:r w:rsidR="008908CC" w:rsidRPr="00BC3C0F">
        <w:rPr>
          <w:rFonts w:ascii="Arial" w:hAnsi="Arial" w:cs="Arial"/>
          <w:bCs/>
          <w:szCs w:val="24"/>
        </w:rPr>
        <w:t xml:space="preserve"> al N° 66001-31-05-00</w:t>
      </w:r>
      <w:r w:rsidR="00EB4630">
        <w:rPr>
          <w:rFonts w:ascii="Arial" w:hAnsi="Arial" w:cs="Arial"/>
          <w:bCs/>
          <w:szCs w:val="24"/>
        </w:rPr>
        <w:t>1</w:t>
      </w:r>
      <w:r w:rsidR="003E5A0B" w:rsidRPr="00BC3C0F">
        <w:rPr>
          <w:rFonts w:ascii="Arial" w:hAnsi="Arial" w:cs="Arial"/>
          <w:bCs/>
          <w:szCs w:val="24"/>
        </w:rPr>
        <w:t>-201</w:t>
      </w:r>
      <w:r w:rsidR="00EB4630">
        <w:rPr>
          <w:rFonts w:ascii="Arial" w:hAnsi="Arial" w:cs="Arial"/>
          <w:bCs/>
          <w:szCs w:val="24"/>
        </w:rPr>
        <w:t>6</w:t>
      </w:r>
      <w:r w:rsidR="00D541D7">
        <w:rPr>
          <w:rFonts w:ascii="Arial" w:hAnsi="Arial" w:cs="Arial"/>
          <w:bCs/>
          <w:szCs w:val="24"/>
        </w:rPr>
        <w:t>-</w:t>
      </w:r>
      <w:r w:rsidRPr="00BC3C0F">
        <w:rPr>
          <w:rFonts w:ascii="Arial" w:hAnsi="Arial" w:cs="Arial"/>
          <w:bCs/>
          <w:szCs w:val="24"/>
        </w:rPr>
        <w:t>00</w:t>
      </w:r>
      <w:r w:rsidR="00EB4630">
        <w:rPr>
          <w:rFonts w:ascii="Arial" w:hAnsi="Arial" w:cs="Arial"/>
          <w:bCs/>
          <w:szCs w:val="24"/>
        </w:rPr>
        <w:t>531</w:t>
      </w:r>
      <w:r w:rsidRPr="00BC3C0F">
        <w:rPr>
          <w:rFonts w:ascii="Arial" w:hAnsi="Arial" w:cs="Arial"/>
          <w:bCs/>
          <w:szCs w:val="24"/>
        </w:rPr>
        <w:t>-01</w:t>
      </w:r>
      <w:r w:rsidRPr="00BC3C0F">
        <w:rPr>
          <w:rFonts w:ascii="Arial" w:hAnsi="Arial" w:cs="Arial"/>
          <w:b/>
          <w:bCs/>
          <w:szCs w:val="24"/>
        </w:rPr>
        <w:t>.</w:t>
      </w:r>
    </w:p>
    <w:p w14:paraId="277427AB" w14:textId="77777777" w:rsidR="00D636F8" w:rsidRPr="00361C8C" w:rsidRDefault="00D636F8" w:rsidP="008C7C05">
      <w:pPr>
        <w:widowControl w:val="0"/>
        <w:spacing w:line="288" w:lineRule="auto"/>
        <w:rPr>
          <w:rFonts w:ascii="Arial" w:hAnsi="Arial" w:cs="Arial"/>
          <w:bCs/>
          <w:color w:val="000000"/>
          <w:kern w:val="28"/>
          <w:szCs w:val="24"/>
        </w:rPr>
      </w:pPr>
    </w:p>
    <w:p w14:paraId="2E228544" w14:textId="77777777" w:rsidR="00D636F8" w:rsidRPr="00BC3C0F" w:rsidRDefault="00D636F8" w:rsidP="008C7C05">
      <w:pPr>
        <w:spacing w:line="288" w:lineRule="auto"/>
        <w:contextualSpacing/>
        <w:rPr>
          <w:rFonts w:ascii="Arial" w:hAnsi="Arial" w:cs="Arial"/>
          <w:b/>
          <w:szCs w:val="24"/>
        </w:rPr>
      </w:pPr>
      <w:r w:rsidRPr="00BC3C0F">
        <w:rPr>
          <w:rFonts w:ascii="Arial" w:hAnsi="Arial" w:cs="Arial"/>
          <w:b/>
          <w:szCs w:val="24"/>
        </w:rPr>
        <w:t>Registro de asistencia:</w:t>
      </w:r>
    </w:p>
    <w:p w14:paraId="7D5F59BE" w14:textId="77777777" w:rsidR="00D636F8" w:rsidRPr="00361C8C" w:rsidRDefault="00D636F8" w:rsidP="008C7C05">
      <w:pPr>
        <w:widowControl w:val="0"/>
        <w:spacing w:line="288" w:lineRule="auto"/>
        <w:rPr>
          <w:rFonts w:ascii="Arial" w:hAnsi="Arial" w:cs="Arial"/>
          <w:bCs/>
          <w:color w:val="000000"/>
          <w:kern w:val="28"/>
          <w:szCs w:val="24"/>
        </w:rPr>
      </w:pPr>
    </w:p>
    <w:p w14:paraId="4E02B845" w14:textId="77777777" w:rsidR="00D636F8" w:rsidRPr="00BC3C0F" w:rsidRDefault="00D636F8" w:rsidP="008C7C05">
      <w:pPr>
        <w:spacing w:line="288" w:lineRule="auto"/>
        <w:contextualSpacing/>
        <w:rPr>
          <w:rFonts w:ascii="Arial" w:hAnsi="Arial" w:cs="Arial"/>
          <w:szCs w:val="24"/>
        </w:rPr>
      </w:pPr>
      <w:r w:rsidRPr="00BC3C0F">
        <w:rPr>
          <w:rFonts w:ascii="Arial" w:hAnsi="Arial" w:cs="Arial"/>
          <w:szCs w:val="24"/>
        </w:rPr>
        <w:t xml:space="preserve">Demandante y su apoderado: </w:t>
      </w:r>
      <w:r w:rsidRPr="00BC3C0F">
        <w:rPr>
          <w:rFonts w:ascii="Arial" w:hAnsi="Arial" w:cs="Arial"/>
          <w:szCs w:val="24"/>
        </w:rPr>
        <w:tab/>
      </w:r>
      <w:r w:rsidRPr="00BC3C0F">
        <w:rPr>
          <w:rFonts w:ascii="Arial" w:hAnsi="Arial" w:cs="Arial"/>
          <w:szCs w:val="24"/>
        </w:rPr>
        <w:tab/>
      </w:r>
      <w:r w:rsidRPr="00BC3C0F">
        <w:rPr>
          <w:rFonts w:ascii="Arial" w:hAnsi="Arial" w:cs="Arial"/>
          <w:szCs w:val="24"/>
        </w:rPr>
        <w:tab/>
        <w:t>Demandadas y sus apoderados:</w:t>
      </w:r>
    </w:p>
    <w:p w14:paraId="59641EC9" w14:textId="77777777" w:rsidR="00D636F8" w:rsidRPr="00361C8C" w:rsidRDefault="00D636F8" w:rsidP="008C7C05">
      <w:pPr>
        <w:widowControl w:val="0"/>
        <w:spacing w:line="288" w:lineRule="auto"/>
        <w:rPr>
          <w:rFonts w:ascii="Arial" w:hAnsi="Arial" w:cs="Arial"/>
          <w:bCs/>
          <w:color w:val="000000"/>
          <w:kern w:val="28"/>
          <w:szCs w:val="24"/>
        </w:rPr>
      </w:pPr>
    </w:p>
    <w:p w14:paraId="70FDD830" w14:textId="77777777" w:rsidR="00D636F8" w:rsidRPr="00BC3C0F" w:rsidRDefault="00D636F8" w:rsidP="008C7C05">
      <w:pPr>
        <w:spacing w:line="288" w:lineRule="auto"/>
        <w:contextualSpacing/>
        <w:jc w:val="both"/>
        <w:rPr>
          <w:rFonts w:ascii="Arial" w:hAnsi="Arial" w:cs="Arial"/>
          <w:b/>
          <w:szCs w:val="24"/>
        </w:rPr>
      </w:pPr>
      <w:r w:rsidRPr="00BC3C0F">
        <w:rPr>
          <w:rFonts w:ascii="Arial" w:hAnsi="Arial" w:cs="Arial"/>
          <w:b/>
          <w:szCs w:val="24"/>
        </w:rPr>
        <w:t xml:space="preserve">Traslado a las partes </w:t>
      </w:r>
    </w:p>
    <w:p w14:paraId="555B9B1A" w14:textId="77777777" w:rsidR="00D636F8" w:rsidRPr="00361C8C" w:rsidRDefault="00D636F8" w:rsidP="008C7C05">
      <w:pPr>
        <w:widowControl w:val="0"/>
        <w:spacing w:line="288" w:lineRule="auto"/>
        <w:rPr>
          <w:rFonts w:ascii="Arial" w:hAnsi="Arial" w:cs="Arial"/>
          <w:bCs/>
          <w:color w:val="000000"/>
          <w:kern w:val="28"/>
          <w:szCs w:val="24"/>
        </w:rPr>
      </w:pPr>
    </w:p>
    <w:p w14:paraId="365A236A" w14:textId="77777777" w:rsidR="00D636F8" w:rsidRPr="00BC3C0F" w:rsidRDefault="00D636F8" w:rsidP="008C7C05">
      <w:pPr>
        <w:spacing w:line="288" w:lineRule="auto"/>
        <w:contextualSpacing/>
        <w:jc w:val="both"/>
        <w:rPr>
          <w:rFonts w:ascii="Arial" w:hAnsi="Arial" w:cs="Arial"/>
          <w:szCs w:val="24"/>
        </w:rPr>
      </w:pPr>
      <w:r w:rsidRPr="00BC3C0F">
        <w:rPr>
          <w:rFonts w:ascii="Arial" w:hAnsi="Arial" w:cs="Arial"/>
          <w:szCs w:val="24"/>
        </w:rPr>
        <w:t>En este estado se corre traslado a los asistentes para que presenten sus alegatos, de conformidad con lo establecido por el artículo 13 de la Ley 1149/07.</w:t>
      </w:r>
    </w:p>
    <w:p w14:paraId="756884A1" w14:textId="77777777" w:rsidR="008B4923" w:rsidRPr="00361C8C" w:rsidRDefault="008B4923" w:rsidP="008C7C05">
      <w:pPr>
        <w:widowControl w:val="0"/>
        <w:spacing w:line="288" w:lineRule="auto"/>
        <w:rPr>
          <w:rFonts w:ascii="Arial" w:hAnsi="Arial" w:cs="Arial"/>
          <w:bCs/>
          <w:color w:val="000000"/>
          <w:kern w:val="28"/>
          <w:szCs w:val="24"/>
        </w:rPr>
      </w:pPr>
    </w:p>
    <w:p w14:paraId="0E1D4E5C" w14:textId="77777777" w:rsidR="00D636F8" w:rsidRPr="00BC3C0F" w:rsidRDefault="00D636F8" w:rsidP="008C7C05">
      <w:pPr>
        <w:spacing w:line="288" w:lineRule="auto"/>
        <w:ind w:firstLine="851"/>
        <w:contextualSpacing/>
        <w:jc w:val="center"/>
        <w:rPr>
          <w:rFonts w:ascii="Arial" w:hAnsi="Arial" w:cs="Arial"/>
          <w:b/>
          <w:szCs w:val="24"/>
        </w:rPr>
      </w:pPr>
      <w:r w:rsidRPr="00BC3C0F">
        <w:rPr>
          <w:rFonts w:ascii="Arial" w:hAnsi="Arial" w:cs="Arial"/>
          <w:b/>
          <w:szCs w:val="24"/>
        </w:rPr>
        <w:t>ANTECEDENTES:</w:t>
      </w:r>
    </w:p>
    <w:p w14:paraId="1553E435" w14:textId="77777777" w:rsidR="00D636F8" w:rsidRPr="00361C8C" w:rsidRDefault="00D636F8" w:rsidP="008C7C05">
      <w:pPr>
        <w:widowControl w:val="0"/>
        <w:spacing w:line="288" w:lineRule="auto"/>
        <w:rPr>
          <w:rFonts w:ascii="Arial" w:hAnsi="Arial" w:cs="Arial"/>
          <w:bCs/>
          <w:color w:val="000000"/>
          <w:kern w:val="28"/>
          <w:szCs w:val="24"/>
        </w:rPr>
      </w:pPr>
    </w:p>
    <w:p w14:paraId="4E66955A" w14:textId="77777777" w:rsidR="00D636F8" w:rsidRPr="00BC3C0F" w:rsidRDefault="00D636F8" w:rsidP="008C7C05">
      <w:pPr>
        <w:pStyle w:val="Prrafodelista"/>
        <w:numPr>
          <w:ilvl w:val="0"/>
          <w:numId w:val="1"/>
        </w:numPr>
        <w:spacing w:line="288" w:lineRule="auto"/>
        <w:jc w:val="both"/>
        <w:rPr>
          <w:rFonts w:ascii="Arial" w:hAnsi="Arial" w:cs="Arial"/>
          <w:b/>
          <w:sz w:val="24"/>
          <w:szCs w:val="24"/>
        </w:rPr>
      </w:pPr>
      <w:r w:rsidRPr="00BC3C0F">
        <w:rPr>
          <w:rFonts w:ascii="Arial" w:hAnsi="Arial" w:cs="Arial"/>
          <w:b/>
          <w:sz w:val="24"/>
          <w:szCs w:val="24"/>
        </w:rPr>
        <w:t>Síntesis de la demanda y su contestación</w:t>
      </w:r>
    </w:p>
    <w:p w14:paraId="6262A147" w14:textId="77777777" w:rsidR="009073B4" w:rsidRPr="00361C8C" w:rsidRDefault="009073B4" w:rsidP="008C7C05">
      <w:pPr>
        <w:widowControl w:val="0"/>
        <w:spacing w:line="288" w:lineRule="auto"/>
        <w:rPr>
          <w:rFonts w:ascii="Arial" w:hAnsi="Arial" w:cs="Arial"/>
          <w:bCs/>
          <w:color w:val="000000"/>
          <w:kern w:val="28"/>
          <w:szCs w:val="24"/>
        </w:rPr>
      </w:pPr>
    </w:p>
    <w:p w14:paraId="507C7E34" w14:textId="044407B8" w:rsidR="00DA11B4" w:rsidRDefault="00EB4630" w:rsidP="008C7C05">
      <w:pPr>
        <w:spacing w:line="288" w:lineRule="auto"/>
        <w:contextualSpacing/>
        <w:jc w:val="both"/>
        <w:rPr>
          <w:rFonts w:ascii="Arial" w:hAnsi="Arial" w:cs="Arial"/>
          <w:szCs w:val="24"/>
        </w:rPr>
      </w:pPr>
      <w:r>
        <w:rPr>
          <w:rFonts w:ascii="Arial" w:hAnsi="Arial" w:cs="Arial"/>
          <w:szCs w:val="24"/>
        </w:rPr>
        <w:t>Luis Emilio Soto Ardila</w:t>
      </w:r>
      <w:r w:rsidR="00445E06" w:rsidRPr="00BC3C0F">
        <w:rPr>
          <w:rFonts w:ascii="Arial" w:hAnsi="Arial" w:cs="Arial"/>
          <w:szCs w:val="24"/>
        </w:rPr>
        <w:t xml:space="preserve"> </w:t>
      </w:r>
      <w:r w:rsidR="00832A1F" w:rsidRPr="00BC3C0F">
        <w:rPr>
          <w:rFonts w:ascii="Arial" w:hAnsi="Arial" w:cs="Arial"/>
          <w:szCs w:val="24"/>
        </w:rPr>
        <w:t xml:space="preserve">pretende </w:t>
      </w:r>
      <w:r w:rsidR="00CA6CBD" w:rsidRPr="00BC3C0F">
        <w:rPr>
          <w:rFonts w:ascii="Arial" w:hAnsi="Arial" w:cs="Arial"/>
          <w:szCs w:val="24"/>
        </w:rPr>
        <w:t xml:space="preserve">que </w:t>
      </w:r>
      <w:r w:rsidR="00AD05E0" w:rsidRPr="00BC3C0F">
        <w:rPr>
          <w:rFonts w:ascii="Arial" w:hAnsi="Arial" w:cs="Arial"/>
          <w:szCs w:val="24"/>
        </w:rPr>
        <w:t>se declare</w:t>
      </w:r>
      <w:r w:rsidR="00D541D7">
        <w:rPr>
          <w:rFonts w:ascii="Arial" w:hAnsi="Arial" w:cs="Arial"/>
          <w:szCs w:val="24"/>
        </w:rPr>
        <w:t xml:space="preserve"> ineficaz</w:t>
      </w:r>
      <w:r w:rsidR="00445E06" w:rsidRPr="00BC3C0F">
        <w:rPr>
          <w:rFonts w:ascii="Arial" w:hAnsi="Arial" w:cs="Arial"/>
          <w:szCs w:val="24"/>
        </w:rPr>
        <w:t xml:space="preserve"> </w:t>
      </w:r>
      <w:r w:rsidR="00D541D7">
        <w:rPr>
          <w:rFonts w:ascii="Arial" w:hAnsi="Arial" w:cs="Arial"/>
          <w:szCs w:val="24"/>
        </w:rPr>
        <w:t>el</w:t>
      </w:r>
      <w:r w:rsidR="00CA6CBD" w:rsidRPr="00BC3C0F">
        <w:rPr>
          <w:rFonts w:ascii="Arial" w:hAnsi="Arial" w:cs="Arial"/>
          <w:szCs w:val="24"/>
        </w:rPr>
        <w:t xml:space="preserve"> traslado</w:t>
      </w:r>
      <w:r w:rsidR="00445E06" w:rsidRPr="00BC3C0F">
        <w:rPr>
          <w:rFonts w:ascii="Arial" w:hAnsi="Arial" w:cs="Arial"/>
          <w:szCs w:val="24"/>
        </w:rPr>
        <w:t xml:space="preserve"> del Régimen de Prima Media con Prestación Definida al Régimen de Ahorro Individual con Solidaridad</w:t>
      </w:r>
      <w:r w:rsidR="00D541D7">
        <w:rPr>
          <w:rFonts w:ascii="Arial" w:hAnsi="Arial" w:cs="Arial"/>
          <w:szCs w:val="24"/>
        </w:rPr>
        <w:t xml:space="preserve"> realizado el </w:t>
      </w:r>
      <w:r>
        <w:rPr>
          <w:rFonts w:ascii="Arial" w:hAnsi="Arial" w:cs="Arial"/>
          <w:szCs w:val="24"/>
        </w:rPr>
        <w:t>21-06-1995</w:t>
      </w:r>
      <w:r w:rsidR="00445E06" w:rsidRPr="00BC3C0F">
        <w:rPr>
          <w:rFonts w:ascii="Arial" w:hAnsi="Arial" w:cs="Arial"/>
          <w:szCs w:val="24"/>
        </w:rPr>
        <w:t xml:space="preserve">; </w:t>
      </w:r>
      <w:r>
        <w:rPr>
          <w:rFonts w:ascii="Arial" w:hAnsi="Arial" w:cs="Arial"/>
          <w:szCs w:val="24"/>
        </w:rPr>
        <w:t xml:space="preserve">que </w:t>
      </w:r>
      <w:r w:rsidR="00CA6CBD" w:rsidRPr="00BC3C0F">
        <w:rPr>
          <w:rFonts w:ascii="Arial" w:hAnsi="Arial" w:cs="Arial"/>
          <w:szCs w:val="24"/>
        </w:rPr>
        <w:t>s</w:t>
      </w:r>
      <w:r>
        <w:rPr>
          <w:rFonts w:ascii="Arial" w:hAnsi="Arial" w:cs="Arial"/>
          <w:szCs w:val="24"/>
        </w:rPr>
        <w:t>e encuentra válidamente afiliado</w:t>
      </w:r>
      <w:r w:rsidR="00CA6CBD" w:rsidRPr="00BC3C0F">
        <w:rPr>
          <w:rFonts w:ascii="Arial" w:hAnsi="Arial" w:cs="Arial"/>
          <w:szCs w:val="24"/>
        </w:rPr>
        <w:t xml:space="preserve"> a </w:t>
      </w:r>
      <w:r w:rsidR="00445E06" w:rsidRPr="00BC3C0F">
        <w:rPr>
          <w:rFonts w:ascii="Arial" w:hAnsi="Arial" w:cs="Arial"/>
          <w:szCs w:val="24"/>
        </w:rPr>
        <w:t xml:space="preserve">Colpensiones, y se ordené a </w:t>
      </w:r>
      <w:r w:rsidR="00D541D7">
        <w:rPr>
          <w:rFonts w:ascii="Arial" w:hAnsi="Arial" w:cs="Arial"/>
          <w:szCs w:val="24"/>
        </w:rPr>
        <w:t>Porvenir</w:t>
      </w:r>
      <w:r w:rsidR="00CA6CBD" w:rsidRPr="00BC3C0F">
        <w:rPr>
          <w:rFonts w:ascii="Arial" w:hAnsi="Arial" w:cs="Arial"/>
          <w:szCs w:val="24"/>
        </w:rPr>
        <w:t xml:space="preserve"> </w:t>
      </w:r>
      <w:r w:rsidR="00445E06" w:rsidRPr="00BC3C0F">
        <w:rPr>
          <w:rFonts w:ascii="Arial" w:hAnsi="Arial" w:cs="Arial"/>
          <w:szCs w:val="24"/>
        </w:rPr>
        <w:t>S.A.</w:t>
      </w:r>
      <w:r>
        <w:rPr>
          <w:rFonts w:ascii="Arial" w:hAnsi="Arial" w:cs="Arial"/>
          <w:szCs w:val="24"/>
        </w:rPr>
        <w:t xml:space="preserve"> y a Protección S.A.</w:t>
      </w:r>
      <w:r w:rsidR="00445E06" w:rsidRPr="00BC3C0F">
        <w:rPr>
          <w:rFonts w:ascii="Arial" w:hAnsi="Arial" w:cs="Arial"/>
          <w:szCs w:val="24"/>
        </w:rPr>
        <w:t xml:space="preserve"> </w:t>
      </w:r>
      <w:r w:rsidR="00CA6CBD" w:rsidRPr="00BC3C0F">
        <w:rPr>
          <w:rFonts w:ascii="Arial" w:hAnsi="Arial" w:cs="Arial"/>
          <w:szCs w:val="24"/>
        </w:rPr>
        <w:t>que tr</w:t>
      </w:r>
      <w:r w:rsidR="00BF3913">
        <w:rPr>
          <w:rFonts w:ascii="Arial" w:hAnsi="Arial" w:cs="Arial"/>
          <w:szCs w:val="24"/>
        </w:rPr>
        <w:t>aslade la totalidad de sus</w:t>
      </w:r>
      <w:r w:rsidR="00CA6CBD" w:rsidRPr="00BC3C0F">
        <w:rPr>
          <w:rFonts w:ascii="Arial" w:hAnsi="Arial" w:cs="Arial"/>
          <w:szCs w:val="24"/>
        </w:rPr>
        <w:t xml:space="preserve"> aportes </w:t>
      </w:r>
      <w:r w:rsidR="00445E06" w:rsidRPr="00BC3C0F">
        <w:rPr>
          <w:rFonts w:ascii="Arial" w:hAnsi="Arial" w:cs="Arial"/>
          <w:szCs w:val="24"/>
        </w:rPr>
        <w:t xml:space="preserve">a </w:t>
      </w:r>
      <w:r w:rsidR="00D9074C">
        <w:rPr>
          <w:rFonts w:ascii="Arial" w:hAnsi="Arial" w:cs="Arial"/>
          <w:szCs w:val="24"/>
        </w:rPr>
        <w:t>aquella.</w:t>
      </w:r>
      <w:r w:rsidR="00445E06" w:rsidRPr="00BC3C0F">
        <w:rPr>
          <w:rFonts w:ascii="Arial" w:hAnsi="Arial" w:cs="Arial"/>
          <w:szCs w:val="24"/>
        </w:rPr>
        <w:t xml:space="preserve"> </w:t>
      </w:r>
    </w:p>
    <w:p w14:paraId="7CD209C4" w14:textId="77777777" w:rsidR="009073B4" w:rsidRPr="00BC3C0F" w:rsidRDefault="009073B4" w:rsidP="008C7C05">
      <w:pPr>
        <w:spacing w:line="288" w:lineRule="auto"/>
        <w:contextualSpacing/>
        <w:jc w:val="both"/>
        <w:rPr>
          <w:rFonts w:ascii="Arial" w:hAnsi="Arial" w:cs="Arial"/>
          <w:szCs w:val="24"/>
        </w:rPr>
      </w:pPr>
    </w:p>
    <w:p w14:paraId="7FAA6AC0" w14:textId="33B42E7E" w:rsidR="00EB4630" w:rsidRDefault="00D636F8" w:rsidP="008C7C05">
      <w:pPr>
        <w:spacing w:line="288" w:lineRule="auto"/>
        <w:contextualSpacing/>
        <w:jc w:val="both"/>
        <w:rPr>
          <w:rFonts w:ascii="Arial" w:hAnsi="Arial" w:cs="Arial"/>
          <w:szCs w:val="24"/>
        </w:rPr>
      </w:pPr>
      <w:r w:rsidRPr="00BC3C0F">
        <w:rPr>
          <w:rFonts w:ascii="Arial" w:hAnsi="Arial" w:cs="Arial"/>
          <w:szCs w:val="24"/>
        </w:rPr>
        <w:t xml:space="preserve">Fundamenta sus aspiraciones en </w:t>
      </w:r>
      <w:r w:rsidR="00445E06" w:rsidRPr="00BC3C0F">
        <w:rPr>
          <w:rFonts w:ascii="Arial" w:hAnsi="Arial" w:cs="Arial"/>
          <w:szCs w:val="24"/>
        </w:rPr>
        <w:t xml:space="preserve">que </w:t>
      </w:r>
      <w:r w:rsidR="00445E06" w:rsidRPr="00BC3C0F">
        <w:rPr>
          <w:rFonts w:ascii="Arial" w:hAnsi="Arial" w:cs="Arial"/>
          <w:i/>
          <w:szCs w:val="24"/>
        </w:rPr>
        <w:t>i)</w:t>
      </w:r>
      <w:r w:rsidR="00EB4630">
        <w:rPr>
          <w:rFonts w:ascii="Arial" w:hAnsi="Arial" w:cs="Arial"/>
          <w:szCs w:val="24"/>
        </w:rPr>
        <w:t xml:space="preserve"> el 21-06-1995 se trasladó a Protección S.A.; </w:t>
      </w:r>
      <w:r w:rsidR="00EB4630" w:rsidRPr="00EB4630">
        <w:rPr>
          <w:rFonts w:ascii="Arial" w:hAnsi="Arial" w:cs="Arial"/>
          <w:i/>
          <w:szCs w:val="24"/>
        </w:rPr>
        <w:t>ii)</w:t>
      </w:r>
      <w:r w:rsidR="00EB4630">
        <w:rPr>
          <w:rFonts w:ascii="Arial" w:hAnsi="Arial" w:cs="Arial"/>
          <w:szCs w:val="24"/>
        </w:rPr>
        <w:t xml:space="preserve"> la AFP omitió brindar la información relacionada con las consecuencias de la desvinculación al RPM, ventajas</w:t>
      </w:r>
      <w:r w:rsidR="00600609">
        <w:rPr>
          <w:rFonts w:ascii="Arial" w:hAnsi="Arial" w:cs="Arial"/>
          <w:szCs w:val="24"/>
        </w:rPr>
        <w:t xml:space="preserve">, desventajas y  el </w:t>
      </w:r>
      <w:r w:rsidR="00EB4630">
        <w:rPr>
          <w:rFonts w:ascii="Arial" w:hAnsi="Arial" w:cs="Arial"/>
          <w:szCs w:val="24"/>
        </w:rPr>
        <w:t xml:space="preserve">monto de la pensión; </w:t>
      </w:r>
      <w:r w:rsidR="00EB4630" w:rsidRPr="00EB4630">
        <w:rPr>
          <w:rFonts w:ascii="Arial" w:hAnsi="Arial" w:cs="Arial"/>
          <w:i/>
          <w:szCs w:val="24"/>
        </w:rPr>
        <w:t>iii)</w:t>
      </w:r>
      <w:r w:rsidR="00EB4630">
        <w:rPr>
          <w:rFonts w:ascii="Arial" w:hAnsi="Arial" w:cs="Arial"/>
          <w:szCs w:val="24"/>
        </w:rPr>
        <w:t xml:space="preserve"> el 25-01-2000 se trasladó de Protección S.A. a Colpatria – hoy Porvenir S.A.; </w:t>
      </w:r>
      <w:r w:rsidR="00EB4630" w:rsidRPr="00EB4630">
        <w:rPr>
          <w:rFonts w:ascii="Arial" w:hAnsi="Arial" w:cs="Arial"/>
          <w:i/>
          <w:szCs w:val="24"/>
        </w:rPr>
        <w:t>iv)</w:t>
      </w:r>
      <w:r w:rsidR="00EB4630">
        <w:rPr>
          <w:rFonts w:ascii="Arial" w:hAnsi="Arial" w:cs="Arial"/>
          <w:szCs w:val="24"/>
        </w:rPr>
        <w:t xml:space="preserve"> desde el 22-09-2015 ha solicitado infructuosamente el traslado al RPM.</w:t>
      </w:r>
    </w:p>
    <w:p w14:paraId="5C4E0567" w14:textId="77777777" w:rsidR="008F07C2" w:rsidRDefault="008F07C2" w:rsidP="008C7C05">
      <w:pPr>
        <w:spacing w:line="288" w:lineRule="auto"/>
        <w:contextualSpacing/>
        <w:jc w:val="both"/>
        <w:rPr>
          <w:rFonts w:ascii="Arial" w:hAnsi="Arial" w:cs="Arial"/>
          <w:szCs w:val="24"/>
        </w:rPr>
      </w:pPr>
    </w:p>
    <w:p w14:paraId="38322F76" w14:textId="6AA2BFBC" w:rsidR="008F07C2" w:rsidRDefault="008F07C2" w:rsidP="008C7C05">
      <w:pPr>
        <w:spacing w:line="288" w:lineRule="auto"/>
        <w:contextualSpacing/>
        <w:jc w:val="both"/>
        <w:rPr>
          <w:rFonts w:ascii="Arial" w:hAnsi="Arial" w:cs="Arial"/>
          <w:szCs w:val="24"/>
        </w:rPr>
      </w:pPr>
      <w:r>
        <w:rPr>
          <w:rFonts w:ascii="Arial" w:hAnsi="Arial" w:cs="Arial"/>
          <w:szCs w:val="24"/>
        </w:rPr>
        <w:t>Luego</w:t>
      </w:r>
      <w:r w:rsidR="002A1798">
        <w:rPr>
          <w:rFonts w:ascii="Arial" w:hAnsi="Arial" w:cs="Arial"/>
          <w:szCs w:val="24"/>
        </w:rPr>
        <w:t>,</w:t>
      </w:r>
      <w:r>
        <w:rPr>
          <w:rFonts w:ascii="Arial" w:hAnsi="Arial" w:cs="Arial"/>
          <w:szCs w:val="24"/>
        </w:rPr>
        <w:t xml:space="preserve"> en la argumentación jurídica aseveró que se trasladó al RAIS porque según la asesoría brindada por dicha entidad sus intereses pensionales serían allí más favorables, sin que se hiciera un análisis particular de los alcances de tal aceptación, pues la asesoría fue superficial, y por ello, concluyó que la AFP no le dio una asesoría transparente.</w:t>
      </w:r>
    </w:p>
    <w:p w14:paraId="4E243EFA" w14:textId="77777777" w:rsidR="00EB4630" w:rsidRDefault="00EB4630" w:rsidP="008C7C05">
      <w:pPr>
        <w:spacing w:line="288" w:lineRule="auto"/>
        <w:contextualSpacing/>
        <w:jc w:val="both"/>
        <w:rPr>
          <w:rFonts w:ascii="Arial" w:hAnsi="Arial" w:cs="Arial"/>
          <w:szCs w:val="24"/>
        </w:rPr>
      </w:pPr>
    </w:p>
    <w:p w14:paraId="408BF103" w14:textId="77777777" w:rsidR="00BD1513" w:rsidRDefault="00D2298A" w:rsidP="008C7C05">
      <w:pPr>
        <w:spacing w:line="288" w:lineRule="auto"/>
        <w:contextualSpacing/>
        <w:jc w:val="both"/>
        <w:rPr>
          <w:rFonts w:ascii="Arial" w:hAnsi="Arial" w:cs="Arial"/>
          <w:szCs w:val="24"/>
        </w:rPr>
      </w:pPr>
      <w:r w:rsidRPr="00BC3C0F">
        <w:rPr>
          <w:rFonts w:ascii="Arial" w:hAnsi="Arial" w:cs="Arial"/>
          <w:b/>
          <w:szCs w:val="24"/>
        </w:rPr>
        <w:t xml:space="preserve">Colpensiones </w:t>
      </w:r>
      <w:r w:rsidR="004E15B8" w:rsidRPr="00BC3C0F">
        <w:rPr>
          <w:rFonts w:ascii="Arial" w:hAnsi="Arial" w:cs="Arial"/>
          <w:szCs w:val="24"/>
        </w:rPr>
        <w:t xml:space="preserve">al contestar la demanda </w:t>
      </w:r>
      <w:r w:rsidR="00EE6B87" w:rsidRPr="00BC3C0F">
        <w:rPr>
          <w:rFonts w:ascii="Arial" w:hAnsi="Arial" w:cs="Arial"/>
          <w:szCs w:val="24"/>
        </w:rPr>
        <w:t>se opuso a las pretensiones</w:t>
      </w:r>
      <w:r w:rsidR="00EB4630">
        <w:rPr>
          <w:rFonts w:ascii="Arial" w:hAnsi="Arial" w:cs="Arial"/>
          <w:szCs w:val="24"/>
        </w:rPr>
        <w:t xml:space="preserve"> elevadas en su contra, para lo cual argumentó que el demandante ni siquiera acreditó cual fue el vicio en el consentimiento que se configuró al momento del traslado</w:t>
      </w:r>
      <w:r w:rsidR="00BD1513">
        <w:rPr>
          <w:rFonts w:ascii="Arial" w:hAnsi="Arial" w:cs="Arial"/>
          <w:szCs w:val="24"/>
        </w:rPr>
        <w:t>, por lo que presentó los medios de defensa que denominó “</w:t>
      </w:r>
      <w:r w:rsidR="00BD1513" w:rsidRPr="00BD1513">
        <w:rPr>
          <w:rFonts w:ascii="Arial" w:hAnsi="Arial" w:cs="Arial"/>
          <w:i/>
          <w:szCs w:val="24"/>
        </w:rPr>
        <w:t>inexistencia de la obligación demandada”</w:t>
      </w:r>
      <w:r w:rsidR="00BD1513">
        <w:rPr>
          <w:rFonts w:ascii="Arial" w:hAnsi="Arial" w:cs="Arial"/>
          <w:szCs w:val="24"/>
        </w:rPr>
        <w:t xml:space="preserve"> y “</w:t>
      </w:r>
      <w:r w:rsidR="00BD1513" w:rsidRPr="00BD1513">
        <w:rPr>
          <w:rFonts w:ascii="Arial" w:hAnsi="Arial" w:cs="Arial"/>
          <w:i/>
          <w:szCs w:val="24"/>
        </w:rPr>
        <w:t>prescripción”.</w:t>
      </w:r>
    </w:p>
    <w:p w14:paraId="7C0A7D82" w14:textId="53A9DB34" w:rsidR="004E15B8" w:rsidRPr="00BC3C0F" w:rsidRDefault="00BD1513" w:rsidP="008C7C05">
      <w:pPr>
        <w:spacing w:line="288" w:lineRule="auto"/>
        <w:contextualSpacing/>
        <w:jc w:val="both"/>
        <w:rPr>
          <w:rFonts w:ascii="Arial" w:hAnsi="Arial" w:cs="Arial"/>
          <w:i/>
          <w:szCs w:val="24"/>
        </w:rPr>
      </w:pPr>
      <w:r w:rsidRPr="00BC3C0F">
        <w:rPr>
          <w:rFonts w:ascii="Arial" w:hAnsi="Arial" w:cs="Arial"/>
          <w:i/>
          <w:szCs w:val="24"/>
        </w:rPr>
        <w:t xml:space="preserve"> </w:t>
      </w:r>
    </w:p>
    <w:p w14:paraId="7D5466E1" w14:textId="40E8E1BB" w:rsidR="00BD1513" w:rsidRDefault="004E15B8" w:rsidP="008C7C05">
      <w:pPr>
        <w:spacing w:line="288" w:lineRule="auto"/>
        <w:contextualSpacing/>
        <w:jc w:val="both"/>
        <w:rPr>
          <w:rFonts w:ascii="Arial" w:hAnsi="Arial" w:cs="Arial"/>
          <w:szCs w:val="24"/>
        </w:rPr>
      </w:pPr>
      <w:r w:rsidRPr="00BC3C0F">
        <w:rPr>
          <w:rFonts w:ascii="Arial" w:hAnsi="Arial" w:cs="Arial"/>
          <w:szCs w:val="24"/>
        </w:rPr>
        <w:t xml:space="preserve">A  su turno, </w:t>
      </w:r>
      <w:r w:rsidRPr="00BC3C0F">
        <w:rPr>
          <w:rFonts w:ascii="Arial" w:hAnsi="Arial" w:cs="Arial"/>
          <w:b/>
          <w:szCs w:val="24"/>
        </w:rPr>
        <w:t>P</w:t>
      </w:r>
      <w:r w:rsidR="00913F4A">
        <w:rPr>
          <w:rFonts w:ascii="Arial" w:hAnsi="Arial" w:cs="Arial"/>
          <w:b/>
          <w:szCs w:val="24"/>
        </w:rPr>
        <w:t>orvenir</w:t>
      </w:r>
      <w:r w:rsidRPr="00BC3C0F">
        <w:rPr>
          <w:rFonts w:ascii="Arial" w:hAnsi="Arial" w:cs="Arial"/>
          <w:b/>
          <w:szCs w:val="24"/>
        </w:rPr>
        <w:t xml:space="preserve"> S.A.</w:t>
      </w:r>
      <w:r w:rsidRPr="00BC3C0F">
        <w:rPr>
          <w:rFonts w:ascii="Arial" w:hAnsi="Arial" w:cs="Arial"/>
          <w:szCs w:val="24"/>
        </w:rPr>
        <w:t xml:space="preserve"> se opuso a las pretensiones </w:t>
      </w:r>
      <w:r w:rsidR="00BD1513">
        <w:rPr>
          <w:rFonts w:ascii="Arial" w:hAnsi="Arial" w:cs="Arial"/>
          <w:szCs w:val="24"/>
        </w:rPr>
        <w:t>y en ese sentido adujo que no existió mal asesoramiento al demandante al momento del traslado, máxime que el traslado devino de su propia voluntad y el demandante no era beneficiario del régimen de transición</w:t>
      </w:r>
      <w:r w:rsidR="0044517A">
        <w:rPr>
          <w:rFonts w:ascii="Arial" w:hAnsi="Arial" w:cs="Arial"/>
          <w:szCs w:val="24"/>
        </w:rPr>
        <w:t>,</w:t>
      </w:r>
      <w:r w:rsidR="00BD1513">
        <w:rPr>
          <w:rFonts w:ascii="Arial" w:hAnsi="Arial" w:cs="Arial"/>
          <w:szCs w:val="24"/>
        </w:rPr>
        <w:t xml:space="preserve"> entonces tampoco ocurrió una omisión en la información. Por otro lado, resaltó que el demandante no tenía ninguna inconformidad frente a la afiliación, pues no hizo uso del derecho de retracto, ni de la amnistía otorgada con el Decreto 3800-03. Por último, presentó las excepciones que denominó “</w:t>
      </w:r>
      <w:r w:rsidR="00BD1513" w:rsidRPr="00BD1513">
        <w:rPr>
          <w:rFonts w:ascii="Arial" w:hAnsi="Arial" w:cs="Arial"/>
          <w:i/>
          <w:szCs w:val="24"/>
        </w:rPr>
        <w:t>prescripción”,</w:t>
      </w:r>
      <w:r w:rsidR="00BD1513">
        <w:rPr>
          <w:rFonts w:ascii="Arial" w:hAnsi="Arial" w:cs="Arial"/>
          <w:szCs w:val="24"/>
        </w:rPr>
        <w:t xml:space="preserve"> “</w:t>
      </w:r>
      <w:r w:rsidR="00BD1513" w:rsidRPr="00BD1513">
        <w:rPr>
          <w:rFonts w:ascii="Arial" w:hAnsi="Arial" w:cs="Arial"/>
          <w:i/>
          <w:szCs w:val="24"/>
        </w:rPr>
        <w:t>buena fe”,</w:t>
      </w:r>
      <w:r w:rsidR="00BD1513">
        <w:rPr>
          <w:rFonts w:ascii="Arial" w:hAnsi="Arial" w:cs="Arial"/>
          <w:szCs w:val="24"/>
        </w:rPr>
        <w:t xml:space="preserve"> “</w:t>
      </w:r>
      <w:r w:rsidR="00BD1513" w:rsidRPr="00BD1513">
        <w:rPr>
          <w:rFonts w:ascii="Arial" w:hAnsi="Arial" w:cs="Arial"/>
          <w:i/>
          <w:szCs w:val="24"/>
        </w:rPr>
        <w:t>compensación”,</w:t>
      </w:r>
      <w:r w:rsidR="00BD1513">
        <w:rPr>
          <w:rFonts w:ascii="Arial" w:hAnsi="Arial" w:cs="Arial"/>
          <w:szCs w:val="24"/>
        </w:rPr>
        <w:t xml:space="preserve"> “</w:t>
      </w:r>
      <w:r w:rsidR="00BD1513" w:rsidRPr="00BD1513">
        <w:rPr>
          <w:rFonts w:ascii="Arial" w:hAnsi="Arial" w:cs="Arial"/>
          <w:i/>
          <w:szCs w:val="24"/>
        </w:rPr>
        <w:t>exoneración de condena en costas”,</w:t>
      </w:r>
      <w:r w:rsidR="00BD1513">
        <w:rPr>
          <w:rFonts w:ascii="Arial" w:hAnsi="Arial" w:cs="Arial"/>
          <w:szCs w:val="24"/>
        </w:rPr>
        <w:t xml:space="preserve"> entre otras. </w:t>
      </w:r>
    </w:p>
    <w:p w14:paraId="0077F4AB" w14:textId="7F663F97" w:rsidR="00106D9C" w:rsidRDefault="00106D9C" w:rsidP="008C7C05">
      <w:pPr>
        <w:spacing w:line="288" w:lineRule="auto"/>
        <w:contextualSpacing/>
        <w:jc w:val="both"/>
        <w:rPr>
          <w:rFonts w:ascii="Arial" w:hAnsi="Arial" w:cs="Arial"/>
          <w:szCs w:val="24"/>
        </w:rPr>
      </w:pPr>
    </w:p>
    <w:p w14:paraId="10A28AEB" w14:textId="13B93F8E" w:rsidR="00BD1513" w:rsidRPr="00BD1513" w:rsidRDefault="00BD1513" w:rsidP="008C7C05">
      <w:pPr>
        <w:spacing w:line="288" w:lineRule="auto"/>
        <w:contextualSpacing/>
        <w:jc w:val="both"/>
        <w:rPr>
          <w:rFonts w:ascii="Arial" w:hAnsi="Arial" w:cs="Arial"/>
          <w:szCs w:val="24"/>
        </w:rPr>
      </w:pPr>
      <w:r>
        <w:rPr>
          <w:rFonts w:ascii="Arial" w:hAnsi="Arial" w:cs="Arial"/>
          <w:b/>
          <w:szCs w:val="24"/>
        </w:rPr>
        <w:t xml:space="preserve">Protección S.A. </w:t>
      </w:r>
      <w:r>
        <w:rPr>
          <w:rFonts w:ascii="Arial" w:hAnsi="Arial" w:cs="Arial"/>
          <w:szCs w:val="24"/>
        </w:rPr>
        <w:t>también se opuso a las pretensiones, por lo que recriminó que brindó la información debida al demandante, pues los asesores para la época del traslado realizaron la contextualización requerida; por lo que, presentó las excepciones que denominó “</w:t>
      </w:r>
      <w:r w:rsidRPr="00B3602F">
        <w:rPr>
          <w:rFonts w:ascii="Arial" w:hAnsi="Arial" w:cs="Arial"/>
          <w:i/>
          <w:szCs w:val="24"/>
        </w:rPr>
        <w:t>falta de legitimación en la causa por pasiva”,</w:t>
      </w:r>
      <w:r w:rsidR="00B3602F">
        <w:rPr>
          <w:rFonts w:ascii="Arial" w:hAnsi="Arial" w:cs="Arial"/>
          <w:szCs w:val="24"/>
        </w:rPr>
        <w:t xml:space="preserve"> “</w:t>
      </w:r>
      <w:r w:rsidR="00B3602F" w:rsidRPr="00B3602F">
        <w:rPr>
          <w:rFonts w:ascii="Arial" w:hAnsi="Arial" w:cs="Arial"/>
          <w:i/>
          <w:szCs w:val="24"/>
        </w:rPr>
        <w:t>saneamiento del vicio en el consentimiento por efecto de la prescripción ordinaria de la nulidad relativa”,</w:t>
      </w:r>
      <w:r w:rsidR="00B3602F">
        <w:rPr>
          <w:rFonts w:ascii="Arial" w:hAnsi="Arial" w:cs="Arial"/>
          <w:szCs w:val="24"/>
        </w:rPr>
        <w:t xml:space="preserve"> entre otras. </w:t>
      </w:r>
    </w:p>
    <w:p w14:paraId="46B80966" w14:textId="77777777" w:rsidR="00BD1513" w:rsidRPr="00361C8C" w:rsidRDefault="00BD1513" w:rsidP="008C7C05">
      <w:pPr>
        <w:widowControl w:val="0"/>
        <w:spacing w:line="288" w:lineRule="auto"/>
        <w:rPr>
          <w:rFonts w:ascii="Arial" w:hAnsi="Arial" w:cs="Arial"/>
          <w:bCs/>
          <w:color w:val="000000"/>
          <w:kern w:val="28"/>
          <w:szCs w:val="24"/>
        </w:rPr>
      </w:pPr>
    </w:p>
    <w:p w14:paraId="14F1EEFC" w14:textId="0220F198" w:rsidR="00D636F8" w:rsidRPr="008C7C05" w:rsidRDefault="00646A53" w:rsidP="008C7C05">
      <w:pPr>
        <w:pStyle w:val="Prrafodelista"/>
        <w:numPr>
          <w:ilvl w:val="0"/>
          <w:numId w:val="1"/>
        </w:numPr>
        <w:spacing w:line="288" w:lineRule="auto"/>
        <w:jc w:val="both"/>
        <w:rPr>
          <w:rFonts w:ascii="Arial" w:hAnsi="Arial" w:cs="Arial"/>
          <w:b/>
          <w:color w:val="000000" w:themeColor="text1"/>
          <w:sz w:val="24"/>
          <w:szCs w:val="24"/>
        </w:rPr>
      </w:pPr>
      <w:r w:rsidRPr="008C7C05">
        <w:rPr>
          <w:rFonts w:ascii="Arial" w:hAnsi="Arial" w:cs="Arial"/>
          <w:b/>
          <w:color w:val="000000" w:themeColor="text1"/>
          <w:sz w:val="24"/>
          <w:szCs w:val="24"/>
        </w:rPr>
        <w:t>Síntesis de la sentencia</w:t>
      </w:r>
    </w:p>
    <w:p w14:paraId="2268780F" w14:textId="77777777" w:rsidR="00600609" w:rsidRPr="00361C8C" w:rsidRDefault="00600609" w:rsidP="008C7C05">
      <w:pPr>
        <w:widowControl w:val="0"/>
        <w:spacing w:line="288" w:lineRule="auto"/>
        <w:rPr>
          <w:rFonts w:ascii="Arial" w:hAnsi="Arial" w:cs="Arial"/>
          <w:bCs/>
          <w:color w:val="000000"/>
          <w:kern w:val="28"/>
          <w:szCs w:val="24"/>
        </w:rPr>
      </w:pPr>
    </w:p>
    <w:p w14:paraId="464DA6B1" w14:textId="4B950650" w:rsidR="00782F4D" w:rsidRDefault="00D636F8" w:rsidP="008C7C05">
      <w:pPr>
        <w:spacing w:line="288" w:lineRule="auto"/>
        <w:contextualSpacing/>
        <w:jc w:val="both"/>
        <w:rPr>
          <w:rFonts w:ascii="Arial" w:hAnsi="Arial" w:cs="Arial"/>
          <w:b/>
          <w:szCs w:val="24"/>
        </w:rPr>
      </w:pPr>
      <w:r w:rsidRPr="00BC3C0F">
        <w:rPr>
          <w:rFonts w:ascii="Arial" w:hAnsi="Arial" w:cs="Arial"/>
          <w:color w:val="000000"/>
          <w:szCs w:val="24"/>
          <w:lang w:eastAsia="es-CO"/>
        </w:rPr>
        <w:t xml:space="preserve">El Juzgado </w:t>
      </w:r>
      <w:r w:rsidR="00B3602F">
        <w:rPr>
          <w:rFonts w:ascii="Arial" w:hAnsi="Arial" w:cs="Arial"/>
          <w:color w:val="000000"/>
          <w:szCs w:val="24"/>
          <w:lang w:eastAsia="es-CO"/>
        </w:rPr>
        <w:t>Primero</w:t>
      </w:r>
      <w:r w:rsidR="009E2AB8" w:rsidRPr="00BC3C0F">
        <w:rPr>
          <w:rFonts w:ascii="Arial" w:hAnsi="Arial" w:cs="Arial"/>
          <w:color w:val="000000"/>
          <w:szCs w:val="24"/>
          <w:lang w:eastAsia="es-CO"/>
        </w:rPr>
        <w:t xml:space="preserve"> </w:t>
      </w:r>
      <w:r w:rsidR="004B7029" w:rsidRPr="00BC3C0F">
        <w:rPr>
          <w:rFonts w:ascii="Arial" w:hAnsi="Arial" w:cs="Arial"/>
          <w:color w:val="000000"/>
          <w:szCs w:val="24"/>
          <w:lang w:eastAsia="es-CO"/>
        </w:rPr>
        <w:t>Laboral del Circuito de Pereira</w:t>
      </w:r>
      <w:r w:rsidR="00D135CB" w:rsidRPr="00BC3C0F">
        <w:rPr>
          <w:rFonts w:ascii="Arial" w:hAnsi="Arial" w:cs="Arial"/>
          <w:color w:val="000000"/>
          <w:szCs w:val="24"/>
          <w:lang w:eastAsia="es-CO"/>
        </w:rPr>
        <w:t xml:space="preserve"> </w:t>
      </w:r>
      <w:r w:rsidR="00B3602F">
        <w:rPr>
          <w:rFonts w:ascii="Arial" w:hAnsi="Arial" w:cs="Arial"/>
          <w:color w:val="000000"/>
          <w:szCs w:val="24"/>
          <w:lang w:eastAsia="es-CO"/>
        </w:rPr>
        <w:t xml:space="preserve">absolvió a las demandadas de todas y cada una de las pretensiones y condenó en costas al demandante. </w:t>
      </w:r>
      <w:r w:rsidR="00661873">
        <w:rPr>
          <w:rFonts w:ascii="Arial" w:hAnsi="Arial" w:cs="Arial"/>
          <w:color w:val="000000"/>
          <w:szCs w:val="24"/>
          <w:lang w:eastAsia="es-CO"/>
        </w:rPr>
        <w:t xml:space="preserve">Como fundamento de tal determinación, </w:t>
      </w:r>
      <w:r w:rsidR="00B3602F">
        <w:rPr>
          <w:rFonts w:ascii="Arial" w:hAnsi="Arial" w:cs="Arial"/>
          <w:color w:val="000000"/>
          <w:szCs w:val="24"/>
          <w:lang w:eastAsia="es-CO"/>
        </w:rPr>
        <w:t xml:space="preserve">la </w:t>
      </w:r>
      <w:r w:rsidR="00B3602F" w:rsidRPr="00B3602F">
        <w:rPr>
          <w:rFonts w:ascii="Arial" w:hAnsi="Arial" w:cs="Arial"/>
          <w:i/>
          <w:color w:val="000000"/>
          <w:szCs w:val="24"/>
          <w:lang w:eastAsia="es-CO"/>
        </w:rPr>
        <w:t>a quo</w:t>
      </w:r>
      <w:r w:rsidR="00B3602F">
        <w:rPr>
          <w:rFonts w:ascii="Arial" w:hAnsi="Arial" w:cs="Arial"/>
          <w:i/>
          <w:color w:val="000000"/>
          <w:szCs w:val="24"/>
          <w:lang w:eastAsia="es-CO"/>
        </w:rPr>
        <w:t xml:space="preserve"> </w:t>
      </w:r>
      <w:r w:rsidR="00B3602F">
        <w:rPr>
          <w:rFonts w:ascii="Arial" w:hAnsi="Arial" w:cs="Arial"/>
          <w:color w:val="000000"/>
          <w:szCs w:val="24"/>
          <w:lang w:eastAsia="es-CO"/>
        </w:rPr>
        <w:t xml:space="preserve">concluyó que el fondo no había otorgado información errada como el mismo demandante lo había aceptado. Concretamente </w:t>
      </w:r>
      <w:r w:rsidR="002A1798">
        <w:rPr>
          <w:rFonts w:ascii="Arial" w:hAnsi="Arial" w:cs="Arial"/>
          <w:color w:val="000000"/>
          <w:szCs w:val="24"/>
          <w:lang w:eastAsia="es-CO"/>
        </w:rPr>
        <w:t xml:space="preserve">adujo </w:t>
      </w:r>
      <w:r w:rsidR="00B3602F">
        <w:rPr>
          <w:rFonts w:ascii="Arial" w:hAnsi="Arial" w:cs="Arial"/>
          <w:color w:val="000000"/>
          <w:szCs w:val="24"/>
          <w:lang w:eastAsia="es-CO"/>
        </w:rPr>
        <w:t>que la AFP le explicó los beneficios y características del RAIS, sin generarle falsas expectativas</w:t>
      </w:r>
      <w:r w:rsidR="0044517A">
        <w:rPr>
          <w:rFonts w:ascii="Arial" w:hAnsi="Arial" w:cs="Arial"/>
          <w:color w:val="000000"/>
          <w:szCs w:val="24"/>
          <w:lang w:eastAsia="es-CO"/>
        </w:rPr>
        <w:t>,</w:t>
      </w:r>
      <w:r w:rsidR="00B3602F">
        <w:rPr>
          <w:rFonts w:ascii="Arial" w:hAnsi="Arial" w:cs="Arial"/>
          <w:color w:val="000000"/>
          <w:szCs w:val="24"/>
          <w:lang w:eastAsia="es-CO"/>
        </w:rPr>
        <w:t xml:space="preserve"> pues para la época del traslado no era viable realizar proyecciones, sin que tampoco la AFP tuviera la necesidad de advertir de las consecuencias del traslado pues el demandante no era beneficiario del régimen de transición. </w:t>
      </w:r>
    </w:p>
    <w:p w14:paraId="4AD70ADD" w14:textId="77777777" w:rsidR="008B4923" w:rsidRPr="00361C8C" w:rsidRDefault="008B4923" w:rsidP="008C7C05">
      <w:pPr>
        <w:widowControl w:val="0"/>
        <w:spacing w:line="288" w:lineRule="auto"/>
        <w:rPr>
          <w:rFonts w:ascii="Arial" w:hAnsi="Arial" w:cs="Arial"/>
          <w:bCs/>
          <w:color w:val="000000"/>
          <w:kern w:val="28"/>
          <w:szCs w:val="24"/>
        </w:rPr>
      </w:pPr>
    </w:p>
    <w:p w14:paraId="4D56A005" w14:textId="3484EDC7" w:rsidR="002A1798" w:rsidRPr="002A1798" w:rsidRDefault="002A1798" w:rsidP="008C7C05">
      <w:pPr>
        <w:spacing w:line="288" w:lineRule="auto"/>
        <w:jc w:val="both"/>
        <w:rPr>
          <w:rFonts w:ascii="Arial" w:eastAsiaTheme="minorHAnsi" w:hAnsi="Arial" w:cs="Arial"/>
          <w:b/>
          <w:color w:val="000000" w:themeColor="text1"/>
          <w:szCs w:val="24"/>
          <w:lang w:eastAsia="en-US"/>
        </w:rPr>
      </w:pPr>
      <w:r>
        <w:rPr>
          <w:rFonts w:ascii="Arial" w:eastAsiaTheme="minorHAnsi" w:hAnsi="Arial" w:cs="Arial"/>
          <w:b/>
          <w:color w:val="000000" w:themeColor="text1"/>
          <w:szCs w:val="24"/>
          <w:lang w:eastAsia="en-US"/>
        </w:rPr>
        <w:t xml:space="preserve">    3</w:t>
      </w:r>
      <w:r w:rsidRPr="002A1798">
        <w:rPr>
          <w:rFonts w:ascii="Arial" w:eastAsiaTheme="minorHAnsi" w:hAnsi="Arial" w:cs="Arial"/>
          <w:b/>
          <w:color w:val="000000" w:themeColor="text1"/>
          <w:szCs w:val="24"/>
          <w:lang w:eastAsia="en-US"/>
        </w:rPr>
        <w:t xml:space="preserve">. Grado jurisdiccional de consulta </w:t>
      </w:r>
    </w:p>
    <w:p w14:paraId="0F45BD68" w14:textId="77777777" w:rsidR="002A1798" w:rsidRPr="002A1798" w:rsidRDefault="002A1798" w:rsidP="008C7C05">
      <w:pPr>
        <w:spacing w:line="288" w:lineRule="auto"/>
        <w:jc w:val="both"/>
        <w:rPr>
          <w:rFonts w:ascii="Arial" w:eastAsiaTheme="minorHAnsi" w:hAnsi="Arial" w:cs="Arial"/>
          <w:b/>
          <w:color w:val="000000" w:themeColor="text1"/>
          <w:szCs w:val="24"/>
          <w:lang w:eastAsia="en-US"/>
        </w:rPr>
      </w:pPr>
    </w:p>
    <w:p w14:paraId="36FEC5F6" w14:textId="302E256B" w:rsidR="00B3602F" w:rsidRPr="00BC3C0F" w:rsidRDefault="002A1798" w:rsidP="008C7C05">
      <w:pPr>
        <w:spacing w:line="288" w:lineRule="auto"/>
        <w:jc w:val="both"/>
        <w:rPr>
          <w:rFonts w:ascii="Arial" w:hAnsi="Arial" w:cs="Arial"/>
          <w:color w:val="000000"/>
          <w:szCs w:val="24"/>
          <w:lang w:eastAsia="es-CO"/>
        </w:rPr>
      </w:pPr>
      <w:r w:rsidRPr="002A1798">
        <w:rPr>
          <w:rFonts w:ascii="Arial" w:eastAsiaTheme="minorHAnsi" w:hAnsi="Arial" w:cs="Arial"/>
          <w:color w:val="000000" w:themeColor="text1"/>
          <w:szCs w:val="24"/>
          <w:lang w:eastAsia="en-US"/>
        </w:rPr>
        <w:t xml:space="preserve">Como la anterior decisión, resultó adversa a los intereses </w:t>
      </w:r>
      <w:r>
        <w:rPr>
          <w:rFonts w:ascii="Arial" w:eastAsiaTheme="minorHAnsi" w:hAnsi="Arial" w:cs="Arial"/>
          <w:color w:val="000000" w:themeColor="text1"/>
          <w:szCs w:val="24"/>
          <w:lang w:eastAsia="en-US"/>
        </w:rPr>
        <w:t>del demandante</w:t>
      </w:r>
      <w:r w:rsidRPr="002A1798">
        <w:rPr>
          <w:rFonts w:ascii="Arial" w:eastAsiaTheme="minorHAnsi" w:hAnsi="Arial" w:cs="Arial"/>
          <w:color w:val="000000" w:themeColor="text1"/>
          <w:szCs w:val="24"/>
          <w:lang w:eastAsia="en-US"/>
        </w:rPr>
        <w:t xml:space="preserve"> se ordenó el grado jurisdiccional de consulta, conforme lo dispone en artículo 69 del C.P.L.</w:t>
      </w:r>
    </w:p>
    <w:p w14:paraId="02B73A9C" w14:textId="77777777" w:rsidR="00D709CE" w:rsidRPr="00361C8C" w:rsidRDefault="00D709CE" w:rsidP="008C7C05">
      <w:pPr>
        <w:widowControl w:val="0"/>
        <w:spacing w:line="288" w:lineRule="auto"/>
        <w:rPr>
          <w:rFonts w:ascii="Arial" w:hAnsi="Arial" w:cs="Arial"/>
          <w:bCs/>
          <w:color w:val="000000"/>
          <w:kern w:val="28"/>
          <w:szCs w:val="24"/>
        </w:rPr>
      </w:pPr>
    </w:p>
    <w:p w14:paraId="4A50350F" w14:textId="77777777" w:rsidR="00D709CE" w:rsidRPr="008C7C05" w:rsidRDefault="00D709CE" w:rsidP="008C7C05">
      <w:pPr>
        <w:pStyle w:val="Textoindependiente"/>
        <w:spacing w:line="288" w:lineRule="auto"/>
        <w:contextualSpacing/>
        <w:jc w:val="center"/>
        <w:rPr>
          <w:b/>
          <w:iCs/>
          <w:szCs w:val="24"/>
        </w:rPr>
      </w:pPr>
      <w:r w:rsidRPr="008C7C05">
        <w:rPr>
          <w:b/>
          <w:iCs/>
          <w:szCs w:val="24"/>
        </w:rPr>
        <w:t>CONSIDERACIONES</w:t>
      </w:r>
    </w:p>
    <w:p w14:paraId="05C9352D" w14:textId="77777777" w:rsidR="00A04DDF" w:rsidRPr="00361C8C" w:rsidRDefault="00A04DDF" w:rsidP="008C7C05">
      <w:pPr>
        <w:widowControl w:val="0"/>
        <w:spacing w:line="288" w:lineRule="auto"/>
        <w:rPr>
          <w:rFonts w:ascii="Arial" w:hAnsi="Arial" w:cs="Arial"/>
          <w:bCs/>
          <w:color w:val="000000"/>
          <w:kern w:val="28"/>
          <w:szCs w:val="24"/>
        </w:rPr>
      </w:pPr>
    </w:p>
    <w:p w14:paraId="3BCA71B3" w14:textId="4033AFF7" w:rsidR="00D709CE" w:rsidRPr="008C7C05" w:rsidRDefault="00D709CE" w:rsidP="008C7C05">
      <w:pPr>
        <w:pStyle w:val="Prrafodelista"/>
        <w:numPr>
          <w:ilvl w:val="0"/>
          <w:numId w:val="11"/>
        </w:numPr>
        <w:spacing w:line="288" w:lineRule="auto"/>
        <w:jc w:val="both"/>
        <w:rPr>
          <w:rFonts w:ascii="Arial" w:hAnsi="Arial" w:cs="Arial"/>
          <w:b/>
          <w:color w:val="000000" w:themeColor="text1"/>
          <w:sz w:val="24"/>
          <w:szCs w:val="24"/>
        </w:rPr>
      </w:pPr>
      <w:r w:rsidRPr="008C7C05">
        <w:rPr>
          <w:rFonts w:ascii="Arial" w:hAnsi="Arial" w:cs="Arial"/>
          <w:b/>
          <w:color w:val="000000" w:themeColor="text1"/>
          <w:sz w:val="24"/>
          <w:szCs w:val="24"/>
        </w:rPr>
        <w:t>Del problema jurídico</w:t>
      </w:r>
    </w:p>
    <w:p w14:paraId="09297DFD" w14:textId="77777777" w:rsidR="009073B4" w:rsidRDefault="009073B4" w:rsidP="008C7C05">
      <w:pPr>
        <w:shd w:val="clear" w:color="auto" w:fill="FFFFFF"/>
        <w:tabs>
          <w:tab w:val="left" w:pos="5197"/>
        </w:tabs>
        <w:spacing w:line="288" w:lineRule="auto"/>
        <w:jc w:val="both"/>
        <w:rPr>
          <w:rFonts w:ascii="Arial" w:hAnsi="Arial" w:cs="Arial"/>
          <w:szCs w:val="24"/>
        </w:rPr>
      </w:pPr>
    </w:p>
    <w:p w14:paraId="136820D9" w14:textId="77777777" w:rsidR="00D709CE" w:rsidRDefault="00D709CE" w:rsidP="008C7C05">
      <w:pPr>
        <w:shd w:val="clear" w:color="auto" w:fill="FFFFFF"/>
        <w:tabs>
          <w:tab w:val="left" w:pos="5197"/>
        </w:tabs>
        <w:spacing w:line="288" w:lineRule="auto"/>
        <w:jc w:val="both"/>
        <w:rPr>
          <w:rFonts w:ascii="Arial" w:hAnsi="Arial" w:cs="Arial"/>
          <w:szCs w:val="24"/>
        </w:rPr>
      </w:pPr>
      <w:r>
        <w:rPr>
          <w:rFonts w:ascii="Arial" w:hAnsi="Arial" w:cs="Arial"/>
          <w:szCs w:val="24"/>
        </w:rPr>
        <w:t>Atendiendo el recuento anterior la Sala se pregunta:</w:t>
      </w:r>
    </w:p>
    <w:p w14:paraId="670812E9" w14:textId="77777777" w:rsidR="00D709CE" w:rsidRDefault="00D709CE" w:rsidP="008C7C05">
      <w:pPr>
        <w:shd w:val="clear" w:color="auto" w:fill="FFFFFF"/>
        <w:tabs>
          <w:tab w:val="left" w:pos="5197"/>
        </w:tabs>
        <w:spacing w:line="288" w:lineRule="auto"/>
        <w:contextualSpacing/>
        <w:jc w:val="both"/>
        <w:rPr>
          <w:rFonts w:ascii="Arial" w:hAnsi="Arial" w:cs="Arial"/>
          <w:color w:val="000000" w:themeColor="text1"/>
          <w:szCs w:val="24"/>
        </w:rPr>
      </w:pPr>
    </w:p>
    <w:p w14:paraId="7F8EC67C" w14:textId="79776E73" w:rsidR="00692F47" w:rsidRDefault="00692F47" w:rsidP="008C7C05">
      <w:pPr>
        <w:pStyle w:val="Textoindependiente"/>
        <w:spacing w:line="288" w:lineRule="auto"/>
        <w:ind w:right="-93"/>
        <w:contextualSpacing/>
        <w:rPr>
          <w:iCs/>
          <w:color w:val="000000" w:themeColor="text1"/>
          <w:szCs w:val="24"/>
        </w:rPr>
      </w:pPr>
      <w:r w:rsidRPr="00BC3C0F">
        <w:rPr>
          <w:iCs/>
          <w:color w:val="000000" w:themeColor="text1"/>
          <w:szCs w:val="24"/>
        </w:rPr>
        <w:t>¿</w:t>
      </w:r>
      <w:r w:rsidR="0044517A">
        <w:rPr>
          <w:iCs/>
          <w:color w:val="000000" w:themeColor="text1"/>
          <w:szCs w:val="24"/>
        </w:rPr>
        <w:t>Se desconoció el derecho del</w:t>
      </w:r>
      <w:r>
        <w:rPr>
          <w:iCs/>
          <w:color w:val="000000" w:themeColor="text1"/>
          <w:szCs w:val="24"/>
        </w:rPr>
        <w:t xml:space="preserve"> demandante a elegir libre y voluntariamente el régimen pensional deseado?</w:t>
      </w:r>
    </w:p>
    <w:p w14:paraId="4920EB8C" w14:textId="77777777" w:rsidR="008B4923" w:rsidRPr="00361C8C" w:rsidRDefault="008B4923" w:rsidP="008C7C05">
      <w:pPr>
        <w:widowControl w:val="0"/>
        <w:spacing w:line="288" w:lineRule="auto"/>
        <w:rPr>
          <w:rFonts w:ascii="Arial" w:hAnsi="Arial" w:cs="Arial"/>
          <w:bCs/>
          <w:color w:val="000000"/>
          <w:kern w:val="28"/>
          <w:szCs w:val="24"/>
        </w:rPr>
      </w:pPr>
    </w:p>
    <w:p w14:paraId="303FA1F5" w14:textId="77777777" w:rsidR="00D709CE" w:rsidRPr="0000603E" w:rsidRDefault="00D709CE" w:rsidP="008C7C05">
      <w:pPr>
        <w:pStyle w:val="Textoindependiente"/>
        <w:spacing w:line="288" w:lineRule="auto"/>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27B6C63B" w14:textId="77777777" w:rsidR="00B43299" w:rsidRPr="00361C8C" w:rsidRDefault="00D709CE" w:rsidP="008C7C05">
      <w:pPr>
        <w:widowControl w:val="0"/>
        <w:spacing w:line="288" w:lineRule="auto"/>
        <w:rPr>
          <w:rFonts w:ascii="Arial" w:hAnsi="Arial" w:cs="Arial"/>
          <w:bCs/>
          <w:color w:val="000000"/>
          <w:kern w:val="28"/>
          <w:szCs w:val="24"/>
        </w:rPr>
      </w:pPr>
      <w:r w:rsidRPr="00361C8C">
        <w:rPr>
          <w:rFonts w:ascii="Arial" w:hAnsi="Arial" w:cs="Arial"/>
          <w:bCs/>
          <w:color w:val="000000"/>
          <w:kern w:val="28"/>
          <w:szCs w:val="24"/>
        </w:rPr>
        <w:t xml:space="preserve"> </w:t>
      </w:r>
    </w:p>
    <w:p w14:paraId="5238AAF3" w14:textId="29DF97EF" w:rsidR="00D709CE" w:rsidRPr="008C7C05" w:rsidRDefault="00D709CE" w:rsidP="008C7C05">
      <w:pPr>
        <w:pStyle w:val="Textoindependiente"/>
        <w:spacing w:line="288" w:lineRule="auto"/>
        <w:contextualSpacing/>
        <w:rPr>
          <w:b/>
          <w:iCs/>
          <w:szCs w:val="24"/>
        </w:rPr>
      </w:pPr>
      <w:r w:rsidRPr="008C7C05">
        <w:rPr>
          <w:b/>
          <w:iCs/>
          <w:szCs w:val="24"/>
        </w:rPr>
        <w:t>2.1.</w:t>
      </w:r>
      <w:r w:rsidR="00B3602F" w:rsidRPr="008C7C05">
        <w:rPr>
          <w:b/>
          <w:iCs/>
          <w:szCs w:val="24"/>
        </w:rPr>
        <w:t xml:space="preserve"> </w:t>
      </w:r>
      <w:r w:rsidRPr="008C7C05">
        <w:rPr>
          <w:b/>
          <w:iCs/>
          <w:szCs w:val="24"/>
        </w:rPr>
        <w:t>Fundamento jurídico</w:t>
      </w:r>
    </w:p>
    <w:p w14:paraId="5B85D645" w14:textId="77777777" w:rsidR="00B43299" w:rsidRDefault="00B43299" w:rsidP="008C7C05">
      <w:pPr>
        <w:shd w:val="clear" w:color="auto" w:fill="FFFFFF"/>
        <w:tabs>
          <w:tab w:val="left" w:pos="5197"/>
        </w:tabs>
        <w:spacing w:before="240" w:line="288"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387A0B87" w14:textId="77777777" w:rsidR="00B43299" w:rsidRDefault="00B43299" w:rsidP="008C7C05">
      <w:pPr>
        <w:shd w:val="clear" w:color="auto" w:fill="FFFFFF"/>
        <w:tabs>
          <w:tab w:val="left" w:pos="5197"/>
        </w:tabs>
        <w:spacing w:line="288" w:lineRule="auto"/>
        <w:contextualSpacing/>
        <w:jc w:val="both"/>
        <w:rPr>
          <w:rFonts w:ascii="Arial" w:hAnsi="Arial" w:cs="Arial"/>
          <w:color w:val="000000" w:themeColor="text1"/>
          <w:szCs w:val="24"/>
        </w:rPr>
      </w:pPr>
    </w:p>
    <w:p w14:paraId="3D191A8D" w14:textId="77777777" w:rsidR="00B43299" w:rsidRDefault="00B43299" w:rsidP="008C7C05">
      <w:pPr>
        <w:shd w:val="clear" w:color="auto" w:fill="FFFFFF"/>
        <w:tabs>
          <w:tab w:val="left" w:pos="5197"/>
        </w:tabs>
        <w:spacing w:line="288" w:lineRule="auto"/>
        <w:contextualSpacing/>
        <w:jc w:val="both"/>
        <w:rPr>
          <w:rFonts w:ascii="Arial" w:hAnsi="Arial" w:cs="Arial"/>
          <w:color w:val="000000" w:themeColor="text1"/>
          <w:szCs w:val="24"/>
        </w:rPr>
      </w:pPr>
      <w:r w:rsidRPr="00BC3C0F">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14:paraId="071C6B44" w14:textId="77777777" w:rsidR="00B43299" w:rsidRPr="00BC3C0F" w:rsidRDefault="00B43299" w:rsidP="008C7C05">
      <w:pPr>
        <w:shd w:val="clear" w:color="auto" w:fill="FFFFFF"/>
        <w:tabs>
          <w:tab w:val="left" w:pos="5197"/>
        </w:tabs>
        <w:spacing w:line="288" w:lineRule="auto"/>
        <w:contextualSpacing/>
        <w:jc w:val="both"/>
        <w:rPr>
          <w:rFonts w:ascii="Arial" w:hAnsi="Arial" w:cs="Arial"/>
          <w:color w:val="000000" w:themeColor="text1"/>
          <w:szCs w:val="24"/>
        </w:rPr>
      </w:pPr>
    </w:p>
    <w:p w14:paraId="684BD396" w14:textId="78B5DFEC" w:rsidR="00B43299" w:rsidRPr="00BC3C0F" w:rsidRDefault="00B43299" w:rsidP="008C7C05">
      <w:pPr>
        <w:shd w:val="clear" w:color="auto" w:fill="FFFFFF"/>
        <w:tabs>
          <w:tab w:val="left" w:pos="5197"/>
        </w:tabs>
        <w:spacing w:line="288"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w:t>
      </w:r>
      <w:r>
        <w:rPr>
          <w:rFonts w:ascii="Arial" w:hAnsi="Arial" w:cs="Arial"/>
          <w:color w:val="000000" w:themeColor="text1"/>
          <w:szCs w:val="24"/>
        </w:rPr>
        <w:t>,</w:t>
      </w:r>
      <w:r w:rsidRPr="00BC3C0F">
        <w:rPr>
          <w:rFonts w:ascii="Arial" w:hAnsi="Arial" w:cs="Arial"/>
          <w:color w:val="000000" w:themeColor="text1"/>
          <w:szCs w:val="24"/>
        </w:rPr>
        <w:t xml:space="preserve">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la SCL de la CSJ</w:t>
      </w:r>
      <w:r w:rsidRPr="00BC3C0F">
        <w:rPr>
          <w:rStyle w:val="Refdenotaalpie"/>
          <w:rFonts w:ascii="Arial" w:hAnsi="Arial" w:cs="Arial"/>
          <w:color w:val="000000" w:themeColor="text1"/>
          <w:szCs w:val="24"/>
        </w:rPr>
        <w:footnoteReference w:id="1"/>
      </w:r>
      <w:r>
        <w:rPr>
          <w:rFonts w:ascii="Arial" w:hAnsi="Arial" w:cs="Arial"/>
          <w:color w:val="000000" w:themeColor="text1"/>
          <w:szCs w:val="24"/>
        </w:rPr>
        <w:t xml:space="preserve"> </w:t>
      </w:r>
      <w:r w:rsidRPr="00BC3C0F">
        <w:rPr>
          <w:rFonts w:ascii="Arial" w:hAnsi="Arial" w:cs="Arial"/>
          <w:color w:val="000000" w:themeColor="text1"/>
          <w:szCs w:val="24"/>
        </w:rPr>
        <w:t>indicó que procede para todos los afiliados al sistema pensional sin distingo a su pertenencia o no al régimen de transición</w:t>
      </w:r>
      <w:r>
        <w:rPr>
          <w:rFonts w:ascii="Arial" w:hAnsi="Arial" w:cs="Arial"/>
          <w:color w:val="000000" w:themeColor="text1"/>
          <w:szCs w:val="24"/>
        </w:rPr>
        <w:t>,</w:t>
      </w:r>
      <w:r w:rsidRPr="00BC3C0F">
        <w:rPr>
          <w:rFonts w:ascii="Arial" w:hAnsi="Arial" w:cs="Arial"/>
          <w:color w:val="000000" w:themeColor="text1"/>
          <w:szCs w:val="24"/>
        </w:rPr>
        <w:t xml:space="preserve"> previsto en el artículo 36 de la Ley 100 de 1993, cuya c</w:t>
      </w:r>
      <w:r>
        <w:rPr>
          <w:rFonts w:ascii="Arial" w:hAnsi="Arial" w:cs="Arial"/>
          <w:color w:val="000000" w:themeColor="text1"/>
          <w:szCs w:val="24"/>
        </w:rPr>
        <w:t>arga probatoria recae en la AFP</w:t>
      </w:r>
      <w:r w:rsidRPr="00BC3C0F">
        <w:rPr>
          <w:rFonts w:ascii="Arial" w:hAnsi="Arial" w:cs="Arial"/>
          <w:color w:val="000000" w:themeColor="text1"/>
          <w:szCs w:val="24"/>
        </w:rPr>
        <w:t xml:space="preserve"> quien deberá acreditar que informó</w:t>
      </w:r>
      <w:r>
        <w:rPr>
          <w:rFonts w:ascii="Arial" w:hAnsi="Arial" w:cs="Arial"/>
          <w:color w:val="000000" w:themeColor="text1"/>
          <w:szCs w:val="24"/>
        </w:rPr>
        <w:t xml:space="preserve"> las características, condiciones, ventajas, desventajas y consecuencias del traslado. T</w:t>
      </w:r>
      <w:r w:rsidR="0044517A">
        <w:rPr>
          <w:rFonts w:ascii="Arial" w:hAnsi="Arial" w:cs="Arial"/>
          <w:color w:val="000000" w:themeColor="text1"/>
          <w:szCs w:val="24"/>
        </w:rPr>
        <w:t>esis que no comparte</w:t>
      </w:r>
      <w:r>
        <w:rPr>
          <w:rFonts w:ascii="Arial" w:hAnsi="Arial" w:cs="Arial"/>
          <w:color w:val="000000" w:themeColor="text1"/>
          <w:szCs w:val="24"/>
        </w:rPr>
        <w:t xml:space="preserve"> la Sala Mayoritaria. </w:t>
      </w:r>
    </w:p>
    <w:p w14:paraId="40011110" w14:textId="77777777" w:rsidR="00B43299" w:rsidRPr="00BC3C0F" w:rsidRDefault="00B43299" w:rsidP="008C7C05">
      <w:pPr>
        <w:shd w:val="clear" w:color="auto" w:fill="FFFFFF"/>
        <w:tabs>
          <w:tab w:val="left" w:pos="5197"/>
        </w:tabs>
        <w:spacing w:line="288" w:lineRule="auto"/>
        <w:jc w:val="both"/>
        <w:rPr>
          <w:rFonts w:ascii="Arial" w:hAnsi="Arial" w:cs="Arial"/>
          <w:color w:val="000000" w:themeColor="text1"/>
          <w:szCs w:val="24"/>
        </w:rPr>
      </w:pPr>
    </w:p>
    <w:p w14:paraId="03F8580D" w14:textId="1CD29A96" w:rsidR="00B43299" w:rsidRDefault="00B43299" w:rsidP="008C7C05">
      <w:pPr>
        <w:spacing w:line="288" w:lineRule="auto"/>
        <w:ind w:right="-93"/>
        <w:jc w:val="both"/>
        <w:rPr>
          <w:rFonts w:ascii="Arial" w:hAnsi="Arial" w:cs="Arial"/>
          <w:color w:val="000000"/>
          <w:szCs w:val="24"/>
          <w:u w:val="single"/>
          <w:lang w:eastAsia="es-CO"/>
        </w:rPr>
      </w:pPr>
      <w:r w:rsidRPr="00BC3C0F">
        <w:rPr>
          <w:rFonts w:ascii="Arial" w:hAnsi="Arial" w:cs="Arial"/>
          <w:color w:val="000000" w:themeColor="text1"/>
          <w:szCs w:val="24"/>
        </w:rPr>
        <w:t xml:space="preserve">Así, la intelección que </w:t>
      </w:r>
      <w:r>
        <w:rPr>
          <w:rFonts w:ascii="Arial" w:hAnsi="Arial" w:cs="Arial"/>
          <w:color w:val="000000" w:themeColor="text1"/>
          <w:szCs w:val="24"/>
        </w:rPr>
        <w:t>se tiene, radica 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consentimiento que se manifiesta por escrito al momento del diligenciamiento de la vinculación o traslado,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xml:space="preserve">, consistentes </w:t>
      </w:r>
      <w:r>
        <w:rPr>
          <w:rFonts w:ascii="Arial" w:hAnsi="Arial" w:cs="Arial"/>
          <w:color w:val="000000"/>
          <w:szCs w:val="24"/>
          <w:lang w:eastAsia="es-CO"/>
        </w:rPr>
        <w:t xml:space="preserve">de un lado </w:t>
      </w:r>
      <w:r w:rsidRPr="003E29A2">
        <w:rPr>
          <w:rFonts w:ascii="Arial" w:hAnsi="Arial" w:cs="Arial"/>
          <w:color w:val="000000"/>
          <w:szCs w:val="24"/>
          <w:lang w:eastAsia="es-CO"/>
        </w:rPr>
        <w:t xml:space="preserve">en multas </w:t>
      </w:r>
      <w:r>
        <w:rPr>
          <w:rFonts w:ascii="Arial" w:hAnsi="Arial" w:cs="Arial"/>
          <w:color w:val="000000"/>
          <w:szCs w:val="24"/>
          <w:lang w:eastAsia="es-CO"/>
        </w:rPr>
        <w:t>y de otro de vital importancia, d</w:t>
      </w:r>
      <w:r w:rsidRPr="003E29A2">
        <w:rPr>
          <w:rFonts w:ascii="Arial" w:hAnsi="Arial" w:cs="Arial"/>
          <w:color w:val="000000"/>
          <w:szCs w:val="24"/>
          <w:lang w:eastAsia="es-CO"/>
        </w:rPr>
        <w:t>ejar sin efecto la afiliación</w:t>
      </w:r>
      <w:r>
        <w:rPr>
          <w:rFonts w:ascii="Arial" w:hAnsi="Arial" w:cs="Arial"/>
          <w:color w:val="000000"/>
          <w:szCs w:val="24"/>
          <w:lang w:eastAsia="es-CO"/>
        </w:rPr>
        <w:t>;</w:t>
      </w:r>
      <w:r w:rsidRPr="003E29A2">
        <w:rPr>
          <w:rFonts w:ascii="Arial" w:hAnsi="Arial" w:cs="Arial"/>
          <w:color w:val="000000"/>
          <w:szCs w:val="24"/>
          <w:lang w:eastAsia="es-CO"/>
        </w:rPr>
        <w:t xml:space="preserve"> </w:t>
      </w:r>
      <w:r>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en forma libre y voluntaria, </w:t>
      </w:r>
      <w:r w:rsidRPr="00C10D52">
        <w:rPr>
          <w:rFonts w:ascii="Arial" w:hAnsi="Arial" w:cs="Arial"/>
          <w:color w:val="000000"/>
          <w:szCs w:val="24"/>
          <w:lang w:eastAsia="es-CO"/>
        </w:rPr>
        <w:t>sin que por esto recobre vigencia l</w:t>
      </w:r>
      <w:r>
        <w:rPr>
          <w:rFonts w:ascii="Arial" w:hAnsi="Arial" w:cs="Arial"/>
          <w:color w:val="000000"/>
          <w:szCs w:val="24"/>
          <w:lang w:eastAsia="es-CO"/>
        </w:rPr>
        <w:t>a afiliación anterior, pues ello</w:t>
      </w:r>
      <w:r w:rsidRPr="00C10D52">
        <w:rPr>
          <w:rFonts w:ascii="Arial" w:hAnsi="Arial" w:cs="Arial"/>
          <w:color w:val="000000"/>
          <w:szCs w:val="24"/>
          <w:lang w:eastAsia="es-CO"/>
        </w:rPr>
        <w:t xml:space="preserve"> no es el efecto jurídico de la </w:t>
      </w:r>
      <w:r>
        <w:rPr>
          <w:rFonts w:ascii="Arial" w:hAnsi="Arial" w:cs="Arial"/>
          <w:color w:val="000000"/>
          <w:szCs w:val="24"/>
          <w:lang w:eastAsia="es-CO"/>
        </w:rPr>
        <w:t>ineficacia</w:t>
      </w:r>
      <w:r w:rsidRPr="00C10D52">
        <w:rPr>
          <w:rFonts w:ascii="Arial" w:hAnsi="Arial" w:cs="Arial"/>
          <w:color w:val="000000"/>
          <w:szCs w:val="24"/>
          <w:lang w:eastAsia="es-CO"/>
        </w:rPr>
        <w:t xml:space="preserve"> que trae el canon citado.</w:t>
      </w:r>
      <w:r w:rsidRPr="0050218E">
        <w:rPr>
          <w:rFonts w:ascii="Arial" w:hAnsi="Arial" w:cs="Arial"/>
          <w:color w:val="000000"/>
          <w:szCs w:val="24"/>
          <w:u w:val="single"/>
          <w:lang w:eastAsia="es-CO"/>
        </w:rPr>
        <w:t xml:space="preserve"> </w:t>
      </w:r>
    </w:p>
    <w:p w14:paraId="695697E7" w14:textId="77777777" w:rsidR="00B43299" w:rsidRPr="003E29A2" w:rsidRDefault="00B43299" w:rsidP="008C7C05">
      <w:pPr>
        <w:spacing w:line="288" w:lineRule="auto"/>
        <w:ind w:right="-93"/>
        <w:jc w:val="both"/>
        <w:rPr>
          <w:rFonts w:ascii="Arial" w:hAnsi="Arial" w:cs="Arial"/>
          <w:color w:val="000000"/>
          <w:szCs w:val="24"/>
          <w:lang w:eastAsia="es-CO"/>
        </w:rPr>
      </w:pPr>
    </w:p>
    <w:p w14:paraId="3A0E6710" w14:textId="77777777" w:rsidR="00B43299" w:rsidRDefault="00B43299" w:rsidP="008C7C05">
      <w:pPr>
        <w:spacing w:line="288" w:lineRule="auto"/>
        <w:ind w:right="-93"/>
        <w:jc w:val="both"/>
        <w:rPr>
          <w:rFonts w:ascii="Arial" w:hAnsi="Arial" w:cs="Arial"/>
          <w:color w:val="000000"/>
          <w:szCs w:val="24"/>
          <w:lang w:eastAsia="es-CO"/>
        </w:rPr>
      </w:pPr>
      <w:r w:rsidRPr="003E29A2">
        <w:rPr>
          <w:rFonts w:ascii="Arial" w:hAnsi="Arial" w:cs="Arial"/>
          <w:color w:val="000000"/>
          <w:szCs w:val="24"/>
          <w:lang w:eastAsia="es-CO"/>
        </w:rPr>
        <w:t xml:space="preserve">Ahora bien, el desconocimiento del derecho de libre y voluntaria elección de régimen </w:t>
      </w:r>
      <w:r>
        <w:rPr>
          <w:rFonts w:ascii="Arial" w:hAnsi="Arial" w:cs="Arial"/>
          <w:color w:val="000000"/>
          <w:szCs w:val="24"/>
          <w:lang w:eastAsia="es-CO"/>
        </w:rPr>
        <w:t xml:space="preserve">se manifiesta cuando existe una disconformidad entre la voluntad interna del trabajador y la declaración o manifestación que de esta haga a su interlocutor en el momento de elegir el régimen pensional. </w:t>
      </w:r>
    </w:p>
    <w:p w14:paraId="5594AB1A" w14:textId="77777777" w:rsidR="00B43299" w:rsidRDefault="00B43299" w:rsidP="008C7C05">
      <w:pPr>
        <w:spacing w:line="288" w:lineRule="auto"/>
        <w:ind w:right="-93"/>
        <w:jc w:val="both"/>
        <w:rPr>
          <w:rFonts w:ascii="Arial" w:hAnsi="Arial" w:cs="Arial"/>
          <w:color w:val="000000"/>
          <w:szCs w:val="24"/>
          <w:lang w:eastAsia="es-CO"/>
        </w:rPr>
      </w:pPr>
    </w:p>
    <w:p w14:paraId="4374D990" w14:textId="77777777" w:rsidR="00B43299" w:rsidRDefault="00B43299" w:rsidP="008C7C05">
      <w:pPr>
        <w:spacing w:line="288" w:lineRule="auto"/>
        <w:ind w:right="-93"/>
        <w:jc w:val="both"/>
        <w:rPr>
          <w:rFonts w:ascii="Arial" w:hAnsi="Arial" w:cs="Arial"/>
          <w:color w:val="000000"/>
          <w:szCs w:val="24"/>
          <w:lang w:eastAsia="es-CO"/>
        </w:rPr>
      </w:pPr>
      <w:r>
        <w:rPr>
          <w:rFonts w:ascii="Arial" w:hAnsi="Arial" w:cs="Arial"/>
          <w:color w:val="000000"/>
          <w:szCs w:val="24"/>
          <w:lang w:eastAsia="es-CO"/>
        </w:rPr>
        <w:t>Dicha disconformidad se cimienta en el numeral 2º del artículo 1502 del C.C. dado que para que una persona se obligue con otra a través de la declaración de su voluntad debe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p>
    <w:p w14:paraId="74CB5056" w14:textId="77777777" w:rsidR="00B43299" w:rsidRDefault="00B43299" w:rsidP="008C7C05">
      <w:pPr>
        <w:spacing w:line="288" w:lineRule="auto"/>
        <w:ind w:right="-93"/>
        <w:jc w:val="both"/>
        <w:rPr>
          <w:rFonts w:ascii="Arial" w:hAnsi="Arial" w:cs="Arial"/>
          <w:color w:val="000000"/>
          <w:szCs w:val="24"/>
          <w:lang w:eastAsia="es-CO"/>
        </w:rPr>
      </w:pPr>
    </w:p>
    <w:p w14:paraId="36D5EA14" w14:textId="77777777" w:rsidR="00B43299" w:rsidRDefault="00B43299" w:rsidP="008C7C05">
      <w:pPr>
        <w:spacing w:line="288" w:lineRule="auto"/>
        <w:ind w:right="-93"/>
        <w:jc w:val="both"/>
        <w:rPr>
          <w:rFonts w:ascii="Arial" w:hAnsi="Arial" w:cs="Arial"/>
          <w:color w:val="000000"/>
          <w:szCs w:val="24"/>
          <w:lang w:eastAsia="es-CO"/>
        </w:rPr>
      </w:pPr>
      <w:r>
        <w:rPr>
          <w:rFonts w:ascii="Arial" w:hAnsi="Arial" w:cs="Arial"/>
          <w:color w:val="000000"/>
          <w:szCs w:val="24"/>
          <w:lang w:eastAsia="es-CO"/>
        </w:rPr>
        <w:t>El anterior derrotero cobra relevancia al desentrañar en quién recae la carga de probar el contenido y forma en que se dio el consentimiento por el afiliado, pues tal evidencia demostrará la disconformidad entre lo querido y lo expresado, en consecuencia el desconocimiento del derecho a la libre escogencia del régimen pensional.</w:t>
      </w:r>
    </w:p>
    <w:p w14:paraId="4781DE67" w14:textId="77777777" w:rsidR="00B43299" w:rsidRDefault="00B43299" w:rsidP="008C7C05">
      <w:pPr>
        <w:spacing w:line="288" w:lineRule="auto"/>
        <w:ind w:right="-93"/>
        <w:jc w:val="both"/>
        <w:rPr>
          <w:rFonts w:ascii="Arial" w:hAnsi="Arial" w:cs="Arial"/>
          <w:color w:val="000000"/>
          <w:szCs w:val="24"/>
          <w:lang w:eastAsia="es-CO"/>
        </w:rPr>
      </w:pPr>
    </w:p>
    <w:p w14:paraId="5C3DE6CA" w14:textId="77777777" w:rsidR="00B43299" w:rsidRDefault="00B43299" w:rsidP="008C7C05">
      <w:pPr>
        <w:spacing w:line="288" w:lineRule="auto"/>
        <w:ind w:right="-93"/>
        <w:jc w:val="both"/>
        <w:rPr>
          <w:rFonts w:ascii="Arial" w:hAnsi="Arial" w:cs="Arial"/>
          <w:color w:val="000000"/>
          <w:szCs w:val="24"/>
          <w:lang w:eastAsia="es-CO"/>
        </w:rPr>
      </w:pPr>
      <w:r>
        <w:rPr>
          <w:rFonts w:ascii="Arial" w:hAnsi="Arial" w:cs="Arial"/>
          <w:color w:val="000000"/>
          <w:szCs w:val="24"/>
          <w:lang w:eastAsia="es-CO"/>
        </w:rPr>
        <w:t>Puestas de ese modo las cosas, resulta imprescindible mencionar lo dispuesto en el art. 1604 del C.C. que exige que “</w:t>
      </w:r>
      <w:r w:rsidRPr="000337DE">
        <w:rPr>
          <w:rFonts w:ascii="Arial" w:hAnsi="Arial" w:cs="Arial"/>
          <w:i/>
          <w:color w:val="000000"/>
          <w:szCs w:val="24"/>
          <w:lang w:eastAsia="es-CO"/>
        </w:rPr>
        <w:t>la prueba de la diligencia o cuidado incumbe al que ha debido emplearlo; la prueba de</w:t>
      </w:r>
      <w:r>
        <w:rPr>
          <w:rFonts w:ascii="Arial" w:hAnsi="Arial" w:cs="Arial"/>
          <w:i/>
          <w:color w:val="000000"/>
          <w:szCs w:val="24"/>
          <w:lang w:eastAsia="es-CO"/>
        </w:rPr>
        <w:t xml:space="preserve">l caso fortuito al que lo alega”; </w:t>
      </w:r>
      <w:r>
        <w:rPr>
          <w:rFonts w:ascii="Arial" w:hAnsi="Arial" w:cs="Arial"/>
          <w:color w:val="000000"/>
          <w:szCs w:val="24"/>
          <w:lang w:eastAsia="es-CO"/>
        </w:rPr>
        <w:t xml:space="preserve">no obstante lo anterior, dicha obligación probatoria aparece como respuesta inmediata a alguien que previamente ha alegado el incumplimiento de una obligación por parte de su deudor, y en esa medida, quien alega un incumplimiento obligacional deberá probar el supuesto de hecho de la norma que consagra el efecto jurídico perseguido (art. 167 C.G.P.), o en otras palabras, demostrar la obligación incumplida para que se presuma que ello se dio por culpa de la contraparte, quien en respuesta de tal cuestionamiento tendrá la carga de acreditar la diligencia o cuidado en la obligación pactada. </w:t>
      </w:r>
    </w:p>
    <w:p w14:paraId="4DCBB743" w14:textId="77777777" w:rsidR="00B43299" w:rsidRDefault="00B43299" w:rsidP="008C7C05">
      <w:pPr>
        <w:spacing w:line="288" w:lineRule="auto"/>
        <w:ind w:right="-93"/>
        <w:jc w:val="both"/>
        <w:rPr>
          <w:rFonts w:ascii="Arial" w:hAnsi="Arial" w:cs="Arial"/>
          <w:color w:val="000000"/>
          <w:szCs w:val="24"/>
          <w:lang w:eastAsia="es-CO"/>
        </w:rPr>
      </w:pPr>
    </w:p>
    <w:p w14:paraId="1B42640D" w14:textId="77777777" w:rsidR="00B43299" w:rsidRDefault="00B43299" w:rsidP="008C7C05">
      <w:pPr>
        <w:spacing w:line="288" w:lineRule="auto"/>
        <w:ind w:right="49"/>
        <w:contextualSpacing/>
        <w:jc w:val="both"/>
        <w:rPr>
          <w:rFonts w:ascii="Arial" w:hAnsi="Arial" w:cs="Arial"/>
          <w:color w:val="000000"/>
          <w:szCs w:val="24"/>
          <w:lang w:eastAsia="es-CO"/>
        </w:rPr>
      </w:pPr>
      <w:r>
        <w:rPr>
          <w:rFonts w:ascii="Arial" w:hAnsi="Arial" w:cs="Arial"/>
          <w:color w:val="000000"/>
          <w:szCs w:val="24"/>
          <w:lang w:eastAsia="es-CO"/>
        </w:rPr>
        <w:t>Situación diferente ocurre cuando las pretensiones del proceso de ineficacia de la afiliación se fundan en una negación indefinida, que se concreta en la ausencia total de información, sin que la configure el que la parte actora exprese que “</w:t>
      </w:r>
      <w:r w:rsidRPr="00A708A4">
        <w:rPr>
          <w:rFonts w:ascii="Arial" w:hAnsi="Arial" w:cs="Arial"/>
          <w:i/>
          <w:color w:val="000000"/>
          <w:szCs w:val="24"/>
          <w:lang w:eastAsia="es-CO"/>
        </w:rPr>
        <w:t>la AFP no suministró información veraz y suficiente</w:t>
      </w:r>
      <w:r w:rsidRPr="00AD294E">
        <w:rPr>
          <w:rFonts w:ascii="Arial" w:hAnsi="Arial" w:cs="Arial"/>
          <w:color w:val="000000"/>
          <w:szCs w:val="24"/>
          <w:lang w:eastAsia="es-CO"/>
        </w:rPr>
        <w:t xml:space="preserve">”, </w:t>
      </w:r>
      <w:r>
        <w:rPr>
          <w:rFonts w:ascii="Arial" w:hAnsi="Arial" w:cs="Arial"/>
          <w:color w:val="000000"/>
          <w:szCs w:val="24"/>
          <w:lang w:eastAsia="es-CO"/>
        </w:rPr>
        <w:t xml:space="preserve">expresión que lleva implícita que sí se le dio alguna información, por lo que tiene la obligación de </w:t>
      </w:r>
      <w:r w:rsidRPr="00AD294E">
        <w:rPr>
          <w:rFonts w:ascii="Arial" w:hAnsi="Arial" w:cs="Arial"/>
          <w:color w:val="000000"/>
          <w:szCs w:val="24"/>
          <w:lang w:eastAsia="es-CO"/>
        </w:rPr>
        <w:t xml:space="preserve">exponer que fue lo que se </w:t>
      </w:r>
      <w:r w:rsidRPr="00AD294E">
        <w:rPr>
          <w:rFonts w:ascii="Arial" w:hAnsi="Arial" w:cs="Arial"/>
          <w:color w:val="000000"/>
          <w:szCs w:val="24"/>
          <w:lang w:eastAsia="es-CO"/>
        </w:rPr>
        <w:lastRenderedPageBreak/>
        <w:t>les dijo</w:t>
      </w:r>
      <w:r>
        <w:rPr>
          <w:rFonts w:ascii="Arial" w:hAnsi="Arial" w:cs="Arial"/>
          <w:color w:val="000000"/>
          <w:szCs w:val="24"/>
          <w:lang w:eastAsia="es-CO"/>
        </w:rPr>
        <w:t>,</w:t>
      </w:r>
      <w:r w:rsidRPr="00AD294E">
        <w:rPr>
          <w:rFonts w:ascii="Arial" w:hAnsi="Arial" w:cs="Arial"/>
          <w:color w:val="000000"/>
          <w:szCs w:val="24"/>
          <w:lang w:eastAsia="es-CO"/>
        </w:rPr>
        <w:t xml:space="preserve"> o cuál fue la información falsa,</w:t>
      </w:r>
      <w:r>
        <w:rPr>
          <w:rFonts w:ascii="Arial" w:hAnsi="Arial" w:cs="Arial"/>
          <w:color w:val="000000"/>
          <w:szCs w:val="24"/>
          <w:lang w:eastAsia="es-CO"/>
        </w:rPr>
        <w:t xml:space="preserve"> para que quede en evidencia qué faltó o dónde radicó el engaño; solo así se podrá trasladar la carga de probar a la AFP. </w:t>
      </w:r>
    </w:p>
    <w:p w14:paraId="5D0510FA" w14:textId="77777777" w:rsidR="00B43299" w:rsidRDefault="00B43299" w:rsidP="008C7C05">
      <w:pPr>
        <w:spacing w:line="288" w:lineRule="auto"/>
        <w:ind w:right="49"/>
        <w:contextualSpacing/>
        <w:jc w:val="both"/>
        <w:rPr>
          <w:rFonts w:ascii="Arial" w:hAnsi="Arial" w:cs="Arial"/>
          <w:color w:val="000000"/>
          <w:szCs w:val="24"/>
          <w:lang w:eastAsia="es-CO"/>
        </w:rPr>
      </w:pPr>
    </w:p>
    <w:p w14:paraId="266920E3" w14:textId="77777777" w:rsidR="00B43299" w:rsidRDefault="00B43299" w:rsidP="008C7C05">
      <w:pPr>
        <w:spacing w:line="288" w:lineRule="auto"/>
        <w:ind w:right="49"/>
        <w:contextualSpacing/>
        <w:jc w:val="both"/>
        <w:rPr>
          <w:rFonts w:ascii="Arial" w:hAnsi="Arial"/>
          <w:szCs w:val="24"/>
        </w:rPr>
      </w:pPr>
      <w:r>
        <w:rPr>
          <w:rFonts w:ascii="Arial" w:hAnsi="Arial" w:cs="Arial"/>
          <w:color w:val="000000"/>
          <w:szCs w:val="24"/>
          <w:lang w:eastAsia="es-CO"/>
        </w:rPr>
        <w:t xml:space="preserve">Entonces, para los procesos fundados en negaciones indefinidas </w:t>
      </w:r>
      <w:r>
        <w:rPr>
          <w:rFonts w:ascii="Arial" w:hAnsi="Arial"/>
          <w:szCs w:val="24"/>
        </w:rPr>
        <w:t xml:space="preserve">corresponde de manera imperiosa a la AFP desvirtuar la misma, esto es, acreditar que el traslado estuvo precedido de suficiente información y por ende, existió un consentimiento válido. </w:t>
      </w:r>
    </w:p>
    <w:p w14:paraId="695B3DCF" w14:textId="77777777" w:rsidR="009073B4" w:rsidRPr="00DE63E4" w:rsidRDefault="009073B4" w:rsidP="008C7C05">
      <w:pPr>
        <w:spacing w:line="288" w:lineRule="auto"/>
        <w:ind w:right="49"/>
        <w:contextualSpacing/>
        <w:jc w:val="both"/>
        <w:rPr>
          <w:rFonts w:ascii="Arial" w:hAnsi="Arial" w:cs="Arial"/>
          <w:color w:val="000000"/>
          <w:szCs w:val="24"/>
          <w:highlight w:val="red"/>
          <w:lang w:eastAsia="es-CO"/>
        </w:rPr>
      </w:pPr>
    </w:p>
    <w:p w14:paraId="1166343E" w14:textId="77777777" w:rsidR="00B43299" w:rsidRDefault="00B43299" w:rsidP="008C7C05">
      <w:pPr>
        <w:spacing w:line="288" w:lineRule="auto"/>
        <w:ind w:right="-93"/>
        <w:jc w:val="both"/>
        <w:rPr>
          <w:rFonts w:ascii="Arial" w:hAnsi="Arial" w:cs="Arial"/>
          <w:color w:val="000000"/>
          <w:szCs w:val="24"/>
          <w:lang w:eastAsia="es-CO"/>
        </w:rPr>
      </w:pPr>
      <w:r>
        <w:rPr>
          <w:rFonts w:ascii="Arial" w:hAnsi="Arial" w:cs="Arial"/>
          <w:color w:val="000000"/>
          <w:szCs w:val="24"/>
          <w:lang w:eastAsia="es-CO"/>
        </w:rPr>
        <w:t xml:space="preserve">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18EED783" w14:textId="77777777" w:rsidR="00B43299" w:rsidRDefault="00B43299" w:rsidP="008C7C05">
      <w:pPr>
        <w:spacing w:line="288" w:lineRule="auto"/>
        <w:ind w:right="-93"/>
        <w:jc w:val="both"/>
        <w:rPr>
          <w:rFonts w:ascii="Arial" w:hAnsi="Arial" w:cs="Arial"/>
          <w:color w:val="000000"/>
          <w:szCs w:val="24"/>
          <w:lang w:eastAsia="es-CO"/>
        </w:rPr>
      </w:pPr>
    </w:p>
    <w:p w14:paraId="6BABC936" w14:textId="77777777" w:rsidR="00B43299" w:rsidRDefault="00B43299" w:rsidP="008C7C05">
      <w:pPr>
        <w:spacing w:line="288" w:lineRule="auto"/>
        <w:ind w:right="-93"/>
        <w:jc w:val="both"/>
        <w:rPr>
          <w:rFonts w:ascii="Arial" w:hAnsi="Arial" w:cs="Arial"/>
          <w:color w:val="000000"/>
          <w:szCs w:val="24"/>
          <w:lang w:eastAsia="es-CO"/>
        </w:rPr>
      </w:pPr>
      <w:r>
        <w:rPr>
          <w:rFonts w:ascii="Arial" w:hAnsi="Arial" w:cs="Arial"/>
          <w:color w:val="000000"/>
          <w:szCs w:val="24"/>
          <w:lang w:eastAsia="es-CO"/>
        </w:rPr>
        <w:t xml:space="preserve">En ese sentido, probado el incumplimiento de la obligación de la AFP de brindar la información,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ello, el </w:t>
      </w:r>
      <w:proofErr w:type="spellStart"/>
      <w:r w:rsidRPr="00320011">
        <w:rPr>
          <w:rFonts w:ascii="Arial" w:hAnsi="Arial" w:cs="Arial"/>
          <w:i/>
          <w:color w:val="000000"/>
          <w:szCs w:val="24"/>
          <w:lang w:eastAsia="es-CO"/>
        </w:rPr>
        <w:t>onus</w:t>
      </w:r>
      <w:proofErr w:type="spellEnd"/>
      <w:r w:rsidRPr="00320011">
        <w:rPr>
          <w:rFonts w:ascii="Arial" w:hAnsi="Arial" w:cs="Arial"/>
          <w:i/>
          <w:color w:val="000000"/>
          <w:szCs w:val="24"/>
          <w:lang w:eastAsia="es-CO"/>
        </w:rPr>
        <w:t xml:space="preserve"> </w:t>
      </w:r>
      <w:proofErr w:type="spellStart"/>
      <w:r w:rsidRPr="00320011">
        <w:rPr>
          <w:rFonts w:ascii="Arial" w:hAnsi="Arial" w:cs="Arial"/>
          <w:i/>
          <w:color w:val="000000"/>
          <w:szCs w:val="24"/>
          <w:lang w:eastAsia="es-CO"/>
        </w:rPr>
        <w:t>probandi</w:t>
      </w:r>
      <w:proofErr w:type="spellEnd"/>
      <w:r>
        <w:rPr>
          <w:rFonts w:ascii="Arial" w:hAnsi="Arial" w:cs="Arial"/>
          <w:color w:val="000000"/>
          <w:szCs w:val="24"/>
          <w:lang w:eastAsia="es-CO"/>
        </w:rPr>
        <w:t xml:space="preserve"> que recae en ella exige mayor rudeza en tal diligencia, que la que se reclama de cualquier comerciante</w:t>
      </w:r>
      <w:r>
        <w:rPr>
          <w:rStyle w:val="Refdenotaalpie"/>
          <w:rFonts w:ascii="Arial" w:hAnsi="Arial" w:cs="Arial"/>
          <w:color w:val="000000"/>
          <w:szCs w:val="24"/>
          <w:lang w:eastAsia="es-CO"/>
        </w:rPr>
        <w:footnoteReference w:id="2"/>
      </w:r>
      <w:r>
        <w:rPr>
          <w:rFonts w:ascii="Arial" w:hAnsi="Arial" w:cs="Arial"/>
          <w:color w:val="000000"/>
          <w:szCs w:val="24"/>
          <w:lang w:eastAsia="es-CO"/>
        </w:rPr>
        <w:t xml:space="preserve">.  </w:t>
      </w:r>
    </w:p>
    <w:p w14:paraId="3853090A" w14:textId="77777777" w:rsidR="00B43299" w:rsidRDefault="00B43299" w:rsidP="008C7C05">
      <w:pPr>
        <w:spacing w:line="288" w:lineRule="auto"/>
        <w:ind w:right="-93"/>
        <w:jc w:val="both"/>
        <w:rPr>
          <w:rFonts w:ascii="Arial" w:hAnsi="Arial" w:cs="Arial"/>
          <w:color w:val="000000"/>
          <w:szCs w:val="24"/>
          <w:lang w:eastAsia="es-CO"/>
        </w:rPr>
      </w:pPr>
    </w:p>
    <w:p w14:paraId="648E982D" w14:textId="77777777" w:rsidR="00B43299" w:rsidRPr="00DE63E4" w:rsidRDefault="00B43299" w:rsidP="008C7C05">
      <w:pPr>
        <w:spacing w:line="288" w:lineRule="auto"/>
        <w:ind w:right="-93"/>
        <w:jc w:val="both"/>
        <w:rPr>
          <w:rFonts w:ascii="Arial" w:hAnsi="Arial" w:cs="Arial"/>
          <w:color w:val="000000"/>
          <w:szCs w:val="24"/>
          <w:lang w:eastAsia="es-CO"/>
        </w:rPr>
      </w:pPr>
      <w:r w:rsidRPr="00DE63E4">
        <w:rPr>
          <w:rFonts w:ascii="Arial" w:hAnsi="Arial" w:cs="Arial"/>
          <w:color w:val="000000"/>
          <w:szCs w:val="24"/>
          <w:lang w:eastAsia="es-CO"/>
        </w:rPr>
        <w:t>Concretamente, en reciente jurisprudencia la Corte Suprema de Justicia compendió en tres etapas evolutivas el deber de información a cargo de las administradoras de fondos de pensiones</w:t>
      </w:r>
      <w:r w:rsidRPr="00DE63E4">
        <w:rPr>
          <w:rStyle w:val="Refdenotaalpie"/>
          <w:rFonts w:ascii="Arial" w:hAnsi="Arial" w:cs="Arial"/>
          <w:color w:val="000000"/>
          <w:szCs w:val="24"/>
          <w:lang w:eastAsia="es-CO"/>
        </w:rPr>
        <w:footnoteReference w:id="3"/>
      </w:r>
      <w:r w:rsidRPr="00DE63E4">
        <w:rPr>
          <w:rFonts w:ascii="Arial" w:hAnsi="Arial" w:cs="Arial"/>
          <w:color w:val="000000"/>
          <w:szCs w:val="24"/>
          <w:lang w:eastAsia="es-CO"/>
        </w:rPr>
        <w:t>.</w:t>
      </w:r>
    </w:p>
    <w:p w14:paraId="4D70E47E" w14:textId="77777777" w:rsidR="00B43299" w:rsidRPr="00DE63E4" w:rsidRDefault="00B43299" w:rsidP="008C7C05">
      <w:pPr>
        <w:spacing w:line="288" w:lineRule="auto"/>
        <w:ind w:right="-93"/>
        <w:jc w:val="both"/>
        <w:rPr>
          <w:rFonts w:ascii="Arial" w:hAnsi="Arial" w:cs="Arial"/>
          <w:color w:val="000000"/>
          <w:szCs w:val="24"/>
          <w:lang w:eastAsia="es-CO"/>
        </w:rPr>
      </w:pPr>
    </w:p>
    <w:p w14:paraId="7EFA900F" w14:textId="77777777" w:rsidR="00B43299" w:rsidRPr="00DE63E4" w:rsidRDefault="00B43299" w:rsidP="008C7C05">
      <w:pPr>
        <w:spacing w:line="288" w:lineRule="auto"/>
        <w:ind w:right="-93"/>
        <w:jc w:val="both"/>
        <w:rPr>
          <w:rFonts w:ascii="Arial" w:hAnsi="Arial" w:cs="Arial"/>
          <w:i/>
          <w:color w:val="000000"/>
          <w:szCs w:val="24"/>
          <w:lang w:eastAsia="es-CO"/>
        </w:rPr>
      </w:pPr>
      <w:r w:rsidRPr="00DE63E4">
        <w:rPr>
          <w:rFonts w:ascii="Arial" w:hAnsi="Arial" w:cs="Arial"/>
          <w:color w:val="000000"/>
          <w:szCs w:val="24"/>
          <w:lang w:eastAsia="es-CO"/>
        </w:rPr>
        <w:t>Así, una primera etapa que refiere únicamente “deber de información” que inicia con la creación de la Ley 100/1993 en la que la obligación de información se circunscribe a la “</w:t>
      </w:r>
      <w:r w:rsidRPr="00DE63E4">
        <w:rPr>
          <w:rFonts w:ascii="Arial" w:hAnsi="Arial" w:cs="Arial"/>
          <w:i/>
          <w:color w:val="000000"/>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p>
    <w:p w14:paraId="6D758AEE" w14:textId="77777777" w:rsidR="00B43299" w:rsidRPr="00DE63E4" w:rsidRDefault="00B43299" w:rsidP="008C7C05">
      <w:pPr>
        <w:spacing w:line="288" w:lineRule="auto"/>
        <w:ind w:right="-93"/>
        <w:jc w:val="both"/>
        <w:rPr>
          <w:rFonts w:ascii="Arial" w:hAnsi="Arial" w:cs="Arial"/>
          <w:i/>
          <w:color w:val="000000"/>
          <w:szCs w:val="24"/>
          <w:lang w:eastAsia="es-CO"/>
        </w:rPr>
      </w:pPr>
    </w:p>
    <w:p w14:paraId="515FB37D" w14:textId="77777777" w:rsidR="00B43299" w:rsidRPr="00DE63E4" w:rsidRDefault="00B43299" w:rsidP="008C7C05">
      <w:pPr>
        <w:spacing w:line="288" w:lineRule="auto"/>
        <w:ind w:right="-93"/>
        <w:jc w:val="both"/>
        <w:rPr>
          <w:rFonts w:ascii="Arial" w:hAnsi="Arial" w:cs="Arial"/>
          <w:i/>
          <w:color w:val="000000"/>
          <w:szCs w:val="24"/>
          <w:lang w:eastAsia="es-CO"/>
        </w:rPr>
      </w:pPr>
      <w:r w:rsidRPr="00DE63E4">
        <w:rPr>
          <w:rFonts w:ascii="Arial" w:hAnsi="Arial" w:cs="Arial"/>
          <w:color w:val="000000"/>
          <w:szCs w:val="24"/>
          <w:lang w:eastAsia="es-CO"/>
        </w:rPr>
        <w:t xml:space="preserve">Una segunda etapa que inicia con la Ley 1328 de 2009 y Decreto 2241 de 2010, a partir de los cuales el deber de información se acompaña con la asesoría y buen consejo. </w:t>
      </w:r>
      <w:r>
        <w:rPr>
          <w:rFonts w:ascii="Arial" w:hAnsi="Arial" w:cs="Arial"/>
          <w:color w:val="000000"/>
          <w:szCs w:val="24"/>
          <w:lang w:eastAsia="es-CO"/>
        </w:rPr>
        <w:t>Entonces,</w:t>
      </w:r>
      <w:r w:rsidRPr="00DE63E4">
        <w:rPr>
          <w:rFonts w:ascii="Arial" w:hAnsi="Arial" w:cs="Arial"/>
          <w:color w:val="000000"/>
          <w:szCs w:val="24"/>
          <w:lang w:eastAsia="es-CO"/>
        </w:rPr>
        <w:t xml:space="preserve"> el contenido mínimo y alcance de dicho deber se concreta con un “</w:t>
      </w:r>
      <w:r w:rsidRPr="00DE63E4">
        <w:rPr>
          <w:rFonts w:ascii="Arial" w:hAnsi="Arial" w:cs="Arial"/>
          <w:i/>
          <w:color w:val="000000"/>
          <w:szCs w:val="24"/>
          <w:lang w:eastAsia="es-CO"/>
        </w:rPr>
        <w:t>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p>
    <w:p w14:paraId="5F7592F5" w14:textId="77777777" w:rsidR="00B43299" w:rsidRPr="00DE63E4" w:rsidRDefault="00B43299" w:rsidP="008C7C05">
      <w:pPr>
        <w:spacing w:line="288" w:lineRule="auto"/>
        <w:ind w:right="-93"/>
        <w:jc w:val="both"/>
        <w:rPr>
          <w:rFonts w:ascii="Arial" w:hAnsi="Arial" w:cs="Arial"/>
          <w:i/>
          <w:color w:val="000000"/>
          <w:szCs w:val="24"/>
          <w:lang w:eastAsia="es-CO"/>
        </w:rPr>
      </w:pPr>
    </w:p>
    <w:p w14:paraId="3C93A4F5" w14:textId="77777777" w:rsidR="00B43299" w:rsidRPr="00DF094D" w:rsidRDefault="00B43299" w:rsidP="008C7C05">
      <w:pPr>
        <w:spacing w:line="288" w:lineRule="auto"/>
        <w:ind w:right="-93"/>
        <w:jc w:val="both"/>
        <w:rPr>
          <w:rFonts w:ascii="Arial" w:hAnsi="Arial" w:cs="Arial"/>
          <w:color w:val="000000"/>
          <w:szCs w:val="24"/>
          <w:lang w:eastAsia="es-CO"/>
        </w:rPr>
      </w:pPr>
      <w:r w:rsidRPr="00DE63E4">
        <w:rPr>
          <w:rFonts w:ascii="Arial" w:hAnsi="Arial" w:cs="Arial"/>
          <w:color w:val="000000"/>
          <w:szCs w:val="24"/>
          <w:lang w:eastAsia="es-CO"/>
        </w:rPr>
        <w:t>Restando una tercera etapa con ocasión a la Ley 1748 de 2014, Decreto 2071 de 2015 y Circular Externa No. 016 de 2016, en las que se exigió junto a todo lo anterior “</w:t>
      </w:r>
      <w:r w:rsidRPr="00DE63E4">
        <w:rPr>
          <w:rFonts w:ascii="Arial" w:hAnsi="Arial" w:cs="Arial"/>
          <w:i/>
          <w:color w:val="000000"/>
          <w:szCs w:val="24"/>
          <w:lang w:eastAsia="es-CO"/>
        </w:rPr>
        <w:t>el derecho a obtener asesoría de los representantes de ambos regímenes pensionales”.</w:t>
      </w:r>
    </w:p>
    <w:p w14:paraId="45546FB5" w14:textId="77777777" w:rsidR="00B43299" w:rsidRDefault="00B43299" w:rsidP="008C7C05">
      <w:pPr>
        <w:shd w:val="clear" w:color="auto" w:fill="FFFFFF"/>
        <w:tabs>
          <w:tab w:val="left" w:pos="5197"/>
        </w:tabs>
        <w:spacing w:line="288" w:lineRule="auto"/>
        <w:jc w:val="both"/>
        <w:rPr>
          <w:rFonts w:ascii="Arial" w:hAnsi="Arial"/>
          <w:iCs/>
          <w:szCs w:val="22"/>
        </w:rPr>
      </w:pPr>
      <w:r w:rsidRPr="00C10D52">
        <w:rPr>
          <w:rFonts w:ascii="Arial" w:hAnsi="Arial"/>
          <w:iCs/>
          <w:szCs w:val="22"/>
        </w:rPr>
        <w:t xml:space="preserve">Lo </w:t>
      </w:r>
      <w:r>
        <w:rPr>
          <w:rFonts w:ascii="Arial" w:hAnsi="Arial"/>
          <w:iCs/>
          <w:szCs w:val="22"/>
        </w:rPr>
        <w:t xml:space="preserve">anterior no despoja al trabajador del deber </w:t>
      </w:r>
      <w:r w:rsidRPr="00C10D52">
        <w:rPr>
          <w:rFonts w:ascii="Arial" w:hAnsi="Arial"/>
          <w:iCs/>
          <w:szCs w:val="22"/>
        </w:rPr>
        <w:t>de un mediano empeño en participar en la elección del régimen</w:t>
      </w:r>
      <w:r>
        <w:rPr>
          <w:rFonts w:ascii="Arial" w:hAnsi="Arial"/>
          <w:iCs/>
          <w:szCs w:val="22"/>
        </w:rPr>
        <w:t>, máxime cuando escoge el RAIS; comportamiento que debe también ser valorado,</w:t>
      </w:r>
      <w:r w:rsidRPr="00C10D52">
        <w:rPr>
          <w:rFonts w:ascii="Arial" w:hAnsi="Arial"/>
          <w:iCs/>
          <w:szCs w:val="22"/>
        </w:rPr>
        <w:t xml:space="preserve"> dada la necesidad de garantizar la sostenibilidad financiera del sistema de prima media,</w:t>
      </w:r>
      <w:r>
        <w:rPr>
          <w:rFonts w:ascii="Arial" w:hAnsi="Arial"/>
          <w:iCs/>
          <w:szCs w:val="22"/>
        </w:rPr>
        <w:t xml:space="preserve">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principio de eficiencia pensional. E</w:t>
      </w:r>
      <w:r w:rsidRPr="00C10D52">
        <w:rPr>
          <w:rFonts w:ascii="Arial" w:hAnsi="Arial"/>
          <w:iCs/>
          <w:szCs w:val="22"/>
        </w:rPr>
        <w:t xml:space="preserve">n este sentido </w:t>
      </w:r>
      <w:r>
        <w:rPr>
          <w:rFonts w:ascii="Arial" w:hAnsi="Arial"/>
          <w:iCs/>
          <w:szCs w:val="22"/>
        </w:rPr>
        <w:t>se pronunció la Corte Constitucional en la sentencia C-1024/2004, a propósito de la constitucionalidad del artículo 2º de la Ley 797/2003 que limita el traslado entre regímenes.</w:t>
      </w:r>
    </w:p>
    <w:p w14:paraId="534E4D31" w14:textId="77777777" w:rsidR="00B43299" w:rsidRDefault="00B43299" w:rsidP="008C7C05">
      <w:pPr>
        <w:shd w:val="clear" w:color="auto" w:fill="FFFFFF"/>
        <w:tabs>
          <w:tab w:val="left" w:pos="5197"/>
        </w:tabs>
        <w:spacing w:line="288" w:lineRule="auto"/>
        <w:jc w:val="both"/>
        <w:rPr>
          <w:rFonts w:ascii="Arial" w:hAnsi="Arial"/>
          <w:iCs/>
          <w:szCs w:val="22"/>
        </w:rPr>
      </w:pPr>
    </w:p>
    <w:p w14:paraId="7DF433DA" w14:textId="77777777" w:rsidR="00B43299" w:rsidRDefault="00B43299" w:rsidP="008C7C05">
      <w:pPr>
        <w:shd w:val="clear" w:color="auto" w:fill="FFFFFF"/>
        <w:tabs>
          <w:tab w:val="left" w:pos="5197"/>
        </w:tabs>
        <w:spacing w:line="288" w:lineRule="auto"/>
        <w:jc w:val="both"/>
        <w:rPr>
          <w:rFonts w:ascii="Arial" w:hAnsi="Arial"/>
          <w:iCs/>
          <w:szCs w:val="22"/>
        </w:rPr>
      </w:pPr>
      <w:r>
        <w:rPr>
          <w:rFonts w:ascii="Arial" w:hAnsi="Arial"/>
          <w:iCs/>
          <w:szCs w:val="22"/>
        </w:rPr>
        <w:t>Lo dicho adquiere más significado, si en cuenta se tiene que, al sancionarse con la ineficacia el negocio jurídico de afiliación celebrado entre el actor y una AFP, quien realmente sufre los efectos es</w:t>
      </w:r>
      <w:r w:rsidRPr="00C10D52">
        <w:rPr>
          <w:rFonts w:ascii="Arial" w:hAnsi="Arial"/>
          <w:iCs/>
          <w:szCs w:val="22"/>
        </w:rPr>
        <w:t xml:space="preserve"> Colpensiones</w:t>
      </w:r>
      <w:r>
        <w:rPr>
          <w:rFonts w:ascii="Arial" w:hAnsi="Arial"/>
          <w:iCs/>
          <w:szCs w:val="22"/>
        </w:rPr>
        <w:t>, tercero</w:t>
      </w:r>
      <w:r w:rsidRPr="00C10D52">
        <w:rPr>
          <w:rFonts w:ascii="Arial" w:hAnsi="Arial"/>
          <w:iCs/>
          <w:szCs w:val="22"/>
        </w:rPr>
        <w:t xml:space="preserve"> que no participó tan siquiera en la etapa precontractual indispensable para la válida formación del consentimiento que ahora </w:t>
      </w:r>
      <w:r>
        <w:rPr>
          <w:rFonts w:ascii="Arial" w:hAnsi="Arial"/>
          <w:iCs/>
          <w:szCs w:val="22"/>
        </w:rPr>
        <w:t>se pretende sea</w:t>
      </w:r>
      <w:r w:rsidRPr="00C10D52">
        <w:rPr>
          <w:rFonts w:ascii="Arial" w:hAnsi="Arial"/>
          <w:iCs/>
          <w:szCs w:val="22"/>
        </w:rPr>
        <w:t xml:space="preserve"> sanciona</w:t>
      </w:r>
      <w:r>
        <w:rPr>
          <w:rFonts w:ascii="Arial" w:hAnsi="Arial"/>
          <w:iCs/>
          <w:szCs w:val="22"/>
        </w:rPr>
        <w:t xml:space="preserve">do, </w:t>
      </w:r>
      <w:r w:rsidRPr="00C10D52">
        <w:rPr>
          <w:rFonts w:ascii="Arial" w:hAnsi="Arial"/>
          <w:iCs/>
          <w:szCs w:val="22"/>
        </w:rPr>
        <w:t xml:space="preserve">y quien además, deberá </w:t>
      </w:r>
      <w:r>
        <w:rPr>
          <w:rFonts w:ascii="Arial" w:hAnsi="Arial"/>
          <w:iCs/>
          <w:szCs w:val="22"/>
        </w:rPr>
        <w:t xml:space="preserve">asumir </w:t>
      </w:r>
      <w:r w:rsidRPr="00C10D52">
        <w:rPr>
          <w:rFonts w:ascii="Arial" w:hAnsi="Arial"/>
          <w:iCs/>
          <w:szCs w:val="22"/>
        </w:rPr>
        <w:t xml:space="preserve">la carga impositiva que deviene de un nuevo afiliado, para lo cual deberá echar mano de los recursos habidos en el fondo común en el que participan todos los afiliados al RPM y que puede llegar a poner en riesgo la garantía del derecho pensional </w:t>
      </w:r>
      <w:r>
        <w:rPr>
          <w:rFonts w:ascii="Arial" w:hAnsi="Arial"/>
          <w:iCs/>
          <w:szCs w:val="22"/>
        </w:rPr>
        <w:t>de</w:t>
      </w:r>
      <w:r w:rsidRPr="00C10D52">
        <w:rPr>
          <w:rFonts w:ascii="Arial" w:hAnsi="Arial"/>
          <w:iCs/>
          <w:szCs w:val="22"/>
        </w:rPr>
        <w:t xml:space="preserve"> los actuales y futuros </w:t>
      </w:r>
      <w:r>
        <w:rPr>
          <w:rFonts w:ascii="Arial" w:hAnsi="Arial"/>
          <w:iCs/>
          <w:szCs w:val="22"/>
        </w:rPr>
        <w:t xml:space="preserve">afiliados </w:t>
      </w:r>
      <w:r w:rsidRPr="00C10D52">
        <w:rPr>
          <w:rFonts w:ascii="Arial" w:hAnsi="Arial"/>
          <w:iCs/>
          <w:szCs w:val="22"/>
        </w:rPr>
        <w:t xml:space="preserve">que sí </w:t>
      </w:r>
      <w:r>
        <w:rPr>
          <w:rFonts w:ascii="Arial" w:hAnsi="Arial"/>
          <w:iCs/>
          <w:szCs w:val="22"/>
        </w:rPr>
        <w:t>han contribuido a formar el fondo común, al permitir que sus aportes por más de 10 años hayan conformado las pensiones de otros afiliados. Todo lo anterior en tanto a nadie le está permitido abusar de sus derechos.</w:t>
      </w:r>
    </w:p>
    <w:p w14:paraId="0EF92ED5" w14:textId="77777777" w:rsidR="008B4923" w:rsidRPr="008C7C05" w:rsidRDefault="008B4923" w:rsidP="008C7C05">
      <w:pPr>
        <w:widowControl w:val="0"/>
        <w:spacing w:line="288" w:lineRule="auto"/>
        <w:rPr>
          <w:rFonts w:ascii="Arial" w:hAnsi="Arial" w:cs="Arial"/>
          <w:bCs/>
          <w:color w:val="000000"/>
          <w:kern w:val="28"/>
          <w:szCs w:val="24"/>
        </w:rPr>
      </w:pPr>
    </w:p>
    <w:p w14:paraId="4D2C2D11" w14:textId="63BC5145" w:rsidR="00BF595B" w:rsidRPr="00D709CE" w:rsidRDefault="00D709CE" w:rsidP="008C7C05">
      <w:pPr>
        <w:spacing w:line="288" w:lineRule="auto"/>
        <w:ind w:right="284"/>
        <w:jc w:val="both"/>
        <w:rPr>
          <w:rFonts w:ascii="Arial" w:hAnsi="Arial"/>
          <w:b/>
          <w:szCs w:val="24"/>
        </w:rPr>
      </w:pPr>
      <w:r>
        <w:rPr>
          <w:rFonts w:ascii="Arial" w:hAnsi="Arial" w:cs="Arial"/>
          <w:b/>
          <w:szCs w:val="24"/>
        </w:rPr>
        <w:t xml:space="preserve">2.2. </w:t>
      </w:r>
      <w:r w:rsidR="00BF595B" w:rsidRPr="00D709CE">
        <w:rPr>
          <w:rFonts w:ascii="Arial" w:hAnsi="Arial" w:cs="Arial"/>
          <w:b/>
          <w:szCs w:val="24"/>
        </w:rPr>
        <w:t xml:space="preserve">Fundamento fáctico </w:t>
      </w:r>
    </w:p>
    <w:p w14:paraId="32C9D319" w14:textId="77777777" w:rsidR="005A1CEF" w:rsidRPr="008C7C05" w:rsidRDefault="005A1CEF" w:rsidP="008C7C05">
      <w:pPr>
        <w:widowControl w:val="0"/>
        <w:spacing w:line="288" w:lineRule="auto"/>
        <w:rPr>
          <w:rFonts w:ascii="Arial" w:hAnsi="Arial" w:cs="Arial"/>
          <w:bCs/>
          <w:color w:val="000000"/>
          <w:kern w:val="28"/>
          <w:szCs w:val="24"/>
        </w:rPr>
      </w:pPr>
    </w:p>
    <w:p w14:paraId="05890D06" w14:textId="4F966638" w:rsidR="005C1992" w:rsidRPr="00BC3C0F" w:rsidRDefault="00FF0A8F" w:rsidP="008C7C05">
      <w:pPr>
        <w:spacing w:line="288" w:lineRule="auto"/>
        <w:jc w:val="both"/>
        <w:rPr>
          <w:rFonts w:ascii="Arial" w:hAnsi="Arial" w:cs="Arial"/>
          <w:szCs w:val="24"/>
        </w:rPr>
      </w:pPr>
      <w:r w:rsidRPr="00BC3C0F">
        <w:rPr>
          <w:rFonts w:ascii="Arial" w:hAnsi="Arial" w:cs="Arial"/>
          <w:szCs w:val="24"/>
        </w:rPr>
        <w:t xml:space="preserve">Rememórese que </w:t>
      </w:r>
      <w:r w:rsidR="000F34E7">
        <w:rPr>
          <w:rFonts w:ascii="Arial" w:hAnsi="Arial" w:cs="Arial"/>
          <w:szCs w:val="24"/>
        </w:rPr>
        <w:t>Luis Emilio Soto Ardila</w:t>
      </w:r>
      <w:r w:rsidR="001A5AF8" w:rsidRPr="00BC3C0F">
        <w:rPr>
          <w:rFonts w:ascii="Arial" w:hAnsi="Arial" w:cs="Arial"/>
          <w:szCs w:val="24"/>
        </w:rPr>
        <w:t xml:space="preserve"> pretende </w:t>
      </w:r>
      <w:r w:rsidR="000F34E7">
        <w:rPr>
          <w:rFonts w:ascii="Arial" w:hAnsi="Arial" w:cs="Arial"/>
          <w:szCs w:val="24"/>
        </w:rPr>
        <w:t xml:space="preserve">la ineficacia del traslado ocurrido entre el </w:t>
      </w:r>
      <w:r w:rsidRPr="00BC3C0F">
        <w:rPr>
          <w:rFonts w:ascii="Arial" w:hAnsi="Arial" w:cs="Arial"/>
          <w:szCs w:val="24"/>
        </w:rPr>
        <w:t xml:space="preserve">RPM al RAIS (fl. </w:t>
      </w:r>
      <w:r w:rsidR="000F34E7">
        <w:rPr>
          <w:rFonts w:ascii="Arial" w:hAnsi="Arial" w:cs="Arial"/>
          <w:szCs w:val="24"/>
        </w:rPr>
        <w:t xml:space="preserve">2 </w:t>
      </w:r>
      <w:r w:rsidR="001A5AF8" w:rsidRPr="00BC3C0F">
        <w:rPr>
          <w:rFonts w:ascii="Arial" w:hAnsi="Arial" w:cs="Arial"/>
          <w:szCs w:val="24"/>
        </w:rPr>
        <w:t xml:space="preserve">c. 1), </w:t>
      </w:r>
      <w:r w:rsidR="00DE009E">
        <w:rPr>
          <w:rFonts w:ascii="Arial" w:hAnsi="Arial" w:cs="Arial"/>
          <w:szCs w:val="24"/>
        </w:rPr>
        <w:t xml:space="preserve">del </w:t>
      </w:r>
      <w:r w:rsidR="006A1F86" w:rsidRPr="00BC3C0F">
        <w:rPr>
          <w:rFonts w:ascii="Arial" w:hAnsi="Arial" w:cs="Arial"/>
          <w:szCs w:val="24"/>
        </w:rPr>
        <w:t xml:space="preserve">que da cuenta </w:t>
      </w:r>
      <w:r w:rsidR="001A5AF8" w:rsidRPr="00BC3C0F">
        <w:rPr>
          <w:rFonts w:ascii="Arial" w:hAnsi="Arial" w:cs="Arial"/>
          <w:szCs w:val="24"/>
        </w:rPr>
        <w:t xml:space="preserve">el formulario suscrito ante </w:t>
      </w:r>
      <w:r w:rsidR="000F34E7">
        <w:rPr>
          <w:rFonts w:ascii="Arial" w:hAnsi="Arial" w:cs="Arial"/>
          <w:szCs w:val="24"/>
        </w:rPr>
        <w:t>Protección</w:t>
      </w:r>
      <w:r w:rsidRPr="00BC3C0F">
        <w:rPr>
          <w:rFonts w:ascii="Arial" w:hAnsi="Arial" w:cs="Arial"/>
          <w:szCs w:val="24"/>
        </w:rPr>
        <w:t xml:space="preserve"> S.A</w:t>
      </w:r>
      <w:r w:rsidR="006A1F86" w:rsidRPr="00BC3C0F">
        <w:rPr>
          <w:rFonts w:ascii="Arial" w:hAnsi="Arial" w:cs="Arial"/>
          <w:szCs w:val="24"/>
        </w:rPr>
        <w:t xml:space="preserve"> </w:t>
      </w:r>
      <w:r w:rsidR="000F34E7">
        <w:rPr>
          <w:rFonts w:ascii="Arial" w:hAnsi="Arial" w:cs="Arial"/>
          <w:szCs w:val="24"/>
        </w:rPr>
        <w:t xml:space="preserve">el 28-06-1995 </w:t>
      </w:r>
      <w:r w:rsidRPr="00BC3C0F">
        <w:rPr>
          <w:rFonts w:ascii="Arial" w:hAnsi="Arial" w:cs="Arial"/>
          <w:szCs w:val="24"/>
        </w:rPr>
        <w:t xml:space="preserve">(fl. </w:t>
      </w:r>
      <w:r w:rsidR="000F34E7">
        <w:rPr>
          <w:rFonts w:ascii="Arial" w:hAnsi="Arial" w:cs="Arial"/>
          <w:szCs w:val="24"/>
        </w:rPr>
        <w:t>15</w:t>
      </w:r>
      <w:r w:rsidR="001A5AF8" w:rsidRPr="00BC3C0F">
        <w:rPr>
          <w:rFonts w:ascii="Arial" w:hAnsi="Arial" w:cs="Arial"/>
          <w:szCs w:val="24"/>
        </w:rPr>
        <w:t xml:space="preserve"> c. 1</w:t>
      </w:r>
      <w:r w:rsidRPr="00BC3C0F">
        <w:rPr>
          <w:rFonts w:ascii="Arial" w:hAnsi="Arial" w:cs="Arial"/>
          <w:szCs w:val="24"/>
        </w:rPr>
        <w:t xml:space="preserve">), </w:t>
      </w:r>
      <w:r w:rsidR="006A1F86" w:rsidRPr="00BC3C0F">
        <w:rPr>
          <w:rFonts w:ascii="Arial" w:hAnsi="Arial" w:cs="Arial"/>
          <w:szCs w:val="24"/>
        </w:rPr>
        <w:t>po</w:t>
      </w:r>
      <w:r w:rsidR="00BF595B" w:rsidRPr="00BC3C0F">
        <w:rPr>
          <w:rFonts w:ascii="Arial" w:hAnsi="Arial" w:cs="Arial"/>
          <w:szCs w:val="24"/>
        </w:rPr>
        <w:t>r lo que</w:t>
      </w:r>
      <w:r w:rsidR="006A1F86" w:rsidRPr="00BC3C0F">
        <w:rPr>
          <w:rFonts w:ascii="Arial" w:hAnsi="Arial" w:cs="Arial"/>
          <w:szCs w:val="24"/>
        </w:rPr>
        <w:t xml:space="preserve"> </w:t>
      </w:r>
      <w:r w:rsidR="005C1992" w:rsidRPr="00BC3C0F">
        <w:rPr>
          <w:rFonts w:ascii="Arial" w:hAnsi="Arial" w:cs="Arial"/>
          <w:szCs w:val="24"/>
        </w:rPr>
        <w:t xml:space="preserve">se procede a verificar la presencia de algún vicio en el consentimiento que lleve </w:t>
      </w:r>
      <w:r w:rsidR="00D709CE">
        <w:rPr>
          <w:rFonts w:ascii="Arial" w:hAnsi="Arial" w:cs="Arial"/>
          <w:szCs w:val="24"/>
        </w:rPr>
        <w:t xml:space="preserve">consigo a la ineficacia del traslado, ante la disconformidad </w:t>
      </w:r>
      <w:r w:rsidR="00A04DDF">
        <w:rPr>
          <w:rFonts w:ascii="Arial" w:hAnsi="Arial" w:cs="Arial"/>
          <w:szCs w:val="24"/>
        </w:rPr>
        <w:t>entre lo querid</w:t>
      </w:r>
      <w:r w:rsidR="00A04DDF" w:rsidRPr="00C10D52">
        <w:rPr>
          <w:rFonts w:ascii="Arial" w:hAnsi="Arial" w:cs="Arial"/>
          <w:szCs w:val="24"/>
        </w:rPr>
        <w:t>o y lo expresado, que “</w:t>
      </w:r>
      <w:r w:rsidR="00A04DDF" w:rsidRPr="00113360">
        <w:rPr>
          <w:rFonts w:ascii="Arial" w:hAnsi="Arial" w:cs="Arial"/>
          <w:i/>
          <w:szCs w:val="24"/>
        </w:rPr>
        <w:t>desconozca”</w:t>
      </w:r>
      <w:r w:rsidR="00A04DDF" w:rsidRPr="00C10D52">
        <w:rPr>
          <w:rFonts w:ascii="Arial" w:hAnsi="Arial" w:cs="Arial"/>
          <w:szCs w:val="24"/>
        </w:rPr>
        <w:t xml:space="preserve"> el derecho a la libre escogencia de régimen.</w:t>
      </w:r>
    </w:p>
    <w:p w14:paraId="75C553DA" w14:textId="77777777" w:rsidR="005C1992" w:rsidRPr="00BC3C0F" w:rsidRDefault="005C1992" w:rsidP="008C7C05">
      <w:pPr>
        <w:spacing w:line="288" w:lineRule="auto"/>
        <w:jc w:val="both"/>
        <w:rPr>
          <w:rFonts w:ascii="Arial" w:hAnsi="Arial" w:cs="Arial"/>
          <w:szCs w:val="24"/>
        </w:rPr>
      </w:pPr>
    </w:p>
    <w:p w14:paraId="2E2EC6A3" w14:textId="6094B997" w:rsidR="00BF595B" w:rsidRPr="00BC3C0F" w:rsidRDefault="00BF595B" w:rsidP="008C7C05">
      <w:pPr>
        <w:spacing w:line="288" w:lineRule="auto"/>
        <w:ind w:right="49"/>
        <w:contextualSpacing/>
        <w:jc w:val="both"/>
        <w:rPr>
          <w:rFonts w:ascii="Arial" w:hAnsi="Arial"/>
          <w:szCs w:val="24"/>
        </w:rPr>
      </w:pPr>
      <w:r w:rsidRPr="00BC3C0F">
        <w:rPr>
          <w:rFonts w:ascii="Arial" w:hAnsi="Arial"/>
          <w:szCs w:val="24"/>
        </w:rPr>
        <w:t xml:space="preserve">En cuento a la </w:t>
      </w:r>
      <w:r w:rsidRPr="00BC3C0F">
        <w:rPr>
          <w:rFonts w:ascii="Arial" w:hAnsi="Arial"/>
          <w:b/>
          <w:szCs w:val="24"/>
        </w:rPr>
        <w:t xml:space="preserve">fuerza </w:t>
      </w:r>
      <w:r w:rsidR="00113360">
        <w:rPr>
          <w:rFonts w:ascii="Arial" w:hAnsi="Arial"/>
          <w:szCs w:val="24"/>
        </w:rPr>
        <w:t>de entrada se descarta</w:t>
      </w:r>
      <w:r w:rsidRPr="00BC3C0F">
        <w:rPr>
          <w:rFonts w:ascii="Arial" w:hAnsi="Arial"/>
          <w:szCs w:val="24"/>
        </w:rPr>
        <w:t xml:space="preserve"> como quiera que en </w:t>
      </w:r>
      <w:r w:rsidR="00FF0A8F" w:rsidRPr="00BC3C0F">
        <w:rPr>
          <w:rFonts w:ascii="Arial" w:hAnsi="Arial"/>
          <w:szCs w:val="24"/>
        </w:rPr>
        <w:t>el formulario</w:t>
      </w:r>
      <w:r w:rsidRPr="00BC3C0F">
        <w:rPr>
          <w:rFonts w:ascii="Arial" w:hAnsi="Arial"/>
          <w:szCs w:val="24"/>
        </w:rPr>
        <w:t xml:space="preserve"> se cuenta con una casilla destinada a dejar constancia que la selección del RAIS se efectúa de manera libre, espontánea y sin precisiones, campo en el cual se encuentr</w:t>
      </w:r>
      <w:r w:rsidR="000F34E7">
        <w:rPr>
          <w:rFonts w:ascii="Arial" w:hAnsi="Arial"/>
          <w:szCs w:val="24"/>
        </w:rPr>
        <w:t>a plasmada la firma del demandante</w:t>
      </w:r>
      <w:r w:rsidR="007017D3" w:rsidRPr="00BC3C0F">
        <w:rPr>
          <w:rFonts w:ascii="Arial" w:hAnsi="Arial"/>
          <w:szCs w:val="24"/>
        </w:rPr>
        <w:t xml:space="preserve"> (</w:t>
      </w:r>
      <w:r w:rsidR="002A1798">
        <w:rPr>
          <w:rFonts w:ascii="Arial" w:hAnsi="Arial"/>
          <w:szCs w:val="24"/>
        </w:rPr>
        <w:t>fl. 17</w:t>
      </w:r>
      <w:r w:rsidR="007017D3" w:rsidRPr="00BC3C0F">
        <w:rPr>
          <w:rFonts w:ascii="Arial" w:hAnsi="Arial"/>
          <w:szCs w:val="24"/>
        </w:rPr>
        <w:t xml:space="preserve"> c. 1)</w:t>
      </w:r>
      <w:r w:rsidR="0071087F" w:rsidRPr="00BC3C0F">
        <w:rPr>
          <w:rFonts w:ascii="Arial" w:hAnsi="Arial"/>
          <w:szCs w:val="24"/>
        </w:rPr>
        <w:t>.</w:t>
      </w:r>
    </w:p>
    <w:p w14:paraId="5387192E" w14:textId="77777777" w:rsidR="00AF5B5B" w:rsidRPr="00BC3C0F" w:rsidRDefault="00AF5B5B" w:rsidP="008C7C05">
      <w:pPr>
        <w:spacing w:line="288" w:lineRule="auto"/>
        <w:ind w:right="49"/>
        <w:contextualSpacing/>
        <w:jc w:val="both"/>
        <w:rPr>
          <w:rFonts w:ascii="Arial" w:hAnsi="Arial"/>
          <w:szCs w:val="24"/>
        </w:rPr>
      </w:pPr>
    </w:p>
    <w:p w14:paraId="00DDDBDF" w14:textId="4FB6E6CD" w:rsidR="0025332E" w:rsidRDefault="00FF0A8F" w:rsidP="008C7C05">
      <w:pPr>
        <w:spacing w:line="288" w:lineRule="auto"/>
        <w:ind w:right="49"/>
        <w:contextualSpacing/>
        <w:jc w:val="both"/>
        <w:rPr>
          <w:rFonts w:ascii="Arial" w:hAnsi="Arial" w:cs="Arial"/>
          <w:szCs w:val="24"/>
        </w:rPr>
      </w:pPr>
      <w:r w:rsidRPr="00BC3C0F">
        <w:rPr>
          <w:rFonts w:ascii="Arial" w:hAnsi="Arial"/>
          <w:szCs w:val="24"/>
        </w:rPr>
        <w:t>Documento</w:t>
      </w:r>
      <w:r w:rsidR="00BF595B" w:rsidRPr="00BC3C0F">
        <w:rPr>
          <w:rFonts w:ascii="Arial" w:hAnsi="Arial"/>
          <w:szCs w:val="24"/>
        </w:rPr>
        <w:t xml:space="preserve"> que por demás no</w:t>
      </w:r>
      <w:r w:rsidRPr="00BC3C0F">
        <w:rPr>
          <w:rFonts w:ascii="Arial" w:hAnsi="Arial"/>
          <w:szCs w:val="24"/>
        </w:rPr>
        <w:t xml:space="preserve"> fue desconocido o tachado, máxime que fue allegado</w:t>
      </w:r>
      <w:r w:rsidR="007017D3" w:rsidRPr="00BC3C0F">
        <w:rPr>
          <w:rFonts w:ascii="Arial" w:hAnsi="Arial"/>
          <w:szCs w:val="24"/>
        </w:rPr>
        <w:t xml:space="preserve"> junto con la demanda</w:t>
      </w:r>
      <w:r w:rsidRPr="00BC3C0F">
        <w:rPr>
          <w:rFonts w:ascii="Arial" w:hAnsi="Arial"/>
          <w:szCs w:val="24"/>
        </w:rPr>
        <w:t>, de ahí que se presuma auténtico</w:t>
      </w:r>
      <w:r w:rsidR="0025332E" w:rsidRPr="00BC3C0F">
        <w:rPr>
          <w:rFonts w:ascii="Arial" w:hAnsi="Arial"/>
          <w:szCs w:val="24"/>
        </w:rPr>
        <w:t xml:space="preserve">, </w:t>
      </w:r>
      <w:r w:rsidR="0025332E" w:rsidRPr="00BC3C0F">
        <w:rPr>
          <w:rFonts w:ascii="Arial" w:hAnsi="Arial" w:cs="Arial"/>
          <w:szCs w:val="24"/>
        </w:rPr>
        <w:t xml:space="preserve">según lo dispuesto por el </w:t>
      </w:r>
      <w:r w:rsidR="0025332E" w:rsidRPr="00BC3C0F">
        <w:rPr>
          <w:rFonts w:ascii="Arial" w:hAnsi="Arial" w:cs="Arial"/>
          <w:szCs w:val="24"/>
        </w:rPr>
        <w:lastRenderedPageBreak/>
        <w:t xml:space="preserve">artículo 244 del C.G.P. en concordancia con el 269 </w:t>
      </w:r>
      <w:r w:rsidR="0025332E" w:rsidRPr="00BC3C0F">
        <w:rPr>
          <w:rFonts w:ascii="Arial" w:hAnsi="Arial" w:cs="Arial"/>
          <w:i/>
          <w:szCs w:val="24"/>
        </w:rPr>
        <w:t>ibídem</w:t>
      </w:r>
      <w:r w:rsidR="0025332E" w:rsidRPr="00BC3C0F">
        <w:rPr>
          <w:rFonts w:ascii="Arial" w:hAnsi="Arial" w:cs="Arial"/>
          <w:szCs w:val="24"/>
        </w:rPr>
        <w:t xml:space="preserve"> que se aplican por remisi</w:t>
      </w:r>
      <w:r w:rsidRPr="00BC3C0F">
        <w:rPr>
          <w:rFonts w:ascii="Arial" w:hAnsi="Arial" w:cs="Arial"/>
          <w:szCs w:val="24"/>
        </w:rPr>
        <w:t>ón del artículo 145 del C.P.L.</w:t>
      </w:r>
    </w:p>
    <w:p w14:paraId="17C66ED6" w14:textId="77777777" w:rsidR="00C11663" w:rsidRDefault="00C11663" w:rsidP="008C7C05">
      <w:pPr>
        <w:spacing w:line="288" w:lineRule="auto"/>
        <w:ind w:right="49"/>
        <w:contextualSpacing/>
        <w:jc w:val="both"/>
        <w:rPr>
          <w:rFonts w:ascii="Arial" w:hAnsi="Arial" w:cs="Arial"/>
          <w:szCs w:val="24"/>
        </w:rPr>
      </w:pPr>
    </w:p>
    <w:p w14:paraId="7B11113C" w14:textId="5EEDF874" w:rsidR="008F07C2" w:rsidRDefault="008F07C2" w:rsidP="008C7C05">
      <w:pPr>
        <w:spacing w:line="288" w:lineRule="auto"/>
        <w:ind w:right="49"/>
        <w:contextualSpacing/>
        <w:jc w:val="both"/>
        <w:rPr>
          <w:rFonts w:ascii="Arial" w:hAnsi="Arial" w:cs="Arial"/>
          <w:szCs w:val="24"/>
        </w:rPr>
      </w:pPr>
      <w:r>
        <w:rPr>
          <w:rFonts w:ascii="Arial" w:hAnsi="Arial" w:cs="Arial"/>
          <w:szCs w:val="24"/>
        </w:rPr>
        <w:t>Por último</w:t>
      </w:r>
      <w:r w:rsidR="00D97A7E">
        <w:rPr>
          <w:rFonts w:ascii="Arial" w:hAnsi="Arial" w:cs="Arial"/>
          <w:szCs w:val="24"/>
        </w:rPr>
        <w:t>, es preciso resaltar que en el interrogatorio de parte el demandante adujo que se trasladó porque su empleador le indicó que resultaría más fácil realizar todos los pagos a un sola AFP; no obstante lo anterior, ninguna prueba allegó con el propósito de acreditar un hecho externo a su voluntad, como una obligación impuesta por su empleador, y contrario a ello, en el interrogatorio aceptó que había entendido y estaba conforme con la información dada por el asesor, además que él “</w:t>
      </w:r>
      <w:r w:rsidR="00D97A7E" w:rsidRPr="00D97A7E">
        <w:rPr>
          <w:rFonts w:ascii="Arial" w:hAnsi="Arial" w:cs="Arial"/>
          <w:i/>
          <w:szCs w:val="24"/>
        </w:rPr>
        <w:t>ya había tomado la decisión de cambiarse de fondo”.</w:t>
      </w:r>
    </w:p>
    <w:p w14:paraId="4AF32271" w14:textId="77777777" w:rsidR="000F34E7" w:rsidRDefault="000F34E7" w:rsidP="008C7C05">
      <w:pPr>
        <w:spacing w:line="288" w:lineRule="auto"/>
        <w:ind w:right="49"/>
        <w:contextualSpacing/>
        <w:jc w:val="both"/>
        <w:rPr>
          <w:rFonts w:ascii="Arial" w:hAnsi="Arial" w:cs="Arial"/>
          <w:szCs w:val="24"/>
        </w:rPr>
      </w:pPr>
    </w:p>
    <w:p w14:paraId="5C207C7F" w14:textId="56813CBD" w:rsidR="00B43299" w:rsidRDefault="00B43299" w:rsidP="008C7C05">
      <w:pPr>
        <w:spacing w:line="288" w:lineRule="auto"/>
        <w:ind w:right="49"/>
        <w:contextualSpacing/>
        <w:jc w:val="both"/>
        <w:rPr>
          <w:rFonts w:ascii="Arial" w:hAnsi="Arial"/>
          <w:szCs w:val="24"/>
        </w:rPr>
      </w:pPr>
      <w:r w:rsidRPr="00BC3C0F">
        <w:rPr>
          <w:rFonts w:ascii="Arial" w:hAnsi="Arial"/>
          <w:szCs w:val="24"/>
        </w:rPr>
        <w:t xml:space="preserve">Respecto al </w:t>
      </w:r>
      <w:r w:rsidRPr="00DE009E">
        <w:rPr>
          <w:rFonts w:ascii="Arial" w:hAnsi="Arial"/>
          <w:b/>
          <w:szCs w:val="24"/>
        </w:rPr>
        <w:t>dolo</w:t>
      </w:r>
      <w:r>
        <w:rPr>
          <w:rFonts w:ascii="Arial" w:hAnsi="Arial"/>
          <w:szCs w:val="24"/>
        </w:rPr>
        <w:t xml:space="preserve"> y el </w:t>
      </w:r>
      <w:r w:rsidRPr="00AD294E">
        <w:rPr>
          <w:rFonts w:ascii="Arial" w:hAnsi="Arial"/>
          <w:b/>
          <w:szCs w:val="24"/>
        </w:rPr>
        <w:t>error,</w:t>
      </w:r>
      <w:r w:rsidRPr="00AD294E">
        <w:rPr>
          <w:rFonts w:ascii="Arial" w:hAnsi="Arial"/>
          <w:szCs w:val="24"/>
        </w:rPr>
        <w:t xml:space="preserve"> éste último en la naturaleza del acto, identidad del objeto o calidad del mismo como consecuencia de la información suministrada, se probó en este proceso que la </w:t>
      </w:r>
      <w:r>
        <w:rPr>
          <w:rFonts w:ascii="Arial" w:hAnsi="Arial"/>
          <w:szCs w:val="24"/>
        </w:rPr>
        <w:t>misma</w:t>
      </w:r>
      <w:r w:rsidRPr="00AD294E">
        <w:rPr>
          <w:rFonts w:ascii="Arial" w:hAnsi="Arial"/>
          <w:szCs w:val="24"/>
        </w:rPr>
        <w:t xml:space="preserve"> se dio de manera completa y veraz. </w:t>
      </w:r>
    </w:p>
    <w:p w14:paraId="7556A66C" w14:textId="77777777" w:rsidR="00BF595B" w:rsidRPr="00BC3C0F" w:rsidRDefault="00BF595B" w:rsidP="008C7C05">
      <w:pPr>
        <w:spacing w:line="288" w:lineRule="auto"/>
        <w:ind w:right="49"/>
        <w:contextualSpacing/>
        <w:jc w:val="both"/>
        <w:rPr>
          <w:rFonts w:ascii="Arial" w:hAnsi="Arial"/>
          <w:szCs w:val="24"/>
        </w:rPr>
      </w:pPr>
    </w:p>
    <w:p w14:paraId="75EB793B" w14:textId="4BB247B5" w:rsidR="00FE22FA" w:rsidRDefault="00B43299" w:rsidP="008C7C05">
      <w:pPr>
        <w:spacing w:line="288" w:lineRule="auto"/>
        <w:jc w:val="both"/>
        <w:rPr>
          <w:rFonts w:ascii="Arial" w:eastAsiaTheme="minorHAnsi" w:hAnsi="Arial" w:cs="Arial"/>
          <w:i/>
          <w:iCs/>
          <w:szCs w:val="24"/>
        </w:rPr>
      </w:pPr>
      <w:r>
        <w:rPr>
          <w:rFonts w:ascii="Arial" w:eastAsiaTheme="minorHAnsi" w:hAnsi="Arial" w:cs="Arial"/>
          <w:iCs/>
          <w:szCs w:val="24"/>
        </w:rPr>
        <w:t>En efecto</w:t>
      </w:r>
      <w:r w:rsidR="00BF595B" w:rsidRPr="00BC3C0F">
        <w:rPr>
          <w:rFonts w:ascii="Arial" w:eastAsiaTheme="minorHAnsi" w:hAnsi="Arial" w:cs="Arial"/>
          <w:iCs/>
          <w:szCs w:val="24"/>
        </w:rPr>
        <w:t xml:space="preserve">, lo que se demostró es que el traslado </w:t>
      </w:r>
      <w:r w:rsidR="00FE22FA">
        <w:rPr>
          <w:rFonts w:ascii="Arial" w:eastAsiaTheme="minorHAnsi" w:hAnsi="Arial" w:cs="Arial"/>
          <w:iCs/>
          <w:szCs w:val="24"/>
        </w:rPr>
        <w:t xml:space="preserve">y selección del RAIS </w:t>
      </w:r>
      <w:r w:rsidR="00BF595B" w:rsidRPr="00BC3C0F">
        <w:rPr>
          <w:rFonts w:ascii="Arial" w:eastAsiaTheme="minorHAnsi" w:hAnsi="Arial" w:cs="Arial"/>
          <w:iCs/>
          <w:szCs w:val="24"/>
        </w:rPr>
        <w:t xml:space="preserve">estuvo precedido de la debida asesoría, </w:t>
      </w:r>
      <w:r w:rsidR="00296A66" w:rsidRPr="00BC3C0F">
        <w:rPr>
          <w:rFonts w:ascii="Arial" w:eastAsiaTheme="minorHAnsi" w:hAnsi="Arial" w:cs="Arial"/>
          <w:iCs/>
          <w:szCs w:val="24"/>
        </w:rPr>
        <w:t>pues ello se desprende en primer lugar, de la firma que estampó en el formula</w:t>
      </w:r>
      <w:r w:rsidR="00DE009E">
        <w:rPr>
          <w:rFonts w:ascii="Arial" w:eastAsiaTheme="minorHAnsi" w:hAnsi="Arial" w:cs="Arial"/>
          <w:iCs/>
          <w:szCs w:val="24"/>
        </w:rPr>
        <w:t>rio de traslado entre regímenes. A</w:t>
      </w:r>
      <w:r w:rsidR="00296A66" w:rsidRPr="00BC3C0F">
        <w:rPr>
          <w:rFonts w:ascii="Arial" w:eastAsiaTheme="minorHAnsi" w:hAnsi="Arial" w:cs="Arial"/>
          <w:iCs/>
          <w:szCs w:val="24"/>
        </w:rPr>
        <w:t>sí</w:t>
      </w:r>
      <w:r w:rsidR="00DE009E">
        <w:rPr>
          <w:rFonts w:ascii="Arial" w:eastAsiaTheme="minorHAnsi" w:hAnsi="Arial" w:cs="Arial"/>
          <w:iCs/>
          <w:szCs w:val="24"/>
        </w:rPr>
        <w:t>,</w:t>
      </w:r>
      <w:r w:rsidR="00296A66" w:rsidRPr="00BC3C0F">
        <w:rPr>
          <w:rFonts w:ascii="Arial" w:eastAsiaTheme="minorHAnsi" w:hAnsi="Arial" w:cs="Arial"/>
          <w:iCs/>
          <w:szCs w:val="24"/>
        </w:rPr>
        <w:t xml:space="preserve"> para el </w:t>
      </w:r>
      <w:r w:rsidR="008F07C2">
        <w:rPr>
          <w:rFonts w:ascii="Arial" w:eastAsiaTheme="minorHAnsi" w:hAnsi="Arial" w:cs="Arial"/>
          <w:iCs/>
          <w:szCs w:val="24"/>
        </w:rPr>
        <w:t>28-06-1995</w:t>
      </w:r>
      <w:r w:rsidR="00296A66" w:rsidRPr="00BC3C0F">
        <w:rPr>
          <w:rFonts w:ascii="Arial" w:eastAsiaTheme="minorHAnsi" w:hAnsi="Arial" w:cs="Arial"/>
          <w:iCs/>
          <w:szCs w:val="24"/>
        </w:rPr>
        <w:t xml:space="preserve"> se realizó la “</w:t>
      </w:r>
      <w:r w:rsidR="00296A66" w:rsidRPr="00BC3C0F">
        <w:rPr>
          <w:rFonts w:ascii="Arial" w:eastAsiaTheme="minorHAnsi" w:hAnsi="Arial" w:cs="Arial"/>
          <w:i/>
          <w:iCs/>
          <w:szCs w:val="24"/>
        </w:rPr>
        <w:t>solicitud de vinculación”</w:t>
      </w:r>
      <w:r w:rsidR="00FF0A8F" w:rsidRPr="00BC3C0F">
        <w:rPr>
          <w:rFonts w:ascii="Arial" w:eastAsiaTheme="minorHAnsi" w:hAnsi="Arial" w:cs="Arial"/>
          <w:i/>
          <w:iCs/>
          <w:szCs w:val="24"/>
        </w:rPr>
        <w:t xml:space="preserve"> </w:t>
      </w:r>
      <w:r w:rsidR="00FF0A8F" w:rsidRPr="00BC3C0F">
        <w:rPr>
          <w:rFonts w:ascii="Arial" w:eastAsiaTheme="minorHAnsi" w:hAnsi="Arial" w:cs="Arial"/>
          <w:iCs/>
          <w:szCs w:val="24"/>
        </w:rPr>
        <w:t xml:space="preserve">a </w:t>
      </w:r>
      <w:r w:rsidR="008F07C2">
        <w:rPr>
          <w:rFonts w:ascii="Arial" w:eastAsiaTheme="minorHAnsi" w:hAnsi="Arial" w:cs="Arial"/>
          <w:iCs/>
          <w:szCs w:val="24"/>
        </w:rPr>
        <w:t>Protección</w:t>
      </w:r>
      <w:r w:rsidR="00FF0A8F" w:rsidRPr="00BC3C0F">
        <w:rPr>
          <w:rFonts w:ascii="Arial" w:eastAsiaTheme="minorHAnsi" w:hAnsi="Arial" w:cs="Arial"/>
          <w:iCs/>
          <w:szCs w:val="24"/>
        </w:rPr>
        <w:t xml:space="preserve"> </w:t>
      </w:r>
      <w:r w:rsidR="008F07C2">
        <w:rPr>
          <w:rFonts w:ascii="Arial" w:eastAsiaTheme="minorHAnsi" w:hAnsi="Arial" w:cs="Arial"/>
          <w:iCs/>
          <w:szCs w:val="24"/>
        </w:rPr>
        <w:t>S.A. (fl. 17</w:t>
      </w:r>
      <w:r w:rsidR="00296A66" w:rsidRPr="00BC3C0F">
        <w:rPr>
          <w:rFonts w:ascii="Arial" w:eastAsiaTheme="minorHAnsi" w:hAnsi="Arial" w:cs="Arial"/>
          <w:iCs/>
          <w:szCs w:val="24"/>
        </w:rPr>
        <w:t xml:space="preserve"> c. 1), </w:t>
      </w:r>
      <w:r w:rsidR="00BF595B" w:rsidRPr="00BC3C0F">
        <w:rPr>
          <w:rFonts w:ascii="Arial" w:eastAsiaTheme="minorHAnsi" w:hAnsi="Arial" w:cs="Arial"/>
          <w:iCs/>
          <w:szCs w:val="24"/>
        </w:rPr>
        <w:t>el que una vez revisado, cuenta con la información que para esa época era la exigida por la Ley</w:t>
      </w:r>
      <w:r w:rsidR="001F2CB7">
        <w:rPr>
          <w:rFonts w:ascii="Arial" w:eastAsiaTheme="minorHAnsi" w:hAnsi="Arial" w:cs="Arial"/>
          <w:iCs/>
          <w:szCs w:val="24"/>
        </w:rPr>
        <w:t xml:space="preserve"> dejar en el formulario</w:t>
      </w:r>
      <w:r w:rsidR="00BF595B" w:rsidRPr="00BC3C0F">
        <w:rPr>
          <w:rFonts w:ascii="Arial" w:eastAsiaTheme="minorHAnsi" w:hAnsi="Arial" w:cs="Arial"/>
          <w:iCs/>
          <w:szCs w:val="24"/>
        </w:rPr>
        <w:t xml:space="preserve"> conforme a las directrices previstas en el Decreto 692 de 1994 a través del cual se reglamentó</w:t>
      </w:r>
      <w:r w:rsidR="00A04DDF">
        <w:rPr>
          <w:rFonts w:ascii="Arial" w:eastAsiaTheme="minorHAnsi" w:hAnsi="Arial" w:cs="Arial"/>
          <w:iCs/>
          <w:szCs w:val="24"/>
        </w:rPr>
        <w:t xml:space="preserve"> en lo pertinente la Ley 100/93</w:t>
      </w:r>
      <w:r w:rsidR="00BF595B" w:rsidRPr="00BC3C0F">
        <w:rPr>
          <w:rFonts w:ascii="Arial" w:eastAsiaTheme="minorHAnsi" w:hAnsi="Arial" w:cs="Arial"/>
          <w:iCs/>
          <w:szCs w:val="24"/>
        </w:rPr>
        <w:t xml:space="preserve"> </w:t>
      </w:r>
      <w:r w:rsidRPr="00AD294E">
        <w:rPr>
          <w:rFonts w:ascii="Arial" w:eastAsiaTheme="minorHAnsi" w:hAnsi="Arial" w:cs="Arial"/>
          <w:iCs/>
          <w:szCs w:val="24"/>
        </w:rPr>
        <w:t>(ignorarlo atentaría con el principio de confianza legítima del fondo de pensiones).</w:t>
      </w:r>
    </w:p>
    <w:p w14:paraId="62809A34" w14:textId="77777777" w:rsidR="00FE22FA" w:rsidRDefault="00FE22FA" w:rsidP="008C7C05">
      <w:pPr>
        <w:spacing w:line="288" w:lineRule="auto"/>
        <w:jc w:val="both"/>
        <w:rPr>
          <w:rFonts w:ascii="Arial" w:eastAsiaTheme="minorHAnsi" w:hAnsi="Arial" w:cs="Arial"/>
          <w:i/>
          <w:iCs/>
          <w:szCs w:val="24"/>
        </w:rPr>
      </w:pPr>
    </w:p>
    <w:p w14:paraId="183B8130" w14:textId="63C602C4" w:rsidR="00BF595B" w:rsidRPr="00BC3C0F" w:rsidRDefault="00FE22FA" w:rsidP="008C7C05">
      <w:pPr>
        <w:spacing w:line="288" w:lineRule="auto"/>
        <w:jc w:val="both"/>
        <w:rPr>
          <w:rFonts w:ascii="Arial" w:eastAsiaTheme="minorHAnsi" w:hAnsi="Arial" w:cs="Arial"/>
          <w:iCs/>
          <w:szCs w:val="24"/>
        </w:rPr>
      </w:pPr>
      <w:r>
        <w:rPr>
          <w:rFonts w:ascii="Arial" w:eastAsiaTheme="minorHAnsi" w:hAnsi="Arial" w:cs="Arial"/>
          <w:iCs/>
          <w:szCs w:val="24"/>
        </w:rPr>
        <w:t>Selección del RAIS que</w:t>
      </w:r>
      <w:r w:rsidR="00BF595B" w:rsidRPr="00BC3C0F">
        <w:rPr>
          <w:rFonts w:ascii="Arial" w:eastAsiaTheme="minorHAnsi" w:hAnsi="Arial" w:cs="Arial"/>
          <w:iCs/>
          <w:szCs w:val="24"/>
        </w:rPr>
        <w:t xml:space="preserve"> lleva</w:t>
      </w:r>
      <w:r w:rsidR="005C1992" w:rsidRPr="00BC3C0F">
        <w:rPr>
          <w:rFonts w:ascii="Arial" w:eastAsiaTheme="minorHAnsi" w:hAnsi="Arial" w:cs="Arial"/>
          <w:iCs/>
          <w:szCs w:val="24"/>
        </w:rPr>
        <w:t xml:space="preserve"> consigo a</w:t>
      </w:r>
      <w:r w:rsidR="00BF595B" w:rsidRPr="00BC3C0F">
        <w:rPr>
          <w:rFonts w:ascii="Arial" w:eastAsiaTheme="minorHAnsi" w:hAnsi="Arial" w:cs="Arial"/>
          <w:iCs/>
          <w:szCs w:val="24"/>
        </w:rPr>
        <w:t xml:space="preserve"> la aceptación de las c</w:t>
      </w:r>
      <w:r w:rsidR="001F2CB7">
        <w:rPr>
          <w:rFonts w:ascii="Arial" w:eastAsiaTheme="minorHAnsi" w:hAnsi="Arial" w:cs="Arial"/>
          <w:iCs/>
          <w:szCs w:val="24"/>
        </w:rPr>
        <w:t xml:space="preserve">ondiciones propias del régimen </w:t>
      </w:r>
      <w:r>
        <w:rPr>
          <w:rFonts w:ascii="Arial" w:eastAsiaTheme="minorHAnsi" w:hAnsi="Arial" w:cs="Arial"/>
          <w:iCs/>
          <w:szCs w:val="24"/>
        </w:rPr>
        <w:t>conforme a lo señalado</w:t>
      </w:r>
      <w:r w:rsidR="00BF595B" w:rsidRPr="00BC3C0F">
        <w:rPr>
          <w:rFonts w:ascii="Arial" w:eastAsiaTheme="minorHAnsi" w:hAnsi="Arial" w:cs="Arial"/>
          <w:iCs/>
          <w:szCs w:val="24"/>
        </w:rPr>
        <w:t xml:space="preserve"> en el artículo 11 Decreto 692/94</w:t>
      </w:r>
      <w:r w:rsidR="005F26C0" w:rsidRPr="00BC3C0F">
        <w:rPr>
          <w:rFonts w:ascii="Arial" w:eastAsiaTheme="minorHAnsi" w:hAnsi="Arial" w:cs="Arial"/>
          <w:iCs/>
          <w:szCs w:val="24"/>
        </w:rPr>
        <w:t xml:space="preserve"> al decir “</w:t>
      </w:r>
      <w:r w:rsidR="005F26C0" w:rsidRPr="00BC3C0F">
        <w:rPr>
          <w:rFonts w:ascii="Arial" w:eastAsiaTheme="minorHAnsi" w:hAnsi="Arial" w:cs="Arial"/>
          <w:i/>
          <w:iCs/>
          <w:szCs w:val="24"/>
        </w:rPr>
        <w:t>la selección del régimen implica la aceptación de las condiciones propias de éste (…)”</w:t>
      </w:r>
      <w:r w:rsidR="00BF595B" w:rsidRPr="00BC3C0F">
        <w:rPr>
          <w:rFonts w:ascii="Arial" w:eastAsiaTheme="minorHAnsi" w:hAnsi="Arial" w:cs="Arial"/>
          <w:i/>
          <w:iCs/>
          <w:szCs w:val="24"/>
        </w:rPr>
        <w:t>,</w:t>
      </w:r>
      <w:r w:rsidR="00BF595B" w:rsidRPr="00BC3C0F">
        <w:rPr>
          <w:rFonts w:ascii="Arial" w:eastAsiaTheme="minorHAnsi" w:hAnsi="Arial" w:cs="Arial"/>
          <w:iCs/>
          <w:szCs w:val="24"/>
        </w:rPr>
        <w:t xml:space="preserve"> lo que necesariamente supone que se le brindó la información necesaria para llegar a adoptar </w:t>
      </w:r>
      <w:r w:rsidR="001F2CB7">
        <w:rPr>
          <w:rFonts w:ascii="Arial" w:eastAsiaTheme="minorHAnsi" w:hAnsi="Arial" w:cs="Arial"/>
          <w:iCs/>
          <w:szCs w:val="24"/>
        </w:rPr>
        <w:t>tal decisión;</w:t>
      </w:r>
      <w:r>
        <w:rPr>
          <w:rFonts w:ascii="Arial" w:eastAsiaTheme="minorHAnsi" w:hAnsi="Arial" w:cs="Arial"/>
          <w:iCs/>
          <w:szCs w:val="24"/>
        </w:rPr>
        <w:t xml:space="preserve"> pues la regla de la experiencia enseña</w:t>
      </w:r>
      <w:r w:rsidR="001F2CB7">
        <w:rPr>
          <w:rFonts w:ascii="Arial" w:eastAsiaTheme="minorHAnsi" w:hAnsi="Arial" w:cs="Arial"/>
          <w:iCs/>
          <w:szCs w:val="24"/>
        </w:rPr>
        <w:t xml:space="preserve"> que se acepta lo que se conoce;</w:t>
      </w:r>
      <w:r>
        <w:rPr>
          <w:rFonts w:ascii="Arial" w:eastAsiaTheme="minorHAnsi" w:hAnsi="Arial" w:cs="Arial"/>
          <w:iCs/>
          <w:szCs w:val="24"/>
        </w:rPr>
        <w:t xml:space="preserve"> de tal manera que esa firma constituye un indicio de que la AFP,  a través de sus asesores</w:t>
      </w:r>
      <w:r w:rsidR="00DE009E">
        <w:rPr>
          <w:rFonts w:ascii="Arial" w:eastAsiaTheme="minorHAnsi" w:hAnsi="Arial" w:cs="Arial"/>
          <w:iCs/>
          <w:szCs w:val="24"/>
        </w:rPr>
        <w:t>,</w:t>
      </w:r>
      <w:r>
        <w:rPr>
          <w:rFonts w:ascii="Arial" w:eastAsiaTheme="minorHAnsi" w:hAnsi="Arial" w:cs="Arial"/>
          <w:iCs/>
          <w:szCs w:val="24"/>
        </w:rPr>
        <w:t xml:space="preserve"> di</w:t>
      </w:r>
      <w:r w:rsidR="00DE009E">
        <w:rPr>
          <w:rFonts w:ascii="Arial" w:eastAsiaTheme="minorHAnsi" w:hAnsi="Arial" w:cs="Arial"/>
          <w:iCs/>
          <w:szCs w:val="24"/>
        </w:rPr>
        <w:t>o</w:t>
      </w:r>
      <w:r>
        <w:rPr>
          <w:rFonts w:ascii="Arial" w:eastAsiaTheme="minorHAnsi" w:hAnsi="Arial" w:cs="Arial"/>
          <w:iCs/>
          <w:szCs w:val="24"/>
        </w:rPr>
        <w:t xml:space="preserve"> cumplimient</w:t>
      </w:r>
      <w:r w:rsidR="0044517A">
        <w:rPr>
          <w:rFonts w:ascii="Arial" w:eastAsiaTheme="minorHAnsi" w:hAnsi="Arial" w:cs="Arial"/>
          <w:iCs/>
          <w:szCs w:val="24"/>
        </w:rPr>
        <w:t xml:space="preserve">o al </w:t>
      </w:r>
      <w:r w:rsidR="001F2CB7">
        <w:rPr>
          <w:rFonts w:ascii="Arial" w:eastAsiaTheme="minorHAnsi" w:hAnsi="Arial" w:cs="Arial"/>
          <w:iCs/>
          <w:szCs w:val="24"/>
        </w:rPr>
        <w:t xml:space="preserve">demandante de </w:t>
      </w:r>
      <w:r w:rsidR="006061C3">
        <w:rPr>
          <w:rFonts w:ascii="Arial" w:eastAsiaTheme="minorHAnsi" w:hAnsi="Arial" w:cs="Arial"/>
          <w:iCs/>
          <w:szCs w:val="24"/>
        </w:rPr>
        <w:t>informarlo</w:t>
      </w:r>
      <w:r w:rsidR="00DE009E">
        <w:rPr>
          <w:rFonts w:ascii="Arial" w:eastAsiaTheme="minorHAnsi" w:hAnsi="Arial" w:cs="Arial"/>
          <w:iCs/>
          <w:szCs w:val="24"/>
        </w:rPr>
        <w:t>.</w:t>
      </w:r>
    </w:p>
    <w:p w14:paraId="3DD7BCF8" w14:textId="77777777" w:rsidR="00B52687" w:rsidRPr="00BC3C0F" w:rsidRDefault="00B52687" w:rsidP="008C7C05">
      <w:pPr>
        <w:spacing w:line="288" w:lineRule="auto"/>
        <w:jc w:val="both"/>
        <w:rPr>
          <w:rFonts w:ascii="Arial" w:eastAsiaTheme="minorHAnsi" w:hAnsi="Arial" w:cs="Arial"/>
          <w:iCs/>
          <w:szCs w:val="24"/>
        </w:rPr>
      </w:pPr>
    </w:p>
    <w:p w14:paraId="403948ED" w14:textId="77777777" w:rsidR="00B43299" w:rsidRDefault="00B43299" w:rsidP="008C7C05">
      <w:pPr>
        <w:spacing w:line="288" w:lineRule="auto"/>
        <w:jc w:val="both"/>
        <w:rPr>
          <w:rFonts w:ascii="Arial" w:eastAsiaTheme="minorHAnsi" w:hAnsi="Arial" w:cs="Arial"/>
          <w:iCs/>
          <w:szCs w:val="24"/>
        </w:rPr>
      </w:pPr>
      <w:r w:rsidRPr="00BC3C0F">
        <w:rPr>
          <w:rFonts w:ascii="Arial" w:eastAsiaTheme="minorHAnsi" w:hAnsi="Arial" w:cs="Arial"/>
          <w:iCs/>
          <w:szCs w:val="24"/>
        </w:rPr>
        <w:t xml:space="preserve">Por lo mismo, no </w:t>
      </w:r>
      <w:r>
        <w:rPr>
          <w:rFonts w:ascii="Arial" w:eastAsiaTheme="minorHAnsi" w:hAnsi="Arial" w:cs="Arial"/>
          <w:iCs/>
          <w:szCs w:val="24"/>
        </w:rPr>
        <w:t xml:space="preserve">se comparte lo afirmado por </w:t>
      </w:r>
      <w:r w:rsidRPr="00BC3C0F">
        <w:rPr>
          <w:rFonts w:ascii="Arial" w:eastAsiaTheme="minorHAnsi" w:hAnsi="Arial" w:cs="Arial"/>
          <w:iCs/>
          <w:szCs w:val="24"/>
        </w:rPr>
        <w:t xml:space="preserve">la SCL de la CSJ </w:t>
      </w:r>
      <w:r>
        <w:rPr>
          <w:rFonts w:ascii="Arial" w:eastAsiaTheme="minorHAnsi" w:hAnsi="Arial" w:cs="Arial"/>
          <w:iCs/>
          <w:szCs w:val="24"/>
        </w:rPr>
        <w:t xml:space="preserve">de </w:t>
      </w:r>
      <w:r w:rsidRPr="00BC3C0F">
        <w:rPr>
          <w:rFonts w:ascii="Arial" w:eastAsiaTheme="minorHAnsi" w:hAnsi="Arial" w:cs="Arial"/>
          <w:iCs/>
          <w:szCs w:val="24"/>
        </w:rPr>
        <w:t xml:space="preserve">que </w:t>
      </w:r>
      <w:r>
        <w:rPr>
          <w:rFonts w:ascii="Arial" w:eastAsiaTheme="minorHAnsi" w:hAnsi="Arial" w:cs="Arial"/>
          <w:iCs/>
          <w:szCs w:val="24"/>
        </w:rPr>
        <w:t xml:space="preserve">éste </w:t>
      </w:r>
      <w:r w:rsidRPr="00BC3C0F">
        <w:rPr>
          <w:rFonts w:ascii="Arial" w:eastAsiaTheme="minorHAnsi" w:hAnsi="Arial" w:cs="Arial"/>
          <w:iCs/>
          <w:szCs w:val="24"/>
        </w:rPr>
        <w:t xml:space="preserve">solo da cuenta de que fue libre y voluntaria, pues con ello se desconoce el artículo antes referido y las reglas que se fijaron </w:t>
      </w:r>
      <w:r>
        <w:rPr>
          <w:rFonts w:ascii="Arial" w:eastAsiaTheme="minorHAnsi" w:hAnsi="Arial" w:cs="Arial"/>
          <w:iCs/>
          <w:szCs w:val="24"/>
        </w:rPr>
        <w:t>para cumplir tal acto jurídico.</w:t>
      </w:r>
    </w:p>
    <w:p w14:paraId="3279FD75" w14:textId="77777777" w:rsidR="00EC34A9" w:rsidRPr="00BC3C0F" w:rsidRDefault="00EC34A9" w:rsidP="008C7C05">
      <w:pPr>
        <w:spacing w:line="288" w:lineRule="auto"/>
        <w:jc w:val="both"/>
        <w:rPr>
          <w:rFonts w:ascii="Arial" w:eastAsiaTheme="minorHAnsi" w:hAnsi="Arial" w:cs="Arial"/>
          <w:iCs/>
          <w:szCs w:val="24"/>
        </w:rPr>
      </w:pPr>
    </w:p>
    <w:p w14:paraId="04492D6A" w14:textId="3E650CBE" w:rsidR="008F07C2" w:rsidRDefault="00B43299" w:rsidP="008C7C05">
      <w:pPr>
        <w:spacing w:line="288" w:lineRule="auto"/>
        <w:jc w:val="both"/>
        <w:rPr>
          <w:rFonts w:ascii="Arial" w:eastAsiaTheme="minorHAnsi" w:hAnsi="Arial" w:cs="Arial"/>
          <w:iCs/>
          <w:szCs w:val="24"/>
        </w:rPr>
      </w:pPr>
      <w:r>
        <w:rPr>
          <w:rFonts w:ascii="Arial" w:eastAsiaTheme="minorHAnsi" w:hAnsi="Arial" w:cs="Arial"/>
          <w:iCs/>
          <w:szCs w:val="24"/>
        </w:rPr>
        <w:t>Información que se confirma con lo aseverado por el demandante al absolver el interrogatorio de parte</w:t>
      </w:r>
      <w:r w:rsidR="0044517A">
        <w:rPr>
          <w:rFonts w:ascii="Arial" w:eastAsiaTheme="minorHAnsi" w:hAnsi="Arial" w:cs="Arial"/>
          <w:iCs/>
          <w:szCs w:val="24"/>
        </w:rPr>
        <w:t>,</w:t>
      </w:r>
      <w:r w:rsidR="005E3D6A">
        <w:rPr>
          <w:rFonts w:ascii="Arial" w:eastAsiaTheme="minorHAnsi" w:hAnsi="Arial" w:cs="Arial"/>
          <w:iCs/>
          <w:szCs w:val="24"/>
        </w:rPr>
        <w:t xml:space="preserve"> en el que afirmó </w:t>
      </w:r>
      <w:r w:rsidR="008F07C2">
        <w:rPr>
          <w:rFonts w:ascii="Arial" w:eastAsiaTheme="minorHAnsi" w:hAnsi="Arial" w:cs="Arial"/>
          <w:iCs/>
          <w:szCs w:val="24"/>
        </w:rPr>
        <w:t>que es economista y que para la época del traslado estaba finalizado los estudios de tal profesión, en ese sentido admitió que</w:t>
      </w:r>
      <w:r w:rsidR="00D13078">
        <w:rPr>
          <w:rFonts w:ascii="Arial" w:eastAsiaTheme="minorHAnsi" w:hAnsi="Arial" w:cs="Arial"/>
          <w:iCs/>
          <w:szCs w:val="24"/>
        </w:rPr>
        <w:t xml:space="preserve"> sí recibió la información y que había asistido a la reunión explicativa porque era obligatorio por la empresa en la que laboraba, además de resaltar que</w:t>
      </w:r>
      <w:r w:rsidR="008F07C2">
        <w:rPr>
          <w:rFonts w:ascii="Arial" w:eastAsiaTheme="minorHAnsi" w:hAnsi="Arial" w:cs="Arial"/>
          <w:iCs/>
          <w:szCs w:val="24"/>
        </w:rPr>
        <w:t xml:space="preserve"> había quedado conforme </w:t>
      </w:r>
      <w:r w:rsidR="00600609">
        <w:rPr>
          <w:rFonts w:ascii="Arial" w:eastAsiaTheme="minorHAnsi" w:hAnsi="Arial" w:cs="Arial"/>
          <w:iCs/>
          <w:szCs w:val="24"/>
        </w:rPr>
        <w:t>con ella</w:t>
      </w:r>
      <w:r w:rsidR="008F07C2">
        <w:rPr>
          <w:rFonts w:ascii="Arial" w:eastAsiaTheme="minorHAnsi" w:hAnsi="Arial" w:cs="Arial"/>
          <w:iCs/>
          <w:szCs w:val="24"/>
        </w:rPr>
        <w:t xml:space="preserve">, </w:t>
      </w:r>
      <w:r>
        <w:rPr>
          <w:rFonts w:ascii="Arial" w:eastAsiaTheme="minorHAnsi" w:hAnsi="Arial" w:cs="Arial"/>
          <w:iCs/>
          <w:szCs w:val="24"/>
        </w:rPr>
        <w:t>concretamente</w:t>
      </w:r>
      <w:r w:rsidR="008F07C2">
        <w:rPr>
          <w:rFonts w:ascii="Arial" w:eastAsiaTheme="minorHAnsi" w:hAnsi="Arial" w:cs="Arial"/>
          <w:iCs/>
          <w:szCs w:val="24"/>
        </w:rPr>
        <w:t xml:space="preserve"> sobre </w:t>
      </w:r>
      <w:r>
        <w:rPr>
          <w:rFonts w:ascii="Arial" w:eastAsiaTheme="minorHAnsi" w:hAnsi="Arial" w:cs="Arial"/>
          <w:iCs/>
          <w:szCs w:val="24"/>
        </w:rPr>
        <w:t xml:space="preserve">la obtención de </w:t>
      </w:r>
      <w:r w:rsidR="008F07C2">
        <w:rPr>
          <w:rFonts w:ascii="Arial" w:eastAsiaTheme="minorHAnsi" w:hAnsi="Arial" w:cs="Arial"/>
          <w:iCs/>
          <w:szCs w:val="24"/>
        </w:rPr>
        <w:t xml:space="preserve">una mejor rentabilidad </w:t>
      </w:r>
      <w:r w:rsidR="002A1798">
        <w:rPr>
          <w:rFonts w:ascii="Arial" w:eastAsiaTheme="minorHAnsi" w:hAnsi="Arial" w:cs="Arial"/>
          <w:iCs/>
          <w:szCs w:val="24"/>
        </w:rPr>
        <w:t xml:space="preserve">de sus aportes </w:t>
      </w:r>
      <w:r w:rsidR="008F07C2">
        <w:rPr>
          <w:rFonts w:ascii="Arial" w:eastAsiaTheme="minorHAnsi" w:hAnsi="Arial" w:cs="Arial"/>
          <w:iCs/>
          <w:szCs w:val="24"/>
        </w:rPr>
        <w:t>en dicho fondo</w:t>
      </w:r>
      <w:r w:rsidR="002A1798">
        <w:rPr>
          <w:rFonts w:ascii="Arial" w:eastAsiaTheme="minorHAnsi" w:hAnsi="Arial" w:cs="Arial"/>
          <w:iCs/>
          <w:szCs w:val="24"/>
        </w:rPr>
        <w:t>, además de la</w:t>
      </w:r>
      <w:r w:rsidR="00337864">
        <w:rPr>
          <w:rFonts w:ascii="Arial" w:eastAsiaTheme="minorHAnsi" w:hAnsi="Arial" w:cs="Arial"/>
          <w:iCs/>
          <w:szCs w:val="24"/>
        </w:rPr>
        <w:t xml:space="preserve"> solidez financiera del fondo privado. </w:t>
      </w:r>
      <w:r w:rsidR="008F07C2">
        <w:rPr>
          <w:rFonts w:ascii="Arial" w:eastAsiaTheme="minorHAnsi" w:hAnsi="Arial" w:cs="Arial"/>
          <w:iCs/>
          <w:szCs w:val="24"/>
        </w:rPr>
        <w:t xml:space="preserve"> </w:t>
      </w:r>
    </w:p>
    <w:p w14:paraId="45A49EA7" w14:textId="77777777" w:rsidR="00D13078" w:rsidRDefault="00D13078" w:rsidP="008C7C05">
      <w:pPr>
        <w:spacing w:line="288" w:lineRule="auto"/>
        <w:jc w:val="both"/>
        <w:rPr>
          <w:rFonts w:ascii="Arial" w:eastAsiaTheme="minorHAnsi" w:hAnsi="Arial" w:cs="Arial"/>
          <w:iCs/>
          <w:szCs w:val="24"/>
        </w:rPr>
      </w:pPr>
    </w:p>
    <w:p w14:paraId="5767568A" w14:textId="06A2A526" w:rsidR="00D13078" w:rsidRDefault="00D13078" w:rsidP="008C7C05">
      <w:pPr>
        <w:spacing w:line="288" w:lineRule="auto"/>
        <w:jc w:val="both"/>
        <w:rPr>
          <w:rFonts w:ascii="Arial" w:eastAsiaTheme="minorHAnsi" w:hAnsi="Arial" w:cs="Arial"/>
          <w:iCs/>
          <w:szCs w:val="24"/>
        </w:rPr>
      </w:pPr>
      <w:r>
        <w:rPr>
          <w:rFonts w:ascii="Arial" w:eastAsiaTheme="minorHAnsi" w:hAnsi="Arial" w:cs="Arial"/>
          <w:iCs/>
          <w:szCs w:val="24"/>
        </w:rPr>
        <w:t>Por último, admitió que otros fondos de pensiones habían asistido a la empresa par</w:t>
      </w:r>
      <w:r w:rsidR="00B43299">
        <w:rPr>
          <w:rFonts w:ascii="Arial" w:eastAsiaTheme="minorHAnsi" w:hAnsi="Arial" w:cs="Arial"/>
          <w:iCs/>
          <w:szCs w:val="24"/>
        </w:rPr>
        <w:t>a dar la información, pero que é</w:t>
      </w:r>
      <w:r>
        <w:rPr>
          <w:rFonts w:ascii="Arial" w:eastAsiaTheme="minorHAnsi" w:hAnsi="Arial" w:cs="Arial"/>
          <w:iCs/>
          <w:szCs w:val="24"/>
        </w:rPr>
        <w:t>l había rehusado a recibirla porque ya había tomado la decisión de trasladarse.</w:t>
      </w:r>
    </w:p>
    <w:p w14:paraId="2B851285" w14:textId="77777777" w:rsidR="008F07C2" w:rsidRDefault="008F07C2" w:rsidP="008C7C05">
      <w:pPr>
        <w:spacing w:line="288" w:lineRule="auto"/>
        <w:jc w:val="both"/>
        <w:rPr>
          <w:rFonts w:ascii="Arial" w:eastAsiaTheme="minorHAnsi" w:hAnsi="Arial" w:cs="Arial"/>
          <w:iCs/>
          <w:szCs w:val="24"/>
        </w:rPr>
      </w:pPr>
    </w:p>
    <w:p w14:paraId="05AEAF79" w14:textId="31F28D52" w:rsidR="00D13078" w:rsidRDefault="00D13078" w:rsidP="008C7C05">
      <w:pPr>
        <w:spacing w:line="288" w:lineRule="auto"/>
        <w:jc w:val="both"/>
        <w:rPr>
          <w:rFonts w:ascii="Arial" w:eastAsiaTheme="minorHAnsi" w:hAnsi="Arial" w:cs="Arial"/>
          <w:iCs/>
          <w:szCs w:val="24"/>
        </w:rPr>
      </w:pPr>
      <w:r>
        <w:rPr>
          <w:rFonts w:ascii="Arial" w:eastAsiaTheme="minorHAnsi" w:hAnsi="Arial" w:cs="Arial"/>
          <w:iCs/>
          <w:szCs w:val="24"/>
        </w:rPr>
        <w:t>Interrogatorio del que se</w:t>
      </w:r>
      <w:r w:rsidRPr="00BC3C0F">
        <w:rPr>
          <w:rFonts w:ascii="Arial" w:eastAsiaTheme="minorHAnsi" w:hAnsi="Arial" w:cs="Arial"/>
          <w:iCs/>
          <w:szCs w:val="24"/>
        </w:rPr>
        <w:t xml:space="preserve"> desprende que </w:t>
      </w:r>
      <w:r>
        <w:rPr>
          <w:rFonts w:ascii="Arial" w:eastAsiaTheme="minorHAnsi" w:hAnsi="Arial" w:cs="Arial"/>
          <w:iCs/>
          <w:szCs w:val="24"/>
        </w:rPr>
        <w:t>Luis Emilio Soto Ardila fue informado</w:t>
      </w:r>
      <w:r w:rsidRPr="00BC3C0F">
        <w:rPr>
          <w:rFonts w:ascii="Arial" w:eastAsiaTheme="minorHAnsi" w:hAnsi="Arial" w:cs="Arial"/>
          <w:iCs/>
          <w:szCs w:val="24"/>
        </w:rPr>
        <w:t xml:space="preserve"> de</w:t>
      </w:r>
      <w:r w:rsidR="002A1798">
        <w:rPr>
          <w:rFonts w:ascii="Arial" w:eastAsiaTheme="minorHAnsi" w:hAnsi="Arial" w:cs="Arial"/>
          <w:iCs/>
          <w:szCs w:val="24"/>
        </w:rPr>
        <w:t xml:space="preserve"> la característica principal</w:t>
      </w:r>
      <w:r>
        <w:rPr>
          <w:rFonts w:ascii="Arial" w:eastAsiaTheme="minorHAnsi" w:hAnsi="Arial" w:cs="Arial"/>
          <w:iCs/>
          <w:szCs w:val="24"/>
        </w:rPr>
        <w:t xml:space="preserve"> del Régimen de Ahorro Individual,</w:t>
      </w:r>
      <w:r w:rsidR="002A1798">
        <w:rPr>
          <w:rFonts w:ascii="Arial" w:eastAsiaTheme="minorHAnsi" w:hAnsi="Arial" w:cs="Arial"/>
          <w:iCs/>
          <w:szCs w:val="24"/>
        </w:rPr>
        <w:t xml:space="preserve"> como es, su funcionamiento a partir de los rendimientos financieros, que el demandante conocía con propiedad debido a su formación académica,</w:t>
      </w:r>
      <w:r>
        <w:rPr>
          <w:rFonts w:ascii="Arial" w:eastAsiaTheme="minorHAnsi" w:hAnsi="Arial" w:cs="Arial"/>
          <w:iCs/>
          <w:szCs w:val="24"/>
        </w:rPr>
        <w:t xml:space="preserve"> máxime que el demandante adujo que había quedado conforme con la información brindada, haciendo hincapié en la rentabilidad del sistema, que aunado a sus conocimientos de economía, evidencian que en efecto el demandante conocía el funcionamiento del Régimen de Ahorro Individual, en términos financieros. </w:t>
      </w:r>
    </w:p>
    <w:p w14:paraId="6C5F1885" w14:textId="77777777" w:rsidR="009073B4" w:rsidRDefault="009073B4" w:rsidP="008C7C05">
      <w:pPr>
        <w:spacing w:line="288" w:lineRule="auto"/>
        <w:jc w:val="both"/>
        <w:rPr>
          <w:rFonts w:ascii="Arial" w:hAnsi="Arial" w:cs="Arial"/>
          <w:szCs w:val="24"/>
        </w:rPr>
      </w:pPr>
    </w:p>
    <w:p w14:paraId="2D1FAAB7" w14:textId="7D8AFE64" w:rsidR="00D13078" w:rsidRPr="00D13078" w:rsidRDefault="00600609" w:rsidP="008C7C05">
      <w:pPr>
        <w:spacing w:line="288" w:lineRule="auto"/>
        <w:jc w:val="both"/>
        <w:rPr>
          <w:rFonts w:ascii="Arial" w:hAnsi="Arial" w:cs="Arial"/>
          <w:color w:val="000000" w:themeColor="text1"/>
          <w:szCs w:val="24"/>
          <w:lang w:val="es-ES"/>
        </w:rPr>
      </w:pPr>
      <w:r>
        <w:rPr>
          <w:rFonts w:ascii="Arial" w:eastAsiaTheme="minorHAnsi" w:hAnsi="Arial" w:cs="Arial"/>
          <w:iCs/>
          <w:szCs w:val="24"/>
        </w:rPr>
        <w:t>De otra parte,</w:t>
      </w:r>
      <w:r w:rsidR="00D13078">
        <w:rPr>
          <w:rFonts w:ascii="Arial" w:eastAsiaTheme="minorHAnsi" w:hAnsi="Arial" w:cs="Arial"/>
          <w:iCs/>
          <w:szCs w:val="24"/>
        </w:rPr>
        <w:t xml:space="preserve"> el dema</w:t>
      </w:r>
      <w:r w:rsidR="002A1798">
        <w:rPr>
          <w:rFonts w:ascii="Arial" w:eastAsiaTheme="minorHAnsi" w:hAnsi="Arial" w:cs="Arial"/>
          <w:iCs/>
          <w:szCs w:val="24"/>
        </w:rPr>
        <w:t>ndante reprochó que los asesores le anunciaron</w:t>
      </w:r>
      <w:r w:rsidR="00D13078">
        <w:rPr>
          <w:rFonts w:ascii="Arial" w:eastAsiaTheme="minorHAnsi" w:hAnsi="Arial" w:cs="Arial"/>
          <w:iCs/>
          <w:szCs w:val="24"/>
        </w:rPr>
        <w:t xml:space="preserve"> que el ISS desaparecería, información que no puede considerarse engañosa, pues para nadie es un secreto que por la entrada en operación de los fondos privados y la </w:t>
      </w:r>
      <w:r w:rsidR="002C611F" w:rsidRPr="00BC2917">
        <w:rPr>
          <w:rFonts w:ascii="Arial" w:hAnsi="Arial" w:cs="Arial"/>
          <w:color w:val="000000" w:themeColor="text1"/>
          <w:spacing w:val="-6"/>
          <w:szCs w:val="24"/>
          <w:lang w:val="es-ES"/>
        </w:rPr>
        <w:t xml:space="preserve"> </w:t>
      </w:r>
      <w:r w:rsidR="002C611F" w:rsidRPr="00D13078">
        <w:rPr>
          <w:rFonts w:ascii="Arial" w:hAnsi="Arial" w:cs="Arial"/>
          <w:color w:val="000000" w:themeColor="text1"/>
          <w:szCs w:val="24"/>
          <w:lang w:val="es-ES"/>
        </w:rPr>
        <w:t>competitividad que se emprendió entre esas entidades, financieramente el ISS se vio afectado</w:t>
      </w:r>
      <w:r w:rsidR="00D13078" w:rsidRPr="00D13078">
        <w:rPr>
          <w:rFonts w:ascii="Arial" w:hAnsi="Arial" w:cs="Arial"/>
          <w:color w:val="000000" w:themeColor="text1"/>
          <w:szCs w:val="24"/>
          <w:lang w:val="es-ES"/>
        </w:rPr>
        <w:t>.</w:t>
      </w:r>
    </w:p>
    <w:p w14:paraId="14A2E450" w14:textId="77777777" w:rsidR="00D13078" w:rsidRPr="00D13078" w:rsidRDefault="00D13078" w:rsidP="008C7C05">
      <w:pPr>
        <w:spacing w:line="288" w:lineRule="auto"/>
        <w:jc w:val="both"/>
        <w:rPr>
          <w:rFonts w:ascii="Arial" w:hAnsi="Arial" w:cs="Arial"/>
          <w:color w:val="000000" w:themeColor="text1"/>
          <w:szCs w:val="24"/>
          <w:lang w:val="es-ES"/>
        </w:rPr>
      </w:pPr>
    </w:p>
    <w:p w14:paraId="4003D92F" w14:textId="3F2A34E3" w:rsidR="00FE6E7A" w:rsidRPr="00337864" w:rsidRDefault="00D13078" w:rsidP="008C7C05">
      <w:pPr>
        <w:spacing w:line="288" w:lineRule="auto"/>
        <w:jc w:val="both"/>
        <w:rPr>
          <w:rFonts w:ascii="Arial" w:hAnsi="Arial" w:cs="Arial"/>
          <w:color w:val="000000" w:themeColor="text1"/>
          <w:szCs w:val="24"/>
          <w:lang w:val="es-ES"/>
        </w:rPr>
      </w:pPr>
      <w:r w:rsidRPr="00D13078">
        <w:rPr>
          <w:rFonts w:ascii="Arial" w:hAnsi="Arial" w:cs="Arial"/>
          <w:color w:val="000000" w:themeColor="text1"/>
          <w:szCs w:val="24"/>
          <w:lang w:val="es-ES"/>
        </w:rPr>
        <w:t>Por otro la</w:t>
      </w:r>
      <w:r w:rsidR="0044517A">
        <w:rPr>
          <w:rFonts w:ascii="Arial" w:hAnsi="Arial" w:cs="Arial"/>
          <w:color w:val="000000" w:themeColor="text1"/>
          <w:szCs w:val="24"/>
          <w:lang w:val="es-ES"/>
        </w:rPr>
        <w:t xml:space="preserve">do, es menester resaltar que el </w:t>
      </w:r>
      <w:r w:rsidRPr="00D13078">
        <w:rPr>
          <w:rFonts w:ascii="Arial" w:hAnsi="Arial" w:cs="Arial"/>
          <w:color w:val="000000" w:themeColor="text1"/>
          <w:szCs w:val="24"/>
          <w:lang w:val="es-ES"/>
        </w:rPr>
        <w:t>demandante admitió que tampoco leyó en su totalidad el formul</w:t>
      </w:r>
      <w:r w:rsidR="0044517A">
        <w:rPr>
          <w:rFonts w:ascii="Arial" w:hAnsi="Arial" w:cs="Arial"/>
          <w:color w:val="000000" w:themeColor="text1"/>
          <w:szCs w:val="24"/>
          <w:lang w:val="es-ES"/>
        </w:rPr>
        <w:t>ario de afiliación previamente firmado</w:t>
      </w:r>
      <w:r>
        <w:rPr>
          <w:rFonts w:ascii="Arial" w:hAnsi="Arial" w:cs="Arial"/>
          <w:color w:val="000000" w:themeColor="text1"/>
          <w:szCs w:val="24"/>
          <w:lang w:val="es-ES"/>
        </w:rPr>
        <w:t>, pues había recibido la información que debía entregársele, sin que se preocupara por investi</w:t>
      </w:r>
      <w:r w:rsidR="00337864">
        <w:rPr>
          <w:rFonts w:ascii="Arial" w:hAnsi="Arial" w:cs="Arial"/>
          <w:color w:val="000000" w:themeColor="text1"/>
          <w:szCs w:val="24"/>
          <w:lang w:val="es-ES"/>
        </w:rPr>
        <w:t>gar o informarse adicionalmente</w:t>
      </w:r>
      <w:r w:rsidR="002A1798">
        <w:rPr>
          <w:rFonts w:ascii="Arial" w:hAnsi="Arial" w:cs="Arial"/>
          <w:color w:val="000000" w:themeColor="text1"/>
          <w:szCs w:val="24"/>
          <w:lang w:val="es-ES"/>
        </w:rPr>
        <w:t xml:space="preserve"> sobre tal cambio</w:t>
      </w:r>
      <w:r w:rsidR="00337864">
        <w:rPr>
          <w:rFonts w:ascii="Arial" w:hAnsi="Arial" w:cs="Arial"/>
          <w:color w:val="000000" w:themeColor="text1"/>
          <w:szCs w:val="24"/>
          <w:lang w:val="es-ES"/>
        </w:rPr>
        <w:t>. C</w:t>
      </w:r>
      <w:proofErr w:type="spellStart"/>
      <w:r w:rsidR="00FE6E7A" w:rsidRPr="00D13078">
        <w:rPr>
          <w:rFonts w:ascii="Arial" w:hAnsi="Arial" w:cs="Arial"/>
          <w:szCs w:val="24"/>
        </w:rPr>
        <w:t>ulpa</w:t>
      </w:r>
      <w:proofErr w:type="spellEnd"/>
      <w:r w:rsidR="00FE6E7A" w:rsidRPr="00D13078">
        <w:rPr>
          <w:rFonts w:ascii="Arial" w:hAnsi="Arial" w:cs="Arial"/>
          <w:szCs w:val="24"/>
        </w:rPr>
        <w:t xml:space="preserve"> imputable a </w:t>
      </w:r>
      <w:r w:rsidR="00337864">
        <w:rPr>
          <w:rFonts w:ascii="Arial" w:hAnsi="Arial" w:cs="Arial"/>
          <w:szCs w:val="24"/>
        </w:rPr>
        <w:t>él</w:t>
      </w:r>
      <w:r w:rsidR="00FE6E7A" w:rsidRPr="00D13078">
        <w:rPr>
          <w:rFonts w:ascii="Arial" w:hAnsi="Arial" w:cs="Arial"/>
          <w:szCs w:val="24"/>
        </w:rPr>
        <w:t xml:space="preserve"> que excluye la existencia de un error, pues pudo verificar </w:t>
      </w:r>
      <w:r w:rsidR="00600609">
        <w:rPr>
          <w:rFonts w:ascii="Arial" w:hAnsi="Arial" w:cs="Arial"/>
          <w:szCs w:val="24"/>
        </w:rPr>
        <w:t>la información dada</w:t>
      </w:r>
      <w:r w:rsidR="00FE6E7A" w:rsidRPr="00D13078">
        <w:rPr>
          <w:rFonts w:ascii="Arial" w:hAnsi="Arial" w:cs="Arial"/>
          <w:szCs w:val="24"/>
        </w:rPr>
        <w:t xml:space="preserve"> para tomar una decisión,</w:t>
      </w:r>
      <w:r w:rsidR="00BC2917" w:rsidRPr="00D13078">
        <w:rPr>
          <w:rFonts w:ascii="Arial" w:hAnsi="Arial" w:cs="Arial"/>
          <w:szCs w:val="24"/>
        </w:rPr>
        <w:t xml:space="preserve"> al recaer</w:t>
      </w:r>
      <w:r w:rsidR="00337864">
        <w:rPr>
          <w:rFonts w:ascii="Arial" w:hAnsi="Arial" w:cs="Arial"/>
          <w:szCs w:val="24"/>
        </w:rPr>
        <w:t xml:space="preserve"> en </w:t>
      </w:r>
      <w:proofErr w:type="gramStart"/>
      <w:r w:rsidR="00337864">
        <w:rPr>
          <w:rFonts w:ascii="Arial" w:hAnsi="Arial" w:cs="Arial"/>
          <w:szCs w:val="24"/>
        </w:rPr>
        <w:t>este</w:t>
      </w:r>
      <w:proofErr w:type="gramEnd"/>
      <w:r w:rsidR="00FE6E7A" w:rsidRPr="00D13078">
        <w:rPr>
          <w:rFonts w:ascii="Arial" w:hAnsi="Arial" w:cs="Arial"/>
          <w:szCs w:val="24"/>
        </w:rPr>
        <w:t xml:space="preserve"> dicha r</w:t>
      </w:r>
      <w:r w:rsidR="00600609">
        <w:rPr>
          <w:rFonts w:ascii="Arial" w:hAnsi="Arial" w:cs="Arial"/>
          <w:szCs w:val="24"/>
        </w:rPr>
        <w:t>esponsabilidad.</w:t>
      </w:r>
    </w:p>
    <w:p w14:paraId="715C8B46" w14:textId="77777777" w:rsidR="002C611F" w:rsidRDefault="002C611F" w:rsidP="008C7C05">
      <w:pPr>
        <w:spacing w:line="288" w:lineRule="auto"/>
        <w:jc w:val="both"/>
        <w:rPr>
          <w:rFonts w:ascii="Arial" w:hAnsi="Arial" w:cs="Arial"/>
          <w:szCs w:val="24"/>
        </w:rPr>
      </w:pPr>
    </w:p>
    <w:p w14:paraId="21226428" w14:textId="5C1E48FA" w:rsidR="0000104A" w:rsidRDefault="00BF595B" w:rsidP="008C7C05">
      <w:pPr>
        <w:spacing w:line="288" w:lineRule="auto"/>
        <w:ind w:right="49"/>
        <w:contextualSpacing/>
        <w:jc w:val="both"/>
        <w:rPr>
          <w:rFonts w:ascii="Arial" w:hAnsi="Arial" w:cs="Arial"/>
          <w:szCs w:val="24"/>
        </w:rPr>
      </w:pPr>
      <w:r w:rsidRPr="00BC3C0F">
        <w:rPr>
          <w:rFonts w:ascii="Arial" w:hAnsi="Arial" w:cs="Arial"/>
          <w:szCs w:val="24"/>
        </w:rPr>
        <w:t xml:space="preserve">Merece en este punto insistir, que </w:t>
      </w:r>
      <w:r w:rsidR="00B740A8">
        <w:rPr>
          <w:rFonts w:ascii="Arial" w:hAnsi="Arial" w:cs="Arial"/>
          <w:szCs w:val="24"/>
        </w:rPr>
        <w:t>mal puede</w:t>
      </w:r>
      <w:r w:rsidRPr="00BC3C0F">
        <w:rPr>
          <w:rFonts w:ascii="Arial" w:hAnsi="Arial" w:cs="Arial"/>
          <w:szCs w:val="24"/>
        </w:rPr>
        <w:t xml:space="preserve"> exigirse a la AFP </w:t>
      </w:r>
      <w:r w:rsidR="00655FDB" w:rsidRPr="00BC3C0F">
        <w:rPr>
          <w:rFonts w:ascii="Arial" w:hAnsi="Arial" w:cs="Arial"/>
          <w:szCs w:val="24"/>
        </w:rPr>
        <w:t xml:space="preserve">privada </w:t>
      </w:r>
      <w:r w:rsidRPr="00BC3C0F">
        <w:rPr>
          <w:rFonts w:ascii="Arial" w:hAnsi="Arial" w:cs="Arial"/>
          <w:szCs w:val="24"/>
        </w:rPr>
        <w:t xml:space="preserve">desanimar </w:t>
      </w:r>
      <w:r w:rsidR="00FC3B60">
        <w:rPr>
          <w:rFonts w:ascii="Arial" w:hAnsi="Arial" w:cs="Arial"/>
          <w:szCs w:val="24"/>
        </w:rPr>
        <w:t xml:space="preserve">en un primer momento </w:t>
      </w:r>
      <w:r w:rsidR="00337864">
        <w:rPr>
          <w:rFonts w:ascii="Arial" w:hAnsi="Arial" w:cs="Arial"/>
          <w:szCs w:val="24"/>
        </w:rPr>
        <w:t>al</w:t>
      </w:r>
      <w:r w:rsidRPr="00BC3C0F">
        <w:rPr>
          <w:rFonts w:ascii="Arial" w:hAnsi="Arial" w:cs="Arial"/>
          <w:szCs w:val="24"/>
        </w:rPr>
        <w:t xml:space="preserve"> demandante de su traslado al RAIS</w:t>
      </w:r>
      <w:r w:rsidR="00831CF4">
        <w:rPr>
          <w:rFonts w:ascii="Arial" w:hAnsi="Arial" w:cs="Arial"/>
          <w:szCs w:val="24"/>
        </w:rPr>
        <w:t xml:space="preserve">, </w:t>
      </w:r>
      <w:r w:rsidR="00B740A8">
        <w:rPr>
          <w:rFonts w:ascii="Arial" w:hAnsi="Arial" w:cs="Arial"/>
          <w:szCs w:val="24"/>
        </w:rPr>
        <w:t>máxime que</w:t>
      </w:r>
      <w:r w:rsidRPr="00BC3C0F">
        <w:rPr>
          <w:rFonts w:ascii="Arial" w:hAnsi="Arial" w:cs="Arial"/>
          <w:szCs w:val="24"/>
        </w:rPr>
        <w:t xml:space="preserve"> tanto este como el RPM están concebidos en la misma Ley 100/93, </w:t>
      </w:r>
      <w:r w:rsidR="004E37CC" w:rsidRPr="00BC3C0F">
        <w:rPr>
          <w:rFonts w:ascii="Arial" w:hAnsi="Arial" w:cs="Arial"/>
          <w:szCs w:val="24"/>
        </w:rPr>
        <w:t>sin que</w:t>
      </w:r>
      <w:r w:rsidRPr="00BC3C0F">
        <w:rPr>
          <w:rFonts w:ascii="Arial" w:hAnsi="Arial" w:cs="Arial"/>
          <w:szCs w:val="24"/>
        </w:rPr>
        <w:t xml:space="preserve"> uno </w:t>
      </w:r>
      <w:r w:rsidR="004E37CC" w:rsidRPr="00BC3C0F">
        <w:rPr>
          <w:rFonts w:ascii="Arial" w:hAnsi="Arial" w:cs="Arial"/>
          <w:szCs w:val="24"/>
        </w:rPr>
        <w:t xml:space="preserve">sea </w:t>
      </w:r>
      <w:r w:rsidR="00C31837" w:rsidRPr="00BC3C0F">
        <w:rPr>
          <w:rFonts w:ascii="Arial" w:hAnsi="Arial" w:cs="Arial"/>
          <w:szCs w:val="24"/>
        </w:rPr>
        <w:t>mejor que el otro, sino</w:t>
      </w:r>
      <w:r w:rsidRPr="00BC3C0F">
        <w:rPr>
          <w:rFonts w:ascii="Arial" w:hAnsi="Arial" w:cs="Arial"/>
          <w:szCs w:val="24"/>
        </w:rPr>
        <w:t xml:space="preserve"> diferentes</w:t>
      </w:r>
      <w:r w:rsidR="00A61145">
        <w:rPr>
          <w:rFonts w:ascii="Arial" w:hAnsi="Arial" w:cs="Arial"/>
          <w:szCs w:val="24"/>
        </w:rPr>
        <w:t xml:space="preserve"> como pudo el mismo actor percibir al poder comparar las características, condiciones y ventajas que venía recibiendo en el RPM, d</w:t>
      </w:r>
      <w:r w:rsidR="00841A62">
        <w:rPr>
          <w:rFonts w:ascii="Arial" w:hAnsi="Arial" w:cs="Arial"/>
          <w:szCs w:val="24"/>
        </w:rPr>
        <w:t>onde permaneció durante más de 11</w:t>
      </w:r>
      <w:r w:rsidR="00A61145">
        <w:rPr>
          <w:rFonts w:ascii="Arial" w:hAnsi="Arial" w:cs="Arial"/>
          <w:szCs w:val="24"/>
        </w:rPr>
        <w:t xml:space="preserve"> años</w:t>
      </w:r>
      <w:r w:rsidR="00841A62">
        <w:rPr>
          <w:rFonts w:ascii="Arial" w:hAnsi="Arial" w:cs="Arial"/>
          <w:szCs w:val="24"/>
        </w:rPr>
        <w:t xml:space="preserve"> (fls. 53 cd y 117 c. 1)</w:t>
      </w:r>
      <w:r w:rsidR="00A61145">
        <w:rPr>
          <w:rFonts w:ascii="Arial" w:hAnsi="Arial" w:cs="Arial"/>
          <w:szCs w:val="24"/>
        </w:rPr>
        <w:t>, con la recibida en el RAIS</w:t>
      </w:r>
      <w:r w:rsidR="00574D01">
        <w:rPr>
          <w:rFonts w:ascii="Arial" w:hAnsi="Arial" w:cs="Arial"/>
          <w:szCs w:val="24"/>
        </w:rPr>
        <w:t>; pues la certeza del monto pensional que otorga el primero se recompensa en el RAIS con la garantía de pensión mínima, la devolución de saldos, los excedentes de libre disponibilidad y que las sumas acumuladas en la cuenta individual hagan parte de la masa sucesoral. Así,</w:t>
      </w:r>
      <w:r w:rsidR="00256A01">
        <w:rPr>
          <w:rFonts w:ascii="Arial" w:hAnsi="Arial" w:cs="Arial"/>
          <w:szCs w:val="24"/>
        </w:rPr>
        <w:t xml:space="preserve"> </w:t>
      </w:r>
      <w:r w:rsidR="00C31837" w:rsidRPr="00BC3C0F">
        <w:rPr>
          <w:rFonts w:ascii="Arial" w:hAnsi="Arial" w:cs="Arial"/>
          <w:szCs w:val="24"/>
        </w:rPr>
        <w:t xml:space="preserve">dependiendo </w:t>
      </w:r>
      <w:r w:rsidRPr="00BC3C0F">
        <w:rPr>
          <w:rFonts w:ascii="Arial" w:hAnsi="Arial" w:cs="Arial"/>
          <w:szCs w:val="24"/>
        </w:rPr>
        <w:t>de las circunstancias particulares del afiliado al final de la vida laboral o de presentarse un siniestro,</w:t>
      </w:r>
      <w:r w:rsidR="00574D01">
        <w:rPr>
          <w:rFonts w:ascii="Arial" w:hAnsi="Arial" w:cs="Arial"/>
          <w:szCs w:val="24"/>
        </w:rPr>
        <w:t xml:space="preserve"> es que se podrá</w:t>
      </w:r>
      <w:r w:rsidR="00605B5E" w:rsidRPr="00BC3C0F">
        <w:rPr>
          <w:rFonts w:ascii="Arial" w:hAnsi="Arial" w:cs="Arial"/>
          <w:szCs w:val="24"/>
        </w:rPr>
        <w:t xml:space="preserve"> precisar cuál de los dos</w:t>
      </w:r>
      <w:r w:rsidR="00C31837" w:rsidRPr="00BC3C0F">
        <w:rPr>
          <w:rFonts w:ascii="Arial" w:hAnsi="Arial" w:cs="Arial"/>
          <w:szCs w:val="24"/>
        </w:rPr>
        <w:t xml:space="preserve"> es más conveniente</w:t>
      </w:r>
      <w:r w:rsidR="00CC0F06">
        <w:rPr>
          <w:rFonts w:ascii="Arial" w:hAnsi="Arial" w:cs="Arial"/>
          <w:szCs w:val="24"/>
        </w:rPr>
        <w:t>;</w:t>
      </w:r>
      <w:r w:rsidR="004E37CC" w:rsidRPr="00BC3C0F">
        <w:rPr>
          <w:rFonts w:ascii="Arial" w:hAnsi="Arial" w:cs="Arial"/>
          <w:szCs w:val="24"/>
        </w:rPr>
        <w:t xml:space="preserve"> antes</w:t>
      </w:r>
      <w:r w:rsidR="00C31837" w:rsidRPr="00BC3C0F">
        <w:rPr>
          <w:rFonts w:ascii="Arial" w:hAnsi="Arial" w:cs="Arial"/>
          <w:szCs w:val="24"/>
        </w:rPr>
        <w:t xml:space="preserve"> de ello </w:t>
      </w:r>
      <w:r w:rsidR="004E37CC" w:rsidRPr="00BC3C0F">
        <w:rPr>
          <w:rFonts w:ascii="Arial" w:hAnsi="Arial" w:cs="Arial"/>
          <w:szCs w:val="24"/>
        </w:rPr>
        <w:t>solo es partir de meras conjeturas y, vaticin</w:t>
      </w:r>
      <w:r w:rsidR="0000104A">
        <w:rPr>
          <w:rFonts w:ascii="Arial" w:hAnsi="Arial" w:cs="Arial"/>
          <w:szCs w:val="24"/>
        </w:rPr>
        <w:t xml:space="preserve">ar la vida </w:t>
      </w:r>
      <w:proofErr w:type="gramStart"/>
      <w:r w:rsidR="0000104A">
        <w:rPr>
          <w:rFonts w:ascii="Arial" w:hAnsi="Arial" w:cs="Arial"/>
          <w:szCs w:val="24"/>
        </w:rPr>
        <w:t>del afiliado</w:t>
      </w:r>
      <w:proofErr w:type="gramEnd"/>
      <w:r w:rsidR="0000104A">
        <w:rPr>
          <w:rFonts w:ascii="Arial" w:hAnsi="Arial" w:cs="Arial"/>
          <w:szCs w:val="24"/>
        </w:rPr>
        <w:t xml:space="preserve"> 20 años.</w:t>
      </w:r>
    </w:p>
    <w:p w14:paraId="1835B0DB" w14:textId="77777777" w:rsidR="00A4270B" w:rsidRDefault="00A4270B" w:rsidP="008C7C05">
      <w:pPr>
        <w:spacing w:line="288" w:lineRule="auto"/>
        <w:ind w:right="49"/>
        <w:contextualSpacing/>
        <w:jc w:val="both"/>
        <w:rPr>
          <w:rFonts w:ascii="Arial" w:hAnsi="Arial" w:cs="Arial"/>
          <w:szCs w:val="24"/>
        </w:rPr>
      </w:pPr>
    </w:p>
    <w:p w14:paraId="20286AE7" w14:textId="10E27FC8" w:rsidR="00A61145" w:rsidRDefault="00A4270B" w:rsidP="008C7C05">
      <w:pPr>
        <w:spacing w:line="288" w:lineRule="auto"/>
        <w:ind w:right="49"/>
        <w:contextualSpacing/>
        <w:jc w:val="both"/>
        <w:rPr>
          <w:rFonts w:ascii="Arial" w:hAnsi="Arial" w:cs="Arial"/>
          <w:szCs w:val="24"/>
        </w:rPr>
      </w:pPr>
      <w:r w:rsidRPr="001F2CB7">
        <w:rPr>
          <w:rFonts w:ascii="Arial" w:hAnsi="Arial" w:cs="Arial"/>
          <w:szCs w:val="24"/>
        </w:rPr>
        <w:t>Dicho de otra forma, la asesoría brindada por la AFP</w:t>
      </w:r>
      <w:r w:rsidR="00716EF1">
        <w:rPr>
          <w:rFonts w:ascii="Arial" w:hAnsi="Arial" w:cs="Arial"/>
          <w:szCs w:val="24"/>
        </w:rPr>
        <w:t xml:space="preserve"> en el momento de la escogencia del RAIS en 1995 se circunscribía</w:t>
      </w:r>
      <w:r w:rsidRPr="001F2CB7">
        <w:rPr>
          <w:rFonts w:ascii="Arial" w:hAnsi="Arial" w:cs="Arial"/>
          <w:szCs w:val="24"/>
        </w:rPr>
        <w:t xml:space="preserve"> a informar al afiliado </w:t>
      </w:r>
      <w:r w:rsidR="00A61145">
        <w:rPr>
          <w:rFonts w:ascii="Arial" w:hAnsi="Arial" w:cs="Arial"/>
          <w:szCs w:val="24"/>
        </w:rPr>
        <w:t>de las</w:t>
      </w:r>
      <w:r w:rsidRPr="001F2CB7">
        <w:rPr>
          <w:rFonts w:ascii="Arial" w:hAnsi="Arial" w:cs="Arial"/>
          <w:szCs w:val="24"/>
        </w:rPr>
        <w:t xml:space="preserve"> características</w:t>
      </w:r>
      <w:r w:rsidR="00841A62">
        <w:rPr>
          <w:rFonts w:ascii="Arial" w:hAnsi="Arial" w:cs="Arial"/>
          <w:szCs w:val="24"/>
        </w:rPr>
        <w:t>, condiciones y ventajas</w:t>
      </w:r>
      <w:r w:rsidRPr="001F2CB7">
        <w:rPr>
          <w:rFonts w:ascii="Arial" w:hAnsi="Arial" w:cs="Arial"/>
          <w:szCs w:val="24"/>
        </w:rPr>
        <w:t xml:space="preserve"> del RAIS</w:t>
      </w:r>
      <w:r w:rsidR="006045AA">
        <w:rPr>
          <w:rFonts w:ascii="Arial" w:hAnsi="Arial" w:cs="Arial"/>
          <w:szCs w:val="24"/>
        </w:rPr>
        <w:t>, además de su solidez</w:t>
      </w:r>
      <w:r w:rsidR="00FC3B60">
        <w:rPr>
          <w:rFonts w:ascii="Arial" w:hAnsi="Arial" w:cs="Arial"/>
          <w:szCs w:val="24"/>
        </w:rPr>
        <w:t xml:space="preserve"> financiera (art. 97 del Decreto 663/1993 y sus modificaciones)</w:t>
      </w:r>
      <w:r w:rsidRPr="001F2CB7">
        <w:rPr>
          <w:rFonts w:ascii="Arial" w:hAnsi="Arial" w:cs="Arial"/>
          <w:szCs w:val="24"/>
        </w:rPr>
        <w:t xml:space="preserve">, </w:t>
      </w:r>
      <w:r w:rsidR="00A61145" w:rsidRPr="00AD294E">
        <w:rPr>
          <w:rFonts w:ascii="Arial" w:hAnsi="Arial" w:cs="Arial"/>
          <w:szCs w:val="24"/>
        </w:rPr>
        <w:t xml:space="preserve">sin que dicha información pueda analizarse desde la óptica de un buen o mal consejo, en primer lugar, porque según la jurisprudencia ya citada, dicha obligación solo apareció con la </w:t>
      </w:r>
      <w:r w:rsidR="00A61145" w:rsidRPr="00AD294E">
        <w:rPr>
          <w:rFonts w:ascii="Arial" w:hAnsi="Arial" w:cs="Arial"/>
          <w:color w:val="000000"/>
          <w:szCs w:val="24"/>
          <w:lang w:eastAsia="es-CO"/>
        </w:rPr>
        <w:t xml:space="preserve">Ley 1328 de 2009 y el Decreto 2241 de 2010, y en segundo lugar </w:t>
      </w:r>
      <w:r w:rsidR="00A61145" w:rsidRPr="00AD294E">
        <w:rPr>
          <w:rFonts w:ascii="Arial" w:hAnsi="Arial" w:cs="Arial"/>
          <w:szCs w:val="24"/>
        </w:rPr>
        <w:t>ello implicaría usurpar la voluntad del afiliado, única persona que después de conocer las características del régimen podrá sopesar si la escogencia del RAIS resulta adecuada o atractiva para el florecimiento de su vida; pues al gozar de capacidad</w:t>
      </w:r>
      <w:r w:rsidR="00A61145">
        <w:rPr>
          <w:rFonts w:ascii="Arial" w:hAnsi="Arial" w:cs="Arial"/>
          <w:szCs w:val="24"/>
        </w:rPr>
        <w:t xml:space="preserve"> de ejercicio, quien celebra el contrato de afiliación está </w:t>
      </w:r>
      <w:r w:rsidR="00A61145">
        <w:rPr>
          <w:rFonts w:ascii="Arial" w:hAnsi="Arial" w:cs="Arial"/>
          <w:szCs w:val="24"/>
        </w:rPr>
        <w:lastRenderedPageBreak/>
        <w:t xml:space="preserve">en condiciones de entender las incidencias de la escogencia a partir de la información que ha recibido. </w:t>
      </w:r>
    </w:p>
    <w:p w14:paraId="7DB11FFD" w14:textId="77777777" w:rsidR="00D709CE" w:rsidRDefault="00D709CE" w:rsidP="008C7C05">
      <w:pPr>
        <w:spacing w:line="288" w:lineRule="auto"/>
        <w:ind w:right="49"/>
        <w:contextualSpacing/>
        <w:jc w:val="both"/>
        <w:rPr>
          <w:rFonts w:ascii="Arial" w:hAnsi="Arial" w:cs="Arial"/>
          <w:szCs w:val="24"/>
        </w:rPr>
      </w:pPr>
    </w:p>
    <w:p w14:paraId="7B239C47" w14:textId="77777777" w:rsidR="009073B4" w:rsidRDefault="00A96D9A" w:rsidP="008C7C05">
      <w:pPr>
        <w:spacing w:line="288" w:lineRule="auto"/>
        <w:ind w:right="49"/>
        <w:contextualSpacing/>
        <w:jc w:val="both"/>
        <w:rPr>
          <w:rFonts w:ascii="Arial" w:hAnsi="Arial"/>
          <w:szCs w:val="24"/>
        </w:rPr>
      </w:pPr>
      <w:r w:rsidRPr="00A96D9A">
        <w:rPr>
          <w:rFonts w:ascii="Arial" w:hAnsi="Arial"/>
          <w:szCs w:val="24"/>
        </w:rPr>
        <w:t>Al punto es preciso advertir que Luis Emilio Soto Ardila no solo suscribió el formulario de vinculación al RAIS a trav</w:t>
      </w:r>
      <w:r>
        <w:rPr>
          <w:rFonts w:ascii="Arial" w:hAnsi="Arial"/>
          <w:szCs w:val="24"/>
        </w:rPr>
        <w:t>és de Colfondos S.A. en el año 1995</w:t>
      </w:r>
      <w:r w:rsidRPr="00A96D9A">
        <w:rPr>
          <w:rFonts w:ascii="Arial" w:hAnsi="Arial"/>
          <w:szCs w:val="24"/>
        </w:rPr>
        <w:t xml:space="preserve">, que cumplió los lineamientos fijados en la ley, sino que reiteró su voluntad de permanencia en dicho régimen, al trasladarse nuevamente a otra AFP del mismo régimen, esta vez a </w:t>
      </w:r>
      <w:r>
        <w:rPr>
          <w:rFonts w:ascii="Arial" w:hAnsi="Arial"/>
          <w:szCs w:val="24"/>
        </w:rPr>
        <w:t>Colpatria – hoy Porvenir S.A. en el año 2000 (fl. 15 c. 1)</w:t>
      </w:r>
      <w:r w:rsidRPr="00A96D9A">
        <w:rPr>
          <w:rFonts w:ascii="Arial" w:hAnsi="Arial"/>
          <w:szCs w:val="24"/>
        </w:rPr>
        <w:t xml:space="preserve">, calenda para la cual contaba con </w:t>
      </w:r>
      <w:r>
        <w:rPr>
          <w:rFonts w:ascii="Arial" w:hAnsi="Arial"/>
          <w:szCs w:val="24"/>
        </w:rPr>
        <w:t>40</w:t>
      </w:r>
      <w:r w:rsidRPr="00A96D9A">
        <w:rPr>
          <w:rFonts w:ascii="Arial" w:hAnsi="Arial"/>
          <w:szCs w:val="24"/>
        </w:rPr>
        <w:t xml:space="preserve"> años de edad, es decir, que todavía podía optar por cambiarse p</w:t>
      </w:r>
      <w:r>
        <w:rPr>
          <w:rFonts w:ascii="Arial" w:hAnsi="Arial"/>
          <w:szCs w:val="24"/>
        </w:rPr>
        <w:t>ara el RPM por no estar afectado</w:t>
      </w:r>
      <w:r w:rsidRPr="00A96D9A">
        <w:rPr>
          <w:rFonts w:ascii="Arial" w:hAnsi="Arial"/>
          <w:szCs w:val="24"/>
        </w:rPr>
        <w:t xml:space="preserve"> por la restricción contenida en el artículo 2º de la Ley 797/2003,</w:t>
      </w:r>
      <w:r w:rsidR="009073B4">
        <w:rPr>
          <w:rFonts w:ascii="Arial" w:hAnsi="Arial"/>
          <w:szCs w:val="24"/>
        </w:rPr>
        <w:t xml:space="preserve"> de lo que se infiere que estaba conforme con los beneficios que venía disfrutando desde el año 1995 cuando ingresó a él y que conocía; pues lo que se espera de una persona que recibe la información por primera vez, al efectuar el traslado entre AFP privadas y estar inconforme con ella, es que abandone tal régimen y retorne al RPM, pero no, pues decidió permanecer allí, lo que confirma que lo que se le informó en esa segunda oportunidad por Colpatria, era lo mismo que se le enteró cuando optó por el RAIS al afiliarse a </w:t>
      </w:r>
      <w:proofErr w:type="spellStart"/>
      <w:r w:rsidR="009073B4">
        <w:rPr>
          <w:rFonts w:ascii="Arial" w:hAnsi="Arial"/>
          <w:szCs w:val="24"/>
        </w:rPr>
        <w:t>Colfondos</w:t>
      </w:r>
      <w:proofErr w:type="spellEnd"/>
      <w:r w:rsidR="009073B4">
        <w:rPr>
          <w:rFonts w:ascii="Arial" w:hAnsi="Arial"/>
          <w:szCs w:val="24"/>
        </w:rPr>
        <w:t>.</w:t>
      </w:r>
    </w:p>
    <w:p w14:paraId="1B018704" w14:textId="202F5398" w:rsidR="00A96D9A" w:rsidRDefault="00472250" w:rsidP="008C7C05">
      <w:pPr>
        <w:spacing w:line="288" w:lineRule="auto"/>
        <w:ind w:right="49"/>
        <w:contextualSpacing/>
        <w:jc w:val="both"/>
        <w:rPr>
          <w:rFonts w:ascii="Arial" w:hAnsi="Arial"/>
          <w:szCs w:val="24"/>
        </w:rPr>
      </w:pPr>
      <w:r>
        <w:rPr>
          <w:rFonts w:ascii="Arial" w:hAnsi="Arial"/>
          <w:szCs w:val="24"/>
        </w:rPr>
        <w:t xml:space="preserve"> </w:t>
      </w:r>
    </w:p>
    <w:p w14:paraId="0D66A865" w14:textId="23A74083" w:rsidR="0000104A" w:rsidRDefault="00BF595B" w:rsidP="008C7C05">
      <w:pPr>
        <w:spacing w:line="288" w:lineRule="auto"/>
        <w:ind w:right="49"/>
        <w:contextualSpacing/>
        <w:jc w:val="both"/>
        <w:rPr>
          <w:rFonts w:ascii="Arial" w:hAnsi="Arial" w:cs="Arial"/>
          <w:szCs w:val="24"/>
          <w:lang w:eastAsia="es-CO"/>
        </w:rPr>
      </w:pPr>
      <w:r w:rsidRPr="00BC3C0F">
        <w:rPr>
          <w:rFonts w:ascii="Arial" w:hAnsi="Arial" w:cs="Arial"/>
          <w:szCs w:val="24"/>
        </w:rPr>
        <w:t xml:space="preserve">Adicionalmente, </w:t>
      </w:r>
      <w:r w:rsidR="00435C3A">
        <w:rPr>
          <w:rFonts w:ascii="Arial" w:hAnsi="Arial" w:cs="Arial"/>
          <w:szCs w:val="24"/>
        </w:rPr>
        <w:t xml:space="preserve">pese a que </w:t>
      </w:r>
      <w:r w:rsidR="00337864">
        <w:rPr>
          <w:rFonts w:ascii="Arial" w:hAnsi="Arial" w:cs="Arial"/>
          <w:szCs w:val="24"/>
        </w:rPr>
        <w:t>Luis Emilio Soto Ardila</w:t>
      </w:r>
      <w:r w:rsidR="00605B5E" w:rsidRPr="00BC3C0F">
        <w:rPr>
          <w:rFonts w:ascii="Arial" w:hAnsi="Arial" w:cs="Arial"/>
          <w:szCs w:val="24"/>
        </w:rPr>
        <w:t xml:space="preserve"> </w:t>
      </w:r>
      <w:r w:rsidR="00337864">
        <w:rPr>
          <w:rFonts w:ascii="Arial" w:hAnsi="Arial" w:cs="Arial"/>
          <w:szCs w:val="24"/>
        </w:rPr>
        <w:t>manifestó</w:t>
      </w:r>
      <w:r w:rsidR="004E37CC" w:rsidRPr="00BC3C0F">
        <w:rPr>
          <w:rFonts w:ascii="Arial" w:hAnsi="Arial" w:cs="Arial"/>
          <w:szCs w:val="24"/>
        </w:rPr>
        <w:t xml:space="preserve"> en los hechos de la demanda </w:t>
      </w:r>
      <w:r w:rsidR="00337864">
        <w:rPr>
          <w:rFonts w:ascii="Arial" w:hAnsi="Arial" w:cs="Arial"/>
          <w:szCs w:val="24"/>
        </w:rPr>
        <w:t xml:space="preserve">que </w:t>
      </w:r>
      <w:r w:rsidR="00AD402A">
        <w:rPr>
          <w:rFonts w:ascii="Arial" w:hAnsi="Arial" w:cs="Arial"/>
          <w:szCs w:val="24"/>
        </w:rPr>
        <w:t xml:space="preserve">para el año 1995 </w:t>
      </w:r>
      <w:r w:rsidR="00337864">
        <w:rPr>
          <w:rFonts w:ascii="Arial" w:hAnsi="Arial" w:cs="Arial"/>
          <w:szCs w:val="24"/>
        </w:rPr>
        <w:t>no recibió información sobre el monto de la pensión que obtendría</w:t>
      </w:r>
      <w:r w:rsidR="00435C3A">
        <w:rPr>
          <w:rFonts w:ascii="Arial" w:hAnsi="Arial" w:cs="Arial"/>
          <w:szCs w:val="24"/>
        </w:rPr>
        <w:t xml:space="preserve"> </w:t>
      </w:r>
      <w:r w:rsidR="0000104A">
        <w:rPr>
          <w:rFonts w:ascii="Arial" w:hAnsi="Arial" w:cs="Arial"/>
          <w:szCs w:val="24"/>
        </w:rPr>
        <w:t xml:space="preserve">(fl. </w:t>
      </w:r>
      <w:r w:rsidR="00337864">
        <w:rPr>
          <w:rFonts w:ascii="Arial" w:hAnsi="Arial" w:cs="Arial"/>
          <w:szCs w:val="24"/>
        </w:rPr>
        <w:t xml:space="preserve">3 </w:t>
      </w:r>
      <w:r w:rsidR="0000104A">
        <w:rPr>
          <w:rFonts w:ascii="Arial" w:hAnsi="Arial" w:cs="Arial"/>
          <w:szCs w:val="24"/>
        </w:rPr>
        <w:t>c. 1),</w:t>
      </w:r>
      <w:r w:rsidR="00472250">
        <w:rPr>
          <w:rFonts w:ascii="Arial" w:hAnsi="Arial" w:cs="Arial"/>
          <w:szCs w:val="24"/>
        </w:rPr>
        <w:t xml:space="preserve"> </w:t>
      </w:r>
      <w:r w:rsidR="009073B4">
        <w:rPr>
          <w:rFonts w:ascii="Arial" w:hAnsi="Arial" w:cs="Arial"/>
          <w:szCs w:val="24"/>
        </w:rPr>
        <w:t>ello</w:t>
      </w:r>
      <w:r w:rsidR="00472250">
        <w:rPr>
          <w:rFonts w:ascii="Arial" w:hAnsi="Arial" w:cs="Arial"/>
          <w:szCs w:val="24"/>
        </w:rPr>
        <w:t xml:space="preserve"> no configura una información incompleta</w:t>
      </w:r>
      <w:r w:rsidR="009073B4">
        <w:rPr>
          <w:rFonts w:ascii="Arial" w:hAnsi="Arial" w:cs="Arial"/>
          <w:szCs w:val="24"/>
        </w:rPr>
        <w:t>, dado que</w:t>
      </w:r>
      <w:r w:rsidR="00472250">
        <w:rPr>
          <w:rFonts w:ascii="Arial" w:hAnsi="Arial" w:cs="Arial"/>
          <w:szCs w:val="24"/>
        </w:rPr>
        <w:t xml:space="preserve"> la</w:t>
      </w:r>
      <w:r w:rsidR="0000104A">
        <w:rPr>
          <w:rFonts w:ascii="Arial" w:hAnsi="Arial" w:cs="Arial"/>
          <w:szCs w:val="24"/>
        </w:rPr>
        <w:t xml:space="preserve"> </w:t>
      </w:r>
      <w:r w:rsidR="00AD402A">
        <w:rPr>
          <w:rFonts w:ascii="Arial" w:hAnsi="Arial" w:cs="Arial"/>
          <w:szCs w:val="24"/>
        </w:rPr>
        <w:t>p</w:t>
      </w:r>
      <w:r w:rsidR="004E37CC" w:rsidRPr="00BC3C0F">
        <w:rPr>
          <w:rFonts w:ascii="Arial" w:hAnsi="Arial" w:cs="Arial"/>
          <w:szCs w:val="24"/>
        </w:rPr>
        <w:t xml:space="preserve">royección de la pensión </w:t>
      </w:r>
      <w:r w:rsidR="009073B4">
        <w:rPr>
          <w:rFonts w:ascii="Arial" w:hAnsi="Arial" w:cs="Arial"/>
          <w:szCs w:val="24"/>
        </w:rPr>
        <w:t xml:space="preserve"> </w:t>
      </w:r>
      <w:bookmarkStart w:id="0" w:name="_GoBack"/>
      <w:bookmarkEnd w:id="0"/>
      <w:r w:rsidR="009073B4">
        <w:rPr>
          <w:rFonts w:ascii="Arial" w:hAnsi="Arial" w:cs="Arial"/>
          <w:szCs w:val="24"/>
        </w:rPr>
        <w:t xml:space="preserve">solo </w:t>
      </w:r>
      <w:r w:rsidR="004E37CC" w:rsidRPr="00BC3C0F">
        <w:rPr>
          <w:rFonts w:ascii="Arial" w:hAnsi="Arial" w:cs="Arial"/>
          <w:szCs w:val="24"/>
        </w:rPr>
        <w:t>apareció</w:t>
      </w:r>
      <w:r w:rsidR="00605B5E" w:rsidRPr="00BC3C0F">
        <w:rPr>
          <w:rFonts w:ascii="Arial" w:hAnsi="Arial" w:cs="Arial"/>
          <w:szCs w:val="24"/>
        </w:rPr>
        <w:t xml:space="preserve"> con </w:t>
      </w:r>
      <w:r w:rsidRPr="00BC3C0F">
        <w:rPr>
          <w:rFonts w:ascii="Arial" w:hAnsi="Arial" w:cs="Arial"/>
          <w:szCs w:val="24"/>
        </w:rPr>
        <w:t xml:space="preserve">la Ley </w:t>
      </w:r>
      <w:r w:rsidRPr="00BC3C0F">
        <w:rPr>
          <w:rFonts w:ascii="Arial" w:hAnsi="Arial" w:cs="Arial"/>
          <w:szCs w:val="24"/>
          <w:lang w:eastAsia="es-CO"/>
        </w:rPr>
        <w:t>1748 de 2014</w:t>
      </w:r>
      <w:r w:rsidRPr="00BC3C0F">
        <w:rPr>
          <w:rStyle w:val="Refdenotaalpie"/>
          <w:rFonts w:ascii="Arial" w:hAnsi="Arial" w:cs="Arial"/>
          <w:szCs w:val="24"/>
          <w:lang w:eastAsia="es-CO"/>
        </w:rPr>
        <w:footnoteReference w:id="4"/>
      </w:r>
      <w:r w:rsidRPr="00BC3C0F">
        <w:rPr>
          <w:rFonts w:ascii="Arial" w:hAnsi="Arial" w:cs="Arial"/>
          <w:szCs w:val="24"/>
          <w:lang w:eastAsia="es-CO"/>
        </w:rPr>
        <w:t xml:space="preserve"> y el Decreto 2071 de 2015</w:t>
      </w:r>
      <w:r w:rsidRPr="00BC3C0F">
        <w:rPr>
          <w:rStyle w:val="Refdenotaalpie"/>
          <w:rFonts w:ascii="Arial" w:hAnsi="Arial" w:cs="Arial"/>
          <w:szCs w:val="24"/>
          <w:lang w:eastAsia="es-CO"/>
        </w:rPr>
        <w:footnoteReference w:id="5"/>
      </w:r>
      <w:r w:rsidRPr="00BC3C0F">
        <w:rPr>
          <w:rFonts w:ascii="Arial" w:hAnsi="Arial" w:cs="Arial"/>
          <w:szCs w:val="24"/>
          <w:lang w:eastAsia="es-CO"/>
        </w:rPr>
        <w:t xml:space="preserve">, por lo que </w:t>
      </w:r>
      <w:r w:rsidR="00275C48">
        <w:rPr>
          <w:rFonts w:ascii="Arial" w:hAnsi="Arial" w:cs="Arial"/>
          <w:szCs w:val="24"/>
          <w:lang w:eastAsia="es-CO"/>
        </w:rPr>
        <w:t xml:space="preserve">su ausencia antes de estos años </w:t>
      </w:r>
      <w:r w:rsidRPr="00BC3C0F">
        <w:rPr>
          <w:rFonts w:ascii="Arial" w:hAnsi="Arial" w:cs="Arial"/>
          <w:szCs w:val="24"/>
          <w:lang w:eastAsia="es-CO"/>
        </w:rPr>
        <w:t xml:space="preserve">no implica </w:t>
      </w:r>
      <w:r w:rsidR="004E37CC" w:rsidRPr="00BC3C0F">
        <w:rPr>
          <w:rFonts w:ascii="Arial" w:hAnsi="Arial" w:cs="Arial"/>
          <w:szCs w:val="24"/>
          <w:lang w:eastAsia="es-CO"/>
        </w:rPr>
        <w:t>necesariamente</w:t>
      </w:r>
      <w:r w:rsidR="00A4270B">
        <w:rPr>
          <w:rFonts w:ascii="Arial" w:hAnsi="Arial" w:cs="Arial"/>
          <w:szCs w:val="24"/>
          <w:lang w:eastAsia="es-CO"/>
        </w:rPr>
        <w:t xml:space="preserve"> </w:t>
      </w:r>
      <w:r w:rsidR="002D4514">
        <w:rPr>
          <w:rFonts w:ascii="Arial" w:hAnsi="Arial" w:cs="Arial"/>
          <w:szCs w:val="24"/>
          <w:lang w:eastAsia="es-CO"/>
        </w:rPr>
        <w:t xml:space="preserve">un </w:t>
      </w:r>
      <w:r w:rsidR="00716EF1">
        <w:rPr>
          <w:rFonts w:ascii="Arial" w:hAnsi="Arial" w:cs="Arial"/>
          <w:szCs w:val="24"/>
          <w:lang w:eastAsia="es-CO"/>
        </w:rPr>
        <w:t>asesoramiento</w:t>
      </w:r>
      <w:r w:rsidR="001055FC">
        <w:rPr>
          <w:rFonts w:ascii="Arial" w:hAnsi="Arial" w:cs="Arial"/>
          <w:szCs w:val="24"/>
          <w:lang w:eastAsia="es-CO"/>
        </w:rPr>
        <w:t xml:space="preserve"> parcial</w:t>
      </w:r>
      <w:r w:rsidR="00716EF1">
        <w:rPr>
          <w:rFonts w:ascii="Arial" w:hAnsi="Arial" w:cs="Arial"/>
          <w:szCs w:val="24"/>
          <w:lang w:eastAsia="es-CO"/>
        </w:rPr>
        <w:t>;</w:t>
      </w:r>
      <w:r w:rsidR="00A4270B">
        <w:rPr>
          <w:rFonts w:ascii="Arial" w:hAnsi="Arial" w:cs="Arial"/>
          <w:szCs w:val="24"/>
          <w:lang w:eastAsia="es-CO"/>
        </w:rPr>
        <w:t xml:space="preserve"> debiéndose recordar en este punto que</w:t>
      </w:r>
      <w:r w:rsidR="00275C48">
        <w:rPr>
          <w:rFonts w:ascii="Arial" w:hAnsi="Arial" w:cs="Arial"/>
          <w:szCs w:val="24"/>
          <w:lang w:eastAsia="es-CO"/>
        </w:rPr>
        <w:t>,</w:t>
      </w:r>
      <w:r w:rsidR="00A4270B">
        <w:rPr>
          <w:rFonts w:ascii="Arial" w:hAnsi="Arial" w:cs="Arial"/>
          <w:szCs w:val="24"/>
          <w:lang w:eastAsia="es-CO"/>
        </w:rPr>
        <w:t xml:space="preserve"> de haberse hecho y no</w:t>
      </w:r>
      <w:r w:rsidR="00275C48">
        <w:rPr>
          <w:rFonts w:ascii="Arial" w:hAnsi="Arial" w:cs="Arial"/>
          <w:szCs w:val="24"/>
          <w:lang w:eastAsia="es-CO"/>
        </w:rPr>
        <w:t xml:space="preserve"> corresponder </w:t>
      </w:r>
      <w:r w:rsidR="00A4270B">
        <w:rPr>
          <w:rFonts w:ascii="Arial" w:hAnsi="Arial" w:cs="Arial"/>
          <w:szCs w:val="24"/>
          <w:lang w:eastAsia="es-CO"/>
        </w:rPr>
        <w:t>a l</w:t>
      </w:r>
      <w:r w:rsidR="002D4514">
        <w:rPr>
          <w:rFonts w:ascii="Arial" w:hAnsi="Arial" w:cs="Arial"/>
          <w:szCs w:val="24"/>
          <w:lang w:eastAsia="es-CO"/>
        </w:rPr>
        <w:t>o que en el momento actual tiene, tampoco</w:t>
      </w:r>
      <w:r w:rsidR="00A4270B">
        <w:rPr>
          <w:rFonts w:ascii="Arial" w:hAnsi="Arial" w:cs="Arial"/>
          <w:szCs w:val="24"/>
          <w:lang w:eastAsia="es-CO"/>
        </w:rPr>
        <w:t xml:space="preserve"> podría </w:t>
      </w:r>
      <w:r w:rsidR="00275C48">
        <w:rPr>
          <w:rFonts w:ascii="Arial" w:hAnsi="Arial" w:cs="Arial"/>
          <w:szCs w:val="24"/>
          <w:lang w:eastAsia="es-CO"/>
        </w:rPr>
        <w:t>configurar un</w:t>
      </w:r>
      <w:r w:rsidR="00A4270B">
        <w:rPr>
          <w:rFonts w:ascii="Arial" w:hAnsi="Arial" w:cs="Arial"/>
          <w:szCs w:val="24"/>
          <w:lang w:eastAsia="es-CO"/>
        </w:rPr>
        <w:t xml:space="preserve"> mal asesoramiento</w:t>
      </w:r>
      <w:r w:rsidR="00275C48">
        <w:rPr>
          <w:rFonts w:ascii="Arial" w:hAnsi="Arial" w:cs="Arial"/>
          <w:szCs w:val="24"/>
          <w:lang w:eastAsia="es-CO"/>
        </w:rPr>
        <w:t xml:space="preserve"> configurativo del error en el consentimiento,</w:t>
      </w:r>
      <w:r w:rsidR="00A4270B">
        <w:rPr>
          <w:rFonts w:ascii="Arial" w:hAnsi="Arial" w:cs="Arial"/>
          <w:szCs w:val="24"/>
          <w:lang w:eastAsia="es-CO"/>
        </w:rPr>
        <w:t xml:space="preserve"> pues se trataría de una proyección recreada con meras conjeturas</w:t>
      </w:r>
      <w:r w:rsidR="002D4514">
        <w:rPr>
          <w:rFonts w:ascii="Arial" w:hAnsi="Arial" w:cs="Arial"/>
          <w:szCs w:val="24"/>
          <w:lang w:eastAsia="es-CO"/>
        </w:rPr>
        <w:t>. S</w:t>
      </w:r>
      <w:r w:rsidR="00A4270B">
        <w:rPr>
          <w:rFonts w:ascii="Arial" w:hAnsi="Arial" w:cs="Arial"/>
          <w:szCs w:val="24"/>
          <w:lang w:eastAsia="es-CO"/>
        </w:rPr>
        <w:t xml:space="preserve">ituación que incluso se </w:t>
      </w:r>
      <w:r w:rsidR="002D4514">
        <w:rPr>
          <w:rFonts w:ascii="Arial" w:hAnsi="Arial" w:cs="Arial"/>
          <w:szCs w:val="24"/>
          <w:lang w:eastAsia="es-CO"/>
        </w:rPr>
        <w:t>reconoce en la normativa</w:t>
      </w:r>
      <w:r w:rsidR="001867FF">
        <w:rPr>
          <w:rFonts w:ascii="Arial" w:hAnsi="Arial" w:cs="Arial"/>
          <w:szCs w:val="24"/>
          <w:lang w:eastAsia="es-CO"/>
        </w:rPr>
        <w:t xml:space="preserve"> en cita</w:t>
      </w:r>
      <w:r w:rsidR="002D4514">
        <w:rPr>
          <w:rFonts w:ascii="Arial" w:hAnsi="Arial" w:cs="Arial"/>
          <w:szCs w:val="24"/>
          <w:lang w:eastAsia="es-CO"/>
        </w:rPr>
        <w:t xml:space="preserve">, pues </w:t>
      </w:r>
      <w:r w:rsidR="004E37CC" w:rsidRPr="00BC3C0F">
        <w:rPr>
          <w:rFonts w:ascii="Arial" w:hAnsi="Arial" w:cs="Arial"/>
          <w:szCs w:val="24"/>
          <w:lang w:eastAsia="es-CO"/>
        </w:rPr>
        <w:t xml:space="preserve">tal proyección no es un derecho consolidado, al basarse en hechos futuros </w:t>
      </w:r>
      <w:r w:rsidR="00A61145">
        <w:rPr>
          <w:rFonts w:ascii="Arial" w:hAnsi="Arial" w:cs="Arial"/>
          <w:szCs w:val="24"/>
          <w:lang w:eastAsia="es-CO"/>
        </w:rPr>
        <w:t>probables, que pueden no darse.</w:t>
      </w:r>
    </w:p>
    <w:p w14:paraId="2AD19A71" w14:textId="77777777" w:rsidR="00A96D9A" w:rsidRDefault="00A96D9A" w:rsidP="008C7C05">
      <w:pPr>
        <w:spacing w:line="288" w:lineRule="auto"/>
        <w:ind w:right="49"/>
        <w:contextualSpacing/>
        <w:jc w:val="both"/>
        <w:rPr>
          <w:rFonts w:ascii="Arial" w:hAnsi="Arial" w:cs="Arial"/>
          <w:szCs w:val="24"/>
          <w:lang w:eastAsia="es-CO"/>
        </w:rPr>
      </w:pPr>
    </w:p>
    <w:p w14:paraId="1EF2882F" w14:textId="37D433A0" w:rsidR="00A96D9A" w:rsidRPr="00BC3C0F" w:rsidRDefault="00A96D9A" w:rsidP="008C7C05">
      <w:pPr>
        <w:spacing w:line="288" w:lineRule="auto"/>
        <w:ind w:right="49"/>
        <w:contextualSpacing/>
        <w:jc w:val="both"/>
        <w:rPr>
          <w:rFonts w:ascii="Arial" w:hAnsi="Arial" w:cs="Arial"/>
          <w:szCs w:val="24"/>
        </w:rPr>
      </w:pPr>
      <w:r w:rsidRPr="003C6B12">
        <w:rPr>
          <w:rFonts w:ascii="Arial" w:hAnsi="Arial" w:cs="Arial"/>
          <w:szCs w:val="24"/>
        </w:rPr>
        <w:t xml:space="preserve">Puestas de ese modo las cosas, se desprende que </w:t>
      </w:r>
      <w:r>
        <w:rPr>
          <w:rFonts w:ascii="Arial" w:hAnsi="Arial" w:cs="Arial"/>
          <w:szCs w:val="24"/>
        </w:rPr>
        <w:t>la información suministrada al</w:t>
      </w:r>
      <w:r w:rsidRPr="003C6B12">
        <w:rPr>
          <w:rFonts w:ascii="Arial" w:hAnsi="Arial" w:cs="Arial"/>
          <w:szCs w:val="24"/>
        </w:rPr>
        <w:t xml:space="preserve"> demandante fue clara, completa y veraz</w:t>
      </w:r>
      <w:r w:rsidR="00AD402A">
        <w:rPr>
          <w:rFonts w:ascii="Arial" w:hAnsi="Arial" w:cs="Arial"/>
          <w:szCs w:val="24"/>
        </w:rPr>
        <w:t>,</w:t>
      </w:r>
      <w:r w:rsidRPr="003C6B12">
        <w:rPr>
          <w:rFonts w:ascii="Arial" w:hAnsi="Arial" w:cs="Arial"/>
          <w:szCs w:val="24"/>
        </w:rPr>
        <w:t xml:space="preserve"> </w:t>
      </w:r>
      <w:r w:rsidR="00AD402A">
        <w:rPr>
          <w:rFonts w:ascii="Arial" w:hAnsi="Arial" w:cs="Arial"/>
          <w:szCs w:val="24"/>
        </w:rPr>
        <w:t>p</w:t>
      </w:r>
      <w:r w:rsidRPr="003C6B12">
        <w:rPr>
          <w:rFonts w:ascii="Arial" w:hAnsi="Arial" w:cs="Arial"/>
          <w:szCs w:val="24"/>
        </w:rPr>
        <w:t xml:space="preserve">or lo que </w:t>
      </w:r>
      <w:r>
        <w:rPr>
          <w:rFonts w:ascii="Arial" w:hAnsi="Arial" w:cs="Arial"/>
          <w:szCs w:val="24"/>
        </w:rPr>
        <w:t xml:space="preserve">Luis Emilio Soto Ardila </w:t>
      </w:r>
      <w:r w:rsidRPr="003C6B12">
        <w:rPr>
          <w:rFonts w:ascii="Arial" w:hAnsi="Arial" w:cs="Arial"/>
          <w:szCs w:val="24"/>
        </w:rPr>
        <w:t xml:space="preserve">no incurrió en algún error al escoger el RAIS en </w:t>
      </w:r>
      <w:r>
        <w:rPr>
          <w:rFonts w:ascii="Arial" w:hAnsi="Arial" w:cs="Arial"/>
          <w:szCs w:val="24"/>
        </w:rPr>
        <w:t>el año 1995</w:t>
      </w:r>
      <w:r w:rsidRPr="003C6B12">
        <w:rPr>
          <w:rFonts w:ascii="Arial" w:hAnsi="Arial" w:cs="Arial"/>
          <w:szCs w:val="24"/>
        </w:rPr>
        <w:t xml:space="preserve"> y permanecer en él.</w:t>
      </w:r>
      <w:r>
        <w:rPr>
          <w:rFonts w:ascii="Arial" w:hAnsi="Arial" w:cs="Arial"/>
          <w:szCs w:val="24"/>
        </w:rPr>
        <w:t xml:space="preserve"> </w:t>
      </w:r>
    </w:p>
    <w:p w14:paraId="7E545ABD" w14:textId="77777777" w:rsidR="00A96D9A" w:rsidRDefault="00A96D9A" w:rsidP="008C7C05">
      <w:pPr>
        <w:spacing w:line="288" w:lineRule="auto"/>
        <w:jc w:val="both"/>
        <w:rPr>
          <w:rFonts w:ascii="Arial" w:hAnsi="Arial" w:cs="Arial"/>
          <w:szCs w:val="24"/>
        </w:rPr>
      </w:pPr>
    </w:p>
    <w:p w14:paraId="0A4317A0" w14:textId="77777777" w:rsidR="00A96D9A" w:rsidRDefault="00A96D9A" w:rsidP="008C7C05">
      <w:pPr>
        <w:spacing w:line="288" w:lineRule="auto"/>
        <w:jc w:val="both"/>
        <w:rPr>
          <w:rFonts w:ascii="Arial" w:hAnsi="Arial" w:cs="Arial"/>
          <w:szCs w:val="24"/>
        </w:rPr>
      </w:pPr>
      <w:r>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w:t>
      </w:r>
      <w:r w:rsidRPr="00725C2C">
        <w:rPr>
          <w:rFonts w:ascii="Arial" w:hAnsi="Arial" w:cs="Arial"/>
          <w:szCs w:val="24"/>
        </w:rPr>
        <w:t xml:space="preserve">corregir su pasividad </w:t>
      </w:r>
      <w:r>
        <w:rPr>
          <w:rFonts w:ascii="Arial" w:hAnsi="Arial" w:cs="Arial"/>
          <w:szCs w:val="24"/>
        </w:rPr>
        <w:t>con el propósito de retornar al RPM, de ahí que lo que lo que se advierte, es que con esta acción lo que intenta es corregir dicha incuria.</w:t>
      </w:r>
    </w:p>
    <w:p w14:paraId="07F75768" w14:textId="77777777" w:rsidR="00337864" w:rsidRPr="008C7C05" w:rsidRDefault="00337864" w:rsidP="008C7C05">
      <w:pPr>
        <w:widowControl w:val="0"/>
        <w:spacing w:line="288" w:lineRule="auto"/>
        <w:rPr>
          <w:rFonts w:ascii="Arial" w:hAnsi="Arial" w:cs="Arial"/>
          <w:bCs/>
          <w:color w:val="000000"/>
          <w:kern w:val="28"/>
          <w:szCs w:val="24"/>
        </w:rPr>
      </w:pPr>
    </w:p>
    <w:p w14:paraId="4361218C" w14:textId="77777777" w:rsidR="00BF595B" w:rsidRPr="00BC3C0F" w:rsidRDefault="00BF595B" w:rsidP="008C7C05">
      <w:pPr>
        <w:shd w:val="clear" w:color="auto" w:fill="FFFFFF"/>
        <w:tabs>
          <w:tab w:val="left" w:pos="5197"/>
        </w:tabs>
        <w:spacing w:line="288" w:lineRule="auto"/>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0050CFAE" w14:textId="77777777" w:rsidR="00394D80" w:rsidRPr="00BC3C0F" w:rsidRDefault="00394D80" w:rsidP="008C7C05">
      <w:pPr>
        <w:shd w:val="clear" w:color="auto" w:fill="FFFFFF"/>
        <w:tabs>
          <w:tab w:val="left" w:pos="5197"/>
        </w:tabs>
        <w:spacing w:line="288" w:lineRule="auto"/>
        <w:jc w:val="center"/>
        <w:rPr>
          <w:rFonts w:ascii="Arial" w:hAnsi="Arial" w:cs="Arial"/>
          <w:b/>
          <w:color w:val="000000" w:themeColor="text1"/>
          <w:szCs w:val="24"/>
          <w:lang w:eastAsia="es-CO"/>
        </w:rPr>
      </w:pPr>
    </w:p>
    <w:p w14:paraId="02E6C85D" w14:textId="30F0E936" w:rsidR="00D97A7E" w:rsidRDefault="00BF595B" w:rsidP="008C7C05">
      <w:pPr>
        <w:shd w:val="clear" w:color="auto" w:fill="FFFFFF"/>
        <w:tabs>
          <w:tab w:val="left" w:pos="5197"/>
        </w:tabs>
        <w:spacing w:line="288"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 xml:space="preserve">Conforme lo expuesto, la decisión revisada será </w:t>
      </w:r>
      <w:r w:rsidR="00337864">
        <w:rPr>
          <w:rFonts w:ascii="Arial" w:hAnsi="Arial" w:cs="Arial"/>
          <w:color w:val="000000" w:themeColor="text1"/>
          <w:szCs w:val="24"/>
          <w:lang w:eastAsia="es-CO"/>
        </w:rPr>
        <w:t>confirmada.</w:t>
      </w:r>
      <w:r w:rsidR="00CA5594">
        <w:rPr>
          <w:rFonts w:ascii="Arial" w:hAnsi="Arial" w:cs="Arial"/>
          <w:color w:val="000000" w:themeColor="text1"/>
          <w:szCs w:val="24"/>
          <w:lang w:eastAsia="es-CO"/>
        </w:rPr>
        <w:t xml:space="preserve"> </w:t>
      </w:r>
      <w:r w:rsidR="00D97A7E">
        <w:rPr>
          <w:rFonts w:ascii="Arial" w:hAnsi="Arial" w:cs="Arial"/>
          <w:color w:val="000000" w:themeColor="text1"/>
          <w:szCs w:val="24"/>
          <w:lang w:eastAsia="es-CO"/>
        </w:rPr>
        <w:t>Sin costas en esta instancia en virtud al grado jurisdiccional de consulta.</w:t>
      </w:r>
    </w:p>
    <w:p w14:paraId="013A82E9" w14:textId="6AA13FCB" w:rsidR="00CC311A" w:rsidRDefault="00D97A7E" w:rsidP="008C7C05">
      <w:pPr>
        <w:shd w:val="clear" w:color="auto" w:fill="FFFFFF"/>
        <w:tabs>
          <w:tab w:val="left" w:pos="5197"/>
        </w:tabs>
        <w:spacing w:line="288" w:lineRule="auto"/>
        <w:contextualSpacing/>
        <w:jc w:val="both"/>
        <w:rPr>
          <w:rFonts w:ascii="Arial" w:hAnsi="Arial" w:cs="Arial"/>
          <w:color w:val="000000" w:themeColor="text1"/>
          <w:szCs w:val="24"/>
        </w:rPr>
      </w:pPr>
      <w:r w:rsidRPr="00AD33A2">
        <w:rPr>
          <w:rFonts w:ascii="Arial" w:hAnsi="Arial" w:cs="Arial"/>
          <w:color w:val="000000" w:themeColor="text1"/>
          <w:szCs w:val="24"/>
        </w:rPr>
        <w:lastRenderedPageBreak/>
        <w:t xml:space="preserve"> </w:t>
      </w:r>
    </w:p>
    <w:p w14:paraId="7223D57C" w14:textId="77777777" w:rsidR="00BF595B" w:rsidRPr="00BC3C0F" w:rsidRDefault="00BF595B" w:rsidP="008C7C05">
      <w:pPr>
        <w:spacing w:line="288"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63C1E803" w14:textId="77777777" w:rsidR="00BF595B" w:rsidRPr="00BC3C0F" w:rsidRDefault="00BF595B" w:rsidP="008C7C05">
      <w:pPr>
        <w:spacing w:line="288" w:lineRule="auto"/>
        <w:contextualSpacing/>
        <w:jc w:val="center"/>
        <w:rPr>
          <w:rFonts w:ascii="Arial" w:hAnsi="Arial" w:cs="Arial"/>
          <w:b/>
          <w:color w:val="000000" w:themeColor="text1"/>
          <w:szCs w:val="24"/>
        </w:rPr>
      </w:pPr>
    </w:p>
    <w:p w14:paraId="20EE9F92" w14:textId="676F1D62" w:rsidR="00BF595B" w:rsidRPr="00BC3C0F" w:rsidRDefault="00BF595B" w:rsidP="008C7C05">
      <w:pPr>
        <w:pStyle w:val="Prrafodelista2"/>
        <w:spacing w:after="0" w:line="288" w:lineRule="auto"/>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D33A2">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24556887" w14:textId="77777777" w:rsidR="008B4923" w:rsidRPr="00BC3C0F" w:rsidRDefault="008B4923" w:rsidP="008C7C05">
      <w:pPr>
        <w:pStyle w:val="Prrafodelista2"/>
        <w:spacing w:after="0" w:line="288" w:lineRule="auto"/>
        <w:ind w:left="0"/>
        <w:jc w:val="both"/>
        <w:rPr>
          <w:rFonts w:ascii="Arial" w:hAnsi="Arial" w:cs="Arial"/>
          <w:color w:val="000000" w:themeColor="text1"/>
          <w:sz w:val="24"/>
          <w:szCs w:val="24"/>
          <w:lang w:val="es-ES_tradnl"/>
        </w:rPr>
      </w:pPr>
    </w:p>
    <w:p w14:paraId="43BBEE37" w14:textId="77777777" w:rsidR="00BF595B" w:rsidRPr="00BC3C0F" w:rsidRDefault="00BF595B" w:rsidP="008C7C05">
      <w:pPr>
        <w:spacing w:line="288"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1BAE911E" w14:textId="77777777" w:rsidR="00BF595B" w:rsidRDefault="00BF595B" w:rsidP="008C7C05">
      <w:pPr>
        <w:spacing w:line="288" w:lineRule="auto"/>
        <w:contextualSpacing/>
        <w:jc w:val="center"/>
        <w:rPr>
          <w:rFonts w:ascii="Arial" w:hAnsi="Arial" w:cs="Arial"/>
          <w:b/>
          <w:color w:val="000000" w:themeColor="text1"/>
          <w:szCs w:val="24"/>
        </w:rPr>
      </w:pPr>
    </w:p>
    <w:p w14:paraId="48D169AC" w14:textId="270826B9" w:rsidR="00CC311A" w:rsidRDefault="00BF595B" w:rsidP="008C7C05">
      <w:pPr>
        <w:pStyle w:val="Sinespaciado"/>
        <w:tabs>
          <w:tab w:val="left" w:pos="3387"/>
        </w:tabs>
        <w:spacing w:line="288" w:lineRule="auto"/>
        <w:contextualSpacing/>
        <w:jc w:val="both"/>
        <w:rPr>
          <w:rFonts w:ascii="Arial" w:hAnsi="Arial" w:cs="Arial"/>
          <w:b/>
          <w:bCs/>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w:t>
      </w:r>
      <w:r w:rsidR="00D97A7E">
        <w:rPr>
          <w:rFonts w:ascii="Arial" w:hAnsi="Arial" w:cs="Arial"/>
          <w:b/>
          <w:color w:val="000000" w:themeColor="text1"/>
          <w:sz w:val="24"/>
          <w:szCs w:val="24"/>
        </w:rPr>
        <w:t>CONFIRMAR</w:t>
      </w:r>
      <w:r w:rsidRPr="00BC3C0F">
        <w:rPr>
          <w:rFonts w:ascii="Arial" w:hAnsi="Arial" w:cs="Arial"/>
          <w:b/>
          <w:color w:val="000000" w:themeColor="text1"/>
          <w:sz w:val="24"/>
          <w:szCs w:val="24"/>
        </w:rPr>
        <w:t xml:space="preserve"> </w:t>
      </w:r>
      <w:r w:rsidR="00CC0F06" w:rsidRPr="00D97A7E">
        <w:rPr>
          <w:rFonts w:ascii="Arial" w:eastAsia="Times New Roman" w:hAnsi="Arial" w:cs="Arial"/>
          <w:color w:val="000000" w:themeColor="text1"/>
          <w:sz w:val="24"/>
          <w:szCs w:val="24"/>
        </w:rPr>
        <w:t>l</w:t>
      </w:r>
      <w:r w:rsidR="00CC0F06" w:rsidRPr="00CC311A">
        <w:rPr>
          <w:rFonts w:ascii="Arial" w:eastAsia="Times New Roman" w:hAnsi="Arial" w:cs="Arial"/>
          <w:color w:val="000000" w:themeColor="text1"/>
          <w:sz w:val="24"/>
          <w:szCs w:val="24"/>
        </w:rPr>
        <w:t xml:space="preserve">a sentencia proferida el </w:t>
      </w:r>
      <w:r w:rsidR="00D97A7E" w:rsidRPr="00D97A7E">
        <w:rPr>
          <w:rFonts w:ascii="Arial" w:eastAsia="Times New Roman" w:hAnsi="Arial" w:cs="Arial"/>
          <w:color w:val="000000" w:themeColor="text1"/>
          <w:sz w:val="24"/>
          <w:szCs w:val="24"/>
        </w:rPr>
        <w:t xml:space="preserve">27 de agosto de 2018 por el Juzgado Primero Laboral del Circuito de Pereira, dentro del proceso promovido por </w:t>
      </w:r>
      <w:r w:rsidR="00D97A7E" w:rsidRPr="00D97A7E">
        <w:rPr>
          <w:rFonts w:ascii="Arial" w:eastAsia="Times New Roman" w:hAnsi="Arial" w:cs="Arial"/>
          <w:b/>
          <w:color w:val="000000" w:themeColor="text1"/>
          <w:sz w:val="24"/>
          <w:szCs w:val="24"/>
        </w:rPr>
        <w:t>Luis Emilio Soto Ardila</w:t>
      </w:r>
      <w:r w:rsidR="00D97A7E" w:rsidRPr="00D97A7E">
        <w:rPr>
          <w:rFonts w:ascii="Arial" w:eastAsia="Times New Roman" w:hAnsi="Arial" w:cs="Arial"/>
          <w:color w:val="000000" w:themeColor="text1"/>
          <w:sz w:val="24"/>
          <w:szCs w:val="24"/>
        </w:rPr>
        <w:t xml:space="preserve"> en contra de </w:t>
      </w:r>
      <w:r w:rsidR="00D97A7E" w:rsidRPr="00D97A7E">
        <w:rPr>
          <w:rFonts w:ascii="Arial" w:eastAsia="Times New Roman" w:hAnsi="Arial" w:cs="Arial"/>
          <w:b/>
          <w:color w:val="000000" w:themeColor="text1"/>
          <w:sz w:val="24"/>
          <w:szCs w:val="24"/>
        </w:rPr>
        <w:t>la Administradora Colombiana de Pensiones COLPENSIONES, Protección S.A. y Porvenir S.A.</w:t>
      </w:r>
    </w:p>
    <w:p w14:paraId="3220070C" w14:textId="77777777" w:rsidR="00D97A7E" w:rsidRDefault="00D97A7E" w:rsidP="008C7C05">
      <w:pPr>
        <w:pStyle w:val="Sinespaciado"/>
        <w:tabs>
          <w:tab w:val="left" w:pos="3387"/>
        </w:tabs>
        <w:spacing w:line="288" w:lineRule="auto"/>
        <w:contextualSpacing/>
        <w:jc w:val="both"/>
        <w:rPr>
          <w:rFonts w:ascii="Arial" w:hAnsi="Arial" w:cs="Arial"/>
          <w:b/>
          <w:bCs/>
          <w:szCs w:val="24"/>
        </w:rPr>
      </w:pPr>
    </w:p>
    <w:p w14:paraId="0C95D9A0" w14:textId="7EBF014F" w:rsidR="00BF595B" w:rsidRPr="00BC3C0F" w:rsidRDefault="00BF595B" w:rsidP="008C7C05">
      <w:pPr>
        <w:pStyle w:val="Sinespaciado"/>
        <w:tabs>
          <w:tab w:val="left" w:pos="3387"/>
        </w:tabs>
        <w:spacing w:line="288" w:lineRule="auto"/>
        <w:contextualSpacing/>
        <w:jc w:val="both"/>
        <w:rPr>
          <w:rFonts w:ascii="Arial" w:hAnsi="Arial" w:cs="Arial"/>
          <w:color w:val="000000" w:themeColor="text1"/>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00D97A7E">
        <w:rPr>
          <w:rFonts w:ascii="Arial" w:eastAsia="Times New Roman" w:hAnsi="Arial" w:cs="Arial"/>
          <w:color w:val="000000" w:themeColor="text1"/>
          <w:sz w:val="24"/>
          <w:szCs w:val="24"/>
        </w:rPr>
        <w:t xml:space="preserve">Sin costas en esta instancia. </w:t>
      </w:r>
      <w:r w:rsidR="00CC311A">
        <w:rPr>
          <w:rFonts w:ascii="Arial" w:hAnsi="Arial" w:cs="Arial"/>
          <w:color w:val="000000" w:themeColor="text1"/>
          <w:szCs w:val="24"/>
        </w:rPr>
        <w:t xml:space="preserve"> </w:t>
      </w:r>
    </w:p>
    <w:p w14:paraId="135FE0FC" w14:textId="77777777" w:rsidR="00CC311A" w:rsidRDefault="00CC311A" w:rsidP="008C7C05">
      <w:pPr>
        <w:spacing w:line="288" w:lineRule="auto"/>
        <w:contextualSpacing/>
        <w:jc w:val="both"/>
        <w:rPr>
          <w:rFonts w:ascii="Arial" w:hAnsi="Arial" w:cs="Arial"/>
          <w:color w:val="000000" w:themeColor="text1"/>
          <w:szCs w:val="24"/>
        </w:rPr>
      </w:pPr>
    </w:p>
    <w:p w14:paraId="566AF84D" w14:textId="77777777" w:rsidR="00BF595B" w:rsidRPr="00BC3C0F" w:rsidRDefault="00BF595B" w:rsidP="008C7C05">
      <w:pPr>
        <w:spacing w:line="288" w:lineRule="auto"/>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2D96F5C9" w14:textId="77777777" w:rsidR="00CC311A" w:rsidRDefault="00CC311A" w:rsidP="008C7C05">
      <w:pPr>
        <w:pStyle w:val="Textoindependiente"/>
        <w:spacing w:line="288" w:lineRule="auto"/>
        <w:contextualSpacing/>
        <w:rPr>
          <w:color w:val="000000" w:themeColor="text1"/>
          <w:szCs w:val="24"/>
        </w:rPr>
      </w:pPr>
    </w:p>
    <w:p w14:paraId="6EBD15FD" w14:textId="77777777" w:rsidR="00BF595B" w:rsidRPr="00BC3C0F" w:rsidRDefault="00BF595B" w:rsidP="008C7C05">
      <w:pPr>
        <w:pStyle w:val="Textoindependiente"/>
        <w:spacing w:line="288"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67017861" w14:textId="77777777" w:rsidR="00BF595B" w:rsidRPr="00BC3C0F" w:rsidRDefault="00BF595B" w:rsidP="008C7C05">
      <w:pPr>
        <w:widowControl w:val="0"/>
        <w:autoSpaceDE w:val="0"/>
        <w:autoSpaceDN w:val="0"/>
        <w:adjustRightInd w:val="0"/>
        <w:spacing w:line="288" w:lineRule="auto"/>
        <w:contextualSpacing/>
        <w:jc w:val="both"/>
        <w:rPr>
          <w:rFonts w:ascii="Arial" w:hAnsi="Arial" w:cs="Arial"/>
          <w:color w:val="000000" w:themeColor="text1"/>
          <w:szCs w:val="24"/>
        </w:rPr>
      </w:pPr>
    </w:p>
    <w:p w14:paraId="3E74099D" w14:textId="77777777" w:rsidR="00BF595B" w:rsidRPr="00BC3C0F" w:rsidRDefault="00BF595B" w:rsidP="008C7C05">
      <w:pPr>
        <w:widowControl w:val="0"/>
        <w:autoSpaceDE w:val="0"/>
        <w:autoSpaceDN w:val="0"/>
        <w:adjustRightInd w:val="0"/>
        <w:spacing w:line="288" w:lineRule="auto"/>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04A1A6DA" w14:textId="77777777" w:rsidR="00BF595B" w:rsidRPr="00BC3C0F" w:rsidRDefault="00BF595B" w:rsidP="008C7C05">
      <w:pPr>
        <w:pStyle w:val="Sinespaciado"/>
        <w:tabs>
          <w:tab w:val="left" w:pos="3387"/>
        </w:tabs>
        <w:spacing w:line="288" w:lineRule="auto"/>
        <w:contextualSpacing/>
        <w:jc w:val="both"/>
        <w:rPr>
          <w:rFonts w:ascii="Arial" w:hAnsi="Arial" w:cs="Arial"/>
          <w:color w:val="000000" w:themeColor="text1"/>
          <w:sz w:val="24"/>
          <w:szCs w:val="24"/>
        </w:rPr>
      </w:pPr>
    </w:p>
    <w:p w14:paraId="4EDC27FA" w14:textId="77777777" w:rsidR="00CC311A" w:rsidRDefault="00CC311A" w:rsidP="008C7C05">
      <w:pPr>
        <w:spacing w:line="288" w:lineRule="auto"/>
        <w:ind w:right="333"/>
        <w:contextualSpacing/>
        <w:jc w:val="both"/>
        <w:rPr>
          <w:rFonts w:ascii="Arial" w:eastAsiaTheme="minorHAnsi" w:hAnsi="Arial" w:cs="Arial"/>
          <w:iCs/>
          <w:szCs w:val="24"/>
        </w:rPr>
      </w:pPr>
    </w:p>
    <w:p w14:paraId="7B97B8EA" w14:textId="77777777" w:rsidR="008B4923" w:rsidRDefault="008B4923" w:rsidP="008C7C05">
      <w:pPr>
        <w:spacing w:line="288" w:lineRule="auto"/>
        <w:ind w:right="333"/>
        <w:contextualSpacing/>
        <w:jc w:val="both"/>
        <w:rPr>
          <w:rFonts w:ascii="Arial" w:eastAsiaTheme="minorHAnsi" w:hAnsi="Arial" w:cs="Arial"/>
          <w:iCs/>
          <w:szCs w:val="24"/>
        </w:rPr>
      </w:pPr>
    </w:p>
    <w:p w14:paraId="4F41740C" w14:textId="77777777" w:rsidR="00574D01" w:rsidRPr="00BC3C0F" w:rsidRDefault="00574D01" w:rsidP="008C7C05">
      <w:pPr>
        <w:spacing w:line="288" w:lineRule="auto"/>
        <w:ind w:right="333"/>
        <w:contextualSpacing/>
        <w:jc w:val="both"/>
        <w:rPr>
          <w:rFonts w:ascii="Arial" w:eastAsiaTheme="minorHAnsi" w:hAnsi="Arial" w:cs="Arial"/>
          <w:iCs/>
          <w:szCs w:val="24"/>
        </w:rPr>
      </w:pPr>
    </w:p>
    <w:p w14:paraId="196C8B9D" w14:textId="77777777" w:rsidR="00BF595B" w:rsidRPr="00BC3C0F" w:rsidRDefault="00BF595B" w:rsidP="008C7C05">
      <w:pPr>
        <w:pStyle w:val="Sinespaciado"/>
        <w:spacing w:line="288"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63CFFD34" w14:textId="5FE2E5F9" w:rsidR="00BF595B" w:rsidRPr="00BC3C0F" w:rsidRDefault="00BF595B" w:rsidP="008C7C05">
      <w:pPr>
        <w:pStyle w:val="Sinespaciado"/>
        <w:spacing w:line="288"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3D3190A7" w14:textId="77777777" w:rsidR="00BF595B" w:rsidRDefault="00BF595B" w:rsidP="008C7C05">
      <w:pPr>
        <w:pStyle w:val="Sinespaciado"/>
        <w:spacing w:line="288" w:lineRule="auto"/>
        <w:contextualSpacing/>
        <w:jc w:val="center"/>
        <w:rPr>
          <w:rFonts w:ascii="Arial" w:hAnsi="Arial" w:cs="Arial"/>
          <w:color w:val="000000" w:themeColor="text1"/>
          <w:sz w:val="24"/>
          <w:szCs w:val="24"/>
        </w:rPr>
      </w:pPr>
    </w:p>
    <w:p w14:paraId="069DD9DB" w14:textId="77777777" w:rsidR="008B4923" w:rsidRDefault="008B4923" w:rsidP="008C7C05">
      <w:pPr>
        <w:pStyle w:val="Sinespaciado"/>
        <w:spacing w:line="288" w:lineRule="auto"/>
        <w:contextualSpacing/>
        <w:jc w:val="center"/>
        <w:rPr>
          <w:rFonts w:ascii="Arial" w:hAnsi="Arial" w:cs="Arial"/>
          <w:color w:val="000000" w:themeColor="text1"/>
          <w:sz w:val="24"/>
          <w:szCs w:val="24"/>
        </w:rPr>
      </w:pPr>
    </w:p>
    <w:p w14:paraId="70BB48F3" w14:textId="77777777" w:rsidR="008B4923" w:rsidRDefault="008B4923" w:rsidP="008C7C05">
      <w:pPr>
        <w:pStyle w:val="Sinespaciado"/>
        <w:spacing w:line="288" w:lineRule="auto"/>
        <w:contextualSpacing/>
        <w:jc w:val="center"/>
        <w:rPr>
          <w:rFonts w:ascii="Arial" w:hAnsi="Arial" w:cs="Arial"/>
          <w:color w:val="000000" w:themeColor="text1"/>
          <w:sz w:val="24"/>
          <w:szCs w:val="24"/>
        </w:rPr>
      </w:pPr>
    </w:p>
    <w:p w14:paraId="5F84DE76" w14:textId="5FE71A47" w:rsidR="00C10D52" w:rsidRDefault="009C75C4" w:rsidP="008C7C05">
      <w:pPr>
        <w:pStyle w:val="Sinespaciado"/>
        <w:tabs>
          <w:tab w:val="left" w:pos="6060"/>
        </w:tabs>
        <w:spacing w:line="288"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14:paraId="31872B90" w14:textId="624277A4" w:rsidR="00BF595B" w:rsidRPr="00BC3C0F" w:rsidRDefault="00BF595B" w:rsidP="008C7C05">
      <w:pPr>
        <w:spacing w:line="288" w:lineRule="auto"/>
        <w:contextualSpacing/>
        <w:jc w:val="both"/>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sidR="00AD33A2">
        <w:rPr>
          <w:rFonts w:ascii="Arial" w:hAnsi="Arial" w:cs="Arial"/>
          <w:b/>
          <w:bCs/>
          <w:iCs/>
          <w:color w:val="000000" w:themeColor="text1"/>
          <w:sz w:val="23"/>
          <w:szCs w:val="23"/>
        </w:rPr>
        <w:t xml:space="preserve"> </w:t>
      </w:r>
      <w:r w:rsidR="00AD33A2">
        <w:rPr>
          <w:rFonts w:ascii="Arial" w:hAnsi="Arial" w:cs="Arial"/>
          <w:b/>
          <w:color w:val="000000" w:themeColor="text1"/>
          <w:sz w:val="23"/>
          <w:szCs w:val="23"/>
        </w:rPr>
        <w:t>FRANCISCO JAVIER TAMAYO TABARES</w:t>
      </w:r>
    </w:p>
    <w:p w14:paraId="54A05029" w14:textId="07BBF83A" w:rsidR="00BF595B" w:rsidRDefault="00BF595B" w:rsidP="008C7C05">
      <w:pPr>
        <w:spacing w:line="288" w:lineRule="auto"/>
        <w:contextualSpacing/>
        <w:jc w:val="both"/>
        <w:rPr>
          <w:rFonts w:ascii="Arial" w:hAnsi="Arial" w:cs="Arial"/>
          <w:color w:val="000000" w:themeColor="text1"/>
          <w:sz w:val="23"/>
          <w:szCs w:val="23"/>
        </w:rPr>
      </w:pPr>
      <w:r w:rsidRPr="00BC3C0F">
        <w:rPr>
          <w:rFonts w:ascii="Arial" w:hAnsi="Arial" w:cs="Arial"/>
          <w:b/>
          <w:color w:val="000000" w:themeColor="text1"/>
          <w:sz w:val="23"/>
          <w:szCs w:val="23"/>
        </w:rPr>
        <w:tab/>
      </w:r>
      <w:r w:rsidRPr="00BC3C0F">
        <w:rPr>
          <w:rFonts w:ascii="Arial" w:hAnsi="Arial" w:cs="Arial"/>
          <w:color w:val="000000" w:themeColor="text1"/>
          <w:sz w:val="23"/>
          <w:szCs w:val="23"/>
        </w:rPr>
        <w:tab/>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004B0F94" w:rsidRPr="00BC3C0F">
        <w:rPr>
          <w:rFonts w:ascii="Arial" w:hAnsi="Arial" w:cs="Arial"/>
          <w:b/>
          <w:color w:val="000000" w:themeColor="text1"/>
          <w:sz w:val="23"/>
          <w:szCs w:val="23"/>
        </w:rPr>
        <w:t xml:space="preserve">        </w:t>
      </w:r>
      <w:proofErr w:type="spellStart"/>
      <w:r w:rsidR="00AD33A2">
        <w:rPr>
          <w:rFonts w:ascii="Arial" w:hAnsi="Arial" w:cs="Arial"/>
          <w:color w:val="000000" w:themeColor="text1"/>
          <w:sz w:val="23"/>
          <w:szCs w:val="23"/>
        </w:rPr>
        <w:t>Magistrado</w:t>
      </w:r>
      <w:proofErr w:type="spellEnd"/>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00B342BD">
        <w:rPr>
          <w:rFonts w:ascii="Arial" w:hAnsi="Arial" w:cs="Arial"/>
          <w:color w:val="000000" w:themeColor="text1"/>
          <w:sz w:val="23"/>
          <w:szCs w:val="23"/>
        </w:rPr>
        <w:t>Aclara voto</w:t>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00B342BD">
        <w:rPr>
          <w:rFonts w:ascii="Arial" w:hAnsi="Arial" w:cs="Arial"/>
          <w:color w:val="000000" w:themeColor="text1"/>
          <w:sz w:val="23"/>
          <w:szCs w:val="23"/>
        </w:rPr>
        <w:tab/>
      </w:r>
      <w:r w:rsidR="00B342BD">
        <w:rPr>
          <w:rFonts w:ascii="Arial" w:hAnsi="Arial" w:cs="Arial"/>
          <w:color w:val="000000" w:themeColor="text1"/>
          <w:sz w:val="23"/>
          <w:szCs w:val="23"/>
        </w:rPr>
        <w:tab/>
      </w:r>
      <w:r w:rsidR="00396D17">
        <w:rPr>
          <w:rFonts w:ascii="Arial" w:hAnsi="Arial" w:cs="Arial"/>
          <w:color w:val="000000" w:themeColor="text1"/>
          <w:sz w:val="23"/>
          <w:szCs w:val="23"/>
        </w:rPr>
        <w:t>Salvamento de voto</w:t>
      </w:r>
    </w:p>
    <w:p w14:paraId="45C9425A" w14:textId="77777777" w:rsidR="00891A05" w:rsidRDefault="00891A05" w:rsidP="008C7C05">
      <w:pPr>
        <w:spacing w:line="288" w:lineRule="auto"/>
        <w:contextualSpacing/>
        <w:jc w:val="both"/>
        <w:rPr>
          <w:rFonts w:ascii="Arial" w:hAnsi="Arial" w:cs="Arial"/>
          <w:color w:val="000000" w:themeColor="text1"/>
          <w:sz w:val="23"/>
          <w:szCs w:val="23"/>
        </w:rPr>
      </w:pPr>
    </w:p>
    <w:p w14:paraId="55034691" w14:textId="79B71AA3" w:rsidR="00891A05" w:rsidRDefault="00891A05">
      <w:pPr>
        <w:spacing w:after="160" w:line="259" w:lineRule="auto"/>
        <w:rPr>
          <w:rFonts w:ascii="Arial" w:hAnsi="Arial" w:cs="Arial"/>
          <w:color w:val="000000" w:themeColor="text1"/>
          <w:sz w:val="23"/>
          <w:szCs w:val="23"/>
        </w:rPr>
      </w:pPr>
      <w:r>
        <w:rPr>
          <w:rFonts w:ascii="Arial" w:hAnsi="Arial" w:cs="Arial"/>
          <w:color w:val="000000" w:themeColor="text1"/>
          <w:sz w:val="23"/>
          <w:szCs w:val="23"/>
        </w:rPr>
        <w:br w:type="page"/>
      </w:r>
    </w:p>
    <w:p w14:paraId="7B25E2DA" w14:textId="70DCF021" w:rsidR="000E717D" w:rsidRPr="000E717D" w:rsidRDefault="000E717D" w:rsidP="000E717D">
      <w:pPr>
        <w:autoSpaceDE w:val="0"/>
        <w:autoSpaceDN w:val="0"/>
        <w:adjustRightInd w:val="0"/>
        <w:jc w:val="both"/>
        <w:rPr>
          <w:rFonts w:ascii="Arial" w:hAnsi="Arial" w:cs="Arial"/>
          <w:bCs/>
          <w:spacing w:val="2"/>
          <w:sz w:val="20"/>
          <w:lang w:val="es-CO"/>
        </w:rPr>
      </w:pPr>
      <w:r w:rsidRPr="000E717D">
        <w:rPr>
          <w:rFonts w:ascii="Arial" w:hAnsi="Arial" w:cs="Arial"/>
          <w:spacing w:val="2"/>
          <w:sz w:val="20"/>
          <w:lang w:val="es-ES"/>
        </w:rPr>
        <w:lastRenderedPageBreak/>
        <w:t>Radicación Nro.</w:t>
      </w:r>
      <w:r w:rsidR="004865D5">
        <w:rPr>
          <w:rFonts w:ascii="Arial" w:hAnsi="Arial" w:cs="Arial"/>
          <w:spacing w:val="2"/>
          <w:sz w:val="20"/>
          <w:lang w:val="es-ES"/>
        </w:rPr>
        <w:t>:</w:t>
      </w:r>
      <w:r w:rsidRPr="000E717D">
        <w:rPr>
          <w:rFonts w:ascii="Arial" w:hAnsi="Arial" w:cs="Arial"/>
          <w:spacing w:val="2"/>
          <w:sz w:val="20"/>
          <w:lang w:val="es-ES"/>
        </w:rPr>
        <w:tab/>
      </w:r>
      <w:r w:rsidRPr="000E717D">
        <w:rPr>
          <w:rFonts w:ascii="Arial" w:hAnsi="Arial" w:cs="Arial"/>
          <w:spacing w:val="2"/>
          <w:sz w:val="20"/>
          <w:lang w:val="es-ES"/>
        </w:rPr>
        <w:tab/>
      </w:r>
      <w:r w:rsidRPr="000E717D">
        <w:rPr>
          <w:rFonts w:ascii="Arial" w:hAnsi="Arial" w:cs="Arial"/>
          <w:bCs/>
          <w:spacing w:val="2"/>
          <w:sz w:val="20"/>
          <w:lang w:val="es-CO"/>
        </w:rPr>
        <w:t>Rad. 66001-31-05-001-2016-00531-01</w:t>
      </w:r>
    </w:p>
    <w:p w14:paraId="777CC2EC" w14:textId="6488D840" w:rsidR="000E717D" w:rsidRPr="000E717D" w:rsidRDefault="000E717D" w:rsidP="000E717D">
      <w:pPr>
        <w:autoSpaceDE w:val="0"/>
        <w:autoSpaceDN w:val="0"/>
        <w:adjustRightInd w:val="0"/>
        <w:jc w:val="both"/>
        <w:rPr>
          <w:rFonts w:ascii="Arial" w:hAnsi="Arial" w:cs="Arial"/>
          <w:spacing w:val="2"/>
          <w:sz w:val="20"/>
          <w:lang w:val="es-ES"/>
        </w:rPr>
      </w:pPr>
      <w:r w:rsidRPr="000E717D">
        <w:rPr>
          <w:rFonts w:ascii="Arial" w:hAnsi="Arial" w:cs="Arial"/>
          <w:spacing w:val="2"/>
          <w:sz w:val="20"/>
          <w:lang w:val="es-ES"/>
        </w:rPr>
        <w:t>Proceso</w:t>
      </w:r>
      <w:r w:rsidR="004865D5">
        <w:rPr>
          <w:rFonts w:ascii="Arial" w:hAnsi="Arial" w:cs="Arial"/>
          <w:spacing w:val="2"/>
          <w:sz w:val="20"/>
          <w:lang w:val="es-ES"/>
        </w:rPr>
        <w:t>:</w:t>
      </w:r>
      <w:r w:rsidRPr="000E717D">
        <w:rPr>
          <w:rFonts w:ascii="Arial" w:hAnsi="Arial" w:cs="Arial"/>
          <w:spacing w:val="2"/>
          <w:sz w:val="20"/>
          <w:lang w:val="es-ES"/>
        </w:rPr>
        <w:tab/>
      </w:r>
      <w:r w:rsidRPr="000E717D">
        <w:rPr>
          <w:rFonts w:ascii="Arial" w:hAnsi="Arial" w:cs="Arial"/>
          <w:spacing w:val="2"/>
          <w:sz w:val="20"/>
          <w:lang w:val="es-ES"/>
        </w:rPr>
        <w:tab/>
        <w:t xml:space="preserve"> </w:t>
      </w:r>
      <w:r w:rsidRPr="000E717D">
        <w:rPr>
          <w:rFonts w:ascii="Arial" w:hAnsi="Arial" w:cs="Arial"/>
          <w:spacing w:val="2"/>
          <w:sz w:val="20"/>
          <w:lang w:val="es-ES"/>
        </w:rPr>
        <w:tab/>
        <w:t>Ordinario Laboral</w:t>
      </w:r>
    </w:p>
    <w:p w14:paraId="084ED026" w14:textId="77777777" w:rsidR="000E717D" w:rsidRPr="000E717D" w:rsidRDefault="000E717D" w:rsidP="000E717D">
      <w:pPr>
        <w:autoSpaceDE w:val="0"/>
        <w:autoSpaceDN w:val="0"/>
        <w:adjustRightInd w:val="0"/>
        <w:jc w:val="both"/>
        <w:rPr>
          <w:rFonts w:ascii="Arial" w:hAnsi="Arial" w:cs="Arial"/>
          <w:spacing w:val="2"/>
          <w:sz w:val="20"/>
          <w:lang w:val="es-ES"/>
        </w:rPr>
      </w:pPr>
      <w:r w:rsidRPr="000E717D">
        <w:rPr>
          <w:rFonts w:ascii="Arial" w:hAnsi="Arial" w:cs="Arial"/>
          <w:spacing w:val="2"/>
          <w:sz w:val="20"/>
          <w:lang w:val="es-ES"/>
        </w:rPr>
        <w:t>Demandante:</w:t>
      </w:r>
      <w:r w:rsidRPr="000E717D">
        <w:rPr>
          <w:rFonts w:ascii="Arial" w:hAnsi="Arial" w:cs="Arial"/>
          <w:spacing w:val="2"/>
          <w:sz w:val="20"/>
          <w:lang w:val="es-ES"/>
        </w:rPr>
        <w:tab/>
      </w:r>
      <w:r w:rsidRPr="000E717D">
        <w:rPr>
          <w:rFonts w:ascii="Arial" w:hAnsi="Arial" w:cs="Arial"/>
          <w:spacing w:val="2"/>
          <w:sz w:val="20"/>
          <w:lang w:val="es-ES"/>
        </w:rPr>
        <w:tab/>
      </w:r>
      <w:r w:rsidRPr="000E717D">
        <w:rPr>
          <w:rFonts w:ascii="Arial" w:hAnsi="Arial" w:cs="Arial"/>
          <w:spacing w:val="2"/>
          <w:sz w:val="20"/>
          <w:lang w:val="es-ES"/>
        </w:rPr>
        <w:tab/>
      </w:r>
      <w:r w:rsidRPr="000E717D">
        <w:rPr>
          <w:rFonts w:ascii="Arial" w:hAnsi="Arial" w:cs="Arial"/>
          <w:bCs/>
          <w:spacing w:val="2"/>
          <w:sz w:val="20"/>
          <w:lang w:val="es-CO"/>
        </w:rPr>
        <w:t xml:space="preserve">Luis Emilio Soto Ardila </w:t>
      </w:r>
    </w:p>
    <w:p w14:paraId="5293F162" w14:textId="77777777" w:rsidR="000E717D" w:rsidRPr="000E717D" w:rsidRDefault="000E717D" w:rsidP="000E717D">
      <w:pPr>
        <w:autoSpaceDE w:val="0"/>
        <w:autoSpaceDN w:val="0"/>
        <w:adjustRightInd w:val="0"/>
        <w:jc w:val="both"/>
        <w:rPr>
          <w:rFonts w:ascii="Arial" w:eastAsia="Calibri" w:hAnsi="Arial" w:cs="Arial"/>
          <w:b/>
          <w:bCs/>
          <w:sz w:val="18"/>
          <w:szCs w:val="18"/>
          <w:lang w:val="es-ES" w:eastAsia="en-US"/>
        </w:rPr>
      </w:pPr>
      <w:r w:rsidRPr="000E717D">
        <w:rPr>
          <w:rFonts w:ascii="Arial" w:hAnsi="Arial" w:cs="Arial"/>
          <w:spacing w:val="2"/>
          <w:sz w:val="20"/>
          <w:lang w:val="es-ES"/>
        </w:rPr>
        <w:t>Demandados:</w:t>
      </w:r>
      <w:r w:rsidRPr="000E717D">
        <w:rPr>
          <w:rFonts w:ascii="Arial" w:hAnsi="Arial" w:cs="Arial"/>
          <w:spacing w:val="2"/>
          <w:sz w:val="20"/>
          <w:lang w:val="es-ES"/>
        </w:rPr>
        <w:tab/>
      </w:r>
      <w:r w:rsidRPr="000E717D">
        <w:rPr>
          <w:rFonts w:ascii="Arial" w:hAnsi="Arial" w:cs="Arial"/>
          <w:spacing w:val="2"/>
          <w:sz w:val="20"/>
          <w:lang w:val="es-ES"/>
        </w:rPr>
        <w:tab/>
      </w:r>
      <w:r w:rsidRPr="000E717D">
        <w:rPr>
          <w:rFonts w:ascii="Arial" w:hAnsi="Arial" w:cs="Arial"/>
          <w:spacing w:val="2"/>
          <w:sz w:val="20"/>
          <w:lang w:val="es-ES"/>
        </w:rPr>
        <w:tab/>
      </w:r>
      <w:r w:rsidRPr="000E717D">
        <w:rPr>
          <w:rFonts w:ascii="Arial" w:hAnsi="Arial" w:cs="Arial"/>
          <w:bCs/>
          <w:spacing w:val="2"/>
          <w:sz w:val="20"/>
          <w:lang w:val="es-CO"/>
        </w:rPr>
        <w:t xml:space="preserve">AFP Protección S.A. y otros </w:t>
      </w:r>
    </w:p>
    <w:p w14:paraId="10A0238E" w14:textId="29BA1AAD" w:rsidR="000E717D" w:rsidRPr="000E717D" w:rsidRDefault="000E717D" w:rsidP="000E717D">
      <w:pPr>
        <w:spacing w:line="276" w:lineRule="auto"/>
        <w:ind w:left="2829" w:hanging="2829"/>
        <w:jc w:val="both"/>
        <w:rPr>
          <w:rFonts w:ascii="Arial" w:eastAsia="Calibri" w:hAnsi="Arial" w:cs="Arial"/>
          <w:b/>
          <w:bCs/>
          <w:sz w:val="20"/>
          <w:lang w:val="es-ES" w:eastAsia="en-US"/>
        </w:rPr>
      </w:pPr>
    </w:p>
    <w:p w14:paraId="639E1851" w14:textId="77777777" w:rsidR="000E717D" w:rsidRPr="000E717D" w:rsidRDefault="000E717D" w:rsidP="000E717D">
      <w:pPr>
        <w:spacing w:line="276" w:lineRule="auto"/>
        <w:ind w:left="2829" w:hanging="2829"/>
        <w:jc w:val="both"/>
        <w:rPr>
          <w:rFonts w:ascii="Arial" w:eastAsia="Calibri" w:hAnsi="Arial" w:cs="Arial"/>
          <w:b/>
          <w:bCs/>
          <w:sz w:val="20"/>
          <w:lang w:val="es-ES" w:eastAsia="en-US"/>
        </w:rPr>
      </w:pPr>
    </w:p>
    <w:p w14:paraId="6A80C817" w14:textId="77777777" w:rsidR="000E717D" w:rsidRPr="000E717D" w:rsidRDefault="000E717D" w:rsidP="000E717D">
      <w:pPr>
        <w:keepNext/>
        <w:outlineLvl w:val="2"/>
        <w:rPr>
          <w:rFonts w:ascii="Arial" w:hAnsi="Arial" w:cs="Arial"/>
          <w:b/>
          <w:sz w:val="20"/>
        </w:rPr>
      </w:pPr>
    </w:p>
    <w:p w14:paraId="6988FB76" w14:textId="77777777" w:rsidR="000E717D" w:rsidRPr="000E717D" w:rsidRDefault="000E717D" w:rsidP="004865D5">
      <w:pPr>
        <w:keepNext/>
        <w:spacing w:line="288" w:lineRule="auto"/>
        <w:jc w:val="center"/>
        <w:outlineLvl w:val="2"/>
        <w:rPr>
          <w:rFonts w:ascii="Arial" w:hAnsi="Arial" w:cs="Arial"/>
          <w:b/>
          <w:szCs w:val="24"/>
        </w:rPr>
      </w:pPr>
      <w:r w:rsidRPr="000E717D">
        <w:rPr>
          <w:rFonts w:ascii="Arial" w:hAnsi="Arial" w:cs="Arial"/>
          <w:b/>
          <w:szCs w:val="24"/>
        </w:rPr>
        <w:t>TRIBUNAL SUPERIOR DEL DISTRITO JUDICIAL</w:t>
      </w:r>
    </w:p>
    <w:p w14:paraId="4723C74B" w14:textId="77777777" w:rsidR="000E717D" w:rsidRPr="000E717D" w:rsidRDefault="000E717D" w:rsidP="004865D5">
      <w:pPr>
        <w:spacing w:line="288" w:lineRule="auto"/>
        <w:jc w:val="center"/>
        <w:rPr>
          <w:rFonts w:ascii="Arial" w:eastAsia="Calibri" w:hAnsi="Arial" w:cs="Arial"/>
          <w:b/>
          <w:szCs w:val="24"/>
          <w:lang w:val="es-CO" w:eastAsia="en-US"/>
        </w:rPr>
      </w:pPr>
    </w:p>
    <w:p w14:paraId="42A15187" w14:textId="77777777" w:rsidR="000E717D" w:rsidRPr="000E717D" w:rsidRDefault="000E717D" w:rsidP="004865D5">
      <w:pPr>
        <w:spacing w:line="288" w:lineRule="auto"/>
        <w:jc w:val="center"/>
        <w:rPr>
          <w:rFonts w:ascii="Arial" w:eastAsia="Calibri" w:hAnsi="Arial" w:cs="Arial"/>
          <w:b/>
          <w:szCs w:val="24"/>
          <w:lang w:val="es-CO" w:eastAsia="en-US"/>
        </w:rPr>
      </w:pPr>
      <w:r w:rsidRPr="000E717D">
        <w:rPr>
          <w:rFonts w:ascii="Arial" w:eastAsia="Calibri" w:hAnsi="Arial" w:cs="Arial"/>
          <w:b/>
          <w:szCs w:val="24"/>
          <w:lang w:val="es-CO" w:eastAsia="en-US"/>
        </w:rPr>
        <w:t>SALA LABORAL</w:t>
      </w:r>
    </w:p>
    <w:p w14:paraId="41C1743F" w14:textId="77777777" w:rsidR="000E717D" w:rsidRPr="000E717D" w:rsidRDefault="000E717D" w:rsidP="004865D5">
      <w:pPr>
        <w:spacing w:line="288" w:lineRule="auto"/>
        <w:jc w:val="center"/>
        <w:rPr>
          <w:rFonts w:ascii="Arial" w:hAnsi="Arial" w:cs="Arial"/>
          <w:b/>
          <w:szCs w:val="24"/>
        </w:rPr>
      </w:pPr>
    </w:p>
    <w:p w14:paraId="35956450" w14:textId="77777777" w:rsidR="000E717D" w:rsidRPr="000E717D" w:rsidRDefault="000E717D" w:rsidP="004865D5">
      <w:pPr>
        <w:spacing w:line="288" w:lineRule="auto"/>
        <w:jc w:val="center"/>
        <w:rPr>
          <w:rFonts w:ascii="Arial" w:hAnsi="Arial" w:cs="Arial"/>
          <w:b/>
          <w:szCs w:val="24"/>
        </w:rPr>
      </w:pPr>
      <w:r w:rsidRPr="000E717D">
        <w:rPr>
          <w:rFonts w:ascii="Arial" w:hAnsi="Arial" w:cs="Arial"/>
          <w:b/>
          <w:szCs w:val="24"/>
        </w:rPr>
        <w:t xml:space="preserve">MAGISTRADO: JULIO CÉSAR SALAZAR MUÑOZ </w:t>
      </w:r>
    </w:p>
    <w:p w14:paraId="3F361938" w14:textId="77777777" w:rsidR="000E717D" w:rsidRPr="000E717D" w:rsidRDefault="000E717D" w:rsidP="004865D5">
      <w:pPr>
        <w:spacing w:line="288" w:lineRule="auto"/>
        <w:jc w:val="center"/>
        <w:rPr>
          <w:rFonts w:ascii="Arial" w:hAnsi="Arial" w:cs="Arial"/>
          <w:b/>
          <w:szCs w:val="24"/>
        </w:rPr>
      </w:pPr>
    </w:p>
    <w:p w14:paraId="1972501D" w14:textId="77777777" w:rsidR="000E717D" w:rsidRPr="000E717D" w:rsidRDefault="000E717D" w:rsidP="004865D5">
      <w:pPr>
        <w:spacing w:line="288" w:lineRule="auto"/>
        <w:jc w:val="center"/>
        <w:rPr>
          <w:rFonts w:ascii="Arial" w:hAnsi="Arial" w:cs="Arial"/>
          <w:b/>
          <w:szCs w:val="24"/>
        </w:rPr>
      </w:pPr>
      <w:r w:rsidRPr="000E717D">
        <w:rPr>
          <w:rFonts w:ascii="Arial" w:hAnsi="Arial" w:cs="Arial"/>
          <w:b/>
          <w:szCs w:val="24"/>
        </w:rPr>
        <w:t>Junio 4 de 2019</w:t>
      </w:r>
    </w:p>
    <w:p w14:paraId="5178290C" w14:textId="77777777" w:rsidR="000E717D" w:rsidRPr="000E717D" w:rsidRDefault="000E717D" w:rsidP="004865D5">
      <w:pPr>
        <w:spacing w:line="288" w:lineRule="auto"/>
        <w:jc w:val="center"/>
        <w:rPr>
          <w:rFonts w:ascii="Arial" w:hAnsi="Arial" w:cs="Arial"/>
          <w:b/>
          <w:szCs w:val="24"/>
        </w:rPr>
      </w:pPr>
    </w:p>
    <w:p w14:paraId="09CB9A43" w14:textId="77777777" w:rsidR="000E717D" w:rsidRPr="000E717D" w:rsidRDefault="000E717D" w:rsidP="004865D5">
      <w:pPr>
        <w:spacing w:line="288" w:lineRule="auto"/>
        <w:jc w:val="center"/>
        <w:rPr>
          <w:rFonts w:ascii="Arial" w:hAnsi="Arial" w:cs="Arial"/>
          <w:b/>
          <w:szCs w:val="24"/>
        </w:rPr>
      </w:pPr>
      <w:r w:rsidRPr="000E717D">
        <w:rPr>
          <w:rFonts w:ascii="Arial" w:hAnsi="Arial" w:cs="Arial"/>
          <w:b/>
          <w:szCs w:val="24"/>
        </w:rPr>
        <w:t>ACLARACIÓN DE VOTO</w:t>
      </w:r>
    </w:p>
    <w:p w14:paraId="62E9BB34" w14:textId="77777777" w:rsidR="000E717D" w:rsidRPr="000E717D" w:rsidRDefault="000E717D" w:rsidP="004865D5">
      <w:pPr>
        <w:suppressAutoHyphens/>
        <w:spacing w:line="288" w:lineRule="auto"/>
        <w:jc w:val="both"/>
        <w:rPr>
          <w:rFonts w:ascii="Arial" w:hAnsi="Arial" w:cs="Arial"/>
          <w:szCs w:val="24"/>
        </w:rPr>
      </w:pPr>
    </w:p>
    <w:p w14:paraId="3BBFA2F1" w14:textId="77777777" w:rsidR="000E717D" w:rsidRPr="000E717D" w:rsidRDefault="000E717D" w:rsidP="004865D5">
      <w:pPr>
        <w:suppressAutoHyphens/>
        <w:spacing w:line="288" w:lineRule="auto"/>
        <w:jc w:val="both"/>
        <w:rPr>
          <w:rFonts w:ascii="Arial" w:hAnsi="Arial" w:cs="Arial"/>
          <w:spacing w:val="-2"/>
          <w:szCs w:val="24"/>
        </w:rPr>
      </w:pPr>
    </w:p>
    <w:p w14:paraId="41DAC45A"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Estoy de acuerdo con la decisión de confirmar la sentencia de primera instancia que negó la declaración de ineficacia del traslado y aunque coincido con la mayor parte de la argumentación que para llegar a tal solución fue expuesta en la providencia, me parece necesario adicionar algunas razones que me llevan a tal conclusión.</w:t>
      </w:r>
    </w:p>
    <w:p w14:paraId="00AB9182" w14:textId="77777777" w:rsidR="000E717D" w:rsidRPr="000E717D" w:rsidRDefault="000E717D" w:rsidP="004865D5">
      <w:pPr>
        <w:suppressAutoHyphens/>
        <w:spacing w:line="288" w:lineRule="auto"/>
        <w:jc w:val="both"/>
        <w:rPr>
          <w:rFonts w:ascii="Arial" w:hAnsi="Arial" w:cs="Arial"/>
          <w:spacing w:val="-2"/>
          <w:szCs w:val="24"/>
        </w:rPr>
      </w:pPr>
    </w:p>
    <w:p w14:paraId="50F9CF6A" w14:textId="77777777" w:rsidR="000E717D" w:rsidRPr="000E717D" w:rsidRDefault="000E717D" w:rsidP="004865D5">
      <w:pPr>
        <w:suppressAutoHyphens/>
        <w:spacing w:line="288" w:lineRule="auto"/>
        <w:jc w:val="both"/>
        <w:rPr>
          <w:rFonts w:ascii="Arial" w:hAnsi="Arial" w:cs="Arial"/>
          <w:iCs/>
          <w:szCs w:val="24"/>
        </w:rPr>
      </w:pPr>
      <w:r w:rsidRPr="000E717D">
        <w:rPr>
          <w:rFonts w:ascii="Arial" w:hAnsi="Arial" w:cs="Arial"/>
          <w:spacing w:val="-2"/>
          <w:szCs w:val="24"/>
        </w:rPr>
        <w:t xml:space="preserve">Desde ya dejo en evidencia que conozco la jurisprudencia vigente emanada de la </w:t>
      </w:r>
      <w:r w:rsidRPr="000E717D">
        <w:rPr>
          <w:rFonts w:ascii="Arial" w:hAnsi="Arial" w:cs="Arial"/>
          <w:iCs/>
          <w:szCs w:val="24"/>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1A96EF47" w14:textId="77777777" w:rsidR="000E717D" w:rsidRPr="000E717D" w:rsidRDefault="000E717D" w:rsidP="004865D5">
      <w:pPr>
        <w:spacing w:line="288" w:lineRule="auto"/>
        <w:ind w:left="426" w:right="51"/>
        <w:jc w:val="both"/>
        <w:rPr>
          <w:rFonts w:ascii="Arial" w:hAnsi="Arial" w:cs="Arial"/>
          <w:iCs/>
          <w:szCs w:val="24"/>
        </w:rPr>
      </w:pPr>
    </w:p>
    <w:p w14:paraId="2B662699" w14:textId="77777777" w:rsidR="000E717D" w:rsidRPr="000E717D" w:rsidRDefault="000E717D" w:rsidP="004865D5">
      <w:pPr>
        <w:spacing w:line="288" w:lineRule="auto"/>
        <w:ind w:right="51"/>
        <w:jc w:val="both"/>
        <w:rPr>
          <w:rFonts w:ascii="Arial" w:hAnsi="Arial" w:cs="Arial"/>
          <w:szCs w:val="24"/>
          <w:lang w:val="es-CO"/>
        </w:rPr>
      </w:pPr>
      <w:r w:rsidRPr="000E717D">
        <w:rPr>
          <w:rFonts w:ascii="Arial" w:hAnsi="Arial" w:cs="Arial"/>
          <w:iCs/>
          <w:szCs w:val="24"/>
        </w:rPr>
        <w:t xml:space="preserve">No obstante, tales líneas jurisprudenciales considero del caso, con base en la sentencia </w:t>
      </w:r>
      <w:r w:rsidRPr="000E717D">
        <w:rPr>
          <w:rFonts w:ascii="Arial" w:hAnsi="Arial" w:cs="Arial"/>
          <w:szCs w:val="24"/>
          <w:lang w:val="es-CO"/>
        </w:rPr>
        <w:t>C-836 de 2001, apartarme de ellas, para lo cual expongo de manera razonada la argumentación jurídica que me lleva a tal alejamiento.</w:t>
      </w:r>
    </w:p>
    <w:p w14:paraId="1D416969" w14:textId="77777777" w:rsidR="000E717D" w:rsidRPr="000E717D" w:rsidRDefault="000E717D" w:rsidP="004865D5">
      <w:pPr>
        <w:tabs>
          <w:tab w:val="left" w:pos="8222"/>
        </w:tabs>
        <w:spacing w:line="288" w:lineRule="auto"/>
        <w:ind w:left="426" w:right="476"/>
        <w:jc w:val="both"/>
        <w:rPr>
          <w:rFonts w:ascii="Arial" w:hAnsi="Arial" w:cs="Arial"/>
          <w:iCs/>
          <w:szCs w:val="24"/>
        </w:rPr>
      </w:pPr>
    </w:p>
    <w:p w14:paraId="71759D02"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w:t>
      </w:r>
    </w:p>
    <w:p w14:paraId="48155AF3" w14:textId="77777777" w:rsidR="000E717D" w:rsidRPr="000E717D" w:rsidRDefault="000E717D" w:rsidP="004865D5">
      <w:pPr>
        <w:suppressAutoHyphens/>
        <w:spacing w:line="288" w:lineRule="auto"/>
        <w:jc w:val="both"/>
        <w:rPr>
          <w:rFonts w:ascii="Arial" w:hAnsi="Arial" w:cs="Arial"/>
          <w:spacing w:val="-2"/>
          <w:szCs w:val="24"/>
        </w:rPr>
      </w:pPr>
    </w:p>
    <w:p w14:paraId="764EF49D"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 xml:space="preserve">Como quiera que son tantos y tan contundentes los motivos que a mi juicio impiden conceder las solicitudes de la demanda, a continuación se enuncian tres diferentes </w:t>
      </w:r>
      <w:r w:rsidRPr="000E717D">
        <w:rPr>
          <w:rFonts w:ascii="Arial" w:hAnsi="Arial" w:cs="Arial"/>
          <w:spacing w:val="-2"/>
          <w:szCs w:val="24"/>
        </w:rPr>
        <w:lastRenderedPageBreak/>
        <w:t>grupos de razones que se consideran, cada una sola o en conjunto con las demás, con peso suficiente para arribar a tal negativa.</w:t>
      </w:r>
    </w:p>
    <w:p w14:paraId="4E0B3128" w14:textId="77777777" w:rsidR="000E717D" w:rsidRPr="000E717D" w:rsidRDefault="000E717D" w:rsidP="004865D5">
      <w:pPr>
        <w:suppressAutoHyphens/>
        <w:spacing w:line="288" w:lineRule="auto"/>
        <w:jc w:val="both"/>
        <w:rPr>
          <w:rFonts w:ascii="Arial" w:hAnsi="Arial" w:cs="Arial"/>
          <w:spacing w:val="-2"/>
          <w:szCs w:val="24"/>
        </w:rPr>
      </w:pPr>
    </w:p>
    <w:p w14:paraId="1E69AAC4" w14:textId="77777777" w:rsidR="000E717D" w:rsidRPr="000E717D" w:rsidRDefault="000E717D" w:rsidP="004865D5">
      <w:pPr>
        <w:numPr>
          <w:ilvl w:val="0"/>
          <w:numId w:val="12"/>
        </w:numPr>
        <w:suppressAutoHyphens/>
        <w:spacing w:after="200" w:line="288" w:lineRule="auto"/>
        <w:ind w:left="426" w:hanging="426"/>
        <w:jc w:val="both"/>
        <w:rPr>
          <w:rFonts w:ascii="Arial" w:hAnsi="Arial" w:cs="Arial"/>
          <w:b/>
          <w:spacing w:val="-2"/>
          <w:szCs w:val="24"/>
        </w:rPr>
      </w:pPr>
      <w:r w:rsidRPr="000E717D">
        <w:rPr>
          <w:rFonts w:ascii="Arial" w:hAnsi="Arial" w:cs="Arial"/>
          <w:b/>
          <w:spacing w:val="-2"/>
          <w:szCs w:val="24"/>
        </w:rPr>
        <w:t>CONFIGURACIÓN LEGAL DUAL VIGENTE DEL SISTEMA PENSIONAL</w:t>
      </w:r>
    </w:p>
    <w:p w14:paraId="56C8F5DF" w14:textId="77777777" w:rsidR="000E717D" w:rsidRPr="000E717D" w:rsidRDefault="000E717D" w:rsidP="004865D5">
      <w:pPr>
        <w:suppressAutoHyphens/>
        <w:spacing w:line="288" w:lineRule="auto"/>
        <w:ind w:left="720"/>
        <w:jc w:val="both"/>
        <w:rPr>
          <w:rFonts w:ascii="Arial" w:hAnsi="Arial" w:cs="Arial"/>
          <w:b/>
          <w:spacing w:val="-2"/>
          <w:szCs w:val="24"/>
        </w:rPr>
      </w:pPr>
    </w:p>
    <w:p w14:paraId="768D4F97" w14:textId="65601D5A" w:rsidR="000E717D" w:rsidRPr="000E717D" w:rsidRDefault="000E717D" w:rsidP="004865D5">
      <w:pPr>
        <w:suppressAutoHyphens/>
        <w:spacing w:line="288" w:lineRule="auto"/>
        <w:jc w:val="both"/>
        <w:rPr>
          <w:rFonts w:ascii="Arial" w:hAnsi="Arial" w:cs="Arial"/>
          <w:b/>
          <w:spacing w:val="-2"/>
          <w:szCs w:val="24"/>
        </w:rPr>
      </w:pPr>
      <w:r w:rsidRPr="000E717D">
        <w:rPr>
          <w:rFonts w:ascii="Arial" w:hAnsi="Arial" w:cs="Arial"/>
          <w:spacing w:val="-2"/>
          <w:szCs w:val="24"/>
        </w:rPr>
        <w:t>-</w:t>
      </w:r>
      <w:r w:rsidR="004865D5">
        <w:rPr>
          <w:rFonts w:ascii="Arial" w:hAnsi="Arial" w:cs="Arial"/>
          <w:spacing w:val="-2"/>
          <w:szCs w:val="24"/>
        </w:rPr>
        <w:t xml:space="preserve"> </w:t>
      </w:r>
      <w:r w:rsidRPr="000E717D">
        <w:rPr>
          <w:rFonts w:ascii="Arial" w:hAnsi="Arial" w:cs="Arial"/>
          <w:spacing w:val="-2"/>
          <w:szCs w:val="24"/>
        </w:rPr>
        <w:t>CONTENIDO DEL ARTÍCULO 271 DE LA LEY 100 DE 199</w:t>
      </w:r>
      <w:r w:rsidRPr="000E717D">
        <w:rPr>
          <w:rFonts w:ascii="Arial" w:hAnsi="Arial" w:cs="Arial"/>
          <w:b/>
          <w:spacing w:val="-2"/>
          <w:szCs w:val="24"/>
        </w:rPr>
        <w:t>3</w:t>
      </w:r>
    </w:p>
    <w:p w14:paraId="26333D0F" w14:textId="77777777" w:rsidR="000E717D" w:rsidRPr="000E717D" w:rsidRDefault="000E717D" w:rsidP="004865D5">
      <w:pPr>
        <w:suppressAutoHyphens/>
        <w:spacing w:line="288" w:lineRule="auto"/>
        <w:jc w:val="both"/>
        <w:rPr>
          <w:rFonts w:ascii="Arial" w:hAnsi="Arial" w:cs="Arial"/>
          <w:spacing w:val="-2"/>
          <w:szCs w:val="24"/>
        </w:rPr>
      </w:pPr>
    </w:p>
    <w:p w14:paraId="16BA1CD4"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7CF0A337" w14:textId="77777777" w:rsidR="000E717D" w:rsidRPr="000E717D" w:rsidRDefault="000E717D" w:rsidP="004865D5">
      <w:pPr>
        <w:suppressAutoHyphens/>
        <w:spacing w:line="288" w:lineRule="auto"/>
        <w:jc w:val="both"/>
        <w:rPr>
          <w:rFonts w:ascii="Arial" w:hAnsi="Arial" w:cs="Arial"/>
          <w:spacing w:val="-2"/>
          <w:szCs w:val="24"/>
        </w:rPr>
      </w:pPr>
    </w:p>
    <w:p w14:paraId="36B269A5"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758BB1BC" w14:textId="77777777" w:rsidR="000E717D" w:rsidRPr="000E717D" w:rsidRDefault="000E717D" w:rsidP="004865D5">
      <w:pPr>
        <w:spacing w:line="288" w:lineRule="auto"/>
        <w:ind w:right="51"/>
        <w:jc w:val="both"/>
        <w:rPr>
          <w:rFonts w:ascii="Arial" w:hAnsi="Arial" w:cs="Arial"/>
          <w:spacing w:val="-2"/>
          <w:szCs w:val="24"/>
        </w:rPr>
      </w:pPr>
    </w:p>
    <w:p w14:paraId="0B2E6E7D" w14:textId="733D02DD"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w:t>
      </w:r>
      <w:r w:rsidR="004865D5">
        <w:rPr>
          <w:rFonts w:ascii="Arial" w:hAnsi="Arial" w:cs="Arial"/>
          <w:iCs/>
          <w:szCs w:val="24"/>
        </w:rPr>
        <w:t xml:space="preserve"> </w:t>
      </w:r>
      <w:r w:rsidR="004865D5" w:rsidRPr="000E717D">
        <w:rPr>
          <w:rFonts w:ascii="Arial" w:hAnsi="Arial" w:cs="Arial"/>
          <w:iCs/>
          <w:szCs w:val="24"/>
        </w:rPr>
        <w:t xml:space="preserve">REGÍMENES </w:t>
      </w:r>
      <w:r w:rsidRPr="000E717D">
        <w:rPr>
          <w:rFonts w:ascii="Arial" w:hAnsi="Arial" w:cs="Arial"/>
          <w:iCs/>
          <w:szCs w:val="24"/>
        </w:rPr>
        <w:t>PENSIONALES COEXISTENTES</w:t>
      </w:r>
    </w:p>
    <w:p w14:paraId="0F516830" w14:textId="77777777" w:rsidR="000E717D" w:rsidRPr="000E717D" w:rsidRDefault="000E717D" w:rsidP="004865D5">
      <w:pPr>
        <w:spacing w:line="288" w:lineRule="auto"/>
        <w:ind w:right="51"/>
        <w:jc w:val="both"/>
        <w:rPr>
          <w:rFonts w:ascii="Arial" w:hAnsi="Arial" w:cs="Arial"/>
          <w:iCs/>
          <w:szCs w:val="24"/>
        </w:rPr>
      </w:pPr>
    </w:p>
    <w:p w14:paraId="4116A472"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1CAF8D4C" w14:textId="77777777" w:rsidR="000E717D" w:rsidRPr="000E717D" w:rsidRDefault="000E717D" w:rsidP="004865D5">
      <w:pPr>
        <w:spacing w:line="288" w:lineRule="auto"/>
        <w:ind w:right="51"/>
        <w:jc w:val="both"/>
        <w:rPr>
          <w:rFonts w:ascii="Arial" w:hAnsi="Arial" w:cs="Arial"/>
          <w:iCs/>
          <w:szCs w:val="24"/>
        </w:rPr>
      </w:pPr>
    </w:p>
    <w:p w14:paraId="15CC54F5"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w:t>
      </w:r>
      <w:r w:rsidRPr="000E717D">
        <w:rPr>
          <w:rFonts w:ascii="Arial" w:hAnsi="Arial" w:cs="Arial"/>
          <w:iCs/>
          <w:szCs w:val="24"/>
        </w:rPr>
        <w:lastRenderedPageBreak/>
        <w:t>sistemas otorgará mejores beneficios que el otro, este último no logrará subsistir. Por eso, tal definición inicial carece de fundamentos como pasa a verse.</w:t>
      </w:r>
    </w:p>
    <w:p w14:paraId="5AE40542" w14:textId="77777777" w:rsidR="000E717D" w:rsidRPr="000E717D" w:rsidRDefault="000E717D" w:rsidP="004865D5">
      <w:pPr>
        <w:spacing w:line="288" w:lineRule="auto"/>
        <w:ind w:right="51"/>
        <w:jc w:val="both"/>
        <w:rPr>
          <w:rFonts w:ascii="Arial" w:hAnsi="Arial" w:cs="Arial"/>
          <w:iCs/>
          <w:szCs w:val="24"/>
        </w:rPr>
      </w:pPr>
    </w:p>
    <w:p w14:paraId="78AA8F0A"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0E717D">
        <w:rPr>
          <w:rFonts w:ascii="Arial" w:hAnsi="Arial" w:cs="Arial"/>
          <w:b/>
          <w:iCs/>
          <w:szCs w:val="24"/>
        </w:rPr>
        <w:t>con prestación definida”.</w:t>
      </w:r>
      <w:r w:rsidRPr="000E717D">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0E717D">
        <w:rPr>
          <w:rFonts w:ascii="Arial" w:hAnsi="Arial" w:cs="Arial"/>
          <w:b/>
          <w:iCs/>
          <w:szCs w:val="24"/>
        </w:rPr>
        <w:t xml:space="preserve">ahorro individual, </w:t>
      </w:r>
      <w:r w:rsidRPr="000E717D">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423E5936" w14:textId="77777777" w:rsidR="000E717D" w:rsidRPr="000E717D" w:rsidRDefault="000E717D" w:rsidP="004865D5">
      <w:pPr>
        <w:spacing w:line="288" w:lineRule="auto"/>
        <w:ind w:right="51"/>
        <w:jc w:val="both"/>
        <w:rPr>
          <w:rFonts w:ascii="Arial" w:hAnsi="Arial" w:cs="Arial"/>
          <w:iCs/>
          <w:szCs w:val="24"/>
        </w:rPr>
      </w:pPr>
    </w:p>
    <w:p w14:paraId="6CF139B7"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0E717D">
        <w:rPr>
          <w:rFonts w:ascii="Arial" w:hAnsi="Arial" w:cs="Arial"/>
          <w:iCs/>
          <w:szCs w:val="24"/>
        </w:rPr>
        <w:t>sucesoral</w:t>
      </w:r>
      <w:proofErr w:type="spellEnd"/>
      <w:r w:rsidRPr="000E717D">
        <w:rPr>
          <w:rFonts w:ascii="Arial" w:hAnsi="Arial" w:cs="Arial"/>
          <w:iCs/>
          <w:szCs w:val="24"/>
        </w:rPr>
        <w:t>.</w:t>
      </w:r>
    </w:p>
    <w:p w14:paraId="7D401E28" w14:textId="77777777" w:rsidR="000E717D" w:rsidRPr="000E717D" w:rsidRDefault="000E717D" w:rsidP="004865D5">
      <w:pPr>
        <w:spacing w:line="288" w:lineRule="auto"/>
        <w:ind w:right="51"/>
        <w:jc w:val="both"/>
        <w:rPr>
          <w:rFonts w:ascii="Arial" w:hAnsi="Arial" w:cs="Arial"/>
          <w:iCs/>
          <w:szCs w:val="24"/>
        </w:rPr>
      </w:pPr>
    </w:p>
    <w:p w14:paraId="1FD1EE54" w14:textId="77777777" w:rsidR="000E717D" w:rsidRPr="000E717D" w:rsidRDefault="000E717D" w:rsidP="004865D5">
      <w:pPr>
        <w:spacing w:line="288" w:lineRule="auto"/>
        <w:ind w:right="51"/>
        <w:jc w:val="both"/>
        <w:rPr>
          <w:rFonts w:ascii="Arial" w:hAnsi="Arial" w:cs="Arial"/>
          <w:b/>
          <w:iCs/>
          <w:szCs w:val="24"/>
        </w:rPr>
      </w:pPr>
      <w:r w:rsidRPr="000E717D">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53B0C17D" w14:textId="77777777" w:rsidR="000E717D" w:rsidRPr="000E717D" w:rsidRDefault="000E717D" w:rsidP="004865D5">
      <w:pPr>
        <w:spacing w:line="288" w:lineRule="auto"/>
        <w:ind w:right="51"/>
        <w:jc w:val="both"/>
        <w:rPr>
          <w:rFonts w:ascii="Arial" w:hAnsi="Arial" w:cs="Arial"/>
          <w:iCs/>
          <w:szCs w:val="24"/>
        </w:rPr>
      </w:pPr>
    </w:p>
    <w:p w14:paraId="3EFBC25C"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0E717D">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0E717D">
        <w:rPr>
          <w:rFonts w:ascii="Arial" w:hAnsi="Arial" w:cs="Arial"/>
          <w:iCs/>
          <w:szCs w:val="24"/>
        </w:rPr>
        <w:t xml:space="preserve">, entre otras cosas porque la nueva legislación parte </w:t>
      </w:r>
      <w:r w:rsidRPr="000E717D">
        <w:rPr>
          <w:rFonts w:ascii="Arial" w:hAnsi="Arial" w:cs="Arial"/>
          <w:iCs/>
          <w:szCs w:val="24"/>
        </w:rPr>
        <w:lastRenderedPageBreak/>
        <w:t xml:space="preserve">de la base de que existe una abierta y libre competencia entre Administradoras públicas y privadas por el mercado de la administración de los riesgos de </w:t>
      </w:r>
      <w:proofErr w:type="spellStart"/>
      <w:r w:rsidRPr="000E717D">
        <w:rPr>
          <w:rFonts w:ascii="Arial" w:hAnsi="Arial" w:cs="Arial"/>
          <w:iCs/>
          <w:szCs w:val="24"/>
        </w:rPr>
        <w:t>IVM</w:t>
      </w:r>
      <w:proofErr w:type="spellEnd"/>
      <w:r w:rsidRPr="000E717D">
        <w:rPr>
          <w:rFonts w:ascii="Arial" w:hAnsi="Arial" w:cs="Arial"/>
          <w:iCs/>
          <w:szCs w:val="24"/>
        </w:rPr>
        <w:t>.</w:t>
      </w:r>
    </w:p>
    <w:p w14:paraId="5B5C171E" w14:textId="77777777" w:rsidR="000E717D" w:rsidRPr="000E717D" w:rsidRDefault="000E717D" w:rsidP="004865D5">
      <w:pPr>
        <w:suppressAutoHyphens/>
        <w:spacing w:line="288" w:lineRule="auto"/>
        <w:jc w:val="both"/>
        <w:rPr>
          <w:rFonts w:ascii="Arial" w:hAnsi="Arial" w:cs="Arial"/>
          <w:spacing w:val="-2"/>
          <w:szCs w:val="24"/>
        </w:rPr>
      </w:pPr>
    </w:p>
    <w:p w14:paraId="76EFAF9D" w14:textId="06A3CFBA"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w:t>
      </w:r>
      <w:r w:rsidR="004865D5">
        <w:rPr>
          <w:rFonts w:ascii="Arial" w:hAnsi="Arial" w:cs="Arial"/>
          <w:iCs/>
          <w:szCs w:val="24"/>
        </w:rPr>
        <w:t xml:space="preserve"> </w:t>
      </w:r>
      <w:r w:rsidRPr="000E717D">
        <w:rPr>
          <w:rFonts w:ascii="Arial" w:hAnsi="Arial" w:cs="Arial"/>
          <w:iCs/>
          <w:szCs w:val="24"/>
        </w:rPr>
        <w:t xml:space="preserve">REALIDAD NORMATIVA SOBRE LA SUPUESTA FALTA DE INFORMACIÓN QUE GENERA LA INEFICACIA DE LOS TRASLADOS (ARTÍCULO 11 DEL DECRETO 692 DE 1994 HOY 2.2.2.1.8 DEL </w:t>
      </w:r>
      <w:proofErr w:type="spellStart"/>
      <w:r w:rsidRPr="000E717D">
        <w:rPr>
          <w:rFonts w:ascii="Arial" w:hAnsi="Arial" w:cs="Arial"/>
          <w:iCs/>
          <w:szCs w:val="24"/>
        </w:rPr>
        <w:t>D.U.R</w:t>
      </w:r>
      <w:proofErr w:type="spellEnd"/>
      <w:r w:rsidRPr="000E717D">
        <w:rPr>
          <w:rFonts w:ascii="Arial" w:hAnsi="Arial" w:cs="Arial"/>
          <w:iCs/>
          <w:szCs w:val="24"/>
        </w:rPr>
        <w:t xml:space="preserve"> 1833/2016)</w:t>
      </w:r>
    </w:p>
    <w:p w14:paraId="64311271" w14:textId="77777777" w:rsidR="000E717D" w:rsidRPr="000E717D" w:rsidRDefault="000E717D" w:rsidP="004865D5">
      <w:pPr>
        <w:spacing w:line="288" w:lineRule="auto"/>
        <w:ind w:right="51"/>
        <w:jc w:val="both"/>
        <w:rPr>
          <w:rFonts w:ascii="Arial" w:hAnsi="Arial" w:cs="Arial"/>
          <w:b/>
          <w:iCs/>
          <w:szCs w:val="24"/>
        </w:rPr>
      </w:pPr>
    </w:p>
    <w:p w14:paraId="499D755B"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38AC0B03" w14:textId="77777777" w:rsidR="000E717D" w:rsidRPr="000E717D" w:rsidRDefault="000E717D" w:rsidP="004865D5">
      <w:pPr>
        <w:spacing w:line="288" w:lineRule="auto"/>
        <w:ind w:right="51"/>
        <w:jc w:val="both"/>
        <w:rPr>
          <w:rFonts w:ascii="Arial" w:hAnsi="Arial" w:cs="Arial"/>
          <w:iCs/>
          <w:szCs w:val="24"/>
        </w:rPr>
      </w:pPr>
    </w:p>
    <w:p w14:paraId="3B2F3B98"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0E717D">
        <w:rPr>
          <w:rFonts w:ascii="Arial" w:hAnsi="Arial" w:cs="Arial"/>
          <w:b/>
          <w:iCs/>
          <w:szCs w:val="24"/>
        </w:rPr>
        <w:t>las AFP –que también son sujetos con derechos y a quienes también debe respetárseles el principio de confianza legítima</w:t>
      </w:r>
      <w:r w:rsidRPr="000E717D">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0E717D">
        <w:rPr>
          <w:rFonts w:ascii="Arial" w:hAnsi="Arial" w:cs="Arial"/>
          <w:b/>
          <w:iCs/>
          <w:szCs w:val="24"/>
        </w:rPr>
        <w:t xml:space="preserve">“la comunicación escrita en la que conste que la selección de dicho régimen se ha tomado de manera libre, espontánea y sin presiones”, </w:t>
      </w:r>
      <w:r w:rsidRPr="000E717D">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0E717D">
        <w:rPr>
          <w:rFonts w:ascii="Arial" w:hAnsi="Arial" w:cs="Arial"/>
          <w:b/>
          <w:iCs/>
          <w:szCs w:val="24"/>
        </w:rPr>
        <w:t xml:space="preserve"> </w:t>
      </w:r>
      <w:r w:rsidRPr="000E717D">
        <w:rPr>
          <w:rFonts w:ascii="Arial" w:hAnsi="Arial" w:cs="Arial"/>
          <w:iCs/>
          <w:szCs w:val="24"/>
        </w:rPr>
        <w:t xml:space="preserve"> Es que sobre el punto no puede obviarse lo previsto en el decreto 692 de 1994 que, en desarrollo de tal precepto dispuso:</w:t>
      </w:r>
    </w:p>
    <w:p w14:paraId="1E0E1754" w14:textId="77777777" w:rsidR="000E717D" w:rsidRPr="000E717D" w:rsidRDefault="000E717D" w:rsidP="004865D5">
      <w:pPr>
        <w:spacing w:line="288" w:lineRule="auto"/>
        <w:ind w:right="51"/>
        <w:jc w:val="both"/>
        <w:rPr>
          <w:rFonts w:ascii="Arial" w:hAnsi="Arial" w:cs="Arial"/>
          <w:iCs/>
          <w:szCs w:val="24"/>
        </w:rPr>
      </w:pPr>
    </w:p>
    <w:p w14:paraId="15252D3F"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bCs/>
          <w:i/>
          <w:sz w:val="22"/>
          <w:szCs w:val="24"/>
          <w:lang w:val="es-ES"/>
        </w:rPr>
        <w:t xml:space="preserve">ARTICULO 11. DILIGENCIAMIENTO DE LA </w:t>
      </w:r>
      <w:r w:rsidRPr="00802DFB">
        <w:rPr>
          <w:rFonts w:ascii="Arial" w:hAnsi="Arial" w:cs="Arial"/>
          <w:bCs/>
          <w:i/>
          <w:sz w:val="22"/>
          <w:szCs w:val="24"/>
          <w:lang w:val="es-ES"/>
        </w:rPr>
        <w:t>SELECCIÓN</w:t>
      </w:r>
      <w:r w:rsidRPr="00BF0B47">
        <w:rPr>
          <w:rFonts w:ascii="Arial" w:hAnsi="Arial" w:cs="Arial"/>
          <w:bCs/>
          <w:i/>
          <w:sz w:val="22"/>
          <w:szCs w:val="24"/>
          <w:lang w:val="es-ES"/>
        </w:rPr>
        <w:t xml:space="preserve"> Y </w:t>
      </w:r>
      <w:r w:rsidRPr="00802DFB">
        <w:rPr>
          <w:rFonts w:ascii="Arial" w:hAnsi="Arial" w:cs="Arial"/>
          <w:bCs/>
          <w:i/>
          <w:sz w:val="22"/>
          <w:szCs w:val="24"/>
          <w:lang w:val="es-ES"/>
        </w:rPr>
        <w:t>VINCULACIÓN</w:t>
      </w:r>
      <w:r w:rsidRPr="00BF0B47">
        <w:rPr>
          <w:rFonts w:ascii="Arial" w:hAnsi="Arial" w:cs="Arial"/>
          <w:bCs/>
          <w:i/>
          <w:sz w:val="22"/>
          <w:szCs w:val="24"/>
          <w:lang w:val="es-ES"/>
        </w:rPr>
        <w:t>.</w:t>
      </w:r>
      <w:bookmarkStart w:id="1" w:name="11"/>
      <w:bookmarkEnd w:id="1"/>
      <w:r w:rsidRPr="00BF0B47">
        <w:rPr>
          <w:rFonts w:ascii="Arial" w:hAnsi="Arial" w:cs="Arial"/>
          <w:i/>
          <w:sz w:val="22"/>
          <w:szCs w:val="24"/>
          <w:lang w:val="es-ES"/>
        </w:rPr>
        <w:t> </w:t>
      </w:r>
      <w:r w:rsidRPr="00BF0B47">
        <w:rPr>
          <w:rFonts w:ascii="Arial" w:hAnsi="Arial" w:cs="Arial"/>
          <w:bCs/>
          <w:i/>
          <w:sz w:val="22"/>
          <w:szCs w:val="24"/>
          <w:lang w:val="es-ES"/>
        </w:rPr>
        <w:t>&lt;Artículo compilado en el artículo </w:t>
      </w:r>
      <w:hyperlink r:id="rId9" w:anchor="2.2.2.1.8" w:history="1">
        <w:r w:rsidRPr="00802DFB">
          <w:rPr>
            <w:rFonts w:ascii="Arial" w:hAnsi="Arial" w:cs="Arial"/>
            <w:bCs/>
            <w:i/>
            <w:color w:val="0563C1"/>
            <w:sz w:val="22"/>
            <w:szCs w:val="24"/>
            <w:u w:val="single"/>
            <w:lang w:val="es-ES"/>
          </w:rPr>
          <w:t>2.2.2.1.8</w:t>
        </w:r>
      </w:hyperlink>
      <w:r w:rsidRPr="00BF0B47">
        <w:rPr>
          <w:rFonts w:ascii="Arial" w:hAnsi="Arial" w:cs="Arial"/>
          <w:bCs/>
          <w:i/>
          <w:sz w:val="22"/>
          <w:szCs w:val="24"/>
          <w:lang w:val="es-ES"/>
        </w:rPr>
        <w:t> del Decreto Único Reglamentario 1833 de 2016.</w:t>
      </w:r>
      <w:r w:rsidRPr="00BF0B47">
        <w:rPr>
          <w:rFonts w:ascii="Arial" w:hAnsi="Arial" w:cs="Arial"/>
          <w:b/>
          <w:bCs/>
          <w:i/>
          <w:color w:val="004C91"/>
          <w:sz w:val="22"/>
          <w:szCs w:val="24"/>
          <w:lang w:val="es-ES"/>
        </w:rPr>
        <w:t> </w:t>
      </w:r>
    </w:p>
    <w:p w14:paraId="4E4576D8" w14:textId="77777777" w:rsidR="004865D5" w:rsidRPr="00BF0B47" w:rsidRDefault="004865D5" w:rsidP="004865D5">
      <w:pPr>
        <w:ind w:left="426" w:right="476"/>
        <w:jc w:val="both"/>
        <w:rPr>
          <w:rFonts w:ascii="Arial" w:hAnsi="Arial" w:cs="Arial"/>
          <w:iCs/>
          <w:sz w:val="22"/>
          <w:szCs w:val="24"/>
        </w:rPr>
      </w:pPr>
    </w:p>
    <w:p w14:paraId="59ED15B5"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7766A767" w14:textId="77777777" w:rsidR="004865D5" w:rsidRPr="00BF0B47" w:rsidRDefault="004865D5" w:rsidP="004865D5">
      <w:pPr>
        <w:ind w:left="426" w:right="476"/>
        <w:jc w:val="both"/>
        <w:rPr>
          <w:rFonts w:ascii="Arial" w:hAnsi="Arial" w:cs="Arial"/>
          <w:iCs/>
          <w:sz w:val="22"/>
          <w:szCs w:val="24"/>
        </w:rPr>
      </w:pPr>
    </w:p>
    <w:p w14:paraId="383114C7"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4DF6E198" w14:textId="77777777" w:rsidR="004865D5" w:rsidRPr="00BF0B47" w:rsidRDefault="004865D5" w:rsidP="004865D5">
      <w:pPr>
        <w:ind w:left="426" w:right="476"/>
        <w:jc w:val="both"/>
        <w:rPr>
          <w:rFonts w:ascii="Arial" w:hAnsi="Arial" w:cs="Arial"/>
          <w:iCs/>
          <w:sz w:val="22"/>
          <w:szCs w:val="24"/>
        </w:rPr>
      </w:pPr>
    </w:p>
    <w:p w14:paraId="1339731E"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Quienes decidan afiliarse voluntariamente al sistema, manifestarán su decisión al momento de vincularse a una determinada administradora.</w:t>
      </w:r>
    </w:p>
    <w:p w14:paraId="1E01F2C8" w14:textId="77777777" w:rsidR="004865D5" w:rsidRPr="00BF0B47" w:rsidRDefault="004865D5" w:rsidP="004865D5">
      <w:pPr>
        <w:ind w:left="426" w:right="476"/>
        <w:jc w:val="both"/>
        <w:rPr>
          <w:rFonts w:ascii="Arial" w:hAnsi="Arial" w:cs="Arial"/>
          <w:iCs/>
          <w:sz w:val="22"/>
          <w:szCs w:val="24"/>
        </w:rPr>
      </w:pPr>
    </w:p>
    <w:p w14:paraId="4BCBB4ED"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60E8D2DE" w14:textId="77777777" w:rsidR="004865D5" w:rsidRPr="00BF0B47" w:rsidRDefault="004865D5" w:rsidP="004865D5">
      <w:pPr>
        <w:ind w:left="426" w:right="476"/>
        <w:jc w:val="both"/>
        <w:rPr>
          <w:rFonts w:ascii="Arial" w:hAnsi="Arial" w:cs="Arial"/>
          <w:iCs/>
          <w:sz w:val="22"/>
          <w:szCs w:val="24"/>
        </w:rPr>
      </w:pPr>
    </w:p>
    <w:p w14:paraId="5EEE88A1"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a) Lugar y fecha;</w:t>
      </w:r>
    </w:p>
    <w:p w14:paraId="7FFC7D99" w14:textId="77777777" w:rsidR="004865D5" w:rsidRPr="00BF0B47" w:rsidRDefault="004865D5" w:rsidP="004865D5">
      <w:pPr>
        <w:ind w:left="426" w:right="476"/>
        <w:jc w:val="both"/>
        <w:rPr>
          <w:rFonts w:ascii="Arial" w:hAnsi="Arial" w:cs="Arial"/>
          <w:iCs/>
          <w:sz w:val="22"/>
          <w:szCs w:val="24"/>
        </w:rPr>
      </w:pPr>
    </w:p>
    <w:p w14:paraId="146B531E"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 xml:space="preserve">b) Nombre o razón social y </w:t>
      </w:r>
      <w:proofErr w:type="spellStart"/>
      <w:r w:rsidRPr="00BF0B47">
        <w:rPr>
          <w:rFonts w:ascii="Arial" w:hAnsi="Arial" w:cs="Arial"/>
          <w:i/>
          <w:color w:val="000000"/>
          <w:sz w:val="22"/>
          <w:szCs w:val="24"/>
          <w:lang w:val="es-ES"/>
        </w:rPr>
        <w:t>NIT</w:t>
      </w:r>
      <w:proofErr w:type="spellEnd"/>
      <w:r w:rsidRPr="00BF0B47">
        <w:rPr>
          <w:rFonts w:ascii="Arial" w:hAnsi="Arial" w:cs="Arial"/>
          <w:i/>
          <w:color w:val="000000"/>
          <w:sz w:val="22"/>
          <w:szCs w:val="24"/>
          <w:lang w:val="es-ES"/>
        </w:rPr>
        <w:t xml:space="preserve"> del empleador;</w:t>
      </w:r>
    </w:p>
    <w:p w14:paraId="7460552D" w14:textId="77777777" w:rsidR="004865D5" w:rsidRPr="00BF0B47" w:rsidRDefault="004865D5" w:rsidP="004865D5">
      <w:pPr>
        <w:ind w:left="426" w:right="476"/>
        <w:jc w:val="both"/>
        <w:rPr>
          <w:rFonts w:ascii="Arial" w:hAnsi="Arial" w:cs="Arial"/>
          <w:iCs/>
          <w:sz w:val="22"/>
          <w:szCs w:val="24"/>
        </w:rPr>
      </w:pPr>
    </w:p>
    <w:p w14:paraId="2EB090CA"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lastRenderedPageBreak/>
        <w:t>c) Nombre y apellidos del afiliado;</w:t>
      </w:r>
    </w:p>
    <w:p w14:paraId="46AF6F85" w14:textId="77777777" w:rsidR="004865D5" w:rsidRPr="00BF0B47" w:rsidRDefault="004865D5" w:rsidP="004865D5">
      <w:pPr>
        <w:ind w:left="426" w:right="476"/>
        <w:jc w:val="both"/>
        <w:rPr>
          <w:rFonts w:ascii="Arial" w:hAnsi="Arial" w:cs="Arial"/>
          <w:iCs/>
          <w:sz w:val="22"/>
          <w:szCs w:val="24"/>
        </w:rPr>
      </w:pPr>
    </w:p>
    <w:p w14:paraId="53562EDC"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 xml:space="preserve">d) Número de cédula o </w:t>
      </w:r>
      <w:proofErr w:type="spellStart"/>
      <w:r w:rsidRPr="00BF0B47">
        <w:rPr>
          <w:rFonts w:ascii="Arial" w:hAnsi="Arial" w:cs="Arial"/>
          <w:i/>
          <w:color w:val="000000"/>
          <w:sz w:val="22"/>
          <w:szCs w:val="24"/>
          <w:lang w:val="es-ES"/>
        </w:rPr>
        <w:t>NIT</w:t>
      </w:r>
      <w:proofErr w:type="spellEnd"/>
      <w:r w:rsidRPr="00BF0B47">
        <w:rPr>
          <w:rFonts w:ascii="Arial" w:hAnsi="Arial" w:cs="Arial"/>
          <w:i/>
          <w:color w:val="000000"/>
          <w:sz w:val="22"/>
          <w:szCs w:val="24"/>
          <w:lang w:val="es-ES"/>
        </w:rPr>
        <w:t xml:space="preserve"> del afiliado;</w:t>
      </w:r>
    </w:p>
    <w:p w14:paraId="2C509D31" w14:textId="77777777" w:rsidR="004865D5" w:rsidRPr="00BF0B47" w:rsidRDefault="004865D5" w:rsidP="004865D5">
      <w:pPr>
        <w:ind w:left="426" w:right="476"/>
        <w:jc w:val="both"/>
        <w:rPr>
          <w:rFonts w:ascii="Arial" w:hAnsi="Arial" w:cs="Arial"/>
          <w:iCs/>
          <w:sz w:val="22"/>
          <w:szCs w:val="24"/>
        </w:rPr>
      </w:pPr>
    </w:p>
    <w:p w14:paraId="2BAB3087"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 xml:space="preserve">e) Entidad administradora del régimen de pensiones a la cual desea afiliarse, la cual podrá estar </w:t>
      </w:r>
      <w:proofErr w:type="spellStart"/>
      <w:r w:rsidRPr="00BF0B47">
        <w:rPr>
          <w:rFonts w:ascii="Arial" w:hAnsi="Arial" w:cs="Arial"/>
          <w:i/>
          <w:color w:val="000000"/>
          <w:sz w:val="22"/>
          <w:szCs w:val="24"/>
          <w:lang w:val="es-ES"/>
        </w:rPr>
        <w:t>preimpresa</w:t>
      </w:r>
      <w:proofErr w:type="spellEnd"/>
      <w:r w:rsidRPr="00BF0B47">
        <w:rPr>
          <w:rFonts w:ascii="Arial" w:hAnsi="Arial" w:cs="Arial"/>
          <w:i/>
          <w:color w:val="000000"/>
          <w:sz w:val="22"/>
          <w:szCs w:val="24"/>
          <w:lang w:val="es-ES"/>
        </w:rPr>
        <w:t>;</w:t>
      </w:r>
    </w:p>
    <w:p w14:paraId="617168B5" w14:textId="77777777" w:rsidR="004865D5" w:rsidRPr="00BF0B47" w:rsidRDefault="004865D5" w:rsidP="004865D5">
      <w:pPr>
        <w:ind w:left="426" w:right="476"/>
        <w:jc w:val="both"/>
        <w:rPr>
          <w:rFonts w:ascii="Arial" w:hAnsi="Arial" w:cs="Arial"/>
          <w:iCs/>
          <w:sz w:val="22"/>
          <w:szCs w:val="24"/>
        </w:rPr>
      </w:pPr>
    </w:p>
    <w:p w14:paraId="56CAD466"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f) Datos del cónyuge, compañero o compañera permanente, hijos o beneficiarios del afiliado.</w:t>
      </w:r>
    </w:p>
    <w:p w14:paraId="3E43356E" w14:textId="77777777" w:rsidR="004865D5" w:rsidRPr="00BF0B47" w:rsidRDefault="004865D5" w:rsidP="004865D5">
      <w:pPr>
        <w:ind w:left="426" w:right="476"/>
        <w:jc w:val="both"/>
        <w:rPr>
          <w:rFonts w:ascii="Arial" w:hAnsi="Arial" w:cs="Arial"/>
          <w:iCs/>
          <w:sz w:val="22"/>
          <w:szCs w:val="24"/>
        </w:rPr>
      </w:pPr>
    </w:p>
    <w:p w14:paraId="336597C6"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5B7C6676" w14:textId="77777777" w:rsidR="004865D5" w:rsidRPr="00BF0B47" w:rsidRDefault="004865D5" w:rsidP="004865D5">
      <w:pPr>
        <w:ind w:left="426" w:right="476"/>
        <w:jc w:val="both"/>
        <w:rPr>
          <w:rFonts w:ascii="Arial" w:hAnsi="Arial" w:cs="Arial"/>
          <w:iCs/>
          <w:sz w:val="22"/>
          <w:szCs w:val="24"/>
        </w:rPr>
      </w:pPr>
    </w:p>
    <w:p w14:paraId="4E73AD69" w14:textId="77777777" w:rsidR="004865D5" w:rsidRPr="00BF0B47" w:rsidRDefault="004865D5" w:rsidP="004865D5">
      <w:pPr>
        <w:ind w:left="426" w:right="476"/>
        <w:jc w:val="both"/>
        <w:rPr>
          <w:rFonts w:ascii="Arial" w:hAnsi="Arial" w:cs="Arial"/>
          <w:b/>
          <w:iCs/>
          <w:sz w:val="22"/>
          <w:szCs w:val="24"/>
        </w:rPr>
      </w:pPr>
      <w:r w:rsidRPr="00BF0B47">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46D0683D" w14:textId="77777777" w:rsidR="004865D5" w:rsidRPr="00BF0B47" w:rsidRDefault="004865D5" w:rsidP="004865D5">
      <w:pPr>
        <w:ind w:left="426" w:right="476"/>
        <w:jc w:val="both"/>
        <w:rPr>
          <w:rFonts w:ascii="Arial" w:hAnsi="Arial" w:cs="Arial"/>
          <w:iCs/>
          <w:sz w:val="22"/>
          <w:szCs w:val="24"/>
        </w:rPr>
      </w:pPr>
    </w:p>
    <w:p w14:paraId="443BD6DC" w14:textId="77777777" w:rsidR="004865D5" w:rsidRPr="00BF0B47" w:rsidRDefault="004865D5" w:rsidP="004865D5">
      <w:pPr>
        <w:ind w:left="426" w:right="476"/>
        <w:jc w:val="both"/>
        <w:rPr>
          <w:rFonts w:ascii="Arial" w:hAnsi="Arial" w:cs="Arial"/>
          <w:iCs/>
          <w:sz w:val="22"/>
          <w:szCs w:val="24"/>
        </w:rPr>
      </w:pPr>
      <w:r w:rsidRPr="00BF0B47">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BF0B47">
        <w:rPr>
          <w:rFonts w:ascii="Arial" w:hAnsi="Arial" w:cs="Arial"/>
          <w:b/>
          <w:i/>
          <w:color w:val="000000"/>
          <w:sz w:val="22"/>
          <w:szCs w:val="24"/>
          <w:lang w:val="es-ES"/>
        </w:rPr>
        <w:t>preimpresa</w:t>
      </w:r>
      <w:proofErr w:type="spellEnd"/>
      <w:r w:rsidRPr="00BF0B47">
        <w:rPr>
          <w:rFonts w:ascii="Arial" w:hAnsi="Arial" w:cs="Arial"/>
          <w:b/>
          <w:i/>
          <w:color w:val="000000"/>
          <w:sz w:val="22"/>
          <w:szCs w:val="24"/>
          <w:lang w:val="es-ES"/>
        </w:rPr>
        <w:t xml:space="preserve"> en este sentido”.</w:t>
      </w:r>
    </w:p>
    <w:p w14:paraId="002F103E"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 </w:t>
      </w:r>
    </w:p>
    <w:p w14:paraId="288EC84E"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0E717D">
        <w:rPr>
          <w:rFonts w:ascii="Arial" w:hAnsi="Arial" w:cs="Arial"/>
          <w:b/>
          <w:iCs/>
          <w:szCs w:val="24"/>
        </w:rPr>
        <w:t xml:space="preserve">que podía estar </w:t>
      </w:r>
      <w:proofErr w:type="spellStart"/>
      <w:r w:rsidRPr="000E717D">
        <w:rPr>
          <w:rFonts w:ascii="Arial" w:hAnsi="Arial" w:cs="Arial"/>
          <w:b/>
          <w:iCs/>
          <w:szCs w:val="24"/>
        </w:rPr>
        <w:t>preimpresa</w:t>
      </w:r>
      <w:proofErr w:type="spellEnd"/>
      <w:r w:rsidRPr="000E717D">
        <w:rPr>
          <w:rFonts w:ascii="Arial" w:hAnsi="Arial" w:cs="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08A73181" w14:textId="77777777" w:rsidR="000E717D" w:rsidRPr="000E717D" w:rsidRDefault="000E717D" w:rsidP="004865D5">
      <w:pPr>
        <w:spacing w:line="288" w:lineRule="auto"/>
        <w:ind w:right="51"/>
        <w:jc w:val="both"/>
        <w:rPr>
          <w:rFonts w:ascii="Arial" w:hAnsi="Arial" w:cs="Arial"/>
          <w:iCs/>
          <w:szCs w:val="24"/>
        </w:rPr>
      </w:pPr>
    </w:p>
    <w:p w14:paraId="74E0D658" w14:textId="77777777" w:rsidR="004360D3" w:rsidRPr="003F4F8E" w:rsidRDefault="004360D3" w:rsidP="004360D3">
      <w:pPr>
        <w:ind w:left="426" w:right="418"/>
        <w:jc w:val="both"/>
        <w:rPr>
          <w:rFonts w:ascii="Arial" w:hAnsi="Arial"/>
          <w:iCs/>
          <w:sz w:val="22"/>
          <w:szCs w:val="24"/>
        </w:rPr>
      </w:pPr>
      <w:r w:rsidRPr="003F4F8E">
        <w:rPr>
          <w:rFonts w:ascii="Arial" w:hAnsi="Arial"/>
          <w:iCs/>
          <w:sz w:val="22"/>
          <w:szCs w:val="24"/>
        </w:rPr>
        <w:t xml:space="preserve">“Cuando un derecho o una actividad hayan sido reglamentadas de manera general, las autoridades públicas no podrán establecer ni exigir permisos, licencias o </w:t>
      </w:r>
      <w:r w:rsidRPr="003F4F8E">
        <w:rPr>
          <w:rFonts w:ascii="Arial" w:hAnsi="Arial"/>
          <w:b/>
          <w:iCs/>
          <w:sz w:val="22"/>
          <w:szCs w:val="24"/>
        </w:rPr>
        <w:t>requisitos adicionales para su ejercicio”</w:t>
      </w:r>
      <w:r w:rsidRPr="003F4F8E">
        <w:rPr>
          <w:rFonts w:ascii="Arial" w:hAnsi="Arial"/>
          <w:iCs/>
          <w:sz w:val="22"/>
          <w:szCs w:val="24"/>
        </w:rPr>
        <w:t xml:space="preserve"> </w:t>
      </w:r>
    </w:p>
    <w:p w14:paraId="0367595D" w14:textId="77777777" w:rsidR="000E717D" w:rsidRPr="000E717D" w:rsidRDefault="000E717D" w:rsidP="004865D5">
      <w:pPr>
        <w:spacing w:line="288" w:lineRule="auto"/>
        <w:ind w:right="51"/>
        <w:jc w:val="both"/>
        <w:rPr>
          <w:rFonts w:ascii="Arial" w:hAnsi="Arial" w:cs="Arial"/>
          <w:iCs/>
          <w:szCs w:val="24"/>
        </w:rPr>
      </w:pPr>
    </w:p>
    <w:p w14:paraId="2EDBF7AA"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47B8F50C" w14:textId="77777777" w:rsidR="000E717D" w:rsidRPr="000E717D" w:rsidRDefault="000E717D" w:rsidP="004865D5">
      <w:pPr>
        <w:spacing w:line="288" w:lineRule="auto"/>
        <w:ind w:right="51"/>
        <w:jc w:val="both"/>
        <w:rPr>
          <w:rFonts w:ascii="Arial" w:hAnsi="Arial" w:cs="Arial"/>
          <w:iCs/>
          <w:szCs w:val="24"/>
        </w:rPr>
      </w:pPr>
    </w:p>
    <w:p w14:paraId="1D9DA15B"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Respecto a estas últimas normas, en concreto el artículo 97, las Salas de decisión laboral No. 1 y 4 de este Tribunal por mayorías, con ponencia de la doctora Olga lucía Hoyos Sepúlveda han dicho:</w:t>
      </w:r>
    </w:p>
    <w:p w14:paraId="4343EB49" w14:textId="77777777" w:rsidR="000E717D" w:rsidRPr="000E717D" w:rsidRDefault="000E717D" w:rsidP="004865D5">
      <w:pPr>
        <w:spacing w:line="288" w:lineRule="auto"/>
        <w:ind w:right="51"/>
        <w:jc w:val="both"/>
        <w:rPr>
          <w:rFonts w:ascii="Arial" w:hAnsi="Arial" w:cs="Arial"/>
          <w:iCs/>
          <w:szCs w:val="24"/>
        </w:rPr>
      </w:pPr>
    </w:p>
    <w:p w14:paraId="64817BBB" w14:textId="77777777" w:rsidR="004360D3" w:rsidRPr="003F4F8E" w:rsidRDefault="004360D3" w:rsidP="004360D3">
      <w:pPr>
        <w:ind w:left="426" w:right="560"/>
        <w:jc w:val="both"/>
        <w:rPr>
          <w:rFonts w:ascii="Arial" w:hAnsi="Arial"/>
          <w:iCs/>
          <w:sz w:val="22"/>
          <w:szCs w:val="24"/>
        </w:rPr>
      </w:pPr>
      <w:r w:rsidRPr="003F4F8E">
        <w:rPr>
          <w:rFonts w:ascii="Arial" w:hAnsi="Arial"/>
          <w:iCs/>
          <w:sz w:val="22"/>
          <w:szCs w:val="24"/>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w:t>
      </w:r>
      <w:r w:rsidRPr="003F4F8E">
        <w:rPr>
          <w:rFonts w:ascii="Arial" w:hAnsi="Arial"/>
          <w:iCs/>
          <w:sz w:val="22"/>
          <w:szCs w:val="24"/>
        </w:rPr>
        <w:lastRenderedPageBreak/>
        <w:t>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5674AACB" w14:textId="77777777" w:rsidR="004360D3" w:rsidRPr="003F4F8E" w:rsidRDefault="004360D3" w:rsidP="004360D3">
      <w:pPr>
        <w:ind w:left="426" w:right="560"/>
        <w:jc w:val="both"/>
        <w:rPr>
          <w:rFonts w:ascii="Arial" w:hAnsi="Arial"/>
          <w:iCs/>
          <w:sz w:val="22"/>
          <w:szCs w:val="24"/>
        </w:rPr>
      </w:pPr>
    </w:p>
    <w:p w14:paraId="54C9233C" w14:textId="77777777" w:rsidR="004360D3" w:rsidRPr="003F4F8E" w:rsidRDefault="004360D3" w:rsidP="004360D3">
      <w:pPr>
        <w:ind w:left="426" w:right="560"/>
        <w:jc w:val="both"/>
        <w:rPr>
          <w:rFonts w:ascii="Arial" w:hAnsi="Arial"/>
          <w:iCs/>
          <w:sz w:val="22"/>
          <w:szCs w:val="24"/>
        </w:rPr>
      </w:pPr>
      <w:r w:rsidRPr="003F4F8E">
        <w:rPr>
          <w:rFonts w:ascii="Arial" w:hAnsi="Arial"/>
          <w:iCs/>
          <w:sz w:val="22"/>
          <w:szCs w:val="24"/>
        </w:rPr>
        <w:t xml:space="preserve">Es que, el mencionado canon, de manera evidente se refiere a las “mejores opciones del mercado” respecto a las inversiones del dinero ahorrado. </w:t>
      </w:r>
      <w:r w:rsidRPr="003F4F8E">
        <w:rPr>
          <w:rFonts w:ascii="Arial" w:hAnsi="Arial"/>
          <w:b/>
          <w:iCs/>
          <w:sz w:val="22"/>
          <w:szCs w:val="24"/>
        </w:rPr>
        <w:t>No se trata entonces de una información sobre las características de los regímenes del sistema pensional</w:t>
      </w:r>
      <w:r w:rsidRPr="003F4F8E">
        <w:rPr>
          <w:rFonts w:ascii="Arial" w:hAnsi="Arial"/>
          <w:iCs/>
          <w:sz w:val="22"/>
          <w:szCs w:val="24"/>
        </w:rPr>
        <w:t xml:space="preserve">, sino de la solidez de la AFP y de las operaciones financieras para el manejo del dinero depositado en la cuenta de ahorro individual” </w:t>
      </w:r>
    </w:p>
    <w:p w14:paraId="179AD085" w14:textId="77777777" w:rsidR="000E717D" w:rsidRPr="000E717D" w:rsidRDefault="000E717D" w:rsidP="004865D5">
      <w:pPr>
        <w:spacing w:line="288" w:lineRule="auto"/>
        <w:ind w:right="51"/>
        <w:jc w:val="both"/>
        <w:rPr>
          <w:rFonts w:ascii="Arial" w:hAnsi="Arial" w:cs="Arial"/>
          <w:iCs/>
          <w:szCs w:val="24"/>
        </w:rPr>
      </w:pPr>
    </w:p>
    <w:p w14:paraId="293E402E"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0E717D">
        <w:rPr>
          <w:rFonts w:ascii="Arial" w:hAnsi="Arial" w:cs="Arial"/>
          <w:b/>
          <w:iCs/>
          <w:szCs w:val="24"/>
        </w:rPr>
        <w:t>cuyo conocimiento no hay que repetirlo a las partes, puesto que el mismo se presume de derecho conocido por las ellas según el artículo 9 del Código Civil</w:t>
      </w:r>
      <w:r w:rsidRPr="000E717D">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5430F196" w14:textId="77777777" w:rsidR="000E717D" w:rsidRPr="000E717D" w:rsidRDefault="000E717D" w:rsidP="004865D5">
      <w:pPr>
        <w:spacing w:line="288" w:lineRule="auto"/>
        <w:ind w:right="51"/>
        <w:jc w:val="both"/>
        <w:rPr>
          <w:rFonts w:ascii="Arial" w:hAnsi="Arial" w:cs="Arial"/>
          <w:iCs/>
          <w:szCs w:val="24"/>
        </w:rPr>
      </w:pPr>
    </w:p>
    <w:p w14:paraId="74B0EF44" w14:textId="16174952" w:rsidR="000E717D" w:rsidRPr="000E717D" w:rsidRDefault="000E717D" w:rsidP="004865D5">
      <w:pPr>
        <w:spacing w:line="288" w:lineRule="auto"/>
        <w:jc w:val="both"/>
        <w:rPr>
          <w:rFonts w:ascii="Arial" w:hAnsi="Arial" w:cs="Arial"/>
          <w:iCs/>
          <w:szCs w:val="24"/>
        </w:rPr>
      </w:pPr>
      <w:r w:rsidRPr="000E717D">
        <w:rPr>
          <w:rFonts w:ascii="Arial" w:hAnsi="Arial" w:cs="Arial"/>
          <w:iCs/>
          <w:szCs w:val="24"/>
        </w:rPr>
        <w:t>-</w:t>
      </w:r>
      <w:r w:rsidR="004360D3">
        <w:rPr>
          <w:rFonts w:ascii="Arial" w:hAnsi="Arial" w:cs="Arial"/>
          <w:iCs/>
          <w:szCs w:val="24"/>
        </w:rPr>
        <w:t xml:space="preserve"> </w:t>
      </w:r>
      <w:r w:rsidRPr="000E717D">
        <w:rPr>
          <w:rFonts w:ascii="Arial" w:hAnsi="Arial" w:cs="Arial"/>
          <w:iCs/>
          <w:szCs w:val="24"/>
        </w:rPr>
        <w:t xml:space="preserve">LA SUPUESTA FALTA DE INFORMACIÓN POR NO HABERSE REALIZADO </w:t>
      </w:r>
      <w:r w:rsidR="004360D3" w:rsidRPr="000E717D">
        <w:rPr>
          <w:rFonts w:ascii="Arial" w:hAnsi="Arial" w:cs="Arial"/>
          <w:iCs/>
          <w:szCs w:val="24"/>
        </w:rPr>
        <w:t>PROYECCIONES</w:t>
      </w:r>
      <w:r w:rsidRPr="000E717D">
        <w:rPr>
          <w:rFonts w:ascii="Arial" w:hAnsi="Arial" w:cs="Arial"/>
          <w:iCs/>
          <w:szCs w:val="24"/>
        </w:rPr>
        <w:t xml:space="preserve"> SOBRE EL POSIBLE MONTO DE LA PENSIÓN</w:t>
      </w:r>
    </w:p>
    <w:p w14:paraId="42D7F37F" w14:textId="77777777" w:rsidR="000E717D" w:rsidRPr="000E717D" w:rsidRDefault="000E717D" w:rsidP="004865D5">
      <w:pPr>
        <w:spacing w:line="288" w:lineRule="auto"/>
        <w:jc w:val="both"/>
        <w:rPr>
          <w:rFonts w:ascii="Arial" w:hAnsi="Arial" w:cs="Arial"/>
          <w:iCs/>
          <w:szCs w:val="24"/>
        </w:rPr>
      </w:pPr>
    </w:p>
    <w:p w14:paraId="71A52946" w14:textId="77777777" w:rsidR="000E717D" w:rsidRPr="000E717D" w:rsidRDefault="000E717D" w:rsidP="004865D5">
      <w:pPr>
        <w:spacing w:line="288" w:lineRule="auto"/>
        <w:jc w:val="both"/>
        <w:rPr>
          <w:rFonts w:ascii="Arial" w:hAnsi="Arial" w:cs="Arial"/>
          <w:szCs w:val="24"/>
          <w:lang w:val="es-CO"/>
        </w:rPr>
      </w:pPr>
      <w:r w:rsidRPr="000E717D">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0E717D">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0E717D">
        <w:rPr>
          <w:rFonts w:ascii="Arial" w:hAnsi="Arial" w:cs="Arial"/>
          <w:i/>
          <w:szCs w:val="24"/>
          <w:lang w:val="es-CO"/>
        </w:rPr>
        <w:t>que “p</w:t>
      </w:r>
      <w:r w:rsidRPr="000E717D">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0E717D">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682D4FF9" w14:textId="77777777" w:rsidR="000E717D" w:rsidRPr="000E717D" w:rsidRDefault="000E717D" w:rsidP="004865D5">
      <w:pPr>
        <w:spacing w:line="288" w:lineRule="auto"/>
        <w:ind w:left="426" w:right="476"/>
        <w:jc w:val="both"/>
        <w:rPr>
          <w:rFonts w:ascii="Arial" w:hAnsi="Arial" w:cs="Arial"/>
          <w:szCs w:val="24"/>
          <w:lang w:val="es-CO"/>
        </w:rPr>
      </w:pPr>
      <w:r w:rsidRPr="000E717D">
        <w:rPr>
          <w:rFonts w:ascii="Arial" w:hAnsi="Arial" w:cs="Arial"/>
          <w:szCs w:val="24"/>
          <w:lang w:val="es-CO"/>
        </w:rPr>
        <w:t xml:space="preserve"> </w:t>
      </w:r>
    </w:p>
    <w:p w14:paraId="2D61F2E0" w14:textId="77777777" w:rsidR="000E717D" w:rsidRPr="000E717D" w:rsidRDefault="000E717D" w:rsidP="004865D5">
      <w:pPr>
        <w:spacing w:line="288" w:lineRule="auto"/>
        <w:ind w:right="51"/>
        <w:jc w:val="both"/>
        <w:rPr>
          <w:rFonts w:ascii="Arial" w:hAnsi="Arial" w:cs="Arial"/>
          <w:b/>
          <w:iCs/>
          <w:szCs w:val="24"/>
        </w:rPr>
      </w:pPr>
      <w:r w:rsidRPr="000E717D">
        <w:rPr>
          <w:rFonts w:ascii="Arial" w:hAnsi="Arial" w:cs="Arial"/>
          <w:szCs w:val="24"/>
          <w:lang w:val="es-CO"/>
        </w:rPr>
        <w:t xml:space="preserve">Adicionalmente debe tenerse en cuenta que las personas que procedieron al traslado en la década de los años 90 y principios de la siguiente, </w:t>
      </w:r>
      <w:r w:rsidRPr="000E717D">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0E717D">
        <w:rPr>
          <w:rFonts w:ascii="Arial" w:hAnsi="Arial" w:cs="Arial"/>
          <w:szCs w:val="24"/>
          <w:lang w:val="es-CO"/>
        </w:rPr>
        <w:t>.</w:t>
      </w:r>
    </w:p>
    <w:p w14:paraId="21AF590A" w14:textId="77777777" w:rsidR="000E717D" w:rsidRPr="000E717D" w:rsidRDefault="000E717D" w:rsidP="004865D5">
      <w:pPr>
        <w:spacing w:line="288" w:lineRule="auto"/>
        <w:ind w:right="51"/>
        <w:jc w:val="both"/>
        <w:rPr>
          <w:rFonts w:ascii="Arial" w:hAnsi="Arial" w:cs="Arial"/>
          <w:b/>
          <w:iCs/>
          <w:szCs w:val="24"/>
        </w:rPr>
      </w:pPr>
    </w:p>
    <w:p w14:paraId="5EF78A0E" w14:textId="77777777" w:rsidR="000E717D" w:rsidRPr="000E717D" w:rsidRDefault="000E717D" w:rsidP="004865D5">
      <w:pPr>
        <w:suppressAutoHyphens/>
        <w:spacing w:line="288" w:lineRule="auto"/>
        <w:jc w:val="both"/>
        <w:rPr>
          <w:rFonts w:ascii="Arial" w:hAnsi="Arial" w:cs="Arial"/>
          <w:spacing w:val="-2"/>
          <w:szCs w:val="24"/>
        </w:rPr>
      </w:pPr>
    </w:p>
    <w:p w14:paraId="5978287B" w14:textId="2B759EE4" w:rsidR="000E717D" w:rsidRPr="000E717D" w:rsidRDefault="004360D3" w:rsidP="004865D5">
      <w:pPr>
        <w:numPr>
          <w:ilvl w:val="0"/>
          <w:numId w:val="12"/>
        </w:numPr>
        <w:suppressAutoHyphens/>
        <w:spacing w:after="200" w:line="288" w:lineRule="auto"/>
        <w:jc w:val="both"/>
        <w:rPr>
          <w:rFonts w:ascii="Arial" w:hAnsi="Arial" w:cs="Arial"/>
          <w:spacing w:val="-2"/>
          <w:szCs w:val="24"/>
        </w:rPr>
      </w:pPr>
      <w:r w:rsidRPr="000E717D">
        <w:rPr>
          <w:rFonts w:ascii="Arial" w:hAnsi="Arial" w:cs="Arial"/>
          <w:b/>
          <w:iCs/>
          <w:szCs w:val="24"/>
        </w:rPr>
        <w:t>RAZÓN</w:t>
      </w:r>
      <w:r w:rsidR="000E717D" w:rsidRPr="000E717D">
        <w:rPr>
          <w:rFonts w:ascii="Arial" w:hAnsi="Arial" w:cs="Arial"/>
          <w:b/>
          <w:iCs/>
          <w:szCs w:val="24"/>
        </w:rPr>
        <w:t xml:space="preserve"> DE SER DE LA LIMITACIÓN DE TRASLADO CUANDO FALTEN MENOS DE 10 AÑOS. SENTENCIA C-1024 DE 2004</w:t>
      </w:r>
    </w:p>
    <w:p w14:paraId="71B5D803" w14:textId="77777777" w:rsidR="000E717D" w:rsidRPr="000E717D" w:rsidRDefault="000E717D" w:rsidP="004865D5">
      <w:pPr>
        <w:spacing w:line="288" w:lineRule="auto"/>
        <w:ind w:right="51"/>
        <w:jc w:val="both"/>
        <w:rPr>
          <w:rFonts w:ascii="Arial" w:hAnsi="Arial" w:cs="Arial"/>
          <w:b/>
          <w:iCs/>
          <w:szCs w:val="24"/>
        </w:rPr>
      </w:pPr>
    </w:p>
    <w:p w14:paraId="682CE96B"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1E03914E" w14:textId="77777777" w:rsidR="000E717D" w:rsidRPr="000E717D" w:rsidRDefault="000E717D" w:rsidP="004865D5">
      <w:pPr>
        <w:spacing w:line="288" w:lineRule="auto"/>
        <w:ind w:right="51"/>
        <w:jc w:val="both"/>
        <w:rPr>
          <w:rFonts w:ascii="Arial" w:hAnsi="Arial" w:cs="Arial"/>
          <w:iCs/>
          <w:szCs w:val="24"/>
        </w:rPr>
      </w:pPr>
    </w:p>
    <w:p w14:paraId="09EA123D"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Al analizar esa limitación la Corte Constitucional fue clara en explicar que </w:t>
      </w:r>
      <w:r w:rsidRPr="000E717D">
        <w:rPr>
          <w:rFonts w:ascii="Arial" w:hAnsi="Arial" w:cs="Arial"/>
          <w:b/>
          <w:iCs/>
          <w:szCs w:val="24"/>
        </w:rPr>
        <w:t>para garantizar la sostenibilidad financiera del sistema de prima media</w:t>
      </w:r>
      <w:r w:rsidRPr="000E717D">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73CA6AC6" w14:textId="77777777" w:rsidR="000E717D" w:rsidRPr="000E717D" w:rsidRDefault="000E717D" w:rsidP="004865D5">
      <w:pPr>
        <w:spacing w:line="288" w:lineRule="auto"/>
        <w:ind w:right="51"/>
        <w:jc w:val="both"/>
        <w:rPr>
          <w:rFonts w:ascii="Arial" w:hAnsi="Arial" w:cs="Arial"/>
          <w:b/>
          <w:iCs/>
          <w:szCs w:val="24"/>
        </w:rPr>
      </w:pPr>
    </w:p>
    <w:p w14:paraId="56447E6A" w14:textId="77777777" w:rsidR="004360D3" w:rsidRPr="00BF0B47" w:rsidRDefault="004360D3" w:rsidP="004360D3">
      <w:pPr>
        <w:ind w:left="426" w:right="418"/>
        <w:jc w:val="both"/>
        <w:rPr>
          <w:rFonts w:ascii="Arial" w:hAnsi="Arial" w:cs="Arial"/>
          <w:iCs/>
          <w:sz w:val="22"/>
          <w:szCs w:val="24"/>
          <w:lang w:val="es-ES"/>
        </w:rPr>
      </w:pPr>
      <w:r w:rsidRPr="00BF0B47">
        <w:rPr>
          <w:rFonts w:ascii="Arial" w:hAnsi="Arial" w:cs="Arial"/>
          <w:iCs/>
          <w:sz w:val="22"/>
          <w:szCs w:val="24"/>
          <w:lang w:val="es-CO"/>
        </w:rPr>
        <w:t>“Desde esta perspectiva, el </w:t>
      </w:r>
      <w:r w:rsidRPr="00BF0B47">
        <w:rPr>
          <w:rFonts w:ascii="Arial" w:hAnsi="Arial" w:cs="Arial"/>
          <w:i/>
          <w:iCs/>
          <w:sz w:val="22"/>
          <w:szCs w:val="24"/>
          <w:lang w:val="es-CO"/>
        </w:rPr>
        <w:t>objetivo </w:t>
      </w:r>
      <w:r w:rsidRPr="00BF0B47">
        <w:rPr>
          <w:rFonts w:ascii="Arial" w:hAnsi="Arial" w:cs="Arial"/>
          <w:iCs/>
          <w:sz w:val="22"/>
          <w:szCs w:val="24"/>
          <w:lang w:val="es-CO"/>
        </w:rPr>
        <w:t xml:space="preserve">perseguido con el señalamiento del  período de carencia en la norma acusada, </w:t>
      </w:r>
      <w:r w:rsidRPr="00BF0B47">
        <w:rPr>
          <w:rFonts w:ascii="Arial" w:hAnsi="Arial" w:cs="Arial"/>
          <w:b/>
          <w:iCs/>
          <w:sz w:val="22"/>
          <w:szCs w:val="24"/>
          <w:lang w:val="es-CO"/>
        </w:rPr>
        <w:t>consiste en evitar la </w:t>
      </w:r>
      <w:r w:rsidRPr="00BF0B47">
        <w:rPr>
          <w:rFonts w:ascii="Arial" w:hAnsi="Arial" w:cs="Arial"/>
          <w:b/>
          <w:i/>
          <w:iCs/>
          <w:sz w:val="22"/>
          <w:szCs w:val="24"/>
          <w:lang w:val="es-CO"/>
        </w:rPr>
        <w:t>descapitalización</w:t>
      </w:r>
      <w:r w:rsidRPr="00BF0B47">
        <w:rPr>
          <w:rFonts w:ascii="Arial" w:hAnsi="Arial" w:cs="Arial"/>
          <w:b/>
          <w:iCs/>
          <w:sz w:val="22"/>
          <w:szCs w:val="24"/>
          <w:lang w:val="es-CO"/>
        </w:rPr>
        <w:t> del fondo común del Régimen Solidario de Prima Media con Prestación Definida</w:t>
      </w:r>
      <w:r w:rsidRPr="00BF0B47">
        <w:rPr>
          <w:rFonts w:ascii="Arial" w:hAnsi="Arial" w:cs="Arial"/>
          <w:iCs/>
          <w:sz w:val="22"/>
          <w:szCs w:val="24"/>
          <w:lang w:val="es-CO"/>
        </w:rPr>
        <w:t>, que se produciría si se permitiera que las personas que no han contribuido al </w:t>
      </w:r>
      <w:r w:rsidRPr="00BF0B47">
        <w:rPr>
          <w:rFonts w:ascii="Arial" w:hAnsi="Arial" w:cs="Arial"/>
          <w:i/>
          <w:iCs/>
          <w:sz w:val="22"/>
          <w:szCs w:val="24"/>
          <w:lang w:val="es-CO"/>
        </w:rPr>
        <w:t>fondo común</w:t>
      </w:r>
      <w:r w:rsidRPr="00BF0B47">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0B47">
        <w:rPr>
          <w:rFonts w:ascii="Arial" w:hAnsi="Arial" w:cs="Arial"/>
          <w:b/>
          <w:iCs/>
          <w:sz w:val="22"/>
          <w:szCs w:val="24"/>
          <w:lang w:val="es-CO"/>
        </w:rPr>
        <w:t>a poner en riesgo la garantía del derecho irrenunciable a la pensión del resto de cotizantes</w:t>
      </w:r>
      <w:r w:rsidRPr="00BF0B47">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0B47">
        <w:rPr>
          <w:rFonts w:ascii="Arial" w:hAnsi="Arial" w:cs="Arial"/>
          <w:b/>
          <w:iCs/>
          <w:sz w:val="22"/>
          <w:szCs w:val="24"/>
          <w:lang w:val="es-CO"/>
        </w:rPr>
        <w:t>podría llegar a poner en riesgo la garantía del derecho pensional para los actuales y futuros pensionados</w:t>
      </w:r>
      <w:r w:rsidRPr="00BF0B47">
        <w:rPr>
          <w:rFonts w:ascii="Arial" w:hAnsi="Arial" w:cs="Arial"/>
          <w:iCs/>
          <w:sz w:val="22"/>
          <w:szCs w:val="24"/>
          <w:lang w:val="es-CO"/>
        </w:rPr>
        <w:t>.</w:t>
      </w:r>
    </w:p>
    <w:p w14:paraId="1CB29335" w14:textId="77777777" w:rsidR="004360D3" w:rsidRPr="00BF0B47" w:rsidRDefault="004360D3" w:rsidP="004360D3">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09C624E9" w14:textId="77777777" w:rsidR="004360D3" w:rsidRPr="00BF0B47" w:rsidRDefault="004360D3" w:rsidP="004360D3">
      <w:pPr>
        <w:ind w:left="426" w:right="418"/>
        <w:jc w:val="both"/>
        <w:rPr>
          <w:rFonts w:ascii="Arial" w:hAnsi="Arial" w:cs="Arial"/>
          <w:iCs/>
          <w:sz w:val="22"/>
          <w:szCs w:val="24"/>
          <w:lang w:val="es-ES"/>
        </w:rPr>
      </w:pPr>
      <w:r w:rsidRPr="00BF0B47">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182AB28" w14:textId="77777777" w:rsidR="004360D3" w:rsidRPr="00BF0B47" w:rsidRDefault="004360D3" w:rsidP="004360D3">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5CECCCF6" w14:textId="77777777" w:rsidR="004360D3" w:rsidRPr="00BF0B47" w:rsidRDefault="004360D3" w:rsidP="004360D3">
      <w:pPr>
        <w:ind w:left="426" w:right="418"/>
        <w:jc w:val="both"/>
        <w:rPr>
          <w:rFonts w:ascii="Arial" w:hAnsi="Arial" w:cs="Arial"/>
          <w:b/>
          <w:iCs/>
          <w:sz w:val="22"/>
          <w:szCs w:val="24"/>
          <w:lang w:val="es-CO"/>
        </w:rPr>
      </w:pPr>
      <w:r w:rsidRPr="00BF0B47">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0B47">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0B47">
        <w:rPr>
          <w:rFonts w:ascii="Arial" w:hAnsi="Arial" w:cs="Arial"/>
          <w:iCs/>
          <w:sz w:val="22"/>
          <w:szCs w:val="24"/>
          <w:lang w:val="es-CO"/>
        </w:rPr>
        <w:t>, cuyo propósito consiste en: </w:t>
      </w:r>
      <w:r w:rsidRPr="00BF0B47">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0B47">
        <w:rPr>
          <w:rFonts w:ascii="Arial" w:hAnsi="Arial" w:cs="Arial"/>
          <w:iCs/>
          <w:sz w:val="22"/>
          <w:szCs w:val="24"/>
          <w:lang w:val="es-CO"/>
        </w:rPr>
        <w:t>.”</w:t>
      </w:r>
      <w:r w:rsidRPr="00BF0B47">
        <w:rPr>
          <w:rFonts w:ascii="Arial" w:hAnsi="Arial" w:cs="Arial"/>
          <w:b/>
          <w:iCs/>
          <w:sz w:val="22"/>
          <w:szCs w:val="24"/>
          <w:lang w:val="es-CO"/>
        </w:rPr>
        <w:t> </w:t>
      </w:r>
    </w:p>
    <w:p w14:paraId="037FD263" w14:textId="77777777" w:rsidR="004360D3" w:rsidRPr="00BF0B47" w:rsidRDefault="004360D3" w:rsidP="004360D3">
      <w:pPr>
        <w:ind w:left="426" w:right="418"/>
        <w:jc w:val="both"/>
        <w:rPr>
          <w:rFonts w:ascii="Arial" w:hAnsi="Arial" w:cs="Arial"/>
          <w:b/>
          <w:iCs/>
          <w:sz w:val="22"/>
          <w:szCs w:val="24"/>
          <w:lang w:val="es-CO"/>
        </w:rPr>
      </w:pPr>
    </w:p>
    <w:p w14:paraId="59B6CB59" w14:textId="77777777" w:rsidR="004360D3" w:rsidRPr="00BF0B47" w:rsidRDefault="004360D3" w:rsidP="004360D3">
      <w:pPr>
        <w:ind w:left="426" w:right="418"/>
        <w:jc w:val="both"/>
        <w:rPr>
          <w:rFonts w:ascii="Arial" w:hAnsi="Arial" w:cs="Arial"/>
          <w:iCs/>
          <w:sz w:val="22"/>
          <w:szCs w:val="24"/>
          <w:lang w:val="es-ES"/>
        </w:rPr>
      </w:pPr>
      <w:r w:rsidRPr="00BF0B47">
        <w:rPr>
          <w:rFonts w:ascii="Arial" w:hAnsi="Arial" w:cs="Arial"/>
          <w:iCs/>
          <w:sz w:val="22"/>
          <w:szCs w:val="24"/>
        </w:rPr>
        <w:t>Por otra parte, el período de permanencia previsto en la ley, de igual manera permite </w:t>
      </w:r>
      <w:r w:rsidRPr="00BF0B47">
        <w:rPr>
          <w:rFonts w:ascii="Arial" w:hAnsi="Arial" w:cs="Arial"/>
          <w:iCs/>
          <w:sz w:val="22"/>
          <w:szCs w:val="24"/>
          <w:lang w:val="es-ES"/>
        </w:rPr>
        <w:t>defender la </w:t>
      </w:r>
      <w:r w:rsidRPr="00BF0B47">
        <w:rPr>
          <w:rFonts w:ascii="Arial" w:hAnsi="Arial" w:cs="Arial"/>
          <w:i/>
          <w:iCs/>
          <w:sz w:val="22"/>
          <w:szCs w:val="24"/>
          <w:lang w:val="es-ES"/>
        </w:rPr>
        <w:t>equidad</w:t>
      </w:r>
      <w:r w:rsidRPr="00BF0B47">
        <w:rPr>
          <w:rFonts w:ascii="Arial" w:hAnsi="Arial" w:cs="Arial"/>
          <w:iCs/>
          <w:sz w:val="22"/>
          <w:szCs w:val="24"/>
          <w:lang w:val="es-ES"/>
        </w:rPr>
        <w:t xml:space="preserve">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w:t>
      </w:r>
      <w:r w:rsidRPr="00BF0B47">
        <w:rPr>
          <w:rFonts w:ascii="Arial" w:hAnsi="Arial" w:cs="Arial"/>
          <w:iCs/>
          <w:sz w:val="22"/>
          <w:szCs w:val="24"/>
          <w:lang w:val="es-ES"/>
        </w:rPr>
        <w:lastRenderedPageBreak/>
        <w:t>otros (C.P. preámbulo y art. 1°), o eventualmente, subsidiados a costa de los recursos ahorrados con fundamento en el aporte obligatorio que deben realizar los afiliados al Régimen de Ahorro Individual</w:t>
      </w:r>
      <w:bookmarkStart w:id="2" w:name="_ftnref7"/>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"_ftn7"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[7]</w:t>
      </w:r>
      <w:r w:rsidRPr="00BF0B47">
        <w:rPr>
          <w:rFonts w:ascii="Arial" w:hAnsi="Arial" w:cs="Arial"/>
          <w:iCs/>
          <w:sz w:val="22"/>
          <w:szCs w:val="24"/>
          <w:lang w:val="es-ES"/>
        </w:rPr>
        <w:fldChar w:fldCharType="end"/>
      </w:r>
      <w:bookmarkEnd w:id="2"/>
      <w:r w:rsidRPr="00BF0B47">
        <w:rPr>
          <w:rFonts w:ascii="Arial" w:hAnsi="Arial" w:cs="Arial"/>
          <w:iCs/>
          <w:sz w:val="22"/>
          <w:szCs w:val="24"/>
          <w:lang w:val="es-ES"/>
        </w:rPr>
        <w:t>, para garantizar el pago de la garantía de la pensión mínima de vejez cuando no alcanzan el monto de capitalización requerida</w:t>
      </w:r>
      <w:bookmarkStart w:id="3" w:name="_ftnref8"/>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"_ftn8"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[8]</w:t>
      </w:r>
      <w:r w:rsidRPr="00BF0B47">
        <w:rPr>
          <w:rFonts w:ascii="Arial" w:hAnsi="Arial" w:cs="Arial"/>
          <w:iCs/>
          <w:sz w:val="22"/>
          <w:szCs w:val="24"/>
          <w:lang w:val="es-ES"/>
        </w:rPr>
        <w:fldChar w:fldCharType="end"/>
      </w:r>
      <w:bookmarkEnd w:id="3"/>
      <w:r w:rsidRPr="00BF0B47">
        <w:rPr>
          <w:rFonts w:ascii="Arial" w:hAnsi="Arial" w:cs="Arial"/>
          <w:iCs/>
          <w:sz w:val="22"/>
          <w:szCs w:val="24"/>
          <w:lang w:val="es-ES"/>
        </w:rPr>
        <w:t>, poniendo en riesgo la cobertura universal del sistema para los ahorradores de cuentas individuales. </w:t>
      </w:r>
    </w:p>
    <w:p w14:paraId="54A3F5B0" w14:textId="77777777" w:rsidR="004360D3" w:rsidRPr="00BF0B47" w:rsidRDefault="004360D3" w:rsidP="004360D3">
      <w:pPr>
        <w:ind w:left="426" w:right="418"/>
        <w:jc w:val="both"/>
        <w:rPr>
          <w:rFonts w:ascii="Arial" w:hAnsi="Arial" w:cs="Arial"/>
          <w:iCs/>
          <w:sz w:val="22"/>
          <w:szCs w:val="24"/>
          <w:lang w:val="es-ES"/>
        </w:rPr>
      </w:pPr>
      <w:r w:rsidRPr="00BF0B47">
        <w:rPr>
          <w:rFonts w:ascii="Arial" w:hAnsi="Arial" w:cs="Arial"/>
          <w:iCs/>
          <w:sz w:val="22"/>
          <w:szCs w:val="24"/>
        </w:rPr>
        <w:t> </w:t>
      </w:r>
    </w:p>
    <w:p w14:paraId="31155168" w14:textId="77777777" w:rsidR="004360D3" w:rsidRPr="00BF0B47" w:rsidRDefault="004360D3" w:rsidP="004360D3">
      <w:pPr>
        <w:ind w:left="426" w:right="418"/>
        <w:jc w:val="both"/>
        <w:rPr>
          <w:rFonts w:ascii="Arial" w:hAnsi="Arial" w:cs="Arial"/>
          <w:iCs/>
          <w:sz w:val="22"/>
          <w:szCs w:val="24"/>
          <w:lang w:val="es-ES"/>
        </w:rPr>
      </w:pPr>
      <w:r w:rsidRPr="00BF0B47">
        <w:rPr>
          <w:rFonts w:ascii="Arial" w:hAnsi="Arial" w:cs="Arial"/>
          <w:iCs/>
          <w:sz w:val="22"/>
          <w:szCs w:val="24"/>
        </w:rPr>
        <w:t>La </w:t>
      </w:r>
      <w:r w:rsidRPr="00BF0B47">
        <w:rPr>
          <w:rFonts w:ascii="Arial" w:hAnsi="Arial" w:cs="Arial"/>
          <w:i/>
          <w:iCs/>
          <w:sz w:val="22"/>
          <w:szCs w:val="24"/>
        </w:rPr>
        <w:t>validez</w:t>
      </w:r>
      <w:r w:rsidRPr="00BF0B47">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14FAC4C5" w14:textId="77777777" w:rsidR="000E717D" w:rsidRPr="000E717D" w:rsidRDefault="000E717D" w:rsidP="004865D5">
      <w:pPr>
        <w:spacing w:line="288" w:lineRule="auto"/>
        <w:ind w:right="51"/>
        <w:jc w:val="both"/>
        <w:rPr>
          <w:rFonts w:ascii="Arial" w:hAnsi="Arial" w:cs="Arial"/>
          <w:b/>
          <w:iCs/>
          <w:szCs w:val="24"/>
        </w:rPr>
      </w:pPr>
    </w:p>
    <w:p w14:paraId="735B7402" w14:textId="77777777" w:rsidR="000E717D" w:rsidRPr="000E717D" w:rsidRDefault="000E717D" w:rsidP="004865D5">
      <w:pPr>
        <w:spacing w:line="288" w:lineRule="auto"/>
        <w:ind w:right="51"/>
        <w:jc w:val="both"/>
        <w:rPr>
          <w:rFonts w:ascii="Arial" w:hAnsi="Arial" w:cs="Arial"/>
          <w:b/>
          <w:iCs/>
          <w:szCs w:val="24"/>
          <w:lang w:val="es-CO"/>
        </w:rPr>
      </w:pPr>
      <w:r w:rsidRPr="000E717D">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E717D">
        <w:rPr>
          <w:rFonts w:ascii="Arial" w:hAnsi="Arial" w:cs="Arial"/>
          <w:b/>
          <w:iCs/>
          <w:szCs w:val="24"/>
          <w:lang w:val="es-CO"/>
        </w:rPr>
        <w:t>puede llegar a poner en riesgo la garantía del derecho pensional para los actuales y futuros pensionados que si lo hicieron.</w:t>
      </w:r>
    </w:p>
    <w:p w14:paraId="167E64A5" w14:textId="77777777" w:rsidR="000E717D" w:rsidRPr="000E717D" w:rsidRDefault="000E717D" w:rsidP="004865D5">
      <w:pPr>
        <w:spacing w:line="288" w:lineRule="auto"/>
        <w:ind w:right="51"/>
        <w:jc w:val="both"/>
        <w:rPr>
          <w:rFonts w:ascii="Arial" w:hAnsi="Arial" w:cs="Arial"/>
          <w:b/>
          <w:iCs/>
          <w:szCs w:val="24"/>
          <w:lang w:val="es-CO"/>
        </w:rPr>
      </w:pPr>
    </w:p>
    <w:p w14:paraId="09E7C16C" w14:textId="77777777" w:rsidR="000E717D" w:rsidRPr="000E717D" w:rsidRDefault="000E717D" w:rsidP="004865D5">
      <w:pPr>
        <w:spacing w:line="288" w:lineRule="auto"/>
        <w:ind w:right="51"/>
        <w:jc w:val="both"/>
        <w:rPr>
          <w:rFonts w:ascii="Arial" w:hAnsi="Arial" w:cs="Arial"/>
          <w:iCs/>
          <w:szCs w:val="24"/>
          <w:lang w:val="es-CO"/>
        </w:rPr>
      </w:pPr>
      <w:r w:rsidRPr="000E717D">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E717D">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1AF3F78C" w14:textId="77777777" w:rsidR="000E717D" w:rsidRPr="000E717D" w:rsidRDefault="000E717D" w:rsidP="004865D5">
      <w:pPr>
        <w:spacing w:line="288" w:lineRule="auto"/>
        <w:ind w:right="51"/>
        <w:jc w:val="both"/>
        <w:rPr>
          <w:rFonts w:ascii="Arial" w:hAnsi="Arial" w:cs="Arial"/>
          <w:iCs/>
          <w:szCs w:val="24"/>
        </w:rPr>
      </w:pPr>
    </w:p>
    <w:p w14:paraId="1C6C68E3"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06009AB2" w14:textId="77777777" w:rsidR="000E717D" w:rsidRPr="000E717D" w:rsidRDefault="000E717D" w:rsidP="004865D5">
      <w:pPr>
        <w:spacing w:line="288" w:lineRule="auto"/>
        <w:ind w:right="51"/>
        <w:jc w:val="both"/>
        <w:rPr>
          <w:rFonts w:ascii="Arial" w:hAnsi="Arial" w:cs="Arial"/>
          <w:iCs/>
          <w:szCs w:val="24"/>
        </w:rPr>
      </w:pPr>
    </w:p>
    <w:p w14:paraId="603B440D" w14:textId="19E0CEE9"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w:t>
      </w:r>
      <w:r w:rsidR="004360D3">
        <w:rPr>
          <w:rFonts w:ascii="Arial" w:hAnsi="Arial" w:cs="Arial"/>
          <w:spacing w:val="-2"/>
          <w:szCs w:val="24"/>
        </w:rPr>
        <w:t xml:space="preserve"> </w:t>
      </w:r>
      <w:r w:rsidRPr="000E717D">
        <w:rPr>
          <w:rFonts w:ascii="Arial" w:hAnsi="Arial" w:cs="Arial"/>
          <w:spacing w:val="-2"/>
          <w:szCs w:val="24"/>
        </w:rPr>
        <w:t>IMPOSIBILIDAD JURÍDICA DE IMPONER RESPONSABILIDAD A COLPENSIONES.</w:t>
      </w:r>
    </w:p>
    <w:p w14:paraId="5CAE9910" w14:textId="77777777" w:rsidR="000E717D" w:rsidRPr="000E717D" w:rsidRDefault="000E717D" w:rsidP="004865D5">
      <w:pPr>
        <w:suppressAutoHyphens/>
        <w:spacing w:line="288" w:lineRule="auto"/>
        <w:jc w:val="both"/>
        <w:rPr>
          <w:rFonts w:ascii="Arial" w:hAnsi="Arial" w:cs="Arial"/>
          <w:spacing w:val="-2"/>
          <w:szCs w:val="24"/>
        </w:rPr>
      </w:pPr>
    </w:p>
    <w:p w14:paraId="3132DBB2"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07231030" w14:textId="77777777" w:rsidR="000E717D" w:rsidRPr="000E717D" w:rsidRDefault="000E717D" w:rsidP="004865D5">
      <w:pPr>
        <w:suppressAutoHyphens/>
        <w:spacing w:line="288" w:lineRule="auto"/>
        <w:jc w:val="both"/>
        <w:rPr>
          <w:rFonts w:ascii="Arial" w:hAnsi="Arial" w:cs="Arial"/>
          <w:spacing w:val="-2"/>
          <w:szCs w:val="24"/>
        </w:rPr>
      </w:pPr>
    </w:p>
    <w:p w14:paraId="6730B0B7"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lastRenderedPageBreak/>
        <w:t>La ley 100 de 1993 creó una dualidad de sistemas pensionales y permitió el traslado de los afiliados entre ellos, de allí que COLPENSIONES no tenía dentro de sus posibilidades retener a los afiliados que desearan cambiarse al nuevo régimen creado.</w:t>
      </w:r>
    </w:p>
    <w:p w14:paraId="51F84DEC" w14:textId="77777777" w:rsidR="000E717D" w:rsidRPr="000E717D" w:rsidRDefault="000E717D" w:rsidP="004865D5">
      <w:pPr>
        <w:suppressAutoHyphens/>
        <w:spacing w:line="288" w:lineRule="auto"/>
        <w:jc w:val="both"/>
        <w:rPr>
          <w:rFonts w:ascii="Arial" w:hAnsi="Arial" w:cs="Arial"/>
          <w:spacing w:val="-2"/>
          <w:szCs w:val="24"/>
        </w:rPr>
      </w:pPr>
    </w:p>
    <w:p w14:paraId="3DD230B9"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La pregunta que deben hacerse los administradores de justicia frente a esta situación es:</w:t>
      </w:r>
    </w:p>
    <w:p w14:paraId="43A408D1" w14:textId="77777777" w:rsidR="000E717D" w:rsidRPr="000E717D" w:rsidRDefault="000E717D" w:rsidP="004865D5">
      <w:pPr>
        <w:suppressAutoHyphens/>
        <w:spacing w:line="288" w:lineRule="auto"/>
        <w:jc w:val="both"/>
        <w:rPr>
          <w:rFonts w:ascii="Arial" w:hAnsi="Arial" w:cs="Arial"/>
          <w:spacing w:val="-2"/>
          <w:szCs w:val="24"/>
        </w:rPr>
      </w:pPr>
    </w:p>
    <w:p w14:paraId="06F30B14" w14:textId="77777777" w:rsidR="000E717D" w:rsidRPr="000E717D" w:rsidRDefault="000E717D" w:rsidP="004865D5">
      <w:pPr>
        <w:suppressAutoHyphens/>
        <w:spacing w:line="288" w:lineRule="auto"/>
        <w:jc w:val="both"/>
        <w:rPr>
          <w:rFonts w:ascii="Arial" w:hAnsi="Arial" w:cs="Arial"/>
          <w:b/>
          <w:spacing w:val="-2"/>
          <w:szCs w:val="24"/>
        </w:rPr>
      </w:pPr>
      <w:r w:rsidRPr="000E717D">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34FCA6E1" w14:textId="77777777" w:rsidR="000E717D" w:rsidRPr="000E717D" w:rsidRDefault="000E717D" w:rsidP="004865D5">
      <w:pPr>
        <w:suppressAutoHyphens/>
        <w:spacing w:line="288" w:lineRule="auto"/>
        <w:jc w:val="both"/>
        <w:rPr>
          <w:rFonts w:ascii="Arial" w:hAnsi="Arial" w:cs="Arial"/>
          <w:b/>
          <w:spacing w:val="-2"/>
          <w:szCs w:val="24"/>
        </w:rPr>
      </w:pPr>
    </w:p>
    <w:p w14:paraId="5B9ACA72" w14:textId="77777777" w:rsidR="000E717D" w:rsidRPr="000E717D" w:rsidRDefault="000E717D" w:rsidP="004865D5">
      <w:pPr>
        <w:suppressAutoHyphens/>
        <w:spacing w:line="288" w:lineRule="auto"/>
        <w:jc w:val="both"/>
        <w:rPr>
          <w:rFonts w:ascii="Arial" w:hAnsi="Arial" w:cs="Arial"/>
          <w:b/>
          <w:spacing w:val="-2"/>
          <w:szCs w:val="24"/>
        </w:rPr>
      </w:pPr>
      <w:r w:rsidRPr="000E717D">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0E717D">
        <w:rPr>
          <w:rFonts w:ascii="Arial" w:hAnsi="Arial" w:cs="Arial"/>
          <w:b/>
          <w:spacing w:val="-2"/>
          <w:szCs w:val="24"/>
        </w:rPr>
        <w:t xml:space="preserve"> </w:t>
      </w:r>
    </w:p>
    <w:p w14:paraId="5C5566E8" w14:textId="77777777" w:rsidR="000E717D" w:rsidRPr="000E717D" w:rsidRDefault="000E717D" w:rsidP="004865D5">
      <w:pPr>
        <w:suppressAutoHyphens/>
        <w:spacing w:line="288" w:lineRule="auto"/>
        <w:jc w:val="both"/>
        <w:rPr>
          <w:rFonts w:ascii="Arial" w:hAnsi="Arial" w:cs="Arial"/>
          <w:b/>
          <w:spacing w:val="-2"/>
          <w:szCs w:val="24"/>
        </w:rPr>
      </w:pPr>
    </w:p>
    <w:p w14:paraId="5359B6E9"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De allí que, desde el principio esa pretensión esté llamada al fracaso porque se está imponiendo una carga económica a Colpensiones que no debe asumir.</w:t>
      </w:r>
    </w:p>
    <w:p w14:paraId="33CAE050" w14:textId="77777777" w:rsidR="000E717D" w:rsidRPr="000E717D" w:rsidRDefault="000E717D" w:rsidP="004865D5">
      <w:pPr>
        <w:suppressAutoHyphens/>
        <w:spacing w:line="288" w:lineRule="auto"/>
        <w:jc w:val="both"/>
        <w:rPr>
          <w:rFonts w:ascii="Arial" w:hAnsi="Arial" w:cs="Arial"/>
          <w:spacing w:val="-2"/>
          <w:szCs w:val="24"/>
        </w:rPr>
      </w:pPr>
    </w:p>
    <w:p w14:paraId="090C2479" w14:textId="77777777" w:rsidR="000E717D" w:rsidRPr="000E717D" w:rsidRDefault="000E717D" w:rsidP="004865D5">
      <w:pPr>
        <w:suppressAutoHyphens/>
        <w:spacing w:line="288" w:lineRule="auto"/>
        <w:jc w:val="both"/>
        <w:rPr>
          <w:rFonts w:ascii="Arial" w:hAnsi="Arial" w:cs="Arial"/>
          <w:spacing w:val="-2"/>
          <w:szCs w:val="24"/>
        </w:rPr>
      </w:pPr>
      <w:r w:rsidRPr="000E717D">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0E717D">
        <w:rPr>
          <w:rFonts w:ascii="Arial" w:hAnsi="Arial" w:cs="Arial"/>
          <w:b/>
          <w:spacing w:val="-2"/>
          <w:szCs w:val="24"/>
        </w:rPr>
        <w:t>pero a cargo de quien se lo causó</w:t>
      </w:r>
      <w:r w:rsidRPr="000E717D">
        <w:rPr>
          <w:rFonts w:ascii="Arial" w:hAnsi="Arial" w:cs="Arial"/>
          <w:spacing w:val="-2"/>
          <w:szCs w:val="24"/>
        </w:rPr>
        <w:t>, esto es la AFP, más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31DFED68" w14:textId="77777777" w:rsidR="000E717D" w:rsidRPr="000E717D" w:rsidRDefault="000E717D" w:rsidP="004865D5">
      <w:pPr>
        <w:suppressAutoHyphens/>
        <w:spacing w:line="288" w:lineRule="auto"/>
        <w:jc w:val="both"/>
        <w:rPr>
          <w:rFonts w:ascii="Arial" w:hAnsi="Arial" w:cs="Arial"/>
          <w:spacing w:val="-2"/>
          <w:szCs w:val="24"/>
        </w:rPr>
      </w:pPr>
    </w:p>
    <w:p w14:paraId="76A37224" w14:textId="77777777" w:rsidR="000E717D" w:rsidRPr="000E717D" w:rsidRDefault="000E717D" w:rsidP="004865D5">
      <w:pPr>
        <w:numPr>
          <w:ilvl w:val="0"/>
          <w:numId w:val="12"/>
        </w:numPr>
        <w:spacing w:after="200" w:line="288" w:lineRule="auto"/>
        <w:ind w:right="51"/>
        <w:jc w:val="both"/>
        <w:rPr>
          <w:rFonts w:ascii="Arial" w:hAnsi="Arial" w:cs="Arial"/>
          <w:b/>
          <w:iCs/>
          <w:szCs w:val="24"/>
        </w:rPr>
      </w:pPr>
      <w:r w:rsidRPr="000E717D">
        <w:rPr>
          <w:rFonts w:ascii="Arial" w:hAnsi="Arial" w:cs="Arial"/>
          <w:b/>
          <w:spacing w:val="-2"/>
          <w:szCs w:val="24"/>
        </w:rPr>
        <w:t>LOS ACTOS JURÍDICOS Y SU VALIDEZ</w:t>
      </w:r>
    </w:p>
    <w:p w14:paraId="775EB43A" w14:textId="77777777" w:rsidR="000E717D" w:rsidRPr="000E717D" w:rsidRDefault="000E717D" w:rsidP="004865D5">
      <w:pPr>
        <w:spacing w:line="288" w:lineRule="auto"/>
        <w:ind w:right="51"/>
        <w:jc w:val="both"/>
        <w:rPr>
          <w:rFonts w:ascii="Arial" w:hAnsi="Arial" w:cs="Arial"/>
          <w:b/>
          <w:iCs/>
          <w:szCs w:val="24"/>
        </w:rPr>
      </w:pPr>
    </w:p>
    <w:p w14:paraId="07351DAB"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1BBFE1B2" w14:textId="77777777" w:rsidR="000E717D" w:rsidRPr="000E717D" w:rsidRDefault="000E717D" w:rsidP="004865D5">
      <w:pPr>
        <w:spacing w:line="288" w:lineRule="auto"/>
        <w:ind w:right="51"/>
        <w:jc w:val="both"/>
        <w:rPr>
          <w:rFonts w:ascii="Arial" w:hAnsi="Arial" w:cs="Arial"/>
          <w:iCs/>
          <w:szCs w:val="24"/>
        </w:rPr>
      </w:pPr>
    </w:p>
    <w:p w14:paraId="2B422276"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2330D692" w14:textId="77777777" w:rsidR="000E717D" w:rsidRPr="000E717D" w:rsidRDefault="000E717D" w:rsidP="004865D5">
      <w:pPr>
        <w:spacing w:line="288" w:lineRule="auto"/>
        <w:ind w:right="51"/>
        <w:jc w:val="both"/>
        <w:rPr>
          <w:rFonts w:ascii="Arial" w:hAnsi="Arial" w:cs="Arial"/>
          <w:iCs/>
          <w:szCs w:val="24"/>
        </w:rPr>
      </w:pPr>
    </w:p>
    <w:p w14:paraId="23A46061"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 xml:space="preserve">Por ello, a pesar de lo afirmado por la Sala de Casación Laboral en las sentencias inicialmente citadas, me es imposible variar mi criterio consistente en que la afiliación </w:t>
      </w:r>
      <w:r w:rsidRPr="000E717D">
        <w:rPr>
          <w:rFonts w:ascii="Arial" w:hAnsi="Arial" w:cs="Arial"/>
          <w:iCs/>
          <w:szCs w:val="24"/>
        </w:rPr>
        <w:lastRenderedPageBreak/>
        <w:t>y traslado entre regímenes son actos jurídicos, sujetos para su validez a las reglamentaciones del derecho civil.</w:t>
      </w:r>
    </w:p>
    <w:p w14:paraId="74122BB2" w14:textId="77777777" w:rsidR="000E717D" w:rsidRPr="000E717D" w:rsidRDefault="000E717D" w:rsidP="004865D5">
      <w:pPr>
        <w:spacing w:line="288" w:lineRule="auto"/>
        <w:ind w:right="51"/>
        <w:jc w:val="both"/>
        <w:rPr>
          <w:rFonts w:ascii="Arial" w:hAnsi="Arial" w:cs="Arial"/>
          <w:iCs/>
          <w:szCs w:val="24"/>
        </w:rPr>
      </w:pPr>
    </w:p>
    <w:p w14:paraId="78235049"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En este sentido resultan pertinentes los siguientes comentarios:</w:t>
      </w:r>
    </w:p>
    <w:p w14:paraId="7DCBEDD6" w14:textId="77777777" w:rsidR="000E717D" w:rsidRPr="000E717D" w:rsidRDefault="000E717D" w:rsidP="004865D5">
      <w:pPr>
        <w:spacing w:line="288" w:lineRule="auto"/>
        <w:ind w:right="51"/>
        <w:jc w:val="both"/>
        <w:rPr>
          <w:rFonts w:ascii="Arial" w:hAnsi="Arial" w:cs="Arial"/>
          <w:iCs/>
          <w:szCs w:val="24"/>
        </w:rPr>
      </w:pPr>
    </w:p>
    <w:p w14:paraId="13702B8C" w14:textId="77777777" w:rsidR="000E717D" w:rsidRPr="000E717D" w:rsidRDefault="000E717D" w:rsidP="004865D5">
      <w:pPr>
        <w:spacing w:line="288" w:lineRule="auto"/>
        <w:ind w:right="51"/>
        <w:jc w:val="both"/>
        <w:rPr>
          <w:rFonts w:ascii="Arial" w:hAnsi="Arial" w:cs="Arial"/>
          <w:iCs/>
          <w:szCs w:val="24"/>
        </w:rPr>
      </w:pPr>
      <w:r w:rsidRPr="000E717D">
        <w:rPr>
          <w:rFonts w:ascii="Arial" w:hAnsi="Arial" w:cs="Arial"/>
          <w:iCs/>
          <w:szCs w:val="24"/>
        </w:rPr>
        <w:t>-NULIDAD DE LOS ACTOS JURÍDICOS Y OPORTUNIDAD PARA ALEGARLA.</w:t>
      </w:r>
    </w:p>
    <w:p w14:paraId="514356A0" w14:textId="77777777" w:rsidR="000E717D" w:rsidRPr="000E717D" w:rsidRDefault="000E717D" w:rsidP="004865D5">
      <w:pPr>
        <w:spacing w:line="288" w:lineRule="auto"/>
        <w:ind w:right="51"/>
        <w:jc w:val="both"/>
        <w:rPr>
          <w:rFonts w:ascii="Arial" w:hAnsi="Arial" w:cs="Arial"/>
          <w:b/>
          <w:iCs/>
          <w:szCs w:val="24"/>
        </w:rPr>
      </w:pPr>
    </w:p>
    <w:p w14:paraId="1F5F1DE1" w14:textId="77777777" w:rsidR="000E717D" w:rsidRPr="000E717D" w:rsidRDefault="000E717D" w:rsidP="004865D5">
      <w:pPr>
        <w:spacing w:line="288" w:lineRule="auto"/>
        <w:jc w:val="both"/>
        <w:rPr>
          <w:rFonts w:ascii="Arial" w:hAnsi="Arial" w:cs="Arial"/>
          <w:bCs/>
          <w:iCs/>
          <w:szCs w:val="24"/>
        </w:rPr>
      </w:pPr>
      <w:r w:rsidRPr="000E717D">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0E717D">
        <w:rPr>
          <w:rFonts w:ascii="Arial" w:hAnsi="Arial" w:cs="Arial"/>
          <w:b/>
          <w:bCs/>
          <w:iCs/>
          <w:szCs w:val="24"/>
        </w:rPr>
        <w:t>beneficios del régimen de transición que se perdían con el traslado de régimen</w:t>
      </w:r>
      <w:r w:rsidRPr="000E717D">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1F0A0DD8" w14:textId="77777777" w:rsidR="000E717D" w:rsidRPr="000E717D" w:rsidRDefault="000E717D" w:rsidP="004865D5">
      <w:pPr>
        <w:spacing w:line="288" w:lineRule="auto"/>
        <w:jc w:val="both"/>
        <w:rPr>
          <w:rFonts w:ascii="Arial" w:hAnsi="Arial" w:cs="Arial"/>
          <w:bCs/>
          <w:iCs/>
          <w:szCs w:val="24"/>
        </w:rPr>
      </w:pPr>
    </w:p>
    <w:p w14:paraId="0B8E76BA" w14:textId="77777777" w:rsidR="004360D3" w:rsidRPr="00BF0B47" w:rsidRDefault="004360D3" w:rsidP="004360D3">
      <w:pPr>
        <w:ind w:left="426" w:right="476"/>
        <w:jc w:val="both"/>
        <w:rPr>
          <w:rFonts w:ascii="Arial" w:eastAsia="Calibri" w:hAnsi="Arial" w:cs="Arial"/>
          <w:iCs/>
          <w:sz w:val="22"/>
          <w:szCs w:val="24"/>
          <w:lang w:val="es-CO" w:eastAsia="en-US"/>
        </w:rPr>
      </w:pPr>
      <w:r w:rsidRPr="00BF0B47">
        <w:rPr>
          <w:rFonts w:ascii="Arial" w:eastAsia="Calibri" w:hAnsi="Arial" w:cs="Arial"/>
          <w:iCs/>
          <w:sz w:val="22"/>
          <w:szCs w:val="24"/>
          <w:lang w:val="es-CO" w:eastAsia="en-US"/>
        </w:rPr>
        <w:t>“</w:t>
      </w:r>
      <w:r w:rsidRPr="00BF0B47">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BF0B47">
        <w:rPr>
          <w:rFonts w:ascii="Arial" w:eastAsia="Calibri" w:hAnsi="Arial" w:cs="Arial"/>
          <w:iCs/>
          <w:sz w:val="22"/>
          <w:szCs w:val="24"/>
          <w:lang w:val="es-CO" w:eastAsia="en-US"/>
        </w:rPr>
        <w:t>”.</w:t>
      </w:r>
    </w:p>
    <w:p w14:paraId="280C5DAA" w14:textId="77777777" w:rsidR="000E717D" w:rsidRPr="000E717D" w:rsidRDefault="000E717D" w:rsidP="004865D5">
      <w:pPr>
        <w:spacing w:line="288" w:lineRule="auto"/>
        <w:jc w:val="both"/>
        <w:rPr>
          <w:rFonts w:ascii="Arial" w:eastAsia="Calibri" w:hAnsi="Arial" w:cs="Arial"/>
          <w:iCs/>
          <w:szCs w:val="24"/>
          <w:lang w:val="es-CO" w:eastAsia="en-US"/>
        </w:rPr>
      </w:pPr>
    </w:p>
    <w:p w14:paraId="7D721E04" w14:textId="77777777" w:rsidR="000E717D" w:rsidRPr="000E717D" w:rsidRDefault="000E717D" w:rsidP="004865D5">
      <w:pPr>
        <w:spacing w:line="288" w:lineRule="auto"/>
        <w:jc w:val="both"/>
        <w:rPr>
          <w:rFonts w:ascii="Arial" w:hAnsi="Arial" w:cs="Arial"/>
          <w:bCs/>
          <w:iCs/>
          <w:szCs w:val="24"/>
        </w:rPr>
      </w:pPr>
      <w:r w:rsidRPr="000E717D">
        <w:rPr>
          <w:rFonts w:ascii="Arial" w:hAnsi="Arial" w:cs="Arial"/>
          <w:bCs/>
          <w:iCs/>
          <w:szCs w:val="24"/>
        </w:rPr>
        <w:t>En otras palabras, “</w:t>
      </w:r>
      <w:r w:rsidRPr="000E717D">
        <w:rPr>
          <w:rFonts w:ascii="Arial" w:hAnsi="Arial" w:cs="Arial"/>
          <w:b/>
          <w:bCs/>
          <w:i/>
          <w:iCs/>
          <w:szCs w:val="24"/>
        </w:rPr>
        <w:t xml:space="preserve">las reglas jurídicas generales” </w:t>
      </w:r>
      <w:r w:rsidRPr="000E717D">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0E717D">
        <w:rPr>
          <w:rFonts w:ascii="Arial" w:hAnsi="Arial" w:cs="Arial"/>
          <w:b/>
          <w:bCs/>
          <w:i/>
          <w:iCs/>
          <w:szCs w:val="24"/>
        </w:rPr>
        <w:t>“afectación de la voluntad”</w:t>
      </w:r>
      <w:r w:rsidRPr="000E717D">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1DF688CD" w14:textId="77777777" w:rsidR="000E717D" w:rsidRPr="000E717D" w:rsidRDefault="000E717D" w:rsidP="004865D5">
      <w:pPr>
        <w:spacing w:line="288" w:lineRule="auto"/>
        <w:jc w:val="both"/>
        <w:rPr>
          <w:rFonts w:ascii="Arial" w:hAnsi="Arial" w:cs="Arial"/>
          <w:bCs/>
          <w:iCs/>
          <w:szCs w:val="24"/>
        </w:rPr>
      </w:pPr>
    </w:p>
    <w:p w14:paraId="15EAD201" w14:textId="77777777" w:rsidR="000E717D" w:rsidRPr="000E717D" w:rsidRDefault="000E717D" w:rsidP="004865D5">
      <w:pPr>
        <w:spacing w:line="288" w:lineRule="auto"/>
        <w:jc w:val="both"/>
        <w:rPr>
          <w:rFonts w:ascii="Arial" w:hAnsi="Arial" w:cs="Arial"/>
          <w:bCs/>
          <w:iCs/>
          <w:szCs w:val="24"/>
        </w:rPr>
      </w:pPr>
      <w:r w:rsidRPr="000E717D">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6C87264F" w14:textId="77777777" w:rsidR="000E717D" w:rsidRPr="000E717D" w:rsidRDefault="000E717D" w:rsidP="004865D5">
      <w:pPr>
        <w:spacing w:line="288" w:lineRule="auto"/>
        <w:jc w:val="both"/>
        <w:rPr>
          <w:rFonts w:ascii="Arial" w:hAnsi="Arial" w:cs="Arial"/>
          <w:bCs/>
          <w:iCs/>
          <w:szCs w:val="24"/>
        </w:rPr>
      </w:pPr>
    </w:p>
    <w:p w14:paraId="17D59C83" w14:textId="77777777" w:rsidR="000E717D" w:rsidRPr="000E717D" w:rsidRDefault="000E717D" w:rsidP="004865D5">
      <w:pPr>
        <w:spacing w:line="288" w:lineRule="auto"/>
        <w:jc w:val="both"/>
        <w:rPr>
          <w:rFonts w:ascii="Arial" w:hAnsi="Arial" w:cs="Arial"/>
          <w:bCs/>
          <w:iCs/>
          <w:szCs w:val="24"/>
        </w:rPr>
      </w:pPr>
      <w:r w:rsidRPr="000E717D">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78E21225" w14:textId="77777777" w:rsidR="000E717D" w:rsidRPr="000E717D" w:rsidRDefault="000E717D" w:rsidP="004865D5">
      <w:pPr>
        <w:spacing w:line="288" w:lineRule="auto"/>
        <w:jc w:val="both"/>
        <w:rPr>
          <w:rFonts w:ascii="Arial" w:hAnsi="Arial" w:cs="Arial"/>
          <w:bCs/>
          <w:iCs/>
          <w:szCs w:val="24"/>
        </w:rPr>
      </w:pPr>
    </w:p>
    <w:p w14:paraId="13DF1D5D" w14:textId="77777777" w:rsidR="000E717D" w:rsidRPr="000E717D" w:rsidRDefault="000E717D" w:rsidP="004865D5">
      <w:pPr>
        <w:spacing w:line="288" w:lineRule="auto"/>
        <w:jc w:val="both"/>
        <w:rPr>
          <w:rFonts w:ascii="Arial" w:hAnsi="Arial" w:cs="Arial"/>
          <w:bCs/>
          <w:szCs w:val="24"/>
        </w:rPr>
      </w:pPr>
      <w:r w:rsidRPr="000E717D">
        <w:rPr>
          <w:rFonts w:ascii="Arial" w:hAnsi="Arial" w:cs="Arial"/>
          <w:bCs/>
          <w:szCs w:val="24"/>
        </w:rPr>
        <w:t xml:space="preserve">De otro lado el artículo 1743 </w:t>
      </w:r>
      <w:r w:rsidRPr="000E717D">
        <w:rPr>
          <w:rFonts w:ascii="Arial" w:hAnsi="Arial" w:cs="Arial"/>
          <w:bCs/>
          <w:i/>
          <w:iCs/>
          <w:szCs w:val="24"/>
        </w:rPr>
        <w:t xml:space="preserve">ibídem </w:t>
      </w:r>
      <w:r w:rsidRPr="000E717D">
        <w:rPr>
          <w:rFonts w:ascii="Arial" w:hAnsi="Arial" w:cs="Arial"/>
          <w:bCs/>
          <w:szCs w:val="24"/>
        </w:rPr>
        <w:t>dispone que la nulidad relativa se sanea por el paso del tiempo o por ratificación de las partes.</w:t>
      </w:r>
    </w:p>
    <w:p w14:paraId="71763F71" w14:textId="77777777" w:rsidR="000E717D" w:rsidRPr="000E717D" w:rsidRDefault="000E717D" w:rsidP="004865D5">
      <w:pPr>
        <w:spacing w:line="288" w:lineRule="auto"/>
        <w:jc w:val="both"/>
        <w:rPr>
          <w:rFonts w:ascii="Arial" w:hAnsi="Arial" w:cs="Arial"/>
          <w:bCs/>
          <w:szCs w:val="24"/>
        </w:rPr>
      </w:pPr>
    </w:p>
    <w:p w14:paraId="606CB6E7" w14:textId="77777777" w:rsidR="000E717D" w:rsidRPr="000E717D" w:rsidRDefault="000E717D" w:rsidP="004865D5">
      <w:pPr>
        <w:spacing w:line="288" w:lineRule="auto"/>
        <w:jc w:val="both"/>
        <w:rPr>
          <w:rFonts w:ascii="Arial" w:hAnsi="Arial" w:cs="Arial"/>
          <w:bCs/>
          <w:szCs w:val="24"/>
        </w:rPr>
      </w:pPr>
      <w:r w:rsidRPr="000E717D">
        <w:rPr>
          <w:rFonts w:ascii="Arial" w:hAnsi="Arial" w:cs="Arial"/>
          <w:bCs/>
          <w:szCs w:val="24"/>
        </w:rPr>
        <w:t xml:space="preserve">Respecto a este último aspecto debe resaltarse que se conoce pero no se comparte la posición de la Sala de Casación Laboral en una de sus salas de descongestión de </w:t>
      </w:r>
      <w:r w:rsidRPr="000E717D">
        <w:rPr>
          <w:rFonts w:ascii="Arial" w:hAnsi="Arial" w:cs="Arial"/>
          <w:bCs/>
          <w:szCs w:val="24"/>
        </w:rPr>
        <w:lastRenderedPageBreak/>
        <w:t>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45B1A8A4" w14:textId="77777777" w:rsidR="000E717D" w:rsidRPr="000E717D" w:rsidRDefault="000E717D" w:rsidP="004865D5">
      <w:pPr>
        <w:spacing w:line="288" w:lineRule="auto"/>
        <w:jc w:val="both"/>
        <w:rPr>
          <w:rFonts w:ascii="Arial" w:hAnsi="Arial" w:cs="Arial"/>
          <w:bCs/>
          <w:szCs w:val="24"/>
        </w:rPr>
      </w:pPr>
    </w:p>
    <w:p w14:paraId="4B9F648F" w14:textId="77777777" w:rsidR="000E717D" w:rsidRPr="000E717D" w:rsidRDefault="000E717D" w:rsidP="004865D5">
      <w:pPr>
        <w:numPr>
          <w:ilvl w:val="0"/>
          <w:numId w:val="13"/>
        </w:numPr>
        <w:spacing w:after="200" w:line="288" w:lineRule="auto"/>
        <w:jc w:val="both"/>
        <w:rPr>
          <w:rFonts w:ascii="Arial" w:hAnsi="Arial" w:cs="Arial"/>
          <w:bCs/>
          <w:szCs w:val="24"/>
        </w:rPr>
      </w:pPr>
      <w:r w:rsidRPr="000E717D">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0E717D">
        <w:rPr>
          <w:rFonts w:ascii="Arial" w:hAnsi="Arial" w:cs="Arial"/>
          <w:b/>
          <w:bCs/>
          <w:szCs w:val="24"/>
        </w:rPr>
        <w:t xml:space="preserve">extinción de ningún derecho por el transcurso del tiempo (Prescripción). </w:t>
      </w:r>
      <w:r w:rsidRPr="000E717D">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3CE198A4" w14:textId="77777777" w:rsidR="000E717D" w:rsidRPr="000E717D" w:rsidRDefault="000E717D" w:rsidP="004865D5">
      <w:pPr>
        <w:numPr>
          <w:ilvl w:val="0"/>
          <w:numId w:val="13"/>
        </w:numPr>
        <w:spacing w:after="200" w:line="288" w:lineRule="auto"/>
        <w:jc w:val="both"/>
        <w:rPr>
          <w:rFonts w:ascii="Arial" w:hAnsi="Arial" w:cs="Arial"/>
          <w:bCs/>
          <w:szCs w:val="24"/>
        </w:rPr>
      </w:pPr>
      <w:r w:rsidRPr="000E717D">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35A9AB7D" w14:textId="77777777" w:rsidR="000E717D" w:rsidRPr="000E717D" w:rsidRDefault="000E717D" w:rsidP="004865D5">
      <w:pPr>
        <w:spacing w:line="288" w:lineRule="auto"/>
        <w:jc w:val="both"/>
        <w:rPr>
          <w:rFonts w:ascii="Arial" w:hAnsi="Arial" w:cs="Arial"/>
          <w:bCs/>
          <w:szCs w:val="24"/>
        </w:rPr>
      </w:pPr>
    </w:p>
    <w:p w14:paraId="4924A111" w14:textId="77777777" w:rsidR="000E717D" w:rsidRPr="000E717D" w:rsidRDefault="000E717D" w:rsidP="004865D5">
      <w:pPr>
        <w:spacing w:line="288" w:lineRule="auto"/>
        <w:jc w:val="both"/>
        <w:rPr>
          <w:rFonts w:ascii="Arial" w:hAnsi="Arial" w:cs="Arial"/>
          <w:bCs/>
          <w:szCs w:val="24"/>
        </w:rPr>
      </w:pPr>
      <w:r w:rsidRPr="000E717D">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1D43EE08" w14:textId="77777777" w:rsidR="000E717D" w:rsidRPr="000E717D" w:rsidRDefault="000E717D" w:rsidP="004865D5">
      <w:pPr>
        <w:spacing w:line="288" w:lineRule="auto"/>
        <w:jc w:val="both"/>
        <w:rPr>
          <w:rFonts w:ascii="Arial" w:hAnsi="Arial" w:cs="Arial"/>
          <w:bCs/>
          <w:szCs w:val="24"/>
        </w:rPr>
      </w:pPr>
    </w:p>
    <w:p w14:paraId="520F6F1D" w14:textId="77777777" w:rsidR="000E717D" w:rsidRPr="000E717D" w:rsidRDefault="000E717D" w:rsidP="004865D5">
      <w:pPr>
        <w:spacing w:line="288" w:lineRule="auto"/>
        <w:jc w:val="both"/>
        <w:rPr>
          <w:rFonts w:ascii="Arial" w:hAnsi="Arial" w:cs="Arial"/>
          <w:b/>
          <w:bCs/>
          <w:szCs w:val="24"/>
        </w:rPr>
      </w:pPr>
      <w:r w:rsidRPr="000E717D">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35268CF1" w14:textId="77777777" w:rsidR="000E717D" w:rsidRPr="000E717D" w:rsidRDefault="000E717D" w:rsidP="004865D5">
      <w:pPr>
        <w:spacing w:line="288" w:lineRule="auto"/>
        <w:jc w:val="both"/>
        <w:rPr>
          <w:rFonts w:ascii="Arial" w:hAnsi="Arial" w:cs="Arial"/>
          <w:bCs/>
          <w:szCs w:val="24"/>
        </w:rPr>
      </w:pPr>
    </w:p>
    <w:p w14:paraId="22F9D87D" w14:textId="77777777" w:rsidR="000E717D" w:rsidRPr="000E717D" w:rsidRDefault="000E717D" w:rsidP="004865D5">
      <w:pPr>
        <w:spacing w:line="288" w:lineRule="auto"/>
        <w:jc w:val="both"/>
        <w:rPr>
          <w:rFonts w:ascii="Arial" w:hAnsi="Arial" w:cs="Arial"/>
          <w:bCs/>
          <w:szCs w:val="24"/>
        </w:rPr>
      </w:pPr>
      <w:r w:rsidRPr="000E717D">
        <w:rPr>
          <w:rFonts w:ascii="Arial" w:hAnsi="Arial" w:cs="Arial"/>
          <w:bCs/>
          <w:szCs w:val="24"/>
        </w:rPr>
        <w:lastRenderedPageBreak/>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65F2EC34" w14:textId="77777777" w:rsidR="000E717D" w:rsidRPr="000E717D" w:rsidRDefault="000E717D" w:rsidP="004865D5">
      <w:pPr>
        <w:spacing w:line="288" w:lineRule="auto"/>
        <w:ind w:right="51"/>
        <w:jc w:val="both"/>
        <w:rPr>
          <w:rFonts w:ascii="Arial" w:hAnsi="Arial" w:cs="Arial"/>
          <w:b/>
          <w:iCs/>
          <w:szCs w:val="24"/>
        </w:rPr>
      </w:pPr>
    </w:p>
    <w:p w14:paraId="335C7AF5" w14:textId="06852454" w:rsidR="000E717D" w:rsidRPr="000E717D" w:rsidRDefault="000E717D" w:rsidP="004865D5">
      <w:pPr>
        <w:spacing w:line="288" w:lineRule="auto"/>
        <w:ind w:right="284"/>
        <w:jc w:val="both"/>
        <w:rPr>
          <w:rFonts w:ascii="Arial" w:hAnsi="Arial" w:cs="Arial"/>
          <w:szCs w:val="24"/>
          <w:lang w:val="es-CO"/>
        </w:rPr>
      </w:pPr>
      <w:r w:rsidRPr="000E717D">
        <w:rPr>
          <w:rFonts w:ascii="Arial" w:hAnsi="Arial" w:cs="Arial"/>
          <w:szCs w:val="24"/>
          <w:lang w:val="es-CO"/>
        </w:rPr>
        <w:t>-</w:t>
      </w:r>
      <w:r w:rsidR="004360D3">
        <w:rPr>
          <w:rFonts w:ascii="Arial" w:hAnsi="Arial" w:cs="Arial"/>
          <w:szCs w:val="24"/>
          <w:lang w:val="es-CO"/>
        </w:rPr>
        <w:t xml:space="preserve"> </w:t>
      </w:r>
      <w:r w:rsidRPr="000E717D">
        <w:rPr>
          <w:rFonts w:ascii="Arial" w:hAnsi="Arial" w:cs="Arial"/>
          <w:szCs w:val="24"/>
          <w:lang w:val="es-CO"/>
        </w:rPr>
        <w:t>IMPORTANCIA DE LA DIFERENCIACIÓN ENTRE LOS CASOS DE INEFICACIA Y LOS CASOS DE NULIDAD</w:t>
      </w:r>
    </w:p>
    <w:p w14:paraId="7DE5CA57" w14:textId="77777777" w:rsidR="000E717D" w:rsidRPr="000E717D" w:rsidRDefault="000E717D" w:rsidP="004865D5">
      <w:pPr>
        <w:spacing w:line="288" w:lineRule="auto"/>
        <w:ind w:right="284"/>
        <w:jc w:val="both"/>
        <w:rPr>
          <w:rFonts w:ascii="Arial" w:hAnsi="Arial" w:cs="Arial"/>
          <w:szCs w:val="24"/>
          <w:lang w:val="es-CO"/>
        </w:rPr>
      </w:pPr>
    </w:p>
    <w:p w14:paraId="7390546D" w14:textId="77777777" w:rsidR="000E717D" w:rsidRPr="000E717D" w:rsidRDefault="000E717D" w:rsidP="004865D5">
      <w:pPr>
        <w:spacing w:line="288" w:lineRule="auto"/>
        <w:ind w:right="284"/>
        <w:jc w:val="both"/>
        <w:rPr>
          <w:rFonts w:ascii="Arial" w:hAnsi="Arial" w:cs="Arial"/>
          <w:szCs w:val="24"/>
          <w:lang w:val="es-CO"/>
        </w:rPr>
      </w:pPr>
      <w:r w:rsidRPr="000E717D">
        <w:rPr>
          <w:rFonts w:ascii="Arial" w:hAnsi="Arial" w:cs="Arial"/>
          <w:szCs w:val="24"/>
          <w:lang w:val="es-CO"/>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0303DE4D" w14:textId="77777777" w:rsidR="000E717D" w:rsidRPr="000E717D" w:rsidRDefault="000E717D" w:rsidP="004865D5">
      <w:pPr>
        <w:tabs>
          <w:tab w:val="left" w:pos="7020"/>
        </w:tabs>
        <w:spacing w:line="288" w:lineRule="auto"/>
        <w:jc w:val="both"/>
        <w:rPr>
          <w:rFonts w:ascii="Arial" w:hAnsi="Arial" w:cs="Arial"/>
          <w:szCs w:val="24"/>
          <w:lang w:val="es-CO" w:eastAsia="x-none"/>
        </w:rPr>
      </w:pPr>
    </w:p>
    <w:p w14:paraId="4673D776" w14:textId="77777777" w:rsidR="000E717D" w:rsidRPr="000E717D" w:rsidRDefault="000E717D" w:rsidP="004865D5">
      <w:pPr>
        <w:widowControl w:val="0"/>
        <w:autoSpaceDE w:val="0"/>
        <w:autoSpaceDN w:val="0"/>
        <w:adjustRightInd w:val="0"/>
        <w:spacing w:after="200" w:line="288" w:lineRule="auto"/>
        <w:jc w:val="both"/>
        <w:rPr>
          <w:rFonts w:ascii="Arial" w:eastAsia="Calibri" w:hAnsi="Arial" w:cs="Arial"/>
          <w:b/>
          <w:szCs w:val="24"/>
          <w:lang w:val="es-CO" w:eastAsia="en-US"/>
        </w:rPr>
      </w:pPr>
      <w:r w:rsidRPr="000E717D">
        <w:rPr>
          <w:rFonts w:ascii="Arial" w:eastAsia="Calibri" w:hAnsi="Arial" w:cs="Arial"/>
          <w:b/>
          <w:szCs w:val="24"/>
          <w:lang w:val="es-CO" w:eastAsia="en-US"/>
        </w:rPr>
        <w:t>EL CASO CONCRETO DE LA ACCIONANTE</w:t>
      </w:r>
    </w:p>
    <w:p w14:paraId="651D9924" w14:textId="77777777" w:rsidR="000E717D" w:rsidRPr="000E717D" w:rsidRDefault="000E717D" w:rsidP="004865D5">
      <w:pPr>
        <w:spacing w:line="288" w:lineRule="auto"/>
        <w:jc w:val="both"/>
        <w:rPr>
          <w:rFonts w:ascii="Arial" w:hAnsi="Arial" w:cs="Arial"/>
          <w:iCs/>
          <w:szCs w:val="24"/>
        </w:rPr>
      </w:pPr>
      <w:r w:rsidRPr="000E717D">
        <w:rPr>
          <w:rFonts w:ascii="Arial" w:hAnsi="Arial" w:cs="Arial"/>
          <w:iCs/>
          <w:szCs w:val="24"/>
        </w:rPr>
        <w:t xml:space="preserve">Como viene de verse existen varias razones que por </w:t>
      </w:r>
      <w:proofErr w:type="spellStart"/>
      <w:r w:rsidRPr="000E717D">
        <w:rPr>
          <w:rFonts w:ascii="Arial" w:hAnsi="Arial" w:cs="Arial"/>
          <w:iCs/>
          <w:szCs w:val="24"/>
        </w:rPr>
        <w:t>si</w:t>
      </w:r>
      <w:proofErr w:type="spellEnd"/>
      <w:r w:rsidRPr="000E717D">
        <w:rPr>
          <w:rFonts w:ascii="Arial" w:hAnsi="Arial" w:cs="Arial"/>
          <w:iCs/>
          <w:szCs w:val="24"/>
        </w:rPr>
        <w:t xml:space="preserve"> solas o en conjunto impiden acceder a las pretensiones de la actora:</w:t>
      </w:r>
    </w:p>
    <w:p w14:paraId="3B88F1AA" w14:textId="77777777" w:rsidR="000E717D" w:rsidRPr="000E717D" w:rsidRDefault="000E717D" w:rsidP="004865D5">
      <w:pPr>
        <w:spacing w:line="288" w:lineRule="auto"/>
        <w:jc w:val="both"/>
        <w:rPr>
          <w:rFonts w:ascii="Arial" w:hAnsi="Arial" w:cs="Arial"/>
          <w:iCs/>
          <w:szCs w:val="24"/>
        </w:rPr>
      </w:pPr>
    </w:p>
    <w:p w14:paraId="0FABDCB4" w14:textId="77777777" w:rsidR="000E717D" w:rsidRPr="000E717D" w:rsidRDefault="000E717D" w:rsidP="004865D5">
      <w:pPr>
        <w:spacing w:line="288" w:lineRule="auto"/>
        <w:jc w:val="both"/>
        <w:rPr>
          <w:rFonts w:ascii="Arial" w:hAnsi="Arial" w:cs="Arial"/>
          <w:iCs/>
          <w:szCs w:val="24"/>
        </w:rPr>
      </w:pPr>
      <w:r w:rsidRPr="000E717D">
        <w:rPr>
          <w:rFonts w:ascii="Arial" w:hAnsi="Arial" w:cs="Arial"/>
          <w:iCs/>
          <w:szCs w:val="24"/>
        </w:rPr>
        <w:t xml:space="preserve">Primera: Como se desprende de las consideraciones, no configuran ineficacia del traslado los actos mediante los cuales la Administradora de Pensiones y Cesantías </w:t>
      </w:r>
      <w:proofErr w:type="spellStart"/>
      <w:r w:rsidRPr="000E717D">
        <w:rPr>
          <w:rFonts w:ascii="Arial" w:hAnsi="Arial" w:cs="Arial"/>
          <w:iCs/>
          <w:szCs w:val="24"/>
        </w:rPr>
        <w:t>Colfondos</w:t>
      </w:r>
      <w:proofErr w:type="spellEnd"/>
      <w:r w:rsidRPr="000E717D">
        <w:rPr>
          <w:rFonts w:ascii="Arial" w:hAnsi="Arial" w:cs="Arial"/>
          <w:iCs/>
          <w:szCs w:val="24"/>
        </w:rPr>
        <w:t xml:space="preserve">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14:paraId="4F3EA5FA" w14:textId="77777777" w:rsidR="000E717D" w:rsidRPr="000E717D" w:rsidRDefault="000E717D" w:rsidP="004865D5">
      <w:pPr>
        <w:spacing w:line="288" w:lineRule="auto"/>
        <w:jc w:val="both"/>
        <w:rPr>
          <w:rFonts w:ascii="Arial" w:hAnsi="Arial" w:cs="Arial"/>
          <w:iCs/>
          <w:szCs w:val="24"/>
        </w:rPr>
      </w:pPr>
    </w:p>
    <w:p w14:paraId="317257B1" w14:textId="77777777" w:rsidR="000E717D" w:rsidRPr="000E717D" w:rsidRDefault="000E717D" w:rsidP="004865D5">
      <w:pPr>
        <w:spacing w:line="288" w:lineRule="auto"/>
        <w:jc w:val="both"/>
        <w:rPr>
          <w:rFonts w:ascii="Arial" w:hAnsi="Arial" w:cs="Arial"/>
          <w:iCs/>
          <w:szCs w:val="24"/>
        </w:rPr>
      </w:pPr>
      <w:r w:rsidRPr="000E717D">
        <w:rPr>
          <w:rFonts w:ascii="Arial" w:hAnsi="Arial" w:cs="Arial"/>
          <w:iCs/>
          <w:szCs w:val="24"/>
        </w:rPr>
        <w:t xml:space="preserve">Así, siendo el acto de afiliación y/o traslado del actor, una de aquellas actividades que normalmente desarrollan el objeto social de la demandada y por tanto, no dándose los presupuestos para aplicar la sanción de ineficacia prevista en el artículo 271 de la ley </w:t>
      </w:r>
      <w:r w:rsidRPr="000E717D">
        <w:rPr>
          <w:rFonts w:ascii="Arial" w:hAnsi="Arial" w:cs="Arial"/>
          <w:iCs/>
          <w:szCs w:val="24"/>
        </w:rPr>
        <w:lastRenderedPageBreak/>
        <w:t xml:space="preserve">100 de 1993, las irregularidades en que se haya podido incurrir en el acto jurídico del 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14:paraId="0A9ADC0C" w14:textId="77777777" w:rsidR="000E717D" w:rsidRPr="000E717D" w:rsidRDefault="000E717D" w:rsidP="004865D5">
      <w:pPr>
        <w:spacing w:line="288" w:lineRule="auto"/>
        <w:jc w:val="both"/>
        <w:rPr>
          <w:rFonts w:ascii="Arial" w:hAnsi="Arial" w:cs="Arial"/>
          <w:iCs/>
          <w:szCs w:val="24"/>
        </w:rPr>
      </w:pPr>
    </w:p>
    <w:p w14:paraId="71F87B6B" w14:textId="77777777" w:rsidR="000E717D" w:rsidRPr="000E717D" w:rsidRDefault="000E717D" w:rsidP="004865D5">
      <w:pPr>
        <w:spacing w:line="288" w:lineRule="auto"/>
        <w:jc w:val="both"/>
        <w:rPr>
          <w:rFonts w:ascii="Arial" w:hAnsi="Arial" w:cs="Arial"/>
          <w:iCs/>
          <w:szCs w:val="24"/>
        </w:rPr>
      </w:pPr>
      <w:r w:rsidRPr="000E717D">
        <w:rPr>
          <w:rFonts w:ascii="Arial" w:hAnsi="Arial" w:cs="Arial"/>
          <w:iCs/>
          <w:szCs w:val="24"/>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existe una diferencia entre los valores pensionales que recibirá en uno u otro régimen, a pesar de que el dinero con que cuenta es el mismo. Situación que genera el cuestionamiento jurídico a tal aspiración en cuanto, si Colpensiones no tuvo injerencia en el traslado de la actora a la AFP privada, ni pudo impedirlo, ¿Qué figura jurídica la hace responsable del pago de un monto pensional que no tiene soporte financiero? En otro giro ¿Qué norma o principio jurídico le impone la carga de indemnizar un perjuicio que no ocasionó?</w:t>
      </w:r>
    </w:p>
    <w:p w14:paraId="64A3A783" w14:textId="77777777" w:rsidR="000E717D" w:rsidRPr="000E717D" w:rsidRDefault="000E717D" w:rsidP="004865D5">
      <w:pPr>
        <w:spacing w:line="288" w:lineRule="auto"/>
        <w:jc w:val="both"/>
        <w:rPr>
          <w:rFonts w:ascii="Arial" w:hAnsi="Arial" w:cs="Arial"/>
          <w:iCs/>
          <w:szCs w:val="24"/>
        </w:rPr>
      </w:pPr>
    </w:p>
    <w:p w14:paraId="755E3F4D" w14:textId="77777777" w:rsidR="000E717D" w:rsidRPr="000E717D" w:rsidRDefault="000E717D" w:rsidP="004865D5">
      <w:pPr>
        <w:spacing w:line="288" w:lineRule="auto"/>
        <w:jc w:val="both"/>
        <w:rPr>
          <w:rFonts w:ascii="Arial" w:hAnsi="Arial" w:cs="Arial"/>
          <w:iCs/>
          <w:szCs w:val="24"/>
        </w:rPr>
      </w:pPr>
      <w:r w:rsidRPr="000E717D">
        <w:rPr>
          <w:rFonts w:ascii="Arial" w:hAnsi="Arial" w:cs="Arial"/>
          <w:iCs/>
          <w:szCs w:val="24"/>
        </w:rPr>
        <w:t>Es que sin duda, nadie está obligado a resarcir un perjuicio que no ha causado, de allí que si la actora consideraba que el traslado le generó un perjuicio, la pretensión debió ser dirigida a que la persona que supuestamente le causó el daño –Protección S.A. y/o Porvenir S.A. Pensiones y cesantías.- fueran quienes tuvieran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14:paraId="3BAF70B2" w14:textId="77777777" w:rsidR="000E717D" w:rsidRPr="000E717D" w:rsidRDefault="000E717D" w:rsidP="004865D5">
      <w:pPr>
        <w:spacing w:line="288" w:lineRule="auto"/>
        <w:jc w:val="both"/>
        <w:rPr>
          <w:rFonts w:ascii="Arial" w:hAnsi="Arial" w:cs="Arial"/>
          <w:iCs/>
          <w:szCs w:val="24"/>
        </w:rPr>
      </w:pPr>
    </w:p>
    <w:p w14:paraId="54834317" w14:textId="77777777" w:rsidR="000E717D" w:rsidRPr="000E717D" w:rsidRDefault="000E717D" w:rsidP="004865D5">
      <w:pPr>
        <w:spacing w:line="288" w:lineRule="auto"/>
        <w:jc w:val="both"/>
        <w:rPr>
          <w:rFonts w:ascii="Arial" w:hAnsi="Arial" w:cs="Arial"/>
          <w:iCs/>
          <w:szCs w:val="24"/>
        </w:rPr>
      </w:pPr>
      <w:r w:rsidRPr="000E717D">
        <w:rPr>
          <w:rFonts w:ascii="Arial" w:hAnsi="Arial" w:cs="Arial"/>
          <w:iCs/>
          <w:szCs w:val="24"/>
        </w:rPr>
        <w:t xml:space="preserve">Tercera: Como no se trata de una acción de ineficacia y corresponde el análisis de la nulidad del acto jurídico del traslado la carga de la prueba la tendría la actora quien ninguna prueba aportó sobre los posibles hechos que hubieran generado un vicio en su consentimiento. Por el contrario, la única prueba sobre la afiliación, que obra en el expediente, es el formulario de traslado, en el que, en texto </w:t>
      </w:r>
      <w:proofErr w:type="spellStart"/>
      <w:r w:rsidRPr="000E717D">
        <w:rPr>
          <w:rFonts w:ascii="Arial" w:hAnsi="Arial" w:cs="Arial"/>
          <w:iCs/>
          <w:szCs w:val="24"/>
        </w:rPr>
        <w:t>preimpreso</w:t>
      </w:r>
      <w:proofErr w:type="spellEnd"/>
      <w:r w:rsidRPr="000E717D">
        <w:rPr>
          <w:rFonts w:ascii="Arial" w:hAnsi="Arial" w:cs="Arial"/>
          <w:iCs/>
          <w:szCs w:val="24"/>
        </w:rPr>
        <w:t xml:space="preserve">,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14:paraId="4AB1AECF" w14:textId="77777777" w:rsidR="000E717D" w:rsidRPr="000E717D" w:rsidRDefault="000E717D" w:rsidP="004865D5">
      <w:pPr>
        <w:spacing w:line="288" w:lineRule="auto"/>
        <w:jc w:val="both"/>
        <w:rPr>
          <w:rFonts w:ascii="Arial" w:hAnsi="Arial" w:cs="Arial"/>
          <w:iCs/>
          <w:szCs w:val="24"/>
        </w:rPr>
      </w:pPr>
    </w:p>
    <w:p w14:paraId="1D8C12CB" w14:textId="77777777" w:rsidR="000E717D" w:rsidRPr="000E717D" w:rsidRDefault="000E717D" w:rsidP="004865D5">
      <w:pPr>
        <w:spacing w:line="288" w:lineRule="auto"/>
        <w:jc w:val="both"/>
        <w:rPr>
          <w:rFonts w:ascii="Arial" w:hAnsi="Arial" w:cs="Arial"/>
          <w:iCs/>
          <w:szCs w:val="24"/>
        </w:rPr>
      </w:pPr>
      <w:r w:rsidRPr="000E717D">
        <w:rPr>
          <w:rFonts w:ascii="Arial" w:hAnsi="Arial" w:cs="Arial"/>
          <w:iCs/>
          <w:szCs w:val="24"/>
        </w:rPr>
        <w:t xml:space="preserve">Mención especial merece en este punto lo dicho en sentido contrario por la Sala de Casación Laboral sobre que la suscripción del formulario no prueba que se haya dado la información. Afirmación de la que se disiente por dos razones: </w:t>
      </w:r>
    </w:p>
    <w:p w14:paraId="21B9B630" w14:textId="77777777" w:rsidR="000E717D" w:rsidRPr="000E717D" w:rsidRDefault="000E717D" w:rsidP="004865D5">
      <w:pPr>
        <w:spacing w:line="288" w:lineRule="auto"/>
        <w:jc w:val="both"/>
        <w:rPr>
          <w:rFonts w:ascii="Arial" w:hAnsi="Arial" w:cs="Arial"/>
          <w:iCs/>
          <w:szCs w:val="24"/>
        </w:rPr>
      </w:pPr>
    </w:p>
    <w:p w14:paraId="6C8F0B01" w14:textId="77777777" w:rsidR="000E717D" w:rsidRPr="000E717D" w:rsidRDefault="000E717D" w:rsidP="004865D5">
      <w:pPr>
        <w:spacing w:line="288" w:lineRule="auto"/>
        <w:ind w:left="708"/>
        <w:jc w:val="both"/>
        <w:rPr>
          <w:rFonts w:ascii="Arial" w:hAnsi="Arial" w:cs="Arial"/>
          <w:iCs/>
          <w:szCs w:val="24"/>
        </w:rPr>
      </w:pPr>
      <w:r w:rsidRPr="000E717D">
        <w:rPr>
          <w:rFonts w:ascii="Arial" w:hAnsi="Arial" w:cs="Arial"/>
          <w:iCs/>
          <w:szCs w:val="24"/>
        </w:rPr>
        <w:t xml:space="preserve">Primera: Según nuestro sistema toda persona es capaz y puede obligarse válidamente mientras no se declare su interdicción o se demuestre fehacientemente que realizó actos en un manifiesto estado de enajenación. De </w:t>
      </w:r>
      <w:r w:rsidRPr="000E717D">
        <w:rPr>
          <w:rFonts w:ascii="Arial" w:hAnsi="Arial" w:cs="Arial"/>
          <w:iCs/>
          <w:szCs w:val="24"/>
        </w:rPr>
        <w:lastRenderedPageBreak/>
        <w:t>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14:paraId="46A60EB6" w14:textId="77777777" w:rsidR="000E717D" w:rsidRPr="000E717D" w:rsidRDefault="000E717D" w:rsidP="004865D5">
      <w:pPr>
        <w:spacing w:line="288" w:lineRule="auto"/>
        <w:ind w:left="708"/>
        <w:jc w:val="both"/>
        <w:rPr>
          <w:rFonts w:ascii="Arial" w:hAnsi="Arial" w:cs="Arial"/>
          <w:iCs/>
          <w:szCs w:val="24"/>
        </w:rPr>
      </w:pPr>
    </w:p>
    <w:p w14:paraId="6B8F44F1" w14:textId="77777777" w:rsidR="000E717D" w:rsidRPr="000E717D" w:rsidRDefault="000E717D" w:rsidP="004865D5">
      <w:pPr>
        <w:spacing w:line="288" w:lineRule="auto"/>
        <w:ind w:left="708"/>
        <w:jc w:val="both"/>
        <w:rPr>
          <w:rFonts w:ascii="Arial" w:hAnsi="Arial" w:cs="Arial"/>
          <w:iCs/>
          <w:szCs w:val="24"/>
        </w:rPr>
      </w:pPr>
      <w:r w:rsidRPr="000E717D">
        <w:rPr>
          <w:rFonts w:ascii="Arial" w:hAnsi="Arial" w:cs="Arial"/>
          <w:iCs/>
          <w:szCs w:val="24"/>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14:paraId="7254AFCF" w14:textId="77777777" w:rsidR="000E717D" w:rsidRPr="000E717D" w:rsidRDefault="000E717D" w:rsidP="004865D5">
      <w:pPr>
        <w:spacing w:line="288" w:lineRule="auto"/>
        <w:jc w:val="both"/>
        <w:rPr>
          <w:rFonts w:ascii="Arial" w:hAnsi="Arial" w:cs="Arial"/>
          <w:iCs/>
          <w:szCs w:val="24"/>
        </w:rPr>
      </w:pPr>
    </w:p>
    <w:p w14:paraId="35E98585" w14:textId="77777777" w:rsidR="000E717D" w:rsidRPr="000E717D" w:rsidRDefault="000E717D" w:rsidP="004865D5">
      <w:pPr>
        <w:widowControl w:val="0"/>
        <w:autoSpaceDE w:val="0"/>
        <w:autoSpaceDN w:val="0"/>
        <w:adjustRightInd w:val="0"/>
        <w:spacing w:after="200" w:line="288" w:lineRule="auto"/>
        <w:jc w:val="both"/>
        <w:rPr>
          <w:rFonts w:ascii="Arial" w:eastAsia="Calibri" w:hAnsi="Arial" w:cs="Arial"/>
          <w:szCs w:val="24"/>
          <w:lang w:val="es-CO" w:eastAsia="en-US"/>
        </w:rPr>
      </w:pPr>
      <w:r w:rsidRPr="000E717D">
        <w:rPr>
          <w:rFonts w:ascii="Arial" w:hAnsi="Arial" w:cs="Arial"/>
          <w:szCs w:val="24"/>
          <w:lang w:val="es-CO"/>
        </w:rPr>
        <w:t>Así las cosas, por los sólidos argumentos de la sentencia que acompaño y las razones acá explicadas, no habiéndose probado los supuestos de hecho que permitirían declarar la ineficacia o por lo menos la nulidad del acto jurídico del traslado, correspondía, como en efecto se hizo, confirmar en su integridad la sentencia recurrida.</w:t>
      </w:r>
    </w:p>
    <w:p w14:paraId="5AB419C1" w14:textId="77777777" w:rsidR="000E717D" w:rsidRPr="000E717D" w:rsidRDefault="000E717D" w:rsidP="004865D5">
      <w:pPr>
        <w:widowControl w:val="0"/>
        <w:autoSpaceDE w:val="0"/>
        <w:autoSpaceDN w:val="0"/>
        <w:adjustRightInd w:val="0"/>
        <w:spacing w:after="200" w:line="288" w:lineRule="auto"/>
        <w:jc w:val="both"/>
        <w:rPr>
          <w:rFonts w:ascii="Arial" w:eastAsia="Calibri" w:hAnsi="Arial" w:cs="Arial"/>
          <w:szCs w:val="24"/>
          <w:lang w:val="es-CO" w:eastAsia="en-US"/>
        </w:rPr>
      </w:pPr>
      <w:r w:rsidRPr="000E717D">
        <w:rPr>
          <w:rFonts w:ascii="Arial" w:eastAsia="Calibri" w:hAnsi="Arial" w:cs="Arial"/>
          <w:szCs w:val="24"/>
          <w:lang w:val="es-CO" w:eastAsia="en-US"/>
        </w:rPr>
        <w:t>Dejo así aclarado mi voto,</w:t>
      </w:r>
    </w:p>
    <w:p w14:paraId="4A4CE42B" w14:textId="77777777" w:rsidR="000E717D" w:rsidRPr="000E717D" w:rsidRDefault="000E717D" w:rsidP="004865D5">
      <w:pPr>
        <w:widowControl w:val="0"/>
        <w:autoSpaceDE w:val="0"/>
        <w:autoSpaceDN w:val="0"/>
        <w:adjustRightInd w:val="0"/>
        <w:spacing w:after="200" w:line="288" w:lineRule="auto"/>
        <w:jc w:val="both"/>
        <w:rPr>
          <w:rFonts w:ascii="Arial" w:eastAsia="Calibri" w:hAnsi="Arial" w:cs="Arial"/>
          <w:szCs w:val="24"/>
          <w:lang w:val="es-CO" w:eastAsia="en-US"/>
        </w:rPr>
      </w:pPr>
    </w:p>
    <w:p w14:paraId="02DA2469" w14:textId="77777777" w:rsidR="000E717D" w:rsidRPr="000E717D" w:rsidRDefault="000E717D" w:rsidP="004865D5">
      <w:pPr>
        <w:widowControl w:val="0"/>
        <w:autoSpaceDE w:val="0"/>
        <w:autoSpaceDN w:val="0"/>
        <w:adjustRightInd w:val="0"/>
        <w:spacing w:after="200" w:line="288" w:lineRule="auto"/>
        <w:jc w:val="both"/>
        <w:rPr>
          <w:rFonts w:ascii="Arial" w:eastAsia="Calibri" w:hAnsi="Arial" w:cs="Arial"/>
          <w:szCs w:val="24"/>
          <w:lang w:val="es-CO" w:eastAsia="en-US"/>
        </w:rPr>
      </w:pPr>
    </w:p>
    <w:p w14:paraId="05B37B02" w14:textId="77777777" w:rsidR="000E717D" w:rsidRPr="000E717D" w:rsidRDefault="000E717D" w:rsidP="004865D5">
      <w:pPr>
        <w:widowControl w:val="0"/>
        <w:autoSpaceDE w:val="0"/>
        <w:autoSpaceDN w:val="0"/>
        <w:adjustRightInd w:val="0"/>
        <w:spacing w:line="288" w:lineRule="auto"/>
        <w:jc w:val="center"/>
        <w:rPr>
          <w:rFonts w:ascii="Arial" w:eastAsia="Calibri" w:hAnsi="Arial" w:cs="Arial"/>
          <w:b/>
          <w:szCs w:val="24"/>
          <w:lang w:val="es-CO" w:eastAsia="en-US"/>
        </w:rPr>
      </w:pPr>
      <w:r w:rsidRPr="000E717D">
        <w:rPr>
          <w:rFonts w:ascii="Arial" w:eastAsia="Calibri" w:hAnsi="Arial" w:cs="Arial"/>
          <w:b/>
          <w:szCs w:val="24"/>
          <w:lang w:val="es-CO" w:eastAsia="en-US"/>
        </w:rPr>
        <w:t>JULIO CÉSAR SALAZAR MUÑOZ</w:t>
      </w:r>
    </w:p>
    <w:p w14:paraId="0085E9FC" w14:textId="1CF2CD49" w:rsidR="00891A05" w:rsidRPr="004865D5" w:rsidRDefault="000E717D" w:rsidP="004865D5">
      <w:pPr>
        <w:widowControl w:val="0"/>
        <w:autoSpaceDE w:val="0"/>
        <w:autoSpaceDN w:val="0"/>
        <w:adjustRightInd w:val="0"/>
        <w:spacing w:line="288" w:lineRule="auto"/>
        <w:jc w:val="center"/>
        <w:rPr>
          <w:rFonts w:ascii="Arial" w:eastAsia="Calibri" w:hAnsi="Arial" w:cs="Arial"/>
          <w:szCs w:val="24"/>
          <w:lang w:val="es-CO" w:eastAsia="en-US"/>
        </w:rPr>
      </w:pPr>
      <w:r w:rsidRPr="000E717D">
        <w:rPr>
          <w:rFonts w:ascii="Arial" w:eastAsia="Calibri" w:hAnsi="Arial" w:cs="Arial"/>
          <w:szCs w:val="24"/>
          <w:lang w:val="es-CO" w:eastAsia="en-US"/>
        </w:rPr>
        <w:t>Magistrado</w:t>
      </w:r>
    </w:p>
    <w:sectPr w:rsidR="00891A05" w:rsidRPr="004865D5" w:rsidSect="00361C8C">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1F51D" w14:textId="77777777" w:rsidR="00DF3BD3" w:rsidRDefault="00DF3BD3" w:rsidP="00AD05E0">
      <w:r>
        <w:separator/>
      </w:r>
    </w:p>
  </w:endnote>
  <w:endnote w:type="continuationSeparator" w:id="0">
    <w:p w14:paraId="7DC0BB8B" w14:textId="77777777" w:rsidR="00DF3BD3" w:rsidRDefault="00DF3BD3"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3DA26212" w14:textId="77777777" w:rsidR="00A61145" w:rsidRPr="008C7C05" w:rsidRDefault="00A61145">
        <w:pPr>
          <w:pStyle w:val="Piedepgina"/>
          <w:jc w:val="right"/>
          <w:rPr>
            <w:rFonts w:ascii="Arial" w:hAnsi="Arial" w:cs="Arial"/>
            <w:sz w:val="18"/>
          </w:rPr>
        </w:pPr>
        <w:r w:rsidRPr="008C7C05">
          <w:rPr>
            <w:rFonts w:ascii="Arial" w:hAnsi="Arial" w:cs="Arial"/>
            <w:sz w:val="18"/>
          </w:rPr>
          <w:fldChar w:fldCharType="begin"/>
        </w:r>
        <w:r w:rsidRPr="008C7C05">
          <w:rPr>
            <w:rFonts w:ascii="Arial" w:hAnsi="Arial" w:cs="Arial"/>
            <w:sz w:val="18"/>
          </w:rPr>
          <w:instrText>PAGE   \* MERGEFORMAT</w:instrText>
        </w:r>
        <w:r w:rsidRPr="008C7C05">
          <w:rPr>
            <w:rFonts w:ascii="Arial" w:hAnsi="Arial" w:cs="Arial"/>
            <w:sz w:val="18"/>
          </w:rPr>
          <w:fldChar w:fldCharType="separate"/>
        </w:r>
        <w:r w:rsidR="00913E66" w:rsidRPr="00913E66">
          <w:rPr>
            <w:rFonts w:ascii="Arial" w:hAnsi="Arial" w:cs="Arial"/>
            <w:noProof/>
            <w:sz w:val="18"/>
            <w:lang w:val="es-ES"/>
          </w:rPr>
          <w:t>21</w:t>
        </w:r>
        <w:r w:rsidRPr="008C7C05">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F9577" w14:textId="77777777" w:rsidR="00DF3BD3" w:rsidRDefault="00DF3BD3" w:rsidP="00AD05E0">
      <w:r>
        <w:separator/>
      </w:r>
    </w:p>
  </w:footnote>
  <w:footnote w:type="continuationSeparator" w:id="0">
    <w:p w14:paraId="153399F6" w14:textId="77777777" w:rsidR="00DF3BD3" w:rsidRDefault="00DF3BD3" w:rsidP="00AD05E0">
      <w:r>
        <w:continuationSeparator/>
      </w:r>
    </w:p>
  </w:footnote>
  <w:footnote w:id="1">
    <w:p w14:paraId="1C763758" w14:textId="77777777" w:rsidR="00A61145" w:rsidRPr="006C6C83" w:rsidRDefault="00A61145" w:rsidP="00B43299">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w:t>
      </w:r>
      <w:r w:rsidRPr="006C6C83">
        <w:rPr>
          <w:rFonts w:ascii="Arial" w:hAnsi="Arial" w:cs="Arial"/>
          <w:sz w:val="18"/>
          <w:szCs w:val="18"/>
          <w:lang w:val="es-CO"/>
        </w:rPr>
        <w:t>SL4964</w:t>
      </w:r>
      <w:r>
        <w:rPr>
          <w:rFonts w:ascii="Arial" w:hAnsi="Arial" w:cs="Arial"/>
          <w:sz w:val="18"/>
          <w:szCs w:val="18"/>
          <w:lang w:val="es-CO"/>
        </w:rPr>
        <w:t xml:space="preserve"> del 14/11/2018, radicado 54814 y SL1452 del 03/04/2019, radicado 68852.</w:t>
      </w:r>
    </w:p>
  </w:footnote>
  <w:footnote w:id="2">
    <w:p w14:paraId="781B999C" w14:textId="77777777" w:rsidR="00A61145" w:rsidRPr="002C3239" w:rsidRDefault="00A61145" w:rsidP="00B43299">
      <w:pPr>
        <w:pStyle w:val="Textonotapie"/>
        <w:rPr>
          <w:lang w:val="es-CO"/>
        </w:rPr>
      </w:pPr>
      <w:r>
        <w:rPr>
          <w:rStyle w:val="Refdenotaalpie"/>
        </w:rPr>
        <w:footnoteRef/>
      </w:r>
      <w:r>
        <w:t xml:space="preserve"> </w:t>
      </w:r>
      <w:proofErr w:type="spellStart"/>
      <w:r>
        <w:t>Sent</w:t>
      </w:r>
      <w:proofErr w:type="spellEnd"/>
      <w:r>
        <w:t xml:space="preserve">. Cas. </w:t>
      </w:r>
      <w:proofErr w:type="spellStart"/>
      <w:r>
        <w:t>Civ</w:t>
      </w:r>
      <w:proofErr w:type="spellEnd"/>
      <w:r>
        <w:t>. de 15/11/2017, SC18476-2017.</w:t>
      </w:r>
    </w:p>
  </w:footnote>
  <w:footnote w:id="3">
    <w:p w14:paraId="55E0FEDD" w14:textId="77777777" w:rsidR="00A61145" w:rsidRPr="00C17DB1" w:rsidRDefault="00A61145" w:rsidP="00B43299">
      <w:pPr>
        <w:pStyle w:val="Textonotapie"/>
        <w:rPr>
          <w:lang w:val="es-CO"/>
        </w:rPr>
      </w:pPr>
      <w:r>
        <w:rPr>
          <w:rStyle w:val="Refdenotaalpie"/>
        </w:rPr>
        <w:footnoteRef/>
      </w:r>
      <w:r>
        <w:t xml:space="preserve"> </w:t>
      </w:r>
      <w:proofErr w:type="spellStart"/>
      <w:r>
        <w:rPr>
          <w:lang w:val="es-CO"/>
        </w:rPr>
        <w:t>Sent</w:t>
      </w:r>
      <w:proofErr w:type="spellEnd"/>
      <w:r>
        <w:rPr>
          <w:lang w:val="es-CO"/>
        </w:rPr>
        <w:t xml:space="preserve">. Cas. </w:t>
      </w:r>
      <w:proofErr w:type="spellStart"/>
      <w:r>
        <w:rPr>
          <w:lang w:val="es-CO"/>
        </w:rPr>
        <w:t>Lab</w:t>
      </w:r>
      <w:proofErr w:type="spellEnd"/>
      <w:r>
        <w:rPr>
          <w:lang w:val="es-CO"/>
        </w:rPr>
        <w:t xml:space="preserve">. de 03/04/2019, SL1452-2019. </w:t>
      </w:r>
    </w:p>
  </w:footnote>
  <w:footnote w:id="4">
    <w:p w14:paraId="4289FF07" w14:textId="77777777" w:rsidR="00A61145" w:rsidRPr="00B85846" w:rsidRDefault="00A61145" w:rsidP="00BF595B">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5">
    <w:p w14:paraId="4309803E" w14:textId="77777777" w:rsidR="00A61145" w:rsidRPr="00B85846" w:rsidRDefault="00A61145" w:rsidP="00BF595B">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2D1E" w14:textId="77777777" w:rsidR="00A61145" w:rsidRPr="00BB3FED" w:rsidRDefault="00A61145"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3BF29917" w:rsidR="00A61145" w:rsidRPr="00BB3FED" w:rsidRDefault="00A61145"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66001-31-05-001-2016-00531-01</w:t>
    </w:r>
  </w:p>
  <w:p w14:paraId="24384DEF" w14:textId="6B3B10D0" w:rsidR="00A61145" w:rsidRPr="00BB3FED" w:rsidRDefault="00A61145" w:rsidP="00AD05E0">
    <w:pPr>
      <w:pStyle w:val="Encabezado"/>
      <w:jc w:val="center"/>
      <w:rPr>
        <w:rFonts w:ascii="Arial" w:hAnsi="Arial" w:cs="Arial"/>
        <w:sz w:val="18"/>
        <w:szCs w:val="18"/>
      </w:rPr>
    </w:pPr>
    <w:r>
      <w:rPr>
        <w:rFonts w:ascii="Arial" w:hAnsi="Arial" w:cs="Arial"/>
        <w:sz w:val="18"/>
        <w:szCs w:val="18"/>
      </w:rPr>
      <w:t xml:space="preserve">Luis Emilio Soto Ardila </w:t>
    </w:r>
    <w:r w:rsidRPr="00BB3FED">
      <w:rPr>
        <w:rFonts w:ascii="Arial" w:hAnsi="Arial" w:cs="Arial"/>
        <w:sz w:val="18"/>
        <w:szCs w:val="18"/>
      </w:rPr>
      <w:t xml:space="preserve">vs </w:t>
    </w:r>
    <w:r>
      <w:rPr>
        <w:rFonts w:ascii="Arial" w:hAnsi="Arial" w:cs="Arial"/>
        <w:sz w:val="18"/>
        <w:szCs w:val="18"/>
      </w:rPr>
      <w:t>Colpensiones, Porvenir S.A. y Protección S.A.</w:t>
    </w:r>
  </w:p>
  <w:p w14:paraId="1F128505" w14:textId="77777777" w:rsidR="00A61145" w:rsidRPr="00AD05E0" w:rsidRDefault="00A611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F203FD"/>
    <w:multiLevelType w:val="hybridMultilevel"/>
    <w:tmpl w:val="E95899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11"/>
  </w:num>
  <w:num w:numId="4">
    <w:abstractNumId w:val="0"/>
  </w:num>
  <w:num w:numId="5">
    <w:abstractNumId w:val="3"/>
  </w:num>
  <w:num w:numId="6">
    <w:abstractNumId w:val="10"/>
  </w:num>
  <w:num w:numId="7">
    <w:abstractNumId w:val="5"/>
  </w:num>
  <w:num w:numId="8">
    <w:abstractNumId w:val="12"/>
  </w:num>
  <w:num w:numId="9">
    <w:abstractNumId w:val="7"/>
  </w:num>
  <w:num w:numId="10">
    <w:abstractNumId w:val="2"/>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4A"/>
    <w:rsid w:val="000010FB"/>
    <w:rsid w:val="00003F90"/>
    <w:rsid w:val="0000478E"/>
    <w:rsid w:val="000058B8"/>
    <w:rsid w:val="00013E64"/>
    <w:rsid w:val="000166F4"/>
    <w:rsid w:val="0002018D"/>
    <w:rsid w:val="00021AEA"/>
    <w:rsid w:val="00024061"/>
    <w:rsid w:val="00024E1C"/>
    <w:rsid w:val="00025FBD"/>
    <w:rsid w:val="00031373"/>
    <w:rsid w:val="00032119"/>
    <w:rsid w:val="00040088"/>
    <w:rsid w:val="000417FE"/>
    <w:rsid w:val="0004459B"/>
    <w:rsid w:val="000503EF"/>
    <w:rsid w:val="00052289"/>
    <w:rsid w:val="00052E72"/>
    <w:rsid w:val="00055AEE"/>
    <w:rsid w:val="00061B8E"/>
    <w:rsid w:val="000644EF"/>
    <w:rsid w:val="00067DDB"/>
    <w:rsid w:val="000766DA"/>
    <w:rsid w:val="00077EEF"/>
    <w:rsid w:val="00081A2D"/>
    <w:rsid w:val="00081C69"/>
    <w:rsid w:val="00084E89"/>
    <w:rsid w:val="00085E2B"/>
    <w:rsid w:val="00087B8A"/>
    <w:rsid w:val="00090254"/>
    <w:rsid w:val="00093D99"/>
    <w:rsid w:val="000946A5"/>
    <w:rsid w:val="000947FC"/>
    <w:rsid w:val="00094B02"/>
    <w:rsid w:val="000A5527"/>
    <w:rsid w:val="000A6367"/>
    <w:rsid w:val="000A74F6"/>
    <w:rsid w:val="000B315B"/>
    <w:rsid w:val="000C706D"/>
    <w:rsid w:val="000C745D"/>
    <w:rsid w:val="000C7588"/>
    <w:rsid w:val="000D11C5"/>
    <w:rsid w:val="000D5ABE"/>
    <w:rsid w:val="000E10C4"/>
    <w:rsid w:val="000E1EC9"/>
    <w:rsid w:val="000E2F8A"/>
    <w:rsid w:val="000E50DB"/>
    <w:rsid w:val="000E717D"/>
    <w:rsid w:val="000F34E7"/>
    <w:rsid w:val="000F4826"/>
    <w:rsid w:val="000F683C"/>
    <w:rsid w:val="0010041E"/>
    <w:rsid w:val="00103281"/>
    <w:rsid w:val="001045F7"/>
    <w:rsid w:val="001055FC"/>
    <w:rsid w:val="00106D9C"/>
    <w:rsid w:val="00110327"/>
    <w:rsid w:val="001123ED"/>
    <w:rsid w:val="00113360"/>
    <w:rsid w:val="00115A22"/>
    <w:rsid w:val="001178F8"/>
    <w:rsid w:val="00117D61"/>
    <w:rsid w:val="00120960"/>
    <w:rsid w:val="00122778"/>
    <w:rsid w:val="001250CC"/>
    <w:rsid w:val="00130ACD"/>
    <w:rsid w:val="00131B9A"/>
    <w:rsid w:val="00132B25"/>
    <w:rsid w:val="00134816"/>
    <w:rsid w:val="00135E06"/>
    <w:rsid w:val="00137A88"/>
    <w:rsid w:val="0014034B"/>
    <w:rsid w:val="0014035A"/>
    <w:rsid w:val="00140B80"/>
    <w:rsid w:val="00140D7E"/>
    <w:rsid w:val="001414A4"/>
    <w:rsid w:val="00142B40"/>
    <w:rsid w:val="00144DE7"/>
    <w:rsid w:val="00145F08"/>
    <w:rsid w:val="0014698C"/>
    <w:rsid w:val="001506EE"/>
    <w:rsid w:val="001526F5"/>
    <w:rsid w:val="00152759"/>
    <w:rsid w:val="00152966"/>
    <w:rsid w:val="001601F4"/>
    <w:rsid w:val="00160A64"/>
    <w:rsid w:val="00160CD1"/>
    <w:rsid w:val="001616BE"/>
    <w:rsid w:val="00164161"/>
    <w:rsid w:val="00164FFA"/>
    <w:rsid w:val="001776D0"/>
    <w:rsid w:val="00182E71"/>
    <w:rsid w:val="001838B2"/>
    <w:rsid w:val="00184761"/>
    <w:rsid w:val="00186008"/>
    <w:rsid w:val="001862EE"/>
    <w:rsid w:val="001867FF"/>
    <w:rsid w:val="0018702E"/>
    <w:rsid w:val="0019105C"/>
    <w:rsid w:val="001960F6"/>
    <w:rsid w:val="00196910"/>
    <w:rsid w:val="00197B6B"/>
    <w:rsid w:val="00197E94"/>
    <w:rsid w:val="001A0A75"/>
    <w:rsid w:val="001A48DA"/>
    <w:rsid w:val="001A5AF8"/>
    <w:rsid w:val="001A74F6"/>
    <w:rsid w:val="001B16BB"/>
    <w:rsid w:val="001B1B97"/>
    <w:rsid w:val="001B1C8A"/>
    <w:rsid w:val="001B2227"/>
    <w:rsid w:val="001B5268"/>
    <w:rsid w:val="001B650B"/>
    <w:rsid w:val="001D3166"/>
    <w:rsid w:val="001D3F07"/>
    <w:rsid w:val="001D56B0"/>
    <w:rsid w:val="001D7FBD"/>
    <w:rsid w:val="001E326A"/>
    <w:rsid w:val="001E5CD8"/>
    <w:rsid w:val="001E617C"/>
    <w:rsid w:val="001E6A00"/>
    <w:rsid w:val="001E7996"/>
    <w:rsid w:val="001F2CB7"/>
    <w:rsid w:val="001F6B4F"/>
    <w:rsid w:val="001F7003"/>
    <w:rsid w:val="00200ECE"/>
    <w:rsid w:val="00203A41"/>
    <w:rsid w:val="00205F81"/>
    <w:rsid w:val="0020699E"/>
    <w:rsid w:val="00206A7A"/>
    <w:rsid w:val="00211DFE"/>
    <w:rsid w:val="00215C22"/>
    <w:rsid w:val="00217998"/>
    <w:rsid w:val="00221E37"/>
    <w:rsid w:val="00223A61"/>
    <w:rsid w:val="002271DC"/>
    <w:rsid w:val="00231F1D"/>
    <w:rsid w:val="002357E5"/>
    <w:rsid w:val="00237DF3"/>
    <w:rsid w:val="002408C6"/>
    <w:rsid w:val="002411AE"/>
    <w:rsid w:val="0024795A"/>
    <w:rsid w:val="00252894"/>
    <w:rsid w:val="00252B85"/>
    <w:rsid w:val="0025332E"/>
    <w:rsid w:val="00256A01"/>
    <w:rsid w:val="00263BB0"/>
    <w:rsid w:val="00271C46"/>
    <w:rsid w:val="00275C48"/>
    <w:rsid w:val="002903E7"/>
    <w:rsid w:val="00290424"/>
    <w:rsid w:val="00296A66"/>
    <w:rsid w:val="00297A6E"/>
    <w:rsid w:val="002A1798"/>
    <w:rsid w:val="002A25CB"/>
    <w:rsid w:val="002A350B"/>
    <w:rsid w:val="002A7716"/>
    <w:rsid w:val="002B338A"/>
    <w:rsid w:val="002B4646"/>
    <w:rsid w:val="002B51B8"/>
    <w:rsid w:val="002B52AE"/>
    <w:rsid w:val="002C01B8"/>
    <w:rsid w:val="002C1B27"/>
    <w:rsid w:val="002C5740"/>
    <w:rsid w:val="002C611F"/>
    <w:rsid w:val="002C74F9"/>
    <w:rsid w:val="002D18C5"/>
    <w:rsid w:val="002D3995"/>
    <w:rsid w:val="002D4514"/>
    <w:rsid w:val="002E0F78"/>
    <w:rsid w:val="002E6062"/>
    <w:rsid w:val="002F0853"/>
    <w:rsid w:val="002F4F0F"/>
    <w:rsid w:val="002F61AF"/>
    <w:rsid w:val="00300367"/>
    <w:rsid w:val="003013F3"/>
    <w:rsid w:val="003074D7"/>
    <w:rsid w:val="003107AC"/>
    <w:rsid w:val="003203F5"/>
    <w:rsid w:val="0032154A"/>
    <w:rsid w:val="00321A36"/>
    <w:rsid w:val="00324CE6"/>
    <w:rsid w:val="003269AF"/>
    <w:rsid w:val="003363E6"/>
    <w:rsid w:val="00337864"/>
    <w:rsid w:val="0034108D"/>
    <w:rsid w:val="00341769"/>
    <w:rsid w:val="00344DB9"/>
    <w:rsid w:val="00346681"/>
    <w:rsid w:val="003504F3"/>
    <w:rsid w:val="00351FC5"/>
    <w:rsid w:val="00355585"/>
    <w:rsid w:val="00360EB6"/>
    <w:rsid w:val="00361C8C"/>
    <w:rsid w:val="0036430B"/>
    <w:rsid w:val="00365E98"/>
    <w:rsid w:val="003674F9"/>
    <w:rsid w:val="00370F13"/>
    <w:rsid w:val="00373BF7"/>
    <w:rsid w:val="0037407A"/>
    <w:rsid w:val="00380184"/>
    <w:rsid w:val="003803AD"/>
    <w:rsid w:val="00382357"/>
    <w:rsid w:val="003922E2"/>
    <w:rsid w:val="0039451A"/>
    <w:rsid w:val="0039489B"/>
    <w:rsid w:val="00394D80"/>
    <w:rsid w:val="00395BE9"/>
    <w:rsid w:val="00396D17"/>
    <w:rsid w:val="003A295E"/>
    <w:rsid w:val="003A3CF3"/>
    <w:rsid w:val="003A4CF9"/>
    <w:rsid w:val="003A56EF"/>
    <w:rsid w:val="003A712E"/>
    <w:rsid w:val="003B38FB"/>
    <w:rsid w:val="003B3DC7"/>
    <w:rsid w:val="003B3E2B"/>
    <w:rsid w:val="003B6C32"/>
    <w:rsid w:val="003C33F1"/>
    <w:rsid w:val="003C3F94"/>
    <w:rsid w:val="003C4A3E"/>
    <w:rsid w:val="003C712F"/>
    <w:rsid w:val="003D08A9"/>
    <w:rsid w:val="003D32BA"/>
    <w:rsid w:val="003D53B8"/>
    <w:rsid w:val="003D62B9"/>
    <w:rsid w:val="003E2C45"/>
    <w:rsid w:val="003E5A0B"/>
    <w:rsid w:val="003E74EF"/>
    <w:rsid w:val="003F10A6"/>
    <w:rsid w:val="003F1BDF"/>
    <w:rsid w:val="003F5CB5"/>
    <w:rsid w:val="00402817"/>
    <w:rsid w:val="00402826"/>
    <w:rsid w:val="004075F5"/>
    <w:rsid w:val="00410092"/>
    <w:rsid w:val="00410BAE"/>
    <w:rsid w:val="00411A56"/>
    <w:rsid w:val="00414678"/>
    <w:rsid w:val="00414BB5"/>
    <w:rsid w:val="00414CA5"/>
    <w:rsid w:val="00417DFD"/>
    <w:rsid w:val="00435C3A"/>
    <w:rsid w:val="00435C7C"/>
    <w:rsid w:val="00435D2F"/>
    <w:rsid w:val="004360D3"/>
    <w:rsid w:val="0043724B"/>
    <w:rsid w:val="004400E5"/>
    <w:rsid w:val="0044083A"/>
    <w:rsid w:val="0044517A"/>
    <w:rsid w:val="00445E06"/>
    <w:rsid w:val="00446B63"/>
    <w:rsid w:val="00450601"/>
    <w:rsid w:val="00452B5E"/>
    <w:rsid w:val="004617FD"/>
    <w:rsid w:val="00463295"/>
    <w:rsid w:val="004648C2"/>
    <w:rsid w:val="0046517A"/>
    <w:rsid w:val="0046664D"/>
    <w:rsid w:val="00467007"/>
    <w:rsid w:val="004704AC"/>
    <w:rsid w:val="00472250"/>
    <w:rsid w:val="00473E53"/>
    <w:rsid w:val="004750D9"/>
    <w:rsid w:val="00477D71"/>
    <w:rsid w:val="00480FD8"/>
    <w:rsid w:val="00482F8C"/>
    <w:rsid w:val="00485484"/>
    <w:rsid w:val="004865D5"/>
    <w:rsid w:val="00486F63"/>
    <w:rsid w:val="00486FE9"/>
    <w:rsid w:val="00493622"/>
    <w:rsid w:val="00493BD9"/>
    <w:rsid w:val="004958EC"/>
    <w:rsid w:val="00496689"/>
    <w:rsid w:val="004A23FD"/>
    <w:rsid w:val="004A3462"/>
    <w:rsid w:val="004A3E65"/>
    <w:rsid w:val="004A5684"/>
    <w:rsid w:val="004A61C5"/>
    <w:rsid w:val="004B0270"/>
    <w:rsid w:val="004B0F94"/>
    <w:rsid w:val="004B3019"/>
    <w:rsid w:val="004B41BC"/>
    <w:rsid w:val="004B435A"/>
    <w:rsid w:val="004B4408"/>
    <w:rsid w:val="004B7029"/>
    <w:rsid w:val="004B7182"/>
    <w:rsid w:val="004B7696"/>
    <w:rsid w:val="004C2C5B"/>
    <w:rsid w:val="004C4286"/>
    <w:rsid w:val="004C4505"/>
    <w:rsid w:val="004C49D1"/>
    <w:rsid w:val="004C4CD4"/>
    <w:rsid w:val="004D128B"/>
    <w:rsid w:val="004D2B89"/>
    <w:rsid w:val="004D3BD3"/>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218E"/>
    <w:rsid w:val="00503C5C"/>
    <w:rsid w:val="00504D70"/>
    <w:rsid w:val="00510691"/>
    <w:rsid w:val="00511829"/>
    <w:rsid w:val="0052140A"/>
    <w:rsid w:val="0052233E"/>
    <w:rsid w:val="005330F5"/>
    <w:rsid w:val="00533B7B"/>
    <w:rsid w:val="00536744"/>
    <w:rsid w:val="005377EC"/>
    <w:rsid w:val="00540A2F"/>
    <w:rsid w:val="005417AA"/>
    <w:rsid w:val="005426B2"/>
    <w:rsid w:val="00546A74"/>
    <w:rsid w:val="0054738A"/>
    <w:rsid w:val="00552EBC"/>
    <w:rsid w:val="0055305B"/>
    <w:rsid w:val="00553C21"/>
    <w:rsid w:val="00554F23"/>
    <w:rsid w:val="00555FCC"/>
    <w:rsid w:val="00557133"/>
    <w:rsid w:val="00562261"/>
    <w:rsid w:val="005643FF"/>
    <w:rsid w:val="00565CBF"/>
    <w:rsid w:val="00566FA5"/>
    <w:rsid w:val="00572CB6"/>
    <w:rsid w:val="00572F46"/>
    <w:rsid w:val="00574D01"/>
    <w:rsid w:val="005771F8"/>
    <w:rsid w:val="0058174E"/>
    <w:rsid w:val="00583244"/>
    <w:rsid w:val="00585AFC"/>
    <w:rsid w:val="005866AE"/>
    <w:rsid w:val="005920A9"/>
    <w:rsid w:val="00596520"/>
    <w:rsid w:val="005A1CEF"/>
    <w:rsid w:val="005A1F09"/>
    <w:rsid w:val="005B0472"/>
    <w:rsid w:val="005B5D81"/>
    <w:rsid w:val="005C1992"/>
    <w:rsid w:val="005C30F7"/>
    <w:rsid w:val="005C4677"/>
    <w:rsid w:val="005D0298"/>
    <w:rsid w:val="005D02D4"/>
    <w:rsid w:val="005D38CB"/>
    <w:rsid w:val="005D52D2"/>
    <w:rsid w:val="005D624B"/>
    <w:rsid w:val="005E2672"/>
    <w:rsid w:val="005E26D2"/>
    <w:rsid w:val="005E35FE"/>
    <w:rsid w:val="005E3D6A"/>
    <w:rsid w:val="005E411D"/>
    <w:rsid w:val="005E54F4"/>
    <w:rsid w:val="005E5F4F"/>
    <w:rsid w:val="005F1D6E"/>
    <w:rsid w:val="005F2671"/>
    <w:rsid w:val="005F26C0"/>
    <w:rsid w:val="005F33D2"/>
    <w:rsid w:val="005F66C7"/>
    <w:rsid w:val="00600609"/>
    <w:rsid w:val="006045AA"/>
    <w:rsid w:val="00605B5E"/>
    <w:rsid w:val="006061C3"/>
    <w:rsid w:val="00607EF2"/>
    <w:rsid w:val="006121E1"/>
    <w:rsid w:val="00616117"/>
    <w:rsid w:val="00616E49"/>
    <w:rsid w:val="00620025"/>
    <w:rsid w:val="00621049"/>
    <w:rsid w:val="006212B7"/>
    <w:rsid w:val="00621925"/>
    <w:rsid w:val="006249A2"/>
    <w:rsid w:val="00624AF9"/>
    <w:rsid w:val="006266DC"/>
    <w:rsid w:val="00632AB1"/>
    <w:rsid w:val="00632D88"/>
    <w:rsid w:val="0063603E"/>
    <w:rsid w:val="006375B7"/>
    <w:rsid w:val="00642623"/>
    <w:rsid w:val="00642E02"/>
    <w:rsid w:val="00643988"/>
    <w:rsid w:val="00643B15"/>
    <w:rsid w:val="00646A53"/>
    <w:rsid w:val="00646BE7"/>
    <w:rsid w:val="0064777C"/>
    <w:rsid w:val="0065026B"/>
    <w:rsid w:val="00652AF6"/>
    <w:rsid w:val="00654530"/>
    <w:rsid w:val="00654A86"/>
    <w:rsid w:val="00655FDB"/>
    <w:rsid w:val="00661873"/>
    <w:rsid w:val="00663480"/>
    <w:rsid w:val="006639EE"/>
    <w:rsid w:val="0066459D"/>
    <w:rsid w:val="0067209B"/>
    <w:rsid w:val="006755AD"/>
    <w:rsid w:val="00680634"/>
    <w:rsid w:val="00681494"/>
    <w:rsid w:val="006822DF"/>
    <w:rsid w:val="0068494E"/>
    <w:rsid w:val="00692F47"/>
    <w:rsid w:val="00696984"/>
    <w:rsid w:val="00697207"/>
    <w:rsid w:val="006A1F86"/>
    <w:rsid w:val="006A268C"/>
    <w:rsid w:val="006A56AD"/>
    <w:rsid w:val="006A687B"/>
    <w:rsid w:val="006A7958"/>
    <w:rsid w:val="006B2236"/>
    <w:rsid w:val="006B2F52"/>
    <w:rsid w:val="006B30AC"/>
    <w:rsid w:val="006B5D48"/>
    <w:rsid w:val="006C0BE1"/>
    <w:rsid w:val="006C3FC9"/>
    <w:rsid w:val="006C7579"/>
    <w:rsid w:val="006C7836"/>
    <w:rsid w:val="006D1700"/>
    <w:rsid w:val="006D5B81"/>
    <w:rsid w:val="006D656F"/>
    <w:rsid w:val="006D6EF3"/>
    <w:rsid w:val="006E074F"/>
    <w:rsid w:val="006E184B"/>
    <w:rsid w:val="006E4242"/>
    <w:rsid w:val="006E76D1"/>
    <w:rsid w:val="006F155B"/>
    <w:rsid w:val="006F3D86"/>
    <w:rsid w:val="006F454B"/>
    <w:rsid w:val="00701464"/>
    <w:rsid w:val="007017D3"/>
    <w:rsid w:val="00706D1D"/>
    <w:rsid w:val="00707C30"/>
    <w:rsid w:val="0071087F"/>
    <w:rsid w:val="007113B2"/>
    <w:rsid w:val="0071177A"/>
    <w:rsid w:val="00716534"/>
    <w:rsid w:val="00716EF1"/>
    <w:rsid w:val="0071725A"/>
    <w:rsid w:val="0071730D"/>
    <w:rsid w:val="00720047"/>
    <w:rsid w:val="0072136B"/>
    <w:rsid w:val="00726CAD"/>
    <w:rsid w:val="007311ED"/>
    <w:rsid w:val="007318F3"/>
    <w:rsid w:val="007341F9"/>
    <w:rsid w:val="0073571A"/>
    <w:rsid w:val="007370C6"/>
    <w:rsid w:val="00746921"/>
    <w:rsid w:val="007558C9"/>
    <w:rsid w:val="00755C37"/>
    <w:rsid w:val="007568E0"/>
    <w:rsid w:val="00762804"/>
    <w:rsid w:val="0077088D"/>
    <w:rsid w:val="00774220"/>
    <w:rsid w:val="00775A71"/>
    <w:rsid w:val="0078296A"/>
    <w:rsid w:val="00782A12"/>
    <w:rsid w:val="00782F4D"/>
    <w:rsid w:val="007846BF"/>
    <w:rsid w:val="0078502F"/>
    <w:rsid w:val="007869F3"/>
    <w:rsid w:val="007917AA"/>
    <w:rsid w:val="007938ED"/>
    <w:rsid w:val="0079400B"/>
    <w:rsid w:val="00796B49"/>
    <w:rsid w:val="007A1113"/>
    <w:rsid w:val="007A14C4"/>
    <w:rsid w:val="007A5AE1"/>
    <w:rsid w:val="007A649D"/>
    <w:rsid w:val="007B3431"/>
    <w:rsid w:val="007B4962"/>
    <w:rsid w:val="007B4E5A"/>
    <w:rsid w:val="007B5EAD"/>
    <w:rsid w:val="007C0B4D"/>
    <w:rsid w:val="007C0F0F"/>
    <w:rsid w:val="007C285D"/>
    <w:rsid w:val="007C3872"/>
    <w:rsid w:val="007C3CBB"/>
    <w:rsid w:val="007C51D9"/>
    <w:rsid w:val="007C729D"/>
    <w:rsid w:val="007D1C98"/>
    <w:rsid w:val="007D2ADD"/>
    <w:rsid w:val="007E05E8"/>
    <w:rsid w:val="007E30F5"/>
    <w:rsid w:val="007E53EF"/>
    <w:rsid w:val="007F167A"/>
    <w:rsid w:val="007F2FCF"/>
    <w:rsid w:val="007F343B"/>
    <w:rsid w:val="007F6AA7"/>
    <w:rsid w:val="00801E9E"/>
    <w:rsid w:val="0080251F"/>
    <w:rsid w:val="00803D80"/>
    <w:rsid w:val="0080527D"/>
    <w:rsid w:val="00806236"/>
    <w:rsid w:val="00816B3A"/>
    <w:rsid w:val="00816B64"/>
    <w:rsid w:val="00817F7F"/>
    <w:rsid w:val="00822E1C"/>
    <w:rsid w:val="0082371F"/>
    <w:rsid w:val="00826323"/>
    <w:rsid w:val="00831CF4"/>
    <w:rsid w:val="00832A1F"/>
    <w:rsid w:val="008339DA"/>
    <w:rsid w:val="00836FEA"/>
    <w:rsid w:val="00841A62"/>
    <w:rsid w:val="00844F7F"/>
    <w:rsid w:val="00846624"/>
    <w:rsid w:val="0084725D"/>
    <w:rsid w:val="00847D23"/>
    <w:rsid w:val="008505D9"/>
    <w:rsid w:val="00853044"/>
    <w:rsid w:val="00854CA1"/>
    <w:rsid w:val="00856878"/>
    <w:rsid w:val="00860862"/>
    <w:rsid w:val="00863E5E"/>
    <w:rsid w:val="00865DB7"/>
    <w:rsid w:val="0086664D"/>
    <w:rsid w:val="00866AAE"/>
    <w:rsid w:val="00867AE8"/>
    <w:rsid w:val="00867C42"/>
    <w:rsid w:val="008709F0"/>
    <w:rsid w:val="00870A59"/>
    <w:rsid w:val="00871127"/>
    <w:rsid w:val="0087332F"/>
    <w:rsid w:val="00881DD4"/>
    <w:rsid w:val="00886685"/>
    <w:rsid w:val="008908CC"/>
    <w:rsid w:val="00891A05"/>
    <w:rsid w:val="008924D9"/>
    <w:rsid w:val="008951E7"/>
    <w:rsid w:val="00896331"/>
    <w:rsid w:val="008A01E4"/>
    <w:rsid w:val="008A4E98"/>
    <w:rsid w:val="008A59A0"/>
    <w:rsid w:val="008A72B2"/>
    <w:rsid w:val="008A745C"/>
    <w:rsid w:val="008A7722"/>
    <w:rsid w:val="008A7C40"/>
    <w:rsid w:val="008B26C2"/>
    <w:rsid w:val="008B2BDF"/>
    <w:rsid w:val="008B3066"/>
    <w:rsid w:val="008B33A1"/>
    <w:rsid w:val="008B4923"/>
    <w:rsid w:val="008B4B10"/>
    <w:rsid w:val="008C067E"/>
    <w:rsid w:val="008C625B"/>
    <w:rsid w:val="008C7C05"/>
    <w:rsid w:val="008C7C15"/>
    <w:rsid w:val="008D3527"/>
    <w:rsid w:val="008D3E59"/>
    <w:rsid w:val="008D6F2D"/>
    <w:rsid w:val="008D7BFB"/>
    <w:rsid w:val="008E03C0"/>
    <w:rsid w:val="008E2B2E"/>
    <w:rsid w:val="008E4C5A"/>
    <w:rsid w:val="008F07C2"/>
    <w:rsid w:val="008F3478"/>
    <w:rsid w:val="008F393C"/>
    <w:rsid w:val="008F48B9"/>
    <w:rsid w:val="008F59A7"/>
    <w:rsid w:val="008F74C8"/>
    <w:rsid w:val="009019D5"/>
    <w:rsid w:val="009047E5"/>
    <w:rsid w:val="0090597F"/>
    <w:rsid w:val="009072E2"/>
    <w:rsid w:val="009073B4"/>
    <w:rsid w:val="00907D42"/>
    <w:rsid w:val="00910744"/>
    <w:rsid w:val="0091299E"/>
    <w:rsid w:val="00913E66"/>
    <w:rsid w:val="00913F4A"/>
    <w:rsid w:val="009165C8"/>
    <w:rsid w:val="00920302"/>
    <w:rsid w:val="0092039A"/>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457C1"/>
    <w:rsid w:val="0095209D"/>
    <w:rsid w:val="00955713"/>
    <w:rsid w:val="009567E6"/>
    <w:rsid w:val="00956BB7"/>
    <w:rsid w:val="0095739A"/>
    <w:rsid w:val="0096020D"/>
    <w:rsid w:val="00961DEF"/>
    <w:rsid w:val="0096499E"/>
    <w:rsid w:val="00974729"/>
    <w:rsid w:val="00980CF9"/>
    <w:rsid w:val="00981C17"/>
    <w:rsid w:val="00983A11"/>
    <w:rsid w:val="00992157"/>
    <w:rsid w:val="00992815"/>
    <w:rsid w:val="00996002"/>
    <w:rsid w:val="0099624F"/>
    <w:rsid w:val="009A0F9A"/>
    <w:rsid w:val="009A4C68"/>
    <w:rsid w:val="009A642E"/>
    <w:rsid w:val="009B072A"/>
    <w:rsid w:val="009B1BC7"/>
    <w:rsid w:val="009B241C"/>
    <w:rsid w:val="009B7261"/>
    <w:rsid w:val="009C0B4D"/>
    <w:rsid w:val="009C75C4"/>
    <w:rsid w:val="009D107B"/>
    <w:rsid w:val="009D1DF1"/>
    <w:rsid w:val="009E02E0"/>
    <w:rsid w:val="009E08EB"/>
    <w:rsid w:val="009E2AB8"/>
    <w:rsid w:val="009F14CC"/>
    <w:rsid w:val="00A00A78"/>
    <w:rsid w:val="00A01123"/>
    <w:rsid w:val="00A02E1C"/>
    <w:rsid w:val="00A03950"/>
    <w:rsid w:val="00A04DDF"/>
    <w:rsid w:val="00A0778F"/>
    <w:rsid w:val="00A109AE"/>
    <w:rsid w:val="00A125DA"/>
    <w:rsid w:val="00A14F6A"/>
    <w:rsid w:val="00A15605"/>
    <w:rsid w:val="00A17A04"/>
    <w:rsid w:val="00A206E1"/>
    <w:rsid w:val="00A22506"/>
    <w:rsid w:val="00A23973"/>
    <w:rsid w:val="00A263B8"/>
    <w:rsid w:val="00A305FA"/>
    <w:rsid w:val="00A32683"/>
    <w:rsid w:val="00A33753"/>
    <w:rsid w:val="00A34053"/>
    <w:rsid w:val="00A41EA1"/>
    <w:rsid w:val="00A4270B"/>
    <w:rsid w:val="00A427C1"/>
    <w:rsid w:val="00A44931"/>
    <w:rsid w:val="00A450AB"/>
    <w:rsid w:val="00A52C67"/>
    <w:rsid w:val="00A55784"/>
    <w:rsid w:val="00A56599"/>
    <w:rsid w:val="00A57F8F"/>
    <w:rsid w:val="00A61145"/>
    <w:rsid w:val="00A70836"/>
    <w:rsid w:val="00A74790"/>
    <w:rsid w:val="00A763C3"/>
    <w:rsid w:val="00A776A4"/>
    <w:rsid w:val="00A80425"/>
    <w:rsid w:val="00A81222"/>
    <w:rsid w:val="00A83F55"/>
    <w:rsid w:val="00A86BF0"/>
    <w:rsid w:val="00A87E49"/>
    <w:rsid w:val="00A92346"/>
    <w:rsid w:val="00A96D9A"/>
    <w:rsid w:val="00AA089E"/>
    <w:rsid w:val="00AA138C"/>
    <w:rsid w:val="00AA2ACA"/>
    <w:rsid w:val="00AA5134"/>
    <w:rsid w:val="00AA7F13"/>
    <w:rsid w:val="00AB1A19"/>
    <w:rsid w:val="00AB2F1A"/>
    <w:rsid w:val="00AB357E"/>
    <w:rsid w:val="00AB5AE6"/>
    <w:rsid w:val="00AC6A9D"/>
    <w:rsid w:val="00AC6B83"/>
    <w:rsid w:val="00AC7509"/>
    <w:rsid w:val="00AD05E0"/>
    <w:rsid w:val="00AD0944"/>
    <w:rsid w:val="00AD1103"/>
    <w:rsid w:val="00AD2C6D"/>
    <w:rsid w:val="00AD33A2"/>
    <w:rsid w:val="00AD3B0F"/>
    <w:rsid w:val="00AD3FEB"/>
    <w:rsid w:val="00AD402A"/>
    <w:rsid w:val="00AD4838"/>
    <w:rsid w:val="00AD7400"/>
    <w:rsid w:val="00AE0817"/>
    <w:rsid w:val="00AE1220"/>
    <w:rsid w:val="00AE2C50"/>
    <w:rsid w:val="00AE4DDE"/>
    <w:rsid w:val="00AE5157"/>
    <w:rsid w:val="00AE5E67"/>
    <w:rsid w:val="00AE7588"/>
    <w:rsid w:val="00AF1E39"/>
    <w:rsid w:val="00AF5B5B"/>
    <w:rsid w:val="00AF7520"/>
    <w:rsid w:val="00B00C5B"/>
    <w:rsid w:val="00B01570"/>
    <w:rsid w:val="00B01953"/>
    <w:rsid w:val="00B04F95"/>
    <w:rsid w:val="00B05045"/>
    <w:rsid w:val="00B05BA1"/>
    <w:rsid w:val="00B07787"/>
    <w:rsid w:val="00B10928"/>
    <w:rsid w:val="00B131C6"/>
    <w:rsid w:val="00B1345D"/>
    <w:rsid w:val="00B1454A"/>
    <w:rsid w:val="00B200F0"/>
    <w:rsid w:val="00B21B4F"/>
    <w:rsid w:val="00B21E45"/>
    <w:rsid w:val="00B2394B"/>
    <w:rsid w:val="00B24407"/>
    <w:rsid w:val="00B24FBB"/>
    <w:rsid w:val="00B316D3"/>
    <w:rsid w:val="00B33A78"/>
    <w:rsid w:val="00B342BD"/>
    <w:rsid w:val="00B3602F"/>
    <w:rsid w:val="00B36412"/>
    <w:rsid w:val="00B377CF"/>
    <w:rsid w:val="00B4223D"/>
    <w:rsid w:val="00B426FB"/>
    <w:rsid w:val="00B43299"/>
    <w:rsid w:val="00B47EFE"/>
    <w:rsid w:val="00B506AF"/>
    <w:rsid w:val="00B51E5D"/>
    <w:rsid w:val="00B52687"/>
    <w:rsid w:val="00B52A9C"/>
    <w:rsid w:val="00B53580"/>
    <w:rsid w:val="00B5485C"/>
    <w:rsid w:val="00B562AD"/>
    <w:rsid w:val="00B56EE8"/>
    <w:rsid w:val="00B5772D"/>
    <w:rsid w:val="00B6339B"/>
    <w:rsid w:val="00B639B3"/>
    <w:rsid w:val="00B647B2"/>
    <w:rsid w:val="00B66500"/>
    <w:rsid w:val="00B7082B"/>
    <w:rsid w:val="00B72BDE"/>
    <w:rsid w:val="00B740A8"/>
    <w:rsid w:val="00B76586"/>
    <w:rsid w:val="00B76954"/>
    <w:rsid w:val="00B76C4B"/>
    <w:rsid w:val="00B83E9C"/>
    <w:rsid w:val="00B83F34"/>
    <w:rsid w:val="00B90506"/>
    <w:rsid w:val="00B91943"/>
    <w:rsid w:val="00B93D8B"/>
    <w:rsid w:val="00B93EBA"/>
    <w:rsid w:val="00BA4C18"/>
    <w:rsid w:val="00BA4C95"/>
    <w:rsid w:val="00BA5DA8"/>
    <w:rsid w:val="00BB0F33"/>
    <w:rsid w:val="00BB231E"/>
    <w:rsid w:val="00BB2765"/>
    <w:rsid w:val="00BB650C"/>
    <w:rsid w:val="00BB6B96"/>
    <w:rsid w:val="00BC0673"/>
    <w:rsid w:val="00BC27F5"/>
    <w:rsid w:val="00BC2917"/>
    <w:rsid w:val="00BC3292"/>
    <w:rsid w:val="00BC3C0F"/>
    <w:rsid w:val="00BC3FB2"/>
    <w:rsid w:val="00BC4F40"/>
    <w:rsid w:val="00BD1513"/>
    <w:rsid w:val="00BD1D48"/>
    <w:rsid w:val="00BD76AD"/>
    <w:rsid w:val="00BE07C9"/>
    <w:rsid w:val="00BE2032"/>
    <w:rsid w:val="00BE31F3"/>
    <w:rsid w:val="00BE44DA"/>
    <w:rsid w:val="00BE5AF6"/>
    <w:rsid w:val="00BE612F"/>
    <w:rsid w:val="00BE6D8D"/>
    <w:rsid w:val="00BE6E30"/>
    <w:rsid w:val="00BF1924"/>
    <w:rsid w:val="00BF1E6A"/>
    <w:rsid w:val="00BF2C6F"/>
    <w:rsid w:val="00BF3913"/>
    <w:rsid w:val="00BF595B"/>
    <w:rsid w:val="00C01723"/>
    <w:rsid w:val="00C01865"/>
    <w:rsid w:val="00C01E85"/>
    <w:rsid w:val="00C0646D"/>
    <w:rsid w:val="00C07A6E"/>
    <w:rsid w:val="00C07C09"/>
    <w:rsid w:val="00C10C59"/>
    <w:rsid w:val="00C10D52"/>
    <w:rsid w:val="00C11663"/>
    <w:rsid w:val="00C11CC0"/>
    <w:rsid w:val="00C16D5E"/>
    <w:rsid w:val="00C1758F"/>
    <w:rsid w:val="00C17BDA"/>
    <w:rsid w:val="00C21849"/>
    <w:rsid w:val="00C22B41"/>
    <w:rsid w:val="00C261A5"/>
    <w:rsid w:val="00C2675D"/>
    <w:rsid w:val="00C27581"/>
    <w:rsid w:val="00C31837"/>
    <w:rsid w:val="00C33409"/>
    <w:rsid w:val="00C33656"/>
    <w:rsid w:val="00C353C9"/>
    <w:rsid w:val="00C35BAC"/>
    <w:rsid w:val="00C407AA"/>
    <w:rsid w:val="00C43420"/>
    <w:rsid w:val="00C47BBF"/>
    <w:rsid w:val="00C51352"/>
    <w:rsid w:val="00C52F26"/>
    <w:rsid w:val="00C535FA"/>
    <w:rsid w:val="00C55417"/>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4005"/>
    <w:rsid w:val="00C85C2F"/>
    <w:rsid w:val="00C86EC4"/>
    <w:rsid w:val="00C92E01"/>
    <w:rsid w:val="00C970EA"/>
    <w:rsid w:val="00CA1230"/>
    <w:rsid w:val="00CA1AB8"/>
    <w:rsid w:val="00CA47A1"/>
    <w:rsid w:val="00CA4C88"/>
    <w:rsid w:val="00CA5594"/>
    <w:rsid w:val="00CA5A90"/>
    <w:rsid w:val="00CA6AD9"/>
    <w:rsid w:val="00CA6CBD"/>
    <w:rsid w:val="00CA6F4D"/>
    <w:rsid w:val="00CB08DC"/>
    <w:rsid w:val="00CB146A"/>
    <w:rsid w:val="00CB30DF"/>
    <w:rsid w:val="00CB4D1D"/>
    <w:rsid w:val="00CB5475"/>
    <w:rsid w:val="00CB5EDD"/>
    <w:rsid w:val="00CB65DE"/>
    <w:rsid w:val="00CC0DA5"/>
    <w:rsid w:val="00CC0F06"/>
    <w:rsid w:val="00CC1844"/>
    <w:rsid w:val="00CC311A"/>
    <w:rsid w:val="00CC3198"/>
    <w:rsid w:val="00CC4CCA"/>
    <w:rsid w:val="00CC4E75"/>
    <w:rsid w:val="00CC7BCB"/>
    <w:rsid w:val="00CD1936"/>
    <w:rsid w:val="00CD4839"/>
    <w:rsid w:val="00CD6637"/>
    <w:rsid w:val="00CD7077"/>
    <w:rsid w:val="00CE1E69"/>
    <w:rsid w:val="00CE39BC"/>
    <w:rsid w:val="00CE3D10"/>
    <w:rsid w:val="00CE4FB1"/>
    <w:rsid w:val="00CE6271"/>
    <w:rsid w:val="00CF1946"/>
    <w:rsid w:val="00CF2FE1"/>
    <w:rsid w:val="00CF4100"/>
    <w:rsid w:val="00CF555F"/>
    <w:rsid w:val="00CF5A98"/>
    <w:rsid w:val="00CF6CA7"/>
    <w:rsid w:val="00CF7322"/>
    <w:rsid w:val="00D00083"/>
    <w:rsid w:val="00D01DC2"/>
    <w:rsid w:val="00D0698E"/>
    <w:rsid w:val="00D07C19"/>
    <w:rsid w:val="00D10FF1"/>
    <w:rsid w:val="00D13078"/>
    <w:rsid w:val="00D135CB"/>
    <w:rsid w:val="00D144E0"/>
    <w:rsid w:val="00D20F9A"/>
    <w:rsid w:val="00D222DD"/>
    <w:rsid w:val="00D22638"/>
    <w:rsid w:val="00D2298A"/>
    <w:rsid w:val="00D24016"/>
    <w:rsid w:val="00D24856"/>
    <w:rsid w:val="00D26219"/>
    <w:rsid w:val="00D30546"/>
    <w:rsid w:val="00D32522"/>
    <w:rsid w:val="00D43DA5"/>
    <w:rsid w:val="00D43DC9"/>
    <w:rsid w:val="00D47105"/>
    <w:rsid w:val="00D51E28"/>
    <w:rsid w:val="00D527AC"/>
    <w:rsid w:val="00D53ADE"/>
    <w:rsid w:val="00D541D7"/>
    <w:rsid w:val="00D54708"/>
    <w:rsid w:val="00D5478D"/>
    <w:rsid w:val="00D611D0"/>
    <w:rsid w:val="00D636F8"/>
    <w:rsid w:val="00D65A2C"/>
    <w:rsid w:val="00D709CE"/>
    <w:rsid w:val="00D727AE"/>
    <w:rsid w:val="00D82F44"/>
    <w:rsid w:val="00D85C6E"/>
    <w:rsid w:val="00D9074C"/>
    <w:rsid w:val="00D90A43"/>
    <w:rsid w:val="00D9577D"/>
    <w:rsid w:val="00D95B3C"/>
    <w:rsid w:val="00D96822"/>
    <w:rsid w:val="00D97A7E"/>
    <w:rsid w:val="00DA11B4"/>
    <w:rsid w:val="00DA2467"/>
    <w:rsid w:val="00DB0AF7"/>
    <w:rsid w:val="00DB1DB2"/>
    <w:rsid w:val="00DB1F33"/>
    <w:rsid w:val="00DB32DE"/>
    <w:rsid w:val="00DC0FA2"/>
    <w:rsid w:val="00DC1060"/>
    <w:rsid w:val="00DC1894"/>
    <w:rsid w:val="00DC414C"/>
    <w:rsid w:val="00DC48CC"/>
    <w:rsid w:val="00DC774C"/>
    <w:rsid w:val="00DD4FE6"/>
    <w:rsid w:val="00DE009E"/>
    <w:rsid w:val="00DE0140"/>
    <w:rsid w:val="00DE746C"/>
    <w:rsid w:val="00DF0CBA"/>
    <w:rsid w:val="00DF0D8F"/>
    <w:rsid w:val="00DF1678"/>
    <w:rsid w:val="00DF2030"/>
    <w:rsid w:val="00DF2F91"/>
    <w:rsid w:val="00DF34A2"/>
    <w:rsid w:val="00DF35C4"/>
    <w:rsid w:val="00DF3BD3"/>
    <w:rsid w:val="00DF3E0F"/>
    <w:rsid w:val="00DF6B25"/>
    <w:rsid w:val="00DF6C62"/>
    <w:rsid w:val="00DF7042"/>
    <w:rsid w:val="00E07657"/>
    <w:rsid w:val="00E07F44"/>
    <w:rsid w:val="00E11322"/>
    <w:rsid w:val="00E15503"/>
    <w:rsid w:val="00E21315"/>
    <w:rsid w:val="00E23AE9"/>
    <w:rsid w:val="00E24CB3"/>
    <w:rsid w:val="00E25C18"/>
    <w:rsid w:val="00E267AB"/>
    <w:rsid w:val="00E33485"/>
    <w:rsid w:val="00E36490"/>
    <w:rsid w:val="00E37F70"/>
    <w:rsid w:val="00E40269"/>
    <w:rsid w:val="00E41AE2"/>
    <w:rsid w:val="00E45CEA"/>
    <w:rsid w:val="00E47733"/>
    <w:rsid w:val="00E52B6C"/>
    <w:rsid w:val="00E55B19"/>
    <w:rsid w:val="00E632E3"/>
    <w:rsid w:val="00E64ADD"/>
    <w:rsid w:val="00E64E03"/>
    <w:rsid w:val="00E71AF6"/>
    <w:rsid w:val="00E71B68"/>
    <w:rsid w:val="00E72F2D"/>
    <w:rsid w:val="00E74327"/>
    <w:rsid w:val="00E8671C"/>
    <w:rsid w:val="00E90D2C"/>
    <w:rsid w:val="00E91249"/>
    <w:rsid w:val="00E92E5D"/>
    <w:rsid w:val="00E954FC"/>
    <w:rsid w:val="00EA0D21"/>
    <w:rsid w:val="00EA0FB3"/>
    <w:rsid w:val="00EA3CCA"/>
    <w:rsid w:val="00EA3F24"/>
    <w:rsid w:val="00EA3F60"/>
    <w:rsid w:val="00EB1085"/>
    <w:rsid w:val="00EB4630"/>
    <w:rsid w:val="00EB4F41"/>
    <w:rsid w:val="00EB584D"/>
    <w:rsid w:val="00EC192F"/>
    <w:rsid w:val="00EC34A9"/>
    <w:rsid w:val="00EC6C43"/>
    <w:rsid w:val="00EC7B1D"/>
    <w:rsid w:val="00ED0DAE"/>
    <w:rsid w:val="00ED161F"/>
    <w:rsid w:val="00ED1828"/>
    <w:rsid w:val="00ED2BE3"/>
    <w:rsid w:val="00ED3B28"/>
    <w:rsid w:val="00ED503B"/>
    <w:rsid w:val="00EE10A7"/>
    <w:rsid w:val="00EE241E"/>
    <w:rsid w:val="00EE2EF8"/>
    <w:rsid w:val="00EE6B87"/>
    <w:rsid w:val="00EF14B6"/>
    <w:rsid w:val="00EF164F"/>
    <w:rsid w:val="00EF3E01"/>
    <w:rsid w:val="00EF7932"/>
    <w:rsid w:val="00F00AA0"/>
    <w:rsid w:val="00F01624"/>
    <w:rsid w:val="00F01C57"/>
    <w:rsid w:val="00F04BAC"/>
    <w:rsid w:val="00F17C22"/>
    <w:rsid w:val="00F17EF3"/>
    <w:rsid w:val="00F2002F"/>
    <w:rsid w:val="00F21F68"/>
    <w:rsid w:val="00F23615"/>
    <w:rsid w:val="00F26A69"/>
    <w:rsid w:val="00F31DD9"/>
    <w:rsid w:val="00F324C7"/>
    <w:rsid w:val="00F33B3F"/>
    <w:rsid w:val="00F33CF3"/>
    <w:rsid w:val="00F34463"/>
    <w:rsid w:val="00F369D3"/>
    <w:rsid w:val="00F37D9D"/>
    <w:rsid w:val="00F43256"/>
    <w:rsid w:val="00F4372D"/>
    <w:rsid w:val="00F43B0C"/>
    <w:rsid w:val="00F46D38"/>
    <w:rsid w:val="00F507B4"/>
    <w:rsid w:val="00F51E1F"/>
    <w:rsid w:val="00F536E3"/>
    <w:rsid w:val="00F541B8"/>
    <w:rsid w:val="00F55401"/>
    <w:rsid w:val="00F55EC7"/>
    <w:rsid w:val="00F55FCC"/>
    <w:rsid w:val="00F56987"/>
    <w:rsid w:val="00F5754B"/>
    <w:rsid w:val="00F637F3"/>
    <w:rsid w:val="00F63F00"/>
    <w:rsid w:val="00F640A3"/>
    <w:rsid w:val="00F67E27"/>
    <w:rsid w:val="00F70195"/>
    <w:rsid w:val="00F708E2"/>
    <w:rsid w:val="00F72D0B"/>
    <w:rsid w:val="00F77FF0"/>
    <w:rsid w:val="00F80E53"/>
    <w:rsid w:val="00F82528"/>
    <w:rsid w:val="00F83A89"/>
    <w:rsid w:val="00F86DCE"/>
    <w:rsid w:val="00F86EDD"/>
    <w:rsid w:val="00F87DB8"/>
    <w:rsid w:val="00F905E1"/>
    <w:rsid w:val="00FA096B"/>
    <w:rsid w:val="00FA0D8D"/>
    <w:rsid w:val="00FA20A2"/>
    <w:rsid w:val="00FB0C49"/>
    <w:rsid w:val="00FB5D12"/>
    <w:rsid w:val="00FC04B6"/>
    <w:rsid w:val="00FC177E"/>
    <w:rsid w:val="00FC1A7F"/>
    <w:rsid w:val="00FC2B0D"/>
    <w:rsid w:val="00FC3B60"/>
    <w:rsid w:val="00FC4A09"/>
    <w:rsid w:val="00FC554C"/>
    <w:rsid w:val="00FC74B4"/>
    <w:rsid w:val="00FD01C1"/>
    <w:rsid w:val="00FD4F09"/>
    <w:rsid w:val="00FD607C"/>
    <w:rsid w:val="00FD7B90"/>
    <w:rsid w:val="00FD7F8A"/>
    <w:rsid w:val="00FE1043"/>
    <w:rsid w:val="00FE22FA"/>
    <w:rsid w:val="00FE35C9"/>
    <w:rsid w:val="00FE6025"/>
    <w:rsid w:val="00FE6E7A"/>
    <w:rsid w:val="00FF0A8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DC7D1755-F8C8-45F3-AFEA-3C7903B1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B98A-F028-4A36-BA1F-11D2DF3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11422</Words>
  <Characters>62825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18</cp:revision>
  <cp:lastPrinted>2019-05-06T14:16:00Z</cp:lastPrinted>
  <dcterms:created xsi:type="dcterms:W3CDTF">2019-05-27T11:52:00Z</dcterms:created>
  <dcterms:modified xsi:type="dcterms:W3CDTF">2019-07-23T16:37:00Z</dcterms:modified>
</cp:coreProperties>
</file>