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D635" w14:textId="77777777" w:rsidR="00DB3FC7" w:rsidRPr="00DB3FC7" w:rsidRDefault="00DB3FC7" w:rsidP="00DB3FC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B3FC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4056BF" w14:textId="77777777" w:rsidR="00DB3FC7" w:rsidRPr="00DB3FC7" w:rsidRDefault="00DB3FC7" w:rsidP="00DB3FC7">
      <w:pPr>
        <w:jc w:val="both"/>
        <w:rPr>
          <w:rFonts w:ascii="Arial" w:hAnsi="Arial" w:cs="Arial"/>
          <w:sz w:val="20"/>
          <w:lang w:val="es-419"/>
        </w:rPr>
      </w:pPr>
    </w:p>
    <w:p w14:paraId="2D8810F8" w14:textId="15CB44FF" w:rsidR="00DB3FC7" w:rsidRPr="00DB3FC7" w:rsidRDefault="00DB3FC7" w:rsidP="00DB3FC7">
      <w:pPr>
        <w:jc w:val="both"/>
        <w:rPr>
          <w:rFonts w:ascii="Arial" w:hAnsi="Arial" w:cs="Arial"/>
          <w:sz w:val="20"/>
          <w:lang w:val="es-419"/>
        </w:rPr>
      </w:pPr>
      <w:r>
        <w:rPr>
          <w:rFonts w:ascii="Arial" w:hAnsi="Arial" w:cs="Arial"/>
          <w:sz w:val="20"/>
          <w:lang w:val="es-419"/>
        </w:rPr>
        <w:t>Asunto:</w:t>
      </w:r>
      <w:r>
        <w:rPr>
          <w:rFonts w:ascii="Arial" w:hAnsi="Arial" w:cs="Arial"/>
          <w:sz w:val="20"/>
          <w:lang w:val="es-419"/>
        </w:rPr>
        <w:tab/>
      </w:r>
      <w:r w:rsidRPr="00DB3FC7">
        <w:rPr>
          <w:rFonts w:ascii="Arial" w:hAnsi="Arial" w:cs="Arial"/>
          <w:sz w:val="20"/>
          <w:lang w:val="es-419"/>
        </w:rPr>
        <w:tab/>
      </w:r>
      <w:r w:rsidRPr="00DB3FC7">
        <w:rPr>
          <w:rFonts w:ascii="Arial" w:hAnsi="Arial" w:cs="Arial"/>
          <w:sz w:val="20"/>
          <w:lang w:val="es-419"/>
        </w:rPr>
        <w:tab/>
        <w:t>Apelación</w:t>
      </w:r>
      <w:r w:rsidR="00633849">
        <w:rPr>
          <w:rFonts w:ascii="Arial" w:hAnsi="Arial" w:cs="Arial"/>
          <w:sz w:val="20"/>
          <w:lang w:val="es-419"/>
        </w:rPr>
        <w:t xml:space="preserve"> Sentencia</w:t>
      </w:r>
    </w:p>
    <w:p w14:paraId="57FFB6DC" w14:textId="2CB67F8B" w:rsidR="00DB3FC7" w:rsidRPr="00DB3FC7" w:rsidRDefault="00DB3FC7" w:rsidP="00DB3FC7">
      <w:pPr>
        <w:jc w:val="both"/>
        <w:rPr>
          <w:rFonts w:ascii="Arial" w:hAnsi="Arial" w:cs="Arial"/>
          <w:sz w:val="20"/>
          <w:lang w:val="es-419"/>
        </w:rPr>
      </w:pPr>
      <w:r w:rsidRPr="00DB3FC7">
        <w:rPr>
          <w:rFonts w:ascii="Arial" w:hAnsi="Arial" w:cs="Arial"/>
          <w:sz w:val="20"/>
          <w:lang w:val="es-419"/>
        </w:rPr>
        <w:t>Proceso</w:t>
      </w:r>
      <w:r>
        <w:rPr>
          <w:rFonts w:ascii="Arial" w:hAnsi="Arial" w:cs="Arial"/>
          <w:sz w:val="20"/>
          <w:lang w:val="es-CO"/>
        </w:rPr>
        <w:t>:</w:t>
      </w:r>
      <w:r w:rsidRPr="00DB3FC7">
        <w:rPr>
          <w:rFonts w:ascii="Arial" w:hAnsi="Arial" w:cs="Arial"/>
          <w:sz w:val="20"/>
          <w:lang w:val="es-419"/>
        </w:rPr>
        <w:tab/>
      </w:r>
      <w:r w:rsidRPr="00DB3FC7">
        <w:rPr>
          <w:rFonts w:ascii="Arial" w:hAnsi="Arial" w:cs="Arial"/>
          <w:sz w:val="20"/>
          <w:lang w:val="es-419"/>
        </w:rPr>
        <w:tab/>
        <w:t>Ordinario laboral</w:t>
      </w:r>
    </w:p>
    <w:p w14:paraId="0816FBAE" w14:textId="7047C20C" w:rsidR="00DB3FC7" w:rsidRPr="00DB3FC7" w:rsidRDefault="00DB3FC7" w:rsidP="00DB3FC7">
      <w:pPr>
        <w:jc w:val="both"/>
        <w:rPr>
          <w:rFonts w:ascii="Arial" w:hAnsi="Arial" w:cs="Arial"/>
          <w:sz w:val="20"/>
          <w:lang w:val="es-419"/>
        </w:rPr>
      </w:pPr>
      <w:r w:rsidRPr="00DB3FC7">
        <w:rPr>
          <w:rFonts w:ascii="Arial" w:hAnsi="Arial" w:cs="Arial"/>
          <w:sz w:val="20"/>
          <w:lang w:val="es-419"/>
        </w:rPr>
        <w:t>Radicación Nro.:</w:t>
      </w:r>
      <w:r w:rsidRPr="00DB3FC7">
        <w:rPr>
          <w:rFonts w:ascii="Arial" w:hAnsi="Arial" w:cs="Arial"/>
          <w:sz w:val="20"/>
          <w:lang w:val="es-419"/>
        </w:rPr>
        <w:tab/>
        <w:t xml:space="preserve">66001-31-05-005-2013-00617-02 </w:t>
      </w:r>
    </w:p>
    <w:p w14:paraId="74C1E8F2" w14:textId="77777777" w:rsidR="00DB3FC7" w:rsidRPr="00DB3FC7" w:rsidRDefault="00DB3FC7" w:rsidP="00DB3FC7">
      <w:pPr>
        <w:jc w:val="both"/>
        <w:rPr>
          <w:rFonts w:ascii="Arial" w:hAnsi="Arial" w:cs="Arial"/>
          <w:sz w:val="20"/>
          <w:lang w:val="es-419"/>
        </w:rPr>
      </w:pPr>
      <w:r w:rsidRPr="00DB3FC7">
        <w:rPr>
          <w:rFonts w:ascii="Arial" w:hAnsi="Arial" w:cs="Arial"/>
          <w:sz w:val="20"/>
          <w:lang w:val="es-419"/>
        </w:rPr>
        <w:t xml:space="preserve">Demandante: </w:t>
      </w:r>
      <w:r w:rsidRPr="00DB3FC7">
        <w:rPr>
          <w:rFonts w:ascii="Arial" w:hAnsi="Arial" w:cs="Arial"/>
          <w:sz w:val="20"/>
          <w:lang w:val="es-419"/>
        </w:rPr>
        <w:tab/>
      </w:r>
      <w:r w:rsidRPr="00DB3FC7">
        <w:rPr>
          <w:rFonts w:ascii="Arial" w:hAnsi="Arial" w:cs="Arial"/>
          <w:sz w:val="20"/>
          <w:lang w:val="es-419"/>
        </w:rPr>
        <w:tab/>
        <w:t>María Zoraida Arroyave Loaiza y Yeris Yulitza Trejos Arroyave</w:t>
      </w:r>
    </w:p>
    <w:p w14:paraId="4E128898" w14:textId="0BEC3C4D" w:rsidR="00DB3FC7" w:rsidRPr="00DB3FC7" w:rsidRDefault="00DB3FC7" w:rsidP="00DB3FC7">
      <w:pPr>
        <w:jc w:val="both"/>
        <w:rPr>
          <w:rFonts w:ascii="Arial" w:hAnsi="Arial" w:cs="Arial"/>
          <w:sz w:val="20"/>
          <w:lang w:val="es-419"/>
        </w:rPr>
      </w:pPr>
      <w:r w:rsidRPr="00DB3FC7">
        <w:rPr>
          <w:rFonts w:ascii="Arial" w:hAnsi="Arial" w:cs="Arial"/>
          <w:sz w:val="20"/>
          <w:lang w:val="es-419"/>
        </w:rPr>
        <w:t xml:space="preserve">Demandado: </w:t>
      </w:r>
      <w:r>
        <w:rPr>
          <w:rFonts w:ascii="Arial" w:hAnsi="Arial" w:cs="Arial"/>
          <w:sz w:val="20"/>
          <w:lang w:val="es-419"/>
        </w:rPr>
        <w:tab/>
      </w:r>
      <w:r w:rsidRPr="00DB3FC7">
        <w:rPr>
          <w:rFonts w:ascii="Arial" w:hAnsi="Arial" w:cs="Arial"/>
          <w:sz w:val="20"/>
          <w:lang w:val="es-419"/>
        </w:rPr>
        <w:tab/>
        <w:t>Protección S.A., Wilmar Atehortua Arango y Mariluz Sepulveda Giraldo</w:t>
      </w:r>
    </w:p>
    <w:p w14:paraId="380F12A6" w14:textId="00D205DB" w:rsidR="00DB3FC7" w:rsidRPr="00DB3FC7" w:rsidRDefault="00DB3FC7" w:rsidP="00DB3FC7">
      <w:pPr>
        <w:jc w:val="both"/>
        <w:rPr>
          <w:rFonts w:ascii="Arial" w:hAnsi="Arial" w:cs="Arial"/>
          <w:sz w:val="20"/>
          <w:lang w:val="es-419"/>
        </w:rPr>
      </w:pPr>
      <w:r w:rsidRPr="00DB3FC7">
        <w:rPr>
          <w:rFonts w:ascii="Arial" w:hAnsi="Arial" w:cs="Arial"/>
          <w:sz w:val="20"/>
          <w:lang w:val="es-419"/>
        </w:rPr>
        <w:t>Vinculado:</w:t>
      </w:r>
      <w:r w:rsidRPr="00DB3FC7">
        <w:rPr>
          <w:rFonts w:ascii="Arial" w:hAnsi="Arial" w:cs="Arial"/>
          <w:sz w:val="20"/>
          <w:lang w:val="es-419"/>
        </w:rPr>
        <w:tab/>
      </w:r>
      <w:r>
        <w:rPr>
          <w:rFonts w:ascii="Arial" w:hAnsi="Arial" w:cs="Arial"/>
          <w:sz w:val="20"/>
          <w:lang w:val="es-419"/>
        </w:rPr>
        <w:tab/>
      </w:r>
      <w:r w:rsidRPr="00DB3FC7">
        <w:rPr>
          <w:rFonts w:ascii="Arial" w:hAnsi="Arial" w:cs="Arial"/>
          <w:sz w:val="20"/>
          <w:lang w:val="es-419"/>
        </w:rPr>
        <w:t>Seguros Bolívar S.A.</w:t>
      </w:r>
    </w:p>
    <w:p w14:paraId="1B4C864D" w14:textId="0123449E" w:rsidR="00DB3FC7" w:rsidRPr="00DB3FC7" w:rsidRDefault="00DB3FC7" w:rsidP="00DB3FC7">
      <w:pPr>
        <w:jc w:val="both"/>
        <w:rPr>
          <w:rFonts w:ascii="Arial" w:hAnsi="Arial" w:cs="Arial"/>
          <w:sz w:val="20"/>
          <w:lang w:val="es-419"/>
        </w:rPr>
      </w:pPr>
      <w:r w:rsidRPr="00DB3FC7">
        <w:rPr>
          <w:rFonts w:ascii="Arial" w:hAnsi="Arial" w:cs="Arial"/>
          <w:sz w:val="20"/>
          <w:lang w:val="es-419"/>
        </w:rPr>
        <w:t>Juzgado de Origen:</w:t>
      </w:r>
      <w:r w:rsidRPr="00DB3FC7">
        <w:rPr>
          <w:rFonts w:ascii="Arial" w:hAnsi="Arial" w:cs="Arial"/>
          <w:sz w:val="20"/>
          <w:lang w:val="es-419"/>
        </w:rPr>
        <w:tab/>
        <w:t>Quinto Laboral del Circuito de Pereira</w:t>
      </w:r>
    </w:p>
    <w:p w14:paraId="61C8F231" w14:textId="77777777" w:rsidR="00DB3FC7" w:rsidRPr="00DB3FC7" w:rsidRDefault="00DB3FC7" w:rsidP="00DB3FC7">
      <w:pPr>
        <w:jc w:val="both"/>
        <w:rPr>
          <w:rFonts w:ascii="Arial" w:hAnsi="Arial" w:cs="Arial"/>
          <w:sz w:val="20"/>
          <w:lang w:val="es-419"/>
        </w:rPr>
      </w:pPr>
    </w:p>
    <w:p w14:paraId="750020CF" w14:textId="58D2E0E4" w:rsidR="00DB3FC7" w:rsidRPr="00DB3FC7" w:rsidRDefault="00DB3FC7" w:rsidP="00DB3FC7">
      <w:pPr>
        <w:jc w:val="both"/>
        <w:rPr>
          <w:rFonts w:ascii="Arial" w:hAnsi="Arial" w:cs="Arial"/>
          <w:b/>
          <w:bCs/>
          <w:iCs/>
          <w:sz w:val="20"/>
          <w:lang w:val="es-419" w:eastAsia="fr-FR"/>
        </w:rPr>
      </w:pPr>
      <w:r w:rsidRPr="00DB3FC7">
        <w:rPr>
          <w:rFonts w:ascii="Arial" w:hAnsi="Arial" w:cs="Arial"/>
          <w:b/>
          <w:bCs/>
          <w:iCs/>
          <w:sz w:val="20"/>
          <w:lang w:val="es-419" w:eastAsia="fr-FR"/>
        </w:rPr>
        <w:t>TEMAS:</w:t>
      </w:r>
      <w:r w:rsidRPr="00DB3FC7">
        <w:rPr>
          <w:rFonts w:ascii="Arial" w:hAnsi="Arial" w:cs="Arial"/>
          <w:b/>
          <w:bCs/>
          <w:iCs/>
          <w:sz w:val="20"/>
          <w:lang w:val="es-419" w:eastAsia="fr-FR"/>
        </w:rPr>
        <w:tab/>
      </w:r>
      <w:r w:rsidR="00CA17DD">
        <w:rPr>
          <w:rFonts w:ascii="Arial" w:hAnsi="Arial" w:cs="Arial"/>
          <w:b/>
          <w:bCs/>
          <w:iCs/>
          <w:sz w:val="20"/>
          <w:lang w:val="es-419" w:eastAsia="fr-FR"/>
        </w:rPr>
        <w:t>PENSIÓN DE SOBREVIVIENTES /</w:t>
      </w:r>
      <w:r w:rsidRPr="00DB3FC7">
        <w:rPr>
          <w:rFonts w:ascii="Arial" w:hAnsi="Arial" w:cs="Arial"/>
          <w:b/>
          <w:sz w:val="20"/>
          <w:lang w:val="es-419"/>
        </w:rPr>
        <w:t xml:space="preserve"> FALTA DE AFILIACIÓN AL SISTEMA PENSIONAL </w:t>
      </w:r>
      <w:r w:rsidR="00CA17DD">
        <w:rPr>
          <w:rFonts w:ascii="Arial" w:hAnsi="Arial" w:cs="Arial"/>
          <w:b/>
          <w:sz w:val="20"/>
          <w:lang w:val="es-419"/>
        </w:rPr>
        <w:t>/ MORA PATRONAL / DIFERENCIA DE CADA UNA EN SUS EFECTOS /</w:t>
      </w:r>
      <w:r w:rsidRPr="00DB3FC7">
        <w:rPr>
          <w:rFonts w:ascii="Arial" w:hAnsi="Arial" w:cs="Arial"/>
          <w:b/>
          <w:sz w:val="20"/>
          <w:lang w:val="es-419"/>
        </w:rPr>
        <w:t xml:space="preserve"> PRESCRIPCIÓN </w:t>
      </w:r>
      <w:r w:rsidR="00CA17DD">
        <w:rPr>
          <w:rFonts w:ascii="Arial" w:hAnsi="Arial" w:cs="Arial"/>
          <w:b/>
          <w:sz w:val="20"/>
          <w:lang w:val="es-419"/>
        </w:rPr>
        <w:t xml:space="preserve">/ INAPLICABILIDAD RESPECTO DE </w:t>
      </w:r>
      <w:r w:rsidRPr="00DB3FC7">
        <w:rPr>
          <w:rFonts w:ascii="Arial" w:hAnsi="Arial" w:cs="Arial"/>
          <w:b/>
          <w:sz w:val="20"/>
          <w:lang w:val="es-419"/>
        </w:rPr>
        <w:t>MENOR</w:t>
      </w:r>
      <w:r w:rsidR="00CA17DD">
        <w:rPr>
          <w:rFonts w:ascii="Arial" w:hAnsi="Arial" w:cs="Arial"/>
          <w:b/>
          <w:sz w:val="20"/>
          <w:lang w:val="es-419"/>
        </w:rPr>
        <w:t>ES DE EDAD.</w:t>
      </w:r>
    </w:p>
    <w:p w14:paraId="20F78B54" w14:textId="77777777" w:rsidR="00DB3FC7" w:rsidRPr="00DB3FC7" w:rsidRDefault="00DB3FC7" w:rsidP="00DB3FC7">
      <w:pPr>
        <w:jc w:val="both"/>
        <w:rPr>
          <w:rFonts w:ascii="Arial" w:hAnsi="Arial" w:cs="Arial"/>
          <w:sz w:val="20"/>
          <w:lang w:val="es-419"/>
        </w:rPr>
      </w:pPr>
    </w:p>
    <w:p w14:paraId="53A8DF2B" w14:textId="0BB71461" w:rsidR="00DB3FC7" w:rsidRPr="00DB3FC7" w:rsidRDefault="007C3B26" w:rsidP="00DB3FC7">
      <w:pPr>
        <w:jc w:val="both"/>
        <w:rPr>
          <w:rFonts w:ascii="Arial" w:hAnsi="Arial" w:cs="Arial"/>
          <w:sz w:val="20"/>
          <w:lang w:val="es-419"/>
        </w:rPr>
      </w:pPr>
      <w:r w:rsidRPr="007C3B26">
        <w:rPr>
          <w:rFonts w:ascii="Arial" w:hAnsi="Arial" w:cs="Arial"/>
          <w:sz w:val="20"/>
          <w:lang w:val="es-419"/>
        </w:rPr>
        <w:t>Auscultada la historia laboral de Yobany Antonio Trejos Sánchez (fls. 43, 52 a 54 c. 1) y una constancia de aportes emitida por Protección S.A. (fl. 216 c. 1), se tiene que el fallecido tiene aportes al sistema pensional con las que apenas alcanza 39,85 semanas de cotización entre agosto del año 2006 y el mismo mes del año 2007, insuficientes para colmar la densidad de semanas requerida</w:t>
      </w:r>
      <w:r>
        <w:rPr>
          <w:rFonts w:ascii="Arial" w:hAnsi="Arial" w:cs="Arial"/>
          <w:sz w:val="20"/>
          <w:lang w:val="es-419"/>
        </w:rPr>
        <w:t>…</w:t>
      </w:r>
    </w:p>
    <w:p w14:paraId="108663AB" w14:textId="77777777" w:rsidR="00DB3FC7" w:rsidRPr="00DB3FC7" w:rsidRDefault="00DB3FC7" w:rsidP="00DB3FC7">
      <w:pPr>
        <w:jc w:val="both"/>
        <w:rPr>
          <w:rFonts w:ascii="Arial" w:hAnsi="Arial" w:cs="Arial"/>
          <w:sz w:val="20"/>
          <w:lang w:val="es-419"/>
        </w:rPr>
      </w:pPr>
    </w:p>
    <w:p w14:paraId="0EAA51F1" w14:textId="2D4A7523" w:rsidR="00DB3FC7" w:rsidRDefault="007C3B26" w:rsidP="00DB3FC7">
      <w:pPr>
        <w:jc w:val="both"/>
        <w:rPr>
          <w:rFonts w:ascii="Arial" w:hAnsi="Arial" w:cs="Arial"/>
          <w:sz w:val="20"/>
          <w:lang w:val="es-419"/>
        </w:rPr>
      </w:pPr>
      <w:r w:rsidRPr="007C3B26">
        <w:rPr>
          <w:rFonts w:ascii="Arial" w:hAnsi="Arial" w:cs="Arial"/>
          <w:sz w:val="20"/>
          <w:lang w:val="es-419"/>
        </w:rPr>
        <w:t>Por lo que resulta imperioso analizar la presencia de moras patronales o ausencias de afiliación al sistema pensional y si pueden ser tenidas en cuenta tales semanas para efectos del reconocimiento de la pensión de sobrevivientes, pues le faltarían 10,15 semanas para alcanzar las 50 semanas requeridas y con ello dejar causado el derecho a la pensión de sobrevivientes.</w:t>
      </w:r>
      <w:r>
        <w:rPr>
          <w:rFonts w:ascii="Arial" w:hAnsi="Arial" w:cs="Arial"/>
          <w:sz w:val="20"/>
          <w:lang w:val="es-419"/>
        </w:rPr>
        <w:t xml:space="preserve"> (…)</w:t>
      </w:r>
    </w:p>
    <w:p w14:paraId="1C7C8480" w14:textId="77777777" w:rsidR="007C3B26" w:rsidRDefault="007C3B26" w:rsidP="00DB3FC7">
      <w:pPr>
        <w:jc w:val="both"/>
        <w:rPr>
          <w:rFonts w:ascii="Arial" w:hAnsi="Arial" w:cs="Arial"/>
          <w:sz w:val="20"/>
          <w:lang w:val="es-419"/>
        </w:rPr>
      </w:pPr>
    </w:p>
    <w:p w14:paraId="6FF3F299" w14:textId="31316957" w:rsidR="007C3B26" w:rsidRDefault="007C3B26" w:rsidP="00DB3FC7">
      <w:pPr>
        <w:jc w:val="both"/>
        <w:rPr>
          <w:rFonts w:ascii="Arial" w:hAnsi="Arial" w:cs="Arial"/>
          <w:sz w:val="20"/>
          <w:lang w:val="es-419"/>
        </w:rPr>
      </w:pPr>
      <w:r w:rsidRPr="007C3B26">
        <w:rPr>
          <w:rFonts w:ascii="Arial" w:hAnsi="Arial" w:cs="Arial"/>
          <w:sz w:val="20"/>
          <w:lang w:val="es-419"/>
        </w:rPr>
        <w:t>La Sala de Casación Laboral de la Corte Suprema de Justicia ha enseñado que las consecuencias jurídicas de la falta de afiliación por parte del empleador al sistema pensional, ya sea por falta de cobertura, por declaración de contratos realidad o simplemente por omisión del empleador, son diferentes para las pensiones de vejez, sobrevivientes e invalidez</w:t>
      </w:r>
      <w:r>
        <w:rPr>
          <w:rFonts w:ascii="Arial" w:hAnsi="Arial" w:cs="Arial"/>
          <w:sz w:val="20"/>
          <w:lang w:val="es-419"/>
        </w:rPr>
        <w:t>. (…)</w:t>
      </w:r>
    </w:p>
    <w:p w14:paraId="7CAEB816" w14:textId="77777777" w:rsidR="007C3B26" w:rsidRPr="00DB3FC7" w:rsidRDefault="007C3B26" w:rsidP="00DB3FC7">
      <w:pPr>
        <w:jc w:val="both"/>
        <w:rPr>
          <w:rFonts w:ascii="Arial" w:hAnsi="Arial" w:cs="Arial"/>
          <w:sz w:val="20"/>
          <w:lang w:val="es-419"/>
        </w:rPr>
      </w:pPr>
    </w:p>
    <w:p w14:paraId="37165495" w14:textId="084E0B44" w:rsidR="00DB3FC7" w:rsidRDefault="007C3B26" w:rsidP="00DB3FC7">
      <w:pPr>
        <w:jc w:val="both"/>
        <w:rPr>
          <w:rFonts w:ascii="Arial" w:hAnsi="Arial" w:cs="Arial"/>
          <w:sz w:val="20"/>
          <w:lang w:val="es-ES"/>
        </w:rPr>
      </w:pPr>
      <w:r>
        <w:rPr>
          <w:rFonts w:ascii="Arial" w:hAnsi="Arial" w:cs="Arial"/>
          <w:sz w:val="20"/>
          <w:lang w:val="es-ES"/>
        </w:rPr>
        <w:t xml:space="preserve">… </w:t>
      </w:r>
      <w:r w:rsidRPr="007C3B26">
        <w:rPr>
          <w:rFonts w:ascii="Arial" w:hAnsi="Arial" w:cs="Arial"/>
          <w:sz w:val="20"/>
          <w:lang w:val="es-ES"/>
        </w:rPr>
        <w:t>para las pensiones de sobrevivencia e invalidez, en tanto se fundamentan en el acaecimiento de un riesgo, la mera consecución de una reserva actuarial frente a 50 semanas como requisito mínimo para su causación, no tendría “igual utilidad práctica para el sostenimiento financiero del sistema, ni produce las mismas consecuencias”; por lo tanto, resulta indispensable la afiliación del trabajador o la convalidación de dichos tiempos antes de que acaezca el riesgo. Admitir el pago de dicho cálculo para esta clase de pensiones implicaría que la administradora deba asumir el reconocimiento de una prestación periódica frente a la cual “i) no tuvo conocimiento para iniciar acciones de cobro de los aportes; ii) no pudo prever y gestionar el riesgo de sobrevivientes, a través de reservas o seguros; iii) y tiene que financiar en un 100%, aun si los aportes que puede convalidar a través del título pensional no alcanzan para ello”</w:t>
      </w:r>
      <w:r>
        <w:rPr>
          <w:rFonts w:ascii="Arial" w:hAnsi="Arial" w:cs="Arial"/>
          <w:sz w:val="20"/>
          <w:lang w:val="es-ES"/>
        </w:rPr>
        <w:t>.</w:t>
      </w:r>
    </w:p>
    <w:p w14:paraId="104534DA" w14:textId="77777777" w:rsidR="007C3B26" w:rsidRDefault="007C3B26" w:rsidP="00DB3FC7">
      <w:pPr>
        <w:jc w:val="both"/>
        <w:rPr>
          <w:rFonts w:ascii="Arial" w:hAnsi="Arial" w:cs="Arial"/>
          <w:sz w:val="20"/>
          <w:lang w:val="es-ES"/>
        </w:rPr>
      </w:pPr>
    </w:p>
    <w:p w14:paraId="4A093901" w14:textId="3512F024" w:rsidR="007C3B26" w:rsidRDefault="007C3B26" w:rsidP="00DB3FC7">
      <w:pPr>
        <w:jc w:val="both"/>
        <w:rPr>
          <w:rFonts w:ascii="Arial" w:hAnsi="Arial" w:cs="Arial"/>
          <w:sz w:val="20"/>
          <w:lang w:val="es-ES"/>
        </w:rPr>
      </w:pPr>
      <w:r w:rsidRPr="007C3B26">
        <w:rPr>
          <w:rFonts w:ascii="Arial" w:hAnsi="Arial" w:cs="Arial"/>
          <w:sz w:val="20"/>
          <w:lang w:val="es-ES"/>
        </w:rPr>
        <w:t>En ese sentido, la falta de afiliación de un trabajador al sistema de seguridad social en pensiones o la ausencia de convalidación de tiempos servidos antes de la muerte de este, de ninguna manera traslada a la administradora de pensiones la carga de reconocer la pensión de sobrevivientes o invalidez, y por el contrario, relega al empleador omiso el deber de asumir el pago de su pensión.</w:t>
      </w:r>
      <w:r>
        <w:rPr>
          <w:rFonts w:ascii="Arial" w:hAnsi="Arial" w:cs="Arial"/>
          <w:sz w:val="20"/>
          <w:lang w:val="es-ES"/>
        </w:rPr>
        <w:t xml:space="preserve"> (...)</w:t>
      </w:r>
    </w:p>
    <w:p w14:paraId="6AE9A775" w14:textId="77777777" w:rsidR="001B3E0B" w:rsidRDefault="001B3E0B" w:rsidP="00DB3FC7">
      <w:pPr>
        <w:jc w:val="both"/>
        <w:rPr>
          <w:rFonts w:ascii="Arial" w:hAnsi="Arial" w:cs="Arial"/>
          <w:sz w:val="20"/>
          <w:lang w:val="es-ES"/>
        </w:rPr>
      </w:pPr>
    </w:p>
    <w:p w14:paraId="20CA1EF4" w14:textId="48F328D9" w:rsidR="001B3E0B" w:rsidRDefault="001B3E0B" w:rsidP="00DB3FC7">
      <w:pPr>
        <w:jc w:val="both"/>
        <w:rPr>
          <w:rFonts w:ascii="Arial" w:hAnsi="Arial" w:cs="Arial"/>
          <w:sz w:val="20"/>
          <w:lang w:val="es-ES"/>
        </w:rPr>
      </w:pPr>
      <w:r>
        <w:rPr>
          <w:rFonts w:ascii="Arial" w:hAnsi="Arial" w:cs="Arial"/>
          <w:sz w:val="20"/>
          <w:lang w:val="es-ES"/>
        </w:rPr>
        <w:t xml:space="preserve">… </w:t>
      </w:r>
      <w:r w:rsidRPr="001B3E0B">
        <w:rPr>
          <w:rFonts w:ascii="Arial" w:hAnsi="Arial" w:cs="Arial"/>
          <w:sz w:val="20"/>
          <w:lang w:val="es-ES"/>
        </w:rPr>
        <w:t>de manera específica para pensiones de sobrevivientes, cuando existe mora en el pago de las cotizaciones por parte del empleador que son indispensables para cumplir la densidad mínima exigida por la ley para causar el derecho, o que de existir dicha mora sea pagada con posterioridad al siniestro, la jurisprudencia actual ha enseñado que ante la presencia de tal omisión en el pago que impide el acceso a la prestación, sin que la administradora haya cumplido con su deber legal de cobro, entonces es ésta quien debe asumir el reconocimiento de la pensión y que “los aportes efectuados por el empleador moroso, una vez ha ocurrido el siniestro, tienen plena validez para cubrir las contingencias que ampara el sistema, ya que la entidad ha debido adelantar las gestiones necesarias y eficientes para lograr su recaudo”</w:t>
      </w:r>
      <w:r>
        <w:rPr>
          <w:rFonts w:ascii="Arial" w:hAnsi="Arial" w:cs="Arial"/>
          <w:sz w:val="20"/>
          <w:lang w:val="es-ES"/>
        </w:rPr>
        <w:t>. (…)</w:t>
      </w:r>
    </w:p>
    <w:p w14:paraId="05123C67" w14:textId="77777777" w:rsidR="001B3E0B" w:rsidRDefault="001B3E0B" w:rsidP="00DB3FC7">
      <w:pPr>
        <w:jc w:val="both"/>
        <w:rPr>
          <w:rFonts w:ascii="Arial" w:hAnsi="Arial" w:cs="Arial"/>
          <w:sz w:val="20"/>
          <w:lang w:val="es-ES"/>
        </w:rPr>
      </w:pPr>
    </w:p>
    <w:p w14:paraId="75BBCFE1" w14:textId="478D0F38" w:rsidR="00CA17DD" w:rsidRPr="00CA17DD" w:rsidRDefault="00CA17DD" w:rsidP="00CA17DD">
      <w:pPr>
        <w:jc w:val="both"/>
        <w:rPr>
          <w:rFonts w:ascii="Arial" w:hAnsi="Arial" w:cs="Arial"/>
          <w:sz w:val="20"/>
          <w:lang w:val="es-ES"/>
        </w:rPr>
      </w:pPr>
      <w:r>
        <w:rPr>
          <w:rFonts w:ascii="Arial" w:hAnsi="Arial" w:cs="Arial"/>
          <w:sz w:val="20"/>
          <w:lang w:val="es-ES"/>
        </w:rPr>
        <w:t xml:space="preserve">… </w:t>
      </w:r>
      <w:r w:rsidRPr="00CA17DD">
        <w:rPr>
          <w:rFonts w:ascii="Arial" w:hAnsi="Arial" w:cs="Arial"/>
          <w:sz w:val="20"/>
          <w:lang w:val="es-ES"/>
        </w:rPr>
        <w:t xml:space="preserve">rememórese que el derecho pensional es imprescriptible, siendo susceptibles de tal fenómeno apenas las mesadas pensionales, que para este caso se regulan por los artículos de las leyes sociales ya descritos y que se aplican de preferencia para asuntos como este, en relación con la pretensión pensional (art. 1º del </w:t>
      </w:r>
      <w:proofErr w:type="spellStart"/>
      <w:r w:rsidRPr="00CA17DD">
        <w:rPr>
          <w:rFonts w:ascii="Arial" w:hAnsi="Arial" w:cs="Arial"/>
          <w:sz w:val="20"/>
          <w:lang w:val="es-ES"/>
        </w:rPr>
        <w:t>C.P.L</w:t>
      </w:r>
      <w:proofErr w:type="spellEnd"/>
      <w:r w:rsidRPr="00CA17DD">
        <w:rPr>
          <w:rFonts w:ascii="Arial" w:hAnsi="Arial" w:cs="Arial"/>
          <w:sz w:val="20"/>
          <w:lang w:val="es-ES"/>
        </w:rPr>
        <w:t>. y de la S.S.).</w:t>
      </w:r>
    </w:p>
    <w:p w14:paraId="4122E027" w14:textId="77777777" w:rsidR="00CA17DD" w:rsidRPr="00CA17DD" w:rsidRDefault="00CA17DD" w:rsidP="00CA17DD">
      <w:pPr>
        <w:jc w:val="both"/>
        <w:rPr>
          <w:rFonts w:ascii="Arial" w:hAnsi="Arial" w:cs="Arial"/>
          <w:sz w:val="20"/>
          <w:lang w:val="es-ES"/>
        </w:rPr>
      </w:pPr>
      <w:r w:rsidRPr="00CA17DD">
        <w:rPr>
          <w:rFonts w:ascii="Arial" w:hAnsi="Arial" w:cs="Arial"/>
          <w:sz w:val="20"/>
          <w:lang w:val="es-ES"/>
        </w:rPr>
        <w:t xml:space="preserve"> </w:t>
      </w:r>
    </w:p>
    <w:p w14:paraId="5EDCC2D6" w14:textId="71FE03EB" w:rsidR="007C3B26" w:rsidRDefault="00CA17DD" w:rsidP="00CA17DD">
      <w:pPr>
        <w:jc w:val="both"/>
        <w:rPr>
          <w:rFonts w:ascii="Arial" w:hAnsi="Arial" w:cs="Arial"/>
          <w:sz w:val="20"/>
          <w:lang w:val="es-ES"/>
        </w:rPr>
      </w:pPr>
      <w:r w:rsidRPr="00CA17DD">
        <w:rPr>
          <w:rFonts w:ascii="Arial" w:hAnsi="Arial" w:cs="Arial"/>
          <w:sz w:val="20"/>
          <w:lang w:val="es-ES"/>
        </w:rPr>
        <w:t>Por último, es preciso memorar que los menores de edad cuentan con una regulación especial para extinguir sus derechos por el paso del tiempo. Concretamente los artículos 2530 y 2541 del Código Civil determinaron que la misma se suspende mientras permanece tal minoría de edad, es decir, para aquellas personas que sean incapaces, se encuentren bajo tutela o curaduría. Entonces, el término trienal para ellos se contabiliza desde que se adquiere la mayoría de edad, y solo a partir de allí despuntaría el término prescriptivo.</w:t>
      </w:r>
    </w:p>
    <w:p w14:paraId="3733773C" w14:textId="77777777" w:rsidR="003255F9" w:rsidRDefault="003255F9" w:rsidP="00CA17DD">
      <w:pPr>
        <w:jc w:val="both"/>
        <w:rPr>
          <w:rFonts w:ascii="Arial" w:hAnsi="Arial" w:cs="Arial"/>
          <w:sz w:val="20"/>
          <w:lang w:val="es-ES"/>
        </w:rPr>
      </w:pPr>
    </w:p>
    <w:p w14:paraId="4C720F1D" w14:textId="022EEEE8" w:rsidR="003255F9" w:rsidRPr="003255F9" w:rsidRDefault="003255F9" w:rsidP="00CA17DD">
      <w:pPr>
        <w:jc w:val="both"/>
        <w:rPr>
          <w:rFonts w:ascii="Arial" w:hAnsi="Arial" w:cs="Arial"/>
          <w:b/>
          <w:color w:val="FF0000"/>
          <w:sz w:val="20"/>
          <w:lang w:val="es-ES"/>
        </w:rPr>
      </w:pPr>
      <w:r w:rsidRPr="003255F9">
        <w:rPr>
          <w:rFonts w:ascii="Arial" w:hAnsi="Arial" w:cs="Arial"/>
          <w:b/>
          <w:color w:val="FF0000"/>
          <w:sz w:val="20"/>
          <w:lang w:val="es-ES"/>
        </w:rPr>
        <w:t>SALVAMENTO DE VOTO: DOCTOR JULIO CÉSAR SALAZAR MUÑOZ</w:t>
      </w:r>
    </w:p>
    <w:p w14:paraId="5D8FF16D" w14:textId="77777777" w:rsidR="003255F9" w:rsidRDefault="003255F9" w:rsidP="00CA17DD">
      <w:pPr>
        <w:jc w:val="both"/>
        <w:rPr>
          <w:rFonts w:ascii="Arial" w:hAnsi="Arial" w:cs="Arial"/>
          <w:sz w:val="20"/>
          <w:lang w:val="es-ES"/>
        </w:rPr>
      </w:pPr>
    </w:p>
    <w:p w14:paraId="491E6E01" w14:textId="77777777" w:rsidR="003255F9" w:rsidRPr="003255F9" w:rsidRDefault="003255F9" w:rsidP="003255F9">
      <w:pPr>
        <w:jc w:val="both"/>
        <w:rPr>
          <w:rFonts w:ascii="Arial" w:hAnsi="Arial" w:cs="Arial"/>
          <w:sz w:val="20"/>
          <w:lang w:val="es-ES"/>
        </w:rPr>
      </w:pPr>
      <w:r w:rsidRPr="003255F9">
        <w:rPr>
          <w:rFonts w:ascii="Arial" w:hAnsi="Arial" w:cs="Arial"/>
          <w:sz w:val="20"/>
          <w:lang w:val="es-ES"/>
        </w:rPr>
        <w:t>De acuerdo con la postura actual de la Sala de Casación Laboral de la Corte Suprema de Justicia, la prestación debe estar a cargo de la AFP, pues en sus propias palabras en estos eventos, la habilitación es una consecuencia de la sanción por la falta de diligencia de la Administradora, razón por la cual se suman para determinar el cumplimiento del requisito de la densidad de cotizaciones, siempre y cuando no se acredite que la Administradora fue diligente.</w:t>
      </w:r>
    </w:p>
    <w:p w14:paraId="2F6F0437" w14:textId="77777777" w:rsidR="003255F9" w:rsidRPr="003255F9" w:rsidRDefault="003255F9" w:rsidP="003255F9">
      <w:pPr>
        <w:jc w:val="both"/>
        <w:rPr>
          <w:rFonts w:ascii="Arial" w:hAnsi="Arial" w:cs="Arial"/>
          <w:sz w:val="20"/>
          <w:lang w:val="es-ES"/>
        </w:rPr>
      </w:pPr>
    </w:p>
    <w:p w14:paraId="51018261" w14:textId="77777777" w:rsidR="003255F9" w:rsidRPr="003255F9" w:rsidRDefault="003255F9" w:rsidP="003255F9">
      <w:pPr>
        <w:jc w:val="both"/>
        <w:rPr>
          <w:rFonts w:ascii="Arial" w:hAnsi="Arial" w:cs="Arial"/>
          <w:sz w:val="20"/>
          <w:lang w:val="es-ES"/>
        </w:rPr>
      </w:pPr>
      <w:r w:rsidRPr="003255F9">
        <w:rPr>
          <w:rFonts w:ascii="Arial" w:hAnsi="Arial" w:cs="Arial"/>
          <w:sz w:val="20"/>
          <w:lang w:val="es-ES"/>
        </w:rPr>
        <w:t xml:space="preserve">Sin embargo, reestudiando el tema, considero que en este tipo de casos no es posible darle paso a la aplicación de la jurisprudencia de la Sala de Casación Laboral, porque no es posible imponerle a título de sanción a la administradora pensional, el reconocimiento y pago de la pensión, bajo el argumento que ella no efectuó las acciones de cobro con las que el legislador las dotó para lograr el importe de los aportes en mora, pues al revisar el artículo 24 de la Ley 100 de 1993 y el Decreto Reglamentario 2633 de 29 de noviembre de 1994, no existe en todo su articulado norma alguna que disponga esa sanción en cabeza de la administradora pensional que no realizó las acciones de cobro y bien es sabido que no existen penas o sanciones sin ley previa que las establezca. </w:t>
      </w:r>
    </w:p>
    <w:p w14:paraId="41F39942" w14:textId="77777777" w:rsidR="003255F9" w:rsidRPr="003255F9" w:rsidRDefault="003255F9" w:rsidP="003255F9">
      <w:pPr>
        <w:jc w:val="both"/>
        <w:rPr>
          <w:rFonts w:ascii="Arial" w:hAnsi="Arial" w:cs="Arial"/>
          <w:sz w:val="20"/>
          <w:lang w:val="es-ES"/>
        </w:rPr>
      </w:pPr>
    </w:p>
    <w:p w14:paraId="762DD6D0" w14:textId="394B4089" w:rsidR="003255F9" w:rsidRPr="00DB3FC7" w:rsidRDefault="003255F9" w:rsidP="003255F9">
      <w:pPr>
        <w:jc w:val="both"/>
        <w:rPr>
          <w:rFonts w:ascii="Arial" w:hAnsi="Arial" w:cs="Arial"/>
          <w:sz w:val="20"/>
          <w:lang w:val="es-ES"/>
        </w:rPr>
      </w:pPr>
      <w:r w:rsidRPr="003255F9">
        <w:rPr>
          <w:rFonts w:ascii="Arial" w:hAnsi="Arial" w:cs="Arial"/>
          <w:sz w:val="20"/>
          <w:lang w:val="es-ES"/>
        </w:rPr>
        <w:t xml:space="preserve">Por el contrario, como se expuso precedentemente, el artículo 12 del Decreto 2665 de 1988 aplicable por remisión del artículo 31 de la Ley 100 de 1993, si contiene una sanción expresa frente a la infracción que cometen los empleadores cuando no cancelan oportunamente los aportes a los riesgos </w:t>
      </w:r>
      <w:proofErr w:type="spellStart"/>
      <w:r w:rsidRPr="003255F9">
        <w:rPr>
          <w:rFonts w:ascii="Arial" w:hAnsi="Arial" w:cs="Arial"/>
          <w:sz w:val="20"/>
          <w:lang w:val="es-ES"/>
        </w:rPr>
        <w:t>IVM</w:t>
      </w:r>
      <w:proofErr w:type="spellEnd"/>
      <w:r w:rsidRPr="003255F9">
        <w:rPr>
          <w:rFonts w:ascii="Arial" w:hAnsi="Arial" w:cs="Arial"/>
          <w:sz w:val="20"/>
          <w:lang w:val="es-ES"/>
        </w:rPr>
        <w:t xml:space="preserve"> de sus trabajadores afiliados, consistente en que son ellos quienes deben responder por el reconocimiento y pago de la prestación económica causada (pensión de sobrevivientes entre otras) en la forma en la que tendría que hacerlo el sistema.</w:t>
      </w:r>
    </w:p>
    <w:p w14:paraId="6EB79D49" w14:textId="77777777" w:rsidR="00DB3FC7" w:rsidRDefault="00DB3FC7" w:rsidP="00DB3FC7">
      <w:pPr>
        <w:jc w:val="both"/>
        <w:rPr>
          <w:rFonts w:ascii="Arial" w:hAnsi="Arial" w:cs="Arial"/>
          <w:sz w:val="20"/>
          <w:lang w:val="es-ES"/>
        </w:rPr>
      </w:pPr>
    </w:p>
    <w:p w14:paraId="1519EC76" w14:textId="77777777" w:rsidR="00DB3FC7" w:rsidRDefault="00DB3FC7" w:rsidP="00DB3FC7">
      <w:pPr>
        <w:jc w:val="both"/>
        <w:rPr>
          <w:rFonts w:ascii="Arial" w:hAnsi="Arial" w:cs="Arial"/>
          <w:sz w:val="20"/>
          <w:lang w:val="es-ES"/>
        </w:rPr>
      </w:pPr>
    </w:p>
    <w:p w14:paraId="16F78D28" w14:textId="77777777" w:rsidR="003255F9" w:rsidRPr="00DB3FC7" w:rsidRDefault="003255F9" w:rsidP="00DB3FC7">
      <w:pPr>
        <w:jc w:val="both"/>
        <w:rPr>
          <w:rFonts w:ascii="Arial" w:hAnsi="Arial" w:cs="Arial"/>
          <w:sz w:val="20"/>
          <w:lang w:val="es-ES"/>
        </w:rPr>
      </w:pPr>
    </w:p>
    <w:p w14:paraId="45D3C664" w14:textId="77777777" w:rsidR="00737BBE" w:rsidRPr="00E74763" w:rsidRDefault="00737BBE" w:rsidP="00737BBE">
      <w:pPr>
        <w:spacing w:line="240" w:lineRule="atLeast"/>
        <w:jc w:val="center"/>
        <w:rPr>
          <w:rFonts w:ascii="Edwardian Script ITC" w:hAnsi="Edwardian Script ITC" w:cs="Arial"/>
          <w:b/>
          <w:sz w:val="44"/>
          <w:szCs w:val="44"/>
        </w:rPr>
      </w:pPr>
      <w:r w:rsidRPr="00E74763">
        <w:rPr>
          <w:rFonts w:ascii="Edwardian Script ITC" w:hAnsi="Edwardian Script ITC"/>
          <w:noProof/>
          <w:sz w:val="44"/>
          <w:szCs w:val="44"/>
          <w:lang w:val="es-ES"/>
        </w:rPr>
        <w:drawing>
          <wp:inline distT="0" distB="0" distL="0" distR="0" wp14:anchorId="446B4874" wp14:editId="62C76CE5">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86EC00B" w14:textId="77777777" w:rsidR="00737BBE" w:rsidRPr="00DB3FC7" w:rsidRDefault="00737BBE" w:rsidP="008C76C8">
      <w:pPr>
        <w:widowControl w:val="0"/>
        <w:spacing w:line="288" w:lineRule="auto"/>
        <w:jc w:val="center"/>
        <w:rPr>
          <w:rFonts w:ascii="Arial" w:hAnsi="Arial" w:cs="Arial"/>
          <w:b/>
          <w:kern w:val="28"/>
          <w:szCs w:val="24"/>
        </w:rPr>
      </w:pPr>
      <w:r w:rsidRPr="00DB3FC7">
        <w:rPr>
          <w:rFonts w:ascii="Arial" w:hAnsi="Arial" w:cs="Arial"/>
          <w:b/>
          <w:kern w:val="28"/>
          <w:szCs w:val="24"/>
        </w:rPr>
        <w:t>RAMA JUDICIAL DEL PODER PÚBLICO</w:t>
      </w:r>
    </w:p>
    <w:p w14:paraId="7BCA5E67" w14:textId="77777777" w:rsidR="00737BBE" w:rsidRPr="00DB3FC7" w:rsidRDefault="00737BBE" w:rsidP="008C76C8">
      <w:pPr>
        <w:widowControl w:val="0"/>
        <w:spacing w:line="288" w:lineRule="auto"/>
        <w:jc w:val="center"/>
        <w:rPr>
          <w:rFonts w:ascii="Arial" w:hAnsi="Arial" w:cs="Arial"/>
          <w:b/>
          <w:kern w:val="28"/>
          <w:szCs w:val="24"/>
        </w:rPr>
      </w:pPr>
      <w:r w:rsidRPr="00DB3FC7">
        <w:rPr>
          <w:rFonts w:ascii="Arial" w:hAnsi="Arial" w:cs="Arial"/>
          <w:b/>
          <w:kern w:val="28"/>
          <w:szCs w:val="24"/>
        </w:rPr>
        <w:t>TRIBUNAL SUPERIOR DEL DISTRITO JUDICIAL DE PEREIRA</w:t>
      </w:r>
    </w:p>
    <w:p w14:paraId="1D9491A7" w14:textId="77777777" w:rsidR="00737BBE" w:rsidRPr="00E74763" w:rsidRDefault="00737BBE" w:rsidP="008C76C8">
      <w:pPr>
        <w:keepNext/>
        <w:spacing w:line="288" w:lineRule="auto"/>
        <w:jc w:val="center"/>
        <w:rPr>
          <w:rFonts w:ascii="Arial" w:hAnsi="Arial" w:cs="Arial"/>
          <w:bCs/>
          <w:szCs w:val="24"/>
        </w:rPr>
      </w:pPr>
      <w:r w:rsidRPr="00DB3FC7">
        <w:rPr>
          <w:rFonts w:ascii="Arial" w:hAnsi="Arial" w:cs="Arial"/>
          <w:b/>
          <w:bCs/>
          <w:szCs w:val="24"/>
        </w:rPr>
        <w:t>SALA SEGUNDA DE DECISIÓN LABORAL</w:t>
      </w:r>
    </w:p>
    <w:p w14:paraId="67A46D70" w14:textId="77777777" w:rsidR="00737BBE" w:rsidRPr="00E74763" w:rsidRDefault="00737BBE" w:rsidP="008C76C8">
      <w:pPr>
        <w:widowControl w:val="0"/>
        <w:spacing w:line="288" w:lineRule="auto"/>
        <w:jc w:val="center"/>
        <w:rPr>
          <w:rFonts w:ascii="Arial" w:hAnsi="Arial" w:cs="Arial"/>
          <w:bCs/>
          <w:kern w:val="28"/>
          <w:szCs w:val="24"/>
        </w:rPr>
      </w:pPr>
    </w:p>
    <w:p w14:paraId="2A073D40" w14:textId="77777777" w:rsidR="00737BBE" w:rsidRPr="00E74763" w:rsidRDefault="00737BBE" w:rsidP="008C76C8">
      <w:pPr>
        <w:spacing w:line="288" w:lineRule="auto"/>
        <w:jc w:val="center"/>
        <w:rPr>
          <w:rFonts w:ascii="Arial" w:hAnsi="Arial" w:cs="Arial"/>
          <w:color w:val="000000"/>
          <w:szCs w:val="24"/>
        </w:rPr>
      </w:pPr>
      <w:r w:rsidRPr="00E74763">
        <w:rPr>
          <w:rFonts w:ascii="Arial" w:hAnsi="Arial" w:cs="Arial"/>
          <w:color w:val="000000"/>
          <w:szCs w:val="24"/>
        </w:rPr>
        <w:t>Magistrada Sustanciadora</w:t>
      </w:r>
    </w:p>
    <w:p w14:paraId="72C598BD" w14:textId="77777777" w:rsidR="00737BBE" w:rsidRPr="00E74763" w:rsidRDefault="00737BBE" w:rsidP="008C76C8">
      <w:pPr>
        <w:widowControl w:val="0"/>
        <w:spacing w:line="288" w:lineRule="auto"/>
        <w:jc w:val="center"/>
        <w:rPr>
          <w:rFonts w:ascii="Arial" w:hAnsi="Arial" w:cs="Arial"/>
          <w:b/>
          <w:bCs/>
          <w:color w:val="000000"/>
          <w:kern w:val="28"/>
          <w:szCs w:val="24"/>
        </w:rPr>
      </w:pPr>
      <w:r w:rsidRPr="00E74763">
        <w:rPr>
          <w:rFonts w:ascii="Arial" w:hAnsi="Arial" w:cs="Arial"/>
          <w:b/>
          <w:bCs/>
          <w:color w:val="000000"/>
          <w:kern w:val="28"/>
          <w:szCs w:val="24"/>
        </w:rPr>
        <w:t>OLGA LUCÍA HOYOS SEPÚLVEDA</w:t>
      </w:r>
    </w:p>
    <w:p w14:paraId="7EF311E6" w14:textId="77777777" w:rsidR="00737BBE" w:rsidRPr="00DB3FC7" w:rsidRDefault="00737BBE" w:rsidP="008C76C8">
      <w:pPr>
        <w:spacing w:line="288" w:lineRule="auto"/>
        <w:jc w:val="both"/>
        <w:rPr>
          <w:rFonts w:ascii="Arial" w:hAnsi="Arial" w:cs="Arial"/>
          <w:szCs w:val="16"/>
          <w:u w:val="single"/>
        </w:rPr>
      </w:pPr>
    </w:p>
    <w:p w14:paraId="0E711287" w14:textId="09254950" w:rsidR="00737BBE" w:rsidRPr="00E74763" w:rsidRDefault="00737BBE" w:rsidP="008C76C8">
      <w:pPr>
        <w:spacing w:line="288" w:lineRule="auto"/>
        <w:contextualSpacing/>
        <w:jc w:val="both"/>
        <w:rPr>
          <w:rFonts w:ascii="Arial" w:hAnsi="Arial" w:cs="Arial"/>
          <w:bCs/>
          <w:iCs/>
          <w:szCs w:val="24"/>
        </w:rPr>
      </w:pPr>
      <w:r w:rsidRPr="00E74763">
        <w:rPr>
          <w:rFonts w:ascii="Arial" w:hAnsi="Arial" w:cs="Arial"/>
          <w:szCs w:val="24"/>
        </w:rPr>
        <w:t xml:space="preserve">En Pereira, a los </w:t>
      </w:r>
      <w:r w:rsidR="00BB4341" w:rsidRPr="00E74763">
        <w:rPr>
          <w:rFonts w:ascii="Arial" w:hAnsi="Arial" w:cs="Arial"/>
          <w:szCs w:val="24"/>
        </w:rPr>
        <w:t>trece</w:t>
      </w:r>
      <w:r w:rsidR="00BC116C" w:rsidRPr="00E74763">
        <w:rPr>
          <w:rFonts w:ascii="Arial" w:hAnsi="Arial" w:cs="Arial"/>
          <w:szCs w:val="24"/>
        </w:rPr>
        <w:t xml:space="preserve"> </w:t>
      </w:r>
      <w:r w:rsidRPr="00E74763">
        <w:rPr>
          <w:rFonts w:ascii="Arial" w:hAnsi="Arial" w:cs="Arial"/>
          <w:szCs w:val="24"/>
        </w:rPr>
        <w:t>(</w:t>
      </w:r>
      <w:r w:rsidR="00BB4341" w:rsidRPr="00E74763">
        <w:rPr>
          <w:rFonts w:ascii="Arial" w:hAnsi="Arial" w:cs="Arial"/>
          <w:szCs w:val="24"/>
        </w:rPr>
        <w:t>13</w:t>
      </w:r>
      <w:r w:rsidRPr="00E74763">
        <w:rPr>
          <w:rFonts w:ascii="Arial" w:hAnsi="Arial" w:cs="Arial"/>
          <w:szCs w:val="24"/>
        </w:rPr>
        <w:t xml:space="preserve">) días del mes de </w:t>
      </w:r>
      <w:r w:rsidR="00BB4341" w:rsidRPr="00E74763">
        <w:rPr>
          <w:rFonts w:ascii="Arial" w:hAnsi="Arial" w:cs="Arial"/>
          <w:szCs w:val="24"/>
        </w:rPr>
        <w:t>agosto</w:t>
      </w:r>
      <w:r w:rsidR="0028632F" w:rsidRPr="00E74763">
        <w:rPr>
          <w:rFonts w:ascii="Arial" w:hAnsi="Arial" w:cs="Arial"/>
          <w:szCs w:val="24"/>
        </w:rPr>
        <w:t xml:space="preserve"> </w:t>
      </w:r>
      <w:r w:rsidR="00BC116C" w:rsidRPr="00E74763">
        <w:rPr>
          <w:rFonts w:ascii="Arial" w:hAnsi="Arial" w:cs="Arial"/>
          <w:szCs w:val="24"/>
        </w:rPr>
        <w:t>de dos mil diecinueve (2019</w:t>
      </w:r>
      <w:r w:rsidRPr="00E74763">
        <w:rPr>
          <w:rFonts w:ascii="Arial" w:hAnsi="Arial" w:cs="Arial"/>
          <w:szCs w:val="24"/>
        </w:rPr>
        <w:t xml:space="preserve">), siendo las </w:t>
      </w:r>
      <w:r w:rsidR="00BB4341" w:rsidRPr="00E74763">
        <w:rPr>
          <w:rFonts w:ascii="Arial" w:hAnsi="Arial" w:cs="Arial"/>
          <w:szCs w:val="24"/>
        </w:rPr>
        <w:t>ocho</w:t>
      </w:r>
      <w:r w:rsidRPr="00E74763">
        <w:rPr>
          <w:rFonts w:ascii="Arial" w:hAnsi="Arial" w:cs="Arial"/>
          <w:szCs w:val="24"/>
        </w:rPr>
        <w:t xml:space="preserve"> de la mañana (</w:t>
      </w:r>
      <w:r w:rsidR="00BB4341" w:rsidRPr="00E74763">
        <w:rPr>
          <w:rFonts w:ascii="Arial" w:hAnsi="Arial" w:cs="Arial"/>
          <w:szCs w:val="24"/>
        </w:rPr>
        <w:t>8</w:t>
      </w:r>
      <w:r w:rsidR="00366889" w:rsidRPr="00E74763">
        <w:rPr>
          <w:rFonts w:ascii="Arial" w:hAnsi="Arial" w:cs="Arial"/>
          <w:szCs w:val="24"/>
        </w:rPr>
        <w:t>:</w:t>
      </w:r>
      <w:r w:rsidR="00BB4341" w:rsidRPr="00E74763">
        <w:rPr>
          <w:rFonts w:ascii="Arial" w:hAnsi="Arial" w:cs="Arial"/>
          <w:szCs w:val="24"/>
        </w:rPr>
        <w:t>0</w:t>
      </w:r>
      <w:r w:rsidRPr="00E74763">
        <w:rPr>
          <w:rFonts w:ascii="Arial" w:hAnsi="Arial" w:cs="Arial"/>
          <w:szCs w:val="24"/>
        </w:rPr>
        <w:t xml:space="preserve">0 a.m.), </w:t>
      </w:r>
      <w:r w:rsidRPr="00E74763">
        <w:rPr>
          <w:rFonts w:ascii="Arial" w:hAnsi="Arial" w:cs="Arial"/>
          <w:bCs/>
          <w:szCs w:val="24"/>
        </w:rPr>
        <w:t xml:space="preserve">la Sala Segunda de Decisión Laboral del Tribunal Superior del Distrito Judicial de Pereira, se declara en audiencia pública </w:t>
      </w:r>
      <w:r w:rsidR="00500DAD" w:rsidRPr="00E74763">
        <w:rPr>
          <w:rFonts w:ascii="Arial" w:hAnsi="Arial" w:cs="Arial"/>
          <w:bCs/>
          <w:szCs w:val="24"/>
        </w:rPr>
        <w:t xml:space="preserve">con el propósito de resolver </w:t>
      </w:r>
      <w:r w:rsidR="00BB4341" w:rsidRPr="00E74763">
        <w:rPr>
          <w:rFonts w:ascii="Arial" w:hAnsi="Arial" w:cs="Arial"/>
          <w:bCs/>
          <w:szCs w:val="24"/>
        </w:rPr>
        <w:t>los recursos de apelación</w:t>
      </w:r>
      <w:r w:rsidR="001717C8" w:rsidRPr="00E74763">
        <w:rPr>
          <w:rFonts w:ascii="Arial" w:hAnsi="Arial" w:cs="Arial"/>
          <w:bCs/>
          <w:szCs w:val="24"/>
        </w:rPr>
        <w:t xml:space="preserve"> </w:t>
      </w:r>
      <w:r w:rsidRPr="00E74763">
        <w:rPr>
          <w:rFonts w:ascii="Arial" w:hAnsi="Arial" w:cs="Arial"/>
          <w:bCs/>
          <w:szCs w:val="24"/>
        </w:rPr>
        <w:t>frente a la sentencia p</w:t>
      </w:r>
      <w:r w:rsidR="00500DAD" w:rsidRPr="00E74763">
        <w:rPr>
          <w:rFonts w:ascii="Arial" w:hAnsi="Arial" w:cs="Arial"/>
          <w:szCs w:val="24"/>
        </w:rPr>
        <w:t xml:space="preserve">roferida el </w:t>
      </w:r>
      <w:r w:rsidR="00BB4341" w:rsidRPr="00E74763">
        <w:rPr>
          <w:rFonts w:ascii="Arial" w:hAnsi="Arial" w:cs="Arial"/>
          <w:szCs w:val="24"/>
        </w:rPr>
        <w:t>12 de diciembre de 2018</w:t>
      </w:r>
      <w:r w:rsidRPr="00E74763">
        <w:rPr>
          <w:rFonts w:ascii="Arial" w:hAnsi="Arial" w:cs="Arial"/>
          <w:szCs w:val="24"/>
        </w:rPr>
        <w:t xml:space="preserve"> por el Juzgado </w:t>
      </w:r>
      <w:r w:rsidR="00BB4341" w:rsidRPr="00E74763">
        <w:rPr>
          <w:rFonts w:ascii="Arial" w:hAnsi="Arial" w:cs="Arial"/>
          <w:szCs w:val="24"/>
        </w:rPr>
        <w:t xml:space="preserve">Quinto </w:t>
      </w:r>
      <w:r w:rsidRPr="00E74763">
        <w:rPr>
          <w:rFonts w:ascii="Arial" w:hAnsi="Arial" w:cs="Arial"/>
          <w:szCs w:val="24"/>
        </w:rPr>
        <w:t xml:space="preserve">Laboral del Circuito de </w:t>
      </w:r>
      <w:r w:rsidR="00BB4341" w:rsidRPr="00E74763">
        <w:rPr>
          <w:rFonts w:ascii="Arial" w:hAnsi="Arial" w:cs="Arial"/>
          <w:szCs w:val="24"/>
        </w:rPr>
        <w:t xml:space="preserve">Pereira, dentro del proceso promovido por </w:t>
      </w:r>
      <w:r w:rsidR="00BB4341" w:rsidRPr="00E74763">
        <w:rPr>
          <w:rFonts w:ascii="Arial" w:hAnsi="Arial" w:cs="Arial"/>
          <w:b/>
          <w:szCs w:val="24"/>
        </w:rPr>
        <w:t>María Zoraida Arroyave Loaiza</w:t>
      </w:r>
      <w:r w:rsidR="003E518B">
        <w:rPr>
          <w:rFonts w:ascii="Arial" w:hAnsi="Arial" w:cs="Arial"/>
          <w:b/>
          <w:szCs w:val="24"/>
        </w:rPr>
        <w:t xml:space="preserve">, </w:t>
      </w:r>
      <w:r w:rsidR="003E518B" w:rsidRPr="003E518B">
        <w:rPr>
          <w:rFonts w:ascii="Arial" w:hAnsi="Arial" w:cs="Arial"/>
          <w:szCs w:val="24"/>
        </w:rPr>
        <w:t>en nombre propio y en representación de</w:t>
      </w:r>
      <w:r w:rsidR="003E518B">
        <w:rPr>
          <w:rFonts w:ascii="Arial" w:hAnsi="Arial" w:cs="Arial"/>
          <w:b/>
          <w:szCs w:val="24"/>
        </w:rPr>
        <w:t xml:space="preserve"> </w:t>
      </w:r>
      <w:proofErr w:type="spellStart"/>
      <w:r w:rsidR="003E518B">
        <w:rPr>
          <w:rFonts w:ascii="Arial" w:hAnsi="Arial" w:cs="Arial"/>
          <w:b/>
          <w:szCs w:val="24"/>
        </w:rPr>
        <w:t>Yeris</w:t>
      </w:r>
      <w:proofErr w:type="spellEnd"/>
      <w:r w:rsidR="003E518B">
        <w:rPr>
          <w:rFonts w:ascii="Arial" w:hAnsi="Arial" w:cs="Arial"/>
          <w:b/>
          <w:szCs w:val="24"/>
        </w:rPr>
        <w:t xml:space="preserve"> </w:t>
      </w:r>
      <w:proofErr w:type="spellStart"/>
      <w:r w:rsidR="003E518B">
        <w:rPr>
          <w:rFonts w:ascii="Arial" w:hAnsi="Arial" w:cs="Arial"/>
          <w:b/>
          <w:szCs w:val="24"/>
        </w:rPr>
        <w:t>Yulitza</w:t>
      </w:r>
      <w:proofErr w:type="spellEnd"/>
      <w:r w:rsidR="003E518B">
        <w:rPr>
          <w:rFonts w:ascii="Arial" w:hAnsi="Arial" w:cs="Arial"/>
          <w:b/>
          <w:szCs w:val="24"/>
        </w:rPr>
        <w:t xml:space="preserve"> Trejos Arroyave,</w:t>
      </w:r>
      <w:r w:rsidRPr="00E74763">
        <w:rPr>
          <w:rFonts w:ascii="Arial" w:hAnsi="Arial" w:cs="Arial"/>
          <w:b/>
          <w:szCs w:val="24"/>
        </w:rPr>
        <w:t xml:space="preserve"> </w:t>
      </w:r>
      <w:r w:rsidR="00BB4341" w:rsidRPr="00E74763">
        <w:rPr>
          <w:rFonts w:ascii="Arial" w:hAnsi="Arial" w:cs="Arial"/>
          <w:szCs w:val="24"/>
        </w:rPr>
        <w:t xml:space="preserve">contra </w:t>
      </w:r>
      <w:r w:rsidR="00BB4341" w:rsidRPr="00E74763">
        <w:rPr>
          <w:rFonts w:ascii="Arial" w:hAnsi="Arial" w:cs="Arial"/>
          <w:b/>
          <w:szCs w:val="24"/>
        </w:rPr>
        <w:t xml:space="preserve">Protección S.A., Wilmar </w:t>
      </w:r>
      <w:proofErr w:type="spellStart"/>
      <w:r w:rsidR="00BB4341" w:rsidRPr="00E74763">
        <w:rPr>
          <w:rFonts w:ascii="Arial" w:hAnsi="Arial" w:cs="Arial"/>
          <w:b/>
          <w:szCs w:val="24"/>
        </w:rPr>
        <w:t>Atehortua</w:t>
      </w:r>
      <w:proofErr w:type="spellEnd"/>
      <w:r w:rsidR="00BB4341" w:rsidRPr="00E74763">
        <w:rPr>
          <w:rFonts w:ascii="Arial" w:hAnsi="Arial" w:cs="Arial"/>
          <w:b/>
          <w:szCs w:val="24"/>
        </w:rPr>
        <w:t xml:space="preserve"> Arango y </w:t>
      </w:r>
      <w:proofErr w:type="spellStart"/>
      <w:r w:rsidR="00BB4341" w:rsidRPr="00E74763">
        <w:rPr>
          <w:rFonts w:ascii="Arial" w:hAnsi="Arial" w:cs="Arial"/>
          <w:b/>
          <w:szCs w:val="24"/>
        </w:rPr>
        <w:t>Mariluz</w:t>
      </w:r>
      <w:proofErr w:type="spellEnd"/>
      <w:r w:rsidR="00BB4341" w:rsidRPr="00E74763">
        <w:rPr>
          <w:rFonts w:ascii="Arial" w:hAnsi="Arial" w:cs="Arial"/>
          <w:b/>
          <w:szCs w:val="24"/>
        </w:rPr>
        <w:t xml:space="preserve"> Sepúlveda Giraldo</w:t>
      </w:r>
      <w:r w:rsidR="00BB4341" w:rsidRPr="00E74763">
        <w:rPr>
          <w:rFonts w:ascii="Arial" w:hAnsi="Arial" w:cs="Arial"/>
          <w:szCs w:val="24"/>
        </w:rPr>
        <w:t xml:space="preserve">, trámite al que se vinculó a </w:t>
      </w:r>
      <w:r w:rsidR="00BB4341" w:rsidRPr="00E74763">
        <w:rPr>
          <w:rFonts w:ascii="Arial" w:hAnsi="Arial" w:cs="Arial"/>
          <w:b/>
          <w:szCs w:val="24"/>
        </w:rPr>
        <w:t>Seguros Bolívar</w:t>
      </w:r>
      <w:r w:rsidR="00A078AD">
        <w:rPr>
          <w:rFonts w:ascii="Arial" w:hAnsi="Arial" w:cs="Arial"/>
          <w:b/>
          <w:szCs w:val="24"/>
        </w:rPr>
        <w:t xml:space="preserve"> S.A.</w:t>
      </w:r>
      <w:r w:rsidRPr="00E74763">
        <w:rPr>
          <w:rFonts w:ascii="Arial" w:hAnsi="Arial" w:cs="Arial"/>
          <w:b/>
          <w:szCs w:val="24"/>
        </w:rPr>
        <w:t xml:space="preserve">, </w:t>
      </w:r>
      <w:r w:rsidRPr="00E74763">
        <w:rPr>
          <w:rFonts w:ascii="Arial" w:hAnsi="Arial" w:cs="Arial"/>
          <w:szCs w:val="24"/>
        </w:rPr>
        <w:t>radicado 66001-31-05-00</w:t>
      </w:r>
      <w:r w:rsidR="00BB4341" w:rsidRPr="00E74763">
        <w:rPr>
          <w:rFonts w:ascii="Arial" w:hAnsi="Arial" w:cs="Arial"/>
          <w:szCs w:val="24"/>
        </w:rPr>
        <w:t>5</w:t>
      </w:r>
      <w:r w:rsidR="001717C8" w:rsidRPr="00E74763">
        <w:rPr>
          <w:rFonts w:ascii="Arial" w:hAnsi="Arial" w:cs="Arial"/>
          <w:szCs w:val="24"/>
        </w:rPr>
        <w:t>-201</w:t>
      </w:r>
      <w:r w:rsidR="00BB4341" w:rsidRPr="00E74763">
        <w:rPr>
          <w:rFonts w:ascii="Arial" w:hAnsi="Arial" w:cs="Arial"/>
          <w:szCs w:val="24"/>
        </w:rPr>
        <w:t>3</w:t>
      </w:r>
      <w:r w:rsidR="001717C8" w:rsidRPr="00E74763">
        <w:rPr>
          <w:rFonts w:ascii="Arial" w:hAnsi="Arial" w:cs="Arial"/>
          <w:szCs w:val="24"/>
        </w:rPr>
        <w:t>-00</w:t>
      </w:r>
      <w:r w:rsidR="00BB4341" w:rsidRPr="00E74763">
        <w:rPr>
          <w:rFonts w:ascii="Arial" w:hAnsi="Arial" w:cs="Arial"/>
          <w:szCs w:val="24"/>
        </w:rPr>
        <w:t>617</w:t>
      </w:r>
      <w:r w:rsidR="00C44315" w:rsidRPr="00E74763">
        <w:rPr>
          <w:rFonts w:ascii="Arial" w:hAnsi="Arial" w:cs="Arial"/>
          <w:szCs w:val="24"/>
        </w:rPr>
        <w:t>-02</w:t>
      </w:r>
      <w:r w:rsidRPr="00E74763">
        <w:rPr>
          <w:rFonts w:ascii="Arial" w:hAnsi="Arial" w:cs="Arial"/>
          <w:szCs w:val="24"/>
        </w:rPr>
        <w:t>.</w:t>
      </w:r>
    </w:p>
    <w:p w14:paraId="22E06EDB" w14:textId="77777777" w:rsidR="00737BBE" w:rsidRPr="00E74763" w:rsidRDefault="00737BBE" w:rsidP="008C76C8">
      <w:pPr>
        <w:spacing w:line="288" w:lineRule="auto"/>
        <w:contextualSpacing/>
        <w:jc w:val="both"/>
        <w:rPr>
          <w:rFonts w:ascii="Arial" w:hAnsi="Arial" w:cs="Arial"/>
          <w:b/>
          <w:szCs w:val="24"/>
        </w:rPr>
      </w:pPr>
    </w:p>
    <w:p w14:paraId="170988AD" w14:textId="77777777" w:rsidR="00737BBE" w:rsidRPr="00E74763" w:rsidRDefault="00737BBE" w:rsidP="008C76C8">
      <w:pPr>
        <w:spacing w:line="288" w:lineRule="auto"/>
        <w:contextualSpacing/>
        <w:jc w:val="both"/>
        <w:rPr>
          <w:rFonts w:ascii="Arial" w:hAnsi="Arial" w:cs="Arial"/>
          <w:b/>
          <w:szCs w:val="24"/>
        </w:rPr>
      </w:pPr>
      <w:r w:rsidRPr="00E74763">
        <w:rPr>
          <w:rFonts w:ascii="Arial" w:hAnsi="Arial" w:cs="Arial"/>
          <w:b/>
          <w:szCs w:val="24"/>
        </w:rPr>
        <w:t>REGISTRO DE ASISTENCIA:</w:t>
      </w:r>
    </w:p>
    <w:p w14:paraId="63CD0267" w14:textId="77777777" w:rsidR="00737BBE" w:rsidRPr="00E74763" w:rsidRDefault="00737BBE" w:rsidP="008C76C8">
      <w:pPr>
        <w:spacing w:line="288" w:lineRule="auto"/>
        <w:contextualSpacing/>
        <w:jc w:val="both"/>
        <w:rPr>
          <w:rFonts w:ascii="Arial" w:hAnsi="Arial" w:cs="Arial"/>
          <w:szCs w:val="24"/>
        </w:rPr>
      </w:pPr>
    </w:p>
    <w:p w14:paraId="4AE2140A" w14:textId="77777777" w:rsidR="00737BBE" w:rsidRPr="00E74763" w:rsidRDefault="00737BBE" w:rsidP="008C76C8">
      <w:pPr>
        <w:spacing w:line="288" w:lineRule="auto"/>
        <w:contextualSpacing/>
        <w:jc w:val="both"/>
        <w:rPr>
          <w:rFonts w:ascii="Arial" w:hAnsi="Arial" w:cs="Arial"/>
          <w:szCs w:val="24"/>
        </w:rPr>
      </w:pPr>
      <w:r w:rsidRPr="00E74763">
        <w:rPr>
          <w:rFonts w:ascii="Arial" w:hAnsi="Arial" w:cs="Arial"/>
          <w:szCs w:val="24"/>
        </w:rPr>
        <w:t xml:space="preserve">Demandante y su apoderado: </w:t>
      </w:r>
      <w:r w:rsidRPr="00E74763">
        <w:rPr>
          <w:rFonts w:ascii="Arial" w:hAnsi="Arial" w:cs="Arial"/>
          <w:szCs w:val="24"/>
        </w:rPr>
        <w:tab/>
      </w:r>
      <w:r w:rsidRPr="00E74763">
        <w:rPr>
          <w:rFonts w:ascii="Arial" w:hAnsi="Arial" w:cs="Arial"/>
          <w:szCs w:val="24"/>
        </w:rPr>
        <w:tab/>
        <w:t>Demandado y su apoderado:</w:t>
      </w:r>
    </w:p>
    <w:p w14:paraId="5E27AFAE" w14:textId="77777777" w:rsidR="00737BBE" w:rsidRPr="00E74763" w:rsidRDefault="00737BBE" w:rsidP="008C76C8">
      <w:pPr>
        <w:spacing w:line="288" w:lineRule="auto"/>
        <w:contextualSpacing/>
        <w:jc w:val="both"/>
        <w:rPr>
          <w:rFonts w:ascii="Arial" w:hAnsi="Arial" w:cs="Arial"/>
          <w:szCs w:val="24"/>
        </w:rPr>
      </w:pPr>
    </w:p>
    <w:p w14:paraId="338B7D34" w14:textId="77777777" w:rsidR="00737BBE" w:rsidRPr="00E74763" w:rsidRDefault="00737BBE" w:rsidP="008C76C8">
      <w:pPr>
        <w:spacing w:line="288" w:lineRule="auto"/>
        <w:contextualSpacing/>
        <w:jc w:val="both"/>
        <w:rPr>
          <w:rFonts w:ascii="Arial" w:hAnsi="Arial" w:cs="Arial"/>
          <w:b/>
          <w:szCs w:val="24"/>
        </w:rPr>
      </w:pPr>
      <w:r w:rsidRPr="00E74763">
        <w:rPr>
          <w:rFonts w:ascii="Arial" w:hAnsi="Arial" w:cs="Arial"/>
          <w:b/>
          <w:szCs w:val="24"/>
        </w:rPr>
        <w:t>TRASLADO A LAS PARTES</w:t>
      </w:r>
    </w:p>
    <w:p w14:paraId="094F0950" w14:textId="77777777" w:rsidR="00737BBE" w:rsidRPr="00E74763" w:rsidRDefault="00737BBE" w:rsidP="008C76C8">
      <w:pPr>
        <w:spacing w:line="288" w:lineRule="auto"/>
        <w:contextualSpacing/>
        <w:jc w:val="both"/>
        <w:rPr>
          <w:rFonts w:ascii="Arial" w:hAnsi="Arial" w:cs="Arial"/>
          <w:szCs w:val="24"/>
        </w:rPr>
      </w:pPr>
      <w:r w:rsidRPr="00E74763">
        <w:rPr>
          <w:rFonts w:ascii="Arial" w:hAnsi="Arial" w:cs="Arial"/>
          <w:szCs w:val="24"/>
        </w:rPr>
        <w:t xml:space="preserve"> </w:t>
      </w:r>
    </w:p>
    <w:p w14:paraId="3824F83D" w14:textId="77777777" w:rsidR="00737BBE" w:rsidRPr="00E74763" w:rsidRDefault="00737BBE" w:rsidP="008C76C8">
      <w:pPr>
        <w:spacing w:line="288" w:lineRule="auto"/>
        <w:contextualSpacing/>
        <w:jc w:val="both"/>
        <w:rPr>
          <w:rFonts w:ascii="Arial" w:hAnsi="Arial" w:cs="Arial"/>
          <w:szCs w:val="24"/>
        </w:rPr>
      </w:pPr>
      <w:r w:rsidRPr="00E74763">
        <w:rPr>
          <w:rFonts w:ascii="Arial" w:hAnsi="Arial" w:cs="Arial"/>
          <w:szCs w:val="24"/>
        </w:rPr>
        <w:t>En este estado se corre traslado a los asistentes para que presenten sus alegatos.</w:t>
      </w:r>
    </w:p>
    <w:p w14:paraId="7D53FC25" w14:textId="77777777" w:rsidR="00D17E2F" w:rsidRPr="00E74763" w:rsidRDefault="00D17E2F" w:rsidP="008C76C8">
      <w:pPr>
        <w:spacing w:line="288" w:lineRule="auto"/>
        <w:contextualSpacing/>
        <w:jc w:val="center"/>
        <w:rPr>
          <w:rFonts w:ascii="Arial" w:hAnsi="Arial" w:cs="Arial"/>
          <w:b/>
          <w:szCs w:val="24"/>
        </w:rPr>
      </w:pPr>
    </w:p>
    <w:p w14:paraId="19FD1C4B" w14:textId="77777777" w:rsidR="00A44751" w:rsidRPr="00E74763" w:rsidRDefault="00A44751" w:rsidP="008C76C8">
      <w:pPr>
        <w:spacing w:line="288" w:lineRule="auto"/>
        <w:contextualSpacing/>
        <w:jc w:val="center"/>
        <w:rPr>
          <w:rFonts w:ascii="Arial" w:hAnsi="Arial" w:cs="Arial"/>
          <w:b/>
          <w:szCs w:val="24"/>
        </w:rPr>
      </w:pPr>
      <w:r w:rsidRPr="00E74763">
        <w:rPr>
          <w:rFonts w:ascii="Arial" w:hAnsi="Arial" w:cs="Arial"/>
          <w:b/>
          <w:szCs w:val="24"/>
        </w:rPr>
        <w:lastRenderedPageBreak/>
        <w:t>ANTECEDENTES</w:t>
      </w:r>
    </w:p>
    <w:p w14:paraId="1E331EAC" w14:textId="77777777" w:rsidR="00D17E2F" w:rsidRPr="00E74763" w:rsidRDefault="00D17E2F" w:rsidP="008C76C8">
      <w:pPr>
        <w:spacing w:line="288" w:lineRule="auto"/>
        <w:rPr>
          <w:rFonts w:ascii="Arial" w:hAnsi="Arial" w:cs="Arial"/>
          <w:b/>
          <w:szCs w:val="24"/>
        </w:rPr>
      </w:pPr>
    </w:p>
    <w:p w14:paraId="2A2C7385" w14:textId="77777777" w:rsidR="00FC5C41" w:rsidRPr="00E74763" w:rsidRDefault="00FD3819" w:rsidP="008C76C8">
      <w:pPr>
        <w:spacing w:line="288" w:lineRule="auto"/>
        <w:rPr>
          <w:rFonts w:ascii="Arial" w:hAnsi="Arial" w:cs="Arial"/>
          <w:b/>
          <w:szCs w:val="24"/>
        </w:rPr>
      </w:pPr>
      <w:r w:rsidRPr="00E74763">
        <w:rPr>
          <w:rFonts w:ascii="Arial" w:hAnsi="Arial" w:cs="Arial"/>
          <w:b/>
          <w:szCs w:val="24"/>
        </w:rPr>
        <w:t xml:space="preserve">1. </w:t>
      </w:r>
      <w:r w:rsidR="00FC5C41" w:rsidRPr="00E74763">
        <w:rPr>
          <w:rFonts w:ascii="Arial" w:hAnsi="Arial" w:cs="Arial"/>
          <w:b/>
          <w:szCs w:val="24"/>
        </w:rPr>
        <w:t>Síntesis de la demanda y su contestación</w:t>
      </w:r>
    </w:p>
    <w:p w14:paraId="0658704A" w14:textId="77777777" w:rsidR="00FD3819" w:rsidRPr="00E74763" w:rsidRDefault="00FD3819" w:rsidP="008C76C8">
      <w:pPr>
        <w:spacing w:line="288" w:lineRule="auto"/>
        <w:contextualSpacing/>
        <w:jc w:val="both"/>
        <w:rPr>
          <w:rFonts w:ascii="Arial" w:hAnsi="Arial" w:cs="Arial"/>
          <w:szCs w:val="24"/>
        </w:rPr>
      </w:pPr>
    </w:p>
    <w:p w14:paraId="09D8787D" w14:textId="77777777" w:rsidR="00080E24" w:rsidRPr="00E74763" w:rsidRDefault="00BB4341" w:rsidP="008C76C8">
      <w:pPr>
        <w:spacing w:line="288" w:lineRule="auto"/>
        <w:contextualSpacing/>
        <w:jc w:val="both"/>
        <w:rPr>
          <w:rFonts w:ascii="Arial" w:hAnsi="Arial" w:cs="Arial"/>
          <w:szCs w:val="24"/>
        </w:rPr>
      </w:pPr>
      <w:r w:rsidRPr="00E74763">
        <w:rPr>
          <w:rFonts w:ascii="Arial" w:hAnsi="Arial" w:cs="Arial"/>
          <w:szCs w:val="24"/>
        </w:rPr>
        <w:t xml:space="preserve">María </w:t>
      </w:r>
      <w:r w:rsidR="00080E24" w:rsidRPr="00E74763">
        <w:rPr>
          <w:rFonts w:ascii="Arial" w:hAnsi="Arial" w:cs="Arial"/>
          <w:szCs w:val="24"/>
        </w:rPr>
        <w:t xml:space="preserve">Zoraida Arroyave Loaiza en calidad de compañera permanente y en representación de su descendiente </w:t>
      </w:r>
      <w:proofErr w:type="spellStart"/>
      <w:r w:rsidR="00080E24" w:rsidRPr="00E74763">
        <w:rPr>
          <w:rFonts w:ascii="Arial" w:hAnsi="Arial" w:cs="Arial"/>
          <w:szCs w:val="24"/>
        </w:rPr>
        <w:t>Yeris</w:t>
      </w:r>
      <w:proofErr w:type="spellEnd"/>
      <w:r w:rsidR="00080E24" w:rsidRPr="00E74763">
        <w:rPr>
          <w:rFonts w:ascii="Arial" w:hAnsi="Arial" w:cs="Arial"/>
          <w:szCs w:val="24"/>
        </w:rPr>
        <w:t xml:space="preserve"> </w:t>
      </w:r>
      <w:proofErr w:type="spellStart"/>
      <w:r w:rsidR="00080E24" w:rsidRPr="00E74763">
        <w:rPr>
          <w:rFonts w:ascii="Arial" w:hAnsi="Arial" w:cs="Arial"/>
          <w:szCs w:val="24"/>
        </w:rPr>
        <w:t>Yulitza</w:t>
      </w:r>
      <w:proofErr w:type="spellEnd"/>
      <w:r w:rsidR="00080E24" w:rsidRPr="00E74763">
        <w:rPr>
          <w:rFonts w:ascii="Arial" w:hAnsi="Arial" w:cs="Arial"/>
          <w:szCs w:val="24"/>
        </w:rPr>
        <w:t xml:space="preserve"> Trejos Arroyave</w:t>
      </w:r>
      <w:r w:rsidR="0090564D" w:rsidRPr="00E74763">
        <w:rPr>
          <w:rFonts w:ascii="Arial" w:hAnsi="Arial" w:cs="Arial"/>
          <w:szCs w:val="24"/>
        </w:rPr>
        <w:t>, pretende</w:t>
      </w:r>
      <w:r w:rsidR="00FD3819" w:rsidRPr="00E74763">
        <w:rPr>
          <w:rFonts w:ascii="Arial" w:hAnsi="Arial" w:cs="Arial"/>
          <w:szCs w:val="24"/>
        </w:rPr>
        <w:t xml:space="preserve"> que se declare que</w:t>
      </w:r>
      <w:r w:rsidR="00500DAD" w:rsidRPr="00E74763">
        <w:rPr>
          <w:rFonts w:ascii="Arial" w:hAnsi="Arial" w:cs="Arial"/>
          <w:szCs w:val="24"/>
        </w:rPr>
        <w:t xml:space="preserve"> </w:t>
      </w:r>
      <w:r w:rsidR="005D6E89" w:rsidRPr="00E74763">
        <w:rPr>
          <w:rFonts w:ascii="Arial" w:hAnsi="Arial" w:cs="Arial"/>
          <w:szCs w:val="24"/>
        </w:rPr>
        <w:t>tiene</w:t>
      </w:r>
      <w:r w:rsidR="00080E24" w:rsidRPr="00E74763">
        <w:rPr>
          <w:rFonts w:ascii="Arial" w:hAnsi="Arial" w:cs="Arial"/>
          <w:szCs w:val="24"/>
        </w:rPr>
        <w:t>n</w:t>
      </w:r>
      <w:r w:rsidR="005D6E89" w:rsidRPr="00E74763">
        <w:rPr>
          <w:rFonts w:ascii="Arial" w:hAnsi="Arial" w:cs="Arial"/>
          <w:szCs w:val="24"/>
        </w:rPr>
        <w:t xml:space="preserve"> derecho a la pensión de sobrevivientes</w:t>
      </w:r>
      <w:r w:rsidR="00080E24" w:rsidRPr="00E74763">
        <w:rPr>
          <w:rFonts w:ascii="Arial" w:hAnsi="Arial" w:cs="Arial"/>
          <w:szCs w:val="24"/>
        </w:rPr>
        <w:t xml:space="preserve"> por el fallecimiento de </w:t>
      </w:r>
      <w:proofErr w:type="spellStart"/>
      <w:r w:rsidR="00080E24" w:rsidRPr="00E74763">
        <w:rPr>
          <w:rFonts w:ascii="Arial" w:hAnsi="Arial" w:cs="Arial"/>
          <w:szCs w:val="24"/>
        </w:rPr>
        <w:t>Yobany</w:t>
      </w:r>
      <w:proofErr w:type="spellEnd"/>
      <w:r w:rsidR="00080E24" w:rsidRPr="00E74763">
        <w:rPr>
          <w:rFonts w:ascii="Arial" w:hAnsi="Arial" w:cs="Arial"/>
          <w:szCs w:val="24"/>
        </w:rPr>
        <w:t xml:space="preserve"> Antonio Trejos, a partir del 16/09/2007</w:t>
      </w:r>
      <w:r w:rsidR="00DB2CF6" w:rsidRPr="00E74763">
        <w:rPr>
          <w:rFonts w:ascii="Arial" w:hAnsi="Arial" w:cs="Arial"/>
          <w:szCs w:val="24"/>
        </w:rPr>
        <w:t>;</w:t>
      </w:r>
      <w:r w:rsidR="00FD3819" w:rsidRPr="00E74763">
        <w:rPr>
          <w:rFonts w:ascii="Arial" w:hAnsi="Arial" w:cs="Arial"/>
          <w:szCs w:val="24"/>
        </w:rPr>
        <w:t xml:space="preserve"> en consecuencia, </w:t>
      </w:r>
      <w:r w:rsidR="00080E24" w:rsidRPr="00E74763">
        <w:rPr>
          <w:rFonts w:ascii="Arial" w:hAnsi="Arial" w:cs="Arial"/>
          <w:szCs w:val="24"/>
        </w:rPr>
        <w:t>se pague el retroactivo pensional, los intereses moratorios y las costas procesales.</w:t>
      </w:r>
    </w:p>
    <w:p w14:paraId="50931054" w14:textId="77777777" w:rsidR="00080E24" w:rsidRPr="00E74763" w:rsidRDefault="00080E24" w:rsidP="008C76C8">
      <w:pPr>
        <w:spacing w:line="288" w:lineRule="auto"/>
        <w:contextualSpacing/>
        <w:jc w:val="both"/>
        <w:rPr>
          <w:rFonts w:ascii="Arial" w:hAnsi="Arial" w:cs="Arial"/>
          <w:szCs w:val="24"/>
        </w:rPr>
      </w:pPr>
    </w:p>
    <w:p w14:paraId="34E633D8" w14:textId="5854D7A2" w:rsidR="00080E24" w:rsidRPr="00E74763" w:rsidRDefault="00080E24" w:rsidP="008C76C8">
      <w:pPr>
        <w:spacing w:line="288" w:lineRule="auto"/>
        <w:contextualSpacing/>
        <w:jc w:val="both"/>
        <w:rPr>
          <w:rFonts w:ascii="Arial" w:hAnsi="Arial" w:cs="Arial"/>
          <w:szCs w:val="24"/>
        </w:rPr>
      </w:pPr>
      <w:r w:rsidRPr="00E74763">
        <w:rPr>
          <w:rFonts w:ascii="Arial" w:hAnsi="Arial" w:cs="Arial"/>
          <w:szCs w:val="24"/>
        </w:rPr>
        <w:t xml:space="preserve">Por otro lado, pretendió que se condene a Wilmar </w:t>
      </w:r>
      <w:proofErr w:type="spellStart"/>
      <w:r w:rsidRPr="00E74763">
        <w:rPr>
          <w:rFonts w:ascii="Arial" w:hAnsi="Arial" w:cs="Arial"/>
          <w:szCs w:val="24"/>
        </w:rPr>
        <w:t>Atehortua</w:t>
      </w:r>
      <w:proofErr w:type="spellEnd"/>
      <w:r w:rsidRPr="00E74763">
        <w:rPr>
          <w:rFonts w:ascii="Arial" w:hAnsi="Arial" w:cs="Arial"/>
          <w:szCs w:val="24"/>
        </w:rPr>
        <w:t xml:space="preserve"> Arango o a </w:t>
      </w:r>
      <w:proofErr w:type="spellStart"/>
      <w:r w:rsidRPr="00E74763">
        <w:rPr>
          <w:rFonts w:ascii="Arial" w:hAnsi="Arial" w:cs="Arial"/>
          <w:szCs w:val="24"/>
        </w:rPr>
        <w:t>Mariluz</w:t>
      </w:r>
      <w:proofErr w:type="spellEnd"/>
      <w:r w:rsidRPr="00E74763">
        <w:rPr>
          <w:rFonts w:ascii="Arial" w:hAnsi="Arial" w:cs="Arial"/>
          <w:szCs w:val="24"/>
        </w:rPr>
        <w:t xml:space="preserve"> Sepúlveda Giraldo</w:t>
      </w:r>
      <w:r w:rsidR="001C6CD4" w:rsidRPr="00E74763">
        <w:rPr>
          <w:rFonts w:ascii="Arial" w:hAnsi="Arial" w:cs="Arial"/>
          <w:szCs w:val="24"/>
        </w:rPr>
        <w:t xml:space="preserve">, en calidad de empleadores, </w:t>
      </w:r>
      <w:r w:rsidRPr="00E74763">
        <w:rPr>
          <w:rFonts w:ascii="Arial" w:hAnsi="Arial" w:cs="Arial"/>
          <w:szCs w:val="24"/>
        </w:rPr>
        <w:t>al pago de los aportes</w:t>
      </w:r>
      <w:r w:rsidR="001C6CD4" w:rsidRPr="00E74763">
        <w:rPr>
          <w:rFonts w:ascii="Arial" w:hAnsi="Arial" w:cs="Arial"/>
          <w:szCs w:val="24"/>
        </w:rPr>
        <w:t xml:space="preserve"> a pensión</w:t>
      </w:r>
      <w:r w:rsidRPr="00E74763">
        <w:rPr>
          <w:rFonts w:ascii="Arial" w:hAnsi="Arial" w:cs="Arial"/>
          <w:szCs w:val="24"/>
        </w:rPr>
        <w:t xml:space="preserve"> adeudados durante los años 2006 y 2007.</w:t>
      </w:r>
    </w:p>
    <w:p w14:paraId="7E5FAA53" w14:textId="77777777" w:rsidR="00A83A8A" w:rsidRPr="00E74763" w:rsidRDefault="00A83A8A" w:rsidP="008C76C8">
      <w:pPr>
        <w:spacing w:line="288" w:lineRule="auto"/>
        <w:contextualSpacing/>
        <w:jc w:val="both"/>
        <w:rPr>
          <w:rFonts w:ascii="Arial" w:hAnsi="Arial" w:cs="Arial"/>
          <w:szCs w:val="24"/>
        </w:rPr>
      </w:pPr>
    </w:p>
    <w:p w14:paraId="37162F95" w14:textId="47574C56" w:rsidR="00C44315" w:rsidRPr="00E74763" w:rsidRDefault="00FD3819" w:rsidP="008C76C8">
      <w:pPr>
        <w:spacing w:line="288" w:lineRule="auto"/>
        <w:contextualSpacing/>
        <w:jc w:val="both"/>
        <w:rPr>
          <w:rFonts w:ascii="Arial" w:hAnsi="Arial" w:cs="Arial"/>
          <w:szCs w:val="24"/>
        </w:rPr>
      </w:pPr>
      <w:r w:rsidRPr="00E74763">
        <w:rPr>
          <w:rFonts w:ascii="Arial" w:hAnsi="Arial" w:cs="Arial"/>
          <w:szCs w:val="24"/>
        </w:rPr>
        <w:t>Fund</w:t>
      </w:r>
      <w:r w:rsidR="002839F8" w:rsidRPr="00E74763">
        <w:rPr>
          <w:rFonts w:ascii="Arial" w:hAnsi="Arial" w:cs="Arial"/>
          <w:szCs w:val="24"/>
        </w:rPr>
        <w:t xml:space="preserve">amenta sus aspiraciones en que </w:t>
      </w:r>
      <w:r w:rsidRPr="00E74763">
        <w:rPr>
          <w:rFonts w:ascii="Arial" w:hAnsi="Arial" w:cs="Arial"/>
          <w:i/>
          <w:szCs w:val="24"/>
        </w:rPr>
        <w:t>i)</w:t>
      </w:r>
      <w:r w:rsidRPr="00E74763">
        <w:rPr>
          <w:rFonts w:ascii="Arial" w:hAnsi="Arial" w:cs="Arial"/>
          <w:szCs w:val="24"/>
        </w:rPr>
        <w:t xml:space="preserve"> </w:t>
      </w:r>
      <w:r w:rsidR="00C44315" w:rsidRPr="00E74763">
        <w:rPr>
          <w:rFonts w:ascii="Arial" w:hAnsi="Arial" w:cs="Arial"/>
          <w:szCs w:val="24"/>
        </w:rPr>
        <w:t xml:space="preserve">convivió con </w:t>
      </w:r>
      <w:proofErr w:type="spellStart"/>
      <w:r w:rsidR="00C44315" w:rsidRPr="00E74763">
        <w:rPr>
          <w:rFonts w:ascii="Arial" w:hAnsi="Arial" w:cs="Arial"/>
          <w:szCs w:val="24"/>
        </w:rPr>
        <w:t>Yobany</w:t>
      </w:r>
      <w:proofErr w:type="spellEnd"/>
      <w:r w:rsidR="00C44315" w:rsidRPr="00E74763">
        <w:rPr>
          <w:rFonts w:ascii="Arial" w:hAnsi="Arial" w:cs="Arial"/>
          <w:szCs w:val="24"/>
        </w:rPr>
        <w:t xml:space="preserve"> Antonio Trejos Sánchez durante 9 años previos a su fallecimiento el 16/09/2007; </w:t>
      </w:r>
      <w:r w:rsidR="00C44315" w:rsidRPr="00E74763">
        <w:rPr>
          <w:rFonts w:ascii="Arial" w:hAnsi="Arial" w:cs="Arial"/>
          <w:i/>
          <w:szCs w:val="24"/>
        </w:rPr>
        <w:t xml:space="preserve">ii) </w:t>
      </w:r>
      <w:r w:rsidR="00C44315" w:rsidRPr="00E74763">
        <w:rPr>
          <w:rFonts w:ascii="Arial" w:hAnsi="Arial" w:cs="Arial"/>
          <w:szCs w:val="24"/>
        </w:rPr>
        <w:t xml:space="preserve">fruto de tal unión nació </w:t>
      </w:r>
      <w:proofErr w:type="spellStart"/>
      <w:r w:rsidR="00C44315" w:rsidRPr="00E74763">
        <w:rPr>
          <w:rFonts w:ascii="Arial" w:hAnsi="Arial" w:cs="Arial"/>
          <w:szCs w:val="24"/>
        </w:rPr>
        <w:t>Yeris</w:t>
      </w:r>
      <w:proofErr w:type="spellEnd"/>
      <w:r w:rsidR="00C44315" w:rsidRPr="00E74763">
        <w:rPr>
          <w:rFonts w:ascii="Arial" w:hAnsi="Arial" w:cs="Arial"/>
          <w:szCs w:val="24"/>
        </w:rPr>
        <w:t xml:space="preserve"> </w:t>
      </w:r>
      <w:proofErr w:type="spellStart"/>
      <w:r w:rsidR="00C44315" w:rsidRPr="00E74763">
        <w:rPr>
          <w:rFonts w:ascii="Arial" w:hAnsi="Arial" w:cs="Arial"/>
          <w:szCs w:val="24"/>
        </w:rPr>
        <w:t>Yulitza</w:t>
      </w:r>
      <w:proofErr w:type="spellEnd"/>
      <w:r w:rsidR="00C44315" w:rsidRPr="00E74763">
        <w:rPr>
          <w:rFonts w:ascii="Arial" w:hAnsi="Arial" w:cs="Arial"/>
          <w:szCs w:val="24"/>
        </w:rPr>
        <w:t xml:space="preserve"> Trejos Arroyave; </w:t>
      </w:r>
      <w:r w:rsidR="00C44315" w:rsidRPr="00E74763">
        <w:rPr>
          <w:rFonts w:ascii="Arial" w:hAnsi="Arial" w:cs="Arial"/>
          <w:i/>
          <w:szCs w:val="24"/>
        </w:rPr>
        <w:t xml:space="preserve">iii) </w:t>
      </w:r>
      <w:r w:rsidR="00C44315" w:rsidRPr="00E74763">
        <w:rPr>
          <w:rFonts w:ascii="Arial" w:hAnsi="Arial" w:cs="Arial"/>
          <w:szCs w:val="24"/>
        </w:rPr>
        <w:t xml:space="preserve">el año anterior al deceso, el </w:t>
      </w:r>
      <w:proofErr w:type="spellStart"/>
      <w:r w:rsidR="00C44315" w:rsidRPr="00E74763">
        <w:rPr>
          <w:rFonts w:ascii="Arial" w:hAnsi="Arial" w:cs="Arial"/>
          <w:szCs w:val="24"/>
        </w:rPr>
        <w:t>obitado</w:t>
      </w:r>
      <w:proofErr w:type="spellEnd"/>
      <w:r w:rsidR="00C44315" w:rsidRPr="00E74763">
        <w:rPr>
          <w:rFonts w:ascii="Arial" w:hAnsi="Arial" w:cs="Arial"/>
          <w:szCs w:val="24"/>
        </w:rPr>
        <w:t xml:space="preserve"> laboró en el establecimiento de comercio Arte Floral Floristería, de propiedad de las personas naturales demandadas, como mensajero y florista</w:t>
      </w:r>
      <w:r w:rsidR="00920BFB" w:rsidRPr="00E74763">
        <w:rPr>
          <w:rFonts w:ascii="Arial" w:hAnsi="Arial" w:cs="Arial"/>
          <w:szCs w:val="24"/>
        </w:rPr>
        <w:t xml:space="preserve">; </w:t>
      </w:r>
      <w:r w:rsidR="00920BFB" w:rsidRPr="00E74763">
        <w:rPr>
          <w:rFonts w:ascii="Arial" w:hAnsi="Arial" w:cs="Arial"/>
          <w:i/>
          <w:szCs w:val="24"/>
        </w:rPr>
        <w:t xml:space="preserve">iv) </w:t>
      </w:r>
      <w:r w:rsidR="00920BFB" w:rsidRPr="00E74763">
        <w:rPr>
          <w:rFonts w:ascii="Arial" w:hAnsi="Arial" w:cs="Arial"/>
          <w:szCs w:val="24"/>
        </w:rPr>
        <w:t>sus empleadores únicamente cotizaron al sistema de seguridad social en salud desde el</w:t>
      </w:r>
      <w:r w:rsidR="00A078AD">
        <w:rPr>
          <w:rFonts w:ascii="Arial" w:hAnsi="Arial" w:cs="Arial"/>
          <w:szCs w:val="24"/>
        </w:rPr>
        <w:t xml:space="preserve"> 15/04/2006 hasta el 15/09/2007</w:t>
      </w:r>
      <w:r w:rsidR="00920BFB" w:rsidRPr="00E74763">
        <w:rPr>
          <w:rFonts w:ascii="Arial" w:hAnsi="Arial" w:cs="Arial"/>
          <w:szCs w:val="24"/>
        </w:rPr>
        <w:t xml:space="preserve"> pese a que tenían la obligación de cotizar a pensión; </w:t>
      </w:r>
      <w:r w:rsidR="00920BFB" w:rsidRPr="00E74763">
        <w:rPr>
          <w:rFonts w:ascii="Arial" w:hAnsi="Arial" w:cs="Arial"/>
          <w:i/>
          <w:szCs w:val="24"/>
        </w:rPr>
        <w:t xml:space="preserve">v) </w:t>
      </w:r>
      <w:r w:rsidR="00920BFB" w:rsidRPr="00E74763">
        <w:rPr>
          <w:rFonts w:ascii="Arial" w:hAnsi="Arial" w:cs="Arial"/>
          <w:szCs w:val="24"/>
        </w:rPr>
        <w:t>que los empleadores dejaron de pagar los aportes de abril a julio de 2006 y de febrero a abril, julio y septiembre de 2007.</w:t>
      </w:r>
    </w:p>
    <w:p w14:paraId="692C43AA" w14:textId="77777777" w:rsidR="00C44315" w:rsidRPr="00E74763" w:rsidRDefault="00C44315" w:rsidP="008C76C8">
      <w:pPr>
        <w:spacing w:line="288" w:lineRule="auto"/>
        <w:contextualSpacing/>
        <w:jc w:val="both"/>
        <w:rPr>
          <w:rFonts w:ascii="Arial" w:hAnsi="Arial" w:cs="Arial"/>
          <w:szCs w:val="24"/>
        </w:rPr>
      </w:pPr>
    </w:p>
    <w:p w14:paraId="622CB71C" w14:textId="4319F1AA" w:rsidR="0090564D" w:rsidRPr="00E74763" w:rsidRDefault="0090564D" w:rsidP="008C76C8">
      <w:pPr>
        <w:spacing w:line="288" w:lineRule="auto"/>
        <w:contextualSpacing/>
        <w:jc w:val="both"/>
        <w:rPr>
          <w:rFonts w:ascii="Arial" w:hAnsi="Arial" w:cs="Arial"/>
          <w:szCs w:val="24"/>
        </w:rPr>
      </w:pPr>
      <w:r w:rsidRPr="00E74763">
        <w:rPr>
          <w:rFonts w:ascii="Arial" w:hAnsi="Arial" w:cs="Arial"/>
          <w:b/>
          <w:szCs w:val="24"/>
        </w:rPr>
        <w:t>Protección S.A.</w:t>
      </w:r>
      <w:r w:rsidR="00F350F8" w:rsidRPr="00E74763">
        <w:rPr>
          <w:rFonts w:ascii="Arial" w:hAnsi="Arial" w:cs="Arial"/>
          <w:szCs w:val="24"/>
        </w:rPr>
        <w:t xml:space="preserve"> se opuso a todas las pretensiones de la demanda</w:t>
      </w:r>
      <w:r w:rsidRPr="00E74763">
        <w:rPr>
          <w:rFonts w:ascii="Arial" w:hAnsi="Arial" w:cs="Arial"/>
          <w:szCs w:val="24"/>
        </w:rPr>
        <w:t>, por cuanto el fallecido no dejó causado el derecho pensional, pues carece de las 50 semanas de cotización previos al deceso, pues solo alcanzó 35.5</w:t>
      </w:r>
      <w:r w:rsidR="00277640" w:rsidRPr="00E74763">
        <w:rPr>
          <w:rFonts w:ascii="Arial" w:hAnsi="Arial" w:cs="Arial"/>
          <w:szCs w:val="24"/>
        </w:rPr>
        <w:t>7</w:t>
      </w:r>
      <w:r w:rsidRPr="00E74763">
        <w:rPr>
          <w:rFonts w:ascii="Arial" w:hAnsi="Arial" w:cs="Arial"/>
          <w:szCs w:val="24"/>
        </w:rPr>
        <w:t xml:space="preserve">. Además, explicó que si el empleador no realizó las cotizaciones a las que estaba obligado, es a este al que corresponde el pago de la obligación. </w:t>
      </w:r>
    </w:p>
    <w:p w14:paraId="68798BA8" w14:textId="77777777" w:rsidR="0090564D" w:rsidRPr="00E74763" w:rsidRDefault="0090564D" w:rsidP="008C76C8">
      <w:pPr>
        <w:spacing w:line="288" w:lineRule="auto"/>
        <w:contextualSpacing/>
        <w:jc w:val="both"/>
        <w:rPr>
          <w:rFonts w:ascii="Arial" w:hAnsi="Arial" w:cs="Arial"/>
          <w:szCs w:val="24"/>
        </w:rPr>
      </w:pPr>
    </w:p>
    <w:p w14:paraId="19EF87BF" w14:textId="7B185781" w:rsidR="0090564D" w:rsidRPr="00E74763" w:rsidRDefault="0090564D" w:rsidP="008C76C8">
      <w:pPr>
        <w:spacing w:line="288" w:lineRule="auto"/>
        <w:contextualSpacing/>
        <w:jc w:val="both"/>
        <w:rPr>
          <w:rFonts w:ascii="Arial" w:hAnsi="Arial" w:cs="Arial"/>
          <w:szCs w:val="24"/>
        </w:rPr>
      </w:pPr>
      <w:r w:rsidRPr="00E74763">
        <w:rPr>
          <w:rFonts w:ascii="Arial" w:hAnsi="Arial" w:cs="Arial"/>
          <w:szCs w:val="24"/>
        </w:rPr>
        <w:t>De otro lado, adujo que de conformidad con las pruebas obrantes en el plenario se desprendía que el fallecido únicamente había sido afiliado desde el 23 de agosto de 2006 hasta febrero de 2007, y de mayo a junio de 2007</w:t>
      </w:r>
      <w:r w:rsidR="00732283" w:rsidRPr="00E74763">
        <w:rPr>
          <w:rFonts w:ascii="Arial" w:hAnsi="Arial" w:cs="Arial"/>
          <w:szCs w:val="24"/>
        </w:rPr>
        <w:t xml:space="preserve">, sin que la AFP fuese responsable por </w:t>
      </w:r>
      <w:r w:rsidR="00B561E8" w:rsidRPr="00E74763">
        <w:rPr>
          <w:rFonts w:ascii="Arial" w:hAnsi="Arial" w:cs="Arial"/>
          <w:szCs w:val="24"/>
        </w:rPr>
        <w:t>los meses previos en que tuvo ví</w:t>
      </w:r>
      <w:r w:rsidR="00732283" w:rsidRPr="00E74763">
        <w:rPr>
          <w:rFonts w:ascii="Arial" w:hAnsi="Arial" w:cs="Arial"/>
          <w:szCs w:val="24"/>
        </w:rPr>
        <w:t xml:space="preserve">nculo laboral sin afiliación a </w:t>
      </w:r>
      <w:r w:rsidR="00A078AD">
        <w:rPr>
          <w:rFonts w:ascii="Arial" w:hAnsi="Arial" w:cs="Arial"/>
          <w:szCs w:val="24"/>
        </w:rPr>
        <w:t xml:space="preserve">la </w:t>
      </w:r>
      <w:r w:rsidR="00732283" w:rsidRPr="00E74763">
        <w:rPr>
          <w:rFonts w:ascii="Arial" w:hAnsi="Arial" w:cs="Arial"/>
          <w:szCs w:val="24"/>
        </w:rPr>
        <w:t>seguridad social</w:t>
      </w:r>
      <w:r w:rsidRPr="00E74763">
        <w:rPr>
          <w:rFonts w:ascii="Arial" w:hAnsi="Arial" w:cs="Arial"/>
          <w:szCs w:val="24"/>
        </w:rPr>
        <w:t xml:space="preserve">. Además resaltó que un día después de su muerte, esto es, el 17 de septiembre de 2007 se realizó el pago del mes de agosto, y por ello ninguna validez devenía del mismo. </w:t>
      </w:r>
    </w:p>
    <w:p w14:paraId="15376A74" w14:textId="77777777" w:rsidR="0090564D" w:rsidRPr="00E74763" w:rsidRDefault="0090564D" w:rsidP="008C76C8">
      <w:pPr>
        <w:spacing w:line="288" w:lineRule="auto"/>
        <w:contextualSpacing/>
        <w:jc w:val="both"/>
        <w:rPr>
          <w:rFonts w:ascii="Arial" w:hAnsi="Arial" w:cs="Arial"/>
          <w:szCs w:val="24"/>
        </w:rPr>
      </w:pPr>
    </w:p>
    <w:p w14:paraId="09FBA33C" w14:textId="77777777" w:rsidR="00F350F8" w:rsidRPr="00E74763" w:rsidRDefault="00732283" w:rsidP="008C76C8">
      <w:pPr>
        <w:spacing w:line="288" w:lineRule="auto"/>
        <w:contextualSpacing/>
        <w:jc w:val="both"/>
        <w:rPr>
          <w:rFonts w:ascii="Arial" w:hAnsi="Arial" w:cs="Arial"/>
          <w:szCs w:val="24"/>
        </w:rPr>
      </w:pPr>
      <w:r w:rsidRPr="00E74763">
        <w:rPr>
          <w:rFonts w:ascii="Arial" w:hAnsi="Arial" w:cs="Arial"/>
          <w:szCs w:val="24"/>
        </w:rPr>
        <w:t>Por último, p</w:t>
      </w:r>
      <w:r w:rsidR="00F350F8" w:rsidRPr="00E74763">
        <w:rPr>
          <w:rFonts w:ascii="Arial" w:hAnsi="Arial" w:cs="Arial"/>
          <w:szCs w:val="24"/>
        </w:rPr>
        <w:t>ropuso excepciones</w:t>
      </w:r>
      <w:r w:rsidRPr="00E74763">
        <w:rPr>
          <w:rFonts w:ascii="Arial" w:hAnsi="Arial" w:cs="Arial"/>
          <w:szCs w:val="24"/>
        </w:rPr>
        <w:t xml:space="preserve"> que denominó “</w:t>
      </w:r>
      <w:r w:rsidRPr="00E74763">
        <w:rPr>
          <w:rFonts w:ascii="Arial" w:hAnsi="Arial" w:cs="Arial"/>
          <w:i/>
          <w:szCs w:val="24"/>
        </w:rPr>
        <w:t xml:space="preserve">inexistencia de la obligación demandada por inexistencia de causa jurídica”, </w:t>
      </w:r>
      <w:r w:rsidRPr="00E74763">
        <w:rPr>
          <w:rFonts w:ascii="Arial" w:hAnsi="Arial" w:cs="Arial"/>
          <w:szCs w:val="24"/>
        </w:rPr>
        <w:t>“</w:t>
      </w:r>
      <w:r w:rsidRPr="00E74763">
        <w:rPr>
          <w:rFonts w:ascii="Arial" w:hAnsi="Arial" w:cs="Arial"/>
          <w:i/>
          <w:szCs w:val="24"/>
        </w:rPr>
        <w:t xml:space="preserve">responsabilidad de la afiliación y pago de las cotizaciones recae sobre el empleador, no sobre la AFP”, </w:t>
      </w:r>
      <w:r w:rsidRPr="00E74763">
        <w:rPr>
          <w:rFonts w:ascii="Arial" w:hAnsi="Arial" w:cs="Arial"/>
          <w:szCs w:val="24"/>
        </w:rPr>
        <w:t>“</w:t>
      </w:r>
      <w:r w:rsidRPr="00E74763">
        <w:rPr>
          <w:rFonts w:ascii="Arial" w:hAnsi="Arial" w:cs="Arial"/>
          <w:i/>
          <w:szCs w:val="24"/>
        </w:rPr>
        <w:t xml:space="preserve">la administradora de fondos de pensiones no estaba obligada a requerir al empleador, ni realizar labores de cobro. Inexistencia de mora”, </w:t>
      </w:r>
      <w:r w:rsidRPr="00E74763">
        <w:rPr>
          <w:rFonts w:ascii="Arial" w:hAnsi="Arial" w:cs="Arial"/>
          <w:szCs w:val="24"/>
        </w:rPr>
        <w:t>“</w:t>
      </w:r>
      <w:r w:rsidRPr="00E74763">
        <w:rPr>
          <w:rFonts w:ascii="Arial" w:hAnsi="Arial" w:cs="Arial"/>
          <w:i/>
          <w:szCs w:val="24"/>
        </w:rPr>
        <w:t xml:space="preserve">improcedencia de cotizaciones posteriores a la ocurrencia del siniestro”, </w:t>
      </w:r>
      <w:r w:rsidRPr="00E74763">
        <w:rPr>
          <w:rFonts w:ascii="Arial" w:hAnsi="Arial" w:cs="Arial"/>
          <w:szCs w:val="24"/>
        </w:rPr>
        <w:t>“</w:t>
      </w:r>
      <w:r w:rsidRPr="00E74763">
        <w:rPr>
          <w:rFonts w:ascii="Arial" w:hAnsi="Arial" w:cs="Arial"/>
          <w:i/>
          <w:szCs w:val="24"/>
        </w:rPr>
        <w:t>prescripción”,</w:t>
      </w:r>
      <w:r w:rsidRPr="00E74763">
        <w:rPr>
          <w:rFonts w:ascii="Arial" w:hAnsi="Arial" w:cs="Arial"/>
          <w:szCs w:val="24"/>
        </w:rPr>
        <w:t xml:space="preserve"> entre otras. </w:t>
      </w:r>
    </w:p>
    <w:p w14:paraId="15B1E607" w14:textId="77777777" w:rsidR="00732283" w:rsidRPr="00E74763" w:rsidRDefault="00732283" w:rsidP="008C76C8">
      <w:pPr>
        <w:spacing w:line="288" w:lineRule="auto"/>
        <w:contextualSpacing/>
        <w:jc w:val="both"/>
        <w:rPr>
          <w:rFonts w:ascii="Arial" w:hAnsi="Arial" w:cs="Arial"/>
          <w:szCs w:val="24"/>
        </w:rPr>
      </w:pPr>
    </w:p>
    <w:p w14:paraId="64D25AFB" w14:textId="77777777" w:rsidR="00F350F8" w:rsidRPr="00E74763" w:rsidRDefault="00732283" w:rsidP="008C76C8">
      <w:pPr>
        <w:spacing w:line="288" w:lineRule="auto"/>
        <w:contextualSpacing/>
        <w:jc w:val="both"/>
        <w:rPr>
          <w:rFonts w:ascii="Arial" w:hAnsi="Arial" w:cs="Arial"/>
          <w:szCs w:val="24"/>
        </w:rPr>
      </w:pPr>
      <w:r w:rsidRPr="00E74763">
        <w:rPr>
          <w:rFonts w:ascii="Arial" w:hAnsi="Arial" w:cs="Arial"/>
          <w:szCs w:val="24"/>
        </w:rPr>
        <w:t xml:space="preserve">Por otro lado, llamo en garantía a </w:t>
      </w:r>
      <w:r w:rsidRPr="00E74763">
        <w:rPr>
          <w:rFonts w:ascii="Arial" w:hAnsi="Arial" w:cs="Arial"/>
          <w:b/>
          <w:szCs w:val="24"/>
        </w:rPr>
        <w:t xml:space="preserve">Seguros Bolívar, </w:t>
      </w:r>
      <w:r w:rsidRPr="00E74763">
        <w:rPr>
          <w:rFonts w:ascii="Arial" w:hAnsi="Arial" w:cs="Arial"/>
          <w:szCs w:val="24"/>
        </w:rPr>
        <w:t xml:space="preserve">que se opuso a las pretensiones pues el causante no alcanzó la densidad de semanas requeridas, pero admitió el </w:t>
      </w:r>
      <w:r w:rsidRPr="00E74763">
        <w:rPr>
          <w:rFonts w:ascii="Arial" w:hAnsi="Arial" w:cs="Arial"/>
          <w:szCs w:val="24"/>
        </w:rPr>
        <w:lastRenderedPageBreak/>
        <w:t>llamado para cu</w:t>
      </w:r>
      <w:r w:rsidR="00B561E8" w:rsidRPr="00E74763">
        <w:rPr>
          <w:rFonts w:ascii="Arial" w:hAnsi="Arial" w:cs="Arial"/>
          <w:szCs w:val="24"/>
        </w:rPr>
        <w:t>brir la suma adicional necesaria</w:t>
      </w:r>
      <w:r w:rsidRPr="00E74763">
        <w:rPr>
          <w:rFonts w:ascii="Arial" w:hAnsi="Arial" w:cs="Arial"/>
          <w:szCs w:val="24"/>
        </w:rPr>
        <w:t xml:space="preserve"> para financiar la pensión de sobrevivientes. </w:t>
      </w:r>
    </w:p>
    <w:p w14:paraId="74F9311D" w14:textId="77777777" w:rsidR="00732283" w:rsidRPr="00E74763" w:rsidRDefault="00732283" w:rsidP="008C76C8">
      <w:pPr>
        <w:spacing w:line="288" w:lineRule="auto"/>
        <w:contextualSpacing/>
        <w:jc w:val="both"/>
        <w:rPr>
          <w:rFonts w:ascii="Arial" w:hAnsi="Arial" w:cs="Arial"/>
          <w:szCs w:val="24"/>
        </w:rPr>
      </w:pPr>
    </w:p>
    <w:p w14:paraId="42B692F0" w14:textId="0E7C306D" w:rsidR="00AE7050" w:rsidRPr="003E518B" w:rsidRDefault="00AE7050" w:rsidP="008C76C8">
      <w:pPr>
        <w:spacing w:line="288" w:lineRule="auto"/>
        <w:contextualSpacing/>
        <w:jc w:val="both"/>
        <w:rPr>
          <w:rFonts w:ascii="Arial" w:hAnsi="Arial" w:cs="Arial"/>
          <w:szCs w:val="24"/>
        </w:rPr>
      </w:pPr>
      <w:r w:rsidRPr="003E518B">
        <w:rPr>
          <w:rFonts w:ascii="Arial" w:hAnsi="Arial" w:cs="Arial"/>
          <w:szCs w:val="24"/>
        </w:rPr>
        <w:t xml:space="preserve">Pese a que </w:t>
      </w:r>
      <w:r w:rsidRPr="003E518B">
        <w:rPr>
          <w:rFonts w:ascii="Arial" w:hAnsi="Arial" w:cs="Arial"/>
          <w:b/>
          <w:szCs w:val="24"/>
        </w:rPr>
        <w:t>Wilmar Atehortúa Arango</w:t>
      </w:r>
      <w:r w:rsidRPr="003E518B">
        <w:rPr>
          <w:rFonts w:ascii="Arial" w:hAnsi="Arial" w:cs="Arial"/>
          <w:szCs w:val="24"/>
        </w:rPr>
        <w:t xml:space="preserve"> fue notificado del auto admisorio de la demanda (</w:t>
      </w:r>
      <w:proofErr w:type="spellStart"/>
      <w:r w:rsidRPr="003E518B">
        <w:rPr>
          <w:rFonts w:ascii="Arial" w:hAnsi="Arial" w:cs="Arial"/>
          <w:szCs w:val="24"/>
        </w:rPr>
        <w:t>fl</w:t>
      </w:r>
      <w:proofErr w:type="spellEnd"/>
      <w:r w:rsidRPr="003E518B">
        <w:rPr>
          <w:rFonts w:ascii="Arial" w:hAnsi="Arial" w:cs="Arial"/>
          <w:szCs w:val="24"/>
        </w:rPr>
        <w:t>. 325 c. 1), no contestó la misma, por lo que se tuvo como indicio grave en su contra (</w:t>
      </w:r>
      <w:proofErr w:type="spellStart"/>
      <w:r w:rsidRPr="003E518B">
        <w:rPr>
          <w:rFonts w:ascii="Arial" w:hAnsi="Arial" w:cs="Arial"/>
          <w:szCs w:val="24"/>
        </w:rPr>
        <w:t>fl</w:t>
      </w:r>
      <w:proofErr w:type="spellEnd"/>
      <w:r w:rsidRPr="003E518B">
        <w:rPr>
          <w:rFonts w:ascii="Arial" w:hAnsi="Arial" w:cs="Arial"/>
          <w:szCs w:val="24"/>
        </w:rPr>
        <w:t>. 350 vto. c. 1), y en tanto no asistió a la audiencia de conciliación entonces se dieron por ciertos los hechos susceptibles de confesión, entre ellos, el 12 a15, 17,18, 25, 27 a 30 y 32 (</w:t>
      </w:r>
      <w:proofErr w:type="spellStart"/>
      <w:r w:rsidRPr="003E518B">
        <w:rPr>
          <w:rFonts w:ascii="Arial" w:hAnsi="Arial" w:cs="Arial"/>
          <w:szCs w:val="24"/>
        </w:rPr>
        <w:t>fl</w:t>
      </w:r>
      <w:proofErr w:type="spellEnd"/>
      <w:r w:rsidRPr="003E518B">
        <w:rPr>
          <w:rFonts w:ascii="Arial" w:hAnsi="Arial" w:cs="Arial"/>
          <w:szCs w:val="24"/>
        </w:rPr>
        <w:t>. 350 c. 1).</w:t>
      </w:r>
    </w:p>
    <w:p w14:paraId="3A5FF664" w14:textId="77777777" w:rsidR="00AE7050" w:rsidRPr="003E518B" w:rsidRDefault="00AE7050" w:rsidP="008C76C8">
      <w:pPr>
        <w:spacing w:line="288" w:lineRule="auto"/>
        <w:contextualSpacing/>
        <w:jc w:val="both"/>
        <w:rPr>
          <w:rFonts w:ascii="Arial" w:hAnsi="Arial" w:cs="Arial"/>
          <w:szCs w:val="24"/>
        </w:rPr>
      </w:pPr>
    </w:p>
    <w:p w14:paraId="4D5A6DC2" w14:textId="526F8369" w:rsidR="00AE7050" w:rsidRDefault="00AE7050" w:rsidP="008C76C8">
      <w:pPr>
        <w:spacing w:line="288" w:lineRule="auto"/>
        <w:contextualSpacing/>
        <w:jc w:val="both"/>
        <w:rPr>
          <w:rFonts w:ascii="Arial" w:hAnsi="Arial" w:cs="Arial"/>
          <w:szCs w:val="24"/>
        </w:rPr>
      </w:pPr>
      <w:r w:rsidRPr="003E518B">
        <w:rPr>
          <w:rFonts w:ascii="Arial" w:hAnsi="Arial" w:cs="Arial"/>
          <w:szCs w:val="24"/>
        </w:rPr>
        <w:t xml:space="preserve">Por último, </w:t>
      </w:r>
      <w:proofErr w:type="spellStart"/>
      <w:r w:rsidRPr="003E518B">
        <w:rPr>
          <w:rFonts w:ascii="Arial" w:hAnsi="Arial" w:cs="Arial"/>
          <w:b/>
          <w:szCs w:val="24"/>
        </w:rPr>
        <w:t>Mariluz</w:t>
      </w:r>
      <w:proofErr w:type="spellEnd"/>
      <w:r w:rsidRPr="003E518B">
        <w:rPr>
          <w:rFonts w:ascii="Arial" w:hAnsi="Arial" w:cs="Arial"/>
          <w:b/>
          <w:szCs w:val="24"/>
        </w:rPr>
        <w:t xml:space="preserve"> Sepúlveda Giraldo</w:t>
      </w:r>
      <w:r w:rsidRPr="003E518B">
        <w:rPr>
          <w:rFonts w:ascii="Arial" w:hAnsi="Arial" w:cs="Arial"/>
          <w:szCs w:val="24"/>
        </w:rPr>
        <w:t xml:space="preserve"> contestó la demanda a través de curador </w:t>
      </w:r>
      <w:r w:rsidRPr="003E518B">
        <w:rPr>
          <w:rFonts w:ascii="Arial" w:hAnsi="Arial" w:cs="Arial"/>
          <w:i/>
          <w:szCs w:val="24"/>
        </w:rPr>
        <w:t>ad litem</w:t>
      </w:r>
      <w:r w:rsidRPr="003E518B">
        <w:rPr>
          <w:rFonts w:ascii="Arial" w:hAnsi="Arial" w:cs="Arial"/>
          <w:szCs w:val="24"/>
        </w:rPr>
        <w:t>, que se opuso a las pretensiones pues a su juicio carecen de sustento fáctico y jurídico;</w:t>
      </w:r>
      <w:r w:rsidR="00891BE5" w:rsidRPr="003E518B">
        <w:rPr>
          <w:rFonts w:ascii="Arial" w:hAnsi="Arial" w:cs="Arial"/>
          <w:szCs w:val="24"/>
        </w:rPr>
        <w:t xml:space="preserve"> además, solicitó que no se decretara como prueba la “</w:t>
      </w:r>
      <w:r w:rsidR="00891BE5" w:rsidRPr="003E518B">
        <w:rPr>
          <w:rFonts w:ascii="Arial" w:hAnsi="Arial" w:cs="Arial"/>
          <w:i/>
          <w:szCs w:val="24"/>
        </w:rPr>
        <w:t xml:space="preserve">certificación e informe expedido por Salud Total EPS”, </w:t>
      </w:r>
      <w:r w:rsidR="00891BE5" w:rsidRPr="003E518B">
        <w:rPr>
          <w:rFonts w:ascii="Arial" w:hAnsi="Arial" w:cs="Arial"/>
          <w:szCs w:val="24"/>
        </w:rPr>
        <w:t>porque contenía errores, en tanto certificó que el causante laboró dos meses después de su fallecimiento;</w:t>
      </w:r>
      <w:r w:rsidRPr="003E518B">
        <w:rPr>
          <w:rFonts w:ascii="Arial" w:hAnsi="Arial" w:cs="Arial"/>
          <w:szCs w:val="24"/>
        </w:rPr>
        <w:t xml:space="preserve"> propuso las excepciones de “</w:t>
      </w:r>
      <w:r w:rsidRPr="003E518B">
        <w:rPr>
          <w:rFonts w:ascii="Arial" w:hAnsi="Arial" w:cs="Arial"/>
          <w:i/>
          <w:szCs w:val="24"/>
        </w:rPr>
        <w:t>cobro de lo no debido”</w:t>
      </w:r>
      <w:r w:rsidRPr="003E518B">
        <w:rPr>
          <w:rFonts w:ascii="Arial" w:hAnsi="Arial" w:cs="Arial"/>
          <w:szCs w:val="24"/>
        </w:rPr>
        <w:t xml:space="preserve"> y “</w:t>
      </w:r>
      <w:r w:rsidRPr="003E518B">
        <w:rPr>
          <w:rFonts w:ascii="Arial" w:hAnsi="Arial" w:cs="Arial"/>
          <w:i/>
          <w:szCs w:val="24"/>
        </w:rPr>
        <w:t>prescripción”.</w:t>
      </w:r>
      <w:r w:rsidRPr="00453DBB">
        <w:rPr>
          <w:rFonts w:ascii="Arial" w:hAnsi="Arial" w:cs="Arial"/>
          <w:szCs w:val="24"/>
        </w:rPr>
        <w:t xml:space="preserve"> </w:t>
      </w:r>
    </w:p>
    <w:p w14:paraId="5558EBD6" w14:textId="77777777" w:rsidR="003E518B" w:rsidRPr="00453DBB" w:rsidRDefault="003E518B" w:rsidP="008C76C8">
      <w:pPr>
        <w:spacing w:line="288" w:lineRule="auto"/>
        <w:contextualSpacing/>
        <w:jc w:val="both"/>
        <w:rPr>
          <w:rFonts w:ascii="Arial" w:hAnsi="Arial" w:cs="Arial"/>
          <w:szCs w:val="24"/>
        </w:rPr>
      </w:pPr>
    </w:p>
    <w:p w14:paraId="16DE0EE3" w14:textId="77777777" w:rsidR="00FC5C41" w:rsidRPr="00E74763" w:rsidRDefault="00F5708E" w:rsidP="008C76C8">
      <w:pPr>
        <w:spacing w:line="288" w:lineRule="auto"/>
        <w:rPr>
          <w:rFonts w:ascii="Arial" w:hAnsi="Arial" w:cs="Arial"/>
          <w:b/>
          <w:szCs w:val="24"/>
        </w:rPr>
      </w:pPr>
      <w:r w:rsidRPr="00E74763">
        <w:rPr>
          <w:rFonts w:ascii="Arial" w:hAnsi="Arial" w:cs="Arial"/>
          <w:b/>
          <w:szCs w:val="24"/>
        </w:rPr>
        <w:t>2. Síntesis de la sentencia apelada</w:t>
      </w:r>
    </w:p>
    <w:p w14:paraId="1B11221F" w14:textId="77777777" w:rsidR="00891BE5" w:rsidRPr="00E74763" w:rsidRDefault="00891BE5" w:rsidP="008C76C8">
      <w:pPr>
        <w:spacing w:line="288" w:lineRule="auto"/>
        <w:rPr>
          <w:rFonts w:ascii="Arial" w:hAnsi="Arial" w:cs="Arial"/>
          <w:b/>
          <w:szCs w:val="24"/>
        </w:rPr>
      </w:pPr>
    </w:p>
    <w:p w14:paraId="43414E5C" w14:textId="1039236D" w:rsidR="00837419" w:rsidRPr="00E74763" w:rsidRDefault="009E3C18" w:rsidP="008C76C8">
      <w:pPr>
        <w:spacing w:line="288" w:lineRule="auto"/>
        <w:contextualSpacing/>
        <w:jc w:val="both"/>
        <w:rPr>
          <w:rFonts w:ascii="Arial" w:hAnsi="Arial" w:cs="Arial"/>
          <w:szCs w:val="24"/>
          <w:lang w:eastAsia="es-CO"/>
        </w:rPr>
      </w:pPr>
      <w:r w:rsidRPr="00E74763">
        <w:rPr>
          <w:rFonts w:ascii="Arial" w:hAnsi="Arial" w:cs="Arial"/>
          <w:szCs w:val="24"/>
          <w:lang w:eastAsia="es-CO"/>
        </w:rPr>
        <w:t>El Juzgado</w:t>
      </w:r>
      <w:r w:rsidR="00FA45D0" w:rsidRPr="00E74763">
        <w:rPr>
          <w:rFonts w:ascii="Arial" w:hAnsi="Arial" w:cs="Arial"/>
          <w:szCs w:val="24"/>
          <w:lang w:eastAsia="es-CO"/>
        </w:rPr>
        <w:t xml:space="preserve"> </w:t>
      </w:r>
      <w:r w:rsidR="00942D4C" w:rsidRPr="00E74763">
        <w:rPr>
          <w:rFonts w:ascii="Arial" w:hAnsi="Arial" w:cs="Arial"/>
          <w:szCs w:val="24"/>
          <w:lang w:eastAsia="es-CO"/>
        </w:rPr>
        <w:t>Quinto</w:t>
      </w:r>
      <w:r w:rsidR="00837419" w:rsidRPr="00E74763">
        <w:rPr>
          <w:rFonts w:ascii="Arial" w:hAnsi="Arial" w:cs="Arial"/>
          <w:szCs w:val="24"/>
          <w:lang w:eastAsia="es-CO"/>
        </w:rPr>
        <w:t xml:space="preserve"> L</w:t>
      </w:r>
      <w:r w:rsidR="00DD435D" w:rsidRPr="00E74763">
        <w:rPr>
          <w:rFonts w:ascii="Arial" w:hAnsi="Arial" w:cs="Arial"/>
          <w:szCs w:val="24"/>
          <w:lang w:eastAsia="es-CO"/>
        </w:rPr>
        <w:t xml:space="preserve">aboral del Circuito de Pereira </w:t>
      </w:r>
      <w:r w:rsidR="00942D4C" w:rsidRPr="00E74763">
        <w:rPr>
          <w:rFonts w:ascii="Arial" w:hAnsi="Arial" w:cs="Arial"/>
          <w:szCs w:val="24"/>
          <w:lang w:eastAsia="es-CO"/>
        </w:rPr>
        <w:t>declaró la existencia de “</w:t>
      </w:r>
      <w:r w:rsidR="00942D4C" w:rsidRPr="00E74763">
        <w:rPr>
          <w:rFonts w:ascii="Arial" w:hAnsi="Arial" w:cs="Arial"/>
          <w:i/>
          <w:szCs w:val="24"/>
          <w:lang w:eastAsia="es-CO"/>
        </w:rPr>
        <w:t xml:space="preserve">un vínculo laboral” </w:t>
      </w:r>
      <w:r w:rsidR="00942D4C" w:rsidRPr="00E74763">
        <w:rPr>
          <w:rFonts w:ascii="Arial" w:hAnsi="Arial" w:cs="Arial"/>
          <w:szCs w:val="24"/>
          <w:lang w:eastAsia="es-CO"/>
        </w:rPr>
        <w:t xml:space="preserve">entre </w:t>
      </w:r>
      <w:proofErr w:type="spellStart"/>
      <w:r w:rsidR="00942D4C" w:rsidRPr="00E74763">
        <w:rPr>
          <w:rFonts w:ascii="Arial" w:hAnsi="Arial" w:cs="Arial"/>
          <w:szCs w:val="24"/>
          <w:lang w:eastAsia="es-CO"/>
        </w:rPr>
        <w:t>Yobani</w:t>
      </w:r>
      <w:proofErr w:type="spellEnd"/>
      <w:r w:rsidR="00942D4C" w:rsidRPr="00E74763">
        <w:rPr>
          <w:rFonts w:ascii="Arial" w:hAnsi="Arial" w:cs="Arial"/>
          <w:szCs w:val="24"/>
          <w:lang w:eastAsia="es-CO"/>
        </w:rPr>
        <w:t xml:space="preserve"> Antonio Trejos Sánchez y Wilmar Atehortúa Arango entre el 16-03-2006 hasta el 16-09-2007, en consec</w:t>
      </w:r>
      <w:r w:rsidR="001C6CD4" w:rsidRPr="00E74763">
        <w:rPr>
          <w:rFonts w:ascii="Arial" w:hAnsi="Arial" w:cs="Arial"/>
          <w:szCs w:val="24"/>
          <w:lang w:eastAsia="es-CO"/>
        </w:rPr>
        <w:t>uencia lo condenó al pago del cá</w:t>
      </w:r>
      <w:r w:rsidR="00942D4C" w:rsidRPr="00E74763">
        <w:rPr>
          <w:rFonts w:ascii="Arial" w:hAnsi="Arial" w:cs="Arial"/>
          <w:szCs w:val="24"/>
          <w:lang w:eastAsia="es-CO"/>
        </w:rPr>
        <w:t>lculo actuarial para los ciclos de 15 días de marzo, abril, mayo, junio y julio</w:t>
      </w:r>
      <w:r w:rsidR="003E518B">
        <w:rPr>
          <w:rFonts w:ascii="Arial" w:hAnsi="Arial" w:cs="Arial"/>
          <w:szCs w:val="24"/>
          <w:lang w:eastAsia="es-CO"/>
        </w:rPr>
        <w:t xml:space="preserve"> de 2006</w:t>
      </w:r>
      <w:r w:rsidR="00942D4C" w:rsidRPr="00E74763">
        <w:rPr>
          <w:rFonts w:ascii="Arial" w:hAnsi="Arial" w:cs="Arial"/>
          <w:szCs w:val="24"/>
          <w:lang w:eastAsia="es-CO"/>
        </w:rPr>
        <w:t xml:space="preserve"> igual a 19.3 semanas, y por e</w:t>
      </w:r>
      <w:r w:rsidR="003E518B">
        <w:rPr>
          <w:rFonts w:ascii="Arial" w:hAnsi="Arial" w:cs="Arial"/>
          <w:szCs w:val="24"/>
          <w:lang w:eastAsia="es-CO"/>
        </w:rPr>
        <w:t xml:space="preserve">llo, ordenó a Protección S.A. </w:t>
      </w:r>
      <w:r w:rsidR="00942D4C" w:rsidRPr="00E74763">
        <w:rPr>
          <w:rFonts w:ascii="Arial" w:hAnsi="Arial" w:cs="Arial"/>
          <w:szCs w:val="24"/>
          <w:lang w:eastAsia="es-CO"/>
        </w:rPr>
        <w:t xml:space="preserve"> que realizara las gestiones tendientes al cobro coactivo de dichos ciclos.</w:t>
      </w:r>
    </w:p>
    <w:p w14:paraId="3B67E63B" w14:textId="77777777" w:rsidR="00942D4C" w:rsidRPr="00E74763" w:rsidRDefault="00942D4C" w:rsidP="008C76C8">
      <w:pPr>
        <w:spacing w:line="288" w:lineRule="auto"/>
        <w:contextualSpacing/>
        <w:jc w:val="both"/>
        <w:rPr>
          <w:rFonts w:ascii="Arial" w:hAnsi="Arial" w:cs="Arial"/>
          <w:szCs w:val="24"/>
          <w:lang w:eastAsia="es-CO"/>
        </w:rPr>
      </w:pPr>
    </w:p>
    <w:p w14:paraId="1BF831DD" w14:textId="49E155FD" w:rsidR="00942D4C" w:rsidRPr="00E74763" w:rsidRDefault="00942D4C" w:rsidP="008C76C8">
      <w:pPr>
        <w:spacing w:line="288" w:lineRule="auto"/>
        <w:contextualSpacing/>
        <w:jc w:val="both"/>
        <w:rPr>
          <w:rFonts w:ascii="Arial" w:hAnsi="Arial" w:cs="Arial"/>
          <w:szCs w:val="24"/>
          <w:lang w:eastAsia="es-CO"/>
        </w:rPr>
      </w:pPr>
      <w:r w:rsidRPr="00E74763">
        <w:rPr>
          <w:rFonts w:ascii="Arial" w:hAnsi="Arial" w:cs="Arial"/>
          <w:szCs w:val="24"/>
          <w:lang w:eastAsia="es-CO"/>
        </w:rPr>
        <w:t xml:space="preserve">Por otro lado, declaró que </w:t>
      </w:r>
      <w:proofErr w:type="spellStart"/>
      <w:r w:rsidRPr="00E74763">
        <w:rPr>
          <w:rFonts w:ascii="Arial" w:hAnsi="Arial" w:cs="Arial"/>
          <w:szCs w:val="24"/>
          <w:lang w:eastAsia="es-CO"/>
        </w:rPr>
        <w:t>Yobani</w:t>
      </w:r>
      <w:proofErr w:type="spellEnd"/>
      <w:r w:rsidRPr="00E74763">
        <w:rPr>
          <w:rFonts w:ascii="Arial" w:hAnsi="Arial" w:cs="Arial"/>
          <w:szCs w:val="24"/>
          <w:lang w:eastAsia="es-CO"/>
        </w:rPr>
        <w:t xml:space="preserve"> Antonio Trejos Sánchez dejó causada la pensión de sobrevivientes a partir del 19-09-2007, pues logró cotizar 70,44 semanas entre marzo de 2006 y septiembre de 2007; en ese sentido, condenó </w:t>
      </w:r>
      <w:r w:rsidR="00B561E8" w:rsidRPr="00E74763">
        <w:rPr>
          <w:rFonts w:ascii="Arial" w:hAnsi="Arial" w:cs="Arial"/>
          <w:szCs w:val="24"/>
          <w:lang w:eastAsia="es-CO"/>
        </w:rPr>
        <w:t xml:space="preserve">a </w:t>
      </w:r>
      <w:r w:rsidRPr="00E74763">
        <w:rPr>
          <w:rFonts w:ascii="Arial" w:hAnsi="Arial" w:cs="Arial"/>
          <w:szCs w:val="24"/>
          <w:lang w:eastAsia="es-CO"/>
        </w:rPr>
        <w:t xml:space="preserve">Seguros </w:t>
      </w:r>
      <w:r w:rsidR="00B561E8" w:rsidRPr="00E74763">
        <w:rPr>
          <w:rFonts w:ascii="Arial" w:hAnsi="Arial" w:cs="Arial"/>
          <w:szCs w:val="24"/>
          <w:lang w:eastAsia="es-CO"/>
        </w:rPr>
        <w:t>Bolívar</w:t>
      </w:r>
      <w:r w:rsidRPr="00E74763">
        <w:rPr>
          <w:rFonts w:ascii="Arial" w:hAnsi="Arial" w:cs="Arial"/>
          <w:szCs w:val="24"/>
          <w:lang w:eastAsia="es-CO"/>
        </w:rPr>
        <w:t xml:space="preserve"> a reconocer  la suma adicional que se requiera para completar el capital necesario para cubrir el valor de la pensión de sobrevivientes causadas.</w:t>
      </w:r>
    </w:p>
    <w:p w14:paraId="1B9DA941" w14:textId="77777777" w:rsidR="00942D4C" w:rsidRPr="00E74763" w:rsidRDefault="00942D4C" w:rsidP="008C76C8">
      <w:pPr>
        <w:spacing w:line="288" w:lineRule="auto"/>
        <w:contextualSpacing/>
        <w:jc w:val="both"/>
        <w:rPr>
          <w:rFonts w:ascii="Arial" w:hAnsi="Arial" w:cs="Arial"/>
          <w:szCs w:val="24"/>
          <w:lang w:eastAsia="es-CO"/>
        </w:rPr>
      </w:pPr>
    </w:p>
    <w:p w14:paraId="0A72DE69" w14:textId="7B10C278" w:rsidR="00942D4C" w:rsidRPr="00E74763" w:rsidRDefault="00942D4C" w:rsidP="008C76C8">
      <w:pPr>
        <w:spacing w:line="288" w:lineRule="auto"/>
        <w:contextualSpacing/>
        <w:jc w:val="both"/>
        <w:rPr>
          <w:rFonts w:ascii="Arial" w:hAnsi="Arial" w:cs="Arial"/>
          <w:szCs w:val="24"/>
          <w:lang w:eastAsia="es-CO"/>
        </w:rPr>
      </w:pPr>
      <w:r w:rsidRPr="00E74763">
        <w:rPr>
          <w:rFonts w:ascii="Arial" w:hAnsi="Arial" w:cs="Arial"/>
          <w:szCs w:val="24"/>
          <w:lang w:eastAsia="es-CO"/>
        </w:rPr>
        <w:t xml:space="preserve">Bajo dicho tenor, declaró que María Zoraida Arroyave, como compañera permanente y </w:t>
      </w:r>
      <w:proofErr w:type="spellStart"/>
      <w:r w:rsidRPr="00E74763">
        <w:rPr>
          <w:rFonts w:ascii="Arial" w:hAnsi="Arial" w:cs="Arial"/>
          <w:szCs w:val="24"/>
          <w:lang w:eastAsia="es-CO"/>
        </w:rPr>
        <w:t>Yeris</w:t>
      </w:r>
      <w:proofErr w:type="spellEnd"/>
      <w:r w:rsidRPr="00E74763">
        <w:rPr>
          <w:rFonts w:ascii="Arial" w:hAnsi="Arial" w:cs="Arial"/>
          <w:szCs w:val="24"/>
          <w:lang w:eastAsia="es-CO"/>
        </w:rPr>
        <w:t xml:space="preserve"> </w:t>
      </w:r>
      <w:proofErr w:type="spellStart"/>
      <w:r w:rsidRPr="00E74763">
        <w:rPr>
          <w:rFonts w:ascii="Arial" w:hAnsi="Arial" w:cs="Arial"/>
          <w:szCs w:val="24"/>
          <w:lang w:eastAsia="es-CO"/>
        </w:rPr>
        <w:t>Yulitza</w:t>
      </w:r>
      <w:proofErr w:type="spellEnd"/>
      <w:r w:rsidRPr="00E74763">
        <w:rPr>
          <w:rFonts w:ascii="Arial" w:hAnsi="Arial" w:cs="Arial"/>
          <w:szCs w:val="24"/>
          <w:lang w:eastAsia="es-CO"/>
        </w:rPr>
        <w:t xml:space="preserve"> Trejos Arroyave, en calidad de hija, tenían derecho a la pensión de sobrevivientes a partir del fallecimiento, pero ante la procedencia de la excepción de prescripción, ordenó su pago a partir del 15-11-2010 para la primera</w:t>
      </w:r>
      <w:r w:rsidR="00CE1F49" w:rsidRPr="00E74763">
        <w:rPr>
          <w:rFonts w:ascii="Arial" w:hAnsi="Arial" w:cs="Arial"/>
          <w:szCs w:val="24"/>
          <w:lang w:eastAsia="es-CO"/>
        </w:rPr>
        <w:t xml:space="preserve"> y del 19-09-2007 para la segunda</w:t>
      </w:r>
      <w:r w:rsidR="00A05D3E" w:rsidRPr="00E74763">
        <w:rPr>
          <w:rFonts w:ascii="Arial" w:hAnsi="Arial" w:cs="Arial"/>
          <w:szCs w:val="24"/>
          <w:lang w:eastAsia="es-CO"/>
        </w:rPr>
        <w:t xml:space="preserve"> – por cuanto era menor de edad -</w:t>
      </w:r>
      <w:r w:rsidR="00CE1F49" w:rsidRPr="00E74763">
        <w:rPr>
          <w:rFonts w:ascii="Arial" w:hAnsi="Arial" w:cs="Arial"/>
          <w:szCs w:val="24"/>
          <w:lang w:eastAsia="es-CO"/>
        </w:rPr>
        <w:t xml:space="preserve">, en cuantía de un salario mínimo y en proporción del 50% para cada una, y absolvió a Protección S.A. de las restantes pretensiones. </w:t>
      </w:r>
    </w:p>
    <w:p w14:paraId="73CB13AB" w14:textId="77777777" w:rsidR="00CE1F49" w:rsidRPr="00E74763" w:rsidRDefault="00CE1F49" w:rsidP="008C76C8">
      <w:pPr>
        <w:spacing w:line="288" w:lineRule="auto"/>
        <w:contextualSpacing/>
        <w:jc w:val="both"/>
        <w:rPr>
          <w:rFonts w:ascii="Arial" w:hAnsi="Arial" w:cs="Arial"/>
          <w:szCs w:val="24"/>
          <w:lang w:eastAsia="es-CO"/>
        </w:rPr>
      </w:pPr>
    </w:p>
    <w:p w14:paraId="50BE89CC" w14:textId="77777777" w:rsidR="00CE1F49" w:rsidRPr="00E74763" w:rsidRDefault="00CE1F49" w:rsidP="008C76C8">
      <w:pPr>
        <w:spacing w:line="288" w:lineRule="auto"/>
        <w:contextualSpacing/>
        <w:jc w:val="both"/>
        <w:rPr>
          <w:rFonts w:ascii="Arial" w:hAnsi="Arial" w:cs="Arial"/>
          <w:szCs w:val="24"/>
          <w:lang w:eastAsia="es-CO"/>
        </w:rPr>
      </w:pPr>
      <w:r w:rsidRPr="00E74763">
        <w:rPr>
          <w:rFonts w:ascii="Arial" w:hAnsi="Arial" w:cs="Arial"/>
          <w:szCs w:val="24"/>
          <w:lang w:eastAsia="es-CO"/>
        </w:rPr>
        <w:t xml:space="preserve">Como fundamento de tal determinación adujo que </w:t>
      </w:r>
      <w:r w:rsidR="00B561E8" w:rsidRPr="00E74763">
        <w:rPr>
          <w:rFonts w:ascii="Arial" w:hAnsi="Arial" w:cs="Arial"/>
          <w:szCs w:val="24"/>
          <w:lang w:eastAsia="es-CO"/>
        </w:rPr>
        <w:t xml:space="preserve">se probaron </w:t>
      </w:r>
      <w:r w:rsidR="002A79C8" w:rsidRPr="00E74763">
        <w:rPr>
          <w:rFonts w:ascii="Arial" w:hAnsi="Arial" w:cs="Arial"/>
          <w:szCs w:val="24"/>
          <w:lang w:eastAsia="es-CO"/>
        </w:rPr>
        <w:t>tiem</w:t>
      </w:r>
      <w:r w:rsidR="00301B36" w:rsidRPr="00E74763">
        <w:rPr>
          <w:rFonts w:ascii="Arial" w:hAnsi="Arial" w:cs="Arial"/>
          <w:szCs w:val="24"/>
          <w:lang w:eastAsia="es-CO"/>
        </w:rPr>
        <w:t>pos como trabajador dependiente</w:t>
      </w:r>
      <w:r w:rsidR="002A79C8" w:rsidRPr="00E74763">
        <w:rPr>
          <w:rFonts w:ascii="Arial" w:hAnsi="Arial" w:cs="Arial"/>
          <w:szCs w:val="24"/>
          <w:lang w:eastAsia="es-CO"/>
        </w:rPr>
        <w:t xml:space="preserve"> desde agosto de 2006 hasta septiembre de 2007, que alcanzan 50,71 semanas de cotización y con ello, colma</w:t>
      </w:r>
      <w:r w:rsidR="001C6CD4" w:rsidRPr="00E74763">
        <w:rPr>
          <w:rFonts w:ascii="Arial" w:hAnsi="Arial" w:cs="Arial"/>
          <w:szCs w:val="24"/>
          <w:lang w:eastAsia="es-CO"/>
        </w:rPr>
        <w:t>ba</w:t>
      </w:r>
      <w:r w:rsidR="002A79C8" w:rsidRPr="00E74763">
        <w:rPr>
          <w:rFonts w:ascii="Arial" w:hAnsi="Arial" w:cs="Arial"/>
          <w:szCs w:val="24"/>
          <w:lang w:eastAsia="es-CO"/>
        </w:rPr>
        <w:t xml:space="preserve"> el requisito de sobrevivencia; sin embargo, también se acreditó una afiliación tardía y retiros continuos por lo que su empleador Wilmer Atehortúa deberá pagar el cálculo actuarial correspondiente, frente a los meses de marzo (15 días), abri</w:t>
      </w:r>
      <w:r w:rsidR="001C6CD4" w:rsidRPr="00E74763">
        <w:rPr>
          <w:rFonts w:ascii="Arial" w:hAnsi="Arial" w:cs="Arial"/>
          <w:szCs w:val="24"/>
          <w:lang w:eastAsia="es-CO"/>
        </w:rPr>
        <w:t xml:space="preserve">l, mayo, junio y julio de 2006 y </w:t>
      </w:r>
      <w:r w:rsidR="002A79C8" w:rsidRPr="00E74763">
        <w:rPr>
          <w:rFonts w:ascii="Arial" w:hAnsi="Arial" w:cs="Arial"/>
          <w:szCs w:val="24"/>
          <w:lang w:eastAsia="es-CO"/>
        </w:rPr>
        <w:t xml:space="preserve">las moras patronales existentes en marzo y abril de 2007, además de 17 días del mes de septiembre de 2007. </w:t>
      </w:r>
    </w:p>
    <w:p w14:paraId="38B9288F" w14:textId="77777777" w:rsidR="002A79C8" w:rsidRPr="00E74763" w:rsidRDefault="002A79C8" w:rsidP="008C76C8">
      <w:pPr>
        <w:spacing w:line="288" w:lineRule="auto"/>
        <w:contextualSpacing/>
        <w:jc w:val="both"/>
        <w:rPr>
          <w:rFonts w:ascii="Arial" w:hAnsi="Arial" w:cs="Arial"/>
          <w:szCs w:val="24"/>
          <w:lang w:eastAsia="es-CO"/>
        </w:rPr>
      </w:pPr>
    </w:p>
    <w:p w14:paraId="3255BA6F" w14:textId="4EAF9C4F" w:rsidR="002A79C8" w:rsidRPr="00E74763" w:rsidRDefault="002A79C8" w:rsidP="008C76C8">
      <w:pPr>
        <w:spacing w:line="288" w:lineRule="auto"/>
        <w:contextualSpacing/>
        <w:jc w:val="both"/>
        <w:rPr>
          <w:rFonts w:ascii="Arial" w:hAnsi="Arial" w:cs="Arial"/>
          <w:szCs w:val="24"/>
          <w:lang w:eastAsia="es-CO"/>
        </w:rPr>
      </w:pPr>
      <w:r w:rsidRPr="00E74763">
        <w:rPr>
          <w:rFonts w:ascii="Arial" w:hAnsi="Arial" w:cs="Arial"/>
          <w:szCs w:val="24"/>
          <w:lang w:eastAsia="es-CO"/>
        </w:rPr>
        <w:t>Frente a la pensión de sobrevivientes,</w:t>
      </w:r>
      <w:r w:rsidR="00571C3F" w:rsidRPr="00E74763">
        <w:rPr>
          <w:rFonts w:ascii="Arial" w:hAnsi="Arial" w:cs="Arial"/>
          <w:szCs w:val="24"/>
          <w:lang w:eastAsia="es-CO"/>
        </w:rPr>
        <w:t xml:space="preserve"> señaló que las demandante</w:t>
      </w:r>
      <w:r w:rsidR="00F16C53">
        <w:rPr>
          <w:rFonts w:ascii="Arial" w:hAnsi="Arial" w:cs="Arial"/>
          <w:szCs w:val="24"/>
          <w:lang w:eastAsia="es-CO"/>
        </w:rPr>
        <w:t>s</w:t>
      </w:r>
      <w:r w:rsidR="00571C3F" w:rsidRPr="00E74763">
        <w:rPr>
          <w:rFonts w:ascii="Arial" w:hAnsi="Arial" w:cs="Arial"/>
          <w:szCs w:val="24"/>
          <w:lang w:eastAsia="es-CO"/>
        </w:rPr>
        <w:t xml:space="preserve"> tenían la calidad de beneficiarias porque así había sido reconocido por la demandada al ordenar a su favor la devolución de aportes de la cuenta de ahorro individual del causante, máxime que en la audiencia celebrada el 27 de agosto de 2016, que no fue afectada por nulidad, las testigos </w:t>
      </w:r>
      <w:proofErr w:type="spellStart"/>
      <w:r w:rsidR="00571C3F" w:rsidRPr="00E74763">
        <w:rPr>
          <w:rFonts w:ascii="Arial" w:hAnsi="Arial" w:cs="Arial"/>
          <w:szCs w:val="24"/>
          <w:lang w:eastAsia="es-CO"/>
        </w:rPr>
        <w:t>Claribel</w:t>
      </w:r>
      <w:proofErr w:type="spellEnd"/>
      <w:r w:rsidR="00571C3F" w:rsidRPr="00E74763">
        <w:rPr>
          <w:rFonts w:ascii="Arial" w:hAnsi="Arial" w:cs="Arial"/>
          <w:szCs w:val="24"/>
          <w:lang w:eastAsia="es-CO"/>
        </w:rPr>
        <w:t xml:space="preserve"> Arroyave y </w:t>
      </w:r>
      <w:proofErr w:type="spellStart"/>
      <w:r w:rsidR="00571C3F" w:rsidRPr="00E74763">
        <w:rPr>
          <w:rFonts w:ascii="Arial" w:hAnsi="Arial" w:cs="Arial"/>
          <w:szCs w:val="24"/>
          <w:lang w:eastAsia="es-CO"/>
        </w:rPr>
        <w:t>Sandrá</w:t>
      </w:r>
      <w:proofErr w:type="spellEnd"/>
      <w:r w:rsidR="00571C3F" w:rsidRPr="00E74763">
        <w:rPr>
          <w:rFonts w:ascii="Arial" w:hAnsi="Arial" w:cs="Arial"/>
          <w:szCs w:val="24"/>
          <w:lang w:eastAsia="es-CO"/>
        </w:rPr>
        <w:t xml:space="preserve"> Gómez Morales coincidieron en afirmar que la pareja llevaba conviviendo desde 1999, por lo que</w:t>
      </w:r>
      <w:r w:rsidR="00A078AD">
        <w:rPr>
          <w:rFonts w:ascii="Arial" w:hAnsi="Arial" w:cs="Arial"/>
          <w:szCs w:val="24"/>
          <w:lang w:eastAsia="es-CO"/>
        </w:rPr>
        <w:t xml:space="preserve"> esta</w:t>
      </w:r>
      <w:r w:rsidR="00571C3F" w:rsidRPr="00E74763">
        <w:rPr>
          <w:rFonts w:ascii="Arial" w:hAnsi="Arial" w:cs="Arial"/>
          <w:szCs w:val="24"/>
          <w:lang w:eastAsia="es-CO"/>
        </w:rPr>
        <w:t xml:space="preserve"> acreditó más de los 5 años requeridos por la legislación; además, Nicole Manzo Trejos ratificó la declaración </w:t>
      </w:r>
      <w:proofErr w:type="spellStart"/>
      <w:r w:rsidR="00571C3F" w:rsidRPr="00E74763">
        <w:rPr>
          <w:rFonts w:ascii="Arial" w:hAnsi="Arial" w:cs="Arial"/>
          <w:szCs w:val="24"/>
          <w:lang w:eastAsia="es-CO"/>
        </w:rPr>
        <w:t>extrajuicio</w:t>
      </w:r>
      <w:proofErr w:type="spellEnd"/>
      <w:r w:rsidR="00571C3F" w:rsidRPr="00E74763">
        <w:rPr>
          <w:rFonts w:ascii="Arial" w:hAnsi="Arial" w:cs="Arial"/>
          <w:szCs w:val="24"/>
          <w:lang w:eastAsia="es-CO"/>
        </w:rPr>
        <w:t xml:space="preserve"> allegada al plenario que coincide con lo expuesto por las testigos antedichas.</w:t>
      </w:r>
    </w:p>
    <w:p w14:paraId="1DDE0EEA" w14:textId="77777777" w:rsidR="00A05D3E" w:rsidRPr="00E74763" w:rsidRDefault="00A05D3E" w:rsidP="008C76C8">
      <w:pPr>
        <w:spacing w:line="288" w:lineRule="auto"/>
        <w:contextualSpacing/>
        <w:jc w:val="both"/>
        <w:rPr>
          <w:rFonts w:ascii="Arial" w:hAnsi="Arial" w:cs="Arial"/>
          <w:szCs w:val="24"/>
          <w:lang w:eastAsia="es-CO"/>
        </w:rPr>
      </w:pPr>
    </w:p>
    <w:p w14:paraId="6AEEF1A2" w14:textId="77777777" w:rsidR="00BD6D89" w:rsidRPr="00E74763" w:rsidRDefault="00A05D3E" w:rsidP="008C76C8">
      <w:pPr>
        <w:spacing w:line="288" w:lineRule="auto"/>
        <w:contextualSpacing/>
        <w:jc w:val="both"/>
        <w:rPr>
          <w:rFonts w:ascii="Arial" w:hAnsi="Arial" w:cs="Arial"/>
          <w:szCs w:val="24"/>
          <w:lang w:eastAsia="es-CO"/>
        </w:rPr>
      </w:pPr>
      <w:r w:rsidRPr="00E74763">
        <w:rPr>
          <w:rFonts w:ascii="Arial" w:hAnsi="Arial" w:cs="Arial"/>
          <w:szCs w:val="24"/>
          <w:lang w:eastAsia="es-CO"/>
        </w:rPr>
        <w:t xml:space="preserve">Por último, denegó los intereses moratorios pretendidos, por cuanto resolución favorable de las pretensiones únicamente se alcanzó a través del proceso judicial y absolvió a la demandada </w:t>
      </w:r>
      <w:proofErr w:type="spellStart"/>
      <w:r w:rsidRPr="00E74763">
        <w:rPr>
          <w:rFonts w:ascii="Arial" w:hAnsi="Arial" w:cs="Arial"/>
          <w:szCs w:val="24"/>
          <w:lang w:eastAsia="es-CO"/>
        </w:rPr>
        <w:t>Mariluz</w:t>
      </w:r>
      <w:proofErr w:type="spellEnd"/>
      <w:r w:rsidRPr="00E74763">
        <w:rPr>
          <w:rFonts w:ascii="Arial" w:hAnsi="Arial" w:cs="Arial"/>
          <w:szCs w:val="24"/>
          <w:lang w:eastAsia="es-CO"/>
        </w:rPr>
        <w:t xml:space="preserve"> Sepúlveda Giraldo pues ella no fue empleadora del causante. </w:t>
      </w:r>
    </w:p>
    <w:p w14:paraId="6BB8D0C1" w14:textId="77777777" w:rsidR="00A05D3E" w:rsidRPr="00E74763" w:rsidRDefault="00A05D3E" w:rsidP="008C76C8">
      <w:pPr>
        <w:spacing w:line="288" w:lineRule="auto"/>
        <w:contextualSpacing/>
        <w:jc w:val="both"/>
        <w:rPr>
          <w:rFonts w:ascii="Arial" w:hAnsi="Arial" w:cs="Arial"/>
          <w:szCs w:val="24"/>
          <w:lang w:eastAsia="es-CO"/>
        </w:rPr>
      </w:pPr>
    </w:p>
    <w:p w14:paraId="2C2D7486" w14:textId="77777777" w:rsidR="00086287" w:rsidRPr="00E74763" w:rsidRDefault="00DA3754" w:rsidP="008C76C8">
      <w:pPr>
        <w:shd w:val="clear" w:color="auto" w:fill="FFFFFF"/>
        <w:spacing w:line="288" w:lineRule="auto"/>
        <w:jc w:val="both"/>
        <w:rPr>
          <w:rFonts w:ascii="Arial" w:hAnsi="Arial" w:cs="Arial"/>
          <w:b/>
          <w:szCs w:val="24"/>
        </w:rPr>
      </w:pPr>
      <w:r w:rsidRPr="00E74763">
        <w:rPr>
          <w:rFonts w:ascii="Arial" w:hAnsi="Arial" w:cs="Arial"/>
          <w:b/>
          <w:szCs w:val="24"/>
        </w:rPr>
        <w:t xml:space="preserve">3. Del </w:t>
      </w:r>
      <w:r w:rsidR="001717C8" w:rsidRPr="00E74763">
        <w:rPr>
          <w:rFonts w:ascii="Arial" w:hAnsi="Arial" w:cs="Arial"/>
          <w:b/>
          <w:szCs w:val="24"/>
        </w:rPr>
        <w:t>recurso de apelación</w:t>
      </w:r>
    </w:p>
    <w:p w14:paraId="66DC0E9F" w14:textId="77777777" w:rsidR="00086287" w:rsidRPr="00E74763" w:rsidRDefault="00086287" w:rsidP="008C76C8">
      <w:pPr>
        <w:shd w:val="clear" w:color="auto" w:fill="FFFFFF"/>
        <w:spacing w:line="288" w:lineRule="auto"/>
        <w:jc w:val="both"/>
        <w:rPr>
          <w:rFonts w:ascii="Arial" w:hAnsi="Arial" w:cs="Arial"/>
          <w:b/>
          <w:szCs w:val="24"/>
        </w:rPr>
      </w:pPr>
    </w:p>
    <w:p w14:paraId="2329D0B7" w14:textId="77777777" w:rsidR="00A05D3E" w:rsidRPr="00E74763" w:rsidRDefault="00A05D3E" w:rsidP="008C76C8">
      <w:pPr>
        <w:shd w:val="clear" w:color="auto" w:fill="FFFFFF"/>
        <w:spacing w:line="288" w:lineRule="auto"/>
        <w:jc w:val="both"/>
        <w:rPr>
          <w:rFonts w:ascii="Arial" w:hAnsi="Arial" w:cs="Arial"/>
          <w:szCs w:val="24"/>
        </w:rPr>
      </w:pPr>
      <w:r w:rsidRPr="00E74763">
        <w:rPr>
          <w:rFonts w:ascii="Arial" w:hAnsi="Arial" w:cs="Arial"/>
          <w:b/>
          <w:szCs w:val="24"/>
        </w:rPr>
        <w:t xml:space="preserve">Protección S.A. </w:t>
      </w:r>
      <w:r w:rsidRPr="00E74763">
        <w:rPr>
          <w:rFonts w:ascii="Arial" w:hAnsi="Arial" w:cs="Arial"/>
          <w:szCs w:val="24"/>
        </w:rPr>
        <w:t>presentó recurso de alzada para lo cual argumentó que ninguna prueba existe en el plenario del contrato de trabajo, ni sus extremos, ni siquiera podría derivarse de las declaraciones practicadas, que incluso únicamente tenían el propósi</w:t>
      </w:r>
      <w:r w:rsidR="001C6CD4" w:rsidRPr="00E74763">
        <w:rPr>
          <w:rFonts w:ascii="Arial" w:hAnsi="Arial" w:cs="Arial"/>
          <w:szCs w:val="24"/>
        </w:rPr>
        <w:t>to de acreditar la convivencia, sob</w:t>
      </w:r>
      <w:r w:rsidR="00B561E8" w:rsidRPr="00E74763">
        <w:rPr>
          <w:rFonts w:ascii="Arial" w:hAnsi="Arial" w:cs="Arial"/>
          <w:szCs w:val="24"/>
        </w:rPr>
        <w:t>re el cual fueron contradictoria</w:t>
      </w:r>
      <w:r w:rsidR="001C6CD4" w:rsidRPr="00E74763">
        <w:rPr>
          <w:rFonts w:ascii="Arial" w:hAnsi="Arial" w:cs="Arial"/>
          <w:szCs w:val="24"/>
        </w:rPr>
        <w:t>s.</w:t>
      </w:r>
    </w:p>
    <w:p w14:paraId="1638C5FD" w14:textId="77777777" w:rsidR="00A05D3E" w:rsidRPr="00E74763" w:rsidRDefault="00A05D3E" w:rsidP="008C76C8">
      <w:pPr>
        <w:shd w:val="clear" w:color="auto" w:fill="FFFFFF"/>
        <w:spacing w:line="288" w:lineRule="auto"/>
        <w:jc w:val="both"/>
        <w:rPr>
          <w:rFonts w:ascii="Arial" w:hAnsi="Arial" w:cs="Arial"/>
          <w:szCs w:val="24"/>
        </w:rPr>
      </w:pPr>
    </w:p>
    <w:p w14:paraId="1B1035A8" w14:textId="77777777" w:rsidR="00A05D3E" w:rsidRPr="00E74763" w:rsidRDefault="00A05D3E" w:rsidP="008C76C8">
      <w:pPr>
        <w:shd w:val="clear" w:color="auto" w:fill="FFFFFF"/>
        <w:spacing w:line="288" w:lineRule="auto"/>
        <w:jc w:val="both"/>
        <w:rPr>
          <w:rFonts w:ascii="Arial" w:hAnsi="Arial" w:cs="Arial"/>
          <w:szCs w:val="24"/>
        </w:rPr>
      </w:pPr>
      <w:r w:rsidRPr="00E74763">
        <w:rPr>
          <w:rFonts w:ascii="Arial" w:hAnsi="Arial" w:cs="Arial"/>
          <w:szCs w:val="24"/>
        </w:rPr>
        <w:t>Por otro lado, recriminó que de ninguna manera podía imponerse la obligación de persecución de un empleador que no afilió a su trabajador al sistema, pues se acreditó en el expediente que dicha afiliación apenas ocurrió en agosto de 2006</w:t>
      </w:r>
      <w:r w:rsidR="00EF26DF" w:rsidRPr="00E74763">
        <w:rPr>
          <w:rFonts w:ascii="Arial" w:hAnsi="Arial" w:cs="Arial"/>
          <w:szCs w:val="24"/>
        </w:rPr>
        <w:t>, hecho que también fue confesado en la demanda</w:t>
      </w:r>
      <w:r w:rsidRPr="00E74763">
        <w:rPr>
          <w:rFonts w:ascii="Arial" w:hAnsi="Arial" w:cs="Arial"/>
          <w:szCs w:val="24"/>
        </w:rPr>
        <w:t>, y por ello, ninguna obligación devenía por los tiempos corridos desde el 16-03-2006, por ende no podían obligar a la AFP a lo imposible.</w:t>
      </w:r>
    </w:p>
    <w:p w14:paraId="538825CD" w14:textId="77777777" w:rsidR="00AE7050" w:rsidRPr="00E74763" w:rsidRDefault="00AE7050" w:rsidP="008C76C8">
      <w:pPr>
        <w:shd w:val="clear" w:color="auto" w:fill="FFFFFF"/>
        <w:spacing w:line="288" w:lineRule="auto"/>
        <w:jc w:val="both"/>
        <w:rPr>
          <w:rFonts w:ascii="Arial" w:hAnsi="Arial" w:cs="Arial"/>
          <w:szCs w:val="24"/>
        </w:rPr>
      </w:pPr>
    </w:p>
    <w:p w14:paraId="57E73117" w14:textId="77777777" w:rsidR="00A05D3E" w:rsidRPr="00E74763" w:rsidRDefault="00A05D3E" w:rsidP="008C76C8">
      <w:pPr>
        <w:shd w:val="clear" w:color="auto" w:fill="FFFFFF"/>
        <w:spacing w:line="288" w:lineRule="auto"/>
        <w:jc w:val="both"/>
        <w:rPr>
          <w:rFonts w:ascii="Arial" w:hAnsi="Arial" w:cs="Arial"/>
          <w:szCs w:val="24"/>
        </w:rPr>
      </w:pPr>
      <w:r w:rsidRPr="00E74763">
        <w:rPr>
          <w:rFonts w:ascii="Arial" w:hAnsi="Arial" w:cs="Arial"/>
          <w:szCs w:val="24"/>
        </w:rPr>
        <w:t>Asimismo</w:t>
      </w:r>
      <w:r w:rsidR="00EF26DF" w:rsidRPr="00E74763">
        <w:rPr>
          <w:rFonts w:ascii="Arial" w:hAnsi="Arial" w:cs="Arial"/>
          <w:szCs w:val="24"/>
        </w:rPr>
        <w:t>,</w:t>
      </w:r>
      <w:r w:rsidRPr="00E74763">
        <w:rPr>
          <w:rFonts w:ascii="Arial" w:hAnsi="Arial" w:cs="Arial"/>
          <w:szCs w:val="24"/>
        </w:rPr>
        <w:t xml:space="preserve"> resaltó que el causante había sido desafiliado el 01-06-2006, sin que existiera mora en los meses de abril y mayo, por lo que únicamente había alcanzado 35.84 semanas.</w:t>
      </w:r>
      <w:r w:rsidR="00EF26DF" w:rsidRPr="00E74763">
        <w:rPr>
          <w:rFonts w:ascii="Arial" w:hAnsi="Arial" w:cs="Arial"/>
          <w:szCs w:val="24"/>
        </w:rPr>
        <w:t xml:space="preserve"> Además adujo que nuevamente había sido afiliado después de su deceso, y por ende el riesgo ya se había producido, y en ese sentido, ninguna obligación de persecución de empleador moroso tenía la AFP, por lo que le corresponde al empleador responder por el pago de las prestaciones pensionales.</w:t>
      </w:r>
    </w:p>
    <w:p w14:paraId="5B532EFF" w14:textId="77777777" w:rsidR="00EF26DF" w:rsidRPr="00E74763" w:rsidRDefault="00EF26DF" w:rsidP="008C76C8">
      <w:pPr>
        <w:shd w:val="clear" w:color="auto" w:fill="FFFFFF"/>
        <w:spacing w:line="288" w:lineRule="auto"/>
        <w:jc w:val="both"/>
        <w:rPr>
          <w:rFonts w:ascii="Arial" w:hAnsi="Arial" w:cs="Arial"/>
          <w:szCs w:val="24"/>
        </w:rPr>
      </w:pPr>
    </w:p>
    <w:p w14:paraId="213EDF34" w14:textId="1A45B7D6" w:rsidR="00A05D3E" w:rsidRPr="00E74763" w:rsidRDefault="00591741" w:rsidP="008C76C8">
      <w:pPr>
        <w:shd w:val="clear" w:color="auto" w:fill="FFFFFF"/>
        <w:spacing w:line="288" w:lineRule="auto"/>
        <w:jc w:val="both"/>
        <w:rPr>
          <w:rFonts w:ascii="Arial" w:hAnsi="Arial" w:cs="Arial"/>
          <w:szCs w:val="24"/>
        </w:rPr>
      </w:pPr>
      <w:r w:rsidRPr="00E74763">
        <w:rPr>
          <w:rFonts w:ascii="Arial" w:hAnsi="Arial" w:cs="Arial"/>
          <w:szCs w:val="24"/>
        </w:rPr>
        <w:t xml:space="preserve">Frente a la prescripción de los menores de edad, </w:t>
      </w:r>
      <w:r w:rsidR="001C6CD4" w:rsidRPr="00E74763">
        <w:rPr>
          <w:rFonts w:ascii="Arial" w:hAnsi="Arial" w:cs="Arial"/>
          <w:szCs w:val="24"/>
        </w:rPr>
        <w:t xml:space="preserve">dijo </w:t>
      </w:r>
      <w:r w:rsidRPr="00E74763">
        <w:rPr>
          <w:rFonts w:ascii="Arial" w:hAnsi="Arial" w:cs="Arial"/>
          <w:szCs w:val="24"/>
        </w:rPr>
        <w:t xml:space="preserve">que debía aplicarse la prescripción de 5 años contemplada en el artículo 1081 del </w:t>
      </w:r>
      <w:proofErr w:type="spellStart"/>
      <w:r w:rsidRPr="00E74763">
        <w:rPr>
          <w:rFonts w:ascii="Arial" w:hAnsi="Arial" w:cs="Arial"/>
          <w:szCs w:val="24"/>
        </w:rPr>
        <w:t>C.Co</w:t>
      </w:r>
      <w:proofErr w:type="spellEnd"/>
      <w:r w:rsidRPr="00E74763">
        <w:rPr>
          <w:rFonts w:ascii="Arial" w:hAnsi="Arial" w:cs="Arial"/>
          <w:szCs w:val="24"/>
        </w:rPr>
        <w:t xml:space="preserve">., por ser un tema de seguros, </w:t>
      </w:r>
      <w:r w:rsidR="001C6CD4" w:rsidRPr="00E74763">
        <w:rPr>
          <w:rFonts w:ascii="Arial" w:hAnsi="Arial" w:cs="Arial"/>
          <w:szCs w:val="24"/>
        </w:rPr>
        <w:t>sin que pudiera</w:t>
      </w:r>
      <w:r w:rsidRPr="00E74763">
        <w:rPr>
          <w:rFonts w:ascii="Arial" w:hAnsi="Arial" w:cs="Arial"/>
          <w:szCs w:val="24"/>
        </w:rPr>
        <w:t xml:space="preserve"> ser ilimitada aun</w:t>
      </w:r>
      <w:r w:rsidR="00F16C53">
        <w:rPr>
          <w:rFonts w:ascii="Arial" w:hAnsi="Arial" w:cs="Arial"/>
          <w:szCs w:val="24"/>
        </w:rPr>
        <w:t>que existiera un menor.</w:t>
      </w:r>
    </w:p>
    <w:p w14:paraId="04059D52" w14:textId="77777777" w:rsidR="00A05D3E" w:rsidRPr="00E74763" w:rsidRDefault="00A05D3E" w:rsidP="008C76C8">
      <w:pPr>
        <w:shd w:val="clear" w:color="auto" w:fill="FFFFFF"/>
        <w:spacing w:line="288" w:lineRule="auto"/>
        <w:jc w:val="both"/>
        <w:rPr>
          <w:rFonts w:ascii="Arial" w:hAnsi="Arial" w:cs="Arial"/>
          <w:b/>
          <w:szCs w:val="24"/>
        </w:rPr>
      </w:pPr>
      <w:r w:rsidRPr="00E74763">
        <w:rPr>
          <w:rFonts w:ascii="Arial" w:hAnsi="Arial" w:cs="Arial"/>
          <w:b/>
          <w:szCs w:val="24"/>
        </w:rPr>
        <w:t xml:space="preserve"> </w:t>
      </w:r>
    </w:p>
    <w:p w14:paraId="6670F494" w14:textId="6F0D2260" w:rsidR="00A05D3E" w:rsidRPr="00E74763" w:rsidRDefault="00A05D3E" w:rsidP="008C76C8">
      <w:pPr>
        <w:shd w:val="clear" w:color="auto" w:fill="FFFFFF"/>
        <w:spacing w:line="288" w:lineRule="auto"/>
        <w:jc w:val="both"/>
        <w:rPr>
          <w:rFonts w:ascii="Arial" w:hAnsi="Arial" w:cs="Arial"/>
          <w:szCs w:val="24"/>
        </w:rPr>
      </w:pPr>
      <w:r w:rsidRPr="00E74763">
        <w:rPr>
          <w:rFonts w:ascii="Arial" w:hAnsi="Arial" w:cs="Arial"/>
          <w:szCs w:val="24"/>
        </w:rPr>
        <w:t xml:space="preserve">A su turno, la parte </w:t>
      </w:r>
      <w:r w:rsidRPr="00E74763">
        <w:rPr>
          <w:rFonts w:ascii="Arial" w:hAnsi="Arial" w:cs="Arial"/>
          <w:b/>
          <w:szCs w:val="24"/>
        </w:rPr>
        <w:t xml:space="preserve">demandante </w:t>
      </w:r>
      <w:r w:rsidRPr="00E74763">
        <w:rPr>
          <w:rFonts w:ascii="Arial" w:hAnsi="Arial" w:cs="Arial"/>
          <w:szCs w:val="24"/>
        </w:rPr>
        <w:t>mostró su inconformidad parcial con la decisión de primer grado, para que se concedan los intereses moratorios negados</w:t>
      </w:r>
      <w:r w:rsidR="009D70CD">
        <w:rPr>
          <w:rFonts w:ascii="Arial" w:hAnsi="Arial" w:cs="Arial"/>
          <w:szCs w:val="24"/>
        </w:rPr>
        <w:t>,</w:t>
      </w:r>
      <w:r w:rsidRPr="00E74763">
        <w:rPr>
          <w:rFonts w:ascii="Arial" w:hAnsi="Arial" w:cs="Arial"/>
          <w:szCs w:val="24"/>
        </w:rPr>
        <w:t xml:space="preserve"> en tanto que fue Protección S.A. la que omitió realizar el cobro oportuno de los aportes que sí estaban en mora </w:t>
      </w:r>
      <w:r w:rsidR="007C3B26">
        <w:rPr>
          <w:rFonts w:ascii="Arial" w:hAnsi="Arial" w:cs="Arial"/>
          <w:szCs w:val="24"/>
        </w:rPr>
        <w:t>-</w:t>
      </w:r>
      <w:r w:rsidRPr="00E74763">
        <w:rPr>
          <w:rFonts w:ascii="Arial" w:hAnsi="Arial" w:cs="Arial"/>
          <w:szCs w:val="24"/>
        </w:rPr>
        <w:t xml:space="preserve"> abril, mayo y septiembre de 2007 -, con las que se acreditaban las 50 semanas de cotización previas al fallecimiento. </w:t>
      </w:r>
    </w:p>
    <w:p w14:paraId="1663CEE6" w14:textId="77777777" w:rsidR="00591741" w:rsidRPr="00E74763" w:rsidRDefault="00591741" w:rsidP="008C76C8">
      <w:pPr>
        <w:shd w:val="clear" w:color="auto" w:fill="FFFFFF"/>
        <w:spacing w:line="288" w:lineRule="auto"/>
        <w:jc w:val="both"/>
        <w:rPr>
          <w:rFonts w:ascii="Arial" w:hAnsi="Arial" w:cs="Arial"/>
          <w:szCs w:val="24"/>
        </w:rPr>
      </w:pPr>
    </w:p>
    <w:p w14:paraId="0E050E12" w14:textId="7FAA56D8" w:rsidR="00591741" w:rsidRDefault="00591741" w:rsidP="008C76C8">
      <w:pPr>
        <w:shd w:val="clear" w:color="auto" w:fill="FFFFFF"/>
        <w:spacing w:line="288" w:lineRule="auto"/>
        <w:jc w:val="both"/>
        <w:rPr>
          <w:rFonts w:ascii="Arial" w:hAnsi="Arial" w:cs="Arial"/>
          <w:szCs w:val="24"/>
        </w:rPr>
      </w:pPr>
      <w:r w:rsidRPr="00E74763">
        <w:rPr>
          <w:rFonts w:ascii="Arial" w:hAnsi="Arial" w:cs="Arial"/>
          <w:szCs w:val="24"/>
        </w:rPr>
        <w:lastRenderedPageBreak/>
        <w:t xml:space="preserve">Por último, </w:t>
      </w:r>
      <w:r w:rsidRPr="00E74763">
        <w:rPr>
          <w:rFonts w:ascii="Arial" w:hAnsi="Arial" w:cs="Arial"/>
          <w:b/>
          <w:szCs w:val="24"/>
        </w:rPr>
        <w:t>Seguros Bolívar</w:t>
      </w:r>
      <w:r w:rsidRPr="00E74763">
        <w:rPr>
          <w:rFonts w:ascii="Arial" w:hAnsi="Arial" w:cs="Arial"/>
          <w:szCs w:val="24"/>
        </w:rPr>
        <w:t xml:space="preserve"> apeló que las cotizaciones extemporáneas no debía</w:t>
      </w:r>
      <w:r w:rsidR="00F16C53">
        <w:rPr>
          <w:rFonts w:ascii="Arial" w:hAnsi="Arial" w:cs="Arial"/>
          <w:szCs w:val="24"/>
        </w:rPr>
        <w:t>n</w:t>
      </w:r>
      <w:r w:rsidRPr="00E74763">
        <w:rPr>
          <w:rFonts w:ascii="Arial" w:hAnsi="Arial" w:cs="Arial"/>
          <w:szCs w:val="24"/>
        </w:rPr>
        <w:t xml:space="preserve"> ser tenidas en cuenta para efectos del reconocimiento de la pensión de sobrevivientes, y ante la falta de diligencia de Protección S.A. en el cobro oportuno de las cotizaciones, entonces se debería liberar a la aseguradora del pago de la suma adicional para financiar la pensión de sobrevivientes. </w:t>
      </w:r>
    </w:p>
    <w:p w14:paraId="5194B814" w14:textId="77777777" w:rsidR="00453DBB" w:rsidRPr="00E74763" w:rsidRDefault="00453DBB" w:rsidP="008C76C8">
      <w:pPr>
        <w:shd w:val="clear" w:color="auto" w:fill="FFFFFF"/>
        <w:spacing w:line="288" w:lineRule="auto"/>
        <w:jc w:val="both"/>
        <w:rPr>
          <w:rFonts w:ascii="Arial" w:hAnsi="Arial" w:cs="Arial"/>
          <w:szCs w:val="24"/>
        </w:rPr>
      </w:pPr>
    </w:p>
    <w:p w14:paraId="6A593D21" w14:textId="77777777" w:rsidR="00A44751" w:rsidRPr="00E74763" w:rsidRDefault="00A44751" w:rsidP="008C76C8">
      <w:pPr>
        <w:shd w:val="clear" w:color="auto" w:fill="FFFFFF"/>
        <w:spacing w:line="288" w:lineRule="auto"/>
        <w:contextualSpacing/>
        <w:jc w:val="center"/>
        <w:rPr>
          <w:rFonts w:ascii="Arial" w:hAnsi="Arial" w:cs="Arial"/>
          <w:b/>
          <w:szCs w:val="24"/>
        </w:rPr>
      </w:pPr>
      <w:r w:rsidRPr="00E74763">
        <w:rPr>
          <w:rFonts w:ascii="Arial" w:hAnsi="Arial" w:cs="Arial"/>
          <w:b/>
          <w:szCs w:val="24"/>
        </w:rPr>
        <w:t>CONSIDERACIONES</w:t>
      </w:r>
    </w:p>
    <w:p w14:paraId="7C8B041C" w14:textId="77777777" w:rsidR="0009318D" w:rsidRPr="00E74763" w:rsidRDefault="0009318D" w:rsidP="008C76C8">
      <w:pPr>
        <w:spacing w:line="288" w:lineRule="auto"/>
        <w:jc w:val="both"/>
        <w:rPr>
          <w:rFonts w:ascii="Arial" w:hAnsi="Arial" w:cs="Arial"/>
          <w:b/>
          <w:szCs w:val="24"/>
        </w:rPr>
      </w:pPr>
    </w:p>
    <w:p w14:paraId="7C29A04D" w14:textId="77777777" w:rsidR="00A44751" w:rsidRPr="00E74763" w:rsidRDefault="009F62F8" w:rsidP="008C76C8">
      <w:pPr>
        <w:autoSpaceDE w:val="0"/>
        <w:autoSpaceDN w:val="0"/>
        <w:adjustRightInd w:val="0"/>
        <w:spacing w:line="288" w:lineRule="auto"/>
        <w:jc w:val="both"/>
        <w:rPr>
          <w:rFonts w:ascii="Arial" w:hAnsi="Arial" w:cs="Arial"/>
          <w:b/>
          <w:szCs w:val="24"/>
        </w:rPr>
      </w:pPr>
      <w:r w:rsidRPr="00E74763">
        <w:rPr>
          <w:rFonts w:ascii="Arial" w:hAnsi="Arial" w:cs="Arial"/>
          <w:b/>
          <w:szCs w:val="24"/>
        </w:rPr>
        <w:t xml:space="preserve">1. </w:t>
      </w:r>
      <w:r w:rsidR="00A44751" w:rsidRPr="00E74763">
        <w:rPr>
          <w:rFonts w:ascii="Arial" w:hAnsi="Arial" w:cs="Arial"/>
          <w:b/>
          <w:szCs w:val="24"/>
        </w:rPr>
        <w:t>De</w:t>
      </w:r>
      <w:r w:rsidR="001415F6" w:rsidRPr="00E74763">
        <w:rPr>
          <w:rFonts w:ascii="Arial" w:hAnsi="Arial" w:cs="Arial"/>
          <w:b/>
          <w:szCs w:val="24"/>
        </w:rPr>
        <w:t>l</w:t>
      </w:r>
      <w:r w:rsidR="002A1E4B" w:rsidRPr="00E74763">
        <w:rPr>
          <w:rFonts w:ascii="Arial" w:hAnsi="Arial" w:cs="Arial"/>
          <w:b/>
          <w:szCs w:val="24"/>
        </w:rPr>
        <w:t xml:space="preserve"> </w:t>
      </w:r>
      <w:r w:rsidR="00A44751" w:rsidRPr="00E74763">
        <w:rPr>
          <w:rFonts w:ascii="Arial" w:hAnsi="Arial" w:cs="Arial"/>
          <w:b/>
          <w:szCs w:val="24"/>
        </w:rPr>
        <w:t>problema jurídico</w:t>
      </w:r>
    </w:p>
    <w:p w14:paraId="63F7AD2C" w14:textId="77777777" w:rsidR="00591741" w:rsidRPr="001C2146" w:rsidRDefault="00591741" w:rsidP="008C76C8">
      <w:pPr>
        <w:pStyle w:val="Prrafodelista"/>
        <w:spacing w:after="0" w:line="288" w:lineRule="auto"/>
        <w:rPr>
          <w:rFonts w:ascii="Arial" w:hAnsi="Arial" w:cs="Arial"/>
          <w:color w:val="000000"/>
          <w:sz w:val="24"/>
          <w:szCs w:val="24"/>
          <w:lang w:eastAsia="es-CO"/>
        </w:rPr>
      </w:pPr>
    </w:p>
    <w:p w14:paraId="2FBB4CEC" w14:textId="3FDDA3D5" w:rsidR="00D22D6F" w:rsidRPr="00E74763" w:rsidRDefault="00D22D6F"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w:t>
      </w:r>
      <w:proofErr w:type="spellStart"/>
      <w:r w:rsidR="00591741" w:rsidRPr="00E74763">
        <w:rPr>
          <w:rFonts w:ascii="Arial" w:hAnsi="Arial" w:cs="Arial"/>
          <w:color w:val="000000"/>
          <w:sz w:val="24"/>
          <w:szCs w:val="24"/>
          <w:lang w:eastAsia="es-CO"/>
        </w:rPr>
        <w:t>Yobany</w:t>
      </w:r>
      <w:proofErr w:type="spellEnd"/>
      <w:r w:rsidR="00591741" w:rsidRPr="00E74763">
        <w:rPr>
          <w:rFonts w:ascii="Arial" w:hAnsi="Arial" w:cs="Arial"/>
          <w:color w:val="000000"/>
          <w:sz w:val="24"/>
          <w:szCs w:val="24"/>
          <w:lang w:eastAsia="es-CO"/>
        </w:rPr>
        <w:t xml:space="preserve"> Antonio Trejos </w:t>
      </w:r>
      <w:r w:rsidR="009D70CD" w:rsidRPr="00E74763">
        <w:rPr>
          <w:rFonts w:ascii="Arial" w:hAnsi="Arial" w:cs="Arial"/>
          <w:color w:val="000000"/>
          <w:sz w:val="24"/>
          <w:szCs w:val="24"/>
          <w:lang w:eastAsia="es-CO"/>
        </w:rPr>
        <w:t>Sánchez</w:t>
      </w:r>
      <w:r w:rsidRPr="00E74763">
        <w:rPr>
          <w:rFonts w:ascii="Arial" w:hAnsi="Arial" w:cs="Arial"/>
          <w:color w:val="000000"/>
          <w:sz w:val="24"/>
          <w:szCs w:val="24"/>
          <w:lang w:eastAsia="es-CO"/>
        </w:rPr>
        <w:t xml:space="preserve"> dejó causada la pensión de sobrevivencia en los términos del parágrafo 1º del artículo 46 de la Ley 100 de 1993</w:t>
      </w:r>
      <w:r w:rsidR="00B561E8" w:rsidRPr="00E74763">
        <w:rPr>
          <w:rFonts w:ascii="Arial" w:hAnsi="Arial" w:cs="Arial"/>
          <w:color w:val="000000"/>
          <w:sz w:val="24"/>
          <w:szCs w:val="24"/>
          <w:lang w:eastAsia="es-CO"/>
        </w:rPr>
        <w:t xml:space="preserve">, </w:t>
      </w:r>
      <w:r w:rsidRPr="00E74763">
        <w:rPr>
          <w:rFonts w:ascii="Arial" w:hAnsi="Arial" w:cs="Arial"/>
          <w:color w:val="000000"/>
          <w:sz w:val="24"/>
          <w:szCs w:val="24"/>
          <w:lang w:eastAsia="es-CO"/>
        </w:rPr>
        <w:t xml:space="preserve">con </w:t>
      </w:r>
      <w:r w:rsidR="00D17E2F" w:rsidRPr="00E74763">
        <w:rPr>
          <w:rFonts w:ascii="Arial" w:hAnsi="Arial" w:cs="Arial"/>
          <w:color w:val="000000"/>
          <w:sz w:val="24"/>
          <w:szCs w:val="24"/>
          <w:lang w:eastAsia="es-CO"/>
        </w:rPr>
        <w:t>las modificaciones pertinentes</w:t>
      </w:r>
      <w:r w:rsidR="00B561E8" w:rsidRPr="00E74763">
        <w:rPr>
          <w:rFonts w:ascii="Arial" w:hAnsi="Arial" w:cs="Arial"/>
          <w:color w:val="000000"/>
          <w:sz w:val="24"/>
          <w:szCs w:val="24"/>
          <w:lang w:eastAsia="es-CO"/>
        </w:rPr>
        <w:t xml:space="preserve">, en concordancia con el artículo 73 </w:t>
      </w:r>
      <w:proofErr w:type="spellStart"/>
      <w:proofErr w:type="gramStart"/>
      <w:r w:rsidR="00B561E8" w:rsidRPr="00E74763">
        <w:rPr>
          <w:rFonts w:ascii="Arial" w:hAnsi="Arial" w:cs="Arial"/>
          <w:i/>
          <w:color w:val="000000"/>
          <w:sz w:val="24"/>
          <w:szCs w:val="24"/>
          <w:lang w:eastAsia="es-CO"/>
        </w:rPr>
        <w:t>ibidem</w:t>
      </w:r>
      <w:proofErr w:type="spellEnd"/>
      <w:r w:rsidR="00B561E8" w:rsidRPr="00E74763">
        <w:rPr>
          <w:rFonts w:ascii="Arial" w:hAnsi="Arial" w:cs="Arial"/>
          <w:color w:val="000000"/>
          <w:sz w:val="24"/>
          <w:szCs w:val="24"/>
          <w:lang w:eastAsia="es-CO"/>
        </w:rPr>
        <w:t>,</w:t>
      </w:r>
      <w:r w:rsidR="00D17E2F" w:rsidRPr="00E74763">
        <w:rPr>
          <w:rFonts w:ascii="Arial" w:hAnsi="Arial" w:cs="Arial"/>
          <w:color w:val="000000"/>
          <w:sz w:val="24"/>
          <w:szCs w:val="24"/>
          <w:lang w:eastAsia="es-CO"/>
        </w:rPr>
        <w:t>?</w:t>
      </w:r>
      <w:proofErr w:type="gramEnd"/>
    </w:p>
    <w:p w14:paraId="3F82CEB4" w14:textId="77777777" w:rsidR="00D22D6F" w:rsidRPr="001C2146" w:rsidRDefault="00D22D6F" w:rsidP="008C76C8">
      <w:pPr>
        <w:pStyle w:val="Prrafodelista"/>
        <w:spacing w:after="0" w:line="288" w:lineRule="auto"/>
        <w:rPr>
          <w:rFonts w:ascii="Arial" w:hAnsi="Arial" w:cs="Arial"/>
          <w:color w:val="000000"/>
          <w:sz w:val="24"/>
          <w:szCs w:val="24"/>
          <w:lang w:eastAsia="es-CO"/>
        </w:rPr>
      </w:pPr>
    </w:p>
    <w:p w14:paraId="1840A87C" w14:textId="5CC33BD2" w:rsidR="00D22D6F" w:rsidRPr="00E74763" w:rsidRDefault="00591741"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¿Cuáles son los efectos de la falta de afiliación pensional</w:t>
      </w:r>
      <w:r w:rsidR="00B561E8" w:rsidRPr="00E74763">
        <w:rPr>
          <w:rFonts w:ascii="Arial" w:hAnsi="Arial" w:cs="Arial"/>
          <w:color w:val="000000"/>
          <w:sz w:val="24"/>
          <w:szCs w:val="24"/>
          <w:lang w:eastAsia="es-CO"/>
        </w:rPr>
        <w:t xml:space="preserve">, en </w:t>
      </w:r>
      <w:r w:rsidR="00F16C53" w:rsidRPr="00E74763">
        <w:rPr>
          <w:rFonts w:ascii="Arial" w:hAnsi="Arial" w:cs="Arial"/>
          <w:color w:val="000000"/>
          <w:sz w:val="24"/>
          <w:szCs w:val="24"/>
          <w:lang w:eastAsia="es-CO"/>
        </w:rPr>
        <w:t>tratándose</w:t>
      </w:r>
      <w:r w:rsidR="00B561E8" w:rsidRPr="00E74763">
        <w:rPr>
          <w:rFonts w:ascii="Arial" w:hAnsi="Arial" w:cs="Arial"/>
          <w:color w:val="000000"/>
          <w:sz w:val="24"/>
          <w:szCs w:val="24"/>
          <w:lang w:eastAsia="es-CO"/>
        </w:rPr>
        <w:t xml:space="preserve"> de una pensión de sobrevivientes</w:t>
      </w:r>
      <w:r w:rsidR="00D22D6F" w:rsidRPr="00E74763">
        <w:rPr>
          <w:rFonts w:ascii="Arial" w:hAnsi="Arial" w:cs="Arial"/>
          <w:color w:val="000000"/>
          <w:sz w:val="24"/>
          <w:szCs w:val="24"/>
          <w:lang w:eastAsia="es-CO"/>
        </w:rPr>
        <w:t>?</w:t>
      </w:r>
    </w:p>
    <w:p w14:paraId="038C4F67" w14:textId="77777777" w:rsidR="00591741" w:rsidRPr="001C2146" w:rsidRDefault="00591741" w:rsidP="008C76C8">
      <w:pPr>
        <w:pStyle w:val="Prrafodelista"/>
        <w:spacing w:after="0" w:line="288" w:lineRule="auto"/>
        <w:rPr>
          <w:rFonts w:ascii="Arial" w:hAnsi="Arial" w:cs="Arial"/>
          <w:color w:val="000000"/>
          <w:sz w:val="24"/>
          <w:szCs w:val="24"/>
          <w:lang w:eastAsia="es-CO"/>
        </w:rPr>
      </w:pPr>
    </w:p>
    <w:p w14:paraId="38CED84B" w14:textId="77777777" w:rsidR="001C6CD4" w:rsidRPr="00E74763" w:rsidRDefault="00591741"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 xml:space="preserve">¿Se configuró una mora patronal a cargo de </w:t>
      </w:r>
      <w:r w:rsidR="001C6CD4" w:rsidRPr="00E74763">
        <w:rPr>
          <w:rFonts w:ascii="Arial" w:hAnsi="Arial" w:cs="Arial"/>
          <w:color w:val="000000"/>
          <w:sz w:val="24"/>
          <w:szCs w:val="24"/>
          <w:lang w:eastAsia="es-CO"/>
        </w:rPr>
        <w:t>Wilmar Atehortúa Arango y cuáles son sus efectos</w:t>
      </w:r>
      <w:r w:rsidR="00B561E8" w:rsidRPr="00E74763">
        <w:rPr>
          <w:rFonts w:ascii="Arial" w:hAnsi="Arial" w:cs="Arial"/>
          <w:color w:val="000000"/>
          <w:sz w:val="24"/>
          <w:szCs w:val="24"/>
          <w:lang w:eastAsia="es-CO"/>
        </w:rPr>
        <w:t xml:space="preserve"> en el derecho que aquí se reclama</w:t>
      </w:r>
      <w:r w:rsidR="001C6CD4" w:rsidRPr="00E74763">
        <w:rPr>
          <w:rFonts w:ascii="Arial" w:hAnsi="Arial" w:cs="Arial"/>
          <w:color w:val="000000"/>
          <w:sz w:val="24"/>
          <w:szCs w:val="24"/>
          <w:lang w:eastAsia="es-CO"/>
        </w:rPr>
        <w:t>?</w:t>
      </w:r>
    </w:p>
    <w:p w14:paraId="7BCCCB2C" w14:textId="77777777" w:rsidR="001415F6" w:rsidRPr="00E74763" w:rsidRDefault="001415F6"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 xml:space="preserve">¿Demostró </w:t>
      </w:r>
      <w:r w:rsidR="0047239E" w:rsidRPr="00E74763">
        <w:rPr>
          <w:rFonts w:ascii="Arial" w:hAnsi="Arial" w:cs="Arial"/>
          <w:color w:val="000000"/>
          <w:sz w:val="24"/>
          <w:szCs w:val="24"/>
          <w:lang w:eastAsia="es-CO"/>
        </w:rPr>
        <w:t>María Zoraida Arroyave Loaiza</w:t>
      </w:r>
      <w:r w:rsidRPr="00E74763">
        <w:rPr>
          <w:rFonts w:ascii="Arial" w:hAnsi="Arial" w:cs="Arial"/>
          <w:color w:val="000000"/>
          <w:sz w:val="24"/>
          <w:szCs w:val="24"/>
          <w:lang w:eastAsia="es-CO"/>
        </w:rPr>
        <w:t xml:space="preserve"> ser beneficiaria de la pensión de sobrevivientes?</w:t>
      </w:r>
    </w:p>
    <w:p w14:paraId="7A9B57A2" w14:textId="77777777" w:rsidR="001C6CD4" w:rsidRPr="00E74763" w:rsidRDefault="001C6CD4" w:rsidP="008C76C8">
      <w:pPr>
        <w:pStyle w:val="Prrafodelista"/>
        <w:spacing w:after="0" w:line="288" w:lineRule="auto"/>
        <w:rPr>
          <w:rFonts w:ascii="Arial" w:hAnsi="Arial" w:cs="Arial"/>
          <w:color w:val="000000"/>
          <w:sz w:val="24"/>
          <w:szCs w:val="24"/>
          <w:lang w:eastAsia="es-CO"/>
        </w:rPr>
      </w:pPr>
    </w:p>
    <w:p w14:paraId="347DDD69" w14:textId="77777777" w:rsidR="00B561E8" w:rsidRPr="00E74763" w:rsidRDefault="00B561E8"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¿Había lugar a ordenar el pago de los intereses de mora?</w:t>
      </w:r>
    </w:p>
    <w:p w14:paraId="5BA3CCD9" w14:textId="77777777" w:rsidR="000B3523" w:rsidRPr="001C2146" w:rsidRDefault="000B3523" w:rsidP="008C76C8">
      <w:pPr>
        <w:pStyle w:val="Prrafodelista"/>
        <w:spacing w:after="0" w:line="288" w:lineRule="auto"/>
        <w:rPr>
          <w:rFonts w:ascii="Arial" w:hAnsi="Arial" w:cs="Arial"/>
          <w:color w:val="000000"/>
          <w:sz w:val="24"/>
          <w:szCs w:val="24"/>
          <w:lang w:eastAsia="es-CO"/>
        </w:rPr>
      </w:pPr>
    </w:p>
    <w:p w14:paraId="35F69A84" w14:textId="77777777" w:rsidR="000B3523" w:rsidRPr="00E74763" w:rsidRDefault="000B3523"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 xml:space="preserve">¿Cómo opera la prescripción de las mesadas pensionales ante la presencia de un menor de edad como sujeto activo de la </w:t>
      </w:r>
      <w:r w:rsidRPr="00E74763">
        <w:rPr>
          <w:rFonts w:ascii="Arial" w:hAnsi="Arial" w:cs="Arial"/>
          <w:i/>
          <w:color w:val="000000"/>
          <w:sz w:val="24"/>
          <w:szCs w:val="24"/>
          <w:lang w:eastAsia="es-CO"/>
        </w:rPr>
        <w:t>litis</w:t>
      </w:r>
      <w:r w:rsidRPr="00E74763">
        <w:rPr>
          <w:rFonts w:ascii="Arial" w:hAnsi="Arial" w:cs="Arial"/>
          <w:color w:val="000000"/>
          <w:sz w:val="24"/>
          <w:szCs w:val="24"/>
          <w:lang w:eastAsia="es-CO"/>
        </w:rPr>
        <w:t>?</w:t>
      </w:r>
    </w:p>
    <w:p w14:paraId="50929331" w14:textId="77777777" w:rsidR="001C6CD4" w:rsidRPr="00E74763" w:rsidRDefault="001C6CD4" w:rsidP="008C76C8">
      <w:pPr>
        <w:pStyle w:val="Prrafodelista"/>
        <w:spacing w:after="0" w:line="288" w:lineRule="auto"/>
        <w:rPr>
          <w:rFonts w:ascii="Arial" w:hAnsi="Arial" w:cs="Arial"/>
          <w:color w:val="000000"/>
          <w:sz w:val="24"/>
          <w:szCs w:val="24"/>
          <w:lang w:eastAsia="es-CO"/>
        </w:rPr>
      </w:pPr>
    </w:p>
    <w:p w14:paraId="2225A574" w14:textId="77777777" w:rsidR="001C6CD4" w:rsidRPr="00E74763" w:rsidRDefault="001C6CD4" w:rsidP="008C76C8">
      <w:pPr>
        <w:pStyle w:val="Prrafodelista"/>
        <w:numPr>
          <w:ilvl w:val="1"/>
          <w:numId w:val="13"/>
        </w:numPr>
        <w:shd w:val="clear" w:color="auto" w:fill="FFFFFF"/>
        <w:tabs>
          <w:tab w:val="left" w:pos="5197"/>
        </w:tabs>
        <w:spacing w:after="0" w:line="288" w:lineRule="auto"/>
        <w:jc w:val="both"/>
        <w:rPr>
          <w:rFonts w:ascii="Arial" w:hAnsi="Arial" w:cs="Arial"/>
          <w:color w:val="000000"/>
          <w:sz w:val="24"/>
          <w:szCs w:val="24"/>
          <w:lang w:eastAsia="es-CO"/>
        </w:rPr>
      </w:pPr>
      <w:r w:rsidRPr="00E74763">
        <w:rPr>
          <w:rFonts w:ascii="Arial" w:hAnsi="Arial" w:cs="Arial"/>
          <w:color w:val="000000"/>
          <w:sz w:val="24"/>
          <w:szCs w:val="24"/>
          <w:lang w:eastAsia="es-CO"/>
        </w:rPr>
        <w:t>¿Había lugar a exonerar a la aseguradora del pago de la suma adicional, ante la presencia de una mora patronal?</w:t>
      </w:r>
    </w:p>
    <w:p w14:paraId="19492723" w14:textId="77777777" w:rsidR="0047239E" w:rsidRPr="001C2146" w:rsidRDefault="0047239E" w:rsidP="008C76C8">
      <w:pPr>
        <w:pStyle w:val="Prrafodelista"/>
        <w:spacing w:after="0" w:line="288" w:lineRule="auto"/>
        <w:rPr>
          <w:rFonts w:ascii="Arial" w:hAnsi="Arial" w:cs="Arial"/>
          <w:color w:val="000000"/>
          <w:sz w:val="24"/>
          <w:szCs w:val="24"/>
          <w:lang w:eastAsia="es-CO"/>
        </w:rPr>
      </w:pPr>
    </w:p>
    <w:p w14:paraId="266F34F2" w14:textId="77777777" w:rsidR="00B561E8" w:rsidRPr="00E74763" w:rsidRDefault="00B561E8" w:rsidP="008C76C8">
      <w:pPr>
        <w:shd w:val="clear" w:color="auto" w:fill="FFFFFF"/>
        <w:tabs>
          <w:tab w:val="left" w:pos="5197"/>
        </w:tabs>
        <w:spacing w:line="288" w:lineRule="auto"/>
        <w:jc w:val="both"/>
        <w:rPr>
          <w:rFonts w:ascii="Arial" w:hAnsi="Arial" w:cs="Arial"/>
          <w:b/>
          <w:color w:val="000000"/>
          <w:szCs w:val="24"/>
          <w:lang w:eastAsia="es-CO"/>
        </w:rPr>
      </w:pPr>
      <w:r w:rsidRPr="00E74763">
        <w:rPr>
          <w:rFonts w:ascii="Arial" w:hAnsi="Arial" w:cs="Arial"/>
          <w:b/>
          <w:color w:val="000000"/>
          <w:szCs w:val="24"/>
          <w:lang w:eastAsia="es-CO"/>
        </w:rPr>
        <w:t>2. Solución a los interrogantes planteados</w:t>
      </w:r>
    </w:p>
    <w:p w14:paraId="64ACB994" w14:textId="77777777" w:rsidR="00DD5BC5" w:rsidRPr="00E74763" w:rsidRDefault="00DD5BC5" w:rsidP="008C76C8">
      <w:pPr>
        <w:shd w:val="clear" w:color="auto" w:fill="FFFFFF"/>
        <w:tabs>
          <w:tab w:val="left" w:pos="5197"/>
        </w:tabs>
        <w:spacing w:line="288" w:lineRule="auto"/>
        <w:jc w:val="both"/>
        <w:rPr>
          <w:rFonts w:ascii="Arial" w:hAnsi="Arial" w:cs="Arial"/>
          <w:b/>
          <w:color w:val="000000"/>
          <w:szCs w:val="24"/>
          <w:lang w:eastAsia="es-CO"/>
        </w:rPr>
      </w:pPr>
    </w:p>
    <w:p w14:paraId="555FC4B0" w14:textId="77777777" w:rsidR="007E5D91" w:rsidRPr="00E74763" w:rsidRDefault="00B561E8" w:rsidP="008C76C8">
      <w:pPr>
        <w:pStyle w:val="Textoindependiente"/>
        <w:spacing w:line="288" w:lineRule="auto"/>
        <w:contextualSpacing/>
        <w:rPr>
          <w:b/>
          <w:color w:val="000000"/>
          <w:szCs w:val="24"/>
          <w:shd w:val="clear" w:color="auto" w:fill="FFFFFF"/>
        </w:rPr>
      </w:pPr>
      <w:r w:rsidRPr="00E74763">
        <w:rPr>
          <w:b/>
          <w:color w:val="000000"/>
          <w:szCs w:val="24"/>
          <w:shd w:val="clear" w:color="auto" w:fill="FFFFFF"/>
        </w:rPr>
        <w:t xml:space="preserve">2.1. </w:t>
      </w:r>
      <w:r w:rsidR="007E5D91" w:rsidRPr="00E74763">
        <w:rPr>
          <w:b/>
          <w:color w:val="000000"/>
          <w:szCs w:val="24"/>
          <w:shd w:val="clear" w:color="auto" w:fill="FFFFFF"/>
        </w:rPr>
        <w:t>De la pensión de sobrevivientes</w:t>
      </w:r>
    </w:p>
    <w:p w14:paraId="560965D5" w14:textId="77777777" w:rsidR="007E5D91" w:rsidRPr="00E74763" w:rsidRDefault="007E5D91" w:rsidP="008C76C8">
      <w:pPr>
        <w:pStyle w:val="Textoindependiente"/>
        <w:spacing w:line="288" w:lineRule="auto"/>
        <w:contextualSpacing/>
        <w:rPr>
          <w:b/>
          <w:iCs/>
          <w:szCs w:val="24"/>
        </w:rPr>
      </w:pPr>
    </w:p>
    <w:p w14:paraId="41948AAC" w14:textId="6562E5DF" w:rsidR="007E5D91" w:rsidRPr="00E74763" w:rsidRDefault="007E5D91" w:rsidP="008C76C8">
      <w:pPr>
        <w:widowControl w:val="0"/>
        <w:autoSpaceDE w:val="0"/>
        <w:autoSpaceDN w:val="0"/>
        <w:adjustRightInd w:val="0"/>
        <w:spacing w:line="288" w:lineRule="auto"/>
        <w:contextualSpacing/>
        <w:jc w:val="both"/>
        <w:rPr>
          <w:rFonts w:ascii="Arial" w:hAnsi="Arial" w:cs="Arial"/>
          <w:szCs w:val="24"/>
        </w:rPr>
      </w:pPr>
      <w:r w:rsidRPr="00E74763">
        <w:rPr>
          <w:rFonts w:ascii="Arial" w:hAnsi="Arial" w:cs="Arial"/>
          <w:szCs w:val="24"/>
        </w:rPr>
        <w:t>Bien es sabido que la norma que rige el reconocimiento</w:t>
      </w:r>
      <w:r w:rsidR="009D70CD">
        <w:rPr>
          <w:rFonts w:ascii="Arial" w:hAnsi="Arial" w:cs="Arial"/>
          <w:szCs w:val="24"/>
        </w:rPr>
        <w:t xml:space="preserve"> de la pensión de sobrevivientes</w:t>
      </w:r>
      <w:r w:rsidRPr="00E74763">
        <w:rPr>
          <w:rFonts w:ascii="Arial" w:hAnsi="Arial" w:cs="Arial"/>
          <w:szCs w:val="24"/>
        </w:rPr>
        <w:t xml:space="preserve"> es aquella que se encuentra vigente al momento en que se presenta el deceso del afiliado o pensionado, que para el presente asunto ocurrió el 16/09/2007 – </w:t>
      </w:r>
      <w:proofErr w:type="spellStart"/>
      <w:r w:rsidRPr="00E74763">
        <w:rPr>
          <w:rFonts w:ascii="Arial" w:hAnsi="Arial" w:cs="Arial"/>
          <w:szCs w:val="24"/>
        </w:rPr>
        <w:t>fl</w:t>
      </w:r>
      <w:proofErr w:type="spellEnd"/>
      <w:r w:rsidRPr="00E74763">
        <w:rPr>
          <w:rFonts w:ascii="Arial" w:hAnsi="Arial" w:cs="Arial"/>
          <w:szCs w:val="24"/>
        </w:rPr>
        <w:t xml:space="preserve">. 28 c. 1 -, por lo tanto, debemos remitirnos al contenido </w:t>
      </w:r>
      <w:r w:rsidR="001C6CD4" w:rsidRPr="00E74763">
        <w:rPr>
          <w:rFonts w:ascii="Arial" w:hAnsi="Arial" w:cs="Arial"/>
          <w:szCs w:val="24"/>
        </w:rPr>
        <w:t>del</w:t>
      </w:r>
      <w:r w:rsidRPr="00E74763">
        <w:rPr>
          <w:rFonts w:ascii="Arial" w:hAnsi="Arial" w:cs="Arial"/>
          <w:szCs w:val="24"/>
        </w:rPr>
        <w:t xml:space="preserve"> artículo 73, que remite al 46 y s.s. de la Ley 100 de 1993, modificados por </w:t>
      </w:r>
      <w:r w:rsidR="001C6CD4" w:rsidRPr="00E74763">
        <w:rPr>
          <w:rFonts w:ascii="Arial" w:hAnsi="Arial" w:cs="Arial"/>
          <w:szCs w:val="24"/>
        </w:rPr>
        <w:t xml:space="preserve">el artículo 12 y s.s. de </w:t>
      </w:r>
      <w:r w:rsidRPr="00E74763">
        <w:rPr>
          <w:rFonts w:ascii="Arial" w:hAnsi="Arial" w:cs="Arial"/>
          <w:szCs w:val="24"/>
        </w:rPr>
        <w:t>la Ley 797 de 2003.</w:t>
      </w:r>
    </w:p>
    <w:p w14:paraId="7A98D0B5" w14:textId="77777777" w:rsidR="007E5D91" w:rsidRPr="00E74763" w:rsidRDefault="007E5D91" w:rsidP="008C76C8">
      <w:pPr>
        <w:widowControl w:val="0"/>
        <w:autoSpaceDE w:val="0"/>
        <w:autoSpaceDN w:val="0"/>
        <w:adjustRightInd w:val="0"/>
        <w:spacing w:line="288" w:lineRule="auto"/>
        <w:contextualSpacing/>
        <w:jc w:val="both"/>
        <w:rPr>
          <w:rFonts w:ascii="Arial" w:hAnsi="Arial" w:cs="Arial"/>
          <w:szCs w:val="24"/>
        </w:rPr>
      </w:pPr>
    </w:p>
    <w:p w14:paraId="538BA2FE" w14:textId="38FF118F" w:rsidR="007E5D91" w:rsidRPr="00E74763" w:rsidRDefault="007E5D91" w:rsidP="008C76C8">
      <w:pPr>
        <w:widowControl w:val="0"/>
        <w:autoSpaceDE w:val="0"/>
        <w:autoSpaceDN w:val="0"/>
        <w:adjustRightInd w:val="0"/>
        <w:spacing w:line="288" w:lineRule="auto"/>
        <w:contextualSpacing/>
        <w:jc w:val="both"/>
        <w:rPr>
          <w:rFonts w:ascii="Arial" w:hAnsi="Arial" w:cs="Arial"/>
          <w:szCs w:val="24"/>
        </w:rPr>
      </w:pPr>
      <w:r w:rsidRPr="00E74763">
        <w:rPr>
          <w:rFonts w:ascii="Arial" w:hAnsi="Arial" w:cs="Arial"/>
          <w:szCs w:val="24"/>
        </w:rPr>
        <w:t>Normativa que exige 50 semanas de cotización dentro de los tres últimos años inmediatament</w:t>
      </w:r>
      <w:r w:rsidR="00B13376">
        <w:rPr>
          <w:rFonts w:ascii="Arial" w:hAnsi="Arial" w:cs="Arial"/>
          <w:szCs w:val="24"/>
        </w:rPr>
        <w:t>e anteriores al fallecimiento (</w:t>
      </w:r>
      <w:proofErr w:type="spellStart"/>
      <w:r w:rsidRPr="00E74763">
        <w:rPr>
          <w:rFonts w:ascii="Arial" w:hAnsi="Arial" w:cs="Arial"/>
          <w:szCs w:val="24"/>
        </w:rPr>
        <w:t>num</w:t>
      </w:r>
      <w:proofErr w:type="spellEnd"/>
      <w:r w:rsidRPr="00E74763">
        <w:rPr>
          <w:rFonts w:ascii="Arial" w:hAnsi="Arial" w:cs="Arial"/>
          <w:szCs w:val="24"/>
        </w:rPr>
        <w:t xml:space="preserve">. 2º, art. 46 </w:t>
      </w:r>
      <w:proofErr w:type="spellStart"/>
      <w:r w:rsidRPr="00E74763">
        <w:rPr>
          <w:rFonts w:ascii="Arial" w:hAnsi="Arial" w:cs="Arial"/>
          <w:szCs w:val="24"/>
        </w:rPr>
        <w:t>ibidem</w:t>
      </w:r>
      <w:proofErr w:type="spellEnd"/>
      <w:r w:rsidRPr="00E74763">
        <w:rPr>
          <w:rFonts w:ascii="Arial" w:hAnsi="Arial" w:cs="Arial"/>
          <w:szCs w:val="24"/>
        </w:rPr>
        <w:t>).</w:t>
      </w:r>
    </w:p>
    <w:p w14:paraId="2EF8D233" w14:textId="77777777" w:rsidR="007E5D91" w:rsidRPr="00E74763" w:rsidRDefault="007E5D91" w:rsidP="008C76C8">
      <w:pPr>
        <w:widowControl w:val="0"/>
        <w:autoSpaceDE w:val="0"/>
        <w:autoSpaceDN w:val="0"/>
        <w:adjustRightInd w:val="0"/>
        <w:spacing w:line="288" w:lineRule="auto"/>
        <w:contextualSpacing/>
        <w:jc w:val="both"/>
        <w:rPr>
          <w:rFonts w:ascii="Arial" w:hAnsi="Arial" w:cs="Arial"/>
          <w:szCs w:val="24"/>
        </w:rPr>
      </w:pPr>
    </w:p>
    <w:p w14:paraId="1AA4C5E5" w14:textId="77777777" w:rsidR="00B561E8" w:rsidRPr="00E74763" w:rsidRDefault="007E5D91" w:rsidP="008C76C8">
      <w:pPr>
        <w:widowControl w:val="0"/>
        <w:autoSpaceDE w:val="0"/>
        <w:autoSpaceDN w:val="0"/>
        <w:adjustRightInd w:val="0"/>
        <w:spacing w:line="288" w:lineRule="auto"/>
        <w:contextualSpacing/>
        <w:jc w:val="both"/>
        <w:rPr>
          <w:rFonts w:ascii="Arial" w:hAnsi="Arial" w:cs="Arial"/>
          <w:szCs w:val="24"/>
        </w:rPr>
      </w:pPr>
      <w:r w:rsidRPr="00E74763">
        <w:rPr>
          <w:rFonts w:ascii="Arial" w:hAnsi="Arial" w:cs="Arial"/>
          <w:szCs w:val="24"/>
        </w:rPr>
        <w:t xml:space="preserve">Auscultada la historia laboral de </w:t>
      </w:r>
      <w:proofErr w:type="spellStart"/>
      <w:r w:rsidRPr="00E74763">
        <w:rPr>
          <w:rFonts w:ascii="Arial" w:hAnsi="Arial" w:cs="Arial"/>
          <w:szCs w:val="24"/>
        </w:rPr>
        <w:t>Yobany</w:t>
      </w:r>
      <w:proofErr w:type="spellEnd"/>
      <w:r w:rsidRPr="00E74763">
        <w:rPr>
          <w:rFonts w:ascii="Arial" w:hAnsi="Arial" w:cs="Arial"/>
          <w:szCs w:val="24"/>
        </w:rPr>
        <w:t xml:space="preserve"> Antonio Trejos Sánchez (</w:t>
      </w:r>
      <w:proofErr w:type="spellStart"/>
      <w:r w:rsidRPr="00E74763">
        <w:rPr>
          <w:rFonts w:ascii="Arial" w:hAnsi="Arial" w:cs="Arial"/>
          <w:szCs w:val="24"/>
        </w:rPr>
        <w:t>fls</w:t>
      </w:r>
      <w:proofErr w:type="spellEnd"/>
      <w:r w:rsidRPr="00E74763">
        <w:rPr>
          <w:rFonts w:ascii="Arial" w:hAnsi="Arial" w:cs="Arial"/>
          <w:szCs w:val="24"/>
        </w:rPr>
        <w:t>. 43, 52 a 54 c. 1)</w:t>
      </w:r>
      <w:r w:rsidR="00B561E8" w:rsidRPr="00E74763">
        <w:rPr>
          <w:rFonts w:ascii="Arial" w:hAnsi="Arial" w:cs="Arial"/>
          <w:szCs w:val="24"/>
        </w:rPr>
        <w:t xml:space="preserve"> y una constancia de aportes emitida por Protección S.A. (</w:t>
      </w:r>
      <w:proofErr w:type="spellStart"/>
      <w:r w:rsidR="00B561E8" w:rsidRPr="00E74763">
        <w:rPr>
          <w:rFonts w:ascii="Arial" w:hAnsi="Arial" w:cs="Arial"/>
          <w:szCs w:val="24"/>
        </w:rPr>
        <w:t>fl</w:t>
      </w:r>
      <w:proofErr w:type="spellEnd"/>
      <w:r w:rsidR="00B561E8" w:rsidRPr="00E74763">
        <w:rPr>
          <w:rFonts w:ascii="Arial" w:hAnsi="Arial" w:cs="Arial"/>
          <w:szCs w:val="24"/>
        </w:rPr>
        <w:t>. 216 c. 1)</w:t>
      </w:r>
      <w:r w:rsidRPr="00E74763">
        <w:rPr>
          <w:rFonts w:ascii="Arial" w:hAnsi="Arial" w:cs="Arial"/>
          <w:szCs w:val="24"/>
        </w:rPr>
        <w:t xml:space="preserve">, se </w:t>
      </w:r>
      <w:r w:rsidR="00B561E8" w:rsidRPr="00E74763">
        <w:rPr>
          <w:rFonts w:ascii="Arial" w:hAnsi="Arial" w:cs="Arial"/>
          <w:szCs w:val="24"/>
        </w:rPr>
        <w:t>tiene que el fallecido tiene aportes al sistema pensional con las que apenas alcanza</w:t>
      </w:r>
      <w:r w:rsidRPr="00E74763">
        <w:rPr>
          <w:rFonts w:ascii="Arial" w:hAnsi="Arial" w:cs="Arial"/>
          <w:szCs w:val="24"/>
        </w:rPr>
        <w:t xml:space="preserve"> 39,85 </w:t>
      </w:r>
      <w:r w:rsidRPr="00E74763">
        <w:rPr>
          <w:rFonts w:ascii="Arial" w:hAnsi="Arial" w:cs="Arial"/>
          <w:szCs w:val="24"/>
        </w:rPr>
        <w:lastRenderedPageBreak/>
        <w:t>semanas de cotización entre agosto del año 2006 y el mismo mes del año 2007, insuficientes para colmar l</w:t>
      </w:r>
      <w:r w:rsidR="00B561E8" w:rsidRPr="00E74763">
        <w:rPr>
          <w:rFonts w:ascii="Arial" w:hAnsi="Arial" w:cs="Arial"/>
          <w:szCs w:val="24"/>
        </w:rPr>
        <w:t>a densidad de semanas requerida, así:</w:t>
      </w:r>
    </w:p>
    <w:p w14:paraId="3E48B417" w14:textId="77777777" w:rsidR="00B561E8" w:rsidRPr="00E74763" w:rsidRDefault="00B561E8" w:rsidP="008C76C8">
      <w:pPr>
        <w:pStyle w:val="Textoindependiente"/>
        <w:spacing w:line="288" w:lineRule="auto"/>
        <w:contextualSpacing/>
        <w:rPr>
          <w:iCs/>
          <w:szCs w:val="24"/>
        </w:rPr>
      </w:pPr>
    </w:p>
    <w:tbl>
      <w:tblPr>
        <w:tblStyle w:val="Tablaconcuadrcula"/>
        <w:tblW w:w="0" w:type="auto"/>
        <w:tblLook w:val="04A0" w:firstRow="1" w:lastRow="0" w:firstColumn="1" w:lastColumn="0" w:noHBand="0" w:noVBand="1"/>
      </w:tblPr>
      <w:tblGrid>
        <w:gridCol w:w="3212"/>
        <w:gridCol w:w="2899"/>
        <w:gridCol w:w="2717"/>
      </w:tblGrid>
      <w:tr w:rsidR="00B561E8" w:rsidRPr="00E74763" w14:paraId="43C3DC1E" w14:textId="77777777" w:rsidTr="00B561E8">
        <w:tc>
          <w:tcPr>
            <w:tcW w:w="3212" w:type="dxa"/>
          </w:tcPr>
          <w:p w14:paraId="06319E4A" w14:textId="77777777" w:rsidR="00B561E8" w:rsidRPr="00E74763" w:rsidRDefault="00B561E8" w:rsidP="00DB3FC7">
            <w:pPr>
              <w:pStyle w:val="Textoindependiente"/>
              <w:spacing w:line="276" w:lineRule="auto"/>
              <w:contextualSpacing/>
              <w:rPr>
                <w:b/>
                <w:iCs/>
                <w:sz w:val="18"/>
                <w:szCs w:val="24"/>
              </w:rPr>
            </w:pPr>
            <w:r w:rsidRPr="00E74763">
              <w:rPr>
                <w:b/>
                <w:iCs/>
                <w:sz w:val="18"/>
                <w:szCs w:val="24"/>
              </w:rPr>
              <w:t>Año</w:t>
            </w:r>
          </w:p>
        </w:tc>
        <w:tc>
          <w:tcPr>
            <w:tcW w:w="2899" w:type="dxa"/>
          </w:tcPr>
          <w:p w14:paraId="38923EBF" w14:textId="77777777" w:rsidR="00B561E8" w:rsidRPr="00E74763" w:rsidRDefault="00B561E8" w:rsidP="00DB3FC7">
            <w:pPr>
              <w:pStyle w:val="Textoindependiente"/>
              <w:spacing w:line="276" w:lineRule="auto"/>
              <w:contextualSpacing/>
              <w:rPr>
                <w:b/>
                <w:iCs/>
                <w:sz w:val="18"/>
                <w:szCs w:val="24"/>
              </w:rPr>
            </w:pPr>
            <w:r w:rsidRPr="00E74763">
              <w:rPr>
                <w:b/>
                <w:iCs/>
                <w:sz w:val="18"/>
                <w:szCs w:val="24"/>
              </w:rPr>
              <w:t>Ciclo</w:t>
            </w:r>
          </w:p>
        </w:tc>
        <w:tc>
          <w:tcPr>
            <w:tcW w:w="2717" w:type="dxa"/>
          </w:tcPr>
          <w:p w14:paraId="5D7DF243" w14:textId="77777777" w:rsidR="00B561E8" w:rsidRPr="00E74763" w:rsidRDefault="00B561E8" w:rsidP="00DB3FC7">
            <w:pPr>
              <w:pStyle w:val="Textoindependiente"/>
              <w:spacing w:line="276" w:lineRule="auto"/>
              <w:contextualSpacing/>
              <w:rPr>
                <w:b/>
                <w:iCs/>
                <w:sz w:val="18"/>
                <w:szCs w:val="24"/>
              </w:rPr>
            </w:pPr>
            <w:r w:rsidRPr="00E74763">
              <w:rPr>
                <w:b/>
                <w:iCs/>
                <w:sz w:val="18"/>
                <w:szCs w:val="24"/>
              </w:rPr>
              <w:t># días</w:t>
            </w:r>
          </w:p>
        </w:tc>
      </w:tr>
      <w:tr w:rsidR="00B561E8" w:rsidRPr="00E74763" w14:paraId="38C09F09" w14:textId="77777777" w:rsidTr="00B561E8">
        <w:tc>
          <w:tcPr>
            <w:tcW w:w="3212" w:type="dxa"/>
          </w:tcPr>
          <w:p w14:paraId="4BE03454"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2006</w:t>
            </w:r>
          </w:p>
        </w:tc>
        <w:tc>
          <w:tcPr>
            <w:tcW w:w="2899" w:type="dxa"/>
          </w:tcPr>
          <w:p w14:paraId="734454A7"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 xml:space="preserve">Agosto </w:t>
            </w:r>
          </w:p>
        </w:tc>
        <w:tc>
          <w:tcPr>
            <w:tcW w:w="2717" w:type="dxa"/>
          </w:tcPr>
          <w:p w14:paraId="1F707837"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9</w:t>
            </w:r>
          </w:p>
        </w:tc>
      </w:tr>
      <w:tr w:rsidR="00B561E8" w:rsidRPr="00E74763" w14:paraId="42E4E47D" w14:textId="77777777" w:rsidTr="00B561E8">
        <w:tc>
          <w:tcPr>
            <w:tcW w:w="3212" w:type="dxa"/>
          </w:tcPr>
          <w:p w14:paraId="50A1F9EE"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2006</w:t>
            </w:r>
          </w:p>
        </w:tc>
        <w:tc>
          <w:tcPr>
            <w:tcW w:w="2899" w:type="dxa"/>
          </w:tcPr>
          <w:p w14:paraId="70FDFB3F"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 xml:space="preserve">Septiembre </w:t>
            </w:r>
          </w:p>
        </w:tc>
        <w:tc>
          <w:tcPr>
            <w:tcW w:w="2717" w:type="dxa"/>
          </w:tcPr>
          <w:p w14:paraId="5A9C8D48"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704B74C7" w14:textId="77777777" w:rsidTr="00B561E8">
        <w:tc>
          <w:tcPr>
            <w:tcW w:w="3212" w:type="dxa"/>
          </w:tcPr>
          <w:p w14:paraId="621E6760"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2006</w:t>
            </w:r>
          </w:p>
        </w:tc>
        <w:tc>
          <w:tcPr>
            <w:tcW w:w="2899" w:type="dxa"/>
          </w:tcPr>
          <w:p w14:paraId="4370B128"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 xml:space="preserve">Octubre </w:t>
            </w:r>
          </w:p>
        </w:tc>
        <w:tc>
          <w:tcPr>
            <w:tcW w:w="2717" w:type="dxa"/>
          </w:tcPr>
          <w:p w14:paraId="554918DB"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30EE805C" w14:textId="77777777" w:rsidTr="00B561E8">
        <w:tc>
          <w:tcPr>
            <w:tcW w:w="3212" w:type="dxa"/>
          </w:tcPr>
          <w:p w14:paraId="19CBF3BA"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2006</w:t>
            </w:r>
          </w:p>
        </w:tc>
        <w:tc>
          <w:tcPr>
            <w:tcW w:w="2899" w:type="dxa"/>
          </w:tcPr>
          <w:p w14:paraId="4051DCBE"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noviembre</w:t>
            </w:r>
          </w:p>
        </w:tc>
        <w:tc>
          <w:tcPr>
            <w:tcW w:w="2717" w:type="dxa"/>
          </w:tcPr>
          <w:p w14:paraId="1F8E4B61"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1C2218FB" w14:textId="77777777" w:rsidTr="00B561E8">
        <w:tc>
          <w:tcPr>
            <w:tcW w:w="3212" w:type="dxa"/>
          </w:tcPr>
          <w:p w14:paraId="48BF2522"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2006</w:t>
            </w:r>
          </w:p>
        </w:tc>
        <w:tc>
          <w:tcPr>
            <w:tcW w:w="2899" w:type="dxa"/>
          </w:tcPr>
          <w:p w14:paraId="68006FC7"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diciembre</w:t>
            </w:r>
          </w:p>
        </w:tc>
        <w:tc>
          <w:tcPr>
            <w:tcW w:w="2717" w:type="dxa"/>
          </w:tcPr>
          <w:p w14:paraId="73CD0ABE"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01D3F230" w14:textId="77777777" w:rsidTr="00B561E8">
        <w:tc>
          <w:tcPr>
            <w:tcW w:w="3212" w:type="dxa"/>
          </w:tcPr>
          <w:p w14:paraId="632515B2"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2007</w:t>
            </w:r>
          </w:p>
        </w:tc>
        <w:tc>
          <w:tcPr>
            <w:tcW w:w="2899" w:type="dxa"/>
          </w:tcPr>
          <w:p w14:paraId="20BE3691"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enero</w:t>
            </w:r>
          </w:p>
        </w:tc>
        <w:tc>
          <w:tcPr>
            <w:tcW w:w="2717" w:type="dxa"/>
          </w:tcPr>
          <w:p w14:paraId="3C40178B"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57400B2F" w14:textId="77777777" w:rsidTr="00B561E8">
        <w:tc>
          <w:tcPr>
            <w:tcW w:w="3212" w:type="dxa"/>
          </w:tcPr>
          <w:p w14:paraId="3AFEC1E0"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2007</w:t>
            </w:r>
          </w:p>
        </w:tc>
        <w:tc>
          <w:tcPr>
            <w:tcW w:w="2899" w:type="dxa"/>
          </w:tcPr>
          <w:p w14:paraId="5A608F2F"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febrero</w:t>
            </w:r>
          </w:p>
        </w:tc>
        <w:tc>
          <w:tcPr>
            <w:tcW w:w="2717" w:type="dxa"/>
          </w:tcPr>
          <w:p w14:paraId="4561E2A1"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0FAC1043" w14:textId="77777777" w:rsidTr="00B561E8">
        <w:tc>
          <w:tcPr>
            <w:tcW w:w="3212" w:type="dxa"/>
          </w:tcPr>
          <w:p w14:paraId="4EF9FBF7"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2007</w:t>
            </w:r>
          </w:p>
        </w:tc>
        <w:tc>
          <w:tcPr>
            <w:tcW w:w="2899" w:type="dxa"/>
          </w:tcPr>
          <w:p w14:paraId="6744102A"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mayo</w:t>
            </w:r>
          </w:p>
        </w:tc>
        <w:tc>
          <w:tcPr>
            <w:tcW w:w="2717" w:type="dxa"/>
          </w:tcPr>
          <w:p w14:paraId="392D0881"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7F6CE9EA" w14:textId="77777777" w:rsidTr="00B561E8">
        <w:tc>
          <w:tcPr>
            <w:tcW w:w="3212" w:type="dxa"/>
          </w:tcPr>
          <w:p w14:paraId="56F8942F"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2007</w:t>
            </w:r>
          </w:p>
        </w:tc>
        <w:tc>
          <w:tcPr>
            <w:tcW w:w="2899" w:type="dxa"/>
          </w:tcPr>
          <w:p w14:paraId="1959B19C"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junio</w:t>
            </w:r>
          </w:p>
        </w:tc>
        <w:tc>
          <w:tcPr>
            <w:tcW w:w="2717" w:type="dxa"/>
          </w:tcPr>
          <w:p w14:paraId="20FF5BAE"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7DCBB903" w14:textId="77777777" w:rsidTr="00B561E8">
        <w:tc>
          <w:tcPr>
            <w:tcW w:w="3212" w:type="dxa"/>
          </w:tcPr>
          <w:p w14:paraId="1056AFB2"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2007</w:t>
            </w:r>
          </w:p>
        </w:tc>
        <w:tc>
          <w:tcPr>
            <w:tcW w:w="2899" w:type="dxa"/>
          </w:tcPr>
          <w:p w14:paraId="689EF28A"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agosto</w:t>
            </w:r>
          </w:p>
        </w:tc>
        <w:tc>
          <w:tcPr>
            <w:tcW w:w="2717" w:type="dxa"/>
          </w:tcPr>
          <w:p w14:paraId="34CB7EC9" w14:textId="77777777" w:rsidR="00B561E8" w:rsidRPr="00E74763" w:rsidRDefault="00B561E8" w:rsidP="00DB3FC7">
            <w:pPr>
              <w:pStyle w:val="Textoindependiente"/>
              <w:spacing w:line="276" w:lineRule="auto"/>
              <w:contextualSpacing/>
              <w:rPr>
                <w:iCs/>
                <w:sz w:val="18"/>
                <w:szCs w:val="24"/>
              </w:rPr>
            </w:pPr>
            <w:r w:rsidRPr="00E74763">
              <w:rPr>
                <w:iCs/>
                <w:sz w:val="18"/>
                <w:szCs w:val="24"/>
              </w:rPr>
              <w:t>30</w:t>
            </w:r>
          </w:p>
        </w:tc>
      </w:tr>
      <w:tr w:rsidR="00B561E8" w:rsidRPr="00E74763" w14:paraId="31F40587" w14:textId="77777777" w:rsidTr="00B561E8">
        <w:tc>
          <w:tcPr>
            <w:tcW w:w="3212" w:type="dxa"/>
          </w:tcPr>
          <w:p w14:paraId="0B8599AF" w14:textId="77777777" w:rsidR="00B561E8" w:rsidRPr="00E74763" w:rsidRDefault="00B561E8" w:rsidP="00DB3FC7">
            <w:pPr>
              <w:pStyle w:val="Textoindependiente"/>
              <w:spacing w:line="276" w:lineRule="auto"/>
              <w:contextualSpacing/>
              <w:rPr>
                <w:iCs/>
                <w:sz w:val="18"/>
                <w:szCs w:val="24"/>
              </w:rPr>
            </w:pPr>
          </w:p>
        </w:tc>
        <w:tc>
          <w:tcPr>
            <w:tcW w:w="2899" w:type="dxa"/>
          </w:tcPr>
          <w:p w14:paraId="1F659024" w14:textId="77777777" w:rsidR="00B561E8" w:rsidRPr="00E74763" w:rsidRDefault="00B561E8" w:rsidP="00DB3FC7">
            <w:pPr>
              <w:pStyle w:val="Textoindependiente"/>
              <w:spacing w:line="276" w:lineRule="auto"/>
              <w:contextualSpacing/>
              <w:rPr>
                <w:b/>
                <w:iCs/>
                <w:sz w:val="18"/>
                <w:szCs w:val="24"/>
              </w:rPr>
            </w:pPr>
            <w:r w:rsidRPr="00E74763">
              <w:rPr>
                <w:b/>
                <w:iCs/>
                <w:sz w:val="18"/>
                <w:szCs w:val="24"/>
              </w:rPr>
              <w:t>Total</w:t>
            </w:r>
          </w:p>
        </w:tc>
        <w:tc>
          <w:tcPr>
            <w:tcW w:w="2717" w:type="dxa"/>
          </w:tcPr>
          <w:p w14:paraId="16576616" w14:textId="77777777" w:rsidR="00B561E8" w:rsidRPr="00E74763" w:rsidRDefault="00B561E8" w:rsidP="00DB3FC7">
            <w:pPr>
              <w:pStyle w:val="Textoindependiente"/>
              <w:spacing w:line="276" w:lineRule="auto"/>
              <w:contextualSpacing/>
              <w:rPr>
                <w:b/>
                <w:iCs/>
                <w:sz w:val="18"/>
                <w:szCs w:val="24"/>
              </w:rPr>
            </w:pPr>
            <w:r w:rsidRPr="00E74763">
              <w:rPr>
                <w:b/>
                <w:iCs/>
                <w:sz w:val="18"/>
                <w:szCs w:val="24"/>
              </w:rPr>
              <w:t>39,85</w:t>
            </w:r>
          </w:p>
        </w:tc>
      </w:tr>
    </w:tbl>
    <w:p w14:paraId="7984D3F9" w14:textId="77777777" w:rsidR="00B561E8" w:rsidRPr="00E74763" w:rsidRDefault="00B561E8" w:rsidP="008C76C8">
      <w:pPr>
        <w:widowControl w:val="0"/>
        <w:autoSpaceDE w:val="0"/>
        <w:autoSpaceDN w:val="0"/>
        <w:adjustRightInd w:val="0"/>
        <w:spacing w:line="288" w:lineRule="auto"/>
        <w:contextualSpacing/>
        <w:jc w:val="both"/>
        <w:rPr>
          <w:rFonts w:ascii="Arial" w:hAnsi="Arial" w:cs="Arial"/>
          <w:szCs w:val="24"/>
        </w:rPr>
      </w:pPr>
    </w:p>
    <w:p w14:paraId="77C4DFAE" w14:textId="40A183D2" w:rsidR="007E5D91" w:rsidRPr="00E74763" w:rsidRDefault="00B561E8" w:rsidP="008C76C8">
      <w:pPr>
        <w:widowControl w:val="0"/>
        <w:autoSpaceDE w:val="0"/>
        <w:autoSpaceDN w:val="0"/>
        <w:adjustRightInd w:val="0"/>
        <w:spacing w:line="288" w:lineRule="auto"/>
        <w:contextualSpacing/>
        <w:jc w:val="both"/>
        <w:rPr>
          <w:rFonts w:ascii="Arial" w:hAnsi="Arial" w:cs="Arial"/>
          <w:szCs w:val="24"/>
        </w:rPr>
      </w:pPr>
      <w:r w:rsidRPr="00E74763">
        <w:rPr>
          <w:rFonts w:ascii="Arial" w:hAnsi="Arial" w:cs="Arial"/>
          <w:szCs w:val="24"/>
        </w:rPr>
        <w:t>P</w:t>
      </w:r>
      <w:r w:rsidR="007E5D91" w:rsidRPr="00E74763">
        <w:rPr>
          <w:rFonts w:ascii="Arial" w:hAnsi="Arial" w:cs="Arial"/>
          <w:szCs w:val="24"/>
        </w:rPr>
        <w:t xml:space="preserve">or lo que resulta imperioso analizar la presencia de moras patronales o ausencias de </w:t>
      </w:r>
      <w:r w:rsidR="001C6CD4" w:rsidRPr="00E74763">
        <w:rPr>
          <w:rFonts w:ascii="Arial" w:hAnsi="Arial" w:cs="Arial"/>
          <w:szCs w:val="24"/>
        </w:rPr>
        <w:t xml:space="preserve">afiliación al sistema </w:t>
      </w:r>
      <w:r w:rsidR="007868BD">
        <w:rPr>
          <w:rFonts w:ascii="Arial" w:hAnsi="Arial" w:cs="Arial"/>
          <w:szCs w:val="24"/>
        </w:rPr>
        <w:t>pensional y si pueden ser tenida</w:t>
      </w:r>
      <w:r w:rsidR="001C6CD4" w:rsidRPr="00E74763">
        <w:rPr>
          <w:rFonts w:ascii="Arial" w:hAnsi="Arial" w:cs="Arial"/>
          <w:szCs w:val="24"/>
        </w:rPr>
        <w:t>s en cuenta tales semanas para efectos del reconocimiento de</w:t>
      </w:r>
      <w:r w:rsidR="007868BD">
        <w:rPr>
          <w:rFonts w:ascii="Arial" w:hAnsi="Arial" w:cs="Arial"/>
          <w:szCs w:val="24"/>
        </w:rPr>
        <w:t xml:space="preserve"> la</w:t>
      </w:r>
      <w:r w:rsidR="001C6CD4" w:rsidRPr="00E74763">
        <w:rPr>
          <w:rFonts w:ascii="Arial" w:hAnsi="Arial" w:cs="Arial"/>
          <w:szCs w:val="24"/>
        </w:rPr>
        <w:t xml:space="preserve"> pensi</w:t>
      </w:r>
      <w:r w:rsidR="007868BD">
        <w:rPr>
          <w:rFonts w:ascii="Arial" w:hAnsi="Arial" w:cs="Arial"/>
          <w:szCs w:val="24"/>
        </w:rPr>
        <w:t>ón</w:t>
      </w:r>
      <w:r w:rsidR="001C6CD4" w:rsidRPr="00E74763">
        <w:rPr>
          <w:rFonts w:ascii="Arial" w:hAnsi="Arial" w:cs="Arial"/>
          <w:szCs w:val="24"/>
        </w:rPr>
        <w:t xml:space="preserve"> de sobrevivientes</w:t>
      </w:r>
      <w:r w:rsidRPr="00E74763">
        <w:rPr>
          <w:rFonts w:ascii="Arial" w:hAnsi="Arial" w:cs="Arial"/>
          <w:szCs w:val="24"/>
        </w:rPr>
        <w:t>, pues le faltarían</w:t>
      </w:r>
      <w:r w:rsidRPr="00E74763">
        <w:rPr>
          <w:iCs/>
          <w:szCs w:val="24"/>
        </w:rPr>
        <w:t xml:space="preserve"> </w:t>
      </w:r>
      <w:r w:rsidRPr="00E74763">
        <w:rPr>
          <w:rFonts w:ascii="Arial" w:hAnsi="Arial" w:cs="Arial"/>
          <w:szCs w:val="24"/>
        </w:rPr>
        <w:t>10,15 semanas para alcanzar las 50 semanas requeridas y con ello dejar causado el derecho a la pensión de sobrevivientes</w:t>
      </w:r>
      <w:r w:rsidR="001C6CD4" w:rsidRPr="00E74763">
        <w:rPr>
          <w:rFonts w:ascii="Arial" w:hAnsi="Arial" w:cs="Arial"/>
          <w:szCs w:val="24"/>
        </w:rPr>
        <w:t xml:space="preserve">. </w:t>
      </w:r>
    </w:p>
    <w:p w14:paraId="56C60986" w14:textId="77777777" w:rsidR="007E5D91" w:rsidRPr="00E74763" w:rsidRDefault="007E5D91" w:rsidP="008C76C8">
      <w:pPr>
        <w:widowControl w:val="0"/>
        <w:autoSpaceDE w:val="0"/>
        <w:autoSpaceDN w:val="0"/>
        <w:adjustRightInd w:val="0"/>
        <w:spacing w:line="288" w:lineRule="auto"/>
        <w:contextualSpacing/>
        <w:jc w:val="both"/>
        <w:rPr>
          <w:rFonts w:ascii="Arial" w:hAnsi="Arial" w:cs="Arial"/>
          <w:szCs w:val="24"/>
        </w:rPr>
      </w:pPr>
    </w:p>
    <w:p w14:paraId="06684881" w14:textId="77777777" w:rsidR="007E5D91" w:rsidRDefault="00B561E8" w:rsidP="008C76C8">
      <w:pPr>
        <w:shd w:val="clear" w:color="auto" w:fill="FFFFFF"/>
        <w:tabs>
          <w:tab w:val="left" w:pos="5197"/>
        </w:tabs>
        <w:spacing w:line="288" w:lineRule="auto"/>
        <w:jc w:val="both"/>
        <w:rPr>
          <w:rFonts w:ascii="Arial" w:hAnsi="Arial" w:cs="Arial"/>
          <w:b/>
          <w:color w:val="000000"/>
          <w:szCs w:val="24"/>
          <w:lang w:eastAsia="es-CO"/>
        </w:rPr>
      </w:pPr>
      <w:r w:rsidRPr="00E74763">
        <w:rPr>
          <w:rFonts w:ascii="Arial" w:hAnsi="Arial" w:cs="Arial"/>
          <w:b/>
          <w:color w:val="000000"/>
          <w:szCs w:val="24"/>
          <w:lang w:eastAsia="es-CO"/>
        </w:rPr>
        <w:t xml:space="preserve">2.2. </w:t>
      </w:r>
      <w:r w:rsidR="00CE7CF9" w:rsidRPr="00E74763">
        <w:rPr>
          <w:rFonts w:ascii="Arial" w:hAnsi="Arial" w:cs="Arial"/>
          <w:b/>
          <w:color w:val="000000"/>
          <w:szCs w:val="24"/>
          <w:lang w:eastAsia="es-CO"/>
        </w:rPr>
        <w:t>Efectos de la falta de afiliación al sistema pensional para prestaciones de sobrevivencia</w:t>
      </w:r>
    </w:p>
    <w:p w14:paraId="69070436" w14:textId="77777777" w:rsidR="001C2146" w:rsidRPr="00E74763" w:rsidRDefault="001C2146" w:rsidP="008C76C8">
      <w:pPr>
        <w:shd w:val="clear" w:color="auto" w:fill="FFFFFF"/>
        <w:tabs>
          <w:tab w:val="left" w:pos="5197"/>
        </w:tabs>
        <w:spacing w:line="288" w:lineRule="auto"/>
        <w:jc w:val="both"/>
        <w:rPr>
          <w:rFonts w:ascii="Arial" w:hAnsi="Arial" w:cs="Arial"/>
          <w:b/>
          <w:color w:val="000000"/>
          <w:szCs w:val="24"/>
          <w:lang w:eastAsia="es-CO"/>
        </w:rPr>
      </w:pPr>
    </w:p>
    <w:p w14:paraId="71ED02AF" w14:textId="77777777" w:rsidR="00B561E8" w:rsidRPr="00E74763" w:rsidRDefault="00B561E8" w:rsidP="008C76C8">
      <w:pPr>
        <w:shd w:val="clear" w:color="auto" w:fill="FFFFFF"/>
        <w:tabs>
          <w:tab w:val="left" w:pos="5197"/>
        </w:tabs>
        <w:spacing w:line="288" w:lineRule="auto"/>
        <w:jc w:val="both"/>
        <w:rPr>
          <w:rFonts w:ascii="Arial" w:hAnsi="Arial" w:cs="Arial"/>
          <w:color w:val="000000"/>
          <w:szCs w:val="24"/>
          <w:lang w:eastAsia="es-CO"/>
        </w:rPr>
      </w:pPr>
      <w:r w:rsidRPr="00E74763">
        <w:rPr>
          <w:rFonts w:ascii="Arial" w:hAnsi="Arial" w:cs="Arial"/>
          <w:b/>
          <w:color w:val="000000"/>
          <w:szCs w:val="24"/>
          <w:lang w:eastAsia="es-CO"/>
        </w:rPr>
        <w:t>2.2.1. Fundamento normativo</w:t>
      </w:r>
    </w:p>
    <w:p w14:paraId="2C8CDDF9" w14:textId="77777777" w:rsidR="007E5D91" w:rsidRPr="00E74763" w:rsidRDefault="007E5D91" w:rsidP="008C76C8">
      <w:pPr>
        <w:shd w:val="clear" w:color="auto" w:fill="FFFFFF"/>
        <w:tabs>
          <w:tab w:val="left" w:pos="5197"/>
        </w:tabs>
        <w:spacing w:line="288" w:lineRule="auto"/>
        <w:jc w:val="both"/>
        <w:rPr>
          <w:rFonts w:ascii="Arial" w:hAnsi="Arial" w:cs="Arial"/>
          <w:color w:val="000000"/>
          <w:szCs w:val="24"/>
          <w:lang w:eastAsia="es-CO"/>
        </w:rPr>
      </w:pPr>
    </w:p>
    <w:p w14:paraId="332C709A" w14:textId="0F4AEC0E" w:rsidR="00CE7CF9" w:rsidRPr="00E74763" w:rsidRDefault="007E5D91" w:rsidP="008C76C8">
      <w:pPr>
        <w:shd w:val="clear" w:color="auto" w:fill="FFFFFF"/>
        <w:tabs>
          <w:tab w:val="left" w:pos="5197"/>
        </w:tabs>
        <w:spacing w:line="288" w:lineRule="auto"/>
        <w:jc w:val="both"/>
        <w:rPr>
          <w:rFonts w:ascii="Arial" w:hAnsi="Arial" w:cs="Arial"/>
          <w:color w:val="000000"/>
          <w:szCs w:val="24"/>
          <w:lang w:eastAsia="es-CO"/>
        </w:rPr>
      </w:pPr>
      <w:r w:rsidRPr="00E74763">
        <w:rPr>
          <w:rFonts w:ascii="Arial" w:hAnsi="Arial" w:cs="Arial"/>
          <w:color w:val="000000"/>
          <w:szCs w:val="24"/>
          <w:lang w:eastAsia="es-CO"/>
        </w:rPr>
        <w:t>La Sala de Casación Laboral de la Corte Suprema de Justicia</w:t>
      </w:r>
      <w:r w:rsidR="00CE7CF9" w:rsidRPr="00E74763">
        <w:rPr>
          <w:rFonts w:ascii="Arial" w:hAnsi="Arial" w:cs="Arial"/>
          <w:color w:val="000000"/>
          <w:szCs w:val="24"/>
          <w:lang w:eastAsia="es-CO"/>
        </w:rPr>
        <w:t xml:space="preserve"> ha enseñado</w:t>
      </w:r>
      <w:r w:rsidR="007868BD">
        <w:rPr>
          <w:rFonts w:ascii="Arial" w:hAnsi="Arial" w:cs="Arial"/>
          <w:color w:val="000000"/>
          <w:szCs w:val="24"/>
          <w:lang w:eastAsia="es-CO"/>
        </w:rPr>
        <w:t xml:space="preserve"> que</w:t>
      </w:r>
      <w:r w:rsidR="00CE7CF9" w:rsidRPr="00E74763">
        <w:rPr>
          <w:rFonts w:ascii="Arial" w:hAnsi="Arial" w:cs="Arial"/>
          <w:color w:val="000000"/>
          <w:szCs w:val="24"/>
          <w:lang w:eastAsia="es-CO"/>
        </w:rPr>
        <w:t xml:space="preserve"> las consecuencias jurídicas de la falta de afiliación por parte del empleador al sistema pensional, ya sea por falta de cobertura, por declaración de contratos realidad o simplemente por omisión del empleador, son diferentes para las pensiones de vejez, sobrevivientes e invalidez</w:t>
      </w:r>
      <w:r w:rsidR="00606272" w:rsidRPr="00E74763">
        <w:rPr>
          <w:rStyle w:val="Refdenotaalpie"/>
          <w:rFonts w:ascii="Arial" w:hAnsi="Arial" w:cs="Arial"/>
          <w:color w:val="000000"/>
          <w:szCs w:val="24"/>
          <w:lang w:eastAsia="es-CO"/>
        </w:rPr>
        <w:footnoteReference w:id="1"/>
      </w:r>
      <w:r w:rsidR="00CE7CF9" w:rsidRPr="00E74763">
        <w:rPr>
          <w:rFonts w:ascii="Arial" w:hAnsi="Arial" w:cs="Arial"/>
          <w:color w:val="000000"/>
          <w:szCs w:val="24"/>
          <w:lang w:eastAsia="es-CO"/>
        </w:rPr>
        <w:t>.</w:t>
      </w:r>
    </w:p>
    <w:p w14:paraId="4AE880F0" w14:textId="77777777" w:rsidR="00CE7CF9" w:rsidRPr="00E74763" w:rsidRDefault="00CE7CF9" w:rsidP="008C76C8">
      <w:pPr>
        <w:shd w:val="clear" w:color="auto" w:fill="FFFFFF"/>
        <w:tabs>
          <w:tab w:val="left" w:pos="5197"/>
        </w:tabs>
        <w:spacing w:line="288" w:lineRule="auto"/>
        <w:jc w:val="both"/>
        <w:rPr>
          <w:rFonts w:ascii="Arial" w:hAnsi="Arial" w:cs="Arial"/>
          <w:color w:val="000000"/>
          <w:szCs w:val="24"/>
          <w:lang w:eastAsia="es-CO"/>
        </w:rPr>
      </w:pPr>
    </w:p>
    <w:p w14:paraId="54A74B7B" w14:textId="77777777" w:rsidR="004D6C7D" w:rsidRPr="00E74763" w:rsidRDefault="00CE7CF9" w:rsidP="008C76C8">
      <w:pPr>
        <w:shd w:val="clear" w:color="auto" w:fill="FFFFFF"/>
        <w:tabs>
          <w:tab w:val="left" w:pos="5197"/>
        </w:tabs>
        <w:spacing w:line="288" w:lineRule="auto"/>
        <w:jc w:val="both"/>
        <w:rPr>
          <w:rFonts w:ascii="Arial" w:hAnsi="Arial" w:cs="Arial"/>
          <w:color w:val="000000"/>
          <w:szCs w:val="24"/>
          <w:lang w:eastAsia="es-CO"/>
        </w:rPr>
      </w:pPr>
      <w:r w:rsidRPr="00E74763">
        <w:rPr>
          <w:rFonts w:ascii="Arial" w:hAnsi="Arial" w:cs="Arial"/>
          <w:color w:val="000000"/>
          <w:szCs w:val="24"/>
          <w:lang w:eastAsia="es-CO"/>
        </w:rPr>
        <w:t>Así, para las pensiones de vejez la presencia de una omisión de afiliación se traduce en la obligación del empleador de pagar un cálculo actuarial o convalidación de tiempos a satisfacción de la entidad administradora, y a esta última el reconocimiento de la subvención vitalicia</w:t>
      </w:r>
      <w:r w:rsidR="004D6C7D" w:rsidRPr="00E74763">
        <w:rPr>
          <w:rFonts w:ascii="Arial" w:hAnsi="Arial" w:cs="Arial"/>
          <w:color w:val="000000"/>
          <w:szCs w:val="24"/>
          <w:lang w:eastAsia="es-CO"/>
        </w:rPr>
        <w:t>, pues son prestaciones de largo tiempo que dependen de la conformación de un número importante de cotizaciones o capital.</w:t>
      </w:r>
    </w:p>
    <w:p w14:paraId="310794C9" w14:textId="77777777" w:rsidR="004D6C7D" w:rsidRPr="00E74763" w:rsidRDefault="004D6C7D" w:rsidP="008C76C8">
      <w:pPr>
        <w:shd w:val="clear" w:color="auto" w:fill="FFFFFF"/>
        <w:tabs>
          <w:tab w:val="left" w:pos="5197"/>
        </w:tabs>
        <w:spacing w:line="288" w:lineRule="auto"/>
        <w:jc w:val="both"/>
        <w:rPr>
          <w:rFonts w:ascii="Arial" w:hAnsi="Arial" w:cs="Arial"/>
          <w:color w:val="000000"/>
          <w:szCs w:val="24"/>
          <w:lang w:eastAsia="es-CO"/>
        </w:rPr>
      </w:pPr>
    </w:p>
    <w:p w14:paraId="0AE3BA77" w14:textId="77777777" w:rsidR="00606272" w:rsidRPr="00E74763" w:rsidRDefault="004D6C7D" w:rsidP="008C76C8">
      <w:pPr>
        <w:shd w:val="clear" w:color="auto" w:fill="FFFFFF"/>
        <w:tabs>
          <w:tab w:val="left" w:pos="5197"/>
        </w:tabs>
        <w:spacing w:line="288" w:lineRule="auto"/>
        <w:jc w:val="both"/>
        <w:rPr>
          <w:rFonts w:ascii="Arial" w:hAnsi="Arial" w:cs="Arial"/>
          <w:color w:val="000000"/>
          <w:szCs w:val="24"/>
          <w:lang w:eastAsia="es-CO"/>
        </w:rPr>
      </w:pPr>
      <w:r w:rsidRPr="00E74763">
        <w:rPr>
          <w:rFonts w:ascii="Arial" w:hAnsi="Arial" w:cs="Arial"/>
          <w:color w:val="000000"/>
          <w:szCs w:val="24"/>
          <w:lang w:eastAsia="es-CO"/>
        </w:rPr>
        <w:t>P</w:t>
      </w:r>
      <w:r w:rsidR="00CE7CF9" w:rsidRPr="00E74763">
        <w:rPr>
          <w:rFonts w:ascii="Arial" w:hAnsi="Arial" w:cs="Arial"/>
          <w:color w:val="000000"/>
          <w:szCs w:val="24"/>
          <w:lang w:eastAsia="es-CO"/>
        </w:rPr>
        <w:t xml:space="preserve">or el contrario, para las pensiones de sobrevivencia e invalidez, en tanto </w:t>
      </w:r>
      <w:r w:rsidR="00ED2C88" w:rsidRPr="00E74763">
        <w:rPr>
          <w:rFonts w:ascii="Arial" w:hAnsi="Arial" w:cs="Arial"/>
          <w:color w:val="000000"/>
          <w:szCs w:val="24"/>
          <w:lang w:eastAsia="es-CO"/>
        </w:rPr>
        <w:t>se fundamentan en el acaecimiento de un riesgo</w:t>
      </w:r>
      <w:r w:rsidR="00606272" w:rsidRPr="00E74763">
        <w:rPr>
          <w:rFonts w:ascii="Arial" w:hAnsi="Arial" w:cs="Arial"/>
          <w:color w:val="000000"/>
          <w:szCs w:val="24"/>
          <w:lang w:eastAsia="es-CO"/>
        </w:rPr>
        <w:t>, la mera</w:t>
      </w:r>
      <w:r w:rsidRPr="00E74763">
        <w:rPr>
          <w:rFonts w:ascii="Arial" w:hAnsi="Arial" w:cs="Arial"/>
          <w:color w:val="000000"/>
          <w:szCs w:val="24"/>
          <w:lang w:eastAsia="es-CO"/>
        </w:rPr>
        <w:t xml:space="preserve"> consecución de una reserva actuarial frente a 50 semanas como requisito mínimo para su causación, </w:t>
      </w:r>
      <w:r w:rsidR="00606272" w:rsidRPr="00E74763">
        <w:rPr>
          <w:rFonts w:ascii="Arial" w:hAnsi="Arial" w:cs="Arial"/>
          <w:color w:val="000000"/>
          <w:szCs w:val="24"/>
          <w:lang w:eastAsia="es-CO"/>
        </w:rPr>
        <w:t>no tendría “</w:t>
      </w:r>
      <w:r w:rsidR="00606272" w:rsidRPr="00E74763">
        <w:rPr>
          <w:rFonts w:ascii="Arial" w:hAnsi="Arial" w:cs="Arial"/>
          <w:i/>
          <w:color w:val="000000"/>
          <w:szCs w:val="24"/>
          <w:lang w:eastAsia="es-CO"/>
        </w:rPr>
        <w:t xml:space="preserve">igual utilidad práctica para el sostenimiento financiero del sistema, ni produce las mismas consecuencias”; </w:t>
      </w:r>
      <w:r w:rsidR="00606272" w:rsidRPr="00E74763">
        <w:rPr>
          <w:rFonts w:ascii="Arial" w:hAnsi="Arial" w:cs="Arial"/>
          <w:color w:val="000000"/>
          <w:szCs w:val="24"/>
          <w:lang w:eastAsia="es-CO"/>
        </w:rPr>
        <w:t>por lo tanto,</w:t>
      </w:r>
      <w:r w:rsidRPr="00E74763">
        <w:rPr>
          <w:rFonts w:ascii="Arial" w:hAnsi="Arial" w:cs="Arial"/>
          <w:color w:val="000000"/>
          <w:szCs w:val="24"/>
          <w:lang w:eastAsia="es-CO"/>
        </w:rPr>
        <w:t xml:space="preserve"> resulta indispensable la afiliación del trabajador o la convalidación de dichos tiempos antes de que acaezca el rie</w:t>
      </w:r>
      <w:r w:rsidR="00606272" w:rsidRPr="00E74763">
        <w:rPr>
          <w:rFonts w:ascii="Arial" w:hAnsi="Arial" w:cs="Arial"/>
          <w:color w:val="000000"/>
          <w:szCs w:val="24"/>
          <w:lang w:eastAsia="es-CO"/>
        </w:rPr>
        <w:t>sgo.</w:t>
      </w:r>
      <w:r w:rsidRPr="00E74763">
        <w:rPr>
          <w:rFonts w:ascii="Arial" w:hAnsi="Arial" w:cs="Arial"/>
          <w:color w:val="000000"/>
          <w:szCs w:val="24"/>
          <w:lang w:eastAsia="es-CO"/>
        </w:rPr>
        <w:t xml:space="preserve"> Admitir el pago de dicho cálculo para esta clase de pensiones </w:t>
      </w:r>
      <w:r w:rsidR="009C4787" w:rsidRPr="00E74763">
        <w:rPr>
          <w:rFonts w:ascii="Arial" w:hAnsi="Arial" w:cs="Arial"/>
          <w:color w:val="000000"/>
          <w:szCs w:val="24"/>
          <w:lang w:eastAsia="es-CO"/>
        </w:rPr>
        <w:t xml:space="preserve">implicaría que la administradora deba asumir el reconocimiento de una prestación periódica frente a </w:t>
      </w:r>
      <w:r w:rsidR="009C4787" w:rsidRPr="00E74763">
        <w:rPr>
          <w:rFonts w:ascii="Arial" w:hAnsi="Arial" w:cs="Arial"/>
          <w:color w:val="000000"/>
          <w:szCs w:val="24"/>
          <w:lang w:eastAsia="es-CO"/>
        </w:rPr>
        <w:lastRenderedPageBreak/>
        <w:t>la cual “</w:t>
      </w:r>
      <w:r w:rsidR="009C4787" w:rsidRPr="00CA17DD">
        <w:rPr>
          <w:rFonts w:ascii="Arial" w:hAnsi="Arial" w:cs="Arial"/>
          <w:i/>
          <w:color w:val="000000"/>
          <w:sz w:val="22"/>
          <w:szCs w:val="24"/>
          <w:lang w:eastAsia="es-CO"/>
        </w:rPr>
        <w:t>i) no tuvo conocimiento para iniciar acciones de cobro de los aportes; ii) no pudo prever y gestionar el riesgo de sobrevivientes, a través de reservas o seguros; iii) y tiene que financiar en un 100%, aun si los aportes que puede convalidar a través del título pensional no alcanzan para ello</w:t>
      </w:r>
      <w:r w:rsidR="009C4787" w:rsidRPr="00E74763">
        <w:rPr>
          <w:rFonts w:ascii="Arial" w:hAnsi="Arial" w:cs="Arial"/>
          <w:i/>
          <w:color w:val="000000"/>
          <w:szCs w:val="24"/>
          <w:lang w:eastAsia="es-CO"/>
        </w:rPr>
        <w:t>”</w:t>
      </w:r>
      <w:r w:rsidR="00606272" w:rsidRPr="00E74763">
        <w:rPr>
          <w:rStyle w:val="Refdenotaalpie"/>
          <w:rFonts w:ascii="Arial" w:hAnsi="Arial" w:cs="Arial"/>
          <w:i/>
          <w:color w:val="000000"/>
          <w:szCs w:val="24"/>
          <w:lang w:eastAsia="es-CO"/>
        </w:rPr>
        <w:footnoteReference w:id="2"/>
      </w:r>
      <w:r w:rsidR="00606272" w:rsidRPr="00E74763">
        <w:rPr>
          <w:rFonts w:ascii="Arial" w:hAnsi="Arial" w:cs="Arial"/>
          <w:i/>
          <w:color w:val="000000"/>
          <w:szCs w:val="24"/>
          <w:lang w:eastAsia="es-CO"/>
        </w:rPr>
        <w:t xml:space="preserve">. </w:t>
      </w:r>
    </w:p>
    <w:p w14:paraId="5D7519BB" w14:textId="7A2B3CF8" w:rsidR="003823D4" w:rsidRDefault="003823D4" w:rsidP="008C76C8">
      <w:pPr>
        <w:spacing w:line="288" w:lineRule="auto"/>
        <w:rPr>
          <w:rFonts w:ascii="Arial" w:hAnsi="Arial" w:cs="Arial"/>
          <w:color w:val="000000"/>
          <w:szCs w:val="24"/>
          <w:lang w:eastAsia="es-CO"/>
        </w:rPr>
      </w:pPr>
    </w:p>
    <w:p w14:paraId="7069051B" w14:textId="1E197F5F" w:rsidR="00606272" w:rsidRPr="00E74763" w:rsidRDefault="00606272" w:rsidP="008C76C8">
      <w:pPr>
        <w:shd w:val="clear" w:color="auto" w:fill="FFFFFF"/>
        <w:tabs>
          <w:tab w:val="left" w:pos="5197"/>
        </w:tabs>
        <w:spacing w:line="288" w:lineRule="auto"/>
        <w:jc w:val="both"/>
        <w:rPr>
          <w:rFonts w:ascii="Arial" w:hAnsi="Arial" w:cs="Arial"/>
          <w:color w:val="000000"/>
          <w:szCs w:val="24"/>
          <w:lang w:eastAsia="es-CO"/>
        </w:rPr>
      </w:pPr>
      <w:r w:rsidRPr="00E74763">
        <w:rPr>
          <w:rFonts w:ascii="Arial" w:hAnsi="Arial" w:cs="Arial"/>
          <w:color w:val="000000"/>
          <w:szCs w:val="24"/>
          <w:lang w:eastAsia="es-CO"/>
        </w:rPr>
        <w:t xml:space="preserve">En ese sentido, </w:t>
      </w:r>
      <w:r w:rsidR="00740139" w:rsidRPr="00E74763">
        <w:rPr>
          <w:rFonts w:ascii="Arial" w:hAnsi="Arial" w:cs="Arial"/>
          <w:color w:val="000000"/>
          <w:szCs w:val="24"/>
          <w:lang w:eastAsia="es-CO"/>
        </w:rPr>
        <w:t xml:space="preserve">la falta de afiliación de un trabajador al sistema de seguridad social en pensiones o la ausencia de convalidación de tiempos servidos antes de la muerte de este, de ninguna manera traslada a la administradora de pensiones la carga de reconocer la pensión de sobrevivientes o invalidez, y por el contrario, relega al empleador omiso el deber de asumir el pago de su pensión. </w:t>
      </w:r>
    </w:p>
    <w:p w14:paraId="07F5C56A" w14:textId="77777777" w:rsidR="00B561E8" w:rsidRPr="00E74763" w:rsidRDefault="00B561E8" w:rsidP="008C76C8">
      <w:pPr>
        <w:shd w:val="clear" w:color="auto" w:fill="FFFFFF"/>
        <w:tabs>
          <w:tab w:val="left" w:pos="5197"/>
        </w:tabs>
        <w:spacing w:line="288" w:lineRule="auto"/>
        <w:jc w:val="both"/>
        <w:rPr>
          <w:rFonts w:ascii="Arial" w:hAnsi="Arial" w:cs="Arial"/>
          <w:color w:val="000000"/>
          <w:szCs w:val="24"/>
          <w:lang w:eastAsia="es-CO"/>
        </w:rPr>
      </w:pPr>
    </w:p>
    <w:p w14:paraId="7AA3167F" w14:textId="77777777" w:rsidR="00B561E8" w:rsidRPr="00E74763" w:rsidRDefault="00B561E8" w:rsidP="008C76C8">
      <w:pPr>
        <w:shd w:val="clear" w:color="auto" w:fill="FFFFFF"/>
        <w:tabs>
          <w:tab w:val="left" w:pos="5197"/>
        </w:tabs>
        <w:spacing w:line="288" w:lineRule="auto"/>
        <w:jc w:val="both"/>
        <w:rPr>
          <w:rFonts w:ascii="Arial" w:hAnsi="Arial" w:cs="Arial"/>
          <w:b/>
          <w:color w:val="000000"/>
          <w:szCs w:val="24"/>
          <w:lang w:eastAsia="es-CO"/>
        </w:rPr>
      </w:pPr>
      <w:r w:rsidRPr="00E74763">
        <w:rPr>
          <w:rFonts w:ascii="Arial" w:hAnsi="Arial" w:cs="Arial"/>
          <w:b/>
          <w:color w:val="000000"/>
          <w:szCs w:val="24"/>
          <w:lang w:eastAsia="es-CO"/>
        </w:rPr>
        <w:t>2.2.2. Fundamento fáctico</w:t>
      </w:r>
    </w:p>
    <w:p w14:paraId="0C3013C5" w14:textId="77777777" w:rsidR="003823D4" w:rsidRDefault="003823D4" w:rsidP="008C76C8">
      <w:pPr>
        <w:spacing w:line="288" w:lineRule="auto"/>
        <w:jc w:val="both"/>
        <w:rPr>
          <w:rFonts w:ascii="Arial" w:hAnsi="Arial" w:cs="Arial"/>
          <w:color w:val="000000"/>
          <w:szCs w:val="24"/>
        </w:rPr>
      </w:pPr>
    </w:p>
    <w:p w14:paraId="5DA2FFAB" w14:textId="20914EC7" w:rsidR="005F7BC0" w:rsidRPr="00E74763" w:rsidRDefault="005F7BC0" w:rsidP="008C76C8">
      <w:pPr>
        <w:spacing w:line="288" w:lineRule="auto"/>
        <w:jc w:val="both"/>
        <w:rPr>
          <w:iCs/>
          <w:szCs w:val="24"/>
        </w:rPr>
      </w:pPr>
      <w:r w:rsidRPr="00E74763">
        <w:rPr>
          <w:rFonts w:ascii="Arial" w:hAnsi="Arial" w:cs="Arial"/>
          <w:color w:val="000000"/>
          <w:szCs w:val="24"/>
        </w:rPr>
        <w:t xml:space="preserve">En los hechos de la demanda se implora el cómputo de 34,42 semanas por los periodos de abril de 2006 a julio del mismo año y, febrero a abril, julio y septiembre de 2007, que se aduce fueron laborados a favor del empleador Wilmar </w:t>
      </w:r>
      <w:r w:rsidR="00891BE5" w:rsidRPr="00E74763">
        <w:rPr>
          <w:rFonts w:ascii="Arial" w:hAnsi="Arial" w:cs="Arial"/>
          <w:color w:val="000000"/>
          <w:szCs w:val="24"/>
        </w:rPr>
        <w:t>Atehortúa</w:t>
      </w:r>
      <w:r w:rsidRPr="00E74763">
        <w:rPr>
          <w:rFonts w:ascii="Arial" w:hAnsi="Arial" w:cs="Arial"/>
          <w:color w:val="000000"/>
          <w:szCs w:val="24"/>
        </w:rPr>
        <w:t xml:space="preserve"> Arango, sin que este hubiese cotizado a pensión, pese a que sí lo hizo para salud (</w:t>
      </w:r>
      <w:proofErr w:type="spellStart"/>
      <w:r w:rsidRPr="00E74763">
        <w:rPr>
          <w:rFonts w:ascii="Arial" w:hAnsi="Arial" w:cs="Arial"/>
          <w:color w:val="000000"/>
          <w:szCs w:val="24"/>
        </w:rPr>
        <w:t>fls</w:t>
      </w:r>
      <w:proofErr w:type="spellEnd"/>
      <w:r w:rsidRPr="00E74763">
        <w:rPr>
          <w:rFonts w:ascii="Arial" w:hAnsi="Arial" w:cs="Arial"/>
          <w:color w:val="000000"/>
          <w:szCs w:val="24"/>
        </w:rPr>
        <w:t>. 6 y 7 c. 1).</w:t>
      </w:r>
    </w:p>
    <w:p w14:paraId="2B731CF9" w14:textId="77777777" w:rsidR="003823D4" w:rsidRDefault="003823D4" w:rsidP="008C76C8">
      <w:pPr>
        <w:pStyle w:val="Textoindependiente"/>
        <w:spacing w:line="288" w:lineRule="auto"/>
        <w:contextualSpacing/>
        <w:rPr>
          <w:iCs/>
          <w:szCs w:val="24"/>
        </w:rPr>
      </w:pPr>
    </w:p>
    <w:p w14:paraId="513734F0" w14:textId="742FF84B" w:rsidR="005F7BC0" w:rsidRPr="00E74763" w:rsidRDefault="005F7BC0" w:rsidP="008C76C8">
      <w:pPr>
        <w:pStyle w:val="Textoindependiente"/>
        <w:spacing w:line="288" w:lineRule="auto"/>
        <w:contextualSpacing/>
        <w:rPr>
          <w:iCs/>
          <w:szCs w:val="24"/>
        </w:rPr>
      </w:pPr>
      <w:r w:rsidRPr="00E74763">
        <w:rPr>
          <w:iCs/>
          <w:szCs w:val="24"/>
        </w:rPr>
        <w:t xml:space="preserve">En ese sentido, obra en el expediente la solicitud de vinculación al fondo de pensiones y cesantías Santander realizada el 22/08/2006 por </w:t>
      </w:r>
      <w:proofErr w:type="spellStart"/>
      <w:r w:rsidRPr="00E74763">
        <w:rPr>
          <w:iCs/>
          <w:szCs w:val="24"/>
        </w:rPr>
        <w:t>Yobany</w:t>
      </w:r>
      <w:proofErr w:type="spellEnd"/>
      <w:r w:rsidRPr="00E74763">
        <w:rPr>
          <w:iCs/>
          <w:szCs w:val="24"/>
        </w:rPr>
        <w:t xml:space="preserve"> Antonio Trejos Sánchez, en la que se registró como empleador a Arte Floral </w:t>
      </w:r>
      <w:r w:rsidR="007C3B26" w:rsidRPr="00E74763">
        <w:rPr>
          <w:iCs/>
          <w:szCs w:val="24"/>
        </w:rPr>
        <w:t>Floristería</w:t>
      </w:r>
      <w:r w:rsidRPr="00E74763">
        <w:rPr>
          <w:iCs/>
          <w:szCs w:val="24"/>
        </w:rPr>
        <w:t xml:space="preserve"> (</w:t>
      </w:r>
      <w:proofErr w:type="spellStart"/>
      <w:r w:rsidRPr="00E74763">
        <w:rPr>
          <w:iCs/>
          <w:szCs w:val="24"/>
        </w:rPr>
        <w:t>fl</w:t>
      </w:r>
      <w:proofErr w:type="spellEnd"/>
      <w:r w:rsidRPr="00E74763">
        <w:rPr>
          <w:iCs/>
          <w:szCs w:val="24"/>
        </w:rPr>
        <w:t xml:space="preserve">. 133 c. 1), que coincide con el historial de vinculaciones emitida por </w:t>
      </w:r>
      <w:proofErr w:type="spellStart"/>
      <w:r w:rsidRPr="00E74763">
        <w:rPr>
          <w:iCs/>
          <w:szCs w:val="24"/>
        </w:rPr>
        <w:t>Asofondos</w:t>
      </w:r>
      <w:proofErr w:type="spellEnd"/>
      <w:r w:rsidRPr="00E74763">
        <w:rPr>
          <w:iCs/>
          <w:szCs w:val="24"/>
        </w:rPr>
        <w:t xml:space="preserve"> (</w:t>
      </w:r>
      <w:proofErr w:type="spellStart"/>
      <w:r w:rsidRPr="00E74763">
        <w:rPr>
          <w:iCs/>
          <w:szCs w:val="24"/>
        </w:rPr>
        <w:t>fl</w:t>
      </w:r>
      <w:proofErr w:type="spellEnd"/>
      <w:r w:rsidRPr="00E74763">
        <w:rPr>
          <w:iCs/>
          <w:szCs w:val="24"/>
        </w:rPr>
        <w:t xml:space="preserve">. 135 c. 1); por lo que, los ciclos reclamados con anterioridad a dicha fecha (abril a julio de 2006), se encontrarían por fuera de la afiliación realizada al Sistema de Seguridad Social y por ello, de ninguna manera podrían ser tenidos en cuenta para efectos de contabilizar las semanas requeridas para dejar causado el derecho pensional, ni siquiera a través del pago de un cálculo actuarial o la convalidación de dichos tiempos, pues una vez acaecido el deceso de </w:t>
      </w:r>
      <w:proofErr w:type="spellStart"/>
      <w:r w:rsidRPr="00E74763">
        <w:rPr>
          <w:iCs/>
          <w:szCs w:val="24"/>
        </w:rPr>
        <w:t>Yobany</w:t>
      </w:r>
      <w:proofErr w:type="spellEnd"/>
      <w:r w:rsidRPr="00E74763">
        <w:rPr>
          <w:iCs/>
          <w:szCs w:val="24"/>
        </w:rPr>
        <w:t xml:space="preserve"> Antonio Trejos Sánchez (</w:t>
      </w:r>
      <w:proofErr w:type="spellStart"/>
      <w:r w:rsidRPr="00E74763">
        <w:rPr>
          <w:iCs/>
          <w:szCs w:val="24"/>
        </w:rPr>
        <w:t>fl</w:t>
      </w:r>
      <w:proofErr w:type="spellEnd"/>
      <w:r w:rsidRPr="00E74763">
        <w:rPr>
          <w:iCs/>
          <w:szCs w:val="24"/>
        </w:rPr>
        <w:t xml:space="preserve">. 28 c. 1), expiró tal posibilidad, sin que tampoco obre en el expediente su pago previo al </w:t>
      </w:r>
      <w:r w:rsidR="007868BD">
        <w:rPr>
          <w:iCs/>
          <w:szCs w:val="24"/>
        </w:rPr>
        <w:t>fallecimiento.</w:t>
      </w:r>
    </w:p>
    <w:p w14:paraId="4DF6B1A7" w14:textId="77777777" w:rsidR="005F7BC0" w:rsidRPr="00E74763" w:rsidRDefault="005F7BC0" w:rsidP="008C76C8">
      <w:pPr>
        <w:pStyle w:val="Textoindependiente"/>
        <w:spacing w:line="288" w:lineRule="auto"/>
        <w:contextualSpacing/>
        <w:rPr>
          <w:iCs/>
          <w:szCs w:val="24"/>
        </w:rPr>
      </w:pPr>
    </w:p>
    <w:p w14:paraId="0C0A450A" w14:textId="5B0E56F1" w:rsidR="00740139" w:rsidRPr="00E74763" w:rsidRDefault="005F7BC0" w:rsidP="008C76C8">
      <w:pPr>
        <w:pStyle w:val="Textoindependiente"/>
        <w:spacing w:line="288" w:lineRule="auto"/>
        <w:contextualSpacing/>
        <w:rPr>
          <w:iCs/>
          <w:szCs w:val="24"/>
        </w:rPr>
      </w:pPr>
      <w:r w:rsidRPr="00E74763">
        <w:rPr>
          <w:iCs/>
          <w:szCs w:val="24"/>
        </w:rPr>
        <w:t>Por lo tanto erró la juez de primera instancia al tenerlos en cuenta para hallar el cumplimiento del requisito de densidad de semanas que diera lugar a la pensión de sobrevivientes, a</w:t>
      </w:r>
      <w:r w:rsidR="009D70CD">
        <w:rPr>
          <w:iCs/>
          <w:szCs w:val="24"/>
        </w:rPr>
        <w:t>sí las cosas prospera la alzada en este punto, por lo que se revocará el numeral segundo de la providencia para en su lugar negar el pago del cálculo actuarial por los ciclos de marzo, abril, mayo, junio y julio de 2006,</w:t>
      </w:r>
      <w:r w:rsidRPr="00E74763">
        <w:rPr>
          <w:iCs/>
          <w:szCs w:val="24"/>
        </w:rPr>
        <w:t xml:space="preserve"> sin que ello lleve consigo la revocatoria de la sentencia pues corresponde analizar la situación de la mora patronal.</w:t>
      </w:r>
    </w:p>
    <w:p w14:paraId="01073D4B" w14:textId="77777777" w:rsidR="005F7BC0" w:rsidRPr="00E74763" w:rsidRDefault="005F7BC0" w:rsidP="008C76C8">
      <w:pPr>
        <w:pStyle w:val="Textoindependiente"/>
        <w:spacing w:line="288" w:lineRule="auto"/>
        <w:contextualSpacing/>
        <w:rPr>
          <w:color w:val="000000"/>
          <w:szCs w:val="24"/>
          <w:lang w:eastAsia="es-CO"/>
        </w:rPr>
      </w:pPr>
    </w:p>
    <w:p w14:paraId="0DC7239E" w14:textId="77777777" w:rsidR="00740139" w:rsidRPr="00E74763" w:rsidRDefault="005F7BC0" w:rsidP="008C76C8">
      <w:pPr>
        <w:shd w:val="clear" w:color="auto" w:fill="FFFFFF"/>
        <w:tabs>
          <w:tab w:val="left" w:pos="5197"/>
        </w:tabs>
        <w:spacing w:line="288" w:lineRule="auto"/>
        <w:jc w:val="both"/>
        <w:rPr>
          <w:rFonts w:ascii="Arial" w:hAnsi="Arial" w:cs="Arial"/>
          <w:b/>
          <w:color w:val="000000"/>
          <w:szCs w:val="24"/>
        </w:rPr>
      </w:pPr>
      <w:r w:rsidRPr="00E74763">
        <w:rPr>
          <w:rFonts w:ascii="Arial" w:hAnsi="Arial" w:cs="Arial"/>
          <w:b/>
          <w:color w:val="000000"/>
          <w:szCs w:val="24"/>
        </w:rPr>
        <w:t xml:space="preserve">2.3. </w:t>
      </w:r>
      <w:r w:rsidR="00740139" w:rsidRPr="00E74763">
        <w:rPr>
          <w:rFonts w:ascii="Arial" w:hAnsi="Arial" w:cs="Arial"/>
          <w:b/>
          <w:color w:val="000000"/>
          <w:szCs w:val="24"/>
        </w:rPr>
        <w:t>De la mora patronal para el reconocimiento de pensión</w:t>
      </w:r>
    </w:p>
    <w:p w14:paraId="2BAE0ED0" w14:textId="77777777" w:rsidR="005F7BC0" w:rsidRPr="00E74763" w:rsidRDefault="005F7BC0" w:rsidP="008C76C8">
      <w:pPr>
        <w:shd w:val="clear" w:color="auto" w:fill="FFFFFF"/>
        <w:tabs>
          <w:tab w:val="left" w:pos="5197"/>
        </w:tabs>
        <w:spacing w:line="288" w:lineRule="auto"/>
        <w:jc w:val="both"/>
        <w:rPr>
          <w:rFonts w:ascii="Arial" w:hAnsi="Arial" w:cs="Arial"/>
          <w:b/>
          <w:color w:val="000000"/>
          <w:szCs w:val="24"/>
        </w:rPr>
      </w:pPr>
    </w:p>
    <w:p w14:paraId="4F7AF932" w14:textId="77777777" w:rsidR="005F7BC0" w:rsidRPr="00E74763" w:rsidRDefault="005F7BC0" w:rsidP="008C76C8">
      <w:pPr>
        <w:shd w:val="clear" w:color="auto" w:fill="FFFFFF"/>
        <w:tabs>
          <w:tab w:val="left" w:pos="5197"/>
        </w:tabs>
        <w:spacing w:line="288" w:lineRule="auto"/>
        <w:jc w:val="both"/>
        <w:rPr>
          <w:rFonts w:ascii="Arial" w:hAnsi="Arial" w:cs="Arial"/>
          <w:color w:val="000000"/>
          <w:szCs w:val="24"/>
          <w:lang w:eastAsia="es-CO"/>
        </w:rPr>
      </w:pPr>
      <w:r w:rsidRPr="00E74763">
        <w:rPr>
          <w:rFonts w:ascii="Arial" w:hAnsi="Arial" w:cs="Arial"/>
          <w:b/>
          <w:color w:val="000000"/>
          <w:szCs w:val="24"/>
        </w:rPr>
        <w:t>2.3.1. Fundamento normativo</w:t>
      </w:r>
    </w:p>
    <w:p w14:paraId="3BB6DB21" w14:textId="77777777" w:rsidR="00606272" w:rsidRPr="00E74763" w:rsidRDefault="00606272" w:rsidP="008C76C8">
      <w:pPr>
        <w:shd w:val="clear" w:color="auto" w:fill="FFFFFF"/>
        <w:tabs>
          <w:tab w:val="left" w:pos="5197"/>
        </w:tabs>
        <w:spacing w:line="288" w:lineRule="auto"/>
        <w:jc w:val="both"/>
        <w:rPr>
          <w:rFonts w:ascii="Arial" w:hAnsi="Arial" w:cs="Arial"/>
          <w:i/>
          <w:color w:val="000000"/>
          <w:szCs w:val="24"/>
          <w:lang w:eastAsia="es-CO"/>
        </w:rPr>
      </w:pPr>
    </w:p>
    <w:p w14:paraId="7101489E" w14:textId="027B3C4C" w:rsidR="00740139" w:rsidRPr="00E74763" w:rsidRDefault="00740139" w:rsidP="008C76C8">
      <w:pPr>
        <w:shd w:val="clear" w:color="auto" w:fill="FFFFFF"/>
        <w:tabs>
          <w:tab w:val="left" w:pos="5197"/>
        </w:tabs>
        <w:spacing w:line="288" w:lineRule="auto"/>
        <w:jc w:val="both"/>
        <w:rPr>
          <w:rFonts w:ascii="Arial" w:hAnsi="Arial" w:cs="Arial"/>
          <w:color w:val="000000"/>
          <w:szCs w:val="24"/>
        </w:rPr>
      </w:pPr>
      <w:r w:rsidRPr="00E74763">
        <w:rPr>
          <w:rFonts w:ascii="Arial" w:hAnsi="Arial" w:cs="Arial"/>
          <w:color w:val="000000"/>
          <w:szCs w:val="24"/>
        </w:rPr>
        <w:lastRenderedPageBreak/>
        <w:t xml:space="preserve">La Corte Suprema de Justicia ha reiterado que al presentarse mora patronal en los aportes en pensiones, las Administradoras </w:t>
      </w:r>
      <w:r w:rsidR="007868BD">
        <w:rPr>
          <w:rFonts w:ascii="Arial" w:hAnsi="Arial" w:cs="Arial"/>
          <w:color w:val="000000"/>
          <w:szCs w:val="24"/>
        </w:rPr>
        <w:t>pensionales</w:t>
      </w:r>
      <w:r w:rsidRPr="00E74763">
        <w:rPr>
          <w:rFonts w:ascii="Arial" w:hAnsi="Arial" w:cs="Arial"/>
          <w:color w:val="000000"/>
          <w:szCs w:val="24"/>
        </w:rPr>
        <w:t xml:space="preserve"> son las obligadas a iniciar las acciones tendientes al cobro de los aportes, </w:t>
      </w:r>
      <w:r w:rsidR="007868BD">
        <w:rPr>
          <w:rFonts w:ascii="Arial" w:hAnsi="Arial" w:cs="Arial"/>
          <w:color w:val="000000"/>
          <w:szCs w:val="24"/>
        </w:rPr>
        <w:t>que</w:t>
      </w:r>
      <w:r w:rsidRPr="00E74763">
        <w:rPr>
          <w:rFonts w:ascii="Arial" w:hAnsi="Arial" w:cs="Arial"/>
          <w:color w:val="000000"/>
          <w:szCs w:val="24"/>
        </w:rPr>
        <w:t xml:space="preserve"> de no hacerlo deberán responder por el pago de la prestación reclamada</w:t>
      </w:r>
      <w:r w:rsidRPr="00E74763">
        <w:rPr>
          <w:rStyle w:val="Refdenotaalpie"/>
          <w:rFonts w:ascii="Arial" w:hAnsi="Arial" w:cs="Arial"/>
          <w:color w:val="000000"/>
          <w:szCs w:val="24"/>
        </w:rPr>
        <w:footnoteReference w:id="3"/>
      </w:r>
      <w:r w:rsidRPr="00E74763">
        <w:rPr>
          <w:rFonts w:ascii="Arial" w:hAnsi="Arial" w:cs="Arial"/>
          <w:color w:val="000000"/>
          <w:szCs w:val="24"/>
        </w:rPr>
        <w:t>.</w:t>
      </w:r>
    </w:p>
    <w:p w14:paraId="2A28AE68" w14:textId="77777777" w:rsidR="001C2146" w:rsidRDefault="001C2146" w:rsidP="008C76C8">
      <w:pPr>
        <w:spacing w:line="288" w:lineRule="auto"/>
        <w:jc w:val="both"/>
        <w:rPr>
          <w:rFonts w:ascii="Arial" w:hAnsi="Arial" w:cs="Arial"/>
          <w:color w:val="000000"/>
          <w:szCs w:val="24"/>
        </w:rPr>
      </w:pPr>
    </w:p>
    <w:p w14:paraId="594BC81D" w14:textId="0AE6EB32" w:rsidR="007E5D91" w:rsidRPr="00E74763" w:rsidRDefault="00740139" w:rsidP="008C76C8">
      <w:pPr>
        <w:spacing w:line="288" w:lineRule="auto"/>
        <w:jc w:val="both"/>
        <w:rPr>
          <w:rFonts w:ascii="Arial" w:hAnsi="Arial" w:cs="Arial"/>
          <w:color w:val="000000"/>
          <w:szCs w:val="24"/>
        </w:rPr>
      </w:pPr>
      <w:r w:rsidRPr="00E74763">
        <w:rPr>
          <w:rFonts w:ascii="Arial" w:hAnsi="Arial" w:cs="Arial"/>
          <w:color w:val="000000"/>
          <w:szCs w:val="24"/>
        </w:rPr>
        <w:t xml:space="preserve">Igualmente, ha manifestado que los aportes son el resultado inmediato de la prestación del servicio, y de allí emana la obligación que existe en cabeza de </w:t>
      </w:r>
      <w:r w:rsidR="007868BD">
        <w:rPr>
          <w:rFonts w:ascii="Arial" w:hAnsi="Arial" w:cs="Arial"/>
          <w:color w:val="000000"/>
          <w:szCs w:val="24"/>
        </w:rPr>
        <w:t xml:space="preserve">los </w:t>
      </w:r>
      <w:r w:rsidRPr="00E74763">
        <w:rPr>
          <w:rFonts w:ascii="Arial" w:hAnsi="Arial" w:cs="Arial"/>
          <w:color w:val="000000"/>
          <w:szCs w:val="24"/>
        </w:rPr>
        <w:t>empleadores</w:t>
      </w:r>
      <w:r w:rsidR="007868BD">
        <w:rPr>
          <w:rFonts w:ascii="Arial" w:hAnsi="Arial" w:cs="Arial"/>
          <w:color w:val="000000"/>
          <w:szCs w:val="24"/>
        </w:rPr>
        <w:t xml:space="preserve"> de su pago,</w:t>
      </w:r>
      <w:r w:rsidRPr="00E74763">
        <w:rPr>
          <w:rFonts w:ascii="Arial" w:hAnsi="Arial" w:cs="Arial"/>
          <w:color w:val="000000"/>
          <w:szCs w:val="24"/>
        </w:rPr>
        <w:t xml:space="preserve"> y </w:t>
      </w:r>
      <w:r w:rsidR="007868BD">
        <w:rPr>
          <w:rFonts w:ascii="Arial" w:hAnsi="Arial" w:cs="Arial"/>
          <w:color w:val="000000"/>
          <w:szCs w:val="24"/>
        </w:rPr>
        <w:t xml:space="preserve">de las </w:t>
      </w:r>
      <w:r w:rsidRPr="00E74763">
        <w:rPr>
          <w:rFonts w:ascii="Arial" w:hAnsi="Arial" w:cs="Arial"/>
          <w:color w:val="000000"/>
          <w:szCs w:val="24"/>
        </w:rPr>
        <w:t>entidades encargadas de la administración de las pensiones</w:t>
      </w:r>
      <w:r w:rsidR="005B252F">
        <w:rPr>
          <w:rFonts w:ascii="Arial" w:hAnsi="Arial" w:cs="Arial"/>
          <w:color w:val="000000"/>
          <w:szCs w:val="24"/>
        </w:rPr>
        <w:t xml:space="preserve"> de</w:t>
      </w:r>
      <w:r w:rsidR="007868BD">
        <w:rPr>
          <w:rFonts w:ascii="Arial" w:hAnsi="Arial" w:cs="Arial"/>
          <w:color w:val="000000"/>
          <w:szCs w:val="24"/>
        </w:rPr>
        <w:t xml:space="preserve"> su cobro</w:t>
      </w:r>
      <w:r w:rsidRPr="00E74763">
        <w:rPr>
          <w:rStyle w:val="Refdenotaalpie"/>
          <w:rFonts w:ascii="Arial" w:hAnsi="Arial" w:cs="Arial"/>
          <w:color w:val="000000"/>
          <w:szCs w:val="24"/>
        </w:rPr>
        <w:footnoteReference w:id="4"/>
      </w:r>
      <w:r w:rsidRPr="00E74763">
        <w:rPr>
          <w:rFonts w:ascii="Arial" w:hAnsi="Arial" w:cs="Arial"/>
          <w:color w:val="000000"/>
          <w:szCs w:val="24"/>
        </w:rPr>
        <w:t xml:space="preserve">. </w:t>
      </w:r>
    </w:p>
    <w:p w14:paraId="5A5EAE79" w14:textId="77777777" w:rsidR="001E794C" w:rsidRDefault="001E794C" w:rsidP="008C76C8">
      <w:pPr>
        <w:spacing w:line="288" w:lineRule="auto"/>
        <w:jc w:val="both"/>
        <w:rPr>
          <w:rFonts w:ascii="Arial" w:hAnsi="Arial" w:cs="Arial"/>
          <w:color w:val="000000"/>
          <w:szCs w:val="24"/>
        </w:rPr>
      </w:pPr>
    </w:p>
    <w:p w14:paraId="4B48DDF8" w14:textId="76E414EB" w:rsidR="00C32DBF" w:rsidRPr="00E74763" w:rsidRDefault="005F7BC0" w:rsidP="008C76C8">
      <w:pPr>
        <w:spacing w:line="288" w:lineRule="auto"/>
        <w:jc w:val="both"/>
        <w:rPr>
          <w:rFonts w:ascii="Arial" w:hAnsi="Arial" w:cs="Arial"/>
          <w:color w:val="000000"/>
          <w:szCs w:val="24"/>
        </w:rPr>
      </w:pPr>
      <w:r w:rsidRPr="00E74763">
        <w:rPr>
          <w:rFonts w:ascii="Arial" w:hAnsi="Arial" w:cs="Arial"/>
          <w:color w:val="000000"/>
          <w:szCs w:val="24"/>
        </w:rPr>
        <w:t>Por lo que</w:t>
      </w:r>
      <w:r w:rsidR="00740139" w:rsidRPr="00E74763">
        <w:rPr>
          <w:rFonts w:ascii="Arial" w:hAnsi="Arial" w:cs="Arial"/>
          <w:color w:val="000000"/>
          <w:szCs w:val="24"/>
        </w:rPr>
        <w:t xml:space="preserve"> ha explicitado que </w:t>
      </w:r>
      <w:r w:rsidR="00D57E41" w:rsidRPr="00E74763">
        <w:rPr>
          <w:rFonts w:ascii="Arial" w:hAnsi="Arial" w:cs="Arial"/>
          <w:color w:val="000000"/>
          <w:szCs w:val="24"/>
        </w:rPr>
        <w:t>para efectos de contabilizar semanas reportadas en mora del empleador, resulta indispensable acreditar que durante los ciclos remisos existió un vínculo laboral, pues solo así se evidencia que el empleador incumplió una de sus obligaciones pese a que su trabajador en efecto prestó el servicio; interpretación que se ajusta incluso a los dictados del literal l) del artículo 13, 17 y 22 de la Ley 100/1993</w:t>
      </w:r>
      <w:r w:rsidR="00D57E41" w:rsidRPr="00E74763">
        <w:rPr>
          <w:rStyle w:val="Refdenotaalpie"/>
          <w:rFonts w:ascii="Arial" w:hAnsi="Arial" w:cs="Arial"/>
          <w:color w:val="000000"/>
          <w:szCs w:val="24"/>
        </w:rPr>
        <w:footnoteReference w:id="5"/>
      </w:r>
      <w:r w:rsidR="00C32DBF" w:rsidRPr="00E74763">
        <w:rPr>
          <w:rFonts w:ascii="Arial" w:hAnsi="Arial" w:cs="Arial"/>
          <w:color w:val="000000"/>
          <w:szCs w:val="24"/>
        </w:rPr>
        <w:t>.</w:t>
      </w:r>
    </w:p>
    <w:p w14:paraId="7D58335E" w14:textId="77777777" w:rsidR="001E794C" w:rsidRDefault="001E794C" w:rsidP="008C76C8">
      <w:pPr>
        <w:spacing w:line="288" w:lineRule="auto"/>
        <w:jc w:val="both"/>
        <w:rPr>
          <w:rFonts w:ascii="Arial" w:hAnsi="Arial" w:cs="Arial"/>
          <w:color w:val="000000"/>
          <w:szCs w:val="24"/>
        </w:rPr>
      </w:pPr>
    </w:p>
    <w:p w14:paraId="45786057" w14:textId="77777777" w:rsidR="00C32DBF" w:rsidRPr="00E74763" w:rsidRDefault="00C32DBF" w:rsidP="008C76C8">
      <w:pPr>
        <w:spacing w:line="288" w:lineRule="auto"/>
        <w:jc w:val="both"/>
        <w:rPr>
          <w:rFonts w:ascii="Arial" w:hAnsi="Arial" w:cs="Arial"/>
          <w:color w:val="000000"/>
          <w:szCs w:val="24"/>
        </w:rPr>
      </w:pPr>
      <w:r w:rsidRPr="00E74763">
        <w:rPr>
          <w:rFonts w:ascii="Arial" w:hAnsi="Arial" w:cs="Arial"/>
          <w:color w:val="000000"/>
          <w:szCs w:val="24"/>
        </w:rPr>
        <w:t>Criterio que ha sido expuesto por esta Colegiatura en el sentido de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r w:rsidRPr="00E74763">
        <w:rPr>
          <w:rStyle w:val="Refdenotaalpie"/>
          <w:rFonts w:ascii="Arial" w:hAnsi="Arial" w:cs="Arial"/>
          <w:color w:val="000000"/>
          <w:szCs w:val="24"/>
        </w:rPr>
        <w:footnoteReference w:id="6"/>
      </w:r>
      <w:r w:rsidRPr="00E74763">
        <w:rPr>
          <w:rFonts w:ascii="Arial" w:hAnsi="Arial" w:cs="Arial"/>
          <w:color w:val="000000"/>
          <w:szCs w:val="24"/>
        </w:rPr>
        <w:t>.</w:t>
      </w:r>
    </w:p>
    <w:p w14:paraId="3BB79988" w14:textId="77777777" w:rsidR="001E794C" w:rsidRDefault="001E794C" w:rsidP="008C76C8">
      <w:pPr>
        <w:spacing w:line="288" w:lineRule="auto"/>
        <w:jc w:val="both"/>
        <w:rPr>
          <w:rFonts w:ascii="Arial" w:hAnsi="Arial" w:cs="Arial"/>
          <w:color w:val="000000"/>
          <w:szCs w:val="24"/>
        </w:rPr>
      </w:pPr>
    </w:p>
    <w:p w14:paraId="3614BD00" w14:textId="77777777" w:rsidR="00C32DBF" w:rsidRPr="002465C5" w:rsidRDefault="00C32DBF" w:rsidP="008C76C8">
      <w:pPr>
        <w:spacing w:line="288" w:lineRule="auto"/>
        <w:jc w:val="both"/>
        <w:rPr>
          <w:rFonts w:ascii="Arial" w:hAnsi="Arial" w:cs="Arial"/>
          <w:color w:val="000000"/>
          <w:szCs w:val="24"/>
          <w:highlight w:val="yellow"/>
          <w:u w:val="single"/>
        </w:rPr>
      </w:pPr>
      <w:r w:rsidRPr="00E74763">
        <w:rPr>
          <w:rFonts w:ascii="Arial" w:hAnsi="Arial" w:cs="Arial"/>
          <w:color w:val="000000"/>
          <w:szCs w:val="24"/>
        </w:rPr>
        <w:t>No obstante, también se ha expuesto que la prestación</w:t>
      </w:r>
      <w:r w:rsidR="005F7BC0" w:rsidRPr="00E74763">
        <w:rPr>
          <w:rFonts w:ascii="Arial" w:hAnsi="Arial" w:cs="Arial"/>
          <w:color w:val="000000"/>
          <w:szCs w:val="24"/>
        </w:rPr>
        <w:t xml:space="preserve"> del servicio puede </w:t>
      </w:r>
      <w:r w:rsidR="005F7BC0" w:rsidRPr="002465C5">
        <w:rPr>
          <w:rFonts w:ascii="Arial" w:hAnsi="Arial" w:cs="Arial"/>
          <w:color w:val="000000"/>
          <w:szCs w:val="24"/>
        </w:rPr>
        <w:t>acreditarse</w:t>
      </w:r>
      <w:r w:rsidRPr="002465C5">
        <w:rPr>
          <w:rFonts w:ascii="Arial" w:hAnsi="Arial" w:cs="Arial"/>
          <w:color w:val="000000"/>
          <w:szCs w:val="24"/>
        </w:rPr>
        <w:t xml:space="preserve"> mediante prueba indiciaria que permita inferir que ella se prolongó por el periodo en mora, como ha sucedido cuando se prueba la mora intermitente</w:t>
      </w:r>
      <w:r w:rsidRPr="002465C5">
        <w:rPr>
          <w:rStyle w:val="Refdenotaalpie"/>
          <w:rFonts w:ascii="Arial" w:hAnsi="Arial" w:cs="Arial"/>
          <w:color w:val="000000"/>
          <w:szCs w:val="24"/>
        </w:rPr>
        <w:footnoteReference w:id="7"/>
      </w:r>
      <w:r w:rsidRPr="002465C5">
        <w:rPr>
          <w:rFonts w:ascii="Arial" w:hAnsi="Arial" w:cs="Arial"/>
          <w:color w:val="000000"/>
          <w:szCs w:val="24"/>
        </w:rPr>
        <w:t>.</w:t>
      </w:r>
      <w:r w:rsidRPr="002465C5">
        <w:rPr>
          <w:rFonts w:ascii="Arial" w:hAnsi="Arial" w:cs="Arial"/>
          <w:color w:val="000000"/>
          <w:szCs w:val="24"/>
          <w:u w:val="single"/>
        </w:rPr>
        <w:t xml:space="preserve"> </w:t>
      </w:r>
    </w:p>
    <w:p w14:paraId="0D89BDF7" w14:textId="77777777" w:rsidR="001E794C" w:rsidRDefault="001E794C" w:rsidP="008C76C8">
      <w:pPr>
        <w:spacing w:line="288" w:lineRule="auto"/>
        <w:jc w:val="both"/>
        <w:rPr>
          <w:rFonts w:ascii="Arial" w:hAnsi="Arial" w:cs="Arial"/>
          <w:color w:val="000000"/>
          <w:szCs w:val="24"/>
        </w:rPr>
      </w:pPr>
    </w:p>
    <w:p w14:paraId="2E85FC4B" w14:textId="7BF314DC" w:rsidR="0077708E" w:rsidRPr="00076708" w:rsidRDefault="0077708E" w:rsidP="008C76C8">
      <w:pPr>
        <w:spacing w:line="288" w:lineRule="auto"/>
        <w:jc w:val="both"/>
        <w:rPr>
          <w:rFonts w:ascii="Arial" w:hAnsi="Arial" w:cs="Arial"/>
          <w:i/>
          <w:color w:val="000000"/>
          <w:szCs w:val="24"/>
        </w:rPr>
      </w:pPr>
      <w:r w:rsidRPr="00076708">
        <w:rPr>
          <w:rFonts w:ascii="Arial" w:hAnsi="Arial" w:cs="Arial"/>
          <w:color w:val="000000"/>
          <w:szCs w:val="24"/>
        </w:rPr>
        <w:t>Por último, de manera específica para pensiones de sobrevivientes, cuando existe mora en el pago de las cotizaciones por parte del empleador que son indispensables para cumplir la densidad mínima exigida por la ley para causar el derecho, o que de existir dicha mora sea pagada con posterioridad al siniestro, la jurisprudencia actual ha enseñado que</w:t>
      </w:r>
      <w:r w:rsidR="009E3D8F" w:rsidRPr="00076708">
        <w:rPr>
          <w:rFonts w:ascii="Arial" w:hAnsi="Arial" w:cs="Arial"/>
          <w:color w:val="000000"/>
          <w:szCs w:val="24"/>
        </w:rPr>
        <w:t xml:space="preserve"> ante la presencia de tal omisión en el pago que impide el acceso a la prestación, sin que la administradora haya cumplido con su deber legal de cobro, entonces es ésta quien debe asumir el reconocimiento de la pensión y que “</w:t>
      </w:r>
      <w:r w:rsidR="009E3D8F" w:rsidRPr="00076708">
        <w:rPr>
          <w:rFonts w:ascii="Arial" w:hAnsi="Arial" w:cs="Arial"/>
          <w:i/>
          <w:color w:val="000000"/>
          <w:szCs w:val="24"/>
        </w:rPr>
        <w:t xml:space="preserve">los aportes efectuados por el empleador moroso, una vez ha ocurrido el siniestro, tienen </w:t>
      </w:r>
      <w:r w:rsidR="009E3D8F" w:rsidRPr="00076708">
        <w:rPr>
          <w:rFonts w:ascii="Arial" w:hAnsi="Arial" w:cs="Arial"/>
          <w:i/>
          <w:color w:val="000000"/>
          <w:szCs w:val="24"/>
        </w:rPr>
        <w:lastRenderedPageBreak/>
        <w:t>plena validez para cubrir las contingencias que ampara el sistema, ya que la entidad ha debido adelantar las gestiones necesarias y eficientes para lograr su recaudo”</w:t>
      </w:r>
      <w:r w:rsidR="009E3D8F" w:rsidRPr="00076708">
        <w:rPr>
          <w:rStyle w:val="Refdenotaalpie"/>
          <w:rFonts w:ascii="Arial" w:hAnsi="Arial" w:cs="Arial"/>
          <w:i/>
          <w:color w:val="000000"/>
          <w:szCs w:val="24"/>
        </w:rPr>
        <w:footnoteReference w:id="8"/>
      </w:r>
      <w:r w:rsidR="009E3D8F" w:rsidRPr="00076708">
        <w:rPr>
          <w:rFonts w:ascii="Arial" w:hAnsi="Arial" w:cs="Arial"/>
          <w:i/>
          <w:color w:val="000000"/>
          <w:szCs w:val="24"/>
        </w:rPr>
        <w:t>.</w:t>
      </w:r>
    </w:p>
    <w:p w14:paraId="7849721C" w14:textId="77777777" w:rsidR="001E794C" w:rsidRDefault="001E794C" w:rsidP="008C76C8">
      <w:pPr>
        <w:spacing w:line="288" w:lineRule="auto"/>
        <w:jc w:val="both"/>
        <w:rPr>
          <w:rFonts w:ascii="Arial" w:hAnsi="Arial" w:cs="Arial"/>
          <w:color w:val="000000"/>
          <w:szCs w:val="24"/>
        </w:rPr>
      </w:pPr>
    </w:p>
    <w:p w14:paraId="652CA76E" w14:textId="6B50553E" w:rsidR="0077708E" w:rsidRPr="00453DBB" w:rsidRDefault="009E3D8F" w:rsidP="008C76C8">
      <w:pPr>
        <w:spacing w:line="288" w:lineRule="auto"/>
        <w:jc w:val="both"/>
        <w:rPr>
          <w:rFonts w:ascii="Arial" w:hAnsi="Arial" w:cs="Arial"/>
          <w:color w:val="000000"/>
          <w:szCs w:val="24"/>
        </w:rPr>
      </w:pPr>
      <w:r w:rsidRPr="00076708">
        <w:rPr>
          <w:rFonts w:ascii="Arial" w:hAnsi="Arial" w:cs="Arial"/>
          <w:color w:val="000000"/>
          <w:szCs w:val="24"/>
        </w:rPr>
        <w:t>Además, explicó que “</w:t>
      </w:r>
      <w:r w:rsidRPr="001C2146">
        <w:rPr>
          <w:rFonts w:ascii="Arial" w:hAnsi="Arial" w:cs="Arial"/>
          <w:i/>
          <w:color w:val="000000"/>
          <w:sz w:val="22"/>
          <w:szCs w:val="24"/>
        </w:rPr>
        <w:t>pese al reconocimiento pensional que les corresponde, las administradoras conservan el deber de efectuar el cobro de los aportes con los cuales se completó el tiempo requerido para acceder a la pensión de sobrevivientes y de esta manera además, obligar al empleador incumplido a asumir el pago correspondiente. Por ende, tampoco es cierto que la omisión patronal quede indemne, ello depende de la gestión de recaudo de la entidad de seguridad social</w:t>
      </w:r>
      <w:r w:rsidRPr="00076708">
        <w:rPr>
          <w:rFonts w:ascii="Arial" w:hAnsi="Arial" w:cs="Arial"/>
          <w:i/>
          <w:color w:val="000000"/>
          <w:szCs w:val="24"/>
        </w:rPr>
        <w:t>”</w:t>
      </w:r>
      <w:r w:rsidRPr="00076708">
        <w:rPr>
          <w:rStyle w:val="Refdenotaalpie"/>
          <w:rFonts w:ascii="Arial" w:hAnsi="Arial" w:cs="Arial"/>
          <w:i/>
          <w:color w:val="000000"/>
          <w:szCs w:val="24"/>
        </w:rPr>
        <w:footnoteReference w:id="9"/>
      </w:r>
      <w:r w:rsidRPr="00076708">
        <w:rPr>
          <w:rFonts w:ascii="Arial" w:hAnsi="Arial" w:cs="Arial"/>
          <w:i/>
          <w:color w:val="000000"/>
          <w:szCs w:val="24"/>
        </w:rPr>
        <w:t>.</w:t>
      </w:r>
    </w:p>
    <w:p w14:paraId="6DB1A692" w14:textId="77777777" w:rsidR="001C2146" w:rsidRDefault="001C2146" w:rsidP="008C76C8">
      <w:pPr>
        <w:pStyle w:val="Textoindependiente"/>
        <w:spacing w:line="288" w:lineRule="auto"/>
        <w:contextualSpacing/>
        <w:rPr>
          <w:b/>
          <w:iCs/>
          <w:szCs w:val="24"/>
        </w:rPr>
      </w:pPr>
    </w:p>
    <w:p w14:paraId="54A38935" w14:textId="33D44EC3" w:rsidR="00E36882" w:rsidRPr="00E74763" w:rsidRDefault="005E5C86" w:rsidP="008C76C8">
      <w:pPr>
        <w:pStyle w:val="Textoindependiente"/>
        <w:spacing w:line="288" w:lineRule="auto"/>
        <w:contextualSpacing/>
        <w:rPr>
          <w:b/>
          <w:iCs/>
          <w:szCs w:val="24"/>
        </w:rPr>
      </w:pPr>
      <w:r w:rsidRPr="00E74763">
        <w:rPr>
          <w:b/>
          <w:iCs/>
          <w:szCs w:val="24"/>
        </w:rPr>
        <w:t xml:space="preserve">2.3.2. </w:t>
      </w:r>
      <w:r w:rsidR="00917B84" w:rsidRPr="00E74763">
        <w:rPr>
          <w:b/>
          <w:iCs/>
          <w:szCs w:val="24"/>
        </w:rPr>
        <w:t>Fundamento fáctico</w:t>
      </w:r>
    </w:p>
    <w:p w14:paraId="20D398C9" w14:textId="77777777" w:rsidR="004A1E0E" w:rsidRPr="00E74763" w:rsidRDefault="004A1E0E" w:rsidP="008C76C8">
      <w:pPr>
        <w:pStyle w:val="Textoindependiente"/>
        <w:spacing w:line="288" w:lineRule="auto"/>
        <w:contextualSpacing/>
        <w:rPr>
          <w:iCs/>
          <w:szCs w:val="24"/>
        </w:rPr>
      </w:pPr>
    </w:p>
    <w:p w14:paraId="70992B63" w14:textId="0BE5CD5B" w:rsidR="004A1E0E" w:rsidRPr="00E74763" w:rsidRDefault="005F7BC0" w:rsidP="008C76C8">
      <w:pPr>
        <w:pStyle w:val="Textoindependiente"/>
        <w:spacing w:line="288" w:lineRule="auto"/>
        <w:contextualSpacing/>
        <w:rPr>
          <w:iCs/>
          <w:szCs w:val="24"/>
        </w:rPr>
      </w:pPr>
      <w:r w:rsidRPr="00E74763">
        <w:rPr>
          <w:iCs/>
          <w:szCs w:val="24"/>
        </w:rPr>
        <w:t>Entonces, resta</w:t>
      </w:r>
      <w:r w:rsidR="00060F63" w:rsidRPr="00E74763">
        <w:rPr>
          <w:iCs/>
          <w:szCs w:val="24"/>
        </w:rPr>
        <w:t xml:space="preserve"> por analizar si los ciclos de febrero a abril, julio y septiembre de 2007, que se encuentran dentro de</w:t>
      </w:r>
      <w:r w:rsidRPr="00E74763">
        <w:rPr>
          <w:iCs/>
          <w:szCs w:val="24"/>
        </w:rPr>
        <w:t>l lapso de</w:t>
      </w:r>
      <w:r w:rsidR="00060F63" w:rsidRPr="00E74763">
        <w:rPr>
          <w:iCs/>
          <w:szCs w:val="24"/>
        </w:rPr>
        <w:t xml:space="preserve"> la afiliación al sistema del </w:t>
      </w:r>
      <w:proofErr w:type="spellStart"/>
      <w:r w:rsidR="00060F63" w:rsidRPr="00E74763">
        <w:rPr>
          <w:iCs/>
          <w:szCs w:val="24"/>
        </w:rPr>
        <w:t>obitado</w:t>
      </w:r>
      <w:proofErr w:type="spellEnd"/>
      <w:r w:rsidR="00060F63" w:rsidRPr="00E74763">
        <w:rPr>
          <w:iCs/>
          <w:szCs w:val="24"/>
        </w:rPr>
        <w:t>, corresponden a una mora patronal que permita su integraci</w:t>
      </w:r>
      <w:r w:rsidR="00E111E0" w:rsidRPr="00E74763">
        <w:rPr>
          <w:iCs/>
          <w:szCs w:val="24"/>
        </w:rPr>
        <w:t>ón a la historia laboral, como fue alegado en la demanda</w:t>
      </w:r>
      <w:r w:rsidRPr="00E74763">
        <w:rPr>
          <w:iCs/>
          <w:szCs w:val="24"/>
        </w:rPr>
        <w:t xml:space="preserve"> </w:t>
      </w:r>
      <w:r w:rsidR="00607188" w:rsidRPr="00E74763">
        <w:rPr>
          <w:iCs/>
          <w:szCs w:val="24"/>
        </w:rPr>
        <w:t>(</w:t>
      </w:r>
      <w:proofErr w:type="spellStart"/>
      <w:r w:rsidR="00607188" w:rsidRPr="00E74763">
        <w:rPr>
          <w:iCs/>
          <w:szCs w:val="24"/>
        </w:rPr>
        <w:t>fl</w:t>
      </w:r>
      <w:proofErr w:type="spellEnd"/>
      <w:r w:rsidR="00607188" w:rsidRPr="00E74763">
        <w:rPr>
          <w:iCs/>
          <w:szCs w:val="24"/>
        </w:rPr>
        <w:t>. 7 c. 1)</w:t>
      </w:r>
      <w:r w:rsidR="00607188">
        <w:rPr>
          <w:iCs/>
          <w:szCs w:val="24"/>
        </w:rPr>
        <w:t xml:space="preserve"> </w:t>
      </w:r>
      <w:r w:rsidRPr="00E74763">
        <w:rPr>
          <w:iCs/>
          <w:szCs w:val="24"/>
        </w:rPr>
        <w:t xml:space="preserve">y accedido por la </w:t>
      </w:r>
      <w:r w:rsidRPr="00E74763">
        <w:rPr>
          <w:i/>
          <w:iCs/>
          <w:szCs w:val="24"/>
        </w:rPr>
        <w:t>a quo</w:t>
      </w:r>
      <w:r w:rsidR="00E111E0" w:rsidRPr="00E74763">
        <w:rPr>
          <w:iCs/>
          <w:szCs w:val="24"/>
        </w:rPr>
        <w:t xml:space="preserve">. </w:t>
      </w:r>
      <w:r w:rsidR="004A1E0E" w:rsidRPr="00E74763">
        <w:rPr>
          <w:iCs/>
          <w:szCs w:val="24"/>
        </w:rPr>
        <w:t xml:space="preserve">En consecuencia resulta imperativo verificar si </w:t>
      </w:r>
      <w:r w:rsidR="00076708">
        <w:rPr>
          <w:iCs/>
          <w:szCs w:val="24"/>
        </w:rPr>
        <w:t>el fallecido</w:t>
      </w:r>
      <w:r w:rsidR="004A1E0E" w:rsidRPr="00E74763">
        <w:rPr>
          <w:iCs/>
          <w:szCs w:val="24"/>
        </w:rPr>
        <w:t xml:space="preserve"> laboró para el aludido empleador Wilmar Atehortúa Arango </w:t>
      </w:r>
      <w:r w:rsidR="00060F63" w:rsidRPr="00E74763">
        <w:rPr>
          <w:iCs/>
          <w:szCs w:val="24"/>
        </w:rPr>
        <w:t>en dichos ciclos.</w:t>
      </w:r>
    </w:p>
    <w:p w14:paraId="3F226309" w14:textId="77777777" w:rsidR="00060F63" w:rsidRPr="00E74763" w:rsidRDefault="00060F63" w:rsidP="008C76C8">
      <w:pPr>
        <w:pStyle w:val="Textoindependiente"/>
        <w:spacing w:line="288" w:lineRule="auto"/>
        <w:contextualSpacing/>
        <w:rPr>
          <w:iCs/>
          <w:szCs w:val="24"/>
        </w:rPr>
      </w:pPr>
    </w:p>
    <w:p w14:paraId="253E23AB" w14:textId="28A35DB7" w:rsidR="00E36882" w:rsidRPr="00E74763" w:rsidRDefault="00076708" w:rsidP="008C76C8">
      <w:pPr>
        <w:pStyle w:val="Textoindependiente"/>
        <w:spacing w:line="288" w:lineRule="auto"/>
        <w:contextualSpacing/>
        <w:rPr>
          <w:iCs/>
          <w:szCs w:val="24"/>
        </w:rPr>
      </w:pPr>
      <w:r>
        <w:rPr>
          <w:iCs/>
          <w:szCs w:val="24"/>
        </w:rPr>
        <w:t>Es así que</w:t>
      </w:r>
      <w:r w:rsidR="00060F63" w:rsidRPr="00E74763">
        <w:rPr>
          <w:iCs/>
          <w:szCs w:val="24"/>
        </w:rPr>
        <w:t xml:space="preserve"> o</w:t>
      </w:r>
      <w:r w:rsidR="004A1E0E" w:rsidRPr="00E74763">
        <w:rPr>
          <w:iCs/>
          <w:szCs w:val="24"/>
        </w:rPr>
        <w:t xml:space="preserve">bra en el expediente una </w:t>
      </w:r>
      <w:r w:rsidR="006149DA" w:rsidRPr="00E74763">
        <w:rPr>
          <w:iCs/>
          <w:szCs w:val="24"/>
        </w:rPr>
        <w:t xml:space="preserve">comunicación enviada </w:t>
      </w:r>
      <w:r w:rsidR="00941618" w:rsidRPr="00E74763">
        <w:rPr>
          <w:iCs/>
          <w:szCs w:val="24"/>
        </w:rPr>
        <w:t xml:space="preserve">el 27/03/2006 </w:t>
      </w:r>
      <w:r w:rsidR="006149DA" w:rsidRPr="00E74763">
        <w:rPr>
          <w:iCs/>
          <w:szCs w:val="24"/>
        </w:rPr>
        <w:t>por Salud Total</w:t>
      </w:r>
      <w:r w:rsidR="00941618" w:rsidRPr="00E74763">
        <w:rPr>
          <w:iCs/>
          <w:szCs w:val="24"/>
        </w:rPr>
        <w:t xml:space="preserve"> </w:t>
      </w:r>
      <w:r w:rsidR="007E5D91" w:rsidRPr="00E74763">
        <w:rPr>
          <w:iCs/>
          <w:szCs w:val="24"/>
        </w:rPr>
        <w:t>al fallecido en el que certificó</w:t>
      </w:r>
      <w:r w:rsidR="00941618" w:rsidRPr="00E74763">
        <w:rPr>
          <w:iCs/>
          <w:szCs w:val="24"/>
        </w:rPr>
        <w:t xml:space="preserve"> que se </w:t>
      </w:r>
      <w:r w:rsidR="007E5D91" w:rsidRPr="00E74763">
        <w:rPr>
          <w:iCs/>
          <w:szCs w:val="24"/>
        </w:rPr>
        <w:t>encontraba inscrito</w:t>
      </w:r>
      <w:r w:rsidR="00941618" w:rsidRPr="00E74763">
        <w:rPr>
          <w:iCs/>
          <w:szCs w:val="24"/>
        </w:rPr>
        <w:t xml:space="preserve"> como trabajador dependiente de “</w:t>
      </w:r>
      <w:r w:rsidR="00941618" w:rsidRPr="00E74763">
        <w:rPr>
          <w:i/>
          <w:iCs/>
          <w:szCs w:val="24"/>
        </w:rPr>
        <w:t xml:space="preserve">Arte Floral </w:t>
      </w:r>
      <w:r w:rsidR="001B3E0B" w:rsidRPr="00E74763">
        <w:rPr>
          <w:i/>
          <w:iCs/>
          <w:szCs w:val="24"/>
        </w:rPr>
        <w:t>Floristería</w:t>
      </w:r>
      <w:r w:rsidR="00941618" w:rsidRPr="00E74763">
        <w:rPr>
          <w:i/>
          <w:iCs/>
          <w:szCs w:val="24"/>
        </w:rPr>
        <w:t xml:space="preserve"> y/o Wilmar </w:t>
      </w:r>
      <w:proofErr w:type="spellStart"/>
      <w:r w:rsidR="00941618" w:rsidRPr="00E74763">
        <w:rPr>
          <w:i/>
          <w:iCs/>
          <w:szCs w:val="24"/>
        </w:rPr>
        <w:t>Atehortúa</w:t>
      </w:r>
      <w:proofErr w:type="spellEnd"/>
      <w:r w:rsidR="00941618" w:rsidRPr="00E74763">
        <w:rPr>
          <w:i/>
          <w:iCs/>
          <w:szCs w:val="24"/>
        </w:rPr>
        <w:t xml:space="preserve"> Arang</w:t>
      </w:r>
      <w:r w:rsidR="001B3E0B">
        <w:rPr>
          <w:i/>
          <w:iCs/>
          <w:szCs w:val="24"/>
        </w:rPr>
        <w:t>o</w:t>
      </w:r>
      <w:r w:rsidR="00941618" w:rsidRPr="00E74763">
        <w:rPr>
          <w:i/>
          <w:iCs/>
          <w:szCs w:val="24"/>
        </w:rPr>
        <w:t xml:space="preserve">”, </w:t>
      </w:r>
      <w:r w:rsidR="00941618" w:rsidRPr="00E74763">
        <w:rPr>
          <w:iCs/>
          <w:szCs w:val="24"/>
        </w:rPr>
        <w:t>en la que se registra como fecha de ingreso a laborar el 16/03/2006 (</w:t>
      </w:r>
      <w:proofErr w:type="spellStart"/>
      <w:r w:rsidR="00941618" w:rsidRPr="00E74763">
        <w:rPr>
          <w:iCs/>
          <w:szCs w:val="24"/>
        </w:rPr>
        <w:t>fl</w:t>
      </w:r>
      <w:proofErr w:type="spellEnd"/>
      <w:r w:rsidR="00941618" w:rsidRPr="00E74763">
        <w:rPr>
          <w:iCs/>
          <w:szCs w:val="24"/>
        </w:rPr>
        <w:t>. 38 c. 1).</w:t>
      </w:r>
    </w:p>
    <w:p w14:paraId="5BEB10F7" w14:textId="77777777" w:rsidR="00941618" w:rsidRPr="00E74763" w:rsidRDefault="00941618" w:rsidP="008C76C8">
      <w:pPr>
        <w:pStyle w:val="Textoindependiente"/>
        <w:spacing w:line="288" w:lineRule="auto"/>
        <w:contextualSpacing/>
        <w:rPr>
          <w:iCs/>
          <w:szCs w:val="24"/>
        </w:rPr>
      </w:pPr>
    </w:p>
    <w:p w14:paraId="63F6B642" w14:textId="5714EA99" w:rsidR="00941618" w:rsidRPr="00076708" w:rsidRDefault="005F7BC0" w:rsidP="008C76C8">
      <w:pPr>
        <w:pStyle w:val="Textoindependiente"/>
        <w:spacing w:line="288" w:lineRule="auto"/>
        <w:contextualSpacing/>
        <w:rPr>
          <w:iCs/>
          <w:szCs w:val="24"/>
        </w:rPr>
      </w:pPr>
      <w:r w:rsidRPr="00E74763">
        <w:rPr>
          <w:iCs/>
          <w:szCs w:val="24"/>
        </w:rPr>
        <w:t xml:space="preserve">También </w:t>
      </w:r>
      <w:r w:rsidR="00941618" w:rsidRPr="00E74763">
        <w:rPr>
          <w:iCs/>
          <w:szCs w:val="24"/>
        </w:rPr>
        <w:t>una respuesta emitida por la m</w:t>
      </w:r>
      <w:r w:rsidRPr="00E74763">
        <w:rPr>
          <w:iCs/>
          <w:szCs w:val="24"/>
        </w:rPr>
        <w:t>isma entidad el 28/08/2012 en la</w:t>
      </w:r>
      <w:r w:rsidR="00941618" w:rsidRPr="00E74763">
        <w:rPr>
          <w:iCs/>
          <w:szCs w:val="24"/>
        </w:rPr>
        <w:t xml:space="preserve"> que se informa que se realizaron los aportes al sistema de seguridad social en salud a favor del </w:t>
      </w:r>
      <w:proofErr w:type="spellStart"/>
      <w:r w:rsidR="00941618" w:rsidRPr="00E74763">
        <w:rPr>
          <w:iCs/>
          <w:szCs w:val="24"/>
        </w:rPr>
        <w:t>obitado</w:t>
      </w:r>
      <w:proofErr w:type="spellEnd"/>
      <w:r w:rsidR="00941618" w:rsidRPr="00E74763">
        <w:rPr>
          <w:iCs/>
          <w:szCs w:val="24"/>
        </w:rPr>
        <w:t xml:space="preserve"> y a cargo del aportante “</w:t>
      </w:r>
      <w:r w:rsidR="00941618" w:rsidRPr="00E74763">
        <w:rPr>
          <w:i/>
          <w:iCs/>
          <w:szCs w:val="24"/>
        </w:rPr>
        <w:t xml:space="preserve">Wilmar </w:t>
      </w:r>
      <w:proofErr w:type="spellStart"/>
      <w:r w:rsidR="00941618" w:rsidRPr="00E74763">
        <w:rPr>
          <w:i/>
          <w:iCs/>
          <w:szCs w:val="24"/>
        </w:rPr>
        <w:t>Atehortua</w:t>
      </w:r>
      <w:proofErr w:type="spellEnd"/>
      <w:r w:rsidR="00941618" w:rsidRPr="00E74763">
        <w:rPr>
          <w:i/>
          <w:iCs/>
          <w:szCs w:val="24"/>
        </w:rPr>
        <w:t xml:space="preserve"> Arango”</w:t>
      </w:r>
      <w:r w:rsidR="00941618" w:rsidRPr="00E74763">
        <w:rPr>
          <w:iCs/>
          <w:szCs w:val="24"/>
        </w:rPr>
        <w:t xml:space="preserve"> así: </w:t>
      </w:r>
      <w:r w:rsidR="00060F63" w:rsidRPr="00E74763">
        <w:rPr>
          <w:iCs/>
          <w:szCs w:val="24"/>
        </w:rPr>
        <w:t>30 días para febrero, marzo y abril,</w:t>
      </w:r>
      <w:r w:rsidR="00941618" w:rsidRPr="00E74763">
        <w:rPr>
          <w:iCs/>
          <w:szCs w:val="24"/>
        </w:rPr>
        <w:t xml:space="preserve"> luego una cotización por 1 día para el ciclo de julio de 2007 y 15 días para </w:t>
      </w:r>
      <w:r w:rsidR="00941618" w:rsidRPr="00607188">
        <w:rPr>
          <w:iCs/>
          <w:szCs w:val="24"/>
        </w:rPr>
        <w:t>septiembre de ese año (</w:t>
      </w:r>
      <w:proofErr w:type="spellStart"/>
      <w:r w:rsidR="00941618" w:rsidRPr="00607188">
        <w:rPr>
          <w:iCs/>
          <w:szCs w:val="24"/>
        </w:rPr>
        <w:t>fl</w:t>
      </w:r>
      <w:proofErr w:type="spellEnd"/>
      <w:r w:rsidR="00941618" w:rsidRPr="00607188">
        <w:rPr>
          <w:iCs/>
          <w:szCs w:val="24"/>
        </w:rPr>
        <w:t>. 39 c. 1)</w:t>
      </w:r>
      <w:r w:rsidR="00891BE5" w:rsidRPr="00607188">
        <w:rPr>
          <w:iCs/>
          <w:szCs w:val="24"/>
        </w:rPr>
        <w:t xml:space="preserve">, última cotización </w:t>
      </w:r>
      <w:r w:rsidR="00302F19" w:rsidRPr="00607188">
        <w:rPr>
          <w:iCs/>
          <w:szCs w:val="24"/>
        </w:rPr>
        <w:t xml:space="preserve">a salud </w:t>
      </w:r>
      <w:r w:rsidR="00891BE5" w:rsidRPr="00607188">
        <w:rPr>
          <w:iCs/>
          <w:szCs w:val="24"/>
        </w:rPr>
        <w:t xml:space="preserve">que pagó el día 4 de septiembre de 2007, esto es, 12 días antes de que </w:t>
      </w:r>
      <w:proofErr w:type="spellStart"/>
      <w:r w:rsidR="00891BE5" w:rsidRPr="00607188">
        <w:rPr>
          <w:iCs/>
          <w:szCs w:val="24"/>
        </w:rPr>
        <w:t>Yobany</w:t>
      </w:r>
      <w:proofErr w:type="spellEnd"/>
      <w:r w:rsidR="00891BE5" w:rsidRPr="00607188">
        <w:rPr>
          <w:iCs/>
          <w:szCs w:val="24"/>
        </w:rPr>
        <w:t xml:space="preserve"> Antonio Trejos Sánchez falleciera </w:t>
      </w:r>
      <w:r w:rsidR="00891BE5" w:rsidRPr="00607188">
        <w:rPr>
          <w:szCs w:val="24"/>
        </w:rPr>
        <w:t>(</w:t>
      </w:r>
      <w:proofErr w:type="spellStart"/>
      <w:r w:rsidR="00891BE5" w:rsidRPr="00607188">
        <w:rPr>
          <w:szCs w:val="24"/>
        </w:rPr>
        <w:t>fl</w:t>
      </w:r>
      <w:proofErr w:type="spellEnd"/>
      <w:r w:rsidR="00891BE5" w:rsidRPr="00607188">
        <w:rPr>
          <w:szCs w:val="24"/>
        </w:rPr>
        <w:t>. 28 c. 1</w:t>
      </w:r>
      <w:r w:rsidR="00891BE5" w:rsidRPr="00076708">
        <w:rPr>
          <w:szCs w:val="24"/>
        </w:rPr>
        <w:t>). D</w:t>
      </w:r>
      <w:r w:rsidR="00891BE5" w:rsidRPr="00076708">
        <w:rPr>
          <w:iCs/>
          <w:szCs w:val="24"/>
        </w:rPr>
        <w:t xml:space="preserve">ocumento que si bien contiene el pago de aportes a salud para los meses de noviembre y diciembre del año 2007, es decir, dos meses después de fallecido </w:t>
      </w:r>
      <w:proofErr w:type="spellStart"/>
      <w:r w:rsidR="00891BE5" w:rsidRPr="00076708">
        <w:rPr>
          <w:iCs/>
          <w:szCs w:val="24"/>
        </w:rPr>
        <w:t>Yobany</w:t>
      </w:r>
      <w:proofErr w:type="spellEnd"/>
      <w:r w:rsidR="00891BE5" w:rsidRPr="00076708">
        <w:rPr>
          <w:iCs/>
          <w:szCs w:val="24"/>
        </w:rPr>
        <w:t xml:space="preserve"> Antonio Trejos</w:t>
      </w:r>
      <w:r w:rsidR="00057494">
        <w:rPr>
          <w:iCs/>
          <w:szCs w:val="24"/>
        </w:rPr>
        <w:t xml:space="preserve"> Sánchez, </w:t>
      </w:r>
      <w:r w:rsidR="00891BE5" w:rsidRPr="00076708">
        <w:rPr>
          <w:iCs/>
          <w:szCs w:val="24"/>
        </w:rPr>
        <w:t>tal documento no pierde fue</w:t>
      </w:r>
      <w:r w:rsidR="00076708">
        <w:rPr>
          <w:iCs/>
          <w:szCs w:val="24"/>
        </w:rPr>
        <w:t>rza probatoria, al ser analizada</w:t>
      </w:r>
      <w:r w:rsidR="00891BE5" w:rsidRPr="00076708">
        <w:rPr>
          <w:iCs/>
          <w:szCs w:val="24"/>
        </w:rPr>
        <w:t xml:space="preserve"> con la restante probanza</w:t>
      </w:r>
      <w:r w:rsidR="00941618" w:rsidRPr="00076708">
        <w:rPr>
          <w:iCs/>
          <w:szCs w:val="24"/>
        </w:rPr>
        <w:t>.</w:t>
      </w:r>
    </w:p>
    <w:p w14:paraId="0ABAFCB6" w14:textId="77777777" w:rsidR="00E111E0" w:rsidRPr="00076708" w:rsidRDefault="00E111E0" w:rsidP="008C76C8">
      <w:pPr>
        <w:pStyle w:val="Textoindependiente"/>
        <w:spacing w:line="288" w:lineRule="auto"/>
        <w:contextualSpacing/>
        <w:rPr>
          <w:iCs/>
          <w:szCs w:val="24"/>
        </w:rPr>
      </w:pPr>
    </w:p>
    <w:p w14:paraId="427D99D3" w14:textId="431DC7B5" w:rsidR="004A1E0E" w:rsidRPr="00E74763" w:rsidRDefault="00891BE5" w:rsidP="008C76C8">
      <w:pPr>
        <w:pStyle w:val="Textoindependiente"/>
        <w:spacing w:line="288" w:lineRule="auto"/>
        <w:contextualSpacing/>
        <w:rPr>
          <w:iCs/>
          <w:szCs w:val="24"/>
        </w:rPr>
      </w:pPr>
      <w:r w:rsidRPr="00076708">
        <w:rPr>
          <w:iCs/>
          <w:szCs w:val="24"/>
        </w:rPr>
        <w:t>En efecto,</w:t>
      </w:r>
      <w:r w:rsidR="00F87B53" w:rsidRPr="00076708">
        <w:rPr>
          <w:iCs/>
          <w:szCs w:val="24"/>
        </w:rPr>
        <w:t xml:space="preserve"> en tanto el demandado </w:t>
      </w:r>
      <w:r w:rsidR="004A1E0E" w:rsidRPr="00076708">
        <w:rPr>
          <w:iCs/>
          <w:szCs w:val="24"/>
        </w:rPr>
        <w:t xml:space="preserve">Wilmar Atehortúa Arango </w:t>
      </w:r>
      <w:r w:rsidR="00F87B53" w:rsidRPr="00076708">
        <w:rPr>
          <w:iCs/>
          <w:szCs w:val="24"/>
        </w:rPr>
        <w:t>no contestó l</w:t>
      </w:r>
      <w:r w:rsidR="004A1E0E" w:rsidRPr="00076708">
        <w:rPr>
          <w:iCs/>
          <w:szCs w:val="24"/>
        </w:rPr>
        <w:t xml:space="preserve">a demanda y no </w:t>
      </w:r>
      <w:r w:rsidR="00F87B53" w:rsidRPr="00076708">
        <w:rPr>
          <w:iCs/>
          <w:szCs w:val="24"/>
        </w:rPr>
        <w:t>asistió</w:t>
      </w:r>
      <w:r w:rsidR="004A1E0E" w:rsidRPr="00076708">
        <w:rPr>
          <w:iCs/>
          <w:szCs w:val="24"/>
        </w:rPr>
        <w:t xml:space="preserve"> a la audiencia de conciliación (</w:t>
      </w:r>
      <w:proofErr w:type="spellStart"/>
      <w:r w:rsidR="004A1E0E" w:rsidRPr="00076708">
        <w:rPr>
          <w:iCs/>
          <w:szCs w:val="24"/>
        </w:rPr>
        <w:t>fls</w:t>
      </w:r>
      <w:proofErr w:type="spellEnd"/>
      <w:r w:rsidR="004A1E0E" w:rsidRPr="00076708">
        <w:rPr>
          <w:iCs/>
          <w:szCs w:val="24"/>
        </w:rPr>
        <w:t>. 350 c. 1),</w:t>
      </w:r>
      <w:r w:rsidR="00F87B53" w:rsidRPr="00076708">
        <w:rPr>
          <w:iCs/>
          <w:szCs w:val="24"/>
        </w:rPr>
        <w:t xml:space="preserve"> pese a haber sido notificado personalmente (</w:t>
      </w:r>
      <w:proofErr w:type="spellStart"/>
      <w:r w:rsidR="00F87B53" w:rsidRPr="00076708">
        <w:rPr>
          <w:iCs/>
          <w:szCs w:val="24"/>
        </w:rPr>
        <w:t>fl</w:t>
      </w:r>
      <w:proofErr w:type="spellEnd"/>
      <w:r w:rsidR="00F87B53" w:rsidRPr="00076708">
        <w:rPr>
          <w:iCs/>
          <w:szCs w:val="24"/>
        </w:rPr>
        <w:t>. 325 c. 1),</w:t>
      </w:r>
      <w:r w:rsidR="004A1E0E" w:rsidRPr="00076708">
        <w:rPr>
          <w:iCs/>
          <w:szCs w:val="24"/>
        </w:rPr>
        <w:t xml:space="preserve"> </w:t>
      </w:r>
      <w:r w:rsidR="00607188" w:rsidRPr="00076708">
        <w:rPr>
          <w:iCs/>
          <w:szCs w:val="24"/>
        </w:rPr>
        <w:t xml:space="preserve">entonces </w:t>
      </w:r>
      <w:r w:rsidR="00F87B53" w:rsidRPr="00076708">
        <w:rPr>
          <w:iCs/>
          <w:szCs w:val="24"/>
        </w:rPr>
        <w:t>se presumieron</w:t>
      </w:r>
      <w:r w:rsidR="004A1E0E" w:rsidRPr="00076708">
        <w:rPr>
          <w:iCs/>
          <w:szCs w:val="24"/>
        </w:rPr>
        <w:t xml:space="preserve"> ciertos los hechos </w:t>
      </w:r>
      <w:r w:rsidR="00F87B53" w:rsidRPr="00076708">
        <w:rPr>
          <w:iCs/>
          <w:szCs w:val="24"/>
        </w:rPr>
        <w:t>de la demanda susceptibles</w:t>
      </w:r>
      <w:r w:rsidRPr="00076708">
        <w:rPr>
          <w:iCs/>
          <w:szCs w:val="24"/>
        </w:rPr>
        <w:t xml:space="preserve"> de confesión</w:t>
      </w:r>
      <w:r w:rsidRPr="00453DBB">
        <w:rPr>
          <w:iCs/>
          <w:szCs w:val="24"/>
        </w:rPr>
        <w:t xml:space="preserve">, </w:t>
      </w:r>
      <w:r w:rsidR="00076708">
        <w:rPr>
          <w:iCs/>
          <w:szCs w:val="24"/>
        </w:rPr>
        <w:t xml:space="preserve">respecto de los hechos que le son propios (art. 192 del C.G.P.), </w:t>
      </w:r>
      <w:r w:rsidRPr="00453DBB">
        <w:rPr>
          <w:iCs/>
          <w:szCs w:val="24"/>
        </w:rPr>
        <w:t>entre ellos, que</w:t>
      </w:r>
      <w:r w:rsidR="004A1E0E" w:rsidRPr="00E74763">
        <w:rPr>
          <w:iCs/>
          <w:szCs w:val="24"/>
        </w:rPr>
        <w:t xml:space="preserve"> durante el año previo al fallecimiento de </w:t>
      </w:r>
      <w:proofErr w:type="spellStart"/>
      <w:r w:rsidR="004A1E0E" w:rsidRPr="00E74763">
        <w:rPr>
          <w:iCs/>
          <w:szCs w:val="24"/>
        </w:rPr>
        <w:t>Yobany</w:t>
      </w:r>
      <w:proofErr w:type="spellEnd"/>
      <w:r w:rsidR="004A1E0E" w:rsidRPr="00E74763">
        <w:rPr>
          <w:iCs/>
          <w:szCs w:val="24"/>
        </w:rPr>
        <w:t xml:space="preserve"> Antonio Trejos Sánchez laboró en el establecimiento Arte Floral </w:t>
      </w:r>
      <w:proofErr w:type="spellStart"/>
      <w:r w:rsidR="004A1E0E" w:rsidRPr="00E74763">
        <w:rPr>
          <w:iCs/>
          <w:szCs w:val="24"/>
        </w:rPr>
        <w:t>Floristeria</w:t>
      </w:r>
      <w:proofErr w:type="spellEnd"/>
      <w:r w:rsidR="004A1E0E" w:rsidRPr="00E74763">
        <w:rPr>
          <w:iCs/>
          <w:szCs w:val="24"/>
        </w:rPr>
        <w:t>, como mensajero y ay</w:t>
      </w:r>
      <w:r w:rsidR="00060F63" w:rsidRPr="00E74763">
        <w:rPr>
          <w:iCs/>
          <w:szCs w:val="24"/>
        </w:rPr>
        <w:t xml:space="preserve">udante de elaboración de ramos; </w:t>
      </w:r>
      <w:r w:rsidR="004A1E0E" w:rsidRPr="00E74763">
        <w:rPr>
          <w:iCs/>
          <w:szCs w:val="24"/>
        </w:rPr>
        <w:t>que Wilmar Ateho</w:t>
      </w:r>
      <w:r w:rsidR="00060F63" w:rsidRPr="00E74763">
        <w:rPr>
          <w:iCs/>
          <w:szCs w:val="24"/>
        </w:rPr>
        <w:t>rtúa Arango le impartía órdenes;</w:t>
      </w:r>
      <w:r w:rsidR="004A1E0E" w:rsidRPr="00E74763">
        <w:rPr>
          <w:iCs/>
          <w:szCs w:val="24"/>
        </w:rPr>
        <w:t xml:space="preserve"> que dicho empleador pagó </w:t>
      </w:r>
      <w:r w:rsidR="004A1E0E" w:rsidRPr="00E74763">
        <w:rPr>
          <w:i/>
          <w:iCs/>
          <w:szCs w:val="24"/>
        </w:rPr>
        <w:t>“ciertos periodos</w:t>
      </w:r>
      <w:r w:rsidR="004A1E0E" w:rsidRPr="00E74763">
        <w:rPr>
          <w:iCs/>
          <w:szCs w:val="24"/>
        </w:rPr>
        <w:t>” al Siste</w:t>
      </w:r>
      <w:r w:rsidR="00060F63" w:rsidRPr="00E74763">
        <w:rPr>
          <w:iCs/>
          <w:szCs w:val="24"/>
        </w:rPr>
        <w:t>ma de Seguridad Social Integral;</w:t>
      </w:r>
      <w:r w:rsidR="004A1E0E" w:rsidRPr="00E74763">
        <w:rPr>
          <w:iCs/>
          <w:szCs w:val="24"/>
        </w:rPr>
        <w:t xml:space="preserve"> </w:t>
      </w:r>
      <w:r w:rsidR="00F87B53" w:rsidRPr="00E74763">
        <w:rPr>
          <w:iCs/>
          <w:szCs w:val="24"/>
        </w:rPr>
        <w:t>que los ciclos faltantes de aportes en pensión sí fueron cotizados a salud, esto es, desde el 15/04/2006 hasta el 15/09/2007.</w:t>
      </w:r>
    </w:p>
    <w:p w14:paraId="58501B36" w14:textId="3EB81708" w:rsidR="00891BE5" w:rsidRPr="00E74763" w:rsidRDefault="00891BE5" w:rsidP="008C76C8">
      <w:pPr>
        <w:pStyle w:val="Textoindependiente"/>
        <w:spacing w:line="288" w:lineRule="auto"/>
        <w:contextualSpacing/>
        <w:rPr>
          <w:iCs/>
          <w:szCs w:val="24"/>
        </w:rPr>
      </w:pPr>
    </w:p>
    <w:p w14:paraId="28AF57B3" w14:textId="51474278" w:rsidR="005F7BC0" w:rsidRPr="00E74763" w:rsidRDefault="005F7BC0" w:rsidP="008C76C8">
      <w:pPr>
        <w:pStyle w:val="Textoindependiente"/>
        <w:spacing w:line="288" w:lineRule="auto"/>
        <w:contextualSpacing/>
        <w:rPr>
          <w:iCs/>
          <w:szCs w:val="24"/>
        </w:rPr>
      </w:pPr>
      <w:r w:rsidRPr="00E74763">
        <w:rPr>
          <w:iCs/>
          <w:szCs w:val="24"/>
        </w:rPr>
        <w:t xml:space="preserve">Refuerza lo anterior los testimonios de </w:t>
      </w:r>
      <w:proofErr w:type="spellStart"/>
      <w:r w:rsidRPr="00E74763">
        <w:rPr>
          <w:iCs/>
          <w:szCs w:val="24"/>
        </w:rPr>
        <w:t>Claribel</w:t>
      </w:r>
      <w:proofErr w:type="spellEnd"/>
      <w:r w:rsidRPr="00E74763">
        <w:rPr>
          <w:iCs/>
          <w:szCs w:val="24"/>
        </w:rPr>
        <w:t xml:space="preserve"> Beltrán Arroyave </w:t>
      </w:r>
      <w:r w:rsidR="001B3E0B">
        <w:rPr>
          <w:iCs/>
          <w:szCs w:val="24"/>
        </w:rPr>
        <w:t>-</w:t>
      </w:r>
      <w:r w:rsidRPr="00E74763">
        <w:rPr>
          <w:iCs/>
          <w:szCs w:val="24"/>
        </w:rPr>
        <w:t>que adujo ser prima de la demandante-</w:t>
      </w:r>
      <w:r w:rsidR="001B3E0B">
        <w:rPr>
          <w:iCs/>
          <w:szCs w:val="24"/>
        </w:rPr>
        <w:t xml:space="preserve"> y Sandra Milena Gómez Morales -</w:t>
      </w:r>
      <w:r w:rsidRPr="00E74763">
        <w:rPr>
          <w:iCs/>
          <w:szCs w:val="24"/>
        </w:rPr>
        <w:t xml:space="preserve">vecina-, que coincidieron en afirmar que el </w:t>
      </w:r>
      <w:proofErr w:type="spellStart"/>
      <w:r w:rsidRPr="00E74763">
        <w:rPr>
          <w:iCs/>
          <w:szCs w:val="24"/>
        </w:rPr>
        <w:t>obitado</w:t>
      </w:r>
      <w:proofErr w:type="spellEnd"/>
      <w:r w:rsidRPr="00E74763">
        <w:rPr>
          <w:iCs/>
          <w:szCs w:val="24"/>
        </w:rPr>
        <w:t xml:space="preserve"> laboraba en la mencionada floristería y que su empleador era Wilmar </w:t>
      </w:r>
      <w:proofErr w:type="spellStart"/>
      <w:r w:rsidRPr="00E74763">
        <w:rPr>
          <w:iCs/>
          <w:szCs w:val="24"/>
        </w:rPr>
        <w:t>Atehortua</w:t>
      </w:r>
      <w:proofErr w:type="spellEnd"/>
      <w:r w:rsidRPr="00E74763">
        <w:rPr>
          <w:iCs/>
          <w:szCs w:val="24"/>
        </w:rPr>
        <w:t xml:space="preserve"> Arango, conocimiento que ostentaban porque acompañaban a María Zoraida Arroyave Loaiza a llevar</w:t>
      </w:r>
      <w:r w:rsidR="00607188">
        <w:rPr>
          <w:iCs/>
          <w:szCs w:val="24"/>
        </w:rPr>
        <w:t>le</w:t>
      </w:r>
      <w:r w:rsidRPr="00E74763">
        <w:rPr>
          <w:iCs/>
          <w:szCs w:val="24"/>
        </w:rPr>
        <w:t xml:space="preserve"> el almuerzo el fin de semana, sin que se advierta contradicción alguna entre las deponentes pues su conocimiento fue directo y coherente con el hecho principal escrutado. De cara el recurso de apelación, es preciso resaltar que los medios de prueba allegados al proceso de ninguna manera pueden restringirse en su fuerza probatoria a un solo hecho, pues si de los mismos puede acreditarse otras afirmaciones, mal haría esta Colegiatura en hac</w:t>
      </w:r>
      <w:r w:rsidR="00607188">
        <w:rPr>
          <w:iCs/>
          <w:szCs w:val="24"/>
        </w:rPr>
        <w:t>er caso omiso al contenido de la</w:t>
      </w:r>
      <w:r w:rsidRPr="00E74763">
        <w:rPr>
          <w:iCs/>
          <w:szCs w:val="24"/>
        </w:rPr>
        <w:t>s pr</w:t>
      </w:r>
      <w:r w:rsidR="00607188">
        <w:rPr>
          <w:iCs/>
          <w:szCs w:val="24"/>
        </w:rPr>
        <w:t>ue</w:t>
      </w:r>
      <w:r w:rsidRPr="00E74763">
        <w:rPr>
          <w:iCs/>
          <w:szCs w:val="24"/>
        </w:rPr>
        <w:t>ba</w:t>
      </w:r>
      <w:r w:rsidR="00607188">
        <w:rPr>
          <w:iCs/>
          <w:szCs w:val="24"/>
        </w:rPr>
        <w:t>s</w:t>
      </w:r>
      <w:r w:rsidRPr="00E74763">
        <w:rPr>
          <w:iCs/>
          <w:szCs w:val="24"/>
        </w:rPr>
        <w:t xml:space="preserve"> allegad</w:t>
      </w:r>
      <w:r w:rsidR="00607188">
        <w:rPr>
          <w:iCs/>
          <w:szCs w:val="24"/>
        </w:rPr>
        <w:t>a</w:t>
      </w:r>
      <w:r w:rsidRPr="00E74763">
        <w:rPr>
          <w:iCs/>
          <w:szCs w:val="24"/>
        </w:rPr>
        <w:t>s.</w:t>
      </w:r>
    </w:p>
    <w:p w14:paraId="72DE4E14" w14:textId="77777777" w:rsidR="005E5C86" w:rsidRPr="00E74763" w:rsidRDefault="005E5C86" w:rsidP="008C76C8">
      <w:pPr>
        <w:pStyle w:val="Textoindependiente"/>
        <w:spacing w:line="288" w:lineRule="auto"/>
        <w:contextualSpacing/>
        <w:rPr>
          <w:iCs/>
          <w:szCs w:val="24"/>
        </w:rPr>
      </w:pPr>
    </w:p>
    <w:p w14:paraId="69C42E50" w14:textId="566A4842" w:rsidR="00E111E0" w:rsidRPr="00E74763" w:rsidRDefault="005F7BC0" w:rsidP="008C76C8">
      <w:pPr>
        <w:pStyle w:val="Textoindependiente"/>
        <w:spacing w:line="288" w:lineRule="auto"/>
        <w:contextualSpacing/>
        <w:rPr>
          <w:iCs/>
          <w:szCs w:val="24"/>
        </w:rPr>
      </w:pPr>
      <w:r w:rsidRPr="00E74763">
        <w:rPr>
          <w:iCs/>
          <w:szCs w:val="24"/>
        </w:rPr>
        <w:t>Puestas de ese modo las cosas,</w:t>
      </w:r>
      <w:r w:rsidR="00F87B53" w:rsidRPr="00E74763">
        <w:rPr>
          <w:iCs/>
          <w:szCs w:val="24"/>
        </w:rPr>
        <w:t xml:space="preserve"> la documental </w:t>
      </w:r>
      <w:r w:rsidRPr="00E74763">
        <w:rPr>
          <w:iCs/>
          <w:szCs w:val="24"/>
        </w:rPr>
        <w:t xml:space="preserve">y testimonial </w:t>
      </w:r>
      <w:r w:rsidR="00F87B53" w:rsidRPr="00E74763">
        <w:rPr>
          <w:iCs/>
          <w:szCs w:val="24"/>
        </w:rPr>
        <w:t xml:space="preserve">atrás referida analizada en conjunto con las consecuencias del demandado por no haber contestado la demanda y no haber asistido a la audiencia de conciliación </w:t>
      </w:r>
      <w:r w:rsidR="00076708">
        <w:rPr>
          <w:iCs/>
          <w:szCs w:val="24"/>
        </w:rPr>
        <w:t>y los indicios ante la mora intermitente en el pago de pensiones que se desprende al estar acreditado el pago de aportes de enero, febrero, marzo, mayo, junio y agosto de 2007 (</w:t>
      </w:r>
      <w:proofErr w:type="spellStart"/>
      <w:r w:rsidR="00076708">
        <w:rPr>
          <w:iCs/>
          <w:szCs w:val="24"/>
        </w:rPr>
        <w:t>fl</w:t>
      </w:r>
      <w:proofErr w:type="spellEnd"/>
      <w:r w:rsidR="00076708">
        <w:rPr>
          <w:iCs/>
          <w:szCs w:val="24"/>
        </w:rPr>
        <w:t>. 152, 278 a 284 c. 1) que refieren a la historia laboral y a la planillas de pagos (</w:t>
      </w:r>
      <w:proofErr w:type="spellStart"/>
      <w:r w:rsidR="00076708">
        <w:rPr>
          <w:iCs/>
          <w:szCs w:val="24"/>
        </w:rPr>
        <w:t>fl</w:t>
      </w:r>
      <w:proofErr w:type="spellEnd"/>
      <w:r w:rsidR="00076708">
        <w:rPr>
          <w:iCs/>
          <w:szCs w:val="24"/>
        </w:rPr>
        <w:t xml:space="preserve">. 134 c. 1), más el pago ininterrumpido a los aportes a salud de abril de 2006 a septiembre de 2007, </w:t>
      </w:r>
      <w:r w:rsidR="00F87B53" w:rsidRPr="00E74763">
        <w:rPr>
          <w:iCs/>
          <w:szCs w:val="24"/>
        </w:rPr>
        <w:t>permiten inferir que el fallecido prestó sus servicios a favor de Wilmar Atehortúa Arango,</w:t>
      </w:r>
      <w:r w:rsidRPr="00E74763">
        <w:rPr>
          <w:iCs/>
          <w:szCs w:val="24"/>
        </w:rPr>
        <w:t xml:space="preserve"> </w:t>
      </w:r>
      <w:r w:rsidR="00E111E0" w:rsidRPr="00E74763">
        <w:rPr>
          <w:iCs/>
          <w:szCs w:val="24"/>
        </w:rPr>
        <w:t xml:space="preserve">y por ende deberán contabilizarse dichos ciclos de la siguiente manera: </w:t>
      </w:r>
    </w:p>
    <w:p w14:paraId="2631AD6C" w14:textId="77777777" w:rsidR="00E111E0" w:rsidRPr="00E74763" w:rsidRDefault="00E111E0" w:rsidP="008C76C8">
      <w:pPr>
        <w:pStyle w:val="Textoindependiente"/>
        <w:spacing w:line="288" w:lineRule="auto"/>
        <w:contextualSpacing/>
        <w:rPr>
          <w:iCs/>
          <w:szCs w:val="24"/>
        </w:rPr>
      </w:pPr>
    </w:p>
    <w:tbl>
      <w:tblPr>
        <w:tblStyle w:val="Tablaconcuadrcula"/>
        <w:tblW w:w="0" w:type="auto"/>
        <w:tblInd w:w="679" w:type="dxa"/>
        <w:tblLook w:val="04A0" w:firstRow="1" w:lastRow="0" w:firstColumn="1" w:lastColumn="0" w:noHBand="0" w:noVBand="1"/>
      </w:tblPr>
      <w:tblGrid>
        <w:gridCol w:w="2639"/>
        <w:gridCol w:w="2560"/>
        <w:gridCol w:w="2275"/>
      </w:tblGrid>
      <w:tr w:rsidR="00E111E0" w:rsidRPr="00E74763" w14:paraId="33866695" w14:textId="77777777" w:rsidTr="00B561E8">
        <w:tc>
          <w:tcPr>
            <w:tcW w:w="2639" w:type="dxa"/>
          </w:tcPr>
          <w:p w14:paraId="5AD6D376" w14:textId="77777777" w:rsidR="00E111E0" w:rsidRPr="00E74763" w:rsidRDefault="00E111E0" w:rsidP="00DB3FC7">
            <w:pPr>
              <w:pStyle w:val="Textoindependiente"/>
              <w:spacing w:line="276" w:lineRule="auto"/>
              <w:contextualSpacing/>
              <w:rPr>
                <w:b/>
                <w:iCs/>
                <w:sz w:val="18"/>
                <w:szCs w:val="24"/>
              </w:rPr>
            </w:pPr>
            <w:r w:rsidRPr="00E74763">
              <w:rPr>
                <w:b/>
                <w:iCs/>
                <w:sz w:val="18"/>
                <w:szCs w:val="24"/>
              </w:rPr>
              <w:t>Año</w:t>
            </w:r>
          </w:p>
        </w:tc>
        <w:tc>
          <w:tcPr>
            <w:tcW w:w="2560" w:type="dxa"/>
          </w:tcPr>
          <w:p w14:paraId="7E7B3DCA" w14:textId="77777777" w:rsidR="00E111E0" w:rsidRPr="00E74763" w:rsidRDefault="00E111E0" w:rsidP="00DB3FC7">
            <w:pPr>
              <w:pStyle w:val="Textoindependiente"/>
              <w:spacing w:line="276" w:lineRule="auto"/>
              <w:contextualSpacing/>
              <w:rPr>
                <w:b/>
                <w:iCs/>
                <w:sz w:val="18"/>
                <w:szCs w:val="24"/>
              </w:rPr>
            </w:pPr>
            <w:r w:rsidRPr="00E74763">
              <w:rPr>
                <w:b/>
                <w:iCs/>
                <w:sz w:val="18"/>
                <w:szCs w:val="24"/>
              </w:rPr>
              <w:t>ciclo</w:t>
            </w:r>
          </w:p>
        </w:tc>
        <w:tc>
          <w:tcPr>
            <w:tcW w:w="2275" w:type="dxa"/>
          </w:tcPr>
          <w:p w14:paraId="58FE6C1C" w14:textId="77777777" w:rsidR="00E111E0" w:rsidRPr="00E74763" w:rsidRDefault="00E111E0" w:rsidP="00DB3FC7">
            <w:pPr>
              <w:pStyle w:val="Textoindependiente"/>
              <w:spacing w:line="276" w:lineRule="auto"/>
              <w:contextualSpacing/>
              <w:rPr>
                <w:b/>
                <w:iCs/>
                <w:sz w:val="18"/>
                <w:szCs w:val="24"/>
              </w:rPr>
            </w:pPr>
            <w:r w:rsidRPr="00E74763">
              <w:rPr>
                <w:b/>
                <w:iCs/>
                <w:sz w:val="18"/>
                <w:szCs w:val="24"/>
              </w:rPr>
              <w:t># días</w:t>
            </w:r>
          </w:p>
        </w:tc>
      </w:tr>
      <w:tr w:rsidR="00E111E0" w:rsidRPr="00E74763" w14:paraId="12258CB3" w14:textId="77777777" w:rsidTr="00B561E8">
        <w:tc>
          <w:tcPr>
            <w:tcW w:w="2639" w:type="dxa"/>
          </w:tcPr>
          <w:p w14:paraId="461A37FF"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2007</w:t>
            </w:r>
          </w:p>
        </w:tc>
        <w:tc>
          <w:tcPr>
            <w:tcW w:w="2560" w:type="dxa"/>
          </w:tcPr>
          <w:p w14:paraId="76E3119E"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 xml:space="preserve">Marzo </w:t>
            </w:r>
          </w:p>
        </w:tc>
        <w:tc>
          <w:tcPr>
            <w:tcW w:w="2275" w:type="dxa"/>
          </w:tcPr>
          <w:p w14:paraId="0027CE64"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30</w:t>
            </w:r>
          </w:p>
        </w:tc>
      </w:tr>
      <w:tr w:rsidR="00E111E0" w:rsidRPr="00E74763" w14:paraId="75985C53" w14:textId="77777777" w:rsidTr="00B561E8">
        <w:tc>
          <w:tcPr>
            <w:tcW w:w="2639" w:type="dxa"/>
          </w:tcPr>
          <w:p w14:paraId="4593759C"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2007</w:t>
            </w:r>
          </w:p>
        </w:tc>
        <w:tc>
          <w:tcPr>
            <w:tcW w:w="2560" w:type="dxa"/>
          </w:tcPr>
          <w:p w14:paraId="4513CDED"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Abril</w:t>
            </w:r>
          </w:p>
        </w:tc>
        <w:tc>
          <w:tcPr>
            <w:tcW w:w="2275" w:type="dxa"/>
          </w:tcPr>
          <w:p w14:paraId="23CFCA80"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30</w:t>
            </w:r>
          </w:p>
        </w:tc>
      </w:tr>
      <w:tr w:rsidR="00E111E0" w:rsidRPr="00E74763" w14:paraId="29B8187C" w14:textId="77777777" w:rsidTr="00B561E8">
        <w:tc>
          <w:tcPr>
            <w:tcW w:w="2639" w:type="dxa"/>
          </w:tcPr>
          <w:p w14:paraId="711AD575"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2007</w:t>
            </w:r>
          </w:p>
        </w:tc>
        <w:tc>
          <w:tcPr>
            <w:tcW w:w="2560" w:type="dxa"/>
          </w:tcPr>
          <w:p w14:paraId="2D7BECB4"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Julio</w:t>
            </w:r>
          </w:p>
        </w:tc>
        <w:tc>
          <w:tcPr>
            <w:tcW w:w="2275" w:type="dxa"/>
          </w:tcPr>
          <w:p w14:paraId="06349155"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1</w:t>
            </w:r>
          </w:p>
        </w:tc>
      </w:tr>
      <w:tr w:rsidR="00E111E0" w:rsidRPr="00E74763" w14:paraId="757D3401" w14:textId="77777777" w:rsidTr="00B561E8">
        <w:tc>
          <w:tcPr>
            <w:tcW w:w="2639" w:type="dxa"/>
          </w:tcPr>
          <w:p w14:paraId="16902624"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2007</w:t>
            </w:r>
          </w:p>
        </w:tc>
        <w:tc>
          <w:tcPr>
            <w:tcW w:w="2560" w:type="dxa"/>
          </w:tcPr>
          <w:p w14:paraId="3313E56E"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Septiembre</w:t>
            </w:r>
          </w:p>
        </w:tc>
        <w:tc>
          <w:tcPr>
            <w:tcW w:w="2275" w:type="dxa"/>
          </w:tcPr>
          <w:p w14:paraId="1D558933"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15</w:t>
            </w:r>
          </w:p>
        </w:tc>
      </w:tr>
      <w:tr w:rsidR="00E111E0" w:rsidRPr="00E74763" w14:paraId="7BED13AF" w14:textId="77777777" w:rsidTr="00B561E8">
        <w:tc>
          <w:tcPr>
            <w:tcW w:w="2639" w:type="dxa"/>
          </w:tcPr>
          <w:p w14:paraId="5F40F955" w14:textId="77777777" w:rsidR="00E111E0" w:rsidRPr="00E74763" w:rsidRDefault="00E111E0" w:rsidP="00DB3FC7">
            <w:pPr>
              <w:pStyle w:val="Textoindependiente"/>
              <w:spacing w:line="276" w:lineRule="auto"/>
              <w:contextualSpacing/>
              <w:rPr>
                <w:iCs/>
                <w:sz w:val="18"/>
                <w:szCs w:val="24"/>
              </w:rPr>
            </w:pPr>
          </w:p>
        </w:tc>
        <w:tc>
          <w:tcPr>
            <w:tcW w:w="2560" w:type="dxa"/>
          </w:tcPr>
          <w:p w14:paraId="5AAA0C2B"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Total</w:t>
            </w:r>
          </w:p>
        </w:tc>
        <w:tc>
          <w:tcPr>
            <w:tcW w:w="2275" w:type="dxa"/>
          </w:tcPr>
          <w:p w14:paraId="48A1A2BD" w14:textId="77777777" w:rsidR="00E111E0" w:rsidRPr="00E74763" w:rsidRDefault="00E111E0" w:rsidP="00DB3FC7">
            <w:pPr>
              <w:pStyle w:val="Textoindependiente"/>
              <w:spacing w:line="276" w:lineRule="auto"/>
              <w:contextualSpacing/>
              <w:rPr>
                <w:iCs/>
                <w:sz w:val="18"/>
                <w:szCs w:val="24"/>
              </w:rPr>
            </w:pPr>
            <w:r w:rsidRPr="00E74763">
              <w:rPr>
                <w:iCs/>
                <w:sz w:val="18"/>
                <w:szCs w:val="24"/>
              </w:rPr>
              <w:t>76 días</w:t>
            </w:r>
          </w:p>
        </w:tc>
      </w:tr>
    </w:tbl>
    <w:p w14:paraId="51191769" w14:textId="77777777" w:rsidR="00E111E0" w:rsidRPr="00E74763" w:rsidRDefault="00E111E0" w:rsidP="008C76C8">
      <w:pPr>
        <w:pStyle w:val="Textoindependiente"/>
        <w:spacing w:line="288" w:lineRule="auto"/>
        <w:contextualSpacing/>
        <w:rPr>
          <w:b/>
          <w:iCs/>
          <w:szCs w:val="24"/>
        </w:rPr>
      </w:pPr>
    </w:p>
    <w:p w14:paraId="4AA3F448" w14:textId="5EB644F7" w:rsidR="00E111E0" w:rsidRDefault="00E111E0" w:rsidP="008C76C8">
      <w:pPr>
        <w:pStyle w:val="Textoindependiente"/>
        <w:spacing w:line="288" w:lineRule="auto"/>
        <w:contextualSpacing/>
        <w:rPr>
          <w:iCs/>
          <w:szCs w:val="24"/>
        </w:rPr>
      </w:pPr>
      <w:r w:rsidRPr="00E74763">
        <w:rPr>
          <w:iCs/>
          <w:szCs w:val="24"/>
        </w:rPr>
        <w:t>En cuanto al ciclo de febrero de 2007, el mismo sí aparece reportado y cotizado en las historias laborales atrás aludidas (</w:t>
      </w:r>
      <w:proofErr w:type="spellStart"/>
      <w:r w:rsidRPr="00E74763">
        <w:rPr>
          <w:iCs/>
          <w:szCs w:val="24"/>
        </w:rPr>
        <w:t>fls</w:t>
      </w:r>
      <w:proofErr w:type="spellEnd"/>
      <w:r w:rsidRPr="00E74763">
        <w:rPr>
          <w:iCs/>
          <w:szCs w:val="24"/>
        </w:rPr>
        <w:t>. 43, 52 a 54 c. 1), por lo que ya fue contabilizado por la demandada Protección S.A., sin qu</w:t>
      </w:r>
      <w:r w:rsidR="001E794C">
        <w:rPr>
          <w:iCs/>
          <w:szCs w:val="24"/>
        </w:rPr>
        <w:t>e pueda nuevamente adicionarse.</w:t>
      </w:r>
    </w:p>
    <w:p w14:paraId="37C0136E" w14:textId="77777777" w:rsidR="001E794C" w:rsidRPr="00E74763" w:rsidRDefault="001E794C" w:rsidP="008C76C8">
      <w:pPr>
        <w:pStyle w:val="Textoindependiente"/>
        <w:spacing w:line="288" w:lineRule="auto"/>
        <w:contextualSpacing/>
        <w:rPr>
          <w:iCs/>
          <w:szCs w:val="24"/>
        </w:rPr>
      </w:pPr>
    </w:p>
    <w:p w14:paraId="259501ED" w14:textId="31A1D6F0" w:rsidR="00E111E0" w:rsidRPr="00E74763" w:rsidRDefault="00E111E0" w:rsidP="008C76C8">
      <w:pPr>
        <w:pStyle w:val="Textoindependiente"/>
        <w:spacing w:line="288" w:lineRule="auto"/>
        <w:contextualSpacing/>
        <w:rPr>
          <w:iCs/>
          <w:szCs w:val="24"/>
        </w:rPr>
      </w:pPr>
      <w:r w:rsidRPr="00E74763">
        <w:rPr>
          <w:iCs/>
          <w:szCs w:val="24"/>
        </w:rPr>
        <w:t xml:space="preserve">Por lo </w:t>
      </w:r>
      <w:r w:rsidR="00AE7050" w:rsidRPr="00E74763">
        <w:rPr>
          <w:iCs/>
          <w:szCs w:val="24"/>
        </w:rPr>
        <w:t>dicho,</w:t>
      </w:r>
      <w:r w:rsidRPr="00E74763">
        <w:rPr>
          <w:iCs/>
          <w:szCs w:val="24"/>
        </w:rPr>
        <w:t xml:space="preserve"> debe sumarse a la historia laboral del causante 76 días que equivalen a 10,85 semanas de cotización que agregadas a las 39,85 que ya acreditaba, arroja un total de 50,70 semanas</w:t>
      </w:r>
      <w:r w:rsidR="00076708">
        <w:rPr>
          <w:iCs/>
          <w:szCs w:val="24"/>
        </w:rPr>
        <w:t xml:space="preserve">; en este sentido se modificará el numeral 4º de la sentencia apelada, </w:t>
      </w:r>
      <w:r w:rsidRPr="00E74763">
        <w:rPr>
          <w:iCs/>
          <w:szCs w:val="24"/>
        </w:rPr>
        <w:t xml:space="preserve">por lo que </w:t>
      </w:r>
      <w:proofErr w:type="spellStart"/>
      <w:r w:rsidRPr="00E74763">
        <w:rPr>
          <w:iCs/>
          <w:szCs w:val="24"/>
        </w:rPr>
        <w:t>Yobany</w:t>
      </w:r>
      <w:proofErr w:type="spellEnd"/>
      <w:r w:rsidRPr="00E74763">
        <w:rPr>
          <w:iCs/>
          <w:szCs w:val="24"/>
        </w:rPr>
        <w:t xml:space="preserve"> Antonio Trejos dejó causado el derecho a la pensión de sobrevivientes, pues </w:t>
      </w:r>
      <w:r w:rsidR="00571234" w:rsidRPr="00E74763">
        <w:rPr>
          <w:iCs/>
          <w:szCs w:val="24"/>
        </w:rPr>
        <w:t xml:space="preserve">dichos ciclos </w:t>
      </w:r>
      <w:r w:rsidRPr="00E74763">
        <w:rPr>
          <w:iCs/>
          <w:szCs w:val="24"/>
        </w:rPr>
        <w:t>fueron cotizad</w:t>
      </w:r>
      <w:r w:rsidR="00571234" w:rsidRPr="00E74763">
        <w:rPr>
          <w:iCs/>
          <w:szCs w:val="24"/>
        </w:rPr>
        <w:t>o</w:t>
      </w:r>
      <w:r w:rsidRPr="00E74763">
        <w:rPr>
          <w:iCs/>
          <w:szCs w:val="24"/>
        </w:rPr>
        <w:t>s entre el 16/09/2007 y la misma fecha del 2004 – 3 años previos al deceso -.</w:t>
      </w:r>
    </w:p>
    <w:p w14:paraId="60779971" w14:textId="77777777" w:rsidR="005F7BC0" w:rsidRPr="00E74763" w:rsidRDefault="005F7BC0" w:rsidP="008C76C8">
      <w:pPr>
        <w:pStyle w:val="Textoindependiente"/>
        <w:spacing w:line="288" w:lineRule="auto"/>
        <w:contextualSpacing/>
        <w:rPr>
          <w:iCs/>
          <w:szCs w:val="24"/>
        </w:rPr>
      </w:pPr>
    </w:p>
    <w:p w14:paraId="674674AA" w14:textId="56CADDA1" w:rsidR="00B41D0A" w:rsidRPr="00E74763" w:rsidRDefault="00B41D0A" w:rsidP="008C76C8">
      <w:pPr>
        <w:pStyle w:val="Textoindependiente"/>
        <w:spacing w:line="288" w:lineRule="auto"/>
        <w:contextualSpacing/>
        <w:rPr>
          <w:iCs/>
          <w:szCs w:val="24"/>
        </w:rPr>
      </w:pPr>
      <w:r w:rsidRPr="00E74763">
        <w:rPr>
          <w:iCs/>
          <w:szCs w:val="24"/>
        </w:rPr>
        <w:t xml:space="preserve">La anterior conclusión no encuentra quiebre alguno a pesar de que en el expediente obre </w:t>
      </w:r>
      <w:r w:rsidR="00941618" w:rsidRPr="00E74763">
        <w:rPr>
          <w:iCs/>
          <w:szCs w:val="24"/>
        </w:rPr>
        <w:t xml:space="preserve">una respuesta emitida por Wilmar Atehortúa Arango dentro de un trámite de tutela en la que </w:t>
      </w:r>
      <w:r w:rsidRPr="00E74763">
        <w:rPr>
          <w:iCs/>
          <w:szCs w:val="24"/>
        </w:rPr>
        <w:t>dicho empleador desconoció vínculo laboral con anterioridad a agosto de 2006</w:t>
      </w:r>
      <w:r w:rsidR="00FB52F5">
        <w:rPr>
          <w:iCs/>
          <w:szCs w:val="24"/>
        </w:rPr>
        <w:t xml:space="preserve"> y hasta febrero de 2007,</w:t>
      </w:r>
      <w:r w:rsidRPr="00E74763">
        <w:rPr>
          <w:iCs/>
          <w:szCs w:val="24"/>
        </w:rPr>
        <w:t xml:space="preserve"> así:</w:t>
      </w:r>
    </w:p>
    <w:p w14:paraId="14F69E30" w14:textId="77777777" w:rsidR="00B41D0A" w:rsidRPr="00E74763" w:rsidRDefault="00B41D0A" w:rsidP="008C76C8">
      <w:pPr>
        <w:pStyle w:val="Textoindependiente"/>
        <w:spacing w:line="288" w:lineRule="auto"/>
        <w:contextualSpacing/>
        <w:rPr>
          <w:iCs/>
          <w:szCs w:val="24"/>
        </w:rPr>
      </w:pPr>
    </w:p>
    <w:p w14:paraId="541F57A6" w14:textId="741525AF" w:rsidR="00941618" w:rsidRPr="001E794C" w:rsidRDefault="00941618" w:rsidP="001E794C">
      <w:pPr>
        <w:pStyle w:val="Textoindependiente"/>
        <w:tabs>
          <w:tab w:val="left" w:pos="6804"/>
        </w:tabs>
        <w:ind w:left="426" w:right="418"/>
        <w:contextualSpacing/>
        <w:rPr>
          <w:iCs/>
          <w:sz w:val="22"/>
          <w:szCs w:val="24"/>
        </w:rPr>
      </w:pPr>
      <w:r w:rsidRPr="001E794C">
        <w:rPr>
          <w:iCs/>
          <w:sz w:val="22"/>
          <w:szCs w:val="24"/>
        </w:rPr>
        <w:lastRenderedPageBreak/>
        <w:t>“</w:t>
      </w:r>
      <w:proofErr w:type="spellStart"/>
      <w:r w:rsidRPr="001E794C">
        <w:rPr>
          <w:i/>
          <w:iCs/>
          <w:sz w:val="22"/>
          <w:szCs w:val="24"/>
        </w:rPr>
        <w:t>Yobany</w:t>
      </w:r>
      <w:proofErr w:type="spellEnd"/>
      <w:r w:rsidRPr="001E794C">
        <w:rPr>
          <w:i/>
          <w:iCs/>
          <w:sz w:val="22"/>
          <w:szCs w:val="24"/>
        </w:rPr>
        <w:t xml:space="preserve"> Antonio Trejos, si laboraba en mi establecimiento denominado Arte Floral, pero empezó a laborar el mes de agosto del año 2006 y no el año 2003 como dice la quejosa hasta el mes de febrero del año 2007, donde quedó desvinculado porque se salió y montó una floristería en compañía de otra persona denominada El Ed</w:t>
      </w:r>
      <w:r w:rsidR="001B3E0B">
        <w:rPr>
          <w:i/>
          <w:iCs/>
          <w:sz w:val="22"/>
          <w:szCs w:val="24"/>
        </w:rPr>
        <w:t>é</w:t>
      </w:r>
      <w:r w:rsidRPr="001E794C">
        <w:rPr>
          <w:i/>
          <w:iCs/>
          <w:sz w:val="22"/>
          <w:szCs w:val="24"/>
        </w:rPr>
        <w:t>n de la Flores, dicho establecimiento no les dio resultado, razón por la cual volvió a mi negocio reiteradas veces fue afiliado y desafiliado normalmente”</w:t>
      </w:r>
      <w:r w:rsidR="00B41D0A" w:rsidRPr="001E794C">
        <w:rPr>
          <w:iCs/>
          <w:sz w:val="22"/>
          <w:szCs w:val="24"/>
        </w:rPr>
        <w:t xml:space="preserve"> (</w:t>
      </w:r>
      <w:proofErr w:type="spellStart"/>
      <w:r w:rsidR="00B41D0A" w:rsidRPr="001E794C">
        <w:rPr>
          <w:iCs/>
          <w:sz w:val="22"/>
          <w:szCs w:val="24"/>
        </w:rPr>
        <w:t>fl</w:t>
      </w:r>
      <w:proofErr w:type="spellEnd"/>
      <w:r w:rsidR="00B41D0A" w:rsidRPr="001E794C">
        <w:rPr>
          <w:iCs/>
          <w:sz w:val="22"/>
          <w:szCs w:val="24"/>
        </w:rPr>
        <w:t xml:space="preserve">. 247 c. 1). </w:t>
      </w:r>
    </w:p>
    <w:p w14:paraId="51726EB2" w14:textId="77777777" w:rsidR="00B41D0A" w:rsidRPr="00E74763" w:rsidRDefault="00B41D0A" w:rsidP="008C76C8">
      <w:pPr>
        <w:pStyle w:val="Textoindependiente"/>
        <w:spacing w:line="288" w:lineRule="auto"/>
        <w:contextualSpacing/>
        <w:rPr>
          <w:iCs/>
          <w:szCs w:val="24"/>
        </w:rPr>
      </w:pPr>
    </w:p>
    <w:p w14:paraId="2E0D7204" w14:textId="77777777" w:rsidR="00E36882" w:rsidRPr="00E74763" w:rsidRDefault="00B41D0A" w:rsidP="008C76C8">
      <w:pPr>
        <w:pStyle w:val="Textoindependiente"/>
        <w:spacing w:line="288" w:lineRule="auto"/>
        <w:contextualSpacing/>
        <w:rPr>
          <w:iCs/>
          <w:szCs w:val="24"/>
        </w:rPr>
      </w:pPr>
      <w:r w:rsidRPr="00E74763">
        <w:rPr>
          <w:iCs/>
          <w:szCs w:val="24"/>
        </w:rPr>
        <w:t xml:space="preserve">Declaración que se encuentra en contravía con la restante documental, pues también reposa en el plenario las planillas de pago de aportes pensionales por parte del aludido Wilmar </w:t>
      </w:r>
      <w:proofErr w:type="spellStart"/>
      <w:r w:rsidRPr="00E74763">
        <w:rPr>
          <w:iCs/>
          <w:szCs w:val="24"/>
        </w:rPr>
        <w:t>Atehortua</w:t>
      </w:r>
      <w:proofErr w:type="spellEnd"/>
      <w:r w:rsidRPr="00E74763">
        <w:rPr>
          <w:iCs/>
          <w:szCs w:val="24"/>
        </w:rPr>
        <w:t xml:space="preserve"> Arango a favor del causante para los ciclos de agosto a diciembre de 2006, así como junio y agosto de 2007 (</w:t>
      </w:r>
      <w:proofErr w:type="spellStart"/>
      <w:r w:rsidRPr="00E74763">
        <w:rPr>
          <w:iCs/>
          <w:szCs w:val="24"/>
        </w:rPr>
        <w:t>fls</w:t>
      </w:r>
      <w:proofErr w:type="spellEnd"/>
      <w:r w:rsidRPr="00E74763">
        <w:rPr>
          <w:iCs/>
          <w:szCs w:val="24"/>
        </w:rPr>
        <w:t xml:space="preserve">. </w:t>
      </w:r>
      <w:r w:rsidR="00230E0A" w:rsidRPr="00E74763">
        <w:rPr>
          <w:iCs/>
          <w:szCs w:val="24"/>
        </w:rPr>
        <w:t xml:space="preserve">278 a 284 c. 1), de la que se infiere que </w:t>
      </w:r>
      <w:proofErr w:type="spellStart"/>
      <w:r w:rsidR="00230E0A" w:rsidRPr="00E74763">
        <w:rPr>
          <w:iCs/>
          <w:szCs w:val="24"/>
        </w:rPr>
        <w:t>Yobany</w:t>
      </w:r>
      <w:proofErr w:type="spellEnd"/>
      <w:r w:rsidR="00230E0A" w:rsidRPr="00E74763">
        <w:rPr>
          <w:iCs/>
          <w:szCs w:val="24"/>
        </w:rPr>
        <w:t xml:space="preserve"> Antonio Trejos sí lab</w:t>
      </w:r>
      <w:r w:rsidR="00571234" w:rsidRPr="00E74763">
        <w:rPr>
          <w:iCs/>
          <w:szCs w:val="24"/>
        </w:rPr>
        <w:t>oró para el empleador durante má</w:t>
      </w:r>
      <w:r w:rsidR="00230E0A" w:rsidRPr="00E74763">
        <w:rPr>
          <w:iCs/>
          <w:szCs w:val="24"/>
        </w:rPr>
        <w:t>s ciclos de lo que él mismo aceptó.</w:t>
      </w:r>
    </w:p>
    <w:p w14:paraId="54DBC4A4" w14:textId="77777777" w:rsidR="000B3523" w:rsidRPr="00E74763" w:rsidRDefault="000B3523" w:rsidP="008C76C8">
      <w:pPr>
        <w:pStyle w:val="Textoindependiente"/>
        <w:spacing w:line="288" w:lineRule="auto"/>
        <w:contextualSpacing/>
        <w:rPr>
          <w:iCs/>
          <w:szCs w:val="24"/>
        </w:rPr>
      </w:pPr>
    </w:p>
    <w:p w14:paraId="0E13A278" w14:textId="77777777" w:rsidR="00980592" w:rsidRPr="00E74763" w:rsidRDefault="00980592" w:rsidP="008C76C8">
      <w:pPr>
        <w:pStyle w:val="Textoindependiente"/>
        <w:spacing w:line="288" w:lineRule="auto"/>
        <w:contextualSpacing/>
        <w:rPr>
          <w:iCs/>
          <w:szCs w:val="24"/>
        </w:rPr>
      </w:pPr>
      <w:r w:rsidRPr="00E74763">
        <w:rPr>
          <w:iCs/>
          <w:szCs w:val="24"/>
        </w:rPr>
        <w:t>Por último, se aclara que dentro de la contabilización de semanas de cotización de ninguna manera se incluyeron los aportes a salud que aparecen reportados con posterioridad a su deceso (</w:t>
      </w:r>
      <w:proofErr w:type="spellStart"/>
      <w:r w:rsidRPr="00E74763">
        <w:rPr>
          <w:iCs/>
          <w:szCs w:val="24"/>
        </w:rPr>
        <w:t>fl</w:t>
      </w:r>
      <w:proofErr w:type="spellEnd"/>
      <w:r w:rsidRPr="00E74763">
        <w:rPr>
          <w:iCs/>
          <w:szCs w:val="24"/>
        </w:rPr>
        <w:t>. 39 c. 1).</w:t>
      </w:r>
    </w:p>
    <w:p w14:paraId="224C95BC" w14:textId="77777777" w:rsidR="00E36882" w:rsidRPr="00E74763" w:rsidRDefault="00E36882" w:rsidP="008C76C8">
      <w:pPr>
        <w:pStyle w:val="Textoindependiente"/>
        <w:spacing w:line="288" w:lineRule="auto"/>
        <w:contextualSpacing/>
        <w:rPr>
          <w:b/>
          <w:iCs/>
          <w:szCs w:val="24"/>
        </w:rPr>
      </w:pPr>
    </w:p>
    <w:p w14:paraId="6F19135A" w14:textId="77777777" w:rsidR="00EE38E0" w:rsidRPr="00E74763" w:rsidRDefault="000B3523" w:rsidP="008C76C8">
      <w:pPr>
        <w:widowControl w:val="0"/>
        <w:autoSpaceDE w:val="0"/>
        <w:autoSpaceDN w:val="0"/>
        <w:adjustRightInd w:val="0"/>
        <w:spacing w:line="288" w:lineRule="auto"/>
        <w:contextualSpacing/>
        <w:jc w:val="both"/>
        <w:rPr>
          <w:rFonts w:ascii="Arial" w:hAnsi="Arial" w:cs="Arial"/>
          <w:b/>
          <w:szCs w:val="24"/>
        </w:rPr>
      </w:pPr>
      <w:r w:rsidRPr="00E74763">
        <w:rPr>
          <w:rFonts w:ascii="Arial" w:hAnsi="Arial" w:cs="Arial"/>
          <w:b/>
          <w:szCs w:val="24"/>
        </w:rPr>
        <w:t xml:space="preserve">2.4. </w:t>
      </w:r>
      <w:r w:rsidR="00EE38E0" w:rsidRPr="00E74763">
        <w:rPr>
          <w:rFonts w:ascii="Arial" w:hAnsi="Arial" w:cs="Arial"/>
          <w:b/>
          <w:szCs w:val="24"/>
        </w:rPr>
        <w:t>Beneficiarios de la pensión de sobrevivientes</w:t>
      </w:r>
    </w:p>
    <w:p w14:paraId="30085D88" w14:textId="77777777" w:rsidR="00E36882" w:rsidRPr="00E74763" w:rsidRDefault="00E36882" w:rsidP="008C76C8">
      <w:pPr>
        <w:pStyle w:val="Textoindependiente"/>
        <w:spacing w:line="288" w:lineRule="auto"/>
        <w:contextualSpacing/>
        <w:rPr>
          <w:b/>
          <w:iCs/>
          <w:szCs w:val="24"/>
        </w:rPr>
      </w:pPr>
    </w:p>
    <w:p w14:paraId="4BF8EB5E" w14:textId="77777777" w:rsidR="00EE38E0" w:rsidRPr="00E74763" w:rsidRDefault="00EE38E0" w:rsidP="008C76C8">
      <w:pPr>
        <w:pStyle w:val="Textoindependiente"/>
        <w:spacing w:line="288" w:lineRule="auto"/>
        <w:contextualSpacing/>
        <w:rPr>
          <w:iCs/>
          <w:szCs w:val="24"/>
        </w:rPr>
      </w:pPr>
      <w:r w:rsidRPr="00E74763">
        <w:rPr>
          <w:iCs/>
          <w:szCs w:val="24"/>
        </w:rPr>
        <w:t xml:space="preserve">El literal a) del artículo 74, modificado por la Ley 797/2003 determinó como beneficiarios de la pensión de sobrevivientes en forma vitalicia a la compañera permanente que contara con 30 años o más de edad, que hubiere convivido con el causante por lo menos 5 años previos al deceso. </w:t>
      </w:r>
    </w:p>
    <w:p w14:paraId="276A617F" w14:textId="77777777" w:rsidR="00A104AF" w:rsidRPr="00E74763" w:rsidRDefault="00A104AF" w:rsidP="008C76C8">
      <w:pPr>
        <w:pStyle w:val="Textoindependiente"/>
        <w:spacing w:line="288" w:lineRule="auto"/>
        <w:contextualSpacing/>
        <w:rPr>
          <w:iCs/>
          <w:szCs w:val="24"/>
        </w:rPr>
      </w:pPr>
    </w:p>
    <w:p w14:paraId="372B11A4" w14:textId="28BF87D6" w:rsidR="00A104AF" w:rsidRPr="00E74763" w:rsidRDefault="00A104AF" w:rsidP="008C76C8">
      <w:pPr>
        <w:pStyle w:val="Textoindependiente"/>
        <w:spacing w:line="288" w:lineRule="auto"/>
        <w:contextualSpacing/>
        <w:rPr>
          <w:iCs/>
          <w:szCs w:val="24"/>
        </w:rPr>
      </w:pPr>
      <w:r w:rsidRPr="00E74763">
        <w:rPr>
          <w:iCs/>
          <w:szCs w:val="24"/>
        </w:rPr>
        <w:t xml:space="preserve">Ahora bien, el 04/03/2008 la AFP ING – ahora Protección S.A. – informó a la demandante y a su descendiente que </w:t>
      </w:r>
      <w:proofErr w:type="spellStart"/>
      <w:r w:rsidRPr="00E74763">
        <w:rPr>
          <w:iCs/>
          <w:szCs w:val="24"/>
        </w:rPr>
        <w:t>Yobany</w:t>
      </w:r>
      <w:proofErr w:type="spellEnd"/>
      <w:r w:rsidRPr="00E74763">
        <w:rPr>
          <w:iCs/>
          <w:szCs w:val="24"/>
        </w:rPr>
        <w:t xml:space="preserve"> Antonio Trejos Sánchez no había cumplido el requisito de 50 semanas para dejar causado el derecho a la pensión de sobrevivientes, por lo que negaba tal petición</w:t>
      </w:r>
      <w:r w:rsidR="00076708">
        <w:rPr>
          <w:iCs/>
          <w:szCs w:val="24"/>
        </w:rPr>
        <w:t>,</w:t>
      </w:r>
      <w:r w:rsidRPr="00E74763">
        <w:rPr>
          <w:iCs/>
          <w:szCs w:val="24"/>
        </w:rPr>
        <w:t xml:space="preserve"> pero a su vez les reconoció el “</w:t>
      </w:r>
      <w:r w:rsidRPr="00E74763">
        <w:rPr>
          <w:i/>
          <w:iCs/>
          <w:szCs w:val="24"/>
        </w:rPr>
        <w:t xml:space="preserve">status de beneficiarios” </w:t>
      </w:r>
      <w:r w:rsidRPr="00E74763">
        <w:rPr>
          <w:iCs/>
          <w:szCs w:val="24"/>
        </w:rPr>
        <w:t>(</w:t>
      </w:r>
      <w:proofErr w:type="spellStart"/>
      <w:r w:rsidRPr="00E74763">
        <w:rPr>
          <w:iCs/>
          <w:szCs w:val="24"/>
        </w:rPr>
        <w:t>fl</w:t>
      </w:r>
      <w:proofErr w:type="spellEnd"/>
      <w:r w:rsidRPr="00E74763">
        <w:rPr>
          <w:iCs/>
          <w:szCs w:val="24"/>
        </w:rPr>
        <w:t>. 36 c. 1) para efectos de obtener la devolución de saldos. Reconocimiento de condición de beneficiarios que ahora no podría la AFP discutir, pues previamente aceptó tal calidad y en ese sentido, María Zoraida Arroyave Loaiza en calidad de compañera permanente acreditó el requisito para obtener el reconocimiento de tal subvención.</w:t>
      </w:r>
    </w:p>
    <w:p w14:paraId="0A508584" w14:textId="77777777" w:rsidR="00A104AF" w:rsidRPr="00E74763" w:rsidRDefault="00A104AF" w:rsidP="008C76C8">
      <w:pPr>
        <w:pStyle w:val="Textoindependiente"/>
        <w:spacing w:line="288" w:lineRule="auto"/>
        <w:contextualSpacing/>
        <w:rPr>
          <w:iCs/>
          <w:szCs w:val="24"/>
        </w:rPr>
      </w:pPr>
    </w:p>
    <w:p w14:paraId="4E1ED0A0" w14:textId="77777777" w:rsidR="00217210" w:rsidRPr="00E74763" w:rsidRDefault="00A104AF" w:rsidP="008C76C8">
      <w:pPr>
        <w:pStyle w:val="Textoindependiente"/>
        <w:spacing w:line="288" w:lineRule="auto"/>
        <w:contextualSpacing/>
        <w:rPr>
          <w:iCs/>
          <w:szCs w:val="24"/>
        </w:rPr>
      </w:pPr>
      <w:r w:rsidRPr="00E74763">
        <w:rPr>
          <w:iCs/>
          <w:szCs w:val="24"/>
        </w:rPr>
        <w:t xml:space="preserve">Y si en gracia de discusión tal argumento no fuera suficiente, lo cierto es que de las pruebas allegadas también se desprende su beneficio, en tanto que </w:t>
      </w:r>
      <w:r w:rsidR="00217210" w:rsidRPr="00E74763">
        <w:rPr>
          <w:iCs/>
          <w:szCs w:val="24"/>
        </w:rPr>
        <w:t xml:space="preserve">fruto de </w:t>
      </w:r>
      <w:r w:rsidRPr="00E74763">
        <w:rPr>
          <w:iCs/>
          <w:szCs w:val="24"/>
        </w:rPr>
        <w:t xml:space="preserve">la unión entre la demandante y el </w:t>
      </w:r>
      <w:proofErr w:type="spellStart"/>
      <w:r w:rsidRPr="00E74763">
        <w:rPr>
          <w:iCs/>
          <w:szCs w:val="24"/>
        </w:rPr>
        <w:t>obitado</w:t>
      </w:r>
      <w:proofErr w:type="spellEnd"/>
      <w:r w:rsidR="00217210" w:rsidRPr="00E74763">
        <w:rPr>
          <w:iCs/>
          <w:szCs w:val="24"/>
        </w:rPr>
        <w:t xml:space="preserve"> nació </w:t>
      </w:r>
      <w:proofErr w:type="spellStart"/>
      <w:r w:rsidR="00217210" w:rsidRPr="00E74763">
        <w:rPr>
          <w:iCs/>
          <w:szCs w:val="24"/>
        </w:rPr>
        <w:t>Yeris</w:t>
      </w:r>
      <w:proofErr w:type="spellEnd"/>
      <w:r w:rsidR="00217210" w:rsidRPr="00E74763">
        <w:rPr>
          <w:iCs/>
          <w:szCs w:val="24"/>
        </w:rPr>
        <w:t xml:space="preserve"> </w:t>
      </w:r>
      <w:proofErr w:type="spellStart"/>
      <w:r w:rsidR="00217210" w:rsidRPr="00E74763">
        <w:rPr>
          <w:iCs/>
          <w:szCs w:val="24"/>
        </w:rPr>
        <w:t>Yulitza</w:t>
      </w:r>
      <w:proofErr w:type="spellEnd"/>
      <w:r w:rsidR="00217210" w:rsidRPr="00E74763">
        <w:rPr>
          <w:iCs/>
          <w:szCs w:val="24"/>
        </w:rPr>
        <w:t xml:space="preserve"> Trejos Arroyave el 22/03/2003 (</w:t>
      </w:r>
      <w:proofErr w:type="spellStart"/>
      <w:r w:rsidR="00217210" w:rsidRPr="00E74763">
        <w:rPr>
          <w:iCs/>
          <w:szCs w:val="24"/>
        </w:rPr>
        <w:t>fl</w:t>
      </w:r>
      <w:proofErr w:type="spellEnd"/>
      <w:r w:rsidR="00217210" w:rsidRPr="00E74763">
        <w:rPr>
          <w:iCs/>
          <w:szCs w:val="24"/>
        </w:rPr>
        <w:t xml:space="preserve">. 51 c. 1), esto es, 4 años antes del fallecimiento de </w:t>
      </w:r>
      <w:proofErr w:type="spellStart"/>
      <w:r w:rsidR="00217210" w:rsidRPr="00E74763">
        <w:rPr>
          <w:iCs/>
          <w:szCs w:val="24"/>
        </w:rPr>
        <w:t>Yobany</w:t>
      </w:r>
      <w:proofErr w:type="spellEnd"/>
      <w:r w:rsidR="00217210" w:rsidRPr="00E74763">
        <w:rPr>
          <w:iCs/>
          <w:szCs w:val="24"/>
        </w:rPr>
        <w:t xml:space="preserve"> Antonio Trejos (</w:t>
      </w:r>
      <w:proofErr w:type="spellStart"/>
      <w:r w:rsidR="00217210" w:rsidRPr="00E74763">
        <w:rPr>
          <w:iCs/>
          <w:szCs w:val="24"/>
        </w:rPr>
        <w:t>fl</w:t>
      </w:r>
      <w:proofErr w:type="spellEnd"/>
      <w:r w:rsidR="00217210" w:rsidRPr="00E74763">
        <w:rPr>
          <w:iCs/>
          <w:szCs w:val="24"/>
        </w:rPr>
        <w:t>. 28 c. 1).</w:t>
      </w:r>
    </w:p>
    <w:p w14:paraId="0F366265" w14:textId="77777777" w:rsidR="00217210" w:rsidRPr="00E74763" w:rsidRDefault="00217210" w:rsidP="008C76C8">
      <w:pPr>
        <w:pStyle w:val="Textoindependiente"/>
        <w:spacing w:line="288" w:lineRule="auto"/>
        <w:contextualSpacing/>
        <w:rPr>
          <w:iCs/>
          <w:szCs w:val="24"/>
        </w:rPr>
      </w:pPr>
    </w:p>
    <w:p w14:paraId="34696F1F" w14:textId="7412DD6F" w:rsidR="00217210" w:rsidRPr="00E74763" w:rsidRDefault="00217210" w:rsidP="008C76C8">
      <w:pPr>
        <w:pStyle w:val="Textoindependiente"/>
        <w:spacing w:line="288" w:lineRule="auto"/>
        <w:contextualSpacing/>
        <w:rPr>
          <w:iCs/>
          <w:szCs w:val="24"/>
        </w:rPr>
      </w:pPr>
      <w:r w:rsidRPr="00E74763">
        <w:rPr>
          <w:iCs/>
          <w:szCs w:val="24"/>
        </w:rPr>
        <w:t xml:space="preserve">Además, obran las declaraciones de </w:t>
      </w:r>
      <w:r w:rsidR="009257A8" w:rsidRPr="00E74763">
        <w:rPr>
          <w:iCs/>
          <w:szCs w:val="24"/>
        </w:rPr>
        <w:t xml:space="preserve">las testigos ya mencionadas que dieron cuenta de la convivencia de la pareja por más de 5 años previos al deceso. Concretamente </w:t>
      </w:r>
      <w:proofErr w:type="spellStart"/>
      <w:r w:rsidR="009257A8" w:rsidRPr="00E74763">
        <w:rPr>
          <w:iCs/>
          <w:szCs w:val="24"/>
        </w:rPr>
        <w:t>Claribel</w:t>
      </w:r>
      <w:proofErr w:type="spellEnd"/>
      <w:r w:rsidR="009257A8" w:rsidRPr="00E74763">
        <w:rPr>
          <w:iCs/>
          <w:szCs w:val="24"/>
        </w:rPr>
        <w:t xml:space="preserve"> Beltrán Arroyave narró que conoce a la pareja porque es prima de la demandante, y en ese sentido observó que la dupla convivió por lo menos durante 9 o 10 años, interregno en el que vivieron en la </w:t>
      </w:r>
      <w:r w:rsidR="00FB52F5">
        <w:rPr>
          <w:iCs/>
          <w:szCs w:val="24"/>
        </w:rPr>
        <w:t>casa</w:t>
      </w:r>
      <w:r w:rsidR="009257A8" w:rsidRPr="00E74763">
        <w:rPr>
          <w:iCs/>
          <w:szCs w:val="24"/>
        </w:rPr>
        <w:t xml:space="preserve"> de la progenitora de María Zoraida Arroyave, pese a que durante un tiempo se desplazaron a la vivienda de los ascendientes del causante</w:t>
      </w:r>
      <w:r w:rsidR="0092741E" w:rsidRPr="00E74763">
        <w:rPr>
          <w:iCs/>
          <w:szCs w:val="24"/>
        </w:rPr>
        <w:t xml:space="preserve">; además, relató que la pareja llevaba en convivencia 4 </w:t>
      </w:r>
      <w:r w:rsidR="0092741E" w:rsidRPr="00E74763">
        <w:rPr>
          <w:iCs/>
          <w:szCs w:val="24"/>
        </w:rPr>
        <w:lastRenderedPageBreak/>
        <w:t xml:space="preserve">años para la época en que nació </w:t>
      </w:r>
      <w:proofErr w:type="spellStart"/>
      <w:r w:rsidR="0092741E" w:rsidRPr="00E74763">
        <w:rPr>
          <w:iCs/>
          <w:szCs w:val="24"/>
        </w:rPr>
        <w:t>Yeris</w:t>
      </w:r>
      <w:proofErr w:type="spellEnd"/>
      <w:r w:rsidR="0092741E" w:rsidRPr="00E74763">
        <w:rPr>
          <w:iCs/>
          <w:szCs w:val="24"/>
        </w:rPr>
        <w:t xml:space="preserve"> </w:t>
      </w:r>
      <w:proofErr w:type="spellStart"/>
      <w:r w:rsidR="0092741E" w:rsidRPr="00E74763">
        <w:rPr>
          <w:iCs/>
          <w:szCs w:val="24"/>
        </w:rPr>
        <w:t>Yulitza</w:t>
      </w:r>
      <w:proofErr w:type="spellEnd"/>
      <w:r w:rsidR="0092741E" w:rsidRPr="00E74763">
        <w:rPr>
          <w:iCs/>
          <w:szCs w:val="24"/>
        </w:rPr>
        <w:t xml:space="preserve"> Trejos Arroyave</w:t>
      </w:r>
      <w:r w:rsidR="009257A8" w:rsidRPr="00E74763">
        <w:rPr>
          <w:iCs/>
          <w:szCs w:val="24"/>
        </w:rPr>
        <w:t xml:space="preserve">. Conocimiento que ostentaba porque iba </w:t>
      </w:r>
      <w:r w:rsidR="0092741E" w:rsidRPr="00E74763">
        <w:rPr>
          <w:iCs/>
          <w:szCs w:val="24"/>
        </w:rPr>
        <w:t>con frecuencia a dicha vivienda y si bien durante 10 meses en el año 2004 perdió contacto porque la testigo se fue a vivir a una finca, una vez retornó nuevamente siguió visitando a la pareja.</w:t>
      </w:r>
    </w:p>
    <w:p w14:paraId="4BD8B51A" w14:textId="77777777" w:rsidR="0092741E" w:rsidRPr="00E74763" w:rsidRDefault="0092741E" w:rsidP="008C76C8">
      <w:pPr>
        <w:pStyle w:val="Textoindependiente"/>
        <w:spacing w:line="288" w:lineRule="auto"/>
        <w:contextualSpacing/>
        <w:rPr>
          <w:iCs/>
          <w:szCs w:val="24"/>
        </w:rPr>
      </w:pPr>
    </w:p>
    <w:p w14:paraId="53A8932A" w14:textId="77777777" w:rsidR="0092741E" w:rsidRPr="00E74763" w:rsidRDefault="0092741E" w:rsidP="008C76C8">
      <w:pPr>
        <w:pStyle w:val="Textoindependiente"/>
        <w:spacing w:line="288" w:lineRule="auto"/>
        <w:contextualSpacing/>
        <w:rPr>
          <w:iCs/>
          <w:szCs w:val="24"/>
        </w:rPr>
      </w:pPr>
      <w:r w:rsidRPr="00E74763">
        <w:rPr>
          <w:iCs/>
          <w:szCs w:val="24"/>
        </w:rPr>
        <w:t xml:space="preserve">Por su parte Sandra Milena Gómez Morales adujo que conoció a la pareja hace más de 7 años, porque eran vecinos, pero que tenía conocimiento que por lo menos llevaban conviviendo 9 años, que fruto de dicha unión nació </w:t>
      </w:r>
      <w:proofErr w:type="spellStart"/>
      <w:r w:rsidRPr="00E74763">
        <w:rPr>
          <w:iCs/>
          <w:szCs w:val="24"/>
        </w:rPr>
        <w:t>Yeris</w:t>
      </w:r>
      <w:proofErr w:type="spellEnd"/>
      <w:r w:rsidRPr="00E74763">
        <w:rPr>
          <w:iCs/>
          <w:szCs w:val="24"/>
        </w:rPr>
        <w:t xml:space="preserve"> </w:t>
      </w:r>
      <w:proofErr w:type="spellStart"/>
      <w:r w:rsidRPr="00E74763">
        <w:rPr>
          <w:iCs/>
          <w:szCs w:val="24"/>
        </w:rPr>
        <w:t>Yulitza</w:t>
      </w:r>
      <w:proofErr w:type="spellEnd"/>
      <w:r w:rsidRPr="00E74763">
        <w:rPr>
          <w:iCs/>
          <w:szCs w:val="24"/>
        </w:rPr>
        <w:t xml:space="preserve"> Trejos Arroyave, tiempo durante el cual únicamente conoció a María Zoraida Arroyave Loaiza como pareja del causante. </w:t>
      </w:r>
    </w:p>
    <w:p w14:paraId="0522A19B" w14:textId="77777777" w:rsidR="000B3523" w:rsidRPr="00E74763" w:rsidRDefault="000B3523" w:rsidP="008C76C8">
      <w:pPr>
        <w:pStyle w:val="Textoindependiente"/>
        <w:spacing w:line="288" w:lineRule="auto"/>
        <w:contextualSpacing/>
        <w:rPr>
          <w:iCs/>
          <w:szCs w:val="24"/>
        </w:rPr>
      </w:pPr>
    </w:p>
    <w:p w14:paraId="1C9E67A4" w14:textId="075320FE" w:rsidR="0092741E" w:rsidRPr="00E74763" w:rsidRDefault="000B3523" w:rsidP="008C76C8">
      <w:pPr>
        <w:pStyle w:val="Textoindependiente"/>
        <w:spacing w:line="288" w:lineRule="auto"/>
        <w:contextualSpacing/>
        <w:rPr>
          <w:iCs/>
          <w:szCs w:val="24"/>
        </w:rPr>
      </w:pPr>
      <w:r w:rsidRPr="00E74763">
        <w:rPr>
          <w:iCs/>
          <w:szCs w:val="24"/>
        </w:rPr>
        <w:t>Declaraciones que ofrecen credibilidad a la Sala pues ninguna contradicción se advirtió en lo na</w:t>
      </w:r>
      <w:r w:rsidR="00076708">
        <w:rPr>
          <w:iCs/>
          <w:szCs w:val="24"/>
        </w:rPr>
        <w:t>rrado, que además de ser espontá</w:t>
      </w:r>
      <w:r w:rsidRPr="00E74763">
        <w:rPr>
          <w:iCs/>
          <w:szCs w:val="24"/>
        </w:rPr>
        <w:t xml:space="preserve">neo fue directo y coherente con el hecho escrutado, esto es, la convivencia entre la pareja. </w:t>
      </w:r>
    </w:p>
    <w:p w14:paraId="03FAB821" w14:textId="77777777" w:rsidR="000B3523" w:rsidRPr="00E74763" w:rsidRDefault="000B3523" w:rsidP="008C76C8">
      <w:pPr>
        <w:pStyle w:val="Textoindependiente"/>
        <w:spacing w:line="288" w:lineRule="auto"/>
        <w:contextualSpacing/>
        <w:rPr>
          <w:iCs/>
          <w:szCs w:val="24"/>
        </w:rPr>
      </w:pPr>
    </w:p>
    <w:p w14:paraId="44766A48" w14:textId="724912D4" w:rsidR="00EE38E0" w:rsidRPr="00E74763" w:rsidRDefault="00FA7F04" w:rsidP="008C76C8">
      <w:pPr>
        <w:spacing w:line="288" w:lineRule="auto"/>
        <w:jc w:val="both"/>
        <w:rPr>
          <w:rFonts w:ascii="Arial" w:hAnsi="Arial" w:cs="Arial"/>
          <w:szCs w:val="24"/>
        </w:rPr>
      </w:pPr>
      <w:r>
        <w:rPr>
          <w:rFonts w:ascii="Arial" w:hAnsi="Arial" w:cs="Arial"/>
          <w:szCs w:val="24"/>
        </w:rPr>
        <w:t>Entonces d</w:t>
      </w:r>
      <w:r w:rsidR="00007DBE" w:rsidRPr="00E74763">
        <w:rPr>
          <w:rFonts w:ascii="Arial" w:hAnsi="Arial" w:cs="Arial"/>
          <w:szCs w:val="24"/>
        </w:rPr>
        <w:t xml:space="preserve">el anterior derrotero probatorio se desprende que María Zoraida Arroyave Loaiza acreditó el requisito de convivencia para ser beneficiaria de la pensión de sobrevivientes causada por </w:t>
      </w:r>
      <w:proofErr w:type="spellStart"/>
      <w:r w:rsidR="00007DBE" w:rsidRPr="00E74763">
        <w:rPr>
          <w:rFonts w:ascii="Arial" w:hAnsi="Arial" w:cs="Arial"/>
          <w:szCs w:val="24"/>
        </w:rPr>
        <w:t>Yobany</w:t>
      </w:r>
      <w:proofErr w:type="spellEnd"/>
      <w:r w:rsidR="00007DBE" w:rsidRPr="00E74763">
        <w:rPr>
          <w:rFonts w:ascii="Arial" w:hAnsi="Arial" w:cs="Arial"/>
          <w:szCs w:val="24"/>
        </w:rPr>
        <w:t xml:space="preserve"> Antonio Trejos, pues convivió con el causante durante más de 5 años previos al fallecimiento.</w:t>
      </w:r>
    </w:p>
    <w:p w14:paraId="0DD83103" w14:textId="77777777" w:rsidR="000B3523" w:rsidRPr="00E74763" w:rsidRDefault="000B3523" w:rsidP="008C76C8">
      <w:pPr>
        <w:spacing w:line="288" w:lineRule="auto"/>
        <w:jc w:val="both"/>
        <w:rPr>
          <w:rFonts w:ascii="Arial" w:hAnsi="Arial" w:cs="Arial"/>
          <w:szCs w:val="24"/>
        </w:rPr>
      </w:pPr>
    </w:p>
    <w:p w14:paraId="39DD064C" w14:textId="77777777" w:rsidR="000B3523" w:rsidRPr="00E74763" w:rsidRDefault="000B3523" w:rsidP="008C76C8">
      <w:pPr>
        <w:spacing w:line="288" w:lineRule="auto"/>
        <w:jc w:val="both"/>
        <w:rPr>
          <w:rFonts w:ascii="Arial" w:hAnsi="Arial" w:cs="Arial"/>
          <w:b/>
        </w:rPr>
      </w:pPr>
      <w:r w:rsidRPr="00E74763">
        <w:rPr>
          <w:rFonts w:ascii="Arial" w:hAnsi="Arial" w:cs="Arial"/>
          <w:b/>
        </w:rPr>
        <w:t xml:space="preserve">2.5. Intereses moratorios </w:t>
      </w:r>
    </w:p>
    <w:p w14:paraId="6F477303" w14:textId="77777777" w:rsidR="000B3523" w:rsidRPr="00E74763" w:rsidRDefault="000B3523" w:rsidP="008C76C8">
      <w:pPr>
        <w:spacing w:line="288" w:lineRule="auto"/>
        <w:jc w:val="both"/>
        <w:rPr>
          <w:rFonts w:ascii="Arial" w:hAnsi="Arial" w:cs="Arial"/>
          <w:b/>
        </w:rPr>
      </w:pPr>
    </w:p>
    <w:p w14:paraId="23143F64" w14:textId="1B256B78" w:rsidR="000B3523" w:rsidRPr="00E74763" w:rsidRDefault="000B3523" w:rsidP="008C76C8">
      <w:pPr>
        <w:autoSpaceDE w:val="0"/>
        <w:autoSpaceDN w:val="0"/>
        <w:adjustRightInd w:val="0"/>
        <w:spacing w:line="288" w:lineRule="auto"/>
        <w:jc w:val="both"/>
        <w:rPr>
          <w:rFonts w:ascii="Arial" w:hAnsi="Arial" w:cs="Arial"/>
          <w:color w:val="000000"/>
          <w:szCs w:val="24"/>
          <w:lang w:eastAsia="es-CO"/>
        </w:rPr>
      </w:pPr>
      <w:r w:rsidRPr="00E74763">
        <w:rPr>
          <w:rFonts w:ascii="Arial" w:hAnsi="Arial" w:cs="Arial"/>
          <w:szCs w:val="24"/>
        </w:rPr>
        <w:t xml:space="preserve">Si bien el artículo 141 de la Ley 100 de 1993 determinó que en caso de mora en el </w:t>
      </w:r>
      <w:r w:rsidR="00FA7F04">
        <w:rPr>
          <w:rFonts w:ascii="Arial" w:hAnsi="Arial" w:cs="Arial"/>
          <w:szCs w:val="24"/>
        </w:rPr>
        <w:t>pago de las mesadas pensionales</w:t>
      </w:r>
      <w:r w:rsidRPr="00E74763">
        <w:rPr>
          <w:rFonts w:ascii="Arial" w:hAnsi="Arial" w:cs="Arial"/>
          <w:szCs w:val="24"/>
        </w:rPr>
        <w:t xml:space="preserve"> la administradora pensional deberá pagar al beneficiario además de la obligación a su cargo, y sobre el importe de ella, los intereses moratorios a la tasa máxima vigente para el mo</w:t>
      </w:r>
      <w:r w:rsidR="00FA7F04">
        <w:rPr>
          <w:rFonts w:ascii="Arial" w:hAnsi="Arial" w:cs="Arial"/>
          <w:szCs w:val="24"/>
        </w:rPr>
        <w:t>mento en que se realice el pago.</w:t>
      </w:r>
      <w:r w:rsidRPr="00E74763">
        <w:rPr>
          <w:rFonts w:ascii="Arial" w:hAnsi="Arial" w:cs="Arial"/>
          <w:szCs w:val="24"/>
        </w:rPr>
        <w:t xml:space="preserve"> </w:t>
      </w:r>
      <w:r w:rsidR="00FA7F04">
        <w:rPr>
          <w:rFonts w:ascii="Arial" w:hAnsi="Arial" w:cs="Arial"/>
          <w:szCs w:val="24"/>
        </w:rPr>
        <w:t>P</w:t>
      </w:r>
      <w:r w:rsidRPr="00E74763">
        <w:rPr>
          <w:rFonts w:ascii="Arial" w:hAnsi="Arial" w:cs="Arial"/>
          <w:szCs w:val="24"/>
        </w:rPr>
        <w:t>ara el caso de ahora ningún rédito moratorio podía concederse</w:t>
      </w:r>
      <w:r w:rsidR="00076708">
        <w:rPr>
          <w:rFonts w:ascii="Arial" w:hAnsi="Arial" w:cs="Arial"/>
          <w:szCs w:val="24"/>
        </w:rPr>
        <w:t>,</w:t>
      </w:r>
      <w:r w:rsidRPr="00E74763">
        <w:rPr>
          <w:rFonts w:ascii="Arial" w:hAnsi="Arial" w:cs="Arial"/>
          <w:szCs w:val="24"/>
        </w:rPr>
        <w:t xml:space="preserve"> en tanto el reconocimiento de moras patronales resultaba imprescindible para la concesión del derecho pensional; reconocimiento que únicamente se podía obtener a través de decisión judicial. </w:t>
      </w:r>
    </w:p>
    <w:p w14:paraId="5AD09833" w14:textId="77777777" w:rsidR="000B3523" w:rsidRPr="00E74763" w:rsidRDefault="000B3523" w:rsidP="008C76C8">
      <w:pPr>
        <w:spacing w:line="288" w:lineRule="auto"/>
        <w:jc w:val="both"/>
        <w:rPr>
          <w:rFonts w:ascii="Arial" w:hAnsi="Arial" w:cs="Arial"/>
          <w:szCs w:val="24"/>
        </w:rPr>
      </w:pPr>
    </w:p>
    <w:p w14:paraId="0F6BB133" w14:textId="77777777" w:rsidR="007F7E5E" w:rsidRPr="00E74763" w:rsidRDefault="000B3523" w:rsidP="008C76C8">
      <w:pPr>
        <w:spacing w:line="288" w:lineRule="auto"/>
        <w:jc w:val="both"/>
        <w:rPr>
          <w:rFonts w:ascii="Arial" w:hAnsi="Arial" w:cs="Arial"/>
          <w:b/>
          <w:szCs w:val="24"/>
        </w:rPr>
      </w:pPr>
      <w:r w:rsidRPr="00E74763">
        <w:rPr>
          <w:rFonts w:ascii="Arial" w:hAnsi="Arial" w:cs="Arial"/>
          <w:b/>
          <w:szCs w:val="24"/>
        </w:rPr>
        <w:t xml:space="preserve">2.6. </w:t>
      </w:r>
      <w:r w:rsidR="007F7E5E" w:rsidRPr="00E74763">
        <w:rPr>
          <w:rFonts w:ascii="Arial" w:hAnsi="Arial" w:cs="Arial"/>
          <w:b/>
          <w:szCs w:val="24"/>
        </w:rPr>
        <w:t>Prescripción</w:t>
      </w:r>
    </w:p>
    <w:p w14:paraId="3179AEBF" w14:textId="77777777" w:rsidR="00007DBE" w:rsidRPr="00E74763" w:rsidRDefault="00007DBE" w:rsidP="008C76C8">
      <w:pPr>
        <w:spacing w:line="288" w:lineRule="auto"/>
        <w:jc w:val="both"/>
        <w:rPr>
          <w:rFonts w:ascii="Arial" w:hAnsi="Arial" w:cs="Arial"/>
          <w:szCs w:val="24"/>
        </w:rPr>
      </w:pPr>
    </w:p>
    <w:p w14:paraId="2431983A" w14:textId="5ABC042D" w:rsidR="001F749C" w:rsidRPr="00E74763" w:rsidRDefault="007F7E5E" w:rsidP="008C76C8">
      <w:pPr>
        <w:spacing w:line="288" w:lineRule="auto"/>
        <w:jc w:val="both"/>
        <w:rPr>
          <w:rFonts w:ascii="Arial" w:hAnsi="Arial" w:cs="Arial"/>
          <w:szCs w:val="24"/>
        </w:rPr>
      </w:pPr>
      <w:r w:rsidRPr="00E74763">
        <w:rPr>
          <w:rFonts w:ascii="Arial" w:hAnsi="Arial" w:cs="Arial"/>
          <w:szCs w:val="24"/>
        </w:rPr>
        <w:t xml:space="preserve">Iterase que Protección S.A. mostró su inconformidad frente al fenómeno deletéreo cuando el sujeto activo de la contienda es un menor de edad, pues a su juicio dicho término debía contabilizarse según los dictados del art. 1081 del </w:t>
      </w:r>
      <w:proofErr w:type="spellStart"/>
      <w:r w:rsidRPr="00E74763">
        <w:rPr>
          <w:rFonts w:ascii="Arial" w:hAnsi="Arial" w:cs="Arial"/>
          <w:szCs w:val="24"/>
        </w:rPr>
        <w:t>C.Co</w:t>
      </w:r>
      <w:proofErr w:type="spellEnd"/>
      <w:r w:rsidRPr="00E74763">
        <w:rPr>
          <w:rFonts w:ascii="Arial" w:hAnsi="Arial" w:cs="Arial"/>
          <w:szCs w:val="24"/>
        </w:rPr>
        <w:t>.</w:t>
      </w:r>
      <w:r w:rsidR="001F749C" w:rsidRPr="00E74763">
        <w:rPr>
          <w:rFonts w:ascii="Arial" w:hAnsi="Arial" w:cs="Arial"/>
          <w:szCs w:val="24"/>
        </w:rPr>
        <w:t xml:space="preserve"> </w:t>
      </w:r>
      <w:proofErr w:type="gramStart"/>
      <w:r w:rsidR="001F749C" w:rsidRPr="00E74763">
        <w:rPr>
          <w:rFonts w:ascii="Arial" w:hAnsi="Arial" w:cs="Arial"/>
          <w:szCs w:val="24"/>
        </w:rPr>
        <w:t>que</w:t>
      </w:r>
      <w:proofErr w:type="gramEnd"/>
      <w:r w:rsidR="001F749C" w:rsidRPr="00E74763">
        <w:rPr>
          <w:rFonts w:ascii="Arial" w:hAnsi="Arial" w:cs="Arial"/>
          <w:szCs w:val="24"/>
        </w:rPr>
        <w:t xml:space="preserve"> establece una prescripción de 5 años, que corre contra toda clase de personas, pues el asunto de ahora</w:t>
      </w:r>
      <w:r w:rsidR="00FA7F04">
        <w:rPr>
          <w:rFonts w:ascii="Arial" w:hAnsi="Arial" w:cs="Arial"/>
          <w:szCs w:val="24"/>
        </w:rPr>
        <w:t>, según la aludida sociedad,</w:t>
      </w:r>
      <w:r w:rsidR="001F749C" w:rsidRPr="00E74763">
        <w:rPr>
          <w:rFonts w:ascii="Arial" w:hAnsi="Arial" w:cs="Arial"/>
          <w:szCs w:val="24"/>
        </w:rPr>
        <w:t xml:space="preserve"> es una materia de seguros. </w:t>
      </w:r>
    </w:p>
    <w:p w14:paraId="1DA99D73" w14:textId="77777777" w:rsidR="001F749C" w:rsidRPr="00E74763" w:rsidRDefault="001F749C" w:rsidP="008C76C8">
      <w:pPr>
        <w:spacing w:line="288" w:lineRule="auto"/>
        <w:jc w:val="both"/>
        <w:rPr>
          <w:rFonts w:ascii="Arial" w:hAnsi="Arial" w:cs="Arial"/>
          <w:szCs w:val="24"/>
        </w:rPr>
      </w:pPr>
    </w:p>
    <w:p w14:paraId="0F09F6FC" w14:textId="487F56C9" w:rsidR="00980592" w:rsidRPr="00E74763" w:rsidRDefault="001F749C" w:rsidP="008C76C8">
      <w:pPr>
        <w:spacing w:line="288" w:lineRule="auto"/>
        <w:jc w:val="both"/>
        <w:rPr>
          <w:rFonts w:ascii="Arial" w:hAnsi="Arial" w:cs="Arial"/>
          <w:szCs w:val="24"/>
        </w:rPr>
      </w:pPr>
      <w:r w:rsidRPr="00E74763">
        <w:rPr>
          <w:rFonts w:ascii="Arial" w:hAnsi="Arial" w:cs="Arial"/>
          <w:szCs w:val="24"/>
        </w:rPr>
        <w:t xml:space="preserve">No obstante lo anterior, en primer lugar debe advertirse </w:t>
      </w:r>
      <w:r w:rsidR="00FA7F04">
        <w:rPr>
          <w:rFonts w:ascii="Arial" w:hAnsi="Arial" w:cs="Arial"/>
          <w:szCs w:val="24"/>
        </w:rPr>
        <w:t xml:space="preserve">que </w:t>
      </w:r>
      <w:r w:rsidR="00980592" w:rsidRPr="00E74763">
        <w:rPr>
          <w:rFonts w:ascii="Arial" w:hAnsi="Arial" w:cs="Arial"/>
          <w:szCs w:val="24"/>
        </w:rPr>
        <w:t xml:space="preserve">dicho argumento aparece novedoso para esta Colegiatura en la medida que </w:t>
      </w:r>
      <w:r w:rsidR="00FA7F04">
        <w:rPr>
          <w:rFonts w:ascii="Arial" w:hAnsi="Arial" w:cs="Arial"/>
          <w:szCs w:val="24"/>
        </w:rPr>
        <w:t xml:space="preserve">Protección S.A. </w:t>
      </w:r>
      <w:r w:rsidR="00980592" w:rsidRPr="00E74763">
        <w:rPr>
          <w:rFonts w:ascii="Arial" w:hAnsi="Arial" w:cs="Arial"/>
          <w:szCs w:val="24"/>
        </w:rPr>
        <w:t>al excepcionar la prescripción como medio de defensa, únicamente citó los artículos 488 del C.S.T. y 151 del C.P.L. y de la S.S. (</w:t>
      </w:r>
      <w:proofErr w:type="spellStart"/>
      <w:r w:rsidR="00980592" w:rsidRPr="00E74763">
        <w:rPr>
          <w:rFonts w:ascii="Arial" w:hAnsi="Arial" w:cs="Arial"/>
          <w:szCs w:val="24"/>
        </w:rPr>
        <w:t>fls</w:t>
      </w:r>
      <w:proofErr w:type="spellEnd"/>
      <w:r w:rsidR="00980592" w:rsidRPr="00E74763">
        <w:rPr>
          <w:rFonts w:ascii="Arial" w:hAnsi="Arial" w:cs="Arial"/>
          <w:szCs w:val="24"/>
        </w:rPr>
        <w:t xml:space="preserve">. 128 y 129 c. 1), restringiendo así el ámbito de su argumento. </w:t>
      </w:r>
    </w:p>
    <w:p w14:paraId="0C54C97D" w14:textId="77777777" w:rsidR="00980592" w:rsidRPr="00E74763" w:rsidRDefault="00980592" w:rsidP="008C76C8">
      <w:pPr>
        <w:spacing w:line="288" w:lineRule="auto"/>
        <w:jc w:val="both"/>
        <w:rPr>
          <w:rFonts w:ascii="Arial" w:hAnsi="Arial" w:cs="Arial"/>
          <w:szCs w:val="24"/>
        </w:rPr>
      </w:pPr>
    </w:p>
    <w:p w14:paraId="2BC26CC5" w14:textId="5831337C" w:rsidR="00980592" w:rsidRPr="00E74763" w:rsidRDefault="00980592" w:rsidP="008C76C8">
      <w:pPr>
        <w:spacing w:line="288" w:lineRule="auto"/>
        <w:jc w:val="both"/>
        <w:rPr>
          <w:rFonts w:ascii="Arial" w:hAnsi="Arial" w:cs="Arial"/>
          <w:szCs w:val="24"/>
        </w:rPr>
      </w:pPr>
      <w:r w:rsidRPr="00E74763">
        <w:rPr>
          <w:rFonts w:ascii="Arial" w:hAnsi="Arial" w:cs="Arial"/>
          <w:szCs w:val="24"/>
        </w:rPr>
        <w:t xml:space="preserve">En segundo lugar, </w:t>
      </w:r>
      <w:r w:rsidR="00F269A7" w:rsidRPr="00E74763">
        <w:rPr>
          <w:rFonts w:ascii="Arial" w:hAnsi="Arial" w:cs="Arial"/>
          <w:szCs w:val="24"/>
        </w:rPr>
        <w:t xml:space="preserve">rememórese que el derecho pensional es imprescriptible, </w:t>
      </w:r>
      <w:r w:rsidRPr="00E74763">
        <w:rPr>
          <w:rFonts w:ascii="Arial" w:hAnsi="Arial" w:cs="Arial"/>
          <w:szCs w:val="24"/>
        </w:rPr>
        <w:t xml:space="preserve">siendo susceptibles de tal fenómeno apenas las mesadas pensionales, </w:t>
      </w:r>
      <w:r w:rsidR="00F269A7" w:rsidRPr="00E74763">
        <w:rPr>
          <w:rFonts w:ascii="Arial" w:hAnsi="Arial" w:cs="Arial"/>
          <w:szCs w:val="24"/>
        </w:rPr>
        <w:t xml:space="preserve">que para este caso </w:t>
      </w:r>
      <w:r w:rsidR="00F269A7" w:rsidRPr="00E74763">
        <w:rPr>
          <w:rFonts w:ascii="Arial" w:hAnsi="Arial" w:cs="Arial"/>
          <w:szCs w:val="24"/>
        </w:rPr>
        <w:lastRenderedPageBreak/>
        <w:t>se regulan por</w:t>
      </w:r>
      <w:r w:rsidRPr="00E74763">
        <w:rPr>
          <w:rFonts w:ascii="Arial" w:hAnsi="Arial" w:cs="Arial"/>
          <w:szCs w:val="24"/>
        </w:rPr>
        <w:t xml:space="preserve"> los artículos de las leyes sociales ya descritos</w:t>
      </w:r>
      <w:r w:rsidR="000B3523" w:rsidRPr="00E74763">
        <w:rPr>
          <w:rFonts w:ascii="Arial" w:hAnsi="Arial" w:cs="Arial"/>
          <w:szCs w:val="24"/>
        </w:rPr>
        <w:t xml:space="preserve"> y que se aplican de preferencia para asunto</w:t>
      </w:r>
      <w:r w:rsidR="00FA7F04">
        <w:rPr>
          <w:rFonts w:ascii="Arial" w:hAnsi="Arial" w:cs="Arial"/>
          <w:szCs w:val="24"/>
        </w:rPr>
        <w:t>s</w:t>
      </w:r>
      <w:r w:rsidR="000B3523" w:rsidRPr="00E74763">
        <w:rPr>
          <w:rFonts w:ascii="Arial" w:hAnsi="Arial" w:cs="Arial"/>
          <w:szCs w:val="24"/>
        </w:rPr>
        <w:t xml:space="preserve"> como este, en relación con la pretensión pensional (art. 1º del C.P.L. y de la S.S.)</w:t>
      </w:r>
      <w:r w:rsidRPr="00E74763">
        <w:rPr>
          <w:rFonts w:ascii="Arial" w:hAnsi="Arial" w:cs="Arial"/>
          <w:szCs w:val="24"/>
        </w:rPr>
        <w:t>.</w:t>
      </w:r>
    </w:p>
    <w:p w14:paraId="5CD3896C" w14:textId="77777777" w:rsidR="00BE47D8" w:rsidRPr="00E74763" w:rsidRDefault="00980592" w:rsidP="008C76C8">
      <w:pPr>
        <w:spacing w:line="288" w:lineRule="auto"/>
        <w:jc w:val="both"/>
        <w:rPr>
          <w:rFonts w:ascii="Arial" w:hAnsi="Arial" w:cs="Arial"/>
          <w:szCs w:val="24"/>
        </w:rPr>
      </w:pPr>
      <w:r w:rsidRPr="00E74763">
        <w:rPr>
          <w:rFonts w:ascii="Arial" w:hAnsi="Arial" w:cs="Arial"/>
          <w:szCs w:val="24"/>
        </w:rPr>
        <w:t xml:space="preserve"> </w:t>
      </w:r>
    </w:p>
    <w:p w14:paraId="3A4BD57E" w14:textId="41BC6E87" w:rsidR="00980592" w:rsidRPr="00E74763" w:rsidRDefault="00980592" w:rsidP="008C76C8">
      <w:pPr>
        <w:spacing w:line="288" w:lineRule="auto"/>
        <w:jc w:val="both"/>
        <w:rPr>
          <w:rFonts w:ascii="Arial" w:hAnsi="Arial" w:cs="Arial"/>
          <w:szCs w:val="24"/>
        </w:rPr>
      </w:pPr>
      <w:r w:rsidRPr="00E74763">
        <w:rPr>
          <w:rFonts w:ascii="Arial" w:hAnsi="Arial" w:cs="Arial"/>
          <w:szCs w:val="24"/>
        </w:rPr>
        <w:t>Por último, es preciso memorar que</w:t>
      </w:r>
      <w:r w:rsidR="001F749C" w:rsidRPr="00E74763">
        <w:rPr>
          <w:rFonts w:ascii="Arial" w:hAnsi="Arial" w:cs="Arial"/>
          <w:szCs w:val="24"/>
        </w:rPr>
        <w:t xml:space="preserve"> los menores de edad cuentan con una regulación especial para extinguir sus derechos por el paso del tiempo. Concretamente los artículos 2530 y 2541 del Código Civil determinaron que la misma se suspende mientras permanece tal minoría de edad, es decir, para aquellas personas que sean incapaces, se encuentren bajo tutela o curaduría. Entonces, el término trienal </w:t>
      </w:r>
      <w:r w:rsidR="00F269A7" w:rsidRPr="00E74763">
        <w:rPr>
          <w:rFonts w:ascii="Arial" w:hAnsi="Arial" w:cs="Arial"/>
          <w:szCs w:val="24"/>
        </w:rPr>
        <w:t xml:space="preserve">para </w:t>
      </w:r>
      <w:r w:rsidR="00FA7F04">
        <w:rPr>
          <w:rFonts w:ascii="Arial" w:hAnsi="Arial" w:cs="Arial"/>
          <w:szCs w:val="24"/>
        </w:rPr>
        <w:t>ellos</w:t>
      </w:r>
      <w:r w:rsidR="00F269A7" w:rsidRPr="00E74763">
        <w:rPr>
          <w:rFonts w:ascii="Arial" w:hAnsi="Arial" w:cs="Arial"/>
          <w:szCs w:val="24"/>
        </w:rPr>
        <w:t xml:space="preserve"> se contabiliza desde que se adquiere la mayoría de edad,</w:t>
      </w:r>
      <w:r w:rsidRPr="00E74763">
        <w:rPr>
          <w:rFonts w:ascii="Arial" w:hAnsi="Arial" w:cs="Arial"/>
          <w:szCs w:val="24"/>
        </w:rPr>
        <w:t xml:space="preserve"> y solo a partir de allí despuntaría el término prescriptivo.</w:t>
      </w:r>
    </w:p>
    <w:p w14:paraId="0A4A13C6" w14:textId="77777777" w:rsidR="00980592" w:rsidRPr="00E74763" w:rsidRDefault="00980592" w:rsidP="008C76C8">
      <w:pPr>
        <w:spacing w:line="288" w:lineRule="auto"/>
        <w:jc w:val="both"/>
        <w:rPr>
          <w:rFonts w:ascii="Arial" w:hAnsi="Arial" w:cs="Arial"/>
          <w:szCs w:val="24"/>
        </w:rPr>
      </w:pPr>
    </w:p>
    <w:p w14:paraId="56E553F7" w14:textId="77777777" w:rsidR="00F269A7" w:rsidRPr="00E74763" w:rsidRDefault="00F269A7" w:rsidP="008C76C8">
      <w:pPr>
        <w:spacing w:line="288" w:lineRule="auto"/>
        <w:jc w:val="both"/>
        <w:rPr>
          <w:rFonts w:ascii="Arial" w:hAnsi="Arial" w:cs="Arial"/>
          <w:szCs w:val="24"/>
        </w:rPr>
      </w:pPr>
      <w:r w:rsidRPr="00E74763">
        <w:rPr>
          <w:rFonts w:ascii="Arial" w:hAnsi="Arial" w:cs="Arial"/>
          <w:szCs w:val="24"/>
        </w:rPr>
        <w:t xml:space="preserve">Ahora, la descendiente </w:t>
      </w:r>
      <w:proofErr w:type="spellStart"/>
      <w:r w:rsidRPr="00E74763">
        <w:rPr>
          <w:rFonts w:ascii="Arial" w:hAnsi="Arial" w:cs="Arial"/>
          <w:szCs w:val="24"/>
        </w:rPr>
        <w:t>Yeris</w:t>
      </w:r>
      <w:proofErr w:type="spellEnd"/>
      <w:r w:rsidRPr="00E74763">
        <w:rPr>
          <w:rFonts w:ascii="Arial" w:hAnsi="Arial" w:cs="Arial"/>
          <w:szCs w:val="24"/>
        </w:rPr>
        <w:t xml:space="preserve"> </w:t>
      </w:r>
      <w:proofErr w:type="spellStart"/>
      <w:r w:rsidRPr="00E74763">
        <w:rPr>
          <w:rFonts w:ascii="Arial" w:hAnsi="Arial" w:cs="Arial"/>
          <w:szCs w:val="24"/>
        </w:rPr>
        <w:t>Yulitza</w:t>
      </w:r>
      <w:proofErr w:type="spellEnd"/>
      <w:r w:rsidRPr="00E74763">
        <w:rPr>
          <w:rFonts w:ascii="Arial" w:hAnsi="Arial" w:cs="Arial"/>
          <w:szCs w:val="24"/>
        </w:rPr>
        <w:t xml:space="preserve"> Trejos Arroyave nació el 22/03/2003 (</w:t>
      </w:r>
      <w:proofErr w:type="spellStart"/>
      <w:r w:rsidRPr="00E74763">
        <w:rPr>
          <w:rFonts w:ascii="Arial" w:hAnsi="Arial" w:cs="Arial"/>
          <w:szCs w:val="24"/>
        </w:rPr>
        <w:t>fl</w:t>
      </w:r>
      <w:proofErr w:type="spellEnd"/>
      <w:r w:rsidRPr="00E74763">
        <w:rPr>
          <w:rFonts w:ascii="Arial" w:hAnsi="Arial" w:cs="Arial"/>
          <w:szCs w:val="24"/>
        </w:rPr>
        <w:t>. 31 c. 1), y la demanda se presentó el 15/11/201</w:t>
      </w:r>
      <w:r w:rsidR="00BE47D8" w:rsidRPr="00E74763">
        <w:rPr>
          <w:rFonts w:ascii="Arial" w:hAnsi="Arial" w:cs="Arial"/>
          <w:szCs w:val="24"/>
        </w:rPr>
        <w:t>3 (</w:t>
      </w:r>
      <w:proofErr w:type="spellStart"/>
      <w:r w:rsidR="00BE47D8" w:rsidRPr="00E74763">
        <w:rPr>
          <w:rFonts w:ascii="Arial" w:hAnsi="Arial" w:cs="Arial"/>
          <w:szCs w:val="24"/>
        </w:rPr>
        <w:t>fl</w:t>
      </w:r>
      <w:proofErr w:type="spellEnd"/>
      <w:r w:rsidR="00BE47D8" w:rsidRPr="00E74763">
        <w:rPr>
          <w:rFonts w:ascii="Arial" w:hAnsi="Arial" w:cs="Arial"/>
          <w:szCs w:val="24"/>
        </w:rPr>
        <w:t>. 62 c. 1), es decir, cuand</w:t>
      </w:r>
      <w:r w:rsidRPr="00E74763">
        <w:rPr>
          <w:rFonts w:ascii="Arial" w:hAnsi="Arial" w:cs="Arial"/>
          <w:szCs w:val="24"/>
        </w:rPr>
        <w:t xml:space="preserve">o tenía 10 años de edad, </w:t>
      </w:r>
      <w:r w:rsidR="00980592" w:rsidRPr="00E74763">
        <w:rPr>
          <w:rFonts w:ascii="Arial" w:hAnsi="Arial" w:cs="Arial"/>
          <w:szCs w:val="24"/>
        </w:rPr>
        <w:t xml:space="preserve">por lo que </w:t>
      </w:r>
      <w:r w:rsidRPr="00E74763">
        <w:rPr>
          <w:rFonts w:ascii="Arial" w:hAnsi="Arial" w:cs="Arial"/>
          <w:szCs w:val="24"/>
        </w:rPr>
        <w:t xml:space="preserve">resulta fácil colegir que no había prescrito ninguna mesada a su favor. </w:t>
      </w:r>
    </w:p>
    <w:p w14:paraId="36D31E0C" w14:textId="77777777" w:rsidR="00C62DA9" w:rsidRPr="00E74763" w:rsidRDefault="00C62DA9" w:rsidP="008C76C8">
      <w:pPr>
        <w:spacing w:line="288" w:lineRule="auto"/>
        <w:jc w:val="both"/>
        <w:rPr>
          <w:rFonts w:ascii="Arial" w:hAnsi="Arial" w:cs="Arial"/>
          <w:szCs w:val="24"/>
        </w:rPr>
      </w:pPr>
    </w:p>
    <w:p w14:paraId="5C347ABD" w14:textId="77777777" w:rsidR="000B3523" w:rsidRPr="00E74763" w:rsidRDefault="000B3523" w:rsidP="008C76C8">
      <w:pPr>
        <w:spacing w:line="288" w:lineRule="auto"/>
        <w:jc w:val="both"/>
        <w:rPr>
          <w:rFonts w:ascii="Arial" w:hAnsi="Arial" w:cs="Arial"/>
          <w:b/>
          <w:szCs w:val="24"/>
        </w:rPr>
      </w:pPr>
      <w:r w:rsidRPr="00E74763">
        <w:rPr>
          <w:rFonts w:ascii="Arial" w:hAnsi="Arial" w:cs="Arial"/>
          <w:b/>
          <w:szCs w:val="24"/>
        </w:rPr>
        <w:t>2.7. Suma adicional a cargo de la aseguradora</w:t>
      </w:r>
    </w:p>
    <w:p w14:paraId="55663ACB" w14:textId="77777777" w:rsidR="005E5C86" w:rsidRPr="00E74763" w:rsidRDefault="005E5C86" w:rsidP="008C76C8">
      <w:pPr>
        <w:spacing w:line="288" w:lineRule="auto"/>
        <w:jc w:val="both"/>
        <w:rPr>
          <w:rFonts w:ascii="Arial" w:hAnsi="Arial" w:cs="Arial"/>
          <w:b/>
          <w:szCs w:val="24"/>
        </w:rPr>
      </w:pPr>
    </w:p>
    <w:p w14:paraId="64559055" w14:textId="77777777" w:rsidR="00980592" w:rsidRPr="00E74763" w:rsidRDefault="00980592" w:rsidP="008C76C8">
      <w:pPr>
        <w:spacing w:line="288" w:lineRule="auto"/>
        <w:jc w:val="both"/>
        <w:rPr>
          <w:rFonts w:ascii="Arial" w:hAnsi="Arial" w:cs="Arial"/>
          <w:szCs w:val="24"/>
        </w:rPr>
      </w:pPr>
      <w:r w:rsidRPr="00E74763">
        <w:rPr>
          <w:rFonts w:ascii="Arial" w:hAnsi="Arial" w:cs="Arial"/>
          <w:szCs w:val="24"/>
        </w:rPr>
        <w:t>Para finalizar, en cuanto al argumento de Seguros Bolívar S.A. tendiente a exonerarse del pago de la suma adicional ante la ausencia de cobro de los aportes en mora por parte de Protección S.A., obra en el expediente la póliza número 6000-0000012-01 con una vigencia del 31/03/2007 al 31/03/2008 suscrita entre Santander S.A. – hoy Protección S.A. – y la aseguradora (</w:t>
      </w:r>
      <w:proofErr w:type="spellStart"/>
      <w:r w:rsidRPr="00E74763">
        <w:rPr>
          <w:rFonts w:ascii="Arial" w:hAnsi="Arial" w:cs="Arial"/>
          <w:szCs w:val="24"/>
        </w:rPr>
        <w:t>fls</w:t>
      </w:r>
      <w:proofErr w:type="spellEnd"/>
      <w:r w:rsidRPr="00E74763">
        <w:rPr>
          <w:rFonts w:ascii="Arial" w:hAnsi="Arial" w:cs="Arial"/>
          <w:szCs w:val="24"/>
        </w:rPr>
        <w:t>. 156 y 157 c. 1), frente a la cual en sus condiciones generales no se inscribió como exclusión para hacer efectiva la póliza el evento ahora alegado por Seguros Bolívar S.A.</w:t>
      </w:r>
      <w:r w:rsidR="0040401B" w:rsidRPr="00E74763">
        <w:rPr>
          <w:rFonts w:ascii="Arial" w:hAnsi="Arial" w:cs="Arial"/>
          <w:szCs w:val="24"/>
        </w:rPr>
        <w:t>, incluso ni siquiera se registró como una obligación del tomador</w:t>
      </w:r>
      <w:r w:rsidRPr="00E74763">
        <w:rPr>
          <w:rFonts w:ascii="Arial" w:hAnsi="Arial" w:cs="Arial"/>
          <w:szCs w:val="24"/>
        </w:rPr>
        <w:t xml:space="preserve"> (</w:t>
      </w:r>
      <w:proofErr w:type="spellStart"/>
      <w:r w:rsidRPr="00E74763">
        <w:rPr>
          <w:rFonts w:ascii="Arial" w:hAnsi="Arial" w:cs="Arial"/>
          <w:szCs w:val="24"/>
        </w:rPr>
        <w:t>fls</w:t>
      </w:r>
      <w:proofErr w:type="spellEnd"/>
      <w:r w:rsidRPr="00E74763">
        <w:rPr>
          <w:rFonts w:ascii="Arial" w:hAnsi="Arial" w:cs="Arial"/>
          <w:szCs w:val="24"/>
        </w:rPr>
        <w:t xml:space="preserve">. 160 a </w:t>
      </w:r>
      <w:r w:rsidR="0040401B" w:rsidRPr="00E74763">
        <w:rPr>
          <w:rFonts w:ascii="Arial" w:hAnsi="Arial" w:cs="Arial"/>
          <w:szCs w:val="24"/>
        </w:rPr>
        <w:t>162 c. 1); por lo tanto, cae al vacío el reproche elevado.</w:t>
      </w:r>
    </w:p>
    <w:p w14:paraId="03E30E35" w14:textId="77777777" w:rsidR="009E3D8F" w:rsidRPr="002465C5" w:rsidRDefault="009E3D8F" w:rsidP="008C76C8">
      <w:pPr>
        <w:spacing w:line="288" w:lineRule="auto"/>
        <w:jc w:val="both"/>
        <w:rPr>
          <w:rFonts w:ascii="Arial" w:hAnsi="Arial" w:cs="Arial"/>
          <w:szCs w:val="24"/>
          <w:u w:val="single"/>
        </w:rPr>
      </w:pPr>
    </w:p>
    <w:p w14:paraId="38A4C346" w14:textId="082AA06D" w:rsidR="009E3D8F" w:rsidRPr="00453DBB" w:rsidRDefault="009E3D8F" w:rsidP="008C76C8">
      <w:pPr>
        <w:spacing w:line="288" w:lineRule="auto"/>
        <w:jc w:val="both"/>
        <w:rPr>
          <w:rFonts w:ascii="Arial" w:hAnsi="Arial" w:cs="Arial"/>
          <w:szCs w:val="24"/>
        </w:rPr>
      </w:pPr>
      <w:r w:rsidRPr="00076708">
        <w:rPr>
          <w:rFonts w:ascii="Arial" w:hAnsi="Arial" w:cs="Arial"/>
          <w:szCs w:val="24"/>
        </w:rPr>
        <w:t xml:space="preserve">Ahora si lo anterior no fuera suficiente, la jurisprudencia de la Corte Suprema de Justicia ha explicado frente a argumentos similares al propuesto por el ahora apelante que </w:t>
      </w:r>
      <w:r w:rsidR="00E74763" w:rsidRPr="00076708">
        <w:rPr>
          <w:rFonts w:ascii="Arial" w:hAnsi="Arial" w:cs="Arial"/>
          <w:szCs w:val="24"/>
        </w:rPr>
        <w:t>“</w:t>
      </w:r>
      <w:r w:rsidR="00E74763" w:rsidRPr="00CA17DD">
        <w:rPr>
          <w:rFonts w:ascii="Arial" w:hAnsi="Arial" w:cs="Arial"/>
          <w:i/>
          <w:sz w:val="22"/>
          <w:szCs w:val="24"/>
        </w:rPr>
        <w:t>la responsabilidad de éstas últimas [aseguradoras] deviene automática si en juicio se acredita la obligación pensional en cabeza de la AFP</w:t>
      </w:r>
      <w:r w:rsidR="00E74763" w:rsidRPr="00076708">
        <w:rPr>
          <w:rFonts w:ascii="Arial" w:hAnsi="Arial" w:cs="Arial"/>
          <w:i/>
          <w:szCs w:val="24"/>
        </w:rPr>
        <w:t>”</w:t>
      </w:r>
      <w:r w:rsidR="00E74763" w:rsidRPr="00076708">
        <w:rPr>
          <w:rStyle w:val="Refdenotaalpie"/>
          <w:rFonts w:ascii="Arial" w:hAnsi="Arial" w:cs="Arial"/>
          <w:szCs w:val="24"/>
        </w:rPr>
        <w:footnoteReference w:id="10"/>
      </w:r>
      <w:r w:rsidR="00E74763" w:rsidRPr="00076708">
        <w:rPr>
          <w:rFonts w:ascii="Arial" w:hAnsi="Arial" w:cs="Arial"/>
          <w:szCs w:val="24"/>
        </w:rPr>
        <w:t xml:space="preserve"> y que tampoco se requiere que las AFP “</w:t>
      </w:r>
      <w:r w:rsidR="00E74763" w:rsidRPr="00CA17DD">
        <w:rPr>
          <w:rFonts w:ascii="Arial" w:hAnsi="Arial" w:cs="Arial"/>
          <w:i/>
          <w:sz w:val="22"/>
          <w:szCs w:val="24"/>
        </w:rPr>
        <w:t>demuestren la necesidad de la suma adicional, en un monto específico, pues basta con acreditar la causación de la prestación y la existencia del contrato de seguro previsional respectivo, para que opere la responsabilidad de la aseguradora llamada en garantía</w:t>
      </w:r>
      <w:r w:rsidR="00E74763" w:rsidRPr="00076708">
        <w:rPr>
          <w:rFonts w:ascii="Arial" w:hAnsi="Arial" w:cs="Arial"/>
          <w:i/>
          <w:szCs w:val="24"/>
        </w:rPr>
        <w:t>”</w:t>
      </w:r>
      <w:r w:rsidR="00E74763" w:rsidRPr="00076708">
        <w:rPr>
          <w:rStyle w:val="Refdenotaalpie"/>
          <w:rFonts w:ascii="Arial" w:hAnsi="Arial" w:cs="Arial"/>
          <w:i/>
          <w:szCs w:val="24"/>
        </w:rPr>
        <w:footnoteReference w:id="11"/>
      </w:r>
      <w:r w:rsidR="00E74763" w:rsidRPr="00076708">
        <w:rPr>
          <w:rFonts w:ascii="Arial" w:hAnsi="Arial" w:cs="Arial"/>
          <w:i/>
          <w:szCs w:val="24"/>
        </w:rPr>
        <w:t>.</w:t>
      </w:r>
    </w:p>
    <w:p w14:paraId="418EE764" w14:textId="77777777" w:rsidR="00980592" w:rsidRPr="00E74763" w:rsidRDefault="00980592" w:rsidP="008C76C8">
      <w:pPr>
        <w:spacing w:line="288" w:lineRule="auto"/>
        <w:jc w:val="both"/>
        <w:rPr>
          <w:rFonts w:ascii="Arial" w:hAnsi="Arial" w:cs="Arial"/>
          <w:szCs w:val="24"/>
        </w:rPr>
      </w:pPr>
    </w:p>
    <w:p w14:paraId="224FD15B" w14:textId="77777777" w:rsidR="00A44751" w:rsidRPr="00E74763" w:rsidRDefault="00A44751" w:rsidP="008C76C8">
      <w:pPr>
        <w:pStyle w:val="Sinespaciado"/>
        <w:spacing w:line="288" w:lineRule="auto"/>
        <w:contextualSpacing/>
        <w:jc w:val="center"/>
        <w:rPr>
          <w:rFonts w:ascii="Arial" w:hAnsi="Arial" w:cs="Arial"/>
          <w:b/>
          <w:sz w:val="24"/>
          <w:szCs w:val="24"/>
        </w:rPr>
      </w:pPr>
      <w:r w:rsidRPr="00E74763">
        <w:rPr>
          <w:rFonts w:ascii="Arial" w:hAnsi="Arial" w:cs="Arial"/>
          <w:b/>
          <w:sz w:val="24"/>
          <w:szCs w:val="24"/>
        </w:rPr>
        <w:t>CONCLUSIÓN</w:t>
      </w:r>
    </w:p>
    <w:p w14:paraId="6B1F445B" w14:textId="77777777" w:rsidR="002826F2" w:rsidRPr="00E74763" w:rsidRDefault="002826F2" w:rsidP="008C76C8">
      <w:pPr>
        <w:shd w:val="clear" w:color="auto" w:fill="FFFFFF"/>
        <w:tabs>
          <w:tab w:val="left" w:pos="5197"/>
        </w:tabs>
        <w:spacing w:line="288" w:lineRule="auto"/>
        <w:contextualSpacing/>
        <w:jc w:val="both"/>
        <w:rPr>
          <w:rFonts w:ascii="Arial" w:hAnsi="Arial" w:cs="Arial"/>
          <w:szCs w:val="24"/>
          <w:highlight w:val="yellow"/>
        </w:rPr>
      </w:pPr>
    </w:p>
    <w:p w14:paraId="537A4550" w14:textId="15FF18A4" w:rsidR="00886C66" w:rsidRDefault="000003D0" w:rsidP="008C76C8">
      <w:pPr>
        <w:spacing w:line="288" w:lineRule="auto"/>
        <w:jc w:val="both"/>
        <w:rPr>
          <w:rFonts w:ascii="Arial" w:hAnsi="Arial" w:cs="Arial"/>
          <w:color w:val="000000"/>
          <w:szCs w:val="24"/>
          <w:lang w:eastAsia="es-CO"/>
        </w:rPr>
      </w:pPr>
      <w:r w:rsidRPr="00E74763">
        <w:rPr>
          <w:rFonts w:ascii="Arial" w:hAnsi="Arial" w:cs="Arial"/>
          <w:color w:val="000000"/>
          <w:szCs w:val="24"/>
          <w:lang w:eastAsia="es-CO"/>
        </w:rPr>
        <w:t xml:space="preserve">A tono con lo expuesto, </w:t>
      </w:r>
      <w:r w:rsidR="00BE47D8" w:rsidRPr="00E74763">
        <w:rPr>
          <w:rFonts w:ascii="Arial" w:hAnsi="Arial" w:cs="Arial"/>
          <w:color w:val="000000"/>
          <w:szCs w:val="24"/>
          <w:lang w:eastAsia="es-CO"/>
        </w:rPr>
        <w:t xml:space="preserve">se confirmará la decisión adoptada por la </w:t>
      </w:r>
      <w:r w:rsidR="00BE47D8" w:rsidRPr="00E74763">
        <w:rPr>
          <w:rFonts w:ascii="Arial" w:hAnsi="Arial" w:cs="Arial"/>
          <w:i/>
          <w:color w:val="000000"/>
          <w:szCs w:val="24"/>
          <w:lang w:eastAsia="es-CO"/>
        </w:rPr>
        <w:t>a quo</w:t>
      </w:r>
      <w:r w:rsidR="00076708">
        <w:rPr>
          <w:rFonts w:ascii="Arial" w:hAnsi="Arial" w:cs="Arial"/>
          <w:i/>
          <w:color w:val="000000"/>
          <w:szCs w:val="24"/>
          <w:lang w:eastAsia="es-CO"/>
        </w:rPr>
        <w:t xml:space="preserve"> </w:t>
      </w:r>
      <w:r w:rsidR="00076708">
        <w:rPr>
          <w:rFonts w:ascii="Arial" w:hAnsi="Arial" w:cs="Arial"/>
          <w:color w:val="000000"/>
          <w:szCs w:val="24"/>
          <w:lang w:eastAsia="es-CO"/>
        </w:rPr>
        <w:t xml:space="preserve">de manera parcial; en cuanto a las costas </w:t>
      </w:r>
      <w:r w:rsidR="00CA17DD">
        <w:rPr>
          <w:rFonts w:ascii="Arial" w:hAnsi="Arial" w:cs="Arial"/>
          <w:color w:val="000000"/>
          <w:szCs w:val="24"/>
          <w:lang w:eastAsia="es-CO"/>
        </w:rPr>
        <w:t>h</w:t>
      </w:r>
      <w:r w:rsidR="00076708">
        <w:rPr>
          <w:rFonts w:ascii="Arial" w:hAnsi="Arial" w:cs="Arial"/>
          <w:color w:val="000000"/>
          <w:szCs w:val="24"/>
          <w:lang w:eastAsia="es-CO"/>
        </w:rPr>
        <w:t xml:space="preserve">a de condenarse en esta instancia a la parte demandante y a Seguros Bolívar S.A. a favor de Protección S.A. al resolverse de manera desfavorable sus recursos y sin costas a cargo de Protección S.A. por salir </w:t>
      </w:r>
      <w:r w:rsidR="00076708">
        <w:rPr>
          <w:rFonts w:ascii="Arial" w:hAnsi="Arial" w:cs="Arial"/>
          <w:color w:val="000000"/>
          <w:szCs w:val="24"/>
          <w:lang w:eastAsia="es-CO"/>
        </w:rPr>
        <w:lastRenderedPageBreak/>
        <w:t xml:space="preserve">avante la apelación de manera parcial; todo ello de conformidad con el artículo </w:t>
      </w:r>
      <w:r w:rsidR="00886C66" w:rsidRPr="00E74763">
        <w:rPr>
          <w:rFonts w:ascii="Arial" w:hAnsi="Arial" w:cs="Arial"/>
          <w:color w:val="000000"/>
          <w:szCs w:val="24"/>
          <w:lang w:eastAsia="es-CO"/>
        </w:rPr>
        <w:t xml:space="preserve">365 del C.G.P. </w:t>
      </w:r>
    </w:p>
    <w:p w14:paraId="5E8FE88E" w14:textId="77777777" w:rsidR="00076708" w:rsidRPr="00E74763" w:rsidRDefault="00076708" w:rsidP="008C76C8">
      <w:pPr>
        <w:spacing w:line="288" w:lineRule="auto"/>
        <w:jc w:val="both"/>
        <w:rPr>
          <w:rFonts w:ascii="Arial" w:hAnsi="Arial" w:cs="Arial"/>
          <w:szCs w:val="24"/>
        </w:rPr>
      </w:pPr>
    </w:p>
    <w:p w14:paraId="14C1E761" w14:textId="77777777" w:rsidR="00A44751" w:rsidRPr="00E74763" w:rsidRDefault="00A44751" w:rsidP="008C76C8">
      <w:pPr>
        <w:pStyle w:val="Sinespaciado"/>
        <w:spacing w:line="288" w:lineRule="auto"/>
        <w:contextualSpacing/>
        <w:jc w:val="center"/>
        <w:rPr>
          <w:rFonts w:ascii="Arial" w:hAnsi="Arial" w:cs="Arial"/>
          <w:b/>
          <w:sz w:val="24"/>
          <w:szCs w:val="24"/>
        </w:rPr>
      </w:pPr>
      <w:r w:rsidRPr="00E74763">
        <w:rPr>
          <w:rFonts w:ascii="Arial" w:hAnsi="Arial" w:cs="Arial"/>
          <w:b/>
          <w:sz w:val="24"/>
          <w:szCs w:val="24"/>
        </w:rPr>
        <w:t>DECISIÓN</w:t>
      </w:r>
    </w:p>
    <w:p w14:paraId="6DD63B7E" w14:textId="77777777" w:rsidR="00A44751" w:rsidRPr="00E74763" w:rsidRDefault="00A44751" w:rsidP="008C76C8">
      <w:pPr>
        <w:pStyle w:val="Sinespaciado"/>
        <w:spacing w:line="288" w:lineRule="auto"/>
        <w:contextualSpacing/>
        <w:rPr>
          <w:rFonts w:ascii="Arial" w:hAnsi="Arial" w:cs="Arial"/>
          <w:sz w:val="24"/>
          <w:szCs w:val="24"/>
        </w:rPr>
      </w:pPr>
    </w:p>
    <w:p w14:paraId="4EB54702" w14:textId="77777777" w:rsidR="00A44751" w:rsidRPr="00E74763" w:rsidRDefault="00A44751" w:rsidP="008C76C8">
      <w:pPr>
        <w:pStyle w:val="Prrafodelista2"/>
        <w:spacing w:after="0" w:line="288" w:lineRule="auto"/>
        <w:ind w:left="0"/>
        <w:jc w:val="both"/>
        <w:rPr>
          <w:rFonts w:ascii="Arial" w:hAnsi="Arial" w:cs="Arial"/>
          <w:sz w:val="24"/>
          <w:szCs w:val="24"/>
          <w:lang w:val="es-ES_tradnl"/>
        </w:rPr>
      </w:pPr>
      <w:r w:rsidRPr="00E74763">
        <w:rPr>
          <w:rFonts w:ascii="Arial" w:hAnsi="Arial" w:cs="Arial"/>
          <w:sz w:val="24"/>
          <w:szCs w:val="24"/>
          <w:lang w:val="es-ES_tradnl"/>
        </w:rPr>
        <w:t xml:space="preserve">En mérito de lo expuesto, el </w:t>
      </w:r>
      <w:r w:rsidRPr="00E74763">
        <w:rPr>
          <w:rFonts w:ascii="Arial" w:hAnsi="Arial" w:cs="Arial"/>
          <w:b/>
          <w:sz w:val="24"/>
          <w:szCs w:val="24"/>
          <w:lang w:val="es-ES_tradnl"/>
        </w:rPr>
        <w:t xml:space="preserve">Tribunal Superior del Distrito Judicial de Pereira - Risaralda, Sala </w:t>
      </w:r>
      <w:r w:rsidR="00E96BA3" w:rsidRPr="00E74763">
        <w:rPr>
          <w:rFonts w:ascii="Arial" w:hAnsi="Arial" w:cs="Arial"/>
          <w:b/>
          <w:sz w:val="24"/>
          <w:szCs w:val="24"/>
          <w:lang w:val="es-ES_tradnl"/>
        </w:rPr>
        <w:t xml:space="preserve">Segunda </w:t>
      </w:r>
      <w:r w:rsidRPr="00E74763">
        <w:rPr>
          <w:rFonts w:ascii="Arial" w:hAnsi="Arial" w:cs="Arial"/>
          <w:b/>
          <w:sz w:val="24"/>
          <w:szCs w:val="24"/>
          <w:lang w:val="es-ES_tradnl"/>
        </w:rPr>
        <w:t>de Decisión Laboral,</w:t>
      </w:r>
      <w:r w:rsidRPr="00E74763">
        <w:rPr>
          <w:rFonts w:ascii="Arial" w:hAnsi="Arial" w:cs="Arial"/>
          <w:sz w:val="24"/>
          <w:szCs w:val="24"/>
          <w:lang w:val="es-ES_tradnl"/>
        </w:rPr>
        <w:t xml:space="preserve"> administrando justicia en nombre de la República y por autoridad de la ley,</w:t>
      </w:r>
    </w:p>
    <w:p w14:paraId="1B7209D8" w14:textId="77777777" w:rsidR="00FA4336" w:rsidRPr="00E74763" w:rsidRDefault="00FA4336" w:rsidP="008C76C8">
      <w:pPr>
        <w:spacing w:line="288" w:lineRule="auto"/>
        <w:contextualSpacing/>
        <w:jc w:val="center"/>
        <w:rPr>
          <w:rFonts w:ascii="Arial" w:hAnsi="Arial" w:cs="Arial"/>
          <w:b/>
          <w:szCs w:val="24"/>
        </w:rPr>
      </w:pPr>
    </w:p>
    <w:p w14:paraId="00F06F73" w14:textId="77777777" w:rsidR="00A44751" w:rsidRPr="00E74763" w:rsidRDefault="00A44751" w:rsidP="008C76C8">
      <w:pPr>
        <w:spacing w:line="288" w:lineRule="auto"/>
        <w:contextualSpacing/>
        <w:jc w:val="center"/>
        <w:rPr>
          <w:rFonts w:ascii="Arial" w:hAnsi="Arial" w:cs="Arial"/>
          <w:b/>
          <w:szCs w:val="24"/>
        </w:rPr>
      </w:pPr>
      <w:r w:rsidRPr="00E74763">
        <w:rPr>
          <w:rFonts w:ascii="Arial" w:hAnsi="Arial" w:cs="Arial"/>
          <w:b/>
          <w:szCs w:val="24"/>
        </w:rPr>
        <w:t>RESUELVE</w:t>
      </w:r>
    </w:p>
    <w:p w14:paraId="22F0494C" w14:textId="77777777" w:rsidR="00FA4336" w:rsidRPr="00E74763" w:rsidRDefault="00FA4336" w:rsidP="008C76C8">
      <w:pPr>
        <w:widowControl w:val="0"/>
        <w:autoSpaceDE w:val="0"/>
        <w:autoSpaceDN w:val="0"/>
        <w:adjustRightInd w:val="0"/>
        <w:spacing w:line="288" w:lineRule="auto"/>
        <w:jc w:val="both"/>
        <w:rPr>
          <w:rFonts w:ascii="Arial" w:hAnsi="Arial" w:cs="Arial"/>
          <w:b/>
          <w:szCs w:val="24"/>
          <w:u w:val="single"/>
        </w:rPr>
      </w:pPr>
    </w:p>
    <w:p w14:paraId="7738BD20" w14:textId="1A9CA1EF" w:rsidR="000003D0" w:rsidRPr="005F62C5" w:rsidRDefault="000003D0" w:rsidP="008C76C8">
      <w:pPr>
        <w:widowControl w:val="0"/>
        <w:autoSpaceDE w:val="0"/>
        <w:autoSpaceDN w:val="0"/>
        <w:adjustRightInd w:val="0"/>
        <w:spacing w:line="288" w:lineRule="auto"/>
        <w:jc w:val="both"/>
        <w:rPr>
          <w:rFonts w:ascii="Arial" w:hAnsi="Arial" w:cs="Arial"/>
          <w:bCs/>
          <w:iCs/>
          <w:szCs w:val="24"/>
        </w:rPr>
      </w:pPr>
      <w:r w:rsidRPr="00E74763">
        <w:rPr>
          <w:rFonts w:ascii="Arial" w:hAnsi="Arial" w:cs="Arial"/>
          <w:b/>
          <w:szCs w:val="24"/>
          <w:u w:val="single"/>
        </w:rPr>
        <w:t>PRIMERO</w:t>
      </w:r>
      <w:r w:rsidRPr="00E74763">
        <w:rPr>
          <w:rFonts w:ascii="Arial" w:hAnsi="Arial" w:cs="Arial"/>
          <w:b/>
          <w:szCs w:val="24"/>
        </w:rPr>
        <w:t xml:space="preserve">: </w:t>
      </w:r>
      <w:r w:rsidR="00886C66" w:rsidRPr="00E74763">
        <w:rPr>
          <w:rFonts w:ascii="Arial" w:hAnsi="Arial" w:cs="Arial"/>
          <w:b/>
          <w:szCs w:val="24"/>
        </w:rPr>
        <w:t>CONFIRMAR</w:t>
      </w:r>
      <w:r w:rsidRPr="00E74763">
        <w:rPr>
          <w:rFonts w:ascii="Arial" w:hAnsi="Arial" w:cs="Arial"/>
          <w:b/>
          <w:szCs w:val="24"/>
        </w:rPr>
        <w:t xml:space="preserve"> </w:t>
      </w:r>
      <w:r w:rsidRPr="00E74763">
        <w:rPr>
          <w:rFonts w:ascii="Arial" w:hAnsi="Arial" w:cs="Arial"/>
          <w:szCs w:val="24"/>
        </w:rPr>
        <w:t xml:space="preserve">la sentencia proferida </w:t>
      </w:r>
      <w:r w:rsidR="00886C66" w:rsidRPr="00E74763">
        <w:rPr>
          <w:rFonts w:ascii="Arial" w:hAnsi="Arial" w:cs="Arial"/>
          <w:szCs w:val="24"/>
        </w:rPr>
        <w:t xml:space="preserve">12 de diciembre de 2018 por el Juzgado Quinto Laboral del Circuito de Pereira, dentro del proceso promovido por </w:t>
      </w:r>
      <w:r w:rsidR="00886C66" w:rsidRPr="00E74763">
        <w:rPr>
          <w:rFonts w:ascii="Arial" w:hAnsi="Arial" w:cs="Arial"/>
          <w:b/>
          <w:szCs w:val="24"/>
        </w:rPr>
        <w:t>María Zoraida Arroyave Loaiza</w:t>
      </w:r>
      <w:r w:rsidR="00C02B9D">
        <w:rPr>
          <w:rFonts w:ascii="Arial" w:hAnsi="Arial" w:cs="Arial"/>
          <w:b/>
          <w:szCs w:val="24"/>
        </w:rPr>
        <w:t xml:space="preserve"> </w:t>
      </w:r>
      <w:r w:rsidR="00C02B9D">
        <w:rPr>
          <w:rFonts w:ascii="Arial" w:hAnsi="Arial" w:cs="Arial"/>
          <w:szCs w:val="24"/>
        </w:rPr>
        <w:t xml:space="preserve">en nombre propio, y en representación de </w:t>
      </w:r>
      <w:proofErr w:type="spellStart"/>
      <w:r w:rsidR="00C02B9D">
        <w:rPr>
          <w:rFonts w:ascii="Arial" w:hAnsi="Arial" w:cs="Arial"/>
          <w:b/>
          <w:szCs w:val="24"/>
        </w:rPr>
        <w:t>Yeris</w:t>
      </w:r>
      <w:proofErr w:type="spellEnd"/>
      <w:r w:rsidR="00C02B9D">
        <w:rPr>
          <w:rFonts w:ascii="Arial" w:hAnsi="Arial" w:cs="Arial"/>
          <w:b/>
          <w:szCs w:val="24"/>
        </w:rPr>
        <w:t xml:space="preserve"> </w:t>
      </w:r>
      <w:proofErr w:type="spellStart"/>
      <w:r w:rsidR="00C02B9D">
        <w:rPr>
          <w:rFonts w:ascii="Arial" w:hAnsi="Arial" w:cs="Arial"/>
          <w:b/>
          <w:szCs w:val="24"/>
        </w:rPr>
        <w:t>Yulitza</w:t>
      </w:r>
      <w:proofErr w:type="spellEnd"/>
      <w:r w:rsidR="00C02B9D">
        <w:rPr>
          <w:rFonts w:ascii="Arial" w:hAnsi="Arial" w:cs="Arial"/>
          <w:b/>
          <w:szCs w:val="24"/>
        </w:rPr>
        <w:t xml:space="preserve"> Trejos Arroyave</w:t>
      </w:r>
      <w:r w:rsidR="00886C66" w:rsidRPr="00E74763">
        <w:rPr>
          <w:rFonts w:ascii="Arial" w:hAnsi="Arial" w:cs="Arial"/>
          <w:b/>
          <w:szCs w:val="24"/>
        </w:rPr>
        <w:t xml:space="preserve"> </w:t>
      </w:r>
      <w:r w:rsidR="00886C66" w:rsidRPr="00E74763">
        <w:rPr>
          <w:rFonts w:ascii="Arial" w:hAnsi="Arial" w:cs="Arial"/>
          <w:szCs w:val="24"/>
        </w:rPr>
        <w:t xml:space="preserve">contra </w:t>
      </w:r>
      <w:r w:rsidR="00886C66" w:rsidRPr="00E74763">
        <w:rPr>
          <w:rFonts w:ascii="Arial" w:hAnsi="Arial" w:cs="Arial"/>
          <w:b/>
          <w:szCs w:val="24"/>
        </w:rPr>
        <w:t xml:space="preserve">Protección S.A., Wilmar </w:t>
      </w:r>
      <w:proofErr w:type="spellStart"/>
      <w:r w:rsidR="00886C66" w:rsidRPr="00E74763">
        <w:rPr>
          <w:rFonts w:ascii="Arial" w:hAnsi="Arial" w:cs="Arial"/>
          <w:b/>
          <w:szCs w:val="24"/>
        </w:rPr>
        <w:t>Atehortua</w:t>
      </w:r>
      <w:proofErr w:type="spellEnd"/>
      <w:r w:rsidR="00886C66" w:rsidRPr="00E74763">
        <w:rPr>
          <w:rFonts w:ascii="Arial" w:hAnsi="Arial" w:cs="Arial"/>
          <w:b/>
          <w:szCs w:val="24"/>
        </w:rPr>
        <w:t xml:space="preserve"> Arango y </w:t>
      </w:r>
      <w:proofErr w:type="spellStart"/>
      <w:r w:rsidR="00886C66" w:rsidRPr="00E74763">
        <w:rPr>
          <w:rFonts w:ascii="Arial" w:hAnsi="Arial" w:cs="Arial"/>
          <w:b/>
          <w:szCs w:val="24"/>
        </w:rPr>
        <w:t>Mariluz</w:t>
      </w:r>
      <w:proofErr w:type="spellEnd"/>
      <w:r w:rsidR="00886C66" w:rsidRPr="00E74763">
        <w:rPr>
          <w:rFonts w:ascii="Arial" w:hAnsi="Arial" w:cs="Arial"/>
          <w:b/>
          <w:szCs w:val="24"/>
        </w:rPr>
        <w:t xml:space="preserve"> Sepúlveda Giraldo</w:t>
      </w:r>
      <w:r w:rsidR="00886C66" w:rsidRPr="00E74763">
        <w:rPr>
          <w:rFonts w:ascii="Arial" w:hAnsi="Arial" w:cs="Arial"/>
          <w:szCs w:val="24"/>
        </w:rPr>
        <w:t xml:space="preserve">, trámite al que se vinculó a </w:t>
      </w:r>
      <w:r w:rsidR="00886C66" w:rsidRPr="00E74763">
        <w:rPr>
          <w:rFonts w:ascii="Arial" w:hAnsi="Arial" w:cs="Arial"/>
          <w:b/>
          <w:szCs w:val="24"/>
        </w:rPr>
        <w:t>Seguros Bolívar</w:t>
      </w:r>
      <w:r w:rsidR="00C02B9D">
        <w:rPr>
          <w:rFonts w:ascii="Arial" w:hAnsi="Arial" w:cs="Arial"/>
          <w:b/>
          <w:szCs w:val="24"/>
        </w:rPr>
        <w:t xml:space="preserve"> S.A</w:t>
      </w:r>
      <w:r w:rsidR="00886C66" w:rsidRPr="00E74763">
        <w:rPr>
          <w:rFonts w:ascii="Arial" w:hAnsi="Arial" w:cs="Arial"/>
          <w:b/>
          <w:szCs w:val="24"/>
        </w:rPr>
        <w:t>.</w:t>
      </w:r>
      <w:r w:rsidR="005F62C5">
        <w:rPr>
          <w:rFonts w:ascii="Arial" w:hAnsi="Arial" w:cs="Arial"/>
          <w:b/>
          <w:szCs w:val="24"/>
        </w:rPr>
        <w:t xml:space="preserve">, </w:t>
      </w:r>
      <w:r w:rsidR="005F62C5">
        <w:rPr>
          <w:rFonts w:ascii="Arial" w:hAnsi="Arial" w:cs="Arial"/>
          <w:szCs w:val="24"/>
        </w:rPr>
        <w:t>salvo el numeral 2º que se revoca, para en su lugar negar el pago del cálculo actuarial por los ciclos de marzo, abril, mayo, junio y julio de 2006 y modificar el numeral 4º en el sentido de dar por acreditados 50,71 semanas cotizadas.</w:t>
      </w:r>
    </w:p>
    <w:p w14:paraId="56BC7C22" w14:textId="77777777" w:rsidR="006C4106" w:rsidRPr="00E74763" w:rsidRDefault="006C4106" w:rsidP="008C76C8">
      <w:pPr>
        <w:widowControl w:val="0"/>
        <w:autoSpaceDE w:val="0"/>
        <w:autoSpaceDN w:val="0"/>
        <w:adjustRightInd w:val="0"/>
        <w:spacing w:line="288" w:lineRule="auto"/>
        <w:ind w:left="567" w:right="567"/>
        <w:jc w:val="both"/>
        <w:rPr>
          <w:rFonts w:ascii="Arial" w:hAnsi="Arial" w:cs="Arial"/>
          <w:bCs/>
          <w:i/>
          <w:iCs/>
          <w:szCs w:val="24"/>
        </w:rPr>
      </w:pPr>
    </w:p>
    <w:p w14:paraId="17F2FE31" w14:textId="3606A7F7" w:rsidR="000003D0" w:rsidRPr="00E74763" w:rsidRDefault="00962BDD" w:rsidP="008C76C8">
      <w:pPr>
        <w:autoSpaceDE w:val="0"/>
        <w:autoSpaceDN w:val="0"/>
        <w:adjustRightInd w:val="0"/>
        <w:spacing w:line="288" w:lineRule="auto"/>
        <w:jc w:val="both"/>
        <w:rPr>
          <w:rFonts w:ascii="Arial" w:hAnsi="Arial" w:cs="Arial"/>
          <w:i/>
          <w:szCs w:val="24"/>
        </w:rPr>
      </w:pPr>
      <w:r w:rsidRPr="00E74763">
        <w:rPr>
          <w:rFonts w:ascii="Arial" w:hAnsi="Arial" w:cs="Arial"/>
          <w:b/>
          <w:bCs/>
          <w:iCs/>
          <w:szCs w:val="24"/>
          <w:u w:val="single"/>
        </w:rPr>
        <w:t>SEGUNDO</w:t>
      </w:r>
      <w:r w:rsidR="00434AF0" w:rsidRPr="00E74763">
        <w:rPr>
          <w:rFonts w:ascii="Arial" w:hAnsi="Arial" w:cs="Arial"/>
          <w:b/>
          <w:bCs/>
          <w:iCs/>
          <w:szCs w:val="24"/>
        </w:rPr>
        <w:t xml:space="preserve">: </w:t>
      </w:r>
      <w:r w:rsidR="005F62C5">
        <w:rPr>
          <w:rFonts w:ascii="Arial" w:hAnsi="Arial" w:cs="Arial"/>
          <w:szCs w:val="28"/>
          <w:lang w:eastAsia="en-US"/>
        </w:rPr>
        <w:t xml:space="preserve">Condenar en costas en esta instancia a la demandante y Seguros Bolívar S.A. a favor de Protección S.A., conforme lo expuesto. </w:t>
      </w:r>
    </w:p>
    <w:p w14:paraId="600E6F79" w14:textId="77777777" w:rsidR="00A44751" w:rsidRPr="00E74763" w:rsidRDefault="00A44751" w:rsidP="008C76C8">
      <w:pPr>
        <w:autoSpaceDE w:val="0"/>
        <w:autoSpaceDN w:val="0"/>
        <w:adjustRightInd w:val="0"/>
        <w:spacing w:line="288" w:lineRule="auto"/>
        <w:contextualSpacing/>
        <w:jc w:val="both"/>
        <w:rPr>
          <w:rFonts w:ascii="Arial" w:hAnsi="Arial" w:cs="Arial"/>
          <w:szCs w:val="24"/>
        </w:rPr>
      </w:pPr>
    </w:p>
    <w:p w14:paraId="24D74E59" w14:textId="77777777" w:rsidR="00A44751" w:rsidRPr="00E74763" w:rsidRDefault="00A44751" w:rsidP="008C76C8">
      <w:pPr>
        <w:spacing w:line="288" w:lineRule="auto"/>
        <w:contextualSpacing/>
        <w:jc w:val="both"/>
        <w:rPr>
          <w:rFonts w:ascii="Arial" w:hAnsi="Arial" w:cs="Arial"/>
          <w:szCs w:val="24"/>
        </w:rPr>
      </w:pPr>
      <w:r w:rsidRPr="00E74763">
        <w:rPr>
          <w:rFonts w:ascii="Arial" w:hAnsi="Arial" w:cs="Arial"/>
          <w:szCs w:val="24"/>
        </w:rPr>
        <w:t>Notificación surtida en estrados.</w:t>
      </w:r>
    </w:p>
    <w:p w14:paraId="72E57A8E" w14:textId="77777777" w:rsidR="00150D29" w:rsidRPr="00E74763" w:rsidRDefault="00150D29" w:rsidP="008C76C8">
      <w:pPr>
        <w:spacing w:line="288" w:lineRule="auto"/>
        <w:contextualSpacing/>
        <w:jc w:val="both"/>
        <w:rPr>
          <w:rFonts w:ascii="Arial" w:hAnsi="Arial" w:cs="Arial"/>
          <w:szCs w:val="24"/>
        </w:rPr>
      </w:pPr>
    </w:p>
    <w:p w14:paraId="689B8BB3" w14:textId="77777777" w:rsidR="00A44751" w:rsidRPr="00E74763" w:rsidRDefault="00A44751" w:rsidP="008C76C8">
      <w:pPr>
        <w:pStyle w:val="Textoindependiente"/>
        <w:spacing w:line="288" w:lineRule="auto"/>
        <w:contextualSpacing/>
        <w:rPr>
          <w:szCs w:val="24"/>
        </w:rPr>
      </w:pPr>
      <w:r w:rsidRPr="00E74763">
        <w:rPr>
          <w:szCs w:val="24"/>
        </w:rPr>
        <w:t>No siendo otro el objeto de la presente audiencia, se eleva y firma esta acta por las personas que han intervenido.</w:t>
      </w:r>
    </w:p>
    <w:p w14:paraId="324B4472" w14:textId="77777777" w:rsidR="00A44751" w:rsidRPr="00E74763" w:rsidRDefault="00A44751" w:rsidP="008C76C8">
      <w:pPr>
        <w:widowControl w:val="0"/>
        <w:autoSpaceDE w:val="0"/>
        <w:autoSpaceDN w:val="0"/>
        <w:adjustRightInd w:val="0"/>
        <w:spacing w:line="288" w:lineRule="auto"/>
        <w:contextualSpacing/>
        <w:jc w:val="both"/>
        <w:rPr>
          <w:rFonts w:ascii="Arial" w:hAnsi="Arial" w:cs="Arial"/>
          <w:szCs w:val="24"/>
        </w:rPr>
      </w:pPr>
    </w:p>
    <w:p w14:paraId="0C8D8AE8" w14:textId="77777777" w:rsidR="00A44751" w:rsidRPr="00E74763" w:rsidRDefault="00A44751" w:rsidP="008C76C8">
      <w:pPr>
        <w:widowControl w:val="0"/>
        <w:autoSpaceDE w:val="0"/>
        <w:autoSpaceDN w:val="0"/>
        <w:adjustRightInd w:val="0"/>
        <w:spacing w:line="288" w:lineRule="auto"/>
        <w:contextualSpacing/>
        <w:jc w:val="both"/>
        <w:rPr>
          <w:rFonts w:ascii="Arial" w:hAnsi="Arial" w:cs="Arial"/>
          <w:szCs w:val="24"/>
        </w:rPr>
      </w:pPr>
      <w:r w:rsidRPr="00E74763">
        <w:rPr>
          <w:rFonts w:ascii="Arial" w:hAnsi="Arial" w:cs="Arial"/>
          <w:szCs w:val="24"/>
        </w:rPr>
        <w:t>Quienes integran la Sala,</w:t>
      </w:r>
    </w:p>
    <w:p w14:paraId="6F096AE9" w14:textId="77777777" w:rsidR="00192D15" w:rsidRPr="00192D15" w:rsidRDefault="00192D15" w:rsidP="008C76C8">
      <w:pPr>
        <w:widowControl w:val="0"/>
        <w:autoSpaceDE w:val="0"/>
        <w:autoSpaceDN w:val="0"/>
        <w:adjustRightInd w:val="0"/>
        <w:spacing w:line="288" w:lineRule="auto"/>
        <w:jc w:val="both"/>
        <w:rPr>
          <w:rFonts w:ascii="Arial" w:hAnsi="Arial" w:cs="Arial"/>
          <w:szCs w:val="24"/>
        </w:rPr>
      </w:pPr>
    </w:p>
    <w:p w14:paraId="57576B59" w14:textId="77777777" w:rsidR="00192D15" w:rsidRPr="00192D15" w:rsidRDefault="00192D15" w:rsidP="008C76C8">
      <w:pPr>
        <w:widowControl w:val="0"/>
        <w:autoSpaceDE w:val="0"/>
        <w:autoSpaceDN w:val="0"/>
        <w:adjustRightInd w:val="0"/>
        <w:spacing w:line="288" w:lineRule="auto"/>
        <w:jc w:val="both"/>
        <w:rPr>
          <w:rFonts w:ascii="Arial" w:hAnsi="Arial" w:cs="Arial"/>
          <w:szCs w:val="24"/>
        </w:rPr>
      </w:pPr>
    </w:p>
    <w:p w14:paraId="4FBE152A" w14:textId="77777777" w:rsidR="00192D15" w:rsidRPr="00192D15" w:rsidRDefault="00192D15" w:rsidP="008C76C8">
      <w:pPr>
        <w:spacing w:line="288" w:lineRule="auto"/>
        <w:rPr>
          <w:rFonts w:ascii="Arial" w:eastAsia="Calibri" w:hAnsi="Arial" w:cs="Arial"/>
          <w:szCs w:val="24"/>
          <w:lang w:val="es-ES" w:eastAsia="en-US"/>
        </w:rPr>
      </w:pPr>
    </w:p>
    <w:p w14:paraId="4A3ED24F" w14:textId="77777777" w:rsidR="00192D15" w:rsidRPr="00192D15" w:rsidRDefault="00192D15" w:rsidP="008C76C8">
      <w:pPr>
        <w:spacing w:line="288" w:lineRule="auto"/>
        <w:jc w:val="center"/>
        <w:rPr>
          <w:rFonts w:ascii="Arial" w:eastAsia="Calibri" w:hAnsi="Arial" w:cs="Arial"/>
          <w:b/>
          <w:szCs w:val="24"/>
          <w:lang w:val="es-ES" w:eastAsia="en-US"/>
        </w:rPr>
      </w:pPr>
      <w:r w:rsidRPr="00192D15">
        <w:rPr>
          <w:rFonts w:ascii="Arial" w:eastAsia="Calibri" w:hAnsi="Arial" w:cs="Arial"/>
          <w:b/>
          <w:szCs w:val="24"/>
          <w:lang w:val="es-ES" w:eastAsia="en-US"/>
        </w:rPr>
        <w:t>OLGA LUCÍA HOYOS SEPÚLVEDA</w:t>
      </w:r>
    </w:p>
    <w:p w14:paraId="671709AC" w14:textId="77777777" w:rsidR="00192D15" w:rsidRPr="00192D15" w:rsidRDefault="00192D15" w:rsidP="008C76C8">
      <w:pPr>
        <w:spacing w:line="288" w:lineRule="auto"/>
        <w:jc w:val="center"/>
        <w:rPr>
          <w:rFonts w:ascii="Arial" w:eastAsia="Calibri" w:hAnsi="Arial" w:cs="Arial"/>
          <w:szCs w:val="24"/>
          <w:lang w:val="es-ES" w:eastAsia="en-US"/>
        </w:rPr>
      </w:pPr>
      <w:r w:rsidRPr="00192D15">
        <w:rPr>
          <w:rFonts w:ascii="Arial" w:eastAsia="Calibri" w:hAnsi="Arial" w:cs="Arial"/>
          <w:szCs w:val="24"/>
          <w:lang w:val="es-ES" w:eastAsia="en-US"/>
        </w:rPr>
        <w:t>Magistrada Ponente</w:t>
      </w:r>
    </w:p>
    <w:p w14:paraId="79DAF7AD" w14:textId="77777777" w:rsidR="00192D15" w:rsidRPr="00192D15" w:rsidRDefault="00192D15" w:rsidP="008C76C8">
      <w:pPr>
        <w:spacing w:line="288" w:lineRule="auto"/>
        <w:rPr>
          <w:rFonts w:ascii="Calibri" w:eastAsia="Calibri" w:hAnsi="Calibri"/>
          <w:sz w:val="22"/>
          <w:szCs w:val="22"/>
          <w:lang w:val="es-ES" w:eastAsia="en-US"/>
        </w:rPr>
      </w:pPr>
    </w:p>
    <w:p w14:paraId="605CB323" w14:textId="77777777" w:rsidR="00192D15" w:rsidRPr="00192D15" w:rsidRDefault="00192D15" w:rsidP="008C76C8">
      <w:pPr>
        <w:spacing w:line="288" w:lineRule="auto"/>
        <w:rPr>
          <w:rFonts w:ascii="Calibri" w:eastAsia="Calibri" w:hAnsi="Calibri"/>
          <w:sz w:val="22"/>
          <w:szCs w:val="22"/>
          <w:lang w:val="es-ES" w:eastAsia="en-US"/>
        </w:rPr>
      </w:pPr>
    </w:p>
    <w:p w14:paraId="5F513954" w14:textId="77777777" w:rsidR="00192D15" w:rsidRPr="00192D15" w:rsidRDefault="00192D15" w:rsidP="008C76C8">
      <w:pPr>
        <w:spacing w:line="288" w:lineRule="auto"/>
        <w:jc w:val="both"/>
        <w:rPr>
          <w:rFonts w:ascii="Arial" w:hAnsi="Arial" w:cs="Arial"/>
          <w:bCs/>
          <w:iCs/>
          <w:szCs w:val="24"/>
          <w:lang w:val="es-ES"/>
        </w:rPr>
      </w:pPr>
    </w:p>
    <w:p w14:paraId="4A112FC5" w14:textId="77777777" w:rsidR="00192D15" w:rsidRPr="00192D15" w:rsidRDefault="00192D15" w:rsidP="008C76C8">
      <w:pPr>
        <w:spacing w:line="288" w:lineRule="auto"/>
        <w:jc w:val="both"/>
        <w:rPr>
          <w:rFonts w:ascii="Arial" w:hAnsi="Arial" w:cs="Arial"/>
          <w:b/>
          <w:bCs/>
          <w:iCs/>
          <w:sz w:val="23"/>
          <w:szCs w:val="23"/>
          <w:lang w:val="es-ES"/>
        </w:rPr>
      </w:pPr>
      <w:r w:rsidRPr="00192D15">
        <w:rPr>
          <w:rFonts w:ascii="Arial" w:hAnsi="Arial" w:cs="Arial"/>
          <w:b/>
          <w:bCs/>
          <w:iCs/>
          <w:szCs w:val="24"/>
          <w:lang w:val="es-ES"/>
        </w:rPr>
        <w:t>JULIO CÉSAR SALAZAR MUÑOZ</w:t>
      </w:r>
      <w:r w:rsidRPr="00192D15">
        <w:rPr>
          <w:rFonts w:ascii="Arial" w:hAnsi="Arial" w:cs="Arial"/>
          <w:szCs w:val="24"/>
          <w:lang w:val="es-ES"/>
        </w:rPr>
        <w:tab/>
        <w:t xml:space="preserve">    </w:t>
      </w:r>
      <w:r w:rsidRPr="00192D15">
        <w:rPr>
          <w:rFonts w:ascii="Arial" w:hAnsi="Arial" w:cs="Arial"/>
          <w:b/>
          <w:bCs/>
          <w:iCs/>
          <w:sz w:val="23"/>
          <w:szCs w:val="23"/>
          <w:lang w:val="es-ES"/>
        </w:rPr>
        <w:t>FRANCISCO JAVIER TAMAYO TABARES</w:t>
      </w:r>
    </w:p>
    <w:p w14:paraId="0D34FA19" w14:textId="550AB23F" w:rsidR="00781247" w:rsidRDefault="00192D15" w:rsidP="008C76C8">
      <w:pPr>
        <w:pStyle w:val="Sinespaciado"/>
        <w:spacing w:line="288" w:lineRule="auto"/>
        <w:contextualSpacing/>
        <w:rPr>
          <w:rFonts w:ascii="Arial" w:eastAsia="Times New Roman" w:hAnsi="Arial" w:cs="Arial"/>
          <w:sz w:val="24"/>
          <w:szCs w:val="24"/>
          <w:lang w:val="es-ES" w:eastAsia="es-ES"/>
        </w:rPr>
      </w:pPr>
      <w:r w:rsidRPr="00192D15">
        <w:rPr>
          <w:rFonts w:ascii="Arial" w:eastAsia="Times New Roman" w:hAnsi="Arial" w:cs="Arial"/>
          <w:sz w:val="24"/>
          <w:szCs w:val="24"/>
          <w:lang w:val="es-ES" w:eastAsia="es-ES"/>
        </w:rPr>
        <w:t>Magistrado</w:t>
      </w:r>
      <w:r w:rsidRPr="00192D15">
        <w:rPr>
          <w:rFonts w:ascii="Arial" w:eastAsia="Times New Roman" w:hAnsi="Arial" w:cs="Arial"/>
          <w:sz w:val="24"/>
          <w:szCs w:val="24"/>
          <w:lang w:val="es-ES" w:eastAsia="es-ES"/>
        </w:rPr>
        <w:tab/>
      </w:r>
      <w:r w:rsidRPr="00192D15">
        <w:rPr>
          <w:rFonts w:ascii="Arial" w:eastAsia="Times New Roman" w:hAnsi="Arial" w:cs="Arial"/>
          <w:sz w:val="24"/>
          <w:szCs w:val="24"/>
          <w:lang w:val="es-ES" w:eastAsia="es-ES"/>
        </w:rPr>
        <w:tab/>
      </w:r>
      <w:r w:rsidRPr="00192D15">
        <w:rPr>
          <w:rFonts w:ascii="Arial" w:eastAsia="Times New Roman" w:hAnsi="Arial" w:cs="Arial"/>
          <w:sz w:val="24"/>
          <w:szCs w:val="24"/>
          <w:lang w:val="es-ES" w:eastAsia="es-ES"/>
        </w:rPr>
        <w:tab/>
      </w:r>
      <w:r w:rsidRPr="00192D15">
        <w:rPr>
          <w:rFonts w:ascii="Arial" w:eastAsia="Times New Roman" w:hAnsi="Arial" w:cs="Arial"/>
          <w:sz w:val="24"/>
          <w:szCs w:val="24"/>
          <w:lang w:val="es-ES" w:eastAsia="es-ES"/>
        </w:rPr>
        <w:tab/>
      </w:r>
      <w:r w:rsidRPr="00192D15">
        <w:rPr>
          <w:rFonts w:ascii="Arial" w:eastAsia="Times New Roman" w:hAnsi="Arial" w:cs="Arial"/>
          <w:sz w:val="24"/>
          <w:szCs w:val="24"/>
          <w:lang w:val="es-ES" w:eastAsia="es-ES"/>
        </w:rPr>
        <w:tab/>
        <w:t xml:space="preserve">    </w:t>
      </w:r>
      <w:proofErr w:type="spellStart"/>
      <w:r w:rsidRPr="00192D15">
        <w:rPr>
          <w:rFonts w:ascii="Arial" w:eastAsia="Times New Roman" w:hAnsi="Arial" w:cs="Arial"/>
          <w:sz w:val="24"/>
          <w:szCs w:val="24"/>
          <w:lang w:val="es-ES" w:eastAsia="es-ES"/>
        </w:rPr>
        <w:t>Magistrado</w:t>
      </w:r>
      <w:proofErr w:type="spellEnd"/>
    </w:p>
    <w:p w14:paraId="4F6A04B3" w14:textId="73B782EC" w:rsidR="008B5FCE" w:rsidRDefault="008B5FCE" w:rsidP="008C76C8">
      <w:pPr>
        <w:pStyle w:val="Sinespaciado"/>
        <w:spacing w:line="288"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Salva voto</w:t>
      </w:r>
    </w:p>
    <w:p w14:paraId="1ABD8582" w14:textId="77777777" w:rsidR="008B5FCE" w:rsidRDefault="008B5FCE" w:rsidP="00192D15">
      <w:pPr>
        <w:pStyle w:val="Sinespaciado"/>
        <w:spacing w:line="276" w:lineRule="auto"/>
        <w:contextualSpacing/>
        <w:rPr>
          <w:rFonts w:ascii="Arial" w:eastAsia="Times New Roman" w:hAnsi="Arial" w:cs="Arial"/>
          <w:sz w:val="24"/>
          <w:szCs w:val="24"/>
          <w:lang w:val="es-ES" w:eastAsia="es-ES"/>
        </w:rPr>
      </w:pPr>
    </w:p>
    <w:p w14:paraId="62268880" w14:textId="7B4F7E92" w:rsidR="008B5FCE" w:rsidRDefault="008B5FCE">
      <w:pPr>
        <w:spacing w:after="160" w:line="259" w:lineRule="auto"/>
        <w:rPr>
          <w:rFonts w:ascii="Arial" w:hAnsi="Arial" w:cs="Arial"/>
          <w:szCs w:val="24"/>
          <w:lang w:val="es-ES"/>
        </w:rPr>
      </w:pPr>
      <w:r>
        <w:rPr>
          <w:rFonts w:ascii="Arial" w:hAnsi="Arial" w:cs="Arial"/>
          <w:szCs w:val="24"/>
          <w:lang w:val="es-ES"/>
        </w:rPr>
        <w:br w:type="page"/>
      </w:r>
    </w:p>
    <w:p w14:paraId="39905A8B" w14:textId="3E5BDA7E" w:rsidR="008B5FCE" w:rsidRPr="008B5FCE" w:rsidRDefault="008B5FCE" w:rsidP="008B5FCE">
      <w:pPr>
        <w:widowControl w:val="0"/>
        <w:autoSpaceDE w:val="0"/>
        <w:autoSpaceDN w:val="0"/>
        <w:adjustRightInd w:val="0"/>
        <w:jc w:val="both"/>
        <w:rPr>
          <w:rFonts w:ascii="Arial" w:hAnsi="Arial" w:cs="Arial"/>
          <w:bCs/>
          <w:sz w:val="22"/>
          <w:szCs w:val="22"/>
        </w:rPr>
      </w:pPr>
      <w:r>
        <w:rPr>
          <w:rFonts w:ascii="Arial" w:hAnsi="Arial" w:cs="Arial"/>
          <w:bCs/>
          <w:sz w:val="22"/>
          <w:szCs w:val="22"/>
          <w:lang w:val="es-ES"/>
        </w:rPr>
        <w:lastRenderedPageBreak/>
        <w:t xml:space="preserve">Radicación </w:t>
      </w:r>
      <w:proofErr w:type="spellStart"/>
      <w:r>
        <w:rPr>
          <w:rFonts w:ascii="Arial" w:hAnsi="Arial" w:cs="Arial"/>
          <w:bCs/>
          <w:sz w:val="22"/>
          <w:szCs w:val="22"/>
          <w:lang w:val="es-ES"/>
        </w:rPr>
        <w:t>Nro</w:t>
      </w:r>
      <w:proofErr w:type="spellEnd"/>
      <w:r w:rsidRPr="008B5FCE">
        <w:rPr>
          <w:rFonts w:ascii="Arial" w:hAnsi="Arial" w:cs="Arial"/>
          <w:bCs/>
          <w:sz w:val="22"/>
          <w:szCs w:val="22"/>
          <w:lang w:val="es-ES"/>
        </w:rPr>
        <w:t>:</w:t>
      </w:r>
      <w:r w:rsidRPr="008B5FCE">
        <w:rPr>
          <w:rFonts w:ascii="Arial" w:hAnsi="Arial" w:cs="Arial"/>
          <w:bCs/>
          <w:sz w:val="22"/>
          <w:szCs w:val="22"/>
          <w:lang w:val="es-ES"/>
        </w:rPr>
        <w:tab/>
      </w:r>
      <w:r w:rsidRPr="008B5FCE">
        <w:rPr>
          <w:rFonts w:ascii="Arial" w:hAnsi="Arial" w:cs="Arial"/>
          <w:bCs/>
          <w:sz w:val="22"/>
          <w:szCs w:val="22"/>
        </w:rPr>
        <w:t>66001-31-05-005-2013-00617-02</w:t>
      </w:r>
    </w:p>
    <w:p w14:paraId="71EE552B" w14:textId="64D9F720" w:rsidR="008B5FCE" w:rsidRPr="008B5FCE" w:rsidRDefault="008B5FCE" w:rsidP="008B5FCE">
      <w:pPr>
        <w:widowControl w:val="0"/>
        <w:autoSpaceDE w:val="0"/>
        <w:autoSpaceDN w:val="0"/>
        <w:adjustRightInd w:val="0"/>
        <w:jc w:val="both"/>
        <w:rPr>
          <w:rFonts w:ascii="Arial" w:hAnsi="Arial" w:cs="Arial"/>
          <w:bCs/>
          <w:sz w:val="22"/>
          <w:szCs w:val="22"/>
          <w:lang w:val="es-ES"/>
        </w:rPr>
      </w:pPr>
      <w:r w:rsidRPr="008B5FCE">
        <w:rPr>
          <w:rFonts w:ascii="Arial" w:hAnsi="Arial" w:cs="Arial"/>
          <w:bCs/>
          <w:sz w:val="22"/>
          <w:szCs w:val="22"/>
          <w:lang w:val="es-ES"/>
        </w:rPr>
        <w:t>Demandante:</w:t>
      </w:r>
      <w:r w:rsidRPr="008B5FCE">
        <w:rPr>
          <w:rFonts w:ascii="Arial" w:hAnsi="Arial" w:cs="Arial"/>
          <w:bCs/>
          <w:sz w:val="22"/>
          <w:szCs w:val="22"/>
          <w:lang w:val="es-ES"/>
        </w:rPr>
        <w:tab/>
      </w:r>
      <w:r w:rsidRPr="008B5FCE">
        <w:rPr>
          <w:rFonts w:ascii="Arial" w:hAnsi="Arial" w:cs="Arial"/>
          <w:bCs/>
          <w:sz w:val="22"/>
          <w:szCs w:val="22"/>
          <w:lang w:val="es-ES"/>
        </w:rPr>
        <w:tab/>
      </w:r>
      <w:r w:rsidRPr="008B5FCE">
        <w:rPr>
          <w:rFonts w:ascii="Arial" w:hAnsi="Arial" w:cs="Arial"/>
          <w:bCs/>
          <w:sz w:val="22"/>
          <w:szCs w:val="22"/>
        </w:rPr>
        <w:t>María Zoraida Arroyave Loaiza</w:t>
      </w:r>
    </w:p>
    <w:p w14:paraId="5F46482F" w14:textId="0E104C58" w:rsidR="008B5FCE" w:rsidRPr="008B5FCE" w:rsidRDefault="008B5FCE" w:rsidP="008B5FCE">
      <w:pPr>
        <w:widowControl w:val="0"/>
        <w:autoSpaceDE w:val="0"/>
        <w:autoSpaceDN w:val="0"/>
        <w:adjustRightInd w:val="0"/>
        <w:jc w:val="both"/>
        <w:rPr>
          <w:rFonts w:ascii="Arial" w:hAnsi="Arial" w:cs="Arial"/>
          <w:bCs/>
          <w:sz w:val="22"/>
          <w:szCs w:val="22"/>
          <w:lang w:val="es-ES"/>
        </w:rPr>
      </w:pPr>
      <w:r w:rsidRPr="008B5FCE">
        <w:rPr>
          <w:rFonts w:ascii="Arial" w:hAnsi="Arial" w:cs="Arial"/>
          <w:bCs/>
          <w:sz w:val="22"/>
          <w:szCs w:val="22"/>
          <w:lang w:val="es-ES"/>
        </w:rPr>
        <w:t>Demandado:</w:t>
      </w:r>
      <w:r>
        <w:rPr>
          <w:rFonts w:ascii="Arial" w:hAnsi="Arial" w:cs="Arial"/>
          <w:bCs/>
          <w:sz w:val="22"/>
          <w:szCs w:val="22"/>
          <w:lang w:val="es-ES"/>
        </w:rPr>
        <w:tab/>
      </w:r>
      <w:r>
        <w:rPr>
          <w:rFonts w:ascii="Arial" w:hAnsi="Arial" w:cs="Arial"/>
          <w:bCs/>
          <w:sz w:val="22"/>
          <w:szCs w:val="22"/>
          <w:lang w:val="es-ES"/>
        </w:rPr>
        <w:tab/>
      </w:r>
      <w:r w:rsidRPr="008B5FCE">
        <w:rPr>
          <w:rFonts w:ascii="Arial" w:hAnsi="Arial" w:cs="Arial"/>
          <w:bCs/>
          <w:sz w:val="22"/>
          <w:szCs w:val="22"/>
          <w:lang w:val="es-ES"/>
        </w:rPr>
        <w:t>Protección S.A.</w:t>
      </w:r>
    </w:p>
    <w:p w14:paraId="264C0CC4" w14:textId="77777777" w:rsidR="008B5FCE" w:rsidRPr="008B5FCE" w:rsidRDefault="008B5FCE" w:rsidP="008B5FCE">
      <w:pPr>
        <w:ind w:left="2835" w:hanging="2835"/>
        <w:jc w:val="both"/>
        <w:rPr>
          <w:rFonts w:ascii="Arial" w:hAnsi="Arial" w:cs="Arial"/>
          <w:sz w:val="22"/>
          <w:szCs w:val="22"/>
        </w:rPr>
      </w:pPr>
    </w:p>
    <w:p w14:paraId="4E927EF0" w14:textId="77777777" w:rsidR="008B5FCE" w:rsidRPr="008B5FCE" w:rsidRDefault="008B5FCE" w:rsidP="008B5FCE">
      <w:pPr>
        <w:ind w:right="335"/>
        <w:jc w:val="both"/>
        <w:rPr>
          <w:rFonts w:ascii="Arial" w:hAnsi="Arial" w:cs="Arial"/>
          <w:sz w:val="22"/>
          <w:szCs w:val="22"/>
          <w:lang w:val="es-ES"/>
        </w:rPr>
      </w:pPr>
    </w:p>
    <w:p w14:paraId="651C9ED1" w14:textId="77777777" w:rsidR="008B5FCE" w:rsidRPr="008B5FCE" w:rsidRDefault="008B5FCE" w:rsidP="008B5FCE">
      <w:pPr>
        <w:ind w:right="335"/>
        <w:jc w:val="both"/>
        <w:rPr>
          <w:rFonts w:ascii="Arial" w:hAnsi="Arial" w:cs="Arial"/>
          <w:sz w:val="22"/>
          <w:szCs w:val="22"/>
          <w:lang w:val="es-ES"/>
        </w:rPr>
      </w:pPr>
    </w:p>
    <w:p w14:paraId="1605ABC5" w14:textId="77777777" w:rsidR="008B5FCE" w:rsidRPr="008B5FCE" w:rsidRDefault="008B5FCE" w:rsidP="009C482F">
      <w:pPr>
        <w:widowControl w:val="0"/>
        <w:autoSpaceDE w:val="0"/>
        <w:autoSpaceDN w:val="0"/>
        <w:adjustRightInd w:val="0"/>
        <w:spacing w:line="276" w:lineRule="auto"/>
        <w:jc w:val="center"/>
        <w:rPr>
          <w:rFonts w:ascii="Arial" w:hAnsi="Arial" w:cs="Arial"/>
          <w:b/>
          <w:i/>
          <w:szCs w:val="24"/>
          <w:lang w:val="es-ES"/>
        </w:rPr>
      </w:pPr>
      <w:r w:rsidRPr="008B5FCE">
        <w:rPr>
          <w:rFonts w:ascii="Arial" w:hAnsi="Arial" w:cs="Arial"/>
          <w:i/>
          <w:szCs w:val="24"/>
          <w:lang w:val="es-ES"/>
        </w:rPr>
        <w:t xml:space="preserve">MAGISTRADO: </w:t>
      </w:r>
      <w:r w:rsidRPr="008B5FCE">
        <w:rPr>
          <w:rFonts w:ascii="Arial" w:hAnsi="Arial" w:cs="Arial"/>
          <w:b/>
          <w:i/>
          <w:szCs w:val="24"/>
          <w:lang w:val="es-ES"/>
        </w:rPr>
        <w:t>JULIO CÉSAR SALAZAR MUÑOZ</w:t>
      </w:r>
    </w:p>
    <w:p w14:paraId="729B50FF" w14:textId="77777777" w:rsidR="008B5FCE" w:rsidRPr="008B5FCE" w:rsidRDefault="008B5FCE" w:rsidP="009C482F">
      <w:pPr>
        <w:widowControl w:val="0"/>
        <w:autoSpaceDE w:val="0"/>
        <w:autoSpaceDN w:val="0"/>
        <w:adjustRightInd w:val="0"/>
        <w:spacing w:line="276" w:lineRule="auto"/>
        <w:jc w:val="center"/>
        <w:rPr>
          <w:rFonts w:ascii="Arial" w:hAnsi="Arial" w:cs="Arial"/>
          <w:i/>
          <w:szCs w:val="24"/>
          <w:lang w:val="es-ES"/>
        </w:rPr>
      </w:pPr>
      <w:r w:rsidRPr="008B5FCE">
        <w:rPr>
          <w:rFonts w:ascii="Arial" w:hAnsi="Arial" w:cs="Arial"/>
          <w:i/>
          <w:szCs w:val="24"/>
          <w:lang w:val="es-ES"/>
        </w:rPr>
        <w:t>Pereira, trece (13) de agosto de dos mil diecinueve [2019].</w:t>
      </w:r>
    </w:p>
    <w:p w14:paraId="4B7F3BD3" w14:textId="77777777" w:rsidR="008B5FCE" w:rsidRPr="008B5FCE" w:rsidRDefault="008B5FCE" w:rsidP="009C482F">
      <w:pPr>
        <w:widowControl w:val="0"/>
        <w:autoSpaceDE w:val="0"/>
        <w:autoSpaceDN w:val="0"/>
        <w:adjustRightInd w:val="0"/>
        <w:spacing w:line="276" w:lineRule="auto"/>
        <w:jc w:val="both"/>
        <w:rPr>
          <w:rFonts w:ascii="Arial" w:hAnsi="Arial" w:cs="Arial"/>
          <w:i/>
          <w:szCs w:val="24"/>
          <w:lang w:val="es-ES"/>
        </w:rPr>
      </w:pPr>
      <w:r w:rsidRPr="008B5FCE">
        <w:rPr>
          <w:rFonts w:ascii="Arial" w:hAnsi="Arial" w:cs="Arial"/>
          <w:i/>
          <w:szCs w:val="24"/>
          <w:lang w:val="es-ES"/>
        </w:rPr>
        <w:tab/>
      </w:r>
    </w:p>
    <w:p w14:paraId="6B26EAC9" w14:textId="77777777" w:rsidR="008B5FCE" w:rsidRPr="008B5FCE" w:rsidRDefault="008B5FCE" w:rsidP="009C482F">
      <w:pPr>
        <w:widowControl w:val="0"/>
        <w:autoSpaceDE w:val="0"/>
        <w:autoSpaceDN w:val="0"/>
        <w:adjustRightInd w:val="0"/>
        <w:spacing w:line="276" w:lineRule="auto"/>
        <w:jc w:val="center"/>
        <w:rPr>
          <w:rFonts w:ascii="Arial" w:hAnsi="Arial" w:cs="Arial"/>
          <w:b/>
          <w:i/>
          <w:szCs w:val="24"/>
          <w:lang w:val="es-ES"/>
        </w:rPr>
      </w:pPr>
      <w:r w:rsidRPr="008B5FCE">
        <w:rPr>
          <w:rFonts w:ascii="Arial" w:hAnsi="Arial" w:cs="Arial"/>
          <w:b/>
          <w:i/>
          <w:szCs w:val="24"/>
          <w:lang w:val="es-ES"/>
        </w:rPr>
        <w:t>SALVAMENTO  DE VOTO:</w:t>
      </w:r>
    </w:p>
    <w:p w14:paraId="4F0A18C1" w14:textId="77777777" w:rsidR="008B5FCE" w:rsidRPr="008B5FCE" w:rsidRDefault="008B5FCE" w:rsidP="009C482F">
      <w:pPr>
        <w:widowControl w:val="0"/>
        <w:autoSpaceDE w:val="0"/>
        <w:autoSpaceDN w:val="0"/>
        <w:adjustRightInd w:val="0"/>
        <w:spacing w:line="276" w:lineRule="auto"/>
        <w:jc w:val="both"/>
        <w:rPr>
          <w:rFonts w:ascii="Arial" w:hAnsi="Arial" w:cs="Arial"/>
          <w:iCs/>
          <w:szCs w:val="24"/>
          <w:lang w:val="es-ES"/>
        </w:rPr>
      </w:pPr>
    </w:p>
    <w:p w14:paraId="51648824" w14:textId="77777777" w:rsidR="008B5FCE" w:rsidRPr="008B5FCE" w:rsidRDefault="008B5FCE" w:rsidP="009C482F">
      <w:pPr>
        <w:widowControl w:val="0"/>
        <w:autoSpaceDE w:val="0"/>
        <w:autoSpaceDN w:val="0"/>
        <w:adjustRightInd w:val="0"/>
        <w:spacing w:line="276" w:lineRule="auto"/>
        <w:jc w:val="both"/>
        <w:rPr>
          <w:rFonts w:ascii="Arial" w:hAnsi="Arial" w:cs="Arial"/>
          <w:szCs w:val="24"/>
        </w:rPr>
      </w:pPr>
      <w:r w:rsidRPr="008B5FCE">
        <w:rPr>
          <w:rFonts w:ascii="Arial" w:hAnsi="Arial" w:cs="Arial"/>
          <w:szCs w:val="24"/>
          <w:lang w:val="es-ES"/>
        </w:rPr>
        <w:t xml:space="preserve">Con el respeto que corresponde por la opinión mayoritaria, </w:t>
      </w:r>
      <w:r w:rsidRPr="008B5FCE">
        <w:rPr>
          <w:rFonts w:ascii="Arial" w:hAnsi="Arial" w:cs="Arial"/>
          <w:szCs w:val="24"/>
        </w:rPr>
        <w:t xml:space="preserve"> me aparto de ella para  salvar mi voto en este asunto, en los siguientes términos</w:t>
      </w:r>
      <w:r w:rsidRPr="008B5FCE">
        <w:rPr>
          <w:rFonts w:ascii="Arial" w:hAnsi="Arial" w:cs="Arial"/>
          <w:szCs w:val="24"/>
          <w:lang w:val="es-ES"/>
        </w:rPr>
        <w:t>:</w:t>
      </w:r>
    </w:p>
    <w:p w14:paraId="18C7B9BA" w14:textId="77777777" w:rsidR="008B5FCE" w:rsidRPr="008B5FCE" w:rsidRDefault="008B5FCE" w:rsidP="009C482F">
      <w:pPr>
        <w:spacing w:line="276" w:lineRule="auto"/>
        <w:jc w:val="both"/>
        <w:rPr>
          <w:rFonts w:ascii="Arial" w:hAnsi="Arial" w:cs="Arial"/>
          <w:iCs/>
          <w:szCs w:val="24"/>
        </w:rPr>
      </w:pPr>
    </w:p>
    <w:p w14:paraId="412CD695" w14:textId="77777777" w:rsidR="008B5FCE" w:rsidRPr="008B5FCE" w:rsidRDefault="008B5FCE" w:rsidP="009C482F">
      <w:pPr>
        <w:spacing w:line="276" w:lineRule="auto"/>
        <w:jc w:val="both"/>
        <w:rPr>
          <w:rFonts w:ascii="Arial" w:hAnsi="Arial" w:cs="Arial"/>
          <w:b/>
          <w:iCs/>
          <w:szCs w:val="24"/>
        </w:rPr>
      </w:pPr>
    </w:p>
    <w:p w14:paraId="7030ECF0" w14:textId="77777777" w:rsidR="008B5FCE" w:rsidRPr="008B5FCE" w:rsidRDefault="008B5FCE" w:rsidP="009C482F">
      <w:pPr>
        <w:spacing w:line="276" w:lineRule="auto"/>
        <w:jc w:val="both"/>
        <w:rPr>
          <w:rFonts w:ascii="Arial" w:hAnsi="Arial" w:cs="Arial"/>
          <w:b/>
          <w:iCs/>
          <w:szCs w:val="24"/>
        </w:rPr>
      </w:pPr>
      <w:r w:rsidRPr="008B5FCE">
        <w:rPr>
          <w:rFonts w:ascii="Arial" w:hAnsi="Arial" w:cs="Arial"/>
          <w:b/>
          <w:iCs/>
          <w:szCs w:val="24"/>
        </w:rPr>
        <w:t>POSICIÓN ACTUAL DE LA CORTE SUPREMA DE JUSTICIA FRENTE A LA MORA DEL EMPLEADOR EN EL PAGO DE LOS APORTES A PENSIÓN Y SUS CONSECUENCIAS EN EL RECONOCIMIENTO DE LAS PENSIONES DE INVALIDEZ Y SOBREVIVIENTES.</w:t>
      </w:r>
    </w:p>
    <w:p w14:paraId="1FFEB916" w14:textId="77777777" w:rsidR="008B5FCE" w:rsidRPr="008B5FCE" w:rsidRDefault="008B5FCE" w:rsidP="009C482F">
      <w:pPr>
        <w:spacing w:line="276" w:lineRule="auto"/>
        <w:jc w:val="both"/>
        <w:rPr>
          <w:rFonts w:ascii="Arial" w:hAnsi="Arial" w:cs="Arial"/>
          <w:b/>
          <w:iCs/>
          <w:szCs w:val="24"/>
        </w:rPr>
      </w:pPr>
    </w:p>
    <w:p w14:paraId="0A0F4B40" w14:textId="77777777" w:rsidR="008B5FCE" w:rsidRPr="008B5FCE" w:rsidRDefault="008B5FCE" w:rsidP="009C482F">
      <w:pPr>
        <w:spacing w:line="276" w:lineRule="auto"/>
        <w:jc w:val="both"/>
        <w:rPr>
          <w:rFonts w:ascii="Arial" w:hAnsi="Arial" w:cs="Arial"/>
          <w:iCs/>
          <w:szCs w:val="24"/>
        </w:rPr>
      </w:pPr>
      <w:r w:rsidRPr="008B5FCE">
        <w:rPr>
          <w:rFonts w:ascii="Arial" w:hAnsi="Arial" w:cs="Arial"/>
          <w:iCs/>
          <w:szCs w:val="24"/>
        </w:rPr>
        <w:t xml:space="preserve">Desde sentencia de 22 de julio de 2008, radicación n° 34270, la cual fue reiterada entre otras en las sentencias CSJ </w:t>
      </w:r>
      <w:proofErr w:type="spellStart"/>
      <w:r w:rsidRPr="008B5FCE">
        <w:rPr>
          <w:rFonts w:ascii="Arial" w:hAnsi="Arial" w:cs="Arial"/>
          <w:iCs/>
          <w:szCs w:val="24"/>
        </w:rPr>
        <w:t>SL</w:t>
      </w:r>
      <w:proofErr w:type="spellEnd"/>
      <w:r w:rsidRPr="008B5FCE">
        <w:rPr>
          <w:rFonts w:ascii="Arial" w:hAnsi="Arial" w:cs="Arial"/>
          <w:iCs/>
          <w:szCs w:val="24"/>
        </w:rPr>
        <w:t xml:space="preserve"> del 25 de enero de 2011, No. 37846, CSJ SL4952 de 2016 radicación Nº 47967, la Sala de Casación Laboral de la Corte Suprema de Justicia varió su jurisprudencia frente a las consecuencias que genera la mora patronal en el pago de los aportes al Sistema General de Pensiones, señalando que los afiliados y sus beneficiarios no pueden correr con los efectos negativos respecto a la inactividad del empleador en el pago oportuno de los aportes para cubrir los riesgos </w:t>
      </w:r>
      <w:proofErr w:type="spellStart"/>
      <w:r w:rsidRPr="008B5FCE">
        <w:rPr>
          <w:rFonts w:ascii="Arial" w:hAnsi="Arial" w:cs="Arial"/>
          <w:iCs/>
          <w:szCs w:val="24"/>
        </w:rPr>
        <w:t>IVM</w:t>
      </w:r>
      <w:proofErr w:type="spellEnd"/>
      <w:r w:rsidRPr="008B5FCE">
        <w:rPr>
          <w:rFonts w:ascii="Arial" w:hAnsi="Arial" w:cs="Arial"/>
          <w:iCs/>
          <w:szCs w:val="24"/>
        </w:rPr>
        <w:t xml:space="preserve">, cuando también ha mediado omisión de las administradoras de fondos pensionales en su deber de cobro; por lo que, al no haber ejercido las acciones que le otorgó el legislador con ese fin, les corresponde a ellas asumir el reconocimiento y pago de las prestaciones económicas que cubren esos riesgos, sin que puedan oponerse a validar las cotizaciones que se realicen luego de ocurrido el siniestro en los casos de invalidez o muerte </w:t>
      </w:r>
      <w:r w:rsidRPr="008B5FCE">
        <w:rPr>
          <w:rFonts w:ascii="Arial" w:hAnsi="Arial" w:cs="Arial"/>
          <w:i/>
          <w:iCs/>
          <w:szCs w:val="24"/>
        </w:rPr>
        <w:t>“…pues en estos eventos, la habilitación es una consecuencia de la sanción por la falta de diligencia de la Administradora, razón por la cual se suman para determinar el cumplimiento del requisito de la densidad de cotizaciones, siempre y cuando no se acredite que la Administradora fue diligente.”</w:t>
      </w:r>
      <w:r w:rsidRPr="008B5FCE">
        <w:rPr>
          <w:rFonts w:ascii="Arial" w:hAnsi="Arial" w:cs="Arial"/>
          <w:iCs/>
          <w:szCs w:val="24"/>
        </w:rPr>
        <w:t>.</w:t>
      </w:r>
    </w:p>
    <w:p w14:paraId="07C689F4" w14:textId="77777777" w:rsidR="008B5FCE" w:rsidRPr="008B5FCE" w:rsidRDefault="008B5FCE" w:rsidP="009C482F">
      <w:pPr>
        <w:spacing w:line="276" w:lineRule="auto"/>
        <w:jc w:val="both"/>
        <w:rPr>
          <w:rFonts w:ascii="Arial" w:hAnsi="Arial" w:cs="Arial"/>
          <w:iCs/>
          <w:szCs w:val="24"/>
        </w:rPr>
      </w:pPr>
    </w:p>
    <w:p w14:paraId="66A715DA" w14:textId="77777777" w:rsidR="008B5FCE" w:rsidRPr="008B5FCE" w:rsidRDefault="008B5FCE" w:rsidP="009C482F">
      <w:pPr>
        <w:spacing w:line="276" w:lineRule="auto"/>
        <w:jc w:val="both"/>
        <w:rPr>
          <w:rFonts w:ascii="Arial" w:hAnsi="Arial" w:cs="Arial"/>
          <w:b/>
          <w:iCs/>
          <w:szCs w:val="24"/>
        </w:rPr>
      </w:pPr>
      <w:r w:rsidRPr="008B5FCE">
        <w:rPr>
          <w:rFonts w:ascii="Arial" w:hAnsi="Arial" w:cs="Arial"/>
          <w:b/>
          <w:iCs/>
          <w:szCs w:val="24"/>
        </w:rPr>
        <w:t>IMPUTACIÓN DE PAGOS EN EL SISTEMA DE SEGURIDAD SOCIAL EN SALUD Y PENSIONES.</w:t>
      </w:r>
    </w:p>
    <w:p w14:paraId="32FE3F96" w14:textId="77777777" w:rsidR="008B5FCE" w:rsidRPr="008B5FCE" w:rsidRDefault="008B5FCE" w:rsidP="009C482F">
      <w:pPr>
        <w:spacing w:line="276" w:lineRule="auto"/>
        <w:jc w:val="both"/>
        <w:rPr>
          <w:rFonts w:ascii="Arial" w:hAnsi="Arial" w:cs="Arial"/>
          <w:b/>
          <w:iCs/>
          <w:szCs w:val="24"/>
        </w:rPr>
      </w:pPr>
    </w:p>
    <w:p w14:paraId="5EDA2CD7" w14:textId="77777777" w:rsidR="008B5FCE" w:rsidRPr="008B5FCE" w:rsidRDefault="008B5FCE" w:rsidP="009C482F">
      <w:pPr>
        <w:spacing w:line="276" w:lineRule="auto"/>
        <w:jc w:val="both"/>
        <w:rPr>
          <w:rFonts w:ascii="Arial" w:hAnsi="Arial" w:cs="Arial"/>
          <w:iCs/>
          <w:szCs w:val="24"/>
        </w:rPr>
      </w:pPr>
      <w:r w:rsidRPr="008B5FCE">
        <w:rPr>
          <w:rFonts w:ascii="Arial" w:hAnsi="Arial" w:cs="Arial"/>
          <w:iCs/>
          <w:szCs w:val="24"/>
        </w:rPr>
        <w:t xml:space="preserve">El artículo 53 del Decreto 1406 de 1999, compilado en el artículo 3.2.1.13 del Decreto Único Reglamentario 780 de 2016, establece la forma como deben imputarse los pagos en el sistema de seguridad social en salud y pensiones, determinando en el numeral 4º que con esos pagos se cubren las cotizaciones obligatorias al periodo declarado, indicando que en el caso de pensiones se entienden incluidos los aportes </w:t>
      </w:r>
      <w:r w:rsidRPr="008B5FCE">
        <w:rPr>
          <w:rFonts w:ascii="Arial" w:hAnsi="Arial" w:cs="Arial"/>
          <w:b/>
          <w:iCs/>
          <w:szCs w:val="24"/>
        </w:rPr>
        <w:t>para pensión de invalidez y sobrevivientes</w:t>
      </w:r>
      <w:r w:rsidRPr="008B5FCE">
        <w:rPr>
          <w:rFonts w:ascii="Arial" w:hAnsi="Arial" w:cs="Arial"/>
          <w:iCs/>
          <w:szCs w:val="24"/>
        </w:rPr>
        <w:t xml:space="preserve">, así como los gastos de administración y reaseguro con el fondo de garantías, pero estableciendo a continuación que </w:t>
      </w:r>
      <w:r w:rsidRPr="008B5FCE">
        <w:rPr>
          <w:rFonts w:ascii="Arial" w:hAnsi="Arial" w:cs="Arial"/>
          <w:i/>
          <w:iCs/>
          <w:szCs w:val="24"/>
        </w:rPr>
        <w:t xml:space="preserve">“Cuando el período declarado corresponda a obligaciones en mora para el riesgo de pensiones, podrá efectuarse el pago </w:t>
      </w:r>
      <w:r w:rsidRPr="008B5FCE">
        <w:rPr>
          <w:rFonts w:ascii="Arial" w:hAnsi="Arial" w:cs="Arial"/>
          <w:i/>
          <w:iCs/>
          <w:szCs w:val="24"/>
        </w:rPr>
        <w:lastRenderedPageBreak/>
        <w:t>correspondiente a dichas obligaciones, siempre y cuando no hubiere tenido lugar el siniestro que daría lugar al pago de prestaciones de invalidez o sobrevivencia.”.</w:t>
      </w:r>
    </w:p>
    <w:p w14:paraId="72F71BA7" w14:textId="77777777" w:rsidR="008B5FCE" w:rsidRPr="008B5FCE" w:rsidRDefault="008B5FCE" w:rsidP="009C482F">
      <w:pPr>
        <w:spacing w:line="276" w:lineRule="auto"/>
        <w:jc w:val="both"/>
        <w:rPr>
          <w:rFonts w:ascii="Arial" w:hAnsi="Arial" w:cs="Arial"/>
          <w:iCs/>
          <w:szCs w:val="24"/>
        </w:rPr>
      </w:pPr>
    </w:p>
    <w:p w14:paraId="0CECD6EC" w14:textId="25F577B5" w:rsidR="008B5FCE" w:rsidRPr="008B5FCE" w:rsidRDefault="008B5FCE" w:rsidP="009C482F">
      <w:pPr>
        <w:spacing w:line="276" w:lineRule="auto"/>
        <w:jc w:val="both"/>
        <w:rPr>
          <w:rFonts w:ascii="Arial" w:hAnsi="Arial" w:cs="Arial"/>
          <w:iCs/>
          <w:szCs w:val="24"/>
        </w:rPr>
      </w:pPr>
      <w:r w:rsidRPr="008B5FCE">
        <w:rPr>
          <w:rFonts w:ascii="Arial" w:hAnsi="Arial" w:cs="Arial"/>
          <w:iCs/>
          <w:szCs w:val="24"/>
        </w:rPr>
        <w:t xml:space="preserve">No obstante lo anterior, los aportes para cubrir esos riesgos se rigen bajo la teoría de los seguros, como se desprende de la lectura del artículo 20 de la Ley 100 de 1993 modificado por el artículo 7º de la Ley 797 de 2003 cuando establece que el 3% de la cotización en ambos regímenes se destinará al pago de las correspondientes primas. </w:t>
      </w:r>
    </w:p>
    <w:p w14:paraId="74FDDBF2" w14:textId="77777777" w:rsidR="008B5FCE" w:rsidRPr="008B5FCE" w:rsidRDefault="008B5FCE" w:rsidP="009C482F">
      <w:pPr>
        <w:spacing w:line="276" w:lineRule="auto"/>
        <w:jc w:val="both"/>
        <w:rPr>
          <w:rFonts w:ascii="Arial" w:hAnsi="Arial" w:cs="Arial"/>
          <w:iCs/>
          <w:szCs w:val="24"/>
        </w:rPr>
      </w:pPr>
    </w:p>
    <w:p w14:paraId="49EBC64E" w14:textId="77777777" w:rsidR="008B5FCE" w:rsidRPr="008B5FCE" w:rsidRDefault="008B5FCE" w:rsidP="009C482F">
      <w:pPr>
        <w:spacing w:line="276" w:lineRule="auto"/>
        <w:jc w:val="both"/>
        <w:rPr>
          <w:rFonts w:ascii="Arial" w:hAnsi="Arial" w:cs="Arial"/>
          <w:szCs w:val="24"/>
        </w:rPr>
      </w:pPr>
      <w:r w:rsidRPr="008B5FCE">
        <w:rPr>
          <w:rFonts w:ascii="Arial" w:hAnsi="Arial" w:cs="Arial"/>
          <w:iCs/>
          <w:szCs w:val="24"/>
        </w:rPr>
        <w:t>En efecto,</w:t>
      </w:r>
      <w:r w:rsidRPr="008B5FCE">
        <w:rPr>
          <w:rFonts w:ascii="Arial" w:hAnsi="Arial" w:cs="Arial"/>
          <w:szCs w:val="24"/>
        </w:rPr>
        <w:t xml:space="preserve"> dispone el artículo 20 de la ley 100 de 1993 lo siguiente:</w:t>
      </w:r>
    </w:p>
    <w:p w14:paraId="75236DAF" w14:textId="77777777" w:rsidR="008B5FCE" w:rsidRPr="008B5FCE" w:rsidRDefault="008B5FCE" w:rsidP="009C482F">
      <w:pPr>
        <w:spacing w:line="276" w:lineRule="auto"/>
        <w:jc w:val="both"/>
        <w:rPr>
          <w:rFonts w:ascii="Arial" w:hAnsi="Arial" w:cs="Arial"/>
          <w:szCs w:val="24"/>
        </w:rPr>
      </w:pPr>
    </w:p>
    <w:p w14:paraId="6B33BA1F" w14:textId="77777777" w:rsidR="008B5FCE" w:rsidRPr="008B5FCE" w:rsidRDefault="008B5FCE" w:rsidP="008B5FCE">
      <w:pPr>
        <w:ind w:left="426" w:right="418"/>
        <w:jc w:val="both"/>
        <w:rPr>
          <w:rFonts w:ascii="Arial" w:hAnsi="Arial" w:cs="Arial"/>
          <w:sz w:val="22"/>
          <w:szCs w:val="22"/>
          <w:lang w:val="es-ES"/>
        </w:rPr>
      </w:pPr>
      <w:bookmarkStart w:id="1" w:name="20"/>
      <w:r w:rsidRPr="008B5FCE">
        <w:rPr>
          <w:rFonts w:ascii="Arial" w:hAnsi="Arial" w:cs="Arial"/>
          <w:b/>
          <w:bCs/>
          <w:sz w:val="22"/>
          <w:szCs w:val="22"/>
          <w:lang w:val="es-ES"/>
        </w:rPr>
        <w:t>“ARTÍCULO 20. MONTO DE LAS COTIZACIONES.</w:t>
      </w:r>
      <w:bookmarkEnd w:id="1"/>
      <w:r w:rsidRPr="008B5FCE">
        <w:rPr>
          <w:rFonts w:ascii="Arial" w:hAnsi="Arial" w:cs="Arial"/>
          <w:sz w:val="22"/>
          <w:szCs w:val="22"/>
          <w:lang w:val="es-ES"/>
        </w:rPr>
        <w:t>  Modificado por el artículo 7</w:t>
      </w:r>
      <w:hyperlink r:id="rId9" w:anchor="7" w:history="1"/>
      <w:r w:rsidRPr="008B5FCE">
        <w:rPr>
          <w:rFonts w:ascii="Arial" w:hAnsi="Arial" w:cs="Arial"/>
          <w:sz w:val="22"/>
          <w:szCs w:val="22"/>
          <w:lang w:val="es-ES"/>
        </w:rPr>
        <w:t xml:space="preserve"> de la Ley 797 de 2003. </w:t>
      </w:r>
    </w:p>
    <w:p w14:paraId="3A7838AA" w14:textId="77777777" w:rsidR="008B5FCE" w:rsidRPr="008B5FCE" w:rsidRDefault="008B5FCE" w:rsidP="008B5FCE">
      <w:pPr>
        <w:ind w:left="426" w:right="418"/>
        <w:jc w:val="both"/>
        <w:rPr>
          <w:rFonts w:ascii="Arial" w:hAnsi="Arial" w:cs="Arial"/>
          <w:sz w:val="22"/>
          <w:szCs w:val="22"/>
          <w:lang w:val="es-ES"/>
        </w:rPr>
      </w:pPr>
    </w:p>
    <w:p w14:paraId="31229FE9" w14:textId="77777777" w:rsidR="008B5FCE" w:rsidRPr="008B5FCE" w:rsidRDefault="008B5FCE" w:rsidP="008B5FCE">
      <w:pPr>
        <w:ind w:left="426" w:right="418"/>
        <w:jc w:val="both"/>
        <w:rPr>
          <w:rFonts w:ascii="Arial" w:hAnsi="Arial" w:cs="Arial"/>
          <w:sz w:val="22"/>
          <w:szCs w:val="22"/>
          <w:lang w:val="es-ES"/>
        </w:rPr>
      </w:pPr>
      <w:r w:rsidRPr="008B5FCE">
        <w:rPr>
          <w:rFonts w:ascii="Arial" w:hAnsi="Arial" w:cs="Arial"/>
          <w:sz w:val="22"/>
          <w:szCs w:val="22"/>
          <w:lang w:val="es-ES"/>
        </w:rPr>
        <w:t>La tasa de cotización continuará en el 13.5%* del ingreso base de cotización.</w:t>
      </w:r>
    </w:p>
    <w:p w14:paraId="185D726E" w14:textId="77777777" w:rsidR="008B5FCE" w:rsidRPr="008B5FCE" w:rsidRDefault="008B5FCE" w:rsidP="008B5FCE">
      <w:pPr>
        <w:ind w:left="426" w:right="418"/>
        <w:jc w:val="both"/>
        <w:rPr>
          <w:rFonts w:ascii="Arial" w:hAnsi="Arial" w:cs="Arial"/>
          <w:sz w:val="22"/>
          <w:szCs w:val="22"/>
          <w:lang w:val="es-ES"/>
        </w:rPr>
      </w:pPr>
    </w:p>
    <w:p w14:paraId="53FBB60F" w14:textId="77777777" w:rsidR="008B5FCE" w:rsidRPr="008B5FCE" w:rsidRDefault="008B5FCE" w:rsidP="008B5FCE">
      <w:pPr>
        <w:ind w:left="426" w:right="418"/>
        <w:jc w:val="both"/>
        <w:rPr>
          <w:rFonts w:ascii="Arial" w:hAnsi="Arial" w:cs="Arial"/>
          <w:b/>
          <w:sz w:val="22"/>
          <w:szCs w:val="22"/>
          <w:lang w:val="es-ES"/>
        </w:rPr>
      </w:pPr>
      <w:r w:rsidRPr="008B5FCE">
        <w:rPr>
          <w:rFonts w:ascii="Arial" w:hAnsi="Arial" w:cs="Arial"/>
          <w:sz w:val="22"/>
          <w:szCs w:val="22"/>
          <w:lang w:val="es-ES"/>
        </w:rPr>
        <w:t xml:space="preserve">En el régimen de prima media con prestación definida el 10.5% del ingreso base de cotización se destinará a financiar la pensión de vejez y la constitución de reservas para tal efecto. </w:t>
      </w:r>
      <w:r w:rsidRPr="008B5FCE">
        <w:rPr>
          <w:rFonts w:ascii="Arial" w:hAnsi="Arial" w:cs="Arial"/>
          <w:b/>
          <w:sz w:val="22"/>
          <w:szCs w:val="22"/>
          <w:lang w:val="es-ES"/>
        </w:rPr>
        <w:t>El 3% restante sobre el ingreso base de cotización se destinará a financiar los gastos de administración y la pensión de invalidez y sobrevivientes.</w:t>
      </w:r>
    </w:p>
    <w:p w14:paraId="7A843DF4" w14:textId="77777777" w:rsidR="008B5FCE" w:rsidRPr="008B5FCE" w:rsidRDefault="008B5FCE" w:rsidP="008B5FCE">
      <w:pPr>
        <w:ind w:left="426" w:right="418"/>
        <w:jc w:val="both"/>
        <w:rPr>
          <w:rFonts w:ascii="Arial" w:hAnsi="Arial" w:cs="Arial"/>
          <w:sz w:val="22"/>
          <w:szCs w:val="22"/>
          <w:lang w:val="es-ES"/>
        </w:rPr>
      </w:pPr>
    </w:p>
    <w:p w14:paraId="3E49B80C" w14:textId="77777777" w:rsidR="008B5FCE" w:rsidRPr="008B5FCE" w:rsidRDefault="008B5FCE" w:rsidP="008B5FCE">
      <w:pPr>
        <w:ind w:left="426" w:right="418"/>
        <w:jc w:val="both"/>
        <w:rPr>
          <w:rFonts w:ascii="Arial" w:hAnsi="Arial" w:cs="Arial"/>
          <w:sz w:val="22"/>
          <w:szCs w:val="22"/>
          <w:lang w:val="es-ES"/>
        </w:rPr>
      </w:pPr>
      <w:r w:rsidRPr="008B5FCE">
        <w:rPr>
          <w:rFonts w:ascii="Arial" w:hAnsi="Arial" w:cs="Arial"/>
          <w:sz w:val="22"/>
          <w:szCs w:val="22"/>
          <w:lang w:val="es-ES"/>
        </w:rPr>
        <w:t xml:space="preserve">En el régimen de ahorro individual con solidaridad el 10% del ingreso base de cotización se destinará a las cuentas individuales de ahorro pensional. Un 0.5% del ingreso base de cotización se destinará al Fondo de Garantía de Pensión Mínima del Régimen de Ahorro Individual con Solidaridad </w:t>
      </w:r>
      <w:r w:rsidRPr="008B5FCE">
        <w:rPr>
          <w:rFonts w:ascii="Arial" w:hAnsi="Arial" w:cs="Arial"/>
          <w:b/>
          <w:sz w:val="22"/>
          <w:szCs w:val="22"/>
          <w:lang w:val="es-ES"/>
        </w:rPr>
        <w:t xml:space="preserve">y el 3% restante se destinará a financiar los gastos de administración, la prima de reaseguros de </w:t>
      </w:r>
      <w:proofErr w:type="spellStart"/>
      <w:r w:rsidRPr="008B5FCE">
        <w:rPr>
          <w:rFonts w:ascii="Arial" w:hAnsi="Arial" w:cs="Arial"/>
          <w:b/>
          <w:sz w:val="22"/>
          <w:szCs w:val="22"/>
          <w:lang w:val="es-ES"/>
        </w:rPr>
        <w:t>Fogafín</w:t>
      </w:r>
      <w:proofErr w:type="spellEnd"/>
      <w:r w:rsidRPr="008B5FCE">
        <w:rPr>
          <w:rFonts w:ascii="Arial" w:hAnsi="Arial" w:cs="Arial"/>
          <w:b/>
          <w:sz w:val="22"/>
          <w:szCs w:val="22"/>
          <w:lang w:val="es-ES"/>
        </w:rPr>
        <w:t>, y las primas de los seguros de invalidez y sobrevivientes</w:t>
      </w:r>
      <w:r w:rsidRPr="008B5FCE">
        <w:rPr>
          <w:rFonts w:ascii="Arial" w:hAnsi="Arial" w:cs="Arial"/>
          <w:sz w:val="22"/>
          <w:szCs w:val="22"/>
          <w:lang w:val="es-ES"/>
        </w:rPr>
        <w:t>…..”</w:t>
      </w:r>
    </w:p>
    <w:p w14:paraId="2D266852" w14:textId="77777777" w:rsidR="008B5FCE" w:rsidRPr="008B5FCE" w:rsidRDefault="008B5FCE" w:rsidP="0096784A">
      <w:pPr>
        <w:spacing w:line="276" w:lineRule="auto"/>
        <w:ind w:left="708"/>
        <w:jc w:val="both"/>
        <w:rPr>
          <w:rFonts w:ascii="Arial" w:hAnsi="Arial" w:cs="Arial"/>
          <w:sz w:val="22"/>
          <w:szCs w:val="22"/>
          <w:lang w:val="es-ES"/>
        </w:rPr>
      </w:pPr>
    </w:p>
    <w:p w14:paraId="357CE1F7" w14:textId="048A1464" w:rsidR="008B5FCE" w:rsidRPr="008B5FCE" w:rsidRDefault="008B5FCE" w:rsidP="0096784A">
      <w:pPr>
        <w:spacing w:line="276" w:lineRule="auto"/>
        <w:jc w:val="both"/>
        <w:rPr>
          <w:rFonts w:ascii="Arial" w:hAnsi="Arial" w:cs="Arial"/>
          <w:iCs/>
          <w:szCs w:val="24"/>
        </w:rPr>
      </w:pPr>
      <w:r w:rsidRPr="008B5FCE">
        <w:rPr>
          <w:rFonts w:ascii="Arial" w:hAnsi="Arial" w:cs="Arial"/>
          <w:szCs w:val="24"/>
          <w:lang w:val="es-ES"/>
        </w:rPr>
        <w:t>Lo resaltado en negrilla deja en evidencia que los riesgos de invalidez y sobrevivientes se cubren mes a mes con el pago de una póliza que si no se paga, no ampara el cubrimiento de la contingencia. Entonces, no se trata –como en la dinámica de la pensión de vejez</w:t>
      </w:r>
      <w:r w:rsidR="00D704E0">
        <w:rPr>
          <w:rFonts w:ascii="Arial" w:hAnsi="Arial" w:cs="Arial"/>
          <w:szCs w:val="24"/>
          <w:lang w:val="es-ES"/>
        </w:rPr>
        <w:t>–</w:t>
      </w:r>
      <w:r w:rsidRPr="008B5FCE">
        <w:rPr>
          <w:rFonts w:ascii="Arial" w:hAnsi="Arial" w:cs="Arial"/>
          <w:szCs w:val="24"/>
          <w:lang w:val="es-ES"/>
        </w:rPr>
        <w:t xml:space="preserve"> de la reunión de una suma que permita cubrir el riesgo –porque entre otras cosas las 50 semanas exigidas a título de requisito operan como un periodo de espera, pero no de acumulación de un capital que permita asumir el pago de la prestación</w:t>
      </w:r>
      <w:r w:rsidR="00D704E0">
        <w:rPr>
          <w:rFonts w:ascii="Arial" w:hAnsi="Arial" w:cs="Arial"/>
          <w:szCs w:val="24"/>
          <w:lang w:val="es-ES"/>
        </w:rPr>
        <w:t>–</w:t>
      </w:r>
      <w:r w:rsidRPr="008B5FCE">
        <w:rPr>
          <w:rFonts w:ascii="Arial" w:hAnsi="Arial" w:cs="Arial"/>
          <w:szCs w:val="24"/>
          <w:lang w:val="es-ES"/>
        </w:rPr>
        <w:t>.</w:t>
      </w:r>
    </w:p>
    <w:p w14:paraId="12F581D9" w14:textId="77777777" w:rsidR="008B5FCE" w:rsidRPr="008B5FCE" w:rsidRDefault="008B5FCE" w:rsidP="0096784A">
      <w:pPr>
        <w:spacing w:line="276" w:lineRule="auto"/>
        <w:jc w:val="both"/>
        <w:rPr>
          <w:rFonts w:ascii="Arial" w:hAnsi="Arial" w:cs="Arial"/>
          <w:b/>
          <w:iCs/>
          <w:szCs w:val="24"/>
        </w:rPr>
      </w:pPr>
    </w:p>
    <w:p w14:paraId="6F830F63" w14:textId="77777777" w:rsidR="008B5FCE" w:rsidRPr="008B5FCE" w:rsidRDefault="008B5FCE" w:rsidP="0096784A">
      <w:pPr>
        <w:spacing w:line="276" w:lineRule="auto"/>
        <w:jc w:val="both"/>
        <w:rPr>
          <w:rFonts w:ascii="Arial" w:hAnsi="Arial" w:cs="Arial"/>
          <w:b/>
          <w:iCs/>
          <w:szCs w:val="24"/>
        </w:rPr>
      </w:pPr>
      <w:r w:rsidRPr="008B5FCE">
        <w:rPr>
          <w:rFonts w:ascii="Arial" w:hAnsi="Arial" w:cs="Arial"/>
          <w:b/>
          <w:iCs/>
          <w:szCs w:val="24"/>
        </w:rPr>
        <w:t>PRINCIPIO DE LEGALIDAD DE LAS SANCIONES</w:t>
      </w:r>
    </w:p>
    <w:p w14:paraId="11F23397" w14:textId="77777777" w:rsidR="008B5FCE" w:rsidRPr="008B5FCE" w:rsidRDefault="008B5FCE" w:rsidP="0096784A">
      <w:pPr>
        <w:spacing w:line="276" w:lineRule="auto"/>
        <w:jc w:val="both"/>
        <w:rPr>
          <w:rFonts w:ascii="Arial" w:hAnsi="Arial" w:cs="Arial"/>
          <w:iCs/>
          <w:szCs w:val="24"/>
        </w:rPr>
      </w:pPr>
    </w:p>
    <w:p w14:paraId="13B1ED9E" w14:textId="77777777" w:rsidR="008B5FCE" w:rsidRPr="008B5FCE" w:rsidRDefault="008B5FCE" w:rsidP="0096784A">
      <w:pPr>
        <w:spacing w:line="276" w:lineRule="auto"/>
        <w:jc w:val="both"/>
        <w:rPr>
          <w:rFonts w:ascii="Arial" w:hAnsi="Arial" w:cs="Arial"/>
          <w:iCs/>
          <w:szCs w:val="24"/>
        </w:rPr>
      </w:pPr>
      <w:r w:rsidRPr="008B5FCE">
        <w:rPr>
          <w:rFonts w:ascii="Arial" w:hAnsi="Arial" w:cs="Arial"/>
          <w:iCs/>
          <w:szCs w:val="24"/>
        </w:rPr>
        <w:t xml:space="preserve">Establece el artículo 29 de la Constitución Nacional que el debido proceso debe aplicarse a toda clase de actuaciones judiciales y administrativas, señalando posteriormente que </w:t>
      </w:r>
      <w:r w:rsidRPr="008B5FCE">
        <w:rPr>
          <w:rFonts w:ascii="Arial" w:hAnsi="Arial" w:cs="Arial"/>
          <w:b/>
          <w:iCs/>
          <w:szCs w:val="24"/>
        </w:rPr>
        <w:t>nadie podrá ser juzgado sino conforme a leyes preexistentes al acto que se le imputa.</w:t>
      </w:r>
    </w:p>
    <w:p w14:paraId="2BF57DFF" w14:textId="77777777" w:rsidR="008B5FCE" w:rsidRPr="008B5FCE" w:rsidRDefault="008B5FCE" w:rsidP="0096784A">
      <w:pPr>
        <w:spacing w:line="276" w:lineRule="auto"/>
        <w:jc w:val="both"/>
        <w:rPr>
          <w:rFonts w:ascii="Arial" w:hAnsi="Arial" w:cs="Arial"/>
          <w:iCs/>
          <w:szCs w:val="24"/>
        </w:rPr>
      </w:pPr>
    </w:p>
    <w:p w14:paraId="03EF70F0" w14:textId="77777777" w:rsidR="008B5FCE" w:rsidRPr="008B5FCE" w:rsidRDefault="008B5FCE" w:rsidP="0096784A">
      <w:pPr>
        <w:spacing w:line="276" w:lineRule="auto"/>
        <w:jc w:val="both"/>
        <w:rPr>
          <w:rFonts w:ascii="Arial" w:hAnsi="Arial" w:cs="Arial"/>
          <w:iCs/>
          <w:szCs w:val="24"/>
        </w:rPr>
      </w:pPr>
      <w:r w:rsidRPr="008B5FCE">
        <w:rPr>
          <w:rFonts w:ascii="Arial" w:hAnsi="Arial" w:cs="Arial"/>
          <w:iCs/>
          <w:szCs w:val="24"/>
        </w:rPr>
        <w:t>En desarrollo de dicho precepto, la Corte Constitucional, entre otras, en sentencia C-475 de 18 de mayo de 2004 con ponencia del Dr. Marco Gerardo Monroy Cabra, enseñó que en aras de garantizar ese derecho constitucional, la doctrina y la jurisprudencia han reconocido que en materia de sanciones, se debe cumplir con los principios de tipicidad y legalidad, consistentes en que tanto la infracción como su sanción deben estar inequívocamente regulados.</w:t>
      </w:r>
    </w:p>
    <w:p w14:paraId="13CC5DBD" w14:textId="77777777" w:rsidR="008B5FCE" w:rsidRPr="008B5FCE" w:rsidRDefault="008B5FCE" w:rsidP="0096784A">
      <w:pPr>
        <w:spacing w:line="276" w:lineRule="auto"/>
        <w:jc w:val="both"/>
        <w:rPr>
          <w:rFonts w:ascii="Arial" w:hAnsi="Arial" w:cs="Arial"/>
          <w:iCs/>
          <w:szCs w:val="24"/>
        </w:rPr>
      </w:pPr>
    </w:p>
    <w:p w14:paraId="2234D821" w14:textId="77777777" w:rsidR="008B5FCE" w:rsidRPr="008B5FCE" w:rsidRDefault="008B5FCE" w:rsidP="0096784A">
      <w:pPr>
        <w:spacing w:line="276" w:lineRule="auto"/>
        <w:jc w:val="both"/>
        <w:rPr>
          <w:rFonts w:ascii="Arial" w:hAnsi="Arial" w:cs="Arial"/>
          <w:iCs/>
          <w:szCs w:val="24"/>
        </w:rPr>
      </w:pPr>
      <w:r w:rsidRPr="008B5FCE">
        <w:rPr>
          <w:rFonts w:ascii="Arial" w:hAnsi="Arial" w:cs="Arial"/>
          <w:iCs/>
          <w:szCs w:val="24"/>
        </w:rPr>
        <w:lastRenderedPageBreak/>
        <w:t xml:space="preserve">En ese sentido, determinó el máximo órgano de la jurisdicción constitucional, que </w:t>
      </w:r>
      <w:r w:rsidRPr="008B5FCE">
        <w:rPr>
          <w:rFonts w:ascii="Arial" w:hAnsi="Arial" w:cs="Arial"/>
          <w:i/>
          <w:iCs/>
          <w:szCs w:val="24"/>
        </w:rPr>
        <w:t>“El principio de legalidad de las sanciones exige: (i) que el señalamiento de la sanción sea hecho directamente por el legislador; (ii) que este señalamiento sea previo al momento de comisión del ilícito y también al acto que determina la imposición de la sanción; (iii) que la sanción se determine no sólo previamente, sino también plenamente, es decir que sea determinada y no determinable.</w:t>
      </w:r>
      <w:r w:rsidRPr="008B5FCE">
        <w:rPr>
          <w:rFonts w:ascii="Arial" w:hAnsi="Arial" w:cs="Arial"/>
          <w:iCs/>
          <w:szCs w:val="24"/>
        </w:rPr>
        <w:t>”.</w:t>
      </w:r>
    </w:p>
    <w:p w14:paraId="605433DE" w14:textId="77777777" w:rsidR="008B5FCE" w:rsidRPr="008B5FCE" w:rsidRDefault="008B5FCE" w:rsidP="0096784A">
      <w:pPr>
        <w:spacing w:line="276" w:lineRule="auto"/>
        <w:jc w:val="both"/>
        <w:rPr>
          <w:rFonts w:ascii="Arial" w:hAnsi="Arial" w:cs="Arial"/>
          <w:iCs/>
          <w:szCs w:val="24"/>
        </w:rPr>
      </w:pPr>
    </w:p>
    <w:p w14:paraId="1956A93D" w14:textId="77777777" w:rsidR="008B5FCE" w:rsidRPr="008B5FCE" w:rsidRDefault="008B5FCE" w:rsidP="0096784A">
      <w:pPr>
        <w:spacing w:line="276" w:lineRule="auto"/>
        <w:jc w:val="both"/>
        <w:rPr>
          <w:rFonts w:ascii="Arial" w:hAnsi="Arial" w:cs="Arial"/>
          <w:b/>
          <w:iCs/>
          <w:szCs w:val="24"/>
        </w:rPr>
      </w:pPr>
      <w:r w:rsidRPr="008B5FCE">
        <w:rPr>
          <w:rFonts w:ascii="Arial" w:hAnsi="Arial" w:cs="Arial"/>
          <w:b/>
          <w:iCs/>
          <w:szCs w:val="24"/>
        </w:rPr>
        <w:t xml:space="preserve">IMPOSICIÓN DE SANCIONES AL EMPLEADOR QUE INCUMPLA CON EL DEBER DE PAGO DE LOS APORTES AL SISTEMA GENERAL DE PENSIONES DE SU TRABAJADOR AFILIADO </w:t>
      </w:r>
    </w:p>
    <w:p w14:paraId="2CA7379E" w14:textId="77777777" w:rsidR="008B5FCE" w:rsidRPr="008B5FCE" w:rsidRDefault="008B5FCE" w:rsidP="0096784A">
      <w:pPr>
        <w:spacing w:line="276" w:lineRule="auto"/>
        <w:jc w:val="both"/>
        <w:rPr>
          <w:rFonts w:ascii="Arial" w:hAnsi="Arial" w:cs="Arial"/>
          <w:b/>
          <w:iCs/>
          <w:szCs w:val="24"/>
        </w:rPr>
      </w:pPr>
    </w:p>
    <w:p w14:paraId="260D738E" w14:textId="728221EF" w:rsidR="008B5FCE" w:rsidRPr="008B5FCE" w:rsidRDefault="008B5FCE" w:rsidP="0096784A">
      <w:pPr>
        <w:spacing w:line="276" w:lineRule="auto"/>
        <w:jc w:val="both"/>
        <w:rPr>
          <w:rFonts w:ascii="Arial" w:hAnsi="Arial" w:cs="Arial"/>
          <w:iCs/>
          <w:szCs w:val="24"/>
        </w:rPr>
      </w:pPr>
      <w:r w:rsidRPr="008B5FCE">
        <w:rPr>
          <w:rFonts w:ascii="Arial" w:hAnsi="Arial" w:cs="Arial"/>
          <w:iCs/>
          <w:szCs w:val="24"/>
        </w:rPr>
        <w:t xml:space="preserve">El artículo 12 del capítulo I “SANCIONES POR MORA EN EL PAGO DE LOS APORTES PATRONO – LABORALES” del Decreto 2665 de 1988, aplicable a este tipo de casos por remisión expresa del artículo 31 de la Ley 100 de 1993, establece que </w:t>
      </w:r>
      <w:r w:rsidRPr="008B5FCE">
        <w:rPr>
          <w:rFonts w:ascii="Arial" w:hAnsi="Arial" w:cs="Arial"/>
          <w:i/>
          <w:iCs/>
          <w:szCs w:val="24"/>
        </w:rPr>
        <w:t>“</w:t>
      </w:r>
      <w:r w:rsidRPr="008B5FCE">
        <w:rPr>
          <w:rFonts w:ascii="Arial" w:hAnsi="Arial" w:cs="Arial"/>
          <w:i/>
          <w:iCs/>
          <w:sz w:val="22"/>
          <w:szCs w:val="24"/>
        </w:rPr>
        <w:t>En el período de mora en el pago de los aportes y haciendo salvedad de las prestaciones ya causadas, el Instituto queda relevado de la obligación de otorgar las prestaciones económico - asistenciales propias de los Seguros de Enfermedad General, Maternidad, Servicio Médico Familiar, Invalidez, Vejez y Muerte, Accidentes de Trabajo y Enfermedades Profesionales, correspondiéndole al patrono su reconocimiento en la forma y cuantía en que el ISS las hubiere otorgado si no hubiere existido la mora</w:t>
      </w:r>
      <w:r w:rsidRPr="008B5FCE">
        <w:rPr>
          <w:rFonts w:ascii="Arial" w:hAnsi="Arial" w:cs="Arial"/>
          <w:i/>
          <w:iCs/>
          <w:szCs w:val="24"/>
        </w:rPr>
        <w:t>”</w:t>
      </w:r>
      <w:r w:rsidRPr="008B5FCE">
        <w:rPr>
          <w:rFonts w:ascii="Arial" w:hAnsi="Arial" w:cs="Arial"/>
          <w:iCs/>
          <w:szCs w:val="24"/>
        </w:rPr>
        <w:t>.</w:t>
      </w:r>
    </w:p>
    <w:p w14:paraId="6D16C92D" w14:textId="77777777" w:rsidR="008B5FCE" w:rsidRPr="008B5FCE" w:rsidRDefault="008B5FCE" w:rsidP="0096784A">
      <w:pPr>
        <w:spacing w:line="276" w:lineRule="auto"/>
        <w:jc w:val="both"/>
        <w:rPr>
          <w:rFonts w:ascii="Arial" w:hAnsi="Arial" w:cs="Arial"/>
          <w:iCs/>
          <w:szCs w:val="24"/>
        </w:rPr>
      </w:pPr>
    </w:p>
    <w:p w14:paraId="1E30C533" w14:textId="77777777" w:rsidR="008B5FCE" w:rsidRPr="008B5FCE" w:rsidRDefault="008B5FCE" w:rsidP="0096784A">
      <w:pPr>
        <w:spacing w:line="276" w:lineRule="auto"/>
        <w:ind w:right="284"/>
        <w:jc w:val="both"/>
        <w:rPr>
          <w:rFonts w:ascii="Arial" w:hAnsi="Arial" w:cs="Arial"/>
          <w:b/>
          <w:szCs w:val="24"/>
          <w:lang w:val="es-CO"/>
        </w:rPr>
      </w:pPr>
      <w:r w:rsidRPr="008B5FCE">
        <w:rPr>
          <w:rFonts w:ascii="Arial" w:hAnsi="Arial" w:cs="Arial"/>
          <w:b/>
          <w:szCs w:val="24"/>
          <w:lang w:val="es-CO"/>
        </w:rPr>
        <w:t>EL CASO CONCRETO</w:t>
      </w:r>
    </w:p>
    <w:p w14:paraId="500A0720" w14:textId="77777777" w:rsidR="008B5FCE" w:rsidRPr="008B5FCE" w:rsidRDefault="008B5FCE" w:rsidP="0096784A">
      <w:pPr>
        <w:spacing w:line="276" w:lineRule="auto"/>
        <w:jc w:val="both"/>
        <w:rPr>
          <w:rFonts w:ascii="Arial" w:eastAsia="Calibri" w:hAnsi="Arial" w:cs="Arial"/>
          <w:szCs w:val="22"/>
          <w:lang w:val="es-CO" w:eastAsia="en-US"/>
        </w:rPr>
      </w:pPr>
    </w:p>
    <w:p w14:paraId="2BC0290C"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 xml:space="preserve">El señor </w:t>
      </w:r>
      <w:proofErr w:type="spellStart"/>
      <w:r w:rsidRPr="008B5FCE">
        <w:rPr>
          <w:rFonts w:ascii="Arial" w:eastAsia="Calibri" w:hAnsi="Arial" w:cs="Arial"/>
          <w:szCs w:val="22"/>
          <w:lang w:val="es-CO" w:eastAsia="en-US"/>
        </w:rPr>
        <w:t>Yobany</w:t>
      </w:r>
      <w:proofErr w:type="spellEnd"/>
      <w:r w:rsidRPr="008B5FCE">
        <w:rPr>
          <w:rFonts w:ascii="Arial" w:eastAsia="Calibri" w:hAnsi="Arial" w:cs="Arial"/>
          <w:szCs w:val="22"/>
          <w:lang w:val="es-CO" w:eastAsia="en-US"/>
        </w:rPr>
        <w:t xml:space="preserve"> Antonio Trejos Sánchez según las pruebas allegadas, en los tres años anteriores a su deceso, alcanzó a cotizar 39,85 semanas.</w:t>
      </w:r>
    </w:p>
    <w:p w14:paraId="05F383B6" w14:textId="77777777" w:rsidR="008B5FCE" w:rsidRPr="008B5FCE" w:rsidRDefault="008B5FCE" w:rsidP="0096784A">
      <w:pPr>
        <w:spacing w:line="276" w:lineRule="auto"/>
        <w:jc w:val="both"/>
        <w:rPr>
          <w:rFonts w:ascii="Arial" w:eastAsia="Calibri" w:hAnsi="Arial" w:cs="Arial"/>
          <w:szCs w:val="22"/>
          <w:lang w:val="es-CO" w:eastAsia="en-US"/>
        </w:rPr>
      </w:pPr>
    </w:p>
    <w:p w14:paraId="6A108221"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 xml:space="preserve">No obstante, como se vinculó al empleador Wilmar </w:t>
      </w:r>
      <w:proofErr w:type="spellStart"/>
      <w:r w:rsidRPr="008B5FCE">
        <w:rPr>
          <w:rFonts w:ascii="Arial" w:eastAsia="Calibri" w:hAnsi="Arial" w:cs="Arial"/>
          <w:szCs w:val="22"/>
          <w:lang w:val="es-CO" w:eastAsia="en-US"/>
        </w:rPr>
        <w:t>Atehortúa</w:t>
      </w:r>
      <w:proofErr w:type="spellEnd"/>
      <w:r w:rsidRPr="008B5FCE">
        <w:rPr>
          <w:rFonts w:ascii="Arial" w:eastAsia="Calibri" w:hAnsi="Arial" w:cs="Arial"/>
          <w:szCs w:val="22"/>
          <w:lang w:val="es-CO" w:eastAsia="en-US"/>
        </w:rPr>
        <w:t xml:space="preserve"> Arango para concretar en su cabeza una mora en el pago de los aportes, la Sala mayoritaria encontró, por su falta de contestación de la demanda y la inasistencia a la audiencia de conciliación, que operó la presunción de certeza de los hechos susceptibles de confesión y con ello halló 10.85 semanas más que sumadas a las 39,85, arrojan un total de 50,70 semanas, suficientes para llenar el requisito de ley. </w:t>
      </w:r>
    </w:p>
    <w:p w14:paraId="165D21DA" w14:textId="77777777" w:rsidR="008B5FCE" w:rsidRPr="008B5FCE" w:rsidRDefault="008B5FCE" w:rsidP="0096784A">
      <w:pPr>
        <w:spacing w:line="276" w:lineRule="auto"/>
        <w:jc w:val="both"/>
        <w:rPr>
          <w:rFonts w:ascii="Arial" w:eastAsia="Calibri" w:hAnsi="Arial" w:cs="Arial"/>
          <w:szCs w:val="22"/>
          <w:lang w:val="es-CO" w:eastAsia="en-US"/>
        </w:rPr>
      </w:pPr>
    </w:p>
    <w:p w14:paraId="0DE87753"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Lo  que correspondía entonces definir, era a cargo de quien está el reconocimiento y pago de la pensión de sobrevivientes.</w:t>
      </w:r>
    </w:p>
    <w:p w14:paraId="2A365770" w14:textId="77777777" w:rsidR="008B5FCE" w:rsidRPr="008B5FCE" w:rsidRDefault="008B5FCE" w:rsidP="0096784A">
      <w:pPr>
        <w:spacing w:line="276" w:lineRule="auto"/>
        <w:jc w:val="both"/>
        <w:rPr>
          <w:rFonts w:ascii="Arial" w:eastAsia="Calibri" w:hAnsi="Arial" w:cs="Arial"/>
          <w:szCs w:val="22"/>
          <w:lang w:val="es-CO" w:eastAsia="en-US"/>
        </w:rPr>
      </w:pPr>
    </w:p>
    <w:p w14:paraId="01C52494" w14:textId="77777777" w:rsidR="008B5FCE" w:rsidRPr="008B5FCE" w:rsidRDefault="008B5FCE" w:rsidP="0096784A">
      <w:pPr>
        <w:spacing w:line="276" w:lineRule="auto"/>
        <w:jc w:val="both"/>
        <w:rPr>
          <w:rFonts w:ascii="Arial" w:eastAsia="Calibri" w:hAnsi="Arial" w:cs="Arial"/>
          <w:iCs/>
          <w:szCs w:val="22"/>
          <w:lang w:eastAsia="en-US"/>
        </w:rPr>
      </w:pPr>
      <w:r w:rsidRPr="008B5FCE">
        <w:rPr>
          <w:rFonts w:ascii="Arial" w:eastAsia="Calibri" w:hAnsi="Arial" w:cs="Arial"/>
          <w:szCs w:val="22"/>
          <w:lang w:val="es-CO" w:eastAsia="en-US"/>
        </w:rPr>
        <w:t xml:space="preserve">De acuerdo con la postura actual de la Sala de Casación Laboral de la Corte Suprema de Justicia, la prestación debe estar a cargo de la AFP, pues en sus propias palabras </w:t>
      </w:r>
      <w:r w:rsidRPr="008B5FCE">
        <w:rPr>
          <w:rFonts w:ascii="Arial" w:eastAsia="Calibri" w:hAnsi="Arial" w:cs="Arial"/>
          <w:i/>
          <w:iCs/>
          <w:szCs w:val="22"/>
          <w:lang w:eastAsia="en-US"/>
        </w:rPr>
        <w:t xml:space="preserve">en estos eventos, la habilitación es una consecuencia </w:t>
      </w:r>
      <w:r w:rsidRPr="008B5FCE">
        <w:rPr>
          <w:rFonts w:ascii="Arial" w:eastAsia="Calibri" w:hAnsi="Arial" w:cs="Arial"/>
          <w:b/>
          <w:i/>
          <w:iCs/>
          <w:szCs w:val="22"/>
          <w:lang w:eastAsia="en-US"/>
        </w:rPr>
        <w:t>de la sanción</w:t>
      </w:r>
      <w:r w:rsidRPr="008B5FCE">
        <w:rPr>
          <w:rFonts w:ascii="Arial" w:eastAsia="Calibri" w:hAnsi="Arial" w:cs="Arial"/>
          <w:i/>
          <w:iCs/>
          <w:szCs w:val="22"/>
          <w:lang w:eastAsia="en-US"/>
        </w:rPr>
        <w:t xml:space="preserve"> por la falta de diligencia de la Administradora, razón por la cual se suman para determinar el cumplimiento del requisito de la densidad de cotizaciones, siempre y cuando no se acredite que la Administradora fue diligente.</w:t>
      </w:r>
    </w:p>
    <w:p w14:paraId="031900C9" w14:textId="77777777" w:rsidR="008B5FCE" w:rsidRPr="008B5FCE" w:rsidRDefault="008B5FCE" w:rsidP="0096784A">
      <w:pPr>
        <w:spacing w:line="276" w:lineRule="auto"/>
        <w:jc w:val="both"/>
        <w:rPr>
          <w:rFonts w:ascii="Arial" w:eastAsia="Calibri" w:hAnsi="Arial" w:cs="Arial"/>
          <w:iCs/>
          <w:szCs w:val="22"/>
          <w:lang w:eastAsia="en-US"/>
        </w:rPr>
      </w:pPr>
    </w:p>
    <w:p w14:paraId="713FC947" w14:textId="055CB89A" w:rsidR="008B5FCE" w:rsidRPr="008B5FCE" w:rsidRDefault="008B5FCE" w:rsidP="0096784A">
      <w:pPr>
        <w:spacing w:line="276" w:lineRule="auto"/>
        <w:jc w:val="both"/>
        <w:rPr>
          <w:rFonts w:ascii="Arial" w:eastAsia="Calibri" w:hAnsi="Arial" w:cs="Arial"/>
          <w:iCs/>
          <w:szCs w:val="22"/>
          <w:lang w:eastAsia="en-US"/>
        </w:rPr>
      </w:pPr>
      <w:r w:rsidRPr="008B5FCE">
        <w:rPr>
          <w:rFonts w:ascii="Arial" w:eastAsia="Calibri" w:hAnsi="Arial" w:cs="Arial"/>
          <w:iCs/>
          <w:szCs w:val="22"/>
          <w:lang w:eastAsia="en-US"/>
        </w:rPr>
        <w:t xml:space="preserve">Sin embargo, reestudiando el tema, considero que en este tipo de casos no es posible darle paso a la aplicación de la jurisprudencia de la Sala de Casación Laboral, porque no es posible imponerle </w:t>
      </w:r>
      <w:r w:rsidRPr="008B5FCE">
        <w:rPr>
          <w:rFonts w:ascii="Arial" w:eastAsia="Calibri" w:hAnsi="Arial" w:cs="Arial"/>
          <w:b/>
          <w:iCs/>
          <w:szCs w:val="22"/>
          <w:lang w:eastAsia="en-US"/>
        </w:rPr>
        <w:t>a</w:t>
      </w:r>
      <w:r w:rsidRPr="008B5FCE">
        <w:rPr>
          <w:rFonts w:ascii="Arial" w:eastAsia="Calibri" w:hAnsi="Arial" w:cs="Arial"/>
          <w:iCs/>
          <w:szCs w:val="22"/>
          <w:lang w:eastAsia="en-US"/>
        </w:rPr>
        <w:t xml:space="preserve"> </w:t>
      </w:r>
      <w:r w:rsidRPr="008B5FCE">
        <w:rPr>
          <w:rFonts w:ascii="Arial" w:eastAsia="Calibri" w:hAnsi="Arial" w:cs="Arial"/>
          <w:b/>
          <w:iCs/>
          <w:szCs w:val="22"/>
          <w:lang w:eastAsia="en-US"/>
        </w:rPr>
        <w:t>título de sanción</w:t>
      </w:r>
      <w:r w:rsidRPr="008B5FCE">
        <w:rPr>
          <w:rFonts w:ascii="Arial" w:eastAsia="Calibri" w:hAnsi="Arial" w:cs="Arial"/>
          <w:iCs/>
          <w:szCs w:val="22"/>
          <w:lang w:eastAsia="en-US"/>
        </w:rPr>
        <w:t xml:space="preserve"> a la administradora pensional, el reconocimiento y pago de la pensión, bajo el argumento que ella no efectuó las acciones de cobro con las que el legislador las dotó para lograr el importe de los aportes en mora, pues al revisar el artículo 24 de la Ley 100 de 1993 </w:t>
      </w:r>
      <w:r w:rsidRPr="008B5FCE">
        <w:rPr>
          <w:rFonts w:ascii="Arial" w:eastAsia="Calibri" w:hAnsi="Arial" w:cs="Arial"/>
          <w:iCs/>
          <w:szCs w:val="22"/>
          <w:lang w:eastAsia="en-US"/>
        </w:rPr>
        <w:lastRenderedPageBreak/>
        <w:t xml:space="preserve">y el Decreto Reglamentario 2633 de 29 de noviembre de 1994, no existe en todo su articulado norma alguna que disponga esa sanción en cabeza de la administradora pensional que no realizó las acciones de cobro y bien es sabido que no existen penas o sanciones sin ley previa que las establezca. </w:t>
      </w:r>
    </w:p>
    <w:p w14:paraId="3719AAB7" w14:textId="77777777" w:rsidR="008B5FCE" w:rsidRPr="008B5FCE" w:rsidRDefault="008B5FCE" w:rsidP="0096784A">
      <w:pPr>
        <w:spacing w:line="276" w:lineRule="auto"/>
        <w:jc w:val="both"/>
        <w:rPr>
          <w:rFonts w:ascii="Arial" w:eastAsia="Calibri" w:hAnsi="Arial" w:cs="Arial"/>
          <w:iCs/>
          <w:szCs w:val="22"/>
          <w:lang w:eastAsia="en-US"/>
        </w:rPr>
      </w:pPr>
    </w:p>
    <w:p w14:paraId="6EB6FF7A" w14:textId="77777777" w:rsidR="008B5FCE" w:rsidRPr="008B5FCE" w:rsidRDefault="008B5FCE" w:rsidP="0096784A">
      <w:pPr>
        <w:spacing w:line="276" w:lineRule="auto"/>
        <w:jc w:val="both"/>
        <w:rPr>
          <w:rFonts w:ascii="Arial" w:eastAsia="Calibri" w:hAnsi="Arial" w:cs="Arial"/>
          <w:b/>
          <w:szCs w:val="22"/>
          <w:lang w:val="es-CO" w:eastAsia="en-US"/>
        </w:rPr>
      </w:pPr>
      <w:r w:rsidRPr="008B5FCE">
        <w:rPr>
          <w:rFonts w:ascii="Arial" w:eastAsia="Calibri" w:hAnsi="Arial" w:cs="Arial"/>
          <w:szCs w:val="22"/>
          <w:lang w:val="es-CO" w:eastAsia="en-US"/>
        </w:rPr>
        <w:t xml:space="preserve">Por el contrario, como se expuso precedentemente, el artículo 12 del Decreto 2665 de 1988 aplicable por remisión del artículo 31 de la Ley 100 de 1993, si contiene una sanción expresa frente a la infracción que cometen los empleadores cuando no cancelan oportunamente los aportes a los riesgos </w:t>
      </w:r>
      <w:proofErr w:type="spellStart"/>
      <w:r w:rsidRPr="008B5FCE">
        <w:rPr>
          <w:rFonts w:ascii="Arial" w:eastAsia="Calibri" w:hAnsi="Arial" w:cs="Arial"/>
          <w:szCs w:val="22"/>
          <w:lang w:val="es-CO" w:eastAsia="en-US"/>
        </w:rPr>
        <w:t>IVM</w:t>
      </w:r>
      <w:proofErr w:type="spellEnd"/>
      <w:r w:rsidRPr="008B5FCE">
        <w:rPr>
          <w:rFonts w:ascii="Arial" w:eastAsia="Calibri" w:hAnsi="Arial" w:cs="Arial"/>
          <w:szCs w:val="22"/>
          <w:lang w:val="es-CO" w:eastAsia="en-US"/>
        </w:rPr>
        <w:t xml:space="preserve"> de sus trabajadores afiliados, consistente en que son ellos quienes deben responder por el reconocimiento y pago de la prestación económica causada (pensión de sobrevivientes entre otras) en la forma en la que tendría que hacerlo el sistema.</w:t>
      </w:r>
    </w:p>
    <w:p w14:paraId="7D73D2B8" w14:textId="77777777" w:rsidR="008B5FCE" w:rsidRPr="008B5FCE" w:rsidRDefault="008B5FCE" w:rsidP="0096784A">
      <w:pPr>
        <w:spacing w:line="276" w:lineRule="auto"/>
        <w:jc w:val="both"/>
        <w:rPr>
          <w:rFonts w:ascii="Arial" w:eastAsia="Calibri" w:hAnsi="Arial" w:cs="Arial"/>
          <w:b/>
          <w:szCs w:val="22"/>
          <w:lang w:val="es-CO" w:eastAsia="en-US"/>
        </w:rPr>
      </w:pPr>
    </w:p>
    <w:p w14:paraId="5F67D028"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Precisamente, con base en ese entendimiento, años atrás, la Sala de Casación Laboral tenía sentada su postura frente al tema, en el sentido de señalar que el empleador incumplido es quien debe cargar con el pago de la pensión de sobrevivientes, tal y como lo recordó en la sentencia de 1º de noviembre de 2001 con radicación Nº 16006, en la que con ponencia del Dr. Carlos Isaac Nader, explicó:</w:t>
      </w:r>
    </w:p>
    <w:p w14:paraId="2CA97D5A" w14:textId="77777777" w:rsidR="008B5FCE" w:rsidRPr="008B5FCE" w:rsidRDefault="008B5FCE" w:rsidP="0096784A">
      <w:pPr>
        <w:spacing w:line="276" w:lineRule="auto"/>
        <w:jc w:val="both"/>
        <w:rPr>
          <w:rFonts w:ascii="Arial" w:eastAsia="Calibri" w:hAnsi="Arial" w:cs="Arial"/>
          <w:szCs w:val="22"/>
          <w:lang w:val="es-CO" w:eastAsia="en-US"/>
        </w:rPr>
      </w:pPr>
    </w:p>
    <w:p w14:paraId="7D3AB1F8" w14:textId="77777777" w:rsidR="008B5FCE" w:rsidRPr="008B5FCE" w:rsidRDefault="008B5FCE" w:rsidP="0096784A">
      <w:pPr>
        <w:ind w:left="426" w:right="418"/>
        <w:jc w:val="both"/>
        <w:rPr>
          <w:rFonts w:ascii="Arial" w:eastAsia="Calibri" w:hAnsi="Arial" w:cs="Arial"/>
          <w:i/>
          <w:sz w:val="22"/>
          <w:lang w:val="es-CO" w:eastAsia="en-US"/>
        </w:rPr>
      </w:pPr>
      <w:r w:rsidRPr="008B5FCE">
        <w:rPr>
          <w:rFonts w:ascii="Arial" w:eastAsia="Calibri" w:hAnsi="Arial" w:cs="Arial"/>
          <w:i/>
          <w:sz w:val="22"/>
          <w:lang w:val="es-CO" w:eastAsia="en-US"/>
        </w:rPr>
        <w:t xml:space="preserve">“En ese razonamiento está implícita una exégesis equivocada de las disposiciones que componen la proposición jurídica, que regulan el tema de los requisitos para obtener la pensión de sobrevivientes por riesgo común, la obligación en el pago oportuno de las cotizaciones y las consecuencias del incumplimiento de esa carga, ya que el ad quem entiende esas disposiciones como si la anotada prestación se causara con cargo a la entidad administradora de   pensiones siempre que el empleador haya cumplido con su deber de afiliación oportuna del trabajador y hayan transcurrido más de 26 semanas desde el inicio del vínculo laboral.  </w:t>
      </w:r>
    </w:p>
    <w:p w14:paraId="4FCA73D9" w14:textId="77777777" w:rsidR="008B5FCE" w:rsidRPr="008B5FCE" w:rsidRDefault="008B5FCE" w:rsidP="0096784A">
      <w:pPr>
        <w:ind w:left="426" w:right="418"/>
        <w:jc w:val="both"/>
        <w:rPr>
          <w:rFonts w:ascii="Arial" w:eastAsia="Calibri" w:hAnsi="Arial" w:cs="Arial"/>
          <w:i/>
          <w:sz w:val="22"/>
          <w:lang w:val="es-CO" w:eastAsia="en-US"/>
        </w:rPr>
      </w:pPr>
    </w:p>
    <w:p w14:paraId="24CB364F" w14:textId="77777777" w:rsidR="008B5FCE" w:rsidRPr="008B5FCE" w:rsidRDefault="008B5FCE" w:rsidP="0096784A">
      <w:pPr>
        <w:ind w:left="426" w:right="418"/>
        <w:jc w:val="both"/>
        <w:rPr>
          <w:rFonts w:ascii="Arial" w:eastAsia="Calibri" w:hAnsi="Arial" w:cs="Arial"/>
          <w:i/>
          <w:sz w:val="22"/>
          <w:lang w:val="es-CO" w:eastAsia="en-US"/>
        </w:rPr>
      </w:pPr>
      <w:r w:rsidRPr="008B5FCE">
        <w:rPr>
          <w:rFonts w:ascii="Arial" w:eastAsia="Calibri" w:hAnsi="Arial" w:cs="Arial"/>
          <w:i/>
          <w:sz w:val="22"/>
          <w:lang w:val="es-CO" w:eastAsia="en-US"/>
        </w:rPr>
        <w:t>Tal alcance, sin embargo, se aparta abiertamente del texto literal de los reseñados preceptos, por cuanto ellos se refieren a semanas efectivamente cotizadas, o al pago efectivo de las cotizaciones,  y no a la simple afiliación o al tiempo transcurrido desde esa diligencia o desde el comienzo de la relación de trabajo.</w:t>
      </w:r>
    </w:p>
    <w:p w14:paraId="22EF2C73" w14:textId="77777777" w:rsidR="008B5FCE" w:rsidRPr="008B5FCE" w:rsidRDefault="008B5FCE" w:rsidP="0096784A">
      <w:pPr>
        <w:ind w:left="426" w:right="418"/>
        <w:jc w:val="both"/>
        <w:rPr>
          <w:rFonts w:ascii="Arial" w:eastAsia="Calibri" w:hAnsi="Arial" w:cs="Arial"/>
          <w:i/>
          <w:sz w:val="22"/>
          <w:lang w:val="es-CO" w:eastAsia="en-US"/>
        </w:rPr>
      </w:pPr>
    </w:p>
    <w:p w14:paraId="4C88F0A6" w14:textId="77777777" w:rsidR="008B5FCE" w:rsidRPr="008B5FCE" w:rsidRDefault="008B5FCE" w:rsidP="0096784A">
      <w:pPr>
        <w:ind w:left="426" w:right="418"/>
        <w:jc w:val="both"/>
        <w:rPr>
          <w:rFonts w:ascii="Arial" w:eastAsia="Calibri" w:hAnsi="Arial" w:cs="Arial"/>
          <w:i/>
          <w:sz w:val="22"/>
          <w:lang w:val="es-CO" w:eastAsia="en-US"/>
        </w:rPr>
      </w:pPr>
      <w:r w:rsidRPr="008B5FCE">
        <w:rPr>
          <w:rFonts w:ascii="Arial" w:eastAsia="Calibri" w:hAnsi="Arial" w:cs="Arial"/>
          <w:i/>
          <w:sz w:val="22"/>
          <w:lang w:val="es-CO" w:eastAsia="en-US"/>
        </w:rPr>
        <w:t>De manera que el Tribunal incurrió en el yerro jurídico que se le imputa, pues la jurisprudencia de esta Sala ha definido que cuando un trabajador fallecido no alcanza a cotizar el número de semanas exigidas en el artículo 46 de la Ley 100 de 1993  para que la entidad de seguridad social respectiva pueda reconocerle a sus beneficiarios la pensión de sobrevivientes y tal situación sea imputable a la mora del empleador en el pago de las cotizaciones, es a éste último a quien corresponde el reconocimiento y pago de tal prestación.”</w:t>
      </w:r>
    </w:p>
    <w:p w14:paraId="3C84E4F9" w14:textId="77777777" w:rsidR="008B5FCE" w:rsidRPr="008B5FCE" w:rsidRDefault="008B5FCE" w:rsidP="0096784A">
      <w:pPr>
        <w:spacing w:line="276" w:lineRule="auto"/>
        <w:jc w:val="both"/>
        <w:rPr>
          <w:rFonts w:ascii="Arial" w:eastAsia="Calibri" w:hAnsi="Arial" w:cs="Arial"/>
          <w:b/>
          <w:szCs w:val="22"/>
          <w:lang w:val="es-CO" w:eastAsia="en-US"/>
        </w:rPr>
      </w:pPr>
    </w:p>
    <w:p w14:paraId="51510809"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Y más adelante en la sentencia de instancia, rememoró lo dicho en sentencia de 29 de junio de 2011 radicación Nº 15660, puntualizando:</w:t>
      </w:r>
    </w:p>
    <w:p w14:paraId="2CAE2A78" w14:textId="77777777" w:rsidR="008B5FCE" w:rsidRPr="008B5FCE" w:rsidRDefault="008B5FCE" w:rsidP="0096784A">
      <w:pPr>
        <w:spacing w:line="276" w:lineRule="auto"/>
        <w:jc w:val="both"/>
        <w:rPr>
          <w:rFonts w:ascii="Arial" w:eastAsia="Calibri" w:hAnsi="Arial" w:cs="Arial"/>
          <w:szCs w:val="22"/>
          <w:lang w:val="es-CO" w:eastAsia="en-US"/>
        </w:rPr>
      </w:pPr>
    </w:p>
    <w:p w14:paraId="30A01855" w14:textId="77777777" w:rsidR="008B5FCE" w:rsidRPr="008B5FCE" w:rsidRDefault="008B5FCE" w:rsidP="0096784A">
      <w:pPr>
        <w:ind w:left="426" w:right="418"/>
        <w:jc w:val="both"/>
        <w:rPr>
          <w:rFonts w:ascii="Arial" w:eastAsia="Calibri" w:hAnsi="Arial" w:cs="Arial"/>
          <w:i/>
          <w:sz w:val="22"/>
          <w:lang w:val="es-CO" w:eastAsia="en-US"/>
        </w:rPr>
      </w:pPr>
      <w:r w:rsidRPr="008B5FCE">
        <w:rPr>
          <w:rFonts w:ascii="Arial" w:eastAsia="Calibri" w:hAnsi="Arial" w:cs="Arial"/>
          <w:i/>
          <w:sz w:val="22"/>
          <w:lang w:val="es-CO" w:eastAsia="en-US"/>
        </w:rPr>
        <w:t>"Una de las principales características de un sistema de seguridad social es la de corresponder a un régimen contributivo que supone la obligación de cancelar unos determinados aportes por parte de los vinculados al mismo.</w:t>
      </w:r>
    </w:p>
    <w:p w14:paraId="08D24D73" w14:textId="77777777" w:rsidR="008B5FCE" w:rsidRPr="008B5FCE" w:rsidRDefault="008B5FCE" w:rsidP="0096784A">
      <w:pPr>
        <w:ind w:left="426" w:right="418"/>
        <w:jc w:val="both"/>
        <w:rPr>
          <w:rFonts w:ascii="Arial" w:eastAsia="Calibri" w:hAnsi="Arial" w:cs="Arial"/>
          <w:i/>
          <w:sz w:val="22"/>
          <w:lang w:val="es-CO" w:eastAsia="en-US"/>
        </w:rPr>
      </w:pPr>
    </w:p>
    <w:p w14:paraId="06F1DCB8" w14:textId="77777777" w:rsidR="008B5FCE" w:rsidRPr="008B5FCE" w:rsidRDefault="008B5FCE" w:rsidP="0096784A">
      <w:pPr>
        <w:ind w:left="426" w:right="418"/>
        <w:jc w:val="both"/>
        <w:rPr>
          <w:rFonts w:ascii="Arial" w:eastAsia="Calibri" w:hAnsi="Arial" w:cs="Arial"/>
          <w:i/>
          <w:sz w:val="22"/>
          <w:lang w:val="es-CO" w:eastAsia="en-US"/>
        </w:rPr>
      </w:pPr>
      <w:r w:rsidRPr="008B5FCE">
        <w:rPr>
          <w:rFonts w:ascii="Arial" w:eastAsia="Calibri" w:hAnsi="Arial" w:cs="Arial"/>
          <w:i/>
          <w:sz w:val="22"/>
          <w:lang w:val="es-CO" w:eastAsia="en-US"/>
        </w:rPr>
        <w:t xml:space="preserve">"Como ese postulado resulta esencial para el equilibrio financiero del sistema y su consiguiente viabilidad depende del recibo oportuno de las cuotas correspondientes, existe mucho celo en la exigencia de esa obligación y así se muestra claramente en la Ley 100 de 1993 y en sus decretos reglamentarios, disposiciones en las cuales no solo se enfatiza en la obligación de pagar oportunamente los aportes sino que se establece un régimen sancionatorio para los </w:t>
      </w:r>
      <w:r w:rsidRPr="008B5FCE">
        <w:rPr>
          <w:rFonts w:ascii="Arial" w:eastAsia="Calibri" w:hAnsi="Arial" w:cs="Arial"/>
          <w:i/>
          <w:sz w:val="22"/>
          <w:lang w:val="es-CO" w:eastAsia="en-US"/>
        </w:rPr>
        <w:lastRenderedPageBreak/>
        <w:t>casos de incumplimiento. Los artículos 17 y 22 de la citada ley, señalan el derrotero inicial de ese deber y ubican en cabeza del empleador la mayor responsabilidad frente a su cumplimiento en los casos de relaciones laborales subordinadas”</w:t>
      </w:r>
    </w:p>
    <w:p w14:paraId="07AD2B34" w14:textId="77777777" w:rsidR="008B5FCE" w:rsidRPr="008B5FCE" w:rsidRDefault="008B5FCE" w:rsidP="0096784A">
      <w:pPr>
        <w:ind w:left="426" w:right="418"/>
        <w:jc w:val="both"/>
        <w:rPr>
          <w:rFonts w:ascii="Arial" w:eastAsia="Calibri" w:hAnsi="Arial" w:cs="Arial"/>
          <w:i/>
          <w:sz w:val="22"/>
          <w:lang w:val="es-CO" w:eastAsia="en-US"/>
        </w:rPr>
      </w:pPr>
    </w:p>
    <w:p w14:paraId="195F31C0" w14:textId="77777777" w:rsidR="008B5FCE" w:rsidRPr="008B5FCE" w:rsidRDefault="008B5FCE" w:rsidP="0096784A">
      <w:pPr>
        <w:ind w:left="426" w:right="418"/>
        <w:jc w:val="both"/>
        <w:rPr>
          <w:rFonts w:ascii="Arial" w:eastAsia="Calibri" w:hAnsi="Arial" w:cs="Arial"/>
          <w:i/>
          <w:sz w:val="22"/>
          <w:lang w:val="es-CO" w:eastAsia="en-US"/>
        </w:rPr>
      </w:pPr>
      <w:r w:rsidRPr="008B5FCE">
        <w:rPr>
          <w:rFonts w:ascii="Arial" w:eastAsia="Calibri" w:hAnsi="Arial" w:cs="Arial"/>
          <w:i/>
          <w:sz w:val="22"/>
          <w:lang w:val="es-CO" w:eastAsia="en-US"/>
        </w:rPr>
        <w:t>“Frente a ello, como no puede concebirse la pérdida del derecho pensional reclamado por la incuria de la empleadora responsable del pago de las cotizaciones, resulta necesario ubicar la situación en la previsión legal correspondiente y sobre el particular el artículo 8º del Decreto 1642 de 1995, en forma concatenada con lo preceptuado en el artículo 31 de la Ley 100 de 1993 y en el artículo 12 del Decreto 2665 de 1988, impone al empleador privado incumplido la obligación de responder por la pensión de sobrevivientes que se llegare a causar en el tiempo de desprotección de su trabajador.</w:t>
      </w:r>
    </w:p>
    <w:p w14:paraId="74044DA4" w14:textId="77777777" w:rsidR="008B5FCE" w:rsidRPr="008B5FCE" w:rsidRDefault="008B5FCE" w:rsidP="0096784A">
      <w:pPr>
        <w:spacing w:line="276" w:lineRule="auto"/>
        <w:jc w:val="both"/>
        <w:rPr>
          <w:rFonts w:ascii="Arial" w:eastAsia="Calibri" w:hAnsi="Arial" w:cs="Arial"/>
          <w:szCs w:val="22"/>
          <w:lang w:val="es-CO" w:eastAsia="en-US"/>
        </w:rPr>
      </w:pPr>
    </w:p>
    <w:p w14:paraId="642383F0"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Llama la atención el hecho de que por el camino de sostener una supuesta protección de los afiliados frente a quienes deben realizar los cobros de sus aportes, se olvide que el artículo 53 de la Constitución prevé como uno de los principios de las relaciones laborales la “Garantía de la Seguridad Social”, la cual consiste precisamente en que los empleadores tienen la imposición de la vinculación de sus trabajadores al sistema y la obligación de pago de los aportes que ello conlleva, haciéndose responsables de las prestaciones que aquellos dejen de percibir por su incumplimiento.</w:t>
      </w:r>
    </w:p>
    <w:p w14:paraId="418975AA" w14:textId="77777777" w:rsidR="008B5FCE" w:rsidRPr="008B5FCE" w:rsidRDefault="008B5FCE" w:rsidP="0096784A">
      <w:pPr>
        <w:spacing w:line="276" w:lineRule="auto"/>
        <w:jc w:val="both"/>
        <w:rPr>
          <w:rFonts w:ascii="Arial" w:eastAsia="Calibri" w:hAnsi="Arial" w:cs="Arial"/>
          <w:szCs w:val="22"/>
          <w:lang w:val="es-CO" w:eastAsia="en-US"/>
        </w:rPr>
      </w:pPr>
    </w:p>
    <w:p w14:paraId="5173CEAD"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 xml:space="preserve">Es que debe recordarse que el sistema de Seguridad Social está establecido para todos los habitantes del territorio nacional, pero solo otorga prestaciones en la medida que se realicen los aportes, mismos que, existiendo vínculo laboral, están a cargo del empleador.  </w:t>
      </w:r>
    </w:p>
    <w:p w14:paraId="62CCAD78" w14:textId="77777777" w:rsidR="008B5FCE" w:rsidRPr="008B5FCE" w:rsidRDefault="008B5FCE" w:rsidP="0096784A">
      <w:pPr>
        <w:spacing w:line="276" w:lineRule="auto"/>
        <w:jc w:val="both"/>
        <w:rPr>
          <w:rFonts w:ascii="Arial" w:eastAsia="Calibri" w:hAnsi="Arial" w:cs="Arial"/>
          <w:szCs w:val="22"/>
          <w:lang w:val="es-CO" w:eastAsia="en-US"/>
        </w:rPr>
      </w:pPr>
    </w:p>
    <w:p w14:paraId="6127C0A3" w14:textId="77777777" w:rsidR="008B5FCE" w:rsidRPr="008B5FCE" w:rsidRDefault="008B5FCE" w:rsidP="0096784A">
      <w:pPr>
        <w:spacing w:line="276" w:lineRule="auto"/>
        <w:jc w:val="both"/>
        <w:rPr>
          <w:rFonts w:ascii="Arial" w:eastAsia="Calibri" w:hAnsi="Arial" w:cs="Arial"/>
          <w:szCs w:val="22"/>
          <w:lang w:val="es-CO" w:eastAsia="en-US"/>
        </w:rPr>
      </w:pPr>
      <w:r w:rsidRPr="008B5FCE">
        <w:rPr>
          <w:rFonts w:ascii="Arial" w:eastAsia="Calibri" w:hAnsi="Arial" w:cs="Arial"/>
          <w:szCs w:val="22"/>
          <w:lang w:val="es-CO" w:eastAsia="en-US"/>
        </w:rPr>
        <w:t xml:space="preserve">Acceder a esta clase de pretensiones, condenando a las AFP y no al empleador incumplido, es cohonestar con el incumplimiento de las obligaciones laborales, patrocinar la evasión en el pago de los aportes al sistema, pero sobre todo, atentar contra la lógica del sostenimiento financiero del mismo que permita su adecuado funcionamiento. </w:t>
      </w:r>
    </w:p>
    <w:p w14:paraId="4D162A92" w14:textId="77777777" w:rsidR="008B5FCE" w:rsidRPr="008B5FCE" w:rsidRDefault="008B5FCE" w:rsidP="0096784A">
      <w:pPr>
        <w:spacing w:line="276" w:lineRule="auto"/>
        <w:jc w:val="both"/>
        <w:rPr>
          <w:rFonts w:ascii="Arial" w:eastAsia="Calibri" w:hAnsi="Arial" w:cs="Arial"/>
          <w:szCs w:val="22"/>
          <w:lang w:val="es-CO" w:eastAsia="en-US"/>
        </w:rPr>
      </w:pPr>
    </w:p>
    <w:p w14:paraId="666BF875" w14:textId="76662CED" w:rsidR="008B5FCE" w:rsidRPr="008B5FCE" w:rsidRDefault="008B5FCE" w:rsidP="0096784A">
      <w:pPr>
        <w:spacing w:line="276" w:lineRule="auto"/>
        <w:jc w:val="both"/>
        <w:rPr>
          <w:rFonts w:ascii="Arial" w:eastAsia="Calibri" w:hAnsi="Arial" w:cs="Arial"/>
          <w:szCs w:val="24"/>
          <w:lang w:val="es-CO" w:eastAsia="en-US"/>
        </w:rPr>
      </w:pPr>
      <w:r w:rsidRPr="008B5FCE">
        <w:rPr>
          <w:rFonts w:ascii="Arial" w:eastAsia="Calibri" w:hAnsi="Arial" w:cs="Arial"/>
          <w:szCs w:val="22"/>
          <w:lang w:val="es-CO" w:eastAsia="en-US"/>
        </w:rPr>
        <w:t xml:space="preserve">Para la muestra un botón: En este caso, el empleador ni siquiera se preocupó por defender sus intereses. Y es que, en verdad, no le asiste interés para el efecto, </w:t>
      </w:r>
      <w:r w:rsidR="003255F9">
        <w:rPr>
          <w:rFonts w:ascii="Arial" w:eastAsia="Calibri" w:hAnsi="Arial" w:cs="Arial"/>
          <w:szCs w:val="22"/>
          <w:lang w:val="es-CO" w:eastAsia="en-US"/>
        </w:rPr>
        <w:t>¿</w:t>
      </w:r>
      <w:r w:rsidRPr="008B5FCE">
        <w:rPr>
          <w:rFonts w:ascii="Arial" w:eastAsia="Calibri" w:hAnsi="Arial" w:cs="Arial"/>
          <w:szCs w:val="22"/>
          <w:lang w:val="es-CO" w:eastAsia="en-US"/>
        </w:rPr>
        <w:t>para qué defenderse si la condenada al reconocimiento y pago de una</w:t>
      </w:r>
      <w:r w:rsidR="0096784A">
        <w:rPr>
          <w:rFonts w:ascii="Arial" w:eastAsia="Calibri" w:hAnsi="Arial" w:cs="Arial"/>
          <w:szCs w:val="22"/>
          <w:lang w:val="es-CO" w:eastAsia="en-US"/>
        </w:rPr>
        <w:t xml:space="preserve"> pensión es la Administradora?</w:t>
      </w:r>
    </w:p>
    <w:p w14:paraId="57277D0A" w14:textId="77777777" w:rsidR="008B5FCE" w:rsidRPr="008B5FCE" w:rsidRDefault="008B5FCE" w:rsidP="0096784A">
      <w:pPr>
        <w:widowControl w:val="0"/>
        <w:autoSpaceDE w:val="0"/>
        <w:autoSpaceDN w:val="0"/>
        <w:adjustRightInd w:val="0"/>
        <w:spacing w:line="276" w:lineRule="auto"/>
        <w:jc w:val="both"/>
        <w:rPr>
          <w:rFonts w:ascii="Arial" w:eastAsia="Calibri" w:hAnsi="Arial" w:cs="Arial"/>
          <w:szCs w:val="24"/>
          <w:lang w:val="es-CO" w:eastAsia="en-US"/>
        </w:rPr>
      </w:pPr>
    </w:p>
    <w:p w14:paraId="20F4CEFD" w14:textId="77777777" w:rsidR="008B5FCE" w:rsidRPr="008B5FCE" w:rsidRDefault="008B5FCE" w:rsidP="0096784A">
      <w:pPr>
        <w:widowControl w:val="0"/>
        <w:autoSpaceDE w:val="0"/>
        <w:autoSpaceDN w:val="0"/>
        <w:adjustRightInd w:val="0"/>
        <w:spacing w:line="276" w:lineRule="auto"/>
        <w:jc w:val="both"/>
        <w:rPr>
          <w:rFonts w:ascii="Arial" w:eastAsia="Calibri" w:hAnsi="Arial" w:cs="Arial"/>
          <w:szCs w:val="24"/>
          <w:lang w:val="es-CO" w:eastAsia="en-US"/>
        </w:rPr>
      </w:pPr>
      <w:r w:rsidRPr="008B5FCE">
        <w:rPr>
          <w:rFonts w:ascii="Arial" w:eastAsia="Calibri" w:hAnsi="Arial" w:cs="Arial"/>
          <w:szCs w:val="24"/>
          <w:lang w:val="es-CO" w:eastAsia="en-US"/>
        </w:rPr>
        <w:t xml:space="preserve">En conclusión, considero que se debió revocar la sentencia de primera instancia para en su lugar absolver a la entidad demandada de las pretensiones de la demanda. </w:t>
      </w:r>
    </w:p>
    <w:p w14:paraId="6AB57807" w14:textId="77777777" w:rsidR="008B5FCE" w:rsidRDefault="008B5FCE" w:rsidP="0096784A">
      <w:pPr>
        <w:widowControl w:val="0"/>
        <w:autoSpaceDE w:val="0"/>
        <w:autoSpaceDN w:val="0"/>
        <w:adjustRightInd w:val="0"/>
        <w:spacing w:line="276" w:lineRule="auto"/>
        <w:jc w:val="center"/>
        <w:rPr>
          <w:rFonts w:ascii="Arial" w:eastAsia="Calibri" w:hAnsi="Arial" w:cs="Arial"/>
          <w:b/>
          <w:sz w:val="22"/>
          <w:szCs w:val="22"/>
          <w:lang w:val="es-CO" w:eastAsia="en-US"/>
        </w:rPr>
      </w:pPr>
    </w:p>
    <w:p w14:paraId="6B484C6C" w14:textId="77777777" w:rsidR="009C482F" w:rsidRDefault="009C482F" w:rsidP="0096784A">
      <w:pPr>
        <w:widowControl w:val="0"/>
        <w:autoSpaceDE w:val="0"/>
        <w:autoSpaceDN w:val="0"/>
        <w:adjustRightInd w:val="0"/>
        <w:spacing w:line="276" w:lineRule="auto"/>
        <w:jc w:val="center"/>
        <w:rPr>
          <w:rFonts w:ascii="Arial" w:eastAsia="Calibri" w:hAnsi="Arial" w:cs="Arial"/>
          <w:b/>
          <w:sz w:val="22"/>
          <w:szCs w:val="22"/>
          <w:lang w:val="es-CO" w:eastAsia="en-US"/>
        </w:rPr>
      </w:pPr>
    </w:p>
    <w:p w14:paraId="67410D52" w14:textId="77777777" w:rsidR="009C482F" w:rsidRPr="008B5FCE" w:rsidRDefault="009C482F" w:rsidP="0096784A">
      <w:pPr>
        <w:widowControl w:val="0"/>
        <w:autoSpaceDE w:val="0"/>
        <w:autoSpaceDN w:val="0"/>
        <w:adjustRightInd w:val="0"/>
        <w:spacing w:line="276" w:lineRule="auto"/>
        <w:jc w:val="center"/>
        <w:rPr>
          <w:rFonts w:ascii="Arial" w:eastAsia="Calibri" w:hAnsi="Arial" w:cs="Arial"/>
          <w:b/>
          <w:sz w:val="22"/>
          <w:szCs w:val="22"/>
          <w:lang w:val="es-CO" w:eastAsia="en-US"/>
        </w:rPr>
      </w:pPr>
    </w:p>
    <w:p w14:paraId="4ECAA69E" w14:textId="77777777" w:rsidR="008B5FCE" w:rsidRPr="008B5FCE" w:rsidRDefault="008B5FCE" w:rsidP="0096784A">
      <w:pPr>
        <w:widowControl w:val="0"/>
        <w:autoSpaceDE w:val="0"/>
        <w:autoSpaceDN w:val="0"/>
        <w:adjustRightInd w:val="0"/>
        <w:spacing w:line="276" w:lineRule="auto"/>
        <w:jc w:val="center"/>
        <w:rPr>
          <w:rFonts w:ascii="Arial" w:eastAsia="Calibri" w:hAnsi="Arial" w:cs="Arial"/>
          <w:b/>
          <w:sz w:val="22"/>
          <w:szCs w:val="22"/>
          <w:lang w:val="es-CO" w:eastAsia="en-US"/>
        </w:rPr>
      </w:pPr>
    </w:p>
    <w:p w14:paraId="4F66E1D3" w14:textId="77777777" w:rsidR="008B5FCE" w:rsidRPr="008B5FCE" w:rsidRDefault="008B5FCE" w:rsidP="0096784A">
      <w:pPr>
        <w:widowControl w:val="0"/>
        <w:autoSpaceDE w:val="0"/>
        <w:autoSpaceDN w:val="0"/>
        <w:adjustRightInd w:val="0"/>
        <w:spacing w:line="276" w:lineRule="auto"/>
        <w:jc w:val="center"/>
        <w:rPr>
          <w:rFonts w:ascii="Arial" w:eastAsia="Calibri" w:hAnsi="Arial" w:cs="Arial"/>
          <w:b/>
          <w:sz w:val="22"/>
          <w:szCs w:val="22"/>
          <w:lang w:val="es-CO" w:eastAsia="en-US"/>
        </w:rPr>
      </w:pPr>
      <w:r w:rsidRPr="008B5FCE">
        <w:rPr>
          <w:rFonts w:ascii="Arial" w:eastAsia="Calibri" w:hAnsi="Arial" w:cs="Arial"/>
          <w:b/>
          <w:sz w:val="22"/>
          <w:szCs w:val="22"/>
          <w:lang w:val="es-CO" w:eastAsia="en-US"/>
        </w:rPr>
        <w:t>JULIO CÉSAR SALAZAR MUÑOZ</w:t>
      </w:r>
    </w:p>
    <w:p w14:paraId="33B7B2B5" w14:textId="56BAA87E" w:rsidR="008B5FCE" w:rsidRPr="008C76C8" w:rsidRDefault="008B5FCE" w:rsidP="008C76C8">
      <w:pPr>
        <w:widowControl w:val="0"/>
        <w:autoSpaceDE w:val="0"/>
        <w:autoSpaceDN w:val="0"/>
        <w:adjustRightInd w:val="0"/>
        <w:spacing w:line="276" w:lineRule="auto"/>
        <w:jc w:val="center"/>
        <w:rPr>
          <w:rFonts w:ascii="Arial" w:hAnsi="Arial" w:cs="Arial"/>
          <w:sz w:val="22"/>
          <w:szCs w:val="22"/>
        </w:rPr>
      </w:pPr>
      <w:r w:rsidRPr="008B5FCE">
        <w:rPr>
          <w:rFonts w:ascii="Arial" w:eastAsia="Calibri" w:hAnsi="Arial" w:cs="Arial"/>
          <w:sz w:val="22"/>
          <w:szCs w:val="22"/>
          <w:lang w:val="es-CO" w:eastAsia="en-US"/>
        </w:rPr>
        <w:t>Magistrado</w:t>
      </w:r>
    </w:p>
    <w:sectPr w:rsidR="008B5FCE" w:rsidRPr="008C76C8" w:rsidSect="00DB3FC7">
      <w:headerReference w:type="default" r:id="rId10"/>
      <w:footerReference w:type="default" r:id="rId11"/>
      <w:footerReference w:type="first" r:id="rId12"/>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0130" w14:textId="77777777" w:rsidR="002C5F5F" w:rsidRDefault="002C5F5F" w:rsidP="00A44751">
      <w:r>
        <w:separator/>
      </w:r>
    </w:p>
  </w:endnote>
  <w:endnote w:type="continuationSeparator" w:id="0">
    <w:p w14:paraId="4B162689" w14:textId="77777777" w:rsidR="002C5F5F" w:rsidRDefault="002C5F5F"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rPr>
        <w:rFonts w:ascii="Arial" w:hAnsi="Arial" w:cs="Arial"/>
        <w:sz w:val="18"/>
      </w:rPr>
    </w:sdtEndPr>
    <w:sdtContent>
      <w:p w14:paraId="5D319753" w14:textId="77777777" w:rsidR="009E3D8F" w:rsidRPr="001E794C" w:rsidRDefault="009E3D8F">
        <w:pPr>
          <w:pStyle w:val="Piedepgina"/>
          <w:jc w:val="right"/>
          <w:rPr>
            <w:rFonts w:ascii="Arial" w:hAnsi="Arial" w:cs="Arial"/>
            <w:sz w:val="18"/>
          </w:rPr>
        </w:pPr>
        <w:r w:rsidRPr="001E794C">
          <w:rPr>
            <w:rFonts w:ascii="Arial" w:hAnsi="Arial" w:cs="Arial"/>
            <w:sz w:val="18"/>
          </w:rPr>
          <w:fldChar w:fldCharType="begin"/>
        </w:r>
        <w:r w:rsidRPr="001E794C">
          <w:rPr>
            <w:rFonts w:ascii="Arial" w:hAnsi="Arial" w:cs="Arial"/>
            <w:sz w:val="18"/>
          </w:rPr>
          <w:instrText>PAGE   \* MERGEFORMAT</w:instrText>
        </w:r>
        <w:r w:rsidRPr="001E794C">
          <w:rPr>
            <w:rFonts w:ascii="Arial" w:hAnsi="Arial" w:cs="Arial"/>
            <w:sz w:val="18"/>
          </w:rPr>
          <w:fldChar w:fldCharType="separate"/>
        </w:r>
        <w:r w:rsidR="008C76C8" w:rsidRPr="008C76C8">
          <w:rPr>
            <w:rFonts w:ascii="Arial" w:hAnsi="Arial" w:cs="Arial"/>
            <w:noProof/>
            <w:sz w:val="18"/>
            <w:lang w:val="es-ES"/>
          </w:rPr>
          <w:t>20</w:t>
        </w:r>
        <w:r w:rsidRPr="001E794C">
          <w:rPr>
            <w:rFonts w:ascii="Arial" w:hAnsi="Arial" w:cs="Arial"/>
            <w:sz w:val="18"/>
          </w:rPr>
          <w:fldChar w:fldCharType="end"/>
        </w:r>
      </w:p>
    </w:sdtContent>
  </w:sdt>
  <w:p w14:paraId="5287248A" w14:textId="77777777" w:rsidR="009E3D8F" w:rsidRDefault="009E3D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14:paraId="621BA2F5" w14:textId="77777777" w:rsidR="009E3D8F" w:rsidRDefault="009E3D8F">
        <w:pPr>
          <w:pStyle w:val="Piedepgina"/>
          <w:jc w:val="right"/>
        </w:pPr>
        <w:r>
          <w:fldChar w:fldCharType="begin"/>
        </w:r>
        <w:r>
          <w:instrText>PAGE   \* MERGEFORMAT</w:instrText>
        </w:r>
        <w:r>
          <w:fldChar w:fldCharType="separate"/>
        </w:r>
        <w:r w:rsidR="008C76C8" w:rsidRPr="008C76C8">
          <w:rPr>
            <w:noProof/>
            <w:lang w:val="es-ES"/>
          </w:rPr>
          <w:t>1</w:t>
        </w:r>
        <w:r>
          <w:fldChar w:fldCharType="end"/>
        </w:r>
      </w:p>
    </w:sdtContent>
  </w:sdt>
  <w:p w14:paraId="59478358" w14:textId="77777777" w:rsidR="009E3D8F" w:rsidRDefault="009E3D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FEE6" w14:textId="77777777" w:rsidR="002C5F5F" w:rsidRDefault="002C5F5F" w:rsidP="00A44751">
      <w:r>
        <w:separator/>
      </w:r>
    </w:p>
  </w:footnote>
  <w:footnote w:type="continuationSeparator" w:id="0">
    <w:p w14:paraId="6E9E4894" w14:textId="77777777" w:rsidR="002C5F5F" w:rsidRDefault="002C5F5F" w:rsidP="00A44751">
      <w:r>
        <w:continuationSeparator/>
      </w:r>
    </w:p>
  </w:footnote>
  <w:footnote w:id="1">
    <w:p w14:paraId="468D8420" w14:textId="77777777" w:rsidR="009E3D8F" w:rsidRPr="007C3B26" w:rsidRDefault="009E3D8F">
      <w:pPr>
        <w:pStyle w:val="Textonotapie"/>
        <w:rPr>
          <w:rFonts w:ascii="Arial" w:hAnsi="Arial" w:cs="Arial"/>
          <w:sz w:val="18"/>
          <w:szCs w:val="18"/>
          <w:lang w:val="en-US"/>
        </w:rPr>
      </w:pPr>
      <w:r w:rsidRPr="001E794C">
        <w:rPr>
          <w:rStyle w:val="Refdenotaalpie"/>
          <w:rFonts w:ascii="Arial" w:hAnsi="Arial" w:cs="Arial"/>
          <w:sz w:val="18"/>
          <w:szCs w:val="18"/>
        </w:rPr>
        <w:footnoteRef/>
      </w:r>
      <w:r w:rsidRPr="007C3B26">
        <w:rPr>
          <w:rFonts w:ascii="Arial" w:hAnsi="Arial" w:cs="Arial"/>
          <w:sz w:val="18"/>
          <w:szCs w:val="18"/>
          <w:lang w:val="en-US"/>
        </w:rPr>
        <w:t xml:space="preserve"> Sent. de 05/06/2019, SL2071-2019.</w:t>
      </w:r>
    </w:p>
  </w:footnote>
  <w:footnote w:id="2">
    <w:p w14:paraId="3E128AC7" w14:textId="77777777" w:rsidR="009E3D8F" w:rsidRPr="007C3B26" w:rsidRDefault="009E3D8F">
      <w:pPr>
        <w:pStyle w:val="Textonotapie"/>
        <w:rPr>
          <w:rFonts w:ascii="Arial" w:hAnsi="Arial" w:cs="Arial"/>
          <w:sz w:val="18"/>
          <w:szCs w:val="18"/>
          <w:lang w:val="en-US"/>
        </w:rPr>
      </w:pPr>
      <w:r w:rsidRPr="001E794C">
        <w:rPr>
          <w:rStyle w:val="Refdenotaalpie"/>
          <w:rFonts w:ascii="Arial" w:hAnsi="Arial" w:cs="Arial"/>
          <w:sz w:val="18"/>
          <w:szCs w:val="18"/>
        </w:rPr>
        <w:footnoteRef/>
      </w:r>
      <w:r w:rsidRPr="007C3B26">
        <w:rPr>
          <w:rFonts w:ascii="Arial" w:hAnsi="Arial" w:cs="Arial"/>
          <w:sz w:val="18"/>
          <w:szCs w:val="18"/>
          <w:lang w:val="en-US"/>
        </w:rPr>
        <w:t xml:space="preserve"> Sent. de 05/06/2019, SL2071-2019.</w:t>
      </w:r>
    </w:p>
  </w:footnote>
  <w:footnote w:id="3">
    <w:p w14:paraId="6862D53F" w14:textId="77777777" w:rsidR="009E3D8F" w:rsidRPr="001E794C" w:rsidRDefault="009E3D8F" w:rsidP="00740139">
      <w:pPr>
        <w:pStyle w:val="Textonotapie"/>
        <w:rPr>
          <w:rFonts w:ascii="Arial" w:hAnsi="Arial" w:cs="Arial"/>
          <w:sz w:val="18"/>
          <w:szCs w:val="18"/>
          <w:lang w:val="es-CO"/>
        </w:rPr>
      </w:pPr>
      <w:r w:rsidRPr="001E794C">
        <w:rPr>
          <w:rStyle w:val="Refdenotaalpie"/>
          <w:rFonts w:ascii="Arial" w:hAnsi="Arial" w:cs="Arial"/>
          <w:sz w:val="18"/>
          <w:szCs w:val="18"/>
        </w:rPr>
        <w:footnoteRef/>
      </w:r>
      <w:r w:rsidRPr="001E794C">
        <w:rPr>
          <w:rFonts w:ascii="Arial" w:hAnsi="Arial" w:cs="Arial"/>
          <w:sz w:val="18"/>
          <w:szCs w:val="18"/>
        </w:rPr>
        <w:t xml:space="preserve"> Sentencias </w:t>
      </w:r>
      <w:proofErr w:type="spellStart"/>
      <w:r w:rsidRPr="001E794C">
        <w:rPr>
          <w:rFonts w:ascii="Arial" w:hAnsi="Arial" w:cs="Arial"/>
          <w:sz w:val="18"/>
          <w:szCs w:val="18"/>
        </w:rPr>
        <w:t>Sl</w:t>
      </w:r>
      <w:proofErr w:type="spellEnd"/>
      <w:r w:rsidRPr="001E794C">
        <w:rPr>
          <w:rFonts w:ascii="Arial" w:hAnsi="Arial" w:cs="Arial"/>
          <w:sz w:val="18"/>
          <w:szCs w:val="18"/>
        </w:rPr>
        <w:t xml:space="preserve"> 6912 del 10-05-2017 y </w:t>
      </w:r>
      <w:proofErr w:type="spellStart"/>
      <w:r w:rsidRPr="001E794C">
        <w:rPr>
          <w:rFonts w:ascii="Arial" w:hAnsi="Arial" w:cs="Arial"/>
          <w:sz w:val="18"/>
          <w:szCs w:val="18"/>
        </w:rPr>
        <w:t>Sl</w:t>
      </w:r>
      <w:proofErr w:type="spellEnd"/>
      <w:r w:rsidRPr="001E794C">
        <w:rPr>
          <w:rFonts w:ascii="Arial" w:hAnsi="Arial" w:cs="Arial"/>
          <w:sz w:val="18"/>
          <w:szCs w:val="18"/>
        </w:rPr>
        <w:t>. 15980 del 02-11-2016, con ponencia de la magistrada Dra. Clara Cecilia Dueñas Quevedo, dentro de los procesos rad. 48378 y 69294. En la última de las citadas, se reiteró la posición adoptada en las Sentencias  SL13266-2016, CSJ SL 4952-2016, CSJ SL 6469-2016, CSJ SL 16814-2015, CSJ SL 8082-2015, CSJ SL 4818-2015, CSJ SL 15718-2015 y CSJ SL 5429-2014, CSJ SL907-2013 y CSJ SL, 6 feb. 2013, rad. 45173.</w:t>
      </w:r>
    </w:p>
  </w:footnote>
  <w:footnote w:id="4">
    <w:p w14:paraId="329BD3BD" w14:textId="77777777" w:rsidR="009E3D8F" w:rsidRPr="001E794C" w:rsidRDefault="009E3D8F" w:rsidP="00740139">
      <w:pPr>
        <w:spacing w:line="276" w:lineRule="auto"/>
        <w:jc w:val="both"/>
        <w:rPr>
          <w:rFonts w:ascii="Arial" w:hAnsi="Arial" w:cs="Arial"/>
          <w:sz w:val="18"/>
          <w:szCs w:val="18"/>
          <w:lang w:val="es-CO"/>
        </w:rPr>
      </w:pPr>
      <w:r w:rsidRPr="001E794C">
        <w:rPr>
          <w:rStyle w:val="Refdenotaalpie"/>
          <w:rFonts w:ascii="Arial" w:hAnsi="Arial" w:cs="Arial"/>
          <w:sz w:val="18"/>
          <w:szCs w:val="18"/>
        </w:rPr>
        <w:footnoteRef/>
      </w:r>
      <w:r w:rsidRPr="001E794C">
        <w:rPr>
          <w:rFonts w:ascii="Arial" w:hAnsi="Arial" w:cs="Arial"/>
          <w:sz w:val="18"/>
          <w:szCs w:val="18"/>
        </w:rPr>
        <w:t xml:space="preserve"> </w:t>
      </w:r>
      <w:r w:rsidRPr="001E794C">
        <w:rPr>
          <w:rFonts w:ascii="Arial" w:hAnsi="Arial" w:cs="Arial"/>
          <w:color w:val="000000"/>
          <w:sz w:val="18"/>
          <w:szCs w:val="18"/>
          <w:lang w:val="es-ES"/>
        </w:rPr>
        <w:t>SL 6912 de 2017, M.P. Clara Cecilia Dueñas.</w:t>
      </w:r>
    </w:p>
  </w:footnote>
  <w:footnote w:id="5">
    <w:p w14:paraId="1F16CB2F" w14:textId="77777777" w:rsidR="009E3D8F" w:rsidRPr="001E794C" w:rsidRDefault="009E3D8F">
      <w:pPr>
        <w:pStyle w:val="Textonotapie"/>
        <w:rPr>
          <w:rFonts w:ascii="Arial" w:hAnsi="Arial" w:cs="Arial"/>
          <w:sz w:val="18"/>
          <w:szCs w:val="18"/>
          <w:lang w:val="es-CO"/>
        </w:rPr>
      </w:pPr>
      <w:r w:rsidRPr="001E794C">
        <w:rPr>
          <w:rStyle w:val="Refdenotaalpie"/>
          <w:rFonts w:ascii="Arial" w:hAnsi="Arial" w:cs="Arial"/>
          <w:sz w:val="18"/>
          <w:szCs w:val="18"/>
        </w:rPr>
        <w:footnoteRef/>
      </w:r>
      <w:r w:rsidRPr="001E794C">
        <w:rPr>
          <w:rFonts w:ascii="Arial" w:hAnsi="Arial" w:cs="Arial"/>
          <w:sz w:val="18"/>
          <w:szCs w:val="18"/>
        </w:rPr>
        <w:t xml:space="preserve"> </w:t>
      </w:r>
      <w:r w:rsidRPr="001E794C">
        <w:rPr>
          <w:rFonts w:ascii="Arial" w:hAnsi="Arial" w:cs="Arial"/>
          <w:sz w:val="18"/>
          <w:szCs w:val="18"/>
          <w:lang w:val="es-CO"/>
        </w:rPr>
        <w:t xml:space="preserve">Sent. de 08/05/2019, SL1691-2019; sl34270-2008; SL763-2014; SL14092-2016; SL5166-2017; SL115-2018, entre otras. </w:t>
      </w:r>
    </w:p>
  </w:footnote>
  <w:footnote w:id="6">
    <w:p w14:paraId="487D9587" w14:textId="77777777" w:rsidR="009E3D8F" w:rsidRPr="001E794C" w:rsidRDefault="009E3D8F" w:rsidP="00C32DBF">
      <w:pPr>
        <w:pStyle w:val="Textonotapie"/>
        <w:jc w:val="both"/>
        <w:rPr>
          <w:rFonts w:ascii="Arial" w:hAnsi="Arial" w:cs="Arial"/>
          <w:sz w:val="18"/>
          <w:szCs w:val="18"/>
        </w:rPr>
      </w:pPr>
      <w:r w:rsidRPr="001E794C">
        <w:rPr>
          <w:rStyle w:val="Refdenotaalpie"/>
          <w:rFonts w:ascii="Arial" w:hAnsi="Arial" w:cs="Arial"/>
          <w:sz w:val="18"/>
          <w:szCs w:val="18"/>
        </w:rPr>
        <w:footnoteRef/>
      </w:r>
      <w:r w:rsidRPr="001E794C">
        <w:rPr>
          <w:rFonts w:ascii="Arial" w:hAnsi="Arial" w:cs="Arial"/>
          <w:sz w:val="18"/>
          <w:szCs w:val="18"/>
        </w:rPr>
        <w:t xml:space="preserve"> M.P. Ana Lucía Caicedo Calderón. Rad. 2013-00764 del 20/03/15 </w:t>
      </w:r>
      <w:proofErr w:type="spellStart"/>
      <w:r w:rsidRPr="001E794C">
        <w:rPr>
          <w:rFonts w:ascii="Arial" w:hAnsi="Arial" w:cs="Arial"/>
          <w:sz w:val="18"/>
          <w:szCs w:val="18"/>
        </w:rPr>
        <w:t>Dte</w:t>
      </w:r>
      <w:proofErr w:type="spellEnd"/>
      <w:r w:rsidRPr="001E794C">
        <w:rPr>
          <w:rFonts w:ascii="Arial" w:hAnsi="Arial" w:cs="Arial"/>
          <w:sz w:val="18"/>
          <w:szCs w:val="18"/>
        </w:rPr>
        <w:t>: María Eugenia Cuartas Álvarez vs Colpensiones</w:t>
      </w:r>
    </w:p>
    <w:p w14:paraId="14DE3283" w14:textId="77777777" w:rsidR="009E3D8F" w:rsidRPr="001E794C" w:rsidRDefault="009E3D8F" w:rsidP="00C32DBF">
      <w:pPr>
        <w:pStyle w:val="Textonotapie"/>
        <w:jc w:val="both"/>
        <w:rPr>
          <w:rFonts w:ascii="Arial" w:hAnsi="Arial" w:cs="Arial"/>
          <w:sz w:val="18"/>
          <w:szCs w:val="18"/>
        </w:rPr>
      </w:pPr>
      <w:r w:rsidRPr="001E794C">
        <w:rPr>
          <w:rFonts w:ascii="Arial" w:hAnsi="Arial" w:cs="Arial"/>
          <w:sz w:val="18"/>
          <w:szCs w:val="18"/>
        </w:rPr>
        <w:t xml:space="preserve">M.P. Julio César Salazar Muñoz. Rad. 2012-00353 del 14/10/15, </w:t>
      </w:r>
      <w:proofErr w:type="spellStart"/>
      <w:r w:rsidRPr="001E794C">
        <w:rPr>
          <w:rFonts w:ascii="Arial" w:hAnsi="Arial" w:cs="Arial"/>
          <w:sz w:val="18"/>
          <w:szCs w:val="18"/>
        </w:rPr>
        <w:t>Dte</w:t>
      </w:r>
      <w:proofErr w:type="spellEnd"/>
      <w:r w:rsidRPr="001E794C">
        <w:rPr>
          <w:rFonts w:ascii="Arial" w:hAnsi="Arial" w:cs="Arial"/>
          <w:sz w:val="18"/>
          <w:szCs w:val="18"/>
        </w:rPr>
        <w:t>: Teresita de Jesús Serna vs Colpensiones.</w:t>
      </w:r>
    </w:p>
    <w:p w14:paraId="2B449698" w14:textId="77777777" w:rsidR="009E3D8F" w:rsidRPr="001E794C" w:rsidRDefault="009E3D8F" w:rsidP="00C32DBF">
      <w:pPr>
        <w:pStyle w:val="Textonotapie"/>
        <w:rPr>
          <w:rFonts w:ascii="Arial" w:hAnsi="Arial" w:cs="Arial"/>
          <w:sz w:val="18"/>
          <w:szCs w:val="18"/>
          <w:lang w:val="es-CO"/>
        </w:rPr>
      </w:pPr>
      <w:r w:rsidRPr="001E794C">
        <w:rPr>
          <w:rFonts w:ascii="Arial" w:hAnsi="Arial" w:cs="Arial"/>
          <w:sz w:val="18"/>
          <w:szCs w:val="18"/>
        </w:rPr>
        <w:t xml:space="preserve">M.P. Francisco Javier Tamayo Tabares. Rad. 2014-00088 del 03/09/15 </w:t>
      </w:r>
      <w:proofErr w:type="spellStart"/>
      <w:r w:rsidRPr="001E794C">
        <w:rPr>
          <w:rFonts w:ascii="Arial" w:hAnsi="Arial" w:cs="Arial"/>
          <w:sz w:val="18"/>
          <w:szCs w:val="18"/>
        </w:rPr>
        <w:t>Dte</w:t>
      </w:r>
      <w:proofErr w:type="spellEnd"/>
      <w:r w:rsidRPr="001E794C">
        <w:rPr>
          <w:rFonts w:ascii="Arial" w:hAnsi="Arial" w:cs="Arial"/>
          <w:sz w:val="18"/>
          <w:szCs w:val="18"/>
        </w:rPr>
        <w:t xml:space="preserve">: </w:t>
      </w:r>
      <w:proofErr w:type="spellStart"/>
      <w:r w:rsidRPr="001E794C">
        <w:rPr>
          <w:rFonts w:ascii="Arial" w:hAnsi="Arial" w:cs="Arial"/>
          <w:sz w:val="18"/>
          <w:szCs w:val="18"/>
        </w:rPr>
        <w:t>Aisled</w:t>
      </w:r>
      <w:proofErr w:type="spellEnd"/>
      <w:r w:rsidRPr="001E794C">
        <w:rPr>
          <w:rFonts w:ascii="Arial" w:hAnsi="Arial" w:cs="Arial"/>
          <w:sz w:val="18"/>
          <w:szCs w:val="18"/>
        </w:rPr>
        <w:t xml:space="preserve"> Ocampo </w:t>
      </w:r>
      <w:proofErr w:type="spellStart"/>
      <w:r w:rsidRPr="001E794C">
        <w:rPr>
          <w:rFonts w:ascii="Arial" w:hAnsi="Arial" w:cs="Arial"/>
          <w:sz w:val="18"/>
          <w:szCs w:val="18"/>
        </w:rPr>
        <w:t>Aristizabal</w:t>
      </w:r>
      <w:proofErr w:type="spellEnd"/>
      <w:r w:rsidRPr="001E794C">
        <w:rPr>
          <w:rFonts w:ascii="Arial" w:hAnsi="Arial" w:cs="Arial"/>
          <w:sz w:val="18"/>
          <w:szCs w:val="18"/>
        </w:rPr>
        <w:t xml:space="preserve"> vs Colpensiones.</w:t>
      </w:r>
    </w:p>
  </w:footnote>
  <w:footnote w:id="7">
    <w:p w14:paraId="0152183E" w14:textId="77777777" w:rsidR="009E3D8F" w:rsidRPr="001E794C" w:rsidRDefault="009E3D8F" w:rsidP="00C32DBF">
      <w:pPr>
        <w:pStyle w:val="Textonotapie"/>
        <w:rPr>
          <w:rFonts w:ascii="Arial" w:hAnsi="Arial" w:cs="Arial"/>
          <w:sz w:val="18"/>
          <w:szCs w:val="18"/>
          <w:lang w:val="es-CO"/>
        </w:rPr>
      </w:pPr>
      <w:r w:rsidRPr="001E794C">
        <w:rPr>
          <w:rStyle w:val="Refdenotaalpie"/>
          <w:rFonts w:ascii="Arial" w:hAnsi="Arial" w:cs="Arial"/>
          <w:sz w:val="18"/>
          <w:szCs w:val="18"/>
        </w:rPr>
        <w:footnoteRef/>
      </w:r>
      <w:r w:rsidRPr="001E794C">
        <w:rPr>
          <w:rFonts w:ascii="Arial" w:hAnsi="Arial" w:cs="Arial"/>
          <w:sz w:val="18"/>
          <w:szCs w:val="18"/>
        </w:rPr>
        <w:t xml:space="preserve"> M.P. Dra. Ana Lucía Caicedo Calderón. Rad. 66001-31-05-004-2013-00764-01 de 20 de marzo de 2015.</w:t>
      </w:r>
    </w:p>
  </w:footnote>
  <w:footnote w:id="8">
    <w:p w14:paraId="28F00BB0" w14:textId="73E4DABA" w:rsidR="009E3D8F" w:rsidRPr="001E794C" w:rsidRDefault="009E3D8F">
      <w:pPr>
        <w:pStyle w:val="Textonotapie"/>
        <w:rPr>
          <w:rFonts w:ascii="Arial" w:hAnsi="Arial" w:cs="Arial"/>
          <w:sz w:val="18"/>
          <w:szCs w:val="18"/>
        </w:rPr>
      </w:pPr>
      <w:r w:rsidRPr="001E794C">
        <w:rPr>
          <w:rStyle w:val="Refdenotaalpie"/>
          <w:rFonts w:ascii="Arial" w:hAnsi="Arial" w:cs="Arial"/>
          <w:sz w:val="18"/>
          <w:szCs w:val="18"/>
        </w:rPr>
        <w:footnoteRef/>
      </w:r>
      <w:r w:rsidRPr="001E794C">
        <w:rPr>
          <w:rFonts w:ascii="Arial" w:hAnsi="Arial" w:cs="Arial"/>
          <w:sz w:val="18"/>
          <w:szCs w:val="18"/>
        </w:rPr>
        <w:t xml:space="preserve"> </w:t>
      </w:r>
      <w:proofErr w:type="spellStart"/>
      <w:r w:rsidRPr="001E794C">
        <w:rPr>
          <w:rFonts w:ascii="Arial" w:hAnsi="Arial" w:cs="Arial"/>
          <w:sz w:val="18"/>
          <w:szCs w:val="18"/>
        </w:rPr>
        <w:t>Sent</w:t>
      </w:r>
      <w:proofErr w:type="spellEnd"/>
      <w:r w:rsidRPr="001E794C">
        <w:rPr>
          <w:rFonts w:ascii="Arial" w:hAnsi="Arial" w:cs="Arial"/>
          <w:sz w:val="18"/>
          <w:szCs w:val="18"/>
        </w:rPr>
        <w:t xml:space="preserve">. Cas. </w:t>
      </w:r>
      <w:proofErr w:type="spellStart"/>
      <w:r w:rsidRPr="001E794C">
        <w:rPr>
          <w:rFonts w:ascii="Arial" w:hAnsi="Arial" w:cs="Arial"/>
          <w:sz w:val="18"/>
          <w:szCs w:val="18"/>
        </w:rPr>
        <w:t>Lab</w:t>
      </w:r>
      <w:proofErr w:type="spellEnd"/>
      <w:r w:rsidRPr="001E794C">
        <w:rPr>
          <w:rFonts w:ascii="Arial" w:hAnsi="Arial" w:cs="Arial"/>
          <w:sz w:val="18"/>
          <w:szCs w:val="18"/>
        </w:rPr>
        <w:t xml:space="preserve">. de 27 de febrero de 2019, </w:t>
      </w:r>
      <w:proofErr w:type="spellStart"/>
      <w:r w:rsidRPr="001E794C">
        <w:rPr>
          <w:rFonts w:ascii="Arial" w:hAnsi="Arial" w:cs="Arial"/>
          <w:sz w:val="18"/>
          <w:szCs w:val="18"/>
        </w:rPr>
        <w:t>Exp</w:t>
      </w:r>
      <w:proofErr w:type="spellEnd"/>
      <w:r w:rsidRPr="001E794C">
        <w:rPr>
          <w:rFonts w:ascii="Arial" w:hAnsi="Arial" w:cs="Arial"/>
          <w:sz w:val="18"/>
          <w:szCs w:val="18"/>
        </w:rPr>
        <w:t>. No. SL603-2019.</w:t>
      </w:r>
    </w:p>
  </w:footnote>
  <w:footnote w:id="9">
    <w:p w14:paraId="7201EF2B" w14:textId="48164610" w:rsidR="009E3D8F" w:rsidRPr="001E794C" w:rsidRDefault="009E3D8F">
      <w:pPr>
        <w:pStyle w:val="Textonotapie"/>
        <w:rPr>
          <w:rFonts w:ascii="Arial" w:hAnsi="Arial" w:cs="Arial"/>
          <w:sz w:val="18"/>
          <w:szCs w:val="18"/>
        </w:rPr>
      </w:pPr>
      <w:r w:rsidRPr="001E794C">
        <w:rPr>
          <w:rStyle w:val="Refdenotaalpie"/>
          <w:rFonts w:ascii="Arial" w:hAnsi="Arial" w:cs="Arial"/>
          <w:sz w:val="18"/>
          <w:szCs w:val="18"/>
        </w:rPr>
        <w:footnoteRef/>
      </w:r>
      <w:r w:rsidRPr="001E794C">
        <w:rPr>
          <w:rFonts w:ascii="Arial" w:hAnsi="Arial" w:cs="Arial"/>
          <w:sz w:val="18"/>
          <w:szCs w:val="18"/>
        </w:rPr>
        <w:t xml:space="preserve"> </w:t>
      </w:r>
      <w:r w:rsidRPr="001E794C">
        <w:rPr>
          <w:rFonts w:ascii="Arial" w:hAnsi="Arial" w:cs="Arial"/>
          <w:i/>
          <w:sz w:val="18"/>
          <w:szCs w:val="18"/>
        </w:rPr>
        <w:t>Ibídem.</w:t>
      </w:r>
      <w:r w:rsidRPr="001E794C">
        <w:rPr>
          <w:rFonts w:ascii="Arial" w:hAnsi="Arial" w:cs="Arial"/>
          <w:sz w:val="18"/>
          <w:szCs w:val="18"/>
        </w:rPr>
        <w:t xml:space="preserve"> </w:t>
      </w:r>
    </w:p>
  </w:footnote>
  <w:footnote w:id="10">
    <w:p w14:paraId="780FC96A" w14:textId="7B5AED7D" w:rsidR="00E74763" w:rsidRPr="001E794C" w:rsidRDefault="00E74763">
      <w:pPr>
        <w:pStyle w:val="Textonotapie"/>
        <w:rPr>
          <w:rFonts w:ascii="Arial" w:hAnsi="Arial" w:cs="Arial"/>
          <w:sz w:val="18"/>
          <w:szCs w:val="18"/>
        </w:rPr>
      </w:pPr>
      <w:r w:rsidRPr="001E794C">
        <w:rPr>
          <w:rStyle w:val="Refdenotaalpie"/>
          <w:rFonts w:ascii="Arial" w:hAnsi="Arial" w:cs="Arial"/>
          <w:sz w:val="18"/>
          <w:szCs w:val="18"/>
        </w:rPr>
        <w:footnoteRef/>
      </w:r>
      <w:r w:rsidRPr="001E794C">
        <w:rPr>
          <w:rFonts w:ascii="Arial" w:hAnsi="Arial" w:cs="Arial"/>
          <w:sz w:val="18"/>
          <w:szCs w:val="18"/>
        </w:rPr>
        <w:t xml:space="preserve"> </w:t>
      </w:r>
      <w:proofErr w:type="spellStart"/>
      <w:r w:rsidRPr="001E794C">
        <w:rPr>
          <w:rFonts w:ascii="Arial" w:hAnsi="Arial" w:cs="Arial"/>
          <w:sz w:val="18"/>
          <w:szCs w:val="18"/>
        </w:rPr>
        <w:t>Sent</w:t>
      </w:r>
      <w:proofErr w:type="spellEnd"/>
      <w:r w:rsidRPr="001E794C">
        <w:rPr>
          <w:rFonts w:ascii="Arial" w:hAnsi="Arial" w:cs="Arial"/>
          <w:sz w:val="18"/>
          <w:szCs w:val="18"/>
        </w:rPr>
        <w:t xml:space="preserve">. Cas. </w:t>
      </w:r>
      <w:proofErr w:type="spellStart"/>
      <w:r w:rsidRPr="001E794C">
        <w:rPr>
          <w:rFonts w:ascii="Arial" w:hAnsi="Arial" w:cs="Arial"/>
          <w:sz w:val="18"/>
          <w:szCs w:val="18"/>
        </w:rPr>
        <w:t>Lab</w:t>
      </w:r>
      <w:proofErr w:type="spellEnd"/>
      <w:r w:rsidRPr="001E794C">
        <w:rPr>
          <w:rFonts w:ascii="Arial" w:hAnsi="Arial" w:cs="Arial"/>
          <w:sz w:val="18"/>
          <w:szCs w:val="18"/>
        </w:rPr>
        <w:t xml:space="preserve">. de 27 de febrero de 2019, </w:t>
      </w:r>
      <w:proofErr w:type="spellStart"/>
      <w:r w:rsidRPr="001E794C">
        <w:rPr>
          <w:rFonts w:ascii="Arial" w:hAnsi="Arial" w:cs="Arial"/>
          <w:sz w:val="18"/>
          <w:szCs w:val="18"/>
        </w:rPr>
        <w:t>Exp</w:t>
      </w:r>
      <w:proofErr w:type="spellEnd"/>
      <w:r w:rsidRPr="001E794C">
        <w:rPr>
          <w:rFonts w:ascii="Arial" w:hAnsi="Arial" w:cs="Arial"/>
          <w:sz w:val="18"/>
          <w:szCs w:val="18"/>
        </w:rPr>
        <w:t>. No.SL603-2019.</w:t>
      </w:r>
    </w:p>
  </w:footnote>
  <w:footnote w:id="11">
    <w:p w14:paraId="7A9F1335" w14:textId="38F0E9A8" w:rsidR="00E74763" w:rsidRDefault="00E74763">
      <w:pPr>
        <w:pStyle w:val="Textonotapie"/>
      </w:pPr>
      <w:r w:rsidRPr="001E794C">
        <w:rPr>
          <w:rStyle w:val="Refdenotaalpie"/>
          <w:rFonts w:ascii="Arial" w:hAnsi="Arial" w:cs="Arial"/>
          <w:sz w:val="18"/>
          <w:szCs w:val="18"/>
        </w:rPr>
        <w:footnoteRef/>
      </w:r>
      <w:r w:rsidRPr="001E794C">
        <w:rPr>
          <w:rFonts w:ascii="Arial" w:hAnsi="Arial" w:cs="Arial"/>
          <w:sz w:val="18"/>
          <w:szCs w:val="18"/>
        </w:rPr>
        <w:t xml:space="preserve"> </w:t>
      </w:r>
      <w:r w:rsidRPr="001E794C">
        <w:rPr>
          <w:rFonts w:ascii="Arial" w:hAnsi="Arial" w:cs="Arial"/>
          <w:i/>
          <w:sz w:val="18"/>
          <w:szCs w:val="18"/>
        </w:rPr>
        <w:t>Ibídem.</w:t>
      </w:r>
      <w:r w:rsidRPr="001E794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1AAE" w14:textId="77777777" w:rsidR="009E3D8F" w:rsidRPr="00BB3FED" w:rsidRDefault="009E3D8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157F5769" w14:textId="77777777" w:rsidR="009E3D8F" w:rsidRPr="00BB3FED" w:rsidRDefault="009E3D8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66001-31-05-005-2013-00617-02</w:t>
    </w:r>
  </w:p>
  <w:p w14:paraId="51491496" w14:textId="77777777" w:rsidR="009E3D8F" w:rsidRDefault="009E3D8F" w:rsidP="00665B83">
    <w:pPr>
      <w:pStyle w:val="Encabezado"/>
      <w:jc w:val="center"/>
      <w:rPr>
        <w:rFonts w:ascii="Arial" w:hAnsi="Arial" w:cs="Arial"/>
        <w:sz w:val="18"/>
        <w:szCs w:val="18"/>
      </w:rPr>
    </w:pPr>
    <w:r>
      <w:rPr>
        <w:rFonts w:ascii="Arial" w:hAnsi="Arial" w:cs="Arial"/>
        <w:sz w:val="18"/>
        <w:szCs w:val="18"/>
      </w:rPr>
      <w:t xml:space="preserve">María Zoraida Arroyave Loaiza </w:t>
    </w:r>
    <w:r w:rsidRPr="00BB3FED">
      <w:rPr>
        <w:rFonts w:ascii="Arial" w:hAnsi="Arial" w:cs="Arial"/>
        <w:sz w:val="18"/>
        <w:szCs w:val="18"/>
      </w:rPr>
      <w:t xml:space="preserve">vs </w:t>
    </w:r>
    <w:r>
      <w:rPr>
        <w:rFonts w:ascii="Arial" w:hAnsi="Arial" w:cs="Arial"/>
        <w:sz w:val="18"/>
        <w:szCs w:val="18"/>
      </w:rPr>
      <w:t xml:space="preserve">Protección S.A., Wilmar </w:t>
    </w:r>
    <w:proofErr w:type="spellStart"/>
    <w:r>
      <w:rPr>
        <w:rFonts w:ascii="Arial" w:hAnsi="Arial" w:cs="Arial"/>
        <w:sz w:val="18"/>
        <w:szCs w:val="18"/>
      </w:rPr>
      <w:t>Atehortua</w:t>
    </w:r>
    <w:proofErr w:type="spellEnd"/>
    <w:r>
      <w:rPr>
        <w:rFonts w:ascii="Arial" w:hAnsi="Arial" w:cs="Arial"/>
        <w:sz w:val="18"/>
        <w:szCs w:val="18"/>
      </w:rPr>
      <w:t xml:space="preserve"> Arango,</w:t>
    </w:r>
  </w:p>
  <w:p w14:paraId="673B4A2B" w14:textId="134A4269" w:rsidR="009E3D8F" w:rsidRPr="00C64681" w:rsidRDefault="009E3D8F" w:rsidP="001E794C">
    <w:pPr>
      <w:pStyle w:val="Encabezado"/>
      <w:jc w:val="center"/>
      <w:rPr>
        <w:rFonts w:ascii="Arial" w:hAnsi="Arial" w:cs="Arial"/>
        <w:sz w:val="18"/>
        <w:szCs w:val="18"/>
      </w:rPr>
    </w:pPr>
    <w:proofErr w:type="spellStart"/>
    <w:r>
      <w:rPr>
        <w:rFonts w:ascii="Arial" w:hAnsi="Arial" w:cs="Arial"/>
        <w:sz w:val="18"/>
        <w:szCs w:val="18"/>
      </w:rPr>
      <w:t>Mariluz</w:t>
    </w:r>
    <w:proofErr w:type="spellEnd"/>
    <w:r>
      <w:rPr>
        <w:rFonts w:ascii="Arial" w:hAnsi="Arial" w:cs="Arial"/>
        <w:sz w:val="18"/>
        <w:szCs w:val="18"/>
      </w:rPr>
      <w:t xml:space="preserve"> Sepúlveda Giraldo y Seguros </w:t>
    </w:r>
    <w:proofErr w:type="spellStart"/>
    <w:r>
      <w:rPr>
        <w:rFonts w:ascii="Arial" w:hAnsi="Arial" w:cs="Arial"/>
        <w:sz w:val="18"/>
        <w:szCs w:val="18"/>
      </w:rPr>
      <w:t>Bolivar</w:t>
    </w:r>
    <w:proofErr w:type="spellEnd"/>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49276C"/>
    <w:multiLevelType w:val="hybridMultilevel"/>
    <w:tmpl w:val="4478FE92"/>
    <w:lvl w:ilvl="0" w:tplc="05A49E9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B27AF5"/>
    <w:multiLevelType w:val="multilevel"/>
    <w:tmpl w:val="C8F26E54"/>
    <w:lvl w:ilvl="0">
      <w:start w:val="1"/>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4">
    <w:nsid w:val="1E654F23"/>
    <w:multiLevelType w:val="multilevel"/>
    <w:tmpl w:val="4F18C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D4515F"/>
    <w:multiLevelType w:val="multilevel"/>
    <w:tmpl w:val="FB28E3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1664E21"/>
    <w:multiLevelType w:val="hybridMultilevel"/>
    <w:tmpl w:val="4D5AE28E"/>
    <w:lvl w:ilvl="0" w:tplc="83028AE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6"/>
  </w:num>
  <w:num w:numId="3">
    <w:abstractNumId w:val="9"/>
  </w:num>
  <w:num w:numId="4">
    <w:abstractNumId w:val="0"/>
  </w:num>
  <w:num w:numId="5">
    <w:abstractNumId w:val="7"/>
  </w:num>
  <w:num w:numId="6">
    <w:abstractNumId w:val="1"/>
  </w:num>
  <w:num w:numId="7">
    <w:abstractNumId w:val="10"/>
  </w:num>
  <w:num w:numId="8">
    <w:abstractNumId w:val="12"/>
  </w:num>
  <w:num w:numId="9">
    <w:abstractNumId w:val="2"/>
  </w:num>
  <w:num w:numId="10">
    <w:abstractNumId w:val="8"/>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03D0"/>
    <w:rsid w:val="0000127D"/>
    <w:rsid w:val="0000213F"/>
    <w:rsid w:val="00007DBE"/>
    <w:rsid w:val="000114AC"/>
    <w:rsid w:val="00013C8E"/>
    <w:rsid w:val="000142D9"/>
    <w:rsid w:val="000154E2"/>
    <w:rsid w:val="00015ED7"/>
    <w:rsid w:val="00024B63"/>
    <w:rsid w:val="00027FB7"/>
    <w:rsid w:val="00034966"/>
    <w:rsid w:val="00035402"/>
    <w:rsid w:val="00035B09"/>
    <w:rsid w:val="00036884"/>
    <w:rsid w:val="0003741A"/>
    <w:rsid w:val="000417E3"/>
    <w:rsid w:val="00047555"/>
    <w:rsid w:val="00051F09"/>
    <w:rsid w:val="0005284B"/>
    <w:rsid w:val="00054DD5"/>
    <w:rsid w:val="000556DB"/>
    <w:rsid w:val="000559E6"/>
    <w:rsid w:val="00057494"/>
    <w:rsid w:val="00060F63"/>
    <w:rsid w:val="00061C68"/>
    <w:rsid w:val="00062EAF"/>
    <w:rsid w:val="00062EF9"/>
    <w:rsid w:val="000661C6"/>
    <w:rsid w:val="00071FD7"/>
    <w:rsid w:val="00076708"/>
    <w:rsid w:val="00080E24"/>
    <w:rsid w:val="00081663"/>
    <w:rsid w:val="00082166"/>
    <w:rsid w:val="00085CFB"/>
    <w:rsid w:val="00086101"/>
    <w:rsid w:val="00086287"/>
    <w:rsid w:val="0009318D"/>
    <w:rsid w:val="00097B42"/>
    <w:rsid w:val="000A0A52"/>
    <w:rsid w:val="000A72D8"/>
    <w:rsid w:val="000B1820"/>
    <w:rsid w:val="000B3523"/>
    <w:rsid w:val="000B4D27"/>
    <w:rsid w:val="000B78A0"/>
    <w:rsid w:val="000C49B8"/>
    <w:rsid w:val="000D6594"/>
    <w:rsid w:val="000E0A76"/>
    <w:rsid w:val="000E0DB4"/>
    <w:rsid w:val="000E23A3"/>
    <w:rsid w:val="000E702F"/>
    <w:rsid w:val="000F2EAD"/>
    <w:rsid w:val="000F5B80"/>
    <w:rsid w:val="001009DC"/>
    <w:rsid w:val="00102971"/>
    <w:rsid w:val="00102F84"/>
    <w:rsid w:val="001033C4"/>
    <w:rsid w:val="00103D8C"/>
    <w:rsid w:val="00106D48"/>
    <w:rsid w:val="0012072E"/>
    <w:rsid w:val="0012161E"/>
    <w:rsid w:val="0012398A"/>
    <w:rsid w:val="00131B68"/>
    <w:rsid w:val="0013362B"/>
    <w:rsid w:val="001342A7"/>
    <w:rsid w:val="001415F6"/>
    <w:rsid w:val="00143238"/>
    <w:rsid w:val="00143F42"/>
    <w:rsid w:val="001479BF"/>
    <w:rsid w:val="001507EB"/>
    <w:rsid w:val="00150853"/>
    <w:rsid w:val="00150D29"/>
    <w:rsid w:val="00151463"/>
    <w:rsid w:val="00151BDD"/>
    <w:rsid w:val="001550EE"/>
    <w:rsid w:val="00156B40"/>
    <w:rsid w:val="00160020"/>
    <w:rsid w:val="00166F18"/>
    <w:rsid w:val="001717C8"/>
    <w:rsid w:val="00173DEB"/>
    <w:rsid w:val="00175CAD"/>
    <w:rsid w:val="00177C3E"/>
    <w:rsid w:val="00180A77"/>
    <w:rsid w:val="00185CC2"/>
    <w:rsid w:val="00185EF8"/>
    <w:rsid w:val="00186E6B"/>
    <w:rsid w:val="00187DE9"/>
    <w:rsid w:val="00191C0D"/>
    <w:rsid w:val="00192D15"/>
    <w:rsid w:val="0019321B"/>
    <w:rsid w:val="0019720A"/>
    <w:rsid w:val="001A13CD"/>
    <w:rsid w:val="001A22D2"/>
    <w:rsid w:val="001A7152"/>
    <w:rsid w:val="001B1787"/>
    <w:rsid w:val="001B3708"/>
    <w:rsid w:val="001B3E0B"/>
    <w:rsid w:val="001B3E2F"/>
    <w:rsid w:val="001C10E4"/>
    <w:rsid w:val="001C2146"/>
    <w:rsid w:val="001C5030"/>
    <w:rsid w:val="001C62EF"/>
    <w:rsid w:val="001C6CD4"/>
    <w:rsid w:val="001D02B4"/>
    <w:rsid w:val="001D1577"/>
    <w:rsid w:val="001D1CF4"/>
    <w:rsid w:val="001D7E4F"/>
    <w:rsid w:val="001E3681"/>
    <w:rsid w:val="001E6B4C"/>
    <w:rsid w:val="001E794C"/>
    <w:rsid w:val="001F0919"/>
    <w:rsid w:val="001F0E35"/>
    <w:rsid w:val="001F749C"/>
    <w:rsid w:val="002059A4"/>
    <w:rsid w:val="0020681A"/>
    <w:rsid w:val="00206950"/>
    <w:rsid w:val="00210ADB"/>
    <w:rsid w:val="00213403"/>
    <w:rsid w:val="00213F65"/>
    <w:rsid w:val="00215F5A"/>
    <w:rsid w:val="00217210"/>
    <w:rsid w:val="00221E60"/>
    <w:rsid w:val="00225BA0"/>
    <w:rsid w:val="00230E0A"/>
    <w:rsid w:val="00233F04"/>
    <w:rsid w:val="002351C5"/>
    <w:rsid w:val="00244DB4"/>
    <w:rsid w:val="002465C5"/>
    <w:rsid w:val="002479DD"/>
    <w:rsid w:val="00251ED2"/>
    <w:rsid w:val="00265FD7"/>
    <w:rsid w:val="00267BD0"/>
    <w:rsid w:val="002711AC"/>
    <w:rsid w:val="002715A3"/>
    <w:rsid w:val="002741AB"/>
    <w:rsid w:val="00277640"/>
    <w:rsid w:val="002800CF"/>
    <w:rsid w:val="00280699"/>
    <w:rsid w:val="00281D90"/>
    <w:rsid w:val="002826F2"/>
    <w:rsid w:val="002839F8"/>
    <w:rsid w:val="00284FDE"/>
    <w:rsid w:val="0028632F"/>
    <w:rsid w:val="002878DA"/>
    <w:rsid w:val="00292E39"/>
    <w:rsid w:val="0029403F"/>
    <w:rsid w:val="002A1E4B"/>
    <w:rsid w:val="002A2CFD"/>
    <w:rsid w:val="002A3F1D"/>
    <w:rsid w:val="002A6AFF"/>
    <w:rsid w:val="002A79C8"/>
    <w:rsid w:val="002B4681"/>
    <w:rsid w:val="002C5F5F"/>
    <w:rsid w:val="002D5EF3"/>
    <w:rsid w:val="002E0BCD"/>
    <w:rsid w:val="002E4130"/>
    <w:rsid w:val="002F1A3E"/>
    <w:rsid w:val="002F4CEB"/>
    <w:rsid w:val="00301B36"/>
    <w:rsid w:val="00302F19"/>
    <w:rsid w:val="00322B3D"/>
    <w:rsid w:val="003255F9"/>
    <w:rsid w:val="00326857"/>
    <w:rsid w:val="0033311D"/>
    <w:rsid w:val="00340139"/>
    <w:rsid w:val="003409AC"/>
    <w:rsid w:val="003419F2"/>
    <w:rsid w:val="00344FC8"/>
    <w:rsid w:val="0034592E"/>
    <w:rsid w:val="00346595"/>
    <w:rsid w:val="00347D31"/>
    <w:rsid w:val="003505E4"/>
    <w:rsid w:val="003569CF"/>
    <w:rsid w:val="00356BA1"/>
    <w:rsid w:val="00357893"/>
    <w:rsid w:val="00363810"/>
    <w:rsid w:val="003655C7"/>
    <w:rsid w:val="00366889"/>
    <w:rsid w:val="00373A92"/>
    <w:rsid w:val="00375B2F"/>
    <w:rsid w:val="00376890"/>
    <w:rsid w:val="00376C36"/>
    <w:rsid w:val="00380A6B"/>
    <w:rsid w:val="003823D4"/>
    <w:rsid w:val="003836B4"/>
    <w:rsid w:val="00390977"/>
    <w:rsid w:val="0039311C"/>
    <w:rsid w:val="0039475B"/>
    <w:rsid w:val="00394C3A"/>
    <w:rsid w:val="00396642"/>
    <w:rsid w:val="003A2F9F"/>
    <w:rsid w:val="003A6633"/>
    <w:rsid w:val="003B0B03"/>
    <w:rsid w:val="003C0D1D"/>
    <w:rsid w:val="003C2A62"/>
    <w:rsid w:val="003C5CB1"/>
    <w:rsid w:val="003C5EC0"/>
    <w:rsid w:val="003D0540"/>
    <w:rsid w:val="003D0E58"/>
    <w:rsid w:val="003D248C"/>
    <w:rsid w:val="003D28B4"/>
    <w:rsid w:val="003E0869"/>
    <w:rsid w:val="003E247D"/>
    <w:rsid w:val="003E273D"/>
    <w:rsid w:val="003E2D66"/>
    <w:rsid w:val="003E518B"/>
    <w:rsid w:val="003F3373"/>
    <w:rsid w:val="003F41A7"/>
    <w:rsid w:val="003F7229"/>
    <w:rsid w:val="003F7762"/>
    <w:rsid w:val="00402A49"/>
    <w:rsid w:val="0040401B"/>
    <w:rsid w:val="0040743E"/>
    <w:rsid w:val="004126D9"/>
    <w:rsid w:val="004177D4"/>
    <w:rsid w:val="00424674"/>
    <w:rsid w:val="00425A45"/>
    <w:rsid w:val="00430235"/>
    <w:rsid w:val="004303F2"/>
    <w:rsid w:val="00431CD6"/>
    <w:rsid w:val="00434223"/>
    <w:rsid w:val="00434AF0"/>
    <w:rsid w:val="00435064"/>
    <w:rsid w:val="00437D33"/>
    <w:rsid w:val="00441894"/>
    <w:rsid w:val="00442655"/>
    <w:rsid w:val="004436CF"/>
    <w:rsid w:val="004501C3"/>
    <w:rsid w:val="00451C99"/>
    <w:rsid w:val="00453DBB"/>
    <w:rsid w:val="00455061"/>
    <w:rsid w:val="00455831"/>
    <w:rsid w:val="00455EA7"/>
    <w:rsid w:val="004562DE"/>
    <w:rsid w:val="004564B6"/>
    <w:rsid w:val="00461EAF"/>
    <w:rsid w:val="00462E84"/>
    <w:rsid w:val="00465B59"/>
    <w:rsid w:val="0047239E"/>
    <w:rsid w:val="004739E8"/>
    <w:rsid w:val="004750F5"/>
    <w:rsid w:val="00475A66"/>
    <w:rsid w:val="00477231"/>
    <w:rsid w:val="0048351A"/>
    <w:rsid w:val="00495FED"/>
    <w:rsid w:val="004A1E0E"/>
    <w:rsid w:val="004A4E1C"/>
    <w:rsid w:val="004A76B5"/>
    <w:rsid w:val="004B767F"/>
    <w:rsid w:val="004C211B"/>
    <w:rsid w:val="004D060A"/>
    <w:rsid w:val="004D3681"/>
    <w:rsid w:val="004D37A4"/>
    <w:rsid w:val="004D4350"/>
    <w:rsid w:val="004D4D76"/>
    <w:rsid w:val="004D5674"/>
    <w:rsid w:val="004D64D4"/>
    <w:rsid w:val="004D6C7D"/>
    <w:rsid w:val="004E05F4"/>
    <w:rsid w:val="004E1600"/>
    <w:rsid w:val="004E28D1"/>
    <w:rsid w:val="004E37FC"/>
    <w:rsid w:val="004F0607"/>
    <w:rsid w:val="004F0B62"/>
    <w:rsid w:val="004F3184"/>
    <w:rsid w:val="00500CD1"/>
    <w:rsid w:val="00500DAD"/>
    <w:rsid w:val="00504143"/>
    <w:rsid w:val="005130D7"/>
    <w:rsid w:val="0051364D"/>
    <w:rsid w:val="00514C6A"/>
    <w:rsid w:val="00522757"/>
    <w:rsid w:val="0052613C"/>
    <w:rsid w:val="00526887"/>
    <w:rsid w:val="00531850"/>
    <w:rsid w:val="005318DE"/>
    <w:rsid w:val="00533A7B"/>
    <w:rsid w:val="00540660"/>
    <w:rsid w:val="00542DA9"/>
    <w:rsid w:val="005447AB"/>
    <w:rsid w:val="00544EB8"/>
    <w:rsid w:val="00545718"/>
    <w:rsid w:val="00545E0D"/>
    <w:rsid w:val="00547056"/>
    <w:rsid w:val="005521CC"/>
    <w:rsid w:val="00552B64"/>
    <w:rsid w:val="005547A4"/>
    <w:rsid w:val="005559BD"/>
    <w:rsid w:val="005609FA"/>
    <w:rsid w:val="00565DB3"/>
    <w:rsid w:val="00571048"/>
    <w:rsid w:val="00571234"/>
    <w:rsid w:val="00571C3F"/>
    <w:rsid w:val="00573CAF"/>
    <w:rsid w:val="00574DE3"/>
    <w:rsid w:val="00575373"/>
    <w:rsid w:val="00576E30"/>
    <w:rsid w:val="00577BE7"/>
    <w:rsid w:val="005811A9"/>
    <w:rsid w:val="005841C6"/>
    <w:rsid w:val="005875AC"/>
    <w:rsid w:val="00587EC2"/>
    <w:rsid w:val="0059015A"/>
    <w:rsid w:val="00591741"/>
    <w:rsid w:val="00592FE8"/>
    <w:rsid w:val="00593D04"/>
    <w:rsid w:val="00595B74"/>
    <w:rsid w:val="00597AC9"/>
    <w:rsid w:val="005A0587"/>
    <w:rsid w:val="005A078F"/>
    <w:rsid w:val="005A2861"/>
    <w:rsid w:val="005A3727"/>
    <w:rsid w:val="005A3BEB"/>
    <w:rsid w:val="005A474A"/>
    <w:rsid w:val="005A61B8"/>
    <w:rsid w:val="005B252F"/>
    <w:rsid w:val="005B4C2F"/>
    <w:rsid w:val="005B6FBB"/>
    <w:rsid w:val="005B7421"/>
    <w:rsid w:val="005C11EA"/>
    <w:rsid w:val="005C2DA5"/>
    <w:rsid w:val="005C6E64"/>
    <w:rsid w:val="005C6F65"/>
    <w:rsid w:val="005D0BC3"/>
    <w:rsid w:val="005D0F84"/>
    <w:rsid w:val="005D50B3"/>
    <w:rsid w:val="005D6807"/>
    <w:rsid w:val="005D6E89"/>
    <w:rsid w:val="005D7960"/>
    <w:rsid w:val="005E35B3"/>
    <w:rsid w:val="005E3917"/>
    <w:rsid w:val="005E5C86"/>
    <w:rsid w:val="005E77B4"/>
    <w:rsid w:val="005E7939"/>
    <w:rsid w:val="005E7BCE"/>
    <w:rsid w:val="005F1DB4"/>
    <w:rsid w:val="005F62C5"/>
    <w:rsid w:val="005F7BC0"/>
    <w:rsid w:val="00604E47"/>
    <w:rsid w:val="0060538B"/>
    <w:rsid w:val="00606272"/>
    <w:rsid w:val="00607188"/>
    <w:rsid w:val="00613F3E"/>
    <w:rsid w:val="006146B0"/>
    <w:rsid w:val="006149DA"/>
    <w:rsid w:val="00615392"/>
    <w:rsid w:val="00617F5C"/>
    <w:rsid w:val="00622B8A"/>
    <w:rsid w:val="00633849"/>
    <w:rsid w:val="00633C1D"/>
    <w:rsid w:val="006348B5"/>
    <w:rsid w:val="00635800"/>
    <w:rsid w:val="00635BFE"/>
    <w:rsid w:val="006363E4"/>
    <w:rsid w:val="00636B0C"/>
    <w:rsid w:val="00636FB1"/>
    <w:rsid w:val="006468D1"/>
    <w:rsid w:val="0064778B"/>
    <w:rsid w:val="00647CF0"/>
    <w:rsid w:val="00647EA5"/>
    <w:rsid w:val="00660585"/>
    <w:rsid w:val="00663E1F"/>
    <w:rsid w:val="00664BF6"/>
    <w:rsid w:val="00665B83"/>
    <w:rsid w:val="006665E8"/>
    <w:rsid w:val="00671476"/>
    <w:rsid w:val="00671FFC"/>
    <w:rsid w:val="0067324F"/>
    <w:rsid w:val="00674B5E"/>
    <w:rsid w:val="00680AA0"/>
    <w:rsid w:val="006816CD"/>
    <w:rsid w:val="00683C81"/>
    <w:rsid w:val="0068587E"/>
    <w:rsid w:val="006929AE"/>
    <w:rsid w:val="00693329"/>
    <w:rsid w:val="006A3F2E"/>
    <w:rsid w:val="006B503C"/>
    <w:rsid w:val="006B5798"/>
    <w:rsid w:val="006C0C32"/>
    <w:rsid w:val="006C11D1"/>
    <w:rsid w:val="006C1475"/>
    <w:rsid w:val="006C2BAF"/>
    <w:rsid w:val="006C4106"/>
    <w:rsid w:val="006C4AF3"/>
    <w:rsid w:val="006C4B6C"/>
    <w:rsid w:val="006D1AFA"/>
    <w:rsid w:val="006E031D"/>
    <w:rsid w:val="006E30C5"/>
    <w:rsid w:val="006E44A3"/>
    <w:rsid w:val="006E5C36"/>
    <w:rsid w:val="006E6B86"/>
    <w:rsid w:val="007022A5"/>
    <w:rsid w:val="00706E89"/>
    <w:rsid w:val="007163B9"/>
    <w:rsid w:val="00720884"/>
    <w:rsid w:val="00721B95"/>
    <w:rsid w:val="007233B4"/>
    <w:rsid w:val="00724BDC"/>
    <w:rsid w:val="007253CB"/>
    <w:rsid w:val="00727ADE"/>
    <w:rsid w:val="00730960"/>
    <w:rsid w:val="00732283"/>
    <w:rsid w:val="007337F3"/>
    <w:rsid w:val="00737BBE"/>
    <w:rsid w:val="00740139"/>
    <w:rsid w:val="007477F4"/>
    <w:rsid w:val="0075071F"/>
    <w:rsid w:val="007507AA"/>
    <w:rsid w:val="0076323E"/>
    <w:rsid w:val="00763E5B"/>
    <w:rsid w:val="00776AC7"/>
    <w:rsid w:val="0077708E"/>
    <w:rsid w:val="00781247"/>
    <w:rsid w:val="0078318A"/>
    <w:rsid w:val="007847EA"/>
    <w:rsid w:val="007868BD"/>
    <w:rsid w:val="00790B16"/>
    <w:rsid w:val="00791995"/>
    <w:rsid w:val="0079630B"/>
    <w:rsid w:val="007A2B2C"/>
    <w:rsid w:val="007A5E28"/>
    <w:rsid w:val="007B0A1D"/>
    <w:rsid w:val="007B6D66"/>
    <w:rsid w:val="007C2949"/>
    <w:rsid w:val="007C2A6E"/>
    <w:rsid w:val="007C3B26"/>
    <w:rsid w:val="007D2A61"/>
    <w:rsid w:val="007D71D7"/>
    <w:rsid w:val="007E2C13"/>
    <w:rsid w:val="007E4E90"/>
    <w:rsid w:val="007E5D91"/>
    <w:rsid w:val="007E6CD7"/>
    <w:rsid w:val="007F511A"/>
    <w:rsid w:val="007F67F7"/>
    <w:rsid w:val="007F7E5E"/>
    <w:rsid w:val="007F7FDB"/>
    <w:rsid w:val="00800868"/>
    <w:rsid w:val="00801FC9"/>
    <w:rsid w:val="0080401F"/>
    <w:rsid w:val="008052BE"/>
    <w:rsid w:val="0080551F"/>
    <w:rsid w:val="008108A1"/>
    <w:rsid w:val="008141AA"/>
    <w:rsid w:val="008205BB"/>
    <w:rsid w:val="008253B6"/>
    <w:rsid w:val="00826D8E"/>
    <w:rsid w:val="008270AA"/>
    <w:rsid w:val="00837419"/>
    <w:rsid w:val="00837510"/>
    <w:rsid w:val="00841675"/>
    <w:rsid w:val="00841980"/>
    <w:rsid w:val="008424DF"/>
    <w:rsid w:val="00845B4A"/>
    <w:rsid w:val="008502F2"/>
    <w:rsid w:val="00850A50"/>
    <w:rsid w:val="00851478"/>
    <w:rsid w:val="00851B1E"/>
    <w:rsid w:val="008549AE"/>
    <w:rsid w:val="0085717A"/>
    <w:rsid w:val="00857785"/>
    <w:rsid w:val="00866881"/>
    <w:rsid w:val="00867916"/>
    <w:rsid w:val="00873A51"/>
    <w:rsid w:val="00880C88"/>
    <w:rsid w:val="00886369"/>
    <w:rsid w:val="00886C66"/>
    <w:rsid w:val="0088798E"/>
    <w:rsid w:val="00887EC4"/>
    <w:rsid w:val="00891BE5"/>
    <w:rsid w:val="00892101"/>
    <w:rsid w:val="008978FC"/>
    <w:rsid w:val="008B209A"/>
    <w:rsid w:val="008B4335"/>
    <w:rsid w:val="008B5964"/>
    <w:rsid w:val="008B5FCE"/>
    <w:rsid w:val="008B6952"/>
    <w:rsid w:val="008C1419"/>
    <w:rsid w:val="008C2D62"/>
    <w:rsid w:val="008C3430"/>
    <w:rsid w:val="008C76C8"/>
    <w:rsid w:val="008D0A2B"/>
    <w:rsid w:val="008D401E"/>
    <w:rsid w:val="008D46ED"/>
    <w:rsid w:val="008D70C4"/>
    <w:rsid w:val="008E2D5F"/>
    <w:rsid w:val="008F153B"/>
    <w:rsid w:val="008F15BA"/>
    <w:rsid w:val="008F1C9C"/>
    <w:rsid w:val="008F5EEF"/>
    <w:rsid w:val="00900195"/>
    <w:rsid w:val="009002A3"/>
    <w:rsid w:val="0090490A"/>
    <w:rsid w:val="0090564D"/>
    <w:rsid w:val="009100F5"/>
    <w:rsid w:val="00912BA2"/>
    <w:rsid w:val="009130E5"/>
    <w:rsid w:val="00917534"/>
    <w:rsid w:val="00917B84"/>
    <w:rsid w:val="00920BFB"/>
    <w:rsid w:val="009257A8"/>
    <w:rsid w:val="00926F43"/>
    <w:rsid w:val="0092741E"/>
    <w:rsid w:val="00931514"/>
    <w:rsid w:val="0093350B"/>
    <w:rsid w:val="00936E8E"/>
    <w:rsid w:val="00941618"/>
    <w:rsid w:val="0094229F"/>
    <w:rsid w:val="00942D4C"/>
    <w:rsid w:val="00947AC0"/>
    <w:rsid w:val="00951B99"/>
    <w:rsid w:val="009540EC"/>
    <w:rsid w:val="0095453C"/>
    <w:rsid w:val="00954728"/>
    <w:rsid w:val="009555FF"/>
    <w:rsid w:val="00956712"/>
    <w:rsid w:val="00960C30"/>
    <w:rsid w:val="00962BDD"/>
    <w:rsid w:val="0096784A"/>
    <w:rsid w:val="00980561"/>
    <w:rsid w:val="00980592"/>
    <w:rsid w:val="00982148"/>
    <w:rsid w:val="009834B2"/>
    <w:rsid w:val="00983BBA"/>
    <w:rsid w:val="009848C0"/>
    <w:rsid w:val="00986183"/>
    <w:rsid w:val="0099231A"/>
    <w:rsid w:val="009938CC"/>
    <w:rsid w:val="00996FBD"/>
    <w:rsid w:val="009A104D"/>
    <w:rsid w:val="009A668B"/>
    <w:rsid w:val="009B3C05"/>
    <w:rsid w:val="009B5BB6"/>
    <w:rsid w:val="009B60A4"/>
    <w:rsid w:val="009B6B64"/>
    <w:rsid w:val="009C4787"/>
    <w:rsid w:val="009C482F"/>
    <w:rsid w:val="009D0760"/>
    <w:rsid w:val="009D0A13"/>
    <w:rsid w:val="009D55FC"/>
    <w:rsid w:val="009D70CD"/>
    <w:rsid w:val="009E1076"/>
    <w:rsid w:val="009E3C18"/>
    <w:rsid w:val="009E3D8F"/>
    <w:rsid w:val="009F0CA7"/>
    <w:rsid w:val="009F36DA"/>
    <w:rsid w:val="009F62F8"/>
    <w:rsid w:val="009F7A3F"/>
    <w:rsid w:val="00A02951"/>
    <w:rsid w:val="00A04EAD"/>
    <w:rsid w:val="00A0557D"/>
    <w:rsid w:val="00A05D3E"/>
    <w:rsid w:val="00A060E9"/>
    <w:rsid w:val="00A07877"/>
    <w:rsid w:val="00A078AD"/>
    <w:rsid w:val="00A07CFD"/>
    <w:rsid w:val="00A104AF"/>
    <w:rsid w:val="00A12160"/>
    <w:rsid w:val="00A1327E"/>
    <w:rsid w:val="00A222AE"/>
    <w:rsid w:val="00A2325D"/>
    <w:rsid w:val="00A2491B"/>
    <w:rsid w:val="00A24C3C"/>
    <w:rsid w:val="00A27371"/>
    <w:rsid w:val="00A304EF"/>
    <w:rsid w:val="00A310D1"/>
    <w:rsid w:val="00A404F4"/>
    <w:rsid w:val="00A42665"/>
    <w:rsid w:val="00A44751"/>
    <w:rsid w:val="00A45EBF"/>
    <w:rsid w:val="00A47490"/>
    <w:rsid w:val="00A47F12"/>
    <w:rsid w:val="00A57F17"/>
    <w:rsid w:val="00A615E6"/>
    <w:rsid w:val="00A6438A"/>
    <w:rsid w:val="00A65DB8"/>
    <w:rsid w:val="00A725A3"/>
    <w:rsid w:val="00A72713"/>
    <w:rsid w:val="00A76202"/>
    <w:rsid w:val="00A83A8A"/>
    <w:rsid w:val="00A9428A"/>
    <w:rsid w:val="00A96455"/>
    <w:rsid w:val="00AA1F09"/>
    <w:rsid w:val="00AA3134"/>
    <w:rsid w:val="00AA6877"/>
    <w:rsid w:val="00AA7552"/>
    <w:rsid w:val="00AC1BDE"/>
    <w:rsid w:val="00AC2C63"/>
    <w:rsid w:val="00AC5B2F"/>
    <w:rsid w:val="00AD0D49"/>
    <w:rsid w:val="00AD25D5"/>
    <w:rsid w:val="00AE15CA"/>
    <w:rsid w:val="00AE374C"/>
    <w:rsid w:val="00AE3C14"/>
    <w:rsid w:val="00AE49B8"/>
    <w:rsid w:val="00AE49CF"/>
    <w:rsid w:val="00AE7050"/>
    <w:rsid w:val="00AF38A9"/>
    <w:rsid w:val="00B00FD8"/>
    <w:rsid w:val="00B075C5"/>
    <w:rsid w:val="00B078E2"/>
    <w:rsid w:val="00B13376"/>
    <w:rsid w:val="00B1491F"/>
    <w:rsid w:val="00B226E6"/>
    <w:rsid w:val="00B22C57"/>
    <w:rsid w:val="00B249C9"/>
    <w:rsid w:val="00B353B4"/>
    <w:rsid w:val="00B35998"/>
    <w:rsid w:val="00B41D0A"/>
    <w:rsid w:val="00B45C72"/>
    <w:rsid w:val="00B50592"/>
    <w:rsid w:val="00B50BDC"/>
    <w:rsid w:val="00B53EAD"/>
    <w:rsid w:val="00B54078"/>
    <w:rsid w:val="00B561E8"/>
    <w:rsid w:val="00B62068"/>
    <w:rsid w:val="00B641E3"/>
    <w:rsid w:val="00B73A0A"/>
    <w:rsid w:val="00B75732"/>
    <w:rsid w:val="00B77B43"/>
    <w:rsid w:val="00B77E88"/>
    <w:rsid w:val="00B8034D"/>
    <w:rsid w:val="00B81EAA"/>
    <w:rsid w:val="00B82E12"/>
    <w:rsid w:val="00B85661"/>
    <w:rsid w:val="00B92822"/>
    <w:rsid w:val="00B9674C"/>
    <w:rsid w:val="00B96C19"/>
    <w:rsid w:val="00BA33B8"/>
    <w:rsid w:val="00BA5F1D"/>
    <w:rsid w:val="00BA7674"/>
    <w:rsid w:val="00BB0576"/>
    <w:rsid w:val="00BB2BB7"/>
    <w:rsid w:val="00BB4341"/>
    <w:rsid w:val="00BC116C"/>
    <w:rsid w:val="00BC6FF2"/>
    <w:rsid w:val="00BC713C"/>
    <w:rsid w:val="00BD0A44"/>
    <w:rsid w:val="00BD6D89"/>
    <w:rsid w:val="00BE3EFC"/>
    <w:rsid w:val="00BE47D8"/>
    <w:rsid w:val="00BE71BD"/>
    <w:rsid w:val="00BF0FAC"/>
    <w:rsid w:val="00BF11FE"/>
    <w:rsid w:val="00BF2E9A"/>
    <w:rsid w:val="00BF32D8"/>
    <w:rsid w:val="00BF45D3"/>
    <w:rsid w:val="00BF4D2E"/>
    <w:rsid w:val="00BF5660"/>
    <w:rsid w:val="00BF5CA9"/>
    <w:rsid w:val="00BF68B6"/>
    <w:rsid w:val="00C017ED"/>
    <w:rsid w:val="00C02B9D"/>
    <w:rsid w:val="00C07DB4"/>
    <w:rsid w:val="00C101A2"/>
    <w:rsid w:val="00C11826"/>
    <w:rsid w:val="00C12B61"/>
    <w:rsid w:val="00C143BC"/>
    <w:rsid w:val="00C14A97"/>
    <w:rsid w:val="00C175E7"/>
    <w:rsid w:val="00C21144"/>
    <w:rsid w:val="00C26CC6"/>
    <w:rsid w:val="00C2751E"/>
    <w:rsid w:val="00C27829"/>
    <w:rsid w:val="00C27A7F"/>
    <w:rsid w:val="00C32DBF"/>
    <w:rsid w:val="00C35727"/>
    <w:rsid w:val="00C360DE"/>
    <w:rsid w:val="00C41857"/>
    <w:rsid w:val="00C44315"/>
    <w:rsid w:val="00C448F0"/>
    <w:rsid w:val="00C465E1"/>
    <w:rsid w:val="00C51810"/>
    <w:rsid w:val="00C53BA5"/>
    <w:rsid w:val="00C54148"/>
    <w:rsid w:val="00C542F7"/>
    <w:rsid w:val="00C611B5"/>
    <w:rsid w:val="00C62DA9"/>
    <w:rsid w:val="00C66856"/>
    <w:rsid w:val="00C74608"/>
    <w:rsid w:val="00C772D9"/>
    <w:rsid w:val="00C776C6"/>
    <w:rsid w:val="00C8447F"/>
    <w:rsid w:val="00C845E1"/>
    <w:rsid w:val="00C90EDA"/>
    <w:rsid w:val="00C911F5"/>
    <w:rsid w:val="00CA17DD"/>
    <w:rsid w:val="00CA3333"/>
    <w:rsid w:val="00CA67F1"/>
    <w:rsid w:val="00CB07F9"/>
    <w:rsid w:val="00CB3F5A"/>
    <w:rsid w:val="00CB46A8"/>
    <w:rsid w:val="00CC02B7"/>
    <w:rsid w:val="00CC1414"/>
    <w:rsid w:val="00CD5D40"/>
    <w:rsid w:val="00CD6590"/>
    <w:rsid w:val="00CE1F49"/>
    <w:rsid w:val="00CE309E"/>
    <w:rsid w:val="00CE58F2"/>
    <w:rsid w:val="00CE7CF9"/>
    <w:rsid w:val="00CE7DE3"/>
    <w:rsid w:val="00CF06B0"/>
    <w:rsid w:val="00CF3290"/>
    <w:rsid w:val="00CF4E7C"/>
    <w:rsid w:val="00D045D2"/>
    <w:rsid w:val="00D07AAC"/>
    <w:rsid w:val="00D10239"/>
    <w:rsid w:val="00D111F5"/>
    <w:rsid w:val="00D11D02"/>
    <w:rsid w:val="00D148F0"/>
    <w:rsid w:val="00D17E2F"/>
    <w:rsid w:val="00D20767"/>
    <w:rsid w:val="00D21CA4"/>
    <w:rsid w:val="00D22D6F"/>
    <w:rsid w:val="00D2496E"/>
    <w:rsid w:val="00D31BF2"/>
    <w:rsid w:val="00D35932"/>
    <w:rsid w:val="00D41AB9"/>
    <w:rsid w:val="00D42192"/>
    <w:rsid w:val="00D43539"/>
    <w:rsid w:val="00D47E18"/>
    <w:rsid w:val="00D500B2"/>
    <w:rsid w:val="00D51407"/>
    <w:rsid w:val="00D53B2A"/>
    <w:rsid w:val="00D57C97"/>
    <w:rsid w:val="00D57E41"/>
    <w:rsid w:val="00D61EAD"/>
    <w:rsid w:val="00D65FBF"/>
    <w:rsid w:val="00D704E0"/>
    <w:rsid w:val="00D71272"/>
    <w:rsid w:val="00D72D3B"/>
    <w:rsid w:val="00D85070"/>
    <w:rsid w:val="00D858B8"/>
    <w:rsid w:val="00D85ABE"/>
    <w:rsid w:val="00D87B92"/>
    <w:rsid w:val="00D90534"/>
    <w:rsid w:val="00D9086A"/>
    <w:rsid w:val="00D9613C"/>
    <w:rsid w:val="00D96AE7"/>
    <w:rsid w:val="00DA2D0C"/>
    <w:rsid w:val="00DA3754"/>
    <w:rsid w:val="00DB0DD9"/>
    <w:rsid w:val="00DB2CF6"/>
    <w:rsid w:val="00DB3FC7"/>
    <w:rsid w:val="00DB5A70"/>
    <w:rsid w:val="00DB71A1"/>
    <w:rsid w:val="00DB7C5D"/>
    <w:rsid w:val="00DB7D44"/>
    <w:rsid w:val="00DC06C5"/>
    <w:rsid w:val="00DC2C04"/>
    <w:rsid w:val="00DC5D3A"/>
    <w:rsid w:val="00DD0593"/>
    <w:rsid w:val="00DD2EE4"/>
    <w:rsid w:val="00DD435D"/>
    <w:rsid w:val="00DD5BC5"/>
    <w:rsid w:val="00DE02A6"/>
    <w:rsid w:val="00DE75F7"/>
    <w:rsid w:val="00DF1639"/>
    <w:rsid w:val="00DF481A"/>
    <w:rsid w:val="00E02FE6"/>
    <w:rsid w:val="00E0451B"/>
    <w:rsid w:val="00E058CB"/>
    <w:rsid w:val="00E070C7"/>
    <w:rsid w:val="00E111E0"/>
    <w:rsid w:val="00E1241A"/>
    <w:rsid w:val="00E142ED"/>
    <w:rsid w:val="00E14820"/>
    <w:rsid w:val="00E165EE"/>
    <w:rsid w:val="00E17A1C"/>
    <w:rsid w:val="00E23653"/>
    <w:rsid w:val="00E24B4F"/>
    <w:rsid w:val="00E2505F"/>
    <w:rsid w:val="00E2552D"/>
    <w:rsid w:val="00E25619"/>
    <w:rsid w:val="00E33ABE"/>
    <w:rsid w:val="00E36882"/>
    <w:rsid w:val="00E409D8"/>
    <w:rsid w:val="00E43181"/>
    <w:rsid w:val="00E43536"/>
    <w:rsid w:val="00E4405F"/>
    <w:rsid w:val="00E4454E"/>
    <w:rsid w:val="00E5550D"/>
    <w:rsid w:val="00E56400"/>
    <w:rsid w:val="00E576A8"/>
    <w:rsid w:val="00E600A5"/>
    <w:rsid w:val="00E651A4"/>
    <w:rsid w:val="00E66DF7"/>
    <w:rsid w:val="00E67C27"/>
    <w:rsid w:val="00E73765"/>
    <w:rsid w:val="00E7463B"/>
    <w:rsid w:val="00E74763"/>
    <w:rsid w:val="00E756F2"/>
    <w:rsid w:val="00E80777"/>
    <w:rsid w:val="00E807A3"/>
    <w:rsid w:val="00E84887"/>
    <w:rsid w:val="00E870C8"/>
    <w:rsid w:val="00E94161"/>
    <w:rsid w:val="00E96BA3"/>
    <w:rsid w:val="00E97E8D"/>
    <w:rsid w:val="00EA1BDD"/>
    <w:rsid w:val="00EA306F"/>
    <w:rsid w:val="00EA74AB"/>
    <w:rsid w:val="00EB28A8"/>
    <w:rsid w:val="00EB4110"/>
    <w:rsid w:val="00EB42CD"/>
    <w:rsid w:val="00EB465C"/>
    <w:rsid w:val="00EB7570"/>
    <w:rsid w:val="00EC72AD"/>
    <w:rsid w:val="00ED16FB"/>
    <w:rsid w:val="00ED2C88"/>
    <w:rsid w:val="00ED536C"/>
    <w:rsid w:val="00EE38E0"/>
    <w:rsid w:val="00EE5389"/>
    <w:rsid w:val="00EE63F0"/>
    <w:rsid w:val="00EF26DF"/>
    <w:rsid w:val="00EF36AF"/>
    <w:rsid w:val="00EF4AEB"/>
    <w:rsid w:val="00F0293D"/>
    <w:rsid w:val="00F04006"/>
    <w:rsid w:val="00F0546A"/>
    <w:rsid w:val="00F054DF"/>
    <w:rsid w:val="00F060B8"/>
    <w:rsid w:val="00F06304"/>
    <w:rsid w:val="00F06442"/>
    <w:rsid w:val="00F07EBF"/>
    <w:rsid w:val="00F10F61"/>
    <w:rsid w:val="00F10FEC"/>
    <w:rsid w:val="00F15EDB"/>
    <w:rsid w:val="00F16C53"/>
    <w:rsid w:val="00F17CEC"/>
    <w:rsid w:val="00F2018F"/>
    <w:rsid w:val="00F2152B"/>
    <w:rsid w:val="00F2345B"/>
    <w:rsid w:val="00F25509"/>
    <w:rsid w:val="00F264D2"/>
    <w:rsid w:val="00F269A7"/>
    <w:rsid w:val="00F277FD"/>
    <w:rsid w:val="00F27DF2"/>
    <w:rsid w:val="00F3040B"/>
    <w:rsid w:val="00F30D3F"/>
    <w:rsid w:val="00F3469A"/>
    <w:rsid w:val="00F350F8"/>
    <w:rsid w:val="00F37783"/>
    <w:rsid w:val="00F4137A"/>
    <w:rsid w:val="00F43ED0"/>
    <w:rsid w:val="00F44D57"/>
    <w:rsid w:val="00F45403"/>
    <w:rsid w:val="00F5123A"/>
    <w:rsid w:val="00F5708E"/>
    <w:rsid w:val="00F600BA"/>
    <w:rsid w:val="00F645AA"/>
    <w:rsid w:val="00F657D3"/>
    <w:rsid w:val="00F66B5E"/>
    <w:rsid w:val="00F66FCD"/>
    <w:rsid w:val="00F6708C"/>
    <w:rsid w:val="00F67AC0"/>
    <w:rsid w:val="00F70920"/>
    <w:rsid w:val="00F7628E"/>
    <w:rsid w:val="00F8654B"/>
    <w:rsid w:val="00F86B4F"/>
    <w:rsid w:val="00F87B53"/>
    <w:rsid w:val="00F9679E"/>
    <w:rsid w:val="00FA00A3"/>
    <w:rsid w:val="00FA4336"/>
    <w:rsid w:val="00FA45D0"/>
    <w:rsid w:val="00FA6F9D"/>
    <w:rsid w:val="00FA7F04"/>
    <w:rsid w:val="00FB2575"/>
    <w:rsid w:val="00FB4899"/>
    <w:rsid w:val="00FB52F5"/>
    <w:rsid w:val="00FB5A15"/>
    <w:rsid w:val="00FB5F10"/>
    <w:rsid w:val="00FB5F68"/>
    <w:rsid w:val="00FC48CF"/>
    <w:rsid w:val="00FC5C41"/>
    <w:rsid w:val="00FC68F0"/>
    <w:rsid w:val="00FC7997"/>
    <w:rsid w:val="00FD3819"/>
    <w:rsid w:val="00FD388D"/>
    <w:rsid w:val="00FE5FA1"/>
    <w:rsid w:val="00FE6216"/>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817E8"/>
  <w15:docId w15:val="{01365503-9E8E-4985-9F0B-AC7B255C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645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uiPriority w:val="39"/>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587EC2"/>
    <w:rPr>
      <w:i/>
      <w:iCs/>
    </w:rPr>
  </w:style>
  <w:style w:type="character" w:customStyle="1" w:styleId="apple-converted-space">
    <w:name w:val="apple-converted-space"/>
    <w:basedOn w:val="Fuentedeprrafopredeter"/>
    <w:rsid w:val="00587EC2"/>
  </w:style>
  <w:style w:type="character" w:customStyle="1" w:styleId="baj">
    <w:name w:val="b_aj"/>
    <w:basedOn w:val="Fuentedeprrafopredeter"/>
    <w:rsid w:val="00587EC2"/>
  </w:style>
  <w:style w:type="paragraph" w:customStyle="1" w:styleId="centrado">
    <w:name w:val="centrado"/>
    <w:basedOn w:val="Normal"/>
    <w:rsid w:val="00587EC2"/>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F645AA"/>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semiHidden/>
    <w:unhideWhenUsed/>
    <w:rsid w:val="001F749C"/>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210584128">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24080820">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797_2003.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DF19-EDDB-4753-98E3-10502D73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8636</Words>
  <Characters>47500</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13</cp:revision>
  <cp:lastPrinted>2019-08-12T22:10:00Z</cp:lastPrinted>
  <dcterms:created xsi:type="dcterms:W3CDTF">2019-08-16T18:34:00Z</dcterms:created>
  <dcterms:modified xsi:type="dcterms:W3CDTF">2019-09-30T16:34:00Z</dcterms:modified>
</cp:coreProperties>
</file>