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32967" w14:textId="77777777" w:rsidR="00D95106" w:rsidRPr="00D95106" w:rsidRDefault="00D95106" w:rsidP="00D951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9510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C845DC" w14:textId="77777777" w:rsidR="00D95106" w:rsidRPr="00D95106" w:rsidRDefault="00D95106" w:rsidP="00D95106">
      <w:pPr>
        <w:jc w:val="both"/>
        <w:rPr>
          <w:rFonts w:ascii="Arial" w:hAnsi="Arial" w:cs="Arial"/>
          <w:sz w:val="20"/>
          <w:lang w:val="es-419"/>
        </w:rPr>
      </w:pPr>
    </w:p>
    <w:p w14:paraId="2C124230" w14:textId="77777777" w:rsidR="00D95106" w:rsidRPr="00D95106" w:rsidRDefault="00D95106" w:rsidP="00D95106">
      <w:pPr>
        <w:jc w:val="both"/>
        <w:rPr>
          <w:rFonts w:ascii="Arial" w:hAnsi="Arial" w:cs="Arial"/>
          <w:sz w:val="20"/>
          <w:lang w:val="es-419"/>
        </w:rPr>
      </w:pPr>
      <w:r w:rsidRPr="00D95106">
        <w:rPr>
          <w:rFonts w:ascii="Arial" w:hAnsi="Arial" w:cs="Arial"/>
          <w:sz w:val="20"/>
          <w:lang w:val="es-419"/>
        </w:rPr>
        <w:t>Providencia:</w:t>
      </w:r>
      <w:r w:rsidRPr="00D95106">
        <w:rPr>
          <w:rFonts w:ascii="Arial" w:hAnsi="Arial" w:cs="Arial"/>
          <w:sz w:val="20"/>
          <w:lang w:val="es-419"/>
        </w:rPr>
        <w:tab/>
      </w:r>
      <w:r w:rsidRPr="00D95106">
        <w:rPr>
          <w:rFonts w:ascii="Arial" w:hAnsi="Arial" w:cs="Arial"/>
          <w:sz w:val="20"/>
          <w:lang w:val="es-419"/>
        </w:rPr>
        <w:tab/>
        <w:t xml:space="preserve">Consulta y apelación sentencia </w:t>
      </w:r>
    </w:p>
    <w:p w14:paraId="5381F6E4" w14:textId="77777777" w:rsidR="00D95106" w:rsidRPr="00D95106" w:rsidRDefault="00D95106" w:rsidP="00D95106">
      <w:pPr>
        <w:jc w:val="both"/>
        <w:rPr>
          <w:rFonts w:ascii="Arial" w:hAnsi="Arial" w:cs="Arial"/>
          <w:sz w:val="20"/>
          <w:lang w:val="es-419"/>
        </w:rPr>
      </w:pPr>
      <w:r w:rsidRPr="00D95106">
        <w:rPr>
          <w:rFonts w:ascii="Arial" w:hAnsi="Arial" w:cs="Arial"/>
          <w:sz w:val="20"/>
          <w:lang w:val="es-419"/>
        </w:rPr>
        <w:t>Proceso:</w:t>
      </w:r>
      <w:r w:rsidRPr="00D95106">
        <w:rPr>
          <w:rFonts w:ascii="Arial" w:hAnsi="Arial" w:cs="Arial"/>
          <w:sz w:val="20"/>
          <w:lang w:val="es-419"/>
        </w:rPr>
        <w:tab/>
      </w:r>
      <w:r w:rsidRPr="00D95106">
        <w:rPr>
          <w:rFonts w:ascii="Arial" w:hAnsi="Arial" w:cs="Arial"/>
          <w:sz w:val="20"/>
          <w:lang w:val="es-419"/>
        </w:rPr>
        <w:tab/>
        <w:t xml:space="preserve">Ordinario Laboral </w:t>
      </w:r>
    </w:p>
    <w:p w14:paraId="3BE95F4C" w14:textId="77777777" w:rsidR="00D95106" w:rsidRPr="00D95106" w:rsidRDefault="00D95106" w:rsidP="00D95106">
      <w:pPr>
        <w:jc w:val="both"/>
        <w:rPr>
          <w:rFonts w:ascii="Arial" w:hAnsi="Arial" w:cs="Arial"/>
          <w:sz w:val="20"/>
          <w:lang w:val="es-419"/>
        </w:rPr>
      </w:pPr>
      <w:r w:rsidRPr="00D95106">
        <w:rPr>
          <w:rFonts w:ascii="Arial" w:hAnsi="Arial" w:cs="Arial"/>
          <w:sz w:val="20"/>
          <w:lang w:val="es-419"/>
        </w:rPr>
        <w:t>Radicación No:</w:t>
      </w:r>
      <w:r w:rsidRPr="00D95106">
        <w:rPr>
          <w:rFonts w:ascii="Arial" w:hAnsi="Arial" w:cs="Arial"/>
          <w:sz w:val="20"/>
          <w:lang w:val="es-419"/>
        </w:rPr>
        <w:tab/>
      </w:r>
      <w:r w:rsidRPr="00D95106">
        <w:rPr>
          <w:rFonts w:ascii="Arial" w:hAnsi="Arial" w:cs="Arial"/>
          <w:sz w:val="20"/>
          <w:lang w:val="es-419"/>
        </w:rPr>
        <w:tab/>
        <w:t>66001-31-05-003-2018-00133-01</w:t>
      </w:r>
    </w:p>
    <w:p w14:paraId="02F9B19E" w14:textId="486AD06D" w:rsidR="00D95106" w:rsidRPr="00D95106" w:rsidRDefault="00D95106" w:rsidP="00D95106">
      <w:pPr>
        <w:jc w:val="both"/>
        <w:rPr>
          <w:rFonts w:ascii="Arial" w:hAnsi="Arial" w:cs="Arial"/>
          <w:sz w:val="20"/>
          <w:lang w:val="es-419"/>
        </w:rPr>
      </w:pPr>
      <w:r w:rsidRPr="00D95106">
        <w:rPr>
          <w:rFonts w:ascii="Arial" w:hAnsi="Arial" w:cs="Arial"/>
          <w:sz w:val="20"/>
          <w:lang w:val="es-419"/>
        </w:rPr>
        <w:t>Demandante</w:t>
      </w:r>
      <w:r>
        <w:rPr>
          <w:rFonts w:ascii="Arial" w:hAnsi="Arial" w:cs="Arial"/>
          <w:sz w:val="20"/>
          <w:lang w:val="es-419"/>
        </w:rPr>
        <w:tab/>
      </w:r>
      <w:r w:rsidRPr="00D95106">
        <w:rPr>
          <w:rFonts w:ascii="Arial" w:hAnsi="Arial" w:cs="Arial"/>
          <w:sz w:val="20"/>
          <w:lang w:val="es-419"/>
        </w:rPr>
        <w:tab/>
        <w:t>Juana Uribe Arango</w:t>
      </w:r>
    </w:p>
    <w:p w14:paraId="401FA70E" w14:textId="77777777" w:rsidR="00D95106" w:rsidRPr="00D95106" w:rsidRDefault="00D95106" w:rsidP="00D95106">
      <w:pPr>
        <w:jc w:val="both"/>
        <w:rPr>
          <w:rFonts w:ascii="Arial" w:hAnsi="Arial" w:cs="Arial"/>
          <w:sz w:val="20"/>
          <w:lang w:val="es-419"/>
        </w:rPr>
      </w:pPr>
      <w:r w:rsidRPr="00D95106">
        <w:rPr>
          <w:rFonts w:ascii="Arial" w:hAnsi="Arial" w:cs="Arial"/>
          <w:sz w:val="20"/>
          <w:lang w:val="es-419"/>
        </w:rPr>
        <w:t>Demandado:</w:t>
      </w:r>
      <w:r w:rsidRPr="00D95106">
        <w:rPr>
          <w:rFonts w:ascii="Arial" w:hAnsi="Arial" w:cs="Arial"/>
          <w:sz w:val="20"/>
          <w:lang w:val="es-419"/>
        </w:rPr>
        <w:tab/>
      </w:r>
      <w:r w:rsidRPr="00D95106">
        <w:rPr>
          <w:rFonts w:ascii="Arial" w:hAnsi="Arial" w:cs="Arial"/>
          <w:sz w:val="20"/>
          <w:lang w:val="es-419"/>
        </w:rPr>
        <w:tab/>
        <w:t>Colpensiones, Porvenir S.A. y Protección S.A.</w:t>
      </w:r>
    </w:p>
    <w:p w14:paraId="452CE2E9" w14:textId="1958A7D2" w:rsidR="00D95106" w:rsidRPr="00D95106" w:rsidRDefault="00D95106" w:rsidP="00D95106">
      <w:pPr>
        <w:jc w:val="both"/>
        <w:rPr>
          <w:rFonts w:ascii="Arial" w:hAnsi="Arial" w:cs="Arial"/>
          <w:sz w:val="20"/>
          <w:lang w:val="es-419"/>
        </w:rPr>
      </w:pPr>
      <w:r w:rsidRPr="00D95106">
        <w:rPr>
          <w:rFonts w:ascii="Arial" w:hAnsi="Arial" w:cs="Arial"/>
          <w:sz w:val="20"/>
          <w:lang w:val="es-419"/>
        </w:rPr>
        <w:t xml:space="preserve">Juzgado de origen:    </w:t>
      </w:r>
      <w:r w:rsidRPr="00D95106">
        <w:rPr>
          <w:rFonts w:ascii="Arial" w:hAnsi="Arial" w:cs="Arial"/>
          <w:sz w:val="20"/>
          <w:lang w:val="es-419"/>
        </w:rPr>
        <w:tab/>
        <w:t>Tercero Laboral del Circuito de Pereira.</w:t>
      </w:r>
    </w:p>
    <w:p w14:paraId="6609E440" w14:textId="77777777" w:rsidR="00D95106" w:rsidRPr="00D95106" w:rsidRDefault="00D95106" w:rsidP="00D95106">
      <w:pPr>
        <w:jc w:val="both"/>
        <w:rPr>
          <w:rFonts w:ascii="Arial" w:hAnsi="Arial" w:cs="Arial"/>
          <w:sz w:val="20"/>
          <w:lang w:val="es-419"/>
        </w:rPr>
      </w:pPr>
    </w:p>
    <w:p w14:paraId="248662C3" w14:textId="16D969CC" w:rsidR="00D95106" w:rsidRPr="00D95106" w:rsidRDefault="00D95106" w:rsidP="00D95106">
      <w:pPr>
        <w:jc w:val="both"/>
        <w:rPr>
          <w:rFonts w:ascii="Arial" w:hAnsi="Arial" w:cs="Arial"/>
          <w:b/>
          <w:bCs/>
          <w:iCs/>
          <w:sz w:val="20"/>
          <w:lang w:val="es-419" w:eastAsia="fr-FR"/>
        </w:rPr>
      </w:pPr>
      <w:r w:rsidRPr="00D95106">
        <w:rPr>
          <w:rFonts w:ascii="Arial" w:hAnsi="Arial" w:cs="Arial"/>
          <w:b/>
          <w:bCs/>
          <w:iCs/>
          <w:sz w:val="20"/>
          <w:u w:val="single"/>
          <w:lang w:val="es-419" w:eastAsia="fr-FR"/>
        </w:rPr>
        <w:t>TEMAS:</w:t>
      </w:r>
      <w:r w:rsidRPr="00D95106">
        <w:rPr>
          <w:rFonts w:ascii="Arial" w:hAnsi="Arial" w:cs="Arial"/>
          <w:b/>
          <w:bCs/>
          <w:iCs/>
          <w:sz w:val="20"/>
          <w:lang w:val="es-419" w:eastAsia="fr-FR"/>
        </w:rPr>
        <w:tab/>
      </w:r>
      <w:r w:rsidR="00A63EF9">
        <w:rPr>
          <w:rFonts w:ascii="Arial" w:hAnsi="Arial" w:cs="Arial"/>
          <w:b/>
          <w:bCs/>
          <w:iCs/>
          <w:sz w:val="20"/>
          <w:lang w:val="es-CO" w:eastAsia="fr-FR"/>
        </w:rPr>
        <w:t xml:space="preserve">INEFICACIA DEL TRASLADO DE RÉGIMEN PENSIONAL / </w:t>
      </w:r>
      <w:r w:rsidR="00BE7CEF">
        <w:rPr>
          <w:rFonts w:ascii="Arial" w:hAnsi="Arial" w:cs="Arial"/>
          <w:b/>
          <w:bCs/>
          <w:iCs/>
          <w:sz w:val="20"/>
          <w:lang w:val="es-CO" w:eastAsia="fr-FR"/>
        </w:rPr>
        <w:t xml:space="preserve">NO PUEDE TENER COMO FUNDAMENTO JURÍDICO LOS ARTÍCULOS 13 Y 271 DE LA LEY 100 DE 1993 / </w:t>
      </w:r>
      <w:r w:rsidR="00747DC9">
        <w:rPr>
          <w:rFonts w:ascii="Arial" w:hAnsi="Arial" w:cs="Arial"/>
          <w:b/>
          <w:bCs/>
          <w:iCs/>
          <w:sz w:val="20"/>
          <w:lang w:val="es-CO" w:eastAsia="fr-FR"/>
        </w:rPr>
        <w:t xml:space="preserve">OMISIONES O ERRORES EN LA INFORMACIÓN SUMINISTRADA POR LAS AFP AL MOMENTO DEL TRASLADO / SUSTENTAN LA ACCIÓN RESARCITORIA DE PERJUICIOS / </w:t>
      </w:r>
      <w:r w:rsidR="00747DC9" w:rsidRPr="00747DC9">
        <w:rPr>
          <w:rFonts w:ascii="Arial" w:hAnsi="Arial" w:cs="Arial"/>
          <w:b/>
          <w:bCs/>
          <w:iCs/>
          <w:sz w:val="20"/>
          <w:lang w:val="es-CO" w:eastAsia="fr-FR"/>
        </w:rPr>
        <w:t>ARTÍCULO 10 DEL DECRETO 720 DE 1994</w:t>
      </w:r>
      <w:r w:rsidR="00182D14">
        <w:rPr>
          <w:rFonts w:ascii="Arial" w:hAnsi="Arial" w:cs="Arial"/>
          <w:b/>
          <w:bCs/>
          <w:iCs/>
          <w:sz w:val="20"/>
          <w:lang w:val="es-CO" w:eastAsia="fr-FR"/>
        </w:rPr>
        <w:t>.</w:t>
      </w:r>
    </w:p>
    <w:p w14:paraId="5287A1D0" w14:textId="77777777" w:rsidR="00D95106" w:rsidRPr="00D95106" w:rsidRDefault="00D95106" w:rsidP="00D95106">
      <w:pPr>
        <w:jc w:val="both"/>
        <w:rPr>
          <w:rFonts w:ascii="Arial" w:hAnsi="Arial" w:cs="Arial"/>
          <w:sz w:val="20"/>
          <w:lang w:val="es-419"/>
        </w:rPr>
      </w:pPr>
    </w:p>
    <w:p w14:paraId="0D4B0AB5" w14:textId="261588FE" w:rsidR="00215FF6" w:rsidRPr="00215FF6" w:rsidRDefault="00215FF6" w:rsidP="00215FF6">
      <w:pPr>
        <w:jc w:val="both"/>
        <w:rPr>
          <w:rFonts w:ascii="Arial" w:hAnsi="Arial" w:cs="Arial"/>
          <w:sz w:val="20"/>
          <w:lang w:val="es-419"/>
        </w:rPr>
      </w:pPr>
      <w:r w:rsidRPr="00215FF6">
        <w:rPr>
          <w:rFonts w:ascii="Arial" w:hAnsi="Arial" w:cs="Arial"/>
          <w:sz w:val="20"/>
          <w:lang w:val="es-419"/>
        </w:rPr>
        <w:t>Frente al tema de la ineficacia del traslado entre administradoras de regímenes pensionales, la Corte Suprema de Just</w:t>
      </w:r>
      <w:r>
        <w:rPr>
          <w:rFonts w:ascii="Arial" w:hAnsi="Arial" w:cs="Arial"/>
          <w:sz w:val="20"/>
          <w:lang w:val="es-419"/>
        </w:rPr>
        <w:t>icia en reciente jurisprudencia</w:t>
      </w:r>
      <w:r w:rsidRPr="00215FF6">
        <w:rPr>
          <w:rFonts w:ascii="Arial" w:hAnsi="Arial" w:cs="Arial"/>
          <w:sz w:val="20"/>
          <w:lang w:val="es-419"/>
        </w:rPr>
        <w:t xml:space="preserve"> ha sustentado con base en los artículos 13 literal b) y  271 inciso 1º de la Ley 100 de 1993, que las AFP desde su creación tenían el deber de brindar información a los afiliados o usuarios del sistema pensional para que ellos pudieran adoptar una decisión consciente y libre sobre su futuro pensional, de lo contrario las AFP trasgredirían el derecho a la libre el</w:t>
      </w:r>
      <w:r>
        <w:rPr>
          <w:rFonts w:ascii="Arial" w:hAnsi="Arial" w:cs="Arial"/>
          <w:sz w:val="20"/>
          <w:lang w:val="es-419"/>
        </w:rPr>
        <w:t>ección del trabajador-afiliado.</w:t>
      </w:r>
    </w:p>
    <w:p w14:paraId="12E67CBA" w14:textId="77777777" w:rsidR="00215FF6" w:rsidRPr="00215FF6" w:rsidRDefault="00215FF6" w:rsidP="00215FF6">
      <w:pPr>
        <w:jc w:val="both"/>
        <w:rPr>
          <w:rFonts w:ascii="Arial" w:hAnsi="Arial" w:cs="Arial"/>
          <w:sz w:val="20"/>
          <w:lang w:val="es-419"/>
        </w:rPr>
      </w:pPr>
    </w:p>
    <w:p w14:paraId="2F4B9D2D" w14:textId="77777777" w:rsidR="00215FF6" w:rsidRPr="00215FF6" w:rsidRDefault="00215FF6" w:rsidP="00215FF6">
      <w:pPr>
        <w:jc w:val="both"/>
        <w:rPr>
          <w:rFonts w:ascii="Arial" w:hAnsi="Arial" w:cs="Arial"/>
          <w:sz w:val="20"/>
          <w:lang w:val="es-419"/>
        </w:rPr>
      </w:pPr>
      <w:r w:rsidRPr="00215FF6">
        <w:rPr>
          <w:rFonts w:ascii="Arial" w:hAnsi="Arial" w:cs="Arial"/>
          <w:sz w:val="20"/>
          <w:lang w:val="es-419"/>
        </w:rPr>
        <w:t>Concretamente, la aludida Corte ha explicado que la acción ordinaria laboral impetrada ante una afiliación desinformada, es la ineficacia de este o la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w:t>
      </w:r>
    </w:p>
    <w:p w14:paraId="02D98445" w14:textId="77777777" w:rsidR="00215FF6" w:rsidRPr="00215FF6" w:rsidRDefault="00215FF6" w:rsidP="00215FF6">
      <w:pPr>
        <w:jc w:val="both"/>
        <w:rPr>
          <w:rFonts w:ascii="Arial" w:hAnsi="Arial" w:cs="Arial"/>
          <w:sz w:val="20"/>
          <w:lang w:val="es-419"/>
        </w:rPr>
      </w:pPr>
    </w:p>
    <w:p w14:paraId="385793A3" w14:textId="539EA906" w:rsidR="00D95106" w:rsidRPr="00215FF6" w:rsidRDefault="00215FF6" w:rsidP="00215FF6">
      <w:pPr>
        <w:jc w:val="both"/>
        <w:rPr>
          <w:rFonts w:ascii="Arial" w:hAnsi="Arial" w:cs="Arial"/>
          <w:sz w:val="20"/>
          <w:lang w:val="es-CO"/>
        </w:rPr>
      </w:pPr>
      <w:r w:rsidRPr="00215FF6">
        <w:rPr>
          <w:rFonts w:ascii="Arial" w:hAnsi="Arial" w:cs="Arial"/>
          <w:sz w:val="20"/>
          <w:lang w:val="es-419"/>
        </w:rPr>
        <w:t>No obstante, tal entendimiento de la norma jurídica invocada por la Corte Suprema, no se comparte por la Sala Mayoritaria de esta colegiatura, tal como se ha advertido a partir de las aclaraciones de voto de uno de sus integrantes, en tanto que la acción a incoar en realidad corresponde a la resarcitoria de perjuicios.</w:t>
      </w:r>
      <w:r>
        <w:rPr>
          <w:rFonts w:ascii="Arial" w:hAnsi="Arial" w:cs="Arial"/>
          <w:sz w:val="20"/>
          <w:lang w:val="es-CO"/>
        </w:rPr>
        <w:t xml:space="preserve"> (…)</w:t>
      </w:r>
    </w:p>
    <w:p w14:paraId="12C79D59" w14:textId="77777777" w:rsidR="00D95106" w:rsidRPr="00D95106" w:rsidRDefault="00D95106" w:rsidP="00D95106">
      <w:pPr>
        <w:jc w:val="both"/>
        <w:rPr>
          <w:rFonts w:ascii="Arial" w:hAnsi="Arial" w:cs="Arial"/>
          <w:sz w:val="20"/>
          <w:lang w:val="es-419"/>
        </w:rPr>
      </w:pPr>
    </w:p>
    <w:p w14:paraId="408D4748" w14:textId="57BE8D04" w:rsidR="00196261" w:rsidRPr="00196261" w:rsidRDefault="00196261" w:rsidP="00196261">
      <w:pPr>
        <w:jc w:val="both"/>
        <w:rPr>
          <w:rFonts w:ascii="Arial" w:hAnsi="Arial" w:cs="Arial"/>
          <w:sz w:val="20"/>
          <w:lang w:val="es-CO"/>
        </w:rPr>
      </w:pPr>
      <w:r>
        <w:rPr>
          <w:rFonts w:ascii="Arial" w:hAnsi="Arial" w:cs="Arial"/>
          <w:sz w:val="20"/>
          <w:lang w:val="es-CO"/>
        </w:rPr>
        <w:t xml:space="preserve">… </w:t>
      </w:r>
      <w:r w:rsidRPr="00196261">
        <w:rPr>
          <w:rFonts w:ascii="Arial" w:hAnsi="Arial" w:cs="Arial"/>
          <w:sz w:val="20"/>
          <w:lang w:val="es-CO"/>
        </w:rPr>
        <w:t>Ahora</w:t>
      </w:r>
      <w:r>
        <w:rPr>
          <w:rFonts w:ascii="Arial" w:hAnsi="Arial" w:cs="Arial"/>
          <w:sz w:val="20"/>
          <w:lang w:val="es-CO"/>
        </w:rPr>
        <w:t>,</w:t>
      </w:r>
      <w:r w:rsidRPr="00196261">
        <w:rPr>
          <w:rFonts w:ascii="Arial" w:hAnsi="Arial" w:cs="Arial"/>
          <w:sz w:val="20"/>
          <w:lang w:val="es-CO"/>
        </w:rPr>
        <w:t xml:space="preserve"> la posición ya descrita de ninguna manera deja al garete a los afiliados que se trasladaron de régimen debido a la omisión del deber de información de las AFP (error u omisión), y que ahora, por lo general 20 años después, reclaman ante la administración de justicia, no porque se encuentre inconformes con los beneficios del RAIS</w:t>
      </w:r>
      <w:r>
        <w:rPr>
          <w:rFonts w:ascii="Arial" w:hAnsi="Arial" w:cs="Arial"/>
          <w:sz w:val="20"/>
          <w:lang w:val="es-CO"/>
        </w:rPr>
        <w:t>…</w:t>
      </w:r>
      <w:r w:rsidRPr="00196261">
        <w:rPr>
          <w:rFonts w:ascii="Arial" w:hAnsi="Arial" w:cs="Arial"/>
          <w:sz w:val="20"/>
          <w:lang w:val="es-CO"/>
        </w:rPr>
        <w:t>, sino porque el valor de la mesada pensional esperada no es lo suficientemente alto como desean para vivir durante su ancianidad, en contraste con la que recibiría de haber permanecido o escogido el RPM.</w:t>
      </w:r>
    </w:p>
    <w:p w14:paraId="06F45AD8" w14:textId="77777777" w:rsidR="00196261" w:rsidRPr="00196261" w:rsidRDefault="00196261" w:rsidP="00196261">
      <w:pPr>
        <w:jc w:val="both"/>
        <w:rPr>
          <w:rFonts w:ascii="Arial" w:hAnsi="Arial" w:cs="Arial"/>
          <w:sz w:val="20"/>
          <w:lang w:val="es-CO"/>
        </w:rPr>
      </w:pPr>
    </w:p>
    <w:p w14:paraId="674DC118" w14:textId="77777777" w:rsidR="00196261" w:rsidRPr="00196261" w:rsidRDefault="00196261" w:rsidP="00196261">
      <w:pPr>
        <w:jc w:val="both"/>
        <w:rPr>
          <w:rFonts w:ascii="Arial" w:hAnsi="Arial" w:cs="Arial"/>
          <w:sz w:val="20"/>
          <w:lang w:val="es-CO"/>
        </w:rPr>
      </w:pPr>
      <w:r w:rsidRPr="00196261">
        <w:rPr>
          <w:rFonts w:ascii="Arial" w:hAnsi="Arial" w:cs="Arial"/>
          <w:sz w:val="20"/>
          <w:lang w:val="es-CO"/>
        </w:rPr>
        <w:t>Para remediar tal inconformidad el legislador contempló una acción diferente como es el resarcimiento de perjuicios, prescrito en el artículo 10 del Decreto 720 de 1994 – vigente para la época de los hechos –, que establece:</w:t>
      </w:r>
    </w:p>
    <w:p w14:paraId="2CF5B180" w14:textId="77777777" w:rsidR="00196261" w:rsidRPr="00196261" w:rsidRDefault="00196261" w:rsidP="00196261">
      <w:pPr>
        <w:jc w:val="both"/>
        <w:rPr>
          <w:rFonts w:ascii="Arial" w:hAnsi="Arial" w:cs="Arial"/>
          <w:sz w:val="20"/>
          <w:lang w:val="es-CO"/>
        </w:rPr>
      </w:pPr>
    </w:p>
    <w:p w14:paraId="0EEC1D9A" w14:textId="0DB214BB" w:rsidR="00D95106" w:rsidRDefault="00196261" w:rsidP="00196261">
      <w:pPr>
        <w:jc w:val="both"/>
        <w:rPr>
          <w:rFonts w:ascii="Arial" w:hAnsi="Arial" w:cs="Arial"/>
          <w:sz w:val="20"/>
          <w:lang w:val="es-CO"/>
        </w:rPr>
      </w:pPr>
      <w:r w:rsidRPr="00196261">
        <w:rPr>
          <w:rFonts w:ascii="Arial" w:hAnsi="Arial" w:cs="Arial"/>
          <w:sz w:val="20"/>
          <w:lang w:val="es-CO"/>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Pr>
          <w:rFonts w:ascii="Arial" w:hAnsi="Arial" w:cs="Arial"/>
          <w:sz w:val="20"/>
          <w:lang w:val="es-CO"/>
        </w:rPr>
        <w:t xml:space="preserve"> (…)</w:t>
      </w:r>
    </w:p>
    <w:p w14:paraId="028043B4" w14:textId="77777777" w:rsidR="00196261" w:rsidRDefault="00196261" w:rsidP="00196261">
      <w:pPr>
        <w:jc w:val="both"/>
        <w:rPr>
          <w:rFonts w:ascii="Arial" w:hAnsi="Arial" w:cs="Arial"/>
          <w:sz w:val="20"/>
          <w:lang w:val="es-CO"/>
        </w:rPr>
      </w:pPr>
    </w:p>
    <w:p w14:paraId="03D1F03A" w14:textId="68AF2798" w:rsidR="00196261" w:rsidRPr="00196261" w:rsidRDefault="00D42F5E" w:rsidP="00196261">
      <w:pPr>
        <w:jc w:val="both"/>
        <w:rPr>
          <w:rFonts w:ascii="Arial" w:hAnsi="Arial" w:cs="Arial"/>
          <w:sz w:val="20"/>
          <w:lang w:val="es-CO"/>
        </w:rPr>
      </w:pPr>
      <w:r w:rsidRPr="00D42F5E">
        <w:rPr>
          <w:rFonts w:ascii="Arial" w:hAnsi="Arial" w:cs="Arial"/>
          <w:sz w:val="20"/>
          <w:lang w:val="es-CO"/>
        </w:rPr>
        <w:t>Puestas de este modo las cosas, si el supuesto de hecho expuesto en las demandas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13384E40" w14:textId="77777777" w:rsidR="00D95106" w:rsidRPr="00D95106" w:rsidRDefault="00D95106" w:rsidP="00D95106">
      <w:pPr>
        <w:jc w:val="both"/>
        <w:rPr>
          <w:rFonts w:ascii="Arial" w:hAnsi="Arial" w:cs="Arial"/>
          <w:sz w:val="20"/>
          <w:lang w:val="es-ES"/>
        </w:rPr>
      </w:pPr>
    </w:p>
    <w:p w14:paraId="721EB4A7" w14:textId="77777777" w:rsidR="00D95106" w:rsidRPr="00D95106" w:rsidRDefault="00D95106" w:rsidP="00D95106">
      <w:pPr>
        <w:jc w:val="both"/>
        <w:rPr>
          <w:rFonts w:ascii="Arial" w:hAnsi="Arial" w:cs="Arial"/>
          <w:sz w:val="20"/>
          <w:lang w:val="es-ES"/>
        </w:rPr>
      </w:pPr>
    </w:p>
    <w:p w14:paraId="1F056ED8" w14:textId="77777777" w:rsidR="00D95106" w:rsidRPr="00D95106" w:rsidRDefault="00D95106" w:rsidP="00D95106">
      <w:pPr>
        <w:jc w:val="both"/>
        <w:rPr>
          <w:rFonts w:ascii="Arial" w:hAnsi="Arial" w:cs="Arial"/>
          <w:sz w:val="20"/>
          <w:lang w:val="es-ES"/>
        </w:rPr>
      </w:pPr>
    </w:p>
    <w:p w14:paraId="0E1F1ABA" w14:textId="77777777" w:rsidR="00435966" w:rsidRPr="00AE30EB" w:rsidRDefault="00435966" w:rsidP="00435966">
      <w:pPr>
        <w:spacing w:line="240" w:lineRule="atLeast"/>
        <w:jc w:val="center"/>
        <w:rPr>
          <w:rFonts w:ascii="Edwardian Script ITC" w:hAnsi="Edwardian Script ITC" w:cs="Arial"/>
          <w:b/>
          <w:sz w:val="44"/>
          <w:szCs w:val="44"/>
        </w:rPr>
      </w:pPr>
      <w:r w:rsidRPr="00AE30EB">
        <w:rPr>
          <w:rFonts w:ascii="Edwardian Script ITC" w:hAnsi="Edwardian Script ITC"/>
          <w:noProof/>
          <w:sz w:val="44"/>
          <w:szCs w:val="44"/>
          <w:lang w:val="es-ES"/>
        </w:rPr>
        <w:lastRenderedPageBreak/>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5A50FC94" w14:textId="77777777" w:rsidR="00435966" w:rsidRPr="00D95106" w:rsidRDefault="00435966" w:rsidP="0056557A">
      <w:pPr>
        <w:widowControl w:val="0"/>
        <w:spacing w:line="288" w:lineRule="auto"/>
        <w:jc w:val="center"/>
        <w:rPr>
          <w:rFonts w:ascii="Arial" w:hAnsi="Arial" w:cs="Arial"/>
          <w:b/>
          <w:bCs/>
          <w:color w:val="000000"/>
          <w:kern w:val="28"/>
          <w:szCs w:val="24"/>
        </w:rPr>
      </w:pPr>
      <w:r w:rsidRPr="00D95106">
        <w:rPr>
          <w:rFonts w:ascii="Arial" w:hAnsi="Arial" w:cs="Arial"/>
          <w:b/>
          <w:bCs/>
          <w:color w:val="000000"/>
          <w:kern w:val="28"/>
          <w:szCs w:val="24"/>
        </w:rPr>
        <w:t>RAMA JUDICIAL DEL PODER PÚBLICO</w:t>
      </w:r>
    </w:p>
    <w:p w14:paraId="6FF69DA4" w14:textId="77777777" w:rsidR="00435966" w:rsidRPr="00D95106" w:rsidRDefault="00435966" w:rsidP="0056557A">
      <w:pPr>
        <w:widowControl w:val="0"/>
        <w:spacing w:line="288" w:lineRule="auto"/>
        <w:jc w:val="center"/>
        <w:rPr>
          <w:rFonts w:ascii="Arial" w:hAnsi="Arial" w:cs="Arial"/>
          <w:b/>
          <w:bCs/>
          <w:color w:val="000000"/>
          <w:kern w:val="28"/>
          <w:szCs w:val="24"/>
        </w:rPr>
      </w:pPr>
      <w:r w:rsidRPr="00D95106">
        <w:rPr>
          <w:rFonts w:ascii="Arial" w:hAnsi="Arial" w:cs="Arial"/>
          <w:b/>
          <w:bCs/>
          <w:color w:val="000000"/>
          <w:kern w:val="28"/>
          <w:szCs w:val="24"/>
        </w:rPr>
        <w:t>TRIBUNAL SUPERIOR DEL DISTRITO JUDICIAL DE PEREIRA</w:t>
      </w:r>
    </w:p>
    <w:p w14:paraId="630AA1A6" w14:textId="1D4807A9" w:rsidR="00435966" w:rsidRPr="00D95106" w:rsidRDefault="00435966" w:rsidP="0056557A">
      <w:pPr>
        <w:widowControl w:val="0"/>
        <w:spacing w:line="288" w:lineRule="auto"/>
        <w:jc w:val="center"/>
        <w:rPr>
          <w:rFonts w:ascii="Arial" w:hAnsi="Arial" w:cs="Arial"/>
          <w:b/>
          <w:bCs/>
          <w:color w:val="000000"/>
          <w:kern w:val="28"/>
          <w:szCs w:val="24"/>
        </w:rPr>
      </w:pPr>
      <w:r w:rsidRPr="00D95106">
        <w:rPr>
          <w:rFonts w:ascii="Arial" w:hAnsi="Arial" w:cs="Arial"/>
          <w:b/>
          <w:bCs/>
          <w:color w:val="000000"/>
          <w:kern w:val="28"/>
          <w:szCs w:val="24"/>
        </w:rPr>
        <w:t xml:space="preserve">SALA </w:t>
      </w:r>
      <w:r w:rsidR="00805B62" w:rsidRPr="00D95106">
        <w:rPr>
          <w:rFonts w:ascii="Arial" w:hAnsi="Arial" w:cs="Arial"/>
          <w:b/>
          <w:bCs/>
          <w:color w:val="000000"/>
          <w:kern w:val="28"/>
          <w:szCs w:val="24"/>
        </w:rPr>
        <w:t>SEGUNDA</w:t>
      </w:r>
      <w:r w:rsidRPr="00D95106">
        <w:rPr>
          <w:rFonts w:ascii="Arial" w:hAnsi="Arial" w:cs="Arial"/>
          <w:b/>
          <w:bCs/>
          <w:color w:val="000000"/>
          <w:kern w:val="28"/>
          <w:szCs w:val="24"/>
        </w:rPr>
        <w:t xml:space="preserve"> </w:t>
      </w:r>
      <w:r w:rsidR="000F4EE8" w:rsidRPr="00D95106">
        <w:rPr>
          <w:rFonts w:ascii="Arial" w:hAnsi="Arial" w:cs="Arial"/>
          <w:b/>
          <w:bCs/>
          <w:color w:val="000000"/>
          <w:kern w:val="28"/>
          <w:szCs w:val="24"/>
        </w:rPr>
        <w:t xml:space="preserve">DE DECISIÓN </w:t>
      </w:r>
      <w:r w:rsidRPr="00D95106">
        <w:rPr>
          <w:rFonts w:ascii="Arial" w:hAnsi="Arial" w:cs="Arial"/>
          <w:b/>
          <w:bCs/>
          <w:color w:val="000000"/>
          <w:kern w:val="28"/>
          <w:szCs w:val="24"/>
        </w:rPr>
        <w:t>LABORAL</w:t>
      </w:r>
    </w:p>
    <w:p w14:paraId="0E57251C" w14:textId="77777777" w:rsidR="002677FE" w:rsidRPr="00D95106" w:rsidRDefault="002677FE" w:rsidP="0056557A">
      <w:pPr>
        <w:spacing w:line="288" w:lineRule="auto"/>
        <w:jc w:val="center"/>
        <w:rPr>
          <w:rFonts w:ascii="Arial" w:hAnsi="Arial" w:cs="Arial"/>
          <w:color w:val="000000"/>
          <w:szCs w:val="24"/>
        </w:rPr>
      </w:pPr>
    </w:p>
    <w:p w14:paraId="470D9A89" w14:textId="77777777" w:rsidR="0015683B" w:rsidRPr="00D95106" w:rsidRDefault="0015683B" w:rsidP="0056557A">
      <w:pPr>
        <w:spacing w:line="288" w:lineRule="auto"/>
        <w:jc w:val="center"/>
        <w:rPr>
          <w:rFonts w:ascii="Arial" w:hAnsi="Arial" w:cs="Arial"/>
          <w:color w:val="000000"/>
          <w:szCs w:val="24"/>
        </w:rPr>
      </w:pPr>
      <w:r w:rsidRPr="00D95106">
        <w:rPr>
          <w:rFonts w:ascii="Arial" w:hAnsi="Arial" w:cs="Arial"/>
          <w:color w:val="000000"/>
          <w:szCs w:val="24"/>
        </w:rPr>
        <w:t>Magistrada Sustanciadora</w:t>
      </w:r>
    </w:p>
    <w:p w14:paraId="6FEE55EE" w14:textId="77777777" w:rsidR="0015683B" w:rsidRPr="00D95106" w:rsidRDefault="0015683B" w:rsidP="0056557A">
      <w:pPr>
        <w:widowControl w:val="0"/>
        <w:spacing w:line="288" w:lineRule="auto"/>
        <w:jc w:val="center"/>
        <w:rPr>
          <w:rFonts w:ascii="Arial" w:hAnsi="Arial" w:cs="Arial"/>
          <w:b/>
          <w:bCs/>
          <w:color w:val="000000"/>
          <w:kern w:val="28"/>
          <w:szCs w:val="24"/>
        </w:rPr>
      </w:pPr>
      <w:r w:rsidRPr="00D95106">
        <w:rPr>
          <w:rFonts w:ascii="Arial" w:hAnsi="Arial" w:cs="Arial"/>
          <w:b/>
          <w:bCs/>
          <w:color w:val="000000"/>
          <w:kern w:val="28"/>
          <w:szCs w:val="24"/>
        </w:rPr>
        <w:t>OLGA LUCÍA HOYOS SEPÚLVEDA</w:t>
      </w:r>
    </w:p>
    <w:p w14:paraId="25637556" w14:textId="77777777" w:rsidR="0015683B" w:rsidRPr="00D95106" w:rsidRDefault="0015683B" w:rsidP="0056557A">
      <w:pPr>
        <w:spacing w:line="288" w:lineRule="auto"/>
        <w:ind w:left="2127" w:hanging="1276"/>
        <w:jc w:val="center"/>
        <w:rPr>
          <w:rFonts w:ascii="Arial" w:hAnsi="Arial" w:cs="Arial"/>
          <w:b/>
          <w:szCs w:val="24"/>
          <w:u w:val="single"/>
        </w:rPr>
      </w:pPr>
    </w:p>
    <w:p w14:paraId="4CA4F881" w14:textId="1976891B" w:rsidR="0015683B" w:rsidRPr="00D95106" w:rsidRDefault="0015683B" w:rsidP="0056557A">
      <w:pPr>
        <w:spacing w:line="288" w:lineRule="auto"/>
        <w:contextualSpacing/>
        <w:jc w:val="both"/>
        <w:rPr>
          <w:rFonts w:ascii="Arial" w:hAnsi="Arial" w:cs="Arial"/>
          <w:bCs/>
          <w:szCs w:val="24"/>
        </w:rPr>
      </w:pPr>
      <w:r w:rsidRPr="00D95106">
        <w:rPr>
          <w:rFonts w:ascii="Arial" w:eastAsia="Calibri" w:hAnsi="Arial" w:cs="Arial"/>
          <w:szCs w:val="24"/>
          <w:lang w:eastAsia="en-US"/>
        </w:rPr>
        <w:t xml:space="preserve">En Pereira, a los </w:t>
      </w:r>
      <w:r w:rsidR="00BC41B8" w:rsidRPr="00D95106">
        <w:rPr>
          <w:rFonts w:ascii="Arial" w:eastAsia="Calibri" w:hAnsi="Arial" w:cs="Arial"/>
          <w:szCs w:val="24"/>
          <w:lang w:eastAsia="en-US"/>
        </w:rPr>
        <w:t>veintinueve</w:t>
      </w:r>
      <w:r w:rsidRPr="00D95106">
        <w:rPr>
          <w:rFonts w:ascii="Arial" w:eastAsia="Calibri" w:hAnsi="Arial" w:cs="Arial"/>
          <w:szCs w:val="24"/>
          <w:lang w:eastAsia="en-US"/>
        </w:rPr>
        <w:t xml:space="preserve"> (</w:t>
      </w:r>
      <w:r w:rsidR="00BC41B8" w:rsidRPr="00D95106">
        <w:rPr>
          <w:rFonts w:ascii="Arial" w:eastAsia="Calibri" w:hAnsi="Arial" w:cs="Arial"/>
          <w:szCs w:val="24"/>
          <w:lang w:eastAsia="en-US"/>
        </w:rPr>
        <w:t>29</w:t>
      </w:r>
      <w:r w:rsidRPr="00D95106">
        <w:rPr>
          <w:rFonts w:ascii="Arial" w:eastAsia="Calibri" w:hAnsi="Arial" w:cs="Arial"/>
          <w:szCs w:val="24"/>
          <w:lang w:eastAsia="en-US"/>
        </w:rPr>
        <w:t xml:space="preserve">) días del mes de </w:t>
      </w:r>
      <w:r w:rsidR="00BC41B8" w:rsidRPr="00D95106">
        <w:rPr>
          <w:rFonts w:ascii="Arial" w:eastAsia="Calibri" w:hAnsi="Arial" w:cs="Arial"/>
          <w:szCs w:val="24"/>
          <w:lang w:eastAsia="en-US"/>
        </w:rPr>
        <w:t xml:space="preserve">octubre </w:t>
      </w:r>
      <w:r w:rsidRPr="00D95106">
        <w:rPr>
          <w:rFonts w:ascii="Arial" w:eastAsia="Calibri" w:hAnsi="Arial" w:cs="Arial"/>
          <w:szCs w:val="24"/>
          <w:lang w:eastAsia="en-US"/>
        </w:rPr>
        <w:t>de dos mi</w:t>
      </w:r>
      <w:r w:rsidR="00AC3BD9" w:rsidRPr="00D95106">
        <w:rPr>
          <w:rFonts w:ascii="Arial" w:eastAsia="Calibri" w:hAnsi="Arial" w:cs="Arial"/>
          <w:szCs w:val="24"/>
          <w:lang w:eastAsia="en-US"/>
        </w:rPr>
        <w:t xml:space="preserve">l diecinueve (2019), siendo las </w:t>
      </w:r>
      <w:r w:rsidR="006A2C98" w:rsidRPr="00D95106">
        <w:rPr>
          <w:rFonts w:ascii="Arial" w:eastAsia="Calibri" w:hAnsi="Arial" w:cs="Arial"/>
          <w:szCs w:val="24"/>
          <w:lang w:eastAsia="en-US"/>
        </w:rPr>
        <w:t>diez y treinta</w:t>
      </w:r>
      <w:r w:rsidR="00FD47A2" w:rsidRPr="00D95106">
        <w:rPr>
          <w:rFonts w:ascii="Arial" w:eastAsia="Calibri" w:hAnsi="Arial" w:cs="Arial"/>
          <w:szCs w:val="24"/>
          <w:lang w:eastAsia="en-US"/>
        </w:rPr>
        <w:t xml:space="preserve"> </w:t>
      </w:r>
      <w:r w:rsidRPr="00D95106">
        <w:rPr>
          <w:rFonts w:ascii="Arial" w:eastAsia="Calibri" w:hAnsi="Arial" w:cs="Arial"/>
          <w:szCs w:val="24"/>
          <w:lang w:eastAsia="en-US"/>
        </w:rPr>
        <w:t>de la mañana (</w:t>
      </w:r>
      <w:r w:rsidR="006A2C98" w:rsidRPr="00D95106">
        <w:rPr>
          <w:rFonts w:ascii="Arial" w:eastAsia="Calibri" w:hAnsi="Arial" w:cs="Arial"/>
          <w:szCs w:val="24"/>
          <w:lang w:eastAsia="en-US"/>
        </w:rPr>
        <w:t>10</w:t>
      </w:r>
      <w:r w:rsidRPr="00D95106">
        <w:rPr>
          <w:rFonts w:ascii="Arial" w:eastAsia="Calibri" w:hAnsi="Arial" w:cs="Arial"/>
          <w:szCs w:val="24"/>
          <w:lang w:eastAsia="en-US"/>
        </w:rPr>
        <w:t>:</w:t>
      </w:r>
      <w:r w:rsidR="006A2C98" w:rsidRPr="00D95106">
        <w:rPr>
          <w:rFonts w:ascii="Arial" w:eastAsia="Calibri" w:hAnsi="Arial" w:cs="Arial"/>
          <w:szCs w:val="24"/>
          <w:lang w:eastAsia="en-US"/>
        </w:rPr>
        <w:t>3</w:t>
      </w:r>
      <w:r w:rsidR="00FD47A2" w:rsidRPr="00D95106">
        <w:rPr>
          <w:rFonts w:ascii="Arial" w:eastAsia="Calibri" w:hAnsi="Arial" w:cs="Arial"/>
          <w:szCs w:val="24"/>
          <w:lang w:eastAsia="en-US"/>
        </w:rPr>
        <w:t>0</w:t>
      </w:r>
      <w:r w:rsidRPr="00D95106">
        <w:rPr>
          <w:rFonts w:ascii="Arial" w:eastAsia="Calibri" w:hAnsi="Arial" w:cs="Arial"/>
          <w:szCs w:val="24"/>
          <w:lang w:eastAsia="en-US"/>
        </w:rPr>
        <w:t xml:space="preserve"> a.m.), </w:t>
      </w:r>
      <w:r w:rsidRPr="00D95106">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D95106">
        <w:rPr>
          <w:rFonts w:ascii="Arial" w:hAnsi="Arial" w:cs="Arial"/>
          <w:bCs/>
          <w:color w:val="000000"/>
          <w:szCs w:val="24"/>
          <w:lang w:eastAsia="es-CO"/>
        </w:rPr>
        <w:t xml:space="preserve"> y desatar </w:t>
      </w:r>
      <w:r w:rsidR="006A2C98" w:rsidRPr="00D95106">
        <w:rPr>
          <w:rFonts w:ascii="Arial" w:hAnsi="Arial" w:cs="Arial"/>
          <w:bCs/>
          <w:color w:val="000000"/>
          <w:szCs w:val="24"/>
          <w:lang w:eastAsia="es-CO"/>
        </w:rPr>
        <w:t>los</w:t>
      </w:r>
      <w:r w:rsidR="0068114B" w:rsidRPr="00D95106">
        <w:rPr>
          <w:rFonts w:ascii="Arial" w:hAnsi="Arial" w:cs="Arial"/>
          <w:bCs/>
          <w:color w:val="000000"/>
          <w:szCs w:val="24"/>
          <w:lang w:eastAsia="es-CO"/>
        </w:rPr>
        <w:t xml:space="preserve"> </w:t>
      </w:r>
      <w:r w:rsidRPr="00D95106">
        <w:rPr>
          <w:rFonts w:ascii="Arial" w:hAnsi="Arial" w:cs="Arial"/>
          <w:bCs/>
          <w:color w:val="000000"/>
          <w:szCs w:val="24"/>
          <w:lang w:eastAsia="es-CO"/>
        </w:rPr>
        <w:t>recurso</w:t>
      </w:r>
      <w:r w:rsidR="006A2C98" w:rsidRPr="00D95106">
        <w:rPr>
          <w:rFonts w:ascii="Arial" w:hAnsi="Arial" w:cs="Arial"/>
          <w:bCs/>
          <w:color w:val="000000"/>
          <w:szCs w:val="24"/>
          <w:lang w:eastAsia="es-CO"/>
        </w:rPr>
        <w:t>s</w:t>
      </w:r>
      <w:r w:rsidRPr="00D95106">
        <w:rPr>
          <w:rFonts w:ascii="Arial" w:hAnsi="Arial" w:cs="Arial"/>
          <w:bCs/>
          <w:color w:val="000000"/>
          <w:szCs w:val="24"/>
          <w:lang w:eastAsia="es-CO"/>
        </w:rPr>
        <w:t xml:space="preserve"> de apelación contra la sentencia p</w:t>
      </w:r>
      <w:r w:rsidRPr="00D95106">
        <w:rPr>
          <w:rFonts w:ascii="Arial" w:hAnsi="Arial" w:cs="Arial"/>
          <w:szCs w:val="24"/>
        </w:rPr>
        <w:t xml:space="preserve">roferida </w:t>
      </w:r>
      <w:r w:rsidR="00BC41B8" w:rsidRPr="00D95106">
        <w:rPr>
          <w:rFonts w:ascii="Arial" w:hAnsi="Arial" w:cs="Arial"/>
          <w:szCs w:val="24"/>
        </w:rPr>
        <w:t>22 de marzo de 2019</w:t>
      </w:r>
      <w:r w:rsidRPr="00D95106">
        <w:rPr>
          <w:rFonts w:ascii="Arial" w:hAnsi="Arial" w:cs="Arial"/>
          <w:szCs w:val="24"/>
        </w:rPr>
        <w:t xml:space="preserve"> por el Juzgado </w:t>
      </w:r>
      <w:r w:rsidR="00BC41B8" w:rsidRPr="00D95106">
        <w:rPr>
          <w:rFonts w:ascii="Arial" w:hAnsi="Arial" w:cs="Arial"/>
          <w:szCs w:val="24"/>
        </w:rPr>
        <w:t>Tercero</w:t>
      </w:r>
      <w:r w:rsidRPr="00D95106">
        <w:rPr>
          <w:rFonts w:ascii="Arial" w:hAnsi="Arial" w:cs="Arial"/>
          <w:szCs w:val="24"/>
        </w:rPr>
        <w:t xml:space="preserve"> Laboral del Circuito de Pereira, dentro del proceso promovido por </w:t>
      </w:r>
      <w:r w:rsidR="00BC41B8" w:rsidRPr="00D95106">
        <w:rPr>
          <w:rFonts w:ascii="Arial" w:hAnsi="Arial" w:cs="Arial"/>
          <w:b/>
          <w:szCs w:val="24"/>
        </w:rPr>
        <w:t>Juana Uribe Arango</w:t>
      </w:r>
      <w:r w:rsidR="0068114B" w:rsidRPr="00D95106">
        <w:rPr>
          <w:rFonts w:ascii="Arial" w:hAnsi="Arial" w:cs="Arial"/>
          <w:szCs w:val="24"/>
        </w:rPr>
        <w:t xml:space="preserve"> contra</w:t>
      </w:r>
      <w:r w:rsidRPr="00D95106">
        <w:rPr>
          <w:rFonts w:ascii="Arial" w:hAnsi="Arial" w:cs="Arial"/>
          <w:szCs w:val="24"/>
        </w:rPr>
        <w:t xml:space="preserve"> la </w:t>
      </w:r>
      <w:r w:rsidRPr="00D95106">
        <w:rPr>
          <w:rFonts w:ascii="Arial" w:hAnsi="Arial" w:cs="Arial"/>
          <w:b/>
          <w:szCs w:val="24"/>
        </w:rPr>
        <w:t xml:space="preserve">Administradora Colombiana de Pensiones </w:t>
      </w:r>
      <w:r w:rsidRPr="00D95106">
        <w:rPr>
          <w:rFonts w:ascii="Arial" w:hAnsi="Arial" w:cs="Arial"/>
          <w:b/>
          <w:bCs/>
          <w:szCs w:val="24"/>
        </w:rPr>
        <w:t>C</w:t>
      </w:r>
      <w:r w:rsidR="0068114B" w:rsidRPr="00D95106">
        <w:rPr>
          <w:rFonts w:ascii="Arial" w:hAnsi="Arial" w:cs="Arial"/>
          <w:b/>
          <w:bCs/>
          <w:szCs w:val="24"/>
        </w:rPr>
        <w:t>olpensiones</w:t>
      </w:r>
      <w:r w:rsidR="00BC41B8" w:rsidRPr="00D95106">
        <w:rPr>
          <w:rFonts w:ascii="Arial" w:hAnsi="Arial" w:cs="Arial"/>
          <w:b/>
          <w:bCs/>
          <w:szCs w:val="24"/>
        </w:rPr>
        <w:t>,</w:t>
      </w:r>
      <w:r w:rsidRPr="00D95106">
        <w:rPr>
          <w:rFonts w:ascii="Arial" w:hAnsi="Arial" w:cs="Arial"/>
          <w:bCs/>
          <w:szCs w:val="24"/>
        </w:rPr>
        <w:t xml:space="preserve"> </w:t>
      </w:r>
      <w:r w:rsidRPr="00D95106">
        <w:rPr>
          <w:rFonts w:ascii="Arial" w:hAnsi="Arial" w:cs="Arial"/>
          <w:b/>
          <w:bCs/>
          <w:szCs w:val="24"/>
        </w:rPr>
        <w:t>P</w:t>
      </w:r>
      <w:r w:rsidR="006A2C98" w:rsidRPr="00D95106">
        <w:rPr>
          <w:rFonts w:ascii="Arial" w:hAnsi="Arial" w:cs="Arial"/>
          <w:b/>
          <w:bCs/>
          <w:szCs w:val="24"/>
        </w:rPr>
        <w:t>orvenir</w:t>
      </w:r>
      <w:r w:rsidRPr="00D95106">
        <w:rPr>
          <w:rFonts w:ascii="Arial" w:hAnsi="Arial" w:cs="Arial"/>
          <w:b/>
          <w:bCs/>
          <w:szCs w:val="24"/>
        </w:rPr>
        <w:t xml:space="preserve"> S.A.</w:t>
      </w:r>
      <w:r w:rsidR="00BC41B8" w:rsidRPr="00D95106">
        <w:rPr>
          <w:rFonts w:ascii="Arial" w:hAnsi="Arial" w:cs="Arial"/>
          <w:b/>
          <w:bCs/>
          <w:szCs w:val="24"/>
        </w:rPr>
        <w:t xml:space="preserve"> </w:t>
      </w:r>
      <w:r w:rsidR="00BC41B8" w:rsidRPr="00D95106">
        <w:rPr>
          <w:rFonts w:ascii="Arial" w:hAnsi="Arial" w:cs="Arial"/>
          <w:bCs/>
          <w:szCs w:val="24"/>
        </w:rPr>
        <w:t>y</w:t>
      </w:r>
      <w:r w:rsidR="00BC41B8" w:rsidRPr="00D95106">
        <w:rPr>
          <w:rFonts w:ascii="Arial" w:hAnsi="Arial" w:cs="Arial"/>
          <w:b/>
          <w:bCs/>
          <w:szCs w:val="24"/>
        </w:rPr>
        <w:t xml:space="preserve"> Protección S.A.</w:t>
      </w:r>
      <w:r w:rsidRPr="00D95106">
        <w:rPr>
          <w:rFonts w:ascii="Arial" w:hAnsi="Arial" w:cs="Arial"/>
          <w:b/>
          <w:bCs/>
          <w:szCs w:val="24"/>
        </w:rPr>
        <w:t xml:space="preserve">, </w:t>
      </w:r>
      <w:r w:rsidRPr="00D95106">
        <w:rPr>
          <w:rFonts w:ascii="Arial" w:hAnsi="Arial" w:cs="Arial"/>
          <w:bCs/>
          <w:szCs w:val="24"/>
        </w:rPr>
        <w:t>radicado al N° 66001-31-05-00</w:t>
      </w:r>
      <w:r w:rsidR="00BC41B8" w:rsidRPr="00D95106">
        <w:rPr>
          <w:rFonts w:ascii="Arial" w:hAnsi="Arial" w:cs="Arial"/>
          <w:bCs/>
          <w:szCs w:val="24"/>
        </w:rPr>
        <w:t>3</w:t>
      </w:r>
      <w:r w:rsidRPr="00D95106">
        <w:rPr>
          <w:rFonts w:ascii="Arial" w:hAnsi="Arial" w:cs="Arial"/>
          <w:bCs/>
          <w:szCs w:val="24"/>
        </w:rPr>
        <w:t>-201</w:t>
      </w:r>
      <w:r w:rsidR="00BC41B8" w:rsidRPr="00D95106">
        <w:rPr>
          <w:rFonts w:ascii="Arial" w:hAnsi="Arial" w:cs="Arial"/>
          <w:bCs/>
          <w:szCs w:val="24"/>
        </w:rPr>
        <w:t>8</w:t>
      </w:r>
      <w:r w:rsidRPr="00D95106">
        <w:rPr>
          <w:rFonts w:ascii="Arial" w:hAnsi="Arial" w:cs="Arial"/>
          <w:bCs/>
          <w:szCs w:val="24"/>
        </w:rPr>
        <w:t>-00</w:t>
      </w:r>
      <w:r w:rsidR="00BC41B8" w:rsidRPr="00D95106">
        <w:rPr>
          <w:rFonts w:ascii="Arial" w:hAnsi="Arial" w:cs="Arial"/>
          <w:bCs/>
          <w:szCs w:val="24"/>
        </w:rPr>
        <w:t>133</w:t>
      </w:r>
      <w:r w:rsidRPr="00D95106">
        <w:rPr>
          <w:rFonts w:ascii="Arial" w:hAnsi="Arial" w:cs="Arial"/>
          <w:bCs/>
          <w:szCs w:val="24"/>
        </w:rPr>
        <w:t>-01</w:t>
      </w:r>
      <w:r w:rsidRPr="00D95106">
        <w:rPr>
          <w:rFonts w:ascii="Arial" w:hAnsi="Arial" w:cs="Arial"/>
          <w:b/>
          <w:bCs/>
          <w:szCs w:val="24"/>
        </w:rPr>
        <w:t>.</w:t>
      </w:r>
    </w:p>
    <w:p w14:paraId="6FDE5A55" w14:textId="77777777" w:rsidR="0015683B" w:rsidRPr="00D95106" w:rsidRDefault="0015683B" w:rsidP="0056557A">
      <w:pPr>
        <w:spacing w:line="288" w:lineRule="auto"/>
        <w:ind w:firstLine="851"/>
        <w:contextualSpacing/>
        <w:jc w:val="both"/>
        <w:rPr>
          <w:rFonts w:ascii="Arial" w:hAnsi="Arial" w:cs="Arial"/>
          <w:bCs/>
          <w:iCs/>
          <w:szCs w:val="24"/>
        </w:rPr>
      </w:pPr>
    </w:p>
    <w:p w14:paraId="403C572E" w14:textId="77777777" w:rsidR="0015683B" w:rsidRPr="00D95106" w:rsidRDefault="0015683B" w:rsidP="0056557A">
      <w:pPr>
        <w:spacing w:line="288" w:lineRule="auto"/>
        <w:contextualSpacing/>
        <w:rPr>
          <w:rFonts w:ascii="Arial" w:hAnsi="Arial" w:cs="Arial"/>
          <w:b/>
          <w:szCs w:val="24"/>
        </w:rPr>
      </w:pPr>
      <w:r w:rsidRPr="00D95106">
        <w:rPr>
          <w:rFonts w:ascii="Arial" w:hAnsi="Arial" w:cs="Arial"/>
          <w:b/>
          <w:szCs w:val="24"/>
        </w:rPr>
        <w:t>Registro de asistencia:</w:t>
      </w:r>
    </w:p>
    <w:p w14:paraId="65E9538E" w14:textId="77777777" w:rsidR="0015683B" w:rsidRPr="00D95106" w:rsidRDefault="0015683B" w:rsidP="0056557A">
      <w:pPr>
        <w:spacing w:line="288" w:lineRule="auto"/>
        <w:ind w:firstLine="851"/>
        <w:contextualSpacing/>
        <w:rPr>
          <w:rFonts w:ascii="Arial" w:hAnsi="Arial" w:cs="Arial"/>
          <w:szCs w:val="24"/>
        </w:rPr>
      </w:pPr>
    </w:p>
    <w:p w14:paraId="4337523E" w14:textId="77777777" w:rsidR="0015683B" w:rsidRPr="00D95106" w:rsidRDefault="0015683B" w:rsidP="0056557A">
      <w:pPr>
        <w:spacing w:line="288" w:lineRule="auto"/>
        <w:contextualSpacing/>
        <w:rPr>
          <w:rFonts w:ascii="Arial" w:hAnsi="Arial" w:cs="Arial"/>
          <w:szCs w:val="24"/>
        </w:rPr>
      </w:pPr>
      <w:r w:rsidRPr="00D95106">
        <w:rPr>
          <w:rFonts w:ascii="Arial" w:hAnsi="Arial" w:cs="Arial"/>
          <w:szCs w:val="24"/>
        </w:rPr>
        <w:t xml:space="preserve">Demandante y su apoderado: </w:t>
      </w:r>
      <w:r w:rsidRPr="00D95106">
        <w:rPr>
          <w:rFonts w:ascii="Arial" w:hAnsi="Arial" w:cs="Arial"/>
          <w:szCs w:val="24"/>
        </w:rPr>
        <w:tab/>
      </w:r>
      <w:r w:rsidRPr="00D95106">
        <w:rPr>
          <w:rFonts w:ascii="Arial" w:hAnsi="Arial" w:cs="Arial"/>
          <w:szCs w:val="24"/>
        </w:rPr>
        <w:tab/>
      </w:r>
      <w:r w:rsidRPr="00D95106">
        <w:rPr>
          <w:rFonts w:ascii="Arial" w:hAnsi="Arial" w:cs="Arial"/>
          <w:szCs w:val="24"/>
        </w:rPr>
        <w:tab/>
        <w:t>Demandadas y sus apoderados:</w:t>
      </w:r>
    </w:p>
    <w:p w14:paraId="3C5ADE54" w14:textId="77777777" w:rsidR="0015683B" w:rsidRPr="00D95106" w:rsidRDefault="0015683B" w:rsidP="0056557A">
      <w:pPr>
        <w:spacing w:line="288" w:lineRule="auto"/>
        <w:ind w:firstLine="851"/>
        <w:contextualSpacing/>
        <w:rPr>
          <w:rFonts w:ascii="Arial" w:hAnsi="Arial" w:cs="Arial"/>
          <w:szCs w:val="24"/>
        </w:rPr>
      </w:pPr>
    </w:p>
    <w:p w14:paraId="05101323" w14:textId="77777777" w:rsidR="0015683B" w:rsidRPr="00D95106" w:rsidRDefault="0015683B" w:rsidP="0056557A">
      <w:pPr>
        <w:spacing w:line="288" w:lineRule="auto"/>
        <w:contextualSpacing/>
        <w:jc w:val="both"/>
        <w:rPr>
          <w:rFonts w:ascii="Arial" w:hAnsi="Arial" w:cs="Arial"/>
          <w:b/>
          <w:szCs w:val="24"/>
        </w:rPr>
      </w:pPr>
      <w:r w:rsidRPr="00D95106">
        <w:rPr>
          <w:rFonts w:ascii="Arial" w:hAnsi="Arial" w:cs="Arial"/>
          <w:b/>
          <w:szCs w:val="24"/>
        </w:rPr>
        <w:t xml:space="preserve">Traslado a las partes </w:t>
      </w:r>
    </w:p>
    <w:p w14:paraId="54BAD84A" w14:textId="77777777" w:rsidR="0015683B" w:rsidRPr="00D95106" w:rsidRDefault="0015683B" w:rsidP="0056557A">
      <w:pPr>
        <w:spacing w:line="288" w:lineRule="auto"/>
        <w:contextualSpacing/>
        <w:jc w:val="both"/>
        <w:rPr>
          <w:rFonts w:ascii="Arial" w:hAnsi="Arial" w:cs="Arial"/>
          <w:b/>
          <w:szCs w:val="24"/>
        </w:rPr>
      </w:pPr>
    </w:p>
    <w:p w14:paraId="1F088007" w14:textId="77777777" w:rsidR="0015683B" w:rsidRPr="00D95106" w:rsidRDefault="0015683B" w:rsidP="0056557A">
      <w:pPr>
        <w:spacing w:line="288" w:lineRule="auto"/>
        <w:contextualSpacing/>
        <w:jc w:val="both"/>
        <w:rPr>
          <w:rFonts w:ascii="Arial" w:hAnsi="Arial" w:cs="Arial"/>
          <w:szCs w:val="24"/>
        </w:rPr>
      </w:pPr>
      <w:r w:rsidRPr="00D95106">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D95106" w:rsidRDefault="000F4EE8" w:rsidP="0056557A">
      <w:pPr>
        <w:spacing w:line="288" w:lineRule="auto"/>
        <w:ind w:firstLine="851"/>
        <w:contextualSpacing/>
        <w:jc w:val="center"/>
        <w:rPr>
          <w:rFonts w:ascii="Arial" w:hAnsi="Arial" w:cs="Arial"/>
          <w:b/>
          <w:szCs w:val="24"/>
        </w:rPr>
      </w:pPr>
    </w:p>
    <w:p w14:paraId="1F50FF20" w14:textId="77777777" w:rsidR="0015683B" w:rsidRPr="00D95106" w:rsidRDefault="0015683B" w:rsidP="0056557A">
      <w:pPr>
        <w:spacing w:line="288" w:lineRule="auto"/>
        <w:ind w:firstLine="851"/>
        <w:contextualSpacing/>
        <w:jc w:val="center"/>
        <w:rPr>
          <w:rFonts w:ascii="Arial" w:hAnsi="Arial" w:cs="Arial"/>
          <w:b/>
          <w:szCs w:val="24"/>
        </w:rPr>
      </w:pPr>
      <w:r w:rsidRPr="00D95106">
        <w:rPr>
          <w:rFonts w:ascii="Arial" w:hAnsi="Arial" w:cs="Arial"/>
          <w:b/>
          <w:szCs w:val="24"/>
        </w:rPr>
        <w:t>ANTECEDENTES:</w:t>
      </w:r>
    </w:p>
    <w:p w14:paraId="01583E47" w14:textId="77777777" w:rsidR="0015683B" w:rsidRPr="00D95106" w:rsidRDefault="0015683B" w:rsidP="0056557A">
      <w:pPr>
        <w:pStyle w:val="Sinespaciado"/>
        <w:spacing w:line="288" w:lineRule="auto"/>
        <w:contextualSpacing/>
        <w:rPr>
          <w:rFonts w:ascii="Arial" w:hAnsi="Arial" w:cs="Arial"/>
          <w:sz w:val="24"/>
          <w:szCs w:val="24"/>
        </w:rPr>
      </w:pPr>
    </w:p>
    <w:p w14:paraId="3159E07E" w14:textId="77777777" w:rsidR="0015683B" w:rsidRPr="00D95106" w:rsidRDefault="0015683B" w:rsidP="0056557A">
      <w:pPr>
        <w:pStyle w:val="Prrafodelista"/>
        <w:numPr>
          <w:ilvl w:val="0"/>
          <w:numId w:val="1"/>
        </w:numPr>
        <w:spacing w:after="0" w:line="288" w:lineRule="auto"/>
        <w:jc w:val="both"/>
        <w:rPr>
          <w:rFonts w:ascii="Arial" w:hAnsi="Arial" w:cs="Arial"/>
          <w:b/>
          <w:sz w:val="24"/>
          <w:szCs w:val="24"/>
        </w:rPr>
      </w:pPr>
      <w:r w:rsidRPr="00D95106">
        <w:rPr>
          <w:rFonts w:ascii="Arial" w:hAnsi="Arial" w:cs="Arial"/>
          <w:b/>
          <w:sz w:val="24"/>
          <w:szCs w:val="24"/>
        </w:rPr>
        <w:t>Síntesis de la demanda y su contestación</w:t>
      </w:r>
    </w:p>
    <w:p w14:paraId="6063306F" w14:textId="77777777" w:rsidR="000F4EE8" w:rsidRPr="00D95106" w:rsidRDefault="000F4EE8" w:rsidP="0056557A">
      <w:pPr>
        <w:pStyle w:val="Sinespaciado"/>
        <w:spacing w:line="288" w:lineRule="auto"/>
        <w:contextualSpacing/>
        <w:rPr>
          <w:rFonts w:ascii="Arial" w:hAnsi="Arial" w:cs="Arial"/>
          <w:sz w:val="24"/>
          <w:szCs w:val="24"/>
        </w:rPr>
      </w:pPr>
    </w:p>
    <w:p w14:paraId="2D362AC7" w14:textId="7882F090" w:rsidR="0015683B" w:rsidRPr="00D95106" w:rsidRDefault="00BC41B8" w:rsidP="0056557A">
      <w:pPr>
        <w:spacing w:line="288" w:lineRule="auto"/>
        <w:contextualSpacing/>
        <w:jc w:val="both"/>
        <w:rPr>
          <w:rFonts w:ascii="Arial" w:hAnsi="Arial" w:cs="Arial"/>
          <w:szCs w:val="24"/>
        </w:rPr>
      </w:pPr>
      <w:r w:rsidRPr="00D95106">
        <w:rPr>
          <w:rFonts w:ascii="Arial" w:hAnsi="Arial" w:cs="Arial"/>
          <w:szCs w:val="24"/>
        </w:rPr>
        <w:t>Juana Uribe Arango</w:t>
      </w:r>
      <w:r w:rsidR="0015683B" w:rsidRPr="00D95106">
        <w:rPr>
          <w:rFonts w:ascii="Arial" w:hAnsi="Arial" w:cs="Arial"/>
          <w:szCs w:val="24"/>
        </w:rPr>
        <w:t xml:space="preserve"> pretende </w:t>
      </w:r>
      <w:r w:rsidR="009913DB" w:rsidRPr="00D95106">
        <w:rPr>
          <w:rFonts w:ascii="Arial" w:hAnsi="Arial" w:cs="Arial"/>
          <w:szCs w:val="24"/>
        </w:rPr>
        <w:t xml:space="preserve">que se declare la </w:t>
      </w:r>
      <w:r w:rsidRPr="00D95106">
        <w:rPr>
          <w:rFonts w:ascii="Arial" w:hAnsi="Arial" w:cs="Arial"/>
          <w:szCs w:val="24"/>
        </w:rPr>
        <w:t>“</w:t>
      </w:r>
      <w:r w:rsidR="009913DB" w:rsidRPr="00D95106">
        <w:rPr>
          <w:rFonts w:ascii="Arial" w:hAnsi="Arial" w:cs="Arial"/>
          <w:i/>
          <w:szCs w:val="24"/>
        </w:rPr>
        <w:t>i</w:t>
      </w:r>
      <w:r w:rsidR="006A2C98" w:rsidRPr="00D95106">
        <w:rPr>
          <w:rFonts w:ascii="Arial" w:hAnsi="Arial" w:cs="Arial"/>
          <w:i/>
          <w:szCs w:val="24"/>
        </w:rPr>
        <w:t>neficacia</w:t>
      </w:r>
      <w:r w:rsidRPr="00D95106">
        <w:rPr>
          <w:rFonts w:ascii="Arial" w:hAnsi="Arial" w:cs="Arial"/>
          <w:i/>
          <w:szCs w:val="24"/>
        </w:rPr>
        <w:t xml:space="preserve"> y/o nulidad”</w:t>
      </w:r>
      <w:r w:rsidR="006A2C98" w:rsidRPr="00D95106">
        <w:rPr>
          <w:rFonts w:ascii="Arial" w:hAnsi="Arial" w:cs="Arial"/>
          <w:szCs w:val="24"/>
        </w:rPr>
        <w:t xml:space="preserve"> del traslado realizado del RPM al RAIS</w:t>
      </w:r>
      <w:r w:rsidR="009913DB" w:rsidRPr="00D95106">
        <w:rPr>
          <w:rFonts w:ascii="Arial" w:hAnsi="Arial" w:cs="Arial"/>
          <w:szCs w:val="24"/>
        </w:rPr>
        <w:t xml:space="preserve"> y en consecuencia se declare</w:t>
      </w:r>
      <w:r w:rsidR="004A0025" w:rsidRPr="00D95106">
        <w:rPr>
          <w:rFonts w:ascii="Arial" w:hAnsi="Arial" w:cs="Arial"/>
          <w:szCs w:val="24"/>
        </w:rPr>
        <w:t xml:space="preserve"> válida y</w:t>
      </w:r>
      <w:r w:rsidR="009913DB" w:rsidRPr="00D95106">
        <w:rPr>
          <w:rFonts w:ascii="Arial" w:hAnsi="Arial" w:cs="Arial"/>
          <w:szCs w:val="24"/>
        </w:rPr>
        <w:t xml:space="preserve"> vigente la afiliación </w:t>
      </w:r>
      <w:r w:rsidR="006A2C98" w:rsidRPr="00D95106">
        <w:rPr>
          <w:rFonts w:ascii="Arial" w:hAnsi="Arial" w:cs="Arial"/>
          <w:szCs w:val="24"/>
        </w:rPr>
        <w:t>al primero; por consiguiente</w:t>
      </w:r>
      <w:r w:rsidR="004A0025" w:rsidRPr="00D95106">
        <w:rPr>
          <w:rFonts w:ascii="Arial" w:hAnsi="Arial" w:cs="Arial"/>
          <w:szCs w:val="24"/>
        </w:rPr>
        <w:t>,</w:t>
      </w:r>
      <w:r w:rsidR="006A2C98" w:rsidRPr="00D95106">
        <w:rPr>
          <w:rFonts w:ascii="Arial" w:hAnsi="Arial" w:cs="Arial"/>
          <w:szCs w:val="24"/>
        </w:rPr>
        <w:t xml:space="preserve"> </w:t>
      </w:r>
      <w:r w:rsidR="004A0025" w:rsidRPr="00D95106">
        <w:rPr>
          <w:rFonts w:ascii="Arial" w:hAnsi="Arial" w:cs="Arial"/>
          <w:szCs w:val="24"/>
        </w:rPr>
        <w:t>solicitó que cuando alcance el requisito de densidad de semanas Colpensiones proceda a reconocer la pensión de vejez.</w:t>
      </w:r>
      <w:r w:rsidR="006A2C98" w:rsidRPr="00D95106">
        <w:rPr>
          <w:rFonts w:ascii="Arial" w:hAnsi="Arial" w:cs="Arial"/>
          <w:szCs w:val="24"/>
        </w:rPr>
        <w:t xml:space="preserve"> </w:t>
      </w:r>
    </w:p>
    <w:p w14:paraId="789F8B07" w14:textId="77777777" w:rsidR="009913DB" w:rsidRPr="00D95106" w:rsidRDefault="009913DB" w:rsidP="0056557A">
      <w:pPr>
        <w:spacing w:line="288" w:lineRule="auto"/>
        <w:contextualSpacing/>
        <w:jc w:val="both"/>
        <w:rPr>
          <w:rFonts w:ascii="Arial" w:hAnsi="Arial" w:cs="Arial"/>
          <w:szCs w:val="24"/>
        </w:rPr>
      </w:pPr>
    </w:p>
    <w:p w14:paraId="66760FAE" w14:textId="21E58ADE" w:rsidR="00CB3362" w:rsidRPr="00D95106" w:rsidRDefault="0015683B" w:rsidP="0056557A">
      <w:pPr>
        <w:spacing w:line="288" w:lineRule="auto"/>
        <w:contextualSpacing/>
        <w:jc w:val="both"/>
        <w:rPr>
          <w:rFonts w:ascii="Arial" w:hAnsi="Arial" w:cs="Arial"/>
          <w:szCs w:val="24"/>
        </w:rPr>
      </w:pPr>
      <w:r w:rsidRPr="00D95106">
        <w:rPr>
          <w:rFonts w:ascii="Arial" w:hAnsi="Arial" w:cs="Arial"/>
          <w:szCs w:val="24"/>
        </w:rPr>
        <w:t xml:space="preserve">Fundamenta sus aspiraciones en que </w:t>
      </w:r>
      <w:r w:rsidRPr="00D95106">
        <w:rPr>
          <w:rFonts w:ascii="Arial" w:hAnsi="Arial" w:cs="Arial"/>
          <w:i/>
          <w:szCs w:val="24"/>
        </w:rPr>
        <w:t>i)</w:t>
      </w:r>
      <w:r w:rsidRPr="00D95106">
        <w:rPr>
          <w:rFonts w:ascii="Arial" w:hAnsi="Arial" w:cs="Arial"/>
          <w:szCs w:val="24"/>
        </w:rPr>
        <w:t xml:space="preserve"> </w:t>
      </w:r>
      <w:r w:rsidR="004A0025" w:rsidRPr="00D95106">
        <w:rPr>
          <w:rFonts w:ascii="Arial" w:hAnsi="Arial" w:cs="Arial"/>
          <w:szCs w:val="24"/>
        </w:rPr>
        <w:t>se afilió al ISS el 06/04/1990</w:t>
      </w:r>
      <w:r w:rsidR="0025075E" w:rsidRPr="00D95106">
        <w:rPr>
          <w:rFonts w:ascii="Arial" w:hAnsi="Arial" w:cs="Arial"/>
          <w:szCs w:val="24"/>
        </w:rPr>
        <w:t xml:space="preserve">; </w:t>
      </w:r>
      <w:r w:rsidR="00D30899" w:rsidRPr="00D95106">
        <w:rPr>
          <w:rFonts w:ascii="Arial" w:hAnsi="Arial" w:cs="Arial"/>
          <w:i/>
          <w:szCs w:val="24"/>
        </w:rPr>
        <w:t>ii</w:t>
      </w:r>
      <w:r w:rsidR="0025075E" w:rsidRPr="00D95106">
        <w:rPr>
          <w:rFonts w:ascii="Arial" w:hAnsi="Arial" w:cs="Arial"/>
          <w:i/>
          <w:szCs w:val="24"/>
        </w:rPr>
        <w:t>)</w:t>
      </w:r>
      <w:r w:rsidR="00844668" w:rsidRPr="00D95106">
        <w:rPr>
          <w:rFonts w:ascii="Arial" w:hAnsi="Arial" w:cs="Arial"/>
          <w:szCs w:val="24"/>
        </w:rPr>
        <w:t xml:space="preserve"> se trasladó a una</w:t>
      </w:r>
      <w:r w:rsidR="0025075E" w:rsidRPr="00D95106">
        <w:rPr>
          <w:rFonts w:ascii="Arial" w:hAnsi="Arial" w:cs="Arial"/>
          <w:szCs w:val="24"/>
        </w:rPr>
        <w:t xml:space="preserve"> AFP </w:t>
      </w:r>
      <w:r w:rsidR="00844668" w:rsidRPr="00D95106">
        <w:rPr>
          <w:rFonts w:ascii="Arial" w:hAnsi="Arial" w:cs="Arial"/>
          <w:szCs w:val="24"/>
        </w:rPr>
        <w:t xml:space="preserve">privada </w:t>
      </w:r>
      <w:r w:rsidR="0025075E" w:rsidRPr="00D95106">
        <w:rPr>
          <w:rFonts w:ascii="Arial" w:hAnsi="Arial" w:cs="Arial"/>
          <w:szCs w:val="24"/>
        </w:rPr>
        <w:t>y para septiembre de 1997 realizó la primera cotización</w:t>
      </w:r>
      <w:r w:rsidR="00D30899" w:rsidRPr="00D95106">
        <w:rPr>
          <w:rFonts w:ascii="Arial" w:hAnsi="Arial" w:cs="Arial"/>
          <w:szCs w:val="24"/>
        </w:rPr>
        <w:t xml:space="preserve"> en el RAIS; </w:t>
      </w:r>
      <w:r w:rsidR="00D30899" w:rsidRPr="00D95106">
        <w:rPr>
          <w:rFonts w:ascii="Arial" w:hAnsi="Arial" w:cs="Arial"/>
          <w:i/>
          <w:szCs w:val="24"/>
        </w:rPr>
        <w:t xml:space="preserve">iii) </w:t>
      </w:r>
      <w:r w:rsidR="009913DB" w:rsidRPr="00D95106">
        <w:rPr>
          <w:rFonts w:ascii="Arial" w:hAnsi="Arial" w:cs="Arial"/>
          <w:szCs w:val="24"/>
        </w:rPr>
        <w:t>para el momento del traslado</w:t>
      </w:r>
      <w:r w:rsidR="00844668" w:rsidRPr="00D95106">
        <w:rPr>
          <w:rFonts w:ascii="Arial" w:hAnsi="Arial" w:cs="Arial"/>
          <w:szCs w:val="24"/>
        </w:rPr>
        <w:t xml:space="preserve"> la AFP Porvenir</w:t>
      </w:r>
      <w:r w:rsidR="009913DB" w:rsidRPr="00D95106">
        <w:rPr>
          <w:rFonts w:ascii="Arial" w:hAnsi="Arial" w:cs="Arial"/>
          <w:szCs w:val="24"/>
        </w:rPr>
        <w:t xml:space="preserve"> </w:t>
      </w:r>
      <w:r w:rsidR="00D30899" w:rsidRPr="00D95106">
        <w:rPr>
          <w:rFonts w:ascii="Arial" w:hAnsi="Arial" w:cs="Arial"/>
          <w:szCs w:val="24"/>
        </w:rPr>
        <w:t xml:space="preserve">no suministró información </w:t>
      </w:r>
      <w:r w:rsidR="00844668" w:rsidRPr="00D95106">
        <w:rPr>
          <w:rFonts w:ascii="Arial" w:hAnsi="Arial" w:cs="Arial"/>
          <w:szCs w:val="24"/>
        </w:rPr>
        <w:t>“</w:t>
      </w:r>
      <w:r w:rsidR="00D30899" w:rsidRPr="00D95106">
        <w:rPr>
          <w:rFonts w:ascii="Arial" w:hAnsi="Arial" w:cs="Arial"/>
          <w:i/>
          <w:szCs w:val="24"/>
        </w:rPr>
        <w:t>adicional</w:t>
      </w:r>
      <w:r w:rsidR="00844668" w:rsidRPr="00D95106">
        <w:rPr>
          <w:rFonts w:ascii="Arial" w:hAnsi="Arial" w:cs="Arial"/>
          <w:i/>
          <w:szCs w:val="24"/>
        </w:rPr>
        <w:t>”</w:t>
      </w:r>
      <w:r w:rsidR="00D30899" w:rsidRPr="00D95106">
        <w:rPr>
          <w:rFonts w:ascii="Arial" w:hAnsi="Arial" w:cs="Arial"/>
          <w:szCs w:val="24"/>
        </w:rPr>
        <w:t xml:space="preserve"> como edad mínima, saldo en la cuenta de ahorro ind</w:t>
      </w:r>
      <w:r w:rsidR="00844668" w:rsidRPr="00D95106">
        <w:rPr>
          <w:rFonts w:ascii="Arial" w:hAnsi="Arial" w:cs="Arial"/>
          <w:szCs w:val="24"/>
        </w:rPr>
        <w:t xml:space="preserve">ividual, </w:t>
      </w:r>
      <w:proofErr w:type="spellStart"/>
      <w:r w:rsidR="00844668" w:rsidRPr="00D95106">
        <w:rPr>
          <w:rFonts w:ascii="Arial" w:hAnsi="Arial" w:cs="Arial"/>
          <w:szCs w:val="24"/>
        </w:rPr>
        <w:t>IBC</w:t>
      </w:r>
      <w:proofErr w:type="spellEnd"/>
      <w:r w:rsidR="00844668" w:rsidRPr="00D95106">
        <w:rPr>
          <w:rFonts w:ascii="Arial" w:hAnsi="Arial" w:cs="Arial"/>
          <w:szCs w:val="24"/>
        </w:rPr>
        <w:t>, ni le indicaron có</w:t>
      </w:r>
      <w:r w:rsidR="00D30899" w:rsidRPr="00D95106">
        <w:rPr>
          <w:rFonts w:ascii="Arial" w:hAnsi="Arial" w:cs="Arial"/>
          <w:szCs w:val="24"/>
        </w:rPr>
        <w:t>mo retornar al RPM, así como tampoco r</w:t>
      </w:r>
      <w:r w:rsidR="00844668" w:rsidRPr="00D95106">
        <w:rPr>
          <w:rFonts w:ascii="Arial" w:hAnsi="Arial" w:cs="Arial"/>
          <w:szCs w:val="24"/>
        </w:rPr>
        <w:t xml:space="preserve">ecibió la </w:t>
      </w:r>
      <w:proofErr w:type="spellStart"/>
      <w:r w:rsidR="00844668" w:rsidRPr="00D95106">
        <w:rPr>
          <w:rFonts w:ascii="Arial" w:hAnsi="Arial" w:cs="Arial"/>
          <w:szCs w:val="24"/>
        </w:rPr>
        <w:t>reasesoría</w:t>
      </w:r>
      <w:proofErr w:type="spellEnd"/>
      <w:r w:rsidR="00844668" w:rsidRPr="00D95106">
        <w:rPr>
          <w:rFonts w:ascii="Arial" w:hAnsi="Arial" w:cs="Arial"/>
          <w:szCs w:val="24"/>
        </w:rPr>
        <w:t xml:space="preserve"> pensional; </w:t>
      </w:r>
      <w:r w:rsidR="00844668" w:rsidRPr="00D95106">
        <w:rPr>
          <w:rFonts w:ascii="Arial" w:hAnsi="Arial" w:cs="Arial"/>
          <w:i/>
          <w:szCs w:val="24"/>
        </w:rPr>
        <w:t xml:space="preserve">iv) </w:t>
      </w:r>
      <w:r w:rsidR="00844668" w:rsidRPr="00D95106">
        <w:rPr>
          <w:rFonts w:ascii="Arial" w:hAnsi="Arial" w:cs="Arial"/>
          <w:szCs w:val="24"/>
        </w:rPr>
        <w:t xml:space="preserve">que el traslado le generó perjuicios puesto que en el RAIS a los 57 años obtendría una devolución de saldos, </w:t>
      </w:r>
      <w:r w:rsidR="00B13CB3" w:rsidRPr="00D95106">
        <w:rPr>
          <w:rFonts w:ascii="Arial" w:hAnsi="Arial" w:cs="Arial"/>
          <w:szCs w:val="24"/>
        </w:rPr>
        <w:t>o a los 60 años</w:t>
      </w:r>
      <w:r w:rsidR="008E1FB9" w:rsidRPr="00D95106">
        <w:rPr>
          <w:rFonts w:ascii="Arial" w:hAnsi="Arial" w:cs="Arial"/>
          <w:szCs w:val="24"/>
        </w:rPr>
        <w:t xml:space="preserve"> una pensión de</w:t>
      </w:r>
      <w:r w:rsidR="00B13CB3" w:rsidRPr="00D95106">
        <w:rPr>
          <w:rFonts w:ascii="Arial" w:hAnsi="Arial" w:cs="Arial"/>
          <w:szCs w:val="24"/>
        </w:rPr>
        <w:t xml:space="preserve"> $917.525, cuando en Colpensiones alcanzaría una mesada pensional de $3’444.612.</w:t>
      </w:r>
    </w:p>
    <w:p w14:paraId="791DC8F0" w14:textId="77777777" w:rsidR="00D30899" w:rsidRPr="00D95106" w:rsidRDefault="00D30899" w:rsidP="0056557A">
      <w:pPr>
        <w:spacing w:line="288" w:lineRule="auto"/>
        <w:contextualSpacing/>
        <w:jc w:val="both"/>
        <w:rPr>
          <w:rFonts w:ascii="Arial" w:hAnsi="Arial" w:cs="Arial"/>
          <w:szCs w:val="24"/>
        </w:rPr>
      </w:pPr>
    </w:p>
    <w:p w14:paraId="5681F5AA" w14:textId="393CADF4" w:rsidR="0015683B" w:rsidRPr="00D95106" w:rsidRDefault="0015683B" w:rsidP="0056557A">
      <w:pPr>
        <w:spacing w:line="288" w:lineRule="auto"/>
        <w:contextualSpacing/>
        <w:jc w:val="both"/>
        <w:rPr>
          <w:rFonts w:ascii="Arial" w:hAnsi="Arial" w:cs="Arial"/>
          <w:szCs w:val="24"/>
        </w:rPr>
      </w:pPr>
      <w:r w:rsidRPr="00D95106">
        <w:rPr>
          <w:rFonts w:ascii="Arial" w:hAnsi="Arial" w:cs="Arial"/>
          <w:b/>
          <w:szCs w:val="24"/>
        </w:rPr>
        <w:t xml:space="preserve">Colpensiones </w:t>
      </w:r>
      <w:r w:rsidRPr="00D95106">
        <w:rPr>
          <w:rFonts w:ascii="Arial" w:hAnsi="Arial" w:cs="Arial"/>
          <w:szCs w:val="24"/>
        </w:rPr>
        <w:t>al contestar la demanda se opuso a las pretensione</w:t>
      </w:r>
      <w:r w:rsidR="00CB3362" w:rsidRPr="00D95106">
        <w:rPr>
          <w:rFonts w:ascii="Arial" w:hAnsi="Arial" w:cs="Arial"/>
          <w:szCs w:val="24"/>
        </w:rPr>
        <w:t>s elevadas en su contra porque el traslado ocurrió conforme a derecho y en uso de sus capacidades. P</w:t>
      </w:r>
      <w:r w:rsidRPr="00D95106">
        <w:rPr>
          <w:rFonts w:ascii="Arial" w:hAnsi="Arial" w:cs="Arial"/>
          <w:szCs w:val="24"/>
        </w:rPr>
        <w:t xml:space="preserve">ropuso las excepciones de </w:t>
      </w:r>
      <w:r w:rsidR="00224165" w:rsidRPr="00D95106">
        <w:rPr>
          <w:rFonts w:ascii="Arial" w:hAnsi="Arial" w:cs="Arial"/>
          <w:szCs w:val="24"/>
        </w:rPr>
        <w:t>“</w:t>
      </w:r>
      <w:r w:rsidR="00224165" w:rsidRPr="00D95106">
        <w:rPr>
          <w:rFonts w:ascii="Arial" w:hAnsi="Arial" w:cs="Arial"/>
          <w:i/>
          <w:szCs w:val="24"/>
        </w:rPr>
        <w:t xml:space="preserve">inexistencia de la obligación demandada” </w:t>
      </w:r>
      <w:r w:rsidR="00224165" w:rsidRPr="00D95106">
        <w:rPr>
          <w:rFonts w:ascii="Arial" w:hAnsi="Arial" w:cs="Arial"/>
          <w:szCs w:val="24"/>
        </w:rPr>
        <w:t>y “</w:t>
      </w:r>
      <w:r w:rsidR="00224165" w:rsidRPr="00D95106">
        <w:rPr>
          <w:rFonts w:ascii="Arial" w:hAnsi="Arial" w:cs="Arial"/>
          <w:i/>
          <w:szCs w:val="24"/>
        </w:rPr>
        <w:t>prescripción”.</w:t>
      </w:r>
    </w:p>
    <w:p w14:paraId="52BA5D36" w14:textId="77777777" w:rsidR="0015683B" w:rsidRPr="00D95106" w:rsidRDefault="0015683B" w:rsidP="0056557A">
      <w:pPr>
        <w:spacing w:line="288" w:lineRule="auto"/>
        <w:contextualSpacing/>
        <w:jc w:val="both"/>
        <w:rPr>
          <w:rFonts w:ascii="Arial" w:hAnsi="Arial" w:cs="Arial"/>
          <w:i/>
          <w:szCs w:val="24"/>
        </w:rPr>
      </w:pPr>
    </w:p>
    <w:p w14:paraId="59E3F609" w14:textId="5C281BD3" w:rsidR="00224165" w:rsidRPr="00D95106" w:rsidRDefault="0015683B" w:rsidP="0056557A">
      <w:pPr>
        <w:spacing w:line="288" w:lineRule="auto"/>
        <w:contextualSpacing/>
        <w:jc w:val="both"/>
        <w:rPr>
          <w:rFonts w:ascii="Arial" w:hAnsi="Arial" w:cs="Arial"/>
          <w:szCs w:val="24"/>
        </w:rPr>
      </w:pPr>
      <w:r w:rsidRPr="00D95106">
        <w:rPr>
          <w:rFonts w:ascii="Arial" w:hAnsi="Arial" w:cs="Arial"/>
          <w:szCs w:val="24"/>
        </w:rPr>
        <w:t xml:space="preserve">A su turno, </w:t>
      </w:r>
      <w:r w:rsidR="00224165" w:rsidRPr="00D95106">
        <w:rPr>
          <w:rFonts w:ascii="Arial" w:hAnsi="Arial" w:cs="Arial"/>
          <w:b/>
          <w:szCs w:val="24"/>
        </w:rPr>
        <w:t>Protección</w:t>
      </w:r>
      <w:r w:rsidR="00CB3362" w:rsidRPr="00D95106">
        <w:rPr>
          <w:rFonts w:ascii="Arial" w:hAnsi="Arial" w:cs="Arial"/>
          <w:b/>
          <w:szCs w:val="24"/>
        </w:rPr>
        <w:t xml:space="preserve"> S.A.</w:t>
      </w:r>
      <w:r w:rsidR="00CB3362" w:rsidRPr="00D95106">
        <w:rPr>
          <w:rFonts w:ascii="Arial" w:hAnsi="Arial" w:cs="Arial"/>
          <w:szCs w:val="24"/>
        </w:rPr>
        <w:t xml:space="preserve"> </w:t>
      </w:r>
      <w:r w:rsidR="008E1FB9" w:rsidRPr="00D95106">
        <w:rPr>
          <w:rFonts w:ascii="Arial" w:hAnsi="Arial" w:cs="Arial"/>
          <w:szCs w:val="24"/>
        </w:rPr>
        <w:t xml:space="preserve">también </w:t>
      </w:r>
      <w:r w:rsidR="00CB3362" w:rsidRPr="00D95106">
        <w:rPr>
          <w:rFonts w:ascii="Arial" w:hAnsi="Arial" w:cs="Arial"/>
          <w:szCs w:val="24"/>
        </w:rPr>
        <w:t xml:space="preserve">se opuso a las pretensiones formuladas en su contra, para lo cual argumentó </w:t>
      </w:r>
      <w:r w:rsidR="008D0D1E" w:rsidRPr="00D95106">
        <w:rPr>
          <w:rFonts w:ascii="Arial" w:hAnsi="Arial" w:cs="Arial"/>
          <w:szCs w:val="24"/>
        </w:rPr>
        <w:t xml:space="preserve">que </w:t>
      </w:r>
      <w:r w:rsidR="00CB3362" w:rsidRPr="00D95106">
        <w:rPr>
          <w:rFonts w:ascii="Arial" w:hAnsi="Arial" w:cs="Arial"/>
          <w:szCs w:val="24"/>
        </w:rPr>
        <w:t xml:space="preserve">sí informó a la demandante </w:t>
      </w:r>
      <w:r w:rsidR="00224165" w:rsidRPr="00D95106">
        <w:rPr>
          <w:rFonts w:ascii="Arial" w:hAnsi="Arial" w:cs="Arial"/>
          <w:szCs w:val="24"/>
        </w:rPr>
        <w:t>sobre las incidencias del traslado entre administradoras pensionales; por lo que</w:t>
      </w:r>
      <w:r w:rsidR="00B13CB3" w:rsidRPr="00D95106">
        <w:rPr>
          <w:rFonts w:ascii="Arial" w:hAnsi="Arial" w:cs="Arial"/>
          <w:szCs w:val="24"/>
        </w:rPr>
        <w:t>,</w:t>
      </w:r>
      <w:r w:rsidR="00224165" w:rsidRPr="00D95106">
        <w:rPr>
          <w:rFonts w:ascii="Arial" w:hAnsi="Arial" w:cs="Arial"/>
          <w:szCs w:val="24"/>
        </w:rPr>
        <w:t xml:space="preserve"> el traslado fue producto de una decisión libre, sin que ella evidenciara voluntad alguna de retorno. Por último presentó las excepciones que denominó “</w:t>
      </w:r>
      <w:r w:rsidR="00224165" w:rsidRPr="00D95106">
        <w:rPr>
          <w:rFonts w:ascii="Arial" w:hAnsi="Arial" w:cs="Arial"/>
          <w:i/>
          <w:szCs w:val="24"/>
        </w:rPr>
        <w:t xml:space="preserve">prescripción”, </w:t>
      </w:r>
      <w:r w:rsidR="00224165" w:rsidRPr="00D95106">
        <w:rPr>
          <w:rFonts w:ascii="Arial" w:hAnsi="Arial" w:cs="Arial"/>
          <w:szCs w:val="24"/>
        </w:rPr>
        <w:t>entre otras.</w:t>
      </w:r>
    </w:p>
    <w:p w14:paraId="74F2B604" w14:textId="77777777" w:rsidR="00224165" w:rsidRPr="00D95106" w:rsidRDefault="00224165" w:rsidP="0056557A">
      <w:pPr>
        <w:spacing w:line="288" w:lineRule="auto"/>
        <w:contextualSpacing/>
        <w:jc w:val="both"/>
        <w:rPr>
          <w:rFonts w:ascii="Arial" w:hAnsi="Arial" w:cs="Arial"/>
          <w:szCs w:val="24"/>
        </w:rPr>
      </w:pPr>
    </w:p>
    <w:p w14:paraId="33A75B03" w14:textId="53559676" w:rsidR="00CB3362" w:rsidRPr="00D95106" w:rsidRDefault="00321F3D" w:rsidP="0056557A">
      <w:pPr>
        <w:spacing w:line="288" w:lineRule="auto"/>
        <w:contextualSpacing/>
        <w:jc w:val="both"/>
        <w:rPr>
          <w:rFonts w:ascii="Arial" w:hAnsi="Arial" w:cs="Arial"/>
          <w:szCs w:val="24"/>
        </w:rPr>
      </w:pPr>
      <w:r w:rsidRPr="00D95106">
        <w:rPr>
          <w:rFonts w:ascii="Arial" w:hAnsi="Arial" w:cs="Arial"/>
          <w:szCs w:val="24"/>
        </w:rPr>
        <w:t xml:space="preserve">Para finalizar, </w:t>
      </w:r>
      <w:r w:rsidRPr="00D95106">
        <w:rPr>
          <w:rFonts w:ascii="Arial" w:hAnsi="Arial" w:cs="Arial"/>
          <w:b/>
          <w:szCs w:val="24"/>
        </w:rPr>
        <w:t xml:space="preserve">Porvenir S.A. </w:t>
      </w:r>
      <w:r w:rsidRPr="00D95106">
        <w:rPr>
          <w:rFonts w:ascii="Arial" w:hAnsi="Arial" w:cs="Arial"/>
          <w:szCs w:val="24"/>
        </w:rPr>
        <w:t>igualmente se opuso a las pretensiones para lo cual explicó que la demandante no era beneficiaria del régimen de transición y que la decisión del traslado fue voluntaria y libre, además que para dicha época se otorgó la información debida, sin que se pudiera realizar proyecciones pensionales porque ningún asesor tenía la capacidad de prever con tantos años de anterioridad cuál sería el comportamiento laboral de la demandante. Propuso las excepciones de “</w:t>
      </w:r>
      <w:r w:rsidRPr="00D95106">
        <w:rPr>
          <w:rFonts w:ascii="Arial" w:hAnsi="Arial" w:cs="Arial"/>
          <w:i/>
          <w:szCs w:val="24"/>
        </w:rPr>
        <w:t>prescripción”,</w:t>
      </w:r>
      <w:r w:rsidRPr="00D95106">
        <w:rPr>
          <w:rFonts w:ascii="Arial" w:hAnsi="Arial" w:cs="Arial"/>
          <w:szCs w:val="24"/>
        </w:rPr>
        <w:t xml:space="preserve"> “</w:t>
      </w:r>
      <w:r w:rsidRPr="00D95106">
        <w:rPr>
          <w:rFonts w:ascii="Arial" w:hAnsi="Arial" w:cs="Arial"/>
          <w:i/>
          <w:szCs w:val="24"/>
        </w:rPr>
        <w:t>compensación”,</w:t>
      </w:r>
      <w:r w:rsidRPr="00D95106">
        <w:rPr>
          <w:rFonts w:ascii="Arial" w:hAnsi="Arial" w:cs="Arial"/>
          <w:szCs w:val="24"/>
        </w:rPr>
        <w:t xml:space="preserve"> entre otras. </w:t>
      </w:r>
    </w:p>
    <w:p w14:paraId="10FC3D0F" w14:textId="77777777" w:rsidR="00831A0B" w:rsidRPr="00D95106" w:rsidRDefault="00831A0B" w:rsidP="0056557A">
      <w:pPr>
        <w:spacing w:line="288" w:lineRule="auto"/>
        <w:contextualSpacing/>
        <w:jc w:val="both"/>
        <w:rPr>
          <w:rFonts w:ascii="Arial" w:hAnsi="Arial" w:cs="Arial"/>
          <w:szCs w:val="24"/>
        </w:rPr>
      </w:pPr>
    </w:p>
    <w:p w14:paraId="674B71E8" w14:textId="77777777" w:rsidR="0015683B" w:rsidRPr="00D95106" w:rsidRDefault="0015683B" w:rsidP="0056557A">
      <w:pPr>
        <w:pStyle w:val="Prrafodelista"/>
        <w:numPr>
          <w:ilvl w:val="0"/>
          <w:numId w:val="1"/>
        </w:numPr>
        <w:spacing w:after="0" w:line="288" w:lineRule="auto"/>
        <w:jc w:val="both"/>
        <w:rPr>
          <w:rFonts w:ascii="Arial" w:hAnsi="Arial" w:cs="Arial"/>
          <w:b/>
          <w:sz w:val="24"/>
          <w:szCs w:val="24"/>
        </w:rPr>
      </w:pPr>
      <w:r w:rsidRPr="00D95106">
        <w:rPr>
          <w:rFonts w:ascii="Arial" w:hAnsi="Arial" w:cs="Arial"/>
          <w:b/>
          <w:sz w:val="24"/>
          <w:szCs w:val="24"/>
        </w:rPr>
        <w:t>Síntesis de la sentencia</w:t>
      </w:r>
    </w:p>
    <w:p w14:paraId="545DAE1E" w14:textId="77777777" w:rsidR="0015683B" w:rsidRPr="00D95106" w:rsidRDefault="0015683B" w:rsidP="0056557A">
      <w:pPr>
        <w:spacing w:line="288" w:lineRule="auto"/>
        <w:contextualSpacing/>
        <w:jc w:val="both"/>
        <w:rPr>
          <w:rFonts w:ascii="Arial" w:hAnsi="Arial" w:cs="Arial"/>
          <w:color w:val="000000"/>
          <w:szCs w:val="24"/>
          <w:lang w:eastAsia="es-CO"/>
        </w:rPr>
      </w:pPr>
    </w:p>
    <w:p w14:paraId="40AAA6C4" w14:textId="1A1C1FA8" w:rsidR="00FF016A" w:rsidRPr="00D95106" w:rsidRDefault="0015683B" w:rsidP="0056557A">
      <w:pPr>
        <w:spacing w:line="288" w:lineRule="auto"/>
        <w:contextualSpacing/>
        <w:jc w:val="both"/>
        <w:rPr>
          <w:rFonts w:ascii="Arial" w:hAnsi="Arial" w:cs="Arial"/>
          <w:color w:val="000000"/>
          <w:szCs w:val="24"/>
          <w:lang w:eastAsia="es-CO"/>
        </w:rPr>
      </w:pPr>
      <w:r w:rsidRPr="00D95106">
        <w:rPr>
          <w:rFonts w:ascii="Arial" w:hAnsi="Arial" w:cs="Arial"/>
          <w:color w:val="000000"/>
          <w:szCs w:val="24"/>
          <w:lang w:eastAsia="es-CO"/>
        </w:rPr>
        <w:t xml:space="preserve">El Juzgado </w:t>
      </w:r>
      <w:r w:rsidR="00321F3D" w:rsidRPr="00D95106">
        <w:rPr>
          <w:rFonts w:ascii="Arial" w:hAnsi="Arial" w:cs="Arial"/>
          <w:color w:val="000000"/>
          <w:szCs w:val="24"/>
          <w:lang w:eastAsia="es-CO"/>
        </w:rPr>
        <w:t xml:space="preserve">Tercero </w:t>
      </w:r>
      <w:r w:rsidRPr="00D95106">
        <w:rPr>
          <w:rFonts w:ascii="Arial" w:hAnsi="Arial" w:cs="Arial"/>
          <w:color w:val="000000"/>
          <w:szCs w:val="24"/>
          <w:lang w:eastAsia="es-CO"/>
        </w:rPr>
        <w:t>Laboral del Circuito de Pereira declaró la ineficac</w:t>
      </w:r>
      <w:r w:rsidR="00D014C1" w:rsidRPr="00D95106">
        <w:rPr>
          <w:rFonts w:ascii="Arial" w:hAnsi="Arial" w:cs="Arial"/>
          <w:color w:val="000000"/>
          <w:szCs w:val="24"/>
          <w:lang w:eastAsia="es-CO"/>
        </w:rPr>
        <w:t>ia del traslado al RAIS</w:t>
      </w:r>
      <w:r w:rsidRPr="00D95106">
        <w:rPr>
          <w:rFonts w:ascii="Arial" w:hAnsi="Arial" w:cs="Arial"/>
          <w:color w:val="000000"/>
          <w:szCs w:val="24"/>
          <w:lang w:eastAsia="es-CO"/>
        </w:rPr>
        <w:t xml:space="preserve">, y en consecuencia ordenó </w:t>
      </w:r>
      <w:r w:rsidR="00FF016A" w:rsidRPr="00D95106">
        <w:rPr>
          <w:rFonts w:ascii="Arial" w:hAnsi="Arial" w:cs="Arial"/>
          <w:color w:val="000000"/>
          <w:szCs w:val="24"/>
          <w:lang w:eastAsia="es-CO"/>
        </w:rPr>
        <w:t xml:space="preserve">al fondo privado que trasladara a Colpensiones </w:t>
      </w:r>
      <w:r w:rsidR="00B13CB3" w:rsidRPr="00D95106">
        <w:rPr>
          <w:rFonts w:ascii="Arial" w:hAnsi="Arial" w:cs="Arial"/>
          <w:color w:val="000000"/>
          <w:szCs w:val="24"/>
          <w:lang w:eastAsia="es-CO"/>
        </w:rPr>
        <w:t xml:space="preserve">los saldos existentes en la cuenta de ahorro individual de la demandante y </w:t>
      </w:r>
      <w:r w:rsidR="00FF016A" w:rsidRPr="00D95106">
        <w:rPr>
          <w:rFonts w:ascii="Arial" w:hAnsi="Arial" w:cs="Arial"/>
          <w:color w:val="000000"/>
          <w:szCs w:val="24"/>
          <w:lang w:eastAsia="es-CO"/>
        </w:rPr>
        <w:t>a Colpensiones que aceptara el traslado</w:t>
      </w:r>
      <w:r w:rsidR="00D014C1" w:rsidRPr="00D95106">
        <w:rPr>
          <w:rFonts w:ascii="Arial" w:hAnsi="Arial" w:cs="Arial"/>
          <w:color w:val="000000"/>
          <w:szCs w:val="24"/>
          <w:lang w:eastAsia="es-CO"/>
        </w:rPr>
        <w:t>.</w:t>
      </w:r>
    </w:p>
    <w:p w14:paraId="32DAECA3" w14:textId="77777777" w:rsidR="00FF016A" w:rsidRPr="00D95106" w:rsidRDefault="00FF016A" w:rsidP="0056557A">
      <w:pPr>
        <w:spacing w:line="288" w:lineRule="auto"/>
        <w:contextualSpacing/>
        <w:jc w:val="both"/>
        <w:rPr>
          <w:rFonts w:ascii="Arial" w:hAnsi="Arial" w:cs="Arial"/>
          <w:color w:val="000000"/>
          <w:szCs w:val="24"/>
          <w:lang w:eastAsia="es-CO"/>
        </w:rPr>
      </w:pPr>
    </w:p>
    <w:p w14:paraId="3439A0E6" w14:textId="44F7B48E" w:rsidR="0098641B" w:rsidRPr="00D95106" w:rsidRDefault="0015683B" w:rsidP="0056557A">
      <w:pPr>
        <w:spacing w:line="288" w:lineRule="auto"/>
        <w:contextualSpacing/>
        <w:jc w:val="both"/>
        <w:rPr>
          <w:rFonts w:ascii="Arial" w:hAnsi="Arial" w:cs="Arial"/>
          <w:color w:val="000000"/>
          <w:szCs w:val="24"/>
          <w:lang w:eastAsia="es-CO"/>
        </w:rPr>
      </w:pPr>
      <w:r w:rsidRPr="00D95106">
        <w:rPr>
          <w:rFonts w:ascii="Arial" w:hAnsi="Arial" w:cs="Arial"/>
          <w:color w:val="000000"/>
          <w:szCs w:val="24"/>
          <w:lang w:eastAsia="es-CO"/>
        </w:rPr>
        <w:t xml:space="preserve">Como fundamento de tal determinación, la </w:t>
      </w:r>
      <w:r w:rsidRPr="00D95106">
        <w:rPr>
          <w:rFonts w:ascii="Arial" w:hAnsi="Arial" w:cs="Arial"/>
          <w:i/>
          <w:color w:val="000000"/>
          <w:szCs w:val="24"/>
          <w:lang w:eastAsia="es-CO"/>
        </w:rPr>
        <w:t xml:space="preserve">a quo </w:t>
      </w:r>
      <w:r w:rsidRPr="00D95106">
        <w:rPr>
          <w:rFonts w:ascii="Arial" w:hAnsi="Arial" w:cs="Arial"/>
          <w:color w:val="000000"/>
          <w:szCs w:val="24"/>
          <w:lang w:eastAsia="es-CO"/>
        </w:rPr>
        <w:t xml:space="preserve">argumentó </w:t>
      </w:r>
      <w:r w:rsidR="00D43C82" w:rsidRPr="00D95106">
        <w:rPr>
          <w:rFonts w:ascii="Arial" w:hAnsi="Arial" w:cs="Arial"/>
          <w:color w:val="000000"/>
          <w:szCs w:val="24"/>
          <w:lang w:eastAsia="es-CO"/>
        </w:rPr>
        <w:t>que</w:t>
      </w:r>
      <w:r w:rsidR="00D014C1" w:rsidRPr="00D95106">
        <w:rPr>
          <w:rFonts w:ascii="Arial" w:hAnsi="Arial" w:cs="Arial"/>
          <w:color w:val="000000"/>
          <w:szCs w:val="24"/>
          <w:lang w:eastAsia="es-CO"/>
        </w:rPr>
        <w:t xml:space="preserve"> </w:t>
      </w:r>
      <w:r w:rsidR="0098641B" w:rsidRPr="00D95106">
        <w:rPr>
          <w:rFonts w:ascii="Arial" w:hAnsi="Arial" w:cs="Arial"/>
          <w:color w:val="000000"/>
          <w:szCs w:val="24"/>
          <w:lang w:eastAsia="es-CO"/>
        </w:rPr>
        <w:t xml:space="preserve">Juana Uribe Arango no era beneficiaria del régimen de transición, por lo que carecía de una garantía de protección inmediata; sin embargo, resaltó que la carga de la prueba recaía en la AFP, pues estas tenían la obligación del buen consejo, por lo que la información debía ir más allá de los datos contenidos en el formulario de afiliación, que por demás solo contiene información personal del afiliado y su grupo familiar. Descendiendo al caso en concreto adujo que la demandante jamás recibió información alguna, porque para el momento del traslado, el personal de recursos humanos de la institución donde laboraba, le indicó que el ISS no estaba recibiendo más afiliaciones y por ello, eligió alguno de los formularios que allí reposaban para hacer la afiliación al RAIS. </w:t>
      </w:r>
    </w:p>
    <w:p w14:paraId="48A2FACB" w14:textId="77777777" w:rsidR="00D014C1" w:rsidRPr="00D95106" w:rsidRDefault="00D014C1" w:rsidP="0056557A">
      <w:pPr>
        <w:spacing w:line="288" w:lineRule="auto"/>
        <w:contextualSpacing/>
        <w:jc w:val="both"/>
        <w:rPr>
          <w:rFonts w:ascii="Arial" w:hAnsi="Arial" w:cs="Arial"/>
          <w:color w:val="000000"/>
          <w:szCs w:val="24"/>
          <w:lang w:eastAsia="es-CO"/>
        </w:rPr>
      </w:pPr>
    </w:p>
    <w:p w14:paraId="6E60CCDF" w14:textId="48BE3F91" w:rsidR="0015683B" w:rsidRPr="00D95106" w:rsidRDefault="00FF016A" w:rsidP="0056557A">
      <w:pPr>
        <w:spacing w:line="288" w:lineRule="auto"/>
        <w:contextualSpacing/>
        <w:jc w:val="both"/>
        <w:rPr>
          <w:rFonts w:ascii="Arial" w:hAnsi="Arial" w:cs="Arial"/>
          <w:b/>
          <w:szCs w:val="24"/>
        </w:rPr>
      </w:pPr>
      <w:r w:rsidRPr="00D95106">
        <w:rPr>
          <w:rFonts w:ascii="Arial" w:hAnsi="Arial" w:cs="Arial"/>
          <w:color w:val="000000"/>
          <w:szCs w:val="24"/>
          <w:lang w:eastAsia="es-CO"/>
        </w:rPr>
        <w:t xml:space="preserve"> </w:t>
      </w:r>
      <w:r w:rsidR="0098641B" w:rsidRPr="00D95106">
        <w:rPr>
          <w:rFonts w:ascii="Arial" w:hAnsi="Arial" w:cs="Arial"/>
          <w:b/>
          <w:szCs w:val="24"/>
        </w:rPr>
        <w:t>3. Del</w:t>
      </w:r>
      <w:r w:rsidR="0015683B" w:rsidRPr="00D95106">
        <w:rPr>
          <w:rFonts w:ascii="Arial" w:hAnsi="Arial" w:cs="Arial"/>
          <w:b/>
          <w:szCs w:val="24"/>
        </w:rPr>
        <w:t xml:space="preserve"> recurso de apelación </w:t>
      </w:r>
    </w:p>
    <w:p w14:paraId="12A072D6" w14:textId="77777777" w:rsidR="0015683B" w:rsidRPr="00D95106" w:rsidRDefault="0015683B" w:rsidP="0056557A">
      <w:pPr>
        <w:spacing w:line="288" w:lineRule="auto"/>
        <w:jc w:val="both"/>
        <w:rPr>
          <w:rFonts w:ascii="Arial" w:hAnsi="Arial" w:cs="Arial"/>
          <w:b/>
          <w:szCs w:val="24"/>
        </w:rPr>
      </w:pPr>
    </w:p>
    <w:p w14:paraId="36BE43CD" w14:textId="09BB4E41" w:rsidR="0098641B" w:rsidRPr="00D95106" w:rsidRDefault="0015683B" w:rsidP="0056557A">
      <w:pPr>
        <w:pStyle w:val="Prrafodelista"/>
        <w:spacing w:line="288" w:lineRule="auto"/>
        <w:ind w:left="0"/>
        <w:jc w:val="both"/>
        <w:rPr>
          <w:rFonts w:ascii="Arial" w:eastAsia="Times New Roman" w:hAnsi="Arial" w:cs="Arial"/>
          <w:color w:val="000000"/>
          <w:sz w:val="24"/>
          <w:szCs w:val="24"/>
          <w:lang w:eastAsia="es-CO"/>
        </w:rPr>
      </w:pPr>
      <w:r w:rsidRPr="00D95106">
        <w:rPr>
          <w:rFonts w:ascii="Arial" w:eastAsia="Times New Roman" w:hAnsi="Arial" w:cs="Arial"/>
          <w:color w:val="000000"/>
          <w:sz w:val="24"/>
          <w:szCs w:val="24"/>
          <w:lang w:eastAsia="es-CO"/>
        </w:rPr>
        <w:t xml:space="preserve">Inconforme con la decisión </w:t>
      </w:r>
      <w:r w:rsidR="00CD37BE" w:rsidRPr="00D95106">
        <w:rPr>
          <w:rFonts w:ascii="Arial" w:eastAsia="Times New Roman" w:hAnsi="Arial" w:cs="Arial"/>
          <w:b/>
          <w:color w:val="000000"/>
          <w:sz w:val="24"/>
          <w:szCs w:val="24"/>
          <w:lang w:eastAsia="es-CO"/>
        </w:rPr>
        <w:t>Porvenir</w:t>
      </w:r>
      <w:r w:rsidRPr="00D95106">
        <w:rPr>
          <w:rFonts w:ascii="Arial" w:eastAsia="Times New Roman" w:hAnsi="Arial" w:cs="Arial"/>
          <w:b/>
          <w:color w:val="000000"/>
          <w:sz w:val="24"/>
          <w:szCs w:val="24"/>
          <w:lang w:eastAsia="es-CO"/>
        </w:rPr>
        <w:t xml:space="preserve"> S.A.</w:t>
      </w:r>
      <w:r w:rsidRPr="00D95106">
        <w:rPr>
          <w:rFonts w:ascii="Arial" w:eastAsia="Times New Roman" w:hAnsi="Arial" w:cs="Arial"/>
          <w:color w:val="000000"/>
          <w:sz w:val="24"/>
          <w:szCs w:val="24"/>
          <w:lang w:eastAsia="es-CO"/>
        </w:rPr>
        <w:t xml:space="preserve"> </w:t>
      </w:r>
      <w:r w:rsidR="0002355D" w:rsidRPr="00D95106">
        <w:rPr>
          <w:rFonts w:ascii="Arial" w:eastAsia="Times New Roman" w:hAnsi="Arial" w:cs="Arial"/>
          <w:color w:val="000000"/>
          <w:sz w:val="24"/>
          <w:szCs w:val="24"/>
          <w:lang w:eastAsia="es-CO"/>
        </w:rPr>
        <w:t>presentó recurso de alzada para lo cual argumentó que</w:t>
      </w:r>
      <w:r w:rsidR="0098641B" w:rsidRPr="00D95106">
        <w:rPr>
          <w:rFonts w:ascii="Arial" w:eastAsia="Times New Roman" w:hAnsi="Arial" w:cs="Arial"/>
          <w:color w:val="000000"/>
          <w:sz w:val="24"/>
          <w:szCs w:val="24"/>
          <w:lang w:eastAsia="es-CO"/>
        </w:rPr>
        <w:t xml:space="preserve"> la demandante no fue víctima de omisión en la información, pues la decisión del traslado emanó de su voluntad, máxime que en tanto Juana Uribe Arango no hizo uso del derecho de retracto, ni de la amnistía para retornar al RPM, entonces exteriorizó su voluntad de permanencia en el RAIS. </w:t>
      </w:r>
    </w:p>
    <w:p w14:paraId="40374AF6" w14:textId="77777777" w:rsidR="002677FE" w:rsidRPr="00D95106" w:rsidRDefault="002677FE" w:rsidP="0056557A">
      <w:pPr>
        <w:pStyle w:val="Prrafodelista"/>
        <w:spacing w:after="0" w:line="288" w:lineRule="auto"/>
        <w:ind w:left="0"/>
        <w:jc w:val="both"/>
        <w:rPr>
          <w:rFonts w:ascii="Arial" w:eastAsia="Times New Roman" w:hAnsi="Arial" w:cs="Arial"/>
          <w:color w:val="000000"/>
          <w:sz w:val="24"/>
          <w:szCs w:val="24"/>
          <w:lang w:eastAsia="es-CO"/>
        </w:rPr>
      </w:pPr>
    </w:p>
    <w:p w14:paraId="6321BCB0" w14:textId="77777777" w:rsidR="000F4EE8" w:rsidRPr="00D95106" w:rsidRDefault="000F4EE8" w:rsidP="0056557A">
      <w:pPr>
        <w:spacing w:line="288" w:lineRule="auto"/>
        <w:jc w:val="both"/>
        <w:rPr>
          <w:rFonts w:ascii="Arial" w:eastAsiaTheme="minorHAnsi" w:hAnsi="Arial" w:cs="Arial"/>
          <w:b/>
          <w:color w:val="000000" w:themeColor="text1"/>
          <w:szCs w:val="24"/>
          <w:lang w:eastAsia="en-US"/>
        </w:rPr>
      </w:pPr>
      <w:r w:rsidRPr="00D95106">
        <w:rPr>
          <w:rFonts w:ascii="Arial" w:eastAsiaTheme="minorHAnsi" w:hAnsi="Arial" w:cs="Arial"/>
          <w:b/>
          <w:color w:val="000000" w:themeColor="text1"/>
          <w:szCs w:val="24"/>
          <w:lang w:eastAsia="en-US"/>
        </w:rPr>
        <w:t xml:space="preserve">    4. Grado jurisdiccional de consulta </w:t>
      </w:r>
    </w:p>
    <w:p w14:paraId="20508E65" w14:textId="77777777" w:rsidR="000F4EE8" w:rsidRPr="00D95106" w:rsidRDefault="000F4EE8" w:rsidP="0056557A">
      <w:pPr>
        <w:spacing w:line="288" w:lineRule="auto"/>
        <w:jc w:val="both"/>
        <w:rPr>
          <w:rFonts w:ascii="Arial" w:eastAsiaTheme="minorHAnsi" w:hAnsi="Arial" w:cs="Arial"/>
          <w:b/>
          <w:color w:val="000000" w:themeColor="text1"/>
          <w:szCs w:val="24"/>
          <w:lang w:eastAsia="en-US"/>
        </w:rPr>
      </w:pPr>
    </w:p>
    <w:p w14:paraId="4D738618" w14:textId="77777777" w:rsidR="000F4EE8" w:rsidRPr="00D95106" w:rsidRDefault="000F4EE8" w:rsidP="0056557A">
      <w:pPr>
        <w:spacing w:line="288" w:lineRule="auto"/>
        <w:jc w:val="both"/>
        <w:rPr>
          <w:rFonts w:ascii="Arial" w:hAnsi="Arial" w:cs="Arial"/>
          <w:color w:val="000000"/>
          <w:szCs w:val="24"/>
          <w:lang w:eastAsia="es-CO"/>
        </w:rPr>
      </w:pPr>
      <w:r w:rsidRPr="00D95106">
        <w:rPr>
          <w:rFonts w:ascii="Arial" w:eastAsiaTheme="minorHAnsi" w:hAnsi="Arial" w:cs="Arial"/>
          <w:color w:val="000000" w:themeColor="text1"/>
          <w:szCs w:val="24"/>
          <w:lang w:eastAsia="en-US"/>
        </w:rPr>
        <w:t xml:space="preserve">Por resultar adversa la decisión a Colpensiones, se surtirá el grado jurisdiccional de consulta, pues la Nación es garante de las condenas impuestas a dicha entidad, todo ello de conformidad con el artículo 69 del </w:t>
      </w:r>
      <w:proofErr w:type="spellStart"/>
      <w:r w:rsidRPr="00D95106">
        <w:rPr>
          <w:rFonts w:ascii="Arial" w:eastAsiaTheme="minorHAnsi" w:hAnsi="Arial" w:cs="Arial"/>
          <w:color w:val="000000" w:themeColor="text1"/>
          <w:szCs w:val="24"/>
          <w:lang w:eastAsia="en-US"/>
        </w:rPr>
        <w:t>C.P.L</w:t>
      </w:r>
      <w:proofErr w:type="spellEnd"/>
      <w:r w:rsidRPr="00D95106">
        <w:rPr>
          <w:rFonts w:ascii="Arial" w:eastAsiaTheme="minorHAnsi" w:hAnsi="Arial" w:cs="Arial"/>
          <w:color w:val="000000" w:themeColor="text1"/>
          <w:szCs w:val="24"/>
          <w:lang w:eastAsia="en-US"/>
        </w:rPr>
        <w:t>. y de la S.S.</w:t>
      </w:r>
    </w:p>
    <w:p w14:paraId="014A0584" w14:textId="77777777" w:rsidR="0015683B" w:rsidRPr="00D95106" w:rsidRDefault="0015683B" w:rsidP="0056557A">
      <w:pPr>
        <w:pStyle w:val="Prrafodelista"/>
        <w:spacing w:line="288" w:lineRule="auto"/>
        <w:ind w:left="0"/>
        <w:jc w:val="both"/>
        <w:rPr>
          <w:rFonts w:ascii="Arial" w:eastAsia="Times New Roman" w:hAnsi="Arial" w:cs="Arial"/>
          <w:color w:val="000000"/>
          <w:sz w:val="24"/>
          <w:szCs w:val="24"/>
          <w:lang w:eastAsia="es-CO"/>
        </w:rPr>
      </w:pPr>
    </w:p>
    <w:p w14:paraId="0FC24324" w14:textId="77777777" w:rsidR="0015683B" w:rsidRPr="00D95106" w:rsidRDefault="0015683B" w:rsidP="0056557A">
      <w:pPr>
        <w:pStyle w:val="Prrafodelista"/>
        <w:shd w:val="clear" w:color="auto" w:fill="FFFFFF"/>
        <w:tabs>
          <w:tab w:val="left" w:pos="5197"/>
        </w:tabs>
        <w:spacing w:line="288" w:lineRule="auto"/>
        <w:jc w:val="center"/>
        <w:rPr>
          <w:rFonts w:ascii="Arial" w:hAnsi="Arial" w:cs="Arial"/>
          <w:b/>
          <w:color w:val="000000" w:themeColor="text1"/>
          <w:sz w:val="24"/>
          <w:szCs w:val="24"/>
        </w:rPr>
      </w:pPr>
      <w:r w:rsidRPr="00D95106">
        <w:rPr>
          <w:rFonts w:ascii="Arial" w:hAnsi="Arial" w:cs="Arial"/>
          <w:b/>
          <w:color w:val="000000" w:themeColor="text1"/>
          <w:sz w:val="24"/>
          <w:szCs w:val="24"/>
        </w:rPr>
        <w:t>CONSIDERACIONES</w:t>
      </w:r>
    </w:p>
    <w:p w14:paraId="2A9679AC" w14:textId="77777777" w:rsidR="0015683B" w:rsidRPr="00D95106" w:rsidRDefault="0015683B" w:rsidP="0056557A">
      <w:pPr>
        <w:spacing w:line="288" w:lineRule="auto"/>
        <w:contextualSpacing/>
        <w:jc w:val="both"/>
        <w:rPr>
          <w:rFonts w:ascii="Arial" w:hAnsi="Arial" w:cs="Arial"/>
          <w:szCs w:val="24"/>
        </w:rPr>
      </w:pPr>
    </w:p>
    <w:p w14:paraId="69C6864C" w14:textId="77777777" w:rsidR="0015683B" w:rsidRPr="00D95106" w:rsidRDefault="0015683B" w:rsidP="0056557A">
      <w:pPr>
        <w:pStyle w:val="Prrafodelista"/>
        <w:numPr>
          <w:ilvl w:val="0"/>
          <w:numId w:val="11"/>
        </w:numPr>
        <w:shd w:val="clear" w:color="auto" w:fill="FFFFFF"/>
        <w:tabs>
          <w:tab w:val="left" w:pos="5197"/>
        </w:tabs>
        <w:spacing w:after="0" w:line="288" w:lineRule="auto"/>
        <w:jc w:val="both"/>
        <w:rPr>
          <w:rFonts w:ascii="Arial" w:hAnsi="Arial" w:cs="Arial"/>
          <w:sz w:val="24"/>
          <w:szCs w:val="24"/>
        </w:rPr>
      </w:pPr>
      <w:r w:rsidRPr="00D95106">
        <w:rPr>
          <w:rFonts w:ascii="Arial" w:hAnsi="Arial" w:cs="Arial"/>
          <w:b/>
          <w:sz w:val="24"/>
          <w:szCs w:val="24"/>
        </w:rPr>
        <w:t>Del problema jurídico</w:t>
      </w:r>
    </w:p>
    <w:p w14:paraId="001B0CC2" w14:textId="77777777" w:rsidR="0015683B" w:rsidRPr="00D95106" w:rsidRDefault="0015683B" w:rsidP="0056557A">
      <w:pPr>
        <w:shd w:val="clear" w:color="auto" w:fill="FFFFFF"/>
        <w:tabs>
          <w:tab w:val="left" w:pos="5197"/>
        </w:tabs>
        <w:spacing w:line="288" w:lineRule="auto"/>
        <w:jc w:val="both"/>
        <w:rPr>
          <w:rFonts w:ascii="Arial" w:hAnsi="Arial" w:cs="Arial"/>
          <w:szCs w:val="24"/>
        </w:rPr>
      </w:pPr>
    </w:p>
    <w:p w14:paraId="28C522EE" w14:textId="77777777" w:rsidR="0015683B" w:rsidRPr="00D95106" w:rsidRDefault="0015683B" w:rsidP="0056557A">
      <w:pPr>
        <w:shd w:val="clear" w:color="auto" w:fill="FFFFFF"/>
        <w:tabs>
          <w:tab w:val="left" w:pos="5197"/>
        </w:tabs>
        <w:spacing w:line="288" w:lineRule="auto"/>
        <w:jc w:val="both"/>
        <w:rPr>
          <w:rFonts w:ascii="Arial" w:hAnsi="Arial" w:cs="Arial"/>
          <w:szCs w:val="24"/>
        </w:rPr>
      </w:pPr>
      <w:r w:rsidRPr="00D95106">
        <w:rPr>
          <w:rFonts w:ascii="Arial" w:hAnsi="Arial" w:cs="Arial"/>
          <w:szCs w:val="24"/>
        </w:rPr>
        <w:t>Atendiendo el recuento anterior la Sala se pregunta:</w:t>
      </w:r>
    </w:p>
    <w:p w14:paraId="2DD9BDA2" w14:textId="77777777" w:rsidR="0015683B" w:rsidRPr="00D95106" w:rsidRDefault="0015683B" w:rsidP="0056557A">
      <w:pPr>
        <w:shd w:val="clear" w:color="auto" w:fill="FFFFFF"/>
        <w:tabs>
          <w:tab w:val="left" w:pos="5197"/>
        </w:tabs>
        <w:spacing w:line="288" w:lineRule="auto"/>
        <w:contextualSpacing/>
        <w:jc w:val="both"/>
        <w:rPr>
          <w:rFonts w:ascii="Arial" w:hAnsi="Arial" w:cs="Arial"/>
          <w:color w:val="000000" w:themeColor="text1"/>
          <w:szCs w:val="24"/>
        </w:rPr>
      </w:pPr>
    </w:p>
    <w:p w14:paraId="22AB34A8" w14:textId="77777777" w:rsidR="00B13CB3" w:rsidRPr="00D95106" w:rsidRDefault="00B13CB3" w:rsidP="0056557A">
      <w:pPr>
        <w:pStyle w:val="Textoindependiente"/>
        <w:numPr>
          <w:ilvl w:val="1"/>
          <w:numId w:val="12"/>
        </w:numPr>
        <w:spacing w:line="288" w:lineRule="auto"/>
        <w:ind w:right="-93"/>
        <w:contextualSpacing/>
        <w:rPr>
          <w:iCs/>
          <w:color w:val="000000" w:themeColor="text1"/>
          <w:szCs w:val="24"/>
        </w:rPr>
      </w:pPr>
      <w:r w:rsidRPr="00D95106">
        <w:rPr>
          <w:iCs/>
          <w:color w:val="000000" w:themeColor="text1"/>
          <w:szCs w:val="24"/>
        </w:rPr>
        <w:t>¿El traslado entre regímenes pensionales producto de una omisión o error en la información brindada por el promotor de una AFP da lugar a declarar la ineficacia del traslado, contemplada en el literal b) del artículo 13 y 271 de la Ley 100/1993?</w:t>
      </w:r>
    </w:p>
    <w:p w14:paraId="1D0FCD80" w14:textId="77777777" w:rsidR="00B13CB3" w:rsidRPr="00D95106" w:rsidRDefault="00B13CB3" w:rsidP="0056557A">
      <w:pPr>
        <w:pStyle w:val="Textoindependiente"/>
        <w:numPr>
          <w:ilvl w:val="1"/>
          <w:numId w:val="12"/>
        </w:numPr>
        <w:spacing w:line="288" w:lineRule="auto"/>
        <w:ind w:right="-93"/>
        <w:contextualSpacing/>
        <w:rPr>
          <w:iCs/>
          <w:color w:val="000000" w:themeColor="text1"/>
          <w:szCs w:val="24"/>
        </w:rPr>
      </w:pPr>
      <w:r w:rsidRPr="00D95106">
        <w:rPr>
          <w:iCs/>
          <w:color w:val="000000" w:themeColor="text1"/>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14:paraId="3A8D2993" w14:textId="77777777" w:rsidR="00486A69" w:rsidRPr="00D95106" w:rsidRDefault="00486A69" w:rsidP="0056557A">
      <w:pPr>
        <w:pStyle w:val="Textoindependiente"/>
        <w:spacing w:line="288" w:lineRule="auto"/>
        <w:ind w:right="-93"/>
        <w:contextualSpacing/>
        <w:rPr>
          <w:iCs/>
          <w:color w:val="000000" w:themeColor="text1"/>
          <w:szCs w:val="24"/>
        </w:rPr>
      </w:pPr>
    </w:p>
    <w:p w14:paraId="3DB17F2C" w14:textId="2DCDBDD4" w:rsidR="0015683B" w:rsidRPr="00D95106" w:rsidRDefault="0015683B" w:rsidP="0056557A">
      <w:pPr>
        <w:pStyle w:val="Textoindependiente"/>
        <w:numPr>
          <w:ilvl w:val="0"/>
          <w:numId w:val="11"/>
        </w:numPr>
        <w:spacing w:line="288" w:lineRule="auto"/>
        <w:contextualSpacing/>
        <w:rPr>
          <w:b/>
          <w:iCs/>
          <w:szCs w:val="24"/>
        </w:rPr>
      </w:pPr>
      <w:r w:rsidRPr="00D95106">
        <w:rPr>
          <w:b/>
          <w:iCs/>
          <w:szCs w:val="24"/>
        </w:rPr>
        <w:t xml:space="preserve">Solución al problema jurídico </w:t>
      </w:r>
    </w:p>
    <w:p w14:paraId="261C7BFF" w14:textId="77777777" w:rsidR="004E055B" w:rsidRPr="00D95106" w:rsidRDefault="004E055B" w:rsidP="0056557A">
      <w:pPr>
        <w:pStyle w:val="Textoindependiente"/>
        <w:spacing w:line="288" w:lineRule="auto"/>
        <w:ind w:left="360"/>
        <w:contextualSpacing/>
        <w:rPr>
          <w:b/>
          <w:iCs/>
          <w:szCs w:val="24"/>
        </w:rPr>
      </w:pPr>
    </w:p>
    <w:p w14:paraId="393AE546" w14:textId="02294A80" w:rsidR="00D02C1F" w:rsidRPr="00D95106" w:rsidRDefault="00D02C1F" w:rsidP="0056557A">
      <w:pPr>
        <w:autoSpaceDE w:val="0"/>
        <w:autoSpaceDN w:val="0"/>
        <w:adjustRightInd w:val="0"/>
        <w:spacing w:line="288" w:lineRule="auto"/>
        <w:jc w:val="both"/>
        <w:rPr>
          <w:rFonts w:ascii="Arial" w:hAnsi="Arial" w:cs="Arial"/>
          <w:b/>
          <w:szCs w:val="24"/>
        </w:rPr>
      </w:pPr>
      <w:r w:rsidRPr="00D95106">
        <w:rPr>
          <w:rFonts w:ascii="Arial" w:hAnsi="Arial" w:cs="Arial"/>
          <w:b/>
          <w:szCs w:val="24"/>
        </w:rPr>
        <w:t>Fundamento jurídico</w:t>
      </w:r>
    </w:p>
    <w:p w14:paraId="237A8E6A" w14:textId="77777777" w:rsidR="00D02C1F" w:rsidRPr="00D95106" w:rsidRDefault="00D02C1F" w:rsidP="0056557A">
      <w:pPr>
        <w:shd w:val="clear" w:color="auto" w:fill="FFFFFF"/>
        <w:tabs>
          <w:tab w:val="left" w:pos="5197"/>
        </w:tabs>
        <w:spacing w:line="288" w:lineRule="auto"/>
        <w:contextualSpacing/>
        <w:jc w:val="both"/>
        <w:rPr>
          <w:rFonts w:ascii="Arial" w:hAnsi="Arial" w:cs="Arial"/>
          <w:b/>
          <w:color w:val="000000" w:themeColor="text1"/>
          <w:szCs w:val="24"/>
        </w:rPr>
      </w:pPr>
    </w:p>
    <w:p w14:paraId="04078304" w14:textId="77777777" w:rsidR="00194422" w:rsidRPr="00D95106" w:rsidRDefault="00194422" w:rsidP="0056557A">
      <w:pPr>
        <w:shd w:val="clear" w:color="auto" w:fill="FFFFFF"/>
        <w:tabs>
          <w:tab w:val="left" w:pos="5197"/>
        </w:tabs>
        <w:spacing w:line="288" w:lineRule="auto"/>
        <w:contextualSpacing/>
        <w:jc w:val="both"/>
        <w:rPr>
          <w:rFonts w:ascii="Arial" w:hAnsi="Arial" w:cs="Arial"/>
          <w:b/>
          <w:color w:val="000000" w:themeColor="text1"/>
          <w:szCs w:val="24"/>
        </w:rPr>
      </w:pPr>
      <w:r w:rsidRPr="00D95106">
        <w:rPr>
          <w:rFonts w:ascii="Arial" w:hAnsi="Arial" w:cs="Arial"/>
          <w:b/>
          <w:color w:val="000000" w:themeColor="text1"/>
          <w:szCs w:val="24"/>
        </w:rPr>
        <w:t>Del valor normativo de las decisiones emitidas por la Corte Suprema de Justicia</w:t>
      </w:r>
    </w:p>
    <w:p w14:paraId="2F39F0BE" w14:textId="77777777" w:rsidR="00194422" w:rsidRPr="00D95106" w:rsidRDefault="00194422" w:rsidP="0056557A">
      <w:pPr>
        <w:shd w:val="clear" w:color="auto" w:fill="FFFFFF"/>
        <w:tabs>
          <w:tab w:val="left" w:pos="5197"/>
        </w:tabs>
        <w:spacing w:line="288" w:lineRule="auto"/>
        <w:contextualSpacing/>
        <w:jc w:val="both"/>
        <w:rPr>
          <w:rFonts w:ascii="Arial" w:hAnsi="Arial" w:cs="Arial"/>
          <w:color w:val="000000" w:themeColor="text1"/>
          <w:szCs w:val="24"/>
        </w:rPr>
      </w:pPr>
    </w:p>
    <w:p w14:paraId="5CD57D04" w14:textId="77777777" w:rsidR="00194422" w:rsidRPr="00D95106" w:rsidRDefault="00194422" w:rsidP="0056557A">
      <w:pPr>
        <w:shd w:val="clear" w:color="auto" w:fill="FFFFFF"/>
        <w:tabs>
          <w:tab w:val="left" w:pos="5197"/>
        </w:tabs>
        <w:spacing w:line="288" w:lineRule="auto"/>
        <w:contextualSpacing/>
        <w:jc w:val="both"/>
        <w:rPr>
          <w:rFonts w:ascii="Arial" w:hAnsi="Arial" w:cs="Arial"/>
          <w:color w:val="000000" w:themeColor="text1"/>
          <w:szCs w:val="24"/>
        </w:rPr>
      </w:pPr>
      <w:r w:rsidRPr="00D95106">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0529F40C" w14:textId="77777777" w:rsidR="00194422" w:rsidRPr="00D95106" w:rsidRDefault="00194422" w:rsidP="0056557A">
      <w:pPr>
        <w:shd w:val="clear" w:color="auto" w:fill="FFFFFF"/>
        <w:tabs>
          <w:tab w:val="left" w:pos="5197"/>
        </w:tabs>
        <w:spacing w:line="288" w:lineRule="auto"/>
        <w:contextualSpacing/>
        <w:jc w:val="both"/>
        <w:rPr>
          <w:rFonts w:ascii="Arial" w:hAnsi="Arial" w:cs="Arial"/>
          <w:color w:val="000000" w:themeColor="text1"/>
          <w:szCs w:val="24"/>
        </w:rPr>
      </w:pPr>
    </w:p>
    <w:p w14:paraId="358431EC" w14:textId="77777777" w:rsidR="00194422" w:rsidRPr="00D95106" w:rsidRDefault="00194422" w:rsidP="0056557A">
      <w:pPr>
        <w:shd w:val="clear" w:color="auto" w:fill="FFFFFF"/>
        <w:tabs>
          <w:tab w:val="left" w:pos="5197"/>
        </w:tabs>
        <w:spacing w:line="288" w:lineRule="auto"/>
        <w:jc w:val="both"/>
        <w:rPr>
          <w:rFonts w:ascii="Arial" w:hAnsi="Arial" w:cs="Arial"/>
          <w:color w:val="000000" w:themeColor="text1"/>
          <w:szCs w:val="24"/>
        </w:rPr>
      </w:pPr>
      <w:r w:rsidRPr="00D95106">
        <w:rPr>
          <w:rFonts w:ascii="Arial" w:hAnsi="Arial" w:cs="Arial"/>
          <w:color w:val="000000" w:themeColor="text1"/>
          <w:szCs w:val="24"/>
        </w:rPr>
        <w:t>Frente al tema de la ineficacia del traslado entre administradoras de regímenes pensionales, la Corte Suprema de Justicia en reciente jurisprudencia</w:t>
      </w:r>
      <w:r w:rsidRPr="00D95106">
        <w:rPr>
          <w:rStyle w:val="Refdenotaalpie"/>
          <w:rFonts w:ascii="Arial" w:hAnsi="Arial" w:cs="Arial"/>
          <w:color w:val="000000" w:themeColor="text1"/>
          <w:szCs w:val="24"/>
        </w:rPr>
        <w:footnoteReference w:id="1"/>
      </w:r>
      <w:r w:rsidRPr="00D95106">
        <w:rPr>
          <w:rFonts w:ascii="Arial" w:hAnsi="Arial" w:cs="Arial"/>
          <w:color w:val="000000" w:themeColor="text1"/>
          <w:szCs w:val="24"/>
        </w:rPr>
        <w:t xml:space="preserve"> ha sustentado con base en los a</w:t>
      </w:r>
      <w:r w:rsidRPr="00D95106">
        <w:rPr>
          <w:rFonts w:ascii="Arial" w:hAnsi="Arial" w:cs="Arial"/>
          <w:iCs/>
          <w:szCs w:val="24"/>
        </w:rPr>
        <w:t>rtículos 13 literal b) y  271 inciso 1º de la Ley 100 de 1993, que</w:t>
      </w:r>
      <w:r w:rsidRPr="00D95106">
        <w:rPr>
          <w:rFonts w:ascii="Arial" w:hAnsi="Arial" w:cs="Arial"/>
          <w:i/>
          <w:color w:val="000000" w:themeColor="text1"/>
          <w:szCs w:val="24"/>
        </w:rPr>
        <w:t xml:space="preserve"> </w:t>
      </w:r>
      <w:r w:rsidRPr="00D95106">
        <w:rPr>
          <w:rFonts w:ascii="Arial" w:hAnsi="Arial" w:cs="Arial"/>
          <w:color w:val="000000" w:themeColor="text1"/>
          <w:szCs w:val="24"/>
        </w:rPr>
        <w:t xml:space="preserve">las AFP desde su creación tenían el deber de brindar información a los afiliados o usuarios del sistema pensional para que ellos pudieran adoptar una decisión consciente y libre sobre su futuro pensional, de lo contrario las AFP trasgredirían el derecho a la libre elección del trabajador-afiliado. </w:t>
      </w:r>
    </w:p>
    <w:p w14:paraId="2B7C021A" w14:textId="77777777" w:rsidR="00194422" w:rsidRPr="00D95106" w:rsidRDefault="00194422" w:rsidP="0056557A">
      <w:pPr>
        <w:shd w:val="clear" w:color="auto" w:fill="FFFFFF"/>
        <w:tabs>
          <w:tab w:val="left" w:pos="5197"/>
        </w:tabs>
        <w:spacing w:line="288" w:lineRule="auto"/>
        <w:jc w:val="both"/>
        <w:rPr>
          <w:rFonts w:ascii="Arial" w:hAnsi="Arial" w:cs="Arial"/>
          <w:color w:val="000000" w:themeColor="text1"/>
          <w:szCs w:val="24"/>
        </w:rPr>
      </w:pPr>
    </w:p>
    <w:p w14:paraId="4F697157" w14:textId="4DD64360" w:rsidR="00194422" w:rsidRPr="00D95106" w:rsidRDefault="00194422" w:rsidP="0056557A">
      <w:pPr>
        <w:shd w:val="clear" w:color="auto" w:fill="FFFFFF"/>
        <w:tabs>
          <w:tab w:val="left" w:pos="5197"/>
        </w:tabs>
        <w:spacing w:line="288" w:lineRule="auto"/>
        <w:jc w:val="both"/>
        <w:rPr>
          <w:rFonts w:ascii="Arial" w:hAnsi="Arial" w:cs="Arial"/>
          <w:i/>
          <w:color w:val="000000" w:themeColor="text1"/>
          <w:szCs w:val="24"/>
        </w:rPr>
      </w:pPr>
      <w:r w:rsidRPr="00D95106">
        <w:rPr>
          <w:rFonts w:ascii="Arial" w:hAnsi="Arial" w:cs="Arial"/>
          <w:color w:val="000000" w:themeColor="text1"/>
          <w:szCs w:val="24"/>
        </w:rPr>
        <w:t xml:space="preserve">Concretamente, la aludida </w:t>
      </w:r>
      <w:r w:rsidR="00215FF6" w:rsidRPr="00D95106">
        <w:rPr>
          <w:rFonts w:ascii="Arial" w:hAnsi="Arial" w:cs="Arial"/>
          <w:color w:val="000000" w:themeColor="text1"/>
          <w:szCs w:val="24"/>
        </w:rPr>
        <w:t xml:space="preserve">Corte </w:t>
      </w:r>
      <w:r w:rsidRPr="00D95106">
        <w:rPr>
          <w:rFonts w:ascii="Arial" w:hAnsi="Arial" w:cs="Arial"/>
          <w:color w:val="000000" w:themeColor="text1"/>
          <w:szCs w:val="24"/>
        </w:rPr>
        <w:t xml:space="preserve">ha explicado que la acción ordinaria laboral impetrada ante una afiliación desinformada, es la ineficacia de este o la exclusión de todo efecto jurídico de tal acto, por lo que resulta errado abordar su estudio a través </w:t>
      </w:r>
      <w:r w:rsidRPr="00D95106">
        <w:rPr>
          <w:rFonts w:ascii="Arial" w:hAnsi="Arial" w:cs="Arial"/>
          <w:color w:val="000000" w:themeColor="text1"/>
          <w:szCs w:val="24"/>
        </w:rPr>
        <w:lastRenderedPageBreak/>
        <w:t>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w:t>
      </w:r>
    </w:p>
    <w:p w14:paraId="1B2E04E7" w14:textId="77777777" w:rsidR="00194422" w:rsidRPr="00D95106" w:rsidRDefault="00194422" w:rsidP="0056557A">
      <w:pPr>
        <w:shd w:val="clear" w:color="auto" w:fill="FFFFFF"/>
        <w:tabs>
          <w:tab w:val="left" w:pos="5197"/>
        </w:tabs>
        <w:spacing w:line="288" w:lineRule="auto"/>
        <w:jc w:val="both"/>
        <w:rPr>
          <w:rFonts w:ascii="Arial" w:hAnsi="Arial" w:cs="Arial"/>
          <w:i/>
          <w:color w:val="000000" w:themeColor="text1"/>
          <w:szCs w:val="24"/>
        </w:rPr>
      </w:pPr>
    </w:p>
    <w:p w14:paraId="4F7ED3C8" w14:textId="77777777" w:rsidR="00194422" w:rsidRPr="00D95106" w:rsidRDefault="00194422" w:rsidP="0056557A">
      <w:pPr>
        <w:spacing w:line="288" w:lineRule="auto"/>
        <w:jc w:val="both"/>
        <w:rPr>
          <w:rFonts w:ascii="Arial" w:hAnsi="Arial" w:cs="Arial"/>
          <w:color w:val="000000" w:themeColor="text1"/>
          <w:szCs w:val="24"/>
        </w:rPr>
      </w:pPr>
      <w:r w:rsidRPr="00D95106">
        <w:rPr>
          <w:rFonts w:ascii="Arial" w:hAnsi="Arial" w:cs="Arial"/>
          <w:color w:val="000000" w:themeColor="text1"/>
          <w:szCs w:val="24"/>
        </w:rPr>
        <w:t>No obstante, tal entendimiento de la norma jurídica invocada por la Corte Suprema, no se comparte por la Sala Mayoritaria de esta colegiatura, tal como se ha advertido a partir de las aclaraciones de voto de uno de sus integrantes, en tanto que la acción a incoar en realidad corresponde a la resarcitoria de perjuicios.</w:t>
      </w:r>
    </w:p>
    <w:p w14:paraId="4F8F6C88" w14:textId="77777777" w:rsidR="00194422" w:rsidRPr="00D95106" w:rsidRDefault="00194422" w:rsidP="0056557A">
      <w:pPr>
        <w:spacing w:line="288" w:lineRule="auto"/>
        <w:jc w:val="both"/>
        <w:rPr>
          <w:rFonts w:ascii="Arial" w:hAnsi="Arial" w:cs="Arial"/>
          <w:color w:val="000000" w:themeColor="text1"/>
          <w:szCs w:val="24"/>
        </w:rPr>
      </w:pPr>
    </w:p>
    <w:p w14:paraId="4C43852E" w14:textId="77777777" w:rsidR="00194422" w:rsidRPr="00D95106" w:rsidRDefault="00194422" w:rsidP="0056557A">
      <w:pPr>
        <w:spacing w:line="288" w:lineRule="auto"/>
        <w:jc w:val="both"/>
        <w:rPr>
          <w:rFonts w:ascii="Arial" w:hAnsi="Arial" w:cs="Arial"/>
          <w:color w:val="000000" w:themeColor="text1"/>
          <w:szCs w:val="24"/>
        </w:rPr>
      </w:pPr>
      <w:r w:rsidRPr="00D95106">
        <w:rPr>
          <w:rFonts w:ascii="Arial" w:hAnsi="Arial" w:cs="Arial"/>
          <w:color w:val="000000" w:themeColor="text1"/>
          <w:szCs w:val="24"/>
        </w:rPr>
        <w:t>Así, de conformidad con el art. 167 del C.G.P., corresponde a la parte probar, demandante o demandado, el supuesto de hecho de la norma que consagra el efecto jurídico perseguido.</w:t>
      </w:r>
    </w:p>
    <w:p w14:paraId="55592581" w14:textId="77777777" w:rsidR="00194422" w:rsidRPr="00D95106" w:rsidRDefault="00194422" w:rsidP="0056557A">
      <w:pPr>
        <w:spacing w:line="288" w:lineRule="auto"/>
        <w:jc w:val="both"/>
        <w:rPr>
          <w:rFonts w:ascii="Arial" w:hAnsi="Arial" w:cs="Arial"/>
          <w:color w:val="000000" w:themeColor="text1"/>
          <w:szCs w:val="24"/>
        </w:rPr>
      </w:pPr>
    </w:p>
    <w:p w14:paraId="5800A000" w14:textId="3461818B" w:rsidR="00194422" w:rsidRPr="00D95106" w:rsidRDefault="00194422" w:rsidP="0056557A">
      <w:pPr>
        <w:spacing w:line="288" w:lineRule="auto"/>
        <w:jc w:val="both"/>
        <w:rPr>
          <w:rFonts w:ascii="Arial" w:hAnsi="Arial" w:cs="Arial"/>
          <w:color w:val="000000" w:themeColor="text1"/>
          <w:szCs w:val="24"/>
        </w:rPr>
      </w:pPr>
      <w:r w:rsidRPr="00D95106">
        <w:rPr>
          <w:rFonts w:ascii="Arial" w:hAnsi="Arial" w:cs="Arial"/>
          <w:color w:val="000000" w:themeColor="text1"/>
          <w:szCs w:val="24"/>
        </w:rPr>
        <w:t xml:space="preserve">En esa medida, conviene recordar cuál es el supuesto de hecho contenido en la norma rectora invocada por la </w:t>
      </w:r>
      <w:r w:rsidR="00215FF6" w:rsidRPr="00D95106">
        <w:rPr>
          <w:rFonts w:ascii="Arial" w:hAnsi="Arial" w:cs="Arial"/>
          <w:color w:val="000000" w:themeColor="text1"/>
          <w:szCs w:val="24"/>
        </w:rPr>
        <w:t xml:space="preserve">Corte </w:t>
      </w:r>
      <w:r w:rsidRPr="00D95106">
        <w:rPr>
          <w:rFonts w:ascii="Arial" w:hAnsi="Arial" w:cs="Arial"/>
          <w:color w:val="000000" w:themeColor="text1"/>
          <w:szCs w:val="24"/>
        </w:rPr>
        <w:t>- literal b) del art. 13 y 271 de la Ley 100/93-. Dicha normativa exige que se pruebe que:</w:t>
      </w:r>
    </w:p>
    <w:p w14:paraId="2B070D8C" w14:textId="77777777" w:rsidR="00194422" w:rsidRPr="00D95106" w:rsidRDefault="00194422" w:rsidP="0056557A">
      <w:pPr>
        <w:spacing w:line="288" w:lineRule="auto"/>
        <w:jc w:val="both"/>
        <w:rPr>
          <w:rFonts w:ascii="Arial" w:hAnsi="Arial" w:cs="Arial"/>
          <w:color w:val="000000" w:themeColor="text1"/>
          <w:szCs w:val="24"/>
        </w:rPr>
      </w:pPr>
    </w:p>
    <w:p w14:paraId="489F7CC4" w14:textId="77777777" w:rsidR="00194422" w:rsidRPr="00D95106" w:rsidRDefault="00194422" w:rsidP="0056557A">
      <w:pPr>
        <w:ind w:left="426" w:right="418"/>
        <w:jc w:val="both"/>
        <w:rPr>
          <w:rFonts w:ascii="Arial" w:hAnsi="Arial" w:cs="Arial"/>
          <w:i/>
          <w:color w:val="000000" w:themeColor="text1"/>
          <w:sz w:val="22"/>
          <w:szCs w:val="24"/>
        </w:rPr>
      </w:pPr>
      <w:r w:rsidRPr="00D95106">
        <w:rPr>
          <w:rFonts w:ascii="Arial" w:hAnsi="Arial" w:cs="Arial"/>
          <w:i/>
          <w:color w:val="000000" w:themeColor="text1"/>
          <w:sz w:val="22"/>
          <w:szCs w:val="24"/>
        </w:rPr>
        <w:t xml:space="preserve">“el empleador o cualquier persona natural o jurídica que desconozca este derecho </w:t>
      </w:r>
      <w:r w:rsidRPr="00D95106">
        <w:rPr>
          <w:rFonts w:ascii="Arial" w:hAnsi="Arial" w:cs="Arial"/>
          <w:color w:val="000000" w:themeColor="text1"/>
          <w:sz w:val="22"/>
          <w:szCs w:val="24"/>
        </w:rPr>
        <w:t xml:space="preserve">[la selección de régimen pensional libre y voluntaria] </w:t>
      </w:r>
      <w:r w:rsidRPr="00D95106">
        <w:rPr>
          <w:rFonts w:ascii="Arial" w:hAnsi="Arial" w:cs="Arial"/>
          <w:i/>
          <w:color w:val="000000" w:themeColor="text1"/>
          <w:sz w:val="22"/>
          <w:szCs w:val="24"/>
        </w:rPr>
        <w:t>en cualquier forma, se hará acreedor de las sanciones…”.</w:t>
      </w:r>
    </w:p>
    <w:p w14:paraId="29823AEE" w14:textId="77777777" w:rsidR="00194422" w:rsidRPr="00D95106" w:rsidRDefault="00194422" w:rsidP="0056557A">
      <w:pPr>
        <w:spacing w:line="288" w:lineRule="auto"/>
        <w:ind w:left="360"/>
        <w:jc w:val="both"/>
        <w:rPr>
          <w:rFonts w:ascii="Arial" w:hAnsi="Arial" w:cs="Arial"/>
          <w:i/>
          <w:color w:val="000000" w:themeColor="text1"/>
          <w:szCs w:val="24"/>
        </w:rPr>
      </w:pPr>
    </w:p>
    <w:p w14:paraId="041B7A22" w14:textId="77777777" w:rsidR="00194422" w:rsidRPr="00D95106" w:rsidRDefault="00194422" w:rsidP="0056557A">
      <w:pPr>
        <w:spacing w:line="288" w:lineRule="auto"/>
        <w:jc w:val="both"/>
        <w:rPr>
          <w:rFonts w:ascii="Arial" w:hAnsi="Arial" w:cs="Arial"/>
          <w:color w:val="000000" w:themeColor="text1"/>
          <w:szCs w:val="24"/>
        </w:rPr>
      </w:pPr>
      <w:r w:rsidRPr="00D95106">
        <w:rPr>
          <w:rFonts w:ascii="Arial" w:hAnsi="Arial" w:cs="Arial"/>
          <w:color w:val="000000" w:themeColor="text1"/>
          <w:szCs w:val="24"/>
        </w:rPr>
        <w:t>Sanciones que se encuentran en el artículo 271 anunciado y que concretamente indica:</w:t>
      </w:r>
    </w:p>
    <w:p w14:paraId="2D290A46" w14:textId="77777777" w:rsidR="00194422" w:rsidRPr="00D95106" w:rsidRDefault="00194422" w:rsidP="0056557A">
      <w:pPr>
        <w:spacing w:line="288" w:lineRule="auto"/>
        <w:jc w:val="both"/>
        <w:rPr>
          <w:rFonts w:ascii="Arial" w:hAnsi="Arial" w:cs="Arial"/>
          <w:color w:val="000000" w:themeColor="text1"/>
          <w:szCs w:val="24"/>
        </w:rPr>
      </w:pPr>
    </w:p>
    <w:p w14:paraId="1A7BE172" w14:textId="77777777" w:rsidR="00194422" w:rsidRPr="00D95106" w:rsidRDefault="00194422" w:rsidP="0056557A">
      <w:pPr>
        <w:ind w:left="426" w:right="418"/>
        <w:jc w:val="both"/>
        <w:rPr>
          <w:rFonts w:ascii="Arial" w:hAnsi="Arial" w:cs="Arial"/>
          <w:i/>
          <w:color w:val="000000" w:themeColor="text1"/>
          <w:sz w:val="22"/>
          <w:szCs w:val="24"/>
        </w:rPr>
      </w:pPr>
      <w:r w:rsidRPr="00D95106">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1D8486DE" w14:textId="77777777" w:rsidR="00194422" w:rsidRPr="00D95106" w:rsidRDefault="00194422" w:rsidP="0056557A">
      <w:pPr>
        <w:spacing w:line="288" w:lineRule="auto"/>
        <w:jc w:val="both"/>
        <w:rPr>
          <w:rFonts w:ascii="Arial" w:hAnsi="Arial" w:cs="Arial"/>
          <w:color w:val="000000" w:themeColor="text1"/>
          <w:szCs w:val="24"/>
        </w:rPr>
      </w:pPr>
    </w:p>
    <w:p w14:paraId="0036ABD3" w14:textId="77777777" w:rsidR="00194422" w:rsidRPr="00D95106" w:rsidRDefault="00194422" w:rsidP="0056557A">
      <w:pPr>
        <w:spacing w:line="288" w:lineRule="auto"/>
        <w:jc w:val="both"/>
        <w:rPr>
          <w:rFonts w:ascii="Arial" w:hAnsi="Arial" w:cs="Arial"/>
          <w:color w:val="000000" w:themeColor="text1"/>
          <w:szCs w:val="24"/>
        </w:rPr>
      </w:pPr>
      <w:r w:rsidRPr="00D95106">
        <w:rPr>
          <w:rFonts w:ascii="Arial" w:hAnsi="Arial" w:cs="Arial"/>
          <w:color w:val="000000" w:themeColor="text1"/>
          <w:szCs w:val="24"/>
        </w:rPr>
        <w:t>Una vez acreditado tal supuesto de hecho, entonces ocurrirá el efecto jurídico que la norma consagra como es que “</w:t>
      </w:r>
      <w:r w:rsidRPr="00A74C7E">
        <w:rPr>
          <w:rFonts w:ascii="Arial" w:hAnsi="Arial" w:cs="Arial"/>
          <w:i/>
          <w:color w:val="000000" w:themeColor="text1"/>
          <w:sz w:val="22"/>
          <w:szCs w:val="24"/>
        </w:rPr>
        <w:t>la afiliación respectiva quedará sin efecto y podrá realizarse nuevamente en forma libre y espontánea por parte del trabajador</w:t>
      </w:r>
      <w:r w:rsidRPr="00D95106">
        <w:rPr>
          <w:rFonts w:ascii="Arial" w:hAnsi="Arial" w:cs="Arial"/>
          <w:i/>
          <w:color w:val="000000" w:themeColor="text1"/>
          <w:szCs w:val="24"/>
        </w:rPr>
        <w:t>”,</w:t>
      </w:r>
      <w:r w:rsidRPr="00D95106">
        <w:rPr>
          <w:rFonts w:ascii="Arial" w:hAnsi="Arial" w:cs="Arial"/>
          <w:color w:val="000000" w:themeColor="text1"/>
          <w:szCs w:val="24"/>
        </w:rPr>
        <w:t xml:space="preserve"> es decir, dará lugar a la acción de ineficacia de la afiliación pensional.</w:t>
      </w:r>
    </w:p>
    <w:p w14:paraId="4C6A6178" w14:textId="77777777" w:rsidR="00194422" w:rsidRPr="00D95106" w:rsidRDefault="00194422" w:rsidP="0056557A">
      <w:pPr>
        <w:spacing w:line="288" w:lineRule="auto"/>
        <w:jc w:val="both"/>
        <w:rPr>
          <w:rFonts w:ascii="Arial" w:hAnsi="Arial" w:cs="Arial"/>
          <w:color w:val="000000" w:themeColor="text1"/>
          <w:szCs w:val="24"/>
        </w:rPr>
      </w:pPr>
    </w:p>
    <w:p w14:paraId="282A0BB1" w14:textId="77777777" w:rsidR="00194422" w:rsidRPr="00D95106" w:rsidRDefault="00194422" w:rsidP="0056557A">
      <w:pPr>
        <w:spacing w:line="288" w:lineRule="auto"/>
        <w:jc w:val="both"/>
        <w:rPr>
          <w:rFonts w:ascii="Arial" w:hAnsi="Arial" w:cs="Arial"/>
          <w:i/>
          <w:iCs/>
          <w:szCs w:val="24"/>
        </w:rPr>
      </w:pPr>
      <w:r w:rsidRPr="00D95106">
        <w:rPr>
          <w:rFonts w:ascii="Arial" w:hAnsi="Arial" w:cs="Arial"/>
          <w:color w:val="000000" w:themeColor="text1"/>
          <w:szCs w:val="24"/>
        </w:rPr>
        <w:t xml:space="preserve">El anterior derrotero normativo permite evidenciar que los aludidos artículos contienen un hecho generador de la ineficacia, el que debe provenir de un sujeto calificado como es </w:t>
      </w:r>
      <w:r w:rsidRPr="00D95106">
        <w:rPr>
          <w:rFonts w:ascii="Arial" w:hAnsi="Arial" w:cs="Arial"/>
          <w:iCs/>
          <w:szCs w:val="24"/>
        </w:rPr>
        <w:t>“</w:t>
      </w:r>
      <w:r w:rsidRPr="00A74C7E">
        <w:rPr>
          <w:rFonts w:ascii="Arial" w:hAnsi="Arial" w:cs="Arial"/>
          <w:i/>
          <w:iCs/>
          <w:sz w:val="22"/>
          <w:szCs w:val="24"/>
        </w:rPr>
        <w:t>El empleador o cualquier persona natural o jurídica”</w:t>
      </w:r>
      <w:r w:rsidRPr="00A74C7E">
        <w:rPr>
          <w:rFonts w:ascii="Arial" w:hAnsi="Arial" w:cs="Arial"/>
          <w:iCs/>
          <w:sz w:val="22"/>
          <w:szCs w:val="24"/>
        </w:rPr>
        <w:t xml:space="preserve"> o “</w:t>
      </w:r>
      <w:r w:rsidRPr="00A74C7E">
        <w:rPr>
          <w:rFonts w:ascii="Arial" w:hAnsi="Arial" w:cs="Arial"/>
          <w:i/>
          <w:iCs/>
          <w:sz w:val="22"/>
          <w:szCs w:val="24"/>
        </w:rPr>
        <w:t>El empleador, y en general cualquier persona natural o jurídica</w:t>
      </w:r>
      <w:r w:rsidRPr="00D95106">
        <w:rPr>
          <w:rFonts w:ascii="Arial" w:hAnsi="Arial" w:cs="Arial"/>
          <w:i/>
          <w:iCs/>
          <w:szCs w:val="24"/>
        </w:rPr>
        <w:t xml:space="preserve">”. </w:t>
      </w:r>
    </w:p>
    <w:p w14:paraId="700F5805" w14:textId="77777777" w:rsidR="00194422" w:rsidRPr="00D95106" w:rsidRDefault="00194422" w:rsidP="0056557A">
      <w:pPr>
        <w:spacing w:line="288" w:lineRule="auto"/>
        <w:jc w:val="both"/>
        <w:rPr>
          <w:rFonts w:ascii="Arial" w:hAnsi="Arial" w:cs="Arial"/>
          <w:i/>
          <w:iCs/>
          <w:szCs w:val="24"/>
        </w:rPr>
      </w:pPr>
    </w:p>
    <w:p w14:paraId="17B0A60A" w14:textId="77777777" w:rsidR="00194422" w:rsidRPr="00D95106" w:rsidRDefault="00194422" w:rsidP="0056557A">
      <w:pPr>
        <w:spacing w:line="288" w:lineRule="auto"/>
        <w:jc w:val="both"/>
        <w:rPr>
          <w:rFonts w:ascii="Arial" w:hAnsi="Arial" w:cs="Arial"/>
          <w:iCs/>
          <w:szCs w:val="24"/>
        </w:rPr>
      </w:pPr>
      <w:r w:rsidRPr="00D95106">
        <w:rPr>
          <w:rFonts w:ascii="Arial" w:hAnsi="Arial" w:cs="Arial"/>
          <w:iCs/>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de tal normativa, sino la Ley 100 de 1993 en general, permite advertir que en realidad tal supuesto de hecho solo puede provenir del empleador o “</w:t>
      </w:r>
      <w:r w:rsidRPr="00D95106">
        <w:rPr>
          <w:rFonts w:ascii="Arial" w:hAnsi="Arial" w:cs="Arial"/>
          <w:i/>
          <w:iCs/>
          <w:szCs w:val="24"/>
        </w:rPr>
        <w:t>cualquier persona”</w:t>
      </w:r>
      <w:r w:rsidRPr="00D95106">
        <w:rPr>
          <w:rFonts w:ascii="Arial" w:hAnsi="Arial" w:cs="Arial"/>
          <w:iCs/>
          <w:szCs w:val="24"/>
        </w:rPr>
        <w:t xml:space="preserve"> afín con esa denominación, es decir, de alguien que </w:t>
      </w:r>
      <w:r w:rsidRPr="00D95106">
        <w:rPr>
          <w:rFonts w:ascii="Arial" w:hAnsi="Arial" w:cs="Arial"/>
          <w:iCs/>
          <w:szCs w:val="24"/>
        </w:rPr>
        <w:lastRenderedPageBreak/>
        <w:t xml:space="preserve">pueda usurpar la voluntad del trabajador por tener una posición subordinante frente a este, o director de sus actos. </w:t>
      </w:r>
    </w:p>
    <w:p w14:paraId="6EDE8899"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6A2B53E9"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Con la claridad anterior y teniendo en cuenta que de conformidad con el artículo 31 del Código Civil, ninguna persona podrá realizar analogías de leyes prohibitivas, todo ello para extender sus consecuencias a eventos que la norma no regula, y en tanto el artículo 271 contempla una sanción, no podrá hacerse símil alguno para derivar de allí, un sujeto que el legislador no contempló.</w:t>
      </w:r>
    </w:p>
    <w:p w14:paraId="1B3EF514"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594CB52A" w14:textId="0667B0EB"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Además,</w:t>
      </w:r>
      <w:r w:rsidRPr="00D95106">
        <w:rPr>
          <w:rFonts w:ascii="Arial" w:hAnsi="Arial" w:cs="Arial"/>
          <w:b/>
          <w:i/>
          <w:iCs/>
          <w:szCs w:val="24"/>
        </w:rPr>
        <w:t xml:space="preserve"> </w:t>
      </w:r>
      <w:r w:rsidRPr="00D95106">
        <w:rPr>
          <w:rFonts w:ascii="Arial" w:hAnsi="Arial" w:cs="Arial"/>
          <w:iCs/>
          <w:szCs w:val="24"/>
        </w:rPr>
        <w:t>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w:t>
      </w:r>
      <w:r w:rsidR="00ED2AB9">
        <w:rPr>
          <w:rFonts w:ascii="Arial" w:hAnsi="Arial" w:cs="Arial"/>
          <w:iCs/>
          <w:szCs w:val="24"/>
        </w:rPr>
        <w:t xml:space="preserve"> constitucionales – art. 48 C.P</w:t>
      </w:r>
      <w:r w:rsidRPr="00D95106">
        <w:rPr>
          <w:rFonts w:ascii="Arial" w:hAnsi="Arial" w:cs="Arial"/>
          <w:iCs/>
          <w:szCs w:val="24"/>
        </w:rPr>
        <w:t xml:space="preserve">. – y la apertura económica que acaecía para la época, a través de la cual se permitió a particulares prestar servicios públicos. </w:t>
      </w:r>
    </w:p>
    <w:p w14:paraId="6ECEEF3C"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13BCCEFB" w14:textId="76D4664A"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 de naturaleza particular </w:t>
      </w:r>
      <w:r w:rsidR="00ED2AB9">
        <w:rPr>
          <w:rFonts w:ascii="Arial" w:hAnsi="Arial" w:cs="Arial"/>
          <w:iCs/>
          <w:szCs w:val="24"/>
        </w:rPr>
        <w:t>–</w:t>
      </w:r>
      <w:r w:rsidRPr="00D95106">
        <w:rPr>
          <w:rFonts w:ascii="Arial" w:hAnsi="Arial" w:cs="Arial"/>
          <w:iCs/>
          <w:szCs w:val="24"/>
        </w:rPr>
        <w:t xml:space="preserve">; por lo tanto, no podría interpretarse que el literal b) del artículo 13 y 271 de la Ley 100/93 cuando se refiere al </w:t>
      </w:r>
      <w:r w:rsidRPr="00D95106">
        <w:rPr>
          <w:rFonts w:ascii="Arial" w:hAnsi="Arial" w:cs="Arial"/>
          <w:i/>
          <w:iCs/>
          <w:szCs w:val="24"/>
        </w:rPr>
        <w:t>empleador o cualquier persona</w:t>
      </w:r>
      <w:r w:rsidRPr="00D95106">
        <w:rPr>
          <w:rFonts w:ascii="Arial" w:hAnsi="Arial" w:cs="Arial"/>
          <w:iCs/>
          <w:szCs w:val="24"/>
        </w:rPr>
        <w:t xml:space="preserve"> </w:t>
      </w:r>
      <w:r w:rsidRPr="00D95106">
        <w:rPr>
          <w:rFonts w:ascii="Arial" w:hAnsi="Arial" w:cs="Arial"/>
          <w:i/>
          <w:iCs/>
          <w:szCs w:val="24"/>
        </w:rPr>
        <w:t>natural o jurídica</w:t>
      </w:r>
      <w:r w:rsidRPr="00D95106">
        <w:rPr>
          <w:rFonts w:ascii="Arial" w:hAnsi="Arial" w:cs="Arial"/>
          <w:iCs/>
          <w:szCs w:val="24"/>
        </w:rPr>
        <w:t xml:space="preserve">, lo extienda a la AFP, pues dado lo dicho, de haber querido regular su comportamiento en este sentido, siendo el nuevo actor de la Ley 100/93, no lo hubiere omitido, y por el contrario expresamente el legislador lo hubiese señalado como generador de la ineficacia de los traslados entre regímenes pensionales. </w:t>
      </w:r>
    </w:p>
    <w:p w14:paraId="4D5D222A"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08F47AD4" w14:textId="23101CC3"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 xml:space="preserve">Lo anterior cobra mayor relevancia si en cuenta se tiene que las normas invocadas exigen que en el supuesto de hecho en el que participa un sujeto calificado, este </w:t>
      </w:r>
      <w:r w:rsidRPr="00D95106">
        <w:rPr>
          <w:rFonts w:ascii="Arial" w:hAnsi="Arial" w:cs="Arial"/>
          <w:b/>
          <w:i/>
          <w:iCs/>
          <w:szCs w:val="24"/>
        </w:rPr>
        <w:t>desconozca, impida o atente</w:t>
      </w:r>
      <w:r w:rsidRPr="00D95106">
        <w:rPr>
          <w:rFonts w:ascii="Arial" w:hAnsi="Arial" w:cs="Arial"/>
          <w:iCs/>
          <w:szCs w:val="24"/>
        </w:rPr>
        <w:t xml:space="preserve"> contra el derecho libre y voluntario </w:t>
      </w:r>
      <w:r w:rsidR="006D4F94" w:rsidRPr="00D95106">
        <w:rPr>
          <w:rFonts w:ascii="Arial" w:hAnsi="Arial" w:cs="Arial"/>
          <w:iCs/>
          <w:szCs w:val="24"/>
        </w:rPr>
        <w:t xml:space="preserve">de elegir el régimen pensional, </w:t>
      </w:r>
      <w:r w:rsidRPr="00D95106">
        <w:rPr>
          <w:rFonts w:ascii="Arial" w:hAnsi="Arial" w:cs="Arial"/>
          <w:iCs/>
          <w:szCs w:val="24"/>
        </w:rPr>
        <w:t xml:space="preserve">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del trabajador. </w:t>
      </w:r>
    </w:p>
    <w:p w14:paraId="2618DB21"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229B38BD"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37DC6388" w14:textId="77777777" w:rsidR="00194422" w:rsidRPr="00D95106" w:rsidRDefault="00194422" w:rsidP="0056557A">
      <w:pPr>
        <w:shd w:val="clear" w:color="auto" w:fill="FFFFFF"/>
        <w:tabs>
          <w:tab w:val="left" w:pos="5197"/>
        </w:tabs>
        <w:spacing w:line="288" w:lineRule="auto"/>
        <w:jc w:val="both"/>
        <w:rPr>
          <w:rFonts w:ascii="Arial" w:hAnsi="Arial" w:cs="Arial"/>
          <w:color w:val="000000"/>
          <w:szCs w:val="24"/>
          <w:lang w:val="es-ES"/>
        </w:rPr>
      </w:pPr>
    </w:p>
    <w:p w14:paraId="1CE32D14"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w:t>
      </w:r>
      <w:r w:rsidRPr="00D95106">
        <w:rPr>
          <w:rFonts w:ascii="Arial" w:hAnsi="Arial" w:cs="Arial"/>
          <w:color w:val="000000"/>
          <w:szCs w:val="24"/>
          <w:lang w:val="es-ES"/>
        </w:rPr>
        <w:lastRenderedPageBreak/>
        <w:t xml:space="preserve">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5245157B"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3F55F8E2"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b/>
          <w:i/>
          <w:iCs/>
          <w:szCs w:val="24"/>
        </w:rPr>
        <w:t>ii)</w:t>
      </w:r>
      <w:r w:rsidRPr="00D95106">
        <w:rPr>
          <w:rFonts w:ascii="Arial" w:hAnsi="Arial" w:cs="Arial"/>
          <w:iCs/>
          <w:szCs w:val="24"/>
        </w:rPr>
        <w:t xml:space="preserve"> Ahora la posición ya descrita de ninguna manera deja al garete a los afiliados que se trasladaron de régimen debido a la omisión del deber de información de las AFP (error u omisión), y que ahora, por lo general 20 años después, reclaman ante la administración de justicia, no porque se encuentre inconformes con los beneficios del RAIS como la garantía de pensión mínima, la devolución de saldos, excedentes de libre disponibilidad, aportes voluntarios, o que las sumas acumuladas en la cuenta de ahorro individual hagan parte de la masa </w:t>
      </w:r>
      <w:proofErr w:type="spellStart"/>
      <w:r w:rsidRPr="00D95106">
        <w:rPr>
          <w:rFonts w:ascii="Arial" w:hAnsi="Arial" w:cs="Arial"/>
          <w:iCs/>
          <w:szCs w:val="24"/>
        </w:rPr>
        <w:t>sucesoral</w:t>
      </w:r>
      <w:proofErr w:type="spellEnd"/>
      <w:r w:rsidRPr="00D95106">
        <w:rPr>
          <w:rFonts w:ascii="Arial" w:hAnsi="Arial" w:cs="Arial"/>
          <w:iCs/>
          <w:szCs w:val="24"/>
        </w:rPr>
        <w:t>, sino porque el valor de la mesada pensional esperada no es lo suficientemente alto como desean para vivir durante su ancianidad, en contraste con la que recibiría de haber permanecido o escogido el RPM.</w:t>
      </w:r>
    </w:p>
    <w:p w14:paraId="6039D0D7"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250DA0AC" w14:textId="410656EA"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 xml:space="preserve">Para remediar tal inconformidad el legislador contempló una acción diferente como es el resarcimiento de perjuicios, prescrito en el artículo 10 del Decreto 720 de 1994 – vigente para la época de los hechos </w:t>
      </w:r>
      <w:r w:rsidR="00824A55">
        <w:rPr>
          <w:rFonts w:ascii="Arial" w:hAnsi="Arial" w:cs="Arial"/>
          <w:iCs/>
          <w:szCs w:val="24"/>
        </w:rPr>
        <w:t>–</w:t>
      </w:r>
      <w:r w:rsidRPr="00D95106">
        <w:rPr>
          <w:rFonts w:ascii="Arial" w:hAnsi="Arial" w:cs="Arial"/>
          <w:iCs/>
          <w:szCs w:val="24"/>
        </w:rPr>
        <w:t>, que establece:</w:t>
      </w:r>
    </w:p>
    <w:p w14:paraId="16D9B4CA"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38F955BE" w14:textId="77777777" w:rsidR="00194422" w:rsidRPr="00A74C7E" w:rsidRDefault="00194422" w:rsidP="0056557A">
      <w:pPr>
        <w:ind w:left="426" w:right="418"/>
        <w:jc w:val="both"/>
        <w:rPr>
          <w:rFonts w:ascii="Arial" w:hAnsi="Arial" w:cs="Arial"/>
          <w:i/>
          <w:color w:val="000000" w:themeColor="text1"/>
          <w:sz w:val="22"/>
          <w:szCs w:val="24"/>
        </w:rPr>
      </w:pPr>
      <w:r w:rsidRPr="00A74C7E">
        <w:rPr>
          <w:rFonts w:ascii="Arial" w:hAnsi="Arial" w:cs="Arial"/>
          <w:i/>
          <w:color w:val="000000" w:themeColor="text1"/>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505B21E1" w14:textId="77777777" w:rsidR="00194422" w:rsidRPr="00D95106" w:rsidRDefault="00194422" w:rsidP="0056557A">
      <w:pPr>
        <w:shd w:val="clear" w:color="auto" w:fill="FFFFFF"/>
        <w:tabs>
          <w:tab w:val="left" w:pos="5197"/>
        </w:tabs>
        <w:spacing w:line="288" w:lineRule="auto"/>
        <w:ind w:left="993" w:right="1750"/>
        <w:jc w:val="both"/>
        <w:rPr>
          <w:rFonts w:ascii="Arial" w:hAnsi="Arial" w:cs="Arial"/>
          <w:color w:val="000000"/>
          <w:szCs w:val="24"/>
          <w:lang w:val="es-ES"/>
        </w:rPr>
      </w:pPr>
    </w:p>
    <w:p w14:paraId="532F95FF" w14:textId="77777777" w:rsidR="00194422" w:rsidRPr="00D95106" w:rsidRDefault="00194422" w:rsidP="0056557A">
      <w:pPr>
        <w:shd w:val="clear" w:color="auto" w:fill="FFFFFF"/>
        <w:tabs>
          <w:tab w:val="left" w:pos="5197"/>
        </w:tabs>
        <w:spacing w:line="288" w:lineRule="auto"/>
        <w:jc w:val="both"/>
        <w:rPr>
          <w:rFonts w:ascii="Arial" w:hAnsi="Arial" w:cs="Arial"/>
          <w:color w:val="000000"/>
          <w:szCs w:val="24"/>
          <w:lang w:val="es-ES"/>
        </w:rPr>
      </w:pPr>
      <w:r w:rsidRPr="00D95106">
        <w:rPr>
          <w:rFonts w:ascii="Arial" w:hAnsi="Arial" w:cs="Arial"/>
          <w:color w:val="000000"/>
          <w:szCs w:val="24"/>
          <w:lang w:val="es-ES"/>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639A28A2" w14:textId="77777777" w:rsidR="00194422" w:rsidRPr="00D95106" w:rsidRDefault="00194422" w:rsidP="0056557A">
      <w:pPr>
        <w:shd w:val="clear" w:color="auto" w:fill="FFFFFF"/>
        <w:tabs>
          <w:tab w:val="left" w:pos="5197"/>
        </w:tabs>
        <w:spacing w:line="288" w:lineRule="auto"/>
        <w:jc w:val="both"/>
        <w:rPr>
          <w:rFonts w:ascii="Arial" w:hAnsi="Arial" w:cs="Arial"/>
          <w:color w:val="000000"/>
          <w:szCs w:val="24"/>
          <w:lang w:val="es-ES"/>
        </w:rPr>
      </w:pPr>
    </w:p>
    <w:p w14:paraId="2C15B641" w14:textId="5FE05AE3" w:rsidR="00194422" w:rsidRPr="00D95106" w:rsidRDefault="00194422" w:rsidP="0056557A">
      <w:pPr>
        <w:shd w:val="clear" w:color="auto" w:fill="FFFFFF"/>
        <w:tabs>
          <w:tab w:val="left" w:pos="5197"/>
        </w:tabs>
        <w:spacing w:line="288" w:lineRule="auto"/>
        <w:jc w:val="both"/>
        <w:rPr>
          <w:rFonts w:ascii="Arial" w:hAnsi="Arial" w:cs="Arial"/>
          <w:color w:val="000000"/>
          <w:szCs w:val="24"/>
          <w:lang w:val="es-ES"/>
        </w:rPr>
      </w:pPr>
      <w:r w:rsidRPr="00D95106">
        <w:rPr>
          <w:rFonts w:ascii="Arial" w:hAnsi="Arial" w:cs="Arial"/>
          <w:color w:val="000000"/>
          <w:szCs w:val="24"/>
          <w:lang w:val="es-ES"/>
        </w:rPr>
        <w:t>Puestas de ese modo las cosas, cada vez que un afiliado a una AFP acusa a ésta de maniobras engañosas, defraudadoras, omisas o erróneas en el ofrecimiento</w:t>
      </w:r>
      <w:r w:rsidR="00A74C7E">
        <w:rPr>
          <w:rFonts w:ascii="Arial" w:hAnsi="Arial" w:cs="Arial"/>
          <w:color w:val="000000"/>
          <w:szCs w:val="24"/>
          <w:lang w:val="es-ES"/>
        </w:rPr>
        <w:t xml:space="preserve"> </w:t>
      </w:r>
      <w:r w:rsidRPr="00D95106">
        <w:rPr>
          <w:rFonts w:ascii="Arial" w:hAnsi="Arial" w:cs="Arial"/>
          <w:color w:val="000000"/>
          <w:szCs w:val="24"/>
          <w:lang w:val="es-ES"/>
        </w:rPr>
        <w:t xml:space="preserve">de información que lleve consigo al traslado de régimen, deberá incoar una acción de resarcimiento de perjuicios y no otra, pues ni la ineficacia, ni la nulidad contemplan a la omisión o error de información de la AFP como el supuesto de hecho que debe probarse para dejar ineficaz un negocio jurídico. </w:t>
      </w:r>
    </w:p>
    <w:p w14:paraId="57FDA890" w14:textId="77777777" w:rsidR="00194422" w:rsidRPr="00D95106" w:rsidRDefault="00194422" w:rsidP="0056557A">
      <w:pPr>
        <w:shd w:val="clear" w:color="auto" w:fill="FFFFFF"/>
        <w:tabs>
          <w:tab w:val="left" w:pos="5197"/>
        </w:tabs>
        <w:spacing w:line="288" w:lineRule="auto"/>
        <w:jc w:val="both"/>
        <w:rPr>
          <w:rFonts w:ascii="Arial" w:hAnsi="Arial" w:cs="Arial"/>
          <w:color w:val="000000"/>
          <w:szCs w:val="24"/>
          <w:lang w:val="es-ES"/>
        </w:rPr>
      </w:pPr>
    </w:p>
    <w:p w14:paraId="39388B0F"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b/>
          <w:i/>
          <w:iCs/>
          <w:szCs w:val="24"/>
        </w:rPr>
        <w:lastRenderedPageBreak/>
        <w:t xml:space="preserve">iii) </w:t>
      </w:r>
      <w:r w:rsidRPr="00D95106">
        <w:rPr>
          <w:rFonts w:ascii="Arial" w:hAnsi="Arial" w:cs="Arial"/>
          <w:iCs/>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w:t>
      </w:r>
    </w:p>
    <w:p w14:paraId="493B83C2"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0B3A83FE" w14:textId="705E4E78"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 xml:space="preserve">Proceder que de ninguna manera puede ahora compartirse porque sólo se obliga a indemnizar a aquel que causó el daño – artículos 2341 y 2343 del Código Civil </w:t>
      </w:r>
      <w:r w:rsidR="00ED0F71">
        <w:rPr>
          <w:rFonts w:ascii="Arial" w:hAnsi="Arial" w:cs="Arial"/>
          <w:iCs/>
          <w:szCs w:val="24"/>
        </w:rPr>
        <w:t>–</w:t>
      </w:r>
      <w:r w:rsidRPr="00D95106">
        <w:rPr>
          <w:rFonts w:ascii="Arial" w:hAnsi="Arial" w:cs="Arial"/>
          <w:iCs/>
          <w:szCs w:val="24"/>
        </w:rPr>
        <w:t>, por lo que si Colpensiones no participó en la información otorgada al trabajador, no tendrá por qué resarcirlo, pues rememórese que las obligaciones nacen del concurso real de las voluntades de los contratantes o del daño inferido a otra – art. 1494 del Código Civil -.</w:t>
      </w:r>
    </w:p>
    <w:p w14:paraId="5EE66AEF"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48A12D7D"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Actuar en contrario implica una trasgresión a la cláusula constitucional contenida en el artículo 90 que prescribe que “</w:t>
      </w:r>
      <w:r w:rsidRPr="00A74C7E">
        <w:rPr>
          <w:rFonts w:ascii="Arial" w:hAnsi="Arial" w:cs="Arial"/>
          <w:i/>
          <w:iCs/>
          <w:sz w:val="22"/>
          <w:szCs w:val="24"/>
        </w:rPr>
        <w:t>el Estado únicamente responderá patrimonialmente por los daños antijurídicos que le sean imputables, causados por la acción o la omisión de las autoridades públicas</w:t>
      </w:r>
      <w:r w:rsidRPr="00D95106">
        <w:rPr>
          <w:rFonts w:ascii="Arial" w:hAnsi="Arial" w:cs="Arial"/>
          <w:i/>
          <w:iCs/>
          <w:szCs w:val="24"/>
        </w:rPr>
        <w:t xml:space="preserve">”, </w:t>
      </w:r>
      <w:r w:rsidRPr="00D95106">
        <w:rPr>
          <w:rFonts w:ascii="Arial" w:hAnsi="Arial" w:cs="Arial"/>
          <w:iCs/>
          <w:szCs w:val="24"/>
        </w:rPr>
        <w:t>máxime que obligar a Colpensiones al pago de las pensiones de los nuevos afiliados implica un grave detrimento d</w:t>
      </w:r>
      <w:bookmarkStart w:id="0" w:name="_GoBack"/>
      <w:bookmarkEnd w:id="0"/>
      <w:r w:rsidRPr="00D95106">
        <w:rPr>
          <w:rFonts w:ascii="Arial" w:hAnsi="Arial" w:cs="Arial"/>
          <w:iCs/>
          <w:szCs w:val="24"/>
        </w:rPr>
        <w:t>e los legítimos intereses de todos los afiliados que fielmente han permanecido en el RPM, y que de no alcanzar con los aportes y rendimientos de los afiliados que constituyen un fondo común, deberá la nación con su patrimonio atender.</w:t>
      </w:r>
    </w:p>
    <w:p w14:paraId="6A5AE601"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3C36AD26"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 xml:space="preserve">Puestas de este modo las cosas, si el supuesto de hecho expuesto en las demandas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189D5D27"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680B6C8B"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r w:rsidRPr="00D95106">
        <w:rPr>
          <w:rFonts w:ascii="Arial" w:hAnsi="Arial" w:cs="Arial"/>
          <w:iCs/>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el </w:t>
      </w:r>
      <w:proofErr w:type="spellStart"/>
      <w:r w:rsidRPr="00D95106">
        <w:rPr>
          <w:rFonts w:ascii="Arial" w:hAnsi="Arial" w:cs="Arial"/>
          <w:iCs/>
          <w:szCs w:val="24"/>
        </w:rPr>
        <w:t>pluricitado</w:t>
      </w:r>
      <w:proofErr w:type="spellEnd"/>
      <w:r w:rsidRPr="00D95106">
        <w:rPr>
          <w:rFonts w:ascii="Arial" w:hAnsi="Arial" w:cs="Arial"/>
          <w:iCs/>
          <w:szCs w:val="24"/>
        </w:rPr>
        <w:t xml:space="preserve"> art. 13 y 271 de la Ley 100/93.</w:t>
      </w:r>
    </w:p>
    <w:p w14:paraId="1950065C" w14:textId="77777777" w:rsidR="00194422" w:rsidRPr="00D95106" w:rsidRDefault="00194422" w:rsidP="0056557A">
      <w:pPr>
        <w:shd w:val="clear" w:color="auto" w:fill="FFFFFF"/>
        <w:tabs>
          <w:tab w:val="left" w:pos="5197"/>
        </w:tabs>
        <w:spacing w:line="288" w:lineRule="auto"/>
        <w:jc w:val="both"/>
        <w:rPr>
          <w:rFonts w:ascii="Arial" w:hAnsi="Arial" w:cs="Arial"/>
          <w:iCs/>
          <w:szCs w:val="24"/>
        </w:rPr>
      </w:pPr>
    </w:p>
    <w:p w14:paraId="38DC8AB4" w14:textId="3138948D" w:rsidR="00680460" w:rsidRPr="00D95106" w:rsidRDefault="00194422" w:rsidP="0056557A">
      <w:pPr>
        <w:spacing w:line="288" w:lineRule="auto"/>
        <w:ind w:right="284"/>
        <w:jc w:val="both"/>
        <w:rPr>
          <w:rFonts w:ascii="Arial" w:hAnsi="Arial" w:cs="Arial"/>
          <w:iCs/>
          <w:szCs w:val="24"/>
        </w:rPr>
      </w:pPr>
      <w:r w:rsidRPr="00D95106">
        <w:rPr>
          <w:rFonts w:ascii="Arial" w:hAnsi="Arial" w:cs="Arial"/>
          <w:iCs/>
          <w:szCs w:val="24"/>
        </w:rPr>
        <w:t>Entonces cada vez que se plantee tal supuesto de hecho en las demandas, sin dubitación la acción de ineficacia o nulidad (sic) estará destinada al fracaso, debiendo incoar el resarcimiento de perjuicios</w:t>
      </w:r>
      <w:r w:rsidR="00066BC1" w:rsidRPr="00D95106">
        <w:rPr>
          <w:rFonts w:ascii="Arial" w:hAnsi="Arial" w:cs="Arial"/>
          <w:iCs/>
          <w:szCs w:val="24"/>
        </w:rPr>
        <w:t>.</w:t>
      </w:r>
      <w:r w:rsidRPr="00D95106">
        <w:rPr>
          <w:rFonts w:ascii="Arial" w:hAnsi="Arial" w:cs="Arial"/>
          <w:iCs/>
          <w:szCs w:val="24"/>
        </w:rPr>
        <w:t xml:space="preserve"> </w:t>
      </w:r>
    </w:p>
    <w:p w14:paraId="422F2B1D" w14:textId="77777777" w:rsidR="00194422" w:rsidRPr="00D95106" w:rsidRDefault="00194422" w:rsidP="0056557A">
      <w:pPr>
        <w:spacing w:line="288" w:lineRule="auto"/>
        <w:ind w:right="284"/>
        <w:jc w:val="both"/>
        <w:rPr>
          <w:rFonts w:ascii="Arial" w:hAnsi="Arial" w:cs="Arial"/>
          <w:color w:val="000000" w:themeColor="text1"/>
          <w:szCs w:val="24"/>
        </w:rPr>
      </w:pPr>
    </w:p>
    <w:p w14:paraId="6F45A790" w14:textId="7FC1DDD0" w:rsidR="00D02C1F" w:rsidRPr="00D95106" w:rsidRDefault="00D02C1F" w:rsidP="0056557A">
      <w:pPr>
        <w:spacing w:line="288" w:lineRule="auto"/>
        <w:ind w:right="284"/>
        <w:jc w:val="both"/>
        <w:rPr>
          <w:rFonts w:ascii="Arial" w:hAnsi="Arial" w:cs="Arial"/>
          <w:b/>
          <w:szCs w:val="24"/>
        </w:rPr>
      </w:pPr>
      <w:r w:rsidRPr="00D95106">
        <w:rPr>
          <w:rFonts w:ascii="Arial" w:hAnsi="Arial" w:cs="Arial"/>
          <w:b/>
          <w:szCs w:val="24"/>
        </w:rPr>
        <w:t xml:space="preserve">Fundamento fáctico </w:t>
      </w:r>
    </w:p>
    <w:p w14:paraId="49F3FAAF" w14:textId="77777777" w:rsidR="007E05D1" w:rsidRPr="00D95106" w:rsidRDefault="007E05D1" w:rsidP="0056557A">
      <w:pPr>
        <w:spacing w:line="288" w:lineRule="auto"/>
        <w:jc w:val="both"/>
        <w:rPr>
          <w:rFonts w:ascii="Arial" w:hAnsi="Arial" w:cs="Arial"/>
          <w:b/>
          <w:szCs w:val="24"/>
        </w:rPr>
      </w:pPr>
    </w:p>
    <w:p w14:paraId="70D09E55" w14:textId="5D8A3259" w:rsidR="002677FE" w:rsidRDefault="00D02C1F" w:rsidP="0056557A">
      <w:pPr>
        <w:spacing w:line="288" w:lineRule="auto"/>
        <w:ind w:right="49"/>
        <w:contextualSpacing/>
        <w:jc w:val="both"/>
        <w:rPr>
          <w:rFonts w:ascii="Arial" w:hAnsi="Arial" w:cs="Arial"/>
          <w:szCs w:val="24"/>
        </w:rPr>
      </w:pPr>
      <w:r w:rsidRPr="00D95106">
        <w:rPr>
          <w:rFonts w:ascii="Arial" w:hAnsi="Arial" w:cs="Arial"/>
          <w:szCs w:val="24"/>
        </w:rPr>
        <w:t xml:space="preserve">Rememórese que </w:t>
      </w:r>
      <w:r w:rsidR="00B17B51" w:rsidRPr="00D95106">
        <w:rPr>
          <w:rFonts w:ascii="Arial" w:hAnsi="Arial" w:cs="Arial"/>
          <w:szCs w:val="24"/>
        </w:rPr>
        <w:t>Juana Uribe Arango</w:t>
      </w:r>
      <w:r w:rsidRPr="00D95106">
        <w:rPr>
          <w:rFonts w:ascii="Arial" w:hAnsi="Arial" w:cs="Arial"/>
          <w:szCs w:val="24"/>
        </w:rPr>
        <w:t xml:space="preserve"> pretende </w:t>
      </w:r>
      <w:r w:rsidR="006D4F94" w:rsidRPr="00D95106">
        <w:rPr>
          <w:rFonts w:ascii="Arial" w:hAnsi="Arial" w:cs="Arial"/>
          <w:szCs w:val="24"/>
        </w:rPr>
        <w:t>la ineficacia d</w:t>
      </w:r>
      <w:r w:rsidRPr="00D95106">
        <w:rPr>
          <w:rFonts w:ascii="Arial" w:hAnsi="Arial" w:cs="Arial"/>
          <w:szCs w:val="24"/>
        </w:rPr>
        <w:t xml:space="preserve">el traslado </w:t>
      </w:r>
      <w:r w:rsidR="00C15DCE" w:rsidRPr="00D95106">
        <w:rPr>
          <w:rFonts w:ascii="Arial" w:hAnsi="Arial" w:cs="Arial"/>
          <w:szCs w:val="24"/>
        </w:rPr>
        <w:t>realizado del RPM al RAIS (</w:t>
      </w:r>
      <w:proofErr w:type="spellStart"/>
      <w:r w:rsidR="00C15DCE" w:rsidRPr="00D95106">
        <w:rPr>
          <w:rFonts w:ascii="Arial" w:hAnsi="Arial" w:cs="Arial"/>
          <w:szCs w:val="24"/>
        </w:rPr>
        <w:t>fl</w:t>
      </w:r>
      <w:proofErr w:type="spellEnd"/>
      <w:r w:rsidR="00C15DCE" w:rsidRPr="00D95106">
        <w:rPr>
          <w:rFonts w:ascii="Arial" w:hAnsi="Arial" w:cs="Arial"/>
          <w:szCs w:val="24"/>
        </w:rPr>
        <w:t xml:space="preserve">. </w:t>
      </w:r>
      <w:r w:rsidR="00B17B51" w:rsidRPr="00D95106">
        <w:rPr>
          <w:rFonts w:ascii="Arial" w:hAnsi="Arial" w:cs="Arial"/>
          <w:szCs w:val="24"/>
        </w:rPr>
        <w:t>5</w:t>
      </w:r>
      <w:r w:rsidRPr="00D95106">
        <w:rPr>
          <w:rFonts w:ascii="Arial" w:hAnsi="Arial" w:cs="Arial"/>
          <w:szCs w:val="24"/>
        </w:rPr>
        <w:t xml:space="preserve"> c. 1), del que da cuenta el formulario suscrito</w:t>
      </w:r>
      <w:r w:rsidR="006B12B4" w:rsidRPr="00D95106">
        <w:rPr>
          <w:rFonts w:ascii="Arial" w:hAnsi="Arial" w:cs="Arial"/>
          <w:szCs w:val="24"/>
        </w:rPr>
        <w:t xml:space="preserve"> el </w:t>
      </w:r>
      <w:r w:rsidR="00A14AA5" w:rsidRPr="00D95106">
        <w:rPr>
          <w:rFonts w:ascii="Arial" w:hAnsi="Arial" w:cs="Arial"/>
          <w:szCs w:val="24"/>
        </w:rPr>
        <w:t>26/08/1997</w:t>
      </w:r>
      <w:r w:rsidR="006B12B4" w:rsidRPr="00D95106">
        <w:rPr>
          <w:rFonts w:ascii="Arial" w:hAnsi="Arial" w:cs="Arial"/>
          <w:szCs w:val="24"/>
        </w:rPr>
        <w:t xml:space="preserve"> ante Porvenir S.A.</w:t>
      </w:r>
      <w:r w:rsidRPr="00D95106">
        <w:rPr>
          <w:rFonts w:ascii="Arial" w:hAnsi="Arial" w:cs="Arial"/>
          <w:szCs w:val="24"/>
        </w:rPr>
        <w:t xml:space="preserve"> (</w:t>
      </w:r>
      <w:proofErr w:type="spellStart"/>
      <w:r w:rsidRPr="00D95106">
        <w:rPr>
          <w:rFonts w:ascii="Arial" w:hAnsi="Arial" w:cs="Arial"/>
          <w:szCs w:val="24"/>
        </w:rPr>
        <w:t>fl</w:t>
      </w:r>
      <w:proofErr w:type="spellEnd"/>
      <w:r w:rsidRPr="00D95106">
        <w:rPr>
          <w:rFonts w:ascii="Arial" w:hAnsi="Arial" w:cs="Arial"/>
          <w:szCs w:val="24"/>
        </w:rPr>
        <w:t xml:space="preserve">. </w:t>
      </w:r>
      <w:r w:rsidR="00A14AA5" w:rsidRPr="00D95106">
        <w:rPr>
          <w:rFonts w:ascii="Arial" w:hAnsi="Arial" w:cs="Arial"/>
          <w:szCs w:val="24"/>
        </w:rPr>
        <w:t>26</w:t>
      </w:r>
      <w:r w:rsidRPr="00D95106">
        <w:rPr>
          <w:rFonts w:ascii="Arial" w:hAnsi="Arial" w:cs="Arial"/>
          <w:szCs w:val="24"/>
        </w:rPr>
        <w:t xml:space="preserve"> c. 1), </w:t>
      </w:r>
      <w:r w:rsidR="006D4F94" w:rsidRPr="00D95106">
        <w:rPr>
          <w:rFonts w:ascii="Arial" w:hAnsi="Arial" w:cs="Arial"/>
          <w:szCs w:val="24"/>
        </w:rPr>
        <w:t xml:space="preserve">por lo que </w:t>
      </w:r>
      <w:r w:rsidR="00A30B3C" w:rsidRPr="00D95106">
        <w:rPr>
          <w:rFonts w:ascii="Arial" w:hAnsi="Arial" w:cs="Arial"/>
          <w:szCs w:val="24"/>
        </w:rPr>
        <w:t>señaló</w:t>
      </w:r>
      <w:r w:rsidR="006D4F94" w:rsidRPr="00D95106">
        <w:rPr>
          <w:rFonts w:ascii="Arial" w:hAnsi="Arial" w:cs="Arial"/>
          <w:szCs w:val="24"/>
        </w:rPr>
        <w:t xml:space="preserve"> en los hechos de la demanda </w:t>
      </w:r>
      <w:r w:rsidR="00A30B3C" w:rsidRPr="00D95106">
        <w:rPr>
          <w:rFonts w:ascii="Arial" w:hAnsi="Arial" w:cs="Arial"/>
          <w:szCs w:val="24"/>
        </w:rPr>
        <w:t xml:space="preserve">que </w:t>
      </w:r>
      <w:r w:rsidR="00A30B3C" w:rsidRPr="00D95106">
        <w:rPr>
          <w:rFonts w:ascii="Arial" w:hAnsi="Arial" w:cs="Arial"/>
          <w:szCs w:val="24"/>
        </w:rPr>
        <w:lastRenderedPageBreak/>
        <w:t xml:space="preserve">había sido </w:t>
      </w:r>
      <w:r w:rsidR="00D42F5E">
        <w:rPr>
          <w:rFonts w:ascii="Arial" w:hAnsi="Arial" w:cs="Arial"/>
          <w:szCs w:val="24"/>
        </w:rPr>
        <w:t>la AFP y no</w:t>
      </w:r>
      <w:r w:rsidR="006D4F94" w:rsidRPr="00D95106">
        <w:rPr>
          <w:rFonts w:ascii="Arial" w:hAnsi="Arial" w:cs="Arial"/>
          <w:szCs w:val="24"/>
        </w:rPr>
        <w:t xml:space="preserve"> su empleador u otra persona afín a tal calidad, como el sujeto que la hizo incurrir en error o engaño</w:t>
      </w:r>
      <w:r w:rsidR="00A30B3C" w:rsidRPr="00D95106">
        <w:rPr>
          <w:rFonts w:ascii="Arial" w:hAnsi="Arial" w:cs="Arial"/>
          <w:szCs w:val="24"/>
        </w:rPr>
        <w:t>,</w:t>
      </w:r>
      <w:r w:rsidR="006D4F94" w:rsidRPr="00D95106">
        <w:rPr>
          <w:rFonts w:ascii="Arial" w:hAnsi="Arial" w:cs="Arial"/>
          <w:szCs w:val="24"/>
        </w:rPr>
        <w:t xml:space="preserve"> pues</w:t>
      </w:r>
      <w:r w:rsidR="00A30B3C" w:rsidRPr="00D95106">
        <w:rPr>
          <w:rFonts w:ascii="Arial" w:hAnsi="Arial" w:cs="Arial"/>
          <w:szCs w:val="24"/>
        </w:rPr>
        <w:t xml:space="preserve"> la AFP</w:t>
      </w:r>
      <w:r w:rsidR="006D4F94" w:rsidRPr="00D95106">
        <w:rPr>
          <w:rFonts w:ascii="Arial" w:hAnsi="Arial" w:cs="Arial"/>
          <w:szCs w:val="24"/>
        </w:rPr>
        <w:t xml:space="preserve"> ninguna información “</w:t>
      </w:r>
      <w:r w:rsidR="006D4F94" w:rsidRPr="00D95106">
        <w:rPr>
          <w:rFonts w:ascii="Arial" w:hAnsi="Arial" w:cs="Arial"/>
          <w:i/>
          <w:szCs w:val="24"/>
        </w:rPr>
        <w:t>adicional”</w:t>
      </w:r>
      <w:r w:rsidR="006D4F94" w:rsidRPr="00D95106">
        <w:rPr>
          <w:rFonts w:ascii="Arial" w:hAnsi="Arial" w:cs="Arial"/>
          <w:szCs w:val="24"/>
        </w:rPr>
        <w:t xml:space="preserve"> había </w:t>
      </w:r>
      <w:r w:rsidR="00A30B3C" w:rsidRPr="00D95106">
        <w:rPr>
          <w:rFonts w:ascii="Arial" w:hAnsi="Arial" w:cs="Arial"/>
          <w:szCs w:val="24"/>
        </w:rPr>
        <w:t>otorgado</w:t>
      </w:r>
      <w:r w:rsidR="006D4F94" w:rsidRPr="00D95106">
        <w:rPr>
          <w:rFonts w:ascii="Arial" w:hAnsi="Arial" w:cs="Arial"/>
          <w:szCs w:val="24"/>
        </w:rPr>
        <w:t xml:space="preserve"> para efectos de obtener dicho traslado y del que adujo derivar un perjuicio, en tanto allí apenas obtendría una devolución de saldos o </w:t>
      </w:r>
      <w:r w:rsidR="00A30B3C" w:rsidRPr="00D95106">
        <w:rPr>
          <w:rFonts w:ascii="Arial" w:hAnsi="Arial" w:cs="Arial"/>
          <w:szCs w:val="24"/>
        </w:rPr>
        <w:t xml:space="preserve">que </w:t>
      </w:r>
      <w:r w:rsidR="006D4F94" w:rsidRPr="00D95106">
        <w:rPr>
          <w:rFonts w:ascii="Arial" w:hAnsi="Arial" w:cs="Arial"/>
          <w:szCs w:val="24"/>
        </w:rPr>
        <w:t>de seguir cotizando hasta los 60 años, una pensión cercana al $1’000.000, cuando en el</w:t>
      </w:r>
      <w:r w:rsidR="00A74C7E">
        <w:rPr>
          <w:rFonts w:ascii="Arial" w:hAnsi="Arial" w:cs="Arial"/>
          <w:szCs w:val="24"/>
        </w:rPr>
        <w:t xml:space="preserve"> RPM sería el triple tal valor.</w:t>
      </w:r>
    </w:p>
    <w:p w14:paraId="000AADBF" w14:textId="77777777" w:rsidR="00A74C7E" w:rsidRPr="00D95106" w:rsidRDefault="00A74C7E" w:rsidP="0056557A">
      <w:pPr>
        <w:spacing w:line="288" w:lineRule="auto"/>
        <w:ind w:right="49"/>
        <w:contextualSpacing/>
        <w:jc w:val="both"/>
        <w:rPr>
          <w:rFonts w:ascii="Arial" w:hAnsi="Arial" w:cs="Arial"/>
          <w:szCs w:val="24"/>
        </w:rPr>
      </w:pPr>
    </w:p>
    <w:p w14:paraId="736E8645" w14:textId="69D809B5" w:rsidR="008B64D2" w:rsidRPr="00D95106" w:rsidRDefault="008B64D2" w:rsidP="0056557A">
      <w:pPr>
        <w:spacing w:line="288" w:lineRule="auto"/>
        <w:ind w:right="49"/>
        <w:contextualSpacing/>
        <w:jc w:val="both"/>
        <w:rPr>
          <w:rFonts w:ascii="Arial" w:hAnsi="Arial" w:cs="Arial"/>
          <w:iCs/>
          <w:szCs w:val="24"/>
        </w:rPr>
      </w:pPr>
      <w:r w:rsidRPr="00D95106">
        <w:rPr>
          <w:rFonts w:ascii="Arial" w:hAnsi="Arial" w:cs="Arial"/>
          <w:szCs w:val="24"/>
        </w:rPr>
        <w:t xml:space="preserve">Basta la anterior descripción para echar al traste las pretensiones de la demandante, pues los supuestos fácticos señalados en la demanda corresponden a una acción diferente a la invocada - literal b) del artículo 13 y 271 de la Ley 100/93, </w:t>
      </w:r>
      <w:r w:rsidRPr="00D95106">
        <w:rPr>
          <w:rFonts w:ascii="Arial" w:hAnsi="Arial" w:cs="Arial"/>
          <w:iCs/>
          <w:szCs w:val="24"/>
        </w:rPr>
        <w:t xml:space="preserve"> sin que ahora pueda esta Colegiatura encausar las pretensiones en ese sentido, pues ello implicaría un grave quebranto a los derechos de contradicción y defensa de los sujetos procesales, así como al principio de consonancia – art. 66ª del </w:t>
      </w:r>
      <w:proofErr w:type="spellStart"/>
      <w:r w:rsidRPr="00D95106">
        <w:rPr>
          <w:rFonts w:ascii="Arial" w:hAnsi="Arial" w:cs="Arial"/>
          <w:iCs/>
          <w:szCs w:val="24"/>
        </w:rPr>
        <w:t>C.P.L</w:t>
      </w:r>
      <w:proofErr w:type="spellEnd"/>
      <w:r w:rsidRPr="00D95106">
        <w:rPr>
          <w:rFonts w:ascii="Arial" w:hAnsi="Arial" w:cs="Arial"/>
          <w:iCs/>
          <w:szCs w:val="24"/>
        </w:rPr>
        <w:t xml:space="preserve">. y de la S.S., además que los jueces colegiados carecen de facultades </w:t>
      </w:r>
      <w:r w:rsidRPr="00D95106">
        <w:rPr>
          <w:rFonts w:ascii="Arial" w:hAnsi="Arial" w:cs="Arial"/>
          <w:i/>
          <w:iCs/>
          <w:szCs w:val="24"/>
        </w:rPr>
        <w:t>ultra</w:t>
      </w:r>
      <w:r w:rsidRPr="00D95106">
        <w:rPr>
          <w:rFonts w:ascii="Arial" w:hAnsi="Arial" w:cs="Arial"/>
          <w:iCs/>
          <w:szCs w:val="24"/>
        </w:rPr>
        <w:t xml:space="preserve"> y </w:t>
      </w:r>
      <w:r w:rsidRPr="00D95106">
        <w:rPr>
          <w:rFonts w:ascii="Arial" w:hAnsi="Arial" w:cs="Arial"/>
          <w:i/>
          <w:iCs/>
          <w:szCs w:val="24"/>
        </w:rPr>
        <w:t>extra petita</w:t>
      </w:r>
      <w:r w:rsidRPr="00D95106">
        <w:rPr>
          <w:rFonts w:ascii="Arial" w:hAnsi="Arial" w:cs="Arial"/>
          <w:iCs/>
          <w:szCs w:val="24"/>
        </w:rPr>
        <w:t xml:space="preserve"> en sus decisiones – art. 50 ibídem</w:t>
      </w:r>
      <w:r w:rsidR="0056557A">
        <w:rPr>
          <w:rFonts w:ascii="Arial" w:hAnsi="Arial" w:cs="Arial"/>
          <w:iCs/>
          <w:szCs w:val="24"/>
        </w:rPr>
        <w:t xml:space="preserve"> –</w:t>
      </w:r>
      <w:r w:rsidRPr="00D95106">
        <w:rPr>
          <w:rFonts w:ascii="Arial" w:hAnsi="Arial" w:cs="Arial"/>
          <w:iCs/>
          <w:szCs w:val="24"/>
        </w:rPr>
        <w:t xml:space="preserve">.  </w:t>
      </w:r>
    </w:p>
    <w:p w14:paraId="1554DB52" w14:textId="77777777" w:rsidR="008B64D2" w:rsidRPr="00D95106" w:rsidRDefault="008B64D2" w:rsidP="0056557A">
      <w:pPr>
        <w:spacing w:line="288" w:lineRule="auto"/>
        <w:ind w:right="49"/>
        <w:contextualSpacing/>
        <w:jc w:val="both"/>
        <w:rPr>
          <w:rFonts w:ascii="Arial" w:hAnsi="Arial" w:cs="Arial"/>
          <w:szCs w:val="24"/>
        </w:rPr>
      </w:pPr>
    </w:p>
    <w:p w14:paraId="58D7E1BD" w14:textId="020EB3FA" w:rsidR="008B64D2" w:rsidRPr="00D95106" w:rsidRDefault="00A30B3C" w:rsidP="0056557A">
      <w:pPr>
        <w:spacing w:line="288" w:lineRule="auto"/>
        <w:ind w:right="49"/>
        <w:contextualSpacing/>
        <w:jc w:val="both"/>
        <w:rPr>
          <w:rFonts w:ascii="Arial" w:hAnsi="Arial" w:cs="Arial"/>
          <w:szCs w:val="24"/>
        </w:rPr>
      </w:pPr>
      <w:r w:rsidRPr="00D95106">
        <w:rPr>
          <w:rFonts w:ascii="Arial" w:hAnsi="Arial" w:cs="Arial"/>
          <w:szCs w:val="24"/>
        </w:rPr>
        <w:t>Al punto es preciso resaltar que si bien, Juana Uribe Arango al absolver el interrogatorio de parte</w:t>
      </w:r>
      <w:r w:rsidR="00E97D91" w:rsidRPr="00D95106">
        <w:rPr>
          <w:rFonts w:ascii="Arial" w:hAnsi="Arial" w:cs="Arial"/>
          <w:szCs w:val="24"/>
        </w:rPr>
        <w:t xml:space="preserve"> señaló que nunca recibió información por parte de Porvenir S.A., porque ella había concurrido a la oficina de recursos humanos para la época en que ingresó a laborar en la Universidad de Caldas, sitio en el que los empleados de tal claustr</w:t>
      </w:r>
      <w:r w:rsidR="008B64D2" w:rsidRPr="00D95106">
        <w:rPr>
          <w:rFonts w:ascii="Arial" w:hAnsi="Arial" w:cs="Arial"/>
          <w:szCs w:val="24"/>
        </w:rPr>
        <w:t>o</w:t>
      </w:r>
      <w:r w:rsidR="00E97D91" w:rsidRPr="00D95106">
        <w:rPr>
          <w:rFonts w:ascii="Arial" w:hAnsi="Arial" w:cs="Arial"/>
          <w:szCs w:val="24"/>
        </w:rPr>
        <w:t xml:space="preserve"> le informaron que ya no se recibían afiliaciones al ISS y que solo podía afiliarse a fondos privados.</w:t>
      </w:r>
      <w:r w:rsidR="008B64D2" w:rsidRPr="00D95106">
        <w:rPr>
          <w:rFonts w:ascii="Arial" w:hAnsi="Arial" w:cs="Arial"/>
          <w:szCs w:val="24"/>
        </w:rPr>
        <w:t xml:space="preserve"> </w:t>
      </w:r>
      <w:r w:rsidR="00E97D91" w:rsidRPr="00D95106">
        <w:rPr>
          <w:rFonts w:ascii="Arial" w:hAnsi="Arial" w:cs="Arial"/>
          <w:szCs w:val="24"/>
        </w:rPr>
        <w:t xml:space="preserve">Afirmación que en efecto encuadra dentro del supuesto de hecho que contemplan las normas invocadas (literal b), art. 13 y 271 de la Ley 100/93), tendiente a obtener la ineficacia del traslado, pues señaló a su empleador como el sujeto cualificado que </w:t>
      </w:r>
      <w:r w:rsidR="00E734CE" w:rsidRPr="00D95106">
        <w:rPr>
          <w:rFonts w:ascii="Arial" w:hAnsi="Arial" w:cs="Arial"/>
          <w:szCs w:val="24"/>
        </w:rPr>
        <w:t xml:space="preserve">desconoció, impidió o </w:t>
      </w:r>
      <w:r w:rsidR="00E97D91" w:rsidRPr="00D95106">
        <w:rPr>
          <w:rFonts w:ascii="Arial" w:hAnsi="Arial" w:cs="Arial"/>
          <w:szCs w:val="24"/>
        </w:rPr>
        <w:t xml:space="preserve">atentó contra su derecho de libre </w:t>
      </w:r>
      <w:r w:rsidR="008B64D2" w:rsidRPr="00D95106">
        <w:rPr>
          <w:rFonts w:ascii="Arial" w:hAnsi="Arial" w:cs="Arial"/>
          <w:szCs w:val="24"/>
        </w:rPr>
        <w:t>escogencia de régimen pensional.</w:t>
      </w:r>
    </w:p>
    <w:p w14:paraId="17D1FE52" w14:textId="77777777" w:rsidR="008B64D2" w:rsidRPr="00D95106" w:rsidRDefault="008B64D2" w:rsidP="0056557A">
      <w:pPr>
        <w:spacing w:line="288" w:lineRule="auto"/>
        <w:ind w:right="49"/>
        <w:contextualSpacing/>
        <w:jc w:val="both"/>
        <w:rPr>
          <w:rFonts w:ascii="Arial" w:hAnsi="Arial" w:cs="Arial"/>
          <w:szCs w:val="24"/>
        </w:rPr>
      </w:pPr>
    </w:p>
    <w:p w14:paraId="531BA604" w14:textId="46917FF9" w:rsidR="00A30B3C" w:rsidRPr="00D95106" w:rsidRDefault="008B64D2" w:rsidP="0056557A">
      <w:pPr>
        <w:spacing w:line="288" w:lineRule="auto"/>
        <w:ind w:right="49"/>
        <w:contextualSpacing/>
        <w:jc w:val="both"/>
        <w:rPr>
          <w:rFonts w:ascii="Arial" w:hAnsi="Arial" w:cs="Arial"/>
          <w:szCs w:val="24"/>
        </w:rPr>
      </w:pPr>
      <w:r w:rsidRPr="00D95106">
        <w:rPr>
          <w:rFonts w:ascii="Arial" w:hAnsi="Arial" w:cs="Arial"/>
          <w:szCs w:val="24"/>
        </w:rPr>
        <w:t>N</w:t>
      </w:r>
      <w:r w:rsidR="00E97D91" w:rsidRPr="00D95106">
        <w:rPr>
          <w:rFonts w:ascii="Arial" w:hAnsi="Arial" w:cs="Arial"/>
          <w:szCs w:val="24"/>
        </w:rPr>
        <w:t xml:space="preserve">o obstante lo anterior, tal argumento apenas se presentó en el aludido interrogatorio de parte, sin </w:t>
      </w:r>
      <w:r w:rsidR="00E734CE" w:rsidRPr="00D95106">
        <w:rPr>
          <w:rFonts w:ascii="Arial" w:hAnsi="Arial" w:cs="Arial"/>
          <w:szCs w:val="24"/>
        </w:rPr>
        <w:t xml:space="preserve">que fuera mencionado desde la demanda, por lo que su análisis ahora implicaría una clara trasgresión a los derechos de contradicción y defensa de los interesados, así como al principio de consonancia, máxime que esta Colegiatura carece de las facultades </w:t>
      </w:r>
      <w:r w:rsidR="00E734CE" w:rsidRPr="00D95106">
        <w:rPr>
          <w:rFonts w:ascii="Arial" w:hAnsi="Arial" w:cs="Arial"/>
          <w:i/>
          <w:szCs w:val="24"/>
        </w:rPr>
        <w:t>ultra</w:t>
      </w:r>
      <w:r w:rsidR="00E734CE" w:rsidRPr="00D95106">
        <w:rPr>
          <w:rFonts w:ascii="Arial" w:hAnsi="Arial" w:cs="Arial"/>
          <w:szCs w:val="24"/>
        </w:rPr>
        <w:t xml:space="preserve"> y </w:t>
      </w:r>
      <w:r w:rsidR="00E734CE" w:rsidRPr="00D95106">
        <w:rPr>
          <w:rFonts w:ascii="Arial" w:hAnsi="Arial" w:cs="Arial"/>
          <w:i/>
          <w:szCs w:val="24"/>
        </w:rPr>
        <w:t>extra petita</w:t>
      </w:r>
      <w:r w:rsidR="00E734CE" w:rsidRPr="00D95106">
        <w:rPr>
          <w:rFonts w:ascii="Arial" w:hAnsi="Arial" w:cs="Arial"/>
          <w:szCs w:val="24"/>
        </w:rPr>
        <w:t xml:space="preserve"> como para resolver tal cuestión. </w:t>
      </w:r>
    </w:p>
    <w:p w14:paraId="7A02915C" w14:textId="77777777" w:rsidR="00E734CE" w:rsidRPr="00D95106" w:rsidRDefault="00E734CE" w:rsidP="0056557A">
      <w:pPr>
        <w:spacing w:line="288" w:lineRule="auto"/>
        <w:ind w:right="49"/>
        <w:contextualSpacing/>
        <w:jc w:val="both"/>
        <w:rPr>
          <w:rFonts w:ascii="Arial" w:hAnsi="Arial" w:cs="Arial"/>
          <w:szCs w:val="24"/>
        </w:rPr>
      </w:pPr>
    </w:p>
    <w:p w14:paraId="031E85B0" w14:textId="313501C1" w:rsidR="00E97D91" w:rsidRPr="00D95106" w:rsidRDefault="00E734CE" w:rsidP="0056557A">
      <w:pPr>
        <w:spacing w:line="288" w:lineRule="auto"/>
        <w:ind w:right="49"/>
        <w:contextualSpacing/>
        <w:jc w:val="both"/>
        <w:rPr>
          <w:rFonts w:ascii="Arial" w:hAnsi="Arial" w:cs="Arial"/>
          <w:szCs w:val="24"/>
        </w:rPr>
      </w:pPr>
      <w:r w:rsidRPr="00D95106">
        <w:rPr>
          <w:rFonts w:ascii="Arial" w:hAnsi="Arial" w:cs="Arial"/>
          <w:szCs w:val="24"/>
        </w:rPr>
        <w:t xml:space="preserve">Si lo anterior no fuera suficiente, la afirmación hecha por la demandante sobre la actuación de su empleador tampoco se acreditó, en la medida que ninguna probanza allegó con el propósito de confirmar tal aseveración, sin que por sí solo el interrogatorio permita acreditar la búsqueda probatoria, pues solamente tiene como finalidad obtener una confesión, que en todo caso sería en contra de sus intereses. </w:t>
      </w:r>
    </w:p>
    <w:p w14:paraId="03D86F7A" w14:textId="77777777" w:rsidR="00A30B3C" w:rsidRPr="00D95106" w:rsidRDefault="00A30B3C" w:rsidP="0056557A">
      <w:pPr>
        <w:spacing w:line="288" w:lineRule="auto"/>
        <w:ind w:right="49"/>
        <w:contextualSpacing/>
        <w:jc w:val="both"/>
        <w:rPr>
          <w:rFonts w:ascii="Arial" w:hAnsi="Arial" w:cs="Arial"/>
          <w:szCs w:val="24"/>
        </w:rPr>
      </w:pPr>
    </w:p>
    <w:p w14:paraId="2C1E15FA" w14:textId="2B228CDB" w:rsidR="00A30B3C" w:rsidRPr="00D95106" w:rsidRDefault="00066BC1" w:rsidP="0056557A">
      <w:pPr>
        <w:spacing w:line="288" w:lineRule="auto"/>
        <w:ind w:right="49"/>
        <w:contextualSpacing/>
        <w:jc w:val="both"/>
        <w:rPr>
          <w:rFonts w:ascii="Arial" w:hAnsi="Arial" w:cs="Arial"/>
          <w:szCs w:val="24"/>
        </w:rPr>
      </w:pPr>
      <w:r w:rsidRPr="00D95106">
        <w:rPr>
          <w:rFonts w:ascii="Arial" w:hAnsi="Arial" w:cs="Arial"/>
          <w:iCs/>
          <w:szCs w:val="24"/>
        </w:rPr>
        <w:t>Por lo anterior,</w:t>
      </w:r>
      <w:r w:rsidR="00A30B3C" w:rsidRPr="00D95106">
        <w:rPr>
          <w:rFonts w:ascii="Arial" w:hAnsi="Arial" w:cs="Arial"/>
          <w:szCs w:val="24"/>
        </w:rPr>
        <w:t xml:space="preserve"> se revocará la decisión de primera instancia como solicitaron los apelantes, aunque por diferentes razones, y en consecuencia se denegarán los pedimentos del libelo introductor. </w:t>
      </w:r>
    </w:p>
    <w:p w14:paraId="21393E77" w14:textId="77777777" w:rsidR="00A30B3C" w:rsidRPr="00D95106" w:rsidRDefault="00A30B3C" w:rsidP="0056557A">
      <w:pPr>
        <w:spacing w:line="288" w:lineRule="auto"/>
        <w:ind w:right="49"/>
        <w:contextualSpacing/>
        <w:jc w:val="both"/>
        <w:rPr>
          <w:rFonts w:ascii="Arial" w:hAnsi="Arial" w:cs="Arial"/>
          <w:szCs w:val="24"/>
        </w:rPr>
      </w:pPr>
    </w:p>
    <w:p w14:paraId="10E90476" w14:textId="77777777" w:rsidR="000C7575" w:rsidRPr="00D95106" w:rsidRDefault="000C7575" w:rsidP="0056557A">
      <w:pPr>
        <w:shd w:val="clear" w:color="auto" w:fill="FFFFFF"/>
        <w:tabs>
          <w:tab w:val="left" w:pos="5197"/>
        </w:tabs>
        <w:spacing w:line="288" w:lineRule="auto"/>
        <w:jc w:val="center"/>
        <w:rPr>
          <w:rFonts w:ascii="Arial" w:hAnsi="Arial" w:cs="Arial"/>
          <w:b/>
          <w:color w:val="000000" w:themeColor="text1"/>
          <w:szCs w:val="24"/>
          <w:lang w:eastAsia="es-CO"/>
        </w:rPr>
      </w:pPr>
      <w:r w:rsidRPr="00D95106">
        <w:rPr>
          <w:rFonts w:ascii="Arial" w:hAnsi="Arial" w:cs="Arial"/>
          <w:b/>
          <w:color w:val="000000" w:themeColor="text1"/>
          <w:szCs w:val="24"/>
          <w:lang w:eastAsia="es-CO"/>
        </w:rPr>
        <w:t>CONCLUSIÓN</w:t>
      </w:r>
    </w:p>
    <w:p w14:paraId="5396E3F1" w14:textId="77777777" w:rsidR="00ED3A82" w:rsidRPr="00D95106" w:rsidRDefault="00ED3A82" w:rsidP="0056557A">
      <w:pPr>
        <w:shd w:val="clear" w:color="auto" w:fill="FFFFFF"/>
        <w:tabs>
          <w:tab w:val="left" w:pos="5197"/>
        </w:tabs>
        <w:spacing w:line="288" w:lineRule="auto"/>
        <w:contextualSpacing/>
        <w:jc w:val="both"/>
        <w:rPr>
          <w:rFonts w:ascii="Arial" w:hAnsi="Arial" w:cs="Arial"/>
          <w:color w:val="000000" w:themeColor="text1"/>
          <w:szCs w:val="24"/>
          <w:lang w:eastAsia="es-CO"/>
        </w:rPr>
      </w:pPr>
    </w:p>
    <w:p w14:paraId="20E37E73" w14:textId="56E8975C" w:rsidR="000C7575" w:rsidRPr="00D95106" w:rsidRDefault="000C7575" w:rsidP="0056557A">
      <w:pPr>
        <w:shd w:val="clear" w:color="auto" w:fill="FFFFFF"/>
        <w:tabs>
          <w:tab w:val="left" w:pos="5197"/>
        </w:tabs>
        <w:spacing w:line="288" w:lineRule="auto"/>
        <w:contextualSpacing/>
        <w:jc w:val="both"/>
        <w:rPr>
          <w:rFonts w:ascii="Arial" w:hAnsi="Arial" w:cs="Arial"/>
          <w:color w:val="000000" w:themeColor="text1"/>
          <w:szCs w:val="24"/>
          <w:lang w:eastAsia="es-CO"/>
        </w:rPr>
      </w:pPr>
      <w:r w:rsidRPr="00D95106">
        <w:rPr>
          <w:rFonts w:ascii="Arial" w:hAnsi="Arial" w:cs="Arial"/>
          <w:color w:val="000000" w:themeColor="text1"/>
          <w:szCs w:val="24"/>
          <w:lang w:eastAsia="es-CO"/>
        </w:rPr>
        <w:lastRenderedPageBreak/>
        <w:t xml:space="preserve">Conforme lo expuesto, la decisión revisada será </w:t>
      </w:r>
      <w:r w:rsidR="005B6023" w:rsidRPr="00D95106">
        <w:rPr>
          <w:rFonts w:ascii="Arial" w:hAnsi="Arial" w:cs="Arial"/>
          <w:color w:val="000000" w:themeColor="text1"/>
          <w:szCs w:val="24"/>
          <w:lang w:eastAsia="es-CO"/>
        </w:rPr>
        <w:t>revocada</w:t>
      </w:r>
      <w:r w:rsidRPr="00D95106">
        <w:rPr>
          <w:rFonts w:ascii="Arial" w:hAnsi="Arial" w:cs="Arial"/>
          <w:color w:val="000000" w:themeColor="text1"/>
          <w:szCs w:val="24"/>
          <w:lang w:eastAsia="es-CO"/>
        </w:rPr>
        <w:t xml:space="preserve">. </w:t>
      </w:r>
      <w:r w:rsidR="005B6023" w:rsidRPr="00D95106">
        <w:rPr>
          <w:rFonts w:ascii="Arial" w:hAnsi="Arial" w:cs="Arial"/>
          <w:color w:val="000000" w:themeColor="text1"/>
          <w:szCs w:val="24"/>
          <w:lang w:eastAsia="es-CO"/>
        </w:rPr>
        <w:t>Costas de ambas instancias a cargo de la demandante y a favor de las demandadas de conformidad con el numeral 4º del artículo 365 del C.G.P.</w:t>
      </w:r>
    </w:p>
    <w:p w14:paraId="0808B0E0" w14:textId="77777777" w:rsidR="005B6023" w:rsidRPr="00D95106" w:rsidRDefault="005B6023" w:rsidP="0056557A">
      <w:pPr>
        <w:shd w:val="clear" w:color="auto" w:fill="FFFFFF"/>
        <w:tabs>
          <w:tab w:val="left" w:pos="5197"/>
        </w:tabs>
        <w:spacing w:line="288" w:lineRule="auto"/>
        <w:contextualSpacing/>
        <w:jc w:val="both"/>
        <w:rPr>
          <w:rFonts w:ascii="Arial" w:hAnsi="Arial" w:cs="Arial"/>
          <w:color w:val="000000" w:themeColor="text1"/>
          <w:szCs w:val="24"/>
        </w:rPr>
      </w:pPr>
    </w:p>
    <w:p w14:paraId="5276C211" w14:textId="77777777" w:rsidR="000C7575" w:rsidRPr="00D95106" w:rsidRDefault="000C7575" w:rsidP="0056557A">
      <w:pPr>
        <w:spacing w:line="288" w:lineRule="auto"/>
        <w:contextualSpacing/>
        <w:jc w:val="center"/>
        <w:rPr>
          <w:rFonts w:ascii="Arial" w:hAnsi="Arial" w:cs="Arial"/>
          <w:b/>
          <w:color w:val="000000" w:themeColor="text1"/>
          <w:szCs w:val="24"/>
        </w:rPr>
      </w:pPr>
      <w:r w:rsidRPr="00D95106">
        <w:rPr>
          <w:rFonts w:ascii="Arial" w:hAnsi="Arial" w:cs="Arial"/>
          <w:b/>
          <w:color w:val="000000" w:themeColor="text1"/>
          <w:szCs w:val="24"/>
        </w:rPr>
        <w:t>DECISIÓN</w:t>
      </w:r>
    </w:p>
    <w:p w14:paraId="30FFDA2C" w14:textId="77777777" w:rsidR="000C7575" w:rsidRPr="00D95106" w:rsidRDefault="000C7575" w:rsidP="0056557A">
      <w:pPr>
        <w:spacing w:line="288" w:lineRule="auto"/>
        <w:contextualSpacing/>
        <w:jc w:val="center"/>
        <w:rPr>
          <w:rFonts w:ascii="Arial" w:hAnsi="Arial" w:cs="Arial"/>
          <w:b/>
          <w:color w:val="000000" w:themeColor="text1"/>
          <w:szCs w:val="24"/>
        </w:rPr>
      </w:pPr>
    </w:p>
    <w:p w14:paraId="54A6208B" w14:textId="3629F4A2" w:rsidR="000C7575" w:rsidRPr="00D95106" w:rsidRDefault="000C7575" w:rsidP="0056557A">
      <w:pPr>
        <w:pStyle w:val="Prrafodelista2"/>
        <w:spacing w:after="0" w:line="288" w:lineRule="auto"/>
        <w:ind w:left="0"/>
        <w:jc w:val="both"/>
        <w:rPr>
          <w:rFonts w:ascii="Arial" w:hAnsi="Arial" w:cs="Arial"/>
          <w:color w:val="000000" w:themeColor="text1"/>
          <w:sz w:val="24"/>
          <w:szCs w:val="24"/>
          <w:lang w:val="es-ES_tradnl"/>
        </w:rPr>
      </w:pPr>
      <w:r w:rsidRPr="00D95106">
        <w:rPr>
          <w:rFonts w:ascii="Arial" w:hAnsi="Arial" w:cs="Arial"/>
          <w:color w:val="000000" w:themeColor="text1"/>
          <w:sz w:val="24"/>
          <w:szCs w:val="24"/>
          <w:lang w:val="es-ES_tradnl"/>
        </w:rPr>
        <w:t xml:space="preserve">En mérito de lo expuesto, el </w:t>
      </w:r>
      <w:r w:rsidRPr="00D95106">
        <w:rPr>
          <w:rFonts w:ascii="Arial" w:hAnsi="Arial" w:cs="Arial"/>
          <w:b/>
          <w:color w:val="000000" w:themeColor="text1"/>
          <w:sz w:val="24"/>
          <w:szCs w:val="24"/>
          <w:lang w:val="es-ES_tradnl"/>
        </w:rPr>
        <w:t>Tribunal Superior del Distrito Judicial de Pereira - Risaralda, Sala Segunda de Decisión Laboral,</w:t>
      </w:r>
      <w:r w:rsidRPr="00D95106">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D95106" w:rsidRDefault="00DC0E9C" w:rsidP="0056557A">
      <w:pPr>
        <w:pStyle w:val="Prrafodelista2"/>
        <w:spacing w:after="0" w:line="288" w:lineRule="auto"/>
        <w:ind w:left="0"/>
        <w:jc w:val="both"/>
        <w:rPr>
          <w:rFonts w:ascii="Arial" w:hAnsi="Arial" w:cs="Arial"/>
          <w:color w:val="000000" w:themeColor="text1"/>
          <w:sz w:val="24"/>
          <w:szCs w:val="24"/>
          <w:lang w:val="es-ES_tradnl"/>
        </w:rPr>
      </w:pPr>
    </w:p>
    <w:p w14:paraId="043B4BDE" w14:textId="77777777" w:rsidR="000C7575" w:rsidRPr="00D95106" w:rsidRDefault="000C7575" w:rsidP="0056557A">
      <w:pPr>
        <w:spacing w:line="288" w:lineRule="auto"/>
        <w:contextualSpacing/>
        <w:jc w:val="center"/>
        <w:rPr>
          <w:rFonts w:ascii="Arial" w:hAnsi="Arial" w:cs="Arial"/>
          <w:b/>
          <w:color w:val="000000" w:themeColor="text1"/>
          <w:szCs w:val="24"/>
        </w:rPr>
      </w:pPr>
      <w:r w:rsidRPr="00D95106">
        <w:rPr>
          <w:rFonts w:ascii="Arial" w:hAnsi="Arial" w:cs="Arial"/>
          <w:b/>
          <w:color w:val="000000" w:themeColor="text1"/>
          <w:szCs w:val="24"/>
        </w:rPr>
        <w:t>RESUELVE</w:t>
      </w:r>
    </w:p>
    <w:p w14:paraId="2FDC6C0D" w14:textId="77777777" w:rsidR="00DC0E9C" w:rsidRPr="00D95106" w:rsidRDefault="00DC0E9C" w:rsidP="0056557A">
      <w:pPr>
        <w:spacing w:line="288" w:lineRule="auto"/>
        <w:contextualSpacing/>
        <w:jc w:val="center"/>
        <w:rPr>
          <w:rFonts w:ascii="Arial" w:hAnsi="Arial" w:cs="Arial"/>
          <w:b/>
          <w:color w:val="000000" w:themeColor="text1"/>
          <w:szCs w:val="24"/>
        </w:rPr>
      </w:pPr>
    </w:p>
    <w:p w14:paraId="1F7BF254" w14:textId="267280D4" w:rsidR="00865F98" w:rsidRPr="00D95106" w:rsidRDefault="000C7575" w:rsidP="0056557A">
      <w:pPr>
        <w:pStyle w:val="Sinespaciado"/>
        <w:tabs>
          <w:tab w:val="left" w:pos="3387"/>
        </w:tabs>
        <w:spacing w:line="288" w:lineRule="auto"/>
        <w:contextualSpacing/>
        <w:jc w:val="both"/>
        <w:rPr>
          <w:rFonts w:ascii="Arial" w:hAnsi="Arial" w:cs="Arial"/>
          <w:b/>
          <w:bCs/>
          <w:sz w:val="24"/>
          <w:szCs w:val="24"/>
        </w:rPr>
      </w:pPr>
      <w:r w:rsidRPr="00D95106">
        <w:rPr>
          <w:rFonts w:ascii="Arial" w:hAnsi="Arial" w:cs="Arial"/>
          <w:b/>
          <w:color w:val="000000" w:themeColor="text1"/>
          <w:sz w:val="24"/>
          <w:szCs w:val="24"/>
          <w:u w:val="single"/>
        </w:rPr>
        <w:t>PRIMERO</w:t>
      </w:r>
      <w:r w:rsidRPr="00D95106">
        <w:rPr>
          <w:rFonts w:ascii="Arial" w:hAnsi="Arial" w:cs="Arial"/>
          <w:b/>
          <w:color w:val="000000" w:themeColor="text1"/>
          <w:sz w:val="24"/>
          <w:szCs w:val="24"/>
        </w:rPr>
        <w:t xml:space="preserve">: </w:t>
      </w:r>
      <w:r w:rsidR="005B6023" w:rsidRPr="00D95106">
        <w:rPr>
          <w:rFonts w:ascii="Arial" w:hAnsi="Arial" w:cs="Arial"/>
          <w:b/>
          <w:color w:val="000000" w:themeColor="text1"/>
          <w:sz w:val="24"/>
          <w:szCs w:val="24"/>
        </w:rPr>
        <w:t>REVOCAR</w:t>
      </w:r>
      <w:r w:rsidRPr="00D95106">
        <w:rPr>
          <w:rFonts w:ascii="Arial" w:hAnsi="Arial" w:cs="Arial"/>
          <w:b/>
          <w:color w:val="000000" w:themeColor="text1"/>
          <w:sz w:val="24"/>
          <w:szCs w:val="24"/>
        </w:rPr>
        <w:t xml:space="preserve"> </w:t>
      </w:r>
      <w:r w:rsidRPr="00D95106">
        <w:rPr>
          <w:rFonts w:ascii="Arial" w:hAnsi="Arial" w:cs="Arial"/>
          <w:color w:val="000000" w:themeColor="text1"/>
          <w:sz w:val="24"/>
          <w:szCs w:val="24"/>
        </w:rPr>
        <w:t>l</w:t>
      </w:r>
      <w:r w:rsidRPr="00D95106">
        <w:rPr>
          <w:rFonts w:ascii="Arial" w:eastAsia="Times New Roman" w:hAnsi="Arial" w:cs="Arial"/>
          <w:color w:val="000000" w:themeColor="text1"/>
          <w:sz w:val="24"/>
          <w:szCs w:val="24"/>
        </w:rPr>
        <w:t xml:space="preserve">a sentencia proferida el </w:t>
      </w:r>
      <w:r w:rsidR="00D41452" w:rsidRPr="00D95106">
        <w:rPr>
          <w:rFonts w:ascii="Arial" w:hAnsi="Arial" w:cs="Arial"/>
          <w:sz w:val="24"/>
          <w:szCs w:val="24"/>
        </w:rPr>
        <w:t xml:space="preserve">22 de marzo de 2019 por el Juzgado Tercero Laboral del Circuito de Pereira, dentro del proceso promovido por </w:t>
      </w:r>
      <w:r w:rsidR="00D41452" w:rsidRPr="00D95106">
        <w:rPr>
          <w:rFonts w:ascii="Arial" w:hAnsi="Arial" w:cs="Arial"/>
          <w:b/>
          <w:sz w:val="24"/>
          <w:szCs w:val="24"/>
        </w:rPr>
        <w:t>Juana Uribe Arango</w:t>
      </w:r>
      <w:r w:rsidR="00D41452" w:rsidRPr="00D95106">
        <w:rPr>
          <w:rFonts w:ascii="Arial" w:hAnsi="Arial" w:cs="Arial"/>
          <w:sz w:val="24"/>
          <w:szCs w:val="24"/>
        </w:rPr>
        <w:t xml:space="preserve"> contra la </w:t>
      </w:r>
      <w:r w:rsidR="00D41452" w:rsidRPr="00D95106">
        <w:rPr>
          <w:rFonts w:ascii="Arial" w:hAnsi="Arial" w:cs="Arial"/>
          <w:b/>
          <w:sz w:val="24"/>
          <w:szCs w:val="24"/>
        </w:rPr>
        <w:t xml:space="preserve">Administradora Colombiana de Pensiones </w:t>
      </w:r>
      <w:r w:rsidR="00D41452" w:rsidRPr="00D95106">
        <w:rPr>
          <w:rFonts w:ascii="Arial" w:hAnsi="Arial" w:cs="Arial"/>
          <w:b/>
          <w:bCs/>
          <w:sz w:val="24"/>
          <w:szCs w:val="24"/>
        </w:rPr>
        <w:t>Colpensiones,</w:t>
      </w:r>
      <w:r w:rsidR="00D41452" w:rsidRPr="00D95106">
        <w:rPr>
          <w:rFonts w:ascii="Arial" w:hAnsi="Arial" w:cs="Arial"/>
          <w:bCs/>
          <w:sz w:val="24"/>
          <w:szCs w:val="24"/>
        </w:rPr>
        <w:t xml:space="preserve"> </w:t>
      </w:r>
      <w:r w:rsidR="00D41452" w:rsidRPr="00D95106">
        <w:rPr>
          <w:rFonts w:ascii="Arial" w:hAnsi="Arial" w:cs="Arial"/>
          <w:b/>
          <w:bCs/>
          <w:sz w:val="24"/>
          <w:szCs w:val="24"/>
        </w:rPr>
        <w:t xml:space="preserve">Porvenir S.A. </w:t>
      </w:r>
      <w:r w:rsidR="00D41452" w:rsidRPr="00D95106">
        <w:rPr>
          <w:rFonts w:ascii="Arial" w:hAnsi="Arial" w:cs="Arial"/>
          <w:bCs/>
          <w:sz w:val="24"/>
          <w:szCs w:val="24"/>
        </w:rPr>
        <w:t>y</w:t>
      </w:r>
      <w:r w:rsidR="00D41452" w:rsidRPr="00D95106">
        <w:rPr>
          <w:rFonts w:ascii="Arial" w:hAnsi="Arial" w:cs="Arial"/>
          <w:b/>
          <w:bCs/>
          <w:sz w:val="24"/>
          <w:szCs w:val="24"/>
        </w:rPr>
        <w:t xml:space="preserve"> Protección S.A., </w:t>
      </w:r>
      <w:r w:rsidR="005B6023" w:rsidRPr="00D95106">
        <w:rPr>
          <w:rFonts w:ascii="Arial" w:eastAsia="Times New Roman" w:hAnsi="Arial" w:cs="Arial"/>
          <w:color w:val="000000" w:themeColor="text1"/>
          <w:sz w:val="24"/>
          <w:szCs w:val="24"/>
        </w:rPr>
        <w:t>para en su lugar denegar las pretensiones.</w:t>
      </w:r>
    </w:p>
    <w:p w14:paraId="50A7EC3F" w14:textId="77777777" w:rsidR="00724864" w:rsidRPr="00D95106" w:rsidRDefault="00724864" w:rsidP="0056557A">
      <w:pPr>
        <w:pStyle w:val="Sinespaciado"/>
        <w:tabs>
          <w:tab w:val="left" w:pos="3387"/>
        </w:tabs>
        <w:spacing w:line="288" w:lineRule="auto"/>
        <w:contextualSpacing/>
        <w:jc w:val="both"/>
        <w:rPr>
          <w:rFonts w:ascii="Arial" w:eastAsia="Times New Roman" w:hAnsi="Arial" w:cs="Arial"/>
          <w:color w:val="000000" w:themeColor="text1"/>
          <w:sz w:val="24"/>
          <w:szCs w:val="24"/>
        </w:rPr>
      </w:pPr>
    </w:p>
    <w:p w14:paraId="1C4819BC" w14:textId="40CCAF8B" w:rsidR="000C7575" w:rsidRPr="00D95106" w:rsidRDefault="000C7575" w:rsidP="0056557A">
      <w:pPr>
        <w:pStyle w:val="Sinespaciado"/>
        <w:tabs>
          <w:tab w:val="left" w:pos="3387"/>
        </w:tabs>
        <w:spacing w:line="288" w:lineRule="auto"/>
        <w:contextualSpacing/>
        <w:jc w:val="both"/>
        <w:rPr>
          <w:rFonts w:ascii="Arial" w:hAnsi="Arial" w:cs="Arial"/>
          <w:color w:val="000000" w:themeColor="text1"/>
          <w:sz w:val="24"/>
          <w:szCs w:val="24"/>
        </w:rPr>
      </w:pPr>
      <w:r w:rsidRPr="00D95106">
        <w:rPr>
          <w:rFonts w:ascii="Arial" w:hAnsi="Arial" w:cs="Arial"/>
          <w:b/>
          <w:color w:val="000000" w:themeColor="text1"/>
          <w:sz w:val="24"/>
          <w:szCs w:val="24"/>
          <w:u w:val="single"/>
        </w:rPr>
        <w:t>SEGUNDO:</w:t>
      </w:r>
      <w:r w:rsidRPr="00D95106">
        <w:rPr>
          <w:rFonts w:ascii="Arial" w:hAnsi="Arial" w:cs="Arial"/>
          <w:color w:val="000000" w:themeColor="text1"/>
          <w:sz w:val="24"/>
          <w:szCs w:val="24"/>
        </w:rPr>
        <w:t xml:space="preserve"> </w:t>
      </w:r>
      <w:r w:rsidR="005B6023" w:rsidRPr="00D95106">
        <w:rPr>
          <w:rFonts w:ascii="Arial" w:hAnsi="Arial" w:cs="Arial"/>
          <w:color w:val="000000" w:themeColor="text1"/>
          <w:sz w:val="24"/>
          <w:szCs w:val="24"/>
          <w:lang w:eastAsia="es-CO"/>
        </w:rPr>
        <w:t>Costas de ambas instancias a cargo de la demandante y a favor de las demandadas.</w:t>
      </w:r>
    </w:p>
    <w:p w14:paraId="151002DD" w14:textId="77777777" w:rsidR="000C7575" w:rsidRPr="00D95106" w:rsidRDefault="000C7575" w:rsidP="0056557A">
      <w:pPr>
        <w:spacing w:line="288" w:lineRule="auto"/>
        <w:contextualSpacing/>
        <w:jc w:val="both"/>
        <w:rPr>
          <w:rFonts w:ascii="Arial" w:hAnsi="Arial" w:cs="Arial"/>
          <w:color w:val="000000" w:themeColor="text1"/>
          <w:szCs w:val="24"/>
        </w:rPr>
      </w:pPr>
    </w:p>
    <w:p w14:paraId="3996D3D4" w14:textId="77777777" w:rsidR="003C2F9F" w:rsidRPr="00D95106" w:rsidRDefault="003C2F9F" w:rsidP="0056557A">
      <w:pPr>
        <w:spacing w:line="288" w:lineRule="auto"/>
        <w:contextualSpacing/>
        <w:jc w:val="both"/>
        <w:rPr>
          <w:rFonts w:ascii="Arial" w:hAnsi="Arial" w:cs="Arial"/>
          <w:color w:val="000000" w:themeColor="text1"/>
          <w:szCs w:val="24"/>
        </w:rPr>
      </w:pPr>
    </w:p>
    <w:p w14:paraId="224A894A" w14:textId="77777777" w:rsidR="000C7575" w:rsidRPr="00D95106" w:rsidRDefault="000C7575" w:rsidP="0056557A">
      <w:pPr>
        <w:spacing w:line="288" w:lineRule="auto"/>
        <w:contextualSpacing/>
        <w:jc w:val="both"/>
        <w:rPr>
          <w:rFonts w:ascii="Arial" w:hAnsi="Arial" w:cs="Arial"/>
          <w:color w:val="000000" w:themeColor="text1"/>
          <w:szCs w:val="24"/>
        </w:rPr>
      </w:pPr>
      <w:r w:rsidRPr="00D95106">
        <w:rPr>
          <w:rFonts w:ascii="Arial" w:hAnsi="Arial" w:cs="Arial"/>
          <w:color w:val="000000" w:themeColor="text1"/>
          <w:szCs w:val="24"/>
        </w:rPr>
        <w:t>Notificación surtida en estrados.</w:t>
      </w:r>
    </w:p>
    <w:p w14:paraId="28A769E9" w14:textId="77777777" w:rsidR="003C2F9F" w:rsidRPr="00D95106" w:rsidRDefault="003C2F9F" w:rsidP="0056557A">
      <w:pPr>
        <w:spacing w:line="288" w:lineRule="auto"/>
        <w:contextualSpacing/>
        <w:jc w:val="both"/>
        <w:rPr>
          <w:rFonts w:ascii="Arial" w:hAnsi="Arial" w:cs="Arial"/>
          <w:color w:val="000000" w:themeColor="text1"/>
          <w:szCs w:val="24"/>
        </w:rPr>
      </w:pPr>
    </w:p>
    <w:p w14:paraId="2081ADC8" w14:textId="77777777" w:rsidR="000C7575" w:rsidRPr="00D95106" w:rsidRDefault="000C7575" w:rsidP="0056557A">
      <w:pPr>
        <w:pStyle w:val="Textoindependiente"/>
        <w:spacing w:line="288" w:lineRule="auto"/>
        <w:contextualSpacing/>
        <w:rPr>
          <w:color w:val="000000" w:themeColor="text1"/>
          <w:szCs w:val="24"/>
        </w:rPr>
      </w:pPr>
    </w:p>
    <w:p w14:paraId="29F49997" w14:textId="77777777" w:rsidR="000C7575" w:rsidRPr="00D95106" w:rsidRDefault="000C7575" w:rsidP="0056557A">
      <w:pPr>
        <w:pStyle w:val="Textoindependiente"/>
        <w:spacing w:line="288" w:lineRule="auto"/>
        <w:contextualSpacing/>
        <w:rPr>
          <w:color w:val="000000" w:themeColor="text1"/>
          <w:szCs w:val="24"/>
        </w:rPr>
      </w:pPr>
      <w:r w:rsidRPr="00D95106">
        <w:rPr>
          <w:color w:val="000000" w:themeColor="text1"/>
          <w:szCs w:val="24"/>
        </w:rPr>
        <w:t>No siendo otro el objeto de la presente audiencia, se eleva y firma esta acta por las personas que han intervenido.</w:t>
      </w:r>
    </w:p>
    <w:p w14:paraId="27B4F7B8" w14:textId="77777777" w:rsidR="000C7575" w:rsidRPr="00D95106" w:rsidRDefault="000C7575" w:rsidP="0056557A">
      <w:pPr>
        <w:widowControl w:val="0"/>
        <w:autoSpaceDE w:val="0"/>
        <w:autoSpaceDN w:val="0"/>
        <w:adjustRightInd w:val="0"/>
        <w:spacing w:line="288" w:lineRule="auto"/>
        <w:contextualSpacing/>
        <w:jc w:val="both"/>
        <w:rPr>
          <w:rFonts w:ascii="Arial" w:hAnsi="Arial" w:cs="Arial"/>
          <w:color w:val="000000" w:themeColor="text1"/>
          <w:szCs w:val="24"/>
        </w:rPr>
      </w:pPr>
    </w:p>
    <w:p w14:paraId="64901AB8" w14:textId="77777777" w:rsidR="000C7575" w:rsidRPr="00D95106" w:rsidRDefault="000C7575" w:rsidP="0056557A">
      <w:pPr>
        <w:widowControl w:val="0"/>
        <w:autoSpaceDE w:val="0"/>
        <w:autoSpaceDN w:val="0"/>
        <w:adjustRightInd w:val="0"/>
        <w:spacing w:line="288" w:lineRule="auto"/>
        <w:contextualSpacing/>
        <w:jc w:val="both"/>
        <w:rPr>
          <w:rFonts w:ascii="Arial" w:hAnsi="Arial" w:cs="Arial"/>
          <w:color w:val="000000" w:themeColor="text1"/>
          <w:szCs w:val="24"/>
        </w:rPr>
      </w:pPr>
      <w:r w:rsidRPr="00D95106">
        <w:rPr>
          <w:rFonts w:ascii="Arial" w:hAnsi="Arial" w:cs="Arial"/>
          <w:color w:val="000000" w:themeColor="text1"/>
          <w:szCs w:val="24"/>
        </w:rPr>
        <w:t>Quienes integran la Sala,</w:t>
      </w:r>
    </w:p>
    <w:p w14:paraId="19D27652" w14:textId="77777777" w:rsidR="00D95106" w:rsidRPr="00D95106" w:rsidRDefault="00D95106" w:rsidP="0056557A">
      <w:pPr>
        <w:autoSpaceDE w:val="0"/>
        <w:autoSpaceDN w:val="0"/>
        <w:adjustRightInd w:val="0"/>
        <w:spacing w:line="288" w:lineRule="auto"/>
        <w:jc w:val="both"/>
        <w:rPr>
          <w:rFonts w:ascii="Arial" w:hAnsi="Arial" w:cs="Arial"/>
          <w:spacing w:val="-4"/>
          <w:sz w:val="20"/>
          <w:szCs w:val="24"/>
          <w:lang w:val="es-ES"/>
        </w:rPr>
      </w:pPr>
    </w:p>
    <w:p w14:paraId="3A11F3D8" w14:textId="77777777" w:rsidR="00D95106" w:rsidRPr="00D95106" w:rsidRDefault="00D95106" w:rsidP="0056557A">
      <w:pPr>
        <w:autoSpaceDE w:val="0"/>
        <w:autoSpaceDN w:val="0"/>
        <w:adjustRightInd w:val="0"/>
        <w:spacing w:line="288" w:lineRule="auto"/>
        <w:jc w:val="both"/>
        <w:rPr>
          <w:rFonts w:ascii="Arial" w:hAnsi="Arial" w:cs="Arial"/>
          <w:spacing w:val="-4"/>
          <w:sz w:val="20"/>
          <w:szCs w:val="24"/>
          <w:lang w:val="es-ES"/>
        </w:rPr>
      </w:pPr>
    </w:p>
    <w:p w14:paraId="5DC466F4" w14:textId="77777777" w:rsidR="00D95106" w:rsidRPr="00D95106" w:rsidRDefault="00D95106" w:rsidP="0056557A">
      <w:pPr>
        <w:autoSpaceDE w:val="0"/>
        <w:autoSpaceDN w:val="0"/>
        <w:adjustRightInd w:val="0"/>
        <w:spacing w:line="288" w:lineRule="auto"/>
        <w:jc w:val="both"/>
        <w:rPr>
          <w:rFonts w:ascii="Arial" w:hAnsi="Arial" w:cs="Arial"/>
          <w:spacing w:val="-4"/>
          <w:sz w:val="20"/>
          <w:szCs w:val="24"/>
          <w:lang w:val="es-ES"/>
        </w:rPr>
      </w:pPr>
    </w:p>
    <w:p w14:paraId="52AE9567" w14:textId="77777777" w:rsidR="00D95106" w:rsidRPr="00D95106" w:rsidRDefault="00D95106" w:rsidP="0056557A">
      <w:pPr>
        <w:spacing w:line="288" w:lineRule="auto"/>
        <w:contextualSpacing/>
        <w:jc w:val="center"/>
        <w:rPr>
          <w:rFonts w:ascii="Arial" w:hAnsi="Arial" w:cs="Arial"/>
          <w:b/>
          <w:spacing w:val="-4"/>
          <w:szCs w:val="24"/>
          <w:lang w:val="es-CO"/>
        </w:rPr>
      </w:pPr>
      <w:r w:rsidRPr="00D95106">
        <w:rPr>
          <w:rFonts w:ascii="Arial" w:hAnsi="Arial" w:cs="Arial"/>
          <w:b/>
          <w:spacing w:val="-4"/>
          <w:szCs w:val="24"/>
          <w:lang w:val="es-CO"/>
        </w:rPr>
        <w:t>OLGA LUCÍA HOYOS SEPÚLVEDA</w:t>
      </w:r>
    </w:p>
    <w:p w14:paraId="0EA66670" w14:textId="77777777" w:rsidR="00D95106" w:rsidRPr="00D95106" w:rsidRDefault="00D95106" w:rsidP="0056557A">
      <w:pPr>
        <w:autoSpaceDE w:val="0"/>
        <w:autoSpaceDN w:val="0"/>
        <w:adjustRightInd w:val="0"/>
        <w:spacing w:line="288" w:lineRule="auto"/>
        <w:jc w:val="center"/>
        <w:rPr>
          <w:rFonts w:ascii="Arial" w:hAnsi="Arial" w:cs="Arial"/>
          <w:spacing w:val="-4"/>
          <w:szCs w:val="24"/>
          <w:lang w:val="es-ES"/>
        </w:rPr>
      </w:pPr>
      <w:r w:rsidRPr="00D95106">
        <w:rPr>
          <w:rFonts w:ascii="Arial" w:hAnsi="Arial" w:cs="Arial"/>
          <w:spacing w:val="-4"/>
          <w:szCs w:val="24"/>
          <w:lang w:val="es-ES"/>
        </w:rPr>
        <w:t>Magistrada Ponente</w:t>
      </w:r>
    </w:p>
    <w:p w14:paraId="20B49E3F" w14:textId="77777777" w:rsidR="00D95106" w:rsidRPr="00D95106" w:rsidRDefault="00D95106" w:rsidP="0056557A">
      <w:pPr>
        <w:autoSpaceDE w:val="0"/>
        <w:autoSpaceDN w:val="0"/>
        <w:adjustRightInd w:val="0"/>
        <w:spacing w:line="288" w:lineRule="auto"/>
        <w:jc w:val="both"/>
        <w:rPr>
          <w:rFonts w:ascii="Arial" w:hAnsi="Arial" w:cs="Arial"/>
          <w:spacing w:val="-4"/>
          <w:sz w:val="20"/>
          <w:szCs w:val="24"/>
          <w:lang w:val="es-ES"/>
        </w:rPr>
      </w:pPr>
    </w:p>
    <w:p w14:paraId="4C279C45" w14:textId="77777777" w:rsidR="00D95106" w:rsidRPr="00D95106" w:rsidRDefault="00D95106" w:rsidP="0056557A">
      <w:pPr>
        <w:autoSpaceDE w:val="0"/>
        <w:autoSpaceDN w:val="0"/>
        <w:adjustRightInd w:val="0"/>
        <w:spacing w:line="288" w:lineRule="auto"/>
        <w:jc w:val="both"/>
        <w:rPr>
          <w:rFonts w:ascii="Arial" w:hAnsi="Arial" w:cs="Arial"/>
          <w:spacing w:val="-4"/>
          <w:sz w:val="20"/>
          <w:szCs w:val="24"/>
          <w:lang w:val="es-ES"/>
        </w:rPr>
      </w:pPr>
    </w:p>
    <w:p w14:paraId="26A2E48D" w14:textId="77777777" w:rsidR="00D95106" w:rsidRPr="00D95106" w:rsidRDefault="00D95106" w:rsidP="0056557A">
      <w:pPr>
        <w:autoSpaceDE w:val="0"/>
        <w:autoSpaceDN w:val="0"/>
        <w:adjustRightInd w:val="0"/>
        <w:spacing w:line="288" w:lineRule="auto"/>
        <w:jc w:val="both"/>
        <w:rPr>
          <w:rFonts w:ascii="Arial" w:hAnsi="Arial" w:cs="Arial"/>
          <w:spacing w:val="-4"/>
          <w:sz w:val="20"/>
          <w:szCs w:val="24"/>
          <w:lang w:val="es-ES"/>
        </w:rPr>
      </w:pPr>
    </w:p>
    <w:p w14:paraId="5226B4C3" w14:textId="77777777" w:rsidR="00D95106" w:rsidRPr="00D95106" w:rsidRDefault="00D95106" w:rsidP="0056557A">
      <w:pPr>
        <w:spacing w:line="288" w:lineRule="auto"/>
        <w:contextualSpacing/>
        <w:jc w:val="both"/>
        <w:rPr>
          <w:rFonts w:ascii="Arial" w:hAnsi="Arial" w:cs="Arial"/>
          <w:b/>
          <w:spacing w:val="-4"/>
          <w:szCs w:val="24"/>
          <w:lang w:val="es-CO"/>
        </w:rPr>
      </w:pPr>
      <w:r w:rsidRPr="00D95106">
        <w:rPr>
          <w:rFonts w:ascii="Arial" w:hAnsi="Arial" w:cs="Arial"/>
          <w:b/>
          <w:spacing w:val="-4"/>
          <w:szCs w:val="24"/>
          <w:lang w:val="es-CO"/>
        </w:rPr>
        <w:t>JULIO CÉSAR SALAZAR MUÑOZ</w:t>
      </w:r>
      <w:r w:rsidRPr="00D95106">
        <w:rPr>
          <w:rFonts w:ascii="Arial" w:hAnsi="Arial" w:cs="Arial"/>
          <w:b/>
          <w:spacing w:val="-4"/>
          <w:szCs w:val="24"/>
          <w:lang w:val="es-CO"/>
        </w:rPr>
        <w:tab/>
        <w:t>FRANCISCO JAVIER TAMAYO TABARES</w:t>
      </w:r>
    </w:p>
    <w:p w14:paraId="51E1BFA3" w14:textId="1790C0D1" w:rsidR="006D7ECC" w:rsidRPr="00D95106" w:rsidRDefault="00D95106" w:rsidP="0056557A">
      <w:pPr>
        <w:spacing w:line="288" w:lineRule="auto"/>
        <w:rPr>
          <w:rFonts w:ascii="Arial" w:eastAsia="Calibri" w:hAnsi="Arial" w:cs="Arial"/>
          <w:spacing w:val="-4"/>
          <w:szCs w:val="24"/>
          <w:lang w:val="es-ES" w:eastAsia="en-US"/>
        </w:rPr>
      </w:pPr>
      <w:r w:rsidRPr="00D95106">
        <w:rPr>
          <w:rFonts w:ascii="Arial" w:eastAsia="Calibri" w:hAnsi="Arial" w:cs="Arial"/>
          <w:spacing w:val="-4"/>
          <w:szCs w:val="24"/>
          <w:lang w:val="es-ES" w:eastAsia="en-US"/>
        </w:rPr>
        <w:t>Magistrado</w:t>
      </w:r>
      <w:r w:rsidRPr="00D95106">
        <w:rPr>
          <w:rFonts w:ascii="Arial" w:eastAsia="Calibri" w:hAnsi="Arial" w:cs="Arial"/>
          <w:spacing w:val="-4"/>
          <w:szCs w:val="24"/>
          <w:lang w:val="es-ES" w:eastAsia="en-US"/>
        </w:rPr>
        <w:tab/>
      </w:r>
      <w:r w:rsidRPr="00D95106">
        <w:rPr>
          <w:rFonts w:ascii="Arial" w:eastAsia="Calibri" w:hAnsi="Arial" w:cs="Arial"/>
          <w:spacing w:val="-4"/>
          <w:szCs w:val="24"/>
          <w:lang w:val="es-ES" w:eastAsia="en-US"/>
        </w:rPr>
        <w:tab/>
      </w:r>
      <w:r w:rsidRPr="00D95106">
        <w:rPr>
          <w:rFonts w:ascii="Arial" w:eastAsia="Calibri" w:hAnsi="Arial" w:cs="Arial"/>
          <w:spacing w:val="-4"/>
          <w:szCs w:val="24"/>
          <w:lang w:val="es-ES" w:eastAsia="en-US"/>
        </w:rPr>
        <w:tab/>
      </w:r>
      <w:r w:rsidRPr="00D95106">
        <w:rPr>
          <w:rFonts w:ascii="Arial" w:eastAsia="Calibri" w:hAnsi="Arial" w:cs="Arial"/>
          <w:spacing w:val="-4"/>
          <w:szCs w:val="24"/>
          <w:lang w:val="es-ES" w:eastAsia="en-US"/>
        </w:rPr>
        <w:tab/>
      </w:r>
      <w:r w:rsidRPr="00D95106">
        <w:rPr>
          <w:rFonts w:ascii="Arial" w:eastAsia="Calibri" w:hAnsi="Arial" w:cs="Arial"/>
          <w:spacing w:val="-4"/>
          <w:szCs w:val="24"/>
          <w:lang w:val="es-ES" w:eastAsia="en-US"/>
        </w:rPr>
        <w:tab/>
        <w:t>Magistrado</w:t>
      </w:r>
    </w:p>
    <w:sectPr w:rsidR="006D7ECC" w:rsidRPr="00D95106" w:rsidSect="00D95106">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4F09" w14:textId="77777777" w:rsidR="004F5011" w:rsidRDefault="004F5011" w:rsidP="00AD05E0">
      <w:r>
        <w:separator/>
      </w:r>
    </w:p>
  </w:endnote>
  <w:endnote w:type="continuationSeparator" w:id="0">
    <w:p w14:paraId="7C7B38C0" w14:textId="77777777" w:rsidR="004F5011" w:rsidRDefault="004F5011"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5FEE922B" w14:textId="77777777" w:rsidR="00F637D0" w:rsidRPr="00D95106" w:rsidRDefault="00F637D0">
        <w:pPr>
          <w:pStyle w:val="Piedepgina"/>
          <w:jc w:val="right"/>
          <w:rPr>
            <w:rFonts w:ascii="Arial" w:hAnsi="Arial" w:cs="Arial"/>
            <w:sz w:val="18"/>
          </w:rPr>
        </w:pPr>
        <w:r w:rsidRPr="00D95106">
          <w:rPr>
            <w:rFonts w:ascii="Arial" w:hAnsi="Arial" w:cs="Arial"/>
            <w:sz w:val="18"/>
          </w:rPr>
          <w:fldChar w:fldCharType="begin"/>
        </w:r>
        <w:r w:rsidRPr="00D95106">
          <w:rPr>
            <w:rFonts w:ascii="Arial" w:hAnsi="Arial" w:cs="Arial"/>
            <w:sz w:val="18"/>
          </w:rPr>
          <w:instrText>PAGE   \* MERGEFORMAT</w:instrText>
        </w:r>
        <w:r w:rsidRPr="00D95106">
          <w:rPr>
            <w:rFonts w:ascii="Arial" w:hAnsi="Arial" w:cs="Arial"/>
            <w:sz w:val="18"/>
          </w:rPr>
          <w:fldChar w:fldCharType="separate"/>
        </w:r>
        <w:r w:rsidR="00182D14" w:rsidRPr="00182D14">
          <w:rPr>
            <w:rFonts w:ascii="Arial" w:hAnsi="Arial" w:cs="Arial"/>
            <w:noProof/>
            <w:sz w:val="18"/>
            <w:lang w:val="es-ES"/>
          </w:rPr>
          <w:t>9</w:t>
        </w:r>
        <w:r w:rsidRPr="00D95106">
          <w:rPr>
            <w:rFonts w:ascii="Arial" w:hAnsi="Arial" w:cs="Arial"/>
            <w:sz w:val="18"/>
          </w:rPr>
          <w:fldChar w:fldCharType="end"/>
        </w:r>
      </w:p>
    </w:sdtContent>
  </w:sdt>
  <w:p w14:paraId="5E6A76CD" w14:textId="77777777" w:rsidR="00F637D0" w:rsidRDefault="00F637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23B0F" w14:textId="77777777" w:rsidR="004F5011" w:rsidRDefault="004F5011" w:rsidP="00AD05E0">
      <w:r>
        <w:separator/>
      </w:r>
    </w:p>
  </w:footnote>
  <w:footnote w:type="continuationSeparator" w:id="0">
    <w:p w14:paraId="5EAF6B91" w14:textId="77777777" w:rsidR="004F5011" w:rsidRDefault="004F5011" w:rsidP="00AD05E0">
      <w:r>
        <w:continuationSeparator/>
      </w:r>
    </w:p>
  </w:footnote>
  <w:footnote w:id="1">
    <w:p w14:paraId="549DBB81" w14:textId="77777777" w:rsidR="00194422" w:rsidRPr="00D95106" w:rsidRDefault="00194422" w:rsidP="00D95106">
      <w:pPr>
        <w:pStyle w:val="Textonotapie"/>
        <w:jc w:val="both"/>
        <w:rPr>
          <w:rFonts w:ascii="Arial" w:hAnsi="Arial" w:cs="Arial"/>
          <w:sz w:val="18"/>
          <w:szCs w:val="18"/>
          <w:lang w:val="es-CO"/>
        </w:rPr>
      </w:pPr>
      <w:r w:rsidRPr="00D95106">
        <w:rPr>
          <w:rStyle w:val="Refdenotaalpie"/>
          <w:rFonts w:ascii="Arial" w:hAnsi="Arial" w:cs="Arial"/>
          <w:sz w:val="18"/>
          <w:szCs w:val="18"/>
        </w:rPr>
        <w:footnoteRef/>
      </w:r>
      <w:r w:rsidRPr="00D95106">
        <w:rPr>
          <w:rFonts w:ascii="Arial" w:hAnsi="Arial" w:cs="Arial"/>
          <w:sz w:val="18"/>
          <w:szCs w:val="18"/>
        </w:rPr>
        <w:t xml:space="preserve"> </w:t>
      </w:r>
      <w:r w:rsidRPr="00D95106">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4813CAF2"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BC41B8">
      <w:rPr>
        <w:rFonts w:ascii="Arial" w:hAnsi="Arial" w:cs="Arial"/>
        <w:sz w:val="18"/>
        <w:szCs w:val="18"/>
      </w:rPr>
      <w:t>3</w:t>
    </w:r>
    <w:r>
      <w:rPr>
        <w:rFonts w:ascii="Arial" w:hAnsi="Arial" w:cs="Arial"/>
        <w:sz w:val="18"/>
        <w:szCs w:val="18"/>
      </w:rPr>
      <w:t>-201</w:t>
    </w:r>
    <w:r w:rsidR="00BC41B8">
      <w:rPr>
        <w:rFonts w:ascii="Arial" w:hAnsi="Arial" w:cs="Arial"/>
        <w:sz w:val="18"/>
        <w:szCs w:val="18"/>
      </w:rPr>
      <w:t>8</w:t>
    </w:r>
    <w:r>
      <w:rPr>
        <w:rFonts w:ascii="Arial" w:hAnsi="Arial" w:cs="Arial"/>
        <w:sz w:val="18"/>
        <w:szCs w:val="18"/>
      </w:rPr>
      <w:t>-00</w:t>
    </w:r>
    <w:r w:rsidR="00BC41B8">
      <w:rPr>
        <w:rFonts w:ascii="Arial" w:hAnsi="Arial" w:cs="Arial"/>
        <w:sz w:val="18"/>
        <w:szCs w:val="18"/>
      </w:rPr>
      <w:t>133</w:t>
    </w:r>
    <w:r>
      <w:rPr>
        <w:rFonts w:ascii="Arial" w:hAnsi="Arial" w:cs="Arial"/>
        <w:sz w:val="18"/>
        <w:szCs w:val="18"/>
      </w:rPr>
      <w:t>-01</w:t>
    </w:r>
  </w:p>
  <w:p w14:paraId="4EB9A5EC" w14:textId="2A0B0E46" w:rsidR="00F637D0" w:rsidRPr="00BB3FED" w:rsidRDefault="00BC41B8" w:rsidP="00AD05E0">
    <w:pPr>
      <w:pStyle w:val="Encabezado"/>
      <w:jc w:val="center"/>
      <w:rPr>
        <w:rFonts w:ascii="Arial" w:hAnsi="Arial" w:cs="Arial"/>
        <w:sz w:val="18"/>
        <w:szCs w:val="18"/>
      </w:rPr>
    </w:pPr>
    <w:r>
      <w:rPr>
        <w:rFonts w:ascii="Arial" w:hAnsi="Arial" w:cs="Arial"/>
        <w:sz w:val="18"/>
        <w:szCs w:val="18"/>
      </w:rPr>
      <w:t>Juana Uribe Arango</w:t>
    </w:r>
    <w:r w:rsidR="00F637D0">
      <w:rPr>
        <w:rFonts w:ascii="Arial" w:hAnsi="Arial" w:cs="Arial"/>
        <w:sz w:val="18"/>
        <w:szCs w:val="18"/>
      </w:rPr>
      <w:t xml:space="preserve"> </w:t>
    </w:r>
    <w:r w:rsidR="00F637D0" w:rsidRPr="00BB3FED">
      <w:rPr>
        <w:rFonts w:ascii="Arial" w:hAnsi="Arial" w:cs="Arial"/>
        <w:sz w:val="18"/>
        <w:szCs w:val="18"/>
      </w:rPr>
      <w:t xml:space="preserve">vs </w:t>
    </w:r>
    <w:r>
      <w:rPr>
        <w:rFonts w:ascii="Arial" w:hAnsi="Arial" w:cs="Arial"/>
        <w:sz w:val="18"/>
        <w:szCs w:val="18"/>
      </w:rPr>
      <w:t xml:space="preserve">Colpensiones, </w:t>
    </w:r>
    <w:r w:rsidR="00F637D0">
      <w:rPr>
        <w:rFonts w:ascii="Arial" w:hAnsi="Arial" w:cs="Arial"/>
        <w:sz w:val="18"/>
        <w:szCs w:val="18"/>
      </w:rPr>
      <w:t>P</w:t>
    </w:r>
    <w:r w:rsidR="006A2C98">
      <w:rPr>
        <w:rFonts w:ascii="Arial" w:hAnsi="Arial" w:cs="Arial"/>
        <w:sz w:val="18"/>
        <w:szCs w:val="18"/>
      </w:rPr>
      <w:t>orvenir</w:t>
    </w:r>
    <w:r w:rsidR="00F637D0">
      <w:rPr>
        <w:rFonts w:ascii="Arial" w:hAnsi="Arial" w:cs="Arial"/>
        <w:sz w:val="18"/>
        <w:szCs w:val="18"/>
      </w:rPr>
      <w:t xml:space="preserve"> S.A.</w:t>
    </w:r>
    <w:r>
      <w:rPr>
        <w:rFonts w:ascii="Arial" w:hAnsi="Arial" w:cs="Arial"/>
        <w:sz w:val="18"/>
        <w:szCs w:val="18"/>
      </w:rPr>
      <w:t xml:space="preserve"> y Protección S.A.</w:t>
    </w:r>
  </w:p>
  <w:p w14:paraId="431F3191" w14:textId="77777777" w:rsidR="00F637D0" w:rsidRPr="00AD05E0" w:rsidRDefault="00F637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4"/>
  </w:num>
  <w:num w:numId="6">
    <w:abstractNumId w:val="9"/>
  </w:num>
  <w:num w:numId="7">
    <w:abstractNumId w:val="11"/>
  </w:num>
  <w:num w:numId="8">
    <w:abstractNumId w:val="3"/>
  </w:num>
  <w:num w:numId="9">
    <w:abstractNumId w:val="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2018D"/>
    <w:rsid w:val="0002355D"/>
    <w:rsid w:val="00024061"/>
    <w:rsid w:val="00026B8E"/>
    <w:rsid w:val="00031373"/>
    <w:rsid w:val="000363A7"/>
    <w:rsid w:val="00042329"/>
    <w:rsid w:val="0004459B"/>
    <w:rsid w:val="00046A38"/>
    <w:rsid w:val="00050104"/>
    <w:rsid w:val="000503EF"/>
    <w:rsid w:val="00050617"/>
    <w:rsid w:val="0005728F"/>
    <w:rsid w:val="00061B8E"/>
    <w:rsid w:val="00066BC1"/>
    <w:rsid w:val="000679C6"/>
    <w:rsid w:val="00067DDB"/>
    <w:rsid w:val="00074F93"/>
    <w:rsid w:val="0007545E"/>
    <w:rsid w:val="000766DA"/>
    <w:rsid w:val="00081A2D"/>
    <w:rsid w:val="00084E89"/>
    <w:rsid w:val="00085E2B"/>
    <w:rsid w:val="00087B8A"/>
    <w:rsid w:val="00093D99"/>
    <w:rsid w:val="000947FC"/>
    <w:rsid w:val="000A351A"/>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156B"/>
    <w:rsid w:val="00174D44"/>
    <w:rsid w:val="001753E0"/>
    <w:rsid w:val="001776D0"/>
    <w:rsid w:val="00182D14"/>
    <w:rsid w:val="00182E71"/>
    <w:rsid w:val="001838B2"/>
    <w:rsid w:val="00194422"/>
    <w:rsid w:val="00194B13"/>
    <w:rsid w:val="00196261"/>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7003"/>
    <w:rsid w:val="002003A0"/>
    <w:rsid w:val="00200ECE"/>
    <w:rsid w:val="00203A41"/>
    <w:rsid w:val="00204B9C"/>
    <w:rsid w:val="00205F81"/>
    <w:rsid w:val="00211DFE"/>
    <w:rsid w:val="00213AFF"/>
    <w:rsid w:val="00215FF6"/>
    <w:rsid w:val="00217004"/>
    <w:rsid w:val="00217094"/>
    <w:rsid w:val="00217998"/>
    <w:rsid w:val="00220966"/>
    <w:rsid w:val="00221F1D"/>
    <w:rsid w:val="00224029"/>
    <w:rsid w:val="00224165"/>
    <w:rsid w:val="00231F1D"/>
    <w:rsid w:val="00232A47"/>
    <w:rsid w:val="002357E5"/>
    <w:rsid w:val="00236054"/>
    <w:rsid w:val="00237DF3"/>
    <w:rsid w:val="00241391"/>
    <w:rsid w:val="00246047"/>
    <w:rsid w:val="0025075E"/>
    <w:rsid w:val="00251084"/>
    <w:rsid w:val="00251858"/>
    <w:rsid w:val="00252894"/>
    <w:rsid w:val="00255027"/>
    <w:rsid w:val="00260F99"/>
    <w:rsid w:val="00261B2E"/>
    <w:rsid w:val="0026720A"/>
    <w:rsid w:val="002677FE"/>
    <w:rsid w:val="002714A8"/>
    <w:rsid w:val="0027604C"/>
    <w:rsid w:val="00281327"/>
    <w:rsid w:val="00282D5F"/>
    <w:rsid w:val="00283061"/>
    <w:rsid w:val="002903E7"/>
    <w:rsid w:val="00292FFF"/>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1F3D"/>
    <w:rsid w:val="00325EA8"/>
    <w:rsid w:val="003269AF"/>
    <w:rsid w:val="00333F2A"/>
    <w:rsid w:val="00334628"/>
    <w:rsid w:val="00336C03"/>
    <w:rsid w:val="00344DB9"/>
    <w:rsid w:val="00346681"/>
    <w:rsid w:val="00346B2E"/>
    <w:rsid w:val="003504F3"/>
    <w:rsid w:val="00351FC5"/>
    <w:rsid w:val="00352CAD"/>
    <w:rsid w:val="00354ABF"/>
    <w:rsid w:val="00355585"/>
    <w:rsid w:val="00360EB6"/>
    <w:rsid w:val="003640DA"/>
    <w:rsid w:val="00366534"/>
    <w:rsid w:val="00370896"/>
    <w:rsid w:val="00371E71"/>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83A"/>
    <w:rsid w:val="00443DAF"/>
    <w:rsid w:val="00444884"/>
    <w:rsid w:val="00445397"/>
    <w:rsid w:val="00445BE4"/>
    <w:rsid w:val="00455494"/>
    <w:rsid w:val="00461095"/>
    <w:rsid w:val="004617FD"/>
    <w:rsid w:val="0046517A"/>
    <w:rsid w:val="00466BA9"/>
    <w:rsid w:val="00466E9D"/>
    <w:rsid w:val="004700F4"/>
    <w:rsid w:val="004710C5"/>
    <w:rsid w:val="00472456"/>
    <w:rsid w:val="004768B4"/>
    <w:rsid w:val="00477D71"/>
    <w:rsid w:val="00482F8C"/>
    <w:rsid w:val="00484BBB"/>
    <w:rsid w:val="00486686"/>
    <w:rsid w:val="00486A69"/>
    <w:rsid w:val="0049099F"/>
    <w:rsid w:val="004922B8"/>
    <w:rsid w:val="00493622"/>
    <w:rsid w:val="00493BD9"/>
    <w:rsid w:val="004A0025"/>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7B48"/>
    <w:rsid w:val="004D128B"/>
    <w:rsid w:val="004D5321"/>
    <w:rsid w:val="004D56F4"/>
    <w:rsid w:val="004D6206"/>
    <w:rsid w:val="004E055B"/>
    <w:rsid w:val="004E28C9"/>
    <w:rsid w:val="004E6434"/>
    <w:rsid w:val="004E7FEC"/>
    <w:rsid w:val="004F133C"/>
    <w:rsid w:val="004F2299"/>
    <w:rsid w:val="004F5011"/>
    <w:rsid w:val="004F65AF"/>
    <w:rsid w:val="004F741B"/>
    <w:rsid w:val="00500565"/>
    <w:rsid w:val="00503987"/>
    <w:rsid w:val="00515C08"/>
    <w:rsid w:val="00516DF5"/>
    <w:rsid w:val="0052114C"/>
    <w:rsid w:val="0052140A"/>
    <w:rsid w:val="005330F5"/>
    <w:rsid w:val="00533B7B"/>
    <w:rsid w:val="00536744"/>
    <w:rsid w:val="005426B2"/>
    <w:rsid w:val="0054308F"/>
    <w:rsid w:val="005439CB"/>
    <w:rsid w:val="00545D86"/>
    <w:rsid w:val="0054738A"/>
    <w:rsid w:val="00552EBC"/>
    <w:rsid w:val="0055305B"/>
    <w:rsid w:val="00557133"/>
    <w:rsid w:val="0056020D"/>
    <w:rsid w:val="0056557A"/>
    <w:rsid w:val="00572CB6"/>
    <w:rsid w:val="00572F46"/>
    <w:rsid w:val="005757FB"/>
    <w:rsid w:val="00576FC3"/>
    <w:rsid w:val="0058174E"/>
    <w:rsid w:val="00584040"/>
    <w:rsid w:val="005900B4"/>
    <w:rsid w:val="00590F19"/>
    <w:rsid w:val="005920A9"/>
    <w:rsid w:val="005946BA"/>
    <w:rsid w:val="0059710D"/>
    <w:rsid w:val="005A0D0C"/>
    <w:rsid w:val="005A1F09"/>
    <w:rsid w:val="005A5643"/>
    <w:rsid w:val="005B3447"/>
    <w:rsid w:val="005B5D81"/>
    <w:rsid w:val="005B6023"/>
    <w:rsid w:val="005B6605"/>
    <w:rsid w:val="005B68CF"/>
    <w:rsid w:val="005C2028"/>
    <w:rsid w:val="005C2766"/>
    <w:rsid w:val="005C30F7"/>
    <w:rsid w:val="005C3369"/>
    <w:rsid w:val="005C40BE"/>
    <w:rsid w:val="005C65EA"/>
    <w:rsid w:val="005D0298"/>
    <w:rsid w:val="005D02D4"/>
    <w:rsid w:val="005D624B"/>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20D2"/>
    <w:rsid w:val="00663480"/>
    <w:rsid w:val="0066459D"/>
    <w:rsid w:val="00676A2D"/>
    <w:rsid w:val="00680460"/>
    <w:rsid w:val="0068114B"/>
    <w:rsid w:val="00691AC6"/>
    <w:rsid w:val="006950F6"/>
    <w:rsid w:val="0069720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4F94"/>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311ED"/>
    <w:rsid w:val="007318F3"/>
    <w:rsid w:val="0073571A"/>
    <w:rsid w:val="0074079F"/>
    <w:rsid w:val="00746921"/>
    <w:rsid w:val="00747DC9"/>
    <w:rsid w:val="0075588E"/>
    <w:rsid w:val="00756C7F"/>
    <w:rsid w:val="0076081B"/>
    <w:rsid w:val="00761CC7"/>
    <w:rsid w:val="00762804"/>
    <w:rsid w:val="00766CBC"/>
    <w:rsid w:val="00770841"/>
    <w:rsid w:val="00771107"/>
    <w:rsid w:val="007718FF"/>
    <w:rsid w:val="00771EEF"/>
    <w:rsid w:val="0077275D"/>
    <w:rsid w:val="00776E9C"/>
    <w:rsid w:val="00782A12"/>
    <w:rsid w:val="007836DD"/>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5CF1"/>
    <w:rsid w:val="007D66C2"/>
    <w:rsid w:val="007E05D1"/>
    <w:rsid w:val="007E1394"/>
    <w:rsid w:val="007E30F5"/>
    <w:rsid w:val="007F263E"/>
    <w:rsid w:val="007F2FCF"/>
    <w:rsid w:val="007F343B"/>
    <w:rsid w:val="007F6AA7"/>
    <w:rsid w:val="007F72CB"/>
    <w:rsid w:val="007F77ED"/>
    <w:rsid w:val="0080251F"/>
    <w:rsid w:val="0080527D"/>
    <w:rsid w:val="00805774"/>
    <w:rsid w:val="00805B62"/>
    <w:rsid w:val="008125A7"/>
    <w:rsid w:val="00813154"/>
    <w:rsid w:val="00815917"/>
    <w:rsid w:val="008167A7"/>
    <w:rsid w:val="00816B3A"/>
    <w:rsid w:val="008177C3"/>
    <w:rsid w:val="00817D20"/>
    <w:rsid w:val="00817F7F"/>
    <w:rsid w:val="00824764"/>
    <w:rsid w:val="00824A55"/>
    <w:rsid w:val="008302F2"/>
    <w:rsid w:val="00831A0B"/>
    <w:rsid w:val="0083638D"/>
    <w:rsid w:val="00836EED"/>
    <w:rsid w:val="008375A1"/>
    <w:rsid w:val="00844668"/>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BE6"/>
    <w:rsid w:val="0087332F"/>
    <w:rsid w:val="00875EE5"/>
    <w:rsid w:val="00881DD4"/>
    <w:rsid w:val="00884583"/>
    <w:rsid w:val="008846BF"/>
    <w:rsid w:val="00886685"/>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B64D2"/>
    <w:rsid w:val="008C0C36"/>
    <w:rsid w:val="008C2705"/>
    <w:rsid w:val="008C3FE8"/>
    <w:rsid w:val="008C5EB0"/>
    <w:rsid w:val="008C625B"/>
    <w:rsid w:val="008D0D1E"/>
    <w:rsid w:val="008D0E1D"/>
    <w:rsid w:val="008D147D"/>
    <w:rsid w:val="008D3527"/>
    <w:rsid w:val="008D3D95"/>
    <w:rsid w:val="008D3E59"/>
    <w:rsid w:val="008D4FAB"/>
    <w:rsid w:val="008D67E0"/>
    <w:rsid w:val="008D6F2D"/>
    <w:rsid w:val="008D711D"/>
    <w:rsid w:val="008E03C0"/>
    <w:rsid w:val="008E1FB9"/>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16E"/>
    <w:rsid w:val="00974729"/>
    <w:rsid w:val="0097698F"/>
    <w:rsid w:val="00980CF9"/>
    <w:rsid w:val="00981C17"/>
    <w:rsid w:val="00983A11"/>
    <w:rsid w:val="0098641B"/>
    <w:rsid w:val="00987D70"/>
    <w:rsid w:val="00990CC2"/>
    <w:rsid w:val="009913DB"/>
    <w:rsid w:val="00992815"/>
    <w:rsid w:val="00996002"/>
    <w:rsid w:val="0099624F"/>
    <w:rsid w:val="009A0F9A"/>
    <w:rsid w:val="009A4C68"/>
    <w:rsid w:val="009A642E"/>
    <w:rsid w:val="009A77B7"/>
    <w:rsid w:val="009B241C"/>
    <w:rsid w:val="009B7261"/>
    <w:rsid w:val="009B765B"/>
    <w:rsid w:val="009C58B9"/>
    <w:rsid w:val="009C7B48"/>
    <w:rsid w:val="009D2D3E"/>
    <w:rsid w:val="009D371A"/>
    <w:rsid w:val="009E08EB"/>
    <w:rsid w:val="009E4E33"/>
    <w:rsid w:val="009F43EE"/>
    <w:rsid w:val="009F7670"/>
    <w:rsid w:val="00A00A78"/>
    <w:rsid w:val="00A01123"/>
    <w:rsid w:val="00A047C7"/>
    <w:rsid w:val="00A07048"/>
    <w:rsid w:val="00A125DA"/>
    <w:rsid w:val="00A146D6"/>
    <w:rsid w:val="00A14AA5"/>
    <w:rsid w:val="00A15605"/>
    <w:rsid w:val="00A263B8"/>
    <w:rsid w:val="00A305FA"/>
    <w:rsid w:val="00A30B3C"/>
    <w:rsid w:val="00A32683"/>
    <w:rsid w:val="00A34053"/>
    <w:rsid w:val="00A44931"/>
    <w:rsid w:val="00A52365"/>
    <w:rsid w:val="00A52C67"/>
    <w:rsid w:val="00A61C9D"/>
    <w:rsid w:val="00A634BD"/>
    <w:rsid w:val="00A63E9E"/>
    <w:rsid w:val="00A63EF9"/>
    <w:rsid w:val="00A74790"/>
    <w:rsid w:val="00A74C7E"/>
    <w:rsid w:val="00A77855"/>
    <w:rsid w:val="00A80425"/>
    <w:rsid w:val="00A81222"/>
    <w:rsid w:val="00A85F23"/>
    <w:rsid w:val="00A923EA"/>
    <w:rsid w:val="00A92D55"/>
    <w:rsid w:val="00AA089E"/>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400"/>
    <w:rsid w:val="00AE137A"/>
    <w:rsid w:val="00AE30EB"/>
    <w:rsid w:val="00AE3881"/>
    <w:rsid w:val="00AE4239"/>
    <w:rsid w:val="00AE7588"/>
    <w:rsid w:val="00AE7A93"/>
    <w:rsid w:val="00AF03D0"/>
    <w:rsid w:val="00AF1E39"/>
    <w:rsid w:val="00AF5426"/>
    <w:rsid w:val="00AF7835"/>
    <w:rsid w:val="00B04532"/>
    <w:rsid w:val="00B04F95"/>
    <w:rsid w:val="00B05045"/>
    <w:rsid w:val="00B05DD6"/>
    <w:rsid w:val="00B07787"/>
    <w:rsid w:val="00B11707"/>
    <w:rsid w:val="00B11EBB"/>
    <w:rsid w:val="00B1345D"/>
    <w:rsid w:val="00B13CB3"/>
    <w:rsid w:val="00B14077"/>
    <w:rsid w:val="00B1454A"/>
    <w:rsid w:val="00B15207"/>
    <w:rsid w:val="00B17B51"/>
    <w:rsid w:val="00B200F0"/>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479C8"/>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B2E6F"/>
    <w:rsid w:val="00BB567B"/>
    <w:rsid w:val="00BC41B8"/>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396"/>
    <w:rsid w:val="00BE60BA"/>
    <w:rsid w:val="00BE612F"/>
    <w:rsid w:val="00BE7CEF"/>
    <w:rsid w:val="00BF1E6A"/>
    <w:rsid w:val="00BF2C68"/>
    <w:rsid w:val="00BF2CF5"/>
    <w:rsid w:val="00C00C5E"/>
    <w:rsid w:val="00C04FC8"/>
    <w:rsid w:val="00C07904"/>
    <w:rsid w:val="00C07A6E"/>
    <w:rsid w:val="00C07C09"/>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A84"/>
    <w:rsid w:val="00C80DC0"/>
    <w:rsid w:val="00C85246"/>
    <w:rsid w:val="00C85A85"/>
    <w:rsid w:val="00C85C2F"/>
    <w:rsid w:val="00C86EC4"/>
    <w:rsid w:val="00C87F2E"/>
    <w:rsid w:val="00C92658"/>
    <w:rsid w:val="00C93B24"/>
    <w:rsid w:val="00C9429F"/>
    <w:rsid w:val="00C9783E"/>
    <w:rsid w:val="00CA1AB8"/>
    <w:rsid w:val="00CA6AD9"/>
    <w:rsid w:val="00CA6B91"/>
    <w:rsid w:val="00CA73B0"/>
    <w:rsid w:val="00CB08DC"/>
    <w:rsid w:val="00CB146A"/>
    <w:rsid w:val="00CB30DF"/>
    <w:rsid w:val="00CB3362"/>
    <w:rsid w:val="00CB4D1D"/>
    <w:rsid w:val="00CB5EDD"/>
    <w:rsid w:val="00CC13A6"/>
    <w:rsid w:val="00CC1844"/>
    <w:rsid w:val="00CC2229"/>
    <w:rsid w:val="00CC3198"/>
    <w:rsid w:val="00CC4CCA"/>
    <w:rsid w:val="00CC4E75"/>
    <w:rsid w:val="00CC74FA"/>
    <w:rsid w:val="00CC7BCB"/>
    <w:rsid w:val="00CD01DB"/>
    <w:rsid w:val="00CD37BE"/>
    <w:rsid w:val="00CD4839"/>
    <w:rsid w:val="00CD7077"/>
    <w:rsid w:val="00CE1E61"/>
    <w:rsid w:val="00CE23B7"/>
    <w:rsid w:val="00CF1946"/>
    <w:rsid w:val="00CF2FE1"/>
    <w:rsid w:val="00CF4100"/>
    <w:rsid w:val="00CF555F"/>
    <w:rsid w:val="00CF58CD"/>
    <w:rsid w:val="00CF7322"/>
    <w:rsid w:val="00D00083"/>
    <w:rsid w:val="00D00596"/>
    <w:rsid w:val="00D00A52"/>
    <w:rsid w:val="00D014C1"/>
    <w:rsid w:val="00D01DC2"/>
    <w:rsid w:val="00D02C1F"/>
    <w:rsid w:val="00D06942"/>
    <w:rsid w:val="00D0698E"/>
    <w:rsid w:val="00D07C19"/>
    <w:rsid w:val="00D14872"/>
    <w:rsid w:val="00D153D8"/>
    <w:rsid w:val="00D167A3"/>
    <w:rsid w:val="00D20C7A"/>
    <w:rsid w:val="00D20F9A"/>
    <w:rsid w:val="00D222DD"/>
    <w:rsid w:val="00D26219"/>
    <w:rsid w:val="00D30546"/>
    <w:rsid w:val="00D30899"/>
    <w:rsid w:val="00D31A3C"/>
    <w:rsid w:val="00D32140"/>
    <w:rsid w:val="00D34E11"/>
    <w:rsid w:val="00D36869"/>
    <w:rsid w:val="00D41452"/>
    <w:rsid w:val="00D42F5E"/>
    <w:rsid w:val="00D43C82"/>
    <w:rsid w:val="00D43DA5"/>
    <w:rsid w:val="00D43DC9"/>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4A43"/>
    <w:rsid w:val="00D95106"/>
    <w:rsid w:val="00D95701"/>
    <w:rsid w:val="00D9577D"/>
    <w:rsid w:val="00D95B3C"/>
    <w:rsid w:val="00D96200"/>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17855"/>
    <w:rsid w:val="00E21315"/>
    <w:rsid w:val="00E23AE9"/>
    <w:rsid w:val="00E267AB"/>
    <w:rsid w:val="00E31AE7"/>
    <w:rsid w:val="00E36490"/>
    <w:rsid w:val="00E36908"/>
    <w:rsid w:val="00E40269"/>
    <w:rsid w:val="00E47733"/>
    <w:rsid w:val="00E52A94"/>
    <w:rsid w:val="00E5556B"/>
    <w:rsid w:val="00E55D85"/>
    <w:rsid w:val="00E64E03"/>
    <w:rsid w:val="00E71B68"/>
    <w:rsid w:val="00E72E2B"/>
    <w:rsid w:val="00E72F2D"/>
    <w:rsid w:val="00E734CE"/>
    <w:rsid w:val="00E76114"/>
    <w:rsid w:val="00E84050"/>
    <w:rsid w:val="00E8671C"/>
    <w:rsid w:val="00E87C6F"/>
    <w:rsid w:val="00E900CB"/>
    <w:rsid w:val="00E90230"/>
    <w:rsid w:val="00E92E5D"/>
    <w:rsid w:val="00E93B0D"/>
    <w:rsid w:val="00E954FC"/>
    <w:rsid w:val="00E957E3"/>
    <w:rsid w:val="00E97D91"/>
    <w:rsid w:val="00EA0D21"/>
    <w:rsid w:val="00EA7AA9"/>
    <w:rsid w:val="00EA7C52"/>
    <w:rsid w:val="00EB1085"/>
    <w:rsid w:val="00EB4394"/>
    <w:rsid w:val="00EB69C1"/>
    <w:rsid w:val="00EB731E"/>
    <w:rsid w:val="00EB75C7"/>
    <w:rsid w:val="00EB78B8"/>
    <w:rsid w:val="00EC3764"/>
    <w:rsid w:val="00EC6C43"/>
    <w:rsid w:val="00EC7B1D"/>
    <w:rsid w:val="00ED0F71"/>
    <w:rsid w:val="00ED2AB9"/>
    <w:rsid w:val="00ED2BE3"/>
    <w:rsid w:val="00ED3A82"/>
    <w:rsid w:val="00ED3B28"/>
    <w:rsid w:val="00ED503B"/>
    <w:rsid w:val="00ED5709"/>
    <w:rsid w:val="00ED76AC"/>
    <w:rsid w:val="00EE10A7"/>
    <w:rsid w:val="00EE12D1"/>
    <w:rsid w:val="00EE241E"/>
    <w:rsid w:val="00EE2EF8"/>
    <w:rsid w:val="00EE34B7"/>
    <w:rsid w:val="00EE4DBA"/>
    <w:rsid w:val="00EF4708"/>
    <w:rsid w:val="00EF7932"/>
    <w:rsid w:val="00F00AA0"/>
    <w:rsid w:val="00F01624"/>
    <w:rsid w:val="00F020A2"/>
    <w:rsid w:val="00F11020"/>
    <w:rsid w:val="00F122F2"/>
    <w:rsid w:val="00F17796"/>
    <w:rsid w:val="00F17C22"/>
    <w:rsid w:val="00F200F2"/>
    <w:rsid w:val="00F21F68"/>
    <w:rsid w:val="00F252B6"/>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A1319"/>
    <w:rsid w:val="00FB354C"/>
    <w:rsid w:val="00FB5154"/>
    <w:rsid w:val="00FB5D12"/>
    <w:rsid w:val="00FC1A7F"/>
    <w:rsid w:val="00FC2B0D"/>
    <w:rsid w:val="00FC2CCF"/>
    <w:rsid w:val="00FC4A09"/>
    <w:rsid w:val="00FC74B4"/>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8BB7FEB8-6139-4EE3-A4B5-B1CF399D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9761-BB6B-436D-B30D-F150B7B1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4251</Words>
  <Characters>23384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15</cp:revision>
  <cp:lastPrinted>2019-08-13T14:44:00Z</cp:lastPrinted>
  <dcterms:created xsi:type="dcterms:W3CDTF">2019-08-30T16:27:00Z</dcterms:created>
  <dcterms:modified xsi:type="dcterms:W3CDTF">2019-12-04T13:57:00Z</dcterms:modified>
</cp:coreProperties>
</file>