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03" w:rsidRPr="00467503" w:rsidRDefault="00467503" w:rsidP="0046750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bookmarkStart w:id="0" w:name="_GoBack"/>
      <w:bookmarkEnd w:id="0"/>
      <w:r w:rsidRPr="0046750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67503" w:rsidRPr="00467503" w:rsidRDefault="00467503" w:rsidP="00467503">
      <w:pPr>
        <w:spacing w:line="240" w:lineRule="auto"/>
        <w:rPr>
          <w:rFonts w:ascii="Arial" w:hAnsi="Arial" w:cs="Arial"/>
          <w:sz w:val="20"/>
          <w:szCs w:val="20"/>
          <w:lang w:val="es-419" w:eastAsia="es-ES"/>
        </w:rPr>
      </w:pPr>
    </w:p>
    <w:p w:rsidR="00467503" w:rsidRPr="00467503" w:rsidRDefault="00467503" w:rsidP="00467503">
      <w:pPr>
        <w:spacing w:line="240" w:lineRule="auto"/>
        <w:rPr>
          <w:rFonts w:ascii="Arial" w:hAnsi="Arial" w:cs="Arial"/>
          <w:b/>
          <w:bCs/>
          <w:iCs/>
          <w:sz w:val="20"/>
          <w:szCs w:val="20"/>
          <w:lang w:val="es-419" w:eastAsia="fr-FR"/>
        </w:rPr>
      </w:pPr>
      <w:r w:rsidRPr="00467503">
        <w:rPr>
          <w:rFonts w:ascii="Arial" w:hAnsi="Arial" w:cs="Arial"/>
          <w:b/>
          <w:bCs/>
          <w:iCs/>
          <w:sz w:val="20"/>
          <w:szCs w:val="20"/>
          <w:lang w:val="es-419" w:eastAsia="fr-FR"/>
        </w:rPr>
        <w:t>TEMAS:</w:t>
      </w:r>
      <w:r w:rsidRPr="00467503">
        <w:rPr>
          <w:rFonts w:ascii="Arial" w:hAnsi="Arial" w:cs="Arial"/>
          <w:b/>
          <w:bCs/>
          <w:iCs/>
          <w:sz w:val="20"/>
          <w:szCs w:val="20"/>
          <w:lang w:val="es-419" w:eastAsia="fr-FR"/>
        </w:rPr>
        <w:tab/>
      </w:r>
      <w:r w:rsidR="004B7693">
        <w:rPr>
          <w:rFonts w:ascii="Arial" w:hAnsi="Arial" w:cs="Arial"/>
          <w:b/>
          <w:bCs/>
          <w:iCs/>
          <w:sz w:val="20"/>
          <w:szCs w:val="20"/>
          <w:lang w:val="es-CO" w:eastAsia="fr-FR"/>
        </w:rPr>
        <w:t xml:space="preserve">LESIONES PERSONALES CULPOSAS / SUSPENSIÓN CONDICIONAL DE LA PENA / </w:t>
      </w:r>
      <w:r w:rsidR="00653B37">
        <w:rPr>
          <w:rFonts w:ascii="Arial" w:hAnsi="Arial" w:cs="Arial"/>
          <w:b/>
          <w:bCs/>
          <w:iCs/>
          <w:sz w:val="20"/>
          <w:szCs w:val="20"/>
          <w:lang w:val="es-CO" w:eastAsia="fr-FR"/>
        </w:rPr>
        <w:t>COBIJA TANTO LA PRIVATIVA DE LA LIBERTAD COMO LAS ACCESORIAS / SI SE QUIEREN EXCLUIR ÉSTAS, DEBE HACERSE PRONUNCIAMIENTO EXPRESO.</w:t>
      </w:r>
    </w:p>
    <w:p w:rsidR="00467503" w:rsidRPr="00467503" w:rsidRDefault="00467503" w:rsidP="00467503">
      <w:pPr>
        <w:spacing w:line="240" w:lineRule="auto"/>
        <w:rPr>
          <w:rFonts w:ascii="Arial" w:hAnsi="Arial" w:cs="Arial"/>
          <w:sz w:val="20"/>
          <w:szCs w:val="20"/>
          <w:lang w:val="es-419" w:eastAsia="es-ES"/>
        </w:rPr>
      </w:pPr>
    </w:p>
    <w:p w:rsidR="004B7693" w:rsidRPr="004B7693" w:rsidRDefault="004B7693" w:rsidP="004B7693">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4B7693">
        <w:rPr>
          <w:rFonts w:ascii="Arial" w:hAnsi="Arial" w:cs="Arial"/>
          <w:sz w:val="20"/>
          <w:szCs w:val="20"/>
          <w:lang w:val="es-419" w:eastAsia="es-ES"/>
        </w:rPr>
        <w:t>la suspensión condicional de la ejecución de la pena es un mecanismo sustitutivo de la pena privativa de la libertad, regulado en el artículo 63 C.P., que permite suspender la sanción corporal de prisión por un período de prueba 2 a 5 años, siempre que se acrediten los requisitos contemplados en dicha norma. Y en el inciso final del mismo artículo se indica que: “el juez podrá exigir el cumplimiento de las penas no privativas de la libertad accesorias a esta”.</w:t>
      </w:r>
    </w:p>
    <w:p w:rsidR="004B7693" w:rsidRPr="004B7693" w:rsidRDefault="004B7693" w:rsidP="004B7693">
      <w:pPr>
        <w:spacing w:line="240" w:lineRule="auto"/>
        <w:rPr>
          <w:rFonts w:ascii="Arial" w:hAnsi="Arial" w:cs="Arial"/>
          <w:sz w:val="20"/>
          <w:szCs w:val="20"/>
          <w:lang w:val="es-419" w:eastAsia="es-ES"/>
        </w:rPr>
      </w:pPr>
    </w:p>
    <w:p w:rsidR="004B7693" w:rsidRPr="004B7693" w:rsidRDefault="004B7693" w:rsidP="004B7693">
      <w:pPr>
        <w:spacing w:line="240" w:lineRule="auto"/>
        <w:rPr>
          <w:rFonts w:ascii="Arial" w:hAnsi="Arial" w:cs="Arial"/>
          <w:sz w:val="20"/>
          <w:szCs w:val="20"/>
          <w:lang w:val="es-419" w:eastAsia="es-ES"/>
        </w:rPr>
      </w:pPr>
      <w:r w:rsidRPr="004B7693">
        <w:rPr>
          <w:rFonts w:ascii="Arial" w:hAnsi="Arial" w:cs="Arial"/>
          <w:sz w:val="20"/>
          <w:szCs w:val="20"/>
          <w:lang w:val="es-419" w:eastAsia="es-ES"/>
        </w:rPr>
        <w:t>En este asunto el funcionario de instancia en la sentencia de mayo 22 de 2019 concedió al procesado el aludido sustituto, sin señalar si el mismo se hacía extensivo a la privación del derecho a conducir vehículos automotores.</w:t>
      </w:r>
    </w:p>
    <w:p w:rsidR="004B7693" w:rsidRPr="004B7693" w:rsidRDefault="004B7693" w:rsidP="004B7693">
      <w:pPr>
        <w:spacing w:line="240" w:lineRule="auto"/>
        <w:rPr>
          <w:rFonts w:ascii="Arial" w:hAnsi="Arial" w:cs="Arial"/>
          <w:sz w:val="20"/>
          <w:szCs w:val="20"/>
          <w:lang w:val="es-419" w:eastAsia="es-ES"/>
        </w:rPr>
      </w:pPr>
    </w:p>
    <w:p w:rsidR="00467503" w:rsidRPr="00467503" w:rsidRDefault="004B7693" w:rsidP="004B7693">
      <w:pPr>
        <w:spacing w:line="240" w:lineRule="auto"/>
        <w:rPr>
          <w:rFonts w:ascii="Arial" w:hAnsi="Arial" w:cs="Arial"/>
          <w:sz w:val="20"/>
          <w:szCs w:val="20"/>
          <w:lang w:val="es-419" w:eastAsia="es-ES"/>
        </w:rPr>
      </w:pPr>
      <w:r w:rsidRPr="004B7693">
        <w:rPr>
          <w:rFonts w:ascii="Arial" w:hAnsi="Arial" w:cs="Arial"/>
          <w:sz w:val="20"/>
          <w:szCs w:val="20"/>
          <w:lang w:val="es-419" w:eastAsia="es-ES"/>
        </w:rPr>
        <w:t>En criterio del Tribunal, la omisión en ese sentido, esto es, no precisar si la suspensión lo era solo de la pena privativa de la libertad y que en consecuencia la intención era hacer efectivas las no privativas de la libertad, comporta inferir que al no haberse emitido pronunciamiento acerca de ese punto en particular, las demás penas de menor gravedad y/o accesorias también se encuentran inmersas en dicha suspensión.</w:t>
      </w:r>
    </w:p>
    <w:p w:rsidR="00467503" w:rsidRPr="00467503" w:rsidRDefault="00467503" w:rsidP="00467503">
      <w:pPr>
        <w:spacing w:line="240" w:lineRule="auto"/>
        <w:rPr>
          <w:rFonts w:ascii="Arial" w:hAnsi="Arial" w:cs="Arial"/>
          <w:sz w:val="20"/>
          <w:szCs w:val="20"/>
          <w:lang w:val="es-419" w:eastAsia="es-ES"/>
        </w:rPr>
      </w:pPr>
    </w:p>
    <w:p w:rsidR="00467503" w:rsidRPr="00467503" w:rsidRDefault="00467503" w:rsidP="00467503">
      <w:pPr>
        <w:spacing w:line="240" w:lineRule="auto"/>
        <w:rPr>
          <w:rFonts w:ascii="Arial" w:hAnsi="Arial" w:cs="Arial"/>
          <w:sz w:val="20"/>
          <w:szCs w:val="20"/>
          <w:lang w:val="es-419" w:eastAsia="es-ES"/>
        </w:rPr>
      </w:pPr>
    </w:p>
    <w:p w:rsidR="00467503" w:rsidRPr="00467503" w:rsidRDefault="00467503" w:rsidP="00467503">
      <w:pPr>
        <w:spacing w:line="240" w:lineRule="auto"/>
        <w:rPr>
          <w:rFonts w:ascii="Arial" w:hAnsi="Arial" w:cs="Arial"/>
          <w:sz w:val="20"/>
          <w:szCs w:val="20"/>
          <w:lang w:eastAsia="es-ES"/>
        </w:rPr>
      </w:pPr>
    </w:p>
    <w:p w:rsidR="00F13C87" w:rsidRPr="00B25DDF" w:rsidRDefault="00F13C87" w:rsidP="00F13C87">
      <w:pPr>
        <w:spacing w:line="240" w:lineRule="auto"/>
        <w:rPr>
          <w:b/>
          <w:spacing w:val="2"/>
          <w:sz w:val="12"/>
          <w:szCs w:val="12"/>
        </w:rPr>
      </w:pPr>
      <w:r>
        <w:rPr>
          <w:spacing w:val="2"/>
          <w:sz w:val="12"/>
          <w:szCs w:val="12"/>
        </w:rPr>
        <w:t xml:space="preserve">                                                                                     </w:t>
      </w:r>
      <w:r w:rsidR="00556860">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467503" w:rsidRDefault="00F13C87" w:rsidP="00467503">
      <w:pPr>
        <w:spacing w:line="288" w:lineRule="auto"/>
        <w:jc w:val="center"/>
        <w:rPr>
          <w:rFonts w:ascii="Algerian" w:hAnsi="Algerian"/>
          <w:sz w:val="28"/>
          <w:szCs w:val="28"/>
        </w:rPr>
      </w:pPr>
      <w:r w:rsidRPr="00467503">
        <w:rPr>
          <w:rFonts w:ascii="Algerian" w:hAnsi="Algerian"/>
          <w:smallCaps/>
          <w:color w:val="000000"/>
          <w:spacing w:val="2"/>
          <w:sz w:val="28"/>
          <w:szCs w:val="28"/>
        </w:rPr>
        <w:t>TRIBUNAL SUPERIOR DE PEREIRA</w:t>
      </w:r>
    </w:p>
    <w:p w:rsidR="00F13C87" w:rsidRPr="00467503" w:rsidRDefault="00F13C87" w:rsidP="00467503">
      <w:pPr>
        <w:pStyle w:val="Textoindependiente3"/>
        <w:tabs>
          <w:tab w:val="left" w:pos="1202"/>
        </w:tabs>
        <w:spacing w:line="288" w:lineRule="auto"/>
        <w:jc w:val="center"/>
        <w:rPr>
          <w:rFonts w:ascii="Algerian" w:hAnsi="Algerian"/>
          <w:spacing w:val="2"/>
          <w:sz w:val="28"/>
          <w:szCs w:val="28"/>
        </w:rPr>
      </w:pPr>
      <w:r w:rsidRPr="00467503">
        <w:rPr>
          <w:rFonts w:ascii="Algerian" w:hAnsi="Algerian"/>
          <w:spacing w:val="2"/>
          <w:sz w:val="28"/>
          <w:szCs w:val="28"/>
        </w:rPr>
        <w:t>SALA de decisión PENAL</w:t>
      </w:r>
    </w:p>
    <w:p w:rsidR="00F13C87" w:rsidRPr="00467503" w:rsidRDefault="00F13C87" w:rsidP="00467503">
      <w:pPr>
        <w:spacing w:line="288" w:lineRule="auto"/>
        <w:jc w:val="center"/>
        <w:rPr>
          <w:sz w:val="24"/>
        </w:rPr>
      </w:pPr>
      <w:r w:rsidRPr="00467503">
        <w:rPr>
          <w:sz w:val="24"/>
        </w:rPr>
        <w:t>Magistrado Ponente</w:t>
      </w:r>
    </w:p>
    <w:p w:rsidR="00F13C87" w:rsidRPr="00467503" w:rsidRDefault="00F13C87" w:rsidP="00467503">
      <w:pPr>
        <w:spacing w:line="288" w:lineRule="auto"/>
        <w:jc w:val="center"/>
        <w:rPr>
          <w:sz w:val="24"/>
          <w:szCs w:val="24"/>
        </w:rPr>
      </w:pPr>
      <w:r w:rsidRPr="00467503">
        <w:rPr>
          <w:sz w:val="24"/>
          <w:szCs w:val="24"/>
        </w:rPr>
        <w:t xml:space="preserve"> JORGE ARTURO CASTAÑO DUQUE</w:t>
      </w:r>
    </w:p>
    <w:p w:rsidR="00F13C87" w:rsidRPr="00467503" w:rsidRDefault="00F13C87" w:rsidP="00467503">
      <w:pPr>
        <w:spacing w:line="288" w:lineRule="auto"/>
        <w:rPr>
          <w:sz w:val="24"/>
        </w:rPr>
      </w:pPr>
      <w:r w:rsidRPr="00467503">
        <w:rPr>
          <w:spacing w:val="-4"/>
          <w:sz w:val="24"/>
        </w:rPr>
        <w:t xml:space="preserve">                                      </w:t>
      </w:r>
      <w:r w:rsidRPr="00467503">
        <w:rPr>
          <w:spacing w:val="-6"/>
          <w:sz w:val="24"/>
        </w:rPr>
        <w:t xml:space="preserve">     </w:t>
      </w:r>
      <w:r w:rsidRPr="00467503">
        <w:rPr>
          <w:sz w:val="24"/>
        </w:rPr>
        <w:t xml:space="preserve">      </w:t>
      </w:r>
    </w:p>
    <w:p w:rsidR="00F13C87" w:rsidRPr="00467503" w:rsidRDefault="00F13C87" w:rsidP="00467503">
      <w:pPr>
        <w:spacing w:line="288" w:lineRule="auto"/>
        <w:jc w:val="center"/>
        <w:rPr>
          <w:sz w:val="24"/>
        </w:rPr>
      </w:pPr>
      <w:r w:rsidRPr="00467503">
        <w:rPr>
          <w:sz w:val="24"/>
        </w:rPr>
        <w:t xml:space="preserve">    Pereira, </w:t>
      </w:r>
      <w:r w:rsidR="00844FF6" w:rsidRPr="00467503">
        <w:rPr>
          <w:sz w:val="24"/>
        </w:rPr>
        <w:t xml:space="preserve">cinco </w:t>
      </w:r>
      <w:r w:rsidRPr="00467503">
        <w:rPr>
          <w:sz w:val="24"/>
        </w:rPr>
        <w:t>(</w:t>
      </w:r>
      <w:r w:rsidR="00EA7844" w:rsidRPr="00467503">
        <w:rPr>
          <w:sz w:val="24"/>
        </w:rPr>
        <w:t>0</w:t>
      </w:r>
      <w:r w:rsidR="00844FF6" w:rsidRPr="00467503">
        <w:rPr>
          <w:sz w:val="24"/>
        </w:rPr>
        <w:t>5</w:t>
      </w:r>
      <w:r w:rsidRPr="00467503">
        <w:rPr>
          <w:sz w:val="24"/>
        </w:rPr>
        <w:t xml:space="preserve">) de </w:t>
      </w:r>
      <w:r w:rsidR="00814E7E" w:rsidRPr="00467503">
        <w:rPr>
          <w:sz w:val="24"/>
        </w:rPr>
        <w:t xml:space="preserve">julio </w:t>
      </w:r>
      <w:r w:rsidRPr="00467503">
        <w:rPr>
          <w:sz w:val="24"/>
        </w:rPr>
        <w:t xml:space="preserve">de dos mil </w:t>
      </w:r>
      <w:r w:rsidR="00814E7E" w:rsidRPr="00467503">
        <w:rPr>
          <w:sz w:val="24"/>
        </w:rPr>
        <w:t xml:space="preserve">diecinueve </w:t>
      </w:r>
      <w:r w:rsidRPr="00467503">
        <w:rPr>
          <w:sz w:val="24"/>
        </w:rPr>
        <w:t>(201</w:t>
      </w:r>
      <w:r w:rsidR="00814E7E" w:rsidRPr="00467503">
        <w:rPr>
          <w:sz w:val="24"/>
        </w:rPr>
        <w:t>9</w:t>
      </w:r>
      <w:r w:rsidRPr="00467503">
        <w:rPr>
          <w:sz w:val="24"/>
        </w:rPr>
        <w:t>)</w:t>
      </w:r>
    </w:p>
    <w:p w:rsidR="00F13C87" w:rsidRPr="00467503" w:rsidRDefault="00F13C87" w:rsidP="00467503">
      <w:pPr>
        <w:spacing w:line="288" w:lineRule="auto"/>
        <w:rPr>
          <w:sz w:val="24"/>
        </w:rPr>
      </w:pPr>
    </w:p>
    <w:p w:rsidR="00F13C87" w:rsidRPr="00467503" w:rsidRDefault="00F13C87" w:rsidP="00467503">
      <w:pPr>
        <w:spacing w:line="288" w:lineRule="auto"/>
        <w:jc w:val="center"/>
        <w:rPr>
          <w:sz w:val="24"/>
          <w:szCs w:val="24"/>
        </w:rPr>
      </w:pPr>
      <w:r w:rsidRPr="00467503">
        <w:rPr>
          <w:sz w:val="22"/>
          <w:szCs w:val="22"/>
        </w:rPr>
        <w:t xml:space="preserve">  </w:t>
      </w:r>
      <w:r w:rsidR="00DD1490" w:rsidRPr="00467503">
        <w:rPr>
          <w:sz w:val="24"/>
          <w:szCs w:val="24"/>
        </w:rPr>
        <w:t xml:space="preserve">ACTA DE APROBACIÓN N° </w:t>
      </w:r>
      <w:r w:rsidR="00844FF6" w:rsidRPr="00467503">
        <w:rPr>
          <w:sz w:val="24"/>
          <w:szCs w:val="24"/>
        </w:rPr>
        <w:t>613</w:t>
      </w:r>
    </w:p>
    <w:p w:rsidR="00F13C87" w:rsidRPr="00467503" w:rsidRDefault="00F13C87" w:rsidP="00467503">
      <w:pPr>
        <w:spacing w:line="288" w:lineRule="auto"/>
        <w:jc w:val="center"/>
        <w:rPr>
          <w:sz w:val="24"/>
          <w:szCs w:val="24"/>
        </w:rPr>
      </w:pPr>
      <w:r w:rsidRPr="00467503">
        <w:rPr>
          <w:sz w:val="24"/>
          <w:szCs w:val="24"/>
        </w:rPr>
        <w:t xml:space="preserve">  SEGUNDA INSTANCIA</w:t>
      </w:r>
    </w:p>
    <w:p w:rsidR="00F13C87" w:rsidRPr="00467503" w:rsidRDefault="00F13C87" w:rsidP="00467503">
      <w:pPr>
        <w:spacing w:line="288" w:lineRule="auto"/>
        <w:rPr>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0"/>
      </w:tblGrid>
      <w:tr w:rsidR="00F13C87" w:rsidRPr="00467503" w:rsidTr="00467503">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844FF6" w:rsidP="00467503">
            <w:pPr>
              <w:pStyle w:val="Tablaidentificadora"/>
              <w:rPr>
                <w:rFonts w:cs="Tahoma"/>
                <w:sz w:val="22"/>
                <w:szCs w:val="24"/>
              </w:rPr>
            </w:pPr>
            <w:r w:rsidRPr="00467503">
              <w:rPr>
                <w:rFonts w:cs="Tahoma"/>
                <w:sz w:val="22"/>
                <w:szCs w:val="24"/>
              </w:rPr>
              <w:t>Julio 8 de 2019. 9:24 a.m.</w:t>
            </w:r>
          </w:p>
        </w:tc>
      </w:tr>
      <w:tr w:rsidR="00F13C87" w:rsidRPr="00467503" w:rsidTr="00467503">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7D3ADD" w:rsidP="00467503">
            <w:pPr>
              <w:pStyle w:val="Tablaidentificadora"/>
              <w:rPr>
                <w:sz w:val="22"/>
                <w:szCs w:val="24"/>
              </w:rPr>
            </w:pPr>
            <w:r w:rsidRPr="00467503">
              <w:rPr>
                <w:sz w:val="22"/>
                <w:szCs w:val="24"/>
              </w:rPr>
              <w:t>Acusado</w:t>
            </w:r>
            <w:r w:rsidR="00F13C87" w:rsidRPr="00467503">
              <w:rPr>
                <w:sz w:val="22"/>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7305A2" w:rsidP="00467503">
            <w:pPr>
              <w:pStyle w:val="Tablaidentificadora"/>
              <w:rPr>
                <w:rFonts w:cs="Tahoma"/>
                <w:sz w:val="22"/>
                <w:szCs w:val="24"/>
              </w:rPr>
            </w:pPr>
            <w:proofErr w:type="spellStart"/>
            <w:r>
              <w:rPr>
                <w:rFonts w:cs="Tahoma"/>
                <w:sz w:val="22"/>
                <w:szCs w:val="24"/>
              </w:rPr>
              <w:t>OAVR</w:t>
            </w:r>
            <w:proofErr w:type="spellEnd"/>
          </w:p>
        </w:tc>
      </w:tr>
      <w:tr w:rsidR="00F13C87" w:rsidRPr="00467503" w:rsidTr="00467503">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814E7E" w:rsidP="00467503">
            <w:pPr>
              <w:pStyle w:val="Tablaidentificadora"/>
              <w:rPr>
                <w:rFonts w:cs="Tahoma"/>
                <w:sz w:val="22"/>
                <w:szCs w:val="24"/>
              </w:rPr>
            </w:pPr>
            <w:r w:rsidRPr="00467503">
              <w:rPr>
                <w:rFonts w:cs="Tahoma"/>
                <w:sz w:val="22"/>
                <w:szCs w:val="24"/>
              </w:rPr>
              <w:t>71.667.110</w:t>
            </w:r>
            <w:r w:rsidR="00AD238B" w:rsidRPr="00467503">
              <w:rPr>
                <w:rFonts w:cs="Tahoma"/>
                <w:sz w:val="22"/>
                <w:szCs w:val="24"/>
              </w:rPr>
              <w:t xml:space="preserve"> de </w:t>
            </w:r>
            <w:r w:rsidRPr="00467503">
              <w:rPr>
                <w:rFonts w:cs="Tahoma"/>
                <w:sz w:val="22"/>
                <w:szCs w:val="24"/>
              </w:rPr>
              <w:t>Medellín</w:t>
            </w:r>
            <w:r w:rsidR="008659CD" w:rsidRPr="00467503">
              <w:rPr>
                <w:rFonts w:cs="Tahoma"/>
                <w:sz w:val="22"/>
                <w:szCs w:val="24"/>
              </w:rPr>
              <w:t xml:space="preserve"> (</w:t>
            </w:r>
            <w:proofErr w:type="spellStart"/>
            <w:r w:rsidR="008659CD" w:rsidRPr="00467503">
              <w:rPr>
                <w:rFonts w:cs="Tahoma"/>
                <w:sz w:val="22"/>
                <w:szCs w:val="24"/>
              </w:rPr>
              <w:t>Ant</w:t>
            </w:r>
            <w:proofErr w:type="spellEnd"/>
            <w:r w:rsidR="008659CD" w:rsidRPr="00467503">
              <w:rPr>
                <w:rFonts w:cs="Tahoma"/>
                <w:sz w:val="22"/>
                <w:szCs w:val="24"/>
              </w:rPr>
              <w:t>.)</w:t>
            </w:r>
          </w:p>
        </w:tc>
      </w:tr>
      <w:tr w:rsidR="00F13C87" w:rsidRPr="00467503" w:rsidTr="00467503">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Delito:</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814E7E" w:rsidP="00467503">
            <w:pPr>
              <w:pStyle w:val="Tablaidentificadora"/>
              <w:rPr>
                <w:rFonts w:cs="Tahoma"/>
                <w:sz w:val="22"/>
                <w:szCs w:val="24"/>
              </w:rPr>
            </w:pPr>
            <w:r w:rsidRPr="00467503">
              <w:rPr>
                <w:rFonts w:cs="Tahoma"/>
                <w:sz w:val="22"/>
                <w:szCs w:val="24"/>
              </w:rPr>
              <w:t>Lesiones personales culposas</w:t>
            </w:r>
          </w:p>
        </w:tc>
      </w:tr>
      <w:tr w:rsidR="00F13C87" w:rsidRPr="00467503" w:rsidTr="00467503">
        <w:trPr>
          <w:trHeight w:val="259"/>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Víctima:</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814E7E" w:rsidP="00467503">
            <w:pPr>
              <w:pStyle w:val="Tablaidentificadora"/>
              <w:rPr>
                <w:rFonts w:cs="Tahoma"/>
                <w:sz w:val="22"/>
                <w:szCs w:val="24"/>
              </w:rPr>
            </w:pPr>
            <w:r w:rsidRPr="00467503">
              <w:rPr>
                <w:rFonts w:cs="Tahoma"/>
                <w:sz w:val="22"/>
                <w:szCs w:val="24"/>
              </w:rPr>
              <w:t>María Rosalba Monsalve de Jaramillo</w:t>
            </w:r>
          </w:p>
        </w:tc>
      </w:tr>
      <w:tr w:rsidR="00F13C87" w:rsidRPr="00467503" w:rsidTr="00467503">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Procedencia:</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rFonts w:cs="Tahoma"/>
                <w:sz w:val="22"/>
                <w:szCs w:val="24"/>
              </w:rPr>
            </w:pPr>
            <w:r w:rsidRPr="00467503">
              <w:rPr>
                <w:rFonts w:cs="Tahoma"/>
                <w:sz w:val="22"/>
                <w:szCs w:val="24"/>
              </w:rPr>
              <w:t xml:space="preserve">Juzgado </w:t>
            </w:r>
            <w:r w:rsidR="00814E7E" w:rsidRPr="00467503">
              <w:rPr>
                <w:rFonts w:cs="Tahoma"/>
                <w:sz w:val="22"/>
                <w:szCs w:val="24"/>
              </w:rPr>
              <w:t xml:space="preserve">Segundo </w:t>
            </w:r>
            <w:r w:rsidR="000D42A3" w:rsidRPr="00467503">
              <w:rPr>
                <w:rFonts w:cs="Tahoma"/>
                <w:sz w:val="22"/>
                <w:szCs w:val="24"/>
              </w:rPr>
              <w:t xml:space="preserve">Penal </w:t>
            </w:r>
            <w:r w:rsidR="00AD238B" w:rsidRPr="00467503">
              <w:rPr>
                <w:rFonts w:cs="Tahoma"/>
                <w:sz w:val="22"/>
                <w:szCs w:val="24"/>
              </w:rPr>
              <w:t xml:space="preserve">Municipal con función de conocimiento de </w:t>
            </w:r>
            <w:r w:rsidR="00814E7E" w:rsidRPr="00467503">
              <w:rPr>
                <w:rFonts w:cs="Tahoma"/>
                <w:sz w:val="22"/>
                <w:szCs w:val="24"/>
              </w:rPr>
              <w:t>Pereira</w:t>
            </w:r>
            <w:r w:rsidR="00AD238B" w:rsidRPr="00467503">
              <w:rPr>
                <w:rFonts w:cs="Tahoma"/>
                <w:sz w:val="22"/>
                <w:szCs w:val="24"/>
              </w:rPr>
              <w:t xml:space="preserve"> </w:t>
            </w:r>
            <w:r w:rsidRPr="00467503">
              <w:rPr>
                <w:rFonts w:cs="Tahoma"/>
                <w:sz w:val="22"/>
                <w:szCs w:val="24"/>
              </w:rPr>
              <w:t>(Rda.)</w:t>
            </w:r>
            <w:r w:rsidR="001B7BD0" w:rsidRPr="00467503">
              <w:rPr>
                <w:rFonts w:cs="Tahoma"/>
                <w:sz w:val="22"/>
                <w:szCs w:val="24"/>
              </w:rPr>
              <w:t xml:space="preserve"> </w:t>
            </w:r>
          </w:p>
        </w:tc>
      </w:tr>
      <w:tr w:rsidR="00F13C87" w:rsidRPr="00467503" w:rsidTr="00467503">
        <w:trPr>
          <w:trHeight w:val="275"/>
        </w:trPr>
        <w:tc>
          <w:tcPr>
            <w:tcW w:w="3044"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sz w:val="22"/>
                <w:szCs w:val="24"/>
              </w:rPr>
            </w:pPr>
            <w:r w:rsidRPr="00467503">
              <w:rPr>
                <w:sz w:val="22"/>
                <w:szCs w:val="24"/>
              </w:rPr>
              <w:t>Asunto:</w:t>
            </w:r>
          </w:p>
        </w:tc>
        <w:tc>
          <w:tcPr>
            <w:tcW w:w="5670" w:type="dxa"/>
            <w:tcBorders>
              <w:top w:val="single" w:sz="4" w:space="0" w:color="auto"/>
              <w:left w:val="single" w:sz="4" w:space="0" w:color="auto"/>
              <w:bottom w:val="single" w:sz="4" w:space="0" w:color="auto"/>
              <w:right w:val="single" w:sz="4" w:space="0" w:color="auto"/>
            </w:tcBorders>
          </w:tcPr>
          <w:p w:rsidR="00F13C87" w:rsidRPr="00467503" w:rsidRDefault="00F13C87" w:rsidP="00467503">
            <w:pPr>
              <w:pStyle w:val="Tablaidentificadora"/>
              <w:rPr>
                <w:rFonts w:cs="Tahoma"/>
                <w:sz w:val="22"/>
                <w:szCs w:val="24"/>
              </w:rPr>
            </w:pPr>
            <w:r w:rsidRPr="00467503">
              <w:rPr>
                <w:rFonts w:cs="Tahoma"/>
                <w:sz w:val="22"/>
                <w:szCs w:val="24"/>
              </w:rPr>
              <w:t>Decide apelación interpuesta por la defensa</w:t>
            </w:r>
            <w:r w:rsidR="000F4565" w:rsidRPr="00467503">
              <w:rPr>
                <w:rFonts w:cs="Tahoma"/>
                <w:sz w:val="22"/>
                <w:szCs w:val="24"/>
              </w:rPr>
              <w:t xml:space="preserve"> </w:t>
            </w:r>
            <w:r w:rsidRPr="00467503">
              <w:rPr>
                <w:rFonts w:cs="Tahoma"/>
                <w:sz w:val="22"/>
                <w:szCs w:val="24"/>
              </w:rPr>
              <w:t xml:space="preserve">contra el fallo </w:t>
            </w:r>
            <w:r w:rsidR="000D42A3" w:rsidRPr="00467503">
              <w:rPr>
                <w:rFonts w:cs="Tahoma"/>
                <w:sz w:val="22"/>
                <w:szCs w:val="24"/>
              </w:rPr>
              <w:t>condenatori</w:t>
            </w:r>
            <w:r w:rsidR="000F4565" w:rsidRPr="00467503">
              <w:rPr>
                <w:rFonts w:cs="Tahoma"/>
                <w:sz w:val="22"/>
                <w:szCs w:val="24"/>
              </w:rPr>
              <w:t>o</w:t>
            </w:r>
            <w:r w:rsidR="000D42A3" w:rsidRPr="00467503">
              <w:rPr>
                <w:rFonts w:cs="Tahoma"/>
                <w:sz w:val="22"/>
                <w:szCs w:val="24"/>
              </w:rPr>
              <w:t xml:space="preserve"> </w:t>
            </w:r>
            <w:r w:rsidRPr="00467503">
              <w:rPr>
                <w:rFonts w:cs="Tahoma"/>
                <w:sz w:val="22"/>
                <w:szCs w:val="24"/>
              </w:rPr>
              <w:t xml:space="preserve">fechado </w:t>
            </w:r>
            <w:r w:rsidR="00814E7E" w:rsidRPr="00467503">
              <w:rPr>
                <w:rFonts w:cs="Tahoma"/>
                <w:sz w:val="22"/>
                <w:szCs w:val="24"/>
              </w:rPr>
              <w:t>mayo 22</w:t>
            </w:r>
            <w:r w:rsidR="00AD238B" w:rsidRPr="00467503">
              <w:rPr>
                <w:rFonts w:cs="Tahoma"/>
                <w:sz w:val="22"/>
                <w:szCs w:val="24"/>
              </w:rPr>
              <w:t xml:space="preserve"> de 201</w:t>
            </w:r>
            <w:r w:rsidR="007856D0" w:rsidRPr="00467503">
              <w:rPr>
                <w:rFonts w:cs="Tahoma"/>
                <w:sz w:val="22"/>
                <w:szCs w:val="24"/>
              </w:rPr>
              <w:t>9</w:t>
            </w:r>
            <w:r w:rsidRPr="00467503">
              <w:rPr>
                <w:rFonts w:cs="Tahoma"/>
                <w:sz w:val="22"/>
                <w:szCs w:val="24"/>
              </w:rPr>
              <w:t xml:space="preserve">. SE </w:t>
            </w:r>
            <w:r w:rsidR="0067669F" w:rsidRPr="00467503">
              <w:rPr>
                <w:rFonts w:cs="Tahoma"/>
                <w:sz w:val="22"/>
                <w:szCs w:val="24"/>
              </w:rPr>
              <w:t>CONFIRMA</w:t>
            </w:r>
          </w:p>
        </w:tc>
      </w:tr>
    </w:tbl>
    <w:p w:rsidR="00F13C87" w:rsidRPr="00467503" w:rsidRDefault="00F13C87" w:rsidP="00467503">
      <w:pPr>
        <w:spacing w:line="288" w:lineRule="auto"/>
        <w:rPr>
          <w:sz w:val="24"/>
        </w:rPr>
      </w:pPr>
    </w:p>
    <w:p w:rsidR="00F13C87" w:rsidRPr="00467503" w:rsidRDefault="00F13C87" w:rsidP="00467503">
      <w:pPr>
        <w:spacing w:line="288" w:lineRule="auto"/>
        <w:rPr>
          <w:sz w:val="24"/>
        </w:rPr>
      </w:pPr>
      <w:r w:rsidRPr="00467503">
        <w:rPr>
          <w:sz w:val="24"/>
        </w:rPr>
        <w:t>El Tribunal Superior del Distrito Judicial de Pereira pronuncia la sentencia en los siguientes términos:</w:t>
      </w:r>
    </w:p>
    <w:p w:rsidR="00F13C87" w:rsidRPr="00467503" w:rsidRDefault="00F13C87" w:rsidP="00467503">
      <w:pPr>
        <w:pStyle w:val="Textoindependiente2"/>
        <w:spacing w:line="288" w:lineRule="auto"/>
        <w:rPr>
          <w:sz w:val="22"/>
        </w:rPr>
      </w:pPr>
    </w:p>
    <w:p w:rsidR="00F13C87" w:rsidRPr="00467503" w:rsidRDefault="00F13C87" w:rsidP="00467503">
      <w:pPr>
        <w:spacing w:line="288" w:lineRule="auto"/>
        <w:rPr>
          <w:rStyle w:val="Algerian"/>
          <w:sz w:val="28"/>
        </w:rPr>
      </w:pPr>
      <w:r w:rsidRPr="00467503">
        <w:rPr>
          <w:rStyle w:val="Algerian"/>
          <w:sz w:val="28"/>
        </w:rPr>
        <w:t>1.- hechos Y precedentes</w:t>
      </w:r>
    </w:p>
    <w:p w:rsidR="00F13C87" w:rsidRPr="00467503" w:rsidRDefault="00F13C87" w:rsidP="00467503">
      <w:pPr>
        <w:spacing w:line="288" w:lineRule="auto"/>
        <w:rPr>
          <w:sz w:val="24"/>
        </w:rPr>
      </w:pPr>
    </w:p>
    <w:p w:rsidR="00F13C87" w:rsidRPr="00467503" w:rsidRDefault="00F13C87" w:rsidP="00467503">
      <w:pPr>
        <w:spacing w:line="288" w:lineRule="auto"/>
        <w:rPr>
          <w:sz w:val="24"/>
        </w:rPr>
      </w:pPr>
      <w:r w:rsidRPr="00467503">
        <w:rPr>
          <w:sz w:val="24"/>
        </w:rPr>
        <w:lastRenderedPageBreak/>
        <w:t>La situación fáctica jurídicamente relevante y la actuación procesal esencial para la decisión a tomar, se pueden sintetizar así:</w:t>
      </w:r>
    </w:p>
    <w:p w:rsidR="000D42A3" w:rsidRPr="00467503" w:rsidRDefault="000D42A3" w:rsidP="00467503">
      <w:pPr>
        <w:spacing w:line="288" w:lineRule="auto"/>
        <w:rPr>
          <w:sz w:val="24"/>
        </w:rPr>
      </w:pPr>
    </w:p>
    <w:p w:rsidR="00D32727" w:rsidRPr="00467503" w:rsidRDefault="000D42A3" w:rsidP="00467503">
      <w:pPr>
        <w:spacing w:line="288" w:lineRule="auto"/>
        <w:rPr>
          <w:rStyle w:val="Numeracinttulo"/>
          <w:b w:val="0"/>
        </w:rPr>
      </w:pPr>
      <w:r w:rsidRPr="00467503">
        <w:rPr>
          <w:rStyle w:val="Numeracinttulo"/>
          <w:sz w:val="22"/>
          <w:szCs w:val="24"/>
        </w:rPr>
        <w:t>1.1.-</w:t>
      </w:r>
      <w:r w:rsidRPr="00467503">
        <w:rPr>
          <w:rStyle w:val="Numeracinttulo"/>
          <w:b w:val="0"/>
          <w:sz w:val="22"/>
          <w:szCs w:val="24"/>
        </w:rPr>
        <w:t xml:space="preserve"> </w:t>
      </w:r>
      <w:r w:rsidR="000F4565" w:rsidRPr="00467503">
        <w:rPr>
          <w:rStyle w:val="Numeracinttulo"/>
          <w:b w:val="0"/>
        </w:rPr>
        <w:t xml:space="preserve">Los hechos </w:t>
      </w:r>
      <w:r w:rsidR="00D32727" w:rsidRPr="00467503">
        <w:rPr>
          <w:rStyle w:val="Numeracinttulo"/>
          <w:b w:val="0"/>
        </w:rPr>
        <w:t>fueron plasmados por</w:t>
      </w:r>
      <w:r w:rsidR="00EA7844" w:rsidRPr="00467503">
        <w:rPr>
          <w:rStyle w:val="Numeracinttulo"/>
          <w:b w:val="0"/>
        </w:rPr>
        <w:t xml:space="preserve"> el </w:t>
      </w:r>
      <w:r w:rsidR="00D32727" w:rsidRPr="00467503">
        <w:rPr>
          <w:rStyle w:val="Numeracinttulo"/>
          <w:b w:val="0"/>
        </w:rPr>
        <w:t>funcionari</w:t>
      </w:r>
      <w:r w:rsidR="00EA7844" w:rsidRPr="00467503">
        <w:rPr>
          <w:rStyle w:val="Numeracinttulo"/>
          <w:b w:val="0"/>
        </w:rPr>
        <w:t>o</w:t>
      </w:r>
      <w:r w:rsidR="00D32727" w:rsidRPr="00467503">
        <w:rPr>
          <w:rStyle w:val="Numeracinttulo"/>
          <w:b w:val="0"/>
        </w:rPr>
        <w:t xml:space="preserve"> de primer nivel en el fallo confutado de la siguiente manera:</w:t>
      </w:r>
    </w:p>
    <w:p w:rsidR="00D32727" w:rsidRPr="00467503" w:rsidRDefault="00D32727" w:rsidP="00467503">
      <w:pPr>
        <w:spacing w:line="288" w:lineRule="auto"/>
        <w:rPr>
          <w:rStyle w:val="Numeracinttulo"/>
          <w:b w:val="0"/>
        </w:rPr>
      </w:pPr>
    </w:p>
    <w:p w:rsidR="00814E7E" w:rsidRPr="00467503" w:rsidRDefault="000F4565" w:rsidP="00467503">
      <w:pPr>
        <w:spacing w:line="240" w:lineRule="auto"/>
        <w:ind w:left="426" w:right="420"/>
        <w:rPr>
          <w:rStyle w:val="Numeracinttulo"/>
          <w:rFonts w:cs="Tahoma"/>
          <w:b w:val="0"/>
          <w:sz w:val="22"/>
          <w:szCs w:val="20"/>
        </w:rPr>
      </w:pPr>
      <w:r w:rsidRPr="00467503">
        <w:rPr>
          <w:rStyle w:val="Numeracinttulo"/>
          <w:rFonts w:cs="Tahoma"/>
          <w:b w:val="0"/>
          <w:sz w:val="22"/>
          <w:szCs w:val="20"/>
        </w:rPr>
        <w:t>“</w:t>
      </w:r>
      <w:r w:rsidR="00814E7E" w:rsidRPr="00467503">
        <w:rPr>
          <w:rStyle w:val="Numeracinttulo"/>
          <w:rFonts w:cs="Tahoma"/>
          <w:b w:val="0"/>
          <w:sz w:val="22"/>
          <w:szCs w:val="20"/>
        </w:rPr>
        <w:t>En la tarde del 9 de diciembre de 2013, en la avenida del Río</w:t>
      </w:r>
      <w:r w:rsidR="00F47485" w:rsidRPr="00467503">
        <w:rPr>
          <w:rStyle w:val="Numeracinttulo"/>
          <w:rFonts w:cs="Tahoma"/>
          <w:b w:val="0"/>
          <w:sz w:val="22"/>
          <w:szCs w:val="20"/>
        </w:rPr>
        <w:t xml:space="preserve"> frente al No. 31-52, el señor </w:t>
      </w:r>
      <w:proofErr w:type="spellStart"/>
      <w:r w:rsidR="007305A2">
        <w:rPr>
          <w:rStyle w:val="Numeracinttulo"/>
          <w:rFonts w:cs="Tahoma"/>
          <w:b w:val="0"/>
          <w:sz w:val="22"/>
          <w:szCs w:val="20"/>
        </w:rPr>
        <w:t>OAVR</w:t>
      </w:r>
      <w:proofErr w:type="spellEnd"/>
      <w:r w:rsidR="00814E7E" w:rsidRPr="00467503">
        <w:rPr>
          <w:rStyle w:val="Numeracinttulo"/>
          <w:rFonts w:cs="Tahoma"/>
          <w:b w:val="0"/>
          <w:sz w:val="22"/>
          <w:szCs w:val="20"/>
        </w:rPr>
        <w:t xml:space="preserve"> conducía el vehículo de servicio público tipo buseta marca Chevrolet línea NPR de placas SJS-595, y violó el deber objetivo de cuidado al recoger a la pasajera María Rosalba Monsalve de Jaramillo, al poner en marcha el vehículo automotor sin observar las debidas precauciones y al no cerrar la puerta del vehículo una vez se puso en march</w:t>
      </w:r>
      <w:r w:rsidR="0091030E" w:rsidRPr="00467503">
        <w:rPr>
          <w:rStyle w:val="Numeracinttulo"/>
          <w:rFonts w:cs="Tahoma"/>
          <w:b w:val="0"/>
          <w:sz w:val="22"/>
          <w:szCs w:val="20"/>
        </w:rPr>
        <w:t>a; como consecuencia, la señora</w:t>
      </w:r>
      <w:r w:rsidR="00814E7E" w:rsidRPr="00467503">
        <w:rPr>
          <w:rStyle w:val="Numeracinttulo"/>
          <w:rFonts w:cs="Tahoma"/>
          <w:b w:val="0"/>
          <w:sz w:val="22"/>
          <w:szCs w:val="20"/>
        </w:rPr>
        <w:t xml:space="preserve"> Monsalve de Jaramillo fue lanzada por la puerta delantera. Dicho evento ocasionó en la víctima incapacidad médico legal definitiva de treinta y cinco (35) días, con secuelas médico legales consistentes en perturbación funcional del miembro superior izquierdo de carácter transitorio”.</w:t>
      </w:r>
    </w:p>
    <w:p w:rsidR="000F4565" w:rsidRPr="00467503" w:rsidRDefault="000F4565" w:rsidP="00467503">
      <w:pPr>
        <w:spacing w:line="288" w:lineRule="auto"/>
        <w:rPr>
          <w:rStyle w:val="Numeracinttulo"/>
          <w:sz w:val="22"/>
          <w:szCs w:val="24"/>
        </w:rPr>
      </w:pPr>
    </w:p>
    <w:p w:rsidR="00D74C23" w:rsidRPr="00467503" w:rsidRDefault="000D42A3" w:rsidP="00467503">
      <w:pPr>
        <w:spacing w:line="288" w:lineRule="auto"/>
        <w:rPr>
          <w:rStyle w:val="Numeracinttulo"/>
          <w:b w:val="0"/>
        </w:rPr>
      </w:pPr>
      <w:r w:rsidRPr="00467503">
        <w:rPr>
          <w:rStyle w:val="Numeracinttulo"/>
          <w:sz w:val="22"/>
          <w:szCs w:val="24"/>
        </w:rPr>
        <w:t>1.2.-</w:t>
      </w:r>
      <w:r w:rsidRPr="00467503">
        <w:rPr>
          <w:rStyle w:val="Numeracinttulo"/>
        </w:rPr>
        <w:t xml:space="preserve"> </w:t>
      </w:r>
      <w:r w:rsidR="00AE42B1" w:rsidRPr="00467503">
        <w:rPr>
          <w:rStyle w:val="Numeracinttulo"/>
          <w:b w:val="0"/>
        </w:rPr>
        <w:t>Luego de adelantadas las labores investigativas</w:t>
      </w:r>
      <w:r w:rsidR="00814E7E" w:rsidRPr="00467503">
        <w:rPr>
          <w:rStyle w:val="Numeracinttulo"/>
          <w:b w:val="0"/>
        </w:rPr>
        <w:t>, y de</w:t>
      </w:r>
      <w:r w:rsidR="00A23C4D" w:rsidRPr="00467503">
        <w:rPr>
          <w:rStyle w:val="Numeracinttulo"/>
          <w:b w:val="0"/>
        </w:rPr>
        <w:t xml:space="preserve"> conformidad con lo reglado en el artículo 536 C.P.P., adicionado por el artículo 13 de la ley 1826/17, la Fiscalía le dio traslado del escrito acusatorio al señor </w:t>
      </w:r>
      <w:proofErr w:type="spellStart"/>
      <w:r w:rsidR="007305A2">
        <w:rPr>
          <w:rStyle w:val="Numeracinttulo"/>
          <w:sz w:val="20"/>
          <w:szCs w:val="22"/>
        </w:rPr>
        <w:t>OAVR</w:t>
      </w:r>
      <w:proofErr w:type="spellEnd"/>
      <w:r w:rsidR="00A23C4D" w:rsidRPr="00467503">
        <w:rPr>
          <w:rStyle w:val="Numeracinttulo"/>
          <w:sz w:val="20"/>
          <w:szCs w:val="22"/>
        </w:rPr>
        <w:t xml:space="preserve"> </w:t>
      </w:r>
      <w:r w:rsidR="00A23C4D" w:rsidRPr="00467503">
        <w:rPr>
          <w:rStyle w:val="Numeracinttulo"/>
          <w:b w:val="0"/>
        </w:rPr>
        <w:t>(junio 12 de 2018)</w:t>
      </w:r>
      <w:r w:rsidR="00A87360" w:rsidRPr="00467503">
        <w:rPr>
          <w:rStyle w:val="Numeracinttulo"/>
          <w:b w:val="0"/>
        </w:rPr>
        <w:t>,</w:t>
      </w:r>
      <w:r w:rsidR="00E75369" w:rsidRPr="00467503">
        <w:rPr>
          <w:rStyle w:val="Numeracinttulo"/>
          <w:b w:val="0"/>
        </w:rPr>
        <w:t xml:space="preserve"> por medio del</w:t>
      </w:r>
      <w:r w:rsidR="00D74C23" w:rsidRPr="00467503">
        <w:rPr>
          <w:rStyle w:val="Numeracinttulo"/>
          <w:b w:val="0"/>
        </w:rPr>
        <w:t xml:space="preserve"> cual le endilg</w:t>
      </w:r>
      <w:r w:rsidR="00A23C4D" w:rsidRPr="00467503">
        <w:rPr>
          <w:rStyle w:val="Numeracinttulo"/>
          <w:b w:val="0"/>
        </w:rPr>
        <w:t>ó</w:t>
      </w:r>
      <w:r w:rsidR="00D74C23" w:rsidRPr="00467503">
        <w:rPr>
          <w:rStyle w:val="Numeracinttulo"/>
          <w:b w:val="0"/>
        </w:rPr>
        <w:t xml:space="preserve"> cargos como autor del </w:t>
      </w:r>
      <w:r w:rsidRPr="00467503">
        <w:rPr>
          <w:rStyle w:val="Numeracinttulo"/>
          <w:b w:val="0"/>
        </w:rPr>
        <w:t xml:space="preserve">punible de </w:t>
      </w:r>
      <w:r w:rsidR="00A23C4D" w:rsidRPr="00467503">
        <w:rPr>
          <w:rStyle w:val="Numeracinttulo"/>
          <w:b w:val="0"/>
        </w:rPr>
        <w:t xml:space="preserve">lesiones personales culposas </w:t>
      </w:r>
      <w:r w:rsidR="00E65133" w:rsidRPr="00467503">
        <w:rPr>
          <w:rStyle w:val="Numeracinttulo"/>
          <w:rFonts w:ascii="Verdana" w:hAnsi="Verdana"/>
          <w:b w:val="0"/>
          <w:sz w:val="18"/>
          <w:szCs w:val="20"/>
        </w:rPr>
        <w:t xml:space="preserve">-arts. </w:t>
      </w:r>
      <w:r w:rsidR="00A23C4D" w:rsidRPr="00467503">
        <w:rPr>
          <w:rStyle w:val="Numeracinttulo"/>
          <w:rFonts w:ascii="Verdana" w:hAnsi="Verdana"/>
          <w:b w:val="0"/>
          <w:sz w:val="18"/>
          <w:szCs w:val="20"/>
        </w:rPr>
        <w:t>111</w:t>
      </w:r>
      <w:r w:rsidR="00040FBA" w:rsidRPr="00467503">
        <w:rPr>
          <w:rStyle w:val="Numeracinttulo"/>
          <w:rFonts w:ascii="Verdana" w:hAnsi="Verdana"/>
          <w:b w:val="0"/>
          <w:sz w:val="18"/>
          <w:szCs w:val="20"/>
        </w:rPr>
        <w:t>,</w:t>
      </w:r>
      <w:r w:rsidR="00A23C4D" w:rsidRPr="00467503">
        <w:rPr>
          <w:rStyle w:val="Numeracinttulo"/>
          <w:rFonts w:ascii="Verdana" w:hAnsi="Verdana"/>
          <w:b w:val="0"/>
          <w:sz w:val="18"/>
          <w:szCs w:val="20"/>
        </w:rPr>
        <w:t xml:space="preserve"> 112 inc. 2°, 114 </w:t>
      </w:r>
      <w:proofErr w:type="gramStart"/>
      <w:r w:rsidR="00A23C4D" w:rsidRPr="00467503">
        <w:rPr>
          <w:rStyle w:val="Numeracinttulo"/>
          <w:rFonts w:ascii="Verdana" w:hAnsi="Verdana"/>
          <w:b w:val="0"/>
          <w:sz w:val="18"/>
          <w:szCs w:val="20"/>
        </w:rPr>
        <w:t>inc.</w:t>
      </w:r>
      <w:proofErr w:type="gramEnd"/>
      <w:r w:rsidR="00A23C4D" w:rsidRPr="00467503">
        <w:rPr>
          <w:rStyle w:val="Numeracinttulo"/>
          <w:rFonts w:ascii="Verdana" w:hAnsi="Verdana"/>
          <w:b w:val="0"/>
          <w:sz w:val="18"/>
          <w:szCs w:val="20"/>
        </w:rPr>
        <w:t xml:space="preserve"> 1°, 117 y 120 C.P.-</w:t>
      </w:r>
      <w:r w:rsidR="00E5517D" w:rsidRPr="00467503">
        <w:rPr>
          <w:rStyle w:val="Numeracinttulo"/>
          <w:b w:val="0"/>
        </w:rPr>
        <w:t xml:space="preserve"> </w:t>
      </w:r>
      <w:r w:rsidR="00AE42B1" w:rsidRPr="00467503">
        <w:rPr>
          <w:rStyle w:val="Numeracinttulo"/>
          <w:b w:val="0"/>
        </w:rPr>
        <w:t xml:space="preserve">los cuales </w:t>
      </w:r>
      <w:r w:rsidR="00D74C23" w:rsidRPr="00467503">
        <w:rPr>
          <w:rStyle w:val="Numeracinttulo"/>
          <w:b w:val="0"/>
        </w:rPr>
        <w:t xml:space="preserve">NO </w:t>
      </w:r>
      <w:r w:rsidR="00E5517D" w:rsidRPr="00467503">
        <w:rPr>
          <w:rStyle w:val="Numeracinttulo"/>
          <w:b w:val="0"/>
        </w:rPr>
        <w:t>A</w:t>
      </w:r>
      <w:r w:rsidRPr="00467503">
        <w:rPr>
          <w:rStyle w:val="Numeracinttulo"/>
          <w:b w:val="0"/>
        </w:rPr>
        <w:t>CEPTÓ</w:t>
      </w:r>
      <w:r w:rsidR="00A23C4D" w:rsidRPr="00467503">
        <w:rPr>
          <w:rStyle w:val="Numeracinttulo"/>
          <w:b w:val="0"/>
        </w:rPr>
        <w:t xml:space="preserve">, conforme el acta elevada para tal efecto. </w:t>
      </w:r>
      <w:r w:rsidR="00D74C23" w:rsidRPr="00467503">
        <w:rPr>
          <w:rStyle w:val="Numeracinttulo"/>
          <w:b w:val="0"/>
        </w:rPr>
        <w:t xml:space="preserve"> </w:t>
      </w:r>
      <w:r w:rsidR="00E65133" w:rsidRPr="00467503">
        <w:rPr>
          <w:rStyle w:val="Numeracinttulo"/>
          <w:b w:val="0"/>
        </w:rPr>
        <w:t xml:space="preserve"> </w:t>
      </w:r>
    </w:p>
    <w:p w:rsidR="00D74C23" w:rsidRPr="00467503" w:rsidRDefault="00D74C23" w:rsidP="00467503">
      <w:pPr>
        <w:spacing w:line="288" w:lineRule="auto"/>
        <w:rPr>
          <w:rStyle w:val="Numeracinttulo"/>
          <w:sz w:val="22"/>
          <w:szCs w:val="24"/>
        </w:rPr>
      </w:pPr>
    </w:p>
    <w:p w:rsidR="00D74C23" w:rsidRPr="00467503" w:rsidRDefault="000D42A3" w:rsidP="00467503">
      <w:pPr>
        <w:spacing w:line="288" w:lineRule="auto"/>
        <w:rPr>
          <w:rStyle w:val="Numeracinttulo"/>
          <w:rFonts w:eastAsia="Batang"/>
          <w:b w:val="0"/>
        </w:rPr>
      </w:pPr>
      <w:r w:rsidRPr="00467503">
        <w:rPr>
          <w:rStyle w:val="Numeracinttulo"/>
          <w:sz w:val="22"/>
          <w:szCs w:val="24"/>
        </w:rPr>
        <w:t>1.3.-</w:t>
      </w:r>
      <w:r w:rsidR="00E75369" w:rsidRPr="00467503">
        <w:rPr>
          <w:rStyle w:val="Numeracinttulo"/>
          <w:b w:val="0"/>
        </w:rPr>
        <w:t xml:space="preserve"> </w:t>
      </w:r>
      <w:r w:rsidR="00A23C4D" w:rsidRPr="00467503">
        <w:rPr>
          <w:rStyle w:val="Numeracinttulo"/>
          <w:b w:val="0"/>
        </w:rPr>
        <w:t xml:space="preserve">La actuación le fue asignada al </w:t>
      </w:r>
      <w:r w:rsidR="00D74C23" w:rsidRPr="00467503">
        <w:rPr>
          <w:rStyle w:val="Numeracinttulo"/>
          <w:rFonts w:eastAsia="Batang"/>
          <w:b w:val="0"/>
        </w:rPr>
        <w:t xml:space="preserve">Juzgado </w:t>
      </w:r>
      <w:r w:rsidR="00A23C4D" w:rsidRPr="00467503">
        <w:rPr>
          <w:rStyle w:val="Numeracinttulo"/>
          <w:rFonts w:eastAsia="Batang"/>
          <w:b w:val="0"/>
        </w:rPr>
        <w:t xml:space="preserve">Segundo </w:t>
      </w:r>
      <w:r w:rsidR="00903CE0" w:rsidRPr="00467503">
        <w:rPr>
          <w:rStyle w:val="Numeracinttulo"/>
          <w:rFonts w:eastAsia="Batang"/>
          <w:b w:val="0"/>
        </w:rPr>
        <w:t xml:space="preserve">Penal Municipal con función de conocimiento de </w:t>
      </w:r>
      <w:r w:rsidR="00A23C4D" w:rsidRPr="00467503">
        <w:rPr>
          <w:rStyle w:val="Numeracinttulo"/>
          <w:rFonts w:eastAsia="Batang"/>
          <w:b w:val="0"/>
        </w:rPr>
        <w:t xml:space="preserve">Pereira </w:t>
      </w:r>
      <w:r w:rsidR="00D74C23" w:rsidRPr="00467503">
        <w:rPr>
          <w:rStyle w:val="Numeracinttulo"/>
          <w:rFonts w:eastAsia="Batang"/>
          <w:b w:val="0"/>
        </w:rPr>
        <w:t xml:space="preserve">(Rda.), </w:t>
      </w:r>
      <w:r w:rsidR="00F47485" w:rsidRPr="00467503">
        <w:rPr>
          <w:rStyle w:val="Numeracinttulo"/>
          <w:rFonts w:eastAsia="Batang"/>
          <w:b w:val="0"/>
        </w:rPr>
        <w:t xml:space="preserve">cuyo titular </w:t>
      </w:r>
      <w:r w:rsidR="00A23C4D" w:rsidRPr="00467503">
        <w:rPr>
          <w:rStyle w:val="Numeracinttulo"/>
          <w:rFonts w:eastAsia="Batang"/>
          <w:b w:val="0"/>
        </w:rPr>
        <w:t>convocó para la audien</w:t>
      </w:r>
      <w:r w:rsidR="00630AEE" w:rsidRPr="00467503">
        <w:rPr>
          <w:rStyle w:val="Numeracinttulo"/>
          <w:rFonts w:eastAsia="Batang"/>
          <w:b w:val="0"/>
        </w:rPr>
        <w:t xml:space="preserve">cia concentrada, pero antes de realizarse </w:t>
      </w:r>
      <w:r w:rsidR="00A23C4D" w:rsidRPr="00467503">
        <w:rPr>
          <w:rStyle w:val="Numeracinttulo"/>
          <w:rFonts w:eastAsia="Batang"/>
          <w:b w:val="0"/>
        </w:rPr>
        <w:t xml:space="preserve">la misma la Fiscalía allegó constancia </w:t>
      </w:r>
      <w:r w:rsidR="00CC5F73" w:rsidRPr="00467503">
        <w:rPr>
          <w:rStyle w:val="Numeracinttulo"/>
          <w:rFonts w:eastAsia="Batang"/>
          <w:b w:val="0"/>
        </w:rPr>
        <w:t xml:space="preserve">(mayo 14 de 2019) </w:t>
      </w:r>
      <w:r w:rsidR="00A23C4D" w:rsidRPr="00467503">
        <w:rPr>
          <w:rStyle w:val="Numeracinttulo"/>
          <w:rFonts w:eastAsia="Batang"/>
          <w:b w:val="0"/>
        </w:rPr>
        <w:t xml:space="preserve">por medio de la cual el </w:t>
      </w:r>
      <w:r w:rsidR="00CC5F73" w:rsidRPr="00467503">
        <w:rPr>
          <w:rStyle w:val="Numeracinttulo"/>
          <w:rFonts w:eastAsia="Batang"/>
          <w:b w:val="0"/>
        </w:rPr>
        <w:t xml:space="preserve">señor </w:t>
      </w:r>
      <w:proofErr w:type="spellStart"/>
      <w:r w:rsidR="007305A2">
        <w:rPr>
          <w:rStyle w:val="Numeracinttulo"/>
          <w:rFonts w:eastAsia="Batang"/>
          <w:sz w:val="20"/>
          <w:szCs w:val="22"/>
        </w:rPr>
        <w:t>OAVR</w:t>
      </w:r>
      <w:proofErr w:type="spellEnd"/>
      <w:r w:rsidR="00CC5F73" w:rsidRPr="00467503">
        <w:rPr>
          <w:rStyle w:val="Numeracinttulo"/>
          <w:rFonts w:eastAsia="Batang"/>
          <w:b w:val="0"/>
        </w:rPr>
        <w:t>, asistido por su defensor, ACEPTÓ los cargos endilgados en el escrito de acusación, por lo cual</w:t>
      </w:r>
      <w:r w:rsidR="00881673" w:rsidRPr="00467503">
        <w:rPr>
          <w:rStyle w:val="Numeracinttulo"/>
          <w:rFonts w:eastAsia="Batang"/>
          <w:b w:val="0"/>
        </w:rPr>
        <w:t xml:space="preserve">, una vez verificada la misma, se realizó la audiencia de individualización de pena y sentencia (mayo 14 de 2019), y se procedió a dictar </w:t>
      </w:r>
      <w:r w:rsidR="00630AEE" w:rsidRPr="00467503">
        <w:rPr>
          <w:rStyle w:val="Numeracinttulo"/>
          <w:rFonts w:eastAsia="Batang"/>
          <w:b w:val="0"/>
        </w:rPr>
        <w:t xml:space="preserve">fallo </w:t>
      </w:r>
      <w:r w:rsidR="00881673" w:rsidRPr="00467503">
        <w:rPr>
          <w:rStyle w:val="Numeracinttulo"/>
          <w:rFonts w:eastAsia="Batang"/>
          <w:b w:val="0"/>
        </w:rPr>
        <w:t xml:space="preserve">(mayo 22 de 2019), por medio de la cual: </w:t>
      </w:r>
      <w:r w:rsidR="00D74C23" w:rsidRPr="00467503">
        <w:rPr>
          <w:rStyle w:val="Numeracinttulo"/>
          <w:rFonts w:eastAsia="Batang"/>
          <w:b w:val="0"/>
        </w:rPr>
        <w:t xml:space="preserve">(i) se declaró responsable </w:t>
      </w:r>
      <w:r w:rsidR="000C2599" w:rsidRPr="00467503">
        <w:rPr>
          <w:rStyle w:val="Numeracinttulo"/>
          <w:rFonts w:eastAsia="Batang"/>
          <w:b w:val="0"/>
        </w:rPr>
        <w:t xml:space="preserve">a </w:t>
      </w:r>
      <w:proofErr w:type="spellStart"/>
      <w:r w:rsidR="007305A2">
        <w:rPr>
          <w:rStyle w:val="Numeracinttulo"/>
          <w:rFonts w:eastAsia="Batang"/>
          <w:sz w:val="20"/>
          <w:szCs w:val="22"/>
        </w:rPr>
        <w:t>OAVR</w:t>
      </w:r>
      <w:proofErr w:type="spellEnd"/>
      <w:r w:rsidR="00881673" w:rsidRPr="00467503">
        <w:rPr>
          <w:rStyle w:val="Numeracinttulo"/>
          <w:rFonts w:eastAsia="Batang"/>
          <w:sz w:val="20"/>
          <w:szCs w:val="22"/>
        </w:rPr>
        <w:t xml:space="preserve"> </w:t>
      </w:r>
      <w:r w:rsidR="000C2599" w:rsidRPr="00467503">
        <w:rPr>
          <w:rStyle w:val="Numeracinttulo"/>
          <w:rFonts w:eastAsia="Batang"/>
          <w:b w:val="0"/>
        </w:rPr>
        <w:t xml:space="preserve">por el delito </w:t>
      </w:r>
      <w:r w:rsidR="00D74C23" w:rsidRPr="00467503">
        <w:rPr>
          <w:rStyle w:val="Numeracinttulo"/>
          <w:rFonts w:eastAsia="Batang"/>
          <w:b w:val="0"/>
        </w:rPr>
        <w:t xml:space="preserve">de </w:t>
      </w:r>
      <w:r w:rsidR="00881673" w:rsidRPr="00467503">
        <w:rPr>
          <w:rStyle w:val="Numeracinttulo"/>
          <w:rFonts w:eastAsia="Batang"/>
          <w:b w:val="0"/>
        </w:rPr>
        <w:t>lesiones personales culposas</w:t>
      </w:r>
      <w:r w:rsidR="00D74C23" w:rsidRPr="00467503">
        <w:rPr>
          <w:rStyle w:val="Numeracinttulo"/>
          <w:rFonts w:eastAsia="Batang"/>
          <w:b w:val="0"/>
        </w:rPr>
        <w:t xml:space="preserve">; (ii) se le impuso sanción privativa de la libertad equivalente a </w:t>
      </w:r>
      <w:r w:rsidR="00881673" w:rsidRPr="00467503">
        <w:rPr>
          <w:rStyle w:val="Numeracinttulo"/>
          <w:rFonts w:eastAsia="Batang"/>
          <w:b w:val="0"/>
        </w:rPr>
        <w:t>3</w:t>
      </w:r>
      <w:r w:rsidR="000C2599" w:rsidRPr="00467503">
        <w:rPr>
          <w:rStyle w:val="Numeracinttulo"/>
          <w:rFonts w:eastAsia="Batang"/>
          <w:b w:val="0"/>
        </w:rPr>
        <w:t xml:space="preserve"> </w:t>
      </w:r>
      <w:r w:rsidR="00D74C23" w:rsidRPr="00467503">
        <w:rPr>
          <w:rStyle w:val="Numeracinttulo"/>
          <w:rFonts w:eastAsia="Batang"/>
          <w:b w:val="0"/>
        </w:rPr>
        <w:t xml:space="preserve">meses </w:t>
      </w:r>
      <w:r w:rsidR="00881673" w:rsidRPr="00467503">
        <w:rPr>
          <w:rStyle w:val="Numeracinttulo"/>
          <w:rFonts w:eastAsia="Batang"/>
          <w:b w:val="0"/>
        </w:rPr>
        <w:t>y 15 días, multa de dos (02) salarios mínimos legales mensuales y privación del derecho a conducir automotores  por un término de ocho (08) meses, (ii</w:t>
      </w:r>
      <w:r w:rsidR="00FD6F86" w:rsidRPr="00467503">
        <w:rPr>
          <w:rStyle w:val="Numeracinttulo"/>
          <w:rFonts w:eastAsia="Batang"/>
          <w:b w:val="0"/>
        </w:rPr>
        <w:t>i</w:t>
      </w:r>
      <w:r w:rsidR="00881673" w:rsidRPr="00467503">
        <w:rPr>
          <w:rStyle w:val="Numeracinttulo"/>
          <w:rFonts w:eastAsia="Batang"/>
          <w:b w:val="0"/>
        </w:rPr>
        <w:t>) a la</w:t>
      </w:r>
      <w:r w:rsidR="00D74C23" w:rsidRPr="00467503">
        <w:rPr>
          <w:rStyle w:val="Numeracinttulo"/>
          <w:rFonts w:eastAsia="Batang"/>
          <w:b w:val="0"/>
        </w:rPr>
        <w:t xml:space="preserve"> inhabilitación en el ejercicio de derechos y funciones públicas por tiempo igual al de la pena principal</w:t>
      </w:r>
      <w:r w:rsidR="00CA051A" w:rsidRPr="00467503">
        <w:rPr>
          <w:rStyle w:val="Numeracinttulo"/>
          <w:rFonts w:eastAsia="Batang"/>
          <w:b w:val="0"/>
        </w:rPr>
        <w:t>;</w:t>
      </w:r>
      <w:r w:rsidR="000C2599" w:rsidRPr="00467503">
        <w:rPr>
          <w:rStyle w:val="Numeracinttulo"/>
          <w:rFonts w:eastAsia="Batang"/>
          <w:b w:val="0"/>
        </w:rPr>
        <w:t xml:space="preserve"> y</w:t>
      </w:r>
      <w:r w:rsidR="00D74C23" w:rsidRPr="00467503">
        <w:rPr>
          <w:rStyle w:val="Numeracinttulo"/>
          <w:rFonts w:eastAsia="Batang"/>
          <w:b w:val="0"/>
        </w:rPr>
        <w:t xml:space="preserve"> (i</w:t>
      </w:r>
      <w:r w:rsidR="00FD6F86" w:rsidRPr="00467503">
        <w:rPr>
          <w:rStyle w:val="Numeracinttulo"/>
          <w:rFonts w:eastAsia="Batang"/>
          <w:b w:val="0"/>
        </w:rPr>
        <w:t>v</w:t>
      </w:r>
      <w:r w:rsidR="00D74C23" w:rsidRPr="00467503">
        <w:rPr>
          <w:rStyle w:val="Numeracinttulo"/>
          <w:rFonts w:eastAsia="Batang"/>
          <w:b w:val="0"/>
        </w:rPr>
        <w:t xml:space="preserve">) </w:t>
      </w:r>
      <w:r w:rsidR="00FD6F86" w:rsidRPr="00467503">
        <w:rPr>
          <w:rStyle w:val="Numeracinttulo"/>
          <w:rFonts w:eastAsia="Batang"/>
          <w:b w:val="0"/>
        </w:rPr>
        <w:t xml:space="preserve">se </w:t>
      </w:r>
      <w:r w:rsidR="00D74C23" w:rsidRPr="00467503">
        <w:rPr>
          <w:rStyle w:val="Numeracinttulo"/>
          <w:rFonts w:eastAsia="Batang"/>
          <w:b w:val="0"/>
        </w:rPr>
        <w:t xml:space="preserve">le </w:t>
      </w:r>
      <w:r w:rsidR="00FD6F86" w:rsidRPr="00467503">
        <w:rPr>
          <w:rStyle w:val="Numeracinttulo"/>
          <w:rFonts w:eastAsia="Batang"/>
          <w:b w:val="0"/>
        </w:rPr>
        <w:t xml:space="preserve">concedió </w:t>
      </w:r>
      <w:r w:rsidR="00D74C23" w:rsidRPr="00467503">
        <w:rPr>
          <w:rStyle w:val="Numeracinttulo"/>
          <w:rFonts w:eastAsia="Batang"/>
          <w:b w:val="0"/>
        </w:rPr>
        <w:t>la suspensión</w:t>
      </w:r>
      <w:r w:rsidR="00CA051A" w:rsidRPr="00467503">
        <w:rPr>
          <w:rStyle w:val="Numeracinttulo"/>
          <w:rFonts w:eastAsia="Batang"/>
          <w:b w:val="0"/>
        </w:rPr>
        <w:t xml:space="preserve"> condicional</w:t>
      </w:r>
      <w:r w:rsidR="00D74C23" w:rsidRPr="00467503">
        <w:rPr>
          <w:rStyle w:val="Numeracinttulo"/>
          <w:rFonts w:eastAsia="Batang"/>
          <w:b w:val="0"/>
        </w:rPr>
        <w:t xml:space="preserve"> de la ejecución de la pena</w:t>
      </w:r>
      <w:r w:rsidR="00FD6F86" w:rsidRPr="00467503">
        <w:rPr>
          <w:rStyle w:val="Numeracinttulo"/>
          <w:rFonts w:eastAsia="Batang"/>
          <w:b w:val="0"/>
        </w:rPr>
        <w:t>, previa suscripción de diligencia de compromiso, por un período de prueba de dos (02) años</w:t>
      </w:r>
      <w:r w:rsidR="00D74C23" w:rsidRPr="00467503">
        <w:rPr>
          <w:rStyle w:val="Numeracinttulo"/>
          <w:rFonts w:eastAsia="Batang"/>
          <w:b w:val="0"/>
        </w:rPr>
        <w:t>.</w:t>
      </w:r>
    </w:p>
    <w:p w:rsidR="000D42A3" w:rsidRPr="00467503" w:rsidRDefault="000D42A3" w:rsidP="00467503">
      <w:pPr>
        <w:spacing w:line="288" w:lineRule="auto"/>
        <w:rPr>
          <w:sz w:val="24"/>
        </w:rPr>
      </w:pPr>
    </w:p>
    <w:p w:rsidR="000D42A3" w:rsidRPr="00467503" w:rsidRDefault="000D42A3" w:rsidP="00467503">
      <w:pPr>
        <w:spacing w:line="288" w:lineRule="auto"/>
        <w:rPr>
          <w:rStyle w:val="Numeracinttulo"/>
          <w:b w:val="0"/>
        </w:rPr>
      </w:pPr>
      <w:r w:rsidRPr="00467503">
        <w:rPr>
          <w:rStyle w:val="Numeracinttulo"/>
          <w:sz w:val="22"/>
          <w:szCs w:val="24"/>
        </w:rPr>
        <w:t>1.4.-</w:t>
      </w:r>
      <w:r w:rsidRPr="00467503">
        <w:rPr>
          <w:rStyle w:val="Numeracinttulo"/>
          <w:b w:val="0"/>
        </w:rPr>
        <w:t xml:space="preserve"> </w:t>
      </w:r>
      <w:r w:rsidR="00116A8A" w:rsidRPr="00467503">
        <w:rPr>
          <w:rStyle w:val="Numeracinttulo"/>
          <w:b w:val="0"/>
        </w:rPr>
        <w:t>Inconforme con esa determinación</w:t>
      </w:r>
      <w:r w:rsidR="00AE3785" w:rsidRPr="00467503">
        <w:rPr>
          <w:rStyle w:val="Numeracinttulo"/>
          <w:b w:val="0"/>
        </w:rPr>
        <w:t xml:space="preserve">, </w:t>
      </w:r>
      <w:r w:rsidR="00B113B1" w:rsidRPr="00467503">
        <w:rPr>
          <w:rStyle w:val="Numeracinttulo"/>
          <w:b w:val="0"/>
        </w:rPr>
        <w:t xml:space="preserve">el defensor del </w:t>
      </w:r>
      <w:r w:rsidR="00630AEE" w:rsidRPr="00467503">
        <w:rPr>
          <w:rStyle w:val="Numeracinttulo"/>
          <w:b w:val="0"/>
        </w:rPr>
        <w:t xml:space="preserve">procesado </w:t>
      </w:r>
      <w:r w:rsidR="00B113B1" w:rsidRPr="00467503">
        <w:rPr>
          <w:rStyle w:val="Numeracinttulo"/>
          <w:b w:val="0"/>
        </w:rPr>
        <w:t xml:space="preserve">apeló la decisión y </w:t>
      </w:r>
      <w:r w:rsidR="00FD6F86" w:rsidRPr="00467503">
        <w:rPr>
          <w:rStyle w:val="Numeracinttulo"/>
          <w:b w:val="0"/>
        </w:rPr>
        <w:t xml:space="preserve">procedió a sustentarla, dentro del </w:t>
      </w:r>
      <w:r w:rsidR="00630AEE" w:rsidRPr="00467503">
        <w:rPr>
          <w:rStyle w:val="Numeracinttulo"/>
          <w:b w:val="0"/>
        </w:rPr>
        <w:t xml:space="preserve">plazo </w:t>
      </w:r>
      <w:r w:rsidR="00FD6F86" w:rsidRPr="00467503">
        <w:rPr>
          <w:rStyle w:val="Numeracinttulo"/>
          <w:b w:val="0"/>
        </w:rPr>
        <w:t>de ley.</w:t>
      </w:r>
    </w:p>
    <w:p w:rsidR="002F2C30" w:rsidRPr="00467503" w:rsidRDefault="002F2C30" w:rsidP="00467503">
      <w:pPr>
        <w:spacing w:line="288" w:lineRule="auto"/>
        <w:rPr>
          <w:rStyle w:val="Numeracinttulo"/>
          <w:b w:val="0"/>
        </w:rPr>
      </w:pPr>
    </w:p>
    <w:p w:rsidR="00F13C87" w:rsidRPr="00467503" w:rsidRDefault="00F13C87" w:rsidP="00467503">
      <w:pPr>
        <w:spacing w:line="288" w:lineRule="auto"/>
        <w:rPr>
          <w:rStyle w:val="Algerian"/>
          <w:sz w:val="28"/>
        </w:rPr>
      </w:pPr>
      <w:r w:rsidRPr="00467503">
        <w:rPr>
          <w:rStyle w:val="Algerian"/>
          <w:sz w:val="28"/>
        </w:rPr>
        <w:t>2.- Debate</w:t>
      </w:r>
    </w:p>
    <w:p w:rsidR="00B31B9A" w:rsidRPr="00467503" w:rsidRDefault="00B31B9A" w:rsidP="00467503">
      <w:pPr>
        <w:spacing w:line="288" w:lineRule="auto"/>
        <w:rPr>
          <w:b/>
          <w:sz w:val="22"/>
          <w:szCs w:val="24"/>
        </w:rPr>
      </w:pPr>
    </w:p>
    <w:p w:rsidR="00F13C87" w:rsidRPr="00467503" w:rsidRDefault="00F13C87" w:rsidP="00467503">
      <w:pPr>
        <w:spacing w:line="288" w:lineRule="auto"/>
        <w:rPr>
          <w:sz w:val="24"/>
        </w:rPr>
      </w:pPr>
      <w:r w:rsidRPr="00467503">
        <w:rPr>
          <w:b/>
          <w:sz w:val="22"/>
          <w:szCs w:val="24"/>
        </w:rPr>
        <w:t>2.1.-</w:t>
      </w:r>
      <w:r w:rsidR="00E3428F" w:rsidRPr="00467503">
        <w:rPr>
          <w:sz w:val="24"/>
        </w:rPr>
        <w:t xml:space="preserve"> </w:t>
      </w:r>
      <w:r w:rsidR="00B113B1" w:rsidRPr="00467503">
        <w:rPr>
          <w:sz w:val="24"/>
        </w:rPr>
        <w:t xml:space="preserve">Defensa </w:t>
      </w:r>
      <w:r w:rsidR="005D1FC7" w:rsidRPr="00467503">
        <w:rPr>
          <w:rFonts w:ascii="Verdana" w:hAnsi="Verdana"/>
          <w:sz w:val="18"/>
          <w:szCs w:val="20"/>
        </w:rPr>
        <w:t>-</w:t>
      </w:r>
      <w:r w:rsidRPr="00467503">
        <w:rPr>
          <w:rFonts w:ascii="Verdana" w:hAnsi="Verdana"/>
          <w:sz w:val="18"/>
          <w:szCs w:val="20"/>
        </w:rPr>
        <w:t>recurrente</w:t>
      </w:r>
      <w:r w:rsidRPr="00467503">
        <w:rPr>
          <w:rFonts w:ascii="Verdana" w:hAnsi="Verdana"/>
          <w:i/>
          <w:sz w:val="18"/>
          <w:szCs w:val="20"/>
        </w:rPr>
        <w:t xml:space="preserve">- </w:t>
      </w:r>
    </w:p>
    <w:p w:rsidR="00F13C87" w:rsidRPr="00467503" w:rsidRDefault="00F13C87" w:rsidP="00467503">
      <w:pPr>
        <w:spacing w:line="288" w:lineRule="auto"/>
        <w:rPr>
          <w:rStyle w:val="Nombreprincipal"/>
          <w:sz w:val="20"/>
        </w:rPr>
      </w:pPr>
    </w:p>
    <w:p w:rsidR="0048770B" w:rsidRPr="00467503" w:rsidRDefault="0048770B" w:rsidP="00467503">
      <w:pPr>
        <w:spacing w:line="288" w:lineRule="auto"/>
        <w:rPr>
          <w:sz w:val="24"/>
        </w:rPr>
      </w:pPr>
      <w:r w:rsidRPr="00467503">
        <w:rPr>
          <w:sz w:val="24"/>
        </w:rPr>
        <w:t xml:space="preserve">Si bien está conforme con el quantum de la pena impuesto, así como el término de suspensión de la licencia para conducir vehículos, no lo está frente a la circunstancia </w:t>
      </w:r>
      <w:r w:rsidRPr="00467503">
        <w:rPr>
          <w:sz w:val="24"/>
        </w:rPr>
        <w:lastRenderedPageBreak/>
        <w:t>de no haber extendido el subrogado de la ejecución condicional de la pena respecto a la suspensión de la licencia de conducción.</w:t>
      </w:r>
    </w:p>
    <w:p w:rsidR="0048770B" w:rsidRPr="00467503" w:rsidRDefault="0048770B" w:rsidP="00467503">
      <w:pPr>
        <w:spacing w:line="288" w:lineRule="auto"/>
        <w:rPr>
          <w:sz w:val="24"/>
        </w:rPr>
      </w:pPr>
    </w:p>
    <w:p w:rsidR="00872270" w:rsidRPr="00467503" w:rsidRDefault="0048770B" w:rsidP="00467503">
      <w:pPr>
        <w:spacing w:line="288" w:lineRule="auto"/>
        <w:rPr>
          <w:sz w:val="24"/>
        </w:rPr>
      </w:pPr>
      <w:r w:rsidRPr="00467503">
        <w:rPr>
          <w:sz w:val="24"/>
        </w:rPr>
        <w:t xml:space="preserve">Luego de referir a los artículos 35, 43 y 52 C.P., si bien en principio y como regla general la suspensión de la licencia de conducción es de naturaleza principal, como así se entiende de los dos primeros artículos, puede llegar a ser de carácter accesorio por disposición del juez, según se desprende del último </w:t>
      </w:r>
      <w:proofErr w:type="spellStart"/>
      <w:r w:rsidRPr="00467503">
        <w:rPr>
          <w:sz w:val="24"/>
        </w:rPr>
        <w:t>nomenclado</w:t>
      </w:r>
      <w:proofErr w:type="spellEnd"/>
      <w:r w:rsidR="00BF7FAC" w:rsidRPr="00467503">
        <w:rPr>
          <w:sz w:val="24"/>
        </w:rPr>
        <w:t>, pero el juez</w:t>
      </w:r>
      <w:r w:rsidRPr="00467503">
        <w:rPr>
          <w:sz w:val="24"/>
        </w:rPr>
        <w:t xml:space="preserve"> guardó silencio sobre tal aspecto,</w:t>
      </w:r>
      <w:r w:rsidR="00BF7FAC" w:rsidRPr="00467503">
        <w:rPr>
          <w:sz w:val="24"/>
        </w:rPr>
        <w:t xml:space="preserve"> no obstante </w:t>
      </w:r>
      <w:r w:rsidRPr="00467503">
        <w:rPr>
          <w:sz w:val="24"/>
        </w:rPr>
        <w:t>dio aplicación de manera tácita al</w:t>
      </w:r>
      <w:r w:rsidR="00AC3070" w:rsidRPr="00467503">
        <w:rPr>
          <w:sz w:val="24"/>
        </w:rPr>
        <w:t xml:space="preserve"> mandato final del art. 63 C.P.</w:t>
      </w:r>
      <w:r w:rsidRPr="00467503">
        <w:rPr>
          <w:sz w:val="24"/>
        </w:rPr>
        <w:t xml:space="preserve"> en el sentido de “exigir el cumplimiento de las penas no privativas de la libertad concurrentes con la principal de prisión”, </w:t>
      </w:r>
      <w:r w:rsidR="00BF7FAC" w:rsidRPr="00467503">
        <w:rPr>
          <w:sz w:val="24"/>
        </w:rPr>
        <w:t xml:space="preserve">sin aducir </w:t>
      </w:r>
      <w:r w:rsidR="00872270" w:rsidRPr="00467503">
        <w:rPr>
          <w:sz w:val="24"/>
        </w:rPr>
        <w:t>las razones por las cuales se abstenía de dar aplicación a tal subrogado para suspender la ejecución de la pena del derecho a conducir automotores.</w:t>
      </w:r>
    </w:p>
    <w:p w:rsidR="00872270" w:rsidRPr="00467503" w:rsidRDefault="00872270" w:rsidP="00467503">
      <w:pPr>
        <w:spacing w:line="288" w:lineRule="auto"/>
        <w:rPr>
          <w:sz w:val="24"/>
        </w:rPr>
      </w:pPr>
    </w:p>
    <w:p w:rsidR="002F5BC6" w:rsidRPr="00467503" w:rsidRDefault="002F5BC6" w:rsidP="00467503">
      <w:pPr>
        <w:spacing w:line="288" w:lineRule="auto"/>
        <w:rPr>
          <w:sz w:val="24"/>
        </w:rPr>
      </w:pPr>
      <w:r w:rsidRPr="00467503">
        <w:rPr>
          <w:sz w:val="24"/>
        </w:rPr>
        <w:t>Considera que el a quo incurrió en una omisión que perjudica los intereses de su defendido, al no permitirle desarrollar su única profesión u oficio,</w:t>
      </w:r>
      <w:r w:rsidR="00630AEE" w:rsidRPr="00467503">
        <w:rPr>
          <w:sz w:val="24"/>
        </w:rPr>
        <w:t xml:space="preserve"> frente a </w:t>
      </w:r>
      <w:r w:rsidRPr="00467503">
        <w:rPr>
          <w:sz w:val="24"/>
        </w:rPr>
        <w:t>lo cual piensa que fue un lapsus u olvido de motivar las razones de su decisión, pues si su intención era la de exigir el cumplimiento de la pena no privativa de la libertad, debió plasmar las razones para ello.</w:t>
      </w:r>
    </w:p>
    <w:p w:rsidR="002F5BC6" w:rsidRPr="00467503" w:rsidRDefault="002F5BC6" w:rsidP="00467503">
      <w:pPr>
        <w:spacing w:line="288" w:lineRule="auto"/>
        <w:rPr>
          <w:sz w:val="24"/>
        </w:rPr>
      </w:pPr>
    </w:p>
    <w:p w:rsidR="0048770B" w:rsidRPr="00467503" w:rsidRDefault="001E7A80" w:rsidP="00467503">
      <w:pPr>
        <w:spacing w:line="288" w:lineRule="auto"/>
        <w:rPr>
          <w:sz w:val="24"/>
        </w:rPr>
      </w:pPr>
      <w:r w:rsidRPr="00467503">
        <w:rPr>
          <w:sz w:val="24"/>
        </w:rPr>
        <w:t xml:space="preserve">Hace </w:t>
      </w:r>
      <w:r w:rsidR="002F5BC6" w:rsidRPr="00467503">
        <w:rPr>
          <w:sz w:val="24"/>
        </w:rPr>
        <w:t>alusión a providencia de la Sala Penal del Tribunal de Manizales, re</w:t>
      </w:r>
      <w:r w:rsidR="00630AEE" w:rsidRPr="00467503">
        <w:rPr>
          <w:sz w:val="24"/>
        </w:rPr>
        <w:t xml:space="preserve">lativa </w:t>
      </w:r>
      <w:r w:rsidR="00AC3070" w:rsidRPr="00467503">
        <w:rPr>
          <w:sz w:val="24"/>
        </w:rPr>
        <w:t>a un caso por homicidio culposo</w:t>
      </w:r>
      <w:r w:rsidR="00971E97" w:rsidRPr="00467503">
        <w:rPr>
          <w:sz w:val="24"/>
        </w:rPr>
        <w:t xml:space="preserve"> donde se advirtió</w:t>
      </w:r>
      <w:r w:rsidR="002F5BC6" w:rsidRPr="00467503">
        <w:rPr>
          <w:sz w:val="24"/>
        </w:rPr>
        <w:t xml:space="preserve"> viable convenir por la vía del preacuerdo la suspensión de la pena principal y la suspensión del uso de la licencia de conducción</w:t>
      </w:r>
      <w:r w:rsidR="00971E97" w:rsidRPr="00467503">
        <w:rPr>
          <w:sz w:val="24"/>
        </w:rPr>
        <w:t>,</w:t>
      </w:r>
      <w:r w:rsidRPr="00467503">
        <w:rPr>
          <w:sz w:val="24"/>
        </w:rPr>
        <w:t xml:space="preserve"> </w:t>
      </w:r>
      <w:r w:rsidR="00EA7844" w:rsidRPr="00467503">
        <w:rPr>
          <w:sz w:val="24"/>
        </w:rPr>
        <w:t xml:space="preserve">y </w:t>
      </w:r>
      <w:r w:rsidRPr="00467503">
        <w:rPr>
          <w:sz w:val="24"/>
        </w:rPr>
        <w:t xml:space="preserve">ello puede ser aplicable en el presente caso por tratarse de una </w:t>
      </w:r>
      <w:r w:rsidR="00971E97" w:rsidRPr="00467503">
        <w:rPr>
          <w:sz w:val="24"/>
        </w:rPr>
        <w:t xml:space="preserve">conducta </w:t>
      </w:r>
      <w:r w:rsidRPr="00467503">
        <w:rPr>
          <w:sz w:val="24"/>
        </w:rPr>
        <w:t>de menor entidad</w:t>
      </w:r>
      <w:r w:rsidR="002F5BC6" w:rsidRPr="00467503">
        <w:rPr>
          <w:sz w:val="24"/>
        </w:rPr>
        <w:t>.</w:t>
      </w:r>
    </w:p>
    <w:p w:rsidR="0054366E" w:rsidRPr="00467503" w:rsidRDefault="0054366E" w:rsidP="00467503">
      <w:pPr>
        <w:spacing w:line="288" w:lineRule="auto"/>
        <w:rPr>
          <w:b/>
          <w:sz w:val="22"/>
          <w:szCs w:val="24"/>
          <w:lang w:val="es-CO"/>
        </w:rPr>
      </w:pPr>
    </w:p>
    <w:p w:rsidR="00901375" w:rsidRPr="00467503" w:rsidRDefault="00901375" w:rsidP="00467503">
      <w:pPr>
        <w:spacing w:line="288" w:lineRule="auto"/>
        <w:rPr>
          <w:sz w:val="24"/>
        </w:rPr>
      </w:pPr>
      <w:r w:rsidRPr="00467503">
        <w:rPr>
          <w:b/>
          <w:sz w:val="22"/>
          <w:szCs w:val="24"/>
        </w:rPr>
        <w:t>2.3.-</w:t>
      </w:r>
      <w:r w:rsidRPr="00467503">
        <w:rPr>
          <w:sz w:val="24"/>
        </w:rPr>
        <w:t xml:space="preserve"> Debidamente sustentado el recurso, </w:t>
      </w:r>
      <w:r w:rsidR="002E5AFD" w:rsidRPr="00467503">
        <w:rPr>
          <w:sz w:val="24"/>
        </w:rPr>
        <w:t>el</w:t>
      </w:r>
      <w:r w:rsidRPr="00467503">
        <w:rPr>
          <w:sz w:val="24"/>
        </w:rPr>
        <w:t xml:space="preserve"> juez a quo lo concedió en el efect</w:t>
      </w:r>
      <w:r w:rsidR="001F37C3" w:rsidRPr="00467503">
        <w:rPr>
          <w:sz w:val="24"/>
        </w:rPr>
        <w:t>o</w:t>
      </w:r>
      <w:r w:rsidRPr="00467503">
        <w:rPr>
          <w:sz w:val="24"/>
        </w:rPr>
        <w:t xml:space="preserve"> suspensivo y dispuso la remisión de los registros pertinentes ante esta Corporación con el fin de desatar la alzada.</w:t>
      </w:r>
    </w:p>
    <w:p w:rsidR="00901375" w:rsidRPr="00467503" w:rsidRDefault="00901375" w:rsidP="00467503">
      <w:pPr>
        <w:spacing w:line="288" w:lineRule="auto"/>
        <w:rPr>
          <w:sz w:val="24"/>
        </w:rPr>
      </w:pPr>
    </w:p>
    <w:p w:rsidR="00F13C87" w:rsidRPr="00467503" w:rsidRDefault="00F13C87" w:rsidP="00467503">
      <w:pPr>
        <w:spacing w:line="288" w:lineRule="auto"/>
        <w:rPr>
          <w:rStyle w:val="Algerian"/>
          <w:sz w:val="28"/>
        </w:rPr>
      </w:pPr>
      <w:r w:rsidRPr="00467503">
        <w:rPr>
          <w:rStyle w:val="Algerian"/>
          <w:sz w:val="28"/>
        </w:rPr>
        <w:t xml:space="preserve">3.- </w:t>
      </w:r>
      <w:r w:rsidRPr="00467503">
        <w:rPr>
          <w:rStyle w:val="Algerian"/>
          <w:rFonts w:ascii="Tahoma" w:hAnsi="Tahoma" w:cs="Tahoma"/>
          <w:sz w:val="24"/>
          <w:szCs w:val="28"/>
        </w:rPr>
        <w:t>Para resolver,</w:t>
      </w:r>
      <w:r w:rsidRPr="00467503">
        <w:rPr>
          <w:rStyle w:val="Algerian"/>
          <w:rFonts w:ascii="Tahoma" w:hAnsi="Tahoma" w:cs="Tahoma"/>
          <w:sz w:val="28"/>
        </w:rPr>
        <w:t xml:space="preserve"> </w:t>
      </w:r>
      <w:r w:rsidRPr="00467503">
        <w:rPr>
          <w:rStyle w:val="Algerian"/>
          <w:sz w:val="28"/>
        </w:rPr>
        <w:t>se considera</w:t>
      </w:r>
    </w:p>
    <w:p w:rsidR="00F13C87" w:rsidRPr="00467503" w:rsidRDefault="00F13C87" w:rsidP="00467503">
      <w:pPr>
        <w:spacing w:line="288" w:lineRule="auto"/>
        <w:rPr>
          <w:sz w:val="24"/>
        </w:rPr>
      </w:pPr>
      <w:r w:rsidRPr="00467503">
        <w:rPr>
          <w:sz w:val="24"/>
        </w:rPr>
        <w:t xml:space="preserve"> </w:t>
      </w:r>
    </w:p>
    <w:p w:rsidR="00F13C87" w:rsidRPr="00467503" w:rsidRDefault="00F13C87" w:rsidP="00467503">
      <w:pPr>
        <w:spacing w:line="288" w:lineRule="auto"/>
        <w:rPr>
          <w:b/>
          <w:sz w:val="22"/>
          <w:szCs w:val="24"/>
        </w:rPr>
      </w:pPr>
      <w:r w:rsidRPr="00467503">
        <w:rPr>
          <w:b/>
          <w:sz w:val="22"/>
          <w:szCs w:val="24"/>
        </w:rPr>
        <w:t>3.1.-</w:t>
      </w:r>
      <w:r w:rsidRPr="00467503">
        <w:rPr>
          <w:b/>
          <w:sz w:val="24"/>
        </w:rPr>
        <w:t xml:space="preserve"> </w:t>
      </w:r>
      <w:r w:rsidRPr="00467503">
        <w:rPr>
          <w:b/>
          <w:sz w:val="22"/>
          <w:szCs w:val="24"/>
        </w:rPr>
        <w:t>Competencia</w:t>
      </w:r>
    </w:p>
    <w:p w:rsidR="00F13C87" w:rsidRPr="00467503" w:rsidRDefault="00F13C87" w:rsidP="00467503">
      <w:pPr>
        <w:spacing w:line="288" w:lineRule="auto"/>
        <w:rPr>
          <w:sz w:val="24"/>
        </w:rPr>
      </w:pPr>
    </w:p>
    <w:p w:rsidR="00F13C87" w:rsidRPr="00467503" w:rsidRDefault="00F13C87" w:rsidP="00467503">
      <w:pPr>
        <w:spacing w:line="288" w:lineRule="auto"/>
        <w:rPr>
          <w:sz w:val="24"/>
        </w:rPr>
      </w:pPr>
      <w:r w:rsidRPr="00467503">
        <w:rPr>
          <w:sz w:val="24"/>
        </w:rPr>
        <w:t>La tiene esta Colegiatura de conformidad con los factores objetivo, territorial y funcional a voces de los artículos 20, 34.1 y 179 de la Ley 906 de 2004</w:t>
      </w:r>
      <w:r w:rsidRPr="00467503">
        <w:rPr>
          <w:rFonts w:ascii="Verdana" w:hAnsi="Verdana"/>
          <w:sz w:val="18"/>
          <w:szCs w:val="20"/>
        </w:rPr>
        <w:t xml:space="preserve"> -modificado este último por el artículo 91 de la Ley 1395 de 2010-</w:t>
      </w:r>
      <w:r w:rsidRPr="00467503">
        <w:rPr>
          <w:sz w:val="24"/>
        </w:rPr>
        <w:t xml:space="preserve">, al haber sido oportunamente interpuesta y </w:t>
      </w:r>
      <w:r w:rsidR="00735B8F" w:rsidRPr="00467503">
        <w:rPr>
          <w:sz w:val="24"/>
        </w:rPr>
        <w:t xml:space="preserve">apropiadamente </w:t>
      </w:r>
      <w:r w:rsidRPr="00467503">
        <w:rPr>
          <w:sz w:val="24"/>
        </w:rPr>
        <w:t>sustentada una apelación contra providencia susceptible de ese recurso y por las partes habilitadas para hacerlo</w:t>
      </w:r>
      <w:r w:rsidR="00B364D3" w:rsidRPr="00467503">
        <w:rPr>
          <w:rFonts w:ascii="Verdana" w:hAnsi="Verdana"/>
          <w:sz w:val="18"/>
          <w:szCs w:val="20"/>
        </w:rPr>
        <w:t xml:space="preserve"> -en nuestro caso la defensa</w:t>
      </w:r>
      <w:r w:rsidRPr="00467503">
        <w:rPr>
          <w:rFonts w:ascii="Verdana" w:hAnsi="Verdana"/>
          <w:sz w:val="18"/>
          <w:szCs w:val="20"/>
        </w:rPr>
        <w:t>-</w:t>
      </w:r>
      <w:r w:rsidRPr="00467503">
        <w:rPr>
          <w:sz w:val="24"/>
        </w:rPr>
        <w:t>.</w:t>
      </w:r>
    </w:p>
    <w:p w:rsidR="00556860" w:rsidRPr="00467503" w:rsidRDefault="00556860" w:rsidP="00467503">
      <w:pPr>
        <w:spacing w:line="288" w:lineRule="auto"/>
        <w:rPr>
          <w:b/>
          <w:sz w:val="22"/>
          <w:szCs w:val="24"/>
        </w:rPr>
      </w:pPr>
    </w:p>
    <w:p w:rsidR="00F13C87" w:rsidRPr="00467503" w:rsidRDefault="00F13C87" w:rsidP="00467503">
      <w:pPr>
        <w:spacing w:line="288" w:lineRule="auto"/>
        <w:rPr>
          <w:sz w:val="24"/>
        </w:rPr>
      </w:pPr>
      <w:r w:rsidRPr="00467503">
        <w:rPr>
          <w:b/>
          <w:sz w:val="22"/>
          <w:szCs w:val="24"/>
        </w:rPr>
        <w:t>3.2.-</w:t>
      </w:r>
      <w:r w:rsidRPr="00467503">
        <w:rPr>
          <w:sz w:val="24"/>
        </w:rPr>
        <w:t xml:space="preserve"> </w:t>
      </w:r>
      <w:r w:rsidRPr="00467503">
        <w:rPr>
          <w:b/>
          <w:sz w:val="22"/>
          <w:szCs w:val="24"/>
        </w:rPr>
        <w:t>Problema jurídico planteado</w:t>
      </w:r>
    </w:p>
    <w:p w:rsidR="00F13C87" w:rsidRPr="00467503" w:rsidRDefault="00F13C87" w:rsidP="00467503">
      <w:pPr>
        <w:spacing w:line="288" w:lineRule="auto"/>
        <w:rPr>
          <w:sz w:val="24"/>
        </w:rPr>
      </w:pPr>
    </w:p>
    <w:p w:rsidR="008876AD" w:rsidRPr="00467503" w:rsidRDefault="008876AD" w:rsidP="00467503">
      <w:pPr>
        <w:spacing w:line="288" w:lineRule="auto"/>
        <w:rPr>
          <w:sz w:val="24"/>
        </w:rPr>
      </w:pPr>
      <w:r w:rsidRPr="00467503">
        <w:rPr>
          <w:sz w:val="24"/>
        </w:rPr>
        <w:t>De conformidad con lo planteado por el abogado recurrente, le corresponde a la Sala establecer si en la sentencia</w:t>
      </w:r>
      <w:r w:rsidR="00630AEE" w:rsidRPr="00467503">
        <w:rPr>
          <w:sz w:val="24"/>
        </w:rPr>
        <w:t xml:space="preserve"> dictada </w:t>
      </w:r>
      <w:r w:rsidRPr="00467503">
        <w:rPr>
          <w:sz w:val="24"/>
        </w:rPr>
        <w:t xml:space="preserve">por el Juzgado Segundo Penal Municipal de Pereira </w:t>
      </w:r>
      <w:r w:rsidRPr="00467503">
        <w:rPr>
          <w:sz w:val="24"/>
        </w:rPr>
        <w:lastRenderedPageBreak/>
        <w:t xml:space="preserve">(Rda.) en contra del señor </w:t>
      </w:r>
      <w:proofErr w:type="spellStart"/>
      <w:r w:rsidR="007305A2">
        <w:rPr>
          <w:b/>
          <w:sz w:val="20"/>
          <w:szCs w:val="22"/>
        </w:rPr>
        <w:t>OAVR</w:t>
      </w:r>
      <w:proofErr w:type="spellEnd"/>
      <w:r w:rsidRPr="00467503">
        <w:rPr>
          <w:sz w:val="24"/>
        </w:rPr>
        <w:t>, la pena de privación para</w:t>
      </w:r>
      <w:r w:rsidR="00291FAF" w:rsidRPr="00467503">
        <w:rPr>
          <w:sz w:val="24"/>
        </w:rPr>
        <w:t xml:space="preserve"> conducir vehículos automotores</w:t>
      </w:r>
      <w:r w:rsidRPr="00467503">
        <w:rPr>
          <w:sz w:val="24"/>
        </w:rPr>
        <w:t xml:space="preserve"> fue objeto de suspensión.</w:t>
      </w:r>
    </w:p>
    <w:p w:rsidR="00BF7FAC" w:rsidRPr="00467503" w:rsidRDefault="00BF7FAC" w:rsidP="00467503">
      <w:pPr>
        <w:spacing w:line="288" w:lineRule="auto"/>
        <w:rPr>
          <w:sz w:val="24"/>
        </w:rPr>
      </w:pPr>
    </w:p>
    <w:p w:rsidR="00F13C87" w:rsidRPr="00467503" w:rsidRDefault="00F13C87" w:rsidP="00467503">
      <w:pPr>
        <w:spacing w:line="288" w:lineRule="auto"/>
        <w:rPr>
          <w:sz w:val="24"/>
        </w:rPr>
      </w:pPr>
      <w:r w:rsidRPr="00467503">
        <w:rPr>
          <w:b/>
          <w:sz w:val="22"/>
          <w:szCs w:val="24"/>
        </w:rPr>
        <w:t>3.3.- Solución a la controversia</w:t>
      </w:r>
    </w:p>
    <w:p w:rsidR="00F13C87" w:rsidRPr="00467503" w:rsidRDefault="00F13C87" w:rsidP="00467503">
      <w:pPr>
        <w:spacing w:line="288" w:lineRule="auto"/>
        <w:rPr>
          <w:sz w:val="24"/>
        </w:rPr>
      </w:pPr>
    </w:p>
    <w:p w:rsidR="00825182" w:rsidRPr="00467503" w:rsidRDefault="00825182" w:rsidP="00467503">
      <w:pPr>
        <w:spacing w:line="288" w:lineRule="auto"/>
        <w:rPr>
          <w:sz w:val="24"/>
        </w:rPr>
      </w:pPr>
      <w:r w:rsidRPr="00467503">
        <w:rPr>
          <w:sz w:val="24"/>
        </w:rPr>
        <w:t>Nos encontramos en presencia de un trámite abreviado por la admisión de los cargos</w:t>
      </w:r>
      <w:r w:rsidR="00CD3673" w:rsidRPr="00467503">
        <w:rPr>
          <w:sz w:val="24"/>
        </w:rPr>
        <w:t xml:space="preserve"> </w:t>
      </w:r>
      <w:r w:rsidR="0011120E" w:rsidRPr="00467503">
        <w:rPr>
          <w:sz w:val="24"/>
        </w:rPr>
        <w:t xml:space="preserve">por </w:t>
      </w:r>
      <w:r w:rsidRPr="00467503">
        <w:rPr>
          <w:sz w:val="24"/>
        </w:rPr>
        <w:t>parte del procesad</w:t>
      </w:r>
      <w:r w:rsidR="0011120E" w:rsidRPr="00467503">
        <w:rPr>
          <w:sz w:val="24"/>
        </w:rPr>
        <w:t>o</w:t>
      </w:r>
      <w:r w:rsidRPr="00467503">
        <w:rPr>
          <w:sz w:val="24"/>
        </w:rPr>
        <w:t xml:space="preserve"> en forma libre, voluntaria, consciente, debidamente asistid</w:t>
      </w:r>
      <w:r w:rsidR="000A618B" w:rsidRPr="00467503">
        <w:rPr>
          <w:sz w:val="24"/>
        </w:rPr>
        <w:t>o</w:t>
      </w:r>
      <w:r w:rsidRPr="00467503">
        <w:rPr>
          <w:sz w:val="24"/>
        </w:rPr>
        <w:t>, y profusamente ilustrad</w:t>
      </w:r>
      <w:r w:rsidR="0011120E" w:rsidRPr="00467503">
        <w:rPr>
          <w:sz w:val="24"/>
        </w:rPr>
        <w:t>o</w:t>
      </w:r>
      <w:r w:rsidRPr="00467503">
        <w:rPr>
          <w:sz w:val="24"/>
        </w:rPr>
        <w:t xml:space="preserve"> acerca de las consecuencias de hacer dejación de su derecho a la no autoincriminación, lo que no obsta para asegurar que además de ese allanamiento unilateral que despeja el camino hacia el proferimiento de un fallo de condena, en el diligenciamiento en verdad existen elementos de convicción que determinan que la conducta ilícita que se pregona sí </w:t>
      </w:r>
      <w:r w:rsidR="007D2744" w:rsidRPr="00467503">
        <w:rPr>
          <w:sz w:val="24"/>
        </w:rPr>
        <w:t xml:space="preserve">ocurrió </w:t>
      </w:r>
      <w:r w:rsidRPr="00467503">
        <w:rPr>
          <w:sz w:val="24"/>
        </w:rPr>
        <w:t xml:space="preserve">y que </w:t>
      </w:r>
      <w:r w:rsidR="00E65133" w:rsidRPr="00467503">
        <w:rPr>
          <w:sz w:val="24"/>
        </w:rPr>
        <w:t>e</w:t>
      </w:r>
      <w:r w:rsidRPr="00467503">
        <w:rPr>
          <w:sz w:val="24"/>
        </w:rPr>
        <w:t xml:space="preserve">l hoy </w:t>
      </w:r>
      <w:r w:rsidR="00E65133" w:rsidRPr="00467503">
        <w:rPr>
          <w:sz w:val="24"/>
        </w:rPr>
        <w:t xml:space="preserve">sentenciado </w:t>
      </w:r>
      <w:r w:rsidRPr="00467503">
        <w:rPr>
          <w:sz w:val="24"/>
        </w:rPr>
        <w:t>tuvo participación activa en la misma.</w:t>
      </w:r>
    </w:p>
    <w:p w:rsidR="00825182" w:rsidRPr="00467503" w:rsidRDefault="00825182" w:rsidP="00467503">
      <w:pPr>
        <w:spacing w:line="288" w:lineRule="auto"/>
        <w:rPr>
          <w:sz w:val="24"/>
        </w:rPr>
      </w:pPr>
    </w:p>
    <w:p w:rsidR="00825182" w:rsidRPr="00467503" w:rsidRDefault="00825182" w:rsidP="00467503">
      <w:pPr>
        <w:spacing w:line="288" w:lineRule="auto"/>
        <w:rPr>
          <w:sz w:val="24"/>
        </w:rPr>
      </w:pPr>
      <w:r w:rsidRPr="00467503">
        <w:rPr>
          <w:sz w:val="24"/>
        </w:rPr>
        <w:t xml:space="preserve">No se avizora irregularidad sustancial alguna de estructura o de garantía, ni error </w:t>
      </w:r>
      <w:r w:rsidRPr="00467503">
        <w:rPr>
          <w:i/>
          <w:sz w:val="24"/>
        </w:rPr>
        <w:t xml:space="preserve">in </w:t>
      </w:r>
      <w:proofErr w:type="spellStart"/>
      <w:r w:rsidRPr="00467503">
        <w:rPr>
          <w:i/>
          <w:sz w:val="24"/>
        </w:rPr>
        <w:t>procedendo</w:t>
      </w:r>
      <w:proofErr w:type="spellEnd"/>
      <w:r w:rsidRPr="00467503">
        <w:rPr>
          <w:sz w:val="24"/>
        </w:rPr>
        <w:t xml:space="preserve"> insubsanable que obligue a la Sala a retrotraer la actuación a segmentos ya superados; en consecuencia, se procederá al análisis de fondo que en derecho corresponde.</w:t>
      </w:r>
    </w:p>
    <w:p w:rsidR="00825182" w:rsidRPr="00467503" w:rsidRDefault="00825182" w:rsidP="00467503">
      <w:pPr>
        <w:spacing w:line="288" w:lineRule="auto"/>
        <w:rPr>
          <w:sz w:val="24"/>
        </w:rPr>
      </w:pPr>
    </w:p>
    <w:p w:rsidR="00DC1DEC" w:rsidRPr="00467503" w:rsidRDefault="009C1EE1" w:rsidP="00467503">
      <w:pPr>
        <w:spacing w:line="288" w:lineRule="auto"/>
        <w:rPr>
          <w:sz w:val="24"/>
        </w:rPr>
      </w:pPr>
      <w:r w:rsidRPr="00467503">
        <w:rPr>
          <w:rFonts w:cs="Tahoma"/>
          <w:sz w:val="24"/>
        </w:rPr>
        <w:t>El</w:t>
      </w:r>
      <w:r w:rsidR="00E65133" w:rsidRPr="00467503">
        <w:rPr>
          <w:rFonts w:cs="Tahoma"/>
          <w:sz w:val="24"/>
        </w:rPr>
        <w:t xml:space="preserve"> profesional del derecho que </w:t>
      </w:r>
      <w:r w:rsidR="001F37C3" w:rsidRPr="00467503">
        <w:rPr>
          <w:rFonts w:cs="Tahoma"/>
          <w:sz w:val="24"/>
        </w:rPr>
        <w:t>asiste a</w:t>
      </w:r>
      <w:r w:rsidR="00546BED" w:rsidRPr="00467503">
        <w:rPr>
          <w:rFonts w:cs="Tahoma"/>
          <w:sz w:val="24"/>
        </w:rPr>
        <w:t xml:space="preserve">l señor </w:t>
      </w:r>
      <w:proofErr w:type="spellStart"/>
      <w:r w:rsidR="007305A2">
        <w:rPr>
          <w:rFonts w:cs="Tahoma"/>
          <w:b/>
          <w:sz w:val="20"/>
          <w:szCs w:val="22"/>
        </w:rPr>
        <w:t>OAVR</w:t>
      </w:r>
      <w:proofErr w:type="spellEnd"/>
      <w:r w:rsidRPr="00467503">
        <w:rPr>
          <w:rFonts w:cs="Tahoma"/>
          <w:sz w:val="24"/>
        </w:rPr>
        <w:t xml:space="preserve">, no </w:t>
      </w:r>
      <w:r w:rsidR="00825182" w:rsidRPr="00467503">
        <w:rPr>
          <w:rFonts w:cs="Tahoma"/>
          <w:sz w:val="24"/>
        </w:rPr>
        <w:t xml:space="preserve">cuestiona la responsabilidad aceptada por vía de </w:t>
      </w:r>
      <w:r w:rsidR="000A618B" w:rsidRPr="00467503">
        <w:rPr>
          <w:rFonts w:cs="Tahoma"/>
          <w:sz w:val="24"/>
        </w:rPr>
        <w:t>la aceptación unilateral</w:t>
      </w:r>
      <w:r w:rsidR="00546BED" w:rsidRPr="00467503">
        <w:rPr>
          <w:rFonts w:cs="Tahoma"/>
          <w:sz w:val="24"/>
        </w:rPr>
        <w:t>. L</w:t>
      </w:r>
      <w:r w:rsidR="000147C2" w:rsidRPr="00467503">
        <w:rPr>
          <w:rFonts w:cs="Tahoma"/>
          <w:sz w:val="24"/>
        </w:rPr>
        <w:t xml:space="preserve">o que se </w:t>
      </w:r>
      <w:r w:rsidR="0060371D" w:rsidRPr="00467503">
        <w:rPr>
          <w:rFonts w:cs="Tahoma"/>
          <w:sz w:val="24"/>
        </w:rPr>
        <w:t>censura</w:t>
      </w:r>
      <w:r w:rsidR="007D158C" w:rsidRPr="00467503">
        <w:rPr>
          <w:rFonts w:cs="Tahoma"/>
          <w:sz w:val="24"/>
        </w:rPr>
        <w:t xml:space="preserve"> </w:t>
      </w:r>
      <w:r w:rsidR="00DC1DEC" w:rsidRPr="00467503">
        <w:rPr>
          <w:rFonts w:cs="Tahoma"/>
          <w:sz w:val="24"/>
        </w:rPr>
        <w:t>es lo relativo a que el funcionario judicial no se pronunció frente a las razones</w:t>
      </w:r>
      <w:r w:rsidR="00DC1DEC" w:rsidRPr="00467503">
        <w:rPr>
          <w:sz w:val="24"/>
        </w:rPr>
        <w:t xml:space="preserve"> por las cuales se abstenía de dar aplicación del subrogado de la condena de ejecución de la pena, con respecto a la suspensión del derecho a conducir automotores</w:t>
      </w:r>
      <w:r w:rsidR="00E87686" w:rsidRPr="00467503">
        <w:rPr>
          <w:sz w:val="24"/>
        </w:rPr>
        <w:t xml:space="preserve"> que por el lapso de ocho meses le fue </w:t>
      </w:r>
      <w:r w:rsidR="00630AEE" w:rsidRPr="00467503">
        <w:rPr>
          <w:sz w:val="24"/>
        </w:rPr>
        <w:t xml:space="preserve">atribuido </w:t>
      </w:r>
      <w:r w:rsidR="00E87686" w:rsidRPr="00467503">
        <w:rPr>
          <w:sz w:val="24"/>
        </w:rPr>
        <w:t>a su prohijado</w:t>
      </w:r>
      <w:r w:rsidR="00DC1DEC" w:rsidRPr="00467503">
        <w:rPr>
          <w:sz w:val="24"/>
        </w:rPr>
        <w:t>.</w:t>
      </w:r>
    </w:p>
    <w:p w:rsidR="00DC1DEC" w:rsidRPr="00467503" w:rsidRDefault="00DC1DEC" w:rsidP="00467503">
      <w:pPr>
        <w:overflowPunct w:val="0"/>
        <w:autoSpaceDE w:val="0"/>
        <w:autoSpaceDN w:val="0"/>
        <w:adjustRightInd w:val="0"/>
        <w:spacing w:line="288" w:lineRule="auto"/>
        <w:rPr>
          <w:rFonts w:cs="Tahoma"/>
          <w:sz w:val="24"/>
        </w:rPr>
      </w:pPr>
    </w:p>
    <w:p w:rsidR="00DC1DEC" w:rsidRPr="00467503" w:rsidRDefault="00DC1DEC" w:rsidP="00467503">
      <w:pPr>
        <w:spacing w:line="288" w:lineRule="auto"/>
        <w:rPr>
          <w:rFonts w:cs="Tahoma"/>
          <w:sz w:val="24"/>
        </w:rPr>
      </w:pPr>
      <w:r w:rsidRPr="00467503">
        <w:rPr>
          <w:rFonts w:cs="Tahoma"/>
          <w:sz w:val="24"/>
        </w:rPr>
        <w:t xml:space="preserve">De la situación fáctica mencionada con antelación, se observa que el tema central que debe ser objeto de </w:t>
      </w:r>
      <w:r w:rsidRPr="00467503">
        <w:rPr>
          <w:sz w:val="24"/>
        </w:rPr>
        <w:t>análisis</w:t>
      </w:r>
      <w:r w:rsidRPr="00467503">
        <w:rPr>
          <w:rFonts w:cs="Tahoma"/>
          <w:sz w:val="24"/>
        </w:rPr>
        <w:t xml:space="preserve"> es el relativo a si en el fallo proferido por </w:t>
      </w:r>
      <w:r w:rsidR="00E87686" w:rsidRPr="00467503">
        <w:rPr>
          <w:rFonts w:cs="Tahoma"/>
          <w:sz w:val="24"/>
        </w:rPr>
        <w:t>e</w:t>
      </w:r>
      <w:r w:rsidRPr="00467503">
        <w:rPr>
          <w:rFonts w:cs="Tahoma"/>
          <w:sz w:val="24"/>
        </w:rPr>
        <w:t xml:space="preserve">l Juez </w:t>
      </w:r>
      <w:r w:rsidR="00E87686" w:rsidRPr="00467503">
        <w:rPr>
          <w:rFonts w:cs="Tahoma"/>
          <w:sz w:val="24"/>
        </w:rPr>
        <w:t xml:space="preserve">Segundo </w:t>
      </w:r>
      <w:r w:rsidRPr="00467503">
        <w:rPr>
          <w:rFonts w:cs="Tahoma"/>
          <w:sz w:val="24"/>
        </w:rPr>
        <w:t xml:space="preserve">Penal </w:t>
      </w:r>
      <w:r w:rsidR="00E87686" w:rsidRPr="00467503">
        <w:rPr>
          <w:rFonts w:cs="Tahoma"/>
          <w:sz w:val="24"/>
        </w:rPr>
        <w:t xml:space="preserve">Municipal de Pereira </w:t>
      </w:r>
      <w:r w:rsidRPr="00467503">
        <w:rPr>
          <w:rFonts w:cs="Tahoma"/>
          <w:sz w:val="24"/>
        </w:rPr>
        <w:t xml:space="preserve">(Rda.) contra el </w:t>
      </w:r>
      <w:r w:rsidR="00E87686" w:rsidRPr="00467503">
        <w:rPr>
          <w:rFonts w:cs="Tahoma"/>
          <w:sz w:val="24"/>
        </w:rPr>
        <w:t xml:space="preserve">señor </w:t>
      </w:r>
      <w:proofErr w:type="spellStart"/>
      <w:r w:rsidR="007305A2">
        <w:rPr>
          <w:rFonts w:cs="Tahoma"/>
          <w:b/>
          <w:sz w:val="20"/>
          <w:szCs w:val="22"/>
        </w:rPr>
        <w:t>OAVR</w:t>
      </w:r>
      <w:proofErr w:type="spellEnd"/>
      <w:r w:rsidRPr="00467503">
        <w:rPr>
          <w:rFonts w:cs="Tahoma"/>
          <w:sz w:val="24"/>
        </w:rPr>
        <w:t>, la suspensión condicional de la pena que fue otorgada aplica únicamente para l</w:t>
      </w:r>
      <w:r w:rsidR="00AC3070" w:rsidRPr="00467503">
        <w:rPr>
          <w:rFonts w:cs="Tahoma"/>
          <w:sz w:val="24"/>
        </w:rPr>
        <w:t>a pena privativa de la libertad</w:t>
      </w:r>
      <w:r w:rsidRPr="00467503">
        <w:rPr>
          <w:rFonts w:cs="Tahoma"/>
          <w:sz w:val="24"/>
        </w:rPr>
        <w:t xml:space="preserve"> o también opera para las demás sanciones impuestas en dicho proveído</w:t>
      </w:r>
      <w:r w:rsidR="0051260D" w:rsidRPr="00467503">
        <w:rPr>
          <w:rFonts w:cs="Tahoma"/>
          <w:sz w:val="24"/>
        </w:rPr>
        <w:t>, incluida por supuesto la de privación del derecho de conducir vehículos automotores.</w:t>
      </w:r>
    </w:p>
    <w:p w:rsidR="00DC1DEC" w:rsidRPr="00467503" w:rsidRDefault="00DC1DEC" w:rsidP="00467503">
      <w:pPr>
        <w:spacing w:line="288" w:lineRule="auto"/>
        <w:rPr>
          <w:rFonts w:cs="Tahoma"/>
          <w:sz w:val="24"/>
        </w:rPr>
      </w:pPr>
    </w:p>
    <w:p w:rsidR="00DC1DEC" w:rsidRPr="00953E82" w:rsidRDefault="00680959" w:rsidP="00467503">
      <w:pPr>
        <w:spacing w:line="288" w:lineRule="auto"/>
        <w:rPr>
          <w:rFonts w:cs="Tahoma"/>
          <w:sz w:val="22"/>
          <w:szCs w:val="22"/>
        </w:rPr>
      </w:pPr>
      <w:r w:rsidRPr="00467503">
        <w:rPr>
          <w:rFonts w:cs="Tahoma"/>
          <w:sz w:val="24"/>
        </w:rPr>
        <w:t>En relación con la situación obje</w:t>
      </w:r>
      <w:r w:rsidR="00AC3070" w:rsidRPr="00467503">
        <w:rPr>
          <w:rFonts w:cs="Tahoma"/>
          <w:sz w:val="24"/>
        </w:rPr>
        <w:t>to de debate, debe decir la Corporación</w:t>
      </w:r>
      <w:r w:rsidRPr="00467503">
        <w:rPr>
          <w:rFonts w:cs="Tahoma"/>
          <w:sz w:val="24"/>
        </w:rPr>
        <w:t xml:space="preserve"> que la </w:t>
      </w:r>
      <w:r w:rsidR="00DC1DEC" w:rsidRPr="00467503">
        <w:rPr>
          <w:rFonts w:cs="Tahoma"/>
          <w:sz w:val="24"/>
        </w:rPr>
        <w:t xml:space="preserve">suspensión condicional de la ejecución de la pena es un mecanismo sustitutivo de la pena privativa de la libertad, regulado en el artículo 63 </w:t>
      </w:r>
      <w:r w:rsidR="0051260D" w:rsidRPr="00467503">
        <w:rPr>
          <w:rFonts w:cs="Tahoma"/>
          <w:sz w:val="24"/>
        </w:rPr>
        <w:t>C.P.</w:t>
      </w:r>
      <w:r w:rsidR="00DC1DEC" w:rsidRPr="00467503">
        <w:rPr>
          <w:rFonts w:cs="Tahoma"/>
          <w:sz w:val="24"/>
        </w:rPr>
        <w:t>, que permite suspender la sanción corporal de prisión por un per</w:t>
      </w:r>
      <w:r w:rsidR="00684F40" w:rsidRPr="00467503">
        <w:rPr>
          <w:rFonts w:cs="Tahoma"/>
          <w:sz w:val="24"/>
        </w:rPr>
        <w:t>í</w:t>
      </w:r>
      <w:r w:rsidR="00DC1DEC" w:rsidRPr="00467503">
        <w:rPr>
          <w:rFonts w:cs="Tahoma"/>
          <w:sz w:val="24"/>
        </w:rPr>
        <w:t xml:space="preserve">odo de prueba 2 a 5 años, siempre que se acrediten los requisitos contemplados en dicha norma. Y en el inciso final del mismo artículo se indica que: </w:t>
      </w:r>
      <w:r w:rsidR="00DC1DEC" w:rsidRPr="00953E82">
        <w:rPr>
          <w:rFonts w:cs="Tahoma"/>
          <w:sz w:val="22"/>
          <w:szCs w:val="22"/>
        </w:rPr>
        <w:t xml:space="preserve">“el juez podrá exigir el cumplimiento de las penas </w:t>
      </w:r>
      <w:r w:rsidR="00DC1DEC" w:rsidRPr="00953E82">
        <w:rPr>
          <w:rFonts w:cs="Tahoma"/>
          <w:b/>
          <w:sz w:val="22"/>
          <w:szCs w:val="22"/>
        </w:rPr>
        <w:t xml:space="preserve">no privativas de la libertad </w:t>
      </w:r>
      <w:r w:rsidR="00DC1DEC" w:rsidRPr="00953E82">
        <w:rPr>
          <w:rFonts w:cs="Tahoma"/>
          <w:sz w:val="22"/>
          <w:szCs w:val="22"/>
        </w:rPr>
        <w:t>accesorias a esta”.</w:t>
      </w:r>
    </w:p>
    <w:p w:rsidR="00DC1DEC" w:rsidRPr="00467503" w:rsidRDefault="00DC1DEC" w:rsidP="00467503">
      <w:pPr>
        <w:spacing w:line="288" w:lineRule="auto"/>
        <w:rPr>
          <w:rFonts w:cs="Tahoma"/>
          <w:sz w:val="24"/>
        </w:rPr>
      </w:pPr>
    </w:p>
    <w:p w:rsidR="00DC1DEC" w:rsidRPr="00467503" w:rsidRDefault="00DC1DEC" w:rsidP="00467503">
      <w:pPr>
        <w:spacing w:line="288" w:lineRule="auto"/>
        <w:rPr>
          <w:rFonts w:cs="Tahoma"/>
          <w:sz w:val="24"/>
        </w:rPr>
      </w:pPr>
      <w:r w:rsidRPr="00467503">
        <w:rPr>
          <w:rFonts w:cs="Tahoma"/>
          <w:sz w:val="24"/>
        </w:rPr>
        <w:t>En e</w:t>
      </w:r>
      <w:r w:rsidR="00630AEE" w:rsidRPr="00467503">
        <w:rPr>
          <w:rFonts w:cs="Tahoma"/>
          <w:sz w:val="24"/>
        </w:rPr>
        <w:t xml:space="preserve">ste asunto </w:t>
      </w:r>
      <w:r w:rsidR="00680959" w:rsidRPr="00467503">
        <w:rPr>
          <w:rFonts w:cs="Tahoma"/>
          <w:sz w:val="24"/>
        </w:rPr>
        <w:t>el</w:t>
      </w:r>
      <w:r w:rsidRPr="00467503">
        <w:rPr>
          <w:rFonts w:cs="Tahoma"/>
          <w:sz w:val="24"/>
        </w:rPr>
        <w:t xml:space="preserve"> funcionari</w:t>
      </w:r>
      <w:r w:rsidR="00680959" w:rsidRPr="00467503">
        <w:rPr>
          <w:rFonts w:cs="Tahoma"/>
          <w:sz w:val="24"/>
        </w:rPr>
        <w:t>o</w:t>
      </w:r>
      <w:r w:rsidRPr="00467503">
        <w:rPr>
          <w:rFonts w:cs="Tahoma"/>
          <w:sz w:val="24"/>
        </w:rPr>
        <w:t xml:space="preserve"> de instancia en la sentencia de mayo 2</w:t>
      </w:r>
      <w:r w:rsidR="00680959" w:rsidRPr="00467503">
        <w:rPr>
          <w:rFonts w:cs="Tahoma"/>
          <w:sz w:val="24"/>
        </w:rPr>
        <w:t>2</w:t>
      </w:r>
      <w:r w:rsidRPr="00467503">
        <w:rPr>
          <w:rFonts w:cs="Tahoma"/>
          <w:sz w:val="24"/>
        </w:rPr>
        <w:t xml:space="preserve"> de 201</w:t>
      </w:r>
      <w:r w:rsidR="00680959" w:rsidRPr="00467503">
        <w:rPr>
          <w:rFonts w:cs="Tahoma"/>
          <w:sz w:val="24"/>
        </w:rPr>
        <w:t>9</w:t>
      </w:r>
      <w:r w:rsidRPr="00467503">
        <w:rPr>
          <w:rFonts w:cs="Tahoma"/>
          <w:sz w:val="24"/>
        </w:rPr>
        <w:t xml:space="preserve"> concedió al procesado el</w:t>
      </w:r>
      <w:r w:rsidR="00630AEE" w:rsidRPr="00467503">
        <w:rPr>
          <w:rFonts w:cs="Tahoma"/>
          <w:sz w:val="24"/>
        </w:rPr>
        <w:t xml:space="preserve"> aludido </w:t>
      </w:r>
      <w:r w:rsidRPr="00467503">
        <w:rPr>
          <w:rFonts w:cs="Tahoma"/>
          <w:sz w:val="24"/>
        </w:rPr>
        <w:t xml:space="preserve">sustituto, sin </w:t>
      </w:r>
      <w:r w:rsidR="00630AEE" w:rsidRPr="00467503">
        <w:rPr>
          <w:rFonts w:cs="Tahoma"/>
          <w:sz w:val="24"/>
        </w:rPr>
        <w:t xml:space="preserve">señalar </w:t>
      </w:r>
      <w:r w:rsidRPr="00467503">
        <w:rPr>
          <w:rFonts w:cs="Tahoma"/>
          <w:sz w:val="24"/>
        </w:rPr>
        <w:t>si el mismo se hacía extensivo a la</w:t>
      </w:r>
      <w:r w:rsidR="00680959" w:rsidRPr="00467503">
        <w:rPr>
          <w:rFonts w:cs="Tahoma"/>
          <w:sz w:val="24"/>
        </w:rPr>
        <w:t xml:space="preserve"> privación del derecho a conducir vehículos automotores.</w:t>
      </w:r>
    </w:p>
    <w:p w:rsidR="00DC1DEC" w:rsidRPr="00467503" w:rsidRDefault="00DC1DEC" w:rsidP="00467503">
      <w:pPr>
        <w:spacing w:line="288" w:lineRule="auto"/>
        <w:rPr>
          <w:rFonts w:cs="Tahoma"/>
          <w:sz w:val="24"/>
        </w:rPr>
      </w:pPr>
    </w:p>
    <w:p w:rsidR="00DC1DEC" w:rsidRPr="00467503" w:rsidRDefault="00A6258C" w:rsidP="00467503">
      <w:pPr>
        <w:spacing w:line="288" w:lineRule="auto"/>
        <w:rPr>
          <w:rFonts w:cs="Tahoma"/>
          <w:sz w:val="24"/>
        </w:rPr>
      </w:pPr>
      <w:r w:rsidRPr="00467503">
        <w:rPr>
          <w:rFonts w:cs="Tahoma"/>
          <w:sz w:val="24"/>
        </w:rPr>
        <w:lastRenderedPageBreak/>
        <w:t>En criterio del Tribunal</w:t>
      </w:r>
      <w:r w:rsidR="00DC1DEC" w:rsidRPr="00467503">
        <w:rPr>
          <w:rFonts w:cs="Tahoma"/>
          <w:sz w:val="24"/>
        </w:rPr>
        <w:t>, la omisión en ese sentido, esto es, no precisar si la suspensión lo era solo de la pena privativa de la libertad y</w:t>
      </w:r>
      <w:r w:rsidR="002E494D" w:rsidRPr="00467503">
        <w:rPr>
          <w:rFonts w:cs="Tahoma"/>
          <w:sz w:val="24"/>
        </w:rPr>
        <w:t xml:space="preserve"> que</w:t>
      </w:r>
      <w:r w:rsidR="00DC1DEC" w:rsidRPr="00467503">
        <w:rPr>
          <w:rFonts w:cs="Tahoma"/>
          <w:sz w:val="24"/>
        </w:rPr>
        <w:t xml:space="preserve"> en consecuencia la intención era hacer efectivas la</w:t>
      </w:r>
      <w:r w:rsidR="0051260D" w:rsidRPr="00467503">
        <w:rPr>
          <w:rFonts w:cs="Tahoma"/>
          <w:sz w:val="24"/>
        </w:rPr>
        <w:t>s</w:t>
      </w:r>
      <w:r w:rsidR="00DC1DEC" w:rsidRPr="00467503">
        <w:rPr>
          <w:rFonts w:cs="Tahoma"/>
          <w:sz w:val="24"/>
        </w:rPr>
        <w:t xml:space="preserve"> no privativas de la libertad, </w:t>
      </w:r>
      <w:r w:rsidR="0051260D" w:rsidRPr="00467503">
        <w:rPr>
          <w:rFonts w:cs="Tahoma"/>
          <w:sz w:val="24"/>
        </w:rPr>
        <w:t xml:space="preserve">comporta inferir que al no haberse emitido </w:t>
      </w:r>
      <w:r w:rsidR="00DC1DEC" w:rsidRPr="00467503">
        <w:rPr>
          <w:rFonts w:cs="Tahoma"/>
          <w:sz w:val="24"/>
        </w:rPr>
        <w:t>pronunciamiento acerca de ese punto en particular, las demás penas d</w:t>
      </w:r>
      <w:r w:rsidR="002E494D" w:rsidRPr="00467503">
        <w:rPr>
          <w:rFonts w:cs="Tahoma"/>
          <w:sz w:val="24"/>
        </w:rPr>
        <w:t>e menor gravedad y/o accesorias</w:t>
      </w:r>
      <w:r w:rsidR="00DC1DEC" w:rsidRPr="00467503">
        <w:rPr>
          <w:rFonts w:cs="Tahoma"/>
          <w:sz w:val="24"/>
        </w:rPr>
        <w:t xml:space="preserve"> también se encuentran inmersas en dicha suspensión.</w:t>
      </w:r>
    </w:p>
    <w:p w:rsidR="000F663F" w:rsidRPr="00467503" w:rsidRDefault="000F663F" w:rsidP="00467503">
      <w:pPr>
        <w:spacing w:line="288" w:lineRule="auto"/>
        <w:rPr>
          <w:rFonts w:cs="Tahoma"/>
          <w:sz w:val="24"/>
        </w:rPr>
      </w:pPr>
    </w:p>
    <w:p w:rsidR="000F663F" w:rsidRDefault="00630AEE" w:rsidP="00467503">
      <w:pPr>
        <w:spacing w:line="288" w:lineRule="auto"/>
        <w:rPr>
          <w:rFonts w:cs="Tahoma"/>
          <w:sz w:val="24"/>
        </w:rPr>
      </w:pPr>
      <w:r w:rsidRPr="00467503">
        <w:rPr>
          <w:rFonts w:cs="Tahoma"/>
          <w:sz w:val="24"/>
        </w:rPr>
        <w:t xml:space="preserve">Sobre el particular </w:t>
      </w:r>
      <w:r w:rsidR="000F663F" w:rsidRPr="00467503">
        <w:rPr>
          <w:rFonts w:cs="Tahoma"/>
          <w:sz w:val="24"/>
        </w:rPr>
        <w:t>la Sala de Casación Penal</w:t>
      </w:r>
      <w:r w:rsidR="000F663F" w:rsidRPr="00953E82">
        <w:rPr>
          <w:rFonts w:cs="Tahoma"/>
          <w:sz w:val="24"/>
          <w:vertAlign w:val="superscript"/>
        </w:rPr>
        <w:footnoteReference w:id="1"/>
      </w:r>
      <w:r w:rsidR="000F663F" w:rsidRPr="00953E82">
        <w:rPr>
          <w:rFonts w:cs="Tahoma"/>
          <w:sz w:val="24"/>
          <w:vertAlign w:val="superscript"/>
        </w:rPr>
        <w:t xml:space="preserve"> </w:t>
      </w:r>
      <w:r w:rsidR="000F663F" w:rsidRPr="00467503">
        <w:rPr>
          <w:rFonts w:cs="Tahoma"/>
          <w:sz w:val="24"/>
        </w:rPr>
        <w:t>ha indicado:</w:t>
      </w:r>
    </w:p>
    <w:p w:rsidR="00953E82" w:rsidRPr="00467503" w:rsidRDefault="00953E82" w:rsidP="00467503">
      <w:pPr>
        <w:spacing w:line="288" w:lineRule="auto"/>
        <w:rPr>
          <w:rFonts w:cs="Tahoma"/>
          <w:sz w:val="24"/>
        </w:rPr>
      </w:pPr>
    </w:p>
    <w:p w:rsidR="000F663F" w:rsidRPr="00467503" w:rsidRDefault="000F663F" w:rsidP="00467503">
      <w:pPr>
        <w:spacing w:line="288" w:lineRule="auto"/>
        <w:ind w:firstLine="709"/>
        <w:rPr>
          <w:rFonts w:cs="Arial"/>
          <w:sz w:val="8"/>
          <w:szCs w:val="10"/>
        </w:rPr>
      </w:pPr>
    </w:p>
    <w:p w:rsidR="000F663F" w:rsidRPr="00953E82" w:rsidRDefault="000F663F" w:rsidP="00953E82">
      <w:pPr>
        <w:spacing w:line="240" w:lineRule="auto"/>
        <w:ind w:left="426" w:right="420"/>
        <w:rPr>
          <w:rFonts w:cs="Tahoma"/>
          <w:sz w:val="22"/>
          <w:szCs w:val="22"/>
        </w:rPr>
      </w:pPr>
      <w:r w:rsidRPr="00953E82">
        <w:rPr>
          <w:rFonts w:cs="Tahoma"/>
          <w:sz w:val="22"/>
          <w:szCs w:val="22"/>
        </w:rPr>
        <w:t xml:space="preserve">“(ii) </w:t>
      </w:r>
      <w:r w:rsidRPr="00953E82">
        <w:rPr>
          <w:rFonts w:cs="Tahoma"/>
          <w:b/>
          <w:sz w:val="22"/>
          <w:szCs w:val="22"/>
        </w:rPr>
        <w:t>Si el juez considera que tal suspensión no debe cobijar las penas diversas a la de prisión, así deberá señalarlo de forma expresa y motivada, caso en el cual, pese a operar el subrogado con relación a la pena privativa de la libertad, se ejecutará de manera incondicional el cumplimiento de las sanciones de naturaleza diversa a la mencionada</w:t>
      </w:r>
      <w:r w:rsidRPr="00953E82">
        <w:rPr>
          <w:rFonts w:cs="Tahoma"/>
          <w:sz w:val="22"/>
          <w:szCs w:val="22"/>
          <w:vertAlign w:val="superscript"/>
        </w:rPr>
        <w:footnoteReference w:id="2"/>
      </w:r>
      <w:r w:rsidRPr="00953E82">
        <w:rPr>
          <w:rFonts w:cs="Tahoma"/>
          <w:sz w:val="22"/>
          <w:szCs w:val="22"/>
        </w:rPr>
        <w:t>.</w:t>
      </w:r>
    </w:p>
    <w:p w:rsidR="000F663F" w:rsidRPr="00953E82" w:rsidRDefault="000F663F" w:rsidP="00953E82">
      <w:pPr>
        <w:spacing w:line="240" w:lineRule="auto"/>
        <w:ind w:left="426" w:right="420"/>
        <w:rPr>
          <w:rFonts w:cs="Tahoma"/>
          <w:sz w:val="22"/>
          <w:szCs w:val="22"/>
        </w:rPr>
      </w:pPr>
    </w:p>
    <w:p w:rsidR="000F663F" w:rsidRPr="00953E82" w:rsidRDefault="000F663F" w:rsidP="00953E82">
      <w:pPr>
        <w:spacing w:line="240" w:lineRule="auto"/>
        <w:ind w:left="426" w:right="420"/>
        <w:rPr>
          <w:rFonts w:cs="Tahoma"/>
          <w:sz w:val="22"/>
          <w:szCs w:val="22"/>
        </w:rPr>
      </w:pPr>
      <w:r w:rsidRPr="00953E82">
        <w:rPr>
          <w:rFonts w:cs="Tahoma"/>
          <w:sz w:val="22"/>
          <w:szCs w:val="22"/>
        </w:rPr>
        <w:t xml:space="preserve">De lo expuesto se concluye que </w:t>
      </w:r>
      <w:r w:rsidRPr="00953E82">
        <w:rPr>
          <w:rFonts w:cs="Tahoma"/>
          <w:b/>
          <w:sz w:val="22"/>
          <w:szCs w:val="22"/>
        </w:rPr>
        <w:t>si en este asunto el a quo, luego de verificar el cumplimiento de los requisitos objetivos y subjetivos para acceder al mencionado subrogado, dispuso la suspensión condicional de la ejecución de la pena impuesta</w:t>
      </w:r>
      <w:r w:rsidRPr="00953E82">
        <w:rPr>
          <w:rFonts w:cs="Tahoma"/>
          <w:sz w:val="22"/>
          <w:szCs w:val="22"/>
        </w:rPr>
        <w:t xml:space="preserve"> a […] </w:t>
      </w:r>
      <w:r w:rsidRPr="00953E82">
        <w:rPr>
          <w:rFonts w:cs="Tahoma"/>
          <w:b/>
          <w:sz w:val="22"/>
          <w:szCs w:val="22"/>
        </w:rPr>
        <w:t>sin detenerse a exigir el cumplimiento de las otras sanciones no privativas de la libertad</w:t>
      </w:r>
      <w:r w:rsidRPr="00953E82">
        <w:rPr>
          <w:rFonts w:cs="Tahoma"/>
          <w:sz w:val="22"/>
          <w:szCs w:val="22"/>
        </w:rPr>
        <w:t xml:space="preserve"> –decisión confirmada en segunda instancia–, </w:t>
      </w:r>
      <w:r w:rsidRPr="00953E82">
        <w:rPr>
          <w:rFonts w:cs="Tahoma"/>
          <w:b/>
          <w:sz w:val="22"/>
          <w:szCs w:val="22"/>
        </w:rPr>
        <w:t>es evidente que la ejecución de la pena accesoria de privación del derecho a conducir vehículos automotores también le fue suspendida condicionalmente</w:t>
      </w:r>
      <w:r w:rsidRPr="00953E82">
        <w:rPr>
          <w:rFonts w:cs="Tahoma"/>
          <w:sz w:val="22"/>
          <w:szCs w:val="22"/>
        </w:rPr>
        <w:t>, es decir, le puede ser revocada en caso de incumplimiento de las obligaciones establecidas para acceder al subrogado penal”. -negrillas de la Sala-</w:t>
      </w:r>
    </w:p>
    <w:p w:rsidR="00DC1DEC" w:rsidRPr="00467503" w:rsidRDefault="00DC1DEC" w:rsidP="00467503">
      <w:pPr>
        <w:spacing w:line="288" w:lineRule="auto"/>
        <w:rPr>
          <w:rFonts w:cs="Tahoma"/>
          <w:sz w:val="24"/>
        </w:rPr>
      </w:pPr>
    </w:p>
    <w:p w:rsidR="00DC1DEC" w:rsidRPr="00467503" w:rsidRDefault="0051260D" w:rsidP="00467503">
      <w:pPr>
        <w:spacing w:line="288" w:lineRule="auto"/>
        <w:rPr>
          <w:rFonts w:cs="Tahoma"/>
          <w:sz w:val="24"/>
        </w:rPr>
      </w:pPr>
      <w:r w:rsidRPr="00467503">
        <w:rPr>
          <w:rFonts w:cs="Tahoma"/>
          <w:sz w:val="24"/>
        </w:rPr>
        <w:t xml:space="preserve">Si bien es cierto el </w:t>
      </w:r>
      <w:r w:rsidR="00DC1DEC" w:rsidRPr="00467503">
        <w:rPr>
          <w:rFonts w:cs="Tahoma"/>
          <w:sz w:val="24"/>
        </w:rPr>
        <w:t xml:space="preserve">artículo 63 </w:t>
      </w:r>
      <w:r w:rsidRPr="00467503">
        <w:rPr>
          <w:rFonts w:cs="Tahoma"/>
          <w:sz w:val="24"/>
        </w:rPr>
        <w:t xml:space="preserve">C.P. </w:t>
      </w:r>
      <w:r w:rsidR="00DC1DEC" w:rsidRPr="00467503">
        <w:rPr>
          <w:rFonts w:cs="Tahoma"/>
          <w:sz w:val="24"/>
        </w:rPr>
        <w:t>faculta al juez para exigir el cumplimiento de las sanciones no privativas de la libertad, la decisión de hacerlas efectivas debe ser una determinación debidamente motivada y fundamentada, lo cual aquí no ocurrió</w:t>
      </w:r>
      <w:r w:rsidRPr="00467503">
        <w:rPr>
          <w:rFonts w:cs="Tahoma"/>
          <w:sz w:val="24"/>
        </w:rPr>
        <w:t xml:space="preserve">, ya fuere por un </w:t>
      </w:r>
      <w:r w:rsidR="00912803" w:rsidRPr="00467503">
        <w:rPr>
          <w:rFonts w:cs="Tahoma"/>
          <w:sz w:val="24"/>
        </w:rPr>
        <w:t xml:space="preserve">lapsus u </w:t>
      </w:r>
      <w:r w:rsidRPr="00467503">
        <w:rPr>
          <w:rFonts w:cs="Tahoma"/>
          <w:sz w:val="24"/>
        </w:rPr>
        <w:t>olvido del funcionario judicial, como así lo estima el recurrente, o simplemente porque su intención era precisamente la de suspender no solo la pena de prisión, sino las demás q</w:t>
      </w:r>
      <w:r w:rsidR="00B363EE" w:rsidRPr="00467503">
        <w:rPr>
          <w:rFonts w:cs="Tahoma"/>
          <w:sz w:val="24"/>
        </w:rPr>
        <w:t xml:space="preserve">ue le fueron impuestas al señor </w:t>
      </w:r>
      <w:proofErr w:type="spellStart"/>
      <w:r w:rsidR="007305A2">
        <w:rPr>
          <w:rFonts w:cs="Tahoma"/>
          <w:b/>
          <w:sz w:val="20"/>
          <w:szCs w:val="22"/>
        </w:rPr>
        <w:t>OAVR</w:t>
      </w:r>
      <w:proofErr w:type="spellEnd"/>
      <w:r w:rsidR="00822661" w:rsidRPr="00467503">
        <w:rPr>
          <w:rFonts w:cs="Tahoma"/>
          <w:sz w:val="24"/>
        </w:rPr>
        <w:t>, entre ellas la de privación del derecho de conducir vehículos y motocicletas, que igualmente tiene el carácter de principal conforme lo reglado en el inciso 2°, art. 120 C.P.</w:t>
      </w:r>
    </w:p>
    <w:p w:rsidR="00E26C5D" w:rsidRPr="00467503" w:rsidRDefault="00E26C5D" w:rsidP="00467503">
      <w:pPr>
        <w:spacing w:line="288" w:lineRule="auto"/>
        <w:rPr>
          <w:rFonts w:cs="Tahoma"/>
          <w:sz w:val="24"/>
        </w:rPr>
      </w:pPr>
    </w:p>
    <w:p w:rsidR="00C467A0" w:rsidRPr="00467503" w:rsidRDefault="003D23F2" w:rsidP="00467503">
      <w:pPr>
        <w:spacing w:line="288" w:lineRule="auto"/>
        <w:rPr>
          <w:rFonts w:cs="Tahoma"/>
          <w:sz w:val="24"/>
        </w:rPr>
      </w:pPr>
      <w:r w:rsidRPr="00467503">
        <w:rPr>
          <w:rFonts w:cs="Tahoma"/>
          <w:sz w:val="24"/>
        </w:rPr>
        <w:t>Ahora bien</w:t>
      </w:r>
      <w:r w:rsidR="00BE45EE" w:rsidRPr="00467503">
        <w:rPr>
          <w:rFonts w:cs="Tahoma"/>
          <w:sz w:val="24"/>
        </w:rPr>
        <w:t>,</w:t>
      </w:r>
      <w:r w:rsidR="00E26C5D" w:rsidRPr="00467503">
        <w:rPr>
          <w:rFonts w:cs="Tahoma"/>
          <w:sz w:val="24"/>
        </w:rPr>
        <w:t xml:space="preserve"> la Sala de Casación Penal en sentencia </w:t>
      </w:r>
      <w:r w:rsidR="00E26C5D" w:rsidRPr="00467503">
        <w:rPr>
          <w:rFonts w:cs="Arial"/>
          <w:sz w:val="24"/>
        </w:rPr>
        <w:t>CSJ SP</w:t>
      </w:r>
      <w:r w:rsidR="00822661" w:rsidRPr="00467503">
        <w:rPr>
          <w:rFonts w:cs="Arial"/>
          <w:sz w:val="24"/>
        </w:rPr>
        <w:t>, 21 feb. 2018, r</w:t>
      </w:r>
      <w:r w:rsidR="00E26C5D" w:rsidRPr="00467503">
        <w:rPr>
          <w:rFonts w:cs="Arial"/>
          <w:sz w:val="24"/>
        </w:rPr>
        <w:t xml:space="preserve">ad. 49406, morigeró lo </w:t>
      </w:r>
      <w:r w:rsidR="00630AEE" w:rsidRPr="00467503">
        <w:rPr>
          <w:rFonts w:cs="Arial"/>
          <w:sz w:val="24"/>
        </w:rPr>
        <w:t xml:space="preserve">relativo a </w:t>
      </w:r>
      <w:r w:rsidR="00E26C5D" w:rsidRPr="00467503">
        <w:rPr>
          <w:rFonts w:cs="Arial"/>
          <w:sz w:val="24"/>
        </w:rPr>
        <w:t>la motivación que debe acompañar la restricción del</w:t>
      </w:r>
      <w:r w:rsidR="00E26C5D" w:rsidRPr="00467503">
        <w:rPr>
          <w:rFonts w:cs="Arial"/>
          <w:sz w:val="24"/>
          <w:lang w:val="es-CO"/>
        </w:rPr>
        <w:t xml:space="preserve"> acceso al subrogado, al aducir que aquélla no necesariamente debe </w:t>
      </w:r>
      <w:r w:rsidR="00630AEE" w:rsidRPr="00467503">
        <w:rPr>
          <w:rFonts w:cs="Arial"/>
          <w:sz w:val="24"/>
          <w:lang w:val="es-CO"/>
        </w:rPr>
        <w:t>a</w:t>
      </w:r>
      <w:r w:rsidR="00E26C5D" w:rsidRPr="00467503">
        <w:rPr>
          <w:rFonts w:cs="Arial"/>
          <w:sz w:val="24"/>
          <w:lang w:val="es-CO"/>
        </w:rPr>
        <w:t xml:space="preserve">parecer expresa </w:t>
      </w:r>
      <w:r w:rsidR="00BE45EE" w:rsidRPr="00467503">
        <w:rPr>
          <w:rFonts w:cs="Arial"/>
          <w:sz w:val="24"/>
          <w:lang w:val="es-CO"/>
        </w:rPr>
        <w:t>“</w:t>
      </w:r>
      <w:r w:rsidR="00E26C5D" w:rsidRPr="00467503">
        <w:rPr>
          <w:rFonts w:cs="Arial"/>
          <w:sz w:val="24"/>
          <w:lang w:val="es-CO"/>
        </w:rPr>
        <w:t>en el acápite atinente a la</w:t>
      </w:r>
      <w:r w:rsidR="00E26C5D" w:rsidRPr="00467503">
        <w:rPr>
          <w:rFonts w:cs="Tahoma"/>
          <w:i/>
          <w:sz w:val="24"/>
          <w:lang w:val="es-CO"/>
        </w:rPr>
        <w:t xml:space="preserve"> </w:t>
      </w:r>
      <w:r w:rsidR="00E26C5D" w:rsidRPr="00467503">
        <w:rPr>
          <w:rFonts w:cs="Tahoma"/>
          <w:sz w:val="24"/>
          <w:lang w:val="es-CO"/>
        </w:rPr>
        <w:t>suspensión condicional</w:t>
      </w:r>
      <w:r w:rsidR="00BE45EE" w:rsidRPr="00467503">
        <w:rPr>
          <w:rFonts w:cs="Tahoma"/>
          <w:sz w:val="24"/>
          <w:lang w:val="es-CO"/>
        </w:rPr>
        <w:t>” sino que</w:t>
      </w:r>
      <w:r w:rsidR="00E26C5D" w:rsidRPr="00467503">
        <w:rPr>
          <w:rFonts w:cs="Tahoma"/>
          <w:sz w:val="24"/>
          <w:lang w:val="es-CO"/>
        </w:rPr>
        <w:t xml:space="preserve"> d</w:t>
      </w:r>
      <w:r w:rsidR="00BE45EE" w:rsidRPr="00467503">
        <w:rPr>
          <w:rFonts w:cs="Tahoma"/>
          <w:sz w:val="24"/>
          <w:lang w:val="es-CO"/>
        </w:rPr>
        <w:t>e forma implícita pero razonada también puede verse reflejada</w:t>
      </w:r>
      <w:r w:rsidR="00E26C5D" w:rsidRPr="00467503">
        <w:rPr>
          <w:rFonts w:cs="Tahoma"/>
          <w:sz w:val="24"/>
          <w:lang w:val="es-CO"/>
        </w:rPr>
        <w:t xml:space="preserve"> en el texto que motive la necesidad de imponer la sanción respectiva</w:t>
      </w:r>
      <w:r w:rsidR="00BE45EE" w:rsidRPr="00467503">
        <w:rPr>
          <w:rFonts w:cs="Tahoma"/>
          <w:sz w:val="24"/>
          <w:lang w:val="es-CO"/>
        </w:rPr>
        <w:t>, o incluso</w:t>
      </w:r>
      <w:r w:rsidR="00E26C5D" w:rsidRPr="00467503">
        <w:rPr>
          <w:rFonts w:cs="Tahoma"/>
          <w:sz w:val="24"/>
          <w:lang w:val="es-CO"/>
        </w:rPr>
        <w:t xml:space="preserve"> en los considerandos relativos a la materialidad de la conducta pun</w:t>
      </w:r>
      <w:r w:rsidR="00BE45EE" w:rsidRPr="00467503">
        <w:rPr>
          <w:rFonts w:cs="Tahoma"/>
          <w:sz w:val="24"/>
          <w:lang w:val="es-CO"/>
        </w:rPr>
        <w:t>ible y la responsabilidad penal. Y</w:t>
      </w:r>
      <w:r w:rsidR="001E7A80" w:rsidRPr="00467503">
        <w:rPr>
          <w:rFonts w:cs="Tahoma"/>
          <w:sz w:val="24"/>
        </w:rPr>
        <w:t xml:space="preserve"> </w:t>
      </w:r>
      <w:r w:rsidR="00630AEE" w:rsidRPr="00467503">
        <w:rPr>
          <w:rFonts w:cs="Tahoma"/>
          <w:sz w:val="24"/>
        </w:rPr>
        <w:t xml:space="preserve">en </w:t>
      </w:r>
      <w:r w:rsidR="00E26C5D" w:rsidRPr="00467503">
        <w:rPr>
          <w:rFonts w:cs="Tahoma"/>
          <w:sz w:val="24"/>
        </w:rPr>
        <w:t>el presente asunto</w:t>
      </w:r>
      <w:r w:rsidRPr="00467503">
        <w:rPr>
          <w:rFonts w:cs="Tahoma"/>
          <w:sz w:val="24"/>
        </w:rPr>
        <w:t xml:space="preserve"> lo que se observa es una ausencia de pronunciamiento en pro o en contra de hacer efectiva la</w:t>
      </w:r>
      <w:r w:rsidR="00630AEE" w:rsidRPr="00467503">
        <w:rPr>
          <w:rFonts w:cs="Tahoma"/>
          <w:sz w:val="24"/>
        </w:rPr>
        <w:t xml:space="preserve"> ejecución de </w:t>
      </w:r>
      <w:r w:rsidR="009B7F97" w:rsidRPr="00467503">
        <w:rPr>
          <w:rFonts w:cs="Tahoma"/>
          <w:sz w:val="24"/>
        </w:rPr>
        <w:t xml:space="preserve">la privación del derecho a conducir vehículos y motocicletas, </w:t>
      </w:r>
      <w:r w:rsidRPr="00467503">
        <w:rPr>
          <w:rFonts w:cs="Tahoma"/>
          <w:sz w:val="24"/>
        </w:rPr>
        <w:t xml:space="preserve">y </w:t>
      </w:r>
      <w:r w:rsidR="009B7F97" w:rsidRPr="00467503">
        <w:rPr>
          <w:rFonts w:cs="Tahoma"/>
          <w:sz w:val="24"/>
        </w:rPr>
        <w:t xml:space="preserve">sin que </w:t>
      </w:r>
      <w:r w:rsidR="001E7A80" w:rsidRPr="00467503">
        <w:rPr>
          <w:rFonts w:cs="Tahoma"/>
          <w:sz w:val="24"/>
        </w:rPr>
        <w:t xml:space="preserve">ello </w:t>
      </w:r>
      <w:r w:rsidR="009B7F97" w:rsidRPr="00467503">
        <w:rPr>
          <w:rFonts w:cs="Tahoma"/>
          <w:sz w:val="24"/>
        </w:rPr>
        <w:t>a</w:t>
      </w:r>
      <w:r w:rsidR="00630AEE" w:rsidRPr="00467503">
        <w:rPr>
          <w:rFonts w:cs="Tahoma"/>
          <w:sz w:val="24"/>
        </w:rPr>
        <w:t xml:space="preserve">flore </w:t>
      </w:r>
      <w:r w:rsidR="009B7F97" w:rsidRPr="00467503">
        <w:rPr>
          <w:rFonts w:cs="Tahoma"/>
          <w:sz w:val="24"/>
        </w:rPr>
        <w:t>implícito en la parte motiva de la providencia, máxime que por tratars</w:t>
      </w:r>
      <w:r w:rsidRPr="00467503">
        <w:rPr>
          <w:rFonts w:cs="Tahoma"/>
          <w:sz w:val="24"/>
        </w:rPr>
        <w:t>e de una terminación anticipada</w:t>
      </w:r>
      <w:r w:rsidR="009B7F97" w:rsidRPr="00467503">
        <w:rPr>
          <w:rFonts w:cs="Tahoma"/>
          <w:sz w:val="24"/>
        </w:rPr>
        <w:t xml:space="preserve"> la valoración probatoria </w:t>
      </w:r>
      <w:r w:rsidR="00C467A0" w:rsidRPr="00467503">
        <w:rPr>
          <w:rFonts w:cs="Tahoma"/>
          <w:sz w:val="24"/>
        </w:rPr>
        <w:t>no fue la m</w:t>
      </w:r>
      <w:r w:rsidR="001E7A80" w:rsidRPr="00467503">
        <w:rPr>
          <w:rFonts w:cs="Tahoma"/>
          <w:sz w:val="24"/>
        </w:rPr>
        <w:t>á</w:t>
      </w:r>
      <w:r w:rsidR="00C467A0" w:rsidRPr="00467503">
        <w:rPr>
          <w:rFonts w:cs="Tahoma"/>
          <w:sz w:val="24"/>
        </w:rPr>
        <w:t>s prolija.</w:t>
      </w:r>
    </w:p>
    <w:p w:rsidR="009B7F97" w:rsidRPr="00467503" w:rsidRDefault="009B7F97" w:rsidP="00467503">
      <w:pPr>
        <w:spacing w:line="288" w:lineRule="auto"/>
        <w:rPr>
          <w:rFonts w:cs="Tahoma"/>
          <w:sz w:val="24"/>
        </w:rPr>
      </w:pPr>
    </w:p>
    <w:p w:rsidR="0051260D" w:rsidRPr="00467503" w:rsidRDefault="003D23F2" w:rsidP="00467503">
      <w:pPr>
        <w:spacing w:line="288" w:lineRule="auto"/>
        <w:rPr>
          <w:sz w:val="24"/>
        </w:rPr>
      </w:pPr>
      <w:r w:rsidRPr="00467503">
        <w:rPr>
          <w:rFonts w:cs="Tahoma"/>
          <w:sz w:val="24"/>
        </w:rPr>
        <w:lastRenderedPageBreak/>
        <w:t>Así las cosas, una tal falta de pronunciamiento en esa materia, e</w:t>
      </w:r>
      <w:r w:rsidR="0051260D" w:rsidRPr="00467503">
        <w:rPr>
          <w:rFonts w:cs="Tahoma"/>
          <w:sz w:val="24"/>
        </w:rPr>
        <w:t>n sentir de la Sala</w:t>
      </w:r>
      <w:r w:rsidRPr="00467503">
        <w:rPr>
          <w:rFonts w:cs="Tahoma"/>
          <w:sz w:val="24"/>
        </w:rPr>
        <w:t xml:space="preserve"> y de conformidad con lo indicado por la jurisprudencia nacional</w:t>
      </w:r>
      <w:r w:rsidR="0051260D" w:rsidRPr="00467503">
        <w:rPr>
          <w:rFonts w:cs="Tahoma"/>
          <w:sz w:val="24"/>
        </w:rPr>
        <w:t xml:space="preserve">, </w:t>
      </w:r>
      <w:r w:rsidRPr="00467503">
        <w:rPr>
          <w:rFonts w:cs="Tahoma"/>
          <w:sz w:val="24"/>
        </w:rPr>
        <w:t xml:space="preserve">lo que da lugar a entender es que el deseo del fallador fue incluir en esa suspensión condicional de la ejecución de la pena, </w:t>
      </w:r>
      <w:r w:rsidR="00BE45EE" w:rsidRPr="00467503">
        <w:rPr>
          <w:rFonts w:cs="Tahoma"/>
          <w:sz w:val="24"/>
        </w:rPr>
        <w:t xml:space="preserve">tanto la </w:t>
      </w:r>
      <w:r w:rsidR="0051260D" w:rsidRPr="00467503">
        <w:rPr>
          <w:sz w:val="24"/>
        </w:rPr>
        <w:t>inhabilitación en el ejercicio de</w:t>
      </w:r>
      <w:r w:rsidR="00BE45EE" w:rsidRPr="00467503">
        <w:rPr>
          <w:sz w:val="24"/>
        </w:rPr>
        <w:t xml:space="preserve"> derechos y funciones públicas, como la</w:t>
      </w:r>
      <w:r w:rsidR="0051260D" w:rsidRPr="00467503">
        <w:rPr>
          <w:sz w:val="24"/>
        </w:rPr>
        <w:t xml:space="preserve"> privación </w:t>
      </w:r>
      <w:r w:rsidR="00BE45EE" w:rsidRPr="00467503">
        <w:rPr>
          <w:sz w:val="24"/>
        </w:rPr>
        <w:t xml:space="preserve">del derecho </w:t>
      </w:r>
      <w:r w:rsidR="0051260D" w:rsidRPr="00467503">
        <w:rPr>
          <w:sz w:val="24"/>
        </w:rPr>
        <w:t>a conducir vehículos y motocicletas</w:t>
      </w:r>
      <w:r w:rsidRPr="00467503">
        <w:rPr>
          <w:sz w:val="24"/>
        </w:rPr>
        <w:t xml:space="preserve"> que le fueron</w:t>
      </w:r>
      <w:r w:rsidR="0051260D" w:rsidRPr="00467503">
        <w:rPr>
          <w:sz w:val="24"/>
        </w:rPr>
        <w:t xml:space="preserve"> impuestas al señor </w:t>
      </w:r>
      <w:proofErr w:type="spellStart"/>
      <w:r w:rsidR="007305A2">
        <w:rPr>
          <w:b/>
          <w:sz w:val="20"/>
          <w:szCs w:val="22"/>
        </w:rPr>
        <w:t>OAVR</w:t>
      </w:r>
      <w:proofErr w:type="spellEnd"/>
      <w:r w:rsidR="0051260D" w:rsidRPr="00467503">
        <w:rPr>
          <w:b/>
          <w:sz w:val="20"/>
          <w:szCs w:val="22"/>
        </w:rPr>
        <w:t xml:space="preserve"> </w:t>
      </w:r>
      <w:r w:rsidR="0051260D" w:rsidRPr="00467503">
        <w:rPr>
          <w:sz w:val="24"/>
        </w:rPr>
        <w:t>en</w:t>
      </w:r>
      <w:r w:rsidR="00630AEE" w:rsidRPr="00467503">
        <w:rPr>
          <w:sz w:val="24"/>
        </w:rPr>
        <w:t xml:space="preserve"> el fallo dictado</w:t>
      </w:r>
      <w:r w:rsidR="00C467A0" w:rsidRPr="00467503">
        <w:rPr>
          <w:sz w:val="24"/>
        </w:rPr>
        <w:t xml:space="preserve"> </w:t>
      </w:r>
      <w:r w:rsidR="0051260D" w:rsidRPr="00467503">
        <w:rPr>
          <w:sz w:val="24"/>
        </w:rPr>
        <w:t>en mayo 22 de 2019.</w:t>
      </w:r>
    </w:p>
    <w:p w:rsidR="0051260D" w:rsidRPr="00467503" w:rsidRDefault="0051260D" w:rsidP="00467503">
      <w:pPr>
        <w:spacing w:line="288" w:lineRule="auto"/>
        <w:rPr>
          <w:sz w:val="24"/>
        </w:rPr>
      </w:pPr>
    </w:p>
    <w:p w:rsidR="00C4040A" w:rsidRDefault="00C4040A" w:rsidP="00467503">
      <w:pPr>
        <w:spacing w:line="288" w:lineRule="auto"/>
        <w:rPr>
          <w:sz w:val="24"/>
        </w:rPr>
      </w:pPr>
      <w:r w:rsidRPr="00467503">
        <w:rPr>
          <w:sz w:val="24"/>
        </w:rPr>
        <w:t>Sea como fuere, y no obstante ser c</w:t>
      </w:r>
      <w:r w:rsidR="009112E3" w:rsidRPr="00467503">
        <w:rPr>
          <w:sz w:val="24"/>
        </w:rPr>
        <w:t>ostumbre en la praxis judicial</w:t>
      </w:r>
      <w:r w:rsidRPr="00467503">
        <w:rPr>
          <w:sz w:val="24"/>
        </w:rPr>
        <w:t xml:space="preserve"> que los operadores jurídicos no efectúen pronunciamiento alguno en punto de si el subrogado se extiende a las demás penas principales y/o accesorias, como acaeció en este caso, </w:t>
      </w:r>
      <w:r w:rsidR="007E31E6" w:rsidRPr="00467503">
        <w:rPr>
          <w:sz w:val="24"/>
        </w:rPr>
        <w:t xml:space="preserve">importa decir que de procederse en ese sentido no está de más, y antes por el contrario </w:t>
      </w:r>
      <w:r w:rsidRPr="00467503">
        <w:rPr>
          <w:sz w:val="24"/>
        </w:rPr>
        <w:t xml:space="preserve">brindaría claridad a las partes sobre dichos tópicos y con ello se evitaría que </w:t>
      </w:r>
      <w:r w:rsidR="007E31E6" w:rsidRPr="00467503">
        <w:rPr>
          <w:sz w:val="24"/>
        </w:rPr>
        <w:t xml:space="preserve">se acuda en </w:t>
      </w:r>
      <w:r w:rsidRPr="00467503">
        <w:rPr>
          <w:sz w:val="24"/>
        </w:rPr>
        <w:t>sede de alzada para obtener precisión al respecto.</w:t>
      </w:r>
    </w:p>
    <w:p w:rsidR="00953E82" w:rsidRPr="00467503" w:rsidRDefault="00953E82" w:rsidP="00467503">
      <w:pPr>
        <w:spacing w:line="288" w:lineRule="auto"/>
        <w:rPr>
          <w:sz w:val="24"/>
        </w:rPr>
      </w:pPr>
    </w:p>
    <w:p w:rsidR="00A92618" w:rsidRPr="00467503" w:rsidRDefault="007A57E7" w:rsidP="00467503">
      <w:pPr>
        <w:spacing w:line="288" w:lineRule="auto"/>
        <w:rPr>
          <w:sz w:val="24"/>
        </w:rPr>
      </w:pPr>
      <w:r w:rsidRPr="00467503">
        <w:rPr>
          <w:rFonts w:cs="Tahoma"/>
          <w:sz w:val="24"/>
        </w:rPr>
        <w:t>Por lo anterior y al considerar</w:t>
      </w:r>
      <w:r w:rsidR="00A92618" w:rsidRPr="00467503">
        <w:rPr>
          <w:rFonts w:cs="Tahoma"/>
          <w:sz w:val="24"/>
        </w:rPr>
        <w:t>se</w:t>
      </w:r>
      <w:r w:rsidRPr="00467503">
        <w:rPr>
          <w:rFonts w:cs="Tahoma"/>
          <w:sz w:val="24"/>
        </w:rPr>
        <w:t xml:space="preserve"> que la decisión adoptada por </w:t>
      </w:r>
      <w:r w:rsidR="00643D75" w:rsidRPr="00467503">
        <w:rPr>
          <w:rFonts w:cs="Tahoma"/>
          <w:sz w:val="24"/>
        </w:rPr>
        <w:t>e</w:t>
      </w:r>
      <w:r w:rsidRPr="00467503">
        <w:rPr>
          <w:rFonts w:cs="Tahoma"/>
          <w:sz w:val="24"/>
        </w:rPr>
        <w:t xml:space="preserve">l </w:t>
      </w:r>
      <w:r w:rsidR="00454D3D" w:rsidRPr="00467503">
        <w:rPr>
          <w:rFonts w:cs="Tahoma"/>
          <w:sz w:val="24"/>
        </w:rPr>
        <w:t xml:space="preserve">a quo </w:t>
      </w:r>
      <w:r w:rsidRPr="00467503">
        <w:rPr>
          <w:rFonts w:cs="Tahoma"/>
          <w:sz w:val="24"/>
        </w:rPr>
        <w:t xml:space="preserve">se </w:t>
      </w:r>
      <w:r w:rsidR="003D23F2" w:rsidRPr="00467503">
        <w:rPr>
          <w:rFonts w:cs="Tahoma"/>
          <w:sz w:val="24"/>
        </w:rPr>
        <w:t>encuentra</w:t>
      </w:r>
      <w:r w:rsidR="00630AEE" w:rsidRPr="00467503">
        <w:rPr>
          <w:rFonts w:cs="Tahoma"/>
          <w:sz w:val="24"/>
        </w:rPr>
        <w:t xml:space="preserve"> </w:t>
      </w:r>
      <w:r w:rsidRPr="00467503">
        <w:rPr>
          <w:rFonts w:cs="Tahoma"/>
          <w:sz w:val="24"/>
        </w:rPr>
        <w:t>ajustada a derecho, se acom</w:t>
      </w:r>
      <w:r w:rsidR="00A92618" w:rsidRPr="00467503">
        <w:rPr>
          <w:rFonts w:cs="Tahoma"/>
          <w:sz w:val="24"/>
        </w:rPr>
        <w:t>pañará la sentencia emitida en</w:t>
      </w:r>
      <w:r w:rsidR="007D2585" w:rsidRPr="00467503">
        <w:rPr>
          <w:rFonts w:cs="Tahoma"/>
          <w:sz w:val="24"/>
        </w:rPr>
        <w:t xml:space="preserve"> lo que fue tema materia de la impugnación.</w:t>
      </w:r>
    </w:p>
    <w:p w:rsidR="00A92618" w:rsidRPr="00467503" w:rsidRDefault="00A92618" w:rsidP="00467503">
      <w:pPr>
        <w:spacing w:line="288" w:lineRule="auto"/>
        <w:rPr>
          <w:sz w:val="24"/>
        </w:rPr>
      </w:pPr>
    </w:p>
    <w:p w:rsidR="005654F9" w:rsidRPr="00467503" w:rsidRDefault="009126DC" w:rsidP="00467503">
      <w:pPr>
        <w:spacing w:line="288" w:lineRule="auto"/>
        <w:rPr>
          <w:sz w:val="24"/>
        </w:rPr>
      </w:pPr>
      <w:r w:rsidRPr="00467503">
        <w:rPr>
          <w:rFonts w:cs="Tahoma"/>
          <w:sz w:val="24"/>
        </w:rPr>
        <w:t>E</w:t>
      </w:r>
      <w:r w:rsidR="00825182" w:rsidRPr="00467503">
        <w:rPr>
          <w:rFonts w:cs="Tahoma"/>
          <w:sz w:val="24"/>
        </w:rPr>
        <w:t xml:space="preserve">n mérito de lo expuesto, el Tribunal Superior del Distrito Judicial de Pereira (Rda.), Sala de Decisión Penal, administrando justicia en nombre de la República y por autoridad de la ley, </w:t>
      </w:r>
      <w:r w:rsidR="00825182" w:rsidRPr="00467503">
        <w:rPr>
          <w:rFonts w:cs="Tahoma"/>
          <w:b/>
          <w:sz w:val="20"/>
          <w:szCs w:val="22"/>
        </w:rPr>
        <w:t>CONFIRM</w:t>
      </w:r>
      <w:r w:rsidR="009A3C63" w:rsidRPr="00467503">
        <w:rPr>
          <w:rFonts w:cs="Tahoma"/>
          <w:b/>
          <w:sz w:val="20"/>
          <w:szCs w:val="22"/>
        </w:rPr>
        <w:t>A</w:t>
      </w:r>
      <w:r w:rsidR="009A3C63" w:rsidRPr="00467503">
        <w:rPr>
          <w:rFonts w:cs="Tahoma"/>
          <w:b/>
          <w:sz w:val="24"/>
        </w:rPr>
        <w:t xml:space="preserve"> </w:t>
      </w:r>
      <w:r w:rsidR="00825182" w:rsidRPr="00467503">
        <w:rPr>
          <w:rFonts w:cs="Tahoma"/>
          <w:sz w:val="24"/>
        </w:rPr>
        <w:t xml:space="preserve">el fallo </w:t>
      </w:r>
      <w:r w:rsidR="007A57E7" w:rsidRPr="00467503">
        <w:rPr>
          <w:sz w:val="24"/>
        </w:rPr>
        <w:t xml:space="preserve">condenatorio </w:t>
      </w:r>
      <w:r w:rsidR="00454D3D" w:rsidRPr="00467503">
        <w:rPr>
          <w:sz w:val="24"/>
        </w:rPr>
        <w:t xml:space="preserve">dictado </w:t>
      </w:r>
      <w:r w:rsidR="007A57E7" w:rsidRPr="00467503">
        <w:rPr>
          <w:sz w:val="24"/>
        </w:rPr>
        <w:t xml:space="preserve">por el Juzgado </w:t>
      </w:r>
      <w:r w:rsidR="00643D75" w:rsidRPr="00467503">
        <w:rPr>
          <w:sz w:val="24"/>
        </w:rPr>
        <w:t xml:space="preserve">Segundo </w:t>
      </w:r>
      <w:r w:rsidR="007A57E7" w:rsidRPr="00467503">
        <w:rPr>
          <w:sz w:val="24"/>
        </w:rPr>
        <w:t xml:space="preserve">Penal Municipal con función de conocimiento de </w:t>
      </w:r>
      <w:r w:rsidR="00643D75" w:rsidRPr="00467503">
        <w:rPr>
          <w:sz w:val="24"/>
        </w:rPr>
        <w:t xml:space="preserve">Pereira </w:t>
      </w:r>
      <w:r w:rsidR="007A57E7" w:rsidRPr="00467503">
        <w:rPr>
          <w:sz w:val="24"/>
        </w:rPr>
        <w:t xml:space="preserve">(Rda.) en </w:t>
      </w:r>
      <w:r w:rsidR="005654F9" w:rsidRPr="00467503">
        <w:rPr>
          <w:sz w:val="24"/>
        </w:rPr>
        <w:t xml:space="preserve">contra del </w:t>
      </w:r>
      <w:r w:rsidR="00643D75" w:rsidRPr="00467503">
        <w:rPr>
          <w:sz w:val="24"/>
        </w:rPr>
        <w:t xml:space="preserve">señor </w:t>
      </w:r>
      <w:proofErr w:type="spellStart"/>
      <w:r w:rsidR="007305A2">
        <w:rPr>
          <w:b/>
          <w:sz w:val="20"/>
          <w:szCs w:val="22"/>
        </w:rPr>
        <w:t>OAVR</w:t>
      </w:r>
      <w:proofErr w:type="spellEnd"/>
      <w:r w:rsidR="00643D75" w:rsidRPr="00467503">
        <w:rPr>
          <w:b/>
          <w:sz w:val="20"/>
          <w:szCs w:val="22"/>
        </w:rPr>
        <w:t xml:space="preserve"> </w:t>
      </w:r>
      <w:r w:rsidR="007A57E7" w:rsidRPr="00467503">
        <w:rPr>
          <w:sz w:val="24"/>
        </w:rPr>
        <w:t xml:space="preserve">por el delito de </w:t>
      </w:r>
      <w:r w:rsidR="00643D75" w:rsidRPr="00467503">
        <w:rPr>
          <w:sz w:val="24"/>
        </w:rPr>
        <w:t>lesiones personales culposas</w:t>
      </w:r>
      <w:r w:rsidR="007A57E7" w:rsidRPr="00467503">
        <w:rPr>
          <w:sz w:val="24"/>
        </w:rPr>
        <w:t>.</w:t>
      </w:r>
    </w:p>
    <w:p w:rsidR="00556860" w:rsidRPr="00467503" w:rsidRDefault="00556860" w:rsidP="00467503">
      <w:pPr>
        <w:spacing w:line="288" w:lineRule="auto"/>
        <w:rPr>
          <w:sz w:val="24"/>
        </w:rPr>
      </w:pPr>
    </w:p>
    <w:p w:rsidR="00825182" w:rsidRPr="00467503" w:rsidRDefault="00825182" w:rsidP="00467503">
      <w:pPr>
        <w:pStyle w:val="Textosinformato"/>
        <w:tabs>
          <w:tab w:val="left" w:pos="8080"/>
        </w:tabs>
        <w:spacing w:after="120" w:line="288" w:lineRule="auto"/>
        <w:ind w:right="-91"/>
        <w:jc w:val="both"/>
        <w:rPr>
          <w:rFonts w:ascii="Tahoma" w:hAnsi="Tahoma" w:cs="Tahoma"/>
          <w:bCs/>
          <w:sz w:val="24"/>
          <w:szCs w:val="26"/>
          <w:lang w:val="es-CO"/>
        </w:rPr>
      </w:pPr>
      <w:r w:rsidRPr="00467503">
        <w:rPr>
          <w:rFonts w:ascii="Tahoma" w:hAnsi="Tahoma" w:cs="Tahoma"/>
          <w:sz w:val="24"/>
          <w:szCs w:val="26"/>
        </w:rPr>
        <w:t xml:space="preserve">Esta </w:t>
      </w:r>
      <w:r w:rsidR="00A42246" w:rsidRPr="00467503">
        <w:rPr>
          <w:rFonts w:ascii="Tahoma" w:hAnsi="Tahoma" w:cs="Tahoma"/>
          <w:sz w:val="24"/>
          <w:szCs w:val="26"/>
        </w:rPr>
        <w:t xml:space="preserve">providencia </w:t>
      </w:r>
      <w:r w:rsidRPr="00467503">
        <w:rPr>
          <w:rFonts w:ascii="Tahoma" w:hAnsi="Tahoma" w:cs="Tahoma"/>
          <w:sz w:val="24"/>
          <w:szCs w:val="26"/>
        </w:rPr>
        <w:t>queda notificada en estrados y contra ella procede el recurso extraordinario de casación que de interponerse habrá de hacerse dentro del término de ley.</w:t>
      </w:r>
    </w:p>
    <w:p w:rsidR="00825182" w:rsidRPr="00467503" w:rsidRDefault="00825182" w:rsidP="00467503">
      <w:pPr>
        <w:spacing w:line="288" w:lineRule="auto"/>
        <w:rPr>
          <w:sz w:val="24"/>
        </w:rPr>
      </w:pPr>
    </w:p>
    <w:p w:rsidR="00825182" w:rsidRPr="00467503" w:rsidRDefault="00825182" w:rsidP="00467503">
      <w:pPr>
        <w:spacing w:line="288" w:lineRule="auto"/>
        <w:rPr>
          <w:sz w:val="24"/>
        </w:rPr>
      </w:pPr>
      <w:r w:rsidRPr="00467503">
        <w:rPr>
          <w:sz w:val="24"/>
        </w:rPr>
        <w:t xml:space="preserve">Los Magistrados, </w:t>
      </w:r>
    </w:p>
    <w:p w:rsidR="00825182" w:rsidRPr="00467503" w:rsidRDefault="00825182" w:rsidP="00467503">
      <w:pPr>
        <w:spacing w:line="288" w:lineRule="auto"/>
        <w:rPr>
          <w:sz w:val="24"/>
          <w:lang w:val="es-ES_tradnl"/>
        </w:rPr>
      </w:pPr>
    </w:p>
    <w:p w:rsidR="00465100" w:rsidRPr="00467503" w:rsidRDefault="00465100" w:rsidP="00467503">
      <w:pPr>
        <w:spacing w:line="288" w:lineRule="auto"/>
        <w:rPr>
          <w:sz w:val="24"/>
          <w:lang w:val="es-ES_tradnl"/>
        </w:rPr>
      </w:pPr>
    </w:p>
    <w:p w:rsidR="00454D3D" w:rsidRPr="00467503" w:rsidRDefault="00454D3D" w:rsidP="00467503">
      <w:pPr>
        <w:spacing w:line="288" w:lineRule="auto"/>
        <w:rPr>
          <w:sz w:val="24"/>
          <w:lang w:val="es-ES_tradnl"/>
        </w:rPr>
      </w:pPr>
    </w:p>
    <w:p w:rsidR="00825182" w:rsidRPr="00467503" w:rsidRDefault="00825182" w:rsidP="00467503">
      <w:pPr>
        <w:spacing w:line="288" w:lineRule="auto"/>
        <w:rPr>
          <w:sz w:val="24"/>
          <w:lang w:val="es-ES_tradnl"/>
        </w:rPr>
      </w:pPr>
      <w:r w:rsidRPr="00467503">
        <w:rPr>
          <w:sz w:val="24"/>
          <w:lang w:val="es-ES_tradnl"/>
        </w:rPr>
        <w:t>JORGE ARTURO CASTAÑO DUQUE</w:t>
      </w:r>
      <w:r w:rsidR="00467503">
        <w:rPr>
          <w:sz w:val="24"/>
          <w:lang w:val="es-ES_tradnl"/>
        </w:rPr>
        <w:tab/>
      </w:r>
      <w:r w:rsidRPr="00467503">
        <w:rPr>
          <w:sz w:val="24"/>
          <w:lang w:val="es-ES_tradnl"/>
        </w:rPr>
        <w:tab/>
        <w:t xml:space="preserve">         JAIRO ERNESTO ESCOBAR SANZ</w:t>
      </w:r>
    </w:p>
    <w:p w:rsidR="00825182" w:rsidRPr="00467503" w:rsidRDefault="00825182" w:rsidP="00467503">
      <w:pPr>
        <w:spacing w:line="288" w:lineRule="auto"/>
        <w:rPr>
          <w:sz w:val="24"/>
          <w:lang w:val="es-ES_tradnl"/>
        </w:rPr>
      </w:pPr>
    </w:p>
    <w:p w:rsidR="00465100" w:rsidRPr="00467503" w:rsidRDefault="00465100" w:rsidP="00467503">
      <w:pPr>
        <w:spacing w:line="288" w:lineRule="auto"/>
        <w:rPr>
          <w:sz w:val="24"/>
          <w:lang w:val="es-ES_tradnl"/>
        </w:rPr>
      </w:pPr>
    </w:p>
    <w:p w:rsidR="00465100" w:rsidRPr="00467503" w:rsidRDefault="00465100" w:rsidP="00467503">
      <w:pPr>
        <w:spacing w:line="288" w:lineRule="auto"/>
        <w:rPr>
          <w:sz w:val="24"/>
          <w:lang w:val="es-ES_tradnl"/>
        </w:rPr>
      </w:pPr>
    </w:p>
    <w:p w:rsidR="00825182" w:rsidRPr="00467503" w:rsidRDefault="00825182" w:rsidP="00467503">
      <w:pPr>
        <w:spacing w:line="288" w:lineRule="auto"/>
        <w:jc w:val="center"/>
        <w:rPr>
          <w:sz w:val="24"/>
          <w:lang w:val="es-ES_tradnl"/>
        </w:rPr>
      </w:pPr>
      <w:r w:rsidRPr="00467503">
        <w:rPr>
          <w:sz w:val="24"/>
          <w:lang w:val="es-ES_tradnl"/>
        </w:rPr>
        <w:t>MANUEL YARZAGARAY BANDERA</w:t>
      </w:r>
    </w:p>
    <w:p w:rsidR="00465100" w:rsidRPr="00467503" w:rsidRDefault="00465100" w:rsidP="00467503">
      <w:pPr>
        <w:spacing w:line="288" w:lineRule="auto"/>
        <w:rPr>
          <w:sz w:val="24"/>
        </w:rPr>
      </w:pPr>
    </w:p>
    <w:p w:rsidR="00825182" w:rsidRPr="00467503" w:rsidRDefault="00643D75" w:rsidP="00467503">
      <w:pPr>
        <w:spacing w:line="288" w:lineRule="auto"/>
        <w:rPr>
          <w:sz w:val="24"/>
        </w:rPr>
      </w:pPr>
      <w:r w:rsidRPr="00467503">
        <w:rPr>
          <w:sz w:val="24"/>
        </w:rPr>
        <w:t>La</w:t>
      </w:r>
      <w:r w:rsidR="00825182" w:rsidRPr="00467503">
        <w:rPr>
          <w:sz w:val="24"/>
        </w:rPr>
        <w:t xml:space="preserve"> Secretari</w:t>
      </w:r>
      <w:r w:rsidRPr="00467503">
        <w:rPr>
          <w:sz w:val="24"/>
        </w:rPr>
        <w:t>a</w:t>
      </w:r>
      <w:r w:rsidR="00825182" w:rsidRPr="00467503">
        <w:rPr>
          <w:sz w:val="24"/>
        </w:rPr>
        <w:t xml:space="preserve"> de la Sala,</w:t>
      </w:r>
    </w:p>
    <w:p w:rsidR="00465100" w:rsidRDefault="00465100" w:rsidP="00467503">
      <w:pPr>
        <w:spacing w:line="288" w:lineRule="auto"/>
        <w:jc w:val="center"/>
        <w:rPr>
          <w:sz w:val="24"/>
          <w:lang w:val="es-ES_tradnl"/>
        </w:rPr>
      </w:pPr>
    </w:p>
    <w:p w:rsidR="00CA70F3" w:rsidRPr="00467503" w:rsidRDefault="00CA70F3" w:rsidP="00467503">
      <w:pPr>
        <w:spacing w:line="288" w:lineRule="auto"/>
        <w:jc w:val="center"/>
        <w:rPr>
          <w:sz w:val="24"/>
          <w:lang w:val="es-ES_tradnl"/>
        </w:rPr>
      </w:pPr>
    </w:p>
    <w:p w:rsidR="00F909A1" w:rsidRPr="00467503" w:rsidRDefault="00643D75" w:rsidP="00467503">
      <w:pPr>
        <w:spacing w:line="288" w:lineRule="auto"/>
        <w:jc w:val="center"/>
        <w:rPr>
          <w:sz w:val="24"/>
        </w:rPr>
      </w:pPr>
      <w:r w:rsidRPr="00467503">
        <w:rPr>
          <w:sz w:val="24"/>
          <w:lang w:val="es-ES_tradnl"/>
        </w:rPr>
        <w:t>ADRIANA JULIA CATAÑO LÓPEZ</w:t>
      </w:r>
    </w:p>
    <w:sectPr w:rsidR="00F909A1" w:rsidRPr="00467503" w:rsidSect="00467503">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A3" w:rsidRDefault="00E54DA3" w:rsidP="00F13C87">
      <w:pPr>
        <w:spacing w:line="240" w:lineRule="auto"/>
      </w:pPr>
      <w:r>
        <w:separator/>
      </w:r>
    </w:p>
  </w:endnote>
  <w:endnote w:type="continuationSeparator" w:id="0">
    <w:p w:rsidR="00E54DA3" w:rsidRDefault="00E54DA3"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Pr="00953E82" w:rsidRDefault="005B6276" w:rsidP="00953E82">
    <w:pPr>
      <w:pStyle w:val="Piedepgina"/>
    </w:pPr>
    <w:r w:rsidRPr="00953E82">
      <w:t xml:space="preserve">Página </w:t>
    </w:r>
    <w:r w:rsidRPr="00953E82">
      <w:fldChar w:fldCharType="begin"/>
    </w:r>
    <w:r w:rsidRPr="00953E82">
      <w:instrText xml:space="preserve"> PAGE </w:instrText>
    </w:r>
    <w:r w:rsidRPr="00953E82">
      <w:fldChar w:fldCharType="separate"/>
    </w:r>
    <w:r w:rsidR="00CA70F3">
      <w:rPr>
        <w:noProof/>
      </w:rPr>
      <w:t>1</w:t>
    </w:r>
    <w:r w:rsidRPr="00953E82">
      <w:fldChar w:fldCharType="end"/>
    </w:r>
    <w:r w:rsidRPr="00953E82">
      <w:t xml:space="preserve"> de </w:t>
    </w:r>
    <w:r w:rsidR="007A4EC9">
      <w:fldChar w:fldCharType="begin"/>
    </w:r>
    <w:r w:rsidR="007A4EC9">
      <w:instrText xml:space="preserve"> NUMPAGES </w:instrText>
    </w:r>
    <w:r w:rsidR="007A4EC9">
      <w:fldChar w:fldCharType="separate"/>
    </w:r>
    <w:r w:rsidR="00CA70F3">
      <w:rPr>
        <w:noProof/>
      </w:rPr>
      <w:t>6</w:t>
    </w:r>
    <w:r w:rsidR="007A4E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A3" w:rsidRDefault="00E54DA3" w:rsidP="00F13C87">
      <w:pPr>
        <w:spacing w:line="240" w:lineRule="auto"/>
      </w:pPr>
      <w:r>
        <w:separator/>
      </w:r>
    </w:p>
  </w:footnote>
  <w:footnote w:type="continuationSeparator" w:id="0">
    <w:p w:rsidR="00E54DA3" w:rsidRDefault="00E54DA3" w:rsidP="00F13C87">
      <w:pPr>
        <w:spacing w:line="240" w:lineRule="auto"/>
      </w:pPr>
      <w:r>
        <w:continuationSeparator/>
      </w:r>
    </w:p>
  </w:footnote>
  <w:footnote w:id="1">
    <w:p w:rsidR="000F663F" w:rsidRPr="00953E82" w:rsidRDefault="000F663F" w:rsidP="000F663F">
      <w:pPr>
        <w:pStyle w:val="Textonotapie"/>
        <w:rPr>
          <w:rFonts w:ascii="Arial" w:hAnsi="Arial" w:cs="Arial"/>
          <w:sz w:val="18"/>
          <w:szCs w:val="18"/>
          <w:lang w:val="es-MX"/>
        </w:rPr>
      </w:pPr>
      <w:r w:rsidRPr="00953E82">
        <w:rPr>
          <w:rStyle w:val="Refdenotaalpie"/>
          <w:rFonts w:ascii="Arial" w:hAnsi="Arial" w:cs="Arial"/>
          <w:sz w:val="18"/>
          <w:szCs w:val="18"/>
        </w:rPr>
        <w:footnoteRef/>
      </w:r>
      <w:r w:rsidRPr="00953E82">
        <w:rPr>
          <w:rFonts w:ascii="Arial" w:hAnsi="Arial" w:cs="Arial"/>
          <w:sz w:val="18"/>
          <w:szCs w:val="18"/>
        </w:rPr>
        <w:t xml:space="preserve"> CSJ AP, 9 </w:t>
      </w:r>
      <w:proofErr w:type="spellStart"/>
      <w:r w:rsidRPr="00953E82">
        <w:rPr>
          <w:rFonts w:ascii="Arial" w:hAnsi="Arial" w:cs="Arial"/>
          <w:sz w:val="18"/>
          <w:szCs w:val="18"/>
        </w:rPr>
        <w:t>may</w:t>
      </w:r>
      <w:proofErr w:type="spellEnd"/>
      <w:r w:rsidRPr="00953E82">
        <w:rPr>
          <w:rFonts w:ascii="Arial" w:hAnsi="Arial" w:cs="Arial"/>
          <w:sz w:val="18"/>
          <w:szCs w:val="18"/>
        </w:rPr>
        <w:t>. 2011, rad. 36350</w:t>
      </w:r>
      <w:r w:rsidRPr="00953E82">
        <w:rPr>
          <w:rFonts w:ascii="Arial" w:hAnsi="Arial" w:cs="Arial"/>
          <w:sz w:val="18"/>
          <w:szCs w:val="18"/>
          <w:lang w:val="es-MX"/>
        </w:rPr>
        <w:t>.</w:t>
      </w:r>
    </w:p>
  </w:footnote>
  <w:footnote w:id="2">
    <w:p w:rsidR="000F663F" w:rsidRPr="005E7CB4" w:rsidRDefault="000F663F" w:rsidP="000F663F">
      <w:pPr>
        <w:pStyle w:val="Textonotapie"/>
        <w:rPr>
          <w:sz w:val="18"/>
          <w:szCs w:val="18"/>
          <w:lang w:val="es-MX"/>
        </w:rPr>
      </w:pPr>
      <w:r w:rsidRPr="00953E82">
        <w:rPr>
          <w:rStyle w:val="Refdenotaalpie"/>
          <w:rFonts w:ascii="Arial" w:hAnsi="Arial" w:cs="Arial"/>
          <w:sz w:val="18"/>
          <w:szCs w:val="18"/>
        </w:rPr>
        <w:footnoteRef/>
      </w:r>
      <w:r w:rsidRPr="00953E82">
        <w:rPr>
          <w:rFonts w:ascii="Arial" w:hAnsi="Arial" w:cs="Arial"/>
          <w:sz w:val="18"/>
          <w:szCs w:val="18"/>
        </w:rPr>
        <w:t xml:space="preserve"> </w:t>
      </w:r>
      <w:r w:rsidRPr="00953E82">
        <w:rPr>
          <w:rFonts w:ascii="Arial" w:hAnsi="Arial" w:cs="Arial"/>
          <w:sz w:val="18"/>
          <w:szCs w:val="18"/>
          <w:lang w:val="es-MX"/>
        </w:rPr>
        <w:t>En sentido similar sentencias del 25 de abril de 2002. Rad. 12191 y del 17 de febrero de 2010. Rad. 32254.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953E82" w:rsidRDefault="00B96A21" w:rsidP="00953E82">
    <w:pPr>
      <w:pStyle w:val="Piedepgina"/>
    </w:pPr>
    <w:r>
      <w:t xml:space="preserve">LESIONES </w:t>
    </w:r>
    <w:r w:rsidR="00814E7E" w:rsidRPr="00953E82">
      <w:t>PERSONALES CULPOSAS</w:t>
    </w:r>
    <w:r w:rsidR="007D3ADD" w:rsidRPr="00953E82">
      <w:t xml:space="preserve"> </w:t>
    </w:r>
  </w:p>
  <w:p w:rsidR="007D3ADD" w:rsidRPr="00953E82" w:rsidRDefault="005B6276" w:rsidP="00953E82">
    <w:pPr>
      <w:pStyle w:val="Piedepgina"/>
    </w:pPr>
    <w:r w:rsidRPr="00953E82">
      <w:t>RADICACIÓN:</w:t>
    </w:r>
    <w:r w:rsidR="00953E82">
      <w:t xml:space="preserve"> </w:t>
    </w:r>
    <w:r w:rsidR="00814E7E" w:rsidRPr="00953E82">
      <w:t>6600160000352013-05786-01</w:t>
    </w:r>
  </w:p>
  <w:p w:rsidR="005B6276" w:rsidRPr="00953E82" w:rsidRDefault="005B6276" w:rsidP="00953E82">
    <w:pPr>
      <w:pStyle w:val="Piedepgina"/>
    </w:pPr>
    <w:r w:rsidRPr="00953E82">
      <w:t>PROCESAD</w:t>
    </w:r>
    <w:r w:rsidR="007D3ADD" w:rsidRPr="00953E82">
      <w:t>O</w:t>
    </w:r>
    <w:r w:rsidR="00615274" w:rsidRPr="00953E82">
      <w:t>:</w:t>
    </w:r>
    <w:r w:rsidR="00814E7E" w:rsidRPr="00953E82">
      <w:t xml:space="preserve"> </w:t>
    </w:r>
    <w:proofErr w:type="spellStart"/>
    <w:r w:rsidR="00814E7E" w:rsidRPr="00953E82">
      <w:t>ÓAVR</w:t>
    </w:r>
    <w:proofErr w:type="spellEnd"/>
  </w:p>
  <w:p w:rsidR="005B6276" w:rsidRPr="00953E82" w:rsidRDefault="0067669F" w:rsidP="00953E82">
    <w:pPr>
      <w:pStyle w:val="Piedepgina"/>
    </w:pPr>
    <w:r w:rsidRPr="00953E82">
      <w:t xml:space="preserve">SE </w:t>
    </w:r>
    <w:r w:rsidR="005B6276" w:rsidRPr="00953E82">
      <w:t>CONFIRMA</w:t>
    </w:r>
    <w:r w:rsidR="00AD238B" w:rsidRPr="00953E82">
      <w:t xml:space="preserve"> </w:t>
    </w:r>
  </w:p>
  <w:p w:rsidR="005B6276" w:rsidRPr="00953E82" w:rsidRDefault="005B6276" w:rsidP="00953E82">
    <w:pPr>
      <w:pStyle w:val="Piedepgina"/>
    </w:pPr>
    <w:r w:rsidRPr="00953E82">
      <w:t>S. N°</w:t>
    </w:r>
    <w:r w:rsidR="00EA7844" w:rsidRPr="00953E82">
      <w:t>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11C76"/>
    <w:rsid w:val="000147C2"/>
    <w:rsid w:val="000402EC"/>
    <w:rsid w:val="00040FBA"/>
    <w:rsid w:val="00045181"/>
    <w:rsid w:val="000515E3"/>
    <w:rsid w:val="0005391B"/>
    <w:rsid w:val="000613B9"/>
    <w:rsid w:val="00070AEE"/>
    <w:rsid w:val="00073067"/>
    <w:rsid w:val="00075611"/>
    <w:rsid w:val="00077CF7"/>
    <w:rsid w:val="00097041"/>
    <w:rsid w:val="000A49CB"/>
    <w:rsid w:val="000A618B"/>
    <w:rsid w:val="000A684F"/>
    <w:rsid w:val="000A7F5F"/>
    <w:rsid w:val="000B217E"/>
    <w:rsid w:val="000B38A1"/>
    <w:rsid w:val="000B440B"/>
    <w:rsid w:val="000C0B1B"/>
    <w:rsid w:val="000C2599"/>
    <w:rsid w:val="000C4751"/>
    <w:rsid w:val="000D42A3"/>
    <w:rsid w:val="000E04F2"/>
    <w:rsid w:val="000E575A"/>
    <w:rsid w:val="000F0791"/>
    <w:rsid w:val="000F0A6E"/>
    <w:rsid w:val="000F4565"/>
    <w:rsid w:val="000F663F"/>
    <w:rsid w:val="000F7DA5"/>
    <w:rsid w:val="0011120E"/>
    <w:rsid w:val="00116A8A"/>
    <w:rsid w:val="00116EF6"/>
    <w:rsid w:val="001211B5"/>
    <w:rsid w:val="001216A5"/>
    <w:rsid w:val="00123E15"/>
    <w:rsid w:val="00127864"/>
    <w:rsid w:val="00133222"/>
    <w:rsid w:val="00140AD6"/>
    <w:rsid w:val="001425F5"/>
    <w:rsid w:val="00150B6B"/>
    <w:rsid w:val="00156C3E"/>
    <w:rsid w:val="00157074"/>
    <w:rsid w:val="00161DA7"/>
    <w:rsid w:val="00172E10"/>
    <w:rsid w:val="00177A4A"/>
    <w:rsid w:val="00186BC5"/>
    <w:rsid w:val="00191808"/>
    <w:rsid w:val="00195300"/>
    <w:rsid w:val="001A7786"/>
    <w:rsid w:val="001B22EA"/>
    <w:rsid w:val="001B4E44"/>
    <w:rsid w:val="001B758A"/>
    <w:rsid w:val="001B7BD0"/>
    <w:rsid w:val="001D1885"/>
    <w:rsid w:val="001D32B6"/>
    <w:rsid w:val="001D7956"/>
    <w:rsid w:val="001E7A6A"/>
    <w:rsid w:val="001E7A80"/>
    <w:rsid w:val="001F28AE"/>
    <w:rsid w:val="001F2A70"/>
    <w:rsid w:val="001F37C3"/>
    <w:rsid w:val="0020546C"/>
    <w:rsid w:val="00212E51"/>
    <w:rsid w:val="002259DA"/>
    <w:rsid w:val="002300FF"/>
    <w:rsid w:val="00232AC7"/>
    <w:rsid w:val="002349E4"/>
    <w:rsid w:val="00240BEB"/>
    <w:rsid w:val="002435A0"/>
    <w:rsid w:val="00244DF5"/>
    <w:rsid w:val="002602B8"/>
    <w:rsid w:val="00263CD9"/>
    <w:rsid w:val="00271BE3"/>
    <w:rsid w:val="00271E3E"/>
    <w:rsid w:val="00273723"/>
    <w:rsid w:val="00284D34"/>
    <w:rsid w:val="00287811"/>
    <w:rsid w:val="002913FE"/>
    <w:rsid w:val="00291FAF"/>
    <w:rsid w:val="002932EB"/>
    <w:rsid w:val="00295C2D"/>
    <w:rsid w:val="002A11DE"/>
    <w:rsid w:val="002A5255"/>
    <w:rsid w:val="002A5943"/>
    <w:rsid w:val="002B2FED"/>
    <w:rsid w:val="002B319C"/>
    <w:rsid w:val="002B5A63"/>
    <w:rsid w:val="002C17C9"/>
    <w:rsid w:val="002C57A1"/>
    <w:rsid w:val="002C7679"/>
    <w:rsid w:val="002D0910"/>
    <w:rsid w:val="002E0A6E"/>
    <w:rsid w:val="002E3686"/>
    <w:rsid w:val="002E494D"/>
    <w:rsid w:val="002E5AFD"/>
    <w:rsid w:val="002F0C99"/>
    <w:rsid w:val="002F2C30"/>
    <w:rsid w:val="002F5BC6"/>
    <w:rsid w:val="00305972"/>
    <w:rsid w:val="00324449"/>
    <w:rsid w:val="00324851"/>
    <w:rsid w:val="0032560B"/>
    <w:rsid w:val="00335562"/>
    <w:rsid w:val="00341926"/>
    <w:rsid w:val="00345F92"/>
    <w:rsid w:val="00350E5C"/>
    <w:rsid w:val="003530AC"/>
    <w:rsid w:val="00384C9C"/>
    <w:rsid w:val="00396C5D"/>
    <w:rsid w:val="003A22B8"/>
    <w:rsid w:val="003A437F"/>
    <w:rsid w:val="003B1F95"/>
    <w:rsid w:val="003B5B00"/>
    <w:rsid w:val="003C1FFD"/>
    <w:rsid w:val="003C7009"/>
    <w:rsid w:val="003D23F2"/>
    <w:rsid w:val="003E29F2"/>
    <w:rsid w:val="003E5B21"/>
    <w:rsid w:val="003F3CB5"/>
    <w:rsid w:val="003F744E"/>
    <w:rsid w:val="004100E3"/>
    <w:rsid w:val="00410EF0"/>
    <w:rsid w:val="0041147A"/>
    <w:rsid w:val="00422F07"/>
    <w:rsid w:val="004238BB"/>
    <w:rsid w:val="00423BF6"/>
    <w:rsid w:val="004259C1"/>
    <w:rsid w:val="00427115"/>
    <w:rsid w:val="00427CD7"/>
    <w:rsid w:val="00431E5C"/>
    <w:rsid w:val="00444CAC"/>
    <w:rsid w:val="00445C40"/>
    <w:rsid w:val="00447B57"/>
    <w:rsid w:val="004540E1"/>
    <w:rsid w:val="00454D3D"/>
    <w:rsid w:val="00465100"/>
    <w:rsid w:val="00466F74"/>
    <w:rsid w:val="00467503"/>
    <w:rsid w:val="0047339D"/>
    <w:rsid w:val="0047380D"/>
    <w:rsid w:val="00482B7B"/>
    <w:rsid w:val="00482D2D"/>
    <w:rsid w:val="0048770B"/>
    <w:rsid w:val="004905F7"/>
    <w:rsid w:val="004B1F94"/>
    <w:rsid w:val="004B6901"/>
    <w:rsid w:val="004B7693"/>
    <w:rsid w:val="004C4C54"/>
    <w:rsid w:val="004D3005"/>
    <w:rsid w:val="004E14BC"/>
    <w:rsid w:val="005005DA"/>
    <w:rsid w:val="00504D06"/>
    <w:rsid w:val="005050BE"/>
    <w:rsid w:val="00511D03"/>
    <w:rsid w:val="0051260D"/>
    <w:rsid w:val="00522D11"/>
    <w:rsid w:val="00525477"/>
    <w:rsid w:val="0054366E"/>
    <w:rsid w:val="00544C1D"/>
    <w:rsid w:val="005450A9"/>
    <w:rsid w:val="00546BED"/>
    <w:rsid w:val="00553D4D"/>
    <w:rsid w:val="00556860"/>
    <w:rsid w:val="0056067E"/>
    <w:rsid w:val="005654F9"/>
    <w:rsid w:val="0057125E"/>
    <w:rsid w:val="0057584A"/>
    <w:rsid w:val="005932C6"/>
    <w:rsid w:val="00594CF2"/>
    <w:rsid w:val="005B03F0"/>
    <w:rsid w:val="005B2F59"/>
    <w:rsid w:val="005B5B5E"/>
    <w:rsid w:val="005B6276"/>
    <w:rsid w:val="005B6394"/>
    <w:rsid w:val="005C0B20"/>
    <w:rsid w:val="005D0369"/>
    <w:rsid w:val="005D1FC7"/>
    <w:rsid w:val="005D621E"/>
    <w:rsid w:val="005E04B4"/>
    <w:rsid w:val="005E3D98"/>
    <w:rsid w:val="005E4FA7"/>
    <w:rsid w:val="005E5782"/>
    <w:rsid w:val="005E6D49"/>
    <w:rsid w:val="005F1524"/>
    <w:rsid w:val="00601626"/>
    <w:rsid w:val="0060371D"/>
    <w:rsid w:val="006044FF"/>
    <w:rsid w:val="0060584B"/>
    <w:rsid w:val="00605F06"/>
    <w:rsid w:val="00614F32"/>
    <w:rsid w:val="00615274"/>
    <w:rsid w:val="00617A7B"/>
    <w:rsid w:val="00630AEE"/>
    <w:rsid w:val="00630CF8"/>
    <w:rsid w:val="00632ACA"/>
    <w:rsid w:val="00635180"/>
    <w:rsid w:val="0063589E"/>
    <w:rsid w:val="00636816"/>
    <w:rsid w:val="0064194B"/>
    <w:rsid w:val="00643D75"/>
    <w:rsid w:val="006457F0"/>
    <w:rsid w:val="0064588C"/>
    <w:rsid w:val="006536E1"/>
    <w:rsid w:val="00653B37"/>
    <w:rsid w:val="00671A3D"/>
    <w:rsid w:val="00672DE8"/>
    <w:rsid w:val="0067669F"/>
    <w:rsid w:val="00676CBF"/>
    <w:rsid w:val="00680959"/>
    <w:rsid w:val="00684F40"/>
    <w:rsid w:val="00694F1E"/>
    <w:rsid w:val="00695B74"/>
    <w:rsid w:val="006A437C"/>
    <w:rsid w:val="006A4754"/>
    <w:rsid w:val="006B68C6"/>
    <w:rsid w:val="006C2371"/>
    <w:rsid w:val="006C3C48"/>
    <w:rsid w:val="006C6EB3"/>
    <w:rsid w:val="006D2176"/>
    <w:rsid w:val="006D23DB"/>
    <w:rsid w:val="006D3E10"/>
    <w:rsid w:val="006E2B45"/>
    <w:rsid w:val="006E4852"/>
    <w:rsid w:val="006F729B"/>
    <w:rsid w:val="007031FC"/>
    <w:rsid w:val="0071145D"/>
    <w:rsid w:val="00711B48"/>
    <w:rsid w:val="007137AC"/>
    <w:rsid w:val="00723A8F"/>
    <w:rsid w:val="00724548"/>
    <w:rsid w:val="007256C5"/>
    <w:rsid w:val="007305A2"/>
    <w:rsid w:val="00735B8F"/>
    <w:rsid w:val="0073665D"/>
    <w:rsid w:val="0074129B"/>
    <w:rsid w:val="007460EF"/>
    <w:rsid w:val="007575ED"/>
    <w:rsid w:val="00760153"/>
    <w:rsid w:val="00761433"/>
    <w:rsid w:val="00770552"/>
    <w:rsid w:val="007711D7"/>
    <w:rsid w:val="00773FD2"/>
    <w:rsid w:val="00777DDB"/>
    <w:rsid w:val="007856D0"/>
    <w:rsid w:val="007954AF"/>
    <w:rsid w:val="007A0BB0"/>
    <w:rsid w:val="007A11B9"/>
    <w:rsid w:val="007A4EC9"/>
    <w:rsid w:val="007A57E7"/>
    <w:rsid w:val="007B0209"/>
    <w:rsid w:val="007B15CB"/>
    <w:rsid w:val="007B74B0"/>
    <w:rsid w:val="007C5411"/>
    <w:rsid w:val="007C6A52"/>
    <w:rsid w:val="007D158C"/>
    <w:rsid w:val="007D2585"/>
    <w:rsid w:val="007D2744"/>
    <w:rsid w:val="007D3ADD"/>
    <w:rsid w:val="007E31E6"/>
    <w:rsid w:val="007E6C1A"/>
    <w:rsid w:val="007F1E4F"/>
    <w:rsid w:val="007F4491"/>
    <w:rsid w:val="008015A4"/>
    <w:rsid w:val="00801C89"/>
    <w:rsid w:val="00807AA8"/>
    <w:rsid w:val="00812595"/>
    <w:rsid w:val="00814E7E"/>
    <w:rsid w:val="0081799B"/>
    <w:rsid w:val="00822661"/>
    <w:rsid w:val="00825182"/>
    <w:rsid w:val="00830FEA"/>
    <w:rsid w:val="00837A05"/>
    <w:rsid w:val="00843F91"/>
    <w:rsid w:val="00844743"/>
    <w:rsid w:val="00844FF6"/>
    <w:rsid w:val="008659CD"/>
    <w:rsid w:val="00872270"/>
    <w:rsid w:val="008733F2"/>
    <w:rsid w:val="008737F9"/>
    <w:rsid w:val="00880DC1"/>
    <w:rsid w:val="00881673"/>
    <w:rsid w:val="008876AD"/>
    <w:rsid w:val="008A1CB0"/>
    <w:rsid w:val="008A2034"/>
    <w:rsid w:val="008A5C09"/>
    <w:rsid w:val="008A6A28"/>
    <w:rsid w:val="008B59EA"/>
    <w:rsid w:val="008C1194"/>
    <w:rsid w:val="008C7BF3"/>
    <w:rsid w:val="008D4523"/>
    <w:rsid w:val="008F7DFE"/>
    <w:rsid w:val="00901375"/>
    <w:rsid w:val="00903CE0"/>
    <w:rsid w:val="0090548B"/>
    <w:rsid w:val="0091030E"/>
    <w:rsid w:val="00910FF9"/>
    <w:rsid w:val="009110ED"/>
    <w:rsid w:val="009112E3"/>
    <w:rsid w:val="0091218D"/>
    <w:rsid w:val="009126DC"/>
    <w:rsid w:val="00912803"/>
    <w:rsid w:val="009138B2"/>
    <w:rsid w:val="00920F8C"/>
    <w:rsid w:val="00925987"/>
    <w:rsid w:val="00930C81"/>
    <w:rsid w:val="00933FCA"/>
    <w:rsid w:val="00936B0A"/>
    <w:rsid w:val="009475FC"/>
    <w:rsid w:val="00952B93"/>
    <w:rsid w:val="00953B7E"/>
    <w:rsid w:val="00953E82"/>
    <w:rsid w:val="00957765"/>
    <w:rsid w:val="00962FC1"/>
    <w:rsid w:val="00963749"/>
    <w:rsid w:val="009702EA"/>
    <w:rsid w:val="00971E97"/>
    <w:rsid w:val="00974F7D"/>
    <w:rsid w:val="009A14CC"/>
    <w:rsid w:val="009A3C63"/>
    <w:rsid w:val="009B386B"/>
    <w:rsid w:val="009B7F97"/>
    <w:rsid w:val="009C1EE1"/>
    <w:rsid w:val="009C5AB6"/>
    <w:rsid w:val="009C7E9F"/>
    <w:rsid w:val="009D3A43"/>
    <w:rsid w:val="009D66B1"/>
    <w:rsid w:val="009D6DA8"/>
    <w:rsid w:val="009E419B"/>
    <w:rsid w:val="009E428F"/>
    <w:rsid w:val="009E5623"/>
    <w:rsid w:val="009F6258"/>
    <w:rsid w:val="00A00F08"/>
    <w:rsid w:val="00A069E5"/>
    <w:rsid w:val="00A23C4D"/>
    <w:rsid w:val="00A26B0C"/>
    <w:rsid w:val="00A27BCB"/>
    <w:rsid w:val="00A3514F"/>
    <w:rsid w:val="00A42246"/>
    <w:rsid w:val="00A53336"/>
    <w:rsid w:val="00A6258C"/>
    <w:rsid w:val="00A63125"/>
    <w:rsid w:val="00A67A41"/>
    <w:rsid w:val="00A71DD1"/>
    <w:rsid w:val="00A72BFA"/>
    <w:rsid w:val="00A82534"/>
    <w:rsid w:val="00A87360"/>
    <w:rsid w:val="00A9207C"/>
    <w:rsid w:val="00A92618"/>
    <w:rsid w:val="00A97599"/>
    <w:rsid w:val="00AA6D61"/>
    <w:rsid w:val="00AC3070"/>
    <w:rsid w:val="00AD238B"/>
    <w:rsid w:val="00AE3785"/>
    <w:rsid w:val="00AE42B1"/>
    <w:rsid w:val="00AF602A"/>
    <w:rsid w:val="00AF626D"/>
    <w:rsid w:val="00B0011A"/>
    <w:rsid w:val="00B05322"/>
    <w:rsid w:val="00B10ED7"/>
    <w:rsid w:val="00B113B1"/>
    <w:rsid w:val="00B14374"/>
    <w:rsid w:val="00B31B9A"/>
    <w:rsid w:val="00B33AEC"/>
    <w:rsid w:val="00B363EE"/>
    <w:rsid w:val="00B364D3"/>
    <w:rsid w:val="00B40963"/>
    <w:rsid w:val="00B43438"/>
    <w:rsid w:val="00B463F0"/>
    <w:rsid w:val="00B46D3D"/>
    <w:rsid w:val="00B55DAC"/>
    <w:rsid w:val="00B57FEC"/>
    <w:rsid w:val="00B604A2"/>
    <w:rsid w:val="00B60587"/>
    <w:rsid w:val="00B60C33"/>
    <w:rsid w:val="00B63E3A"/>
    <w:rsid w:val="00B7126D"/>
    <w:rsid w:val="00B7391C"/>
    <w:rsid w:val="00B73F6B"/>
    <w:rsid w:val="00B85EB0"/>
    <w:rsid w:val="00B92733"/>
    <w:rsid w:val="00B96A21"/>
    <w:rsid w:val="00BA2475"/>
    <w:rsid w:val="00BA3DE3"/>
    <w:rsid w:val="00BA782E"/>
    <w:rsid w:val="00BC02C2"/>
    <w:rsid w:val="00BC3695"/>
    <w:rsid w:val="00BD02E2"/>
    <w:rsid w:val="00BD5F37"/>
    <w:rsid w:val="00BD73D8"/>
    <w:rsid w:val="00BE45EE"/>
    <w:rsid w:val="00BF58BD"/>
    <w:rsid w:val="00BF7711"/>
    <w:rsid w:val="00BF7FAC"/>
    <w:rsid w:val="00C15ABA"/>
    <w:rsid w:val="00C23221"/>
    <w:rsid w:val="00C25022"/>
    <w:rsid w:val="00C26B6D"/>
    <w:rsid w:val="00C33079"/>
    <w:rsid w:val="00C36255"/>
    <w:rsid w:val="00C4040A"/>
    <w:rsid w:val="00C467A0"/>
    <w:rsid w:val="00C54BA2"/>
    <w:rsid w:val="00C736DE"/>
    <w:rsid w:val="00C82C36"/>
    <w:rsid w:val="00CA051A"/>
    <w:rsid w:val="00CA6DE3"/>
    <w:rsid w:val="00CA70F3"/>
    <w:rsid w:val="00CB02A3"/>
    <w:rsid w:val="00CC1030"/>
    <w:rsid w:val="00CC41CA"/>
    <w:rsid w:val="00CC5F73"/>
    <w:rsid w:val="00CD3673"/>
    <w:rsid w:val="00CD7F62"/>
    <w:rsid w:val="00CE5379"/>
    <w:rsid w:val="00CE7FAB"/>
    <w:rsid w:val="00CF3F71"/>
    <w:rsid w:val="00CF55BA"/>
    <w:rsid w:val="00D0399E"/>
    <w:rsid w:val="00D05221"/>
    <w:rsid w:val="00D20A33"/>
    <w:rsid w:val="00D30B79"/>
    <w:rsid w:val="00D321A7"/>
    <w:rsid w:val="00D32727"/>
    <w:rsid w:val="00D33FBD"/>
    <w:rsid w:val="00D40989"/>
    <w:rsid w:val="00D6064C"/>
    <w:rsid w:val="00D73FF5"/>
    <w:rsid w:val="00D74C23"/>
    <w:rsid w:val="00D75E04"/>
    <w:rsid w:val="00D84118"/>
    <w:rsid w:val="00D91317"/>
    <w:rsid w:val="00D91734"/>
    <w:rsid w:val="00D973E5"/>
    <w:rsid w:val="00DB798D"/>
    <w:rsid w:val="00DC1406"/>
    <w:rsid w:val="00DC1DEC"/>
    <w:rsid w:val="00DC2D5E"/>
    <w:rsid w:val="00DD1490"/>
    <w:rsid w:val="00DD2399"/>
    <w:rsid w:val="00DE4908"/>
    <w:rsid w:val="00DE7D15"/>
    <w:rsid w:val="00E0224A"/>
    <w:rsid w:val="00E06CE6"/>
    <w:rsid w:val="00E1366A"/>
    <w:rsid w:val="00E26C5D"/>
    <w:rsid w:val="00E3428F"/>
    <w:rsid w:val="00E34984"/>
    <w:rsid w:val="00E433B0"/>
    <w:rsid w:val="00E54207"/>
    <w:rsid w:val="00E54DA3"/>
    <w:rsid w:val="00E5517D"/>
    <w:rsid w:val="00E57E94"/>
    <w:rsid w:val="00E6512B"/>
    <w:rsid w:val="00E65133"/>
    <w:rsid w:val="00E75369"/>
    <w:rsid w:val="00E860CF"/>
    <w:rsid w:val="00E87686"/>
    <w:rsid w:val="00E93B57"/>
    <w:rsid w:val="00EA3701"/>
    <w:rsid w:val="00EA3CDA"/>
    <w:rsid w:val="00EA7844"/>
    <w:rsid w:val="00EC0C98"/>
    <w:rsid w:val="00EC15C0"/>
    <w:rsid w:val="00EC5DC0"/>
    <w:rsid w:val="00ED69AE"/>
    <w:rsid w:val="00EE1B99"/>
    <w:rsid w:val="00EE40C5"/>
    <w:rsid w:val="00EF2DCE"/>
    <w:rsid w:val="00EF6F76"/>
    <w:rsid w:val="00EF7946"/>
    <w:rsid w:val="00F13C87"/>
    <w:rsid w:val="00F24C55"/>
    <w:rsid w:val="00F25778"/>
    <w:rsid w:val="00F34DFF"/>
    <w:rsid w:val="00F42777"/>
    <w:rsid w:val="00F42F06"/>
    <w:rsid w:val="00F47485"/>
    <w:rsid w:val="00F60A20"/>
    <w:rsid w:val="00F64AA4"/>
    <w:rsid w:val="00F7791D"/>
    <w:rsid w:val="00F80CEE"/>
    <w:rsid w:val="00F909A1"/>
    <w:rsid w:val="00F909F6"/>
    <w:rsid w:val="00FA16CE"/>
    <w:rsid w:val="00FA24C3"/>
    <w:rsid w:val="00FA5E3C"/>
    <w:rsid w:val="00FB1613"/>
    <w:rsid w:val="00FB55ED"/>
    <w:rsid w:val="00FC7B04"/>
    <w:rsid w:val="00FD561E"/>
    <w:rsid w:val="00FD59CC"/>
    <w:rsid w:val="00FD6F86"/>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953E82"/>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953E82"/>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Footnote Text Char Char Char Char Car1,Footnote Text Char Char Char Char Char Char1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1762">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162C-4381-4C63-8CEF-1811A440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2448</Words>
  <Characters>13464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48</cp:revision>
  <cp:lastPrinted>2019-07-08T14:44:00Z</cp:lastPrinted>
  <dcterms:created xsi:type="dcterms:W3CDTF">2019-07-03T19:25:00Z</dcterms:created>
  <dcterms:modified xsi:type="dcterms:W3CDTF">2019-08-06T17:09:00Z</dcterms:modified>
</cp:coreProperties>
</file>